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keepNext w:val="true"/>
        <w:keepLines/>
        <w:widowControl/>
        <w:spacing w:before="2360" w:after="40"/>
        <w:jc w:val="center"/>
        <w:rPr/>
      </w:pPr>
      <w:r>
        <w:rPr>
          <w:rFonts w:ascii="Arial" w:hAnsi="Arial"/>
          <w:b/>
          <w:color w:val="466B7A"/>
          <w:sz w:val="21"/>
        </w:rPr>
        <w:t>AGREEMENT BETWEEN THE UNITED STATES OF AMERICA,</w:t>
      </w:r>
    </w:p>
    <w:p>
      <w:pPr>
        <w:keepNext w:val="true"/>
        <w:keepLines/>
        <w:widowControl/>
        <w:spacing w:before="0" w:after="760"/>
        <w:jc w:val="center"/>
        <w:rPr/>
      </w:pPr>
      <w:r>
        <w:rPr>
          <w:rFonts w:ascii="Arial" w:hAnsi="Arial"/>
          <w:b/>
          <w:color w:val="466B7A"/>
          <w:sz w:val="21"/>
        </w:rPr>
        <w:t>THE UNITED MEXICAN STATES, AND CANADA</w:t>
      </w:r>
    </w:p>
    <w:p>
      <w:pPr>
        <w:keepNext w:val="true"/>
        <w:keepLines/>
        <w:widowControl/>
        <w:spacing w:before="0" w:after="320"/>
        <w:jc w:val="center"/>
        <w:rPr/>
      </w:pPr>
      <w:r>
        <w:rPr>
          <w:rFonts w:ascii="Arial" w:hAnsi="Arial"/>
          <w:b/>
          <w:color w:val="233746"/>
          <w:sz w:val="50"/>
        </w:rPr>
        <w:t>NORTH AMERICAN ECONOMIC SECURITY AND TRADE MODERNIZATION AGREEMENT</w:t>
      </w:r>
    </w:p>
    <w:p>
      <w:pPr>
        <w:keepNext w:val="true"/>
        <w:keepLines/>
        <w:widowControl/>
        <w:spacing w:before="0" w:after="760"/>
        <w:jc w:val="center"/>
        <w:rPr/>
      </w:pPr>
      <w:r>
        <w:rPr>
          <w:rFonts w:ascii="Arial" w:hAnsi="Arial"/>
          <w:b/>
          <w:color w:val="466B7A"/>
          <w:sz w:val="24"/>
        </w:rPr>
        <w:t>Version 9.7A</w:t>
      </w:r>
    </w:p>
    <w:p>
      <w:pPr>
        <w:keepNext w:val="true"/>
        <w:keepLines/>
        <w:widowControl/>
        <w:pBdr>
          <w:bottom w:val="single" w:sz="12" w:space="6" w:color="1F3A5F"/>
        </w:pBdr>
        <w:spacing w:before="0" w:after="140"/>
        <w:jc w:val="center"/>
        <w:rPr/>
      </w:pPr>
      <w:r>
        <w:rPr>
          <w:rFonts w:ascii="Arial" w:hAnsi="Arial"/>
          <w:b/>
          <w:i/>
          <w:color w:val="233746"/>
          <w:sz w:val="21"/>
        </w:rPr>
        <w:t>THE MODERNIZED AND HARDENED NORTH AMERICAN TRADE FRAMEWORK</w:t>
      </w:r>
    </w:p>
    <w:p>
      <w:pPr>
        <w:keepNext w:val="true"/>
        <w:keepLines/>
        <w:widowControl/>
        <w:spacing w:before="0" w:after="40"/>
        <w:jc w:val="center"/>
        <w:rPr/>
      </w:pPr>
      <w:r>
        <w:rPr>
          <w:rFonts w:ascii="Arial" w:hAnsi="Arial"/>
          <w:b w:val="0"/>
          <w:i/>
          <w:color w:val="466B7A"/>
          <w:sz w:val="20"/>
        </w:rPr>
        <w:t>Incorporating the Protocol of Modernization, the Proportional Trade Adjustment System,</w:t>
      </w:r>
    </w:p>
    <w:p>
      <w:pPr>
        <w:keepNext w:val="true"/>
        <w:keepLines/>
        <w:widowControl/>
        <w:spacing w:before="0" w:after="360"/>
        <w:jc w:val="center"/>
        <w:rPr/>
      </w:pPr>
      <w:r>
        <w:rPr>
          <w:rFonts w:ascii="Arial" w:hAnsi="Arial"/>
          <w:b w:val="0"/>
          <w:i/>
          <w:color w:val="466B7A"/>
          <w:sz w:val="20"/>
        </w:rPr>
        <w:t>the NTSM Verification Framework, the No-Fade Guarantee, and the Treaty Integrity Regime</w:t>
      </w:r>
    </w:p>
    <w:p>
      <w:pPr>
        <w:keepNext w:val="true"/>
        <w:keepLines/>
        <w:widowControl/>
        <w:spacing w:before="0" w:after="80"/>
        <w:jc w:val="center"/>
        <w:rPr/>
      </w:pPr>
      <w:r>
        <w:rPr>
          <w:rFonts w:ascii="Arial" w:hAnsi="Arial"/>
          <w:b/>
          <w:color w:val="233746"/>
          <w:sz w:val="22"/>
        </w:rPr>
        <w:t>FULL CONSOLIDATED TREATY TEXT</w:t>
      </w:r>
    </w:p>
    <w:p>
      <w:pPr>
        <w:keepNext w:val="true"/>
        <w:keepLines/>
        <w:widowControl/>
        <w:spacing w:before="0" w:after="40"/>
        <w:jc w:val="center"/>
        <w:rPr/>
      </w:pPr>
      <w:r>
        <w:rPr>
          <w:rFonts w:ascii="Arial" w:hAnsi="Arial"/>
          <w:b w:val="0"/>
          <w:color w:val="466B7A"/>
          <w:sz w:val="19"/>
        </w:rPr>
        <w:t>Chapters 1–68  ·  Annexes and Implementation Instruments  ·  Amendment Ledger</w:t>
      </w:r>
    </w:p>
    <w:p>
      <w:pPr>
        <w:keepNext w:val="true"/>
        <w:keepLines/>
        <w:widowControl/>
        <w:spacing w:before="840" w:after="0"/>
        <w:jc w:val="center"/>
        <w:rPr/>
      </w:pPr>
      <w:r>
        <w:rPr>
          <w:rFonts w:ascii="Arial" w:hAnsi="Arial"/>
          <w:b/>
          <w:color w:val="233746"/>
          <w:sz w:val="21"/>
        </w:rPr>
        <w:t>2026</w:t>
      </w:r>
      <w:r>
        <w:rPr>
          <w:rFonts w:ascii="Arial" w:hAnsi="Arial"/>
          <w:b/>
          <w:color w:val="233746"/>
          <w:sz w:val="21"/>
        </w:rPr>
        <w:br w:type="page"/>
      </w:r>
    </w:p>
    <w:p>
      <w:pPr>
        <w:pStyle w:val="Heading1"/>
        <w:keepNext/>
        <w:keepLines/>
        <w:pageBreakBefore/>
        <w:widowControl/>
        <w:pBdr>
          <w:bottom w:val="single" w:sz="12" w:space="6" w:color="1F3A5F"/>
        </w:pBdr>
        <w:spacing w:before="280" w:after="240"/>
        <w:jc w:val="left"/>
        <w:rPr/>
      </w:pPr>
      <w:r>
        <w:t>TABLE OF CONTENTS</w:t>
      </w:r>
    </w:p>
    <w:p>
      <w:pPr>
        <w:pStyle w:val="TOC2"/>
        <w:widowControl/>
        <w:tabs>
          <w:tab w:pos="8856" w:val="right" w:leader="dot"/>
        </w:tabs>
      </w:pPr>
      <w:hyperlink w:anchor="_NAESTMA_TOC_1000" w:history="1">
        <w:r>
          <w:rPr>
            <w:color w:val="466B7A"/>
          </w:rPr>
          <w:t>CANADA — NEGOTIATOR VISIBILITY INDEX</w:t>
        </w:r>
      </w:hyperlink>
      <w:r>
        <w:tab/>
      </w:r>
      <w:r>
        <w:rPr>
          <w:rFonts w:ascii="Arial" w:hAnsi="Arial"/>
        </w:rPr>
        <w:t>40</w:t>
      </w:r>
    </w:p>
    <w:p>
      <w:pPr>
        <w:pStyle w:val="TOC2"/>
        <w:widowControl/>
        <w:tabs>
          <w:tab w:pos="8856" w:val="right" w:leader="dot"/>
        </w:tabs>
      </w:pPr>
      <w:hyperlink w:anchor="_NAESTMA_TOC_1001" w:history="1">
        <w:r>
          <w:rPr>
            <w:color w:val="466B7A"/>
          </w:rPr>
          <w:t>UNITED STATES — NEGOTIATOR VISIBILITY INDEX</w:t>
        </w:r>
      </w:hyperlink>
      <w:r>
        <w:tab/>
      </w:r>
      <w:r>
        <w:rPr>
          <w:rFonts w:ascii="Arial" w:hAnsi="Arial"/>
        </w:rPr>
        <w:t>40</w:t>
      </w:r>
    </w:p>
    <w:p>
      <w:pPr>
        <w:pStyle w:val="TOC2"/>
        <w:widowControl/>
        <w:tabs>
          <w:tab w:pos="8856" w:val="right" w:leader="dot"/>
        </w:tabs>
      </w:pPr>
      <w:hyperlink w:anchor="_NAESTMA_TOC_1002" w:history="1">
        <w:r>
          <w:rPr>
            <w:color w:val="466B7A"/>
          </w:rPr>
          <w:t>MEXICO — NEGOTIATOR VISIBILITY INDEX</w:t>
        </w:r>
      </w:hyperlink>
      <w:r>
        <w:tab/>
      </w:r>
      <w:r>
        <w:rPr>
          <w:rFonts w:ascii="Arial" w:hAnsi="Arial"/>
        </w:rPr>
        <w:t>39</w:t>
      </w:r>
    </w:p>
    <w:p>
      <w:pPr>
        <w:pStyle w:val="TOC1"/>
        <w:widowControl/>
        <w:tabs>
          <w:tab w:pos="8856" w:val="right" w:leader="dot"/>
        </w:tabs>
      </w:pPr>
      <w:hyperlink w:anchor="_NAESTMA_TOC_1003" w:history="1">
        <w:r>
          <w:rPr>
            <w:color w:val="233746"/>
          </w:rPr>
          <w:t>PROPOSED PROTOCOL OF MODERNIZATION TO THE AGREEMENT BETWEEN CANADA, THE UNITED STATES OF…</w:t>
        </w:r>
      </w:hyperlink>
      <w:r>
        <w:tab/>
      </w:r>
      <w:r>
        <w:rPr>
          <w:rFonts w:ascii="Arial" w:hAnsi="Arial"/>
        </w:rPr>
        <w:t>39</w:t>
      </w:r>
    </w:p>
    <w:p>
      <w:pPr>
        <w:pStyle w:val="TOC1"/>
        <w:widowControl/>
        <w:tabs>
          <w:tab w:pos="8856" w:val="right" w:leader="dot"/>
        </w:tabs>
      </w:pPr>
      <w:hyperlink w:anchor="_NAESTMA_TOC_1004" w:history="1">
        <w:r>
          <w:rPr>
            <w:color w:val="233746"/>
          </w:rPr>
          <w:t>PREAMBLE TO THE AGREEMENT AS MODERNIZED</w:t>
        </w:r>
      </w:hyperlink>
      <w:r>
        <w:tab/>
      </w:r>
      <w:r>
        <w:rPr>
          <w:rFonts w:ascii="Arial" w:hAnsi="Arial"/>
        </w:rPr>
        <w:t>41</w:t>
      </w:r>
    </w:p>
    <w:p>
      <w:pPr>
        <w:pStyle w:val="TOC1"/>
        <w:widowControl/>
        <w:tabs>
          <w:tab w:pos="8856" w:val="right" w:leader="dot"/>
        </w:tabs>
      </w:pPr>
      <w:hyperlink w:anchor="_NAESTMA_TOC_1005" w:history="1">
        <w:r>
          <w:rPr>
            <w:color w:val="233746"/>
          </w:rPr>
          <w:t>DRAFTING AND CONSOLIDATION CONVENTIONS APPLIED TO THIS TEXT</w:t>
        </w:r>
      </w:hyperlink>
      <w:r>
        <w:tab/>
      </w:r>
      <w:r>
        <w:rPr>
          <w:rFonts w:ascii="Arial" w:hAnsi="Arial"/>
        </w:rPr>
        <w:t>41</w:t>
      </w:r>
    </w:p>
    <w:p>
      <w:pPr>
        <w:pStyle w:val="TOC2"/>
        <w:widowControl/>
        <w:tabs>
          <w:tab w:pos="8856" w:val="right" w:leader="dot"/>
        </w:tabs>
      </w:pPr>
      <w:hyperlink w:anchor="_NAESTMA_TOC_1006" w:history="1">
        <w:r>
          <w:rPr>
            <w:color w:val="466B7A"/>
          </w:rPr>
          <w:t>Search aliases — high-value cross-cutting terms</w:t>
        </w:r>
      </w:hyperlink>
      <w:r>
        <w:tab/>
      </w:r>
      <w:r>
        <w:rPr>
          <w:rFonts w:ascii="Arial" w:hAnsi="Arial"/>
        </w:rPr>
        <w:t>46</w:t>
      </w:r>
    </w:p>
    <w:p>
      <w:pPr>
        <w:pStyle w:val="TOC2"/>
        <w:widowControl/>
        <w:tabs>
          <w:tab w:pos="8856" w:val="right" w:leader="dot"/>
        </w:tabs>
      </w:pPr>
      <w:hyperlink w:anchor="_NAESTMA_TOC_1007" w:history="1">
        <w:r>
          <w:rPr>
            <w:color w:val="466B7A"/>
          </w:rPr>
          <w:t>I. Foundational, Institutional, Transparency and Dispute Settlement</w:t>
        </w:r>
      </w:hyperlink>
      <w:r>
        <w:tab/>
      </w:r>
      <w:r>
        <w:rPr>
          <w:rFonts w:ascii="Arial" w:hAnsi="Arial"/>
        </w:rPr>
        <w:t>46</w:t>
      </w:r>
    </w:p>
    <w:p>
      <w:pPr>
        <w:pStyle w:val="TOC2"/>
        <w:widowControl/>
        <w:tabs>
          <w:tab w:pos="8856" w:val="right" w:leader="dot"/>
        </w:tabs>
      </w:pPr>
      <w:hyperlink w:anchor="_NAESTMA_TOC_1008" w:history="1">
        <w:r>
          <w:rPr>
            <w:color w:val="466B7A"/>
          </w:rPr>
          <w:t>II. Trade In Goods, Origin, Customs and Remedies</w:t>
        </w:r>
      </w:hyperlink>
      <w:r>
        <w:tab/>
      </w:r>
      <w:r>
        <w:rPr>
          <w:rFonts w:ascii="Arial" w:hAnsi="Arial"/>
        </w:rPr>
        <w:t>47</w:t>
      </w:r>
    </w:p>
    <w:p>
      <w:pPr>
        <w:pStyle w:val="TOC2"/>
        <w:widowControl/>
        <w:tabs>
          <w:tab w:pos="8856" w:val="right" w:leader="dot"/>
        </w:tabs>
      </w:pPr>
      <w:hyperlink w:anchor="_NAESTMA_TOC_1009" w:history="1">
        <w:r>
          <w:rPr>
            <w:color w:val="466B7A"/>
          </w:rPr>
          <w:t>III. Agriculture, Food and Sector-specific Goods</w:t>
        </w:r>
      </w:hyperlink>
      <w:r>
        <w:tab/>
      </w:r>
      <w:r>
        <w:rPr>
          <w:rFonts w:ascii="Arial" w:hAnsi="Arial"/>
        </w:rPr>
        <w:t>47</w:t>
      </w:r>
    </w:p>
    <w:p>
      <w:pPr>
        <w:pStyle w:val="TOC2"/>
        <w:widowControl/>
        <w:tabs>
          <w:tab w:pos="8856" w:val="right" w:leader="dot"/>
        </w:tabs>
      </w:pPr>
      <w:hyperlink w:anchor="_NAESTMA_TOC_1010" w:history="1">
        <w:r>
          <w:rPr>
            <w:color w:val="466B7A"/>
          </w:rPr>
          <w:t>IV. Services, Investment, Mobility, Finance, Digital and Telecom</w:t>
        </w:r>
      </w:hyperlink>
      <w:r>
        <w:tab/>
      </w:r>
      <w:r>
        <w:rPr>
          <w:rFonts w:ascii="Arial" w:hAnsi="Arial"/>
        </w:rPr>
        <w:t>47</w:t>
      </w:r>
    </w:p>
    <w:p>
      <w:pPr>
        <w:pStyle w:val="TOC2"/>
        <w:widowControl/>
        <w:tabs>
          <w:tab w:pos="8856" w:val="right" w:leader="dot"/>
        </w:tabs>
      </w:pPr>
      <w:hyperlink w:anchor="_NAESTMA_TOC_1011" w:history="1">
        <w:r>
          <w:rPr>
            <w:color w:val="466B7A"/>
          </w:rPr>
          <w:t>V. Intellectual Property, State Enterprises, Competition and Procurement</w:t>
        </w:r>
      </w:hyperlink>
      <w:r>
        <w:tab/>
      </w:r>
      <w:r>
        <w:rPr>
          <w:rFonts w:ascii="Arial" w:hAnsi="Arial"/>
        </w:rPr>
        <w:t>47</w:t>
      </w:r>
    </w:p>
    <w:p>
      <w:pPr>
        <w:pStyle w:val="TOC2"/>
        <w:widowControl/>
        <w:tabs>
          <w:tab w:pos="8856" w:val="right" w:leader="dot"/>
        </w:tabs>
      </w:pPr>
      <w:hyperlink w:anchor="_NAESTMA_TOC_1012" w:history="1">
        <w:r>
          <w:rPr>
            <w:color w:val="466B7A"/>
          </w:rPr>
          <w:t>VI. Labor / Labour and Worker Protection</w:t>
        </w:r>
      </w:hyperlink>
      <w:r>
        <w:tab/>
      </w:r>
      <w:r>
        <w:rPr>
          <w:rFonts w:ascii="Arial" w:hAnsi="Arial"/>
        </w:rPr>
        <w:t>47</w:t>
      </w:r>
    </w:p>
    <w:p>
      <w:pPr>
        <w:pStyle w:val="TOC2"/>
        <w:widowControl/>
        <w:tabs>
          <w:tab w:pos="8856" w:val="right" w:leader="dot"/>
        </w:tabs>
      </w:pPr>
      <w:hyperlink w:anchor="_NAESTMA_TOC_1013" w:history="1">
        <w:r>
          <w:rPr>
            <w:color w:val="466B7A"/>
          </w:rPr>
          <w:t>VII. Environment, Forestry, Wildfire and Conservation</w:t>
        </w:r>
      </w:hyperlink>
      <w:r>
        <w:tab/>
      </w:r>
      <w:r>
        <w:rPr>
          <w:rFonts w:ascii="Arial" w:hAnsi="Arial"/>
        </w:rPr>
        <w:t>47</w:t>
      </w:r>
    </w:p>
    <w:p>
      <w:pPr>
        <w:pStyle w:val="TOC2"/>
        <w:widowControl/>
        <w:tabs>
          <w:tab w:pos="8856" w:val="right" w:leader="dot"/>
        </w:tabs>
      </w:pPr>
      <w:hyperlink w:anchor="_NAESTMA_TOC_1014" w:history="1">
        <w:r>
          <w:rPr>
            <w:color w:val="466B7A"/>
          </w:rPr>
          <w:t>VIII. Strategic, Security, Minerals, Energy and Emergency Continuity</w:t>
        </w:r>
      </w:hyperlink>
      <w:r>
        <w:tab/>
      </w:r>
      <w:r>
        <w:rPr>
          <w:rFonts w:ascii="Arial" w:hAnsi="Arial"/>
        </w:rPr>
        <w:t>47</w:t>
      </w:r>
    </w:p>
    <w:p>
      <w:pPr>
        <w:pStyle w:val="TOC2"/>
        <w:widowControl/>
        <w:tabs>
          <w:tab w:pos="8856" w:val="right" w:leader="dot"/>
        </w:tabs>
      </w:pPr>
      <w:hyperlink w:anchor="_NAESTMA_TOC_1015" w:history="1">
        <w:r>
          <w:rPr>
            <w:color w:val="466B7A"/>
          </w:rPr>
          <w:t>IX. Inclusive Trade, SMEs, Competitiveness, Anticorruption and Regulation</w:t>
        </w:r>
      </w:hyperlink>
      <w:r>
        <w:tab/>
      </w:r>
      <w:r>
        <w:rPr>
          <w:rFonts w:ascii="Arial" w:hAnsi="Arial"/>
        </w:rPr>
        <w:t>48</w:t>
      </w:r>
    </w:p>
    <w:p>
      <w:pPr>
        <w:pStyle w:val="TOC2"/>
        <w:widowControl/>
        <w:tabs>
          <w:tab w:pos="8856" w:val="right" w:leader="dot"/>
        </w:tabs>
      </w:pPr>
      <w:hyperlink w:anchor="_NAESTMA_TOC_1016" w:history="1">
        <w:r>
          <w:rPr>
            <w:color w:val="466B7A"/>
          </w:rPr>
          <w:t>X. Mobility, Immigration, Asylum and Humanitarian Protection</w:t>
        </w:r>
      </w:hyperlink>
      <w:r>
        <w:tab/>
      </w:r>
      <w:r>
        <w:rPr>
          <w:rFonts w:ascii="Arial" w:hAnsi="Arial"/>
        </w:rPr>
        <w:t>48</w:t>
      </w:r>
    </w:p>
    <w:p>
      <w:pPr>
        <w:pStyle w:val="TOC2"/>
        <w:widowControl/>
        <w:tabs>
          <w:tab w:pos="8856" w:val="right" w:leader="dot"/>
        </w:tabs>
      </w:pPr>
      <w:hyperlink w:anchor="_NAESTMA_TOC_1017" w:history="1">
        <w:r>
          <w:rPr>
            <w:color w:val="466B7A"/>
          </w:rPr>
          <w:t>XI. Custodial, Prisoner and Correctional Rights</w:t>
        </w:r>
      </w:hyperlink>
      <w:r>
        <w:tab/>
      </w:r>
      <w:r>
        <w:rPr>
          <w:rFonts w:ascii="Arial" w:hAnsi="Arial"/>
        </w:rPr>
        <w:t>48</w:t>
      </w:r>
    </w:p>
    <w:p>
      <w:pPr>
        <w:pStyle w:val="TOC2"/>
        <w:widowControl/>
        <w:tabs>
          <w:tab w:pos="8856" w:val="right" w:leader="dot"/>
        </w:tabs>
      </w:pPr>
      <w:hyperlink w:anchor="_NAESTMA_TOC_1018" w:history="1">
        <w:r>
          <w:rPr>
            <w:color w:val="466B7A"/>
          </w:rPr>
          <w:t>XII. Side Letters, Annexes and Non-conforming Measures</w:t>
        </w:r>
      </w:hyperlink>
      <w:r>
        <w:tab/>
      </w:r>
      <w:r>
        <w:rPr>
          <w:rFonts w:ascii="Arial" w:hAnsi="Arial"/>
        </w:rPr>
        <w:t>48</w:t>
      </w:r>
    </w:p>
    <w:p>
      <w:pPr>
        <w:pStyle w:val="TOC1"/>
        <w:widowControl/>
        <w:tabs>
          <w:tab w:pos="8856" w:val="right" w:leader="dot"/>
        </w:tabs>
      </w:pPr>
      <w:hyperlink w:anchor="_NAESTMA_TOC_1019" w:history="1">
        <w:r>
          <w:rPr>
            <w:color w:val="233746"/>
          </w:rPr>
          <w:t>CHAPTER 1 INITIAL PROVISIONS AND GENERAL DEFINITIONS Section A: Initial Provisions</w:t>
        </w:r>
      </w:hyperlink>
      <w:r>
        <w:tab/>
      </w:r>
      <w:r>
        <w:rPr>
          <w:rFonts w:ascii="Arial" w:hAnsi="Arial"/>
        </w:rPr>
        <w:t>49</w:t>
      </w:r>
    </w:p>
    <w:p>
      <w:pPr>
        <w:pStyle w:val="TOC2"/>
        <w:widowControl/>
        <w:tabs>
          <w:tab w:pos="8856" w:val="right" w:leader="dot"/>
        </w:tabs>
      </w:pPr>
      <w:hyperlink w:anchor="_NAESTMA_TOC_1020" w:history="1">
        <w:r>
          <w:rPr>
            <w:color w:val="466B7A"/>
          </w:rPr>
          <w:t>Article 1.B: Relation of the Agreement to Extraordinary Domestic Measures</w:t>
        </w:r>
      </w:hyperlink>
      <w:r>
        <w:tab/>
      </w:r>
      <w:r>
        <w:rPr>
          <w:rFonts w:ascii="Arial" w:hAnsi="Arial"/>
        </w:rPr>
        <w:t>54</w:t>
      </w:r>
    </w:p>
    <w:p>
      <w:pPr>
        <w:pStyle w:val="TOC2"/>
        <w:widowControl/>
        <w:tabs>
          <w:tab w:pos="8856" w:val="right" w:leader="dot"/>
        </w:tabs>
      </w:pPr>
      <w:hyperlink w:anchor="_NAESTMA_TOC_1021" w:history="1">
        <w:r>
          <w:rPr>
            <w:color w:val="466B7A"/>
          </w:rPr>
          <w:t>Article 1.C: Distinction Between Political Commitments and Legal Obligations</w:t>
        </w:r>
      </w:hyperlink>
      <w:r>
        <w:tab/>
      </w:r>
      <w:r>
        <w:rPr>
          <w:rFonts w:ascii="Arial" w:hAnsi="Arial"/>
        </w:rPr>
        <w:t>54</w:t>
      </w:r>
    </w:p>
    <w:p>
      <w:pPr>
        <w:pStyle w:val="TOC1"/>
        <w:widowControl/>
        <w:tabs>
          <w:tab w:pos="8856" w:val="right" w:leader="dot"/>
        </w:tabs>
      </w:pPr>
      <w:hyperlink w:anchor="_NAESTMA_TOC_1022" w:history="1">
        <w:r>
          <w:rPr>
            <w:color w:val="233746"/>
          </w:rPr>
          <w:t>CHAPTER 2 NATIONAL TREATMENT AND MARKET ACCESS FOR GOODS</w:t>
        </w:r>
      </w:hyperlink>
      <w:r>
        <w:tab/>
      </w:r>
      <w:r>
        <w:rPr>
          <w:rFonts w:ascii="Arial" w:hAnsi="Arial"/>
        </w:rPr>
        <w:t>55</w:t>
      </w:r>
    </w:p>
    <w:p>
      <w:pPr>
        <w:pStyle w:val="TOC2"/>
        <w:widowControl/>
        <w:tabs>
          <w:tab w:pos="8856" w:val="right" w:leader="dot"/>
        </w:tabs>
      </w:pPr>
      <w:hyperlink w:anchor="_NAESTMA_TOC_1023" w:history="1">
        <w:r>
          <w:rPr>
            <w:color w:val="466B7A"/>
          </w:rPr>
          <w:t>Article 2.2: Scope</w:t>
        </w:r>
      </w:hyperlink>
      <w:r>
        <w:tab/>
      </w:r>
      <w:r>
        <w:rPr>
          <w:rFonts w:ascii="Arial" w:hAnsi="Arial"/>
        </w:rPr>
        <w:t>56</w:t>
      </w:r>
    </w:p>
    <w:p>
      <w:pPr>
        <w:pStyle w:val="TOC2"/>
        <w:widowControl/>
        <w:tabs>
          <w:tab w:pos="8856" w:val="right" w:leader="dot"/>
        </w:tabs>
      </w:pPr>
      <w:hyperlink w:anchor="_NAESTMA_TOC_1024" w:history="1">
        <w:r>
          <w:rPr>
            <w:color w:val="466B7A"/>
          </w:rPr>
          <w:t>Article 2.A: Tariff Treatment of Originating Goods (Replacement of Interpretive…</w:t>
        </w:r>
      </w:hyperlink>
      <w:r>
        <w:tab/>
      </w:r>
      <w:r>
        <w:rPr>
          <w:rFonts w:ascii="Arial" w:hAnsi="Arial"/>
        </w:rPr>
        <w:t>474</w:t>
      </w:r>
    </w:p>
    <w:p>
      <w:pPr>
        <w:pStyle w:val="TOC2"/>
        <w:widowControl/>
        <w:tabs>
          <w:tab w:pos="8856" w:val="right" w:leader="dot"/>
        </w:tabs>
      </w:pPr>
      <w:hyperlink w:anchor="_NAESTMA_TOC_1025" w:history="1">
        <w:r>
          <w:rPr>
            <w:color w:val="466B7A"/>
          </w:rPr>
          <w:t>Article 2.B: Prohibition of Equivalent Charges</w:t>
        </w:r>
      </w:hyperlink>
      <w:r>
        <w:tab/>
      </w:r>
      <w:r>
        <w:rPr>
          <w:rFonts w:ascii="Arial" w:hAnsi="Arial"/>
        </w:rPr>
        <w:t>475</w:t>
      </w:r>
    </w:p>
    <w:p>
      <w:pPr>
        <w:pStyle w:val="TOC2"/>
        <w:widowControl/>
        <w:tabs>
          <w:tab w:pos="8856" w:val="right" w:leader="dot"/>
        </w:tabs>
      </w:pPr>
      <w:hyperlink w:anchor="_NAESTMA_TOC_1026" w:history="1">
        <w:r>
          <w:rPr>
            <w:color w:val="466B7A"/>
          </w:rPr>
          <w:t>Article 2.C: Low-Value Shipments</w:t>
        </w:r>
      </w:hyperlink>
      <w:r>
        <w:tab/>
      </w:r>
      <w:r>
        <w:rPr>
          <w:rFonts w:ascii="Arial" w:hAnsi="Arial"/>
        </w:rPr>
        <w:t>475</w:t>
      </w:r>
    </w:p>
    <w:p>
      <w:pPr>
        <w:pStyle w:val="TOC2"/>
        <w:widowControl/>
        <w:tabs>
          <w:tab w:pos="8856" w:val="right" w:leader="dot"/>
        </w:tabs>
      </w:pPr>
      <w:hyperlink w:anchor="_NAESTMA_TOC_1027" w:history="1">
        <w:r>
          <w:rPr>
            <w:color w:val="466B7A"/>
          </w:rPr>
          <w:t>Article 2.D: Non-Discriminatory Administration of Tariff-Rate Quotas</w:t>
        </w:r>
      </w:hyperlink>
      <w:r>
        <w:tab/>
      </w:r>
      <w:r>
        <w:rPr>
          <w:rFonts w:ascii="Arial" w:hAnsi="Arial"/>
        </w:rPr>
        <w:t>475</w:t>
      </w:r>
    </w:p>
    <w:p>
      <w:pPr>
        <w:pStyle w:val="TOC2"/>
        <w:widowControl/>
        <w:tabs>
          <w:tab w:pos="8856" w:val="right" w:leader="dot"/>
        </w:tabs>
      </w:pPr>
      <w:hyperlink w:anchor="_NAESTMA_TOC_1028" w:history="1">
        <w:r>
          <w:rPr>
            <w:color w:val="466B7A"/>
          </w:rPr>
          <w:t>Article 2.E: Alcoholic Beverages — Non-Discriminatory Treatment</w:t>
        </w:r>
      </w:hyperlink>
      <w:r>
        <w:tab/>
      </w:r>
      <w:r>
        <w:rPr>
          <w:rFonts w:ascii="Arial" w:hAnsi="Arial"/>
        </w:rPr>
        <w:t>476</w:t>
      </w:r>
    </w:p>
    <w:p>
      <w:pPr>
        <w:pStyle w:val="TOC2"/>
        <w:widowControl/>
        <w:tabs>
          <w:tab w:pos="8856" w:val="right" w:leader="dot"/>
        </w:tabs>
      </w:pPr>
      <w:hyperlink w:anchor="_NAESTMA_TOC_1029" w:history="1">
        <w:r>
          <w:rPr>
            <w:color w:val="466B7A"/>
          </w:rPr>
          <w:t>Article 2.F: Goods Re-Entered After Repair or Alteration; Temporary Admission</w:t>
        </w:r>
      </w:hyperlink>
      <w:r>
        <w:tab/>
      </w:r>
      <w:r>
        <w:rPr>
          <w:rFonts w:ascii="Arial" w:hAnsi="Arial"/>
        </w:rPr>
        <w:t>476</w:t>
      </w:r>
    </w:p>
    <w:p>
      <w:pPr>
        <w:pStyle w:val="TOC2"/>
        <w:widowControl/>
        <w:tabs>
          <w:tab w:pos="8856" w:val="right" w:leader="dot"/>
        </w:tabs>
      </w:pPr>
      <w:hyperlink w:anchor="_NAESTMA_TOC_1030" w:history="1">
        <w:r>
          <w:rPr>
            <w:color w:val="466B7A"/>
          </w:rPr>
          <w:t>Article 2.G: Import and Export Restrictions</w:t>
        </w:r>
      </w:hyperlink>
      <w:r>
        <w:tab/>
      </w:r>
      <w:r>
        <w:rPr>
          <w:rFonts w:ascii="Arial" w:hAnsi="Arial"/>
        </w:rPr>
        <w:t>476</w:t>
      </w:r>
    </w:p>
    <w:p>
      <w:pPr>
        <w:pStyle w:val="TOC2"/>
        <w:widowControl/>
        <w:tabs>
          <w:tab w:pos="8856" w:val="right" w:leader="dot"/>
        </w:tabs>
      </w:pPr>
      <w:hyperlink w:anchor="_NAESTMA_TOC_1031" w:history="1">
        <w:r>
          <w:rPr>
            <w:color w:val="466B7A"/>
          </w:rPr>
          <w:t>Article 2.H: Consultation on Non-Party Preferential Treatment</w:t>
        </w:r>
      </w:hyperlink>
      <w:r>
        <w:tab/>
      </w:r>
      <w:r>
        <w:rPr>
          <w:rFonts w:ascii="Arial" w:hAnsi="Arial"/>
        </w:rPr>
        <w:t>477</w:t>
      </w:r>
    </w:p>
    <w:p>
      <w:pPr>
        <w:pStyle w:val="TOC2"/>
        <w:widowControl/>
        <w:tabs>
          <w:tab w:pos="8856" w:val="right" w:leader="dot"/>
        </w:tabs>
      </w:pPr>
      <w:hyperlink w:anchor="_NAESTMA_TOC_1032" w:history="1">
        <w:r>
          <w:rPr>
            <w:color w:val="466B7A"/>
          </w:rPr>
          <w:t>Article 2.I: Committee on Trade in Goods — Additional Functions</w:t>
        </w:r>
      </w:hyperlink>
      <w:r>
        <w:tab/>
      </w:r>
      <w:r>
        <w:rPr>
          <w:rFonts w:ascii="Arial" w:hAnsi="Arial"/>
        </w:rPr>
        <w:t>477</w:t>
      </w:r>
    </w:p>
    <w:p>
      <w:pPr>
        <w:pStyle w:val="TOC1"/>
        <w:widowControl/>
        <w:tabs>
          <w:tab w:pos="8856" w:val="right" w:leader="dot"/>
        </w:tabs>
      </w:pPr>
      <w:hyperlink w:anchor="_NAESTMA_TOC_1033" w:history="1">
        <w:r>
          <w:rPr>
            <w:color w:val="233746"/>
          </w:rPr>
          <w:t>CHAPTER 3 AGRICULTURE Section A: General Provisions</w:t>
        </w:r>
      </w:hyperlink>
      <w:r>
        <w:tab/>
      </w:r>
      <w:r>
        <w:rPr>
          <w:rFonts w:ascii="Arial" w:hAnsi="Arial"/>
        </w:rPr>
        <w:t>478</w:t>
      </w:r>
    </w:p>
    <w:p>
      <w:pPr>
        <w:pStyle w:val="TOC1"/>
        <w:widowControl/>
        <w:tabs>
          <w:tab w:pos="8856" w:val="right" w:leader="dot"/>
        </w:tabs>
      </w:pPr>
      <w:hyperlink w:anchor="_NAESTMA_TOC_1034" w:history="1">
        <w:r>
          <w:rPr>
            <w:color w:val="233746"/>
          </w:rPr>
          <w:t>CHAPTER 4 RULES OF ORIGIN</w:t>
        </w:r>
      </w:hyperlink>
      <w:r>
        <w:tab/>
      </w:r>
      <w:r>
        <w:rPr>
          <w:rFonts w:ascii="Arial" w:hAnsi="Arial"/>
        </w:rPr>
        <w:t>497</w:t>
      </w:r>
    </w:p>
    <w:p>
      <w:pPr>
        <w:pStyle w:val="TOC2"/>
        <w:widowControl/>
        <w:tabs>
          <w:tab w:pos="8856" w:val="right" w:leader="dot"/>
        </w:tabs>
      </w:pPr>
      <w:hyperlink w:anchor="_NAESTMA_TOC_1035" w:history="1">
        <w:r>
          <w:rPr>
            <w:color w:val="466B7A"/>
          </w:rPr>
          <w:t>Article 4.9: Indirect Materials</w:t>
        </w:r>
      </w:hyperlink>
      <w:r>
        <w:tab/>
      </w:r>
      <w:r>
        <w:rPr>
          <w:rFonts w:ascii="Arial" w:hAnsi="Arial"/>
        </w:rPr>
        <w:t>501</w:t>
      </w:r>
    </w:p>
    <w:p>
      <w:pPr>
        <w:pStyle w:val="TOC2"/>
        <w:widowControl/>
        <w:tabs>
          <w:tab w:pos="8856" w:val="right" w:leader="dot"/>
        </w:tabs>
      </w:pPr>
      <w:hyperlink w:anchor="_NAESTMA_TOC_1036" w:history="1">
        <w:r>
          <w:rPr>
            <w:color w:val="466B7A"/>
          </w:rPr>
          <w:t>Article 4.10: Automotive Goods</w:t>
        </w:r>
      </w:hyperlink>
      <w:r>
        <w:tab/>
      </w:r>
      <w:r>
        <w:rPr>
          <w:rFonts w:ascii="Arial" w:hAnsi="Arial"/>
        </w:rPr>
        <w:t>501</w:t>
      </w:r>
    </w:p>
    <w:p>
      <w:pPr>
        <w:pStyle w:val="TOC2"/>
        <w:widowControl/>
        <w:tabs>
          <w:tab w:pos="8856" w:val="right" w:leader="dot"/>
        </w:tabs>
      </w:pPr>
      <w:hyperlink w:anchor="_NAESTMA_TOC_1037" w:history="1">
        <w:r>
          <w:rPr>
            <w:color w:val="466B7A"/>
          </w:rPr>
          <w:t>Article 4.A: Modernized General Origin Provisions</w:t>
        </w:r>
      </w:hyperlink>
      <w:r>
        <w:tab/>
      </w:r>
      <w:r>
        <w:rPr>
          <w:rFonts w:ascii="Arial" w:hAnsi="Arial"/>
        </w:rPr>
        <w:t>597</w:t>
      </w:r>
    </w:p>
    <w:p>
      <w:pPr>
        <w:pStyle w:val="TOC2"/>
        <w:widowControl/>
        <w:tabs>
          <w:tab w:pos="8856" w:val="right" w:leader="dot"/>
        </w:tabs>
      </w:pPr>
      <w:hyperlink w:anchor="_NAESTMA_TOC_1038" w:history="1">
        <w:r>
          <w:rPr>
            <w:color w:val="466B7A"/>
          </w:rPr>
          <w:t>Article 4.A.1: North American Origin as the Organizing Concept</w:t>
        </w:r>
      </w:hyperlink>
      <w:r>
        <w:tab/>
      </w:r>
      <w:r>
        <w:rPr>
          <w:rFonts w:ascii="Arial" w:hAnsi="Arial"/>
        </w:rPr>
        <w:t>597</w:t>
      </w:r>
    </w:p>
    <w:p>
      <w:pPr>
        <w:pStyle w:val="TOC2"/>
        <w:widowControl/>
        <w:tabs>
          <w:tab w:pos="8856" w:val="right" w:leader="dot"/>
        </w:tabs>
      </w:pPr>
      <w:hyperlink w:anchor="_NAESTMA_TOC_1039" w:history="1">
        <w:r>
          <w:rPr>
            <w:color w:val="466B7A"/>
          </w:rPr>
          <w:t>Article 4.A.2: Automotive Goods — Modernized Architecture</w:t>
        </w:r>
      </w:hyperlink>
      <w:r>
        <w:tab/>
      </w:r>
      <w:r>
        <w:rPr>
          <w:rFonts w:ascii="Arial" w:hAnsi="Arial"/>
        </w:rPr>
        <w:t>597</w:t>
      </w:r>
    </w:p>
    <w:p>
      <w:pPr>
        <w:pStyle w:val="TOC2"/>
        <w:widowControl/>
        <w:tabs>
          <w:tab w:pos="8856" w:val="right" w:leader="dot"/>
        </w:tabs>
      </w:pPr>
      <w:hyperlink w:anchor="_NAESTMA_TOC_1040" w:history="1">
        <w:r>
          <w:rPr>
            <w:color w:val="466B7A"/>
          </w:rPr>
          <w:t>Article 4.A.3: Steel and Aluminum — Melted and Poured; Smelted and Cast</w:t>
        </w:r>
      </w:hyperlink>
      <w:r>
        <w:tab/>
      </w:r>
      <w:r>
        <w:rPr>
          <w:rFonts w:ascii="Arial" w:hAnsi="Arial"/>
        </w:rPr>
        <w:t>599</w:t>
      </w:r>
    </w:p>
    <w:p>
      <w:pPr>
        <w:pStyle w:val="TOC2"/>
        <w:widowControl/>
        <w:tabs>
          <w:tab w:pos="8856" w:val="right" w:leader="dot"/>
        </w:tabs>
      </w:pPr>
      <w:hyperlink w:anchor="_NAESTMA_TOC_1041" w:history="1">
        <w:r>
          <w:rPr>
            <w:color w:val="466B7A"/>
          </w:rPr>
          <w:t>Article 4.A.4: Circular Production — Recycling, Recovery, Refurbishment, Remanufacturing</w:t>
        </w:r>
      </w:hyperlink>
      <w:r>
        <w:tab/>
      </w:r>
      <w:r>
        <w:rPr>
          <w:rFonts w:ascii="Arial" w:hAnsi="Arial"/>
        </w:rPr>
        <w:t>600</w:t>
      </w:r>
    </w:p>
    <w:p>
      <w:pPr>
        <w:pStyle w:val="TOC2"/>
        <w:widowControl/>
        <w:tabs>
          <w:tab w:pos="8856" w:val="right" w:leader="dot"/>
        </w:tabs>
      </w:pPr>
      <w:hyperlink w:anchor="_NAESTMA_TOC_1042" w:history="1">
        <w:r>
          <w:rPr>
            <w:color w:val="466B7A"/>
          </w:rPr>
          <w:t>Article 4.A.5: Semiconductors and Embedded Electronics</w:t>
        </w:r>
      </w:hyperlink>
      <w:r>
        <w:tab/>
      </w:r>
      <w:r>
        <w:rPr>
          <w:rFonts w:ascii="Arial" w:hAnsi="Arial"/>
        </w:rPr>
        <w:t>600</w:t>
      </w:r>
    </w:p>
    <w:p>
      <w:pPr>
        <w:pStyle w:val="TOC2"/>
        <w:widowControl/>
        <w:tabs>
          <w:tab w:pos="8856" w:val="right" w:leader="dot"/>
        </w:tabs>
      </w:pPr>
      <w:hyperlink w:anchor="_NAESTMA_TOC_1043" w:history="1">
        <w:r>
          <w:rPr>
            <w:color w:val="466B7A"/>
          </w:rPr>
          <w:t>Article 4.A.6: SME Access</w:t>
        </w:r>
      </w:hyperlink>
      <w:r>
        <w:tab/>
      </w:r>
      <w:r>
        <w:rPr>
          <w:rFonts w:ascii="Arial" w:hAnsi="Arial"/>
        </w:rPr>
        <w:t>600</w:t>
      </w:r>
    </w:p>
    <w:p>
      <w:pPr>
        <w:pStyle w:val="TOC2"/>
        <w:widowControl/>
        <w:tabs>
          <w:tab w:pos="8856" w:val="right" w:leader="dot"/>
        </w:tabs>
      </w:pPr>
      <w:hyperlink w:anchor="_NAESTMA_TOC_1044" w:history="1">
        <w:r>
          <w:rPr>
            <w:color w:val="466B7A"/>
          </w:rPr>
          <w:t>Article 4.A.7: Committee on Rules of Origin — Additional Functions</w:t>
        </w:r>
      </w:hyperlink>
      <w:r>
        <w:tab/>
      </w:r>
      <w:r>
        <w:rPr>
          <w:rFonts w:ascii="Arial" w:hAnsi="Arial"/>
        </w:rPr>
        <w:t>601</w:t>
      </w:r>
    </w:p>
    <w:p>
      <w:pPr>
        <w:pStyle w:val="TOC2"/>
        <w:widowControl/>
        <w:tabs>
          <w:tab w:pos="8856" w:val="right" w:leader="dot"/>
        </w:tabs>
      </w:pPr>
      <w:hyperlink w:anchor="_NAESTMA_TOC_1045" w:history="1">
        <w:r>
          <w:rPr>
            <w:color w:val="466B7A"/>
          </w:rPr>
          <w:t>Article 4.A.2A: Automotive Duty-Free Safe Harbor and Alternative Settlement Election</w:t>
        </w:r>
      </w:hyperlink>
      <w:r>
        <w:tab/>
      </w:r>
      <w:r>
        <w:rPr>
          <w:rFonts w:ascii="Arial" w:hAnsi="Arial"/>
        </w:rPr>
        <w:t>601</w:t>
      </w:r>
    </w:p>
    <w:p>
      <w:pPr>
        <w:pStyle w:val="TOC2"/>
        <w:widowControl/>
        <w:tabs>
          <w:tab w:pos="8856" w:val="right" w:leader="dot"/>
        </w:tabs>
      </w:pPr>
      <w:hyperlink w:anchor="_NAESTMA_TOC_1046" w:history="1">
        <w:r>
          <w:rPr>
            <w:color w:val="466B7A"/>
          </w:rPr>
          <w:t>Article 4.A.2B: Strategic Component Banking and Portfolio Flexibility</w:t>
        </w:r>
      </w:hyperlink>
      <w:r>
        <w:tab/>
      </w:r>
      <w:r>
        <w:rPr>
          <w:rFonts w:ascii="Arial" w:hAnsi="Arial"/>
        </w:rPr>
        <w:t>602</w:t>
      </w:r>
    </w:p>
    <w:p>
      <w:pPr>
        <w:pStyle w:val="TOC2"/>
        <w:widowControl/>
        <w:tabs>
          <w:tab w:pos="8856" w:val="right" w:leader="dot"/>
        </w:tabs>
      </w:pPr>
      <w:hyperlink w:anchor="_NAESTMA_TOC_1047" w:history="1">
        <w:r>
          <w:rPr>
            <w:color w:val="466B7A"/>
          </w:rPr>
          <w:t>Article 4.A.2C: De Facto Party-Specific Quota Fast Track</w:t>
        </w:r>
      </w:hyperlink>
      <w:r>
        <w:tab/>
      </w:r>
      <w:r>
        <w:rPr>
          <w:rFonts w:ascii="Arial" w:hAnsi="Arial"/>
        </w:rPr>
        <w:t>602</w:t>
      </w:r>
    </w:p>
    <w:p>
      <w:pPr>
        <w:pStyle w:val="TOC2"/>
        <w:widowControl/>
        <w:tabs>
          <w:tab w:pos="8856" w:val="right" w:leader="dot"/>
        </w:tabs>
      </w:pPr>
      <w:hyperlink w:anchor="_NAESTMA_TOC_1048" w:history="1">
        <w:r>
          <w:rPr>
            <w:color w:val="466B7A"/>
          </w:rPr>
          <w:t>ANNEX 4-E-1: Consolidated Automotive Tier Reference</w:t>
        </w:r>
      </w:hyperlink>
      <w:r>
        <w:tab/>
      </w:r>
      <w:r>
        <w:rPr>
          <w:rFonts w:ascii="Arial" w:hAnsi="Arial"/>
        </w:rPr>
        <w:t>602</w:t>
      </w:r>
    </w:p>
    <w:p>
      <w:pPr>
        <w:pStyle w:val="TOC1"/>
        <w:widowControl/>
        <w:tabs>
          <w:tab w:pos="8856" w:val="right" w:leader="dot"/>
        </w:tabs>
      </w:pPr>
      <w:hyperlink w:anchor="_NAESTMA_TOC_1049" w:history="1">
        <w:r>
          <w:rPr>
            <w:color w:val="233746"/>
          </w:rPr>
          <w:t>CHAPTER 5 ORIGIN PROCEDURES</w:t>
        </w:r>
      </w:hyperlink>
      <w:r>
        <w:tab/>
      </w:r>
      <w:r>
        <w:rPr>
          <w:rFonts w:ascii="Arial" w:hAnsi="Arial"/>
        </w:rPr>
        <w:t>604</w:t>
      </w:r>
    </w:p>
    <w:p>
      <w:pPr>
        <w:pStyle w:val="TOC2"/>
        <w:widowControl/>
        <w:tabs>
          <w:tab w:pos="8856" w:val="right" w:leader="dot"/>
        </w:tabs>
      </w:pPr>
      <w:hyperlink w:anchor="_NAESTMA_TOC_1050" w:history="1">
        <w:r>
          <w:rPr>
            <w:color w:val="466B7A"/>
          </w:rPr>
          <w:t>Article 5.A: Verification Modernization</w:t>
        </w:r>
      </w:hyperlink>
      <w:r>
        <w:tab/>
      </w:r>
      <w:r>
        <w:rPr>
          <w:rFonts w:ascii="Arial" w:hAnsi="Arial"/>
        </w:rPr>
        <w:t>611</w:t>
      </w:r>
    </w:p>
    <w:p>
      <w:pPr>
        <w:pStyle w:val="TOC2"/>
        <w:widowControl/>
        <w:tabs>
          <w:tab w:pos="8856" w:val="right" w:leader="dot"/>
        </w:tabs>
      </w:pPr>
      <w:hyperlink w:anchor="_NAESTMA_TOC_1051" w:history="1">
        <w:r>
          <w:rPr>
            <w:color w:val="466B7A"/>
          </w:rPr>
          <w:t>Article 5.B: Joint Verification and Data Exchange</w:t>
        </w:r>
      </w:hyperlink>
      <w:r>
        <w:tab/>
      </w:r>
      <w:r>
        <w:rPr>
          <w:rFonts w:ascii="Arial" w:hAnsi="Arial"/>
        </w:rPr>
        <w:t>612</w:t>
      </w:r>
    </w:p>
    <w:p>
      <w:pPr>
        <w:pStyle w:val="TOC2"/>
        <w:widowControl/>
        <w:tabs>
          <w:tab w:pos="8856" w:val="right" w:leader="dot"/>
        </w:tabs>
      </w:pPr>
      <w:hyperlink w:anchor="_NAESTMA_TOC_1052" w:history="1">
        <w:r>
          <w:rPr>
            <w:color w:val="466B7A"/>
          </w:rPr>
          <w:t>Article 5.C: Anti-Circumvention Discipline</w:t>
        </w:r>
      </w:hyperlink>
      <w:r>
        <w:tab/>
      </w:r>
      <w:r>
        <w:rPr>
          <w:rFonts w:ascii="Arial" w:hAnsi="Arial"/>
        </w:rPr>
        <w:t>612</w:t>
      </w:r>
    </w:p>
    <w:p>
      <w:pPr>
        <w:pStyle w:val="TOC2"/>
        <w:widowControl/>
        <w:tabs>
          <w:tab w:pos="8856" w:val="right" w:leader="dot"/>
        </w:tabs>
      </w:pPr>
      <w:hyperlink w:anchor="_NAESTMA_TOC_1053" w:history="1">
        <w:r>
          <w:rPr>
            <w:color w:val="466B7A"/>
          </w:rPr>
          <w:t>Article 5.D: Advance Rulings and Appeals</w:t>
        </w:r>
      </w:hyperlink>
      <w:r>
        <w:tab/>
      </w:r>
      <w:r>
        <w:rPr>
          <w:rFonts w:ascii="Arial" w:hAnsi="Arial"/>
        </w:rPr>
        <w:t>612</w:t>
      </w:r>
    </w:p>
    <w:p>
      <w:pPr>
        <w:pStyle w:val="TOC2"/>
        <w:widowControl/>
        <w:tabs>
          <w:tab w:pos="8856" w:val="right" w:leader="dot"/>
        </w:tabs>
      </w:pPr>
      <w:hyperlink w:anchor="_NAESTMA_TOC_1054" w:history="1">
        <w:r>
          <w:rPr>
            <w:color w:val="466B7A"/>
          </w:rPr>
          <w:t>Article 5.E: Electronic Certification</w:t>
        </w:r>
      </w:hyperlink>
      <w:r>
        <w:tab/>
      </w:r>
      <w:r>
        <w:rPr>
          <w:rFonts w:ascii="Arial" w:hAnsi="Arial"/>
        </w:rPr>
        <w:t>613</w:t>
      </w:r>
    </w:p>
    <w:p>
      <w:pPr>
        <w:pStyle w:val="TOC2"/>
        <w:widowControl/>
        <w:tabs>
          <w:tab w:pos="8856" w:val="right" w:leader="dot"/>
        </w:tabs>
      </w:pPr>
      <w:hyperlink w:anchor="_NAESTMA_TOC_1055" w:history="1">
        <w:r>
          <w:rPr>
            <w:color w:val="466B7A"/>
          </w:rPr>
          <w:t>Article 5.F: Administrative Simplicity and Least-Burdensome Verification</w:t>
        </w:r>
      </w:hyperlink>
      <w:r>
        <w:tab/>
      </w:r>
      <w:r>
        <w:rPr>
          <w:rFonts w:ascii="Arial" w:hAnsi="Arial"/>
        </w:rPr>
        <w:t>613</w:t>
      </w:r>
    </w:p>
    <w:p>
      <w:pPr>
        <w:pStyle w:val="TOC2"/>
        <w:widowControl/>
        <w:tabs>
          <w:tab w:pos="8856" w:val="right" w:leader="dot"/>
        </w:tabs>
      </w:pPr>
      <w:hyperlink w:anchor="_NAESTMA_TOC_1056" w:history="1">
        <w:r>
          <w:rPr>
            <w:color w:val="466B7A"/>
          </w:rPr>
          <w:t>Article 5.G: Standardized Verification Requests and Decisions</w:t>
        </w:r>
      </w:hyperlink>
      <w:r>
        <w:tab/>
      </w:r>
      <w:r>
        <w:rPr>
          <w:rFonts w:ascii="Arial" w:hAnsi="Arial"/>
        </w:rPr>
        <w:t>613</w:t>
      </w:r>
    </w:p>
    <w:p>
      <w:pPr>
        <w:pStyle w:val="TOC2"/>
        <w:widowControl/>
        <w:tabs>
          <w:tab w:pos="8856" w:val="right" w:leader="dot"/>
        </w:tabs>
      </w:pPr>
      <w:hyperlink w:anchor="_NAESTMA_TOC_1057" w:history="1">
        <w:r>
          <w:rPr>
            <w:color w:val="466B7A"/>
          </w:rPr>
          <w:t>Article 5.H: Risk-Tiered Verification</w:t>
        </w:r>
      </w:hyperlink>
      <w:r>
        <w:tab/>
      </w:r>
      <w:r>
        <w:rPr>
          <w:rFonts w:ascii="Arial" w:hAnsi="Arial"/>
        </w:rPr>
        <w:t>614</w:t>
      </w:r>
    </w:p>
    <w:p>
      <w:pPr>
        <w:pStyle w:val="TOC2"/>
        <w:widowControl/>
        <w:tabs>
          <w:tab w:pos="8856" w:val="right" w:leader="dot"/>
        </w:tabs>
      </w:pPr>
      <w:hyperlink w:anchor="_NAESTMA_TOC_1058" w:history="1">
        <w:r>
          <w:rPr>
            <w:color w:val="466B7A"/>
          </w:rPr>
          <w:t>Article 5.I: Single Submission and Reuse of Reliable Evidence</w:t>
        </w:r>
      </w:hyperlink>
      <w:r>
        <w:tab/>
      </w:r>
      <w:r>
        <w:rPr>
          <w:rFonts w:ascii="Arial" w:hAnsi="Arial"/>
        </w:rPr>
        <w:t>614</w:t>
      </w:r>
    </w:p>
    <w:p>
      <w:pPr>
        <w:pStyle w:val="TOC2"/>
        <w:widowControl/>
        <w:tabs>
          <w:tab w:pos="8856" w:val="right" w:leader="dot"/>
        </w:tabs>
      </w:pPr>
      <w:hyperlink w:anchor="_NAESTMA_TOC_1059" w:history="1">
        <w:r>
          <w:rPr>
            <w:color w:val="466B7A"/>
          </w:rPr>
          <w:t>Article 5.J: Batch Certification and Model-Year Determinations</w:t>
        </w:r>
      </w:hyperlink>
      <w:r>
        <w:tab/>
      </w:r>
      <w:r>
        <w:rPr>
          <w:rFonts w:ascii="Arial" w:hAnsi="Arial"/>
        </w:rPr>
        <w:t>614</w:t>
      </w:r>
    </w:p>
    <w:p>
      <w:pPr>
        <w:pStyle w:val="TOC2"/>
        <w:widowControl/>
        <w:tabs>
          <w:tab w:pos="8856" w:val="right" w:leader="dot"/>
        </w:tabs>
      </w:pPr>
      <w:hyperlink w:anchor="_NAESTMA_TOC_1060" w:history="1">
        <w:r>
          <w:rPr>
            <w:color w:val="466B7A"/>
          </w:rPr>
          <w:t>Article 5.K: Correction, Cure, and Administrative Stay</w:t>
        </w:r>
      </w:hyperlink>
      <w:r>
        <w:tab/>
      </w:r>
      <w:r>
        <w:rPr>
          <w:rFonts w:ascii="Arial" w:hAnsi="Arial"/>
        </w:rPr>
        <w:t>615</w:t>
      </w:r>
    </w:p>
    <w:p>
      <w:pPr>
        <w:pStyle w:val="TOC2"/>
        <w:widowControl/>
        <w:tabs>
          <w:tab w:pos="8856" w:val="right" w:leader="dot"/>
        </w:tabs>
      </w:pPr>
      <w:hyperlink w:anchor="_NAESTMA_TOC_1061" w:history="1">
        <w:r>
          <w:rPr>
            <w:color w:val="466B7A"/>
          </w:rPr>
          <w:t>Article 5.L: Verification Clocks and Status Transparency</w:t>
        </w:r>
      </w:hyperlink>
      <w:r>
        <w:tab/>
      </w:r>
      <w:r>
        <w:rPr>
          <w:rFonts w:ascii="Arial" w:hAnsi="Arial"/>
        </w:rPr>
        <w:t>615</w:t>
      </w:r>
    </w:p>
    <w:p>
      <w:pPr>
        <w:pStyle w:val="TOC2"/>
        <w:widowControl/>
        <w:tabs>
          <w:tab w:pos="8856" w:val="right" w:leader="dot"/>
        </w:tabs>
      </w:pPr>
      <w:hyperlink w:anchor="_NAESTMA_TOC_1062" w:history="1">
        <w:r>
          <w:rPr>
            <w:color w:val="466B7A"/>
          </w:rPr>
          <w:t>Article 5.M: Electronic Traceability and Technology Neutrality</w:t>
        </w:r>
      </w:hyperlink>
      <w:r>
        <w:tab/>
      </w:r>
      <w:r>
        <w:rPr>
          <w:rFonts w:ascii="Arial" w:hAnsi="Arial"/>
        </w:rPr>
        <w:t>615</w:t>
      </w:r>
    </w:p>
    <w:p>
      <w:pPr>
        <w:pStyle w:val="TOC2"/>
        <w:widowControl/>
        <w:tabs>
          <w:tab w:pos="8856" w:val="right" w:leader="dot"/>
        </w:tabs>
      </w:pPr>
      <w:hyperlink w:anchor="_NAESTMA_TOC_1063" w:history="1">
        <w:r>
          <w:rPr>
            <w:color w:val="466B7A"/>
          </w:rPr>
          <w:t>Article 5.N: Proportionate Supplier Documentation</w:t>
        </w:r>
      </w:hyperlink>
      <w:r>
        <w:tab/>
      </w:r>
      <w:r>
        <w:rPr>
          <w:rFonts w:ascii="Arial" w:hAnsi="Arial"/>
        </w:rPr>
        <w:t>615</w:t>
      </w:r>
    </w:p>
    <w:p>
      <w:pPr>
        <w:pStyle w:val="TOC2"/>
        <w:widowControl/>
        <w:tabs>
          <w:tab w:pos="8856" w:val="right" w:leader="dot"/>
        </w:tabs>
      </w:pPr>
      <w:hyperlink w:anchor="_NAESTMA_TOC_1064" w:history="1">
        <w:r>
          <w:rPr>
            <w:color w:val="466B7A"/>
          </w:rPr>
          <w:t>Article 5.O: Appeals Without Unnecessary Trade Interruption</w:t>
        </w:r>
      </w:hyperlink>
      <w:r>
        <w:tab/>
      </w:r>
      <w:r>
        <w:rPr>
          <w:rFonts w:ascii="Arial" w:hAnsi="Arial"/>
        </w:rPr>
        <w:t>615</w:t>
      </w:r>
    </w:p>
    <w:p>
      <w:pPr>
        <w:pStyle w:val="TOC2"/>
        <w:widowControl/>
        <w:tabs>
          <w:tab w:pos="8856" w:val="right" w:leader="dot"/>
        </w:tabs>
      </w:pPr>
      <w:hyperlink w:anchor="_NAESTMA_TOC_1065" w:history="1">
        <w:r>
          <w:rPr>
            <w:color w:val="466B7A"/>
          </w:rPr>
          <w:t>Article 5.P: Consolidated Origin Verification Manual and Training</w:t>
        </w:r>
      </w:hyperlink>
      <w:r>
        <w:tab/>
      </w:r>
      <w:r>
        <w:rPr>
          <w:rFonts w:ascii="Arial" w:hAnsi="Arial"/>
        </w:rPr>
        <w:t>616</w:t>
      </w:r>
    </w:p>
    <w:p>
      <w:pPr>
        <w:pStyle w:val="TOC2"/>
        <w:widowControl/>
        <w:tabs>
          <w:tab w:pos="8856" w:val="right" w:leader="dot"/>
        </w:tabs>
      </w:pPr>
      <w:hyperlink w:anchor="_NAESTMA_TOC_1066" w:history="1">
        <w:r>
          <w:rPr>
            <w:color w:val="466B7A"/>
          </w:rPr>
          <w:t>Article 5.Q: No Delay of Chapter 23-B Benefits Through Verification</w:t>
        </w:r>
      </w:hyperlink>
      <w:r>
        <w:tab/>
      </w:r>
      <w:r>
        <w:rPr>
          <w:rFonts w:ascii="Arial" w:hAnsi="Arial"/>
        </w:rPr>
        <w:t>616</w:t>
      </w:r>
    </w:p>
    <w:p>
      <w:pPr>
        <w:pStyle w:val="TOC2"/>
        <w:widowControl/>
        <w:tabs>
          <w:tab w:pos="8856" w:val="right" w:leader="dot"/>
        </w:tabs>
      </w:pPr>
      <w:hyperlink w:anchor="_NAESTMA_TOC_1067" w:history="1">
        <w:r>
          <w:rPr>
            <w:color w:val="466B7A"/>
          </w:rPr>
          <w:t>ANNEX 5-Z: Verification Service Standards and Safe-Harbor Matrix</w:t>
        </w:r>
      </w:hyperlink>
      <w:r>
        <w:tab/>
      </w:r>
      <w:r>
        <w:rPr>
          <w:rFonts w:ascii="Arial" w:hAnsi="Arial"/>
        </w:rPr>
        <w:t>616</w:t>
      </w:r>
    </w:p>
    <w:p>
      <w:pPr>
        <w:pStyle w:val="TOC2"/>
        <w:widowControl/>
        <w:tabs>
          <w:tab w:pos="8856" w:val="right" w:leader="dot"/>
        </w:tabs>
      </w:pPr>
      <w:hyperlink w:anchor="_NAESTMA_TOC_1068" w:history="1">
        <w:r>
          <w:rPr>
            <w:color w:val="466B7A"/>
          </w:rPr>
          <w:t>Implementation Direction</w:t>
        </w:r>
      </w:hyperlink>
      <w:r>
        <w:tab/>
      </w:r>
      <w:r>
        <w:rPr>
          <w:rFonts w:ascii="Arial" w:hAnsi="Arial"/>
        </w:rPr>
        <w:t>617</w:t>
      </w:r>
    </w:p>
    <w:p>
      <w:pPr>
        <w:pStyle w:val="TOC1"/>
        <w:widowControl/>
        <w:tabs>
          <w:tab w:pos="8856" w:val="right" w:leader="dot"/>
        </w:tabs>
      </w:pPr>
      <w:hyperlink w:anchor="_NAESTMA_TOC_1069" w:history="1">
        <w:r>
          <w:rPr>
            <w:color w:val="233746"/>
          </w:rPr>
          <w:t>CHAPTER 6 TEXTILE AND APPAREL GOODS</w:t>
        </w:r>
      </w:hyperlink>
      <w:r>
        <w:tab/>
      </w:r>
      <w:r>
        <w:rPr>
          <w:rFonts w:ascii="Arial" w:hAnsi="Arial"/>
        </w:rPr>
        <w:t>618</w:t>
      </w:r>
    </w:p>
    <w:p>
      <w:pPr>
        <w:pStyle w:val="TOC2"/>
        <w:widowControl/>
        <w:tabs>
          <w:tab w:pos="8856" w:val="right" w:leader="dot"/>
        </w:tabs>
      </w:pPr>
      <w:hyperlink w:anchor="_NAESTMA_TOC_1070" w:history="1">
        <w:r>
          <w:rPr>
            <w:color w:val="466B7A"/>
          </w:rPr>
          <w:t>Article 6.3: Special Provisions</w:t>
        </w:r>
      </w:hyperlink>
      <w:r>
        <w:tab/>
      </w:r>
      <w:r>
        <w:rPr>
          <w:rFonts w:ascii="Arial" w:hAnsi="Arial"/>
        </w:rPr>
        <w:t>618</w:t>
      </w:r>
    </w:p>
    <w:p>
      <w:pPr>
        <w:pStyle w:val="TOC1"/>
        <w:widowControl/>
        <w:tabs>
          <w:tab w:pos="8856" w:val="right" w:leader="dot"/>
        </w:tabs>
      </w:pPr>
      <w:hyperlink w:anchor="_NAESTMA_TOC_1071" w:history="1">
        <w:r>
          <w:rPr>
            <w:color w:val="233746"/>
          </w:rPr>
          <w:t>CHAPTER 7 CUSTOMS ADMINISTRATION AND TRADE FACILITATION Section A: Trade Facilitation</w:t>
        </w:r>
      </w:hyperlink>
      <w:r>
        <w:tab/>
      </w:r>
      <w:r>
        <w:rPr>
          <w:rFonts w:ascii="Arial" w:hAnsi="Arial"/>
        </w:rPr>
        <w:t>640</w:t>
      </w:r>
    </w:p>
    <w:p>
      <w:pPr>
        <w:pStyle w:val="TOC2"/>
        <w:widowControl/>
        <w:tabs>
          <w:tab w:pos="8856" w:val="right" w:leader="dot"/>
        </w:tabs>
      </w:pPr>
      <w:hyperlink w:anchor="_NAESTMA_TOC_1072" w:history="1">
        <w:r>
          <w:rPr>
            <w:color w:val="466B7A"/>
          </w:rPr>
          <w:t>Article 7.A: Low-Value Shipments (Implementation of Article 2.C)</w:t>
        </w:r>
      </w:hyperlink>
      <w:r>
        <w:tab/>
      </w:r>
      <w:r>
        <w:rPr>
          <w:rFonts w:ascii="Arial" w:hAnsi="Arial"/>
        </w:rPr>
        <w:t>652</w:t>
      </w:r>
    </w:p>
    <w:p>
      <w:pPr>
        <w:pStyle w:val="TOC2"/>
        <w:widowControl/>
        <w:tabs>
          <w:tab w:pos="8856" w:val="right" w:leader="dot"/>
        </w:tabs>
      </w:pPr>
      <w:hyperlink w:anchor="_NAESTMA_TOC_1073" w:history="1">
        <w:r>
          <w:rPr>
            <w:color w:val="466B7A"/>
          </w:rPr>
          <w:t>Article 7.B: North American Single Window Interoperability</w:t>
        </w:r>
      </w:hyperlink>
      <w:r>
        <w:tab/>
      </w:r>
      <w:r>
        <w:rPr>
          <w:rFonts w:ascii="Arial" w:hAnsi="Arial"/>
        </w:rPr>
        <w:t>653</w:t>
      </w:r>
    </w:p>
    <w:p>
      <w:pPr>
        <w:pStyle w:val="TOC2"/>
        <w:widowControl/>
        <w:tabs>
          <w:tab w:pos="8856" w:val="right" w:leader="dot"/>
        </w:tabs>
      </w:pPr>
      <w:hyperlink w:anchor="_NAESTMA_TOC_1074" w:history="1">
        <w:r>
          <w:rPr>
            <w:color w:val="466B7A"/>
          </w:rPr>
          <w:t>Article 7.C: Uniformity of Customs Administration</w:t>
        </w:r>
      </w:hyperlink>
      <w:r>
        <w:tab/>
      </w:r>
      <w:r>
        <w:rPr>
          <w:rFonts w:ascii="Arial" w:hAnsi="Arial"/>
        </w:rPr>
        <w:t>653</w:t>
      </w:r>
    </w:p>
    <w:p>
      <w:pPr>
        <w:pStyle w:val="TOC2"/>
        <w:widowControl/>
        <w:tabs>
          <w:tab w:pos="8856" w:val="right" w:leader="dot"/>
        </w:tabs>
      </w:pPr>
      <w:hyperlink w:anchor="_NAESTMA_TOC_1075" w:history="1">
        <w:r>
          <w:rPr>
            <w:color w:val="466B7A"/>
          </w:rPr>
          <w:t>Article 7.D: Border Processing Times and Transparency</w:t>
        </w:r>
      </w:hyperlink>
      <w:r>
        <w:tab/>
      </w:r>
      <w:r>
        <w:rPr>
          <w:rFonts w:ascii="Arial" w:hAnsi="Arial"/>
        </w:rPr>
        <w:t>653</w:t>
      </w:r>
    </w:p>
    <w:p>
      <w:pPr>
        <w:pStyle w:val="TOC2"/>
        <w:widowControl/>
        <w:tabs>
          <w:tab w:pos="8856" w:val="right" w:leader="dot"/>
        </w:tabs>
      </w:pPr>
      <w:hyperlink w:anchor="_NAESTMA_TOC_1076" w:history="1">
        <w:r>
          <w:rPr>
            <w:color w:val="466B7A"/>
          </w:rPr>
          <w:t>Article 7.E: Trusted Trader Programs</w:t>
        </w:r>
      </w:hyperlink>
      <w:r>
        <w:tab/>
      </w:r>
      <w:r>
        <w:rPr>
          <w:rFonts w:ascii="Arial" w:hAnsi="Arial"/>
        </w:rPr>
        <w:t>653</w:t>
      </w:r>
    </w:p>
    <w:p>
      <w:pPr>
        <w:pStyle w:val="TOC1"/>
        <w:widowControl/>
        <w:tabs>
          <w:tab w:pos="8856" w:val="right" w:leader="dot"/>
        </w:tabs>
      </w:pPr>
      <w:hyperlink w:anchor="_NAESTMA_TOC_1077" w:history="1">
        <w:r>
          <w:rPr>
            <w:color w:val="233746"/>
          </w:rPr>
          <w:t>CHAPTER 8 RECOGNITION OF THE UNITED MEXICAN STATES’ DIRECT, INALIENABLE, AND IMPRESCRIPTIBLE…</w:t>
        </w:r>
      </w:hyperlink>
      <w:r>
        <w:tab/>
      </w:r>
      <w:r>
        <w:rPr>
          <w:rFonts w:ascii="Arial" w:hAnsi="Arial"/>
        </w:rPr>
        <w:t>655</w:t>
      </w:r>
    </w:p>
    <w:p>
      <w:pPr>
        <w:pStyle w:val="TOC1"/>
        <w:widowControl/>
        <w:tabs>
          <w:tab w:pos="8856" w:val="right" w:leader="dot"/>
        </w:tabs>
      </w:pPr>
      <w:hyperlink w:anchor="_NAESTMA_TOC_1078" w:history="1">
        <w:r>
          <w:rPr>
            <w:color w:val="233746"/>
          </w:rPr>
          <w:t>CHAPTER 9 SANITARY AND PHYTOSANITARY MEASURES</w:t>
        </w:r>
      </w:hyperlink>
      <w:r>
        <w:tab/>
      </w:r>
      <w:r>
        <w:rPr>
          <w:rFonts w:ascii="Arial" w:hAnsi="Arial"/>
        </w:rPr>
        <w:t>656</w:t>
      </w:r>
    </w:p>
    <w:p>
      <w:pPr>
        <w:pStyle w:val="TOC1"/>
        <w:widowControl/>
        <w:tabs>
          <w:tab w:pos="8856" w:val="right" w:leader="dot"/>
        </w:tabs>
      </w:pPr>
      <w:hyperlink w:anchor="_NAESTMA_TOC_1079" w:history="1">
        <w:r>
          <w:rPr>
            <w:color w:val="233746"/>
          </w:rPr>
          <w:t>CHAPTER 10 TRADE REMEDIES Section A: Safeguards</w:t>
        </w:r>
      </w:hyperlink>
      <w:r>
        <w:tab/>
      </w:r>
      <w:r>
        <w:rPr>
          <w:rFonts w:ascii="Arial" w:hAnsi="Arial"/>
        </w:rPr>
        <w:t>668</w:t>
      </w:r>
    </w:p>
    <w:p>
      <w:pPr>
        <w:pStyle w:val="TOC2"/>
        <w:widowControl/>
        <w:tabs>
          <w:tab w:pos="8856" w:val="right" w:leader="dot"/>
        </w:tabs>
      </w:pPr>
      <w:hyperlink w:anchor="_NAESTMA_TOC_1080" w:history="1">
        <w:r>
          <w:rPr>
            <w:color w:val="466B7A"/>
          </w:rPr>
          <w:t>Article 10.A: Antidumping and Countervailing Duty Disciplines Among the Parties</w:t>
        </w:r>
      </w:hyperlink>
      <w:r>
        <w:tab/>
      </w:r>
      <w:r>
        <w:rPr>
          <w:rFonts w:ascii="Arial" w:hAnsi="Arial"/>
        </w:rPr>
        <w:t>687</w:t>
      </w:r>
    </w:p>
    <w:p>
      <w:pPr>
        <w:pStyle w:val="TOC2"/>
        <w:widowControl/>
        <w:tabs>
          <w:tab w:pos="8856" w:val="right" w:leader="dot"/>
        </w:tabs>
      </w:pPr>
      <w:hyperlink w:anchor="_NAESTMA_TOC_1081" w:history="1">
        <w:r>
          <w:rPr>
            <w:color w:val="466B7A"/>
          </w:rPr>
          <w:t>Article 10.B: Safeguard Measures — Party-Specific Analysis</w:t>
        </w:r>
      </w:hyperlink>
      <w:r>
        <w:tab/>
      </w:r>
      <w:r>
        <w:rPr>
          <w:rFonts w:ascii="Arial" w:hAnsi="Arial"/>
        </w:rPr>
        <w:t>687</w:t>
      </w:r>
    </w:p>
    <w:p>
      <w:pPr>
        <w:pStyle w:val="TOC1"/>
        <w:widowControl/>
        <w:tabs>
          <w:tab w:pos="8856" w:val="right" w:leader="dot"/>
        </w:tabs>
      </w:pPr>
      <w:hyperlink w:anchor="_NAESTMA_TOC_1082" w:history="1">
        <w:r>
          <w:rPr>
            <w:color w:val="233746"/>
          </w:rPr>
          <w:t>CHAPTER 11 TECHNICAL BARRIERS TO TRADE</w:t>
        </w:r>
      </w:hyperlink>
      <w:r>
        <w:tab/>
      </w:r>
      <w:r>
        <w:rPr>
          <w:rFonts w:ascii="Arial" w:hAnsi="Arial"/>
        </w:rPr>
        <w:t>688</w:t>
      </w:r>
    </w:p>
    <w:p>
      <w:pPr>
        <w:pStyle w:val="TOC1"/>
        <w:widowControl/>
        <w:tabs>
          <w:tab w:pos="8856" w:val="right" w:leader="dot"/>
        </w:tabs>
      </w:pPr>
      <w:hyperlink w:anchor="_NAESTMA_TOC_1083" w:history="1">
        <w:r>
          <w:rPr>
            <w:color w:val="233746"/>
          </w:rPr>
          <w:t>CHAPTER 12 SECTORAL ANNEXES</w:t>
        </w:r>
      </w:hyperlink>
      <w:r>
        <w:tab/>
      </w:r>
      <w:r>
        <w:rPr>
          <w:rFonts w:ascii="Arial" w:hAnsi="Arial"/>
        </w:rPr>
        <w:t>699</w:t>
      </w:r>
    </w:p>
    <w:p>
      <w:pPr>
        <w:pStyle w:val="TOC2"/>
        <w:widowControl/>
        <w:tabs>
          <w:tab w:pos="8856" w:val="right" w:leader="dot"/>
        </w:tabs>
      </w:pPr>
      <w:hyperlink w:anchor="_NAESTMA_TOC_1084" w:history="1">
        <w:r>
          <w:rPr>
            <w:color w:val="466B7A"/>
          </w:rPr>
          <w:t>ANNEX 12-G: NORTH AMERICAN AVIATION CERTIFICATION FAST LANE</w:t>
        </w:r>
      </w:hyperlink>
      <w:r>
        <w:tab/>
      </w:r>
      <w:r>
        <w:rPr>
          <w:rFonts w:ascii="Arial" w:hAnsi="Arial"/>
        </w:rPr>
        <w:t>710</w:t>
      </w:r>
    </w:p>
    <w:p>
      <w:pPr>
        <w:pStyle w:val="TOC1"/>
        <w:widowControl/>
        <w:tabs>
          <w:tab w:pos="8856" w:val="right" w:leader="dot"/>
        </w:tabs>
      </w:pPr>
      <w:hyperlink w:anchor="_NAESTMA_TOC_1085" w:history="1">
        <w:r>
          <w:rPr>
            <w:color w:val="233746"/>
          </w:rPr>
          <w:t>CHAPTER 13 GOVERNMENT PROCUREMENT</w:t>
        </w:r>
      </w:hyperlink>
      <w:r>
        <w:tab/>
      </w:r>
      <w:r>
        <w:rPr>
          <w:rFonts w:ascii="Arial" w:hAnsi="Arial"/>
        </w:rPr>
        <w:t>713</w:t>
      </w:r>
    </w:p>
    <w:p>
      <w:pPr>
        <w:pStyle w:val="TOC1"/>
        <w:widowControl/>
        <w:tabs>
          <w:tab w:pos="8856" w:val="right" w:leader="dot"/>
        </w:tabs>
      </w:pPr>
      <w:hyperlink w:anchor="_NAESTMA_TOC_1086" w:history="1">
        <w:r>
          <w:rPr>
            <w:color w:val="233746"/>
          </w:rPr>
          <w:t>CHAPTER 14 INVESTMENT</w:t>
        </w:r>
      </w:hyperlink>
      <w:r>
        <w:tab/>
      </w:r>
      <w:r>
        <w:rPr>
          <w:rFonts w:ascii="Arial" w:hAnsi="Arial"/>
        </w:rPr>
        <w:t>739</w:t>
      </w:r>
    </w:p>
    <w:p>
      <w:pPr>
        <w:pStyle w:val="TOC1"/>
        <w:widowControl/>
        <w:tabs>
          <w:tab w:pos="8856" w:val="right" w:leader="dot"/>
        </w:tabs>
      </w:pPr>
      <w:hyperlink w:anchor="_NAESTMA_TOC_1087" w:history="1">
        <w:r>
          <w:rPr>
            <w:color w:val="233746"/>
          </w:rPr>
          <w:t>CHAPTER 15 CROSS-BORDER TRADE IN SERVICES</w:t>
        </w:r>
      </w:hyperlink>
      <w:r>
        <w:tab/>
      </w:r>
      <w:r>
        <w:rPr>
          <w:rFonts w:ascii="Arial" w:hAnsi="Arial"/>
        </w:rPr>
        <w:t>758</w:t>
      </w:r>
    </w:p>
    <w:p>
      <w:pPr>
        <w:pStyle w:val="TOC2"/>
        <w:widowControl/>
        <w:tabs>
          <w:tab w:pos="8856" w:val="right" w:leader="dot"/>
        </w:tabs>
      </w:pPr>
      <w:hyperlink w:anchor="_NAESTMA_TOC_1088" w:history="1">
        <w:r>
          <w:rPr>
            <w:color w:val="466B7A"/>
          </w:rPr>
          <w:t>Article 15.H: North American Franchise and Consumer Services Market Access</w:t>
        </w:r>
      </w:hyperlink>
      <w:r>
        <w:tab/>
      </w:r>
      <w:r>
        <w:rPr>
          <w:rFonts w:ascii="Arial" w:hAnsi="Arial"/>
        </w:rPr>
        <w:t>767</w:t>
      </w:r>
    </w:p>
    <w:p>
      <w:pPr>
        <w:pStyle w:val="TOC1"/>
        <w:widowControl/>
        <w:tabs>
          <w:tab w:pos="8856" w:val="right" w:leader="dot"/>
        </w:tabs>
      </w:pPr>
      <w:hyperlink w:anchor="_NAESTMA_TOC_1089" w:history="1">
        <w:r>
          <w:rPr>
            <w:color w:val="233746"/>
          </w:rPr>
          <w:t>CHAPTER 16 TEMPORARY ENTRY FOR BUSINESS PERSONS</w:t>
        </w:r>
      </w:hyperlink>
      <w:r>
        <w:tab/>
      </w:r>
      <w:r>
        <w:rPr>
          <w:rFonts w:ascii="Arial" w:hAnsi="Arial"/>
        </w:rPr>
        <w:t>769</w:t>
      </w:r>
    </w:p>
    <w:p>
      <w:pPr>
        <w:pStyle w:val="TOC2"/>
        <w:widowControl/>
        <w:tabs>
          <w:tab w:pos="8856" w:val="right" w:leader="dot"/>
        </w:tabs>
      </w:pPr>
      <w:hyperlink w:anchor="_NAESTMA_TOC_1090" w:history="1">
        <w:r>
          <w:rPr>
            <w:color w:val="466B7A"/>
          </w:rPr>
          <w:t>Article 16.B: Trusted North American Visitor and Snowbird Mobility Framework</w:t>
        </w:r>
      </w:hyperlink>
      <w:r>
        <w:tab/>
      </w:r>
      <w:r>
        <w:rPr>
          <w:rFonts w:ascii="Arial" w:hAnsi="Arial"/>
        </w:rPr>
        <w:t>774</w:t>
      </w:r>
    </w:p>
    <w:p>
      <w:pPr>
        <w:pStyle w:val="TOC1"/>
        <w:widowControl/>
        <w:tabs>
          <w:tab w:pos="8856" w:val="right" w:leader="dot"/>
        </w:tabs>
      </w:pPr>
      <w:hyperlink w:anchor="_NAESTMA_TOC_1091" w:history="1">
        <w:r>
          <w:rPr>
            <w:color w:val="233746"/>
          </w:rPr>
          <w:t>CHAPTER 17 FINANCIAL SERVICES</w:t>
        </w:r>
      </w:hyperlink>
      <w:r>
        <w:tab/>
      </w:r>
      <w:r>
        <w:rPr>
          <w:rFonts w:ascii="Arial" w:hAnsi="Arial"/>
        </w:rPr>
        <w:t>776</w:t>
      </w:r>
    </w:p>
    <w:p>
      <w:pPr>
        <w:pStyle w:val="TOC1"/>
        <w:widowControl/>
        <w:tabs>
          <w:tab w:pos="8856" w:val="right" w:leader="dot"/>
        </w:tabs>
      </w:pPr>
      <w:hyperlink w:anchor="_NAESTMA_TOC_1092" w:history="1">
        <w:r>
          <w:rPr>
            <w:color w:val="233746"/>
          </w:rPr>
          <w:t>CHAPTER 18 TELECOMMUNICATIONS</w:t>
        </w:r>
      </w:hyperlink>
      <w:r>
        <w:tab/>
      </w:r>
      <w:r>
        <w:rPr>
          <w:rFonts w:ascii="Arial" w:hAnsi="Arial"/>
        </w:rPr>
        <w:t>791</w:t>
      </w:r>
    </w:p>
    <w:p>
      <w:pPr>
        <w:pStyle w:val="TOC1"/>
        <w:widowControl/>
        <w:tabs>
          <w:tab w:pos="8856" w:val="right" w:leader="dot"/>
        </w:tabs>
      </w:pPr>
      <w:hyperlink w:anchor="_NAESTMA_TOC_1093" w:history="1">
        <w:r>
          <w:rPr>
            <w:color w:val="233746"/>
          </w:rPr>
          <w:t>CHAPTER 19 DIGITAL TRADE</w:t>
        </w:r>
      </w:hyperlink>
      <w:r>
        <w:tab/>
      </w:r>
      <w:r>
        <w:rPr>
          <w:rFonts w:ascii="Arial" w:hAnsi="Arial"/>
        </w:rPr>
        <w:t>802</w:t>
      </w:r>
    </w:p>
    <w:p>
      <w:pPr>
        <w:pStyle w:val="TOC2"/>
        <w:widowControl/>
        <w:tabs>
          <w:tab w:pos="8856" w:val="right" w:leader="dot"/>
        </w:tabs>
      </w:pPr>
      <w:hyperlink w:anchor="_NAESTMA_TOC_1094" w:history="1">
        <w:r>
          <w:rPr>
            <w:color w:val="466B7A"/>
          </w:rPr>
          <w:t>Article 19.A: Scope Modernization</w:t>
        </w:r>
      </w:hyperlink>
      <w:r>
        <w:tab/>
      </w:r>
      <w:r>
        <w:rPr>
          <w:rFonts w:ascii="Arial" w:hAnsi="Arial"/>
        </w:rPr>
        <w:t>807</w:t>
      </w:r>
    </w:p>
    <w:p>
      <w:pPr>
        <w:pStyle w:val="TOC2"/>
        <w:widowControl/>
        <w:tabs>
          <w:tab w:pos="8856" w:val="right" w:leader="dot"/>
        </w:tabs>
      </w:pPr>
      <w:hyperlink w:anchor="_NAESTMA_TOC_1095" w:history="1">
        <w:r>
          <w:rPr>
            <w:color w:val="466B7A"/>
          </w:rPr>
          <w:t>Article 19.B: Cybersecurity Cooperation for Trade Infrastructure</w:t>
        </w:r>
      </w:hyperlink>
      <w:r>
        <w:tab/>
      </w:r>
      <w:r>
        <w:rPr>
          <w:rFonts w:ascii="Arial" w:hAnsi="Arial"/>
        </w:rPr>
        <w:t>808</w:t>
      </w:r>
    </w:p>
    <w:p>
      <w:pPr>
        <w:pStyle w:val="TOC2"/>
        <w:widowControl/>
        <w:tabs>
          <w:tab w:pos="8856" w:val="right" w:leader="dot"/>
        </w:tabs>
      </w:pPr>
      <w:hyperlink w:anchor="_NAESTMA_TOC_1096" w:history="1">
        <w:r>
          <w:rPr>
            <w:color w:val="466B7A"/>
          </w:rPr>
          <w:t>Article 19.C: Electronic Payments</w:t>
        </w:r>
      </w:hyperlink>
      <w:r>
        <w:tab/>
      </w:r>
      <w:r>
        <w:rPr>
          <w:rFonts w:ascii="Arial" w:hAnsi="Arial"/>
        </w:rPr>
        <w:t>808</w:t>
      </w:r>
    </w:p>
    <w:p>
      <w:pPr>
        <w:pStyle w:val="TOC2"/>
        <w:widowControl/>
        <w:tabs>
          <w:tab w:pos="8856" w:val="right" w:leader="dot"/>
        </w:tabs>
      </w:pPr>
      <w:hyperlink w:anchor="_NAESTMA_TOC_1097" w:history="1">
        <w:r>
          <w:rPr>
            <w:color w:val="466B7A"/>
          </w:rPr>
          <w:t>Article 19.D: Data Governance and Interoperability</w:t>
        </w:r>
      </w:hyperlink>
      <w:r>
        <w:tab/>
      </w:r>
      <w:r>
        <w:rPr>
          <w:rFonts w:ascii="Arial" w:hAnsi="Arial"/>
        </w:rPr>
        <w:t>808</w:t>
      </w:r>
    </w:p>
    <w:p>
      <w:pPr>
        <w:pStyle w:val="TOC2"/>
        <w:widowControl/>
        <w:tabs>
          <w:tab w:pos="8856" w:val="right" w:leader="dot"/>
        </w:tabs>
      </w:pPr>
      <w:hyperlink w:anchor="_NAESTMA_TOC_1098" w:history="1">
        <w:r>
          <w:rPr>
            <w:color w:val="466B7A"/>
          </w:rPr>
          <w:t>Article 19.E: Digital Identity and Trust Services</w:t>
        </w:r>
      </w:hyperlink>
      <w:r>
        <w:tab/>
      </w:r>
      <w:r>
        <w:rPr>
          <w:rFonts w:ascii="Arial" w:hAnsi="Arial"/>
        </w:rPr>
        <w:t>808</w:t>
      </w:r>
    </w:p>
    <w:p>
      <w:pPr>
        <w:pStyle w:val="TOC2"/>
        <w:widowControl/>
        <w:tabs>
          <w:tab w:pos="8856" w:val="right" w:leader="dot"/>
        </w:tabs>
      </w:pPr>
      <w:hyperlink w:anchor="_NAESTMA_TOC_1099" w:history="1">
        <w:r>
          <w:rPr>
            <w:color w:val="466B7A"/>
          </w:rPr>
          <w:t>Article 19.F: Committee on Digital Trade Cooperation</w:t>
        </w:r>
      </w:hyperlink>
      <w:r>
        <w:tab/>
      </w:r>
      <w:r>
        <w:rPr>
          <w:rFonts w:ascii="Arial" w:hAnsi="Arial"/>
        </w:rPr>
        <w:t>808</w:t>
      </w:r>
    </w:p>
    <w:p>
      <w:pPr>
        <w:pStyle w:val="TOC2"/>
        <w:widowControl/>
        <w:tabs>
          <w:tab w:pos="8856" w:val="right" w:leader="dot"/>
        </w:tabs>
      </w:pPr>
      <w:hyperlink w:anchor="_NAESTMA_TOC_1100" w:history="1">
        <w:r>
          <w:rPr>
            <w:color w:val="466B7A"/>
          </w:rPr>
          <w:t>Article 19.G: Open Government Data for Trade</w:t>
        </w:r>
      </w:hyperlink>
      <w:r>
        <w:tab/>
      </w:r>
      <w:r>
        <w:rPr>
          <w:rFonts w:ascii="Arial" w:hAnsi="Arial"/>
        </w:rPr>
        <w:t>809</w:t>
      </w:r>
    </w:p>
    <w:p>
      <w:pPr>
        <w:pStyle w:val="TOC2"/>
        <w:widowControl/>
        <w:tabs>
          <w:tab w:pos="8856" w:val="right" w:leader="dot"/>
        </w:tabs>
      </w:pPr>
      <w:hyperlink w:anchor="_NAESTMA_TOC_1101" w:history="1">
        <w:r>
          <w:rPr>
            <w:color w:val="466B7A"/>
          </w:rPr>
          <w:t>Article 19.H: Digital Regulatory Interoperability and Verified Outcomes</w:t>
        </w:r>
      </w:hyperlink>
      <w:r>
        <w:tab/>
      </w:r>
      <w:r>
        <w:rPr>
          <w:rFonts w:ascii="Arial" w:hAnsi="Arial"/>
        </w:rPr>
        <w:t>809</w:t>
      </w:r>
    </w:p>
    <w:p>
      <w:pPr>
        <w:pStyle w:val="TOC2"/>
        <w:widowControl/>
        <w:tabs>
          <w:tab w:pos="8856" w:val="right" w:leader="dot"/>
        </w:tabs>
      </w:pPr>
      <w:hyperlink w:anchor="_NAESTMA_TOC_1102" w:history="1">
        <w:r>
          <w:rPr>
            <w:color w:val="466B7A"/>
          </w:rPr>
          <w:t>Article 19.I: Portable Compliance Evidence and Regulatory Reliance</w:t>
        </w:r>
      </w:hyperlink>
      <w:r>
        <w:tab/>
      </w:r>
      <w:r>
        <w:rPr>
          <w:rFonts w:ascii="Arial" w:hAnsi="Arial"/>
        </w:rPr>
        <w:t>809</w:t>
      </w:r>
    </w:p>
    <w:p>
      <w:pPr>
        <w:pStyle w:val="TOC2"/>
        <w:widowControl/>
        <w:tabs>
          <w:tab w:pos="8856" w:val="right" w:leader="dot"/>
        </w:tabs>
      </w:pPr>
      <w:hyperlink w:anchor="_NAESTMA_TOC_1103" w:history="1">
        <w:r>
          <w:rPr>
            <w:color w:val="466B7A"/>
          </w:rPr>
          <w:t>Article 19.J: Child-Safe Digital Services and Incentive-Based Safety</w:t>
        </w:r>
      </w:hyperlink>
      <w:r>
        <w:tab/>
      </w:r>
      <w:r>
        <w:rPr>
          <w:rFonts w:ascii="Arial" w:hAnsi="Arial"/>
        </w:rPr>
        <w:t>809</w:t>
      </w:r>
    </w:p>
    <w:p>
      <w:pPr>
        <w:pStyle w:val="TOC2"/>
        <w:widowControl/>
        <w:tabs>
          <w:tab w:pos="8856" w:val="right" w:leader="dot"/>
        </w:tabs>
      </w:pPr>
      <w:hyperlink w:anchor="_NAESTMA_TOC_1104" w:history="1">
        <w:r>
          <w:rPr>
            <w:color w:val="466B7A"/>
          </w:rPr>
          <w:t>Article 19.K: Privacy-Preserving Age Assurance and Anonymous Adult Access</w:t>
        </w:r>
      </w:hyperlink>
      <w:r>
        <w:tab/>
      </w:r>
      <w:r>
        <w:rPr>
          <w:rFonts w:ascii="Arial" w:hAnsi="Arial"/>
        </w:rPr>
        <w:t>810</w:t>
      </w:r>
    </w:p>
    <w:p>
      <w:pPr>
        <w:pStyle w:val="TOC2"/>
        <w:widowControl/>
        <w:tabs>
          <w:tab w:pos="8856" w:val="right" w:leader="dot"/>
        </w:tabs>
      </w:pPr>
      <w:hyperlink w:anchor="_NAESTMA_TOC_1105" w:history="1">
        <w:r>
          <w:rPr>
            <w:color w:val="466B7A"/>
          </w:rPr>
          <w:t>Article 19.L: Digital Content and Function Risk Bands</w:t>
        </w:r>
      </w:hyperlink>
      <w:r>
        <w:tab/>
      </w:r>
      <w:r>
        <w:rPr>
          <w:rFonts w:ascii="Arial" w:hAnsi="Arial"/>
        </w:rPr>
        <w:t>810</w:t>
      </w:r>
    </w:p>
    <w:p>
      <w:pPr>
        <w:pStyle w:val="TOC2"/>
        <w:widowControl/>
        <w:tabs>
          <w:tab w:pos="8856" w:val="right" w:leader="dot"/>
        </w:tabs>
      </w:pPr>
      <w:hyperlink w:anchor="_NAESTMA_TOC_1106" w:history="1">
        <w:r>
          <w:rPr>
            <w:color w:val="466B7A"/>
          </w:rPr>
          <w:t>Article 19.M: Interactive Artificial Intelligence and Minor Safety</w:t>
        </w:r>
      </w:hyperlink>
      <w:r>
        <w:tab/>
      </w:r>
      <w:r>
        <w:rPr>
          <w:rFonts w:ascii="Arial" w:hAnsi="Arial"/>
        </w:rPr>
        <w:t>811</w:t>
      </w:r>
    </w:p>
    <w:p>
      <w:pPr>
        <w:pStyle w:val="TOC2"/>
        <w:widowControl/>
        <w:tabs>
          <w:tab w:pos="8856" w:val="right" w:leader="dot"/>
        </w:tabs>
      </w:pPr>
      <w:hyperlink w:anchor="_NAESTMA_TOC_1107" w:history="1">
        <w:r>
          <w:rPr>
            <w:color w:val="466B7A"/>
          </w:rPr>
          <w:t>Article 19.N: Encryption, Source Code, and Security-by-Design</w:t>
        </w:r>
      </w:hyperlink>
      <w:r>
        <w:tab/>
      </w:r>
      <w:r>
        <w:rPr>
          <w:rFonts w:ascii="Arial" w:hAnsi="Arial"/>
        </w:rPr>
        <w:t>811</w:t>
      </w:r>
    </w:p>
    <w:p>
      <w:pPr>
        <w:pStyle w:val="TOC2"/>
        <w:widowControl/>
        <w:tabs>
          <w:tab w:pos="8856" w:val="right" w:leader="dot"/>
        </w:tabs>
      </w:pPr>
      <w:hyperlink w:anchor="_NAESTMA_TOC_1108" w:history="1">
        <w:r>
          <w:rPr>
            <w:color w:val="466B7A"/>
          </w:rPr>
          <w:t>Article 19.O: Cybersecurity Interoperability and Reusable Assurance</w:t>
        </w:r>
      </w:hyperlink>
      <w:r>
        <w:tab/>
      </w:r>
      <w:r>
        <w:rPr>
          <w:rFonts w:ascii="Arial" w:hAnsi="Arial"/>
        </w:rPr>
        <w:t>811</w:t>
      </w:r>
    </w:p>
    <w:p>
      <w:pPr>
        <w:pStyle w:val="TOC2"/>
        <w:widowControl/>
        <w:tabs>
          <w:tab w:pos="8856" w:val="right" w:leader="dot"/>
        </w:tabs>
      </w:pPr>
      <w:hyperlink w:anchor="_NAESTMA_TOC_1109" w:history="1">
        <w:r>
          <w:rPr>
            <w:color w:val="466B7A"/>
          </w:rPr>
          <w:t>Article 19.P: Artificial Intelligence Capability and Productivity</w:t>
        </w:r>
      </w:hyperlink>
      <w:r>
        <w:tab/>
      </w:r>
      <w:r>
        <w:rPr>
          <w:rFonts w:ascii="Arial" w:hAnsi="Arial"/>
        </w:rPr>
        <w:t>812</w:t>
      </w:r>
    </w:p>
    <w:p>
      <w:pPr>
        <w:pStyle w:val="TOC2"/>
        <w:widowControl/>
        <w:tabs>
          <w:tab w:pos="8856" w:val="right" w:leader="dot"/>
        </w:tabs>
      </w:pPr>
      <w:hyperlink w:anchor="_NAESTMA_TOC_1110" w:history="1">
        <w:r>
          <w:rPr>
            <w:color w:val="466B7A"/>
          </w:rPr>
          <w:t>Article 19.Q: North American AI Literacy, Skills, and Opportunity</w:t>
        </w:r>
      </w:hyperlink>
      <w:r>
        <w:tab/>
      </w:r>
      <w:r>
        <w:rPr>
          <w:rFonts w:ascii="Arial" w:hAnsi="Arial"/>
        </w:rPr>
        <w:t>812</w:t>
      </w:r>
    </w:p>
    <w:p>
      <w:pPr>
        <w:pStyle w:val="TOC2"/>
        <w:widowControl/>
        <w:tabs>
          <w:tab w:pos="8856" w:val="right" w:leader="dot"/>
        </w:tabs>
      </w:pPr>
      <w:hyperlink w:anchor="_NAESTMA_TOC_1111" w:history="1">
        <w:r>
          <w:rPr>
            <w:color w:val="466B7A"/>
          </w:rPr>
          <w:t>Article 19.R: Portable AI Credentials and Workforce Mobility</w:t>
        </w:r>
      </w:hyperlink>
      <w:r>
        <w:tab/>
      </w:r>
      <w:r>
        <w:rPr>
          <w:rFonts w:ascii="Arial" w:hAnsi="Arial"/>
        </w:rPr>
        <w:t>812</w:t>
      </w:r>
    </w:p>
    <w:p>
      <w:pPr>
        <w:pStyle w:val="TOC2"/>
        <w:widowControl/>
        <w:tabs>
          <w:tab w:pos="8856" w:val="right" w:leader="dot"/>
        </w:tabs>
      </w:pPr>
      <w:hyperlink w:anchor="_NAESTMA_TOC_1112" w:history="1">
        <w:r>
          <w:rPr>
            <w:color w:val="466B7A"/>
          </w:rPr>
          <w:t>Article 19.S: SME Artificial Intelligence Diffusion</w:t>
        </w:r>
      </w:hyperlink>
      <w:r>
        <w:tab/>
      </w:r>
      <w:r>
        <w:rPr>
          <w:rFonts w:ascii="Arial" w:hAnsi="Arial"/>
        </w:rPr>
        <w:t>813</w:t>
      </w:r>
    </w:p>
    <w:p>
      <w:pPr>
        <w:pStyle w:val="TOC2"/>
        <w:widowControl/>
        <w:tabs>
          <w:tab w:pos="8856" w:val="right" w:leader="dot"/>
        </w:tabs>
      </w:pPr>
      <w:hyperlink w:anchor="_NAESTMA_TOC_1113" w:history="1">
        <w:r>
          <w:rPr>
            <w:color w:val="466B7A"/>
          </w:rPr>
          <w:t>Article 19.T: AI-Ready Public Data and Modular Government Technology</w:t>
        </w:r>
      </w:hyperlink>
      <w:r>
        <w:tab/>
      </w:r>
      <w:r>
        <w:rPr>
          <w:rFonts w:ascii="Arial" w:hAnsi="Arial"/>
        </w:rPr>
        <w:t>813</w:t>
      </w:r>
    </w:p>
    <w:p>
      <w:pPr>
        <w:pStyle w:val="TOC2"/>
        <w:widowControl/>
        <w:tabs>
          <w:tab w:pos="8856" w:val="right" w:leader="dot"/>
        </w:tabs>
      </w:pPr>
      <w:hyperlink w:anchor="_NAESTMA_TOC_1114" w:history="1">
        <w:r>
          <w:rPr>
            <w:color w:val="466B7A"/>
          </w:rPr>
          <w:t>Article 19.U: AI Productivity Dividend and Experimental Public-Service Adoption</w:t>
        </w:r>
      </w:hyperlink>
      <w:r>
        <w:tab/>
      </w:r>
      <w:r>
        <w:rPr>
          <w:rFonts w:ascii="Arial" w:hAnsi="Arial"/>
        </w:rPr>
        <w:t>813</w:t>
      </w:r>
    </w:p>
    <w:p>
      <w:pPr>
        <w:pStyle w:val="TOC2"/>
        <w:widowControl/>
        <w:tabs>
          <w:tab w:pos="8856" w:val="right" w:leader="dot"/>
        </w:tabs>
      </w:pPr>
      <w:hyperlink w:anchor="_NAESTMA_TOC_1115" w:history="1">
        <w:r>
          <w:rPr>
            <w:color w:val="466B7A"/>
          </w:rPr>
          <w:t>Article 19.V: AI-Enabled Health Innovation and Interoperability</w:t>
        </w:r>
      </w:hyperlink>
      <w:r>
        <w:tab/>
      </w:r>
      <w:r>
        <w:rPr>
          <w:rFonts w:ascii="Arial" w:hAnsi="Arial"/>
        </w:rPr>
        <w:t>814</w:t>
      </w:r>
    </w:p>
    <w:p>
      <w:pPr>
        <w:pStyle w:val="TOC2"/>
        <w:widowControl/>
        <w:tabs>
          <w:tab w:pos="8856" w:val="right" w:leader="dot"/>
        </w:tabs>
      </w:pPr>
      <w:hyperlink w:anchor="_NAESTMA_TOC_1116" w:history="1">
        <w:r>
          <w:rPr>
            <w:color w:val="466B7A"/>
          </w:rPr>
          <w:t>Article 19.W: North American Medical AI Evaluation and Research Evidence</w:t>
        </w:r>
      </w:hyperlink>
      <w:r>
        <w:tab/>
      </w:r>
      <w:r>
        <w:rPr>
          <w:rFonts w:ascii="Arial" w:hAnsi="Arial"/>
        </w:rPr>
        <w:t>814</w:t>
      </w:r>
    </w:p>
    <w:p>
      <w:pPr>
        <w:pStyle w:val="TOC2"/>
        <w:widowControl/>
        <w:tabs>
          <w:tab w:pos="8856" w:val="right" w:leader="dot"/>
        </w:tabs>
      </w:pPr>
      <w:hyperlink w:anchor="_NAESTMA_TOC_1117" w:history="1">
        <w:r>
          <w:rPr>
            <w:color w:val="466B7A"/>
          </w:rPr>
          <w:t>Article 19.X: AI Vendor Interoperability, Competition, and Open Interfaces</w:t>
        </w:r>
      </w:hyperlink>
      <w:r>
        <w:tab/>
      </w:r>
      <w:r>
        <w:rPr>
          <w:rFonts w:ascii="Arial" w:hAnsi="Arial"/>
        </w:rPr>
        <w:t>814</w:t>
      </w:r>
    </w:p>
    <w:p>
      <w:pPr>
        <w:pStyle w:val="TOC2"/>
        <w:widowControl/>
        <w:tabs>
          <w:tab w:pos="8856" w:val="right" w:leader="dot"/>
        </w:tabs>
      </w:pPr>
      <w:hyperlink w:anchor="_NAESTMA_TOC_1118" w:history="1">
        <w:r>
          <w:rPr>
            <w:color w:val="466B7A"/>
          </w:rPr>
          <w:t>Article 19.Y: Functional Classification of Digital Financial Services</w:t>
        </w:r>
      </w:hyperlink>
      <w:r>
        <w:tab/>
      </w:r>
      <w:r>
        <w:rPr>
          <w:rFonts w:ascii="Arial" w:hAnsi="Arial"/>
        </w:rPr>
        <w:t>815</w:t>
      </w:r>
    </w:p>
    <w:p>
      <w:pPr>
        <w:pStyle w:val="TOC2"/>
        <w:widowControl/>
        <w:tabs>
          <w:tab w:pos="8856" w:val="right" w:leader="dot"/>
        </w:tabs>
      </w:pPr>
      <w:hyperlink w:anchor="_NAESTMA_TOC_1119" w:history="1">
        <w:r>
          <w:rPr>
            <w:color w:val="466B7A"/>
          </w:rPr>
          <w:t>Article 19.Z: Existing-Institution Presumption for Digital and AI Cooperation</w:t>
        </w:r>
      </w:hyperlink>
      <w:r>
        <w:tab/>
      </w:r>
      <w:r>
        <w:rPr>
          <w:rFonts w:ascii="Arial" w:hAnsi="Arial"/>
        </w:rPr>
        <w:t>815</w:t>
      </w:r>
    </w:p>
    <w:p>
      <w:pPr>
        <w:pStyle w:val="TOC1"/>
        <w:widowControl/>
        <w:tabs>
          <w:tab w:pos="8856" w:val="right" w:leader="dot"/>
        </w:tabs>
      </w:pPr>
      <w:hyperlink w:anchor="_NAESTMA_TOC_1120" w:history="1">
        <w:r>
          <w:rPr>
            <w:color w:val="233746"/>
          </w:rPr>
          <w:t>CHAPTER 20 INTELLECTUAL PROPERTY RIGHTS Section A: General Provisions</w:t>
        </w:r>
      </w:hyperlink>
      <w:r>
        <w:tab/>
      </w:r>
      <w:r>
        <w:rPr>
          <w:rFonts w:ascii="Arial" w:hAnsi="Arial"/>
        </w:rPr>
        <w:t>816</w:t>
      </w:r>
    </w:p>
    <w:p>
      <w:pPr>
        <w:pStyle w:val="TOC1"/>
        <w:widowControl/>
        <w:tabs>
          <w:tab w:pos="8856" w:val="right" w:leader="dot"/>
        </w:tabs>
      </w:pPr>
      <w:hyperlink w:anchor="_NAESTMA_TOC_1121" w:history="1">
        <w:r>
          <w:rPr>
            <w:color w:val="233746"/>
          </w:rPr>
          <w:t>CHAPTER 21 COMPETITION POLICY</w:t>
        </w:r>
      </w:hyperlink>
      <w:r>
        <w:tab/>
      </w:r>
      <w:r>
        <w:rPr>
          <w:rFonts w:ascii="Arial" w:hAnsi="Arial"/>
        </w:rPr>
        <w:t>850</w:t>
      </w:r>
    </w:p>
    <w:p>
      <w:pPr>
        <w:pStyle w:val="TOC1"/>
        <w:widowControl/>
        <w:tabs>
          <w:tab w:pos="8856" w:val="right" w:leader="dot"/>
        </w:tabs>
      </w:pPr>
      <w:hyperlink w:anchor="_NAESTMA_TOC_1122" w:history="1">
        <w:r>
          <w:rPr>
            <w:color w:val="233746"/>
          </w:rPr>
          <w:t>CHAPTER 22 STATEOWNED ENTERPRISES AND DESIGNATED MONOPOLIES</w:t>
        </w:r>
      </w:hyperlink>
      <w:r>
        <w:tab/>
      </w:r>
      <w:r>
        <w:rPr>
          <w:rFonts w:ascii="Arial" w:hAnsi="Arial"/>
        </w:rPr>
        <w:t>853</w:t>
      </w:r>
    </w:p>
    <w:p>
      <w:pPr>
        <w:pStyle w:val="TOC1"/>
        <w:widowControl/>
        <w:tabs>
          <w:tab w:pos="8856" w:val="right" w:leader="dot"/>
        </w:tabs>
      </w:pPr>
      <w:hyperlink w:anchor="_NAESTMA_TOC_1123" w:history="1">
        <w:r>
          <w:rPr>
            <w:color w:val="233746"/>
          </w:rPr>
          <w:t>CHAPTER 23 LABOR</w:t>
        </w:r>
      </w:hyperlink>
      <w:r>
        <w:tab/>
      </w:r>
      <w:r>
        <w:rPr>
          <w:rFonts w:ascii="Arial" w:hAnsi="Arial"/>
        </w:rPr>
        <w:t>867</w:t>
      </w:r>
    </w:p>
    <w:p>
      <w:pPr>
        <w:pStyle w:val="TOC1"/>
        <w:widowControl/>
        <w:tabs>
          <w:tab w:pos="8856" w:val="right" w:leader="dot"/>
        </w:tabs>
      </w:pPr>
      <w:hyperlink w:anchor="_NAESTMA_TOC_1124" w:history="1">
        <w:r>
          <w:rPr>
            <w:color w:val="233746"/>
          </w:rPr>
          <w:t>ANNEX 23-A — WORKER REPRESENTATION, COLLECTIVE BARGAINING AND LABOUR-REFORM DURABILITY IN MEXICO</w:t>
        </w:r>
      </w:hyperlink>
      <w:r>
        <w:tab/>
      </w:r>
      <w:r>
        <w:rPr>
          <w:rFonts w:ascii="Arial" w:hAnsi="Arial"/>
        </w:rPr>
        <w:t>874</w:t>
      </w:r>
    </w:p>
    <w:p>
      <w:pPr>
        <w:pStyle w:val="TOC2"/>
        <w:widowControl/>
        <w:tabs>
          <w:tab w:pos="8856" w:val="right" w:leader="dot"/>
        </w:tabs>
      </w:pPr>
      <w:hyperlink w:anchor="_NAESTMA_TOC_1125" w:history="1">
        <w:r>
          <w:rPr>
            <w:color w:val="466B7A"/>
          </w:rPr>
          <w:t>23-A.1 Purpose and Durable Floor</w:t>
        </w:r>
      </w:hyperlink>
      <w:r>
        <w:tab/>
      </w:r>
      <w:r>
        <w:rPr>
          <w:rFonts w:ascii="Arial" w:hAnsi="Arial"/>
        </w:rPr>
        <w:t>874</w:t>
      </w:r>
    </w:p>
    <w:p>
      <w:pPr>
        <w:pStyle w:val="TOC2"/>
        <w:widowControl/>
        <w:tabs>
          <w:tab w:pos="8856" w:val="right" w:leader="dot"/>
        </w:tabs>
      </w:pPr>
      <w:hyperlink w:anchor="_NAESTMA_TOC_1126" w:history="1">
        <w:r>
          <w:rPr>
            <w:color w:val="466B7A"/>
          </w:rPr>
          <w:t>23-A.2 Freedom of Worker Organization</w:t>
        </w:r>
      </w:hyperlink>
      <w:r>
        <w:tab/>
      </w:r>
      <w:r>
        <w:rPr>
          <w:rFonts w:ascii="Arial" w:hAnsi="Arial"/>
        </w:rPr>
        <w:t>874</w:t>
      </w:r>
    </w:p>
    <w:p>
      <w:pPr>
        <w:pStyle w:val="TOC2"/>
        <w:widowControl/>
        <w:tabs>
          <w:tab w:pos="8856" w:val="right" w:leader="dot"/>
        </w:tabs>
      </w:pPr>
      <w:hyperlink w:anchor="_NAESTMA_TOC_1127" w:history="1">
        <w:r>
          <w:rPr>
            <w:color w:val="466B7A"/>
          </w:rPr>
          <w:t>23-A.3 Independent and Impartial Labour Institutions</w:t>
        </w:r>
      </w:hyperlink>
      <w:r>
        <w:tab/>
      </w:r>
      <w:r>
        <w:rPr>
          <w:rFonts w:ascii="Arial" w:hAnsi="Arial"/>
        </w:rPr>
        <w:t>874</w:t>
      </w:r>
    </w:p>
    <w:p>
      <w:pPr>
        <w:pStyle w:val="TOC2"/>
        <w:widowControl/>
        <w:tabs>
          <w:tab w:pos="8856" w:val="right" w:leader="dot"/>
        </w:tabs>
      </w:pPr>
      <w:hyperlink w:anchor="_NAESTMA_TOC_1128" w:history="1">
        <w:r>
          <w:rPr>
            <w:color w:val="466B7A"/>
          </w:rPr>
          <w:t>23-A.4 Personal, Free and Secret Worker Choice</w:t>
        </w:r>
      </w:hyperlink>
      <w:r>
        <w:tab/>
      </w:r>
      <w:r>
        <w:rPr>
          <w:rFonts w:ascii="Arial" w:hAnsi="Arial"/>
        </w:rPr>
        <w:t>874</w:t>
      </w:r>
    </w:p>
    <w:p>
      <w:pPr>
        <w:pStyle w:val="TOC2"/>
        <w:widowControl/>
        <w:tabs>
          <w:tab w:pos="8856" w:val="right" w:leader="dot"/>
        </w:tabs>
      </w:pPr>
      <w:hyperlink w:anchor="_NAESTMA_TOC_1129" w:history="1">
        <w:r>
          <w:rPr>
            <w:color w:val="466B7A"/>
          </w:rPr>
          <w:t>23-A.5 Authentic Support for Collective Bargaining Agreements</w:t>
        </w:r>
      </w:hyperlink>
      <w:r>
        <w:tab/>
      </w:r>
      <w:r>
        <w:rPr>
          <w:rFonts w:ascii="Arial" w:hAnsi="Arial"/>
        </w:rPr>
        <w:t>874</w:t>
      </w:r>
    </w:p>
    <w:p>
      <w:pPr>
        <w:pStyle w:val="TOC2"/>
        <w:widowControl/>
        <w:tabs>
          <w:tab w:pos="8856" w:val="right" w:leader="dot"/>
        </w:tabs>
      </w:pPr>
      <w:hyperlink w:anchor="_NAESTMA_TOC_1130" w:history="1">
        <w:r>
          <w:rPr>
            <w:color w:val="466B7A"/>
          </w:rPr>
          <w:t>23-A.6 Protection Against Fictitious or Employer-Dominated Agreements</w:t>
        </w:r>
      </w:hyperlink>
      <w:r>
        <w:tab/>
      </w:r>
      <w:r>
        <w:rPr>
          <w:rFonts w:ascii="Arial" w:hAnsi="Arial"/>
        </w:rPr>
        <w:t>874</w:t>
      </w:r>
    </w:p>
    <w:p>
      <w:pPr>
        <w:pStyle w:val="TOC2"/>
        <w:widowControl/>
        <w:tabs>
          <w:tab w:pos="8856" w:val="right" w:leader="dot"/>
        </w:tabs>
      </w:pPr>
      <w:hyperlink w:anchor="_NAESTMA_TOC_1131" w:history="1">
        <w:r>
          <w:rPr>
            <w:color w:val="466B7A"/>
          </w:rPr>
          <w:t>23-A.7 Information Before Consent</w:t>
        </w:r>
      </w:hyperlink>
      <w:r>
        <w:tab/>
      </w:r>
      <w:r>
        <w:rPr>
          <w:rFonts w:ascii="Arial" w:hAnsi="Arial"/>
        </w:rPr>
        <w:t>874</w:t>
      </w:r>
    </w:p>
    <w:p>
      <w:pPr>
        <w:pStyle w:val="TOC2"/>
        <w:widowControl/>
        <w:tabs>
          <w:tab w:pos="8856" w:val="right" w:leader="dot"/>
        </w:tabs>
      </w:pPr>
      <w:hyperlink w:anchor="_NAESTMA_TOC_1132" w:history="1">
        <w:r>
          <w:rPr>
            <w:color w:val="466B7A"/>
          </w:rPr>
          <w:t>23-A.8 Representation Challenges and Procedural Integrity</w:t>
        </w:r>
      </w:hyperlink>
      <w:r>
        <w:tab/>
      </w:r>
      <w:r>
        <w:rPr>
          <w:rFonts w:ascii="Arial" w:hAnsi="Arial"/>
        </w:rPr>
        <w:t>875</w:t>
      </w:r>
    </w:p>
    <w:p>
      <w:pPr>
        <w:pStyle w:val="TOC2"/>
        <w:widowControl/>
        <w:tabs>
          <w:tab w:pos="8856" w:val="right" w:leader="dot"/>
        </w:tabs>
      </w:pPr>
      <w:hyperlink w:anchor="_NAESTMA_TOC_1133" w:history="1">
        <w:r>
          <w:rPr>
            <w:color w:val="466B7A"/>
          </w:rPr>
          <w:t>23-A.9 Verification of Democratic Legitimacy</w:t>
        </w:r>
      </w:hyperlink>
      <w:r>
        <w:tab/>
      </w:r>
      <w:r>
        <w:rPr>
          <w:rFonts w:ascii="Arial" w:hAnsi="Arial"/>
        </w:rPr>
        <w:t>875</w:t>
      </w:r>
    </w:p>
    <w:p>
      <w:pPr>
        <w:pStyle w:val="TOC2"/>
        <w:widowControl/>
        <w:tabs>
          <w:tab w:pos="8856" w:val="right" w:leader="dot"/>
        </w:tabs>
      </w:pPr>
      <w:hyperlink w:anchor="_NAESTMA_TOC_1134" w:history="1">
        <w:r>
          <w:rPr>
            <w:color w:val="466B7A"/>
          </w:rPr>
          <w:t>23-A.10 Anti-Retaliation Protection</w:t>
        </w:r>
      </w:hyperlink>
      <w:r>
        <w:tab/>
      </w:r>
      <w:r>
        <w:rPr>
          <w:rFonts w:ascii="Arial" w:hAnsi="Arial"/>
        </w:rPr>
        <w:t>875</w:t>
      </w:r>
    </w:p>
    <w:p>
      <w:pPr>
        <w:pStyle w:val="TOC2"/>
        <w:widowControl/>
        <w:tabs>
          <w:tab w:pos="8856" w:val="right" w:leader="dot"/>
        </w:tabs>
      </w:pPr>
      <w:hyperlink w:anchor="_NAESTMA_TOC_1135" w:history="1">
        <w:r>
          <w:rPr>
            <w:color w:val="466B7A"/>
          </w:rPr>
          <w:t>23-A.11 Effective Worker Remedies</w:t>
        </w:r>
      </w:hyperlink>
      <w:r>
        <w:tab/>
      </w:r>
      <w:r>
        <w:rPr>
          <w:rFonts w:ascii="Arial" w:hAnsi="Arial"/>
        </w:rPr>
        <w:t>875</w:t>
      </w:r>
    </w:p>
    <w:p>
      <w:pPr>
        <w:pStyle w:val="TOC2"/>
        <w:widowControl/>
        <w:tabs>
          <w:tab w:pos="8856" w:val="right" w:leader="dot"/>
        </w:tabs>
      </w:pPr>
      <w:hyperlink w:anchor="_NAESTMA_TOC_1136" w:history="1">
        <w:r>
          <w:rPr>
            <w:color w:val="466B7A"/>
          </w:rPr>
          <w:t>23-A.12 Transparency and Privacy</w:t>
        </w:r>
      </w:hyperlink>
      <w:r>
        <w:tab/>
      </w:r>
      <w:r>
        <w:rPr>
          <w:rFonts w:ascii="Arial" w:hAnsi="Arial"/>
        </w:rPr>
        <w:t>875</w:t>
      </w:r>
    </w:p>
    <w:p>
      <w:pPr>
        <w:pStyle w:val="TOC2"/>
        <w:widowControl/>
        <w:tabs>
          <w:tab w:pos="8856" w:val="right" w:leader="dot"/>
        </w:tabs>
      </w:pPr>
      <w:hyperlink w:anchor="_NAESTMA_TOC_1137" w:history="1">
        <w:r>
          <w:rPr>
            <w:color w:val="466B7A"/>
          </w:rPr>
          <w:t>23-A.13 Non-Regression</w:t>
        </w:r>
      </w:hyperlink>
      <w:r>
        <w:tab/>
      </w:r>
      <w:r>
        <w:rPr>
          <w:rFonts w:ascii="Arial" w:hAnsi="Arial"/>
        </w:rPr>
        <w:t>875</w:t>
      </w:r>
    </w:p>
    <w:p>
      <w:pPr>
        <w:pStyle w:val="TOC2"/>
        <w:widowControl/>
        <w:tabs>
          <w:tab w:pos="8856" w:val="right" w:leader="dot"/>
        </w:tabs>
      </w:pPr>
      <w:hyperlink w:anchor="_NAESTMA_TOC_1138" w:history="1">
        <w:r>
          <w:rPr>
            <w:color w:val="466B7A"/>
          </w:rPr>
          <w:t>23-A.14 No Institutional Fossilization</w:t>
        </w:r>
      </w:hyperlink>
      <w:r>
        <w:tab/>
      </w:r>
      <w:r>
        <w:rPr>
          <w:rFonts w:ascii="Arial" w:hAnsi="Arial"/>
        </w:rPr>
        <w:t>875</w:t>
      </w:r>
    </w:p>
    <w:p>
      <w:pPr>
        <w:pStyle w:val="TOC2"/>
        <w:widowControl/>
        <w:tabs>
          <w:tab w:pos="8856" w:val="right" w:leader="dot"/>
        </w:tabs>
      </w:pPr>
      <w:hyperlink w:anchor="_NAESTMA_TOC_1139" w:history="1">
        <w:r>
          <w:rPr>
            <w:color w:val="466B7A"/>
          </w:rPr>
          <w:t>23-A.15 Performance and Durability Review</w:t>
        </w:r>
      </w:hyperlink>
      <w:r>
        <w:tab/>
      </w:r>
      <w:r>
        <w:rPr>
          <w:rFonts w:ascii="Arial" w:hAnsi="Arial"/>
        </w:rPr>
        <w:t>876</w:t>
      </w:r>
    </w:p>
    <w:p>
      <w:pPr>
        <w:pStyle w:val="TOC2"/>
        <w:widowControl/>
        <w:tabs>
          <w:tab w:pos="8856" w:val="right" w:leader="dot"/>
        </w:tabs>
      </w:pPr>
      <w:hyperlink w:anchor="_NAESTMA_TOC_1140" w:history="1">
        <w:r>
          <w:rPr>
            <w:color w:val="466B7A"/>
          </w:rPr>
          <w:t>23-A.16 Technical Cooperation Without Supervision</w:t>
        </w:r>
      </w:hyperlink>
      <w:r>
        <w:tab/>
      </w:r>
      <w:r>
        <w:rPr>
          <w:rFonts w:ascii="Arial" w:hAnsi="Arial"/>
        </w:rPr>
        <w:t>876</w:t>
      </w:r>
    </w:p>
    <w:p>
      <w:pPr>
        <w:pStyle w:val="TOC2"/>
        <w:widowControl/>
        <w:tabs>
          <w:tab w:pos="8856" w:val="right" w:leader="dot"/>
        </w:tabs>
      </w:pPr>
      <w:hyperlink w:anchor="_NAESTMA_TOC_1141" w:history="1">
        <w:r>
          <w:rPr>
            <w:color w:val="466B7A"/>
          </w:rPr>
          <w:t>23-A.17 Country-Specific Annex and Equal Party Status</w:t>
        </w:r>
      </w:hyperlink>
      <w:r>
        <w:tab/>
      </w:r>
      <w:r>
        <w:rPr>
          <w:rFonts w:ascii="Arial" w:hAnsi="Arial"/>
        </w:rPr>
        <w:t>876</w:t>
      </w:r>
    </w:p>
    <w:p>
      <w:pPr>
        <w:pStyle w:val="TOC2"/>
        <w:widowControl/>
        <w:tabs>
          <w:tab w:pos="8856" w:val="right" w:leader="dot"/>
        </w:tabs>
      </w:pPr>
      <w:hyperlink w:anchor="_NAESTMA_TOC_1142" w:history="1">
        <w:r>
          <w:rPr>
            <w:color w:val="466B7A"/>
          </w:rPr>
          <w:t>23-A.18 Relationship to Facility-Specific Enforcement</w:t>
        </w:r>
      </w:hyperlink>
      <w:r>
        <w:tab/>
      </w:r>
      <w:r>
        <w:rPr>
          <w:rFonts w:ascii="Arial" w:hAnsi="Arial"/>
        </w:rPr>
        <w:t>876</w:t>
      </w:r>
    </w:p>
    <w:p>
      <w:pPr>
        <w:pStyle w:val="TOC2"/>
        <w:widowControl/>
        <w:tabs>
          <w:tab w:pos="8856" w:val="right" w:leader="dot"/>
        </w:tabs>
      </w:pPr>
      <w:hyperlink w:anchor="_NAESTMA_TOC_1143" w:history="1">
        <w:r>
          <w:rPr>
            <w:color w:val="466B7A"/>
          </w:rPr>
          <w:t>23-A.19 Worker-Rights Firewall</w:t>
        </w:r>
      </w:hyperlink>
      <w:r>
        <w:tab/>
      </w:r>
      <w:r>
        <w:rPr>
          <w:rFonts w:ascii="Arial" w:hAnsi="Arial"/>
        </w:rPr>
        <w:t>876</w:t>
      </w:r>
    </w:p>
    <w:p>
      <w:pPr>
        <w:pStyle w:val="TOC2"/>
        <w:widowControl/>
        <w:tabs>
          <w:tab w:pos="8856" w:val="right" w:leader="dot"/>
        </w:tabs>
      </w:pPr>
      <w:hyperlink w:anchor="_NAESTMA_TOC_1144" w:history="1">
        <w:r>
          <w:rPr>
            <w:color w:val="466B7A"/>
          </w:rPr>
          <w:t>23-A.20 Future Improvement</w:t>
        </w:r>
      </w:hyperlink>
      <w:r>
        <w:tab/>
      </w:r>
      <w:r>
        <w:rPr>
          <w:rFonts w:ascii="Arial" w:hAnsi="Arial"/>
        </w:rPr>
        <w:t>876</w:t>
      </w:r>
    </w:p>
    <w:p>
      <w:pPr>
        <w:pStyle w:val="TOC2"/>
        <w:widowControl/>
        <w:tabs>
          <w:tab w:pos="8856" w:val="right" w:leader="dot"/>
        </w:tabs>
      </w:pPr>
      <w:hyperlink w:anchor="_NAESTMA_TOC_1145" w:history="1">
        <w:r>
          <w:rPr>
            <w:color w:val="466B7A"/>
          </w:rPr>
          <w:t>23-A.21 Completion of Historical Transitional Measures</w:t>
        </w:r>
      </w:hyperlink>
      <w:r>
        <w:tab/>
      </w:r>
      <w:r>
        <w:rPr>
          <w:rFonts w:ascii="Arial" w:hAnsi="Arial"/>
        </w:rPr>
        <w:t>876</w:t>
      </w:r>
    </w:p>
    <w:p>
      <w:pPr>
        <w:pStyle w:val="TOC2"/>
        <w:widowControl/>
        <w:tabs>
          <w:tab w:pos="8856" w:val="right" w:leader="dot"/>
        </w:tabs>
      </w:pPr>
      <w:hyperlink w:anchor="_NAESTMA_TOC_1146" w:history="1">
        <w:r>
          <w:rPr>
            <w:color w:val="466B7A"/>
          </w:rPr>
          <w:t>23-A.22 Chapter 23-B Remedies Following Labor-Enforcement Disruption</w:t>
        </w:r>
      </w:hyperlink>
      <w:r>
        <w:tab/>
      </w:r>
      <w:r>
        <w:rPr>
          <w:rFonts w:ascii="Arial" w:hAnsi="Arial"/>
        </w:rPr>
        <w:t>877</w:t>
      </w:r>
    </w:p>
    <w:p>
      <w:pPr>
        <w:pStyle w:val="TOC2"/>
        <w:widowControl/>
        <w:tabs>
          <w:tab w:pos="8856" w:val="right" w:leader="dot"/>
        </w:tabs>
      </w:pPr>
      <w:hyperlink w:anchor="_NAESTMA_TOC_1147" w:history="1">
        <w:r>
          <w:rPr>
            <w:color w:val="466B7A"/>
          </w:rPr>
          <w:t>Article 23.A: Forced Labour — Interoperable Enforcement</w:t>
        </w:r>
      </w:hyperlink>
      <w:r>
        <w:tab/>
      </w:r>
      <w:r>
        <w:rPr>
          <w:rFonts w:ascii="Arial" w:hAnsi="Arial"/>
        </w:rPr>
        <w:t>877</w:t>
      </w:r>
    </w:p>
    <w:p>
      <w:pPr>
        <w:pStyle w:val="TOC2"/>
        <w:widowControl/>
        <w:tabs>
          <w:tab w:pos="8856" w:val="right" w:leader="dot"/>
        </w:tabs>
      </w:pPr>
      <w:hyperlink w:anchor="_NAESTMA_TOC_1148" w:history="1">
        <w:r>
          <w:rPr>
            <w:color w:val="466B7A"/>
          </w:rPr>
          <w:t>Article 23.B: Labor Enforcement — Procedural Consistency</w:t>
        </w:r>
      </w:hyperlink>
      <w:r>
        <w:tab/>
      </w:r>
      <w:r>
        <w:rPr>
          <w:rFonts w:ascii="Arial" w:hAnsi="Arial"/>
        </w:rPr>
        <w:t>877</w:t>
      </w:r>
    </w:p>
    <w:p>
      <w:pPr>
        <w:pStyle w:val="TOC2"/>
        <w:widowControl/>
        <w:tabs>
          <w:tab w:pos="8856" w:val="right" w:leader="dot"/>
        </w:tabs>
      </w:pPr>
      <w:hyperlink w:anchor="_NAESTMA_TOC_1149" w:history="1">
        <w:r>
          <w:rPr>
            <w:color w:val="466B7A"/>
          </w:rPr>
          <w:t>Article 23.C: Independent Factual Verification of Labor Enforcement Complaints</w:t>
        </w:r>
      </w:hyperlink>
      <w:r>
        <w:tab/>
      </w:r>
      <w:r>
        <w:rPr>
          <w:rFonts w:ascii="Arial" w:hAnsi="Arial"/>
        </w:rPr>
        <w:t>877</w:t>
      </w:r>
    </w:p>
    <w:p>
      <w:pPr>
        <w:pStyle w:val="TOC2"/>
        <w:widowControl/>
        <w:tabs>
          <w:tab w:pos="8856" w:val="right" w:leader="dot"/>
        </w:tabs>
      </w:pPr>
      <w:hyperlink w:anchor="_NAESTMA_TOC_1150" w:history="1">
        <w:r>
          <w:rPr>
            <w:color w:val="466B7A"/>
          </w:rPr>
          <w:t>Article 23.D: Triadic Labour Floor and Equal Dignity in Employment</w:t>
        </w:r>
      </w:hyperlink>
      <w:r>
        <w:tab/>
      </w:r>
      <w:r>
        <w:rPr>
          <w:rFonts w:ascii="Arial" w:hAnsi="Arial"/>
        </w:rPr>
        <w:t>878</w:t>
      </w:r>
    </w:p>
    <w:p>
      <w:pPr>
        <w:pStyle w:val="TOC2"/>
        <w:widowControl/>
        <w:tabs>
          <w:tab w:pos="8856" w:val="right" w:leader="dot"/>
        </w:tabs>
      </w:pPr>
      <w:hyperlink w:anchor="_NAESTMA_TOC_1151" w:history="1">
        <w:r>
          <w:rPr>
            <w:color w:val="466B7A"/>
          </w:rPr>
          <w:t>Article 23.E: Basic Workplace Conditions Standard</w:t>
        </w:r>
      </w:hyperlink>
      <w:r>
        <w:tab/>
      </w:r>
      <w:r>
        <w:rPr>
          <w:rFonts w:ascii="Arial" w:hAnsi="Arial"/>
        </w:rPr>
        <w:t>878</w:t>
      </w:r>
    </w:p>
    <w:p>
      <w:pPr>
        <w:pStyle w:val="TOC2"/>
        <w:widowControl/>
        <w:tabs>
          <w:tab w:pos="8856" w:val="right" w:leader="dot"/>
        </w:tabs>
      </w:pPr>
      <w:hyperlink w:anchor="_NAESTMA_TOC_1152" w:history="1">
        <w:r>
          <w:rPr>
            <w:color w:val="466B7A"/>
          </w:rPr>
          <w:t>Article 23.F: Emergency Readiness and First-Aid Capability</w:t>
        </w:r>
      </w:hyperlink>
      <w:r>
        <w:tab/>
      </w:r>
      <w:r>
        <w:rPr>
          <w:rFonts w:ascii="Arial" w:hAnsi="Arial"/>
        </w:rPr>
        <w:t>878</w:t>
      </w:r>
    </w:p>
    <w:p>
      <w:pPr>
        <w:pStyle w:val="TOC2"/>
        <w:widowControl/>
        <w:tabs>
          <w:tab w:pos="8856" w:val="right" w:leader="dot"/>
        </w:tabs>
      </w:pPr>
      <w:hyperlink w:anchor="_NAESTMA_TOC_1153" w:history="1">
        <w:r>
          <w:rPr>
            <w:color w:val="466B7A"/>
          </w:rPr>
          <w:t>Article 23.G: Occupational Environmental Quality</w:t>
        </w:r>
      </w:hyperlink>
      <w:r>
        <w:tab/>
      </w:r>
      <w:r>
        <w:rPr>
          <w:rFonts w:ascii="Arial" w:hAnsi="Arial"/>
        </w:rPr>
        <w:t>879</w:t>
      </w:r>
    </w:p>
    <w:p>
      <w:pPr>
        <w:pStyle w:val="TOC2"/>
        <w:widowControl/>
        <w:tabs>
          <w:tab w:pos="8856" w:val="right" w:leader="dot"/>
        </w:tabs>
      </w:pPr>
      <w:hyperlink w:anchor="_NAESTMA_TOC_1154" w:history="1">
        <w:r>
          <w:rPr>
            <w:color w:val="466B7A"/>
          </w:rPr>
          <w:t>Article 23.H: Personal Protective Equipment and Fit</w:t>
        </w:r>
      </w:hyperlink>
      <w:r>
        <w:tab/>
      </w:r>
      <w:r>
        <w:rPr>
          <w:rFonts w:ascii="Arial" w:hAnsi="Arial"/>
        </w:rPr>
        <w:t>879</w:t>
      </w:r>
    </w:p>
    <w:p>
      <w:pPr>
        <w:pStyle w:val="TOC2"/>
        <w:widowControl/>
        <w:tabs>
          <w:tab w:pos="8856" w:val="right" w:leader="dot"/>
        </w:tabs>
      </w:pPr>
      <w:hyperlink w:anchor="_NAESTMA_TOC_1155" w:history="1">
        <w:r>
          <w:rPr>
            <w:color w:val="466B7A"/>
          </w:rPr>
          <w:t>Article 23.I: Rest, Seating, Lactation, and Reasonable Accommodation</w:t>
        </w:r>
      </w:hyperlink>
      <w:r>
        <w:tab/>
      </w:r>
      <w:r>
        <w:rPr>
          <w:rFonts w:ascii="Arial" w:hAnsi="Arial"/>
        </w:rPr>
        <w:t>879</w:t>
      </w:r>
    </w:p>
    <w:p>
      <w:pPr>
        <w:pStyle w:val="TOC2"/>
        <w:widowControl/>
        <w:tabs>
          <w:tab w:pos="8856" w:val="right" w:leader="dot"/>
        </w:tabs>
      </w:pPr>
      <w:hyperlink w:anchor="_NAESTMA_TOC_1156" w:history="1">
        <w:r>
          <w:rPr>
            <w:color w:val="466B7A"/>
          </w:rPr>
          <w:t>Article 23.J: Health, Illness, and Family Continuity</w:t>
        </w:r>
      </w:hyperlink>
      <w:r>
        <w:tab/>
      </w:r>
      <w:r>
        <w:rPr>
          <w:rFonts w:ascii="Arial" w:hAnsi="Arial"/>
        </w:rPr>
        <w:t>879</w:t>
      </w:r>
    </w:p>
    <w:p>
      <w:pPr>
        <w:pStyle w:val="TOC2"/>
        <w:widowControl/>
        <w:tabs>
          <w:tab w:pos="8856" w:val="right" w:leader="dot"/>
        </w:tabs>
      </w:pPr>
      <w:hyperlink w:anchor="_NAESTMA_TOC_1157" w:history="1">
        <w:r>
          <w:rPr>
            <w:color w:val="466B7A"/>
          </w:rPr>
          <w:t>Article 23.K: Universal Anti-Discrimination and Equality Standard</w:t>
        </w:r>
      </w:hyperlink>
      <w:r>
        <w:tab/>
      </w:r>
      <w:r>
        <w:rPr>
          <w:rFonts w:ascii="Arial" w:hAnsi="Arial"/>
        </w:rPr>
        <w:t>879</w:t>
      </w:r>
    </w:p>
    <w:p>
      <w:pPr>
        <w:pStyle w:val="TOC2"/>
        <w:widowControl/>
        <w:tabs>
          <w:tab w:pos="8856" w:val="right" w:leader="dot"/>
        </w:tabs>
      </w:pPr>
      <w:hyperlink w:anchor="_NAESTMA_TOC_1158" w:history="1">
        <w:r>
          <w:rPr>
            <w:color w:val="466B7A"/>
          </w:rPr>
          <w:t>Article 23.L: Proportionate Employer Equality Duties</w:t>
        </w:r>
      </w:hyperlink>
      <w:r>
        <w:tab/>
      </w:r>
      <w:r>
        <w:rPr>
          <w:rFonts w:ascii="Arial" w:hAnsi="Arial"/>
        </w:rPr>
        <w:t>880</w:t>
      </w:r>
    </w:p>
    <w:p>
      <w:pPr>
        <w:pStyle w:val="TOC2"/>
        <w:widowControl/>
        <w:tabs>
          <w:tab w:pos="8856" w:val="right" w:leader="dot"/>
        </w:tabs>
      </w:pPr>
      <w:hyperlink w:anchor="_NAESTMA_TOC_1159" w:history="1">
        <w:r>
          <w:rPr>
            <w:color w:val="466B7A"/>
          </w:rPr>
          <w:t>Article 23.M: Migrant, Temporary, Agency, and Contract Worker Parity</w:t>
        </w:r>
      </w:hyperlink>
      <w:r>
        <w:tab/>
      </w:r>
      <w:r>
        <w:rPr>
          <w:rFonts w:ascii="Arial" w:hAnsi="Arial"/>
        </w:rPr>
        <w:t>880</w:t>
      </w:r>
    </w:p>
    <w:p>
      <w:pPr>
        <w:pStyle w:val="TOC2"/>
        <w:widowControl/>
        <w:tabs>
          <w:tab w:pos="8856" w:val="right" w:leader="dot"/>
        </w:tabs>
      </w:pPr>
      <w:hyperlink w:anchor="_NAESTMA_TOC_1160" w:history="1">
        <w:r>
          <w:rPr>
            <w:color w:val="466B7A"/>
          </w:rPr>
          <w:t>Article 23.N: Automated Employment Decision Safeguards</w:t>
        </w:r>
      </w:hyperlink>
      <w:r>
        <w:tab/>
      </w:r>
      <w:r>
        <w:rPr>
          <w:rFonts w:ascii="Arial" w:hAnsi="Arial"/>
        </w:rPr>
        <w:t>880</w:t>
      </w:r>
    </w:p>
    <w:p>
      <w:pPr>
        <w:pStyle w:val="TOC2"/>
        <w:widowControl/>
        <w:tabs>
          <w:tab w:pos="8856" w:val="right" w:leader="dot"/>
        </w:tabs>
      </w:pPr>
      <w:hyperlink w:anchor="_NAESTMA_TOC_1161" w:history="1">
        <w:r>
          <w:rPr>
            <w:color w:val="466B7A"/>
          </w:rPr>
          <w:t>Article 23.O: Protected Exercise Firewall</w:t>
        </w:r>
      </w:hyperlink>
      <w:r>
        <w:tab/>
      </w:r>
      <w:r>
        <w:rPr>
          <w:rFonts w:ascii="Arial" w:hAnsi="Arial"/>
        </w:rPr>
        <w:t>880</w:t>
      </w:r>
    </w:p>
    <w:p>
      <w:pPr>
        <w:pStyle w:val="TOC2"/>
        <w:widowControl/>
        <w:tabs>
          <w:tab w:pos="8856" w:val="right" w:leader="dot"/>
        </w:tabs>
      </w:pPr>
      <w:hyperlink w:anchor="_NAESTMA_TOC_1162" w:history="1">
        <w:r>
          <w:rPr>
            <w:color w:val="466B7A"/>
          </w:rPr>
          <w:t>Article 23.P: Labour Enforcement Escalation and Institutional Restraint</w:t>
        </w:r>
      </w:hyperlink>
      <w:r>
        <w:tab/>
      </w:r>
      <w:r>
        <w:rPr>
          <w:rFonts w:ascii="Arial" w:hAnsi="Arial"/>
        </w:rPr>
        <w:t>881</w:t>
      </w:r>
    </w:p>
    <w:p>
      <w:pPr>
        <w:pStyle w:val="TOC2"/>
        <w:widowControl/>
        <w:tabs>
          <w:tab w:pos="8856" w:val="right" w:leader="dot"/>
        </w:tabs>
      </w:pPr>
      <w:hyperlink w:anchor="_NAESTMA_TOC_1163" w:history="1">
        <w:r>
          <w:rPr>
            <w:color w:val="466B7A"/>
          </w:rPr>
          <w:t>Article 23.Q: Worker-Rights Non-Bargaining Firewall</w:t>
        </w:r>
      </w:hyperlink>
      <w:r>
        <w:tab/>
      </w:r>
      <w:r>
        <w:rPr>
          <w:rFonts w:ascii="Arial" w:hAnsi="Arial"/>
        </w:rPr>
        <w:t>881</w:t>
      </w:r>
    </w:p>
    <w:p>
      <w:pPr>
        <w:pStyle w:val="TOC2"/>
        <w:widowControl/>
        <w:tabs>
          <w:tab w:pos="8856" w:val="right" w:leader="dot"/>
        </w:tabs>
      </w:pPr>
      <w:hyperlink w:anchor="_NAESTMA_TOC_1164" w:history="1">
        <w:r>
          <w:rPr>
            <w:color w:val="466B7A"/>
          </w:rPr>
          <w:t>Section 23.R: Relationship to Chapter 23-B (Just Transition)</w:t>
        </w:r>
      </w:hyperlink>
      <w:r>
        <w:tab/>
      </w:r>
      <w:r>
        <w:rPr>
          <w:rFonts w:ascii="Arial" w:hAnsi="Arial"/>
        </w:rPr>
        <w:t>881</w:t>
      </w:r>
    </w:p>
    <w:p>
      <w:pPr>
        <w:pStyle w:val="TOC1"/>
        <w:widowControl/>
        <w:tabs>
          <w:tab w:pos="8856" w:val="right" w:leader="dot"/>
        </w:tabs>
      </w:pPr>
      <w:hyperlink w:anchor="_NAESTMA_TOC_1165" w:history="1">
        <w:r>
          <w:rPr>
            <w:color w:val="233746"/>
          </w:rPr>
          <w:t>CHAPTER 23-B NORTH AMERICAN JUST TRANSITION AND WORKER SECURITY FRAMEWORK</w:t>
        </w:r>
      </w:hyperlink>
      <w:r>
        <w:tab/>
      </w:r>
      <w:r>
        <w:rPr>
          <w:rFonts w:ascii="Arial" w:hAnsi="Arial"/>
        </w:rPr>
        <w:t>882</w:t>
      </w:r>
    </w:p>
    <w:p>
      <w:pPr>
        <w:pStyle w:val="TOC2"/>
        <w:widowControl/>
        <w:tabs>
          <w:tab w:pos="8856" w:val="right" w:leader="dot"/>
        </w:tabs>
      </w:pPr>
      <w:hyperlink w:anchor="_NAESTMA_TOC_1166" w:history="1">
        <w:r>
          <w:rPr>
            <w:color w:val="466B7A"/>
          </w:rPr>
          <w:t>Article 23-B.1: Purpose and Principles</w:t>
        </w:r>
      </w:hyperlink>
      <w:r>
        <w:tab/>
      </w:r>
      <w:r>
        <w:rPr>
          <w:rFonts w:ascii="Arial" w:hAnsi="Arial"/>
        </w:rPr>
        <w:t>882</w:t>
      </w:r>
    </w:p>
    <w:p>
      <w:pPr>
        <w:pStyle w:val="TOC2"/>
        <w:widowControl/>
        <w:tabs>
          <w:tab w:pos="8856" w:val="right" w:leader="dot"/>
        </w:tabs>
      </w:pPr>
      <w:hyperlink w:anchor="_NAESTMA_TOC_1167" w:history="1">
        <w:r>
          <w:rPr>
            <w:color w:val="466B7A"/>
          </w:rPr>
          <w:t>Article 23-B.2: Definitions</w:t>
        </w:r>
      </w:hyperlink>
      <w:r>
        <w:tab/>
      </w:r>
      <w:r>
        <w:rPr>
          <w:rFonts w:ascii="Arial" w:hAnsi="Arial"/>
        </w:rPr>
        <w:t>883</w:t>
      </w:r>
    </w:p>
    <w:p>
      <w:pPr>
        <w:pStyle w:val="TOC2"/>
        <w:widowControl/>
        <w:tabs>
          <w:tab w:pos="8856" w:val="right" w:leader="dot"/>
        </w:tabs>
      </w:pPr>
      <w:hyperlink w:anchor="_NAESTMA_TOC_1168" w:history="1">
        <w:r>
          <w:rPr>
            <w:color w:val="466B7A"/>
          </w:rPr>
          <w:t>Article 23-B.3: Mandatory Worker Income Security and Transition Support</w:t>
        </w:r>
      </w:hyperlink>
      <w:r>
        <w:tab/>
      </w:r>
      <w:r>
        <w:rPr>
          <w:rFonts w:ascii="Arial" w:hAnsi="Arial"/>
        </w:rPr>
        <w:t>884</w:t>
      </w:r>
    </w:p>
    <w:p>
      <w:pPr>
        <w:pStyle w:val="TOC2"/>
        <w:widowControl/>
        <w:tabs>
          <w:tab w:pos="8856" w:val="right" w:leader="dot"/>
        </w:tabs>
      </w:pPr>
      <w:hyperlink w:anchor="_NAESTMA_TOC_1169" w:history="1">
        <w:r>
          <w:rPr>
            <w:color w:val="466B7A"/>
          </w:rPr>
          <w:t>Article 23-B.4: Mandatory Skills Development, Reskilling, and Lifelong Learning</w:t>
        </w:r>
      </w:hyperlink>
      <w:r>
        <w:tab/>
      </w:r>
      <w:r>
        <w:rPr>
          <w:rFonts w:ascii="Arial" w:hAnsi="Arial"/>
        </w:rPr>
        <w:t>886</w:t>
      </w:r>
    </w:p>
    <w:p>
      <w:pPr>
        <w:pStyle w:val="TOC2"/>
        <w:widowControl/>
        <w:tabs>
          <w:tab w:pos="8856" w:val="right" w:leader="dot"/>
        </w:tabs>
      </w:pPr>
      <w:hyperlink w:anchor="_NAESTMA_TOC_1170" w:history="1">
        <w:r>
          <w:rPr>
            <w:color w:val="466B7A"/>
          </w:rPr>
          <w:t>Article 23-B.5: Mandatory Portable Benefits and Cross-Border Social Protection</w:t>
        </w:r>
      </w:hyperlink>
      <w:r>
        <w:tab/>
      </w:r>
      <w:r>
        <w:rPr>
          <w:rFonts w:ascii="Arial" w:hAnsi="Arial"/>
        </w:rPr>
        <w:t>889</w:t>
      </w:r>
    </w:p>
    <w:p>
      <w:pPr>
        <w:pStyle w:val="TOC2"/>
        <w:widowControl/>
        <w:tabs>
          <w:tab w:pos="8856" w:val="right" w:leader="dot"/>
        </w:tabs>
      </w:pPr>
      <w:hyperlink w:anchor="_NAESTMA_TOC_1171" w:history="1">
        <w:r>
          <w:rPr>
            <w:color w:val="466B7A"/>
          </w:rPr>
          <w:t>Article 23-B.6: Mandatory Community Resilience and Economic Diversification</w:t>
        </w:r>
      </w:hyperlink>
      <w:r>
        <w:tab/>
      </w:r>
      <w:r>
        <w:rPr>
          <w:rFonts w:ascii="Arial" w:hAnsi="Arial"/>
        </w:rPr>
        <w:t>892</w:t>
      </w:r>
    </w:p>
    <w:p>
      <w:pPr>
        <w:pStyle w:val="TOC2"/>
        <w:widowControl/>
        <w:tabs>
          <w:tab w:pos="8856" w:val="right" w:leader="dot"/>
        </w:tabs>
      </w:pPr>
      <w:hyperlink w:anchor="_NAESTMA_TOC_1172" w:history="1">
        <w:r>
          <w:rPr>
            <w:color w:val="466B7A"/>
          </w:rPr>
          <w:t>Article 23-B.7: North American Just Transition Fund (With Binding Financial Commitments)</w:t>
        </w:r>
      </w:hyperlink>
      <w:r>
        <w:tab/>
      </w:r>
      <w:r>
        <w:rPr>
          <w:rFonts w:ascii="Arial" w:hAnsi="Arial"/>
        </w:rPr>
        <w:t>894</w:t>
      </w:r>
    </w:p>
    <w:p>
      <w:pPr>
        <w:pStyle w:val="TOC2"/>
        <w:widowControl/>
        <w:tabs>
          <w:tab w:pos="8856" w:val="right" w:leader="dot"/>
        </w:tabs>
      </w:pPr>
      <w:hyperlink w:anchor="_NAESTMA_TOC_1173" w:history="1">
        <w:r>
          <w:rPr>
            <w:color w:val="466B7A"/>
          </w:rPr>
          <w:t>Article 23-B.8: Mandatory Identification of Transition Sectors (Binding Process)</w:t>
        </w:r>
      </w:hyperlink>
      <w:r>
        <w:tab/>
      </w:r>
      <w:r>
        <w:rPr>
          <w:rFonts w:ascii="Arial" w:hAnsi="Arial"/>
        </w:rPr>
        <w:t>897</w:t>
      </w:r>
    </w:p>
    <w:p>
      <w:pPr>
        <w:pStyle w:val="TOC2"/>
        <w:widowControl/>
        <w:tabs>
          <w:tab w:pos="8856" w:val="right" w:leader="dot"/>
        </w:tabs>
      </w:pPr>
      <w:hyperlink w:anchor="_NAESTMA_TOC_1174" w:history="1">
        <w:r>
          <w:rPr>
            <w:color w:val="466B7A"/>
          </w:rPr>
          <w:t>Article 23-B.9: Mandatory Monitoring and Reporting (Strengthened and Detailed)</w:t>
        </w:r>
      </w:hyperlink>
      <w:r>
        <w:tab/>
      </w:r>
      <w:r>
        <w:rPr>
          <w:rFonts w:ascii="Arial" w:hAnsi="Arial"/>
        </w:rPr>
        <w:t>899</w:t>
      </w:r>
    </w:p>
    <w:p>
      <w:pPr>
        <w:pStyle w:val="TOC2"/>
        <w:widowControl/>
        <w:tabs>
          <w:tab w:pos="8856" w:val="right" w:leader="dot"/>
        </w:tabs>
      </w:pPr>
      <w:hyperlink w:anchor="_NAESTMA_TOC_1175" w:history="1">
        <w:r>
          <w:rPr>
            <w:color w:val="466B7A"/>
          </w:rPr>
          <w:t>Article 23-B.10: Relationship to Other Chapters and Primacy Provision</w:t>
        </w:r>
      </w:hyperlink>
      <w:r>
        <w:tab/>
      </w:r>
      <w:r>
        <w:rPr>
          <w:rFonts w:ascii="Arial" w:hAnsi="Arial"/>
        </w:rPr>
        <w:t>901</w:t>
      </w:r>
    </w:p>
    <w:p>
      <w:pPr>
        <w:pStyle w:val="TOC2"/>
        <w:widowControl/>
        <w:tabs>
          <w:tab w:pos="8856" w:val="right" w:leader="dot"/>
        </w:tabs>
      </w:pPr>
      <w:hyperlink w:anchor="_NAESTMA_TOC_1176" w:history="1">
        <w:r>
          <w:rPr>
            <w:color w:val="466B7A"/>
          </w:rPr>
          <w:t>Article 23-B.11: Dispute Settlement and Enforcement</w:t>
        </w:r>
      </w:hyperlink>
      <w:r>
        <w:tab/>
      </w:r>
      <w:r>
        <w:rPr>
          <w:rFonts w:ascii="Arial" w:hAnsi="Arial"/>
        </w:rPr>
        <w:t>903</w:t>
      </w:r>
    </w:p>
    <w:p>
      <w:pPr>
        <w:pStyle w:val="TOC2"/>
        <w:widowControl/>
        <w:tabs>
          <w:tab w:pos="8856" w:val="right" w:leader="dot"/>
        </w:tabs>
      </w:pPr>
      <w:hyperlink w:anchor="_NAESTMA_TOC_1177" w:history="1">
        <w:r>
          <w:rPr>
            <w:color w:val="466B7A"/>
          </w:rPr>
          <w:t>Article 23-B.12: Entry into Force and Implementation Deadlines</w:t>
        </w:r>
      </w:hyperlink>
      <w:r>
        <w:tab/>
      </w:r>
      <w:r>
        <w:rPr>
          <w:rFonts w:ascii="Arial" w:hAnsi="Arial"/>
        </w:rPr>
        <w:t>905</w:t>
      </w:r>
    </w:p>
    <w:p>
      <w:pPr>
        <w:pStyle w:val="TOC2"/>
        <w:widowControl/>
        <w:tabs>
          <w:tab w:pos="8856" w:val="right" w:leader="dot"/>
        </w:tabs>
      </w:pPr>
      <w:hyperlink w:anchor="_NAESTMA_TOC_1178" w:history="1">
        <w:r>
          <w:rPr>
            <w:color w:val="466B7A"/>
          </w:rPr>
          <w:t>Article 23-B.13: Definitions of Terms in Chapter 23-B Context</w:t>
        </w:r>
      </w:hyperlink>
      <w:r>
        <w:tab/>
      </w:r>
      <w:r>
        <w:rPr>
          <w:rFonts w:ascii="Arial" w:hAnsi="Arial"/>
        </w:rPr>
        <w:t>906</w:t>
      </w:r>
    </w:p>
    <w:p>
      <w:pPr>
        <w:pStyle w:val="TOC1"/>
        <w:widowControl/>
        <w:tabs>
          <w:tab w:pos="8856" w:val="right" w:leader="dot"/>
        </w:tabs>
      </w:pPr>
      <w:hyperlink w:anchor="_NAESTMA_TOC_1179" w:history="1">
        <w:r>
          <w:rPr>
            <w:color w:val="233746"/>
          </w:rPr>
          <w:t>CHAPTER 24 ENVIRONMENT</w:t>
        </w:r>
      </w:hyperlink>
      <w:r>
        <w:tab/>
      </w:r>
      <w:r>
        <w:rPr>
          <w:rFonts w:ascii="Arial" w:hAnsi="Arial"/>
        </w:rPr>
        <w:t>908</w:t>
      </w:r>
    </w:p>
    <w:p>
      <w:pPr>
        <w:pStyle w:val="TOC2"/>
        <w:widowControl/>
        <w:tabs>
          <w:tab w:pos="8856" w:val="right" w:leader="dot"/>
        </w:tabs>
      </w:pPr>
      <w:hyperlink w:anchor="_NAESTMA_TOC_1180" w:history="1">
        <w:r>
          <w:rPr>
            <w:color w:val="466B7A"/>
          </w:rPr>
          <w:t>Article 24.A: Environmental Traceability and Circular Production</w:t>
        </w:r>
      </w:hyperlink>
      <w:r>
        <w:tab/>
      </w:r>
      <w:r>
        <w:rPr>
          <w:rFonts w:ascii="Arial" w:hAnsi="Arial"/>
        </w:rPr>
        <w:t>924</w:t>
      </w:r>
    </w:p>
    <w:p>
      <w:pPr>
        <w:pStyle w:val="TOC2"/>
        <w:widowControl/>
        <w:tabs>
          <w:tab w:pos="8856" w:val="right" w:leader="dot"/>
        </w:tabs>
      </w:pPr>
      <w:hyperlink w:anchor="_NAESTMA_TOC_1181" w:history="1">
        <w:r>
          <w:rPr>
            <w:color w:val="466B7A"/>
          </w:rPr>
          <w:t>Article 24.B: Wildfire and Transboundary Environmental Events</w:t>
        </w:r>
      </w:hyperlink>
      <w:r>
        <w:tab/>
      </w:r>
      <w:r>
        <w:rPr>
          <w:rFonts w:ascii="Arial" w:hAnsi="Arial"/>
        </w:rPr>
        <w:t>924</w:t>
      </w:r>
    </w:p>
    <w:p>
      <w:pPr>
        <w:pStyle w:val="TOC2"/>
        <w:widowControl/>
        <w:tabs>
          <w:tab w:pos="8856" w:val="right" w:leader="dot"/>
        </w:tabs>
      </w:pPr>
      <w:hyperlink w:anchor="_NAESTMA_TOC_1182" w:history="1">
        <w:r>
          <w:rPr>
            <w:color w:val="466B7A"/>
          </w:rPr>
          <w:t>Article 24.C: Independent Factual Verification of Environmental Enforcement Complaints</w:t>
        </w:r>
      </w:hyperlink>
      <w:r>
        <w:tab/>
      </w:r>
      <w:r>
        <w:rPr>
          <w:rFonts w:ascii="Arial" w:hAnsi="Arial"/>
        </w:rPr>
        <w:t>924</w:t>
      </w:r>
    </w:p>
    <w:p>
      <w:pPr>
        <w:pStyle w:val="TOC2"/>
        <w:widowControl/>
        <w:tabs>
          <w:tab w:pos="8856" w:val="right" w:leader="dot"/>
        </w:tabs>
      </w:pPr>
      <w:hyperlink w:anchor="_NAESTMA_TOC_1183" w:history="1">
        <w:r>
          <w:rPr>
            <w:color w:val="466B7A"/>
          </w:rPr>
          <w:t>Article 24.D: North American Wildfire Innovation, Prevention and Smoke-Mitigation…</w:t>
        </w:r>
      </w:hyperlink>
      <w:r>
        <w:tab/>
      </w:r>
      <w:r>
        <w:rPr>
          <w:rFonts w:ascii="Arial" w:hAnsi="Arial"/>
        </w:rPr>
        <w:t>925</w:t>
      </w:r>
    </w:p>
    <w:p>
      <w:pPr>
        <w:pStyle w:val="TOC2"/>
        <w:widowControl/>
        <w:tabs>
          <w:tab w:pos="8856" w:val="right" w:leader="dot"/>
        </w:tabs>
      </w:pPr>
      <w:hyperlink w:anchor="_NAESTMA_TOC_1184" w:history="1">
        <w:r>
          <w:rPr>
            <w:color w:val="466B7A"/>
          </w:rPr>
          <w:t>Article 24.E: Storm-Damaged Forest Fuel Recovery</w:t>
        </w:r>
      </w:hyperlink>
      <w:r>
        <w:tab/>
      </w:r>
      <w:r>
        <w:rPr>
          <w:rFonts w:ascii="Arial" w:hAnsi="Arial"/>
        </w:rPr>
        <w:t>925</w:t>
      </w:r>
    </w:p>
    <w:p>
      <w:pPr>
        <w:pStyle w:val="TOC2"/>
        <w:widowControl/>
        <w:tabs>
          <w:tab w:pos="8856" w:val="right" w:leader="dot"/>
        </w:tabs>
      </w:pPr>
      <w:hyperlink w:anchor="_NAESTMA_TOC_1185" w:history="1">
        <w:r>
          <w:rPr>
            <w:color w:val="466B7A"/>
          </w:rPr>
          <w:t>Article 24.F: Environmental Resilience, Cooperation Before Restriction, and…</w:t>
        </w:r>
      </w:hyperlink>
      <w:r>
        <w:tab/>
      </w:r>
      <w:r>
        <w:rPr>
          <w:rFonts w:ascii="Arial" w:hAnsi="Arial"/>
        </w:rPr>
        <w:t>925</w:t>
      </w:r>
    </w:p>
    <w:p>
      <w:pPr>
        <w:pStyle w:val="TOC2"/>
        <w:widowControl/>
        <w:tabs>
          <w:tab w:pos="8856" w:val="right" w:leader="dot"/>
        </w:tabs>
      </w:pPr>
      <w:hyperlink w:anchor="_NAESTMA_TOC_1186" w:history="1">
        <w:r>
          <w:rPr>
            <w:color w:val="466B7A"/>
          </w:rPr>
          <w:t>Article 24.G: North American Wildfire, Smoke, and Landscape Resilience</w:t>
        </w:r>
      </w:hyperlink>
      <w:r>
        <w:tab/>
      </w:r>
      <w:r>
        <w:rPr>
          <w:rFonts w:ascii="Arial" w:hAnsi="Arial"/>
        </w:rPr>
        <w:t>926</w:t>
      </w:r>
    </w:p>
    <w:p>
      <w:pPr>
        <w:pStyle w:val="TOC2"/>
        <w:widowControl/>
        <w:tabs>
          <w:tab w:pos="8856" w:val="right" w:leader="dot"/>
        </w:tabs>
      </w:pPr>
      <w:hyperlink w:anchor="_NAESTMA_TOC_1187" w:history="1">
        <w:r>
          <w:rPr>
            <w:color w:val="466B7A"/>
          </w:rPr>
          <w:t>Article 24.H: Marine Debris, Ghost Gear, and Circular Fishing Materials</w:t>
        </w:r>
      </w:hyperlink>
      <w:r>
        <w:tab/>
      </w:r>
      <w:r>
        <w:rPr>
          <w:rFonts w:ascii="Arial" w:hAnsi="Arial"/>
        </w:rPr>
        <w:t>926</w:t>
      </w:r>
    </w:p>
    <w:p>
      <w:pPr>
        <w:pStyle w:val="TOC2"/>
        <w:widowControl/>
        <w:tabs>
          <w:tab w:pos="8856" w:val="right" w:leader="dot"/>
        </w:tabs>
      </w:pPr>
      <w:hyperlink w:anchor="_NAESTMA_TOC_1188" w:history="1">
        <w:r>
          <w:rPr>
            <w:color w:val="466B7A"/>
          </w:rPr>
          <w:t>Article 24.I: Marine Mammals, Acoustic Monitoring, and Vessel Interaction</w:t>
        </w:r>
      </w:hyperlink>
      <w:r>
        <w:tab/>
      </w:r>
      <w:r>
        <w:rPr>
          <w:rFonts w:ascii="Arial" w:hAnsi="Arial"/>
        </w:rPr>
        <w:t>926</w:t>
      </w:r>
    </w:p>
    <w:p>
      <w:pPr>
        <w:pStyle w:val="TOC2"/>
        <w:widowControl/>
        <w:tabs>
          <w:tab w:pos="8856" w:val="right" w:leader="dot"/>
        </w:tabs>
      </w:pPr>
      <w:hyperlink w:anchor="_NAESTMA_TOC_1189" w:history="1">
        <w:r>
          <w:rPr>
            <w:color w:val="466B7A"/>
          </w:rPr>
          <w:t>Article 24.J: Coastal Habitat, Blue Carbon, and Nature-Based Resilience</w:t>
        </w:r>
      </w:hyperlink>
      <w:r>
        <w:tab/>
      </w:r>
      <w:r>
        <w:rPr>
          <w:rFonts w:ascii="Arial" w:hAnsi="Arial"/>
        </w:rPr>
        <w:t>927</w:t>
      </w:r>
    </w:p>
    <w:p>
      <w:pPr>
        <w:pStyle w:val="TOC2"/>
        <w:widowControl/>
        <w:tabs>
          <w:tab w:pos="8856" w:val="right" w:leader="dot"/>
        </w:tabs>
      </w:pPr>
      <w:hyperlink w:anchor="_NAESTMA_TOC_1190" w:history="1">
        <w:r>
          <w:rPr>
            <w:color w:val="466B7A"/>
          </w:rPr>
          <w:t>Article 24.K: Blue Bioeconomy and Marine Biomaterials</w:t>
        </w:r>
      </w:hyperlink>
      <w:r>
        <w:tab/>
      </w:r>
      <w:r>
        <w:rPr>
          <w:rFonts w:ascii="Arial" w:hAnsi="Arial"/>
        </w:rPr>
        <w:t>927</w:t>
      </w:r>
    </w:p>
    <w:p>
      <w:pPr>
        <w:pStyle w:val="TOC2"/>
        <w:widowControl/>
        <w:tabs>
          <w:tab w:pos="8856" w:val="right" w:leader="dot"/>
        </w:tabs>
      </w:pPr>
      <w:hyperlink w:anchor="_NAESTMA_TOC_1191" w:history="1">
        <w:r>
          <w:rPr>
            <w:color w:val="466B7A"/>
          </w:rPr>
          <w:t>Article 24.L: Water, Watershed, and Aquatic Resilience</w:t>
        </w:r>
      </w:hyperlink>
      <w:r>
        <w:tab/>
      </w:r>
      <w:r>
        <w:rPr>
          <w:rFonts w:ascii="Arial" w:hAnsi="Arial"/>
        </w:rPr>
        <w:t>927</w:t>
      </w:r>
    </w:p>
    <w:p>
      <w:pPr>
        <w:pStyle w:val="TOC2"/>
        <w:widowControl/>
        <w:tabs>
          <w:tab w:pos="8856" w:val="right" w:leader="dot"/>
        </w:tabs>
      </w:pPr>
      <w:hyperlink w:anchor="_NAESTMA_TOC_1192" w:history="1">
        <w:r>
          <w:rPr>
            <w:color w:val="466B7A"/>
          </w:rPr>
          <w:t>Article 24.M: Brine Resource Recovery and Desalination Innovation</w:t>
        </w:r>
      </w:hyperlink>
      <w:r>
        <w:tab/>
      </w:r>
      <w:r>
        <w:rPr>
          <w:rFonts w:ascii="Arial" w:hAnsi="Arial"/>
        </w:rPr>
        <w:t>928</w:t>
      </w:r>
    </w:p>
    <w:p>
      <w:pPr>
        <w:pStyle w:val="TOC2"/>
        <w:widowControl/>
        <w:tabs>
          <w:tab w:pos="8856" w:val="right" w:leader="dot"/>
        </w:tabs>
      </w:pPr>
      <w:hyperlink w:anchor="_NAESTMA_TOC_1193" w:history="1">
        <w:r>
          <w:rPr>
            <w:color w:val="466B7A"/>
          </w:rPr>
          <w:t>Article 24.N: Waste-to-Resource and Residual Valorization</w:t>
        </w:r>
      </w:hyperlink>
      <w:r>
        <w:tab/>
      </w:r>
      <w:r>
        <w:rPr>
          <w:rFonts w:ascii="Arial" w:hAnsi="Arial"/>
        </w:rPr>
        <w:t>928</w:t>
      </w:r>
    </w:p>
    <w:p>
      <w:pPr>
        <w:pStyle w:val="TOC2"/>
        <w:widowControl/>
        <w:tabs>
          <w:tab w:pos="8856" w:val="right" w:leader="dot"/>
        </w:tabs>
      </w:pPr>
      <w:hyperlink w:anchor="_NAESTMA_TOC_1194" w:history="1">
        <w:r>
          <w:rPr>
            <w:color w:val="466B7A"/>
          </w:rPr>
          <w:t>Article 24.O: Circular Materials and Industrial Symbiosis</w:t>
        </w:r>
      </w:hyperlink>
      <w:r>
        <w:tab/>
      </w:r>
      <w:r>
        <w:rPr>
          <w:rFonts w:ascii="Arial" w:hAnsi="Arial"/>
        </w:rPr>
        <w:t>928</w:t>
      </w:r>
    </w:p>
    <w:p>
      <w:pPr>
        <w:pStyle w:val="TOC2"/>
        <w:widowControl/>
        <w:tabs>
          <w:tab w:pos="8856" w:val="right" w:leader="dot"/>
        </w:tabs>
      </w:pPr>
      <w:hyperlink w:anchor="_NAESTMA_TOC_1195" w:history="1">
        <w:r>
          <w:rPr>
            <w:color w:val="466B7A"/>
          </w:rPr>
          <w:t>Article 24.P: Critical Minerals and Sustainable Mining</w:t>
        </w:r>
      </w:hyperlink>
      <w:r>
        <w:tab/>
      </w:r>
      <w:r>
        <w:rPr>
          <w:rFonts w:ascii="Arial" w:hAnsi="Arial"/>
        </w:rPr>
        <w:t>929</w:t>
      </w:r>
    </w:p>
    <w:p>
      <w:pPr>
        <w:pStyle w:val="TOC2"/>
        <w:widowControl/>
        <w:tabs>
          <w:tab w:pos="8856" w:val="right" w:leader="dot"/>
        </w:tabs>
      </w:pPr>
      <w:hyperlink w:anchor="_NAESTMA_TOC_1196" w:history="1">
        <w:r>
          <w:rPr>
            <w:color w:val="466B7A"/>
          </w:rPr>
          <w:t>Article 24.Q: Clean Energy, Grid, and Industrial Decarbonization Interoperability</w:t>
        </w:r>
      </w:hyperlink>
      <w:r>
        <w:tab/>
      </w:r>
      <w:r>
        <w:rPr>
          <w:rFonts w:ascii="Arial" w:hAnsi="Arial"/>
        </w:rPr>
        <w:t>929</w:t>
      </w:r>
    </w:p>
    <w:p>
      <w:pPr>
        <w:pStyle w:val="TOC2"/>
        <w:widowControl/>
        <w:tabs>
          <w:tab w:pos="8856" w:val="right" w:leader="dot"/>
        </w:tabs>
      </w:pPr>
      <w:hyperlink w:anchor="_NAESTMA_TOC_1197" w:history="1">
        <w:r>
          <w:rPr>
            <w:color w:val="466B7A"/>
          </w:rPr>
          <w:t>Article 24.R: Sustainable Freight, Ports, Aviation, and Trade Infrastructure</w:t>
        </w:r>
      </w:hyperlink>
      <w:r>
        <w:tab/>
      </w:r>
      <w:r>
        <w:rPr>
          <w:rFonts w:ascii="Arial" w:hAnsi="Arial"/>
        </w:rPr>
        <w:t>929</w:t>
      </w:r>
    </w:p>
    <w:p>
      <w:pPr>
        <w:pStyle w:val="TOC2"/>
        <w:widowControl/>
        <w:tabs>
          <w:tab w:pos="8856" w:val="right" w:leader="dot"/>
        </w:tabs>
      </w:pPr>
      <w:hyperlink w:anchor="_NAESTMA_TOC_1198" w:history="1">
        <w:r>
          <w:rPr>
            <w:color w:val="466B7A"/>
          </w:rPr>
          <w:t>Article 24.S: Transboundary Pollution and Environmental Emergency Response</w:t>
        </w:r>
      </w:hyperlink>
      <w:r>
        <w:tab/>
      </w:r>
      <w:r>
        <w:rPr>
          <w:rFonts w:ascii="Arial" w:hAnsi="Arial"/>
        </w:rPr>
        <w:t>929</w:t>
      </w:r>
    </w:p>
    <w:p>
      <w:pPr>
        <w:pStyle w:val="TOC2"/>
        <w:widowControl/>
        <w:tabs>
          <w:tab w:pos="8856" w:val="right" w:leader="dot"/>
        </w:tabs>
      </w:pPr>
      <w:hyperlink w:anchor="_NAESTMA_TOC_1199" w:history="1">
        <w:r>
          <w:rPr>
            <w:color w:val="466B7A"/>
          </w:rPr>
          <w:t>Article 24.T: Environmental Experimental Technology and Iterative Validation</w:t>
        </w:r>
      </w:hyperlink>
      <w:r>
        <w:tab/>
      </w:r>
      <w:r>
        <w:rPr>
          <w:rFonts w:ascii="Arial" w:hAnsi="Arial"/>
        </w:rPr>
        <w:t>930</w:t>
      </w:r>
    </w:p>
    <w:p>
      <w:pPr>
        <w:pStyle w:val="TOC2"/>
        <w:widowControl/>
        <w:tabs>
          <w:tab w:pos="8856" w:val="right" w:leader="dot"/>
        </w:tabs>
      </w:pPr>
      <w:hyperlink w:anchor="_NAESTMA_TOC_1200" w:history="1">
        <w:r>
          <w:rPr>
            <w:color w:val="466B7A"/>
          </w:rPr>
          <w:t>Article 24.U: Environmental Data, Verification, and Anti-Greenwashing</w:t>
        </w:r>
      </w:hyperlink>
      <w:r>
        <w:tab/>
      </w:r>
      <w:r>
        <w:rPr>
          <w:rFonts w:ascii="Arial" w:hAnsi="Arial"/>
        </w:rPr>
        <w:t>930</w:t>
      </w:r>
    </w:p>
    <w:p>
      <w:pPr>
        <w:pStyle w:val="TOC2"/>
        <w:widowControl/>
        <w:tabs>
          <w:tab w:pos="8856" w:val="right" w:leader="dot"/>
        </w:tabs>
      </w:pPr>
      <w:hyperlink w:anchor="_NAESTMA_TOC_1201" w:history="1">
        <w:r>
          <w:rPr>
            <w:color w:val="466B7A"/>
          </w:rPr>
          <w:t>Article 24.V: Implementation Through Existing Institutions</w:t>
        </w:r>
      </w:hyperlink>
      <w:r>
        <w:tab/>
      </w:r>
      <w:r>
        <w:rPr>
          <w:rFonts w:ascii="Arial" w:hAnsi="Arial"/>
        </w:rPr>
        <w:t>931</w:t>
      </w:r>
    </w:p>
    <w:p>
      <w:pPr>
        <w:pStyle w:val="TOC1"/>
        <w:widowControl/>
        <w:tabs>
          <w:tab w:pos="8856" w:val="right" w:leader="dot"/>
        </w:tabs>
      </w:pPr>
      <w:hyperlink w:anchor="_NAESTMA_TOC_1202" w:history="1">
        <w:r>
          <w:rPr>
            <w:color w:val="233746"/>
          </w:rPr>
          <w:t>CHAPTER 25 SMALL AND MEDIUM-SIZED ENTERPRISES</w:t>
        </w:r>
      </w:hyperlink>
      <w:r>
        <w:tab/>
      </w:r>
      <w:r>
        <w:rPr>
          <w:rFonts w:ascii="Arial" w:hAnsi="Arial"/>
        </w:rPr>
        <w:t>932</w:t>
      </w:r>
    </w:p>
    <w:p>
      <w:pPr>
        <w:pStyle w:val="TOC1"/>
        <w:widowControl/>
        <w:tabs>
          <w:tab w:pos="8856" w:val="right" w:leader="dot"/>
        </w:tabs>
      </w:pPr>
      <w:hyperlink w:anchor="_NAESTMA_TOC_1203" w:history="1">
        <w:r>
          <w:rPr>
            <w:color w:val="233746"/>
          </w:rPr>
          <w:t>CHAPTER 26 COMPETITIVENESS</w:t>
        </w:r>
      </w:hyperlink>
      <w:r>
        <w:tab/>
      </w:r>
      <w:r>
        <w:rPr>
          <w:rFonts w:ascii="Arial" w:hAnsi="Arial"/>
        </w:rPr>
        <w:t>935</w:t>
      </w:r>
    </w:p>
    <w:p>
      <w:pPr>
        <w:pStyle w:val="TOC2"/>
        <w:widowControl/>
        <w:tabs>
          <w:tab w:pos="8856" w:val="right" w:leader="dot"/>
        </w:tabs>
      </w:pPr>
      <w:hyperlink w:anchor="_NAESTMA_TOC_1204" w:history="1">
        <w:r>
          <w:rPr>
            <w:color w:val="466B7A"/>
          </w:rPr>
          <w:t>Article 26.A: Expanded Mandate of the Committee on Competitiveness</w:t>
        </w:r>
      </w:hyperlink>
      <w:r>
        <w:tab/>
      </w:r>
      <w:r>
        <w:rPr>
          <w:rFonts w:ascii="Arial" w:hAnsi="Arial"/>
        </w:rPr>
        <w:t>936</w:t>
      </w:r>
    </w:p>
    <w:p>
      <w:pPr>
        <w:pStyle w:val="TOC2"/>
        <w:widowControl/>
        <w:tabs>
          <w:tab w:pos="8856" w:val="right" w:leader="dot"/>
        </w:tabs>
      </w:pPr>
      <w:hyperlink w:anchor="_NAESTMA_TOC_1205" w:history="1">
        <w:r>
          <w:rPr>
            <w:color w:val="466B7A"/>
          </w:rPr>
          <w:t>Article 26.B: Economic Security and Supply Chain Resilience Subcommittee; Stakeholder…</w:t>
        </w:r>
      </w:hyperlink>
      <w:r>
        <w:tab/>
      </w:r>
      <w:r>
        <w:rPr>
          <w:rFonts w:ascii="Arial" w:hAnsi="Arial"/>
        </w:rPr>
        <w:t>936</w:t>
      </w:r>
    </w:p>
    <w:p>
      <w:pPr>
        <w:pStyle w:val="TOC2"/>
        <w:widowControl/>
        <w:tabs>
          <w:tab w:pos="8856" w:val="right" w:leader="dot"/>
        </w:tabs>
      </w:pPr>
      <w:hyperlink w:anchor="_NAESTMA_TOC_1206" w:history="1">
        <w:r>
          <w:rPr>
            <w:color w:val="466B7A"/>
          </w:rPr>
          <w:t>Article 26.C: Infrastructure and Trade-Corridor Coordination</w:t>
        </w:r>
      </w:hyperlink>
      <w:r>
        <w:tab/>
      </w:r>
      <w:r>
        <w:rPr>
          <w:rFonts w:ascii="Arial" w:hAnsi="Arial"/>
        </w:rPr>
        <w:t>936</w:t>
      </w:r>
    </w:p>
    <w:p>
      <w:pPr>
        <w:pStyle w:val="TOC1"/>
        <w:widowControl/>
        <w:tabs>
          <w:tab w:pos="8856" w:val="right" w:leader="dot"/>
        </w:tabs>
      </w:pPr>
      <w:hyperlink w:anchor="_NAESTMA_TOC_1207" w:history="1">
        <w:r>
          <w:rPr>
            <w:color w:val="233746"/>
          </w:rPr>
          <w:t>CHAPTER 27 ANTICORRUPTION</w:t>
        </w:r>
      </w:hyperlink>
      <w:r>
        <w:tab/>
      </w:r>
      <w:r>
        <w:rPr>
          <w:rFonts w:ascii="Arial" w:hAnsi="Arial"/>
        </w:rPr>
        <w:t>937</w:t>
      </w:r>
    </w:p>
    <w:p>
      <w:pPr>
        <w:pStyle w:val="TOC1"/>
        <w:widowControl/>
        <w:tabs>
          <w:tab w:pos="8856" w:val="right" w:leader="dot"/>
        </w:tabs>
      </w:pPr>
      <w:hyperlink w:anchor="_NAESTMA_TOC_1208" w:history="1">
        <w:r>
          <w:rPr>
            <w:color w:val="233746"/>
          </w:rPr>
          <w:t>CHAPTER 27 — CUSMA 2.0 INTEGRITY ENFORCEMENT PROVISIONS</w:t>
        </w:r>
      </w:hyperlink>
      <w:r>
        <w:tab/>
      </w:r>
      <w:r>
        <w:rPr>
          <w:rFonts w:ascii="Arial" w:hAnsi="Arial"/>
        </w:rPr>
        <w:t>942</w:t>
      </w:r>
    </w:p>
    <w:p>
      <w:pPr>
        <w:pStyle w:val="TOC2"/>
        <w:widowControl/>
        <w:tabs>
          <w:tab w:pos="8856" w:val="right" w:leader="dot"/>
        </w:tabs>
      </w:pPr>
      <w:hyperlink w:anchor="_NAESTMA_TOC_1209" w:history="1">
        <w:r>
          <w:rPr>
            <w:color w:val="466B7A"/>
          </w:rPr>
          <w:t>Article 27.A: Systemic Anti-Corruption Enforcement Failure</w:t>
        </w:r>
      </w:hyperlink>
      <w:r>
        <w:tab/>
      </w:r>
      <w:r>
        <w:rPr>
          <w:rFonts w:ascii="Arial" w:hAnsi="Arial"/>
        </w:rPr>
        <w:t>942</w:t>
      </w:r>
    </w:p>
    <w:p>
      <w:pPr>
        <w:pStyle w:val="TOC2"/>
        <w:widowControl/>
        <w:tabs>
          <w:tab w:pos="8856" w:val="right" w:leader="dot"/>
        </w:tabs>
      </w:pPr>
      <w:hyperlink w:anchor="_NAESTMA_TOC_1210" w:history="1">
        <w:r>
          <w:rPr>
            <w:color w:val="466B7A"/>
          </w:rPr>
          <w:t>Article 27.B: Integrity Cure Procedure</w:t>
        </w:r>
      </w:hyperlink>
      <w:r>
        <w:tab/>
      </w:r>
      <w:r>
        <w:rPr>
          <w:rFonts w:ascii="Arial" w:hAnsi="Arial"/>
        </w:rPr>
        <w:t>942</w:t>
      </w:r>
    </w:p>
    <w:p>
      <w:pPr>
        <w:pStyle w:val="TOC1"/>
        <w:widowControl/>
        <w:tabs>
          <w:tab w:pos="8856" w:val="right" w:leader="dot"/>
        </w:tabs>
      </w:pPr>
      <w:hyperlink w:anchor="_NAESTMA_TOC_1211" w:history="1">
        <w:r>
          <w:rPr>
            <w:color w:val="233746"/>
          </w:rPr>
          <w:t>CHAPTER 28 GOOD REGULATORY PRACTICES</w:t>
        </w:r>
      </w:hyperlink>
      <w:r>
        <w:tab/>
      </w:r>
      <w:r>
        <w:rPr>
          <w:rFonts w:ascii="Arial" w:hAnsi="Arial"/>
        </w:rPr>
        <w:t>943</w:t>
      </w:r>
    </w:p>
    <w:p>
      <w:pPr>
        <w:pStyle w:val="TOC1"/>
        <w:widowControl/>
        <w:tabs>
          <w:tab w:pos="8856" w:val="right" w:leader="dot"/>
        </w:tabs>
      </w:pPr>
      <w:hyperlink w:anchor="_NAESTMA_TOC_1212" w:history="1">
        <w:r>
          <w:rPr>
            <w:color w:val="233746"/>
          </w:rPr>
          <w:t>CHAPTER 28 — CUSMA 2.0 STAKE AND FRICTION-REDUCTION PROVISIONS</w:t>
        </w:r>
      </w:hyperlink>
      <w:r>
        <w:tab/>
      </w:r>
      <w:r>
        <w:rPr>
          <w:rFonts w:ascii="Arial" w:hAnsi="Arial"/>
        </w:rPr>
        <w:t>951</w:t>
      </w:r>
    </w:p>
    <w:p>
      <w:pPr>
        <w:pStyle w:val="TOC2"/>
        <w:widowControl/>
        <w:tabs>
          <w:tab w:pos="8856" w:val="right" w:leader="dot"/>
        </w:tabs>
      </w:pPr>
      <w:hyperlink w:anchor="_NAESTMA_TOC_1213" w:history="1">
        <w:r>
          <w:rPr>
            <w:color w:val="466B7A"/>
          </w:rPr>
          <w:t>Article 28.A: Recognition, Equivalence, and Regulatory Autonomy</w:t>
        </w:r>
      </w:hyperlink>
      <w:r>
        <w:tab/>
      </w:r>
      <w:r>
        <w:rPr>
          <w:rFonts w:ascii="Arial" w:hAnsi="Arial"/>
        </w:rPr>
        <w:t>951</w:t>
      </w:r>
    </w:p>
    <w:p>
      <w:pPr>
        <w:pStyle w:val="TOC2"/>
        <w:widowControl/>
        <w:tabs>
          <w:tab w:pos="8856" w:val="right" w:leader="dot"/>
        </w:tabs>
      </w:pPr>
      <w:hyperlink w:anchor="_NAESTMA_TOC_1214" w:history="1">
        <w:r>
          <w:rPr>
            <w:color w:val="466B7A"/>
          </w:rPr>
          <w:t>Article 28.B: Advance Regulatory Transparency and Emergency Exception</w:t>
        </w:r>
      </w:hyperlink>
      <w:r>
        <w:tab/>
      </w:r>
      <w:r>
        <w:rPr>
          <w:rFonts w:ascii="Arial" w:hAnsi="Arial"/>
        </w:rPr>
        <w:t>951</w:t>
      </w:r>
    </w:p>
    <w:p>
      <w:pPr>
        <w:pStyle w:val="TOC2"/>
        <w:widowControl/>
        <w:tabs>
          <w:tab w:pos="8856" w:val="right" w:leader="dot"/>
        </w:tabs>
      </w:pPr>
      <w:hyperlink w:anchor="_NAESTMA_TOC_1215" w:history="1">
        <w:r>
          <w:rPr>
            <w:color w:val="466B7A"/>
          </w:rPr>
          <w:t>Article 28.C: Sector Technical Working Groups and North American Trade Friction Portal</w:t>
        </w:r>
      </w:hyperlink>
      <w:r>
        <w:tab/>
      </w:r>
      <w:r>
        <w:rPr>
          <w:rFonts w:ascii="Arial" w:hAnsi="Arial"/>
        </w:rPr>
        <w:t>951</w:t>
      </w:r>
    </w:p>
    <w:p>
      <w:pPr>
        <w:pStyle w:val="TOC1"/>
        <w:widowControl/>
        <w:tabs>
          <w:tab w:pos="8856" w:val="right" w:leader="dot"/>
        </w:tabs>
      </w:pPr>
      <w:hyperlink w:anchor="_NAESTMA_TOC_1216" w:history="1">
        <w:r>
          <w:rPr>
            <w:color w:val="233746"/>
          </w:rPr>
          <w:t>CHAPTER 29 PUBLICATION AND ADMINISTRATION Section A: Publication and Administration</w:t>
        </w:r>
      </w:hyperlink>
      <w:r>
        <w:tab/>
      </w:r>
      <w:r>
        <w:rPr>
          <w:rFonts w:ascii="Arial" w:hAnsi="Arial"/>
        </w:rPr>
        <w:t>952</w:t>
      </w:r>
    </w:p>
    <w:p>
      <w:pPr>
        <w:pStyle w:val="TOC1"/>
        <w:widowControl/>
        <w:tabs>
          <w:tab w:pos="8856" w:val="right" w:leader="dot"/>
        </w:tabs>
      </w:pPr>
      <w:hyperlink w:anchor="_NAESTMA_TOC_1217" w:history="1">
        <w:r>
          <w:rPr>
            <w:color w:val="233746"/>
          </w:rPr>
          <w:t>CHAPTER 29 — CUSMA 2.0 TRANSPARENCY AND RELIANCE PROVISIONS</w:t>
        </w:r>
      </w:hyperlink>
      <w:r>
        <w:tab/>
      </w:r>
      <w:r>
        <w:rPr>
          <w:rFonts w:ascii="Arial" w:hAnsi="Arial"/>
        </w:rPr>
        <w:t>955</w:t>
      </w:r>
    </w:p>
    <w:p>
      <w:pPr>
        <w:pStyle w:val="TOC2"/>
        <w:widowControl/>
        <w:tabs>
          <w:tab w:pos="8856" w:val="right" w:leader="dot"/>
        </w:tabs>
      </w:pPr>
      <w:hyperlink w:anchor="_NAESTMA_TOC_1218" w:history="1">
        <w:r>
          <w:rPr>
            <w:color w:val="466B7A"/>
          </w:rPr>
          <w:t>Article 29.A: Treaty-Relevant Financial and Institutional Transparency</w:t>
        </w:r>
      </w:hyperlink>
      <w:r>
        <w:tab/>
      </w:r>
      <w:r>
        <w:rPr>
          <w:rFonts w:ascii="Arial" w:hAnsi="Arial"/>
        </w:rPr>
        <w:t>955</w:t>
      </w:r>
    </w:p>
    <w:p>
      <w:pPr>
        <w:pStyle w:val="TOC2"/>
        <w:widowControl/>
        <w:tabs>
          <w:tab w:pos="8856" w:val="right" w:leader="dot"/>
        </w:tabs>
      </w:pPr>
      <w:hyperlink w:anchor="_NAESTMA_TOC_1219" w:history="1">
        <w:r>
          <w:rPr>
            <w:color w:val="466B7A"/>
          </w:rPr>
          <w:t>Article 29.B: Dispute and Trade-Action Transparency</w:t>
        </w:r>
      </w:hyperlink>
      <w:r>
        <w:tab/>
      </w:r>
      <w:r>
        <w:rPr>
          <w:rFonts w:ascii="Arial" w:hAnsi="Arial"/>
        </w:rPr>
        <w:t>955</w:t>
      </w:r>
    </w:p>
    <w:p>
      <w:pPr>
        <w:pStyle w:val="TOC2"/>
        <w:widowControl/>
        <w:tabs>
          <w:tab w:pos="8856" w:val="right" w:leader="dot"/>
        </w:tabs>
      </w:pPr>
      <w:hyperlink w:anchor="_NAESTMA_TOC_1220" w:history="1">
        <w:r>
          <w:rPr>
            <w:color w:val="466B7A"/>
          </w:rPr>
          <w:t>Article 29.C: Reliance on Advance Customs and Administrative Rulings</w:t>
        </w:r>
      </w:hyperlink>
      <w:r>
        <w:tab/>
      </w:r>
      <w:r>
        <w:rPr>
          <w:rFonts w:ascii="Arial" w:hAnsi="Arial"/>
        </w:rPr>
        <w:t>955</w:t>
      </w:r>
    </w:p>
    <w:p>
      <w:pPr>
        <w:pStyle w:val="TOC1"/>
        <w:widowControl/>
        <w:tabs>
          <w:tab w:pos="8856" w:val="right" w:leader="dot"/>
        </w:tabs>
      </w:pPr>
      <w:hyperlink w:anchor="_NAESTMA_TOC_1221" w:history="1">
        <w:r>
          <w:rPr>
            <w:color w:val="233746"/>
          </w:rPr>
          <w:t>CHAPTER 30 ADMINISTRATIVE AND INSTITUTIONAL PROVISIONS</w:t>
        </w:r>
      </w:hyperlink>
      <w:r>
        <w:tab/>
      </w:r>
      <w:r>
        <w:rPr>
          <w:rFonts w:ascii="Arial" w:hAnsi="Arial"/>
        </w:rPr>
        <w:t>956</w:t>
      </w:r>
    </w:p>
    <w:p>
      <w:pPr>
        <w:pStyle w:val="TOC2"/>
        <w:widowControl/>
        <w:tabs>
          <w:tab w:pos="8856" w:val="right" w:leader="dot"/>
        </w:tabs>
      </w:pPr>
      <w:hyperlink w:anchor="_NAESTMA_TOC_1222" w:history="1">
        <w:r>
          <w:rPr>
            <w:color w:val="466B7A"/>
          </w:rPr>
          <w:t>Article 30.A: Institutional Architecture — Consolidated Structure</w:t>
        </w:r>
      </w:hyperlink>
      <w:r>
        <w:tab/>
      </w:r>
      <w:r>
        <w:rPr>
          <w:rFonts w:ascii="Arial" w:hAnsi="Arial"/>
        </w:rPr>
        <w:t>957</w:t>
      </w:r>
    </w:p>
    <w:p>
      <w:pPr>
        <w:pStyle w:val="TOC2"/>
        <w:widowControl/>
        <w:tabs>
          <w:tab w:pos="8856" w:val="right" w:leader="dot"/>
        </w:tabs>
      </w:pPr>
      <w:hyperlink w:anchor="_NAESTMA_TOC_1223" w:history="1">
        <w:r>
          <w:rPr>
            <w:color w:val="466B7A"/>
          </w:rPr>
          <w:t>Article 30.B: Secretariat Functions</w:t>
        </w:r>
      </w:hyperlink>
      <w:r>
        <w:tab/>
      </w:r>
      <w:r>
        <w:rPr>
          <w:rFonts w:ascii="Arial" w:hAnsi="Arial"/>
        </w:rPr>
        <w:t>958</w:t>
      </w:r>
    </w:p>
    <w:p>
      <w:pPr>
        <w:pStyle w:val="TOC2"/>
        <w:widowControl/>
        <w:tabs>
          <w:tab w:pos="8856" w:val="right" w:leader="dot"/>
        </w:tabs>
      </w:pPr>
      <w:hyperlink w:anchor="_NAESTMA_TOC_1224" w:history="1">
        <w:r>
          <w:rPr>
            <w:color w:val="466B7A"/>
          </w:rPr>
          <w:t>Article 30.C: Institutional Deadlines and Anti-Deadlock</w:t>
        </w:r>
      </w:hyperlink>
      <w:r>
        <w:tab/>
      </w:r>
      <w:r>
        <w:rPr>
          <w:rFonts w:ascii="Arial" w:hAnsi="Arial"/>
        </w:rPr>
        <w:t>958</w:t>
      </w:r>
    </w:p>
    <w:p>
      <w:pPr>
        <w:pStyle w:val="TOC2"/>
        <w:widowControl/>
        <w:tabs>
          <w:tab w:pos="8856" w:val="right" w:leader="dot"/>
        </w:tabs>
      </w:pPr>
      <w:hyperlink w:anchor="_NAESTMA_TOC_1225" w:history="1">
        <w:r>
          <w:rPr>
            <w:color w:val="466B7A"/>
          </w:rPr>
          <w:t>Article 30.C.1: No-Unnecessary-Institution Rule</w:t>
        </w:r>
      </w:hyperlink>
      <w:r>
        <w:tab/>
      </w:r>
      <w:r>
        <w:rPr>
          <w:rFonts w:ascii="Arial" w:hAnsi="Arial"/>
        </w:rPr>
        <w:t>958</w:t>
      </w:r>
    </w:p>
    <w:p>
      <w:pPr>
        <w:pStyle w:val="TOC1"/>
        <w:widowControl/>
        <w:tabs>
          <w:tab w:pos="8856" w:val="right" w:leader="dot"/>
        </w:tabs>
      </w:pPr>
      <w:hyperlink w:anchor="_NAESTMA_TOC_1226" w:history="1">
        <w:r>
          <w:rPr>
            <w:color w:val="233746"/>
          </w:rPr>
          <w:t>CHAPTER 31 DISPUTE SETTLEMENT Section A: Dispute Settlement</w:t>
        </w:r>
      </w:hyperlink>
      <w:r>
        <w:tab/>
      </w:r>
      <w:r>
        <w:rPr>
          <w:rFonts w:ascii="Arial" w:hAnsi="Arial"/>
        </w:rPr>
        <w:t>960</w:t>
      </w:r>
    </w:p>
    <w:p>
      <w:pPr>
        <w:pStyle w:val="TOC2"/>
        <w:widowControl/>
        <w:tabs>
          <w:tab w:pos="8856" w:val="right" w:leader="dot"/>
        </w:tabs>
      </w:pPr>
      <w:hyperlink w:anchor="_NAESTMA_TOC_1227" w:history="1">
        <w:r>
          <w:rPr>
            <w:color w:val="466B7A"/>
          </w:rPr>
          <w:t>Article 31.A: Expedited Tariff Panel Procedure</w:t>
        </w:r>
      </w:hyperlink>
      <w:r>
        <w:tab/>
      </w:r>
      <w:r>
        <w:rPr>
          <w:rFonts w:ascii="Arial" w:hAnsi="Arial"/>
        </w:rPr>
        <w:t>966</w:t>
      </w:r>
    </w:p>
    <w:p>
      <w:pPr>
        <w:pStyle w:val="TOC2"/>
        <w:widowControl/>
        <w:tabs>
          <w:tab w:pos="8856" w:val="right" w:leader="dot"/>
        </w:tabs>
      </w:pPr>
      <w:hyperlink w:anchor="_NAESTMA_TOC_1228" w:history="1">
        <w:r>
          <w:rPr>
            <w:color w:val="466B7A"/>
          </w:rPr>
          <w:t>Article 31.B: Consultations — Modernized Clocks</w:t>
        </w:r>
      </w:hyperlink>
      <w:r>
        <w:tab/>
      </w:r>
      <w:r>
        <w:rPr>
          <w:rFonts w:ascii="Arial" w:hAnsi="Arial"/>
        </w:rPr>
        <w:t>967</w:t>
      </w:r>
    </w:p>
    <w:p>
      <w:pPr>
        <w:pStyle w:val="TOC2"/>
        <w:widowControl/>
        <w:tabs>
          <w:tab w:pos="8856" w:val="right" w:leader="dot"/>
        </w:tabs>
      </w:pPr>
      <w:hyperlink w:anchor="_NAESTMA_TOC_1229" w:history="1">
        <w:r>
          <w:rPr>
            <w:color w:val="466B7A"/>
          </w:rPr>
          <w:t>Article 31.C: Standing Rosters, Independence, and Anti-Deadlock</w:t>
        </w:r>
      </w:hyperlink>
      <w:r>
        <w:tab/>
      </w:r>
      <w:r>
        <w:rPr>
          <w:rFonts w:ascii="Arial" w:hAnsi="Arial"/>
        </w:rPr>
        <w:t>967</w:t>
      </w:r>
    </w:p>
    <w:p>
      <w:pPr>
        <w:pStyle w:val="TOC2"/>
        <w:widowControl/>
        <w:tabs>
          <w:tab w:pos="8856" w:val="right" w:leader="dot"/>
        </w:tabs>
      </w:pPr>
      <w:hyperlink w:anchor="_NAESTMA_TOC_1230" w:history="1">
        <w:r>
          <w:rPr>
            <w:color w:val="466B7A"/>
          </w:rPr>
          <w:t>Article 31.D: Implementation, Compliance Review, and the End of Procedural Limbo</w:t>
        </w:r>
      </w:hyperlink>
      <w:r>
        <w:tab/>
      </w:r>
      <w:r>
        <w:rPr>
          <w:rFonts w:ascii="Arial" w:hAnsi="Arial"/>
        </w:rPr>
        <w:t>968</w:t>
      </w:r>
    </w:p>
    <w:p>
      <w:pPr>
        <w:pStyle w:val="TOC2"/>
        <w:widowControl/>
        <w:tabs>
          <w:tab w:pos="8856" w:val="right" w:leader="dot"/>
        </w:tabs>
      </w:pPr>
      <w:hyperlink w:anchor="_NAESTMA_TOC_1231" w:history="1">
        <w:r>
          <w:rPr>
            <w:color w:val="466B7A"/>
          </w:rPr>
          <w:t>Article 31.E: North American Facility-Specific Labour Remedy</w:t>
        </w:r>
      </w:hyperlink>
      <w:r>
        <w:tab/>
      </w:r>
      <w:r>
        <w:rPr>
          <w:rFonts w:ascii="Arial" w:hAnsi="Arial"/>
        </w:rPr>
        <w:t>969</w:t>
      </w:r>
    </w:p>
    <w:p>
      <w:pPr>
        <w:pStyle w:val="TOC2"/>
        <w:widowControl/>
        <w:tabs>
          <w:tab w:pos="8856" w:val="right" w:leader="dot"/>
        </w:tabs>
      </w:pPr>
      <w:hyperlink w:anchor="_NAESTMA_TOC_1232" w:history="1">
        <w:r>
          <w:rPr>
            <w:color w:val="466B7A"/>
          </w:rPr>
          <w:t>Article 31.F: Chapter 23-B Disputes — Expedited Procedures</w:t>
        </w:r>
      </w:hyperlink>
      <w:r>
        <w:tab/>
      </w:r>
      <w:r>
        <w:rPr>
          <w:rFonts w:ascii="Arial" w:hAnsi="Arial"/>
        </w:rPr>
        <w:t>972</w:t>
      </w:r>
    </w:p>
    <w:p>
      <w:pPr>
        <w:pStyle w:val="TOC1"/>
        <w:widowControl/>
        <w:tabs>
          <w:tab w:pos="8856" w:val="right" w:leader="dot"/>
        </w:tabs>
      </w:pPr>
      <w:hyperlink w:anchor="_NAESTMA_TOC_1233" w:history="1">
        <w:r>
          <w:rPr>
            <w:color w:val="233746"/>
          </w:rPr>
          <w:t>CHAPTER 32 — CUSMA 2.0 MODERNIZATION PROVISIONS</w:t>
        </w:r>
      </w:hyperlink>
      <w:r>
        <w:tab/>
      </w:r>
      <w:r>
        <w:rPr>
          <w:rFonts w:ascii="Arial" w:hAnsi="Arial"/>
        </w:rPr>
        <w:t>973</w:t>
      </w:r>
    </w:p>
    <w:p>
      <w:pPr>
        <w:pStyle w:val="TOC2"/>
        <w:widowControl/>
        <w:tabs>
          <w:tab w:pos="8856" w:val="right" w:leader="dot"/>
        </w:tabs>
      </w:pPr>
      <w:hyperlink w:anchor="_NAESTMA_TOC_1234" w:history="1">
        <w:r>
          <w:rPr>
            <w:color w:val="466B7A"/>
          </w:rPr>
          <w:t>Article 32.A: Essential Security (Replacement of Article 32.2)</w:t>
        </w:r>
      </w:hyperlink>
      <w:r>
        <w:tab/>
      </w:r>
      <w:r>
        <w:rPr>
          <w:rFonts w:ascii="Arial" w:hAnsi="Arial"/>
        </w:rPr>
        <w:t>973</w:t>
      </w:r>
    </w:p>
    <w:p>
      <w:pPr>
        <w:pStyle w:val="TOC2"/>
        <w:widowControl/>
        <w:tabs>
          <w:tab w:pos="8856" w:val="right" w:leader="dot"/>
        </w:tabs>
      </w:pPr>
      <w:hyperlink w:anchor="_NAESTMA_TOC_1235" w:history="1">
        <w:r>
          <w:rPr>
            <w:color w:val="466B7A"/>
          </w:rPr>
          <w:t>Article 32.A.1: Functional Equivalence and Domestic-Law Anti-Circumvention</w:t>
        </w:r>
      </w:hyperlink>
      <w:r>
        <w:tab/>
      </w:r>
      <w:r>
        <w:rPr>
          <w:rFonts w:ascii="Arial" w:hAnsi="Arial"/>
        </w:rPr>
        <w:t>974</w:t>
      </w:r>
    </w:p>
    <w:p>
      <w:pPr>
        <w:pStyle w:val="TOC2"/>
        <w:widowControl/>
        <w:tabs>
          <w:tab w:pos="8856" w:val="right" w:leader="dot"/>
        </w:tabs>
      </w:pPr>
      <w:hyperlink w:anchor="_NAESTMA_TOC_1236" w:history="1">
        <w:r>
          <w:rPr>
            <w:color w:val="466B7A"/>
          </w:rPr>
          <w:t>Article 32.A.2: Sovereign Security Judgment and Reviewable Implementation</w:t>
        </w:r>
      </w:hyperlink>
      <w:r>
        <w:tab/>
      </w:r>
      <w:r>
        <w:rPr>
          <w:rFonts w:ascii="Arial" w:hAnsi="Arial"/>
        </w:rPr>
        <w:t>974</w:t>
      </w:r>
    </w:p>
    <w:p>
      <w:pPr>
        <w:pStyle w:val="TOC2"/>
        <w:widowControl/>
        <w:tabs>
          <w:tab w:pos="8856" w:val="right" w:leader="dot"/>
        </w:tabs>
      </w:pPr>
      <w:hyperlink w:anchor="_NAESTMA_TOC_1237" w:history="1">
        <w:r>
          <w:rPr>
            <w:color w:val="466B7A"/>
          </w:rPr>
          <w:t>Article 32.A.3: Trusted North American Supply Presumption</w:t>
        </w:r>
      </w:hyperlink>
      <w:r>
        <w:tab/>
      </w:r>
      <w:r>
        <w:rPr>
          <w:rFonts w:ascii="Arial" w:hAnsi="Arial"/>
        </w:rPr>
        <w:t>974</w:t>
      </w:r>
    </w:p>
    <w:p>
      <w:pPr>
        <w:pStyle w:val="TOC2"/>
        <w:widowControl/>
        <w:tabs>
          <w:tab w:pos="8856" w:val="right" w:leader="dot"/>
        </w:tabs>
      </w:pPr>
      <w:hyperlink w:anchor="_NAESTMA_TOC_1238" w:history="1">
        <w:r>
          <w:rPr>
            <w:color w:val="466B7A"/>
          </w:rPr>
          <w:t>Article 32.A.4: Third-Country Connection and Ownership Discipline</w:t>
        </w:r>
      </w:hyperlink>
      <w:r>
        <w:tab/>
      </w:r>
      <w:r>
        <w:rPr>
          <w:rFonts w:ascii="Arial" w:hAnsi="Arial"/>
        </w:rPr>
        <w:t>975</w:t>
      </w:r>
    </w:p>
    <w:p>
      <w:pPr>
        <w:pStyle w:val="TOC2"/>
        <w:widowControl/>
        <w:tabs>
          <w:tab w:pos="8856" w:val="right" w:leader="dot"/>
        </w:tabs>
      </w:pPr>
      <w:hyperlink w:anchor="_NAESTMA_TOC_1239" w:history="1">
        <w:r>
          <w:rPr>
            <w:color w:val="466B7A"/>
          </w:rPr>
          <w:t>Article 32.A.5: Self-Created Security Vulnerability</w:t>
        </w:r>
      </w:hyperlink>
      <w:r>
        <w:tab/>
      </w:r>
      <w:r>
        <w:rPr>
          <w:rFonts w:ascii="Arial" w:hAnsi="Arial"/>
        </w:rPr>
        <w:t>975</w:t>
      </w:r>
    </w:p>
    <w:p>
      <w:pPr>
        <w:pStyle w:val="TOC2"/>
        <w:widowControl/>
        <w:tabs>
          <w:tab w:pos="8856" w:val="right" w:leader="dot"/>
        </w:tabs>
      </w:pPr>
      <w:hyperlink w:anchor="_NAESTMA_TOC_1240" w:history="1">
        <w:r>
          <w:rPr>
            <w:color w:val="466B7A"/>
          </w:rPr>
          <w:t>Article 32.A.6: Least-Restrictive Trusted-Partner Security Measure</w:t>
        </w:r>
      </w:hyperlink>
      <w:r>
        <w:tab/>
      </w:r>
      <w:r>
        <w:rPr>
          <w:rFonts w:ascii="Arial" w:hAnsi="Arial"/>
        </w:rPr>
        <w:t>975</w:t>
      </w:r>
    </w:p>
    <w:p>
      <w:pPr>
        <w:pStyle w:val="TOC2"/>
        <w:widowControl/>
        <w:tabs>
          <w:tab w:pos="8856" w:val="right" w:leader="dot"/>
        </w:tabs>
      </w:pPr>
      <w:hyperlink w:anchor="_NAESTMA_TOC_1241" w:history="1">
        <w:r>
          <w:rPr>
            <w:color w:val="466B7A"/>
          </w:rPr>
          <w:t>Article 32.A.7: Security Investigation Integrity and Anti-Harassment</w:t>
        </w:r>
      </w:hyperlink>
      <w:r>
        <w:tab/>
      </w:r>
      <w:r>
        <w:rPr>
          <w:rFonts w:ascii="Arial" w:hAnsi="Arial"/>
        </w:rPr>
        <w:t>975</w:t>
      </w:r>
    </w:p>
    <w:p>
      <w:pPr>
        <w:pStyle w:val="TOC2"/>
        <w:widowControl/>
        <w:tabs>
          <w:tab w:pos="8856" w:val="right" w:leader="dot"/>
        </w:tabs>
      </w:pPr>
      <w:hyperlink w:anchor="_NAESTMA_TOC_1242" w:history="1">
        <w:r>
          <w:rPr>
            <w:color w:val="466B7A"/>
          </w:rPr>
          <w:t>Article 32.A.8: Classified Evidence and Non-Derogable Procedural Core</w:t>
        </w:r>
      </w:hyperlink>
      <w:r>
        <w:tab/>
      </w:r>
      <w:r>
        <w:rPr>
          <w:rFonts w:ascii="Arial" w:hAnsi="Arial"/>
        </w:rPr>
        <w:t>976</w:t>
      </w:r>
    </w:p>
    <w:p>
      <w:pPr>
        <w:pStyle w:val="TOC2"/>
        <w:widowControl/>
        <w:tabs>
          <w:tab w:pos="8856" w:val="right" w:leader="dot"/>
        </w:tabs>
      </w:pPr>
      <w:hyperlink w:anchor="_NAESTMA_TOC_1243" w:history="1">
        <w:r>
          <w:rPr>
            <w:color w:val="466B7A"/>
          </w:rPr>
          <w:t>Article 32.A.9: Security Necessity Review, Sunset, and Restoration</w:t>
        </w:r>
      </w:hyperlink>
      <w:r>
        <w:tab/>
      </w:r>
      <w:r>
        <w:rPr>
          <w:rFonts w:ascii="Arial" w:hAnsi="Arial"/>
        </w:rPr>
        <w:t>976</w:t>
      </w:r>
    </w:p>
    <w:p>
      <w:pPr>
        <w:pStyle w:val="TOC2"/>
        <w:widowControl/>
        <w:tabs>
          <w:tab w:pos="8856" w:val="right" w:leader="dot"/>
        </w:tabs>
      </w:pPr>
      <w:hyperlink w:anchor="_NAESTMA_TOC_1244" w:history="1">
        <w:r>
          <w:rPr>
            <w:color w:val="466B7A"/>
          </w:rPr>
          <w:t>Article 32.B: Economic Emergency and Balance-of-Payments Measures</w:t>
        </w:r>
      </w:hyperlink>
      <w:r>
        <w:tab/>
      </w:r>
      <w:r>
        <w:rPr>
          <w:rFonts w:ascii="Arial" w:hAnsi="Arial"/>
        </w:rPr>
        <w:t>976</w:t>
      </w:r>
    </w:p>
    <w:p>
      <w:pPr>
        <w:pStyle w:val="TOC2"/>
        <w:widowControl/>
        <w:tabs>
          <w:tab w:pos="8856" w:val="right" w:leader="dot"/>
        </w:tabs>
      </w:pPr>
      <w:hyperlink w:anchor="_NAESTMA_TOC_1245" w:history="1">
        <w:r>
          <w:rPr>
            <w:color w:val="466B7A"/>
          </w:rPr>
          <w:t>Article 32.C: General Exceptions — Anti-Abuse Discipline</w:t>
        </w:r>
      </w:hyperlink>
      <w:r>
        <w:tab/>
      </w:r>
      <w:r>
        <w:rPr>
          <w:rFonts w:ascii="Arial" w:hAnsi="Arial"/>
        </w:rPr>
        <w:t>976</w:t>
      </w:r>
    </w:p>
    <w:p>
      <w:pPr>
        <w:pStyle w:val="TOC2"/>
        <w:widowControl/>
        <w:tabs>
          <w:tab w:pos="8856" w:val="right" w:leader="dot"/>
        </w:tabs>
      </w:pPr>
      <w:hyperlink w:anchor="_NAESTMA_TOC_1246" w:history="1">
        <w:r>
          <w:rPr>
            <w:color w:val="466B7A"/>
          </w:rPr>
          <w:t>Article 32.D: Indigenous Peoples Rights</w:t>
        </w:r>
      </w:hyperlink>
      <w:r>
        <w:tab/>
      </w:r>
      <w:r>
        <w:rPr>
          <w:rFonts w:ascii="Arial" w:hAnsi="Arial"/>
        </w:rPr>
        <w:t>977</w:t>
      </w:r>
    </w:p>
    <w:p>
      <w:pPr>
        <w:pStyle w:val="TOC2"/>
        <w:widowControl/>
        <w:tabs>
          <w:tab w:pos="8856" w:val="right" w:leader="dot"/>
        </w:tabs>
      </w:pPr>
      <w:hyperlink w:anchor="_NAESTMA_TOC_1247" w:history="1">
        <w:r>
          <w:rPr>
            <w:color w:val="466B7A"/>
          </w:rPr>
          <w:t>Article 32.E: Disclosure of Information</w:t>
        </w:r>
      </w:hyperlink>
      <w:r>
        <w:tab/>
      </w:r>
      <w:r>
        <w:rPr>
          <w:rFonts w:ascii="Arial" w:hAnsi="Arial"/>
        </w:rPr>
        <w:t>977</w:t>
      </w:r>
    </w:p>
    <w:p>
      <w:pPr>
        <w:pStyle w:val="TOC2"/>
        <w:widowControl/>
        <w:tabs>
          <w:tab w:pos="8856" w:val="right" w:leader="dot"/>
        </w:tabs>
      </w:pPr>
      <w:hyperlink w:anchor="_NAESTMA_TOC_1248" w:history="1">
        <w:r>
          <w:rPr>
            <w:color w:val="466B7A"/>
          </w:rPr>
          <w:t>Article 32.F: Risk-Based and Nationality-Neutral Administration</w:t>
        </w:r>
      </w:hyperlink>
      <w:r>
        <w:tab/>
      </w:r>
      <w:r>
        <w:rPr>
          <w:rFonts w:ascii="Arial" w:hAnsi="Arial"/>
        </w:rPr>
        <w:t>977</w:t>
      </w:r>
    </w:p>
    <w:p>
      <w:pPr>
        <w:pStyle w:val="TOC2"/>
        <w:widowControl/>
        <w:tabs>
          <w:tab w:pos="8856" w:val="right" w:leader="dot"/>
        </w:tabs>
      </w:pPr>
      <w:hyperlink w:anchor="_NAESTMA_TOC_1249" w:history="1">
        <w:r>
          <w:rPr>
            <w:color w:val="466B7A"/>
          </w:rPr>
          <w:t>Article 32.G: External Economic Relations and Treaty Sovereignty</w:t>
        </w:r>
      </w:hyperlink>
      <w:r>
        <w:tab/>
      </w:r>
      <w:r>
        <w:rPr>
          <w:rFonts w:ascii="Arial" w:hAnsi="Arial"/>
        </w:rPr>
        <w:t>977</w:t>
      </w:r>
    </w:p>
    <w:p>
      <w:pPr>
        <w:pStyle w:val="TOC2"/>
        <w:widowControl/>
        <w:tabs>
          <w:tab w:pos="8856" w:val="right" w:leader="dot"/>
        </w:tabs>
      </w:pPr>
      <w:hyperlink w:anchor="_NAESTMA_TOC_1250" w:history="1">
        <w:r>
          <w:rPr>
            <w:color w:val="466B7A"/>
          </w:rPr>
          <w:t>Article 32.H: Exceptions Do Not Apply to Chapter 23-B</w:t>
        </w:r>
      </w:hyperlink>
      <w:r>
        <w:tab/>
      </w:r>
      <w:r>
        <w:rPr>
          <w:rFonts w:ascii="Arial" w:hAnsi="Arial"/>
        </w:rPr>
        <w:t>978</w:t>
      </w:r>
    </w:p>
    <w:p>
      <w:pPr>
        <w:pStyle w:val="TOC1"/>
        <w:widowControl/>
        <w:tabs>
          <w:tab w:pos="8856" w:val="right" w:leader="dot"/>
        </w:tabs>
      </w:pPr>
      <w:hyperlink w:anchor="_NAESTMA_TOC_1251" w:history="1">
        <w:r>
          <w:rPr>
            <w:color w:val="233746"/>
          </w:rPr>
          <w:t>CHAPTER 33 MACROECONOMIC POLICIES AND EXCHANGE RATE MATTERS</w:t>
        </w:r>
      </w:hyperlink>
      <w:r>
        <w:tab/>
      </w:r>
      <w:r>
        <w:rPr>
          <w:rFonts w:ascii="Arial" w:hAnsi="Arial"/>
        </w:rPr>
        <w:t>979</w:t>
      </w:r>
    </w:p>
    <w:p>
      <w:pPr>
        <w:pStyle w:val="TOC1"/>
        <w:widowControl/>
        <w:tabs>
          <w:tab w:pos="8856" w:val="right" w:leader="dot"/>
        </w:tabs>
      </w:pPr>
      <w:hyperlink w:anchor="_NAESTMA_TOC_1252" w:history="1">
        <w:r>
          <w:rPr>
            <w:color w:val="233746"/>
          </w:rPr>
          <w:t>CHAPTER 34 FINAL PROVISIONS</w:t>
        </w:r>
      </w:hyperlink>
      <w:r>
        <w:tab/>
      </w:r>
      <w:r>
        <w:rPr>
          <w:rFonts w:ascii="Arial" w:hAnsi="Arial"/>
        </w:rPr>
        <w:t>982</w:t>
      </w:r>
    </w:p>
    <w:p>
      <w:pPr>
        <w:pStyle w:val="TOC2"/>
        <w:widowControl/>
        <w:tabs>
          <w:tab w:pos="8856" w:val="right" w:leader="dot"/>
        </w:tabs>
      </w:pPr>
      <w:hyperlink w:anchor="_NAESTMA_TOC_1253" w:history="1">
        <w:r>
          <w:rPr>
            <w:color w:val="466B7A"/>
          </w:rPr>
          <w:t>Article 34.2: Annexes, Appendices, and Footnotes</w:t>
        </w:r>
      </w:hyperlink>
      <w:r>
        <w:tab/>
      </w:r>
      <w:r>
        <w:rPr>
          <w:rFonts w:ascii="Arial" w:hAnsi="Arial"/>
        </w:rPr>
        <w:t>982</w:t>
      </w:r>
    </w:p>
    <w:p>
      <w:pPr>
        <w:pStyle w:val="TOC2"/>
        <w:widowControl/>
        <w:tabs>
          <w:tab w:pos="8856" w:val="right" w:leader="dot"/>
        </w:tabs>
      </w:pPr>
      <w:hyperlink w:anchor="_NAESTMA_TOC_1254" w:history="1">
        <w:r>
          <w:rPr>
            <w:color w:val="466B7A"/>
          </w:rPr>
          <w:t>Article 34.A: Amendments and the Structured Technical Amendment Procedure (Supplement…</w:t>
        </w:r>
      </w:hyperlink>
      <w:r>
        <w:tab/>
      </w:r>
      <w:r>
        <w:rPr>
          <w:rFonts w:ascii="Arial" w:hAnsi="Arial"/>
        </w:rPr>
        <w:t>983</w:t>
      </w:r>
    </w:p>
    <w:p>
      <w:pPr>
        <w:pStyle w:val="TOC2"/>
        <w:widowControl/>
        <w:tabs>
          <w:tab w:pos="8856" w:val="right" w:leader="dot"/>
        </w:tabs>
      </w:pPr>
      <w:hyperlink w:anchor="_NAESTMA_TOC_1255" w:history="1">
        <w:r>
          <w:rPr>
            <w:color w:val="466B7A"/>
          </w:rPr>
          <w:t>Article 34.A.1A: Reserved Sovereignty Matters and Late-Stage Amendment Safeguard</w:t>
        </w:r>
      </w:hyperlink>
      <w:r>
        <w:tab/>
      </w:r>
      <w:r>
        <w:rPr>
          <w:rFonts w:ascii="Arial" w:hAnsi="Arial"/>
        </w:rPr>
        <w:t>984</w:t>
      </w:r>
    </w:p>
    <w:p>
      <w:pPr>
        <w:pStyle w:val="TOC2"/>
        <w:widowControl/>
        <w:tabs>
          <w:tab w:pos="8856" w:val="right" w:leader="dot"/>
        </w:tabs>
      </w:pPr>
      <w:hyperlink w:anchor="_NAESTMA_TOC_1256" w:history="1">
        <w:r>
          <w:rPr>
            <w:color w:val="466B7A"/>
          </w:rPr>
          <w:t>Article 34.A.1B: Restrictions on Chapter 23-B Amendments</w:t>
        </w:r>
      </w:hyperlink>
      <w:r>
        <w:tab/>
      </w:r>
      <w:r>
        <w:rPr>
          <w:rFonts w:ascii="Arial" w:hAnsi="Arial"/>
        </w:rPr>
        <w:t>984</w:t>
      </w:r>
    </w:p>
    <w:p>
      <w:pPr>
        <w:pStyle w:val="TOC2"/>
        <w:widowControl/>
        <w:tabs>
          <w:tab w:pos="8856" w:val="right" w:leader="dot"/>
        </w:tabs>
      </w:pPr>
      <w:hyperlink w:anchor="_NAESTMA_TOC_1257" w:history="1">
        <w:r>
          <w:rPr>
            <w:color w:val="466B7A"/>
          </w:rPr>
          <w:t>Article 34.B: Continuous Duration and Periodic Modernization Review (Replacement of…</w:t>
        </w:r>
      </w:hyperlink>
      <w:r>
        <w:tab/>
      </w:r>
      <w:r>
        <w:rPr>
          <w:rFonts w:ascii="Arial" w:hAnsi="Arial"/>
        </w:rPr>
        <w:t>985</w:t>
      </w:r>
    </w:p>
    <w:p>
      <w:pPr>
        <w:pStyle w:val="TOC2"/>
        <w:widowControl/>
        <w:tabs>
          <w:tab w:pos="8856" w:val="right" w:leader="dot"/>
        </w:tabs>
      </w:pPr>
      <w:hyperlink w:anchor="_NAESTMA_TOC_1258" w:history="1">
        <w:r>
          <w:rPr>
            <w:color w:val="466B7A"/>
          </w:rPr>
          <w:t>Article 34.B.1: Primacy of Human Rights and Worker Protection</w:t>
        </w:r>
      </w:hyperlink>
      <w:r>
        <w:tab/>
      </w:r>
      <w:r>
        <w:rPr>
          <w:rFonts w:ascii="Arial" w:hAnsi="Arial"/>
        </w:rPr>
        <w:t>985</w:t>
      </w:r>
    </w:p>
    <w:p>
      <w:pPr>
        <w:pStyle w:val="TOC2"/>
        <w:widowControl/>
        <w:tabs>
          <w:tab w:pos="8856" w:val="right" w:leader="dot"/>
        </w:tabs>
      </w:pPr>
      <w:hyperlink w:anchor="_NAESTMA_TOC_1259" w:history="1">
        <w:r>
          <w:rPr>
            <w:color w:val="466B7A"/>
          </w:rPr>
          <w:t>Article 34.C: Consolidation and Legacy Instruments</w:t>
        </w:r>
      </w:hyperlink>
      <w:r>
        <w:tab/>
      </w:r>
      <w:r>
        <w:rPr>
          <w:rFonts w:ascii="Arial" w:hAnsi="Arial"/>
        </w:rPr>
        <w:t>986</w:t>
      </w:r>
    </w:p>
    <w:p>
      <w:pPr>
        <w:pStyle w:val="TOC2"/>
        <w:widowControl/>
        <w:tabs>
          <w:tab w:pos="8856" w:val="right" w:leader="dot"/>
        </w:tabs>
      </w:pPr>
      <w:hyperlink w:anchor="_NAESTMA_TOC_1260" w:history="1">
        <w:r>
          <w:rPr>
            <w:color w:val="466B7A"/>
          </w:rPr>
          <w:t>Article 34.D: Accession and Future Relations</w:t>
        </w:r>
      </w:hyperlink>
      <w:r>
        <w:tab/>
      </w:r>
      <w:r>
        <w:rPr>
          <w:rFonts w:ascii="Arial" w:hAnsi="Arial"/>
        </w:rPr>
        <w:t>986</w:t>
      </w:r>
    </w:p>
    <w:p>
      <w:pPr>
        <w:pStyle w:val="TOC2"/>
        <w:widowControl/>
        <w:tabs>
          <w:tab w:pos="8856" w:val="right" w:leader="dot"/>
        </w:tabs>
      </w:pPr>
      <w:hyperlink w:anchor="_NAESTMA_TOC_1261" w:history="1">
        <w:r>
          <w:rPr>
            <w:color w:val="466B7A"/>
          </w:rPr>
          <w:t>Article 34.E: Entry into Force and Transitional Provisions</w:t>
        </w:r>
      </w:hyperlink>
      <w:r>
        <w:tab/>
      </w:r>
      <w:r>
        <w:rPr>
          <w:rFonts w:ascii="Arial" w:hAnsi="Arial"/>
        </w:rPr>
        <w:t>986</w:t>
      </w:r>
    </w:p>
    <w:p>
      <w:pPr>
        <w:pStyle w:val="TOC2"/>
        <w:widowControl/>
        <w:tabs>
          <w:tab w:pos="8856" w:val="right" w:leader="dot"/>
        </w:tabs>
      </w:pPr>
      <w:hyperlink w:anchor="_NAESTMA_TOC_1262" w:history="1">
        <w:r>
          <w:rPr>
            <w:color w:val="466B7A"/>
          </w:rPr>
          <w:t>ANNEX 34-G: PRESERVED AMENDING PROTOCOL, INTEGRAL INSTRUMENTS, AND IMPLEMENTATION…</w:t>
        </w:r>
      </w:hyperlink>
      <w:r>
        <w:tab/>
      </w:r>
      <w:r>
        <w:rPr>
          <w:rFonts w:ascii="Arial" w:hAnsi="Arial"/>
        </w:rPr>
        <w:t>987</w:t>
      </w:r>
    </w:p>
    <w:p>
      <w:pPr>
        <w:pStyle w:val="TOC1"/>
        <w:widowControl/>
        <w:tabs>
          <w:tab w:pos="8856" w:val="right" w:leader="dot"/>
        </w:tabs>
      </w:pPr>
      <w:hyperlink w:anchor="_NAESTMA_TOC_1263" w:history="1">
        <w:r>
          <w:rPr>
            <w:color w:val="233746"/>
          </w:rPr>
          <w:t>ANNEX 31-A UNITED STATES-MEXICO FACILITY-SPECIFIC RAPID RESPONSE LABOR MECHANISM</w:t>
        </w:r>
      </w:hyperlink>
      <w:r>
        <w:tab/>
      </w:r>
      <w:r>
        <w:rPr>
          <w:rFonts w:ascii="Arial" w:hAnsi="Arial"/>
        </w:rPr>
        <w:t>994</w:t>
      </w:r>
    </w:p>
    <w:p>
      <w:pPr>
        <w:pStyle w:val="TOC2"/>
        <w:widowControl/>
        <w:tabs>
          <w:tab w:pos="8856" w:val="right" w:leader="dot"/>
        </w:tabs>
      </w:pPr>
      <w:hyperlink w:anchor="_NAESTMA_TOC_1264" w:history="1">
        <w:r>
          <w:rPr>
            <w:color w:val="466B7A"/>
          </w:rPr>
          <w:t>TRANSITIONAL STATUS UNDER NAESTMA ARTICLE 31.E</w:t>
        </w:r>
      </w:hyperlink>
      <w:r>
        <w:tab/>
      </w:r>
      <w:r>
        <w:rPr>
          <w:rFonts w:ascii="Arial" w:hAnsi="Arial"/>
        </w:rPr>
        <w:t>999</w:t>
      </w:r>
    </w:p>
    <w:p>
      <w:pPr>
        <w:pStyle w:val="TOC2"/>
        <w:widowControl/>
        <w:tabs>
          <w:tab w:pos="8856" w:val="right" w:leader="dot"/>
        </w:tabs>
      </w:pPr>
      <w:hyperlink w:anchor="_NAESTMA_TOC_1265" w:history="1">
        <w:r>
          <w:rPr>
            <w:color w:val="466B7A"/>
          </w:rPr>
          <w:t>Article 31-A.1: Scope and Purpose</w:t>
        </w:r>
      </w:hyperlink>
      <w:r>
        <w:tab/>
      </w:r>
      <w:r>
        <w:rPr>
          <w:rFonts w:ascii="Arial" w:hAnsi="Arial"/>
        </w:rPr>
        <w:t>994</w:t>
      </w:r>
    </w:p>
    <w:p>
      <w:pPr>
        <w:pStyle w:val="TOC2"/>
        <w:widowControl/>
        <w:tabs>
          <w:tab w:pos="8856" w:val="right" w:leader="dot"/>
        </w:tabs>
      </w:pPr>
      <w:hyperlink w:anchor="_NAESTMA_TOC_1266" w:history="1">
        <w:r>
          <w:rPr>
            <w:color w:val="466B7A"/>
          </w:rPr>
          <w:t>Article 31-A.2: Denial of Rights</w:t>
        </w:r>
      </w:hyperlink>
      <w:r>
        <w:tab/>
      </w:r>
      <w:r>
        <w:rPr>
          <w:rFonts w:ascii="Arial" w:hAnsi="Arial"/>
        </w:rPr>
        <w:t>994</w:t>
      </w:r>
    </w:p>
    <w:p>
      <w:pPr>
        <w:pStyle w:val="TOC2"/>
        <w:widowControl/>
        <w:tabs>
          <w:tab w:pos="8856" w:val="right" w:leader="dot"/>
        </w:tabs>
      </w:pPr>
      <w:hyperlink w:anchor="_NAESTMA_TOC_1267" w:history="1">
        <w:r>
          <w:rPr>
            <w:color w:val="466B7A"/>
          </w:rPr>
          <w:t>Article 31-A.3: Lists of Rapid Response Labor Panelists</w:t>
        </w:r>
      </w:hyperlink>
      <w:r>
        <w:tab/>
      </w:r>
      <w:r>
        <w:rPr>
          <w:rFonts w:ascii="Arial" w:hAnsi="Arial"/>
        </w:rPr>
        <w:t>994</w:t>
      </w:r>
    </w:p>
    <w:p>
      <w:pPr>
        <w:pStyle w:val="TOC2"/>
        <w:widowControl/>
        <w:tabs>
          <w:tab w:pos="8856" w:val="right" w:leader="dot"/>
        </w:tabs>
      </w:pPr>
      <w:hyperlink w:anchor="_NAESTMA_TOC_1268" w:history="1">
        <w:r>
          <w:rPr>
            <w:color w:val="466B7A"/>
          </w:rPr>
          <w:t>Article 31-A.4: Requests for Review and Remediation</w:t>
        </w:r>
      </w:hyperlink>
      <w:r>
        <w:tab/>
      </w:r>
      <w:r>
        <w:rPr>
          <w:rFonts w:ascii="Arial" w:hAnsi="Arial"/>
        </w:rPr>
        <w:t>995</w:t>
      </w:r>
    </w:p>
    <w:p>
      <w:pPr>
        <w:pStyle w:val="TOC2"/>
        <w:widowControl/>
        <w:tabs>
          <w:tab w:pos="8856" w:val="right" w:leader="dot"/>
        </w:tabs>
      </w:pPr>
      <w:hyperlink w:anchor="_NAESTMA_TOC_1269" w:history="1">
        <w:r>
          <w:rPr>
            <w:color w:val="466B7A"/>
          </w:rPr>
          <w:t>Article 31-A.5: Requests for Establishment of Rapid Response Labor Panel</w:t>
        </w:r>
      </w:hyperlink>
      <w:r>
        <w:tab/>
      </w:r>
      <w:r>
        <w:rPr>
          <w:rFonts w:ascii="Arial" w:hAnsi="Arial"/>
        </w:rPr>
        <w:t>995</w:t>
      </w:r>
    </w:p>
    <w:p>
      <w:pPr>
        <w:pStyle w:val="TOC2"/>
        <w:widowControl/>
        <w:tabs>
          <w:tab w:pos="8856" w:val="right" w:leader="dot"/>
        </w:tabs>
      </w:pPr>
      <w:hyperlink w:anchor="_NAESTMA_TOC_1270" w:history="1">
        <w:r>
          <w:rPr>
            <w:color w:val="466B7A"/>
          </w:rPr>
          <w:t>Article 31-A.6: Confirmation of Petition</w:t>
        </w:r>
      </w:hyperlink>
      <w:r>
        <w:tab/>
      </w:r>
      <w:r>
        <w:rPr>
          <w:rFonts w:ascii="Arial" w:hAnsi="Arial"/>
        </w:rPr>
        <w:t>996</w:t>
      </w:r>
    </w:p>
    <w:p>
      <w:pPr>
        <w:pStyle w:val="TOC2"/>
        <w:widowControl/>
        <w:tabs>
          <w:tab w:pos="8856" w:val="right" w:leader="dot"/>
        </w:tabs>
      </w:pPr>
      <w:hyperlink w:anchor="_NAESTMA_TOC_1271" w:history="1">
        <w:r>
          <w:rPr>
            <w:color w:val="466B7A"/>
          </w:rPr>
          <w:t>Article 31-A.7: Verification</w:t>
        </w:r>
      </w:hyperlink>
      <w:r>
        <w:tab/>
      </w:r>
      <w:r>
        <w:rPr>
          <w:rFonts w:ascii="Arial" w:hAnsi="Arial"/>
        </w:rPr>
        <w:t>996</w:t>
      </w:r>
    </w:p>
    <w:p>
      <w:pPr>
        <w:pStyle w:val="TOC2"/>
        <w:widowControl/>
        <w:tabs>
          <w:tab w:pos="8856" w:val="right" w:leader="dot"/>
        </w:tabs>
      </w:pPr>
      <w:hyperlink w:anchor="_NAESTMA_TOC_1272" w:history="1">
        <w:r>
          <w:rPr>
            <w:color w:val="466B7A"/>
          </w:rPr>
          <w:t>Article 31-A.8: Panel Process and Determination</w:t>
        </w:r>
      </w:hyperlink>
      <w:r>
        <w:tab/>
      </w:r>
      <w:r>
        <w:rPr>
          <w:rFonts w:ascii="Arial" w:hAnsi="Arial"/>
        </w:rPr>
        <w:t>997</w:t>
      </w:r>
    </w:p>
    <w:p>
      <w:pPr>
        <w:pStyle w:val="TOC2"/>
        <w:widowControl/>
        <w:tabs>
          <w:tab w:pos="8856" w:val="right" w:leader="dot"/>
        </w:tabs>
      </w:pPr>
      <w:hyperlink w:anchor="_NAESTMA_TOC_1273" w:history="1">
        <w:r>
          <w:rPr>
            <w:color w:val="466B7A"/>
          </w:rPr>
          <w:t>Article 31-A.9: Consultations and Remediation</w:t>
        </w:r>
      </w:hyperlink>
      <w:r>
        <w:tab/>
      </w:r>
      <w:r>
        <w:rPr>
          <w:rFonts w:ascii="Arial" w:hAnsi="Arial"/>
        </w:rPr>
        <w:t>997</w:t>
      </w:r>
    </w:p>
    <w:p>
      <w:pPr>
        <w:pStyle w:val="TOC2"/>
        <w:widowControl/>
        <w:tabs>
          <w:tab w:pos="8856" w:val="right" w:leader="dot"/>
        </w:tabs>
      </w:pPr>
      <w:hyperlink w:anchor="_NAESTMA_TOC_1274" w:history="1">
        <w:r>
          <w:rPr>
            <w:color w:val="466B7A"/>
          </w:rPr>
          <w:t>Article 31-A.10: Remedies</w:t>
        </w:r>
      </w:hyperlink>
      <w:r>
        <w:tab/>
      </w:r>
      <w:r>
        <w:rPr>
          <w:rFonts w:ascii="Arial" w:hAnsi="Arial"/>
        </w:rPr>
        <w:t>997</w:t>
      </w:r>
    </w:p>
    <w:p>
      <w:pPr>
        <w:pStyle w:val="TOC2"/>
        <w:widowControl/>
        <w:tabs>
          <w:tab w:pos="8856" w:val="right" w:leader="dot"/>
        </w:tabs>
      </w:pPr>
      <w:hyperlink w:anchor="_NAESTMA_TOC_1275" w:history="1">
        <w:r>
          <w:rPr>
            <w:color w:val="466B7A"/>
          </w:rPr>
          <w:t>Article 31-A.11: Good Faith Use of the Mechanism</w:t>
        </w:r>
      </w:hyperlink>
      <w:r>
        <w:tab/>
      </w:r>
      <w:r>
        <w:rPr>
          <w:rFonts w:ascii="Arial" w:hAnsi="Arial"/>
        </w:rPr>
        <w:t>997</w:t>
      </w:r>
    </w:p>
    <w:p>
      <w:pPr>
        <w:pStyle w:val="TOC2"/>
        <w:widowControl/>
        <w:tabs>
          <w:tab w:pos="8856" w:val="right" w:leader="dot"/>
        </w:tabs>
      </w:pPr>
      <w:hyperlink w:anchor="_NAESTMA_TOC_1276" w:history="1">
        <w:r>
          <w:rPr>
            <w:color w:val="466B7A"/>
          </w:rPr>
          <w:t>Article 31-A.12: Expansion of Claims</w:t>
        </w:r>
      </w:hyperlink>
      <w:r>
        <w:tab/>
      </w:r>
      <w:r>
        <w:rPr>
          <w:rFonts w:ascii="Arial" w:hAnsi="Arial"/>
        </w:rPr>
        <w:t>998</w:t>
      </w:r>
    </w:p>
    <w:p>
      <w:pPr>
        <w:pStyle w:val="TOC2"/>
        <w:widowControl/>
        <w:tabs>
          <w:tab w:pos="8856" w:val="right" w:leader="dot"/>
        </w:tabs>
      </w:pPr>
      <w:hyperlink w:anchor="_NAESTMA_TOC_1277" w:history="1">
        <w:r>
          <w:rPr>
            <w:color w:val="466B7A"/>
          </w:rPr>
          <w:t>Article 31-A.13: Review of Priority Sectors</w:t>
        </w:r>
      </w:hyperlink>
      <w:r>
        <w:tab/>
      </w:r>
      <w:r>
        <w:rPr>
          <w:rFonts w:ascii="Arial" w:hAnsi="Arial"/>
        </w:rPr>
        <w:t>998</w:t>
      </w:r>
    </w:p>
    <w:p>
      <w:pPr>
        <w:pStyle w:val="TOC2"/>
        <w:widowControl/>
        <w:tabs>
          <w:tab w:pos="8856" w:val="right" w:leader="dot"/>
        </w:tabs>
      </w:pPr>
      <w:hyperlink w:anchor="_NAESTMA_TOC_1278" w:history="1">
        <w:r>
          <w:rPr>
            <w:color w:val="466B7A"/>
          </w:rPr>
          <w:t>Article 31-A.14: Cooperation to Promote Compliance</w:t>
        </w:r>
      </w:hyperlink>
      <w:r>
        <w:tab/>
      </w:r>
      <w:r>
        <w:rPr>
          <w:rFonts w:ascii="Arial" w:hAnsi="Arial"/>
        </w:rPr>
        <w:t>998</w:t>
      </w:r>
    </w:p>
    <w:p>
      <w:pPr>
        <w:pStyle w:val="TOC2"/>
        <w:widowControl/>
        <w:tabs>
          <w:tab w:pos="8856" w:val="right" w:leader="dot"/>
        </w:tabs>
      </w:pPr>
      <w:hyperlink w:anchor="_NAESTMA_TOC_1279" w:history="1">
        <w:r>
          <w:rPr>
            <w:color w:val="466B7A"/>
          </w:rPr>
          <w:t>Article 31-A.15: Definitions</w:t>
        </w:r>
      </w:hyperlink>
      <w:r>
        <w:tab/>
      </w:r>
      <w:r>
        <w:rPr>
          <w:rFonts w:ascii="Arial" w:hAnsi="Arial"/>
        </w:rPr>
        <w:t>998</w:t>
      </w:r>
    </w:p>
    <w:p>
      <w:pPr>
        <w:pStyle w:val="TOC1"/>
        <w:widowControl/>
        <w:tabs>
          <w:tab w:pos="8856" w:val="right" w:leader="dot"/>
        </w:tabs>
      </w:pPr>
      <w:hyperlink w:anchor="_NAESTMA_TOC_1280" w:history="1">
        <w:r>
          <w:rPr>
            <w:color w:val="233746"/>
          </w:rPr>
          <w:t>ANNEX 31-B CANADA-MEXICO FACILITY-SPECIFIC RAPID RESPONSE LABOR MECHANISM</w:t>
        </w:r>
      </w:hyperlink>
      <w:r>
        <w:tab/>
      </w:r>
      <w:r>
        <w:rPr>
          <w:rFonts w:ascii="Arial" w:hAnsi="Arial"/>
        </w:rPr>
        <w:t>999</w:t>
      </w:r>
    </w:p>
    <w:p>
      <w:pPr>
        <w:pStyle w:val="TOC2"/>
        <w:widowControl/>
        <w:tabs>
          <w:tab w:pos="8856" w:val="right" w:leader="dot"/>
        </w:tabs>
      </w:pPr>
      <w:hyperlink w:anchor="_NAESTMA_TOC_1281" w:history="1">
        <w:r>
          <w:rPr>
            <w:color w:val="466B7A"/>
          </w:rPr>
          <w:t>TRANSITIONAL STATUS UNDER NAESTMA ARTICLE 31.E</w:t>
        </w:r>
      </w:hyperlink>
      <w:r>
        <w:tab/>
      </w:r>
      <w:r>
        <w:rPr>
          <w:rFonts w:ascii="Arial" w:hAnsi="Arial"/>
        </w:rPr>
        <w:t>999</w:t>
      </w:r>
    </w:p>
    <w:p>
      <w:pPr>
        <w:pStyle w:val="TOC2"/>
        <w:widowControl/>
        <w:tabs>
          <w:tab w:pos="8856" w:val="right" w:leader="dot"/>
        </w:tabs>
      </w:pPr>
      <w:hyperlink w:anchor="_NAESTMA_TOC_1282" w:history="1">
        <w:r>
          <w:rPr>
            <w:color w:val="466B7A"/>
          </w:rPr>
          <w:t>Article 31-B.1: Scope and Purpose</w:t>
        </w:r>
      </w:hyperlink>
      <w:r>
        <w:tab/>
      </w:r>
      <w:r>
        <w:rPr>
          <w:rFonts w:ascii="Arial" w:hAnsi="Arial"/>
        </w:rPr>
        <w:t>999</w:t>
      </w:r>
    </w:p>
    <w:p>
      <w:pPr>
        <w:pStyle w:val="TOC2"/>
        <w:widowControl/>
        <w:tabs>
          <w:tab w:pos="8856" w:val="right" w:leader="dot"/>
        </w:tabs>
      </w:pPr>
      <w:hyperlink w:anchor="_NAESTMA_TOC_1283" w:history="1">
        <w:r>
          <w:rPr>
            <w:color w:val="466B7A"/>
          </w:rPr>
          <w:t>Article 31-B.2: Denial of Rights</w:t>
        </w:r>
      </w:hyperlink>
      <w:r>
        <w:tab/>
      </w:r>
      <w:r>
        <w:rPr>
          <w:rFonts w:ascii="Arial" w:hAnsi="Arial"/>
        </w:rPr>
        <w:t>999</w:t>
      </w:r>
    </w:p>
    <w:p>
      <w:pPr>
        <w:pStyle w:val="TOC2"/>
        <w:widowControl/>
        <w:tabs>
          <w:tab w:pos="8856" w:val="right" w:leader="dot"/>
        </w:tabs>
      </w:pPr>
      <w:hyperlink w:anchor="_NAESTMA_TOC_1284" w:history="1">
        <w:r>
          <w:rPr>
            <w:color w:val="466B7A"/>
          </w:rPr>
          <w:t>Article 31-B.3: Lists of Rapid Response Labor Panelists</w:t>
        </w:r>
      </w:hyperlink>
      <w:r>
        <w:tab/>
      </w:r>
      <w:r>
        <w:rPr>
          <w:rFonts w:ascii="Arial" w:hAnsi="Arial"/>
        </w:rPr>
        <w:t>999</w:t>
      </w:r>
    </w:p>
    <w:p>
      <w:pPr>
        <w:pStyle w:val="TOC2"/>
        <w:widowControl/>
        <w:tabs>
          <w:tab w:pos="8856" w:val="right" w:leader="dot"/>
        </w:tabs>
      </w:pPr>
      <w:hyperlink w:anchor="_NAESTMA_TOC_1285" w:history="1">
        <w:r>
          <w:rPr>
            <w:color w:val="466B7A"/>
          </w:rPr>
          <w:t>Article 31-B.4: Requests for Review and Remediation</w:t>
        </w:r>
      </w:hyperlink>
      <w:r>
        <w:tab/>
      </w:r>
      <w:r>
        <w:rPr>
          <w:rFonts w:ascii="Arial" w:hAnsi="Arial"/>
        </w:rPr>
        <w:t>1000</w:t>
      </w:r>
    </w:p>
    <w:p>
      <w:pPr>
        <w:pStyle w:val="TOC2"/>
        <w:widowControl/>
        <w:tabs>
          <w:tab w:pos="8856" w:val="right" w:leader="dot"/>
        </w:tabs>
      </w:pPr>
      <w:hyperlink w:anchor="_NAESTMA_TOC_1286" w:history="1">
        <w:r>
          <w:rPr>
            <w:color w:val="466B7A"/>
          </w:rPr>
          <w:t>Article 31-B.5: Requests for Establishment of Rapid Response Labor Panel</w:t>
        </w:r>
      </w:hyperlink>
      <w:r>
        <w:tab/>
      </w:r>
      <w:r>
        <w:rPr>
          <w:rFonts w:ascii="Arial" w:hAnsi="Arial"/>
        </w:rPr>
        <w:t>1001</w:t>
      </w:r>
    </w:p>
    <w:p>
      <w:pPr>
        <w:pStyle w:val="TOC2"/>
        <w:widowControl/>
        <w:tabs>
          <w:tab w:pos="8856" w:val="right" w:leader="dot"/>
        </w:tabs>
      </w:pPr>
      <w:hyperlink w:anchor="_NAESTMA_TOC_1287" w:history="1">
        <w:r>
          <w:rPr>
            <w:color w:val="466B7A"/>
          </w:rPr>
          <w:t>Article 31-B.6: Confirmation of Petition</w:t>
        </w:r>
      </w:hyperlink>
      <w:r>
        <w:tab/>
      </w:r>
      <w:r>
        <w:rPr>
          <w:rFonts w:ascii="Arial" w:hAnsi="Arial"/>
        </w:rPr>
        <w:t>1001</w:t>
      </w:r>
    </w:p>
    <w:p>
      <w:pPr>
        <w:pStyle w:val="TOC2"/>
        <w:widowControl/>
        <w:tabs>
          <w:tab w:pos="8856" w:val="right" w:leader="dot"/>
        </w:tabs>
      </w:pPr>
      <w:hyperlink w:anchor="_NAESTMA_TOC_1288" w:history="1">
        <w:r>
          <w:rPr>
            <w:color w:val="466B7A"/>
          </w:rPr>
          <w:t>Article 31-B.7: Verification</w:t>
        </w:r>
      </w:hyperlink>
      <w:r>
        <w:tab/>
      </w:r>
      <w:r>
        <w:rPr>
          <w:rFonts w:ascii="Arial" w:hAnsi="Arial"/>
        </w:rPr>
        <w:t>1001</w:t>
      </w:r>
    </w:p>
    <w:p>
      <w:pPr>
        <w:pStyle w:val="TOC2"/>
        <w:widowControl/>
        <w:tabs>
          <w:tab w:pos="8856" w:val="right" w:leader="dot"/>
        </w:tabs>
      </w:pPr>
      <w:hyperlink w:anchor="_NAESTMA_TOC_1289" w:history="1">
        <w:r>
          <w:rPr>
            <w:color w:val="466B7A"/>
          </w:rPr>
          <w:t>Article 31-B.8: Panel Process and Determination</w:t>
        </w:r>
      </w:hyperlink>
      <w:r>
        <w:tab/>
      </w:r>
      <w:r>
        <w:rPr>
          <w:rFonts w:ascii="Arial" w:hAnsi="Arial"/>
        </w:rPr>
        <w:t>1002</w:t>
      </w:r>
    </w:p>
    <w:p>
      <w:pPr>
        <w:pStyle w:val="TOC2"/>
        <w:widowControl/>
        <w:tabs>
          <w:tab w:pos="8856" w:val="right" w:leader="dot"/>
        </w:tabs>
      </w:pPr>
      <w:hyperlink w:anchor="_NAESTMA_TOC_1290" w:history="1">
        <w:r>
          <w:rPr>
            <w:color w:val="466B7A"/>
          </w:rPr>
          <w:t>Article 31-B.9: Consultations and Remediation</w:t>
        </w:r>
      </w:hyperlink>
      <w:r>
        <w:tab/>
      </w:r>
      <w:r>
        <w:rPr>
          <w:rFonts w:ascii="Arial" w:hAnsi="Arial"/>
        </w:rPr>
        <w:t>1002</w:t>
      </w:r>
    </w:p>
    <w:p>
      <w:pPr>
        <w:pStyle w:val="TOC2"/>
        <w:widowControl/>
        <w:tabs>
          <w:tab w:pos="8856" w:val="right" w:leader="dot"/>
        </w:tabs>
      </w:pPr>
      <w:hyperlink w:anchor="_NAESTMA_TOC_1291" w:history="1">
        <w:r>
          <w:rPr>
            <w:color w:val="466B7A"/>
          </w:rPr>
          <w:t>Article 31-B.10: Remedies</w:t>
        </w:r>
      </w:hyperlink>
      <w:r>
        <w:tab/>
      </w:r>
      <w:r>
        <w:rPr>
          <w:rFonts w:ascii="Arial" w:hAnsi="Arial"/>
        </w:rPr>
        <w:t>1002</w:t>
      </w:r>
    </w:p>
    <w:p>
      <w:pPr>
        <w:pStyle w:val="TOC2"/>
        <w:widowControl/>
        <w:tabs>
          <w:tab w:pos="8856" w:val="right" w:leader="dot"/>
        </w:tabs>
      </w:pPr>
      <w:hyperlink w:anchor="_NAESTMA_TOC_1292" w:history="1">
        <w:r>
          <w:rPr>
            <w:color w:val="466B7A"/>
          </w:rPr>
          <w:t>Article 31-B.11: Good Faith Use of the Mechanism</w:t>
        </w:r>
      </w:hyperlink>
      <w:r>
        <w:tab/>
      </w:r>
      <w:r>
        <w:rPr>
          <w:rFonts w:ascii="Arial" w:hAnsi="Arial"/>
        </w:rPr>
        <w:t>1003</w:t>
      </w:r>
    </w:p>
    <w:p>
      <w:pPr>
        <w:pStyle w:val="TOC2"/>
        <w:widowControl/>
        <w:tabs>
          <w:tab w:pos="8856" w:val="right" w:leader="dot"/>
        </w:tabs>
      </w:pPr>
      <w:hyperlink w:anchor="_NAESTMA_TOC_1293" w:history="1">
        <w:r>
          <w:rPr>
            <w:color w:val="466B7A"/>
          </w:rPr>
          <w:t>Article 31-B.12: Expansion of Claims</w:t>
        </w:r>
      </w:hyperlink>
      <w:r>
        <w:tab/>
      </w:r>
      <w:r>
        <w:rPr>
          <w:rFonts w:ascii="Arial" w:hAnsi="Arial"/>
        </w:rPr>
        <w:t>1003</w:t>
      </w:r>
    </w:p>
    <w:p>
      <w:pPr>
        <w:pStyle w:val="TOC2"/>
        <w:widowControl/>
        <w:tabs>
          <w:tab w:pos="8856" w:val="right" w:leader="dot"/>
        </w:tabs>
      </w:pPr>
      <w:hyperlink w:anchor="_NAESTMA_TOC_1294" w:history="1">
        <w:r>
          <w:rPr>
            <w:color w:val="466B7A"/>
          </w:rPr>
          <w:t>Article 31-B.13: Review of Priority Sectors</w:t>
        </w:r>
      </w:hyperlink>
      <w:r>
        <w:tab/>
      </w:r>
      <w:r>
        <w:rPr>
          <w:rFonts w:ascii="Arial" w:hAnsi="Arial"/>
        </w:rPr>
        <w:t>1003</w:t>
      </w:r>
    </w:p>
    <w:p>
      <w:pPr>
        <w:pStyle w:val="TOC2"/>
        <w:widowControl/>
        <w:tabs>
          <w:tab w:pos="8856" w:val="right" w:leader="dot"/>
        </w:tabs>
      </w:pPr>
      <w:hyperlink w:anchor="_NAESTMA_TOC_1295" w:history="1">
        <w:r>
          <w:rPr>
            <w:color w:val="466B7A"/>
          </w:rPr>
          <w:t>Article 31-B.14: Cooperation to Promote Compliance</w:t>
        </w:r>
      </w:hyperlink>
      <w:r>
        <w:tab/>
      </w:r>
      <w:r>
        <w:rPr>
          <w:rFonts w:ascii="Arial" w:hAnsi="Arial"/>
        </w:rPr>
        <w:t>1004</w:t>
      </w:r>
    </w:p>
    <w:p>
      <w:pPr>
        <w:pStyle w:val="TOC2"/>
        <w:widowControl/>
        <w:tabs>
          <w:tab w:pos="8856" w:val="right" w:leader="dot"/>
        </w:tabs>
      </w:pPr>
      <w:hyperlink w:anchor="_NAESTMA_TOC_1296" w:history="1">
        <w:r>
          <w:rPr>
            <w:color w:val="466B7A"/>
          </w:rPr>
          <w:t>Article 31-B.15: Definitions</w:t>
        </w:r>
      </w:hyperlink>
      <w:r>
        <w:tab/>
      </w:r>
      <w:r>
        <w:rPr>
          <w:rFonts w:ascii="Arial" w:hAnsi="Arial"/>
        </w:rPr>
        <w:t>1004</w:t>
      </w:r>
    </w:p>
    <w:p>
      <w:pPr>
        <w:pStyle w:val="TOC2"/>
        <w:widowControl/>
        <w:tabs>
          <w:tab w:pos="8856" w:val="right" w:leader="dot"/>
        </w:tabs>
      </w:pPr>
      <w:hyperlink w:anchor="_NAESTMA_TOC_1297" w:history="1">
        <w:r>
          <w:rPr>
            <w:color w:val="466B7A"/>
          </w:rPr>
          <w:t>ANNEX 34-H: ADMINISTRATIVE CONTINUITY AND DEFAULT PROCEDURES</w:t>
        </w:r>
      </w:hyperlink>
      <w:r>
        <w:tab/>
      </w:r>
      <w:r>
        <w:rPr>
          <w:rFonts w:ascii="Arial" w:hAnsi="Arial"/>
        </w:rPr>
        <w:t>1014</w:t>
      </w:r>
    </w:p>
    <w:p>
      <w:pPr>
        <w:pStyle w:val="TOC2"/>
        <w:widowControl/>
        <w:tabs>
          <w:tab w:pos="8856" w:val="right" w:leader="dot"/>
        </w:tabs>
      </w:pPr>
      <w:hyperlink w:anchor="_NAESTMA_TOC_1298" w:history="1">
        <w:r>
          <w:rPr>
            <w:color w:val="466B7A"/>
          </w:rPr>
          <w:t>Article 34.F: Orderly Withdrawal, Public Notice, and Reliance Transition</w:t>
        </w:r>
      </w:hyperlink>
      <w:r>
        <w:tab/>
      </w:r>
      <w:r>
        <w:rPr>
          <w:rFonts w:ascii="Arial" w:hAnsi="Arial"/>
        </w:rPr>
        <w:t>1016</w:t>
      </w:r>
    </w:p>
    <w:p>
      <w:pPr>
        <w:pStyle w:val="TOC2"/>
        <w:widowControl/>
        <w:tabs>
          <w:tab w:pos="8856" w:val="right" w:leader="dot"/>
        </w:tabs>
      </w:pPr>
      <w:hyperlink w:anchor="_NAESTMA_TOC_1299" w:history="1">
        <w:r>
          <w:rPr>
            <w:color w:val="466B7A"/>
          </w:rPr>
          <w:t>Article 34.G: Withdrawal Notice Neutrality and Anti-Ultimatum Rule</w:t>
        </w:r>
      </w:hyperlink>
      <w:r>
        <w:tab/>
      </w:r>
      <w:r>
        <w:rPr>
          <w:rFonts w:ascii="Arial" w:hAnsi="Arial"/>
        </w:rPr>
        <w:t>1017</w:t>
      </w:r>
    </w:p>
    <w:p>
      <w:pPr>
        <w:pStyle w:val="TOC2"/>
        <w:widowControl/>
        <w:tabs>
          <w:tab w:pos="8856" w:val="right" w:leader="dot"/>
        </w:tabs>
      </w:pPr>
      <w:hyperlink w:anchor="_NAESTMA_TOC_1300" w:history="1">
        <w:r>
          <w:rPr>
            <w:color w:val="466B7A"/>
          </w:rPr>
          <w:t>Article 34.H: Notice Cycling, Formal Status, and Market Integrity</w:t>
        </w:r>
      </w:hyperlink>
      <w:r>
        <w:tab/>
      </w:r>
      <w:r>
        <w:rPr>
          <w:rFonts w:ascii="Arial" w:hAnsi="Arial"/>
        </w:rPr>
        <w:t>1017</w:t>
      </w:r>
    </w:p>
    <w:p>
      <w:pPr>
        <w:pStyle w:val="TOC2"/>
        <w:widowControl/>
        <w:tabs>
          <w:tab w:pos="8856" w:val="right" w:leader="dot"/>
        </w:tabs>
      </w:pPr>
      <w:hyperlink w:anchor="_NAESTMA_TOC_1301" w:history="1">
        <w:r>
          <w:rPr>
            <w:color w:val="466B7A"/>
          </w:rPr>
          <w:t>Article 34.I: Whole-Treaty Exit and Trilateral Amendment Integrity</w:t>
        </w:r>
      </w:hyperlink>
      <w:r>
        <w:tab/>
      </w:r>
      <w:r>
        <w:rPr>
          <w:rFonts w:ascii="Arial" w:hAnsi="Arial"/>
        </w:rPr>
        <w:t>1017</w:t>
      </w:r>
    </w:p>
    <w:p>
      <w:pPr>
        <w:pStyle w:val="TOC2"/>
        <w:widowControl/>
        <w:tabs>
          <w:tab w:pos="8856" w:val="right" w:leader="dot"/>
        </w:tabs>
      </w:pPr>
      <w:hyperlink w:anchor="_NAESTMA_TOC_1302" w:history="1">
        <w:r>
          <w:rPr>
            <w:color w:val="466B7A"/>
          </w:rPr>
          <w:t>Article 34.J: Full Performance, Survival Jurisdiction, and Accrued Obligations</w:t>
        </w:r>
      </w:hyperlink>
      <w:r>
        <w:tab/>
      </w:r>
      <w:r>
        <w:rPr>
          <w:rFonts w:ascii="Arial" w:hAnsi="Arial"/>
        </w:rPr>
        <w:t>1017</w:t>
      </w:r>
    </w:p>
    <w:p>
      <w:pPr>
        <w:pStyle w:val="TOC2"/>
        <w:widowControl/>
        <w:tabs>
          <w:tab w:pos="8856" w:val="right" w:leader="dot"/>
        </w:tabs>
      </w:pPr>
      <w:hyperlink w:anchor="_NAESTMA_TOC_1303" w:history="1">
        <w:r>
          <w:rPr>
            <w:color w:val="466B7A"/>
          </w:rPr>
          <w:t>Article 34.K: Withdrawal Record Hold and Reliance Administration</w:t>
        </w:r>
      </w:hyperlink>
      <w:r>
        <w:tab/>
      </w:r>
      <w:r>
        <w:rPr>
          <w:rFonts w:ascii="Arial" w:hAnsi="Arial"/>
        </w:rPr>
        <w:t>1018</w:t>
      </w:r>
    </w:p>
    <w:p>
      <w:pPr>
        <w:pStyle w:val="TOC2"/>
        <w:widowControl/>
        <w:tabs>
          <w:tab w:pos="8856" w:val="right" w:leader="dot"/>
        </w:tabs>
      </w:pPr>
      <w:hyperlink w:anchor="_NAESTMA_TOC_1304" w:history="1">
        <w:r>
          <w:rPr>
            <w:color w:val="466B7A"/>
          </w:rPr>
          <w:t>Article 34.L: Settlement Finality and No Payment for Existing Performance</w:t>
        </w:r>
      </w:hyperlink>
      <w:r>
        <w:tab/>
      </w:r>
      <w:r>
        <w:rPr>
          <w:rFonts w:ascii="Arial" w:hAnsi="Arial"/>
        </w:rPr>
        <w:t>1018</w:t>
      </w:r>
    </w:p>
    <w:p>
      <w:pPr>
        <w:pStyle w:val="TOC2"/>
        <w:widowControl/>
        <w:tabs>
          <w:tab w:pos="8856" w:val="right" w:leader="dot"/>
        </w:tabs>
      </w:pPr>
      <w:hyperlink w:anchor="_NAESTMA_TOC_1305" w:history="1">
        <w:r>
          <w:rPr>
            <w:color w:val="466B7A"/>
          </w:rPr>
          <w:t>Article 34.M: Reaccession after Withdrawal</w:t>
        </w:r>
      </w:hyperlink>
      <w:r>
        <w:tab/>
      </w:r>
      <w:r>
        <w:rPr>
          <w:rFonts w:ascii="Arial" w:hAnsi="Arial"/>
        </w:rPr>
        <w:t>1018</w:t>
      </w:r>
    </w:p>
    <w:p>
      <w:pPr>
        <w:pStyle w:val="TOC2"/>
        <w:widowControl/>
        <w:tabs>
          <w:tab w:pos="8856" w:val="right" w:leader="dot"/>
        </w:tabs>
      </w:pPr>
      <w:hyperlink w:anchor="_NAESTMA_TOC_1306" w:history="1">
        <w:r>
          <w:rPr>
            <w:color w:val="466B7A"/>
          </w:rPr>
          <w:t>Article 34.A.1: Living Amendment Ledger</w:t>
        </w:r>
      </w:hyperlink>
      <w:r>
        <w:tab/>
      </w:r>
      <w:r>
        <w:rPr>
          <w:rFonts w:ascii="Arial" w:hAnsi="Arial"/>
        </w:rPr>
        <w:t>1020</w:t>
      </w:r>
    </w:p>
    <w:p>
      <w:pPr>
        <w:pStyle w:val="TOC1"/>
        <w:widowControl/>
        <w:tabs>
          <w:tab w:pos="8856" w:val="right" w:leader="dot"/>
        </w:tabs>
      </w:pPr>
      <w:hyperlink w:anchor="_NAESTMA_TOC_1307" w:history="1">
        <w:r>
          <w:rPr>
            <w:color w:val="233746"/>
          </w:rPr>
          <w:t>CHAPTER 35</w:t>
        </w:r>
      </w:hyperlink>
      <w:r>
        <w:tab/>
      </w:r>
      <w:r>
        <w:rPr>
          <w:rFonts w:ascii="Arial" w:hAnsi="Arial"/>
        </w:rPr>
        <w:t>1021</w:t>
      </w:r>
    </w:p>
    <w:p>
      <w:pPr>
        <w:pStyle w:val="TOC1"/>
        <w:widowControl/>
        <w:tabs>
          <w:tab w:pos="8856" w:val="right" w:leader="dot"/>
        </w:tabs>
      </w:pPr>
      <w:hyperlink w:anchor="_NAESTMA_TOC_1308" w:history="1">
        <w:r>
          <w:rPr>
            <w:color w:val="233746"/>
          </w:rPr>
          <w:t>TREATY INTEGRITY AND THE PROPORTIONAL TRADE ADJUSTMENT MECHANISM</w:t>
        </w:r>
      </w:hyperlink>
      <w:r>
        <w:tab/>
      </w:r>
      <w:r>
        <w:rPr>
          <w:rFonts w:ascii="Arial" w:hAnsi="Arial"/>
        </w:rPr>
        <w:t>1021</w:t>
      </w:r>
    </w:p>
    <w:p>
      <w:pPr>
        <w:pStyle w:val="TOC2"/>
        <w:widowControl/>
        <w:tabs>
          <w:tab w:pos="8856" w:val="right" w:leader="dot"/>
        </w:tabs>
      </w:pPr>
      <w:hyperlink w:anchor="_NAESTMA_TOC_1309" w:history="1">
        <w:r>
          <w:rPr>
            <w:color w:val="466B7A"/>
          </w:rPr>
          <w:t>Article 35.1: Purpose and Governing Principles</w:t>
        </w:r>
      </w:hyperlink>
      <w:r>
        <w:tab/>
      </w:r>
      <w:r>
        <w:rPr>
          <w:rFonts w:ascii="Arial" w:hAnsi="Arial"/>
        </w:rPr>
        <w:t>1022</w:t>
      </w:r>
    </w:p>
    <w:p>
      <w:pPr>
        <w:pStyle w:val="TOC2"/>
        <w:widowControl/>
        <w:tabs>
          <w:tab w:pos="8856" w:val="right" w:leader="dot"/>
        </w:tabs>
      </w:pPr>
      <w:hyperlink w:anchor="_NAESTMA_TOC_1310" w:history="1">
        <w:r>
          <w:rPr>
            <w:color w:val="466B7A"/>
          </w:rPr>
          <w:t>Article 35.2: Definitions</w:t>
        </w:r>
      </w:hyperlink>
      <w:r>
        <w:tab/>
      </w:r>
      <w:r>
        <w:rPr>
          <w:rFonts w:ascii="Arial" w:hAnsi="Arial"/>
        </w:rPr>
        <w:t>1022</w:t>
      </w:r>
    </w:p>
    <w:p>
      <w:pPr>
        <w:pStyle w:val="TOC2"/>
        <w:widowControl/>
        <w:tabs>
          <w:tab w:pos="8856" w:val="right" w:leader="dot"/>
        </w:tabs>
      </w:pPr>
      <w:hyperlink w:anchor="_NAESTMA_TOC_1311" w:history="1">
        <w:r>
          <w:rPr>
            <w:color w:val="466B7A"/>
          </w:rPr>
          <w:t>Article 35.3: CUSMA-Originating Goods Tariff Guarantee</w:t>
        </w:r>
      </w:hyperlink>
      <w:r>
        <w:tab/>
      </w:r>
      <w:r>
        <w:rPr>
          <w:rFonts w:ascii="Arial" w:hAnsi="Arial"/>
        </w:rPr>
        <w:t>1024</w:t>
      </w:r>
    </w:p>
    <w:p>
      <w:pPr>
        <w:pStyle w:val="TOC2"/>
        <w:widowControl/>
        <w:tabs>
          <w:tab w:pos="8856" w:val="right" w:leader="dot"/>
        </w:tabs>
      </w:pPr>
      <w:hyperlink w:anchor="_NAESTMA_TOC_1312" w:history="1">
        <w:r>
          <w:rPr>
            <w:color w:val="466B7A"/>
          </w:rPr>
          <w:t>Article 35.3A: Export Measures</w:t>
        </w:r>
      </w:hyperlink>
      <w:r>
        <w:tab/>
      </w:r>
      <w:r>
        <w:rPr>
          <w:rFonts w:ascii="Arial" w:hAnsi="Arial"/>
        </w:rPr>
        <w:t>1025</w:t>
      </w:r>
    </w:p>
    <w:p>
      <w:pPr>
        <w:pStyle w:val="TOC2"/>
        <w:widowControl/>
        <w:tabs>
          <w:tab w:pos="8856" w:val="right" w:leader="dot"/>
        </w:tabs>
      </w:pPr>
      <w:hyperlink w:anchor="_NAESTMA_TOC_1313" w:history="1">
        <w:r>
          <w:rPr>
            <w:color w:val="466B7A"/>
          </w:rPr>
          <w:t>Article 35.4: Equivalent Measures and Anti-Evasion</w:t>
        </w:r>
      </w:hyperlink>
      <w:r>
        <w:tab/>
      </w:r>
      <w:r>
        <w:rPr>
          <w:rFonts w:ascii="Arial" w:hAnsi="Arial"/>
        </w:rPr>
        <w:t>1025</w:t>
      </w:r>
    </w:p>
    <w:p>
      <w:pPr>
        <w:pStyle w:val="TOC2"/>
        <w:widowControl/>
        <w:tabs>
          <w:tab w:pos="8856" w:val="right" w:leader="dot"/>
        </w:tabs>
      </w:pPr>
      <w:hyperlink w:anchor="_NAESTMA_TOC_1314" w:history="1">
        <w:r>
          <w:rPr>
            <w:color w:val="466B7A"/>
          </w:rPr>
          <w:t>Article 35.4A: Substitute Measures — Internal, Regulatory, Customs-Administration, and…</w:t>
        </w:r>
      </w:hyperlink>
      <w:r>
        <w:tab/>
      </w:r>
      <w:r>
        <w:rPr>
          <w:rFonts w:ascii="Arial" w:hAnsi="Arial"/>
        </w:rPr>
        <w:t>1026</w:t>
      </w:r>
    </w:p>
    <w:p>
      <w:pPr>
        <w:pStyle w:val="TOC2"/>
        <w:widowControl/>
        <w:tabs>
          <w:tab w:pos="8856" w:val="right" w:leader="dot"/>
        </w:tabs>
      </w:pPr>
      <w:hyperlink w:anchor="_NAESTMA_TOC_1315" w:history="1">
        <w:r>
          <w:rPr>
            <w:color w:val="466B7A"/>
          </w:rPr>
          <w:t>Article 35.5: Exclusive Remedies for Trade Matters</w:t>
        </w:r>
      </w:hyperlink>
      <w:r>
        <w:tab/>
      </w:r>
      <w:r>
        <w:rPr>
          <w:rFonts w:ascii="Arial" w:hAnsi="Arial"/>
        </w:rPr>
        <w:t>1028</w:t>
      </w:r>
    </w:p>
    <w:p>
      <w:pPr>
        <w:pStyle w:val="TOC2"/>
        <w:widowControl/>
        <w:tabs>
          <w:tab w:pos="8856" w:val="right" w:leader="dot"/>
        </w:tabs>
      </w:pPr>
      <w:hyperlink w:anchor="_NAESTMA_TOC_1316" w:history="1">
        <w:r>
          <w:rPr>
            <w:color w:val="466B7A"/>
          </w:rPr>
          <w:t>Article 35.6: Standstill on New Extraordinary Measures</w:t>
        </w:r>
      </w:hyperlink>
      <w:r>
        <w:tab/>
      </w:r>
      <w:r>
        <w:rPr>
          <w:rFonts w:ascii="Arial" w:hAnsi="Arial"/>
        </w:rPr>
        <w:t>1028</w:t>
      </w:r>
    </w:p>
    <w:p>
      <w:pPr>
        <w:pStyle w:val="TOC2"/>
        <w:widowControl/>
        <w:tabs>
          <w:tab w:pos="8856" w:val="right" w:leader="dot"/>
        </w:tabs>
      </w:pPr>
      <w:hyperlink w:anchor="_NAESTMA_TOC_1317" w:history="1">
        <w:r>
          <w:rPr>
            <w:color w:val="466B7A"/>
          </w:rPr>
          <w:t>Article 35.7: Prohibited Uses of Covered Border Measures</w:t>
        </w:r>
      </w:hyperlink>
      <w:r>
        <w:tab/>
      </w:r>
      <w:r>
        <w:rPr>
          <w:rFonts w:ascii="Arial" w:hAnsi="Arial"/>
        </w:rPr>
        <w:t>1028</w:t>
      </w:r>
    </w:p>
    <w:p>
      <w:pPr>
        <w:pStyle w:val="TOC2"/>
        <w:widowControl/>
        <w:tabs>
          <w:tab w:pos="8856" w:val="right" w:leader="dot"/>
        </w:tabs>
      </w:pPr>
      <w:hyperlink w:anchor="_NAESTMA_TOC_1318" w:history="1">
        <w:r>
          <w:rPr>
            <w:color w:val="466B7A"/>
          </w:rPr>
          <w:t>Article 35.8: Initiation of the Mechanism and Consultation</w:t>
        </w:r>
      </w:hyperlink>
      <w:r>
        <w:tab/>
      </w:r>
      <w:r>
        <w:rPr>
          <w:rFonts w:ascii="Arial" w:hAnsi="Arial"/>
        </w:rPr>
        <w:t>1029</w:t>
      </w:r>
    </w:p>
    <w:p>
      <w:pPr>
        <w:pStyle w:val="TOC2"/>
        <w:widowControl/>
        <w:tabs>
          <w:tab w:pos="8856" w:val="right" w:leader="dot"/>
        </w:tabs>
      </w:pPr>
      <w:hyperlink w:anchor="_NAESTMA_TOC_1319" w:history="1">
        <w:r>
          <w:rPr>
            <w:color w:val="466B7A"/>
          </w:rPr>
          <w:t>Article 35.9: Evidence Package</w:t>
        </w:r>
      </w:hyperlink>
      <w:r>
        <w:tab/>
      </w:r>
      <w:r>
        <w:rPr>
          <w:rFonts w:ascii="Arial" w:hAnsi="Arial"/>
        </w:rPr>
        <w:t>1029</w:t>
      </w:r>
    </w:p>
    <w:p>
      <w:pPr>
        <w:pStyle w:val="TOC2"/>
        <w:widowControl/>
        <w:tabs>
          <w:tab w:pos="8856" w:val="right" w:leader="dot"/>
        </w:tabs>
      </w:pPr>
      <w:hyperlink w:anchor="_NAESTMA_TOC_1320" w:history="1">
        <w:r>
          <w:rPr>
            <w:color w:val="466B7A"/>
          </w:rPr>
          <w:t>Article 35.10: North American Trade Verification Mechanism</w:t>
        </w:r>
      </w:hyperlink>
      <w:r>
        <w:tab/>
      </w:r>
      <w:r>
        <w:rPr>
          <w:rFonts w:ascii="Arial" w:hAnsi="Arial"/>
        </w:rPr>
        <w:t>1030</w:t>
      </w:r>
    </w:p>
    <w:p>
      <w:pPr>
        <w:pStyle w:val="TOC2"/>
        <w:widowControl/>
        <w:tabs>
          <w:tab w:pos="8856" w:val="right" w:leader="dot"/>
        </w:tabs>
      </w:pPr>
      <w:hyperlink w:anchor="_NAESTMA_TOC_1321" w:history="1">
        <w:r>
          <w:rPr>
            <w:color w:val="466B7A"/>
          </w:rPr>
          <w:t>Article 35.10A: Rights of Affected Entities</w:t>
        </w:r>
      </w:hyperlink>
      <w:r>
        <w:tab/>
      </w:r>
      <w:r>
        <w:rPr>
          <w:rFonts w:ascii="Arial" w:hAnsi="Arial"/>
        </w:rPr>
        <w:t>1031</w:t>
      </w:r>
    </w:p>
    <w:p>
      <w:pPr>
        <w:pStyle w:val="TOC2"/>
        <w:widowControl/>
        <w:tabs>
          <w:tab w:pos="8856" w:val="right" w:leader="dot"/>
        </w:tabs>
      </w:pPr>
      <w:hyperlink w:anchor="_NAESTMA_TOC_1322" w:history="1">
        <w:r>
          <w:rPr>
            <w:color w:val="466B7A"/>
          </w:rPr>
          <w:t>Article 35.11: Classification of Distortions</w:t>
        </w:r>
      </w:hyperlink>
      <w:r>
        <w:tab/>
      </w:r>
      <w:r>
        <w:rPr>
          <w:rFonts w:ascii="Arial" w:hAnsi="Arial"/>
        </w:rPr>
        <w:t>1032</w:t>
      </w:r>
    </w:p>
    <w:p>
      <w:pPr>
        <w:pStyle w:val="TOC2"/>
        <w:widowControl/>
        <w:tabs>
          <w:tab w:pos="8856" w:val="right" w:leader="dot"/>
        </w:tabs>
      </w:pPr>
      <w:hyperlink w:anchor="_NAESTMA_TOC_1323" w:history="1">
        <w:r>
          <w:rPr>
            <w:color w:val="466B7A"/>
          </w:rPr>
          <w:t>Article 35.12: Proportional Trade Adjustments</w:t>
        </w:r>
      </w:hyperlink>
      <w:r>
        <w:tab/>
      </w:r>
      <w:r>
        <w:rPr>
          <w:rFonts w:ascii="Arial" w:hAnsi="Arial"/>
        </w:rPr>
        <w:t>1032</w:t>
      </w:r>
    </w:p>
    <w:p>
      <w:pPr>
        <w:pStyle w:val="TOC2"/>
        <w:widowControl/>
        <w:tabs>
          <w:tab w:pos="8856" w:val="right" w:leader="dot"/>
        </w:tabs>
      </w:pPr>
      <w:hyperlink w:anchor="_NAESTMA_TOC_1324" w:history="1">
        <w:r>
          <w:rPr>
            <w:color w:val="466B7A"/>
          </w:rPr>
          <w:t>Article 35.13: Narrowest-Sufficient-Remedy Rule</w:t>
        </w:r>
      </w:hyperlink>
      <w:r>
        <w:tab/>
      </w:r>
      <w:r>
        <w:rPr>
          <w:rFonts w:ascii="Arial" w:hAnsi="Arial"/>
        </w:rPr>
        <w:t>1033</w:t>
      </w:r>
    </w:p>
    <w:p>
      <w:pPr>
        <w:pStyle w:val="TOC2"/>
        <w:widowControl/>
        <w:tabs>
          <w:tab w:pos="8856" w:val="right" w:leader="dot"/>
        </w:tabs>
      </w:pPr>
      <w:hyperlink w:anchor="_NAESTMA_TOC_1325" w:history="1">
        <w:r>
          <w:rPr>
            <w:color w:val="466B7A"/>
          </w:rPr>
          <w:t>Article 35.13A: Anti-Fragmentation of Integrated Products</w:t>
        </w:r>
      </w:hyperlink>
      <w:r>
        <w:tab/>
      </w:r>
      <w:r>
        <w:rPr>
          <w:rFonts w:ascii="Arial" w:hAnsi="Arial"/>
        </w:rPr>
        <w:t>1033</w:t>
      </w:r>
    </w:p>
    <w:p>
      <w:pPr>
        <w:pStyle w:val="TOC2"/>
        <w:widowControl/>
        <w:tabs>
          <w:tab w:pos="8856" w:val="right" w:leader="dot"/>
        </w:tabs>
      </w:pPr>
      <w:hyperlink w:anchor="_NAESTMA_TOC_1326" w:history="1">
        <w:r>
          <w:rPr>
            <w:color w:val="466B7A"/>
          </w:rPr>
          <w:t>Article 35.14: Escrow in Lieu of Collection</w:t>
        </w:r>
      </w:hyperlink>
      <w:r>
        <w:tab/>
      </w:r>
      <w:r>
        <w:rPr>
          <w:rFonts w:ascii="Arial" w:hAnsi="Arial"/>
        </w:rPr>
        <w:t>1034</w:t>
      </w:r>
    </w:p>
    <w:p>
      <w:pPr>
        <w:pStyle w:val="TOC2"/>
        <w:widowControl/>
        <w:tabs>
          <w:tab w:pos="8856" w:val="right" w:leader="dot"/>
        </w:tabs>
      </w:pPr>
      <w:hyperlink w:anchor="_NAESTMA_TOC_1327" w:history="1">
        <w:r>
          <w:rPr>
            <w:color w:val="466B7A"/>
          </w:rPr>
          <w:t>Article 35.15: Module Firewall</w:t>
        </w:r>
      </w:hyperlink>
      <w:r>
        <w:tab/>
      </w:r>
      <w:r>
        <w:rPr>
          <w:rFonts w:ascii="Arial" w:hAnsi="Arial"/>
        </w:rPr>
        <w:t>1034</w:t>
      </w:r>
    </w:p>
    <w:p>
      <w:pPr>
        <w:pStyle w:val="TOC2"/>
        <w:widowControl/>
        <w:tabs>
          <w:tab w:pos="8856" w:val="right" w:leader="dot"/>
        </w:tabs>
      </w:pPr>
      <w:hyperlink w:anchor="_NAESTMA_TOC_1328" w:history="1">
        <w:r>
          <w:rPr>
            <w:color w:val="466B7A"/>
          </w:rPr>
          <w:t>Article 35.16: Step-Back Stages — Graduated Response</w:t>
        </w:r>
      </w:hyperlink>
      <w:r>
        <w:tab/>
      </w:r>
      <w:r>
        <w:rPr>
          <w:rFonts w:ascii="Arial" w:hAnsi="Arial"/>
        </w:rPr>
        <w:t>1035</w:t>
      </w:r>
    </w:p>
    <w:p>
      <w:pPr>
        <w:pStyle w:val="TOC2"/>
        <w:widowControl/>
        <w:tabs>
          <w:tab w:pos="8856" w:val="right" w:leader="dot"/>
        </w:tabs>
      </w:pPr>
      <w:hyperlink w:anchor="_NAESTMA_TOC_1329" w:history="1">
        <w:r>
          <w:rPr>
            <w:color w:val="466B7A"/>
          </w:rPr>
          <w:t>Article 35.17: Remediation and Earn-Back</w:t>
        </w:r>
      </w:hyperlink>
      <w:r>
        <w:tab/>
      </w:r>
      <w:r>
        <w:rPr>
          <w:rFonts w:ascii="Arial" w:hAnsi="Arial"/>
        </w:rPr>
        <w:t>1036</w:t>
      </w:r>
    </w:p>
    <w:p>
      <w:pPr>
        <w:pStyle w:val="TOC2"/>
        <w:widowControl/>
        <w:tabs>
          <w:tab w:pos="8856" w:val="right" w:leader="dot"/>
        </w:tabs>
      </w:pPr>
      <w:hyperlink w:anchor="_NAESTMA_TOC_1330" w:history="1">
        <w:r>
          <w:rPr>
            <w:color w:val="466B7A"/>
          </w:rPr>
          <w:t>Article 35.18: Automatic Restoration</w:t>
        </w:r>
      </w:hyperlink>
      <w:r>
        <w:tab/>
      </w:r>
      <w:r>
        <w:rPr>
          <w:rFonts w:ascii="Arial" w:hAnsi="Arial"/>
        </w:rPr>
        <w:t>1036</w:t>
      </w:r>
    </w:p>
    <w:p>
      <w:pPr>
        <w:pStyle w:val="TOC2"/>
        <w:widowControl/>
        <w:tabs>
          <w:tab w:pos="8856" w:val="right" w:leader="dot"/>
        </w:tabs>
      </w:pPr>
      <w:hyperlink w:anchor="_NAESTMA_TOC_1331" w:history="1">
        <w:r>
          <w:rPr>
            <w:color w:val="466B7A"/>
          </w:rPr>
          <w:t>Article 35.19: Discipline of Allegations</w:t>
        </w:r>
      </w:hyperlink>
      <w:r>
        <w:tab/>
      </w:r>
      <w:r>
        <w:rPr>
          <w:rFonts w:ascii="Arial" w:hAnsi="Arial"/>
        </w:rPr>
        <w:t>1037</w:t>
      </w:r>
    </w:p>
    <w:p>
      <w:pPr>
        <w:pStyle w:val="TOC2"/>
        <w:widowControl/>
        <w:tabs>
          <w:tab w:pos="8856" w:val="right" w:leader="dot"/>
        </w:tabs>
      </w:pPr>
      <w:hyperlink w:anchor="_NAESTMA_TOC_1332" w:history="1">
        <w:r>
          <w:rPr>
            <w:color w:val="466B7A"/>
          </w:rPr>
          <w:t>Article 35.20: Compensation Before Escalation</w:t>
        </w:r>
      </w:hyperlink>
      <w:r>
        <w:tab/>
      </w:r>
      <w:r>
        <w:rPr>
          <w:rFonts w:ascii="Arial" w:hAnsi="Arial"/>
        </w:rPr>
        <w:t>1038</w:t>
      </w:r>
    </w:p>
    <w:p>
      <w:pPr>
        <w:pStyle w:val="TOC2"/>
        <w:widowControl/>
        <w:tabs>
          <w:tab w:pos="8856" w:val="right" w:leader="dot"/>
        </w:tabs>
      </w:pPr>
      <w:hyperlink w:anchor="_NAESTMA_TOC_1333" w:history="1">
        <w:r>
          <w:rPr>
            <w:color w:val="466B7A"/>
          </w:rPr>
          <w:t>Article 35.21: Genuine Emergencies — Expedited Track</w:t>
        </w:r>
      </w:hyperlink>
      <w:r>
        <w:tab/>
      </w:r>
      <w:r>
        <w:rPr>
          <w:rFonts w:ascii="Arial" w:hAnsi="Arial"/>
        </w:rPr>
        <w:t>1038</w:t>
      </w:r>
    </w:p>
    <w:p>
      <w:pPr>
        <w:pStyle w:val="TOC2"/>
        <w:widowControl/>
        <w:tabs>
          <w:tab w:pos="8856" w:val="right" w:leader="dot"/>
        </w:tabs>
      </w:pPr>
      <w:hyperlink w:anchor="_NAESTMA_TOC_1334" w:history="1">
        <w:r>
          <w:rPr>
            <w:color w:val="466B7A"/>
          </w:rPr>
          <w:t>Article 35.22: Essential Security Measures — Special Lane</w:t>
        </w:r>
      </w:hyperlink>
      <w:r>
        <w:tab/>
      </w:r>
      <w:r>
        <w:rPr>
          <w:rFonts w:ascii="Arial" w:hAnsi="Arial"/>
        </w:rPr>
        <w:t>1039</w:t>
      </w:r>
    </w:p>
    <w:p>
      <w:pPr>
        <w:pStyle w:val="TOC2"/>
        <w:widowControl/>
        <w:tabs>
          <w:tab w:pos="8856" w:val="right" w:leader="dot"/>
        </w:tabs>
      </w:pPr>
      <w:hyperlink w:anchor="_NAESTMA_TOC_1335" w:history="1">
        <w:r>
          <w:rPr>
            <w:color w:val="466B7A"/>
          </w:rPr>
          <w:t>Article 35.23: Strategic-Sector Circuit Breakers</w:t>
        </w:r>
      </w:hyperlink>
      <w:r>
        <w:tab/>
      </w:r>
      <w:r>
        <w:rPr>
          <w:rFonts w:ascii="Arial" w:hAnsi="Arial"/>
        </w:rPr>
        <w:t>1040</w:t>
      </w:r>
    </w:p>
    <w:p>
      <w:pPr>
        <w:pStyle w:val="TOC2"/>
        <w:widowControl/>
        <w:tabs>
          <w:tab w:pos="8856" w:val="right" w:leader="dot"/>
        </w:tabs>
      </w:pPr>
      <w:hyperlink w:anchor="_NAESTMA_TOC_1336" w:history="1">
        <w:r>
          <w:rPr>
            <w:color w:val="466B7A"/>
          </w:rPr>
          <w:t>Article 35.24: North American Trade Measures Registry and Transparency</w:t>
        </w:r>
      </w:hyperlink>
      <w:r>
        <w:tab/>
      </w:r>
      <w:r>
        <w:rPr>
          <w:rFonts w:ascii="Arial" w:hAnsi="Arial"/>
        </w:rPr>
        <w:t>1041</w:t>
      </w:r>
    </w:p>
    <w:p>
      <w:pPr>
        <w:pStyle w:val="TOC2"/>
        <w:widowControl/>
        <w:tabs>
          <w:tab w:pos="8856" w:val="right" w:leader="dot"/>
        </w:tabs>
      </w:pPr>
      <w:hyperlink w:anchor="_NAESTMA_TOC_1337" w:history="1">
        <w:r>
          <w:rPr>
            <w:color w:val="466B7A"/>
          </w:rPr>
          <w:t>Article 35.25: North American Trade Impact Facility</w:t>
        </w:r>
      </w:hyperlink>
      <w:r>
        <w:tab/>
      </w:r>
      <w:r>
        <w:rPr>
          <w:rFonts w:ascii="Arial" w:hAnsi="Arial"/>
        </w:rPr>
        <w:t>1041</w:t>
      </w:r>
    </w:p>
    <w:p>
      <w:pPr>
        <w:pStyle w:val="TOC2"/>
        <w:widowControl/>
        <w:tabs>
          <w:tab w:pos="8856" w:val="right" w:leader="dot"/>
        </w:tabs>
      </w:pPr>
      <w:hyperlink w:anchor="_NAESTMA_TOC_1338" w:history="1">
        <w:r>
          <w:rPr>
            <w:color w:val="466B7A"/>
          </w:rPr>
          <w:t>Article 35.25A: Automatic Consequences and Provisional Enforcement</w:t>
        </w:r>
      </w:hyperlink>
      <w:r>
        <w:tab/>
      </w:r>
      <w:r>
        <w:rPr>
          <w:rFonts w:ascii="Arial" w:hAnsi="Arial"/>
        </w:rPr>
        <w:t>1042</w:t>
      </w:r>
    </w:p>
    <w:p>
      <w:pPr>
        <w:pStyle w:val="TOC2"/>
        <w:widowControl/>
        <w:tabs>
          <w:tab w:pos="8856" w:val="right" w:leader="dot"/>
        </w:tabs>
      </w:pPr>
      <w:hyperlink w:anchor="_NAESTMA_TOC_1339" w:history="1">
        <w:r>
          <w:rPr>
            <w:color w:val="466B7A"/>
          </w:rPr>
          <w:t>Article 35.26: Relationship to Other Chapters</w:t>
        </w:r>
      </w:hyperlink>
      <w:r>
        <w:tab/>
      </w:r>
      <w:r>
        <w:rPr>
          <w:rFonts w:ascii="Arial" w:hAnsi="Arial"/>
        </w:rPr>
        <w:t>1043</w:t>
      </w:r>
    </w:p>
    <w:p>
      <w:pPr>
        <w:pStyle w:val="TOC2"/>
        <w:widowControl/>
        <w:tabs>
          <w:tab w:pos="8856" w:val="right" w:leader="dot"/>
        </w:tabs>
      </w:pPr>
      <w:hyperlink w:anchor="_NAESTMA_TOC_1340" w:history="1">
        <w:r>
          <w:rPr>
            <w:color w:val="466B7A"/>
          </w:rPr>
          <w:t>Article 35.27: Legacy Measures Wind-Down</w:t>
        </w:r>
      </w:hyperlink>
      <w:r>
        <w:tab/>
      </w:r>
      <w:r>
        <w:rPr>
          <w:rFonts w:ascii="Arial" w:hAnsi="Arial"/>
        </w:rPr>
        <w:t>1043</w:t>
      </w:r>
    </w:p>
    <w:p>
      <w:pPr>
        <w:pStyle w:val="TOC2"/>
        <w:widowControl/>
        <w:tabs>
          <w:tab w:pos="8856" w:val="right" w:leader="dot"/>
        </w:tabs>
      </w:pPr>
      <w:hyperlink w:anchor="_NAESTMA_TOC_1341" w:history="1">
        <w:r>
          <w:rPr>
            <w:color w:val="466B7A"/>
          </w:rPr>
          <w:t>Article 35.28: Treaty Integrity Functions and Commission Oversight</w:t>
        </w:r>
      </w:hyperlink>
      <w:r>
        <w:tab/>
      </w:r>
      <w:r>
        <w:rPr>
          <w:rFonts w:ascii="Arial" w:hAnsi="Arial"/>
        </w:rPr>
        <w:t>1043</w:t>
      </w:r>
    </w:p>
    <w:p>
      <w:pPr>
        <w:pStyle w:val="TOC2"/>
        <w:widowControl/>
        <w:tabs>
          <w:tab w:pos="8856" w:val="right" w:leader="dot"/>
        </w:tabs>
      </w:pPr>
      <w:hyperlink w:anchor="_NAESTMA_TOC_1342" w:history="1">
        <w:r>
          <w:rPr>
            <w:color w:val="466B7A"/>
          </w:rPr>
          <w:t>Article 35.29: No-Fade Guarantee</w:t>
        </w:r>
      </w:hyperlink>
      <w:r>
        <w:tab/>
      </w:r>
      <w:r>
        <w:rPr>
          <w:rFonts w:ascii="Arial" w:hAnsi="Arial"/>
        </w:rPr>
        <w:t>1044</w:t>
      </w:r>
    </w:p>
    <w:p>
      <w:pPr>
        <w:pStyle w:val="TOC2"/>
        <w:widowControl/>
        <w:tabs>
          <w:tab w:pos="8856" w:val="right" w:leader="dot"/>
        </w:tabs>
      </w:pPr>
      <w:hyperlink w:anchor="_NAESTMA_TOC_1343" w:history="1">
        <w:r>
          <w:rPr>
            <w:color w:val="466B7A"/>
          </w:rPr>
          <w:t>Article 35.30: Continuity, Anti-Circumvention, and No Hostage Principle</w:t>
        </w:r>
      </w:hyperlink>
      <w:r>
        <w:tab/>
      </w:r>
      <w:r>
        <w:rPr>
          <w:rFonts w:ascii="Arial" w:hAnsi="Arial"/>
        </w:rPr>
        <w:t>1044</w:t>
      </w:r>
    </w:p>
    <w:p>
      <w:pPr>
        <w:pStyle w:val="TOC2"/>
        <w:widowControl/>
        <w:tabs>
          <w:tab w:pos="8856" w:val="right" w:leader="dot"/>
        </w:tabs>
      </w:pPr>
      <w:hyperlink w:anchor="_NAESTMA_TOC_1344" w:history="1">
        <w:r>
          <w:rPr>
            <w:color w:val="466B7A"/>
          </w:rPr>
          <w:t>Article 35.31: Narrowest-Sufficient-Remedy and Cure Ladder</w:t>
        </w:r>
      </w:hyperlink>
      <w:r>
        <w:tab/>
      </w:r>
      <w:r>
        <w:rPr>
          <w:rFonts w:ascii="Arial" w:hAnsi="Arial"/>
        </w:rPr>
        <w:t>1044</w:t>
      </w:r>
    </w:p>
    <w:p>
      <w:pPr>
        <w:pStyle w:val="TOC2"/>
        <w:widowControl/>
        <w:tabs>
          <w:tab w:pos="8856" w:val="right" w:leader="dot"/>
        </w:tabs>
      </w:pPr>
      <w:hyperlink w:anchor="_NAESTMA_TOC_1345" w:history="1">
        <w:r>
          <w:rPr>
            <w:color w:val="466B7A"/>
          </w:rPr>
          <w:t>Article 35.32: Extraordinary-Measure Transparency and Escrow</w:t>
        </w:r>
      </w:hyperlink>
      <w:r>
        <w:tab/>
      </w:r>
      <w:r>
        <w:rPr>
          <w:rFonts w:ascii="Arial" w:hAnsi="Arial"/>
        </w:rPr>
        <w:t>1045</w:t>
      </w:r>
    </w:p>
    <w:p>
      <w:pPr>
        <w:pStyle w:val="TOC2"/>
        <w:widowControl/>
        <w:tabs>
          <w:tab w:pos="8856" w:val="right" w:leader="dot"/>
        </w:tabs>
      </w:pPr>
      <w:hyperlink w:anchor="_NAESTMA_TOC_1346" w:history="1">
        <w:r>
          <w:rPr>
            <w:color w:val="466B7A"/>
          </w:rPr>
          <w:t>ANNEX 35-A: PROPORTIONAL TRADE ADJUSTMENT CALCULATION METHODOLOGY</w:t>
        </w:r>
      </w:hyperlink>
      <w:r>
        <w:tab/>
      </w:r>
      <w:r>
        <w:rPr>
          <w:rFonts w:ascii="Arial" w:hAnsi="Arial"/>
        </w:rPr>
        <w:t>1045</w:t>
      </w:r>
    </w:p>
    <w:p>
      <w:pPr>
        <w:pStyle w:val="TOC2"/>
        <w:widowControl/>
        <w:tabs>
          <w:tab w:pos="8856" w:val="right" w:leader="dot"/>
        </w:tabs>
      </w:pPr>
      <w:hyperlink w:anchor="_NAESTMA_TOC_1347" w:history="1">
        <w:r>
          <w:rPr>
            <w:color w:val="466B7A"/>
          </w:rPr>
          <w:t>ANNEX 35-B: TRADE MODULES AND STRATEGIC SECTORS</w:t>
        </w:r>
      </w:hyperlink>
      <w:r>
        <w:tab/>
      </w:r>
      <w:r>
        <w:rPr>
          <w:rFonts w:ascii="Arial" w:hAnsi="Arial"/>
        </w:rPr>
        <w:t>1047</w:t>
      </w:r>
    </w:p>
    <w:p>
      <w:pPr>
        <w:pStyle w:val="TOC2"/>
        <w:widowControl/>
        <w:tabs>
          <w:tab w:pos="8856" w:val="right" w:leader="dot"/>
        </w:tabs>
      </w:pPr>
      <w:hyperlink w:anchor="_NAESTMA_TOC_1348" w:history="1">
        <w:r>
          <w:rPr>
            <w:color w:val="466B7A"/>
          </w:rPr>
          <w:t>ANNEX 35-C: SHARED TRADE DATA REGISTRY AND VERIFICATION DATA STANDARDS</w:t>
        </w:r>
      </w:hyperlink>
      <w:r>
        <w:tab/>
      </w:r>
      <w:r>
        <w:rPr>
          <w:rFonts w:ascii="Arial" w:hAnsi="Arial"/>
        </w:rPr>
        <w:t>1048</w:t>
      </w:r>
    </w:p>
    <w:p>
      <w:pPr>
        <w:pStyle w:val="TOC2"/>
        <w:widowControl/>
        <w:tabs>
          <w:tab w:pos="8856" w:val="right" w:leader="dot"/>
        </w:tabs>
      </w:pPr>
      <w:hyperlink w:anchor="_NAESTMA_TOC_1349" w:history="1">
        <w:r>
          <w:rPr>
            <w:color w:val="466B7A"/>
          </w:rPr>
          <w:t>Article 35.36: No Uncompensated Front-Loading and Synchronized Exchange</w:t>
        </w:r>
      </w:hyperlink>
      <w:r>
        <w:tab/>
      </w:r>
      <w:r>
        <w:rPr>
          <w:rFonts w:ascii="Arial" w:hAnsi="Arial"/>
        </w:rPr>
        <w:t>1050</w:t>
      </w:r>
    </w:p>
    <w:p>
      <w:pPr>
        <w:pStyle w:val="TOC2"/>
        <w:widowControl/>
        <w:tabs>
          <w:tab w:pos="8856" w:val="right" w:leader="dot"/>
        </w:tabs>
      </w:pPr>
      <w:hyperlink w:anchor="_NAESTMA_TOC_1350" w:history="1">
        <w:r>
          <w:rPr>
            <w:color w:val="466B7A"/>
          </w:rPr>
          <w:t>Article 35.37: North American Demerit and Preference Step-Back System</w:t>
        </w:r>
      </w:hyperlink>
      <w:r>
        <w:tab/>
      </w:r>
      <w:r>
        <w:rPr>
          <w:rFonts w:ascii="Arial" w:hAnsi="Arial"/>
        </w:rPr>
        <w:t>1050</w:t>
      </w:r>
    </w:p>
    <w:p>
      <w:pPr>
        <w:pStyle w:val="TOC2"/>
        <w:widowControl/>
        <w:tabs>
          <w:tab w:pos="8856" w:val="right" w:leader="dot"/>
        </w:tabs>
      </w:pPr>
      <w:hyperlink w:anchor="_NAESTMA_TOC_1351" w:history="1">
        <w:r>
          <w:rPr>
            <w:color w:val="466B7A"/>
          </w:rPr>
          <w:t>Article 35.38: Tariff Quarantine and Absolute Last-Resort Test</w:t>
        </w:r>
      </w:hyperlink>
      <w:r>
        <w:tab/>
      </w:r>
      <w:r>
        <w:rPr>
          <w:rFonts w:ascii="Arial" w:hAnsi="Arial"/>
        </w:rPr>
        <w:t>1051</w:t>
      </w:r>
    </w:p>
    <w:p>
      <w:pPr>
        <w:pStyle w:val="TOC2"/>
        <w:widowControl/>
        <w:tabs>
          <w:tab w:pos="8856" w:val="right" w:leader="dot"/>
        </w:tabs>
      </w:pPr>
      <w:hyperlink w:anchor="_NAESTMA_TOC_1352" w:history="1">
        <w:r>
          <w:rPr>
            <w:color w:val="466B7A"/>
          </w:rPr>
          <w:t>Article 35.39: Rotating Neutral Guarantor Panel</w:t>
        </w:r>
      </w:hyperlink>
      <w:r>
        <w:tab/>
      </w:r>
      <w:r>
        <w:rPr>
          <w:rFonts w:ascii="Arial" w:hAnsi="Arial"/>
        </w:rPr>
        <w:t>1052</w:t>
      </w:r>
    </w:p>
    <w:p>
      <w:pPr>
        <w:pStyle w:val="TOC2"/>
        <w:widowControl/>
        <w:tabs>
          <w:tab w:pos="8856" w:val="right" w:leader="dot"/>
        </w:tabs>
      </w:pPr>
      <w:hyperlink w:anchor="_NAESTMA_TOC_1353" w:history="1">
        <w:r>
          <w:rPr>
            <w:color w:val="466B7A"/>
          </w:rPr>
          <w:t>Article 35.40: Tariff Authorization Limits, Burden Test, Sunset, and Renewal</w:t>
        </w:r>
      </w:hyperlink>
      <w:r>
        <w:tab/>
      </w:r>
      <w:r>
        <w:rPr>
          <w:rFonts w:ascii="Arial" w:hAnsi="Arial"/>
        </w:rPr>
        <w:t>1052</w:t>
      </w:r>
    </w:p>
    <w:p>
      <w:pPr>
        <w:pStyle w:val="TOC2"/>
        <w:widowControl/>
        <w:tabs>
          <w:tab w:pos="8856" w:val="right" w:leader="dot"/>
        </w:tabs>
      </w:pPr>
      <w:hyperlink w:anchor="_NAESTMA_TOC_1354" w:history="1">
        <w:r>
          <w:rPr>
            <w:color w:val="466B7A"/>
          </w:rPr>
          <w:t>Article 35.41: Three-Year Joint Study on Complete Elimination of Intra-North-American…</w:t>
        </w:r>
      </w:hyperlink>
      <w:r>
        <w:tab/>
      </w:r>
      <w:r>
        <w:rPr>
          <w:rFonts w:ascii="Arial" w:hAnsi="Arial"/>
        </w:rPr>
        <w:t>1053</w:t>
      </w:r>
    </w:p>
    <w:p>
      <w:pPr>
        <w:pStyle w:val="TOC2"/>
        <w:widowControl/>
        <w:tabs>
          <w:tab w:pos="8856" w:val="right" w:leader="dot"/>
        </w:tabs>
      </w:pPr>
      <w:hyperlink w:anchor="_NAESTMA_TOC_1355" w:history="1">
        <w:r>
          <w:rPr>
            <w:color w:val="466B7A"/>
          </w:rPr>
          <w:t>Article 35.42: Guarantor Integrity Firewall and Anti-Inducement Rule</w:t>
        </w:r>
      </w:hyperlink>
      <w:r>
        <w:tab/>
      </w:r>
      <w:r>
        <w:rPr>
          <w:rFonts w:ascii="Arial" w:hAnsi="Arial"/>
        </w:rPr>
        <w:t>1054</w:t>
      </w:r>
    </w:p>
    <w:p>
      <w:pPr>
        <w:pStyle w:val="TOC2"/>
        <w:widowControl/>
        <w:tabs>
          <w:tab w:pos="8856" w:val="right" w:leader="dot"/>
        </w:tabs>
      </w:pPr>
      <w:hyperlink w:anchor="_NAESTMA_TOC_1356" w:history="1">
        <w:r>
          <w:rPr>
            <w:color w:val="466B7A"/>
          </w:rPr>
          <w:t>Article 35.43: Communications Docket, Ex Parte Firewall, and Equality of Arms</w:t>
        </w:r>
      </w:hyperlink>
      <w:r>
        <w:tab/>
      </w:r>
      <w:r>
        <w:rPr>
          <w:rFonts w:ascii="Arial" w:hAnsi="Arial"/>
        </w:rPr>
        <w:t>1055</w:t>
      </w:r>
    </w:p>
    <w:p>
      <w:pPr>
        <w:pStyle w:val="TOC2"/>
        <w:widowControl/>
        <w:tabs>
          <w:tab w:pos="8856" w:val="right" w:leader="dot"/>
        </w:tabs>
      </w:pPr>
      <w:hyperlink w:anchor="_NAESTMA_TOC_1357" w:history="1">
        <w:r>
          <w:rPr>
            <w:color w:val="466B7A"/>
          </w:rPr>
          <w:t>Article 35.44: Guarantor Financial Integrity, Disclosure, Gifts, and Cooling-Off</w:t>
        </w:r>
      </w:hyperlink>
      <w:r>
        <w:tab/>
      </w:r>
      <w:r>
        <w:rPr>
          <w:rFonts w:ascii="Arial" w:hAnsi="Arial"/>
        </w:rPr>
        <w:t>1055</w:t>
      </w:r>
    </w:p>
    <w:p>
      <w:pPr>
        <w:pStyle w:val="TOC2"/>
        <w:widowControl/>
        <w:tabs>
          <w:tab w:pos="8856" w:val="right" w:leader="dot"/>
        </w:tabs>
      </w:pPr>
      <w:hyperlink w:anchor="_NAESTMA_TOC_1358" w:history="1">
        <w:r>
          <w:rPr>
            <w:color w:val="466B7A"/>
          </w:rPr>
          <w:t>Article 35.45: Integrity Panel, Tainted Panel Rule, Recusal Review, and Remedies</w:t>
        </w:r>
      </w:hyperlink>
      <w:r>
        <w:tab/>
      </w:r>
      <w:r>
        <w:rPr>
          <w:rFonts w:ascii="Arial" w:hAnsi="Arial"/>
        </w:rPr>
        <w:t>1056</w:t>
      </w:r>
    </w:p>
    <w:p>
      <w:pPr>
        <w:pStyle w:val="TOC2"/>
        <w:widowControl/>
        <w:tabs>
          <w:tab w:pos="8856" w:val="right" w:leader="dot"/>
        </w:tabs>
      </w:pPr>
      <w:hyperlink w:anchor="_NAESTMA_TOC_1359" w:history="1">
        <w:r>
          <w:rPr>
            <w:color w:val="466B7A"/>
          </w:rPr>
          <w:t>ANNEX 35-I: GUARANTOR INTEGRITY OPERATING RULES</w:t>
        </w:r>
      </w:hyperlink>
      <w:r>
        <w:tab/>
      </w:r>
      <w:r>
        <w:rPr>
          <w:rFonts w:ascii="Arial" w:hAnsi="Arial"/>
        </w:rPr>
        <w:t>1056</w:t>
      </w:r>
    </w:p>
    <w:p>
      <w:pPr>
        <w:pStyle w:val="TOC2"/>
        <w:widowControl/>
        <w:tabs>
          <w:tab w:pos="8856" w:val="right" w:leader="dot"/>
        </w:tabs>
      </w:pPr>
      <w:hyperlink w:anchor="_NAESTMA_TOC_1360" w:history="1">
        <w:r>
          <w:rPr>
            <w:color w:val="466B7A"/>
          </w:rPr>
          <w:t>Article 35.46: Objective Cure Certification and Compliance Finality</w:t>
        </w:r>
      </w:hyperlink>
      <w:r>
        <w:tab/>
      </w:r>
      <w:r>
        <w:rPr>
          <w:rFonts w:ascii="Arial" w:hAnsi="Arial"/>
        </w:rPr>
        <w:t>1057</w:t>
      </w:r>
    </w:p>
    <w:p>
      <w:pPr>
        <w:pStyle w:val="TOC2"/>
        <w:widowControl/>
        <w:tabs>
          <w:tab w:pos="8856" w:val="right" w:leader="dot"/>
        </w:tabs>
      </w:pPr>
      <w:hyperlink w:anchor="_NAESTMA_TOC_1361" w:history="1">
        <w:r>
          <w:rPr>
            <w:color w:val="466B7A"/>
          </w:rPr>
          <w:t>Article 35.47: Strict Exhaustion and Non-Tariff Incapacity Test</w:t>
        </w:r>
      </w:hyperlink>
      <w:r>
        <w:tab/>
      </w:r>
      <w:r>
        <w:rPr>
          <w:rFonts w:ascii="Arial" w:hAnsi="Arial"/>
        </w:rPr>
        <w:t>1057</w:t>
      </w:r>
    </w:p>
    <w:p>
      <w:pPr>
        <w:pStyle w:val="TOC2"/>
        <w:widowControl/>
        <w:tabs>
          <w:tab w:pos="8856" w:val="right" w:leader="dot"/>
        </w:tabs>
      </w:pPr>
      <w:hyperlink w:anchor="_NAESTMA_TOC_1362" w:history="1">
        <w:r>
          <w:rPr>
            <w:color w:val="466B7A"/>
          </w:rPr>
          <w:t>Article 35.48: Economic Harm, Causation, and Model Integrity Standard</w:t>
        </w:r>
      </w:hyperlink>
      <w:r>
        <w:tab/>
      </w:r>
      <w:r>
        <w:rPr>
          <w:rFonts w:ascii="Arial" w:hAnsi="Arial"/>
        </w:rPr>
        <w:t>1058</w:t>
      </w:r>
    </w:p>
    <w:p>
      <w:pPr>
        <w:pStyle w:val="TOC2"/>
        <w:widowControl/>
        <w:tabs>
          <w:tab w:pos="8856" w:val="right" w:leader="dot"/>
        </w:tabs>
      </w:pPr>
      <w:hyperlink w:anchor="_NAESTMA_TOC_1363" w:history="1">
        <w:r>
          <w:rPr>
            <w:color w:val="466B7A"/>
          </w:rPr>
          <w:t>Article 35.49: Strategic-Nexus and Market-Definition Safeguards</w:t>
        </w:r>
      </w:hyperlink>
      <w:r>
        <w:tab/>
      </w:r>
      <w:r>
        <w:rPr>
          <w:rFonts w:ascii="Arial" w:hAnsi="Arial"/>
        </w:rPr>
        <w:t>1058</w:t>
      </w:r>
    </w:p>
    <w:p>
      <w:pPr>
        <w:pStyle w:val="TOC2"/>
        <w:widowControl/>
        <w:tabs>
          <w:tab w:pos="8856" w:val="right" w:leader="dot"/>
        </w:tabs>
      </w:pPr>
      <w:hyperlink w:anchor="_NAESTMA_TOC_1364" w:history="1">
        <w:r>
          <w:rPr>
            <w:color w:val="466B7A"/>
          </w:rPr>
          <w:t>Article 35.50: Aggregate Remedy Burden and Anti-Fragmentation Safeguard</w:t>
        </w:r>
      </w:hyperlink>
      <w:r>
        <w:tab/>
      </w:r>
      <w:r>
        <w:rPr>
          <w:rFonts w:ascii="Arial" w:hAnsi="Arial"/>
        </w:rPr>
        <w:t>1058</w:t>
      </w:r>
    </w:p>
    <w:p>
      <w:pPr>
        <w:pStyle w:val="TOC2"/>
        <w:widowControl/>
        <w:tabs>
          <w:tab w:pos="8856" w:val="right" w:leader="dot"/>
        </w:tabs>
      </w:pPr>
      <w:hyperlink w:anchor="_NAESTMA_TOC_1365" w:history="1">
        <w:r>
          <w:rPr>
            <w:color w:val="466B7A"/>
          </w:rPr>
          <w:t>Article 35.51: Repetitive Petition, Safe-Harbour, and Process-Abuse Rules</w:t>
        </w:r>
      </w:hyperlink>
      <w:r>
        <w:tab/>
      </w:r>
      <w:r>
        <w:rPr>
          <w:rFonts w:ascii="Arial" w:hAnsi="Arial"/>
        </w:rPr>
        <w:t>1059</w:t>
      </w:r>
    </w:p>
    <w:p>
      <w:pPr>
        <w:pStyle w:val="TOC2"/>
        <w:widowControl/>
        <w:tabs>
          <w:tab w:pos="8856" w:val="right" w:leader="dot"/>
        </w:tabs>
      </w:pPr>
      <w:hyperlink w:anchor="_NAESTMA_TOC_1366" w:history="1">
        <w:r>
          <w:rPr>
            <w:color w:val="466B7A"/>
          </w:rPr>
          <w:t>Article 35.52: Exceptional Remedy Learning and Self-Extinguishing Tariff Review</w:t>
        </w:r>
      </w:hyperlink>
      <w:r>
        <w:tab/>
      </w:r>
      <w:r>
        <w:rPr>
          <w:rFonts w:ascii="Arial" w:hAnsi="Arial"/>
        </w:rPr>
        <w:t>1059</w:t>
      </w:r>
    </w:p>
    <w:p>
      <w:pPr>
        <w:pStyle w:val="TOC2"/>
        <w:widowControl/>
        <w:tabs>
          <w:tab w:pos="8856" w:val="right" w:leader="dot"/>
        </w:tabs>
      </w:pPr>
      <w:hyperlink w:anchor="_NAESTMA_TOC_1367" w:history="1">
        <w:r>
          <w:rPr>
            <w:color w:val="466B7A"/>
          </w:rPr>
          <w:t>Article 35.53: Material Non-Public Trade Information and Market Integrity Firewall</w:t>
        </w:r>
      </w:hyperlink>
      <w:r>
        <w:tab/>
      </w:r>
      <w:r>
        <w:rPr>
          <w:rFonts w:ascii="Arial" w:hAnsi="Arial"/>
        </w:rPr>
        <w:t>1059</w:t>
      </w:r>
    </w:p>
    <w:p>
      <w:pPr>
        <w:pStyle w:val="TOC2"/>
        <w:widowControl/>
        <w:tabs>
          <w:tab w:pos="8856" w:val="right" w:leader="dot"/>
        </w:tabs>
      </w:pPr>
      <w:hyperlink w:anchor="_NAESTMA_TOC_1368" w:history="1">
        <w:r>
          <w:rPr>
            <w:color w:val="466B7A"/>
          </w:rPr>
          <w:t>Article 35.54: Trading Blackout, Preclearance, Beneficial Ownership, and Record…</w:t>
        </w:r>
      </w:hyperlink>
      <w:r>
        <w:tab/>
      </w:r>
      <w:r>
        <w:rPr>
          <w:rFonts w:ascii="Arial" w:hAnsi="Arial"/>
        </w:rPr>
        <w:t>1060</w:t>
      </w:r>
    </w:p>
    <w:p>
      <w:pPr>
        <w:pStyle w:val="TOC2"/>
        <w:widowControl/>
        <w:tabs>
          <w:tab w:pos="8856" w:val="right" w:leader="dot"/>
        </w:tabs>
      </w:pPr>
      <w:hyperlink w:anchor="_NAESTMA_TOC_1369" w:history="1">
        <w:r>
          <w:rPr>
            <w:color w:val="466B7A"/>
          </w:rPr>
          <w:t>Article 35.55: Simultaneous Publication, Selective Disclosure, and Rumour Firewall</w:t>
        </w:r>
      </w:hyperlink>
      <w:r>
        <w:tab/>
      </w:r>
      <w:r>
        <w:rPr>
          <w:rFonts w:ascii="Arial" w:hAnsi="Arial"/>
        </w:rPr>
        <w:t>1060</w:t>
      </w:r>
    </w:p>
    <w:p>
      <w:pPr>
        <w:pStyle w:val="TOC2"/>
        <w:widowControl/>
        <w:tabs>
          <w:tab w:pos="8856" w:val="right" w:leader="dot"/>
        </w:tabs>
      </w:pPr>
      <w:hyperlink w:anchor="_NAESTMA_TOC_1370" w:history="1">
        <w:r>
          <w:rPr>
            <w:color w:val="466B7A"/>
          </w:rPr>
          <w:t>Article 35.56: Market Surveillance Cooperation and Independent Market Integrity Review</w:t>
        </w:r>
      </w:hyperlink>
      <w:r>
        <w:tab/>
      </w:r>
      <w:r>
        <w:rPr>
          <w:rFonts w:ascii="Arial" w:hAnsi="Arial"/>
        </w:rPr>
        <w:t>1060</w:t>
      </w:r>
    </w:p>
    <w:p>
      <w:pPr>
        <w:pStyle w:val="TOC2"/>
        <w:widowControl/>
        <w:tabs>
          <w:tab w:pos="8856" w:val="right" w:leader="dot"/>
        </w:tabs>
      </w:pPr>
      <w:hyperlink w:anchor="_NAESTMA_TOC_1371" w:history="1">
        <w:r>
          <w:rPr>
            <w:color w:val="466B7A"/>
          </w:rPr>
          <w:t>Article 35.57: Market Manipulation Consequences, Disgorgement Cooperation, and…</w:t>
        </w:r>
      </w:hyperlink>
      <w:r>
        <w:tab/>
      </w:r>
      <w:r>
        <w:rPr>
          <w:rFonts w:ascii="Arial" w:hAnsi="Arial"/>
        </w:rPr>
        <w:t>1061</w:t>
      </w:r>
    </w:p>
    <w:p>
      <w:pPr>
        <w:pStyle w:val="TOC2"/>
        <w:widowControl/>
        <w:tabs>
          <w:tab w:pos="8856" w:val="right" w:leader="dot"/>
        </w:tabs>
      </w:pPr>
      <w:hyperlink w:anchor="_NAESTMA_TOC_1372" w:history="1">
        <w:r>
          <w:rPr>
            <w:color w:val="466B7A"/>
          </w:rPr>
          <w:t>Article 35.58: Market-Impact Evidence for the Three-Year Tariff Abolition Study</w:t>
        </w:r>
      </w:hyperlink>
      <w:r>
        <w:tab/>
      </w:r>
      <w:r>
        <w:rPr>
          <w:rFonts w:ascii="Arial" w:hAnsi="Arial"/>
        </w:rPr>
        <w:t>1061</w:t>
      </w:r>
    </w:p>
    <w:p>
      <w:pPr>
        <w:pStyle w:val="TOC2"/>
        <w:widowControl/>
        <w:tabs>
          <w:tab w:pos="8856" w:val="right" w:leader="dot"/>
        </w:tabs>
      </w:pPr>
      <w:hyperlink w:anchor="_NAESTMA_TOC_1373" w:history="1">
        <w:r>
          <w:rPr>
            <w:color w:val="466B7A"/>
          </w:rPr>
          <w:t>ANNEX 35-J: MARKET INTEGRITY OPERATING RULES</w:t>
        </w:r>
      </w:hyperlink>
      <w:r>
        <w:tab/>
      </w:r>
      <w:r>
        <w:rPr>
          <w:rFonts w:ascii="Arial" w:hAnsi="Arial"/>
        </w:rPr>
        <w:t>1061</w:t>
      </w:r>
    </w:p>
    <w:p>
      <w:pPr>
        <w:pStyle w:val="TOC2"/>
        <w:widowControl/>
        <w:tabs>
          <w:tab w:pos="8856" w:val="right" w:leader="dot"/>
        </w:tabs>
      </w:pPr>
      <w:hyperlink w:anchor="_NAESTMA_TOC_1374" w:history="1">
        <w:r>
          <w:rPr>
            <w:color w:val="466B7A"/>
          </w:rPr>
          <w:t>Article 35.59: Treaty-Wide Issue-Nexus and Non-Trade Coercion Firewall</w:t>
        </w:r>
      </w:hyperlink>
      <w:r>
        <w:tab/>
      </w:r>
      <w:r>
        <w:rPr>
          <w:rFonts w:ascii="Arial" w:hAnsi="Arial"/>
        </w:rPr>
        <w:t>1062</w:t>
      </w:r>
    </w:p>
    <w:p>
      <w:pPr>
        <w:pStyle w:val="TOC2"/>
        <w:widowControl/>
        <w:tabs>
          <w:tab w:pos="8856" w:val="right" w:leader="dot"/>
        </w:tabs>
      </w:pPr>
      <w:hyperlink w:anchor="_NAESTMA_TOC_1375" w:history="1">
        <w:r>
          <w:rPr>
            <w:color w:val="466B7A"/>
          </w:rPr>
          <w:t>ANNEX 35-G: DEMERIT POINT AND PREFERENCE STEP-BACK MATRIX</w:t>
        </w:r>
      </w:hyperlink>
      <w:r>
        <w:tab/>
      </w:r>
      <w:r>
        <w:rPr>
          <w:rFonts w:ascii="Arial" w:hAnsi="Arial"/>
        </w:rPr>
        <w:t>1062</w:t>
      </w:r>
    </w:p>
    <w:p>
      <w:pPr>
        <w:pStyle w:val="TOC2"/>
        <w:widowControl/>
        <w:tabs>
          <w:tab w:pos="8856" w:val="right" w:leader="dot"/>
        </w:tabs>
      </w:pPr>
      <w:hyperlink w:anchor="_NAESTMA_TOC_1376" w:history="1">
        <w:r>
          <w:rPr>
            <w:color w:val="466B7A"/>
          </w:rPr>
          <w:t>ANNEX 35-H: ROTATING NEUTRAL GUARANTOR POOL</w:t>
        </w:r>
      </w:hyperlink>
      <w:r>
        <w:tab/>
      </w:r>
      <w:r>
        <w:rPr>
          <w:rFonts w:ascii="Arial" w:hAnsi="Arial"/>
        </w:rPr>
        <w:t>1063</w:t>
      </w:r>
    </w:p>
    <w:p>
      <w:pPr>
        <w:pStyle w:val="TOC2"/>
        <w:widowControl/>
        <w:tabs>
          <w:tab w:pos="8856" w:val="right" w:leader="dot"/>
        </w:tabs>
      </w:pPr>
      <w:hyperlink w:anchor="_NAESTMA_TOC_1377" w:history="1">
        <w:r>
          <w:rPr>
            <w:color w:val="466B7A"/>
          </w:rPr>
          <w:t>ANNEX 35-F: COTHROM BALANCED VERIFICATION OPERATING PROTOCOL</w:t>
        </w:r>
      </w:hyperlink>
      <w:r>
        <w:tab/>
      </w:r>
      <w:r>
        <w:rPr>
          <w:rFonts w:ascii="Arial" w:hAnsi="Arial"/>
        </w:rPr>
        <w:t>1063</w:t>
      </w:r>
    </w:p>
    <w:p>
      <w:pPr>
        <w:pStyle w:val="TOC2"/>
        <w:widowControl/>
        <w:tabs>
          <w:tab w:pos="8856" w:val="right" w:leader="dot"/>
        </w:tabs>
      </w:pPr>
      <w:hyperlink w:anchor="_NAESTMA_TOC_1378" w:history="1">
        <w:r>
          <w:rPr>
            <w:color w:val="466B7A"/>
          </w:rPr>
          <w:t>ANNEX 35-D: LEGACY MEASURE WIND-DOWN SCHEDULE</w:t>
        </w:r>
      </w:hyperlink>
      <w:r>
        <w:tab/>
      </w:r>
      <w:r>
        <w:rPr>
          <w:rFonts w:ascii="Arial" w:hAnsi="Arial"/>
        </w:rPr>
        <w:t>1064</w:t>
      </w:r>
    </w:p>
    <w:p>
      <w:pPr>
        <w:pStyle w:val="TOC2"/>
        <w:widowControl/>
        <w:tabs>
          <w:tab w:pos="8856" w:val="right" w:leader="dot"/>
        </w:tabs>
      </w:pPr>
      <w:hyperlink w:anchor="_NAESTMA_TOC_1379" w:history="1">
        <w:r>
          <w:rPr>
            <w:color w:val="466B7A"/>
          </w:rPr>
          <w:t>ANNEX 35-D.1: PRINCIPAL-LEVEL TARIFF LANDING OPTIONS</w:t>
        </w:r>
      </w:hyperlink>
      <w:r>
        <w:tab/>
      </w:r>
      <w:r>
        <w:rPr>
          <w:rFonts w:ascii="Arial" w:hAnsi="Arial"/>
        </w:rPr>
        <w:t>1065</w:t>
      </w:r>
    </w:p>
    <w:p>
      <w:pPr>
        <w:pStyle w:val="TOC2"/>
        <w:widowControl/>
        <w:tabs>
          <w:tab w:pos="8856" w:val="right" w:leader="dot"/>
        </w:tabs>
      </w:pPr>
      <w:hyperlink w:anchor="_NAESTMA_TOC_1380" w:history="1">
        <w:r>
          <w:rPr>
            <w:color w:val="466B7A"/>
          </w:rPr>
          <w:t>ANNEX 35-E: MARKET-ACCESS CREDITS (OPTIONAL INSTRUMENT)</w:t>
        </w:r>
      </w:hyperlink>
      <w:r>
        <w:tab/>
      </w:r>
      <w:r>
        <w:rPr>
          <w:rFonts w:ascii="Arial" w:hAnsi="Arial"/>
        </w:rPr>
        <w:t>1066</w:t>
      </w:r>
    </w:p>
    <w:p>
      <w:pPr>
        <w:pStyle w:val="TOC2"/>
        <w:widowControl/>
        <w:tabs>
          <w:tab w:pos="8856" w:val="right" w:leader="dot"/>
        </w:tabs>
      </w:pPr>
      <w:hyperlink w:anchor="_NAESTMA_TOC_1381" w:history="1">
        <w:r>
          <w:rPr>
            <w:color w:val="466B7A"/>
          </w:rPr>
          <w:t>Article 35.3A: Binding Effect of Tariff Suspensions</w:t>
        </w:r>
      </w:hyperlink>
      <w:r>
        <w:tab/>
      </w:r>
      <w:r>
        <w:rPr>
          <w:rFonts w:ascii="Arial" w:hAnsi="Arial"/>
        </w:rPr>
        <w:t>1066</w:t>
      </w:r>
    </w:p>
    <w:p>
      <w:pPr>
        <w:pStyle w:val="TOC2"/>
        <w:widowControl/>
        <w:tabs>
          <w:tab w:pos="8856" w:val="right" w:leader="dot"/>
        </w:tabs>
      </w:pPr>
      <w:hyperlink w:anchor="_NAESTMA_TOC_1382" w:history="1">
        <w:r>
          <w:rPr>
            <w:color w:val="466B7A"/>
          </w:rPr>
          <w:t>Article 35.3B: Negotiation-Pause Continuity Protocol</w:t>
        </w:r>
      </w:hyperlink>
      <w:r>
        <w:tab/>
      </w:r>
      <w:r>
        <w:rPr>
          <w:rFonts w:ascii="Arial" w:hAnsi="Arial"/>
        </w:rPr>
        <w:t>1067</w:t>
      </w:r>
    </w:p>
    <w:p>
      <w:pPr>
        <w:pStyle w:val="TOC2"/>
        <w:widowControl/>
        <w:tabs>
          <w:tab w:pos="8856" w:val="right" w:leader="dot"/>
        </w:tabs>
      </w:pPr>
      <w:hyperlink w:anchor="_NAESTMA_TOC_1383" w:history="1">
        <w:r>
          <w:rPr>
            <w:color w:val="466B7A"/>
          </w:rPr>
          <w:t>Article 35.3C: Interim Legal-Text Finalization Protection</w:t>
        </w:r>
      </w:hyperlink>
      <w:r>
        <w:tab/>
      </w:r>
      <w:r>
        <w:rPr>
          <w:rFonts w:ascii="Arial" w:hAnsi="Arial"/>
        </w:rPr>
        <w:t>1067</w:t>
      </w:r>
    </w:p>
    <w:p>
      <w:pPr>
        <w:pStyle w:val="TOC2"/>
        <w:widowControl/>
        <w:tabs>
          <w:tab w:pos="8856" w:val="right" w:leader="dot"/>
        </w:tabs>
      </w:pPr>
      <w:hyperlink w:anchor="_NAESTMA_TOC_1384" w:history="1">
        <w:r>
          <w:rPr>
            <w:color w:val="466B7A"/>
          </w:rPr>
          <w:t>Article 35.11A: Screening Indicator Safe Harbor</w:t>
        </w:r>
      </w:hyperlink>
      <w:r>
        <w:tab/>
      </w:r>
      <w:r>
        <w:rPr>
          <w:rFonts w:ascii="Arial" w:hAnsi="Arial"/>
        </w:rPr>
        <w:t>1067</w:t>
      </w:r>
    </w:p>
    <w:p>
      <w:pPr>
        <w:pStyle w:val="TOC2"/>
        <w:widowControl/>
        <w:tabs>
          <w:tab w:pos="8856" w:val="right" w:leader="dot"/>
        </w:tabs>
      </w:pPr>
      <w:hyperlink w:anchor="_NAESTMA_TOC_1385" w:history="1">
        <w:r>
          <w:rPr>
            <w:color w:val="466B7A"/>
          </w:rPr>
          <w:t>Article 35.29A: Review Is Modernization, Not Renewal</w:t>
        </w:r>
      </w:hyperlink>
      <w:r>
        <w:tab/>
      </w:r>
      <w:r>
        <w:rPr>
          <w:rFonts w:ascii="Arial" w:hAnsi="Arial"/>
        </w:rPr>
        <w:t>1067</w:t>
      </w:r>
    </w:p>
    <w:p>
      <w:pPr>
        <w:pStyle w:val="TOC2"/>
        <w:widowControl/>
        <w:tabs>
          <w:tab w:pos="8856" w:val="right" w:leader="dot"/>
        </w:tabs>
      </w:pPr>
      <w:hyperlink w:anchor="_NAESTMA_TOC_1386" w:history="1">
        <w:r>
          <w:rPr>
            <w:color w:val="466B7A"/>
          </w:rPr>
          <w:t>Article 35.30A: Good Faith and Non-Weaponization of Covered Border Measures</w:t>
        </w:r>
      </w:hyperlink>
      <w:r>
        <w:tab/>
      </w:r>
      <w:r>
        <w:rPr>
          <w:rFonts w:ascii="Arial" w:hAnsi="Arial"/>
        </w:rPr>
        <w:t>1067</w:t>
      </w:r>
    </w:p>
    <w:p>
      <w:pPr>
        <w:pStyle w:val="TOC2"/>
        <w:widowControl/>
        <w:tabs>
          <w:tab w:pos="8856" w:val="right" w:leader="dot"/>
        </w:tabs>
      </w:pPr>
      <w:hyperlink w:anchor="_NAESTMA_TOC_1387" w:history="1">
        <w:r>
          <w:rPr>
            <w:color w:val="466B7A"/>
          </w:rPr>
          <w:t>Article 35.30B: North American Trilateral Anti-Fragmentation Protocol</w:t>
        </w:r>
      </w:hyperlink>
      <w:r>
        <w:tab/>
      </w:r>
      <w:r>
        <w:rPr>
          <w:rFonts w:ascii="Arial" w:hAnsi="Arial"/>
        </w:rPr>
        <w:t>1068</w:t>
      </w:r>
    </w:p>
    <w:p>
      <w:pPr>
        <w:pStyle w:val="TOC2"/>
        <w:widowControl/>
        <w:tabs>
          <w:tab w:pos="8856" w:val="right" w:leader="dot"/>
        </w:tabs>
      </w:pPr>
      <w:hyperlink w:anchor="_NAESTMA_TOC_1388" w:history="1">
        <w:r>
          <w:rPr>
            <w:color w:val="466B7A"/>
          </w:rPr>
          <w:t>Article 35.33: Permanent Continental Zero-Tariff Presumption</w:t>
        </w:r>
      </w:hyperlink>
      <w:r>
        <w:tab/>
      </w:r>
      <w:r>
        <w:rPr>
          <w:rFonts w:ascii="Arial" w:hAnsi="Arial"/>
        </w:rPr>
        <w:t>1069</w:t>
      </w:r>
    </w:p>
    <w:p>
      <w:pPr>
        <w:pStyle w:val="TOC2"/>
        <w:widowControl/>
        <w:tabs>
          <w:tab w:pos="8856" w:val="right" w:leader="dot"/>
        </w:tabs>
      </w:pPr>
      <w:hyperlink w:anchor="_NAESTMA_TOC_1389" w:history="1">
        <w:r>
          <w:rPr>
            <w:color w:val="466B7A"/>
          </w:rPr>
          <w:t>Article 35.34: Corrective Tariff Budget and Six-Month Lockout</w:t>
        </w:r>
      </w:hyperlink>
      <w:r>
        <w:tab/>
      </w:r>
      <w:r>
        <w:rPr>
          <w:rFonts w:ascii="Arial" w:hAnsi="Arial"/>
        </w:rPr>
        <w:t>1069</w:t>
      </w:r>
    </w:p>
    <w:p>
      <w:pPr>
        <w:pStyle w:val="TOC2"/>
        <w:widowControl/>
        <w:tabs>
          <w:tab w:pos="8856" w:val="right" w:leader="dot"/>
        </w:tabs>
      </w:pPr>
      <w:hyperlink w:anchor="_NAESTMA_TOC_1390" w:history="1">
        <w:r>
          <w:rPr>
            <w:color w:val="466B7A"/>
          </w:rPr>
          <w:t>Article 35.35: Humanitarian Tariff Firewall</w:t>
        </w:r>
      </w:hyperlink>
      <w:r>
        <w:tab/>
      </w:r>
      <w:r>
        <w:rPr>
          <w:rFonts w:ascii="Arial" w:hAnsi="Arial"/>
        </w:rPr>
        <w:t>1070</w:t>
      </w:r>
    </w:p>
    <w:p>
      <w:pPr>
        <w:pStyle w:val="TOC1"/>
        <w:widowControl/>
        <w:tabs>
          <w:tab w:pos="8856" w:val="right" w:leader="dot"/>
        </w:tabs>
      </w:pPr>
      <w:hyperlink w:anchor="_NAESTMA_TOC_1391" w:history="1">
        <w:r>
          <w:rPr>
            <w:color w:val="233746"/>
          </w:rPr>
          <w:t>CHAPTER 36</w:t>
        </w:r>
      </w:hyperlink>
      <w:r>
        <w:tab/>
      </w:r>
      <w:r>
        <w:rPr>
          <w:rFonts w:ascii="Arial" w:hAnsi="Arial"/>
        </w:rPr>
        <w:t>1071</w:t>
      </w:r>
    </w:p>
    <w:p>
      <w:pPr>
        <w:pStyle w:val="TOC1"/>
        <w:widowControl/>
        <w:tabs>
          <w:tab w:pos="8856" w:val="right" w:leader="dot"/>
        </w:tabs>
      </w:pPr>
      <w:hyperlink w:anchor="_NAESTMA_TOC_1392" w:history="1">
        <w:r>
          <w:rPr>
            <w:color w:val="233746"/>
          </w:rPr>
          <w:t>NORTH AMERICAN ECONOMIC SECURITY AND SUPPLY CHAIN RESILIENCE</w:t>
        </w:r>
      </w:hyperlink>
      <w:r>
        <w:tab/>
      </w:r>
      <w:r>
        <w:rPr>
          <w:rFonts w:ascii="Arial" w:hAnsi="Arial"/>
        </w:rPr>
        <w:t>40</w:t>
      </w:r>
    </w:p>
    <w:p>
      <w:pPr>
        <w:pStyle w:val="TOC2"/>
        <w:widowControl/>
        <w:tabs>
          <w:tab w:pos="8856" w:val="right" w:leader="dot"/>
        </w:tabs>
      </w:pPr>
      <w:hyperlink w:anchor="_NAESTMA_TOC_1393" w:history="1">
        <w:r>
          <w:rPr>
            <w:color w:val="466B7A"/>
          </w:rPr>
          <w:t>Article 36.1: Purpose and Concept</w:t>
        </w:r>
      </w:hyperlink>
      <w:r>
        <w:tab/>
      </w:r>
      <w:r>
        <w:rPr>
          <w:rFonts w:ascii="Arial" w:hAnsi="Arial"/>
        </w:rPr>
        <w:t>1071</w:t>
      </w:r>
    </w:p>
    <w:p>
      <w:pPr>
        <w:pStyle w:val="TOC2"/>
        <w:widowControl/>
        <w:tabs>
          <w:tab w:pos="8856" w:val="right" w:leader="dot"/>
        </w:tabs>
      </w:pPr>
      <w:hyperlink w:anchor="_NAESTMA_TOC_1394" w:history="1">
        <w:r>
          <w:rPr>
            <w:color w:val="466B7A"/>
          </w:rPr>
          <w:t>Article 36.2: Definitions</w:t>
        </w:r>
      </w:hyperlink>
      <w:r>
        <w:tab/>
      </w:r>
      <w:r>
        <w:rPr>
          <w:rFonts w:ascii="Arial" w:hAnsi="Arial"/>
        </w:rPr>
        <w:t>1071</w:t>
      </w:r>
    </w:p>
    <w:p>
      <w:pPr>
        <w:pStyle w:val="TOC2"/>
        <w:widowControl/>
        <w:tabs>
          <w:tab w:pos="8856" w:val="right" w:leader="dot"/>
        </w:tabs>
      </w:pPr>
      <w:hyperlink w:anchor="_NAESTMA_TOC_1395" w:history="1">
        <w:r>
          <w:rPr>
            <w:color w:val="466B7A"/>
          </w:rPr>
          <w:t>Article 36.3: Economic Security and Supply Chain Resilience Subcommittee</w:t>
        </w:r>
      </w:hyperlink>
      <w:r>
        <w:tab/>
      </w:r>
      <w:r>
        <w:rPr>
          <w:rFonts w:ascii="Arial" w:hAnsi="Arial"/>
        </w:rPr>
        <w:t>1071</w:t>
      </w:r>
    </w:p>
    <w:p>
      <w:pPr>
        <w:pStyle w:val="TOC2"/>
        <w:widowControl/>
        <w:tabs>
          <w:tab w:pos="8856" w:val="right" w:leader="dot"/>
        </w:tabs>
      </w:pPr>
      <w:hyperlink w:anchor="_NAESTMA_TOC_1396" w:history="1">
        <w:r>
          <w:rPr>
            <w:color w:val="466B7A"/>
          </w:rPr>
          <w:t>Article 36.4: Designated Strategic Sectors</w:t>
        </w:r>
      </w:hyperlink>
      <w:r>
        <w:tab/>
      </w:r>
      <w:r>
        <w:rPr>
          <w:rFonts w:ascii="Arial" w:hAnsi="Arial"/>
        </w:rPr>
        <w:t>1072</w:t>
      </w:r>
    </w:p>
    <w:p>
      <w:pPr>
        <w:pStyle w:val="TOC2"/>
        <w:widowControl/>
        <w:tabs>
          <w:tab w:pos="8856" w:val="right" w:leader="dot"/>
        </w:tabs>
      </w:pPr>
      <w:hyperlink w:anchor="_NAESTMA_TOC_1397" w:history="1">
        <w:r>
          <w:rPr>
            <w:color w:val="466B7A"/>
          </w:rPr>
          <w:t>Article 36.5: Common External Defense Against Circumvention</w:t>
        </w:r>
      </w:hyperlink>
      <w:r>
        <w:tab/>
      </w:r>
      <w:r>
        <w:rPr>
          <w:rFonts w:ascii="Arial" w:hAnsi="Arial"/>
        </w:rPr>
        <w:t>1072</w:t>
      </w:r>
    </w:p>
    <w:p>
      <w:pPr>
        <w:pStyle w:val="TOC2"/>
        <w:widowControl/>
        <w:tabs>
          <w:tab w:pos="8856" w:val="right" w:leader="dot"/>
        </w:tabs>
      </w:pPr>
      <w:hyperlink w:anchor="_NAESTMA_TOC_1398" w:history="1">
        <w:r>
          <w:rPr>
            <w:color w:val="466B7A"/>
          </w:rPr>
          <w:t>Article 36.6: Trusted North American Origin</w:t>
        </w:r>
      </w:hyperlink>
      <w:r>
        <w:tab/>
      </w:r>
      <w:r>
        <w:rPr>
          <w:rFonts w:ascii="Arial" w:hAnsi="Arial"/>
        </w:rPr>
        <w:t>1072</w:t>
      </w:r>
    </w:p>
    <w:p>
      <w:pPr>
        <w:pStyle w:val="TOC2"/>
        <w:widowControl/>
        <w:tabs>
          <w:tab w:pos="8856" w:val="right" w:leader="dot"/>
        </w:tabs>
      </w:pPr>
      <w:hyperlink w:anchor="_NAESTMA_TOC_1399" w:history="1">
        <w:r>
          <w:rPr>
            <w:color w:val="466B7A"/>
          </w:rPr>
          <w:t>Article 36.7: Non-Market Practices</w:t>
        </w:r>
      </w:hyperlink>
      <w:r>
        <w:tab/>
      </w:r>
      <w:r>
        <w:rPr>
          <w:rFonts w:ascii="Arial" w:hAnsi="Arial"/>
        </w:rPr>
        <w:t>1073</w:t>
      </w:r>
    </w:p>
    <w:p>
      <w:pPr>
        <w:pStyle w:val="TOC2"/>
        <w:widowControl/>
        <w:tabs>
          <w:tab w:pos="8856" w:val="right" w:leader="dot"/>
        </w:tabs>
      </w:pPr>
      <w:hyperlink w:anchor="_NAESTMA_TOC_1400" w:history="1">
        <w:r>
          <w:rPr>
            <w:color w:val="466B7A"/>
          </w:rPr>
          <w:t>Article 36.8: Investment Screening Consultation</w:t>
        </w:r>
      </w:hyperlink>
      <w:r>
        <w:tab/>
      </w:r>
      <w:r>
        <w:rPr>
          <w:rFonts w:ascii="Arial" w:hAnsi="Arial"/>
        </w:rPr>
        <w:t>1073</w:t>
      </w:r>
    </w:p>
    <w:p>
      <w:pPr>
        <w:pStyle w:val="TOC2"/>
        <w:widowControl/>
        <w:tabs>
          <w:tab w:pos="8856" w:val="right" w:leader="dot"/>
        </w:tabs>
      </w:pPr>
      <w:hyperlink w:anchor="_NAESTMA_TOC_1401" w:history="1">
        <w:r>
          <w:rPr>
            <w:color w:val="466B7A"/>
          </w:rPr>
          <w:t>Article 36.9: Sovereignty Safeguard</w:t>
        </w:r>
      </w:hyperlink>
      <w:r>
        <w:tab/>
      </w:r>
      <w:r>
        <w:rPr>
          <w:rFonts w:ascii="Arial" w:hAnsi="Arial"/>
        </w:rPr>
        <w:t>1074</w:t>
      </w:r>
    </w:p>
    <w:p>
      <w:pPr>
        <w:pStyle w:val="TOC2"/>
        <w:widowControl/>
        <w:tabs>
          <w:tab w:pos="8856" w:val="right" w:leader="dot"/>
        </w:tabs>
      </w:pPr>
      <w:hyperlink w:anchor="_NAESTMA_TOC_1402" w:history="1">
        <w:r>
          <w:rPr>
            <w:color w:val="466B7A"/>
          </w:rPr>
          <w:t>Article 36.10: Data, Metrics, and Early Warning</w:t>
        </w:r>
      </w:hyperlink>
      <w:r>
        <w:tab/>
      </w:r>
      <w:r>
        <w:rPr>
          <w:rFonts w:ascii="Arial" w:hAnsi="Arial"/>
        </w:rPr>
        <w:t>1074</w:t>
      </w:r>
    </w:p>
    <w:p>
      <w:pPr>
        <w:pStyle w:val="TOC2"/>
        <w:widowControl/>
        <w:tabs>
          <w:tab w:pos="8856" w:val="right" w:leader="dot"/>
        </w:tabs>
      </w:pPr>
      <w:hyperlink w:anchor="_NAESTMA_TOC_1403" w:history="1">
        <w:r>
          <w:rPr>
            <w:color w:val="466B7A"/>
          </w:rPr>
          <w:t>Article 36.11: North American Anti-Circumvention Rapid Response</w:t>
        </w:r>
      </w:hyperlink>
      <w:r>
        <w:tab/>
      </w:r>
      <w:r>
        <w:rPr>
          <w:rFonts w:ascii="Arial" w:hAnsi="Arial"/>
        </w:rPr>
        <w:t>1074</w:t>
      </w:r>
    </w:p>
    <w:p>
      <w:pPr>
        <w:pStyle w:val="TOC2"/>
        <w:widowControl/>
        <w:tabs>
          <w:tab w:pos="8856" w:val="right" w:leader="dot"/>
        </w:tabs>
      </w:pPr>
      <w:hyperlink w:anchor="_NAESTMA_TOC_1404" w:history="1">
        <w:r>
          <w:rPr>
            <w:color w:val="466B7A"/>
          </w:rPr>
          <w:t>Article 36.12: Enhanced North American Content Incentives</w:t>
        </w:r>
      </w:hyperlink>
      <w:r>
        <w:tab/>
      </w:r>
      <w:r>
        <w:rPr>
          <w:rFonts w:ascii="Arial" w:hAnsi="Arial"/>
        </w:rPr>
        <w:t>1074</w:t>
      </w:r>
    </w:p>
    <w:p>
      <w:pPr>
        <w:pStyle w:val="TOC2"/>
        <w:widowControl/>
        <w:tabs>
          <w:tab w:pos="8856" w:val="right" w:leader="dot"/>
        </w:tabs>
      </w:pPr>
      <w:hyperlink w:anchor="_NAESTMA_TOC_1405" w:history="1">
        <w:r>
          <w:rPr>
            <w:color w:val="466B7A"/>
          </w:rPr>
          <w:t>Article 36.13: Automotive, Battery, and Advanced-Component Investment Facilitation</w:t>
        </w:r>
      </w:hyperlink>
      <w:r>
        <w:tab/>
      </w:r>
      <w:r>
        <w:rPr>
          <w:rFonts w:ascii="Arial" w:hAnsi="Arial"/>
        </w:rPr>
        <w:t>1075</w:t>
      </w:r>
    </w:p>
    <w:p>
      <w:pPr>
        <w:pStyle w:val="TOC2"/>
        <w:widowControl/>
        <w:tabs>
          <w:tab w:pos="8856" w:val="right" w:leader="dot"/>
        </w:tabs>
      </w:pPr>
      <w:hyperlink w:anchor="_NAESTMA_TOC_1406" w:history="1">
        <w:r>
          <w:rPr>
            <w:color w:val="466B7A"/>
          </w:rPr>
          <w:t>Article 36.13A: Voluntary United States Manufacturing Accelerator</w:t>
        </w:r>
      </w:hyperlink>
      <w:r>
        <w:tab/>
      </w:r>
      <w:r>
        <w:rPr>
          <w:rFonts w:ascii="Arial" w:hAnsi="Arial"/>
        </w:rPr>
        <w:t>1075</w:t>
      </w:r>
    </w:p>
    <w:p>
      <w:pPr>
        <w:pStyle w:val="TOC2"/>
        <w:widowControl/>
        <w:tabs>
          <w:tab w:pos="8856" w:val="right" w:leader="dot"/>
        </w:tabs>
      </w:pPr>
      <w:hyperlink w:anchor="_NAESTMA_TOC_1407" w:history="1">
        <w:r>
          <w:rPr>
            <w:color w:val="466B7A"/>
          </w:rPr>
          <w:t>Article 36.14: North American Steel and Aluminum Security Framework</w:t>
        </w:r>
      </w:hyperlink>
      <w:r>
        <w:tab/>
      </w:r>
      <w:r>
        <w:rPr>
          <w:rFonts w:ascii="Arial" w:hAnsi="Arial"/>
        </w:rPr>
        <w:t>1075</w:t>
      </w:r>
    </w:p>
    <w:p>
      <w:pPr>
        <w:pStyle w:val="TOC2"/>
        <w:widowControl/>
        <w:tabs>
          <w:tab w:pos="8856" w:val="right" w:leader="dot"/>
        </w:tabs>
      </w:pPr>
      <w:hyperlink w:anchor="_NAESTMA_TOC_1408" w:history="1">
        <w:r>
          <w:rPr>
            <w:color w:val="466B7A"/>
          </w:rPr>
          <w:t>Article 36.14A: North American Metals Investment Compact</w:t>
        </w:r>
      </w:hyperlink>
      <w:r>
        <w:tab/>
      </w:r>
      <w:r>
        <w:rPr>
          <w:rFonts w:ascii="Arial" w:hAnsi="Arial"/>
        </w:rPr>
        <w:t>1076</w:t>
      </w:r>
    </w:p>
    <w:p>
      <w:pPr>
        <w:pStyle w:val="TOC2"/>
        <w:widowControl/>
        <w:tabs>
          <w:tab w:pos="8856" w:val="right" w:leader="dot"/>
        </w:tabs>
      </w:pPr>
      <w:hyperlink w:anchor="_NAESTMA_TOC_1409" w:history="1">
        <w:r>
          <w:rPr>
            <w:color w:val="466B7A"/>
          </w:rPr>
          <w:t>Article 36.15: Strategic Dependency Reduction and Reshoring</w:t>
        </w:r>
      </w:hyperlink>
      <w:r>
        <w:tab/>
      </w:r>
      <w:r>
        <w:rPr>
          <w:rFonts w:ascii="Arial" w:hAnsi="Arial"/>
        </w:rPr>
        <w:t>1077</w:t>
      </w:r>
    </w:p>
    <w:p>
      <w:pPr>
        <w:pStyle w:val="TOC2"/>
        <w:widowControl/>
        <w:tabs>
          <w:tab w:pos="8856" w:val="right" w:leader="dot"/>
        </w:tabs>
      </w:pPr>
      <w:hyperlink w:anchor="_NAESTMA_TOC_1410" w:history="1">
        <w:r>
          <w:rPr>
            <w:color w:val="466B7A"/>
          </w:rPr>
          <w:t>Article 36.16: Forced-Labor Perimeter and Trusted Supply-Chain Safe Harbor</w:t>
        </w:r>
      </w:hyperlink>
      <w:r>
        <w:tab/>
      </w:r>
      <w:r>
        <w:rPr>
          <w:rFonts w:ascii="Arial" w:hAnsi="Arial"/>
        </w:rPr>
        <w:t>1077</w:t>
      </w:r>
    </w:p>
    <w:p>
      <w:pPr>
        <w:pStyle w:val="TOC2"/>
        <w:widowControl/>
        <w:tabs>
          <w:tab w:pos="8856" w:val="right" w:leader="dot"/>
        </w:tabs>
      </w:pPr>
      <w:hyperlink w:anchor="_NAESTMA_TOC_1411" w:history="1">
        <w:r>
          <w:rPr>
            <w:color w:val="466B7A"/>
          </w:rPr>
          <w:t>Article 36.17: Origin Fraud and Repeat-Offender Discipline</w:t>
        </w:r>
      </w:hyperlink>
      <w:r>
        <w:tab/>
      </w:r>
      <w:r>
        <w:rPr>
          <w:rFonts w:ascii="Arial" w:hAnsi="Arial"/>
        </w:rPr>
        <w:t>1077</w:t>
      </w:r>
    </w:p>
    <w:p>
      <w:pPr>
        <w:pStyle w:val="TOC2"/>
        <w:widowControl/>
        <w:tabs>
          <w:tab w:pos="8856" w:val="right" w:leader="dot"/>
        </w:tabs>
      </w:pPr>
      <w:hyperlink w:anchor="_NAESTMA_TOC_1412" w:history="1">
        <w:r>
          <w:rPr>
            <w:color w:val="466B7A"/>
          </w:rPr>
          <w:t>Article 36.18: Agricultural Market-Access Assurance</w:t>
        </w:r>
      </w:hyperlink>
      <w:r>
        <w:tab/>
      </w:r>
      <w:r>
        <w:rPr>
          <w:rFonts w:ascii="Arial" w:hAnsi="Arial"/>
        </w:rPr>
        <w:t>1077</w:t>
      </w:r>
    </w:p>
    <w:p>
      <w:pPr>
        <w:pStyle w:val="TOC2"/>
        <w:widowControl/>
        <w:tabs>
          <w:tab w:pos="8856" w:val="right" w:leader="dot"/>
        </w:tabs>
      </w:pPr>
      <w:hyperlink w:anchor="_NAESTMA_TOC_1413" w:history="1">
        <w:r>
          <w:rPr>
            <w:color w:val="466B7A"/>
          </w:rPr>
          <w:t>Article 36.19: North American Energy Security and Continuity</w:t>
        </w:r>
      </w:hyperlink>
      <w:r>
        <w:tab/>
      </w:r>
      <w:r>
        <w:rPr>
          <w:rFonts w:ascii="Arial" w:hAnsi="Arial"/>
        </w:rPr>
        <w:t>1078</w:t>
      </w:r>
    </w:p>
    <w:p>
      <w:pPr>
        <w:pStyle w:val="TOC2"/>
        <w:widowControl/>
        <w:tabs>
          <w:tab w:pos="8856" w:val="right" w:leader="dot"/>
        </w:tabs>
      </w:pPr>
      <w:hyperlink w:anchor="_NAESTMA_TOC_1414" w:history="1">
        <w:r>
          <w:rPr>
            <w:color w:val="466B7A"/>
          </w:rPr>
          <w:t>Article 36.20: Semiconductor and Advanced-Manufacturing Compact</w:t>
        </w:r>
      </w:hyperlink>
      <w:r>
        <w:tab/>
      </w:r>
      <w:r>
        <w:rPr>
          <w:rFonts w:ascii="Arial" w:hAnsi="Arial"/>
        </w:rPr>
        <w:t>1078</w:t>
      </w:r>
    </w:p>
    <w:p>
      <w:pPr>
        <w:pStyle w:val="TOC2"/>
        <w:widowControl/>
        <w:tabs>
          <w:tab w:pos="8856" w:val="right" w:leader="dot"/>
        </w:tabs>
      </w:pPr>
      <w:hyperlink w:anchor="_NAESTMA_TOC_1415" w:history="1">
        <w:r>
          <w:rPr>
            <w:color w:val="466B7A"/>
          </w:rPr>
          <w:t>Article 36.21: Small-Business Export Fast Lane</w:t>
        </w:r>
      </w:hyperlink>
      <w:r>
        <w:tab/>
      </w:r>
      <w:r>
        <w:rPr>
          <w:rFonts w:ascii="Arial" w:hAnsi="Arial"/>
        </w:rPr>
        <w:t>1078</w:t>
      </w:r>
    </w:p>
    <w:p>
      <w:pPr>
        <w:pStyle w:val="TOC2"/>
        <w:widowControl/>
        <w:tabs>
          <w:tab w:pos="8856" w:val="right" w:leader="dot"/>
        </w:tabs>
      </w:pPr>
      <w:hyperlink w:anchor="_NAESTMA_TOC_1416" w:history="1">
        <w:r>
          <w:rPr>
            <w:color w:val="466B7A"/>
          </w:rPr>
          <w:t>Article 36.22: Regulatory Barrier Rapid Review</w:t>
        </w:r>
      </w:hyperlink>
      <w:r>
        <w:tab/>
      </w:r>
      <w:r>
        <w:rPr>
          <w:rFonts w:ascii="Arial" w:hAnsi="Arial"/>
        </w:rPr>
        <w:t>1078</w:t>
      </w:r>
    </w:p>
    <w:p>
      <w:pPr>
        <w:pStyle w:val="TOC2"/>
        <w:widowControl/>
        <w:tabs>
          <w:tab w:pos="8856" w:val="right" w:leader="dot"/>
        </w:tabs>
      </w:pPr>
      <w:hyperlink w:anchor="_NAESTMA_TOC_1417" w:history="1">
        <w:r>
          <w:rPr>
            <w:color w:val="466B7A"/>
          </w:rPr>
          <w:t>Article 36.23: Digital Trade and Advanced-Technology Non-Discrimination</w:t>
        </w:r>
      </w:hyperlink>
      <w:r>
        <w:tab/>
      </w:r>
      <w:r>
        <w:rPr>
          <w:rFonts w:ascii="Arial" w:hAnsi="Arial"/>
        </w:rPr>
        <w:t>1078</w:t>
      </w:r>
    </w:p>
    <w:p>
      <w:pPr>
        <w:pStyle w:val="TOC2"/>
        <w:widowControl/>
        <w:tabs>
          <w:tab w:pos="8856" w:val="right" w:leader="dot"/>
        </w:tabs>
      </w:pPr>
      <w:hyperlink w:anchor="_NAESTMA_TOC_1418" w:history="1">
        <w:r>
          <w:rPr>
            <w:color w:val="466B7A"/>
          </w:rPr>
          <w:t>Article 36.24: North American Trade Rebalancing and Investment Mechanism</w:t>
        </w:r>
      </w:hyperlink>
      <w:r>
        <w:tab/>
      </w:r>
      <w:r>
        <w:rPr>
          <w:rFonts w:ascii="Arial" w:hAnsi="Arial"/>
        </w:rPr>
        <w:t>1079</w:t>
      </w:r>
    </w:p>
    <w:p>
      <w:pPr>
        <w:pStyle w:val="TOC2"/>
        <w:widowControl/>
        <w:tabs>
          <w:tab w:pos="8856" w:val="right" w:leader="dot"/>
        </w:tabs>
      </w:pPr>
      <w:hyperlink w:anchor="_NAESTMA_TOC_1419" w:history="1">
        <w:r>
          <w:rPr>
            <w:color w:val="466B7A"/>
          </w:rPr>
          <w:t>Article 36.25: Voluntary Subnational Market Access Framework</w:t>
        </w:r>
      </w:hyperlink>
      <w:r>
        <w:tab/>
      </w:r>
      <w:r>
        <w:rPr>
          <w:rFonts w:ascii="Arial" w:hAnsi="Arial"/>
        </w:rPr>
        <w:t>1079</w:t>
      </w:r>
    </w:p>
    <w:p>
      <w:pPr>
        <w:pStyle w:val="TOC2"/>
        <w:widowControl/>
        <w:tabs>
          <w:tab w:pos="8856" w:val="right" w:leader="dot"/>
        </w:tabs>
      </w:pPr>
      <w:hyperlink w:anchor="_NAESTMA_TOC_1420" w:history="1">
        <w:r>
          <w:rPr>
            <w:color w:val="466B7A"/>
          </w:rPr>
          <w:t>Article 36.26: Provincial-Demand Agricultural Allocation Option</w:t>
        </w:r>
      </w:hyperlink>
      <w:r>
        <w:tab/>
      </w:r>
      <w:r>
        <w:rPr>
          <w:rFonts w:ascii="Arial" w:hAnsi="Arial"/>
        </w:rPr>
        <w:t>1080</w:t>
      </w:r>
    </w:p>
    <w:p>
      <w:pPr>
        <w:pStyle w:val="TOC2"/>
        <w:widowControl/>
        <w:tabs>
          <w:tab w:pos="8856" w:val="right" w:leader="dot"/>
        </w:tabs>
      </w:pPr>
      <w:hyperlink w:anchor="_NAESTMA_TOC_1421" w:history="1">
        <w:r>
          <w:rPr>
            <w:color w:val="466B7A"/>
          </w:rPr>
          <w:t>Article 36.27: Strategic Procurement and Trusted-Supplier Reciprocity</w:t>
        </w:r>
      </w:hyperlink>
      <w:r>
        <w:tab/>
      </w:r>
      <w:r>
        <w:rPr>
          <w:rFonts w:ascii="Arial" w:hAnsi="Arial"/>
        </w:rPr>
        <w:t>1080</w:t>
      </w:r>
    </w:p>
    <w:p>
      <w:pPr>
        <w:pStyle w:val="TOC2"/>
        <w:widowControl/>
        <w:tabs>
          <w:tab w:pos="8856" w:val="right" w:leader="dot"/>
        </w:tabs>
      </w:pPr>
      <w:hyperlink w:anchor="_NAESTMA_TOC_1422" w:history="1">
        <w:r>
          <w:rPr>
            <w:color w:val="466B7A"/>
          </w:rPr>
          <w:t>Article 36.28: Stronger-Deal Extension Review</w:t>
        </w:r>
      </w:hyperlink>
      <w:r>
        <w:tab/>
      </w:r>
      <w:r>
        <w:rPr>
          <w:rFonts w:ascii="Arial" w:hAnsi="Arial"/>
        </w:rPr>
        <w:t>1080</w:t>
      </w:r>
    </w:p>
    <w:p>
      <w:pPr>
        <w:pStyle w:val="TOC2"/>
        <w:widowControl/>
        <w:tabs>
          <w:tab w:pos="8856" w:val="right" w:leader="dot"/>
        </w:tabs>
      </w:pPr>
      <w:hyperlink w:anchor="_NAESTMA_TOC_1423" w:history="1">
        <w:r>
          <w:rPr>
            <w:color w:val="466B7A"/>
          </w:rPr>
          <w:t>Article 36.29: Supply-Chain Resilience and Worker Transition</w:t>
        </w:r>
      </w:hyperlink>
      <w:r>
        <w:tab/>
      </w:r>
      <w:r>
        <w:rPr>
          <w:rFonts w:ascii="Arial" w:hAnsi="Arial"/>
        </w:rPr>
        <w:t>1080</w:t>
      </w:r>
    </w:p>
    <w:p>
      <w:pPr>
        <w:pStyle w:val="TOC1"/>
        <w:widowControl/>
        <w:tabs>
          <w:tab w:pos="8856" w:val="right" w:leader="dot"/>
        </w:tabs>
      </w:pPr>
      <w:hyperlink w:anchor="_NAESTMA_TOC_1424" w:history="1">
        <w:r>
          <w:rPr>
            <w:color w:val="233746"/>
          </w:rPr>
          <w:t>CHAPTER 37</w:t>
        </w:r>
      </w:hyperlink>
      <w:r>
        <w:tab/>
      </w:r>
      <w:r>
        <w:rPr>
          <w:rFonts w:ascii="Arial" w:hAnsi="Arial"/>
        </w:rPr>
        <w:t>1082</w:t>
      </w:r>
    </w:p>
    <w:p>
      <w:pPr>
        <w:pStyle w:val="TOC1"/>
        <w:widowControl/>
        <w:tabs>
          <w:tab w:pos="8856" w:val="right" w:leader="dot"/>
        </w:tabs>
      </w:pPr>
      <w:hyperlink w:anchor="_NAESTMA_TOC_1425" w:history="1">
        <w:r>
          <w:rPr>
            <w:color w:val="233746"/>
          </w:rPr>
          <w:t>CRITICAL MINERALS AND STRATEGIC MATERIALS</w:t>
        </w:r>
      </w:hyperlink>
      <w:r>
        <w:tab/>
      </w:r>
      <w:r>
        <w:rPr>
          <w:rFonts w:ascii="Arial" w:hAnsi="Arial"/>
        </w:rPr>
        <w:t>1082</w:t>
      </w:r>
    </w:p>
    <w:p>
      <w:pPr>
        <w:pStyle w:val="TOC2"/>
        <w:widowControl/>
        <w:tabs>
          <w:tab w:pos="8856" w:val="right" w:leader="dot"/>
        </w:tabs>
      </w:pPr>
      <w:hyperlink w:anchor="_NAESTMA_TOC_1426" w:history="1">
        <w:r>
          <w:rPr>
            <w:color w:val="466B7A"/>
          </w:rPr>
          <w:t>Article 37.1: Purpose</w:t>
        </w:r>
      </w:hyperlink>
      <w:r>
        <w:tab/>
      </w:r>
      <w:r>
        <w:rPr>
          <w:rFonts w:ascii="Arial" w:hAnsi="Arial"/>
        </w:rPr>
        <w:t>1082</w:t>
      </w:r>
    </w:p>
    <w:p>
      <w:pPr>
        <w:pStyle w:val="TOC2"/>
        <w:widowControl/>
        <w:tabs>
          <w:tab w:pos="8856" w:val="right" w:leader="dot"/>
        </w:tabs>
      </w:pPr>
      <w:hyperlink w:anchor="_NAESTMA_TOC_1427" w:history="1">
        <w:r>
          <w:rPr>
            <w:color w:val="466B7A"/>
          </w:rPr>
          <w:t>Article 37.2: Definitions and Scope</w:t>
        </w:r>
      </w:hyperlink>
      <w:r>
        <w:tab/>
      </w:r>
      <w:r>
        <w:rPr>
          <w:rFonts w:ascii="Arial" w:hAnsi="Arial"/>
        </w:rPr>
        <w:t>1082</w:t>
      </w:r>
    </w:p>
    <w:p>
      <w:pPr>
        <w:pStyle w:val="TOC2"/>
        <w:widowControl/>
        <w:tabs>
          <w:tab w:pos="8856" w:val="right" w:leader="dot"/>
        </w:tabs>
      </w:pPr>
      <w:hyperlink w:anchor="_NAESTMA_TOC_1428" w:history="1">
        <w:r>
          <w:rPr>
            <w:color w:val="466B7A"/>
          </w:rPr>
          <w:t>Article 37.3: Facilitation of Trade</w:t>
        </w:r>
      </w:hyperlink>
      <w:r>
        <w:tab/>
      </w:r>
      <w:r>
        <w:rPr>
          <w:rFonts w:ascii="Arial" w:hAnsi="Arial"/>
        </w:rPr>
        <w:t>1082</w:t>
      </w:r>
    </w:p>
    <w:p>
      <w:pPr>
        <w:pStyle w:val="TOC2"/>
        <w:widowControl/>
        <w:tabs>
          <w:tab w:pos="8856" w:val="right" w:leader="dot"/>
        </w:tabs>
      </w:pPr>
      <w:hyperlink w:anchor="_NAESTMA_TOC_1429" w:history="1">
        <w:r>
          <w:rPr>
            <w:color w:val="466B7A"/>
          </w:rPr>
          <w:t>Article 37.4: Traceability</w:t>
        </w:r>
      </w:hyperlink>
      <w:r>
        <w:tab/>
      </w:r>
      <w:r>
        <w:rPr>
          <w:rFonts w:ascii="Arial" w:hAnsi="Arial"/>
        </w:rPr>
        <w:t>1082</w:t>
      </w:r>
    </w:p>
    <w:p>
      <w:pPr>
        <w:pStyle w:val="TOC2"/>
        <w:widowControl/>
        <w:tabs>
          <w:tab w:pos="8856" w:val="right" w:leader="dot"/>
        </w:tabs>
      </w:pPr>
      <w:hyperlink w:anchor="_NAESTMA_TOC_1430" w:history="1">
        <w:r>
          <w:rPr>
            <w:color w:val="466B7A"/>
          </w:rPr>
          <w:t>Article 37.5: Resilient Processing Capacity</w:t>
        </w:r>
      </w:hyperlink>
      <w:r>
        <w:tab/>
      </w:r>
      <w:r>
        <w:rPr>
          <w:rFonts w:ascii="Arial" w:hAnsi="Arial"/>
        </w:rPr>
        <w:t>1083</w:t>
      </w:r>
    </w:p>
    <w:p>
      <w:pPr>
        <w:pStyle w:val="TOC2"/>
        <w:widowControl/>
        <w:tabs>
          <w:tab w:pos="8856" w:val="right" w:leader="dot"/>
        </w:tabs>
      </w:pPr>
      <w:hyperlink w:anchor="_NAESTMA_TOC_1431" w:history="1">
        <w:r>
          <w:rPr>
            <w:color w:val="466B7A"/>
          </w:rPr>
          <w:t>Article 37.6: Recycling and Circular Supply</w:t>
        </w:r>
      </w:hyperlink>
      <w:r>
        <w:tab/>
      </w:r>
      <w:r>
        <w:rPr>
          <w:rFonts w:ascii="Arial" w:hAnsi="Arial"/>
        </w:rPr>
        <w:t>1083</w:t>
      </w:r>
    </w:p>
    <w:p>
      <w:pPr>
        <w:pStyle w:val="TOC2"/>
        <w:widowControl/>
        <w:tabs>
          <w:tab w:pos="8856" w:val="right" w:leader="dot"/>
        </w:tabs>
      </w:pPr>
      <w:hyperlink w:anchor="_NAESTMA_TOC_1432" w:history="1">
        <w:r>
          <w:rPr>
            <w:color w:val="466B7A"/>
          </w:rPr>
          <w:t>Article 37.6A: Trusted Non-Party Strategic Materials and Advanced-Metals Access</w:t>
        </w:r>
      </w:hyperlink>
      <w:r>
        <w:tab/>
      </w:r>
      <w:r>
        <w:rPr>
          <w:rFonts w:ascii="Arial" w:hAnsi="Arial"/>
        </w:rPr>
        <w:t>1083</w:t>
      </w:r>
    </w:p>
    <w:p>
      <w:pPr>
        <w:pStyle w:val="TOC2"/>
        <w:widowControl/>
        <w:tabs>
          <w:tab w:pos="8856" w:val="right" w:leader="dot"/>
        </w:tabs>
      </w:pPr>
      <w:hyperlink w:anchor="_NAESTMA_TOC_1433" w:history="1">
        <w:r>
          <w:rPr>
            <w:color w:val="466B7A"/>
          </w:rPr>
          <w:t>Article 37.6B: Strategic Resource Non-Exclusivity and Voluntary Offtake</w:t>
        </w:r>
      </w:hyperlink>
      <w:r>
        <w:tab/>
      </w:r>
      <w:r>
        <w:rPr>
          <w:rFonts w:ascii="Arial" w:hAnsi="Arial"/>
        </w:rPr>
        <w:t>1084</w:t>
      </w:r>
    </w:p>
    <w:p>
      <w:pPr>
        <w:pStyle w:val="TOC2"/>
        <w:widowControl/>
        <w:tabs>
          <w:tab w:pos="8856" w:val="right" w:leader="dot"/>
        </w:tabs>
      </w:pPr>
      <w:hyperlink w:anchor="_NAESTMA_TOC_1434" w:history="1">
        <w:r>
          <w:rPr>
            <w:color w:val="466B7A"/>
          </w:rPr>
          <w:t>Article 37.6C: Strategic Materials Preferred Commercial Access Portfolio</w:t>
        </w:r>
      </w:hyperlink>
      <w:r>
        <w:tab/>
      </w:r>
      <w:r>
        <w:rPr>
          <w:rFonts w:ascii="Arial" w:hAnsi="Arial"/>
        </w:rPr>
        <w:t>1085</w:t>
      </w:r>
    </w:p>
    <w:p>
      <w:pPr>
        <w:pStyle w:val="TOC2"/>
        <w:widowControl/>
        <w:tabs>
          <w:tab w:pos="8856" w:val="right" w:leader="dot"/>
        </w:tabs>
      </w:pPr>
      <w:hyperlink w:anchor="_NAESTMA_TOC_1435" w:history="1">
        <w:r>
          <w:rPr>
            <w:color w:val="466B7A"/>
          </w:rPr>
          <w:t>Article 37.6D: Abundance-Sensitive and Strategic-Sensitivity Calibration</w:t>
        </w:r>
      </w:hyperlink>
      <w:r>
        <w:tab/>
      </w:r>
      <w:r>
        <w:rPr>
          <w:rFonts w:ascii="Arial" w:hAnsi="Arial"/>
        </w:rPr>
        <w:t>1086</w:t>
      </w:r>
    </w:p>
    <w:p>
      <w:pPr>
        <w:pStyle w:val="TOC2"/>
        <w:widowControl/>
        <w:tabs>
          <w:tab w:pos="8856" w:val="right" w:leader="dot"/>
        </w:tabs>
      </w:pPr>
      <w:hyperlink w:anchor="_NAESTMA_TOC_1436" w:history="1">
        <w:r>
          <w:rPr>
            <w:color w:val="466B7A"/>
          </w:rPr>
          <w:t>Article 37.7: Strategic Stockpile Information</w:t>
        </w:r>
      </w:hyperlink>
      <w:r>
        <w:tab/>
      </w:r>
      <w:r>
        <w:rPr>
          <w:rFonts w:ascii="Arial" w:hAnsi="Arial"/>
        </w:rPr>
        <w:t>1086</w:t>
      </w:r>
    </w:p>
    <w:p>
      <w:pPr>
        <w:pStyle w:val="TOC2"/>
        <w:widowControl/>
        <w:tabs>
          <w:tab w:pos="8856" w:val="right" w:leader="dot"/>
        </w:tabs>
      </w:pPr>
      <w:hyperlink w:anchor="_NAESTMA_TOC_1437" w:history="1">
        <w:r>
          <w:rPr>
            <w:color w:val="466B7A"/>
          </w:rPr>
          <w:t>ANNEX 37-B: INITIAL TRUSTED STRATEGIC MATERIALS COOPERATION</w:t>
        </w:r>
      </w:hyperlink>
      <w:r>
        <w:tab/>
      </w:r>
      <w:r>
        <w:rPr>
          <w:rFonts w:ascii="Arial" w:hAnsi="Arial"/>
        </w:rPr>
        <w:t>1086</w:t>
      </w:r>
    </w:p>
    <w:p>
      <w:pPr>
        <w:pStyle w:val="TOC2"/>
        <w:widowControl/>
        <w:tabs>
          <w:tab w:pos="8856" w:val="right" w:leader="dot"/>
        </w:tabs>
      </w:pPr>
      <w:hyperlink w:anchor="_NAESTMA_TOC_1438" w:history="1">
        <w:r>
          <w:rPr>
            <w:color w:val="466B7A"/>
          </w:rPr>
          <w:t>ANNEX 37-A: CRITICAL MINERALS AND STRATEGIC MATERIALS LIST</w:t>
        </w:r>
      </w:hyperlink>
      <w:r>
        <w:tab/>
      </w:r>
      <w:r>
        <w:rPr>
          <w:rFonts w:ascii="Arial" w:hAnsi="Arial"/>
        </w:rPr>
        <w:t>1086</w:t>
      </w:r>
    </w:p>
    <w:p>
      <w:pPr>
        <w:pStyle w:val="TOC2"/>
        <w:widowControl/>
        <w:tabs>
          <w:tab w:pos="8856" w:val="right" w:leader="dot"/>
        </w:tabs>
      </w:pPr>
      <w:hyperlink w:anchor="_NAESTMA_TOC_1439" w:history="1">
        <w:r>
          <w:rPr>
            <w:color w:val="466B7A"/>
          </w:rPr>
          <w:t>Article 37.8: North American Aluminum Security and Capacity Expansion</w:t>
        </w:r>
      </w:hyperlink>
      <w:r>
        <w:tab/>
      </w:r>
      <w:r>
        <w:rPr>
          <w:rFonts w:ascii="Arial" w:hAnsi="Arial"/>
        </w:rPr>
        <w:t>1087</w:t>
      </w:r>
    </w:p>
    <w:p>
      <w:pPr>
        <w:pStyle w:val="TOC2"/>
        <w:widowControl/>
        <w:tabs>
          <w:tab w:pos="8856" w:val="right" w:leader="dot"/>
        </w:tabs>
      </w:pPr>
      <w:hyperlink w:anchor="_NAESTMA_TOC_1440" w:history="1">
        <w:r>
          <w:rPr>
            <w:color w:val="466B7A"/>
          </w:rPr>
          <w:t>Article 37.9: Semiconductor Materials Security and High-Purity Processing</w:t>
        </w:r>
      </w:hyperlink>
      <w:r>
        <w:tab/>
      </w:r>
      <w:r>
        <w:rPr>
          <w:rFonts w:ascii="Arial" w:hAnsi="Arial"/>
        </w:rPr>
        <w:t>1087</w:t>
      </w:r>
    </w:p>
    <w:p>
      <w:pPr>
        <w:pStyle w:val="TOC2"/>
        <w:widowControl/>
        <w:tabs>
          <w:tab w:pos="8856" w:val="right" w:leader="dot"/>
        </w:tabs>
      </w:pPr>
      <w:hyperlink w:anchor="_NAESTMA_TOC_1441" w:history="1">
        <w:r>
          <w:rPr>
            <w:color w:val="466B7A"/>
          </w:rPr>
          <w:t>Article 37.10: North American Strategic Materials Compact and Reciprocal Supply…</w:t>
        </w:r>
      </w:hyperlink>
      <w:r>
        <w:tab/>
      </w:r>
      <w:r>
        <w:rPr>
          <w:rFonts w:ascii="Arial" w:hAnsi="Arial"/>
        </w:rPr>
        <w:t>1087</w:t>
      </w:r>
    </w:p>
    <w:p>
      <w:pPr>
        <w:pStyle w:val="TOC2"/>
        <w:widowControl/>
        <w:tabs>
          <w:tab w:pos="8856" w:val="right" w:leader="dot"/>
        </w:tabs>
      </w:pPr>
      <w:hyperlink w:anchor="_NAESTMA_TOC_1442" w:history="1">
        <w:r>
          <w:rPr>
            <w:color w:val="466B7A"/>
          </w:rPr>
          <w:t>Article 37.11: Strategic Availability Rates, Capacity-Ramp Commitments, and Continuity…</w:t>
        </w:r>
      </w:hyperlink>
      <w:r>
        <w:tab/>
      </w:r>
      <w:r>
        <w:rPr>
          <w:rFonts w:ascii="Arial" w:hAnsi="Arial"/>
        </w:rPr>
        <w:t>1088</w:t>
      </w:r>
    </w:p>
    <w:p>
      <w:pPr>
        <w:pStyle w:val="TOC2"/>
        <w:widowControl/>
        <w:tabs>
          <w:tab w:pos="8856" w:val="right" w:leader="dot"/>
        </w:tabs>
      </w:pPr>
      <w:hyperlink w:anchor="_NAESTMA_TOC_1443" w:history="1">
        <w:r>
          <w:rPr>
            <w:color w:val="466B7A"/>
          </w:rPr>
          <w:t>Article 37.12: Strategic Availability Calibration and Technical Review</w:t>
        </w:r>
      </w:hyperlink>
      <w:r>
        <w:tab/>
      </w:r>
      <w:r>
        <w:rPr>
          <w:rFonts w:ascii="Arial" w:hAnsi="Arial"/>
        </w:rPr>
        <w:t>1088</w:t>
      </w:r>
    </w:p>
    <w:p>
      <w:pPr>
        <w:pStyle w:val="TOC2"/>
        <w:widowControl/>
        <w:tabs>
          <w:tab w:pos="8856" w:val="right" w:leader="dot"/>
        </w:tabs>
      </w:pPr>
      <w:hyperlink w:anchor="_NAESTMA_TOC_1444" w:history="1">
        <w:r>
          <w:rPr>
            <w:color w:val="466B7A"/>
          </w:rPr>
          <w:t>Article 37.13: Strategic Value-Added Levels and Processing-First Development</w:t>
        </w:r>
      </w:hyperlink>
      <w:r>
        <w:tab/>
      </w:r>
      <w:r>
        <w:rPr>
          <w:rFonts w:ascii="Arial" w:hAnsi="Arial"/>
        </w:rPr>
        <w:t>1089</w:t>
      </w:r>
    </w:p>
    <w:p>
      <w:pPr>
        <w:pStyle w:val="TOC2"/>
        <w:widowControl/>
        <w:tabs>
          <w:tab w:pos="8856" w:val="right" w:leader="dot"/>
        </w:tabs>
      </w:pPr>
      <w:hyperlink w:anchor="_NAESTMA_TOC_1445" w:history="1">
        <w:r>
          <w:rPr>
            <w:color w:val="466B7A"/>
          </w:rPr>
          <w:t>Article 37.14: Strategic Project Pipeline, Qualification, Offtake, and Reserve…</w:t>
        </w:r>
      </w:hyperlink>
      <w:r>
        <w:tab/>
      </w:r>
      <w:r>
        <w:rPr>
          <w:rFonts w:ascii="Arial" w:hAnsi="Arial"/>
        </w:rPr>
        <w:t>1089</w:t>
      </w:r>
    </w:p>
    <w:p>
      <w:pPr>
        <w:pStyle w:val="TOC2"/>
        <w:widowControl/>
        <w:tabs>
          <w:tab w:pos="8856" w:val="right" w:leader="dot"/>
        </w:tabs>
      </w:pPr>
      <w:hyperlink w:anchor="_NAESTMA_TOC_1446" w:history="1">
        <w:r>
          <w:rPr>
            <w:color w:val="466B7A"/>
          </w:rPr>
          <w:t>Article 37.15: Emergency Allocation, Domestic-Needs Floor, and No Preferential…</w:t>
        </w:r>
      </w:hyperlink>
      <w:r>
        <w:tab/>
      </w:r>
      <w:r>
        <w:rPr>
          <w:rFonts w:ascii="Arial" w:hAnsi="Arial"/>
        </w:rPr>
        <w:t>1089</w:t>
      </w:r>
    </w:p>
    <w:p>
      <w:pPr>
        <w:pStyle w:val="TOC2"/>
        <w:widowControl/>
        <w:tabs>
          <w:tab w:pos="8856" w:val="right" w:leader="dot"/>
        </w:tabs>
      </w:pPr>
      <w:hyperlink w:anchor="_NAESTMA_TOC_1447" w:history="1">
        <w:r>
          <w:rPr>
            <w:color w:val="466B7A"/>
          </w:rPr>
          <w:t>Article 37.16: Anti-Hoarding, Anti-Diversion, Origin Integrity, and Strategic Supply…</w:t>
        </w:r>
      </w:hyperlink>
      <w:r>
        <w:tab/>
      </w:r>
      <w:r>
        <w:rPr>
          <w:rFonts w:ascii="Arial" w:hAnsi="Arial"/>
        </w:rPr>
        <w:t>1090</w:t>
      </w:r>
    </w:p>
    <w:p>
      <w:pPr>
        <w:pStyle w:val="TOC2"/>
        <w:widowControl/>
        <w:tabs>
          <w:tab w:pos="8856" w:val="right" w:leader="dot"/>
        </w:tabs>
      </w:pPr>
      <w:hyperlink w:anchor="_NAESTMA_TOC_1448" w:history="1">
        <w:r>
          <w:rPr>
            <w:color w:val="466B7A"/>
          </w:rPr>
          <w:t>Article 37.17: Trilateral Industrialization, Community Participation, and Circular…</w:t>
        </w:r>
      </w:hyperlink>
      <w:r>
        <w:tab/>
      </w:r>
      <w:r>
        <w:rPr>
          <w:rFonts w:ascii="Arial" w:hAnsi="Arial"/>
        </w:rPr>
        <w:t>1090</w:t>
      </w:r>
    </w:p>
    <w:p>
      <w:pPr>
        <w:pStyle w:val="TOC2"/>
        <w:widowControl/>
        <w:tabs>
          <w:tab w:pos="8856" w:val="right" w:leader="dot"/>
        </w:tabs>
      </w:pPr>
      <w:hyperlink w:anchor="_NAESTMA_TOC_1449" w:history="1">
        <w:r>
          <w:rPr>
            <w:color w:val="466B7A"/>
          </w:rPr>
          <w:t>Article 37.18: Strategic Resources Stability Bargain and Cross-Sector De-escalation</w:t>
        </w:r>
      </w:hyperlink>
      <w:r>
        <w:tab/>
      </w:r>
      <w:r>
        <w:rPr>
          <w:rFonts w:ascii="Arial" w:hAnsi="Arial"/>
        </w:rPr>
        <w:t>1091</w:t>
      </w:r>
    </w:p>
    <w:p>
      <w:pPr>
        <w:pStyle w:val="TOC2"/>
        <w:widowControl/>
        <w:tabs>
          <w:tab w:pos="8856" w:val="right" w:leader="dot"/>
        </w:tabs>
      </w:pPr>
      <w:hyperlink w:anchor="_NAESTMA_TOC_1450" w:history="1">
        <w:r>
          <w:rPr>
            <w:color w:val="466B7A"/>
          </w:rPr>
          <w:t>ANNEX 37-C: NORTH AMERICAN STRATEGIC MATERIALS MATRIX</w:t>
        </w:r>
      </w:hyperlink>
      <w:r>
        <w:tab/>
      </w:r>
      <w:r>
        <w:rPr>
          <w:rFonts w:ascii="Arial" w:hAnsi="Arial"/>
        </w:rPr>
        <w:t>1091</w:t>
      </w:r>
    </w:p>
    <w:p>
      <w:pPr>
        <w:pStyle w:val="TOC2"/>
        <w:widowControl/>
        <w:tabs>
          <w:tab w:pos="8856" w:val="right" w:leader="dot"/>
        </w:tabs>
      </w:pPr>
      <w:hyperlink w:anchor="_NAESTMA_TOC_1451" w:history="1">
        <w:r>
          <w:rPr>
            <w:color w:val="466B7A"/>
          </w:rPr>
          <w:t>Article 37.19: North American Strategic Minerals Bargain Framework</w:t>
        </w:r>
      </w:hyperlink>
      <w:r>
        <w:tab/>
      </w:r>
      <w:r>
        <w:rPr>
          <w:rFonts w:ascii="Arial" w:hAnsi="Arial"/>
        </w:rPr>
        <w:t>1093</w:t>
      </w:r>
    </w:p>
    <w:p>
      <w:pPr>
        <w:pStyle w:val="TOC2"/>
        <w:widowControl/>
        <w:tabs>
          <w:tab w:pos="8856" w:val="right" w:leader="dot"/>
        </w:tabs>
      </w:pPr>
      <w:hyperlink w:anchor="_NAESTMA_TOC_1452" w:history="1">
        <w:r>
          <w:rPr>
            <w:color w:val="466B7A"/>
          </w:rPr>
          <w:t>Article 37.20: Strategic Supply Access and Offtake</w:t>
        </w:r>
      </w:hyperlink>
      <w:r>
        <w:tab/>
      </w:r>
      <w:r>
        <w:rPr>
          <w:rFonts w:ascii="Arial" w:hAnsi="Arial"/>
        </w:rPr>
        <w:t>1093</w:t>
      </w:r>
    </w:p>
    <w:p>
      <w:pPr>
        <w:pStyle w:val="TOC2"/>
        <w:widowControl/>
        <w:tabs>
          <w:tab w:pos="8856" w:val="right" w:leader="dot"/>
        </w:tabs>
      </w:pPr>
      <w:hyperlink w:anchor="_NAESTMA_TOC_1453" w:history="1">
        <w:r>
          <w:rPr>
            <w:color w:val="466B7A"/>
          </w:rPr>
          <w:t>Article 37.21: Midstream Gap Register and Raw-to-Refined Additionality</w:t>
        </w:r>
      </w:hyperlink>
      <w:r>
        <w:tab/>
      </w:r>
      <w:r>
        <w:rPr>
          <w:rFonts w:ascii="Arial" w:hAnsi="Arial"/>
        </w:rPr>
        <w:t>1094</w:t>
      </w:r>
    </w:p>
    <w:p>
      <w:pPr>
        <w:pStyle w:val="TOC2"/>
        <w:widowControl/>
        <w:tabs>
          <w:tab w:pos="8856" w:val="right" w:leader="dot"/>
        </w:tabs>
      </w:pPr>
      <w:hyperlink w:anchor="_NAESTMA_TOC_1454" w:history="1">
        <w:r>
          <w:rPr>
            <w:color w:val="466B7A"/>
          </w:rPr>
          <w:t>Article 37.22: Canada - Midstream Industrialization Track</w:t>
        </w:r>
      </w:hyperlink>
      <w:r>
        <w:tab/>
      </w:r>
      <w:r>
        <w:rPr>
          <w:rFonts w:ascii="Arial" w:hAnsi="Arial"/>
        </w:rPr>
        <w:t>1094</w:t>
      </w:r>
    </w:p>
    <w:p>
      <w:pPr>
        <w:pStyle w:val="TOC2"/>
        <w:widowControl/>
        <w:tabs>
          <w:tab w:pos="8856" w:val="right" w:leader="dot"/>
        </w:tabs>
      </w:pPr>
      <w:hyperlink w:anchor="_NAESTMA_TOC_1455" w:history="1">
        <w:r>
          <w:rPr>
            <w:color w:val="466B7A"/>
          </w:rPr>
          <w:t>Article 37.23: United States - Strategic Dependency Reduction Track</w:t>
        </w:r>
      </w:hyperlink>
      <w:r>
        <w:tab/>
      </w:r>
      <w:r>
        <w:rPr>
          <w:rFonts w:ascii="Arial" w:hAnsi="Arial"/>
        </w:rPr>
        <w:t>1094</w:t>
      </w:r>
    </w:p>
    <w:p>
      <w:pPr>
        <w:pStyle w:val="TOC2"/>
        <w:widowControl/>
        <w:tabs>
          <w:tab w:pos="8856" w:val="right" w:leader="dot"/>
        </w:tabs>
      </w:pPr>
      <w:hyperlink w:anchor="_NAESTMA_TOC_1456" w:history="1">
        <w:r>
          <w:rPr>
            <w:color w:val="466B7A"/>
          </w:rPr>
          <w:t>Article 37.24: Mexico - Industrial Inputs Security and Specialty Minerals Track</w:t>
        </w:r>
      </w:hyperlink>
      <w:r>
        <w:tab/>
      </w:r>
      <w:r>
        <w:rPr>
          <w:rFonts w:ascii="Arial" w:hAnsi="Arial"/>
        </w:rPr>
        <w:t>1095</w:t>
      </w:r>
    </w:p>
    <w:p>
      <w:pPr>
        <w:pStyle w:val="TOC2"/>
        <w:widowControl/>
        <w:tabs>
          <w:tab w:pos="8856" w:val="right" w:leader="dot"/>
        </w:tabs>
      </w:pPr>
      <w:hyperlink w:anchor="_NAESTMA_TOC_1457" w:history="1">
        <w:r>
          <w:rPr>
            <w:color w:val="466B7A"/>
          </w:rPr>
          <w:t>Article 37.25: Mexican Fluorspar, Antimony, and Bismuth Cooperation</w:t>
        </w:r>
      </w:hyperlink>
      <w:r>
        <w:tab/>
      </w:r>
      <w:r>
        <w:rPr>
          <w:rFonts w:ascii="Arial" w:hAnsi="Arial"/>
        </w:rPr>
        <w:t>1095</w:t>
      </w:r>
    </w:p>
    <w:p>
      <w:pPr>
        <w:pStyle w:val="TOC2"/>
        <w:widowControl/>
        <w:tabs>
          <w:tab w:pos="8856" w:val="right" w:leader="dot"/>
        </w:tabs>
      </w:pPr>
      <w:hyperlink w:anchor="_NAESTMA_TOC_1458" w:history="1">
        <w:r>
          <w:rPr>
            <w:color w:val="466B7A"/>
          </w:rPr>
          <w:t>Article 37.26: By-Product Recovery and Circular Strategic Materials Initiative</w:t>
        </w:r>
      </w:hyperlink>
      <w:r>
        <w:tab/>
      </w:r>
      <w:r>
        <w:rPr>
          <w:rFonts w:ascii="Arial" w:hAnsi="Arial"/>
        </w:rPr>
        <w:t>1095</w:t>
      </w:r>
    </w:p>
    <w:p>
      <w:pPr>
        <w:pStyle w:val="TOC2"/>
        <w:widowControl/>
        <w:tabs>
          <w:tab w:pos="8856" w:val="right" w:leader="dot"/>
        </w:tabs>
      </w:pPr>
      <w:hyperlink w:anchor="_NAESTMA_TOC_1459" w:history="1">
        <w:r>
          <w:rPr>
            <w:color w:val="466B7A"/>
          </w:rPr>
          <w:t>Article 37.27: In-Continent Conversion Incentive and Processing Retention Principle</w:t>
        </w:r>
      </w:hyperlink>
      <w:r>
        <w:tab/>
      </w:r>
      <w:r>
        <w:rPr>
          <w:rFonts w:ascii="Arial" w:hAnsi="Arial"/>
        </w:rPr>
        <w:t>1095</w:t>
      </w:r>
    </w:p>
    <w:p>
      <w:pPr>
        <w:pStyle w:val="TOC2"/>
        <w:widowControl/>
        <w:tabs>
          <w:tab w:pos="8856" w:val="right" w:leader="dot"/>
        </w:tabs>
      </w:pPr>
      <w:hyperlink w:anchor="_NAESTMA_TOC_1460" w:history="1">
        <w:r>
          <w:rPr>
            <w:color w:val="466B7A"/>
          </w:rPr>
          <w:t>Article 37.28: Strategic Supply Surge Doctrine</w:t>
        </w:r>
      </w:hyperlink>
      <w:r>
        <w:tab/>
      </w:r>
      <w:r>
        <w:rPr>
          <w:rFonts w:ascii="Arial" w:hAnsi="Arial"/>
        </w:rPr>
        <w:t>1096</w:t>
      </w:r>
    </w:p>
    <w:p>
      <w:pPr>
        <w:pStyle w:val="TOC2"/>
        <w:widowControl/>
        <w:tabs>
          <w:tab w:pos="8856" w:val="right" w:leader="dot"/>
        </w:tabs>
      </w:pPr>
      <w:hyperlink w:anchor="_NAESTMA_TOC_1461" w:history="1">
        <w:r>
          <w:rPr>
            <w:color w:val="466B7A"/>
          </w:rPr>
          <w:t>Article 37.29: Authorized Supply Surge Firewall</w:t>
        </w:r>
      </w:hyperlink>
      <w:r>
        <w:tab/>
      </w:r>
      <w:r>
        <w:rPr>
          <w:rFonts w:ascii="Arial" w:hAnsi="Arial"/>
        </w:rPr>
        <w:t>1096</w:t>
      </w:r>
    </w:p>
    <w:p>
      <w:pPr>
        <w:pStyle w:val="TOC2"/>
        <w:widowControl/>
        <w:tabs>
          <w:tab w:pos="8856" w:val="right" w:leader="dot"/>
        </w:tabs>
      </w:pPr>
      <w:hyperlink w:anchor="_NAESTMA_TOC_1462" w:history="1">
        <w:r>
          <w:rPr>
            <w:color w:val="466B7A"/>
          </w:rPr>
          <w:t>Article 37.30: North American Strategic Chain Qualification</w:t>
        </w:r>
      </w:hyperlink>
      <w:r>
        <w:tab/>
      </w:r>
      <w:r>
        <w:rPr>
          <w:rFonts w:ascii="Arial" w:hAnsi="Arial"/>
        </w:rPr>
        <w:t>1096</w:t>
      </w:r>
    </w:p>
    <w:p>
      <w:pPr>
        <w:pStyle w:val="TOC2"/>
        <w:widowControl/>
        <w:tabs>
          <w:tab w:pos="8856" w:val="right" w:leader="dot"/>
        </w:tabs>
      </w:pPr>
      <w:hyperlink w:anchor="_NAESTMA_TOC_1463" w:history="1">
        <w:r>
          <w:rPr>
            <w:color w:val="466B7A"/>
          </w:rPr>
          <w:t>Article 37.31: North American Strategic Industrial Scale-Up Pathway</w:t>
        </w:r>
      </w:hyperlink>
      <w:r>
        <w:tab/>
      </w:r>
      <w:r>
        <w:rPr>
          <w:rFonts w:ascii="Arial" w:hAnsi="Arial"/>
        </w:rPr>
        <w:t>1096</w:t>
      </w:r>
    </w:p>
    <w:p>
      <w:pPr>
        <w:pStyle w:val="TOC2"/>
        <w:widowControl/>
        <w:tabs>
          <w:tab w:pos="8856" w:val="right" w:leader="dot"/>
        </w:tabs>
      </w:pPr>
      <w:hyperlink w:anchor="_NAESTMA_TOC_1464" w:history="1">
        <w:r>
          <w:rPr>
            <w:color w:val="466B7A"/>
          </w:rPr>
          <w:t>Article 37.32: Critical Minerals Pilot Plant and Demonstration Network</w:t>
        </w:r>
      </w:hyperlink>
      <w:r>
        <w:tab/>
      </w:r>
      <w:r>
        <w:rPr>
          <w:rFonts w:ascii="Arial" w:hAnsi="Arial"/>
        </w:rPr>
        <w:t>1097</w:t>
      </w:r>
    </w:p>
    <w:p>
      <w:pPr>
        <w:pStyle w:val="TOC2"/>
        <w:widowControl/>
        <w:tabs>
          <w:tab w:pos="8856" w:val="right" w:leader="dot"/>
        </w:tabs>
      </w:pPr>
      <w:hyperlink w:anchor="_NAESTMA_TOC_1465" w:history="1">
        <w:r>
          <w:rPr>
            <w:color w:val="466B7A"/>
          </w:rPr>
          <w:t>Article 37.33: Strategic Project Risk-Sharing and Insurance Facilitation</w:t>
        </w:r>
      </w:hyperlink>
      <w:r>
        <w:tab/>
      </w:r>
      <w:r>
        <w:rPr>
          <w:rFonts w:ascii="Arial" w:hAnsi="Arial"/>
        </w:rPr>
        <w:t>1097</w:t>
      </w:r>
    </w:p>
    <w:p>
      <w:pPr>
        <w:pStyle w:val="TOC2"/>
        <w:widowControl/>
        <w:tabs>
          <w:tab w:pos="8856" w:val="right" w:leader="dot"/>
        </w:tabs>
      </w:pPr>
      <w:hyperlink w:anchor="_NAESTMA_TOC_1466" w:history="1">
        <w:r>
          <w:rPr>
            <w:color w:val="466B7A"/>
          </w:rPr>
          <w:t>Article 37.34: Urban Mining, Magnet Recovery, and Secondary Resource Inventory</w:t>
        </w:r>
      </w:hyperlink>
      <w:r>
        <w:tab/>
      </w:r>
      <w:r>
        <w:rPr>
          <w:rFonts w:ascii="Arial" w:hAnsi="Arial"/>
        </w:rPr>
        <w:t>1097</w:t>
      </w:r>
    </w:p>
    <w:p>
      <w:pPr>
        <w:pStyle w:val="TOC2"/>
        <w:widowControl/>
        <w:tabs>
          <w:tab w:pos="8856" w:val="right" w:leader="dot"/>
        </w:tabs>
      </w:pPr>
      <w:hyperlink w:anchor="_NAESTMA_TOC_1467" w:history="1">
        <w:r>
          <w:rPr>
            <w:color w:val="466B7A"/>
          </w:rPr>
          <w:t>Article 37.35: Mineral Substitution, Efficiency, and By-Product Innovation</w:t>
        </w:r>
      </w:hyperlink>
      <w:r>
        <w:tab/>
      </w:r>
      <w:r>
        <w:rPr>
          <w:rFonts w:ascii="Arial" w:hAnsi="Arial"/>
        </w:rPr>
        <w:t>1098</w:t>
      </w:r>
    </w:p>
    <w:p>
      <w:pPr>
        <w:pStyle w:val="TOC2"/>
        <w:widowControl/>
        <w:tabs>
          <w:tab w:pos="8856" w:val="right" w:leader="dot"/>
        </w:tabs>
      </w:pPr>
      <w:hyperlink w:anchor="_NAESTMA_TOC_1468" w:history="1">
        <w:r>
          <w:rPr>
            <w:color w:val="466B7A"/>
          </w:rPr>
          <w:t>Article 37.36: Mine and Processing Community Transition Planning</w:t>
        </w:r>
      </w:hyperlink>
      <w:r>
        <w:tab/>
      </w:r>
      <w:r>
        <w:rPr>
          <w:rFonts w:ascii="Arial" w:hAnsi="Arial"/>
        </w:rPr>
        <w:t>1098</w:t>
      </w:r>
    </w:p>
    <w:p>
      <w:pPr>
        <w:pStyle w:val="TOC1"/>
        <w:widowControl/>
        <w:tabs>
          <w:tab w:pos="8856" w:val="right" w:leader="dot"/>
        </w:tabs>
      </w:pPr>
      <w:hyperlink w:anchor="_NAESTMA_TOC_1469" w:history="1">
        <w:r>
          <w:rPr>
            <w:color w:val="233746"/>
          </w:rPr>
          <w:t>CHAPTER 38</w:t>
        </w:r>
      </w:hyperlink>
      <w:r>
        <w:tab/>
      </w:r>
      <w:r>
        <w:rPr>
          <w:rFonts w:ascii="Arial" w:hAnsi="Arial"/>
        </w:rPr>
        <w:t>1099</w:t>
      </w:r>
    </w:p>
    <w:p>
      <w:pPr>
        <w:pStyle w:val="TOC1"/>
        <w:widowControl/>
        <w:tabs>
          <w:tab w:pos="8856" w:val="right" w:leader="dot"/>
        </w:tabs>
      </w:pPr>
      <w:hyperlink w:anchor="_NAESTMA_TOC_1470" w:history="1">
        <w:r>
          <w:rPr>
            <w:color w:val="233746"/>
          </w:rPr>
          <w:t>EMERGENCY TRADE CONTINUITY</w:t>
        </w:r>
      </w:hyperlink>
      <w:r>
        <w:tab/>
      </w:r>
      <w:r>
        <w:rPr>
          <w:rFonts w:ascii="Arial" w:hAnsi="Arial"/>
        </w:rPr>
        <w:t>1099</w:t>
      </w:r>
    </w:p>
    <w:p>
      <w:pPr>
        <w:pStyle w:val="TOC2"/>
        <w:widowControl/>
        <w:tabs>
          <w:tab w:pos="8856" w:val="right" w:leader="dot"/>
        </w:tabs>
      </w:pPr>
      <w:hyperlink w:anchor="_NAESTMA_TOC_1471" w:history="1">
        <w:r>
          <w:rPr>
            <w:color w:val="466B7A"/>
          </w:rPr>
          <w:t>Article 38.1: Purpose</w:t>
        </w:r>
      </w:hyperlink>
      <w:r>
        <w:tab/>
      </w:r>
      <w:r>
        <w:rPr>
          <w:rFonts w:ascii="Arial" w:hAnsi="Arial"/>
        </w:rPr>
        <w:t>1099</w:t>
      </w:r>
    </w:p>
    <w:p>
      <w:pPr>
        <w:pStyle w:val="TOC2"/>
        <w:widowControl/>
        <w:tabs>
          <w:tab w:pos="8856" w:val="right" w:leader="dot"/>
        </w:tabs>
      </w:pPr>
      <w:hyperlink w:anchor="_NAESTMA_TOC_1472" w:history="1">
        <w:r>
          <w:rPr>
            <w:color w:val="466B7A"/>
          </w:rPr>
          <w:t>Article 38.2: Definitions and Trigger</w:t>
        </w:r>
      </w:hyperlink>
      <w:r>
        <w:tab/>
      </w:r>
      <w:r>
        <w:rPr>
          <w:rFonts w:ascii="Arial" w:hAnsi="Arial"/>
        </w:rPr>
        <w:t>1099</w:t>
      </w:r>
    </w:p>
    <w:p>
      <w:pPr>
        <w:pStyle w:val="TOC2"/>
        <w:widowControl/>
        <w:tabs>
          <w:tab w:pos="8856" w:val="right" w:leader="dot"/>
        </w:tabs>
      </w:pPr>
      <w:hyperlink w:anchor="_NAESTMA_TOC_1473" w:history="1">
        <w:r>
          <w:rPr>
            <w:color w:val="466B7A"/>
          </w:rPr>
          <w:t>Article 38.3: Critical Trade Corridors and Essential Flows</w:t>
        </w:r>
      </w:hyperlink>
      <w:r>
        <w:tab/>
      </w:r>
      <w:r>
        <w:rPr>
          <w:rFonts w:ascii="Arial" w:hAnsi="Arial"/>
        </w:rPr>
        <w:t>1099</w:t>
      </w:r>
    </w:p>
    <w:p>
      <w:pPr>
        <w:pStyle w:val="TOC2"/>
        <w:widowControl/>
        <w:tabs>
          <w:tab w:pos="8856" w:val="right" w:leader="dot"/>
        </w:tabs>
      </w:pPr>
      <w:hyperlink w:anchor="_NAESTMA_TOC_1474" w:history="1">
        <w:r>
          <w:rPr>
            <w:color w:val="466B7A"/>
          </w:rPr>
          <w:t>Article 38.4: Continuity Obligations During an Emergency</w:t>
        </w:r>
      </w:hyperlink>
      <w:r>
        <w:tab/>
      </w:r>
      <w:r>
        <w:rPr>
          <w:rFonts w:ascii="Arial" w:hAnsi="Arial"/>
        </w:rPr>
        <w:t>1099</w:t>
      </w:r>
    </w:p>
    <w:p>
      <w:pPr>
        <w:pStyle w:val="TOC2"/>
        <w:widowControl/>
        <w:tabs>
          <w:tab w:pos="8856" w:val="right" w:leader="dot"/>
        </w:tabs>
      </w:pPr>
      <w:hyperlink w:anchor="_NAESTMA_TOC_1475" w:history="1">
        <w:r>
          <w:rPr>
            <w:color w:val="466B7A"/>
          </w:rPr>
          <w:t>Article 38.5: Emergency Coordination Body</w:t>
        </w:r>
      </w:hyperlink>
      <w:r>
        <w:tab/>
      </w:r>
      <w:r>
        <w:rPr>
          <w:rFonts w:ascii="Arial" w:hAnsi="Arial"/>
        </w:rPr>
        <w:t>1100</w:t>
      </w:r>
    </w:p>
    <w:p>
      <w:pPr>
        <w:pStyle w:val="TOC2"/>
        <w:widowControl/>
        <w:tabs>
          <w:tab w:pos="8856" w:val="right" w:leader="dot"/>
        </w:tabs>
      </w:pPr>
      <w:hyperlink w:anchor="_NAESTMA_TOC_1476" w:history="1">
        <w:r>
          <w:rPr>
            <w:color w:val="466B7A"/>
          </w:rPr>
          <w:t>Article 38.6: Health-Security Supply Chains</w:t>
        </w:r>
      </w:hyperlink>
      <w:r>
        <w:tab/>
      </w:r>
      <w:r>
        <w:rPr>
          <w:rFonts w:ascii="Arial" w:hAnsi="Arial"/>
        </w:rPr>
        <w:t>1100</w:t>
      </w:r>
    </w:p>
    <w:p>
      <w:pPr>
        <w:pStyle w:val="TOC2"/>
        <w:widowControl/>
        <w:tabs>
          <w:tab w:pos="8856" w:val="right" w:leader="dot"/>
        </w:tabs>
      </w:pPr>
      <w:hyperlink w:anchor="_NAESTMA_TOC_1477" w:history="1">
        <w:r>
          <w:rPr>
            <w:color w:val="466B7A"/>
          </w:rPr>
          <w:t>Article 38.7: Food Security Continuity</w:t>
        </w:r>
      </w:hyperlink>
      <w:r>
        <w:tab/>
      </w:r>
      <w:r>
        <w:rPr>
          <w:rFonts w:ascii="Arial" w:hAnsi="Arial"/>
        </w:rPr>
        <w:t>1100</w:t>
      </w:r>
    </w:p>
    <w:p>
      <w:pPr>
        <w:pStyle w:val="TOC2"/>
        <w:widowControl/>
        <w:tabs>
          <w:tab w:pos="8856" w:val="right" w:leader="dot"/>
        </w:tabs>
      </w:pPr>
      <w:hyperlink w:anchor="_NAESTMA_TOC_1478" w:history="1">
        <w:r>
          <w:rPr>
            <w:color w:val="466B7A"/>
          </w:rPr>
          <w:t>Article 38.8: Cyber Incidents Affecting Trade Infrastructure</w:t>
        </w:r>
      </w:hyperlink>
      <w:r>
        <w:tab/>
      </w:r>
      <w:r>
        <w:rPr>
          <w:rFonts w:ascii="Arial" w:hAnsi="Arial"/>
        </w:rPr>
        <w:t>1100</w:t>
      </w:r>
    </w:p>
    <w:p>
      <w:pPr>
        <w:pStyle w:val="TOC2"/>
        <w:widowControl/>
        <w:tabs>
          <w:tab w:pos="8856" w:val="right" w:leader="dot"/>
        </w:tabs>
      </w:pPr>
      <w:hyperlink w:anchor="_NAESTMA_TOC_1479" w:history="1">
        <w:r>
          <w:rPr>
            <w:color w:val="466B7A"/>
          </w:rPr>
          <w:t>Article 38.9: Humanitarian Life-Saving Goods Continuity Protocol</w:t>
        </w:r>
      </w:hyperlink>
      <w:r>
        <w:tab/>
      </w:r>
      <w:r>
        <w:rPr>
          <w:rFonts w:ascii="Arial" w:hAnsi="Arial"/>
        </w:rPr>
        <w:t>1100</w:t>
      </w:r>
    </w:p>
    <w:p>
      <w:pPr>
        <w:pStyle w:val="TOC2"/>
        <w:widowControl/>
        <w:tabs>
          <w:tab w:pos="8856" w:val="right" w:leader="dot"/>
        </w:tabs>
      </w:pPr>
      <w:hyperlink w:anchor="_NAESTMA_TOC_1480" w:history="1">
        <w:r>
          <w:rPr>
            <w:color w:val="466B7A"/>
          </w:rPr>
          <w:t>ANNEX 38-B: Illustrative Humanitarian Life-Saving Categories</w:t>
        </w:r>
      </w:hyperlink>
      <w:r>
        <w:tab/>
      </w:r>
      <w:r>
        <w:rPr>
          <w:rFonts w:ascii="Arial" w:hAnsi="Arial"/>
        </w:rPr>
        <w:t>1100</w:t>
      </w:r>
    </w:p>
    <w:p>
      <w:pPr>
        <w:pStyle w:val="TOC1"/>
        <w:widowControl/>
        <w:tabs>
          <w:tab w:pos="8856" w:val="right" w:leader="dot"/>
        </w:tabs>
      </w:pPr>
      <w:hyperlink w:anchor="_NAESTMA_TOC_1481" w:history="1">
        <w:r>
          <w:rPr>
            <w:color w:val="233746"/>
          </w:rPr>
          <w:t>CHAPTER 39</w:t>
        </w:r>
      </w:hyperlink>
      <w:r>
        <w:tab/>
      </w:r>
      <w:r>
        <w:rPr>
          <w:rFonts w:ascii="Arial" w:hAnsi="Arial"/>
        </w:rPr>
        <w:t>1102</w:t>
      </w:r>
    </w:p>
    <w:p>
      <w:pPr>
        <w:pStyle w:val="TOC1"/>
        <w:widowControl/>
        <w:tabs>
          <w:tab w:pos="8856" w:val="right" w:leader="dot"/>
        </w:tabs>
      </w:pPr>
      <w:hyperlink w:anchor="_NAESTMA_TOC_1482" w:history="1">
        <w:r>
          <w:rPr>
            <w:color w:val="233746"/>
          </w:rPr>
          <w:t>ADVANCED TECHNOLOGY AND ARTIFICIAL INTELLIGENCE</w:t>
        </w:r>
      </w:hyperlink>
      <w:r>
        <w:tab/>
      </w:r>
      <w:r>
        <w:rPr>
          <w:rFonts w:ascii="Arial" w:hAnsi="Arial"/>
        </w:rPr>
        <w:t>1102</w:t>
      </w:r>
    </w:p>
    <w:p>
      <w:pPr>
        <w:pStyle w:val="TOC2"/>
        <w:widowControl/>
        <w:tabs>
          <w:tab w:pos="8856" w:val="right" w:leader="dot"/>
        </w:tabs>
      </w:pPr>
      <w:hyperlink w:anchor="_NAESTMA_TOC_1483" w:history="1">
        <w:r>
          <w:rPr>
            <w:color w:val="466B7A"/>
          </w:rPr>
          <w:t>Article 39.1: Purpose and Approach</w:t>
        </w:r>
      </w:hyperlink>
      <w:r>
        <w:tab/>
      </w:r>
      <w:r>
        <w:rPr>
          <w:rFonts w:ascii="Arial" w:hAnsi="Arial"/>
        </w:rPr>
        <w:t>1102</w:t>
      </w:r>
    </w:p>
    <w:p>
      <w:pPr>
        <w:pStyle w:val="TOC2"/>
        <w:widowControl/>
        <w:tabs>
          <w:tab w:pos="8856" w:val="right" w:leader="dot"/>
        </w:tabs>
      </w:pPr>
      <w:hyperlink w:anchor="_NAESTMA_TOC_1484" w:history="1">
        <w:r>
          <w:rPr>
            <w:color w:val="466B7A"/>
          </w:rPr>
          <w:t>Article 39.2: AI-Enabled Trade</w:t>
        </w:r>
      </w:hyperlink>
      <w:r>
        <w:tab/>
      </w:r>
      <w:r>
        <w:rPr>
          <w:rFonts w:ascii="Arial" w:hAnsi="Arial"/>
        </w:rPr>
        <w:t>1102</w:t>
      </w:r>
    </w:p>
    <w:p>
      <w:pPr>
        <w:pStyle w:val="TOC2"/>
        <w:widowControl/>
        <w:tabs>
          <w:tab w:pos="8856" w:val="right" w:leader="dot"/>
        </w:tabs>
      </w:pPr>
      <w:hyperlink w:anchor="_NAESTMA_TOC_1485" w:history="1">
        <w:r>
          <w:rPr>
            <w:color w:val="466B7A"/>
          </w:rPr>
          <w:t>Article 39.3: Regulatory Cooperation on Artificial Intelligence</w:t>
        </w:r>
      </w:hyperlink>
      <w:r>
        <w:tab/>
      </w:r>
      <w:r>
        <w:rPr>
          <w:rFonts w:ascii="Arial" w:hAnsi="Arial"/>
        </w:rPr>
        <w:t>1102</w:t>
      </w:r>
    </w:p>
    <w:p>
      <w:pPr>
        <w:pStyle w:val="TOC2"/>
        <w:widowControl/>
        <w:tabs>
          <w:tab w:pos="8856" w:val="right" w:leader="dot"/>
        </w:tabs>
      </w:pPr>
      <w:hyperlink w:anchor="_NAESTMA_TOC_1486" w:history="1">
        <w:r>
          <w:rPr>
            <w:color w:val="466B7A"/>
          </w:rPr>
          <w:t>Article 39.4: Semiconductors and Advanced Electronics</w:t>
        </w:r>
      </w:hyperlink>
      <w:r>
        <w:tab/>
      </w:r>
      <w:r>
        <w:rPr>
          <w:rFonts w:ascii="Arial" w:hAnsi="Arial"/>
        </w:rPr>
        <w:t>1102</w:t>
      </w:r>
    </w:p>
    <w:p>
      <w:pPr>
        <w:pStyle w:val="TOC2"/>
        <w:widowControl/>
        <w:tabs>
          <w:tab w:pos="8856" w:val="right" w:leader="dot"/>
        </w:tabs>
      </w:pPr>
      <w:hyperlink w:anchor="_NAESTMA_TOC_1487" w:history="1">
        <w:r>
          <w:rPr>
            <w:color w:val="466B7A"/>
          </w:rPr>
          <w:t>Article 39.5: Advanced Technology Annex and Technology-Update Mechanism</w:t>
        </w:r>
      </w:hyperlink>
      <w:r>
        <w:tab/>
      </w:r>
      <w:r>
        <w:rPr>
          <w:rFonts w:ascii="Arial" w:hAnsi="Arial"/>
        </w:rPr>
        <w:t>1102</w:t>
      </w:r>
    </w:p>
    <w:p>
      <w:pPr>
        <w:pStyle w:val="TOC2"/>
        <w:widowControl/>
        <w:tabs>
          <w:tab w:pos="8856" w:val="right" w:leader="dot"/>
        </w:tabs>
      </w:pPr>
      <w:hyperlink w:anchor="_NAESTMA_TOC_1488" w:history="1">
        <w:r>
          <w:rPr>
            <w:color w:val="466B7A"/>
          </w:rPr>
          <w:t>Article 39.6: Quantum and Emerging Technologies</w:t>
        </w:r>
      </w:hyperlink>
      <w:r>
        <w:tab/>
      </w:r>
      <w:r>
        <w:rPr>
          <w:rFonts w:ascii="Arial" w:hAnsi="Arial"/>
        </w:rPr>
        <w:t>1103</w:t>
      </w:r>
    </w:p>
    <w:p>
      <w:pPr>
        <w:pStyle w:val="TOC2"/>
        <w:widowControl/>
        <w:tabs>
          <w:tab w:pos="8856" w:val="right" w:leader="dot"/>
        </w:tabs>
      </w:pPr>
      <w:hyperlink w:anchor="_NAESTMA_TOC_1489" w:history="1">
        <w:r>
          <w:rPr>
            <w:color w:val="466B7A"/>
          </w:rPr>
          <w:t>Article 39.7: Strategic Compute Infrastructure Cooperation</w:t>
        </w:r>
      </w:hyperlink>
      <w:r>
        <w:tab/>
      </w:r>
      <w:r>
        <w:rPr>
          <w:rFonts w:ascii="Arial" w:hAnsi="Arial"/>
        </w:rPr>
        <w:t>1103</w:t>
      </w:r>
    </w:p>
    <w:p>
      <w:pPr>
        <w:pStyle w:val="TOC2"/>
        <w:widowControl/>
        <w:tabs>
          <w:tab w:pos="8856" w:val="right" w:leader="dot"/>
        </w:tabs>
      </w:pPr>
      <w:hyperlink w:anchor="_NAESTMA_TOC_1490" w:history="1">
        <w:r>
          <w:rPr>
            <w:color w:val="466B7A"/>
          </w:rPr>
          <w:t>Article 39.8: North American Advanced Compute Demonstration Corridor</w:t>
        </w:r>
      </w:hyperlink>
      <w:r>
        <w:tab/>
      </w:r>
      <w:r>
        <w:rPr>
          <w:rFonts w:ascii="Arial" w:hAnsi="Arial"/>
        </w:rPr>
        <w:t>1103</w:t>
      </w:r>
    </w:p>
    <w:p>
      <w:pPr>
        <w:pStyle w:val="TOC2"/>
        <w:widowControl/>
        <w:tabs>
          <w:tab w:pos="8856" w:val="right" w:leader="dot"/>
        </w:tabs>
      </w:pPr>
      <w:hyperlink w:anchor="_NAESTMA_TOC_1491" w:history="1">
        <w:r>
          <w:rPr>
            <w:color w:val="466B7A"/>
          </w:rPr>
          <w:t>Article 39.9: North American Experimental Technology Pathway</w:t>
        </w:r>
      </w:hyperlink>
      <w:r>
        <w:tab/>
      </w:r>
      <w:r>
        <w:rPr>
          <w:rFonts w:ascii="Arial" w:hAnsi="Arial"/>
        </w:rPr>
        <w:t>1103</w:t>
      </w:r>
    </w:p>
    <w:p>
      <w:pPr>
        <w:pStyle w:val="TOC2"/>
        <w:widowControl/>
        <w:tabs>
          <w:tab w:pos="8856" w:val="right" w:leader="dot"/>
        </w:tabs>
      </w:pPr>
      <w:hyperlink w:anchor="_NAESTMA_TOC_1492" w:history="1">
        <w:r>
          <w:rPr>
            <w:color w:val="466B7A"/>
          </w:rPr>
          <w:t>Article 39.10: Iterative Experimental Development Principle</w:t>
        </w:r>
      </w:hyperlink>
      <w:r>
        <w:tab/>
      </w:r>
      <w:r>
        <w:rPr>
          <w:rFonts w:ascii="Arial" w:hAnsi="Arial"/>
        </w:rPr>
        <w:t>1104</w:t>
      </w:r>
    </w:p>
    <w:p>
      <w:pPr>
        <w:pStyle w:val="TOC2"/>
        <w:widowControl/>
        <w:tabs>
          <w:tab w:pos="8856" w:val="right" w:leader="dot"/>
        </w:tabs>
      </w:pPr>
      <w:hyperlink w:anchor="_NAESTMA_TOC_1493" w:history="1">
        <w:r>
          <w:rPr>
            <w:color w:val="466B7A"/>
          </w:rPr>
          <w:t>Article 39.11: Revalidation Gate After Repeated Unsuccessful Iterations</w:t>
        </w:r>
      </w:hyperlink>
      <w:r>
        <w:tab/>
      </w:r>
      <w:r>
        <w:rPr>
          <w:rFonts w:ascii="Arial" w:hAnsi="Arial"/>
        </w:rPr>
        <w:t>1104</w:t>
      </w:r>
    </w:p>
    <w:p>
      <w:pPr>
        <w:pStyle w:val="TOC2"/>
        <w:widowControl/>
        <w:tabs>
          <w:tab w:pos="8856" w:val="right" w:leader="dot"/>
        </w:tabs>
      </w:pPr>
      <w:hyperlink w:anchor="_NAESTMA_TOC_1494" w:history="1">
        <w:r>
          <w:rPr>
            <w:color w:val="466B7A"/>
          </w:rPr>
          <w:t>Article 39.12: Productive Experimental Closure and Derivative Development</w:t>
        </w:r>
      </w:hyperlink>
      <w:r>
        <w:tab/>
      </w:r>
      <w:r>
        <w:rPr>
          <w:rFonts w:ascii="Arial" w:hAnsi="Arial"/>
        </w:rPr>
        <w:t>1104</w:t>
      </w:r>
    </w:p>
    <w:p>
      <w:pPr>
        <w:pStyle w:val="TOC2"/>
        <w:widowControl/>
        <w:tabs>
          <w:tab w:pos="8856" w:val="right" w:leader="dot"/>
        </w:tabs>
      </w:pPr>
      <w:hyperlink w:anchor="_NAESTMA_TOC_1495" w:history="1">
        <w:r>
          <w:rPr>
            <w:color w:val="466B7A"/>
          </w:rPr>
          <w:t>Article 39.13: North American Semiconductor Security and Competitiveness Pact</w:t>
        </w:r>
      </w:hyperlink>
      <w:r>
        <w:tab/>
      </w:r>
      <w:r>
        <w:rPr>
          <w:rFonts w:ascii="Arial" w:hAnsi="Arial"/>
        </w:rPr>
        <w:t>1104</w:t>
      </w:r>
    </w:p>
    <w:p>
      <w:pPr>
        <w:pStyle w:val="TOC2"/>
        <w:widowControl/>
        <w:tabs>
          <w:tab w:pos="8856" w:val="right" w:leader="dot"/>
        </w:tabs>
      </w:pPr>
      <w:hyperlink w:anchor="_NAESTMA_TOC_1496" w:history="1">
        <w:r>
          <w:rPr>
            <w:color w:val="466B7A"/>
          </w:rPr>
          <w:t>Article 39.14: Semiconductor-Specific Origin, Chiplet, and Packaging Cooperation</w:t>
        </w:r>
      </w:hyperlink>
      <w:r>
        <w:tab/>
      </w:r>
      <w:r>
        <w:rPr>
          <w:rFonts w:ascii="Arial" w:hAnsi="Arial"/>
        </w:rPr>
        <w:t>1105</w:t>
      </w:r>
    </w:p>
    <w:p>
      <w:pPr>
        <w:pStyle w:val="TOC2"/>
        <w:widowControl/>
        <w:tabs>
          <w:tab w:pos="8856" w:val="right" w:leader="dot"/>
        </w:tabs>
      </w:pPr>
      <w:hyperlink w:anchor="_NAESTMA_TOC_1497" w:history="1">
        <w:r>
          <w:rPr>
            <w:color w:val="466B7A"/>
          </w:rPr>
          <w:t>Article 39.15: Capacity-Gap Safe Harbor and Trusted Foundry Access</w:t>
        </w:r>
      </w:hyperlink>
      <w:r>
        <w:tab/>
      </w:r>
      <w:r>
        <w:rPr>
          <w:rFonts w:ascii="Arial" w:hAnsi="Arial"/>
        </w:rPr>
        <w:t>1105</w:t>
      </w:r>
    </w:p>
    <w:p>
      <w:pPr>
        <w:pStyle w:val="TOC2"/>
        <w:widowControl/>
        <w:tabs>
          <w:tab w:pos="8856" w:val="right" w:leader="dot"/>
        </w:tabs>
      </w:pPr>
      <w:hyperlink w:anchor="_NAESTMA_TOC_1498" w:history="1">
        <w:r>
          <w:rPr>
            <w:color w:val="466B7A"/>
          </w:rPr>
          <w:t>Article 39.16: Semiconductor Workforce, Research, and SME Access</w:t>
        </w:r>
      </w:hyperlink>
      <w:r>
        <w:tab/>
      </w:r>
      <w:r>
        <w:rPr>
          <w:rFonts w:ascii="Arial" w:hAnsi="Arial"/>
        </w:rPr>
        <w:t>1105</w:t>
      </w:r>
    </w:p>
    <w:p>
      <w:pPr>
        <w:pStyle w:val="TOC2"/>
        <w:widowControl/>
        <w:tabs>
          <w:tab w:pos="8856" w:val="right" w:leader="dot"/>
        </w:tabs>
      </w:pPr>
      <w:hyperlink w:anchor="_NAESTMA_TOC_1499" w:history="1">
        <w:r>
          <w:rPr>
            <w:color w:val="466B7A"/>
          </w:rPr>
          <w:t>Article 39.17: Semiconductor Capacity Reservation and Shortage Response</w:t>
        </w:r>
      </w:hyperlink>
      <w:r>
        <w:tab/>
      </w:r>
      <w:r>
        <w:rPr>
          <w:rFonts w:ascii="Arial" w:hAnsi="Arial"/>
        </w:rPr>
        <w:t>1105</w:t>
      </w:r>
    </w:p>
    <w:p>
      <w:pPr>
        <w:pStyle w:val="TOC2"/>
        <w:widowControl/>
        <w:tabs>
          <w:tab w:pos="8856" w:val="right" w:leader="dot"/>
        </w:tabs>
      </w:pPr>
      <w:hyperlink w:anchor="_NAESTMA_TOC_1500" w:history="1">
        <w:r>
          <w:rPr>
            <w:color w:val="466B7A"/>
          </w:rPr>
          <w:t>Article 39.18: Semiconductor Investment Additionality and Non-Poaching</w:t>
        </w:r>
      </w:hyperlink>
      <w:r>
        <w:tab/>
      </w:r>
      <w:r>
        <w:rPr>
          <w:rFonts w:ascii="Arial" w:hAnsi="Arial"/>
        </w:rPr>
        <w:t>1106</w:t>
      </w:r>
    </w:p>
    <w:p>
      <w:pPr>
        <w:pStyle w:val="TOC2"/>
        <w:widowControl/>
        <w:tabs>
          <w:tab w:pos="8856" w:val="right" w:leader="dot"/>
        </w:tabs>
      </w:pPr>
      <w:hyperlink w:anchor="_NAESTMA_TOC_1501" w:history="1">
        <w:r>
          <w:rPr>
            <w:color w:val="466B7A"/>
          </w:rPr>
          <w:t>PART B — ARTIFICIAL INTELLIGENCE GOVERNANCE, RIGHTS, SAFETY AND INNOVATION FRAMEWORK</w:t>
        </w:r>
      </w:hyperlink>
      <w:r>
        <w:tab/>
      </w:r>
      <w:r>
        <w:rPr>
          <w:rFonts w:ascii="Arial" w:hAnsi="Arial"/>
        </w:rPr>
        <w:t>1106</w:t>
      </w:r>
    </w:p>
    <w:p>
      <w:pPr>
        <w:pStyle w:val="TOC2"/>
        <w:widowControl/>
        <w:tabs>
          <w:tab w:pos="8856" w:val="right" w:leader="dot"/>
        </w:tabs>
      </w:pPr>
      <w:hyperlink w:anchor="_NAESTMA_TOC_1502" w:history="1">
        <w:r>
          <w:rPr>
            <w:color w:val="466B7A"/>
          </w:rPr>
          <w:t>Article 39.19: Purpose, Scope and Balanced AI Governance</w:t>
        </w:r>
      </w:hyperlink>
      <w:r>
        <w:tab/>
      </w:r>
      <w:r>
        <w:rPr>
          <w:rFonts w:ascii="Arial" w:hAnsi="Arial"/>
        </w:rPr>
        <w:t>1106</w:t>
      </w:r>
    </w:p>
    <w:p>
      <w:pPr>
        <w:pStyle w:val="TOC2"/>
        <w:widowControl/>
        <w:tabs>
          <w:tab w:pos="8856" w:val="right" w:leader="dot"/>
        </w:tabs>
      </w:pPr>
      <w:hyperlink w:anchor="_NAESTMA_TOC_1503" w:history="1">
        <w:r>
          <w:rPr>
            <w:color w:val="466B7A"/>
          </w:rPr>
          <w:t>Article 39.20: Definitions and Functional Classification</w:t>
        </w:r>
      </w:hyperlink>
      <w:r>
        <w:tab/>
      </w:r>
      <w:r>
        <w:rPr>
          <w:rFonts w:ascii="Arial" w:hAnsi="Arial"/>
        </w:rPr>
        <w:t>1108</w:t>
      </w:r>
    </w:p>
    <w:p>
      <w:pPr>
        <w:pStyle w:val="TOC2"/>
        <w:widowControl/>
        <w:tabs>
          <w:tab w:pos="8856" w:val="right" w:leader="dot"/>
        </w:tabs>
      </w:pPr>
      <w:hyperlink w:anchor="_NAESTMA_TOC_1504" w:history="1">
        <w:r>
          <w:rPr>
            <w:color w:val="466B7A"/>
          </w:rPr>
          <w:t>Article 39.21: Risk Classification and Reclassification</w:t>
        </w:r>
      </w:hyperlink>
      <w:r>
        <w:tab/>
      </w:r>
      <w:r>
        <w:rPr>
          <w:rFonts w:ascii="Arial" w:hAnsi="Arial"/>
        </w:rPr>
        <w:t>1109</w:t>
      </w:r>
    </w:p>
    <w:p>
      <w:pPr>
        <w:pStyle w:val="TOC2"/>
        <w:widowControl/>
        <w:tabs>
          <w:tab w:pos="8856" w:val="right" w:leader="dot"/>
        </w:tabs>
      </w:pPr>
      <w:hyperlink w:anchor="_NAESTMA_TOC_1505" w:history="1">
        <w:r>
          <w:rPr>
            <w:color w:val="466B7A"/>
          </w:rPr>
          <w:t>Article 39.22: Governing Firewalls and No AI Exceptionalism</w:t>
        </w:r>
      </w:hyperlink>
      <w:r>
        <w:tab/>
      </w:r>
      <w:r>
        <w:rPr>
          <w:rFonts w:ascii="Arial" w:hAnsi="Arial"/>
        </w:rPr>
        <w:t>1111</w:t>
      </w:r>
    </w:p>
    <w:p>
      <w:pPr>
        <w:pStyle w:val="TOC2"/>
        <w:widowControl/>
        <w:tabs>
          <w:tab w:pos="8856" w:val="right" w:leader="dot"/>
        </w:tabs>
      </w:pPr>
      <w:hyperlink w:anchor="_NAESTMA_TOC_1506" w:history="1">
        <w:r>
          <w:rPr>
            <w:color w:val="466B7A"/>
          </w:rPr>
          <w:t>Article 39.23: Human Authority and Accountable Decision-Making</w:t>
        </w:r>
      </w:hyperlink>
      <w:r>
        <w:tab/>
      </w:r>
      <w:r>
        <w:rPr>
          <w:rFonts w:ascii="Arial" w:hAnsi="Arial"/>
        </w:rPr>
        <w:t>1112</w:t>
      </w:r>
    </w:p>
    <w:p>
      <w:pPr>
        <w:pStyle w:val="TOC2"/>
        <w:widowControl/>
        <w:tabs>
          <w:tab w:pos="8856" w:val="right" w:leader="dot"/>
        </w:tabs>
      </w:pPr>
      <w:hyperlink w:anchor="_NAESTMA_TOC_1507" w:history="1">
        <w:r>
          <w:rPr>
            <w:color w:val="466B7A"/>
          </w:rPr>
          <w:t>Article 39.24: Notice, Explanation and Disclosure to Affected Persons</w:t>
        </w:r>
      </w:hyperlink>
      <w:r>
        <w:tab/>
      </w:r>
      <w:r>
        <w:rPr>
          <w:rFonts w:ascii="Arial" w:hAnsi="Arial"/>
        </w:rPr>
        <w:t>1113</w:t>
      </w:r>
    </w:p>
    <w:p>
      <w:pPr>
        <w:pStyle w:val="TOC2"/>
        <w:widowControl/>
        <w:tabs>
          <w:tab w:pos="8856" w:val="right" w:leader="dot"/>
        </w:tabs>
      </w:pPr>
      <w:hyperlink w:anchor="_NAESTMA_TOC_1508" w:history="1">
        <w:r>
          <w:rPr>
            <w:color w:val="466B7A"/>
          </w:rPr>
          <w:t>Article 39.25: Contestability, Appeal and Correction</w:t>
        </w:r>
      </w:hyperlink>
      <w:r>
        <w:tab/>
      </w:r>
      <w:r>
        <w:rPr>
          <w:rFonts w:ascii="Arial" w:hAnsi="Arial"/>
        </w:rPr>
        <w:t>1115</w:t>
      </w:r>
    </w:p>
    <w:p>
      <w:pPr>
        <w:pStyle w:val="TOC2"/>
        <w:widowControl/>
        <w:tabs>
          <w:tab w:pos="8856" w:val="right" w:leader="dot"/>
        </w:tabs>
      </w:pPr>
      <w:hyperlink w:anchor="_NAESTMA_TOC_1509" w:history="1">
        <w:r>
          <w:rPr>
            <w:color w:val="466B7A"/>
          </w:rPr>
          <w:t>Article 39.26: Consequential Automated Decision Safeguards</w:t>
        </w:r>
      </w:hyperlink>
      <w:r>
        <w:tab/>
      </w:r>
      <w:r>
        <w:rPr>
          <w:rFonts w:ascii="Arial" w:hAnsi="Arial"/>
        </w:rPr>
        <w:t>1116</w:t>
      </w:r>
    </w:p>
    <w:p>
      <w:pPr>
        <w:pStyle w:val="TOC2"/>
        <w:widowControl/>
        <w:tabs>
          <w:tab w:pos="8856" w:val="right" w:leader="dot"/>
        </w:tabs>
      </w:pPr>
      <w:hyperlink w:anchor="_NAESTMA_TOC_1510" w:history="1">
        <w:r>
          <w:rPr>
            <w:color w:val="466B7A"/>
          </w:rPr>
          <w:t>Article 39.27: Impact Assessment and Deployment Documentation</w:t>
        </w:r>
      </w:hyperlink>
      <w:r>
        <w:tab/>
      </w:r>
      <w:r>
        <w:rPr>
          <w:rFonts w:ascii="Arial" w:hAnsi="Arial"/>
        </w:rPr>
        <w:t>1117</w:t>
      </w:r>
    </w:p>
    <w:p>
      <w:pPr>
        <w:pStyle w:val="TOC2"/>
        <w:widowControl/>
        <w:tabs>
          <w:tab w:pos="8856" w:val="right" w:leader="dot"/>
        </w:tabs>
      </w:pPr>
      <w:hyperlink w:anchor="_NAESTMA_TOC_1511" w:history="1">
        <w:r>
          <w:rPr>
            <w:color w:val="466B7A"/>
          </w:rPr>
          <w:t>Article 39.28: Audit, Assurance and Independent Review</w:t>
        </w:r>
      </w:hyperlink>
      <w:r>
        <w:tab/>
      </w:r>
      <w:r>
        <w:rPr>
          <w:rFonts w:ascii="Arial" w:hAnsi="Arial"/>
        </w:rPr>
        <w:t>1119</w:t>
      </w:r>
    </w:p>
    <w:p>
      <w:pPr>
        <w:pStyle w:val="TOC2"/>
        <w:widowControl/>
        <w:tabs>
          <w:tab w:pos="8856" w:val="right" w:leader="dot"/>
        </w:tabs>
      </w:pPr>
      <w:hyperlink w:anchor="_NAESTMA_TOC_1512" w:history="1">
        <w:r>
          <w:rPr>
            <w:color w:val="466B7A"/>
          </w:rPr>
          <w:t>Article 39.29: Performance, Bias and Validation</w:t>
        </w:r>
      </w:hyperlink>
      <w:r>
        <w:tab/>
      </w:r>
      <w:r>
        <w:rPr>
          <w:rFonts w:ascii="Arial" w:hAnsi="Arial"/>
        </w:rPr>
        <w:t>1120</w:t>
      </w:r>
    </w:p>
    <w:p>
      <w:pPr>
        <w:pStyle w:val="TOC2"/>
        <w:widowControl/>
        <w:tabs>
          <w:tab w:pos="8856" w:val="right" w:leader="dot"/>
        </w:tabs>
      </w:pPr>
      <w:hyperlink w:anchor="_NAESTMA_TOC_1513" w:history="1">
        <w:r>
          <w:rPr>
            <w:color w:val="466B7A"/>
          </w:rPr>
          <w:t>Article 39.30: Safety Engineering and Risk Controls</w:t>
        </w:r>
      </w:hyperlink>
      <w:r>
        <w:tab/>
      </w:r>
      <w:r>
        <w:rPr>
          <w:rFonts w:ascii="Arial" w:hAnsi="Arial"/>
        </w:rPr>
        <w:t>1122</w:t>
      </w:r>
    </w:p>
    <w:p>
      <w:pPr>
        <w:pStyle w:val="TOC2"/>
        <w:widowControl/>
        <w:tabs>
          <w:tab w:pos="8856" w:val="right" w:leader="dot"/>
        </w:tabs>
      </w:pPr>
      <w:hyperlink w:anchor="_NAESTMA_TOC_1514" w:history="1">
        <w:r>
          <w:rPr>
            <w:color w:val="466B7A"/>
          </w:rPr>
          <w:t>Article 39.31: Lifecycle Governance and Change Control</w:t>
        </w:r>
      </w:hyperlink>
      <w:r>
        <w:tab/>
      </w:r>
      <w:r>
        <w:rPr>
          <w:rFonts w:ascii="Arial" w:hAnsi="Arial"/>
        </w:rPr>
        <w:t>1123</w:t>
      </w:r>
    </w:p>
    <w:p>
      <w:pPr>
        <w:pStyle w:val="TOC2"/>
        <w:widowControl/>
        <w:tabs>
          <w:tab w:pos="8856" w:val="right" w:leader="dot"/>
        </w:tabs>
      </w:pPr>
      <w:hyperlink w:anchor="_NAESTMA_TOC_1515" w:history="1">
        <w:r>
          <w:rPr>
            <w:color w:val="466B7A"/>
          </w:rPr>
          <w:t>Article 39.32: Red Teaming, Robustness and Adversarial Testing</w:t>
        </w:r>
      </w:hyperlink>
      <w:r>
        <w:tab/>
      </w:r>
      <w:r>
        <w:rPr>
          <w:rFonts w:ascii="Arial" w:hAnsi="Arial"/>
        </w:rPr>
        <w:t>1124</w:t>
      </w:r>
    </w:p>
    <w:p>
      <w:pPr>
        <w:pStyle w:val="TOC2"/>
        <w:widowControl/>
        <w:tabs>
          <w:tab w:pos="8856" w:val="right" w:leader="dot"/>
        </w:tabs>
      </w:pPr>
      <w:hyperlink w:anchor="_NAESTMA_TOC_1516" w:history="1">
        <w:r>
          <w:rPr>
            <w:color w:val="466B7A"/>
          </w:rPr>
          <w:t>Article 39.33: Fail-Safe Design, Graceful Degradation and Rollback</w:t>
        </w:r>
      </w:hyperlink>
      <w:r>
        <w:tab/>
      </w:r>
      <w:r>
        <w:rPr>
          <w:rFonts w:ascii="Arial" w:hAnsi="Arial"/>
        </w:rPr>
        <w:t>1126</w:t>
      </w:r>
    </w:p>
    <w:p>
      <w:pPr>
        <w:pStyle w:val="TOC2"/>
        <w:widowControl/>
        <w:tabs>
          <w:tab w:pos="8856" w:val="right" w:leader="dot"/>
        </w:tabs>
      </w:pPr>
      <w:hyperlink w:anchor="_NAESTMA_TOC_1517" w:history="1">
        <w:r>
          <w:rPr>
            <w:color w:val="466B7A"/>
          </w:rPr>
          <w:t>Article 39.34: Serious AI Incident Classification and Notification</w:t>
        </w:r>
      </w:hyperlink>
      <w:r>
        <w:tab/>
      </w:r>
      <w:r>
        <w:rPr>
          <w:rFonts w:ascii="Arial" w:hAnsi="Arial"/>
        </w:rPr>
        <w:t>1127</w:t>
      </w:r>
    </w:p>
    <w:p>
      <w:pPr>
        <w:pStyle w:val="TOC2"/>
        <w:widowControl/>
        <w:tabs>
          <w:tab w:pos="8856" w:val="right" w:leader="dot"/>
        </w:tabs>
      </w:pPr>
      <w:hyperlink w:anchor="_NAESTMA_TOC_1518" w:history="1">
        <w:r>
          <w:rPr>
            <w:color w:val="466B7A"/>
          </w:rPr>
          <w:t>Article 39.35: Incident Investigation, Learning and Corrective Action</w:t>
        </w:r>
      </w:hyperlink>
      <w:r>
        <w:tab/>
      </w:r>
      <w:r>
        <w:rPr>
          <w:rFonts w:ascii="Arial" w:hAnsi="Arial"/>
        </w:rPr>
        <w:t>1129</w:t>
      </w:r>
    </w:p>
    <w:p>
      <w:pPr>
        <w:pStyle w:val="TOC2"/>
        <w:widowControl/>
        <w:tabs>
          <w:tab w:pos="8856" w:val="right" w:leader="dot"/>
        </w:tabs>
      </w:pPr>
      <w:hyperlink w:anchor="_NAESTMA_TOC_1519" w:history="1">
        <w:r>
          <w:rPr>
            <w:color w:val="466B7A"/>
          </w:rPr>
          <w:t>Article 39.36: Model Identity and Deployment Versioning</w:t>
        </w:r>
      </w:hyperlink>
      <w:r>
        <w:tab/>
      </w:r>
      <w:r>
        <w:rPr>
          <w:rFonts w:ascii="Arial" w:hAnsi="Arial"/>
        </w:rPr>
        <w:t>1130</w:t>
      </w:r>
    </w:p>
    <w:p>
      <w:pPr>
        <w:pStyle w:val="TOC2"/>
        <w:widowControl/>
        <w:tabs>
          <w:tab w:pos="8856" w:val="right" w:leader="dot"/>
        </w:tabs>
      </w:pPr>
      <w:hyperlink w:anchor="_NAESTMA_TOC_1520" w:history="1">
        <w:r>
          <w:rPr>
            <w:color w:val="466B7A"/>
          </w:rPr>
          <w:t>Article 39.37: Material Changes and Revalidation</w:t>
        </w:r>
      </w:hyperlink>
      <w:r>
        <w:tab/>
      </w:r>
      <w:r>
        <w:rPr>
          <w:rFonts w:ascii="Arial" w:hAnsi="Arial"/>
        </w:rPr>
        <w:t>1131</w:t>
      </w:r>
    </w:p>
    <w:p>
      <w:pPr>
        <w:pStyle w:val="TOC2"/>
        <w:widowControl/>
        <w:tabs>
          <w:tab w:pos="8856" w:val="right" w:leader="dot"/>
        </w:tabs>
      </w:pPr>
      <w:hyperlink w:anchor="_NAESTMA_TOC_1521" w:history="1">
        <w:r>
          <w:rPr>
            <w:color w:val="466B7A"/>
          </w:rPr>
          <w:t>Article 39.38: Traceability, Logging and Decision Reconstruction</w:t>
        </w:r>
      </w:hyperlink>
      <w:r>
        <w:tab/>
      </w:r>
      <w:r>
        <w:rPr>
          <w:rFonts w:ascii="Arial" w:hAnsi="Arial"/>
        </w:rPr>
        <w:t>1133</w:t>
      </w:r>
    </w:p>
    <w:p>
      <w:pPr>
        <w:pStyle w:val="TOC2"/>
        <w:widowControl/>
        <w:tabs>
          <w:tab w:pos="8856" w:val="right" w:leader="dot"/>
        </w:tabs>
      </w:pPr>
      <w:hyperlink w:anchor="_NAESTMA_TOC_1522" w:history="1">
        <w:r>
          <w:rPr>
            <w:color w:val="466B7A"/>
          </w:rPr>
          <w:t>Article 39.39: AI Output Verification and Hallucination Literacy</w:t>
        </w:r>
      </w:hyperlink>
      <w:r>
        <w:tab/>
      </w:r>
      <w:r>
        <w:rPr>
          <w:rFonts w:ascii="Arial" w:hAnsi="Arial"/>
        </w:rPr>
        <w:t>1134</w:t>
      </w:r>
    </w:p>
    <w:p>
      <w:pPr>
        <w:pStyle w:val="TOC2"/>
        <w:widowControl/>
        <w:tabs>
          <w:tab w:pos="8856" w:val="right" w:leader="dot"/>
        </w:tabs>
      </w:pPr>
      <w:hyperlink w:anchor="_NAESTMA_TOC_1523" w:history="1">
        <w:r>
          <w:rPr>
            <w:color w:val="466B7A"/>
          </w:rPr>
          <w:t>Article 39.40: Source-Boundary and Context Integrity</w:t>
        </w:r>
      </w:hyperlink>
      <w:r>
        <w:tab/>
      </w:r>
      <w:r>
        <w:rPr>
          <w:rFonts w:ascii="Arial" w:hAnsi="Arial"/>
        </w:rPr>
        <w:t>1135</w:t>
      </w:r>
    </w:p>
    <w:p>
      <w:pPr>
        <w:pStyle w:val="TOC2"/>
        <w:widowControl/>
        <w:tabs>
          <w:tab w:pos="8856" w:val="right" w:leader="dot"/>
        </w:tabs>
      </w:pPr>
      <w:hyperlink w:anchor="_NAESTMA_TOC_1524" w:history="1">
        <w:r>
          <w:rPr>
            <w:color w:val="466B7A"/>
          </w:rPr>
          <w:t>Article 39.41: Privacy, Data Minimization and Purpose Limitation</w:t>
        </w:r>
      </w:hyperlink>
      <w:r>
        <w:tab/>
      </w:r>
      <w:r>
        <w:rPr>
          <w:rFonts w:ascii="Arial" w:hAnsi="Arial"/>
        </w:rPr>
        <w:t>1137</w:t>
      </w:r>
    </w:p>
    <w:p>
      <w:pPr>
        <w:pStyle w:val="TOC2"/>
        <w:widowControl/>
        <w:tabs>
          <w:tab w:pos="8856" w:val="right" w:leader="dot"/>
        </w:tabs>
      </w:pPr>
      <w:hyperlink w:anchor="_NAESTMA_TOC_1525" w:history="1">
        <w:r>
          <w:rPr>
            <w:color w:val="466B7A"/>
          </w:rPr>
          <w:t>Article 39.42: Training Data Rights and Governance</w:t>
        </w:r>
      </w:hyperlink>
      <w:r>
        <w:tab/>
      </w:r>
      <w:r>
        <w:rPr>
          <w:rFonts w:ascii="Arial" w:hAnsi="Arial"/>
        </w:rPr>
        <w:t>1138</w:t>
      </w:r>
    </w:p>
    <w:p>
      <w:pPr>
        <w:pStyle w:val="TOC2"/>
        <w:widowControl/>
        <w:tabs>
          <w:tab w:pos="8856" w:val="right" w:leader="dot"/>
        </w:tabs>
      </w:pPr>
      <w:hyperlink w:anchor="_NAESTMA_TOC_1526" w:history="1">
        <w:r>
          <w:rPr>
            <w:color w:val="466B7A"/>
          </w:rPr>
          <w:t>Article 39.43: Model Memorization, Leakage and Confidentiality</w:t>
        </w:r>
      </w:hyperlink>
      <w:r>
        <w:tab/>
      </w:r>
      <w:r>
        <w:rPr>
          <w:rFonts w:ascii="Arial" w:hAnsi="Arial"/>
        </w:rPr>
        <w:t>1140</w:t>
      </w:r>
    </w:p>
    <w:p>
      <w:pPr>
        <w:pStyle w:val="TOC2"/>
        <w:widowControl/>
        <w:tabs>
          <w:tab w:pos="8856" w:val="right" w:leader="dot"/>
        </w:tabs>
      </w:pPr>
      <w:hyperlink w:anchor="_NAESTMA_TOC_1527" w:history="1">
        <w:r>
          <w:rPr>
            <w:color w:val="466B7A"/>
          </w:rPr>
          <w:t>Article 39.44: Biometrics and Persistent Identity</w:t>
        </w:r>
      </w:hyperlink>
      <w:r>
        <w:tab/>
      </w:r>
      <w:r>
        <w:rPr>
          <w:rFonts w:ascii="Arial" w:hAnsi="Arial"/>
        </w:rPr>
        <w:t>1141</w:t>
      </w:r>
    </w:p>
    <w:p>
      <w:pPr>
        <w:pStyle w:val="TOC2"/>
        <w:widowControl/>
        <w:tabs>
          <w:tab w:pos="8856" w:val="right" w:leader="dot"/>
        </w:tabs>
      </w:pPr>
      <w:hyperlink w:anchor="_NAESTMA_TOC_1528" w:history="1">
        <w:r>
          <w:rPr>
            <w:color w:val="466B7A"/>
          </w:rPr>
          <w:t>Article 39.45: Synthetic Media, Authenticity and Provenance</w:t>
        </w:r>
      </w:hyperlink>
      <w:r>
        <w:tab/>
      </w:r>
      <w:r>
        <w:rPr>
          <w:rFonts w:ascii="Arial" w:hAnsi="Arial"/>
        </w:rPr>
        <w:t>1143</w:t>
      </w:r>
    </w:p>
    <w:p>
      <w:pPr>
        <w:pStyle w:val="TOC2"/>
        <w:widowControl/>
        <w:tabs>
          <w:tab w:pos="8856" w:val="right" w:leader="dot"/>
        </w:tabs>
      </w:pPr>
      <w:hyperlink w:anchor="_NAESTMA_TOC_1529" w:history="1">
        <w:r>
          <w:rPr>
            <w:color w:val="466B7A"/>
          </w:rPr>
          <w:t>Article 39.46: Impersonation, Voice Cloning and Deepfake Harm</w:t>
        </w:r>
      </w:hyperlink>
      <w:r>
        <w:tab/>
      </w:r>
      <w:r>
        <w:rPr>
          <w:rFonts w:ascii="Arial" w:hAnsi="Arial"/>
        </w:rPr>
        <w:t>1144</w:t>
      </w:r>
    </w:p>
    <w:p>
      <w:pPr>
        <w:pStyle w:val="TOC2"/>
        <w:widowControl/>
        <w:tabs>
          <w:tab w:pos="8856" w:val="right" w:leader="dot"/>
        </w:tabs>
      </w:pPr>
      <w:hyperlink w:anchor="_NAESTMA_TOC_1530" w:history="1">
        <w:r>
          <w:rPr>
            <w:color w:val="466B7A"/>
          </w:rPr>
          <w:t>Article 39.47: Worker Notice, Consultation and Deployment</w:t>
        </w:r>
      </w:hyperlink>
      <w:r>
        <w:tab/>
      </w:r>
      <w:r>
        <w:rPr>
          <w:rFonts w:ascii="Arial" w:hAnsi="Arial"/>
        </w:rPr>
        <w:t>1146</w:t>
      </w:r>
    </w:p>
    <w:p>
      <w:pPr>
        <w:pStyle w:val="TOC2"/>
        <w:widowControl/>
        <w:tabs>
          <w:tab w:pos="8856" w:val="right" w:leader="dot"/>
        </w:tabs>
      </w:pPr>
      <w:hyperlink w:anchor="_NAESTMA_TOC_1531" w:history="1">
        <w:r>
          <w:rPr>
            <w:color w:val="466B7A"/>
          </w:rPr>
          <w:t>Article 39.48: Automated Hiring, Discipline and Termination</w:t>
        </w:r>
      </w:hyperlink>
      <w:r>
        <w:tab/>
      </w:r>
      <w:r>
        <w:rPr>
          <w:rFonts w:ascii="Arial" w:hAnsi="Arial"/>
        </w:rPr>
        <w:t>1147</w:t>
      </w:r>
    </w:p>
    <w:p>
      <w:pPr>
        <w:pStyle w:val="TOC2"/>
        <w:widowControl/>
        <w:tabs>
          <w:tab w:pos="8856" w:val="right" w:leader="dot"/>
        </w:tabs>
      </w:pPr>
      <w:hyperlink w:anchor="_NAESTMA_TOC_1532" w:history="1">
        <w:r>
          <w:rPr>
            <w:color w:val="466B7A"/>
          </w:rPr>
          <w:t>Article 39.49: Worker Monitoring, Scoring and Dignity</w:t>
        </w:r>
      </w:hyperlink>
      <w:r>
        <w:tab/>
      </w:r>
      <w:r>
        <w:rPr>
          <w:rFonts w:ascii="Arial" w:hAnsi="Arial"/>
        </w:rPr>
        <w:t>1149</w:t>
      </w:r>
    </w:p>
    <w:p>
      <w:pPr>
        <w:pStyle w:val="TOC2"/>
        <w:widowControl/>
        <w:tabs>
          <w:tab w:pos="8856" w:val="right" w:leader="dot"/>
        </w:tabs>
      </w:pPr>
      <w:hyperlink w:anchor="_NAESTMA_TOC_1533" w:history="1">
        <w:r>
          <w:rPr>
            <w:color w:val="466B7A"/>
          </w:rPr>
          <w:t>Article 39.50: Platform, Gig and Worker Data Governance</w:t>
        </w:r>
      </w:hyperlink>
      <w:r>
        <w:tab/>
      </w:r>
      <w:r>
        <w:rPr>
          <w:rFonts w:ascii="Arial" w:hAnsi="Arial"/>
        </w:rPr>
        <w:t>1150</w:t>
      </w:r>
    </w:p>
    <w:p>
      <w:pPr>
        <w:pStyle w:val="TOC2"/>
        <w:widowControl/>
        <w:tabs>
          <w:tab w:pos="8856" w:val="right" w:leader="dot"/>
        </w:tabs>
      </w:pPr>
      <w:hyperlink w:anchor="_NAESTMA_TOC_1534" w:history="1">
        <w:r>
          <w:rPr>
            <w:color w:val="466B7A"/>
          </w:rPr>
          <w:t>Article 39.51: Healthcare AI Clinical Authority</w:t>
        </w:r>
      </w:hyperlink>
      <w:r>
        <w:tab/>
      </w:r>
      <w:r>
        <w:rPr>
          <w:rFonts w:ascii="Arial" w:hAnsi="Arial"/>
        </w:rPr>
        <w:t>1152</w:t>
      </w:r>
    </w:p>
    <w:p>
      <w:pPr>
        <w:pStyle w:val="TOC2"/>
        <w:widowControl/>
        <w:tabs>
          <w:tab w:pos="8856" w:val="right" w:leader="dot"/>
        </w:tabs>
      </w:pPr>
      <w:hyperlink w:anchor="_NAESTMA_TOC_1535" w:history="1">
        <w:r>
          <w:rPr>
            <w:color w:val="466B7A"/>
          </w:rPr>
          <w:t>Article 39.52: Healthcare AI Validation and Performance</w:t>
        </w:r>
      </w:hyperlink>
      <w:r>
        <w:tab/>
      </w:r>
      <w:r>
        <w:rPr>
          <w:rFonts w:ascii="Arial" w:hAnsi="Arial"/>
        </w:rPr>
        <w:t>1153</w:t>
      </w:r>
    </w:p>
    <w:p>
      <w:pPr>
        <w:pStyle w:val="TOC2"/>
        <w:widowControl/>
        <w:tabs>
          <w:tab w:pos="8856" w:val="right" w:leader="dot"/>
        </w:tabs>
      </w:pPr>
      <w:hyperlink w:anchor="_NAESTMA_TOC_1536" w:history="1">
        <w:r>
          <w:rPr>
            <w:color w:val="466B7A"/>
          </w:rPr>
          <w:t>Article 39.53: Healthcare AI Consent, Privacy and Patient Data</w:t>
        </w:r>
      </w:hyperlink>
      <w:r>
        <w:tab/>
      </w:r>
      <w:r>
        <w:rPr>
          <w:rFonts w:ascii="Arial" w:hAnsi="Arial"/>
        </w:rPr>
        <w:t>1154</w:t>
      </w:r>
    </w:p>
    <w:p>
      <w:pPr>
        <w:pStyle w:val="TOC2"/>
        <w:widowControl/>
        <w:tabs>
          <w:tab w:pos="8856" w:val="right" w:leader="dot"/>
        </w:tabs>
      </w:pPr>
      <w:hyperlink w:anchor="_NAESTMA_TOC_1537" w:history="1">
        <w:r>
          <w:rPr>
            <w:color w:val="466B7A"/>
          </w:rPr>
          <w:t>Article 39.54: Healthcare Deployment, Change Control and Human Factors</w:t>
        </w:r>
      </w:hyperlink>
      <w:r>
        <w:tab/>
      </w:r>
      <w:r>
        <w:rPr>
          <w:rFonts w:ascii="Arial" w:hAnsi="Arial"/>
        </w:rPr>
        <w:t>1156</w:t>
      </w:r>
    </w:p>
    <w:p>
      <w:pPr>
        <w:pStyle w:val="TOC2"/>
        <w:widowControl/>
        <w:tabs>
          <w:tab w:pos="8856" w:val="right" w:leader="dot"/>
        </w:tabs>
      </w:pPr>
      <w:hyperlink w:anchor="_NAESTMA_TOC_1538" w:history="1">
        <w:r>
          <w:rPr>
            <w:color w:val="466B7A"/>
          </w:rPr>
          <w:t>Article 39.55: Healthcare Post-Market Safety, Equity and Access</w:t>
        </w:r>
      </w:hyperlink>
      <w:r>
        <w:tab/>
      </w:r>
      <w:r>
        <w:rPr>
          <w:rFonts w:ascii="Arial" w:hAnsi="Arial"/>
        </w:rPr>
        <w:t>1157</w:t>
      </w:r>
    </w:p>
    <w:p>
      <w:pPr>
        <w:pStyle w:val="TOC2"/>
        <w:widowControl/>
        <w:tabs>
          <w:tab w:pos="8856" w:val="right" w:leader="dot"/>
        </w:tabs>
      </w:pPr>
      <w:hyperlink w:anchor="_NAESTMA_TOC_1539" w:history="1">
        <w:r>
          <w:rPr>
            <w:color w:val="466B7A"/>
          </w:rPr>
          <w:t>Article 39.56: Teacher, Student and Institutional Human Authority</w:t>
        </w:r>
      </w:hyperlink>
      <w:r>
        <w:tab/>
      </w:r>
      <w:r>
        <w:rPr>
          <w:rFonts w:ascii="Arial" w:hAnsi="Arial"/>
        </w:rPr>
        <w:t>1158</w:t>
      </w:r>
    </w:p>
    <w:p>
      <w:pPr>
        <w:pStyle w:val="TOC2"/>
        <w:widowControl/>
        <w:tabs>
          <w:tab w:pos="8856" w:val="right" w:leader="dot"/>
        </w:tabs>
      </w:pPr>
      <w:hyperlink w:anchor="_NAESTMA_TOC_1540" w:history="1">
        <w:r>
          <w:rPr>
            <w:color w:val="466B7A"/>
          </w:rPr>
          <w:t>Article 39.57: Student Privacy, Age-Appropriate Design and Safety</w:t>
        </w:r>
      </w:hyperlink>
      <w:r>
        <w:tab/>
      </w:r>
      <w:r>
        <w:rPr>
          <w:rFonts w:ascii="Arial" w:hAnsi="Arial"/>
        </w:rPr>
        <w:t>1160</w:t>
      </w:r>
    </w:p>
    <w:p>
      <w:pPr>
        <w:pStyle w:val="TOC2"/>
        <w:widowControl/>
        <w:tabs>
          <w:tab w:pos="8856" w:val="right" w:leader="dot"/>
        </w:tabs>
      </w:pPr>
      <w:hyperlink w:anchor="_NAESTMA_TOC_1541" w:history="1">
        <w:r>
          <w:rPr>
            <w:color w:val="466B7A"/>
          </w:rPr>
          <w:t>Article 39.58: Educational Assessment, Integrity and Fairness</w:t>
        </w:r>
      </w:hyperlink>
      <w:r>
        <w:tab/>
      </w:r>
      <w:r>
        <w:rPr>
          <w:rFonts w:ascii="Arial" w:hAnsi="Arial"/>
        </w:rPr>
        <w:t>1161</w:t>
      </w:r>
    </w:p>
    <w:p>
      <w:pPr>
        <w:pStyle w:val="TOC2"/>
        <w:widowControl/>
        <w:tabs>
          <w:tab w:pos="8856" w:val="right" w:leader="dot"/>
        </w:tabs>
      </w:pPr>
      <w:hyperlink w:anchor="_NAESTMA_TOC_1542" w:history="1">
        <w:r>
          <w:rPr>
            <w:color w:val="466B7A"/>
          </w:rPr>
          <w:t>Article 39.59: AI Literacy, Verification and Public Capability</w:t>
        </w:r>
      </w:hyperlink>
      <w:r>
        <w:tab/>
      </w:r>
      <w:r>
        <w:rPr>
          <w:rFonts w:ascii="Arial" w:hAnsi="Arial"/>
        </w:rPr>
        <w:t>1163</w:t>
      </w:r>
    </w:p>
    <w:p>
      <w:pPr>
        <w:pStyle w:val="TOC2"/>
        <w:widowControl/>
        <w:tabs>
          <w:tab w:pos="8856" w:val="right" w:leader="dot"/>
        </w:tabs>
      </w:pPr>
      <w:hyperlink w:anchor="_NAESTMA_TOC_1543" w:history="1">
        <w:r>
          <w:rPr>
            <w:color w:val="466B7A"/>
          </w:rPr>
          <w:t>Article 39.60: AI Cybersecurity, Poisoning and Adversarial Resilience</w:t>
        </w:r>
      </w:hyperlink>
      <w:r>
        <w:tab/>
      </w:r>
      <w:r>
        <w:rPr>
          <w:rFonts w:ascii="Arial" w:hAnsi="Arial"/>
        </w:rPr>
        <w:t>1164</w:t>
      </w:r>
    </w:p>
    <w:p>
      <w:pPr>
        <w:pStyle w:val="TOC2"/>
        <w:widowControl/>
        <w:tabs>
          <w:tab w:pos="8856" w:val="right" w:leader="dot"/>
        </w:tabs>
      </w:pPr>
      <w:hyperlink w:anchor="_NAESTMA_TOC_1544" w:history="1">
        <w:r>
          <w:rPr>
            <w:color w:val="466B7A"/>
          </w:rPr>
          <w:t>Article 39.61: Critical Infrastructure AI Resilience</w:t>
        </w:r>
      </w:hyperlink>
      <w:r>
        <w:tab/>
      </w:r>
      <w:r>
        <w:rPr>
          <w:rFonts w:ascii="Arial" w:hAnsi="Arial"/>
        </w:rPr>
        <w:t>1165</w:t>
      </w:r>
    </w:p>
    <w:p>
      <w:pPr>
        <w:pStyle w:val="TOC2"/>
        <w:widowControl/>
        <w:tabs>
          <w:tab w:pos="8856" w:val="right" w:leader="dot"/>
        </w:tabs>
      </w:pPr>
      <w:hyperlink w:anchor="_NAESTMA_TOC_1545" w:history="1">
        <w:r>
          <w:rPr>
            <w:color w:val="466B7A"/>
          </w:rPr>
          <w:t>Article 39.62: AI Supply Chain, Vendor and Open-Source Security</w:t>
        </w:r>
      </w:hyperlink>
      <w:r>
        <w:tab/>
      </w:r>
      <w:r>
        <w:rPr>
          <w:rFonts w:ascii="Arial" w:hAnsi="Arial"/>
        </w:rPr>
        <w:t>1166</w:t>
      </w:r>
    </w:p>
    <w:p>
      <w:pPr>
        <w:pStyle w:val="TOC2"/>
        <w:widowControl/>
        <w:tabs>
          <w:tab w:pos="8856" w:val="right" w:leader="dot"/>
        </w:tabs>
      </w:pPr>
      <w:hyperlink w:anchor="_NAESTMA_TOC_1546" w:history="1">
        <w:r>
          <w:rPr>
            <w:color w:val="466B7A"/>
          </w:rPr>
          <w:t>Article 39.63: Compute Infrastructure, Data Sovereignty, Industrial Capacity and Talent</w:t>
        </w:r>
      </w:hyperlink>
      <w:r>
        <w:tab/>
      </w:r>
      <w:r>
        <w:rPr>
          <w:rFonts w:ascii="Arial" w:hAnsi="Arial"/>
        </w:rPr>
        <w:t>1167</w:t>
      </w:r>
    </w:p>
    <w:p>
      <w:pPr>
        <w:pStyle w:val="TOC2"/>
        <w:widowControl/>
        <w:tabs>
          <w:tab w:pos="8856" w:val="right" w:leader="dot"/>
        </w:tabs>
      </w:pPr>
      <w:hyperlink w:anchor="_NAESTMA_TOC_1547" w:history="1">
        <w:r>
          <w:rPr>
            <w:color w:val="466B7A"/>
          </w:rPr>
          <w:t>Article 39.64: Consumer Protection, Accessibility and Market Fairness</w:t>
        </w:r>
      </w:hyperlink>
      <w:r>
        <w:tab/>
      </w:r>
      <w:r>
        <w:rPr>
          <w:rFonts w:ascii="Arial" w:hAnsi="Arial"/>
        </w:rPr>
        <w:t>1168</w:t>
      </w:r>
    </w:p>
    <w:p>
      <w:pPr>
        <w:pStyle w:val="TOC2"/>
        <w:widowControl/>
        <w:tabs>
          <w:tab w:pos="8856" w:val="right" w:leader="dot"/>
        </w:tabs>
      </w:pPr>
      <w:hyperlink w:anchor="_NAESTMA_TOC_1548" w:history="1">
        <w:r>
          <w:rPr>
            <w:color w:val="466B7A"/>
          </w:rPr>
          <w:t>Article 39.65: Indigenous Data and AI Governance</w:t>
        </w:r>
      </w:hyperlink>
      <w:r>
        <w:tab/>
      </w:r>
      <w:r>
        <w:rPr>
          <w:rFonts w:ascii="Arial" w:hAnsi="Arial"/>
        </w:rPr>
        <w:t>1169</w:t>
      </w:r>
    </w:p>
    <w:p>
      <w:pPr>
        <w:pStyle w:val="TOC2"/>
        <w:widowControl/>
        <w:tabs>
          <w:tab w:pos="8856" w:val="right" w:leader="dot"/>
        </w:tabs>
      </w:pPr>
      <w:hyperlink w:anchor="_NAESTMA_TOC_1549" w:history="1">
        <w:r>
          <w:rPr>
            <w:color w:val="466B7A"/>
          </w:rPr>
          <w:t>Article 39.66: Research, Open Science, Sandboxes and Environmental Applications</w:t>
        </w:r>
      </w:hyperlink>
      <w:r>
        <w:tab/>
      </w:r>
      <w:r>
        <w:rPr>
          <w:rFonts w:ascii="Arial" w:hAnsi="Arial"/>
        </w:rPr>
        <w:t>1170</w:t>
      </w:r>
    </w:p>
    <w:p>
      <w:pPr>
        <w:pStyle w:val="TOC2"/>
        <w:widowControl/>
        <w:tabs>
          <w:tab w:pos="8856" w:val="right" w:leader="dot"/>
        </w:tabs>
      </w:pPr>
      <w:hyperlink w:anchor="_NAESTMA_TOC_1550" w:history="1">
        <w:r>
          <w:rPr>
            <w:color w:val="466B7A"/>
          </w:rPr>
          <w:t>Article 39.67: Military and National-Security AI Safeguards</w:t>
        </w:r>
      </w:hyperlink>
      <w:r>
        <w:tab/>
      </w:r>
      <w:r>
        <w:rPr>
          <w:rFonts w:ascii="Arial" w:hAnsi="Arial"/>
        </w:rPr>
        <w:t>1171</w:t>
      </w:r>
    </w:p>
    <w:p>
      <w:pPr>
        <w:pStyle w:val="TOC2"/>
        <w:widowControl/>
        <w:tabs>
          <w:tab w:pos="8856" w:val="right" w:leader="dot"/>
        </w:tabs>
      </w:pPr>
      <w:hyperlink w:anchor="_NAESTMA_TOC_1551" w:history="1">
        <w:r>
          <w:rPr>
            <w:color w:val="466B7A"/>
          </w:rPr>
          <w:t>Article 39.68: Cognitive Liberty and Freedom of AI-Assisted Thought</w:t>
        </w:r>
      </w:hyperlink>
      <w:r>
        <w:tab/>
      </w:r>
      <w:r>
        <w:rPr>
          <w:rFonts w:ascii="Arial" w:hAnsi="Arial"/>
        </w:rPr>
        <w:t>1172</w:t>
      </w:r>
    </w:p>
    <w:p>
      <w:pPr>
        <w:pStyle w:val="TOC2"/>
        <w:widowControl/>
        <w:tabs>
          <w:tab w:pos="8856" w:val="right" w:leader="dot"/>
        </w:tabs>
      </w:pPr>
      <w:hyperlink w:anchor="_NAESTMA_TOC_1552" w:history="1">
        <w:r>
          <w:rPr>
            <w:color w:val="466B7A"/>
          </w:rPr>
          <w:t>Article 39.69: Mental-Health Nondiscrimination and Diagnostic Integrity</w:t>
        </w:r>
      </w:hyperlink>
      <w:r>
        <w:tab/>
      </w:r>
      <w:r>
        <w:rPr>
          <w:rFonts w:ascii="Arial" w:hAnsi="Arial"/>
        </w:rPr>
        <w:t>1173</w:t>
      </w:r>
    </w:p>
    <w:p>
      <w:pPr>
        <w:pStyle w:val="TOC2"/>
        <w:widowControl/>
        <w:tabs>
          <w:tab w:pos="8856" w:val="right" w:leader="dot"/>
        </w:tabs>
      </w:pPr>
      <w:hyperlink w:anchor="_NAESTMA_TOC_1553" w:history="1">
        <w:r>
          <w:rPr>
            <w:color w:val="466B7A"/>
          </w:rPr>
          <w:t>Article 39.70: AI Conversation Privacy and Mental-Health Procedural Safeguards</w:t>
        </w:r>
      </w:hyperlink>
      <w:r>
        <w:tab/>
      </w:r>
      <w:r>
        <w:rPr>
          <w:rFonts w:ascii="Arial" w:hAnsi="Arial"/>
        </w:rPr>
        <w:t>1174</w:t>
      </w:r>
    </w:p>
    <w:p>
      <w:pPr>
        <w:pStyle w:val="TOC2"/>
        <w:widowControl/>
        <w:tabs>
          <w:tab w:pos="8856" w:val="right" w:leader="dot"/>
        </w:tabs>
      </w:pPr>
      <w:hyperlink w:anchor="_NAESTMA_TOC_1554" w:history="1">
        <w:r>
          <w:rPr>
            <w:color w:val="466B7A"/>
          </w:rPr>
          <w:t>Article 39.71: Provider and Clinical Mental-Health Safeguards</w:t>
        </w:r>
      </w:hyperlink>
      <w:r>
        <w:tab/>
      </w:r>
      <w:r>
        <w:rPr>
          <w:rFonts w:ascii="Arial" w:hAnsi="Arial"/>
        </w:rPr>
        <w:t>1174</w:t>
      </w:r>
    </w:p>
    <w:p>
      <w:pPr>
        <w:pStyle w:val="TOC2"/>
        <w:widowControl/>
        <w:tabs>
          <w:tab w:pos="8856" w:val="right" w:leader="dot"/>
        </w:tabs>
      </w:pPr>
      <w:hyperlink w:anchor="_NAESTMA_TOC_1555" w:history="1">
        <w:r>
          <w:rPr>
            <w:color w:val="466B7A"/>
          </w:rPr>
          <w:t>Article 39.72: Agentic, Embodied and Emerging AI</w:t>
        </w:r>
      </w:hyperlink>
      <w:r>
        <w:tab/>
      </w:r>
      <w:r>
        <w:rPr>
          <w:rFonts w:ascii="Arial" w:hAnsi="Arial"/>
        </w:rPr>
        <w:t>1175</w:t>
      </w:r>
    </w:p>
    <w:p>
      <w:pPr>
        <w:pStyle w:val="TOC2"/>
        <w:widowControl/>
        <w:tabs>
          <w:tab w:pos="8856" w:val="right" w:leader="dot"/>
        </w:tabs>
      </w:pPr>
      <w:hyperlink w:anchor="_NAESTMA_TOC_1556" w:history="1">
        <w:r>
          <w:rPr>
            <w:color w:val="466B7A"/>
          </w:rPr>
          <w:t>Article 39.73: Interoperability, International Standards and Regulatory Cooperation</w:t>
        </w:r>
      </w:hyperlink>
      <w:r>
        <w:tab/>
      </w:r>
      <w:r>
        <w:rPr>
          <w:rFonts w:ascii="Arial" w:hAnsi="Arial"/>
        </w:rPr>
        <w:t>1176</w:t>
      </w:r>
    </w:p>
    <w:p>
      <w:pPr>
        <w:pStyle w:val="TOC2"/>
        <w:widowControl/>
        <w:tabs>
          <w:tab w:pos="8856" w:val="right" w:leader="dot"/>
        </w:tabs>
      </w:pPr>
      <w:hyperlink w:anchor="_NAESTMA_TOC_1557" w:history="1">
        <w:r>
          <w:rPr>
            <w:color w:val="466B7A"/>
          </w:rPr>
          <w:t>Article 39.74: Institutions, Remedies, Optionality and Closing Rules</w:t>
        </w:r>
      </w:hyperlink>
      <w:r>
        <w:tab/>
      </w:r>
      <w:r>
        <w:rPr>
          <w:rFonts w:ascii="Arial" w:hAnsi="Arial"/>
        </w:rPr>
        <w:t>1177</w:t>
      </w:r>
    </w:p>
    <w:p>
      <w:pPr>
        <w:pStyle w:val="TOC2"/>
        <w:widowControl/>
        <w:tabs>
          <w:tab w:pos="8856" w:val="right" w:leader="dot"/>
        </w:tabs>
      </w:pPr>
      <w:hyperlink w:anchor="_NAESTMA_TOC_1558" w:history="1">
        <w:r>
          <w:rPr>
            <w:color w:val="466B7A"/>
          </w:rPr>
          <w:t>Article 39.75: Relationship to Existing Chapter 39 Architecture</w:t>
        </w:r>
      </w:hyperlink>
      <w:r>
        <w:tab/>
      </w:r>
      <w:r>
        <w:rPr>
          <w:rFonts w:ascii="Arial" w:hAnsi="Arial"/>
        </w:rPr>
        <w:t>1178</w:t>
      </w:r>
    </w:p>
    <w:p>
      <w:pPr>
        <w:pStyle w:val="TOC2"/>
        <w:widowControl/>
        <w:tabs>
          <w:tab w:pos="8856" w:val="right" w:leader="dot"/>
        </w:tabs>
      </w:pPr>
      <w:hyperlink w:anchor="_NAESTMA_TOC_1559" w:history="1">
        <w:r>
          <w:rPr>
            <w:color w:val="466B7A"/>
          </w:rPr>
          <w:t>PART C — AI-ENABLED TRADE, CUSTOMS AND BORDER INTEROPERABILITY</w:t>
        </w:r>
      </w:hyperlink>
      <w:r>
        <w:tab/>
      </w:r>
      <w:r>
        <w:rPr>
          <w:rFonts w:ascii="Arial" w:hAnsi="Arial"/>
        </w:rPr>
        <w:t>1178</w:t>
      </w:r>
    </w:p>
    <w:p>
      <w:pPr>
        <w:pStyle w:val="TOC2"/>
        <w:widowControl/>
        <w:tabs>
          <w:tab w:pos="8856" w:val="right" w:leader="dot"/>
        </w:tabs>
      </w:pPr>
      <w:hyperlink w:anchor="_NAESTMA_TOC_1560" w:history="1">
        <w:r>
          <w:rPr>
            <w:color w:val="466B7A"/>
          </w:rPr>
          <w:t>Article 39.76: Trade-AI Scope and Covered Systems</w:t>
        </w:r>
      </w:hyperlink>
      <w:r>
        <w:tab/>
      </w:r>
      <w:r>
        <w:rPr>
          <w:rFonts w:ascii="Arial" w:hAnsi="Arial"/>
        </w:rPr>
        <w:t>1178</w:t>
      </w:r>
    </w:p>
    <w:p>
      <w:pPr>
        <w:pStyle w:val="TOC2"/>
        <w:widowControl/>
        <w:tabs>
          <w:tab w:pos="8856" w:val="right" w:leader="dot"/>
        </w:tabs>
      </w:pPr>
      <w:hyperlink w:anchor="_NAESTMA_TOC_1561" w:history="1">
        <w:r>
          <w:rPr>
            <w:color w:val="466B7A"/>
          </w:rPr>
          <w:t>Article 39.77: Customs AI Legal Authority and Attribution</w:t>
        </w:r>
      </w:hyperlink>
      <w:r>
        <w:tab/>
      </w:r>
      <w:r>
        <w:rPr>
          <w:rFonts w:ascii="Arial" w:hAnsi="Arial"/>
        </w:rPr>
        <w:t>1180</w:t>
      </w:r>
    </w:p>
    <w:p>
      <w:pPr>
        <w:pStyle w:val="TOC2"/>
        <w:widowControl/>
        <w:tabs>
          <w:tab w:pos="8856" w:val="right" w:leader="dot"/>
        </w:tabs>
      </w:pPr>
      <w:hyperlink w:anchor="_NAESTMA_TOC_1562" w:history="1">
        <w:r>
          <w:rPr>
            <w:color w:val="466B7A"/>
          </w:rPr>
          <w:t>Article 39.78: Border-AI Mission Limits and Non-Retaliation</w:t>
        </w:r>
      </w:hyperlink>
      <w:r>
        <w:tab/>
      </w:r>
      <w:r>
        <w:rPr>
          <w:rFonts w:ascii="Arial" w:hAnsi="Arial"/>
        </w:rPr>
        <w:t>1181</w:t>
      </w:r>
    </w:p>
    <w:p>
      <w:pPr>
        <w:pStyle w:val="TOC2"/>
        <w:widowControl/>
        <w:tabs>
          <w:tab w:pos="8856" w:val="right" w:leader="dot"/>
        </w:tabs>
      </w:pPr>
      <w:hyperlink w:anchor="_NAESTMA_TOC_1563" w:history="1">
        <w:r>
          <w:rPr>
            <w:color w:val="466B7A"/>
          </w:rPr>
          <w:t>Article 39.79: Human Authority in AI-Assisted Border Decisions</w:t>
        </w:r>
      </w:hyperlink>
      <w:r>
        <w:tab/>
      </w:r>
      <w:r>
        <w:rPr>
          <w:rFonts w:ascii="Arial" w:hAnsi="Arial"/>
        </w:rPr>
        <w:t>1183</w:t>
      </w:r>
    </w:p>
    <w:p>
      <w:pPr>
        <w:pStyle w:val="TOC2"/>
        <w:widowControl/>
        <w:tabs>
          <w:tab w:pos="8856" w:val="right" w:leader="dot"/>
        </w:tabs>
      </w:pPr>
      <w:hyperlink w:anchor="_NAESTMA_TOC_1564" w:history="1">
        <w:r>
          <w:rPr>
            <w:color w:val="466B7A"/>
          </w:rPr>
          <w:t>Article 39.80: AI-Assisted Tariff Classification</w:t>
        </w:r>
      </w:hyperlink>
      <w:r>
        <w:tab/>
      </w:r>
      <w:r>
        <w:rPr>
          <w:rFonts w:ascii="Arial" w:hAnsi="Arial"/>
        </w:rPr>
        <w:t>1184</w:t>
      </w:r>
    </w:p>
    <w:p>
      <w:pPr>
        <w:pStyle w:val="TOC2"/>
        <w:widowControl/>
        <w:tabs>
          <w:tab w:pos="8856" w:val="right" w:leader="dot"/>
        </w:tabs>
      </w:pPr>
      <w:hyperlink w:anchor="_NAESTMA_TOC_1565" w:history="1">
        <w:r>
          <w:rPr>
            <w:color w:val="466B7A"/>
          </w:rPr>
          <w:t>Article 39.81: AI-Assisted Customs Valuation</w:t>
        </w:r>
      </w:hyperlink>
      <w:r>
        <w:tab/>
      </w:r>
      <w:r>
        <w:rPr>
          <w:rFonts w:ascii="Arial" w:hAnsi="Arial"/>
        </w:rPr>
        <w:t>1186</w:t>
      </w:r>
    </w:p>
    <w:p>
      <w:pPr>
        <w:pStyle w:val="TOC2"/>
        <w:widowControl/>
        <w:tabs>
          <w:tab w:pos="8856" w:val="right" w:leader="dot"/>
        </w:tabs>
      </w:pPr>
      <w:hyperlink w:anchor="_NAESTMA_TOC_1566" w:history="1">
        <w:r>
          <w:rPr>
            <w:color w:val="466B7A"/>
          </w:rPr>
          <w:t>Article 39.82: AI-Assisted Origin and Preference Determinations</w:t>
        </w:r>
      </w:hyperlink>
      <w:r>
        <w:tab/>
      </w:r>
      <w:r>
        <w:rPr>
          <w:rFonts w:ascii="Arial" w:hAnsi="Arial"/>
        </w:rPr>
        <w:t>1188</w:t>
      </w:r>
    </w:p>
    <w:p>
      <w:pPr>
        <w:pStyle w:val="TOC2"/>
        <w:widowControl/>
        <w:tabs>
          <w:tab w:pos="8856" w:val="right" w:leader="dot"/>
        </w:tabs>
      </w:pPr>
      <w:hyperlink w:anchor="_NAESTMA_TOC_1567" w:history="1">
        <w:r>
          <w:rPr>
            <w:color w:val="466B7A"/>
          </w:rPr>
          <w:t>Article 39.83: AI-Assisted RVC and Origin Calculations</w:t>
        </w:r>
      </w:hyperlink>
      <w:r>
        <w:tab/>
      </w:r>
      <w:r>
        <w:rPr>
          <w:rFonts w:ascii="Arial" w:hAnsi="Arial"/>
        </w:rPr>
        <w:t>1189</w:t>
      </w:r>
    </w:p>
    <w:p>
      <w:pPr>
        <w:pStyle w:val="TOC2"/>
        <w:widowControl/>
        <w:tabs>
          <w:tab w:pos="8856" w:val="right" w:leader="dot"/>
        </w:tabs>
      </w:pPr>
      <w:hyperlink w:anchor="_NAESTMA_TOC_1568" w:history="1">
        <w:r>
          <w:rPr>
            <w:color w:val="466B7A"/>
          </w:rPr>
          <w:t>Article 39.84: AI-Influenced Duties, Fees and Penalties</w:t>
        </w:r>
      </w:hyperlink>
      <w:r>
        <w:tab/>
      </w:r>
      <w:r>
        <w:rPr>
          <w:rFonts w:ascii="Arial" w:hAnsi="Arial"/>
        </w:rPr>
        <w:t>1191</w:t>
      </w:r>
    </w:p>
    <w:p>
      <w:pPr>
        <w:pStyle w:val="TOC2"/>
        <w:widowControl/>
        <w:tabs>
          <w:tab w:pos="8856" w:val="right" w:leader="dot"/>
        </w:tabs>
      </w:pPr>
      <w:hyperlink w:anchor="_NAESTMA_TOC_1569" w:history="1">
        <w:r>
          <w:rPr>
            <w:color w:val="466B7A"/>
          </w:rPr>
          <w:t>Article 39.85: AI Customs Holds and Enhanced Verification</w:t>
        </w:r>
      </w:hyperlink>
      <w:r>
        <w:tab/>
      </w:r>
      <w:r>
        <w:rPr>
          <w:rFonts w:ascii="Arial" w:hAnsi="Arial"/>
        </w:rPr>
        <w:t>1193</w:t>
      </w:r>
    </w:p>
    <w:p>
      <w:pPr>
        <w:pStyle w:val="TOC2"/>
        <w:widowControl/>
        <w:tabs>
          <w:tab w:pos="8856" w:val="right" w:leader="dot"/>
        </w:tabs>
      </w:pPr>
      <w:hyperlink w:anchor="_NAESTMA_TOC_1570" w:history="1">
        <w:r>
          <w:rPr>
            <w:color w:val="466B7A"/>
          </w:rPr>
          <w:t>Article 39.86: No Silent Algorithmic Tariff or Treatment Creep</w:t>
        </w:r>
      </w:hyperlink>
      <w:r>
        <w:tab/>
      </w:r>
      <w:r>
        <w:rPr>
          <w:rFonts w:ascii="Arial" w:hAnsi="Arial"/>
        </w:rPr>
        <w:t>1194</w:t>
      </w:r>
    </w:p>
    <w:p>
      <w:pPr>
        <w:pStyle w:val="TOC2"/>
        <w:widowControl/>
        <w:tabs>
          <w:tab w:pos="8856" w:val="right" w:leader="dot"/>
        </w:tabs>
      </w:pPr>
      <w:hyperlink w:anchor="_NAESTMA_TOC_1571" w:history="1">
        <w:r>
          <w:rPr>
            <w:color w:val="466B7A"/>
          </w:rPr>
          <w:t>Article 39.87: Customs AI Risk-Scoring Inputs</w:t>
        </w:r>
      </w:hyperlink>
      <w:r>
        <w:tab/>
      </w:r>
      <w:r>
        <w:rPr>
          <w:rFonts w:ascii="Arial" w:hAnsi="Arial"/>
        </w:rPr>
        <w:t>1196</w:t>
      </w:r>
    </w:p>
    <w:p>
      <w:pPr>
        <w:pStyle w:val="TOC2"/>
        <w:widowControl/>
        <w:tabs>
          <w:tab w:pos="8856" w:val="right" w:leader="dot"/>
        </w:tabs>
      </w:pPr>
      <w:hyperlink w:anchor="_NAESTMA_TOC_1572" w:history="1">
        <w:r>
          <w:rPr>
            <w:color w:val="466B7A"/>
          </w:rPr>
          <w:t>Article 39.88: Risk Scoring, Origin Neutrality and Anti-Proxy Rules</w:t>
        </w:r>
      </w:hyperlink>
      <w:r>
        <w:tab/>
      </w:r>
      <w:r>
        <w:rPr>
          <w:rFonts w:ascii="Arial" w:hAnsi="Arial"/>
        </w:rPr>
        <w:t>1197</w:t>
      </w:r>
    </w:p>
    <w:p>
      <w:pPr>
        <w:pStyle w:val="TOC2"/>
        <w:widowControl/>
        <w:tabs>
          <w:tab w:pos="8856" w:val="right" w:leader="dot"/>
        </w:tabs>
      </w:pPr>
      <w:hyperlink w:anchor="_NAESTMA_TOC_1573" w:history="1">
        <w:r>
          <w:rPr>
            <w:color w:val="466B7A"/>
          </w:rPr>
          <w:t>Article 39.89: Risk-Score Explainability and Trader Contestability</w:t>
        </w:r>
      </w:hyperlink>
      <w:r>
        <w:tab/>
      </w:r>
      <w:r>
        <w:rPr>
          <w:rFonts w:ascii="Arial" w:hAnsi="Arial"/>
        </w:rPr>
        <w:t>1199</w:t>
      </w:r>
    </w:p>
    <w:p>
      <w:pPr>
        <w:pStyle w:val="TOC2"/>
        <w:widowControl/>
        <w:tabs>
          <w:tab w:pos="8856" w:val="right" w:leader="dot"/>
        </w:tabs>
      </w:pPr>
      <w:hyperlink w:anchor="_NAESTMA_TOC_1574" w:history="1">
        <w:r>
          <w:rPr>
            <w:color w:val="466B7A"/>
          </w:rPr>
          <w:t>Article 39.90: Risk-Model Validation and False-Positive Control</w:t>
        </w:r>
      </w:hyperlink>
      <w:r>
        <w:tab/>
      </w:r>
      <w:r>
        <w:rPr>
          <w:rFonts w:ascii="Arial" w:hAnsi="Arial"/>
        </w:rPr>
        <w:t>1200</w:t>
      </w:r>
    </w:p>
    <w:p>
      <w:pPr>
        <w:pStyle w:val="TOC2"/>
        <w:widowControl/>
        <w:tabs>
          <w:tab w:pos="8856" w:val="right" w:leader="dot"/>
        </w:tabs>
      </w:pPr>
      <w:hyperlink w:anchor="_NAESTMA_TOC_1575" w:history="1">
        <w:r>
          <w:rPr>
            <w:color w:val="466B7A"/>
          </w:rPr>
          <w:t>Article 39.91: Inspection Selectivity and Anti-Harassment Safeguards</w:t>
        </w:r>
      </w:hyperlink>
      <w:r>
        <w:tab/>
      </w:r>
      <w:r>
        <w:rPr>
          <w:rFonts w:ascii="Arial" w:hAnsi="Arial"/>
        </w:rPr>
        <w:t>1202</w:t>
      </w:r>
    </w:p>
    <w:p>
      <w:pPr>
        <w:pStyle w:val="TOC2"/>
        <w:widowControl/>
        <w:tabs>
          <w:tab w:pos="8856" w:val="right" w:leader="dot"/>
        </w:tabs>
      </w:pPr>
      <w:hyperlink w:anchor="_NAESTMA_TOC_1576" w:history="1">
        <w:r>
          <w:rPr>
            <w:color w:val="466B7A"/>
          </w:rPr>
          <w:t>Article 39.92: AI-Enabled Pre-Arrival Processing</w:t>
        </w:r>
      </w:hyperlink>
      <w:r>
        <w:tab/>
      </w:r>
      <w:r>
        <w:rPr>
          <w:rFonts w:ascii="Arial" w:hAnsi="Arial"/>
        </w:rPr>
        <w:t>1203</w:t>
      </w:r>
    </w:p>
    <w:p>
      <w:pPr>
        <w:pStyle w:val="TOC2"/>
        <w:widowControl/>
        <w:tabs>
          <w:tab w:pos="8856" w:val="right" w:leader="dot"/>
        </w:tabs>
      </w:pPr>
      <w:hyperlink w:anchor="_NAESTMA_TOC_1577" w:history="1">
        <w:r>
          <w:rPr>
            <w:color w:val="466B7A"/>
          </w:rPr>
          <w:t>Article 39.93: Automated Clearance and Release</w:t>
        </w:r>
      </w:hyperlink>
      <w:r>
        <w:tab/>
      </w:r>
      <w:r>
        <w:rPr>
          <w:rFonts w:ascii="Arial" w:hAnsi="Arial"/>
        </w:rPr>
        <w:t>1205</w:t>
      </w:r>
    </w:p>
    <w:p>
      <w:pPr>
        <w:pStyle w:val="TOC2"/>
        <w:widowControl/>
        <w:tabs>
          <w:tab w:pos="8856" w:val="right" w:leader="dot"/>
        </w:tabs>
      </w:pPr>
      <w:hyperlink w:anchor="_NAESTMA_TOC_1578" w:history="1">
        <w:r>
          <w:rPr>
            <w:color w:val="466B7A"/>
          </w:rPr>
          <w:t>Article 39.94: Border-System Degraded-Mode Processing</w:t>
        </w:r>
      </w:hyperlink>
      <w:r>
        <w:tab/>
      </w:r>
      <w:r>
        <w:rPr>
          <w:rFonts w:ascii="Arial" w:hAnsi="Arial"/>
        </w:rPr>
        <w:t>1206</w:t>
      </w:r>
    </w:p>
    <w:p>
      <w:pPr>
        <w:pStyle w:val="TOC2"/>
        <w:widowControl/>
        <w:tabs>
          <w:tab w:pos="8856" w:val="right" w:leader="dot"/>
        </w:tabs>
      </w:pPr>
      <w:hyperlink w:anchor="_NAESTMA_TOC_1579" w:history="1">
        <w:r>
          <w:rPr>
            <w:color w:val="466B7A"/>
          </w:rPr>
          <w:t>Article 39.95: Trade-Critical AI Incident Notification</w:t>
        </w:r>
      </w:hyperlink>
      <w:r>
        <w:tab/>
      </w:r>
      <w:r>
        <w:rPr>
          <w:rFonts w:ascii="Arial" w:hAnsi="Arial"/>
        </w:rPr>
        <w:t>1208</w:t>
      </w:r>
    </w:p>
    <w:p>
      <w:pPr>
        <w:pStyle w:val="TOC2"/>
        <w:widowControl/>
        <w:tabs>
          <w:tab w:pos="8856" w:val="right" w:leader="dot"/>
        </w:tabs>
      </w:pPr>
      <w:hyperlink w:anchor="_NAESTMA_TOC_1580" w:history="1">
        <w:r>
          <w:rPr>
            <w:color w:val="466B7A"/>
          </w:rPr>
          <w:t>Article 39.96: Trade-Critical AI Recovery and Reconciliation</w:t>
        </w:r>
      </w:hyperlink>
      <w:r>
        <w:tab/>
      </w:r>
      <w:r>
        <w:rPr>
          <w:rFonts w:ascii="Arial" w:hAnsi="Arial"/>
        </w:rPr>
        <w:t>1209</w:t>
      </w:r>
    </w:p>
    <w:p>
      <w:pPr>
        <w:pStyle w:val="TOC2"/>
        <w:widowControl/>
        <w:tabs>
          <w:tab w:pos="8856" w:val="right" w:leader="dot"/>
        </w:tabs>
      </w:pPr>
      <w:hyperlink w:anchor="_NAESTMA_TOC_1581" w:history="1">
        <w:r>
          <w:rPr>
            <w:color w:val="466B7A"/>
          </w:rPr>
          <w:t>Article 39.97: AI Non-Intrusive Inspection Deployment</w:t>
        </w:r>
      </w:hyperlink>
      <w:r>
        <w:tab/>
      </w:r>
      <w:r>
        <w:rPr>
          <w:rFonts w:ascii="Arial" w:hAnsi="Arial"/>
        </w:rPr>
        <w:t>1211</w:t>
      </w:r>
    </w:p>
    <w:p>
      <w:pPr>
        <w:pStyle w:val="TOC2"/>
        <w:widowControl/>
        <w:tabs>
          <w:tab w:pos="8856" w:val="right" w:leader="dot"/>
        </w:tabs>
      </w:pPr>
      <w:hyperlink w:anchor="_NAESTMA_TOC_1582" w:history="1">
        <w:r>
          <w:rPr>
            <w:color w:val="466B7A"/>
          </w:rPr>
          <w:t>Article 39.98: NII Model Validation and Performance</w:t>
        </w:r>
      </w:hyperlink>
      <w:r>
        <w:tab/>
      </w:r>
      <w:r>
        <w:rPr>
          <w:rFonts w:ascii="Arial" w:hAnsi="Arial"/>
        </w:rPr>
        <w:t>1212</w:t>
      </w:r>
    </w:p>
    <w:p>
      <w:pPr>
        <w:pStyle w:val="TOC2"/>
        <w:widowControl/>
        <w:tabs>
          <w:tab w:pos="8856" w:val="right" w:leader="dot"/>
        </w:tabs>
      </w:pPr>
      <w:hyperlink w:anchor="_NAESTMA_TOC_1583" w:history="1">
        <w:r>
          <w:rPr>
            <w:color w:val="466B7A"/>
          </w:rPr>
          <w:t>Article 39.99: NII Sensor, Image and Evidence Governance</w:t>
        </w:r>
      </w:hyperlink>
      <w:r>
        <w:tab/>
      </w:r>
      <w:r>
        <w:rPr>
          <w:rFonts w:ascii="Arial" w:hAnsi="Arial"/>
        </w:rPr>
        <w:t>1214</w:t>
      </w:r>
    </w:p>
    <w:p>
      <w:pPr>
        <w:pStyle w:val="TOC2"/>
        <w:widowControl/>
        <w:tabs>
          <w:tab w:pos="8856" w:val="right" w:leader="dot"/>
        </w:tabs>
      </w:pPr>
      <w:hyperlink w:anchor="_NAESTMA_TOC_1584" w:history="1">
        <w:r>
          <w:rPr>
            <w:color w:val="466B7A"/>
          </w:rPr>
          <w:t>Article 39.100: Cross-Border NII and Forensic Reliance</w:t>
        </w:r>
      </w:hyperlink>
      <w:r>
        <w:tab/>
      </w:r>
      <w:r>
        <w:rPr>
          <w:rFonts w:ascii="Arial" w:hAnsi="Arial"/>
        </w:rPr>
        <w:t>1215</w:t>
      </w:r>
    </w:p>
    <w:p>
      <w:pPr>
        <w:pStyle w:val="TOC2"/>
        <w:widowControl/>
        <w:tabs>
          <w:tab w:pos="8856" w:val="right" w:leader="dot"/>
        </w:tabs>
      </w:pPr>
      <w:hyperlink w:anchor="_NAESTMA_TOC_1585" w:history="1">
        <w:r>
          <w:rPr>
            <w:color w:val="466B7A"/>
          </w:rPr>
          <w:t>Article 39.101: AI-Assisted Trusted Trader Administration</w:t>
        </w:r>
      </w:hyperlink>
      <w:r>
        <w:tab/>
      </w:r>
      <w:r>
        <w:rPr>
          <w:rFonts w:ascii="Arial" w:hAnsi="Arial"/>
        </w:rPr>
        <w:t>1217</w:t>
      </w:r>
    </w:p>
    <w:p>
      <w:pPr>
        <w:pStyle w:val="TOC2"/>
        <w:widowControl/>
        <w:tabs>
          <w:tab w:pos="8856" w:val="right" w:leader="dot"/>
        </w:tabs>
      </w:pPr>
      <w:hyperlink w:anchor="_NAESTMA_TOC_1586" w:history="1">
        <w:r>
          <w:rPr>
            <w:color w:val="466B7A"/>
          </w:rPr>
          <w:t>Article 39.102: Trusted Trader AI Suspension and Revocation Safeguards</w:t>
        </w:r>
      </w:hyperlink>
      <w:r>
        <w:tab/>
      </w:r>
      <w:r>
        <w:rPr>
          <w:rFonts w:ascii="Arial" w:hAnsi="Arial"/>
        </w:rPr>
        <w:t>1218</w:t>
      </w:r>
    </w:p>
    <w:p>
      <w:pPr>
        <w:pStyle w:val="TOC2"/>
        <w:widowControl/>
        <w:tabs>
          <w:tab w:pos="8856" w:val="right" w:leader="dot"/>
        </w:tabs>
      </w:pPr>
      <w:hyperlink w:anchor="_NAESTMA_TOC_1587" w:history="1">
        <w:r>
          <w:rPr>
            <w:color w:val="466B7A"/>
          </w:rPr>
          <w:t>Article 39.103: Cross-Border AEO Data and Recognition</w:t>
        </w:r>
      </w:hyperlink>
      <w:r>
        <w:tab/>
      </w:r>
      <w:r>
        <w:rPr>
          <w:rFonts w:ascii="Arial" w:hAnsi="Arial"/>
        </w:rPr>
        <w:t>1220</w:t>
      </w:r>
    </w:p>
    <w:p>
      <w:pPr>
        <w:pStyle w:val="TOC2"/>
        <w:widowControl/>
        <w:tabs>
          <w:tab w:pos="8856" w:val="right" w:leader="dot"/>
        </w:tabs>
      </w:pPr>
      <w:hyperlink w:anchor="_NAESTMA_TOC_1588" w:history="1">
        <w:r>
          <w:rPr>
            <w:color w:val="466B7A"/>
          </w:rPr>
          <w:t>Article 39.104: AI-Ready Single Window Data Architecture</w:t>
        </w:r>
      </w:hyperlink>
      <w:r>
        <w:tab/>
      </w:r>
      <w:r>
        <w:rPr>
          <w:rFonts w:ascii="Arial" w:hAnsi="Arial"/>
        </w:rPr>
        <w:t>1221</w:t>
      </w:r>
    </w:p>
    <w:p>
      <w:pPr>
        <w:pStyle w:val="TOC2"/>
        <w:widowControl/>
        <w:tabs>
          <w:tab w:pos="8856" w:val="right" w:leader="dot"/>
        </w:tabs>
      </w:pPr>
      <w:hyperlink w:anchor="_NAESTMA_TOC_1589" w:history="1">
        <w:r>
          <w:rPr>
            <w:color w:val="466B7A"/>
          </w:rPr>
          <w:t>Article 39.105: Border-AI Common Schemas and Data Dictionaries</w:t>
        </w:r>
      </w:hyperlink>
      <w:r>
        <w:tab/>
      </w:r>
      <w:r>
        <w:rPr>
          <w:rFonts w:ascii="Arial" w:hAnsi="Arial"/>
        </w:rPr>
        <w:t>1223</w:t>
      </w:r>
    </w:p>
    <w:p>
      <w:pPr>
        <w:pStyle w:val="TOC2"/>
        <w:widowControl/>
        <w:tabs>
          <w:tab w:pos="8856" w:val="right" w:leader="dot"/>
        </w:tabs>
      </w:pPr>
      <w:hyperlink w:anchor="_NAESTMA_TOC_1590" w:history="1">
        <w:r>
          <w:rPr>
            <w:color w:val="466B7A"/>
          </w:rPr>
          <w:t>Article 39.106: Border-AI Provenance and Source Integrity</w:t>
        </w:r>
      </w:hyperlink>
      <w:r>
        <w:tab/>
      </w:r>
      <w:r>
        <w:rPr>
          <w:rFonts w:ascii="Arial" w:hAnsi="Arial"/>
        </w:rPr>
        <w:t>1224</w:t>
      </w:r>
    </w:p>
    <w:p>
      <w:pPr>
        <w:pStyle w:val="TOC2"/>
        <w:widowControl/>
        <w:tabs>
          <w:tab w:pos="8856" w:val="right" w:leader="dot"/>
        </w:tabs>
      </w:pPr>
      <w:hyperlink w:anchor="_NAESTMA_TOC_1591" w:history="1">
        <w:r>
          <w:rPr>
            <w:color w:val="466B7A"/>
          </w:rPr>
          <w:t>Article 39.107: Border-AI Model, Ruleset and Version Traceability</w:t>
        </w:r>
      </w:hyperlink>
      <w:r>
        <w:tab/>
      </w:r>
      <w:r>
        <w:rPr>
          <w:rFonts w:ascii="Arial" w:hAnsi="Arial"/>
        </w:rPr>
        <w:t>1226</w:t>
      </w:r>
    </w:p>
    <w:p>
      <w:pPr>
        <w:pStyle w:val="TOC2"/>
        <w:widowControl/>
        <w:tabs>
          <w:tab w:pos="8856" w:val="right" w:leader="dot"/>
        </w:tabs>
      </w:pPr>
      <w:hyperlink w:anchor="_NAESTMA_TOC_1592" w:history="1">
        <w:r>
          <w:rPr>
            <w:color w:val="466B7A"/>
          </w:rPr>
          <w:t>Article 39.108: Real-Time Border Risk-Signal Exchange</w:t>
        </w:r>
      </w:hyperlink>
      <w:r>
        <w:tab/>
      </w:r>
      <w:r>
        <w:rPr>
          <w:rFonts w:ascii="Arial" w:hAnsi="Arial"/>
        </w:rPr>
        <w:t>1227</w:t>
      </w:r>
    </w:p>
    <w:p>
      <w:pPr>
        <w:pStyle w:val="TOC2"/>
        <w:widowControl/>
        <w:tabs>
          <w:tab w:pos="8856" w:val="right" w:leader="dot"/>
        </w:tabs>
      </w:pPr>
      <w:hyperlink w:anchor="_NAESTMA_TOC_1593" w:history="1">
        <w:r>
          <w:rPr>
            <w:color w:val="466B7A"/>
          </w:rPr>
          <w:t>Article 39.109: Trade-AI Interfaces, Portability and Anti-Lock-In</w:t>
        </w:r>
      </w:hyperlink>
      <w:r>
        <w:tab/>
      </w:r>
      <w:r>
        <w:rPr>
          <w:rFonts w:ascii="Arial" w:hAnsi="Arial"/>
        </w:rPr>
        <w:t>1229</w:t>
      </w:r>
    </w:p>
    <w:p>
      <w:pPr>
        <w:pStyle w:val="TOC2"/>
        <w:widowControl/>
        <w:tabs>
          <w:tab w:pos="8856" w:val="right" w:leader="dot"/>
        </w:tabs>
      </w:pPr>
      <w:hyperlink w:anchor="_NAESTMA_TOC_1594" w:history="1">
        <w:r>
          <w:rPr>
            <w:color w:val="466B7A"/>
          </w:rPr>
          <w:t>Article 39.110: Border-AI Data Minimization and Purpose Limitation</w:t>
        </w:r>
      </w:hyperlink>
      <w:r>
        <w:tab/>
      </w:r>
      <w:r>
        <w:rPr>
          <w:rFonts w:ascii="Arial" w:hAnsi="Arial"/>
        </w:rPr>
        <w:t>1230</w:t>
      </w:r>
    </w:p>
    <w:p>
      <w:pPr>
        <w:pStyle w:val="TOC2"/>
        <w:widowControl/>
        <w:tabs>
          <w:tab w:pos="8856" w:val="right" w:leader="dot"/>
        </w:tabs>
      </w:pPr>
      <w:hyperlink w:anchor="_NAESTMA_TOC_1595" w:history="1">
        <w:r>
          <w:rPr>
            <w:color w:val="466B7A"/>
          </w:rPr>
          <w:t>Article 39.111: Trade-AI Cloud, Compute and Data Portability</w:t>
        </w:r>
      </w:hyperlink>
      <w:r>
        <w:tab/>
      </w:r>
      <w:r>
        <w:rPr>
          <w:rFonts w:ascii="Arial" w:hAnsi="Arial"/>
        </w:rPr>
        <w:t>1232</w:t>
      </w:r>
    </w:p>
    <w:p>
      <w:pPr>
        <w:pStyle w:val="TOC2"/>
        <w:widowControl/>
        <w:tabs>
          <w:tab w:pos="8856" w:val="right" w:leader="dot"/>
        </w:tabs>
      </w:pPr>
      <w:hyperlink w:anchor="_NAESTMA_TOC_1596" w:history="1">
        <w:r>
          <w:rPr>
            <w:color w:val="466B7A"/>
          </w:rPr>
          <w:t>Article 39.112: AI Trade Secrets and Model-Weight Protection</w:t>
        </w:r>
      </w:hyperlink>
      <w:r>
        <w:tab/>
      </w:r>
      <w:r>
        <w:rPr>
          <w:rFonts w:ascii="Arial" w:hAnsi="Arial"/>
        </w:rPr>
        <w:t>1233</w:t>
      </w:r>
    </w:p>
    <w:p>
      <w:pPr>
        <w:pStyle w:val="TOC2"/>
        <w:widowControl/>
        <w:tabs>
          <w:tab w:pos="8856" w:val="right" w:leader="dot"/>
        </w:tabs>
      </w:pPr>
      <w:hyperlink w:anchor="_NAESTMA_TOC_1597" w:history="1">
        <w:r>
          <w:rPr>
            <w:color w:val="466B7A"/>
          </w:rPr>
          <w:t>Article 39.113: Controlled Regulatory Access to Protected AI Information</w:t>
        </w:r>
      </w:hyperlink>
      <w:r>
        <w:tab/>
      </w:r>
      <w:r>
        <w:rPr>
          <w:rFonts w:ascii="Arial" w:hAnsi="Arial"/>
        </w:rPr>
        <w:t>1235</w:t>
      </w:r>
    </w:p>
    <w:p>
      <w:pPr>
        <w:pStyle w:val="TOC2"/>
        <w:widowControl/>
        <w:tabs>
          <w:tab w:pos="8856" w:val="right" w:leader="dot"/>
        </w:tabs>
      </w:pPr>
      <w:hyperlink w:anchor="_NAESTMA_TOC_1598" w:history="1">
        <w:r>
          <w:rPr>
            <w:color w:val="466B7A"/>
          </w:rPr>
          <w:t>Article 39.114: AI Fraud and Transshipment Detection</w:t>
        </w:r>
      </w:hyperlink>
      <w:r>
        <w:tab/>
      </w:r>
      <w:r>
        <w:rPr>
          <w:rFonts w:ascii="Arial" w:hAnsi="Arial"/>
        </w:rPr>
        <w:t>1236</w:t>
      </w:r>
    </w:p>
    <w:p>
      <w:pPr>
        <w:pStyle w:val="TOC2"/>
        <w:widowControl/>
        <w:tabs>
          <w:tab w:pos="8856" w:val="right" w:leader="dot"/>
        </w:tabs>
      </w:pPr>
      <w:hyperlink w:anchor="_NAESTMA_TOC_1599" w:history="1">
        <w:r>
          <w:rPr>
            <w:color w:val="466B7A"/>
          </w:rPr>
          <w:t>Article 39.115: AI Document, Invoice and Identity Fraud Detection</w:t>
        </w:r>
      </w:hyperlink>
      <w:r>
        <w:tab/>
      </w:r>
      <w:r>
        <w:rPr>
          <w:rFonts w:ascii="Arial" w:hAnsi="Arial"/>
        </w:rPr>
        <w:t>1238</w:t>
      </w:r>
    </w:p>
    <w:p>
      <w:pPr>
        <w:pStyle w:val="TOC2"/>
        <w:widowControl/>
        <w:tabs>
          <w:tab w:pos="8856" w:val="right" w:leader="dot"/>
        </w:tabs>
      </w:pPr>
      <w:hyperlink w:anchor="_NAESTMA_TOC_1600" w:history="1">
        <w:r>
          <w:rPr>
            <w:color w:val="466B7A"/>
          </w:rPr>
          <w:t>Article 39.116: Trade-AI Cybersecurity and Adversarial Resilience</w:t>
        </w:r>
      </w:hyperlink>
      <w:r>
        <w:tab/>
      </w:r>
      <w:r>
        <w:rPr>
          <w:rFonts w:ascii="Arial" w:hAnsi="Arial"/>
        </w:rPr>
        <w:t>1239</w:t>
      </w:r>
    </w:p>
    <w:p>
      <w:pPr>
        <w:pStyle w:val="TOC2"/>
        <w:widowControl/>
        <w:tabs>
          <w:tab w:pos="8856" w:val="right" w:leader="dot"/>
        </w:tabs>
      </w:pPr>
      <w:hyperlink w:anchor="_NAESTMA_TOC_1601" w:history="1">
        <w:r>
          <w:rPr>
            <w:color w:val="466B7A"/>
          </w:rPr>
          <w:t>Article 39.117: Compromised Trade-AI System Recovery</w:t>
        </w:r>
      </w:hyperlink>
      <w:r>
        <w:tab/>
      </w:r>
      <w:r>
        <w:rPr>
          <w:rFonts w:ascii="Arial" w:hAnsi="Arial"/>
        </w:rPr>
        <w:t>1240</w:t>
      </w:r>
    </w:p>
    <w:p>
      <w:pPr>
        <w:pStyle w:val="TOC2"/>
        <w:widowControl/>
        <w:tabs>
          <w:tab w:pos="8856" w:val="right" w:leader="dot"/>
        </w:tabs>
      </w:pPr>
      <w:hyperlink w:anchor="_NAESTMA_TOC_1602" w:history="1">
        <w:r>
          <w:rPr>
            <w:color w:val="466B7A"/>
          </w:rPr>
          <w:t>Article 39.118: AI Logistics and Port Resilience</w:t>
        </w:r>
      </w:hyperlink>
      <w:r>
        <w:tab/>
      </w:r>
      <w:r>
        <w:rPr>
          <w:rFonts w:ascii="Arial" w:hAnsi="Arial"/>
        </w:rPr>
        <w:t>1241</w:t>
      </w:r>
    </w:p>
    <w:p>
      <w:pPr>
        <w:pStyle w:val="TOC2"/>
        <w:widowControl/>
        <w:tabs>
          <w:tab w:pos="8856" w:val="right" w:leader="dot"/>
        </w:tabs>
      </w:pPr>
      <w:hyperlink w:anchor="_NAESTMA_TOC_1603" w:history="1">
        <w:r>
          <w:rPr>
            <w:color w:val="466B7A"/>
          </w:rPr>
          <w:t>Article 39.119: Autonomous Cross-Border Road Freight</w:t>
        </w:r>
      </w:hyperlink>
      <w:r>
        <w:tab/>
      </w:r>
      <w:r>
        <w:rPr>
          <w:rFonts w:ascii="Arial" w:hAnsi="Arial"/>
        </w:rPr>
        <w:t>1242</w:t>
      </w:r>
    </w:p>
    <w:p>
      <w:pPr>
        <w:pStyle w:val="TOC2"/>
        <w:widowControl/>
        <w:tabs>
          <w:tab w:pos="8856" w:val="right" w:leader="dot"/>
        </w:tabs>
      </w:pPr>
      <w:hyperlink w:anchor="_NAESTMA_TOC_1604" w:history="1">
        <w:r>
          <w:rPr>
            <w:color w:val="466B7A"/>
          </w:rPr>
          <w:t>Article 39.120: Autonomous Cross-Border Rail Freight</w:t>
        </w:r>
      </w:hyperlink>
      <w:r>
        <w:tab/>
      </w:r>
      <w:r>
        <w:rPr>
          <w:rFonts w:ascii="Arial" w:hAnsi="Arial"/>
        </w:rPr>
        <w:t>1243</w:t>
      </w:r>
    </w:p>
    <w:p>
      <w:pPr>
        <w:pStyle w:val="TOC2"/>
        <w:widowControl/>
        <w:tabs>
          <w:tab w:pos="8856" w:val="right" w:leader="dot"/>
        </w:tabs>
      </w:pPr>
      <w:hyperlink w:anchor="_NAESTMA_TOC_1605" w:history="1">
        <w:r>
          <w:rPr>
            <w:color w:val="466B7A"/>
          </w:rPr>
          <w:t>Article 39.121: Autonomous Maritime and Port Cargo Systems</w:t>
        </w:r>
      </w:hyperlink>
      <w:r>
        <w:tab/>
      </w:r>
      <w:r>
        <w:rPr>
          <w:rFonts w:ascii="Arial" w:hAnsi="Arial"/>
        </w:rPr>
        <w:t>1244</w:t>
      </w:r>
    </w:p>
    <w:p>
      <w:pPr>
        <w:pStyle w:val="TOC2"/>
        <w:widowControl/>
        <w:tabs>
          <w:tab w:pos="8856" w:val="right" w:leader="dot"/>
        </w:tabs>
      </w:pPr>
      <w:hyperlink w:anchor="_NAESTMA_TOC_1606" w:history="1">
        <w:r>
          <w:rPr>
            <w:color w:val="466B7A"/>
          </w:rPr>
          <w:t>Article 39.122: Autonomous Aviation and Cargo-Drone Trade</w:t>
        </w:r>
      </w:hyperlink>
      <w:r>
        <w:tab/>
      </w:r>
      <w:r>
        <w:rPr>
          <w:rFonts w:ascii="Arial" w:hAnsi="Arial"/>
        </w:rPr>
        <w:t>1244</w:t>
      </w:r>
    </w:p>
    <w:p>
      <w:pPr>
        <w:pStyle w:val="TOC2"/>
        <w:widowControl/>
        <w:tabs>
          <w:tab w:pos="8856" w:val="right" w:leader="dot"/>
        </w:tabs>
      </w:pPr>
      <w:hyperlink w:anchor="_NAESTMA_TOC_1607" w:history="1">
        <w:r>
          <w:rPr>
            <w:color w:val="466B7A"/>
          </w:rPr>
          <w:t>Article 39.123: AI Trade-Measure Proportionality and Non-Discrimination</w:t>
        </w:r>
      </w:hyperlink>
      <w:r>
        <w:tab/>
      </w:r>
      <w:r>
        <w:rPr>
          <w:rFonts w:ascii="Arial" w:hAnsi="Arial"/>
        </w:rPr>
        <w:t>1245</w:t>
      </w:r>
    </w:p>
    <w:p>
      <w:pPr>
        <w:pStyle w:val="TOC2"/>
        <w:widowControl/>
        <w:tabs>
          <w:tab w:pos="8856" w:val="right" w:leader="dot"/>
        </w:tabs>
      </w:pPr>
      <w:hyperlink w:anchor="_NAESTMA_TOC_1608" w:history="1">
        <w:r>
          <w:rPr>
            <w:color w:val="466B7A"/>
          </w:rPr>
          <w:t>Article 39.124: Expedited AI Regulatory Trade-Friction Consultation</w:t>
        </w:r>
      </w:hyperlink>
      <w:r>
        <w:tab/>
      </w:r>
      <w:r>
        <w:rPr>
          <w:rFonts w:ascii="Arial" w:hAnsi="Arial"/>
        </w:rPr>
        <w:t>1246</w:t>
      </w:r>
    </w:p>
    <w:p>
      <w:pPr>
        <w:pStyle w:val="TOC2"/>
        <w:widowControl/>
        <w:tabs>
          <w:tab w:pos="8856" w:val="right" w:leader="dot"/>
        </w:tabs>
      </w:pPr>
      <w:hyperlink w:anchor="_NAESTMA_TOC_1609" w:history="1">
        <w:r>
          <w:rPr>
            <w:color w:val="466B7A"/>
          </w:rPr>
          <w:t>Article 39.125: AI Equivalence and Regulatory Reliance</w:t>
        </w:r>
      </w:hyperlink>
      <w:r>
        <w:tab/>
      </w:r>
      <w:r>
        <w:rPr>
          <w:rFonts w:ascii="Arial" w:hAnsi="Arial"/>
        </w:rPr>
        <w:t>1247</w:t>
      </w:r>
    </w:p>
    <w:p>
      <w:pPr>
        <w:pStyle w:val="TOC2"/>
        <w:widowControl/>
        <w:tabs>
          <w:tab w:pos="8856" w:val="right" w:leader="dot"/>
        </w:tabs>
      </w:pPr>
      <w:hyperlink w:anchor="_NAESTMA_TOC_1610" w:history="1">
        <w:r>
          <w:rPr>
            <w:color w:val="466B7A"/>
          </w:rPr>
          <w:t>Article 39.126: AI Testing, Sandboxes and Conformity Evidence</w:t>
        </w:r>
      </w:hyperlink>
      <w:r>
        <w:tab/>
      </w:r>
      <w:r>
        <w:rPr>
          <w:rFonts w:ascii="Arial" w:hAnsi="Arial"/>
        </w:rPr>
        <w:t>1248</w:t>
      </w:r>
    </w:p>
    <w:p>
      <w:pPr>
        <w:pStyle w:val="TOC2"/>
        <w:widowControl/>
        <w:tabs>
          <w:tab w:pos="8856" w:val="right" w:leader="dot"/>
        </w:tabs>
      </w:pPr>
      <w:hyperlink w:anchor="_NAESTMA_TOC_1611" w:history="1">
        <w:r>
          <w:rPr>
            <w:color w:val="466B7A"/>
          </w:rPr>
          <w:t>Article 39.127: AI-Trade Workforce Competence</w:t>
        </w:r>
      </w:hyperlink>
      <w:r>
        <w:tab/>
      </w:r>
      <w:r>
        <w:rPr>
          <w:rFonts w:ascii="Arial" w:hAnsi="Arial"/>
        </w:rPr>
        <w:t>1249</w:t>
      </w:r>
    </w:p>
    <w:p>
      <w:pPr>
        <w:pStyle w:val="TOC2"/>
        <w:widowControl/>
        <w:tabs>
          <w:tab w:pos="8856" w:val="right" w:leader="dot"/>
        </w:tabs>
      </w:pPr>
      <w:hyperlink w:anchor="_NAESTMA_TOC_1612" w:history="1">
        <w:r>
          <w:rPr>
            <w:color w:val="466B7A"/>
          </w:rPr>
          <w:t>Article 39.128: Trader, SME and Broker AI Literacy</w:t>
        </w:r>
      </w:hyperlink>
      <w:r>
        <w:tab/>
      </w:r>
      <w:r>
        <w:rPr>
          <w:rFonts w:ascii="Arial" w:hAnsi="Arial"/>
        </w:rPr>
        <w:t>1249</w:t>
      </w:r>
    </w:p>
    <w:p>
      <w:pPr>
        <w:pStyle w:val="TOC2"/>
        <w:widowControl/>
        <w:tabs>
          <w:tab w:pos="8856" w:val="right" w:leader="dot"/>
        </w:tabs>
      </w:pPr>
      <w:hyperlink w:anchor="_NAESTMA_TOC_1613" w:history="1">
        <w:r>
          <w:rPr>
            <w:color w:val="466B7A"/>
          </w:rPr>
          <w:t>Article 39.129: AI Investment, Procurement and Infrastructure Neutrality</w:t>
        </w:r>
      </w:hyperlink>
      <w:r>
        <w:tab/>
      </w:r>
      <w:r>
        <w:rPr>
          <w:rFonts w:ascii="Arial" w:hAnsi="Arial"/>
        </w:rPr>
        <w:t>1250</w:t>
      </w:r>
    </w:p>
    <w:p>
      <w:pPr>
        <w:pStyle w:val="TOC2"/>
        <w:widowControl/>
        <w:tabs>
          <w:tab w:pos="8856" w:val="right" w:leader="dot"/>
        </w:tabs>
      </w:pPr>
      <w:hyperlink w:anchor="_NAESTMA_TOC_1614" w:history="1">
        <w:r>
          <w:rPr>
            <w:color w:val="466B7A"/>
          </w:rPr>
          <w:t>Article 39.130: AI-Trade Biennial Review and Update Mechanism</w:t>
        </w:r>
      </w:hyperlink>
      <w:r>
        <w:tab/>
      </w:r>
      <w:r>
        <w:rPr>
          <w:rFonts w:ascii="Arial" w:hAnsi="Arial"/>
        </w:rPr>
        <w:t>1251</w:t>
      </w:r>
    </w:p>
    <w:p>
      <w:pPr>
        <w:pStyle w:val="TOC2"/>
        <w:widowControl/>
        <w:tabs>
          <w:tab w:pos="8856" w:val="right" w:leader="dot"/>
        </w:tabs>
      </w:pPr>
      <w:hyperlink w:anchor="_NAESTMA_TOC_1615" w:history="1">
        <w:r>
          <w:rPr>
            <w:color w:val="466B7A"/>
          </w:rPr>
          <w:t>Article 39.131: AI-Trade Administration, Optionality and Remedies</w:t>
        </w:r>
      </w:hyperlink>
      <w:r>
        <w:tab/>
      </w:r>
      <w:r>
        <w:rPr>
          <w:rFonts w:ascii="Arial" w:hAnsi="Arial"/>
        </w:rPr>
        <w:t>1252</w:t>
      </w:r>
    </w:p>
    <w:p>
      <w:pPr>
        <w:pStyle w:val="TOC2"/>
        <w:widowControl/>
        <w:tabs>
          <w:tab w:pos="8856" w:val="right" w:leader="dot"/>
        </w:tabs>
      </w:pPr>
      <w:hyperlink w:anchor="_NAESTMA_TOC_1616" w:history="1">
        <w:r>
          <w:rPr>
            <w:color w:val="466B7A"/>
          </w:rPr>
          <w:t>Article 39.132: Relationship to Specialized Trade Chapters</w:t>
        </w:r>
      </w:hyperlink>
      <w:r>
        <w:tab/>
      </w:r>
      <w:r>
        <w:rPr>
          <w:rFonts w:ascii="Arial" w:hAnsi="Arial"/>
        </w:rPr>
        <w:t>1253</w:t>
      </w:r>
    </w:p>
    <w:p>
      <w:pPr>
        <w:pStyle w:val="TOC1"/>
        <w:widowControl/>
        <w:tabs>
          <w:tab w:pos="8856" w:val="right" w:leader="dot"/>
        </w:tabs>
      </w:pPr>
      <w:hyperlink w:anchor="_NAESTMA_TOC_1617" w:history="1">
        <w:r>
          <w:rPr>
            <w:color w:val="233746"/>
          </w:rPr>
          <w:t>CHAPTER 40</w:t>
        </w:r>
      </w:hyperlink>
      <w:r>
        <w:tab/>
      </w:r>
      <w:r>
        <w:rPr>
          <w:rFonts w:ascii="Arial" w:hAnsi="Arial"/>
        </w:rPr>
        <w:t>1254</w:t>
      </w:r>
    </w:p>
    <w:p>
      <w:pPr>
        <w:pStyle w:val="TOC1"/>
        <w:widowControl/>
        <w:tabs>
          <w:tab w:pos="8856" w:val="right" w:leader="dot"/>
        </w:tabs>
      </w:pPr>
      <w:hyperlink w:anchor="_NAESTMA_TOC_1618" w:history="1">
        <w:r>
          <w:rPr>
            <w:color w:val="233746"/>
          </w:rPr>
          <w:t>ENERGY SECURITY AND GRID RESILIENCE</w:t>
        </w:r>
      </w:hyperlink>
      <w:r>
        <w:tab/>
      </w:r>
      <w:r>
        <w:rPr>
          <w:rFonts w:ascii="Arial" w:hAnsi="Arial"/>
        </w:rPr>
        <w:t>1254</w:t>
      </w:r>
    </w:p>
    <w:p>
      <w:pPr>
        <w:pStyle w:val="TOC2"/>
        <w:widowControl/>
        <w:tabs>
          <w:tab w:pos="8856" w:val="right" w:leader="dot"/>
        </w:tabs>
      </w:pPr>
      <w:hyperlink w:anchor="_NAESTMA_TOC_1619" w:history="1">
        <w:r>
          <w:rPr>
            <w:color w:val="466B7A"/>
          </w:rPr>
          <w:t>Article 40.1: Purpose</w:t>
        </w:r>
      </w:hyperlink>
      <w:r>
        <w:tab/>
      </w:r>
      <w:r>
        <w:rPr>
          <w:rFonts w:ascii="Arial" w:hAnsi="Arial"/>
        </w:rPr>
        <w:t>1254</w:t>
      </w:r>
    </w:p>
    <w:p>
      <w:pPr>
        <w:pStyle w:val="TOC2"/>
        <w:widowControl/>
        <w:tabs>
          <w:tab w:pos="8856" w:val="right" w:leader="dot"/>
        </w:tabs>
      </w:pPr>
      <w:hyperlink w:anchor="_NAESTMA_TOC_1620" w:history="1">
        <w:r>
          <w:rPr>
            <w:color w:val="466B7A"/>
          </w:rPr>
          <w:t>Article 40.2: Energy Trade</w:t>
        </w:r>
      </w:hyperlink>
      <w:r>
        <w:tab/>
      </w:r>
      <w:r>
        <w:rPr>
          <w:rFonts w:ascii="Arial" w:hAnsi="Arial"/>
        </w:rPr>
        <w:t>1254</w:t>
      </w:r>
    </w:p>
    <w:p>
      <w:pPr>
        <w:pStyle w:val="TOC2"/>
        <w:widowControl/>
        <w:tabs>
          <w:tab w:pos="8856" w:val="right" w:leader="dot"/>
        </w:tabs>
      </w:pPr>
      <w:hyperlink w:anchor="_NAESTMA_TOC_1621" w:history="1">
        <w:r>
          <w:rPr>
            <w:color w:val="466B7A"/>
          </w:rPr>
          <w:t>Article 40.3: Grid Resilience</w:t>
        </w:r>
      </w:hyperlink>
      <w:r>
        <w:tab/>
      </w:r>
      <w:r>
        <w:rPr>
          <w:rFonts w:ascii="Arial" w:hAnsi="Arial"/>
        </w:rPr>
        <w:t>1254</w:t>
      </w:r>
    </w:p>
    <w:p>
      <w:pPr>
        <w:pStyle w:val="TOC2"/>
        <w:widowControl/>
        <w:tabs>
          <w:tab w:pos="8856" w:val="right" w:leader="dot"/>
        </w:tabs>
      </w:pPr>
      <w:hyperlink w:anchor="_NAESTMA_TOC_1622" w:history="1">
        <w:r>
          <w:rPr>
            <w:color w:val="466B7A"/>
          </w:rPr>
          <w:t>Article 40.4: Critical Energy Equipment</w:t>
        </w:r>
      </w:hyperlink>
      <w:r>
        <w:tab/>
      </w:r>
      <w:r>
        <w:rPr>
          <w:rFonts w:ascii="Arial" w:hAnsi="Arial"/>
        </w:rPr>
        <w:t>1254</w:t>
      </w:r>
    </w:p>
    <w:p>
      <w:pPr>
        <w:pStyle w:val="TOC2"/>
        <w:widowControl/>
        <w:tabs>
          <w:tab w:pos="8856" w:val="right" w:leader="dot"/>
        </w:tabs>
      </w:pPr>
      <w:hyperlink w:anchor="_NAESTMA_TOC_1623" w:history="1">
        <w:r>
          <w:rPr>
            <w:color w:val="466B7A"/>
          </w:rPr>
          <w:t>Article 40.5: New Energy Technologies</w:t>
        </w:r>
      </w:hyperlink>
      <w:r>
        <w:tab/>
      </w:r>
      <w:r>
        <w:rPr>
          <w:rFonts w:ascii="Arial" w:hAnsi="Arial"/>
        </w:rPr>
        <w:t>1254</w:t>
      </w:r>
    </w:p>
    <w:p>
      <w:pPr>
        <w:pStyle w:val="TOC2"/>
        <w:widowControl/>
        <w:tabs>
          <w:tab w:pos="8856" w:val="right" w:leader="dot"/>
        </w:tabs>
      </w:pPr>
      <w:hyperlink w:anchor="_NAESTMA_TOC_1624" w:history="1">
        <w:r>
          <w:rPr>
            <w:color w:val="466B7A"/>
          </w:rPr>
          <w:t>Article 40.6: Non-Discrimination in Energy Markets</w:t>
        </w:r>
      </w:hyperlink>
      <w:r>
        <w:tab/>
      </w:r>
      <w:r>
        <w:rPr>
          <w:rFonts w:ascii="Arial" w:hAnsi="Arial"/>
        </w:rPr>
        <w:t>1254</w:t>
      </w:r>
    </w:p>
    <w:p>
      <w:pPr>
        <w:pStyle w:val="TOC2"/>
        <w:widowControl/>
        <w:tabs>
          <w:tab w:pos="8856" w:val="right" w:leader="dot"/>
        </w:tabs>
      </w:pPr>
      <w:hyperlink w:anchor="_NAESTMA_TOC_1625" w:history="1">
        <w:r>
          <w:rPr>
            <w:color w:val="466B7A"/>
          </w:rPr>
          <w:t>Article 40.7: North American Energy, Compute and Storage Initiative</w:t>
        </w:r>
      </w:hyperlink>
      <w:r>
        <w:tab/>
      </w:r>
      <w:r>
        <w:rPr>
          <w:rFonts w:ascii="Arial" w:hAnsi="Arial"/>
        </w:rPr>
        <w:t>1255</w:t>
      </w:r>
    </w:p>
    <w:p>
      <w:pPr>
        <w:pStyle w:val="TOC2"/>
        <w:widowControl/>
        <w:tabs>
          <w:tab w:pos="8856" w:val="right" w:leader="dot"/>
        </w:tabs>
      </w:pPr>
      <w:hyperlink w:anchor="_NAESTMA_TOC_1626" w:history="1">
        <w:r>
          <w:rPr>
            <w:color w:val="466B7A"/>
          </w:rPr>
          <w:t>Article 40.8: Principles for Energy-Intensive Digital Infrastructure</w:t>
        </w:r>
      </w:hyperlink>
      <w:r>
        <w:tab/>
      </w:r>
      <w:r>
        <w:rPr>
          <w:rFonts w:ascii="Arial" w:hAnsi="Arial"/>
        </w:rPr>
        <w:t>1255</w:t>
      </w:r>
    </w:p>
    <w:p>
      <w:pPr>
        <w:pStyle w:val="TOC2"/>
        <w:widowControl/>
        <w:tabs>
          <w:tab w:pos="8856" w:val="right" w:leader="dot"/>
        </w:tabs>
      </w:pPr>
      <w:hyperlink w:anchor="_NAESTMA_TOC_1627" w:history="1">
        <w:r>
          <w:rPr>
            <w:color w:val="466B7A"/>
          </w:rPr>
          <w:t>Article 40.9: Build-the-Power-with-the-Load Principle</w:t>
        </w:r>
      </w:hyperlink>
      <w:r>
        <w:tab/>
      </w:r>
      <w:r>
        <w:rPr>
          <w:rFonts w:ascii="Arial" w:hAnsi="Arial"/>
        </w:rPr>
        <w:t>1255</w:t>
      </w:r>
    </w:p>
    <w:p>
      <w:pPr>
        <w:pStyle w:val="TOC2"/>
        <w:widowControl/>
        <w:tabs>
          <w:tab w:pos="8856" w:val="right" w:leader="dot"/>
        </w:tabs>
      </w:pPr>
      <w:hyperlink w:anchor="_NAESTMA_TOC_1628" w:history="1">
        <w:r>
          <w:rPr>
            <w:color w:val="466B7A"/>
          </w:rPr>
          <w:t>Article 40.10: Strategic Compute and Energy Zones</w:t>
        </w:r>
      </w:hyperlink>
      <w:r>
        <w:tab/>
      </w:r>
      <w:r>
        <w:rPr>
          <w:rFonts w:ascii="Arial" w:hAnsi="Arial"/>
        </w:rPr>
        <w:t>1255</w:t>
      </w:r>
    </w:p>
    <w:p>
      <w:pPr>
        <w:pStyle w:val="TOC2"/>
        <w:widowControl/>
        <w:tabs>
          <w:tab w:pos="8856" w:val="right" w:leader="dot"/>
        </w:tabs>
      </w:pPr>
      <w:hyperlink w:anchor="_NAESTMA_TOC_1629" w:history="1">
        <w:r>
          <w:rPr>
            <w:color w:val="466B7A"/>
          </w:rPr>
          <w:t>Article 40.11: Cross-Border Clean Power and Compute Corridors</w:t>
        </w:r>
      </w:hyperlink>
      <w:r>
        <w:tab/>
      </w:r>
      <w:r>
        <w:rPr>
          <w:rFonts w:ascii="Arial" w:hAnsi="Arial"/>
        </w:rPr>
        <w:t>1256</w:t>
      </w:r>
    </w:p>
    <w:p>
      <w:pPr>
        <w:pStyle w:val="TOC2"/>
        <w:widowControl/>
        <w:tabs>
          <w:tab w:pos="8856" w:val="right" w:leader="dot"/>
        </w:tabs>
      </w:pPr>
      <w:hyperlink w:anchor="_NAESTMA_TOC_1630" w:history="1">
        <w:r>
          <w:rPr>
            <w:color w:val="466B7A"/>
          </w:rPr>
          <w:t>Article 40.12: Domestic Reliability and Anti-Crowding-Out Safeguard</w:t>
        </w:r>
      </w:hyperlink>
      <w:r>
        <w:tab/>
      </w:r>
      <w:r>
        <w:rPr>
          <w:rFonts w:ascii="Arial" w:hAnsi="Arial"/>
        </w:rPr>
        <w:t>1256</w:t>
      </w:r>
    </w:p>
    <w:p>
      <w:pPr>
        <w:pStyle w:val="TOC2"/>
        <w:widowControl/>
        <w:tabs>
          <w:tab w:pos="8856" w:val="right" w:leader="dot"/>
        </w:tabs>
      </w:pPr>
      <w:hyperlink w:anchor="_NAESTMA_TOC_1631" w:history="1">
        <w:r>
          <w:rPr>
            <w:color w:val="466B7A"/>
          </w:rPr>
          <w:t>Article 40.13: Reciprocal Electricity Market Access</w:t>
        </w:r>
      </w:hyperlink>
      <w:r>
        <w:tab/>
      </w:r>
      <w:r>
        <w:rPr>
          <w:rFonts w:ascii="Arial" w:hAnsi="Arial"/>
        </w:rPr>
        <w:t>1256</w:t>
      </w:r>
    </w:p>
    <w:p>
      <w:pPr>
        <w:pStyle w:val="TOC2"/>
        <w:widowControl/>
        <w:tabs>
          <w:tab w:pos="8856" w:val="right" w:leader="dot"/>
        </w:tabs>
      </w:pPr>
      <w:hyperlink w:anchor="_NAESTMA_TOC_1632" w:history="1">
        <w:r>
          <w:rPr>
            <w:color w:val="466B7A"/>
          </w:rPr>
          <w:t>Article 40.14: Transmission, Interconnection and Permitting Cooperation</w:t>
        </w:r>
      </w:hyperlink>
      <w:r>
        <w:tab/>
      </w:r>
      <w:r>
        <w:rPr>
          <w:rFonts w:ascii="Arial" w:hAnsi="Arial"/>
        </w:rPr>
        <w:t>1256</w:t>
      </w:r>
    </w:p>
    <w:p>
      <w:pPr>
        <w:pStyle w:val="TOC2"/>
        <w:widowControl/>
        <w:tabs>
          <w:tab w:pos="8856" w:val="right" w:leader="dot"/>
        </w:tabs>
      </w:pPr>
      <w:hyperlink w:anchor="_NAESTMA_TOC_1633" w:history="1">
        <w:r>
          <w:rPr>
            <w:color w:val="466B7A"/>
          </w:rPr>
          <w:t>Article 40.15: Flexible Digital Load and Grid Services</w:t>
        </w:r>
      </w:hyperlink>
      <w:r>
        <w:tab/>
      </w:r>
      <w:r>
        <w:rPr>
          <w:rFonts w:ascii="Arial" w:hAnsi="Arial"/>
        </w:rPr>
        <w:t>1257</w:t>
      </w:r>
    </w:p>
    <w:p>
      <w:pPr>
        <w:pStyle w:val="TOC2"/>
        <w:widowControl/>
        <w:tabs>
          <w:tab w:pos="8856" w:val="right" w:leader="dot"/>
        </w:tabs>
      </w:pPr>
      <w:hyperlink w:anchor="_NAESTMA_TOC_1634" w:history="1">
        <w:r>
          <w:rPr>
            <w:color w:val="466B7A"/>
          </w:rPr>
          <w:t>Article 40.16: Energy Storage and Long-Duration Flexibility</w:t>
        </w:r>
      </w:hyperlink>
      <w:r>
        <w:tab/>
      </w:r>
      <w:r>
        <w:rPr>
          <w:rFonts w:ascii="Arial" w:hAnsi="Arial"/>
        </w:rPr>
        <w:t>1257</w:t>
      </w:r>
    </w:p>
    <w:p>
      <w:pPr>
        <w:pStyle w:val="TOC2"/>
        <w:widowControl/>
        <w:tabs>
          <w:tab w:pos="8856" w:val="right" w:leader="dot"/>
        </w:tabs>
      </w:pPr>
      <w:hyperlink w:anchor="_NAESTMA_TOC_1635" w:history="1">
        <w:r>
          <w:rPr>
            <w:color w:val="466B7A"/>
          </w:rPr>
          <w:t>Article 40.17: Advanced Storage and Thermal-Energy Demonstration Pathway</w:t>
        </w:r>
      </w:hyperlink>
      <w:r>
        <w:tab/>
      </w:r>
      <w:r>
        <w:rPr>
          <w:rFonts w:ascii="Arial" w:hAnsi="Arial"/>
        </w:rPr>
        <w:t>1257</w:t>
      </w:r>
    </w:p>
    <w:p>
      <w:pPr>
        <w:pStyle w:val="TOC2"/>
        <w:widowControl/>
        <w:tabs>
          <w:tab w:pos="8856" w:val="right" w:leader="dot"/>
        </w:tabs>
      </w:pPr>
      <w:hyperlink w:anchor="_NAESTMA_TOC_1636" w:history="1">
        <w:r>
          <w:rPr>
            <w:color w:val="466B7A"/>
          </w:rPr>
          <w:t>Article 40.18: Curtailment-to-Storage and Surplus-Energy Utilization</w:t>
        </w:r>
      </w:hyperlink>
      <w:r>
        <w:tab/>
      </w:r>
      <w:r>
        <w:rPr>
          <w:rFonts w:ascii="Arial" w:hAnsi="Arial"/>
        </w:rPr>
        <w:t>1257</w:t>
      </w:r>
    </w:p>
    <w:p>
      <w:pPr>
        <w:pStyle w:val="TOC2"/>
        <w:widowControl/>
        <w:tabs>
          <w:tab w:pos="8856" w:val="right" w:leader="dot"/>
        </w:tabs>
      </w:pPr>
      <w:hyperlink w:anchor="_NAESTMA_TOC_1637" w:history="1">
        <w:r>
          <w:rPr>
            <w:color w:val="466B7A"/>
          </w:rPr>
          <w:t>Article 40.19: Foreign Strategic Technology Integration</w:t>
        </w:r>
      </w:hyperlink>
      <w:r>
        <w:tab/>
      </w:r>
      <w:r>
        <w:rPr>
          <w:rFonts w:ascii="Arial" w:hAnsi="Arial"/>
        </w:rPr>
        <w:t>1257</w:t>
      </w:r>
    </w:p>
    <w:p>
      <w:pPr>
        <w:pStyle w:val="TOC2"/>
        <w:widowControl/>
        <w:tabs>
          <w:tab w:pos="8856" w:val="right" w:leader="dot"/>
        </w:tabs>
      </w:pPr>
      <w:hyperlink w:anchor="_NAESTMA_TOC_1638" w:history="1">
        <w:r>
          <w:rPr>
            <w:color w:val="466B7A"/>
          </w:rPr>
          <w:t>Article 40.20: Critical Infrastructure Cybersecurity and Trusted Systems</w:t>
        </w:r>
      </w:hyperlink>
      <w:r>
        <w:tab/>
      </w:r>
      <w:r>
        <w:rPr>
          <w:rFonts w:ascii="Arial" w:hAnsi="Arial"/>
        </w:rPr>
        <w:t>1258</w:t>
      </w:r>
    </w:p>
    <w:p>
      <w:pPr>
        <w:pStyle w:val="TOC2"/>
        <w:widowControl/>
        <w:tabs>
          <w:tab w:pos="8856" w:val="right" w:leader="dot"/>
        </w:tabs>
      </w:pPr>
      <w:hyperlink w:anchor="_NAESTMA_TOC_1639" w:history="1">
        <w:r>
          <w:rPr>
            <w:color w:val="466B7A"/>
          </w:rPr>
          <w:t>Article 40.21: Canadian, United States and Mexican Compute Access and Sovereignty</w:t>
        </w:r>
      </w:hyperlink>
      <w:r>
        <w:tab/>
      </w:r>
      <w:r>
        <w:rPr>
          <w:rFonts w:ascii="Arial" w:hAnsi="Arial"/>
        </w:rPr>
        <w:t>1258</w:t>
      </w:r>
    </w:p>
    <w:p>
      <w:pPr>
        <w:pStyle w:val="TOC2"/>
        <w:widowControl/>
        <w:tabs>
          <w:tab w:pos="8856" w:val="right" w:leader="dot"/>
        </w:tabs>
      </w:pPr>
      <w:hyperlink w:anchor="_NAESTMA_TOC_1640" w:history="1">
        <w:r>
          <w:rPr>
            <w:color w:val="466B7A"/>
          </w:rPr>
          <w:t>Article 40.22: Fibre, Telecommunications and Data-Movement Resilience</w:t>
        </w:r>
      </w:hyperlink>
      <w:r>
        <w:tab/>
      </w:r>
      <w:r>
        <w:rPr>
          <w:rFonts w:ascii="Arial" w:hAnsi="Arial"/>
        </w:rPr>
        <w:t>1258</w:t>
      </w:r>
    </w:p>
    <w:p>
      <w:pPr>
        <w:pStyle w:val="TOC2"/>
        <w:widowControl/>
        <w:tabs>
          <w:tab w:pos="8856" w:val="right" w:leader="dot"/>
        </w:tabs>
      </w:pPr>
      <w:hyperlink w:anchor="_NAESTMA_TOC_1641" w:history="1">
        <w:r>
          <w:rPr>
            <w:color w:val="466B7A"/>
          </w:rPr>
          <w:t>Article 40.23: Host-Community, Workforce and Indigenous Participation</w:t>
        </w:r>
      </w:hyperlink>
      <w:r>
        <w:tab/>
      </w:r>
      <w:r>
        <w:rPr>
          <w:rFonts w:ascii="Arial" w:hAnsi="Arial"/>
        </w:rPr>
        <w:t>1258</w:t>
      </w:r>
    </w:p>
    <w:p>
      <w:pPr>
        <w:pStyle w:val="TOC2"/>
        <w:widowControl/>
        <w:tabs>
          <w:tab w:pos="8856" w:val="right" w:leader="dot"/>
        </w:tabs>
      </w:pPr>
      <w:hyperlink w:anchor="_NAESTMA_TOC_1642" w:history="1">
        <w:r>
          <w:rPr>
            <w:color w:val="466B7A"/>
          </w:rPr>
          <w:t>Article 40.24: Implementation, Metrics and Review</w:t>
        </w:r>
      </w:hyperlink>
      <w:r>
        <w:tab/>
      </w:r>
      <w:r>
        <w:rPr>
          <w:rFonts w:ascii="Arial" w:hAnsi="Arial"/>
        </w:rPr>
        <w:t>1259</w:t>
      </w:r>
    </w:p>
    <w:p>
      <w:pPr>
        <w:pStyle w:val="TOC1"/>
        <w:widowControl/>
        <w:tabs>
          <w:tab w:pos="8856" w:val="right" w:leader="dot"/>
        </w:tabs>
      </w:pPr>
      <w:hyperlink w:anchor="_NAESTMA_TOC_1643" w:history="1">
        <w:r>
          <w:rPr>
            <w:color w:val="233746"/>
          </w:rPr>
          <w:t>ANNEX 40-A</w:t>
        </w:r>
      </w:hyperlink>
      <w:r>
        <w:tab/>
      </w:r>
      <w:r>
        <w:rPr>
          <w:rFonts w:ascii="Arial" w:hAnsi="Arial"/>
        </w:rPr>
        <w:t>1260</w:t>
      </w:r>
    </w:p>
    <w:p>
      <w:pPr>
        <w:pStyle w:val="TOC2"/>
        <w:widowControl/>
        <w:tabs>
          <w:tab w:pos="8856" w:val="right" w:leader="dot"/>
        </w:tabs>
      </w:pPr>
      <w:hyperlink w:anchor="_NAESTMA_TOC_1644" w:history="1">
        <w:r>
          <w:rPr>
            <w:color w:val="466B7A"/>
          </w:rPr>
          <w:t>NORTH AMERICAN ENERGY, COMPUTE AND STORAGE IMPLEMENTATION FRAMEWORK</w:t>
        </w:r>
      </w:hyperlink>
      <w:r>
        <w:tab/>
      </w:r>
      <w:r>
        <w:rPr>
          <w:rFonts w:ascii="Arial" w:hAnsi="Arial"/>
        </w:rPr>
        <w:t>1260</w:t>
      </w:r>
    </w:p>
    <w:p>
      <w:pPr>
        <w:pStyle w:val="TOC1"/>
        <w:widowControl/>
        <w:tabs>
          <w:tab w:pos="8856" w:val="right" w:leader="dot"/>
        </w:tabs>
      </w:pPr>
      <w:hyperlink w:anchor="_NAESTMA_TOC_1645" w:history="1">
        <w:r>
          <w:rPr>
            <w:color w:val="233746"/>
          </w:rPr>
          <w:t>ANNEX I-EXPLANATORY NOTE-2</w:t>
        </w:r>
      </w:hyperlink>
      <w:r>
        <w:tab/>
      </w:r>
      <w:r>
        <w:rPr>
          <w:rFonts w:ascii="Arial" w:hAnsi="Arial"/>
        </w:rPr>
        <w:t>1263</w:t>
      </w:r>
    </w:p>
    <w:p>
      <w:pPr>
        <w:pStyle w:val="TOC1"/>
        <w:widowControl/>
        <w:tabs>
          <w:tab w:pos="8856" w:val="right" w:leader="dot"/>
        </w:tabs>
      </w:pPr>
      <w:hyperlink w:anchor="_NAESTMA_TOC_1646" w:history="1">
        <w:r>
          <w:rPr>
            <w:color w:val="233746"/>
          </w:rPr>
          <w:t>ANNEX I – CANADA – 38</w:t>
        </w:r>
      </w:hyperlink>
      <w:r>
        <w:tab/>
      </w:r>
      <w:r>
        <w:rPr>
          <w:rFonts w:ascii="Arial" w:hAnsi="Arial"/>
        </w:rPr>
        <w:t>1272</w:t>
      </w:r>
    </w:p>
    <w:p>
      <w:pPr>
        <w:pStyle w:val="TOC1"/>
        <w:widowControl/>
        <w:tabs>
          <w:tab w:pos="8856" w:val="right" w:leader="dot"/>
        </w:tabs>
      </w:pPr>
      <w:hyperlink w:anchor="_NAESTMA_TOC_1647" w:history="1">
        <w:r>
          <w:rPr>
            <w:color w:val="233746"/>
          </w:rPr>
          <w:t>ANNEX I – MEXICO – 50</w:t>
        </w:r>
      </w:hyperlink>
      <w:r>
        <w:tab/>
      </w:r>
      <w:r>
        <w:rPr>
          <w:rFonts w:ascii="Arial" w:hAnsi="Arial"/>
        </w:rPr>
        <w:t>1286</w:t>
      </w:r>
    </w:p>
    <w:p>
      <w:pPr>
        <w:pStyle w:val="TOC1"/>
        <w:widowControl/>
        <w:tabs>
          <w:tab w:pos="8856" w:val="right" w:leader="dot"/>
        </w:tabs>
      </w:pPr>
      <w:hyperlink w:anchor="_NAESTMA_TOC_1648" w:history="1">
        <w:r>
          <w:rPr>
            <w:color w:val="233746"/>
          </w:rPr>
          <w:t>ANNEX I – UNITED STATES – 1</w:t>
        </w:r>
      </w:hyperlink>
      <w:r>
        <w:tab/>
      </w:r>
      <w:r>
        <w:rPr>
          <w:rFonts w:ascii="Arial" w:hAnsi="Arial"/>
        </w:rPr>
        <w:t>1287</w:t>
      </w:r>
    </w:p>
    <w:p>
      <w:pPr>
        <w:pStyle w:val="TOC1"/>
        <w:widowControl/>
        <w:tabs>
          <w:tab w:pos="8856" w:val="right" w:leader="dot"/>
        </w:tabs>
      </w:pPr>
      <w:hyperlink w:anchor="_NAESTMA_TOC_1649" w:history="1">
        <w:r>
          <w:rPr>
            <w:color w:val="233746"/>
          </w:rPr>
          <w:t>ANNEX I – UNITED STATES – 15 EXPLANATORY NOTE</w:t>
        </w:r>
      </w:hyperlink>
      <w:r>
        <w:tab/>
      </w:r>
      <w:r>
        <w:rPr>
          <w:rFonts w:ascii="Arial" w:hAnsi="Arial"/>
        </w:rPr>
        <w:t>1292</w:t>
      </w:r>
    </w:p>
    <w:p>
      <w:pPr>
        <w:pStyle w:val="TOC1"/>
        <w:widowControl/>
        <w:tabs>
          <w:tab w:pos="8856" w:val="right" w:leader="dot"/>
        </w:tabs>
      </w:pPr>
      <w:hyperlink w:anchor="_NAESTMA_TOC_1650" w:history="1">
        <w:r>
          <w:rPr>
            <w:color w:val="233746"/>
          </w:rPr>
          <w:t>ANNEX II-EXPLANATORY NOTE-2</w:t>
        </w:r>
      </w:hyperlink>
      <w:r>
        <w:tab/>
      </w:r>
      <w:r>
        <w:rPr>
          <w:rFonts w:ascii="Arial" w:hAnsi="Arial"/>
        </w:rPr>
        <w:t>1294</w:t>
      </w:r>
    </w:p>
    <w:p>
      <w:pPr>
        <w:pStyle w:val="TOC1"/>
        <w:widowControl/>
        <w:tabs>
          <w:tab w:pos="8856" w:val="right" w:leader="dot"/>
        </w:tabs>
      </w:pPr>
      <w:hyperlink w:anchor="_NAESTMA_TOC_1651" w:history="1">
        <w:r>
          <w:rPr>
            <w:color w:val="233746"/>
          </w:rPr>
          <w:t>ANNEX II – UNITED STATES – 5. Existing Measures:</w:t>
        </w:r>
      </w:hyperlink>
      <w:r>
        <w:tab/>
      </w:r>
      <w:r>
        <w:rPr>
          <w:rFonts w:ascii="Arial" w:hAnsi="Arial"/>
        </w:rPr>
        <w:t>1296</w:t>
      </w:r>
    </w:p>
    <w:p>
      <w:pPr>
        <w:pStyle w:val="TOC1"/>
        <w:widowControl/>
        <w:tabs>
          <w:tab w:pos="8856" w:val="right" w:leader="dot"/>
        </w:tabs>
      </w:pPr>
      <w:hyperlink w:anchor="_NAESTMA_TOC_1652" w:history="1">
        <w:r>
          <w:rPr>
            <w:color w:val="233746"/>
          </w:rPr>
          <w:t>ANNEX II – CANADA – 19</w:t>
        </w:r>
      </w:hyperlink>
      <w:r>
        <w:tab/>
      </w:r>
      <w:r>
        <w:rPr>
          <w:rFonts w:ascii="Arial" w:hAnsi="Arial"/>
        </w:rPr>
        <w:t>1298</w:t>
      </w:r>
    </w:p>
    <w:p>
      <w:pPr>
        <w:pStyle w:val="TOC1"/>
        <w:widowControl/>
        <w:tabs>
          <w:tab w:pos="8856" w:val="right" w:leader="dot"/>
        </w:tabs>
      </w:pPr>
      <w:hyperlink w:anchor="_NAESTMA_TOC_1653" w:history="1">
        <w:r>
          <w:rPr>
            <w:color w:val="233746"/>
          </w:rPr>
          <w:t>ANNEX II – MEXICO – 37</w:t>
        </w:r>
      </w:hyperlink>
      <w:r>
        <w:tab/>
      </w:r>
      <w:r>
        <w:rPr>
          <w:rFonts w:ascii="Arial" w:hAnsi="Arial"/>
        </w:rPr>
        <w:t>1310</w:t>
      </w:r>
    </w:p>
    <w:p>
      <w:pPr>
        <w:pStyle w:val="TOC1"/>
        <w:widowControl/>
        <w:tabs>
          <w:tab w:pos="8856" w:val="right" w:leader="dot"/>
        </w:tabs>
      </w:pPr>
      <w:hyperlink w:anchor="_NAESTMA_TOC_1654" w:history="1">
        <w:r>
          <w:rPr>
            <w:color w:val="233746"/>
          </w:rPr>
          <w:t>ANNEX II – UNITED STATES – 15</w:t>
        </w:r>
      </w:hyperlink>
      <w:r>
        <w:tab/>
      </w:r>
      <w:r>
        <w:rPr>
          <w:rFonts w:ascii="Arial" w:hAnsi="Arial"/>
        </w:rPr>
        <w:t>1315</w:t>
      </w:r>
    </w:p>
    <w:p>
      <w:pPr>
        <w:pStyle w:val="TOC1"/>
        <w:widowControl/>
        <w:tabs>
          <w:tab w:pos="8856" w:val="right" w:leader="dot"/>
        </w:tabs>
      </w:pPr>
      <w:hyperlink w:anchor="_NAESTMA_TOC_1655" w:history="1">
        <w:r>
          <w:rPr>
            <w:color w:val="233746"/>
          </w:rPr>
          <w:t>ANNEX III – EXPLANATORY NOTE – 3</w:t>
        </w:r>
      </w:hyperlink>
      <w:r>
        <w:tab/>
      </w:r>
      <w:r>
        <w:rPr>
          <w:rFonts w:ascii="Arial" w:hAnsi="Arial"/>
        </w:rPr>
        <w:t>1317</w:t>
      </w:r>
    </w:p>
    <w:p>
      <w:pPr>
        <w:pStyle w:val="TOC1"/>
        <w:widowControl/>
        <w:tabs>
          <w:tab w:pos="8856" w:val="right" w:leader="dot"/>
        </w:tabs>
      </w:pPr>
      <w:hyperlink w:anchor="_NAESTMA_TOC_1656" w:history="1">
        <w:r>
          <w:rPr>
            <w:color w:val="233746"/>
          </w:rPr>
          <w:t>ANNEX III – CANADA – 13</w:t>
        </w:r>
      </w:hyperlink>
      <w:r>
        <w:tab/>
      </w:r>
      <w:r>
        <w:rPr>
          <w:rFonts w:ascii="Arial" w:hAnsi="Arial"/>
        </w:rPr>
        <w:t>1319</w:t>
      </w:r>
    </w:p>
    <w:p>
      <w:pPr>
        <w:pStyle w:val="TOC1"/>
        <w:widowControl/>
        <w:tabs>
          <w:tab w:pos="8856" w:val="right" w:leader="dot"/>
        </w:tabs>
      </w:pPr>
      <w:hyperlink w:anchor="_NAESTMA_TOC_1657" w:history="1">
        <w:r>
          <w:rPr>
            <w:color w:val="233746"/>
          </w:rPr>
          <w:t>ANNEX III – MEXICO – 17</w:t>
        </w:r>
      </w:hyperlink>
      <w:r>
        <w:tab/>
      </w:r>
      <w:r>
        <w:rPr>
          <w:rFonts w:ascii="Arial" w:hAnsi="Arial"/>
        </w:rPr>
        <w:t>1323</w:t>
      </w:r>
    </w:p>
    <w:p>
      <w:pPr>
        <w:pStyle w:val="TOC1"/>
        <w:widowControl/>
        <w:tabs>
          <w:tab w:pos="8856" w:val="right" w:leader="dot"/>
        </w:tabs>
      </w:pPr>
      <w:hyperlink w:anchor="_NAESTMA_TOC_1658" w:history="1">
        <w:r>
          <w:rPr>
            <w:color w:val="233746"/>
          </w:rPr>
          <w:t>ANNEX III – MEXICO – 23</w:t>
        </w:r>
      </w:hyperlink>
      <w:r>
        <w:tab/>
      </w:r>
      <w:r>
        <w:rPr>
          <w:rFonts w:ascii="Arial" w:hAnsi="Arial"/>
        </w:rPr>
        <w:t>1325</w:t>
      </w:r>
    </w:p>
    <w:p>
      <w:pPr>
        <w:pStyle w:val="TOC1"/>
        <w:widowControl/>
        <w:tabs>
          <w:tab w:pos="8856" w:val="right" w:leader="dot"/>
        </w:tabs>
      </w:pPr>
      <w:hyperlink w:anchor="_NAESTMA_TOC_1659" w:history="1">
        <w:r>
          <w:rPr>
            <w:color w:val="233746"/>
          </w:rPr>
          <w:t>ANNEX III – UNITED STATES – 2</w:t>
        </w:r>
      </w:hyperlink>
      <w:r>
        <w:tab/>
      </w:r>
      <w:r>
        <w:rPr>
          <w:rFonts w:ascii="Arial" w:hAnsi="Arial"/>
        </w:rPr>
        <w:t>1326</w:t>
      </w:r>
    </w:p>
    <w:p>
      <w:pPr>
        <w:pStyle w:val="TOC1"/>
        <w:widowControl/>
        <w:tabs>
          <w:tab w:pos="8856" w:val="right" w:leader="dot"/>
        </w:tabs>
      </w:pPr>
      <w:hyperlink w:anchor="_NAESTMA_TOC_1660" w:history="1">
        <w:r>
          <w:rPr>
            <w:color w:val="233746"/>
          </w:rPr>
          <w:t>ANNEX III – UNITED STATES – 26</w:t>
        </w:r>
      </w:hyperlink>
      <w:r>
        <w:tab/>
      </w:r>
      <w:r>
        <w:rPr>
          <w:rFonts w:ascii="Arial" w:hAnsi="Arial"/>
        </w:rPr>
        <w:t>1331</w:t>
      </w:r>
    </w:p>
    <w:p>
      <w:pPr>
        <w:pStyle w:val="TOC1"/>
        <w:widowControl/>
        <w:tabs>
          <w:tab w:pos="8856" w:val="right" w:leader="dot"/>
        </w:tabs>
      </w:pPr>
      <w:hyperlink w:anchor="_NAESTMA_TOC_1661" w:history="1">
        <w:r>
          <w:rPr>
            <w:color w:val="233746"/>
          </w:rPr>
          <w:t>ANNEX III – UNITED STATES – 28</w:t>
        </w:r>
      </w:hyperlink>
      <w:r>
        <w:tab/>
      </w:r>
      <w:r>
        <w:rPr>
          <w:rFonts w:ascii="Arial" w:hAnsi="Arial"/>
        </w:rPr>
        <w:t>1332</w:t>
      </w:r>
    </w:p>
    <w:p>
      <w:pPr>
        <w:pStyle w:val="TOC1"/>
        <w:widowControl/>
        <w:tabs>
          <w:tab w:pos="8856" w:val="right" w:leader="dot"/>
        </w:tabs>
      </w:pPr>
      <w:hyperlink w:anchor="_NAESTMA_TOC_1662" w:history="1">
        <w:r>
          <w:rPr>
            <w:color w:val="233746"/>
          </w:rPr>
          <w:t>ANNEX IV – UNITED STATES – 4</w:t>
        </w:r>
      </w:hyperlink>
      <w:r>
        <w:tab/>
      </w:r>
      <w:r>
        <w:rPr>
          <w:rFonts w:ascii="Arial" w:hAnsi="Arial"/>
        </w:rPr>
        <w:t>1340</w:t>
      </w:r>
    </w:p>
    <w:p>
      <w:pPr>
        <w:pStyle w:val="TOC2"/>
        <w:widowControl/>
        <w:tabs>
          <w:tab w:pos="8856" w:val="right" w:leader="dot"/>
        </w:tabs>
      </w:pPr>
      <w:hyperlink w:anchor="_NAESTMA_TOC_1663" w:history="1">
        <w:r>
          <w:rPr>
            <w:color w:val="466B7A"/>
          </w:rPr>
          <w:t>Article 40.25: North American Energy Capacity and Corridor Optionality</w:t>
        </w:r>
      </w:hyperlink>
      <w:r>
        <w:tab/>
      </w:r>
      <w:r>
        <w:rPr>
          <w:rFonts w:ascii="Arial" w:hAnsi="Arial"/>
        </w:rPr>
        <w:t>1340</w:t>
      </w:r>
    </w:p>
    <w:p>
      <w:pPr>
        <w:pStyle w:val="TOC2"/>
        <w:widowControl/>
        <w:tabs>
          <w:tab w:pos="8856" w:val="right" w:leader="dot"/>
        </w:tabs>
      </w:pPr>
      <w:hyperlink w:anchor="_NAESTMA_TOC_1664" w:history="1">
        <w:r>
          <w:rPr>
            <w:color w:val="466B7A"/>
          </w:rPr>
          <w:t>Article 40.26: No Named-Project Obligation</w:t>
        </w:r>
      </w:hyperlink>
      <w:r>
        <w:tab/>
      </w:r>
      <w:r>
        <w:rPr>
          <w:rFonts w:ascii="Arial" w:hAnsi="Arial"/>
        </w:rPr>
        <w:t>1340</w:t>
      </w:r>
    </w:p>
    <w:p>
      <w:pPr>
        <w:pStyle w:val="TOC2"/>
        <w:widowControl/>
        <w:tabs>
          <w:tab w:pos="8856" w:val="right" w:leader="dot"/>
        </w:tabs>
      </w:pPr>
      <w:hyperlink w:anchor="_NAESTMA_TOC_1665" w:history="1">
        <w:r>
          <w:rPr>
            <w:color w:val="466B7A"/>
          </w:rPr>
          <w:t>Article 40.27: Functional Equivalence and Portfolio Satisfaction</w:t>
        </w:r>
      </w:hyperlink>
      <w:r>
        <w:tab/>
      </w:r>
      <w:r>
        <w:rPr>
          <w:rFonts w:ascii="Arial" w:hAnsi="Arial"/>
        </w:rPr>
        <w:t>1340</w:t>
      </w:r>
    </w:p>
    <w:p>
      <w:pPr>
        <w:pStyle w:val="TOC2"/>
        <w:widowControl/>
        <w:tabs>
          <w:tab w:pos="8856" w:val="right" w:leader="dot"/>
        </w:tabs>
      </w:pPr>
      <w:hyperlink w:anchor="_NAESTMA_TOC_1666" w:history="1">
        <w:r>
          <w:rPr>
            <w:color w:val="466B7A"/>
          </w:rPr>
          <w:t>Article 40.28: Existing Corridor Capacity Enhancement</w:t>
        </w:r>
      </w:hyperlink>
      <w:r>
        <w:tab/>
      </w:r>
      <w:r>
        <w:rPr>
          <w:rFonts w:ascii="Arial" w:hAnsi="Arial"/>
        </w:rPr>
        <w:t>1340</w:t>
      </w:r>
    </w:p>
    <w:p>
      <w:pPr>
        <w:pStyle w:val="TOC2"/>
        <w:widowControl/>
        <w:tabs>
          <w:tab w:pos="8856" w:val="right" w:leader="dot"/>
        </w:tabs>
      </w:pPr>
      <w:hyperlink w:anchor="_NAESTMA_TOC_1667" w:history="1">
        <w:r>
          <w:rPr>
            <w:color w:val="466B7A"/>
          </w:rPr>
          <w:t>Article 40.29: Predictable Cross-Border Energy Project Review</w:t>
        </w:r>
      </w:hyperlink>
      <w:r>
        <w:tab/>
      </w:r>
      <w:r>
        <w:rPr>
          <w:rFonts w:ascii="Arial" w:hAnsi="Arial"/>
        </w:rPr>
        <w:t>1341</w:t>
      </w:r>
    </w:p>
    <w:p>
      <w:pPr>
        <w:pStyle w:val="TOC2"/>
        <w:widowControl/>
        <w:tabs>
          <w:tab w:pos="8856" w:val="right" w:leader="dot"/>
        </w:tabs>
      </w:pPr>
      <w:hyperlink w:anchor="_NAESTMA_TOC_1668" w:history="1">
        <w:r>
          <w:rPr>
            <w:color w:val="466B7A"/>
          </w:rPr>
          <w:t>Article 40.30: Energy Security and Resilience Portfolio</w:t>
        </w:r>
      </w:hyperlink>
      <w:r>
        <w:tab/>
      </w:r>
      <w:r>
        <w:rPr>
          <w:rFonts w:ascii="Arial" w:hAnsi="Arial"/>
        </w:rPr>
        <w:t>1341</w:t>
      </w:r>
    </w:p>
    <w:p>
      <w:pPr>
        <w:pStyle w:val="TOC2"/>
        <w:widowControl/>
        <w:tabs>
          <w:tab w:pos="8856" w:val="right" w:leader="dot"/>
        </w:tabs>
      </w:pPr>
      <w:hyperlink w:anchor="_NAESTMA_TOC_1669" w:history="1">
        <w:r>
          <w:rPr>
            <w:color w:val="466B7A"/>
          </w:rPr>
          <w:t>Article 40.31: Energy Workforce and Skills Cooperation</w:t>
        </w:r>
      </w:hyperlink>
      <w:r>
        <w:tab/>
      </w:r>
      <w:r>
        <w:rPr>
          <w:rFonts w:ascii="Arial" w:hAnsi="Arial"/>
        </w:rPr>
        <w:t>1341</w:t>
      </w:r>
    </w:p>
    <w:p>
      <w:pPr>
        <w:pStyle w:val="TOC2"/>
        <w:widowControl/>
        <w:tabs>
          <w:tab w:pos="8856" w:val="right" w:leader="dot"/>
        </w:tabs>
      </w:pPr>
      <w:hyperlink w:anchor="_NAESTMA_TOC_1670" w:history="1">
        <w:r>
          <w:rPr>
            <w:color w:val="466B7A"/>
          </w:rPr>
          <w:t>Article 40.32: Commercial Project Window and Candidate Register</w:t>
        </w:r>
      </w:hyperlink>
      <w:r>
        <w:tab/>
      </w:r>
      <w:r>
        <w:rPr>
          <w:rFonts w:ascii="Arial" w:hAnsi="Arial"/>
        </w:rPr>
        <w:t>1341</w:t>
      </w:r>
    </w:p>
    <w:p>
      <w:pPr>
        <w:pStyle w:val="TOC2"/>
        <w:widowControl/>
        <w:tabs>
          <w:tab w:pos="8856" w:val="right" w:leader="dot"/>
        </w:tabs>
      </w:pPr>
      <w:hyperlink w:anchor="_NAESTMA_TOC_1671" w:history="1">
        <w:r>
          <w:rPr>
            <w:color w:val="466B7A"/>
          </w:rPr>
          <w:t>Article 40.33: Energy Sovereignty and No Compulsory Project, Extraction, or Export</w:t>
        </w:r>
      </w:hyperlink>
      <w:r>
        <w:tab/>
      </w:r>
      <w:r>
        <w:rPr>
          <w:rFonts w:ascii="Arial" w:hAnsi="Arial"/>
        </w:rPr>
        <w:t>1341</w:t>
      </w:r>
    </w:p>
    <w:p>
      <w:pPr>
        <w:pStyle w:val="TOC2"/>
        <w:widowControl/>
        <w:tabs>
          <w:tab w:pos="8856" w:val="right" w:leader="dot"/>
        </w:tabs>
      </w:pPr>
      <w:hyperlink w:anchor="_NAESTMA_TOC_1672" w:history="1">
        <w:r>
          <w:rPr>
            <w:color w:val="466B7A"/>
          </w:rPr>
          <w:t>Article 40.34: Functional Energy Outcome and Alternative Fulfilment Right</w:t>
        </w:r>
      </w:hyperlink>
      <w:r>
        <w:tab/>
      </w:r>
      <w:r>
        <w:rPr>
          <w:rFonts w:ascii="Arial" w:hAnsi="Arial"/>
        </w:rPr>
        <w:t>1342</w:t>
      </w:r>
    </w:p>
    <w:p>
      <w:pPr>
        <w:pStyle w:val="TOC2"/>
        <w:widowControl/>
        <w:tabs>
          <w:tab w:pos="8856" w:val="right" w:leader="dot"/>
        </w:tabs>
      </w:pPr>
      <w:hyperlink w:anchor="_NAESTMA_TOC_1673" w:history="1">
        <w:r>
          <w:rPr>
            <w:color w:val="466B7A"/>
          </w:rPr>
          <w:t>Article 40.35: No Throughput, Purchase, or Utilization Guarantee</w:t>
        </w:r>
      </w:hyperlink>
      <w:r>
        <w:tab/>
      </w:r>
      <w:r>
        <w:rPr>
          <w:rFonts w:ascii="Arial" w:hAnsi="Arial"/>
        </w:rPr>
        <w:t>1342</w:t>
      </w:r>
    </w:p>
    <w:p>
      <w:pPr>
        <w:pStyle w:val="TOC2"/>
        <w:widowControl/>
        <w:tabs>
          <w:tab w:pos="8856" w:val="right" w:leader="dot"/>
        </w:tabs>
      </w:pPr>
      <w:hyperlink w:anchor="_NAESTMA_TOC_1674" w:history="1">
        <w:r>
          <w:rPr>
            <w:color w:val="466B7A"/>
          </w:rPr>
          <w:t>Article 40.36: Domestic Reliability, Affordability, and Incremental-Cost Protection</w:t>
        </w:r>
      </w:hyperlink>
      <w:r>
        <w:tab/>
      </w:r>
      <w:r>
        <w:rPr>
          <w:rFonts w:ascii="Arial" w:hAnsi="Arial"/>
        </w:rPr>
        <w:t>1342</w:t>
      </w:r>
    </w:p>
    <w:p>
      <w:pPr>
        <w:pStyle w:val="TOC2"/>
        <w:widowControl/>
        <w:tabs>
          <w:tab w:pos="8856" w:val="right" w:leader="dot"/>
        </w:tabs>
      </w:pPr>
      <w:hyperlink w:anchor="_NAESTMA_TOC_1675" w:history="1">
        <w:r>
          <w:rPr>
            <w:color w:val="466B7A"/>
          </w:rPr>
          <w:t>Article 40.37: Effective Energy Access and Anti-Circumvention</w:t>
        </w:r>
      </w:hyperlink>
      <w:r>
        <w:tab/>
      </w:r>
      <w:r>
        <w:rPr>
          <w:rFonts w:ascii="Arial" w:hAnsi="Arial"/>
        </w:rPr>
        <w:t>1342</w:t>
      </w:r>
    </w:p>
    <w:p>
      <w:pPr>
        <w:pStyle w:val="TOC2"/>
        <w:widowControl/>
        <w:tabs>
          <w:tab w:pos="8856" w:val="right" w:leader="dot"/>
        </w:tabs>
      </w:pPr>
      <w:hyperlink w:anchor="_NAESTMA_TOC_1676" w:history="1">
        <w:r>
          <w:rPr>
            <w:color w:val="466B7A"/>
          </w:rPr>
          <w:t>Article 40.38: Environmental, Indigenous, Water, and Land-Use Safeguard</w:t>
        </w:r>
      </w:hyperlink>
      <w:r>
        <w:tab/>
      </w:r>
      <w:r>
        <w:rPr>
          <w:rFonts w:ascii="Arial" w:hAnsi="Arial"/>
        </w:rPr>
        <w:t>1343</w:t>
      </w:r>
    </w:p>
    <w:p>
      <w:pPr>
        <w:pStyle w:val="TOC2"/>
        <w:widowControl/>
        <w:tabs>
          <w:tab w:pos="8856" w:val="right" w:leader="dot"/>
        </w:tabs>
      </w:pPr>
      <w:hyperlink w:anchor="_NAESTMA_TOC_1677" w:history="1">
        <w:r>
          <w:rPr>
            <w:color w:val="466B7A"/>
          </w:rPr>
          <w:t>Article 40.39: Energy Dispute Containment and No Cross-Sector Hostage Taking</w:t>
        </w:r>
      </w:hyperlink>
      <w:r>
        <w:tab/>
      </w:r>
      <w:r>
        <w:rPr>
          <w:rFonts w:ascii="Arial" w:hAnsi="Arial"/>
        </w:rPr>
        <w:t>1343</w:t>
      </w:r>
    </w:p>
    <w:p>
      <w:pPr>
        <w:pStyle w:val="TOC2"/>
        <w:widowControl/>
        <w:tabs>
          <w:tab w:pos="8856" w:val="right" w:leader="dot"/>
        </w:tabs>
      </w:pPr>
      <w:hyperlink w:anchor="_NAESTMA_TOC_1678" w:history="1">
        <w:r>
          <w:rPr>
            <w:color w:val="466B7A"/>
          </w:rPr>
          <w:t>Article 40.40: Energy Emergency Safe Mode</w:t>
        </w:r>
      </w:hyperlink>
      <w:r>
        <w:tab/>
      </w:r>
      <w:r>
        <w:rPr>
          <w:rFonts w:ascii="Arial" w:hAnsi="Arial"/>
        </w:rPr>
        <w:t>1343</w:t>
      </w:r>
    </w:p>
    <w:p>
      <w:pPr>
        <w:pStyle w:val="TOC2"/>
        <w:widowControl/>
        <w:tabs>
          <w:tab w:pos="8856" w:val="right" w:leader="dot"/>
        </w:tabs>
      </w:pPr>
      <w:hyperlink w:anchor="_NAESTMA_TOC_1679" w:history="1">
        <w:r>
          <w:rPr>
            <w:color w:val="466B7A"/>
          </w:rPr>
          <w:t>Article 40.41: Change of Control and Critical-Infrastructure Security</w:t>
        </w:r>
      </w:hyperlink>
      <w:r>
        <w:tab/>
      </w:r>
      <w:r>
        <w:rPr>
          <w:rFonts w:ascii="Arial" w:hAnsi="Arial"/>
        </w:rPr>
        <w:t>1343</w:t>
      </w:r>
    </w:p>
    <w:p>
      <w:pPr>
        <w:pStyle w:val="TOC2"/>
        <w:widowControl/>
        <w:tabs>
          <w:tab w:pos="8856" w:val="right" w:leader="dot"/>
        </w:tabs>
      </w:pPr>
      <w:hyperlink w:anchor="_NAESTMA_TOC_1680" w:history="1">
        <w:r>
          <w:rPr>
            <w:color w:val="466B7A"/>
          </w:rPr>
          <w:t>Article 40.42: Energy Capacity Credit and No Double Counting</w:t>
        </w:r>
      </w:hyperlink>
      <w:r>
        <w:tab/>
      </w:r>
      <w:r>
        <w:rPr>
          <w:rFonts w:ascii="Arial" w:hAnsi="Arial"/>
        </w:rPr>
        <w:t>1343</w:t>
      </w:r>
    </w:p>
    <w:p>
      <w:pPr>
        <w:pStyle w:val="TOC2"/>
        <w:widowControl/>
        <w:tabs>
          <w:tab w:pos="8856" w:val="right" w:leader="dot"/>
        </w:tabs>
      </w:pPr>
      <w:hyperlink w:anchor="_NAESTMA_TOC_1681" w:history="1">
        <w:r>
          <w:rPr>
            <w:color w:val="466B7A"/>
          </w:rPr>
          <w:t>Article 40.43: North American Integrated Energy-Compute-Water Simulation Initiative</w:t>
        </w:r>
      </w:hyperlink>
      <w:r>
        <w:tab/>
      </w:r>
      <w:r>
        <w:rPr>
          <w:rFonts w:ascii="Arial" w:hAnsi="Arial"/>
        </w:rPr>
        <w:t>1344</w:t>
      </w:r>
    </w:p>
    <w:p>
      <w:pPr>
        <w:pStyle w:val="TOC2"/>
        <w:widowControl/>
        <w:tabs>
          <w:tab w:pos="8856" w:val="right" w:leader="dot"/>
        </w:tabs>
      </w:pPr>
      <w:hyperlink w:anchor="_NAESTMA_TOC_1682" w:history="1">
        <w:r>
          <w:rPr>
            <w:color w:val="466B7A"/>
          </w:rPr>
          <w:t>Article 40.44: Reference Architectures and Technology Neutrality</w:t>
        </w:r>
      </w:hyperlink>
      <w:r>
        <w:tab/>
      </w:r>
      <w:r>
        <w:rPr>
          <w:rFonts w:ascii="Arial" w:hAnsi="Arial"/>
        </w:rPr>
        <w:t>1344</w:t>
      </w:r>
    </w:p>
    <w:p>
      <w:pPr>
        <w:pStyle w:val="TOC2"/>
        <w:widowControl/>
        <w:tabs>
          <w:tab w:pos="8856" w:val="right" w:leader="dot"/>
        </w:tabs>
      </w:pPr>
      <w:hyperlink w:anchor="_NAESTMA_TOC_1683" w:history="1">
        <w:r>
          <w:rPr>
            <w:color w:val="466B7A"/>
          </w:rPr>
          <w:t>Article 40.45: Integrated Infrastructure Simulation Scope and Shared Learning</w:t>
        </w:r>
      </w:hyperlink>
      <w:r>
        <w:tab/>
      </w:r>
      <w:r>
        <w:rPr>
          <w:rFonts w:ascii="Arial" w:hAnsi="Arial"/>
        </w:rPr>
        <w:t>1344</w:t>
      </w:r>
    </w:p>
    <w:p>
      <w:pPr>
        <w:pStyle w:val="TOC2"/>
        <w:widowControl/>
        <w:tabs>
          <w:tab w:pos="8856" w:val="right" w:leader="dot"/>
        </w:tabs>
      </w:pPr>
      <w:hyperlink w:anchor="_NAESTMA_TOC_1684" w:history="1">
        <w:r>
          <w:rPr>
            <w:color w:val="466B7A"/>
          </w:rPr>
          <w:t>Article 40.46: Optional Advancement Gates for Integrated Infrastructure</w:t>
        </w:r>
      </w:hyperlink>
      <w:r>
        <w:tab/>
      </w:r>
      <w:r>
        <w:rPr>
          <w:rFonts w:ascii="Arial" w:hAnsi="Arial"/>
        </w:rPr>
        <w:t>1345</w:t>
      </w:r>
    </w:p>
    <w:p>
      <w:pPr>
        <w:pStyle w:val="TOC2"/>
        <w:widowControl/>
        <w:tabs>
          <w:tab w:pos="8856" w:val="right" w:leader="dot"/>
        </w:tabs>
      </w:pPr>
      <w:hyperlink w:anchor="_NAESTMA_TOC_1685" w:history="1">
        <w:r>
          <w:rPr>
            <w:color w:val="466B7A"/>
          </w:rPr>
          <w:t>Article 40.47: Implementation Without New Permanent Bureaucracy</w:t>
        </w:r>
      </w:hyperlink>
      <w:r>
        <w:tab/>
      </w:r>
      <w:r>
        <w:rPr>
          <w:rFonts w:ascii="Arial" w:hAnsi="Arial"/>
        </w:rPr>
        <w:t>1345</w:t>
      </w:r>
    </w:p>
    <w:p>
      <w:pPr>
        <w:pStyle w:val="TOC2"/>
        <w:widowControl/>
        <w:tabs>
          <w:tab w:pos="8856" w:val="right" w:leader="dot"/>
        </w:tabs>
      </w:pPr>
      <w:hyperlink w:anchor="_NAESTMA_TOC_1686" w:history="1">
        <w:r>
          <w:rPr>
            <w:color w:val="466B7A"/>
          </w:rPr>
          <w:t>ANNEX 40-A: Energy Optionality and Equivalency Matrix</w:t>
        </w:r>
      </w:hyperlink>
      <w:r>
        <w:tab/>
      </w:r>
      <w:r>
        <w:rPr>
          <w:rFonts w:ascii="Arial" w:hAnsi="Arial"/>
        </w:rPr>
        <w:t>1345</w:t>
      </w:r>
    </w:p>
    <w:p>
      <w:pPr>
        <w:pStyle w:val="TOC1"/>
        <w:widowControl/>
        <w:tabs>
          <w:tab w:pos="8856" w:val="right" w:leader="dot"/>
        </w:tabs>
      </w:pPr>
      <w:hyperlink w:anchor="_NAESTMA_TOC_1687" w:history="1">
        <w:r>
          <w:rPr>
            <w:color w:val="233746"/>
          </w:rPr>
          <w:t>CHAPTER 41</w:t>
        </w:r>
      </w:hyperlink>
      <w:r>
        <w:tab/>
      </w:r>
      <w:r>
        <w:rPr>
          <w:rFonts w:ascii="Arial" w:hAnsi="Arial"/>
        </w:rPr>
        <w:t>1347</w:t>
      </w:r>
    </w:p>
    <w:p>
      <w:pPr>
        <w:pStyle w:val="TOC2"/>
        <w:widowControl/>
        <w:tabs>
          <w:tab w:pos="8856" w:val="right" w:leader="dot"/>
        </w:tabs>
      </w:pPr>
      <w:hyperlink w:anchor="_NAESTMA_TOC_1688" w:history="1">
        <w:r>
          <w:rPr>
            <w:color w:val="466B7A"/>
          </w:rPr>
          <w:t>DOMESTIC SOVEREIGNTY AND REGULATORY AUTONOMY</w:t>
        </w:r>
      </w:hyperlink>
      <w:r>
        <w:tab/>
      </w:r>
      <w:r>
        <w:rPr>
          <w:rFonts w:ascii="Arial" w:hAnsi="Arial"/>
        </w:rPr>
        <w:t>1347</w:t>
      </w:r>
    </w:p>
    <w:p>
      <w:pPr>
        <w:pStyle w:val="TOC1"/>
        <w:widowControl/>
        <w:tabs>
          <w:tab w:pos="8856" w:val="right" w:leader="dot"/>
        </w:tabs>
      </w:pPr>
      <w:hyperlink w:anchor="_NAESTMA_TOC_1689" w:history="1">
        <w:r>
          <w:rPr>
            <w:color w:val="233746"/>
          </w:rPr>
          <w:t>CHAPTER 42</w:t>
        </w:r>
      </w:hyperlink>
      <w:r>
        <w:tab/>
      </w:r>
      <w:r>
        <w:rPr>
          <w:rFonts w:ascii="Arial" w:hAnsi="Arial"/>
        </w:rPr>
        <w:t>1350</w:t>
      </w:r>
    </w:p>
    <w:p>
      <w:pPr>
        <w:pStyle w:val="TOC2"/>
        <w:widowControl/>
        <w:tabs>
          <w:tab w:pos="8856" w:val="right" w:leader="dot"/>
        </w:tabs>
      </w:pPr>
      <w:hyperlink w:anchor="_NAESTMA_TOC_1690" w:history="1">
        <w:r>
          <w:rPr>
            <w:color w:val="466B7A"/>
          </w:rPr>
          <w:t>SOFTWOOD LUMBER STABILITY AND FORESTRY TRADE</w:t>
        </w:r>
      </w:hyperlink>
      <w:r>
        <w:tab/>
      </w:r>
      <w:r>
        <w:rPr>
          <w:rFonts w:ascii="Arial" w:hAnsi="Arial"/>
        </w:rPr>
        <w:t>1350</w:t>
      </w:r>
    </w:p>
    <w:p>
      <w:pPr>
        <w:pStyle w:val="TOC2"/>
        <w:widowControl/>
        <w:tabs>
          <w:tab w:pos="8856" w:val="right" w:leader="dot"/>
        </w:tabs>
      </w:pPr>
      <w:hyperlink w:anchor="_NAESTMA_TOC_1691" w:history="1">
        <w:r>
          <w:rPr>
            <w:color w:val="466B7A"/>
          </w:rPr>
          <w:t>Article 42.X: Limited Bridge to Chapter 35</w:t>
        </w:r>
      </w:hyperlink>
      <w:r>
        <w:tab/>
      </w:r>
      <w:r>
        <w:rPr>
          <w:rFonts w:ascii="Arial" w:hAnsi="Arial"/>
        </w:rPr>
        <w:t>1354</w:t>
      </w:r>
    </w:p>
    <w:p>
      <w:pPr>
        <w:pStyle w:val="TOC2"/>
        <w:widowControl/>
        <w:tabs>
          <w:tab w:pos="8856" w:val="right" w:leader="dot"/>
        </w:tabs>
      </w:pPr>
      <w:hyperlink w:anchor="_NAESTMA_TOC_1692" w:history="1">
        <w:r>
          <w:rPr>
            <w:color w:val="466B7A"/>
          </w:rPr>
          <w:t>Article 42.19A: Strategic Minerals-for-Forestry Normalization Framework</w:t>
        </w:r>
      </w:hyperlink>
      <w:r>
        <w:tab/>
      </w:r>
      <w:r>
        <w:rPr>
          <w:rFonts w:ascii="Arial" w:hAnsi="Arial"/>
        </w:rPr>
        <w:t>1354</w:t>
      </w:r>
    </w:p>
    <w:p>
      <w:pPr>
        <w:pStyle w:val="TOC2"/>
        <w:widowControl/>
        <w:tabs>
          <w:tab w:pos="8856" w:val="right" w:leader="dot"/>
        </w:tabs>
      </w:pPr>
      <w:hyperlink w:anchor="_NAESTMA_TOC_1693" w:history="1">
        <w:r>
          <w:rPr>
            <w:color w:val="466B7A"/>
          </w:rPr>
          <w:t>Article 42.20A: Staged Forestry Normalization</w:t>
        </w:r>
      </w:hyperlink>
      <w:r>
        <w:tab/>
      </w:r>
      <w:r>
        <w:rPr>
          <w:rFonts w:ascii="Arial" w:hAnsi="Arial"/>
        </w:rPr>
        <w:t>1354</w:t>
      </w:r>
    </w:p>
    <w:p>
      <w:pPr>
        <w:pStyle w:val="TOC2"/>
        <w:widowControl/>
        <w:tabs>
          <w:tab w:pos="8856" w:val="right" w:leader="dot"/>
        </w:tabs>
      </w:pPr>
      <w:hyperlink w:anchor="_NAESTMA_TOC_1694" w:history="1">
        <w:r>
          <w:rPr>
            <w:color w:val="466B7A"/>
          </w:rPr>
          <w:t>Article 42.21: Institutional Performance Rather Than Compulsory Tonnage</w:t>
        </w:r>
      </w:hyperlink>
      <w:r>
        <w:tab/>
      </w:r>
      <w:r>
        <w:rPr>
          <w:rFonts w:ascii="Arial" w:hAnsi="Arial"/>
        </w:rPr>
        <w:t>1354</w:t>
      </w:r>
    </w:p>
    <w:p>
      <w:pPr>
        <w:pStyle w:val="TOC2"/>
        <w:widowControl/>
        <w:tabs>
          <w:tab w:pos="8856" w:val="right" w:leader="dot"/>
        </w:tabs>
      </w:pPr>
      <w:hyperlink w:anchor="_NAESTMA_TOC_1695" w:history="1">
        <w:r>
          <w:rPr>
            <w:color w:val="466B7A"/>
          </w:rPr>
          <w:t>Article 42.22: Proportional Linkage and No Essential-Supply Cutoff</w:t>
        </w:r>
      </w:hyperlink>
      <w:r>
        <w:tab/>
      </w:r>
      <w:r>
        <w:rPr>
          <w:rFonts w:ascii="Arial" w:hAnsi="Arial"/>
        </w:rPr>
        <w:t>1355</w:t>
      </w:r>
    </w:p>
    <w:p>
      <w:pPr>
        <w:pStyle w:val="TOC2"/>
        <w:widowControl/>
        <w:tabs>
          <w:tab w:pos="8856" w:val="right" w:leader="dot"/>
        </w:tabs>
      </w:pPr>
      <w:hyperlink w:anchor="_NAESTMA_TOC_1696" w:history="1">
        <w:r>
          <w:rPr>
            <w:color w:val="466B7A"/>
          </w:rPr>
          <w:t>Article 42.23: Joint Forestry and Strategic Materials Review</w:t>
        </w:r>
      </w:hyperlink>
      <w:r>
        <w:tab/>
      </w:r>
      <w:r>
        <w:rPr>
          <w:rFonts w:ascii="Arial" w:hAnsi="Arial"/>
        </w:rPr>
        <w:t>1355</w:t>
      </w:r>
    </w:p>
    <w:p>
      <w:pPr>
        <w:pStyle w:val="TOC2"/>
        <w:widowControl/>
        <w:tabs>
          <w:tab w:pos="8856" w:val="right" w:leader="dot"/>
        </w:tabs>
      </w:pPr>
      <w:hyperlink w:anchor="_NAESTMA_TOC_1697" w:history="1">
        <w:r>
          <w:rPr>
            <w:color w:val="466B7A"/>
          </w:rPr>
          <w:t>Article 42.23A: Strategic Materials-for-Forestry Normalization Ladder</w:t>
        </w:r>
      </w:hyperlink>
      <w:r>
        <w:tab/>
      </w:r>
      <w:r>
        <w:rPr>
          <w:rFonts w:ascii="Arial" w:hAnsi="Arial"/>
        </w:rPr>
        <w:t>1355</w:t>
      </w:r>
    </w:p>
    <w:p>
      <w:pPr>
        <w:pStyle w:val="TOC2"/>
        <w:widowControl/>
        <w:tabs>
          <w:tab w:pos="8856" w:val="right" w:leader="dot"/>
        </w:tabs>
      </w:pPr>
      <w:hyperlink w:anchor="_NAESTMA_TOC_1698" w:history="1">
        <w:r>
          <w:rPr>
            <w:color w:val="466B7A"/>
          </w:rPr>
          <w:t>Article 42.23B: No Double Payment, No Commodity Contagion, and Value Preservation</w:t>
        </w:r>
      </w:hyperlink>
      <w:r>
        <w:tab/>
      </w:r>
      <w:r>
        <w:rPr>
          <w:rFonts w:ascii="Arial" w:hAnsi="Arial"/>
        </w:rPr>
        <w:t>1356</w:t>
      </w:r>
    </w:p>
    <w:p>
      <w:pPr>
        <w:pStyle w:val="TOC1"/>
        <w:widowControl/>
        <w:tabs>
          <w:tab w:pos="8856" w:val="right" w:leader="dot"/>
        </w:tabs>
      </w:pPr>
      <w:hyperlink w:anchor="_NAESTMA_TOC_1699" w:history="1">
        <w:r>
          <w:rPr>
            <w:color w:val="233746"/>
          </w:rPr>
          <w:t>CHAPTER 43</w:t>
        </w:r>
      </w:hyperlink>
      <w:r>
        <w:tab/>
      </w:r>
      <w:r>
        <w:rPr>
          <w:rFonts w:ascii="Arial" w:hAnsi="Arial"/>
        </w:rPr>
        <w:t>1358</w:t>
      </w:r>
    </w:p>
    <w:p>
      <w:pPr>
        <w:pStyle w:val="TOC2"/>
        <w:widowControl/>
        <w:tabs>
          <w:tab w:pos="8856" w:val="right" w:leader="dot"/>
        </w:tabs>
      </w:pPr>
      <w:hyperlink w:anchor="_NAESTMA_TOC_1700" w:history="1">
        <w:r>
          <w:rPr>
            <w:color w:val="466B7A"/>
          </w:rPr>
          <w:t>AGRICULTURAL MARKET ACCESS, COMPETITIVE NEUTRALITY, AND INNOVATION</w:t>
        </w:r>
      </w:hyperlink>
      <w:r>
        <w:tab/>
      </w:r>
      <w:r>
        <w:rPr>
          <w:rFonts w:ascii="Arial" w:hAnsi="Arial"/>
        </w:rPr>
        <w:t>1358</w:t>
      </w:r>
    </w:p>
    <w:p>
      <w:pPr>
        <w:pStyle w:val="TOC2"/>
        <w:widowControl/>
        <w:tabs>
          <w:tab w:pos="8856" w:val="right" w:leader="dot"/>
        </w:tabs>
      </w:pPr>
      <w:hyperlink w:anchor="_NAESTMA_TOC_1701" w:history="1">
        <w:r>
          <w:rPr>
            <w:color w:val="466B7A"/>
          </w:rPr>
          <w:t>16. Priority Cheese Schedule.</w:t>
        </w:r>
      </w:hyperlink>
      <w:r>
        <w:tab/>
      </w:r>
      <w:r>
        <w:rPr>
          <w:rFonts w:ascii="Arial" w:hAnsi="Arial"/>
        </w:rPr>
        <w:t>1365</w:t>
      </w:r>
    </w:p>
    <w:p>
      <w:pPr>
        <w:pStyle w:val="TOC2"/>
        <w:widowControl/>
        <w:tabs>
          <w:tab w:pos="8856" w:val="right" w:leader="dot"/>
        </w:tabs>
      </w:pPr>
      <w:hyperlink w:anchor="_NAESTMA_TOC_1702" w:history="1">
        <w:r>
          <w:rPr>
            <w:color w:val="466B7A"/>
          </w:rPr>
          <w:t>17. Conversion Transparency.</w:t>
        </w:r>
      </w:hyperlink>
      <w:r>
        <w:tab/>
      </w:r>
      <w:r>
        <w:rPr>
          <w:rFonts w:ascii="Arial" w:hAnsi="Arial"/>
        </w:rPr>
        <w:t>1365</w:t>
      </w:r>
    </w:p>
    <w:p>
      <w:pPr>
        <w:pStyle w:val="TOC2"/>
        <w:widowControl/>
        <w:tabs>
          <w:tab w:pos="8856" w:val="right" w:leader="dot"/>
        </w:tabs>
      </w:pPr>
      <w:hyperlink w:anchor="_NAESTMA_TOC_1703" w:history="1">
        <w:r>
          <w:rPr>
            <w:color w:val="466B7A"/>
          </w:rPr>
          <w:t>18. Priority Cheese Utilization Reporting.</w:t>
        </w:r>
      </w:hyperlink>
      <w:r>
        <w:tab/>
      </w:r>
      <w:r>
        <w:rPr>
          <w:rFonts w:ascii="Arial" w:hAnsi="Arial"/>
        </w:rPr>
        <w:t>1365</w:t>
      </w:r>
    </w:p>
    <w:p>
      <w:pPr>
        <w:pStyle w:val="TOC2"/>
        <w:widowControl/>
        <w:tabs>
          <w:tab w:pos="8856" w:val="right" w:leader="dot"/>
        </w:tabs>
      </w:pPr>
      <w:hyperlink w:anchor="_NAESTMA_TOC_1704" w:history="1">
        <w:r>
          <w:rPr>
            <w:color w:val="466B7A"/>
          </w:rPr>
          <w:t>19. Classification and Anti-Substitution Rule.</w:t>
        </w:r>
      </w:hyperlink>
      <w:r>
        <w:tab/>
      </w:r>
      <w:r>
        <w:rPr>
          <w:rFonts w:ascii="Arial" w:hAnsi="Arial"/>
        </w:rPr>
        <w:t>1365</w:t>
      </w:r>
    </w:p>
    <w:p>
      <w:pPr>
        <w:pStyle w:val="TOC2"/>
        <w:widowControl/>
        <w:tabs>
          <w:tab w:pos="8856" w:val="right" w:leader="dot"/>
        </w:tabs>
      </w:pPr>
      <w:hyperlink w:anchor="_NAESTMA_TOC_1705" w:history="1">
        <w:r>
          <w:rPr>
            <w:color w:val="466B7A"/>
          </w:rPr>
          <w:t>20. Six-Month General-Floor Transition.</w:t>
        </w:r>
      </w:hyperlink>
      <w:r>
        <w:tab/>
      </w:r>
      <w:r>
        <w:rPr>
          <w:rFonts w:ascii="Arial" w:hAnsi="Arial"/>
        </w:rPr>
        <w:t>1365</w:t>
      </w:r>
    </w:p>
    <w:p>
      <w:pPr>
        <w:pStyle w:val="TOC2"/>
        <w:widowControl/>
        <w:tabs>
          <w:tab w:pos="8856" w:val="right" w:leader="dot"/>
        </w:tabs>
      </w:pPr>
      <w:hyperlink w:anchor="_NAESTMA_TOC_1706" w:history="1">
        <w:r>
          <w:rPr>
            <w:color w:val="466B7A"/>
          </w:rPr>
          <w:t>21. Optional Enhanced Dairy-Forestry Exchange Schedule.</w:t>
        </w:r>
      </w:hyperlink>
      <w:r>
        <w:tab/>
      </w:r>
      <w:r>
        <w:rPr>
          <w:rFonts w:ascii="Arial" w:hAnsi="Arial"/>
        </w:rPr>
        <w:t>1365</w:t>
      </w:r>
    </w:p>
    <w:p>
      <w:pPr>
        <w:pStyle w:val="TOC2"/>
        <w:widowControl/>
        <w:tabs>
          <w:tab w:pos="8856" w:val="right" w:leader="dot"/>
        </w:tabs>
      </w:pPr>
      <w:hyperlink w:anchor="_NAESTMA_TOC_1707" w:history="1">
        <w:r>
          <w:rPr>
            <w:color w:val="466B7A"/>
          </w:rPr>
          <w:t>22. Suggested Initial Lumber Calibration.</w:t>
        </w:r>
      </w:hyperlink>
      <w:r>
        <w:tab/>
      </w:r>
      <w:r>
        <w:rPr>
          <w:rFonts w:ascii="Arial" w:hAnsi="Arial"/>
        </w:rPr>
        <w:t>1365</w:t>
      </w:r>
    </w:p>
    <w:p>
      <w:pPr>
        <w:pStyle w:val="TOC2"/>
        <w:widowControl/>
        <w:tabs>
          <w:tab w:pos="8856" w:val="right" w:leader="dot"/>
        </w:tabs>
      </w:pPr>
      <w:hyperlink w:anchor="_NAESTMA_TOC_1708" w:history="1">
        <w:r>
          <w:rPr>
            <w:color w:val="466B7A"/>
          </w:rPr>
          <w:t>23. Negotiating Equivalence Corridor.</w:t>
        </w:r>
      </w:hyperlink>
      <w:r>
        <w:tab/>
      </w:r>
      <w:r>
        <w:rPr>
          <w:rFonts w:ascii="Arial" w:hAnsi="Arial"/>
        </w:rPr>
        <w:t>1366</w:t>
      </w:r>
    </w:p>
    <w:p>
      <w:pPr>
        <w:pStyle w:val="TOC2"/>
        <w:widowControl/>
        <w:tabs>
          <w:tab w:pos="8856" w:val="right" w:leader="dot"/>
        </w:tabs>
      </w:pPr>
      <w:hyperlink w:anchor="_NAESTMA_TOC_1709" w:history="1">
        <w:r>
          <w:rPr>
            <w:color w:val="466B7A"/>
          </w:rPr>
          <w:t>24. Aggregate Covered Border Burden.</w:t>
        </w:r>
      </w:hyperlink>
      <w:r>
        <w:tab/>
      </w:r>
      <w:r>
        <w:rPr>
          <w:rFonts w:ascii="Arial" w:hAnsi="Arial"/>
        </w:rPr>
        <w:t>1366</w:t>
      </w:r>
    </w:p>
    <w:p>
      <w:pPr>
        <w:pStyle w:val="TOC2"/>
        <w:widowControl/>
        <w:tabs>
          <w:tab w:pos="8856" w:val="right" w:leader="dot"/>
        </w:tabs>
      </w:pPr>
      <w:hyperlink w:anchor="_NAESTMA_TOC_1710" w:history="1">
        <w:r>
          <w:rPr>
            <w:color w:val="466B7A"/>
          </w:rPr>
          <w:t>25. Activation and Performance Record.</w:t>
        </w:r>
      </w:hyperlink>
      <w:r>
        <w:tab/>
      </w:r>
      <w:r>
        <w:rPr>
          <w:rFonts w:ascii="Arial" w:hAnsi="Arial"/>
        </w:rPr>
        <w:t>1366</w:t>
      </w:r>
    </w:p>
    <w:p>
      <w:pPr>
        <w:pStyle w:val="TOC2"/>
        <w:widowControl/>
        <w:tabs>
          <w:tab w:pos="8856" w:val="right" w:leader="dot"/>
        </w:tabs>
      </w:pPr>
      <w:hyperlink w:anchor="_NAESTMA_TOC_1711" w:history="1">
        <w:r>
          <w:rPr>
            <w:color w:val="466B7A"/>
          </w:rPr>
          <w:t>Article 43.2L.1: Dairy Access Portability and Active-Use Reallocation</w:t>
        </w:r>
      </w:hyperlink>
      <w:r>
        <w:tab/>
      </w:r>
      <w:r>
        <w:rPr>
          <w:rFonts w:ascii="Arial" w:hAnsi="Arial"/>
        </w:rPr>
        <w:t>1366</w:t>
      </w:r>
    </w:p>
    <w:p>
      <w:pPr>
        <w:pStyle w:val="TOC2"/>
        <w:widowControl/>
        <w:tabs>
          <w:tab w:pos="8856" w:val="right" w:leader="dot"/>
        </w:tabs>
      </w:pPr>
      <w:hyperlink w:anchor="_NAESTMA_TOC_1712" w:history="1">
        <w:r>
          <w:rPr>
            <w:color w:val="466B7A"/>
          </w:rPr>
          <w:t>Article 43.2L.2: Functional Dairy Access Pools</w:t>
        </w:r>
      </w:hyperlink>
      <w:r>
        <w:tab/>
      </w:r>
      <w:r>
        <w:rPr>
          <w:rFonts w:ascii="Arial" w:hAnsi="Arial"/>
        </w:rPr>
        <w:t>1366</w:t>
      </w:r>
    </w:p>
    <w:p>
      <w:pPr>
        <w:pStyle w:val="TOC2"/>
        <w:widowControl/>
        <w:tabs>
          <w:tab w:pos="8856" w:val="right" w:leader="dot"/>
        </w:tabs>
      </w:pPr>
      <w:hyperlink w:anchor="_NAESTMA_TOC_1713" w:history="1">
        <w:r>
          <w:rPr>
            <w:color w:val="466B7A"/>
          </w:rPr>
          <w:t>Article 43.2L.3: Dairy Exporter Pre-Clearance and New-Entrant Gateway</w:t>
        </w:r>
      </w:hyperlink>
      <w:r>
        <w:tab/>
      </w:r>
      <w:r>
        <w:rPr>
          <w:rFonts w:ascii="Arial" w:hAnsi="Arial"/>
        </w:rPr>
        <w:t>1367</w:t>
      </w:r>
    </w:p>
    <w:p>
      <w:pPr>
        <w:pStyle w:val="TOC2"/>
        <w:widowControl/>
        <w:tabs>
          <w:tab w:pos="8856" w:val="right" w:leader="dot"/>
        </w:tabs>
      </w:pPr>
      <w:hyperlink w:anchor="_NAESTMA_TOC_1714" w:history="1">
        <w:r>
          <w:rPr>
            <w:color w:val="466B7A"/>
          </w:rPr>
          <w:t>Article 43.2W.1: Beverage Listing Transparency and Special-Order Access</w:t>
        </w:r>
      </w:hyperlink>
      <w:r>
        <w:tab/>
      </w:r>
      <w:r>
        <w:rPr>
          <w:rFonts w:ascii="Arial" w:hAnsi="Arial"/>
        </w:rPr>
        <w:t>1379</w:t>
      </w:r>
    </w:p>
    <w:p>
      <w:pPr>
        <w:pStyle w:val="TOC2"/>
        <w:widowControl/>
        <w:tabs>
          <w:tab w:pos="8856" w:val="right" w:leader="dot"/>
        </w:tabs>
      </w:pPr>
      <w:hyperlink w:anchor="_NAESTMA_TOC_1715" w:history="1">
        <w:r>
          <w:rPr>
            <w:color w:val="466B7A"/>
          </w:rPr>
          <w:t>Article 43.2W.2: North American Small Beverage Producer Gateway</w:t>
        </w:r>
      </w:hyperlink>
      <w:r>
        <w:tab/>
      </w:r>
      <w:r>
        <w:rPr>
          <w:rFonts w:ascii="Arial" w:hAnsi="Arial"/>
        </w:rPr>
        <w:t>1380</w:t>
      </w:r>
    </w:p>
    <w:p>
      <w:pPr>
        <w:pStyle w:val="TOC2"/>
        <w:widowControl/>
        <w:tabs>
          <w:tab w:pos="8856" w:val="right" w:leader="dot"/>
        </w:tabs>
      </w:pPr>
      <w:hyperlink w:anchor="_NAESTMA_TOC_1716" w:history="1">
        <w:r>
          <w:rPr>
            <w:color w:val="466B7A"/>
          </w:rPr>
          <w:t>Article 43.2W.3: North American Beverage Inputs and Packaging Cooperation</w:t>
        </w:r>
      </w:hyperlink>
      <w:r>
        <w:tab/>
      </w:r>
      <w:r>
        <w:rPr>
          <w:rFonts w:ascii="Arial" w:hAnsi="Arial"/>
        </w:rPr>
        <w:t>1380</w:t>
      </w:r>
    </w:p>
    <w:p>
      <w:pPr>
        <w:pStyle w:val="TOC2"/>
        <w:widowControl/>
        <w:tabs>
          <w:tab w:pos="8856" w:val="right" w:leader="dot"/>
        </w:tabs>
      </w:pPr>
      <w:hyperlink w:anchor="_NAESTMA_TOC_1717" w:history="1">
        <w:r>
          <w:rPr>
            <w:color w:val="466B7A"/>
          </w:rPr>
          <w:t>ANNEX 43-G: AGRICULTURAL PRODUCTION SECURITY IMPLEMENTATION SCHEDULE</w:t>
        </w:r>
      </w:hyperlink>
      <w:r>
        <w:tab/>
      </w:r>
      <w:r>
        <w:rPr>
          <w:rFonts w:ascii="Arial" w:hAnsi="Arial"/>
        </w:rPr>
        <w:t>1390</w:t>
      </w:r>
    </w:p>
    <w:p>
      <w:pPr>
        <w:pStyle w:val="TOC2"/>
        <w:widowControl/>
        <w:tabs>
          <w:tab w:pos="8856" w:val="right" w:leader="dot"/>
        </w:tabs>
      </w:pPr>
      <w:hyperlink w:anchor="_NAESTMA_TOC_1718" w:history="1">
        <w:r>
          <w:rPr>
            <w:color w:val="466B7A"/>
          </w:rPr>
          <w:t>ANNEX 43-F: BEVERAGE ALCOHOL MARKET-ACCESS LANDING AND IMPLEMENTATION RAMP</w:t>
        </w:r>
      </w:hyperlink>
      <w:r>
        <w:tab/>
      </w:r>
      <w:r>
        <w:rPr>
          <w:rFonts w:ascii="Arial" w:hAnsi="Arial"/>
        </w:rPr>
        <w:t>1391</w:t>
      </w:r>
    </w:p>
    <w:p>
      <w:pPr>
        <w:pStyle w:val="TOC1"/>
        <w:widowControl/>
        <w:tabs>
          <w:tab w:pos="8856" w:val="right" w:leader="dot"/>
        </w:tabs>
      </w:pPr>
      <w:hyperlink w:anchor="_NAESTMA_TOC_1719" w:history="1">
        <w:r>
          <w:rPr>
            <w:color w:val="233746"/>
          </w:rPr>
          <w:t>CHAPTER 44</w:t>
        </w:r>
      </w:hyperlink>
      <w:r>
        <w:tab/>
      </w:r>
      <w:r>
        <w:rPr>
          <w:rFonts w:ascii="Arial" w:hAnsi="Arial"/>
        </w:rPr>
        <w:t>1392</w:t>
      </w:r>
    </w:p>
    <w:p>
      <w:pPr>
        <w:pStyle w:val="TOC2"/>
        <w:widowControl/>
        <w:tabs>
          <w:tab w:pos="8856" w:val="right" w:leader="dot"/>
        </w:tabs>
      </w:pPr>
      <w:hyperlink w:anchor="_NAESTMA_TOC_1720" w:history="1">
        <w:r>
          <w:rPr>
            <w:color w:val="466B7A"/>
          </w:rPr>
          <w:t>TRADE FACILITATION, TRUSTED MOBILITY, AND CO-INVESTMENT</w:t>
        </w:r>
      </w:hyperlink>
      <w:r>
        <w:tab/>
      </w:r>
      <w:r>
        <w:rPr>
          <w:rFonts w:ascii="Arial" w:hAnsi="Arial"/>
        </w:rPr>
        <w:t>1392</w:t>
      </w:r>
    </w:p>
    <w:p>
      <w:pPr>
        <w:pStyle w:val="TOC1"/>
        <w:widowControl/>
        <w:tabs>
          <w:tab w:pos="8856" w:val="right" w:leader="dot"/>
        </w:tabs>
      </w:pPr>
      <w:hyperlink w:anchor="_NAESTMA_TOC_1721" w:history="1">
        <w:r>
          <w:rPr>
            <w:color w:val="233746"/>
          </w:rPr>
          <w:t>CHAPTER 45</w:t>
        </w:r>
      </w:hyperlink>
      <w:r>
        <w:tab/>
      </w:r>
      <w:r>
        <w:rPr>
          <w:rFonts w:ascii="Arial" w:hAnsi="Arial"/>
        </w:rPr>
        <w:t>1394</w:t>
      </w:r>
    </w:p>
    <w:p>
      <w:pPr>
        <w:pStyle w:val="TOC2"/>
        <w:widowControl/>
        <w:tabs>
          <w:tab w:pos="8856" w:val="right" w:leader="dot"/>
        </w:tabs>
      </w:pPr>
      <w:hyperlink w:anchor="_NAESTMA_TOC_1722" w:history="1">
        <w:r>
          <w:rPr>
            <w:color w:val="466B7A"/>
          </w:rPr>
          <w:t>INSTITUTIONAL DIVERSITY AND MEXICAN ACCOMMODATION</w:t>
        </w:r>
      </w:hyperlink>
      <w:r>
        <w:tab/>
      </w:r>
      <w:r>
        <w:rPr>
          <w:rFonts w:ascii="Arial" w:hAnsi="Arial"/>
        </w:rPr>
        <w:t>1394</w:t>
      </w:r>
    </w:p>
    <w:p>
      <w:pPr>
        <w:pStyle w:val="TOC1"/>
        <w:widowControl/>
        <w:tabs>
          <w:tab w:pos="8856" w:val="right" w:leader="dot"/>
        </w:tabs>
      </w:pPr>
      <w:hyperlink w:anchor="_NAESTMA_TOC_1723" w:history="1">
        <w:r>
          <w:rPr>
            <w:color w:val="233746"/>
          </w:rPr>
          <w:t>CHAPTER 46</w:t>
        </w:r>
      </w:hyperlink>
      <w:r>
        <w:tab/>
      </w:r>
      <w:r>
        <w:rPr>
          <w:rFonts w:ascii="Arial" w:hAnsi="Arial"/>
        </w:rPr>
        <w:t>1397</w:t>
      </w:r>
    </w:p>
    <w:p>
      <w:pPr>
        <w:pStyle w:val="TOC2"/>
        <w:widowControl/>
        <w:tabs>
          <w:tab w:pos="8856" w:val="right" w:leader="dot"/>
        </w:tabs>
      </w:pPr>
      <w:hyperlink w:anchor="_NAESTMA_TOC_1724" w:history="1">
        <w:r>
          <w:rPr>
            <w:color w:val="466B7A"/>
          </w:rPr>
          <w:t>COTHROM BALANCED VERIFICATION AND EVIDENTIARY ARCHITECTURE</w:t>
        </w:r>
      </w:hyperlink>
      <w:r>
        <w:tab/>
      </w:r>
      <w:r>
        <w:rPr>
          <w:rFonts w:ascii="Arial" w:hAnsi="Arial"/>
        </w:rPr>
        <w:t>1397</w:t>
      </w:r>
    </w:p>
    <w:p>
      <w:pPr>
        <w:pStyle w:val="TOC1"/>
        <w:widowControl/>
        <w:tabs>
          <w:tab w:pos="8856" w:val="right" w:leader="dot"/>
        </w:tabs>
      </w:pPr>
      <w:hyperlink w:anchor="_NAESTMA_TOC_1725" w:history="1">
        <w:r>
          <w:rPr>
            <w:color w:val="233746"/>
          </w:rPr>
          <w:t>Article 46.12: Vacancy-Proof Institutional Continuity</w:t>
        </w:r>
      </w:hyperlink>
      <w:r>
        <w:tab/>
      </w:r>
      <w:r>
        <w:rPr>
          <w:rFonts w:ascii="Arial" w:hAnsi="Arial"/>
        </w:rPr>
        <w:t>1399</w:t>
      </w:r>
    </w:p>
    <w:p>
      <w:pPr>
        <w:pStyle w:val="TOC1"/>
        <w:widowControl/>
        <w:tabs>
          <w:tab w:pos="8856" w:val="right" w:leader="dot"/>
        </w:tabs>
      </w:pPr>
      <w:hyperlink w:anchor="_NAESTMA_TOC_1726" w:history="1">
        <w:r>
          <w:rPr>
            <w:color w:val="233746"/>
          </w:rPr>
          <w:t>Article 46.13: Quorum, Boycott, and Consensus Anti-Hostage Rules</w:t>
        </w:r>
      </w:hyperlink>
      <w:r>
        <w:tab/>
      </w:r>
      <w:r>
        <w:rPr>
          <w:rFonts w:ascii="Arial" w:hAnsi="Arial"/>
        </w:rPr>
        <w:t>1399</w:t>
      </w:r>
    </w:p>
    <w:p>
      <w:pPr>
        <w:pStyle w:val="TOC1"/>
        <w:widowControl/>
        <w:tabs>
          <w:tab w:pos="8856" w:val="right" w:leader="dot"/>
        </w:tabs>
      </w:pPr>
      <w:hyperlink w:anchor="_NAESTMA_TOC_1727" w:history="1">
        <w:r>
          <w:rPr>
            <w:color w:val="233746"/>
          </w:rPr>
          <w:t>Article 46.14: Data Continuity, Protected Access, and Adverse Inference</w:t>
        </w:r>
      </w:hyperlink>
      <w:r>
        <w:tab/>
      </w:r>
      <w:r>
        <w:rPr>
          <w:rFonts w:ascii="Arial" w:hAnsi="Arial"/>
        </w:rPr>
        <w:t>1400</w:t>
      </w:r>
    </w:p>
    <w:p>
      <w:pPr>
        <w:pStyle w:val="TOC1"/>
        <w:widowControl/>
        <w:tabs>
          <w:tab w:pos="8856" w:val="right" w:leader="dot"/>
        </w:tabs>
      </w:pPr>
      <w:hyperlink w:anchor="_NAESTMA_TOC_1728" w:history="1">
        <w:r>
          <w:rPr>
            <w:color w:val="233746"/>
          </w:rPr>
          <w:t>Article 46.15: Evidentiary Proportionality and Anti-Landfill Rule</w:t>
        </w:r>
      </w:hyperlink>
      <w:r>
        <w:tab/>
      </w:r>
      <w:r>
        <w:rPr>
          <w:rFonts w:ascii="Arial" w:hAnsi="Arial"/>
        </w:rPr>
        <w:t>1400</w:t>
      </w:r>
    </w:p>
    <w:p>
      <w:pPr>
        <w:pStyle w:val="TOC1"/>
        <w:widowControl/>
        <w:tabs>
          <w:tab w:pos="8856" w:val="right" w:leader="dot"/>
        </w:tabs>
      </w:pPr>
      <w:hyperlink w:anchor="_NAESTMA_TOC_1729" w:history="1">
        <w:r>
          <w:rPr>
            <w:color w:val="233746"/>
          </w:rPr>
          <w:t>Article 46.16: Successor Measure and Anti-Whack-a-Mole Jurisdiction</w:t>
        </w:r>
      </w:hyperlink>
      <w:r>
        <w:tab/>
      </w:r>
      <w:r>
        <w:rPr>
          <w:rFonts w:ascii="Arial" w:hAnsi="Arial"/>
        </w:rPr>
        <w:t>1400</w:t>
      </w:r>
    </w:p>
    <w:p>
      <w:pPr>
        <w:pStyle w:val="TOC1"/>
        <w:widowControl/>
        <w:tabs>
          <w:tab w:pos="8856" w:val="right" w:leader="dot"/>
        </w:tabs>
      </w:pPr>
      <w:hyperlink w:anchor="_NAESTMA_TOC_1730" w:history="1">
        <w:r>
          <w:rPr>
            <w:color w:val="233746"/>
          </w:rPr>
          <w:t>Article 46.17: Administrative Pattern and Cumulative Burden Review</w:t>
        </w:r>
      </w:hyperlink>
      <w:r>
        <w:tab/>
      </w:r>
      <w:r>
        <w:rPr>
          <w:rFonts w:ascii="Arial" w:hAnsi="Arial"/>
        </w:rPr>
        <w:t>1400</w:t>
      </w:r>
    </w:p>
    <w:p>
      <w:pPr>
        <w:pStyle w:val="TOC1"/>
        <w:widowControl/>
        <w:tabs>
          <w:tab w:pos="8856" w:val="right" w:leader="dot"/>
        </w:tabs>
      </w:pPr>
      <w:hyperlink w:anchor="_NAESTMA_TOC_1731" w:history="1">
        <w:r>
          <w:rPr>
            <w:color w:val="233746"/>
          </w:rPr>
          <w:t>Article 46.18: Procedural Denial-of-Service and Case Consolidation</w:t>
        </w:r>
      </w:hyperlink>
      <w:r>
        <w:tab/>
      </w:r>
      <w:r>
        <w:rPr>
          <w:rFonts w:ascii="Arial" w:hAnsi="Arial"/>
        </w:rPr>
        <w:t>1401</w:t>
      </w:r>
    </w:p>
    <w:p>
      <w:pPr>
        <w:pStyle w:val="TOC1"/>
        <w:widowControl/>
        <w:tabs>
          <w:tab w:pos="8856" w:val="right" w:leader="dot"/>
        </w:tabs>
      </w:pPr>
      <w:hyperlink w:anchor="_NAESTMA_TOC_1732" w:history="1">
        <w:r>
          <w:rPr>
            <w:color w:val="233746"/>
          </w:rPr>
          <w:t>Article 46.19: Automatic Post-Ruling Compliance Supervision</w:t>
        </w:r>
      </w:hyperlink>
      <w:r>
        <w:tab/>
      </w:r>
      <w:r>
        <w:rPr>
          <w:rFonts w:ascii="Arial" w:hAnsi="Arial"/>
        </w:rPr>
        <w:t>1401</w:t>
      </w:r>
    </w:p>
    <w:p>
      <w:pPr>
        <w:pStyle w:val="TOC1"/>
        <w:widowControl/>
        <w:tabs>
          <w:tab w:pos="8856" w:val="right" w:leader="dot"/>
        </w:tabs>
      </w:pPr>
      <w:hyperlink w:anchor="_NAESTMA_TOC_1733" w:history="1">
        <w:r>
          <w:rPr>
            <w:color w:val="233746"/>
          </w:rPr>
          <w:t>CHAPTER 47</w:t>
        </w:r>
      </w:hyperlink>
      <w:r>
        <w:tab/>
      </w:r>
      <w:r>
        <w:rPr>
          <w:rFonts w:ascii="Arial" w:hAnsi="Arial"/>
        </w:rPr>
        <w:t>1402</w:t>
      </w:r>
    </w:p>
    <w:p>
      <w:pPr>
        <w:pStyle w:val="TOC2"/>
        <w:widowControl/>
        <w:tabs>
          <w:tab w:pos="8856" w:val="right" w:leader="dot"/>
        </w:tabs>
      </w:pPr>
      <w:hyperlink w:anchor="_NAESTMA_TOC_1734" w:history="1">
        <w:r>
          <w:rPr>
            <w:color w:val="466B7A"/>
          </w:rPr>
          <w:t>TREATY RESILIENCE, SAFE MODE, AND RECONSTITUTION</w:t>
        </w:r>
      </w:hyperlink>
      <w:r>
        <w:tab/>
      </w:r>
      <w:r>
        <w:rPr>
          <w:rFonts w:ascii="Arial" w:hAnsi="Arial"/>
        </w:rPr>
        <w:t>1402</w:t>
      </w:r>
    </w:p>
    <w:p>
      <w:pPr>
        <w:pStyle w:val="TOC1"/>
        <w:widowControl/>
        <w:tabs>
          <w:tab w:pos="8856" w:val="right" w:leader="dot"/>
        </w:tabs>
      </w:pPr>
      <w:hyperlink w:anchor="_NAESTMA_TOC_1735" w:history="1">
        <w:r>
          <w:rPr>
            <w:color w:val="233746"/>
          </w:rPr>
          <w:t>PACKAGE K — NORTH AMERICAN MARKET-ACCESS AND ECONOMIC-SECURITY INCENTIVES</w:t>
        </w:r>
      </w:hyperlink>
      <w:r>
        <w:tab/>
      </w:r>
      <w:r>
        <w:rPr>
          <w:rFonts w:ascii="Arial" w:hAnsi="Arial"/>
        </w:rPr>
        <w:t>1407</w:t>
      </w:r>
    </w:p>
    <w:p>
      <w:pPr>
        <w:pStyle w:val="TOC1"/>
        <w:widowControl/>
        <w:tabs>
          <w:tab w:pos="8856" w:val="right" w:leader="dot"/>
        </w:tabs>
      </w:pPr>
      <w:hyperlink w:anchor="_NAESTMA_TOC_1736" w:history="1">
        <w:r>
          <w:rPr>
            <w:color w:val="233746"/>
          </w:rPr>
          <w:t>Article 47.14: Protected Core Functions and Minimum Institutional Continuity Fund</w:t>
        </w:r>
      </w:hyperlink>
      <w:r>
        <w:tab/>
      </w:r>
      <w:r>
        <w:rPr>
          <w:rFonts w:ascii="Arial" w:hAnsi="Arial"/>
        </w:rPr>
        <w:t>1408</w:t>
      </w:r>
    </w:p>
    <w:p>
      <w:pPr>
        <w:pStyle w:val="TOC1"/>
        <w:widowControl/>
        <w:tabs>
          <w:tab w:pos="8856" w:val="right" w:leader="dot"/>
        </w:tabs>
      </w:pPr>
      <w:hyperlink w:anchor="_NAESTMA_TOC_1737" w:history="1">
        <w:r>
          <w:rPr>
            <w:color w:val="233746"/>
          </w:rPr>
          <w:t>Article 47.15: Secretariat Integrity, Distributed Custody, and Operational Auditability</w:t>
        </w:r>
      </w:hyperlink>
      <w:r>
        <w:tab/>
      </w:r>
      <w:r>
        <w:rPr>
          <w:rFonts w:ascii="Arial" w:hAnsi="Arial"/>
        </w:rPr>
        <w:t>1408</w:t>
      </w:r>
    </w:p>
    <w:p>
      <w:pPr>
        <w:pStyle w:val="TOC1"/>
        <w:widowControl/>
        <w:tabs>
          <w:tab w:pos="8856" w:val="right" w:leader="dot"/>
        </w:tabs>
      </w:pPr>
      <w:hyperlink w:anchor="_NAESTMA_TOC_1738" w:history="1">
        <w:r>
          <w:rPr>
            <w:color w:val="233746"/>
          </w:rPr>
          <w:t>Article 47.16: Institutional Safe Mode and No-Benefit-from-Outage Rule</w:t>
        </w:r>
      </w:hyperlink>
      <w:r>
        <w:tab/>
      </w:r>
      <w:r>
        <w:rPr>
          <w:rFonts w:ascii="Arial" w:hAnsi="Arial"/>
        </w:rPr>
        <w:t>1409</w:t>
      </w:r>
    </w:p>
    <w:p>
      <w:pPr>
        <w:pStyle w:val="TOC1"/>
        <w:widowControl/>
        <w:tabs>
          <w:tab w:pos="8856" w:val="right" w:leader="dot"/>
        </w:tabs>
      </w:pPr>
      <w:hyperlink w:anchor="_NAESTMA_TOC_1739" w:history="1">
        <w:r>
          <w:rPr>
            <w:color w:val="233746"/>
          </w:rPr>
          <w:t>Article 47.17: Administrative Reliance, Government Error, and Data Portability</w:t>
        </w:r>
      </w:hyperlink>
      <w:r>
        <w:tab/>
      </w:r>
      <w:r>
        <w:rPr>
          <w:rFonts w:ascii="Arial" w:hAnsi="Arial"/>
        </w:rPr>
        <w:t>1409</w:t>
      </w:r>
    </w:p>
    <w:p>
      <w:pPr>
        <w:pStyle w:val="TOC1"/>
        <w:widowControl/>
        <w:tabs>
          <w:tab w:pos="8856" w:val="right" w:leader="dot"/>
        </w:tabs>
      </w:pPr>
      <w:hyperlink w:anchor="_NAESTMA_TOC_1740" w:history="1">
        <w:r>
          <w:rPr>
            <w:color w:val="233746"/>
          </w:rPr>
          <w:t>Article 47.18: Automated Administration Symmetry and Algorithmic Accountability</w:t>
        </w:r>
      </w:hyperlink>
      <w:r>
        <w:tab/>
      </w:r>
      <w:r>
        <w:rPr>
          <w:rFonts w:ascii="Arial" w:hAnsi="Arial"/>
        </w:rPr>
        <w:t>1409</w:t>
      </w:r>
    </w:p>
    <w:p>
      <w:pPr>
        <w:pStyle w:val="TOC1"/>
        <w:widowControl/>
        <w:tabs>
          <w:tab w:pos="8856" w:val="right" w:leader="dot"/>
        </w:tabs>
      </w:pPr>
      <w:hyperlink w:anchor="_NAESTMA_TOC_1741" w:history="1">
        <w:r>
          <w:rPr>
            <w:color w:val="233746"/>
          </w:rPr>
          <w:t>CHAPTER 48</w:t>
        </w:r>
      </w:hyperlink>
      <w:r>
        <w:tab/>
      </w:r>
      <w:r>
        <w:rPr>
          <w:rFonts w:ascii="Arial" w:hAnsi="Arial"/>
        </w:rPr>
        <w:t>1411</w:t>
      </w:r>
    </w:p>
    <w:p>
      <w:pPr>
        <w:pStyle w:val="TOC2"/>
        <w:widowControl/>
        <w:tabs>
          <w:tab w:pos="8856" w:val="right" w:leader="dot"/>
        </w:tabs>
      </w:pPr>
      <w:hyperlink w:anchor="_NAESTMA_TOC_1742" w:history="1">
        <w:r>
          <w:rPr>
            <w:color w:val="466B7A"/>
          </w:rPr>
          <w:t>REVIEW STABILITY, IMPLEMENTATION, AND COMPETITIVENESS</w:t>
        </w:r>
      </w:hyperlink>
      <w:r>
        <w:tab/>
      </w:r>
      <w:r>
        <w:rPr>
          <w:rFonts w:ascii="Arial" w:hAnsi="Arial"/>
        </w:rPr>
        <w:t>1411</w:t>
      </w:r>
    </w:p>
    <w:p>
      <w:pPr>
        <w:pStyle w:val="TOC1"/>
        <w:widowControl/>
        <w:tabs>
          <w:tab w:pos="8856" w:val="right" w:leader="dot"/>
        </w:tabs>
      </w:pPr>
      <w:hyperlink w:anchor="_NAESTMA_TOC_1743" w:history="1">
        <w:r>
          <w:rPr>
            <w:color w:val="233746"/>
          </w:rPr>
          <w:t>CHAPTER 49</w:t>
        </w:r>
      </w:hyperlink>
      <w:r>
        <w:tab/>
      </w:r>
      <w:r>
        <w:rPr>
          <w:rFonts w:ascii="Arial" w:hAnsi="Arial"/>
        </w:rPr>
        <w:t>1413</w:t>
      </w:r>
    </w:p>
    <w:p>
      <w:pPr>
        <w:pStyle w:val="TOC2"/>
        <w:widowControl/>
        <w:tabs>
          <w:tab w:pos="8856" w:val="right" w:leader="dot"/>
        </w:tabs>
      </w:pPr>
      <w:hyperlink w:anchor="_NAESTMA_TOC_1744" w:history="1">
        <w:r>
          <w:rPr>
            <w:color w:val="466B7A"/>
          </w:rPr>
          <w:t>SECTORAL MARKET ACCESS AND IMPLEMENTATION SAFEGUARDS</w:t>
        </w:r>
      </w:hyperlink>
      <w:r>
        <w:tab/>
      </w:r>
      <w:r>
        <w:rPr>
          <w:rFonts w:ascii="Arial" w:hAnsi="Arial"/>
        </w:rPr>
        <w:t>1413</w:t>
      </w:r>
    </w:p>
    <w:p>
      <w:pPr>
        <w:pStyle w:val="TOC2"/>
        <w:widowControl/>
        <w:tabs>
          <w:tab w:pos="8856" w:val="right" w:leader="dot"/>
        </w:tabs>
      </w:pPr>
      <w:hyperlink w:anchor="_NAESTMA_TOC_1745" w:history="1">
        <w:r>
          <w:rPr>
            <w:color w:val="466B7A"/>
          </w:rPr>
          <w:t>Article 49.7A: Reciprocal Procurement Compact and Practical-Opportunity Principle</w:t>
        </w:r>
      </w:hyperlink>
      <w:r>
        <w:tab/>
      </w:r>
      <w:r>
        <w:rPr>
          <w:rFonts w:ascii="Arial" w:hAnsi="Arial"/>
        </w:rPr>
        <w:t>1414</w:t>
      </w:r>
    </w:p>
    <w:p>
      <w:pPr>
        <w:pStyle w:val="TOC2"/>
        <w:widowControl/>
        <w:tabs>
          <w:tab w:pos="8856" w:val="right" w:leader="dot"/>
        </w:tabs>
      </w:pPr>
      <w:hyperlink w:anchor="_NAESTMA_TOC_1746" w:history="1">
        <w:r>
          <w:rPr>
            <w:color w:val="466B7A"/>
          </w:rPr>
          <w:t>Article 49.7B: Effective Accessible Procurement Value and Value-Equivalence Test</w:t>
        </w:r>
      </w:hyperlink>
      <w:r>
        <w:tab/>
      </w:r>
      <w:r>
        <w:rPr>
          <w:rFonts w:ascii="Arial" w:hAnsi="Arial"/>
        </w:rPr>
        <w:t>1415</w:t>
      </w:r>
    </w:p>
    <w:p>
      <w:pPr>
        <w:pStyle w:val="TOC2"/>
        <w:widowControl/>
        <w:tabs>
          <w:tab w:pos="8856" w:val="right" w:leader="dot"/>
        </w:tabs>
      </w:pPr>
      <w:hyperlink w:anchor="_NAESTMA_TOC_1747" w:history="1">
        <w:r>
          <w:rPr>
            <w:color w:val="466B7A"/>
          </w:rPr>
          <w:t>Article 49.7C: Reciprocity Bands, Rebalancing, and Earn-Back</w:t>
        </w:r>
      </w:hyperlink>
      <w:r>
        <w:tab/>
      </w:r>
      <w:r>
        <w:rPr>
          <w:rFonts w:ascii="Arial" w:hAnsi="Arial"/>
        </w:rPr>
        <w:t>1415</w:t>
      </w:r>
    </w:p>
    <w:p>
      <w:pPr>
        <w:pStyle w:val="TOC2"/>
        <w:widowControl/>
        <w:tabs>
          <w:tab w:pos="8856" w:val="right" w:leader="dot"/>
        </w:tabs>
      </w:pPr>
      <w:hyperlink w:anchor="_NAESTMA_TOC_1748" w:history="1">
        <w:r>
          <w:rPr>
            <w:color w:val="466B7A"/>
          </w:rPr>
          <w:t>Article 49.7D: North American SME Procurement Passport and Opportunity Discovery</w:t>
        </w:r>
      </w:hyperlink>
      <w:r>
        <w:tab/>
      </w:r>
      <w:r>
        <w:rPr>
          <w:rFonts w:ascii="Arial" w:hAnsi="Arial"/>
        </w:rPr>
        <w:t>1415</w:t>
      </w:r>
    </w:p>
    <w:p>
      <w:pPr>
        <w:pStyle w:val="TOC2"/>
        <w:widowControl/>
        <w:tabs>
          <w:tab w:pos="8856" w:val="right" w:leader="dot"/>
        </w:tabs>
      </w:pPr>
      <w:hyperlink w:anchor="_NAESTMA_TOC_1749" w:history="1">
        <w:r>
          <w:rPr>
            <w:color w:val="466B7A"/>
          </w:rPr>
          <w:t>Article 49.7E: Constitutional Federalism and Voluntary Subnational Participation</w:t>
        </w:r>
      </w:hyperlink>
      <w:r>
        <w:tab/>
      </w:r>
      <w:r>
        <w:rPr>
          <w:rFonts w:ascii="Arial" w:hAnsi="Arial"/>
        </w:rPr>
        <w:t>1416</w:t>
      </w:r>
    </w:p>
    <w:p>
      <w:pPr>
        <w:pStyle w:val="TOC2"/>
        <w:widowControl/>
        <w:tabs>
          <w:tab w:pos="8856" w:val="right" w:leader="dot"/>
        </w:tabs>
      </w:pPr>
      <w:hyperlink w:anchor="_NAESTMA_TOC_1750" w:history="1">
        <w:r>
          <w:rPr>
            <w:color w:val="466B7A"/>
          </w:rPr>
          <w:t>Article 49.7F: Strategic Capacity, Resilience, and Optional Aggregated Demand</w:t>
        </w:r>
      </w:hyperlink>
      <w:r>
        <w:tab/>
      </w:r>
      <w:r>
        <w:rPr>
          <w:rFonts w:ascii="Arial" w:hAnsi="Arial"/>
        </w:rPr>
        <w:t>1416</w:t>
      </w:r>
    </w:p>
    <w:p>
      <w:pPr>
        <w:pStyle w:val="TOC2"/>
        <w:widowControl/>
        <w:tabs>
          <w:tab w:pos="8856" w:val="right" w:leader="dot"/>
        </w:tabs>
      </w:pPr>
      <w:hyperlink w:anchor="_NAESTMA_TOC_1751" w:history="1">
        <w:r>
          <w:rPr>
            <w:color w:val="466B7A"/>
          </w:rPr>
          <w:t>Article 49.7G: Anti-Gaming, Procurement Stability, and Practical Neutrality</w:t>
        </w:r>
      </w:hyperlink>
      <w:r>
        <w:tab/>
      </w:r>
      <w:r>
        <w:rPr>
          <w:rFonts w:ascii="Arial" w:hAnsi="Arial"/>
        </w:rPr>
        <w:t>1416</w:t>
      </w:r>
    </w:p>
    <w:p>
      <w:pPr>
        <w:pStyle w:val="TOC2"/>
        <w:widowControl/>
        <w:tabs>
          <w:tab w:pos="8856" w:val="right" w:leader="dot"/>
        </w:tabs>
      </w:pPr>
      <w:hyperlink w:anchor="_NAESTMA_TOC_1752" w:history="1">
        <w:r>
          <w:rPr>
            <w:color w:val="466B7A"/>
          </w:rPr>
          <w:t>Article 49.7H: Emergency, Security, Review, and Remedies</w:t>
        </w:r>
      </w:hyperlink>
      <w:r>
        <w:tab/>
      </w:r>
      <w:r>
        <w:rPr>
          <w:rFonts w:ascii="Arial" w:hAnsi="Arial"/>
        </w:rPr>
        <w:t>1417</w:t>
      </w:r>
    </w:p>
    <w:p>
      <w:pPr>
        <w:pStyle w:val="TOC2"/>
        <w:widowControl/>
        <w:tabs>
          <w:tab w:pos="8856" w:val="right" w:leader="dot"/>
        </w:tabs>
      </w:pPr>
      <w:hyperlink w:anchor="_NAESTMA_TOC_1753" w:history="1">
        <w:r>
          <w:rPr>
            <w:color w:val="466B7A"/>
          </w:rPr>
          <w:t>ANNEX 49-A: NORTH AMERICAN PROCUREMENT VALUE-EQUIVALENCE AND LANDING SCHEDULE</w:t>
        </w:r>
      </w:hyperlink>
      <w:r>
        <w:tab/>
      </w:r>
      <w:r>
        <w:rPr>
          <w:rFonts w:ascii="Arial" w:hAnsi="Arial"/>
        </w:rPr>
        <w:t>1419</w:t>
      </w:r>
    </w:p>
    <w:p>
      <w:pPr>
        <w:pStyle w:val="TOC2"/>
        <w:widowControl/>
        <w:tabs>
          <w:tab w:pos="8856" w:val="right" w:leader="dot"/>
        </w:tabs>
      </w:pPr>
      <w:hyperlink w:anchor="_NAESTMA_TOC_1754" w:history="1">
        <w:r>
          <w:rPr>
            <w:color w:val="466B7A"/>
          </w:rPr>
          <w:t>1. Purpose. This Annex implements Articles 49.7 through 49.7H.</w:t>
        </w:r>
      </w:hyperlink>
      <w:r>
        <w:tab/>
      </w:r>
      <w:r>
        <w:rPr>
          <w:rFonts w:ascii="Arial" w:hAnsi="Arial"/>
        </w:rPr>
        <w:t>1419</w:t>
      </w:r>
    </w:p>
    <w:p>
      <w:pPr>
        <w:pStyle w:val="TOC2"/>
        <w:widowControl/>
        <w:tabs>
          <w:tab w:pos="8856" w:val="right" w:leader="dot"/>
        </w:tabs>
      </w:pPr>
      <w:hyperlink w:anchor="_NAESTMA_TOC_1755" w:history="1">
        <w:r>
          <w:rPr>
            <w:color w:val="466B7A"/>
          </w:rPr>
          <w:t>2. Tier structure. For a covered procurement designated under this Annex, treatment…</w:t>
        </w:r>
      </w:hyperlink>
      <w:r>
        <w:tab/>
      </w:r>
      <w:r>
        <w:rPr>
          <w:rFonts w:ascii="Arial" w:hAnsi="Arial"/>
        </w:rPr>
        <w:t>1419</w:t>
      </w:r>
    </w:p>
    <w:p>
      <w:pPr>
        <w:pStyle w:val="TOC2"/>
        <w:widowControl/>
        <w:tabs>
          <w:tab w:pos="8856" w:val="right" w:leader="dot"/>
        </w:tabs>
      </w:pPr>
      <w:hyperlink w:anchor="_NAESTMA_TOC_1756" w:history="1">
        <w:r>
          <w:rPr>
            <w:color w:val="466B7A"/>
          </w:rPr>
          <w:t>3. Initial Tier-2 candidate sectors.</w:t>
        </w:r>
      </w:hyperlink>
      <w:r>
        <w:tab/>
      </w:r>
      <w:r>
        <w:rPr>
          <w:rFonts w:ascii="Arial" w:hAnsi="Arial"/>
        </w:rPr>
        <w:t>1419</w:t>
      </w:r>
    </w:p>
    <w:p>
      <w:pPr>
        <w:pStyle w:val="TOC2"/>
        <w:widowControl/>
        <w:tabs>
          <w:tab w:pos="8856" w:val="right" w:leader="dot"/>
        </w:tabs>
      </w:pPr>
      <w:hyperlink w:anchor="_NAESTMA_TOC_1757" w:history="1">
        <w:r>
          <w:rPr>
            <w:color w:val="466B7A"/>
          </w:rPr>
          <w:t>4. Contestable Covered Procurement Value.</w:t>
        </w:r>
      </w:hyperlink>
      <w:r>
        <w:tab/>
      </w:r>
      <w:r>
        <w:rPr>
          <w:rFonts w:ascii="Arial" w:hAnsi="Arial"/>
        </w:rPr>
        <w:t>1419</w:t>
      </w:r>
    </w:p>
    <w:p>
      <w:pPr>
        <w:pStyle w:val="TOC2"/>
        <w:widowControl/>
        <w:tabs>
          <w:tab w:pos="8856" w:val="right" w:leader="dot"/>
        </w:tabs>
      </w:pPr>
      <w:hyperlink w:anchor="_NAESTMA_TOC_1758" w:history="1">
        <w:r>
          <w:rPr>
            <w:color w:val="466B7A"/>
          </w:rPr>
          <w:t>5. Excluded value. Gross spending shall be removed or discounted where access is…</w:t>
        </w:r>
      </w:hyperlink>
      <w:r>
        <w:tab/>
      </w:r>
      <w:r>
        <w:rPr>
          <w:rFonts w:ascii="Arial" w:hAnsi="Arial"/>
        </w:rPr>
        <w:t>1419</w:t>
      </w:r>
    </w:p>
    <w:p>
      <w:pPr>
        <w:pStyle w:val="TOC2"/>
        <w:widowControl/>
        <w:tabs>
          <w:tab w:pos="8856" w:val="right" w:leader="dot"/>
        </w:tabs>
      </w:pPr>
      <w:hyperlink w:anchor="_NAESTMA_TOC_1759" w:history="1">
        <w:r>
          <w:rPr>
            <w:color w:val="466B7A"/>
          </w:rPr>
          <w:t>6. Effective Accessible Procurement Value.</w:t>
        </w:r>
      </w:hyperlink>
      <w:r>
        <w:tab/>
      </w:r>
      <w:r>
        <w:rPr>
          <w:rFonts w:ascii="Arial" w:hAnsi="Arial"/>
        </w:rPr>
        <w:t>1419</w:t>
      </w:r>
    </w:p>
    <w:p>
      <w:pPr>
        <w:pStyle w:val="TOC2"/>
        <w:widowControl/>
        <w:tabs>
          <w:tab w:pos="8856" w:val="right" w:leader="dot"/>
        </w:tabs>
      </w:pPr>
      <w:hyperlink w:anchor="_NAESTMA_TOC_1760" w:history="1">
        <w:r>
          <w:rPr>
            <w:color w:val="466B7A"/>
          </w:rPr>
          <w:t>7. No single-factor dominance.</w:t>
        </w:r>
      </w:hyperlink>
      <w:r>
        <w:tab/>
      </w:r>
      <w:r>
        <w:rPr>
          <w:rFonts w:ascii="Arial" w:hAnsi="Arial"/>
        </w:rPr>
        <w:t>1419</w:t>
      </w:r>
    </w:p>
    <w:p>
      <w:pPr>
        <w:pStyle w:val="TOC2"/>
        <w:widowControl/>
        <w:tabs>
          <w:tab w:pos="8856" w:val="right" w:leader="dot"/>
        </w:tabs>
      </w:pPr>
      <w:hyperlink w:anchor="_NAESTMA_TOC_1761" w:history="1">
        <w:r>
          <w:rPr>
            <w:color w:val="466B7A"/>
          </w:rPr>
          <w:t>8. Domestic-preference adjustment.</w:t>
        </w:r>
      </w:hyperlink>
      <w:r>
        <w:tab/>
      </w:r>
      <w:r>
        <w:rPr>
          <w:rFonts w:ascii="Arial" w:hAnsi="Arial"/>
        </w:rPr>
        <w:t>1420</w:t>
      </w:r>
    </w:p>
    <w:p>
      <w:pPr>
        <w:pStyle w:val="TOC2"/>
        <w:widowControl/>
        <w:tabs>
          <w:tab w:pos="8856" w:val="right" w:leader="dot"/>
        </w:tabs>
      </w:pPr>
      <w:hyperlink w:anchor="_NAESTMA_TOC_1762" w:history="1">
        <w:r>
          <w:rPr>
            <w:color w:val="466B7A"/>
          </w:rPr>
          <w:t>9. Threshold and contract-structure adjustment.</w:t>
        </w:r>
      </w:hyperlink>
      <w:r>
        <w:tab/>
      </w:r>
      <w:r>
        <w:rPr>
          <w:rFonts w:ascii="Arial" w:hAnsi="Arial"/>
        </w:rPr>
        <w:t>1420</w:t>
      </w:r>
    </w:p>
    <w:p>
      <w:pPr>
        <w:pStyle w:val="TOC2"/>
        <w:widowControl/>
        <w:tabs>
          <w:tab w:pos="8856" w:val="right" w:leader="dot"/>
        </w:tabs>
      </w:pPr>
      <w:hyperlink w:anchor="_NAESTMA_TOC_1763" w:history="1">
        <w:r>
          <w:rPr>
            <w:color w:val="466B7A"/>
          </w:rPr>
          <w:t>10. Sector and entity diversity.</w:t>
        </w:r>
      </w:hyperlink>
      <w:r>
        <w:tab/>
      </w:r>
      <w:r>
        <w:rPr>
          <w:rFonts w:ascii="Arial" w:hAnsi="Arial"/>
        </w:rPr>
        <w:t>1420</w:t>
      </w:r>
    </w:p>
    <w:p>
      <w:pPr>
        <w:pStyle w:val="TOC2"/>
        <w:widowControl/>
        <w:tabs>
          <w:tab w:pos="8856" w:val="right" w:leader="dot"/>
        </w:tabs>
      </w:pPr>
      <w:hyperlink w:anchor="_NAESTMA_TOC_1764" w:history="1">
        <w:r>
          <w:rPr>
            <w:color w:val="466B7A"/>
          </w:rPr>
          <w:t>11. SME accessibility modifier.</w:t>
        </w:r>
      </w:hyperlink>
      <w:r>
        <w:tab/>
      </w:r>
      <w:r>
        <w:rPr>
          <w:rFonts w:ascii="Arial" w:hAnsi="Arial"/>
        </w:rPr>
        <w:t>1420</w:t>
      </w:r>
    </w:p>
    <w:p>
      <w:pPr>
        <w:pStyle w:val="TOC2"/>
        <w:widowControl/>
        <w:tabs>
          <w:tab w:pos="8856" w:val="right" w:leader="dot"/>
        </w:tabs>
      </w:pPr>
      <w:hyperlink w:anchor="_NAESTMA_TOC_1765" w:history="1">
        <w:r>
          <w:rPr>
            <w:color w:val="466B7A"/>
          </w:rPr>
          <w:t>12. Strategic-capacity credit.</w:t>
        </w:r>
      </w:hyperlink>
      <w:r>
        <w:tab/>
      </w:r>
      <w:r>
        <w:rPr>
          <w:rFonts w:ascii="Arial" w:hAnsi="Arial"/>
        </w:rPr>
        <w:t>1420</w:t>
      </w:r>
    </w:p>
    <w:p>
      <w:pPr>
        <w:pStyle w:val="TOC2"/>
        <w:widowControl/>
        <w:tabs>
          <w:tab w:pos="8856" w:val="right" w:leader="dot"/>
        </w:tabs>
      </w:pPr>
      <w:hyperlink w:anchor="_NAESTMA_TOC_1766" w:history="1">
        <w:r>
          <w:rPr>
            <w:color w:val="466B7A"/>
          </w:rPr>
          <w:t>13. Reciprocity Bands.</w:t>
        </w:r>
      </w:hyperlink>
      <w:r>
        <w:tab/>
      </w:r>
      <w:r>
        <w:rPr>
          <w:rFonts w:ascii="Arial" w:hAnsi="Arial"/>
        </w:rPr>
        <w:t>1420</w:t>
      </w:r>
    </w:p>
    <w:p>
      <w:pPr>
        <w:pStyle w:val="TOC2"/>
        <w:widowControl/>
        <w:tabs>
          <w:tab w:pos="8856" w:val="right" w:leader="dot"/>
        </w:tabs>
      </w:pPr>
      <w:hyperlink w:anchor="_NAESTMA_TOC_1767" w:history="1">
        <w:r>
          <w:rPr>
            <w:color w:val="466B7A"/>
          </w:rPr>
          <w:t>14. Rebalancing menu.</w:t>
        </w:r>
      </w:hyperlink>
      <w:r>
        <w:tab/>
      </w:r>
      <w:r>
        <w:rPr>
          <w:rFonts w:ascii="Arial" w:hAnsi="Arial"/>
        </w:rPr>
        <w:t>1420</w:t>
      </w:r>
    </w:p>
    <w:p>
      <w:pPr>
        <w:pStyle w:val="TOC2"/>
        <w:widowControl/>
        <w:tabs>
          <w:tab w:pos="8856" w:val="right" w:leader="dot"/>
        </w:tabs>
      </w:pPr>
      <w:hyperlink w:anchor="_NAESTMA_TOC_1768" w:history="1">
        <w:r>
          <w:rPr>
            <w:color w:val="466B7A"/>
          </w:rPr>
          <w:t>15. Annual review and ordinary fluctuation.</w:t>
        </w:r>
      </w:hyperlink>
      <w:r>
        <w:tab/>
      </w:r>
      <w:r>
        <w:rPr>
          <w:rFonts w:ascii="Arial" w:hAnsi="Arial"/>
        </w:rPr>
        <w:t>1421</w:t>
      </w:r>
    </w:p>
    <w:p>
      <w:pPr>
        <w:pStyle w:val="TOC2"/>
        <w:widowControl/>
        <w:tabs>
          <w:tab w:pos="8856" w:val="right" w:leader="dot"/>
        </w:tabs>
      </w:pPr>
      <w:hyperlink w:anchor="_NAESTMA_TOC_1769" w:history="1">
        <w:r>
          <w:rPr>
            <w:color w:val="466B7A"/>
          </w:rPr>
          <w:t>16. Voluntary subnational schedules.</w:t>
        </w:r>
      </w:hyperlink>
      <w:r>
        <w:tab/>
      </w:r>
      <w:r>
        <w:rPr>
          <w:rFonts w:ascii="Arial" w:hAnsi="Arial"/>
        </w:rPr>
        <w:t>1421</w:t>
      </w:r>
    </w:p>
    <w:p>
      <w:pPr>
        <w:pStyle w:val="TOC2"/>
        <w:widowControl/>
        <w:tabs>
          <w:tab w:pos="8856" w:val="right" w:leader="dot"/>
        </w:tabs>
      </w:pPr>
      <w:hyperlink w:anchor="_NAESTMA_TOC_1770" w:history="1">
        <w:r>
          <w:rPr>
            <w:color w:val="466B7A"/>
          </w:rPr>
          <w:t>17. Publication. A procuring authority shall publish the applicable tier, origin or…</w:t>
        </w:r>
      </w:hyperlink>
      <w:r>
        <w:tab/>
      </w:r>
      <w:r>
        <w:rPr>
          <w:rFonts w:ascii="Arial" w:hAnsi="Arial"/>
        </w:rPr>
        <w:t>1421</w:t>
      </w:r>
    </w:p>
    <w:p>
      <w:pPr>
        <w:pStyle w:val="TOC2"/>
        <w:widowControl/>
        <w:tabs>
          <w:tab w:pos="8856" w:val="right" w:leader="dot"/>
        </w:tabs>
      </w:pPr>
      <w:hyperlink w:anchor="_NAESTMA_TOC_1771" w:history="1">
        <w:r>
          <w:rPr>
            <w:color w:val="466B7A"/>
          </w:rPr>
          <w:t>18. Data protection.</w:t>
        </w:r>
      </w:hyperlink>
      <w:r>
        <w:tab/>
      </w:r>
      <w:r>
        <w:rPr>
          <w:rFonts w:ascii="Arial" w:hAnsi="Arial"/>
        </w:rPr>
        <w:t>1421</w:t>
      </w:r>
    </w:p>
    <w:p>
      <w:pPr>
        <w:pStyle w:val="TOC2"/>
        <w:widowControl/>
        <w:tabs>
          <w:tab w:pos="8856" w:val="right" w:leader="dot"/>
        </w:tabs>
      </w:pPr>
      <w:hyperlink w:anchor="_NAESTMA_TOC_1772" w:history="1">
        <w:r>
          <w:rPr>
            <w:color w:val="466B7A"/>
          </w:rPr>
          <w:t>19. Initial implementation.</w:t>
        </w:r>
      </w:hyperlink>
      <w:r>
        <w:tab/>
      </w:r>
      <w:r>
        <w:rPr>
          <w:rFonts w:ascii="Arial" w:hAnsi="Arial"/>
        </w:rPr>
        <w:t>1421</w:t>
      </w:r>
    </w:p>
    <w:p>
      <w:pPr>
        <w:pStyle w:val="TOC2"/>
        <w:widowControl/>
        <w:tabs>
          <w:tab w:pos="8856" w:val="right" w:leader="dot"/>
        </w:tabs>
      </w:pPr>
      <w:hyperlink w:anchor="_NAESTMA_TOC_1773" w:history="1">
        <w:r>
          <w:rPr>
            <w:color w:val="466B7A"/>
          </w:rPr>
          <w:t>20. Three-Win review.</w:t>
        </w:r>
      </w:hyperlink>
      <w:r>
        <w:tab/>
      </w:r>
      <w:r>
        <w:rPr>
          <w:rFonts w:ascii="Arial" w:hAnsi="Arial"/>
        </w:rPr>
        <w:t>1421</w:t>
      </w:r>
    </w:p>
    <w:p>
      <w:pPr>
        <w:pStyle w:val="TOC1"/>
        <w:widowControl/>
        <w:tabs>
          <w:tab w:pos="8856" w:val="right" w:leader="dot"/>
        </w:tabs>
      </w:pPr>
      <w:hyperlink w:anchor="_NAESTMA_TOC_1774" w:history="1">
        <w:r>
          <w:rPr>
            <w:color w:val="233746"/>
          </w:rPr>
          <w:t>CHAPTER 50</w:t>
        </w:r>
      </w:hyperlink>
      <w:r>
        <w:tab/>
      </w:r>
      <w:r>
        <w:rPr>
          <w:rFonts w:ascii="Arial" w:hAnsi="Arial"/>
        </w:rPr>
        <w:t>1422</w:t>
      </w:r>
    </w:p>
    <w:p>
      <w:pPr>
        <w:pStyle w:val="TOC2"/>
        <w:widowControl/>
        <w:tabs>
          <w:tab w:pos="8856" w:val="right" w:leader="dot"/>
        </w:tabs>
      </w:pPr>
      <w:hyperlink w:anchor="_NAESTMA_TOC_1775" w:history="1">
        <w:r>
          <w:rPr>
            <w:color w:val="466B7A"/>
          </w:rPr>
          <w:t>SME, CUSTOMS, DIGITAL, AND SUPPLY-CHAIN MODERNIZATION</w:t>
        </w:r>
      </w:hyperlink>
      <w:r>
        <w:tab/>
      </w:r>
      <w:r>
        <w:rPr>
          <w:rFonts w:ascii="Arial" w:hAnsi="Arial"/>
        </w:rPr>
        <w:t>1422</w:t>
      </w:r>
    </w:p>
    <w:p>
      <w:pPr>
        <w:pStyle w:val="TOC1"/>
        <w:widowControl/>
        <w:tabs>
          <w:tab w:pos="8856" w:val="right" w:leader="dot"/>
        </w:tabs>
      </w:pPr>
      <w:hyperlink w:anchor="_NAESTMA_TOC_1776" w:history="1">
        <w:r>
          <w:rPr>
            <w:color w:val="233746"/>
          </w:rPr>
          <w:t>Article 50.9: Administrative Friction and Border Performance Safeguard</w:t>
        </w:r>
      </w:hyperlink>
      <w:r>
        <w:tab/>
      </w:r>
      <w:r>
        <w:rPr>
          <w:rFonts w:ascii="Arial" w:hAnsi="Arial"/>
        </w:rPr>
        <w:t>1423</w:t>
      </w:r>
    </w:p>
    <w:p>
      <w:pPr>
        <w:pStyle w:val="TOC1"/>
        <w:widowControl/>
        <w:tabs>
          <w:tab w:pos="8856" w:val="right" w:leader="dot"/>
        </w:tabs>
      </w:pPr>
      <w:hyperlink w:anchor="_NAESTMA_TOC_1777" w:history="1">
        <w:r>
          <w:rPr>
            <w:color w:val="233746"/>
          </w:rPr>
          <w:t>Article 50.10: Least-Burdensome Verification and Repeat-Audit Safeguard</w:t>
        </w:r>
      </w:hyperlink>
      <w:r>
        <w:tab/>
      </w:r>
      <w:r>
        <w:rPr>
          <w:rFonts w:ascii="Arial" w:hAnsi="Arial"/>
        </w:rPr>
        <w:t>1424</w:t>
      </w:r>
    </w:p>
    <w:p>
      <w:pPr>
        <w:pStyle w:val="TOC1"/>
        <w:widowControl/>
        <w:tabs>
          <w:tab w:pos="8856" w:val="right" w:leader="dot"/>
        </w:tabs>
      </w:pPr>
      <w:hyperlink w:anchor="_NAESTMA_TOC_1778" w:history="1">
        <w:r>
          <w:rPr>
            <w:color w:val="233746"/>
          </w:rPr>
          <w:t>Article 50.11: Decision-or-Explain Deadlines and Application Completeness Lock</w:t>
        </w:r>
      </w:hyperlink>
      <w:r>
        <w:tab/>
      </w:r>
      <w:r>
        <w:rPr>
          <w:rFonts w:ascii="Arial" w:hAnsi="Arial"/>
        </w:rPr>
        <w:t>1424</w:t>
      </w:r>
    </w:p>
    <w:p>
      <w:pPr>
        <w:pStyle w:val="TOC1"/>
        <w:widowControl/>
        <w:tabs>
          <w:tab w:pos="8856" w:val="right" w:leader="dot"/>
        </w:tabs>
      </w:pPr>
      <w:hyperlink w:anchor="_NAESTMA_TOC_1779" w:history="1">
        <w:r>
          <w:rPr>
            <w:color w:val="233746"/>
          </w:rPr>
          <w:t>Article 50.12: Trusted Status Due Process</w:t>
        </w:r>
      </w:hyperlink>
      <w:r>
        <w:tab/>
      </w:r>
      <w:r>
        <w:rPr>
          <w:rFonts w:ascii="Arial" w:hAnsi="Arial"/>
        </w:rPr>
        <w:t>1424</w:t>
      </w:r>
    </w:p>
    <w:p>
      <w:pPr>
        <w:pStyle w:val="TOC1"/>
        <w:widowControl/>
        <w:tabs>
          <w:tab w:pos="8856" w:val="right" w:leader="dot"/>
        </w:tabs>
      </w:pPr>
      <w:hyperlink w:anchor="_NAESTMA_TOC_1780" w:history="1">
        <w:r>
          <w:rPr>
            <w:color w:val="233746"/>
          </w:rPr>
          <w:t>Article 50.13: Technical Standard and Conformity-Assessment Capacity Protection</w:t>
        </w:r>
      </w:hyperlink>
      <w:r>
        <w:tab/>
      </w:r>
      <w:r>
        <w:rPr>
          <w:rFonts w:ascii="Arial" w:hAnsi="Arial"/>
        </w:rPr>
        <w:t>1424</w:t>
      </w:r>
    </w:p>
    <w:p>
      <w:pPr>
        <w:pStyle w:val="TOC1"/>
        <w:widowControl/>
        <w:tabs>
          <w:tab w:pos="8856" w:val="right" w:leader="dot"/>
        </w:tabs>
      </w:pPr>
      <w:hyperlink w:anchor="_NAESTMA_TOC_1781" w:history="1">
        <w:r>
          <w:rPr>
            <w:color w:val="233746"/>
          </w:rPr>
          <w:t>Article 50.14: Service, Business-Day, and Technical-Failure Fairness</w:t>
        </w:r>
      </w:hyperlink>
      <w:r>
        <w:tab/>
      </w:r>
      <w:r>
        <w:rPr>
          <w:rFonts w:ascii="Arial" w:hAnsi="Arial"/>
        </w:rPr>
        <w:t>1425</w:t>
      </w:r>
    </w:p>
    <w:p>
      <w:pPr>
        <w:pStyle w:val="TOC1"/>
        <w:widowControl/>
        <w:tabs>
          <w:tab w:pos="8856" w:val="right" w:leader="dot"/>
        </w:tabs>
      </w:pPr>
      <w:hyperlink w:anchor="_NAESTMA_TOC_1782" w:history="1">
        <w:r>
          <w:rPr>
            <w:color w:val="233746"/>
          </w:rPr>
          <w:t>CHAPTER 51</w:t>
        </w:r>
      </w:hyperlink>
      <w:r>
        <w:tab/>
      </w:r>
      <w:r>
        <w:rPr>
          <w:rFonts w:ascii="Arial" w:hAnsi="Arial"/>
        </w:rPr>
        <w:t>1426</w:t>
      </w:r>
    </w:p>
    <w:p>
      <w:pPr>
        <w:pStyle w:val="TOC2"/>
        <w:widowControl/>
        <w:tabs>
          <w:tab w:pos="8856" w:val="right" w:leader="dot"/>
        </w:tabs>
      </w:pPr>
      <w:hyperlink w:anchor="_NAESTMA_TOC_1783" w:history="1">
        <w:r>
          <w:rPr>
            <w:color w:val="466B7A"/>
          </w:rPr>
          <w:t>SYMMETRICAL LABOR, ENVIRONMENTAL, AND SCIENTIFIC COOPERATION</w:t>
        </w:r>
      </w:hyperlink>
      <w:r>
        <w:tab/>
      </w:r>
      <w:r>
        <w:rPr>
          <w:rFonts w:ascii="Arial" w:hAnsi="Arial"/>
        </w:rPr>
        <w:t>1426</w:t>
      </w:r>
    </w:p>
    <w:p>
      <w:pPr>
        <w:pStyle w:val="TOC1"/>
        <w:widowControl/>
        <w:tabs>
          <w:tab w:pos="8856" w:val="right" w:leader="dot"/>
        </w:tabs>
      </w:pPr>
      <w:hyperlink w:anchor="_NAESTMA_TOC_1784" w:history="1">
        <w:r>
          <w:rPr>
            <w:color w:val="233746"/>
          </w:rPr>
          <w:t>CHAPTER 52</w:t>
        </w:r>
      </w:hyperlink>
      <w:r>
        <w:tab/>
      </w:r>
      <w:r>
        <w:rPr>
          <w:rFonts w:ascii="Arial" w:hAnsi="Arial"/>
        </w:rPr>
        <w:t>1429</w:t>
      </w:r>
    </w:p>
    <w:p>
      <w:pPr>
        <w:pStyle w:val="TOC2"/>
        <w:widowControl/>
        <w:tabs>
          <w:tab w:pos="8856" w:val="right" w:leader="dot"/>
        </w:tabs>
      </w:pPr>
      <w:hyperlink w:anchor="_NAESTMA_TOC_1785" w:history="1">
        <w:r>
          <w:rPr>
            <w:color w:val="466B7A"/>
          </w:rPr>
          <w:t>SIDE INSTRUMENTS, TRILATERAL INTEGRITY, AND IMPLEMENTATION</w:t>
        </w:r>
      </w:hyperlink>
      <w:r>
        <w:tab/>
      </w:r>
      <w:r>
        <w:rPr>
          <w:rFonts w:ascii="Arial" w:hAnsi="Arial"/>
        </w:rPr>
        <w:t>1429</w:t>
      </w:r>
    </w:p>
    <w:p>
      <w:pPr>
        <w:pStyle w:val="TOC1"/>
        <w:widowControl/>
        <w:tabs>
          <w:tab w:pos="8856" w:val="right" w:leader="dot"/>
        </w:tabs>
      </w:pPr>
      <w:hyperlink w:anchor="_NAESTMA_TOC_1786" w:history="1">
        <w:r>
          <w:rPr>
            <w:color w:val="233746"/>
          </w:rPr>
          <w:t>CHAPTER 53</w:t>
        </w:r>
      </w:hyperlink>
      <w:r>
        <w:tab/>
      </w:r>
      <w:r>
        <w:rPr>
          <w:rFonts w:ascii="Arial" w:hAnsi="Arial"/>
        </w:rPr>
        <w:t>1430</w:t>
      </w:r>
    </w:p>
    <w:p>
      <w:pPr>
        <w:pStyle w:val="TOC2"/>
        <w:widowControl/>
        <w:tabs>
          <w:tab w:pos="8856" w:val="right" w:leader="dot"/>
        </w:tabs>
      </w:pPr>
      <w:hyperlink w:anchor="_NAESTMA_TOC_1787" w:history="1">
        <w:r>
          <w:rPr>
            <w:color w:val="466B7A"/>
          </w:rPr>
          <w:t>PREDICTABILITY, PATTERN REVIEW, AND ADAPTIVE IMPLEMENTATION</w:t>
        </w:r>
      </w:hyperlink>
      <w:r>
        <w:tab/>
      </w:r>
      <w:r>
        <w:rPr>
          <w:rFonts w:ascii="Arial" w:hAnsi="Arial"/>
        </w:rPr>
        <w:t>1430</w:t>
      </w:r>
    </w:p>
    <w:p>
      <w:pPr>
        <w:pStyle w:val="TOC1"/>
        <w:widowControl/>
        <w:tabs>
          <w:tab w:pos="8856" w:val="right" w:leader="dot"/>
        </w:tabs>
      </w:pPr>
      <w:hyperlink w:anchor="_NAESTMA_TOC_1788" w:history="1">
        <w:r>
          <w:rPr>
            <w:color w:val="233746"/>
          </w:rPr>
          <w:t>CHAPTER 54</w:t>
        </w:r>
      </w:hyperlink>
      <w:r>
        <w:tab/>
      </w:r>
      <w:r>
        <w:rPr>
          <w:rFonts w:ascii="Arial" w:hAnsi="Arial"/>
        </w:rPr>
        <w:t>1432</w:t>
      </w:r>
    </w:p>
    <w:p>
      <w:pPr>
        <w:pStyle w:val="TOC2"/>
        <w:widowControl/>
        <w:tabs>
          <w:tab w:pos="8856" w:val="right" w:leader="dot"/>
        </w:tabs>
      </w:pPr>
      <w:hyperlink w:anchor="_NAESTMA_TOC_1789" w:history="1">
        <w:r>
          <w:rPr>
            <w:color w:val="466B7A"/>
          </w:rPr>
          <w:t>PRIVATE-SECTOR CONTINUITY, INTEGRITY, AND COMMERCIAL EARLY WARNING</w:t>
        </w:r>
      </w:hyperlink>
      <w:r>
        <w:tab/>
      </w:r>
      <w:r>
        <w:rPr>
          <w:rFonts w:ascii="Arial" w:hAnsi="Arial"/>
        </w:rPr>
        <w:t>1432</w:t>
      </w:r>
    </w:p>
    <w:p>
      <w:pPr>
        <w:pStyle w:val="TOC1"/>
        <w:widowControl/>
        <w:tabs>
          <w:tab w:pos="8856" w:val="right" w:leader="dot"/>
        </w:tabs>
      </w:pPr>
      <w:hyperlink w:anchor="_NAESTMA_TOC_1790" w:history="1">
        <w:r>
          <w:rPr>
            <w:color w:val="233746"/>
          </w:rPr>
          <w:t>CHAPTER 55</w:t>
        </w:r>
      </w:hyperlink>
      <w:r>
        <w:tab/>
      </w:r>
      <w:r>
        <w:rPr>
          <w:rFonts w:ascii="Arial" w:hAnsi="Arial"/>
        </w:rPr>
        <w:t>1434</w:t>
      </w:r>
    </w:p>
    <w:p>
      <w:pPr>
        <w:pStyle w:val="TOC2"/>
        <w:widowControl/>
        <w:tabs>
          <w:tab w:pos="8856" w:val="right" w:leader="dot"/>
        </w:tabs>
      </w:pPr>
      <w:hyperlink w:anchor="_NAESTMA_TOC_1791" w:history="1">
        <w:r>
          <w:rPr>
            <w:color w:val="466B7A"/>
          </w:rPr>
          <w:t>STRATEGIC MATERIALS AND LOGISTICS CONTINUITY</w:t>
        </w:r>
      </w:hyperlink>
      <w:r>
        <w:tab/>
      </w:r>
      <w:r>
        <w:rPr>
          <w:rFonts w:ascii="Arial" w:hAnsi="Arial"/>
        </w:rPr>
        <w:t>1434</w:t>
      </w:r>
    </w:p>
    <w:p>
      <w:pPr>
        <w:pStyle w:val="TOC2"/>
        <w:widowControl/>
        <w:tabs>
          <w:tab w:pos="8856" w:val="right" w:leader="dot"/>
        </w:tabs>
      </w:pPr>
      <w:hyperlink w:anchor="_NAESTMA_TOC_1792" w:history="1">
        <w:r>
          <w:rPr>
            <w:color w:val="466B7A"/>
          </w:rPr>
          <w:t>ANNEX 34-I: CUSMA OPERATIONAL MANUAL AND TIERED INSTRUMENT HIERARCHY</w:t>
        </w:r>
      </w:hyperlink>
      <w:r>
        <w:tab/>
      </w:r>
      <w:r>
        <w:rPr>
          <w:rFonts w:ascii="Arial" w:hAnsi="Arial"/>
        </w:rPr>
        <w:t>1435</w:t>
      </w:r>
    </w:p>
    <w:p>
      <w:pPr>
        <w:pStyle w:val="TOC1"/>
        <w:widowControl/>
        <w:tabs>
          <w:tab w:pos="8856" w:val="right" w:leader="dot"/>
        </w:tabs>
      </w:pPr>
      <w:hyperlink w:anchor="_NAESTMA_TOC_1793" w:history="1">
        <w:r>
          <w:rPr>
            <w:color w:val="233746"/>
          </w:rPr>
          <w:t>CHAPTER 56</w:t>
        </w:r>
      </w:hyperlink>
      <w:r>
        <w:tab/>
      </w:r>
      <w:r>
        <w:rPr>
          <w:rFonts w:ascii="Arial" w:hAnsi="Arial"/>
        </w:rPr>
        <w:t>1437</w:t>
      </w:r>
    </w:p>
    <w:p>
      <w:pPr>
        <w:pStyle w:val="TOC2"/>
        <w:widowControl/>
        <w:tabs>
          <w:tab w:pos="8856" w:val="right" w:leader="dot"/>
        </w:tabs>
      </w:pPr>
      <w:hyperlink w:anchor="_NAESTMA_TOC_1794" w:history="1">
        <w:r>
          <w:rPr>
            <w:color w:val="466B7A"/>
          </w:rPr>
          <w:t>ADAPTIVE THRESHOLDS, INSTITUTIONAL MEMORY, AND CONTROLLED EXPERIMENTATION</w:t>
        </w:r>
      </w:hyperlink>
      <w:r>
        <w:tab/>
      </w:r>
      <w:r>
        <w:rPr>
          <w:rFonts w:ascii="Arial" w:hAnsi="Arial"/>
        </w:rPr>
        <w:t>1437</w:t>
      </w:r>
    </w:p>
    <w:p>
      <w:pPr>
        <w:pStyle w:val="TOC1"/>
        <w:widowControl/>
        <w:tabs>
          <w:tab w:pos="8856" w:val="right" w:leader="dot"/>
        </w:tabs>
      </w:pPr>
      <w:hyperlink w:anchor="_NAESTMA_TOC_1795" w:history="1">
        <w:r>
          <w:rPr>
            <w:color w:val="233746"/>
          </w:rPr>
          <w:t>CHAPTER 57</w:t>
        </w:r>
      </w:hyperlink>
      <w:r>
        <w:tab/>
      </w:r>
      <w:r>
        <w:rPr>
          <w:rFonts w:ascii="Arial" w:hAnsi="Arial"/>
        </w:rPr>
        <w:t>1439</w:t>
      </w:r>
    </w:p>
    <w:p>
      <w:pPr>
        <w:pStyle w:val="TOC2"/>
        <w:widowControl/>
        <w:tabs>
          <w:tab w:pos="8856" w:val="right" w:leader="dot"/>
        </w:tabs>
      </w:pPr>
      <w:hyperlink w:anchor="_NAESTMA_TOC_1796" w:history="1">
        <w:r>
          <w:rPr>
            <w:color w:val="466B7A"/>
          </w:rPr>
          <w:t>FAILURE CONTAINMENT, SERVICE CONTINUITY, AND DISTRIBUTED COORDINATION</w:t>
        </w:r>
      </w:hyperlink>
      <w:r>
        <w:tab/>
      </w:r>
      <w:r>
        <w:rPr>
          <w:rFonts w:ascii="Arial" w:hAnsi="Arial"/>
        </w:rPr>
        <w:t>1439</w:t>
      </w:r>
    </w:p>
    <w:p>
      <w:pPr>
        <w:pStyle w:val="TOC1"/>
        <w:widowControl/>
        <w:tabs>
          <w:tab w:pos="8856" w:val="right" w:leader="dot"/>
        </w:tabs>
      </w:pPr>
      <w:hyperlink w:anchor="_NAESTMA_TOC_1797" w:history="1">
        <w:r>
          <w:rPr>
            <w:color w:val="233746"/>
          </w:rPr>
          <w:t>CHAPTER 58</w:t>
        </w:r>
      </w:hyperlink>
      <w:r>
        <w:tab/>
      </w:r>
      <w:r>
        <w:rPr>
          <w:rFonts w:ascii="Arial" w:hAnsi="Arial"/>
        </w:rPr>
        <w:t>1441</w:t>
      </w:r>
    </w:p>
    <w:p>
      <w:pPr>
        <w:pStyle w:val="TOC2"/>
        <w:widowControl/>
        <w:tabs>
          <w:tab w:pos="8856" w:val="right" w:leader="dot"/>
        </w:tabs>
      </w:pPr>
      <w:hyperlink w:anchor="_NAESTMA_TOC_1798" w:history="1">
        <w:r>
          <w:rPr>
            <w:color w:val="466B7A"/>
          </w:rPr>
          <w:t>PROCEDURAL PARTICIPATION, REMEDY SAFEGUARDS, AND TECHNICAL INTEROPERABILITY</w:t>
        </w:r>
      </w:hyperlink>
      <w:r>
        <w:tab/>
      </w:r>
      <w:r>
        <w:rPr>
          <w:rFonts w:ascii="Arial" w:hAnsi="Arial"/>
        </w:rPr>
        <w:t>1441</w:t>
      </w:r>
    </w:p>
    <w:p>
      <w:pPr>
        <w:pStyle w:val="TOC1"/>
        <w:widowControl/>
        <w:tabs>
          <w:tab w:pos="8856" w:val="right" w:leader="dot"/>
        </w:tabs>
      </w:pPr>
      <w:hyperlink w:anchor="_NAESTMA_TOC_1799" w:history="1">
        <w:r>
          <w:rPr>
            <w:color w:val="233746"/>
          </w:rPr>
          <w:t>CHAPTER 59</w:t>
        </w:r>
      </w:hyperlink>
      <w:r>
        <w:tab/>
      </w:r>
      <w:r>
        <w:rPr>
          <w:rFonts w:ascii="Arial" w:hAnsi="Arial"/>
        </w:rPr>
        <w:t>1445</w:t>
      </w:r>
    </w:p>
    <w:p>
      <w:pPr>
        <w:pStyle w:val="TOC2"/>
        <w:widowControl/>
        <w:tabs>
          <w:tab w:pos="8856" w:val="right" w:leader="dot"/>
        </w:tabs>
      </w:pPr>
      <w:hyperlink w:anchor="_NAESTMA_TOC_1800" w:history="1">
        <w:r>
          <w:rPr>
            <w:color w:val="466B7A"/>
          </w:rPr>
          <w:t>NORTH AMERICAN AUTOMOTIVE INTEGRATION, RESILIENCE, AND ENHANCED ORIGIN</w:t>
        </w:r>
      </w:hyperlink>
      <w:r>
        <w:tab/>
      </w:r>
      <w:r>
        <w:rPr>
          <w:rFonts w:ascii="Arial" w:hAnsi="Arial"/>
        </w:rPr>
        <w:t>1445</w:t>
      </w:r>
    </w:p>
    <w:p>
      <w:pPr>
        <w:pStyle w:val="TOC2"/>
        <w:widowControl/>
        <w:tabs>
          <w:tab w:pos="8856" w:val="right" w:leader="dot"/>
        </w:tabs>
      </w:pPr>
      <w:hyperlink w:anchor="_NAESTMA_TOC_1801" w:history="1">
        <w:r>
          <w:rPr>
            <w:color w:val="466B7A"/>
          </w:rPr>
          <w:t>Article 59.1: Objectives and Governing Principles</w:t>
        </w:r>
      </w:hyperlink>
      <w:r>
        <w:tab/>
      </w:r>
      <w:r>
        <w:rPr>
          <w:rFonts w:ascii="Arial" w:hAnsi="Arial"/>
        </w:rPr>
        <w:t>1445</w:t>
      </w:r>
    </w:p>
    <w:p>
      <w:pPr>
        <w:pStyle w:val="TOC2"/>
        <w:widowControl/>
        <w:tabs>
          <w:tab w:pos="8856" w:val="right" w:leader="dot"/>
        </w:tabs>
      </w:pPr>
      <w:hyperlink w:anchor="_NAESTMA_TOC_1802" w:history="1">
        <w:r>
          <w:rPr>
            <w:color w:val="466B7A"/>
          </w:rPr>
          <w:t>Article 59.2: Standard, Enhanced, and Strategic North American Automotive Origin</w:t>
        </w:r>
      </w:hyperlink>
      <w:r>
        <w:tab/>
      </w:r>
      <w:r>
        <w:rPr>
          <w:rFonts w:ascii="Arial" w:hAnsi="Arial"/>
        </w:rPr>
        <w:t>1445</w:t>
      </w:r>
    </w:p>
    <w:p>
      <w:pPr>
        <w:pStyle w:val="TOC2"/>
        <w:widowControl/>
        <w:tabs>
          <w:tab w:pos="8856" w:val="right" w:leader="dot"/>
        </w:tabs>
      </w:pPr>
      <w:hyperlink w:anchor="_NAESTMA_TOC_1803" w:history="1">
        <w:r>
          <w:rPr>
            <w:color w:val="466B7A"/>
          </w:rPr>
          <w:t>Article 59.3: Strategic Component Points System</w:t>
        </w:r>
      </w:hyperlink>
      <w:r>
        <w:tab/>
      </w:r>
      <w:r>
        <w:rPr>
          <w:rFonts w:ascii="Arial" w:hAnsi="Arial"/>
        </w:rPr>
        <w:t>1446</w:t>
      </w:r>
    </w:p>
    <w:p>
      <w:pPr>
        <w:pStyle w:val="TOC2"/>
        <w:widowControl/>
        <w:tabs>
          <w:tab w:pos="8856" w:val="right" w:leader="dot"/>
        </w:tabs>
      </w:pPr>
      <w:hyperlink w:anchor="_NAESTMA_TOC_1804" w:history="1">
        <w:r>
          <w:rPr>
            <w:color w:val="466B7A"/>
          </w:rPr>
          <w:t>Article 59.4: Automotive Supplier Declaration, Advance Ruling, and Good-Faith Cure</w:t>
        </w:r>
      </w:hyperlink>
      <w:r>
        <w:tab/>
      </w:r>
      <w:r>
        <w:rPr>
          <w:rFonts w:ascii="Arial" w:hAnsi="Arial"/>
        </w:rPr>
        <w:t>1446</w:t>
      </w:r>
    </w:p>
    <w:p>
      <w:pPr>
        <w:pStyle w:val="TOC2"/>
        <w:widowControl/>
        <w:tabs>
          <w:tab w:pos="8856" w:val="right" w:leader="dot"/>
        </w:tabs>
      </w:pPr>
      <w:hyperlink w:anchor="_NAESTMA_TOC_1805" w:history="1">
        <w:r>
          <w:rPr>
            <w:color w:val="466B7A"/>
          </w:rPr>
          <w:t>Article 59.5: Non-North-American-Value Tariff Pilot and Valuation Architecture</w:t>
        </w:r>
      </w:hyperlink>
      <w:r>
        <w:tab/>
      </w:r>
      <w:r>
        <w:rPr>
          <w:rFonts w:ascii="Arial" w:hAnsi="Arial"/>
        </w:rPr>
        <w:t>1446</w:t>
      </w:r>
    </w:p>
    <w:p>
      <w:pPr>
        <w:pStyle w:val="TOC2"/>
        <w:widowControl/>
        <w:tabs>
          <w:tab w:pos="8856" w:val="right" w:leader="dot"/>
        </w:tabs>
      </w:pPr>
      <w:hyperlink w:anchor="_NAESTMA_TOC_1806" w:history="1">
        <w:r>
          <w:rPr>
            <w:color w:val="466B7A"/>
          </w:rPr>
          <w:t>Article 59.6: Capacity-Gap Transitional Import and Build-the-Gap Pathway</w:t>
        </w:r>
      </w:hyperlink>
      <w:r>
        <w:tab/>
      </w:r>
      <w:r>
        <w:rPr>
          <w:rFonts w:ascii="Arial" w:hAnsi="Arial"/>
        </w:rPr>
        <w:t>1447</w:t>
      </w:r>
    </w:p>
    <w:p>
      <w:pPr>
        <w:pStyle w:val="TOC2"/>
        <w:widowControl/>
        <w:tabs>
          <w:tab w:pos="8856" w:val="right" w:leader="dot"/>
        </w:tabs>
      </w:pPr>
      <w:hyperlink w:anchor="_NAESTMA_TOC_1807" w:history="1">
        <w:r>
          <w:rPr>
            <w:color w:val="466B7A"/>
          </w:rPr>
          <w:t>Article 59.7: North American Automotive Capacity, Investment, and Nearshoring Platform</w:t>
        </w:r>
      </w:hyperlink>
      <w:r>
        <w:tab/>
      </w:r>
      <w:r>
        <w:rPr>
          <w:rFonts w:ascii="Arial" w:hAnsi="Arial"/>
        </w:rPr>
        <w:t>1447</w:t>
      </w:r>
    </w:p>
    <w:p>
      <w:pPr>
        <w:pStyle w:val="TOC2"/>
        <w:widowControl/>
        <w:tabs>
          <w:tab w:pos="8856" w:val="right" w:leader="dot"/>
        </w:tabs>
      </w:pPr>
      <w:hyperlink w:anchor="_NAESTMA_TOC_1808" w:history="1">
        <w:r>
          <w:rPr>
            <w:color w:val="466B7A"/>
          </w:rPr>
          <w:t>Article 59.8: Supplier Second-Source and Resilience Ladder</w:t>
        </w:r>
      </w:hyperlink>
      <w:r>
        <w:tab/>
      </w:r>
      <w:r>
        <w:rPr>
          <w:rFonts w:ascii="Arial" w:hAnsi="Arial"/>
        </w:rPr>
        <w:t>1448</w:t>
      </w:r>
    </w:p>
    <w:p>
      <w:pPr>
        <w:pStyle w:val="TOC2"/>
        <w:widowControl/>
        <w:tabs>
          <w:tab w:pos="8856" w:val="right" w:leader="dot"/>
        </w:tabs>
      </w:pPr>
      <w:hyperlink w:anchor="_NAESTMA_TOC_1809" w:history="1">
        <w:r>
          <w:rPr>
            <w:color w:val="466B7A"/>
          </w:rPr>
          <w:t>Article 59.9: Trusted Automotive Trade Corridor and Virtual In-Bond System</w:t>
        </w:r>
      </w:hyperlink>
      <w:r>
        <w:tab/>
      </w:r>
      <w:r>
        <w:rPr>
          <w:rFonts w:ascii="Arial" w:hAnsi="Arial"/>
        </w:rPr>
        <w:t>1448</w:t>
      </w:r>
    </w:p>
    <w:p>
      <w:pPr>
        <w:pStyle w:val="TOC2"/>
        <w:widowControl/>
        <w:tabs>
          <w:tab w:pos="8856" w:val="right" w:leader="dot"/>
        </w:tabs>
      </w:pPr>
      <w:hyperlink w:anchor="_NAESTMA_TOC_1810" w:history="1">
        <w:r>
          <w:rPr>
            <w:color w:val="466B7A"/>
          </w:rPr>
          <w:t>Article 59.10: Battery, Strategic Material, and Circular Automotive Lifecycle</w:t>
        </w:r>
      </w:hyperlink>
      <w:r>
        <w:tab/>
      </w:r>
      <w:r>
        <w:rPr>
          <w:rFonts w:ascii="Arial" w:hAnsi="Arial"/>
        </w:rPr>
        <w:t>1448</w:t>
      </w:r>
    </w:p>
    <w:p>
      <w:pPr>
        <w:pStyle w:val="TOC2"/>
        <w:widowControl/>
        <w:tabs>
          <w:tab w:pos="8856" w:val="right" w:leader="dot"/>
        </w:tabs>
      </w:pPr>
      <w:hyperlink w:anchor="_NAESTMA_TOC_1811" w:history="1">
        <w:r>
          <w:rPr>
            <w:color w:val="466B7A"/>
          </w:rPr>
          <w:t>Article 59.11: Semiconductor and Strategic Electronics Resilience</w:t>
        </w:r>
      </w:hyperlink>
      <w:r>
        <w:tab/>
      </w:r>
      <w:r>
        <w:rPr>
          <w:rFonts w:ascii="Arial" w:hAnsi="Arial"/>
        </w:rPr>
        <w:t>1448</w:t>
      </w:r>
    </w:p>
    <w:p>
      <w:pPr>
        <w:pStyle w:val="TOC2"/>
        <w:widowControl/>
        <w:tabs>
          <w:tab w:pos="8856" w:val="right" w:leader="dot"/>
        </w:tabs>
      </w:pPr>
      <w:hyperlink w:anchor="_NAESTMA_TOC_1812" w:history="1">
        <w:r>
          <w:rPr>
            <w:color w:val="466B7A"/>
          </w:rPr>
          <w:t>Article 59.12: Automotive Mutual Recognition, Open Interfaces, and Repair…</w:t>
        </w:r>
      </w:hyperlink>
      <w:r>
        <w:tab/>
      </w:r>
      <w:r>
        <w:rPr>
          <w:rFonts w:ascii="Arial" w:hAnsi="Arial"/>
        </w:rPr>
        <w:t>1449</w:t>
      </w:r>
    </w:p>
    <w:p>
      <w:pPr>
        <w:pStyle w:val="TOC2"/>
        <w:widowControl/>
        <w:tabs>
          <w:tab w:pos="8856" w:val="right" w:leader="dot"/>
        </w:tabs>
      </w:pPr>
      <w:hyperlink w:anchor="_NAESTMA_TOC_1813" w:history="1">
        <w:r>
          <w:rPr>
            <w:color w:val="466B7A"/>
          </w:rPr>
          <w:t>Article 59.13: Vehicle Lifecycle Passport and Secondary-Market Integrity</w:t>
        </w:r>
      </w:hyperlink>
      <w:r>
        <w:tab/>
      </w:r>
      <w:r>
        <w:rPr>
          <w:rFonts w:ascii="Arial" w:hAnsi="Arial"/>
        </w:rPr>
        <w:t>1449</w:t>
      </w:r>
    </w:p>
    <w:p>
      <w:pPr>
        <w:pStyle w:val="TOC2"/>
        <w:widowControl/>
        <w:tabs>
          <w:tab w:pos="8856" w:val="right" w:leader="dot"/>
        </w:tabs>
      </w:pPr>
      <w:hyperlink w:anchor="_NAESTMA_TOC_1814" w:history="1">
        <w:r>
          <w:rPr>
            <w:color w:val="466B7A"/>
          </w:rPr>
          <w:t>Article 59.14: Automotive Skills, Credentials, Mobility, and Workforce Transition</w:t>
        </w:r>
      </w:hyperlink>
      <w:r>
        <w:tab/>
      </w:r>
      <w:r>
        <w:rPr>
          <w:rFonts w:ascii="Arial" w:hAnsi="Arial"/>
        </w:rPr>
        <w:t>1449</w:t>
      </w:r>
    </w:p>
    <w:p>
      <w:pPr>
        <w:pStyle w:val="TOC2"/>
        <w:widowControl/>
        <w:tabs>
          <w:tab w:pos="8856" w:val="right" w:leader="dot"/>
        </w:tabs>
      </w:pPr>
      <w:hyperlink w:anchor="_NAESTMA_TOC_1815" w:history="1">
        <w:r>
          <w:rPr>
            <w:color w:val="466B7A"/>
          </w:rPr>
          <w:t>Article 59.15: Precompetitive Research Commons, Innovation Labs, and Grand Challenges</w:t>
        </w:r>
      </w:hyperlink>
      <w:r>
        <w:tab/>
      </w:r>
      <w:r>
        <w:rPr>
          <w:rFonts w:ascii="Arial" w:hAnsi="Arial"/>
        </w:rPr>
        <w:t>1450</w:t>
      </w:r>
    </w:p>
    <w:p>
      <w:pPr>
        <w:pStyle w:val="TOC2"/>
        <w:widowControl/>
        <w:tabs>
          <w:tab w:pos="8856" w:val="right" w:leader="dot"/>
        </w:tabs>
      </w:pPr>
      <w:hyperlink w:anchor="_NAESTMA_TOC_1816" w:history="1">
        <w:r>
          <w:rPr>
            <w:color w:val="466B7A"/>
          </w:rPr>
          <w:t>Article 59.16: Automotive Cybersecurity, AI Assurance, and Connected-Vehicle Cooperation</w:t>
        </w:r>
      </w:hyperlink>
      <w:r>
        <w:tab/>
      </w:r>
      <w:r>
        <w:rPr>
          <w:rFonts w:ascii="Arial" w:hAnsi="Arial"/>
        </w:rPr>
        <w:t>1450</w:t>
      </w:r>
    </w:p>
    <w:p>
      <w:pPr>
        <w:pStyle w:val="TOC2"/>
        <w:widowControl/>
        <w:tabs>
          <w:tab w:pos="8856" w:val="right" w:leader="dot"/>
        </w:tabs>
      </w:pPr>
      <w:hyperlink w:anchor="_NAESTMA_TOC_1817" w:history="1">
        <w:r>
          <w:rPr>
            <w:color w:val="466B7A"/>
          </w:rPr>
          <w:t>Article 59.17: Infrastructure, Grid, Water, Logistics, and All-Hazards Resilience</w:t>
        </w:r>
      </w:hyperlink>
      <w:r>
        <w:tab/>
      </w:r>
      <w:r>
        <w:rPr>
          <w:rFonts w:ascii="Arial" w:hAnsi="Arial"/>
        </w:rPr>
        <w:t>1450</w:t>
      </w:r>
    </w:p>
    <w:p>
      <w:pPr>
        <w:pStyle w:val="TOC2"/>
        <w:widowControl/>
        <w:tabs>
          <w:tab w:pos="8856" w:val="right" w:leader="dot"/>
        </w:tabs>
      </w:pPr>
      <w:hyperlink w:anchor="_NAESTMA_TOC_1818" w:history="1">
        <w:r>
          <w:rPr>
            <w:color w:val="466B7A"/>
          </w:rPr>
          <w:t>Article 59.18: Sustainable Materials and Environmental Performance</w:t>
        </w:r>
      </w:hyperlink>
      <w:r>
        <w:tab/>
      </w:r>
      <w:r>
        <w:rPr>
          <w:rFonts w:ascii="Arial" w:hAnsi="Arial"/>
        </w:rPr>
        <w:t>1451</w:t>
      </w:r>
    </w:p>
    <w:p>
      <w:pPr>
        <w:pStyle w:val="TOC2"/>
        <w:widowControl/>
        <w:tabs>
          <w:tab w:pos="8856" w:val="right" w:leader="dot"/>
        </w:tabs>
      </w:pPr>
      <w:hyperlink w:anchor="_NAESTMA_TOC_1819" w:history="1">
        <w:r>
          <w:rPr>
            <w:color w:val="466B7A"/>
          </w:rPr>
          <w:t>Article 59.19: Cothrom Automotive Stabilizer and Crisis Management</w:t>
        </w:r>
      </w:hyperlink>
      <w:r>
        <w:tab/>
      </w:r>
      <w:r>
        <w:rPr>
          <w:rFonts w:ascii="Arial" w:hAnsi="Arial"/>
        </w:rPr>
        <w:t>1451</w:t>
      </w:r>
    </w:p>
    <w:p>
      <w:pPr>
        <w:pStyle w:val="TOC2"/>
        <w:widowControl/>
        <w:tabs>
          <w:tab w:pos="8856" w:val="right" w:leader="dot"/>
        </w:tabs>
      </w:pPr>
      <w:hyperlink w:anchor="_NAESTMA_TOC_1820" w:history="1">
        <w:r>
          <w:rPr>
            <w:color w:val="466B7A"/>
          </w:rPr>
          <w:t>Article 59.20: Automotive Performance Dashboard, Machine-Readable Rules, and Rolling…</w:t>
        </w:r>
      </w:hyperlink>
      <w:r>
        <w:tab/>
      </w:r>
      <w:r>
        <w:rPr>
          <w:rFonts w:ascii="Arial" w:hAnsi="Arial"/>
        </w:rPr>
        <w:t>1451</w:t>
      </w:r>
    </w:p>
    <w:p>
      <w:pPr>
        <w:pStyle w:val="TOC2"/>
        <w:widowControl/>
        <w:tabs>
          <w:tab w:pos="8856" w:val="right" w:leader="dot"/>
        </w:tabs>
      </w:pPr>
      <w:hyperlink w:anchor="_NAESTMA_TOC_1821" w:history="1">
        <w:r>
          <w:rPr>
            <w:color w:val="466B7A"/>
          </w:rPr>
          <w:t>Article 59.21: Relationship to Other Chapters and Non-Derogation</w:t>
        </w:r>
      </w:hyperlink>
      <w:r>
        <w:tab/>
      </w:r>
      <w:r>
        <w:rPr>
          <w:rFonts w:ascii="Arial" w:hAnsi="Arial"/>
        </w:rPr>
        <w:t>1452</w:t>
      </w:r>
    </w:p>
    <w:p>
      <w:pPr>
        <w:pStyle w:val="TOC2"/>
        <w:widowControl/>
        <w:tabs>
          <w:tab w:pos="8856" w:val="right" w:leader="dot"/>
        </w:tabs>
      </w:pPr>
      <w:hyperlink w:anchor="_NAESTMA_TOC_1822" w:history="1">
        <w:r>
          <w:rPr>
            <w:color w:val="466B7A"/>
          </w:rPr>
          <w:t>Article 59.22: Mexican Automotive Tariff Normalization and Continental Additionality</w:t>
        </w:r>
      </w:hyperlink>
      <w:r>
        <w:tab/>
      </w:r>
      <w:r>
        <w:rPr>
          <w:rFonts w:ascii="Arial" w:hAnsi="Arial"/>
        </w:rPr>
        <w:t>1452</w:t>
      </w:r>
    </w:p>
    <w:p>
      <w:pPr>
        <w:pStyle w:val="TOC2"/>
        <w:widowControl/>
        <w:tabs>
          <w:tab w:pos="8856" w:val="right" w:leader="dot"/>
        </w:tabs>
      </w:pPr>
      <w:hyperlink w:anchor="_NAESTMA_TOC_1823" w:history="1">
        <w:r>
          <w:rPr>
            <w:color w:val="466B7A"/>
          </w:rPr>
          <w:t>Article 59.22A: Automotive Full-Scope and Anti-Cherry-Picking Guarantee</w:t>
        </w:r>
      </w:hyperlink>
      <w:r>
        <w:tab/>
      </w:r>
      <w:r>
        <w:rPr>
          <w:rFonts w:ascii="Arial" w:hAnsi="Arial"/>
        </w:rPr>
        <w:t>1453</w:t>
      </w:r>
    </w:p>
    <w:p>
      <w:pPr>
        <w:pStyle w:val="TOC2"/>
        <w:widowControl/>
        <w:tabs>
          <w:tab w:pos="8856" w:val="right" w:leader="dot"/>
        </w:tabs>
      </w:pPr>
      <w:hyperlink w:anchor="_NAESTMA_TOC_1824" w:history="1">
        <w:r>
          <w:rPr>
            <w:color w:val="466B7A"/>
          </w:rPr>
          <w:t>Article 59.23: Automotive Platform and Model-Family Content Banking</w:t>
        </w:r>
      </w:hyperlink>
      <w:r>
        <w:tab/>
      </w:r>
      <w:r>
        <w:rPr>
          <w:rFonts w:ascii="Arial" w:hAnsi="Arial"/>
        </w:rPr>
        <w:t>1453</w:t>
      </w:r>
    </w:p>
    <w:p>
      <w:pPr>
        <w:pStyle w:val="TOC2"/>
        <w:widowControl/>
        <w:tabs>
          <w:tab w:pos="8856" w:val="right" w:leader="dot"/>
        </w:tabs>
      </w:pPr>
      <w:hyperlink w:anchor="_NAESTMA_TOC_1825" w:history="1">
        <w:r>
          <w:rPr>
            <w:color w:val="466B7A"/>
          </w:rPr>
          <w:t>Article 59.24: Automotive Qualification Commons and Shared Failure Analysis</w:t>
        </w:r>
      </w:hyperlink>
      <w:r>
        <w:tab/>
      </w:r>
      <w:r>
        <w:rPr>
          <w:rFonts w:ascii="Arial" w:hAnsi="Arial"/>
        </w:rPr>
        <w:t>1454</w:t>
      </w:r>
    </w:p>
    <w:p>
      <w:pPr>
        <w:pStyle w:val="TOC2"/>
        <w:widowControl/>
        <w:tabs>
          <w:tab w:pos="8856" w:val="right" w:leader="dot"/>
        </w:tabs>
      </w:pPr>
      <w:hyperlink w:anchor="_NAESTMA_TOC_1826" w:history="1">
        <w:r>
          <w:rPr>
            <w:color w:val="466B7A"/>
          </w:rPr>
          <w:t>Article 59.25: Investment-Linked Transitional Tariff Credit</w:t>
        </w:r>
      </w:hyperlink>
      <w:r>
        <w:tab/>
      </w:r>
      <w:r>
        <w:rPr>
          <w:rFonts w:ascii="Arial" w:hAnsi="Arial"/>
        </w:rPr>
        <w:t>1454</w:t>
      </w:r>
    </w:p>
    <w:p>
      <w:pPr>
        <w:pStyle w:val="TOC2"/>
        <w:widowControl/>
        <w:tabs>
          <w:tab w:pos="8856" w:val="right" w:leader="dot"/>
        </w:tabs>
      </w:pPr>
      <w:hyperlink w:anchor="_NAESTMA_TOC_1827" w:history="1">
        <w:r>
          <w:rPr>
            <w:color w:val="466B7A"/>
          </w:rPr>
          <w:t>ANNEX 59-A: AUTOMOTIVE ENHANCED-TIER IMPLEMENTATION FRAMEWORK</w:t>
        </w:r>
      </w:hyperlink>
      <w:r>
        <w:tab/>
      </w:r>
      <w:r>
        <w:rPr>
          <w:rFonts w:ascii="Arial" w:hAnsi="Arial"/>
        </w:rPr>
        <w:t>1454</w:t>
      </w:r>
    </w:p>
    <w:p>
      <w:pPr>
        <w:pStyle w:val="TOC2"/>
        <w:widowControl/>
        <w:tabs>
          <w:tab w:pos="8856" w:val="right" w:leader="dot"/>
        </w:tabs>
      </w:pPr>
      <w:hyperlink w:anchor="_NAESTMA_TOC_1828" w:history="1">
        <w:r>
          <w:rPr>
            <w:color w:val="466B7A"/>
          </w:rPr>
          <w:t>Article 59.5A: North American Automotive Settlement Rate and Earned Integration Credits</w:t>
        </w:r>
      </w:hyperlink>
      <w:r>
        <w:tab/>
      </w:r>
      <w:r>
        <w:rPr>
          <w:rFonts w:ascii="Arial" w:hAnsi="Arial"/>
        </w:rPr>
        <w:t>1456</w:t>
      </w:r>
    </w:p>
    <w:p>
      <w:pPr>
        <w:pStyle w:val="TOC2"/>
        <w:widowControl/>
        <w:tabs>
          <w:tab w:pos="8856" w:val="right" w:leader="dot"/>
        </w:tabs>
      </w:pPr>
      <w:hyperlink w:anchor="_NAESTMA_TOC_1829" w:history="1">
        <w:r>
          <w:rPr>
            <w:color w:val="466B7A"/>
          </w:rPr>
          <w:t>ANNEX 59-B: AUTOMOTIVE SETTLEMENT AND INCENTIVE BACKLOG FRAMEWORK</w:t>
        </w:r>
      </w:hyperlink>
      <w:r>
        <w:tab/>
      </w:r>
      <w:r>
        <w:rPr>
          <w:rFonts w:ascii="Arial" w:hAnsi="Arial"/>
        </w:rPr>
        <w:t>1458</w:t>
      </w:r>
    </w:p>
    <w:p>
      <w:pPr>
        <w:pStyle w:val="TOC1"/>
        <w:widowControl/>
        <w:tabs>
          <w:tab w:pos="8856" w:val="right" w:leader="dot"/>
        </w:tabs>
      </w:pPr>
      <w:hyperlink w:anchor="_NAESTMA_TOC_1830" w:history="1">
        <w:r>
          <w:rPr>
            <w:color w:val="233746"/>
          </w:rPr>
          <w:t>PACKAGE X — 13.8 PERCENT AUTOMOTIVE SETTLEMENT AND EARNED-INTEGRATION ARCHITECTURE (v4.3)</w:t>
        </w:r>
      </w:hyperlink>
      <w:r>
        <w:tab/>
      </w:r>
      <w:r>
        <w:rPr>
          <w:rFonts w:ascii="Arial" w:hAnsi="Arial"/>
        </w:rPr>
        <w:t>1461</w:t>
      </w:r>
    </w:p>
    <w:p>
      <w:pPr>
        <w:pStyle w:val="TOC2"/>
        <w:widowControl/>
        <w:tabs>
          <w:tab w:pos="8856" w:val="right" w:leader="dot"/>
        </w:tabs>
      </w:pPr>
      <w:hyperlink w:anchor="_NAESTMA_TOC_1831" w:history="1">
        <w:r>
          <w:rPr>
            <w:color w:val="466B7A"/>
          </w:rPr>
          <w:t>PACKAGE W — AUTOMOTIVE INTEGRATION, ENHANCED ORIGIN, AND RESILIENCE</w:t>
        </w:r>
      </w:hyperlink>
      <w:r>
        <w:tab/>
      </w:r>
      <w:r>
        <w:rPr>
          <w:rFonts w:ascii="Arial" w:hAnsi="Arial"/>
        </w:rPr>
        <w:t>1461</w:t>
      </w:r>
    </w:p>
    <w:p>
      <w:pPr>
        <w:pStyle w:val="TOC2"/>
        <w:widowControl/>
        <w:tabs>
          <w:tab w:pos="8856" w:val="right" w:leader="dot"/>
        </w:tabs>
      </w:pPr>
      <w:hyperlink w:anchor="_NAESTMA_TOC_1832" w:history="1">
        <w:r>
          <w:rPr>
            <w:color w:val="466B7A"/>
          </w:rPr>
          <w:t>Article 59.26: Automotive Administrative Implementation Standard</w:t>
        </w:r>
      </w:hyperlink>
      <w:r>
        <w:tab/>
      </w:r>
      <w:r>
        <w:rPr>
          <w:rFonts w:ascii="Arial" w:hAnsi="Arial"/>
        </w:rPr>
        <w:t>1461</w:t>
      </w:r>
    </w:p>
    <w:p>
      <w:pPr>
        <w:pStyle w:val="TOC1"/>
        <w:widowControl/>
        <w:tabs>
          <w:tab w:pos="8856" w:val="right" w:leader="dot"/>
        </w:tabs>
      </w:pPr>
      <w:hyperlink w:anchor="_NAESTMA_TOC_1833" w:history="1">
        <w:r>
          <w:rPr>
            <w:color w:val="233746"/>
          </w:rPr>
          <w:t>CHAPTER 60</w:t>
        </w:r>
      </w:hyperlink>
      <w:r>
        <w:tab/>
      </w:r>
      <w:r>
        <w:rPr>
          <w:rFonts w:ascii="Arial" w:hAnsi="Arial"/>
        </w:rPr>
        <w:t>1462</w:t>
      </w:r>
    </w:p>
    <w:p>
      <w:pPr>
        <w:pStyle w:val="TOC2"/>
        <w:widowControl/>
        <w:tabs>
          <w:tab w:pos="8856" w:val="right" w:leader="dot"/>
        </w:tabs>
      </w:pPr>
      <w:hyperlink w:anchor="_NAESTMA_TOC_1834" w:history="1">
        <w:r>
          <w:rPr>
            <w:color w:val="466B7A"/>
          </w:rPr>
          <w:t>CROSS-BORDER ENFORCEMENT SOVEREIGNTY, DATA PURPOSE LIMITATION, AND PROTECTED COOPERATION</w:t>
        </w:r>
      </w:hyperlink>
      <w:r>
        <w:tab/>
      </w:r>
      <w:r>
        <w:rPr>
          <w:rFonts w:ascii="Arial" w:hAnsi="Arial"/>
        </w:rPr>
        <w:t>1462</w:t>
      </w:r>
    </w:p>
    <w:p>
      <w:pPr>
        <w:pStyle w:val="TOC2"/>
        <w:widowControl/>
        <w:tabs>
          <w:tab w:pos="8856" w:val="right" w:leader="dot"/>
        </w:tabs>
      </w:pPr>
      <w:hyperlink w:anchor="_NAESTMA_TOC_1835" w:history="1">
        <w:r>
          <w:rPr>
            <w:color w:val="466B7A"/>
          </w:rPr>
          <w:t>Article 60.1: Territorial Sovereignty and Non-Delegation of Enforcement Authority</w:t>
        </w:r>
      </w:hyperlink>
      <w:r>
        <w:tab/>
      </w:r>
      <w:r>
        <w:rPr>
          <w:rFonts w:ascii="Arial" w:hAnsi="Arial"/>
        </w:rPr>
        <w:t>1462</w:t>
      </w:r>
    </w:p>
    <w:p>
      <w:pPr>
        <w:pStyle w:val="TOC2"/>
        <w:widowControl/>
        <w:tabs>
          <w:tab w:pos="8856" w:val="right" w:leader="dot"/>
        </w:tabs>
      </w:pPr>
      <w:hyperlink w:anchor="_NAESTMA_TOC_1836" w:history="1">
        <w:r>
          <w:rPr>
            <w:color w:val="466B7A"/>
          </w:rPr>
          <w:t>Article 60.2: Treaty Data Shall Not Create General Immigration-Enforcement Authority</w:t>
        </w:r>
      </w:hyperlink>
      <w:r>
        <w:tab/>
      </w:r>
      <w:r>
        <w:rPr>
          <w:rFonts w:ascii="Arial" w:hAnsi="Arial"/>
        </w:rPr>
        <w:t>1462</w:t>
      </w:r>
    </w:p>
    <w:p>
      <w:pPr>
        <w:pStyle w:val="TOC2"/>
        <w:widowControl/>
        <w:tabs>
          <w:tab w:pos="8856" w:val="right" w:leader="dot"/>
        </w:tabs>
      </w:pPr>
      <w:hyperlink w:anchor="_NAESTMA_TOC_1837" w:history="1">
        <w:r>
          <w:rPr>
            <w:color w:val="466B7A"/>
          </w:rPr>
          <w:t>Article 60.3: Purpose Limitation, Necessity, and Data Minimization</w:t>
        </w:r>
      </w:hyperlink>
      <w:r>
        <w:tab/>
      </w:r>
      <w:r>
        <w:rPr>
          <w:rFonts w:ascii="Arial" w:hAnsi="Arial"/>
        </w:rPr>
        <w:t>1462</w:t>
      </w:r>
    </w:p>
    <w:p>
      <w:pPr>
        <w:pStyle w:val="TOC2"/>
        <w:widowControl/>
        <w:tabs>
          <w:tab w:pos="8856" w:val="right" w:leader="dot"/>
        </w:tabs>
      </w:pPr>
      <w:hyperlink w:anchor="_NAESTMA_TOC_1838" w:history="1">
        <w:r>
          <w:rPr>
            <w:color w:val="466B7A"/>
          </w:rPr>
          <w:t>Article 60.4: Sensitive Institutions and Humanitarian Information Firewall</w:t>
        </w:r>
      </w:hyperlink>
      <w:r>
        <w:tab/>
      </w:r>
      <w:r>
        <w:rPr>
          <w:rFonts w:ascii="Arial" w:hAnsi="Arial"/>
        </w:rPr>
        <w:t>1462</w:t>
      </w:r>
    </w:p>
    <w:p>
      <w:pPr>
        <w:pStyle w:val="TOC2"/>
        <w:widowControl/>
        <w:tabs>
          <w:tab w:pos="8856" w:val="right" w:leader="dot"/>
        </w:tabs>
      </w:pPr>
      <w:hyperlink w:anchor="_NAESTMA_TOC_1839" w:history="1">
        <w:r>
          <w:rPr>
            <w:color w:val="466B7A"/>
          </w:rPr>
          <w:t>Article 60.5: Foreign Enforcement Officer Stand-Down Protocol</w:t>
        </w:r>
      </w:hyperlink>
      <w:r>
        <w:tab/>
      </w:r>
      <w:r>
        <w:rPr>
          <w:rFonts w:ascii="Arial" w:hAnsi="Arial"/>
        </w:rPr>
        <w:t>1462</w:t>
      </w:r>
    </w:p>
    <w:p>
      <w:pPr>
        <w:pStyle w:val="TOC2"/>
        <w:widowControl/>
        <w:tabs>
          <w:tab w:pos="8856" w:val="right" w:leader="dot"/>
        </w:tabs>
      </w:pPr>
      <w:hyperlink w:anchor="_NAESTMA_TOC_1840" w:history="1">
        <w:r>
          <w:rPr>
            <w:color w:val="466B7A"/>
          </w:rPr>
          <w:t>Article 60.6: Non-Discrimination in Treaty-Enabled Enforcement Cooperation</w:t>
        </w:r>
      </w:hyperlink>
      <w:r>
        <w:tab/>
      </w:r>
      <w:r>
        <w:rPr>
          <w:rFonts w:ascii="Arial" w:hAnsi="Arial"/>
        </w:rPr>
        <w:t>1463</w:t>
      </w:r>
    </w:p>
    <w:p>
      <w:pPr>
        <w:pStyle w:val="TOC2"/>
        <w:widowControl/>
        <w:tabs>
          <w:tab w:pos="8856" w:val="right" w:leader="dot"/>
        </w:tabs>
      </w:pPr>
      <w:hyperlink w:anchor="_NAESTMA_TOC_1841" w:history="1">
        <w:r>
          <w:rPr>
            <w:color w:val="466B7A"/>
          </w:rPr>
          <w:t>Article 60.7: No Automatic Execution of Foreign Civil Immigration Measures</w:t>
        </w:r>
      </w:hyperlink>
      <w:r>
        <w:tab/>
      </w:r>
      <w:r>
        <w:rPr>
          <w:rFonts w:ascii="Arial" w:hAnsi="Arial"/>
        </w:rPr>
        <w:t>1463</w:t>
      </w:r>
    </w:p>
    <w:p>
      <w:pPr>
        <w:pStyle w:val="TOC2"/>
        <w:widowControl/>
        <w:tabs>
          <w:tab w:pos="8856" w:val="right" w:leader="dot"/>
        </w:tabs>
      </w:pPr>
      <w:hyperlink w:anchor="_NAESTMA_TOC_1842" w:history="1">
        <w:r>
          <w:rPr>
            <w:color w:val="466B7A"/>
          </w:rPr>
          <w:t>Article 60.8: Oversight, Complaint, and Remedy</w:t>
        </w:r>
      </w:hyperlink>
      <w:r>
        <w:tab/>
      </w:r>
      <w:r>
        <w:rPr>
          <w:rFonts w:ascii="Arial" w:hAnsi="Arial"/>
        </w:rPr>
        <w:t>1463</w:t>
      </w:r>
    </w:p>
    <w:p>
      <w:pPr>
        <w:pStyle w:val="TOC1"/>
        <w:widowControl/>
        <w:tabs>
          <w:tab w:pos="8856" w:val="right" w:leader="dot"/>
        </w:tabs>
      </w:pPr>
      <w:hyperlink w:anchor="_NAESTMA_TOC_1843" w:history="1">
        <w:r>
          <w:rPr>
            <w:color w:val="233746"/>
          </w:rPr>
          <w:t>CHAPTER 61</w:t>
        </w:r>
      </w:hyperlink>
      <w:r>
        <w:tab/>
      </w:r>
      <w:r>
        <w:rPr>
          <w:rFonts w:ascii="Arial" w:hAnsi="Arial"/>
        </w:rPr>
        <w:t>1464</w:t>
      </w:r>
    </w:p>
    <w:p>
      <w:pPr>
        <w:pStyle w:val="TOC2"/>
        <w:widowControl/>
        <w:tabs>
          <w:tab w:pos="8856" w:val="right" w:leader="dot"/>
        </w:tabs>
      </w:pPr>
      <w:hyperlink w:anchor="_NAESTMA_TOC_1844" w:history="1">
        <w:r>
          <w:rPr>
            <w:color w:val="466B7A"/>
          </w:rPr>
          <w:t>NORTH AMERICAN DEFENSE-INDUSTRIAL MATERIALS, CAPACITY, AND PROCUREMENT RESILIENCE</w:t>
        </w:r>
      </w:hyperlink>
      <w:r>
        <w:tab/>
      </w:r>
      <w:r>
        <w:rPr>
          <w:rFonts w:ascii="Arial" w:hAnsi="Arial"/>
        </w:rPr>
        <w:t>1464</w:t>
      </w:r>
    </w:p>
    <w:p>
      <w:pPr>
        <w:pStyle w:val="TOC2"/>
        <w:widowControl/>
        <w:tabs>
          <w:tab w:pos="8856" w:val="right" w:leader="dot"/>
        </w:tabs>
      </w:pPr>
      <w:hyperlink w:anchor="_NAESTMA_TOC_1845" w:history="1">
        <w:r>
          <w:rPr>
            <w:color w:val="466B7A"/>
          </w:rPr>
          <w:t>Article 61.1: Objectives</w:t>
        </w:r>
      </w:hyperlink>
      <w:r>
        <w:tab/>
      </w:r>
      <w:r>
        <w:rPr>
          <w:rFonts w:ascii="Arial" w:hAnsi="Arial"/>
        </w:rPr>
        <w:t>1464</w:t>
      </w:r>
    </w:p>
    <w:p>
      <w:pPr>
        <w:pStyle w:val="TOC2"/>
        <w:widowControl/>
        <w:tabs>
          <w:tab w:pos="8856" w:val="right" w:leader="dot"/>
        </w:tabs>
      </w:pPr>
      <w:hyperlink w:anchor="_NAESTMA_TOC_1846" w:history="1">
        <w:r>
          <w:rPr>
            <w:color w:val="466B7A"/>
          </w:rPr>
          <w:t>Article 61.2: Defense-Industrial Materials Security Lane</w:t>
        </w:r>
      </w:hyperlink>
      <w:r>
        <w:tab/>
      </w:r>
      <w:r>
        <w:rPr>
          <w:rFonts w:ascii="Arial" w:hAnsi="Arial"/>
        </w:rPr>
        <w:t>1464</w:t>
      </w:r>
    </w:p>
    <w:p>
      <w:pPr>
        <w:pStyle w:val="TOC2"/>
        <w:widowControl/>
        <w:tabs>
          <w:tab w:pos="8856" w:val="right" w:leader="dot"/>
        </w:tabs>
      </w:pPr>
      <w:hyperlink w:anchor="_NAESTMA_TOC_1847" w:history="1">
        <w:r>
          <w:rPr>
            <w:color w:val="466B7A"/>
          </w:rPr>
          <w:t>Article 61.3: Long-Term Offtake and Demand-Signal Framework</w:t>
        </w:r>
      </w:hyperlink>
      <w:r>
        <w:tab/>
      </w:r>
      <w:r>
        <w:rPr>
          <w:rFonts w:ascii="Arial" w:hAnsi="Arial"/>
        </w:rPr>
        <w:t>1464</w:t>
      </w:r>
    </w:p>
    <w:p>
      <w:pPr>
        <w:pStyle w:val="TOC2"/>
        <w:widowControl/>
        <w:tabs>
          <w:tab w:pos="8856" w:val="right" w:leader="dot"/>
        </w:tabs>
      </w:pPr>
      <w:hyperlink w:anchor="_NAESTMA_TOC_1848" w:history="1">
        <w:r>
          <w:rPr>
            <w:color w:val="466B7A"/>
          </w:rPr>
          <w:t>Article 61.4: Reciprocal Supplier Qualification and Procurement Access</w:t>
        </w:r>
      </w:hyperlink>
      <w:r>
        <w:tab/>
      </w:r>
      <w:r>
        <w:rPr>
          <w:rFonts w:ascii="Arial" w:hAnsi="Arial"/>
        </w:rPr>
        <w:t>1464</w:t>
      </w:r>
    </w:p>
    <w:p>
      <w:pPr>
        <w:pStyle w:val="TOC2"/>
        <w:widowControl/>
        <w:tabs>
          <w:tab w:pos="8856" w:val="right" w:leader="dot"/>
        </w:tabs>
      </w:pPr>
      <w:hyperlink w:anchor="_NAESTMA_TOC_1849" w:history="1">
        <w:r>
          <w:rPr>
            <w:color w:val="466B7A"/>
          </w:rPr>
          <w:t>Article 61.5: North American Defense-Industrial Materials Reserve</w:t>
        </w:r>
      </w:hyperlink>
      <w:r>
        <w:tab/>
      </w:r>
      <w:r>
        <w:rPr>
          <w:rFonts w:ascii="Arial" w:hAnsi="Arial"/>
        </w:rPr>
        <w:t>1464</w:t>
      </w:r>
    </w:p>
    <w:p>
      <w:pPr>
        <w:pStyle w:val="TOC2"/>
        <w:widowControl/>
        <w:tabs>
          <w:tab w:pos="8856" w:val="right" w:leader="dot"/>
        </w:tabs>
      </w:pPr>
      <w:hyperlink w:anchor="_NAESTMA_TOC_1850" w:history="1">
        <w:r>
          <w:rPr>
            <w:color w:val="466B7A"/>
          </w:rPr>
          <w:t>Article 61.6: Surge Capacity and Industrial Mobilization</w:t>
        </w:r>
      </w:hyperlink>
      <w:r>
        <w:tab/>
      </w:r>
      <w:r>
        <w:rPr>
          <w:rFonts w:ascii="Arial" w:hAnsi="Arial"/>
        </w:rPr>
        <w:t>1465</w:t>
      </w:r>
    </w:p>
    <w:p>
      <w:pPr>
        <w:pStyle w:val="TOC2"/>
        <w:widowControl/>
        <w:tabs>
          <w:tab w:pos="8856" w:val="right" w:leader="dot"/>
        </w:tabs>
      </w:pPr>
      <w:hyperlink w:anchor="_NAESTMA_TOC_1851" w:history="1">
        <w:r>
          <w:rPr>
            <w:color w:val="466B7A"/>
          </w:rPr>
          <w:t>Article 61.7: Civilian Priority Firewall</w:t>
        </w:r>
      </w:hyperlink>
      <w:r>
        <w:tab/>
      </w:r>
      <w:r>
        <w:rPr>
          <w:rFonts w:ascii="Arial" w:hAnsi="Arial"/>
        </w:rPr>
        <w:t>1465</w:t>
      </w:r>
    </w:p>
    <w:p>
      <w:pPr>
        <w:pStyle w:val="TOC2"/>
        <w:widowControl/>
        <w:tabs>
          <w:tab w:pos="8856" w:val="right" w:leader="dot"/>
        </w:tabs>
      </w:pPr>
      <w:hyperlink w:anchor="_NAESTMA_TOC_1852" w:history="1">
        <w:r>
          <w:rPr>
            <w:color w:val="466B7A"/>
          </w:rPr>
          <w:t>Article 61.8: Recycling, Recovery, and Circular Strategic Materials</w:t>
        </w:r>
      </w:hyperlink>
      <w:r>
        <w:tab/>
      </w:r>
      <w:r>
        <w:rPr>
          <w:rFonts w:ascii="Arial" w:hAnsi="Arial"/>
        </w:rPr>
        <w:t>1465</w:t>
      </w:r>
    </w:p>
    <w:p>
      <w:pPr>
        <w:pStyle w:val="TOC2"/>
        <w:widowControl/>
        <w:tabs>
          <w:tab w:pos="8856" w:val="right" w:leader="dot"/>
        </w:tabs>
      </w:pPr>
      <w:hyperlink w:anchor="_NAESTMA_TOC_1853" w:history="1">
        <w:r>
          <w:rPr>
            <w:color w:val="466B7A"/>
          </w:rPr>
          <w:t>Article 61.9: Workforce and Facility Resilience</w:t>
        </w:r>
      </w:hyperlink>
      <w:r>
        <w:tab/>
      </w:r>
      <w:r>
        <w:rPr>
          <w:rFonts w:ascii="Arial" w:hAnsi="Arial"/>
        </w:rPr>
        <w:t>1465</w:t>
      </w:r>
    </w:p>
    <w:p>
      <w:pPr>
        <w:pStyle w:val="TOC2"/>
        <w:widowControl/>
        <w:tabs>
          <w:tab w:pos="8856" w:val="right" w:leader="dot"/>
        </w:tabs>
      </w:pPr>
      <w:hyperlink w:anchor="_NAESTMA_TOC_1854" w:history="1">
        <w:r>
          <w:rPr>
            <w:color w:val="466B7A"/>
          </w:rPr>
          <w:t>Article 61.10: Cothrom Review and No Cross-Sector Punishment</w:t>
        </w:r>
      </w:hyperlink>
      <w:r>
        <w:tab/>
      </w:r>
      <w:r>
        <w:rPr>
          <w:rFonts w:ascii="Arial" w:hAnsi="Arial"/>
        </w:rPr>
        <w:t>1465</w:t>
      </w:r>
    </w:p>
    <w:p>
      <w:pPr>
        <w:pStyle w:val="TOC2"/>
        <w:widowControl/>
        <w:tabs>
          <w:tab w:pos="8856" w:val="right" w:leader="dot"/>
        </w:tabs>
      </w:pPr>
      <w:hyperlink w:anchor="_NAESTMA_TOC_1855" w:history="1">
        <w:r>
          <w:rPr>
            <w:color w:val="466B7A"/>
          </w:rPr>
          <w:t>IMPLEMENTATION INSTRUMENT I-1: DAY-ONE / DAY-30 / DAY-90 / YEAR-ONE ROADMAP</w:t>
        </w:r>
      </w:hyperlink>
      <w:r>
        <w:tab/>
      </w:r>
      <w:r>
        <w:rPr>
          <w:rFonts w:ascii="Arial" w:hAnsi="Arial"/>
        </w:rPr>
        <w:t>1466</w:t>
      </w:r>
    </w:p>
    <w:p>
      <w:pPr>
        <w:pStyle w:val="TOC1"/>
        <w:widowControl/>
        <w:tabs>
          <w:tab w:pos="8856" w:val="right" w:leader="dot"/>
        </w:tabs>
      </w:pPr>
      <w:hyperlink w:anchor="_NAESTMA_TOC_1856" w:history="1">
        <w:r>
          <w:rPr>
            <w:color w:val="233746"/>
          </w:rPr>
          <w:t>CHAPTER 62</w:t>
        </w:r>
      </w:hyperlink>
      <w:r>
        <w:tab/>
      </w:r>
      <w:r>
        <w:rPr>
          <w:rFonts w:ascii="Arial" w:hAnsi="Arial"/>
        </w:rPr>
        <w:t>1467</w:t>
      </w:r>
    </w:p>
    <w:p>
      <w:pPr>
        <w:pStyle w:val="TOC2"/>
        <w:widowControl/>
        <w:tabs>
          <w:tab w:pos="8856" w:val="right" w:leader="dot"/>
        </w:tabs>
      </w:pPr>
      <w:hyperlink w:anchor="_NAESTMA_TOC_1857" w:history="1">
        <w:r>
          <w:rPr>
            <w:color w:val="466B7A"/>
          </w:rPr>
          <w:t>NORTH AMERICAN DISASTER RESILIENCE, MUTUAL ASSISTANCE, AND ECONOMIC CONTINUITY</w:t>
        </w:r>
      </w:hyperlink>
      <w:r>
        <w:tab/>
      </w:r>
      <w:r>
        <w:rPr>
          <w:rFonts w:ascii="Arial" w:hAnsi="Arial"/>
        </w:rPr>
        <w:t>1467</w:t>
      </w:r>
    </w:p>
    <w:p>
      <w:pPr>
        <w:pStyle w:val="TOC2"/>
        <w:widowControl/>
        <w:tabs>
          <w:tab w:pos="8856" w:val="right" w:leader="dot"/>
        </w:tabs>
      </w:pPr>
      <w:hyperlink w:anchor="_NAESTMA_TOC_1858" w:history="1">
        <w:r>
          <w:rPr>
            <w:color w:val="466B7A"/>
          </w:rPr>
          <w:t>Article 62.1: Purpose and Scope</w:t>
        </w:r>
      </w:hyperlink>
      <w:r>
        <w:tab/>
      </w:r>
      <w:r>
        <w:rPr>
          <w:rFonts w:ascii="Arial" w:hAnsi="Arial"/>
        </w:rPr>
        <w:t>1467</w:t>
      </w:r>
    </w:p>
    <w:p>
      <w:pPr>
        <w:pStyle w:val="TOC2"/>
        <w:widowControl/>
        <w:tabs>
          <w:tab w:pos="8856" w:val="right" w:leader="dot"/>
        </w:tabs>
      </w:pPr>
      <w:hyperlink w:anchor="_NAESTMA_TOC_1859" w:history="1">
        <w:r>
          <w:rPr>
            <w:color w:val="466B7A"/>
          </w:rPr>
          <w:t>Article 62.2: North American Emergency Mutual Assistance Compact</w:t>
        </w:r>
      </w:hyperlink>
      <w:r>
        <w:tab/>
      </w:r>
      <w:r>
        <w:rPr>
          <w:rFonts w:ascii="Arial" w:hAnsi="Arial"/>
        </w:rPr>
        <w:t>1467</w:t>
      </w:r>
    </w:p>
    <w:p>
      <w:pPr>
        <w:pStyle w:val="TOC2"/>
        <w:widowControl/>
        <w:tabs>
          <w:tab w:pos="8856" w:val="right" w:leader="dot"/>
        </w:tabs>
      </w:pPr>
      <w:hyperlink w:anchor="_NAESTMA_TOC_1860" w:history="1">
        <w:r>
          <w:rPr>
            <w:color w:val="466B7A"/>
          </w:rPr>
          <w:t>Article 62.3: Responder Credentials and Good-Faith Assistance</w:t>
        </w:r>
      </w:hyperlink>
      <w:r>
        <w:tab/>
      </w:r>
      <w:r>
        <w:rPr>
          <w:rFonts w:ascii="Arial" w:hAnsi="Arial"/>
        </w:rPr>
        <w:t>1467</w:t>
      </w:r>
    </w:p>
    <w:p>
      <w:pPr>
        <w:pStyle w:val="TOC2"/>
        <w:widowControl/>
        <w:tabs>
          <w:tab w:pos="8856" w:val="right" w:leader="dot"/>
        </w:tabs>
      </w:pPr>
      <w:hyperlink w:anchor="_NAESTMA_TOC_1861" w:history="1">
        <w:r>
          <w:rPr>
            <w:color w:val="466B7A"/>
          </w:rPr>
          <w:t>Article 62.4: Disaster Lanes and Emergency Border Processing</w:t>
        </w:r>
      </w:hyperlink>
      <w:r>
        <w:tab/>
      </w:r>
      <w:r>
        <w:rPr>
          <w:rFonts w:ascii="Arial" w:hAnsi="Arial"/>
        </w:rPr>
        <w:t>1467</w:t>
      </w:r>
    </w:p>
    <w:p>
      <w:pPr>
        <w:pStyle w:val="TOC2"/>
        <w:widowControl/>
        <w:tabs>
          <w:tab w:pos="8856" w:val="right" w:leader="dot"/>
        </w:tabs>
      </w:pPr>
      <w:hyperlink w:anchor="_NAESTMA_TOC_1862" w:history="1">
        <w:r>
          <w:rPr>
            <w:color w:val="466B7A"/>
          </w:rPr>
          <w:t>Article 62.5: Emergency Call-Off Contracts and Supplier Surge Network</w:t>
        </w:r>
      </w:hyperlink>
      <w:r>
        <w:tab/>
      </w:r>
      <w:r>
        <w:rPr>
          <w:rFonts w:ascii="Arial" w:hAnsi="Arial"/>
        </w:rPr>
        <w:t>1468</w:t>
      </w:r>
    </w:p>
    <w:p>
      <w:pPr>
        <w:pStyle w:val="TOC2"/>
        <w:widowControl/>
        <w:tabs>
          <w:tab w:pos="8856" w:val="right" w:leader="dot"/>
        </w:tabs>
      </w:pPr>
      <w:hyperlink w:anchor="_NAESTMA_TOC_1863" w:history="1">
        <w:r>
          <w:rPr>
            <w:color w:val="466B7A"/>
          </w:rPr>
          <w:t>Article 62.6: Power Restoration and Critical Infrastructure Equipment Coordination</w:t>
        </w:r>
      </w:hyperlink>
      <w:r>
        <w:tab/>
      </w:r>
      <w:r>
        <w:rPr>
          <w:rFonts w:ascii="Arial" w:hAnsi="Arial"/>
        </w:rPr>
        <w:t>1468</w:t>
      </w:r>
    </w:p>
    <w:p>
      <w:pPr>
        <w:pStyle w:val="TOC2"/>
        <w:widowControl/>
        <w:tabs>
          <w:tab w:pos="8856" w:val="right" w:leader="dot"/>
        </w:tabs>
      </w:pPr>
      <w:hyperlink w:anchor="_NAESTMA_TOC_1864" w:history="1">
        <w:r>
          <w:rPr>
            <w:color w:val="466B7A"/>
          </w:rPr>
          <w:t>Article 62.7: Wildfire and All-Hazards Equipment Reserve</w:t>
        </w:r>
      </w:hyperlink>
      <w:r>
        <w:tab/>
      </w:r>
      <w:r>
        <w:rPr>
          <w:rFonts w:ascii="Arial" w:hAnsi="Arial"/>
        </w:rPr>
        <w:t>1468</w:t>
      </w:r>
    </w:p>
    <w:p>
      <w:pPr>
        <w:pStyle w:val="TOC2"/>
        <w:widowControl/>
        <w:tabs>
          <w:tab w:pos="8856" w:val="right" w:leader="dot"/>
        </w:tabs>
      </w:pPr>
      <w:hyperlink w:anchor="_NAESTMA_TOC_1865" w:history="1">
        <w:r>
          <w:rPr>
            <w:color w:val="466B7A"/>
          </w:rPr>
          <w:t>Article 62.8: Strategic Construction Materials and Modular Recovery Supply</w:t>
        </w:r>
      </w:hyperlink>
      <w:r>
        <w:tab/>
      </w:r>
      <w:r>
        <w:rPr>
          <w:rFonts w:ascii="Arial" w:hAnsi="Arial"/>
        </w:rPr>
        <w:t>1468</w:t>
      </w:r>
    </w:p>
    <w:p>
      <w:pPr>
        <w:pStyle w:val="TOC2"/>
        <w:widowControl/>
        <w:tabs>
          <w:tab w:pos="8856" w:val="right" w:leader="dot"/>
        </w:tabs>
      </w:pPr>
      <w:hyperlink w:anchor="_NAESTMA_TOC_1866" w:history="1">
        <w:r>
          <w:rPr>
            <w:color w:val="466B7A"/>
          </w:rPr>
          <w:t>Article 62.9: Common Operating Picture and Early Warning Interoperability</w:t>
        </w:r>
      </w:hyperlink>
      <w:r>
        <w:tab/>
      </w:r>
      <w:r>
        <w:rPr>
          <w:rFonts w:ascii="Arial" w:hAnsi="Arial"/>
        </w:rPr>
        <w:t>1468</w:t>
      </w:r>
    </w:p>
    <w:p>
      <w:pPr>
        <w:pStyle w:val="TOC2"/>
        <w:widowControl/>
        <w:tabs>
          <w:tab w:pos="8856" w:val="right" w:leader="dot"/>
        </w:tabs>
      </w:pPr>
      <w:hyperlink w:anchor="_NAESTMA_TOC_1867" w:history="1">
        <w:r>
          <w:rPr>
            <w:color w:val="466B7A"/>
          </w:rPr>
          <w:t>Article 62.10: Satellite, Mapping, and Damage-Assessment Cooperation</w:t>
        </w:r>
      </w:hyperlink>
      <w:r>
        <w:tab/>
      </w:r>
      <w:r>
        <w:rPr>
          <w:rFonts w:ascii="Arial" w:hAnsi="Arial"/>
        </w:rPr>
        <w:t>1469</w:t>
      </w:r>
    </w:p>
    <w:p>
      <w:pPr>
        <w:pStyle w:val="TOC2"/>
        <w:widowControl/>
        <w:tabs>
          <w:tab w:pos="8856" w:val="right" w:leader="dot"/>
        </w:tabs>
      </w:pPr>
      <w:hyperlink w:anchor="_NAESTMA_TOC_1868" w:history="1">
        <w:r>
          <w:rPr>
            <w:color w:val="466B7A"/>
          </w:rPr>
          <w:t>Article 62.11: Joint Exercises and Tabletop Testing</w:t>
        </w:r>
      </w:hyperlink>
      <w:r>
        <w:tab/>
      </w:r>
      <w:r>
        <w:rPr>
          <w:rFonts w:ascii="Arial" w:hAnsi="Arial"/>
        </w:rPr>
        <w:t>1469</w:t>
      </w:r>
    </w:p>
    <w:p>
      <w:pPr>
        <w:pStyle w:val="TOC2"/>
        <w:widowControl/>
        <w:tabs>
          <w:tab w:pos="8856" w:val="right" w:leader="dot"/>
        </w:tabs>
      </w:pPr>
      <w:hyperlink w:anchor="_NAESTMA_TOC_1869" w:history="1">
        <w:r>
          <w:rPr>
            <w:color w:val="466B7A"/>
          </w:rPr>
          <w:t>Article 62.12: Indigenous, Tribal, Remote, and Border Community Resilience</w:t>
        </w:r>
      </w:hyperlink>
      <w:r>
        <w:tab/>
      </w:r>
      <w:r>
        <w:rPr>
          <w:rFonts w:ascii="Arial" w:hAnsi="Arial"/>
        </w:rPr>
        <w:t>1469</w:t>
      </w:r>
    </w:p>
    <w:p>
      <w:pPr>
        <w:pStyle w:val="TOC2"/>
        <w:widowControl/>
        <w:tabs>
          <w:tab w:pos="8856" w:val="right" w:leader="dot"/>
        </w:tabs>
      </w:pPr>
      <w:hyperlink w:anchor="_NAESTMA_TOC_1870" w:history="1">
        <w:r>
          <w:rPr>
            <w:color w:val="466B7A"/>
          </w:rPr>
          <w:t>Article 62.13: Agricultural, Food, and Animal-Health Emergency Logistics</w:t>
        </w:r>
      </w:hyperlink>
      <w:r>
        <w:tab/>
      </w:r>
      <w:r>
        <w:rPr>
          <w:rFonts w:ascii="Arial" w:hAnsi="Arial"/>
        </w:rPr>
        <w:t>1469</w:t>
      </w:r>
    </w:p>
    <w:p>
      <w:pPr>
        <w:pStyle w:val="TOC2"/>
        <w:widowControl/>
        <w:tabs>
          <w:tab w:pos="8856" w:val="right" w:leader="dot"/>
        </w:tabs>
      </w:pPr>
      <w:hyperlink w:anchor="_NAESTMA_TOC_1871" w:history="1">
        <w:r>
          <w:rPr>
            <w:color w:val="466B7A"/>
          </w:rPr>
          <w:t>Article 62.14: Resilience Finance and Catastrophe-Risk Tools</w:t>
        </w:r>
      </w:hyperlink>
      <w:r>
        <w:tab/>
      </w:r>
      <w:r>
        <w:rPr>
          <w:rFonts w:ascii="Arial" w:hAnsi="Arial"/>
        </w:rPr>
        <w:t>1469</w:t>
      </w:r>
    </w:p>
    <w:p>
      <w:pPr>
        <w:pStyle w:val="TOC2"/>
        <w:widowControl/>
        <w:tabs>
          <w:tab w:pos="8856" w:val="right" w:leader="dot"/>
        </w:tabs>
      </w:pPr>
      <w:hyperlink w:anchor="_NAESTMA_TOC_1872" w:history="1">
        <w:r>
          <w:rPr>
            <w:color w:val="466B7A"/>
          </w:rPr>
          <w:t>Article 62.15: Disaster Innovation and Rapid Qualification Pathway</w:t>
        </w:r>
      </w:hyperlink>
      <w:r>
        <w:tab/>
      </w:r>
      <w:r>
        <w:rPr>
          <w:rFonts w:ascii="Arial" w:hAnsi="Arial"/>
        </w:rPr>
        <w:t>1470</w:t>
      </w:r>
    </w:p>
    <w:p>
      <w:pPr>
        <w:pStyle w:val="TOC2"/>
        <w:widowControl/>
        <w:tabs>
          <w:tab w:pos="8856" w:val="right" w:leader="dot"/>
        </w:tabs>
      </w:pPr>
      <w:hyperlink w:anchor="_NAESTMA_TOC_1873" w:history="1">
        <w:r>
          <w:rPr>
            <w:color w:val="466B7A"/>
          </w:rPr>
          <w:t>Article 62.16: Recovery, Reconstruction, and Local Economic Continuity</w:t>
        </w:r>
      </w:hyperlink>
      <w:r>
        <w:tab/>
      </w:r>
      <w:r>
        <w:rPr>
          <w:rFonts w:ascii="Arial" w:hAnsi="Arial"/>
        </w:rPr>
        <w:t>1470</w:t>
      </w:r>
    </w:p>
    <w:p>
      <w:pPr>
        <w:pStyle w:val="TOC2"/>
        <w:widowControl/>
        <w:tabs>
          <w:tab w:pos="8856" w:val="right" w:leader="dot"/>
        </w:tabs>
      </w:pPr>
      <w:hyperlink w:anchor="_NAESTMA_TOC_1874" w:history="1">
        <w:r>
          <w:rPr>
            <w:color w:val="466B7A"/>
          </w:rPr>
          <w:t>Article 62.17: After-Action Review and No-Fault Learning</w:t>
        </w:r>
      </w:hyperlink>
      <w:r>
        <w:tab/>
      </w:r>
      <w:r>
        <w:rPr>
          <w:rFonts w:ascii="Arial" w:hAnsi="Arial"/>
        </w:rPr>
        <w:t>1470</w:t>
      </w:r>
    </w:p>
    <w:p>
      <w:pPr>
        <w:pStyle w:val="TOC2"/>
        <w:widowControl/>
        <w:tabs>
          <w:tab w:pos="8856" w:val="right" w:leader="dot"/>
        </w:tabs>
      </w:pPr>
      <w:hyperlink w:anchor="_NAESTMA_TOC_1875" w:history="1">
        <w:r>
          <w:rPr>
            <w:color w:val="466B7A"/>
          </w:rPr>
          <w:t>Article 62.18: Relationship to Other Chapters and Cothrom Review</w:t>
        </w:r>
      </w:hyperlink>
      <w:r>
        <w:tab/>
      </w:r>
      <w:r>
        <w:rPr>
          <w:rFonts w:ascii="Arial" w:hAnsi="Arial"/>
        </w:rPr>
        <w:t>1470</w:t>
      </w:r>
    </w:p>
    <w:p>
      <w:pPr>
        <w:pStyle w:val="TOC2"/>
        <w:widowControl/>
        <w:tabs>
          <w:tab w:pos="8856" w:val="right" w:leader="dot"/>
        </w:tabs>
      </w:pPr>
      <w:hyperlink w:anchor="_NAESTMA_TOC_1876" w:history="1">
        <w:r>
          <w:rPr>
            <w:color w:val="466B7A"/>
          </w:rPr>
          <w:t>ANNEX 62-A: INITIAL CONTINENTAL RESILIENCE MODULES</w:t>
        </w:r>
      </w:hyperlink>
      <w:r>
        <w:tab/>
      </w:r>
      <w:r>
        <w:rPr>
          <w:rFonts w:ascii="Arial" w:hAnsi="Arial"/>
        </w:rPr>
        <w:t>1470</w:t>
      </w:r>
    </w:p>
    <w:p>
      <w:pPr>
        <w:pStyle w:val="TOC2"/>
        <w:widowControl/>
        <w:tabs>
          <w:tab w:pos="8856" w:val="right" w:leader="dot"/>
        </w:tabs>
      </w:pPr>
      <w:hyperlink w:anchor="_NAESTMA_TOC_1877" w:history="1">
        <w:r>
          <w:rPr>
            <w:color w:val="466B7A"/>
          </w:rPr>
          <w:t>PACKAGE AD — CONTINENTAL RESILIENCE ENRICHMENT AND IMPLEMENTATION PACKAGE (v5.3)</w:t>
        </w:r>
      </w:hyperlink>
      <w:r>
        <w:tab/>
      </w:r>
      <w:r>
        <w:rPr>
          <w:rFonts w:ascii="Arial" w:hAnsi="Arial"/>
        </w:rPr>
        <w:t>1471</w:t>
      </w:r>
    </w:p>
    <w:p>
      <w:pPr>
        <w:pStyle w:val="TOC2"/>
        <w:widowControl/>
        <w:tabs>
          <w:tab w:pos="8856" w:val="right" w:leader="dot"/>
        </w:tabs>
      </w:pPr>
      <w:hyperlink w:anchor="_NAESTMA_TOC_1878" w:history="1">
        <w:r>
          <w:rPr>
            <w:color w:val="466B7A"/>
          </w:rPr>
          <w:t>PACKAGE AC — FINAL IMPLEMENTATION AND INTEGRATION PACKAGE (v5.1)</w:t>
        </w:r>
      </w:hyperlink>
      <w:r>
        <w:tab/>
      </w:r>
      <w:r>
        <w:rPr>
          <w:rFonts w:ascii="Arial" w:hAnsi="Arial"/>
        </w:rPr>
        <w:t>1471</w:t>
      </w:r>
    </w:p>
    <w:p>
      <w:pPr>
        <w:pStyle w:val="TOC2"/>
        <w:widowControl/>
        <w:tabs>
          <w:tab w:pos="8856" w:val="right" w:leader="dot"/>
        </w:tabs>
      </w:pPr>
      <w:hyperlink w:anchor="_NAESTMA_TOC_1879" w:history="1">
        <w:r>
          <w:rPr>
            <w:color w:val="466B7A"/>
          </w:rPr>
          <w:t>PACKAGE AB — MEXICO PARITY, TRILATERAL PROCUREMENT, FORESTRY INTEGRATION, AND…</w:t>
        </w:r>
      </w:hyperlink>
      <w:r>
        <w:tab/>
      </w:r>
      <w:r>
        <w:rPr>
          <w:rFonts w:ascii="Arial" w:hAnsi="Arial"/>
        </w:rPr>
        <w:t>1471</w:t>
      </w:r>
    </w:p>
    <w:p>
      <w:pPr>
        <w:pStyle w:val="TOC2"/>
        <w:widowControl/>
        <w:tabs>
          <w:tab w:pos="8856" w:val="right" w:leader="dot"/>
        </w:tabs>
      </w:pPr>
      <w:hyperlink w:anchor="_NAESTMA_TOC_1880" w:history="1">
        <w:r>
          <w:rPr>
            <w:color w:val="466B7A"/>
          </w:rPr>
          <w:t>PACKAGE AA — TRIADIC LABOUR FLOOR, EQUAL DIGNITY, AND CROSS-BORDER SOVEREIGNTY…</w:t>
        </w:r>
      </w:hyperlink>
      <w:r>
        <w:tab/>
      </w:r>
      <w:r>
        <w:rPr>
          <w:rFonts w:ascii="Arial" w:hAnsi="Arial"/>
        </w:rPr>
        <w:t>1472</w:t>
      </w:r>
    </w:p>
    <w:p>
      <w:pPr>
        <w:pStyle w:val="TOC1"/>
        <w:widowControl/>
        <w:tabs>
          <w:tab w:pos="8856" w:val="right" w:leader="dot"/>
        </w:tabs>
      </w:pPr>
      <w:hyperlink w:anchor="_NAESTMA_TOC_1881" w:history="1">
        <w:r>
          <w:rPr>
            <w:color w:val="233746"/>
          </w:rPr>
          <w:t>CHAPTER 63 — NORTH AMERICAN MEDICINES SECURITY AND PHARMACEUTICAL RESILIENCE</w:t>
        </w:r>
      </w:hyperlink>
      <w:r>
        <w:tab/>
      </w:r>
      <w:r>
        <w:rPr>
          <w:rFonts w:ascii="Arial" w:hAnsi="Arial"/>
        </w:rPr>
        <w:t>1473</w:t>
      </w:r>
    </w:p>
    <w:p>
      <w:pPr>
        <w:pStyle w:val="TOC2"/>
        <w:widowControl/>
        <w:tabs>
          <w:tab w:pos="8856" w:val="right" w:leader="dot"/>
        </w:tabs>
      </w:pPr>
      <w:hyperlink w:anchor="_NAESTMA_TOC_1882" w:history="1">
        <w:r>
          <w:rPr>
            <w:color w:val="466B7A"/>
          </w:rPr>
          <w:t>Article 63.1 — Purpose and Governing Principles</w:t>
        </w:r>
      </w:hyperlink>
      <w:r>
        <w:tab/>
      </w:r>
      <w:r>
        <w:rPr>
          <w:rFonts w:ascii="Arial" w:hAnsi="Arial"/>
        </w:rPr>
        <w:t>1473</w:t>
      </w:r>
    </w:p>
    <w:p>
      <w:pPr>
        <w:pStyle w:val="TOC2"/>
        <w:widowControl/>
        <w:tabs>
          <w:tab w:pos="8856" w:val="right" w:leader="dot"/>
        </w:tabs>
      </w:pPr>
      <w:hyperlink w:anchor="_NAESTMA_TOC_1883" w:history="1">
        <w:r>
          <w:rPr>
            <w:color w:val="466B7A"/>
          </w:rPr>
          <w:t>Article 63.2 — Essential Medicines and Strategic Pharmaceutical Classification</w:t>
        </w:r>
      </w:hyperlink>
      <w:r>
        <w:tab/>
      </w:r>
      <w:r>
        <w:rPr>
          <w:rFonts w:ascii="Arial" w:hAnsi="Arial"/>
        </w:rPr>
        <w:t>1473</w:t>
      </w:r>
    </w:p>
    <w:p>
      <w:pPr>
        <w:pStyle w:val="TOC2"/>
        <w:widowControl/>
        <w:tabs>
          <w:tab w:pos="8856" w:val="right" w:leader="dot"/>
        </w:tabs>
      </w:pPr>
      <w:hyperlink w:anchor="_NAESTMA_TOC_1884" w:history="1">
        <w:r>
          <w:rPr>
            <w:color w:val="466B7A"/>
          </w:rPr>
          <w:t>Article 63.3 — Medicines Peace Clause and No-Tariff-Hostage Rule</w:t>
        </w:r>
      </w:hyperlink>
      <w:r>
        <w:tab/>
      </w:r>
      <w:r>
        <w:rPr>
          <w:rFonts w:ascii="Arial" w:hAnsi="Arial"/>
        </w:rPr>
        <w:t>1473</w:t>
      </w:r>
    </w:p>
    <w:p>
      <w:pPr>
        <w:pStyle w:val="TOC2"/>
        <w:widowControl/>
        <w:tabs>
          <w:tab w:pos="8856" w:val="right" w:leader="dot"/>
        </w:tabs>
      </w:pPr>
      <w:hyperlink w:anchor="_NAESTMA_TOC_1885" w:history="1">
        <w:r>
          <w:rPr>
            <w:color w:val="466B7A"/>
          </w:rPr>
          <w:t>Article 63.4 — Pharmaceutical Rules of Origin and Transformation</w:t>
        </w:r>
      </w:hyperlink>
      <w:r>
        <w:tab/>
      </w:r>
      <w:r>
        <w:rPr>
          <w:rFonts w:ascii="Arial" w:hAnsi="Arial"/>
        </w:rPr>
        <w:t>1474</w:t>
      </w:r>
    </w:p>
    <w:p>
      <w:pPr>
        <w:pStyle w:val="TOC2"/>
        <w:widowControl/>
        <w:tabs>
          <w:tab w:pos="8856" w:val="right" w:leader="dot"/>
        </w:tabs>
      </w:pPr>
      <w:hyperlink w:anchor="_NAESTMA_TOC_1886" w:history="1">
        <w:r>
          <w:rPr>
            <w:color w:val="466B7A"/>
          </w:rPr>
          <w:t>Article 63.5 — Critical API and Key Starting Material Security</w:t>
        </w:r>
      </w:hyperlink>
      <w:r>
        <w:tab/>
      </w:r>
      <w:r>
        <w:rPr>
          <w:rFonts w:ascii="Arial" w:hAnsi="Arial"/>
        </w:rPr>
        <w:t>1474</w:t>
      </w:r>
    </w:p>
    <w:p>
      <w:pPr>
        <w:pStyle w:val="TOC2"/>
        <w:widowControl/>
        <w:tabs>
          <w:tab w:pos="8856" w:val="right" w:leader="dot"/>
        </w:tabs>
      </w:pPr>
      <w:hyperlink w:anchor="_NAESTMA_TOC_1887" w:history="1">
        <w:r>
          <w:rPr>
            <w:color w:val="466B7A"/>
          </w:rPr>
          <w:t>Article 63.6 — Essential Generics Security</w:t>
        </w:r>
      </w:hyperlink>
      <w:r>
        <w:tab/>
      </w:r>
      <w:r>
        <w:rPr>
          <w:rFonts w:ascii="Arial" w:hAnsi="Arial"/>
        </w:rPr>
        <w:t>1474</w:t>
      </w:r>
    </w:p>
    <w:p>
      <w:pPr>
        <w:pStyle w:val="TOC2"/>
        <w:widowControl/>
        <w:tabs>
          <w:tab w:pos="8856" w:val="right" w:leader="dot"/>
        </w:tabs>
      </w:pPr>
      <w:hyperlink w:anchor="_NAESTMA_TOC_1888" w:history="1">
        <w:r>
          <w:rPr>
            <w:color w:val="466B7A"/>
          </w:rPr>
          <w:t>Article 63.7 — Sterile Injectables and Fill-Finish Resilience</w:t>
        </w:r>
      </w:hyperlink>
      <w:r>
        <w:tab/>
      </w:r>
      <w:r>
        <w:rPr>
          <w:rFonts w:ascii="Arial" w:hAnsi="Arial"/>
        </w:rPr>
        <w:t>1474</w:t>
      </w:r>
    </w:p>
    <w:p>
      <w:pPr>
        <w:pStyle w:val="TOC2"/>
        <w:widowControl/>
        <w:tabs>
          <w:tab w:pos="8856" w:val="right" w:leader="dot"/>
        </w:tabs>
      </w:pPr>
      <w:hyperlink w:anchor="_NAESTMA_TOC_1889" w:history="1">
        <w:r>
          <w:rPr>
            <w:color w:val="466B7A"/>
          </w:rPr>
          <w:t>Article 63.8 — Strategic Pharmaceutical Manufacturing Inputs</w:t>
        </w:r>
      </w:hyperlink>
      <w:r>
        <w:tab/>
      </w:r>
      <w:r>
        <w:rPr>
          <w:rFonts w:ascii="Arial" w:hAnsi="Arial"/>
        </w:rPr>
        <w:t>1474</w:t>
      </w:r>
    </w:p>
    <w:p>
      <w:pPr>
        <w:pStyle w:val="TOC2"/>
        <w:widowControl/>
        <w:tabs>
          <w:tab w:pos="8856" w:val="right" w:leader="dot"/>
        </w:tabs>
      </w:pPr>
      <w:hyperlink w:anchor="_NAESTMA_TOC_1890" w:history="1">
        <w:r>
          <w:rPr>
            <w:color w:val="466B7A"/>
          </w:rPr>
          <w:t>Article 63.9 — Antibiotic and Antiviral Security Initiative</w:t>
        </w:r>
      </w:hyperlink>
      <w:r>
        <w:tab/>
      </w:r>
      <w:r>
        <w:rPr>
          <w:rFonts w:ascii="Arial" w:hAnsi="Arial"/>
        </w:rPr>
        <w:t>1475</w:t>
      </w:r>
    </w:p>
    <w:p>
      <w:pPr>
        <w:pStyle w:val="TOC2"/>
        <w:widowControl/>
        <w:tabs>
          <w:tab w:pos="8856" w:val="right" w:leader="dot"/>
        </w:tabs>
      </w:pPr>
      <w:hyperlink w:anchor="_NAESTMA_TOC_1891" w:history="1">
        <w:r>
          <w:rPr>
            <w:color w:val="466B7A"/>
          </w:rPr>
          <w:t>Article 63.10 — Vaccines, Biologics and Platform Manufacturing</w:t>
        </w:r>
      </w:hyperlink>
      <w:r>
        <w:tab/>
      </w:r>
      <w:r>
        <w:rPr>
          <w:rFonts w:ascii="Arial" w:hAnsi="Arial"/>
        </w:rPr>
        <w:t>1475</w:t>
      </w:r>
    </w:p>
    <w:p>
      <w:pPr>
        <w:pStyle w:val="TOC2"/>
        <w:widowControl/>
        <w:tabs>
          <w:tab w:pos="8856" w:val="right" w:leader="dot"/>
        </w:tabs>
      </w:pPr>
      <w:hyperlink w:anchor="_NAESTMA_TOC_1892" w:history="1">
        <w:r>
          <w:rPr>
            <w:color w:val="466B7A"/>
          </w:rPr>
          <w:t>Article 63.11 — Pharmaceutical Cold Chain and Emergency Logistics</w:t>
        </w:r>
      </w:hyperlink>
      <w:r>
        <w:tab/>
      </w:r>
      <w:r>
        <w:rPr>
          <w:rFonts w:ascii="Arial" w:hAnsi="Arial"/>
        </w:rPr>
        <w:t>1475</w:t>
      </w:r>
    </w:p>
    <w:p>
      <w:pPr>
        <w:pStyle w:val="TOC2"/>
        <w:widowControl/>
        <w:tabs>
          <w:tab w:pos="8856" w:val="right" w:leader="dot"/>
        </w:tabs>
      </w:pPr>
      <w:hyperlink w:anchor="_NAESTMA_TOC_1893" w:history="1">
        <w:r>
          <w:rPr>
            <w:color w:val="466B7A"/>
          </w:rPr>
          <w:t>Article 63.12 — Resilience Equivalence Principle</w:t>
        </w:r>
      </w:hyperlink>
      <w:r>
        <w:tab/>
      </w:r>
      <w:r>
        <w:rPr>
          <w:rFonts w:ascii="Arial" w:hAnsi="Arial"/>
        </w:rPr>
        <w:t>1475</w:t>
      </w:r>
    </w:p>
    <w:p>
      <w:pPr>
        <w:pStyle w:val="TOC2"/>
        <w:widowControl/>
        <w:tabs>
          <w:tab w:pos="8856" w:val="right" w:leader="dot"/>
        </w:tabs>
      </w:pPr>
      <w:hyperlink w:anchor="_NAESTMA_TOC_1894" w:history="1">
        <w:r>
          <w:rPr>
            <w:color w:val="466B7A"/>
          </w:rPr>
          <w:t>Article 63.13 — No Single Point of Continental Failure</w:t>
        </w:r>
      </w:hyperlink>
      <w:r>
        <w:tab/>
      </w:r>
      <w:r>
        <w:rPr>
          <w:rFonts w:ascii="Arial" w:hAnsi="Arial"/>
        </w:rPr>
        <w:t>1475</w:t>
      </w:r>
    </w:p>
    <w:p>
      <w:pPr>
        <w:pStyle w:val="TOC2"/>
        <w:widowControl/>
        <w:tabs>
          <w:tab w:pos="8856" w:val="right" w:leader="dot"/>
        </w:tabs>
      </w:pPr>
      <w:hyperlink w:anchor="_NAESTMA_TOC_1895" w:history="1">
        <w:r>
          <w:rPr>
            <w:color w:val="466B7A"/>
          </w:rPr>
          <w:t>Article 63.14 — Strategic Medicine Reserves and Rotation</w:t>
        </w:r>
      </w:hyperlink>
      <w:r>
        <w:tab/>
      </w:r>
      <w:r>
        <w:rPr>
          <w:rFonts w:ascii="Arial" w:hAnsi="Arial"/>
        </w:rPr>
        <w:t>1475</w:t>
      </w:r>
    </w:p>
    <w:p>
      <w:pPr>
        <w:pStyle w:val="TOC2"/>
        <w:widowControl/>
        <w:tabs>
          <w:tab w:pos="8856" w:val="right" w:leader="dot"/>
        </w:tabs>
      </w:pPr>
      <w:hyperlink w:anchor="_NAESTMA_TOC_1896" w:history="1">
        <w:r>
          <w:rPr>
            <w:color w:val="466B7A"/>
          </w:rPr>
          <w:t>Article 63.15 — Medical Isotopes and Radiopharmaceuticals</w:t>
        </w:r>
      </w:hyperlink>
      <w:r>
        <w:tab/>
      </w:r>
      <w:r>
        <w:rPr>
          <w:rFonts w:ascii="Arial" w:hAnsi="Arial"/>
        </w:rPr>
        <w:t>1476</w:t>
      </w:r>
    </w:p>
    <w:p>
      <w:pPr>
        <w:pStyle w:val="TOC2"/>
        <w:widowControl/>
        <w:tabs>
          <w:tab w:pos="8856" w:val="right" w:leader="dot"/>
        </w:tabs>
      </w:pPr>
      <w:hyperlink w:anchor="_NAESTMA_TOC_1897" w:history="1">
        <w:r>
          <w:rPr>
            <w:color w:val="466B7A"/>
          </w:rPr>
          <w:t>Article 63.16 — Regulatory Cooperation and Pharmaceutical Fast Lane</w:t>
        </w:r>
      </w:hyperlink>
      <w:r>
        <w:tab/>
      </w:r>
      <w:r>
        <w:rPr>
          <w:rFonts w:ascii="Arial" w:hAnsi="Arial"/>
        </w:rPr>
        <w:t>1476</w:t>
      </w:r>
    </w:p>
    <w:p>
      <w:pPr>
        <w:pStyle w:val="TOC2"/>
        <w:widowControl/>
        <w:tabs>
          <w:tab w:pos="8856" w:val="right" w:leader="dot"/>
        </w:tabs>
      </w:pPr>
      <w:hyperlink w:anchor="_NAESTMA_TOC_1898" w:history="1">
        <w:r>
          <w:rPr>
            <w:color w:val="466B7A"/>
          </w:rPr>
          <w:t>Article 63.17 — Pharmaceutical Facility PreCheck and Commissioning Cooperation</w:t>
        </w:r>
      </w:hyperlink>
      <w:r>
        <w:tab/>
      </w:r>
      <w:r>
        <w:rPr>
          <w:rFonts w:ascii="Arial" w:hAnsi="Arial"/>
        </w:rPr>
        <w:t>1476</w:t>
      </w:r>
    </w:p>
    <w:p>
      <w:pPr>
        <w:pStyle w:val="TOC2"/>
        <w:widowControl/>
        <w:tabs>
          <w:tab w:pos="8856" w:val="right" w:leader="dot"/>
        </w:tabs>
      </w:pPr>
      <w:hyperlink w:anchor="_NAESTMA_TOC_1899" w:history="1">
        <w:r>
          <w:rPr>
            <w:color w:val="466B7A"/>
          </w:rPr>
          <w:t>Article 63.18 — Pharmaceutical Workforce and Professional Mobility</w:t>
        </w:r>
      </w:hyperlink>
      <w:r>
        <w:tab/>
      </w:r>
      <w:r>
        <w:rPr>
          <w:rFonts w:ascii="Arial" w:hAnsi="Arial"/>
        </w:rPr>
        <w:t>1476</w:t>
      </w:r>
    </w:p>
    <w:p>
      <w:pPr>
        <w:pStyle w:val="TOC2"/>
        <w:widowControl/>
        <w:tabs>
          <w:tab w:pos="8856" w:val="right" w:leader="dot"/>
        </w:tabs>
      </w:pPr>
      <w:hyperlink w:anchor="_NAESTMA_TOC_1900" w:history="1">
        <w:r>
          <w:rPr>
            <w:color w:val="466B7A"/>
          </w:rPr>
          <w:t>Article 63.19 — Research, Advanced and Distributed Manufacturing</w:t>
        </w:r>
      </w:hyperlink>
      <w:r>
        <w:tab/>
      </w:r>
      <w:r>
        <w:rPr>
          <w:rFonts w:ascii="Arial" w:hAnsi="Arial"/>
        </w:rPr>
        <w:t>1476</w:t>
      </w:r>
    </w:p>
    <w:p>
      <w:pPr>
        <w:pStyle w:val="TOC2"/>
        <w:widowControl/>
        <w:tabs>
          <w:tab w:pos="8856" w:val="right" w:leader="dot"/>
        </w:tabs>
      </w:pPr>
      <w:hyperlink w:anchor="_NAESTMA_TOC_1901" w:history="1">
        <w:r>
          <w:rPr>
            <w:color w:val="466B7A"/>
          </w:rPr>
          <w:t>Article 63.20 — Intellectual Property and Emergency Licensing</w:t>
        </w:r>
      </w:hyperlink>
      <w:r>
        <w:tab/>
      </w:r>
      <w:r>
        <w:rPr>
          <w:rFonts w:ascii="Arial" w:hAnsi="Arial"/>
        </w:rPr>
        <w:t>1476</w:t>
      </w:r>
    </w:p>
    <w:p>
      <w:pPr>
        <w:pStyle w:val="TOC2"/>
        <w:widowControl/>
        <w:tabs>
          <w:tab w:pos="8856" w:val="right" w:leader="dot"/>
        </w:tabs>
      </w:pPr>
      <w:hyperlink w:anchor="_NAESTMA_TOC_1902" w:history="1">
        <w:r>
          <w:rPr>
            <w:color w:val="466B7A"/>
          </w:rPr>
          <w:t>Article 63.21 — United States Pharmaceutical Reshoring and Advanced Medicines Track</w:t>
        </w:r>
      </w:hyperlink>
      <w:r>
        <w:tab/>
      </w:r>
      <w:r>
        <w:rPr>
          <w:rFonts w:ascii="Arial" w:hAnsi="Arial"/>
        </w:rPr>
        <w:t>1477</w:t>
      </w:r>
    </w:p>
    <w:p>
      <w:pPr>
        <w:pStyle w:val="TOC2"/>
        <w:widowControl/>
        <w:tabs>
          <w:tab w:pos="8856" w:val="right" w:leader="dot"/>
        </w:tabs>
      </w:pPr>
      <w:hyperlink w:anchor="_NAESTMA_TOC_1903" w:history="1">
        <w:r>
          <w:rPr>
            <w:color w:val="466B7A"/>
          </w:rPr>
          <w:t>Article 63.22 — Canadian Pharmaceutical Security and Medical-Isotope Track</w:t>
        </w:r>
      </w:hyperlink>
      <w:r>
        <w:tab/>
      </w:r>
      <w:r>
        <w:rPr>
          <w:rFonts w:ascii="Arial" w:hAnsi="Arial"/>
        </w:rPr>
        <w:t>1477</w:t>
      </w:r>
    </w:p>
    <w:p>
      <w:pPr>
        <w:pStyle w:val="TOC2"/>
        <w:widowControl/>
        <w:tabs>
          <w:tab w:pos="8856" w:val="right" w:leader="dot"/>
        </w:tabs>
      </w:pPr>
      <w:hyperlink w:anchor="_NAESTMA_TOC_1904" w:history="1">
        <w:r>
          <w:rPr>
            <w:color w:val="466B7A"/>
          </w:rPr>
          <w:t>Article 63.23 — Mexican Pharmaceutical Manufacturing and Industrial-Upgrading Track</w:t>
        </w:r>
      </w:hyperlink>
      <w:r>
        <w:tab/>
      </w:r>
      <w:r>
        <w:rPr>
          <w:rFonts w:ascii="Arial" w:hAnsi="Arial"/>
        </w:rPr>
        <w:t>1477</w:t>
      </w:r>
    </w:p>
    <w:p>
      <w:pPr>
        <w:pStyle w:val="TOC2"/>
        <w:widowControl/>
        <w:tabs>
          <w:tab w:pos="8856" w:val="right" w:leader="dot"/>
        </w:tabs>
      </w:pPr>
      <w:hyperlink w:anchor="_NAESTMA_TOC_1905" w:history="1">
        <w:r>
          <w:rPr>
            <w:color w:val="466B7A"/>
          </w:rPr>
          <w:t>Article 63.24 — Pharmaceutical Education and Regulatory Science Network</w:t>
        </w:r>
      </w:hyperlink>
      <w:r>
        <w:tab/>
      </w:r>
      <w:r>
        <w:rPr>
          <w:rFonts w:ascii="Arial" w:hAnsi="Arial"/>
        </w:rPr>
        <w:t>1477</w:t>
      </w:r>
    </w:p>
    <w:p>
      <w:pPr>
        <w:pStyle w:val="TOC2"/>
        <w:widowControl/>
        <w:tabs>
          <w:tab w:pos="8856" w:val="right" w:leader="dot"/>
        </w:tabs>
      </w:pPr>
      <w:hyperlink w:anchor="_NAESTMA_TOC_1906" w:history="1">
        <w:r>
          <w:rPr>
            <w:color w:val="466B7A"/>
          </w:rPr>
          <w:t>Article 63.25 — Controlled Medicines, Diversion Prevention and Illicit Fentanyl Firewall</w:t>
        </w:r>
      </w:hyperlink>
      <w:r>
        <w:tab/>
      </w:r>
      <w:r>
        <w:rPr>
          <w:rFonts w:ascii="Arial" w:hAnsi="Arial"/>
        </w:rPr>
        <w:t>1477</w:t>
      </w:r>
    </w:p>
    <w:p>
      <w:pPr>
        <w:pStyle w:val="TOC2"/>
        <w:widowControl/>
        <w:tabs>
          <w:tab w:pos="8856" w:val="right" w:leader="dot"/>
        </w:tabs>
      </w:pPr>
      <w:hyperlink w:anchor="_NAESTMA_TOC_1907" w:history="1">
        <w:r>
          <w:rPr>
            <w:color w:val="466B7A"/>
          </w:rPr>
          <w:t>Article 63.26 — Fentanyl Enforcement Transparency and Chapter 66 Interface</w:t>
        </w:r>
      </w:hyperlink>
      <w:r>
        <w:tab/>
      </w:r>
      <w:r>
        <w:rPr>
          <w:rFonts w:ascii="Arial" w:hAnsi="Arial"/>
        </w:rPr>
        <w:t>1478</w:t>
      </w:r>
    </w:p>
    <w:p>
      <w:pPr>
        <w:pStyle w:val="TOC2"/>
        <w:widowControl/>
        <w:tabs>
          <w:tab w:pos="8856" w:val="right" w:leader="dot"/>
        </w:tabs>
      </w:pPr>
      <w:hyperlink w:anchor="_NAESTMA_TOC_1908" w:history="1">
        <w:r>
          <w:rPr>
            <w:color w:val="466B7A"/>
          </w:rPr>
          <w:t>Article 63.27 — Pharmaceutical Investment Pipeline and Resilience Dashboard</w:t>
        </w:r>
      </w:hyperlink>
      <w:r>
        <w:tab/>
      </w:r>
      <w:r>
        <w:rPr>
          <w:rFonts w:ascii="Arial" w:hAnsi="Arial"/>
        </w:rPr>
        <w:t>1478</w:t>
      </w:r>
    </w:p>
    <w:p>
      <w:pPr>
        <w:pStyle w:val="TOC2"/>
        <w:widowControl/>
        <w:tabs>
          <w:tab w:pos="8856" w:val="right" w:leader="dot"/>
        </w:tabs>
      </w:pPr>
      <w:hyperlink w:anchor="_NAESTMA_TOC_1909" w:history="1">
        <w:r>
          <w:rPr>
            <w:color w:val="466B7A"/>
          </w:rPr>
          <w:t>Article 63.28 — Emergency Exercises and Continuous Improvement</w:t>
        </w:r>
      </w:hyperlink>
      <w:r>
        <w:tab/>
      </w:r>
      <w:r>
        <w:rPr>
          <w:rFonts w:ascii="Arial" w:hAnsi="Arial"/>
        </w:rPr>
        <w:t>1478</w:t>
      </w:r>
    </w:p>
    <w:p>
      <w:pPr>
        <w:pStyle w:val="TOC2"/>
        <w:widowControl/>
        <w:tabs>
          <w:tab w:pos="8856" w:val="right" w:leader="dot"/>
        </w:tabs>
      </w:pPr>
      <w:hyperlink w:anchor="_NAESTMA_TOC_1910" w:history="1">
        <w:r>
          <w:rPr>
            <w:color w:val="466B7A"/>
          </w:rPr>
          <w:t>Article 63.29 — No New Supranational Pharmaceutical Government</w:t>
        </w:r>
      </w:hyperlink>
      <w:r>
        <w:tab/>
      </w:r>
      <w:r>
        <w:rPr>
          <w:rFonts w:ascii="Arial" w:hAnsi="Arial"/>
        </w:rPr>
        <w:t>1478</w:t>
      </w:r>
    </w:p>
    <w:p>
      <w:pPr>
        <w:pStyle w:val="TOC2"/>
        <w:widowControl/>
        <w:tabs>
          <w:tab w:pos="8856" w:val="right" w:leader="dot"/>
        </w:tabs>
      </w:pPr>
      <w:hyperlink w:anchor="_NAESTMA_TOC_1911" w:history="1">
        <w:r>
          <w:rPr>
            <w:color w:val="466B7A"/>
          </w:rPr>
          <w:t>Article 63.30 — No Uncompensated Front-Loading</w:t>
        </w:r>
      </w:hyperlink>
      <w:r>
        <w:tab/>
      </w:r>
      <w:r>
        <w:rPr>
          <w:rFonts w:ascii="Arial" w:hAnsi="Arial"/>
        </w:rPr>
        <w:t>1478</w:t>
      </w:r>
    </w:p>
    <w:p>
      <w:pPr>
        <w:pStyle w:val="TOC2"/>
        <w:widowControl/>
        <w:tabs>
          <w:tab w:pos="8856" w:val="right" w:leader="dot"/>
        </w:tabs>
      </w:pPr>
      <w:hyperlink w:anchor="_NAESTMA_TOC_1912" w:history="1">
        <w:r>
          <w:rPr>
            <w:color w:val="466B7A"/>
          </w:rPr>
          <w:t>Article 63.31 — Review and Evolution</w:t>
        </w:r>
      </w:hyperlink>
      <w:r>
        <w:tab/>
      </w:r>
      <w:r>
        <w:rPr>
          <w:rFonts w:ascii="Arial" w:hAnsi="Arial"/>
        </w:rPr>
        <w:t>1479</w:t>
      </w:r>
    </w:p>
    <w:p>
      <w:pPr>
        <w:pStyle w:val="TOC1"/>
        <w:widowControl/>
        <w:tabs>
          <w:tab w:pos="8856" w:val="right" w:leader="dot"/>
        </w:tabs>
      </w:pPr>
      <w:hyperlink w:anchor="_NAESTMA_TOC_1913" w:history="1">
        <w:r>
          <w:rPr>
            <w:color w:val="233746"/>
          </w:rPr>
          <w:t>CHAPTER 64 — NORTH AMERICAN COMMERCIAL WINS LEDGER AND EXPORT OPPORTUNITY SCOREBOARD</w:t>
        </w:r>
      </w:hyperlink>
      <w:r>
        <w:tab/>
      </w:r>
      <w:r>
        <w:rPr>
          <w:rFonts w:ascii="Arial" w:hAnsi="Arial"/>
        </w:rPr>
        <w:t>1480</w:t>
      </w:r>
    </w:p>
    <w:p>
      <w:pPr>
        <w:pStyle w:val="TOC2"/>
        <w:widowControl/>
        <w:tabs>
          <w:tab w:pos="8856" w:val="right" w:leader="dot"/>
        </w:tabs>
      </w:pPr>
      <w:hyperlink w:anchor="_NAESTMA_TOC_1914" w:history="1">
        <w:r>
          <w:rPr>
            <w:color w:val="466B7A"/>
          </w:rPr>
          <w:t>Article 64.1 — Purpose</w:t>
        </w:r>
      </w:hyperlink>
      <w:r>
        <w:tab/>
      </w:r>
      <w:r>
        <w:rPr>
          <w:rFonts w:ascii="Arial" w:hAnsi="Arial"/>
        </w:rPr>
        <w:t>1480</w:t>
      </w:r>
    </w:p>
    <w:p>
      <w:pPr>
        <w:pStyle w:val="TOC2"/>
        <w:widowControl/>
        <w:tabs>
          <w:tab w:pos="8856" w:val="right" w:leader="dot"/>
        </w:tabs>
      </w:pPr>
      <w:hyperlink w:anchor="_NAESTMA_TOC_1915" w:history="1">
        <w:r>
          <w:rPr>
            <w:color w:val="466B7A"/>
          </w:rPr>
          <w:t>Article 64.2 — No Bilateral Deficit Target or Automatic Deficit Trigger</w:t>
        </w:r>
      </w:hyperlink>
      <w:r>
        <w:tab/>
      </w:r>
      <w:r>
        <w:rPr>
          <w:rFonts w:ascii="Arial" w:hAnsi="Arial"/>
        </w:rPr>
        <w:t>1480</w:t>
      </w:r>
    </w:p>
    <w:p>
      <w:pPr>
        <w:pStyle w:val="TOC2"/>
        <w:widowControl/>
        <w:tabs>
          <w:tab w:pos="8856" w:val="right" w:leader="dot"/>
        </w:tabs>
      </w:pPr>
      <w:hyperlink w:anchor="_NAESTMA_TOC_1916" w:history="1">
        <w:r>
          <w:rPr>
            <w:color w:val="466B7A"/>
          </w:rPr>
          <w:t>Article 64.3 — North American Commercial Wins Ledger</w:t>
        </w:r>
      </w:hyperlink>
      <w:r>
        <w:tab/>
      </w:r>
      <w:r>
        <w:rPr>
          <w:rFonts w:ascii="Arial" w:hAnsi="Arial"/>
        </w:rPr>
        <w:t>1480</w:t>
      </w:r>
    </w:p>
    <w:p>
      <w:pPr>
        <w:pStyle w:val="TOC2"/>
        <w:widowControl/>
        <w:tabs>
          <w:tab w:pos="8856" w:val="right" w:leader="dot"/>
        </w:tabs>
      </w:pPr>
      <w:hyperlink w:anchor="_NAESTMA_TOC_1917" w:history="1">
        <w:r>
          <w:rPr>
            <w:color w:val="466B7A"/>
          </w:rPr>
          <w:t>Article 64.4 — Realized, Contracted and Enabled Accounts</w:t>
        </w:r>
      </w:hyperlink>
      <w:r>
        <w:tab/>
      </w:r>
      <w:r>
        <w:rPr>
          <w:rFonts w:ascii="Arial" w:hAnsi="Arial"/>
        </w:rPr>
        <w:t>1480</w:t>
      </w:r>
    </w:p>
    <w:p>
      <w:pPr>
        <w:pStyle w:val="TOC2"/>
        <w:widowControl/>
        <w:tabs>
          <w:tab w:pos="8856" w:val="right" w:leader="dot"/>
        </w:tabs>
      </w:pPr>
      <w:hyperlink w:anchor="_NAESTMA_TOC_1918" w:history="1">
        <w:r>
          <w:rPr>
            <w:color w:val="466B7A"/>
          </w:rPr>
          <w:t>Article 64.5 — Verified Commercial Additionality Standard</w:t>
        </w:r>
      </w:hyperlink>
      <w:r>
        <w:tab/>
      </w:r>
      <w:r>
        <w:rPr>
          <w:rFonts w:ascii="Arial" w:hAnsi="Arial"/>
        </w:rPr>
        <w:t>1480</w:t>
      </w:r>
    </w:p>
    <w:p>
      <w:pPr>
        <w:pStyle w:val="TOC2"/>
        <w:widowControl/>
        <w:tabs>
          <w:tab w:pos="8856" w:val="right" w:leader="dot"/>
        </w:tabs>
      </w:pPr>
      <w:hyperlink w:anchor="_NAESTMA_TOC_1919" w:history="1">
        <w:r>
          <w:rPr>
            <w:color w:val="466B7A"/>
          </w:rPr>
          <w:t>Article 64.6 — Baselines and Counterfactual Discipline</w:t>
        </w:r>
      </w:hyperlink>
      <w:r>
        <w:tab/>
      </w:r>
      <w:r>
        <w:rPr>
          <w:rFonts w:ascii="Arial" w:hAnsi="Arial"/>
        </w:rPr>
        <w:t>1481</w:t>
      </w:r>
    </w:p>
    <w:p>
      <w:pPr>
        <w:pStyle w:val="TOC2"/>
        <w:widowControl/>
        <w:tabs>
          <w:tab w:pos="8856" w:val="right" w:leader="dot"/>
        </w:tabs>
      </w:pPr>
      <w:hyperlink w:anchor="_NAESTMA_TOC_1920" w:history="1">
        <w:r>
          <w:rPr>
            <w:color w:val="466B7A"/>
          </w:rPr>
          <w:t>Article 64.7 — Services, Intellectual Property and Supply-Chain Exports</w:t>
        </w:r>
      </w:hyperlink>
      <w:r>
        <w:tab/>
      </w:r>
      <w:r>
        <w:rPr>
          <w:rFonts w:ascii="Arial" w:hAnsi="Arial"/>
        </w:rPr>
        <w:t>1481</w:t>
      </w:r>
    </w:p>
    <w:p>
      <w:pPr>
        <w:pStyle w:val="TOC2"/>
        <w:widowControl/>
        <w:tabs>
          <w:tab w:pos="8856" w:val="right" w:leader="dot"/>
        </w:tabs>
      </w:pPr>
      <w:hyperlink w:anchor="_NAESTMA_TOC_1921" w:history="1">
        <w:r>
          <w:rPr>
            <w:color w:val="466B7A"/>
          </w:rPr>
          <w:t>Article 64.8 — Effective Export Access Test</w:t>
        </w:r>
      </w:hyperlink>
      <w:r>
        <w:tab/>
      </w:r>
      <w:r>
        <w:rPr>
          <w:rFonts w:ascii="Arial" w:hAnsi="Arial"/>
        </w:rPr>
        <w:t>1481</w:t>
      </w:r>
    </w:p>
    <w:p>
      <w:pPr>
        <w:pStyle w:val="TOC2"/>
        <w:widowControl/>
        <w:tabs>
          <w:tab w:pos="8856" w:val="right" w:leader="dot"/>
        </w:tabs>
      </w:pPr>
      <w:hyperlink w:anchor="_NAESTMA_TOC_1922" w:history="1">
        <w:r>
          <w:rPr>
            <w:color w:val="466B7A"/>
          </w:rPr>
          <w:t>Article 64.9 — Sector and Geographic Classification</w:t>
        </w:r>
      </w:hyperlink>
      <w:r>
        <w:tab/>
      </w:r>
      <w:r>
        <w:rPr>
          <w:rFonts w:ascii="Arial" w:hAnsi="Arial"/>
        </w:rPr>
        <w:t>1481</w:t>
      </w:r>
    </w:p>
    <w:p>
      <w:pPr>
        <w:pStyle w:val="TOC2"/>
        <w:widowControl/>
        <w:tabs>
          <w:tab w:pos="8856" w:val="right" w:leader="dot"/>
        </w:tabs>
      </w:pPr>
      <w:hyperlink w:anchor="_NAESTMA_TOC_1923" w:history="1">
        <w:r>
          <w:rPr>
            <w:color w:val="466B7A"/>
          </w:rPr>
          <w:t>Article 64.10 — Forecast Accountability</w:t>
        </w:r>
      </w:hyperlink>
      <w:r>
        <w:tab/>
      </w:r>
      <w:r>
        <w:rPr>
          <w:rFonts w:ascii="Arial" w:hAnsi="Arial"/>
        </w:rPr>
        <w:t>1481</w:t>
      </w:r>
    </w:p>
    <w:p>
      <w:pPr>
        <w:pStyle w:val="TOC2"/>
        <w:widowControl/>
        <w:tabs>
          <w:tab w:pos="8856" w:val="right" w:leader="dot"/>
        </w:tabs>
      </w:pPr>
      <w:hyperlink w:anchor="_NAESTMA_TOC_1924" w:history="1">
        <w:r>
          <w:rPr>
            <w:color w:val="466B7A"/>
          </w:rPr>
          <w:t>Article 64.11 — No Double Counting, Revisions and Statistical Integrity</w:t>
        </w:r>
      </w:hyperlink>
      <w:r>
        <w:tab/>
      </w:r>
      <w:r>
        <w:rPr>
          <w:rFonts w:ascii="Arial" w:hAnsi="Arial"/>
        </w:rPr>
        <w:t>1481</w:t>
      </w:r>
    </w:p>
    <w:p>
      <w:pPr>
        <w:pStyle w:val="TOC2"/>
        <w:widowControl/>
        <w:tabs>
          <w:tab w:pos="8856" w:val="right" w:leader="dot"/>
        </w:tabs>
      </w:pPr>
      <w:hyperlink w:anchor="_NAESTMA_TOC_1925" w:history="1">
        <w:r>
          <w:rPr>
            <w:color w:val="466B7A"/>
          </w:rPr>
          <w:t>Article 64.12 — Voluntary Commercial-Win Registration</w:t>
        </w:r>
      </w:hyperlink>
      <w:r>
        <w:tab/>
      </w:r>
      <w:r>
        <w:rPr>
          <w:rFonts w:ascii="Arial" w:hAnsi="Arial"/>
        </w:rPr>
        <w:t>1482</w:t>
      </w:r>
    </w:p>
    <w:p>
      <w:pPr>
        <w:pStyle w:val="TOC2"/>
        <w:widowControl/>
        <w:tabs>
          <w:tab w:pos="8856" w:val="right" w:leader="dot"/>
        </w:tabs>
      </w:pPr>
      <w:hyperlink w:anchor="_NAESTMA_TOC_1926" w:history="1">
        <w:r>
          <w:rPr>
            <w:color w:val="466B7A"/>
          </w:rPr>
          <w:t>Article 64.13 — Commercial Friction Register</w:t>
        </w:r>
      </w:hyperlink>
      <w:r>
        <w:tab/>
      </w:r>
      <w:r>
        <w:rPr>
          <w:rFonts w:ascii="Arial" w:hAnsi="Arial"/>
        </w:rPr>
        <w:t>1482</w:t>
      </w:r>
    </w:p>
    <w:p>
      <w:pPr>
        <w:pStyle w:val="TOC2"/>
        <w:widowControl/>
        <w:tabs>
          <w:tab w:pos="8856" w:val="right" w:leader="dot"/>
        </w:tabs>
      </w:pPr>
      <w:hyperlink w:anchor="_NAESTMA_TOC_1927" w:history="1">
        <w:r>
          <w:rPr>
            <w:color w:val="466B7A"/>
          </w:rPr>
          <w:t>Article 64.14 — Trade-Balance Context</w:t>
        </w:r>
      </w:hyperlink>
      <w:r>
        <w:tab/>
      </w:r>
      <w:r>
        <w:rPr>
          <w:rFonts w:ascii="Arial" w:hAnsi="Arial"/>
        </w:rPr>
        <w:t>1482</w:t>
      </w:r>
    </w:p>
    <w:p>
      <w:pPr>
        <w:pStyle w:val="TOC2"/>
        <w:widowControl/>
        <w:tabs>
          <w:tab w:pos="8856" w:val="right" w:leader="dot"/>
        </w:tabs>
      </w:pPr>
      <w:hyperlink w:anchor="_NAESTMA_TOC_1928" w:history="1">
        <w:r>
          <w:rPr>
            <w:color w:val="466B7A"/>
          </w:rPr>
          <w:t>Article 64.15 — Public Commercial Wins Dashboard</w:t>
        </w:r>
      </w:hyperlink>
      <w:r>
        <w:tab/>
      </w:r>
      <w:r>
        <w:rPr>
          <w:rFonts w:ascii="Arial" w:hAnsi="Arial"/>
        </w:rPr>
        <w:t>1482</w:t>
      </w:r>
    </w:p>
    <w:p>
      <w:pPr>
        <w:pStyle w:val="TOC2"/>
        <w:widowControl/>
        <w:tabs>
          <w:tab w:pos="8856" w:val="right" w:leader="dot"/>
        </w:tabs>
      </w:pPr>
      <w:hyperlink w:anchor="_NAESTMA_TOC_1929" w:history="1">
        <w:r>
          <w:rPr>
            <w:color w:val="466B7A"/>
          </w:rPr>
          <w:t>Article 64.16 — Optional Public Presentation and Achievement Features</w:t>
        </w:r>
      </w:hyperlink>
      <w:r>
        <w:tab/>
      </w:r>
      <w:r>
        <w:rPr>
          <w:rFonts w:ascii="Arial" w:hAnsi="Arial"/>
        </w:rPr>
        <w:t>1482</w:t>
      </w:r>
    </w:p>
    <w:p>
      <w:pPr>
        <w:pStyle w:val="TOC2"/>
        <w:widowControl/>
        <w:tabs>
          <w:tab w:pos="8856" w:val="right" w:leader="dot"/>
        </w:tabs>
      </w:pPr>
      <w:hyperlink w:anchor="_NAESTMA_TOC_1930" w:history="1">
        <w:r>
          <w:rPr>
            <w:color w:val="466B7A"/>
          </w:rPr>
          <w:t>Article 64.17 — Optional Export Wins Application</w:t>
        </w:r>
      </w:hyperlink>
      <w:r>
        <w:tab/>
      </w:r>
      <w:r>
        <w:rPr>
          <w:rFonts w:ascii="Arial" w:hAnsi="Arial"/>
        </w:rPr>
        <w:t>1482</w:t>
      </w:r>
    </w:p>
    <w:p>
      <w:pPr>
        <w:pStyle w:val="TOC2"/>
        <w:widowControl/>
        <w:tabs>
          <w:tab w:pos="8856" w:val="right" w:leader="dot"/>
        </w:tabs>
      </w:pPr>
      <w:hyperlink w:anchor="_NAESTMA_TOC_1931" w:history="1">
        <w:r>
          <w:rPr>
            <w:color w:val="466B7A"/>
          </w:rPr>
          <w:t>Article 64.18 — Optional Public Forecasting Interface</w:t>
        </w:r>
      </w:hyperlink>
      <w:r>
        <w:tab/>
      </w:r>
      <w:r>
        <w:rPr>
          <w:rFonts w:ascii="Arial" w:hAnsi="Arial"/>
        </w:rPr>
        <w:t>1482</w:t>
      </w:r>
    </w:p>
    <w:p>
      <w:pPr>
        <w:pStyle w:val="TOC2"/>
        <w:widowControl/>
        <w:tabs>
          <w:tab w:pos="8856" w:val="right" w:leader="dot"/>
        </w:tabs>
      </w:pPr>
      <w:hyperlink w:anchor="_NAESTMA_TOC_1932" w:history="1">
        <w:r>
          <w:rPr>
            <w:color w:val="466B7A"/>
          </w:rPr>
          <w:t>Article 64.19 — Optional Non-Monetary Interface Customization</w:t>
        </w:r>
      </w:hyperlink>
      <w:r>
        <w:tab/>
      </w:r>
      <w:r>
        <w:rPr>
          <w:rFonts w:ascii="Arial" w:hAnsi="Arial"/>
        </w:rPr>
        <w:t>1483</w:t>
      </w:r>
    </w:p>
    <w:p>
      <w:pPr>
        <w:pStyle w:val="TOC2"/>
        <w:widowControl/>
        <w:tabs>
          <w:tab w:pos="8856" w:val="right" w:leader="dot"/>
        </w:tabs>
      </w:pPr>
      <w:hyperlink w:anchor="_NAESTMA_TOC_1933" w:history="1">
        <w:r>
          <w:rPr>
            <w:color w:val="466B7A"/>
          </w:rPr>
          <w:t>Article 64.20 — Optional Forecasting Interface Integrity and Safety</w:t>
        </w:r>
      </w:hyperlink>
      <w:r>
        <w:tab/>
      </w:r>
      <w:r>
        <w:rPr>
          <w:rFonts w:ascii="Arial" w:hAnsi="Arial"/>
        </w:rPr>
        <w:t>1483</w:t>
      </w:r>
    </w:p>
    <w:p>
      <w:pPr>
        <w:pStyle w:val="TOC2"/>
        <w:widowControl/>
        <w:tabs>
          <w:tab w:pos="8856" w:val="right" w:leader="dot"/>
        </w:tabs>
      </w:pPr>
      <w:hyperlink w:anchor="_NAESTMA_TOC_1934" w:history="1">
        <w:r>
          <w:rPr>
            <w:color w:val="466B7A"/>
          </w:rPr>
          <w:t>Article 64.21 — Optional Public Forecast Consensus and Learning</w:t>
        </w:r>
      </w:hyperlink>
      <w:r>
        <w:tab/>
      </w:r>
      <w:r>
        <w:rPr>
          <w:rFonts w:ascii="Arial" w:hAnsi="Arial"/>
        </w:rPr>
        <w:t>1483</w:t>
      </w:r>
    </w:p>
    <w:p>
      <w:pPr>
        <w:pStyle w:val="TOC2"/>
        <w:widowControl/>
        <w:tabs>
          <w:tab w:pos="8856" w:val="right" w:leader="dot"/>
        </w:tabs>
      </w:pPr>
      <w:hyperlink w:anchor="_NAESTMA_TOC_1935" w:history="1">
        <w:r>
          <w:rPr>
            <w:color w:val="466B7A"/>
          </w:rPr>
          <w:t>Article 64.22 — Data Verification and Existing Institutions</w:t>
        </w:r>
      </w:hyperlink>
      <w:r>
        <w:tab/>
      </w:r>
      <w:r>
        <w:rPr>
          <w:rFonts w:ascii="Arial" w:hAnsi="Arial"/>
        </w:rPr>
        <w:t>1483</w:t>
      </w:r>
    </w:p>
    <w:p>
      <w:pPr>
        <w:pStyle w:val="TOC2"/>
        <w:widowControl/>
        <w:tabs>
          <w:tab w:pos="8856" w:val="right" w:leader="dot"/>
        </w:tabs>
      </w:pPr>
      <w:hyperlink w:anchor="_NAESTMA_TOC_1936" w:history="1">
        <w:r>
          <w:rPr>
            <w:color w:val="466B7A"/>
          </w:rPr>
          <w:t>Article 64.23 — Symmetry and National Presentation Freedom</w:t>
        </w:r>
      </w:hyperlink>
      <w:r>
        <w:tab/>
      </w:r>
      <w:r>
        <w:rPr>
          <w:rFonts w:ascii="Arial" w:hAnsi="Arial"/>
        </w:rPr>
        <w:t>1484</w:t>
      </w:r>
    </w:p>
    <w:p>
      <w:pPr>
        <w:pStyle w:val="TOC2"/>
        <w:widowControl/>
        <w:tabs>
          <w:tab w:pos="8856" w:val="right" w:leader="dot"/>
        </w:tabs>
      </w:pPr>
      <w:hyperlink w:anchor="_NAESTMA_TOC_1937" w:history="1">
        <w:r>
          <w:rPr>
            <w:color w:val="466B7A"/>
          </w:rPr>
          <w:t>Article 64.24 — Governing Principle</w:t>
        </w:r>
      </w:hyperlink>
      <w:r>
        <w:tab/>
      </w:r>
      <w:r>
        <w:rPr>
          <w:rFonts w:ascii="Arial" w:hAnsi="Arial"/>
        </w:rPr>
        <w:t>1484</w:t>
      </w:r>
    </w:p>
    <w:p>
      <w:pPr>
        <w:pStyle w:val="TOC1"/>
        <w:widowControl/>
        <w:tabs>
          <w:tab w:pos="8856" w:val="right" w:leader="dot"/>
        </w:tabs>
      </w:pPr>
      <w:hyperlink w:anchor="_NAESTMA_TOC_1938" w:history="1">
        <w:r>
          <w:rPr>
            <w:color w:val="233746"/>
          </w:rPr>
          <w:t>CHAPTER 65 — NORTH AMERICAN RECIPROCAL PROCUREMENT COMPACT</w:t>
        </w:r>
      </w:hyperlink>
      <w:r>
        <w:tab/>
      </w:r>
      <w:r>
        <w:rPr>
          <w:rFonts w:ascii="Arial" w:hAnsi="Arial"/>
        </w:rPr>
        <w:t>1485</w:t>
      </w:r>
    </w:p>
    <w:p>
      <w:pPr>
        <w:pStyle w:val="TOC2"/>
        <w:widowControl/>
        <w:tabs>
          <w:tab w:pos="8856" w:val="right" w:leader="dot"/>
        </w:tabs>
      </w:pPr>
      <w:hyperlink w:anchor="_NAESTMA_TOC_1939" w:history="1">
        <w:r>
          <w:rPr>
            <w:color w:val="466B7A"/>
          </w:rPr>
          <w:t>Article 65.1 — Purpose</w:t>
        </w:r>
      </w:hyperlink>
      <w:r>
        <w:tab/>
      </w:r>
      <w:r>
        <w:rPr>
          <w:rFonts w:ascii="Arial" w:hAnsi="Arial"/>
        </w:rPr>
        <w:t>1485</w:t>
      </w:r>
    </w:p>
    <w:p>
      <w:pPr>
        <w:pStyle w:val="TOC2"/>
        <w:widowControl/>
        <w:tabs>
          <w:tab w:pos="8856" w:val="right" w:leader="dot"/>
        </w:tabs>
      </w:pPr>
      <w:hyperlink w:anchor="_NAESTMA_TOC_1940" w:history="1">
        <w:r>
          <w:rPr>
            <w:color w:val="466B7A"/>
          </w:rPr>
          <w:t>Article 65.2 — 370-Entry Candidate Opportunity Portfolio</w:t>
        </w:r>
      </w:hyperlink>
      <w:r>
        <w:tab/>
      </w:r>
      <w:r>
        <w:rPr>
          <w:rFonts w:ascii="Arial" w:hAnsi="Arial"/>
        </w:rPr>
        <w:t>1485</w:t>
      </w:r>
    </w:p>
    <w:p>
      <w:pPr>
        <w:pStyle w:val="TOC2"/>
        <w:widowControl/>
        <w:tabs>
          <w:tab w:pos="8856" w:val="right" w:leader="dot"/>
        </w:tabs>
      </w:pPr>
      <w:hyperlink w:anchor="_NAESTMA_TOC_1941" w:history="1">
        <w:r>
          <w:rPr>
            <w:color w:val="466B7A"/>
          </w:rPr>
          <w:t>Article 65.3 — Priority and Maturity Classes</w:t>
        </w:r>
      </w:hyperlink>
      <w:r>
        <w:tab/>
      </w:r>
      <w:r>
        <w:rPr>
          <w:rFonts w:ascii="Arial" w:hAnsi="Arial"/>
        </w:rPr>
        <w:t>1485</w:t>
      </w:r>
    </w:p>
    <w:p>
      <w:pPr>
        <w:pStyle w:val="TOC2"/>
        <w:widowControl/>
        <w:tabs>
          <w:tab w:pos="8856" w:val="right" w:leader="dot"/>
        </w:tabs>
      </w:pPr>
      <w:hyperlink w:anchor="_NAESTMA_TOC_1942" w:history="1">
        <w:r>
          <w:rPr>
            <w:color w:val="466B7A"/>
          </w:rPr>
          <w:t>Article 65.4 — Project-Specific Reciprocity and Affirmative Designation</w:t>
        </w:r>
      </w:hyperlink>
      <w:r>
        <w:tab/>
      </w:r>
      <w:r>
        <w:rPr>
          <w:rFonts w:ascii="Arial" w:hAnsi="Arial"/>
        </w:rPr>
        <w:t>1485</w:t>
      </w:r>
    </w:p>
    <w:p>
      <w:pPr>
        <w:pStyle w:val="TOC2"/>
        <w:widowControl/>
        <w:tabs>
          <w:tab w:pos="8856" w:val="right" w:leader="dot"/>
        </w:tabs>
      </w:pPr>
      <w:hyperlink w:anchor="_NAESTMA_TOC_1943" w:history="1">
        <w:r>
          <w:rPr>
            <w:color w:val="466B7A"/>
          </w:rPr>
          <w:t>Article 65.5 — No Blanket Buy American Waiver</w:t>
        </w:r>
      </w:hyperlink>
      <w:r>
        <w:tab/>
      </w:r>
      <w:r>
        <w:rPr>
          <w:rFonts w:ascii="Arial" w:hAnsi="Arial"/>
        </w:rPr>
        <w:t>1485</w:t>
      </w:r>
    </w:p>
    <w:p>
      <w:pPr>
        <w:pStyle w:val="TOC2"/>
        <w:widowControl/>
        <w:tabs>
          <w:tab w:pos="8856" w:val="right" w:leader="dot"/>
        </w:tabs>
      </w:pPr>
      <w:hyperlink w:anchor="_NAESTMA_TOC_1944" w:history="1">
        <w:r>
          <w:rPr>
            <w:color w:val="466B7A"/>
          </w:rPr>
          <w:t>Article 65.6 — Opportunity, Not Award</w:t>
        </w:r>
      </w:hyperlink>
      <w:r>
        <w:tab/>
      </w:r>
      <w:r>
        <w:rPr>
          <w:rFonts w:ascii="Arial" w:hAnsi="Arial"/>
        </w:rPr>
        <w:t>1486</w:t>
      </w:r>
    </w:p>
    <w:p>
      <w:pPr>
        <w:pStyle w:val="TOC2"/>
        <w:widowControl/>
        <w:tabs>
          <w:tab w:pos="8856" w:val="right" w:leader="dot"/>
        </w:tabs>
      </w:pPr>
      <w:hyperlink w:anchor="_NAESTMA_TOC_1945" w:history="1">
        <w:r>
          <w:rPr>
            <w:color w:val="466B7A"/>
          </w:rPr>
          <w:t>Article 65.7 — Procurement Opportunity Certificate</w:t>
        </w:r>
      </w:hyperlink>
      <w:r>
        <w:tab/>
      </w:r>
      <w:r>
        <w:rPr>
          <w:rFonts w:ascii="Arial" w:hAnsi="Arial"/>
        </w:rPr>
        <w:t>1486</w:t>
      </w:r>
    </w:p>
    <w:p>
      <w:pPr>
        <w:pStyle w:val="TOC2"/>
        <w:widowControl/>
        <w:tabs>
          <w:tab w:pos="8856" w:val="right" w:leader="dot"/>
        </w:tabs>
      </w:pPr>
      <w:hyperlink w:anchor="_NAESTMA_TOC_1946" w:history="1">
        <w:r>
          <w:rPr>
            <w:color w:val="466B7A"/>
          </w:rPr>
          <w:t>Article 65.8 — Verification Ladder</w:t>
        </w:r>
      </w:hyperlink>
      <w:r>
        <w:tab/>
      </w:r>
      <w:r>
        <w:rPr>
          <w:rFonts w:ascii="Arial" w:hAnsi="Arial"/>
        </w:rPr>
        <w:t>1486</w:t>
      </w:r>
    </w:p>
    <w:p>
      <w:pPr>
        <w:pStyle w:val="TOC2"/>
        <w:widowControl/>
        <w:tabs>
          <w:tab w:pos="8856" w:val="right" w:leader="dot"/>
        </w:tabs>
      </w:pPr>
      <w:hyperlink w:anchor="_NAESTMA_TOC_1947" w:history="1">
        <w:r>
          <w:rPr>
            <w:color w:val="466B7A"/>
          </w:rPr>
          <w:t>Article 65.9 — Procurement Value Integrity</w:t>
        </w:r>
      </w:hyperlink>
      <w:r>
        <w:tab/>
      </w:r>
      <w:r>
        <w:rPr>
          <w:rFonts w:ascii="Arial" w:hAnsi="Arial"/>
        </w:rPr>
        <w:t>1486</w:t>
      </w:r>
    </w:p>
    <w:p>
      <w:pPr>
        <w:pStyle w:val="TOC2"/>
        <w:widowControl/>
        <w:tabs>
          <w:tab w:pos="8856" w:val="right" w:leader="dot"/>
        </w:tabs>
      </w:pPr>
      <w:hyperlink w:anchor="_NAESTMA_TOC_1948" w:history="1">
        <w:r>
          <w:rPr>
            <w:color w:val="466B7A"/>
          </w:rPr>
          <w:t>Article 65.10 — Effective Procurement Access Test</w:t>
        </w:r>
      </w:hyperlink>
      <w:r>
        <w:tab/>
      </w:r>
      <w:r>
        <w:rPr>
          <w:rFonts w:ascii="Arial" w:hAnsi="Arial"/>
        </w:rPr>
        <w:t>1486</w:t>
      </w:r>
    </w:p>
    <w:p>
      <w:pPr>
        <w:pStyle w:val="TOC2"/>
        <w:widowControl/>
        <w:tabs>
          <w:tab w:pos="8856" w:val="right" w:leader="dot"/>
        </w:tabs>
      </w:pPr>
      <w:hyperlink w:anchor="_NAESTMA_TOC_1949" w:history="1">
        <w:r>
          <w:rPr>
            <w:color w:val="466B7A"/>
          </w:rPr>
          <w:t>Article 65.11 — Reciprocal Portfolio Equivalence</w:t>
        </w:r>
      </w:hyperlink>
      <w:r>
        <w:tab/>
      </w:r>
      <w:r>
        <w:rPr>
          <w:rFonts w:ascii="Arial" w:hAnsi="Arial"/>
        </w:rPr>
        <w:t>1486</w:t>
      </w:r>
    </w:p>
    <w:p>
      <w:pPr>
        <w:pStyle w:val="TOC2"/>
        <w:widowControl/>
        <w:tabs>
          <w:tab w:pos="8856" w:val="right" w:leader="dot"/>
        </w:tabs>
      </w:pPr>
      <w:hyperlink w:anchor="_NAESTMA_TOC_1950" w:history="1">
        <w:r>
          <w:rPr>
            <w:color w:val="466B7A"/>
          </w:rPr>
          <w:t>Article 65.12 — North American Content and Prequalification Lane</w:t>
        </w:r>
      </w:hyperlink>
      <w:r>
        <w:tab/>
      </w:r>
      <w:r>
        <w:rPr>
          <w:rFonts w:ascii="Arial" w:hAnsi="Arial"/>
        </w:rPr>
        <w:t>1486</w:t>
      </w:r>
    </w:p>
    <w:p>
      <w:pPr>
        <w:pStyle w:val="TOC2"/>
        <w:widowControl/>
        <w:tabs>
          <w:tab w:pos="8856" w:val="right" w:leader="dot"/>
        </w:tabs>
      </w:pPr>
      <w:hyperlink w:anchor="_NAESTMA_TOC_1951" w:history="1">
        <w:r>
          <w:rPr>
            <w:color w:val="466B7A"/>
          </w:rPr>
          <w:t>Article 65.13 — Subnational Reciprocity Track</w:t>
        </w:r>
      </w:hyperlink>
      <w:r>
        <w:tab/>
      </w:r>
      <w:r>
        <w:rPr>
          <w:rFonts w:ascii="Arial" w:hAnsi="Arial"/>
        </w:rPr>
        <w:t>1487</w:t>
      </w:r>
    </w:p>
    <w:p>
      <w:pPr>
        <w:pStyle w:val="TOC2"/>
        <w:widowControl/>
        <w:tabs>
          <w:tab w:pos="8856" w:val="right" w:leader="dot"/>
        </w:tabs>
      </w:pPr>
      <w:hyperlink w:anchor="_NAESTMA_TOC_1952" w:history="1">
        <w:r>
          <w:rPr>
            <w:color w:val="466B7A"/>
          </w:rPr>
          <w:t>Article 65.14 — Community, Indigenous and SME Participation</w:t>
        </w:r>
      </w:hyperlink>
      <w:r>
        <w:tab/>
      </w:r>
      <w:r>
        <w:rPr>
          <w:rFonts w:ascii="Arial" w:hAnsi="Arial"/>
        </w:rPr>
        <w:t>1487</w:t>
      </w:r>
    </w:p>
    <w:p>
      <w:pPr>
        <w:pStyle w:val="TOC2"/>
        <w:widowControl/>
        <w:tabs>
          <w:tab w:pos="8856" w:val="right" w:leader="dot"/>
        </w:tabs>
      </w:pPr>
      <w:hyperlink w:anchor="_NAESTMA_TOC_1953" w:history="1">
        <w:r>
          <w:rPr>
            <w:color w:val="466B7A"/>
          </w:rPr>
          <w:t>Article 65.15 — Public, Private and Mixed Projects</w:t>
        </w:r>
      </w:hyperlink>
      <w:r>
        <w:tab/>
      </w:r>
      <w:r>
        <w:rPr>
          <w:rFonts w:ascii="Arial" w:hAnsi="Arial"/>
        </w:rPr>
        <w:t>1487</w:t>
      </w:r>
    </w:p>
    <w:p>
      <w:pPr>
        <w:pStyle w:val="TOC2"/>
        <w:widowControl/>
        <w:tabs>
          <w:tab w:pos="8856" w:val="right" w:leader="dot"/>
        </w:tabs>
      </w:pPr>
      <w:hyperlink w:anchor="_NAESTMA_TOC_1954" w:history="1">
        <w:r>
          <w:rPr>
            <w:color w:val="466B7A"/>
          </w:rPr>
          <w:t>Article 65.16 — Security and Sensitive Procurement Firewall</w:t>
        </w:r>
      </w:hyperlink>
      <w:r>
        <w:tab/>
      </w:r>
      <w:r>
        <w:rPr>
          <w:rFonts w:ascii="Arial" w:hAnsi="Arial"/>
        </w:rPr>
        <w:t>1487</w:t>
      </w:r>
    </w:p>
    <w:p>
      <w:pPr>
        <w:pStyle w:val="TOC2"/>
        <w:widowControl/>
        <w:tabs>
          <w:tab w:pos="8856" w:val="right" w:leader="dot"/>
        </w:tabs>
      </w:pPr>
      <w:hyperlink w:anchor="_NAESTMA_TOC_1955" w:history="1">
        <w:r>
          <w:rPr>
            <w:color w:val="466B7A"/>
          </w:rPr>
          <w:t>Article 65.17 — Permitting, Rights and Regulatory Firewall</w:t>
        </w:r>
      </w:hyperlink>
      <w:r>
        <w:tab/>
      </w:r>
      <w:r>
        <w:rPr>
          <w:rFonts w:ascii="Arial" w:hAnsi="Arial"/>
        </w:rPr>
        <w:t>1487</w:t>
      </w:r>
    </w:p>
    <w:p>
      <w:pPr>
        <w:pStyle w:val="TOC2"/>
        <w:widowControl/>
        <w:tabs>
          <w:tab w:pos="8856" w:val="right" w:leader="dot"/>
        </w:tabs>
      </w:pPr>
      <w:hyperlink w:anchor="_NAESTMA_TOC_1956" w:history="1">
        <w:r>
          <w:rPr>
            <w:color w:val="466B7A"/>
          </w:rPr>
          <w:t>Article 65.18 — Three-Receipt Rule</w:t>
        </w:r>
      </w:hyperlink>
      <w:r>
        <w:tab/>
      </w:r>
      <w:r>
        <w:rPr>
          <w:rFonts w:ascii="Arial" w:hAnsi="Arial"/>
        </w:rPr>
        <w:t>1487</w:t>
      </w:r>
    </w:p>
    <w:p>
      <w:pPr>
        <w:pStyle w:val="TOC2"/>
        <w:widowControl/>
        <w:tabs>
          <w:tab w:pos="8856" w:val="right" w:leader="dot"/>
        </w:tabs>
      </w:pPr>
      <w:hyperlink w:anchor="_NAESTMA_TOC_1957" w:history="1">
        <w:r>
          <w:rPr>
            <w:color w:val="466B7A"/>
          </w:rPr>
          <w:t>Article 65.19 — Opportunity-to-Delivery Accounting</w:t>
        </w:r>
      </w:hyperlink>
      <w:r>
        <w:tab/>
      </w:r>
      <w:r>
        <w:rPr>
          <w:rFonts w:ascii="Arial" w:hAnsi="Arial"/>
        </w:rPr>
        <w:t>1487</w:t>
      </w:r>
    </w:p>
    <w:p>
      <w:pPr>
        <w:pStyle w:val="TOC2"/>
        <w:widowControl/>
        <w:tabs>
          <w:tab w:pos="8856" w:val="right" w:leader="dot"/>
        </w:tabs>
      </w:pPr>
      <w:hyperlink w:anchor="_NAESTMA_TOC_1958" w:history="1">
        <w:r>
          <w:rPr>
            <w:color w:val="466B7A"/>
          </w:rPr>
          <w:t>Article 65.20 — Procurement Availability Ratio</w:t>
        </w:r>
      </w:hyperlink>
      <w:r>
        <w:tab/>
      </w:r>
      <w:r>
        <w:rPr>
          <w:rFonts w:ascii="Arial" w:hAnsi="Arial"/>
        </w:rPr>
        <w:t>1487</w:t>
      </w:r>
    </w:p>
    <w:p>
      <w:pPr>
        <w:pStyle w:val="TOC2"/>
        <w:widowControl/>
        <w:tabs>
          <w:tab w:pos="8856" w:val="right" w:leader="dot"/>
        </w:tabs>
      </w:pPr>
      <w:hyperlink w:anchor="_NAESTMA_TOC_1959" w:history="1">
        <w:r>
          <w:rPr>
            <w:color w:val="466B7A"/>
          </w:rPr>
          <w:t>Article 65.21 — Initial, Rolling and Development Schedules</w:t>
        </w:r>
      </w:hyperlink>
      <w:r>
        <w:tab/>
      </w:r>
      <w:r>
        <w:rPr>
          <w:rFonts w:ascii="Arial" w:hAnsi="Arial"/>
        </w:rPr>
        <w:t>1487</w:t>
      </w:r>
    </w:p>
    <w:p>
      <w:pPr>
        <w:pStyle w:val="TOC2"/>
        <w:widowControl/>
        <w:tabs>
          <w:tab w:pos="8856" w:val="right" w:leader="dot"/>
        </w:tabs>
      </w:pPr>
      <w:hyperlink w:anchor="_NAESTMA_TOC_1960" w:history="1">
        <w:r>
          <w:rPr>
            <w:color w:val="466B7A"/>
          </w:rPr>
          <w:t>Article 65.22 — Expansion and Substitution Registry</w:t>
        </w:r>
      </w:hyperlink>
      <w:r>
        <w:tab/>
      </w:r>
      <w:r>
        <w:rPr>
          <w:rFonts w:ascii="Arial" w:hAnsi="Arial"/>
        </w:rPr>
        <w:t>1488</w:t>
      </w:r>
    </w:p>
    <w:p>
      <w:pPr>
        <w:pStyle w:val="TOC2"/>
        <w:widowControl/>
        <w:tabs>
          <w:tab w:pos="8856" w:val="right" w:leader="dot"/>
        </w:tabs>
      </w:pPr>
      <w:hyperlink w:anchor="_NAESTMA_TOC_1961" w:history="1">
        <w:r>
          <w:rPr>
            <w:color w:val="466B7A"/>
          </w:rPr>
          <w:t>Article 65.23 — Substitution Without Concealment</w:t>
        </w:r>
      </w:hyperlink>
      <w:r>
        <w:tab/>
      </w:r>
      <w:r>
        <w:rPr>
          <w:rFonts w:ascii="Arial" w:hAnsi="Arial"/>
        </w:rPr>
        <w:t>1488</w:t>
      </w:r>
    </w:p>
    <w:p>
      <w:pPr>
        <w:pStyle w:val="TOC2"/>
        <w:widowControl/>
        <w:tabs>
          <w:tab w:pos="8856" w:val="right" w:leader="dot"/>
        </w:tabs>
      </w:pPr>
      <w:hyperlink w:anchor="_NAESTMA_TOC_1962" w:history="1">
        <w:r>
          <w:rPr>
            <w:color w:val="466B7A"/>
          </w:rPr>
          <w:t>Article 65.24 — Procurement Opportunity Registry</w:t>
        </w:r>
      </w:hyperlink>
      <w:r>
        <w:tab/>
      </w:r>
      <w:r>
        <w:rPr>
          <w:rFonts w:ascii="Arial" w:hAnsi="Arial"/>
        </w:rPr>
        <w:t>1488</w:t>
      </w:r>
    </w:p>
    <w:p>
      <w:pPr>
        <w:pStyle w:val="TOC2"/>
        <w:widowControl/>
        <w:tabs>
          <w:tab w:pos="8856" w:val="right" w:leader="dot"/>
        </w:tabs>
      </w:pPr>
      <w:hyperlink w:anchor="_NAESTMA_TOC_1963" w:history="1">
        <w:r>
          <w:rPr>
            <w:color w:val="466B7A"/>
          </w:rPr>
          <w:t>Article 65.25 — Commercial Wins Integration</w:t>
        </w:r>
      </w:hyperlink>
      <w:r>
        <w:tab/>
      </w:r>
      <w:r>
        <w:rPr>
          <w:rFonts w:ascii="Arial" w:hAnsi="Arial"/>
        </w:rPr>
        <w:t>1488</w:t>
      </w:r>
    </w:p>
    <w:p>
      <w:pPr>
        <w:pStyle w:val="TOC2"/>
        <w:widowControl/>
        <w:tabs>
          <w:tab w:pos="8856" w:val="right" w:leader="dot"/>
        </w:tabs>
      </w:pPr>
      <w:hyperlink w:anchor="_NAESTMA_TOC_1964" w:history="1">
        <w:r>
          <w:rPr>
            <w:color w:val="466B7A"/>
          </w:rPr>
          <w:t>Article 65.26 — No Uncompensated Front-Loading</w:t>
        </w:r>
      </w:hyperlink>
      <w:r>
        <w:tab/>
      </w:r>
      <w:r>
        <w:rPr>
          <w:rFonts w:ascii="Arial" w:hAnsi="Arial"/>
        </w:rPr>
        <w:t>1488</w:t>
      </w:r>
    </w:p>
    <w:p>
      <w:pPr>
        <w:pStyle w:val="TOC2"/>
        <w:widowControl/>
        <w:tabs>
          <w:tab w:pos="8856" w:val="right" w:leader="dot"/>
        </w:tabs>
      </w:pPr>
      <w:hyperlink w:anchor="_NAESTMA_TOC_1965" w:history="1">
        <w:r>
          <w:rPr>
            <w:color w:val="466B7A"/>
          </w:rPr>
          <w:t>Article 65.27 — No Cross-Sector Procurement Punishment</w:t>
        </w:r>
      </w:hyperlink>
      <w:r>
        <w:tab/>
      </w:r>
      <w:r>
        <w:rPr>
          <w:rFonts w:ascii="Arial" w:hAnsi="Arial"/>
        </w:rPr>
        <w:t>1488</w:t>
      </w:r>
    </w:p>
    <w:p>
      <w:pPr>
        <w:pStyle w:val="TOC2"/>
        <w:widowControl/>
        <w:tabs>
          <w:tab w:pos="8856" w:val="right" w:leader="dot"/>
        </w:tabs>
      </w:pPr>
      <w:hyperlink w:anchor="_NAESTMA_TOC_1966" w:history="1">
        <w:r>
          <w:rPr>
            <w:color w:val="466B7A"/>
          </w:rPr>
          <w:t>Article 65.28 — Review, Promotion and Evolution</w:t>
        </w:r>
      </w:hyperlink>
      <w:r>
        <w:tab/>
      </w:r>
      <w:r>
        <w:rPr>
          <w:rFonts w:ascii="Arial" w:hAnsi="Arial"/>
        </w:rPr>
        <w:t>1488</w:t>
      </w:r>
    </w:p>
    <w:p>
      <w:pPr>
        <w:pStyle w:val="TOC1"/>
        <w:widowControl/>
        <w:tabs>
          <w:tab w:pos="8856" w:val="right" w:leader="dot"/>
        </w:tabs>
      </w:pPr>
      <w:hyperlink w:anchor="_NAESTMA_TOC_1967" w:history="1">
        <w:r>
          <w:rPr>
            <w:color w:val="233746"/>
          </w:rPr>
          <w:t>CHAPTER 66 — NORTH AMERICAN SHIELD, FENTANYL, PRECURSOR AND BORDER SECURITY COMPACT</w:t>
        </w:r>
      </w:hyperlink>
      <w:r>
        <w:tab/>
      </w:r>
      <w:r>
        <w:rPr>
          <w:rFonts w:ascii="Arial" w:hAnsi="Arial"/>
        </w:rPr>
        <w:t>1510</w:t>
      </w:r>
    </w:p>
    <w:p>
      <w:pPr>
        <w:pStyle w:val="TOC2"/>
        <w:widowControl/>
        <w:tabs>
          <w:tab w:pos="8856" w:val="right" w:leader="dot"/>
        </w:tabs>
      </w:pPr>
      <w:hyperlink w:anchor="_NAESTMA_TOC_1968" w:history="1">
        <w:r>
          <w:rPr>
            <w:color w:val="466B7A"/>
          </w:rPr>
          <w:t>Article 66.1 — Purpose and Security Bargain</w:t>
        </w:r>
      </w:hyperlink>
      <w:r>
        <w:tab/>
      </w:r>
      <w:r>
        <w:rPr>
          <w:rFonts w:ascii="Arial" w:hAnsi="Arial"/>
        </w:rPr>
        <w:t>1510</w:t>
      </w:r>
    </w:p>
    <w:p>
      <w:pPr>
        <w:pStyle w:val="TOC2"/>
        <w:widowControl/>
        <w:tabs>
          <w:tab w:pos="8856" w:val="right" w:leader="dot"/>
        </w:tabs>
      </w:pPr>
      <w:hyperlink w:anchor="_NAESTMA_TOC_1969" w:history="1">
        <w:r>
          <w:rPr>
            <w:color w:val="466B7A"/>
          </w:rPr>
          <w:t>Article 66.2 — Governing Principle — Cooperate Continentally, Enforce Nationally</w:t>
        </w:r>
      </w:hyperlink>
      <w:r>
        <w:tab/>
      </w:r>
      <w:r>
        <w:rPr>
          <w:rFonts w:ascii="Arial" w:hAnsi="Arial"/>
        </w:rPr>
        <w:t>1510</w:t>
      </w:r>
    </w:p>
    <w:p>
      <w:pPr>
        <w:pStyle w:val="TOC2"/>
        <w:widowControl/>
        <w:tabs>
          <w:tab w:pos="8856" w:val="right" w:leader="dot"/>
        </w:tabs>
      </w:pPr>
      <w:hyperlink w:anchor="_NAESTMA_TOC_1970" w:history="1">
        <w:r>
          <w:rPr>
            <w:color w:val="466B7A"/>
          </w:rPr>
          <w:t>Article 66.3 — No Foreign Enforcement Power</w:t>
        </w:r>
      </w:hyperlink>
      <w:r>
        <w:tab/>
      </w:r>
      <w:r>
        <w:rPr>
          <w:rFonts w:ascii="Arial" w:hAnsi="Arial"/>
        </w:rPr>
        <w:t>1510</w:t>
      </w:r>
    </w:p>
    <w:p>
      <w:pPr>
        <w:pStyle w:val="TOC2"/>
        <w:widowControl/>
        <w:tabs>
          <w:tab w:pos="8856" w:val="right" w:leader="dot"/>
        </w:tabs>
      </w:pPr>
      <w:hyperlink w:anchor="_NAESTMA_TOC_1971" w:history="1">
        <w:r>
          <w:rPr>
            <w:color w:val="466B7A"/>
          </w:rPr>
          <w:t>Article 66.4 — Shield Reciprocity Doctrine</w:t>
        </w:r>
      </w:hyperlink>
      <w:r>
        <w:tab/>
      </w:r>
      <w:r>
        <w:rPr>
          <w:rFonts w:ascii="Arial" w:hAnsi="Arial"/>
        </w:rPr>
        <w:t>1510</w:t>
      </w:r>
    </w:p>
    <w:p>
      <w:pPr>
        <w:pStyle w:val="TOC2"/>
        <w:widowControl/>
        <w:tabs>
          <w:tab w:pos="8856" w:val="right" w:leader="dot"/>
        </w:tabs>
      </w:pPr>
      <w:hyperlink w:anchor="_NAESTMA_TOC_1972" w:history="1">
        <w:r>
          <w:rPr>
            <w:color w:val="466B7A"/>
          </w:rPr>
          <w:t>Article 66.5 — Covered Illicit Flows</w:t>
        </w:r>
      </w:hyperlink>
      <w:r>
        <w:tab/>
      </w:r>
      <w:r>
        <w:rPr>
          <w:rFonts w:ascii="Arial" w:hAnsi="Arial"/>
        </w:rPr>
        <w:t>1510</w:t>
      </w:r>
    </w:p>
    <w:p>
      <w:pPr>
        <w:pStyle w:val="TOC2"/>
        <w:widowControl/>
        <w:tabs>
          <w:tab w:pos="8856" w:val="right" w:leader="dot"/>
        </w:tabs>
      </w:pPr>
      <w:hyperlink w:anchor="_NAESTMA_TOC_1973" w:history="1">
        <w:r>
          <w:rPr>
            <w:color w:val="466B7A"/>
          </w:rPr>
          <w:t>Article 66.6 — Secure-and-Accelerate Principle</w:t>
        </w:r>
      </w:hyperlink>
      <w:r>
        <w:tab/>
      </w:r>
      <w:r>
        <w:rPr>
          <w:rFonts w:ascii="Arial" w:hAnsi="Arial"/>
        </w:rPr>
        <w:t>1511</w:t>
      </w:r>
    </w:p>
    <w:p>
      <w:pPr>
        <w:pStyle w:val="TOC2"/>
        <w:widowControl/>
        <w:tabs>
          <w:tab w:pos="8856" w:val="right" w:leader="dot"/>
        </w:tabs>
      </w:pPr>
      <w:hyperlink w:anchor="_NAESTMA_TOC_1974" w:history="1">
        <w:r>
          <w:rPr>
            <w:color w:val="466B7A"/>
          </w:rPr>
          <w:t>Article 66.7 — Detection and Non-Intrusive Inspection Capability</w:t>
        </w:r>
      </w:hyperlink>
      <w:r>
        <w:tab/>
      </w:r>
      <w:r>
        <w:rPr>
          <w:rFonts w:ascii="Arial" w:hAnsi="Arial"/>
        </w:rPr>
        <w:t>1511</w:t>
      </w:r>
    </w:p>
    <w:p>
      <w:pPr>
        <w:pStyle w:val="TOC2"/>
        <w:widowControl/>
        <w:tabs>
          <w:tab w:pos="8856" w:val="right" w:leader="dot"/>
        </w:tabs>
      </w:pPr>
      <w:hyperlink w:anchor="_NAESTMA_TOC_1975" w:history="1">
        <w:r>
          <w:rPr>
            <w:color w:val="466B7A"/>
          </w:rPr>
          <w:t>Article 66.8 — Operational Availability and Maintenance</w:t>
        </w:r>
      </w:hyperlink>
      <w:r>
        <w:tab/>
      </w:r>
      <w:r>
        <w:rPr>
          <w:rFonts w:ascii="Arial" w:hAnsi="Arial"/>
        </w:rPr>
        <w:t>1511</w:t>
      </w:r>
    </w:p>
    <w:p>
      <w:pPr>
        <w:pStyle w:val="TOC2"/>
        <w:widowControl/>
        <w:tabs>
          <w:tab w:pos="8856" w:val="right" w:leader="dot"/>
        </w:tabs>
      </w:pPr>
      <w:hyperlink w:anchor="_NAESTMA_TOC_1976" w:history="1">
        <w:r>
          <w:rPr>
            <w:color w:val="466B7A"/>
          </w:rPr>
          <w:t>Article 66.9 — Cargo Targeting and Risk Intelligence</w:t>
        </w:r>
      </w:hyperlink>
      <w:r>
        <w:tab/>
      </w:r>
      <w:r>
        <w:rPr>
          <w:rFonts w:ascii="Arial" w:hAnsi="Arial"/>
        </w:rPr>
        <w:t>1511</w:t>
      </w:r>
    </w:p>
    <w:p>
      <w:pPr>
        <w:pStyle w:val="TOC2"/>
        <w:widowControl/>
        <w:tabs>
          <w:tab w:pos="8856" w:val="right" w:leader="dot"/>
        </w:tabs>
      </w:pPr>
      <w:hyperlink w:anchor="_NAESTMA_TOC_1977" w:history="1">
        <w:r>
          <w:rPr>
            <w:color w:val="466B7A"/>
          </w:rPr>
          <w:t>Article 66.10 — Algorithmic Targeting Integrity</w:t>
        </w:r>
      </w:hyperlink>
      <w:r>
        <w:tab/>
      </w:r>
      <w:r>
        <w:rPr>
          <w:rFonts w:ascii="Arial" w:hAnsi="Arial"/>
        </w:rPr>
        <w:t>1511</w:t>
      </w:r>
    </w:p>
    <w:p>
      <w:pPr>
        <w:pStyle w:val="TOC2"/>
        <w:widowControl/>
        <w:tabs>
          <w:tab w:pos="8856" w:val="right" w:leader="dot"/>
        </w:tabs>
      </w:pPr>
      <w:hyperlink w:anchor="_NAESTMA_TOC_1978" w:history="1">
        <w:r>
          <w:rPr>
            <w:color w:val="466B7A"/>
          </w:rPr>
          <w:t>Article 66.11 — Precursor Risk and Rapid Response</w:t>
        </w:r>
      </w:hyperlink>
      <w:r>
        <w:tab/>
      </w:r>
      <w:r>
        <w:rPr>
          <w:rFonts w:ascii="Arial" w:hAnsi="Arial"/>
        </w:rPr>
        <w:t>1511</w:t>
      </w:r>
    </w:p>
    <w:p>
      <w:pPr>
        <w:pStyle w:val="TOC2"/>
        <w:widowControl/>
        <w:tabs>
          <w:tab w:pos="8856" w:val="right" w:leader="dot"/>
        </w:tabs>
      </w:pPr>
      <w:hyperlink w:anchor="_NAESTMA_TOC_1979" w:history="1">
        <w:r>
          <w:rPr>
            <w:color w:val="466B7A"/>
          </w:rPr>
          <w:t>Article 66.12 — Suspicious Orders, End Users and Manufacturing Equipment</w:t>
        </w:r>
      </w:hyperlink>
      <w:r>
        <w:tab/>
      </w:r>
      <w:r>
        <w:rPr>
          <w:rFonts w:ascii="Arial" w:hAnsi="Arial"/>
        </w:rPr>
        <w:t>1511</w:t>
      </w:r>
    </w:p>
    <w:p>
      <w:pPr>
        <w:pStyle w:val="TOC2"/>
        <w:widowControl/>
        <w:tabs>
          <w:tab w:pos="8856" w:val="right" w:leader="dot"/>
        </w:tabs>
      </w:pPr>
      <w:hyperlink w:anchor="_NAESTMA_TOC_1980" w:history="1">
        <w:r>
          <w:rPr>
            <w:color w:val="466B7A"/>
          </w:rPr>
          <w:t>Article 66.13 — Drug Profiling and Forensic Network</w:t>
        </w:r>
      </w:hyperlink>
      <w:r>
        <w:tab/>
      </w:r>
      <w:r>
        <w:rPr>
          <w:rFonts w:ascii="Arial" w:hAnsi="Arial"/>
        </w:rPr>
        <w:t>1511</w:t>
      </w:r>
    </w:p>
    <w:p>
      <w:pPr>
        <w:pStyle w:val="TOC2"/>
        <w:widowControl/>
        <w:tabs>
          <w:tab w:pos="8856" w:val="right" w:leader="dot"/>
        </w:tabs>
      </w:pPr>
      <w:hyperlink w:anchor="_NAESTMA_TOC_1981" w:history="1">
        <w:r>
          <w:rPr>
            <w:color w:val="466B7A"/>
          </w:rPr>
          <w:t>Article 66.14 — Ports of Entry and Coordinated Inspection</w:t>
        </w:r>
      </w:hyperlink>
      <w:r>
        <w:tab/>
      </w:r>
      <w:r>
        <w:rPr>
          <w:rFonts w:ascii="Arial" w:hAnsi="Arial"/>
        </w:rPr>
        <w:t>1511</w:t>
      </w:r>
    </w:p>
    <w:p>
      <w:pPr>
        <w:pStyle w:val="TOC2"/>
        <w:widowControl/>
        <w:tabs>
          <w:tab w:pos="8856" w:val="right" w:leader="dot"/>
        </w:tabs>
      </w:pPr>
      <w:hyperlink w:anchor="_NAESTMA_TOC_1982" w:history="1">
        <w:r>
          <w:rPr>
            <w:color w:val="466B7A"/>
          </w:rPr>
          <w:t>Article 66.15 — Rail, Maritime and Aviation Security</w:t>
        </w:r>
      </w:hyperlink>
      <w:r>
        <w:tab/>
      </w:r>
      <w:r>
        <w:rPr>
          <w:rFonts w:ascii="Arial" w:hAnsi="Arial"/>
        </w:rPr>
        <w:t>1512</w:t>
      </w:r>
    </w:p>
    <w:p>
      <w:pPr>
        <w:pStyle w:val="TOC2"/>
        <w:widowControl/>
        <w:tabs>
          <w:tab w:pos="8856" w:val="right" w:leader="dot"/>
        </w:tabs>
      </w:pPr>
      <w:hyperlink w:anchor="_NAESTMA_TOC_1983" w:history="1">
        <w:r>
          <w:rPr>
            <w:color w:val="466B7A"/>
          </w:rPr>
          <w:t>Article 66.16 — Postal, Courier and Small-Parcel Security</w:t>
        </w:r>
      </w:hyperlink>
      <w:r>
        <w:tab/>
      </w:r>
      <w:r>
        <w:rPr>
          <w:rFonts w:ascii="Arial" w:hAnsi="Arial"/>
        </w:rPr>
        <w:t>1512</w:t>
      </w:r>
    </w:p>
    <w:p>
      <w:pPr>
        <w:pStyle w:val="TOC2"/>
        <w:widowControl/>
        <w:tabs>
          <w:tab w:pos="8856" w:val="right" w:leader="dot"/>
        </w:tabs>
      </w:pPr>
      <w:hyperlink w:anchor="_NAESTMA_TOC_1984" w:history="1">
        <w:r>
          <w:rPr>
            <w:color w:val="466B7A"/>
          </w:rPr>
          <w:t>Article 66.17 — Organized-Crime Cooperation</w:t>
        </w:r>
      </w:hyperlink>
      <w:r>
        <w:tab/>
      </w:r>
      <w:r>
        <w:rPr>
          <w:rFonts w:ascii="Arial" w:hAnsi="Arial"/>
        </w:rPr>
        <w:t>1512</w:t>
      </w:r>
    </w:p>
    <w:p>
      <w:pPr>
        <w:pStyle w:val="TOC2"/>
        <w:widowControl/>
        <w:tabs>
          <w:tab w:pos="8856" w:val="right" w:leader="dot"/>
        </w:tabs>
      </w:pPr>
      <w:hyperlink w:anchor="_NAESTMA_TOC_1985" w:history="1">
        <w:r>
          <w:rPr>
            <w:color w:val="466B7A"/>
          </w:rPr>
          <w:t>Article 66.18 — Illegal Firearms Trafficking</w:t>
        </w:r>
      </w:hyperlink>
      <w:r>
        <w:tab/>
      </w:r>
      <w:r>
        <w:rPr>
          <w:rFonts w:ascii="Arial" w:hAnsi="Arial"/>
        </w:rPr>
        <w:t>1512</w:t>
      </w:r>
    </w:p>
    <w:p>
      <w:pPr>
        <w:pStyle w:val="TOC2"/>
        <w:widowControl/>
        <w:tabs>
          <w:tab w:pos="8856" w:val="right" w:leader="dot"/>
        </w:tabs>
      </w:pPr>
      <w:hyperlink w:anchor="_NAESTMA_TOC_1986" w:history="1">
        <w:r>
          <w:rPr>
            <w:color w:val="466B7A"/>
          </w:rPr>
          <w:t>Article 66.19 — Illicit Finance and Asset Disruption</w:t>
        </w:r>
      </w:hyperlink>
      <w:r>
        <w:tab/>
      </w:r>
      <w:r>
        <w:rPr>
          <w:rFonts w:ascii="Arial" w:hAnsi="Arial"/>
        </w:rPr>
        <w:t>1512</w:t>
      </w:r>
    </w:p>
    <w:p>
      <w:pPr>
        <w:pStyle w:val="TOC2"/>
        <w:widowControl/>
        <w:tabs>
          <w:tab w:pos="8856" w:val="right" w:leader="dot"/>
        </w:tabs>
      </w:pPr>
      <w:hyperlink w:anchor="_NAESTMA_TOC_1987" w:history="1">
        <w:r>
          <w:rPr>
            <w:color w:val="466B7A"/>
          </w:rPr>
          <w:t>Article 66.20 — No Enforcement Bounty</w:t>
        </w:r>
      </w:hyperlink>
      <w:r>
        <w:tab/>
      </w:r>
      <w:r>
        <w:rPr>
          <w:rFonts w:ascii="Arial" w:hAnsi="Arial"/>
        </w:rPr>
        <w:t>1512</w:t>
      </w:r>
    </w:p>
    <w:p>
      <w:pPr>
        <w:pStyle w:val="TOC2"/>
        <w:widowControl/>
        <w:tabs>
          <w:tab w:pos="8856" w:val="right" w:leader="dot"/>
        </w:tabs>
      </w:pPr>
      <w:hyperlink w:anchor="_NAESTMA_TOC_1988" w:history="1">
        <w:r>
          <w:rPr>
            <w:color w:val="466B7A"/>
          </w:rPr>
          <w:t>Article 66.21 — Cyber and Darknet Trafficking</w:t>
        </w:r>
      </w:hyperlink>
      <w:r>
        <w:tab/>
      </w:r>
      <w:r>
        <w:rPr>
          <w:rFonts w:ascii="Arial" w:hAnsi="Arial"/>
        </w:rPr>
        <w:t>1512</w:t>
      </w:r>
    </w:p>
    <w:p>
      <w:pPr>
        <w:pStyle w:val="TOC2"/>
        <w:widowControl/>
        <w:tabs>
          <w:tab w:pos="8856" w:val="right" w:leader="dot"/>
        </w:tabs>
      </w:pPr>
      <w:hyperlink w:anchor="_NAESTMA_TOC_1989" w:history="1">
        <w:r>
          <w:rPr>
            <w:color w:val="466B7A"/>
          </w:rPr>
          <w:t>Article 66.22 — No Encryption Backdoor Mandate</w:t>
        </w:r>
      </w:hyperlink>
      <w:r>
        <w:tab/>
      </w:r>
      <w:r>
        <w:rPr>
          <w:rFonts w:ascii="Arial" w:hAnsi="Arial"/>
        </w:rPr>
        <w:t>1512</w:t>
      </w:r>
    </w:p>
    <w:p>
      <w:pPr>
        <w:pStyle w:val="TOC2"/>
        <w:widowControl/>
        <w:tabs>
          <w:tab w:pos="8856" w:val="right" w:leader="dot"/>
        </w:tabs>
      </w:pPr>
      <w:hyperlink w:anchor="_NAESTMA_TOC_1990" w:history="1">
        <w:r>
          <w:rPr>
            <w:color w:val="466B7A"/>
          </w:rPr>
          <w:t>Article 66.23 — Targeted Surveillance Authorization Test</w:t>
        </w:r>
      </w:hyperlink>
      <w:r>
        <w:tab/>
      </w:r>
      <w:r>
        <w:rPr>
          <w:rFonts w:ascii="Arial" w:hAnsi="Arial"/>
        </w:rPr>
        <w:t>1512</w:t>
      </w:r>
    </w:p>
    <w:p>
      <w:pPr>
        <w:pStyle w:val="TOC2"/>
        <w:widowControl/>
        <w:tabs>
          <w:tab w:pos="8856" w:val="right" w:leader="dot"/>
        </w:tabs>
      </w:pPr>
      <w:hyperlink w:anchor="_NAESTMA_TOC_1991" w:history="1">
        <w:r>
          <w:rPr>
            <w:color w:val="466B7A"/>
          </w:rPr>
          <w:t>Article 66.24 — No Generalized Biometric or Licence-Plate Interoperability</w:t>
        </w:r>
      </w:hyperlink>
      <w:r>
        <w:tab/>
      </w:r>
      <w:r>
        <w:rPr>
          <w:rFonts w:ascii="Arial" w:hAnsi="Arial"/>
        </w:rPr>
        <w:t>1513</w:t>
      </w:r>
    </w:p>
    <w:p>
      <w:pPr>
        <w:pStyle w:val="TOC2"/>
        <w:widowControl/>
        <w:tabs>
          <w:tab w:pos="8856" w:val="right" w:leader="dot"/>
        </w:tabs>
      </w:pPr>
      <w:hyperlink w:anchor="_NAESTMA_TOC_1992" w:history="1">
        <w:r>
          <w:rPr>
            <w:color w:val="466B7A"/>
          </w:rPr>
          <w:t>Article 66.25 — Information-Sharing Purpose Limitation</w:t>
        </w:r>
      </w:hyperlink>
      <w:r>
        <w:tab/>
      </w:r>
      <w:r>
        <w:rPr>
          <w:rFonts w:ascii="Arial" w:hAnsi="Arial"/>
        </w:rPr>
        <w:t>1513</w:t>
      </w:r>
    </w:p>
    <w:p>
      <w:pPr>
        <w:pStyle w:val="TOC2"/>
        <w:widowControl/>
        <w:tabs>
          <w:tab w:pos="8856" w:val="right" w:leader="dot"/>
        </w:tabs>
      </w:pPr>
      <w:hyperlink w:anchor="_NAESTMA_TOC_1993" w:history="1">
        <w:r>
          <w:rPr>
            <w:color w:val="466B7A"/>
          </w:rPr>
          <w:t>Article 66.26 — Data Minimization and Case-Specific Default</w:t>
        </w:r>
      </w:hyperlink>
      <w:r>
        <w:tab/>
      </w:r>
      <w:r>
        <w:rPr>
          <w:rFonts w:ascii="Arial" w:hAnsi="Arial"/>
        </w:rPr>
        <w:t>1513</w:t>
      </w:r>
    </w:p>
    <w:p>
      <w:pPr>
        <w:pStyle w:val="TOC2"/>
        <w:widowControl/>
        <w:tabs>
          <w:tab w:pos="8856" w:val="right" w:leader="dot"/>
        </w:tabs>
      </w:pPr>
      <w:hyperlink w:anchor="_NAESTMA_TOC_1994" w:history="1">
        <w:r>
          <w:rPr>
            <w:color w:val="466B7A"/>
          </w:rPr>
          <w:t>Article 66.27 — Originator Control, Audit and Correction</w:t>
        </w:r>
      </w:hyperlink>
      <w:r>
        <w:tab/>
      </w:r>
      <w:r>
        <w:rPr>
          <w:rFonts w:ascii="Arial" w:hAnsi="Arial"/>
        </w:rPr>
        <w:t>1513</w:t>
      </w:r>
    </w:p>
    <w:p>
      <w:pPr>
        <w:pStyle w:val="TOC2"/>
        <w:widowControl/>
        <w:tabs>
          <w:tab w:pos="8856" w:val="right" w:leader="dot"/>
        </w:tabs>
      </w:pPr>
      <w:hyperlink w:anchor="_NAESTMA_TOC_1995" w:history="1">
        <w:r>
          <w:rPr>
            <w:color w:val="466B7A"/>
          </w:rPr>
          <w:t>Article 66.28 — Redress and Sensitive Categories</w:t>
        </w:r>
      </w:hyperlink>
      <w:r>
        <w:tab/>
      </w:r>
      <w:r>
        <w:rPr>
          <w:rFonts w:ascii="Arial" w:hAnsi="Arial"/>
        </w:rPr>
        <w:t>1513</w:t>
      </w:r>
    </w:p>
    <w:p>
      <w:pPr>
        <w:pStyle w:val="TOC2"/>
        <w:widowControl/>
        <w:tabs>
          <w:tab w:pos="8856" w:val="right" w:leader="dot"/>
        </w:tabs>
      </w:pPr>
      <w:hyperlink w:anchor="_NAESTMA_TOC_1996" w:history="1">
        <w:r>
          <w:rPr>
            <w:color w:val="466B7A"/>
          </w:rPr>
          <w:t>Article 66.29 — No Automated Adverse Action Solely From Foreign Data</w:t>
        </w:r>
      </w:hyperlink>
      <w:r>
        <w:tab/>
      </w:r>
      <w:r>
        <w:rPr>
          <w:rFonts w:ascii="Arial" w:hAnsi="Arial"/>
        </w:rPr>
        <w:t>1513</w:t>
      </w:r>
    </w:p>
    <w:p>
      <w:pPr>
        <w:pStyle w:val="TOC2"/>
        <w:widowControl/>
        <w:tabs>
          <w:tab w:pos="8856" w:val="right" w:leader="dot"/>
        </w:tabs>
      </w:pPr>
      <w:hyperlink w:anchor="_NAESTMA_TOC_1997" w:history="1">
        <w:r>
          <w:rPr>
            <w:color w:val="466B7A"/>
          </w:rPr>
          <w:t>Article 66.30 — Immigration-Purpose Firewall</w:t>
        </w:r>
      </w:hyperlink>
      <w:r>
        <w:tab/>
      </w:r>
      <w:r>
        <w:rPr>
          <w:rFonts w:ascii="Arial" w:hAnsi="Arial"/>
        </w:rPr>
        <w:t>1513</w:t>
      </w:r>
    </w:p>
    <w:p>
      <w:pPr>
        <w:pStyle w:val="TOC2"/>
        <w:widowControl/>
        <w:tabs>
          <w:tab w:pos="8856" w:val="right" w:leader="dot"/>
        </w:tabs>
      </w:pPr>
      <w:hyperlink w:anchor="_NAESTMA_TOC_1998" w:history="1">
        <w:r>
          <w:rPr>
            <w:color w:val="466B7A"/>
          </w:rPr>
          <w:t>Article 66.31 — Indigenous and Border-Community Protection</w:t>
        </w:r>
      </w:hyperlink>
      <w:r>
        <w:tab/>
      </w:r>
      <w:r>
        <w:rPr>
          <w:rFonts w:ascii="Arial" w:hAnsi="Arial"/>
        </w:rPr>
        <w:t>1513</w:t>
      </w:r>
    </w:p>
    <w:p>
      <w:pPr>
        <w:pStyle w:val="TOC2"/>
        <w:widowControl/>
        <w:tabs>
          <w:tab w:pos="8856" w:val="right" w:leader="dot"/>
        </w:tabs>
      </w:pPr>
      <w:hyperlink w:anchor="_NAESTMA_TOC_1999" w:history="1">
        <w:r>
          <w:rPr>
            <w:color w:val="466B7A"/>
          </w:rPr>
          <w:t>Article 66.32 — Personnel, Training and Integrity</w:t>
        </w:r>
      </w:hyperlink>
      <w:r>
        <w:tab/>
      </w:r>
      <w:r>
        <w:rPr>
          <w:rFonts w:ascii="Arial" w:hAnsi="Arial"/>
        </w:rPr>
        <w:t>1513</w:t>
      </w:r>
    </w:p>
    <w:p>
      <w:pPr>
        <w:pStyle w:val="TOC2"/>
        <w:widowControl/>
        <w:tabs>
          <w:tab w:pos="8856" w:val="right" w:leader="dot"/>
        </w:tabs>
      </w:pPr>
      <w:hyperlink w:anchor="_NAESTMA_TOC_2000" w:history="1">
        <w:r>
          <w:rPr>
            <w:color w:val="466B7A"/>
          </w:rPr>
          <w:t>Article 66.33 — Public Health and Officer Safety</w:t>
        </w:r>
      </w:hyperlink>
      <w:r>
        <w:tab/>
      </w:r>
      <w:r>
        <w:rPr>
          <w:rFonts w:ascii="Arial" w:hAnsi="Arial"/>
        </w:rPr>
        <w:t>1514</w:t>
      </w:r>
    </w:p>
    <w:p>
      <w:pPr>
        <w:pStyle w:val="TOC2"/>
        <w:widowControl/>
        <w:tabs>
          <w:tab w:pos="8856" w:val="right" w:leader="dot"/>
        </w:tabs>
      </w:pPr>
      <w:hyperlink w:anchor="_NAESTMA_TOC_2001" w:history="1">
        <w:r>
          <w:rPr>
            <w:color w:val="466B7A"/>
          </w:rPr>
          <w:t>Article 66.34 — North American Shield Coordination</w:t>
        </w:r>
      </w:hyperlink>
      <w:r>
        <w:tab/>
      </w:r>
      <w:r>
        <w:rPr>
          <w:rFonts w:ascii="Arial" w:hAnsi="Arial"/>
        </w:rPr>
        <w:t>1514</w:t>
      </w:r>
    </w:p>
    <w:p>
      <w:pPr>
        <w:pStyle w:val="TOC2"/>
        <w:widowControl/>
        <w:tabs>
          <w:tab w:pos="8856" w:val="right" w:leader="dot"/>
        </w:tabs>
      </w:pPr>
      <w:hyperlink w:anchor="_NAESTMA_TOC_2002" w:history="1">
        <w:r>
          <w:rPr>
            <w:color w:val="466B7A"/>
          </w:rPr>
          <w:t>Article 66.35 — Shield Performance Dashboard</w:t>
        </w:r>
      </w:hyperlink>
      <w:r>
        <w:tab/>
      </w:r>
      <w:r>
        <w:rPr>
          <w:rFonts w:ascii="Arial" w:hAnsi="Arial"/>
        </w:rPr>
        <w:t>1514</w:t>
      </w:r>
    </w:p>
    <w:p>
      <w:pPr>
        <w:pStyle w:val="TOC2"/>
        <w:widowControl/>
        <w:tabs>
          <w:tab w:pos="8856" w:val="right" w:leader="dot"/>
        </w:tabs>
      </w:pPr>
      <w:hyperlink w:anchor="_NAESTMA_TOC_2003" w:history="1">
        <w:r>
          <w:rPr>
            <w:color w:val="466B7A"/>
          </w:rPr>
          <w:t>Article 66.36 — Metric Integrity</w:t>
        </w:r>
      </w:hyperlink>
      <w:r>
        <w:tab/>
      </w:r>
      <w:r>
        <w:rPr>
          <w:rFonts w:ascii="Arial" w:hAnsi="Arial"/>
        </w:rPr>
        <w:t>1514</w:t>
      </w:r>
    </w:p>
    <w:p>
      <w:pPr>
        <w:pStyle w:val="TOC2"/>
        <w:widowControl/>
        <w:tabs>
          <w:tab w:pos="8856" w:val="right" w:leader="dot"/>
        </w:tabs>
      </w:pPr>
      <w:hyperlink w:anchor="_NAESTMA_TOC_2004" w:history="1">
        <w:r>
          <w:rPr>
            <w:color w:val="466B7A"/>
          </w:rPr>
          <w:t>Article 66.37 — Security Performance Assurance</w:t>
        </w:r>
      </w:hyperlink>
      <w:r>
        <w:tab/>
      </w:r>
      <w:r>
        <w:rPr>
          <w:rFonts w:ascii="Arial" w:hAnsi="Arial"/>
        </w:rPr>
        <w:t>1514</w:t>
      </w:r>
    </w:p>
    <w:p>
      <w:pPr>
        <w:pStyle w:val="TOC2"/>
        <w:widowControl/>
        <w:tabs>
          <w:tab w:pos="8856" w:val="right" w:leader="dot"/>
        </w:tabs>
      </w:pPr>
      <w:hyperlink w:anchor="_NAESTMA_TOC_2005" w:history="1">
        <w:r>
          <w:rPr>
            <w:color w:val="466B7A"/>
          </w:rPr>
          <w:t>Article 66.38 — Security Performance Safe Harbor</w:t>
        </w:r>
      </w:hyperlink>
      <w:r>
        <w:tab/>
      </w:r>
      <w:r>
        <w:rPr>
          <w:rFonts w:ascii="Arial" w:hAnsi="Arial"/>
        </w:rPr>
        <w:t>1514</w:t>
      </w:r>
    </w:p>
    <w:p>
      <w:pPr>
        <w:pStyle w:val="TOC2"/>
        <w:widowControl/>
        <w:tabs>
          <w:tab w:pos="8856" w:val="right" w:leader="dot"/>
        </w:tabs>
      </w:pPr>
      <w:hyperlink w:anchor="_NAESTMA_TOC_2006" w:history="1">
        <w:r>
          <w:rPr>
            <w:color w:val="466B7A"/>
          </w:rPr>
          <w:t>Article 66.39 — Covered-Rationale Exhaustion</w:t>
        </w:r>
      </w:hyperlink>
      <w:r>
        <w:tab/>
      </w:r>
      <w:r>
        <w:rPr>
          <w:rFonts w:ascii="Arial" w:hAnsi="Arial"/>
        </w:rPr>
        <w:t>1514</w:t>
      </w:r>
    </w:p>
    <w:p>
      <w:pPr>
        <w:pStyle w:val="TOC2"/>
        <w:widowControl/>
        <w:tabs>
          <w:tab w:pos="8856" w:val="right" w:leader="dot"/>
        </w:tabs>
      </w:pPr>
      <w:hyperlink w:anchor="_NAESTMA_TOC_2007" w:history="1">
        <w:r>
          <w:rPr>
            <w:color w:val="466B7A"/>
          </w:rPr>
          <w:t>Article 66.40 — Verification, Consultation and Cure</w:t>
        </w:r>
      </w:hyperlink>
      <w:r>
        <w:tab/>
      </w:r>
      <w:r>
        <w:rPr>
          <w:rFonts w:ascii="Arial" w:hAnsi="Arial"/>
        </w:rPr>
        <w:t>1514</w:t>
      </w:r>
    </w:p>
    <w:p>
      <w:pPr>
        <w:pStyle w:val="TOC2"/>
        <w:widowControl/>
        <w:tabs>
          <w:tab w:pos="8856" w:val="right" w:leader="dot"/>
        </w:tabs>
      </w:pPr>
      <w:hyperlink w:anchor="_NAESTMA_TOC_2008" w:history="1">
        <w:r>
          <w:rPr>
            <w:color w:val="466B7A"/>
          </w:rPr>
          <w:t>Article 66.41 — Proportional Shield-Specific Step-Back and Restoration</w:t>
        </w:r>
      </w:hyperlink>
      <w:r>
        <w:tab/>
      </w:r>
      <w:r>
        <w:rPr>
          <w:rFonts w:ascii="Arial" w:hAnsi="Arial"/>
        </w:rPr>
        <w:t>1515</w:t>
      </w:r>
    </w:p>
    <w:p>
      <w:pPr>
        <w:pStyle w:val="TOC2"/>
        <w:widowControl/>
        <w:tabs>
          <w:tab w:pos="8856" w:val="right" w:leader="dot"/>
        </w:tabs>
      </w:pPr>
      <w:hyperlink w:anchor="_NAESTMA_TOC_2009" w:history="1">
        <w:r>
          <w:rPr>
            <w:color w:val="466B7A"/>
          </w:rPr>
          <w:t>Article 66.42 — Review, Pilots and No Automatic Permanence</w:t>
        </w:r>
      </w:hyperlink>
      <w:r>
        <w:tab/>
      </w:r>
      <w:r>
        <w:rPr>
          <w:rFonts w:ascii="Arial" w:hAnsi="Arial"/>
        </w:rPr>
        <w:t>1515</w:t>
      </w:r>
    </w:p>
    <w:p>
      <w:pPr>
        <w:pStyle w:val="TOC1"/>
        <w:widowControl/>
        <w:tabs>
          <w:tab w:pos="8856" w:val="right" w:leader="dot"/>
        </w:tabs>
      </w:pPr>
      <w:hyperlink w:anchor="_NAESTMA_TOC_2010" w:history="1">
        <w:r>
          <w:rPr>
            <w:color w:val="233746"/>
          </w:rPr>
          <w:t>CHAPTER 67 — NORTH AMERICAN ARCTIC SECURITY, SOVEREIGNTY AND CONTINENTAL DEFENCE COMPACT</w:t>
        </w:r>
      </w:hyperlink>
      <w:r>
        <w:tab/>
      </w:r>
      <w:r>
        <w:rPr>
          <w:rFonts w:ascii="Arial" w:hAnsi="Arial"/>
        </w:rPr>
        <w:t>1524</w:t>
      </w:r>
    </w:p>
    <w:p>
      <w:pPr>
        <w:pStyle w:val="TOC2"/>
        <w:widowControl/>
        <w:tabs>
          <w:tab w:pos="8856" w:val="right" w:leader="dot"/>
        </w:tabs>
      </w:pPr>
      <w:hyperlink w:anchor="_NAESTMA_TOC_2011" w:history="1">
        <w:r>
          <w:rPr>
            <w:color w:val="466B7A"/>
          </w:rPr>
          <w:t>ARTICLE 67.1 — Purpose and Bargain</w:t>
        </w:r>
      </w:hyperlink>
      <w:r>
        <w:tab/>
      </w:r>
      <w:r>
        <w:rPr>
          <w:rFonts w:ascii="Arial" w:hAnsi="Arial"/>
        </w:rPr>
        <w:t>1524</w:t>
      </w:r>
    </w:p>
    <w:p>
      <w:pPr>
        <w:pStyle w:val="TOC2"/>
        <w:widowControl/>
        <w:tabs>
          <w:tab w:pos="8856" w:val="right" w:leader="dot"/>
        </w:tabs>
      </w:pPr>
      <w:hyperlink w:anchor="_NAESTMA_TOC_2012" w:history="1">
        <w:r>
          <w:rPr>
            <w:color w:val="466B7A"/>
          </w:rPr>
          <w:t>ARTICLE 67.2 — Governing Principle — Sovereign Infrastructure, Continental Benefit</w:t>
        </w:r>
      </w:hyperlink>
      <w:r>
        <w:tab/>
      </w:r>
      <w:r>
        <w:rPr>
          <w:rFonts w:ascii="Arial" w:hAnsi="Arial"/>
        </w:rPr>
        <w:t>1524</w:t>
      </w:r>
    </w:p>
    <w:p>
      <w:pPr>
        <w:pStyle w:val="TOC2"/>
        <w:widowControl/>
        <w:tabs>
          <w:tab w:pos="8856" w:val="right" w:leader="dot"/>
        </w:tabs>
      </w:pPr>
      <w:hyperlink w:anchor="_NAESTMA_TOC_2013" w:history="1">
        <w:r>
          <w:rPr>
            <w:color w:val="466B7A"/>
          </w:rPr>
          <w:t>ARTICLE 67.3 — Canadian Arctic Sovereignty and Legal-Position Savings</w:t>
        </w:r>
      </w:hyperlink>
      <w:r>
        <w:tab/>
      </w:r>
      <w:r>
        <w:rPr>
          <w:rFonts w:ascii="Arial" w:hAnsi="Arial"/>
        </w:rPr>
        <w:t>1524</w:t>
      </w:r>
    </w:p>
    <w:p>
      <w:pPr>
        <w:pStyle w:val="TOC2"/>
        <w:widowControl/>
        <w:tabs>
          <w:tab w:pos="8856" w:val="right" w:leader="dot"/>
        </w:tabs>
      </w:pPr>
      <w:hyperlink w:anchor="_NAESTMA_TOC_2014" w:history="1">
        <w:r>
          <w:rPr>
            <w:color w:val="466B7A"/>
          </w:rPr>
          <w:t>ARTICLE 67.4 — Canadian Soil, Canadian Authority</w:t>
        </w:r>
      </w:hyperlink>
      <w:r>
        <w:tab/>
      </w:r>
      <w:r>
        <w:rPr>
          <w:rFonts w:ascii="Arial" w:hAnsi="Arial"/>
        </w:rPr>
        <w:t>1524</w:t>
      </w:r>
    </w:p>
    <w:p>
      <w:pPr>
        <w:pStyle w:val="TOC2"/>
        <w:widowControl/>
        <w:tabs>
          <w:tab w:pos="8856" w:val="right" w:leader="dot"/>
        </w:tabs>
      </w:pPr>
      <w:hyperlink w:anchor="_NAESTMA_TOC_2015" w:history="1">
        <w:r>
          <w:rPr>
            <w:color w:val="466B7A"/>
          </w:rPr>
          <w:t>ARTICLE 67.5 — National Command and Capability Without Compulsion</w:t>
        </w:r>
      </w:hyperlink>
      <w:r>
        <w:tab/>
      </w:r>
      <w:r>
        <w:rPr>
          <w:rFonts w:ascii="Arial" w:hAnsi="Arial"/>
        </w:rPr>
        <w:t>1524</w:t>
      </w:r>
    </w:p>
    <w:p>
      <w:pPr>
        <w:pStyle w:val="TOC2"/>
        <w:widowControl/>
        <w:tabs>
          <w:tab w:pos="8856" w:val="right" w:leader="dot"/>
        </w:tabs>
      </w:pPr>
      <w:hyperlink w:anchor="_NAESTMA_TOC_2016" w:history="1">
        <w:r>
          <w:rPr>
            <w:color w:val="466B7A"/>
          </w:rPr>
          <w:t>ARTICLE 67.6 — Trilateral Where Functional, Binational Where Operational</w:t>
        </w:r>
      </w:hyperlink>
      <w:r>
        <w:tab/>
      </w:r>
      <w:r>
        <w:rPr>
          <w:rFonts w:ascii="Arial" w:hAnsi="Arial"/>
        </w:rPr>
        <w:t>1524</w:t>
      </w:r>
    </w:p>
    <w:p>
      <w:pPr>
        <w:pStyle w:val="TOC2"/>
        <w:widowControl/>
        <w:tabs>
          <w:tab w:pos="8856" w:val="right" w:leader="dot"/>
        </w:tabs>
      </w:pPr>
      <w:hyperlink w:anchor="_NAESTMA_TOC_2017" w:history="1">
        <w:r>
          <w:rPr>
            <w:color w:val="466B7A"/>
          </w:rPr>
          <w:t>ARTICLE 67.7 — Maintain While Modernizing</w:t>
        </w:r>
      </w:hyperlink>
      <w:r>
        <w:tab/>
      </w:r>
      <w:r>
        <w:rPr>
          <w:rFonts w:ascii="Arial" w:hAnsi="Arial"/>
        </w:rPr>
        <w:t>1525</w:t>
      </w:r>
    </w:p>
    <w:p>
      <w:pPr>
        <w:pStyle w:val="TOC2"/>
        <w:widowControl/>
        <w:tabs>
          <w:tab w:pos="8856" w:val="right" w:leader="dot"/>
        </w:tabs>
      </w:pPr>
      <w:hyperlink w:anchor="_NAESTMA_TOC_2018" w:history="1">
        <w:r>
          <w:rPr>
            <w:color w:val="466B7A"/>
          </w:rPr>
          <w:t>ARTICLE 67.8 — Public Commitment, Classified Implementation</w:t>
        </w:r>
      </w:hyperlink>
      <w:r>
        <w:tab/>
      </w:r>
      <w:r>
        <w:rPr>
          <w:rFonts w:ascii="Arial" w:hAnsi="Arial"/>
        </w:rPr>
        <w:t>1525</w:t>
      </w:r>
    </w:p>
    <w:p>
      <w:pPr>
        <w:pStyle w:val="TOC2"/>
        <w:widowControl/>
        <w:tabs>
          <w:tab w:pos="8856" w:val="right" w:leader="dot"/>
        </w:tabs>
      </w:pPr>
      <w:hyperlink w:anchor="_NAESTMA_TOC_2019" w:history="1">
        <w:r>
          <w:rPr>
            <w:color w:val="466B7A"/>
          </w:rPr>
          <w:t>ARTICLE 67.9 — Interoperability Without Surrender of National Control</w:t>
        </w:r>
      </w:hyperlink>
      <w:r>
        <w:tab/>
      </w:r>
      <w:r>
        <w:rPr>
          <w:rFonts w:ascii="Arial" w:hAnsi="Arial"/>
        </w:rPr>
        <w:t>1525</w:t>
      </w:r>
    </w:p>
    <w:p>
      <w:pPr>
        <w:pStyle w:val="TOC2"/>
        <w:widowControl/>
        <w:tabs>
          <w:tab w:pos="8856" w:val="right" w:leader="dot"/>
        </w:tabs>
      </w:pPr>
      <w:hyperlink w:anchor="_NAESTMA_TOC_2020" w:history="1">
        <w:r>
          <w:rPr>
            <w:color w:val="466B7A"/>
          </w:rPr>
          <w:t>ARTICLE 67.10 — Dual-Use Northern Dividend</w:t>
        </w:r>
      </w:hyperlink>
      <w:r>
        <w:tab/>
      </w:r>
      <w:r>
        <w:rPr>
          <w:rFonts w:ascii="Arial" w:hAnsi="Arial"/>
        </w:rPr>
        <w:t>1525</w:t>
      </w:r>
    </w:p>
    <w:p>
      <w:pPr>
        <w:pStyle w:val="TOC2"/>
        <w:widowControl/>
        <w:tabs>
          <w:tab w:pos="8856" w:val="right" w:leader="dot"/>
        </w:tabs>
      </w:pPr>
      <w:hyperlink w:anchor="_NAESTMA_TOC_2021" w:history="1">
        <w:r>
          <w:rPr>
            <w:color w:val="466B7A"/>
          </w:rPr>
          <w:t>ARTICLE 67.11 — No Northern Capacity Crowding-Out</w:t>
        </w:r>
      </w:hyperlink>
      <w:r>
        <w:tab/>
      </w:r>
      <w:r>
        <w:rPr>
          <w:rFonts w:ascii="Arial" w:hAnsi="Arial"/>
        </w:rPr>
        <w:t>1525</w:t>
      </w:r>
    </w:p>
    <w:p>
      <w:pPr>
        <w:pStyle w:val="TOC2"/>
        <w:widowControl/>
        <w:tabs>
          <w:tab w:pos="8856" w:val="right" w:leader="dot"/>
        </w:tabs>
      </w:pPr>
      <w:hyperlink w:anchor="_NAESTMA_TOC_2022" w:history="1">
        <w:r>
          <w:rPr>
            <w:color w:val="466B7A"/>
          </w:rPr>
          <w:t>ARTICLE 67.12 — Rights First, Partnership By Design</w:t>
        </w:r>
      </w:hyperlink>
      <w:r>
        <w:tab/>
      </w:r>
      <w:r>
        <w:rPr>
          <w:rFonts w:ascii="Arial" w:hAnsi="Arial"/>
        </w:rPr>
        <w:t>1525</w:t>
      </w:r>
    </w:p>
    <w:p>
      <w:pPr>
        <w:pStyle w:val="TOC2"/>
        <w:widowControl/>
        <w:tabs>
          <w:tab w:pos="8856" w:val="right" w:leader="dot"/>
        </w:tabs>
      </w:pPr>
      <w:hyperlink w:anchor="_NAESTMA_TOC_2023" w:history="1">
        <w:r>
          <w:rPr>
            <w:color w:val="466B7A"/>
          </w:rPr>
          <w:t>ARTICLE 67.13 — Traditional Knowledge and Cultural Protection</w:t>
        </w:r>
      </w:hyperlink>
      <w:r>
        <w:tab/>
      </w:r>
      <w:r>
        <w:rPr>
          <w:rFonts w:ascii="Arial" w:hAnsi="Arial"/>
        </w:rPr>
        <w:t>1525</w:t>
      </w:r>
    </w:p>
    <w:p>
      <w:pPr>
        <w:pStyle w:val="TOC2"/>
        <w:widowControl/>
        <w:tabs>
          <w:tab w:pos="8856" w:val="right" w:leader="dot"/>
        </w:tabs>
      </w:pPr>
      <w:hyperlink w:anchor="_NAESTMA_TOC_2024" w:history="1">
        <w:r>
          <w:rPr>
            <w:color w:val="466B7A"/>
          </w:rPr>
          <w:t>ARTICLE 67.14 — Existing Investment Recognition and Additionality</w:t>
        </w:r>
      </w:hyperlink>
      <w:r>
        <w:tab/>
      </w:r>
      <w:r>
        <w:rPr>
          <w:rFonts w:ascii="Arial" w:hAnsi="Arial"/>
        </w:rPr>
        <w:t>1525</w:t>
      </w:r>
    </w:p>
    <w:p>
      <w:pPr>
        <w:pStyle w:val="TOC2"/>
        <w:widowControl/>
        <w:tabs>
          <w:tab w:pos="8856" w:val="right" w:leader="dot"/>
        </w:tabs>
      </w:pPr>
      <w:hyperlink w:anchor="_NAESTMA_TOC_2025" w:history="1">
        <w:r>
          <w:rPr>
            <w:color w:val="466B7A"/>
          </w:rPr>
          <w:t>ARTICLE 67.15 — One Dollar, One Investment</w:t>
        </w:r>
      </w:hyperlink>
      <w:r>
        <w:tab/>
      </w:r>
      <w:r>
        <w:rPr>
          <w:rFonts w:ascii="Arial" w:hAnsi="Arial"/>
        </w:rPr>
        <w:t>1525</w:t>
      </w:r>
    </w:p>
    <w:p>
      <w:pPr>
        <w:pStyle w:val="TOC2"/>
        <w:widowControl/>
        <w:tabs>
          <w:tab w:pos="8856" w:val="right" w:leader="dot"/>
        </w:tabs>
      </w:pPr>
      <w:hyperlink w:anchor="_NAESTMA_TOC_2026" w:history="1">
        <w:r>
          <w:rPr>
            <w:color w:val="466B7A"/>
          </w:rPr>
          <w:t>ARTICLE 67.16 — Arctic Investment Ledger</w:t>
        </w:r>
      </w:hyperlink>
      <w:r>
        <w:tab/>
      </w:r>
      <w:r>
        <w:rPr>
          <w:rFonts w:ascii="Arial" w:hAnsi="Arial"/>
        </w:rPr>
        <w:t>1526</w:t>
      </w:r>
    </w:p>
    <w:p>
      <w:pPr>
        <w:pStyle w:val="TOC2"/>
        <w:widowControl/>
        <w:tabs>
          <w:tab w:pos="8856" w:val="right" w:leader="dot"/>
        </w:tabs>
      </w:pPr>
      <w:hyperlink w:anchor="_NAESTMA_TOC_2027" w:history="1">
        <w:r>
          <w:rPr>
            <w:color w:val="466B7A"/>
          </w:rPr>
          <w:t>ARTICLE 67.17 — Baseline and Additionality</w:t>
        </w:r>
      </w:hyperlink>
      <w:r>
        <w:tab/>
      </w:r>
      <w:r>
        <w:rPr>
          <w:rFonts w:ascii="Arial" w:hAnsi="Arial"/>
        </w:rPr>
        <w:t>1526</w:t>
      </w:r>
    </w:p>
    <w:p>
      <w:pPr>
        <w:pStyle w:val="TOC2"/>
        <w:widowControl/>
        <w:tabs>
          <w:tab w:pos="8856" w:val="right" w:leader="dot"/>
        </w:tabs>
      </w:pPr>
      <w:hyperlink w:anchor="_NAESTMA_TOC_2028" w:history="1">
        <w:r>
          <w:rPr>
            <w:color w:val="466B7A"/>
          </w:rPr>
          <w:t>ARTICLE 67.18 — Independent Baseline and Headline Verification</w:t>
        </w:r>
      </w:hyperlink>
      <w:r>
        <w:tab/>
      </w:r>
      <w:r>
        <w:rPr>
          <w:rFonts w:ascii="Arial" w:hAnsi="Arial"/>
        </w:rPr>
        <w:t>1526</w:t>
      </w:r>
    </w:p>
    <w:p>
      <w:pPr>
        <w:pStyle w:val="TOC2"/>
        <w:widowControl/>
        <w:tabs>
          <w:tab w:pos="8856" w:val="right" w:leader="dot"/>
        </w:tabs>
      </w:pPr>
      <w:hyperlink w:anchor="_NAESTMA_TOC_2029" w:history="1">
        <w:r>
          <w:rPr>
            <w:color w:val="466B7A"/>
          </w:rPr>
          <w:t>ARTICLE 67.19 — Northern Warning and Domain Awareness</w:t>
        </w:r>
      </w:hyperlink>
      <w:r>
        <w:tab/>
      </w:r>
      <w:r>
        <w:rPr>
          <w:rFonts w:ascii="Arial" w:hAnsi="Arial"/>
        </w:rPr>
        <w:t>1526</w:t>
      </w:r>
    </w:p>
    <w:p>
      <w:pPr>
        <w:pStyle w:val="TOC2"/>
        <w:widowControl/>
        <w:tabs>
          <w:tab w:pos="8856" w:val="right" w:leader="dot"/>
        </w:tabs>
      </w:pPr>
      <w:hyperlink w:anchor="_NAESTMA_TOC_2030" w:history="1">
        <w:r>
          <w:rPr>
            <w:color w:val="466B7A"/>
          </w:rPr>
          <w:t>ARTICLE 67.20 — Northern Airfields, Basing and Operational Support</w:t>
        </w:r>
      </w:hyperlink>
      <w:r>
        <w:tab/>
      </w:r>
      <w:r>
        <w:rPr>
          <w:rFonts w:ascii="Arial" w:hAnsi="Arial"/>
        </w:rPr>
        <w:t>1526</w:t>
      </w:r>
    </w:p>
    <w:p>
      <w:pPr>
        <w:pStyle w:val="TOC2"/>
        <w:widowControl/>
        <w:tabs>
          <w:tab w:pos="8856" w:val="right" w:leader="dot"/>
        </w:tabs>
      </w:pPr>
      <w:hyperlink w:anchor="_NAESTMA_TOC_2031" w:history="1">
        <w:r>
          <w:rPr>
            <w:color w:val="466B7A"/>
          </w:rPr>
          <w:t>ARTICLE 67.21 — Ports, Sealift, Ice-Capable and Maritime Support</w:t>
        </w:r>
      </w:hyperlink>
      <w:r>
        <w:tab/>
      </w:r>
      <w:r>
        <w:rPr>
          <w:rFonts w:ascii="Arial" w:hAnsi="Arial"/>
        </w:rPr>
        <w:t>1526</w:t>
      </w:r>
    </w:p>
    <w:p>
      <w:pPr>
        <w:pStyle w:val="TOC2"/>
        <w:widowControl/>
        <w:tabs>
          <w:tab w:pos="8856" w:val="right" w:leader="dot"/>
        </w:tabs>
      </w:pPr>
      <w:hyperlink w:anchor="_NAESTMA_TOC_2032" w:history="1">
        <w:r>
          <w:rPr>
            <w:color w:val="466B7A"/>
          </w:rPr>
          <w:t>ARTICLE 67.22 — Undersea Domain and Cable Protection</w:t>
        </w:r>
      </w:hyperlink>
      <w:r>
        <w:tab/>
      </w:r>
      <w:r>
        <w:rPr>
          <w:rFonts w:ascii="Arial" w:hAnsi="Arial"/>
        </w:rPr>
        <w:t>1526</w:t>
      </w:r>
    </w:p>
    <w:p>
      <w:pPr>
        <w:pStyle w:val="TOC2"/>
        <w:widowControl/>
        <w:tabs>
          <w:tab w:pos="8856" w:val="right" w:leader="dot"/>
        </w:tabs>
      </w:pPr>
      <w:hyperlink w:anchor="_NAESTMA_TOC_2033" w:history="1">
        <w:r>
          <w:rPr>
            <w:color w:val="466B7A"/>
          </w:rPr>
          <w:t>ARTICLE 67.23 — Airborne Early Warning and Air-Defence Evolution</w:t>
        </w:r>
      </w:hyperlink>
      <w:r>
        <w:tab/>
      </w:r>
      <w:r>
        <w:rPr>
          <w:rFonts w:ascii="Arial" w:hAnsi="Arial"/>
        </w:rPr>
        <w:t>1526</w:t>
      </w:r>
    </w:p>
    <w:p>
      <w:pPr>
        <w:pStyle w:val="TOC2"/>
        <w:widowControl/>
        <w:tabs>
          <w:tab w:pos="8856" w:val="right" w:leader="dot"/>
        </w:tabs>
      </w:pPr>
      <w:hyperlink w:anchor="_NAESTMA_TOC_2034" w:history="1">
        <w:r>
          <w:rPr>
            <w:color w:val="466B7A"/>
          </w:rPr>
          <w:t>ARTICLE 67.24 — Polar Communications, Space and C4ISR Resilience</w:t>
        </w:r>
      </w:hyperlink>
      <w:r>
        <w:tab/>
      </w:r>
      <w:r>
        <w:rPr>
          <w:rFonts w:ascii="Arial" w:hAnsi="Arial"/>
        </w:rPr>
        <w:t>1527</w:t>
      </w:r>
    </w:p>
    <w:p>
      <w:pPr>
        <w:pStyle w:val="TOC2"/>
        <w:widowControl/>
        <w:tabs>
          <w:tab w:pos="8856" w:val="right" w:leader="dot"/>
        </w:tabs>
      </w:pPr>
      <w:hyperlink w:anchor="_NAESTMA_TOC_2035" w:history="1">
        <w:r>
          <w:rPr>
            <w:color w:val="466B7A"/>
          </w:rPr>
          <w:t>ARTICLE 67.25 — Northern Strategic Mobility and Logistics</w:t>
        </w:r>
      </w:hyperlink>
      <w:r>
        <w:tab/>
      </w:r>
      <w:r>
        <w:rPr>
          <w:rFonts w:ascii="Arial" w:hAnsi="Arial"/>
        </w:rPr>
        <w:t>1527</w:t>
      </w:r>
    </w:p>
    <w:p>
      <w:pPr>
        <w:pStyle w:val="TOC2"/>
        <w:widowControl/>
        <w:tabs>
          <w:tab w:pos="8856" w:val="right" w:leader="dot"/>
        </w:tabs>
      </w:pPr>
      <w:hyperlink w:anchor="_NAESTMA_TOC_2036" w:history="1">
        <w:r>
          <w:rPr>
            <w:color w:val="466B7A"/>
          </w:rPr>
          <w:t>ARTICLE 67.26 — Northern Energy and Fuel Resilience</w:t>
        </w:r>
      </w:hyperlink>
      <w:r>
        <w:tab/>
      </w:r>
      <w:r>
        <w:rPr>
          <w:rFonts w:ascii="Arial" w:hAnsi="Arial"/>
        </w:rPr>
        <w:t>1527</w:t>
      </w:r>
    </w:p>
    <w:p>
      <w:pPr>
        <w:pStyle w:val="TOC2"/>
        <w:widowControl/>
        <w:tabs>
          <w:tab w:pos="8856" w:val="right" w:leader="dot"/>
        </w:tabs>
      </w:pPr>
      <w:hyperlink w:anchor="_NAESTMA_TOC_2037" w:history="1">
        <w:r>
          <w:rPr>
            <w:color w:val="466B7A"/>
          </w:rPr>
          <w:t>ARTICLE 67.27 — Search and Rescue, Health and Human Security</w:t>
        </w:r>
      </w:hyperlink>
      <w:r>
        <w:tab/>
      </w:r>
      <w:r>
        <w:rPr>
          <w:rFonts w:ascii="Arial" w:hAnsi="Arial"/>
        </w:rPr>
        <w:t>1527</w:t>
      </w:r>
    </w:p>
    <w:p>
      <w:pPr>
        <w:pStyle w:val="TOC2"/>
        <w:widowControl/>
        <w:tabs>
          <w:tab w:pos="8856" w:val="right" w:leader="dot"/>
        </w:tabs>
      </w:pPr>
      <w:hyperlink w:anchor="_NAESTMA_TOC_2038" w:history="1">
        <w:r>
          <w:rPr>
            <w:color w:val="466B7A"/>
          </w:rPr>
          <w:t>ARTICLE 67.28 — Climate, Science, Environment and Ocean Governance</w:t>
        </w:r>
      </w:hyperlink>
      <w:r>
        <w:tab/>
      </w:r>
      <w:r>
        <w:rPr>
          <w:rFonts w:ascii="Arial" w:hAnsi="Arial"/>
        </w:rPr>
        <w:t>1527</w:t>
      </w:r>
    </w:p>
    <w:p>
      <w:pPr>
        <w:pStyle w:val="TOC2"/>
        <w:widowControl/>
        <w:tabs>
          <w:tab w:pos="8856" w:val="right" w:leader="dot"/>
        </w:tabs>
      </w:pPr>
      <w:hyperlink w:anchor="_NAESTMA_TOC_2039" w:history="1">
        <w:r>
          <w:rPr>
            <w:color w:val="466B7A"/>
          </w:rPr>
          <w:t>ARTICLE 67.29 — North American Arctic Industrial Base</w:t>
        </w:r>
      </w:hyperlink>
      <w:r>
        <w:tab/>
      </w:r>
      <w:r>
        <w:rPr>
          <w:rFonts w:ascii="Arial" w:hAnsi="Arial"/>
        </w:rPr>
        <w:t>1527</w:t>
      </w:r>
    </w:p>
    <w:p>
      <w:pPr>
        <w:pStyle w:val="TOC2"/>
        <w:widowControl/>
        <w:tabs>
          <w:tab w:pos="8856" w:val="right" w:leader="dot"/>
        </w:tabs>
      </w:pPr>
      <w:hyperlink w:anchor="_NAESTMA_TOC_2040" w:history="1">
        <w:r>
          <w:rPr>
            <w:color w:val="466B7A"/>
          </w:rPr>
          <w:t>ARTICLE 67.30 — Procurement Is Opportunity, Not Award</w:t>
        </w:r>
      </w:hyperlink>
      <w:r>
        <w:tab/>
      </w:r>
      <w:r>
        <w:rPr>
          <w:rFonts w:ascii="Arial" w:hAnsi="Arial"/>
        </w:rPr>
        <w:t>1527</w:t>
      </w:r>
    </w:p>
    <w:p>
      <w:pPr>
        <w:pStyle w:val="TOC2"/>
        <w:widowControl/>
        <w:tabs>
          <w:tab w:pos="8856" w:val="right" w:leader="dot"/>
        </w:tabs>
      </w:pPr>
      <w:hyperlink w:anchor="_NAESTMA_TOC_2041" w:history="1">
        <w:r>
          <w:rPr>
            <w:color w:val="466B7A"/>
          </w:rPr>
          <w:t>ARTICLE 67.31 — Workforce and Northern Capacity</w:t>
        </w:r>
      </w:hyperlink>
      <w:r>
        <w:tab/>
      </w:r>
      <w:r>
        <w:rPr>
          <w:rFonts w:ascii="Arial" w:hAnsi="Arial"/>
        </w:rPr>
        <w:t>1527</w:t>
      </w:r>
    </w:p>
    <w:p>
      <w:pPr>
        <w:pStyle w:val="TOC2"/>
        <w:widowControl/>
        <w:tabs>
          <w:tab w:pos="8856" w:val="right" w:leader="dot"/>
        </w:tabs>
      </w:pPr>
      <w:hyperlink w:anchor="_NAESTMA_TOC_2042" w:history="1">
        <w:r>
          <w:rPr>
            <w:color w:val="466B7A"/>
          </w:rPr>
          <w:t>ARTICLE 67.32 — Northern Vigilance Scorecard</w:t>
        </w:r>
      </w:hyperlink>
      <w:r>
        <w:tab/>
      </w:r>
      <w:r>
        <w:rPr>
          <w:rFonts w:ascii="Arial" w:hAnsi="Arial"/>
        </w:rPr>
        <w:t>1528</w:t>
      </w:r>
    </w:p>
    <w:p>
      <w:pPr>
        <w:pStyle w:val="TOC2"/>
        <w:widowControl/>
        <w:tabs>
          <w:tab w:pos="8856" w:val="right" w:leader="dot"/>
        </w:tabs>
      </w:pPr>
      <w:hyperlink w:anchor="_NAESTMA_TOC_2043" w:history="1">
        <w:r>
          <w:rPr>
            <w:color w:val="466B7A"/>
          </w:rPr>
          <w:t>ARTICLE 67.33 — State of the Vigilant North</w:t>
        </w:r>
      </w:hyperlink>
      <w:r>
        <w:tab/>
      </w:r>
      <w:r>
        <w:rPr>
          <w:rFonts w:ascii="Arial" w:hAnsi="Arial"/>
        </w:rPr>
        <w:t>1528</w:t>
      </w:r>
    </w:p>
    <w:p>
      <w:pPr>
        <w:pStyle w:val="TOC2"/>
        <w:widowControl/>
        <w:tabs>
          <w:tab w:pos="8856" w:val="right" w:leader="dot"/>
        </w:tabs>
      </w:pPr>
      <w:hyperlink w:anchor="_NAESTMA_TOC_2044" w:history="1">
        <w:r>
          <w:rPr>
            <w:color w:val="466B7A"/>
          </w:rPr>
          <w:t>ARTICLE 67.34 — No Zombie Projects</w:t>
        </w:r>
      </w:hyperlink>
      <w:r>
        <w:tab/>
      </w:r>
      <w:r>
        <w:rPr>
          <w:rFonts w:ascii="Arial" w:hAnsi="Arial"/>
        </w:rPr>
        <w:t>1528</w:t>
      </w:r>
    </w:p>
    <w:p>
      <w:pPr>
        <w:pStyle w:val="TOC2"/>
        <w:widowControl/>
        <w:tabs>
          <w:tab w:pos="8856" w:val="right" w:leader="dot"/>
        </w:tabs>
      </w:pPr>
      <w:hyperlink w:anchor="_NAESTMA_TOC_2045" w:history="1">
        <w:r>
          <w:rPr>
            <w:color w:val="466B7A"/>
          </w:rPr>
          <w:t>ARTICLE 67.35 — Project Verification Ladder</w:t>
        </w:r>
      </w:hyperlink>
      <w:r>
        <w:tab/>
      </w:r>
      <w:r>
        <w:rPr>
          <w:rFonts w:ascii="Arial" w:hAnsi="Arial"/>
        </w:rPr>
        <w:t>1528</w:t>
      </w:r>
    </w:p>
    <w:p>
      <w:pPr>
        <w:pStyle w:val="TOC2"/>
        <w:widowControl/>
        <w:tabs>
          <w:tab w:pos="8856" w:val="right" w:leader="dot"/>
        </w:tabs>
      </w:pPr>
      <w:hyperlink w:anchor="_NAESTMA_TOC_2046" w:history="1">
        <w:r>
          <w:rPr>
            <w:color w:val="466B7A"/>
          </w:rPr>
          <w:t>ARTICLE 67.36 — Project Scheduling and No Automatic Approval</w:t>
        </w:r>
      </w:hyperlink>
      <w:r>
        <w:tab/>
      </w:r>
      <w:r>
        <w:rPr>
          <w:rFonts w:ascii="Arial" w:hAnsi="Arial"/>
        </w:rPr>
        <w:t>1528</w:t>
      </w:r>
    </w:p>
    <w:p>
      <w:pPr>
        <w:pStyle w:val="TOC2"/>
        <w:widowControl/>
        <w:tabs>
          <w:tab w:pos="8856" w:val="right" w:leader="dot"/>
        </w:tabs>
      </w:pPr>
      <w:hyperlink w:anchor="_NAESTMA_TOC_2047" w:history="1">
        <w:r>
          <w:rPr>
            <w:color w:val="466B7A"/>
          </w:rPr>
          <w:t>ARTICLE 67.37 — Northern Vigilance Milestone Certification</w:t>
        </w:r>
      </w:hyperlink>
      <w:r>
        <w:tab/>
      </w:r>
      <w:r>
        <w:rPr>
          <w:rFonts w:ascii="Arial" w:hAnsi="Arial"/>
        </w:rPr>
        <w:t>1528</w:t>
      </w:r>
    </w:p>
    <w:p>
      <w:pPr>
        <w:pStyle w:val="TOC2"/>
        <w:widowControl/>
        <w:tabs>
          <w:tab w:pos="8856" w:val="right" w:leader="dot"/>
        </w:tabs>
      </w:pPr>
      <w:hyperlink w:anchor="_NAESTMA_TOC_2048" w:history="1">
        <w:r>
          <w:rPr>
            <w:color w:val="466B7A"/>
          </w:rPr>
          <w:t>ARTICLE 67.38 — Controlled-Capability Ladder</w:t>
        </w:r>
      </w:hyperlink>
      <w:r>
        <w:tab/>
      </w:r>
      <w:r>
        <w:rPr>
          <w:rFonts w:ascii="Arial" w:hAnsi="Arial"/>
        </w:rPr>
        <w:t>1528</w:t>
      </w:r>
    </w:p>
    <w:p>
      <w:pPr>
        <w:pStyle w:val="TOC2"/>
        <w:widowControl/>
        <w:tabs>
          <w:tab w:pos="8856" w:val="right" w:leader="dot"/>
        </w:tabs>
      </w:pPr>
      <w:hyperlink w:anchor="_NAESTMA_TOC_2049" w:history="1">
        <w:r>
          <w:rPr>
            <w:color w:val="466B7A"/>
          </w:rPr>
          <w:t>ARTICLE 67.39 — Data Governance and Sensitive Information</w:t>
        </w:r>
      </w:hyperlink>
      <w:r>
        <w:tab/>
      </w:r>
      <w:r>
        <w:rPr>
          <w:rFonts w:ascii="Arial" w:hAnsi="Arial"/>
        </w:rPr>
        <w:t>1528</w:t>
      </w:r>
    </w:p>
    <w:p>
      <w:pPr>
        <w:pStyle w:val="TOC2"/>
        <w:widowControl/>
        <w:tabs>
          <w:tab w:pos="8856" w:val="right" w:leader="dot"/>
        </w:tabs>
      </w:pPr>
      <w:hyperlink w:anchor="_NAESTMA_TOC_2050" w:history="1">
        <w:r>
          <w:rPr>
            <w:color w:val="466B7A"/>
          </w:rPr>
          <w:t>ARTICLE 67.40 — Foreign Personnel, Liability and Status</w:t>
        </w:r>
      </w:hyperlink>
      <w:r>
        <w:tab/>
      </w:r>
      <w:r>
        <w:rPr>
          <w:rFonts w:ascii="Arial" w:hAnsi="Arial"/>
        </w:rPr>
        <w:t>1528</w:t>
      </w:r>
    </w:p>
    <w:p>
      <w:pPr>
        <w:pStyle w:val="TOC2"/>
        <w:widowControl/>
        <w:tabs>
          <w:tab w:pos="8856" w:val="right" w:leader="dot"/>
        </w:tabs>
      </w:pPr>
      <w:hyperlink w:anchor="_NAESTMA_TOC_2051" w:history="1">
        <w:r>
          <w:rPr>
            <w:color w:val="466B7A"/>
          </w:rPr>
          <w:t>ARTICLE 67.41 — Environmental and Procurement Integrity</w:t>
        </w:r>
      </w:hyperlink>
      <w:r>
        <w:tab/>
      </w:r>
      <w:r>
        <w:rPr>
          <w:rFonts w:ascii="Arial" w:hAnsi="Arial"/>
        </w:rPr>
        <w:t>1529</w:t>
      </w:r>
    </w:p>
    <w:p>
      <w:pPr>
        <w:pStyle w:val="TOC2"/>
        <w:widowControl/>
        <w:tabs>
          <w:tab w:pos="8856" w:val="right" w:leader="dot"/>
        </w:tabs>
      </w:pPr>
      <w:hyperlink w:anchor="_NAESTMA_TOC_2052" w:history="1">
        <w:r>
          <w:rPr>
            <w:color w:val="466B7A"/>
          </w:rPr>
          <w:t>ARTICLE 67.42 — Security Performance and Good-Faith Implementation</w:t>
        </w:r>
      </w:hyperlink>
      <w:r>
        <w:tab/>
      </w:r>
      <w:r>
        <w:rPr>
          <w:rFonts w:ascii="Arial" w:hAnsi="Arial"/>
        </w:rPr>
        <w:t>1529</w:t>
      </w:r>
    </w:p>
    <w:p>
      <w:pPr>
        <w:pStyle w:val="TOC2"/>
        <w:widowControl/>
        <w:tabs>
          <w:tab w:pos="8856" w:val="right" w:leader="dot"/>
        </w:tabs>
      </w:pPr>
      <w:hyperlink w:anchor="_NAESTMA_TOC_2053" w:history="1">
        <w:r>
          <w:rPr>
            <w:color w:val="466B7A"/>
          </w:rPr>
          <w:t>ARTICLE 67.43 — Verification, Consultation and Cure</w:t>
        </w:r>
      </w:hyperlink>
      <w:r>
        <w:tab/>
      </w:r>
      <w:r>
        <w:rPr>
          <w:rFonts w:ascii="Arial" w:hAnsi="Arial"/>
        </w:rPr>
        <w:t>1529</w:t>
      </w:r>
    </w:p>
    <w:p>
      <w:pPr>
        <w:pStyle w:val="TOC2"/>
        <w:widowControl/>
        <w:tabs>
          <w:tab w:pos="8856" w:val="right" w:leader="dot"/>
        </w:tabs>
      </w:pPr>
      <w:hyperlink w:anchor="_NAESTMA_TOC_2054" w:history="1">
        <w:r>
          <w:rPr>
            <w:color w:val="466B7A"/>
          </w:rPr>
          <w:t>ARTICLE 67.44 — Proportional Northern-Vigilance Step-Back</w:t>
        </w:r>
      </w:hyperlink>
      <w:r>
        <w:tab/>
      </w:r>
      <w:r>
        <w:rPr>
          <w:rFonts w:ascii="Arial" w:hAnsi="Arial"/>
        </w:rPr>
        <w:t>1529</w:t>
      </w:r>
    </w:p>
    <w:p>
      <w:pPr>
        <w:pStyle w:val="TOC2"/>
        <w:widowControl/>
        <w:tabs>
          <w:tab w:pos="8856" w:val="right" w:leader="dot"/>
        </w:tabs>
      </w:pPr>
      <w:hyperlink w:anchor="_NAESTMA_TOC_2055" w:history="1">
        <w:r>
          <w:rPr>
            <w:color w:val="466B7A"/>
          </w:rPr>
          <w:t>ARTICLE 67.45 — Automatic Restoration After Cure</w:t>
        </w:r>
      </w:hyperlink>
      <w:r>
        <w:tab/>
      </w:r>
      <w:r>
        <w:rPr>
          <w:rFonts w:ascii="Arial" w:hAnsi="Arial"/>
        </w:rPr>
        <w:t>1529</w:t>
      </w:r>
    </w:p>
    <w:p>
      <w:pPr>
        <w:pStyle w:val="TOC2"/>
        <w:widowControl/>
        <w:tabs>
          <w:tab w:pos="8856" w:val="right" w:leader="dot"/>
        </w:tabs>
      </w:pPr>
      <w:hyperlink w:anchor="_NAESTMA_TOC_2056" w:history="1">
        <w:r>
          <w:rPr>
            <w:color w:val="466B7A"/>
          </w:rPr>
          <w:t>ARTICLE 67.46 — Trade-Measure Exclusion and Covered-Rationale Exhaustion</w:t>
        </w:r>
      </w:hyperlink>
      <w:r>
        <w:tab/>
      </w:r>
      <w:r>
        <w:rPr>
          <w:rFonts w:ascii="Arial" w:hAnsi="Arial"/>
        </w:rPr>
        <w:t>1529</w:t>
      </w:r>
    </w:p>
    <w:p>
      <w:pPr>
        <w:pStyle w:val="TOC2"/>
        <w:widowControl/>
        <w:tabs>
          <w:tab w:pos="8856" w:val="right" w:leader="dot"/>
        </w:tabs>
      </w:pPr>
      <w:hyperlink w:anchor="_NAESTMA_TOC_2057" w:history="1">
        <w:r>
          <w:rPr>
            <w:color w:val="466B7A"/>
          </w:rPr>
          <w:t>ARTICLE 67.47 — Review, Renewal and Orderly Wind-Down</w:t>
        </w:r>
      </w:hyperlink>
      <w:r>
        <w:tab/>
      </w:r>
      <w:r>
        <w:rPr>
          <w:rFonts w:ascii="Arial" w:hAnsi="Arial"/>
        </w:rPr>
        <w:t>1529</w:t>
      </w:r>
    </w:p>
    <w:p>
      <w:pPr>
        <w:pStyle w:val="TOC1"/>
        <w:widowControl/>
        <w:tabs>
          <w:tab w:pos="8856" w:val="right" w:leader="dot"/>
        </w:tabs>
      </w:pPr>
      <w:hyperlink w:anchor="_NAESTMA_TOC_2058" w:history="1">
        <w:r>
          <w:rPr>
            <w:color w:val="233746"/>
          </w:rPr>
          <w:t>CHAPTER 68 — GREAT WHALE COMPACT: NORTH AMERICAN CETACEAN RECOVERY, SAFETY AND STEWARDSHIP</w:t>
        </w:r>
      </w:hyperlink>
      <w:r>
        <w:tab/>
      </w:r>
      <w:r>
        <w:rPr>
          <w:rFonts w:ascii="Arial" w:hAnsi="Arial"/>
        </w:rPr>
        <w:t>1543</w:t>
      </w:r>
    </w:p>
    <w:p>
      <w:pPr>
        <w:pStyle w:val="TOC2"/>
        <w:widowControl/>
        <w:tabs>
          <w:tab w:pos="8856" w:val="right" w:leader="dot"/>
        </w:tabs>
      </w:pPr>
      <w:hyperlink w:anchor="_NAESTMA_TOC_2059" w:history="1">
        <w:r>
          <w:rPr>
            <w:color w:val="466B7A"/>
          </w:rPr>
          <w:t>68.1. Purpose and Great Whale Bargain.</w:t>
        </w:r>
      </w:hyperlink>
      <w:r>
        <w:tab/>
      </w:r>
      <w:r>
        <w:rPr>
          <w:rFonts w:ascii="Arial" w:hAnsi="Arial"/>
        </w:rPr>
        <w:t>1544</w:t>
      </w:r>
    </w:p>
    <w:p>
      <w:pPr>
        <w:pStyle w:val="TOC2"/>
        <w:widowControl/>
        <w:tabs>
          <w:tab w:pos="8856" w:val="right" w:leader="dot"/>
        </w:tabs>
      </w:pPr>
      <w:hyperlink w:anchor="_NAESTMA_TOC_2060" w:history="1">
        <w:r>
          <w:rPr>
            <w:color w:val="466B7A"/>
          </w:rPr>
          <w:t>68.2. National Sovereignty and Domestic Authority.</w:t>
        </w:r>
      </w:hyperlink>
      <w:r>
        <w:tab/>
      </w:r>
      <w:r>
        <w:rPr>
          <w:rFonts w:ascii="Arial" w:hAnsi="Arial"/>
        </w:rPr>
        <w:t>1544</w:t>
      </w:r>
    </w:p>
    <w:p>
      <w:pPr>
        <w:pStyle w:val="TOC2"/>
        <w:widowControl/>
        <w:tabs>
          <w:tab w:pos="8856" w:val="right" w:leader="dot"/>
        </w:tabs>
      </w:pPr>
      <w:hyperlink w:anchor="_NAESTMA_TOC_2061" w:history="1">
        <w:r>
          <w:rPr>
            <w:color w:val="466B7A"/>
          </w:rPr>
          <w:t>68.3. Existing Institutions Before New Institutions.</w:t>
        </w:r>
      </w:hyperlink>
      <w:r>
        <w:tab/>
      </w:r>
      <w:r>
        <w:rPr>
          <w:rFonts w:ascii="Arial" w:hAnsi="Arial"/>
        </w:rPr>
        <w:t>1544</w:t>
      </w:r>
    </w:p>
    <w:p>
      <w:pPr>
        <w:pStyle w:val="TOC2"/>
        <w:widowControl/>
        <w:tabs>
          <w:tab w:pos="8856" w:val="right" w:leader="dot"/>
        </w:tabs>
      </w:pPr>
      <w:hyperlink w:anchor="_NAESTMA_TOC_2062" w:history="1">
        <w:r>
          <w:rPr>
            <w:color w:val="466B7A"/>
          </w:rPr>
          <w:t>68.4. Science-First Decisionmaking.</w:t>
        </w:r>
      </w:hyperlink>
      <w:r>
        <w:tab/>
      </w:r>
      <w:r>
        <w:rPr>
          <w:rFonts w:ascii="Arial" w:hAnsi="Arial"/>
        </w:rPr>
        <w:t>1544</w:t>
      </w:r>
    </w:p>
    <w:p>
      <w:pPr>
        <w:pStyle w:val="TOC2"/>
        <w:widowControl/>
        <w:tabs>
          <w:tab w:pos="8856" w:val="right" w:leader="dot"/>
        </w:tabs>
      </w:pPr>
      <w:hyperlink w:anchor="_NAESTMA_TOC_2063" w:history="1">
        <w:r>
          <w:rPr>
            <w:color w:val="466B7A"/>
          </w:rPr>
          <w:t>68.5. Least-Burdensome Effective Protection.</w:t>
        </w:r>
      </w:hyperlink>
      <w:r>
        <w:tab/>
      </w:r>
      <w:r>
        <w:rPr>
          <w:rFonts w:ascii="Arial" w:hAnsi="Arial"/>
        </w:rPr>
        <w:t>1544</w:t>
      </w:r>
    </w:p>
    <w:p>
      <w:pPr>
        <w:pStyle w:val="TOC2"/>
        <w:widowControl/>
        <w:tabs>
          <w:tab w:pos="8856" w:val="right" w:leader="dot"/>
        </w:tabs>
      </w:pPr>
      <w:hyperlink w:anchor="_NAESTMA_TOC_2064" w:history="1">
        <w:r>
          <w:rPr>
            <w:color w:val="466B7A"/>
          </w:rPr>
          <w:t>68.6. Adaptive Management.</w:t>
        </w:r>
      </w:hyperlink>
      <w:r>
        <w:tab/>
      </w:r>
      <w:r>
        <w:rPr>
          <w:rFonts w:ascii="Arial" w:hAnsi="Arial"/>
        </w:rPr>
        <w:t>1544</w:t>
      </w:r>
    </w:p>
    <w:p>
      <w:pPr>
        <w:pStyle w:val="TOC2"/>
        <w:widowControl/>
        <w:tabs>
          <w:tab w:pos="8856" w:val="right" w:leader="dot"/>
        </w:tabs>
      </w:pPr>
      <w:hyperlink w:anchor="_NAESTMA_TOC_2065" w:history="1">
        <w:r>
          <w:rPr>
            <w:color w:val="466B7A"/>
          </w:rPr>
          <w:t>68.7. Activation and Deactivation.</w:t>
        </w:r>
      </w:hyperlink>
      <w:r>
        <w:tab/>
      </w:r>
      <w:r>
        <w:rPr>
          <w:rFonts w:ascii="Arial" w:hAnsi="Arial"/>
        </w:rPr>
        <w:t>1544</w:t>
      </w:r>
    </w:p>
    <w:p>
      <w:pPr>
        <w:pStyle w:val="TOC2"/>
        <w:widowControl/>
        <w:tabs>
          <w:tab w:pos="8856" w:val="right" w:leader="dot"/>
        </w:tabs>
      </w:pPr>
      <w:hyperlink w:anchor="_NAESTMA_TOC_2066" w:history="1">
        <w:r>
          <w:rPr>
            <w:color w:val="466B7A"/>
          </w:rPr>
          <w:t>68.8. Human Authority Over Automated Consequences.</w:t>
        </w:r>
      </w:hyperlink>
      <w:r>
        <w:tab/>
      </w:r>
      <w:r>
        <w:rPr>
          <w:rFonts w:ascii="Arial" w:hAnsi="Arial"/>
        </w:rPr>
        <w:t>1544</w:t>
      </w:r>
    </w:p>
    <w:p>
      <w:pPr>
        <w:pStyle w:val="TOC2"/>
        <w:widowControl/>
        <w:tabs>
          <w:tab w:pos="8856" w:val="right" w:leader="dot"/>
        </w:tabs>
      </w:pPr>
      <w:hyperlink w:anchor="_NAESTMA_TOC_2067" w:history="1">
        <w:r>
          <w:rPr>
            <w:color w:val="466B7A"/>
          </w:rPr>
          <w:t>68.9. Species-Appropriate Protection.</w:t>
        </w:r>
      </w:hyperlink>
      <w:r>
        <w:tab/>
      </w:r>
      <w:r>
        <w:rPr>
          <w:rFonts w:ascii="Arial" w:hAnsi="Arial"/>
        </w:rPr>
        <w:t>1544</w:t>
      </w:r>
    </w:p>
    <w:p>
      <w:pPr>
        <w:pStyle w:val="TOC2"/>
        <w:widowControl/>
        <w:tabs>
          <w:tab w:pos="8856" w:val="right" w:leader="dot"/>
        </w:tabs>
      </w:pPr>
      <w:hyperlink w:anchor="_NAESTMA_TOC_2068" w:history="1">
        <w:r>
          <w:rPr>
            <w:color w:val="466B7A"/>
          </w:rPr>
          <w:t>68.10. Avoidable Governance Failure.</w:t>
        </w:r>
      </w:hyperlink>
      <w:r>
        <w:tab/>
      </w:r>
      <w:r>
        <w:rPr>
          <w:rFonts w:ascii="Arial" w:hAnsi="Arial"/>
        </w:rPr>
        <w:t>1544</w:t>
      </w:r>
    </w:p>
    <w:p>
      <w:pPr>
        <w:pStyle w:val="TOC2"/>
        <w:widowControl/>
        <w:tabs>
          <w:tab w:pos="8856" w:val="right" w:leader="dot"/>
        </w:tabs>
      </w:pPr>
      <w:hyperlink w:anchor="_NAESTMA_TOC_2069" w:history="1">
        <w:r>
          <w:rPr>
            <w:color w:val="466B7A"/>
          </w:rPr>
          <w:t>68.11. Indigenous Rights Savings.</w:t>
        </w:r>
      </w:hyperlink>
      <w:r>
        <w:tab/>
      </w:r>
      <w:r>
        <w:rPr>
          <w:rFonts w:ascii="Arial" w:hAnsi="Arial"/>
        </w:rPr>
        <w:t>1544</w:t>
      </w:r>
    </w:p>
    <w:p>
      <w:pPr>
        <w:pStyle w:val="TOC2"/>
        <w:widowControl/>
        <w:tabs>
          <w:tab w:pos="8856" w:val="right" w:leader="dot"/>
        </w:tabs>
      </w:pPr>
      <w:hyperlink w:anchor="_NAESTMA_TOC_2070" w:history="1">
        <w:r>
          <w:rPr>
            <w:color w:val="466B7A"/>
          </w:rPr>
          <w:t>68.12. Indigenous Knowledge and Data Governance.</w:t>
        </w:r>
      </w:hyperlink>
      <w:r>
        <w:tab/>
      </w:r>
      <w:r>
        <w:rPr>
          <w:rFonts w:ascii="Arial" w:hAnsi="Arial"/>
        </w:rPr>
        <w:t>1544</w:t>
      </w:r>
    </w:p>
    <w:p>
      <w:pPr>
        <w:pStyle w:val="TOC2"/>
        <w:widowControl/>
        <w:tabs>
          <w:tab w:pos="8856" w:val="right" w:leader="dot"/>
        </w:tabs>
      </w:pPr>
      <w:hyperlink w:anchor="_NAESTMA_TOC_2071" w:history="1">
        <w:r>
          <w:rPr>
            <w:color w:val="466B7A"/>
          </w:rPr>
          <w:t>68.13. Vessel-Strike Reduction.</w:t>
        </w:r>
      </w:hyperlink>
      <w:r>
        <w:tab/>
      </w:r>
      <w:r>
        <w:rPr>
          <w:rFonts w:ascii="Arial" w:hAnsi="Arial"/>
        </w:rPr>
        <w:t>1545</w:t>
      </w:r>
    </w:p>
    <w:p>
      <w:pPr>
        <w:pStyle w:val="TOC2"/>
        <w:widowControl/>
        <w:tabs>
          <w:tab w:pos="8856" w:val="right" w:leader="dot"/>
        </w:tabs>
      </w:pPr>
      <w:hyperlink w:anchor="_NAESTMA_TOC_2072" w:history="1">
        <w:r>
          <w:rPr>
            <w:color w:val="466B7A"/>
          </w:rPr>
          <w:t>68.14. Entanglement Reduction.</w:t>
        </w:r>
      </w:hyperlink>
      <w:r>
        <w:tab/>
      </w:r>
      <w:r>
        <w:rPr>
          <w:rFonts w:ascii="Arial" w:hAnsi="Arial"/>
        </w:rPr>
        <w:t>1545</w:t>
      </w:r>
    </w:p>
    <w:p>
      <w:pPr>
        <w:pStyle w:val="TOC2"/>
        <w:widowControl/>
        <w:tabs>
          <w:tab w:pos="8856" w:val="right" w:leader="dot"/>
        </w:tabs>
      </w:pPr>
      <w:hyperlink w:anchor="_NAESTMA_TOC_2073" w:history="1">
        <w:r>
          <w:rPr>
            <w:color w:val="466B7A"/>
          </w:rPr>
          <w:t>68.15. Whale-Safe Fishing Transition.</w:t>
        </w:r>
      </w:hyperlink>
      <w:r>
        <w:tab/>
      </w:r>
      <w:r>
        <w:rPr>
          <w:rFonts w:ascii="Arial" w:hAnsi="Arial"/>
        </w:rPr>
        <w:t>1545</w:t>
      </w:r>
    </w:p>
    <w:p>
      <w:pPr>
        <w:pStyle w:val="TOC2"/>
        <w:widowControl/>
        <w:tabs>
          <w:tab w:pos="8856" w:val="right" w:leader="dot"/>
        </w:tabs>
      </w:pPr>
      <w:hyperlink w:anchor="_NAESTMA_TOC_2074" w:history="1">
        <w:r>
          <w:rPr>
            <w:color w:val="466B7A"/>
          </w:rPr>
          <w:t>68.16. Ghost-Gear Prevention and Recovery.</w:t>
        </w:r>
      </w:hyperlink>
      <w:r>
        <w:tab/>
      </w:r>
      <w:r>
        <w:rPr>
          <w:rFonts w:ascii="Arial" w:hAnsi="Arial"/>
        </w:rPr>
        <w:t>1545</w:t>
      </w:r>
    </w:p>
    <w:p>
      <w:pPr>
        <w:pStyle w:val="TOC2"/>
        <w:widowControl/>
        <w:tabs>
          <w:tab w:pos="8856" w:val="right" w:leader="dot"/>
        </w:tabs>
      </w:pPr>
      <w:hyperlink w:anchor="_NAESTMA_TOC_2075" w:history="1">
        <w:r>
          <w:rPr>
            <w:color w:val="466B7A"/>
          </w:rPr>
          <w:t>68.17. Continental Detection Cooperation.</w:t>
        </w:r>
      </w:hyperlink>
      <w:r>
        <w:tab/>
      </w:r>
      <w:r>
        <w:rPr>
          <w:rFonts w:ascii="Arial" w:hAnsi="Arial"/>
        </w:rPr>
        <w:t>1545</w:t>
      </w:r>
    </w:p>
    <w:p>
      <w:pPr>
        <w:pStyle w:val="TOC2"/>
        <w:widowControl/>
        <w:tabs>
          <w:tab w:pos="8856" w:val="right" w:leader="dot"/>
        </w:tabs>
      </w:pPr>
      <w:hyperlink w:anchor="_NAESTMA_TOC_2076" w:history="1">
        <w:r>
          <w:rPr>
            <w:color w:val="466B7A"/>
          </w:rPr>
          <w:t>68.18. Detection Reliability.</w:t>
        </w:r>
      </w:hyperlink>
      <w:r>
        <w:tab/>
      </w:r>
      <w:r>
        <w:rPr>
          <w:rFonts w:ascii="Arial" w:hAnsi="Arial"/>
        </w:rPr>
        <w:t>1545</w:t>
      </w:r>
    </w:p>
    <w:p>
      <w:pPr>
        <w:pStyle w:val="TOC2"/>
        <w:widowControl/>
        <w:tabs>
          <w:tab w:pos="8856" w:val="right" w:leader="dot"/>
        </w:tabs>
      </w:pPr>
      <w:hyperlink w:anchor="_NAESTMA_TOC_2077" w:history="1">
        <w:r>
          <w:rPr>
            <w:color w:val="466B7A"/>
          </w:rPr>
          <w:t>68.19. Stranding and Disentanglement Readiness.</w:t>
        </w:r>
      </w:hyperlink>
      <w:r>
        <w:tab/>
      </w:r>
      <w:r>
        <w:rPr>
          <w:rFonts w:ascii="Arial" w:hAnsi="Arial"/>
        </w:rPr>
        <w:t>1545</w:t>
      </w:r>
    </w:p>
    <w:p>
      <w:pPr>
        <w:pStyle w:val="TOC2"/>
        <w:widowControl/>
        <w:tabs>
          <w:tab w:pos="8856" w:val="right" w:leader="dot"/>
        </w:tabs>
      </w:pPr>
      <w:hyperlink w:anchor="_NAESTMA_TOC_2078" w:history="1">
        <w:r>
          <w:rPr>
            <w:color w:val="466B7A"/>
          </w:rPr>
          <w:t>68.20. Veterinary and Mortality Investigation.</w:t>
        </w:r>
      </w:hyperlink>
      <w:r>
        <w:tab/>
      </w:r>
      <w:r>
        <w:rPr>
          <w:rFonts w:ascii="Arial" w:hAnsi="Arial"/>
        </w:rPr>
        <w:t>1545</w:t>
      </w:r>
    </w:p>
    <w:p>
      <w:pPr>
        <w:pStyle w:val="TOC2"/>
        <w:widowControl/>
        <w:tabs>
          <w:tab w:pos="8856" w:val="right" w:leader="dot"/>
        </w:tabs>
      </w:pPr>
      <w:hyperlink w:anchor="_NAESTMA_TOC_2079" w:history="1">
        <w:r>
          <w:rPr>
            <w:color w:val="466B7A"/>
          </w:rPr>
          <w:t>68.21. Critical Habitat and Recovery Cooperation.</w:t>
        </w:r>
      </w:hyperlink>
      <w:r>
        <w:tab/>
      </w:r>
      <w:r>
        <w:rPr>
          <w:rFonts w:ascii="Arial" w:hAnsi="Arial"/>
        </w:rPr>
        <w:t>1545</w:t>
      </w:r>
    </w:p>
    <w:p>
      <w:pPr>
        <w:pStyle w:val="TOC2"/>
        <w:widowControl/>
        <w:tabs>
          <w:tab w:pos="8856" w:val="right" w:leader="dot"/>
        </w:tabs>
      </w:pPr>
      <w:hyperlink w:anchor="_NAESTMA_TOC_2080" w:history="1">
        <w:r>
          <w:rPr>
            <w:color w:val="466B7A"/>
          </w:rPr>
          <w:t>68.22. Underwater Noise Risk Reduction.</w:t>
        </w:r>
      </w:hyperlink>
      <w:r>
        <w:tab/>
      </w:r>
      <w:r>
        <w:rPr>
          <w:rFonts w:ascii="Arial" w:hAnsi="Arial"/>
        </w:rPr>
        <w:t>1545</w:t>
      </w:r>
    </w:p>
    <w:p>
      <w:pPr>
        <w:pStyle w:val="TOC2"/>
        <w:widowControl/>
        <w:tabs>
          <w:tab w:pos="8856" w:val="right" w:leader="dot"/>
        </w:tabs>
      </w:pPr>
      <w:hyperlink w:anchor="_NAESTMA_TOC_2081" w:history="1">
        <w:r>
          <w:rPr>
            <w:color w:val="466B7A"/>
          </w:rPr>
          <w:t>68.23. Government Fleet Leadership.</w:t>
        </w:r>
      </w:hyperlink>
      <w:r>
        <w:tab/>
      </w:r>
      <w:r>
        <w:rPr>
          <w:rFonts w:ascii="Arial" w:hAnsi="Arial"/>
        </w:rPr>
        <w:t>1545</w:t>
      </w:r>
    </w:p>
    <w:p>
      <w:pPr>
        <w:pStyle w:val="TOC2"/>
        <w:widowControl/>
        <w:tabs>
          <w:tab w:pos="8856" w:val="right" w:leader="dot"/>
        </w:tabs>
      </w:pPr>
      <w:hyperlink w:anchor="_NAESTMA_TOC_2082" w:history="1">
        <w:r>
          <w:rPr>
            <w:color w:val="466B7A"/>
          </w:rPr>
          <w:t>68.24. Contaminant and Ecosystem Health Cooperation.</w:t>
        </w:r>
      </w:hyperlink>
      <w:r>
        <w:tab/>
      </w:r>
      <w:r>
        <w:rPr>
          <w:rFonts w:ascii="Arial" w:hAnsi="Arial"/>
        </w:rPr>
        <w:t>1545</w:t>
      </w:r>
    </w:p>
    <w:p>
      <w:pPr>
        <w:pStyle w:val="TOC2"/>
        <w:widowControl/>
        <w:tabs>
          <w:tab w:pos="8856" w:val="right" w:leader="dot"/>
        </w:tabs>
      </w:pPr>
      <w:hyperlink w:anchor="_NAESTMA_TOC_2083" w:history="1">
        <w:r>
          <w:rPr>
            <w:color w:val="466B7A"/>
          </w:rPr>
          <w:t>68.25. Prey and Forage-Ecosystem Consideration.</w:t>
        </w:r>
      </w:hyperlink>
      <w:r>
        <w:tab/>
      </w:r>
      <w:r>
        <w:rPr>
          <w:rFonts w:ascii="Arial" w:hAnsi="Arial"/>
        </w:rPr>
        <w:t>1546</w:t>
      </w:r>
    </w:p>
    <w:p>
      <w:pPr>
        <w:pStyle w:val="TOC2"/>
        <w:widowControl/>
        <w:tabs>
          <w:tab w:pos="8856" w:val="right" w:leader="dot"/>
        </w:tabs>
      </w:pPr>
      <w:hyperlink w:anchor="_NAESTMA_TOC_2084" w:history="1">
        <w:r>
          <w:rPr>
            <w:color w:val="466B7A"/>
          </w:rPr>
          <w:t>68.26. Climate-Responsive Management.</w:t>
        </w:r>
      </w:hyperlink>
      <w:r>
        <w:tab/>
      </w:r>
      <w:r>
        <w:rPr>
          <w:rFonts w:ascii="Arial" w:hAnsi="Arial"/>
        </w:rPr>
        <w:t>1546</w:t>
      </w:r>
    </w:p>
    <w:p>
      <w:pPr>
        <w:pStyle w:val="TOC2"/>
        <w:widowControl/>
        <w:tabs>
          <w:tab w:pos="8856" w:val="right" w:leader="dot"/>
        </w:tabs>
      </w:pPr>
      <w:hyperlink w:anchor="_NAESTMA_TOC_2085" w:history="1">
        <w:r>
          <w:rPr>
            <w:color w:val="466B7A"/>
          </w:rPr>
          <w:t>68.27. Whale-Sensitive Ports and Coastal Development.</w:t>
        </w:r>
      </w:hyperlink>
      <w:r>
        <w:tab/>
      </w:r>
      <w:r>
        <w:rPr>
          <w:rFonts w:ascii="Arial" w:hAnsi="Arial"/>
        </w:rPr>
        <w:t>1546</w:t>
      </w:r>
    </w:p>
    <w:p>
      <w:pPr>
        <w:pStyle w:val="TOC2"/>
        <w:widowControl/>
        <w:tabs>
          <w:tab w:pos="8856" w:val="right" w:leader="dot"/>
        </w:tabs>
      </w:pPr>
      <w:hyperlink w:anchor="_NAESTMA_TOC_2086" w:history="1">
        <w:r>
          <w:rPr>
            <w:color w:val="466B7A"/>
          </w:rPr>
          <w:t>68.28. Offshore Activity Assessment.</w:t>
        </w:r>
      </w:hyperlink>
      <w:r>
        <w:tab/>
      </w:r>
      <w:r>
        <w:rPr>
          <w:rFonts w:ascii="Arial" w:hAnsi="Arial"/>
        </w:rPr>
        <w:t>1546</w:t>
      </w:r>
    </w:p>
    <w:p>
      <w:pPr>
        <w:pStyle w:val="TOC2"/>
        <w:widowControl/>
        <w:tabs>
          <w:tab w:pos="8856" w:val="right" w:leader="dot"/>
        </w:tabs>
      </w:pPr>
      <w:hyperlink w:anchor="_NAESTMA_TOC_2087" w:history="1">
        <w:r>
          <w:rPr>
            <w:color w:val="466B7A"/>
          </w:rPr>
          <w:t>68.29. Captive-Cetacean Minimum Welfare.</w:t>
        </w:r>
      </w:hyperlink>
      <w:r>
        <w:tab/>
      </w:r>
      <w:r>
        <w:rPr>
          <w:rFonts w:ascii="Arial" w:hAnsi="Arial"/>
        </w:rPr>
        <w:t>1546</w:t>
      </w:r>
    </w:p>
    <w:p>
      <w:pPr>
        <w:pStyle w:val="TOC2"/>
        <w:widowControl/>
        <w:tabs>
          <w:tab w:pos="8856" w:val="right" w:leader="dot"/>
        </w:tabs>
      </w:pPr>
      <w:hyperlink w:anchor="_NAESTMA_TOC_2088" w:history="1">
        <w:r>
          <w:rPr>
            <w:color w:val="466B7A"/>
          </w:rPr>
          <w:t>68.30. No Avoidable Welfare Regression.</w:t>
        </w:r>
      </w:hyperlink>
      <w:r>
        <w:tab/>
      </w:r>
      <w:r>
        <w:rPr>
          <w:rFonts w:ascii="Arial" w:hAnsi="Arial"/>
        </w:rPr>
        <w:t>1546</w:t>
      </w:r>
    </w:p>
    <w:p>
      <w:pPr>
        <w:pStyle w:val="TOC2"/>
        <w:widowControl/>
        <w:tabs>
          <w:tab w:pos="8856" w:val="right" w:leader="dot"/>
        </w:tabs>
      </w:pPr>
      <w:hyperlink w:anchor="_NAESTMA_TOC_2089" w:history="1">
        <w:r>
          <w:rPr>
            <w:color w:val="466B7A"/>
          </w:rPr>
          <w:t>68.31. Legacy Animal Individual Care.</w:t>
        </w:r>
      </w:hyperlink>
      <w:r>
        <w:tab/>
      </w:r>
      <w:r>
        <w:rPr>
          <w:rFonts w:ascii="Arial" w:hAnsi="Arial"/>
        </w:rPr>
        <w:t>1546</w:t>
      </w:r>
    </w:p>
    <w:p>
      <w:pPr>
        <w:pStyle w:val="TOC2"/>
        <w:widowControl/>
        <w:tabs>
          <w:tab w:pos="8856" w:val="right" w:leader="dot"/>
        </w:tabs>
      </w:pPr>
      <w:hyperlink w:anchor="_NAESTMA_TOC_2090" w:history="1">
        <w:r>
          <w:rPr>
            <w:color w:val="466B7A"/>
          </w:rPr>
          <w:t>68.32. Qualified Sanctuary Pathway.</w:t>
        </w:r>
      </w:hyperlink>
      <w:r>
        <w:tab/>
      </w:r>
      <w:r>
        <w:rPr>
          <w:rFonts w:ascii="Arial" w:hAnsi="Arial"/>
        </w:rPr>
        <w:t>1546</w:t>
      </w:r>
    </w:p>
    <w:p>
      <w:pPr>
        <w:pStyle w:val="TOC2"/>
        <w:widowControl/>
        <w:tabs>
          <w:tab w:pos="8856" w:val="right" w:leader="dot"/>
        </w:tabs>
      </w:pPr>
      <w:hyperlink w:anchor="_NAESTMA_TOC_2091" w:history="1">
        <w:r>
          <w:rPr>
            <w:color w:val="466B7A"/>
          </w:rPr>
          <w:t>68.33. Rescue-versus-Display Firewall.</w:t>
        </w:r>
      </w:hyperlink>
      <w:r>
        <w:tab/>
      </w:r>
      <w:r>
        <w:rPr>
          <w:rFonts w:ascii="Arial" w:hAnsi="Arial"/>
        </w:rPr>
        <w:t>1546</w:t>
      </w:r>
    </w:p>
    <w:p>
      <w:pPr>
        <w:pStyle w:val="TOC2"/>
        <w:widowControl/>
        <w:tabs>
          <w:tab w:pos="8856" w:val="right" w:leader="dot"/>
        </w:tabs>
      </w:pPr>
      <w:hyperlink w:anchor="_NAESTMA_TOC_2092" w:history="1">
        <w:r>
          <w:rPr>
            <w:color w:val="466B7A"/>
          </w:rPr>
          <w:t>68.34. Research Ethics.</w:t>
        </w:r>
      </w:hyperlink>
      <w:r>
        <w:tab/>
      </w:r>
      <w:r>
        <w:rPr>
          <w:rFonts w:ascii="Arial" w:hAnsi="Arial"/>
        </w:rPr>
        <w:t>1546</w:t>
      </w:r>
    </w:p>
    <w:p>
      <w:pPr>
        <w:pStyle w:val="TOC2"/>
        <w:widowControl/>
        <w:tabs>
          <w:tab w:pos="8856" w:val="right" w:leader="dot"/>
        </w:tabs>
      </w:pPr>
      <w:hyperlink w:anchor="_NAESTMA_TOC_2093" w:history="1">
        <w:r>
          <w:rPr>
            <w:color w:val="466B7A"/>
          </w:rPr>
          <w:t>68.35. Open Where Safe, Protected Where Necessary.</w:t>
        </w:r>
      </w:hyperlink>
      <w:r>
        <w:tab/>
      </w:r>
      <w:r>
        <w:rPr>
          <w:rFonts w:ascii="Arial" w:hAnsi="Arial"/>
        </w:rPr>
        <w:t>1546</w:t>
      </w:r>
    </w:p>
    <w:p>
      <w:pPr>
        <w:pStyle w:val="TOC2"/>
        <w:widowControl/>
        <w:tabs>
          <w:tab w:pos="8856" w:val="right" w:leader="dot"/>
        </w:tabs>
      </w:pPr>
      <w:hyperlink w:anchor="_NAESTMA_TOC_2094" w:history="1">
        <w:r>
          <w:rPr>
            <w:color w:val="466B7A"/>
          </w:rPr>
          <w:t>68.36. Cross-Border Research Cooperation.</w:t>
        </w:r>
      </w:hyperlink>
      <w:r>
        <w:tab/>
      </w:r>
      <w:r>
        <w:rPr>
          <w:rFonts w:ascii="Arial" w:hAnsi="Arial"/>
        </w:rPr>
        <w:t>1546</w:t>
      </w:r>
    </w:p>
    <w:p>
      <w:pPr>
        <w:pStyle w:val="TOC2"/>
        <w:widowControl/>
        <w:tabs>
          <w:tab w:pos="8856" w:val="right" w:leader="dot"/>
        </w:tabs>
      </w:pPr>
      <w:hyperlink w:anchor="_NAESTMA_TOC_2095" w:history="1">
        <w:r>
          <w:rPr>
            <w:color w:val="466B7A"/>
          </w:rPr>
          <w:t>68.37. Measurement Integrity.</w:t>
        </w:r>
      </w:hyperlink>
      <w:r>
        <w:tab/>
      </w:r>
      <w:r>
        <w:rPr>
          <w:rFonts w:ascii="Arial" w:hAnsi="Arial"/>
        </w:rPr>
        <w:t>1547</w:t>
      </w:r>
    </w:p>
    <w:p>
      <w:pPr>
        <w:pStyle w:val="TOC2"/>
        <w:widowControl/>
        <w:tabs>
          <w:tab w:pos="8856" w:val="right" w:leader="dot"/>
        </w:tabs>
      </w:pPr>
      <w:hyperlink w:anchor="_NAESTMA_TOC_2096" w:history="1">
        <w:r>
          <w:rPr>
            <w:color w:val="466B7A"/>
          </w:rPr>
          <w:t>68.38. Recovery-Plan Implementation Review.</w:t>
        </w:r>
      </w:hyperlink>
      <w:r>
        <w:tab/>
      </w:r>
      <w:r>
        <w:rPr>
          <w:rFonts w:ascii="Arial" w:hAnsi="Arial"/>
        </w:rPr>
        <w:t>1547</w:t>
      </w:r>
    </w:p>
    <w:p>
      <w:pPr>
        <w:pStyle w:val="TOC2"/>
        <w:widowControl/>
        <w:tabs>
          <w:tab w:pos="8856" w:val="right" w:leader="dot"/>
        </w:tabs>
      </w:pPr>
      <w:hyperlink w:anchor="_NAESTMA_TOC_2097" w:history="1">
        <w:r>
          <w:rPr>
            <w:color w:val="466B7A"/>
          </w:rPr>
          <w:t>68.39. Fisher and Coastal-Community Transition.</w:t>
        </w:r>
      </w:hyperlink>
      <w:r>
        <w:tab/>
      </w:r>
      <w:r>
        <w:rPr>
          <w:rFonts w:ascii="Arial" w:hAnsi="Arial"/>
        </w:rPr>
        <w:t>1547</w:t>
      </w:r>
    </w:p>
    <w:p>
      <w:pPr>
        <w:pStyle w:val="TOC2"/>
        <w:widowControl/>
        <w:tabs>
          <w:tab w:pos="8856" w:val="right" w:leader="dot"/>
        </w:tabs>
      </w:pPr>
      <w:hyperlink w:anchor="_NAESTMA_TOC_2098" w:history="1">
        <w:r>
          <w:rPr>
            <w:color w:val="466B7A"/>
          </w:rPr>
          <w:t>68.40. No Compensation for Ordinary Compliance.</w:t>
        </w:r>
      </w:hyperlink>
      <w:r>
        <w:tab/>
      </w:r>
      <w:r>
        <w:rPr>
          <w:rFonts w:ascii="Arial" w:hAnsi="Arial"/>
        </w:rPr>
        <w:t>1547</w:t>
      </w:r>
    </w:p>
    <w:p>
      <w:pPr>
        <w:pStyle w:val="TOC2"/>
        <w:widowControl/>
        <w:tabs>
          <w:tab w:pos="8856" w:val="right" w:leader="dot"/>
        </w:tabs>
      </w:pPr>
      <w:hyperlink w:anchor="_NAESTMA_TOC_2099" w:history="1">
        <w:r>
          <w:rPr>
            <w:color w:val="466B7A"/>
          </w:rPr>
          <w:t>68.41. Extraordinary Transition Assistance.</w:t>
        </w:r>
      </w:hyperlink>
      <w:r>
        <w:tab/>
      </w:r>
      <w:r>
        <w:rPr>
          <w:rFonts w:ascii="Arial" w:hAnsi="Arial"/>
        </w:rPr>
        <w:t>1547</w:t>
      </w:r>
    </w:p>
    <w:p>
      <w:pPr>
        <w:pStyle w:val="TOC2"/>
        <w:widowControl/>
        <w:tabs>
          <w:tab w:pos="8856" w:val="right" w:leader="dot"/>
        </w:tabs>
      </w:pPr>
      <w:hyperlink w:anchor="_NAESTMA_TOC_2100" w:history="1">
        <w:r>
          <w:rPr>
            <w:color w:val="466B7A"/>
          </w:rPr>
          <w:t>68.42. Whale-Safe Procurement and Certification.</w:t>
        </w:r>
      </w:hyperlink>
      <w:r>
        <w:tab/>
      </w:r>
      <w:r>
        <w:rPr>
          <w:rFonts w:ascii="Arial" w:hAnsi="Arial"/>
        </w:rPr>
        <w:t>1547</w:t>
      </w:r>
    </w:p>
    <w:p>
      <w:pPr>
        <w:pStyle w:val="TOC2"/>
        <w:widowControl/>
        <w:tabs>
          <w:tab w:pos="8856" w:val="right" w:leader="dot"/>
        </w:tabs>
      </w:pPr>
      <w:hyperlink w:anchor="_NAESTMA_TOC_2101" w:history="1">
        <w:r>
          <w:rPr>
            <w:color w:val="466B7A"/>
          </w:rPr>
          <w:t>68.43. No Arbitrary Whale-Based Trade Restriction.</w:t>
        </w:r>
      </w:hyperlink>
      <w:r>
        <w:tab/>
      </w:r>
      <w:r>
        <w:rPr>
          <w:rFonts w:ascii="Arial" w:hAnsi="Arial"/>
        </w:rPr>
        <w:t>1547</w:t>
      </w:r>
    </w:p>
    <w:p>
      <w:pPr>
        <w:pStyle w:val="TOC2"/>
        <w:widowControl/>
        <w:tabs>
          <w:tab w:pos="8856" w:val="right" w:leader="dot"/>
        </w:tabs>
      </w:pPr>
      <w:hyperlink w:anchor="_NAESTMA_TOC_2102" w:history="1">
        <w:r>
          <w:rPr>
            <w:color w:val="466B7A"/>
          </w:rPr>
          <w:t>68.44. Domestic Enforcement and Due Process.</w:t>
        </w:r>
      </w:hyperlink>
      <w:r>
        <w:tab/>
      </w:r>
      <w:r>
        <w:rPr>
          <w:rFonts w:ascii="Arial" w:hAnsi="Arial"/>
        </w:rPr>
        <w:t>1547</w:t>
      </w:r>
    </w:p>
    <w:p>
      <w:pPr>
        <w:pStyle w:val="TOC2"/>
        <w:widowControl/>
        <w:tabs>
          <w:tab w:pos="8856" w:val="right" w:leader="dot"/>
        </w:tabs>
      </w:pPr>
      <w:hyperlink w:anchor="_NAESTMA_TOC_2103" w:history="1">
        <w:r>
          <w:rPr>
            <w:color w:val="466B7A"/>
          </w:rPr>
          <w:t>68.45. Whale Disputes Stay in Whale Machinery.</w:t>
        </w:r>
      </w:hyperlink>
      <w:r>
        <w:tab/>
      </w:r>
      <w:r>
        <w:rPr>
          <w:rFonts w:ascii="Arial" w:hAnsi="Arial"/>
        </w:rPr>
        <w:t>1547</w:t>
      </w:r>
    </w:p>
    <w:p>
      <w:pPr>
        <w:pStyle w:val="TOC2"/>
        <w:widowControl/>
        <w:tabs>
          <w:tab w:pos="8856" w:val="right" w:leader="dot"/>
        </w:tabs>
      </w:pPr>
      <w:hyperlink w:anchor="_NAESTMA_TOC_2104" w:history="1">
        <w:r>
          <w:rPr>
            <w:color w:val="466B7A"/>
          </w:rPr>
          <w:t>68.46. No Unrelated Tariff Retaliation.</w:t>
        </w:r>
      </w:hyperlink>
      <w:r>
        <w:tab/>
      </w:r>
      <w:r>
        <w:rPr>
          <w:rFonts w:ascii="Arial" w:hAnsi="Arial"/>
        </w:rPr>
        <w:t>1547</w:t>
      </w:r>
    </w:p>
    <w:p>
      <w:pPr>
        <w:pStyle w:val="TOC2"/>
        <w:widowControl/>
        <w:tabs>
          <w:tab w:pos="8856" w:val="right" w:leader="dot"/>
        </w:tabs>
      </w:pPr>
      <w:hyperlink w:anchor="_NAESTMA_TOC_2105" w:history="1">
        <w:r>
          <w:rPr>
            <w:color w:val="466B7A"/>
          </w:rPr>
          <w:t>68.47. Verification, Consultation and Cure.</w:t>
        </w:r>
      </w:hyperlink>
      <w:r>
        <w:tab/>
      </w:r>
      <w:r>
        <w:rPr>
          <w:rFonts w:ascii="Arial" w:hAnsi="Arial"/>
        </w:rPr>
        <w:t>1547</w:t>
      </w:r>
    </w:p>
    <w:p>
      <w:pPr>
        <w:pStyle w:val="TOC2"/>
        <w:widowControl/>
        <w:tabs>
          <w:tab w:pos="8856" w:val="right" w:leader="dot"/>
        </w:tabs>
      </w:pPr>
      <w:hyperlink w:anchor="_NAESTMA_TOC_2106" w:history="1">
        <w:r>
          <w:rPr>
            <w:color w:val="466B7A"/>
          </w:rPr>
          <w:t>68.48. Periodic Review and Adaptive Revision.</w:t>
        </w:r>
      </w:hyperlink>
      <w:r>
        <w:tab/>
      </w:r>
      <w:r>
        <w:rPr>
          <w:rFonts w:ascii="Arial" w:hAnsi="Arial"/>
        </w:rPr>
        <w:t>1547</w:t>
      </w:r>
    </w:p>
    <w:p>
      <w:pPr>
        <w:pStyle w:val="TOC2"/>
        <w:widowControl/>
        <w:tabs>
          <w:tab w:pos="8856" w:val="right" w:leader="dot"/>
        </w:tabs>
      </w:pPr>
      <w:hyperlink w:anchor="_NAESTMA_TOC_2107" w:history="1">
        <w:r>
          <w:rPr>
            <w:color w:val="466B7A"/>
          </w:rPr>
          <w:t>68.49. Cetacean Emergency Recovery Escalation.</w:t>
        </w:r>
      </w:hyperlink>
      <w:r>
        <w:tab/>
      </w:r>
      <w:r>
        <w:rPr>
          <w:rFonts w:ascii="Arial" w:hAnsi="Arial"/>
        </w:rPr>
        <w:t>1548</w:t>
      </w:r>
    </w:p>
    <w:p>
      <w:pPr>
        <w:pStyle w:val="TOC2"/>
        <w:widowControl/>
        <w:tabs>
          <w:tab w:pos="8856" w:val="right" w:leader="dot"/>
        </w:tabs>
      </w:pPr>
      <w:hyperlink w:anchor="_NAESTMA_TOC_2108" w:history="1">
        <w:r>
          <w:rPr>
            <w:color w:val="466B7A"/>
          </w:rPr>
          <w:t>ANNEX 68-A — OPERATIONAL CETACEAN PROTECTION REGISTER (139 MECHANISMS)</w:t>
        </w:r>
      </w:hyperlink>
      <w:r>
        <w:tab/>
      </w:r>
      <w:r>
        <w:rPr>
          <w:rFonts w:ascii="Arial" w:hAnsi="Arial"/>
        </w:rPr>
        <w:t>1548</w:t>
      </w:r>
    </w:p>
    <w:p>
      <w:pPr>
        <w:pStyle w:val="TOC2"/>
        <w:widowControl/>
        <w:tabs>
          <w:tab w:pos="8856" w:val="right" w:leader="dot"/>
        </w:tabs>
      </w:pPr>
      <w:hyperlink w:anchor="_NAESTMA_TOC_2109" w:history="1">
        <w:r>
          <w:rPr>
            <w:color w:val="466B7A"/>
          </w:rPr>
          <w:t>ANNEX 68-B — INITIAL SPECIES, GEOGRAPHIC AND PROGRAM SCHEDULE (90 ACTIVE CANDIDATES)</w:t>
        </w:r>
      </w:hyperlink>
      <w:r>
        <w:tab/>
      </w:r>
      <w:r>
        <w:rPr>
          <w:rFonts w:ascii="Arial" w:hAnsi="Arial"/>
        </w:rPr>
        <w:t>1554</w:t>
      </w:r>
    </w:p>
    <w:p>
      <w:pPr>
        <w:pStyle w:val="TOC2"/>
        <w:widowControl/>
        <w:tabs>
          <w:tab w:pos="8856" w:val="right" w:leader="dot"/>
        </w:tabs>
      </w:pPr>
      <w:hyperlink w:anchor="_NAESTMA_TOC_2110" w:history="1">
        <w:r>
          <w:rPr>
            <w:color w:val="466B7A"/>
          </w:rPr>
          <w:t>ANNEX 68-C — OPTIONAL DEVELOPMENT AND CONTROLLED-MECHANISM RESERVE (28 ITEMS)</w:t>
        </w:r>
      </w:hyperlink>
      <w:r>
        <w:tab/>
      </w:r>
      <w:r>
        <w:rPr>
          <w:rFonts w:ascii="Arial" w:hAnsi="Arial"/>
        </w:rPr>
        <w:t>1558</w:t>
      </w:r>
    </w:p>
    <w:p>
      <w:pPr>
        <w:pStyle w:val="TOC2"/>
        <w:widowControl/>
        <w:tabs>
          <w:tab w:pos="8856" w:val="right" w:leader="dot"/>
        </w:tabs>
      </w:pPr>
      <w:hyperlink w:anchor="_NAESTMA_TOC_2111" w:history="1">
        <w:r>
          <w:rPr>
            <w:color w:val="466B7A"/>
          </w:rPr>
          <w:t>ANNEX 68-D — VISIBLE GREAT WHALE COMPACT WINS (32-ITEM OVERLAY)</w:t>
        </w:r>
      </w:hyperlink>
      <w:r>
        <w:tab/>
      </w:r>
      <w:r>
        <w:rPr>
          <w:rFonts w:ascii="Arial" w:hAnsi="Arial"/>
        </w:rPr>
        <w:t>1560</w:t>
      </w:r>
    </w:p>
    <w:p>
      <w:pPr>
        <w:pStyle w:val="TOC2"/>
        <w:widowControl/>
        <w:tabs>
          <w:tab w:pos="8856" w:val="right" w:leader="dot"/>
        </w:tabs>
      </w:pPr>
      <w:hyperlink w:anchor="_NAESTMA_TOC_2112" w:history="1">
        <w:r>
          <w:rPr>
            <w:color w:val="466B7A"/>
          </w:rPr>
          <w:t>ANNEX 68-E — SCIENTIFIC, PROJECT, CLAIM AND RESEARCH VERIFICATION</w:t>
        </w:r>
      </w:hyperlink>
      <w:r>
        <w:tab/>
      </w:r>
      <w:r>
        <w:rPr>
          <w:rFonts w:ascii="Arial" w:hAnsi="Arial"/>
        </w:rPr>
        <w:t>1561</w:t>
      </w:r>
    </w:p>
    <w:p>
      <w:pPr>
        <w:pStyle w:val="TOC1"/>
        <w:widowControl/>
        <w:tabs>
          <w:tab w:pos="8856" w:val="right" w:leader="dot"/>
        </w:tabs>
      </w:pPr>
      <w:hyperlink w:anchor="_NAESTMA_TOC_2113" w:history="1">
        <w:r>
          <w:rPr>
            <w:color w:val="233746"/>
          </w:rPr>
          <w:t>AMENDMENT LEDGER — NORTH AMERICAN ECONOMIC SECURITY AND TRADE MODERNIZATION AGREEMENT v8.9</w:t>
        </w:r>
      </w:hyperlink>
      <w:r>
        <w:tab/>
      </w:r>
      <w:r>
        <w:rPr>
          <w:rFonts w:ascii="Arial" w:hAnsi="Arial"/>
        </w:rPr>
        <w:t>1562</w:t>
      </w:r>
    </w:p>
    <w:p>
      <w:pPr>
        <w:pStyle w:val="TOC2"/>
        <w:widowControl/>
        <w:tabs>
          <w:tab w:pos="8856" w:val="right" w:leader="dot"/>
        </w:tabs>
      </w:pPr>
      <w:hyperlink w:anchor="_NAESTMA_TOC_2114" w:history="1">
        <w:r>
          <w:rPr>
            <w:color w:val="466B7A"/>
          </w:rPr>
          <w:t>PACKAGE V — DURABILITY, PROCEDURAL EQUALITY, AND FRICTION REDUCTION (v4.2)</w:t>
        </w:r>
      </w:hyperlink>
      <w:r>
        <w:tab/>
      </w:r>
      <w:r>
        <w:rPr>
          <w:rFonts w:ascii="Arial" w:hAnsi="Arial"/>
        </w:rPr>
        <w:t>1563</w:t>
      </w:r>
    </w:p>
    <w:p>
      <w:pPr>
        <w:pStyle w:val="TOC2"/>
        <w:widowControl/>
        <w:tabs>
          <w:tab w:pos="8856" w:val="right" w:leader="dot"/>
        </w:tabs>
      </w:pPr>
      <w:hyperlink w:anchor="_NAESTMA_TOC_2115" w:history="1">
        <w:r>
          <w:rPr>
            <w:color w:val="466B7A"/>
          </w:rPr>
          <w:t>PACKAGE A — TREATY INTEGRITY AND TARIFF ARCHITECTURE (Chapters 1, 2, 32, 34, 35)</w:t>
        </w:r>
      </w:hyperlink>
      <w:r>
        <w:tab/>
      </w:r>
      <w:r>
        <w:rPr>
          <w:rFonts w:ascii="Arial" w:hAnsi="Arial"/>
        </w:rPr>
        <w:t>1564</w:t>
      </w:r>
    </w:p>
    <w:p>
      <w:pPr>
        <w:pStyle w:val="TOC2"/>
        <w:widowControl/>
        <w:tabs>
          <w:tab w:pos="8856" w:val="right" w:leader="dot"/>
        </w:tabs>
      </w:pPr>
      <w:hyperlink w:anchor="_NAESTMA_TOC_2116" w:history="1">
        <w:r>
          <w:rPr>
            <w:color w:val="466B7A"/>
          </w:rPr>
          <w:t>PACKAGE B — THE PROPORTIONAL TRADE ADJUSTMENT MECHANISM (Chapter 35)</w:t>
        </w:r>
      </w:hyperlink>
      <w:r>
        <w:tab/>
      </w:r>
      <w:r>
        <w:rPr>
          <w:rFonts w:ascii="Arial" w:hAnsi="Arial"/>
        </w:rPr>
        <w:t>1565</w:t>
      </w:r>
    </w:p>
    <w:p>
      <w:pPr>
        <w:pStyle w:val="TOC2"/>
        <w:widowControl/>
        <w:tabs>
          <w:tab w:pos="8856" w:val="right" w:leader="dot"/>
        </w:tabs>
      </w:pPr>
      <w:hyperlink w:anchor="_NAESTMA_TOC_2117" w:history="1">
        <w:r>
          <w:rPr>
            <w:color w:val="466B7A"/>
          </w:rPr>
          <w:t>PACKAGE C — MODERNIZED DISPUTE SETTLEMENT (Chapter 31)</w:t>
        </w:r>
      </w:hyperlink>
      <w:r>
        <w:tab/>
      </w:r>
      <w:r>
        <w:rPr>
          <w:rFonts w:ascii="Arial" w:hAnsi="Arial"/>
        </w:rPr>
        <w:t>1566</w:t>
      </w:r>
    </w:p>
    <w:p>
      <w:pPr>
        <w:pStyle w:val="TOC2"/>
        <w:widowControl/>
        <w:tabs>
          <w:tab w:pos="8856" w:val="right" w:leader="dot"/>
        </w:tabs>
      </w:pPr>
      <w:hyperlink w:anchor="_NAESTMA_TOC_2118" w:history="1">
        <w:r>
          <w:rPr>
            <w:color w:val="466B7A"/>
          </w:rPr>
          <w:t>PACKAGE D — RULES OF ORIGIN AND CUSTOMS MODERNIZATION (Chapters 4, 5, 7)</w:t>
        </w:r>
      </w:hyperlink>
      <w:r>
        <w:tab/>
      </w:r>
      <w:r>
        <w:rPr>
          <w:rFonts w:ascii="Arial" w:hAnsi="Arial"/>
        </w:rPr>
        <w:t>1566</w:t>
      </w:r>
    </w:p>
    <w:p>
      <w:pPr>
        <w:pStyle w:val="TOC2"/>
        <w:widowControl/>
        <w:tabs>
          <w:tab w:pos="8856" w:val="right" w:leader="dot"/>
        </w:tabs>
      </w:pPr>
      <w:hyperlink w:anchor="_NAESTMA_TOC_2119" w:history="1">
        <w:r>
          <w:rPr>
            <w:color w:val="466B7A"/>
          </w:rPr>
          <w:t>PACKAGE E — ECONOMIC SECURITY, MINERALS, CONTINUITY, TECHNOLOGY, ENERGY (Chapters 36–40)</w:t>
        </w:r>
      </w:hyperlink>
      <w:r>
        <w:tab/>
      </w:r>
      <w:r>
        <w:rPr>
          <w:rFonts w:ascii="Arial" w:hAnsi="Arial"/>
        </w:rPr>
        <w:t>1567</w:t>
      </w:r>
    </w:p>
    <w:p>
      <w:pPr>
        <w:pStyle w:val="TOC2"/>
        <w:widowControl/>
        <w:tabs>
          <w:tab w:pos="8856" w:val="right" w:leader="dot"/>
        </w:tabs>
      </w:pPr>
      <w:hyperlink w:anchor="_NAESTMA_TOC_2120" w:history="1">
        <w:r>
          <w:rPr>
            <w:color w:val="466B7A"/>
          </w:rPr>
          <w:t>PACKAGE F — TRADE REMEDIES, LABOUR, ENVIRONMENT, DIGITAL, INSTITUTIONS, FINAL PROVISIONS</w:t>
        </w:r>
      </w:hyperlink>
      <w:r>
        <w:tab/>
      </w:r>
      <w:r>
        <w:rPr>
          <w:rFonts w:ascii="Arial" w:hAnsi="Arial"/>
        </w:rPr>
        <w:t>1568</w:t>
      </w:r>
    </w:p>
    <w:p>
      <w:pPr>
        <w:pStyle w:val="TOC2"/>
        <w:widowControl/>
        <w:tabs>
          <w:tab w:pos="8856" w:val="right" w:leader="dot"/>
        </w:tabs>
      </w:pPr>
      <w:hyperlink w:anchor="_NAESTMA_TOC_2121" w:history="1">
        <w:r>
          <w:rPr>
            <w:color w:val="466B7A"/>
          </w:rPr>
          <w:t>PACKAGE W — SOFTWOOD LUMBER, HOUSING SUPPLY, AND FORESTRY STABILITY (v4.2-L)</w:t>
        </w:r>
      </w:hyperlink>
      <w:r>
        <w:tab/>
      </w:r>
      <w:r>
        <w:rPr>
          <w:rFonts w:ascii="Arial" w:hAnsi="Arial"/>
        </w:rPr>
        <w:t>1569</w:t>
      </w:r>
    </w:p>
    <w:p>
      <w:pPr>
        <w:pStyle w:val="TOC2"/>
        <w:widowControl/>
        <w:tabs>
          <w:tab w:pos="8856" w:val="right" w:leader="dot"/>
        </w:tabs>
      </w:pPr>
      <w:hyperlink w:anchor="_NAESTMA_TOC_2122" w:history="1">
        <w:r>
          <w:rPr>
            <w:color w:val="466B7A"/>
          </w:rPr>
          <w:t>PACKAGE W — PRELIMINARY STRATEGIC MINERALS, SEMICONDUCTOR, AND FORESTRY BARGAIN…</w:t>
        </w:r>
      </w:hyperlink>
      <w:r>
        <w:tab/>
      </w:r>
      <w:r>
        <w:rPr>
          <w:rFonts w:ascii="Arial" w:hAnsi="Arial"/>
        </w:rPr>
        <w:t>1569</w:t>
      </w:r>
    </w:p>
    <w:p>
      <w:pPr>
        <w:pStyle w:val="TOC2"/>
        <w:widowControl/>
        <w:tabs>
          <w:tab w:pos="8856" w:val="right" w:leader="dot"/>
        </w:tabs>
      </w:pPr>
      <w:hyperlink w:anchor="_NAESTMA_TOC_2123" w:history="1">
        <w:r>
          <w:rPr>
            <w:color w:val="466B7A"/>
          </w:rPr>
          <w:t>PACKAGE AB — MEXICO PARITY, TRILATERAL PROCUREMENT, FORESTRY INTEGRATION, AND…</w:t>
        </w:r>
      </w:hyperlink>
      <w:r>
        <w:tab/>
      </w:r>
      <w:r>
        <w:rPr>
          <w:rFonts w:ascii="Arial" w:hAnsi="Arial"/>
        </w:rPr>
        <w:t>1569</w:t>
      </w:r>
    </w:p>
    <w:p>
      <w:pPr>
        <w:pStyle w:val="TOC2"/>
        <w:widowControl/>
        <w:tabs>
          <w:tab w:pos="8856" w:val="right" w:leader="dot"/>
        </w:tabs>
      </w:pPr>
      <w:hyperlink w:anchor="_NAESTMA_TOC_2124" w:history="1">
        <w:r>
          <w:rPr>
            <w:color w:val="466B7A"/>
          </w:rPr>
          <w:t>PACKAGE AE — SYNCHRONIZED EXCHANGE, STRATEGIC MATERIALS PREFERRED ACCESS, AND FORESTRY…</w:t>
        </w:r>
      </w:hyperlink>
      <w:r>
        <w:tab/>
      </w:r>
      <w:r>
        <w:rPr>
          <w:rFonts w:ascii="Arial" w:hAnsi="Arial"/>
        </w:rPr>
        <w:t>1569</w:t>
      </w:r>
    </w:p>
    <w:p>
      <w:pPr>
        <w:pStyle w:val="TOC2"/>
        <w:widowControl/>
        <w:tabs>
          <w:tab w:pos="8856" w:val="right" w:leader="dot"/>
        </w:tabs>
      </w:pPr>
      <w:hyperlink w:anchor="_NAESTMA_TOC_2125" w:history="1">
        <w:r>
          <w:rPr>
            <w:color w:val="466B7A"/>
          </w:rPr>
          <w:t>UNRESOLVED ITEMS AND DELIBERATE OMISSIONS</w:t>
        </w:r>
      </w:hyperlink>
      <w:r>
        <w:tab/>
      </w:r>
      <w:r>
        <w:rPr>
          <w:rFonts w:ascii="Arial" w:hAnsi="Arial"/>
        </w:rPr>
        <w:t>1574</w:t>
      </w:r>
    </w:p>
    <w:p>
      <w:pPr>
        <w:pStyle w:val="TOC2"/>
        <w:widowControl/>
        <w:tabs>
          <w:tab w:pos="8856" w:val="right" w:leader="dot"/>
        </w:tabs>
      </w:pPr>
      <w:hyperlink w:anchor="_NAESTMA_TOC_2126" w:history="1">
        <w:r>
          <w:rPr>
            <w:color w:val="466B7A"/>
          </w:rPr>
          <w:t>PACKAGE Z — TARIFF FIREWALL, HUMANITARIAN PROTECTION, ENERGY OPTIONALITY, AND…</w:t>
        </w:r>
      </w:hyperlink>
      <w:r>
        <w:tab/>
      </w:r>
      <w:r>
        <w:rPr>
          <w:rFonts w:ascii="Arial" w:hAnsi="Arial"/>
        </w:rPr>
        <w:t>1574</w:t>
      </w:r>
    </w:p>
    <w:p>
      <w:pPr>
        <w:pStyle w:val="TOC2"/>
        <w:widowControl/>
        <w:tabs>
          <w:tab w:pos="8856" w:val="right" w:leader="dot"/>
        </w:tabs>
      </w:pPr>
      <w:hyperlink w:anchor="_NAESTMA_TOC_2127" w:history="1">
        <w:r>
          <w:rPr>
            <w:color w:val="466B7A"/>
          </w:rPr>
          <w:t>PACKAGE Y — INTEGRATED OPERATIONAL HARDENING AND INTERIM TARIFF-DURABILITY AMENDMENTS…</w:t>
        </w:r>
      </w:hyperlink>
      <w:r>
        <w:tab/>
      </w:r>
      <w:r>
        <w:rPr>
          <w:rFonts w:ascii="Arial" w:hAnsi="Arial"/>
        </w:rPr>
        <w:t>1575</w:t>
      </w:r>
    </w:p>
    <w:p>
      <w:pPr>
        <w:pStyle w:val="TOC1"/>
        <w:widowControl/>
        <w:tabs>
          <w:tab w:pos="8856" w:val="right" w:leader="dot"/>
        </w:tabs>
      </w:pPr>
      <w:hyperlink w:anchor="_NAESTMA_TOC_2128" w:history="1">
        <w:r>
          <w:rPr>
            <w:color w:val="233746"/>
          </w:rPr>
          <w:t>PACKAGE BA — NORTH AMERICAN STRATEGIC MINERALS, PROCESSING, CIRCULARITY AND SUPPLY RESILIENCE…</w:t>
        </w:r>
      </w:hyperlink>
      <w:r>
        <w:tab/>
      </w:r>
      <w:r>
        <w:rPr>
          <w:rFonts w:ascii="Arial" w:hAnsi="Arial"/>
        </w:rPr>
        <w:t>1588</w:t>
      </w:r>
    </w:p>
    <w:p>
      <w:pPr>
        <w:pStyle w:val="TOC2"/>
        <w:widowControl/>
        <w:tabs>
          <w:tab w:pos="8856" w:val="right" w:leader="dot"/>
        </w:tabs>
      </w:pPr>
      <w:hyperlink w:anchor="_NAESTMA_TOC_2129" w:history="1">
        <w:r>
          <w:rPr>
            <w:color w:val="466B7A"/>
          </w:rPr>
          <w:t>BA-1 Resource Sovereignty and No Compulsory Extraction</w:t>
        </w:r>
      </w:hyperlink>
      <w:r>
        <w:tab/>
      </w:r>
      <w:r>
        <w:rPr>
          <w:rFonts w:ascii="Arial" w:hAnsi="Arial"/>
        </w:rPr>
        <w:t>1588</w:t>
      </w:r>
    </w:p>
    <w:p>
      <w:pPr>
        <w:pStyle w:val="TOC2"/>
        <w:widowControl/>
        <w:tabs>
          <w:tab w:pos="8856" w:val="right" w:leader="dot"/>
        </w:tabs>
      </w:pPr>
      <w:hyperlink w:anchor="_NAESTMA_TOC_2130" w:history="1">
        <w:r>
          <w:rPr>
            <w:color w:val="466B7A"/>
          </w:rPr>
          <w:t>BA-2 Mine-to-Manufacture Value Capture</w:t>
        </w:r>
      </w:hyperlink>
      <w:r>
        <w:tab/>
      </w:r>
      <w:r>
        <w:rPr>
          <w:rFonts w:ascii="Arial" w:hAnsi="Arial"/>
        </w:rPr>
        <w:t>1588</w:t>
      </w:r>
    </w:p>
    <w:p>
      <w:pPr>
        <w:pStyle w:val="TOC2"/>
        <w:widowControl/>
        <w:tabs>
          <w:tab w:pos="8856" w:val="right" w:leader="dot"/>
        </w:tabs>
      </w:pPr>
      <w:hyperlink w:anchor="_NAESTMA_TOC_2131" w:history="1">
        <w:r>
          <w:rPr>
            <w:color w:val="466B7A"/>
          </w:rPr>
          <w:t>BA-3 Distributed Redundancy</w:t>
        </w:r>
      </w:hyperlink>
      <w:r>
        <w:tab/>
      </w:r>
      <w:r>
        <w:rPr>
          <w:rFonts w:ascii="Arial" w:hAnsi="Arial"/>
        </w:rPr>
        <w:t>1588</w:t>
      </w:r>
    </w:p>
    <w:p>
      <w:pPr>
        <w:pStyle w:val="TOC2"/>
        <w:widowControl/>
        <w:tabs>
          <w:tab w:pos="8856" w:val="right" w:leader="dot"/>
        </w:tabs>
      </w:pPr>
      <w:hyperlink w:anchor="_NAESTMA_TOC_2132" w:history="1">
        <w:r>
          <w:rPr>
            <w:color w:val="466B7A"/>
          </w:rPr>
          <w:t>BA-4 Trusted External Feedstock Safe Harbour</w:t>
        </w:r>
      </w:hyperlink>
      <w:r>
        <w:tab/>
      </w:r>
      <w:r>
        <w:rPr>
          <w:rFonts w:ascii="Arial" w:hAnsi="Arial"/>
        </w:rPr>
        <w:t>1588</w:t>
      </w:r>
    </w:p>
    <w:p>
      <w:pPr>
        <w:pStyle w:val="TOC2"/>
        <w:widowControl/>
        <w:tabs>
          <w:tab w:pos="8856" w:val="right" w:leader="dot"/>
        </w:tabs>
      </w:pPr>
      <w:hyperlink w:anchor="_NAESTMA_TOC_2133" w:history="1">
        <w:r>
          <w:rPr>
            <w:color w:val="466B7A"/>
          </w:rPr>
          <w:t>BA-5 No Uncompensated Front-Loading</w:t>
        </w:r>
      </w:hyperlink>
      <w:r>
        <w:tab/>
      </w:r>
      <w:r>
        <w:rPr>
          <w:rFonts w:ascii="Arial" w:hAnsi="Arial"/>
        </w:rPr>
        <w:t>1588</w:t>
      </w:r>
    </w:p>
    <w:p>
      <w:pPr>
        <w:pStyle w:val="TOC2"/>
        <w:widowControl/>
        <w:tabs>
          <w:tab w:pos="8856" w:val="right" w:leader="dot"/>
        </w:tabs>
      </w:pPr>
      <w:hyperlink w:anchor="_NAESTMA_TOC_2134" w:history="1">
        <w:r>
          <w:rPr>
            <w:color w:val="466B7A"/>
          </w:rPr>
          <w:t>BA-6 Market Integrity and Anti-Cartel Firewall</w:t>
        </w:r>
      </w:hyperlink>
      <w:r>
        <w:tab/>
      </w:r>
      <w:r>
        <w:rPr>
          <w:rFonts w:ascii="Arial" w:hAnsi="Arial"/>
        </w:rPr>
        <w:t>1588</w:t>
      </w:r>
    </w:p>
    <w:p>
      <w:pPr>
        <w:pStyle w:val="TOC2"/>
        <w:widowControl/>
        <w:tabs>
          <w:tab w:pos="8856" w:val="right" w:leader="dot"/>
        </w:tabs>
      </w:pPr>
      <w:hyperlink w:anchor="_NAESTMA_TOC_2135" w:history="1">
        <w:r>
          <w:rPr>
            <w:color w:val="466B7A"/>
          </w:rPr>
          <w:t>BA-7 High-Standard Permitting and Indigenous/Community Participation</w:t>
        </w:r>
      </w:hyperlink>
      <w:r>
        <w:tab/>
      </w:r>
      <w:r>
        <w:rPr>
          <w:rFonts w:ascii="Arial" w:hAnsi="Arial"/>
        </w:rPr>
        <w:t>1588</w:t>
      </w:r>
    </w:p>
    <w:p>
      <w:pPr>
        <w:pStyle w:val="TOC2"/>
        <w:widowControl/>
        <w:tabs>
          <w:tab w:pos="8856" w:val="right" w:leader="dot"/>
        </w:tabs>
      </w:pPr>
      <w:hyperlink w:anchor="_NAESTMA_TOC_2136" w:history="1">
        <w:r>
          <w:rPr>
            <w:color w:val="466B7A"/>
          </w:rPr>
          <w:t>BA-8 Technology and Intellectual Property</w:t>
        </w:r>
      </w:hyperlink>
      <w:r>
        <w:tab/>
      </w:r>
      <w:r>
        <w:rPr>
          <w:rFonts w:ascii="Arial" w:hAnsi="Arial"/>
        </w:rPr>
        <w:t>1588</w:t>
      </w:r>
    </w:p>
    <w:p>
      <w:pPr>
        <w:pStyle w:val="TOC2"/>
        <w:widowControl/>
        <w:tabs>
          <w:tab w:pos="8856" w:val="right" w:leader="dot"/>
        </w:tabs>
      </w:pPr>
      <w:hyperlink w:anchor="_NAESTMA_TOC_2137" w:history="1">
        <w:r>
          <w:rPr>
            <w:color w:val="466B7A"/>
          </w:rPr>
          <w:t>BA-9 Provenance Transparency</w:t>
        </w:r>
      </w:hyperlink>
      <w:r>
        <w:tab/>
      </w:r>
      <w:r>
        <w:rPr>
          <w:rFonts w:ascii="Arial" w:hAnsi="Arial"/>
        </w:rPr>
        <w:t>1589</w:t>
      </w:r>
    </w:p>
    <w:p>
      <w:pPr>
        <w:pStyle w:val="TOC2"/>
        <w:widowControl/>
        <w:tabs>
          <w:tab w:pos="8856" w:val="right" w:leader="dot"/>
        </w:tabs>
      </w:pPr>
      <w:hyperlink w:anchor="_NAESTMA_TOC_2138" w:history="1">
        <w:r>
          <w:rPr>
            <w:color w:val="466B7A"/>
          </w:rPr>
          <w:t>BA-10 Existing-Institution Implementation</w:t>
        </w:r>
      </w:hyperlink>
      <w:r>
        <w:tab/>
      </w:r>
      <w:r>
        <w:rPr>
          <w:rFonts w:ascii="Arial" w:hAnsi="Arial"/>
        </w:rPr>
        <w:t>1589</w:t>
      </w:r>
    </w:p>
    <w:p>
      <w:pPr>
        <w:pStyle w:val="TOC2"/>
        <w:widowControl/>
        <w:tabs>
          <w:tab w:pos="8856" w:val="right" w:leader="dot"/>
        </w:tabs>
      </w:pPr>
      <w:hyperlink w:anchor="_NAESTMA_TOC_2139" w:history="1">
        <w:r>
          <w:rPr>
            <w:color w:val="466B7A"/>
          </w:rPr>
          <w:t>BA-11 Strategic Stockpiles and Surge Capacity</w:t>
        </w:r>
      </w:hyperlink>
      <w:r>
        <w:tab/>
      </w:r>
      <w:r>
        <w:rPr>
          <w:rFonts w:ascii="Arial" w:hAnsi="Arial"/>
        </w:rPr>
        <w:t>1589</w:t>
      </w:r>
    </w:p>
    <w:p>
      <w:pPr>
        <w:pStyle w:val="TOC2"/>
        <w:widowControl/>
        <w:tabs>
          <w:tab w:pos="8856" w:val="right" w:leader="dot"/>
        </w:tabs>
      </w:pPr>
      <w:hyperlink w:anchor="_NAESTMA_TOC_2140" w:history="1">
        <w:r>
          <w:rPr>
            <w:color w:val="466B7A"/>
          </w:rPr>
          <w:t>BA-12 Cross-Sector Earned Benefits</w:t>
        </w:r>
      </w:hyperlink>
      <w:r>
        <w:tab/>
      </w:r>
      <w:r>
        <w:rPr>
          <w:rFonts w:ascii="Arial" w:hAnsi="Arial"/>
        </w:rPr>
        <w:t>1589</w:t>
      </w:r>
    </w:p>
    <w:p>
      <w:pPr>
        <w:pStyle w:val="TOC2"/>
        <w:widowControl/>
        <w:tabs>
          <w:tab w:pos="8856" w:val="right" w:leader="dot"/>
        </w:tabs>
      </w:pPr>
      <w:hyperlink w:anchor="_NAESTMA_TOC_2141" w:history="1">
        <w:r>
          <w:rPr>
            <w:color w:val="466B7A"/>
          </w:rPr>
          <w:t>BA-13 Humanitarian and Sovereign Powers Firewall</w:t>
        </w:r>
      </w:hyperlink>
      <w:r>
        <w:tab/>
      </w:r>
      <w:r>
        <w:rPr>
          <w:rFonts w:ascii="Arial" w:hAnsi="Arial"/>
        </w:rPr>
        <w:t>1589</w:t>
      </w:r>
    </w:p>
    <w:p>
      <w:pPr>
        <w:pStyle w:val="TOC2"/>
        <w:widowControl/>
        <w:tabs>
          <w:tab w:pos="8856" w:val="right" w:leader="dot"/>
        </w:tabs>
      </w:pPr>
      <w:hyperlink w:anchor="_NAESTMA_TOC_2142" w:history="1">
        <w:r>
          <w:rPr>
            <w:color w:val="466B7A"/>
          </w:rPr>
          <w:t>BA-14 Discoverability</w:t>
        </w:r>
      </w:hyperlink>
      <w:r>
        <w:tab/>
      </w:r>
      <w:r>
        <w:rPr>
          <w:rFonts w:ascii="Arial" w:hAnsi="Arial"/>
        </w:rPr>
        <w:t>1589</w:t>
      </w:r>
    </w:p>
    <w:p>
      <w:pPr>
        <w:pStyle w:val="TOC1"/>
        <w:widowControl/>
        <w:tabs>
          <w:tab w:pos="8856" w:val="right" w:leader="dot"/>
        </w:tabs>
      </w:pPr>
      <w:hyperlink w:anchor="_NAESTMA_TOC_2143" w:history="1">
        <w:r>
          <w:rPr>
            <w:color w:val="233746"/>
          </w:rPr>
          <w:t>PACKAGE BB — STRATEGIC MINERALS DEAL CATALOGUE (120 MECHANISMS)</w:t>
        </w:r>
      </w:hyperlink>
      <w:r>
        <w:tab/>
      </w:r>
      <w:r>
        <w:rPr>
          <w:rFonts w:ascii="Arial" w:hAnsi="Arial"/>
        </w:rPr>
        <w:t>1590</w:t>
      </w:r>
    </w:p>
    <w:p>
      <w:pPr>
        <w:pStyle w:val="TOC2"/>
        <w:widowControl/>
        <w:tabs>
          <w:tab w:pos="8856" w:val="right" w:leader="dot"/>
        </w:tabs>
      </w:pPr>
      <w:hyperlink w:anchor="_NAESTMA_TOC_2144" w:history="1">
        <w:r>
          <w:rPr>
            <w:color w:val="466B7A"/>
          </w:rPr>
          <w:t>BB-1. Tri-national copper smelting JV</w:t>
        </w:r>
      </w:hyperlink>
      <w:r>
        <w:tab/>
      </w:r>
      <w:r>
        <w:rPr>
          <w:rFonts w:ascii="Arial" w:hAnsi="Arial"/>
        </w:rPr>
        <w:t>1590</w:t>
      </w:r>
    </w:p>
    <w:p>
      <w:pPr>
        <w:pStyle w:val="TOC2"/>
        <w:widowControl/>
        <w:tabs>
          <w:tab w:pos="8856" w:val="right" w:leader="dot"/>
        </w:tabs>
      </w:pPr>
      <w:hyperlink w:anchor="_NAESTMA_TOC_2145" w:history="1">
        <w:r>
          <w:rPr>
            <w:color w:val="466B7A"/>
          </w:rPr>
          <w:t>BB-2. US-Mexico concentrate swap</w:t>
        </w:r>
      </w:hyperlink>
      <w:r>
        <w:tab/>
      </w:r>
      <w:r>
        <w:rPr>
          <w:rFonts w:ascii="Arial" w:hAnsi="Arial"/>
        </w:rPr>
        <w:t>1590</w:t>
      </w:r>
    </w:p>
    <w:p>
      <w:pPr>
        <w:pStyle w:val="TOC2"/>
        <w:widowControl/>
        <w:tabs>
          <w:tab w:pos="8856" w:val="right" w:leader="dot"/>
        </w:tabs>
      </w:pPr>
      <w:hyperlink w:anchor="_NAESTMA_TOC_2146" w:history="1">
        <w:r>
          <w:rPr>
            <w:color w:val="466B7A"/>
          </w:rPr>
          <w:t>BB-3. Canadian copper ore to Mexican processing</w:t>
        </w:r>
      </w:hyperlink>
      <w:r>
        <w:tab/>
      </w:r>
      <w:r>
        <w:rPr>
          <w:rFonts w:ascii="Arial" w:hAnsi="Arial"/>
        </w:rPr>
        <w:t>1590</w:t>
      </w:r>
    </w:p>
    <w:p>
      <w:pPr>
        <w:pStyle w:val="TOC2"/>
        <w:widowControl/>
        <w:tabs>
          <w:tab w:pos="8856" w:val="right" w:leader="dot"/>
        </w:tabs>
      </w:pPr>
      <w:hyperlink w:anchor="_NAESTMA_TOC_2147" w:history="1">
        <w:r>
          <w:rPr>
            <w:color w:val="466B7A"/>
          </w:rPr>
          <w:t>BB-4. US copper scrap-to-refined</w:t>
        </w:r>
      </w:hyperlink>
      <w:r>
        <w:tab/>
      </w:r>
      <w:r>
        <w:rPr>
          <w:rFonts w:ascii="Arial" w:hAnsi="Arial"/>
        </w:rPr>
        <w:t>1590</w:t>
      </w:r>
    </w:p>
    <w:p>
      <w:pPr>
        <w:pStyle w:val="TOC2"/>
        <w:widowControl/>
        <w:tabs>
          <w:tab w:pos="8856" w:val="right" w:leader="dot"/>
        </w:tabs>
      </w:pPr>
      <w:hyperlink w:anchor="_NAESTMA_TOC_2148" w:history="1">
        <w:r>
          <w:rPr>
            <w:color w:val="466B7A"/>
          </w:rPr>
          <w:t>BB-5. Tri-national copper tube &amp; wire JV</w:t>
        </w:r>
      </w:hyperlink>
      <w:r>
        <w:tab/>
      </w:r>
      <w:r>
        <w:rPr>
          <w:rFonts w:ascii="Arial" w:hAnsi="Arial"/>
        </w:rPr>
        <w:t>1590</w:t>
      </w:r>
    </w:p>
    <w:p>
      <w:pPr>
        <w:pStyle w:val="TOC2"/>
        <w:widowControl/>
        <w:tabs>
          <w:tab w:pos="8856" w:val="right" w:leader="dot"/>
        </w:tabs>
      </w:pPr>
      <w:hyperlink w:anchor="_NAESTMA_TOC_2149" w:history="1">
        <w:r>
          <w:rPr>
            <w:color w:val="466B7A"/>
          </w:rPr>
          <w:t>BB-6. Canadian copper mining tech transfer to Mexico</w:t>
        </w:r>
      </w:hyperlink>
      <w:r>
        <w:tab/>
      </w:r>
      <w:r>
        <w:rPr>
          <w:rFonts w:ascii="Arial" w:hAnsi="Arial"/>
        </w:rPr>
        <w:t>1590</w:t>
      </w:r>
    </w:p>
    <w:p>
      <w:pPr>
        <w:pStyle w:val="TOC2"/>
        <w:widowControl/>
        <w:tabs>
          <w:tab w:pos="8856" w:val="right" w:leader="dot"/>
        </w:tabs>
      </w:pPr>
      <w:hyperlink w:anchor="_NAESTMA_TOC_2150" w:history="1">
        <w:r>
          <w:rPr>
            <w:color w:val="466B7A"/>
          </w:rPr>
          <w:t>BB-7. US-Mexico copper concentrate processing expansion</w:t>
        </w:r>
      </w:hyperlink>
      <w:r>
        <w:tab/>
      </w:r>
      <w:r>
        <w:rPr>
          <w:rFonts w:ascii="Arial" w:hAnsi="Arial"/>
        </w:rPr>
        <w:t>1590</w:t>
      </w:r>
    </w:p>
    <w:p>
      <w:pPr>
        <w:pStyle w:val="TOC2"/>
        <w:widowControl/>
        <w:tabs>
          <w:tab w:pos="8856" w:val="right" w:leader="dot"/>
        </w:tabs>
      </w:pPr>
      <w:hyperlink w:anchor="_NAESTMA_TOC_2151" w:history="1">
        <w:r>
          <w:rPr>
            <w:color w:val="466B7A"/>
          </w:rPr>
          <w:t>BB-8. Tri-national copper cathode stockpile</w:t>
        </w:r>
      </w:hyperlink>
      <w:r>
        <w:tab/>
      </w:r>
      <w:r>
        <w:rPr>
          <w:rFonts w:ascii="Arial" w:hAnsi="Arial"/>
        </w:rPr>
        <w:t>1590</w:t>
      </w:r>
    </w:p>
    <w:p>
      <w:pPr>
        <w:pStyle w:val="TOC2"/>
        <w:widowControl/>
        <w:tabs>
          <w:tab w:pos="8856" w:val="right" w:leader="dot"/>
        </w:tabs>
      </w:pPr>
      <w:hyperlink w:anchor="_NAESTMA_TOC_2152" w:history="1">
        <w:r>
          <w:rPr>
            <w:color w:val="466B7A"/>
          </w:rPr>
          <w:t>BB-9. Canadian copper-gold tailings reprocessing</w:t>
        </w:r>
      </w:hyperlink>
      <w:r>
        <w:tab/>
      </w:r>
      <w:r>
        <w:rPr>
          <w:rFonts w:ascii="Arial" w:hAnsi="Arial"/>
        </w:rPr>
        <w:t>1590</w:t>
      </w:r>
    </w:p>
    <w:p>
      <w:pPr>
        <w:pStyle w:val="TOC2"/>
        <w:widowControl/>
        <w:tabs>
          <w:tab w:pos="8856" w:val="right" w:leader="dot"/>
        </w:tabs>
      </w:pPr>
      <w:hyperlink w:anchor="_NAESTMA_TOC_2153" w:history="1">
        <w:r>
          <w:rPr>
            <w:color w:val="466B7A"/>
          </w:rPr>
          <w:t>BB-10. Transparent Copper Price-Stability Architecture</w:t>
        </w:r>
      </w:hyperlink>
      <w:r>
        <w:tab/>
      </w:r>
      <w:r>
        <w:rPr>
          <w:rFonts w:ascii="Arial" w:hAnsi="Arial"/>
        </w:rPr>
        <w:t>1590</w:t>
      </w:r>
    </w:p>
    <w:p>
      <w:pPr>
        <w:pStyle w:val="TOC2"/>
        <w:widowControl/>
        <w:tabs>
          <w:tab w:pos="8856" w:val="right" w:leader="dot"/>
        </w:tabs>
      </w:pPr>
      <w:hyperlink w:anchor="_NAESTMA_TOC_2154" w:history="1">
        <w:r>
          <w:rPr>
            <w:color w:val="466B7A"/>
          </w:rPr>
          <w:t>BB-11. LitioMx-Led Mexican Lithium Cooperation</w:t>
        </w:r>
      </w:hyperlink>
      <w:r>
        <w:tab/>
      </w:r>
      <w:r>
        <w:rPr>
          <w:rFonts w:ascii="Arial" w:hAnsi="Arial"/>
        </w:rPr>
        <w:t>1590</w:t>
      </w:r>
    </w:p>
    <w:p>
      <w:pPr>
        <w:pStyle w:val="TOC2"/>
        <w:widowControl/>
        <w:tabs>
          <w:tab w:pos="8856" w:val="right" w:leader="dot"/>
        </w:tabs>
      </w:pPr>
      <w:hyperlink w:anchor="_NAESTMA_TOC_2155" w:history="1">
        <w:r>
          <w:rPr>
            <w:color w:val="466B7A"/>
          </w:rPr>
          <w:t>BB-12. Canadian lithium concentrate to Mexico</w:t>
        </w:r>
      </w:hyperlink>
      <w:r>
        <w:tab/>
      </w:r>
      <w:r>
        <w:rPr>
          <w:rFonts w:ascii="Arial" w:hAnsi="Arial"/>
        </w:rPr>
        <w:t>1591</w:t>
      </w:r>
    </w:p>
    <w:p>
      <w:pPr>
        <w:pStyle w:val="TOC2"/>
        <w:widowControl/>
        <w:tabs>
          <w:tab w:pos="8856" w:val="right" w:leader="dot"/>
        </w:tabs>
      </w:pPr>
      <w:hyperlink w:anchor="_NAESTMA_TOC_2156" w:history="1">
        <w:r>
          <w:rPr>
            <w:color w:val="466B7A"/>
          </w:rPr>
          <w:t>BB-13. US lithium hydroxide plant in Mexico</w:t>
        </w:r>
      </w:hyperlink>
      <w:r>
        <w:tab/>
      </w:r>
      <w:r>
        <w:rPr>
          <w:rFonts w:ascii="Arial" w:hAnsi="Arial"/>
        </w:rPr>
        <w:t>1591</w:t>
      </w:r>
    </w:p>
    <w:p>
      <w:pPr>
        <w:pStyle w:val="TOC2"/>
        <w:widowControl/>
        <w:tabs>
          <w:tab w:pos="8856" w:val="right" w:leader="dot"/>
        </w:tabs>
      </w:pPr>
      <w:hyperlink w:anchor="_NAESTMA_TOC_2157" w:history="1">
        <w:r>
          <w:rPr>
            <w:color w:val="466B7A"/>
          </w:rPr>
          <w:t>BB-14. Tri-national battery recycling loop</w:t>
        </w:r>
      </w:hyperlink>
      <w:r>
        <w:tab/>
      </w:r>
      <w:r>
        <w:rPr>
          <w:rFonts w:ascii="Arial" w:hAnsi="Arial"/>
        </w:rPr>
        <w:t>1591</w:t>
      </w:r>
    </w:p>
    <w:p>
      <w:pPr>
        <w:pStyle w:val="TOC2"/>
        <w:widowControl/>
        <w:tabs>
          <w:tab w:pos="8856" w:val="right" w:leader="dot"/>
        </w:tabs>
      </w:pPr>
      <w:hyperlink w:anchor="_NAESTMA_TOC_2158" w:history="1">
        <w:r>
          <w:rPr>
            <w:color w:val="466B7A"/>
          </w:rPr>
          <w:t>BB-15. Canadian lithium tech transfer</w:t>
        </w:r>
      </w:hyperlink>
      <w:r>
        <w:tab/>
      </w:r>
      <w:r>
        <w:rPr>
          <w:rFonts w:ascii="Arial" w:hAnsi="Arial"/>
        </w:rPr>
        <w:t>1591</w:t>
      </w:r>
    </w:p>
    <w:p>
      <w:pPr>
        <w:pStyle w:val="TOC2"/>
        <w:widowControl/>
        <w:tabs>
          <w:tab w:pos="8856" w:val="right" w:leader="dot"/>
        </w:tabs>
      </w:pPr>
      <w:hyperlink w:anchor="_NAESTMA_TOC_2159" w:history="1">
        <w:r>
          <w:rPr>
            <w:color w:val="466B7A"/>
          </w:rPr>
          <w:t>BB-16. US-Mexico lithium brine pilot</w:t>
        </w:r>
      </w:hyperlink>
      <w:r>
        <w:tab/>
      </w:r>
      <w:r>
        <w:rPr>
          <w:rFonts w:ascii="Arial" w:hAnsi="Arial"/>
        </w:rPr>
        <w:t>1591</w:t>
      </w:r>
    </w:p>
    <w:p>
      <w:pPr>
        <w:pStyle w:val="TOC2"/>
        <w:widowControl/>
        <w:tabs>
          <w:tab w:pos="8856" w:val="right" w:leader="dot"/>
        </w:tabs>
      </w:pPr>
      <w:hyperlink w:anchor="_NAESTMA_TOC_2160" w:history="1">
        <w:r>
          <w:rPr>
            <w:color w:val="466B7A"/>
          </w:rPr>
          <w:t>BB-17. Tri-national lithium carbonate refinery</w:t>
        </w:r>
      </w:hyperlink>
      <w:r>
        <w:tab/>
      </w:r>
      <w:r>
        <w:rPr>
          <w:rFonts w:ascii="Arial" w:hAnsi="Arial"/>
        </w:rPr>
        <w:t>1591</w:t>
      </w:r>
    </w:p>
    <w:p>
      <w:pPr>
        <w:pStyle w:val="TOC2"/>
        <w:widowControl/>
        <w:tabs>
          <w:tab w:pos="8856" w:val="right" w:leader="dot"/>
        </w:tabs>
      </w:pPr>
      <w:hyperlink w:anchor="_NAESTMA_TOC_2161" w:history="1">
        <w:r>
          <w:rPr>
            <w:color w:val="466B7A"/>
          </w:rPr>
          <w:t>BB-18. Lithium-ion battery precursor JV</w:t>
        </w:r>
      </w:hyperlink>
      <w:r>
        <w:tab/>
      </w:r>
      <w:r>
        <w:rPr>
          <w:rFonts w:ascii="Arial" w:hAnsi="Arial"/>
        </w:rPr>
        <w:t>1591</w:t>
      </w:r>
    </w:p>
    <w:p>
      <w:pPr>
        <w:pStyle w:val="TOC2"/>
        <w:widowControl/>
        <w:tabs>
          <w:tab w:pos="8856" w:val="right" w:leader="dot"/>
        </w:tabs>
      </w:pPr>
      <w:hyperlink w:anchor="_NAESTMA_TOC_2162" w:history="1">
        <w:r>
          <w:rPr>
            <w:color w:val="466B7A"/>
          </w:rPr>
          <w:t>BB-19. Mexican lithium export to US with Canadian financing</w:t>
        </w:r>
      </w:hyperlink>
      <w:r>
        <w:tab/>
      </w:r>
      <w:r>
        <w:rPr>
          <w:rFonts w:ascii="Arial" w:hAnsi="Arial"/>
        </w:rPr>
        <w:t>1591</w:t>
      </w:r>
    </w:p>
    <w:p>
      <w:pPr>
        <w:pStyle w:val="TOC2"/>
        <w:widowControl/>
        <w:tabs>
          <w:tab w:pos="8856" w:val="right" w:leader="dot"/>
        </w:tabs>
      </w:pPr>
      <w:hyperlink w:anchor="_NAESTMA_TOC_2163" w:history="1">
        <w:r>
          <w:rPr>
            <w:color w:val="466B7A"/>
          </w:rPr>
          <w:t>BB-20. Tri-national lithium stockpile</w:t>
        </w:r>
      </w:hyperlink>
      <w:r>
        <w:tab/>
      </w:r>
      <w:r>
        <w:rPr>
          <w:rFonts w:ascii="Arial" w:hAnsi="Arial"/>
        </w:rPr>
        <w:t>1591</w:t>
      </w:r>
    </w:p>
    <w:p>
      <w:pPr>
        <w:pStyle w:val="TOC2"/>
        <w:widowControl/>
        <w:tabs>
          <w:tab w:pos="8856" w:val="right" w:leader="dot"/>
        </w:tabs>
      </w:pPr>
      <w:hyperlink w:anchor="_NAESTMA_TOC_2164" w:history="1">
        <w:r>
          <w:rPr>
            <w:color w:val="466B7A"/>
          </w:rPr>
          <w:t>BB-21. Canadian Participation in State-Led Mexican Lithium Development</w:t>
        </w:r>
      </w:hyperlink>
      <w:r>
        <w:tab/>
      </w:r>
      <w:r>
        <w:rPr>
          <w:rFonts w:ascii="Arial" w:hAnsi="Arial"/>
        </w:rPr>
        <w:t>1591</w:t>
      </w:r>
    </w:p>
    <w:p>
      <w:pPr>
        <w:pStyle w:val="TOC2"/>
        <w:widowControl/>
        <w:tabs>
          <w:tab w:pos="8856" w:val="right" w:leader="dot"/>
        </w:tabs>
      </w:pPr>
      <w:hyperlink w:anchor="_NAESTMA_TOC_2165" w:history="1">
        <w:r>
          <w:rPr>
            <w:color w:val="466B7A"/>
          </w:rPr>
          <w:t>BB-22. US-Mexico lithium exploration fund</w:t>
        </w:r>
      </w:hyperlink>
      <w:r>
        <w:tab/>
      </w:r>
      <w:r>
        <w:rPr>
          <w:rFonts w:ascii="Arial" w:hAnsi="Arial"/>
        </w:rPr>
        <w:t>1591</w:t>
      </w:r>
    </w:p>
    <w:p>
      <w:pPr>
        <w:pStyle w:val="TOC2"/>
        <w:widowControl/>
        <w:tabs>
          <w:tab w:pos="8856" w:val="right" w:leader="dot"/>
        </w:tabs>
      </w:pPr>
      <w:hyperlink w:anchor="_NAESTMA_TOC_2166" w:history="1">
        <w:r>
          <w:rPr>
            <w:color w:val="466B7A"/>
          </w:rPr>
          <w:t>BB-23. Mexican graphite to US anode plants</w:t>
        </w:r>
      </w:hyperlink>
      <w:r>
        <w:tab/>
      </w:r>
      <w:r>
        <w:rPr>
          <w:rFonts w:ascii="Arial" w:hAnsi="Arial"/>
        </w:rPr>
        <w:t>1591</w:t>
      </w:r>
    </w:p>
    <w:p>
      <w:pPr>
        <w:pStyle w:val="TOC2"/>
        <w:widowControl/>
        <w:tabs>
          <w:tab w:pos="8856" w:val="right" w:leader="dot"/>
        </w:tabs>
      </w:pPr>
      <w:hyperlink w:anchor="_NAESTMA_TOC_2167" w:history="1">
        <w:r>
          <w:rPr>
            <w:color w:val="466B7A"/>
          </w:rPr>
          <w:t>BB-24. Canadian graphite processing in Mexico</w:t>
        </w:r>
      </w:hyperlink>
      <w:r>
        <w:tab/>
      </w:r>
      <w:r>
        <w:rPr>
          <w:rFonts w:ascii="Arial" w:hAnsi="Arial"/>
        </w:rPr>
        <w:t>1591</w:t>
      </w:r>
    </w:p>
    <w:p>
      <w:pPr>
        <w:pStyle w:val="TOC2"/>
        <w:widowControl/>
        <w:tabs>
          <w:tab w:pos="8856" w:val="right" w:leader="dot"/>
        </w:tabs>
      </w:pPr>
      <w:hyperlink w:anchor="_NAESTMA_TOC_2168" w:history="1">
        <w:r>
          <w:rPr>
            <w:color w:val="466B7A"/>
          </w:rPr>
          <w:t>BB-25. Tri-national graphite sphericalization plant</w:t>
        </w:r>
      </w:hyperlink>
      <w:r>
        <w:tab/>
      </w:r>
      <w:r>
        <w:rPr>
          <w:rFonts w:ascii="Arial" w:hAnsi="Arial"/>
        </w:rPr>
        <w:t>1591</w:t>
      </w:r>
    </w:p>
    <w:p>
      <w:pPr>
        <w:pStyle w:val="TOC2"/>
        <w:widowControl/>
        <w:tabs>
          <w:tab w:pos="8856" w:val="right" w:leader="dot"/>
        </w:tabs>
      </w:pPr>
      <w:hyperlink w:anchor="_NAESTMA_TOC_2169" w:history="1">
        <w:r>
          <w:rPr>
            <w:color w:val="466B7A"/>
          </w:rPr>
          <w:t>BB-26. US-Mexico graphite exploration JV</w:t>
        </w:r>
      </w:hyperlink>
      <w:r>
        <w:tab/>
      </w:r>
      <w:r>
        <w:rPr>
          <w:rFonts w:ascii="Arial" w:hAnsi="Arial"/>
        </w:rPr>
        <w:t>1591</w:t>
      </w:r>
    </w:p>
    <w:p>
      <w:pPr>
        <w:pStyle w:val="TOC2"/>
        <w:widowControl/>
        <w:tabs>
          <w:tab w:pos="8856" w:val="right" w:leader="dot"/>
        </w:tabs>
      </w:pPr>
      <w:hyperlink w:anchor="_NAESTMA_TOC_2170" w:history="1">
        <w:r>
          <w:rPr>
            <w:color w:val="466B7A"/>
          </w:rPr>
          <w:t>BB-27. Canadian graphite technology to Mexico</w:t>
        </w:r>
      </w:hyperlink>
      <w:r>
        <w:tab/>
      </w:r>
      <w:r>
        <w:rPr>
          <w:rFonts w:ascii="Arial" w:hAnsi="Arial"/>
        </w:rPr>
        <w:t>1592</w:t>
      </w:r>
    </w:p>
    <w:p>
      <w:pPr>
        <w:pStyle w:val="TOC2"/>
        <w:widowControl/>
        <w:tabs>
          <w:tab w:pos="8856" w:val="right" w:leader="dot"/>
        </w:tabs>
      </w:pPr>
      <w:hyperlink w:anchor="_NAESTMA_TOC_2171" w:history="1">
        <w:r>
          <w:rPr>
            <w:color w:val="466B7A"/>
          </w:rPr>
          <w:t>BB-28. Tri-national synthetic graphite R&amp;D</w:t>
        </w:r>
      </w:hyperlink>
      <w:r>
        <w:tab/>
      </w:r>
      <w:r>
        <w:rPr>
          <w:rFonts w:ascii="Arial" w:hAnsi="Arial"/>
        </w:rPr>
        <w:t>1592</w:t>
      </w:r>
    </w:p>
    <w:p>
      <w:pPr>
        <w:pStyle w:val="TOC2"/>
        <w:widowControl/>
        <w:tabs>
          <w:tab w:pos="8856" w:val="right" w:leader="dot"/>
        </w:tabs>
      </w:pPr>
      <w:hyperlink w:anchor="_NAESTMA_TOC_2172" w:history="1">
        <w:r>
          <w:rPr>
            <w:color w:val="466B7A"/>
          </w:rPr>
          <w:t>BB-29. Mexican graphite mining expansion</w:t>
        </w:r>
      </w:hyperlink>
      <w:r>
        <w:tab/>
      </w:r>
      <w:r>
        <w:rPr>
          <w:rFonts w:ascii="Arial" w:hAnsi="Arial"/>
        </w:rPr>
        <w:t>1592</w:t>
      </w:r>
    </w:p>
    <w:p>
      <w:pPr>
        <w:pStyle w:val="TOC2"/>
        <w:widowControl/>
        <w:tabs>
          <w:tab w:pos="8856" w:val="right" w:leader="dot"/>
        </w:tabs>
      </w:pPr>
      <w:hyperlink w:anchor="_NAESTMA_TOC_2173" w:history="1">
        <w:r>
          <w:rPr>
            <w:color w:val="466B7A"/>
          </w:rPr>
          <w:t>BB-30. North American graphite supply agreement</w:t>
        </w:r>
      </w:hyperlink>
      <w:r>
        <w:tab/>
      </w:r>
      <w:r>
        <w:rPr>
          <w:rFonts w:ascii="Arial" w:hAnsi="Arial"/>
        </w:rPr>
        <w:t>1592</w:t>
      </w:r>
    </w:p>
    <w:p>
      <w:pPr>
        <w:pStyle w:val="TOC2"/>
        <w:widowControl/>
        <w:tabs>
          <w:tab w:pos="8856" w:val="right" w:leader="dot"/>
        </w:tabs>
      </w:pPr>
      <w:hyperlink w:anchor="_NAESTMA_TOC_2174" w:history="1">
        <w:r>
          <w:rPr>
            <w:color w:val="466B7A"/>
          </w:rPr>
          <w:t>BB-31. Canadian rare earth separation plant</w:t>
        </w:r>
      </w:hyperlink>
      <w:r>
        <w:tab/>
      </w:r>
      <w:r>
        <w:rPr>
          <w:rFonts w:ascii="Arial" w:hAnsi="Arial"/>
        </w:rPr>
        <w:t>1592</w:t>
      </w:r>
    </w:p>
    <w:p>
      <w:pPr>
        <w:pStyle w:val="TOC2"/>
        <w:widowControl/>
        <w:tabs>
          <w:tab w:pos="8856" w:val="right" w:leader="dot"/>
        </w:tabs>
      </w:pPr>
      <w:hyperlink w:anchor="_NAESTMA_TOC_2175" w:history="1">
        <w:r>
          <w:rPr>
            <w:color w:val="466B7A"/>
          </w:rPr>
          <w:t>BB-32. US rare earth ore to Canada</w:t>
        </w:r>
      </w:hyperlink>
      <w:r>
        <w:tab/>
      </w:r>
      <w:r>
        <w:rPr>
          <w:rFonts w:ascii="Arial" w:hAnsi="Arial"/>
        </w:rPr>
        <w:t>1592</w:t>
      </w:r>
    </w:p>
    <w:p>
      <w:pPr>
        <w:pStyle w:val="TOC2"/>
        <w:widowControl/>
        <w:tabs>
          <w:tab w:pos="8856" w:val="right" w:leader="dot"/>
        </w:tabs>
      </w:pPr>
      <w:hyperlink w:anchor="_NAESTMA_TOC_2176" w:history="1">
        <w:r>
          <w:rPr>
            <w:color w:val="466B7A"/>
          </w:rPr>
          <w:t>BB-33. Mexican REE exploration JV</w:t>
        </w:r>
      </w:hyperlink>
      <w:r>
        <w:tab/>
      </w:r>
      <w:r>
        <w:rPr>
          <w:rFonts w:ascii="Arial" w:hAnsi="Arial"/>
        </w:rPr>
        <w:t>1592</w:t>
      </w:r>
    </w:p>
    <w:p>
      <w:pPr>
        <w:pStyle w:val="TOC2"/>
        <w:widowControl/>
        <w:tabs>
          <w:tab w:pos="8856" w:val="right" w:leader="dot"/>
        </w:tabs>
      </w:pPr>
      <w:hyperlink w:anchor="_NAESTMA_TOC_2177" w:history="1">
        <w:r>
          <w:rPr>
            <w:color w:val="466B7A"/>
          </w:rPr>
          <w:t>BB-34. Tri-national permanent magnet factory</w:t>
        </w:r>
      </w:hyperlink>
      <w:r>
        <w:tab/>
      </w:r>
      <w:r>
        <w:rPr>
          <w:rFonts w:ascii="Arial" w:hAnsi="Arial"/>
        </w:rPr>
        <w:t>1592</w:t>
      </w:r>
    </w:p>
    <w:p>
      <w:pPr>
        <w:pStyle w:val="TOC2"/>
        <w:widowControl/>
        <w:tabs>
          <w:tab w:pos="8856" w:val="right" w:leader="dot"/>
        </w:tabs>
      </w:pPr>
      <w:hyperlink w:anchor="_NAESTMA_TOC_2178" w:history="1">
        <w:r>
          <w:rPr>
            <w:color w:val="466B7A"/>
          </w:rPr>
          <w:t>BB-35. Canadian REE mining expansion</w:t>
        </w:r>
      </w:hyperlink>
      <w:r>
        <w:tab/>
      </w:r>
      <w:r>
        <w:rPr>
          <w:rFonts w:ascii="Arial" w:hAnsi="Arial"/>
        </w:rPr>
        <w:t>1592</w:t>
      </w:r>
    </w:p>
    <w:p>
      <w:pPr>
        <w:pStyle w:val="TOC2"/>
        <w:widowControl/>
        <w:tabs>
          <w:tab w:pos="8856" w:val="right" w:leader="dot"/>
        </w:tabs>
      </w:pPr>
      <w:hyperlink w:anchor="_NAESTMA_TOC_2179" w:history="1">
        <w:r>
          <w:rPr>
            <w:color w:val="466B7A"/>
          </w:rPr>
          <w:t>BB-36. US rare earth recycling hub in Mexico</w:t>
        </w:r>
      </w:hyperlink>
      <w:r>
        <w:tab/>
      </w:r>
      <w:r>
        <w:rPr>
          <w:rFonts w:ascii="Arial" w:hAnsi="Arial"/>
        </w:rPr>
        <w:t>1592</w:t>
      </w:r>
    </w:p>
    <w:p>
      <w:pPr>
        <w:pStyle w:val="TOC2"/>
        <w:widowControl/>
        <w:tabs>
          <w:tab w:pos="8856" w:val="right" w:leader="dot"/>
        </w:tabs>
      </w:pPr>
      <w:hyperlink w:anchor="_NAESTMA_TOC_2180" w:history="1">
        <w:r>
          <w:rPr>
            <w:color w:val="466B7A"/>
          </w:rPr>
          <w:t>BB-37. Tri-national REE research consortium</w:t>
        </w:r>
      </w:hyperlink>
      <w:r>
        <w:tab/>
      </w:r>
      <w:r>
        <w:rPr>
          <w:rFonts w:ascii="Arial" w:hAnsi="Arial"/>
        </w:rPr>
        <w:t>1592</w:t>
      </w:r>
    </w:p>
    <w:p>
      <w:pPr>
        <w:pStyle w:val="TOC2"/>
        <w:widowControl/>
        <w:tabs>
          <w:tab w:pos="8856" w:val="right" w:leader="dot"/>
        </w:tabs>
      </w:pPr>
      <w:hyperlink w:anchor="_NAESTMA_TOC_2181" w:history="1">
        <w:r>
          <w:rPr>
            <w:color w:val="466B7A"/>
          </w:rPr>
          <w:t>BB-38. Canadian scandium production for US aerospace</w:t>
        </w:r>
      </w:hyperlink>
      <w:r>
        <w:tab/>
      </w:r>
      <w:r>
        <w:rPr>
          <w:rFonts w:ascii="Arial" w:hAnsi="Arial"/>
        </w:rPr>
        <w:t>1592</w:t>
      </w:r>
    </w:p>
    <w:p>
      <w:pPr>
        <w:pStyle w:val="TOC2"/>
        <w:widowControl/>
        <w:tabs>
          <w:tab w:pos="8856" w:val="right" w:leader="dot"/>
        </w:tabs>
      </w:pPr>
      <w:hyperlink w:anchor="_NAESTMA_TOC_2182" w:history="1">
        <w:r>
          <w:rPr>
            <w:color w:val="466B7A"/>
          </w:rPr>
          <w:t>BB-39. US-Mexico REE processing pilot</w:t>
        </w:r>
      </w:hyperlink>
      <w:r>
        <w:tab/>
      </w:r>
      <w:r>
        <w:rPr>
          <w:rFonts w:ascii="Arial" w:hAnsi="Arial"/>
        </w:rPr>
        <w:t>1592</w:t>
      </w:r>
    </w:p>
    <w:p>
      <w:pPr>
        <w:pStyle w:val="TOC2"/>
        <w:widowControl/>
        <w:tabs>
          <w:tab w:pos="8856" w:val="right" w:leader="dot"/>
        </w:tabs>
      </w:pPr>
      <w:hyperlink w:anchor="_NAESTMA_TOC_2183" w:history="1">
        <w:r>
          <w:rPr>
            <w:color w:val="466B7A"/>
          </w:rPr>
          <w:t>BB-40. North American REE stockpile</w:t>
        </w:r>
      </w:hyperlink>
      <w:r>
        <w:tab/>
      </w:r>
      <w:r>
        <w:rPr>
          <w:rFonts w:ascii="Arial" w:hAnsi="Arial"/>
        </w:rPr>
        <w:t>1592</w:t>
      </w:r>
    </w:p>
    <w:p>
      <w:pPr>
        <w:pStyle w:val="TOC2"/>
        <w:widowControl/>
        <w:tabs>
          <w:tab w:pos="8856" w:val="right" w:leader="dot"/>
        </w:tabs>
      </w:pPr>
      <w:hyperlink w:anchor="_NAESTMA_TOC_2184" w:history="1">
        <w:r>
          <w:rPr>
            <w:color w:val="466B7A"/>
          </w:rPr>
          <w:t>BB-41. Canadian nickel to US battery plants</w:t>
        </w:r>
      </w:hyperlink>
      <w:r>
        <w:tab/>
      </w:r>
      <w:r>
        <w:rPr>
          <w:rFonts w:ascii="Arial" w:hAnsi="Arial"/>
        </w:rPr>
        <w:t>1592</w:t>
      </w:r>
    </w:p>
    <w:p>
      <w:pPr>
        <w:pStyle w:val="TOC2"/>
        <w:widowControl/>
        <w:tabs>
          <w:tab w:pos="8856" w:val="right" w:leader="dot"/>
        </w:tabs>
      </w:pPr>
      <w:hyperlink w:anchor="_NAESTMA_TOC_2185" w:history="1">
        <w:r>
          <w:rPr>
            <w:color w:val="466B7A"/>
          </w:rPr>
          <w:t>BB-42. Mexican cobalt exploration</w:t>
        </w:r>
      </w:hyperlink>
      <w:r>
        <w:tab/>
      </w:r>
      <w:r>
        <w:rPr>
          <w:rFonts w:ascii="Arial" w:hAnsi="Arial"/>
        </w:rPr>
        <w:t>1593</w:t>
      </w:r>
    </w:p>
    <w:p>
      <w:pPr>
        <w:pStyle w:val="TOC2"/>
        <w:widowControl/>
        <w:tabs>
          <w:tab w:pos="8856" w:val="right" w:leader="dot"/>
        </w:tabs>
      </w:pPr>
      <w:hyperlink w:anchor="_NAESTMA_TOC_2186" w:history="1">
        <w:r>
          <w:rPr>
            <w:color w:val="466B7A"/>
          </w:rPr>
          <w:t>BB-43. Tri-national nickel-cobalt refinery</w:t>
        </w:r>
      </w:hyperlink>
      <w:r>
        <w:tab/>
      </w:r>
      <w:r>
        <w:rPr>
          <w:rFonts w:ascii="Arial" w:hAnsi="Arial"/>
        </w:rPr>
        <w:t>1593</w:t>
      </w:r>
    </w:p>
    <w:p>
      <w:pPr>
        <w:pStyle w:val="TOC2"/>
        <w:widowControl/>
        <w:tabs>
          <w:tab w:pos="8856" w:val="right" w:leader="dot"/>
        </w:tabs>
      </w:pPr>
      <w:hyperlink w:anchor="_NAESTMA_TOC_2187" w:history="1">
        <w:r>
          <w:rPr>
            <w:color w:val="466B7A"/>
          </w:rPr>
          <w:t>BB-44. US-Canada nickel JV</w:t>
        </w:r>
      </w:hyperlink>
      <w:r>
        <w:tab/>
      </w:r>
      <w:r>
        <w:rPr>
          <w:rFonts w:ascii="Arial" w:hAnsi="Arial"/>
        </w:rPr>
        <w:t>1593</w:t>
      </w:r>
    </w:p>
    <w:p>
      <w:pPr>
        <w:pStyle w:val="TOC2"/>
        <w:widowControl/>
        <w:tabs>
          <w:tab w:pos="8856" w:val="right" w:leader="dot"/>
        </w:tabs>
      </w:pPr>
      <w:hyperlink w:anchor="_NAESTMA_TOC_2188" w:history="1">
        <w:r>
          <w:rPr>
            <w:color w:val="466B7A"/>
          </w:rPr>
          <w:t>BB-45. Mexican nickel laterite development</w:t>
        </w:r>
      </w:hyperlink>
      <w:r>
        <w:tab/>
      </w:r>
      <w:r>
        <w:rPr>
          <w:rFonts w:ascii="Arial" w:hAnsi="Arial"/>
        </w:rPr>
        <w:t>1593</w:t>
      </w:r>
    </w:p>
    <w:p>
      <w:pPr>
        <w:pStyle w:val="TOC2"/>
        <w:widowControl/>
        <w:tabs>
          <w:tab w:pos="8856" w:val="right" w:leader="dot"/>
        </w:tabs>
      </w:pPr>
      <w:hyperlink w:anchor="_NAESTMA_TOC_2189" w:history="1">
        <w:r>
          <w:rPr>
            <w:color w:val="466B7A"/>
          </w:rPr>
          <w:t>BB-46. Canadian cobalt refining expansion</w:t>
        </w:r>
      </w:hyperlink>
      <w:r>
        <w:tab/>
      </w:r>
      <w:r>
        <w:rPr>
          <w:rFonts w:ascii="Arial" w:hAnsi="Arial"/>
        </w:rPr>
        <w:t>1593</w:t>
      </w:r>
    </w:p>
    <w:p>
      <w:pPr>
        <w:pStyle w:val="TOC2"/>
        <w:widowControl/>
        <w:tabs>
          <w:tab w:pos="8856" w:val="right" w:leader="dot"/>
        </w:tabs>
      </w:pPr>
      <w:hyperlink w:anchor="_NAESTMA_TOC_2190" w:history="1">
        <w:r>
          <w:rPr>
            <w:color w:val="466B7A"/>
          </w:rPr>
          <w:t>BB-47. Tri-national battery recycling for cobalt</w:t>
        </w:r>
      </w:hyperlink>
      <w:r>
        <w:tab/>
      </w:r>
      <w:r>
        <w:rPr>
          <w:rFonts w:ascii="Arial" w:hAnsi="Arial"/>
        </w:rPr>
        <w:t>1593</w:t>
      </w:r>
    </w:p>
    <w:p>
      <w:pPr>
        <w:pStyle w:val="TOC2"/>
        <w:widowControl/>
        <w:tabs>
          <w:tab w:pos="8856" w:val="right" w:leader="dot"/>
        </w:tabs>
      </w:pPr>
      <w:hyperlink w:anchor="_NAESTMA_TOC_2191" w:history="1">
        <w:r>
          <w:rPr>
            <w:color w:val="466B7A"/>
          </w:rPr>
          <w:t>BB-48. North American nickel price stabilization</w:t>
        </w:r>
      </w:hyperlink>
      <w:r>
        <w:tab/>
      </w:r>
      <w:r>
        <w:rPr>
          <w:rFonts w:ascii="Arial" w:hAnsi="Arial"/>
        </w:rPr>
        <w:t>1593</w:t>
      </w:r>
    </w:p>
    <w:p>
      <w:pPr>
        <w:pStyle w:val="TOC2"/>
        <w:widowControl/>
        <w:tabs>
          <w:tab w:pos="8856" w:val="right" w:leader="dot"/>
        </w:tabs>
      </w:pPr>
      <w:hyperlink w:anchor="_NAESTMA_TOC_2192" w:history="1">
        <w:r>
          <w:rPr>
            <w:color w:val="466B7A"/>
          </w:rPr>
          <w:t>BB-49. Mexican zinc concentrate to US smelters</w:t>
        </w:r>
      </w:hyperlink>
      <w:r>
        <w:tab/>
      </w:r>
      <w:r>
        <w:rPr>
          <w:rFonts w:ascii="Arial" w:hAnsi="Arial"/>
        </w:rPr>
        <w:t>1593</w:t>
      </w:r>
    </w:p>
    <w:p>
      <w:pPr>
        <w:pStyle w:val="TOC2"/>
        <w:widowControl/>
        <w:tabs>
          <w:tab w:pos="8856" w:val="right" w:leader="dot"/>
        </w:tabs>
      </w:pPr>
      <w:hyperlink w:anchor="_NAESTMA_TOC_2193" w:history="1">
        <w:r>
          <w:rPr>
            <w:color w:val="466B7A"/>
          </w:rPr>
          <w:t>BB-50. Canadian zinc technology to Mexico</w:t>
        </w:r>
      </w:hyperlink>
      <w:r>
        <w:tab/>
      </w:r>
      <w:r>
        <w:rPr>
          <w:rFonts w:ascii="Arial" w:hAnsi="Arial"/>
        </w:rPr>
        <w:t>1593</w:t>
      </w:r>
    </w:p>
    <w:p>
      <w:pPr>
        <w:pStyle w:val="TOC2"/>
        <w:widowControl/>
        <w:tabs>
          <w:tab w:pos="8856" w:val="right" w:leader="dot"/>
        </w:tabs>
      </w:pPr>
      <w:hyperlink w:anchor="_NAESTMA_TOC_2194" w:history="1">
        <w:r>
          <w:rPr>
            <w:color w:val="466B7A"/>
          </w:rPr>
          <w:t>BB-51. Tri-national zinc galvanizing JV</w:t>
        </w:r>
      </w:hyperlink>
      <w:r>
        <w:tab/>
      </w:r>
      <w:r>
        <w:rPr>
          <w:rFonts w:ascii="Arial" w:hAnsi="Arial"/>
        </w:rPr>
        <w:t>1593</w:t>
      </w:r>
    </w:p>
    <w:p>
      <w:pPr>
        <w:pStyle w:val="TOC2"/>
        <w:widowControl/>
        <w:tabs>
          <w:tab w:pos="8856" w:val="right" w:leader="dot"/>
        </w:tabs>
      </w:pPr>
      <w:hyperlink w:anchor="_NAESTMA_TOC_2195" w:history="1">
        <w:r>
          <w:rPr>
            <w:color w:val="466B7A"/>
          </w:rPr>
          <w:t>BB-52. US-Mexico lead recycling loop</w:t>
        </w:r>
      </w:hyperlink>
      <w:r>
        <w:tab/>
      </w:r>
      <w:r>
        <w:rPr>
          <w:rFonts w:ascii="Arial" w:hAnsi="Arial"/>
        </w:rPr>
        <w:t>1593</w:t>
      </w:r>
    </w:p>
    <w:p>
      <w:pPr>
        <w:pStyle w:val="TOC2"/>
        <w:widowControl/>
        <w:tabs>
          <w:tab w:pos="8856" w:val="right" w:leader="dot"/>
        </w:tabs>
      </w:pPr>
      <w:hyperlink w:anchor="_NAESTMA_TOC_2196" w:history="1">
        <w:r>
          <w:rPr>
            <w:color w:val="466B7A"/>
          </w:rPr>
          <w:t>BB-53. Canadian zinc exploration in Mexico</w:t>
        </w:r>
      </w:hyperlink>
      <w:r>
        <w:tab/>
      </w:r>
      <w:r>
        <w:rPr>
          <w:rFonts w:ascii="Arial" w:hAnsi="Arial"/>
        </w:rPr>
        <w:t>1593</w:t>
      </w:r>
    </w:p>
    <w:p>
      <w:pPr>
        <w:pStyle w:val="TOC2"/>
        <w:widowControl/>
        <w:tabs>
          <w:tab w:pos="8856" w:val="right" w:leader="dot"/>
        </w:tabs>
      </w:pPr>
      <w:hyperlink w:anchor="_NAESTMA_TOC_2197" w:history="1">
        <w:r>
          <w:rPr>
            <w:color w:val="466B7A"/>
          </w:rPr>
          <w:t>BB-54. Tri-national lead-acid battery JV</w:t>
        </w:r>
      </w:hyperlink>
      <w:r>
        <w:tab/>
      </w:r>
      <w:r>
        <w:rPr>
          <w:rFonts w:ascii="Arial" w:hAnsi="Arial"/>
        </w:rPr>
        <w:t>1593</w:t>
      </w:r>
    </w:p>
    <w:p>
      <w:pPr>
        <w:pStyle w:val="TOC2"/>
        <w:widowControl/>
        <w:tabs>
          <w:tab w:pos="8856" w:val="right" w:leader="dot"/>
        </w:tabs>
      </w:pPr>
      <w:hyperlink w:anchor="_NAESTMA_TOC_2198" w:history="1">
        <w:r>
          <w:rPr>
            <w:color w:val="466B7A"/>
          </w:rPr>
          <w:t>BB-55. Mexican zinc-oxide production</w:t>
        </w:r>
      </w:hyperlink>
      <w:r>
        <w:tab/>
      </w:r>
      <w:r>
        <w:rPr>
          <w:rFonts w:ascii="Arial" w:hAnsi="Arial"/>
        </w:rPr>
        <w:t>1593</w:t>
      </w:r>
    </w:p>
    <w:p>
      <w:pPr>
        <w:pStyle w:val="TOC2"/>
        <w:widowControl/>
        <w:tabs>
          <w:tab w:pos="8856" w:val="right" w:leader="dot"/>
        </w:tabs>
      </w:pPr>
      <w:hyperlink w:anchor="_NAESTMA_TOC_2199" w:history="1">
        <w:r>
          <w:rPr>
            <w:color w:val="466B7A"/>
          </w:rPr>
          <w:t>BB-56. North American zinc strategic reserve</w:t>
        </w:r>
      </w:hyperlink>
      <w:r>
        <w:tab/>
      </w:r>
      <w:r>
        <w:rPr>
          <w:rFonts w:ascii="Arial" w:hAnsi="Arial"/>
        </w:rPr>
        <w:t>1593</w:t>
      </w:r>
    </w:p>
    <w:p>
      <w:pPr>
        <w:pStyle w:val="TOC2"/>
        <w:widowControl/>
        <w:tabs>
          <w:tab w:pos="8856" w:val="right" w:leader="dot"/>
        </w:tabs>
      </w:pPr>
      <w:hyperlink w:anchor="_NAESTMA_TOC_2200" w:history="1">
        <w:r>
          <w:rPr>
            <w:color w:val="466B7A"/>
          </w:rPr>
          <w:t>BB-57. Tri-national silver industrial applications JV</w:t>
        </w:r>
      </w:hyperlink>
      <w:r>
        <w:tab/>
      </w:r>
      <w:r>
        <w:rPr>
          <w:rFonts w:ascii="Arial" w:hAnsi="Arial"/>
        </w:rPr>
        <w:t>1594</w:t>
      </w:r>
    </w:p>
    <w:p>
      <w:pPr>
        <w:pStyle w:val="TOC2"/>
        <w:widowControl/>
        <w:tabs>
          <w:tab w:pos="8856" w:val="right" w:leader="dot"/>
        </w:tabs>
      </w:pPr>
      <w:hyperlink w:anchor="_NAESTMA_TOC_2201" w:history="1">
        <w:r>
          <w:rPr>
            <w:color w:val="466B7A"/>
          </w:rPr>
          <w:t>BB-58. Mexican silver to US solar panel plants</w:t>
        </w:r>
      </w:hyperlink>
      <w:r>
        <w:tab/>
      </w:r>
      <w:r>
        <w:rPr>
          <w:rFonts w:ascii="Arial" w:hAnsi="Arial"/>
        </w:rPr>
        <w:t>1594</w:t>
      </w:r>
    </w:p>
    <w:p>
      <w:pPr>
        <w:pStyle w:val="TOC2"/>
        <w:widowControl/>
        <w:tabs>
          <w:tab w:pos="8856" w:val="right" w:leader="dot"/>
        </w:tabs>
      </w:pPr>
      <w:hyperlink w:anchor="_NAESTMA_TOC_2202" w:history="1">
        <w:r>
          <w:rPr>
            <w:color w:val="466B7A"/>
          </w:rPr>
          <w:t>BB-59. Canadian gold refining in Mexico</w:t>
        </w:r>
      </w:hyperlink>
      <w:r>
        <w:tab/>
      </w:r>
      <w:r>
        <w:rPr>
          <w:rFonts w:ascii="Arial" w:hAnsi="Arial"/>
        </w:rPr>
        <w:t>1594</w:t>
      </w:r>
    </w:p>
    <w:p>
      <w:pPr>
        <w:pStyle w:val="TOC2"/>
        <w:widowControl/>
        <w:tabs>
          <w:tab w:pos="8856" w:val="right" w:leader="dot"/>
        </w:tabs>
      </w:pPr>
      <w:hyperlink w:anchor="_NAESTMA_TOC_2203" w:history="1">
        <w:r>
          <w:rPr>
            <w:color w:val="466B7A"/>
          </w:rPr>
          <w:t>BB-60. US-Mexico silver exploration</w:t>
        </w:r>
      </w:hyperlink>
      <w:r>
        <w:tab/>
      </w:r>
      <w:r>
        <w:rPr>
          <w:rFonts w:ascii="Arial" w:hAnsi="Arial"/>
        </w:rPr>
        <w:t>1594</w:t>
      </w:r>
    </w:p>
    <w:p>
      <w:pPr>
        <w:pStyle w:val="TOC2"/>
        <w:widowControl/>
        <w:tabs>
          <w:tab w:pos="8856" w:val="right" w:leader="dot"/>
        </w:tabs>
      </w:pPr>
      <w:hyperlink w:anchor="_NAESTMA_TOC_2204" w:history="1">
        <w:r>
          <w:rPr>
            <w:color w:val="466B7A"/>
          </w:rPr>
          <w:t>BB-61. Tri-national precious metals recycling</w:t>
        </w:r>
      </w:hyperlink>
      <w:r>
        <w:tab/>
      </w:r>
      <w:r>
        <w:rPr>
          <w:rFonts w:ascii="Arial" w:hAnsi="Arial"/>
        </w:rPr>
        <w:t>1594</w:t>
      </w:r>
    </w:p>
    <w:p>
      <w:pPr>
        <w:pStyle w:val="TOC2"/>
        <w:widowControl/>
        <w:tabs>
          <w:tab w:pos="8856" w:val="right" w:leader="dot"/>
        </w:tabs>
      </w:pPr>
      <w:hyperlink w:anchor="_NAESTMA_TOC_2205" w:history="1">
        <w:r>
          <w:rPr>
            <w:color w:val="466B7A"/>
          </w:rPr>
          <w:t>BB-62. Mexican silver to Canadian electronics</w:t>
        </w:r>
      </w:hyperlink>
      <w:r>
        <w:tab/>
      </w:r>
      <w:r>
        <w:rPr>
          <w:rFonts w:ascii="Arial" w:hAnsi="Arial"/>
        </w:rPr>
        <w:t>1594</w:t>
      </w:r>
    </w:p>
    <w:p>
      <w:pPr>
        <w:pStyle w:val="TOC2"/>
        <w:widowControl/>
        <w:tabs>
          <w:tab w:pos="8856" w:val="right" w:leader="dot"/>
        </w:tabs>
      </w:pPr>
      <w:hyperlink w:anchor="_NAESTMA_TOC_2206" w:history="1">
        <w:r>
          <w:rPr>
            <w:color w:val="466B7A"/>
          </w:rPr>
          <w:t>BB-63. Industrial Precious-Metals Resilience Cooperation</w:t>
        </w:r>
      </w:hyperlink>
      <w:r>
        <w:tab/>
      </w:r>
      <w:r>
        <w:rPr>
          <w:rFonts w:ascii="Arial" w:hAnsi="Arial"/>
        </w:rPr>
        <w:t>1594</w:t>
      </w:r>
    </w:p>
    <w:p>
      <w:pPr>
        <w:pStyle w:val="TOC2"/>
        <w:widowControl/>
        <w:tabs>
          <w:tab w:pos="8856" w:val="right" w:leader="dot"/>
        </w:tabs>
      </w:pPr>
      <w:hyperlink w:anchor="_NAESTMA_TOC_2207" w:history="1">
        <w:r>
          <w:rPr>
            <w:color w:val="466B7A"/>
          </w:rPr>
          <w:t>BB-64. US gold mining tech transfer to Mexico</w:t>
        </w:r>
      </w:hyperlink>
      <w:r>
        <w:tab/>
      </w:r>
      <w:r>
        <w:rPr>
          <w:rFonts w:ascii="Arial" w:hAnsi="Arial"/>
        </w:rPr>
        <w:t>1594</w:t>
      </w:r>
    </w:p>
    <w:p>
      <w:pPr>
        <w:pStyle w:val="TOC2"/>
        <w:widowControl/>
        <w:tabs>
          <w:tab w:pos="8856" w:val="right" w:leader="dot"/>
        </w:tabs>
      </w:pPr>
      <w:hyperlink w:anchor="_NAESTMA_TOC_2208" w:history="1">
        <w:r>
          <w:rPr>
            <w:color w:val="466B7A"/>
          </w:rPr>
          <w:t>BB-65. Canadian potash to US &amp; Mexico</w:t>
        </w:r>
      </w:hyperlink>
      <w:r>
        <w:tab/>
      </w:r>
      <w:r>
        <w:rPr>
          <w:rFonts w:ascii="Arial" w:hAnsi="Arial"/>
        </w:rPr>
        <w:t>1594</w:t>
      </w:r>
    </w:p>
    <w:p>
      <w:pPr>
        <w:pStyle w:val="TOC2"/>
        <w:widowControl/>
        <w:tabs>
          <w:tab w:pos="8856" w:val="right" w:leader="dot"/>
        </w:tabs>
      </w:pPr>
      <w:hyperlink w:anchor="_NAESTMA_TOC_2209" w:history="1">
        <w:r>
          <w:rPr>
            <w:color w:val="466B7A"/>
          </w:rPr>
          <w:t>BB-66. Tri-national fertilizer distribution network</w:t>
        </w:r>
      </w:hyperlink>
      <w:r>
        <w:tab/>
      </w:r>
      <w:r>
        <w:rPr>
          <w:rFonts w:ascii="Arial" w:hAnsi="Arial"/>
        </w:rPr>
        <w:t>1594</w:t>
      </w:r>
    </w:p>
    <w:p>
      <w:pPr>
        <w:pStyle w:val="TOC2"/>
        <w:widowControl/>
        <w:tabs>
          <w:tab w:pos="8856" w:val="right" w:leader="dot"/>
        </w:tabs>
      </w:pPr>
      <w:hyperlink w:anchor="_NAESTMA_TOC_2210" w:history="1">
        <w:r>
          <w:rPr>
            <w:color w:val="466B7A"/>
          </w:rPr>
          <w:t>BB-67. Canadian phosphate to Mexico</w:t>
        </w:r>
      </w:hyperlink>
      <w:r>
        <w:tab/>
      </w:r>
      <w:r>
        <w:rPr>
          <w:rFonts w:ascii="Arial" w:hAnsi="Arial"/>
        </w:rPr>
        <w:t>1594</w:t>
      </w:r>
    </w:p>
    <w:p>
      <w:pPr>
        <w:pStyle w:val="TOC2"/>
        <w:widowControl/>
        <w:tabs>
          <w:tab w:pos="8856" w:val="right" w:leader="dot"/>
        </w:tabs>
      </w:pPr>
      <w:hyperlink w:anchor="_NAESTMA_TOC_2211" w:history="1">
        <w:r>
          <w:rPr>
            <w:color w:val="466B7A"/>
          </w:rPr>
          <w:t>BB-68. US-Mexico fertilizer plant JV</w:t>
        </w:r>
      </w:hyperlink>
      <w:r>
        <w:tab/>
      </w:r>
      <w:r>
        <w:rPr>
          <w:rFonts w:ascii="Arial" w:hAnsi="Arial"/>
        </w:rPr>
        <w:t>1594</w:t>
      </w:r>
    </w:p>
    <w:p>
      <w:pPr>
        <w:pStyle w:val="TOC2"/>
        <w:widowControl/>
        <w:tabs>
          <w:tab w:pos="8856" w:val="right" w:leader="dot"/>
        </w:tabs>
      </w:pPr>
      <w:hyperlink w:anchor="_NAESTMA_TOC_2212" w:history="1">
        <w:r>
          <w:rPr>
            <w:color w:val="466B7A"/>
          </w:rPr>
          <w:t>BB-69. Tri-national agricultural minerals agreement</w:t>
        </w:r>
      </w:hyperlink>
      <w:r>
        <w:tab/>
      </w:r>
      <w:r>
        <w:rPr>
          <w:rFonts w:ascii="Arial" w:hAnsi="Arial"/>
        </w:rPr>
        <w:t>1594</w:t>
      </w:r>
    </w:p>
    <w:p>
      <w:pPr>
        <w:pStyle w:val="TOC2"/>
        <w:widowControl/>
        <w:tabs>
          <w:tab w:pos="8856" w:val="right" w:leader="dot"/>
        </w:tabs>
      </w:pPr>
      <w:hyperlink w:anchor="_NAESTMA_TOC_2213" w:history="1">
        <w:r>
          <w:rPr>
            <w:color w:val="466B7A"/>
          </w:rPr>
          <w:t>BB-70. Canadian potash rail corridor investment</w:t>
        </w:r>
      </w:hyperlink>
      <w:r>
        <w:tab/>
      </w:r>
      <w:r>
        <w:rPr>
          <w:rFonts w:ascii="Arial" w:hAnsi="Arial"/>
        </w:rPr>
        <w:t>1594</w:t>
      </w:r>
    </w:p>
    <w:p>
      <w:pPr>
        <w:pStyle w:val="TOC2"/>
        <w:widowControl/>
        <w:tabs>
          <w:tab w:pos="8856" w:val="right" w:leader="dot"/>
        </w:tabs>
      </w:pPr>
      <w:hyperlink w:anchor="_NAESTMA_TOC_2214" w:history="1">
        <w:r>
          <w:rPr>
            <w:color w:val="466B7A"/>
          </w:rPr>
          <w:t>BB-71. Mexican molybdenum to US steel mills</w:t>
        </w:r>
      </w:hyperlink>
      <w:r>
        <w:tab/>
      </w:r>
      <w:r>
        <w:rPr>
          <w:rFonts w:ascii="Arial" w:hAnsi="Arial"/>
        </w:rPr>
        <w:t>1595</w:t>
      </w:r>
    </w:p>
    <w:p>
      <w:pPr>
        <w:pStyle w:val="TOC2"/>
        <w:widowControl/>
        <w:tabs>
          <w:tab w:pos="8856" w:val="right" w:leader="dot"/>
        </w:tabs>
      </w:pPr>
      <w:hyperlink w:anchor="_NAESTMA_TOC_2215" w:history="1">
        <w:r>
          <w:rPr>
            <w:color w:val="466B7A"/>
          </w:rPr>
          <w:t>BB-72. Canadian tungsten exploration</w:t>
        </w:r>
      </w:hyperlink>
      <w:r>
        <w:tab/>
      </w:r>
      <w:r>
        <w:rPr>
          <w:rFonts w:ascii="Arial" w:hAnsi="Arial"/>
        </w:rPr>
        <w:t>1595</w:t>
      </w:r>
    </w:p>
    <w:p>
      <w:pPr>
        <w:pStyle w:val="TOC2"/>
        <w:widowControl/>
        <w:tabs>
          <w:tab w:pos="8856" w:val="right" w:leader="dot"/>
        </w:tabs>
      </w:pPr>
      <w:hyperlink w:anchor="_NAESTMA_TOC_2216" w:history="1">
        <w:r>
          <w:rPr>
            <w:color w:val="466B7A"/>
          </w:rPr>
          <w:t>BB-73. US-Mexico molybdenum processing</w:t>
        </w:r>
      </w:hyperlink>
      <w:r>
        <w:tab/>
      </w:r>
      <w:r>
        <w:rPr>
          <w:rFonts w:ascii="Arial" w:hAnsi="Arial"/>
        </w:rPr>
        <w:t>1595</w:t>
      </w:r>
    </w:p>
    <w:p>
      <w:pPr>
        <w:pStyle w:val="TOC2"/>
        <w:widowControl/>
        <w:tabs>
          <w:tab w:pos="8856" w:val="right" w:leader="dot"/>
        </w:tabs>
      </w:pPr>
      <w:hyperlink w:anchor="_NAESTMA_TOC_2217" w:history="1">
        <w:r>
          <w:rPr>
            <w:color w:val="466B7A"/>
          </w:rPr>
          <w:t>BB-74. Tri-national high-strength steel JV</w:t>
        </w:r>
      </w:hyperlink>
      <w:r>
        <w:tab/>
      </w:r>
      <w:r>
        <w:rPr>
          <w:rFonts w:ascii="Arial" w:hAnsi="Arial"/>
        </w:rPr>
        <w:t>1595</w:t>
      </w:r>
    </w:p>
    <w:p>
      <w:pPr>
        <w:pStyle w:val="TOC2"/>
        <w:widowControl/>
        <w:tabs>
          <w:tab w:pos="8856" w:val="right" w:leader="dot"/>
        </w:tabs>
      </w:pPr>
      <w:hyperlink w:anchor="_NAESTMA_TOC_2218" w:history="1">
        <w:r>
          <w:rPr>
            <w:color w:val="466B7A"/>
          </w:rPr>
          <w:t>BB-75. Mexican molybdenum to Canadian aerospace</w:t>
        </w:r>
      </w:hyperlink>
      <w:r>
        <w:tab/>
      </w:r>
      <w:r>
        <w:rPr>
          <w:rFonts w:ascii="Arial" w:hAnsi="Arial"/>
        </w:rPr>
        <w:t>1595</w:t>
      </w:r>
    </w:p>
    <w:p>
      <w:pPr>
        <w:pStyle w:val="TOC2"/>
        <w:widowControl/>
        <w:tabs>
          <w:tab w:pos="8856" w:val="right" w:leader="dot"/>
        </w:tabs>
      </w:pPr>
      <w:hyperlink w:anchor="_NAESTMA_TOC_2219" w:history="1">
        <w:r>
          <w:rPr>
            <w:color w:val="466B7A"/>
          </w:rPr>
          <w:t>BB-76. North American tungsten stockpile</w:t>
        </w:r>
      </w:hyperlink>
      <w:r>
        <w:tab/>
      </w:r>
      <w:r>
        <w:rPr>
          <w:rFonts w:ascii="Arial" w:hAnsi="Arial"/>
        </w:rPr>
        <w:t>1595</w:t>
      </w:r>
    </w:p>
    <w:p>
      <w:pPr>
        <w:pStyle w:val="TOC2"/>
        <w:widowControl/>
        <w:tabs>
          <w:tab w:pos="8856" w:val="right" w:leader="dot"/>
        </w:tabs>
      </w:pPr>
      <w:hyperlink w:anchor="_NAESTMA_TOC_2220" w:history="1">
        <w:r>
          <w:rPr>
            <w:color w:val="466B7A"/>
          </w:rPr>
          <w:t>BB-77. Mexican fluorspar to US chemical plants</w:t>
        </w:r>
      </w:hyperlink>
      <w:r>
        <w:tab/>
      </w:r>
      <w:r>
        <w:rPr>
          <w:rFonts w:ascii="Arial" w:hAnsi="Arial"/>
        </w:rPr>
        <w:t>1595</w:t>
      </w:r>
    </w:p>
    <w:p>
      <w:pPr>
        <w:pStyle w:val="TOC2"/>
        <w:widowControl/>
        <w:tabs>
          <w:tab w:pos="8856" w:val="right" w:leader="dot"/>
        </w:tabs>
      </w:pPr>
      <w:hyperlink w:anchor="_NAESTMA_TOC_2221" w:history="1">
        <w:r>
          <w:rPr>
            <w:color w:val="466B7A"/>
          </w:rPr>
          <w:t>BB-78. Canadian fluorspar exploration</w:t>
        </w:r>
      </w:hyperlink>
      <w:r>
        <w:tab/>
      </w:r>
      <w:r>
        <w:rPr>
          <w:rFonts w:ascii="Arial" w:hAnsi="Arial"/>
        </w:rPr>
        <w:t>1595</w:t>
      </w:r>
    </w:p>
    <w:p>
      <w:pPr>
        <w:pStyle w:val="TOC2"/>
        <w:widowControl/>
        <w:tabs>
          <w:tab w:pos="8856" w:val="right" w:leader="dot"/>
        </w:tabs>
      </w:pPr>
      <w:hyperlink w:anchor="_NAESTMA_TOC_2222" w:history="1">
        <w:r>
          <w:rPr>
            <w:color w:val="466B7A"/>
          </w:rPr>
          <w:t>BB-79. Mexican barite to US oil &amp; gas</w:t>
        </w:r>
      </w:hyperlink>
      <w:r>
        <w:tab/>
      </w:r>
      <w:r>
        <w:rPr>
          <w:rFonts w:ascii="Arial" w:hAnsi="Arial"/>
        </w:rPr>
        <w:t>1595</w:t>
      </w:r>
    </w:p>
    <w:p>
      <w:pPr>
        <w:pStyle w:val="TOC2"/>
        <w:widowControl/>
        <w:tabs>
          <w:tab w:pos="8856" w:val="right" w:leader="dot"/>
        </w:tabs>
      </w:pPr>
      <w:hyperlink w:anchor="_NAESTMA_TOC_2223" w:history="1">
        <w:r>
          <w:rPr>
            <w:color w:val="466B7A"/>
          </w:rPr>
          <w:t>BB-80. Tri-national fluorspar processing JV</w:t>
        </w:r>
      </w:hyperlink>
      <w:r>
        <w:tab/>
      </w:r>
      <w:r>
        <w:rPr>
          <w:rFonts w:ascii="Arial" w:hAnsi="Arial"/>
        </w:rPr>
        <w:t>1595</w:t>
      </w:r>
    </w:p>
    <w:p>
      <w:pPr>
        <w:pStyle w:val="TOC2"/>
        <w:widowControl/>
        <w:tabs>
          <w:tab w:pos="8856" w:val="right" w:leader="dot"/>
        </w:tabs>
      </w:pPr>
      <w:hyperlink w:anchor="_NAESTMA_TOC_2224" w:history="1">
        <w:r>
          <w:rPr>
            <w:color w:val="466B7A"/>
          </w:rPr>
          <w:t>BB-81. Canadian industrial minerals to Mexico</w:t>
        </w:r>
      </w:hyperlink>
      <w:r>
        <w:tab/>
      </w:r>
      <w:r>
        <w:rPr>
          <w:rFonts w:ascii="Arial" w:hAnsi="Arial"/>
        </w:rPr>
        <w:t>1595</w:t>
      </w:r>
    </w:p>
    <w:p>
      <w:pPr>
        <w:pStyle w:val="TOC2"/>
        <w:widowControl/>
        <w:tabs>
          <w:tab w:pos="8856" w:val="right" w:leader="dot"/>
        </w:tabs>
      </w:pPr>
      <w:hyperlink w:anchor="_NAESTMA_TOC_2225" w:history="1">
        <w:r>
          <w:rPr>
            <w:color w:val="466B7A"/>
          </w:rPr>
          <w:t>BB-82. US-Mexico barite exploration</w:t>
        </w:r>
      </w:hyperlink>
      <w:r>
        <w:tab/>
      </w:r>
      <w:r>
        <w:rPr>
          <w:rFonts w:ascii="Arial" w:hAnsi="Arial"/>
        </w:rPr>
        <w:t>1595</w:t>
      </w:r>
    </w:p>
    <w:p>
      <w:pPr>
        <w:pStyle w:val="TOC2"/>
        <w:widowControl/>
        <w:tabs>
          <w:tab w:pos="8856" w:val="right" w:leader="dot"/>
        </w:tabs>
      </w:pPr>
      <w:hyperlink w:anchor="_NAESTMA_TOC_2226" w:history="1">
        <w:r>
          <w:rPr>
            <w:color w:val="466B7A"/>
          </w:rPr>
          <w:t>BB-83. Tri-national cement &amp; construction minerals</w:t>
        </w:r>
      </w:hyperlink>
      <w:r>
        <w:tab/>
      </w:r>
      <w:r>
        <w:rPr>
          <w:rFonts w:ascii="Arial" w:hAnsi="Arial"/>
        </w:rPr>
        <w:t>1595</w:t>
      </w:r>
    </w:p>
    <w:p>
      <w:pPr>
        <w:pStyle w:val="TOC2"/>
        <w:widowControl/>
        <w:tabs>
          <w:tab w:pos="8856" w:val="right" w:leader="dot"/>
        </w:tabs>
      </w:pPr>
      <w:hyperlink w:anchor="_NAESTMA_TOC_2227" w:history="1">
        <w:r>
          <w:rPr>
            <w:color w:val="466B7A"/>
          </w:rPr>
          <w:t>BB-84. Mexican salt to US/Canadian chemical plants</w:t>
        </w:r>
      </w:hyperlink>
      <w:r>
        <w:tab/>
      </w:r>
      <w:r>
        <w:rPr>
          <w:rFonts w:ascii="Arial" w:hAnsi="Arial"/>
        </w:rPr>
        <w:t>1595</w:t>
      </w:r>
    </w:p>
    <w:p>
      <w:pPr>
        <w:pStyle w:val="TOC2"/>
        <w:widowControl/>
        <w:tabs>
          <w:tab w:pos="8856" w:val="right" w:leader="dot"/>
        </w:tabs>
      </w:pPr>
      <w:hyperlink w:anchor="_NAESTMA_TOC_2228" w:history="1">
        <w:r>
          <w:rPr>
            <w:color w:val="466B7A"/>
          </w:rPr>
          <w:t>BB-85. North American fluorspar strategic reserve</w:t>
        </w:r>
      </w:hyperlink>
      <w:r>
        <w:tab/>
      </w:r>
      <w:r>
        <w:rPr>
          <w:rFonts w:ascii="Arial" w:hAnsi="Arial"/>
        </w:rPr>
        <w:t>1595</w:t>
      </w:r>
    </w:p>
    <w:p>
      <w:pPr>
        <w:pStyle w:val="TOC2"/>
        <w:widowControl/>
        <w:tabs>
          <w:tab w:pos="8856" w:val="right" w:leader="dot"/>
        </w:tabs>
      </w:pPr>
      <w:hyperlink w:anchor="_NAESTMA_TOC_2229" w:history="1">
        <w:r>
          <w:rPr>
            <w:color w:val="466B7A"/>
          </w:rPr>
          <w:t>BB-86. Tri-national industrial minerals database</w:t>
        </w:r>
      </w:hyperlink>
      <w:r>
        <w:tab/>
      </w:r>
      <w:r>
        <w:rPr>
          <w:rFonts w:ascii="Arial" w:hAnsi="Arial"/>
        </w:rPr>
        <w:t>1596</w:t>
      </w:r>
    </w:p>
    <w:p>
      <w:pPr>
        <w:pStyle w:val="TOC2"/>
        <w:widowControl/>
        <w:tabs>
          <w:tab w:pos="8856" w:val="right" w:leader="dot"/>
        </w:tabs>
      </w:pPr>
      <w:hyperlink w:anchor="_NAESTMA_TOC_2230" w:history="1">
        <w:r>
          <w:rPr>
            <w:color w:val="466B7A"/>
          </w:rPr>
          <w:t>BB-87. Canadian uranium to US nuclear plants</w:t>
        </w:r>
      </w:hyperlink>
      <w:r>
        <w:tab/>
      </w:r>
      <w:r>
        <w:rPr>
          <w:rFonts w:ascii="Arial" w:hAnsi="Arial"/>
        </w:rPr>
        <w:t>1596</w:t>
      </w:r>
    </w:p>
    <w:p>
      <w:pPr>
        <w:pStyle w:val="TOC2"/>
        <w:widowControl/>
        <w:tabs>
          <w:tab w:pos="8856" w:val="right" w:leader="dot"/>
        </w:tabs>
      </w:pPr>
      <w:hyperlink w:anchor="_NAESTMA_TOC_2231" w:history="1">
        <w:r>
          <w:rPr>
            <w:color w:val="466B7A"/>
          </w:rPr>
          <w:t>BB-88. US enrichment for Canadian uranium</w:t>
        </w:r>
      </w:hyperlink>
      <w:r>
        <w:tab/>
      </w:r>
      <w:r>
        <w:rPr>
          <w:rFonts w:ascii="Arial" w:hAnsi="Arial"/>
        </w:rPr>
        <w:t>1596</w:t>
      </w:r>
    </w:p>
    <w:p>
      <w:pPr>
        <w:pStyle w:val="TOC2"/>
        <w:widowControl/>
        <w:tabs>
          <w:tab w:pos="8856" w:val="right" w:leader="dot"/>
        </w:tabs>
      </w:pPr>
      <w:hyperlink w:anchor="_NAESTMA_TOC_2232" w:history="1">
        <w:r>
          <w:rPr>
            <w:color w:val="466B7A"/>
          </w:rPr>
          <w:t>BB-89. Mexican uranium exploration</w:t>
        </w:r>
      </w:hyperlink>
      <w:r>
        <w:tab/>
      </w:r>
      <w:r>
        <w:rPr>
          <w:rFonts w:ascii="Arial" w:hAnsi="Arial"/>
        </w:rPr>
        <w:t>1596</w:t>
      </w:r>
    </w:p>
    <w:p>
      <w:pPr>
        <w:pStyle w:val="TOC2"/>
        <w:widowControl/>
        <w:tabs>
          <w:tab w:pos="8856" w:val="right" w:leader="dot"/>
        </w:tabs>
      </w:pPr>
      <w:hyperlink w:anchor="_NAESTMA_TOC_2233" w:history="1">
        <w:r>
          <w:rPr>
            <w:color w:val="466B7A"/>
          </w:rPr>
          <w:t>BB-90. North American Nuclear Fuel Security Cooperation</w:t>
        </w:r>
      </w:hyperlink>
      <w:r>
        <w:tab/>
      </w:r>
      <w:r>
        <w:rPr>
          <w:rFonts w:ascii="Arial" w:hAnsi="Arial"/>
        </w:rPr>
        <w:t>1596</w:t>
      </w:r>
    </w:p>
    <w:p>
      <w:pPr>
        <w:pStyle w:val="TOC2"/>
        <w:widowControl/>
        <w:tabs>
          <w:tab w:pos="8856" w:val="right" w:leader="dot"/>
        </w:tabs>
      </w:pPr>
      <w:hyperlink w:anchor="_NAESTMA_TOC_2234" w:history="1">
        <w:r>
          <w:rPr>
            <w:color w:val="466B7A"/>
          </w:rPr>
          <w:t>BB-91. Canadian uranium to Mexico</w:t>
        </w:r>
      </w:hyperlink>
      <w:r>
        <w:tab/>
      </w:r>
      <w:r>
        <w:rPr>
          <w:rFonts w:ascii="Arial" w:hAnsi="Arial"/>
        </w:rPr>
        <w:t>1596</w:t>
      </w:r>
    </w:p>
    <w:p>
      <w:pPr>
        <w:pStyle w:val="TOC2"/>
        <w:widowControl/>
        <w:tabs>
          <w:tab w:pos="8856" w:val="right" w:leader="dot"/>
        </w:tabs>
      </w:pPr>
      <w:hyperlink w:anchor="_NAESTMA_TOC_2235" w:history="1">
        <w:r>
          <w:rPr>
            <w:color w:val="466B7A"/>
          </w:rPr>
          <w:t>BB-92. North American uranium reserve coordination</w:t>
        </w:r>
      </w:hyperlink>
      <w:r>
        <w:tab/>
      </w:r>
      <w:r>
        <w:rPr>
          <w:rFonts w:ascii="Arial" w:hAnsi="Arial"/>
        </w:rPr>
        <w:t>1596</w:t>
      </w:r>
    </w:p>
    <w:p>
      <w:pPr>
        <w:pStyle w:val="TOC2"/>
        <w:widowControl/>
        <w:tabs>
          <w:tab w:pos="8856" w:val="right" w:leader="dot"/>
        </w:tabs>
      </w:pPr>
      <w:hyperlink w:anchor="_NAESTMA_TOC_2236" w:history="1">
        <w:r>
          <w:rPr>
            <w:color w:val="466B7A"/>
          </w:rPr>
          <w:t>BB-93. Canadian magnesium to US auto plants</w:t>
        </w:r>
      </w:hyperlink>
      <w:r>
        <w:tab/>
      </w:r>
      <w:r>
        <w:rPr>
          <w:rFonts w:ascii="Arial" w:hAnsi="Arial"/>
        </w:rPr>
        <w:t>1596</w:t>
      </w:r>
    </w:p>
    <w:p>
      <w:pPr>
        <w:pStyle w:val="TOC2"/>
        <w:widowControl/>
        <w:tabs>
          <w:tab w:pos="8856" w:val="right" w:leader="dot"/>
        </w:tabs>
      </w:pPr>
      <w:hyperlink w:anchor="_NAESTMA_TOC_2237" w:history="1">
        <w:r>
          <w:rPr>
            <w:color w:val="466B7A"/>
          </w:rPr>
          <w:t>BB-94. Mexican titanium exploration</w:t>
        </w:r>
      </w:hyperlink>
      <w:r>
        <w:tab/>
      </w:r>
      <w:r>
        <w:rPr>
          <w:rFonts w:ascii="Arial" w:hAnsi="Arial"/>
        </w:rPr>
        <w:t>1596</w:t>
      </w:r>
    </w:p>
    <w:p>
      <w:pPr>
        <w:pStyle w:val="TOC2"/>
        <w:widowControl/>
        <w:tabs>
          <w:tab w:pos="8856" w:val="right" w:leader="dot"/>
        </w:tabs>
      </w:pPr>
      <w:hyperlink w:anchor="_NAESTMA_TOC_2238" w:history="1">
        <w:r>
          <w:rPr>
            <w:color w:val="466B7A"/>
          </w:rPr>
          <w:t>BB-95. US titanium sponge plant in Canada</w:t>
        </w:r>
      </w:hyperlink>
      <w:r>
        <w:tab/>
      </w:r>
      <w:r>
        <w:rPr>
          <w:rFonts w:ascii="Arial" w:hAnsi="Arial"/>
        </w:rPr>
        <w:t>1596</w:t>
      </w:r>
    </w:p>
    <w:p>
      <w:pPr>
        <w:pStyle w:val="TOC2"/>
        <w:widowControl/>
        <w:tabs>
          <w:tab w:pos="8856" w:val="right" w:leader="dot"/>
        </w:tabs>
      </w:pPr>
      <w:hyperlink w:anchor="_NAESTMA_TOC_2239" w:history="1">
        <w:r>
          <w:rPr>
            <w:color w:val="466B7A"/>
          </w:rPr>
          <w:t>BB-96. Tri-national aerospace alloys JV</w:t>
        </w:r>
      </w:hyperlink>
      <w:r>
        <w:tab/>
      </w:r>
      <w:r>
        <w:rPr>
          <w:rFonts w:ascii="Arial" w:hAnsi="Arial"/>
        </w:rPr>
        <w:t>1596</w:t>
      </w:r>
    </w:p>
    <w:p>
      <w:pPr>
        <w:pStyle w:val="TOC2"/>
        <w:widowControl/>
        <w:tabs>
          <w:tab w:pos="8856" w:val="right" w:leader="dot"/>
        </w:tabs>
      </w:pPr>
      <w:hyperlink w:anchor="_NAESTMA_TOC_2240" w:history="1">
        <w:r>
          <w:rPr>
            <w:color w:val="466B7A"/>
          </w:rPr>
          <w:t>BB-97. Canadian magnesium processing expansion</w:t>
        </w:r>
      </w:hyperlink>
      <w:r>
        <w:tab/>
      </w:r>
      <w:r>
        <w:rPr>
          <w:rFonts w:ascii="Arial" w:hAnsi="Arial"/>
        </w:rPr>
        <w:t>1596</w:t>
      </w:r>
    </w:p>
    <w:p>
      <w:pPr>
        <w:pStyle w:val="TOC2"/>
        <w:widowControl/>
        <w:tabs>
          <w:tab w:pos="8856" w:val="right" w:leader="dot"/>
        </w:tabs>
      </w:pPr>
      <w:hyperlink w:anchor="_NAESTMA_TOC_2241" w:history="1">
        <w:r>
          <w:rPr>
            <w:color w:val="466B7A"/>
          </w:rPr>
          <w:t>BB-98. Mexican titanium dioxide to US/Canada</w:t>
        </w:r>
      </w:hyperlink>
      <w:r>
        <w:tab/>
      </w:r>
      <w:r>
        <w:rPr>
          <w:rFonts w:ascii="Arial" w:hAnsi="Arial"/>
        </w:rPr>
        <w:t>1596</w:t>
      </w:r>
    </w:p>
    <w:p>
      <w:pPr>
        <w:pStyle w:val="TOC2"/>
        <w:widowControl/>
        <w:tabs>
          <w:tab w:pos="8856" w:val="right" w:leader="dot"/>
        </w:tabs>
      </w:pPr>
      <w:hyperlink w:anchor="_NAESTMA_TOC_2242" w:history="1">
        <w:r>
          <w:rPr>
            <w:color w:val="466B7A"/>
          </w:rPr>
          <w:t>BB-99. Tri-national light metals R&amp;D</w:t>
        </w:r>
      </w:hyperlink>
      <w:r>
        <w:tab/>
      </w:r>
      <w:r>
        <w:rPr>
          <w:rFonts w:ascii="Arial" w:hAnsi="Arial"/>
        </w:rPr>
        <w:t>1596</w:t>
      </w:r>
    </w:p>
    <w:p>
      <w:pPr>
        <w:pStyle w:val="TOC2"/>
        <w:widowControl/>
        <w:tabs>
          <w:tab w:pos="8856" w:val="right" w:leader="dot"/>
        </w:tabs>
      </w:pPr>
      <w:hyperlink w:anchor="_NAESTMA_TOC_2243" w:history="1">
        <w:r>
          <w:rPr>
            <w:color w:val="466B7A"/>
          </w:rPr>
          <w:t>BB-100. North American titanium strategic reserve</w:t>
        </w:r>
      </w:hyperlink>
      <w:r>
        <w:tab/>
      </w:r>
      <w:r>
        <w:rPr>
          <w:rFonts w:ascii="Arial" w:hAnsi="Arial"/>
        </w:rPr>
        <w:t>1597</w:t>
      </w:r>
    </w:p>
    <w:p>
      <w:pPr>
        <w:pStyle w:val="TOC2"/>
        <w:widowControl/>
        <w:tabs>
          <w:tab w:pos="8856" w:val="right" w:leader="dot"/>
        </w:tabs>
      </w:pPr>
      <w:hyperlink w:anchor="_NAESTMA_TOC_2244" w:history="1">
        <w:r>
          <w:rPr>
            <w:color w:val="466B7A"/>
          </w:rPr>
          <w:t>BB-101. Tri-national critical minerals processing fund</w:t>
        </w:r>
      </w:hyperlink>
      <w:r>
        <w:tab/>
      </w:r>
      <w:r>
        <w:rPr>
          <w:rFonts w:ascii="Arial" w:hAnsi="Arial"/>
        </w:rPr>
        <w:t>1597</w:t>
      </w:r>
    </w:p>
    <w:p>
      <w:pPr>
        <w:pStyle w:val="TOC2"/>
        <w:widowControl/>
        <w:tabs>
          <w:tab w:pos="8856" w:val="right" w:leader="dot"/>
        </w:tabs>
      </w:pPr>
      <w:hyperlink w:anchor="_NAESTMA_TOC_2245" w:history="1">
        <w:r>
          <w:rPr>
            <w:color w:val="466B7A"/>
          </w:rPr>
          <w:t>BB-102. US-Mexico-Canada refining corridor</w:t>
        </w:r>
      </w:hyperlink>
      <w:r>
        <w:tab/>
      </w:r>
      <w:r>
        <w:rPr>
          <w:rFonts w:ascii="Arial" w:hAnsi="Arial"/>
        </w:rPr>
        <w:t>1597</w:t>
      </w:r>
    </w:p>
    <w:p>
      <w:pPr>
        <w:pStyle w:val="TOC2"/>
        <w:widowControl/>
        <w:tabs>
          <w:tab w:pos="8856" w:val="right" w:leader="dot"/>
        </w:tabs>
      </w:pPr>
      <w:hyperlink w:anchor="_NAESTMA_TOC_2246" w:history="1">
        <w:r>
          <w:rPr>
            <w:color w:val="466B7A"/>
          </w:rPr>
          <w:t>BB-103. Shared metallurgical R&amp;D center</w:t>
        </w:r>
      </w:hyperlink>
      <w:r>
        <w:tab/>
      </w:r>
      <w:r>
        <w:rPr>
          <w:rFonts w:ascii="Arial" w:hAnsi="Arial"/>
        </w:rPr>
        <w:t>1597</w:t>
      </w:r>
    </w:p>
    <w:p>
      <w:pPr>
        <w:pStyle w:val="TOC2"/>
        <w:widowControl/>
        <w:tabs>
          <w:tab w:pos="8856" w:val="right" w:leader="dot"/>
        </w:tabs>
      </w:pPr>
      <w:hyperlink w:anchor="_NAESTMA_TOC_2247" w:history="1">
        <w:r>
          <w:rPr>
            <w:color w:val="466B7A"/>
          </w:rPr>
          <w:t>BB-104. Canadian smelter revitalization</w:t>
        </w:r>
      </w:hyperlink>
      <w:r>
        <w:tab/>
      </w:r>
      <w:r>
        <w:rPr>
          <w:rFonts w:ascii="Arial" w:hAnsi="Arial"/>
        </w:rPr>
        <w:t>1597</w:t>
      </w:r>
    </w:p>
    <w:p>
      <w:pPr>
        <w:pStyle w:val="TOC2"/>
        <w:widowControl/>
        <w:tabs>
          <w:tab w:pos="8856" w:val="right" w:leader="dot"/>
        </w:tabs>
      </w:pPr>
      <w:hyperlink w:anchor="_NAESTMA_TOC_2248" w:history="1">
        <w:r>
          <w:rPr>
            <w:color w:val="466B7A"/>
          </w:rPr>
          <w:t>BB-105. Mexican processing workforce development</w:t>
        </w:r>
      </w:hyperlink>
      <w:r>
        <w:tab/>
      </w:r>
      <w:r>
        <w:rPr>
          <w:rFonts w:ascii="Arial" w:hAnsi="Arial"/>
        </w:rPr>
        <w:t>1597</w:t>
      </w:r>
    </w:p>
    <w:p>
      <w:pPr>
        <w:pStyle w:val="TOC2"/>
        <w:widowControl/>
        <w:tabs>
          <w:tab w:pos="8856" w:val="right" w:leader="dot"/>
        </w:tabs>
      </w:pPr>
      <w:hyperlink w:anchor="_NAESTMA_TOC_2249" w:history="1">
        <w:r>
          <w:rPr>
            <w:color w:val="466B7A"/>
          </w:rPr>
          <w:t>BB-106. Tri-national mineral processing equipment JV</w:t>
        </w:r>
      </w:hyperlink>
      <w:r>
        <w:tab/>
      </w:r>
      <w:r>
        <w:rPr>
          <w:rFonts w:ascii="Arial" w:hAnsi="Arial"/>
        </w:rPr>
        <w:t>1597</w:t>
      </w:r>
    </w:p>
    <w:p>
      <w:pPr>
        <w:pStyle w:val="TOC2"/>
        <w:widowControl/>
        <w:tabs>
          <w:tab w:pos="8856" w:val="right" w:leader="dot"/>
        </w:tabs>
      </w:pPr>
      <w:hyperlink w:anchor="_NAESTMA_TOC_2250" w:history="1">
        <w:r>
          <w:rPr>
            <w:color w:val="466B7A"/>
          </w:rPr>
          <w:t>BB-107. US-Canada-Mexico processing technology sharing</w:t>
        </w:r>
      </w:hyperlink>
      <w:r>
        <w:tab/>
      </w:r>
      <w:r>
        <w:rPr>
          <w:rFonts w:ascii="Arial" w:hAnsi="Arial"/>
        </w:rPr>
        <w:t>1597</w:t>
      </w:r>
    </w:p>
    <w:p>
      <w:pPr>
        <w:pStyle w:val="TOC2"/>
        <w:widowControl/>
        <w:tabs>
          <w:tab w:pos="8856" w:val="right" w:leader="dot"/>
        </w:tabs>
      </w:pPr>
      <w:hyperlink w:anchor="_NAESTMA_TOC_2251" w:history="1">
        <w:r>
          <w:rPr>
            <w:color w:val="466B7A"/>
          </w:rPr>
          <w:t>BB-108. Coordinated permitting for processing facilities</w:t>
        </w:r>
      </w:hyperlink>
      <w:r>
        <w:tab/>
      </w:r>
      <w:r>
        <w:rPr>
          <w:rFonts w:ascii="Arial" w:hAnsi="Arial"/>
        </w:rPr>
        <w:t>1597</w:t>
      </w:r>
    </w:p>
    <w:p>
      <w:pPr>
        <w:pStyle w:val="TOC2"/>
        <w:widowControl/>
        <w:tabs>
          <w:tab w:pos="8856" w:val="right" w:leader="dot"/>
        </w:tabs>
      </w:pPr>
      <w:hyperlink w:anchor="_NAESTMA_TOC_2252" w:history="1">
        <w:r>
          <w:rPr>
            <w:color w:val="466B7A"/>
          </w:rPr>
          <w:t>BB-109. Tri-national circular mineral economy</w:t>
        </w:r>
      </w:hyperlink>
      <w:r>
        <w:tab/>
      </w:r>
      <w:r>
        <w:rPr>
          <w:rFonts w:ascii="Arial" w:hAnsi="Arial"/>
        </w:rPr>
        <w:t>1597</w:t>
      </w:r>
    </w:p>
    <w:p>
      <w:pPr>
        <w:pStyle w:val="TOC2"/>
        <w:widowControl/>
        <w:tabs>
          <w:tab w:pos="8856" w:val="right" w:leader="dot"/>
        </w:tabs>
      </w:pPr>
      <w:hyperlink w:anchor="_NAESTMA_TOC_2253" w:history="1">
        <w:r>
          <w:rPr>
            <w:color w:val="466B7A"/>
          </w:rPr>
          <w:t>BB-110. Joint tailings reprocessing initiative</w:t>
        </w:r>
      </w:hyperlink>
      <w:r>
        <w:tab/>
      </w:r>
      <w:r>
        <w:rPr>
          <w:rFonts w:ascii="Arial" w:hAnsi="Arial"/>
        </w:rPr>
        <w:t>1597</w:t>
      </w:r>
    </w:p>
    <w:p>
      <w:pPr>
        <w:pStyle w:val="TOC2"/>
        <w:widowControl/>
        <w:tabs>
          <w:tab w:pos="8856" w:val="right" w:leader="dot"/>
        </w:tabs>
      </w:pPr>
      <w:hyperlink w:anchor="_NAESTMA_TOC_2254" w:history="1">
        <w:r>
          <w:rPr>
            <w:color w:val="466B7A"/>
          </w:rPr>
          <w:t>BB-111. North American mineral processing standards</w:t>
        </w:r>
      </w:hyperlink>
      <w:r>
        <w:tab/>
      </w:r>
      <w:r>
        <w:rPr>
          <w:rFonts w:ascii="Arial" w:hAnsi="Arial"/>
        </w:rPr>
        <w:t>1597</w:t>
      </w:r>
    </w:p>
    <w:p>
      <w:pPr>
        <w:pStyle w:val="TOC2"/>
        <w:widowControl/>
        <w:tabs>
          <w:tab w:pos="8856" w:val="right" w:leader="dot"/>
        </w:tabs>
      </w:pPr>
      <w:hyperlink w:anchor="_NAESTMA_TOC_2255" w:history="1">
        <w:r>
          <w:rPr>
            <w:color w:val="466B7A"/>
          </w:rPr>
          <w:t>BB-112. Tri-national processing investment tax credits</w:t>
        </w:r>
      </w:hyperlink>
      <w:r>
        <w:tab/>
      </w:r>
      <w:r>
        <w:rPr>
          <w:rFonts w:ascii="Arial" w:hAnsi="Arial"/>
        </w:rPr>
        <w:t>1597</w:t>
      </w:r>
    </w:p>
    <w:p>
      <w:pPr>
        <w:pStyle w:val="TOC2"/>
        <w:widowControl/>
        <w:tabs>
          <w:tab w:pos="8856" w:val="right" w:leader="dot"/>
        </w:tabs>
      </w:pPr>
      <w:hyperlink w:anchor="_NAESTMA_TOC_2256" w:history="1">
        <w:r>
          <w:rPr>
            <w:color w:val="466B7A"/>
          </w:rPr>
          <w:t>BB-113. Tri-national geological survey integration</w:t>
        </w:r>
      </w:hyperlink>
      <w:r>
        <w:tab/>
      </w:r>
      <w:r>
        <w:rPr>
          <w:rFonts w:ascii="Arial" w:hAnsi="Arial"/>
        </w:rPr>
        <w:t>1597</w:t>
      </w:r>
    </w:p>
    <w:p>
      <w:pPr>
        <w:pStyle w:val="TOC2"/>
        <w:widowControl/>
        <w:tabs>
          <w:tab w:pos="8856" w:val="right" w:leader="dot"/>
        </w:tabs>
      </w:pPr>
      <w:hyperlink w:anchor="_NAESTMA_TOC_2257" w:history="1">
        <w:r>
          <w:rPr>
            <w:color w:val="466B7A"/>
          </w:rPr>
          <w:t>BB-114. USGS-Canadian-Mexican joint exploration program</w:t>
        </w:r>
      </w:hyperlink>
      <w:r>
        <w:tab/>
      </w:r>
      <w:r>
        <w:rPr>
          <w:rFonts w:ascii="Arial" w:hAnsi="Arial"/>
        </w:rPr>
        <w:t>1597</w:t>
      </w:r>
    </w:p>
    <w:p>
      <w:pPr>
        <w:pStyle w:val="TOC2"/>
        <w:widowControl/>
        <w:tabs>
          <w:tab w:pos="8856" w:val="right" w:leader="dot"/>
        </w:tabs>
      </w:pPr>
      <w:hyperlink w:anchor="_NAESTMA_TOC_2258" w:history="1">
        <w:r>
          <w:rPr>
            <w:color w:val="466B7A"/>
          </w:rPr>
          <w:t>BB-115. Shared satellite mineral sensing</w:t>
        </w:r>
      </w:hyperlink>
      <w:r>
        <w:tab/>
      </w:r>
      <w:r>
        <w:rPr>
          <w:rFonts w:ascii="Arial" w:hAnsi="Arial"/>
        </w:rPr>
        <w:t>1598</w:t>
      </w:r>
    </w:p>
    <w:p>
      <w:pPr>
        <w:pStyle w:val="TOC2"/>
        <w:widowControl/>
        <w:tabs>
          <w:tab w:pos="8856" w:val="right" w:leader="dot"/>
        </w:tabs>
      </w:pPr>
      <w:hyperlink w:anchor="_NAESTMA_TOC_2259" w:history="1">
        <w:r>
          <w:rPr>
            <w:color w:val="466B7A"/>
          </w:rPr>
          <w:t>BB-116. Tri-national critical minerals mapping</w:t>
        </w:r>
      </w:hyperlink>
      <w:r>
        <w:tab/>
      </w:r>
      <w:r>
        <w:rPr>
          <w:rFonts w:ascii="Arial" w:hAnsi="Arial"/>
        </w:rPr>
        <w:t>1598</w:t>
      </w:r>
    </w:p>
    <w:p>
      <w:pPr>
        <w:pStyle w:val="TOC2"/>
        <w:widowControl/>
        <w:tabs>
          <w:tab w:pos="8856" w:val="right" w:leader="dot"/>
        </w:tabs>
      </w:pPr>
      <w:hyperlink w:anchor="_NAESTMA_TOC_2260" w:history="1">
        <w:r>
          <w:rPr>
            <w:color w:val="466B7A"/>
          </w:rPr>
          <w:t>BB-117. Canadian exploration tech to Mexico</w:t>
        </w:r>
      </w:hyperlink>
      <w:r>
        <w:tab/>
      </w:r>
      <w:r>
        <w:rPr>
          <w:rFonts w:ascii="Arial" w:hAnsi="Arial"/>
        </w:rPr>
        <w:t>1598</w:t>
      </w:r>
    </w:p>
    <w:p>
      <w:pPr>
        <w:pStyle w:val="TOC2"/>
        <w:widowControl/>
        <w:tabs>
          <w:tab w:pos="8856" w:val="right" w:leader="dot"/>
        </w:tabs>
      </w:pPr>
      <w:hyperlink w:anchor="_NAESTMA_TOC_2261" w:history="1">
        <w:r>
          <w:rPr>
            <w:color w:val="466B7A"/>
          </w:rPr>
          <w:t>BB-118. Mineral Investment Certainty Within Existing North American Architecture</w:t>
        </w:r>
      </w:hyperlink>
      <w:r>
        <w:tab/>
      </w:r>
      <w:r>
        <w:rPr>
          <w:rFonts w:ascii="Arial" w:hAnsi="Arial"/>
        </w:rPr>
        <w:t>1598</w:t>
      </w:r>
    </w:p>
    <w:p>
      <w:pPr>
        <w:pStyle w:val="TOC2"/>
        <w:widowControl/>
        <w:tabs>
          <w:tab w:pos="8856" w:val="right" w:leader="dot"/>
        </w:tabs>
      </w:pPr>
      <w:hyperlink w:anchor="_NAESTMA_TOC_2262" w:history="1">
        <w:r>
          <w:rPr>
            <w:color w:val="466B7A"/>
          </w:rPr>
          <w:t>BB-119. Tri-national mining innovation network</w:t>
        </w:r>
      </w:hyperlink>
      <w:r>
        <w:tab/>
      </w:r>
      <w:r>
        <w:rPr>
          <w:rFonts w:ascii="Arial" w:hAnsi="Arial"/>
        </w:rPr>
        <w:t>1598</w:t>
      </w:r>
    </w:p>
    <w:p>
      <w:pPr>
        <w:pStyle w:val="TOC2"/>
        <w:widowControl/>
        <w:tabs>
          <w:tab w:pos="8856" w:val="right" w:leader="dot"/>
        </w:tabs>
      </w:pPr>
      <w:hyperlink w:anchor="_NAESTMA_TOC_2263" w:history="1">
        <w:r>
          <w:rPr>
            <w:color w:val="466B7A"/>
          </w:rPr>
          <w:t>BB-120. North American mineral resource estimate</w:t>
        </w:r>
      </w:hyperlink>
      <w:r>
        <w:tab/>
      </w:r>
      <w:r>
        <w:rPr>
          <w:rFonts w:ascii="Arial" w:hAnsi="Arial"/>
        </w:rPr>
        <w:t>1598</w:t>
      </w:r>
    </w:p>
    <w:p>
      <w:pPr>
        <w:pStyle w:val="TOC1"/>
        <w:widowControl/>
        <w:tabs>
          <w:tab w:pos="8856" w:val="right" w:leader="dot"/>
        </w:tabs>
      </w:pPr>
      <w:hyperlink w:anchor="_NAESTMA_TOC_2264" w:history="1">
        <w:r>
          <w:rPr>
            <w:color w:val="233746"/>
          </w:rPr>
          <w:t>PACKAGE BC — PROCESSING AND REFINING INDUSTRIALIZATION CATALOGUE (101 MECHANISMS)</w:t>
        </w:r>
      </w:hyperlink>
      <w:r>
        <w:tab/>
      </w:r>
      <w:r>
        <w:rPr>
          <w:rFonts w:ascii="Arial" w:hAnsi="Arial"/>
        </w:rPr>
        <w:t>1599</w:t>
      </w:r>
    </w:p>
    <w:p>
      <w:pPr>
        <w:pStyle w:val="TOC2"/>
        <w:widowControl/>
        <w:tabs>
          <w:tab w:pos="8856" w:val="right" w:leader="dot"/>
        </w:tabs>
      </w:pPr>
      <w:hyperlink w:anchor="_NAESTMA_TOC_2265" w:history="1">
        <w:r>
          <w:rPr>
            <w:color w:val="466B7A"/>
          </w:rPr>
          <w:t>BC-1. Tri-National Critical Minerals Sovereign Fund</w:t>
        </w:r>
      </w:hyperlink>
      <w:r>
        <w:tab/>
      </w:r>
      <w:r>
        <w:rPr>
          <w:rFonts w:ascii="Arial" w:hAnsi="Arial"/>
        </w:rPr>
        <w:t>1599</w:t>
      </w:r>
    </w:p>
    <w:p>
      <w:pPr>
        <w:pStyle w:val="TOC2"/>
        <w:widowControl/>
        <w:tabs>
          <w:tab w:pos="8856" w:val="right" w:leader="dot"/>
        </w:tabs>
      </w:pPr>
      <w:hyperlink w:anchor="_NAESTMA_TOC_2266" w:history="1">
        <w:r>
          <w:rPr>
            <w:color w:val="466B7A"/>
          </w:rPr>
          <w:t>BC-2. USMCA Critical Minerals Investment Corridor</w:t>
        </w:r>
      </w:hyperlink>
      <w:r>
        <w:tab/>
      </w:r>
      <w:r>
        <w:rPr>
          <w:rFonts w:ascii="Arial" w:hAnsi="Arial"/>
        </w:rPr>
        <w:t>1599</w:t>
      </w:r>
    </w:p>
    <w:p>
      <w:pPr>
        <w:pStyle w:val="TOC2"/>
        <w:widowControl/>
        <w:tabs>
          <w:tab w:pos="8856" w:val="right" w:leader="dot"/>
        </w:tabs>
      </w:pPr>
      <w:hyperlink w:anchor="_NAESTMA_TOC_2267" w:history="1">
        <w:r>
          <w:rPr>
            <w:color w:val="466B7A"/>
          </w:rPr>
          <w:t>BC-3. North American Smelter Revitalization Fund</w:t>
        </w:r>
      </w:hyperlink>
      <w:r>
        <w:tab/>
      </w:r>
      <w:r>
        <w:rPr>
          <w:rFonts w:ascii="Arial" w:hAnsi="Arial"/>
        </w:rPr>
        <w:t>1599</w:t>
      </w:r>
    </w:p>
    <w:p>
      <w:pPr>
        <w:pStyle w:val="TOC2"/>
        <w:widowControl/>
        <w:tabs>
          <w:tab w:pos="8856" w:val="right" w:leader="dot"/>
        </w:tabs>
      </w:pPr>
      <w:hyperlink w:anchor="_NAESTMA_TOC_2268" w:history="1">
        <w:r>
          <w:rPr>
            <w:color w:val="466B7A"/>
          </w:rPr>
          <w:t>BC-4. Tri-Lateral Loan Guarantee Program</w:t>
        </w:r>
      </w:hyperlink>
      <w:r>
        <w:tab/>
      </w:r>
      <w:r>
        <w:rPr>
          <w:rFonts w:ascii="Arial" w:hAnsi="Arial"/>
        </w:rPr>
        <w:t>1599</w:t>
      </w:r>
    </w:p>
    <w:p>
      <w:pPr>
        <w:pStyle w:val="TOC2"/>
        <w:widowControl/>
        <w:tabs>
          <w:tab w:pos="8856" w:val="right" w:leader="dot"/>
        </w:tabs>
      </w:pPr>
      <w:hyperlink w:anchor="_NAESTMA_TOC_2269" w:history="1">
        <w:r>
          <w:rPr>
            <w:color w:val="466B7A"/>
          </w:rPr>
          <w:t>BC-5. Joint Strategic Stockpile Financing</w:t>
        </w:r>
      </w:hyperlink>
      <w:r>
        <w:tab/>
      </w:r>
      <w:r>
        <w:rPr>
          <w:rFonts w:ascii="Arial" w:hAnsi="Arial"/>
        </w:rPr>
        <w:t>1599</w:t>
      </w:r>
    </w:p>
    <w:p>
      <w:pPr>
        <w:pStyle w:val="TOC2"/>
        <w:widowControl/>
        <w:tabs>
          <w:tab w:pos="8856" w:val="right" w:leader="dot"/>
        </w:tabs>
      </w:pPr>
      <w:hyperlink w:anchor="_NAESTMA_TOC_2270" w:history="1">
        <w:r>
          <w:rPr>
            <w:color w:val="466B7A"/>
          </w:rPr>
          <w:t>BC-6. Cross-Border Infrastructure Bonds</w:t>
        </w:r>
      </w:hyperlink>
      <w:r>
        <w:tab/>
      </w:r>
      <w:r>
        <w:rPr>
          <w:rFonts w:ascii="Arial" w:hAnsi="Arial"/>
        </w:rPr>
        <w:t>1599</w:t>
      </w:r>
    </w:p>
    <w:p>
      <w:pPr>
        <w:pStyle w:val="TOC2"/>
        <w:widowControl/>
        <w:tabs>
          <w:tab w:pos="8856" w:val="right" w:leader="dot"/>
        </w:tabs>
      </w:pPr>
      <w:hyperlink w:anchor="_NAESTMA_TOC_2271" w:history="1">
        <w:r>
          <w:rPr>
            <w:color w:val="466B7A"/>
          </w:rPr>
          <w:t>BC-7. Trilateral Mineral Investment Certainty</w:t>
        </w:r>
      </w:hyperlink>
      <w:r>
        <w:tab/>
      </w:r>
      <w:r>
        <w:rPr>
          <w:rFonts w:ascii="Arial" w:hAnsi="Arial"/>
        </w:rPr>
        <w:t>1599</w:t>
      </w:r>
    </w:p>
    <w:p>
      <w:pPr>
        <w:pStyle w:val="TOC2"/>
        <w:widowControl/>
        <w:tabs>
          <w:tab w:pos="8856" w:val="right" w:leader="dot"/>
        </w:tabs>
      </w:pPr>
      <w:hyperlink w:anchor="_NAESTMA_TOC_2272" w:history="1">
        <w:r>
          <w:rPr>
            <w:color w:val="466B7A"/>
          </w:rPr>
          <w:t>BC-8. Canadian Pension Fund Investment in US/Mexico Refineries</w:t>
        </w:r>
      </w:hyperlink>
      <w:r>
        <w:tab/>
      </w:r>
      <w:r>
        <w:rPr>
          <w:rFonts w:ascii="Arial" w:hAnsi="Arial"/>
        </w:rPr>
        <w:t>1599</w:t>
      </w:r>
    </w:p>
    <w:p>
      <w:pPr>
        <w:pStyle w:val="TOC2"/>
        <w:widowControl/>
        <w:tabs>
          <w:tab w:pos="8856" w:val="right" w:leader="dot"/>
        </w:tabs>
      </w:pPr>
      <w:hyperlink w:anchor="_NAESTMA_TOC_2273" w:history="1">
        <w:r>
          <w:rPr>
            <w:color w:val="466B7A"/>
          </w:rPr>
          <w:t>BC-9. US Defense Production Act Investments in Canada/Mexico</w:t>
        </w:r>
      </w:hyperlink>
      <w:r>
        <w:tab/>
      </w:r>
      <w:r>
        <w:rPr>
          <w:rFonts w:ascii="Arial" w:hAnsi="Arial"/>
        </w:rPr>
        <w:t>1599</w:t>
      </w:r>
    </w:p>
    <w:p>
      <w:pPr>
        <w:pStyle w:val="TOC2"/>
        <w:widowControl/>
        <w:tabs>
          <w:tab w:pos="8856" w:val="right" w:leader="dot"/>
        </w:tabs>
      </w:pPr>
      <w:hyperlink w:anchor="_NAESTMA_TOC_2274" w:history="1">
        <w:r>
          <w:rPr>
            <w:color w:val="466B7A"/>
          </w:rPr>
          <w:t>BC-10. Mexican Sovereign Wealth Fund for Processing</w:t>
        </w:r>
      </w:hyperlink>
      <w:r>
        <w:tab/>
      </w:r>
      <w:r>
        <w:rPr>
          <w:rFonts w:ascii="Arial" w:hAnsi="Arial"/>
        </w:rPr>
        <w:t>1599</w:t>
      </w:r>
    </w:p>
    <w:p>
      <w:pPr>
        <w:pStyle w:val="TOC2"/>
        <w:widowControl/>
        <w:tabs>
          <w:tab w:pos="8856" w:val="right" w:leader="dot"/>
        </w:tabs>
      </w:pPr>
      <w:hyperlink w:anchor="_NAESTMA_TOC_2275" w:history="1">
        <w:r>
          <w:rPr>
            <w:color w:val="466B7A"/>
          </w:rPr>
          <w:t>BC-11. Tri-National Equity Co-Investment Platform</w:t>
        </w:r>
      </w:hyperlink>
      <w:r>
        <w:tab/>
      </w:r>
      <w:r>
        <w:rPr>
          <w:rFonts w:ascii="Arial" w:hAnsi="Arial"/>
        </w:rPr>
        <w:t>1599</w:t>
      </w:r>
    </w:p>
    <w:p>
      <w:pPr>
        <w:pStyle w:val="TOC2"/>
        <w:widowControl/>
        <w:tabs>
          <w:tab w:pos="8856" w:val="right" w:leader="dot"/>
        </w:tabs>
      </w:pPr>
      <w:hyperlink w:anchor="_NAESTMA_TOC_2276" w:history="1">
        <w:r>
          <w:rPr>
            <w:color w:val="466B7A"/>
          </w:rPr>
          <w:t>BC-12. USMCA Processing Incentive Tax Credits</w:t>
        </w:r>
      </w:hyperlink>
      <w:r>
        <w:tab/>
      </w:r>
      <w:r>
        <w:rPr>
          <w:rFonts w:ascii="Arial" w:hAnsi="Arial"/>
        </w:rPr>
        <w:t>1599</w:t>
      </w:r>
    </w:p>
    <w:p>
      <w:pPr>
        <w:pStyle w:val="TOC2"/>
        <w:widowControl/>
        <w:tabs>
          <w:tab w:pos="8856" w:val="right" w:leader="dot"/>
        </w:tabs>
      </w:pPr>
      <w:hyperlink w:anchor="_NAESTMA_TOC_2277" w:history="1">
        <w:r>
          <w:rPr>
            <w:color w:val="466B7A"/>
          </w:rPr>
          <w:t>BC-13. Joint Project Preparation Facility</w:t>
        </w:r>
      </w:hyperlink>
      <w:r>
        <w:tab/>
      </w:r>
      <w:r>
        <w:rPr>
          <w:rFonts w:ascii="Arial" w:hAnsi="Arial"/>
        </w:rPr>
        <w:t>1600</w:t>
      </w:r>
    </w:p>
    <w:p>
      <w:pPr>
        <w:pStyle w:val="TOC2"/>
        <w:widowControl/>
        <w:tabs>
          <w:tab w:pos="8856" w:val="right" w:leader="dot"/>
        </w:tabs>
      </w:pPr>
      <w:hyperlink w:anchor="_NAESTMA_TOC_2278" w:history="1">
        <w:r>
          <w:rPr>
            <w:color w:val="466B7A"/>
          </w:rPr>
          <w:t>BC-14. Critical Minerals Finance Window</w:t>
        </w:r>
      </w:hyperlink>
      <w:r>
        <w:tab/>
      </w:r>
      <w:r>
        <w:rPr>
          <w:rFonts w:ascii="Arial" w:hAnsi="Arial"/>
        </w:rPr>
        <w:t>1600</w:t>
      </w:r>
    </w:p>
    <w:p>
      <w:pPr>
        <w:pStyle w:val="TOC2"/>
        <w:widowControl/>
        <w:tabs>
          <w:tab w:pos="8856" w:val="right" w:leader="dot"/>
        </w:tabs>
      </w:pPr>
      <w:hyperlink w:anchor="_NAESTMA_TOC_2279" w:history="1">
        <w:r>
          <w:rPr>
            <w:color w:val="466B7A"/>
          </w:rPr>
          <w:t>BC-15. Tri-National Offtake Aggregation</w:t>
        </w:r>
      </w:hyperlink>
      <w:r>
        <w:tab/>
      </w:r>
      <w:r>
        <w:rPr>
          <w:rFonts w:ascii="Arial" w:hAnsi="Arial"/>
        </w:rPr>
        <w:t>1600</w:t>
      </w:r>
    </w:p>
    <w:p>
      <w:pPr>
        <w:pStyle w:val="TOC2"/>
        <w:widowControl/>
        <w:tabs>
          <w:tab w:pos="8856" w:val="right" w:leader="dot"/>
        </w:tabs>
      </w:pPr>
      <w:hyperlink w:anchor="_NAESTMA_TOC_2280" w:history="1">
        <w:r>
          <w:rPr>
            <w:color w:val="466B7A"/>
          </w:rPr>
          <w:t>BC-16. Harmonized Environmental Permitting</w:t>
        </w:r>
      </w:hyperlink>
      <w:r>
        <w:tab/>
      </w:r>
      <w:r>
        <w:rPr>
          <w:rFonts w:ascii="Arial" w:hAnsi="Arial"/>
        </w:rPr>
        <w:t>1600</w:t>
      </w:r>
    </w:p>
    <w:p>
      <w:pPr>
        <w:pStyle w:val="TOC2"/>
        <w:widowControl/>
        <w:tabs>
          <w:tab w:pos="8856" w:val="right" w:leader="dot"/>
        </w:tabs>
      </w:pPr>
      <w:hyperlink w:anchor="_NAESTMA_TOC_2281" w:history="1">
        <w:r>
          <w:rPr>
            <w:color w:val="466B7A"/>
          </w:rPr>
          <w:t>BC-17. Shared Critical Minerals List</w:t>
        </w:r>
      </w:hyperlink>
      <w:r>
        <w:tab/>
      </w:r>
      <w:r>
        <w:rPr>
          <w:rFonts w:ascii="Arial" w:hAnsi="Arial"/>
        </w:rPr>
        <w:t>1600</w:t>
      </w:r>
    </w:p>
    <w:p>
      <w:pPr>
        <w:pStyle w:val="TOC2"/>
        <w:widowControl/>
        <w:tabs>
          <w:tab w:pos="8856" w:val="right" w:leader="dot"/>
        </w:tabs>
      </w:pPr>
      <w:hyperlink w:anchor="_NAESTMA_TOC_2282" w:history="1">
        <w:r>
          <w:rPr>
            <w:color w:val="466B7A"/>
          </w:rPr>
          <w:t>BC-18. USMCA Cumulation for Processing</w:t>
        </w:r>
      </w:hyperlink>
      <w:r>
        <w:tab/>
      </w:r>
      <w:r>
        <w:rPr>
          <w:rFonts w:ascii="Arial" w:hAnsi="Arial"/>
        </w:rPr>
        <w:t>1600</w:t>
      </w:r>
    </w:p>
    <w:p>
      <w:pPr>
        <w:pStyle w:val="TOC2"/>
        <w:widowControl/>
        <w:tabs>
          <w:tab w:pos="8856" w:val="right" w:leader="dot"/>
        </w:tabs>
      </w:pPr>
      <w:hyperlink w:anchor="_NAESTMA_TOC_2283" w:history="1">
        <w:r>
          <w:rPr>
            <w:color w:val="466B7A"/>
          </w:rPr>
          <w:t>BC-19. Coordinated External Tariffs</w:t>
        </w:r>
      </w:hyperlink>
      <w:r>
        <w:tab/>
      </w:r>
      <w:r>
        <w:rPr>
          <w:rFonts w:ascii="Arial" w:hAnsi="Arial"/>
        </w:rPr>
        <w:t>1600</w:t>
      </w:r>
    </w:p>
    <w:p>
      <w:pPr>
        <w:pStyle w:val="TOC2"/>
        <w:widowControl/>
        <w:tabs>
          <w:tab w:pos="8856" w:val="right" w:leader="dot"/>
        </w:tabs>
      </w:pPr>
      <w:hyperlink w:anchor="_NAESTMA_TOC_2284" w:history="1">
        <w:r>
          <w:rPr>
            <w:color w:val="466B7A"/>
          </w:rPr>
          <w:t>BC-20. Border-Adjusted Price Floors</w:t>
        </w:r>
      </w:hyperlink>
      <w:r>
        <w:tab/>
      </w:r>
      <w:r>
        <w:rPr>
          <w:rFonts w:ascii="Arial" w:hAnsi="Arial"/>
        </w:rPr>
        <w:t>1600</w:t>
      </w:r>
    </w:p>
    <w:p>
      <w:pPr>
        <w:pStyle w:val="TOC2"/>
        <w:widowControl/>
        <w:tabs>
          <w:tab w:pos="8856" w:val="right" w:leader="dot"/>
        </w:tabs>
      </w:pPr>
      <w:hyperlink w:anchor="_NAESTMA_TOC_2285" w:history="1">
        <w:r>
          <w:rPr>
            <w:color w:val="466B7A"/>
          </w:rPr>
          <w:t>BC-21. Harmonized Processing Standards</w:t>
        </w:r>
      </w:hyperlink>
      <w:r>
        <w:tab/>
      </w:r>
      <w:r>
        <w:rPr>
          <w:rFonts w:ascii="Arial" w:hAnsi="Arial"/>
        </w:rPr>
        <w:t>1600</w:t>
      </w:r>
    </w:p>
    <w:p>
      <w:pPr>
        <w:pStyle w:val="TOC2"/>
        <w:widowControl/>
        <w:tabs>
          <w:tab w:pos="8856" w:val="right" w:leader="dot"/>
        </w:tabs>
      </w:pPr>
      <w:hyperlink w:anchor="_NAESTMA_TOC_2286" w:history="1">
        <w:r>
          <w:rPr>
            <w:color w:val="466B7A"/>
          </w:rPr>
          <w:t>BC-22. Streamlined Cross-Border Waste Shipment Rules</w:t>
        </w:r>
      </w:hyperlink>
      <w:r>
        <w:tab/>
      </w:r>
      <w:r>
        <w:rPr>
          <w:rFonts w:ascii="Arial" w:hAnsi="Arial"/>
        </w:rPr>
        <w:t>1600</w:t>
      </w:r>
    </w:p>
    <w:p>
      <w:pPr>
        <w:pStyle w:val="TOC2"/>
        <w:widowControl/>
        <w:tabs>
          <w:tab w:pos="8856" w:val="right" w:leader="dot"/>
        </w:tabs>
      </w:pPr>
      <w:hyperlink w:anchor="_NAESTMA_TOC_2287" w:history="1">
        <w:r>
          <w:rPr>
            <w:color w:val="466B7A"/>
          </w:rPr>
          <w:t>BC-23. Unified Exploration Permitting</w:t>
        </w:r>
      </w:hyperlink>
      <w:r>
        <w:tab/>
      </w:r>
      <w:r>
        <w:rPr>
          <w:rFonts w:ascii="Arial" w:hAnsi="Arial"/>
        </w:rPr>
        <w:t>1600</w:t>
      </w:r>
    </w:p>
    <w:p>
      <w:pPr>
        <w:pStyle w:val="TOC2"/>
        <w:widowControl/>
        <w:tabs>
          <w:tab w:pos="8856" w:val="right" w:leader="dot"/>
        </w:tabs>
      </w:pPr>
      <w:hyperlink w:anchor="_NAESTMA_TOC_2288" w:history="1">
        <w:r>
          <w:rPr>
            <w:color w:val="466B7A"/>
          </w:rPr>
          <w:t>BC-24. USMCA Critical Minerals Chapter</w:t>
        </w:r>
      </w:hyperlink>
      <w:r>
        <w:tab/>
      </w:r>
      <w:r>
        <w:rPr>
          <w:rFonts w:ascii="Arial" w:hAnsi="Arial"/>
        </w:rPr>
        <w:t>1600</w:t>
      </w:r>
    </w:p>
    <w:p>
      <w:pPr>
        <w:pStyle w:val="TOC2"/>
        <w:widowControl/>
        <w:tabs>
          <w:tab w:pos="8856" w:val="right" w:leader="dot"/>
        </w:tabs>
      </w:pPr>
      <w:hyperlink w:anchor="_NAESTMA_TOC_2289" w:history="1">
        <w:r>
          <w:rPr>
            <w:color w:val="466B7A"/>
          </w:rPr>
          <w:t>BC-25. Harmonized Tax Treatment</w:t>
        </w:r>
      </w:hyperlink>
      <w:r>
        <w:tab/>
      </w:r>
      <w:r>
        <w:rPr>
          <w:rFonts w:ascii="Arial" w:hAnsi="Arial"/>
        </w:rPr>
        <w:t>1600</w:t>
      </w:r>
    </w:p>
    <w:p>
      <w:pPr>
        <w:pStyle w:val="TOC2"/>
        <w:widowControl/>
        <w:tabs>
          <w:tab w:pos="8856" w:val="right" w:leader="dot"/>
        </w:tabs>
      </w:pPr>
      <w:hyperlink w:anchor="_NAESTMA_TOC_2290" w:history="1">
        <w:r>
          <w:rPr>
            <w:color w:val="466B7A"/>
          </w:rPr>
          <w:t>BC-26. Joint Investment Screening</w:t>
        </w:r>
      </w:hyperlink>
      <w:r>
        <w:tab/>
      </w:r>
      <w:r>
        <w:rPr>
          <w:rFonts w:ascii="Arial" w:hAnsi="Arial"/>
        </w:rPr>
        <w:t>1600</w:t>
      </w:r>
    </w:p>
    <w:p>
      <w:pPr>
        <w:pStyle w:val="TOC2"/>
        <w:widowControl/>
        <w:tabs>
          <w:tab w:pos="8856" w:val="right" w:leader="dot"/>
        </w:tabs>
      </w:pPr>
      <w:hyperlink w:anchor="_NAESTMA_TOC_2291" w:history="1">
        <w:r>
          <w:rPr>
            <w:color w:val="466B7A"/>
          </w:rPr>
          <w:t>BC-27. Shared Indigenous Consultation Protocol</w:t>
        </w:r>
      </w:hyperlink>
      <w:r>
        <w:tab/>
      </w:r>
      <w:r>
        <w:rPr>
          <w:rFonts w:ascii="Arial" w:hAnsi="Arial"/>
        </w:rPr>
        <w:t>1600</w:t>
      </w:r>
    </w:p>
    <w:p>
      <w:pPr>
        <w:pStyle w:val="TOC2"/>
        <w:widowControl/>
        <w:tabs>
          <w:tab w:pos="8856" w:val="right" w:leader="dot"/>
        </w:tabs>
      </w:pPr>
      <w:hyperlink w:anchor="_NAESTMA_TOC_2292" w:history="1">
        <w:r>
          <w:rPr>
            <w:color w:val="466B7A"/>
          </w:rPr>
          <w:t>BC-28. Mutual Recognition of Technical Certifications</w:t>
        </w:r>
      </w:hyperlink>
      <w:r>
        <w:tab/>
      </w:r>
      <w:r>
        <w:rPr>
          <w:rFonts w:ascii="Arial" w:hAnsi="Arial"/>
        </w:rPr>
        <w:t>1601</w:t>
      </w:r>
    </w:p>
    <w:p>
      <w:pPr>
        <w:pStyle w:val="TOC2"/>
        <w:widowControl/>
        <w:tabs>
          <w:tab w:pos="8856" w:val="right" w:leader="dot"/>
        </w:tabs>
      </w:pPr>
      <w:hyperlink w:anchor="_NAESTMA_TOC_2293" w:history="1">
        <w:r>
          <w:rPr>
            <w:color w:val="466B7A"/>
          </w:rPr>
          <w:t>BC-29. Coordinated Water Rights for Processing</w:t>
        </w:r>
      </w:hyperlink>
      <w:r>
        <w:tab/>
      </w:r>
      <w:r>
        <w:rPr>
          <w:rFonts w:ascii="Arial" w:hAnsi="Arial"/>
        </w:rPr>
        <w:t>1601</w:t>
      </w:r>
    </w:p>
    <w:p>
      <w:pPr>
        <w:pStyle w:val="TOC2"/>
        <w:widowControl/>
        <w:tabs>
          <w:tab w:pos="8856" w:val="right" w:leader="dot"/>
        </w:tabs>
      </w:pPr>
      <w:hyperlink w:anchor="_NAESTMA_TOC_2294" w:history="1">
        <w:r>
          <w:rPr>
            <w:color w:val="466B7A"/>
          </w:rPr>
          <w:t>BC-30. USMCA Dispute Resolution for Minerals</w:t>
        </w:r>
      </w:hyperlink>
      <w:r>
        <w:tab/>
      </w:r>
      <w:r>
        <w:rPr>
          <w:rFonts w:ascii="Arial" w:hAnsi="Arial"/>
        </w:rPr>
        <w:t>1601</w:t>
      </w:r>
    </w:p>
    <w:p>
      <w:pPr>
        <w:pStyle w:val="TOC2"/>
        <w:widowControl/>
        <w:tabs>
          <w:tab w:pos="8856" w:val="right" w:leader="dot"/>
        </w:tabs>
      </w:pPr>
      <w:hyperlink w:anchor="_NAESTMA_TOC_2295" w:history="1">
        <w:r>
          <w:rPr>
            <w:color w:val="466B7A"/>
          </w:rPr>
          <w:t>BC-31. Tri-National Processing R&amp;D Consortium</w:t>
        </w:r>
      </w:hyperlink>
      <w:r>
        <w:tab/>
      </w:r>
      <w:r>
        <w:rPr>
          <w:rFonts w:ascii="Arial" w:hAnsi="Arial"/>
        </w:rPr>
        <w:t>1601</w:t>
      </w:r>
    </w:p>
    <w:p>
      <w:pPr>
        <w:pStyle w:val="TOC2"/>
        <w:widowControl/>
        <w:tabs>
          <w:tab w:pos="8856" w:val="right" w:leader="dot"/>
        </w:tabs>
      </w:pPr>
      <w:hyperlink w:anchor="_NAESTMA_TOC_2296" w:history="1">
        <w:r>
          <w:rPr>
            <w:color w:val="466B7A"/>
          </w:rPr>
          <w:t>BC-32. Shared Intellectual Property Pool</w:t>
        </w:r>
      </w:hyperlink>
      <w:r>
        <w:tab/>
      </w:r>
      <w:r>
        <w:rPr>
          <w:rFonts w:ascii="Arial" w:hAnsi="Arial"/>
        </w:rPr>
        <w:t>1601</w:t>
      </w:r>
    </w:p>
    <w:p>
      <w:pPr>
        <w:pStyle w:val="TOC2"/>
        <w:widowControl/>
        <w:tabs>
          <w:tab w:pos="8856" w:val="right" w:leader="dot"/>
        </w:tabs>
      </w:pPr>
      <w:hyperlink w:anchor="_NAESTMA_TOC_2297" w:history="1">
        <w:r>
          <w:rPr>
            <w:color w:val="466B7A"/>
          </w:rPr>
          <w:t>BC-33. Joint Direct Lithium Extraction (DLE) Deployment</w:t>
        </w:r>
      </w:hyperlink>
      <w:r>
        <w:tab/>
      </w:r>
      <w:r>
        <w:rPr>
          <w:rFonts w:ascii="Arial" w:hAnsi="Arial"/>
        </w:rPr>
        <w:t>1601</w:t>
      </w:r>
    </w:p>
    <w:p>
      <w:pPr>
        <w:pStyle w:val="TOC2"/>
        <w:widowControl/>
        <w:tabs>
          <w:tab w:pos="8856" w:val="right" w:leader="dot"/>
        </w:tabs>
      </w:pPr>
      <w:hyperlink w:anchor="_NAESTMA_TOC_2298" w:history="1">
        <w:r>
          <w:rPr>
            <w:color w:val="466B7A"/>
          </w:rPr>
          <w:t>BC-34. US-Mexico REE Separation Technology Transfer</w:t>
        </w:r>
      </w:hyperlink>
      <w:r>
        <w:tab/>
      </w:r>
      <w:r>
        <w:rPr>
          <w:rFonts w:ascii="Arial" w:hAnsi="Arial"/>
        </w:rPr>
        <w:t>1601</w:t>
      </w:r>
    </w:p>
    <w:p>
      <w:pPr>
        <w:pStyle w:val="TOC2"/>
        <w:widowControl/>
        <w:tabs>
          <w:tab w:pos="8856" w:val="right" w:leader="dot"/>
        </w:tabs>
      </w:pPr>
      <w:hyperlink w:anchor="_NAESTMA_TOC_2299" w:history="1">
        <w:r>
          <w:rPr>
            <w:color w:val="466B7A"/>
          </w:rPr>
          <w:t>BC-35. Canadian Graphite Processing in Mexico</w:t>
        </w:r>
      </w:hyperlink>
      <w:r>
        <w:tab/>
      </w:r>
      <w:r>
        <w:rPr>
          <w:rFonts w:ascii="Arial" w:hAnsi="Arial"/>
        </w:rPr>
        <w:t>1601</w:t>
      </w:r>
    </w:p>
    <w:p>
      <w:pPr>
        <w:pStyle w:val="TOC2"/>
        <w:widowControl/>
        <w:tabs>
          <w:tab w:pos="8856" w:val="right" w:leader="dot"/>
        </w:tabs>
      </w:pPr>
      <w:hyperlink w:anchor="_NAESTMA_TOC_2300" w:history="1">
        <w:r>
          <w:rPr>
            <w:color w:val="466B7A"/>
          </w:rPr>
          <w:t>BC-36. Tri-National Quantum Sensing for Processing</w:t>
        </w:r>
      </w:hyperlink>
      <w:r>
        <w:tab/>
      </w:r>
      <w:r>
        <w:rPr>
          <w:rFonts w:ascii="Arial" w:hAnsi="Arial"/>
        </w:rPr>
        <w:t>1601</w:t>
      </w:r>
    </w:p>
    <w:p>
      <w:pPr>
        <w:pStyle w:val="TOC2"/>
        <w:widowControl/>
        <w:tabs>
          <w:tab w:pos="8856" w:val="right" w:leader="dot"/>
        </w:tabs>
      </w:pPr>
      <w:hyperlink w:anchor="_NAESTMA_TOC_2301" w:history="1">
        <w:r>
          <w:rPr>
            <w:color w:val="466B7A"/>
          </w:rPr>
          <w:t>BC-37. US Bio-Processing Technology in Canada/Mexico</w:t>
        </w:r>
      </w:hyperlink>
      <w:r>
        <w:tab/>
      </w:r>
      <w:r>
        <w:rPr>
          <w:rFonts w:ascii="Arial" w:hAnsi="Arial"/>
        </w:rPr>
        <w:t>1601</w:t>
      </w:r>
    </w:p>
    <w:p>
      <w:pPr>
        <w:pStyle w:val="TOC2"/>
        <w:widowControl/>
        <w:tabs>
          <w:tab w:pos="8856" w:val="right" w:leader="dot"/>
        </w:tabs>
      </w:pPr>
      <w:hyperlink w:anchor="_NAESTMA_TOC_2302" w:history="1">
        <w:r>
          <w:rPr>
            <w:color w:val="466B7A"/>
          </w:rPr>
          <w:t>BC-38. Mexican Alkaline Leaching Technology Export</w:t>
        </w:r>
      </w:hyperlink>
      <w:r>
        <w:tab/>
      </w:r>
      <w:r>
        <w:rPr>
          <w:rFonts w:ascii="Arial" w:hAnsi="Arial"/>
        </w:rPr>
        <w:t>1601</w:t>
      </w:r>
    </w:p>
    <w:p>
      <w:pPr>
        <w:pStyle w:val="TOC2"/>
        <w:widowControl/>
        <w:tabs>
          <w:tab w:pos="8856" w:val="right" w:leader="dot"/>
        </w:tabs>
      </w:pPr>
      <w:hyperlink w:anchor="_NAESTMA_TOC_2303" w:history="1">
        <w:r>
          <w:rPr>
            <w:color w:val="466B7A"/>
          </w:rPr>
          <w:t>BC-39. Joint High-Pressure Slurry Ablation (HPSA) Deployment</w:t>
        </w:r>
      </w:hyperlink>
      <w:r>
        <w:tab/>
      </w:r>
      <w:r>
        <w:rPr>
          <w:rFonts w:ascii="Arial" w:hAnsi="Arial"/>
        </w:rPr>
        <w:t>1601</w:t>
      </w:r>
    </w:p>
    <w:p>
      <w:pPr>
        <w:pStyle w:val="TOC2"/>
        <w:widowControl/>
        <w:tabs>
          <w:tab w:pos="8856" w:val="right" w:leader="dot"/>
        </w:tabs>
      </w:pPr>
      <w:hyperlink w:anchor="_NAESTMA_TOC_2304" w:history="1">
        <w:r>
          <w:rPr>
            <w:color w:val="466B7A"/>
          </w:rPr>
          <w:t>BC-40. Shared Centrifugal Gravity Separator Tech</w:t>
        </w:r>
      </w:hyperlink>
      <w:r>
        <w:tab/>
      </w:r>
      <w:r>
        <w:rPr>
          <w:rFonts w:ascii="Arial" w:hAnsi="Arial"/>
        </w:rPr>
        <w:t>1601</w:t>
      </w:r>
    </w:p>
    <w:p>
      <w:pPr>
        <w:pStyle w:val="TOC2"/>
        <w:widowControl/>
        <w:tabs>
          <w:tab w:pos="8856" w:val="right" w:leader="dot"/>
        </w:tabs>
      </w:pPr>
      <w:hyperlink w:anchor="_NAESTMA_TOC_2305" w:history="1">
        <w:r>
          <w:rPr>
            <w:color w:val="466B7A"/>
          </w:rPr>
          <w:t>BC-41. Canadian Ion Exchange Platform for Critical Metals</w:t>
        </w:r>
      </w:hyperlink>
      <w:r>
        <w:tab/>
      </w:r>
      <w:r>
        <w:rPr>
          <w:rFonts w:ascii="Arial" w:hAnsi="Arial"/>
        </w:rPr>
        <w:t>1601</w:t>
      </w:r>
    </w:p>
    <w:p>
      <w:pPr>
        <w:pStyle w:val="TOC2"/>
        <w:widowControl/>
        <w:tabs>
          <w:tab w:pos="8856" w:val="right" w:leader="dot"/>
        </w:tabs>
      </w:pPr>
      <w:hyperlink w:anchor="_NAESTMA_TOC_2306" w:history="1">
        <w:r>
          <w:rPr>
            <w:color w:val="466B7A"/>
          </w:rPr>
          <w:t>BC-42. Tri-National Pilot Plant Network</w:t>
        </w:r>
      </w:hyperlink>
      <w:r>
        <w:tab/>
      </w:r>
      <w:r>
        <w:rPr>
          <w:rFonts w:ascii="Arial" w:hAnsi="Arial"/>
        </w:rPr>
        <w:t>1601</w:t>
      </w:r>
    </w:p>
    <w:p>
      <w:pPr>
        <w:pStyle w:val="TOC2"/>
        <w:widowControl/>
        <w:tabs>
          <w:tab w:pos="8856" w:val="right" w:leader="dot"/>
        </w:tabs>
      </w:pPr>
      <w:hyperlink w:anchor="_NAESTMA_TOC_2307" w:history="1">
        <w:r>
          <w:rPr>
            <w:color w:val="466B7A"/>
          </w:rPr>
          <w:t>BC-43. Joint Machine Learning for Processing Optimization</w:t>
        </w:r>
      </w:hyperlink>
      <w:r>
        <w:tab/>
      </w:r>
      <w:r>
        <w:rPr>
          <w:rFonts w:ascii="Arial" w:hAnsi="Arial"/>
        </w:rPr>
        <w:t>1602</w:t>
      </w:r>
    </w:p>
    <w:p>
      <w:pPr>
        <w:pStyle w:val="TOC2"/>
        <w:widowControl/>
        <w:tabs>
          <w:tab w:pos="8856" w:val="right" w:leader="dot"/>
        </w:tabs>
      </w:pPr>
      <w:hyperlink w:anchor="_NAESTMA_TOC_2308" w:history="1">
        <w:r>
          <w:rPr>
            <w:color w:val="466B7A"/>
          </w:rPr>
          <w:t>BC-44. Shared Synthetic Biology Platform</w:t>
        </w:r>
      </w:hyperlink>
      <w:r>
        <w:tab/>
      </w:r>
      <w:r>
        <w:rPr>
          <w:rFonts w:ascii="Arial" w:hAnsi="Arial"/>
        </w:rPr>
        <w:t>1602</w:t>
      </w:r>
    </w:p>
    <w:p>
      <w:pPr>
        <w:pStyle w:val="TOC2"/>
        <w:widowControl/>
        <w:tabs>
          <w:tab w:pos="8856" w:val="right" w:leader="dot"/>
        </w:tabs>
      </w:pPr>
      <w:hyperlink w:anchor="_NAESTMA_TOC_2309" w:history="1">
        <w:r>
          <w:rPr>
            <w:color w:val="466B7A"/>
          </w:rPr>
          <w:t>BC-45. Canadian Low-Temperature Lithium Sulphide Process</w:t>
        </w:r>
      </w:hyperlink>
      <w:r>
        <w:tab/>
      </w:r>
      <w:r>
        <w:rPr>
          <w:rFonts w:ascii="Arial" w:hAnsi="Arial"/>
        </w:rPr>
        <w:t>1602</w:t>
      </w:r>
    </w:p>
    <w:p>
      <w:pPr>
        <w:pStyle w:val="TOC2"/>
        <w:widowControl/>
        <w:tabs>
          <w:tab w:pos="8856" w:val="right" w:leader="dot"/>
        </w:tabs>
      </w:pPr>
      <w:hyperlink w:anchor="_NAESTMA_TOC_2310" w:history="1">
        <w:r>
          <w:rPr>
            <w:color w:val="466B7A"/>
          </w:rPr>
          <w:t>BC-46. Tri-National Modular Refinery Design</w:t>
        </w:r>
      </w:hyperlink>
      <w:r>
        <w:tab/>
      </w:r>
      <w:r>
        <w:rPr>
          <w:rFonts w:ascii="Arial" w:hAnsi="Arial"/>
        </w:rPr>
        <w:t>1602</w:t>
      </w:r>
    </w:p>
    <w:p>
      <w:pPr>
        <w:pStyle w:val="TOC2"/>
        <w:widowControl/>
        <w:tabs>
          <w:tab w:pos="8856" w:val="right" w:leader="dot"/>
        </w:tabs>
      </w:pPr>
      <w:hyperlink w:anchor="_NAESTMA_TOC_2311" w:history="1">
        <w:r>
          <w:rPr>
            <w:color w:val="466B7A"/>
          </w:rPr>
          <w:t>BC-47. Shared Solvent Extraction Alternatives</w:t>
        </w:r>
      </w:hyperlink>
      <w:r>
        <w:tab/>
      </w:r>
      <w:r>
        <w:rPr>
          <w:rFonts w:ascii="Arial" w:hAnsi="Arial"/>
        </w:rPr>
        <w:t>1602</w:t>
      </w:r>
    </w:p>
    <w:p>
      <w:pPr>
        <w:pStyle w:val="TOC2"/>
        <w:widowControl/>
        <w:tabs>
          <w:tab w:pos="8856" w:val="right" w:leader="dot"/>
        </w:tabs>
      </w:pPr>
      <w:hyperlink w:anchor="_NAESTMA_TOC_2312" w:history="1">
        <w:r>
          <w:rPr>
            <w:color w:val="466B7A"/>
          </w:rPr>
          <w:t>BC-48. Joint Waste-to-Wealth Technology</w:t>
        </w:r>
      </w:hyperlink>
      <w:r>
        <w:tab/>
      </w:r>
      <w:r>
        <w:rPr>
          <w:rFonts w:ascii="Arial" w:hAnsi="Arial"/>
        </w:rPr>
        <w:t>1602</w:t>
      </w:r>
    </w:p>
    <w:p>
      <w:pPr>
        <w:pStyle w:val="TOC2"/>
        <w:widowControl/>
        <w:tabs>
          <w:tab w:pos="8856" w:val="right" w:leader="dot"/>
        </w:tabs>
      </w:pPr>
      <w:hyperlink w:anchor="_NAESTMA_TOC_2313" w:history="1">
        <w:r>
          <w:rPr>
            <w:color w:val="466B7A"/>
          </w:rPr>
          <w:t>BC-49. Tri-National Accelerated Ore Analysis</w:t>
        </w:r>
      </w:hyperlink>
      <w:r>
        <w:tab/>
      </w:r>
      <w:r>
        <w:rPr>
          <w:rFonts w:ascii="Arial" w:hAnsi="Arial"/>
        </w:rPr>
        <w:t>1602</w:t>
      </w:r>
    </w:p>
    <w:p>
      <w:pPr>
        <w:pStyle w:val="TOC2"/>
        <w:widowControl/>
        <w:tabs>
          <w:tab w:pos="8856" w:val="right" w:leader="dot"/>
        </w:tabs>
      </w:pPr>
      <w:hyperlink w:anchor="_NAESTMA_TOC_2314" w:history="1">
        <w:r>
          <w:rPr>
            <w:color w:val="466B7A"/>
          </w:rPr>
          <w:t>BC-50. Shared Processing Technology Database</w:t>
        </w:r>
      </w:hyperlink>
      <w:r>
        <w:tab/>
      </w:r>
      <w:r>
        <w:rPr>
          <w:rFonts w:ascii="Arial" w:hAnsi="Arial"/>
        </w:rPr>
        <w:t>1602</w:t>
      </w:r>
    </w:p>
    <w:p>
      <w:pPr>
        <w:pStyle w:val="TOC2"/>
        <w:widowControl/>
        <w:tabs>
          <w:tab w:pos="8856" w:val="right" w:leader="dot"/>
        </w:tabs>
      </w:pPr>
      <w:hyperlink w:anchor="_NAESTMA_TOC_2315" w:history="1">
        <w:r>
          <w:rPr>
            <w:color w:val="466B7A"/>
          </w:rPr>
          <w:t>BC-51. Tri-National Processing Corridor</w:t>
        </w:r>
      </w:hyperlink>
      <w:r>
        <w:tab/>
      </w:r>
      <w:r>
        <w:rPr>
          <w:rFonts w:ascii="Arial" w:hAnsi="Arial"/>
        </w:rPr>
        <w:t>1602</w:t>
      </w:r>
    </w:p>
    <w:p>
      <w:pPr>
        <w:pStyle w:val="TOC2"/>
        <w:widowControl/>
        <w:tabs>
          <w:tab w:pos="8856" w:val="right" w:leader="dot"/>
        </w:tabs>
      </w:pPr>
      <w:hyperlink w:anchor="_NAESTMA_TOC_2316" w:history="1">
        <w:r>
          <w:rPr>
            <w:color w:val="466B7A"/>
          </w:rPr>
          <w:t>BC-52. Canadian Potash Rail to US/Mexico</w:t>
        </w:r>
      </w:hyperlink>
      <w:r>
        <w:tab/>
      </w:r>
      <w:r>
        <w:rPr>
          <w:rFonts w:ascii="Arial" w:hAnsi="Arial"/>
        </w:rPr>
        <w:t>1602</w:t>
      </w:r>
    </w:p>
    <w:p>
      <w:pPr>
        <w:pStyle w:val="TOC2"/>
        <w:widowControl/>
        <w:tabs>
          <w:tab w:pos="8856" w:val="right" w:leader="dot"/>
        </w:tabs>
      </w:pPr>
      <w:hyperlink w:anchor="_NAESTMA_TOC_2317" w:history="1">
        <w:r>
          <w:rPr>
            <w:color w:val="466B7A"/>
          </w:rPr>
          <w:t>BC-53. Mexican Port Processing Zones</w:t>
        </w:r>
      </w:hyperlink>
      <w:r>
        <w:tab/>
      </w:r>
      <w:r>
        <w:rPr>
          <w:rFonts w:ascii="Arial" w:hAnsi="Arial"/>
        </w:rPr>
        <w:t>1602</w:t>
      </w:r>
    </w:p>
    <w:p>
      <w:pPr>
        <w:pStyle w:val="TOC2"/>
        <w:widowControl/>
        <w:tabs>
          <w:tab w:pos="8856" w:val="right" w:leader="dot"/>
        </w:tabs>
      </w:pPr>
      <w:hyperlink w:anchor="_NAESTMA_TOC_2318" w:history="1">
        <w:r>
          <w:rPr>
            <w:color w:val="466B7A"/>
          </w:rPr>
          <w:t>BC-54. US-Mexico Border Processing Hub</w:t>
        </w:r>
      </w:hyperlink>
      <w:r>
        <w:tab/>
      </w:r>
      <w:r>
        <w:rPr>
          <w:rFonts w:ascii="Arial" w:hAnsi="Arial"/>
        </w:rPr>
        <w:t>1602</w:t>
      </w:r>
    </w:p>
    <w:p>
      <w:pPr>
        <w:pStyle w:val="TOC2"/>
        <w:widowControl/>
        <w:tabs>
          <w:tab w:pos="8856" w:val="right" w:leader="dot"/>
        </w:tabs>
      </w:pPr>
      <w:hyperlink w:anchor="_NAESTMA_TOC_2319" w:history="1">
        <w:r>
          <w:rPr>
            <w:color w:val="466B7A"/>
          </w:rPr>
          <w:t>BC-55. Canadian Arctic Processing Infrastructure</w:t>
        </w:r>
      </w:hyperlink>
      <w:r>
        <w:tab/>
      </w:r>
      <w:r>
        <w:rPr>
          <w:rFonts w:ascii="Arial" w:hAnsi="Arial"/>
        </w:rPr>
        <w:t>1602</w:t>
      </w:r>
    </w:p>
    <w:p>
      <w:pPr>
        <w:pStyle w:val="TOC2"/>
        <w:widowControl/>
        <w:tabs>
          <w:tab w:pos="8856" w:val="right" w:leader="dot"/>
        </w:tabs>
      </w:pPr>
      <w:hyperlink w:anchor="_NAESTMA_TOC_2320" w:history="1">
        <w:r>
          <w:rPr>
            <w:color w:val="466B7A"/>
          </w:rPr>
          <w:t>BC-56. Tri-National Power Grid for Processing</w:t>
        </w:r>
      </w:hyperlink>
      <w:r>
        <w:tab/>
      </w:r>
      <w:r>
        <w:rPr>
          <w:rFonts w:ascii="Arial" w:hAnsi="Arial"/>
        </w:rPr>
        <w:t>1602</w:t>
      </w:r>
    </w:p>
    <w:p>
      <w:pPr>
        <w:pStyle w:val="TOC2"/>
        <w:widowControl/>
        <w:tabs>
          <w:tab w:pos="8856" w:val="right" w:leader="dot"/>
        </w:tabs>
      </w:pPr>
      <w:hyperlink w:anchor="_NAESTMA_TOC_2321" w:history="1">
        <w:r>
          <w:rPr>
            <w:color w:val="466B7A"/>
          </w:rPr>
          <w:t>BC-57. Shared Natural Gas Pipelines</w:t>
        </w:r>
      </w:hyperlink>
      <w:r>
        <w:tab/>
      </w:r>
      <w:r>
        <w:rPr>
          <w:rFonts w:ascii="Arial" w:hAnsi="Arial"/>
        </w:rPr>
        <w:t>1602</w:t>
      </w:r>
    </w:p>
    <w:p>
      <w:pPr>
        <w:pStyle w:val="TOC2"/>
        <w:widowControl/>
        <w:tabs>
          <w:tab w:pos="8856" w:val="right" w:leader="dot"/>
        </w:tabs>
      </w:pPr>
      <w:hyperlink w:anchor="_NAESTMA_TOC_2322" w:history="1">
        <w:r>
          <w:rPr>
            <w:color w:val="466B7A"/>
          </w:rPr>
          <w:t>BC-58. Rail Interconnectivity for Ore Shipment</w:t>
        </w:r>
      </w:hyperlink>
      <w:r>
        <w:tab/>
      </w:r>
      <w:r>
        <w:rPr>
          <w:rFonts w:ascii="Arial" w:hAnsi="Arial"/>
        </w:rPr>
        <w:t>1603</w:t>
      </w:r>
    </w:p>
    <w:p>
      <w:pPr>
        <w:pStyle w:val="TOC2"/>
        <w:widowControl/>
        <w:tabs>
          <w:tab w:pos="8856" w:val="right" w:leader="dot"/>
        </w:tabs>
      </w:pPr>
      <w:hyperlink w:anchor="_NAESTMA_TOC_2323" w:history="1">
        <w:r>
          <w:rPr>
            <w:color w:val="466B7A"/>
          </w:rPr>
          <w:t>BC-59. Mexican Processing Water Infrastructure</w:t>
        </w:r>
      </w:hyperlink>
      <w:r>
        <w:tab/>
      </w:r>
      <w:r>
        <w:rPr>
          <w:rFonts w:ascii="Arial" w:hAnsi="Arial"/>
        </w:rPr>
        <w:t>1603</w:t>
      </w:r>
    </w:p>
    <w:p>
      <w:pPr>
        <w:pStyle w:val="TOC2"/>
        <w:widowControl/>
        <w:tabs>
          <w:tab w:pos="8856" w:val="right" w:leader="dot"/>
        </w:tabs>
      </w:pPr>
      <w:hyperlink w:anchor="_NAESTMA_TOC_2324" w:history="1">
        <w:r>
          <w:rPr>
            <w:color w:val="466B7A"/>
          </w:rPr>
          <w:t>BC-60. Tri-National Port Coordination</w:t>
        </w:r>
      </w:hyperlink>
      <w:r>
        <w:tab/>
      </w:r>
      <w:r>
        <w:rPr>
          <w:rFonts w:ascii="Arial" w:hAnsi="Arial"/>
        </w:rPr>
        <w:t>1603</w:t>
      </w:r>
    </w:p>
    <w:p>
      <w:pPr>
        <w:pStyle w:val="TOC2"/>
        <w:widowControl/>
        <w:tabs>
          <w:tab w:pos="8856" w:val="right" w:leader="dot"/>
        </w:tabs>
      </w:pPr>
      <w:hyperlink w:anchor="_NAESTMA_TOC_2325" w:history="1">
        <w:r>
          <w:rPr>
            <w:color w:val="466B7A"/>
          </w:rPr>
          <w:t>BC-61. Canadian Hydrogen for Processing</w:t>
        </w:r>
      </w:hyperlink>
      <w:r>
        <w:tab/>
      </w:r>
      <w:r>
        <w:rPr>
          <w:rFonts w:ascii="Arial" w:hAnsi="Arial"/>
        </w:rPr>
        <w:t>1603</w:t>
      </w:r>
    </w:p>
    <w:p>
      <w:pPr>
        <w:pStyle w:val="TOC2"/>
        <w:widowControl/>
        <w:tabs>
          <w:tab w:pos="8856" w:val="right" w:leader="dot"/>
        </w:tabs>
      </w:pPr>
      <w:hyperlink w:anchor="_NAESTMA_TOC_2326" w:history="1">
        <w:r>
          <w:rPr>
            <w:color w:val="466B7A"/>
          </w:rPr>
          <w:t>BC-62. Tailings Reprocessing and Best-Practice Coordination</w:t>
        </w:r>
      </w:hyperlink>
      <w:r>
        <w:tab/>
      </w:r>
      <w:r>
        <w:rPr>
          <w:rFonts w:ascii="Arial" w:hAnsi="Arial"/>
        </w:rPr>
        <w:t>1603</w:t>
      </w:r>
    </w:p>
    <w:p>
      <w:pPr>
        <w:pStyle w:val="TOC2"/>
        <w:widowControl/>
        <w:tabs>
          <w:tab w:pos="8856" w:val="right" w:leader="dot"/>
        </w:tabs>
      </w:pPr>
      <w:hyperlink w:anchor="_NAESTMA_TOC_2327" w:history="1">
        <w:r>
          <w:rPr>
            <w:color w:val="466B7A"/>
          </w:rPr>
          <w:t>BC-63. US Strategic Processing Reserve Sites</w:t>
        </w:r>
      </w:hyperlink>
      <w:r>
        <w:tab/>
      </w:r>
      <w:r>
        <w:rPr>
          <w:rFonts w:ascii="Arial" w:hAnsi="Arial"/>
        </w:rPr>
        <w:t>1603</w:t>
      </w:r>
    </w:p>
    <w:p>
      <w:pPr>
        <w:pStyle w:val="TOC2"/>
        <w:widowControl/>
        <w:tabs>
          <w:tab w:pos="8856" w:val="right" w:leader="dot"/>
        </w:tabs>
      </w:pPr>
      <w:hyperlink w:anchor="_NAESTMA_TOC_2328" w:history="1">
        <w:r>
          <w:rPr>
            <w:color w:val="466B7A"/>
          </w:rPr>
          <w:t>BC-64. Tri-National Digital Logistics Platform</w:t>
        </w:r>
      </w:hyperlink>
      <w:r>
        <w:tab/>
      </w:r>
      <w:r>
        <w:rPr>
          <w:rFonts w:ascii="Arial" w:hAnsi="Arial"/>
        </w:rPr>
        <w:t>1603</w:t>
      </w:r>
    </w:p>
    <w:p>
      <w:pPr>
        <w:pStyle w:val="TOC2"/>
        <w:widowControl/>
        <w:tabs>
          <w:tab w:pos="8856" w:val="right" w:leader="dot"/>
        </w:tabs>
      </w:pPr>
      <w:hyperlink w:anchor="_NAESTMA_TOC_2329" w:history="1">
        <w:r>
          <w:rPr>
            <w:color w:val="466B7A"/>
          </w:rPr>
          <w:t>BC-65. Joint Industrial Park Development</w:t>
        </w:r>
      </w:hyperlink>
      <w:r>
        <w:tab/>
      </w:r>
      <w:r>
        <w:rPr>
          <w:rFonts w:ascii="Arial" w:hAnsi="Arial"/>
        </w:rPr>
        <w:t>1603</w:t>
      </w:r>
    </w:p>
    <w:p>
      <w:pPr>
        <w:pStyle w:val="TOC2"/>
        <w:widowControl/>
        <w:tabs>
          <w:tab w:pos="8856" w:val="right" w:leader="dot"/>
        </w:tabs>
      </w:pPr>
      <w:hyperlink w:anchor="_NAESTMA_TOC_2330" w:history="1">
        <w:r>
          <w:rPr>
            <w:color w:val="466B7A"/>
          </w:rPr>
          <w:t>BC-66. Tri-National Processing Workforce Program</w:t>
        </w:r>
      </w:hyperlink>
      <w:r>
        <w:tab/>
      </w:r>
      <w:r>
        <w:rPr>
          <w:rFonts w:ascii="Arial" w:hAnsi="Arial"/>
        </w:rPr>
        <w:t>1603</w:t>
      </w:r>
    </w:p>
    <w:p>
      <w:pPr>
        <w:pStyle w:val="TOC2"/>
        <w:widowControl/>
        <w:tabs>
          <w:tab w:pos="8856" w:val="right" w:leader="dot"/>
        </w:tabs>
      </w:pPr>
      <w:hyperlink w:anchor="_NAESTMA_TOC_2331" w:history="1">
        <w:r>
          <w:rPr>
            <w:color w:val="466B7A"/>
          </w:rPr>
          <w:t>BC-67. Mexican Processing Technician Exchange</w:t>
        </w:r>
      </w:hyperlink>
      <w:r>
        <w:tab/>
      </w:r>
      <w:r>
        <w:rPr>
          <w:rFonts w:ascii="Arial" w:hAnsi="Arial"/>
        </w:rPr>
        <w:t>1603</w:t>
      </w:r>
    </w:p>
    <w:p>
      <w:pPr>
        <w:pStyle w:val="TOC2"/>
        <w:widowControl/>
        <w:tabs>
          <w:tab w:pos="8856" w:val="right" w:leader="dot"/>
        </w:tabs>
      </w:pPr>
      <w:hyperlink w:anchor="_NAESTMA_TOC_2332" w:history="1">
        <w:r>
          <w:rPr>
            <w:color w:val="466B7A"/>
          </w:rPr>
          <w:t>BC-68. Canadian University Partnerships in Mexico</w:t>
        </w:r>
      </w:hyperlink>
      <w:r>
        <w:tab/>
      </w:r>
      <w:r>
        <w:rPr>
          <w:rFonts w:ascii="Arial" w:hAnsi="Arial"/>
        </w:rPr>
        <w:t>1603</w:t>
      </w:r>
    </w:p>
    <w:p>
      <w:pPr>
        <w:pStyle w:val="TOC2"/>
        <w:widowControl/>
        <w:tabs>
          <w:tab w:pos="8856" w:val="right" w:leader="dot"/>
        </w:tabs>
      </w:pPr>
      <w:hyperlink w:anchor="_NAESTMA_TOC_2333" w:history="1">
        <w:r>
          <w:rPr>
            <w:color w:val="466B7A"/>
          </w:rPr>
          <w:t>BC-69. US Community College Processing Curriculum</w:t>
        </w:r>
      </w:hyperlink>
      <w:r>
        <w:tab/>
      </w:r>
      <w:r>
        <w:rPr>
          <w:rFonts w:ascii="Arial" w:hAnsi="Arial"/>
        </w:rPr>
        <w:t>1603</w:t>
      </w:r>
    </w:p>
    <w:p>
      <w:pPr>
        <w:pStyle w:val="TOC2"/>
        <w:widowControl/>
        <w:tabs>
          <w:tab w:pos="8856" w:val="right" w:leader="dot"/>
        </w:tabs>
      </w:pPr>
      <w:hyperlink w:anchor="_NAESTMA_TOC_2334" w:history="1">
        <w:r>
          <w:rPr>
            <w:color w:val="466B7A"/>
          </w:rPr>
          <w:t>BC-70. Tri-National Apprenticeship Network</w:t>
        </w:r>
      </w:hyperlink>
      <w:r>
        <w:tab/>
      </w:r>
      <w:r>
        <w:rPr>
          <w:rFonts w:ascii="Arial" w:hAnsi="Arial"/>
        </w:rPr>
        <w:t>1603</w:t>
      </w:r>
    </w:p>
    <w:p>
      <w:pPr>
        <w:pStyle w:val="TOC2"/>
        <w:widowControl/>
        <w:tabs>
          <w:tab w:pos="8856" w:val="right" w:leader="dot"/>
        </w:tabs>
      </w:pPr>
      <w:hyperlink w:anchor="_NAESTMA_TOC_2335" w:history="1">
        <w:r>
          <w:rPr>
            <w:color w:val="466B7A"/>
          </w:rPr>
          <w:t>BC-71. Joint Safety Training Standards</w:t>
        </w:r>
      </w:hyperlink>
      <w:r>
        <w:tab/>
      </w:r>
      <w:r>
        <w:rPr>
          <w:rFonts w:ascii="Arial" w:hAnsi="Arial"/>
        </w:rPr>
        <w:t>1603</w:t>
      </w:r>
    </w:p>
    <w:p>
      <w:pPr>
        <w:pStyle w:val="TOC2"/>
        <w:widowControl/>
        <w:tabs>
          <w:tab w:pos="8856" w:val="right" w:leader="dot"/>
        </w:tabs>
      </w:pPr>
      <w:hyperlink w:anchor="_NAESTMA_TOC_2336" w:history="1">
        <w:r>
          <w:rPr>
            <w:color w:val="466B7A"/>
          </w:rPr>
          <w:t>BC-72. Shared VR/AR Training Simulators</w:t>
        </w:r>
      </w:hyperlink>
      <w:r>
        <w:tab/>
      </w:r>
      <w:r>
        <w:rPr>
          <w:rFonts w:ascii="Arial" w:hAnsi="Arial"/>
        </w:rPr>
        <w:t>1603</w:t>
      </w:r>
    </w:p>
    <w:p>
      <w:pPr>
        <w:pStyle w:val="TOC2"/>
        <w:widowControl/>
        <w:tabs>
          <w:tab w:pos="8856" w:val="right" w:leader="dot"/>
        </w:tabs>
      </w:pPr>
      <w:hyperlink w:anchor="_NAESTMA_TOC_2337" w:history="1">
        <w:r>
          <w:rPr>
            <w:color w:val="466B7A"/>
          </w:rPr>
          <w:t>BC-73. Mexican Women in Processing Initiative</w:t>
        </w:r>
      </w:hyperlink>
      <w:r>
        <w:tab/>
      </w:r>
      <w:r>
        <w:rPr>
          <w:rFonts w:ascii="Arial" w:hAnsi="Arial"/>
        </w:rPr>
        <w:t>1604</w:t>
      </w:r>
    </w:p>
    <w:p>
      <w:pPr>
        <w:pStyle w:val="TOC2"/>
        <w:widowControl/>
        <w:tabs>
          <w:tab w:pos="8856" w:val="right" w:leader="dot"/>
        </w:tabs>
      </w:pPr>
      <w:hyperlink w:anchor="_NAESTMA_TOC_2338" w:history="1">
        <w:r>
          <w:rPr>
            <w:color w:val="466B7A"/>
          </w:rPr>
          <w:t>BC-74. Tri-National Processing Research Chairs</w:t>
        </w:r>
      </w:hyperlink>
      <w:r>
        <w:tab/>
      </w:r>
      <w:r>
        <w:rPr>
          <w:rFonts w:ascii="Arial" w:hAnsi="Arial"/>
        </w:rPr>
        <w:t>1604</w:t>
      </w:r>
    </w:p>
    <w:p>
      <w:pPr>
        <w:pStyle w:val="TOC2"/>
        <w:widowControl/>
        <w:tabs>
          <w:tab w:pos="8856" w:val="right" w:leader="dot"/>
        </w:tabs>
      </w:pPr>
      <w:hyperlink w:anchor="_NAESTMA_TOC_2339" w:history="1">
        <w:r>
          <w:rPr>
            <w:color w:val="466B7A"/>
          </w:rPr>
          <w:t>BC-75. Indigenous Workforce Development</w:t>
        </w:r>
      </w:hyperlink>
      <w:r>
        <w:tab/>
      </w:r>
      <w:r>
        <w:rPr>
          <w:rFonts w:ascii="Arial" w:hAnsi="Arial"/>
        </w:rPr>
        <w:t>1604</w:t>
      </w:r>
    </w:p>
    <w:p>
      <w:pPr>
        <w:pStyle w:val="TOC2"/>
        <w:widowControl/>
        <w:tabs>
          <w:tab w:pos="8856" w:val="right" w:leader="dot"/>
        </w:tabs>
      </w:pPr>
      <w:hyperlink w:anchor="_NAESTMA_TOC_2340" w:history="1">
        <w:r>
          <w:rPr>
            <w:color w:val="466B7A"/>
          </w:rPr>
          <w:t>BC-76. Tri-National Battery Recycling Loop</w:t>
        </w:r>
      </w:hyperlink>
      <w:r>
        <w:tab/>
      </w:r>
      <w:r>
        <w:rPr>
          <w:rFonts w:ascii="Arial" w:hAnsi="Arial"/>
        </w:rPr>
        <w:t>1604</w:t>
      </w:r>
    </w:p>
    <w:p>
      <w:pPr>
        <w:pStyle w:val="TOC2"/>
        <w:widowControl/>
        <w:tabs>
          <w:tab w:pos="8856" w:val="right" w:leader="dot"/>
        </w:tabs>
      </w:pPr>
      <w:hyperlink w:anchor="_NAESTMA_TOC_2341" w:history="1">
        <w:r>
          <w:rPr>
            <w:color w:val="466B7A"/>
          </w:rPr>
          <w:t>BC-77. North American E-Waste Processing Hub</w:t>
        </w:r>
      </w:hyperlink>
      <w:r>
        <w:tab/>
      </w:r>
      <w:r>
        <w:rPr>
          <w:rFonts w:ascii="Arial" w:hAnsi="Arial"/>
        </w:rPr>
        <w:t>1604</w:t>
      </w:r>
    </w:p>
    <w:p>
      <w:pPr>
        <w:pStyle w:val="TOC2"/>
        <w:widowControl/>
        <w:tabs>
          <w:tab w:pos="8856" w:val="right" w:leader="dot"/>
        </w:tabs>
      </w:pPr>
      <w:hyperlink w:anchor="_NAESTMA_TOC_2342" w:history="1">
        <w:r>
          <w:rPr>
            <w:color w:val="466B7A"/>
          </w:rPr>
          <w:t>BC-78. Joint Tailings Reprocessing Initiative</w:t>
        </w:r>
      </w:hyperlink>
      <w:r>
        <w:tab/>
      </w:r>
      <w:r>
        <w:rPr>
          <w:rFonts w:ascii="Arial" w:hAnsi="Arial"/>
        </w:rPr>
        <w:t>1604</w:t>
      </w:r>
    </w:p>
    <w:p>
      <w:pPr>
        <w:pStyle w:val="TOC2"/>
        <w:widowControl/>
        <w:tabs>
          <w:tab w:pos="8856" w:val="right" w:leader="dot"/>
        </w:tabs>
      </w:pPr>
      <w:hyperlink w:anchor="_NAESTMA_TOC_2343" w:history="1">
        <w:r>
          <w:rPr>
            <w:color w:val="466B7A"/>
          </w:rPr>
          <w:t>BC-79. Canadian Black Mass Recycling</w:t>
        </w:r>
      </w:hyperlink>
      <w:r>
        <w:tab/>
      </w:r>
      <w:r>
        <w:rPr>
          <w:rFonts w:ascii="Arial" w:hAnsi="Arial"/>
        </w:rPr>
        <w:t>1604</w:t>
      </w:r>
    </w:p>
    <w:p>
      <w:pPr>
        <w:pStyle w:val="TOC2"/>
        <w:widowControl/>
        <w:tabs>
          <w:tab w:pos="8856" w:val="right" w:leader="dot"/>
        </w:tabs>
      </w:pPr>
      <w:hyperlink w:anchor="_NAESTMA_TOC_2344" w:history="1">
        <w:r>
          <w:rPr>
            <w:color w:val="466B7A"/>
          </w:rPr>
          <w:t>BC-80. US-Mexico Lead-Acid Battery Recycling</w:t>
        </w:r>
      </w:hyperlink>
      <w:r>
        <w:tab/>
      </w:r>
      <w:r>
        <w:rPr>
          <w:rFonts w:ascii="Arial" w:hAnsi="Arial"/>
        </w:rPr>
        <w:t>1604</w:t>
      </w:r>
    </w:p>
    <w:p>
      <w:pPr>
        <w:pStyle w:val="TOC2"/>
        <w:widowControl/>
        <w:tabs>
          <w:tab w:pos="8856" w:val="right" w:leader="dot"/>
        </w:tabs>
      </w:pPr>
      <w:hyperlink w:anchor="_NAESTMA_TOC_2345" w:history="1">
        <w:r>
          <w:rPr>
            <w:color w:val="466B7A"/>
          </w:rPr>
          <w:t>BC-81. Tri-National Precious Metals Recycling</w:t>
        </w:r>
      </w:hyperlink>
      <w:r>
        <w:tab/>
      </w:r>
      <w:r>
        <w:rPr>
          <w:rFonts w:ascii="Arial" w:hAnsi="Arial"/>
        </w:rPr>
        <w:t>1604</w:t>
      </w:r>
    </w:p>
    <w:p>
      <w:pPr>
        <w:pStyle w:val="TOC2"/>
        <w:widowControl/>
        <w:tabs>
          <w:tab w:pos="8856" w:val="right" w:leader="dot"/>
        </w:tabs>
      </w:pPr>
      <w:hyperlink w:anchor="_NAESTMA_TOC_2346" w:history="1">
        <w:r>
          <w:rPr>
            <w:color w:val="466B7A"/>
          </w:rPr>
          <w:t>BC-82. Shared Lithium-Ion Battery Recycling Standards</w:t>
        </w:r>
      </w:hyperlink>
      <w:r>
        <w:tab/>
      </w:r>
      <w:r>
        <w:rPr>
          <w:rFonts w:ascii="Arial" w:hAnsi="Arial"/>
        </w:rPr>
        <w:t>1604</w:t>
      </w:r>
    </w:p>
    <w:p>
      <w:pPr>
        <w:pStyle w:val="TOC2"/>
        <w:widowControl/>
        <w:tabs>
          <w:tab w:pos="8856" w:val="right" w:leader="dot"/>
        </w:tabs>
      </w:pPr>
      <w:hyperlink w:anchor="_NAESTMA_TOC_2347" w:history="1">
        <w:r>
          <w:rPr>
            <w:color w:val="466B7A"/>
          </w:rPr>
          <w:t>BC-83. Joint Scrap Metal Processing</w:t>
        </w:r>
      </w:hyperlink>
      <w:r>
        <w:tab/>
      </w:r>
      <w:r>
        <w:rPr>
          <w:rFonts w:ascii="Arial" w:hAnsi="Arial"/>
        </w:rPr>
        <w:t>1604</w:t>
      </w:r>
    </w:p>
    <w:p>
      <w:pPr>
        <w:pStyle w:val="TOC2"/>
        <w:widowControl/>
        <w:tabs>
          <w:tab w:pos="8856" w:val="right" w:leader="dot"/>
        </w:tabs>
      </w:pPr>
      <w:hyperlink w:anchor="_NAESTMA_TOC_2348" w:history="1">
        <w:r>
          <w:rPr>
            <w:color w:val="466B7A"/>
          </w:rPr>
          <w:t>BC-84. Canadian Mine Waste Reprocessing Tech</w:t>
        </w:r>
      </w:hyperlink>
      <w:r>
        <w:tab/>
      </w:r>
      <w:r>
        <w:rPr>
          <w:rFonts w:ascii="Arial" w:hAnsi="Arial"/>
        </w:rPr>
        <w:t>1604</w:t>
      </w:r>
    </w:p>
    <w:p>
      <w:pPr>
        <w:pStyle w:val="TOC2"/>
        <w:widowControl/>
        <w:tabs>
          <w:tab w:pos="8856" w:val="right" w:leader="dot"/>
        </w:tabs>
      </w:pPr>
      <w:hyperlink w:anchor="_NAESTMA_TOC_2349" w:history="1">
        <w:r>
          <w:rPr>
            <w:color w:val="466B7A"/>
          </w:rPr>
          <w:t>BC-85. Tri-National Circular Mineral Economy Fund</w:t>
        </w:r>
      </w:hyperlink>
      <w:r>
        <w:tab/>
      </w:r>
      <w:r>
        <w:rPr>
          <w:rFonts w:ascii="Arial" w:hAnsi="Arial"/>
        </w:rPr>
        <w:t>1604</w:t>
      </w:r>
    </w:p>
    <w:p>
      <w:pPr>
        <w:pStyle w:val="TOC2"/>
        <w:widowControl/>
        <w:tabs>
          <w:tab w:pos="8856" w:val="right" w:leader="dot"/>
        </w:tabs>
      </w:pPr>
      <w:hyperlink w:anchor="_NAESTMA_TOC_2350" w:history="1">
        <w:r>
          <w:rPr>
            <w:color w:val="466B7A"/>
          </w:rPr>
          <w:t>BC-86. North American Mineral Processing Summit</w:t>
        </w:r>
      </w:hyperlink>
      <w:r>
        <w:tab/>
      </w:r>
      <w:r>
        <w:rPr>
          <w:rFonts w:ascii="Arial" w:hAnsi="Arial"/>
        </w:rPr>
        <w:t>1604</w:t>
      </w:r>
    </w:p>
    <w:p>
      <w:pPr>
        <w:pStyle w:val="TOC2"/>
        <w:widowControl/>
        <w:tabs>
          <w:tab w:pos="8856" w:val="right" w:leader="dot"/>
        </w:tabs>
      </w:pPr>
      <w:hyperlink w:anchor="_NAESTMA_TOC_2351" w:history="1">
        <w:r>
          <w:rPr>
            <w:color w:val="466B7A"/>
          </w:rPr>
          <w:t>BC-87. Joint Processing Capacity Dashboard</w:t>
        </w:r>
      </w:hyperlink>
      <w:r>
        <w:tab/>
      </w:r>
      <w:r>
        <w:rPr>
          <w:rFonts w:ascii="Arial" w:hAnsi="Arial"/>
        </w:rPr>
        <w:t>1604</w:t>
      </w:r>
    </w:p>
    <w:p>
      <w:pPr>
        <w:pStyle w:val="TOC2"/>
        <w:widowControl/>
        <w:tabs>
          <w:tab w:pos="8856" w:val="right" w:leader="dot"/>
        </w:tabs>
      </w:pPr>
      <w:hyperlink w:anchor="_NAESTMA_TOC_2352" w:history="1">
        <w:r>
          <w:rPr>
            <w:color w:val="466B7A"/>
          </w:rPr>
          <w:t>BC-88. Shared Supply Chain Risk Assessment</w:t>
        </w:r>
      </w:hyperlink>
      <w:r>
        <w:tab/>
      </w:r>
      <w:r>
        <w:rPr>
          <w:rFonts w:ascii="Arial" w:hAnsi="Arial"/>
        </w:rPr>
        <w:t>1605</w:t>
      </w:r>
    </w:p>
    <w:p>
      <w:pPr>
        <w:pStyle w:val="TOC2"/>
        <w:widowControl/>
        <w:tabs>
          <w:tab w:pos="8856" w:val="right" w:leader="dot"/>
        </w:tabs>
      </w:pPr>
      <w:hyperlink w:anchor="_NAESTMA_TOC_2353" w:history="1">
        <w:r>
          <w:rPr>
            <w:color w:val="466B7A"/>
          </w:rPr>
          <w:t>BC-89. Tri-National Crisis Response Protocol</w:t>
        </w:r>
      </w:hyperlink>
      <w:r>
        <w:tab/>
      </w:r>
      <w:r>
        <w:rPr>
          <w:rFonts w:ascii="Arial" w:hAnsi="Arial"/>
        </w:rPr>
        <w:t>1605</w:t>
      </w:r>
    </w:p>
    <w:p>
      <w:pPr>
        <w:pStyle w:val="TOC2"/>
        <w:widowControl/>
        <w:tabs>
          <w:tab w:pos="8856" w:val="right" w:leader="dot"/>
        </w:tabs>
      </w:pPr>
      <w:hyperlink w:anchor="_NAESTMA_TOC_2354" w:history="1">
        <w:r>
          <w:rPr>
            <w:color w:val="466B7A"/>
          </w:rPr>
          <w:t>BC-90. North American Processing Roadmap to 2035</w:t>
        </w:r>
      </w:hyperlink>
      <w:r>
        <w:tab/>
      </w:r>
      <w:r>
        <w:rPr>
          <w:rFonts w:ascii="Arial" w:hAnsi="Arial"/>
        </w:rPr>
        <w:t>1605</w:t>
      </w:r>
    </w:p>
    <w:p>
      <w:pPr>
        <w:pStyle w:val="TOC2"/>
        <w:widowControl/>
        <w:tabs>
          <w:tab w:pos="8856" w:val="right" w:leader="dot"/>
        </w:tabs>
      </w:pPr>
      <w:hyperlink w:anchor="_NAESTMA_TOC_2355" w:history="1">
        <w:r>
          <w:rPr>
            <w:color w:val="466B7A"/>
          </w:rPr>
          <w:t>BC-91. Joint Geological Survey Integration</w:t>
        </w:r>
      </w:hyperlink>
      <w:r>
        <w:tab/>
      </w:r>
      <w:r>
        <w:rPr>
          <w:rFonts w:ascii="Arial" w:hAnsi="Arial"/>
        </w:rPr>
        <w:t>1605</w:t>
      </w:r>
    </w:p>
    <w:p>
      <w:pPr>
        <w:pStyle w:val="TOC2"/>
        <w:widowControl/>
        <w:tabs>
          <w:tab w:pos="8856" w:val="right" w:leader="dot"/>
        </w:tabs>
      </w:pPr>
      <w:hyperlink w:anchor="_NAESTMA_TOC_2356" w:history="1">
        <w:r>
          <w:rPr>
            <w:color w:val="466B7A"/>
          </w:rPr>
          <w:t>BC-92. Mexico-US Action Plan Implementation</w:t>
        </w:r>
      </w:hyperlink>
      <w:r>
        <w:tab/>
      </w:r>
      <w:r>
        <w:rPr>
          <w:rFonts w:ascii="Arial" w:hAnsi="Arial"/>
        </w:rPr>
        <w:t>1605</w:t>
      </w:r>
    </w:p>
    <w:p>
      <w:pPr>
        <w:pStyle w:val="TOC2"/>
        <w:widowControl/>
        <w:tabs>
          <w:tab w:pos="8856" w:val="right" w:leader="dot"/>
        </w:tabs>
      </w:pPr>
      <w:hyperlink w:anchor="_NAESTMA_TOC_2357" w:history="1">
        <w:r>
          <w:rPr>
            <w:color w:val="466B7A"/>
          </w:rPr>
          <w:t>BC-93. Tri-National Defense Minerals Coordination</w:t>
        </w:r>
      </w:hyperlink>
      <w:r>
        <w:tab/>
      </w:r>
      <w:r>
        <w:rPr>
          <w:rFonts w:ascii="Arial" w:hAnsi="Arial"/>
        </w:rPr>
        <w:t>1605</w:t>
      </w:r>
    </w:p>
    <w:p>
      <w:pPr>
        <w:pStyle w:val="TOC2"/>
        <w:widowControl/>
        <w:tabs>
          <w:tab w:pos="8856" w:val="right" w:leader="dot"/>
        </w:tabs>
      </w:pPr>
      <w:hyperlink w:anchor="_NAESTMA_TOC_2358" w:history="1">
        <w:r>
          <w:rPr>
            <w:color w:val="466B7A"/>
          </w:rPr>
          <w:t>BC-94. Shared Semiconductor Minerals Strategy</w:t>
        </w:r>
      </w:hyperlink>
      <w:r>
        <w:tab/>
      </w:r>
      <w:r>
        <w:rPr>
          <w:rFonts w:ascii="Arial" w:hAnsi="Arial"/>
        </w:rPr>
        <w:t>1605</w:t>
      </w:r>
    </w:p>
    <w:p>
      <w:pPr>
        <w:pStyle w:val="TOC2"/>
        <w:widowControl/>
        <w:tabs>
          <w:tab w:pos="8856" w:val="right" w:leader="dot"/>
        </w:tabs>
      </w:pPr>
      <w:hyperlink w:anchor="_NAESTMA_TOC_2359" w:history="1">
        <w:r>
          <w:rPr>
            <w:color w:val="466B7A"/>
          </w:rPr>
          <w:t>BC-95. North American Processing Investment Dashboard</w:t>
        </w:r>
      </w:hyperlink>
      <w:r>
        <w:tab/>
      </w:r>
      <w:r>
        <w:rPr>
          <w:rFonts w:ascii="Arial" w:hAnsi="Arial"/>
        </w:rPr>
        <w:t>1605</w:t>
      </w:r>
    </w:p>
    <w:p>
      <w:pPr>
        <w:pStyle w:val="TOC2"/>
        <w:widowControl/>
        <w:tabs>
          <w:tab w:pos="8856" w:val="right" w:leader="dot"/>
        </w:tabs>
      </w:pPr>
      <w:hyperlink w:anchor="_NAESTMA_TOC_2360" w:history="1">
        <w:r>
          <w:rPr>
            <w:color w:val="466B7A"/>
          </w:rPr>
          <w:t>BC-96. Joint Annual Processing Capacity Targets</w:t>
        </w:r>
      </w:hyperlink>
      <w:r>
        <w:tab/>
      </w:r>
      <w:r>
        <w:rPr>
          <w:rFonts w:ascii="Arial" w:hAnsi="Arial"/>
        </w:rPr>
        <w:t>1605</w:t>
      </w:r>
    </w:p>
    <w:p>
      <w:pPr>
        <w:pStyle w:val="TOC2"/>
        <w:widowControl/>
        <w:tabs>
          <w:tab w:pos="8856" w:val="right" w:leader="dot"/>
        </w:tabs>
      </w:pPr>
      <w:hyperlink w:anchor="_NAESTMA_TOC_2361" w:history="1">
        <w:r>
          <w:rPr>
            <w:color w:val="466B7A"/>
          </w:rPr>
          <w:t>BC-97. Tri-National Technology Sovereignty Framework</w:t>
        </w:r>
      </w:hyperlink>
      <w:r>
        <w:tab/>
      </w:r>
      <w:r>
        <w:rPr>
          <w:rFonts w:ascii="Arial" w:hAnsi="Arial"/>
        </w:rPr>
        <w:t>1605</w:t>
      </w:r>
    </w:p>
    <w:p>
      <w:pPr>
        <w:pStyle w:val="TOC2"/>
        <w:widowControl/>
        <w:tabs>
          <w:tab w:pos="8856" w:val="right" w:leader="dot"/>
        </w:tabs>
      </w:pPr>
      <w:hyperlink w:anchor="_NAESTMA_TOC_2362" w:history="1">
        <w:r>
          <w:rPr>
            <w:color w:val="466B7A"/>
          </w:rPr>
          <w:t>BC-98. Shared ESG Standards for Processing</w:t>
        </w:r>
      </w:hyperlink>
      <w:r>
        <w:tab/>
      </w:r>
      <w:r>
        <w:rPr>
          <w:rFonts w:ascii="Arial" w:hAnsi="Arial"/>
        </w:rPr>
        <w:t>1605</w:t>
      </w:r>
    </w:p>
    <w:p>
      <w:pPr>
        <w:pStyle w:val="TOC2"/>
        <w:widowControl/>
        <w:tabs>
          <w:tab w:pos="8856" w:val="right" w:leader="dot"/>
        </w:tabs>
      </w:pPr>
      <w:hyperlink w:anchor="_NAESTMA_TOC_2363" w:history="1">
        <w:r>
          <w:rPr>
            <w:color w:val="466B7A"/>
          </w:rPr>
          <w:t>BC-99. Transparent Mineral Processing Industry Advisory Channel</w:t>
        </w:r>
      </w:hyperlink>
      <w:r>
        <w:tab/>
      </w:r>
      <w:r>
        <w:rPr>
          <w:rFonts w:ascii="Arial" w:hAnsi="Arial"/>
        </w:rPr>
        <w:t>1605</w:t>
      </w:r>
    </w:p>
    <w:p>
      <w:pPr>
        <w:pStyle w:val="TOC2"/>
        <w:widowControl/>
        <w:tabs>
          <w:tab w:pos="8856" w:val="right" w:leader="dot"/>
        </w:tabs>
      </w:pPr>
      <w:hyperlink w:anchor="_NAESTMA_TOC_2364" w:history="1">
        <w:r>
          <w:rPr>
            <w:color w:val="466B7A"/>
          </w:rPr>
          <w:t>BC-100. Existing-Institution Minerals Coordination Mandate</w:t>
        </w:r>
      </w:hyperlink>
      <w:r>
        <w:tab/>
      </w:r>
      <w:r>
        <w:rPr>
          <w:rFonts w:ascii="Arial" w:hAnsi="Arial"/>
        </w:rPr>
        <w:t>1605</w:t>
      </w:r>
    </w:p>
    <w:p>
      <w:pPr>
        <w:pStyle w:val="TOC2"/>
        <w:widowControl/>
        <w:tabs>
          <w:tab w:pos="8856" w:val="right" w:leader="dot"/>
        </w:tabs>
      </w:pPr>
      <w:hyperlink w:anchor="_NAESTMA_TOC_2365" w:history="1">
        <w:r>
          <w:rPr>
            <w:color w:val="466B7A"/>
          </w:rPr>
          <w:t>BC-101. Mineral Provenance Transparency Standard</w:t>
        </w:r>
      </w:hyperlink>
      <w:r>
        <w:tab/>
      </w:r>
      <w:r>
        <w:rPr>
          <w:rFonts w:ascii="Arial" w:hAnsi="Arial"/>
        </w:rPr>
        <w:t>1605</w:t>
      </w:r>
    </w:p>
    <w:p>
      <w:pPr>
        <w:pStyle w:val="TOC1"/>
        <w:widowControl/>
        <w:tabs>
          <w:tab w:pos="8856" w:val="right" w:leader="dot"/>
        </w:tabs>
      </w:pPr>
      <w:hyperlink w:anchor="_NAESTMA_TOC_2366" w:history="1">
        <w:r>
          <w:rPr>
            <w:color w:val="233746"/>
          </w:rPr>
          <w:t>PACKAGE BD — TAILINGS, MINE-WASTE RECOVERY, REMEDIATION AND BENEFICIAL-USE CATALOGUE (120…</w:t>
        </w:r>
      </w:hyperlink>
      <w:r>
        <w:tab/>
      </w:r>
      <w:r>
        <w:rPr>
          <w:rFonts w:ascii="Arial" w:hAnsi="Arial"/>
        </w:rPr>
        <w:t>1606</w:t>
      </w:r>
    </w:p>
    <w:p>
      <w:pPr>
        <w:pStyle w:val="TOC2"/>
        <w:widowControl/>
        <w:tabs>
          <w:tab w:pos="8856" w:val="right" w:leader="dot"/>
        </w:tabs>
      </w:pPr>
      <w:hyperlink w:anchor="_NAESTMA_TOC_2367" w:history="1">
        <w:r>
          <w:rPr>
            <w:color w:val="466B7A"/>
          </w:rPr>
          <w:t>BD-A. Tailings Beneficial-Use Safety Ladder</w:t>
        </w:r>
      </w:hyperlink>
      <w:r>
        <w:tab/>
      </w:r>
      <w:r>
        <w:rPr>
          <w:rFonts w:ascii="Arial" w:hAnsi="Arial"/>
        </w:rPr>
        <w:t>1606</w:t>
      </w:r>
    </w:p>
    <w:p>
      <w:pPr>
        <w:pStyle w:val="TOC2"/>
        <w:widowControl/>
        <w:tabs>
          <w:tab w:pos="8856" w:val="right" w:leader="dot"/>
        </w:tabs>
      </w:pPr>
      <w:hyperlink w:anchor="_NAESTMA_TOC_2368" w:history="1">
        <w:r>
          <w:rPr>
            <w:color w:val="466B7A"/>
          </w:rPr>
          <w:t>BD-B. Remediation Credit Hierarchy</w:t>
        </w:r>
      </w:hyperlink>
      <w:r>
        <w:tab/>
      </w:r>
      <w:r>
        <w:rPr>
          <w:rFonts w:ascii="Arial" w:hAnsi="Arial"/>
        </w:rPr>
        <w:t>1606</w:t>
      </w:r>
    </w:p>
    <w:p>
      <w:pPr>
        <w:pStyle w:val="TOC2"/>
        <w:widowControl/>
        <w:tabs>
          <w:tab w:pos="8856" w:val="right" w:leader="dot"/>
        </w:tabs>
      </w:pPr>
      <w:hyperlink w:anchor="_NAESTMA_TOC_2369" w:history="1">
        <w:r>
          <w:rPr>
            <w:color w:val="466B7A"/>
          </w:rPr>
          <w:t>BD-1. Tri-National Tailings Reprocessing Framework</w:t>
        </w:r>
      </w:hyperlink>
      <w:r>
        <w:tab/>
      </w:r>
      <w:r>
        <w:rPr>
          <w:rFonts w:ascii="Arial" w:hAnsi="Arial"/>
        </w:rPr>
        <w:t>1606</w:t>
      </w:r>
    </w:p>
    <w:p>
      <w:pPr>
        <w:pStyle w:val="TOC2"/>
        <w:widowControl/>
        <w:tabs>
          <w:tab w:pos="8856" w:val="right" w:leader="dot"/>
        </w:tabs>
      </w:pPr>
      <w:hyperlink w:anchor="_NAESTMA_TOC_2370" w:history="1">
        <w:r>
          <w:rPr>
            <w:color w:val="466B7A"/>
          </w:rPr>
          <w:t>BD-2. Secondary Mineral Resource Classification</w:t>
        </w:r>
      </w:hyperlink>
      <w:r>
        <w:tab/>
      </w:r>
      <w:r>
        <w:rPr>
          <w:rFonts w:ascii="Arial" w:hAnsi="Arial"/>
        </w:rPr>
        <w:t>1606</w:t>
      </w:r>
    </w:p>
    <w:p>
      <w:pPr>
        <w:pStyle w:val="TOC2"/>
        <w:widowControl/>
        <w:tabs>
          <w:tab w:pos="8856" w:val="right" w:leader="dot"/>
        </w:tabs>
      </w:pPr>
      <w:hyperlink w:anchor="_NAESTMA_TOC_2371" w:history="1">
        <w:r>
          <w:rPr>
            <w:color w:val="466B7A"/>
          </w:rPr>
          <w:t>BD-3. Coordinated Permitting Fast-Track</w:t>
        </w:r>
      </w:hyperlink>
      <w:r>
        <w:tab/>
      </w:r>
      <w:r>
        <w:rPr>
          <w:rFonts w:ascii="Arial" w:hAnsi="Arial"/>
        </w:rPr>
        <w:t>1606</w:t>
      </w:r>
    </w:p>
    <w:p>
      <w:pPr>
        <w:pStyle w:val="TOC2"/>
        <w:widowControl/>
        <w:tabs>
          <w:tab w:pos="8856" w:val="right" w:leader="dot"/>
        </w:tabs>
      </w:pPr>
      <w:hyperlink w:anchor="_NAESTMA_TOC_2372" w:history="1">
        <w:r>
          <w:rPr>
            <w:color w:val="466B7A"/>
          </w:rPr>
          <w:t>BD-4. Tri-National Mine Waste Inventory</w:t>
        </w:r>
      </w:hyperlink>
      <w:r>
        <w:tab/>
      </w:r>
      <w:r>
        <w:rPr>
          <w:rFonts w:ascii="Arial" w:hAnsi="Arial"/>
        </w:rPr>
        <w:t>1606</w:t>
      </w:r>
    </w:p>
    <w:p>
      <w:pPr>
        <w:pStyle w:val="TOC2"/>
        <w:widowControl/>
        <w:tabs>
          <w:tab w:pos="8856" w:val="right" w:leader="dot"/>
        </w:tabs>
      </w:pPr>
      <w:hyperlink w:anchor="_NAESTMA_TOC_2373" w:history="1">
        <w:r>
          <w:rPr>
            <w:color w:val="466B7A"/>
          </w:rPr>
          <w:t>BD-5. Harmonized Environmental Liability Transfer</w:t>
        </w:r>
      </w:hyperlink>
      <w:r>
        <w:tab/>
      </w:r>
      <w:r>
        <w:rPr>
          <w:rFonts w:ascii="Arial" w:hAnsi="Arial"/>
        </w:rPr>
        <w:t>1607</w:t>
      </w:r>
    </w:p>
    <w:p>
      <w:pPr>
        <w:pStyle w:val="TOC2"/>
        <w:widowControl/>
        <w:tabs>
          <w:tab w:pos="8856" w:val="right" w:leader="dot"/>
        </w:tabs>
      </w:pPr>
      <w:hyperlink w:anchor="_NAESTMA_TOC_2374" w:history="1">
        <w:r>
          <w:rPr>
            <w:color w:val="466B7A"/>
          </w:rPr>
          <w:t>BD-6. Shared Tax Credits for Tailings Reprocessing</w:t>
        </w:r>
      </w:hyperlink>
      <w:r>
        <w:tab/>
      </w:r>
      <w:r>
        <w:rPr>
          <w:rFonts w:ascii="Arial" w:hAnsi="Arial"/>
        </w:rPr>
        <w:t>1607</w:t>
      </w:r>
    </w:p>
    <w:p>
      <w:pPr>
        <w:pStyle w:val="TOC2"/>
        <w:widowControl/>
        <w:tabs>
          <w:tab w:pos="8856" w:val="right" w:leader="dot"/>
        </w:tabs>
      </w:pPr>
      <w:hyperlink w:anchor="_NAESTMA_TOC_2375" w:history="1">
        <w:r>
          <w:rPr>
            <w:color w:val="466B7A"/>
          </w:rPr>
          <w:t>BD-7. Cross-Border Waste Stream Classification</w:t>
        </w:r>
      </w:hyperlink>
      <w:r>
        <w:tab/>
      </w:r>
      <w:r>
        <w:rPr>
          <w:rFonts w:ascii="Arial" w:hAnsi="Arial"/>
        </w:rPr>
        <w:t>1607</w:t>
      </w:r>
    </w:p>
    <w:p>
      <w:pPr>
        <w:pStyle w:val="TOC2"/>
        <w:widowControl/>
        <w:tabs>
          <w:tab w:pos="8856" w:val="right" w:leader="dot"/>
        </w:tabs>
      </w:pPr>
      <w:hyperlink w:anchor="_NAESTMA_TOC_2376" w:history="1">
        <w:r>
          <w:rPr>
            <w:color w:val="466B7A"/>
          </w:rPr>
          <w:t>BD-8. Joint Abandoned Mine Land Program</w:t>
        </w:r>
      </w:hyperlink>
      <w:r>
        <w:tab/>
      </w:r>
      <w:r>
        <w:rPr>
          <w:rFonts w:ascii="Arial" w:hAnsi="Arial"/>
        </w:rPr>
        <w:t>1607</w:t>
      </w:r>
    </w:p>
    <w:p>
      <w:pPr>
        <w:pStyle w:val="TOC2"/>
        <w:widowControl/>
        <w:tabs>
          <w:tab w:pos="8856" w:val="right" w:leader="dot"/>
        </w:tabs>
      </w:pPr>
      <w:hyperlink w:anchor="_NAESTMA_TOC_2377" w:history="1">
        <w:r>
          <w:rPr>
            <w:color w:val="466B7A"/>
          </w:rPr>
          <w:t>BD-9. Tri-National Remediation Standards</w:t>
        </w:r>
      </w:hyperlink>
      <w:r>
        <w:tab/>
      </w:r>
      <w:r>
        <w:rPr>
          <w:rFonts w:ascii="Arial" w:hAnsi="Arial"/>
        </w:rPr>
        <w:t>1607</w:t>
      </w:r>
    </w:p>
    <w:p>
      <w:pPr>
        <w:pStyle w:val="TOC2"/>
        <w:widowControl/>
        <w:tabs>
          <w:tab w:pos="8856" w:val="right" w:leader="dot"/>
        </w:tabs>
      </w:pPr>
      <w:hyperlink w:anchor="_NAESTMA_TOC_2378" w:history="1">
        <w:r>
          <w:rPr>
            <w:color w:val="466B7A"/>
          </w:rPr>
          <w:t>BD-10. USMCA Critical Minerals from Waste Chapter</w:t>
        </w:r>
      </w:hyperlink>
      <w:r>
        <w:tab/>
      </w:r>
      <w:r>
        <w:rPr>
          <w:rFonts w:ascii="Arial" w:hAnsi="Arial"/>
        </w:rPr>
        <w:t>1607</w:t>
      </w:r>
    </w:p>
    <w:p>
      <w:pPr>
        <w:pStyle w:val="TOC2"/>
        <w:widowControl/>
        <w:tabs>
          <w:tab w:pos="8856" w:val="right" w:leader="dot"/>
        </w:tabs>
      </w:pPr>
      <w:hyperlink w:anchor="_NAESTMA_TOC_2379" w:history="1">
        <w:r>
          <w:rPr>
            <w:color w:val="466B7A"/>
          </w:rPr>
          <w:t>BD-11. Coordinated Federal Funding Eligibility</w:t>
        </w:r>
      </w:hyperlink>
      <w:r>
        <w:tab/>
      </w:r>
      <w:r>
        <w:rPr>
          <w:rFonts w:ascii="Arial" w:hAnsi="Arial"/>
        </w:rPr>
        <w:t>1607</w:t>
      </w:r>
    </w:p>
    <w:p>
      <w:pPr>
        <w:pStyle w:val="TOC2"/>
        <w:widowControl/>
        <w:tabs>
          <w:tab w:pos="8856" w:val="right" w:leader="dot"/>
        </w:tabs>
      </w:pPr>
      <w:hyperlink w:anchor="_NAESTMA_TOC_2380" w:history="1">
        <w:r>
          <w:rPr>
            <w:color w:val="466B7A"/>
          </w:rPr>
          <w:t>BD-12. Joint Royalty Framework</w:t>
        </w:r>
      </w:hyperlink>
      <w:r>
        <w:tab/>
      </w:r>
      <w:r>
        <w:rPr>
          <w:rFonts w:ascii="Arial" w:hAnsi="Arial"/>
        </w:rPr>
        <w:t>1607</w:t>
      </w:r>
    </w:p>
    <w:p>
      <w:pPr>
        <w:pStyle w:val="TOC2"/>
        <w:widowControl/>
        <w:tabs>
          <w:tab w:pos="8856" w:val="right" w:leader="dot"/>
        </w:tabs>
      </w:pPr>
      <w:hyperlink w:anchor="_NAESTMA_TOC_2381" w:history="1">
        <w:r>
          <w:rPr>
            <w:color w:val="466B7A"/>
          </w:rPr>
          <w:t>BD-13. Tri-National Mine Closure Standards</w:t>
        </w:r>
      </w:hyperlink>
      <w:r>
        <w:tab/>
      </w:r>
      <w:r>
        <w:rPr>
          <w:rFonts w:ascii="Arial" w:hAnsi="Arial"/>
        </w:rPr>
        <w:t>1607</w:t>
      </w:r>
    </w:p>
    <w:p>
      <w:pPr>
        <w:pStyle w:val="TOC2"/>
        <w:widowControl/>
        <w:tabs>
          <w:tab w:pos="8856" w:val="right" w:leader="dot"/>
        </w:tabs>
      </w:pPr>
      <w:hyperlink w:anchor="_NAESTMA_TOC_2382" w:history="1">
        <w:r>
          <w:rPr>
            <w:color w:val="466B7A"/>
          </w:rPr>
          <w:t>BD-14. Shared Indigenous Consultation Protocol</w:t>
        </w:r>
      </w:hyperlink>
      <w:r>
        <w:tab/>
      </w:r>
      <w:r>
        <w:rPr>
          <w:rFonts w:ascii="Arial" w:hAnsi="Arial"/>
        </w:rPr>
        <w:t>1607</w:t>
      </w:r>
    </w:p>
    <w:p>
      <w:pPr>
        <w:pStyle w:val="TOC2"/>
        <w:widowControl/>
        <w:tabs>
          <w:tab w:pos="8856" w:val="right" w:leader="dot"/>
        </w:tabs>
      </w:pPr>
      <w:hyperlink w:anchor="_NAESTMA_TOC_2383" w:history="1">
        <w:r>
          <w:rPr>
            <w:color w:val="466B7A"/>
          </w:rPr>
          <w:t>BD-15. Existing-Institution Tailings Coordination</w:t>
        </w:r>
      </w:hyperlink>
      <w:r>
        <w:tab/>
      </w:r>
      <w:r>
        <w:rPr>
          <w:rFonts w:ascii="Arial" w:hAnsi="Arial"/>
        </w:rPr>
        <w:t>1607</w:t>
      </w:r>
    </w:p>
    <w:p>
      <w:pPr>
        <w:pStyle w:val="TOC2"/>
        <w:widowControl/>
        <w:tabs>
          <w:tab w:pos="8856" w:val="right" w:leader="dot"/>
        </w:tabs>
      </w:pPr>
      <w:hyperlink w:anchor="_NAESTMA_TOC_2384" w:history="1">
        <w:r>
          <w:rPr>
            <w:color w:val="466B7A"/>
          </w:rPr>
          <w:t>BD-16. Canadian Bioleaching Technology for US/Mexican Tailings</w:t>
        </w:r>
      </w:hyperlink>
      <w:r>
        <w:tab/>
      </w:r>
      <w:r>
        <w:rPr>
          <w:rFonts w:ascii="Arial" w:hAnsi="Arial"/>
        </w:rPr>
        <w:t>1607</w:t>
      </w:r>
    </w:p>
    <w:p>
      <w:pPr>
        <w:pStyle w:val="TOC2"/>
        <w:widowControl/>
        <w:tabs>
          <w:tab w:pos="8856" w:val="right" w:leader="dot"/>
        </w:tabs>
      </w:pPr>
      <w:hyperlink w:anchor="_NAESTMA_TOC_2385" w:history="1">
        <w:r>
          <w:rPr>
            <w:color w:val="466B7A"/>
          </w:rPr>
          <w:t>BD-17. US Tellurium Recovery from Bingham Canyon Tailings</w:t>
        </w:r>
      </w:hyperlink>
      <w:r>
        <w:tab/>
      </w:r>
      <w:r>
        <w:rPr>
          <w:rFonts w:ascii="Arial" w:hAnsi="Arial"/>
        </w:rPr>
        <w:t>1607</w:t>
      </w:r>
    </w:p>
    <w:p>
      <w:pPr>
        <w:pStyle w:val="TOC2"/>
        <w:widowControl/>
        <w:tabs>
          <w:tab w:pos="8856" w:val="right" w:leader="dot"/>
        </w:tabs>
      </w:pPr>
      <w:hyperlink w:anchor="_NAESTMA_TOC_2386" w:history="1">
        <w:r>
          <w:rPr>
            <w:color w:val="466B7A"/>
          </w:rPr>
          <w:t>BD-18. Mexican Silver Recovery from High-Sulphur Waste</w:t>
        </w:r>
      </w:hyperlink>
      <w:r>
        <w:tab/>
      </w:r>
      <w:r>
        <w:rPr>
          <w:rFonts w:ascii="Arial" w:hAnsi="Arial"/>
        </w:rPr>
        <w:t>1607</w:t>
      </w:r>
    </w:p>
    <w:p>
      <w:pPr>
        <w:pStyle w:val="TOC2"/>
        <w:widowControl/>
        <w:tabs>
          <w:tab w:pos="8856" w:val="right" w:leader="dot"/>
        </w:tabs>
      </w:pPr>
      <w:hyperlink w:anchor="_NAESTMA_TOC_2387" w:history="1">
        <w:r>
          <w:rPr>
            <w:color w:val="466B7A"/>
          </w:rPr>
          <w:t>BD-19. Tri-National REE Recovery from Tailings</w:t>
        </w:r>
      </w:hyperlink>
      <w:r>
        <w:tab/>
      </w:r>
      <w:r>
        <w:rPr>
          <w:rFonts w:ascii="Arial" w:hAnsi="Arial"/>
        </w:rPr>
        <w:t>1608</w:t>
      </w:r>
    </w:p>
    <w:p>
      <w:pPr>
        <w:pStyle w:val="TOC2"/>
        <w:widowControl/>
        <w:tabs>
          <w:tab w:pos="8856" w:val="right" w:leader="dot"/>
        </w:tabs>
      </w:pPr>
      <w:hyperlink w:anchor="_NAESTMA_TOC_2388" w:history="1">
        <w:r>
          <w:rPr>
            <w:color w:val="466B7A"/>
          </w:rPr>
          <w:t>BD-20. Canadian Lac Jeannine Iron Tailings Model</w:t>
        </w:r>
      </w:hyperlink>
      <w:r>
        <w:tab/>
      </w:r>
      <w:r>
        <w:rPr>
          <w:rFonts w:ascii="Arial" w:hAnsi="Arial"/>
        </w:rPr>
        <w:t>1608</w:t>
      </w:r>
    </w:p>
    <w:p>
      <w:pPr>
        <w:pStyle w:val="TOC2"/>
        <w:widowControl/>
        <w:tabs>
          <w:tab w:pos="8856" w:val="right" w:leader="dot"/>
        </w:tabs>
      </w:pPr>
      <w:hyperlink w:anchor="_NAESTMA_TOC_2389" w:history="1">
        <w:r>
          <w:rPr>
            <w:color w:val="466B7A"/>
          </w:rPr>
          <w:t>BD-21. US Germanium Recovery from Lead-Zinc Tailings</w:t>
        </w:r>
      </w:hyperlink>
      <w:r>
        <w:tab/>
      </w:r>
      <w:r>
        <w:rPr>
          <w:rFonts w:ascii="Arial" w:hAnsi="Arial"/>
        </w:rPr>
        <w:t>1608</w:t>
      </w:r>
    </w:p>
    <w:p>
      <w:pPr>
        <w:pStyle w:val="TOC2"/>
        <w:widowControl/>
        <w:tabs>
          <w:tab w:pos="8856" w:val="right" w:leader="dot"/>
        </w:tabs>
      </w:pPr>
      <w:hyperlink w:anchor="_NAESTMA_TOC_2390" w:history="1">
        <w:r>
          <w:rPr>
            <w:color w:val="466B7A"/>
          </w:rPr>
          <w:t>BD-22. Mexican Arsenic/Antimony Removal Technology</w:t>
        </w:r>
      </w:hyperlink>
      <w:r>
        <w:tab/>
      </w:r>
      <w:r>
        <w:rPr>
          <w:rFonts w:ascii="Arial" w:hAnsi="Arial"/>
        </w:rPr>
        <w:t>1608</w:t>
      </w:r>
    </w:p>
    <w:p>
      <w:pPr>
        <w:pStyle w:val="TOC2"/>
        <w:widowControl/>
        <w:tabs>
          <w:tab w:pos="8856" w:val="right" w:leader="dot"/>
        </w:tabs>
      </w:pPr>
      <w:hyperlink w:anchor="_NAESTMA_TOC_2391" w:history="1">
        <w:r>
          <w:rPr>
            <w:color w:val="466B7A"/>
          </w:rPr>
          <w:t>BD-23. Canadian Gold Tailings Reprocessing</w:t>
        </w:r>
      </w:hyperlink>
      <w:r>
        <w:tab/>
      </w:r>
      <w:r>
        <w:rPr>
          <w:rFonts w:ascii="Arial" w:hAnsi="Arial"/>
        </w:rPr>
        <w:t>1608</w:t>
      </w:r>
    </w:p>
    <w:p>
      <w:pPr>
        <w:pStyle w:val="TOC2"/>
        <w:widowControl/>
        <w:tabs>
          <w:tab w:pos="8856" w:val="right" w:leader="dot"/>
        </w:tabs>
      </w:pPr>
      <w:hyperlink w:anchor="_NAESTMA_TOC_2392" w:history="1">
        <w:r>
          <w:rPr>
            <w:color w:val="466B7A"/>
          </w:rPr>
          <w:t>BD-24. US PGM Recovery from Tailings</w:t>
        </w:r>
      </w:hyperlink>
      <w:r>
        <w:tab/>
      </w:r>
      <w:r>
        <w:rPr>
          <w:rFonts w:ascii="Arial" w:hAnsi="Arial"/>
        </w:rPr>
        <w:t>1608</w:t>
      </w:r>
    </w:p>
    <w:p>
      <w:pPr>
        <w:pStyle w:val="TOC2"/>
        <w:widowControl/>
        <w:tabs>
          <w:tab w:pos="8856" w:val="right" w:leader="dot"/>
        </w:tabs>
      </w:pPr>
      <w:hyperlink w:anchor="_NAESTMA_TOC_2393" w:history="1">
        <w:r>
          <w:rPr>
            <w:color w:val="466B7A"/>
          </w:rPr>
          <w:t>BD-25. Mexican Cananea-Nacozari Critical Minerals Assessment</w:t>
        </w:r>
      </w:hyperlink>
      <w:r>
        <w:tab/>
      </w:r>
      <w:r>
        <w:rPr>
          <w:rFonts w:ascii="Arial" w:hAnsi="Arial"/>
        </w:rPr>
        <w:t>1608</w:t>
      </w:r>
    </w:p>
    <w:p>
      <w:pPr>
        <w:pStyle w:val="TOC2"/>
        <w:widowControl/>
        <w:tabs>
          <w:tab w:pos="8856" w:val="right" w:leader="dot"/>
        </w:tabs>
      </w:pPr>
      <w:hyperlink w:anchor="_NAESTMA_TOC_2394" w:history="1">
        <w:r>
          <w:rPr>
            <w:color w:val="466B7A"/>
          </w:rPr>
          <w:t>BD-26. Tri-National Scandium Recovery from Tailings</w:t>
        </w:r>
      </w:hyperlink>
      <w:r>
        <w:tab/>
      </w:r>
      <w:r>
        <w:rPr>
          <w:rFonts w:ascii="Arial" w:hAnsi="Arial"/>
        </w:rPr>
        <w:t>1608</w:t>
      </w:r>
    </w:p>
    <w:p>
      <w:pPr>
        <w:pStyle w:val="TOC2"/>
        <w:widowControl/>
        <w:tabs>
          <w:tab w:pos="8856" w:val="right" w:leader="dot"/>
        </w:tabs>
      </w:pPr>
      <w:hyperlink w:anchor="_NAESTMA_TOC_2395" w:history="1">
        <w:r>
          <w:rPr>
            <w:color w:val="466B7A"/>
          </w:rPr>
          <w:t>BD-27. US EnviroGold NVRO Process Deployment</w:t>
        </w:r>
      </w:hyperlink>
      <w:r>
        <w:tab/>
      </w:r>
      <w:r>
        <w:rPr>
          <w:rFonts w:ascii="Arial" w:hAnsi="Arial"/>
        </w:rPr>
        <w:t>1608</w:t>
      </w:r>
    </w:p>
    <w:p>
      <w:pPr>
        <w:pStyle w:val="TOC2"/>
        <w:widowControl/>
        <w:tabs>
          <w:tab w:pos="8856" w:val="right" w:leader="dot"/>
        </w:tabs>
      </w:pPr>
      <w:hyperlink w:anchor="_NAESTMA_TOC_2396" w:history="1">
        <w:r>
          <w:rPr>
            <w:color w:val="466B7A"/>
          </w:rPr>
          <w:t>BD-28. Canadian Zero Tailings™ Patent Deployment</w:t>
        </w:r>
      </w:hyperlink>
      <w:r>
        <w:tab/>
      </w:r>
      <w:r>
        <w:rPr>
          <w:rFonts w:ascii="Arial" w:hAnsi="Arial"/>
        </w:rPr>
        <w:t>1608</w:t>
      </w:r>
    </w:p>
    <w:p>
      <w:pPr>
        <w:pStyle w:val="TOC2"/>
        <w:widowControl/>
        <w:tabs>
          <w:tab w:pos="8856" w:val="right" w:leader="dot"/>
        </w:tabs>
      </w:pPr>
      <w:hyperlink w:anchor="_NAESTMA_TOC_2397" w:history="1">
        <w:r>
          <w:rPr>
            <w:color w:val="466B7A"/>
          </w:rPr>
          <w:t>BD-29. US Gallium/Indium Recovery from Tailings</w:t>
        </w:r>
      </w:hyperlink>
      <w:r>
        <w:tab/>
      </w:r>
      <w:r>
        <w:rPr>
          <w:rFonts w:ascii="Arial" w:hAnsi="Arial"/>
        </w:rPr>
        <w:t>1608</w:t>
      </w:r>
    </w:p>
    <w:p>
      <w:pPr>
        <w:pStyle w:val="TOC2"/>
        <w:widowControl/>
        <w:tabs>
          <w:tab w:pos="8856" w:val="right" w:leader="dot"/>
        </w:tabs>
      </w:pPr>
      <w:hyperlink w:anchor="_NAESTMA_TOC_2398" w:history="1">
        <w:r>
          <w:rPr>
            <w:color w:val="466B7A"/>
          </w:rPr>
          <w:t>BD-30. Tri-National Zinc &amp; Germanium from Tar Creek Model</w:t>
        </w:r>
      </w:hyperlink>
      <w:r>
        <w:tab/>
      </w:r>
      <w:r>
        <w:rPr>
          <w:rFonts w:ascii="Arial" w:hAnsi="Arial"/>
        </w:rPr>
        <w:t>1608</w:t>
      </w:r>
    </w:p>
    <w:p>
      <w:pPr>
        <w:pStyle w:val="TOC2"/>
        <w:widowControl/>
        <w:tabs>
          <w:tab w:pos="8856" w:val="right" w:leader="dot"/>
        </w:tabs>
      </w:pPr>
      <w:hyperlink w:anchor="_NAESTMA_TOC_2399" w:history="1">
        <w:r>
          <w:rPr>
            <w:color w:val="466B7A"/>
          </w:rPr>
          <w:t>BD-31. Mexican REE Recovery from Mining Water</w:t>
        </w:r>
      </w:hyperlink>
      <w:r>
        <w:tab/>
      </w:r>
      <w:r>
        <w:rPr>
          <w:rFonts w:ascii="Arial" w:hAnsi="Arial"/>
        </w:rPr>
        <w:t>1609</w:t>
      </w:r>
    </w:p>
    <w:p>
      <w:pPr>
        <w:pStyle w:val="TOC2"/>
        <w:widowControl/>
        <w:tabs>
          <w:tab w:pos="8856" w:val="right" w:leader="dot"/>
        </w:tabs>
      </w:pPr>
      <w:hyperlink w:anchor="_NAESTMA_TOC_2400" w:history="1">
        <w:r>
          <w:rPr>
            <w:color w:val="466B7A"/>
          </w:rPr>
          <w:t>BD-32. Canadian High-Pressure Slurry Ablation (HPSA)</w:t>
        </w:r>
      </w:hyperlink>
      <w:r>
        <w:tab/>
      </w:r>
      <w:r>
        <w:rPr>
          <w:rFonts w:ascii="Arial" w:hAnsi="Arial"/>
        </w:rPr>
        <w:t>1609</w:t>
      </w:r>
    </w:p>
    <w:p>
      <w:pPr>
        <w:pStyle w:val="TOC2"/>
        <w:widowControl/>
        <w:tabs>
          <w:tab w:pos="8856" w:val="right" w:leader="dot"/>
        </w:tabs>
      </w:pPr>
      <w:hyperlink w:anchor="_NAESTMA_TOC_2401" w:history="1">
        <w:r>
          <w:rPr>
            <w:color w:val="466B7A"/>
          </w:rPr>
          <w:t>BD-33. US Copper Tailings Reprocessing</w:t>
        </w:r>
      </w:hyperlink>
      <w:r>
        <w:tab/>
      </w:r>
      <w:r>
        <w:rPr>
          <w:rFonts w:ascii="Arial" w:hAnsi="Arial"/>
        </w:rPr>
        <w:t>1609</w:t>
      </w:r>
    </w:p>
    <w:p>
      <w:pPr>
        <w:pStyle w:val="TOC2"/>
        <w:widowControl/>
        <w:tabs>
          <w:tab w:pos="8856" w:val="right" w:leader="dot"/>
        </w:tabs>
      </w:pPr>
      <w:hyperlink w:anchor="_NAESTMA_TOC_2402" w:history="1">
        <w:r>
          <w:rPr>
            <w:color w:val="466B7A"/>
          </w:rPr>
          <w:t>BD-34. Tri-National Lithium Recovery from Tailings</w:t>
        </w:r>
      </w:hyperlink>
      <w:r>
        <w:tab/>
      </w:r>
      <w:r>
        <w:rPr>
          <w:rFonts w:ascii="Arial" w:hAnsi="Arial"/>
        </w:rPr>
        <w:t>1609</w:t>
      </w:r>
    </w:p>
    <w:p>
      <w:pPr>
        <w:pStyle w:val="TOC2"/>
        <w:widowControl/>
        <w:tabs>
          <w:tab w:pos="8856" w:val="right" w:leader="dot"/>
        </w:tabs>
      </w:pPr>
      <w:hyperlink w:anchor="_NAESTMA_TOC_2403" w:history="1">
        <w:r>
          <w:rPr>
            <w:color w:val="466B7A"/>
          </w:rPr>
          <w:t>BD-35. North American Tailings Resource Estimate</w:t>
        </w:r>
      </w:hyperlink>
      <w:r>
        <w:tab/>
      </w:r>
      <w:r>
        <w:rPr>
          <w:rFonts w:ascii="Arial" w:hAnsi="Arial"/>
        </w:rPr>
        <w:t>1609</w:t>
      </w:r>
    </w:p>
    <w:p>
      <w:pPr>
        <w:pStyle w:val="TOC2"/>
        <w:widowControl/>
        <w:tabs>
          <w:tab w:pos="8856" w:val="right" w:leader="dot"/>
        </w:tabs>
      </w:pPr>
      <w:hyperlink w:anchor="_NAESTMA_TOC_2404" w:history="1">
        <w:r>
          <w:rPr>
            <w:color w:val="466B7A"/>
          </w:rPr>
          <w:t>BD-36. Quebec Tailings-to-Bricks Model</w:t>
        </w:r>
      </w:hyperlink>
      <w:r>
        <w:tab/>
      </w:r>
      <w:r>
        <w:rPr>
          <w:rFonts w:ascii="Arial" w:hAnsi="Arial"/>
        </w:rPr>
        <w:t>1609</w:t>
      </w:r>
    </w:p>
    <w:p>
      <w:pPr>
        <w:pStyle w:val="TOC2"/>
        <w:widowControl/>
        <w:tabs>
          <w:tab w:pos="8856" w:val="right" w:leader="dot"/>
        </w:tabs>
      </w:pPr>
      <w:hyperlink w:anchor="_NAESTMA_TOC_2405" w:history="1">
        <w:r>
          <w:rPr>
            <w:color w:val="466B7A"/>
          </w:rPr>
          <w:t>BD-37. Tri-National Tailings-Based Concrete Standards</w:t>
        </w:r>
      </w:hyperlink>
      <w:r>
        <w:tab/>
      </w:r>
      <w:r>
        <w:rPr>
          <w:rFonts w:ascii="Arial" w:hAnsi="Arial"/>
        </w:rPr>
        <w:t>1609</w:t>
      </w:r>
    </w:p>
    <w:p>
      <w:pPr>
        <w:pStyle w:val="TOC2"/>
        <w:widowControl/>
        <w:tabs>
          <w:tab w:pos="8856" w:val="right" w:leader="dot"/>
        </w:tabs>
      </w:pPr>
      <w:hyperlink w:anchor="_NAESTMA_TOC_2406" w:history="1">
        <w:r>
          <w:rPr>
            <w:color w:val="466B7A"/>
          </w:rPr>
          <w:t>BD-38. Mexican Tailings for Pavement Base</w:t>
        </w:r>
      </w:hyperlink>
      <w:r>
        <w:tab/>
      </w:r>
      <w:r>
        <w:rPr>
          <w:rFonts w:ascii="Arial" w:hAnsi="Arial"/>
        </w:rPr>
        <w:t>1609</w:t>
      </w:r>
    </w:p>
    <w:p>
      <w:pPr>
        <w:pStyle w:val="TOC2"/>
        <w:widowControl/>
        <w:tabs>
          <w:tab w:pos="8856" w:val="right" w:leader="dot"/>
        </w:tabs>
      </w:pPr>
      <w:hyperlink w:anchor="_NAESTMA_TOC_2407" w:history="1">
        <w:r>
          <w:rPr>
            <w:color w:val="466B7A"/>
          </w:rPr>
          <w:t>BD-39. Canadian Tailings Cement Binder</w:t>
        </w:r>
      </w:hyperlink>
      <w:r>
        <w:tab/>
      </w:r>
      <w:r>
        <w:rPr>
          <w:rFonts w:ascii="Arial" w:hAnsi="Arial"/>
        </w:rPr>
        <w:t>1609</w:t>
      </w:r>
    </w:p>
    <w:p>
      <w:pPr>
        <w:pStyle w:val="TOC2"/>
        <w:widowControl/>
        <w:tabs>
          <w:tab w:pos="8856" w:val="right" w:leader="dot"/>
        </w:tabs>
      </w:pPr>
      <w:hyperlink w:anchor="_NAESTMA_TOC_2408" w:history="1">
        <w:r>
          <w:rPr>
            <w:color w:val="466B7A"/>
          </w:rPr>
          <w:t>BD-40. US Iron Ore Tailings as Concrete Aggregate</w:t>
        </w:r>
      </w:hyperlink>
      <w:r>
        <w:tab/>
      </w:r>
      <w:r>
        <w:rPr>
          <w:rFonts w:ascii="Arial" w:hAnsi="Arial"/>
        </w:rPr>
        <w:t>1609</w:t>
      </w:r>
    </w:p>
    <w:p>
      <w:pPr>
        <w:pStyle w:val="TOC2"/>
        <w:widowControl/>
        <w:tabs>
          <w:tab w:pos="8856" w:val="right" w:leader="dot"/>
        </w:tabs>
      </w:pPr>
      <w:hyperlink w:anchor="_NAESTMA_TOC_2409" w:history="1">
        <w:r>
          <w:rPr>
            <w:color w:val="466B7A"/>
          </w:rPr>
          <w:t>BD-41. Tri-National Geopolymer Tailings Bricks</w:t>
        </w:r>
      </w:hyperlink>
      <w:r>
        <w:tab/>
      </w:r>
      <w:r>
        <w:rPr>
          <w:rFonts w:ascii="Arial" w:hAnsi="Arial"/>
        </w:rPr>
        <w:t>1609</w:t>
      </w:r>
    </w:p>
    <w:p>
      <w:pPr>
        <w:pStyle w:val="TOC2"/>
        <w:widowControl/>
        <w:tabs>
          <w:tab w:pos="8856" w:val="right" w:leader="dot"/>
        </w:tabs>
      </w:pPr>
      <w:hyperlink w:anchor="_NAESTMA_TOC_2410" w:history="1">
        <w:r>
          <w:rPr>
            <w:color w:val="466B7A"/>
          </w:rPr>
          <w:t>BD-42. Mexican Tailings Glass Production</w:t>
        </w:r>
      </w:hyperlink>
      <w:r>
        <w:tab/>
      </w:r>
      <w:r>
        <w:rPr>
          <w:rFonts w:ascii="Arial" w:hAnsi="Arial"/>
        </w:rPr>
        <w:t>1609</w:t>
      </w:r>
    </w:p>
    <w:p>
      <w:pPr>
        <w:pStyle w:val="TOC2"/>
        <w:widowControl/>
        <w:tabs>
          <w:tab w:pos="8856" w:val="right" w:leader="dot"/>
        </w:tabs>
      </w:pPr>
      <w:hyperlink w:anchor="_NAESTMA_TOC_2411" w:history="1">
        <w:r>
          <w:rPr>
            <w:color w:val="466B7A"/>
          </w:rPr>
          <w:t>BD-43. Canadian Tailings Backfill for Underground Voids</w:t>
        </w:r>
      </w:hyperlink>
      <w:r>
        <w:tab/>
      </w:r>
      <w:r>
        <w:rPr>
          <w:rFonts w:ascii="Arial" w:hAnsi="Arial"/>
        </w:rPr>
        <w:t>1609</w:t>
      </w:r>
    </w:p>
    <w:p>
      <w:pPr>
        <w:pStyle w:val="TOC2"/>
        <w:widowControl/>
        <w:tabs>
          <w:tab w:pos="8856" w:val="right" w:leader="dot"/>
        </w:tabs>
      </w:pPr>
      <w:hyperlink w:anchor="_NAESTMA_TOC_2412" w:history="1">
        <w:r>
          <w:rPr>
            <w:color w:val="466B7A"/>
          </w:rPr>
          <w:t>BD-44. Tri-National Tailings-Based 3D Printing</w:t>
        </w:r>
      </w:hyperlink>
      <w:r>
        <w:tab/>
      </w:r>
      <w:r>
        <w:rPr>
          <w:rFonts w:ascii="Arial" w:hAnsi="Arial"/>
        </w:rPr>
        <w:t>1610</w:t>
      </w:r>
    </w:p>
    <w:p>
      <w:pPr>
        <w:pStyle w:val="TOC2"/>
        <w:widowControl/>
        <w:tabs>
          <w:tab w:pos="8856" w:val="right" w:leader="dot"/>
        </w:tabs>
      </w:pPr>
      <w:hyperlink w:anchor="_NAESTMA_TOC_2413" w:history="1">
        <w:r>
          <w:rPr>
            <w:color w:val="466B7A"/>
          </w:rPr>
          <w:t>BD-45. US Tailings-Based Low-Carbon Concrete</w:t>
        </w:r>
      </w:hyperlink>
      <w:r>
        <w:tab/>
      </w:r>
      <w:r>
        <w:rPr>
          <w:rFonts w:ascii="Arial" w:hAnsi="Arial"/>
        </w:rPr>
        <w:t>1610</w:t>
      </w:r>
    </w:p>
    <w:p>
      <w:pPr>
        <w:pStyle w:val="TOC2"/>
        <w:widowControl/>
        <w:tabs>
          <w:tab w:pos="8856" w:val="right" w:leader="dot"/>
        </w:tabs>
      </w:pPr>
      <w:hyperlink w:anchor="_NAESTMA_TOC_2414" w:history="1">
        <w:r>
          <w:rPr>
            <w:color w:val="466B7A"/>
          </w:rPr>
          <w:t>BD-46. Mexican Tailings as Supplementary Cementitious Material</w:t>
        </w:r>
      </w:hyperlink>
      <w:r>
        <w:tab/>
      </w:r>
      <w:r>
        <w:rPr>
          <w:rFonts w:ascii="Arial" w:hAnsi="Arial"/>
        </w:rPr>
        <w:t>1610</w:t>
      </w:r>
    </w:p>
    <w:p>
      <w:pPr>
        <w:pStyle w:val="TOC2"/>
        <w:widowControl/>
        <w:tabs>
          <w:tab w:pos="8856" w:val="right" w:leader="dot"/>
        </w:tabs>
      </w:pPr>
      <w:hyperlink w:anchor="_NAESTMA_TOC_2415" w:history="1">
        <w:r>
          <w:rPr>
            <w:color w:val="466B7A"/>
          </w:rPr>
          <w:t>BD-47. Canadian Tailings Aggregates for 3D Printing Mortars</w:t>
        </w:r>
      </w:hyperlink>
      <w:r>
        <w:tab/>
      </w:r>
      <w:r>
        <w:rPr>
          <w:rFonts w:ascii="Arial" w:hAnsi="Arial"/>
        </w:rPr>
        <w:t>1610</w:t>
      </w:r>
    </w:p>
    <w:p>
      <w:pPr>
        <w:pStyle w:val="TOC2"/>
        <w:widowControl/>
        <w:tabs>
          <w:tab w:pos="8856" w:val="right" w:leader="dot"/>
        </w:tabs>
      </w:pPr>
      <w:hyperlink w:anchor="_NAESTMA_TOC_2416" w:history="1">
        <w:r>
          <w:rPr>
            <w:color w:val="466B7A"/>
          </w:rPr>
          <w:t>BD-48. Tri-National Tailings-Based Highway Barriers</w:t>
        </w:r>
      </w:hyperlink>
      <w:r>
        <w:tab/>
      </w:r>
      <w:r>
        <w:rPr>
          <w:rFonts w:ascii="Arial" w:hAnsi="Arial"/>
        </w:rPr>
        <w:t>1610</w:t>
      </w:r>
    </w:p>
    <w:p>
      <w:pPr>
        <w:pStyle w:val="TOC2"/>
        <w:widowControl/>
        <w:tabs>
          <w:tab w:pos="8856" w:val="right" w:leader="dot"/>
        </w:tabs>
      </w:pPr>
      <w:hyperlink w:anchor="_NAESTMA_TOC_2417" w:history="1">
        <w:r>
          <w:rPr>
            <w:color w:val="466B7A"/>
          </w:rPr>
          <w:t>BD-49. US Tailings for Unpaved Road Base</w:t>
        </w:r>
      </w:hyperlink>
      <w:r>
        <w:tab/>
      </w:r>
      <w:r>
        <w:rPr>
          <w:rFonts w:ascii="Arial" w:hAnsi="Arial"/>
        </w:rPr>
        <w:t>1610</w:t>
      </w:r>
    </w:p>
    <w:p>
      <w:pPr>
        <w:pStyle w:val="TOC2"/>
        <w:widowControl/>
        <w:tabs>
          <w:tab w:pos="8856" w:val="right" w:leader="dot"/>
        </w:tabs>
      </w:pPr>
      <w:hyperlink w:anchor="_NAESTMA_TOC_2418" w:history="1">
        <w:r>
          <w:rPr>
            <w:color w:val="466B7A"/>
          </w:rPr>
          <w:t>BD-50. Mexican Tailings Stabilized with Portland Cement</w:t>
        </w:r>
      </w:hyperlink>
      <w:r>
        <w:tab/>
      </w:r>
      <w:r>
        <w:rPr>
          <w:rFonts w:ascii="Arial" w:hAnsi="Arial"/>
        </w:rPr>
        <w:t>1610</w:t>
      </w:r>
    </w:p>
    <w:p>
      <w:pPr>
        <w:pStyle w:val="TOC2"/>
        <w:widowControl/>
        <w:tabs>
          <w:tab w:pos="8856" w:val="right" w:leader="dot"/>
        </w:tabs>
      </w:pPr>
      <w:hyperlink w:anchor="_NAESTMA_TOC_2419" w:history="1">
        <w:r>
          <w:rPr>
            <w:color w:val="466B7A"/>
          </w:rPr>
          <w:t>BD-51. Tri-National Tailings-Based Roofing Tiles</w:t>
        </w:r>
      </w:hyperlink>
      <w:r>
        <w:tab/>
      </w:r>
      <w:r>
        <w:rPr>
          <w:rFonts w:ascii="Arial" w:hAnsi="Arial"/>
        </w:rPr>
        <w:t>1610</w:t>
      </w:r>
    </w:p>
    <w:p>
      <w:pPr>
        <w:pStyle w:val="TOC2"/>
        <w:widowControl/>
        <w:tabs>
          <w:tab w:pos="8856" w:val="right" w:leader="dot"/>
        </w:tabs>
      </w:pPr>
      <w:hyperlink w:anchor="_NAESTMA_TOC_2420" w:history="1">
        <w:r>
          <w:rPr>
            <w:color w:val="466B7A"/>
          </w:rPr>
          <w:t>BD-52. Canadian Tailings as Fine Aggregate</w:t>
        </w:r>
      </w:hyperlink>
      <w:r>
        <w:tab/>
      </w:r>
      <w:r>
        <w:rPr>
          <w:rFonts w:ascii="Arial" w:hAnsi="Arial"/>
        </w:rPr>
        <w:t>1610</w:t>
      </w:r>
    </w:p>
    <w:p>
      <w:pPr>
        <w:pStyle w:val="TOC2"/>
        <w:widowControl/>
        <w:tabs>
          <w:tab w:pos="8856" w:val="right" w:leader="dot"/>
        </w:tabs>
      </w:pPr>
      <w:hyperlink w:anchor="_NAESTMA_TOC_2421" w:history="1">
        <w:r>
          <w:rPr>
            <w:color w:val="466B7A"/>
          </w:rPr>
          <w:t>BD-53. US Tailings Geopolymer for Prefabricated Elements</w:t>
        </w:r>
      </w:hyperlink>
      <w:r>
        <w:tab/>
      </w:r>
      <w:r>
        <w:rPr>
          <w:rFonts w:ascii="Arial" w:hAnsi="Arial"/>
        </w:rPr>
        <w:t>1610</w:t>
      </w:r>
    </w:p>
    <w:p>
      <w:pPr>
        <w:pStyle w:val="TOC2"/>
        <w:widowControl/>
        <w:tabs>
          <w:tab w:pos="8856" w:val="right" w:leader="dot"/>
        </w:tabs>
      </w:pPr>
      <w:hyperlink w:anchor="_NAESTMA_TOC_2422" w:history="1">
        <w:r>
          <w:rPr>
            <w:color w:val="466B7A"/>
          </w:rPr>
          <w:t>BD-54. Tri-National Tailings-Based Insulation Materials</w:t>
        </w:r>
      </w:hyperlink>
      <w:r>
        <w:tab/>
      </w:r>
      <w:r>
        <w:rPr>
          <w:rFonts w:ascii="Arial" w:hAnsi="Arial"/>
        </w:rPr>
        <w:t>1610</w:t>
      </w:r>
    </w:p>
    <w:p>
      <w:pPr>
        <w:pStyle w:val="TOC2"/>
        <w:widowControl/>
        <w:tabs>
          <w:tab w:pos="8856" w:val="right" w:leader="dot"/>
        </w:tabs>
      </w:pPr>
      <w:hyperlink w:anchor="_NAESTMA_TOC_2423" w:history="1">
        <w:r>
          <w:rPr>
            <w:color w:val="466B7A"/>
          </w:rPr>
          <w:t>BD-55. North American Tailings Construction Materials Database</w:t>
        </w:r>
      </w:hyperlink>
      <w:r>
        <w:tab/>
      </w:r>
      <w:r>
        <w:rPr>
          <w:rFonts w:ascii="Arial" w:hAnsi="Arial"/>
        </w:rPr>
        <w:t>1610</w:t>
      </w:r>
    </w:p>
    <w:p>
      <w:pPr>
        <w:pStyle w:val="TOC2"/>
        <w:widowControl/>
        <w:tabs>
          <w:tab w:pos="8856" w:val="right" w:leader="dot"/>
        </w:tabs>
      </w:pPr>
      <w:hyperlink w:anchor="_NAESTMA_TOC_2424" w:history="1">
        <w:r>
          <w:rPr>
            <w:color w:val="466B7A"/>
          </w:rPr>
          <w:t>BD-56. Treated Residue Reclamation Research</w:t>
        </w:r>
      </w:hyperlink>
      <w:r>
        <w:tab/>
      </w:r>
      <w:r>
        <w:rPr>
          <w:rFonts w:ascii="Arial" w:hAnsi="Arial"/>
        </w:rPr>
        <w:t>1610</w:t>
      </w:r>
    </w:p>
    <w:p>
      <w:pPr>
        <w:pStyle w:val="TOC2"/>
        <w:widowControl/>
        <w:tabs>
          <w:tab w:pos="8856" w:val="right" w:leader="dot"/>
        </w:tabs>
      </w:pPr>
      <w:hyperlink w:anchor="_NAESTMA_TOC_2425" w:history="1">
        <w:r>
          <w:rPr>
            <w:color w:val="466B7A"/>
          </w:rPr>
          <w:t>BD-57. Recovered Nutrient Products from Mine Waste</w:t>
        </w:r>
      </w:hyperlink>
      <w:r>
        <w:tab/>
      </w:r>
      <w:r>
        <w:rPr>
          <w:rFonts w:ascii="Arial" w:hAnsi="Arial"/>
        </w:rPr>
        <w:t>1610</w:t>
      </w:r>
    </w:p>
    <w:p>
      <w:pPr>
        <w:pStyle w:val="TOC2"/>
        <w:widowControl/>
        <w:tabs>
          <w:tab w:pos="8856" w:val="right" w:leader="dot"/>
        </w:tabs>
      </w:pPr>
      <w:hyperlink w:anchor="_NAESTMA_TOC_2426" w:history="1">
        <w:r>
          <w:rPr>
            <w:color w:val="466B7A"/>
          </w:rPr>
          <w:t>BD-58. Controlled Mine-Land Ecological Restoration Trials</w:t>
        </w:r>
      </w:hyperlink>
      <w:r>
        <w:tab/>
      </w:r>
      <w:r>
        <w:rPr>
          <w:rFonts w:ascii="Arial" w:hAnsi="Arial"/>
        </w:rPr>
        <w:t>1611</w:t>
      </w:r>
    </w:p>
    <w:p>
      <w:pPr>
        <w:pStyle w:val="TOC2"/>
        <w:widowControl/>
        <w:tabs>
          <w:tab w:pos="8856" w:val="right" w:leader="dot"/>
        </w:tabs>
      </w:pPr>
      <w:hyperlink w:anchor="_NAESTMA_TOC_2427" w:history="1">
        <w:r>
          <w:rPr>
            <w:color w:val="466B7A"/>
          </w:rPr>
          <w:t>BD-59. Purified Nutrient Recovery</w:t>
        </w:r>
      </w:hyperlink>
      <w:r>
        <w:tab/>
      </w:r>
      <w:r>
        <w:rPr>
          <w:rFonts w:ascii="Arial" w:hAnsi="Arial"/>
        </w:rPr>
        <w:t>1611</w:t>
      </w:r>
    </w:p>
    <w:p>
      <w:pPr>
        <w:pStyle w:val="TOC2"/>
        <w:widowControl/>
        <w:tabs>
          <w:tab w:pos="8856" w:val="right" w:leader="dot"/>
        </w:tabs>
      </w:pPr>
      <w:hyperlink w:anchor="_NAESTMA_TOC_2428" w:history="1">
        <w:r>
          <w:rPr>
            <w:color w:val="466B7A"/>
          </w:rPr>
          <w:t>BD-60. Mine-Land Remediation Substrates</w:t>
        </w:r>
      </w:hyperlink>
      <w:r>
        <w:tab/>
      </w:r>
      <w:r>
        <w:rPr>
          <w:rFonts w:ascii="Arial" w:hAnsi="Arial"/>
        </w:rPr>
        <w:t>1611</w:t>
      </w:r>
    </w:p>
    <w:p>
      <w:pPr>
        <w:pStyle w:val="TOC2"/>
        <w:widowControl/>
        <w:tabs>
          <w:tab w:pos="8856" w:val="right" w:leader="dot"/>
        </w:tabs>
      </w:pPr>
      <w:hyperlink w:anchor="_NAESTMA_TOC_2429" w:history="1">
        <w:r>
          <w:rPr>
            <w:color w:val="466B7A"/>
          </w:rPr>
          <w:t>BD-61. Phosphate-Tailings Rehabilitation Research</w:t>
        </w:r>
      </w:hyperlink>
      <w:r>
        <w:tab/>
      </w:r>
      <w:r>
        <w:rPr>
          <w:rFonts w:ascii="Arial" w:hAnsi="Arial"/>
        </w:rPr>
        <w:t>1611</w:t>
      </w:r>
    </w:p>
    <w:p>
      <w:pPr>
        <w:pStyle w:val="TOC2"/>
        <w:widowControl/>
        <w:tabs>
          <w:tab w:pos="8856" w:val="right" w:leader="dot"/>
        </w:tabs>
      </w:pPr>
      <w:hyperlink w:anchor="_NAESTMA_TOC_2430" w:history="1">
        <w:r>
          <w:rPr>
            <w:color w:val="466B7A"/>
          </w:rPr>
          <w:t>BD-62. Controlled Plant-Toxicity and Uptake Research Program</w:t>
        </w:r>
      </w:hyperlink>
      <w:r>
        <w:tab/>
      </w:r>
      <w:r>
        <w:rPr>
          <w:rFonts w:ascii="Arial" w:hAnsi="Arial"/>
        </w:rPr>
        <w:t>1611</w:t>
      </w:r>
    </w:p>
    <w:p>
      <w:pPr>
        <w:pStyle w:val="TOC2"/>
        <w:widowControl/>
        <w:tabs>
          <w:tab w:pos="8856" w:val="right" w:leader="dot"/>
        </w:tabs>
      </w:pPr>
      <w:hyperlink w:anchor="_NAESTMA_TOC_2431" w:history="1">
        <w:r>
          <w:rPr>
            <w:color w:val="466B7A"/>
          </w:rPr>
          <w:t>BD-63. Characterized Mineral Byproducts for Land Restoration</w:t>
        </w:r>
      </w:hyperlink>
      <w:r>
        <w:tab/>
      </w:r>
      <w:r>
        <w:rPr>
          <w:rFonts w:ascii="Arial" w:hAnsi="Arial"/>
        </w:rPr>
        <w:t>1611</w:t>
      </w:r>
    </w:p>
    <w:p>
      <w:pPr>
        <w:pStyle w:val="TOC2"/>
        <w:widowControl/>
        <w:tabs>
          <w:tab w:pos="8856" w:val="right" w:leader="dot"/>
        </w:tabs>
      </w:pPr>
      <w:hyperlink w:anchor="_NAESTMA_TOC_2432" w:history="1">
        <w:r>
          <w:rPr>
            <w:color w:val="466B7A"/>
          </w:rPr>
          <w:t>BD-64. Phytoremediation and Revegetation Research</w:t>
        </w:r>
      </w:hyperlink>
      <w:r>
        <w:tab/>
      </w:r>
      <w:r>
        <w:rPr>
          <w:rFonts w:ascii="Arial" w:hAnsi="Arial"/>
        </w:rPr>
        <w:t>1611</w:t>
      </w:r>
    </w:p>
    <w:p>
      <w:pPr>
        <w:pStyle w:val="TOC2"/>
        <w:widowControl/>
        <w:tabs>
          <w:tab w:pos="8856" w:val="right" w:leader="dot"/>
        </w:tabs>
      </w:pPr>
      <w:hyperlink w:anchor="_NAESTMA_TOC_2433" w:history="1">
        <w:r>
          <w:rPr>
            <w:color w:val="466B7A"/>
          </w:rPr>
          <w:t>BD-65. Tri-National Tailings-Based Biofertilizer Standards</w:t>
        </w:r>
      </w:hyperlink>
      <w:r>
        <w:tab/>
      </w:r>
      <w:r>
        <w:rPr>
          <w:rFonts w:ascii="Arial" w:hAnsi="Arial"/>
        </w:rPr>
        <w:t>1611</w:t>
      </w:r>
    </w:p>
    <w:p>
      <w:pPr>
        <w:pStyle w:val="TOC2"/>
        <w:widowControl/>
        <w:tabs>
          <w:tab w:pos="8856" w:val="right" w:leader="dot"/>
        </w:tabs>
      </w:pPr>
      <w:hyperlink w:anchor="_NAESTMA_TOC_2434" w:history="1">
        <w:r>
          <w:rPr>
            <w:color w:val="466B7A"/>
          </w:rPr>
          <w:t>BD-66. Canadian Bioleaching for Acid Mine Drainage Prevention</w:t>
        </w:r>
      </w:hyperlink>
      <w:r>
        <w:tab/>
      </w:r>
      <w:r>
        <w:rPr>
          <w:rFonts w:ascii="Arial" w:hAnsi="Arial"/>
        </w:rPr>
        <w:t>1611</w:t>
      </w:r>
    </w:p>
    <w:p>
      <w:pPr>
        <w:pStyle w:val="TOC2"/>
        <w:widowControl/>
        <w:tabs>
          <w:tab w:pos="8856" w:val="right" w:leader="dot"/>
        </w:tabs>
      </w:pPr>
      <w:hyperlink w:anchor="_NAESTMA_TOC_2435" w:history="1">
        <w:r>
          <w:rPr>
            <w:color w:val="466B7A"/>
          </w:rPr>
          <w:t>BD-67. Tri-National Tailings Desulphurization</w:t>
        </w:r>
      </w:hyperlink>
      <w:r>
        <w:tab/>
      </w:r>
      <w:r>
        <w:rPr>
          <w:rFonts w:ascii="Arial" w:hAnsi="Arial"/>
        </w:rPr>
        <w:t>1611</w:t>
      </w:r>
    </w:p>
    <w:p>
      <w:pPr>
        <w:pStyle w:val="TOC2"/>
        <w:widowControl/>
        <w:tabs>
          <w:tab w:pos="8856" w:val="right" w:leader="dot"/>
        </w:tabs>
      </w:pPr>
      <w:hyperlink w:anchor="_NAESTMA_TOC_2436" w:history="1">
        <w:r>
          <w:rPr>
            <w:color w:val="466B7A"/>
          </w:rPr>
          <w:t>BD-68. US Electrochemical Mineralization of Tailings Water</w:t>
        </w:r>
      </w:hyperlink>
      <w:r>
        <w:tab/>
      </w:r>
      <w:r>
        <w:rPr>
          <w:rFonts w:ascii="Arial" w:hAnsi="Arial"/>
        </w:rPr>
        <w:t>1611</w:t>
      </w:r>
    </w:p>
    <w:p>
      <w:pPr>
        <w:pStyle w:val="TOC2"/>
        <w:widowControl/>
        <w:tabs>
          <w:tab w:pos="8856" w:val="right" w:leader="dot"/>
        </w:tabs>
      </w:pPr>
      <w:hyperlink w:anchor="_NAESTMA_TOC_2437" w:history="1">
        <w:r>
          <w:rPr>
            <w:color w:val="466B7A"/>
          </w:rPr>
          <w:t>BD-69. Mexican Mercury Stabilization from Tailings</w:t>
        </w:r>
      </w:hyperlink>
      <w:r>
        <w:tab/>
      </w:r>
      <w:r>
        <w:rPr>
          <w:rFonts w:ascii="Arial" w:hAnsi="Arial"/>
        </w:rPr>
        <w:t>1611</w:t>
      </w:r>
    </w:p>
    <w:p>
      <w:pPr>
        <w:pStyle w:val="TOC2"/>
        <w:widowControl/>
        <w:tabs>
          <w:tab w:pos="8856" w:val="right" w:leader="dot"/>
        </w:tabs>
      </w:pPr>
      <w:hyperlink w:anchor="_NAESTMA_TOC_2438" w:history="1">
        <w:r>
          <w:rPr>
            <w:color w:val="466B7A"/>
          </w:rPr>
          <w:t>BD-70. Canadian Tailings as Backfill for Mine Voids</w:t>
        </w:r>
      </w:hyperlink>
      <w:r>
        <w:tab/>
      </w:r>
      <w:r>
        <w:rPr>
          <w:rFonts w:ascii="Arial" w:hAnsi="Arial"/>
        </w:rPr>
        <w:t>1611</w:t>
      </w:r>
    </w:p>
    <w:p>
      <w:pPr>
        <w:pStyle w:val="TOC2"/>
        <w:widowControl/>
        <w:tabs>
          <w:tab w:pos="8856" w:val="right" w:leader="dot"/>
        </w:tabs>
      </w:pPr>
      <w:hyperlink w:anchor="_NAESTMA_TOC_2439" w:history="1">
        <w:r>
          <w:rPr>
            <w:color w:val="466B7A"/>
          </w:rPr>
          <w:t>BD-71. Tri-National Phytoremediation of Tailings Sites</w:t>
        </w:r>
      </w:hyperlink>
      <w:r>
        <w:tab/>
      </w:r>
      <w:r>
        <w:rPr>
          <w:rFonts w:ascii="Arial" w:hAnsi="Arial"/>
        </w:rPr>
        <w:t>1612</w:t>
      </w:r>
    </w:p>
    <w:p>
      <w:pPr>
        <w:pStyle w:val="TOC2"/>
        <w:widowControl/>
        <w:tabs>
          <w:tab w:pos="8856" w:val="right" w:leader="dot"/>
        </w:tabs>
      </w:pPr>
      <w:hyperlink w:anchor="_NAESTMA_TOC_2440" w:history="1">
        <w:r>
          <w:rPr>
            <w:color w:val="466B7A"/>
          </w:rPr>
          <w:t>BD-72. US Tailings Ponds Rehabilitation</w:t>
        </w:r>
      </w:hyperlink>
      <w:r>
        <w:tab/>
      </w:r>
      <w:r>
        <w:rPr>
          <w:rFonts w:ascii="Arial" w:hAnsi="Arial"/>
        </w:rPr>
        <w:t>1612</w:t>
      </w:r>
    </w:p>
    <w:p>
      <w:pPr>
        <w:pStyle w:val="TOC2"/>
        <w:widowControl/>
        <w:tabs>
          <w:tab w:pos="8856" w:val="right" w:leader="dot"/>
        </w:tabs>
      </w:pPr>
      <w:hyperlink w:anchor="_NAESTMA_TOC_2441" w:history="1">
        <w:r>
          <w:rPr>
            <w:color w:val="466B7A"/>
          </w:rPr>
          <w:t>BD-73. Mexican Tailings Dam Safety Standards</w:t>
        </w:r>
      </w:hyperlink>
      <w:r>
        <w:tab/>
      </w:r>
      <w:r>
        <w:rPr>
          <w:rFonts w:ascii="Arial" w:hAnsi="Arial"/>
        </w:rPr>
        <w:t>1612</w:t>
      </w:r>
    </w:p>
    <w:p>
      <w:pPr>
        <w:pStyle w:val="TOC2"/>
        <w:widowControl/>
        <w:tabs>
          <w:tab w:pos="8856" w:val="right" w:leader="dot"/>
        </w:tabs>
      </w:pPr>
      <w:hyperlink w:anchor="_NAESTMA_TOC_2442" w:history="1">
        <w:r>
          <w:rPr>
            <w:color w:val="466B7A"/>
          </w:rPr>
          <w:t>BD-74. Canadian Oilsands Tailings Treatment Standards</w:t>
        </w:r>
      </w:hyperlink>
      <w:r>
        <w:tab/>
      </w:r>
      <w:r>
        <w:rPr>
          <w:rFonts w:ascii="Arial" w:hAnsi="Arial"/>
        </w:rPr>
        <w:t>1612</w:t>
      </w:r>
    </w:p>
    <w:p>
      <w:pPr>
        <w:pStyle w:val="TOC2"/>
        <w:widowControl/>
        <w:tabs>
          <w:tab w:pos="8856" w:val="right" w:leader="dot"/>
        </w:tabs>
      </w:pPr>
      <w:hyperlink w:anchor="_NAESTMA_TOC_2443" w:history="1">
        <w:r>
          <w:rPr>
            <w:color w:val="466B7A"/>
          </w:rPr>
          <w:t>BD-75. Tri-National Tailings Revegetation</w:t>
        </w:r>
      </w:hyperlink>
      <w:r>
        <w:tab/>
      </w:r>
      <w:r>
        <w:rPr>
          <w:rFonts w:ascii="Arial" w:hAnsi="Arial"/>
        </w:rPr>
        <w:t>1612</w:t>
      </w:r>
    </w:p>
    <w:p>
      <w:pPr>
        <w:pStyle w:val="TOC2"/>
        <w:widowControl/>
        <w:tabs>
          <w:tab w:pos="8856" w:val="right" w:leader="dot"/>
        </w:tabs>
      </w:pPr>
      <w:hyperlink w:anchor="_NAESTMA_TOC_2444" w:history="1">
        <w:r>
          <w:rPr>
            <w:color w:val="466B7A"/>
          </w:rPr>
          <w:t>BD-76. US Acid Mine Drainage REE Recovery</w:t>
        </w:r>
      </w:hyperlink>
      <w:r>
        <w:tab/>
      </w:r>
      <w:r>
        <w:rPr>
          <w:rFonts w:ascii="Arial" w:hAnsi="Arial"/>
        </w:rPr>
        <w:t>1612</w:t>
      </w:r>
    </w:p>
    <w:p>
      <w:pPr>
        <w:pStyle w:val="TOC2"/>
        <w:widowControl/>
        <w:tabs>
          <w:tab w:pos="8856" w:val="right" w:leader="dot"/>
        </w:tabs>
      </w:pPr>
      <w:hyperlink w:anchor="_NAESTMA_TOC_2445" w:history="1">
        <w:r>
          <w:rPr>
            <w:color w:val="466B7A"/>
          </w:rPr>
          <w:t>BD-77. Mexican Tailings Vitrification for Hazardous Waste</w:t>
        </w:r>
      </w:hyperlink>
      <w:r>
        <w:tab/>
      </w:r>
      <w:r>
        <w:rPr>
          <w:rFonts w:ascii="Arial" w:hAnsi="Arial"/>
        </w:rPr>
        <w:t>1612</w:t>
      </w:r>
    </w:p>
    <w:p>
      <w:pPr>
        <w:pStyle w:val="TOC2"/>
        <w:widowControl/>
        <w:tabs>
          <w:tab w:pos="8856" w:val="right" w:leader="dot"/>
        </w:tabs>
      </w:pPr>
      <w:hyperlink w:anchor="_NAESTMA_TOC_2446" w:history="1">
        <w:r>
          <w:rPr>
            <w:color w:val="466B7A"/>
          </w:rPr>
          <w:t>BD-78. Tri-National Tailings Pond Closure Standards</w:t>
        </w:r>
      </w:hyperlink>
      <w:r>
        <w:tab/>
      </w:r>
      <w:r>
        <w:rPr>
          <w:rFonts w:ascii="Arial" w:hAnsi="Arial"/>
        </w:rPr>
        <w:t>1612</w:t>
      </w:r>
    </w:p>
    <w:p>
      <w:pPr>
        <w:pStyle w:val="TOC2"/>
        <w:widowControl/>
        <w:tabs>
          <w:tab w:pos="8856" w:val="right" w:leader="dot"/>
        </w:tabs>
      </w:pPr>
      <w:hyperlink w:anchor="_NAESTMA_TOC_2447" w:history="1">
        <w:r>
          <w:rPr>
            <w:color w:val="466B7A"/>
          </w:rPr>
          <w:t>BD-79. Canadian Experimental Field Cells for Tailings</w:t>
        </w:r>
      </w:hyperlink>
      <w:r>
        <w:tab/>
      </w:r>
      <w:r>
        <w:rPr>
          <w:rFonts w:ascii="Arial" w:hAnsi="Arial"/>
        </w:rPr>
        <w:t>1612</w:t>
      </w:r>
    </w:p>
    <w:p>
      <w:pPr>
        <w:pStyle w:val="TOC2"/>
        <w:widowControl/>
        <w:tabs>
          <w:tab w:pos="8856" w:val="right" w:leader="dot"/>
        </w:tabs>
      </w:pPr>
      <w:hyperlink w:anchor="_NAESTMA_TOC_2448" w:history="1">
        <w:r>
          <w:rPr>
            <w:color w:val="466B7A"/>
          </w:rPr>
          <w:t>BD-80. North American Tailings Remediation Fund</w:t>
        </w:r>
      </w:hyperlink>
      <w:r>
        <w:tab/>
      </w:r>
      <w:r>
        <w:rPr>
          <w:rFonts w:ascii="Arial" w:hAnsi="Arial"/>
        </w:rPr>
        <w:t>1612</w:t>
      </w:r>
    </w:p>
    <w:p>
      <w:pPr>
        <w:pStyle w:val="TOC2"/>
        <w:widowControl/>
        <w:tabs>
          <w:tab w:pos="8856" w:val="right" w:leader="dot"/>
        </w:tabs>
      </w:pPr>
      <w:hyperlink w:anchor="_NAESTMA_TOC_2449" w:history="1">
        <w:r>
          <w:rPr>
            <w:color w:val="466B7A"/>
          </w:rPr>
          <w:t>BD-81. Canadian Bioleaching Technology Transfer to US/Mexico</w:t>
        </w:r>
      </w:hyperlink>
      <w:r>
        <w:tab/>
      </w:r>
      <w:r>
        <w:rPr>
          <w:rFonts w:ascii="Arial" w:hAnsi="Arial"/>
        </w:rPr>
        <w:t>1612</w:t>
      </w:r>
    </w:p>
    <w:p>
      <w:pPr>
        <w:pStyle w:val="TOC2"/>
        <w:widowControl/>
        <w:tabs>
          <w:tab w:pos="8856" w:val="right" w:leader="dot"/>
        </w:tabs>
      </w:pPr>
      <w:hyperlink w:anchor="_NAESTMA_TOC_2450" w:history="1">
        <w:r>
          <w:rPr>
            <w:color w:val="466B7A"/>
          </w:rPr>
          <w:t>BD-82. US Membrane Solvent Extraction (MSX) Deployment</w:t>
        </w:r>
      </w:hyperlink>
      <w:r>
        <w:tab/>
      </w:r>
      <w:r>
        <w:rPr>
          <w:rFonts w:ascii="Arial" w:hAnsi="Arial"/>
        </w:rPr>
        <w:t>1612</w:t>
      </w:r>
    </w:p>
    <w:p>
      <w:pPr>
        <w:pStyle w:val="TOC2"/>
        <w:widowControl/>
        <w:tabs>
          <w:tab w:pos="8856" w:val="right" w:leader="dot"/>
        </w:tabs>
      </w:pPr>
      <w:hyperlink w:anchor="_NAESTMA_TOC_2451" w:history="1">
        <w:r>
          <w:rPr>
            <w:color w:val="466B7A"/>
          </w:rPr>
          <w:t>BD-83. Mexican Alkaline Leaching Technology Export</w:t>
        </w:r>
      </w:hyperlink>
      <w:r>
        <w:tab/>
      </w:r>
      <w:r>
        <w:rPr>
          <w:rFonts w:ascii="Arial" w:hAnsi="Arial"/>
        </w:rPr>
        <w:t>1612</w:t>
      </w:r>
    </w:p>
    <w:p>
      <w:pPr>
        <w:pStyle w:val="TOC2"/>
        <w:widowControl/>
        <w:tabs>
          <w:tab w:pos="8856" w:val="right" w:leader="dot"/>
        </w:tabs>
      </w:pPr>
      <w:hyperlink w:anchor="_NAESTMA_TOC_2452" w:history="1">
        <w:r>
          <w:rPr>
            <w:color w:val="466B7A"/>
          </w:rPr>
          <w:t>BD-84. Tri-National High-Pressure Slurry Ablation (HPSA) Network</w:t>
        </w:r>
      </w:hyperlink>
      <w:r>
        <w:tab/>
      </w:r>
      <w:r>
        <w:rPr>
          <w:rFonts w:ascii="Arial" w:hAnsi="Arial"/>
        </w:rPr>
        <w:t>1612</w:t>
      </w:r>
    </w:p>
    <w:p>
      <w:pPr>
        <w:pStyle w:val="TOC2"/>
        <w:widowControl/>
        <w:tabs>
          <w:tab w:pos="8856" w:val="right" w:leader="dot"/>
        </w:tabs>
      </w:pPr>
      <w:hyperlink w:anchor="_NAESTMA_TOC_2453" w:history="1">
        <w:r>
          <w:rPr>
            <w:color w:val="466B7A"/>
          </w:rPr>
          <w:t>BD-85. US EnviroGold NVRO Process™ Licensing</w:t>
        </w:r>
      </w:hyperlink>
      <w:r>
        <w:tab/>
      </w:r>
      <w:r>
        <w:rPr>
          <w:rFonts w:ascii="Arial" w:hAnsi="Arial"/>
        </w:rPr>
        <w:t>1613</w:t>
      </w:r>
    </w:p>
    <w:p>
      <w:pPr>
        <w:pStyle w:val="TOC2"/>
        <w:widowControl/>
        <w:tabs>
          <w:tab w:pos="8856" w:val="right" w:leader="dot"/>
        </w:tabs>
      </w:pPr>
      <w:hyperlink w:anchor="_NAESTMA_TOC_2454" w:history="1">
        <w:r>
          <w:rPr>
            <w:color w:val="466B7A"/>
          </w:rPr>
          <w:t>BD-86. Canadian Multi-Gravity Separator (MGS) Technology</w:t>
        </w:r>
      </w:hyperlink>
      <w:r>
        <w:tab/>
      </w:r>
      <w:r>
        <w:rPr>
          <w:rFonts w:ascii="Arial" w:hAnsi="Arial"/>
        </w:rPr>
        <w:t>1613</w:t>
      </w:r>
    </w:p>
    <w:p>
      <w:pPr>
        <w:pStyle w:val="TOC2"/>
        <w:widowControl/>
        <w:tabs>
          <w:tab w:pos="8856" w:val="right" w:leader="dot"/>
        </w:tabs>
      </w:pPr>
      <w:hyperlink w:anchor="_NAESTMA_TOC_2455" w:history="1">
        <w:r>
          <w:rPr>
            <w:color w:val="466B7A"/>
          </w:rPr>
          <w:t>BD-87. Tri-National REE Recovery from Wastewater</w:t>
        </w:r>
      </w:hyperlink>
      <w:r>
        <w:tab/>
      </w:r>
      <w:r>
        <w:rPr>
          <w:rFonts w:ascii="Arial" w:hAnsi="Arial"/>
        </w:rPr>
        <w:t>1613</w:t>
      </w:r>
    </w:p>
    <w:p>
      <w:pPr>
        <w:pStyle w:val="TOC2"/>
        <w:widowControl/>
        <w:tabs>
          <w:tab w:pos="8856" w:val="right" w:leader="dot"/>
        </w:tabs>
      </w:pPr>
      <w:hyperlink w:anchor="_NAESTMA_TOC_2456" w:history="1">
        <w:r>
          <w:rPr>
            <w:color w:val="466B7A"/>
          </w:rPr>
          <w:t>BD-88. US Flotation Optimization for Tailings</w:t>
        </w:r>
      </w:hyperlink>
      <w:r>
        <w:tab/>
      </w:r>
      <w:r>
        <w:rPr>
          <w:rFonts w:ascii="Arial" w:hAnsi="Arial"/>
        </w:rPr>
        <w:t>1613</w:t>
      </w:r>
    </w:p>
    <w:p>
      <w:pPr>
        <w:pStyle w:val="TOC2"/>
        <w:widowControl/>
        <w:tabs>
          <w:tab w:pos="8856" w:val="right" w:leader="dot"/>
        </w:tabs>
      </w:pPr>
      <w:hyperlink w:anchor="_NAESTMA_TOC_2457" w:history="1">
        <w:r>
          <w:rPr>
            <w:color w:val="466B7A"/>
          </w:rPr>
          <w:t>BD-89. Canadian Ion Exchange for Critical Metals</w:t>
        </w:r>
      </w:hyperlink>
      <w:r>
        <w:tab/>
      </w:r>
      <w:r>
        <w:rPr>
          <w:rFonts w:ascii="Arial" w:hAnsi="Arial"/>
        </w:rPr>
        <w:t>1613</w:t>
      </w:r>
    </w:p>
    <w:p>
      <w:pPr>
        <w:pStyle w:val="TOC2"/>
        <w:widowControl/>
        <w:tabs>
          <w:tab w:pos="8856" w:val="right" w:leader="dot"/>
        </w:tabs>
      </w:pPr>
      <w:hyperlink w:anchor="_NAESTMA_TOC_2458" w:history="1">
        <w:r>
          <w:rPr>
            <w:color w:val="466B7A"/>
          </w:rPr>
          <w:t>BD-90. Tri-National Machine Learning for Tailings Characterization</w:t>
        </w:r>
      </w:hyperlink>
      <w:r>
        <w:tab/>
      </w:r>
      <w:r>
        <w:rPr>
          <w:rFonts w:ascii="Arial" w:hAnsi="Arial"/>
        </w:rPr>
        <w:t>1613</w:t>
      </w:r>
    </w:p>
    <w:p>
      <w:pPr>
        <w:pStyle w:val="TOC2"/>
        <w:widowControl/>
        <w:tabs>
          <w:tab w:pos="8856" w:val="right" w:leader="dot"/>
        </w:tabs>
      </w:pPr>
      <w:hyperlink w:anchor="_NAESTMA_TOC_2459" w:history="1">
        <w:r>
          <w:rPr>
            <w:color w:val="466B7A"/>
          </w:rPr>
          <w:t>BD-91. US Magnetic Separation for PGM Tailings</w:t>
        </w:r>
      </w:hyperlink>
      <w:r>
        <w:tab/>
      </w:r>
      <w:r>
        <w:rPr>
          <w:rFonts w:ascii="Arial" w:hAnsi="Arial"/>
        </w:rPr>
        <w:t>1613</w:t>
      </w:r>
    </w:p>
    <w:p>
      <w:pPr>
        <w:pStyle w:val="TOC2"/>
        <w:widowControl/>
        <w:tabs>
          <w:tab w:pos="8856" w:val="right" w:leader="dot"/>
        </w:tabs>
      </w:pPr>
      <w:hyperlink w:anchor="_NAESTMA_TOC_2460" w:history="1">
        <w:r>
          <w:rPr>
            <w:color w:val="466B7A"/>
          </w:rPr>
          <w:t>BD-92. Canadian Centrifugal Gravity Separation</w:t>
        </w:r>
      </w:hyperlink>
      <w:r>
        <w:tab/>
      </w:r>
      <w:r>
        <w:rPr>
          <w:rFonts w:ascii="Arial" w:hAnsi="Arial"/>
        </w:rPr>
        <w:t>1613</w:t>
      </w:r>
    </w:p>
    <w:p>
      <w:pPr>
        <w:pStyle w:val="TOC2"/>
        <w:widowControl/>
        <w:tabs>
          <w:tab w:pos="8856" w:val="right" w:leader="dot"/>
        </w:tabs>
      </w:pPr>
      <w:hyperlink w:anchor="_NAESTMA_TOC_2461" w:history="1">
        <w:r>
          <w:rPr>
            <w:color w:val="466B7A"/>
          </w:rPr>
          <w:t>BD-93. Tri-National Tailings Reprocessing Pilot Plant Network</w:t>
        </w:r>
      </w:hyperlink>
      <w:r>
        <w:tab/>
      </w:r>
      <w:r>
        <w:rPr>
          <w:rFonts w:ascii="Arial" w:hAnsi="Arial"/>
        </w:rPr>
        <w:t>1613</w:t>
      </w:r>
    </w:p>
    <w:p>
      <w:pPr>
        <w:pStyle w:val="TOC2"/>
        <w:widowControl/>
        <w:tabs>
          <w:tab w:pos="8856" w:val="right" w:leader="dot"/>
        </w:tabs>
      </w:pPr>
      <w:hyperlink w:anchor="_NAESTMA_TOC_2462" w:history="1">
        <w:r>
          <w:rPr>
            <w:color w:val="466B7A"/>
          </w:rPr>
          <w:t>BD-94. Reciprocal Mine-Waste R&amp;D Funding Eligibility</w:t>
        </w:r>
      </w:hyperlink>
      <w:r>
        <w:tab/>
      </w:r>
      <w:r>
        <w:rPr>
          <w:rFonts w:ascii="Arial" w:hAnsi="Arial"/>
        </w:rPr>
        <w:t>1613</w:t>
      </w:r>
    </w:p>
    <w:p>
      <w:pPr>
        <w:pStyle w:val="TOC2"/>
        <w:widowControl/>
        <w:tabs>
          <w:tab w:pos="8856" w:val="right" w:leader="dot"/>
        </w:tabs>
      </w:pPr>
      <w:hyperlink w:anchor="_NAESTMA_TOC_2463" w:history="1">
        <w:r>
          <w:rPr>
            <w:color w:val="466B7A"/>
          </w:rPr>
          <w:t>BD-95. North American Tailings Technology Database</w:t>
        </w:r>
      </w:hyperlink>
      <w:r>
        <w:tab/>
      </w:r>
      <w:r>
        <w:rPr>
          <w:rFonts w:ascii="Arial" w:hAnsi="Arial"/>
        </w:rPr>
        <w:t>1613</w:t>
      </w:r>
    </w:p>
    <w:p>
      <w:pPr>
        <w:pStyle w:val="TOC2"/>
        <w:widowControl/>
        <w:tabs>
          <w:tab w:pos="8856" w:val="right" w:leader="dot"/>
        </w:tabs>
      </w:pPr>
      <w:hyperlink w:anchor="_NAESTMA_TOC_2464" w:history="1">
        <w:r>
          <w:rPr>
            <w:color w:val="466B7A"/>
          </w:rPr>
          <w:t>BD-96. Tri-National Tailings-Based Ceramics</w:t>
        </w:r>
      </w:hyperlink>
      <w:r>
        <w:tab/>
      </w:r>
      <w:r>
        <w:rPr>
          <w:rFonts w:ascii="Arial" w:hAnsi="Arial"/>
        </w:rPr>
        <w:t>1613</w:t>
      </w:r>
    </w:p>
    <w:p>
      <w:pPr>
        <w:pStyle w:val="TOC2"/>
        <w:widowControl/>
        <w:tabs>
          <w:tab w:pos="8856" w:val="right" w:leader="dot"/>
        </w:tabs>
      </w:pPr>
      <w:hyperlink w:anchor="_NAESTMA_TOC_2465" w:history="1">
        <w:r>
          <w:rPr>
            <w:color w:val="466B7A"/>
          </w:rPr>
          <w:t>BD-97. Canadian Tailings for Glass Manufacturing</w:t>
        </w:r>
      </w:hyperlink>
      <w:r>
        <w:tab/>
      </w:r>
      <w:r>
        <w:rPr>
          <w:rFonts w:ascii="Arial" w:hAnsi="Arial"/>
        </w:rPr>
        <w:t>1613</w:t>
      </w:r>
    </w:p>
    <w:p>
      <w:pPr>
        <w:pStyle w:val="TOC2"/>
        <w:widowControl/>
        <w:tabs>
          <w:tab w:pos="8856" w:val="right" w:leader="dot"/>
        </w:tabs>
      </w:pPr>
      <w:hyperlink w:anchor="_NAESTMA_TOC_2466" w:history="1">
        <w:r>
          <w:rPr>
            <w:color w:val="466B7A"/>
          </w:rPr>
          <w:t>BD-98. US Tailings for Ceramic Glazes</w:t>
        </w:r>
      </w:hyperlink>
      <w:r>
        <w:tab/>
      </w:r>
      <w:r>
        <w:rPr>
          <w:rFonts w:ascii="Arial" w:hAnsi="Arial"/>
        </w:rPr>
        <w:t>1613</w:t>
      </w:r>
    </w:p>
    <w:p>
      <w:pPr>
        <w:pStyle w:val="TOC2"/>
        <w:widowControl/>
        <w:tabs>
          <w:tab w:pos="8856" w:val="right" w:leader="dot"/>
        </w:tabs>
      </w:pPr>
      <w:hyperlink w:anchor="_NAESTMA_TOC_2467" w:history="1">
        <w:r>
          <w:rPr>
            <w:color w:val="466B7A"/>
          </w:rPr>
          <w:t>BD-99. Mexican Tailings for Paint Pigments</w:t>
        </w:r>
      </w:hyperlink>
      <w:r>
        <w:tab/>
      </w:r>
      <w:r>
        <w:rPr>
          <w:rFonts w:ascii="Arial" w:hAnsi="Arial"/>
        </w:rPr>
        <w:t>1614</w:t>
      </w:r>
    </w:p>
    <w:p>
      <w:pPr>
        <w:pStyle w:val="TOC2"/>
        <w:widowControl/>
        <w:tabs>
          <w:tab w:pos="8856" w:val="right" w:leader="dot"/>
        </w:tabs>
      </w:pPr>
      <w:hyperlink w:anchor="_NAESTMA_TOC_2468" w:history="1">
        <w:r>
          <w:rPr>
            <w:color w:val="466B7A"/>
          </w:rPr>
          <w:t>BD-100. Tri-National Tailings for Abrasives</w:t>
        </w:r>
      </w:hyperlink>
      <w:r>
        <w:tab/>
      </w:r>
      <w:r>
        <w:rPr>
          <w:rFonts w:ascii="Arial" w:hAnsi="Arial"/>
        </w:rPr>
        <w:t>1614</w:t>
      </w:r>
    </w:p>
    <w:p>
      <w:pPr>
        <w:pStyle w:val="TOC2"/>
        <w:widowControl/>
        <w:tabs>
          <w:tab w:pos="8856" w:val="right" w:leader="dot"/>
        </w:tabs>
      </w:pPr>
      <w:hyperlink w:anchor="_NAESTMA_TOC_2469" w:history="1">
        <w:r>
          <w:rPr>
            <w:color w:val="466B7A"/>
          </w:rPr>
          <w:t>BD-101. Canadian Tailings for Refractory Materials</w:t>
        </w:r>
      </w:hyperlink>
      <w:r>
        <w:tab/>
      </w:r>
      <w:r>
        <w:rPr>
          <w:rFonts w:ascii="Arial" w:hAnsi="Arial"/>
        </w:rPr>
        <w:t>1614</w:t>
      </w:r>
    </w:p>
    <w:p>
      <w:pPr>
        <w:pStyle w:val="TOC2"/>
        <w:widowControl/>
        <w:tabs>
          <w:tab w:pos="8856" w:val="right" w:leader="dot"/>
        </w:tabs>
      </w:pPr>
      <w:hyperlink w:anchor="_NAESTMA_TOC_2470" w:history="1">
        <w:r>
          <w:rPr>
            <w:color w:val="466B7A"/>
          </w:rPr>
          <w:t>BD-102. US Tailings for Filtration Media</w:t>
        </w:r>
      </w:hyperlink>
      <w:r>
        <w:tab/>
      </w:r>
      <w:r>
        <w:rPr>
          <w:rFonts w:ascii="Arial" w:hAnsi="Arial"/>
        </w:rPr>
        <w:t>1614</w:t>
      </w:r>
    </w:p>
    <w:p>
      <w:pPr>
        <w:pStyle w:val="TOC2"/>
        <w:widowControl/>
        <w:tabs>
          <w:tab w:pos="8856" w:val="right" w:leader="dot"/>
        </w:tabs>
      </w:pPr>
      <w:hyperlink w:anchor="_NAESTMA_TOC_2471" w:history="1">
        <w:r>
          <w:rPr>
            <w:color w:val="466B7A"/>
          </w:rPr>
          <w:t>BD-103. Certified Mineral-Derived Horticultural Substrates</w:t>
        </w:r>
      </w:hyperlink>
      <w:r>
        <w:tab/>
      </w:r>
      <w:r>
        <w:rPr>
          <w:rFonts w:ascii="Arial" w:hAnsi="Arial"/>
        </w:rPr>
        <w:t>1614</w:t>
      </w:r>
    </w:p>
    <w:p>
      <w:pPr>
        <w:pStyle w:val="TOC2"/>
        <w:widowControl/>
        <w:tabs>
          <w:tab w:pos="8856" w:val="right" w:leader="dot"/>
        </w:tabs>
      </w:pPr>
      <w:hyperlink w:anchor="_NAESTMA_TOC_2472" w:history="1">
        <w:r>
          <w:rPr>
            <w:color w:val="466B7A"/>
          </w:rPr>
          <w:t>BD-104. Tri-National Tailings for Carbon Capture</w:t>
        </w:r>
      </w:hyperlink>
      <w:r>
        <w:tab/>
      </w:r>
      <w:r>
        <w:rPr>
          <w:rFonts w:ascii="Arial" w:hAnsi="Arial"/>
        </w:rPr>
        <w:t>1614</w:t>
      </w:r>
    </w:p>
    <w:p>
      <w:pPr>
        <w:pStyle w:val="TOC2"/>
        <w:widowControl/>
        <w:tabs>
          <w:tab w:pos="8856" w:val="right" w:leader="dot"/>
        </w:tabs>
      </w:pPr>
      <w:hyperlink w:anchor="_NAESTMA_TOC_2473" w:history="1">
        <w:r>
          <w:rPr>
            <w:color w:val="466B7A"/>
          </w:rPr>
          <w:t>BD-105. North American Tailings Industrial Products Standards</w:t>
        </w:r>
      </w:hyperlink>
      <w:r>
        <w:tab/>
      </w:r>
      <w:r>
        <w:rPr>
          <w:rFonts w:ascii="Arial" w:hAnsi="Arial"/>
        </w:rPr>
        <w:t>1614</w:t>
      </w:r>
    </w:p>
    <w:p>
      <w:pPr>
        <w:pStyle w:val="TOC2"/>
        <w:widowControl/>
        <w:tabs>
          <w:tab w:pos="8856" w:val="right" w:leader="dot"/>
        </w:tabs>
      </w:pPr>
      <w:hyperlink w:anchor="_NAESTMA_TOC_2474" w:history="1">
        <w:r>
          <w:rPr>
            <w:color w:val="466B7A"/>
          </w:rPr>
          <w:t>BD-106. Tri-National Tailings Transport Corridor</w:t>
        </w:r>
      </w:hyperlink>
      <w:r>
        <w:tab/>
      </w:r>
      <w:r>
        <w:rPr>
          <w:rFonts w:ascii="Arial" w:hAnsi="Arial"/>
        </w:rPr>
        <w:t>1614</w:t>
      </w:r>
    </w:p>
    <w:p>
      <w:pPr>
        <w:pStyle w:val="TOC2"/>
        <w:widowControl/>
        <w:tabs>
          <w:tab w:pos="8856" w:val="right" w:leader="dot"/>
        </w:tabs>
      </w:pPr>
      <w:hyperlink w:anchor="_NAESTMA_TOC_2475" w:history="1">
        <w:r>
          <w:rPr>
            <w:color w:val="466B7A"/>
          </w:rPr>
          <w:t>BD-107. Mexican Port Processing Zones for Tailings</w:t>
        </w:r>
      </w:hyperlink>
      <w:r>
        <w:tab/>
      </w:r>
      <w:r>
        <w:rPr>
          <w:rFonts w:ascii="Arial" w:hAnsi="Arial"/>
        </w:rPr>
        <w:t>1614</w:t>
      </w:r>
    </w:p>
    <w:p>
      <w:pPr>
        <w:pStyle w:val="TOC2"/>
        <w:widowControl/>
        <w:tabs>
          <w:tab w:pos="8856" w:val="right" w:leader="dot"/>
        </w:tabs>
      </w:pPr>
      <w:hyperlink w:anchor="_NAESTMA_TOC_2476" w:history="1">
        <w:r>
          <w:rPr>
            <w:color w:val="466B7A"/>
          </w:rPr>
          <w:t>BD-108. US-Mexico Border Tailings Hub</w:t>
        </w:r>
      </w:hyperlink>
      <w:r>
        <w:tab/>
      </w:r>
      <w:r>
        <w:rPr>
          <w:rFonts w:ascii="Arial" w:hAnsi="Arial"/>
        </w:rPr>
        <w:t>1614</w:t>
      </w:r>
    </w:p>
    <w:p>
      <w:pPr>
        <w:pStyle w:val="TOC2"/>
        <w:widowControl/>
        <w:tabs>
          <w:tab w:pos="8856" w:val="right" w:leader="dot"/>
        </w:tabs>
      </w:pPr>
      <w:hyperlink w:anchor="_NAESTMA_TOC_2477" w:history="1">
        <w:r>
          <w:rPr>
            <w:color w:val="466B7A"/>
          </w:rPr>
          <w:t>BD-109. Canadian Rail Network for Tailings</w:t>
        </w:r>
      </w:hyperlink>
      <w:r>
        <w:tab/>
      </w:r>
      <w:r>
        <w:rPr>
          <w:rFonts w:ascii="Arial" w:hAnsi="Arial"/>
        </w:rPr>
        <w:t>1614</w:t>
      </w:r>
    </w:p>
    <w:p>
      <w:pPr>
        <w:pStyle w:val="TOC2"/>
        <w:widowControl/>
        <w:tabs>
          <w:tab w:pos="8856" w:val="right" w:leader="dot"/>
        </w:tabs>
      </w:pPr>
      <w:hyperlink w:anchor="_NAESTMA_TOC_2478" w:history="1">
        <w:r>
          <w:rPr>
            <w:color w:val="466B7A"/>
          </w:rPr>
          <w:t>BD-110. Tri-National Tailings Shipping Standards</w:t>
        </w:r>
      </w:hyperlink>
      <w:r>
        <w:tab/>
      </w:r>
      <w:r>
        <w:rPr>
          <w:rFonts w:ascii="Arial" w:hAnsi="Arial"/>
        </w:rPr>
        <w:t>1614</w:t>
      </w:r>
    </w:p>
    <w:p>
      <w:pPr>
        <w:pStyle w:val="TOC2"/>
        <w:widowControl/>
        <w:tabs>
          <w:tab w:pos="8856" w:val="right" w:leader="dot"/>
        </w:tabs>
      </w:pPr>
      <w:hyperlink w:anchor="_NAESTMA_TOC_2479" w:history="1">
        <w:r>
          <w:rPr>
            <w:color w:val="466B7A"/>
          </w:rPr>
          <w:t>BD-111. Specialized Tailings Reprocessing Facilities</w:t>
        </w:r>
      </w:hyperlink>
      <w:r>
        <w:tab/>
      </w:r>
      <w:r>
        <w:rPr>
          <w:rFonts w:ascii="Arial" w:hAnsi="Arial"/>
        </w:rPr>
        <w:t>1614</w:t>
      </w:r>
    </w:p>
    <w:p>
      <w:pPr>
        <w:pStyle w:val="TOC2"/>
        <w:widowControl/>
        <w:tabs>
          <w:tab w:pos="8856" w:val="right" w:leader="dot"/>
        </w:tabs>
      </w:pPr>
      <w:hyperlink w:anchor="_NAESTMA_TOC_2480" w:history="1">
        <w:r>
          <w:rPr>
            <w:color w:val="466B7A"/>
          </w:rPr>
          <w:t>BD-112. Mapped Strategic Secondary-Resource Sites</w:t>
        </w:r>
      </w:hyperlink>
      <w:r>
        <w:tab/>
      </w:r>
      <w:r>
        <w:rPr>
          <w:rFonts w:ascii="Arial" w:hAnsi="Arial"/>
        </w:rPr>
        <w:t>1614</w:t>
      </w:r>
    </w:p>
    <w:p>
      <w:pPr>
        <w:pStyle w:val="TOC2"/>
        <w:widowControl/>
        <w:tabs>
          <w:tab w:pos="8856" w:val="right" w:leader="dot"/>
        </w:tabs>
      </w:pPr>
      <w:hyperlink w:anchor="_NAESTMA_TOC_2481" w:history="1">
        <w:r>
          <w:rPr>
            <w:color w:val="466B7A"/>
          </w:rPr>
          <w:t>BD-113. Tri-National Tailings Logistics Platform</w:t>
        </w:r>
      </w:hyperlink>
      <w:r>
        <w:tab/>
      </w:r>
      <w:r>
        <w:rPr>
          <w:rFonts w:ascii="Arial" w:hAnsi="Arial"/>
        </w:rPr>
        <w:t>1615</w:t>
      </w:r>
    </w:p>
    <w:p>
      <w:pPr>
        <w:pStyle w:val="TOC2"/>
        <w:widowControl/>
        <w:tabs>
          <w:tab w:pos="8856" w:val="right" w:leader="dot"/>
        </w:tabs>
      </w:pPr>
      <w:hyperlink w:anchor="_NAESTMA_TOC_2482" w:history="1">
        <w:r>
          <w:rPr>
            <w:color w:val="466B7A"/>
          </w:rPr>
          <w:t>BD-114. Mexican Tailings Processing Industrial Parks</w:t>
        </w:r>
      </w:hyperlink>
      <w:r>
        <w:tab/>
      </w:r>
      <w:r>
        <w:rPr>
          <w:rFonts w:ascii="Arial" w:hAnsi="Arial"/>
        </w:rPr>
        <w:t>1615</w:t>
      </w:r>
    </w:p>
    <w:p>
      <w:pPr>
        <w:pStyle w:val="TOC2"/>
        <w:widowControl/>
        <w:tabs>
          <w:tab w:pos="8856" w:val="right" w:leader="dot"/>
        </w:tabs>
      </w:pPr>
      <w:hyperlink w:anchor="_NAESTMA_TOC_2483" w:history="1">
        <w:r>
          <w:rPr>
            <w:color w:val="466B7A"/>
          </w:rPr>
          <w:t>BD-115. Project-Specific Enclosed Slurry Transport</w:t>
        </w:r>
      </w:hyperlink>
      <w:r>
        <w:tab/>
      </w:r>
      <w:r>
        <w:rPr>
          <w:rFonts w:ascii="Arial" w:hAnsi="Arial"/>
        </w:rPr>
        <w:t>1615</w:t>
      </w:r>
    </w:p>
    <w:p>
      <w:pPr>
        <w:pStyle w:val="TOC2"/>
        <w:widowControl/>
        <w:tabs>
          <w:tab w:pos="8856" w:val="right" w:leader="dot"/>
        </w:tabs>
      </w:pPr>
      <w:hyperlink w:anchor="_NAESTMA_TOC_2484" w:history="1">
        <w:r>
          <w:rPr>
            <w:color w:val="466B7A"/>
          </w:rPr>
          <w:t>BD-116. Tri-National Tailings Reprocessing Workforce Program</w:t>
        </w:r>
      </w:hyperlink>
      <w:r>
        <w:tab/>
      </w:r>
      <w:r>
        <w:rPr>
          <w:rFonts w:ascii="Arial" w:hAnsi="Arial"/>
        </w:rPr>
        <w:t>1615</w:t>
      </w:r>
    </w:p>
    <w:p>
      <w:pPr>
        <w:pStyle w:val="TOC2"/>
        <w:widowControl/>
        <w:tabs>
          <w:tab w:pos="8856" w:val="right" w:leader="dot"/>
        </w:tabs>
      </w:pPr>
      <w:hyperlink w:anchor="_NAESTMA_TOC_2485" w:history="1">
        <w:r>
          <w:rPr>
            <w:color w:val="466B7A"/>
          </w:rPr>
          <w:t>BD-117. Canadian University Tailings Research in Mexico</w:t>
        </w:r>
      </w:hyperlink>
      <w:r>
        <w:tab/>
      </w:r>
      <w:r>
        <w:rPr>
          <w:rFonts w:ascii="Arial" w:hAnsi="Arial"/>
        </w:rPr>
        <w:t>1615</w:t>
      </w:r>
    </w:p>
    <w:p>
      <w:pPr>
        <w:pStyle w:val="TOC2"/>
        <w:widowControl/>
        <w:tabs>
          <w:tab w:pos="8856" w:val="right" w:leader="dot"/>
        </w:tabs>
      </w:pPr>
      <w:hyperlink w:anchor="_NAESTMA_TOC_2486" w:history="1">
        <w:r>
          <w:rPr>
            <w:color w:val="466B7A"/>
          </w:rPr>
          <w:t>BD-118. US Community College Tailings Curriculum</w:t>
        </w:r>
      </w:hyperlink>
      <w:r>
        <w:tab/>
      </w:r>
      <w:r>
        <w:rPr>
          <w:rFonts w:ascii="Arial" w:hAnsi="Arial"/>
        </w:rPr>
        <w:t>1615</w:t>
      </w:r>
    </w:p>
    <w:p>
      <w:pPr>
        <w:pStyle w:val="TOC2"/>
        <w:widowControl/>
        <w:tabs>
          <w:tab w:pos="8856" w:val="right" w:leader="dot"/>
        </w:tabs>
      </w:pPr>
      <w:hyperlink w:anchor="_NAESTMA_TOC_2487" w:history="1">
        <w:r>
          <w:rPr>
            <w:color w:val="466B7A"/>
          </w:rPr>
          <w:t>BD-119. Tri-National Tailings Research Consortium</w:t>
        </w:r>
      </w:hyperlink>
      <w:r>
        <w:tab/>
      </w:r>
      <w:r>
        <w:rPr>
          <w:rFonts w:ascii="Arial" w:hAnsi="Arial"/>
        </w:rPr>
        <w:t>1615</w:t>
      </w:r>
    </w:p>
    <w:p>
      <w:pPr>
        <w:pStyle w:val="TOC2"/>
        <w:widowControl/>
        <w:tabs>
          <w:tab w:pos="8856" w:val="right" w:leader="dot"/>
        </w:tabs>
      </w:pPr>
      <w:hyperlink w:anchor="_NAESTMA_TOC_2488" w:history="1">
        <w:r>
          <w:rPr>
            <w:color w:val="466B7A"/>
          </w:rPr>
          <w:t>BD-120. North American Tailings Innovation Network</w:t>
        </w:r>
      </w:hyperlink>
      <w:r>
        <w:tab/>
      </w:r>
      <w:r>
        <w:rPr>
          <w:rFonts w:ascii="Arial" w:hAnsi="Arial"/>
        </w:rPr>
        <w:t>1615</w:t>
      </w:r>
    </w:p>
    <w:p>
      <w:pPr>
        <w:pStyle w:val="TOC1"/>
        <w:widowControl/>
        <w:tabs>
          <w:tab w:pos="8856" w:val="right" w:leader="dot"/>
        </w:tabs>
      </w:pPr>
      <w:hyperlink w:anchor="_NAESTMA_TOC_2489" w:history="1">
        <w:r>
          <w:rPr>
            <w:color w:val="233746"/>
          </w:rPr>
          <w:t>PACKAGE BE — CROSS-SECTOR MINERAL EARNED-BENEFIT CATALOGUE (140 MECHANISMS)</w:t>
        </w:r>
      </w:hyperlink>
      <w:r>
        <w:tab/>
      </w:r>
      <w:r>
        <w:rPr>
          <w:rFonts w:ascii="Arial" w:hAnsi="Arial"/>
        </w:rPr>
        <w:t>1616</w:t>
      </w:r>
    </w:p>
    <w:p>
      <w:pPr>
        <w:pStyle w:val="TOC2"/>
        <w:widowControl/>
        <w:tabs>
          <w:tab w:pos="8856" w:val="right" w:leader="dot"/>
        </w:tabs>
      </w:pPr>
      <w:hyperlink w:anchor="_NAESTMA_TOC_2490" w:history="1">
        <w:r>
          <w:rPr>
            <w:color w:val="466B7A"/>
          </w:rPr>
          <w:t>BE-A. Bargain Classification</w:t>
        </w:r>
      </w:hyperlink>
      <w:r>
        <w:tab/>
      </w:r>
      <w:r>
        <w:rPr>
          <w:rFonts w:ascii="Arial" w:hAnsi="Arial"/>
        </w:rPr>
        <w:t>1616</w:t>
      </w:r>
    </w:p>
    <w:p>
      <w:pPr>
        <w:pStyle w:val="TOC2"/>
        <w:widowControl/>
        <w:tabs>
          <w:tab w:pos="8856" w:val="right" w:leader="dot"/>
        </w:tabs>
      </w:pPr>
      <w:hyperlink w:anchor="_NAESTMA_TOC_2491" w:history="1">
        <w:r>
          <w:rPr>
            <w:color w:val="466B7A"/>
          </w:rPr>
          <w:t>BE-1. Softwood Lumber for Canadian Lithium</w:t>
        </w:r>
      </w:hyperlink>
      <w:r>
        <w:tab/>
      </w:r>
      <w:r>
        <w:rPr>
          <w:rFonts w:ascii="Arial" w:hAnsi="Arial"/>
        </w:rPr>
        <w:t>1616</w:t>
      </w:r>
    </w:p>
    <w:p>
      <w:pPr>
        <w:pStyle w:val="TOC2"/>
        <w:widowControl/>
        <w:tabs>
          <w:tab w:pos="8856" w:val="right" w:leader="dot"/>
        </w:tabs>
      </w:pPr>
      <w:hyperlink w:anchor="_NAESTMA_TOC_2492" w:history="1">
        <w:r>
          <w:rPr>
            <w:color w:val="466B7A"/>
          </w:rPr>
          <w:t>BE-2. Auto Tariff Elimination for Mexican Copper</w:t>
        </w:r>
      </w:hyperlink>
      <w:r>
        <w:tab/>
      </w:r>
      <w:r>
        <w:rPr>
          <w:rFonts w:ascii="Arial" w:hAnsi="Arial"/>
        </w:rPr>
        <w:t>1616</w:t>
      </w:r>
    </w:p>
    <w:p>
      <w:pPr>
        <w:pStyle w:val="TOC2"/>
        <w:widowControl/>
        <w:tabs>
          <w:tab w:pos="8856" w:val="right" w:leader="dot"/>
        </w:tabs>
      </w:pPr>
      <w:hyperlink w:anchor="_NAESTMA_TOC_2493" w:history="1">
        <w:r>
          <w:rPr>
            <w:color w:val="466B7A"/>
          </w:rPr>
          <w:t>BE-3. Steel Tariff Reduction for Canadian Nickel</w:t>
        </w:r>
      </w:hyperlink>
      <w:r>
        <w:tab/>
      </w:r>
      <w:r>
        <w:rPr>
          <w:rFonts w:ascii="Arial" w:hAnsi="Arial"/>
        </w:rPr>
        <w:t>1616</w:t>
      </w:r>
    </w:p>
    <w:p>
      <w:pPr>
        <w:pStyle w:val="TOC2"/>
        <w:widowControl/>
        <w:tabs>
          <w:tab w:pos="8856" w:val="right" w:leader="dot"/>
        </w:tabs>
      </w:pPr>
      <w:hyperlink w:anchor="_NAESTMA_TOC_2494" w:history="1">
        <w:r>
          <w:rPr>
            <w:color w:val="466B7A"/>
          </w:rPr>
          <w:t>BE-4. Tariff Relief for Market-Linked Silver Offtake</w:t>
        </w:r>
      </w:hyperlink>
      <w:r>
        <w:tab/>
      </w:r>
      <w:r>
        <w:rPr>
          <w:rFonts w:ascii="Arial" w:hAnsi="Arial"/>
        </w:rPr>
        <w:t>1616</w:t>
      </w:r>
    </w:p>
    <w:p>
      <w:pPr>
        <w:pStyle w:val="TOC2"/>
        <w:widowControl/>
        <w:tabs>
          <w:tab w:pos="8856" w:val="right" w:leader="dot"/>
        </w:tabs>
      </w:pPr>
      <w:hyperlink w:anchor="_NAESTMA_TOC_2495" w:history="1">
        <w:r>
          <w:rPr>
            <w:color w:val="466B7A"/>
          </w:rPr>
          <w:t>BE-5. Softwood Quota Increase for Canadian Potash</w:t>
        </w:r>
      </w:hyperlink>
      <w:r>
        <w:tab/>
      </w:r>
      <w:r>
        <w:rPr>
          <w:rFonts w:ascii="Arial" w:hAnsi="Arial"/>
        </w:rPr>
        <w:t>1616</w:t>
      </w:r>
    </w:p>
    <w:p>
      <w:pPr>
        <w:pStyle w:val="TOC2"/>
        <w:widowControl/>
        <w:tabs>
          <w:tab w:pos="8856" w:val="right" w:leader="dot"/>
        </w:tabs>
      </w:pPr>
      <w:hyperlink w:anchor="_NAESTMA_TOC_2496" w:history="1">
        <w:r>
          <w:rPr>
            <w:color w:val="466B7A"/>
          </w:rPr>
          <w:t>BE-6. Section 301 Tariff Removal for Mexican Graphite</w:t>
        </w:r>
      </w:hyperlink>
      <w:r>
        <w:tab/>
      </w:r>
      <w:r>
        <w:rPr>
          <w:rFonts w:ascii="Arial" w:hAnsi="Arial"/>
        </w:rPr>
        <w:t>1616</w:t>
      </w:r>
    </w:p>
    <w:p>
      <w:pPr>
        <w:pStyle w:val="TOC2"/>
        <w:widowControl/>
        <w:tabs>
          <w:tab w:pos="8856" w:val="right" w:leader="dot"/>
        </w:tabs>
      </w:pPr>
      <w:hyperlink w:anchor="_NAESTMA_TOC_2497" w:history="1">
        <w:r>
          <w:rPr>
            <w:color w:val="466B7A"/>
          </w:rPr>
          <w:t>BE-7. Auto Parts Tariff Exemption for Canadian Cobalt</w:t>
        </w:r>
      </w:hyperlink>
      <w:r>
        <w:tab/>
      </w:r>
      <w:r>
        <w:rPr>
          <w:rFonts w:ascii="Arial" w:hAnsi="Arial"/>
        </w:rPr>
        <w:t>1616</w:t>
      </w:r>
    </w:p>
    <w:p>
      <w:pPr>
        <w:pStyle w:val="TOC2"/>
        <w:widowControl/>
        <w:tabs>
          <w:tab w:pos="8856" w:val="right" w:leader="dot"/>
        </w:tabs>
      </w:pPr>
      <w:hyperlink w:anchor="_NAESTMA_TOC_2498" w:history="1">
        <w:r>
          <w:rPr>
            <w:color w:val="466B7A"/>
          </w:rPr>
          <w:t>BE-8. Plywood Tariff Reduction for Mexican Zinc</w:t>
        </w:r>
      </w:hyperlink>
      <w:r>
        <w:tab/>
      </w:r>
      <w:r>
        <w:rPr>
          <w:rFonts w:ascii="Arial" w:hAnsi="Arial"/>
        </w:rPr>
        <w:t>1617</w:t>
      </w:r>
    </w:p>
    <w:p>
      <w:pPr>
        <w:pStyle w:val="TOC2"/>
        <w:widowControl/>
        <w:tabs>
          <w:tab w:pos="8856" w:val="right" w:leader="dot"/>
        </w:tabs>
      </w:pPr>
      <w:hyperlink w:anchor="_NAESTMA_TOC_2499" w:history="1">
        <w:r>
          <w:rPr>
            <w:color w:val="466B7A"/>
          </w:rPr>
          <w:t>BE-9. Softwood AD/CVD Rate Cut for Canadian REEs</w:t>
        </w:r>
      </w:hyperlink>
      <w:r>
        <w:tab/>
      </w:r>
      <w:r>
        <w:rPr>
          <w:rFonts w:ascii="Arial" w:hAnsi="Arial"/>
        </w:rPr>
        <w:t>1617</w:t>
      </w:r>
    </w:p>
    <w:p>
      <w:pPr>
        <w:pStyle w:val="TOC2"/>
        <w:widowControl/>
        <w:tabs>
          <w:tab w:pos="8856" w:val="right" w:leader="dot"/>
        </w:tabs>
      </w:pPr>
      <w:hyperlink w:anchor="_NAESTMA_TOC_2500" w:history="1">
        <w:r>
          <w:rPr>
            <w:color w:val="466B7A"/>
          </w:rPr>
          <w:t>BE-10. Truck Tariff Elimination for Mexican Molybdenum</w:t>
        </w:r>
      </w:hyperlink>
      <w:r>
        <w:tab/>
      </w:r>
      <w:r>
        <w:rPr>
          <w:rFonts w:ascii="Arial" w:hAnsi="Arial"/>
        </w:rPr>
        <w:t>1617</w:t>
      </w:r>
    </w:p>
    <w:p>
      <w:pPr>
        <w:pStyle w:val="TOC2"/>
        <w:widowControl/>
        <w:tabs>
          <w:tab w:pos="8856" w:val="right" w:leader="dot"/>
        </w:tabs>
      </w:pPr>
      <w:hyperlink w:anchor="_NAESTMA_TOC_2501" w:history="1">
        <w:r>
          <w:rPr>
            <w:color w:val="466B7A"/>
          </w:rPr>
          <w:t>BE-11. Section 232 Tariff Sunset for Canadian Uranium</w:t>
        </w:r>
      </w:hyperlink>
      <w:r>
        <w:tab/>
      </w:r>
      <w:r>
        <w:rPr>
          <w:rFonts w:ascii="Arial" w:hAnsi="Arial"/>
        </w:rPr>
        <w:t>1617</w:t>
      </w:r>
    </w:p>
    <w:p>
      <w:pPr>
        <w:pStyle w:val="TOC2"/>
        <w:widowControl/>
        <w:tabs>
          <w:tab w:pos="8856" w:val="right" w:leader="dot"/>
        </w:tabs>
      </w:pPr>
      <w:hyperlink w:anchor="_NAESTMA_TOC_2502" w:history="1">
        <w:r>
          <w:rPr>
            <w:color w:val="466B7A"/>
          </w:rPr>
          <w:t>BE-12. Bus Tariff Reduction for Mexican Fluorspar</w:t>
        </w:r>
      </w:hyperlink>
      <w:r>
        <w:tab/>
      </w:r>
      <w:r>
        <w:rPr>
          <w:rFonts w:ascii="Arial" w:hAnsi="Arial"/>
        </w:rPr>
        <w:t>1617</w:t>
      </w:r>
    </w:p>
    <w:p>
      <w:pPr>
        <w:pStyle w:val="TOC2"/>
        <w:widowControl/>
        <w:tabs>
          <w:tab w:pos="8856" w:val="right" w:leader="dot"/>
        </w:tabs>
      </w:pPr>
      <w:hyperlink w:anchor="_NAESTMA_TOC_2503" w:history="1">
        <w:r>
          <w:rPr>
            <w:color w:val="466B7A"/>
          </w:rPr>
          <w:t>BE-13. Value-Added Wood Tariff Exemption for Canadian Magnesium</w:t>
        </w:r>
      </w:hyperlink>
      <w:r>
        <w:tab/>
      </w:r>
      <w:r>
        <w:rPr>
          <w:rFonts w:ascii="Arial" w:hAnsi="Arial"/>
        </w:rPr>
        <w:t>1617</w:t>
      </w:r>
    </w:p>
    <w:p>
      <w:pPr>
        <w:pStyle w:val="TOC2"/>
        <w:widowControl/>
        <w:tabs>
          <w:tab w:pos="8856" w:val="right" w:leader="dot"/>
        </w:tabs>
      </w:pPr>
      <w:hyperlink w:anchor="_NAESTMA_TOC_2504" w:history="1">
        <w:r>
          <w:rPr>
            <w:color w:val="466B7A"/>
          </w:rPr>
          <w:t>BE-14. Section 232 Phase-Out for Mexican Barite</w:t>
        </w:r>
      </w:hyperlink>
      <w:r>
        <w:tab/>
      </w:r>
      <w:r>
        <w:rPr>
          <w:rFonts w:ascii="Arial" w:hAnsi="Arial"/>
        </w:rPr>
        <w:t>1617</w:t>
      </w:r>
    </w:p>
    <w:p>
      <w:pPr>
        <w:pStyle w:val="TOC2"/>
        <w:widowControl/>
        <w:tabs>
          <w:tab w:pos="8856" w:val="right" w:leader="dot"/>
        </w:tabs>
      </w:pPr>
      <w:hyperlink w:anchor="_NAESTMA_TOC_2505" w:history="1">
        <w:r>
          <w:rPr>
            <w:color w:val="466B7A"/>
          </w:rPr>
          <w:t>BE-15. Lumber Duty Rebate for Canadian Titanium</w:t>
        </w:r>
      </w:hyperlink>
      <w:r>
        <w:tab/>
      </w:r>
      <w:r>
        <w:rPr>
          <w:rFonts w:ascii="Arial" w:hAnsi="Arial"/>
        </w:rPr>
        <w:t>1617</w:t>
      </w:r>
    </w:p>
    <w:p>
      <w:pPr>
        <w:pStyle w:val="TOC2"/>
        <w:widowControl/>
        <w:tabs>
          <w:tab w:pos="8856" w:val="right" w:leader="dot"/>
        </w:tabs>
      </w:pPr>
      <w:hyperlink w:anchor="_NAESTMA_TOC_2506" w:history="1">
        <w:r>
          <w:rPr>
            <w:color w:val="466B7A"/>
          </w:rPr>
          <w:t>BE-16. Non-USMCA Auto Content Tariff Waiver for Mexican Lead</w:t>
        </w:r>
      </w:hyperlink>
      <w:r>
        <w:tab/>
      </w:r>
      <w:r>
        <w:rPr>
          <w:rFonts w:ascii="Arial" w:hAnsi="Arial"/>
        </w:rPr>
        <w:t>1617</w:t>
      </w:r>
    </w:p>
    <w:p>
      <w:pPr>
        <w:pStyle w:val="TOC2"/>
        <w:widowControl/>
        <w:tabs>
          <w:tab w:pos="8856" w:val="right" w:leader="dot"/>
        </w:tabs>
      </w:pPr>
      <w:hyperlink w:anchor="_NAESTMA_TOC_2507" w:history="1">
        <w:r>
          <w:rPr>
            <w:color w:val="466B7A"/>
          </w:rPr>
          <w:t>BE-17. Softwood Normalization for Niobium Security</w:t>
        </w:r>
      </w:hyperlink>
      <w:r>
        <w:tab/>
      </w:r>
      <w:r>
        <w:rPr>
          <w:rFonts w:ascii="Arial" w:hAnsi="Arial"/>
        </w:rPr>
        <w:t>1617</w:t>
      </w:r>
    </w:p>
    <w:p>
      <w:pPr>
        <w:pStyle w:val="TOC2"/>
        <w:widowControl/>
        <w:tabs>
          <w:tab w:pos="8856" w:val="right" w:leader="dot"/>
        </w:tabs>
      </w:pPr>
      <w:hyperlink w:anchor="_NAESTMA_TOC_2508" w:history="1">
        <w:r>
          <w:rPr>
            <w:color w:val="466B7A"/>
          </w:rPr>
          <w:t>BE-18. Section 301 Exclusion for Mexican REE Ores</w:t>
        </w:r>
      </w:hyperlink>
      <w:r>
        <w:tab/>
      </w:r>
      <w:r>
        <w:rPr>
          <w:rFonts w:ascii="Arial" w:hAnsi="Arial"/>
        </w:rPr>
        <w:t>1617</w:t>
      </w:r>
    </w:p>
    <w:p>
      <w:pPr>
        <w:pStyle w:val="TOC2"/>
        <w:widowControl/>
        <w:tabs>
          <w:tab w:pos="8856" w:val="right" w:leader="dot"/>
        </w:tabs>
      </w:pPr>
      <w:hyperlink w:anchor="_NAESTMA_TOC_2509" w:history="1">
        <w:r>
          <w:rPr>
            <w:color w:val="466B7A"/>
          </w:rPr>
          <w:t>BE-19. Anti-Dumping Duty Suspension for Canadian Graphite</w:t>
        </w:r>
      </w:hyperlink>
      <w:r>
        <w:tab/>
      </w:r>
      <w:r>
        <w:rPr>
          <w:rFonts w:ascii="Arial" w:hAnsi="Arial"/>
        </w:rPr>
        <w:t>1618</w:t>
      </w:r>
    </w:p>
    <w:p>
      <w:pPr>
        <w:pStyle w:val="TOC2"/>
        <w:widowControl/>
        <w:tabs>
          <w:tab w:pos="8856" w:val="right" w:leader="dot"/>
        </w:tabs>
      </w:pPr>
      <w:hyperlink w:anchor="_NAESTMA_TOC_2510" w:history="1">
        <w:r>
          <w:rPr>
            <w:color w:val="466B7A"/>
          </w:rPr>
          <w:t>BE-20. Comprehensive Tariff Reset</w:t>
        </w:r>
      </w:hyperlink>
      <w:r>
        <w:tab/>
      </w:r>
      <w:r>
        <w:rPr>
          <w:rFonts w:ascii="Arial" w:hAnsi="Arial"/>
        </w:rPr>
        <w:t>1618</w:t>
      </w:r>
    </w:p>
    <w:p>
      <w:pPr>
        <w:pStyle w:val="TOC2"/>
        <w:widowControl/>
        <w:tabs>
          <w:tab w:pos="8856" w:val="right" w:leader="dot"/>
        </w:tabs>
      </w:pPr>
      <w:hyperlink w:anchor="_NAESTMA_TOC_2511" w:history="1">
        <w:r>
          <w:rPr>
            <w:color w:val="466B7A"/>
          </w:rPr>
          <w:t>BE-21. Energy Cooperation for State-Led Mexican Lithium Development</w:t>
        </w:r>
      </w:hyperlink>
      <w:r>
        <w:tab/>
      </w:r>
      <w:r>
        <w:rPr>
          <w:rFonts w:ascii="Arial" w:hAnsi="Arial"/>
        </w:rPr>
        <w:t>1618</w:t>
      </w:r>
    </w:p>
    <w:p>
      <w:pPr>
        <w:pStyle w:val="TOC2"/>
        <w:widowControl/>
        <w:tabs>
          <w:tab w:pos="8856" w:val="right" w:leader="dot"/>
        </w:tabs>
      </w:pPr>
      <w:hyperlink w:anchor="_NAESTMA_TOC_2512" w:history="1">
        <w:r>
          <w:rPr>
            <w:color w:val="466B7A"/>
          </w:rPr>
          <w:t>BE-22. Commercial Energy Security for Copper Offtake</w:t>
        </w:r>
      </w:hyperlink>
      <w:r>
        <w:tab/>
      </w:r>
      <w:r>
        <w:rPr>
          <w:rFonts w:ascii="Arial" w:hAnsi="Arial"/>
        </w:rPr>
        <w:t>1618</w:t>
      </w:r>
    </w:p>
    <w:p>
      <w:pPr>
        <w:pStyle w:val="TOC2"/>
        <w:widowControl/>
        <w:tabs>
          <w:tab w:pos="8856" w:val="right" w:leader="dot"/>
        </w:tabs>
      </w:pPr>
      <w:hyperlink w:anchor="_NAESTMA_TOC_2513" w:history="1">
        <w:r>
          <w:rPr>
            <w:color w:val="466B7A"/>
          </w:rPr>
          <w:t>BE-23. Canadian Hydropower for U.S. REE Processing</w:t>
        </w:r>
      </w:hyperlink>
      <w:r>
        <w:tab/>
      </w:r>
      <w:r>
        <w:rPr>
          <w:rFonts w:ascii="Arial" w:hAnsi="Arial"/>
        </w:rPr>
        <w:t>1618</w:t>
      </w:r>
    </w:p>
    <w:p>
      <w:pPr>
        <w:pStyle w:val="TOC2"/>
        <w:widowControl/>
        <w:tabs>
          <w:tab w:pos="8856" w:val="right" w:leader="dot"/>
        </w:tabs>
      </w:pPr>
      <w:hyperlink w:anchor="_NAESTMA_TOC_2514" w:history="1">
        <w:r>
          <w:rPr>
            <w:color w:val="466B7A"/>
          </w:rPr>
          <w:t>BE-24. Permian Basin Gas for Mexican Silver</w:t>
        </w:r>
      </w:hyperlink>
      <w:r>
        <w:tab/>
      </w:r>
      <w:r>
        <w:rPr>
          <w:rFonts w:ascii="Arial" w:hAnsi="Arial"/>
        </w:rPr>
        <w:t>1618</w:t>
      </w:r>
    </w:p>
    <w:p>
      <w:pPr>
        <w:pStyle w:val="TOC2"/>
        <w:widowControl/>
        <w:tabs>
          <w:tab w:pos="8856" w:val="right" w:leader="dot"/>
        </w:tabs>
      </w:pPr>
      <w:hyperlink w:anchor="_NAESTMA_TOC_2515" w:history="1">
        <w:r>
          <w:rPr>
            <w:color w:val="466B7A"/>
          </w:rPr>
          <w:t>BE-25. Canadian Clean Energy Credits for Mexican Zinc</w:t>
        </w:r>
      </w:hyperlink>
      <w:r>
        <w:tab/>
      </w:r>
      <w:r>
        <w:rPr>
          <w:rFonts w:ascii="Arial" w:hAnsi="Arial"/>
        </w:rPr>
        <w:t>1618</w:t>
      </w:r>
    </w:p>
    <w:p>
      <w:pPr>
        <w:pStyle w:val="TOC2"/>
        <w:widowControl/>
        <w:tabs>
          <w:tab w:pos="8856" w:val="right" w:leader="dot"/>
        </w:tabs>
      </w:pPr>
      <w:hyperlink w:anchor="_NAESTMA_TOC_2516" w:history="1">
        <w:r>
          <w:rPr>
            <w:color w:val="466B7A"/>
          </w:rPr>
          <w:t>BE-26. U.S. LNG Export License for Canadian Critical Minerals</w:t>
        </w:r>
      </w:hyperlink>
      <w:r>
        <w:tab/>
      </w:r>
      <w:r>
        <w:rPr>
          <w:rFonts w:ascii="Arial" w:hAnsi="Arial"/>
        </w:rPr>
        <w:t>1618</w:t>
      </w:r>
    </w:p>
    <w:p>
      <w:pPr>
        <w:pStyle w:val="TOC2"/>
        <w:widowControl/>
        <w:tabs>
          <w:tab w:pos="8856" w:val="right" w:leader="dot"/>
        </w:tabs>
      </w:pPr>
      <w:hyperlink w:anchor="_NAESTMA_TOC_2517" w:history="1">
        <w:r>
          <w:rPr>
            <w:color w:val="466B7A"/>
          </w:rPr>
          <w:t>BE-27. Canadian Nuclear Technology for Mexican Uranium</w:t>
        </w:r>
      </w:hyperlink>
      <w:r>
        <w:tab/>
      </w:r>
      <w:r>
        <w:rPr>
          <w:rFonts w:ascii="Arial" w:hAnsi="Arial"/>
        </w:rPr>
        <w:t>1618</w:t>
      </w:r>
    </w:p>
    <w:p>
      <w:pPr>
        <w:pStyle w:val="TOC2"/>
        <w:widowControl/>
        <w:tabs>
          <w:tab w:pos="8856" w:val="right" w:leader="dot"/>
        </w:tabs>
      </w:pPr>
      <w:hyperlink w:anchor="_NAESTMA_TOC_2518" w:history="1">
        <w:r>
          <w:rPr>
            <w:color w:val="466B7A"/>
          </w:rPr>
          <w:t>BE-28. U.S. Battery Storage for Canadian Grid Stability</w:t>
        </w:r>
      </w:hyperlink>
      <w:r>
        <w:tab/>
      </w:r>
      <w:r>
        <w:rPr>
          <w:rFonts w:ascii="Arial" w:hAnsi="Arial"/>
        </w:rPr>
        <w:t>1618</w:t>
      </w:r>
    </w:p>
    <w:p>
      <w:pPr>
        <w:pStyle w:val="TOC2"/>
        <w:widowControl/>
        <w:tabs>
          <w:tab w:pos="8856" w:val="right" w:leader="dot"/>
        </w:tabs>
      </w:pPr>
      <w:hyperlink w:anchor="_NAESTMA_TOC_2519" w:history="1">
        <w:r>
          <w:rPr>
            <w:color w:val="466B7A"/>
          </w:rPr>
          <w:t>BE-29. Geothermal Integration with State-Led Mexican Lithium</w:t>
        </w:r>
      </w:hyperlink>
      <w:r>
        <w:tab/>
      </w:r>
      <w:r>
        <w:rPr>
          <w:rFonts w:ascii="Arial" w:hAnsi="Arial"/>
        </w:rPr>
        <w:t>1618</w:t>
      </w:r>
    </w:p>
    <w:p>
      <w:pPr>
        <w:pStyle w:val="TOC2"/>
        <w:widowControl/>
        <w:tabs>
          <w:tab w:pos="8856" w:val="right" w:leader="dot"/>
        </w:tabs>
      </w:pPr>
      <w:hyperlink w:anchor="_NAESTMA_TOC_2520" w:history="1">
        <w:r>
          <w:rPr>
            <w:color w:val="466B7A"/>
          </w:rPr>
          <w:t>BE-30. Canadian Hydrogen for Mexican Smelters</w:t>
        </w:r>
      </w:hyperlink>
      <w:r>
        <w:tab/>
      </w:r>
      <w:r>
        <w:rPr>
          <w:rFonts w:ascii="Arial" w:hAnsi="Arial"/>
        </w:rPr>
        <w:t>1619</w:t>
      </w:r>
    </w:p>
    <w:p>
      <w:pPr>
        <w:pStyle w:val="TOC2"/>
        <w:widowControl/>
        <w:tabs>
          <w:tab w:pos="8856" w:val="right" w:leader="dot"/>
        </w:tabs>
      </w:pPr>
      <w:hyperlink w:anchor="_NAESTMA_TOC_2521" w:history="1">
        <w:r>
          <w:rPr>
            <w:color w:val="466B7A"/>
          </w:rPr>
          <w:t>BE-31. Reciprocal Emergency Energy-Fertilizer Continuity</w:t>
        </w:r>
      </w:hyperlink>
      <w:r>
        <w:tab/>
      </w:r>
      <w:r>
        <w:rPr>
          <w:rFonts w:ascii="Arial" w:hAnsi="Arial"/>
        </w:rPr>
        <w:t>1619</w:t>
      </w:r>
    </w:p>
    <w:p>
      <w:pPr>
        <w:pStyle w:val="TOC2"/>
        <w:widowControl/>
        <w:tabs>
          <w:tab w:pos="8856" w:val="right" w:leader="dot"/>
        </w:tabs>
      </w:pPr>
      <w:hyperlink w:anchor="_NAESTMA_TOC_2522" w:history="1">
        <w:r>
          <w:rPr>
            <w:color w:val="466B7A"/>
          </w:rPr>
          <w:t>BE-32. Canadian Small Modular Reactors for U.S. Processing</w:t>
        </w:r>
      </w:hyperlink>
      <w:r>
        <w:tab/>
      </w:r>
      <w:r>
        <w:rPr>
          <w:rFonts w:ascii="Arial" w:hAnsi="Arial"/>
        </w:rPr>
        <w:t>1619</w:t>
      </w:r>
    </w:p>
    <w:p>
      <w:pPr>
        <w:pStyle w:val="TOC2"/>
        <w:widowControl/>
        <w:tabs>
          <w:tab w:pos="8856" w:val="right" w:leader="dot"/>
        </w:tabs>
      </w:pPr>
      <w:hyperlink w:anchor="_NAESTMA_TOC_2523" w:history="1">
        <w:r>
          <w:rPr>
            <w:color w:val="466B7A"/>
          </w:rPr>
          <w:t>BE-33. U.S. Solar Panels for Mexican Barite</w:t>
        </w:r>
      </w:hyperlink>
      <w:r>
        <w:tab/>
      </w:r>
      <w:r>
        <w:rPr>
          <w:rFonts w:ascii="Arial" w:hAnsi="Arial"/>
        </w:rPr>
        <w:t>1619</w:t>
      </w:r>
    </w:p>
    <w:p>
      <w:pPr>
        <w:pStyle w:val="TOC2"/>
        <w:widowControl/>
        <w:tabs>
          <w:tab w:pos="8856" w:val="right" w:leader="dot"/>
        </w:tabs>
      </w:pPr>
      <w:hyperlink w:anchor="_NAESTMA_TOC_2524" w:history="1">
        <w:r>
          <w:rPr>
            <w:color w:val="466B7A"/>
          </w:rPr>
          <w:t>BE-34. Cross-Border Clean Power for Critical-Mineral Manufacturing</w:t>
        </w:r>
      </w:hyperlink>
      <w:r>
        <w:tab/>
      </w:r>
      <w:r>
        <w:rPr>
          <w:rFonts w:ascii="Arial" w:hAnsi="Arial"/>
        </w:rPr>
        <w:t>1619</w:t>
      </w:r>
    </w:p>
    <w:p>
      <w:pPr>
        <w:pStyle w:val="TOC2"/>
        <w:widowControl/>
        <w:tabs>
          <w:tab w:pos="8856" w:val="right" w:leader="dot"/>
        </w:tabs>
      </w:pPr>
      <w:hyperlink w:anchor="_NAESTMA_TOC_2525" w:history="1">
        <w:r>
          <w:rPr>
            <w:color w:val="466B7A"/>
          </w:rPr>
          <w:t>BE-35. Tri-National Energy-Minerals Corridor</w:t>
        </w:r>
      </w:hyperlink>
      <w:r>
        <w:tab/>
      </w:r>
      <w:r>
        <w:rPr>
          <w:rFonts w:ascii="Arial" w:hAnsi="Arial"/>
        </w:rPr>
        <w:t>1619</w:t>
      </w:r>
    </w:p>
    <w:p>
      <w:pPr>
        <w:pStyle w:val="TOC2"/>
        <w:widowControl/>
        <w:tabs>
          <w:tab w:pos="8856" w:val="right" w:leader="dot"/>
        </w:tabs>
      </w:pPr>
      <w:hyperlink w:anchor="_NAESTMA_TOC_2526" w:history="1">
        <w:r>
          <w:rPr>
            <w:color w:val="466B7A"/>
          </w:rPr>
          <w:t>BE-36. Skills Mobility for State-Led Mexican Lithium Projects</w:t>
        </w:r>
      </w:hyperlink>
      <w:r>
        <w:tab/>
      </w:r>
      <w:r>
        <w:rPr>
          <w:rFonts w:ascii="Arial" w:hAnsi="Arial"/>
        </w:rPr>
        <w:t>1619</w:t>
      </w:r>
    </w:p>
    <w:p>
      <w:pPr>
        <w:pStyle w:val="TOC2"/>
        <w:widowControl/>
        <w:tabs>
          <w:tab w:pos="8856" w:val="right" w:leader="dot"/>
        </w:tabs>
      </w:pPr>
      <w:hyperlink w:anchor="_NAESTMA_TOC_2527" w:history="1">
        <w:r>
          <w:rPr>
            <w:color w:val="466B7A"/>
          </w:rPr>
          <w:t>BE-37. U.S. Geologists for Canadian REEs</w:t>
        </w:r>
      </w:hyperlink>
      <w:r>
        <w:tab/>
      </w:r>
      <w:r>
        <w:rPr>
          <w:rFonts w:ascii="Arial" w:hAnsi="Arial"/>
        </w:rPr>
        <w:t>1619</w:t>
      </w:r>
    </w:p>
    <w:p>
      <w:pPr>
        <w:pStyle w:val="TOC2"/>
        <w:widowControl/>
        <w:tabs>
          <w:tab w:pos="8856" w:val="right" w:leader="dot"/>
        </w:tabs>
      </w:pPr>
      <w:hyperlink w:anchor="_NAESTMA_TOC_2528" w:history="1">
        <w:r>
          <w:rPr>
            <w:color w:val="466B7A"/>
          </w:rPr>
          <w:t>BE-38. Mexican Welders for U.S. Processing Plants</w:t>
        </w:r>
      </w:hyperlink>
      <w:r>
        <w:tab/>
      </w:r>
      <w:r>
        <w:rPr>
          <w:rFonts w:ascii="Arial" w:hAnsi="Arial"/>
        </w:rPr>
        <w:t>1619</w:t>
      </w:r>
    </w:p>
    <w:p>
      <w:pPr>
        <w:pStyle w:val="TOC2"/>
        <w:widowControl/>
        <w:tabs>
          <w:tab w:pos="8856" w:val="right" w:leader="dot"/>
        </w:tabs>
      </w:pPr>
      <w:hyperlink w:anchor="_NAESTMA_TOC_2529" w:history="1">
        <w:r>
          <w:rPr>
            <w:color w:val="466B7A"/>
          </w:rPr>
          <w:t>BE-39. Canadian Process Engineers for U.S. Smelters</w:t>
        </w:r>
      </w:hyperlink>
      <w:r>
        <w:tab/>
      </w:r>
      <w:r>
        <w:rPr>
          <w:rFonts w:ascii="Arial" w:hAnsi="Arial"/>
        </w:rPr>
        <w:t>1619</w:t>
      </w:r>
    </w:p>
    <w:p>
      <w:pPr>
        <w:pStyle w:val="TOC2"/>
        <w:widowControl/>
        <w:tabs>
          <w:tab w:pos="8856" w:val="right" w:leader="dot"/>
        </w:tabs>
      </w:pPr>
      <w:hyperlink w:anchor="_NAESTMA_TOC_2530" w:history="1">
        <w:r>
          <w:rPr>
            <w:color w:val="466B7A"/>
          </w:rPr>
          <w:t>BE-40. Mexican Geologists for Canadian Exploration</w:t>
        </w:r>
      </w:hyperlink>
      <w:r>
        <w:tab/>
      </w:r>
      <w:r>
        <w:rPr>
          <w:rFonts w:ascii="Arial" w:hAnsi="Arial"/>
        </w:rPr>
        <w:t>1619</w:t>
      </w:r>
    </w:p>
    <w:p>
      <w:pPr>
        <w:pStyle w:val="TOC2"/>
        <w:widowControl/>
        <w:tabs>
          <w:tab w:pos="8856" w:val="right" w:leader="dot"/>
        </w:tabs>
      </w:pPr>
      <w:hyperlink w:anchor="_NAESTMA_TOC_2531" w:history="1">
        <w:r>
          <w:rPr>
            <w:color w:val="466B7A"/>
          </w:rPr>
          <w:t>BE-41. U.S. Electricians for Mexican Refineries</w:t>
        </w:r>
      </w:hyperlink>
      <w:r>
        <w:tab/>
      </w:r>
      <w:r>
        <w:rPr>
          <w:rFonts w:ascii="Arial" w:hAnsi="Arial"/>
        </w:rPr>
        <w:t>1620</w:t>
      </w:r>
    </w:p>
    <w:p>
      <w:pPr>
        <w:pStyle w:val="TOC2"/>
        <w:widowControl/>
        <w:tabs>
          <w:tab w:pos="8856" w:val="right" w:leader="dot"/>
        </w:tabs>
      </w:pPr>
      <w:hyperlink w:anchor="_NAESTMA_TOC_2532" w:history="1">
        <w:r>
          <w:rPr>
            <w:color w:val="466B7A"/>
          </w:rPr>
          <w:t>BE-42. Canadian Project Managers for U.S. Mine Expansions</w:t>
        </w:r>
      </w:hyperlink>
      <w:r>
        <w:tab/>
      </w:r>
      <w:r>
        <w:rPr>
          <w:rFonts w:ascii="Arial" w:hAnsi="Arial"/>
        </w:rPr>
        <w:t>1620</w:t>
      </w:r>
    </w:p>
    <w:p>
      <w:pPr>
        <w:pStyle w:val="TOC2"/>
        <w:widowControl/>
        <w:tabs>
          <w:tab w:pos="8856" w:val="right" w:leader="dot"/>
        </w:tabs>
      </w:pPr>
      <w:hyperlink w:anchor="_NAESTMA_TOC_2533" w:history="1">
        <w:r>
          <w:rPr>
            <w:color w:val="466B7A"/>
          </w:rPr>
          <w:t>BE-43. Mexican Technicians for Canadian Battery Plants</w:t>
        </w:r>
      </w:hyperlink>
      <w:r>
        <w:tab/>
      </w:r>
      <w:r>
        <w:rPr>
          <w:rFonts w:ascii="Arial" w:hAnsi="Arial"/>
        </w:rPr>
        <w:t>1620</w:t>
      </w:r>
    </w:p>
    <w:p>
      <w:pPr>
        <w:pStyle w:val="TOC2"/>
        <w:widowControl/>
        <w:tabs>
          <w:tab w:pos="8856" w:val="right" w:leader="dot"/>
        </w:tabs>
      </w:pPr>
      <w:hyperlink w:anchor="_NAESTMA_TOC_2534" w:history="1">
        <w:r>
          <w:rPr>
            <w:color w:val="466B7A"/>
          </w:rPr>
          <w:t>BE-44. Reciprocal Mine-Safety Inspector Exchange</w:t>
        </w:r>
      </w:hyperlink>
      <w:r>
        <w:tab/>
      </w:r>
      <w:r>
        <w:rPr>
          <w:rFonts w:ascii="Arial" w:hAnsi="Arial"/>
        </w:rPr>
        <w:t>1620</w:t>
      </w:r>
    </w:p>
    <w:p>
      <w:pPr>
        <w:pStyle w:val="TOC2"/>
        <w:widowControl/>
        <w:tabs>
          <w:tab w:pos="8856" w:val="right" w:leader="dot"/>
        </w:tabs>
      </w:pPr>
      <w:hyperlink w:anchor="_NAESTMA_TOC_2535" w:history="1">
        <w:r>
          <w:rPr>
            <w:color w:val="466B7A"/>
          </w:rPr>
          <w:t>BE-45. Canadian Researchers for U.S. National Labs</w:t>
        </w:r>
      </w:hyperlink>
      <w:r>
        <w:tab/>
      </w:r>
      <w:r>
        <w:rPr>
          <w:rFonts w:ascii="Arial" w:hAnsi="Arial"/>
        </w:rPr>
        <w:t>1620</w:t>
      </w:r>
    </w:p>
    <w:p>
      <w:pPr>
        <w:pStyle w:val="TOC2"/>
        <w:widowControl/>
        <w:tabs>
          <w:tab w:pos="8856" w:val="right" w:leader="dot"/>
        </w:tabs>
      </w:pPr>
      <w:hyperlink w:anchor="_NAESTMA_TOC_2536" w:history="1">
        <w:r>
          <w:rPr>
            <w:color w:val="466B7A"/>
          </w:rPr>
          <w:t>BE-46. Mexican Construction Workers for U.S. Refineries</w:t>
        </w:r>
      </w:hyperlink>
      <w:r>
        <w:tab/>
      </w:r>
      <w:r>
        <w:rPr>
          <w:rFonts w:ascii="Arial" w:hAnsi="Arial"/>
        </w:rPr>
        <w:t>1620</w:t>
      </w:r>
    </w:p>
    <w:p>
      <w:pPr>
        <w:pStyle w:val="TOC2"/>
        <w:widowControl/>
        <w:tabs>
          <w:tab w:pos="8856" w:val="right" w:leader="dot"/>
        </w:tabs>
      </w:pPr>
      <w:hyperlink w:anchor="_NAESTMA_TOC_2537" w:history="1">
        <w:r>
          <w:rPr>
            <w:color w:val="466B7A"/>
          </w:rPr>
          <w:t>BE-47. Tri-National Mining Workforce Exchange</w:t>
        </w:r>
      </w:hyperlink>
      <w:r>
        <w:tab/>
      </w:r>
      <w:r>
        <w:rPr>
          <w:rFonts w:ascii="Arial" w:hAnsi="Arial"/>
        </w:rPr>
        <w:t>1620</w:t>
      </w:r>
    </w:p>
    <w:p>
      <w:pPr>
        <w:pStyle w:val="TOC2"/>
        <w:widowControl/>
        <w:tabs>
          <w:tab w:pos="8856" w:val="right" w:leader="dot"/>
        </w:tabs>
      </w:pPr>
      <w:hyperlink w:anchor="_NAESTMA_TOC_2538" w:history="1">
        <w:r>
          <w:rPr>
            <w:color w:val="466B7A"/>
          </w:rPr>
          <w:t>BE-48. Voluntary Indigenous Professional Mobility and Procurement</w:t>
        </w:r>
      </w:hyperlink>
      <w:r>
        <w:tab/>
      </w:r>
      <w:r>
        <w:rPr>
          <w:rFonts w:ascii="Arial" w:hAnsi="Arial"/>
        </w:rPr>
        <w:t>1620</w:t>
      </w:r>
    </w:p>
    <w:p>
      <w:pPr>
        <w:pStyle w:val="TOC2"/>
        <w:widowControl/>
        <w:tabs>
          <w:tab w:pos="8856" w:val="right" w:leader="dot"/>
        </w:tabs>
      </w:pPr>
      <w:hyperlink w:anchor="_NAESTMA_TOC_2539" w:history="1">
        <w:r>
          <w:rPr>
            <w:color w:val="466B7A"/>
          </w:rPr>
          <w:t>BE-49. Women-in-Mining Opportunity Initiative</w:t>
        </w:r>
      </w:hyperlink>
      <w:r>
        <w:tab/>
      </w:r>
      <w:r>
        <w:rPr>
          <w:rFonts w:ascii="Arial" w:hAnsi="Arial"/>
        </w:rPr>
        <w:t>1620</w:t>
      </w:r>
    </w:p>
    <w:p>
      <w:pPr>
        <w:pStyle w:val="TOC2"/>
        <w:widowControl/>
        <w:tabs>
          <w:tab w:pos="8856" w:val="right" w:leader="dot"/>
        </w:tabs>
      </w:pPr>
      <w:hyperlink w:anchor="_NAESTMA_TOC_2540" w:history="1">
        <w:r>
          <w:rPr>
            <w:color w:val="466B7A"/>
          </w:rPr>
          <w:t>BE-50. Tri-National Processing Technician Certification</w:t>
        </w:r>
      </w:hyperlink>
      <w:r>
        <w:tab/>
      </w:r>
      <w:r>
        <w:rPr>
          <w:rFonts w:ascii="Arial" w:hAnsi="Arial"/>
        </w:rPr>
        <w:t>1620</w:t>
      </w:r>
    </w:p>
    <w:p>
      <w:pPr>
        <w:pStyle w:val="TOC2"/>
        <w:widowControl/>
        <w:tabs>
          <w:tab w:pos="8856" w:val="right" w:leader="dot"/>
        </w:tabs>
      </w:pPr>
      <w:hyperlink w:anchor="_NAESTMA_TOC_2541" w:history="1">
        <w:r>
          <w:rPr>
            <w:color w:val="466B7A"/>
          </w:rPr>
          <w:t>BE-51. Agricultural Security for State-Led Mexican Lithium Partnership</w:t>
        </w:r>
      </w:hyperlink>
      <w:r>
        <w:tab/>
      </w:r>
      <w:r>
        <w:rPr>
          <w:rFonts w:ascii="Arial" w:hAnsi="Arial"/>
        </w:rPr>
        <w:t>1620</w:t>
      </w:r>
    </w:p>
    <w:p>
      <w:pPr>
        <w:pStyle w:val="TOC2"/>
        <w:widowControl/>
        <w:tabs>
          <w:tab w:pos="8856" w:val="right" w:leader="dot"/>
        </w:tabs>
      </w:pPr>
      <w:hyperlink w:anchor="_NAESTMA_TOC_2542" w:history="1">
        <w:r>
          <w:rPr>
            <w:color w:val="466B7A"/>
          </w:rPr>
          <w:t>BE-52. U.S. Soybeans for Canadian Potash</w:t>
        </w:r>
      </w:hyperlink>
      <w:r>
        <w:tab/>
      </w:r>
      <w:r>
        <w:rPr>
          <w:rFonts w:ascii="Arial" w:hAnsi="Arial"/>
        </w:rPr>
        <w:t>1621</w:t>
      </w:r>
    </w:p>
    <w:p>
      <w:pPr>
        <w:pStyle w:val="TOC2"/>
        <w:widowControl/>
        <w:tabs>
          <w:tab w:pos="8856" w:val="right" w:leader="dot"/>
        </w:tabs>
      </w:pPr>
      <w:hyperlink w:anchor="_NAESTMA_TOC_2543" w:history="1">
        <w:r>
          <w:rPr>
            <w:color w:val="466B7A"/>
          </w:rPr>
          <w:t>BE-53. U.S. Pork for Mexican Copper</w:t>
        </w:r>
      </w:hyperlink>
      <w:r>
        <w:tab/>
      </w:r>
      <w:r>
        <w:rPr>
          <w:rFonts w:ascii="Arial" w:hAnsi="Arial"/>
        </w:rPr>
        <w:t>1621</w:t>
      </w:r>
    </w:p>
    <w:p>
      <w:pPr>
        <w:pStyle w:val="TOC2"/>
        <w:widowControl/>
        <w:tabs>
          <w:tab w:pos="8856" w:val="right" w:leader="dot"/>
        </w:tabs>
      </w:pPr>
      <w:hyperlink w:anchor="_NAESTMA_TOC_2544" w:history="1">
        <w:r>
          <w:rPr>
            <w:color w:val="466B7A"/>
          </w:rPr>
          <w:t>BE-54. U.S. Dairy for Canadian Nickel</w:t>
        </w:r>
      </w:hyperlink>
      <w:r>
        <w:tab/>
      </w:r>
      <w:r>
        <w:rPr>
          <w:rFonts w:ascii="Arial" w:hAnsi="Arial"/>
        </w:rPr>
        <w:t>1621</w:t>
      </w:r>
    </w:p>
    <w:p>
      <w:pPr>
        <w:pStyle w:val="TOC2"/>
        <w:widowControl/>
        <w:tabs>
          <w:tab w:pos="8856" w:val="right" w:leader="dot"/>
        </w:tabs>
      </w:pPr>
      <w:hyperlink w:anchor="_NAESTMA_TOC_2545" w:history="1">
        <w:r>
          <w:rPr>
            <w:color w:val="466B7A"/>
          </w:rPr>
          <w:t>BE-55. U.S. Wheat for Mexican Silver</w:t>
        </w:r>
      </w:hyperlink>
      <w:r>
        <w:tab/>
      </w:r>
      <w:r>
        <w:rPr>
          <w:rFonts w:ascii="Arial" w:hAnsi="Arial"/>
        </w:rPr>
        <w:t>1621</w:t>
      </w:r>
    </w:p>
    <w:p>
      <w:pPr>
        <w:pStyle w:val="TOC2"/>
        <w:widowControl/>
        <w:tabs>
          <w:tab w:pos="8856" w:val="right" w:leader="dot"/>
        </w:tabs>
      </w:pPr>
      <w:hyperlink w:anchor="_NAESTMA_TOC_2546" w:history="1">
        <w:r>
          <w:rPr>
            <w:color w:val="466B7A"/>
          </w:rPr>
          <w:t>BE-56. Canadian Canola for U.S. REEs</w:t>
        </w:r>
      </w:hyperlink>
      <w:r>
        <w:tab/>
      </w:r>
      <w:r>
        <w:rPr>
          <w:rFonts w:ascii="Arial" w:hAnsi="Arial"/>
        </w:rPr>
        <w:t>1621</w:t>
      </w:r>
    </w:p>
    <w:p>
      <w:pPr>
        <w:pStyle w:val="TOC2"/>
        <w:widowControl/>
        <w:tabs>
          <w:tab w:pos="8856" w:val="right" w:leader="dot"/>
        </w:tabs>
      </w:pPr>
      <w:hyperlink w:anchor="_NAESTMA_TOC_2547" w:history="1">
        <w:r>
          <w:rPr>
            <w:color w:val="466B7A"/>
          </w:rPr>
          <w:t>BE-57. U.S. Poultry for Mexican Zinc</w:t>
        </w:r>
      </w:hyperlink>
      <w:r>
        <w:tab/>
      </w:r>
      <w:r>
        <w:rPr>
          <w:rFonts w:ascii="Arial" w:hAnsi="Arial"/>
        </w:rPr>
        <w:t>1621</w:t>
      </w:r>
    </w:p>
    <w:p>
      <w:pPr>
        <w:pStyle w:val="TOC2"/>
        <w:widowControl/>
        <w:tabs>
          <w:tab w:pos="8856" w:val="right" w:leader="dot"/>
        </w:tabs>
      </w:pPr>
      <w:hyperlink w:anchor="_NAESTMA_TOC_2548" w:history="1">
        <w:r>
          <w:rPr>
            <w:color w:val="466B7A"/>
          </w:rPr>
          <w:t>BE-58. U.S. Beef for Canadian Uranium</w:t>
        </w:r>
      </w:hyperlink>
      <w:r>
        <w:tab/>
      </w:r>
      <w:r>
        <w:rPr>
          <w:rFonts w:ascii="Arial" w:hAnsi="Arial"/>
        </w:rPr>
        <w:t>1621</w:t>
      </w:r>
    </w:p>
    <w:p>
      <w:pPr>
        <w:pStyle w:val="TOC2"/>
        <w:widowControl/>
        <w:tabs>
          <w:tab w:pos="8856" w:val="right" w:leader="dot"/>
        </w:tabs>
      </w:pPr>
      <w:hyperlink w:anchor="_NAESTMA_TOC_2549" w:history="1">
        <w:r>
          <w:rPr>
            <w:color w:val="466B7A"/>
          </w:rPr>
          <w:t>BE-59. Mexican Avocados for U.S. Molybdenum</w:t>
        </w:r>
      </w:hyperlink>
      <w:r>
        <w:tab/>
      </w:r>
      <w:r>
        <w:rPr>
          <w:rFonts w:ascii="Arial" w:hAnsi="Arial"/>
        </w:rPr>
        <w:t>1621</w:t>
      </w:r>
    </w:p>
    <w:p>
      <w:pPr>
        <w:pStyle w:val="TOC2"/>
        <w:widowControl/>
        <w:tabs>
          <w:tab w:pos="8856" w:val="right" w:leader="dot"/>
        </w:tabs>
      </w:pPr>
      <w:hyperlink w:anchor="_NAESTMA_TOC_2550" w:history="1">
        <w:r>
          <w:rPr>
            <w:color w:val="466B7A"/>
          </w:rPr>
          <w:t>BE-60. Canadian Pork for U.S. Graphite</w:t>
        </w:r>
      </w:hyperlink>
      <w:r>
        <w:tab/>
      </w:r>
      <w:r>
        <w:rPr>
          <w:rFonts w:ascii="Arial" w:hAnsi="Arial"/>
        </w:rPr>
        <w:t>1621</w:t>
      </w:r>
    </w:p>
    <w:p>
      <w:pPr>
        <w:pStyle w:val="TOC2"/>
        <w:widowControl/>
        <w:tabs>
          <w:tab w:pos="8856" w:val="right" w:leader="dot"/>
        </w:tabs>
      </w:pPr>
      <w:hyperlink w:anchor="_NAESTMA_TOC_2551" w:history="1">
        <w:r>
          <w:rPr>
            <w:color w:val="466B7A"/>
          </w:rPr>
          <w:t>BE-61. U.S. Cotton for Mexican Fluorspar</w:t>
        </w:r>
      </w:hyperlink>
      <w:r>
        <w:tab/>
      </w:r>
      <w:r>
        <w:rPr>
          <w:rFonts w:ascii="Arial" w:hAnsi="Arial"/>
        </w:rPr>
        <w:t>1621</w:t>
      </w:r>
    </w:p>
    <w:p>
      <w:pPr>
        <w:pStyle w:val="TOC2"/>
        <w:widowControl/>
        <w:tabs>
          <w:tab w:pos="8856" w:val="right" w:leader="dot"/>
        </w:tabs>
      </w:pPr>
      <w:hyperlink w:anchor="_NAESTMA_TOC_2552" w:history="1">
        <w:r>
          <w:rPr>
            <w:color w:val="466B7A"/>
          </w:rPr>
          <w:t>BE-62. Canadian Wheat for U.S. Cobalt</w:t>
        </w:r>
      </w:hyperlink>
      <w:r>
        <w:tab/>
      </w:r>
      <w:r>
        <w:rPr>
          <w:rFonts w:ascii="Arial" w:hAnsi="Arial"/>
        </w:rPr>
        <w:t>1621</w:t>
      </w:r>
    </w:p>
    <w:p>
      <w:pPr>
        <w:pStyle w:val="TOC2"/>
        <w:widowControl/>
        <w:tabs>
          <w:tab w:pos="8856" w:val="right" w:leader="dot"/>
        </w:tabs>
      </w:pPr>
      <w:hyperlink w:anchor="_NAESTMA_TOC_2553" w:history="1">
        <w:r>
          <w:rPr>
            <w:color w:val="466B7A"/>
          </w:rPr>
          <w:t>BE-63. Mexican Tomatoes for Canadian Magnesium</w:t>
        </w:r>
      </w:hyperlink>
      <w:r>
        <w:tab/>
      </w:r>
      <w:r>
        <w:rPr>
          <w:rFonts w:ascii="Arial" w:hAnsi="Arial"/>
        </w:rPr>
        <w:t>1622</w:t>
      </w:r>
    </w:p>
    <w:p>
      <w:pPr>
        <w:pStyle w:val="TOC2"/>
        <w:widowControl/>
        <w:tabs>
          <w:tab w:pos="8856" w:val="right" w:leader="dot"/>
        </w:tabs>
      </w:pPr>
      <w:hyperlink w:anchor="_NAESTMA_TOC_2554" w:history="1">
        <w:r>
          <w:rPr>
            <w:color w:val="466B7A"/>
          </w:rPr>
          <w:t>BE-64. U.S. Rice for Mexican Barite</w:t>
        </w:r>
      </w:hyperlink>
      <w:r>
        <w:tab/>
      </w:r>
      <w:r>
        <w:rPr>
          <w:rFonts w:ascii="Arial" w:hAnsi="Arial"/>
        </w:rPr>
        <w:t>1622</w:t>
      </w:r>
    </w:p>
    <w:p>
      <w:pPr>
        <w:pStyle w:val="TOC2"/>
        <w:widowControl/>
        <w:tabs>
          <w:tab w:pos="8856" w:val="right" w:leader="dot"/>
        </w:tabs>
      </w:pPr>
      <w:hyperlink w:anchor="_NAESTMA_TOC_2555" w:history="1">
        <w:r>
          <w:rPr>
            <w:color w:val="466B7A"/>
          </w:rPr>
          <w:t>BE-65. Ag-Mineral Reciprocal Supply Security Facility</w:t>
        </w:r>
      </w:hyperlink>
      <w:r>
        <w:tab/>
      </w:r>
      <w:r>
        <w:rPr>
          <w:rFonts w:ascii="Arial" w:hAnsi="Arial"/>
        </w:rPr>
        <w:t>1622</w:t>
      </w:r>
    </w:p>
    <w:p>
      <w:pPr>
        <w:pStyle w:val="TOC2"/>
        <w:widowControl/>
        <w:tabs>
          <w:tab w:pos="8856" w:val="right" w:leader="dot"/>
        </w:tabs>
      </w:pPr>
      <w:hyperlink w:anchor="_NAESTMA_TOC_2556" w:history="1">
        <w:r>
          <w:rPr>
            <w:color w:val="466B7A"/>
          </w:rPr>
          <w:t>BE-66. U.S. Port Investment for Mexican Copper</w:t>
        </w:r>
      </w:hyperlink>
      <w:r>
        <w:tab/>
      </w:r>
      <w:r>
        <w:rPr>
          <w:rFonts w:ascii="Arial" w:hAnsi="Arial"/>
        </w:rPr>
        <w:t>1622</w:t>
      </w:r>
    </w:p>
    <w:p>
      <w:pPr>
        <w:pStyle w:val="TOC2"/>
        <w:widowControl/>
        <w:tabs>
          <w:tab w:pos="8856" w:val="right" w:leader="dot"/>
        </w:tabs>
      </w:pPr>
      <w:hyperlink w:anchor="_NAESTMA_TOC_2557" w:history="1">
        <w:r>
          <w:rPr>
            <w:color w:val="466B7A"/>
          </w:rPr>
          <w:t>BE-67. Canadian Rail Investment for U.S. REEs</w:t>
        </w:r>
      </w:hyperlink>
      <w:r>
        <w:tab/>
      </w:r>
      <w:r>
        <w:rPr>
          <w:rFonts w:ascii="Arial" w:hAnsi="Arial"/>
        </w:rPr>
        <w:t>1622</w:t>
      </w:r>
    </w:p>
    <w:p>
      <w:pPr>
        <w:pStyle w:val="TOC2"/>
        <w:widowControl/>
        <w:tabs>
          <w:tab w:pos="8856" w:val="right" w:leader="dot"/>
        </w:tabs>
      </w:pPr>
      <w:hyperlink w:anchor="_NAESTMA_TOC_2558" w:history="1">
        <w:r>
          <w:rPr>
            <w:color w:val="466B7A"/>
          </w:rPr>
          <w:t>BE-68. U.S. Highway Investment for Mexican Silver</w:t>
        </w:r>
      </w:hyperlink>
      <w:r>
        <w:tab/>
      </w:r>
      <w:r>
        <w:rPr>
          <w:rFonts w:ascii="Arial" w:hAnsi="Arial"/>
        </w:rPr>
        <w:t>1622</w:t>
      </w:r>
    </w:p>
    <w:p>
      <w:pPr>
        <w:pStyle w:val="TOC2"/>
        <w:widowControl/>
        <w:tabs>
          <w:tab w:pos="8856" w:val="right" w:leader="dot"/>
        </w:tabs>
      </w:pPr>
      <w:hyperlink w:anchor="_NAESTMA_TOC_2559" w:history="1">
        <w:r>
          <w:rPr>
            <w:color w:val="466B7A"/>
          </w:rPr>
          <w:t>BE-69. Canadian Port Investment for Mexican Zinc</w:t>
        </w:r>
      </w:hyperlink>
      <w:r>
        <w:tab/>
      </w:r>
      <w:r>
        <w:rPr>
          <w:rFonts w:ascii="Arial" w:hAnsi="Arial"/>
        </w:rPr>
        <w:t>1622</w:t>
      </w:r>
    </w:p>
    <w:p>
      <w:pPr>
        <w:pStyle w:val="TOC2"/>
        <w:widowControl/>
        <w:tabs>
          <w:tab w:pos="8856" w:val="right" w:leader="dot"/>
        </w:tabs>
      </w:pPr>
      <w:hyperlink w:anchor="_NAESTMA_TOC_2560" w:history="1">
        <w:r>
          <w:rPr>
            <w:color w:val="466B7A"/>
          </w:rPr>
          <w:t>BE-70. U.S. Power Grid Investment for Canadian Nickel</w:t>
        </w:r>
      </w:hyperlink>
      <w:r>
        <w:tab/>
      </w:r>
      <w:r>
        <w:rPr>
          <w:rFonts w:ascii="Arial" w:hAnsi="Arial"/>
        </w:rPr>
        <w:t>1622</w:t>
      </w:r>
    </w:p>
    <w:p>
      <w:pPr>
        <w:pStyle w:val="TOC2"/>
        <w:widowControl/>
        <w:tabs>
          <w:tab w:pos="8856" w:val="right" w:leader="dot"/>
        </w:tabs>
      </w:pPr>
      <w:hyperlink w:anchor="_NAESTMA_TOC_2561" w:history="1">
        <w:r>
          <w:rPr>
            <w:color w:val="466B7A"/>
          </w:rPr>
          <w:t>BE-71. Tri-National Processing Corridor Investment</w:t>
        </w:r>
      </w:hyperlink>
      <w:r>
        <w:tab/>
      </w:r>
      <w:r>
        <w:rPr>
          <w:rFonts w:ascii="Arial" w:hAnsi="Arial"/>
        </w:rPr>
        <w:t>1622</w:t>
      </w:r>
    </w:p>
    <w:p>
      <w:pPr>
        <w:pStyle w:val="TOC2"/>
        <w:widowControl/>
        <w:tabs>
          <w:tab w:pos="8856" w:val="right" w:leader="dot"/>
        </w:tabs>
      </w:pPr>
      <w:hyperlink w:anchor="_NAESTMA_TOC_2562" w:history="1">
        <w:r>
          <w:rPr>
            <w:color w:val="466B7A"/>
          </w:rPr>
          <w:t>BE-72. Water-Recycling Infrastructure for State-Led Mexican Lithium</w:t>
        </w:r>
      </w:hyperlink>
      <w:r>
        <w:tab/>
      </w:r>
      <w:r>
        <w:rPr>
          <w:rFonts w:ascii="Arial" w:hAnsi="Arial"/>
        </w:rPr>
        <w:t>1622</w:t>
      </w:r>
    </w:p>
    <w:p>
      <w:pPr>
        <w:pStyle w:val="TOC2"/>
        <w:widowControl/>
        <w:tabs>
          <w:tab w:pos="8856" w:val="right" w:leader="dot"/>
        </w:tabs>
      </w:pPr>
      <w:hyperlink w:anchor="_NAESTMA_TOC_2563" w:history="1">
        <w:r>
          <w:rPr>
            <w:color w:val="466B7A"/>
          </w:rPr>
          <w:t>BE-73. Canadian Telecom Investment for U.S. Graphite</w:t>
        </w:r>
      </w:hyperlink>
      <w:r>
        <w:tab/>
      </w:r>
      <w:r>
        <w:rPr>
          <w:rFonts w:ascii="Arial" w:hAnsi="Arial"/>
        </w:rPr>
        <w:t>1622</w:t>
      </w:r>
    </w:p>
    <w:p>
      <w:pPr>
        <w:pStyle w:val="TOC2"/>
        <w:widowControl/>
        <w:tabs>
          <w:tab w:pos="8856" w:val="right" w:leader="dot"/>
        </w:tabs>
      </w:pPr>
      <w:hyperlink w:anchor="_NAESTMA_TOC_2564" w:history="1">
        <w:r>
          <w:rPr>
            <w:color w:val="466B7A"/>
          </w:rPr>
          <w:t>BE-74. U.S. Industrial Park Investment in Mexico</w:t>
        </w:r>
      </w:hyperlink>
      <w:r>
        <w:tab/>
      </w:r>
      <w:r>
        <w:rPr>
          <w:rFonts w:ascii="Arial" w:hAnsi="Arial"/>
        </w:rPr>
        <w:t>1623</w:t>
      </w:r>
    </w:p>
    <w:p>
      <w:pPr>
        <w:pStyle w:val="TOC2"/>
        <w:widowControl/>
        <w:tabs>
          <w:tab w:pos="8856" w:val="right" w:leader="dot"/>
        </w:tabs>
      </w:pPr>
      <w:hyperlink w:anchor="_NAESTMA_TOC_2565" w:history="1">
        <w:r>
          <w:rPr>
            <w:color w:val="466B7A"/>
          </w:rPr>
          <w:t>BE-75. Border Infrastructure for Reciprocal Mineral Investment Facilitation</w:t>
        </w:r>
      </w:hyperlink>
      <w:r>
        <w:tab/>
      </w:r>
      <w:r>
        <w:rPr>
          <w:rFonts w:ascii="Arial" w:hAnsi="Arial"/>
        </w:rPr>
        <w:t>1623</w:t>
      </w:r>
    </w:p>
    <w:p>
      <w:pPr>
        <w:pStyle w:val="TOC2"/>
        <w:widowControl/>
        <w:tabs>
          <w:tab w:pos="8856" w:val="right" w:leader="dot"/>
        </w:tabs>
      </w:pPr>
      <w:hyperlink w:anchor="_NAESTMA_TOC_2566" w:history="1">
        <w:r>
          <w:rPr>
            <w:color w:val="466B7A"/>
          </w:rPr>
          <w:t>BE-76. U.S. Railway Investment for Canadian Potash</w:t>
        </w:r>
      </w:hyperlink>
      <w:r>
        <w:tab/>
      </w:r>
      <w:r>
        <w:rPr>
          <w:rFonts w:ascii="Arial" w:hAnsi="Arial"/>
        </w:rPr>
        <w:t>1623</w:t>
      </w:r>
    </w:p>
    <w:p>
      <w:pPr>
        <w:pStyle w:val="TOC2"/>
        <w:widowControl/>
        <w:tabs>
          <w:tab w:pos="8856" w:val="right" w:leader="dot"/>
        </w:tabs>
      </w:pPr>
      <w:hyperlink w:anchor="_NAESTMA_TOC_2567" w:history="1">
        <w:r>
          <w:rPr>
            <w:color w:val="466B7A"/>
          </w:rPr>
          <w:t>BE-77. Tri-National Tailings Infrastructure Fund</w:t>
        </w:r>
      </w:hyperlink>
      <w:r>
        <w:tab/>
      </w:r>
      <w:r>
        <w:rPr>
          <w:rFonts w:ascii="Arial" w:hAnsi="Arial"/>
        </w:rPr>
        <w:t>1623</w:t>
      </w:r>
    </w:p>
    <w:p>
      <w:pPr>
        <w:pStyle w:val="TOC2"/>
        <w:widowControl/>
        <w:tabs>
          <w:tab w:pos="8856" w:val="right" w:leader="dot"/>
        </w:tabs>
      </w:pPr>
      <w:hyperlink w:anchor="_NAESTMA_TOC_2568" w:history="1">
        <w:r>
          <w:rPr>
            <w:color w:val="466B7A"/>
          </w:rPr>
          <w:t>BE-78. U.S. Border Infrastructure for Mexican Auto Parts</w:t>
        </w:r>
      </w:hyperlink>
      <w:r>
        <w:tab/>
      </w:r>
      <w:r>
        <w:rPr>
          <w:rFonts w:ascii="Arial" w:hAnsi="Arial"/>
        </w:rPr>
        <w:t>1623</w:t>
      </w:r>
    </w:p>
    <w:p>
      <w:pPr>
        <w:pStyle w:val="TOC2"/>
        <w:widowControl/>
        <w:tabs>
          <w:tab w:pos="8856" w:val="right" w:leader="dot"/>
        </w:tabs>
      </w:pPr>
      <w:hyperlink w:anchor="_NAESTMA_TOC_2569" w:history="1">
        <w:r>
          <w:rPr>
            <w:color w:val="466B7A"/>
          </w:rPr>
          <w:t>BE-79. Canadian Energy Infrastructure for U.S. Processing</w:t>
        </w:r>
      </w:hyperlink>
      <w:r>
        <w:tab/>
      </w:r>
      <w:r>
        <w:rPr>
          <w:rFonts w:ascii="Arial" w:hAnsi="Arial"/>
        </w:rPr>
        <w:t>1623</w:t>
      </w:r>
    </w:p>
    <w:p>
      <w:pPr>
        <w:pStyle w:val="TOC2"/>
        <w:widowControl/>
        <w:tabs>
          <w:tab w:pos="8856" w:val="right" w:leader="dot"/>
        </w:tabs>
      </w:pPr>
      <w:hyperlink w:anchor="_NAESTMA_TOC_2570" w:history="1">
        <w:r>
          <w:rPr>
            <w:color w:val="466B7A"/>
          </w:rPr>
          <w:t>BE-80. Mexican Logistics Hub for Tri-National Minerals</w:t>
        </w:r>
      </w:hyperlink>
      <w:r>
        <w:tab/>
      </w:r>
      <w:r>
        <w:rPr>
          <w:rFonts w:ascii="Arial" w:hAnsi="Arial"/>
        </w:rPr>
        <w:t>1623</w:t>
      </w:r>
    </w:p>
    <w:p>
      <w:pPr>
        <w:pStyle w:val="TOC2"/>
        <w:widowControl/>
        <w:tabs>
          <w:tab w:pos="8856" w:val="right" w:leader="dot"/>
        </w:tabs>
      </w:pPr>
      <w:hyperlink w:anchor="_NAESTMA_TOC_2571" w:history="1">
        <w:r>
          <w:rPr>
            <w:color w:val="466B7A"/>
          </w:rPr>
          <w:t>BE-81. Licensed Processing Technology for Mexican Lithium Partnership</w:t>
        </w:r>
      </w:hyperlink>
      <w:r>
        <w:tab/>
      </w:r>
      <w:r>
        <w:rPr>
          <w:rFonts w:ascii="Arial" w:hAnsi="Arial"/>
        </w:rPr>
        <w:t>1623</w:t>
      </w:r>
    </w:p>
    <w:p>
      <w:pPr>
        <w:pStyle w:val="TOC2"/>
        <w:widowControl/>
        <w:tabs>
          <w:tab w:pos="8856" w:val="right" w:leader="dot"/>
        </w:tabs>
      </w:pPr>
      <w:hyperlink w:anchor="_NAESTMA_TOC_2572" w:history="1">
        <w:r>
          <w:rPr>
            <w:color w:val="466B7A"/>
          </w:rPr>
          <w:t>BE-82. Canadian DLE Tech for U.S. Lithium Brines</w:t>
        </w:r>
      </w:hyperlink>
      <w:r>
        <w:tab/>
      </w:r>
      <w:r>
        <w:rPr>
          <w:rFonts w:ascii="Arial" w:hAnsi="Arial"/>
        </w:rPr>
        <w:t>1623</w:t>
      </w:r>
    </w:p>
    <w:p>
      <w:pPr>
        <w:pStyle w:val="TOC2"/>
        <w:widowControl/>
        <w:tabs>
          <w:tab w:pos="8856" w:val="right" w:leader="dot"/>
        </w:tabs>
      </w:pPr>
      <w:hyperlink w:anchor="_NAESTMA_TOC_2573" w:history="1">
        <w:r>
          <w:rPr>
            <w:color w:val="466B7A"/>
          </w:rPr>
          <w:t>BE-83. Mexican Alkaline Leaching for U.S. Arsenic Removal</w:t>
        </w:r>
      </w:hyperlink>
      <w:r>
        <w:tab/>
      </w:r>
      <w:r>
        <w:rPr>
          <w:rFonts w:ascii="Arial" w:hAnsi="Arial"/>
        </w:rPr>
        <w:t>1623</w:t>
      </w:r>
    </w:p>
    <w:p>
      <w:pPr>
        <w:pStyle w:val="TOC2"/>
        <w:widowControl/>
        <w:tabs>
          <w:tab w:pos="8856" w:val="right" w:leader="dot"/>
        </w:tabs>
      </w:pPr>
      <w:hyperlink w:anchor="_NAESTMA_TOC_2574" w:history="1">
        <w:r>
          <w:rPr>
            <w:color w:val="466B7A"/>
          </w:rPr>
          <w:t>BE-84. U.S. HPSA Tech for Canadian Tailings</w:t>
        </w:r>
      </w:hyperlink>
      <w:r>
        <w:tab/>
      </w:r>
      <w:r>
        <w:rPr>
          <w:rFonts w:ascii="Arial" w:hAnsi="Arial"/>
        </w:rPr>
        <w:t>1623</w:t>
      </w:r>
    </w:p>
    <w:p>
      <w:pPr>
        <w:pStyle w:val="TOC2"/>
        <w:widowControl/>
        <w:tabs>
          <w:tab w:pos="8856" w:val="right" w:leader="dot"/>
        </w:tabs>
      </w:pPr>
      <w:hyperlink w:anchor="_NAESTMA_TOC_2575" w:history="1">
        <w:r>
          <w:rPr>
            <w:color w:val="466B7A"/>
          </w:rPr>
          <w:t>BE-85. Canadian Bioleaching Tech for Mexican Tailings</w:t>
        </w:r>
      </w:hyperlink>
      <w:r>
        <w:tab/>
      </w:r>
      <w:r>
        <w:rPr>
          <w:rFonts w:ascii="Arial" w:hAnsi="Arial"/>
        </w:rPr>
        <w:t>1624</w:t>
      </w:r>
    </w:p>
    <w:p>
      <w:pPr>
        <w:pStyle w:val="TOC2"/>
        <w:widowControl/>
        <w:tabs>
          <w:tab w:pos="8856" w:val="right" w:leader="dot"/>
        </w:tabs>
      </w:pPr>
      <w:hyperlink w:anchor="_NAESTMA_TOC_2576" w:history="1">
        <w:r>
          <w:rPr>
            <w:color w:val="466B7A"/>
          </w:rPr>
          <w:t>BE-86. U.S. Flotation Tech for Canadian PGM Tailings</w:t>
        </w:r>
      </w:hyperlink>
      <w:r>
        <w:tab/>
      </w:r>
      <w:r>
        <w:rPr>
          <w:rFonts w:ascii="Arial" w:hAnsi="Arial"/>
        </w:rPr>
        <w:t>1624</w:t>
      </w:r>
    </w:p>
    <w:p>
      <w:pPr>
        <w:pStyle w:val="TOC2"/>
        <w:widowControl/>
        <w:tabs>
          <w:tab w:pos="8856" w:val="right" w:leader="dot"/>
        </w:tabs>
      </w:pPr>
      <w:hyperlink w:anchor="_NAESTMA_TOC_2577" w:history="1">
        <w:r>
          <w:rPr>
            <w:color w:val="466B7A"/>
          </w:rPr>
          <w:t>BE-87. Mexican Vitrification Tech for U.S. Hazardous Tailings</w:t>
        </w:r>
      </w:hyperlink>
      <w:r>
        <w:tab/>
      </w:r>
      <w:r>
        <w:rPr>
          <w:rFonts w:ascii="Arial" w:hAnsi="Arial"/>
        </w:rPr>
        <w:t>1624</w:t>
      </w:r>
    </w:p>
    <w:p>
      <w:pPr>
        <w:pStyle w:val="TOC2"/>
        <w:widowControl/>
        <w:tabs>
          <w:tab w:pos="8856" w:val="right" w:leader="dot"/>
        </w:tabs>
      </w:pPr>
      <w:hyperlink w:anchor="_NAESTMA_TOC_2578" w:history="1">
        <w:r>
          <w:rPr>
            <w:color w:val="466B7A"/>
          </w:rPr>
          <w:t>BE-88. U.S. Quantum Sensing for Canadian Exploration</w:t>
        </w:r>
      </w:hyperlink>
      <w:r>
        <w:tab/>
      </w:r>
      <w:r>
        <w:rPr>
          <w:rFonts w:ascii="Arial" w:hAnsi="Arial"/>
        </w:rPr>
        <w:t>1624</w:t>
      </w:r>
    </w:p>
    <w:p>
      <w:pPr>
        <w:pStyle w:val="TOC2"/>
        <w:widowControl/>
        <w:tabs>
          <w:tab w:pos="8856" w:val="right" w:leader="dot"/>
        </w:tabs>
      </w:pPr>
      <w:hyperlink w:anchor="_NAESTMA_TOC_2579" w:history="1">
        <w:r>
          <w:rPr>
            <w:color w:val="466B7A"/>
          </w:rPr>
          <w:t>BE-89. Canadian Ion Exchange Tech for U.S. Water Treatment</w:t>
        </w:r>
      </w:hyperlink>
      <w:r>
        <w:tab/>
      </w:r>
      <w:r>
        <w:rPr>
          <w:rFonts w:ascii="Arial" w:hAnsi="Arial"/>
        </w:rPr>
        <w:t>1624</w:t>
      </w:r>
    </w:p>
    <w:p>
      <w:pPr>
        <w:pStyle w:val="TOC2"/>
        <w:widowControl/>
        <w:tabs>
          <w:tab w:pos="8856" w:val="right" w:leader="dot"/>
        </w:tabs>
      </w:pPr>
      <w:hyperlink w:anchor="_NAESTMA_TOC_2580" w:history="1">
        <w:r>
          <w:rPr>
            <w:color w:val="466B7A"/>
          </w:rPr>
          <w:t>BE-90. U.S. Machine Learning for Mexican Processing</w:t>
        </w:r>
      </w:hyperlink>
      <w:r>
        <w:tab/>
      </w:r>
      <w:r>
        <w:rPr>
          <w:rFonts w:ascii="Arial" w:hAnsi="Arial"/>
        </w:rPr>
        <w:t>1624</w:t>
      </w:r>
    </w:p>
    <w:p>
      <w:pPr>
        <w:pStyle w:val="TOC2"/>
        <w:widowControl/>
        <w:tabs>
          <w:tab w:pos="8856" w:val="right" w:leader="dot"/>
        </w:tabs>
      </w:pPr>
      <w:hyperlink w:anchor="_NAESTMA_TOC_2581" w:history="1">
        <w:r>
          <w:rPr>
            <w:color w:val="466B7A"/>
          </w:rPr>
          <w:t>BE-91. Canadian Synthetic Biology for U.S. REE Recovery</w:t>
        </w:r>
      </w:hyperlink>
      <w:r>
        <w:tab/>
      </w:r>
      <w:r>
        <w:rPr>
          <w:rFonts w:ascii="Arial" w:hAnsi="Arial"/>
        </w:rPr>
        <w:t>1624</w:t>
      </w:r>
    </w:p>
    <w:p>
      <w:pPr>
        <w:pStyle w:val="TOC2"/>
        <w:widowControl/>
        <w:tabs>
          <w:tab w:pos="8856" w:val="right" w:leader="dot"/>
        </w:tabs>
      </w:pPr>
      <w:hyperlink w:anchor="_NAESTMA_TOC_2582" w:history="1">
        <w:r>
          <w:rPr>
            <w:color w:val="466B7A"/>
          </w:rPr>
          <w:t>BE-92. Mexican Gravity Separation for U.S. Fine Minerals</w:t>
        </w:r>
      </w:hyperlink>
      <w:r>
        <w:tab/>
      </w:r>
      <w:r>
        <w:rPr>
          <w:rFonts w:ascii="Arial" w:hAnsi="Arial"/>
        </w:rPr>
        <w:t>1624</w:t>
      </w:r>
    </w:p>
    <w:p>
      <w:pPr>
        <w:pStyle w:val="TOC2"/>
        <w:widowControl/>
        <w:tabs>
          <w:tab w:pos="8856" w:val="right" w:leader="dot"/>
        </w:tabs>
      </w:pPr>
      <w:hyperlink w:anchor="_NAESTMA_TOC_2583" w:history="1">
        <w:r>
          <w:rPr>
            <w:color w:val="466B7A"/>
          </w:rPr>
          <w:t>BE-93. Reciprocal Processing-Equipment Market Access</w:t>
        </w:r>
      </w:hyperlink>
      <w:r>
        <w:tab/>
      </w:r>
      <w:r>
        <w:rPr>
          <w:rFonts w:ascii="Arial" w:hAnsi="Arial"/>
        </w:rPr>
        <w:t>1624</w:t>
      </w:r>
    </w:p>
    <w:p>
      <w:pPr>
        <w:pStyle w:val="TOC2"/>
        <w:widowControl/>
        <w:tabs>
          <w:tab w:pos="8856" w:val="right" w:leader="dot"/>
        </w:tabs>
      </w:pPr>
      <w:hyperlink w:anchor="_NAESTMA_TOC_2584" w:history="1">
        <w:r>
          <w:rPr>
            <w:color w:val="466B7A"/>
          </w:rPr>
          <w:t>BE-94. Technology Cooperation for State-Led Mexican Lithium Processing</w:t>
        </w:r>
      </w:hyperlink>
      <w:r>
        <w:tab/>
      </w:r>
      <w:r>
        <w:rPr>
          <w:rFonts w:ascii="Arial" w:hAnsi="Arial"/>
        </w:rPr>
        <w:t>1624</w:t>
      </w:r>
    </w:p>
    <w:p>
      <w:pPr>
        <w:pStyle w:val="TOC2"/>
        <w:widowControl/>
        <w:tabs>
          <w:tab w:pos="8856" w:val="right" w:leader="dot"/>
        </w:tabs>
      </w:pPr>
      <w:hyperlink w:anchor="_NAESTMA_TOC_2585" w:history="1">
        <w:r>
          <w:rPr>
            <w:color w:val="466B7A"/>
          </w:rPr>
          <w:t>BE-95. Voluntary Mineral Technology Licensing Marketplace</w:t>
        </w:r>
      </w:hyperlink>
      <w:r>
        <w:tab/>
      </w:r>
      <w:r>
        <w:rPr>
          <w:rFonts w:ascii="Arial" w:hAnsi="Arial"/>
        </w:rPr>
        <w:t>1624</w:t>
      </w:r>
    </w:p>
    <w:p>
      <w:pPr>
        <w:pStyle w:val="TOC2"/>
        <w:widowControl/>
        <w:tabs>
          <w:tab w:pos="8856" w:val="right" w:leader="dot"/>
        </w:tabs>
      </w:pPr>
      <w:hyperlink w:anchor="_NAESTMA_TOC_2586" w:history="1">
        <w:r>
          <w:rPr>
            <w:color w:val="466B7A"/>
          </w:rPr>
          <w:t>BE-96. Trusted Defense-Mineral Offtake with Allied Safe Harbours</w:t>
        </w:r>
      </w:hyperlink>
      <w:r>
        <w:tab/>
      </w:r>
      <w:r>
        <w:rPr>
          <w:rFonts w:ascii="Arial" w:hAnsi="Arial"/>
        </w:rPr>
        <w:t>1625</w:t>
      </w:r>
    </w:p>
    <w:p>
      <w:pPr>
        <w:pStyle w:val="TOC2"/>
        <w:widowControl/>
        <w:tabs>
          <w:tab w:pos="8856" w:val="right" w:leader="dot"/>
        </w:tabs>
      </w:pPr>
      <w:hyperlink w:anchor="_NAESTMA_TOC_2587" w:history="1">
        <w:r>
          <w:rPr>
            <w:color w:val="466B7A"/>
          </w:rPr>
          <w:t>BE-97. Trilateral Critical-Infrastructure Security for Mineral Continuity</w:t>
        </w:r>
      </w:hyperlink>
      <w:r>
        <w:tab/>
      </w:r>
      <w:r>
        <w:rPr>
          <w:rFonts w:ascii="Arial" w:hAnsi="Arial"/>
        </w:rPr>
        <w:t>1625</w:t>
      </w:r>
    </w:p>
    <w:p>
      <w:pPr>
        <w:pStyle w:val="TOC2"/>
        <w:widowControl/>
        <w:tabs>
          <w:tab w:pos="8856" w:val="right" w:leader="dot"/>
        </w:tabs>
      </w:pPr>
      <w:hyperlink w:anchor="_NAESTMA_TOC_2588" w:history="1">
        <w:r>
          <w:rPr>
            <w:color w:val="466B7A"/>
          </w:rPr>
          <w:t>BE-98. Separate Defense Training and Nuclear-Fuel Security Tracks</w:t>
        </w:r>
      </w:hyperlink>
      <w:r>
        <w:tab/>
      </w:r>
      <w:r>
        <w:rPr>
          <w:rFonts w:ascii="Arial" w:hAnsi="Arial"/>
        </w:rPr>
        <w:t>1625</w:t>
      </w:r>
    </w:p>
    <w:p>
      <w:pPr>
        <w:pStyle w:val="TOC2"/>
        <w:widowControl/>
        <w:tabs>
          <w:tab w:pos="8856" w:val="right" w:leader="dot"/>
        </w:tabs>
      </w:pPr>
      <w:hyperlink w:anchor="_NAESTMA_TOC_2589" w:history="1">
        <w:r>
          <w:rPr>
            <w:color w:val="466B7A"/>
          </w:rPr>
          <w:t>BE-99. Emergency Continental Mineral Supply Guarantee</w:t>
        </w:r>
      </w:hyperlink>
      <w:r>
        <w:tab/>
      </w:r>
      <w:r>
        <w:rPr>
          <w:rFonts w:ascii="Arial" w:hAnsi="Arial"/>
        </w:rPr>
        <w:t>1625</w:t>
      </w:r>
    </w:p>
    <w:p>
      <w:pPr>
        <w:pStyle w:val="TOC2"/>
        <w:widowControl/>
        <w:tabs>
          <w:tab w:pos="8856" w:val="right" w:leader="dot"/>
        </w:tabs>
      </w:pPr>
      <w:hyperlink w:anchor="_NAESTMA_TOC_2590" w:history="1">
        <w:r>
          <w:rPr>
            <w:color w:val="466B7A"/>
          </w:rPr>
          <w:t>BE-100. Coordinated Export-Control Screening Under Domestic Law</w:t>
        </w:r>
      </w:hyperlink>
      <w:r>
        <w:tab/>
      </w:r>
      <w:r>
        <w:rPr>
          <w:rFonts w:ascii="Arial" w:hAnsi="Arial"/>
        </w:rPr>
        <w:t>1625</w:t>
      </w:r>
    </w:p>
    <w:p>
      <w:pPr>
        <w:pStyle w:val="TOC2"/>
        <w:widowControl/>
        <w:tabs>
          <w:tab w:pos="8856" w:val="right" w:leader="dot"/>
        </w:tabs>
      </w:pPr>
      <w:hyperlink w:anchor="_NAESTMA_TOC_2591" w:history="1">
        <w:r>
          <w:rPr>
            <w:color w:val="466B7A"/>
          </w:rPr>
          <w:t>BE-101. Canadian Intelligence Sharing for U.S. Graphite</w:t>
        </w:r>
      </w:hyperlink>
      <w:r>
        <w:tab/>
      </w:r>
      <w:r>
        <w:rPr>
          <w:rFonts w:ascii="Arial" w:hAnsi="Arial"/>
        </w:rPr>
        <w:t>1625</w:t>
      </w:r>
    </w:p>
    <w:p>
      <w:pPr>
        <w:pStyle w:val="TOC2"/>
        <w:widowControl/>
        <w:tabs>
          <w:tab w:pos="8856" w:val="right" w:leader="dot"/>
        </w:tabs>
      </w:pPr>
      <w:hyperlink w:anchor="_NAESTMA_TOC_2592" w:history="1">
        <w:r>
          <w:rPr>
            <w:color w:val="466B7A"/>
          </w:rPr>
          <w:t>BE-102. U.S.-Mexico Border Security for Copper Supply</w:t>
        </w:r>
      </w:hyperlink>
      <w:r>
        <w:tab/>
      </w:r>
      <w:r>
        <w:rPr>
          <w:rFonts w:ascii="Arial" w:hAnsi="Arial"/>
        </w:rPr>
        <w:t>1625</w:t>
      </w:r>
    </w:p>
    <w:p>
      <w:pPr>
        <w:pStyle w:val="TOC2"/>
        <w:widowControl/>
        <w:tabs>
          <w:tab w:pos="8856" w:val="right" w:leader="dot"/>
        </w:tabs>
      </w:pPr>
      <w:hyperlink w:anchor="_NAESTMA_TOC_2593" w:history="1">
        <w:r>
          <w:rPr>
            <w:color w:val="466B7A"/>
          </w:rPr>
          <w:t>BE-103. Tri-National Critical Minerals Reserve</w:t>
        </w:r>
      </w:hyperlink>
      <w:r>
        <w:tab/>
      </w:r>
      <w:r>
        <w:rPr>
          <w:rFonts w:ascii="Arial" w:hAnsi="Arial"/>
        </w:rPr>
        <w:t>1625</w:t>
      </w:r>
    </w:p>
    <w:p>
      <w:pPr>
        <w:pStyle w:val="TOC2"/>
        <w:widowControl/>
        <w:tabs>
          <w:tab w:pos="8856" w:val="right" w:leader="dot"/>
        </w:tabs>
      </w:pPr>
      <w:hyperlink w:anchor="_NAESTMA_TOC_2594" w:history="1">
        <w:r>
          <w:rPr>
            <w:color w:val="466B7A"/>
          </w:rPr>
          <w:t>BE-104. Trusted-Investment Screening and Anti-Coercion Cooperation</w:t>
        </w:r>
      </w:hyperlink>
      <w:r>
        <w:tab/>
      </w:r>
      <w:r>
        <w:rPr>
          <w:rFonts w:ascii="Arial" w:hAnsi="Arial"/>
        </w:rPr>
        <w:t>1625</w:t>
      </w:r>
    </w:p>
    <w:p>
      <w:pPr>
        <w:pStyle w:val="TOC2"/>
        <w:widowControl/>
        <w:tabs>
          <w:tab w:pos="8856" w:val="right" w:leader="dot"/>
        </w:tabs>
      </w:pPr>
      <w:hyperlink w:anchor="_NAESTMA_TOC_2595" w:history="1">
        <w:r>
          <w:rPr>
            <w:color w:val="466B7A"/>
          </w:rPr>
          <w:t>BE-105. Canadian Defense Procurement for U.S. Minerals</w:t>
        </w:r>
      </w:hyperlink>
      <w:r>
        <w:tab/>
      </w:r>
      <w:r>
        <w:rPr>
          <w:rFonts w:ascii="Arial" w:hAnsi="Arial"/>
        </w:rPr>
        <w:t>1625</w:t>
      </w:r>
    </w:p>
    <w:p>
      <w:pPr>
        <w:pStyle w:val="TOC2"/>
        <w:widowControl/>
        <w:tabs>
          <w:tab w:pos="8856" w:val="right" w:leader="dot"/>
        </w:tabs>
      </w:pPr>
      <w:hyperlink w:anchor="_NAESTMA_TOC_2596" w:history="1">
        <w:r>
          <w:rPr>
            <w:color w:val="466B7A"/>
          </w:rPr>
          <w:t>BE-106. U.S. Carbon Capture for Canadian Oil Sands Minerals</w:t>
        </w:r>
      </w:hyperlink>
      <w:r>
        <w:tab/>
      </w:r>
      <w:r>
        <w:rPr>
          <w:rFonts w:ascii="Arial" w:hAnsi="Arial"/>
        </w:rPr>
        <w:t>1625</w:t>
      </w:r>
    </w:p>
    <w:p>
      <w:pPr>
        <w:pStyle w:val="TOC2"/>
        <w:widowControl/>
        <w:tabs>
          <w:tab w:pos="8856" w:val="right" w:leader="dot"/>
        </w:tabs>
      </w:pPr>
      <w:hyperlink w:anchor="_NAESTMA_TOC_2597" w:history="1">
        <w:r>
          <w:rPr>
            <w:color w:val="466B7A"/>
          </w:rPr>
          <w:t>BE-107. Canadian Clean Tech for Mexican Smelters</w:t>
        </w:r>
      </w:hyperlink>
      <w:r>
        <w:tab/>
      </w:r>
      <w:r>
        <w:rPr>
          <w:rFonts w:ascii="Arial" w:hAnsi="Arial"/>
        </w:rPr>
        <w:t>1625</w:t>
      </w:r>
    </w:p>
    <w:p>
      <w:pPr>
        <w:pStyle w:val="TOC2"/>
        <w:widowControl/>
        <w:tabs>
          <w:tab w:pos="8856" w:val="right" w:leader="dot"/>
        </w:tabs>
      </w:pPr>
      <w:hyperlink w:anchor="_NAESTMA_TOC_2598" w:history="1">
        <w:r>
          <w:rPr>
            <w:color w:val="466B7A"/>
          </w:rPr>
          <w:t>BE-108. U.S. Remediation Tech for Mexican Tailings</w:t>
        </w:r>
      </w:hyperlink>
      <w:r>
        <w:tab/>
      </w:r>
      <w:r>
        <w:rPr>
          <w:rFonts w:ascii="Arial" w:hAnsi="Arial"/>
        </w:rPr>
        <w:t>1626</w:t>
      </w:r>
    </w:p>
    <w:p>
      <w:pPr>
        <w:pStyle w:val="TOC2"/>
        <w:widowControl/>
        <w:tabs>
          <w:tab w:pos="8856" w:val="right" w:leader="dot"/>
        </w:tabs>
      </w:pPr>
      <w:hyperlink w:anchor="_NAESTMA_TOC_2599" w:history="1">
        <w:r>
          <w:rPr>
            <w:color w:val="466B7A"/>
          </w:rPr>
          <w:t>BE-109. Watershed Resilience and Industrial Water Recycling</w:t>
        </w:r>
      </w:hyperlink>
      <w:r>
        <w:tab/>
      </w:r>
      <w:r>
        <w:rPr>
          <w:rFonts w:ascii="Arial" w:hAnsi="Arial"/>
        </w:rPr>
        <w:t>1626</w:t>
      </w:r>
    </w:p>
    <w:p>
      <w:pPr>
        <w:pStyle w:val="TOC2"/>
        <w:widowControl/>
        <w:tabs>
          <w:tab w:pos="8856" w:val="right" w:leader="dot"/>
        </w:tabs>
      </w:pPr>
      <w:hyperlink w:anchor="_NAESTMA_TOC_2600" w:history="1">
        <w:r>
          <w:rPr>
            <w:color w:val="466B7A"/>
          </w:rPr>
          <w:t>BE-110. Canadian Phytoremediation for U.S. Mine Sites</w:t>
        </w:r>
      </w:hyperlink>
      <w:r>
        <w:tab/>
      </w:r>
      <w:r>
        <w:rPr>
          <w:rFonts w:ascii="Arial" w:hAnsi="Arial"/>
        </w:rPr>
        <w:t>1626</w:t>
      </w:r>
    </w:p>
    <w:p>
      <w:pPr>
        <w:pStyle w:val="TOC2"/>
        <w:widowControl/>
        <w:tabs>
          <w:tab w:pos="8856" w:val="right" w:leader="dot"/>
        </w:tabs>
      </w:pPr>
      <w:hyperlink w:anchor="_NAESTMA_TOC_2601" w:history="1">
        <w:r>
          <w:rPr>
            <w:color w:val="466B7A"/>
          </w:rPr>
          <w:t>BE-111. Shared Responsible-Mining Performance Standards</w:t>
        </w:r>
      </w:hyperlink>
      <w:r>
        <w:tab/>
      </w:r>
      <w:r>
        <w:rPr>
          <w:rFonts w:ascii="Arial" w:hAnsi="Arial"/>
        </w:rPr>
        <w:t>1626</w:t>
      </w:r>
    </w:p>
    <w:p>
      <w:pPr>
        <w:pStyle w:val="TOC2"/>
        <w:widowControl/>
        <w:tabs>
          <w:tab w:pos="8856" w:val="right" w:leader="dot"/>
        </w:tabs>
      </w:pPr>
      <w:hyperlink w:anchor="_NAESTMA_TOC_2602" w:history="1">
        <w:r>
          <w:rPr>
            <w:color w:val="466B7A"/>
          </w:rPr>
          <w:t>BE-112. Canadian Tailings Dam Safety for U.S. Mines</w:t>
        </w:r>
      </w:hyperlink>
      <w:r>
        <w:tab/>
      </w:r>
      <w:r>
        <w:rPr>
          <w:rFonts w:ascii="Arial" w:hAnsi="Arial"/>
        </w:rPr>
        <w:t>1626</w:t>
      </w:r>
    </w:p>
    <w:p>
      <w:pPr>
        <w:pStyle w:val="TOC2"/>
        <w:widowControl/>
        <w:tabs>
          <w:tab w:pos="8856" w:val="right" w:leader="dot"/>
        </w:tabs>
      </w:pPr>
      <w:hyperlink w:anchor="_NAESTMA_TOC_2603" w:history="1">
        <w:r>
          <w:rPr>
            <w:color w:val="466B7A"/>
          </w:rPr>
          <w:t>BE-113. U.S. Methane Capture for Canadian Coal Tailings</w:t>
        </w:r>
      </w:hyperlink>
      <w:r>
        <w:tab/>
      </w:r>
      <w:r>
        <w:rPr>
          <w:rFonts w:ascii="Arial" w:hAnsi="Arial"/>
        </w:rPr>
        <w:t>1626</w:t>
      </w:r>
    </w:p>
    <w:p>
      <w:pPr>
        <w:pStyle w:val="TOC2"/>
        <w:widowControl/>
        <w:tabs>
          <w:tab w:pos="8856" w:val="right" w:leader="dot"/>
        </w:tabs>
      </w:pPr>
      <w:hyperlink w:anchor="_NAESTMA_TOC_2604" w:history="1">
        <w:r>
          <w:rPr>
            <w:color w:val="466B7A"/>
          </w:rPr>
          <w:t>BE-114. Local Biodiversity Mitigation plus Cross-Border Conservation</w:t>
        </w:r>
      </w:hyperlink>
      <w:r>
        <w:tab/>
      </w:r>
      <w:r>
        <w:rPr>
          <w:rFonts w:ascii="Arial" w:hAnsi="Arial"/>
        </w:rPr>
        <w:t>1626</w:t>
      </w:r>
    </w:p>
    <w:p>
      <w:pPr>
        <w:pStyle w:val="TOC2"/>
        <w:widowControl/>
        <w:tabs>
          <w:tab w:pos="8856" w:val="right" w:leader="dot"/>
        </w:tabs>
      </w:pPr>
      <w:hyperlink w:anchor="_NAESTMA_TOC_2605" w:history="1">
        <w:r>
          <w:rPr>
            <w:color w:val="466B7A"/>
          </w:rPr>
          <w:t>BE-115. Tri-National Green Mining Certification</w:t>
        </w:r>
      </w:hyperlink>
      <w:r>
        <w:tab/>
      </w:r>
      <w:r>
        <w:rPr>
          <w:rFonts w:ascii="Arial" w:hAnsi="Arial"/>
        </w:rPr>
        <w:t>1626</w:t>
      </w:r>
    </w:p>
    <w:p>
      <w:pPr>
        <w:pStyle w:val="TOC2"/>
        <w:widowControl/>
        <w:tabs>
          <w:tab w:pos="8856" w:val="right" w:leader="dot"/>
        </w:tabs>
      </w:pPr>
      <w:hyperlink w:anchor="_NAESTMA_TOC_2606" w:history="1">
        <w:r>
          <w:rPr>
            <w:color w:val="466B7A"/>
          </w:rPr>
          <w:t>BE-116. Canadian Pension Fund Investment in U.S. Mines</w:t>
        </w:r>
      </w:hyperlink>
      <w:r>
        <w:tab/>
      </w:r>
      <w:r>
        <w:rPr>
          <w:rFonts w:ascii="Arial" w:hAnsi="Arial"/>
        </w:rPr>
        <w:t>1626</w:t>
      </w:r>
    </w:p>
    <w:p>
      <w:pPr>
        <w:pStyle w:val="TOC2"/>
        <w:widowControl/>
        <w:tabs>
          <w:tab w:pos="8856" w:val="right" w:leader="dot"/>
        </w:tabs>
      </w:pPr>
      <w:hyperlink w:anchor="_NAESTMA_TOC_2607" w:history="1">
        <w:r>
          <w:rPr>
            <w:color w:val="466B7A"/>
          </w:rPr>
          <w:t>BE-117. Mineral Company Capital-Market Access Assistance</w:t>
        </w:r>
      </w:hyperlink>
      <w:r>
        <w:tab/>
      </w:r>
      <w:r>
        <w:rPr>
          <w:rFonts w:ascii="Arial" w:hAnsi="Arial"/>
        </w:rPr>
        <w:t>1626</w:t>
      </w:r>
    </w:p>
    <w:p>
      <w:pPr>
        <w:pStyle w:val="TOC2"/>
        <w:widowControl/>
        <w:tabs>
          <w:tab w:pos="8856" w:val="right" w:leader="dot"/>
        </w:tabs>
      </w:pPr>
      <w:hyperlink w:anchor="_NAESTMA_TOC_2608" w:history="1">
        <w:r>
          <w:rPr>
            <w:color w:val="466B7A"/>
          </w:rPr>
          <w:t>BE-118. Mexican Sovereign Wealth Fund for Canadian Processing</w:t>
        </w:r>
      </w:hyperlink>
      <w:r>
        <w:tab/>
      </w:r>
      <w:r>
        <w:rPr>
          <w:rFonts w:ascii="Arial" w:hAnsi="Arial"/>
        </w:rPr>
        <w:t>1626</w:t>
      </w:r>
    </w:p>
    <w:p>
      <w:pPr>
        <w:pStyle w:val="TOC2"/>
        <w:widowControl/>
        <w:tabs>
          <w:tab w:pos="8856" w:val="right" w:leader="dot"/>
        </w:tabs>
      </w:pPr>
      <w:hyperlink w:anchor="_NAESTMA_TOC_2609" w:history="1">
        <w:r>
          <w:rPr>
            <w:color w:val="466B7A"/>
          </w:rPr>
          <w:t>BE-119. U.S. Ex-Im Bank Financing for Canadian Mines</w:t>
        </w:r>
      </w:hyperlink>
      <w:r>
        <w:tab/>
      </w:r>
      <w:r>
        <w:rPr>
          <w:rFonts w:ascii="Arial" w:hAnsi="Arial"/>
        </w:rPr>
        <w:t>1627</w:t>
      </w:r>
    </w:p>
    <w:p>
      <w:pPr>
        <w:pStyle w:val="TOC2"/>
        <w:widowControl/>
        <w:tabs>
          <w:tab w:pos="8856" w:val="right" w:leader="dot"/>
        </w:tabs>
      </w:pPr>
      <w:hyperlink w:anchor="_NAESTMA_TOC_2610" w:history="1">
        <w:r>
          <w:rPr>
            <w:color w:val="466B7A"/>
          </w:rPr>
          <w:t>BE-120. Canadian Finance for State-Led Mexican Lithium and Downstream Capacity</w:t>
        </w:r>
      </w:hyperlink>
      <w:r>
        <w:tab/>
      </w:r>
      <w:r>
        <w:rPr>
          <w:rFonts w:ascii="Arial" w:hAnsi="Arial"/>
        </w:rPr>
        <w:t>1627</w:t>
      </w:r>
    </w:p>
    <w:p>
      <w:pPr>
        <w:pStyle w:val="TOC2"/>
        <w:widowControl/>
        <w:tabs>
          <w:tab w:pos="8856" w:val="right" w:leader="dot"/>
        </w:tabs>
      </w:pPr>
      <w:hyperlink w:anchor="_NAESTMA_TOC_2611" w:history="1">
        <w:r>
          <w:rPr>
            <w:color w:val="466B7A"/>
          </w:rPr>
          <w:t>BE-121. Coordinated National and Project Mineral Bonds</w:t>
        </w:r>
      </w:hyperlink>
      <w:r>
        <w:tab/>
      </w:r>
      <w:r>
        <w:rPr>
          <w:rFonts w:ascii="Arial" w:hAnsi="Arial"/>
        </w:rPr>
        <w:t>1627</w:t>
      </w:r>
    </w:p>
    <w:p>
      <w:pPr>
        <w:pStyle w:val="TOC2"/>
        <w:widowControl/>
        <w:tabs>
          <w:tab w:pos="8856" w:val="right" w:leader="dot"/>
        </w:tabs>
      </w:pPr>
      <w:hyperlink w:anchor="_NAESTMA_TOC_2612" w:history="1">
        <w:r>
          <w:rPr>
            <w:color w:val="466B7A"/>
          </w:rPr>
          <w:t>BE-122. U.S. Tax Equity for Canadian Renewable Mining</w:t>
        </w:r>
      </w:hyperlink>
      <w:r>
        <w:tab/>
      </w:r>
      <w:r>
        <w:rPr>
          <w:rFonts w:ascii="Arial" w:hAnsi="Arial"/>
        </w:rPr>
        <w:t>1627</w:t>
      </w:r>
    </w:p>
    <w:p>
      <w:pPr>
        <w:pStyle w:val="TOC2"/>
        <w:widowControl/>
        <w:tabs>
          <w:tab w:pos="8856" w:val="right" w:leader="dot"/>
        </w:tabs>
      </w:pPr>
      <w:hyperlink w:anchor="_NAESTMA_TOC_2613" w:history="1">
        <w:r>
          <w:rPr>
            <w:color w:val="466B7A"/>
          </w:rPr>
          <w:t>BE-123. Reciprocal Financial-Services Access Under Prudential Rules</w:t>
        </w:r>
      </w:hyperlink>
      <w:r>
        <w:tab/>
      </w:r>
      <w:r>
        <w:rPr>
          <w:rFonts w:ascii="Arial" w:hAnsi="Arial"/>
        </w:rPr>
        <w:t>1627</w:t>
      </w:r>
    </w:p>
    <w:p>
      <w:pPr>
        <w:pStyle w:val="TOC2"/>
        <w:widowControl/>
        <w:tabs>
          <w:tab w:pos="8856" w:val="right" w:leader="dot"/>
        </w:tabs>
      </w:pPr>
      <w:hyperlink w:anchor="_NAESTMA_TOC_2614" w:history="1">
        <w:r>
          <w:rPr>
            <w:color w:val="466B7A"/>
          </w:rPr>
          <w:t>BE-124. Continental Strategic-Mineral Risk Insurance Eligibility</w:t>
        </w:r>
      </w:hyperlink>
      <w:r>
        <w:tab/>
      </w:r>
      <w:r>
        <w:rPr>
          <w:rFonts w:ascii="Arial" w:hAnsi="Arial"/>
        </w:rPr>
        <w:t>1627</w:t>
      </w:r>
    </w:p>
    <w:p>
      <w:pPr>
        <w:pStyle w:val="TOC2"/>
        <w:widowControl/>
        <w:tabs>
          <w:tab w:pos="8856" w:val="right" w:leader="dot"/>
        </w:tabs>
      </w:pPr>
      <w:hyperlink w:anchor="_NAESTMA_TOC_2615" w:history="1">
        <w:r>
          <w:rPr>
            <w:color w:val="466B7A"/>
          </w:rPr>
          <w:t>BE-125. Tri-National Mineral Price Stabilization Fund</w:t>
        </w:r>
      </w:hyperlink>
      <w:r>
        <w:tab/>
      </w:r>
      <w:r>
        <w:rPr>
          <w:rFonts w:ascii="Arial" w:hAnsi="Arial"/>
        </w:rPr>
        <w:t>1627</w:t>
      </w:r>
    </w:p>
    <w:p>
      <w:pPr>
        <w:pStyle w:val="TOC2"/>
        <w:widowControl/>
        <w:tabs>
          <w:tab w:pos="8856" w:val="right" w:leader="dot"/>
        </w:tabs>
      </w:pPr>
      <w:hyperlink w:anchor="_NAESTMA_TOC_2616" w:history="1">
        <w:r>
          <w:rPr>
            <w:color w:val="466B7A"/>
          </w:rPr>
          <w:t>BE-126. Medical-Manufacturing Mineral Security</w:t>
        </w:r>
      </w:hyperlink>
      <w:r>
        <w:tab/>
      </w:r>
      <w:r>
        <w:rPr>
          <w:rFonts w:ascii="Arial" w:hAnsi="Arial"/>
        </w:rPr>
        <w:t>1627</w:t>
      </w:r>
    </w:p>
    <w:p>
      <w:pPr>
        <w:pStyle w:val="TOC2"/>
        <w:widowControl/>
        <w:tabs>
          <w:tab w:pos="8856" w:val="right" w:leader="dot"/>
        </w:tabs>
      </w:pPr>
      <w:hyperlink w:anchor="_NAESTMA_TOC_2617" w:history="1">
        <w:r>
          <w:rPr>
            <w:color w:val="466B7A"/>
          </w:rPr>
          <w:t>BE-127. Canadian Pharmaceuticals for U.S. REEs</w:t>
        </w:r>
      </w:hyperlink>
      <w:r>
        <w:tab/>
      </w:r>
      <w:r>
        <w:rPr>
          <w:rFonts w:ascii="Arial" w:hAnsi="Arial"/>
        </w:rPr>
        <w:t>1627</w:t>
      </w:r>
    </w:p>
    <w:p>
      <w:pPr>
        <w:pStyle w:val="TOC2"/>
        <w:widowControl/>
        <w:tabs>
          <w:tab w:pos="8856" w:val="right" w:leader="dot"/>
        </w:tabs>
      </w:pPr>
      <w:hyperlink w:anchor="_NAESTMA_TOC_2618" w:history="1">
        <w:r>
          <w:rPr>
            <w:color w:val="466B7A"/>
          </w:rPr>
          <w:t>BE-128. Humanitarian Medical Supply and Mineral Security Firewalls</w:t>
        </w:r>
      </w:hyperlink>
      <w:r>
        <w:tab/>
      </w:r>
      <w:r>
        <w:rPr>
          <w:rFonts w:ascii="Arial" w:hAnsi="Arial"/>
        </w:rPr>
        <w:t>1627</w:t>
      </w:r>
    </w:p>
    <w:p>
      <w:pPr>
        <w:pStyle w:val="TOC2"/>
        <w:widowControl/>
        <w:tabs>
          <w:tab w:pos="8856" w:val="right" w:leader="dot"/>
        </w:tabs>
      </w:pPr>
      <w:hyperlink w:anchor="_NAESTMA_TOC_2619" w:history="1">
        <w:r>
          <w:rPr>
            <w:color w:val="466B7A"/>
          </w:rPr>
          <w:t>BE-129. Mexican Medical Tourism for U.S. Mineral Investment</w:t>
        </w:r>
      </w:hyperlink>
      <w:r>
        <w:tab/>
      </w:r>
      <w:r>
        <w:rPr>
          <w:rFonts w:ascii="Arial" w:hAnsi="Arial"/>
        </w:rPr>
        <w:t>1627</w:t>
      </w:r>
    </w:p>
    <w:p>
      <w:pPr>
        <w:pStyle w:val="TOC2"/>
        <w:widowControl/>
        <w:tabs>
          <w:tab w:pos="8856" w:val="right" w:leader="dot"/>
        </w:tabs>
      </w:pPr>
      <w:hyperlink w:anchor="_NAESTMA_TOC_2620" w:history="1">
        <w:r>
          <w:rPr>
            <w:color w:val="466B7A"/>
          </w:rPr>
          <w:t>BE-130. Tri-National Pharmaceutical-Mineral Supply Chain</w:t>
        </w:r>
      </w:hyperlink>
      <w:r>
        <w:tab/>
      </w:r>
      <w:r>
        <w:rPr>
          <w:rFonts w:ascii="Arial" w:hAnsi="Arial"/>
        </w:rPr>
        <w:t>1627</w:t>
      </w:r>
    </w:p>
    <w:p>
      <w:pPr>
        <w:pStyle w:val="TOC2"/>
        <w:widowControl/>
        <w:tabs>
          <w:tab w:pos="8856" w:val="right" w:leader="dot"/>
        </w:tabs>
      </w:pPr>
      <w:hyperlink w:anchor="_NAESTMA_TOC_2621" w:history="1">
        <w:r>
          <w:rPr>
            <w:color w:val="466B7A"/>
          </w:rPr>
          <w:t>BE-131. Sovereign Geological-Data Interoperability</w:t>
        </w:r>
      </w:hyperlink>
      <w:r>
        <w:tab/>
      </w:r>
      <w:r>
        <w:rPr>
          <w:rFonts w:ascii="Arial" w:hAnsi="Arial"/>
        </w:rPr>
        <w:t>1628</w:t>
      </w:r>
    </w:p>
    <w:p>
      <w:pPr>
        <w:pStyle w:val="TOC2"/>
        <w:widowControl/>
        <w:tabs>
          <w:tab w:pos="8856" w:val="right" w:leader="dot"/>
        </w:tabs>
      </w:pPr>
      <w:hyperlink w:anchor="_NAESTMA_TOC_2622" w:history="1">
        <w:r>
          <w:rPr>
            <w:color w:val="466B7A"/>
          </w:rPr>
          <w:t>BE-132. Mineral Supply-Chain Data Governance Interoperability</w:t>
        </w:r>
      </w:hyperlink>
      <w:r>
        <w:tab/>
      </w:r>
      <w:r>
        <w:rPr>
          <w:rFonts w:ascii="Arial" w:hAnsi="Arial"/>
        </w:rPr>
        <w:t>1628</w:t>
      </w:r>
    </w:p>
    <w:p>
      <w:pPr>
        <w:pStyle w:val="TOC2"/>
        <w:widowControl/>
        <w:tabs>
          <w:tab w:pos="8856" w:val="right" w:leader="dot"/>
        </w:tabs>
      </w:pPr>
      <w:hyperlink w:anchor="_NAESTMA_TOC_2623" w:history="1">
        <w:r>
          <w:rPr>
            <w:color w:val="466B7A"/>
          </w:rPr>
          <w:t>BE-133. U.S. 5G Infrastructure for Mexican Mines</w:t>
        </w:r>
      </w:hyperlink>
      <w:r>
        <w:tab/>
      </w:r>
      <w:r>
        <w:rPr>
          <w:rFonts w:ascii="Arial" w:hAnsi="Arial"/>
        </w:rPr>
        <w:t>1628</w:t>
      </w:r>
    </w:p>
    <w:p>
      <w:pPr>
        <w:pStyle w:val="TOC2"/>
        <w:widowControl/>
        <w:tabs>
          <w:tab w:pos="8856" w:val="right" w:leader="dot"/>
        </w:tabs>
      </w:pPr>
      <w:hyperlink w:anchor="_NAESTMA_TOC_2624" w:history="1">
        <w:r>
          <w:rPr>
            <w:color w:val="466B7A"/>
          </w:rPr>
          <w:t>BE-134. Clean-Powered Mineral Digital Infrastructure</w:t>
        </w:r>
      </w:hyperlink>
      <w:r>
        <w:tab/>
      </w:r>
      <w:r>
        <w:rPr>
          <w:rFonts w:ascii="Arial" w:hAnsi="Arial"/>
        </w:rPr>
        <w:t>1628</w:t>
      </w:r>
    </w:p>
    <w:p>
      <w:pPr>
        <w:pStyle w:val="TOC2"/>
        <w:widowControl/>
        <w:tabs>
          <w:tab w:pos="8856" w:val="right" w:leader="dot"/>
        </w:tabs>
      </w:pPr>
      <w:hyperlink w:anchor="_NAESTMA_TOC_2625" w:history="1">
        <w:r>
          <w:rPr>
            <w:color w:val="466B7A"/>
          </w:rPr>
          <w:t>BE-135. Tri-National Mineral Supply Chain Digital Platform</w:t>
        </w:r>
      </w:hyperlink>
      <w:r>
        <w:tab/>
      </w:r>
      <w:r>
        <w:rPr>
          <w:rFonts w:ascii="Arial" w:hAnsi="Arial"/>
        </w:rPr>
        <w:t>1628</w:t>
      </w:r>
    </w:p>
    <w:p>
      <w:pPr>
        <w:pStyle w:val="TOC2"/>
        <w:widowControl/>
        <w:tabs>
          <w:tab w:pos="8856" w:val="right" w:leader="dot"/>
        </w:tabs>
      </w:pPr>
      <w:hyperlink w:anchor="_NAESTMA_TOC_2626" w:history="1">
        <w:r>
          <w:rPr>
            <w:color w:val="466B7A"/>
          </w:rPr>
          <w:t>BE-136. Mining Engineering Scholarships and Exchanges</w:t>
        </w:r>
      </w:hyperlink>
      <w:r>
        <w:tab/>
      </w:r>
      <w:r>
        <w:rPr>
          <w:rFonts w:ascii="Arial" w:hAnsi="Arial"/>
        </w:rPr>
        <w:t>1628</w:t>
      </w:r>
    </w:p>
    <w:p>
      <w:pPr>
        <w:pStyle w:val="TOC2"/>
        <w:widowControl/>
        <w:tabs>
          <w:tab w:pos="8856" w:val="right" w:leader="dot"/>
        </w:tabs>
      </w:pPr>
      <w:hyperlink w:anchor="_NAESTMA_TOC_2627" w:history="1">
        <w:r>
          <w:rPr>
            <w:color w:val="466B7A"/>
          </w:rPr>
          <w:t>BE-137. Canadian Research Grants for U.S. Mineral Scientists</w:t>
        </w:r>
      </w:hyperlink>
      <w:r>
        <w:tab/>
      </w:r>
      <w:r>
        <w:rPr>
          <w:rFonts w:ascii="Arial" w:hAnsi="Arial"/>
        </w:rPr>
        <w:t>1628</w:t>
      </w:r>
    </w:p>
    <w:p>
      <w:pPr>
        <w:pStyle w:val="TOC2"/>
        <w:widowControl/>
        <w:tabs>
          <w:tab w:pos="8856" w:val="right" w:leader="dot"/>
        </w:tabs>
      </w:pPr>
      <w:hyperlink w:anchor="_NAESTMA_TOC_2628" w:history="1">
        <w:r>
          <w:rPr>
            <w:color w:val="466B7A"/>
          </w:rPr>
          <w:t>BE-138. Mexican Cultural Exchanges for U.S. Mining Investment</w:t>
        </w:r>
      </w:hyperlink>
      <w:r>
        <w:tab/>
      </w:r>
      <w:r>
        <w:rPr>
          <w:rFonts w:ascii="Arial" w:hAnsi="Arial"/>
        </w:rPr>
        <w:t>1628</w:t>
      </w:r>
    </w:p>
    <w:p>
      <w:pPr>
        <w:pStyle w:val="TOC2"/>
        <w:widowControl/>
        <w:tabs>
          <w:tab w:pos="8856" w:val="right" w:leader="dot"/>
        </w:tabs>
      </w:pPr>
      <w:hyperlink w:anchor="_NAESTMA_TOC_2629" w:history="1">
        <w:r>
          <w:rPr>
            <w:color w:val="466B7A"/>
          </w:rPr>
          <w:t>BE-139. U.S. Fulbright Programs for Canadian Mineral Policy</w:t>
        </w:r>
      </w:hyperlink>
      <w:r>
        <w:tab/>
      </w:r>
      <w:r>
        <w:rPr>
          <w:rFonts w:ascii="Arial" w:hAnsi="Arial"/>
        </w:rPr>
        <w:t>1628</w:t>
      </w:r>
    </w:p>
    <w:p>
      <w:pPr>
        <w:pStyle w:val="TOC2"/>
        <w:widowControl/>
        <w:tabs>
          <w:tab w:pos="8856" w:val="right" w:leader="dot"/>
        </w:tabs>
      </w:pPr>
      <w:hyperlink w:anchor="_NAESTMA_TOC_2630" w:history="1">
        <w:r>
          <w:rPr>
            <w:color w:val="466B7A"/>
          </w:rPr>
          <w:t>BE-140. North American Mining Heritage and Community Legacy Program</w:t>
        </w:r>
      </w:hyperlink>
      <w:r>
        <w:tab/>
      </w:r>
      <w:r>
        <w:rPr>
          <w:rFonts w:ascii="Arial" w:hAnsi="Arial"/>
        </w:rPr>
        <w:t>1628</w:t>
      </w:r>
    </w:p>
    <w:p>
      <w:pPr>
        <w:pStyle w:val="TOC1"/>
        <w:widowControl/>
        <w:tabs>
          <w:tab w:pos="8856" w:val="right" w:leader="dot"/>
        </w:tabs>
      </w:pPr>
      <w:hyperlink w:anchor="_NAESTMA_TOC_2631" w:history="1">
        <w:r>
          <w:rPr>
            <w:color w:val="233746"/>
          </w:rPr>
          <w:t>PACKAGE BF — MINERALS-FOR-FORESTRY NORMALIZATION TRACK</w:t>
        </w:r>
      </w:hyperlink>
      <w:r>
        <w:tab/>
      </w:r>
      <w:r>
        <w:rPr>
          <w:rFonts w:ascii="Arial" w:hAnsi="Arial"/>
        </w:rPr>
        <w:t>1629</w:t>
      </w:r>
    </w:p>
    <w:p>
      <w:pPr>
        <w:pStyle w:val="TOC1"/>
        <w:widowControl/>
        <w:tabs>
          <w:tab w:pos="8856" w:val="right" w:leader="dot"/>
        </w:tabs>
      </w:pPr>
      <w:hyperlink w:anchor="_NAESTMA_TOC_2632" w:history="1">
        <w:r>
          <w:rPr>
            <w:color w:val="233746"/>
          </w:rPr>
          <w:t>PACKAGE BG — NORTH AMERICAN AUTOMOTIVE INTEGRATION AND STABILITY FRAMEWORK</w:t>
        </w:r>
      </w:hyperlink>
      <w:r>
        <w:tab/>
      </w:r>
      <w:r>
        <w:rPr>
          <w:rFonts w:ascii="Arial" w:hAnsi="Arial"/>
        </w:rPr>
        <w:t>1630</w:t>
      </w:r>
    </w:p>
    <w:p>
      <w:pPr>
        <w:pStyle w:val="TOC2"/>
        <w:widowControl/>
        <w:tabs>
          <w:tab w:pos="8856" w:val="right" w:leader="dot"/>
        </w:tabs>
      </w:pPr>
      <w:hyperlink w:anchor="_NAESTMA_TOC_2633" w:history="1">
        <w:r>
          <w:rPr>
            <w:color w:val="466B7A"/>
          </w:rPr>
          <w:t>BG-1. Purpose and Coverage</w:t>
        </w:r>
      </w:hyperlink>
      <w:r>
        <w:tab/>
      </w:r>
      <w:r>
        <w:rPr>
          <w:rFonts w:ascii="Arial" w:hAnsi="Arial"/>
        </w:rPr>
        <w:t>1630</w:t>
      </w:r>
    </w:p>
    <w:p>
      <w:pPr>
        <w:pStyle w:val="TOC2"/>
        <w:widowControl/>
        <w:tabs>
          <w:tab w:pos="8856" w:val="right" w:leader="dot"/>
        </w:tabs>
      </w:pPr>
      <w:hyperlink w:anchor="_NAESTMA_TOC_2634" w:history="1">
        <w:r>
          <w:rPr>
            <w:color w:val="466B7A"/>
          </w:rPr>
          <w:t>BG-2. Standard Origin Tier — 75% RVC</w:t>
        </w:r>
      </w:hyperlink>
      <w:r>
        <w:tab/>
      </w:r>
      <w:r>
        <w:rPr>
          <w:rFonts w:ascii="Arial" w:hAnsi="Arial"/>
        </w:rPr>
        <w:t>1630</w:t>
      </w:r>
    </w:p>
    <w:p>
      <w:pPr>
        <w:pStyle w:val="TOC2"/>
        <w:widowControl/>
        <w:tabs>
          <w:tab w:pos="8856" w:val="right" w:leader="dot"/>
        </w:tabs>
      </w:pPr>
      <w:hyperlink w:anchor="_NAESTMA_TOC_2635" w:history="1">
        <w:r>
          <w:rPr>
            <w:color w:val="466B7A"/>
          </w:rPr>
          <w:t>BG-3. High Integration Tier — 80% RVC</w:t>
        </w:r>
      </w:hyperlink>
      <w:r>
        <w:tab/>
      </w:r>
      <w:r>
        <w:rPr>
          <w:rFonts w:ascii="Arial" w:hAnsi="Arial"/>
        </w:rPr>
        <w:t>1630</w:t>
      </w:r>
    </w:p>
    <w:p>
      <w:pPr>
        <w:pStyle w:val="TOC2"/>
        <w:widowControl/>
        <w:tabs>
          <w:tab w:pos="8856" w:val="right" w:leader="dot"/>
        </w:tabs>
      </w:pPr>
      <w:hyperlink w:anchor="_NAESTMA_TOC_2636" w:history="1">
        <w:r>
          <w:rPr>
            <w:color w:val="466B7A"/>
          </w:rPr>
          <w:t>BG-4. Strategic Tier — 85% RVC</w:t>
        </w:r>
      </w:hyperlink>
      <w:r>
        <w:tab/>
      </w:r>
      <w:r>
        <w:rPr>
          <w:rFonts w:ascii="Arial" w:hAnsi="Arial"/>
        </w:rPr>
        <w:t>1630</w:t>
      </w:r>
    </w:p>
    <w:p>
      <w:pPr>
        <w:pStyle w:val="TOC2"/>
        <w:widowControl/>
        <w:tabs>
          <w:tab w:pos="8856" w:val="right" w:leader="dot"/>
        </w:tabs>
      </w:pPr>
      <w:hyperlink w:anchor="_NAESTMA_TOC_2637" w:history="1">
        <w:r>
          <w:rPr>
            <w:color w:val="466B7A"/>
          </w:rPr>
          <w:t>BG-5. No Tariff on Originating Content</w:t>
        </w:r>
      </w:hyperlink>
      <w:r>
        <w:tab/>
      </w:r>
      <w:r>
        <w:rPr>
          <w:rFonts w:ascii="Arial" w:hAnsi="Arial"/>
        </w:rPr>
        <w:t>1630</w:t>
      </w:r>
    </w:p>
    <w:p>
      <w:pPr>
        <w:pStyle w:val="TOC2"/>
        <w:widowControl/>
        <w:tabs>
          <w:tab w:pos="8856" w:val="right" w:leader="dot"/>
        </w:tabs>
      </w:pPr>
      <w:hyperlink w:anchor="_NAESTMA_TOC_2638" w:history="1">
        <w:r>
          <w:rPr>
            <w:color w:val="466B7A"/>
          </w:rPr>
          <w:t>BG-6. No Vehicle-Class Carve-Out</w:t>
        </w:r>
      </w:hyperlink>
      <w:r>
        <w:tab/>
      </w:r>
      <w:r>
        <w:rPr>
          <w:rFonts w:ascii="Arial" w:hAnsi="Arial"/>
        </w:rPr>
        <w:t>1630</w:t>
      </w:r>
    </w:p>
    <w:p>
      <w:pPr>
        <w:pStyle w:val="TOC2"/>
        <w:widowControl/>
        <w:tabs>
          <w:tab w:pos="8856" w:val="right" w:leader="dot"/>
        </w:tabs>
      </w:pPr>
      <w:hyperlink w:anchor="_NAESTMA_TOC_2639" w:history="1">
        <w:r>
          <w:rPr>
            <w:color w:val="466B7A"/>
          </w:rPr>
          <w:t>BG-7. Anti-Reclassification Rule</w:t>
        </w:r>
      </w:hyperlink>
      <w:r>
        <w:tab/>
      </w:r>
      <w:r>
        <w:rPr>
          <w:rFonts w:ascii="Arial" w:hAnsi="Arial"/>
        </w:rPr>
        <w:t>1630</w:t>
      </w:r>
    </w:p>
    <w:p>
      <w:pPr>
        <w:pStyle w:val="TOC2"/>
        <w:widowControl/>
        <w:tabs>
          <w:tab w:pos="8856" w:val="right" w:leader="dot"/>
        </w:tabs>
      </w:pPr>
      <w:hyperlink w:anchor="_NAESTMA_TOC_2640" w:history="1">
        <w:r>
          <w:rPr>
            <w:color w:val="466B7A"/>
          </w:rPr>
          <w:t>BG-8. No Uncompensated Front-Loading</w:t>
        </w:r>
      </w:hyperlink>
      <w:r>
        <w:tab/>
      </w:r>
      <w:r>
        <w:rPr>
          <w:rFonts w:ascii="Arial" w:hAnsi="Arial"/>
        </w:rPr>
        <w:t>1631</w:t>
      </w:r>
    </w:p>
    <w:p>
      <w:pPr>
        <w:pStyle w:val="TOC2"/>
        <w:widowControl/>
        <w:tabs>
          <w:tab w:pos="8856" w:val="right" w:leader="dot"/>
        </w:tabs>
      </w:pPr>
      <w:hyperlink w:anchor="_NAESTMA_TOC_2641" w:history="1">
        <w:r>
          <w:rPr>
            <w:color w:val="466B7A"/>
          </w:rPr>
          <w:t>BG-9. Capacity-Gap Safe Harbour</w:t>
        </w:r>
      </w:hyperlink>
      <w:r>
        <w:tab/>
      </w:r>
      <w:r>
        <w:rPr>
          <w:rFonts w:ascii="Arial" w:hAnsi="Arial"/>
        </w:rPr>
        <w:t>1631</w:t>
      </w:r>
    </w:p>
    <w:p>
      <w:pPr>
        <w:pStyle w:val="TOC2"/>
        <w:widowControl/>
        <w:tabs>
          <w:tab w:pos="8856" w:val="right" w:leader="dot"/>
        </w:tabs>
      </w:pPr>
      <w:hyperlink w:anchor="_NAESTMA_TOC_2642" w:history="1">
        <w:r>
          <w:rPr>
            <w:color w:val="466B7A"/>
          </w:rPr>
          <w:t>BG-10. Trusted External Input Safe Harbour</w:t>
        </w:r>
      </w:hyperlink>
      <w:r>
        <w:tab/>
      </w:r>
      <w:r>
        <w:rPr>
          <w:rFonts w:ascii="Arial" w:hAnsi="Arial"/>
        </w:rPr>
        <w:t>1631</w:t>
      </w:r>
    </w:p>
    <w:p>
      <w:pPr>
        <w:pStyle w:val="TOC2"/>
        <w:widowControl/>
        <w:tabs>
          <w:tab w:pos="8856" w:val="right" w:leader="dot"/>
        </w:tabs>
      </w:pPr>
      <w:hyperlink w:anchor="_NAESTMA_TOC_2643" w:history="1">
        <w:r>
          <w:rPr>
            <w:color w:val="466B7A"/>
          </w:rPr>
          <w:t>BG-11. Digital Origin and Provenance</w:t>
        </w:r>
      </w:hyperlink>
      <w:r>
        <w:tab/>
      </w:r>
      <w:r>
        <w:rPr>
          <w:rFonts w:ascii="Arial" w:hAnsi="Arial"/>
        </w:rPr>
        <w:t>1631</w:t>
      </w:r>
    </w:p>
    <w:p>
      <w:pPr>
        <w:pStyle w:val="TOC2"/>
        <w:widowControl/>
        <w:tabs>
          <w:tab w:pos="8856" w:val="right" w:leader="dot"/>
        </w:tabs>
      </w:pPr>
      <w:hyperlink w:anchor="_NAESTMA_TOC_2644" w:history="1">
        <w:r>
          <w:rPr>
            <w:color w:val="466B7A"/>
          </w:rPr>
          <w:t>BG-12. Transition and Cure Architecture</w:t>
        </w:r>
      </w:hyperlink>
      <w:r>
        <w:tab/>
      </w:r>
      <w:r>
        <w:rPr>
          <w:rFonts w:ascii="Arial" w:hAnsi="Arial"/>
        </w:rPr>
        <w:t>1631</w:t>
      </w:r>
    </w:p>
    <w:p>
      <w:pPr>
        <w:pStyle w:val="TOC2"/>
        <w:widowControl/>
        <w:tabs>
          <w:tab w:pos="8856" w:val="right" w:leader="dot"/>
        </w:tabs>
      </w:pPr>
      <w:hyperlink w:anchor="_NAESTMA_TOC_2645" w:history="1">
        <w:r>
          <w:rPr>
            <w:color w:val="466B7A"/>
          </w:rPr>
          <w:t>BG-13. Automotive Stability Guarantee</w:t>
        </w:r>
      </w:hyperlink>
      <w:r>
        <w:tab/>
      </w:r>
      <w:r>
        <w:rPr>
          <w:rFonts w:ascii="Arial" w:hAnsi="Arial"/>
        </w:rPr>
        <w:t>1631</w:t>
      </w:r>
    </w:p>
    <w:p>
      <w:pPr>
        <w:pStyle w:val="TOC2"/>
        <w:widowControl/>
        <w:tabs>
          <w:tab w:pos="8856" w:val="right" w:leader="dot"/>
        </w:tabs>
      </w:pPr>
      <w:hyperlink w:anchor="_NAESTMA_TOC_2646" w:history="1">
        <w:r>
          <w:rPr>
            <w:color w:val="466B7A"/>
          </w:rPr>
          <w:t>BG-14. Existing-Institution Implementation</w:t>
        </w:r>
      </w:hyperlink>
      <w:r>
        <w:tab/>
      </w:r>
      <w:r>
        <w:rPr>
          <w:rFonts w:ascii="Arial" w:hAnsi="Arial"/>
        </w:rPr>
        <w:t>1631</w:t>
      </w:r>
    </w:p>
    <w:p>
      <w:pPr>
        <w:pStyle w:val="TOC1"/>
        <w:widowControl/>
        <w:tabs>
          <w:tab w:pos="8856" w:val="right" w:leader="dot"/>
        </w:tabs>
      </w:pPr>
      <w:hyperlink w:anchor="_NAESTMA_TOC_2647" w:history="1">
        <w:r>
          <w:rPr>
            <w:color w:val="233746"/>
          </w:rPr>
          <w:t>PACKAGE BH — AUTOMOTIVE NEGOTIATION AND IMPLEMENTATION CATALOGUE</w:t>
        </w:r>
      </w:hyperlink>
      <w:r>
        <w:tab/>
      </w:r>
      <w:r>
        <w:rPr>
          <w:rFonts w:ascii="Arial" w:hAnsi="Arial"/>
        </w:rPr>
        <w:t>1632</w:t>
      </w:r>
    </w:p>
    <w:p>
      <w:pPr>
        <w:pStyle w:val="TOC2"/>
        <w:widowControl/>
        <w:tabs>
          <w:tab w:pos="8856" w:val="right" w:leader="dot"/>
        </w:tabs>
      </w:pPr>
      <w:hyperlink w:anchor="_NAESTMA_TOC_2648" w:history="1">
        <w:r>
          <w:rPr>
            <w:color w:val="466B7A"/>
          </w:rPr>
          <w:t>BH-1. The 15-15-15 Bridge</w:t>
        </w:r>
      </w:hyperlink>
      <w:r>
        <w:tab/>
      </w:r>
      <w:r>
        <w:rPr>
          <w:rFonts w:ascii="Arial" w:hAnsi="Arial"/>
        </w:rPr>
        <w:t>1632</w:t>
      </w:r>
    </w:p>
    <w:p>
      <w:pPr>
        <w:pStyle w:val="TOC2"/>
        <w:widowControl/>
        <w:tabs>
          <w:tab w:pos="8856" w:val="right" w:leader="dot"/>
        </w:tabs>
      </w:pPr>
      <w:hyperlink w:anchor="_NAESTMA_TOC_2649" w:history="1">
        <w:r>
          <w:rPr>
            <w:color w:val="466B7A"/>
          </w:rPr>
          <w:t>BH-2. Mexico’s Tariff Step-Down</w:t>
        </w:r>
      </w:hyperlink>
      <w:r>
        <w:tab/>
      </w:r>
      <w:r>
        <w:rPr>
          <w:rFonts w:ascii="Arial" w:hAnsi="Arial"/>
        </w:rPr>
        <w:t>1632</w:t>
      </w:r>
    </w:p>
    <w:p>
      <w:pPr>
        <w:pStyle w:val="TOC2"/>
        <w:widowControl/>
        <w:tabs>
          <w:tab w:pos="8856" w:val="right" w:leader="dot"/>
        </w:tabs>
      </w:pPr>
      <w:hyperlink w:anchor="_NAESTMA_TOC_2650" w:history="1">
        <w:r>
          <w:rPr>
            <w:color w:val="466B7A"/>
          </w:rPr>
          <w:t>BH-3. Zero-for-Compliant</w:t>
        </w:r>
      </w:hyperlink>
      <w:r>
        <w:tab/>
      </w:r>
      <w:r>
        <w:rPr>
          <w:rFonts w:ascii="Arial" w:hAnsi="Arial"/>
        </w:rPr>
        <w:t>1632</w:t>
      </w:r>
    </w:p>
    <w:p>
      <w:pPr>
        <w:pStyle w:val="TOC2"/>
        <w:widowControl/>
        <w:tabs>
          <w:tab w:pos="8856" w:val="right" w:leader="dot"/>
        </w:tabs>
      </w:pPr>
      <w:hyperlink w:anchor="_NAESTMA_TOC_2651" w:history="1">
        <w:r>
          <w:rPr>
            <w:color w:val="466B7A"/>
          </w:rPr>
          <w:t>BH-4. Critical Parts Exclusion</w:t>
        </w:r>
      </w:hyperlink>
      <w:r>
        <w:tab/>
      </w:r>
      <w:r>
        <w:rPr>
          <w:rFonts w:ascii="Arial" w:hAnsi="Arial"/>
        </w:rPr>
        <w:t>1632</w:t>
      </w:r>
    </w:p>
    <w:p>
      <w:pPr>
        <w:pStyle w:val="TOC2"/>
        <w:widowControl/>
        <w:tabs>
          <w:tab w:pos="8856" w:val="right" w:leader="dot"/>
        </w:tabs>
      </w:pPr>
      <w:hyperlink w:anchor="_NAESTMA_TOC_2652" w:history="1">
        <w:r>
          <w:rPr>
            <w:color w:val="466B7A"/>
          </w:rPr>
          <w:t>BH-5. Quarterly Tariff Review</w:t>
        </w:r>
      </w:hyperlink>
      <w:r>
        <w:tab/>
      </w:r>
      <w:r>
        <w:rPr>
          <w:rFonts w:ascii="Arial" w:hAnsi="Arial"/>
        </w:rPr>
        <w:t>1632</w:t>
      </w:r>
    </w:p>
    <w:p>
      <w:pPr>
        <w:pStyle w:val="TOC2"/>
        <w:widowControl/>
        <w:tabs>
          <w:tab w:pos="8856" w:val="right" w:leader="dot"/>
        </w:tabs>
      </w:pPr>
      <w:hyperlink w:anchor="_NAESTMA_TOC_2653" w:history="1">
        <w:r>
          <w:rPr>
            <w:color w:val="466B7A"/>
          </w:rPr>
          <w:t>BH-6. Retaliatory Tariff Freeze</w:t>
        </w:r>
      </w:hyperlink>
      <w:r>
        <w:tab/>
      </w:r>
      <w:r>
        <w:rPr>
          <w:rFonts w:ascii="Arial" w:hAnsi="Arial"/>
        </w:rPr>
        <w:t>1632</w:t>
      </w:r>
    </w:p>
    <w:p>
      <w:pPr>
        <w:pStyle w:val="TOC2"/>
        <w:widowControl/>
        <w:tabs>
          <w:tab w:pos="8856" w:val="right" w:leader="dot"/>
        </w:tabs>
      </w:pPr>
      <w:hyperlink w:anchor="_NAESTMA_TOC_2654" w:history="1">
        <w:r>
          <w:rPr>
            <w:color w:val="466B7A"/>
          </w:rPr>
          <w:t>BH-7. Small-Volume Producer Exemption</w:t>
        </w:r>
      </w:hyperlink>
      <w:r>
        <w:tab/>
      </w:r>
      <w:r>
        <w:rPr>
          <w:rFonts w:ascii="Arial" w:hAnsi="Arial"/>
        </w:rPr>
        <w:t>1632</w:t>
      </w:r>
    </w:p>
    <w:p>
      <w:pPr>
        <w:pStyle w:val="TOC2"/>
        <w:widowControl/>
        <w:tabs>
          <w:tab w:pos="8856" w:val="right" w:leader="dot"/>
        </w:tabs>
      </w:pPr>
      <w:hyperlink w:anchor="_NAESTMA_TOC_2655" w:history="1">
        <w:r>
          <w:rPr>
            <w:color w:val="466B7A"/>
          </w:rPr>
          <w:t>BH-8. Tariff Rebate for Exports</w:t>
        </w:r>
      </w:hyperlink>
      <w:r>
        <w:tab/>
      </w:r>
      <w:r>
        <w:rPr>
          <w:rFonts w:ascii="Arial" w:hAnsi="Arial"/>
        </w:rPr>
        <w:t>1632</w:t>
      </w:r>
    </w:p>
    <w:p>
      <w:pPr>
        <w:pStyle w:val="TOC2"/>
        <w:widowControl/>
        <w:tabs>
          <w:tab w:pos="8856" w:val="right" w:leader="dot"/>
        </w:tabs>
      </w:pPr>
      <w:hyperlink w:anchor="_NAESTMA_TOC_2656" w:history="1">
        <w:r>
          <w:rPr>
            <w:color w:val="466B7A"/>
          </w:rPr>
          <w:t>BH-9. Mexican Border Zone Preference</w:t>
        </w:r>
      </w:hyperlink>
      <w:r>
        <w:tab/>
      </w:r>
      <w:r>
        <w:rPr>
          <w:rFonts w:ascii="Arial" w:hAnsi="Arial"/>
        </w:rPr>
        <w:t>1632</w:t>
      </w:r>
    </w:p>
    <w:p>
      <w:pPr>
        <w:pStyle w:val="TOC2"/>
        <w:widowControl/>
        <w:tabs>
          <w:tab w:pos="8856" w:val="right" w:leader="dot"/>
        </w:tabs>
      </w:pPr>
      <w:hyperlink w:anchor="_NAESTMA_TOC_2657" w:history="1">
        <w:r>
          <w:rPr>
            <w:color w:val="466B7A"/>
          </w:rPr>
          <w:t>BH-10. Canadian Content Credit</w:t>
        </w:r>
      </w:hyperlink>
      <w:r>
        <w:tab/>
      </w:r>
      <w:r>
        <w:rPr>
          <w:rFonts w:ascii="Arial" w:hAnsi="Arial"/>
        </w:rPr>
        <w:t>1633</w:t>
      </w:r>
    </w:p>
    <w:p>
      <w:pPr>
        <w:pStyle w:val="TOC2"/>
        <w:widowControl/>
        <w:tabs>
          <w:tab w:pos="8856" w:val="right" w:leader="dot"/>
        </w:tabs>
      </w:pPr>
      <w:hyperlink w:anchor="_NAESTMA_TOC_2658" w:history="1">
        <w:r>
          <w:rPr>
            <w:color w:val="466B7A"/>
          </w:rPr>
          <w:t>BH-11. Temporary Suspension for Retooling</w:t>
        </w:r>
      </w:hyperlink>
      <w:r>
        <w:tab/>
      </w:r>
      <w:r>
        <w:rPr>
          <w:rFonts w:ascii="Arial" w:hAnsi="Arial"/>
        </w:rPr>
        <w:t>1633</w:t>
      </w:r>
    </w:p>
    <w:p>
      <w:pPr>
        <w:pStyle w:val="TOC2"/>
        <w:widowControl/>
        <w:tabs>
          <w:tab w:pos="8856" w:val="right" w:leader="dot"/>
        </w:tabs>
      </w:pPr>
      <w:hyperlink w:anchor="_NAESTMA_TOC_2659" w:history="1">
        <w:r>
          <w:rPr>
            <w:color w:val="466B7A"/>
          </w:rPr>
          <w:t>BH-12. Graduated Tariff Phase-Down</w:t>
        </w:r>
      </w:hyperlink>
      <w:r>
        <w:tab/>
      </w:r>
      <w:r>
        <w:rPr>
          <w:rFonts w:ascii="Arial" w:hAnsi="Arial"/>
        </w:rPr>
        <w:t>1633</w:t>
      </w:r>
    </w:p>
    <w:p>
      <w:pPr>
        <w:pStyle w:val="TOC2"/>
        <w:widowControl/>
        <w:tabs>
          <w:tab w:pos="8856" w:val="right" w:leader="dot"/>
        </w:tabs>
      </w:pPr>
      <w:hyperlink w:anchor="_NAESTMA_TOC_2660" w:history="1">
        <w:r>
          <w:rPr>
            <w:color w:val="466B7A"/>
          </w:rPr>
          <w:t>BH-13. Seasonal Tariff Adjustment</w:t>
        </w:r>
      </w:hyperlink>
      <w:r>
        <w:tab/>
      </w:r>
      <w:r>
        <w:rPr>
          <w:rFonts w:ascii="Arial" w:hAnsi="Arial"/>
        </w:rPr>
        <w:t>1633</w:t>
      </w:r>
    </w:p>
    <w:p>
      <w:pPr>
        <w:pStyle w:val="TOC2"/>
        <w:widowControl/>
        <w:tabs>
          <w:tab w:pos="8856" w:val="right" w:leader="dot"/>
        </w:tabs>
      </w:pPr>
      <w:hyperlink w:anchor="_NAESTMA_TOC_2661" w:history="1">
        <w:r>
          <w:rPr>
            <w:color w:val="466B7A"/>
          </w:rPr>
          <w:t>BH-14. Mutual Tariff Waiver for Emergency Vehicles</w:t>
        </w:r>
      </w:hyperlink>
      <w:r>
        <w:tab/>
      </w:r>
      <w:r>
        <w:rPr>
          <w:rFonts w:ascii="Arial" w:hAnsi="Arial"/>
        </w:rPr>
        <w:t>1633</w:t>
      </w:r>
    </w:p>
    <w:p>
      <w:pPr>
        <w:pStyle w:val="TOC2"/>
        <w:widowControl/>
        <w:tabs>
          <w:tab w:pos="8856" w:val="right" w:leader="dot"/>
        </w:tabs>
      </w:pPr>
      <w:hyperlink w:anchor="_NAESTMA_TOC_2662" w:history="1">
        <w:r>
          <w:rPr>
            <w:color w:val="466B7A"/>
          </w:rPr>
          <w:t>BH-15. Tariff-Free Replacement Parts</w:t>
        </w:r>
      </w:hyperlink>
      <w:r>
        <w:tab/>
      </w:r>
      <w:r>
        <w:rPr>
          <w:rFonts w:ascii="Arial" w:hAnsi="Arial"/>
        </w:rPr>
        <w:t>1633</w:t>
      </w:r>
    </w:p>
    <w:p>
      <w:pPr>
        <w:pStyle w:val="TOC2"/>
        <w:widowControl/>
        <w:tabs>
          <w:tab w:pos="8856" w:val="right" w:leader="dot"/>
        </w:tabs>
      </w:pPr>
      <w:hyperlink w:anchor="_NAESTMA_TOC_2663" w:history="1">
        <w:r>
          <w:rPr>
            <w:color w:val="466B7A"/>
          </w:rPr>
          <w:t>BH-16. Currency Hedge Clause</w:t>
        </w:r>
      </w:hyperlink>
      <w:r>
        <w:tab/>
      </w:r>
      <w:r>
        <w:rPr>
          <w:rFonts w:ascii="Arial" w:hAnsi="Arial"/>
        </w:rPr>
        <w:t>1633</w:t>
      </w:r>
    </w:p>
    <w:p>
      <w:pPr>
        <w:pStyle w:val="TOC2"/>
        <w:widowControl/>
        <w:tabs>
          <w:tab w:pos="8856" w:val="right" w:leader="dot"/>
        </w:tabs>
      </w:pPr>
      <w:hyperlink w:anchor="_NAESTMA_TOC_2664" w:history="1">
        <w:r>
          <w:rPr>
            <w:color w:val="466B7A"/>
          </w:rPr>
          <w:t>BH-17. Canadian Winter Testing Credit</w:t>
        </w:r>
      </w:hyperlink>
      <w:r>
        <w:tab/>
      </w:r>
      <w:r>
        <w:rPr>
          <w:rFonts w:ascii="Arial" w:hAnsi="Arial"/>
        </w:rPr>
        <w:t>1633</w:t>
      </w:r>
    </w:p>
    <w:p>
      <w:pPr>
        <w:pStyle w:val="TOC2"/>
        <w:widowControl/>
        <w:tabs>
          <w:tab w:pos="8856" w:val="right" w:leader="dot"/>
        </w:tabs>
      </w:pPr>
      <w:hyperlink w:anchor="_NAESTMA_TOC_2665" w:history="1">
        <w:r>
          <w:rPr>
            <w:color w:val="466B7A"/>
          </w:rPr>
          <w:t>BH-18. Retroactive Tariff Refund</w:t>
        </w:r>
      </w:hyperlink>
      <w:r>
        <w:tab/>
      </w:r>
      <w:r>
        <w:rPr>
          <w:rFonts w:ascii="Arial" w:hAnsi="Arial"/>
        </w:rPr>
        <w:t>1633</w:t>
      </w:r>
    </w:p>
    <w:p>
      <w:pPr>
        <w:pStyle w:val="TOC2"/>
        <w:widowControl/>
        <w:tabs>
          <w:tab w:pos="8856" w:val="right" w:leader="dot"/>
        </w:tabs>
      </w:pPr>
      <w:hyperlink w:anchor="_NAESTMA_TOC_2666" w:history="1">
        <w:r>
          <w:rPr>
            <w:color w:val="466B7A"/>
          </w:rPr>
          <w:t>BH-19. Joint Tariff Revenue Fund</w:t>
        </w:r>
      </w:hyperlink>
      <w:r>
        <w:tab/>
      </w:r>
      <w:r>
        <w:rPr>
          <w:rFonts w:ascii="Arial" w:hAnsi="Arial"/>
        </w:rPr>
        <w:t>1633</w:t>
      </w:r>
    </w:p>
    <w:p>
      <w:pPr>
        <w:pStyle w:val="TOC2"/>
        <w:widowControl/>
        <w:tabs>
          <w:tab w:pos="8856" w:val="right" w:leader="dot"/>
        </w:tabs>
      </w:pPr>
      <w:hyperlink w:anchor="_NAESTMA_TOC_2667" w:history="1">
        <w:r>
          <w:rPr>
            <w:color w:val="466B7A"/>
          </w:rPr>
          <w:t>BH-20. Most-Favored-Nation Alignment</w:t>
        </w:r>
      </w:hyperlink>
      <w:r>
        <w:tab/>
      </w:r>
      <w:r>
        <w:rPr>
          <w:rFonts w:ascii="Arial" w:hAnsi="Arial"/>
        </w:rPr>
        <w:t>1633</w:t>
      </w:r>
    </w:p>
    <w:p>
      <w:pPr>
        <w:pStyle w:val="TOC2"/>
        <w:widowControl/>
        <w:tabs>
          <w:tab w:pos="8856" w:val="right" w:leader="dot"/>
        </w:tabs>
      </w:pPr>
      <w:hyperlink w:anchor="_NAESTMA_TOC_2668" w:history="1">
        <w:r>
          <w:rPr>
            <w:color w:val="466B7A"/>
          </w:rPr>
          <w:t>BH-21. Flexible RVC Target</w:t>
        </w:r>
      </w:hyperlink>
      <w:r>
        <w:tab/>
      </w:r>
      <w:r>
        <w:rPr>
          <w:rFonts w:ascii="Arial" w:hAnsi="Arial"/>
        </w:rPr>
        <w:t>1634</w:t>
      </w:r>
    </w:p>
    <w:p>
      <w:pPr>
        <w:pStyle w:val="TOC2"/>
        <w:widowControl/>
        <w:tabs>
          <w:tab w:pos="8856" w:val="right" w:leader="dot"/>
        </w:tabs>
      </w:pPr>
      <w:hyperlink w:anchor="_NAESTMA_TOC_2669" w:history="1">
        <w:r>
          <w:rPr>
            <w:color w:val="466B7A"/>
          </w:rPr>
          <w:t>BH-22. Battery Weighted Credit</w:t>
        </w:r>
      </w:hyperlink>
      <w:r>
        <w:tab/>
      </w:r>
      <w:r>
        <w:rPr>
          <w:rFonts w:ascii="Arial" w:hAnsi="Arial"/>
        </w:rPr>
        <w:t>1634</w:t>
      </w:r>
    </w:p>
    <w:p>
      <w:pPr>
        <w:pStyle w:val="TOC2"/>
        <w:widowControl/>
        <w:tabs>
          <w:tab w:pos="8856" w:val="right" w:leader="dot"/>
        </w:tabs>
      </w:pPr>
      <w:hyperlink w:anchor="_NAESTMA_TOC_2670" w:history="1">
        <w:r>
          <w:rPr>
            <w:color w:val="466B7A"/>
          </w:rPr>
          <w:t>BH-23. Core Parts List</w:t>
        </w:r>
      </w:hyperlink>
      <w:r>
        <w:tab/>
      </w:r>
      <w:r>
        <w:rPr>
          <w:rFonts w:ascii="Arial" w:hAnsi="Arial"/>
        </w:rPr>
        <w:t>1634</w:t>
      </w:r>
    </w:p>
    <w:p>
      <w:pPr>
        <w:pStyle w:val="TOC2"/>
        <w:widowControl/>
        <w:tabs>
          <w:tab w:pos="8856" w:val="right" w:leader="dot"/>
        </w:tabs>
      </w:pPr>
      <w:hyperlink w:anchor="_NAESTMA_TOC_2671" w:history="1">
        <w:r>
          <w:rPr>
            <w:color w:val="466B7A"/>
          </w:rPr>
          <w:t>BH-24. Roll-Up Provision</w:t>
        </w:r>
      </w:hyperlink>
      <w:r>
        <w:tab/>
      </w:r>
      <w:r>
        <w:rPr>
          <w:rFonts w:ascii="Arial" w:hAnsi="Arial"/>
        </w:rPr>
        <w:t>1634</w:t>
      </w:r>
    </w:p>
    <w:p>
      <w:pPr>
        <w:pStyle w:val="TOC2"/>
        <w:widowControl/>
        <w:tabs>
          <w:tab w:pos="8856" w:val="right" w:leader="dot"/>
        </w:tabs>
      </w:pPr>
      <w:hyperlink w:anchor="_NAESTMA_TOC_2672" w:history="1">
        <w:r>
          <w:rPr>
            <w:color w:val="466B7A"/>
          </w:rPr>
          <w:t>BH-25. Supplier Aggregation</w:t>
        </w:r>
      </w:hyperlink>
      <w:r>
        <w:tab/>
      </w:r>
      <w:r>
        <w:rPr>
          <w:rFonts w:ascii="Arial" w:hAnsi="Arial"/>
        </w:rPr>
        <w:t>1634</w:t>
      </w:r>
    </w:p>
    <w:p>
      <w:pPr>
        <w:pStyle w:val="TOC2"/>
        <w:widowControl/>
        <w:tabs>
          <w:tab w:pos="8856" w:val="right" w:leader="dot"/>
        </w:tabs>
      </w:pPr>
      <w:hyperlink w:anchor="_NAESTMA_TOC_2673" w:history="1">
        <w:r>
          <w:rPr>
            <w:color w:val="466B7A"/>
          </w:rPr>
          <w:t>BH-26. De Minimis Increase</w:t>
        </w:r>
      </w:hyperlink>
      <w:r>
        <w:tab/>
      </w:r>
      <w:r>
        <w:rPr>
          <w:rFonts w:ascii="Arial" w:hAnsi="Arial"/>
        </w:rPr>
        <w:t>1634</w:t>
      </w:r>
    </w:p>
    <w:p>
      <w:pPr>
        <w:pStyle w:val="TOC2"/>
        <w:widowControl/>
        <w:tabs>
          <w:tab w:pos="8856" w:val="right" w:leader="dot"/>
        </w:tabs>
      </w:pPr>
      <w:hyperlink w:anchor="_NAESTMA_TOC_2674" w:history="1">
        <w:r>
          <w:rPr>
            <w:color w:val="466B7A"/>
          </w:rPr>
          <w:t>BH-27. Tracing Technology</w:t>
        </w:r>
      </w:hyperlink>
      <w:r>
        <w:tab/>
      </w:r>
      <w:r>
        <w:rPr>
          <w:rFonts w:ascii="Arial" w:hAnsi="Arial"/>
        </w:rPr>
        <w:t>1634</w:t>
      </w:r>
    </w:p>
    <w:p>
      <w:pPr>
        <w:pStyle w:val="TOC2"/>
        <w:widowControl/>
        <w:tabs>
          <w:tab w:pos="8856" w:val="right" w:leader="dot"/>
        </w:tabs>
      </w:pPr>
      <w:hyperlink w:anchor="_NAESTMA_TOC_2675" w:history="1">
        <w:r>
          <w:rPr>
            <w:color w:val="466B7A"/>
          </w:rPr>
          <w:t>BH-28. Cumulation with Other FTA Partners</w:t>
        </w:r>
      </w:hyperlink>
      <w:r>
        <w:tab/>
      </w:r>
      <w:r>
        <w:rPr>
          <w:rFonts w:ascii="Arial" w:hAnsi="Arial"/>
        </w:rPr>
        <w:t>1634</w:t>
      </w:r>
    </w:p>
    <w:p>
      <w:pPr>
        <w:pStyle w:val="TOC2"/>
        <w:widowControl/>
        <w:tabs>
          <w:tab w:pos="8856" w:val="right" w:leader="dot"/>
        </w:tabs>
      </w:pPr>
      <w:hyperlink w:anchor="_NAESTMA_TOC_2676" w:history="1">
        <w:r>
          <w:rPr>
            <w:color w:val="466B7A"/>
          </w:rPr>
          <w:t>BH-29. Electric Motor Specific Rule</w:t>
        </w:r>
      </w:hyperlink>
      <w:r>
        <w:tab/>
      </w:r>
      <w:r>
        <w:rPr>
          <w:rFonts w:ascii="Arial" w:hAnsi="Arial"/>
        </w:rPr>
        <w:t>1634</w:t>
      </w:r>
    </w:p>
    <w:p>
      <w:pPr>
        <w:pStyle w:val="TOC2"/>
        <w:widowControl/>
        <w:tabs>
          <w:tab w:pos="8856" w:val="right" w:leader="dot"/>
        </w:tabs>
      </w:pPr>
      <w:hyperlink w:anchor="_NAESTMA_TOC_2677" w:history="1">
        <w:r>
          <w:rPr>
            <w:color w:val="466B7A"/>
          </w:rPr>
          <w:t>BH-30. Plastic &amp; Rubber Component Exemption</w:t>
        </w:r>
      </w:hyperlink>
      <w:r>
        <w:tab/>
      </w:r>
      <w:r>
        <w:rPr>
          <w:rFonts w:ascii="Arial" w:hAnsi="Arial"/>
        </w:rPr>
        <w:t>1634</w:t>
      </w:r>
    </w:p>
    <w:p>
      <w:pPr>
        <w:pStyle w:val="TOC2"/>
        <w:widowControl/>
        <w:tabs>
          <w:tab w:pos="8856" w:val="right" w:leader="dot"/>
        </w:tabs>
      </w:pPr>
      <w:hyperlink w:anchor="_NAESTMA_TOC_2678" w:history="1">
        <w:r>
          <w:rPr>
            <w:color w:val="466B7A"/>
          </w:rPr>
          <w:t>BH-31. Annual RVC Step-Up</w:t>
        </w:r>
      </w:hyperlink>
      <w:r>
        <w:tab/>
      </w:r>
      <w:r>
        <w:rPr>
          <w:rFonts w:ascii="Arial" w:hAnsi="Arial"/>
        </w:rPr>
        <w:t>1634</w:t>
      </w:r>
    </w:p>
    <w:p>
      <w:pPr>
        <w:pStyle w:val="TOC2"/>
        <w:widowControl/>
        <w:tabs>
          <w:tab w:pos="8856" w:val="right" w:leader="dot"/>
        </w:tabs>
      </w:pPr>
      <w:hyperlink w:anchor="_NAESTMA_TOC_2679" w:history="1">
        <w:r>
          <w:rPr>
            <w:color w:val="466B7A"/>
          </w:rPr>
          <w:t>BH-32. Certificate of Origin Mutual Recognition</w:t>
        </w:r>
      </w:hyperlink>
      <w:r>
        <w:tab/>
      </w:r>
      <w:r>
        <w:rPr>
          <w:rFonts w:ascii="Arial" w:hAnsi="Arial"/>
        </w:rPr>
        <w:t>1634</w:t>
      </w:r>
    </w:p>
    <w:p>
      <w:pPr>
        <w:pStyle w:val="TOC2"/>
        <w:widowControl/>
        <w:tabs>
          <w:tab w:pos="8856" w:val="right" w:leader="dot"/>
        </w:tabs>
      </w:pPr>
      <w:hyperlink w:anchor="_NAESTMA_TOC_2680" w:history="1">
        <w:r>
          <w:rPr>
            <w:color w:val="466B7A"/>
          </w:rPr>
          <w:t>BH-33. Value-Add vs. Cost-Add</w:t>
        </w:r>
      </w:hyperlink>
      <w:r>
        <w:tab/>
      </w:r>
      <w:r>
        <w:rPr>
          <w:rFonts w:ascii="Arial" w:hAnsi="Arial"/>
        </w:rPr>
        <w:t>1635</w:t>
      </w:r>
    </w:p>
    <w:p>
      <w:pPr>
        <w:pStyle w:val="TOC2"/>
        <w:widowControl/>
        <w:tabs>
          <w:tab w:pos="8856" w:val="right" w:leader="dot"/>
        </w:tabs>
      </w:pPr>
      <w:hyperlink w:anchor="_NAESTMA_TOC_2681" w:history="1">
        <w:r>
          <w:rPr>
            <w:color w:val="466B7A"/>
          </w:rPr>
          <w:t>BH-34. Tooling &amp; Die Credit</w:t>
        </w:r>
      </w:hyperlink>
      <w:r>
        <w:tab/>
      </w:r>
      <w:r>
        <w:rPr>
          <w:rFonts w:ascii="Arial" w:hAnsi="Arial"/>
        </w:rPr>
        <w:t>1635</w:t>
      </w:r>
    </w:p>
    <w:p>
      <w:pPr>
        <w:pStyle w:val="TOC2"/>
        <w:widowControl/>
        <w:tabs>
          <w:tab w:pos="8856" w:val="right" w:leader="dot"/>
        </w:tabs>
      </w:pPr>
      <w:hyperlink w:anchor="_NAESTMA_TOC_2682" w:history="1">
        <w:r>
          <w:rPr>
            <w:color w:val="466B7A"/>
          </w:rPr>
          <w:t>BH-35. Interim Compliance Period</w:t>
        </w:r>
      </w:hyperlink>
      <w:r>
        <w:tab/>
      </w:r>
      <w:r>
        <w:rPr>
          <w:rFonts w:ascii="Arial" w:hAnsi="Arial"/>
        </w:rPr>
        <w:t>1635</w:t>
      </w:r>
    </w:p>
    <w:p>
      <w:pPr>
        <w:pStyle w:val="TOC2"/>
        <w:widowControl/>
        <w:tabs>
          <w:tab w:pos="8856" w:val="right" w:leader="dot"/>
        </w:tabs>
      </w:pPr>
      <w:hyperlink w:anchor="_NAESTMA_TOC_2683" w:history="1">
        <w:r>
          <w:rPr>
            <w:color w:val="466B7A"/>
          </w:rPr>
          <w:t>BH-36. Sub-assembly Averaging</w:t>
        </w:r>
      </w:hyperlink>
      <w:r>
        <w:tab/>
      </w:r>
      <w:r>
        <w:rPr>
          <w:rFonts w:ascii="Arial" w:hAnsi="Arial"/>
        </w:rPr>
        <w:t>1635</w:t>
      </w:r>
    </w:p>
    <w:p>
      <w:pPr>
        <w:pStyle w:val="TOC2"/>
        <w:widowControl/>
        <w:tabs>
          <w:tab w:pos="8856" w:val="right" w:leader="dot"/>
        </w:tabs>
      </w:pPr>
      <w:hyperlink w:anchor="_NAESTMA_TOC_2684" w:history="1">
        <w:r>
          <w:rPr>
            <w:color w:val="466B7A"/>
          </w:rPr>
          <w:t>BH-37. Aftermarket Modification Credit</w:t>
        </w:r>
      </w:hyperlink>
      <w:r>
        <w:tab/>
      </w:r>
      <w:r>
        <w:rPr>
          <w:rFonts w:ascii="Arial" w:hAnsi="Arial"/>
        </w:rPr>
        <w:t>1635</w:t>
      </w:r>
    </w:p>
    <w:p>
      <w:pPr>
        <w:pStyle w:val="TOC2"/>
        <w:widowControl/>
        <w:tabs>
          <w:tab w:pos="8856" w:val="right" w:leader="dot"/>
        </w:tabs>
      </w:pPr>
      <w:hyperlink w:anchor="_NAESTMA_TOC_2685" w:history="1">
        <w:r>
          <w:rPr>
            <w:color w:val="466B7A"/>
          </w:rPr>
          <w:t>BH-38. Software &amp; IP Inclusion</w:t>
        </w:r>
      </w:hyperlink>
      <w:r>
        <w:tab/>
      </w:r>
      <w:r>
        <w:rPr>
          <w:rFonts w:ascii="Arial" w:hAnsi="Arial"/>
        </w:rPr>
        <w:t>1635</w:t>
      </w:r>
    </w:p>
    <w:p>
      <w:pPr>
        <w:pStyle w:val="TOC2"/>
        <w:widowControl/>
        <w:tabs>
          <w:tab w:pos="8856" w:val="right" w:leader="dot"/>
        </w:tabs>
      </w:pPr>
      <w:hyperlink w:anchor="_NAESTMA_TOC_2686" w:history="1">
        <w:r>
          <w:rPr>
            <w:color w:val="466B7A"/>
          </w:rPr>
          <w:t>BH-39. Emergency Waiver</w:t>
        </w:r>
      </w:hyperlink>
      <w:r>
        <w:tab/>
      </w:r>
      <w:r>
        <w:rPr>
          <w:rFonts w:ascii="Arial" w:hAnsi="Arial"/>
        </w:rPr>
        <w:t>1635</w:t>
      </w:r>
    </w:p>
    <w:p>
      <w:pPr>
        <w:pStyle w:val="TOC2"/>
        <w:widowControl/>
        <w:tabs>
          <w:tab w:pos="8856" w:val="right" w:leader="dot"/>
        </w:tabs>
      </w:pPr>
      <w:hyperlink w:anchor="_NAESTMA_TOC_2687" w:history="1">
        <w:r>
          <w:rPr>
            <w:color w:val="466B7A"/>
          </w:rPr>
          <w:t>BH-40. Five-Year Sunset Review</w:t>
        </w:r>
      </w:hyperlink>
      <w:r>
        <w:tab/>
      </w:r>
      <w:r>
        <w:rPr>
          <w:rFonts w:ascii="Arial" w:hAnsi="Arial"/>
        </w:rPr>
        <w:t>1635</w:t>
      </w:r>
    </w:p>
    <w:p>
      <w:pPr>
        <w:pStyle w:val="TOC2"/>
        <w:widowControl/>
        <w:tabs>
          <w:tab w:pos="8856" w:val="right" w:leader="dot"/>
        </w:tabs>
      </w:pPr>
      <w:hyperlink w:anchor="_NAESTMA_TOC_2688" w:history="1">
        <w:r>
          <w:rPr>
            <w:color w:val="466B7A"/>
          </w:rPr>
          <w:t>BH-41. North American Semiconductor Reserve</w:t>
        </w:r>
      </w:hyperlink>
      <w:r>
        <w:tab/>
      </w:r>
      <w:r>
        <w:rPr>
          <w:rFonts w:ascii="Arial" w:hAnsi="Arial"/>
        </w:rPr>
        <w:t>1635</w:t>
      </w:r>
    </w:p>
    <w:p>
      <w:pPr>
        <w:pStyle w:val="TOC2"/>
        <w:widowControl/>
        <w:tabs>
          <w:tab w:pos="8856" w:val="right" w:leader="dot"/>
        </w:tabs>
      </w:pPr>
      <w:hyperlink w:anchor="_NAESTMA_TOC_2689" w:history="1">
        <w:r>
          <w:rPr>
            <w:color w:val="466B7A"/>
          </w:rPr>
          <w:t>BH-42. Critical Minerals Pact</w:t>
        </w:r>
      </w:hyperlink>
      <w:r>
        <w:tab/>
      </w:r>
      <w:r>
        <w:rPr>
          <w:rFonts w:ascii="Arial" w:hAnsi="Arial"/>
        </w:rPr>
        <w:t>1635</w:t>
      </w:r>
    </w:p>
    <w:p>
      <w:pPr>
        <w:pStyle w:val="TOC2"/>
        <w:widowControl/>
        <w:tabs>
          <w:tab w:pos="8856" w:val="right" w:leader="dot"/>
        </w:tabs>
      </w:pPr>
      <w:hyperlink w:anchor="_NAESTMA_TOC_2690" w:history="1">
        <w:r>
          <w:rPr>
            <w:color w:val="466B7A"/>
          </w:rPr>
          <w:t>BH-43. Supplier Diversification Bonus</w:t>
        </w:r>
      </w:hyperlink>
      <w:r>
        <w:tab/>
      </w:r>
      <w:r>
        <w:rPr>
          <w:rFonts w:ascii="Arial" w:hAnsi="Arial"/>
        </w:rPr>
        <w:t>1635</w:t>
      </w:r>
    </w:p>
    <w:p>
      <w:pPr>
        <w:pStyle w:val="TOC2"/>
        <w:widowControl/>
        <w:tabs>
          <w:tab w:pos="8856" w:val="right" w:leader="dot"/>
        </w:tabs>
      </w:pPr>
      <w:hyperlink w:anchor="_NAESTMA_TOC_2691" w:history="1">
        <w:r>
          <w:rPr>
            <w:color w:val="466B7A"/>
          </w:rPr>
          <w:t>BH-44. Shared EV Battery Plant</w:t>
        </w:r>
      </w:hyperlink>
      <w:r>
        <w:tab/>
      </w:r>
      <w:r>
        <w:rPr>
          <w:rFonts w:ascii="Arial" w:hAnsi="Arial"/>
        </w:rPr>
        <w:t>1635</w:t>
      </w:r>
    </w:p>
    <w:p>
      <w:pPr>
        <w:pStyle w:val="TOC2"/>
        <w:widowControl/>
        <w:tabs>
          <w:tab w:pos="8856" w:val="right" w:leader="dot"/>
        </w:tabs>
      </w:pPr>
      <w:hyperlink w:anchor="_NAESTMA_TOC_2692" w:history="1">
        <w:r>
          <w:rPr>
            <w:color w:val="466B7A"/>
          </w:rPr>
          <w:t>BH-45. Just-in-Case Inventory Mandate</w:t>
        </w:r>
      </w:hyperlink>
      <w:r>
        <w:tab/>
      </w:r>
      <w:r>
        <w:rPr>
          <w:rFonts w:ascii="Arial" w:hAnsi="Arial"/>
        </w:rPr>
        <w:t>1636</w:t>
      </w:r>
    </w:p>
    <w:p>
      <w:pPr>
        <w:pStyle w:val="TOC2"/>
        <w:widowControl/>
        <w:tabs>
          <w:tab w:pos="8856" w:val="right" w:leader="dot"/>
        </w:tabs>
      </w:pPr>
      <w:hyperlink w:anchor="_NAESTMA_TOC_2693" w:history="1">
        <w:r>
          <w:rPr>
            <w:color w:val="466B7A"/>
          </w:rPr>
          <w:t>BH-46. Mexican Logistics Hub</w:t>
        </w:r>
      </w:hyperlink>
      <w:r>
        <w:tab/>
      </w:r>
      <w:r>
        <w:rPr>
          <w:rFonts w:ascii="Arial" w:hAnsi="Arial"/>
        </w:rPr>
        <w:t>1636</w:t>
      </w:r>
    </w:p>
    <w:p>
      <w:pPr>
        <w:pStyle w:val="TOC2"/>
        <w:widowControl/>
        <w:tabs>
          <w:tab w:pos="8856" w:val="right" w:leader="dot"/>
        </w:tabs>
      </w:pPr>
      <w:hyperlink w:anchor="_NAESTMA_TOC_2694" w:history="1">
        <w:r>
          <w:rPr>
            <w:color w:val="466B7A"/>
          </w:rPr>
          <w:t>BH-47. Canadian Rare Earth Refinery</w:t>
        </w:r>
      </w:hyperlink>
      <w:r>
        <w:tab/>
      </w:r>
      <w:r>
        <w:rPr>
          <w:rFonts w:ascii="Arial" w:hAnsi="Arial"/>
        </w:rPr>
        <w:t>1636</w:t>
      </w:r>
    </w:p>
    <w:p>
      <w:pPr>
        <w:pStyle w:val="TOC2"/>
        <w:widowControl/>
        <w:tabs>
          <w:tab w:pos="8856" w:val="right" w:leader="dot"/>
        </w:tabs>
      </w:pPr>
      <w:hyperlink w:anchor="_NAESTMA_TOC_2695" w:history="1">
        <w:r>
          <w:rPr>
            <w:color w:val="466B7A"/>
          </w:rPr>
          <w:t>BH-48. Joint Procurement of Semiconductors</w:t>
        </w:r>
      </w:hyperlink>
      <w:r>
        <w:tab/>
      </w:r>
      <w:r>
        <w:rPr>
          <w:rFonts w:ascii="Arial" w:hAnsi="Arial"/>
        </w:rPr>
        <w:t>1636</w:t>
      </w:r>
    </w:p>
    <w:p>
      <w:pPr>
        <w:pStyle w:val="TOC2"/>
        <w:widowControl/>
        <w:tabs>
          <w:tab w:pos="8856" w:val="right" w:leader="dot"/>
        </w:tabs>
      </w:pPr>
      <w:hyperlink w:anchor="_NAESTMA_TOC_2696" w:history="1">
        <w:r>
          <w:rPr>
            <w:color w:val="466B7A"/>
          </w:rPr>
          <w:t>BH-49. Cross-Border Trucking Agreement</w:t>
        </w:r>
      </w:hyperlink>
      <w:r>
        <w:tab/>
      </w:r>
      <w:r>
        <w:rPr>
          <w:rFonts w:ascii="Arial" w:hAnsi="Arial"/>
        </w:rPr>
        <w:t>1636</w:t>
      </w:r>
    </w:p>
    <w:p>
      <w:pPr>
        <w:pStyle w:val="TOC2"/>
        <w:widowControl/>
        <w:tabs>
          <w:tab w:pos="8856" w:val="right" w:leader="dot"/>
        </w:tabs>
      </w:pPr>
      <w:hyperlink w:anchor="_NAESTMA_TOC_2697" w:history="1">
        <w:r>
          <w:rPr>
            <w:color w:val="466B7A"/>
          </w:rPr>
          <w:t>BH-50. Strategic Parts Stockpile</w:t>
        </w:r>
      </w:hyperlink>
      <w:r>
        <w:tab/>
      </w:r>
      <w:r>
        <w:rPr>
          <w:rFonts w:ascii="Arial" w:hAnsi="Arial"/>
        </w:rPr>
        <w:t>1636</w:t>
      </w:r>
    </w:p>
    <w:p>
      <w:pPr>
        <w:pStyle w:val="TOC2"/>
        <w:widowControl/>
        <w:tabs>
          <w:tab w:pos="8856" w:val="right" w:leader="dot"/>
        </w:tabs>
      </w:pPr>
      <w:hyperlink w:anchor="_NAESTMA_TOC_2698" w:history="1">
        <w:r>
          <w:rPr>
            <w:color w:val="466B7A"/>
          </w:rPr>
          <w:t>BH-51. Supplier Matchmaking Platform</w:t>
        </w:r>
      </w:hyperlink>
      <w:r>
        <w:tab/>
      </w:r>
      <w:r>
        <w:rPr>
          <w:rFonts w:ascii="Arial" w:hAnsi="Arial"/>
        </w:rPr>
        <w:t>1636</w:t>
      </w:r>
    </w:p>
    <w:p>
      <w:pPr>
        <w:pStyle w:val="TOC2"/>
        <w:widowControl/>
        <w:tabs>
          <w:tab w:pos="8856" w:val="right" w:leader="dot"/>
        </w:tabs>
      </w:pPr>
      <w:hyperlink w:anchor="_NAESTMA_TOC_2699" w:history="1">
        <w:r>
          <w:rPr>
            <w:color w:val="466B7A"/>
          </w:rPr>
          <w:t>BH-52. Rail and Corridor Investment</w:t>
        </w:r>
      </w:hyperlink>
      <w:r>
        <w:tab/>
      </w:r>
      <w:r>
        <w:rPr>
          <w:rFonts w:ascii="Arial" w:hAnsi="Arial"/>
        </w:rPr>
        <w:t>1636</w:t>
      </w:r>
    </w:p>
    <w:p>
      <w:pPr>
        <w:pStyle w:val="TOC2"/>
        <w:widowControl/>
        <w:tabs>
          <w:tab w:pos="8856" w:val="right" w:leader="dot"/>
        </w:tabs>
      </w:pPr>
      <w:hyperlink w:anchor="_NAESTMA_TOC_2700" w:history="1">
        <w:r>
          <w:rPr>
            <w:color w:val="466B7A"/>
          </w:rPr>
          <w:t>BH-53. Anti-Dumping Cooperation</w:t>
        </w:r>
      </w:hyperlink>
      <w:r>
        <w:tab/>
      </w:r>
      <w:r>
        <w:rPr>
          <w:rFonts w:ascii="Arial" w:hAnsi="Arial"/>
        </w:rPr>
        <w:t>1636</w:t>
      </w:r>
    </w:p>
    <w:p>
      <w:pPr>
        <w:pStyle w:val="TOC2"/>
        <w:widowControl/>
        <w:tabs>
          <w:tab w:pos="8856" w:val="right" w:leader="dot"/>
        </w:tabs>
      </w:pPr>
      <w:hyperlink w:anchor="_NAESTMA_TOC_2701" w:history="1">
        <w:r>
          <w:rPr>
            <w:color w:val="466B7A"/>
          </w:rPr>
          <w:t>BH-54. Second-Tier Supplier Inclusion</w:t>
        </w:r>
      </w:hyperlink>
      <w:r>
        <w:tab/>
      </w:r>
      <w:r>
        <w:rPr>
          <w:rFonts w:ascii="Arial" w:hAnsi="Arial"/>
        </w:rPr>
        <w:t>1636</w:t>
      </w:r>
    </w:p>
    <w:p>
      <w:pPr>
        <w:pStyle w:val="TOC2"/>
        <w:widowControl/>
        <w:tabs>
          <w:tab w:pos="8856" w:val="right" w:leader="dot"/>
        </w:tabs>
      </w:pPr>
      <w:hyperlink w:anchor="_NAESTMA_TOC_2702" w:history="1">
        <w:r>
          <w:rPr>
            <w:color w:val="466B7A"/>
          </w:rPr>
          <w:t>BH-55. Recycling Mandate</w:t>
        </w:r>
      </w:hyperlink>
      <w:r>
        <w:tab/>
      </w:r>
      <w:r>
        <w:rPr>
          <w:rFonts w:ascii="Arial" w:hAnsi="Arial"/>
        </w:rPr>
        <w:t>1636</w:t>
      </w:r>
    </w:p>
    <w:p>
      <w:pPr>
        <w:pStyle w:val="TOC2"/>
        <w:widowControl/>
        <w:tabs>
          <w:tab w:pos="8856" w:val="right" w:leader="dot"/>
        </w:tabs>
      </w:pPr>
      <w:hyperlink w:anchor="_NAESTMA_TOC_2703" w:history="1">
        <w:r>
          <w:rPr>
            <w:color w:val="466B7A"/>
          </w:rPr>
          <w:t>BH-56. Joint R&amp;D for Substitute Materials</w:t>
        </w:r>
      </w:hyperlink>
      <w:r>
        <w:tab/>
      </w:r>
      <w:r>
        <w:rPr>
          <w:rFonts w:ascii="Arial" w:hAnsi="Arial"/>
        </w:rPr>
        <w:t>1636</w:t>
      </w:r>
    </w:p>
    <w:p>
      <w:pPr>
        <w:pStyle w:val="TOC2"/>
        <w:widowControl/>
        <w:tabs>
          <w:tab w:pos="8856" w:val="right" w:leader="dot"/>
        </w:tabs>
      </w:pPr>
      <w:hyperlink w:anchor="_NAESTMA_TOC_2704" w:history="1">
        <w:r>
          <w:rPr>
            <w:color w:val="466B7A"/>
          </w:rPr>
          <w:t>BH-57. Shared Warehousing</w:t>
        </w:r>
      </w:hyperlink>
      <w:r>
        <w:tab/>
      </w:r>
      <w:r>
        <w:rPr>
          <w:rFonts w:ascii="Arial" w:hAnsi="Arial"/>
        </w:rPr>
        <w:t>1637</w:t>
      </w:r>
    </w:p>
    <w:p>
      <w:pPr>
        <w:pStyle w:val="TOC2"/>
        <w:widowControl/>
        <w:tabs>
          <w:tab w:pos="8856" w:val="right" w:leader="dot"/>
        </w:tabs>
      </w:pPr>
      <w:hyperlink w:anchor="_NAESTMA_TOC_2705" w:history="1">
        <w:r>
          <w:rPr>
            <w:color w:val="466B7A"/>
          </w:rPr>
          <w:t>BH-58. Emergency Air Bridge</w:t>
        </w:r>
      </w:hyperlink>
      <w:r>
        <w:tab/>
      </w:r>
      <w:r>
        <w:rPr>
          <w:rFonts w:ascii="Arial" w:hAnsi="Arial"/>
        </w:rPr>
        <w:t>1637</w:t>
      </w:r>
    </w:p>
    <w:p>
      <w:pPr>
        <w:pStyle w:val="TOC2"/>
        <w:widowControl/>
        <w:tabs>
          <w:tab w:pos="8856" w:val="right" w:leader="dot"/>
        </w:tabs>
      </w:pPr>
      <w:hyperlink w:anchor="_NAESTMA_TOC_2706" w:history="1">
        <w:r>
          <w:rPr>
            <w:color w:val="466B7A"/>
          </w:rPr>
          <w:t>BH-59. Supplier Certification Equivalency</w:t>
        </w:r>
      </w:hyperlink>
      <w:r>
        <w:tab/>
      </w:r>
      <w:r>
        <w:rPr>
          <w:rFonts w:ascii="Arial" w:hAnsi="Arial"/>
        </w:rPr>
        <w:t>1637</w:t>
      </w:r>
    </w:p>
    <w:p>
      <w:pPr>
        <w:pStyle w:val="TOC2"/>
        <w:widowControl/>
        <w:tabs>
          <w:tab w:pos="8856" w:val="right" w:leader="dot"/>
        </w:tabs>
      </w:pPr>
      <w:hyperlink w:anchor="_NAESTMA_TOC_2707" w:history="1">
        <w:r>
          <w:rPr>
            <w:color w:val="466B7A"/>
          </w:rPr>
          <w:t>BH-60. Inventory Data Sharing</w:t>
        </w:r>
      </w:hyperlink>
      <w:r>
        <w:tab/>
      </w:r>
      <w:r>
        <w:rPr>
          <w:rFonts w:ascii="Arial" w:hAnsi="Arial"/>
        </w:rPr>
        <w:t>1637</w:t>
      </w:r>
    </w:p>
    <w:p>
      <w:pPr>
        <w:pStyle w:val="TOC2"/>
        <w:widowControl/>
        <w:tabs>
          <w:tab w:pos="8856" w:val="right" w:leader="dot"/>
        </w:tabs>
      </w:pPr>
      <w:hyperlink w:anchor="_NAESTMA_TOC_2708" w:history="1">
        <w:r>
          <w:rPr>
            <w:color w:val="466B7A"/>
          </w:rPr>
          <w:t>BH-61. EV Production Tax Credit Portability</w:t>
        </w:r>
      </w:hyperlink>
      <w:r>
        <w:tab/>
      </w:r>
      <w:r>
        <w:rPr>
          <w:rFonts w:ascii="Arial" w:hAnsi="Arial"/>
        </w:rPr>
        <w:t>1637</w:t>
      </w:r>
    </w:p>
    <w:p>
      <w:pPr>
        <w:pStyle w:val="TOC2"/>
        <w:widowControl/>
        <w:tabs>
          <w:tab w:pos="8856" w:val="right" w:leader="dot"/>
        </w:tabs>
      </w:pPr>
      <w:hyperlink w:anchor="_NAESTMA_TOC_2709" w:history="1">
        <w:r>
          <w:rPr>
            <w:color w:val="466B7A"/>
          </w:rPr>
          <w:t>BH-62. Mexican Investment Matching</w:t>
        </w:r>
      </w:hyperlink>
      <w:r>
        <w:tab/>
      </w:r>
      <w:r>
        <w:rPr>
          <w:rFonts w:ascii="Arial" w:hAnsi="Arial"/>
        </w:rPr>
        <w:t>1637</w:t>
      </w:r>
    </w:p>
    <w:p>
      <w:pPr>
        <w:pStyle w:val="TOC2"/>
        <w:widowControl/>
        <w:tabs>
          <w:tab w:pos="8856" w:val="right" w:leader="dot"/>
        </w:tabs>
      </w:pPr>
      <w:hyperlink w:anchor="_NAESTMA_TOC_2710" w:history="1">
        <w:r>
          <w:rPr>
            <w:color w:val="466B7A"/>
          </w:rPr>
          <w:t>BH-63. Canadian Retooling Fund</w:t>
        </w:r>
      </w:hyperlink>
      <w:r>
        <w:tab/>
      </w:r>
      <w:r>
        <w:rPr>
          <w:rFonts w:ascii="Arial" w:hAnsi="Arial"/>
        </w:rPr>
        <w:t>1637</w:t>
      </w:r>
    </w:p>
    <w:p>
      <w:pPr>
        <w:pStyle w:val="TOC2"/>
        <w:widowControl/>
        <w:tabs>
          <w:tab w:pos="8856" w:val="right" w:leader="dot"/>
        </w:tabs>
      </w:pPr>
      <w:hyperlink w:anchor="_NAESTMA_TOC_2711" w:history="1">
        <w:r>
          <w:rPr>
            <w:color w:val="466B7A"/>
          </w:rPr>
          <w:t>BH-64. Shared Depreciation Rates</w:t>
        </w:r>
      </w:hyperlink>
      <w:r>
        <w:tab/>
      </w:r>
      <w:r>
        <w:rPr>
          <w:rFonts w:ascii="Arial" w:hAnsi="Arial"/>
        </w:rPr>
        <w:t>1637</w:t>
      </w:r>
    </w:p>
    <w:p>
      <w:pPr>
        <w:pStyle w:val="TOC2"/>
        <w:widowControl/>
        <w:tabs>
          <w:tab w:pos="8856" w:val="right" w:leader="dot"/>
        </w:tabs>
      </w:pPr>
      <w:hyperlink w:anchor="_NAESTMA_TOC_2712" w:history="1">
        <w:r>
          <w:rPr>
            <w:color w:val="466B7A"/>
          </w:rPr>
          <w:t>BH-65. Green Energy Subsidy Harmonization</w:t>
        </w:r>
      </w:hyperlink>
      <w:r>
        <w:tab/>
      </w:r>
      <w:r>
        <w:rPr>
          <w:rFonts w:ascii="Arial" w:hAnsi="Arial"/>
        </w:rPr>
        <w:t>1637</w:t>
      </w:r>
    </w:p>
    <w:p>
      <w:pPr>
        <w:pStyle w:val="TOC2"/>
        <w:widowControl/>
        <w:tabs>
          <w:tab w:pos="8856" w:val="right" w:leader="dot"/>
        </w:tabs>
      </w:pPr>
      <w:hyperlink w:anchor="_NAESTMA_TOC_2713" w:history="1">
        <w:r>
          <w:rPr>
            <w:color w:val="466B7A"/>
          </w:rPr>
          <w:t>BH-66. Border Zone Investment Credit</w:t>
        </w:r>
      </w:hyperlink>
      <w:r>
        <w:tab/>
      </w:r>
      <w:r>
        <w:rPr>
          <w:rFonts w:ascii="Arial" w:hAnsi="Arial"/>
        </w:rPr>
        <w:t>1637</w:t>
      </w:r>
    </w:p>
    <w:p>
      <w:pPr>
        <w:pStyle w:val="TOC2"/>
        <w:widowControl/>
        <w:tabs>
          <w:tab w:pos="8856" w:val="right" w:leader="dot"/>
        </w:tabs>
      </w:pPr>
      <w:hyperlink w:anchor="_NAESTMA_TOC_2714" w:history="1">
        <w:r>
          <w:rPr>
            <w:color w:val="466B7A"/>
          </w:rPr>
          <w:t>BH-67. Worker Training Tax Credit</w:t>
        </w:r>
      </w:hyperlink>
      <w:r>
        <w:tab/>
      </w:r>
      <w:r>
        <w:rPr>
          <w:rFonts w:ascii="Arial" w:hAnsi="Arial"/>
        </w:rPr>
        <w:t>1637</w:t>
      </w:r>
    </w:p>
    <w:p>
      <w:pPr>
        <w:pStyle w:val="TOC2"/>
        <w:widowControl/>
        <w:tabs>
          <w:tab w:pos="8856" w:val="right" w:leader="dot"/>
        </w:tabs>
      </w:pPr>
      <w:hyperlink w:anchor="_NAESTMA_TOC_2715" w:history="1">
        <w:r>
          <w:rPr>
            <w:color w:val="466B7A"/>
          </w:rPr>
          <w:t>BH-68. Joint SOE Rules</w:t>
        </w:r>
      </w:hyperlink>
      <w:r>
        <w:tab/>
      </w:r>
      <w:r>
        <w:rPr>
          <w:rFonts w:ascii="Arial" w:hAnsi="Arial"/>
        </w:rPr>
        <w:t>1638</w:t>
      </w:r>
    </w:p>
    <w:p>
      <w:pPr>
        <w:pStyle w:val="TOC2"/>
        <w:widowControl/>
        <w:tabs>
          <w:tab w:pos="8856" w:val="right" w:leader="dot"/>
        </w:tabs>
      </w:pPr>
      <w:hyperlink w:anchor="_NAESTMA_TOC_2716" w:history="1">
        <w:r>
          <w:rPr>
            <w:color w:val="466B7A"/>
          </w:rPr>
          <w:t>BH-69. Mobility R&amp;D Corridor</w:t>
        </w:r>
      </w:hyperlink>
      <w:r>
        <w:tab/>
      </w:r>
      <w:r>
        <w:rPr>
          <w:rFonts w:ascii="Arial" w:hAnsi="Arial"/>
        </w:rPr>
        <w:t>1638</w:t>
      </w:r>
    </w:p>
    <w:p>
      <w:pPr>
        <w:pStyle w:val="TOC2"/>
        <w:widowControl/>
        <w:tabs>
          <w:tab w:pos="8856" w:val="right" w:leader="dot"/>
        </w:tabs>
      </w:pPr>
      <w:hyperlink w:anchor="_NAESTMA_TOC_2717" w:history="1">
        <w:r>
          <w:rPr>
            <w:color w:val="466B7A"/>
          </w:rPr>
          <w:t>BH-70. Production Floor Commitment</w:t>
        </w:r>
      </w:hyperlink>
      <w:r>
        <w:tab/>
      </w:r>
      <w:r>
        <w:rPr>
          <w:rFonts w:ascii="Arial" w:hAnsi="Arial"/>
        </w:rPr>
        <w:t>1638</w:t>
      </w:r>
    </w:p>
    <w:p>
      <w:pPr>
        <w:pStyle w:val="TOC2"/>
        <w:widowControl/>
        <w:tabs>
          <w:tab w:pos="8856" w:val="right" w:leader="dot"/>
        </w:tabs>
      </w:pPr>
      <w:hyperlink w:anchor="_NAESTMA_TOC_2718" w:history="1">
        <w:r>
          <w:rPr>
            <w:color w:val="466B7A"/>
          </w:rPr>
          <w:t>BH-71. Mexican Auto Supplier Park</w:t>
        </w:r>
      </w:hyperlink>
      <w:r>
        <w:tab/>
      </w:r>
      <w:r>
        <w:rPr>
          <w:rFonts w:ascii="Arial" w:hAnsi="Arial"/>
        </w:rPr>
        <w:t>1638</w:t>
      </w:r>
    </w:p>
    <w:p>
      <w:pPr>
        <w:pStyle w:val="TOC2"/>
        <w:widowControl/>
        <w:tabs>
          <w:tab w:pos="8856" w:val="right" w:leader="dot"/>
        </w:tabs>
      </w:pPr>
      <w:hyperlink w:anchor="_NAESTMA_TOC_2719" w:history="1">
        <w:r>
          <w:rPr>
            <w:color w:val="466B7A"/>
          </w:rPr>
          <w:t>BH-72. Canadian Innovation Voucher</w:t>
        </w:r>
      </w:hyperlink>
      <w:r>
        <w:tab/>
      </w:r>
      <w:r>
        <w:rPr>
          <w:rFonts w:ascii="Arial" w:hAnsi="Arial"/>
        </w:rPr>
        <w:t>1638</w:t>
      </w:r>
    </w:p>
    <w:p>
      <w:pPr>
        <w:pStyle w:val="TOC2"/>
        <w:widowControl/>
        <w:tabs>
          <w:tab w:pos="8856" w:val="right" w:leader="dot"/>
        </w:tabs>
      </w:pPr>
      <w:hyperlink w:anchor="_NAESTMA_TOC_2720" w:history="1">
        <w:r>
          <w:rPr>
            <w:color w:val="466B7A"/>
          </w:rPr>
          <w:t>BH-73. Tax Equalization Mechanism</w:t>
        </w:r>
      </w:hyperlink>
      <w:r>
        <w:tab/>
      </w:r>
      <w:r>
        <w:rPr>
          <w:rFonts w:ascii="Arial" w:hAnsi="Arial"/>
        </w:rPr>
        <w:t>1638</w:t>
      </w:r>
    </w:p>
    <w:p>
      <w:pPr>
        <w:pStyle w:val="TOC2"/>
        <w:widowControl/>
        <w:tabs>
          <w:tab w:pos="8856" w:val="right" w:leader="dot"/>
        </w:tabs>
      </w:pPr>
      <w:hyperlink w:anchor="_NAESTMA_TOC_2721" w:history="1">
        <w:r>
          <w:rPr>
            <w:color w:val="466B7A"/>
          </w:rPr>
          <w:t>BH-74. Plant Repatriation Bonus</w:t>
        </w:r>
      </w:hyperlink>
      <w:r>
        <w:tab/>
      </w:r>
      <w:r>
        <w:rPr>
          <w:rFonts w:ascii="Arial" w:hAnsi="Arial"/>
        </w:rPr>
        <w:t>1638</w:t>
      </w:r>
    </w:p>
    <w:p>
      <w:pPr>
        <w:pStyle w:val="TOC2"/>
        <w:widowControl/>
        <w:tabs>
          <w:tab w:pos="8856" w:val="right" w:leader="dot"/>
        </w:tabs>
      </w:pPr>
      <w:hyperlink w:anchor="_NAESTMA_TOC_2722" w:history="1">
        <w:r>
          <w:rPr>
            <w:color w:val="466B7A"/>
          </w:rPr>
          <w:t>BH-75. Joint Venture for Autonomous Tech</w:t>
        </w:r>
      </w:hyperlink>
      <w:r>
        <w:tab/>
      </w:r>
      <w:r>
        <w:rPr>
          <w:rFonts w:ascii="Arial" w:hAnsi="Arial"/>
        </w:rPr>
        <w:t>1638</w:t>
      </w:r>
    </w:p>
    <w:p>
      <w:pPr>
        <w:pStyle w:val="TOC2"/>
        <w:widowControl/>
        <w:tabs>
          <w:tab w:pos="8856" w:val="right" w:leader="dot"/>
        </w:tabs>
      </w:pPr>
      <w:hyperlink w:anchor="_NAESTMA_TOC_2723" w:history="1">
        <w:r>
          <w:rPr>
            <w:color w:val="466B7A"/>
          </w:rPr>
          <w:t>BH-76. Infrastructure Deduction</w:t>
        </w:r>
      </w:hyperlink>
      <w:r>
        <w:tab/>
      </w:r>
      <w:r>
        <w:rPr>
          <w:rFonts w:ascii="Arial" w:hAnsi="Arial"/>
        </w:rPr>
        <w:t>1638</w:t>
      </w:r>
    </w:p>
    <w:p>
      <w:pPr>
        <w:pStyle w:val="TOC2"/>
        <w:widowControl/>
        <w:tabs>
          <w:tab w:pos="8856" w:val="right" w:leader="dot"/>
        </w:tabs>
      </w:pPr>
      <w:hyperlink w:anchor="_NAESTMA_TOC_2724" w:history="1">
        <w:r>
          <w:rPr>
            <w:color w:val="466B7A"/>
          </w:rPr>
          <w:t>BH-77. Local Content Investment Credits</w:t>
        </w:r>
      </w:hyperlink>
      <w:r>
        <w:tab/>
      </w:r>
      <w:r>
        <w:rPr>
          <w:rFonts w:ascii="Arial" w:hAnsi="Arial"/>
        </w:rPr>
        <w:t>1638</w:t>
      </w:r>
    </w:p>
    <w:p>
      <w:pPr>
        <w:pStyle w:val="TOC2"/>
        <w:widowControl/>
        <w:tabs>
          <w:tab w:pos="8856" w:val="right" w:leader="dot"/>
        </w:tabs>
      </w:pPr>
      <w:hyperlink w:anchor="_NAESTMA_TOC_2725" w:history="1">
        <w:r>
          <w:rPr>
            <w:color w:val="466B7A"/>
          </w:rPr>
          <w:t>BH-78. Technology Transfer Facilitation</w:t>
        </w:r>
      </w:hyperlink>
      <w:r>
        <w:tab/>
      </w:r>
      <w:r>
        <w:rPr>
          <w:rFonts w:ascii="Arial" w:hAnsi="Arial"/>
        </w:rPr>
        <w:t>1638</w:t>
      </w:r>
    </w:p>
    <w:p>
      <w:pPr>
        <w:pStyle w:val="TOC2"/>
        <w:widowControl/>
        <w:tabs>
          <w:tab w:pos="8856" w:val="right" w:leader="dot"/>
        </w:tabs>
      </w:pPr>
      <w:hyperlink w:anchor="_NAESTMA_TOC_2726" w:history="1">
        <w:r>
          <w:rPr>
            <w:color w:val="466B7A"/>
          </w:rPr>
          <w:t>BH-79. Community Benefit Agreements</w:t>
        </w:r>
      </w:hyperlink>
      <w:r>
        <w:tab/>
      </w:r>
      <w:r>
        <w:rPr>
          <w:rFonts w:ascii="Arial" w:hAnsi="Arial"/>
        </w:rPr>
        <w:t>1639</w:t>
      </w:r>
    </w:p>
    <w:p>
      <w:pPr>
        <w:pStyle w:val="TOC2"/>
        <w:widowControl/>
        <w:tabs>
          <w:tab w:pos="8856" w:val="right" w:leader="dot"/>
        </w:tabs>
      </w:pPr>
      <w:hyperlink w:anchor="_NAESTMA_TOC_2727" w:history="1">
        <w:r>
          <w:rPr>
            <w:color w:val="466B7A"/>
          </w:rPr>
          <w:t>BH-80. Emergency Investment Protection</w:t>
        </w:r>
      </w:hyperlink>
      <w:r>
        <w:tab/>
      </w:r>
      <w:r>
        <w:rPr>
          <w:rFonts w:ascii="Arial" w:hAnsi="Arial"/>
        </w:rPr>
        <w:t>1639</w:t>
      </w:r>
    </w:p>
    <w:p>
      <w:pPr>
        <w:pStyle w:val="TOC2"/>
        <w:widowControl/>
        <w:tabs>
          <w:tab w:pos="8856" w:val="right" w:leader="dot"/>
        </w:tabs>
      </w:pPr>
      <w:hyperlink w:anchor="_NAESTMA_TOC_2728" w:history="1">
        <w:r>
          <w:rPr>
            <w:color w:val="466B7A"/>
          </w:rPr>
          <w:t>BH-81. Wage Alignment Fund</w:t>
        </w:r>
      </w:hyperlink>
      <w:r>
        <w:tab/>
      </w:r>
      <w:r>
        <w:rPr>
          <w:rFonts w:ascii="Arial" w:hAnsi="Arial"/>
        </w:rPr>
        <w:t>1639</w:t>
      </w:r>
    </w:p>
    <w:p>
      <w:pPr>
        <w:pStyle w:val="TOC2"/>
        <w:widowControl/>
        <w:tabs>
          <w:tab w:pos="8856" w:val="right" w:leader="dot"/>
        </w:tabs>
      </w:pPr>
      <w:hyperlink w:anchor="_NAESTMA_TOC_2729" w:history="1">
        <w:r>
          <w:rPr>
            <w:color w:val="466B7A"/>
          </w:rPr>
          <w:t>BH-82. Rapid Response Mechanism Extension</w:t>
        </w:r>
      </w:hyperlink>
      <w:r>
        <w:tab/>
      </w:r>
      <w:r>
        <w:rPr>
          <w:rFonts w:ascii="Arial" w:hAnsi="Arial"/>
        </w:rPr>
        <w:t>1639</w:t>
      </w:r>
    </w:p>
    <w:p>
      <w:pPr>
        <w:pStyle w:val="TOC2"/>
        <w:widowControl/>
        <w:tabs>
          <w:tab w:pos="8856" w:val="right" w:leader="dot"/>
        </w:tabs>
      </w:pPr>
      <w:hyperlink w:anchor="_NAESTMA_TOC_2730" w:history="1">
        <w:r>
          <w:rPr>
            <w:color w:val="466B7A"/>
          </w:rPr>
          <w:t>BH-83. Union Access Guarantee</w:t>
        </w:r>
      </w:hyperlink>
      <w:r>
        <w:tab/>
      </w:r>
      <w:r>
        <w:rPr>
          <w:rFonts w:ascii="Arial" w:hAnsi="Arial"/>
        </w:rPr>
        <w:t>1639</w:t>
      </w:r>
    </w:p>
    <w:p>
      <w:pPr>
        <w:pStyle w:val="TOC2"/>
        <w:widowControl/>
        <w:tabs>
          <w:tab w:pos="8856" w:val="right" w:leader="dot"/>
        </w:tabs>
      </w:pPr>
      <w:hyperlink w:anchor="_NAESTMA_TOC_2731" w:history="1">
        <w:r>
          <w:rPr>
            <w:color w:val="466B7A"/>
          </w:rPr>
          <w:t>BH-84. Apprenticeship Exchange</w:t>
        </w:r>
      </w:hyperlink>
      <w:r>
        <w:tab/>
      </w:r>
      <w:r>
        <w:rPr>
          <w:rFonts w:ascii="Arial" w:hAnsi="Arial"/>
        </w:rPr>
        <w:t>1639</w:t>
      </w:r>
    </w:p>
    <w:p>
      <w:pPr>
        <w:pStyle w:val="TOC2"/>
        <w:widowControl/>
        <w:tabs>
          <w:tab w:pos="8856" w:val="right" w:leader="dot"/>
        </w:tabs>
      </w:pPr>
      <w:hyperlink w:anchor="_NAESTMA_TOC_2732" w:history="1">
        <w:r>
          <w:rPr>
            <w:color w:val="466B7A"/>
          </w:rPr>
          <w:t>BH-85. Gender Parity Incentive</w:t>
        </w:r>
      </w:hyperlink>
      <w:r>
        <w:tab/>
      </w:r>
      <w:r>
        <w:rPr>
          <w:rFonts w:ascii="Arial" w:hAnsi="Arial"/>
        </w:rPr>
        <w:t>1639</w:t>
      </w:r>
    </w:p>
    <w:p>
      <w:pPr>
        <w:pStyle w:val="TOC2"/>
        <w:widowControl/>
        <w:tabs>
          <w:tab w:pos="8856" w:val="right" w:leader="dot"/>
        </w:tabs>
      </w:pPr>
      <w:hyperlink w:anchor="_NAESTMA_TOC_2733" w:history="1">
        <w:r>
          <w:rPr>
            <w:color w:val="466B7A"/>
          </w:rPr>
          <w:t>BH-86. Child Labor Zero Tolerance</w:t>
        </w:r>
      </w:hyperlink>
      <w:r>
        <w:tab/>
      </w:r>
      <w:r>
        <w:rPr>
          <w:rFonts w:ascii="Arial" w:hAnsi="Arial"/>
        </w:rPr>
        <w:t>1639</w:t>
      </w:r>
    </w:p>
    <w:p>
      <w:pPr>
        <w:pStyle w:val="TOC2"/>
        <w:widowControl/>
        <w:tabs>
          <w:tab w:pos="8856" w:val="right" w:leader="dot"/>
        </w:tabs>
      </w:pPr>
      <w:hyperlink w:anchor="_NAESTMA_TOC_2734" w:history="1">
        <w:r>
          <w:rPr>
            <w:color w:val="466B7A"/>
          </w:rPr>
          <w:t>BH-87. Portable Seniority</w:t>
        </w:r>
      </w:hyperlink>
      <w:r>
        <w:tab/>
      </w:r>
      <w:r>
        <w:rPr>
          <w:rFonts w:ascii="Arial" w:hAnsi="Arial"/>
        </w:rPr>
        <w:t>1639</w:t>
      </w:r>
    </w:p>
    <w:p>
      <w:pPr>
        <w:pStyle w:val="TOC2"/>
        <w:widowControl/>
        <w:tabs>
          <w:tab w:pos="8856" w:val="right" w:leader="dot"/>
        </w:tabs>
      </w:pPr>
      <w:hyperlink w:anchor="_NAESTMA_TOC_2735" w:history="1">
        <w:r>
          <w:rPr>
            <w:color w:val="466B7A"/>
          </w:rPr>
          <w:t>BH-88. Joint Health &amp; Safety Standards</w:t>
        </w:r>
      </w:hyperlink>
      <w:r>
        <w:tab/>
      </w:r>
      <w:r>
        <w:rPr>
          <w:rFonts w:ascii="Arial" w:hAnsi="Arial"/>
        </w:rPr>
        <w:t>1639</w:t>
      </w:r>
    </w:p>
    <w:p>
      <w:pPr>
        <w:pStyle w:val="TOC2"/>
        <w:widowControl/>
        <w:tabs>
          <w:tab w:pos="8856" w:val="right" w:leader="dot"/>
        </w:tabs>
      </w:pPr>
      <w:hyperlink w:anchor="_NAESTMA_TOC_2736" w:history="1">
        <w:r>
          <w:rPr>
            <w:color w:val="466B7A"/>
          </w:rPr>
          <w:t>BH-90. Labor Attaché Network</w:t>
        </w:r>
      </w:hyperlink>
      <w:r>
        <w:tab/>
      </w:r>
      <w:r>
        <w:rPr>
          <w:rFonts w:ascii="Arial" w:hAnsi="Arial"/>
        </w:rPr>
        <w:t>1639</w:t>
      </w:r>
    </w:p>
    <w:p>
      <w:pPr>
        <w:pStyle w:val="TOC2"/>
        <w:widowControl/>
        <w:tabs>
          <w:tab w:pos="8856" w:val="right" w:leader="dot"/>
        </w:tabs>
      </w:pPr>
      <w:hyperlink w:anchor="_NAESTMA_TOC_2737" w:history="1">
        <w:r>
          <w:rPr>
            <w:color w:val="466B7A"/>
          </w:rPr>
          <w:t>BH-91. Harmonized CO₂ Standards</w:t>
        </w:r>
      </w:hyperlink>
      <w:r>
        <w:tab/>
      </w:r>
      <w:r>
        <w:rPr>
          <w:rFonts w:ascii="Arial" w:hAnsi="Arial"/>
        </w:rPr>
        <w:t>1640</w:t>
      </w:r>
    </w:p>
    <w:p>
      <w:pPr>
        <w:pStyle w:val="TOC2"/>
        <w:widowControl/>
        <w:tabs>
          <w:tab w:pos="8856" w:val="right" w:leader="dot"/>
        </w:tabs>
      </w:pPr>
      <w:hyperlink w:anchor="_NAESTMA_TOC_2738" w:history="1">
        <w:r>
          <w:rPr>
            <w:color w:val="466B7A"/>
          </w:rPr>
          <w:t>BH-92. EV Charging Corridor Fund</w:t>
        </w:r>
      </w:hyperlink>
      <w:r>
        <w:tab/>
      </w:r>
      <w:r>
        <w:rPr>
          <w:rFonts w:ascii="Arial" w:hAnsi="Arial"/>
        </w:rPr>
        <w:t>1640</w:t>
      </w:r>
    </w:p>
    <w:p>
      <w:pPr>
        <w:pStyle w:val="TOC2"/>
        <w:widowControl/>
        <w:tabs>
          <w:tab w:pos="8856" w:val="right" w:leader="dot"/>
        </w:tabs>
      </w:pPr>
      <w:hyperlink w:anchor="_NAESTMA_TOC_2739" w:history="1">
        <w:r>
          <w:rPr>
            <w:color w:val="466B7A"/>
          </w:rPr>
          <w:t>BH-93. Battery Passport System</w:t>
        </w:r>
      </w:hyperlink>
      <w:r>
        <w:tab/>
      </w:r>
      <w:r>
        <w:rPr>
          <w:rFonts w:ascii="Arial" w:hAnsi="Arial"/>
        </w:rPr>
        <w:t>1640</w:t>
      </w:r>
    </w:p>
    <w:p>
      <w:pPr>
        <w:pStyle w:val="TOC2"/>
        <w:widowControl/>
        <w:tabs>
          <w:tab w:pos="8856" w:val="right" w:leader="dot"/>
        </w:tabs>
      </w:pPr>
      <w:hyperlink w:anchor="_NAESTMA_TOC_2740" w:history="1">
        <w:r>
          <w:rPr>
            <w:color w:val="466B7A"/>
          </w:rPr>
          <w:t>BH-94. Zero-Emission Vehicle Mandate Alignment</w:t>
        </w:r>
      </w:hyperlink>
      <w:r>
        <w:tab/>
      </w:r>
      <w:r>
        <w:rPr>
          <w:rFonts w:ascii="Arial" w:hAnsi="Arial"/>
        </w:rPr>
        <w:t>1640</w:t>
      </w:r>
    </w:p>
    <w:p>
      <w:pPr>
        <w:pStyle w:val="TOC2"/>
        <w:widowControl/>
        <w:tabs>
          <w:tab w:pos="8856" w:val="right" w:leader="dot"/>
        </w:tabs>
      </w:pPr>
      <w:hyperlink w:anchor="_NAESTMA_TOC_2741" w:history="1">
        <w:r>
          <w:rPr>
            <w:color w:val="466B7A"/>
          </w:rPr>
          <w:t>BH-95. Environmental Remediation Fund</w:t>
        </w:r>
      </w:hyperlink>
      <w:r>
        <w:tab/>
      </w:r>
      <w:r>
        <w:rPr>
          <w:rFonts w:ascii="Arial" w:hAnsi="Arial"/>
        </w:rPr>
        <w:t>1640</w:t>
      </w:r>
    </w:p>
    <w:p>
      <w:pPr>
        <w:pStyle w:val="TOC2"/>
        <w:widowControl/>
        <w:tabs>
          <w:tab w:pos="8856" w:val="right" w:leader="dot"/>
        </w:tabs>
      </w:pPr>
      <w:hyperlink w:anchor="_NAESTMA_TOC_2742" w:history="1">
        <w:r>
          <w:rPr>
            <w:color w:val="466B7A"/>
          </w:rPr>
          <w:t>BH-96. Circular Economy Initiative</w:t>
        </w:r>
      </w:hyperlink>
      <w:r>
        <w:tab/>
      </w:r>
      <w:r>
        <w:rPr>
          <w:rFonts w:ascii="Arial" w:hAnsi="Arial"/>
        </w:rPr>
        <w:t>1640</w:t>
      </w:r>
    </w:p>
    <w:p>
      <w:pPr>
        <w:pStyle w:val="TOC2"/>
        <w:widowControl/>
        <w:tabs>
          <w:tab w:pos="8856" w:val="right" w:leader="dot"/>
        </w:tabs>
      </w:pPr>
      <w:hyperlink w:anchor="_NAESTMA_TOC_2743" w:history="1">
        <w:r>
          <w:rPr>
            <w:color w:val="466B7A"/>
          </w:rPr>
          <w:t>BH-97. Auto-Specific Tribunal</w:t>
        </w:r>
      </w:hyperlink>
      <w:r>
        <w:tab/>
      </w:r>
      <w:r>
        <w:rPr>
          <w:rFonts w:ascii="Arial" w:hAnsi="Arial"/>
        </w:rPr>
        <w:t>1640</w:t>
      </w:r>
    </w:p>
    <w:p>
      <w:pPr>
        <w:pStyle w:val="TOC2"/>
        <w:widowControl/>
        <w:tabs>
          <w:tab w:pos="8856" w:val="right" w:leader="dot"/>
        </w:tabs>
      </w:pPr>
      <w:hyperlink w:anchor="_NAESTMA_TOC_2744" w:history="1">
        <w:r>
          <w:rPr>
            <w:color w:val="466B7A"/>
          </w:rPr>
          <w:t>BH-98. Early Warning System</w:t>
        </w:r>
      </w:hyperlink>
      <w:r>
        <w:tab/>
      </w:r>
      <w:r>
        <w:rPr>
          <w:rFonts w:ascii="Arial" w:hAnsi="Arial"/>
        </w:rPr>
        <w:t>1640</w:t>
      </w:r>
    </w:p>
    <w:p>
      <w:pPr>
        <w:pStyle w:val="TOC2"/>
        <w:widowControl/>
        <w:tabs>
          <w:tab w:pos="8856" w:val="right" w:leader="dot"/>
        </w:tabs>
      </w:pPr>
      <w:hyperlink w:anchor="_NAESTMA_TOC_2745" w:history="1">
        <w:r>
          <w:rPr>
            <w:color w:val="466B7A"/>
          </w:rPr>
          <w:t>BH-99. Political Escalation Clause</w:t>
        </w:r>
      </w:hyperlink>
      <w:r>
        <w:tab/>
      </w:r>
      <w:r>
        <w:rPr>
          <w:rFonts w:ascii="Arial" w:hAnsi="Arial"/>
        </w:rPr>
        <w:t>1640</w:t>
      </w:r>
    </w:p>
    <w:p>
      <w:pPr>
        <w:pStyle w:val="TOC2"/>
        <w:widowControl/>
        <w:tabs>
          <w:tab w:pos="8856" w:val="right" w:leader="dot"/>
        </w:tabs>
      </w:pPr>
      <w:hyperlink w:anchor="_NAESTMA_TOC_2746" w:history="1">
        <w:r>
          <w:rPr>
            <w:color w:val="466B7A"/>
          </w:rPr>
          <w:t>BH-100. 10-Year Stability Charter</w:t>
        </w:r>
      </w:hyperlink>
      <w:r>
        <w:tab/>
      </w:r>
      <w:r>
        <w:rPr>
          <w:rFonts w:ascii="Arial" w:hAnsi="Arial"/>
        </w:rPr>
        <w:t>1640</w:t>
      </w:r>
    </w:p>
    <w:p>
      <w:pPr>
        <w:pStyle w:val="TOC1"/>
        <w:widowControl/>
        <w:tabs>
          <w:tab w:pos="8856" w:val="right" w:leader="dot"/>
        </w:tabs>
      </w:pPr>
      <w:hyperlink w:anchor="_NAESTMA_TOC_2747" w:history="1">
        <w:r>
          <w:rPr>
            <w:color w:val="233746"/>
          </w:rPr>
          <w:t>PACKAGE BI — MEDIUM- AND HEAVY-DUTY VEHICLE INTEGRATION TRACK</w:t>
        </w:r>
      </w:hyperlink>
      <w:r>
        <w:tab/>
      </w:r>
      <w:r>
        <w:rPr>
          <w:rFonts w:ascii="Arial" w:hAnsi="Arial"/>
        </w:rPr>
        <w:t>1641</w:t>
      </w:r>
    </w:p>
    <w:p>
      <w:pPr>
        <w:pStyle w:val="TOC2"/>
        <w:widowControl/>
        <w:tabs>
          <w:tab w:pos="8856" w:val="right" w:leader="dot"/>
        </w:tabs>
      </w:pPr>
      <w:hyperlink w:anchor="_NAESTMA_TOC_2748" w:history="1">
        <w:r>
          <w:rPr>
            <w:color w:val="466B7A"/>
          </w:rPr>
          <w:t>BI-1. Express Heavy-Truck Coverage</w:t>
        </w:r>
      </w:hyperlink>
      <w:r>
        <w:tab/>
      </w:r>
      <w:r>
        <w:rPr>
          <w:rFonts w:ascii="Arial" w:hAnsi="Arial"/>
        </w:rPr>
        <w:t>1641</w:t>
      </w:r>
    </w:p>
    <w:p>
      <w:pPr>
        <w:pStyle w:val="TOC2"/>
        <w:widowControl/>
        <w:tabs>
          <w:tab w:pos="8856" w:val="right" w:leader="dot"/>
        </w:tabs>
      </w:pPr>
      <w:hyperlink w:anchor="_NAESTMA_TOC_2749" w:history="1">
        <w:r>
          <w:rPr>
            <w:color w:val="466B7A"/>
          </w:rPr>
          <w:t>BI-2. Heavy-Truck Origin Application</w:t>
        </w:r>
      </w:hyperlink>
      <w:r>
        <w:tab/>
      </w:r>
      <w:r>
        <w:rPr>
          <w:rFonts w:ascii="Arial" w:hAnsi="Arial"/>
        </w:rPr>
        <w:t>1641</w:t>
      </w:r>
    </w:p>
    <w:p>
      <w:pPr>
        <w:pStyle w:val="TOC2"/>
        <w:widowControl/>
        <w:tabs>
          <w:tab w:pos="8856" w:val="right" w:leader="dot"/>
        </w:tabs>
      </w:pPr>
      <w:hyperlink w:anchor="_NAESTMA_TOC_2750" w:history="1">
        <w:r>
          <w:rPr>
            <w:color w:val="466B7A"/>
          </w:rPr>
          <w:t>BI-3. Vocational Vehicle Recognition</w:t>
        </w:r>
      </w:hyperlink>
      <w:r>
        <w:tab/>
      </w:r>
      <w:r>
        <w:rPr>
          <w:rFonts w:ascii="Arial" w:hAnsi="Arial"/>
        </w:rPr>
        <w:t>1641</w:t>
      </w:r>
    </w:p>
    <w:p>
      <w:pPr>
        <w:pStyle w:val="TOC2"/>
        <w:widowControl/>
        <w:tabs>
          <w:tab w:pos="8856" w:val="right" w:leader="dot"/>
        </w:tabs>
      </w:pPr>
      <w:hyperlink w:anchor="_NAESTMA_TOC_2751" w:history="1">
        <w:r>
          <w:rPr>
            <w:color w:val="466B7A"/>
          </w:rPr>
          <w:t>BI-4. Corridor Interoperability</w:t>
        </w:r>
      </w:hyperlink>
      <w:r>
        <w:tab/>
      </w:r>
      <w:r>
        <w:rPr>
          <w:rFonts w:ascii="Arial" w:hAnsi="Arial"/>
        </w:rPr>
        <w:t>1641</w:t>
      </w:r>
    </w:p>
    <w:p>
      <w:pPr>
        <w:pStyle w:val="TOC2"/>
        <w:widowControl/>
        <w:tabs>
          <w:tab w:pos="8856" w:val="right" w:leader="dot"/>
        </w:tabs>
      </w:pPr>
      <w:hyperlink w:anchor="_NAESTMA_TOC_2752" w:history="1">
        <w:r>
          <w:rPr>
            <w:color w:val="466B7A"/>
          </w:rPr>
          <w:t>BI-5. Remanufacturing and Circularity</w:t>
        </w:r>
      </w:hyperlink>
      <w:r>
        <w:tab/>
      </w:r>
      <w:r>
        <w:rPr>
          <w:rFonts w:ascii="Arial" w:hAnsi="Arial"/>
        </w:rPr>
        <w:t>1641</w:t>
      </w:r>
    </w:p>
    <w:p>
      <w:pPr>
        <w:pStyle w:val="TOC2"/>
        <w:widowControl/>
        <w:tabs>
          <w:tab w:pos="8856" w:val="right" w:leader="dot"/>
        </w:tabs>
      </w:pPr>
      <w:hyperlink w:anchor="_NAESTMA_TOC_2753" w:history="1">
        <w:r>
          <w:rPr>
            <w:color w:val="466B7A"/>
          </w:rPr>
          <w:t>BI-6. Connected-Truck Cybersecurity</w:t>
        </w:r>
      </w:hyperlink>
      <w:r>
        <w:tab/>
      </w:r>
      <w:r>
        <w:rPr>
          <w:rFonts w:ascii="Arial" w:hAnsi="Arial"/>
        </w:rPr>
        <w:t>1641</w:t>
      </w:r>
    </w:p>
    <w:p>
      <w:pPr>
        <w:pStyle w:val="TOC2"/>
        <w:widowControl/>
        <w:tabs>
          <w:tab w:pos="8856" w:val="right" w:leader="dot"/>
        </w:tabs>
      </w:pPr>
      <w:hyperlink w:anchor="_NAESTMA_TOC_2754" w:history="1">
        <w:r>
          <w:rPr>
            <w:color w:val="466B7A"/>
          </w:rPr>
          <w:t>BI-7. Cold-Climate Validation</w:t>
        </w:r>
      </w:hyperlink>
      <w:r>
        <w:tab/>
      </w:r>
      <w:r>
        <w:rPr>
          <w:rFonts w:ascii="Arial" w:hAnsi="Arial"/>
        </w:rPr>
        <w:t>1641</w:t>
      </w:r>
    </w:p>
    <w:p>
      <w:pPr>
        <w:pStyle w:val="TOC2"/>
        <w:widowControl/>
        <w:tabs>
          <w:tab w:pos="8856" w:val="right" w:leader="dot"/>
        </w:tabs>
      </w:pPr>
      <w:hyperlink w:anchor="_NAESTMA_TOC_2755" w:history="1">
        <w:r>
          <w:rPr>
            <w:color w:val="466B7A"/>
          </w:rPr>
          <w:t>BI-8. Emergency Freight Continuity</w:t>
        </w:r>
      </w:hyperlink>
      <w:r>
        <w:tab/>
      </w:r>
      <w:r>
        <w:rPr>
          <w:rFonts w:ascii="Arial" w:hAnsi="Arial"/>
        </w:rPr>
        <w:t>1641</w:t>
      </w:r>
    </w:p>
    <w:p>
      <w:pPr>
        <w:pStyle w:val="TOC1"/>
        <w:widowControl/>
        <w:tabs>
          <w:tab w:pos="8856" w:val="right" w:leader="dot"/>
        </w:tabs>
      </w:pPr>
      <w:hyperlink w:anchor="_NAESTMA_TOC_2756" w:history="1">
        <w:r>
          <w:rPr>
            <w:color w:val="233746"/>
          </w:rPr>
          <w:t>PACKAGE BJ — HEAVY-TRUCK NEGOTIATION CATALOGUE</w:t>
        </w:r>
      </w:hyperlink>
      <w:r>
        <w:tab/>
      </w:r>
      <w:r>
        <w:rPr>
          <w:rFonts w:ascii="Arial" w:hAnsi="Arial"/>
        </w:rPr>
        <w:t>1642</w:t>
      </w:r>
    </w:p>
    <w:p>
      <w:pPr>
        <w:pStyle w:val="TOC2"/>
        <w:widowControl/>
        <w:tabs>
          <w:tab w:pos="8856" w:val="right" w:leader="dot"/>
        </w:tabs>
      </w:pPr>
      <w:hyperlink w:anchor="_NAESTMA_TOC_2757" w:history="1">
        <w:r>
          <w:rPr>
            <w:color w:val="466B7A"/>
          </w:rPr>
          <w:t>BJ-1. Zero-Emission Truck Tariff Swap</w:t>
        </w:r>
      </w:hyperlink>
      <w:r>
        <w:tab/>
      </w:r>
      <w:r>
        <w:rPr>
          <w:rFonts w:ascii="Arial" w:hAnsi="Arial"/>
        </w:rPr>
        <w:t>1642</w:t>
      </w:r>
    </w:p>
    <w:p>
      <w:pPr>
        <w:pStyle w:val="TOC2"/>
        <w:widowControl/>
        <w:tabs>
          <w:tab w:pos="8856" w:val="right" w:leader="dot"/>
        </w:tabs>
      </w:pPr>
      <w:hyperlink w:anchor="_NAESTMA_TOC_2758" w:history="1">
        <w:r>
          <w:rPr>
            <w:color w:val="466B7A"/>
          </w:rPr>
          <w:t>BJ-2. North American Truck Content Rule Flex</w:t>
        </w:r>
      </w:hyperlink>
      <w:r>
        <w:tab/>
      </w:r>
      <w:r>
        <w:rPr>
          <w:rFonts w:ascii="Arial" w:hAnsi="Arial"/>
        </w:rPr>
        <w:t>1642</w:t>
      </w:r>
    </w:p>
    <w:p>
      <w:pPr>
        <w:pStyle w:val="TOC2"/>
        <w:widowControl/>
        <w:tabs>
          <w:tab w:pos="8856" w:val="right" w:leader="dot"/>
        </w:tabs>
      </w:pPr>
      <w:hyperlink w:anchor="_NAESTMA_TOC_2759" w:history="1">
        <w:r>
          <w:rPr>
            <w:color w:val="466B7A"/>
          </w:rPr>
          <w:t>BJ-3. Green Truck Corridor Deal</w:t>
        </w:r>
      </w:hyperlink>
      <w:r>
        <w:tab/>
      </w:r>
      <w:r>
        <w:rPr>
          <w:rFonts w:ascii="Arial" w:hAnsi="Arial"/>
        </w:rPr>
        <w:t>1642</w:t>
      </w:r>
    </w:p>
    <w:p>
      <w:pPr>
        <w:pStyle w:val="TOC2"/>
        <w:widowControl/>
        <w:tabs>
          <w:tab w:pos="8856" w:val="right" w:leader="dot"/>
        </w:tabs>
      </w:pPr>
      <w:hyperlink w:anchor="_NAESTMA_TOC_2760" w:history="1">
        <w:r>
          <w:rPr>
            <w:color w:val="466B7A"/>
          </w:rPr>
          <w:t>BJ-4. Truck Emissions Credit Trading</w:t>
        </w:r>
      </w:hyperlink>
      <w:r>
        <w:tab/>
      </w:r>
      <w:r>
        <w:rPr>
          <w:rFonts w:ascii="Arial" w:hAnsi="Arial"/>
        </w:rPr>
        <w:t>1642</w:t>
      </w:r>
    </w:p>
    <w:p>
      <w:pPr>
        <w:pStyle w:val="TOC2"/>
        <w:widowControl/>
        <w:tabs>
          <w:tab w:pos="8856" w:val="right" w:leader="dot"/>
        </w:tabs>
      </w:pPr>
      <w:hyperlink w:anchor="_NAESTMA_TOC_2761" w:history="1">
        <w:r>
          <w:rPr>
            <w:color w:val="466B7A"/>
          </w:rPr>
          <w:t>BJ-5. Battery Recycling Access</w:t>
        </w:r>
      </w:hyperlink>
      <w:r>
        <w:tab/>
      </w:r>
      <w:r>
        <w:rPr>
          <w:rFonts w:ascii="Arial" w:hAnsi="Arial"/>
        </w:rPr>
        <w:t>1642</w:t>
      </w:r>
    </w:p>
    <w:p>
      <w:pPr>
        <w:pStyle w:val="TOC2"/>
        <w:widowControl/>
        <w:tabs>
          <w:tab w:pos="8856" w:val="right" w:leader="dot"/>
        </w:tabs>
      </w:pPr>
      <w:hyperlink w:anchor="_NAESTMA_TOC_2762" w:history="1">
        <w:r>
          <w:rPr>
            <w:color w:val="466B7A"/>
          </w:rPr>
          <w:t>BJ-6. Truck R&amp;D Consortium</w:t>
        </w:r>
      </w:hyperlink>
      <w:r>
        <w:tab/>
      </w:r>
      <w:r>
        <w:rPr>
          <w:rFonts w:ascii="Arial" w:hAnsi="Arial"/>
        </w:rPr>
        <w:t>1642</w:t>
      </w:r>
    </w:p>
    <w:p>
      <w:pPr>
        <w:pStyle w:val="TOC2"/>
        <w:widowControl/>
        <w:tabs>
          <w:tab w:pos="8856" w:val="right" w:leader="dot"/>
        </w:tabs>
      </w:pPr>
      <w:hyperlink w:anchor="_NAESTMA_TOC_2763" w:history="1">
        <w:r>
          <w:rPr>
            <w:color w:val="466B7A"/>
          </w:rPr>
          <w:t>BJ-7. Critical Minerals for Truck Access</w:t>
        </w:r>
      </w:hyperlink>
      <w:r>
        <w:tab/>
      </w:r>
      <w:r>
        <w:rPr>
          <w:rFonts w:ascii="Arial" w:hAnsi="Arial"/>
        </w:rPr>
        <w:t>1642</w:t>
      </w:r>
    </w:p>
    <w:p>
      <w:pPr>
        <w:pStyle w:val="TOC2"/>
        <w:widowControl/>
        <w:tabs>
          <w:tab w:pos="8856" w:val="right" w:leader="dot"/>
        </w:tabs>
      </w:pPr>
      <w:hyperlink w:anchor="_NAESTMA_TOC_2764" w:history="1">
        <w:r>
          <w:rPr>
            <w:color w:val="466B7A"/>
          </w:rPr>
          <w:t>BJ-8. Defense Logistics Truck Window</w:t>
        </w:r>
      </w:hyperlink>
      <w:r>
        <w:tab/>
      </w:r>
      <w:r>
        <w:rPr>
          <w:rFonts w:ascii="Arial" w:hAnsi="Arial"/>
        </w:rPr>
        <w:t>1642</w:t>
      </w:r>
    </w:p>
    <w:p>
      <w:pPr>
        <w:pStyle w:val="TOC2"/>
        <w:widowControl/>
        <w:tabs>
          <w:tab w:pos="8856" w:val="right" w:leader="dot"/>
        </w:tabs>
      </w:pPr>
      <w:hyperlink w:anchor="_NAESTMA_TOC_2765" w:history="1">
        <w:r>
          <w:rPr>
            <w:color w:val="466B7A"/>
          </w:rPr>
          <w:t>BJ-9. Border Modernization for Fleets</w:t>
        </w:r>
      </w:hyperlink>
      <w:r>
        <w:tab/>
      </w:r>
      <w:r>
        <w:rPr>
          <w:rFonts w:ascii="Arial" w:hAnsi="Arial"/>
        </w:rPr>
        <w:t>1642</w:t>
      </w:r>
    </w:p>
    <w:p>
      <w:pPr>
        <w:pStyle w:val="TOC2"/>
        <w:widowControl/>
        <w:tabs>
          <w:tab w:pos="8856" w:val="right" w:leader="dot"/>
        </w:tabs>
      </w:pPr>
      <w:hyperlink w:anchor="_NAESTMA_TOC_2766" w:history="1">
        <w:r>
          <w:rPr>
            <w:color w:val="466B7A"/>
          </w:rPr>
          <w:t>BJ-10. Truck Safety Harmonization</w:t>
        </w:r>
      </w:hyperlink>
      <w:r>
        <w:tab/>
      </w:r>
      <w:r>
        <w:rPr>
          <w:rFonts w:ascii="Arial" w:hAnsi="Arial"/>
        </w:rPr>
        <w:t>1643</w:t>
      </w:r>
    </w:p>
    <w:p>
      <w:pPr>
        <w:pStyle w:val="TOC2"/>
        <w:widowControl/>
        <w:tabs>
          <w:tab w:pos="8856" w:val="right" w:leader="dot"/>
        </w:tabs>
      </w:pPr>
      <w:hyperlink w:anchor="_NAESTMA_TOC_2767" w:history="1">
        <w:r>
          <w:rPr>
            <w:color w:val="466B7A"/>
          </w:rPr>
          <w:t>BJ-11. Green Freight Incentive Pool</w:t>
        </w:r>
      </w:hyperlink>
      <w:r>
        <w:tab/>
      </w:r>
      <w:r>
        <w:rPr>
          <w:rFonts w:ascii="Arial" w:hAnsi="Arial"/>
        </w:rPr>
        <w:t>1643</w:t>
      </w:r>
    </w:p>
    <w:p>
      <w:pPr>
        <w:pStyle w:val="TOC2"/>
        <w:widowControl/>
        <w:tabs>
          <w:tab w:pos="8856" w:val="right" w:leader="dot"/>
        </w:tabs>
      </w:pPr>
      <w:hyperlink w:anchor="_NAESTMA_TOC_2768" w:history="1">
        <w:r>
          <w:rPr>
            <w:color w:val="466B7A"/>
          </w:rPr>
          <w:t>BJ-12. Truck Cab &amp; Chassis Co-Production</w:t>
        </w:r>
      </w:hyperlink>
      <w:r>
        <w:tab/>
      </w:r>
      <w:r>
        <w:rPr>
          <w:rFonts w:ascii="Arial" w:hAnsi="Arial"/>
        </w:rPr>
        <w:t>1643</w:t>
      </w:r>
    </w:p>
    <w:p>
      <w:pPr>
        <w:pStyle w:val="TOC2"/>
        <w:widowControl/>
        <w:tabs>
          <w:tab w:pos="8856" w:val="right" w:leader="dot"/>
        </w:tabs>
      </w:pPr>
      <w:hyperlink w:anchor="_NAESTMA_TOC_2769" w:history="1">
        <w:r>
          <w:rPr>
            <w:color w:val="466B7A"/>
          </w:rPr>
          <w:t>BJ-13. Hydrogen Truck Pilot Corridors</w:t>
        </w:r>
      </w:hyperlink>
      <w:r>
        <w:tab/>
      </w:r>
      <w:r>
        <w:rPr>
          <w:rFonts w:ascii="Arial" w:hAnsi="Arial"/>
        </w:rPr>
        <w:t>1643</w:t>
      </w:r>
    </w:p>
    <w:p>
      <w:pPr>
        <w:pStyle w:val="TOC2"/>
        <w:widowControl/>
        <w:tabs>
          <w:tab w:pos="8856" w:val="right" w:leader="dot"/>
        </w:tabs>
      </w:pPr>
      <w:hyperlink w:anchor="_NAESTMA_TOC_2770" w:history="1">
        <w:r>
          <w:rPr>
            <w:color w:val="466B7A"/>
          </w:rPr>
          <w:t>BJ-14. Truck Data Sharing Pact</w:t>
        </w:r>
      </w:hyperlink>
      <w:r>
        <w:tab/>
      </w:r>
      <w:r>
        <w:rPr>
          <w:rFonts w:ascii="Arial" w:hAnsi="Arial"/>
        </w:rPr>
        <w:t>1643</w:t>
      </w:r>
    </w:p>
    <w:p>
      <w:pPr>
        <w:pStyle w:val="TOC2"/>
        <w:widowControl/>
        <w:tabs>
          <w:tab w:pos="8856" w:val="right" w:leader="dot"/>
        </w:tabs>
      </w:pPr>
      <w:hyperlink w:anchor="_NAESTMA_TOC_2771" w:history="1">
        <w:r>
          <w:rPr>
            <w:color w:val="466B7A"/>
          </w:rPr>
          <w:t>BJ-15. Truck Remanufacturing Hub Status</w:t>
        </w:r>
      </w:hyperlink>
      <w:r>
        <w:tab/>
      </w:r>
      <w:r>
        <w:rPr>
          <w:rFonts w:ascii="Arial" w:hAnsi="Arial"/>
        </w:rPr>
        <w:t>1643</w:t>
      </w:r>
    </w:p>
    <w:p>
      <w:pPr>
        <w:pStyle w:val="TOC2"/>
        <w:widowControl/>
        <w:tabs>
          <w:tab w:pos="8856" w:val="right" w:leader="dot"/>
        </w:tabs>
      </w:pPr>
      <w:hyperlink w:anchor="_NAESTMA_TOC_2772" w:history="1">
        <w:r>
          <w:rPr>
            <w:color w:val="466B7A"/>
          </w:rPr>
          <w:t>BJ-16. Customs Duty Rebate for Green Fleets</w:t>
        </w:r>
      </w:hyperlink>
      <w:r>
        <w:tab/>
      </w:r>
      <w:r>
        <w:rPr>
          <w:rFonts w:ascii="Arial" w:hAnsi="Arial"/>
        </w:rPr>
        <w:t>1643</w:t>
      </w:r>
    </w:p>
    <w:p>
      <w:pPr>
        <w:pStyle w:val="TOC2"/>
        <w:widowControl/>
        <w:tabs>
          <w:tab w:pos="8856" w:val="right" w:leader="dot"/>
        </w:tabs>
      </w:pPr>
      <w:hyperlink w:anchor="_NAESTMA_TOC_2773" w:history="1">
        <w:r>
          <w:rPr>
            <w:color w:val="466B7A"/>
          </w:rPr>
          <w:t>BJ-17. Truck Driver Training Recognition</w:t>
        </w:r>
      </w:hyperlink>
      <w:r>
        <w:tab/>
      </w:r>
      <w:r>
        <w:rPr>
          <w:rFonts w:ascii="Arial" w:hAnsi="Arial"/>
        </w:rPr>
        <w:t>1643</w:t>
      </w:r>
    </w:p>
    <w:p>
      <w:pPr>
        <w:pStyle w:val="TOC2"/>
        <w:widowControl/>
        <w:tabs>
          <w:tab w:pos="8856" w:val="right" w:leader="dot"/>
        </w:tabs>
      </w:pPr>
      <w:hyperlink w:anchor="_NAESTMA_TOC_2774" w:history="1">
        <w:r>
          <w:rPr>
            <w:color w:val="466B7A"/>
          </w:rPr>
          <w:t>BJ-18. Public Procurement Truck Quotas</w:t>
        </w:r>
      </w:hyperlink>
      <w:r>
        <w:tab/>
      </w:r>
      <w:r>
        <w:rPr>
          <w:rFonts w:ascii="Arial" w:hAnsi="Arial"/>
        </w:rPr>
        <w:t>1643</w:t>
      </w:r>
    </w:p>
    <w:p>
      <w:pPr>
        <w:pStyle w:val="TOC2"/>
        <w:widowControl/>
        <w:tabs>
          <w:tab w:pos="8856" w:val="right" w:leader="dot"/>
        </w:tabs>
      </w:pPr>
      <w:hyperlink w:anchor="_NAESTMA_TOC_2775" w:history="1">
        <w:r>
          <w:rPr>
            <w:color w:val="466B7A"/>
          </w:rPr>
          <w:t>BJ-19. Truck Parts Origin Flexibility</w:t>
        </w:r>
      </w:hyperlink>
      <w:r>
        <w:tab/>
      </w:r>
      <w:r>
        <w:rPr>
          <w:rFonts w:ascii="Arial" w:hAnsi="Arial"/>
        </w:rPr>
        <w:t>1643</w:t>
      </w:r>
    </w:p>
    <w:p>
      <w:pPr>
        <w:pStyle w:val="TOC2"/>
        <w:widowControl/>
        <w:tabs>
          <w:tab w:pos="8856" w:val="right" w:leader="dot"/>
        </w:tabs>
      </w:pPr>
      <w:hyperlink w:anchor="_NAESTMA_TOC_2776" w:history="1">
        <w:r>
          <w:rPr>
            <w:color w:val="466B7A"/>
          </w:rPr>
          <w:t>BJ-20. Cross-Border Logistics Sandbox</w:t>
        </w:r>
      </w:hyperlink>
      <w:r>
        <w:tab/>
      </w:r>
      <w:r>
        <w:rPr>
          <w:rFonts w:ascii="Arial" w:hAnsi="Arial"/>
        </w:rPr>
        <w:t>1643</w:t>
      </w:r>
    </w:p>
    <w:p>
      <w:pPr>
        <w:pStyle w:val="TOC2"/>
        <w:widowControl/>
        <w:tabs>
          <w:tab w:pos="8856" w:val="right" w:leader="dot"/>
        </w:tabs>
      </w:pPr>
      <w:hyperlink w:anchor="_NAESTMA_TOC_2777" w:history="1">
        <w:r>
          <w:rPr>
            <w:color w:val="466B7A"/>
          </w:rPr>
          <w:t>BJ-21. Truck Insurance Market Access</w:t>
        </w:r>
      </w:hyperlink>
      <w:r>
        <w:tab/>
      </w:r>
      <w:r>
        <w:rPr>
          <w:rFonts w:ascii="Arial" w:hAnsi="Arial"/>
        </w:rPr>
        <w:t>1644</w:t>
      </w:r>
    </w:p>
    <w:p>
      <w:pPr>
        <w:pStyle w:val="TOC2"/>
        <w:widowControl/>
        <w:tabs>
          <w:tab w:pos="8856" w:val="right" w:leader="dot"/>
        </w:tabs>
      </w:pPr>
      <w:hyperlink w:anchor="_NAESTMA_TOC_2778" w:history="1">
        <w:r>
          <w:rPr>
            <w:color w:val="466B7A"/>
          </w:rPr>
          <w:t>BJ-22. Truck Leasing Tax Coordination</w:t>
        </w:r>
      </w:hyperlink>
      <w:r>
        <w:tab/>
      </w:r>
      <w:r>
        <w:rPr>
          <w:rFonts w:ascii="Arial" w:hAnsi="Arial"/>
        </w:rPr>
        <w:t>1644</w:t>
      </w:r>
    </w:p>
    <w:p>
      <w:pPr>
        <w:pStyle w:val="TOC2"/>
        <w:widowControl/>
        <w:tabs>
          <w:tab w:pos="8856" w:val="right" w:leader="dot"/>
        </w:tabs>
      </w:pPr>
      <w:hyperlink w:anchor="_NAESTMA_TOC_2779" w:history="1">
        <w:r>
          <w:rPr>
            <w:color w:val="466B7A"/>
          </w:rPr>
          <w:t>BJ-23. Truck Scrap &amp; End-of-Life Pact</w:t>
        </w:r>
      </w:hyperlink>
      <w:r>
        <w:tab/>
      </w:r>
      <w:r>
        <w:rPr>
          <w:rFonts w:ascii="Arial" w:hAnsi="Arial"/>
        </w:rPr>
        <w:t>1644</w:t>
      </w:r>
    </w:p>
    <w:p>
      <w:pPr>
        <w:pStyle w:val="TOC2"/>
        <w:widowControl/>
        <w:tabs>
          <w:tab w:pos="8856" w:val="right" w:leader="dot"/>
        </w:tabs>
      </w:pPr>
      <w:hyperlink w:anchor="_NAESTMA_TOC_2780" w:history="1">
        <w:r>
          <w:rPr>
            <w:color w:val="466B7A"/>
          </w:rPr>
          <w:t>BJ-24. Cold-Climate Testing Rights</w:t>
        </w:r>
      </w:hyperlink>
      <w:r>
        <w:tab/>
      </w:r>
      <w:r>
        <w:rPr>
          <w:rFonts w:ascii="Arial" w:hAnsi="Arial"/>
        </w:rPr>
        <w:t>1644</w:t>
      </w:r>
    </w:p>
    <w:p>
      <w:pPr>
        <w:pStyle w:val="TOC2"/>
        <w:widowControl/>
        <w:tabs>
          <w:tab w:pos="8856" w:val="right" w:leader="dot"/>
        </w:tabs>
      </w:pPr>
      <w:hyperlink w:anchor="_NAESTMA_TOC_2781" w:history="1">
        <w:r>
          <w:rPr>
            <w:color w:val="466B7A"/>
          </w:rPr>
          <w:t>BJ-25. Truck Software &amp; OTA Alignment</w:t>
        </w:r>
      </w:hyperlink>
      <w:r>
        <w:tab/>
      </w:r>
      <w:r>
        <w:rPr>
          <w:rFonts w:ascii="Arial" w:hAnsi="Arial"/>
        </w:rPr>
        <w:t>1644</w:t>
      </w:r>
    </w:p>
    <w:p>
      <w:pPr>
        <w:pStyle w:val="TOC2"/>
        <w:widowControl/>
        <w:tabs>
          <w:tab w:pos="8856" w:val="right" w:leader="dot"/>
        </w:tabs>
      </w:pPr>
      <w:hyperlink w:anchor="_NAESTMA_TOC_2782" w:history="1">
        <w:r>
          <w:rPr>
            <w:color w:val="466B7A"/>
          </w:rPr>
          <w:t>BJ-26. Truck Weight &amp; Dimension Harmonization</w:t>
        </w:r>
      </w:hyperlink>
      <w:r>
        <w:tab/>
      </w:r>
      <w:r>
        <w:rPr>
          <w:rFonts w:ascii="Arial" w:hAnsi="Arial"/>
        </w:rPr>
        <w:t>1644</w:t>
      </w:r>
    </w:p>
    <w:p>
      <w:pPr>
        <w:pStyle w:val="TOC2"/>
        <w:widowControl/>
        <w:tabs>
          <w:tab w:pos="8856" w:val="right" w:leader="dot"/>
        </w:tabs>
      </w:pPr>
      <w:hyperlink w:anchor="_NAESTMA_TOC_2783" w:history="1">
        <w:r>
          <w:rPr>
            <w:color w:val="466B7A"/>
          </w:rPr>
          <w:t>BJ-27. Green Corridor Branding Scheme</w:t>
        </w:r>
      </w:hyperlink>
      <w:r>
        <w:tab/>
      </w:r>
      <w:r>
        <w:rPr>
          <w:rFonts w:ascii="Arial" w:hAnsi="Arial"/>
        </w:rPr>
        <w:t>1644</w:t>
      </w:r>
    </w:p>
    <w:p>
      <w:pPr>
        <w:pStyle w:val="TOC2"/>
        <w:widowControl/>
        <w:tabs>
          <w:tab w:pos="8856" w:val="right" w:leader="dot"/>
        </w:tabs>
      </w:pPr>
      <w:hyperlink w:anchor="_NAESTMA_TOC_2784" w:history="1">
        <w:r>
          <w:rPr>
            <w:color w:val="466B7A"/>
          </w:rPr>
          <w:t>BJ-28. Truck Export Credit Coordination</w:t>
        </w:r>
      </w:hyperlink>
      <w:r>
        <w:tab/>
      </w:r>
      <w:r>
        <w:rPr>
          <w:rFonts w:ascii="Arial" w:hAnsi="Arial"/>
        </w:rPr>
        <w:t>1644</w:t>
      </w:r>
    </w:p>
    <w:p>
      <w:pPr>
        <w:pStyle w:val="TOC2"/>
        <w:widowControl/>
        <w:tabs>
          <w:tab w:pos="8856" w:val="right" w:leader="dot"/>
        </w:tabs>
      </w:pPr>
      <w:hyperlink w:anchor="_NAESTMA_TOC_2785" w:history="1">
        <w:r>
          <w:rPr>
            <w:color w:val="466B7A"/>
          </w:rPr>
          <w:t>BJ-29. Truck Fleet Modernization Swap</w:t>
        </w:r>
      </w:hyperlink>
      <w:r>
        <w:tab/>
      </w:r>
      <w:r>
        <w:rPr>
          <w:rFonts w:ascii="Arial" w:hAnsi="Arial"/>
        </w:rPr>
        <w:t>1644</w:t>
      </w:r>
    </w:p>
    <w:p>
      <w:pPr>
        <w:pStyle w:val="TOC2"/>
        <w:widowControl/>
        <w:tabs>
          <w:tab w:pos="8856" w:val="right" w:leader="dot"/>
        </w:tabs>
      </w:pPr>
      <w:hyperlink w:anchor="_NAESTMA_TOC_2786" w:history="1">
        <w:r>
          <w:rPr>
            <w:color w:val="466B7A"/>
          </w:rPr>
          <w:t>BJ-30. Truck Vocational Segment Deal</w:t>
        </w:r>
      </w:hyperlink>
      <w:r>
        <w:tab/>
      </w:r>
      <w:r>
        <w:rPr>
          <w:rFonts w:ascii="Arial" w:hAnsi="Arial"/>
        </w:rPr>
        <w:t>1644</w:t>
      </w:r>
    </w:p>
    <w:p>
      <w:pPr>
        <w:pStyle w:val="TOC2"/>
        <w:widowControl/>
        <w:tabs>
          <w:tab w:pos="8856" w:val="right" w:leader="dot"/>
        </w:tabs>
      </w:pPr>
      <w:hyperlink w:anchor="_NAESTMA_TOC_2787" w:history="1">
        <w:r>
          <w:rPr>
            <w:color w:val="466B7A"/>
          </w:rPr>
          <w:t>BJ-31. Truck Charging Interoperability Pact</w:t>
        </w:r>
      </w:hyperlink>
      <w:r>
        <w:tab/>
      </w:r>
      <w:r>
        <w:rPr>
          <w:rFonts w:ascii="Arial" w:hAnsi="Arial"/>
        </w:rPr>
        <w:t>1644</w:t>
      </w:r>
    </w:p>
    <w:p>
      <w:pPr>
        <w:pStyle w:val="TOC2"/>
        <w:widowControl/>
        <w:tabs>
          <w:tab w:pos="8856" w:val="right" w:leader="dot"/>
        </w:tabs>
      </w:pPr>
      <w:hyperlink w:anchor="_NAESTMA_TOC_2788" w:history="1">
        <w:r>
          <w:rPr>
            <w:color w:val="466B7A"/>
          </w:rPr>
          <w:t>BJ-32. Truck Carbon Labeling Scheme</w:t>
        </w:r>
      </w:hyperlink>
      <w:r>
        <w:tab/>
      </w:r>
      <w:r>
        <w:rPr>
          <w:rFonts w:ascii="Arial" w:hAnsi="Arial"/>
        </w:rPr>
        <w:t>1645</w:t>
      </w:r>
    </w:p>
    <w:p>
      <w:pPr>
        <w:pStyle w:val="TOC2"/>
        <w:widowControl/>
        <w:tabs>
          <w:tab w:pos="8856" w:val="right" w:leader="dot"/>
        </w:tabs>
      </w:pPr>
      <w:hyperlink w:anchor="_NAESTMA_TOC_2789" w:history="1">
        <w:r>
          <w:rPr>
            <w:color w:val="466B7A"/>
          </w:rPr>
          <w:t>BJ-33. Truck Export Safeguard Mechanism</w:t>
        </w:r>
      </w:hyperlink>
      <w:r>
        <w:tab/>
      </w:r>
      <w:r>
        <w:rPr>
          <w:rFonts w:ascii="Arial" w:hAnsi="Arial"/>
        </w:rPr>
        <w:t>1645</w:t>
      </w:r>
    </w:p>
    <w:p>
      <w:pPr>
        <w:pStyle w:val="TOC2"/>
        <w:widowControl/>
        <w:tabs>
          <w:tab w:pos="8856" w:val="right" w:leader="dot"/>
        </w:tabs>
      </w:pPr>
      <w:hyperlink w:anchor="_NAESTMA_TOC_2790" w:history="1">
        <w:r>
          <w:rPr>
            <w:color w:val="466B7A"/>
          </w:rPr>
          <w:t>BJ-34. Truck-Linked Rail Integration Deal</w:t>
        </w:r>
      </w:hyperlink>
      <w:r>
        <w:tab/>
      </w:r>
      <w:r>
        <w:rPr>
          <w:rFonts w:ascii="Arial" w:hAnsi="Arial"/>
        </w:rPr>
        <w:t>1645</w:t>
      </w:r>
    </w:p>
    <w:p>
      <w:pPr>
        <w:pStyle w:val="TOC2"/>
        <w:widowControl/>
        <w:tabs>
          <w:tab w:pos="8856" w:val="right" w:leader="dot"/>
        </w:tabs>
      </w:pPr>
      <w:hyperlink w:anchor="_NAESTMA_TOC_2791" w:history="1">
        <w:r>
          <w:rPr>
            <w:color w:val="466B7A"/>
          </w:rPr>
          <w:t>BJ-35. Truck Toll Reciprocity</w:t>
        </w:r>
      </w:hyperlink>
      <w:r>
        <w:tab/>
      </w:r>
      <w:r>
        <w:rPr>
          <w:rFonts w:ascii="Arial" w:hAnsi="Arial"/>
        </w:rPr>
        <w:t>1645</w:t>
      </w:r>
    </w:p>
    <w:p>
      <w:pPr>
        <w:pStyle w:val="TOC2"/>
        <w:widowControl/>
        <w:tabs>
          <w:tab w:pos="8856" w:val="right" w:leader="dot"/>
        </w:tabs>
      </w:pPr>
      <w:hyperlink w:anchor="_NAESTMA_TOC_2792" w:history="1">
        <w:r>
          <w:rPr>
            <w:color w:val="466B7A"/>
          </w:rPr>
          <w:t>BJ-36. Truck Logistics Data Trust</w:t>
        </w:r>
      </w:hyperlink>
      <w:r>
        <w:tab/>
      </w:r>
      <w:r>
        <w:rPr>
          <w:rFonts w:ascii="Arial" w:hAnsi="Arial"/>
        </w:rPr>
        <w:t>1645</w:t>
      </w:r>
    </w:p>
    <w:p>
      <w:pPr>
        <w:pStyle w:val="TOC2"/>
        <w:widowControl/>
        <w:tabs>
          <w:tab w:pos="8856" w:val="right" w:leader="dot"/>
        </w:tabs>
      </w:pPr>
      <w:hyperlink w:anchor="_NAESTMA_TOC_2793" w:history="1">
        <w:r>
          <w:rPr>
            <w:color w:val="466B7A"/>
          </w:rPr>
          <w:t>BJ-37. Truck Vocational Training Mobility</w:t>
        </w:r>
      </w:hyperlink>
      <w:r>
        <w:tab/>
      </w:r>
      <w:r>
        <w:rPr>
          <w:rFonts w:ascii="Arial" w:hAnsi="Arial"/>
        </w:rPr>
        <w:t>1645</w:t>
      </w:r>
    </w:p>
    <w:p>
      <w:pPr>
        <w:pStyle w:val="TOC2"/>
        <w:widowControl/>
        <w:tabs>
          <w:tab w:pos="8856" w:val="right" w:leader="dot"/>
        </w:tabs>
      </w:pPr>
      <w:hyperlink w:anchor="_NAESTMA_TOC_2794" w:history="1">
        <w:r>
          <w:rPr>
            <w:color w:val="466B7A"/>
          </w:rPr>
          <w:t>BJ-38. Truck Safety Research Sharing</w:t>
        </w:r>
      </w:hyperlink>
      <w:r>
        <w:tab/>
      </w:r>
      <w:r>
        <w:rPr>
          <w:rFonts w:ascii="Arial" w:hAnsi="Arial"/>
        </w:rPr>
        <w:t>1645</w:t>
      </w:r>
    </w:p>
    <w:p>
      <w:pPr>
        <w:pStyle w:val="TOC2"/>
        <w:widowControl/>
        <w:tabs>
          <w:tab w:pos="8856" w:val="right" w:leader="dot"/>
        </w:tabs>
      </w:pPr>
      <w:hyperlink w:anchor="_NAESTMA_TOC_2795" w:history="1">
        <w:r>
          <w:rPr>
            <w:color w:val="466B7A"/>
          </w:rPr>
          <w:t>BJ-39. Truck Fuel Standard Alignment</w:t>
        </w:r>
      </w:hyperlink>
      <w:r>
        <w:tab/>
      </w:r>
      <w:r>
        <w:rPr>
          <w:rFonts w:ascii="Arial" w:hAnsi="Arial"/>
        </w:rPr>
        <w:t>1645</w:t>
      </w:r>
    </w:p>
    <w:p>
      <w:pPr>
        <w:pStyle w:val="TOC2"/>
        <w:widowControl/>
        <w:tabs>
          <w:tab w:pos="8856" w:val="right" w:leader="dot"/>
        </w:tabs>
      </w:pPr>
      <w:hyperlink w:anchor="_NAESTMA_TOC_2796" w:history="1">
        <w:r>
          <w:rPr>
            <w:color w:val="466B7A"/>
          </w:rPr>
          <w:t>BJ-40. Truck Export Promotion Joint Office</w:t>
        </w:r>
      </w:hyperlink>
      <w:r>
        <w:tab/>
      </w:r>
      <w:r>
        <w:rPr>
          <w:rFonts w:ascii="Arial" w:hAnsi="Arial"/>
        </w:rPr>
        <w:t>1645</w:t>
      </w:r>
    </w:p>
    <w:p>
      <w:pPr>
        <w:pStyle w:val="TOC2"/>
        <w:widowControl/>
        <w:tabs>
          <w:tab w:pos="8856" w:val="right" w:leader="dot"/>
        </w:tabs>
      </w:pPr>
      <w:hyperlink w:anchor="_NAESTMA_TOC_2797" w:history="1">
        <w:r>
          <w:rPr>
            <w:color w:val="466B7A"/>
          </w:rPr>
          <w:t>BJ-41. Truck Cyber Incident Response Pact</w:t>
        </w:r>
      </w:hyperlink>
      <w:r>
        <w:tab/>
      </w:r>
      <w:r>
        <w:rPr>
          <w:rFonts w:ascii="Arial" w:hAnsi="Arial"/>
        </w:rPr>
        <w:t>1645</w:t>
      </w:r>
    </w:p>
    <w:p>
      <w:pPr>
        <w:pStyle w:val="TOC2"/>
        <w:widowControl/>
        <w:tabs>
          <w:tab w:pos="8856" w:val="right" w:leader="dot"/>
        </w:tabs>
      </w:pPr>
      <w:hyperlink w:anchor="_NAESTMA_TOC_2798" w:history="1">
        <w:r>
          <w:rPr>
            <w:color w:val="466B7A"/>
          </w:rPr>
          <w:t>BJ-42. Truck Border Pre-Clearance Expansion</w:t>
        </w:r>
      </w:hyperlink>
      <w:r>
        <w:tab/>
      </w:r>
      <w:r>
        <w:rPr>
          <w:rFonts w:ascii="Arial" w:hAnsi="Arial"/>
        </w:rPr>
        <w:t>1645</w:t>
      </w:r>
    </w:p>
    <w:p>
      <w:pPr>
        <w:pStyle w:val="TOC2"/>
        <w:widowControl/>
        <w:tabs>
          <w:tab w:pos="8856" w:val="right" w:leader="dot"/>
        </w:tabs>
      </w:pPr>
      <w:hyperlink w:anchor="_NAESTMA_TOC_2799" w:history="1">
        <w:r>
          <w:rPr>
            <w:color w:val="466B7A"/>
          </w:rPr>
          <w:t>BJ-43. Truck Fleet Digital ID System</w:t>
        </w:r>
      </w:hyperlink>
      <w:r>
        <w:tab/>
      </w:r>
      <w:r>
        <w:rPr>
          <w:rFonts w:ascii="Arial" w:hAnsi="Arial"/>
        </w:rPr>
        <w:t>1646</w:t>
      </w:r>
    </w:p>
    <w:p>
      <w:pPr>
        <w:pStyle w:val="TOC2"/>
        <w:widowControl/>
        <w:tabs>
          <w:tab w:pos="8856" w:val="right" w:leader="dot"/>
        </w:tabs>
      </w:pPr>
      <w:hyperlink w:anchor="_NAESTMA_TOC_2800" w:history="1">
        <w:r>
          <w:rPr>
            <w:color w:val="466B7A"/>
          </w:rPr>
          <w:t>BJ-44. Truck Green Bond Access</w:t>
        </w:r>
      </w:hyperlink>
      <w:r>
        <w:tab/>
      </w:r>
      <w:r>
        <w:rPr>
          <w:rFonts w:ascii="Arial" w:hAnsi="Arial"/>
        </w:rPr>
        <w:t>1646</w:t>
      </w:r>
    </w:p>
    <w:p>
      <w:pPr>
        <w:pStyle w:val="TOC2"/>
        <w:widowControl/>
        <w:tabs>
          <w:tab w:pos="8856" w:val="right" w:leader="dot"/>
        </w:tabs>
      </w:pPr>
      <w:hyperlink w:anchor="_NAESTMA_TOC_2801" w:history="1">
        <w:r>
          <w:rPr>
            <w:color w:val="466B7A"/>
          </w:rPr>
          <w:t>BJ-45. Truck Export Quota for Niche Segments</w:t>
        </w:r>
      </w:hyperlink>
      <w:r>
        <w:tab/>
      </w:r>
      <w:r>
        <w:rPr>
          <w:rFonts w:ascii="Arial" w:hAnsi="Arial"/>
        </w:rPr>
        <w:t>1646</w:t>
      </w:r>
    </w:p>
    <w:p>
      <w:pPr>
        <w:pStyle w:val="TOC2"/>
        <w:widowControl/>
        <w:tabs>
          <w:tab w:pos="8856" w:val="right" w:leader="dot"/>
        </w:tabs>
      </w:pPr>
      <w:hyperlink w:anchor="_NAESTMA_TOC_2802" w:history="1">
        <w:r>
          <w:rPr>
            <w:color w:val="466B7A"/>
          </w:rPr>
          <w:t>BJ-46. Truck Autonomous Safety Validation</w:t>
        </w:r>
      </w:hyperlink>
      <w:r>
        <w:tab/>
      </w:r>
      <w:r>
        <w:rPr>
          <w:rFonts w:ascii="Arial" w:hAnsi="Arial"/>
        </w:rPr>
        <w:t>1646</w:t>
      </w:r>
    </w:p>
    <w:p>
      <w:pPr>
        <w:pStyle w:val="TOC2"/>
        <w:widowControl/>
        <w:tabs>
          <w:tab w:pos="8856" w:val="right" w:leader="dot"/>
        </w:tabs>
      </w:pPr>
      <w:hyperlink w:anchor="_NAESTMA_TOC_2803" w:history="1">
        <w:r>
          <w:rPr>
            <w:color w:val="466B7A"/>
          </w:rPr>
          <w:t>BJ-47. Truck Fleet Resilience Pact</w:t>
        </w:r>
      </w:hyperlink>
      <w:r>
        <w:tab/>
      </w:r>
      <w:r>
        <w:rPr>
          <w:rFonts w:ascii="Arial" w:hAnsi="Arial"/>
        </w:rPr>
        <w:t>1646</w:t>
      </w:r>
    </w:p>
    <w:p>
      <w:pPr>
        <w:pStyle w:val="TOC2"/>
        <w:widowControl/>
        <w:tabs>
          <w:tab w:pos="8856" w:val="right" w:leader="dot"/>
        </w:tabs>
      </w:pPr>
      <w:hyperlink w:anchor="_NAESTMA_TOC_2804" w:history="1">
        <w:r>
          <w:rPr>
            <w:color w:val="466B7A"/>
          </w:rPr>
          <w:t>BJ-48. Truck-Linked Port Access Deal</w:t>
        </w:r>
      </w:hyperlink>
      <w:r>
        <w:tab/>
      </w:r>
      <w:r>
        <w:rPr>
          <w:rFonts w:ascii="Arial" w:hAnsi="Arial"/>
        </w:rPr>
        <w:t>1646</w:t>
      </w:r>
    </w:p>
    <w:p>
      <w:pPr>
        <w:pStyle w:val="TOC2"/>
        <w:widowControl/>
        <w:tabs>
          <w:tab w:pos="8856" w:val="right" w:leader="dot"/>
        </w:tabs>
      </w:pPr>
      <w:hyperlink w:anchor="_NAESTMA_TOC_2805" w:history="1">
        <w:r>
          <w:rPr>
            <w:color w:val="466B7A"/>
          </w:rPr>
          <w:t>BJ-49. Truck Export Tariff Phase-Out</w:t>
        </w:r>
      </w:hyperlink>
      <w:r>
        <w:tab/>
      </w:r>
      <w:r>
        <w:rPr>
          <w:rFonts w:ascii="Arial" w:hAnsi="Arial"/>
        </w:rPr>
        <w:t>1646</w:t>
      </w:r>
    </w:p>
    <w:p>
      <w:pPr>
        <w:pStyle w:val="TOC2"/>
        <w:widowControl/>
        <w:tabs>
          <w:tab w:pos="8856" w:val="right" w:leader="dot"/>
        </w:tabs>
      </w:pPr>
      <w:hyperlink w:anchor="_NAESTMA_TOC_2806" w:history="1">
        <w:r>
          <w:rPr>
            <w:color w:val="466B7A"/>
          </w:rPr>
          <w:t>BJ-50. Truck Innovation Challenge Fund</w:t>
        </w:r>
      </w:hyperlink>
      <w:r>
        <w:tab/>
      </w:r>
      <w:r>
        <w:rPr>
          <w:rFonts w:ascii="Arial" w:hAnsi="Arial"/>
        </w:rPr>
        <w:t>1646</w:t>
      </w:r>
    </w:p>
    <w:p>
      <w:pPr>
        <w:pStyle w:val="TOC1"/>
        <w:widowControl/>
        <w:tabs>
          <w:tab w:pos="8856" w:val="right" w:leader="dot"/>
        </w:tabs>
      </w:pPr>
      <w:hyperlink w:anchor="_NAESTMA_TOC_2807" w:history="1">
        <w:r>
          <w:rPr>
            <w:color w:val="233746"/>
          </w:rPr>
          <w:t>PACKAGE BK — NORTH AMERICAN COMMERCIAL VEHICLE SAFETY EQUIVALENCE FRAMEWORK</w:t>
        </w:r>
      </w:hyperlink>
      <w:r>
        <w:tab/>
      </w:r>
      <w:r>
        <w:rPr>
          <w:rFonts w:ascii="Arial" w:hAnsi="Arial"/>
        </w:rPr>
        <w:t>1647</w:t>
      </w:r>
    </w:p>
    <w:p>
      <w:pPr>
        <w:pStyle w:val="TOC2"/>
        <w:widowControl/>
        <w:tabs>
          <w:tab w:pos="8856" w:val="right" w:leader="dot"/>
        </w:tabs>
      </w:pPr>
      <w:hyperlink w:anchor="_NAESTMA_TOC_2808" w:history="1">
        <w:r>
          <w:rPr>
            <w:color w:val="466B7A"/>
          </w:rPr>
          <w:t>BK-1. Safety-Equivalent Market Access</w:t>
        </w:r>
      </w:hyperlink>
      <w:r>
        <w:tab/>
      </w:r>
      <w:r>
        <w:rPr>
          <w:rFonts w:ascii="Arial" w:hAnsi="Arial"/>
        </w:rPr>
        <w:t>1647</w:t>
      </w:r>
    </w:p>
    <w:p>
      <w:pPr>
        <w:pStyle w:val="TOC2"/>
        <w:widowControl/>
        <w:tabs>
          <w:tab w:pos="8856" w:val="right" w:leader="dot"/>
        </w:tabs>
      </w:pPr>
      <w:hyperlink w:anchor="_NAESTMA_TOC_2809" w:history="1">
        <w:r>
          <w:rPr>
            <w:color w:val="466B7A"/>
          </w:rPr>
          <w:t>BK-2. Risk-Based Enforcement</w:t>
        </w:r>
      </w:hyperlink>
      <w:r>
        <w:tab/>
      </w:r>
      <w:r>
        <w:rPr>
          <w:rFonts w:ascii="Arial" w:hAnsi="Arial"/>
        </w:rPr>
        <w:t>1647</w:t>
      </w:r>
    </w:p>
    <w:p>
      <w:pPr>
        <w:pStyle w:val="TOC2"/>
        <w:widowControl/>
        <w:tabs>
          <w:tab w:pos="8856" w:val="right" w:leader="dot"/>
        </w:tabs>
      </w:pPr>
      <w:hyperlink w:anchor="_NAESTMA_TOC_2810" w:history="1">
        <w:r>
          <w:rPr>
            <w:color w:val="466B7A"/>
          </w:rPr>
          <w:t>BK-3. Carrier Scheduling Responsibility</w:t>
        </w:r>
      </w:hyperlink>
      <w:r>
        <w:tab/>
      </w:r>
      <w:r>
        <w:rPr>
          <w:rFonts w:ascii="Arial" w:hAnsi="Arial"/>
        </w:rPr>
        <w:t>1647</w:t>
      </w:r>
    </w:p>
    <w:p>
      <w:pPr>
        <w:pStyle w:val="TOC2"/>
        <w:widowControl/>
        <w:tabs>
          <w:tab w:pos="8856" w:val="right" w:leader="dot"/>
        </w:tabs>
      </w:pPr>
      <w:hyperlink w:anchor="_NAESTMA_TOC_2811" w:history="1">
        <w:r>
          <w:rPr>
            <w:color w:val="466B7A"/>
          </w:rPr>
          <w:t>BK-4. On-Duty Waiting Rule</w:t>
        </w:r>
      </w:hyperlink>
      <w:r>
        <w:tab/>
      </w:r>
      <w:r>
        <w:rPr>
          <w:rFonts w:ascii="Arial" w:hAnsi="Arial"/>
        </w:rPr>
        <w:t>1647</w:t>
      </w:r>
    </w:p>
    <w:p>
      <w:pPr>
        <w:pStyle w:val="TOC2"/>
        <w:widowControl/>
        <w:tabs>
          <w:tab w:pos="8856" w:val="right" w:leader="dot"/>
        </w:tabs>
      </w:pPr>
      <w:hyperlink w:anchor="_NAESTMA_TOC_2812" w:history="1">
        <w:r>
          <w:rPr>
            <w:color w:val="466B7A"/>
          </w:rPr>
          <w:t>BK-5. Anti-Coercion Dispatch Rule</w:t>
        </w:r>
      </w:hyperlink>
      <w:r>
        <w:tab/>
      </w:r>
      <w:r>
        <w:rPr>
          <w:rFonts w:ascii="Arial" w:hAnsi="Arial"/>
        </w:rPr>
        <w:t>1647</w:t>
      </w:r>
    </w:p>
    <w:p>
      <w:pPr>
        <w:pStyle w:val="TOC2"/>
        <w:widowControl/>
        <w:tabs>
          <w:tab w:pos="8856" w:val="right" w:leader="dot"/>
        </w:tabs>
      </w:pPr>
      <w:hyperlink w:anchor="_NAESTMA_TOC_2813" w:history="1">
        <w:r>
          <w:rPr>
            <w:color w:val="466B7A"/>
          </w:rPr>
          <w:t>BK-6. Safety Stop Right</w:t>
        </w:r>
      </w:hyperlink>
      <w:r>
        <w:tab/>
      </w:r>
      <w:r>
        <w:rPr>
          <w:rFonts w:ascii="Arial" w:hAnsi="Arial"/>
        </w:rPr>
        <w:t>1647</w:t>
      </w:r>
    </w:p>
    <w:p>
      <w:pPr>
        <w:pStyle w:val="TOC2"/>
        <w:widowControl/>
        <w:tabs>
          <w:tab w:pos="8856" w:val="right" w:leader="dot"/>
        </w:tabs>
      </w:pPr>
      <w:hyperlink w:anchor="_NAESTMA_TOC_2814" w:history="1">
        <w:r>
          <w:rPr>
            <w:color w:val="466B7A"/>
          </w:rPr>
          <w:t>BK-7. Unsafe Incentive Prohibition</w:t>
        </w:r>
      </w:hyperlink>
      <w:r>
        <w:tab/>
      </w:r>
      <w:r>
        <w:rPr>
          <w:rFonts w:ascii="Arial" w:hAnsi="Arial"/>
        </w:rPr>
        <w:t>1647</w:t>
      </w:r>
    </w:p>
    <w:p>
      <w:pPr>
        <w:pStyle w:val="TOC2"/>
        <w:widowControl/>
        <w:tabs>
          <w:tab w:pos="8856" w:val="right" w:leader="dot"/>
        </w:tabs>
      </w:pPr>
      <w:hyperlink w:anchor="_NAESTMA_TOC_2815" w:history="1">
        <w:r>
          <w:rPr>
            <w:color w:val="466B7A"/>
          </w:rPr>
          <w:t>BK-8. Critical Defect No-Dispatch Rule</w:t>
        </w:r>
      </w:hyperlink>
      <w:r>
        <w:tab/>
      </w:r>
      <w:r>
        <w:rPr>
          <w:rFonts w:ascii="Arial" w:hAnsi="Arial"/>
        </w:rPr>
        <w:t>1647</w:t>
      </w:r>
    </w:p>
    <w:p>
      <w:pPr>
        <w:pStyle w:val="TOC2"/>
        <w:widowControl/>
        <w:tabs>
          <w:tab w:pos="8856" w:val="right" w:leader="dot"/>
        </w:tabs>
      </w:pPr>
      <w:hyperlink w:anchor="_NAESTMA_TOC_2816" w:history="1">
        <w:r>
          <w:rPr>
            <w:color w:val="466B7A"/>
          </w:rPr>
          <w:t>BK-9. Carrier Knowledge Liability</w:t>
        </w:r>
      </w:hyperlink>
      <w:r>
        <w:tab/>
      </w:r>
      <w:r>
        <w:rPr>
          <w:rFonts w:ascii="Arial" w:hAnsi="Arial"/>
        </w:rPr>
        <w:t>1647</w:t>
      </w:r>
    </w:p>
    <w:p>
      <w:pPr>
        <w:pStyle w:val="TOC2"/>
        <w:widowControl/>
        <w:tabs>
          <w:tab w:pos="8856" w:val="right" w:leader="dot"/>
        </w:tabs>
      </w:pPr>
      <w:hyperlink w:anchor="_NAESTMA_TOC_2817" w:history="1">
        <w:r>
          <w:rPr>
            <w:color w:val="466B7A"/>
          </w:rPr>
          <w:t>BK-10. Privacy and Minimum-Data Firewall</w:t>
        </w:r>
      </w:hyperlink>
      <w:r>
        <w:tab/>
      </w:r>
      <w:r>
        <w:rPr>
          <w:rFonts w:ascii="Arial" w:hAnsi="Arial"/>
        </w:rPr>
        <w:t>1648</w:t>
      </w:r>
    </w:p>
    <w:p>
      <w:pPr>
        <w:pStyle w:val="TOC2"/>
        <w:widowControl/>
        <w:tabs>
          <w:tab w:pos="8856" w:val="right" w:leader="dot"/>
        </w:tabs>
      </w:pPr>
      <w:hyperlink w:anchor="_NAESTMA_TOC_2818" w:history="1">
        <w:r>
          <w:rPr>
            <w:color w:val="466B7A"/>
          </w:rPr>
          <w:t>BK-11. Technical Update Method</w:t>
        </w:r>
      </w:hyperlink>
      <w:r>
        <w:tab/>
      </w:r>
      <w:r>
        <w:rPr>
          <w:rFonts w:ascii="Arial" w:hAnsi="Arial"/>
        </w:rPr>
        <w:t>1648</w:t>
      </w:r>
    </w:p>
    <w:p>
      <w:pPr>
        <w:pStyle w:val="TOC2"/>
        <w:widowControl/>
        <w:tabs>
          <w:tab w:pos="8856" w:val="right" w:leader="dot"/>
        </w:tabs>
      </w:pPr>
      <w:hyperlink w:anchor="_NAESTMA_TOC_2819" w:history="1">
        <w:r>
          <w:rPr>
            <w:color w:val="466B7A"/>
          </w:rPr>
          <w:t>BK-12. Federalism and Competent Authorities</w:t>
        </w:r>
      </w:hyperlink>
      <w:r>
        <w:tab/>
      </w:r>
      <w:r>
        <w:rPr>
          <w:rFonts w:ascii="Arial" w:hAnsi="Arial"/>
        </w:rPr>
        <w:t>1648</w:t>
      </w:r>
    </w:p>
    <w:p>
      <w:pPr>
        <w:pStyle w:val="TOC1"/>
        <w:widowControl/>
        <w:tabs>
          <w:tab w:pos="8856" w:val="right" w:leader="dot"/>
        </w:tabs>
      </w:pPr>
      <w:hyperlink w:anchor="_NAESTMA_TOC_2820" w:history="1">
        <w:r>
          <w:rPr>
            <w:color w:val="233746"/>
          </w:rPr>
          <w:t>PACKAGE BL — COMMERCIAL VEHICLE SAFETY IMPLEMENTATION CATALOGUE</w:t>
        </w:r>
      </w:hyperlink>
      <w:r>
        <w:tab/>
      </w:r>
      <w:r>
        <w:rPr>
          <w:rFonts w:ascii="Arial" w:hAnsi="Arial"/>
        </w:rPr>
        <w:t>1649</w:t>
      </w:r>
    </w:p>
    <w:p>
      <w:pPr>
        <w:pStyle w:val="TOC2"/>
        <w:widowControl/>
        <w:tabs>
          <w:tab w:pos="8856" w:val="right" w:leader="dot"/>
        </w:tabs>
      </w:pPr>
      <w:hyperlink w:anchor="_NAESTMA_TOC_2821" w:history="1">
        <w:r>
          <w:rPr>
            <w:color w:val="466B7A"/>
          </w:rPr>
          <w:t>BL-1. a specialized commercial license for every person operating a heavy transport…</w:t>
        </w:r>
      </w:hyperlink>
      <w:r>
        <w:tab/>
      </w:r>
      <w:r>
        <w:rPr>
          <w:rFonts w:ascii="Arial" w:hAnsi="Arial"/>
        </w:rPr>
        <w:t>1649</w:t>
      </w:r>
    </w:p>
    <w:p>
      <w:pPr>
        <w:pStyle w:val="TOC2"/>
        <w:widowControl/>
        <w:tabs>
          <w:tab w:pos="8856" w:val="right" w:leader="dot"/>
        </w:tabs>
      </w:pPr>
      <w:hyperlink w:anchor="_NAESTMA_TOC_2822" w:history="1">
        <w:r>
          <w:rPr>
            <w:color w:val="466B7A"/>
          </w:rPr>
          <w:t>BL-2. Require a standardized written examination covering vehicle control, cargo…</w:t>
        </w:r>
      </w:hyperlink>
      <w:r>
        <w:tab/>
      </w:r>
      <w:r>
        <w:rPr>
          <w:rFonts w:ascii="Arial" w:hAnsi="Arial"/>
        </w:rPr>
        <w:t>1649</w:t>
      </w:r>
    </w:p>
    <w:p>
      <w:pPr>
        <w:pStyle w:val="TOC2"/>
        <w:widowControl/>
        <w:tabs>
          <w:tab w:pos="8856" w:val="right" w:leader="dot"/>
        </w:tabs>
      </w:pPr>
      <w:hyperlink w:anchor="_NAESTMA_TOC_2823" w:history="1">
        <w:r>
          <w:rPr>
            <w:color w:val="466B7A"/>
          </w:rPr>
          <w:t>BL-3. a practical road test using a fully loaded vehicle, not only an empty tractor</w:t>
        </w:r>
      </w:hyperlink>
      <w:r>
        <w:tab/>
      </w:r>
      <w:r>
        <w:rPr>
          <w:rFonts w:ascii="Arial" w:hAnsi="Arial"/>
        </w:rPr>
        <w:t>1649</w:t>
      </w:r>
    </w:p>
    <w:p>
      <w:pPr>
        <w:pStyle w:val="TOC2"/>
        <w:widowControl/>
        <w:tabs>
          <w:tab w:pos="8856" w:val="right" w:leader="dot"/>
        </w:tabs>
      </w:pPr>
      <w:hyperlink w:anchor="_NAESTMA_TOC_2824" w:history="1">
        <w:r>
          <w:rPr>
            <w:color w:val="466B7A"/>
          </w:rPr>
          <w:t>BL-4. mandatory entry-level training before a new commercial driver may operate…</w:t>
        </w:r>
      </w:hyperlink>
      <w:r>
        <w:tab/>
      </w:r>
      <w:r>
        <w:rPr>
          <w:rFonts w:ascii="Arial" w:hAnsi="Arial"/>
        </w:rPr>
        <w:t>1649</w:t>
      </w:r>
    </w:p>
    <w:p>
      <w:pPr>
        <w:pStyle w:val="TOC2"/>
        <w:widowControl/>
        <w:tabs>
          <w:tab w:pos="8856" w:val="right" w:leader="dot"/>
        </w:tabs>
      </w:pPr>
      <w:hyperlink w:anchor="_NAESTMA_TOC_2825" w:history="1">
        <w:r>
          <w:rPr>
            <w:color w:val="466B7A"/>
          </w:rPr>
          <w:t>BL-5. supervised driving with an experienced, certified trainer for a minimum number…</w:t>
        </w:r>
      </w:hyperlink>
      <w:r>
        <w:tab/>
      </w:r>
      <w:r>
        <w:rPr>
          <w:rFonts w:ascii="Arial" w:hAnsi="Arial"/>
        </w:rPr>
        <w:t>1649</w:t>
      </w:r>
    </w:p>
    <w:p>
      <w:pPr>
        <w:pStyle w:val="TOC2"/>
        <w:widowControl/>
        <w:tabs>
          <w:tab w:pos="8856" w:val="right" w:leader="dot"/>
        </w:tabs>
      </w:pPr>
      <w:hyperlink w:anchor="_NAESTMA_TOC_2826" w:history="1">
        <w:r>
          <w:rPr>
            <w:color w:val="466B7A"/>
          </w:rPr>
          <w:t>BL-6. periodic refresher training at least every two years</w:t>
        </w:r>
      </w:hyperlink>
      <w:r>
        <w:tab/>
      </w:r>
      <w:r>
        <w:rPr>
          <w:rFonts w:ascii="Arial" w:hAnsi="Arial"/>
        </w:rPr>
        <w:t>1649</w:t>
      </w:r>
    </w:p>
    <w:p>
      <w:pPr>
        <w:pStyle w:val="TOC2"/>
        <w:widowControl/>
        <w:tabs>
          <w:tab w:pos="8856" w:val="right" w:leader="dot"/>
        </w:tabs>
      </w:pPr>
      <w:hyperlink w:anchor="_NAESTMA_TOC_2827" w:history="1">
        <w:r>
          <w:rPr>
            <w:color w:val="466B7A"/>
          </w:rPr>
          <w:t>BL-7. Require additional certification for tankers, doubles, triples, oversized loads…</w:t>
        </w:r>
      </w:hyperlink>
      <w:r>
        <w:tab/>
      </w:r>
      <w:r>
        <w:rPr>
          <w:rFonts w:ascii="Arial" w:hAnsi="Arial"/>
        </w:rPr>
        <w:t>1649</w:t>
      </w:r>
    </w:p>
    <w:p>
      <w:pPr>
        <w:pStyle w:val="TOC2"/>
        <w:widowControl/>
        <w:tabs>
          <w:tab w:pos="8856" w:val="right" w:leader="dot"/>
        </w:tabs>
      </w:pPr>
      <w:hyperlink w:anchor="_NAESTMA_TOC_2828" w:history="1">
        <w:r>
          <w:rPr>
            <w:color w:val="466B7A"/>
          </w:rPr>
          <w:t>BL-8. Require cross-border drivers to understand material safety and operating rules…</w:t>
        </w:r>
      </w:hyperlink>
      <w:r>
        <w:tab/>
      </w:r>
      <w:r>
        <w:rPr>
          <w:rFonts w:ascii="Arial" w:hAnsi="Arial"/>
        </w:rPr>
        <w:t>1649</w:t>
      </w:r>
    </w:p>
    <w:p>
      <w:pPr>
        <w:pStyle w:val="TOC2"/>
        <w:widowControl/>
        <w:tabs>
          <w:tab w:pos="8856" w:val="right" w:leader="dot"/>
        </w:tabs>
      </w:pPr>
      <w:hyperlink w:anchor="_NAESTMA_TOC_2829" w:history="1">
        <w:r>
          <w:rPr>
            <w:color w:val="466B7A"/>
          </w:rPr>
          <w:t>BL-9. medical examinations at licensing and at regular intervals thereafter</w:t>
        </w:r>
      </w:hyperlink>
      <w:r>
        <w:tab/>
      </w:r>
      <w:r>
        <w:rPr>
          <w:rFonts w:ascii="Arial" w:hAnsi="Arial"/>
        </w:rPr>
        <w:t>1649</w:t>
      </w:r>
    </w:p>
    <w:p>
      <w:pPr>
        <w:pStyle w:val="TOC2"/>
        <w:widowControl/>
        <w:tabs>
          <w:tab w:pos="8856" w:val="right" w:leader="dot"/>
        </w:tabs>
      </w:pPr>
      <w:hyperlink w:anchor="_NAESTMA_TOC_2830" w:history="1">
        <w:r>
          <w:rPr>
            <w:color w:val="466B7A"/>
          </w:rPr>
          <w:t>BL-10. commercial driving by anyone medically unfit to safely control the vehicle</w:t>
        </w:r>
      </w:hyperlink>
      <w:r>
        <w:tab/>
      </w:r>
      <w:r>
        <w:rPr>
          <w:rFonts w:ascii="Arial" w:hAnsi="Arial"/>
        </w:rPr>
        <w:t>1650</w:t>
      </w:r>
    </w:p>
    <w:p>
      <w:pPr>
        <w:pStyle w:val="TOC2"/>
        <w:widowControl/>
        <w:tabs>
          <w:tab w:pos="8856" w:val="right" w:leader="dot"/>
        </w:tabs>
      </w:pPr>
      <w:hyperlink w:anchor="_NAESTMA_TOC_2831" w:history="1">
        <w:r>
          <w:rPr>
            <w:color w:val="466B7A"/>
          </w:rPr>
          <w:t>BL-11. vision, hearing, cardiovascular, neurological, and sleep-disorder screening</w:t>
        </w:r>
      </w:hyperlink>
      <w:r>
        <w:tab/>
      </w:r>
      <w:r>
        <w:rPr>
          <w:rFonts w:ascii="Arial" w:hAnsi="Arial"/>
        </w:rPr>
        <w:t>1650</w:t>
      </w:r>
    </w:p>
    <w:p>
      <w:pPr>
        <w:pStyle w:val="TOC2"/>
        <w:widowControl/>
        <w:tabs>
          <w:tab w:pos="8856" w:val="right" w:leader="dot"/>
        </w:tabs>
      </w:pPr>
      <w:hyperlink w:anchor="_NAESTMA_TOC_2832" w:history="1">
        <w:r>
          <w:rPr>
            <w:color w:val="466B7A"/>
          </w:rPr>
          <w:t>BL-12. employers to report confirmed serious safety violations affecting a driver’s…</w:t>
        </w:r>
      </w:hyperlink>
      <w:r>
        <w:tab/>
      </w:r>
      <w:r>
        <w:rPr>
          <w:rFonts w:ascii="Arial" w:hAnsi="Arial"/>
        </w:rPr>
        <w:t>1650</w:t>
      </w:r>
    </w:p>
    <w:p>
      <w:pPr>
        <w:pStyle w:val="TOC2"/>
        <w:widowControl/>
        <w:tabs>
          <w:tab w:pos="8856" w:val="right" w:leader="dot"/>
        </w:tabs>
      </w:pPr>
      <w:hyperlink w:anchor="_NAESTMA_TOC_2833" w:history="1">
        <w:r>
          <w:rPr>
            <w:color w:val="466B7A"/>
          </w:rPr>
          <w:t>BL-13. Create a shared system preventing a driver suspended in one country from…</w:t>
        </w:r>
      </w:hyperlink>
      <w:r>
        <w:tab/>
      </w:r>
      <w:r>
        <w:rPr>
          <w:rFonts w:ascii="Arial" w:hAnsi="Arial"/>
        </w:rPr>
        <w:t>1650</w:t>
      </w:r>
    </w:p>
    <w:p>
      <w:pPr>
        <w:pStyle w:val="TOC2"/>
        <w:widowControl/>
        <w:tabs>
          <w:tab w:pos="8856" w:val="right" w:leader="dot"/>
        </w:tabs>
      </w:pPr>
      <w:hyperlink w:anchor="_NAESTMA_TOC_2834" w:history="1">
        <w:r>
          <w:rPr>
            <w:color w:val="466B7A"/>
          </w:rPr>
          <w:t>BL-14. Prohibit carriers from allowing drivers to operate a vehicle class for which…</w:t>
        </w:r>
      </w:hyperlink>
      <w:r>
        <w:tab/>
      </w:r>
      <w:r>
        <w:rPr>
          <w:rFonts w:ascii="Arial" w:hAnsi="Arial"/>
        </w:rPr>
        <w:t>1650</w:t>
      </w:r>
    </w:p>
    <w:p>
      <w:pPr>
        <w:pStyle w:val="TOC2"/>
        <w:widowControl/>
        <w:tabs>
          <w:tab w:pos="8856" w:val="right" w:leader="dot"/>
        </w:tabs>
      </w:pPr>
      <w:hyperlink w:anchor="_NAESTMA_TOC_2835" w:history="1">
        <w:r>
          <w:rPr>
            <w:color w:val="466B7A"/>
          </w:rPr>
          <w:t>BL-15. Require safety-critical communication competency sufficient to understand road…</w:t>
        </w:r>
      </w:hyperlink>
      <w:r>
        <w:tab/>
      </w:r>
      <w:r>
        <w:rPr>
          <w:rFonts w:ascii="Arial" w:hAnsi="Arial"/>
        </w:rPr>
        <w:t>1650</w:t>
      </w:r>
    </w:p>
    <w:p>
      <w:pPr>
        <w:pStyle w:val="TOC2"/>
        <w:widowControl/>
        <w:tabs>
          <w:tab w:pos="8856" w:val="right" w:leader="dot"/>
        </w:tabs>
      </w:pPr>
      <w:hyperlink w:anchor="_NAESTMA_TOC_2836" w:history="1">
        <w:r>
          <w:rPr>
            <w:color w:val="466B7A"/>
          </w:rPr>
          <w:t>BL-16. Require training on respectful interaction with cyclists, pedestrians…</w:t>
        </w:r>
      </w:hyperlink>
      <w:r>
        <w:tab/>
      </w:r>
      <w:r>
        <w:rPr>
          <w:rFonts w:ascii="Arial" w:hAnsi="Arial"/>
        </w:rPr>
        <w:t>1650</w:t>
      </w:r>
    </w:p>
    <w:p>
      <w:pPr>
        <w:pStyle w:val="TOC2"/>
        <w:widowControl/>
        <w:tabs>
          <w:tab w:pos="8856" w:val="right" w:leader="dot"/>
        </w:tabs>
      </w:pPr>
      <w:hyperlink w:anchor="_NAESTMA_TOC_2837" w:history="1">
        <w:r>
          <w:rPr>
            <w:color w:val="466B7A"/>
          </w:rPr>
          <w:t>BL-17. Prohibit employers from retaliating against drivers who report unsafe vehicles…</w:t>
        </w:r>
      </w:hyperlink>
      <w:r>
        <w:tab/>
      </w:r>
      <w:r>
        <w:rPr>
          <w:rFonts w:ascii="Arial" w:hAnsi="Arial"/>
        </w:rPr>
        <w:t>1650</w:t>
      </w:r>
    </w:p>
    <w:p>
      <w:pPr>
        <w:pStyle w:val="TOC2"/>
        <w:widowControl/>
        <w:tabs>
          <w:tab w:pos="8856" w:val="right" w:leader="dot"/>
        </w:tabs>
      </w:pPr>
      <w:hyperlink w:anchor="_NAESTMA_TOC_2838" w:history="1">
        <w:r>
          <w:rPr>
            <w:color w:val="466B7A"/>
          </w:rPr>
          <w:t>BL-18. Include workplace violence, harassment, assault prevention and isolated-worker…</w:t>
        </w:r>
      </w:hyperlink>
      <w:r>
        <w:tab/>
      </w:r>
      <w:r>
        <w:rPr>
          <w:rFonts w:ascii="Arial" w:hAnsi="Arial"/>
        </w:rPr>
        <w:t>1650</w:t>
      </w:r>
    </w:p>
    <w:p>
      <w:pPr>
        <w:pStyle w:val="TOC2"/>
        <w:widowControl/>
        <w:tabs>
          <w:tab w:pos="8856" w:val="right" w:leader="dot"/>
        </w:tabs>
      </w:pPr>
      <w:hyperlink w:anchor="_NAESTMA_TOC_2839" w:history="1">
        <w:r>
          <w:rPr>
            <w:color w:val="466B7A"/>
          </w:rPr>
          <w:t>BL-19. Following a fatal or serious-injury collision, require a fitness or competency…</w:t>
        </w:r>
      </w:hyperlink>
      <w:r>
        <w:tab/>
      </w:r>
      <w:r>
        <w:rPr>
          <w:rFonts w:ascii="Arial" w:hAnsi="Arial"/>
        </w:rPr>
        <w:t>1651</w:t>
      </w:r>
    </w:p>
    <w:p>
      <w:pPr>
        <w:pStyle w:val="TOC2"/>
        <w:widowControl/>
        <w:tabs>
          <w:tab w:pos="8856" w:val="right" w:leader="dot"/>
        </w:tabs>
      </w:pPr>
      <w:hyperlink w:anchor="_NAESTMA_TOC_2840" w:history="1">
        <w:r>
          <w:rPr>
            <w:color w:val="466B7A"/>
          </w:rPr>
          <w:t>BL-20. remedial training after repeated preventable violations</w:t>
        </w:r>
      </w:hyperlink>
      <w:r>
        <w:tab/>
      </w:r>
      <w:r>
        <w:rPr>
          <w:rFonts w:ascii="Arial" w:hAnsi="Arial"/>
        </w:rPr>
        <w:t>1651</w:t>
      </w:r>
    </w:p>
    <w:p>
      <w:pPr>
        <w:pStyle w:val="TOC2"/>
        <w:widowControl/>
        <w:tabs>
          <w:tab w:pos="8856" w:val="right" w:leader="dot"/>
        </w:tabs>
      </w:pPr>
      <w:hyperlink w:anchor="_NAESTMA_TOC_2841" w:history="1">
        <w:r>
          <w:rPr>
            <w:color w:val="466B7A"/>
          </w:rPr>
          <w:t>BL-21. one harmonized maximum daily driving limit across the three countries</w:t>
        </w:r>
      </w:hyperlink>
      <w:r>
        <w:tab/>
      </w:r>
      <w:r>
        <w:rPr>
          <w:rFonts w:ascii="Arial" w:hAnsi="Arial"/>
        </w:rPr>
        <w:t>1651</w:t>
      </w:r>
    </w:p>
    <w:p>
      <w:pPr>
        <w:pStyle w:val="TOC2"/>
        <w:widowControl/>
        <w:tabs>
          <w:tab w:pos="8856" w:val="right" w:leader="dot"/>
        </w:tabs>
      </w:pPr>
      <w:hyperlink w:anchor="_NAESTMA_TOC_2842" w:history="1">
        <w:r>
          <w:rPr>
            <w:color w:val="466B7A"/>
          </w:rPr>
          <w:t>BL-22. Establish harmonized or mutually compatible maximum on-duty rules that count…</w:t>
        </w:r>
      </w:hyperlink>
      <w:r>
        <w:tab/>
      </w:r>
      <w:r>
        <w:rPr>
          <w:rFonts w:ascii="Arial" w:hAnsi="Arial"/>
        </w:rPr>
        <w:t>1651</w:t>
      </w:r>
    </w:p>
    <w:p>
      <w:pPr>
        <w:pStyle w:val="TOC2"/>
        <w:widowControl/>
        <w:tabs>
          <w:tab w:pos="8856" w:val="right" w:leader="dot"/>
        </w:tabs>
      </w:pPr>
      <w:hyperlink w:anchor="_NAESTMA_TOC_2843" w:history="1">
        <w:r>
          <w:rPr>
            <w:color w:val="466B7A"/>
          </w:rPr>
          <w:t>BL-23. a minimum uninterrupted daily rest period</w:t>
        </w:r>
      </w:hyperlink>
      <w:r>
        <w:tab/>
      </w:r>
      <w:r>
        <w:rPr>
          <w:rFonts w:ascii="Arial" w:hAnsi="Arial"/>
        </w:rPr>
        <w:t>1651</w:t>
      </w:r>
    </w:p>
    <w:p>
      <w:pPr>
        <w:pStyle w:val="TOC2"/>
        <w:widowControl/>
        <w:tabs>
          <w:tab w:pos="8856" w:val="right" w:leader="dot"/>
        </w:tabs>
      </w:pPr>
      <w:hyperlink w:anchor="_NAESTMA_TOC_2844" w:history="1">
        <w:r>
          <w:rPr>
            <w:color w:val="466B7A"/>
          </w:rPr>
          <w:t>BL-24. a longer weekly recovery period free from driving and work-related duties</w:t>
        </w:r>
      </w:hyperlink>
      <w:r>
        <w:tab/>
      </w:r>
      <w:r>
        <w:rPr>
          <w:rFonts w:ascii="Arial" w:hAnsi="Arial"/>
        </w:rPr>
        <w:t>1651</w:t>
      </w:r>
    </w:p>
    <w:p>
      <w:pPr>
        <w:pStyle w:val="TOC2"/>
        <w:widowControl/>
        <w:tabs>
          <w:tab w:pos="8856" w:val="right" w:leader="dot"/>
        </w:tabs>
      </w:pPr>
      <w:hyperlink w:anchor="_NAESTMA_TOC_2845" w:history="1">
        <w:r>
          <w:rPr>
            <w:color w:val="466B7A"/>
          </w:rPr>
          <w:t>BL-25. Prohibit carriers from scheduling routes that can only be completed by…</w:t>
        </w:r>
      </w:hyperlink>
      <w:r>
        <w:tab/>
      </w:r>
      <w:r>
        <w:rPr>
          <w:rFonts w:ascii="Arial" w:hAnsi="Arial"/>
        </w:rPr>
        <w:t>1651</w:t>
      </w:r>
    </w:p>
    <w:p>
      <w:pPr>
        <w:pStyle w:val="TOC2"/>
        <w:widowControl/>
        <w:tabs>
          <w:tab w:pos="8856" w:val="right" w:leader="dot"/>
        </w:tabs>
      </w:pPr>
      <w:hyperlink w:anchor="_NAESTMA_TOC_2846" w:history="1">
        <w:r>
          <w:rPr>
            <w:color w:val="466B7A"/>
          </w:rPr>
          <w:t>BL-26. unpaid waiting time, loading delays, and mandatory inspections as on-duty time</w:t>
        </w:r>
      </w:hyperlink>
      <w:r>
        <w:tab/>
      </w:r>
      <w:r>
        <w:rPr>
          <w:rFonts w:ascii="Arial" w:hAnsi="Arial"/>
        </w:rPr>
        <w:t>1651</w:t>
      </w:r>
    </w:p>
    <w:p>
      <w:pPr>
        <w:pStyle w:val="TOC2"/>
        <w:widowControl/>
        <w:tabs>
          <w:tab w:pos="8856" w:val="right" w:leader="dot"/>
        </w:tabs>
      </w:pPr>
      <w:hyperlink w:anchor="_NAESTMA_TOC_2847" w:history="1">
        <w:r>
          <w:rPr>
            <w:color w:val="466B7A"/>
          </w:rPr>
          <w:t>BL-27. electronic logging devices that cannot be altered by drivers, dispatchers, or…</w:t>
        </w:r>
      </w:hyperlink>
      <w:r>
        <w:tab/>
      </w:r>
      <w:r>
        <w:rPr>
          <w:rFonts w:ascii="Arial" w:hAnsi="Arial"/>
        </w:rPr>
        <w:t>1651</w:t>
      </w:r>
    </w:p>
    <w:p>
      <w:pPr>
        <w:pStyle w:val="TOC2"/>
        <w:widowControl/>
        <w:tabs>
          <w:tab w:pos="8856" w:val="right" w:leader="dot"/>
        </w:tabs>
      </w:pPr>
      <w:hyperlink w:anchor="_NAESTMA_TOC_2848" w:history="1">
        <w:r>
          <w:rPr>
            <w:color w:val="466B7A"/>
          </w:rPr>
          <w:t>BL-28. Permit regulators to reconcile ELD records against fuel, toll, GPS, border and…</w:t>
        </w:r>
      </w:hyperlink>
      <w:r>
        <w:tab/>
      </w:r>
      <w:r>
        <w:rPr>
          <w:rFonts w:ascii="Arial" w:hAnsi="Arial"/>
        </w:rPr>
        <w:t>1651</w:t>
      </w:r>
    </w:p>
    <w:p>
      <w:pPr>
        <w:pStyle w:val="TOC2"/>
        <w:widowControl/>
        <w:tabs>
          <w:tab w:pos="8856" w:val="right" w:leader="dot"/>
        </w:tabs>
      </w:pPr>
      <w:hyperlink w:anchor="_NAESTMA_TOC_2849" w:history="1">
        <w:r>
          <w:rPr>
            <w:color w:val="466B7A"/>
          </w:rPr>
          <w:t>BL-29. dispatchers from pressuring drivers to falsify logs or continue while fatigued</w:t>
        </w:r>
      </w:hyperlink>
      <w:r>
        <w:tab/>
      </w:r>
      <w:r>
        <w:rPr>
          <w:rFonts w:ascii="Arial" w:hAnsi="Arial"/>
        </w:rPr>
        <w:t>1652</w:t>
      </w:r>
    </w:p>
    <w:p>
      <w:pPr>
        <w:pStyle w:val="TOC2"/>
        <w:widowControl/>
        <w:tabs>
          <w:tab w:pos="8856" w:val="right" w:leader="dot"/>
        </w:tabs>
      </w:pPr>
      <w:hyperlink w:anchor="_NAESTMA_TOC_2850" w:history="1">
        <w:r>
          <w:rPr>
            <w:color w:val="466B7A"/>
          </w:rPr>
          <w:t>BL-30. a driver to stop immediately when they determine that fatigue makes driving…</w:t>
        </w:r>
      </w:hyperlink>
      <w:r>
        <w:tab/>
      </w:r>
      <w:r>
        <w:rPr>
          <w:rFonts w:ascii="Arial" w:hAnsi="Arial"/>
        </w:rPr>
        <w:t>1652</w:t>
      </w:r>
    </w:p>
    <w:p>
      <w:pPr>
        <w:pStyle w:val="TOC2"/>
        <w:widowControl/>
        <w:tabs>
          <w:tab w:pos="8856" w:val="right" w:leader="dot"/>
        </w:tabs>
      </w:pPr>
      <w:hyperlink w:anchor="_NAESTMA_TOC_2851" w:history="1">
        <w:r>
          <w:rPr>
            <w:color w:val="466B7A"/>
          </w:rPr>
          <w:t>BL-31. Require carriers to plan routes and schedules around reasonably available safe…</w:t>
        </w:r>
      </w:hyperlink>
      <w:r>
        <w:tab/>
      </w:r>
      <w:r>
        <w:rPr>
          <w:rFonts w:ascii="Arial" w:hAnsi="Arial"/>
        </w:rPr>
        <w:t>1652</w:t>
      </w:r>
    </w:p>
    <w:p>
      <w:pPr>
        <w:pStyle w:val="TOC2"/>
        <w:widowControl/>
        <w:tabs>
          <w:tab w:pos="8856" w:val="right" w:leader="dot"/>
        </w:tabs>
      </w:pPr>
      <w:hyperlink w:anchor="_NAESTMA_TOC_2852" w:history="1">
        <w:r>
          <w:rPr>
            <w:color w:val="466B7A"/>
          </w:rPr>
          <w:t>BL-32. Prohibit payment systems that reward excessive speed, skipped breaks, or…</w:t>
        </w:r>
      </w:hyperlink>
      <w:r>
        <w:tab/>
      </w:r>
      <w:r>
        <w:rPr>
          <w:rFonts w:ascii="Arial" w:hAnsi="Arial"/>
        </w:rPr>
        <w:t>1652</w:t>
      </w:r>
    </w:p>
    <w:p>
      <w:pPr>
        <w:pStyle w:val="TOC2"/>
        <w:widowControl/>
        <w:tabs>
          <w:tab w:pos="8856" w:val="right" w:leader="dot"/>
        </w:tabs>
      </w:pPr>
      <w:hyperlink w:anchor="_NAESTMA_TOC_2853" w:history="1">
        <w:r>
          <w:rPr>
            <w:color w:val="466B7A"/>
          </w:rPr>
          <w:t>BL-33. Require fatigue-risk management plans for carriers operating overnight, remote…</w:t>
        </w:r>
      </w:hyperlink>
      <w:r>
        <w:tab/>
      </w:r>
      <w:r>
        <w:rPr>
          <w:rFonts w:ascii="Arial" w:hAnsi="Arial"/>
        </w:rPr>
        <w:t>1652</w:t>
      </w:r>
    </w:p>
    <w:p>
      <w:pPr>
        <w:pStyle w:val="TOC2"/>
        <w:widowControl/>
        <w:tabs>
          <w:tab w:pos="8856" w:val="right" w:leader="dot"/>
        </w:tabs>
      </w:pPr>
      <w:hyperlink w:anchor="_NAESTMA_TOC_2854" w:history="1">
        <w:r>
          <w:rPr>
            <w:color w:val="466B7A"/>
          </w:rPr>
          <w:t>BL-34. additional rest protections for drivers working rotating shifts</w:t>
        </w:r>
      </w:hyperlink>
      <w:r>
        <w:tab/>
      </w:r>
      <w:r>
        <w:rPr>
          <w:rFonts w:ascii="Arial" w:hAnsi="Arial"/>
        </w:rPr>
        <w:t>1652</w:t>
      </w:r>
    </w:p>
    <w:p>
      <w:pPr>
        <w:pStyle w:val="TOC2"/>
        <w:widowControl/>
        <w:tabs>
          <w:tab w:pos="8856" w:val="right" w:leader="dot"/>
        </w:tabs>
      </w:pPr>
      <w:hyperlink w:anchor="_NAESTMA_TOC_2855" w:history="1">
        <w:r>
          <w:rPr>
            <w:color w:val="466B7A"/>
          </w:rPr>
          <w:t>BL-35. Prohibit driving under the influence of alcohol, cannabis, illegal drugs, or…</w:t>
        </w:r>
      </w:hyperlink>
      <w:r>
        <w:tab/>
      </w:r>
      <w:r>
        <w:rPr>
          <w:rFonts w:ascii="Arial" w:hAnsi="Arial"/>
        </w:rPr>
        <w:t>1652</w:t>
      </w:r>
    </w:p>
    <w:p>
      <w:pPr>
        <w:pStyle w:val="TOC2"/>
        <w:widowControl/>
        <w:tabs>
          <w:tab w:pos="8856" w:val="right" w:leader="dot"/>
        </w:tabs>
      </w:pPr>
      <w:hyperlink w:anchor="_NAESTMA_TOC_2856" w:history="1">
        <w:r>
          <w:rPr>
            <w:color w:val="466B7A"/>
          </w:rPr>
          <w:t>BL-36. random impairment testing consistent with privacy and human-rights protections</w:t>
        </w:r>
      </w:hyperlink>
      <w:r>
        <w:tab/>
      </w:r>
      <w:r>
        <w:rPr>
          <w:rFonts w:ascii="Arial" w:hAnsi="Arial"/>
        </w:rPr>
        <w:t>1652</w:t>
      </w:r>
    </w:p>
    <w:p>
      <w:pPr>
        <w:pStyle w:val="TOC2"/>
        <w:widowControl/>
        <w:tabs>
          <w:tab w:pos="8856" w:val="right" w:leader="dot"/>
        </w:tabs>
      </w:pPr>
      <w:hyperlink w:anchor="_NAESTMA_TOC_2857" w:history="1">
        <w:r>
          <w:rPr>
            <w:color w:val="466B7A"/>
          </w:rPr>
          <w:t>BL-37. immediate post-collision impairment testing after a fatal or serious-injury crash</w:t>
        </w:r>
      </w:hyperlink>
      <w:r>
        <w:tab/>
      </w:r>
      <w:r>
        <w:rPr>
          <w:rFonts w:ascii="Arial" w:hAnsi="Arial"/>
        </w:rPr>
        <w:t>1652</w:t>
      </w:r>
    </w:p>
    <w:p>
      <w:pPr>
        <w:pStyle w:val="TOC2"/>
        <w:widowControl/>
        <w:tabs>
          <w:tab w:pos="8856" w:val="right" w:leader="dot"/>
        </w:tabs>
      </w:pPr>
      <w:hyperlink w:anchor="_NAESTMA_TOC_2858" w:history="1">
        <w:r>
          <w:rPr>
            <w:color w:val="466B7A"/>
          </w:rPr>
          <w:t>BL-38. carriers to maintain confidential procedures for reporting suspected impairment</w:t>
        </w:r>
      </w:hyperlink>
      <w:r>
        <w:tab/>
      </w:r>
      <w:r>
        <w:rPr>
          <w:rFonts w:ascii="Arial" w:hAnsi="Arial"/>
        </w:rPr>
        <w:t>1652</w:t>
      </w:r>
    </w:p>
    <w:p>
      <w:pPr>
        <w:pStyle w:val="TOC2"/>
        <w:widowControl/>
        <w:tabs>
          <w:tab w:pos="8856" w:val="right" w:leader="dot"/>
        </w:tabs>
      </w:pPr>
      <w:hyperlink w:anchor="_NAESTMA_TOC_2859" w:history="1">
        <w:r>
          <w:rPr>
            <w:color w:val="466B7A"/>
          </w:rPr>
          <w:t>BL-39. drivers from using stimulants as a substitute for legally required rest</w:t>
        </w:r>
      </w:hyperlink>
      <w:r>
        <w:tab/>
      </w:r>
      <w:r>
        <w:rPr>
          <w:rFonts w:ascii="Arial" w:hAnsi="Arial"/>
        </w:rPr>
        <w:t>1652</w:t>
      </w:r>
    </w:p>
    <w:p>
      <w:pPr>
        <w:pStyle w:val="TOC2"/>
        <w:widowControl/>
        <w:tabs>
          <w:tab w:pos="8856" w:val="right" w:leader="dot"/>
        </w:tabs>
      </w:pPr>
      <w:hyperlink w:anchor="_NAESTMA_TOC_2860" w:history="1">
        <w:r>
          <w:rPr>
            <w:color w:val="466B7A"/>
          </w:rPr>
          <w:t>BL-40. public education explaining that fatigue can impair driving as seriously as…</w:t>
        </w:r>
      </w:hyperlink>
      <w:r>
        <w:tab/>
      </w:r>
      <w:r>
        <w:rPr>
          <w:rFonts w:ascii="Arial" w:hAnsi="Arial"/>
        </w:rPr>
        <w:t>1652</w:t>
      </w:r>
    </w:p>
    <w:p>
      <w:pPr>
        <w:pStyle w:val="TOC2"/>
        <w:widowControl/>
        <w:tabs>
          <w:tab w:pos="8856" w:val="right" w:leader="dot"/>
        </w:tabs>
      </w:pPr>
      <w:hyperlink w:anchor="_NAESTMA_TOC_2861" w:history="1">
        <w:r>
          <w:rPr>
            <w:color w:val="466B7A"/>
          </w:rPr>
          <w:t>BL-41. Require speed-limiting capability where appropriate, with limits established…</w:t>
        </w:r>
      </w:hyperlink>
      <w:r>
        <w:tab/>
      </w:r>
      <w:r>
        <w:rPr>
          <w:rFonts w:ascii="Arial" w:hAnsi="Arial"/>
        </w:rPr>
        <w:t>1653</w:t>
      </w:r>
    </w:p>
    <w:p>
      <w:pPr>
        <w:pStyle w:val="TOC2"/>
        <w:widowControl/>
        <w:tabs>
          <w:tab w:pos="8856" w:val="right" w:leader="dot"/>
        </w:tabs>
      </w:pPr>
      <w:hyperlink w:anchor="_NAESTMA_TOC_2862" w:history="1">
        <w:r>
          <w:rPr>
            <w:color w:val="466B7A"/>
          </w:rPr>
          <w:t>BL-42. Require lower truck speed limits on steep grades, sharp curves, urban roads…</w:t>
        </w:r>
      </w:hyperlink>
      <w:r>
        <w:tab/>
      </w:r>
      <w:r>
        <w:rPr>
          <w:rFonts w:ascii="Arial" w:hAnsi="Arial"/>
        </w:rPr>
        <w:t>1653</w:t>
      </w:r>
    </w:p>
    <w:p>
      <w:pPr>
        <w:pStyle w:val="TOC2"/>
        <w:widowControl/>
        <w:tabs>
          <w:tab w:pos="8856" w:val="right" w:leader="dot"/>
        </w:tabs>
      </w:pPr>
      <w:hyperlink w:anchor="_NAESTMA_TOC_2863" w:history="1">
        <w:r>
          <w:rPr>
            <w:color w:val="466B7A"/>
          </w:rPr>
          <w:t>BL-43. automatic speed monitoring with tamper-resistant records</w:t>
        </w:r>
      </w:hyperlink>
      <w:r>
        <w:tab/>
      </w:r>
      <w:r>
        <w:rPr>
          <w:rFonts w:ascii="Arial" w:hAnsi="Arial"/>
        </w:rPr>
        <w:t>1653</w:t>
      </w:r>
    </w:p>
    <w:p>
      <w:pPr>
        <w:pStyle w:val="TOC2"/>
        <w:widowControl/>
        <w:tabs>
          <w:tab w:pos="8856" w:val="right" w:leader="dot"/>
        </w:tabs>
      </w:pPr>
      <w:hyperlink w:anchor="_NAESTMA_TOC_2864" w:history="1">
        <w:r>
          <w:rPr>
            <w:color w:val="466B7A"/>
          </w:rPr>
          <w:t>BL-44. carriers from disabling speed governors without documented regulatory…</w:t>
        </w:r>
      </w:hyperlink>
      <w:r>
        <w:tab/>
      </w:r>
      <w:r>
        <w:rPr>
          <w:rFonts w:ascii="Arial" w:hAnsi="Arial"/>
        </w:rPr>
        <w:t>1653</w:t>
      </w:r>
    </w:p>
    <w:p>
      <w:pPr>
        <w:pStyle w:val="TOC2"/>
        <w:widowControl/>
        <w:tabs>
          <w:tab w:pos="8856" w:val="right" w:leader="dot"/>
        </w:tabs>
      </w:pPr>
      <w:hyperlink w:anchor="_NAESTMA_TOC_2865" w:history="1">
        <w:r>
          <w:rPr>
            <w:color w:val="466B7A"/>
          </w:rPr>
          <w:t>BL-45. Require adaptive cruise control to maintain a safe following distance where the…</w:t>
        </w:r>
      </w:hyperlink>
      <w:r>
        <w:tab/>
      </w:r>
      <w:r>
        <w:rPr>
          <w:rFonts w:ascii="Arial" w:hAnsi="Arial"/>
        </w:rPr>
        <w:t>1653</w:t>
      </w:r>
    </w:p>
    <w:p>
      <w:pPr>
        <w:pStyle w:val="TOC2"/>
        <w:widowControl/>
        <w:tabs>
          <w:tab w:pos="8856" w:val="right" w:leader="dot"/>
        </w:tabs>
      </w:pPr>
      <w:hyperlink w:anchor="_NAESTMA_TOC_2866" w:history="1">
        <w:r>
          <w:rPr>
            <w:color w:val="466B7A"/>
          </w:rPr>
          <w:t>BL-46. Prohibit reliance on automated driving features when road, weather, or traffic…</w:t>
        </w:r>
      </w:hyperlink>
      <w:r>
        <w:tab/>
      </w:r>
      <w:r>
        <w:rPr>
          <w:rFonts w:ascii="Arial" w:hAnsi="Arial"/>
        </w:rPr>
        <w:t>1653</w:t>
      </w:r>
    </w:p>
    <w:p>
      <w:pPr>
        <w:pStyle w:val="TOC2"/>
        <w:widowControl/>
        <w:tabs>
          <w:tab w:pos="8856" w:val="right" w:leader="dot"/>
        </w:tabs>
      </w:pPr>
      <w:hyperlink w:anchor="_NAESTMA_TOC_2867" w:history="1">
        <w:r>
          <w:rPr>
            <w:color w:val="466B7A"/>
          </w:rPr>
          <w:t>BL-47. Require drivers to reduce speed substantially in rain, snow, ice, fog, dust…</w:t>
        </w:r>
      </w:hyperlink>
      <w:r>
        <w:tab/>
      </w:r>
      <w:r>
        <w:rPr>
          <w:rFonts w:ascii="Arial" w:hAnsi="Arial"/>
        </w:rPr>
        <w:t>1653</w:t>
      </w:r>
    </w:p>
    <w:p>
      <w:pPr>
        <w:pStyle w:val="TOC2"/>
        <w:widowControl/>
        <w:tabs>
          <w:tab w:pos="8856" w:val="right" w:leader="dot"/>
        </w:tabs>
      </w:pPr>
      <w:hyperlink w:anchor="_NAESTMA_TOC_2868" w:history="1">
        <w:r>
          <w:rPr>
            <w:color w:val="466B7A"/>
          </w:rPr>
          <w:t>BL-48. unsafe overtaking by heavy trucks on designated high-risk roads</w:t>
        </w:r>
      </w:hyperlink>
      <w:r>
        <w:tab/>
      </w:r>
      <w:r>
        <w:rPr>
          <w:rFonts w:ascii="Arial" w:hAnsi="Arial"/>
        </w:rPr>
        <w:t>1653</w:t>
      </w:r>
    </w:p>
    <w:p>
      <w:pPr>
        <w:pStyle w:val="TOC2"/>
        <w:widowControl/>
        <w:tabs>
          <w:tab w:pos="8856" w:val="right" w:leader="dot"/>
        </w:tabs>
      </w:pPr>
      <w:hyperlink w:anchor="_NAESTMA_TOC_2869" w:history="1">
        <w:r>
          <w:rPr>
            <w:color w:val="466B7A"/>
          </w:rPr>
          <w:t>BL-49. Use keep-right or lane-use rules where adopted by the competent road authority…</w:t>
        </w:r>
      </w:hyperlink>
      <w:r>
        <w:tab/>
      </w:r>
      <w:r>
        <w:rPr>
          <w:rFonts w:ascii="Arial" w:hAnsi="Arial"/>
        </w:rPr>
        <w:t>1653</w:t>
      </w:r>
    </w:p>
    <w:p>
      <w:pPr>
        <w:pStyle w:val="TOC2"/>
        <w:widowControl/>
        <w:tabs>
          <w:tab w:pos="8856" w:val="right" w:leader="dot"/>
        </w:tabs>
      </w:pPr>
      <w:hyperlink w:anchor="_NAESTMA_TOC_2870" w:history="1">
        <w:r>
          <w:rPr>
            <w:color w:val="466B7A"/>
          </w:rPr>
          <w:t>BL-50. Prohibit tailgating and require minimum following distances based on speed…</w:t>
        </w:r>
      </w:hyperlink>
      <w:r>
        <w:tab/>
      </w:r>
      <w:r>
        <w:rPr>
          <w:rFonts w:ascii="Arial" w:hAnsi="Arial"/>
        </w:rPr>
        <w:t>1653</w:t>
      </w:r>
    </w:p>
    <w:p>
      <w:pPr>
        <w:pStyle w:val="TOC2"/>
        <w:widowControl/>
        <w:tabs>
          <w:tab w:pos="8856" w:val="right" w:leader="dot"/>
        </w:tabs>
      </w:pPr>
      <w:hyperlink w:anchor="_NAESTMA_TOC_2871" w:history="1">
        <w:r>
          <w:rPr>
            <w:color w:val="466B7A"/>
          </w:rPr>
          <w:t>BL-51. drivers to stop when visibility is insufficient to safely continue</w:t>
        </w:r>
      </w:hyperlink>
      <w:r>
        <w:tab/>
      </w:r>
      <w:r>
        <w:rPr>
          <w:rFonts w:ascii="Arial" w:hAnsi="Arial"/>
        </w:rPr>
        <w:t>1653</w:t>
      </w:r>
    </w:p>
    <w:p>
      <w:pPr>
        <w:pStyle w:val="TOC2"/>
        <w:widowControl/>
        <w:tabs>
          <w:tab w:pos="8856" w:val="right" w:leader="dot"/>
        </w:tabs>
      </w:pPr>
      <w:hyperlink w:anchor="_NAESTMA_TOC_2872" w:history="1">
        <w:r>
          <w:rPr>
            <w:color w:val="466B7A"/>
          </w:rPr>
          <w:t>BL-52. Restrict unnecessary engine/exhaust braking where noise creates a material…</w:t>
        </w:r>
      </w:hyperlink>
      <w:r>
        <w:tab/>
      </w:r>
      <w:r>
        <w:rPr>
          <w:rFonts w:ascii="Arial" w:hAnsi="Arial"/>
        </w:rPr>
        <w:t>1654</w:t>
      </w:r>
    </w:p>
    <w:p>
      <w:pPr>
        <w:pStyle w:val="TOC2"/>
        <w:widowControl/>
        <w:tabs>
          <w:tab w:pos="8856" w:val="right" w:leader="dot"/>
        </w:tabs>
      </w:pPr>
      <w:hyperlink w:anchor="_NAESTMA_TOC_2873" w:history="1">
        <w:r>
          <w:rPr>
            <w:color w:val="466B7A"/>
          </w:rPr>
          <w:t>BL-53. turn signals well before lane changes, turns, merges, and roadside stops</w:t>
        </w:r>
      </w:hyperlink>
      <w:r>
        <w:tab/>
      </w:r>
      <w:r>
        <w:rPr>
          <w:rFonts w:ascii="Arial" w:hAnsi="Arial"/>
        </w:rPr>
        <w:t>1654</w:t>
      </w:r>
    </w:p>
    <w:p>
      <w:pPr>
        <w:pStyle w:val="TOC2"/>
        <w:widowControl/>
        <w:tabs>
          <w:tab w:pos="8856" w:val="right" w:leader="dot"/>
        </w:tabs>
      </w:pPr>
      <w:hyperlink w:anchor="_NAESTMA_TOC_2874" w:history="1">
        <w:r>
          <w:rPr>
            <w:color w:val="466B7A"/>
          </w:rPr>
          <w:t>BL-54. Require drivers to confirm that adjacent lanes are clear using mirrors and…</w:t>
        </w:r>
      </w:hyperlink>
      <w:r>
        <w:tab/>
      </w:r>
      <w:r>
        <w:rPr>
          <w:rFonts w:ascii="Arial" w:hAnsi="Arial"/>
        </w:rPr>
        <w:t>1654</w:t>
      </w:r>
    </w:p>
    <w:p>
      <w:pPr>
        <w:pStyle w:val="TOC2"/>
        <w:widowControl/>
        <w:tabs>
          <w:tab w:pos="8856" w:val="right" w:leader="dot"/>
        </w:tabs>
      </w:pPr>
      <w:hyperlink w:anchor="_NAESTMA_TOC_2875" w:history="1">
        <w:r>
          <w:rPr>
            <w:color w:val="466B7A"/>
          </w:rPr>
          <w:t>BL-55. handheld phone use, texting, video viewing, and manual device operation while…</w:t>
        </w:r>
      </w:hyperlink>
      <w:r>
        <w:tab/>
      </w:r>
      <w:r>
        <w:rPr>
          <w:rFonts w:ascii="Arial" w:hAnsi="Arial"/>
        </w:rPr>
        <w:t>1654</w:t>
      </w:r>
    </w:p>
    <w:p>
      <w:pPr>
        <w:pStyle w:val="TOC2"/>
        <w:widowControl/>
        <w:tabs>
          <w:tab w:pos="8856" w:val="right" w:leader="dot"/>
        </w:tabs>
      </w:pPr>
      <w:hyperlink w:anchor="_NAESTMA_TOC_2876" w:history="1">
        <w:r>
          <w:rPr>
            <w:color w:val="466B7A"/>
          </w:rPr>
          <w:t>BL-56. hands-free communication systems to be mounted and configured before a trip…</w:t>
        </w:r>
      </w:hyperlink>
      <w:r>
        <w:tab/>
      </w:r>
      <w:r>
        <w:rPr>
          <w:rFonts w:ascii="Arial" w:hAnsi="Arial"/>
        </w:rPr>
        <w:t>1654</w:t>
      </w:r>
    </w:p>
    <w:p>
      <w:pPr>
        <w:pStyle w:val="TOC2"/>
        <w:widowControl/>
        <w:tabs>
          <w:tab w:pos="8856" w:val="right" w:leader="dot"/>
        </w:tabs>
      </w:pPr>
      <w:hyperlink w:anchor="_NAESTMA_TOC_2877" w:history="1">
        <w:r>
          <w:rPr>
            <w:color w:val="466B7A"/>
          </w:rPr>
          <w:t>BL-57. eating, reading paperwork, grooming, or other distracting activities while moving</w:t>
        </w:r>
      </w:hyperlink>
      <w:r>
        <w:tab/>
      </w:r>
      <w:r>
        <w:rPr>
          <w:rFonts w:ascii="Arial" w:hAnsi="Arial"/>
        </w:rPr>
        <w:t>1654</w:t>
      </w:r>
    </w:p>
    <w:p>
      <w:pPr>
        <w:pStyle w:val="TOC2"/>
        <w:widowControl/>
        <w:tabs>
          <w:tab w:pos="8856" w:val="right" w:leader="dot"/>
        </w:tabs>
      </w:pPr>
      <w:hyperlink w:anchor="_NAESTMA_TOC_2878" w:history="1">
        <w:r>
          <w:rPr>
            <w:color w:val="466B7A"/>
          </w:rPr>
          <w:t>BL-58. drivers to conduct a complete walk-around inspection before leaving each stop</w:t>
        </w:r>
      </w:hyperlink>
      <w:r>
        <w:tab/>
      </w:r>
      <w:r>
        <w:rPr>
          <w:rFonts w:ascii="Arial" w:hAnsi="Arial"/>
        </w:rPr>
        <w:t>1654</w:t>
      </w:r>
    </w:p>
    <w:p>
      <w:pPr>
        <w:pStyle w:val="TOC2"/>
        <w:widowControl/>
        <w:tabs>
          <w:tab w:pos="8856" w:val="right" w:leader="dot"/>
        </w:tabs>
      </w:pPr>
      <w:hyperlink w:anchor="_NAESTMA_TOC_2879" w:history="1">
        <w:r>
          <w:rPr>
            <w:color w:val="466B7A"/>
          </w:rPr>
          <w:t>BL-59. Require drivers to use hazard lights, warning triangles, and reflective…</w:t>
        </w:r>
      </w:hyperlink>
      <w:r>
        <w:tab/>
      </w:r>
      <w:r>
        <w:rPr>
          <w:rFonts w:ascii="Arial" w:hAnsi="Arial"/>
        </w:rPr>
        <w:t>1654</w:t>
      </w:r>
    </w:p>
    <w:p>
      <w:pPr>
        <w:pStyle w:val="TOC2"/>
        <w:widowControl/>
        <w:tabs>
          <w:tab w:pos="8856" w:val="right" w:leader="dot"/>
        </w:tabs>
      </w:pPr>
      <w:hyperlink w:anchor="_NAESTMA_TOC_2880" w:history="1">
        <w:r>
          <w:rPr>
            <w:color w:val="466B7A"/>
          </w:rPr>
          <w:t>BL-60. Prohibit parking, reversing, or loading in locations that obstruct visibility…</w:t>
        </w:r>
      </w:hyperlink>
      <w:r>
        <w:tab/>
      </w:r>
      <w:r>
        <w:rPr>
          <w:rFonts w:ascii="Arial" w:hAnsi="Arial"/>
        </w:rPr>
        <w:t>1654</w:t>
      </w:r>
    </w:p>
    <w:p>
      <w:pPr>
        <w:pStyle w:val="TOC2"/>
        <w:widowControl/>
        <w:tabs>
          <w:tab w:pos="8856" w:val="right" w:leader="dot"/>
        </w:tabs>
      </w:pPr>
      <w:hyperlink w:anchor="_NAESTMA_TOC_2881" w:history="1">
        <w:r>
          <w:rPr>
            <w:color w:val="466B7A"/>
          </w:rPr>
          <w:t>BL-61. automatic emergency braking on all newly manufactured heavy trucks and trailers</w:t>
        </w:r>
      </w:hyperlink>
      <w:r>
        <w:tab/>
      </w:r>
      <w:r>
        <w:rPr>
          <w:rFonts w:ascii="Arial" w:hAnsi="Arial"/>
        </w:rPr>
        <w:t>1654</w:t>
      </w:r>
    </w:p>
    <w:p>
      <w:pPr>
        <w:pStyle w:val="TOC2"/>
        <w:widowControl/>
        <w:tabs>
          <w:tab w:pos="8856" w:val="right" w:leader="dot"/>
        </w:tabs>
      </w:pPr>
      <w:hyperlink w:anchor="_NAESTMA_TOC_2882" w:history="1">
        <w:r>
          <w:rPr>
            <w:color w:val="466B7A"/>
          </w:rPr>
          <w:t>BL-62. forward-collision warning systems on all newly manufactured heavy trucks</w:t>
        </w:r>
      </w:hyperlink>
      <w:r>
        <w:tab/>
      </w:r>
      <w:r>
        <w:rPr>
          <w:rFonts w:ascii="Arial" w:hAnsi="Arial"/>
        </w:rPr>
        <w:t>1654</w:t>
      </w:r>
    </w:p>
    <w:p>
      <w:pPr>
        <w:pStyle w:val="TOC2"/>
        <w:widowControl/>
        <w:tabs>
          <w:tab w:pos="8856" w:val="right" w:leader="dot"/>
        </w:tabs>
      </w:pPr>
      <w:hyperlink w:anchor="_NAESTMA_TOC_2883" w:history="1">
        <w:r>
          <w:rPr>
            <w:color w:val="466B7A"/>
          </w:rPr>
          <w:t>BL-63. blind-spot detection covering the passenger side and rear trailer area</w:t>
        </w:r>
      </w:hyperlink>
      <w:r>
        <w:tab/>
      </w:r>
      <w:r>
        <w:rPr>
          <w:rFonts w:ascii="Arial" w:hAnsi="Arial"/>
        </w:rPr>
        <w:t>1655</w:t>
      </w:r>
    </w:p>
    <w:p>
      <w:pPr>
        <w:pStyle w:val="TOC2"/>
        <w:widowControl/>
        <w:tabs>
          <w:tab w:pos="8856" w:val="right" w:leader="dot"/>
        </w:tabs>
      </w:pPr>
      <w:hyperlink w:anchor="_NAESTMA_TOC_2884" w:history="1">
        <w:r>
          <w:rPr>
            <w:color w:val="466B7A"/>
          </w:rPr>
          <w:t>BL-64. side underride guards on trailers and other vehicles where technically feasible</w:t>
        </w:r>
      </w:hyperlink>
      <w:r>
        <w:tab/>
      </w:r>
      <w:r>
        <w:rPr>
          <w:rFonts w:ascii="Arial" w:hAnsi="Arial"/>
        </w:rPr>
        <w:t>1655</w:t>
      </w:r>
    </w:p>
    <w:p>
      <w:pPr>
        <w:pStyle w:val="TOC2"/>
        <w:widowControl/>
        <w:tabs>
          <w:tab w:pos="8856" w:val="right" w:leader="dot"/>
        </w:tabs>
      </w:pPr>
      <w:hyperlink w:anchor="_NAESTMA_TOC_2885" w:history="1">
        <w:r>
          <w:rPr>
            <w:color w:val="466B7A"/>
          </w:rPr>
          <w:t>BL-65. rear underride guards meeting a common tri-national performance standard</w:t>
        </w:r>
      </w:hyperlink>
      <w:r>
        <w:tab/>
      </w:r>
      <w:r>
        <w:rPr>
          <w:rFonts w:ascii="Arial" w:hAnsi="Arial"/>
        </w:rPr>
        <w:t>1655</w:t>
      </w:r>
    </w:p>
    <w:p>
      <w:pPr>
        <w:pStyle w:val="TOC2"/>
        <w:widowControl/>
        <w:tabs>
          <w:tab w:pos="8856" w:val="right" w:leader="dot"/>
        </w:tabs>
      </w:pPr>
      <w:hyperlink w:anchor="_NAESTMA_TOC_2886" w:history="1">
        <w:r>
          <w:rPr>
            <w:color w:val="466B7A"/>
          </w:rPr>
          <w:t>BL-66. conspicuity tape and reflective markings on all trailers and heavy trucks</w:t>
        </w:r>
      </w:hyperlink>
      <w:r>
        <w:tab/>
      </w:r>
      <w:r>
        <w:rPr>
          <w:rFonts w:ascii="Arial" w:hAnsi="Arial"/>
        </w:rPr>
        <w:t>1655</w:t>
      </w:r>
    </w:p>
    <w:p>
      <w:pPr>
        <w:pStyle w:val="TOC2"/>
        <w:widowControl/>
        <w:tabs>
          <w:tab w:pos="8856" w:val="right" w:leader="dot"/>
        </w:tabs>
      </w:pPr>
      <w:hyperlink w:anchor="_NAESTMA_TOC_2887" w:history="1">
        <w:r>
          <w:rPr>
            <w:color w:val="466B7A"/>
          </w:rPr>
          <w:t>BL-67. adequate lighting on the front, rear, sides, mirrors, trailer edges, and…</w:t>
        </w:r>
      </w:hyperlink>
      <w:r>
        <w:tab/>
      </w:r>
      <w:r>
        <w:rPr>
          <w:rFonts w:ascii="Arial" w:hAnsi="Arial"/>
        </w:rPr>
        <w:t>1655</w:t>
      </w:r>
    </w:p>
    <w:p>
      <w:pPr>
        <w:pStyle w:val="TOC2"/>
        <w:widowControl/>
        <w:tabs>
          <w:tab w:pos="8856" w:val="right" w:leader="dot"/>
        </w:tabs>
      </w:pPr>
      <w:hyperlink w:anchor="_NAESTMA_TOC_2888" w:history="1">
        <w:r>
          <w:rPr>
            <w:color w:val="466B7A"/>
          </w:rPr>
          <w:t>BL-68. larger or improved mirrors that minimize blind zones around the cab</w:t>
        </w:r>
      </w:hyperlink>
      <w:r>
        <w:tab/>
      </w:r>
      <w:r>
        <w:rPr>
          <w:rFonts w:ascii="Arial" w:hAnsi="Arial"/>
        </w:rPr>
        <w:t>1655</w:t>
      </w:r>
    </w:p>
    <w:p>
      <w:pPr>
        <w:pStyle w:val="TOC2"/>
        <w:widowControl/>
        <w:tabs>
          <w:tab w:pos="8856" w:val="right" w:leader="dot"/>
        </w:tabs>
      </w:pPr>
      <w:hyperlink w:anchor="_NAESTMA_TOC_2889" w:history="1">
        <w:r>
          <w:rPr>
            <w:color w:val="466B7A"/>
          </w:rPr>
          <w:t>BL-69. rear cameras or sensor systems that assist drivers while reversing</w:t>
        </w:r>
      </w:hyperlink>
      <w:r>
        <w:tab/>
      </w:r>
      <w:r>
        <w:rPr>
          <w:rFonts w:ascii="Arial" w:hAnsi="Arial"/>
        </w:rPr>
        <w:t>1655</w:t>
      </w:r>
    </w:p>
    <w:p>
      <w:pPr>
        <w:pStyle w:val="TOC2"/>
        <w:widowControl/>
        <w:tabs>
          <w:tab w:pos="8856" w:val="right" w:leader="dot"/>
        </w:tabs>
      </w:pPr>
      <w:hyperlink w:anchor="_NAESTMA_TOC_2890" w:history="1">
        <w:r>
          <w:rPr>
            <w:color w:val="466B7A"/>
          </w:rPr>
          <w:t>BL-70. audible and visual reverse warnings in pedestrian-heavy work areas</w:t>
        </w:r>
      </w:hyperlink>
      <w:r>
        <w:tab/>
      </w:r>
      <w:r>
        <w:rPr>
          <w:rFonts w:ascii="Arial" w:hAnsi="Arial"/>
        </w:rPr>
        <w:t>1655</w:t>
      </w:r>
    </w:p>
    <w:p>
      <w:pPr>
        <w:pStyle w:val="TOC2"/>
        <w:widowControl/>
        <w:tabs>
          <w:tab w:pos="8856" w:val="right" w:leader="dot"/>
        </w:tabs>
      </w:pPr>
      <w:hyperlink w:anchor="_NAESTMA_TOC_2891" w:history="1">
        <w:r>
          <w:rPr>
            <w:color w:val="466B7A"/>
          </w:rPr>
          <w:t>BL-71. electronic stability control on all eligible heavy trucks</w:t>
        </w:r>
      </w:hyperlink>
      <w:r>
        <w:tab/>
      </w:r>
      <w:r>
        <w:rPr>
          <w:rFonts w:ascii="Arial" w:hAnsi="Arial"/>
        </w:rPr>
        <w:t>1655</w:t>
      </w:r>
    </w:p>
    <w:p>
      <w:pPr>
        <w:pStyle w:val="TOC2"/>
        <w:widowControl/>
        <w:tabs>
          <w:tab w:pos="8856" w:val="right" w:leader="dot"/>
        </w:tabs>
      </w:pPr>
      <w:hyperlink w:anchor="_NAESTMA_TOC_2892" w:history="1">
        <w:r>
          <w:rPr>
            <w:color w:val="466B7A"/>
          </w:rPr>
          <w:t>BL-72. roll-stability systems on vehicles with high centers of gravity</w:t>
        </w:r>
      </w:hyperlink>
      <w:r>
        <w:tab/>
      </w:r>
      <w:r>
        <w:rPr>
          <w:rFonts w:ascii="Arial" w:hAnsi="Arial"/>
        </w:rPr>
        <w:t>1655</w:t>
      </w:r>
    </w:p>
    <w:p>
      <w:pPr>
        <w:pStyle w:val="TOC2"/>
        <w:widowControl/>
        <w:tabs>
          <w:tab w:pos="8856" w:val="right" w:leader="dot"/>
        </w:tabs>
      </w:pPr>
      <w:hyperlink w:anchor="_NAESTMA_TOC_2893" w:history="1">
        <w:r>
          <w:rPr>
            <w:color w:val="466B7A"/>
          </w:rPr>
          <w:t>BL-73. tire-pressure monitoring systems on tractors and trailers</w:t>
        </w:r>
      </w:hyperlink>
      <w:r>
        <w:tab/>
      </w:r>
      <w:r>
        <w:rPr>
          <w:rFonts w:ascii="Arial" w:hAnsi="Arial"/>
        </w:rPr>
        <w:t>1655</w:t>
      </w:r>
    </w:p>
    <w:p>
      <w:pPr>
        <w:pStyle w:val="TOC2"/>
        <w:widowControl/>
        <w:tabs>
          <w:tab w:pos="8856" w:val="right" w:leader="dot"/>
        </w:tabs>
      </w:pPr>
      <w:hyperlink w:anchor="_NAESTMA_TOC_2894" w:history="1">
        <w:r>
          <w:rPr>
            <w:color w:val="466B7A"/>
          </w:rPr>
          <w:t>BL-74. automatic tire-deflation warnings before a tire reaches a dangerous condition</w:t>
        </w:r>
      </w:hyperlink>
      <w:r>
        <w:tab/>
      </w:r>
      <w:r>
        <w:rPr>
          <w:rFonts w:ascii="Arial" w:hAnsi="Arial"/>
        </w:rPr>
        <w:t>1655</w:t>
      </w:r>
    </w:p>
    <w:p>
      <w:pPr>
        <w:pStyle w:val="TOC2"/>
        <w:widowControl/>
        <w:tabs>
          <w:tab w:pos="8856" w:val="right" w:leader="dot"/>
        </w:tabs>
      </w:pPr>
      <w:hyperlink w:anchor="_NAESTMA_TOC_2895" w:history="1">
        <w:r>
          <w:rPr>
            <w:color w:val="466B7A"/>
          </w:rPr>
          <w:t>BL-75. dashboard warnings for brake-system, lighting, steering, and stability-system…</w:t>
        </w:r>
      </w:hyperlink>
      <w:r>
        <w:tab/>
      </w:r>
      <w:r>
        <w:rPr>
          <w:rFonts w:ascii="Arial" w:hAnsi="Arial"/>
        </w:rPr>
        <w:t>1655</w:t>
      </w:r>
    </w:p>
    <w:p>
      <w:pPr>
        <w:pStyle w:val="TOC2"/>
        <w:widowControl/>
        <w:tabs>
          <w:tab w:pos="8856" w:val="right" w:leader="dot"/>
        </w:tabs>
      </w:pPr>
      <w:hyperlink w:anchor="_NAESTMA_TOC_2896" w:history="1">
        <w:r>
          <w:rPr>
            <w:color w:val="466B7A"/>
          </w:rPr>
          <w:t>BL-76. operation when a critical safety warning remains unresolved</w:t>
        </w:r>
      </w:hyperlink>
      <w:r>
        <w:tab/>
      </w:r>
      <w:r>
        <w:rPr>
          <w:rFonts w:ascii="Arial" w:hAnsi="Arial"/>
        </w:rPr>
        <w:t>1655</w:t>
      </w:r>
    </w:p>
    <w:p>
      <w:pPr>
        <w:pStyle w:val="TOC2"/>
        <w:widowControl/>
        <w:tabs>
          <w:tab w:pos="8856" w:val="right" w:leader="dot"/>
        </w:tabs>
      </w:pPr>
      <w:hyperlink w:anchor="_NAESTMA_TOC_2897" w:history="1">
        <w:r>
          <w:rPr>
            <w:color w:val="466B7A"/>
          </w:rPr>
          <w:t>BL-77. safety systems to be protected against unauthorized disabling or tampering</w:t>
        </w:r>
      </w:hyperlink>
      <w:r>
        <w:tab/>
      </w:r>
      <w:r>
        <w:rPr>
          <w:rFonts w:ascii="Arial" w:hAnsi="Arial"/>
        </w:rPr>
        <w:t>1655</w:t>
      </w:r>
    </w:p>
    <w:p>
      <w:pPr>
        <w:pStyle w:val="TOC2"/>
        <w:widowControl/>
        <w:tabs>
          <w:tab w:pos="8856" w:val="right" w:leader="dot"/>
        </w:tabs>
      </w:pPr>
      <w:hyperlink w:anchor="_NAESTMA_TOC_2898" w:history="1">
        <w:r>
          <w:rPr>
            <w:color w:val="466B7A"/>
          </w:rPr>
          <w:t>BL-78. Require manufacturers to report serious safety defects promptly to all three…</w:t>
        </w:r>
      </w:hyperlink>
      <w:r>
        <w:tab/>
      </w:r>
      <w:r>
        <w:rPr>
          <w:rFonts w:ascii="Arial" w:hAnsi="Arial"/>
        </w:rPr>
        <w:t>1656</w:t>
      </w:r>
    </w:p>
    <w:p>
      <w:pPr>
        <w:pStyle w:val="TOC2"/>
        <w:widowControl/>
        <w:tabs>
          <w:tab w:pos="8856" w:val="right" w:leader="dot"/>
        </w:tabs>
      </w:pPr>
      <w:hyperlink w:anchor="_NAESTMA_TOC_2899" w:history="1">
        <w:r>
          <w:rPr>
            <w:color w:val="466B7A"/>
          </w:rPr>
          <w:t>BL-79. rapid recall notification to carriers, drivers, dealers, and repair facilities</w:t>
        </w:r>
      </w:hyperlink>
      <w:r>
        <w:tab/>
      </w:r>
      <w:r>
        <w:rPr>
          <w:rFonts w:ascii="Arial" w:hAnsi="Arial"/>
        </w:rPr>
        <w:t>1656</w:t>
      </w:r>
    </w:p>
    <w:p>
      <w:pPr>
        <w:pStyle w:val="TOC2"/>
        <w:widowControl/>
        <w:tabs>
          <w:tab w:pos="8856" w:val="right" w:leader="dot"/>
        </w:tabs>
      </w:pPr>
      <w:hyperlink w:anchor="_NAESTMA_TOC_2900" w:history="1">
        <w:r>
          <w:rPr>
            <w:color w:val="466B7A"/>
          </w:rPr>
          <w:t>BL-80. Develop standardized, transparent truck safety and crash-avoidance information…</w:t>
        </w:r>
      </w:hyperlink>
      <w:r>
        <w:tab/>
      </w:r>
      <w:r>
        <w:rPr>
          <w:rFonts w:ascii="Arial" w:hAnsi="Arial"/>
        </w:rPr>
        <w:t>1656</w:t>
      </w:r>
    </w:p>
    <w:p>
      <w:pPr>
        <w:pStyle w:val="TOC2"/>
        <w:widowControl/>
        <w:tabs>
          <w:tab w:pos="8856" w:val="right" w:leader="dot"/>
        </w:tabs>
      </w:pPr>
      <w:hyperlink w:anchor="_NAESTMA_TOC_2901" w:history="1">
        <w:r>
          <w:rPr>
            <w:color w:val="466B7A"/>
          </w:rPr>
          <w:t>BL-81. documented pre-trip and post-trip inspections for every tractor and trailer</w:t>
        </w:r>
      </w:hyperlink>
      <w:r>
        <w:tab/>
      </w:r>
      <w:r>
        <w:rPr>
          <w:rFonts w:ascii="Arial" w:hAnsi="Arial"/>
        </w:rPr>
        <w:t>1656</w:t>
      </w:r>
    </w:p>
    <w:p>
      <w:pPr>
        <w:pStyle w:val="TOC2"/>
        <w:widowControl/>
        <w:tabs>
          <w:tab w:pos="8856" w:val="right" w:leader="dot"/>
        </w:tabs>
      </w:pPr>
      <w:hyperlink w:anchor="_NAESTMA_TOC_2902" w:history="1">
        <w:r>
          <w:rPr>
            <w:color w:val="466B7A"/>
          </w:rPr>
          <w:t>BL-82. carriers to repair critical defects before the vehicle returns to service</w:t>
        </w:r>
      </w:hyperlink>
      <w:r>
        <w:tab/>
      </w:r>
      <w:r>
        <w:rPr>
          <w:rFonts w:ascii="Arial" w:hAnsi="Arial"/>
        </w:rPr>
        <w:t>1656</w:t>
      </w:r>
    </w:p>
    <w:p>
      <w:pPr>
        <w:pStyle w:val="TOC2"/>
        <w:widowControl/>
        <w:tabs>
          <w:tab w:pos="8856" w:val="right" w:leader="dot"/>
        </w:tabs>
      </w:pPr>
      <w:hyperlink w:anchor="_NAESTMA_TOC_2903" w:history="1">
        <w:r>
          <w:rPr>
            <w:color w:val="466B7A"/>
          </w:rPr>
          <w:t>BL-83. Use a standardized daily/pre-trip/post-trip inspection regime without…</w:t>
        </w:r>
      </w:hyperlink>
      <w:r>
        <w:tab/>
      </w:r>
      <w:r>
        <w:rPr>
          <w:rFonts w:ascii="Arial" w:hAnsi="Arial"/>
        </w:rPr>
        <w:t>1656</w:t>
      </w:r>
    </w:p>
    <w:p>
      <w:pPr>
        <w:pStyle w:val="TOC2"/>
        <w:widowControl/>
        <w:tabs>
          <w:tab w:pos="8856" w:val="right" w:leader="dot"/>
        </w:tabs>
      </w:pPr>
      <w:hyperlink w:anchor="_NAESTMA_TOC_2904" w:history="1">
        <w:r>
          <w:rPr>
            <w:color w:val="466B7A"/>
          </w:rPr>
          <w:t>BL-84. Require more frequent inspections for vehicles operating in severe weather…</w:t>
        </w:r>
      </w:hyperlink>
      <w:r>
        <w:tab/>
      </w:r>
      <w:r>
        <w:rPr>
          <w:rFonts w:ascii="Arial" w:hAnsi="Arial"/>
        </w:rPr>
        <w:t>1656</w:t>
      </w:r>
    </w:p>
    <w:p>
      <w:pPr>
        <w:pStyle w:val="TOC2"/>
        <w:widowControl/>
        <w:tabs>
          <w:tab w:pos="8856" w:val="right" w:leader="dot"/>
        </w:tabs>
      </w:pPr>
      <w:hyperlink w:anchor="_NAESTMA_TOC_2905" w:history="1">
        <w:r>
          <w:rPr>
            <w:color w:val="466B7A"/>
          </w:rPr>
          <w:t>BL-85. annual independent safety inspections by a certified inspector</w:t>
        </w:r>
      </w:hyperlink>
      <w:r>
        <w:tab/>
      </w:r>
      <w:r>
        <w:rPr>
          <w:rFonts w:ascii="Arial" w:hAnsi="Arial"/>
        </w:rPr>
        <w:t>1656</w:t>
      </w:r>
    </w:p>
    <w:p>
      <w:pPr>
        <w:pStyle w:val="TOC2"/>
        <w:widowControl/>
        <w:tabs>
          <w:tab w:pos="8856" w:val="right" w:leader="dot"/>
        </w:tabs>
      </w:pPr>
      <w:hyperlink w:anchor="_NAESTMA_TOC_2906" w:history="1">
        <w:r>
          <w:rPr>
            <w:color w:val="466B7A"/>
          </w:rPr>
          <w:t>BL-86. Require roadside inspections to use a shared digital record accessible to…</w:t>
        </w:r>
      </w:hyperlink>
      <w:r>
        <w:tab/>
      </w:r>
      <w:r>
        <w:rPr>
          <w:rFonts w:ascii="Arial" w:hAnsi="Arial"/>
        </w:rPr>
        <w:t>1656</w:t>
      </w:r>
    </w:p>
    <w:p>
      <w:pPr>
        <w:pStyle w:val="TOC2"/>
        <w:widowControl/>
        <w:tabs>
          <w:tab w:pos="8856" w:val="right" w:leader="dot"/>
        </w:tabs>
      </w:pPr>
      <w:hyperlink w:anchor="_NAESTMA_TOC_2907" w:history="1">
        <w:r>
          <w:rPr>
            <w:color w:val="466B7A"/>
          </w:rPr>
          <w:t>BL-87. Place any truck with dangerously defective brakes, tires, steering, or coupling…</w:t>
        </w:r>
      </w:hyperlink>
      <w:r>
        <w:tab/>
      </w:r>
      <w:r>
        <w:rPr>
          <w:rFonts w:ascii="Arial" w:hAnsi="Arial"/>
        </w:rPr>
        <w:t>1656</w:t>
      </w:r>
    </w:p>
    <w:p>
      <w:pPr>
        <w:pStyle w:val="TOC2"/>
        <w:widowControl/>
        <w:tabs>
          <w:tab w:pos="8856" w:val="right" w:leader="dot"/>
        </w:tabs>
      </w:pPr>
      <w:hyperlink w:anchor="_NAESTMA_TOC_2908" w:history="1">
        <w:r>
          <w:rPr>
            <w:color w:val="466B7A"/>
          </w:rPr>
          <w:t>BL-88. Maintenance-Record Retention for a Defined, Risk-Based Period</w:t>
        </w:r>
      </w:hyperlink>
      <w:r>
        <w:tab/>
      </w:r>
      <w:r>
        <w:rPr>
          <w:rFonts w:ascii="Arial" w:hAnsi="Arial"/>
        </w:rPr>
        <w:t>1656</w:t>
      </w:r>
    </w:p>
    <w:p>
      <w:pPr>
        <w:pStyle w:val="TOC2"/>
        <w:widowControl/>
        <w:tabs>
          <w:tab w:pos="8856" w:val="right" w:leader="dot"/>
        </w:tabs>
      </w:pPr>
      <w:hyperlink w:anchor="_NAESTMA_TOC_2909" w:history="1">
        <w:r>
          <w:rPr>
            <w:color w:val="466B7A"/>
          </w:rPr>
          <w:t>BL-89. carriers from outsourcing maintenance to uncertified or unqualified repair…</w:t>
        </w:r>
      </w:hyperlink>
      <w:r>
        <w:tab/>
      </w:r>
      <w:r>
        <w:rPr>
          <w:rFonts w:ascii="Arial" w:hAnsi="Arial"/>
        </w:rPr>
        <w:t>1657</w:t>
      </w:r>
    </w:p>
    <w:p>
      <w:pPr>
        <w:pStyle w:val="TOC2"/>
        <w:widowControl/>
        <w:tabs>
          <w:tab w:pos="8856" w:val="right" w:leader="dot"/>
        </w:tabs>
      </w:pPr>
      <w:hyperlink w:anchor="_NAESTMA_TOC_2910" w:history="1">
        <w:r>
          <w:rPr>
            <w:color w:val="466B7A"/>
          </w:rPr>
          <w:t>BL-90. Hold carriers accountable when they knowingly operate vehicles with recurring…</w:t>
        </w:r>
      </w:hyperlink>
      <w:r>
        <w:tab/>
      </w:r>
      <w:r>
        <w:rPr>
          <w:rFonts w:ascii="Arial" w:hAnsi="Arial"/>
        </w:rPr>
        <w:t>1657</w:t>
      </w:r>
    </w:p>
    <w:p>
      <w:pPr>
        <w:pStyle w:val="TOC2"/>
        <w:widowControl/>
        <w:tabs>
          <w:tab w:pos="8856" w:val="right" w:leader="dot"/>
        </w:tabs>
      </w:pPr>
      <w:hyperlink w:anchor="_NAESTMA_TOC_2911" w:history="1">
        <w:r>
          <w:rPr>
            <w:color w:val="466B7A"/>
          </w:rPr>
          <w:t>BL-91. cargo to be weighed and its weight distributed correctly before departure</w:t>
        </w:r>
      </w:hyperlink>
      <w:r>
        <w:tab/>
      </w:r>
      <w:r>
        <w:rPr>
          <w:rFonts w:ascii="Arial" w:hAnsi="Arial"/>
        </w:rPr>
        <w:t>1657</w:t>
      </w:r>
    </w:p>
    <w:p>
      <w:pPr>
        <w:pStyle w:val="TOC2"/>
        <w:widowControl/>
        <w:tabs>
          <w:tab w:pos="8856" w:val="right" w:leader="dot"/>
        </w:tabs>
      </w:pPr>
      <w:hyperlink w:anchor="_NAESTMA_TOC_2912" w:history="1">
        <w:r>
          <w:rPr>
            <w:color w:val="466B7A"/>
          </w:rPr>
          <w:t>BL-92. all cargo to be secured according to a harmonized tri-national standard</w:t>
        </w:r>
      </w:hyperlink>
      <w:r>
        <w:tab/>
      </w:r>
      <w:r>
        <w:rPr>
          <w:rFonts w:ascii="Arial" w:hAnsi="Arial"/>
        </w:rPr>
        <w:t>1657</w:t>
      </w:r>
    </w:p>
    <w:p>
      <w:pPr>
        <w:pStyle w:val="TOC2"/>
        <w:widowControl/>
        <w:tabs>
          <w:tab w:pos="8856" w:val="right" w:leader="dot"/>
        </w:tabs>
      </w:pPr>
      <w:hyperlink w:anchor="_NAESTMA_TOC_2913" w:history="1">
        <w:r>
          <w:rPr>
            <w:color w:val="466B7A"/>
          </w:rPr>
          <w:t>BL-93. securement equipment to be inspected before loading and after significant route…</w:t>
        </w:r>
      </w:hyperlink>
      <w:r>
        <w:tab/>
      </w:r>
      <w:r>
        <w:rPr>
          <w:rFonts w:ascii="Arial" w:hAnsi="Arial"/>
        </w:rPr>
        <w:t>1657</w:t>
      </w:r>
    </w:p>
    <w:p>
      <w:pPr>
        <w:pStyle w:val="TOC2"/>
        <w:widowControl/>
        <w:tabs>
          <w:tab w:pos="8856" w:val="right" w:leader="dot"/>
        </w:tabs>
      </w:pPr>
      <w:hyperlink w:anchor="_NAESTMA_TOC_2914" w:history="1">
        <w:r>
          <w:rPr>
            <w:color w:val="466B7A"/>
          </w:rPr>
          <w:t>BL-94. Prohibit operation when cargo has shifted, leaked, exceeded axle limits, or…</w:t>
        </w:r>
      </w:hyperlink>
      <w:r>
        <w:tab/>
      </w:r>
      <w:r>
        <w:rPr>
          <w:rFonts w:ascii="Arial" w:hAnsi="Arial"/>
        </w:rPr>
        <w:t>1657</w:t>
      </w:r>
    </w:p>
    <w:p>
      <w:pPr>
        <w:pStyle w:val="TOC2"/>
        <w:widowControl/>
        <w:tabs>
          <w:tab w:pos="8856" w:val="right" w:leader="dot"/>
        </w:tabs>
      </w:pPr>
      <w:hyperlink w:anchor="_NAESTMA_TOC_2915" w:history="1">
        <w:r>
          <w:rPr>
            <w:color w:val="466B7A"/>
          </w:rPr>
          <w:t>BL-95. electronic weight verification at major freight facilities and border crossings</w:t>
        </w:r>
      </w:hyperlink>
      <w:r>
        <w:tab/>
      </w:r>
      <w:r>
        <w:rPr>
          <w:rFonts w:ascii="Arial" w:hAnsi="Arial"/>
        </w:rPr>
        <w:t>1657</w:t>
      </w:r>
    </w:p>
    <w:p>
      <w:pPr>
        <w:pStyle w:val="TOC2"/>
        <w:widowControl/>
        <w:tabs>
          <w:tab w:pos="8856" w:val="right" w:leader="dot"/>
        </w:tabs>
      </w:pPr>
      <w:hyperlink w:anchor="_NAESTMA_TOC_2916" w:history="1">
        <w:r>
          <w:rPr>
            <w:color w:val="466B7A"/>
          </w:rPr>
          <w:t>BL-96. sealed containers to be checked for structural damage before transport</w:t>
        </w:r>
      </w:hyperlink>
      <w:r>
        <w:tab/>
      </w:r>
      <w:r>
        <w:rPr>
          <w:rFonts w:ascii="Arial" w:hAnsi="Arial"/>
        </w:rPr>
        <w:t>1657</w:t>
      </w:r>
    </w:p>
    <w:p>
      <w:pPr>
        <w:pStyle w:val="TOC2"/>
        <w:widowControl/>
        <w:tabs>
          <w:tab w:pos="8856" w:val="right" w:leader="dot"/>
        </w:tabs>
      </w:pPr>
      <w:hyperlink w:anchor="_NAESTMA_TOC_2917" w:history="1">
        <w:r>
          <w:rPr>
            <w:color w:val="466B7A"/>
          </w:rPr>
          <w:t>BL-97. Require hazardous-materials shipments to use standardized documentation in…</w:t>
        </w:r>
      </w:hyperlink>
      <w:r>
        <w:tab/>
      </w:r>
      <w:r>
        <w:rPr>
          <w:rFonts w:ascii="Arial" w:hAnsi="Arial"/>
        </w:rPr>
        <w:t>1657</w:t>
      </w:r>
    </w:p>
    <w:p>
      <w:pPr>
        <w:pStyle w:val="TOC2"/>
        <w:widowControl/>
        <w:tabs>
          <w:tab w:pos="8856" w:val="right" w:leader="dot"/>
        </w:tabs>
      </w:pPr>
      <w:hyperlink w:anchor="_NAESTMA_TOC_2918" w:history="1">
        <w:r>
          <w:rPr>
            <w:color w:val="466B7A"/>
          </w:rPr>
          <w:t>BL-98. Require hazardous-materials drivers and handlers to complete specialized…</w:t>
        </w:r>
      </w:hyperlink>
      <w:r>
        <w:tab/>
      </w:r>
      <w:r>
        <w:rPr>
          <w:rFonts w:ascii="Arial" w:hAnsi="Arial"/>
        </w:rPr>
        <w:t>1657</w:t>
      </w:r>
    </w:p>
    <w:p>
      <w:pPr>
        <w:pStyle w:val="TOC2"/>
        <w:widowControl/>
        <w:tabs>
          <w:tab w:pos="8856" w:val="right" w:leader="dot"/>
        </w:tabs>
      </w:pPr>
      <w:hyperlink w:anchor="_NAESTMA_TOC_2919" w:history="1">
        <w:r>
          <w:rPr>
            <w:color w:val="466B7A"/>
          </w:rPr>
          <w:t>BL-99. Require carriers to provide first responders with accurate cargo information…</w:t>
        </w:r>
      </w:hyperlink>
      <w:r>
        <w:tab/>
      </w:r>
      <w:r>
        <w:rPr>
          <w:rFonts w:ascii="Arial" w:hAnsi="Arial"/>
        </w:rPr>
        <w:t>1657</w:t>
      </w:r>
    </w:p>
    <w:p>
      <w:pPr>
        <w:pStyle w:val="TOC2"/>
        <w:widowControl/>
        <w:tabs>
          <w:tab w:pos="8856" w:val="right" w:leader="dot"/>
        </w:tabs>
      </w:pPr>
      <w:hyperlink w:anchor="_NAESTMA_TOC_2920" w:history="1">
        <w:r>
          <w:rPr>
            <w:color w:val="466B7A"/>
          </w:rPr>
          <w:t>BL-100. Maintain shared or interoperable public safety data on serious crashes…</w:t>
        </w:r>
      </w:hyperlink>
      <w:r>
        <w:tab/>
      </w:r>
      <w:r>
        <w:rPr>
          <w:rFonts w:ascii="Arial" w:hAnsi="Arial"/>
        </w:rPr>
        <w:t>1658</w:t>
      </w:r>
    </w:p>
    <w:p>
      <w:pPr>
        <w:pStyle w:val="TOC1"/>
        <w:widowControl/>
        <w:tabs>
          <w:tab w:pos="8856" w:val="right" w:leader="dot"/>
        </w:tabs>
      </w:pPr>
      <w:hyperlink w:anchor="_NAESTMA_TOC_2921" w:history="1">
        <w:r>
          <w:rPr>
            <w:color w:val="233746"/>
          </w:rPr>
          <w:t>PACKAGE BM — TRUSTED CONTINENTAL FREIGHT SYSTEM AND SUPPLEMENTARY SAFETY MECHANISMS</w:t>
        </w:r>
      </w:hyperlink>
      <w:r>
        <w:tab/>
      </w:r>
      <w:r>
        <w:rPr>
          <w:rFonts w:ascii="Arial" w:hAnsi="Arial"/>
        </w:rPr>
        <w:t>1659</w:t>
      </w:r>
    </w:p>
    <w:p>
      <w:pPr>
        <w:pStyle w:val="TOC2"/>
        <w:widowControl/>
        <w:tabs>
          <w:tab w:pos="8856" w:val="right" w:leader="dot"/>
        </w:tabs>
      </w:pPr>
      <w:hyperlink w:anchor="_NAESTMA_TOC_2922" w:history="1">
        <w:r>
          <w:rPr>
            <w:color w:val="466B7A"/>
          </w:rPr>
          <w:t>BM-1. Joint Border Inspection Facilities</w:t>
        </w:r>
      </w:hyperlink>
      <w:r>
        <w:tab/>
      </w:r>
      <w:r>
        <w:rPr>
          <w:rFonts w:ascii="Arial" w:hAnsi="Arial"/>
        </w:rPr>
        <w:t>1659</w:t>
      </w:r>
    </w:p>
    <w:p>
      <w:pPr>
        <w:pStyle w:val="TOC2"/>
        <w:widowControl/>
        <w:tabs>
          <w:tab w:pos="8856" w:val="right" w:leader="dot"/>
        </w:tabs>
      </w:pPr>
      <w:hyperlink w:anchor="_NAESTMA_TOC_2923" w:history="1">
        <w:r>
          <w:rPr>
            <w:color w:val="466B7A"/>
          </w:rPr>
          <w:t>BM-2. Unified Out-of-Service Translation</w:t>
        </w:r>
      </w:hyperlink>
      <w:r>
        <w:tab/>
      </w:r>
      <w:r>
        <w:rPr>
          <w:rFonts w:ascii="Arial" w:hAnsi="Arial"/>
        </w:rPr>
        <w:t>1659</w:t>
      </w:r>
    </w:p>
    <w:p>
      <w:pPr>
        <w:pStyle w:val="TOC2"/>
        <w:widowControl/>
        <w:tabs>
          <w:tab w:pos="8856" w:val="right" w:leader="dot"/>
        </w:tabs>
      </w:pPr>
      <w:hyperlink w:anchor="_NAESTMA_TOC_2924" w:history="1">
        <w:r>
          <w:rPr>
            <w:color w:val="466B7A"/>
          </w:rPr>
          <w:t>BM-3. Trusted-Carrier Preclearance</w:t>
        </w:r>
      </w:hyperlink>
      <w:r>
        <w:tab/>
      </w:r>
      <w:r>
        <w:rPr>
          <w:rFonts w:ascii="Arial" w:hAnsi="Arial"/>
        </w:rPr>
        <w:t>1659</w:t>
      </w:r>
    </w:p>
    <w:p>
      <w:pPr>
        <w:pStyle w:val="TOC2"/>
        <w:widowControl/>
        <w:tabs>
          <w:tab w:pos="8856" w:val="right" w:leader="dot"/>
        </w:tabs>
      </w:pPr>
      <w:hyperlink w:anchor="_NAESTMA_TOC_2925" w:history="1">
        <w:r>
          <w:rPr>
            <w:color w:val="466B7A"/>
          </w:rPr>
          <w:t>BM-4. Weigh-in-Motion Expansion</w:t>
        </w:r>
      </w:hyperlink>
      <w:r>
        <w:tab/>
      </w:r>
      <w:r>
        <w:rPr>
          <w:rFonts w:ascii="Arial" w:hAnsi="Arial"/>
        </w:rPr>
        <w:t>1659</w:t>
      </w:r>
    </w:p>
    <w:p>
      <w:pPr>
        <w:pStyle w:val="TOC2"/>
        <w:widowControl/>
        <w:tabs>
          <w:tab w:pos="8856" w:val="right" w:leader="dot"/>
        </w:tabs>
      </w:pPr>
      <w:hyperlink w:anchor="_NAESTMA_TOC_2926" w:history="1">
        <w:r>
          <w:rPr>
            <w:color w:val="466B7A"/>
          </w:rPr>
          <w:t>BM-5. Continental Truck Parking Information</w:t>
        </w:r>
      </w:hyperlink>
      <w:r>
        <w:tab/>
      </w:r>
      <w:r>
        <w:rPr>
          <w:rFonts w:ascii="Arial" w:hAnsi="Arial"/>
        </w:rPr>
        <w:t>1659</w:t>
      </w:r>
    </w:p>
    <w:p>
      <w:pPr>
        <w:pStyle w:val="TOC2"/>
        <w:widowControl/>
        <w:tabs>
          <w:tab w:pos="8856" w:val="right" w:leader="dot"/>
        </w:tabs>
      </w:pPr>
      <w:hyperlink w:anchor="_NAESTMA_TOC_2927" w:history="1">
        <w:r>
          <w:rPr>
            <w:color w:val="466B7A"/>
          </w:rPr>
          <w:t>BM-6. Rest-Area Electrification</w:t>
        </w:r>
      </w:hyperlink>
      <w:r>
        <w:tab/>
      </w:r>
      <w:r>
        <w:rPr>
          <w:rFonts w:ascii="Arial" w:hAnsi="Arial"/>
        </w:rPr>
        <w:t>1659</w:t>
      </w:r>
    </w:p>
    <w:p>
      <w:pPr>
        <w:pStyle w:val="TOC2"/>
        <w:widowControl/>
        <w:tabs>
          <w:tab w:pos="8856" w:val="right" w:leader="dot"/>
        </w:tabs>
      </w:pPr>
      <w:hyperlink w:anchor="_NAESTMA_TOC_2928" w:history="1">
        <w:r>
          <w:rPr>
            <w:color w:val="466B7A"/>
          </w:rPr>
          <w:t>BM-7. Smart Safety Corridors</w:t>
        </w:r>
      </w:hyperlink>
      <w:r>
        <w:tab/>
      </w:r>
      <w:r>
        <w:rPr>
          <w:rFonts w:ascii="Arial" w:hAnsi="Arial"/>
        </w:rPr>
        <w:t>1659</w:t>
      </w:r>
    </w:p>
    <w:p>
      <w:pPr>
        <w:pStyle w:val="TOC2"/>
        <w:widowControl/>
        <w:tabs>
          <w:tab w:pos="8856" w:val="right" w:leader="dot"/>
        </w:tabs>
      </w:pPr>
      <w:hyperlink w:anchor="_NAESTMA_TOC_2929" w:history="1">
        <w:r>
          <w:rPr>
            <w:color w:val="466B7A"/>
          </w:rPr>
          <w:t>BM-8. Hazardous-Materials Response Interoperability</w:t>
        </w:r>
      </w:hyperlink>
      <w:r>
        <w:tab/>
      </w:r>
      <w:r>
        <w:rPr>
          <w:rFonts w:ascii="Arial" w:hAnsi="Arial"/>
        </w:rPr>
        <w:t>1659</w:t>
      </w:r>
    </w:p>
    <w:p>
      <w:pPr>
        <w:pStyle w:val="TOC2"/>
        <w:widowControl/>
        <w:tabs>
          <w:tab w:pos="8856" w:val="right" w:leader="dot"/>
        </w:tabs>
      </w:pPr>
      <w:hyperlink w:anchor="_NAESTMA_TOC_2930" w:history="1">
        <w:r>
          <w:rPr>
            <w:color w:val="466B7A"/>
          </w:rPr>
          <w:t>BM-9. Cross-Border Recall Alerting</w:t>
        </w:r>
      </w:hyperlink>
      <w:r>
        <w:tab/>
      </w:r>
      <w:r>
        <w:rPr>
          <w:rFonts w:ascii="Arial" w:hAnsi="Arial"/>
        </w:rPr>
        <w:t>1659</w:t>
      </w:r>
    </w:p>
    <w:p>
      <w:pPr>
        <w:pStyle w:val="TOC2"/>
        <w:widowControl/>
        <w:tabs>
          <w:tab w:pos="8856" w:val="right" w:leader="dot"/>
        </w:tabs>
      </w:pPr>
      <w:hyperlink w:anchor="_NAESTMA_TOC_2931" w:history="1">
        <w:r>
          <w:rPr>
            <w:color w:val="466B7A"/>
          </w:rPr>
          <w:t>BM-10. Emergency Towing and Clearance Planning</w:t>
        </w:r>
      </w:hyperlink>
      <w:r>
        <w:tab/>
      </w:r>
      <w:r>
        <w:rPr>
          <w:rFonts w:ascii="Arial" w:hAnsi="Arial"/>
        </w:rPr>
        <w:t>1660</w:t>
      </w:r>
    </w:p>
    <w:p>
      <w:pPr>
        <w:pStyle w:val="TOC2"/>
        <w:widowControl/>
        <w:tabs>
          <w:tab w:pos="8856" w:val="right" w:leader="dot"/>
        </w:tabs>
      </w:pPr>
      <w:hyperlink w:anchor="_NAESTMA_TOC_2932" w:history="1">
        <w:r>
          <w:rPr>
            <w:color w:val="466B7A"/>
          </w:rPr>
          <w:t>BM-11. Crash Data Harmonization</w:t>
        </w:r>
      </w:hyperlink>
      <w:r>
        <w:tab/>
      </w:r>
      <w:r>
        <w:rPr>
          <w:rFonts w:ascii="Arial" w:hAnsi="Arial"/>
        </w:rPr>
        <w:t>1660</w:t>
      </w:r>
    </w:p>
    <w:p>
      <w:pPr>
        <w:pStyle w:val="TOC2"/>
        <w:widowControl/>
        <w:tabs>
          <w:tab w:pos="8856" w:val="right" w:leader="dot"/>
        </w:tabs>
      </w:pPr>
      <w:hyperlink w:anchor="_NAESTMA_TOC_2933" w:history="1">
        <w:r>
          <w:rPr>
            <w:color w:val="466B7A"/>
          </w:rPr>
          <w:t>BM-12. Cross-Border Serious-Crash Notification</w:t>
        </w:r>
      </w:hyperlink>
      <w:r>
        <w:tab/>
      </w:r>
      <w:r>
        <w:rPr>
          <w:rFonts w:ascii="Arial" w:hAnsi="Arial"/>
        </w:rPr>
        <w:t>1660</w:t>
      </w:r>
    </w:p>
    <w:p>
      <w:pPr>
        <w:pStyle w:val="TOC2"/>
        <w:widowControl/>
        <w:tabs>
          <w:tab w:pos="8856" w:val="right" w:leader="dot"/>
        </w:tabs>
      </w:pPr>
      <w:hyperlink w:anchor="_NAESTMA_TOC_2934" w:history="1">
        <w:r>
          <w:rPr>
            <w:color w:val="466B7A"/>
          </w:rPr>
          <w:t>BM-13. Carrier Safety Rating Interoperability</w:t>
        </w:r>
      </w:hyperlink>
      <w:r>
        <w:tab/>
      </w:r>
      <w:r>
        <w:rPr>
          <w:rFonts w:ascii="Arial" w:hAnsi="Arial"/>
        </w:rPr>
        <w:t>1660</w:t>
      </w:r>
    </w:p>
    <w:p>
      <w:pPr>
        <w:pStyle w:val="TOC2"/>
        <w:widowControl/>
        <w:tabs>
          <w:tab w:pos="8856" w:val="right" w:leader="dot"/>
        </w:tabs>
      </w:pPr>
      <w:hyperlink w:anchor="_NAESTMA_TOC_2935" w:history="1">
        <w:r>
          <w:rPr>
            <w:color w:val="466B7A"/>
          </w:rPr>
          <w:t>BM-14. Digital Commercial Vehicle Credential</w:t>
        </w:r>
      </w:hyperlink>
      <w:r>
        <w:tab/>
      </w:r>
      <w:r>
        <w:rPr>
          <w:rFonts w:ascii="Arial" w:hAnsi="Arial"/>
        </w:rPr>
        <w:t>1660</w:t>
      </w:r>
    </w:p>
    <w:p>
      <w:pPr>
        <w:pStyle w:val="TOC2"/>
        <w:widowControl/>
        <w:tabs>
          <w:tab w:pos="8856" w:val="right" w:leader="dot"/>
        </w:tabs>
      </w:pPr>
      <w:hyperlink w:anchor="_NAESTMA_TOC_2936" w:history="1">
        <w:r>
          <w:rPr>
            <w:color w:val="466B7A"/>
          </w:rPr>
          <w:t>BM-15. First-Responder Cargo Access</w:t>
        </w:r>
      </w:hyperlink>
      <w:r>
        <w:tab/>
      </w:r>
      <w:r>
        <w:rPr>
          <w:rFonts w:ascii="Arial" w:hAnsi="Arial"/>
        </w:rPr>
        <w:t>1660</w:t>
      </w:r>
    </w:p>
    <w:p>
      <w:pPr>
        <w:pStyle w:val="TOC2"/>
        <w:widowControl/>
        <w:tabs>
          <w:tab w:pos="8856" w:val="right" w:leader="dot"/>
        </w:tabs>
      </w:pPr>
      <w:hyperlink w:anchor="_NAESTMA_TOC_2937" w:history="1">
        <w:r>
          <w:rPr>
            <w:color w:val="466B7A"/>
          </w:rPr>
          <w:t>BM-16. Truck Safety Research Data</w:t>
        </w:r>
      </w:hyperlink>
      <w:r>
        <w:tab/>
      </w:r>
      <w:r>
        <w:rPr>
          <w:rFonts w:ascii="Arial" w:hAnsi="Arial"/>
        </w:rPr>
        <w:t>1660</w:t>
      </w:r>
    </w:p>
    <w:p>
      <w:pPr>
        <w:pStyle w:val="TOC2"/>
        <w:widowControl/>
        <w:tabs>
          <w:tab w:pos="8856" w:val="right" w:leader="dot"/>
        </w:tabs>
      </w:pPr>
      <w:hyperlink w:anchor="_NAESTMA_TOC_2938" w:history="1">
        <w:r>
          <w:rPr>
            <w:color w:val="466B7A"/>
          </w:rPr>
          <w:t>BM-17. Safety Outcome Reporting</w:t>
        </w:r>
      </w:hyperlink>
      <w:r>
        <w:tab/>
      </w:r>
      <w:r>
        <w:rPr>
          <w:rFonts w:ascii="Arial" w:hAnsi="Arial"/>
        </w:rPr>
        <w:t>1660</w:t>
      </w:r>
    </w:p>
    <w:p>
      <w:pPr>
        <w:pStyle w:val="TOC2"/>
        <w:widowControl/>
        <w:tabs>
          <w:tab w:pos="8856" w:val="right" w:leader="dot"/>
        </w:tabs>
      </w:pPr>
      <w:hyperlink w:anchor="_NAESTMA_TOC_2939" w:history="1">
        <w:r>
          <w:rPr>
            <w:color w:val="466B7A"/>
          </w:rPr>
          <w:t>BM-18. Phase-In for Legacy Fleets</w:t>
        </w:r>
      </w:hyperlink>
      <w:r>
        <w:tab/>
      </w:r>
      <w:r>
        <w:rPr>
          <w:rFonts w:ascii="Arial" w:hAnsi="Arial"/>
        </w:rPr>
        <w:t>1660</w:t>
      </w:r>
    </w:p>
    <w:p>
      <w:pPr>
        <w:pStyle w:val="TOC2"/>
        <w:widowControl/>
        <w:tabs>
          <w:tab w:pos="8856" w:val="right" w:leader="dot"/>
        </w:tabs>
      </w:pPr>
      <w:hyperlink w:anchor="_NAESTMA_TOC_2940" w:history="1">
        <w:r>
          <w:rPr>
            <w:color w:val="466B7A"/>
          </w:rPr>
          <w:t>BM-19. Human-Trafficking and Exploitation Awareness</w:t>
        </w:r>
      </w:hyperlink>
      <w:r>
        <w:tab/>
      </w:r>
      <w:r>
        <w:rPr>
          <w:rFonts w:ascii="Arial" w:hAnsi="Arial"/>
        </w:rPr>
        <w:t>1660</w:t>
      </w:r>
    </w:p>
    <w:p>
      <w:pPr>
        <w:pStyle w:val="TOC2"/>
        <w:widowControl/>
        <w:tabs>
          <w:tab w:pos="8856" w:val="right" w:leader="dot"/>
        </w:tabs>
      </w:pPr>
      <w:hyperlink w:anchor="_NAESTMA_TOC_2941" w:history="1">
        <w:r>
          <w:rPr>
            <w:color w:val="466B7A"/>
          </w:rPr>
          <w:t>BM-20. No Committee Bloat</w:t>
        </w:r>
      </w:hyperlink>
      <w:r>
        <w:tab/>
      </w:r>
      <w:r>
        <w:rPr>
          <w:rFonts w:ascii="Arial" w:hAnsi="Arial"/>
        </w:rPr>
        <w:t>1661</w:t>
      </w:r>
    </w:p>
    <w:p>
      <w:pPr>
        <w:pStyle w:val="TOC2"/>
        <w:widowControl/>
        <w:tabs>
          <w:tab w:pos="8856" w:val="right" w:leader="dot"/>
        </w:tabs>
      </w:pPr>
      <w:hyperlink w:anchor="_NAESTMA_TOC_2942" w:history="1">
        <w:r>
          <w:rPr>
            <w:color w:val="466B7A"/>
          </w:rPr>
          <w:t>BM-21. Trusted Freight Decision Logic</w:t>
        </w:r>
      </w:hyperlink>
      <w:r>
        <w:tab/>
      </w:r>
      <w:r>
        <w:rPr>
          <w:rFonts w:ascii="Arial" w:hAnsi="Arial"/>
        </w:rPr>
        <w:t>1661</w:t>
      </w:r>
    </w:p>
    <w:p>
      <w:pPr>
        <w:pStyle w:val="TOC2"/>
        <w:widowControl/>
        <w:tabs>
          <w:tab w:pos="8856" w:val="right" w:leader="dot"/>
        </w:tabs>
      </w:pPr>
      <w:hyperlink w:anchor="_NAESTMA_TOC_2943" w:history="1">
        <w:r>
          <w:rPr>
            <w:color w:val="466B7A"/>
          </w:rPr>
          <w:t>BM-22. Safety as a Reciprocal Bargain</w:t>
        </w:r>
      </w:hyperlink>
      <w:r>
        <w:tab/>
      </w:r>
      <w:r>
        <w:rPr>
          <w:rFonts w:ascii="Arial" w:hAnsi="Arial"/>
        </w:rPr>
        <w:t>1661</w:t>
      </w:r>
    </w:p>
    <w:p>
      <w:pPr>
        <w:pStyle w:val="TOC1"/>
        <w:widowControl/>
        <w:tabs>
          <w:tab w:pos="8856" w:val="right" w:leader="dot"/>
        </w:tabs>
      </w:pPr>
      <w:hyperlink w:anchor="_NAESTMA_TOC_2944" w:history="1">
        <w:r>
          <w:rPr>
            <w:color w:val="233746"/>
          </w:rPr>
          <w:t>PACKAGE BM-A — OPTIONAL U.S. SUV EXHAUST MANUFACTURING CARROT</w:t>
        </w:r>
      </w:hyperlink>
      <w:r>
        <w:tab/>
      </w:r>
      <w:r>
        <w:rPr>
          <w:rFonts w:ascii="Arial" w:hAnsi="Arial"/>
        </w:rPr>
        <w:t>1662</w:t>
      </w:r>
    </w:p>
    <w:p>
      <w:pPr>
        <w:pStyle w:val="TOC2"/>
        <w:widowControl/>
        <w:tabs>
          <w:tab w:pos="8856" w:val="right" w:leader="dot"/>
        </w:tabs>
      </w:pPr>
      <w:hyperlink w:anchor="_NAESTMA_TOC_2945" w:history="1">
        <w:r>
          <w:rPr>
            <w:color w:val="466B7A"/>
          </w:rPr>
          <w:t>BM-A.1. Purpose</w:t>
        </w:r>
      </w:hyperlink>
      <w:r>
        <w:tab/>
      </w:r>
      <w:r>
        <w:rPr>
          <w:rFonts w:ascii="Arial" w:hAnsi="Arial"/>
        </w:rPr>
        <w:t>1662</w:t>
      </w:r>
    </w:p>
    <w:p>
      <w:pPr>
        <w:pStyle w:val="TOC2"/>
        <w:widowControl/>
        <w:tabs>
          <w:tab w:pos="8856" w:val="right" w:leader="dot"/>
        </w:tabs>
      </w:pPr>
      <w:hyperlink w:anchor="_NAESTMA_TOC_2946" w:history="1">
        <w:r>
          <w:rPr>
            <w:color w:val="466B7A"/>
          </w:rPr>
          <w:t>BM-A.2. Covered Vehicle Class</w:t>
        </w:r>
      </w:hyperlink>
      <w:r>
        <w:tab/>
      </w:r>
      <w:r>
        <w:rPr>
          <w:rFonts w:ascii="Arial" w:hAnsi="Arial"/>
        </w:rPr>
        <w:t>1662</w:t>
      </w:r>
    </w:p>
    <w:p>
      <w:pPr>
        <w:pStyle w:val="TOC2"/>
        <w:widowControl/>
        <w:tabs>
          <w:tab w:pos="8856" w:val="right" w:leader="dot"/>
        </w:tabs>
      </w:pPr>
      <w:hyperlink w:anchor="_NAESTMA_TOC_2947" w:history="1">
        <w:r>
          <w:rPr>
            <w:color w:val="466B7A"/>
          </w:rPr>
          <w:t>BM-A.3. Covered Component</w:t>
        </w:r>
      </w:hyperlink>
      <w:r>
        <w:tab/>
      </w:r>
      <w:r>
        <w:rPr>
          <w:rFonts w:ascii="Arial" w:hAnsi="Arial"/>
        </w:rPr>
        <w:t>1662</w:t>
      </w:r>
    </w:p>
    <w:p>
      <w:pPr>
        <w:pStyle w:val="TOC2"/>
        <w:widowControl/>
        <w:tabs>
          <w:tab w:pos="8856" w:val="right" w:leader="dot"/>
        </w:tabs>
      </w:pPr>
      <w:hyperlink w:anchor="_NAESTMA_TOC_2948" w:history="1">
        <w:r>
          <w:rPr>
            <w:color w:val="466B7A"/>
          </w:rPr>
          <w:t>BM-A.4. Seventy-Percent U.S. Manufacturing Commitment</w:t>
        </w:r>
      </w:hyperlink>
      <w:r>
        <w:tab/>
      </w:r>
      <w:r>
        <w:rPr>
          <w:rFonts w:ascii="Arial" w:hAnsi="Arial"/>
        </w:rPr>
        <w:t>1662</w:t>
      </w:r>
    </w:p>
    <w:p>
      <w:pPr>
        <w:pStyle w:val="TOC2"/>
        <w:widowControl/>
        <w:tabs>
          <w:tab w:pos="8856" w:val="right" w:leader="dot"/>
        </w:tabs>
      </w:pPr>
      <w:hyperlink w:anchor="_NAESTMA_TOC_2949" w:history="1">
        <w:r>
          <w:rPr>
            <w:color w:val="466B7A"/>
          </w:rPr>
          <w:t>BM-A.5. Meaning of U.S.-Manufactured</w:t>
        </w:r>
      </w:hyperlink>
      <w:r>
        <w:tab/>
      </w:r>
      <w:r>
        <w:rPr>
          <w:rFonts w:ascii="Arial" w:hAnsi="Arial"/>
        </w:rPr>
        <w:t>1662</w:t>
      </w:r>
    </w:p>
    <w:p>
      <w:pPr>
        <w:pStyle w:val="TOC2"/>
        <w:widowControl/>
        <w:tabs>
          <w:tab w:pos="8856" w:val="right" w:leader="dot"/>
        </w:tabs>
      </w:pPr>
      <w:hyperlink w:anchor="_NAESTMA_TOC_2950" w:history="1">
        <w:r>
          <w:rPr>
            <w:color w:val="466B7A"/>
          </w:rPr>
          <w:t>BM-A.6. North American Origin Preserved</w:t>
        </w:r>
      </w:hyperlink>
      <w:r>
        <w:tab/>
      </w:r>
      <w:r>
        <w:rPr>
          <w:rFonts w:ascii="Arial" w:hAnsi="Arial"/>
        </w:rPr>
        <w:t>1663</w:t>
      </w:r>
    </w:p>
    <w:p>
      <w:pPr>
        <w:pStyle w:val="TOC2"/>
        <w:widowControl/>
        <w:tabs>
          <w:tab w:pos="8856" w:val="right" w:leader="dot"/>
        </w:tabs>
      </w:pPr>
      <w:hyperlink w:anchor="_NAESTMA_TOC_2951" w:history="1">
        <w:r>
          <w:rPr>
            <w:color w:val="466B7A"/>
          </w:rPr>
          <w:t>BM-A.7. Paired United States Consideration</w:t>
        </w:r>
      </w:hyperlink>
      <w:r>
        <w:tab/>
      </w:r>
      <w:r>
        <w:rPr>
          <w:rFonts w:ascii="Arial" w:hAnsi="Arial"/>
        </w:rPr>
        <w:t>1663</w:t>
      </w:r>
    </w:p>
    <w:p>
      <w:pPr>
        <w:pStyle w:val="TOC2"/>
        <w:widowControl/>
        <w:tabs>
          <w:tab w:pos="8856" w:val="right" w:leader="dot"/>
        </w:tabs>
      </w:pPr>
      <w:hyperlink w:anchor="_NAESTMA_TOC_2952" w:history="1">
        <w:r>
          <w:rPr>
            <w:color w:val="466B7A"/>
          </w:rPr>
          <w:t>BM-A.8. No Uncompensated Front-Loading and Automatic Step-Back</w:t>
        </w:r>
      </w:hyperlink>
      <w:r>
        <w:tab/>
      </w:r>
      <w:r>
        <w:rPr>
          <w:rFonts w:ascii="Arial" w:hAnsi="Arial"/>
        </w:rPr>
        <w:t>1663</w:t>
      </w:r>
    </w:p>
    <w:p>
      <w:pPr>
        <w:pStyle w:val="TOC2"/>
        <w:widowControl/>
        <w:tabs>
          <w:tab w:pos="8856" w:val="right" w:leader="dot"/>
        </w:tabs>
      </w:pPr>
      <w:hyperlink w:anchor="_NAESTMA_TOC_2953" w:history="1">
        <w:r>
          <w:rPr>
            <w:color w:val="466B7A"/>
          </w:rPr>
          <w:t>BM-A.9. Transition and Existing Contracts</w:t>
        </w:r>
      </w:hyperlink>
      <w:r>
        <w:tab/>
      </w:r>
      <w:r>
        <w:rPr>
          <w:rFonts w:ascii="Arial" w:hAnsi="Arial"/>
        </w:rPr>
        <w:t>1663</w:t>
      </w:r>
    </w:p>
    <w:p>
      <w:pPr>
        <w:pStyle w:val="TOC2"/>
        <w:widowControl/>
        <w:tabs>
          <w:tab w:pos="8856" w:val="right" w:leader="dot"/>
        </w:tabs>
      </w:pPr>
      <w:hyperlink w:anchor="_NAESTMA_TOC_2954" w:history="1">
        <w:r>
          <w:rPr>
            <w:color w:val="466B7A"/>
          </w:rPr>
          <w:t>BM-A.10. Capacity, Quality and Safety Exception</w:t>
        </w:r>
      </w:hyperlink>
      <w:r>
        <w:tab/>
      </w:r>
      <w:r>
        <w:rPr>
          <w:rFonts w:ascii="Arial" w:hAnsi="Arial"/>
        </w:rPr>
        <w:t>1663</w:t>
      </w:r>
    </w:p>
    <w:p>
      <w:pPr>
        <w:pStyle w:val="TOC2"/>
        <w:widowControl/>
        <w:tabs>
          <w:tab w:pos="8856" w:val="right" w:leader="dot"/>
        </w:tabs>
      </w:pPr>
      <w:hyperlink w:anchor="_NAESTMA_TOC_2955" w:history="1">
        <w:r>
          <w:rPr>
            <w:color w:val="466B7A"/>
          </w:rPr>
          <w:t>BM-A.11. Three-Component Absolute Ceiling</w:t>
        </w:r>
      </w:hyperlink>
      <w:r>
        <w:tab/>
      </w:r>
      <w:r>
        <w:rPr>
          <w:rFonts w:ascii="Arial" w:hAnsi="Arial"/>
        </w:rPr>
        <w:t>1663</w:t>
      </w:r>
    </w:p>
    <w:p>
      <w:pPr>
        <w:pStyle w:val="TOC2"/>
        <w:widowControl/>
        <w:tabs>
          <w:tab w:pos="8856" w:val="right" w:leader="dot"/>
        </w:tabs>
      </w:pPr>
      <w:hyperlink w:anchor="_NAESTMA_TOC_2956" w:history="1">
        <w:r>
          <w:rPr>
            <w:color w:val="466B7A"/>
          </w:rPr>
          <w:t>BM-A.12. Strategic-Component Firewall</w:t>
        </w:r>
      </w:hyperlink>
      <w:r>
        <w:tab/>
      </w:r>
      <w:r>
        <w:rPr>
          <w:rFonts w:ascii="Arial" w:hAnsi="Arial"/>
        </w:rPr>
        <w:t>1663</w:t>
      </w:r>
    </w:p>
    <w:p>
      <w:pPr>
        <w:pStyle w:val="TOC2"/>
        <w:widowControl/>
        <w:tabs>
          <w:tab w:pos="8856" w:val="right" w:leader="dot"/>
        </w:tabs>
      </w:pPr>
      <w:hyperlink w:anchor="_NAESTMA_TOC_2957" w:history="1">
        <w:r>
          <w:rPr>
            <w:color w:val="466B7A"/>
          </w:rPr>
          <w:t>BM-A.13. No Precedent and Anti-Salami-Slicing Rule</w:t>
        </w:r>
      </w:hyperlink>
      <w:r>
        <w:tab/>
      </w:r>
      <w:r>
        <w:rPr>
          <w:rFonts w:ascii="Arial" w:hAnsi="Arial"/>
        </w:rPr>
        <w:t>1664</w:t>
      </w:r>
    </w:p>
    <w:p>
      <w:pPr>
        <w:pStyle w:val="TOC2"/>
        <w:widowControl/>
        <w:tabs>
          <w:tab w:pos="8856" w:val="right" w:leader="dot"/>
        </w:tabs>
      </w:pPr>
      <w:hyperlink w:anchor="_NAESTMA_TOC_2958" w:history="1">
        <w:r>
          <w:rPr>
            <w:color w:val="466B7A"/>
          </w:rPr>
          <w:t>BM-A.14. Review and Technological Sunset</w:t>
        </w:r>
      </w:hyperlink>
      <w:r>
        <w:tab/>
      </w:r>
      <w:r>
        <w:rPr>
          <w:rFonts w:ascii="Arial" w:hAnsi="Arial"/>
        </w:rPr>
        <w:t>1664</w:t>
      </w:r>
    </w:p>
    <w:p>
      <w:pPr>
        <w:pStyle w:val="TOC2"/>
        <w:widowControl/>
        <w:tabs>
          <w:tab w:pos="8856" w:val="right" w:leader="dot"/>
        </w:tabs>
      </w:pPr>
      <w:hyperlink w:anchor="_NAESTMA_TOC_2959" w:history="1">
        <w:r>
          <w:rPr>
            <w:color w:val="466B7A"/>
          </w:rPr>
          <w:t>BM-A.15. Consumer-Cost and Competition Safeguard</w:t>
        </w:r>
      </w:hyperlink>
      <w:r>
        <w:tab/>
      </w:r>
      <w:r>
        <w:rPr>
          <w:rFonts w:ascii="Arial" w:hAnsi="Arial"/>
        </w:rPr>
        <w:t>1664</w:t>
      </w:r>
    </w:p>
    <w:p>
      <w:pPr>
        <w:pStyle w:val="TOC2"/>
        <w:widowControl/>
        <w:tabs>
          <w:tab w:pos="8856" w:val="right" w:leader="dot"/>
        </w:tabs>
      </w:pPr>
      <w:hyperlink w:anchor="_NAESTMA_TOC_2960" w:history="1">
        <w:r>
          <w:rPr>
            <w:color w:val="466B7A"/>
          </w:rPr>
          <w:t>BM-A.16. Governing Bargain</w:t>
        </w:r>
      </w:hyperlink>
      <w:r>
        <w:tab/>
      </w:r>
      <w:r>
        <w:rPr>
          <w:rFonts w:ascii="Arial" w:hAnsi="Arial"/>
        </w:rPr>
        <w:t>1664</w:t>
      </w:r>
    </w:p>
    <w:p>
      <w:pPr>
        <w:pStyle w:val="TOC1"/>
        <w:widowControl/>
        <w:tabs>
          <w:tab w:pos="8856" w:val="right" w:leader="dot"/>
        </w:tabs>
      </w:pPr>
      <w:hyperlink w:anchor="_NAESTMA_TOC_2961" w:history="1">
        <w:r>
          <w:rPr>
            <w:color w:val="233746"/>
          </w:rPr>
          <w:t>PACKAGE BN — NORTH AMERICAN MOBILITY, MIGRATION, HUMAN DIGNITY AND LAWFUL ADMINISTRATION…</w:t>
        </w:r>
      </w:hyperlink>
      <w:r>
        <w:tab/>
      </w:r>
      <w:r>
        <w:rPr>
          <w:rFonts w:ascii="Arial" w:hAnsi="Arial"/>
        </w:rPr>
        <w:t>1665</w:t>
      </w:r>
    </w:p>
    <w:p>
      <w:pPr>
        <w:pStyle w:val="TOC1"/>
        <w:widowControl/>
        <w:tabs>
          <w:tab w:pos="8856" w:val="right" w:leader="dot"/>
        </w:tabs>
      </w:pPr>
      <w:hyperlink w:anchor="_NAESTMA_TOC_2962" w:history="1">
        <w:r>
          <w:rPr>
            <w:color w:val="233746"/>
          </w:rPr>
          <w:t>PACKAGE BO — LAWFUL LABOUR, PROFESSIONAL, STUDENT AND FAMILY MOBILITY</w:t>
        </w:r>
      </w:hyperlink>
      <w:r>
        <w:tab/>
      </w:r>
      <w:r>
        <w:rPr>
          <w:rFonts w:ascii="Arial" w:hAnsi="Arial"/>
        </w:rPr>
        <w:t>1666</w:t>
      </w:r>
    </w:p>
    <w:p>
      <w:pPr>
        <w:pStyle w:val="TOC1"/>
        <w:widowControl/>
        <w:tabs>
          <w:tab w:pos="8856" w:val="right" w:leader="dot"/>
        </w:tabs>
      </w:pPr>
      <w:hyperlink w:anchor="_NAESTMA_TOC_2963" w:history="1">
        <w:r>
          <w:rPr>
            <w:color w:val="233746"/>
          </w:rPr>
          <w:t>PACKAGE BP — MIGRANT WORKER PROTECTION AND EMPLOYER ACCOUNTABILITY</w:t>
        </w:r>
      </w:hyperlink>
      <w:r>
        <w:tab/>
      </w:r>
      <w:r>
        <w:rPr>
          <w:rFonts w:ascii="Arial" w:hAnsi="Arial"/>
        </w:rPr>
        <w:t>1667</w:t>
      </w:r>
    </w:p>
    <w:p>
      <w:pPr>
        <w:pStyle w:val="TOC1"/>
        <w:widowControl/>
        <w:tabs>
          <w:tab w:pos="8856" w:val="right" w:leader="dot"/>
        </w:tabs>
      </w:pPr>
      <w:hyperlink w:anchor="_NAESTMA_TOC_2964" w:history="1">
        <w:r>
          <w:rPr>
            <w:color w:val="233746"/>
          </w:rPr>
          <w:t>PACKAGE BQ — REFUGEE, ASYLUM, TRAFFICKING AND HUMANITARIAN PROTECTION</w:t>
        </w:r>
      </w:hyperlink>
      <w:r>
        <w:tab/>
      </w:r>
      <w:r>
        <w:rPr>
          <w:rFonts w:ascii="Arial" w:hAnsi="Arial"/>
        </w:rPr>
        <w:t>1668</w:t>
      </w:r>
    </w:p>
    <w:p>
      <w:pPr>
        <w:pStyle w:val="TOC1"/>
        <w:widowControl/>
        <w:tabs>
          <w:tab w:pos="8856" w:val="right" w:leader="dot"/>
        </w:tabs>
      </w:pPr>
      <w:hyperlink w:anchor="_NAESTMA_TOC_2965" w:history="1">
        <w:r>
          <w:rPr>
            <w:color w:val="233746"/>
          </w:rPr>
          <w:t>PACKAGE BR — CIVIL IMMIGRATION ENFORCEMENT, DUE PROCESS AND POWER-SEPARATION SAFEGUARDS</w:t>
        </w:r>
      </w:hyperlink>
      <w:r>
        <w:tab/>
      </w:r>
      <w:r>
        <w:rPr>
          <w:rFonts w:ascii="Arial" w:hAnsi="Arial"/>
        </w:rPr>
        <w:t>1669</w:t>
      </w:r>
    </w:p>
    <w:p>
      <w:pPr>
        <w:pStyle w:val="TOC1"/>
        <w:widowControl/>
        <w:tabs>
          <w:tab w:pos="8856" w:val="right" w:leader="dot"/>
        </w:tabs>
      </w:pPr>
      <w:hyperlink w:anchor="_NAESTMA_TOC_2966" w:history="1">
        <w:r>
          <w:rPr>
            <w:color w:val="233746"/>
          </w:rPr>
          <w:t>PACKAGE BS — HUMANE CUSTODY, DETENTION ALTERNATIVES AND SENSITIVE-LOCATION PROTECTION</w:t>
        </w:r>
      </w:hyperlink>
      <w:r>
        <w:tab/>
      </w:r>
      <w:r>
        <w:rPr>
          <w:rFonts w:ascii="Arial" w:hAnsi="Arial"/>
        </w:rPr>
        <w:t>1670</w:t>
      </w:r>
    </w:p>
    <w:p>
      <w:pPr>
        <w:pStyle w:val="TOC1"/>
        <w:widowControl/>
        <w:tabs>
          <w:tab w:pos="8856" w:val="right" w:leader="dot"/>
        </w:tabs>
      </w:pPr>
      <w:hyperlink w:anchor="_NAESTMA_TOC_2967" w:history="1">
        <w:r>
          <w:rPr>
            <w:color w:val="233746"/>
          </w:rPr>
          <w:t>PACKAGE BT — MIGRATION DATA, PRIVACY, BIOMETRICS AND AUTOMATED-DECISION SAFEGUARDS</w:t>
        </w:r>
      </w:hyperlink>
      <w:r>
        <w:tab/>
      </w:r>
      <w:r>
        <w:rPr>
          <w:rFonts w:ascii="Arial" w:hAnsi="Arial"/>
        </w:rPr>
        <w:t>1671</w:t>
      </w:r>
    </w:p>
    <w:p>
      <w:pPr>
        <w:pStyle w:val="TOC1"/>
        <w:widowControl/>
        <w:tabs>
          <w:tab w:pos="8856" w:val="right" w:leader="dot"/>
        </w:tabs>
      </w:pPr>
      <w:hyperlink w:anchor="_NAESTMA_TOC_2968" w:history="1">
        <w:r>
          <w:rPr>
            <w:color w:val="233746"/>
          </w:rPr>
          <w:t>PACKAGE BU — RETURN, REINTEGRATION, DISASTER MOBILITY AND REGIONAL DEVELOPMENT</w:t>
        </w:r>
      </w:hyperlink>
      <w:r>
        <w:tab/>
      </w:r>
      <w:r>
        <w:rPr>
          <w:rFonts w:ascii="Arial" w:hAnsi="Arial"/>
        </w:rPr>
        <w:t>1672</w:t>
      </w:r>
    </w:p>
    <w:p>
      <w:pPr>
        <w:pStyle w:val="TOC1"/>
        <w:widowControl/>
        <w:tabs>
          <w:tab w:pos="8856" w:val="right" w:leader="dot"/>
        </w:tabs>
      </w:pPr>
      <w:hyperlink w:anchor="_NAESTMA_TOC_2969" w:history="1">
        <w:r>
          <w:rPr>
            <w:color w:val="233746"/>
          </w:rPr>
          <w:t>PACKAGE BV — TRUSTED NORTH AMERICAN MOBILITY AND ADMINISTRATIVE INTEROPERABILITY</w:t>
        </w:r>
      </w:hyperlink>
      <w:r>
        <w:tab/>
      </w:r>
      <w:r>
        <w:rPr>
          <w:rFonts w:ascii="Arial" w:hAnsi="Arial"/>
        </w:rPr>
        <w:t>1673</w:t>
      </w:r>
    </w:p>
    <w:p>
      <w:pPr>
        <w:pStyle w:val="TOC1"/>
        <w:widowControl/>
        <w:tabs>
          <w:tab w:pos="8856" w:val="right" w:leader="dot"/>
        </w:tabs>
      </w:pPr>
      <w:hyperlink w:anchor="_NAESTMA_TOC_2970" w:history="1">
        <w:r>
          <w:rPr>
            <w:color w:val="233746"/>
          </w:rPr>
          <w:t>PACKAGE BW — NORTH AMERICAN HUMAN DIGNITY, RULE-OF-LAW AND EARNED COOPERATION FRAMEWORK</w:t>
        </w:r>
      </w:hyperlink>
      <w:r>
        <w:tab/>
      </w:r>
      <w:r>
        <w:rPr>
          <w:rFonts w:ascii="Arial" w:hAnsi="Arial"/>
        </w:rPr>
        <w:t>1674</w:t>
      </w:r>
    </w:p>
    <w:p>
      <w:pPr>
        <w:pStyle w:val="TOC1"/>
        <w:widowControl/>
        <w:tabs>
          <w:tab w:pos="8856" w:val="right" w:leader="dot"/>
        </w:tabs>
      </w:pPr>
      <w:hyperlink w:anchor="_NAESTMA_TOC_2971" w:history="1">
        <w:r>
          <w:rPr>
            <w:color w:val="233746"/>
          </w:rPr>
          <w:t>PACKAGE BX — HUMAN-RIGHTS-CONDITIONED TRADE AND IMPLEMENTATION CATALOGUE</w:t>
        </w:r>
      </w:hyperlink>
      <w:r>
        <w:tab/>
      </w:r>
      <w:r>
        <w:rPr>
          <w:rFonts w:ascii="Arial" w:hAnsi="Arial"/>
        </w:rPr>
        <w:t>1676</w:t>
      </w:r>
    </w:p>
    <w:p>
      <w:pPr>
        <w:pStyle w:val="TOC2"/>
        <w:widowControl/>
        <w:tabs>
          <w:tab w:pos="8856" w:val="right" w:leader="dot"/>
        </w:tabs>
      </w:pPr>
      <w:hyperlink w:anchor="_NAESTMA_TOC_2972" w:history="1">
        <w:r>
          <w:rPr>
            <w:color w:val="466B7A"/>
          </w:rPr>
          <w:t>BX-A — CROSS-PACKAGE IMPLEMENTATION FIREWALL</w:t>
        </w:r>
      </w:hyperlink>
      <w:r>
        <w:tab/>
      </w:r>
      <w:r>
        <w:rPr>
          <w:rFonts w:ascii="Arial" w:hAnsi="Arial"/>
        </w:rPr>
        <w:t>1678</w:t>
      </w:r>
    </w:p>
    <w:p>
      <w:pPr>
        <w:pStyle w:val="TOC2"/>
        <w:widowControl/>
        <w:tabs>
          <w:tab w:pos="8856" w:val="right" w:leader="dot"/>
        </w:tabs>
      </w:pPr>
      <w:hyperlink w:anchor="_NAESTMA_TOC_2973" w:history="1">
        <w:r>
          <w:rPr>
            <w:color w:val="466B7A"/>
          </w:rPr>
          <w:t>PACKAGE BY — AUTOMOTIVE WORKFORCE ADVANCEMENT AND LVC MODERNIZATION</w:t>
        </w:r>
      </w:hyperlink>
      <w:r>
        <w:tab/>
      </w:r>
      <w:r>
        <w:rPr>
          <w:rFonts w:ascii="Arial" w:hAnsi="Arial"/>
        </w:rPr>
        <w:t>1678</w:t>
      </w:r>
    </w:p>
    <w:p>
      <w:pPr>
        <w:pStyle w:val="TOC1"/>
        <w:widowControl/>
        <w:tabs>
          <w:tab w:pos="8856" w:val="right" w:leader="dot"/>
        </w:tabs>
      </w:pPr>
      <w:hyperlink w:anchor="_NAESTMA_TOC_2974" w:history="1">
        <w:r>
          <w:rPr>
            <w:color w:val="233746"/>
          </w:rPr>
          <w:t>PACKAGE BZ — TRILATERAL FACILITY-SPECIFIC LABOUR RECIPROCITY INTEGRATION</w:t>
        </w:r>
      </w:hyperlink>
      <w:r>
        <w:tab/>
      </w:r>
      <w:r>
        <w:rPr>
          <w:rFonts w:ascii="Arial" w:hAnsi="Arial"/>
        </w:rPr>
        <w:t>1680</w:t>
      </w:r>
    </w:p>
    <w:p>
      <w:pPr>
        <w:pStyle w:val="TOC1"/>
        <w:widowControl/>
        <w:tabs>
          <w:tab w:pos="8856" w:val="right" w:leader="dot"/>
        </w:tabs>
      </w:pPr>
      <w:hyperlink w:anchor="_NAESTMA_TOC_2975" w:history="1">
        <w:r>
          <w:rPr>
            <w:color w:val="233746"/>
          </w:rPr>
          <w:t>PACKAGE CA — ANNEX 23-A LABOUR-REFORM DURABILITY INTEGRATION</w:t>
        </w:r>
      </w:hyperlink>
      <w:r>
        <w:tab/>
      </w:r>
      <w:r>
        <w:rPr>
          <w:rFonts w:ascii="Arial" w:hAnsi="Arial"/>
        </w:rPr>
        <w:t>1682</w:t>
      </w:r>
    </w:p>
    <w:p>
      <w:pPr>
        <w:pStyle w:val="TOC2"/>
        <w:widowControl/>
        <w:tabs>
          <w:tab w:pos="8856" w:val="right" w:leader="dot"/>
        </w:tabs>
      </w:pPr>
      <w:hyperlink w:anchor="_NAESTMA_TOC_2976" w:history="1">
        <w:r>
          <w:rPr>
            <w:color w:val="466B7A"/>
          </w:rPr>
          <w:t>CA-1 Preserve Achievements, Delete the Time Capsule.</w:t>
        </w:r>
      </w:hyperlink>
      <w:r>
        <w:tab/>
      </w:r>
      <w:r>
        <w:rPr>
          <w:rFonts w:ascii="Arial" w:hAnsi="Arial"/>
        </w:rPr>
        <w:t>1682</w:t>
      </w:r>
    </w:p>
    <w:p>
      <w:pPr>
        <w:pStyle w:val="TOC2"/>
        <w:widowControl/>
        <w:tabs>
          <w:tab w:pos="8856" w:val="right" w:leader="dot"/>
        </w:tabs>
      </w:pPr>
      <w:hyperlink w:anchor="_NAESTMA_TOC_2977" w:history="1">
        <w:r>
          <w:rPr>
            <w:color w:val="466B7A"/>
          </w:rPr>
          <w:t>CA-2 Durable Democratic Consent.</w:t>
        </w:r>
      </w:hyperlink>
      <w:r>
        <w:tab/>
      </w:r>
      <w:r>
        <w:rPr>
          <w:rFonts w:ascii="Arial" w:hAnsi="Arial"/>
        </w:rPr>
        <w:t>1682</w:t>
      </w:r>
    </w:p>
    <w:p>
      <w:pPr>
        <w:pStyle w:val="TOC2"/>
        <w:widowControl/>
        <w:tabs>
          <w:tab w:pos="8856" w:val="right" w:leader="dot"/>
        </w:tabs>
      </w:pPr>
      <w:hyperlink w:anchor="_NAESTMA_TOC_2978" w:history="1">
        <w:r>
          <w:rPr>
            <w:color w:val="466B7A"/>
          </w:rPr>
          <w:t>CA-3 Independent Institutions, Flexible Machinery.</w:t>
        </w:r>
      </w:hyperlink>
      <w:r>
        <w:tab/>
      </w:r>
      <w:r>
        <w:rPr>
          <w:rFonts w:ascii="Arial" w:hAnsi="Arial"/>
        </w:rPr>
        <w:t>1682</w:t>
      </w:r>
    </w:p>
    <w:p>
      <w:pPr>
        <w:pStyle w:val="TOC2"/>
        <w:widowControl/>
        <w:tabs>
          <w:tab w:pos="8856" w:val="right" w:leader="dot"/>
        </w:tabs>
      </w:pPr>
      <w:hyperlink w:anchor="_NAESTMA_TOC_2979" w:history="1">
        <w:r>
          <w:rPr>
            <w:color w:val="466B7A"/>
          </w:rPr>
          <w:t>CA-4 Protection-Contract Firewall.</w:t>
        </w:r>
      </w:hyperlink>
      <w:r>
        <w:tab/>
      </w:r>
      <w:r>
        <w:rPr>
          <w:rFonts w:ascii="Arial" w:hAnsi="Arial"/>
        </w:rPr>
        <w:t>1682</w:t>
      </w:r>
    </w:p>
    <w:p>
      <w:pPr>
        <w:pStyle w:val="TOC2"/>
        <w:widowControl/>
        <w:tabs>
          <w:tab w:pos="8856" w:val="right" w:leader="dot"/>
        </w:tabs>
      </w:pPr>
      <w:hyperlink w:anchor="_NAESTMA_TOC_2980" w:history="1">
        <w:r>
          <w:rPr>
            <w:color w:val="466B7A"/>
          </w:rPr>
          <w:t>CA-5 Anti-Retaliation and Restoration.</w:t>
        </w:r>
      </w:hyperlink>
      <w:r>
        <w:tab/>
      </w:r>
      <w:r>
        <w:rPr>
          <w:rFonts w:ascii="Arial" w:hAnsi="Arial"/>
        </w:rPr>
        <w:t>1682</w:t>
      </w:r>
    </w:p>
    <w:p>
      <w:pPr>
        <w:pStyle w:val="TOC2"/>
        <w:widowControl/>
        <w:tabs>
          <w:tab w:pos="8856" w:val="right" w:leader="dot"/>
        </w:tabs>
      </w:pPr>
      <w:hyperlink w:anchor="_NAESTMA_TOC_2981" w:history="1">
        <w:r>
          <w:rPr>
            <w:color w:val="466B7A"/>
          </w:rPr>
          <w:t>CA-6 Non-Regression with Modernization Freedom.</w:t>
        </w:r>
      </w:hyperlink>
      <w:r>
        <w:tab/>
      </w:r>
      <w:r>
        <w:rPr>
          <w:rFonts w:ascii="Arial" w:hAnsi="Arial"/>
        </w:rPr>
        <w:t>1682</w:t>
      </w:r>
    </w:p>
    <w:p>
      <w:pPr>
        <w:pStyle w:val="TOC2"/>
        <w:widowControl/>
        <w:tabs>
          <w:tab w:pos="8856" w:val="right" w:leader="dot"/>
        </w:tabs>
      </w:pPr>
      <w:hyperlink w:anchor="_NAESTMA_TOC_2982" w:history="1">
        <w:r>
          <w:rPr>
            <w:color w:val="466B7A"/>
          </w:rPr>
          <w:t>CA-7 Equal-Party Safeguard.</w:t>
        </w:r>
      </w:hyperlink>
      <w:r>
        <w:tab/>
      </w:r>
      <w:r>
        <w:rPr>
          <w:rFonts w:ascii="Arial" w:hAnsi="Arial"/>
        </w:rPr>
        <w:t>1682</w:t>
      </w:r>
    </w:p>
    <w:p>
      <w:pPr>
        <w:pStyle w:val="TOC2"/>
        <w:widowControl/>
        <w:tabs>
          <w:tab w:pos="8856" w:val="right" w:leader="dot"/>
        </w:tabs>
      </w:pPr>
      <w:hyperlink w:anchor="_NAESTMA_TOC_2983" w:history="1">
        <w:r>
          <w:rPr>
            <w:color w:val="466B7A"/>
          </w:rPr>
          <w:t>CA-8 Article 31.E Interface.</w:t>
        </w:r>
      </w:hyperlink>
      <w:r>
        <w:tab/>
      </w:r>
      <w:r>
        <w:rPr>
          <w:rFonts w:ascii="Arial" w:hAnsi="Arial"/>
        </w:rPr>
        <w:t>1682</w:t>
      </w:r>
    </w:p>
    <w:p>
      <w:pPr>
        <w:pStyle w:val="TOC2"/>
        <w:widowControl/>
        <w:tabs>
          <w:tab w:pos="8856" w:val="right" w:leader="dot"/>
        </w:tabs>
      </w:pPr>
      <w:hyperlink w:anchor="_NAESTMA_TOC_2984" w:history="1">
        <w:r>
          <w:rPr>
            <w:color w:val="466B7A"/>
          </w:rPr>
          <w:t>CA-9 Worker-Rights Firewall.</w:t>
        </w:r>
      </w:hyperlink>
      <w:r>
        <w:tab/>
      </w:r>
      <w:r>
        <w:rPr>
          <w:rFonts w:ascii="Arial" w:hAnsi="Arial"/>
        </w:rPr>
        <w:t>1682</w:t>
      </w:r>
    </w:p>
    <w:p>
      <w:pPr>
        <w:pStyle w:val="TOC2"/>
        <w:widowControl/>
        <w:tabs>
          <w:tab w:pos="8856" w:val="right" w:leader="dot"/>
        </w:tabs>
      </w:pPr>
      <w:hyperlink w:anchor="_NAESTMA_TOC_2985" w:history="1">
        <w:r>
          <w:rPr>
            <w:color w:val="466B7A"/>
          </w:rPr>
          <w:t>CA-10 Completed Transition Recognition.</w:t>
        </w:r>
      </w:hyperlink>
      <w:r>
        <w:tab/>
      </w:r>
      <w:r>
        <w:rPr>
          <w:rFonts w:ascii="Arial" w:hAnsi="Arial"/>
        </w:rPr>
        <w:t>1682</w:t>
      </w:r>
    </w:p>
    <w:p>
      <w:pPr>
        <w:pStyle w:val="TOC1"/>
        <w:widowControl/>
        <w:tabs>
          <w:tab w:pos="8856" w:val="right" w:leader="dot"/>
        </w:tabs>
      </w:pPr>
      <w:hyperlink w:anchor="_NAESTMA_TOC_2986" w:history="1">
        <w:r>
          <w:rPr>
            <w:color w:val="233746"/>
          </w:rPr>
          <w:t>PACKAGE CB — LABOUR PARITY CONFORMING INTEGRATION</w:t>
        </w:r>
      </w:hyperlink>
      <w:r>
        <w:tab/>
      </w:r>
      <w:r>
        <w:rPr>
          <w:rFonts w:ascii="Arial" w:hAnsi="Arial"/>
        </w:rPr>
        <w:t>1683</w:t>
      </w:r>
    </w:p>
    <w:p>
      <w:pPr>
        <w:pStyle w:val="TOC2"/>
        <w:widowControl/>
        <w:tabs>
          <w:tab w:pos="8856" w:val="right" w:leader="dot"/>
        </w:tabs>
      </w:pPr>
      <w:hyperlink w:anchor="_NAESTMA_TOC_2987" w:history="1">
        <w:r>
          <w:rPr>
            <w:color w:val="466B7A"/>
          </w:rPr>
          <w:t>CB-1 Article 31.E Immediate Supremacy.</w:t>
        </w:r>
      </w:hyperlink>
      <w:r>
        <w:tab/>
      </w:r>
      <w:r>
        <w:rPr>
          <w:rFonts w:ascii="Arial" w:hAnsi="Arial"/>
        </w:rPr>
        <w:t>1683</w:t>
      </w:r>
    </w:p>
    <w:p>
      <w:pPr>
        <w:pStyle w:val="TOC2"/>
        <w:widowControl/>
        <w:tabs>
          <w:tab w:pos="8856" w:val="right" w:leader="dot"/>
        </w:tabs>
      </w:pPr>
      <w:hyperlink w:anchor="_NAESTMA_TOC_2988" w:history="1">
        <w:r>
          <w:rPr>
            <w:color w:val="466B7A"/>
          </w:rPr>
          <w:t>CB-2 Chapter 23 Cross-Reference Repair.</w:t>
        </w:r>
      </w:hyperlink>
      <w:r>
        <w:tab/>
      </w:r>
      <w:r>
        <w:rPr>
          <w:rFonts w:ascii="Arial" w:hAnsi="Arial"/>
        </w:rPr>
        <w:t>1683</w:t>
      </w:r>
    </w:p>
    <w:p>
      <w:pPr>
        <w:pStyle w:val="TOC2"/>
        <w:widowControl/>
        <w:tabs>
          <w:tab w:pos="8856" w:val="right" w:leader="dot"/>
        </w:tabs>
      </w:pPr>
      <w:hyperlink w:anchor="_NAESTMA_TOC_2989" w:history="1">
        <w:r>
          <w:rPr>
            <w:color w:val="466B7A"/>
          </w:rPr>
          <w:t>CB-3 Equal Definitions and Intake.</w:t>
        </w:r>
      </w:hyperlink>
      <w:r>
        <w:tab/>
      </w:r>
      <w:r>
        <w:rPr>
          <w:rFonts w:ascii="Arial" w:hAnsi="Arial"/>
        </w:rPr>
        <w:t>1683</w:t>
      </w:r>
    </w:p>
    <w:p>
      <w:pPr>
        <w:pStyle w:val="TOC2"/>
        <w:widowControl/>
        <w:tabs>
          <w:tab w:pos="8856" w:val="right" w:leader="dot"/>
        </w:tabs>
      </w:pPr>
      <w:hyperlink w:anchor="_NAESTMA_TOC_2990" w:history="1">
        <w:r>
          <w:rPr>
            <w:color w:val="466B7A"/>
          </w:rPr>
          <w:t>CB-4 Domestic-Order Gate Neutralization.</w:t>
        </w:r>
      </w:hyperlink>
      <w:r>
        <w:tab/>
      </w:r>
      <w:r>
        <w:rPr>
          <w:rFonts w:ascii="Arial" w:hAnsi="Arial"/>
        </w:rPr>
        <w:t>1683</w:t>
      </w:r>
    </w:p>
    <w:p>
      <w:pPr>
        <w:pStyle w:val="TOC2"/>
        <w:widowControl/>
        <w:tabs>
          <w:tab w:pos="8856" w:val="right" w:leader="dot"/>
        </w:tabs>
      </w:pPr>
      <w:hyperlink w:anchor="_NAESTMA_TOC_2991" w:history="1">
        <w:r>
          <w:rPr>
            <w:color w:val="466B7A"/>
          </w:rPr>
          <w:t>CB-5 Priority-Sector Firewall.</w:t>
        </w:r>
      </w:hyperlink>
      <w:r>
        <w:tab/>
      </w:r>
      <w:r>
        <w:rPr>
          <w:rFonts w:ascii="Arial" w:hAnsi="Arial"/>
        </w:rPr>
        <w:t>1683</w:t>
      </w:r>
    </w:p>
    <w:p>
      <w:pPr>
        <w:pStyle w:val="TOC2"/>
        <w:widowControl/>
        <w:tabs>
          <w:tab w:pos="8856" w:val="right" w:leader="dot"/>
        </w:tabs>
      </w:pPr>
      <w:hyperlink w:anchor="_NAESTMA_TOC_2992" w:history="1">
        <w:r>
          <w:rPr>
            <w:color w:val="466B7A"/>
          </w:rPr>
          <w:t>CB-6 Panel Neutrality.</w:t>
        </w:r>
      </w:hyperlink>
      <w:r>
        <w:tab/>
      </w:r>
      <w:r>
        <w:rPr>
          <w:rFonts w:ascii="Arial" w:hAnsi="Arial"/>
        </w:rPr>
        <w:t>1683</w:t>
      </w:r>
    </w:p>
    <w:p>
      <w:pPr>
        <w:pStyle w:val="TOC2"/>
        <w:widowControl/>
        <w:tabs>
          <w:tab w:pos="8856" w:val="right" w:leader="dot"/>
        </w:tabs>
      </w:pPr>
      <w:hyperlink w:anchor="_NAESTMA_TOC_2993" w:history="1">
        <w:r>
          <w:rPr>
            <w:color w:val="466B7A"/>
          </w:rPr>
          <w:t>CB-7 Canada Definition Repair.</w:t>
        </w:r>
      </w:hyperlink>
      <w:r>
        <w:tab/>
      </w:r>
      <w:r>
        <w:rPr>
          <w:rFonts w:ascii="Arial" w:hAnsi="Arial"/>
        </w:rPr>
        <w:t>1683</w:t>
      </w:r>
    </w:p>
    <w:p>
      <w:pPr>
        <w:pStyle w:val="TOC2"/>
        <w:widowControl/>
        <w:tabs>
          <w:tab w:pos="8856" w:val="right" w:leader="dot"/>
        </w:tabs>
      </w:pPr>
      <w:hyperlink w:anchor="_NAESTMA_TOC_2994" w:history="1">
        <w:r>
          <w:rPr>
            <w:color w:val="466B7A"/>
          </w:rPr>
          <w:t>CB-8 Annex 23-A Cross-Reference Repair.</w:t>
        </w:r>
      </w:hyperlink>
      <w:r>
        <w:tab/>
      </w:r>
      <w:r>
        <w:rPr>
          <w:rFonts w:ascii="Arial" w:hAnsi="Arial"/>
        </w:rPr>
        <w:t>1683</w:t>
      </w:r>
    </w:p>
    <w:p>
      <w:pPr>
        <w:pStyle w:val="TOC2"/>
        <w:widowControl/>
        <w:tabs>
          <w:tab w:pos="8856" w:val="right" w:leader="dot"/>
        </w:tabs>
      </w:pPr>
      <w:hyperlink w:anchor="_NAESTMA_TOC_2995" w:history="1">
        <w:r>
          <w:rPr>
            <w:color w:val="466B7A"/>
          </w:rPr>
          <w:t>CB-9 Neutral Existing-Measures Safe Harbour.</w:t>
        </w:r>
      </w:hyperlink>
      <w:r>
        <w:tab/>
      </w:r>
      <w:r>
        <w:rPr>
          <w:rFonts w:ascii="Arial" w:hAnsi="Arial"/>
        </w:rPr>
        <w:t>1683</w:t>
      </w:r>
    </w:p>
    <w:p>
      <w:pPr>
        <w:pStyle w:val="TOC2"/>
        <w:widowControl/>
        <w:tabs>
          <w:tab w:pos="8856" w:val="right" w:leader="dot"/>
        </w:tabs>
      </w:pPr>
      <w:hyperlink w:anchor="_NAESTMA_TOC_2996" w:history="1">
        <w:r>
          <w:rPr>
            <w:color w:val="466B7A"/>
          </w:rPr>
          <w:t>CB-10 Continental Worker-Rights Firewall.</w:t>
        </w:r>
      </w:hyperlink>
      <w:r>
        <w:tab/>
      </w:r>
      <w:r>
        <w:rPr>
          <w:rFonts w:ascii="Arial" w:hAnsi="Arial"/>
        </w:rPr>
        <w:t>1683</w:t>
      </w:r>
    </w:p>
    <w:p>
      <w:pPr>
        <w:pStyle w:val="TOC2"/>
        <w:widowControl/>
        <w:tabs>
          <w:tab w:pos="8856" w:val="right" w:leader="dot"/>
        </w:tabs>
      </w:pPr>
      <w:hyperlink w:anchor="_NAESTMA_TOC_2997" w:history="1">
        <w:r>
          <w:rPr>
            <w:color w:val="466B7A"/>
          </w:rPr>
          <w:t>CB-11 Article 51 Interface.</w:t>
        </w:r>
      </w:hyperlink>
      <w:r>
        <w:tab/>
      </w:r>
      <w:r>
        <w:rPr>
          <w:rFonts w:ascii="Arial" w:hAnsi="Arial"/>
        </w:rPr>
        <w:t>1683</w:t>
      </w:r>
    </w:p>
    <w:p>
      <w:pPr>
        <w:pStyle w:val="TOC2"/>
        <w:widowControl/>
        <w:tabs>
          <w:tab w:pos="8856" w:val="right" w:leader="dot"/>
        </w:tabs>
      </w:pPr>
      <w:hyperlink w:anchor="_NAESTMA_TOC_2998" w:history="1">
        <w:r>
          <w:rPr>
            <w:color w:val="466B7A"/>
          </w:rPr>
          <w:t>CB-12 Trade-Nexus Clarification.</w:t>
        </w:r>
      </w:hyperlink>
      <w:r>
        <w:tab/>
      </w:r>
      <w:r>
        <w:rPr>
          <w:rFonts w:ascii="Arial" w:hAnsi="Arial"/>
        </w:rPr>
        <w:t>1683</w:t>
      </w:r>
    </w:p>
    <w:p>
      <w:pPr>
        <w:pStyle w:val="TOC2"/>
        <w:widowControl/>
        <w:tabs>
          <w:tab w:pos="8856" w:val="right" w:leader="dot"/>
        </w:tabs>
      </w:pPr>
      <w:hyperlink w:anchor="_NAESTMA_TOC_2999" w:history="1">
        <w:r>
          <w:rPr>
            <w:color w:val="466B7A"/>
          </w:rPr>
          <w:t>CB-13 Annex 23-A Converse Equality.</w:t>
        </w:r>
      </w:hyperlink>
      <w:r>
        <w:tab/>
      </w:r>
      <w:r>
        <w:rPr>
          <w:rFonts w:ascii="Arial" w:hAnsi="Arial"/>
        </w:rPr>
        <w:t>1684</w:t>
      </w:r>
    </w:p>
    <w:p>
      <w:pPr>
        <w:pStyle w:val="TOC2"/>
        <w:widowControl/>
        <w:tabs>
          <w:tab w:pos="8856" w:val="right" w:leader="dot"/>
        </w:tabs>
      </w:pPr>
      <w:hyperlink w:anchor="_NAESTMA_TOC_3000" w:history="1">
        <w:r>
          <w:rPr>
            <w:color w:val="466B7A"/>
          </w:rPr>
          <w:t>CB-14 Predecessor Annex Status.</w:t>
        </w:r>
      </w:hyperlink>
      <w:r>
        <w:tab/>
      </w:r>
      <w:r>
        <w:rPr>
          <w:rFonts w:ascii="Arial" w:hAnsi="Arial"/>
        </w:rPr>
        <w:t>1684</w:t>
      </w:r>
    </w:p>
    <w:p>
      <w:pPr>
        <w:pStyle w:val="TOC2"/>
        <w:widowControl/>
        <w:tabs>
          <w:tab w:pos="8856" w:val="right" w:leader="dot"/>
        </w:tabs>
      </w:pPr>
      <w:hyperlink w:anchor="_NAESTMA_TOC_3001" w:history="1">
        <w:r>
          <w:rPr>
            <w:color w:val="466B7A"/>
          </w:rPr>
          <w:t>CB-15 No New Labour Bureaucracy.</w:t>
        </w:r>
      </w:hyperlink>
      <w:r>
        <w:tab/>
      </w:r>
      <w:r>
        <w:rPr>
          <w:rFonts w:ascii="Arial" w:hAnsi="Arial"/>
        </w:rPr>
        <w:t>1684</w:t>
      </w:r>
    </w:p>
    <w:p>
      <w:pPr>
        <w:pStyle w:val="TOC1"/>
        <w:widowControl/>
        <w:tabs>
          <w:tab w:pos="8856" w:val="right" w:leader="dot"/>
        </w:tabs>
      </w:pPr>
      <w:hyperlink w:anchor="_NAESTMA_TOC_3002" w:history="1">
        <w:r>
          <w:rPr>
            <w:color w:val="233746"/>
          </w:rPr>
          <w:t>PACKAGE CC — NORTH AMERICAN ANIMAL WELFARE, HUMANE AGRICULTURE, RESCUE, AND PRACTICAL…</w:t>
        </w:r>
      </w:hyperlink>
      <w:r>
        <w:tab/>
      </w:r>
      <w:r>
        <w:rPr>
          <w:rFonts w:ascii="Arial" w:hAnsi="Arial"/>
        </w:rPr>
        <w:t>1685</w:t>
      </w:r>
    </w:p>
    <w:p>
      <w:pPr>
        <w:pStyle w:val="TOC2"/>
        <w:widowControl/>
        <w:tabs>
          <w:tab w:pos="8856" w:val="right" w:leader="dot"/>
        </w:tabs>
      </w:pPr>
      <w:hyperlink w:anchor="_NAESTMA_TOC_3003" w:history="1">
        <w:r>
          <w:rPr>
            <w:color w:val="466B7A"/>
          </w:rPr>
          <w:t>Article 43.W — Humane Agricultural Production and Handling Floor</w:t>
        </w:r>
      </w:hyperlink>
      <w:r>
        <w:tab/>
      </w:r>
      <w:r>
        <w:rPr>
          <w:rFonts w:ascii="Arial" w:hAnsi="Arial"/>
        </w:rPr>
        <w:t>1686</w:t>
      </w:r>
    </w:p>
    <w:p>
      <w:pPr>
        <w:pStyle w:val="TOC2"/>
        <w:widowControl/>
        <w:tabs>
          <w:tab w:pos="8856" w:val="right" w:leader="dot"/>
        </w:tabs>
      </w:pPr>
      <w:hyperlink w:anchor="_NAESTMA_TOC_3004" w:history="1">
        <w:r>
          <w:rPr>
            <w:color w:val="466B7A"/>
          </w:rPr>
          <w:t>Article 62.A — Animal Rescue, Protective Continuity, and Government-Directed Destruction</w:t>
        </w:r>
      </w:hyperlink>
      <w:r>
        <w:tab/>
      </w:r>
      <w:r>
        <w:rPr>
          <w:rFonts w:ascii="Arial" w:hAnsi="Arial"/>
        </w:rPr>
        <w:t>1687</w:t>
      </w:r>
    </w:p>
    <w:p>
      <w:pPr>
        <w:pStyle w:val="TOC2"/>
        <w:widowControl/>
        <w:tabs>
          <w:tab w:pos="8856" w:val="right" w:leader="dot"/>
        </w:tabs>
      </w:pPr>
      <w:hyperlink w:anchor="_NAESTMA_TOC_3005" w:history="1">
        <w:r>
          <w:rPr>
            <w:color w:val="466B7A"/>
          </w:rPr>
          <w:t>Article 24.W — Least-Harm Wildlife Intervention and Humane Cross-Border Management</w:t>
        </w:r>
      </w:hyperlink>
      <w:r>
        <w:tab/>
      </w:r>
      <w:r>
        <w:rPr>
          <w:rFonts w:ascii="Arial" w:hAnsi="Arial"/>
        </w:rPr>
        <w:t>1687</w:t>
      </w:r>
    </w:p>
    <w:p>
      <w:pPr>
        <w:pStyle w:val="TOC2"/>
        <w:widowControl/>
        <w:tabs>
          <w:tab w:pos="8856" w:val="right" w:leader="dot"/>
        </w:tabs>
      </w:pPr>
      <w:hyperlink w:anchor="_NAESTMA_TOC_3006" w:history="1">
        <w:r>
          <w:rPr>
            <w:color w:val="466B7A"/>
          </w:rPr>
          <w:t>ANNEX 43-H — Practical Welfare Transition Classes</w:t>
        </w:r>
      </w:hyperlink>
      <w:r>
        <w:tab/>
      </w:r>
      <w:r>
        <w:rPr>
          <w:rFonts w:ascii="Arial" w:hAnsi="Arial"/>
        </w:rPr>
        <w:t>1688</w:t>
      </w:r>
    </w:p>
    <w:p>
      <w:pPr>
        <w:pStyle w:val="TOC2"/>
        <w:widowControl/>
        <w:tabs>
          <w:tab w:pos="8856" w:val="right" w:leader="dot"/>
        </w:tabs>
      </w:pPr>
      <w:hyperlink w:anchor="_NAESTMA_TOC_3007" w:history="1">
        <w:r>
          <w:rPr>
            <w:color w:val="466B7A"/>
          </w:rPr>
          <w:t>PACKAGE CC — TRACEABILITY AND POLITICAL FIREWALL</w:t>
        </w:r>
      </w:hyperlink>
      <w:r>
        <w:tab/>
      </w:r>
      <w:r>
        <w:rPr>
          <w:rFonts w:ascii="Arial" w:hAnsi="Arial"/>
        </w:rPr>
        <w:t>1689</w:t>
      </w:r>
    </w:p>
    <w:p>
      <w:pPr>
        <w:pStyle w:val="TOC1"/>
        <w:widowControl/>
        <w:tabs>
          <w:tab w:pos="8856" w:val="right" w:leader="dot"/>
        </w:tabs>
      </w:pPr>
      <w:hyperlink w:anchor="_NAESTMA_TOC_3008" w:history="1">
        <w:r>
          <w:rPr>
            <w:color w:val="233746"/>
          </w:rPr>
          <w:t>PACKAGE CE — FENTANYL AND HIGH-RISK CONTRABAND INTERDICTION / TRUSTED FREIGHT GATEWAY</w:t>
        </w:r>
      </w:hyperlink>
      <w:r>
        <w:tab/>
      </w:r>
      <w:r>
        <w:rPr>
          <w:rFonts w:ascii="Arial" w:hAnsi="Arial"/>
        </w:rPr>
        <w:t>1693</w:t>
      </w:r>
    </w:p>
    <w:p>
      <w:pPr>
        <w:pStyle w:val="TOC1"/>
        <w:widowControl/>
        <w:tabs>
          <w:tab w:pos="8856" w:val="right" w:leader="dot"/>
        </w:tabs>
      </w:pPr>
      <w:hyperlink w:anchor="_NAESTMA_TOC_3009" w:history="1">
        <w:r>
          <w:rPr>
            <w:color w:val="233746"/>
          </w:rPr>
          <w:t>PACKAGE CH — NORTH AMERICAN CUSTODIAL DIGNITY AND SAFE CORRECTIONS FRAMEWORK…</w:t>
        </w:r>
      </w:hyperlink>
      <w:r>
        <w:tab/>
      </w:r>
      <w:r>
        <w:rPr>
          <w:rFonts w:ascii="Arial" w:hAnsi="Arial"/>
        </w:rPr>
        <w:t>1701</w:t>
      </w:r>
    </w:p>
    <w:p>
      <w:pPr>
        <w:pStyle w:val="TOC2"/>
        <w:widowControl/>
        <w:tabs>
          <w:tab w:pos="8856" w:val="right" w:leader="dot"/>
        </w:tabs>
      </w:pPr>
      <w:hyperlink w:anchor="_NAESTMA_TOC_3010" w:history="1">
        <w:r>
          <w:rPr>
            <w:color w:val="466B7A"/>
          </w:rPr>
          <w:t>CH-1. Purpose and Character</w:t>
        </w:r>
      </w:hyperlink>
      <w:r>
        <w:tab/>
      </w:r>
      <w:r>
        <w:rPr>
          <w:rFonts w:ascii="Arial" w:hAnsi="Arial"/>
        </w:rPr>
        <w:t>1701</w:t>
      </w:r>
    </w:p>
    <w:p>
      <w:pPr>
        <w:pStyle w:val="TOC2"/>
        <w:widowControl/>
        <w:tabs>
          <w:tab w:pos="8856" w:val="right" w:leader="dot"/>
        </w:tabs>
      </w:pPr>
      <w:hyperlink w:anchor="_NAESTMA_TOC_3011" w:history="1">
        <w:r>
          <w:rPr>
            <w:color w:val="466B7A"/>
          </w:rPr>
          <w:t>CH-2. Scope</w:t>
        </w:r>
      </w:hyperlink>
      <w:r>
        <w:tab/>
      </w:r>
      <w:r>
        <w:rPr>
          <w:rFonts w:ascii="Arial" w:hAnsi="Arial"/>
        </w:rPr>
        <w:t>1701</w:t>
      </w:r>
    </w:p>
    <w:p>
      <w:pPr>
        <w:pStyle w:val="TOC2"/>
        <w:widowControl/>
        <w:tabs>
          <w:tab w:pos="8856" w:val="right" w:leader="dot"/>
        </w:tabs>
      </w:pPr>
      <w:hyperlink w:anchor="_NAESTMA_TOC_3012" w:history="1">
        <w:r>
          <w:rPr>
            <w:color w:val="466B7A"/>
          </w:rPr>
          <w:t>CH-3. Inherent Human Dignity</w:t>
        </w:r>
      </w:hyperlink>
      <w:r>
        <w:tab/>
      </w:r>
      <w:r>
        <w:rPr>
          <w:rFonts w:ascii="Arial" w:hAnsi="Arial"/>
        </w:rPr>
        <w:t>1701</w:t>
      </w:r>
    </w:p>
    <w:p>
      <w:pPr>
        <w:pStyle w:val="TOC2"/>
        <w:widowControl/>
        <w:tabs>
          <w:tab w:pos="8856" w:val="right" w:leader="dot"/>
        </w:tabs>
      </w:pPr>
      <w:hyperlink w:anchor="_NAESTMA_TOC_3013" w:history="1">
        <w:r>
          <w:rPr>
            <w:color w:val="466B7A"/>
          </w:rPr>
          <w:t>CH-4. Equal Application and Non-Discrimination</w:t>
        </w:r>
      </w:hyperlink>
      <w:r>
        <w:tab/>
      </w:r>
      <w:r>
        <w:rPr>
          <w:rFonts w:ascii="Arial" w:hAnsi="Arial"/>
        </w:rPr>
        <w:t>1701</w:t>
      </w:r>
    </w:p>
    <w:p>
      <w:pPr>
        <w:pStyle w:val="TOC2"/>
        <w:widowControl/>
        <w:tabs>
          <w:tab w:pos="8856" w:val="right" w:leader="dot"/>
        </w:tabs>
      </w:pPr>
      <w:hyperlink w:anchor="_NAESTMA_TOC_3014" w:history="1">
        <w:r>
          <w:rPr>
            <w:color w:val="466B7A"/>
          </w:rPr>
          <w:t>CH-5. Food of Adequate Nutritional Value</w:t>
        </w:r>
      </w:hyperlink>
      <w:r>
        <w:tab/>
      </w:r>
      <w:r>
        <w:rPr>
          <w:rFonts w:ascii="Arial" w:hAnsi="Arial"/>
        </w:rPr>
        <w:t>1702</w:t>
      </w:r>
    </w:p>
    <w:p>
      <w:pPr>
        <w:pStyle w:val="TOC2"/>
        <w:widowControl/>
        <w:tabs>
          <w:tab w:pos="8856" w:val="right" w:leader="dot"/>
        </w:tabs>
      </w:pPr>
      <w:hyperlink w:anchor="_NAESTMA_TOC_3015" w:history="1">
        <w:r>
          <w:rPr>
            <w:color w:val="466B7A"/>
          </w:rPr>
          <w:t>CH-6. Absolute Prohibition on Punitive Food and Water Deprivation</w:t>
        </w:r>
      </w:hyperlink>
      <w:r>
        <w:tab/>
      </w:r>
      <w:r>
        <w:rPr>
          <w:rFonts w:ascii="Arial" w:hAnsi="Arial"/>
        </w:rPr>
        <w:t>1702</w:t>
      </w:r>
    </w:p>
    <w:p>
      <w:pPr>
        <w:pStyle w:val="TOC2"/>
        <w:widowControl/>
        <w:tabs>
          <w:tab w:pos="8856" w:val="right" w:leader="dot"/>
        </w:tabs>
      </w:pPr>
      <w:hyperlink w:anchor="_NAESTMA_TOC_3016" w:history="1">
        <w:r>
          <w:rPr>
            <w:color w:val="466B7A"/>
          </w:rPr>
          <w:t>CH-7. Potable Water</w:t>
        </w:r>
      </w:hyperlink>
      <w:r>
        <w:tab/>
      </w:r>
      <w:r>
        <w:rPr>
          <w:rFonts w:ascii="Arial" w:hAnsi="Arial"/>
        </w:rPr>
        <w:t>1702</w:t>
      </w:r>
    </w:p>
    <w:p>
      <w:pPr>
        <w:pStyle w:val="TOC2"/>
        <w:widowControl/>
        <w:tabs>
          <w:tab w:pos="8856" w:val="right" w:leader="dot"/>
        </w:tabs>
      </w:pPr>
      <w:hyperlink w:anchor="_NAESTMA_TOC_3017" w:history="1">
        <w:r>
          <w:rPr>
            <w:color w:val="466B7A"/>
          </w:rPr>
          <w:t>CH-8. Therapeutic, Religious, and Conscience-Based Diets</w:t>
        </w:r>
      </w:hyperlink>
      <w:r>
        <w:tab/>
      </w:r>
      <w:r>
        <w:rPr>
          <w:rFonts w:ascii="Arial" w:hAnsi="Arial"/>
        </w:rPr>
        <w:t>1702</w:t>
      </w:r>
    </w:p>
    <w:p>
      <w:pPr>
        <w:pStyle w:val="TOC2"/>
        <w:widowControl/>
        <w:tabs>
          <w:tab w:pos="8856" w:val="right" w:leader="dot"/>
        </w:tabs>
      </w:pPr>
      <w:hyperlink w:anchor="_NAESTMA_TOC_3018" w:history="1">
        <w:r>
          <w:rPr>
            <w:color w:val="466B7A"/>
          </w:rPr>
          <w:t>CH-9. Sanitation and Habitability</w:t>
        </w:r>
      </w:hyperlink>
      <w:r>
        <w:tab/>
      </w:r>
      <w:r>
        <w:rPr>
          <w:rFonts w:ascii="Arial" w:hAnsi="Arial"/>
        </w:rPr>
        <w:t>1702</w:t>
      </w:r>
    </w:p>
    <w:p>
      <w:pPr>
        <w:pStyle w:val="TOC2"/>
        <w:widowControl/>
        <w:tabs>
          <w:tab w:pos="8856" w:val="right" w:leader="dot"/>
        </w:tabs>
      </w:pPr>
      <w:hyperlink w:anchor="_NAESTMA_TOC_3019" w:history="1">
        <w:r>
          <w:rPr>
            <w:color w:val="466B7A"/>
          </w:rPr>
          <w:t>CH-10. Sleeping Conditions, Bedding, and Clothing</w:t>
        </w:r>
      </w:hyperlink>
      <w:r>
        <w:tab/>
      </w:r>
      <w:r>
        <w:rPr>
          <w:rFonts w:ascii="Arial" w:hAnsi="Arial"/>
        </w:rPr>
        <w:t>1703</w:t>
      </w:r>
    </w:p>
    <w:p>
      <w:pPr>
        <w:pStyle w:val="TOC2"/>
        <w:widowControl/>
        <w:tabs>
          <w:tab w:pos="8856" w:val="right" w:leader="dot"/>
        </w:tabs>
      </w:pPr>
      <w:hyperlink w:anchor="_NAESTMA_TOC_3020" w:history="1">
        <w:r>
          <w:rPr>
            <w:color w:val="466B7A"/>
          </w:rPr>
          <w:t>CH-11. Hygiene and Menstrual Health</w:t>
        </w:r>
      </w:hyperlink>
      <w:r>
        <w:tab/>
      </w:r>
      <w:r>
        <w:rPr>
          <w:rFonts w:ascii="Arial" w:hAnsi="Arial"/>
        </w:rPr>
        <w:t>1703</w:t>
      </w:r>
    </w:p>
    <w:p>
      <w:pPr>
        <w:pStyle w:val="TOC2"/>
        <w:widowControl/>
        <w:tabs>
          <w:tab w:pos="8856" w:val="right" w:leader="dot"/>
        </w:tabs>
      </w:pPr>
      <w:hyperlink w:anchor="_NAESTMA_TOC_3021" w:history="1">
        <w:r>
          <w:rPr>
            <w:color w:val="466B7A"/>
          </w:rPr>
          <w:t>CH-12. Healthcare Equivalence Principle</w:t>
        </w:r>
      </w:hyperlink>
      <w:r>
        <w:tab/>
      </w:r>
      <w:r>
        <w:rPr>
          <w:rFonts w:ascii="Arial" w:hAnsi="Arial"/>
        </w:rPr>
        <w:t>1703</w:t>
      </w:r>
    </w:p>
    <w:p>
      <w:pPr>
        <w:pStyle w:val="TOC2"/>
        <w:widowControl/>
        <w:tabs>
          <w:tab w:pos="8856" w:val="right" w:leader="dot"/>
        </w:tabs>
      </w:pPr>
      <w:hyperlink w:anchor="_NAESTMA_TOC_3022" w:history="1">
        <w:r>
          <w:rPr>
            <w:color w:val="466B7A"/>
          </w:rPr>
          <w:t>CH-13. Emergency Medical Response</w:t>
        </w:r>
      </w:hyperlink>
      <w:r>
        <w:tab/>
      </w:r>
      <w:r>
        <w:rPr>
          <w:rFonts w:ascii="Arial" w:hAnsi="Arial"/>
        </w:rPr>
        <w:t>1703</w:t>
      </w:r>
    </w:p>
    <w:p>
      <w:pPr>
        <w:pStyle w:val="TOC2"/>
        <w:widowControl/>
        <w:tabs>
          <w:tab w:pos="8856" w:val="right" w:leader="dot"/>
        </w:tabs>
      </w:pPr>
      <w:hyperlink w:anchor="_NAESTMA_TOC_3023" w:history="1">
        <w:r>
          <w:rPr>
            <w:color w:val="466B7A"/>
          </w:rPr>
          <w:t>CH-14. Medication Continuity</w:t>
        </w:r>
      </w:hyperlink>
      <w:r>
        <w:tab/>
      </w:r>
      <w:r>
        <w:rPr>
          <w:rFonts w:ascii="Arial" w:hAnsi="Arial"/>
        </w:rPr>
        <w:t>1703</w:t>
      </w:r>
    </w:p>
    <w:p>
      <w:pPr>
        <w:pStyle w:val="TOC2"/>
        <w:widowControl/>
        <w:tabs>
          <w:tab w:pos="8856" w:val="right" w:leader="dot"/>
        </w:tabs>
      </w:pPr>
      <w:hyperlink w:anchor="_NAESTMA_TOC_3024" w:history="1">
        <w:r>
          <w:rPr>
            <w:color w:val="466B7A"/>
          </w:rPr>
          <w:t>CH-15. Mental Health, Suicide Prevention, and Crisis Care</w:t>
        </w:r>
      </w:hyperlink>
      <w:r>
        <w:tab/>
      </w:r>
      <w:r>
        <w:rPr>
          <w:rFonts w:ascii="Arial" w:hAnsi="Arial"/>
        </w:rPr>
        <w:t>1703</w:t>
      </w:r>
    </w:p>
    <w:p>
      <w:pPr>
        <w:pStyle w:val="TOC2"/>
        <w:widowControl/>
        <w:tabs>
          <w:tab w:pos="8856" w:val="right" w:leader="dot"/>
        </w:tabs>
      </w:pPr>
      <w:hyperlink w:anchor="_NAESTMA_TOC_3025" w:history="1">
        <w:r>
          <w:rPr>
            <w:color w:val="466B7A"/>
          </w:rPr>
          <w:t>CH-16. Disability Accommodation</w:t>
        </w:r>
      </w:hyperlink>
      <w:r>
        <w:tab/>
      </w:r>
      <w:r>
        <w:rPr>
          <w:rFonts w:ascii="Arial" w:hAnsi="Arial"/>
        </w:rPr>
        <w:t>1704</w:t>
      </w:r>
    </w:p>
    <w:p>
      <w:pPr>
        <w:pStyle w:val="TOC2"/>
        <w:widowControl/>
        <w:tabs>
          <w:tab w:pos="8856" w:val="right" w:leader="dot"/>
        </w:tabs>
      </w:pPr>
      <w:hyperlink w:anchor="_NAESTMA_TOC_3026" w:history="1">
        <w:r>
          <w:rPr>
            <w:color w:val="466B7A"/>
          </w:rPr>
          <w:t>CH-17. Protection from Violence, Sexual Abuse, Trafficking, and Extortion</w:t>
        </w:r>
      </w:hyperlink>
      <w:r>
        <w:tab/>
      </w:r>
      <w:r>
        <w:rPr>
          <w:rFonts w:ascii="Arial" w:hAnsi="Arial"/>
        </w:rPr>
        <w:t>1704</w:t>
      </w:r>
    </w:p>
    <w:p>
      <w:pPr>
        <w:pStyle w:val="TOC2"/>
        <w:widowControl/>
        <w:tabs>
          <w:tab w:pos="8856" w:val="right" w:leader="dot"/>
        </w:tabs>
      </w:pPr>
      <w:hyperlink w:anchor="_NAESTMA_TOC_3027" w:history="1">
        <w:r>
          <w:rPr>
            <w:color w:val="466B7A"/>
          </w:rPr>
          <w:t>CH-18. Use of Force</w:t>
        </w:r>
      </w:hyperlink>
      <w:r>
        <w:tab/>
      </w:r>
      <w:r>
        <w:rPr>
          <w:rFonts w:ascii="Arial" w:hAnsi="Arial"/>
        </w:rPr>
        <w:t>1704</w:t>
      </w:r>
    </w:p>
    <w:p>
      <w:pPr>
        <w:pStyle w:val="TOC2"/>
        <w:widowControl/>
        <w:tabs>
          <w:tab w:pos="8856" w:val="right" w:leader="dot"/>
        </w:tabs>
      </w:pPr>
      <w:hyperlink w:anchor="_NAESTMA_TOC_3028" w:history="1">
        <w:r>
          <w:rPr>
            <w:color w:val="466B7A"/>
          </w:rPr>
          <w:t>CH-19. Restraints</w:t>
        </w:r>
      </w:hyperlink>
      <w:r>
        <w:tab/>
      </w:r>
      <w:r>
        <w:rPr>
          <w:rFonts w:ascii="Arial" w:hAnsi="Arial"/>
        </w:rPr>
        <w:t>1704</w:t>
      </w:r>
    </w:p>
    <w:p>
      <w:pPr>
        <w:pStyle w:val="TOC2"/>
        <w:widowControl/>
        <w:tabs>
          <w:tab w:pos="8856" w:val="right" w:leader="dot"/>
        </w:tabs>
      </w:pPr>
      <w:hyperlink w:anchor="_NAESTMA_TOC_3029" w:history="1">
        <w:r>
          <w:rPr>
            <w:color w:val="466B7A"/>
          </w:rPr>
          <w:t>CH-20. Definition of Solitary Confinement</w:t>
        </w:r>
      </w:hyperlink>
      <w:r>
        <w:tab/>
      </w:r>
      <w:r>
        <w:rPr>
          <w:rFonts w:ascii="Arial" w:hAnsi="Arial"/>
        </w:rPr>
        <w:t>1704</w:t>
      </w:r>
    </w:p>
    <w:p>
      <w:pPr>
        <w:pStyle w:val="TOC2"/>
        <w:widowControl/>
        <w:tabs>
          <w:tab w:pos="8856" w:val="right" w:leader="dot"/>
        </w:tabs>
      </w:pPr>
      <w:hyperlink w:anchor="_NAESTMA_TOC_3030" w:history="1">
        <w:r>
          <w:rPr>
            <w:color w:val="466B7A"/>
          </w:rPr>
          <w:t>CH-21. Restrictive Housing as Exceptional Measure</w:t>
        </w:r>
      </w:hyperlink>
      <w:r>
        <w:tab/>
      </w:r>
      <w:r>
        <w:rPr>
          <w:rFonts w:ascii="Arial" w:hAnsi="Arial"/>
        </w:rPr>
        <w:t>1704</w:t>
      </w:r>
    </w:p>
    <w:p>
      <w:pPr>
        <w:pStyle w:val="TOC2"/>
        <w:widowControl/>
        <w:tabs>
          <w:tab w:pos="8856" w:val="right" w:leader="dot"/>
        </w:tabs>
      </w:pPr>
      <w:hyperlink w:anchor="_NAESTMA_TOC_3031" w:history="1">
        <w:r>
          <w:rPr>
            <w:color w:val="466B7A"/>
          </w:rPr>
          <w:t>CH-22. Prolonged and Indefinite Solitary Confinement</w:t>
        </w:r>
      </w:hyperlink>
      <w:r>
        <w:tab/>
      </w:r>
      <w:r>
        <w:rPr>
          <w:rFonts w:ascii="Arial" w:hAnsi="Arial"/>
        </w:rPr>
        <w:t>1705</w:t>
      </w:r>
    </w:p>
    <w:p>
      <w:pPr>
        <w:pStyle w:val="TOC2"/>
        <w:widowControl/>
        <w:tabs>
          <w:tab w:pos="8856" w:val="right" w:leader="dot"/>
        </w:tabs>
      </w:pPr>
      <w:hyperlink w:anchor="_NAESTMA_TOC_3032" w:history="1">
        <w:r>
          <w:rPr>
            <w:color w:val="466B7A"/>
          </w:rPr>
          <w:t>CH-23. Restrictive-Housing Living Conditions</w:t>
        </w:r>
      </w:hyperlink>
      <w:r>
        <w:tab/>
      </w:r>
      <w:r>
        <w:rPr>
          <w:rFonts w:ascii="Arial" w:hAnsi="Arial"/>
        </w:rPr>
        <w:t>1705</w:t>
      </w:r>
    </w:p>
    <w:p>
      <w:pPr>
        <w:pStyle w:val="TOC2"/>
        <w:widowControl/>
        <w:tabs>
          <w:tab w:pos="8856" w:val="right" w:leader="dot"/>
        </w:tabs>
      </w:pPr>
      <w:hyperlink w:anchor="_NAESTMA_TOC_3033" w:history="1">
        <w:r>
          <w:rPr>
            <w:color w:val="466B7A"/>
          </w:rPr>
          <w:t>CH-24. Family Contact</w:t>
        </w:r>
      </w:hyperlink>
      <w:r>
        <w:tab/>
      </w:r>
      <w:r>
        <w:rPr>
          <w:rFonts w:ascii="Arial" w:hAnsi="Arial"/>
        </w:rPr>
        <w:t>1705</w:t>
      </w:r>
    </w:p>
    <w:p>
      <w:pPr>
        <w:pStyle w:val="TOC2"/>
        <w:widowControl/>
        <w:tabs>
          <w:tab w:pos="8856" w:val="right" w:leader="dot"/>
        </w:tabs>
      </w:pPr>
      <w:hyperlink w:anchor="_NAESTMA_TOC_3034" w:history="1">
        <w:r>
          <w:rPr>
            <w:color w:val="466B7A"/>
          </w:rPr>
          <w:t>CH-25. Children and Family Relationships</w:t>
        </w:r>
      </w:hyperlink>
      <w:r>
        <w:tab/>
      </w:r>
      <w:r>
        <w:rPr>
          <w:rFonts w:ascii="Arial" w:hAnsi="Arial"/>
        </w:rPr>
        <w:t>1705</w:t>
      </w:r>
    </w:p>
    <w:p>
      <w:pPr>
        <w:pStyle w:val="TOC2"/>
        <w:widowControl/>
        <w:tabs>
          <w:tab w:pos="8856" w:val="right" w:leader="dot"/>
        </w:tabs>
      </w:pPr>
      <w:hyperlink w:anchor="_NAESTMA_TOC_3035" w:history="1">
        <w:r>
          <w:rPr>
            <w:color w:val="466B7A"/>
          </w:rPr>
          <w:t>CH-26. Legal Counsel and Privileged Communication</w:t>
        </w:r>
      </w:hyperlink>
      <w:r>
        <w:tab/>
      </w:r>
      <w:r>
        <w:rPr>
          <w:rFonts w:ascii="Arial" w:hAnsi="Arial"/>
        </w:rPr>
        <w:t>1705</w:t>
      </w:r>
    </w:p>
    <w:p>
      <w:pPr>
        <w:pStyle w:val="TOC2"/>
        <w:widowControl/>
        <w:tabs>
          <w:tab w:pos="8856" w:val="right" w:leader="dot"/>
        </w:tabs>
      </w:pPr>
      <w:hyperlink w:anchor="_NAESTMA_TOC_3036" w:history="1">
        <w:r>
          <w:rPr>
            <w:color w:val="466B7A"/>
          </w:rPr>
          <w:t>CH-27. Legal Information</w:t>
        </w:r>
      </w:hyperlink>
      <w:r>
        <w:tab/>
      </w:r>
      <w:r>
        <w:rPr>
          <w:rFonts w:ascii="Arial" w:hAnsi="Arial"/>
        </w:rPr>
        <w:t>1705</w:t>
      </w:r>
    </w:p>
    <w:p>
      <w:pPr>
        <w:pStyle w:val="TOC2"/>
        <w:widowControl/>
        <w:tabs>
          <w:tab w:pos="8856" w:val="right" w:leader="dot"/>
        </w:tabs>
      </w:pPr>
      <w:hyperlink w:anchor="_NAESTMA_TOC_3037" w:history="1">
        <w:r>
          <w:rPr>
            <w:color w:val="466B7A"/>
          </w:rPr>
          <w:t>CH-28. Disciplinary Fairness</w:t>
        </w:r>
      </w:hyperlink>
      <w:r>
        <w:tab/>
      </w:r>
      <w:r>
        <w:rPr>
          <w:rFonts w:ascii="Arial" w:hAnsi="Arial"/>
        </w:rPr>
        <w:t>1706</w:t>
      </w:r>
    </w:p>
    <w:p>
      <w:pPr>
        <w:pStyle w:val="TOC2"/>
        <w:widowControl/>
        <w:tabs>
          <w:tab w:pos="8856" w:val="right" w:leader="dot"/>
        </w:tabs>
      </w:pPr>
      <w:hyperlink w:anchor="_NAESTMA_TOC_3038" w:history="1">
        <w:r>
          <w:rPr>
            <w:color w:val="466B7A"/>
          </w:rPr>
          <w:t>CH-29. Complaint, Whistleblower, and Anti-Retaliation Protection</w:t>
        </w:r>
      </w:hyperlink>
      <w:r>
        <w:tab/>
      </w:r>
      <w:r>
        <w:rPr>
          <w:rFonts w:ascii="Arial" w:hAnsi="Arial"/>
        </w:rPr>
        <w:t>1706</w:t>
      </w:r>
    </w:p>
    <w:p>
      <w:pPr>
        <w:pStyle w:val="TOC2"/>
        <w:widowControl/>
        <w:tabs>
          <w:tab w:pos="8856" w:val="right" w:leader="dot"/>
        </w:tabs>
      </w:pPr>
      <w:hyperlink w:anchor="_NAESTMA_TOC_3039" w:history="1">
        <w:r>
          <w:rPr>
            <w:color w:val="466B7A"/>
          </w:rPr>
          <w:t>CH-30. Independent Inspection and Oversight</w:t>
        </w:r>
      </w:hyperlink>
      <w:r>
        <w:tab/>
      </w:r>
      <w:r>
        <w:rPr>
          <w:rFonts w:ascii="Arial" w:hAnsi="Arial"/>
        </w:rPr>
        <w:t>1706</w:t>
      </w:r>
    </w:p>
    <w:p>
      <w:pPr>
        <w:pStyle w:val="TOC2"/>
        <w:widowControl/>
        <w:tabs>
          <w:tab w:pos="8856" w:val="right" w:leader="dot"/>
        </w:tabs>
      </w:pPr>
      <w:hyperlink w:anchor="_NAESTMA_TOC_3040" w:history="1">
        <w:r>
          <w:rPr>
            <w:color w:val="466B7A"/>
          </w:rPr>
          <w:t>CH-31. Deaths, Serious Injuries, and Grave Incidents</w:t>
        </w:r>
      </w:hyperlink>
      <w:r>
        <w:tab/>
      </w:r>
      <w:r>
        <w:rPr>
          <w:rFonts w:ascii="Arial" w:hAnsi="Arial"/>
        </w:rPr>
        <w:t>1706</w:t>
      </w:r>
    </w:p>
    <w:p>
      <w:pPr>
        <w:pStyle w:val="TOC2"/>
        <w:widowControl/>
        <w:tabs>
          <w:tab w:pos="8856" w:val="right" w:leader="dot"/>
        </w:tabs>
      </w:pPr>
      <w:hyperlink w:anchor="_NAESTMA_TOC_3041" w:history="1">
        <w:r>
          <w:rPr>
            <w:color w:val="466B7A"/>
          </w:rPr>
          <w:t>CH-32. Fire, Disaster, and Emergency Preparedness</w:t>
        </w:r>
      </w:hyperlink>
      <w:r>
        <w:tab/>
      </w:r>
      <w:r>
        <w:rPr>
          <w:rFonts w:ascii="Arial" w:hAnsi="Arial"/>
        </w:rPr>
        <w:t>1706</w:t>
      </w:r>
    </w:p>
    <w:p>
      <w:pPr>
        <w:pStyle w:val="TOC2"/>
        <w:widowControl/>
        <w:tabs>
          <w:tab w:pos="8856" w:val="right" w:leader="dot"/>
        </w:tabs>
      </w:pPr>
      <w:hyperlink w:anchor="_NAESTMA_TOC_3042" w:history="1">
        <w:r>
          <w:rPr>
            <w:color w:val="466B7A"/>
          </w:rPr>
          <w:t>CH-33. Religion, Culture, and Language</w:t>
        </w:r>
      </w:hyperlink>
      <w:r>
        <w:tab/>
      </w:r>
      <w:r>
        <w:rPr>
          <w:rFonts w:ascii="Arial" w:hAnsi="Arial"/>
        </w:rPr>
        <w:t>1706</w:t>
      </w:r>
    </w:p>
    <w:p>
      <w:pPr>
        <w:pStyle w:val="TOC2"/>
        <w:widowControl/>
        <w:tabs>
          <w:tab w:pos="8856" w:val="right" w:leader="dot"/>
        </w:tabs>
      </w:pPr>
      <w:hyperlink w:anchor="_NAESTMA_TOC_3043" w:history="1">
        <w:r>
          <w:rPr>
            <w:color w:val="466B7A"/>
          </w:rPr>
          <w:t>CH-34. Private Contractors and Outsourced Custody</w:t>
        </w:r>
      </w:hyperlink>
      <w:r>
        <w:tab/>
      </w:r>
      <w:r>
        <w:rPr>
          <w:rFonts w:ascii="Arial" w:hAnsi="Arial"/>
        </w:rPr>
        <w:t>1707</w:t>
      </w:r>
    </w:p>
    <w:p>
      <w:pPr>
        <w:pStyle w:val="TOC2"/>
        <w:widowControl/>
        <w:tabs>
          <w:tab w:pos="8856" w:val="right" w:leader="dot"/>
        </w:tabs>
      </w:pPr>
      <w:hyperlink w:anchor="_NAESTMA_TOC_3044" w:history="1">
        <w:r>
          <w:rPr>
            <w:color w:val="466B7A"/>
          </w:rPr>
          <w:t>CH-35. Transfer and Relabelling Firewall</w:t>
        </w:r>
      </w:hyperlink>
      <w:r>
        <w:tab/>
      </w:r>
      <w:r>
        <w:rPr>
          <w:rFonts w:ascii="Arial" w:hAnsi="Arial"/>
        </w:rPr>
        <w:t>1707</w:t>
      </w:r>
    </w:p>
    <w:p>
      <w:pPr>
        <w:pStyle w:val="TOC2"/>
        <w:widowControl/>
        <w:tabs>
          <w:tab w:pos="8856" w:val="right" w:leader="dot"/>
        </w:tabs>
      </w:pPr>
      <w:hyperlink w:anchor="_NAESTMA_TOC_3045" w:history="1">
        <w:r>
          <w:rPr>
            <w:color w:val="466B7A"/>
          </w:rPr>
          <w:t>CH-36. Pretrial and Unconvicted Persons</w:t>
        </w:r>
      </w:hyperlink>
      <w:r>
        <w:tab/>
      </w:r>
      <w:r>
        <w:rPr>
          <w:rFonts w:ascii="Arial" w:hAnsi="Arial"/>
        </w:rPr>
        <w:t>1707</w:t>
      </w:r>
    </w:p>
    <w:p>
      <w:pPr>
        <w:pStyle w:val="TOC2"/>
        <w:widowControl/>
        <w:tabs>
          <w:tab w:pos="8856" w:val="right" w:leader="dot"/>
        </w:tabs>
      </w:pPr>
      <w:hyperlink w:anchor="_NAESTMA_TOC_3046" w:history="1">
        <w:r>
          <w:rPr>
            <w:color w:val="466B7A"/>
          </w:rPr>
          <w:t>CH-37. Correctional Staff Safety and Dignity</w:t>
        </w:r>
      </w:hyperlink>
      <w:r>
        <w:tab/>
      </w:r>
      <w:r>
        <w:rPr>
          <w:rFonts w:ascii="Arial" w:hAnsi="Arial"/>
        </w:rPr>
        <w:t>1707</w:t>
      </w:r>
    </w:p>
    <w:p>
      <w:pPr>
        <w:pStyle w:val="TOC2"/>
        <w:widowControl/>
        <w:tabs>
          <w:tab w:pos="8856" w:val="right" w:leader="dot"/>
        </w:tabs>
      </w:pPr>
      <w:hyperlink w:anchor="_NAESTMA_TOC_3047" w:history="1">
        <w:r>
          <w:rPr>
            <w:color w:val="466B7A"/>
          </w:rPr>
          <w:t>CH-38. Emergency Safety Authority</w:t>
        </w:r>
      </w:hyperlink>
      <w:r>
        <w:tab/>
      </w:r>
      <w:r>
        <w:rPr>
          <w:rFonts w:ascii="Arial" w:hAnsi="Arial"/>
        </w:rPr>
        <w:t>1707</w:t>
      </w:r>
    </w:p>
    <w:p>
      <w:pPr>
        <w:pStyle w:val="TOC2"/>
        <w:widowControl/>
        <w:tabs>
          <w:tab w:pos="8856" w:val="right" w:leader="dot"/>
        </w:tabs>
      </w:pPr>
      <w:hyperlink w:anchor="_NAESTMA_TOC_3048" w:history="1">
        <w:r>
          <w:rPr>
            <w:color w:val="466B7A"/>
          </w:rPr>
          <w:t>CH-39. Emergency Sunset and Restoration</w:t>
        </w:r>
      </w:hyperlink>
      <w:r>
        <w:tab/>
      </w:r>
      <w:r>
        <w:rPr>
          <w:rFonts w:ascii="Arial" w:hAnsi="Arial"/>
        </w:rPr>
        <w:t>1707</w:t>
      </w:r>
    </w:p>
    <w:p>
      <w:pPr>
        <w:pStyle w:val="TOC2"/>
        <w:widowControl/>
        <w:tabs>
          <w:tab w:pos="8856" w:val="right" w:leader="dot"/>
        </w:tabs>
      </w:pPr>
      <w:hyperlink w:anchor="_NAESTMA_TOC_3049" w:history="1">
        <w:r>
          <w:rPr>
            <w:color w:val="466B7A"/>
          </w:rPr>
          <w:t>CH-40. Federalism and Constitutional Implementation</w:t>
        </w:r>
      </w:hyperlink>
      <w:r>
        <w:tab/>
      </w:r>
      <w:r>
        <w:rPr>
          <w:rFonts w:ascii="Arial" w:hAnsi="Arial"/>
        </w:rPr>
        <w:t>1708</w:t>
      </w:r>
    </w:p>
    <w:p>
      <w:pPr>
        <w:pStyle w:val="TOC2"/>
        <w:widowControl/>
        <w:tabs>
          <w:tab w:pos="8856" w:val="right" w:leader="dot"/>
        </w:tabs>
      </w:pPr>
      <w:hyperlink w:anchor="_NAESTMA_TOC_3050" w:history="1">
        <w:r>
          <w:rPr>
            <w:color w:val="466B7A"/>
          </w:rPr>
          <w:t>CH-41. Higher Domestic Protection Preserved</w:t>
        </w:r>
      </w:hyperlink>
      <w:r>
        <w:tab/>
      </w:r>
      <w:r>
        <w:rPr>
          <w:rFonts w:ascii="Arial" w:hAnsi="Arial"/>
        </w:rPr>
        <w:t>1708</w:t>
      </w:r>
    </w:p>
    <w:p>
      <w:pPr>
        <w:pStyle w:val="TOC2"/>
        <w:widowControl/>
        <w:tabs>
          <w:tab w:pos="8856" w:val="right" w:leader="dot"/>
        </w:tabs>
      </w:pPr>
      <w:hyperlink w:anchor="_NAESTMA_TOC_3051" w:history="1">
        <w:r>
          <w:rPr>
            <w:color w:val="466B7A"/>
          </w:rPr>
          <w:t>CH-42. No Private Right Created Solely by NAESTMA</w:t>
        </w:r>
      </w:hyperlink>
      <w:r>
        <w:tab/>
      </w:r>
      <w:r>
        <w:rPr>
          <w:rFonts w:ascii="Arial" w:hAnsi="Arial"/>
        </w:rPr>
        <w:t>1708</w:t>
      </w:r>
    </w:p>
    <w:p>
      <w:pPr>
        <w:pStyle w:val="TOC2"/>
        <w:widowControl/>
        <w:tabs>
          <w:tab w:pos="8856" w:val="right" w:leader="dot"/>
        </w:tabs>
      </w:pPr>
      <w:hyperlink w:anchor="_NAESTMA_TOC_3052" w:history="1">
        <w:r>
          <w:rPr>
            <w:color w:val="466B7A"/>
          </w:rPr>
          <w:t>CH-43. Human Rights Cannot Be Trade Collateral</w:t>
        </w:r>
      </w:hyperlink>
      <w:r>
        <w:tab/>
      </w:r>
      <w:r>
        <w:rPr>
          <w:rFonts w:ascii="Arial" w:hAnsi="Arial"/>
        </w:rPr>
        <w:t>1708</w:t>
      </w:r>
    </w:p>
    <w:p>
      <w:pPr>
        <w:pStyle w:val="TOC2"/>
        <w:widowControl/>
        <w:tabs>
          <w:tab w:pos="8856" w:val="right" w:leader="dot"/>
        </w:tabs>
      </w:pPr>
      <w:hyperlink w:anchor="_NAESTMA_TOC_3053" w:history="1">
        <w:r>
          <w:rPr>
            <w:color w:val="466B7A"/>
          </w:rPr>
          <w:t>CH-44. Systemic-Failure Threshold for Intergovernmental Enforcement</w:t>
        </w:r>
      </w:hyperlink>
      <w:r>
        <w:tab/>
      </w:r>
      <w:r>
        <w:rPr>
          <w:rFonts w:ascii="Arial" w:hAnsi="Arial"/>
        </w:rPr>
        <w:t>1708</w:t>
      </w:r>
    </w:p>
    <w:p>
      <w:pPr>
        <w:pStyle w:val="TOC2"/>
        <w:widowControl/>
        <w:tabs>
          <w:tab w:pos="8856" w:val="right" w:leader="dot"/>
        </w:tabs>
      </w:pPr>
      <w:hyperlink w:anchor="_NAESTMA_TOC_3054" w:history="1">
        <w:r>
          <w:rPr>
            <w:color w:val="466B7A"/>
          </w:rPr>
          <w:t>CH-45. Cure Before Economic Consequence</w:t>
        </w:r>
      </w:hyperlink>
      <w:r>
        <w:tab/>
      </w:r>
      <w:r>
        <w:rPr>
          <w:rFonts w:ascii="Arial" w:hAnsi="Arial"/>
        </w:rPr>
        <w:t>1708</w:t>
      </w:r>
    </w:p>
    <w:p>
      <w:pPr>
        <w:pStyle w:val="TOC2"/>
        <w:widowControl/>
        <w:tabs>
          <w:tab w:pos="8856" w:val="right" w:leader="dot"/>
        </w:tabs>
      </w:pPr>
      <w:hyperlink w:anchor="_NAESTMA_TOC_3055" w:history="1">
        <w:r>
          <w:rPr>
            <w:color w:val="466B7A"/>
          </w:rPr>
          <w:t>CH-46. Grave-Abuse Accelerator</w:t>
        </w:r>
      </w:hyperlink>
      <w:r>
        <w:tab/>
      </w:r>
      <w:r>
        <w:rPr>
          <w:rFonts w:ascii="Arial" w:hAnsi="Arial"/>
        </w:rPr>
        <w:t>1709</w:t>
      </w:r>
    </w:p>
    <w:p>
      <w:pPr>
        <w:pStyle w:val="TOC2"/>
        <w:widowControl/>
        <w:tabs>
          <w:tab w:pos="8856" w:val="right" w:leader="dot"/>
        </w:tabs>
      </w:pPr>
      <w:hyperlink w:anchor="_NAESTMA_TOC_3056" w:history="1">
        <w:r>
          <w:rPr>
            <w:color w:val="466B7A"/>
          </w:rPr>
          <w:t>CH-47. Data, Reporting, and Privacy</w:t>
        </w:r>
      </w:hyperlink>
      <w:r>
        <w:tab/>
      </w:r>
      <w:r>
        <w:rPr>
          <w:rFonts w:ascii="Arial" w:hAnsi="Arial"/>
        </w:rPr>
        <w:t>1709</w:t>
      </w:r>
    </w:p>
    <w:p>
      <w:pPr>
        <w:pStyle w:val="TOC2"/>
        <w:widowControl/>
        <w:tabs>
          <w:tab w:pos="8856" w:val="right" w:leader="dot"/>
        </w:tabs>
      </w:pPr>
      <w:hyperlink w:anchor="_NAESTMA_TOC_3057" w:history="1">
        <w:r>
          <w:rPr>
            <w:color w:val="466B7A"/>
          </w:rPr>
          <w:t>CH-48. No New Supranational Prison Authority</w:t>
        </w:r>
      </w:hyperlink>
      <w:r>
        <w:tab/>
      </w:r>
      <w:r>
        <w:rPr>
          <w:rFonts w:ascii="Arial" w:hAnsi="Arial"/>
        </w:rPr>
        <w:t>1709</w:t>
      </w:r>
    </w:p>
    <w:p>
      <w:pPr>
        <w:pStyle w:val="TOC1"/>
        <w:widowControl/>
        <w:tabs>
          <w:tab w:pos="8856" w:val="right" w:leader="dot"/>
        </w:tabs>
      </w:pPr>
      <w:hyperlink w:anchor="_NAESTMA_TOC_3058" w:history="1">
        <w:r>
          <w:rPr>
            <w:color w:val="233746"/>
          </w:rPr>
          <w:t>PACKAGE CI — FLEXIBLE SAFE-CORRECTIONS IMPLEMENTATION STANDARDS…</w:t>
        </w:r>
      </w:hyperlink>
      <w:r>
        <w:tab/>
      </w:r>
      <w:r>
        <w:rPr>
          <w:rFonts w:ascii="Arial" w:hAnsi="Arial"/>
        </w:rPr>
        <w:t>1710</w:t>
      </w:r>
    </w:p>
    <w:p>
      <w:pPr>
        <w:pStyle w:val="TOC2"/>
        <w:widowControl/>
        <w:tabs>
          <w:tab w:pos="8856" w:val="right" w:leader="dot"/>
        </w:tabs>
      </w:pPr>
      <w:hyperlink w:anchor="_NAESTMA_TOC_3059" w:history="1">
        <w:r>
          <w:rPr>
            <w:color w:val="466B7A"/>
          </w:rPr>
          <w:t>CI-1. Governing Principle</w:t>
        </w:r>
      </w:hyperlink>
      <w:r>
        <w:tab/>
      </w:r>
      <w:r>
        <w:rPr>
          <w:rFonts w:ascii="Arial" w:hAnsi="Arial"/>
        </w:rPr>
        <w:t>1710</w:t>
      </w:r>
    </w:p>
    <w:p>
      <w:pPr>
        <w:pStyle w:val="TOC2"/>
        <w:widowControl/>
        <w:tabs>
          <w:tab w:pos="8856" w:val="right" w:leader="dot"/>
        </w:tabs>
      </w:pPr>
      <w:hyperlink w:anchor="_NAESTMA_TOC_3060" w:history="1">
        <w:r>
          <w:rPr>
            <w:color w:val="466B7A"/>
          </w:rPr>
          <w:t>CI-2. Nutritional Governance</w:t>
        </w:r>
      </w:hyperlink>
      <w:r>
        <w:tab/>
      </w:r>
      <w:r>
        <w:rPr>
          <w:rFonts w:ascii="Arial" w:hAnsi="Arial"/>
        </w:rPr>
        <w:t>1710</w:t>
      </w:r>
    </w:p>
    <w:p>
      <w:pPr>
        <w:pStyle w:val="TOC2"/>
        <w:widowControl/>
        <w:tabs>
          <w:tab w:pos="8856" w:val="right" w:leader="dot"/>
        </w:tabs>
      </w:pPr>
      <w:hyperlink w:anchor="_NAESTMA_TOC_3061" w:history="1">
        <w:r>
          <w:rPr>
            <w:color w:val="466B7A"/>
          </w:rPr>
          <w:t>CI-3. Specialist Healthcare and Telemedicine</w:t>
        </w:r>
      </w:hyperlink>
      <w:r>
        <w:tab/>
      </w:r>
      <w:r>
        <w:rPr>
          <w:rFonts w:ascii="Arial" w:hAnsi="Arial"/>
        </w:rPr>
        <w:t>1710</w:t>
      </w:r>
    </w:p>
    <w:p>
      <w:pPr>
        <w:pStyle w:val="TOC2"/>
        <w:widowControl/>
        <w:tabs>
          <w:tab w:pos="8856" w:val="right" w:leader="dot"/>
        </w:tabs>
      </w:pPr>
      <w:hyperlink w:anchor="_NAESTMA_TOC_3062" w:history="1">
        <w:r>
          <w:rPr>
            <w:color w:val="466B7A"/>
          </w:rPr>
          <w:t>CI-4. Addiction Treatment and Overdose Prevention</w:t>
        </w:r>
      </w:hyperlink>
      <w:r>
        <w:tab/>
      </w:r>
      <w:r>
        <w:rPr>
          <w:rFonts w:ascii="Arial" w:hAnsi="Arial"/>
        </w:rPr>
        <w:t>1710</w:t>
      </w:r>
    </w:p>
    <w:p>
      <w:pPr>
        <w:pStyle w:val="TOC2"/>
        <w:widowControl/>
        <w:tabs>
          <w:tab w:pos="8856" w:val="right" w:leader="dot"/>
        </w:tabs>
      </w:pPr>
      <w:hyperlink w:anchor="_NAESTMA_TOC_3063" w:history="1">
        <w:r>
          <w:rPr>
            <w:color w:val="466B7A"/>
          </w:rPr>
          <w:t>CI-5. Hospice, Palliative, Geriatric, and Complex Care</w:t>
        </w:r>
      </w:hyperlink>
      <w:r>
        <w:tab/>
      </w:r>
      <w:r>
        <w:rPr>
          <w:rFonts w:ascii="Arial" w:hAnsi="Arial"/>
        </w:rPr>
        <w:t>1710</w:t>
      </w:r>
    </w:p>
    <w:p>
      <w:pPr>
        <w:pStyle w:val="TOC2"/>
        <w:widowControl/>
        <w:tabs>
          <w:tab w:pos="8856" w:val="right" w:leader="dot"/>
        </w:tabs>
      </w:pPr>
      <w:hyperlink w:anchor="_NAESTMA_TOC_3064" w:history="1">
        <w:r>
          <w:rPr>
            <w:color w:val="466B7A"/>
          </w:rPr>
          <w:t>CI-6. Exercise and Outdoor Access</w:t>
        </w:r>
      </w:hyperlink>
      <w:r>
        <w:tab/>
      </w:r>
      <w:r>
        <w:rPr>
          <w:rFonts w:ascii="Arial" w:hAnsi="Arial"/>
        </w:rPr>
        <w:t>1710</w:t>
      </w:r>
    </w:p>
    <w:p>
      <w:pPr>
        <w:pStyle w:val="TOC2"/>
        <w:widowControl/>
        <w:tabs>
          <w:tab w:pos="8856" w:val="right" w:leader="dot"/>
        </w:tabs>
      </w:pPr>
      <w:hyperlink w:anchor="_NAESTMA_TOC_3065" w:history="1">
        <w:r>
          <w:rPr>
            <w:color w:val="466B7A"/>
          </w:rPr>
          <w:t>CI-7. Foundational Education</w:t>
        </w:r>
      </w:hyperlink>
      <w:r>
        <w:tab/>
      </w:r>
      <w:r>
        <w:rPr>
          <w:rFonts w:ascii="Arial" w:hAnsi="Arial"/>
        </w:rPr>
        <w:t>1710</w:t>
      </w:r>
    </w:p>
    <w:p>
      <w:pPr>
        <w:pStyle w:val="TOC2"/>
        <w:widowControl/>
        <w:tabs>
          <w:tab w:pos="8856" w:val="right" w:leader="dot"/>
        </w:tabs>
      </w:pPr>
      <w:hyperlink w:anchor="_NAESTMA_TOC_3066" w:history="1">
        <w:r>
          <w:rPr>
            <w:color w:val="466B7A"/>
          </w:rPr>
          <w:t>CI-8. Vocational and Employability Training</w:t>
        </w:r>
      </w:hyperlink>
      <w:r>
        <w:tab/>
      </w:r>
      <w:r>
        <w:rPr>
          <w:rFonts w:ascii="Arial" w:hAnsi="Arial"/>
        </w:rPr>
        <w:t>1710</w:t>
      </w:r>
    </w:p>
    <w:p>
      <w:pPr>
        <w:pStyle w:val="TOC2"/>
        <w:widowControl/>
        <w:tabs>
          <w:tab w:pos="8856" w:val="right" w:leader="dot"/>
        </w:tabs>
      </w:pPr>
      <w:hyperlink w:anchor="_NAESTMA_TOC_3067" w:history="1">
        <w:r>
          <w:rPr>
            <w:color w:val="466B7A"/>
          </w:rPr>
          <w:t>CI-9. Libraries and Learning Materials</w:t>
        </w:r>
      </w:hyperlink>
      <w:r>
        <w:tab/>
      </w:r>
      <w:r>
        <w:rPr>
          <w:rFonts w:ascii="Arial" w:hAnsi="Arial"/>
        </w:rPr>
        <w:t>1711</w:t>
      </w:r>
    </w:p>
    <w:p>
      <w:pPr>
        <w:pStyle w:val="TOC2"/>
        <w:widowControl/>
        <w:tabs>
          <w:tab w:pos="8856" w:val="right" w:leader="dot"/>
        </w:tabs>
      </w:pPr>
      <w:hyperlink w:anchor="_NAESTMA_TOC_3068" w:history="1">
        <w:r>
          <w:rPr>
            <w:color w:val="466B7A"/>
          </w:rPr>
          <w:t>CI-10. Secure Digital Access</w:t>
        </w:r>
      </w:hyperlink>
      <w:r>
        <w:tab/>
      </w:r>
      <w:r>
        <w:rPr>
          <w:rFonts w:ascii="Arial" w:hAnsi="Arial"/>
        </w:rPr>
        <w:t>1711</w:t>
      </w:r>
    </w:p>
    <w:p>
      <w:pPr>
        <w:pStyle w:val="TOC2"/>
        <w:widowControl/>
        <w:tabs>
          <w:tab w:pos="8856" w:val="right" w:leader="dot"/>
        </w:tabs>
      </w:pPr>
      <w:hyperlink w:anchor="_NAESTMA_TOC_3069" w:history="1">
        <w:r>
          <w:rPr>
            <w:color w:val="466B7A"/>
          </w:rPr>
          <w:t>CI-11. Affordable Communication</w:t>
        </w:r>
      </w:hyperlink>
      <w:r>
        <w:tab/>
      </w:r>
      <w:r>
        <w:rPr>
          <w:rFonts w:ascii="Arial" w:hAnsi="Arial"/>
        </w:rPr>
        <w:t>1711</w:t>
      </w:r>
    </w:p>
    <w:p>
      <w:pPr>
        <w:pStyle w:val="TOC2"/>
        <w:widowControl/>
        <w:tabs>
          <w:tab w:pos="8856" w:val="right" w:leader="dot"/>
        </w:tabs>
      </w:pPr>
      <w:hyperlink w:anchor="_NAESTMA_TOC_3070" w:history="1">
        <w:r>
          <w:rPr>
            <w:color w:val="466B7A"/>
          </w:rPr>
          <w:t>CI-12. Parenting and Family Reintegration</w:t>
        </w:r>
      </w:hyperlink>
      <w:r>
        <w:tab/>
      </w:r>
      <w:r>
        <w:rPr>
          <w:rFonts w:ascii="Arial" w:hAnsi="Arial"/>
        </w:rPr>
        <w:t>1711</w:t>
      </w:r>
    </w:p>
    <w:p>
      <w:pPr>
        <w:pStyle w:val="TOC2"/>
        <w:widowControl/>
        <w:tabs>
          <w:tab w:pos="8856" w:val="right" w:leader="dot"/>
        </w:tabs>
      </w:pPr>
      <w:hyperlink w:anchor="_NAESTMA_TOC_3071" w:history="1">
        <w:r>
          <w:rPr>
            <w:color w:val="466B7A"/>
          </w:rPr>
          <w:t>CI-13. De-Escalation and Trauma-Informed Practice</w:t>
        </w:r>
      </w:hyperlink>
      <w:r>
        <w:tab/>
      </w:r>
      <w:r>
        <w:rPr>
          <w:rFonts w:ascii="Arial" w:hAnsi="Arial"/>
        </w:rPr>
        <w:t>1711</w:t>
      </w:r>
    </w:p>
    <w:p>
      <w:pPr>
        <w:pStyle w:val="TOC2"/>
        <w:widowControl/>
        <w:tabs>
          <w:tab w:pos="8856" w:val="right" w:leader="dot"/>
        </w:tabs>
      </w:pPr>
      <w:hyperlink w:anchor="_NAESTMA_TOC_3072" w:history="1">
        <w:r>
          <w:rPr>
            <w:color w:val="466B7A"/>
          </w:rPr>
          <w:t>CI-14. Staff Professionalization</w:t>
        </w:r>
      </w:hyperlink>
      <w:r>
        <w:tab/>
      </w:r>
      <w:r>
        <w:rPr>
          <w:rFonts w:ascii="Arial" w:hAnsi="Arial"/>
        </w:rPr>
        <w:t>1711</w:t>
      </w:r>
    </w:p>
    <w:p>
      <w:pPr>
        <w:pStyle w:val="TOC2"/>
        <w:widowControl/>
        <w:tabs>
          <w:tab w:pos="8856" w:val="right" w:leader="dot"/>
        </w:tabs>
      </w:pPr>
      <w:hyperlink w:anchor="_NAESTMA_TOC_3073" w:history="1">
        <w:r>
          <w:rPr>
            <w:color w:val="466B7A"/>
          </w:rPr>
          <w:t>CI-15. Violence and Organized-Crime Prevention</w:t>
        </w:r>
      </w:hyperlink>
      <w:r>
        <w:tab/>
      </w:r>
      <w:r>
        <w:rPr>
          <w:rFonts w:ascii="Arial" w:hAnsi="Arial"/>
        </w:rPr>
        <w:t>1711</w:t>
      </w:r>
    </w:p>
    <w:p>
      <w:pPr>
        <w:pStyle w:val="TOC2"/>
        <w:widowControl/>
        <w:tabs>
          <w:tab w:pos="8856" w:val="right" w:leader="dot"/>
        </w:tabs>
      </w:pPr>
      <w:hyperlink w:anchor="_NAESTMA_TOC_3074" w:history="1">
        <w:r>
          <w:rPr>
            <w:color w:val="466B7A"/>
          </w:rPr>
          <w:t>CI-16. Accessible Programming</w:t>
        </w:r>
      </w:hyperlink>
      <w:r>
        <w:tab/>
      </w:r>
      <w:r>
        <w:rPr>
          <w:rFonts w:ascii="Arial" w:hAnsi="Arial"/>
        </w:rPr>
        <w:t>1711</w:t>
      </w:r>
    </w:p>
    <w:p>
      <w:pPr>
        <w:pStyle w:val="TOC2"/>
        <w:widowControl/>
        <w:tabs>
          <w:tab w:pos="8856" w:val="right" w:leader="dot"/>
        </w:tabs>
      </w:pPr>
      <w:hyperlink w:anchor="_NAESTMA_TOC_3075" w:history="1">
        <w:r>
          <w:rPr>
            <w:color w:val="466B7A"/>
          </w:rPr>
          <w:t>CI-17. Reentry Continuity</w:t>
        </w:r>
      </w:hyperlink>
      <w:r>
        <w:tab/>
      </w:r>
      <w:r>
        <w:rPr>
          <w:rFonts w:ascii="Arial" w:hAnsi="Arial"/>
        </w:rPr>
        <w:t>1711</w:t>
      </w:r>
    </w:p>
    <w:p>
      <w:pPr>
        <w:pStyle w:val="TOC2"/>
        <w:widowControl/>
        <w:tabs>
          <w:tab w:pos="8856" w:val="right" w:leader="dot"/>
        </w:tabs>
      </w:pPr>
      <w:hyperlink w:anchor="_NAESTMA_TOC_3076" w:history="1">
        <w:r>
          <w:rPr>
            <w:color w:val="466B7A"/>
          </w:rPr>
          <w:t>CI-18. Public Transparency</w:t>
        </w:r>
      </w:hyperlink>
      <w:r>
        <w:tab/>
      </w:r>
      <w:r>
        <w:rPr>
          <w:rFonts w:ascii="Arial" w:hAnsi="Arial"/>
        </w:rPr>
        <w:t>1712</w:t>
      </w:r>
    </w:p>
    <w:p>
      <w:pPr>
        <w:pStyle w:val="TOC2"/>
        <w:widowControl/>
        <w:tabs>
          <w:tab w:pos="8856" w:val="right" w:leader="dot"/>
        </w:tabs>
      </w:pPr>
      <w:hyperlink w:anchor="_NAESTMA_TOC_3077" w:history="1">
        <w:r>
          <w:rPr>
            <w:color w:val="466B7A"/>
          </w:rPr>
          <w:t>CI-19. Prisoner Feedback Without Transfer of Command</w:t>
        </w:r>
      </w:hyperlink>
      <w:r>
        <w:tab/>
      </w:r>
      <w:r>
        <w:rPr>
          <w:rFonts w:ascii="Arial" w:hAnsi="Arial"/>
        </w:rPr>
        <w:t>1712</w:t>
      </w:r>
    </w:p>
    <w:p>
      <w:pPr>
        <w:pStyle w:val="TOC1"/>
        <w:widowControl/>
        <w:tabs>
          <w:tab w:pos="8856" w:val="right" w:leader="dot"/>
        </w:tabs>
      </w:pPr>
      <w:hyperlink w:anchor="_NAESTMA_TOC_3078" w:history="1">
        <w:r>
          <w:rPr>
            <w:color w:val="233746"/>
          </w:rPr>
          <w:t>ANNEX CH-A — OPTIONAL ADVANCED CORRECTIONAL REFORM PROTOCOL…</w:t>
        </w:r>
      </w:hyperlink>
      <w:r>
        <w:tab/>
      </w:r>
      <w:r>
        <w:rPr>
          <w:rFonts w:ascii="Arial" w:hAnsi="Arial"/>
        </w:rPr>
        <w:t>1713</w:t>
      </w:r>
    </w:p>
    <w:p>
      <w:pPr>
        <w:pStyle w:val="TOC1"/>
        <w:widowControl/>
        <w:tabs>
          <w:tab w:pos="8856" w:val="right" w:leader="dot"/>
        </w:tabs>
      </w:pPr>
      <w:hyperlink w:anchor="_NAESTMA_TOC_3079" w:history="1">
        <w:r>
          <w:rPr>
            <w:color w:val="233746"/>
          </w:rPr>
          <w:t>ANNEX CH-B — NATIONAL IMPLEMENTATION AND EXPERIMENTATION SAFE HARBOR…</w:t>
        </w:r>
      </w:hyperlink>
      <w:r>
        <w:tab/>
      </w:r>
      <w:r>
        <w:rPr>
          <w:rFonts w:ascii="Arial" w:hAnsi="Arial"/>
        </w:rPr>
        <w:t>1716</w:t>
      </w:r>
    </w:p>
    <w:p>
      <w:pPr>
        <w:pStyle w:val="TOC1"/>
        <w:widowControl/>
        <w:tabs>
          <w:tab w:pos="8856" w:val="right" w:leader="dot"/>
        </w:tabs>
      </w:pPr>
      <w:hyperlink w:anchor="_NAESTMA_TOC_3080" w:history="1">
        <w:r>
          <w:rPr>
            <w:color w:val="233746"/>
          </w:rPr>
          <w:t>PACKAGE CJ — IMPLEMENTATION, REVIEW, AND CURE…</w:t>
        </w:r>
      </w:hyperlink>
      <w:r>
        <w:tab/>
      </w:r>
      <w:r>
        <w:rPr>
          <w:rFonts w:ascii="Arial" w:hAnsi="Arial"/>
        </w:rPr>
        <w:t>1717</w:t>
      </w:r>
    </w:p>
    <w:p>
      <w:pPr>
        <w:pStyle w:val="TOC2"/>
        <w:widowControl/>
        <w:tabs>
          <w:tab w:pos="8856" w:val="right" w:leader="dot"/>
        </w:tabs>
      </w:pPr>
      <w:hyperlink w:anchor="_NAESTMA_TOC_3081" w:history="1">
        <w:r>
          <w:rPr>
            <w:color w:val="466B7A"/>
          </w:rPr>
          <w:t>CJ-1. Initial Implementation Review</w:t>
        </w:r>
      </w:hyperlink>
      <w:r>
        <w:tab/>
      </w:r>
      <w:r>
        <w:rPr>
          <w:rFonts w:ascii="Arial" w:hAnsi="Arial"/>
        </w:rPr>
        <w:t>1717</w:t>
      </w:r>
    </w:p>
    <w:p>
      <w:pPr>
        <w:pStyle w:val="TOC2"/>
        <w:widowControl/>
        <w:tabs>
          <w:tab w:pos="8856" w:val="right" w:leader="dot"/>
        </w:tabs>
      </w:pPr>
      <w:hyperlink w:anchor="_NAESTMA_TOC_3082" w:history="1">
        <w:r>
          <w:rPr>
            <w:color w:val="466B7A"/>
          </w:rPr>
          <w:t>CJ-2. Equivalence Rather Than Uniformity</w:t>
        </w:r>
      </w:hyperlink>
      <w:r>
        <w:tab/>
      </w:r>
      <w:r>
        <w:rPr>
          <w:rFonts w:ascii="Arial" w:hAnsi="Arial"/>
        </w:rPr>
        <w:t>1717</w:t>
      </w:r>
    </w:p>
    <w:p>
      <w:pPr>
        <w:pStyle w:val="TOC2"/>
        <w:widowControl/>
        <w:tabs>
          <w:tab w:pos="8856" w:val="right" w:leader="dot"/>
        </w:tabs>
      </w:pPr>
      <w:hyperlink w:anchor="_NAESTMA_TOC_3083" w:history="1">
        <w:r>
          <w:rPr>
            <w:color w:val="466B7A"/>
          </w:rPr>
          <w:t>CJ-3. Priority-Cure Categories</w:t>
        </w:r>
      </w:hyperlink>
      <w:r>
        <w:tab/>
      </w:r>
      <w:r>
        <w:rPr>
          <w:rFonts w:ascii="Arial" w:hAnsi="Arial"/>
        </w:rPr>
        <w:t>1717</w:t>
      </w:r>
    </w:p>
    <w:p>
      <w:pPr>
        <w:pStyle w:val="TOC2"/>
        <w:widowControl/>
        <w:tabs>
          <w:tab w:pos="8856" w:val="right" w:leader="dot"/>
        </w:tabs>
      </w:pPr>
      <w:hyperlink w:anchor="_NAESTMA_TOC_3084" w:history="1">
        <w:r>
          <w:rPr>
            <w:color w:val="466B7A"/>
          </w:rPr>
          <w:t>CJ-4. Cooperative Assistance</w:t>
        </w:r>
      </w:hyperlink>
      <w:r>
        <w:tab/>
      </w:r>
      <w:r>
        <w:rPr>
          <w:rFonts w:ascii="Arial" w:hAnsi="Arial"/>
        </w:rPr>
        <w:t>1717</w:t>
      </w:r>
    </w:p>
    <w:p>
      <w:pPr>
        <w:pStyle w:val="TOC2"/>
        <w:widowControl/>
        <w:tabs>
          <w:tab w:pos="8856" w:val="right" w:leader="dot"/>
        </w:tabs>
      </w:pPr>
      <w:hyperlink w:anchor="_NAESTMA_TOC_3085" w:history="1">
        <w:r>
          <w:rPr>
            <w:color w:val="466B7A"/>
          </w:rPr>
          <w:t>CJ-5. No Prisoner-Based Retaliation</w:t>
        </w:r>
      </w:hyperlink>
      <w:r>
        <w:tab/>
      </w:r>
      <w:r>
        <w:rPr>
          <w:rFonts w:ascii="Arial" w:hAnsi="Arial"/>
        </w:rPr>
        <w:t>1717</w:t>
      </w:r>
    </w:p>
    <w:p>
      <w:pPr>
        <w:pStyle w:val="TOC2"/>
        <w:widowControl/>
        <w:tabs>
          <w:tab w:pos="8856" w:val="right" w:leader="dot"/>
        </w:tabs>
      </w:pPr>
      <w:hyperlink w:anchor="_NAESTMA_TOC_3086" w:history="1">
        <w:r>
          <w:rPr>
            <w:color w:val="466B7A"/>
          </w:rPr>
          <w:t>CJ-6. Review of Optional Modules</w:t>
        </w:r>
      </w:hyperlink>
      <w:r>
        <w:tab/>
      </w:r>
      <w:r>
        <w:rPr>
          <w:rFonts w:ascii="Arial" w:hAnsi="Arial"/>
        </w:rPr>
        <w:t>1717</w:t>
      </w:r>
    </w:p>
    <w:p>
      <w:pPr>
        <w:pStyle w:val="TOC2"/>
        <w:widowControl/>
        <w:tabs>
          <w:tab w:pos="8856" w:val="right" w:leader="dot"/>
        </w:tabs>
      </w:pPr>
      <w:hyperlink w:anchor="_NAESTMA_TOC_3087" w:history="1">
        <w:r>
          <w:rPr>
            <w:color w:val="466B7A"/>
          </w:rPr>
          <w:t>CJ-7. Relationship to Other Rights</w:t>
        </w:r>
      </w:hyperlink>
      <w:r>
        <w:tab/>
      </w:r>
      <w:r>
        <w:rPr>
          <w:rFonts w:ascii="Arial" w:hAnsi="Arial"/>
        </w:rPr>
        <w:t>1717</w:t>
      </w:r>
    </w:p>
    <w:p>
      <w:pPr>
        <w:pStyle w:val="TOC1"/>
        <w:widowControl/>
        <w:tabs>
          <w:tab w:pos="8856" w:val="right" w:leader="dot"/>
        </w:tabs>
      </w:pPr>
      <w:hyperlink w:anchor="_NAESTMA_TOC_3088" w:history="1">
        <w:r>
          <w:rPr>
            <w:color w:val="233746"/>
          </w:rPr>
          <w:t>PACKAGE CK — CUSTODIAL RIGHTS ADVERSARIAL-REVIEW HARDENING AND CONFORMING PROVISIONS</w:t>
        </w:r>
      </w:hyperlink>
      <w:r>
        <w:tab/>
      </w:r>
      <w:r>
        <w:rPr>
          <w:rFonts w:ascii="Arial" w:hAnsi="Arial"/>
        </w:rPr>
        <w:t>1718</w:t>
      </w:r>
    </w:p>
    <w:p>
      <w:pPr>
        <w:pStyle w:val="TOC2"/>
        <w:widowControl/>
        <w:tabs>
          <w:tab w:pos="8856" w:val="right" w:leader="dot"/>
        </w:tabs>
      </w:pPr>
      <w:hyperlink w:anchor="_NAESTMA_TOC_3089" w:history="1">
        <w:r>
          <w:rPr>
            <w:color w:val="466B7A"/>
          </w:rPr>
          <w:t>CK-2. JUVENILES — CROSS-REFERENCE, DO NOT BUILD A SECOND CODE</w:t>
        </w:r>
      </w:hyperlink>
      <w:r>
        <w:tab/>
      </w:r>
      <w:r>
        <w:rPr>
          <w:rFonts w:ascii="Arial" w:hAnsi="Arial"/>
        </w:rPr>
        <w:t>1718</w:t>
      </w:r>
    </w:p>
    <w:p>
      <w:pPr>
        <w:pStyle w:val="TOC2"/>
        <w:widowControl/>
        <w:tabs>
          <w:tab w:pos="8856" w:val="right" w:leader="dot"/>
        </w:tabs>
      </w:pPr>
      <w:hyperlink w:anchor="_NAESTMA_TOC_3090" w:history="1">
        <w:r>
          <w:rPr>
            <w:color w:val="466B7A"/>
          </w:rPr>
          <w:t>CK-3. PRIVATE CONTRACTORS — ROUND THREE GOOD; ADD PROCUREMENT TEETH</w:t>
        </w:r>
      </w:hyperlink>
      <w:r>
        <w:tab/>
      </w:r>
      <w:r>
        <w:rPr>
          <w:rFonts w:ascii="Arial" w:hAnsi="Arial"/>
        </w:rPr>
        <w:t>1718</w:t>
      </w:r>
    </w:p>
    <w:p>
      <w:pPr>
        <w:pStyle w:val="TOC2"/>
        <w:widowControl/>
        <w:tabs>
          <w:tab w:pos="8856" w:val="right" w:leader="dot"/>
        </w:tabs>
      </w:pPr>
      <w:hyperlink w:anchor="_NAESTMA_TOC_3091" w:history="1">
        <w:r>
          <w:rPr>
            <w:color w:val="466B7A"/>
          </w:rPr>
          <w:t>CK-4. SOLITARY / RESTRICTIVE HOUSING — CLOSE THE SERIAL-RESET LOOP FURTHER</w:t>
        </w:r>
      </w:hyperlink>
      <w:r>
        <w:tab/>
      </w:r>
      <w:r>
        <w:rPr>
          <w:rFonts w:ascii="Arial" w:hAnsi="Arial"/>
        </w:rPr>
        <w:t>1718</w:t>
      </w:r>
    </w:p>
    <w:p>
      <w:pPr>
        <w:pStyle w:val="TOC2"/>
        <w:widowControl/>
        <w:tabs>
          <w:tab w:pos="8856" w:val="right" w:leader="dot"/>
        </w:tabs>
      </w:pPr>
      <w:hyperlink w:anchor="_NAESTMA_TOC_3092" w:history="1">
        <w:r>
          <w:rPr>
            <w:color w:val="466B7A"/>
          </w:rPr>
          <w:t>CK-5. EMERGENCY AUTHORITY — CLOSE THE "PERMANENT EMERGENCY" LOOP</w:t>
        </w:r>
      </w:hyperlink>
      <w:r>
        <w:tab/>
      </w:r>
      <w:r>
        <w:rPr>
          <w:rFonts w:ascii="Arial" w:hAnsi="Arial"/>
        </w:rPr>
        <w:t>1718</w:t>
      </w:r>
    </w:p>
    <w:p>
      <w:pPr>
        <w:pStyle w:val="TOC2"/>
        <w:widowControl/>
        <w:tabs>
          <w:tab w:pos="8856" w:val="right" w:leader="dot"/>
        </w:tabs>
      </w:pPr>
      <w:hyperlink w:anchor="_NAESTMA_TOC_3093" w:history="1">
        <w:r>
          <w:rPr>
            <w:color w:val="466B7A"/>
          </w:rPr>
          <w:t>CK-6. HEALTHCARE — PROTECT CLINICAL INDEPENDENCE</w:t>
        </w:r>
      </w:hyperlink>
      <w:r>
        <w:tab/>
      </w:r>
      <w:r>
        <w:rPr>
          <w:rFonts w:ascii="Arial" w:hAnsi="Arial"/>
        </w:rPr>
        <w:t>1719</w:t>
      </w:r>
    </w:p>
    <w:p>
      <w:pPr>
        <w:pStyle w:val="TOC2"/>
        <w:widowControl/>
        <w:tabs>
          <w:tab w:pos="8856" w:val="right" w:leader="dot"/>
        </w:tabs>
      </w:pPr>
      <w:hyperlink w:anchor="_NAESTMA_TOC_3094" w:history="1">
        <w:r>
          <w:rPr>
            <w:color w:val="466B7A"/>
          </w:rPr>
          <w:t>CK-7. FAMILY CONTACT — ADD ABUSE/Victim SAFETY SAFEGUARD</w:t>
        </w:r>
      </w:hyperlink>
      <w:r>
        <w:tab/>
      </w:r>
      <w:r>
        <w:rPr>
          <w:rFonts w:ascii="Arial" w:hAnsi="Arial"/>
        </w:rPr>
        <w:t>1719</w:t>
      </w:r>
    </w:p>
    <w:p>
      <w:pPr>
        <w:pStyle w:val="TOC2"/>
        <w:widowControl/>
        <w:tabs>
          <w:tab w:pos="8856" w:val="right" w:leader="dot"/>
        </w:tabs>
      </w:pPr>
      <w:hyperlink w:anchor="_NAESTMA_TOC_3095" w:history="1">
        <w:r>
          <w:rPr>
            <w:color w:val="466B7A"/>
          </w:rPr>
          <w:t>CK-8. DATA AND TRANSPARENCY — PREVENT METRIC GAMING</w:t>
        </w:r>
      </w:hyperlink>
      <w:r>
        <w:tab/>
      </w:r>
      <w:r>
        <w:rPr>
          <w:rFonts w:ascii="Arial" w:hAnsi="Arial"/>
        </w:rPr>
        <w:t>1719</w:t>
      </w:r>
    </w:p>
    <w:p>
      <w:pPr>
        <w:pStyle w:val="TOC2"/>
        <w:widowControl/>
        <w:tabs>
          <w:tab w:pos="8856" w:val="right" w:leader="dot"/>
        </w:tabs>
      </w:pPr>
      <w:hyperlink w:anchor="_NAESTMA_TOC_3096" w:history="1">
        <w:r>
          <w:rPr>
            <w:color w:val="466B7A"/>
          </w:rPr>
          <w:t>CK-9. FEDERALISM — HARDEN WITHOUT CREATING AN ESCAPE HATCH</w:t>
        </w:r>
      </w:hyperlink>
      <w:r>
        <w:tab/>
      </w:r>
      <w:r>
        <w:rPr>
          <w:rFonts w:ascii="Arial" w:hAnsi="Arial"/>
        </w:rPr>
        <w:t>1719</w:t>
      </w:r>
    </w:p>
    <w:p>
      <w:pPr>
        <w:pStyle w:val="TOC2"/>
        <w:widowControl/>
        <w:tabs>
          <w:tab w:pos="8856" w:val="right" w:leader="dot"/>
        </w:tabs>
      </w:pPr>
      <w:hyperlink w:anchor="_NAESTMA_TOC_3097" w:history="1">
        <w:r>
          <w:rPr>
            <w:color w:val="466B7A"/>
          </w:rPr>
          <w:t>CK-10. ENFORCEMENT — DO NOT CREATE "COTHROM II"</w:t>
        </w:r>
      </w:hyperlink>
      <w:r>
        <w:tab/>
      </w:r>
      <w:r>
        <w:rPr>
          <w:rFonts w:ascii="Arial" w:hAnsi="Arial"/>
        </w:rPr>
        <w:t>1719</w:t>
      </w:r>
    </w:p>
    <w:p>
      <w:pPr>
        <w:pStyle w:val="TOC2"/>
        <w:widowControl/>
        <w:tabs>
          <w:tab w:pos="8856" w:val="right" w:leader="dot"/>
        </w:tabs>
      </w:pPr>
      <w:hyperlink w:anchor="_NAESTMA_TOC_3098" w:history="1">
        <w:r>
          <w:rPr>
            <w:color w:val="466B7A"/>
          </w:rPr>
          <w:t>CK-11. REMEDIES — KEEP PEOPLE OUT OF THE RETALIATION CIRCUIT</w:t>
        </w:r>
      </w:hyperlink>
      <w:r>
        <w:tab/>
      </w:r>
      <w:r>
        <w:rPr>
          <w:rFonts w:ascii="Arial" w:hAnsi="Arial"/>
        </w:rPr>
        <w:t>1720</w:t>
      </w:r>
    </w:p>
    <w:p>
      <w:pPr>
        <w:pStyle w:val="TOC2"/>
        <w:widowControl/>
        <w:tabs>
          <w:tab w:pos="8856" w:val="right" w:leader="dot"/>
        </w:tabs>
      </w:pPr>
      <w:hyperlink w:anchor="_NAESTMA_TOC_3099" w:history="1">
        <w:r>
          <w:rPr>
            <w:color w:val="466B7A"/>
          </w:rPr>
          <w:t>CK-12. STAFF SAFETY — PRESERVE COMMAND AUTHORITY, ADD STAFF ABUSE PROTECTION</w:t>
        </w:r>
      </w:hyperlink>
      <w:r>
        <w:tab/>
      </w:r>
      <w:r>
        <w:rPr>
          <w:rFonts w:ascii="Arial" w:hAnsi="Arial"/>
        </w:rPr>
        <w:t>1720</w:t>
      </w:r>
    </w:p>
    <w:p>
      <w:pPr>
        <w:pStyle w:val="TOC2"/>
        <w:widowControl/>
        <w:tabs>
          <w:tab w:pos="8856" w:val="right" w:leader="dot"/>
        </w:tabs>
      </w:pPr>
      <w:hyperlink w:anchor="_NAESTMA_TOC_3100" w:history="1">
        <w:r>
          <w:rPr>
            <w:color w:val="466B7A"/>
          </w:rPr>
          <w:t>CK-13. CROSS-BORDER TRANSFER — CONSENT / LAW REMAINS DOMESTIC</w:t>
        </w:r>
      </w:hyperlink>
      <w:r>
        <w:tab/>
      </w:r>
      <w:r>
        <w:rPr>
          <w:rFonts w:ascii="Arial" w:hAnsi="Arial"/>
        </w:rPr>
        <w:t>1720</w:t>
      </w:r>
    </w:p>
    <w:p>
      <w:pPr>
        <w:pStyle w:val="TOC2"/>
        <w:widowControl/>
        <w:tabs>
          <w:tab w:pos="8856" w:val="right" w:leader="dot"/>
        </w:tabs>
      </w:pPr>
      <w:hyperlink w:anchor="_NAESTMA_TOC_3101" w:history="1">
        <w:r>
          <w:rPr>
            <w:color w:val="466B7A"/>
          </w:rPr>
          <w:t>CK-14. DEATHS IN CUSTODY — FAMILY NOTIFICATION</w:t>
        </w:r>
      </w:hyperlink>
      <w:r>
        <w:tab/>
      </w:r>
      <w:r>
        <w:rPr>
          <w:rFonts w:ascii="Arial" w:hAnsi="Arial"/>
        </w:rPr>
        <w:t>1720</w:t>
      </w:r>
    </w:p>
    <w:p>
      <w:pPr>
        <w:pStyle w:val="TOC2"/>
        <w:widowControl/>
        <w:tabs>
          <w:tab w:pos="8856" w:val="right" w:leader="dot"/>
        </w:tabs>
      </w:pPr>
      <w:hyperlink w:anchor="_NAESTMA_TOC_3102" w:history="1">
        <w:r>
          <w:rPr>
            <w:color w:val="466B7A"/>
          </w:rPr>
          <w:t>CK-15. RELIGION — SECURITY EXCEPTIONS MUST BE REAL</w:t>
        </w:r>
      </w:hyperlink>
      <w:r>
        <w:tab/>
      </w:r>
      <w:r>
        <w:rPr>
          <w:rFonts w:ascii="Arial" w:hAnsi="Arial"/>
        </w:rPr>
        <w:t>1720</w:t>
      </w:r>
    </w:p>
    <w:p>
      <w:pPr>
        <w:pStyle w:val="TOC2"/>
        <w:widowControl/>
        <w:tabs>
          <w:tab w:pos="8856" w:val="right" w:leader="dot"/>
        </w:tabs>
      </w:pPr>
      <w:hyperlink w:anchor="_NAESTMA_TOC_3103" w:history="1">
        <w:r>
          <w:rPr>
            <w:color w:val="466B7A"/>
          </w:rPr>
          <w:t>CK-16. ACCESSIBILITY — COMMUNICATION, NOT JUST ARCHITECTURE</w:t>
        </w:r>
      </w:hyperlink>
      <w:r>
        <w:tab/>
      </w:r>
      <w:r>
        <w:rPr>
          <w:rFonts w:ascii="Arial" w:hAnsi="Arial"/>
        </w:rPr>
        <w:t>1720</w:t>
      </w:r>
    </w:p>
    <w:p>
      <w:pPr>
        <w:pStyle w:val="TOC2"/>
        <w:widowControl/>
        <w:tabs>
          <w:tab w:pos="8856" w:val="right" w:leader="dot"/>
        </w:tabs>
      </w:pPr>
      <w:hyperlink w:anchor="_NAESTMA_TOC_3104" w:history="1">
        <w:r>
          <w:rPr>
            <w:color w:val="466B7A"/>
          </w:rPr>
          <w:t>CK-17. SECURITY INTELLIGENCE — PROTECT AGAINST ORGANIZED CRIME WITHOUT SECRET</w:t>
        </w:r>
      </w:hyperlink>
      <w:r>
        <w:tab/>
      </w:r>
      <w:r>
        <w:rPr>
          <w:rFonts w:ascii="Arial" w:hAnsi="Arial"/>
        </w:rPr>
        <w:t>1721</w:t>
      </w:r>
    </w:p>
    <w:p>
      <w:pPr>
        <w:pStyle w:val="TOC2"/>
        <w:widowControl/>
        <w:tabs>
          <w:tab w:pos="8856" w:val="right" w:leader="dot"/>
        </w:tabs>
      </w:pPr>
      <w:hyperlink w:anchor="_NAESTMA_TOC_3105" w:history="1">
        <w:r>
          <w:rPr>
            <w:color w:val="466B7A"/>
          </w:rPr>
          <w:t>CK-18. NO UNCOMPENSATED FRONT-LOADING — EXPLICIT EXCLUSION</w:t>
        </w:r>
      </w:hyperlink>
      <w:r>
        <w:tab/>
      </w:r>
      <w:r>
        <w:rPr>
          <w:rFonts w:ascii="Arial" w:hAnsi="Arial"/>
        </w:rPr>
        <w:t>1721</w:t>
      </w:r>
    </w:p>
    <w:p>
      <w:pPr>
        <w:pStyle w:val="TOC2"/>
        <w:widowControl/>
        <w:tabs>
          <w:tab w:pos="8856" w:val="right" w:leader="dot"/>
        </w:tabs>
      </w:pPr>
      <w:hyperlink w:anchor="_NAESTMA_TOC_3106" w:history="1">
        <w:r>
          <w:rPr>
            <w:color w:val="466B7A"/>
          </w:rPr>
          <w:t>CK-19. Optional Annex Safeguards</w:t>
        </w:r>
      </w:hyperlink>
      <w:r>
        <w:tab/>
      </w:r>
      <w:r>
        <w:rPr>
          <w:rFonts w:ascii="Arial" w:hAnsi="Arial"/>
        </w:rPr>
        <w:t>1721</w:t>
      </w:r>
    </w:p>
    <w:p>
      <w:pPr>
        <w:pStyle w:val="TOC2"/>
        <w:widowControl/>
        <w:tabs>
          <w:tab w:pos="8856" w:val="right" w:leader="dot"/>
        </w:tabs>
      </w:pPr>
      <w:hyperlink w:anchor="_NAESTMA_TOC_3107" w:history="1">
        <w:r>
          <w:rPr>
            <w:color w:val="466B7A"/>
          </w:rPr>
          <w:t>CK-20. Existing-Architecture Integration</w:t>
        </w:r>
      </w:hyperlink>
      <w:r>
        <w:tab/>
      </w:r>
      <w:r>
        <w:rPr>
          <w:rFonts w:ascii="Arial" w:hAnsi="Arial"/>
        </w:rPr>
        <w:t>1721</w:t>
      </w:r>
    </w:p>
    <w:p>
      <w:pPr>
        <w:pStyle w:val="TOC2"/>
        <w:widowControl/>
        <w:tabs>
          <w:tab w:pos="8856" w:val="right" w:leader="dot"/>
        </w:tabs>
      </w:pPr>
      <w:hyperlink w:anchor="_NAESTMA_TOC_3108" w:history="1">
        <w:r>
          <w:rPr>
            <w:color w:val="466B7A"/>
          </w:rPr>
          <w:t>CK-21. Trilateral Parity and Non-Stigmatization</w:t>
        </w:r>
      </w:hyperlink>
      <w:r>
        <w:tab/>
      </w:r>
      <w:r>
        <w:rPr>
          <w:rFonts w:ascii="Arial" w:hAnsi="Arial"/>
        </w:rPr>
        <w:t>1721</w:t>
      </w:r>
    </w:p>
    <w:p>
      <w:pPr>
        <w:pStyle w:val="TOC2"/>
        <w:widowControl/>
        <w:tabs>
          <w:tab w:pos="8856" w:val="right" w:leader="dot"/>
        </w:tabs>
      </w:pPr>
      <w:hyperlink w:anchor="_NAESTMA_TOC_3109" w:history="1">
        <w:r>
          <w:rPr>
            <w:color w:val="466B7A"/>
          </w:rPr>
          <w:t>CK-22. Integrated Governing Principle</w:t>
        </w:r>
      </w:hyperlink>
      <w:r>
        <w:tab/>
      </w:r>
      <w:r>
        <w:rPr>
          <w:rFonts w:ascii="Arial" w:hAnsi="Arial"/>
        </w:rPr>
        <w:t>1721</w:t>
      </w:r>
    </w:p>
    <w:p>
      <w:pPr>
        <w:pStyle w:val="TOC1"/>
        <w:widowControl/>
        <w:tabs>
          <w:tab w:pos="8856" w:val="right" w:leader="dot"/>
        </w:tabs>
      </w:pPr>
      <w:hyperlink w:anchor="_NAESTMA_TOC_3110" w:history="1">
        <w:r>
          <w:rPr>
            <w:color w:val="233746"/>
          </w:rPr>
          <w:t>PACKAGE CL — NORTH AMERICAN HUMAN DIGNITY, EQUALITY AND RIGHTS FRAMEWORK</w:t>
        </w:r>
      </w:hyperlink>
      <w:r>
        <w:tab/>
      </w:r>
      <w:r>
        <w:rPr>
          <w:rFonts w:ascii="Arial" w:hAnsi="Arial"/>
        </w:rPr>
        <w:t>1722</w:t>
      </w:r>
    </w:p>
    <w:p>
      <w:pPr>
        <w:pStyle w:val="TOC2"/>
        <w:widowControl/>
        <w:tabs>
          <w:tab w:pos="8856" w:val="right" w:leader="dot"/>
        </w:tabs>
      </w:pPr>
      <w:hyperlink w:anchor="_NAESTMA_TOC_3111" w:history="1">
        <w:r>
          <w:rPr>
            <w:color w:val="466B7A"/>
          </w:rPr>
          <w:t>PHASE-1 HUMAN-RIGHTS INTEGRATION — 384 HARDENED PROVISION SLOTS</w:t>
        </w:r>
      </w:hyperlink>
      <w:r>
        <w:tab/>
      </w:r>
      <w:r>
        <w:rPr>
          <w:rFonts w:ascii="Arial" w:hAnsi="Arial"/>
        </w:rPr>
        <w:t>1722</w:t>
      </w:r>
    </w:p>
    <w:p>
      <w:pPr>
        <w:pStyle w:val="TOC2"/>
        <w:widowControl/>
        <w:tabs>
          <w:tab w:pos="8856" w:val="right" w:leader="dot"/>
        </w:tabs>
      </w:pPr>
      <w:hyperlink w:anchor="_NAESTMA_TOC_3112" w:history="1">
        <w:r>
          <w:rPr>
            <w:color w:val="466B7A"/>
          </w:rPr>
          <w:t>CL-1. Purpose, Character and Relationship to Existing Architecture</w:t>
        </w:r>
      </w:hyperlink>
      <w:r>
        <w:tab/>
      </w:r>
      <w:r>
        <w:rPr>
          <w:rFonts w:ascii="Arial" w:hAnsi="Arial"/>
        </w:rPr>
        <w:t>1722</w:t>
      </w:r>
    </w:p>
    <w:p>
      <w:pPr>
        <w:pStyle w:val="TOC2"/>
        <w:widowControl/>
        <w:tabs>
          <w:tab w:pos="8856" w:val="right" w:leader="dot"/>
        </w:tabs>
      </w:pPr>
      <w:hyperlink w:anchor="_NAESTMA_TOC_3113" w:history="1">
        <w:r>
          <w:rPr>
            <w:color w:val="466B7A"/>
          </w:rPr>
          <w:t>CL-2. Stronger Rights, Federalism and No Implied Private Cause</w:t>
        </w:r>
      </w:hyperlink>
      <w:r>
        <w:tab/>
      </w:r>
      <w:r>
        <w:rPr>
          <w:rFonts w:ascii="Arial" w:hAnsi="Arial"/>
        </w:rPr>
        <w:t>1722</w:t>
      </w:r>
    </w:p>
    <w:p>
      <w:pPr>
        <w:pStyle w:val="TOC2"/>
        <w:widowControl/>
        <w:tabs>
          <w:tab w:pos="8856" w:val="right" w:leader="dot"/>
        </w:tabs>
      </w:pPr>
      <w:hyperlink w:anchor="_NAESTMA_TOC_3114" w:history="1">
        <w:r>
          <w:rPr>
            <w:color w:val="466B7A"/>
          </w:rPr>
          <w:t>CL-3. Objective Exceptions, Evidence and Review</w:t>
        </w:r>
      </w:hyperlink>
      <w:r>
        <w:tab/>
      </w:r>
      <w:r>
        <w:rPr>
          <w:rFonts w:ascii="Arial" w:hAnsi="Arial"/>
        </w:rPr>
        <w:t>1722</w:t>
      </w:r>
    </w:p>
    <w:p>
      <w:pPr>
        <w:pStyle w:val="TOC2"/>
        <w:widowControl/>
        <w:tabs>
          <w:tab w:pos="8856" w:val="right" w:leader="dot"/>
        </w:tabs>
      </w:pPr>
      <w:hyperlink w:anchor="_NAESTMA_TOC_3115" w:history="1">
        <w:r>
          <w:rPr>
            <w:color w:val="466B7A"/>
          </w:rPr>
          <w:t>CL-4. Remedy, Optionality, Data and Anti-Gaming</w:t>
        </w:r>
      </w:hyperlink>
      <w:r>
        <w:tab/>
      </w:r>
      <w:r>
        <w:rPr>
          <w:rFonts w:ascii="Arial" w:hAnsi="Arial"/>
        </w:rPr>
        <w:t>1723</w:t>
      </w:r>
    </w:p>
    <w:p>
      <w:pPr>
        <w:pStyle w:val="TOC2"/>
        <w:widowControl/>
        <w:tabs>
          <w:tab w:pos="8856" w:val="right" w:leader="dot"/>
        </w:tabs>
      </w:pPr>
      <w:hyperlink w:anchor="_NAESTMA_TOC_3116" w:history="1">
        <w:r>
          <w:rPr>
            <w:color w:val="466B7A"/>
          </w:rPr>
          <w:t>CL-5. Accessibility, Participation, Continuity and Non-Exhaustion</w:t>
        </w:r>
      </w:hyperlink>
      <w:r>
        <w:tab/>
      </w:r>
      <w:r>
        <w:rPr>
          <w:rFonts w:ascii="Arial" w:hAnsi="Arial"/>
        </w:rPr>
        <w:t>1723</w:t>
      </w:r>
    </w:p>
    <w:p>
      <w:pPr>
        <w:pStyle w:val="TOC2"/>
        <w:widowControl/>
        <w:tabs>
          <w:tab w:pos="8856" w:val="right" w:leader="dot"/>
        </w:tabs>
      </w:pPr>
      <w:hyperlink w:anchor="_NAESTMA_TOC_3117" w:history="1">
        <w:r>
          <w:rPr>
            <w:color w:val="466B7A"/>
          </w:rPr>
          <w:t>CL-6. UNIVERSAL HUMAN DIGNITY, EQUALITY, DUE PROCESS AND REMEDY</w:t>
        </w:r>
      </w:hyperlink>
      <w:r>
        <w:tab/>
      </w:r>
      <w:r>
        <w:rPr>
          <w:rFonts w:ascii="Arial" w:hAnsi="Arial"/>
        </w:rPr>
        <w:t>1723</w:t>
      </w:r>
    </w:p>
    <w:p>
      <w:pPr>
        <w:pStyle w:val="TOC2"/>
        <w:widowControl/>
        <w:tabs>
          <w:tab w:pos="8856" w:val="right" w:leader="dot"/>
        </w:tabs>
      </w:pPr>
      <w:hyperlink w:anchor="_NAESTMA_TOC_3118" w:history="1">
        <w:r>
          <w:rPr>
            <w:color w:val="466B7A"/>
          </w:rPr>
          <w:t>CL-7. LABOUR AND WORKPLACE HUMAN RIGHTS</w:t>
        </w:r>
      </w:hyperlink>
      <w:r>
        <w:tab/>
      </w:r>
      <w:r>
        <w:rPr>
          <w:rFonts w:ascii="Arial" w:hAnsi="Arial"/>
        </w:rPr>
        <w:t>1726</w:t>
      </w:r>
    </w:p>
    <w:p>
      <w:pPr>
        <w:pStyle w:val="TOC2"/>
        <w:widowControl/>
        <w:tabs>
          <w:tab w:pos="8856" w:val="right" w:leader="dot"/>
        </w:tabs>
      </w:pPr>
      <w:hyperlink w:anchor="_NAESTMA_TOC_3119" w:history="1">
        <w:r>
          <w:rPr>
            <w:color w:val="466B7A"/>
          </w:rPr>
          <w:t>CL-8. MIGRATION, ASYLUM AND BORDER-ADMINISTRATION RIGHTS</w:t>
        </w:r>
      </w:hyperlink>
      <w:r>
        <w:tab/>
      </w:r>
      <w:r>
        <w:rPr>
          <w:rFonts w:ascii="Arial" w:hAnsi="Arial"/>
        </w:rPr>
        <w:t>1731</w:t>
      </w:r>
    </w:p>
    <w:p>
      <w:pPr>
        <w:pStyle w:val="TOC2"/>
        <w:widowControl/>
        <w:tabs>
          <w:tab w:pos="8856" w:val="right" w:leader="dot"/>
        </w:tabs>
      </w:pPr>
      <w:hyperlink w:anchor="_NAESTMA_TOC_3120" w:history="1">
        <w:r>
          <w:rPr>
            <w:color w:val="466B7A"/>
          </w:rPr>
          <w:t>CL-9. CUSTODY, DETENTION AND CORRECTIONS RIGHTS</w:t>
        </w:r>
      </w:hyperlink>
      <w:r>
        <w:tab/>
      </w:r>
      <w:r>
        <w:rPr>
          <w:rFonts w:ascii="Arial" w:hAnsi="Arial"/>
        </w:rPr>
        <w:t>1737</w:t>
      </w:r>
    </w:p>
    <w:p>
      <w:pPr>
        <w:pStyle w:val="TOC2"/>
        <w:widowControl/>
        <w:tabs>
          <w:tab w:pos="8856" w:val="right" w:leader="dot"/>
        </w:tabs>
      </w:pPr>
      <w:hyperlink w:anchor="_NAESTMA_TOC_3121" w:history="1">
        <w:r>
          <w:rPr>
            <w:color w:val="466B7A"/>
          </w:rPr>
          <w:t>CL-10. INDIGENOUS RIGHTS AND ECONOMIC PARTICIPATION</w:t>
        </w:r>
      </w:hyperlink>
      <w:r>
        <w:tab/>
      </w:r>
      <w:r>
        <w:rPr>
          <w:rFonts w:ascii="Arial" w:hAnsi="Arial"/>
        </w:rPr>
        <w:t>1739</w:t>
      </w:r>
    </w:p>
    <w:p>
      <w:pPr>
        <w:pStyle w:val="TOC2"/>
        <w:widowControl/>
        <w:tabs>
          <w:tab w:pos="8856" w:val="right" w:leader="dot"/>
        </w:tabs>
      </w:pPr>
      <w:hyperlink w:anchor="_NAESTMA_TOC_3122" w:history="1">
        <w:r>
          <w:rPr>
            <w:color w:val="466B7A"/>
          </w:rPr>
          <w:t>CL-11. DIGITAL, PRIVACY, DATA AND AUTOMATED-DECISION RIGHTS</w:t>
        </w:r>
      </w:hyperlink>
      <w:r>
        <w:tab/>
      </w:r>
      <w:r>
        <w:rPr>
          <w:rFonts w:ascii="Arial" w:hAnsi="Arial"/>
        </w:rPr>
        <w:t>1743</w:t>
      </w:r>
    </w:p>
    <w:p>
      <w:pPr>
        <w:pStyle w:val="TOC2"/>
        <w:widowControl/>
        <w:tabs>
          <w:tab w:pos="8856" w:val="right" w:leader="dot"/>
        </w:tabs>
      </w:pPr>
      <w:hyperlink w:anchor="_NAESTMA_TOC_3123" w:history="1">
        <w:r>
          <w:rPr>
            <w:color w:val="466B7A"/>
          </w:rPr>
          <w:t>CL-12. BUSINESS, CORPORATE AND SUPPLY-CHAIN HUMAN RIGHTS</w:t>
        </w:r>
      </w:hyperlink>
      <w:r>
        <w:tab/>
      </w:r>
      <w:r>
        <w:rPr>
          <w:rFonts w:ascii="Arial" w:hAnsi="Arial"/>
        </w:rPr>
        <w:t>1745</w:t>
      </w:r>
    </w:p>
    <w:p>
      <w:pPr>
        <w:pStyle w:val="TOC2"/>
        <w:widowControl/>
        <w:tabs>
          <w:tab w:pos="8856" w:val="right" w:leader="dot"/>
        </w:tabs>
      </w:pPr>
      <w:hyperlink w:anchor="_NAESTMA_TOC_3124" w:history="1">
        <w:r>
          <w:rPr>
            <w:color w:val="466B7A"/>
          </w:rPr>
          <w:t>CL-13. ENVIRONMENTAL AND COMMUNITY RIGHTS</w:t>
        </w:r>
      </w:hyperlink>
      <w:r>
        <w:tab/>
      </w:r>
      <w:r>
        <w:rPr>
          <w:rFonts w:ascii="Arial" w:hAnsi="Arial"/>
        </w:rPr>
        <w:t>1746</w:t>
      </w:r>
    </w:p>
    <w:p>
      <w:pPr>
        <w:pStyle w:val="TOC2"/>
        <w:widowControl/>
        <w:tabs>
          <w:tab w:pos="8856" w:val="right" w:leader="dot"/>
        </w:tabs>
      </w:pPr>
      <w:hyperlink w:anchor="_NAESTMA_TOC_3125" w:history="1">
        <w:r>
          <w:rPr>
            <w:color w:val="466B7A"/>
          </w:rPr>
          <w:t>CL-14. PUBLIC HEALTH, MEDICINES AND SOCIAL RESILIENCE</w:t>
        </w:r>
      </w:hyperlink>
      <w:r>
        <w:tab/>
      </w:r>
      <w:r>
        <w:rPr>
          <w:rFonts w:ascii="Arial" w:hAnsi="Arial"/>
        </w:rPr>
        <w:t>1749</w:t>
      </w:r>
    </w:p>
    <w:p>
      <w:pPr>
        <w:pStyle w:val="TOC2"/>
        <w:widowControl/>
        <w:tabs>
          <w:tab w:pos="8856" w:val="right" w:leader="dot"/>
        </w:tabs>
      </w:pPr>
      <w:hyperlink w:anchor="_NAESTMA_TOC_3126" w:history="1">
        <w:r>
          <w:rPr>
            <w:color w:val="466B7A"/>
          </w:rPr>
          <w:t>CL-15. DISABILITY RIGHTS AND ACCESSIBILITY</w:t>
        </w:r>
      </w:hyperlink>
      <w:r>
        <w:tab/>
      </w:r>
      <w:r>
        <w:rPr>
          <w:rFonts w:ascii="Arial" w:hAnsi="Arial"/>
        </w:rPr>
        <w:t>1750</w:t>
      </w:r>
    </w:p>
    <w:p>
      <w:pPr>
        <w:pStyle w:val="TOC2"/>
        <w:widowControl/>
        <w:tabs>
          <w:tab w:pos="8856" w:val="right" w:leader="dot"/>
        </w:tabs>
      </w:pPr>
      <w:hyperlink w:anchor="_NAESTMA_TOC_3127" w:history="1">
        <w:r>
          <w:rPr>
            <w:color w:val="466B7A"/>
          </w:rPr>
          <w:t>CL-16. HOUSING-STATUS, POVERTY AND HOMELESSNESS SAFEGUARDS</w:t>
        </w:r>
      </w:hyperlink>
      <w:r>
        <w:tab/>
      </w:r>
      <w:r>
        <w:rPr>
          <w:rFonts w:ascii="Arial" w:hAnsi="Arial"/>
        </w:rPr>
        <w:t>1752</w:t>
      </w:r>
    </w:p>
    <w:p>
      <w:pPr>
        <w:pStyle w:val="TOC2"/>
        <w:widowControl/>
        <w:tabs>
          <w:tab w:pos="8856" w:val="right" w:leader="dot"/>
        </w:tabs>
      </w:pPr>
      <w:hyperlink w:anchor="_NAESTMA_TOC_3128" w:history="1">
        <w:r>
          <w:rPr>
            <w:color w:val="466B7A"/>
          </w:rPr>
          <w:t>CL-17. HUMAN-RIGHTS GOVERNANCE, INTERPRETATION AND REVIEW</w:t>
        </w:r>
      </w:hyperlink>
      <w:r>
        <w:tab/>
      </w:r>
      <w:r>
        <w:rPr>
          <w:rFonts w:ascii="Arial" w:hAnsi="Arial"/>
        </w:rPr>
        <w:t>1753</w:t>
      </w:r>
    </w:p>
    <w:p>
      <w:pPr>
        <w:pStyle w:val="TOC2"/>
        <w:widowControl/>
        <w:tabs>
          <w:tab w:pos="8856" w:val="right" w:leader="dot"/>
        </w:tabs>
      </w:pPr>
      <w:hyperlink w:anchor="_NAESTMA_TOC_3129" w:history="1">
        <w:r>
          <w:rPr>
            <w:color w:val="466B7A"/>
          </w:rPr>
          <w:t>CL-18. LABOUR AND WORKPLACE HUMAN RIGHTS</w:t>
        </w:r>
      </w:hyperlink>
      <w:r>
        <w:tab/>
      </w:r>
      <w:r>
        <w:rPr>
          <w:rFonts w:ascii="Arial" w:hAnsi="Arial"/>
        </w:rPr>
        <w:t>1755</w:t>
      </w:r>
    </w:p>
    <w:p>
      <w:pPr>
        <w:pStyle w:val="TOC2"/>
        <w:widowControl/>
        <w:tabs>
          <w:tab w:pos="8856" w:val="right" w:leader="dot"/>
        </w:tabs>
      </w:pPr>
      <w:hyperlink w:anchor="_NAESTMA_TOC_3130" w:history="1">
        <w:r>
          <w:rPr>
            <w:color w:val="466B7A"/>
          </w:rPr>
          <w:t>CL-19. MIGRATION, ASYLUM AND BORDER-ADMINISTRATION RIGHTS</w:t>
        </w:r>
      </w:hyperlink>
      <w:r>
        <w:tab/>
      </w:r>
      <w:r>
        <w:rPr>
          <w:rFonts w:ascii="Arial" w:hAnsi="Arial"/>
        </w:rPr>
        <w:t>1757</w:t>
      </w:r>
    </w:p>
    <w:p>
      <w:pPr>
        <w:pStyle w:val="TOC2"/>
        <w:widowControl/>
        <w:tabs>
          <w:tab w:pos="8856" w:val="right" w:leader="dot"/>
        </w:tabs>
      </w:pPr>
      <w:hyperlink w:anchor="_NAESTMA_TOC_3131" w:history="1">
        <w:r>
          <w:rPr>
            <w:color w:val="466B7A"/>
          </w:rPr>
          <w:t>CL-20. CUSTODY, DETENTION AND CORRECTIONS RIGHTS</w:t>
        </w:r>
      </w:hyperlink>
      <w:r>
        <w:tab/>
      </w:r>
      <w:r>
        <w:rPr>
          <w:rFonts w:ascii="Arial" w:hAnsi="Arial"/>
        </w:rPr>
        <w:t>1758</w:t>
      </w:r>
    </w:p>
    <w:p>
      <w:pPr>
        <w:pStyle w:val="TOC2"/>
        <w:widowControl/>
        <w:tabs>
          <w:tab w:pos="8856" w:val="right" w:leader="dot"/>
        </w:tabs>
      </w:pPr>
      <w:hyperlink w:anchor="_NAESTMA_TOC_3132" w:history="1">
        <w:r>
          <w:rPr>
            <w:color w:val="466B7A"/>
          </w:rPr>
          <w:t>CL-21. INDIGENOUS RIGHTS AND ECONOMIC PARTICIPATION</w:t>
        </w:r>
      </w:hyperlink>
      <w:r>
        <w:tab/>
      </w:r>
      <w:r>
        <w:rPr>
          <w:rFonts w:ascii="Arial" w:hAnsi="Arial"/>
        </w:rPr>
        <w:t>1759</w:t>
      </w:r>
    </w:p>
    <w:p>
      <w:pPr>
        <w:pStyle w:val="TOC2"/>
        <w:widowControl/>
        <w:tabs>
          <w:tab w:pos="8856" w:val="right" w:leader="dot"/>
        </w:tabs>
      </w:pPr>
      <w:hyperlink w:anchor="_NAESTMA_TOC_3133" w:history="1">
        <w:r>
          <w:rPr>
            <w:color w:val="466B7A"/>
          </w:rPr>
          <w:t>CL-22. DIGITAL, PRIVACY, DATA AND AUTOMATED-DECISION RIGHTS</w:t>
        </w:r>
      </w:hyperlink>
      <w:r>
        <w:tab/>
      </w:r>
      <w:r>
        <w:rPr>
          <w:rFonts w:ascii="Arial" w:hAnsi="Arial"/>
        </w:rPr>
        <w:t>1763</w:t>
      </w:r>
    </w:p>
    <w:p>
      <w:pPr>
        <w:pStyle w:val="TOC2"/>
        <w:widowControl/>
        <w:tabs>
          <w:tab w:pos="8856" w:val="right" w:leader="dot"/>
        </w:tabs>
      </w:pPr>
      <w:hyperlink w:anchor="_NAESTMA_TOC_3134" w:history="1">
        <w:r>
          <w:rPr>
            <w:color w:val="466B7A"/>
          </w:rPr>
          <w:t>CL-23. BUSINESS, CORPORATE AND SUPPLY-CHAIN HUMAN RIGHTS</w:t>
        </w:r>
      </w:hyperlink>
      <w:r>
        <w:tab/>
      </w:r>
      <w:r>
        <w:rPr>
          <w:rFonts w:ascii="Arial" w:hAnsi="Arial"/>
        </w:rPr>
        <w:t>1764</w:t>
      </w:r>
    </w:p>
    <w:p>
      <w:pPr>
        <w:pStyle w:val="TOC2"/>
        <w:widowControl/>
        <w:tabs>
          <w:tab w:pos="8856" w:val="right" w:leader="dot"/>
        </w:tabs>
      </w:pPr>
      <w:hyperlink w:anchor="_NAESTMA_TOC_3135" w:history="1">
        <w:r>
          <w:rPr>
            <w:color w:val="466B7A"/>
          </w:rPr>
          <w:t>CL-24. ENVIRONMENTAL AND COMMUNITY RIGHTS</w:t>
        </w:r>
      </w:hyperlink>
      <w:r>
        <w:tab/>
      </w:r>
      <w:r>
        <w:rPr>
          <w:rFonts w:ascii="Arial" w:hAnsi="Arial"/>
        </w:rPr>
        <w:t>1767</w:t>
      </w:r>
    </w:p>
    <w:p>
      <w:pPr>
        <w:pStyle w:val="TOC2"/>
        <w:widowControl/>
        <w:tabs>
          <w:tab w:pos="8856" w:val="right" w:leader="dot"/>
        </w:tabs>
      </w:pPr>
      <w:hyperlink w:anchor="_NAESTMA_TOC_3136" w:history="1">
        <w:r>
          <w:rPr>
            <w:color w:val="466B7A"/>
          </w:rPr>
          <w:t>CL-25. PUBLIC HEALTH, MEDICINES AND SOCIAL RESILIENCE</w:t>
        </w:r>
      </w:hyperlink>
      <w:r>
        <w:tab/>
      </w:r>
      <w:r>
        <w:rPr>
          <w:rFonts w:ascii="Arial" w:hAnsi="Arial"/>
        </w:rPr>
        <w:t>1768</w:t>
      </w:r>
    </w:p>
    <w:p>
      <w:pPr>
        <w:pStyle w:val="TOC2"/>
        <w:widowControl/>
        <w:tabs>
          <w:tab w:pos="8856" w:val="right" w:leader="dot"/>
        </w:tabs>
      </w:pPr>
      <w:hyperlink w:anchor="_NAESTMA_TOC_3137" w:history="1">
        <w:r>
          <w:rPr>
            <w:color w:val="466B7A"/>
          </w:rPr>
          <w:t>CL-26. GENDER EQUALITY AND INCLUSIVE TRADE</w:t>
        </w:r>
      </w:hyperlink>
      <w:r>
        <w:tab/>
      </w:r>
      <w:r>
        <w:rPr>
          <w:rFonts w:ascii="Arial" w:hAnsi="Arial"/>
        </w:rPr>
        <w:t>1770</w:t>
      </w:r>
    </w:p>
    <w:p>
      <w:pPr>
        <w:pStyle w:val="TOC2"/>
        <w:widowControl/>
        <w:tabs>
          <w:tab w:pos="8856" w:val="right" w:leader="dot"/>
        </w:tabs>
      </w:pPr>
      <w:hyperlink w:anchor="_NAESTMA_TOC_3138" w:history="1">
        <w:r>
          <w:rPr>
            <w:color w:val="466B7A"/>
          </w:rPr>
          <w:t>CL-27. DISABILITY RIGHTS AND ACCESSIBILITY</w:t>
        </w:r>
      </w:hyperlink>
      <w:r>
        <w:tab/>
      </w:r>
      <w:r>
        <w:rPr>
          <w:rFonts w:ascii="Arial" w:hAnsi="Arial"/>
        </w:rPr>
        <w:t>1772</w:t>
      </w:r>
    </w:p>
    <w:p>
      <w:pPr>
        <w:pStyle w:val="TOC2"/>
        <w:widowControl/>
        <w:tabs>
          <w:tab w:pos="8856" w:val="right" w:leader="dot"/>
        </w:tabs>
      </w:pPr>
      <w:hyperlink w:anchor="_NAESTMA_TOC_3139" w:history="1">
        <w:r>
          <w:rPr>
            <w:color w:val="466B7A"/>
          </w:rPr>
          <w:t>CL-28. HUMAN-RIGHTS GOVERNANCE, INTERPRETATION AND REVIEW</w:t>
        </w:r>
      </w:hyperlink>
      <w:r>
        <w:tab/>
      </w:r>
      <w:r>
        <w:rPr>
          <w:rFonts w:ascii="Arial" w:hAnsi="Arial"/>
        </w:rPr>
        <w:t>1773</w:t>
      </w:r>
    </w:p>
    <w:p>
      <w:pPr>
        <w:pStyle w:val="TOC2"/>
        <w:widowControl/>
        <w:tabs>
          <w:tab w:pos="8856" w:val="right" w:leader="dot"/>
        </w:tabs>
      </w:pPr>
      <w:hyperlink w:anchor="_NAESTMA_TOC_3140" w:history="1">
        <w:r>
          <w:rPr>
            <w:color w:val="466B7A"/>
          </w:rPr>
          <w:t>CL-29. BUSINESS, CORPORATE AND SUPPLY-CHAIN HUMAN RIGHTS</w:t>
        </w:r>
      </w:hyperlink>
      <w:r>
        <w:tab/>
      </w:r>
      <w:r>
        <w:rPr>
          <w:rFonts w:ascii="Arial" w:hAnsi="Arial"/>
        </w:rPr>
        <w:t>1774</w:t>
      </w:r>
    </w:p>
    <w:p>
      <w:pPr>
        <w:pStyle w:val="TOC2"/>
        <w:widowControl/>
        <w:tabs>
          <w:tab w:pos="8856" w:val="right" w:leader="dot"/>
        </w:tabs>
      </w:pPr>
      <w:hyperlink w:anchor="_NAESTMA_TOC_3141" w:history="1">
        <w:r>
          <w:rPr>
            <w:color w:val="466B7A"/>
          </w:rPr>
          <w:t>CL-30. OPTIONAL HIGH-SENSITIVITY HUMAN-RIGHTS MODULES</w:t>
        </w:r>
      </w:hyperlink>
      <w:r>
        <w:tab/>
      </w:r>
      <w:r>
        <w:rPr>
          <w:rFonts w:ascii="Arial" w:hAnsi="Arial"/>
        </w:rPr>
        <w:t>1775</w:t>
      </w:r>
    </w:p>
    <w:p>
      <w:pPr>
        <w:pStyle w:val="TOC2"/>
        <w:widowControl/>
        <w:tabs>
          <w:tab w:pos="8856" w:val="right" w:leader="dot"/>
        </w:tabs>
      </w:pPr>
      <w:hyperlink w:anchor="_NAESTMA_TOC_3142" w:history="1">
        <w:r>
          <w:rPr>
            <w:color w:val="466B7A"/>
          </w:rPr>
          <w:t>CL-19A. PHASE-2 HUMAN-RIGHTS BACKBONE — 350 ADDITIONAL HARDENED PROVISIONS</w:t>
        </w:r>
      </w:hyperlink>
      <w:r>
        <w:tab/>
      </w:r>
      <w:r>
        <w:rPr>
          <w:rFonts w:ascii="Arial" w:hAnsi="Arial"/>
        </w:rPr>
        <w:t>1776</w:t>
      </w:r>
    </w:p>
    <w:p>
      <w:pPr>
        <w:pStyle w:val="TOC2"/>
        <w:widowControl/>
        <w:tabs>
          <w:tab w:pos="8856" w:val="right" w:leader="dot"/>
        </w:tabs>
      </w:pPr>
      <w:hyperlink w:anchor="_NAESTMA_TOC_3143" w:history="1">
        <w:r>
          <w:rPr>
            <w:color w:val="466B7A"/>
          </w:rPr>
          <w:t>CL-20. Implementation Through Existing Institutions</w:t>
        </w:r>
      </w:hyperlink>
      <w:r>
        <w:tab/>
      </w:r>
      <w:r>
        <w:rPr>
          <w:rFonts w:ascii="Arial" w:hAnsi="Arial"/>
        </w:rPr>
        <w:t>1839</w:t>
      </w:r>
    </w:p>
    <w:p>
      <w:pPr>
        <w:pStyle w:val="TOC2"/>
        <w:widowControl/>
        <w:tabs>
          <w:tab w:pos="8856" w:val="right" w:leader="dot"/>
        </w:tabs>
      </w:pPr>
      <w:hyperlink w:anchor="_NAESTMA_TOC_3144" w:history="1">
        <w:r>
          <w:rPr>
            <w:color w:val="466B7A"/>
          </w:rPr>
          <w:t>CL-21. Review and Future Human-Rights Integration</w:t>
        </w:r>
      </w:hyperlink>
      <w:r>
        <w:tab/>
      </w:r>
      <w:r>
        <w:rPr>
          <w:rFonts w:ascii="Arial" w:hAnsi="Arial"/>
        </w:rPr>
        <w:t>1839</w:t>
      </w:r>
    </w:p>
    <w:p>
      <w:pPr>
        <w:pStyle w:val="TOC2"/>
        <w:widowControl/>
        <w:tabs>
          <w:tab w:pos="8856" w:val="right" w:leader="dot"/>
        </w:tabs>
      </w:pPr>
      <w:hyperlink w:anchor="_NAESTMA_TOC_3145" w:history="1">
        <w:r>
          <w:rPr>
            <w:color w:val="466B7A"/>
          </w:rPr>
          <w:t>CL-22. Governing Principle</w:t>
        </w:r>
      </w:hyperlink>
      <w:r>
        <w:tab/>
      </w:r>
      <w:r>
        <w:rPr>
          <w:rFonts w:ascii="Arial" w:hAnsi="Arial"/>
        </w:rPr>
        <w:t>1839</w:t>
      </w:r>
    </w:p>
    <w:p>
      <w:pPr>
        <w:pStyle w:val="Heading1"/>
        <w:keepNext/>
        <w:pageBreakBefore/>
        <w:widowControl/>
      </w:pPr>
      <w:r>
        <w:t>COUNTRY WINS AND NAVIGATION GUIDE</w:t>
      </w:r>
    </w:p>
    <w:p>
      <w:pPr>
        <w:widowControl/>
        <w:spacing w:after="160"/>
      </w:pPr>
      <w:r>
        <w:t>This guide surfaces existing negotiated benefits without creating or altering a concession. Use the exact Ctrl+F navigation phrase in the right column to reach the relevant treaty text; the live Table of Contents provides chapter-level navigation after fields are updated in Microsoft Word.</w:t>
      </w:r>
    </w:p>
    <w:p>
      <w:bookmarkStart w:id="1000" w:name="_NAESTMA_TOC_1000"/>
      <w:pPr>
        <w:pStyle w:val="Heading2"/>
        <w:keepNext/>
        <w:widowControl/>
      </w:pPr>
      <w:r>
        <w:t>CANADA — NEGOTIATOR VISIBILITY INDEX</w:t>
      </w:r>
      <w:bookmarkEnd w:id="1000"/>
    </w:p>
    <w:tbl>
      <w:tblPr>
        <w:tblStyle w:val="TableGrid"/>
        <w:tblW w:type="auto" w:w="0"/>
        <w:jc w:val="center"/>
        <w:tblLayout w:type="autofit"/>
        <w:tblLook w:firstColumn="1" w:firstRow="1" w:lastColumn="0" w:lastRow="0" w:noHBand="0" w:noVBand="1" w:val="04A0"/>
      </w:tblPr>
      <w:tblGrid>
        <w:gridCol w:w="4680"/>
        <w:gridCol w:w="4680"/>
      </w:tblGrid>
      <w:tr>
        <w:trPr>
          <w:tblHeader w:val="true"/>
          <w:tblHeader w:val="true"/>
        </w:trPr>
        <w:tc>
          <w:tcPr>
            <w:tcW w:type="dxa" w:w="3528"/>
            <w:shd w:fill="233746"/>
            <w:vAlign w:val="center"/>
            <w:tcMar>
              <w:top w:w="70" w:type="dxa"/>
              <w:start w:w="110" w:type="dxa"/>
              <w:bottom w:w="70" w:type="dxa"/>
              <w:end w:w="110" w:type="dxa"/>
            </w:tcMar>
          </w:tcPr>
          <w:p>
            <w:pPr>
              <w:spacing w:after="0"/>
            </w:pPr>
            <w:r>
              <w:rPr>
                <w:rFonts w:ascii="Arial" w:hAnsi="Arial"/>
                <w:b/>
                <w:color w:val="FFFFFF"/>
                <w:sz w:val="17"/>
              </w:rPr>
              <w:t>Visible national win</w:t>
            </w:r>
          </w:p>
        </w:tc>
        <w:tc>
          <w:tcPr>
            <w:tcW w:type="dxa" w:w="6120"/>
            <w:shd w:fill="233746"/>
            <w:vAlign w:val="center"/>
            <w:tcMar>
              <w:top w:w="70" w:type="dxa"/>
              <w:start w:w="110" w:type="dxa"/>
              <w:bottom w:w="70" w:type="dxa"/>
              <w:end w:w="110" w:type="dxa"/>
            </w:tcMar>
          </w:tcPr>
          <w:p>
            <w:pPr>
              <w:spacing w:after="0"/>
            </w:pPr>
            <w:r>
              <w:rPr>
                <w:rFonts w:ascii="Arial" w:hAnsi="Arial"/>
                <w:b/>
                <w:color w:val="FFFFFF"/>
                <w:sz w:val="17"/>
              </w:rPr>
              <w:t>Ctrl+F navigation phrase</w:t>
            </w:r>
          </w:p>
        </w:tc>
      </w:tr>
      <w:tr>
        <w:tc>
          <w:tcPr>
            <w:tcW w:type="dxa" w:w="3528"/>
            <w:tcMar>
              <w:top w:w="70" w:type="dxa"/>
              <w:start w:w="110" w:type="dxa"/>
              <w:bottom w:w="70" w:type="dxa"/>
              <w:end w:w="110" w:type="dxa"/>
            </w:tcMar>
          </w:tcPr>
          <w:p>
            <w:pPr>
              <w:widowControl/>
              <w:spacing w:after="0"/>
            </w:pPr>
            <w:r>
              <w:rPr>
                <w:rFonts w:ascii="Arial" w:hAnsi="Arial"/>
                <w:sz w:val="17"/>
              </w:rPr>
              <w:t>Dairy and supply management</w:t>
            </w:r>
          </w:p>
        </w:tc>
        <w:tc>
          <w:tcPr>
            <w:tcW w:type="dxa" w:w="6120"/>
            <w:tcMar>
              <w:top w:w="70" w:type="dxa"/>
              <w:start w:w="110" w:type="dxa"/>
              <w:bottom w:w="70" w:type="dxa"/>
              <w:end w:w="110" w:type="dxa"/>
            </w:tcMar>
          </w:tcPr>
          <w:p>
            <w:pPr>
              <w:widowControl/>
              <w:spacing w:after="0"/>
            </w:pPr>
            <w:r>
              <w:rPr>
                <w:rFonts w:ascii="Arial" w:hAnsi="Arial"/>
                <w:sz w:val="17"/>
              </w:rPr>
              <w:t>North American Dairy Stability and Market Access Framework</w:t>
            </w:r>
          </w:p>
        </w:tc>
      </w:tr>
      <w:tr>
        <w:tc>
          <w:tcPr>
            <w:tcW w:type="dxa" w:w="3528"/>
            <w:shd w:fill="F4F6F7"/>
            <w:tcMar>
              <w:top w:w="70" w:type="dxa"/>
              <w:start w:w="110" w:type="dxa"/>
              <w:bottom w:w="70" w:type="dxa"/>
              <w:end w:w="110" w:type="dxa"/>
            </w:tcMar>
          </w:tcPr>
          <w:p>
            <w:pPr>
              <w:widowControl/>
              <w:spacing w:after="0"/>
            </w:pPr>
            <w:r>
              <w:rPr>
                <w:rFonts w:ascii="Arial" w:hAnsi="Arial"/>
                <w:sz w:val="17"/>
              </w:rPr>
              <w:t>Softwood lumber</w:t>
            </w:r>
          </w:p>
        </w:tc>
        <w:tc>
          <w:tcPr>
            <w:tcW w:type="dxa" w:w="6120"/>
            <w:shd w:fill="F4F6F7"/>
            <w:tcMar>
              <w:top w:w="70" w:type="dxa"/>
              <w:start w:w="110" w:type="dxa"/>
              <w:bottom w:w="70" w:type="dxa"/>
              <w:end w:w="110" w:type="dxa"/>
            </w:tcMar>
          </w:tcPr>
          <w:p>
            <w:pPr>
              <w:widowControl/>
              <w:spacing w:after="0"/>
            </w:pPr>
            <w:r>
              <w:rPr>
                <w:rFonts w:ascii="Arial" w:hAnsi="Arial"/>
                <w:sz w:val="17"/>
              </w:rPr>
              <w:t>softwood lumber</w:t>
            </w:r>
          </w:p>
        </w:tc>
      </w:tr>
      <w:tr>
        <w:tc>
          <w:tcPr>
            <w:tcW w:type="dxa" w:w="3528"/>
            <w:tcMar>
              <w:top w:w="70" w:type="dxa"/>
              <w:start w:w="110" w:type="dxa"/>
              <w:bottom w:w="70" w:type="dxa"/>
              <w:end w:w="110" w:type="dxa"/>
            </w:tcMar>
          </w:tcPr>
          <w:p>
            <w:pPr>
              <w:widowControl/>
              <w:spacing w:after="0"/>
            </w:pPr>
            <w:r>
              <w:rPr>
                <w:rFonts w:ascii="Arial" w:hAnsi="Arial"/>
                <w:sz w:val="17"/>
              </w:rPr>
              <w:t>Critical-minerals partnership</w:t>
            </w:r>
          </w:p>
        </w:tc>
        <w:tc>
          <w:tcPr>
            <w:tcW w:type="dxa" w:w="6120"/>
            <w:tcMar>
              <w:top w:w="70" w:type="dxa"/>
              <w:start w:w="110" w:type="dxa"/>
              <w:bottom w:w="70" w:type="dxa"/>
              <w:end w:w="110" w:type="dxa"/>
            </w:tcMar>
          </w:tcPr>
          <w:p>
            <w:pPr>
              <w:widowControl/>
              <w:spacing w:after="0"/>
            </w:pPr>
            <w:r>
              <w:rPr>
                <w:rFonts w:ascii="Arial" w:hAnsi="Arial"/>
                <w:sz w:val="17"/>
              </w:rPr>
              <w:t>Strategic Minerals Access Framework</w:t>
            </w:r>
          </w:p>
        </w:tc>
      </w:tr>
      <w:tr>
        <w:tc>
          <w:tcPr>
            <w:tcW w:type="dxa" w:w="3528"/>
            <w:shd w:fill="F4F6F7"/>
            <w:tcMar>
              <w:top w:w="70" w:type="dxa"/>
              <w:start w:w="110" w:type="dxa"/>
              <w:bottom w:w="70" w:type="dxa"/>
              <w:end w:w="110" w:type="dxa"/>
            </w:tcMar>
          </w:tcPr>
          <w:p>
            <w:pPr>
              <w:widowControl/>
              <w:spacing w:after="0"/>
            </w:pPr>
            <w:r>
              <w:rPr>
                <w:rFonts w:ascii="Arial" w:hAnsi="Arial"/>
                <w:sz w:val="17"/>
              </w:rPr>
              <w:t>Cultural-policy space</w:t>
            </w:r>
          </w:p>
        </w:tc>
        <w:tc>
          <w:tcPr>
            <w:tcW w:type="dxa" w:w="6120"/>
            <w:shd w:fill="F4F6F7"/>
            <w:tcMar>
              <w:top w:w="70" w:type="dxa"/>
              <w:start w:w="110" w:type="dxa"/>
              <w:bottom w:w="70" w:type="dxa"/>
              <w:end w:w="110" w:type="dxa"/>
            </w:tcMar>
          </w:tcPr>
          <w:p>
            <w:pPr>
              <w:widowControl/>
              <w:spacing w:after="0"/>
            </w:pPr>
            <w:r>
              <w:rPr>
                <w:rFonts w:ascii="Arial" w:hAnsi="Arial"/>
                <w:sz w:val="17"/>
              </w:rPr>
              <w:t>cultural industries</w:t>
            </w:r>
          </w:p>
        </w:tc>
      </w:tr>
      <w:tr>
        <w:tc>
          <w:tcPr>
            <w:tcW w:type="dxa" w:w="3528"/>
            <w:tcMar>
              <w:top w:w="70" w:type="dxa"/>
              <w:start w:w="110" w:type="dxa"/>
              <w:bottom w:w="70" w:type="dxa"/>
              <w:end w:w="110" w:type="dxa"/>
            </w:tcMar>
          </w:tcPr>
          <w:p>
            <w:pPr>
              <w:widowControl/>
              <w:spacing w:after="0"/>
            </w:pPr>
            <w:r>
              <w:rPr>
                <w:rFonts w:ascii="Arial" w:hAnsi="Arial"/>
                <w:sz w:val="17"/>
              </w:rPr>
              <w:t>Public health-policy space</w:t>
            </w:r>
          </w:p>
        </w:tc>
        <w:tc>
          <w:tcPr>
            <w:tcW w:type="dxa" w:w="6120"/>
            <w:tcMar>
              <w:top w:w="70" w:type="dxa"/>
              <w:start w:w="110" w:type="dxa"/>
              <w:bottom w:w="70" w:type="dxa"/>
              <w:end w:w="110" w:type="dxa"/>
            </w:tcMar>
          </w:tcPr>
          <w:p>
            <w:pPr>
              <w:widowControl/>
              <w:spacing w:after="0"/>
            </w:pPr>
            <w:r>
              <w:rPr>
                <w:rFonts w:ascii="Arial" w:hAnsi="Arial"/>
                <w:sz w:val="17"/>
              </w:rPr>
              <w:t>public health</w:t>
            </w:r>
          </w:p>
        </w:tc>
      </w:tr>
      <w:tr>
        <w:tc>
          <w:tcPr>
            <w:tcW w:type="dxa" w:w="3528"/>
            <w:shd w:fill="F4F6F7"/>
            <w:tcMar>
              <w:top w:w="70" w:type="dxa"/>
              <w:start w:w="110" w:type="dxa"/>
              <w:bottom w:w="70" w:type="dxa"/>
              <w:end w:w="110" w:type="dxa"/>
            </w:tcMar>
          </w:tcPr>
          <w:p>
            <w:pPr>
              <w:widowControl/>
              <w:spacing w:after="0"/>
            </w:pPr>
            <w:r>
              <w:rPr>
                <w:rFonts w:ascii="Arial" w:hAnsi="Arial"/>
                <w:sz w:val="17"/>
              </w:rPr>
              <w:t>Indigenous economic participation</w:t>
            </w:r>
          </w:p>
        </w:tc>
        <w:tc>
          <w:tcPr>
            <w:tcW w:type="dxa" w:w="6120"/>
            <w:shd w:fill="F4F6F7"/>
            <w:tcMar>
              <w:top w:w="70" w:type="dxa"/>
              <w:start w:w="110" w:type="dxa"/>
              <w:bottom w:w="70" w:type="dxa"/>
              <w:end w:w="110" w:type="dxa"/>
            </w:tcMar>
          </w:tcPr>
          <w:p>
            <w:pPr>
              <w:widowControl/>
              <w:spacing w:after="0"/>
            </w:pPr>
            <w:r>
              <w:rPr>
                <w:rFonts w:ascii="Arial" w:hAnsi="Arial"/>
                <w:sz w:val="17"/>
              </w:rPr>
              <w:t>Indigenous peoples</w:t>
            </w:r>
          </w:p>
        </w:tc>
      </w:tr>
      <w:tr>
        <w:tc>
          <w:tcPr>
            <w:tcW w:type="dxa" w:w="3528"/>
            <w:tcMar>
              <w:top w:w="70" w:type="dxa"/>
              <w:start w:w="110" w:type="dxa"/>
              <w:bottom w:w="70" w:type="dxa"/>
              <w:end w:w="110" w:type="dxa"/>
            </w:tcMar>
          </w:tcPr>
          <w:p>
            <w:pPr>
              <w:widowControl/>
              <w:spacing w:after="0"/>
            </w:pPr>
            <w:r>
              <w:rPr>
                <w:rFonts w:ascii="Arial" w:hAnsi="Arial"/>
                <w:sz w:val="17"/>
              </w:rPr>
              <w:t>Energy reliability</w:t>
            </w:r>
          </w:p>
        </w:tc>
        <w:tc>
          <w:tcPr>
            <w:tcW w:type="dxa" w:w="6120"/>
            <w:tcMar>
              <w:top w:w="70" w:type="dxa"/>
              <w:start w:w="110" w:type="dxa"/>
              <w:bottom w:w="70" w:type="dxa"/>
              <w:end w:w="110" w:type="dxa"/>
            </w:tcMar>
          </w:tcPr>
          <w:p>
            <w:pPr>
              <w:widowControl/>
              <w:spacing w:after="0"/>
            </w:pPr>
            <w:r>
              <w:rPr>
                <w:rFonts w:ascii="Arial" w:hAnsi="Arial"/>
                <w:sz w:val="17"/>
              </w:rPr>
              <w:t>energy security</w:t>
            </w:r>
          </w:p>
        </w:tc>
      </w:tr>
      <w:tr>
        <w:tc>
          <w:tcPr>
            <w:tcW w:type="dxa" w:w="3528"/>
            <w:shd w:fill="F4F6F7"/>
            <w:tcMar>
              <w:top w:w="70" w:type="dxa"/>
              <w:start w:w="110" w:type="dxa"/>
              <w:bottom w:w="70" w:type="dxa"/>
              <w:end w:w="110" w:type="dxa"/>
            </w:tcMar>
          </w:tcPr>
          <w:p>
            <w:pPr>
              <w:widowControl/>
              <w:spacing w:after="0"/>
            </w:pPr>
            <w:r>
              <w:rPr>
                <w:rFonts w:ascii="Arial" w:hAnsi="Arial"/>
                <w:sz w:val="17"/>
              </w:rPr>
              <w:t>Automotive production</w:t>
            </w:r>
          </w:p>
        </w:tc>
        <w:tc>
          <w:tcPr>
            <w:tcW w:type="dxa" w:w="6120"/>
            <w:shd w:fill="F4F6F7"/>
            <w:tcMar>
              <w:top w:w="70" w:type="dxa"/>
              <w:start w:w="110" w:type="dxa"/>
              <w:bottom w:w="70" w:type="dxa"/>
              <w:end w:w="110" w:type="dxa"/>
            </w:tcMar>
          </w:tcPr>
          <w:p>
            <w:pPr>
              <w:widowControl/>
              <w:spacing w:after="0"/>
            </w:pPr>
            <w:r>
              <w:rPr>
                <w:rFonts w:ascii="Arial" w:hAnsi="Arial"/>
                <w:sz w:val="17"/>
              </w:rPr>
              <w:t>Three-Tier RVC</w:t>
            </w:r>
          </w:p>
        </w:tc>
      </w:tr>
      <w:tr>
        <w:tc>
          <w:tcPr>
            <w:tcW w:type="dxa" w:w="3528"/>
            <w:tcMar>
              <w:top w:w="70" w:type="dxa"/>
              <w:start w:w="110" w:type="dxa"/>
              <w:bottom w:w="70" w:type="dxa"/>
              <w:end w:w="110" w:type="dxa"/>
            </w:tcMar>
          </w:tcPr>
          <w:p>
            <w:pPr>
              <w:widowControl/>
              <w:spacing w:after="0"/>
            </w:pPr>
            <w:r>
              <w:rPr>
                <w:rFonts w:ascii="Arial" w:hAnsi="Arial"/>
                <w:sz w:val="17"/>
              </w:rPr>
              <w:t>Forestry normalization</w:t>
            </w:r>
          </w:p>
        </w:tc>
        <w:tc>
          <w:tcPr>
            <w:tcW w:type="dxa" w:w="6120"/>
            <w:tcMar>
              <w:top w:w="70" w:type="dxa"/>
              <w:start w:w="110" w:type="dxa"/>
              <w:bottom w:w="70" w:type="dxa"/>
              <w:end w:w="110" w:type="dxa"/>
            </w:tcMar>
          </w:tcPr>
          <w:p>
            <w:pPr>
              <w:widowControl/>
              <w:spacing w:after="0"/>
            </w:pPr>
            <w:r>
              <w:rPr>
                <w:rFonts w:ascii="Arial" w:hAnsi="Arial"/>
                <w:sz w:val="17"/>
              </w:rPr>
              <w:t>forestry</w:t>
            </w:r>
          </w:p>
        </w:tc>
      </w:tr>
      <w:tr>
        <w:tc>
          <w:tcPr>
            <w:tcW w:type="dxa" w:w="3528"/>
            <w:shd w:fill="F4F6F7"/>
            <w:tcMar>
              <w:top w:w="70" w:type="dxa"/>
              <w:start w:w="110" w:type="dxa"/>
              <w:bottom w:w="70" w:type="dxa"/>
              <w:end w:w="110" w:type="dxa"/>
            </w:tcMar>
          </w:tcPr>
          <w:p>
            <w:pPr>
              <w:widowControl/>
              <w:spacing w:after="0"/>
            </w:pPr>
            <w:r>
              <w:rPr>
                <w:rFonts w:ascii="Arial" w:hAnsi="Arial"/>
                <w:sz w:val="17"/>
              </w:rPr>
              <w:t>Water sovereignty</w:t>
            </w:r>
          </w:p>
        </w:tc>
        <w:tc>
          <w:tcPr>
            <w:tcW w:type="dxa" w:w="6120"/>
            <w:shd w:fill="F4F6F7"/>
            <w:tcMar>
              <w:top w:w="70" w:type="dxa"/>
              <w:start w:w="110" w:type="dxa"/>
              <w:bottom w:w="70" w:type="dxa"/>
              <w:end w:w="110" w:type="dxa"/>
            </w:tcMar>
          </w:tcPr>
          <w:p>
            <w:pPr>
              <w:widowControl/>
              <w:spacing w:after="0"/>
            </w:pPr>
            <w:r>
              <w:rPr>
                <w:rFonts w:ascii="Arial" w:hAnsi="Arial"/>
                <w:sz w:val="17"/>
              </w:rPr>
              <w:t>water sovereignty</w:t>
            </w:r>
          </w:p>
        </w:tc>
      </w:tr>
      <w:tr>
        <w:tc>
          <w:tcPr>
            <w:tcW w:type="dxa" w:w="3528"/>
            <w:tcMar>
              <w:top w:w="70" w:type="dxa"/>
              <w:start w:w="110" w:type="dxa"/>
              <w:bottom w:w="70" w:type="dxa"/>
              <w:end w:w="110" w:type="dxa"/>
            </w:tcMar>
          </w:tcPr>
          <w:p>
            <w:pPr>
              <w:widowControl/>
              <w:spacing w:after="0"/>
            </w:pPr>
            <w:r>
              <w:rPr>
                <w:rFonts w:ascii="Arial" w:hAnsi="Arial"/>
                <w:sz w:val="17"/>
              </w:rPr>
              <w:t>French-language safeguards</w:t>
            </w:r>
          </w:p>
        </w:tc>
        <w:tc>
          <w:tcPr>
            <w:tcW w:type="dxa" w:w="6120"/>
            <w:tcMar>
              <w:top w:w="70" w:type="dxa"/>
              <w:start w:w="110" w:type="dxa"/>
              <w:bottom w:w="70" w:type="dxa"/>
              <w:end w:w="110" w:type="dxa"/>
            </w:tcMar>
          </w:tcPr>
          <w:p>
            <w:pPr>
              <w:widowControl/>
              <w:spacing w:after="0"/>
            </w:pPr>
            <w:r>
              <w:rPr>
                <w:rFonts w:ascii="Arial" w:hAnsi="Arial"/>
                <w:sz w:val="17"/>
              </w:rPr>
              <w:t>French language</w:t>
            </w:r>
          </w:p>
        </w:tc>
      </w:tr>
      <w:tr>
        <w:tc>
          <w:tcPr>
            <w:tcW w:type="dxa" w:w="3528"/>
            <w:shd w:fill="F4F6F7"/>
            <w:tcMar>
              <w:top w:w="70" w:type="dxa"/>
              <w:start w:w="110" w:type="dxa"/>
              <w:bottom w:w="70" w:type="dxa"/>
              <w:end w:w="110" w:type="dxa"/>
            </w:tcMar>
          </w:tcPr>
          <w:p>
            <w:pPr>
              <w:widowControl/>
              <w:spacing w:after="0"/>
            </w:pPr>
            <w:r>
              <w:rPr>
                <w:rFonts w:ascii="Arial" w:hAnsi="Arial"/>
                <w:sz w:val="17"/>
              </w:rPr>
              <w:t>Procurement access</w:t>
            </w:r>
          </w:p>
        </w:tc>
        <w:tc>
          <w:tcPr>
            <w:tcW w:type="dxa" w:w="6120"/>
            <w:shd w:fill="F4F6F7"/>
            <w:tcMar>
              <w:top w:w="70" w:type="dxa"/>
              <w:start w:w="110" w:type="dxa"/>
              <w:bottom w:w="70" w:type="dxa"/>
              <w:end w:w="110" w:type="dxa"/>
            </w:tcMar>
          </w:tcPr>
          <w:p>
            <w:pPr>
              <w:widowControl/>
              <w:spacing w:after="0"/>
            </w:pPr>
            <w:r>
              <w:rPr>
                <w:rFonts w:ascii="Arial" w:hAnsi="Arial"/>
                <w:sz w:val="17"/>
              </w:rPr>
              <w:t>procurement value equivalence</w:t>
            </w:r>
          </w:p>
        </w:tc>
      </w:tr>
      <w:tr>
        <w:tc>
          <w:tcPr>
            <w:tcW w:type="dxa" w:w="3528"/>
            <w:tcMar>
              <w:top w:w="70" w:type="dxa"/>
              <w:start w:w="110" w:type="dxa"/>
              <w:bottom w:w="70" w:type="dxa"/>
              <w:end w:w="110" w:type="dxa"/>
            </w:tcMar>
          </w:tcPr>
          <w:p>
            <w:pPr>
              <w:widowControl/>
              <w:spacing w:after="0"/>
            </w:pPr>
            <w:r>
              <w:rPr>
                <w:rFonts w:ascii="Arial" w:hAnsi="Arial"/>
                <w:sz w:val="17"/>
              </w:rPr>
              <w:t>Aerospace and advanced manufacturing</w:t>
            </w:r>
          </w:p>
        </w:tc>
        <w:tc>
          <w:tcPr>
            <w:tcW w:type="dxa" w:w="6120"/>
            <w:tcMar>
              <w:top w:w="70" w:type="dxa"/>
              <w:start w:w="110" w:type="dxa"/>
              <w:bottom w:w="70" w:type="dxa"/>
              <w:end w:w="110" w:type="dxa"/>
            </w:tcMar>
          </w:tcPr>
          <w:p>
            <w:pPr>
              <w:widowControl/>
              <w:spacing w:after="0"/>
            </w:pPr>
            <w:r>
              <w:rPr>
                <w:rFonts w:ascii="Arial" w:hAnsi="Arial"/>
                <w:sz w:val="17"/>
              </w:rPr>
              <w:t>aerospace</w:t>
            </w:r>
          </w:p>
        </w:tc>
      </w:tr>
      <w:tr>
        <w:tc>
          <w:tcPr>
            <w:tcW w:type="dxa" w:w="3528"/>
            <w:shd w:fill="F4F6F7"/>
            <w:tcMar>
              <w:top w:w="70" w:type="dxa"/>
              <w:start w:w="110" w:type="dxa"/>
              <w:bottom w:w="70" w:type="dxa"/>
              <w:end w:w="110" w:type="dxa"/>
            </w:tcMar>
          </w:tcPr>
          <w:p>
            <w:pPr>
              <w:widowControl/>
              <w:spacing w:after="0"/>
            </w:pPr>
            <w:r>
              <w:rPr>
                <w:rFonts w:ascii="Arial" w:hAnsi="Arial"/>
                <w:sz w:val="17"/>
              </w:rPr>
              <w:t>Fisheries and coastal communities</w:t>
            </w:r>
          </w:p>
        </w:tc>
        <w:tc>
          <w:tcPr>
            <w:tcW w:type="dxa" w:w="6120"/>
            <w:shd w:fill="F4F6F7"/>
            <w:tcMar>
              <w:top w:w="70" w:type="dxa"/>
              <w:start w:w="110" w:type="dxa"/>
              <w:bottom w:w="70" w:type="dxa"/>
              <w:end w:w="110" w:type="dxa"/>
            </w:tcMar>
          </w:tcPr>
          <w:p>
            <w:pPr>
              <w:widowControl/>
              <w:spacing w:after="0"/>
            </w:pPr>
            <w:r>
              <w:rPr>
                <w:rFonts w:ascii="Arial" w:hAnsi="Arial"/>
                <w:sz w:val="17"/>
              </w:rPr>
              <w:t>fisheries</w:t>
            </w:r>
          </w:p>
        </w:tc>
      </w:tr>
      <w:tr>
        <w:tc>
          <w:tcPr>
            <w:tcW w:type="dxa" w:w="3528"/>
            <w:tcMar>
              <w:top w:w="70" w:type="dxa"/>
              <w:start w:w="110" w:type="dxa"/>
              <w:bottom w:w="70" w:type="dxa"/>
              <w:end w:w="110" w:type="dxa"/>
            </w:tcMar>
          </w:tcPr>
          <w:p>
            <w:pPr>
              <w:widowControl/>
              <w:spacing w:after="0"/>
            </w:pPr>
            <w:r>
              <w:rPr>
                <w:rFonts w:ascii="Arial" w:hAnsi="Arial"/>
                <w:sz w:val="17"/>
              </w:rPr>
              <w:t>No uncompensated front-loading</w:t>
            </w:r>
          </w:p>
        </w:tc>
        <w:tc>
          <w:tcPr>
            <w:tcW w:type="dxa" w:w="6120"/>
            <w:tcMar>
              <w:top w:w="70" w:type="dxa"/>
              <w:start w:w="110" w:type="dxa"/>
              <w:bottom w:w="70" w:type="dxa"/>
              <w:end w:w="110" w:type="dxa"/>
            </w:tcMar>
          </w:tcPr>
          <w:p>
            <w:pPr>
              <w:widowControl/>
              <w:spacing w:after="0"/>
            </w:pPr>
            <w:r>
              <w:rPr>
                <w:rFonts w:ascii="Arial" w:hAnsi="Arial"/>
                <w:sz w:val="17"/>
              </w:rPr>
              <w:t>No Uncompensated Front-Loading</w:t>
            </w:r>
          </w:p>
        </w:tc>
      </w:tr>
    </w:tbl>
    <w:p>
      <w:bookmarkStart w:id="1001" w:name="_NAESTMA_TOC_1001"/>
      <w:pPr>
        <w:pStyle w:val="Heading2"/>
        <w:keepNext/>
        <w:widowControl/>
      </w:pPr>
      <w:r>
        <w:t>UNITED STATES — NEGOTIATOR VISIBILITY INDEX</w:t>
      </w:r>
      <w:bookmarkEnd w:id="1001"/>
    </w:p>
    <w:tbl>
      <w:tblPr>
        <w:tblStyle w:val="TableGrid"/>
        <w:tblW w:type="auto" w:w="0"/>
        <w:jc w:val="center"/>
        <w:tblLayout w:type="autofit"/>
        <w:tblLook w:firstColumn="1" w:firstRow="1" w:lastColumn="0" w:lastRow="0" w:noHBand="0" w:noVBand="1" w:val="04A0"/>
      </w:tblPr>
      <w:tblGrid>
        <w:gridCol w:w="4680"/>
        <w:gridCol w:w="4680"/>
      </w:tblGrid>
      <w:tr>
        <w:trPr>
          <w:tblHeader w:val="true"/>
          <w:tblHeader w:val="true"/>
        </w:trPr>
        <w:tc>
          <w:tcPr>
            <w:tcW w:type="dxa" w:w="3528"/>
            <w:shd w:fill="233746"/>
            <w:vAlign w:val="center"/>
            <w:tcMar>
              <w:top w:w="70" w:type="dxa"/>
              <w:start w:w="110" w:type="dxa"/>
              <w:bottom w:w="70" w:type="dxa"/>
              <w:end w:w="110" w:type="dxa"/>
            </w:tcMar>
          </w:tcPr>
          <w:p>
            <w:pPr>
              <w:spacing w:after="0"/>
            </w:pPr>
            <w:r>
              <w:rPr>
                <w:rFonts w:ascii="Arial" w:hAnsi="Arial"/>
                <w:b/>
                <w:color w:val="FFFFFF"/>
                <w:sz w:val="17"/>
              </w:rPr>
              <w:t>Visible national win</w:t>
            </w:r>
          </w:p>
        </w:tc>
        <w:tc>
          <w:tcPr>
            <w:tcW w:type="dxa" w:w="6120"/>
            <w:shd w:fill="233746"/>
            <w:vAlign w:val="center"/>
            <w:tcMar>
              <w:top w:w="70" w:type="dxa"/>
              <w:start w:w="110" w:type="dxa"/>
              <w:bottom w:w="70" w:type="dxa"/>
              <w:end w:w="110" w:type="dxa"/>
            </w:tcMar>
          </w:tcPr>
          <w:p>
            <w:pPr>
              <w:spacing w:after="0"/>
            </w:pPr>
            <w:r>
              <w:rPr>
                <w:rFonts w:ascii="Arial" w:hAnsi="Arial"/>
                <w:b/>
                <w:color w:val="FFFFFF"/>
                <w:sz w:val="17"/>
              </w:rPr>
              <w:t>Ctrl+F navigation phrase</w:t>
            </w:r>
          </w:p>
        </w:tc>
      </w:tr>
      <w:tr>
        <w:tc>
          <w:tcPr>
            <w:tcW w:type="dxa" w:w="3528"/>
            <w:tcMar>
              <w:top w:w="70" w:type="dxa"/>
              <w:start w:w="110" w:type="dxa"/>
              <w:bottom w:w="70" w:type="dxa"/>
              <w:end w:w="110" w:type="dxa"/>
            </w:tcMar>
          </w:tcPr>
          <w:p>
            <w:pPr>
              <w:widowControl/>
              <w:spacing w:after="0"/>
            </w:pPr>
            <w:r>
              <w:rPr>
                <w:rFonts w:ascii="Arial" w:hAnsi="Arial"/>
                <w:sz w:val="17"/>
              </w:rPr>
              <w:t>Durable tariff preferences</w:t>
            </w:r>
          </w:p>
        </w:tc>
        <w:tc>
          <w:tcPr>
            <w:tcW w:type="dxa" w:w="6120"/>
            <w:tcMar>
              <w:top w:w="70" w:type="dxa"/>
              <w:start w:w="110" w:type="dxa"/>
              <w:bottom w:w="70" w:type="dxa"/>
              <w:end w:w="110" w:type="dxa"/>
            </w:tcMar>
          </w:tcPr>
          <w:p>
            <w:pPr>
              <w:widowControl/>
              <w:spacing w:after="0"/>
            </w:pPr>
            <w:r>
              <w:rPr>
                <w:rFonts w:ascii="Arial" w:hAnsi="Arial"/>
                <w:sz w:val="17"/>
              </w:rPr>
              <w:t>Tariff Finality</w:t>
            </w:r>
          </w:p>
        </w:tc>
      </w:tr>
      <w:tr>
        <w:tc>
          <w:tcPr>
            <w:tcW w:type="dxa" w:w="3528"/>
            <w:shd w:fill="F4F6F7"/>
            <w:tcMar>
              <w:top w:w="70" w:type="dxa"/>
              <w:start w:w="110" w:type="dxa"/>
              <w:bottom w:w="70" w:type="dxa"/>
              <w:end w:w="110" w:type="dxa"/>
            </w:tcMar>
          </w:tcPr>
          <w:p>
            <w:pPr>
              <w:widowControl/>
              <w:spacing w:after="0"/>
            </w:pPr>
            <w:r>
              <w:rPr>
                <w:rFonts w:ascii="Arial" w:hAnsi="Arial"/>
                <w:sz w:val="17"/>
              </w:rPr>
              <w:t>Automotive market access</w:t>
            </w:r>
          </w:p>
        </w:tc>
        <w:tc>
          <w:tcPr>
            <w:tcW w:type="dxa" w:w="6120"/>
            <w:shd w:fill="F4F6F7"/>
            <w:tcMar>
              <w:top w:w="70" w:type="dxa"/>
              <w:start w:w="110" w:type="dxa"/>
              <w:bottom w:w="70" w:type="dxa"/>
              <w:end w:w="110" w:type="dxa"/>
            </w:tcMar>
          </w:tcPr>
          <w:p>
            <w:pPr>
              <w:widowControl/>
              <w:spacing w:after="0"/>
            </w:pPr>
            <w:r>
              <w:rPr>
                <w:rFonts w:ascii="Arial" w:hAnsi="Arial"/>
                <w:sz w:val="17"/>
              </w:rPr>
              <w:t>13.8 percent</w:t>
            </w:r>
          </w:p>
        </w:tc>
      </w:tr>
      <w:tr>
        <w:tc>
          <w:tcPr>
            <w:tcW w:type="dxa" w:w="3528"/>
            <w:tcMar>
              <w:top w:w="70" w:type="dxa"/>
              <w:start w:w="110" w:type="dxa"/>
              <w:bottom w:w="70" w:type="dxa"/>
              <w:end w:w="110" w:type="dxa"/>
            </w:tcMar>
          </w:tcPr>
          <w:p>
            <w:pPr>
              <w:widowControl/>
              <w:spacing w:after="0"/>
            </w:pPr>
            <w:r>
              <w:rPr>
                <w:rFonts w:ascii="Arial" w:hAnsi="Arial"/>
                <w:sz w:val="17"/>
              </w:rPr>
              <w:t>Dairy market access</w:t>
            </w:r>
          </w:p>
        </w:tc>
        <w:tc>
          <w:tcPr>
            <w:tcW w:type="dxa" w:w="6120"/>
            <w:tcMar>
              <w:top w:w="70" w:type="dxa"/>
              <w:start w:w="110" w:type="dxa"/>
              <w:bottom w:w="70" w:type="dxa"/>
              <w:end w:w="110" w:type="dxa"/>
            </w:tcMar>
          </w:tcPr>
          <w:p>
            <w:pPr>
              <w:widowControl/>
              <w:spacing w:after="0"/>
            </w:pPr>
            <w:r>
              <w:rPr>
                <w:rFonts w:ascii="Arial" w:hAnsi="Arial"/>
                <w:sz w:val="17"/>
              </w:rPr>
              <w:t>Cheeses of All Types</w:t>
            </w:r>
          </w:p>
        </w:tc>
      </w:tr>
      <w:tr>
        <w:tc>
          <w:tcPr>
            <w:tcW w:type="dxa" w:w="3528"/>
            <w:shd w:fill="F4F6F7"/>
            <w:tcMar>
              <w:top w:w="70" w:type="dxa"/>
              <w:start w:w="110" w:type="dxa"/>
              <w:bottom w:w="70" w:type="dxa"/>
              <w:end w:w="110" w:type="dxa"/>
            </w:tcMar>
          </w:tcPr>
          <w:p>
            <w:pPr>
              <w:widowControl/>
              <w:spacing w:after="0"/>
            </w:pPr>
            <w:r>
              <w:rPr>
                <w:rFonts w:ascii="Arial" w:hAnsi="Arial"/>
                <w:sz w:val="17"/>
              </w:rPr>
              <w:t>Semiconductor resilience</w:t>
            </w:r>
          </w:p>
        </w:tc>
        <w:tc>
          <w:tcPr>
            <w:tcW w:type="dxa" w:w="6120"/>
            <w:shd w:fill="F4F6F7"/>
            <w:tcMar>
              <w:top w:w="70" w:type="dxa"/>
              <w:start w:w="110" w:type="dxa"/>
              <w:bottom w:w="70" w:type="dxa"/>
              <w:end w:w="110" w:type="dxa"/>
            </w:tcMar>
          </w:tcPr>
          <w:p>
            <w:pPr>
              <w:widowControl/>
              <w:spacing w:after="0"/>
            </w:pPr>
            <w:r>
              <w:rPr>
                <w:rFonts w:ascii="Arial" w:hAnsi="Arial"/>
                <w:sz w:val="17"/>
              </w:rPr>
              <w:t>semiconductors</w:t>
            </w:r>
          </w:p>
        </w:tc>
      </w:tr>
      <w:tr>
        <w:tc>
          <w:tcPr>
            <w:tcW w:type="dxa" w:w="3528"/>
            <w:tcMar>
              <w:top w:w="70" w:type="dxa"/>
              <w:start w:w="110" w:type="dxa"/>
              <w:bottom w:w="70" w:type="dxa"/>
              <w:end w:w="110" w:type="dxa"/>
            </w:tcMar>
          </w:tcPr>
          <w:p>
            <w:pPr>
              <w:widowControl/>
              <w:spacing w:after="0"/>
            </w:pPr>
            <w:r>
              <w:rPr>
                <w:rFonts w:ascii="Arial" w:hAnsi="Arial"/>
                <w:sz w:val="17"/>
              </w:rPr>
              <w:t>Medicines supply resilience</w:t>
            </w:r>
          </w:p>
        </w:tc>
        <w:tc>
          <w:tcPr>
            <w:tcW w:type="dxa" w:w="6120"/>
            <w:tcMar>
              <w:top w:w="70" w:type="dxa"/>
              <w:start w:w="110" w:type="dxa"/>
              <w:bottom w:w="70" w:type="dxa"/>
              <w:end w:w="110" w:type="dxa"/>
            </w:tcMar>
          </w:tcPr>
          <w:p>
            <w:pPr>
              <w:widowControl/>
              <w:spacing w:after="0"/>
            </w:pPr>
            <w:r>
              <w:rPr>
                <w:rFonts w:ascii="Arial" w:hAnsi="Arial"/>
                <w:sz w:val="17"/>
              </w:rPr>
              <w:t>medicines</w:t>
            </w:r>
          </w:p>
        </w:tc>
      </w:tr>
      <w:tr>
        <w:tc>
          <w:tcPr>
            <w:tcW w:type="dxa" w:w="3528"/>
            <w:shd w:fill="F4F6F7"/>
            <w:tcMar>
              <w:top w:w="70" w:type="dxa"/>
              <w:start w:w="110" w:type="dxa"/>
              <w:bottom w:w="70" w:type="dxa"/>
              <w:end w:w="110" w:type="dxa"/>
            </w:tcMar>
          </w:tcPr>
          <w:p>
            <w:pPr>
              <w:widowControl/>
              <w:spacing w:after="0"/>
            </w:pPr>
            <w:r>
              <w:rPr>
                <w:rFonts w:ascii="Arial" w:hAnsi="Arial"/>
                <w:sz w:val="17"/>
              </w:rPr>
              <w:t>Critical-minerals access</w:t>
            </w:r>
          </w:p>
        </w:tc>
        <w:tc>
          <w:tcPr>
            <w:tcW w:type="dxa" w:w="6120"/>
            <w:shd w:fill="F4F6F7"/>
            <w:tcMar>
              <w:top w:w="70" w:type="dxa"/>
              <w:start w:w="110" w:type="dxa"/>
              <w:bottom w:w="70" w:type="dxa"/>
              <w:end w:w="110" w:type="dxa"/>
            </w:tcMar>
          </w:tcPr>
          <w:p>
            <w:pPr>
              <w:widowControl/>
              <w:spacing w:after="0"/>
            </w:pPr>
            <w:r>
              <w:rPr>
                <w:rFonts w:ascii="Arial" w:hAnsi="Arial"/>
                <w:sz w:val="17"/>
              </w:rPr>
              <w:t>critical minerals</w:t>
            </w:r>
          </w:p>
        </w:tc>
      </w:tr>
      <w:tr>
        <w:tc>
          <w:tcPr>
            <w:tcW w:type="dxa" w:w="3528"/>
            <w:tcMar>
              <w:top w:w="70" w:type="dxa"/>
              <w:start w:w="110" w:type="dxa"/>
              <w:bottom w:w="70" w:type="dxa"/>
              <w:end w:w="110" w:type="dxa"/>
            </w:tcMar>
          </w:tcPr>
          <w:p>
            <w:pPr>
              <w:widowControl/>
              <w:spacing w:after="0"/>
            </w:pPr>
            <w:r>
              <w:rPr>
                <w:rFonts w:ascii="Arial" w:hAnsi="Arial"/>
                <w:sz w:val="17"/>
              </w:rPr>
              <w:t>Forced-labour enforcement</w:t>
            </w:r>
          </w:p>
        </w:tc>
        <w:tc>
          <w:tcPr>
            <w:tcW w:type="dxa" w:w="6120"/>
            <w:tcMar>
              <w:top w:w="70" w:type="dxa"/>
              <w:start w:w="110" w:type="dxa"/>
              <w:bottom w:w="70" w:type="dxa"/>
              <w:end w:w="110" w:type="dxa"/>
            </w:tcMar>
          </w:tcPr>
          <w:p>
            <w:pPr>
              <w:widowControl/>
              <w:spacing w:after="0"/>
            </w:pPr>
            <w:r>
              <w:rPr>
                <w:rFonts w:ascii="Arial" w:hAnsi="Arial"/>
                <w:sz w:val="17"/>
              </w:rPr>
              <w:t>forced or compulsory labour</w:t>
            </w:r>
          </w:p>
        </w:tc>
      </w:tr>
      <w:tr>
        <w:tc>
          <w:tcPr>
            <w:tcW w:type="dxa" w:w="3528"/>
            <w:shd w:fill="F4F6F7"/>
            <w:tcMar>
              <w:top w:w="70" w:type="dxa"/>
              <w:start w:w="110" w:type="dxa"/>
              <w:bottom w:w="70" w:type="dxa"/>
              <w:end w:w="110" w:type="dxa"/>
            </w:tcMar>
          </w:tcPr>
          <w:p>
            <w:pPr>
              <w:widowControl/>
              <w:spacing w:after="0"/>
            </w:pPr>
            <w:r>
              <w:rPr>
                <w:rFonts w:ascii="Arial" w:hAnsi="Arial"/>
                <w:sz w:val="17"/>
              </w:rPr>
              <w:t>Digital trade</w:t>
            </w:r>
          </w:p>
        </w:tc>
        <w:tc>
          <w:tcPr>
            <w:tcW w:type="dxa" w:w="6120"/>
            <w:shd w:fill="F4F6F7"/>
            <w:tcMar>
              <w:top w:w="70" w:type="dxa"/>
              <w:start w:w="110" w:type="dxa"/>
              <w:bottom w:w="70" w:type="dxa"/>
              <w:end w:w="110" w:type="dxa"/>
            </w:tcMar>
          </w:tcPr>
          <w:p>
            <w:pPr>
              <w:widowControl/>
              <w:spacing w:after="0"/>
            </w:pPr>
            <w:r>
              <w:rPr>
                <w:rFonts w:ascii="Arial" w:hAnsi="Arial"/>
                <w:sz w:val="17"/>
              </w:rPr>
              <w:t>digital trade</w:t>
            </w:r>
          </w:p>
        </w:tc>
      </w:tr>
      <w:tr>
        <w:tc>
          <w:tcPr>
            <w:tcW w:type="dxa" w:w="3528"/>
            <w:tcMar>
              <w:top w:w="70" w:type="dxa"/>
              <w:start w:w="110" w:type="dxa"/>
              <w:bottom w:w="70" w:type="dxa"/>
              <w:end w:w="110" w:type="dxa"/>
            </w:tcMar>
          </w:tcPr>
          <w:p>
            <w:pPr>
              <w:widowControl/>
              <w:spacing w:after="0"/>
            </w:pPr>
            <w:r>
              <w:rPr>
                <w:rFonts w:ascii="Arial" w:hAnsi="Arial"/>
                <w:sz w:val="17"/>
              </w:rPr>
              <w:t>Intellectual property</w:t>
            </w:r>
          </w:p>
        </w:tc>
        <w:tc>
          <w:tcPr>
            <w:tcW w:type="dxa" w:w="6120"/>
            <w:tcMar>
              <w:top w:w="70" w:type="dxa"/>
              <w:start w:w="110" w:type="dxa"/>
              <w:bottom w:w="70" w:type="dxa"/>
              <w:end w:w="110" w:type="dxa"/>
            </w:tcMar>
          </w:tcPr>
          <w:p>
            <w:pPr>
              <w:widowControl/>
              <w:spacing w:after="0"/>
            </w:pPr>
            <w:r>
              <w:rPr>
                <w:rFonts w:ascii="Arial" w:hAnsi="Arial"/>
                <w:sz w:val="17"/>
              </w:rPr>
              <w:t>intellectual property</w:t>
            </w:r>
          </w:p>
        </w:tc>
      </w:tr>
      <w:tr>
        <w:tc>
          <w:tcPr>
            <w:tcW w:type="dxa" w:w="3528"/>
            <w:shd w:fill="F4F6F7"/>
            <w:tcMar>
              <w:top w:w="70" w:type="dxa"/>
              <w:start w:w="110" w:type="dxa"/>
              <w:bottom w:w="70" w:type="dxa"/>
              <w:end w:w="110" w:type="dxa"/>
            </w:tcMar>
          </w:tcPr>
          <w:p>
            <w:pPr>
              <w:widowControl/>
              <w:spacing w:after="0"/>
            </w:pPr>
            <w:r>
              <w:rPr>
                <w:rFonts w:ascii="Arial" w:hAnsi="Arial"/>
                <w:sz w:val="17"/>
              </w:rPr>
              <w:t>Energy trade</w:t>
            </w:r>
          </w:p>
        </w:tc>
        <w:tc>
          <w:tcPr>
            <w:tcW w:type="dxa" w:w="6120"/>
            <w:shd w:fill="F4F6F7"/>
            <w:tcMar>
              <w:top w:w="70" w:type="dxa"/>
              <w:start w:w="110" w:type="dxa"/>
              <w:bottom w:w="70" w:type="dxa"/>
              <w:end w:w="110" w:type="dxa"/>
            </w:tcMar>
          </w:tcPr>
          <w:p>
            <w:pPr>
              <w:widowControl/>
              <w:spacing w:after="0"/>
            </w:pPr>
            <w:r>
              <w:rPr>
                <w:rFonts w:ascii="Arial" w:hAnsi="Arial"/>
                <w:sz w:val="17"/>
              </w:rPr>
              <w:t>energy security</w:t>
            </w:r>
          </w:p>
        </w:tc>
      </w:tr>
      <w:tr>
        <w:tc>
          <w:tcPr>
            <w:tcW w:type="dxa" w:w="3528"/>
            <w:tcMar>
              <w:top w:w="70" w:type="dxa"/>
              <w:start w:w="110" w:type="dxa"/>
              <w:bottom w:w="70" w:type="dxa"/>
              <w:end w:w="110" w:type="dxa"/>
            </w:tcMar>
          </w:tcPr>
          <w:p>
            <w:pPr>
              <w:widowControl/>
              <w:spacing w:after="0"/>
            </w:pPr>
            <w:r>
              <w:rPr>
                <w:rFonts w:ascii="Arial" w:hAnsi="Arial"/>
                <w:sz w:val="17"/>
              </w:rPr>
              <w:t>Agricultural access</w:t>
            </w:r>
          </w:p>
        </w:tc>
        <w:tc>
          <w:tcPr>
            <w:tcW w:type="dxa" w:w="6120"/>
            <w:tcMar>
              <w:top w:w="70" w:type="dxa"/>
              <w:start w:w="110" w:type="dxa"/>
              <w:bottom w:w="70" w:type="dxa"/>
              <w:end w:w="110" w:type="dxa"/>
            </w:tcMar>
          </w:tcPr>
          <w:p>
            <w:pPr>
              <w:widowControl/>
              <w:spacing w:after="0"/>
            </w:pPr>
            <w:r>
              <w:rPr>
                <w:rFonts w:ascii="Arial" w:hAnsi="Arial"/>
                <w:sz w:val="17"/>
              </w:rPr>
              <w:t>agricultural goods</w:t>
            </w:r>
          </w:p>
        </w:tc>
      </w:tr>
      <w:tr>
        <w:tc>
          <w:tcPr>
            <w:tcW w:type="dxa" w:w="3528"/>
            <w:shd w:fill="F4F6F7"/>
            <w:tcMar>
              <w:top w:w="70" w:type="dxa"/>
              <w:start w:w="110" w:type="dxa"/>
              <w:bottom w:w="70" w:type="dxa"/>
              <w:end w:w="110" w:type="dxa"/>
            </w:tcMar>
          </w:tcPr>
          <w:p>
            <w:pPr>
              <w:widowControl/>
              <w:spacing w:after="0"/>
            </w:pPr>
            <w:r>
              <w:rPr>
                <w:rFonts w:ascii="Arial" w:hAnsi="Arial"/>
                <w:sz w:val="17"/>
              </w:rPr>
              <w:t>Customs modernization</w:t>
            </w:r>
          </w:p>
        </w:tc>
        <w:tc>
          <w:tcPr>
            <w:tcW w:type="dxa" w:w="6120"/>
            <w:shd w:fill="F4F6F7"/>
            <w:tcMar>
              <w:top w:w="70" w:type="dxa"/>
              <w:start w:w="110" w:type="dxa"/>
              <w:bottom w:w="70" w:type="dxa"/>
              <w:end w:w="110" w:type="dxa"/>
            </w:tcMar>
          </w:tcPr>
          <w:p>
            <w:pPr>
              <w:widowControl/>
              <w:spacing w:after="0"/>
            </w:pPr>
            <w:r>
              <w:rPr>
                <w:rFonts w:ascii="Arial" w:hAnsi="Arial"/>
                <w:sz w:val="17"/>
              </w:rPr>
              <w:t>low-value shipment</w:t>
            </w:r>
          </w:p>
        </w:tc>
      </w:tr>
      <w:tr>
        <w:tc>
          <w:tcPr>
            <w:tcW w:type="dxa" w:w="3528"/>
            <w:tcMar>
              <w:top w:w="70" w:type="dxa"/>
              <w:start w:w="110" w:type="dxa"/>
              <w:bottom w:w="70" w:type="dxa"/>
              <w:end w:w="110" w:type="dxa"/>
            </w:tcMar>
          </w:tcPr>
          <w:p>
            <w:pPr>
              <w:widowControl/>
              <w:spacing w:after="0"/>
            </w:pPr>
            <w:r>
              <w:rPr>
                <w:rFonts w:ascii="Arial" w:hAnsi="Arial"/>
                <w:sz w:val="17"/>
              </w:rPr>
              <w:t>Regulatory cooperation</w:t>
            </w:r>
          </w:p>
        </w:tc>
        <w:tc>
          <w:tcPr>
            <w:tcW w:type="dxa" w:w="6120"/>
            <w:tcMar>
              <w:top w:w="70" w:type="dxa"/>
              <w:start w:w="110" w:type="dxa"/>
              <w:bottom w:w="70" w:type="dxa"/>
              <w:end w:w="110" w:type="dxa"/>
            </w:tcMar>
          </w:tcPr>
          <w:p>
            <w:pPr>
              <w:widowControl/>
              <w:spacing w:after="0"/>
            </w:pPr>
            <w:r>
              <w:rPr>
                <w:rFonts w:ascii="Arial" w:hAnsi="Arial"/>
                <w:sz w:val="17"/>
              </w:rPr>
              <w:t>Good Regulatory Practices</w:t>
            </w:r>
          </w:p>
        </w:tc>
      </w:tr>
      <w:tr>
        <w:tc>
          <w:tcPr>
            <w:tcW w:type="dxa" w:w="3528"/>
            <w:shd w:fill="F4F6F7"/>
            <w:tcMar>
              <w:top w:w="70" w:type="dxa"/>
              <w:start w:w="110" w:type="dxa"/>
              <w:bottom w:w="70" w:type="dxa"/>
              <w:end w:w="110" w:type="dxa"/>
            </w:tcMar>
          </w:tcPr>
          <w:p>
            <w:pPr>
              <w:widowControl/>
              <w:spacing w:after="0"/>
            </w:pPr>
            <w:r>
              <w:rPr>
                <w:rFonts w:ascii="Arial" w:hAnsi="Arial"/>
                <w:sz w:val="17"/>
              </w:rPr>
              <w:t>Rapid-response labour enforcement</w:t>
            </w:r>
          </w:p>
        </w:tc>
        <w:tc>
          <w:tcPr>
            <w:tcW w:type="dxa" w:w="6120"/>
            <w:shd w:fill="F4F6F7"/>
            <w:tcMar>
              <w:top w:w="70" w:type="dxa"/>
              <w:start w:w="110" w:type="dxa"/>
              <w:bottom w:w="70" w:type="dxa"/>
              <w:end w:w="110" w:type="dxa"/>
            </w:tcMar>
          </w:tcPr>
          <w:p>
            <w:pPr>
              <w:widowControl/>
              <w:spacing w:after="0"/>
            </w:pPr>
            <w:r>
              <w:rPr>
                <w:rFonts w:ascii="Arial" w:hAnsi="Arial"/>
                <w:sz w:val="17"/>
              </w:rPr>
              <w:t>Rapid Response Labor</w:t>
            </w:r>
          </w:p>
        </w:tc>
      </w:tr>
      <w:tr>
        <w:tc>
          <w:tcPr>
            <w:tcW w:type="dxa" w:w="3528"/>
            <w:tcMar>
              <w:top w:w="70" w:type="dxa"/>
              <w:start w:w="110" w:type="dxa"/>
              <w:bottom w:w="70" w:type="dxa"/>
              <w:end w:w="110" w:type="dxa"/>
            </w:tcMar>
          </w:tcPr>
          <w:p>
            <w:pPr>
              <w:widowControl/>
              <w:spacing w:after="0"/>
            </w:pPr>
            <w:r>
              <w:rPr>
                <w:rFonts w:ascii="Arial" w:hAnsi="Arial"/>
                <w:sz w:val="17"/>
              </w:rPr>
              <w:t>Proportional verification</w:t>
            </w:r>
          </w:p>
        </w:tc>
        <w:tc>
          <w:tcPr>
            <w:tcW w:type="dxa" w:w="6120"/>
            <w:tcMar>
              <w:top w:w="70" w:type="dxa"/>
              <w:start w:w="110" w:type="dxa"/>
              <w:bottom w:w="70" w:type="dxa"/>
              <w:end w:w="110" w:type="dxa"/>
            </w:tcMar>
          </w:tcPr>
          <w:p>
            <w:pPr>
              <w:widowControl/>
              <w:spacing w:after="0"/>
            </w:pPr>
            <w:r>
              <w:rPr>
                <w:rFonts w:ascii="Arial" w:hAnsi="Arial"/>
                <w:sz w:val="17"/>
              </w:rPr>
              <w:t>Cothrom</w:t>
            </w:r>
          </w:p>
        </w:tc>
      </w:tr>
    </w:tbl>
    <w:p>
      <w:bookmarkStart w:id="1002" w:name="_NAESTMA_TOC_1002"/>
      <w:pPr>
        <w:pStyle w:val="Heading2"/>
        <w:keepNext/>
        <w:widowControl/>
      </w:pPr>
      <w:r>
        <w:t>MEXICO — NEGOTIATOR VISIBILITY INDEX</w:t>
      </w:r>
      <w:bookmarkEnd w:id="1002"/>
    </w:p>
    <w:tbl>
      <w:tblPr>
        <w:tblStyle w:val="TableGrid"/>
        <w:tblW w:type="auto" w:w="0"/>
        <w:jc w:val="center"/>
        <w:tblLayout w:type="autofit"/>
        <w:tblLook w:firstColumn="1" w:firstRow="1" w:lastColumn="0" w:lastRow="0" w:noHBand="0" w:noVBand="1" w:val="04A0"/>
      </w:tblPr>
      <w:tblGrid>
        <w:gridCol w:w="4680"/>
        <w:gridCol w:w="4680"/>
      </w:tblGrid>
      <w:tr>
        <w:trPr>
          <w:tblHeader w:val="true"/>
          <w:tblHeader w:val="true"/>
        </w:trPr>
        <w:tc>
          <w:tcPr>
            <w:tcW w:type="dxa" w:w="3528"/>
            <w:shd w:fill="233746"/>
            <w:vAlign w:val="center"/>
            <w:tcMar>
              <w:top w:w="70" w:type="dxa"/>
              <w:start w:w="110" w:type="dxa"/>
              <w:bottom w:w="70" w:type="dxa"/>
              <w:end w:w="110" w:type="dxa"/>
            </w:tcMar>
          </w:tcPr>
          <w:p>
            <w:pPr>
              <w:spacing w:after="0"/>
            </w:pPr>
            <w:r>
              <w:rPr>
                <w:rFonts w:ascii="Arial" w:hAnsi="Arial"/>
                <w:b/>
                <w:color w:val="FFFFFF"/>
                <w:sz w:val="17"/>
              </w:rPr>
              <w:t>Visible national win</w:t>
            </w:r>
          </w:p>
        </w:tc>
        <w:tc>
          <w:tcPr>
            <w:tcW w:type="dxa" w:w="6120"/>
            <w:shd w:fill="233746"/>
            <w:vAlign w:val="center"/>
            <w:tcMar>
              <w:top w:w="70" w:type="dxa"/>
              <w:start w:w="110" w:type="dxa"/>
              <w:bottom w:w="70" w:type="dxa"/>
              <w:end w:w="110" w:type="dxa"/>
            </w:tcMar>
          </w:tcPr>
          <w:p>
            <w:pPr>
              <w:spacing w:after="0"/>
            </w:pPr>
            <w:r>
              <w:rPr>
                <w:rFonts w:ascii="Arial" w:hAnsi="Arial"/>
                <w:b/>
                <w:color w:val="FFFFFF"/>
                <w:sz w:val="17"/>
              </w:rPr>
              <w:t>Ctrl+F navigation phrase</w:t>
            </w:r>
          </w:p>
        </w:tc>
      </w:tr>
      <w:tr>
        <w:tc>
          <w:tcPr>
            <w:tcW w:type="dxa" w:w="3528"/>
            <w:tcMar>
              <w:top w:w="70" w:type="dxa"/>
              <w:start w:w="110" w:type="dxa"/>
              <w:bottom w:w="70" w:type="dxa"/>
              <w:end w:w="110" w:type="dxa"/>
            </w:tcMar>
          </w:tcPr>
          <w:p>
            <w:pPr>
              <w:widowControl/>
              <w:spacing w:after="0"/>
            </w:pPr>
            <w:r>
              <w:rPr>
                <w:rFonts w:ascii="Arial" w:hAnsi="Arial"/>
                <w:sz w:val="17"/>
              </w:rPr>
              <w:t>Automotive manufacturing</w:t>
            </w:r>
          </w:p>
        </w:tc>
        <w:tc>
          <w:tcPr>
            <w:tcW w:type="dxa" w:w="6120"/>
            <w:tcMar>
              <w:top w:w="70" w:type="dxa"/>
              <w:start w:w="110" w:type="dxa"/>
              <w:bottom w:w="70" w:type="dxa"/>
              <w:end w:w="110" w:type="dxa"/>
            </w:tcMar>
          </w:tcPr>
          <w:p>
            <w:pPr>
              <w:widowControl/>
              <w:spacing w:after="0"/>
            </w:pPr>
            <w:r>
              <w:rPr>
                <w:rFonts w:ascii="Arial" w:hAnsi="Arial"/>
                <w:sz w:val="17"/>
              </w:rPr>
              <w:t>Mexico’s existing manufacturing capacity</w:t>
            </w:r>
          </w:p>
        </w:tc>
      </w:tr>
      <w:tr>
        <w:tc>
          <w:tcPr>
            <w:tcW w:type="dxa" w:w="3528"/>
            <w:shd w:fill="F4F6F7"/>
            <w:tcMar>
              <w:top w:w="70" w:type="dxa"/>
              <w:start w:w="110" w:type="dxa"/>
              <w:bottom w:w="70" w:type="dxa"/>
              <w:end w:w="110" w:type="dxa"/>
            </w:tcMar>
          </w:tcPr>
          <w:p>
            <w:pPr>
              <w:widowControl/>
              <w:spacing w:after="0"/>
            </w:pPr>
            <w:r>
              <w:rPr>
                <w:rFonts w:ascii="Arial" w:hAnsi="Arial"/>
                <w:sz w:val="17"/>
              </w:rPr>
              <w:t>Labour-rights enforcement</w:t>
            </w:r>
          </w:p>
        </w:tc>
        <w:tc>
          <w:tcPr>
            <w:tcW w:type="dxa" w:w="6120"/>
            <w:shd w:fill="F4F6F7"/>
            <w:tcMar>
              <w:top w:w="70" w:type="dxa"/>
              <w:start w:w="110" w:type="dxa"/>
              <w:bottom w:w="70" w:type="dxa"/>
              <w:end w:w="110" w:type="dxa"/>
            </w:tcMar>
          </w:tcPr>
          <w:p>
            <w:pPr>
              <w:widowControl/>
              <w:spacing w:after="0"/>
            </w:pPr>
            <w:r>
              <w:rPr>
                <w:rFonts w:ascii="Arial" w:hAnsi="Arial"/>
                <w:sz w:val="17"/>
              </w:rPr>
              <w:t>Rapid Response Labor</w:t>
            </w:r>
          </w:p>
        </w:tc>
      </w:tr>
      <w:tr>
        <w:tc>
          <w:tcPr>
            <w:tcW w:type="dxa" w:w="3528"/>
            <w:tcMar>
              <w:top w:w="70" w:type="dxa"/>
              <w:start w:w="110" w:type="dxa"/>
              <w:bottom w:w="70" w:type="dxa"/>
              <w:end w:w="110" w:type="dxa"/>
            </w:tcMar>
          </w:tcPr>
          <w:p>
            <w:pPr>
              <w:widowControl/>
              <w:spacing w:after="0"/>
            </w:pPr>
            <w:r>
              <w:rPr>
                <w:rFonts w:ascii="Arial" w:hAnsi="Arial"/>
                <w:sz w:val="17"/>
              </w:rPr>
              <w:t>Development-finance policy space</w:t>
            </w:r>
          </w:p>
        </w:tc>
        <w:tc>
          <w:tcPr>
            <w:tcW w:type="dxa" w:w="6120"/>
            <w:tcMar>
              <w:top w:w="70" w:type="dxa"/>
              <w:start w:w="110" w:type="dxa"/>
              <w:bottom w:w="70" w:type="dxa"/>
              <w:end w:w="110" w:type="dxa"/>
            </w:tcMar>
          </w:tcPr>
          <w:p>
            <w:pPr>
              <w:widowControl/>
              <w:spacing w:after="0"/>
            </w:pPr>
            <w:r>
              <w:rPr>
                <w:rFonts w:ascii="Arial" w:hAnsi="Arial"/>
                <w:sz w:val="17"/>
              </w:rPr>
              <w:t>development bank</w:t>
            </w:r>
          </w:p>
        </w:tc>
      </w:tr>
      <w:tr>
        <w:tc>
          <w:tcPr>
            <w:tcW w:type="dxa" w:w="3528"/>
            <w:shd w:fill="F4F6F7"/>
            <w:tcMar>
              <w:top w:w="70" w:type="dxa"/>
              <w:start w:w="110" w:type="dxa"/>
              <w:bottom w:w="70" w:type="dxa"/>
              <w:end w:w="110" w:type="dxa"/>
            </w:tcMar>
          </w:tcPr>
          <w:p>
            <w:pPr>
              <w:widowControl/>
              <w:spacing w:after="0"/>
            </w:pPr>
            <w:r>
              <w:rPr>
                <w:rFonts w:ascii="Arial" w:hAnsi="Arial"/>
                <w:sz w:val="17"/>
              </w:rPr>
              <w:t>Textile and apparel integration</w:t>
            </w:r>
          </w:p>
        </w:tc>
        <w:tc>
          <w:tcPr>
            <w:tcW w:type="dxa" w:w="6120"/>
            <w:shd w:fill="F4F6F7"/>
            <w:tcMar>
              <w:top w:w="70" w:type="dxa"/>
              <w:start w:w="110" w:type="dxa"/>
              <w:bottom w:w="70" w:type="dxa"/>
              <w:end w:w="110" w:type="dxa"/>
            </w:tcMar>
          </w:tcPr>
          <w:p>
            <w:pPr>
              <w:widowControl/>
              <w:spacing w:after="0"/>
            </w:pPr>
            <w:r>
              <w:rPr>
                <w:rFonts w:ascii="Arial" w:hAnsi="Arial"/>
                <w:sz w:val="17"/>
              </w:rPr>
              <w:t>textile and apparel</w:t>
            </w:r>
          </w:p>
        </w:tc>
      </w:tr>
      <w:tr>
        <w:tc>
          <w:tcPr>
            <w:tcW w:type="dxa" w:w="3528"/>
            <w:tcMar>
              <w:top w:w="70" w:type="dxa"/>
              <w:start w:w="110" w:type="dxa"/>
              <w:bottom w:w="70" w:type="dxa"/>
              <w:end w:w="110" w:type="dxa"/>
            </w:tcMar>
          </w:tcPr>
          <w:p>
            <w:pPr>
              <w:widowControl/>
              <w:spacing w:after="0"/>
            </w:pPr>
            <w:r>
              <w:rPr>
                <w:rFonts w:ascii="Arial" w:hAnsi="Arial"/>
                <w:sz w:val="17"/>
              </w:rPr>
              <w:t>Agricultural market access</w:t>
            </w:r>
          </w:p>
        </w:tc>
        <w:tc>
          <w:tcPr>
            <w:tcW w:type="dxa" w:w="6120"/>
            <w:tcMar>
              <w:top w:w="70" w:type="dxa"/>
              <w:start w:w="110" w:type="dxa"/>
              <w:bottom w:w="70" w:type="dxa"/>
              <w:end w:w="110" w:type="dxa"/>
            </w:tcMar>
          </w:tcPr>
          <w:p>
            <w:pPr>
              <w:widowControl/>
              <w:spacing w:after="0"/>
            </w:pPr>
            <w:r>
              <w:rPr>
                <w:rFonts w:ascii="Arial" w:hAnsi="Arial"/>
                <w:sz w:val="17"/>
              </w:rPr>
              <w:t>agricultural goods</w:t>
            </w:r>
          </w:p>
        </w:tc>
      </w:tr>
      <w:tr>
        <w:tc>
          <w:tcPr>
            <w:tcW w:type="dxa" w:w="3528"/>
            <w:shd w:fill="F4F6F7"/>
            <w:tcMar>
              <w:top w:w="70" w:type="dxa"/>
              <w:start w:w="110" w:type="dxa"/>
              <w:bottom w:w="70" w:type="dxa"/>
              <w:end w:w="110" w:type="dxa"/>
            </w:tcMar>
          </w:tcPr>
          <w:p>
            <w:pPr>
              <w:widowControl/>
              <w:spacing w:after="0"/>
            </w:pPr>
            <w:r>
              <w:rPr>
                <w:rFonts w:ascii="Arial" w:hAnsi="Arial"/>
                <w:sz w:val="17"/>
              </w:rPr>
              <w:t>Indigenous participation</w:t>
            </w:r>
          </w:p>
        </w:tc>
        <w:tc>
          <w:tcPr>
            <w:tcW w:type="dxa" w:w="6120"/>
            <w:shd w:fill="F4F6F7"/>
            <w:tcMar>
              <w:top w:w="70" w:type="dxa"/>
              <w:start w:w="110" w:type="dxa"/>
              <w:bottom w:w="70" w:type="dxa"/>
              <w:end w:w="110" w:type="dxa"/>
            </w:tcMar>
          </w:tcPr>
          <w:p>
            <w:pPr>
              <w:widowControl/>
              <w:spacing w:after="0"/>
            </w:pPr>
            <w:r>
              <w:rPr>
                <w:rFonts w:ascii="Arial" w:hAnsi="Arial"/>
                <w:sz w:val="17"/>
              </w:rPr>
              <w:t>Indigenous peoples</w:t>
            </w:r>
          </w:p>
        </w:tc>
      </w:tr>
      <w:tr>
        <w:tc>
          <w:tcPr>
            <w:tcW w:type="dxa" w:w="3528"/>
            <w:tcMar>
              <w:top w:w="70" w:type="dxa"/>
              <w:start w:w="110" w:type="dxa"/>
              <w:bottom w:w="70" w:type="dxa"/>
              <w:end w:w="110" w:type="dxa"/>
            </w:tcMar>
          </w:tcPr>
          <w:p>
            <w:pPr>
              <w:widowControl/>
              <w:spacing w:after="0"/>
            </w:pPr>
            <w:r>
              <w:rPr>
                <w:rFonts w:ascii="Arial" w:hAnsi="Arial"/>
                <w:sz w:val="17"/>
              </w:rPr>
              <w:t>SME participation</w:t>
            </w:r>
          </w:p>
        </w:tc>
        <w:tc>
          <w:tcPr>
            <w:tcW w:type="dxa" w:w="6120"/>
            <w:tcMar>
              <w:top w:w="70" w:type="dxa"/>
              <w:start w:w="110" w:type="dxa"/>
              <w:bottom w:w="70" w:type="dxa"/>
              <w:end w:w="110" w:type="dxa"/>
            </w:tcMar>
          </w:tcPr>
          <w:p>
            <w:pPr>
              <w:widowControl/>
              <w:spacing w:after="0"/>
            </w:pPr>
            <w:r>
              <w:rPr>
                <w:rFonts w:ascii="Arial" w:hAnsi="Arial"/>
                <w:sz w:val="17"/>
              </w:rPr>
              <w:t>small and medium-sized enterprises</w:t>
            </w:r>
          </w:p>
        </w:tc>
      </w:tr>
      <w:tr>
        <w:tc>
          <w:tcPr>
            <w:tcW w:type="dxa" w:w="3528"/>
            <w:shd w:fill="F4F6F7"/>
            <w:tcMar>
              <w:top w:w="70" w:type="dxa"/>
              <w:start w:w="110" w:type="dxa"/>
              <w:bottom w:w="70" w:type="dxa"/>
              <w:end w:w="110" w:type="dxa"/>
            </w:tcMar>
          </w:tcPr>
          <w:p>
            <w:pPr>
              <w:widowControl/>
              <w:spacing w:after="0"/>
            </w:pPr>
            <w:r>
              <w:rPr>
                <w:rFonts w:ascii="Arial" w:hAnsi="Arial"/>
                <w:sz w:val="17"/>
              </w:rPr>
              <w:t>Energy sovereignty</w:t>
            </w:r>
          </w:p>
        </w:tc>
        <w:tc>
          <w:tcPr>
            <w:tcW w:type="dxa" w:w="6120"/>
            <w:shd w:fill="F4F6F7"/>
            <w:tcMar>
              <w:top w:w="70" w:type="dxa"/>
              <w:start w:w="110" w:type="dxa"/>
              <w:bottom w:w="70" w:type="dxa"/>
              <w:end w:w="110" w:type="dxa"/>
            </w:tcMar>
          </w:tcPr>
          <w:p>
            <w:pPr>
              <w:widowControl/>
              <w:spacing w:after="0"/>
            </w:pPr>
            <w:r>
              <w:rPr>
                <w:rFonts w:ascii="Arial" w:hAnsi="Arial"/>
                <w:sz w:val="17"/>
              </w:rPr>
              <w:t>energy sovereignty</w:t>
            </w:r>
          </w:p>
        </w:tc>
      </w:tr>
      <w:tr>
        <w:tc>
          <w:tcPr>
            <w:tcW w:type="dxa" w:w="3528"/>
            <w:tcMar>
              <w:top w:w="70" w:type="dxa"/>
              <w:start w:w="110" w:type="dxa"/>
              <w:bottom w:w="70" w:type="dxa"/>
              <w:end w:w="110" w:type="dxa"/>
            </w:tcMar>
          </w:tcPr>
          <w:p>
            <w:pPr>
              <w:widowControl/>
              <w:spacing w:after="0"/>
            </w:pPr>
            <w:r>
              <w:rPr>
                <w:rFonts w:ascii="Arial" w:hAnsi="Arial"/>
                <w:sz w:val="17"/>
              </w:rPr>
              <w:t>Infrastructure investment</w:t>
            </w:r>
          </w:p>
        </w:tc>
        <w:tc>
          <w:tcPr>
            <w:tcW w:type="dxa" w:w="6120"/>
            <w:tcMar>
              <w:top w:w="70" w:type="dxa"/>
              <w:start w:w="110" w:type="dxa"/>
              <w:bottom w:w="70" w:type="dxa"/>
              <w:end w:w="110" w:type="dxa"/>
            </w:tcMar>
          </w:tcPr>
          <w:p>
            <w:pPr>
              <w:widowControl/>
              <w:spacing w:after="0"/>
            </w:pPr>
            <w:r>
              <w:rPr>
                <w:rFonts w:ascii="Arial" w:hAnsi="Arial"/>
                <w:sz w:val="17"/>
              </w:rPr>
              <w:t>infrastructure</w:t>
            </w:r>
          </w:p>
        </w:tc>
      </w:tr>
      <w:tr>
        <w:tc>
          <w:tcPr>
            <w:tcW w:type="dxa" w:w="3528"/>
            <w:shd w:fill="F4F6F7"/>
            <w:tcMar>
              <w:top w:w="70" w:type="dxa"/>
              <w:start w:w="110" w:type="dxa"/>
              <w:bottom w:w="70" w:type="dxa"/>
              <w:end w:w="110" w:type="dxa"/>
            </w:tcMar>
          </w:tcPr>
          <w:p>
            <w:pPr>
              <w:widowControl/>
              <w:spacing w:after="0"/>
            </w:pPr>
            <w:r>
              <w:rPr>
                <w:rFonts w:ascii="Arial" w:hAnsi="Arial"/>
                <w:sz w:val="17"/>
              </w:rPr>
              <w:t>Nearshoring and supply chains</w:t>
            </w:r>
          </w:p>
        </w:tc>
        <w:tc>
          <w:tcPr>
            <w:tcW w:type="dxa" w:w="6120"/>
            <w:shd w:fill="F4F6F7"/>
            <w:tcMar>
              <w:top w:w="70" w:type="dxa"/>
              <w:start w:w="110" w:type="dxa"/>
              <w:bottom w:w="70" w:type="dxa"/>
              <w:end w:w="110" w:type="dxa"/>
            </w:tcMar>
          </w:tcPr>
          <w:p>
            <w:pPr>
              <w:widowControl/>
              <w:spacing w:after="0"/>
            </w:pPr>
            <w:r>
              <w:rPr>
                <w:rFonts w:ascii="Arial" w:hAnsi="Arial"/>
                <w:sz w:val="17"/>
              </w:rPr>
              <w:t>nearshoring</w:t>
            </w:r>
          </w:p>
        </w:tc>
      </w:tr>
      <w:tr>
        <w:tc>
          <w:tcPr>
            <w:tcW w:type="dxa" w:w="3528"/>
            <w:tcMar>
              <w:top w:w="70" w:type="dxa"/>
              <w:start w:w="110" w:type="dxa"/>
              <w:bottom w:w="70" w:type="dxa"/>
              <w:end w:w="110" w:type="dxa"/>
            </w:tcMar>
          </w:tcPr>
          <w:p>
            <w:pPr>
              <w:widowControl/>
              <w:spacing w:after="0"/>
            </w:pPr>
            <w:r>
              <w:rPr>
                <w:rFonts w:ascii="Arial" w:hAnsi="Arial"/>
                <w:sz w:val="17"/>
              </w:rPr>
              <w:t>Capacity building</w:t>
            </w:r>
          </w:p>
        </w:tc>
        <w:tc>
          <w:tcPr>
            <w:tcW w:type="dxa" w:w="6120"/>
            <w:tcMar>
              <w:top w:w="70" w:type="dxa"/>
              <w:start w:w="110" w:type="dxa"/>
              <w:bottom w:w="70" w:type="dxa"/>
              <w:end w:w="110" w:type="dxa"/>
            </w:tcMar>
          </w:tcPr>
          <w:p>
            <w:pPr>
              <w:widowControl/>
              <w:spacing w:after="0"/>
            </w:pPr>
            <w:r>
              <w:rPr>
                <w:rFonts w:ascii="Arial" w:hAnsi="Arial"/>
                <w:sz w:val="17"/>
              </w:rPr>
              <w:t>capacity-building</w:t>
            </w:r>
          </w:p>
        </w:tc>
      </w:tr>
      <w:tr>
        <w:tc>
          <w:tcPr>
            <w:tcW w:type="dxa" w:w="3528"/>
            <w:shd w:fill="F4F6F7"/>
            <w:tcMar>
              <w:top w:w="70" w:type="dxa"/>
              <w:start w:w="110" w:type="dxa"/>
              <w:bottom w:w="70" w:type="dxa"/>
              <w:end w:w="110" w:type="dxa"/>
            </w:tcMar>
          </w:tcPr>
          <w:p>
            <w:pPr>
              <w:widowControl/>
              <w:spacing w:after="0"/>
            </w:pPr>
            <w:r>
              <w:rPr>
                <w:rFonts w:ascii="Arial" w:hAnsi="Arial"/>
                <w:sz w:val="17"/>
              </w:rPr>
              <w:t>Worker remediation</w:t>
            </w:r>
          </w:p>
        </w:tc>
        <w:tc>
          <w:tcPr>
            <w:tcW w:type="dxa" w:w="6120"/>
            <w:shd w:fill="F4F6F7"/>
            <w:tcMar>
              <w:top w:w="70" w:type="dxa"/>
              <w:start w:w="110" w:type="dxa"/>
              <w:bottom w:w="70" w:type="dxa"/>
              <w:end w:w="110" w:type="dxa"/>
            </w:tcMar>
          </w:tcPr>
          <w:p>
            <w:pPr>
              <w:widowControl/>
              <w:spacing w:after="0"/>
            </w:pPr>
            <w:r>
              <w:rPr>
                <w:rFonts w:ascii="Arial" w:hAnsi="Arial"/>
                <w:sz w:val="17"/>
              </w:rPr>
              <w:t>Affected Workers</w:t>
            </w:r>
          </w:p>
        </w:tc>
      </w:tr>
      <w:tr>
        <w:tc>
          <w:tcPr>
            <w:tcW w:type="dxa" w:w="3528"/>
            <w:tcMar>
              <w:top w:w="70" w:type="dxa"/>
              <w:start w:w="110" w:type="dxa"/>
              <w:bottom w:w="70" w:type="dxa"/>
              <w:end w:w="110" w:type="dxa"/>
            </w:tcMar>
          </w:tcPr>
          <w:p>
            <w:pPr>
              <w:widowControl/>
              <w:spacing w:after="0"/>
            </w:pPr>
            <w:r>
              <w:rPr>
                <w:rFonts w:ascii="Arial" w:hAnsi="Arial"/>
                <w:sz w:val="17"/>
              </w:rPr>
              <w:t>Electronic payments</w:t>
            </w:r>
          </w:p>
        </w:tc>
        <w:tc>
          <w:tcPr>
            <w:tcW w:type="dxa" w:w="6120"/>
            <w:tcMar>
              <w:top w:w="70" w:type="dxa"/>
              <w:start w:w="110" w:type="dxa"/>
              <w:bottom w:w="70" w:type="dxa"/>
              <w:end w:w="110" w:type="dxa"/>
            </w:tcMar>
          </w:tcPr>
          <w:p>
            <w:pPr>
              <w:widowControl/>
              <w:spacing w:after="0"/>
            </w:pPr>
            <w:r>
              <w:rPr>
                <w:rFonts w:ascii="Arial" w:hAnsi="Arial"/>
                <w:sz w:val="17"/>
              </w:rPr>
              <w:t>electronic payments</w:t>
            </w:r>
          </w:p>
        </w:tc>
      </w:tr>
      <w:tr>
        <w:tc>
          <w:tcPr>
            <w:tcW w:type="dxa" w:w="3528"/>
            <w:shd w:fill="F4F6F7"/>
            <w:tcMar>
              <w:top w:w="70" w:type="dxa"/>
              <w:start w:w="110" w:type="dxa"/>
              <w:bottom w:w="70" w:type="dxa"/>
              <w:end w:w="110" w:type="dxa"/>
            </w:tcMar>
          </w:tcPr>
          <w:p>
            <w:pPr>
              <w:widowControl/>
              <w:spacing w:after="0"/>
            </w:pPr>
            <w:r>
              <w:rPr>
                <w:rFonts w:ascii="Arial" w:hAnsi="Arial"/>
                <w:sz w:val="17"/>
              </w:rPr>
              <w:t>Regional-development safeguards</w:t>
            </w:r>
          </w:p>
        </w:tc>
        <w:tc>
          <w:tcPr>
            <w:tcW w:type="dxa" w:w="6120"/>
            <w:shd w:fill="F4F6F7"/>
            <w:tcMar>
              <w:top w:w="70" w:type="dxa"/>
              <w:start w:w="110" w:type="dxa"/>
              <w:bottom w:w="70" w:type="dxa"/>
              <w:end w:w="110" w:type="dxa"/>
            </w:tcMar>
          </w:tcPr>
          <w:p>
            <w:pPr>
              <w:widowControl/>
              <w:spacing w:after="0"/>
            </w:pPr>
            <w:r>
              <w:rPr>
                <w:rFonts w:ascii="Arial" w:hAnsi="Arial"/>
                <w:sz w:val="17"/>
              </w:rPr>
              <w:t>regional development</w:t>
            </w:r>
          </w:p>
        </w:tc>
      </w:tr>
      <w:tr>
        <w:tc>
          <w:tcPr>
            <w:tcW w:type="dxa" w:w="3528"/>
            <w:tcMar>
              <w:top w:w="70" w:type="dxa"/>
              <w:start w:w="110" w:type="dxa"/>
              <w:bottom w:w="70" w:type="dxa"/>
              <w:end w:w="110" w:type="dxa"/>
            </w:tcMar>
          </w:tcPr>
          <w:p>
            <w:pPr>
              <w:widowControl/>
              <w:spacing w:after="0"/>
            </w:pPr>
            <w:r>
              <w:rPr>
                <w:rFonts w:ascii="Arial" w:hAnsi="Arial"/>
                <w:sz w:val="17"/>
              </w:rPr>
              <w:t>Balanced country visibility</w:t>
            </w:r>
          </w:p>
        </w:tc>
        <w:tc>
          <w:tcPr>
            <w:tcW w:type="dxa" w:w="6120"/>
            <w:tcMar>
              <w:top w:w="70" w:type="dxa"/>
              <w:start w:w="110" w:type="dxa"/>
              <w:bottom w:w="70" w:type="dxa"/>
              <w:end w:w="110" w:type="dxa"/>
            </w:tcMar>
          </w:tcPr>
          <w:p>
            <w:pPr>
              <w:widowControl/>
              <w:spacing w:after="0"/>
            </w:pPr>
            <w:r>
              <w:rPr>
                <w:rFonts w:ascii="Arial" w:hAnsi="Arial"/>
                <w:sz w:val="17"/>
              </w:rPr>
              <w:t>Mexico-specific</w:t>
            </w:r>
          </w:p>
        </w:tc>
      </w:tr>
    </w:tbl>
    <w:p>
      <w:bookmarkStart w:id="1003" w:name="_NAESTMA_TOC_1003"/>
      <w:pPr>
        <w:pStyle w:val="Heading1"/>
        <w:keepNext/>
        <w:pageBreakBefore w:val="0"/>
        <w:widowControl/>
        <w:rPr/>
      </w:pPr>
      <w:r>
        <w:t>PROPOSED PROTOCOL OF MODERNIZATION TO THE AGREEMENT BETWEEN CANADA, THE UNITED STATES OF AMERICA, AND THE UNITED MEXICAN STATES</w:t>
      </w:r>
      <w:bookmarkEnd w:id="1003"/>
    </w:p>
    <w:p>
      <w:pPr>
        <w:pStyle w:val="Normal"/>
        <w:widowControl/>
        <w:rPr/>
      </w:pPr>
      <w:r>
        <w:rPr/>
        <w:t>The Governments of Canada, the United States of America, and the United Mexican States (the “Parties”),</w:t>
      </w:r>
    </w:p>
    <w:p>
      <w:pPr>
        <w:pStyle w:val="Normal"/>
        <w:widowControl/>
        <w:rPr/>
      </w:pPr>
      <w:r>
        <w:rPr/>
        <w:t>Having regard to the Agreement between Canada, the United States of America, and the United Mexican States, done at Buenos Aires on November 30, 2018, as amended by the Protocol of Amendment done at Mexico City on December 10, 2019 (the “Agreement” or “CUSMA”),</w:t>
      </w:r>
    </w:p>
    <w:p>
      <w:pPr>
        <w:pStyle w:val="Normal"/>
        <w:widowControl/>
        <w:rPr/>
      </w:pPr>
      <w:r>
        <w:t>Contemplating the joint review under Article 34.7 of the Agreement and proposing to modernize, strengthen, and extend the Agreement as a single, trilateral, integrated framework for North American commerce,</w:t>
      </w:r>
    </w:p>
    <w:p>
      <w:pPr>
        <w:pStyle w:val="Normal"/>
        <w:widowControl/>
        <w:rPr/>
      </w:pPr>
      <w:r>
        <w:rPr/>
        <w:t>Recalling their shared conviction that integrated North American production, energy, and supply chains constitute a strategic asset of all three Parties; that excessive concentration in any single supply source can create vulnerability; and that resilient North American capacity may be strengthened by diversified, reliable, and responsibly governed trade and technology relationships with non-Parties,</w:t>
      </w:r>
    </w:p>
    <w:p>
      <w:pPr>
        <w:pStyle w:val="Normal"/>
        <w:widowControl/>
        <w:rPr/>
      </w:pPr>
      <w:r>
        <w:t>Intending that the tariff preferences and market access guarantees of the Agreement operate according to the substance and economic effect of governmental measures, and not be defeated by the domestic statutory label, form, or designation under which a measure is adopted or maintained,</w:t>
      </w:r>
    </w:p>
    <w:p>
      <w:pPr>
        <w:pStyle w:val="Normal"/>
        <w:widowControl/>
        <w:rPr/>
      </w:pPr>
      <w:r>
        <w:t>Seeking to ensure that extraordinary and emergency trade measures between the Parties are targeted, quantified, time-limited, reversible, and automatically self-correcting upon verified compliance, and that broad punitive tariffs between the Parties constitute remedies of last resort,</w:t>
      </w:r>
    </w:p>
    <w:p>
      <w:pPr>
        <w:pStyle w:val="Normal"/>
        <w:widowControl/>
        <w:rPr/>
      </w:pPr>
      <w:r>
        <w:rPr/>
        <w:t>Rejecting binary snapback mechanisms and affirming that enforcement of the Agreement shall proceed through verification, classification, proportional correction, remediation, and automatic restoration,</w:t>
      </w:r>
    </w:p>
    <w:p>
      <w:pPr>
        <w:pStyle w:val="Normal"/>
        <w:widowControl/>
        <w:rPr/>
      </w:pPr>
      <w:r>
        <w:rPr/>
        <w:t>Affirming that the rights, preferences, guarantees, and protections established by this Agreement are durable and do not fade, lapse, or expire by the mere passage of time,</w:t>
      </w:r>
    </w:p>
    <w:p>
      <w:pPr>
        <w:pStyle w:val="Normal"/>
        <w:widowControl/>
        <w:rPr/>
      </w:pPr>
      <w:r>
        <w:rPr/>
        <w:t>Affirming that each Party retains its essential security and genuine emergency authority, and that the exercise of that authority with respect to the trade of another Party is subject to the procedural disciplines of this Agreement,</w:t>
      </w:r>
    </w:p>
    <w:p>
      <w:pPr>
        <w:pStyle w:val="Normal"/>
        <w:widowControl/>
        <w:rPr/>
      </w:pPr>
      <w:r>
        <w:rPr/>
        <w:t>Seeking fairness and balance among the Parties such that each Party secures meaningful benefits and accepts meaningful disciplines, and that no provision of this Agreement operates as a concealed unilateral concession,</w:t>
      </w:r>
    </w:p>
    <w:p>
      <w:pPr>
        <w:pStyle w:val="Normal"/>
        <w:widowControl/>
        <w:rPr/>
      </w:pPr>
      <w:r>
        <w:t>THE FOLLOWING TEXT IS PROPOSED FOR AGREEMENT:</w:t>
      </w:r>
    </w:p>
    <w:p>
      <w:pPr>
        <w:pStyle w:val="Normal"/>
        <w:widowControl/>
        <w:rPr/>
      </w:pPr>
      <w:r>
        <w:t>1. Upon adoption and entry into force of this Protocol, the Agreement shall be modernized as set out in the consolidated text attached to this Protocol, which incorporates: (a) the CUSMA 2.0 Modernization Provisions appended to Chapters 1, 2, 4, 5, 7, 10, 19, 23, 24, 26, 30, 31, 32, and 34; (b) Chapter 35 (Treaty Integrity and the Proportional Trade Adjustment Mechanism); (c) Chapter 36 (North American Economic Security and Supply Chain Resilience); (d) Chapter 37 (Critical Minerals and Strategic Materials); (e) Chapter 38 (Emergency Trade Continuity); (f) Chapter 39 (Advanced Technology and Artificial Intelligence); (g) Chapter 40 (Energy Security and Grid Resilience); and (h) Chapters 41 through 68 and their related annexes and implementation instruments, which establish regulatory autonomy, sectoral stability, trade facilitation, institutional diversity, balanced verification, treaty resilience, review stability, sectoral implementation safeguards, SME and supply-chain modernization, symmetrical labor and environmental cooperation, trilateral implementation integrity, adaptive implementation, private-sector continuity, strategic logistics, pharmaceutical resilience, commercial-wins measurement, reciprocal procurement, North American Shield border security, Northern Vigilance Arctic security, and the Great Whale Compact; in each case as integrated and hardened in this consolidated text.</w:t>
      </w:r>
    </w:p>
    <w:p>
      <w:pPr>
        <w:pStyle w:val="Normal"/>
        <w:widowControl/>
        <w:rPr/>
      </w:pPr>
      <w:r>
        <w:rPr/>
        <w:t>2. Upon entry into force of this Protocol, the side letters between the Parties concerning Section 232 of the Trade Expansion Act of 1962 of the United States, and any equivalent bilateral understandings governing extraordinary tariff measures between the Parties, are superseded and terminated, and their subject matter is governed exclusively by Chapters 32 and 35 of the Agreement as modernized.</w:t>
      </w:r>
    </w:p>
    <w:p>
      <w:pPr>
        <w:pStyle w:val="Normal"/>
        <w:widowControl/>
        <w:rPr/>
      </w:pPr>
      <w:r>
        <w:rPr/>
        <w:t>3. Each extraordinary tariff, surcharge, import fee, or equivalent border measure applied by a Party on the originating goods of another Party and in force on the date of signature of this Protocol shall terminate in accordance with the Legacy Measure Wind-Down Schedule set out in Annex 35-D, and no such measure shall be reimposed except in conformity with the Agreement as modernized.</w:t>
      </w:r>
    </w:p>
    <w:p>
      <w:pPr>
        <w:pStyle w:val="Normal"/>
        <w:widowControl/>
        <w:rPr/>
      </w:pPr>
      <w:r>
        <w:rPr/>
        <w:t>4. Upon entry into force of this Protocol, all retaliatory or countermeasure tariffs applied between the Parties in connection with matters arising under the Agreement shall terminate, without prejudice to the rights of the Parties under the Agreement as modernized.</w:t>
      </w:r>
    </w:p>
    <w:p>
      <w:pPr>
        <w:pStyle w:val="Normal"/>
        <w:widowControl/>
        <w:rPr/>
      </w:pPr>
      <w:r>
        <w:t>5. Upon adoption and entry into force of this Protocol, the Parties shall confirm that the Agreement continues in force for an indefinite duration in accordance with Article 34.7 (Indefinite Duration and Modernization Review) as replaced by this Protocol. Periodic reviews shall concern modernization and implementation and shall not constitute renewal events or conditions for continuation in force.</w:t>
      </w:r>
    </w:p>
    <w:p>
      <w:pPr>
        <w:pStyle w:val="Normal"/>
        <w:widowControl/>
        <w:rPr/>
      </w:pPr>
      <w:r>
        <w:rPr/>
        <w:t>6. Each Party shall notify the other Parties, in writing, upon completion of its applicable internal procedures for the entry into force of this Protocol. This Protocol enters into force on the first day of the third month following the date of the last notification.</w:t>
      </w:r>
    </w:p>
    <w:p>
      <w:pPr>
        <w:pStyle w:val="Normal"/>
        <w:widowControl/>
        <w:rPr/>
      </w:pPr>
      <w:r>
        <w:t>7. Upon signature and entry into force, the English, French, and Spanish texts of this Protocol shall be equally authentic.</w:t>
      </w:r>
    </w:p>
    <w:p>
      <w:pPr>
        <w:pStyle w:val="Normal"/>
        <w:widowControl/>
        <w:rPr/>
      </w:pPr>
      <w:r>
        <w:t>EXECUTION TEXT — FOR SIGNATURE UPON ADOPTION</w:t>
      </w:r>
    </w:p>
    <w:p>
      <w:pPr>
        <w:pStyle w:val="Normal"/>
        <w:widowControl/>
        <w:rPr/>
      </w:pPr>
      <w:r>
        <w:t>Upon adoption, the final Protocol may be executed in triplicate by duly authorized representatives of the Parties.</w:t>
      </w:r>
    </w:p>
    <w:p>
      <w:bookmarkStart w:id="1004" w:name="_NAESTMA_TOC_1004"/>
      <w:pPr>
        <w:pStyle w:val="Heading1"/>
        <w:keepNext/>
        <w:pageBreakBefore w:val="0"/>
        <w:widowControl/>
        <w:rPr/>
      </w:pPr>
      <w:bookmarkStart w:id="1" w:name="_Toc237912474"/>
      <w:r>
        <w:rPr/>
        <w:t>PREAMBLE TO THE AGREEMENT AS MODERNIZED</w:t>
      </w:r>
      <w:bookmarkEnd w:id="1"/>
      <w:bookmarkEnd w:id="1004"/>
    </w:p>
    <w:p>
      <w:pPr>
        <w:pStyle w:val="Normal"/>
        <w:widowControl/>
        <w:rPr/>
      </w:pPr>
      <w:r>
        <w:rPr/>
        <w:t>The Governments of Canada, the United States of America, and the United Mexican States, resolving to:</w:t>
      </w:r>
    </w:p>
    <w:p>
      <w:pPr>
        <w:pStyle w:val="Normal"/>
        <w:widowControl/>
        <w:rPr/>
      </w:pPr>
      <w:r>
        <w:rPr/>
        <w:t>STRENGTHEN ANEW the special bonds of friendship and cooperation among their peoples and promote innovative, resilient, and inclusive economic growth across North America;</w:t>
      </w:r>
    </w:p>
    <w:p>
      <w:pPr>
        <w:pStyle w:val="Normal"/>
        <w:widowControl/>
        <w:rPr/>
      </w:pPr>
      <w:r>
        <w:rPr/>
        <w:t>PRESERVE AND EXPAND their commitment to facilitate regional trade and investment, recognizing that an integrated continental market comprising more than 500 million persons is among the largest and most productive economic areas in the world;</w:t>
      </w:r>
    </w:p>
    <w:p>
      <w:pPr>
        <w:pStyle w:val="Normal"/>
        <w:widowControl/>
        <w:rPr/>
      </w:pPr>
      <w:r>
        <w:rPr/>
        <w:t>ENSURE that preferential tariff treatment under this Agreement constitutes a durable legal guarantee, effective against extraordinary, emergency, security-designated, or otherwise exceptional border measures, however denominated under domestic law, except as expressly provided in this Agreement;</w:t>
      </w:r>
    </w:p>
    <w:p>
      <w:pPr>
        <w:pStyle w:val="Normal"/>
        <w:widowControl/>
        <w:rPr/>
      </w:pPr>
      <w:r>
        <w:rPr/>
        <w:t>REPLACE punitive tariff diplomacy between the Parties with corrective trade engineering, so that trade remedies restore the conditions of fair competition rather than inflict economic injury unrelated to a verified distortion;</w:t>
      </w:r>
    </w:p>
    <w:p>
      <w:pPr>
        <w:pStyle w:val="Normal"/>
        <w:widowControl/>
        <w:rPr/>
      </w:pPr>
      <w:r>
        <w:rPr/>
        <w:t>ESTABLISH verification as a reciprocal architecture in which all Parties comply, all Parties may challenge, all Parties may remediate, and all Parties recover;</w:t>
      </w:r>
    </w:p>
    <w:p>
      <w:pPr>
        <w:pStyle w:val="Normal"/>
        <w:widowControl/>
        <w:rPr/>
      </w:pPr>
      <w:r>
        <w:rPr/>
        <w:t>MODERNIZE the Agreement for the economy of the twenty-first century, including digital trade, artificial intelligence, electronic payments, cybersecurity, critical minerals, semiconductors, electric vehicles and batteries, energy security, circular production, and resilient supply chains;</w:t>
      </w:r>
    </w:p>
    <w:p>
      <w:pPr>
        <w:pStyle w:val="Normal"/>
        <w:widowControl/>
        <w:rPr/>
      </w:pPr>
      <w:r>
        <w:rPr/>
        <w:t>RECOGNIZE that trade between the Parties in critical minerals, energy, food, medicines, and strategic manufactured goods strengthens the economic and national security of each Party;</w:t>
      </w:r>
    </w:p>
    <w:p>
      <w:pPr>
        <w:pStyle w:val="Normal"/>
        <w:widowControl/>
        <w:rPr/>
      </w:pPr>
      <w:r>
        <w:rPr/>
        <w:t>AFFIRMING that North American resilience is strengthened by openness to beneficial trade, scientific exchange, investment, ideas, and technologies from throughout the world, subject to proportionate safeguards addressing demonstrated risks and without presuming that foreign origin is itself a security or reliability defect;</w:t>
      </w:r>
    </w:p>
    <w:p>
      <w:pPr>
        <w:pStyle w:val="Normal"/>
        <w:widowControl/>
        <w:rPr/>
      </w:pPr>
      <w:r>
        <w:rPr/>
        <w:t>PROTECT the rights of workers, enforce the prohibition of goods made with forced or compulsory labour, preserve high levels of environmental protection, and support the economic participation of small and medium-sized enterprises and Indigenous peoples;</w:t>
      </w:r>
    </w:p>
    <w:p>
      <w:pPr>
        <w:pStyle w:val="Normal"/>
        <w:widowControl/>
        <w:rPr/>
      </w:pPr>
      <w:r>
        <w:rPr/>
        <w:t>PRESERVE each Party’s sovereign authority over its natural resources, national security review, investment screening, industrial policy, export controls, taxation, public health, environmental regulation, cultural policy, and domestic regulatory administration, except as expressly constrained by this Agreement;</w:t>
      </w:r>
    </w:p>
    <w:p>
      <w:pPr>
        <w:pStyle w:val="Normal"/>
        <w:widowControl/>
        <w:rPr/>
      </w:pPr>
      <w:r>
        <w:rPr/>
        <w:t>HAVE AGREED as follows:</w:t>
      </w:r>
    </w:p>
    <w:p>
      <w:bookmarkStart w:id="1005" w:name="_NAESTMA_TOC_1005"/>
      <w:pPr>
        <w:pStyle w:val="Heading1"/>
        <w:keepNext/>
        <w:pageBreakBefore w:val="0"/>
        <w:widowControl/>
        <w:rPr/>
      </w:pPr>
      <w:bookmarkStart w:id="2" w:name="_Toc237912475"/>
      <w:r>
        <w:rPr/>
        <w:t>DRAFTING AND CONSOLIDATION CONVENTIONS APPLIED TO THIS TEXT</w:t>
      </w:r>
      <w:bookmarkEnd w:id="2"/>
      <w:bookmarkEnd w:id="1005"/>
    </w:p>
    <w:p>
      <w:pPr>
        <w:pStyle w:val="Normal"/>
        <w:widowControl/>
        <w:rPr/>
      </w:pPr>
      <w:r>
        <w:rPr/>
        <w:t>1. Textual continuity. Provisions of the 2018 Agreement, as amended by the 2019 Protocol of Amendment, that remain substantively unchanged are reproduced in this consolidated text with their established wording, defined terms, modal verbs, and cross-references preserved, in accordance with the CUSMA Treaty Precision Matrix. No authentic legacy CUSMA provision shall be rewritten solely to modernize style, increase sentence count, or conform to a drafting convention applicable to new or modernized text. Where a legacy provision is concise but legally precise, its brevity shall not by itself constitute a substantive-strength defect; any modernization shall occur only through an express amendment, replacement provision, or cross-reference adopted in accordance with this Agreement.</w:t>
      </w:r>
    </w:p>
    <w:p>
      <w:pPr>
        <w:pStyle w:val="Normal"/>
        <w:widowControl/>
        <w:rPr/>
      </w:pPr>
      <w:r>
        <w:rPr/>
        <w:t>1A. Preservation of the 2019 Amending Protocol and integral instruments. The Protocol of Amendment done at Mexico City on December 10, 2019, and the original integral instruments preserved in Annex 34-G remain legally operative except to the extent this modernized Agreement expressly supersedes or replaces them. If any legacy provision reproduced in this consolidated draft reflects the pre-amendment 2018 wording rather than the 2019-amended wording, Annex 34-G, Part A controls and the pre-amendment wording has no operative effect. This rule includes deletions, renumbering instructions, footnote amendments, and Annexes 31-A and 31-B.</w:t>
      </w:r>
    </w:p>
    <w:p>
      <w:pPr>
        <w:pStyle w:val="Normal"/>
        <w:widowControl/>
        <w:rPr/>
      </w:pPr>
      <w:r>
        <w:rPr/>
        <w:t xml:space="preserve">2. </w:t>
      </w:r>
      <w:r>
        <w:rPr>
          <w:b/>
        </w:rPr>
        <w:t>Identification of amendments.</w:t>
      </w:r>
      <w:r>
        <w:rPr/>
        <w:t xml:space="preserve"> Each amended Chapter concludes with a section entitled “CUSMA 2.0 Modernization Provisions” containing the new and replacement Articles for that Chapter. Each replacement Article expressly identifies the provision it replaces; each new Article is numbered within its Chapter’s sequence with the suffix “A”, “B”, and so on, pending final renumbering upon adoption. No substantive change is presented as a stylistic clarification. The CUSMA 2.1 Hardening Package is integrated directly into those provisions and is recorded in the Amendment Ledger.</w:t>
      </w:r>
    </w:p>
    <w:p>
      <w:pPr>
        <w:pStyle w:val="Normal"/>
        <w:widowControl/>
        <w:rPr/>
      </w:pPr>
      <w:r>
        <w:rPr/>
        <w:t xml:space="preserve">3. </w:t>
      </w:r>
      <w:r>
        <w:rPr>
          <w:b/>
        </w:rPr>
        <w:t>New Chapters.</w:t>
      </w:r>
      <w:r>
        <w:rPr/>
        <w:t xml:space="preserve"> New Chapters 35 through 40 are consolidated in full after Chapter 34 and before the Annexes on non-conforming measures. Upon adoption, the Parties may repaginate the Agreement so that Chapter 34 (Final Provisions) appears last, without renumbering any Article.</w:t>
      </w:r>
    </w:p>
    <w:p>
      <w:pPr>
        <w:pStyle w:val="Normal"/>
        <w:widowControl/>
        <w:rPr/>
      </w:pPr>
      <w:r>
        <w:rPr/>
        <w:t xml:space="preserve">4. </w:t>
      </w:r>
      <w:r>
        <w:rPr>
          <w:b/>
        </w:rPr>
        <w:t>Modal verb control.</w:t>
      </w:r>
      <w:r>
        <w:rPr/>
        <w:t xml:space="preserve"> In all new and amended text: “shall” denotes a binding obligation; “shall not” or “no Party shall” denotes a binding prohibition; “may” denotes a right, entitlement, discretion, or authorization; “shall endeavor” denotes an aspirational or cooperative commitment deliberately chosen; present-tense verbs denote legal status, definitions, or automatic operation; and “must” denotes an objective condition of qualification. Automatic consequences are drafted in deterministic present-tense language and are genuinely automatic.</w:t>
      </w:r>
    </w:p>
    <w:p>
      <w:pPr>
        <w:pStyle w:val="Normal"/>
        <w:widowControl/>
        <w:rPr/>
      </w:pPr>
      <w:r>
        <w:rPr/>
        <w:t xml:space="preserve">5. </w:t>
      </w:r>
      <w:r>
        <w:rPr>
          <w:b/>
        </w:rPr>
        <w:t>Durability.</w:t>
      </w:r>
      <w:r>
        <w:rPr/>
        <w:t xml:space="preserve"> In accordance with the No-Fade Guarantee in Article 35.29, no right, preference, guarantee, or protection of this Agreement lapses by the passage of time. Time-limited operation attaches only to restrictive extraordinary measures, and to them only as an anti-weaponization discipline.</w:t>
      </w:r>
    </w:p>
    <w:p>
      <w:pPr>
        <w:pStyle w:val="Normal"/>
        <w:widowControl/>
        <w:rPr/>
      </w:pPr>
      <w:r>
        <w:rPr/>
        <w:t xml:space="preserve">6. </w:t>
      </w:r>
      <w:r>
        <w:rPr>
          <w:b/>
        </w:rPr>
        <w:t>Neutrality and reciprocity.</w:t>
      </w:r>
      <w:r>
        <w:rPr/>
        <w:t xml:space="preserve"> This text treats Canada, the United States, and the United Mexican States as sovereign equals, uses no negotiating rhetoric in operative provisions, and frames genuinely reciprocal mechanisms as shared trilateral architecture.</w:t>
      </w:r>
    </w:p>
    <w:p>
      <w:pPr>
        <w:pStyle w:val="Normal"/>
        <w:widowControl/>
        <w:rPr/>
      </w:pPr>
      <w:r>
        <w:rPr/>
        <w:t xml:space="preserve">7. </w:t>
      </w:r>
      <w:r>
        <w:rPr>
          <w:b/>
        </w:rPr>
        <w:t>Amendment Ledger.</w:t>
      </w:r>
      <w:r>
        <w:rPr/>
        <w:t xml:space="preserve"> Every substantive concession and structural change is recorded in the Amendment Ledger annexed to this consolidated draft, identifying the original rule, the revised rule, the legal-function classification, the negotiating objective, and the effect on each Party.</w:t>
      </w:r>
    </w:p>
    <w:p>
      <w:pPr>
        <w:pStyle w:val="Normal"/>
        <w:widowControl/>
        <w:rPr/>
      </w:pPr>
      <w:r>
        <w:rPr/>
        <w:t>8. Substantive strength, legal temperature, and structural exceptions. New and modernized operative prose shall state the legal rule with sufficient specificity to identify, as applicable, the actor, trigger, required or prohibited conduct, scope, governing standard or identified mechanism, timing, legal effect, and route for cure, review, or restoration; sentence count alone does not establish substantive sufficiency. A four-sentence drafting floor is a normal drafting aid for new or modernized operative prose where it improves clarity, but it does not apply mechanically to authentic legacy CUSMA text, definitions, tariff lines, mathematical formulas, tables, schedules, product lists, citation-only entries, non-operative indexes, or other legal-data structures whose precision would be reduced by prose expansion. A provision that delegates future technical detail shall identify or cross-reference the competent authority, the minimum treaty-level rule, the adoption or update process, and the legal effect or fallback applicable if the delegated detail is not completed when required. Cooperative, pilot, or optional material shall be identified at the legal temperature actually intended and shall not acquire mandatory effect merely from placement in this consolidated text.</w:t>
      </w:r>
      <w:r>
        <w:br w:type="page"/>
      </w:r>
    </w:p>
    <w:p>
      <w:pPr>
        <w:pStyle w:val="TrumpVisibilityHeadline"/>
        <w:widowControl/>
        <w:rPr/>
      </w:pPr>
      <w:r>
        <w:rPr/>
        <w:t>LEADER-LEVEL VISIBILITY SUMMARY — RAPID NEGOTIATING INDEX</w:t>
      </w:r>
    </w:p>
    <w:p>
      <w:pPr>
        <w:pStyle w:val="Normal"/>
        <w:widowControl/>
        <w:rPr/>
      </w:pPr>
      <w:r>
        <w:rPr/>
        <w:t>This non-operative summary brings major, politically legible outcomes forward for rapid leader and negotiator review. It does not enlarge, modify, or independently activate any obligation. Operative rights, safeguards, conditions, reciprocal consideration, and implementation rules remain governed by the provisions identified below.</w:t>
      </w:r>
    </w:p>
    <w:p>
      <w:pPr>
        <w:pStyle w:val="TrumpVisibilityHeadline"/>
        <w:widowControl/>
        <w:rPr/>
      </w:pPr>
      <w:r>
        <w:t>★ UNITED STATES — LEADER-LEVEL WIN SUMMARY</w:t>
      </w:r>
    </w:p>
    <w:p>
      <w:pPr>
        <w:pStyle w:val="ListBullet"/>
        <w:widowControl/>
        <w:rPr/>
      </w:pPr>
      <w:r>
        <w:t>U.S. manufacturing: more vehicles, components, batteries, semiconductors, power electronics, advanced materials, and other strategic manufacturing built in the United States through the voluntary U.S. Manufacturing Accelerator, with reciprocal Canadian and Mexican tracks and no compulsory Party-specific origin mandate.</w:t>
      </w:r>
    </w:p>
    <w:p>
      <w:pPr>
        <w:pStyle w:val="ListBullet"/>
        <w:widowControl/>
        <w:rPr/>
      </w:pPr>
      <w:r>
        <w:t>Automotive: 75% Standard, 80% High Integration, and 85% Strategic Integration architecture; stronger North American vehicle and component production; public investment/capacity reporting; and the optional 70% U.S.-manufactured SUV muffler commitment paired with a durable automotive tariff settlement.</w:t>
      </w:r>
    </w:p>
    <w:p>
      <w:pPr>
        <w:pStyle w:val="ListBullet"/>
        <w:widowControl/>
        <w:rPr/>
      </w:pPr>
      <w:r>
        <w:t>Aircraft certification: North American Aviation Certification Fast Lane with concurrent FAA-TCCA-AFAC review where practicable, maximum lawful reliance on counterpart technical findings, published response clocks, no politically motivated certification delay, and an explicit firewall preserving each regulator's sovereign safety authority.</w:t>
      </w:r>
    </w:p>
    <w:p>
      <w:pPr>
        <w:pStyle w:val="ListBullet"/>
        <w:widowControl/>
        <w:rPr/>
      </w:pPr>
      <w:r>
        <w:t>Dairy — Guaranteed New U.S. Dairy Access: measurable provincial access floors, utilization and reallocation disciplines, a 0.2% Priority Cheese Access Bonus, transparent TRQ administration, and an optional pathway up to 1.50% total scheduled provincial access in return for expressly paired concessions.</w:t>
      </w:r>
    </w:p>
    <w:p>
      <w:pPr>
        <w:pStyle w:val="ListBullet"/>
        <w:widowControl/>
        <w:rPr/>
      </w:pPr>
      <w:r>
        <w:t>Alcohol — American products return with normalization: tariff-linked restoration of ordinary listing eligibility, inventory replenishment, distribution, and retail access for U.S. beer, wine, and spirits, while preserving legitimate provincial, territorial, state, and Mexican subnational regulation.</w:t>
      </w:r>
    </w:p>
    <w:p>
      <w:pPr>
        <w:pStyle w:val="ListBullet"/>
        <w:widowControl/>
        <w:rPr/>
      </w:pPr>
      <w:r>
        <w:t>Steel and aluminum: North American Metals Investment Compact; anti-transshipment and provenance protection; strategic and defense-grade capacity; modernization and recycling; public investment/capacity reporting; and durable normalization of originating North American metals trade.</w:t>
      </w:r>
    </w:p>
    <w:p>
      <w:pPr>
        <w:pStyle w:val="ListBullet"/>
        <w:widowControl/>
        <w:rPr/>
      </w:pPr>
      <w:r>
        <w:t>Critical minerals: Strategic Materials Compact, duty-free originating trade, offtake and long-term access, stockpile and surge cooperation, Midstream Gap Register, trusted external feedstock, by-product recovery, Canada/U.S./Mexico industrial tracks, and minerals-for-forestry bargaining that exchanges resource cooperation for processing, investment, procurement, resilience, and market-access value.</w:t>
      </w:r>
    </w:p>
    <w:p>
      <w:pPr>
        <w:pStyle w:val="ListBullet"/>
        <w:widowControl/>
        <w:rPr/>
      </w:pPr>
      <w:r>
        <w:t>Forestry: minerals-for-forestry normalization pathways capable of supporting durable softwood-lumber settlement.</w:t>
      </w:r>
    </w:p>
    <w:p>
      <w:pPr>
        <w:pStyle w:val="ListBullet"/>
        <w:widowControl/>
        <w:rPr/>
      </w:pPr>
      <w:r>
        <w:t>Wildfire: prevention, detection, fuel management, firefighting interoperability, technology, recovery, and transboundary smoke mitigation.</w:t>
      </w:r>
    </w:p>
    <w:p>
      <w:pPr>
        <w:pStyle w:val="ListBullet"/>
        <w:widowControl/>
        <w:rPr/>
      </w:pPr>
      <w:r>
        <w:t>Procurement: reciprocal strategic-supplier access while preserving lawful domestic, SME, Indigenous, security, and resilience programs.</w:t>
      </w:r>
    </w:p>
    <w:p>
      <w:pPr>
        <w:pStyle w:val="ListBullet"/>
        <w:widowControl/>
        <w:rPr/>
      </w:pPr>
      <w:r>
        <w:t>Trade rebalancing: verifiable opportunities for additional U.S. exports, investment, reshoring, joint ventures, procurement, agriculture, and productive capacity without compulsory purchase quotas.</w:t>
      </w:r>
    </w:p>
    <w:p>
      <w:pPr>
        <w:pStyle w:val="ListBullet"/>
        <w:widowControl/>
        <w:rPr/>
      </w:pPr>
      <w:r>
        <w:t>Keystone Next: an optional tangible energy-security successor with an approximately 830,000-barrel-per-day planning objective where commercially supported, real infrastructure, workforce, technology, safety, and public launch.</w:t>
      </w:r>
    </w:p>
    <w:p>
      <w:pPr>
        <w:pStyle w:val="ListBullet"/>
        <w:widowControl/>
        <w:rPr/>
      </w:pPr>
      <w:r>
        <w:t>Fentanyl and border security: fentanyl-priority interdiction, expanded canine teams, modern inspection technology, Gordie Howe flagship deployment, measurable performance, and a trusted-freight dividend.</w:t>
      </w:r>
    </w:p>
    <w:p>
      <w:pPr>
        <w:pStyle w:val="ListBullet"/>
        <w:widowControl/>
        <w:rPr/>
      </w:pPr>
      <w:r>
        <w:t>Medicines and pharmaceutical manufacturing: stronger North American API, sterile-injectable, biologics, vaccine and essential-medicine manufacturing; resilient U.S. supply; emergency reserves; reduced strategic dependence on non-North-American suppliers; and protection against essential medicines becoming tariff hostages.</w:t>
      </w:r>
    </w:p>
    <w:p>
      <w:pPr>
        <w:pStyle w:val="ListBullet"/>
        <w:widowControl/>
        <w:rPr/>
      </w:pPr>
      <w:r>
        <w:t>Gordie Howe / Detroit–Windsor: an optional corridor-reinvestment framework can direct mutually agreed revenues or equivalent appropriations to Michigan- and Ontario-side customs, trusted-freight, ITS, approach, logistics, community-mitigation and economic-development improvements without transferring Canadian toll ownership, bridge governance, or revenue entitlement.</w:t>
      </w:r>
    </w:p>
    <w:p>
      <w:pPr>
        <w:pStyle w:val="TrumpVisibilityHeadline"/>
        <w:widowControl/>
        <w:rPr/>
      </w:pPr>
      <w:r>
        <w:t>★ CANADA — LEADER-LEVEL WIN SUMMARY</w:t>
      </w:r>
    </w:p>
    <w:p>
      <w:pPr>
        <w:pStyle w:val="ListBullet"/>
        <w:widowControl/>
        <w:rPr/>
      </w:pPr>
      <w:r>
        <w:t>Tariff security: legacy extraordinary tariffs and retaliation wind down; future extraordinary measures face nexus, evidence, proportionality, review, anti-evasion and restoration disciplines rather than open-ended unilateral escalation.</w:t>
      </w:r>
    </w:p>
    <w:p>
      <w:pPr>
        <w:pStyle w:val="ListBullet"/>
        <w:widowControl/>
        <w:rPr/>
      </w:pPr>
      <w:r>
        <w:t>Treaty durability: CUSMA/NAESTMA continues for indefinite duration under modernization review rather than recurring renewal cliffs, protecting investment reliance and reducing periodic existential uncertainty.</w:t>
      </w:r>
    </w:p>
    <w:p>
      <w:pPr>
        <w:pStyle w:val="ListBullet"/>
        <w:widowControl/>
        <w:rPr/>
      </w:pPr>
      <w:r>
        <w:t>Dairy: Canadian supply management remains intact while negotiated U.S. access becomes more usable and transparent; incremental access is expressly paired with reciprocal Canadian value and protected against uncompensated front-loading.</w:t>
      </w:r>
    </w:p>
    <w:p>
      <w:pPr>
        <w:pStyle w:val="ListBullet"/>
        <w:widowControl/>
        <w:rPr/>
      </w:pPr>
      <w:r>
        <w:t>Forestry: critical-mineral and strategic-material cooperation can earn staged, durable softwood-lumber normalization without compulsory extraction, below-market supply, or surrender of Canadian resource ownership.</w:t>
      </w:r>
    </w:p>
    <w:p>
      <w:pPr>
        <w:pStyle w:val="ListBullet"/>
        <w:widowControl/>
        <w:rPr/>
      </w:pPr>
      <w:r>
        <w:t>Critical minerals and industrialization: Canada retains resource sovereignty and the ability to prioritize domestic value-added processing while gaining midstream investment, offtake, reserve eligibility, procurement and market-stability opportunities.</w:t>
      </w:r>
    </w:p>
    <w:p>
      <w:pPr>
        <w:pStyle w:val="ListBullet"/>
        <w:widowControl/>
        <w:rPr/>
      </w:pPr>
      <w:r>
        <w:t>Arctic and NORAD: Northern Vigilance converts Canadian defence and northern investment into continental-security value while preserving Canadian sovereignty, jurisdiction, command, basing authority, infrastructure control and Northwest Passage legal positions.</w:t>
      </w:r>
    </w:p>
    <w:p>
      <w:pPr>
        <w:pStyle w:val="ListBullet"/>
        <w:widowControl/>
        <w:rPr/>
      </w:pPr>
      <w:r>
        <w:t>Border reciprocity: Canada receives stronger cooperation against illegal firearms, illicit finance, stolen-vehicle exports and organized-crime flows while retaining exclusive national command, privacy protection and a firewall against fentanyl becoming an automatic tariff shortcut.</w:t>
      </w:r>
    </w:p>
    <w:p>
      <w:pPr>
        <w:pStyle w:val="ListBullet"/>
        <w:widowControl/>
        <w:rPr/>
      </w:pPr>
      <w:r>
        <w:t>Procurement: Canadian suppliers receive project-specific reciprocal access across a protected 370-opportunity portfolio without Canada accepting an economy-wide surrender to Buy American preferences or guaranteed foreign awards.</w:t>
      </w:r>
    </w:p>
    <w:p>
      <w:pPr>
        <w:pStyle w:val="ListBullet"/>
        <w:widowControl/>
        <w:rPr/>
      </w:pPr>
      <w:r>
        <w:t>Automotive: ordinary North American origin remains trilateral; U.S.-specific manufacturing incentives are bounded, reciprocal and optional, with the three-component ceiling and strategic-component firewall protecting the Canadian automotive industrial base.</w:t>
      </w:r>
    </w:p>
    <w:p>
      <w:pPr>
        <w:pStyle w:val="ListBullet"/>
        <w:widowControl/>
        <w:rPr/>
      </w:pPr>
      <w:r>
        <w:t>Steel and aluminum: originating Canadian metals gain a durable-normalization pathway paired with anti-transshipment, traceability, new capacity, recycling and strategic-product investment rather than permanent extraordinary tariff treatment.</w:t>
      </w:r>
    </w:p>
    <w:p>
      <w:pPr>
        <w:pStyle w:val="ListBullet"/>
        <w:widowControl/>
        <w:rPr/>
      </w:pPr>
      <w:r>
        <w:t>Medicines: the Canadian pharmaceutical track prioritizes medical isotopes, radiopharmaceuticals, biologics, vaccines, APIs, sterile capacity, clinical research and cold-chain resilience while essential medicines receive no-tariff-hostage protection.</w:t>
      </w:r>
    </w:p>
    <w:p>
      <w:pPr>
        <w:pStyle w:val="ListBullet"/>
        <w:widowControl/>
        <w:rPr/>
      </w:pPr>
      <w:r>
        <w:t>Energy and infrastructure: Canadian reliability, affordability, resource policy, environmental law, Indigenous and treaty rights, electricity allocation and project-approval authority remain protected while cross-border energy and infrastructure opportunities expand.</w:t>
      </w:r>
    </w:p>
    <w:p>
      <w:pPr>
        <w:pStyle w:val="ListBullet"/>
        <w:widowControl/>
        <w:rPr/>
      </w:pPr>
      <w:r>
        <w:t>Commercial wins: Canada may operate its own verified national commercial-wins presentation using the same Chapter 64 integrity rules, allowing Canadian exports, contracts, procurement awards, investment and regional gains to be foregrounded publicly.</w:t>
      </w:r>
    </w:p>
    <w:p>
      <w:pPr>
        <w:pStyle w:val="ListBullet"/>
        <w:widowControl/>
        <w:rPr/>
      </w:pPr>
      <w:r>
        <w:t>Labour, environment and enforcement: systemic enforcement standards are symmetrical, allegations require evidence and cure, and unrelated sectors cannot ordinarily be punished for localized or good-faith implementation problems.</w:t>
      </w:r>
    </w:p>
    <w:p>
      <w:pPr>
        <w:pStyle w:val="ListBullet"/>
        <w:widowControl/>
        <w:rPr/>
      </w:pPr>
      <w:r>
        <w:t>Gordie Howe / Detroit–Windsor: Canada preserves bridge and toll-revenue ownership and rejects retroactive U.S. financing claims while gaining a lawful mechanism to convert mutually agreed corridor funding into faster freight, better approaches, community mitigation and reciprocal infrastructure value.</w:t>
      </w:r>
    </w:p>
    <w:p>
      <w:pPr>
        <w:pStyle w:val="TrumpVisibilityHeadline"/>
        <w:widowControl/>
        <w:rPr/>
      </w:pPr>
      <w:r>
        <w:t>★ MEXICO — LEADER-LEVEL WIN SUMMARY</w:t>
      </w:r>
    </w:p>
    <w:p>
      <w:pPr>
        <w:pStyle w:val="ListBullet"/>
        <w:widowControl/>
        <w:rPr/>
      </w:pPr>
      <w:r>
        <w:t>Tariff normalization: qualifying Mexican originating autos, parts, steel, aluminum and designated industrial goods receive an expedited route back toward ordinary preferential treatment where verified origin and security facts support normalization.</w:t>
      </w:r>
    </w:p>
    <w:p>
      <w:pPr>
        <w:pStyle w:val="ListBullet"/>
        <w:widowControl/>
        <w:rPr/>
      </w:pPr>
      <w:r>
        <w:t>Equal-party protection: Mexico receives the same Chapter 35 anti-evasion, evidence, proportionality, cure, restoration and no-uncompensated-front-loading protections as Canada and the United States, with no presumption that Mexican trade is the default enforcement target.</w:t>
      </w:r>
    </w:p>
    <w:p>
      <w:pPr>
        <w:pStyle w:val="ListBullet"/>
        <w:widowControl/>
        <w:rPr/>
      </w:pPr>
      <w:r>
        <w:t>Automotive parity: Mexican originating value remains fully North American; the agreement resists Party-specific relocation mandates and protects the integrated Mexican automotive base from strategic-component salami slicing.</w:t>
      </w:r>
    </w:p>
    <w:p>
      <w:pPr>
        <w:pStyle w:val="ListBullet"/>
        <w:widowControl/>
        <w:rPr/>
      </w:pPr>
      <w:r>
        <w:t>Agriculture: Mexico is expressly treated as a full producer, consumer, exporter, importer, research partner and manufacturing base, with Mexico-specific treatment for crops, irrigation, drought, machinery, labour-intensive production, logistics and value-added processing.</w:t>
      </w:r>
    </w:p>
    <w:p>
      <w:pPr>
        <w:pStyle w:val="ListBullet"/>
        <w:widowControl/>
        <w:rPr/>
      </w:pPr>
      <w:r>
        <w:t>Dairy: Mexico receives full procedural equality in the Dairy Stability and Market Access Framework and a pathway for Mexico-specific access, development or reciprocal opportunities rather than being treated as a residual market.</w:t>
      </w:r>
    </w:p>
    <w:p>
      <w:pPr>
        <w:pStyle w:val="ListBullet"/>
        <w:widowControl/>
        <w:rPr/>
      </w:pPr>
      <w:r>
        <w:t>Pharmaceutical upgrading: the Mexican track supports movement from finished-dose generics toward APIs/KSMs, sterile injectables, fill-finish, biologics, vaccines, advanced manufacturing, regulatory science and higher-value R&amp;D, with equal eligibility for resilience procurement.</w:t>
      </w:r>
    </w:p>
    <w:p>
      <w:pPr>
        <w:pStyle w:val="ListBullet"/>
        <w:widowControl/>
        <w:rPr/>
      </w:pPr>
      <w:r>
        <w:t>Critical minerals and industrial inputs: Mexico is recognized as a full strategic supplier, processor, manufacturer, recycler and investment destination, with dedicated industrial-input and specialty-mineral pathways and value-added processing opportunities.</w:t>
      </w:r>
    </w:p>
    <w:p>
      <w:pPr>
        <w:pStyle w:val="ListBullet"/>
        <w:widowControl/>
        <w:rPr/>
      </w:pPr>
      <w:r>
        <w:t>Digital manufacturing and SMEs: Mexico receives a dedicated electronics, semiconductor, software, customs-interoperability and SME export lane designed to raise value capture rather than confine Mexico to lower-value assembly.</w:t>
      </w:r>
    </w:p>
    <w:p>
      <w:pPr>
        <w:pStyle w:val="ListBullet"/>
        <w:widowControl/>
        <w:rPr/>
      </w:pPr>
      <w:r>
        <w:t>Forestry: Mexico receives its own forestry and wood-products integration lane while being expressly firewalled from the historic Canada-United States softwood-lumber trade-remedy dispute unless Mexico separately agrees otherwise.</w:t>
      </w:r>
    </w:p>
    <w:p>
      <w:pPr>
        <w:pStyle w:val="ListBullet"/>
        <w:widowControl/>
        <w:rPr/>
      </w:pPr>
      <w:r>
        <w:t>Procurement: Mexican suppliers participate across the reciprocal 370-opportunity portfolio, including border, rail, ports, grid, water, industrial, digital and strategic-infrastructure opportunities, without guaranteed awards or blanket domestic-preference surrender.</w:t>
      </w:r>
    </w:p>
    <w:p>
      <w:pPr>
        <w:pStyle w:val="ListBullet"/>
        <w:widowControl/>
        <w:rPr/>
      </w:pPr>
      <w:r>
        <w:t>Border and security reciprocity: Mexico gains stronger continental action against illegal firearms, illicit finance, stolen vehicles, precursor networks and organized crime while retaining exclusive command and operational authority over Mexican officers and territory.</w:t>
      </w:r>
    </w:p>
    <w:p>
      <w:pPr>
        <w:pStyle w:val="ListBullet"/>
        <w:widowControl/>
        <w:rPr/>
      </w:pPr>
      <w:r>
        <w:t>Labour symmetry and dignity: facility-specific and systemic labour enforcement is framed as genuinely trilateral; Mexico-specific reform history creates no presumption of Mexican wrongdoing or weaker obligations in Canada or the United States.</w:t>
      </w:r>
    </w:p>
    <w:p>
      <w:pPr>
        <w:pStyle w:val="ListBullet"/>
        <w:widowControl/>
        <w:rPr/>
      </w:pPr>
      <w:r>
        <w:t>Defence-industrial participation: Mexico can participate through strategic materials, electronics, cold-weather equipment, pharmaceutical supply, logistics, manufacturing, research and resilience without being artificially inserted into Canadian-U.S. Arctic operational command.</w:t>
      </w:r>
    </w:p>
    <w:p>
      <w:pPr>
        <w:pStyle w:val="ListBullet"/>
        <w:widowControl/>
        <w:rPr/>
      </w:pPr>
      <w:r>
        <w:t>Treaty continuity and external sovereignty: bilateral disputes cannot create de facto renewal uncertainty for unrelated Mexican trade, and Mexico retains sovereign authority over non-Party trade, investment and foreign-economic relationships without another Party holding a veto.</w:t>
      </w:r>
    </w:p>
    <w:p>
      <w:pPr>
        <w:pStyle w:val="ListBullet"/>
        <w:widowControl/>
        <w:rPr/>
      </w:pPr>
      <w:r>
        <w:t>Commercial wins: Mexico may maintain its own Chapter 64 national presentation highlighting verified exports, contracts, procurement, industrial upgrading, SMEs, regional investment and supply-chain gains using the same evidentiary standards as the U.S. and Canadian ledgers.</w:t>
      </w:r>
    </w:p>
    <w:p>
      <w:pPr>
        <w:pStyle w:val="Normal"/>
        <w:widowControl/>
        <w:rPr/>
      </w:pPr>
      <w:r>
        <w:rPr/>
        <w:t>Visibility principle. Detailed treaty engineering should remain underneath these headlines. The summary is intended to make the negotiated exchange legible in seconds without weakening the legal precision, safety authority, sovereignty protections, trilateral balance, or no-uncompensated-front-loading rules that govern performance.</w:t>
      </w:r>
    </w:p>
    <w:p>
      <w:pPr>
        <w:pStyle w:val="Normal"/>
        <w:widowControl/>
        <w:rPr/>
      </w:pPr>
      <w:r>
        <w:t>Discoverability note. The agreement now includes a non-operative Subject-Matter Visibility and Search Index immediately before Chapter 1. It intentionally repeats common synonyms, alternate spellings, and distributed package names so major protections cannot disappear merely because a reader searches the wrong label.</w:t>
      </w:r>
    </w:p>
    <w:p>
      <w:pPr>
        <w:pStyle w:val="Normal"/>
        <w:widowControl/>
        <w:rPr/>
      </w:pPr>
      <w:r>
        <w:t>★ Trilateral conservation win: Great Whale Compact — safer shipping, safer fisheries, stronger whale recovery, and serious lifelong care for captive cetaceans</w:t>
      </w:r>
    </w:p>
    <w:p>
      <w:pPr>
        <w:pStyle w:val="Normal"/>
        <w:widowControl/>
        <w:rPr/>
      </w:pPr>
      <w:r>
        <w:t>Chapter 68 establishes a science-first North American cetacean framework built around adaptive vessel and fishery management, whale-safe gear transition, a continental detection network, rescue and veterinary capacity, species-specific recovery, Indigenous stewardship, captive-cetacean welfare, qualified sanctuary pathways, and transparent recovery measurement. Experimental or legally uncertain measures remain optional until validated and authorized.</w:t>
      </w:r>
    </w:p>
    <w:p>
      <w:pPr>
        <w:pStyle w:val="TrumpVisibilityHeadline"/>
        <w:widowControl/>
        <w:rPr/>
      </w:pPr>
      <w:r>
        <w:t>Subject-Matter Visibility and Search Index — Non-Operative</w:t>
      </w:r>
    </w:p>
    <w:p>
      <w:pPr>
        <w:pStyle w:val="Normal"/>
        <w:widowControl/>
        <w:rPr/>
      </w:pPr>
      <w:r>
        <w:t>Purpose. This index is a navigation and discoverability aid only. It does not amend, enlarge, narrow, activate, suspend, or independently enforce any treaty obligation. It deliberately repeats ordinary-language and alternate search terms so that human readers, document-search systems, and AI retrieval tools can locate distributed architecture.</w:t>
      </w:r>
    </w:p>
    <w:p>
      <w:bookmarkStart w:id="1006" w:name="_NAESTMA_TOC_1006"/>
      <w:pPr>
        <w:pStyle w:val="Heading2"/>
        <w:keepNext/>
        <w:widowControl/>
        <w:rPr/>
      </w:pPr>
      <w:r>
        <w:t>Search aliases — high-value cross-cutting terms</w:t>
      </w:r>
      <w:bookmarkEnd w:id="1006"/>
    </w:p>
    <w:p>
      <w:pPr>
        <w:pStyle w:val="ListBullet"/>
        <w:widowControl/>
        <w:numPr>
          <w:ilvl w:val="0"/>
          <w:numId w:val="1"/>
        </w:numPr>
        <w:rPr/>
      </w:pPr>
      <w:r>
        <w:t>Labor / Labour / Worker Rights / Workers' Rights / Collective Bargaining / Freedom Of Association / Forced Labor / Forced Labour / Child Labor / Child Labour / Wages / Hours / Occupational Safety / Migrant Workers. Primary location: Chapter 23 Labor, Annex 23-A, facility-specific labor enforcement, and later modernization and sectoral worker-rights provisions.</w:t>
      </w:r>
    </w:p>
    <w:p>
      <w:pPr>
        <w:pStyle w:val="ListBullet"/>
        <w:widowControl/>
        <w:numPr>
          <w:ilvl w:val="0"/>
          <w:numId w:val="1"/>
        </w:numPr>
        <w:rPr/>
      </w:pPr>
      <w:r>
        <w:t>Immigration / Migration / Migrant / Asylum / Refugee / Non-refoulement / Deportation / Removal / Detention / Family Unity / Humanitarian Protection / Sensitive Locations / Civil Immigration Custody. Primary locations: Chapter 16 mobility plus Packages BN, BQ, BS, BW, and BX.</w:t>
      </w:r>
    </w:p>
    <w:p>
      <w:pPr>
        <w:pStyle w:val="ListBullet"/>
        <w:widowControl/>
        <w:numPr>
          <w:ilvl w:val="0"/>
          <w:numId w:val="1"/>
        </w:numPr>
        <w:rPr/>
      </w:pPr>
      <w:r>
        <w:t>Human Rights / Human Dignity / Rule Of Law / Due Process / Legal Access / Detention / Custody / Torture / Medical Care / Non-discrimination / Family Unity. Primary locations: Packages BN through BX and the specialized custodial Packages CH through CK.</w:t>
      </w:r>
    </w:p>
    <w:p>
      <w:pPr>
        <w:pStyle w:val="ListBullet"/>
        <w:widowControl/>
        <w:numPr>
          <w:ilvl w:val="0"/>
          <w:numId w:val="1"/>
        </w:numPr>
        <w:rPr/>
      </w:pPr>
      <w:r>
        <w:t>Prisoner / Prison / Incarceration / Correctional / Corrections / Jail / Pretrial Detention / Solitary Confinement / Restrictive Housing / Prison Labour / Prison Labor / Custodial Dignity. Primary locations: Packages CH, CI, CJ, CK and Annexes Ch-a and Ch-b; civil immigration detention remains principally in Package BS.</w:t>
      </w:r>
    </w:p>
    <w:p>
      <w:pPr>
        <w:pStyle w:val="ListBullet"/>
        <w:widowControl/>
        <w:numPr>
          <w:ilvl w:val="0"/>
          <w:numId w:val="1"/>
        </w:numPr>
        <w:rPr/>
      </w:pPr>
      <w:r>
        <w:t>Indigenous / Indigenous Peoples / First Nations / Inuit / Métis / Tribal / Native / Treaty Rights / Consultation / Self-government. Search across the general exceptions and rights provisions, procurement and handicraft rules, resource and infrastructure chapters, and relevant optional justice/corrections modules.</w:t>
      </w:r>
    </w:p>
    <w:p>
      <w:pPr>
        <w:pStyle w:val="ListBullet"/>
        <w:widowControl/>
        <w:numPr>
          <w:ilvl w:val="0"/>
          <w:numId w:val="1"/>
        </w:numPr>
        <w:rPr/>
      </w:pPr>
      <w:r>
        <w:t>Digital Trade / Data / Privacy / Cybersecurity / Source Code / Algorithm / Artificial Intelligence / AI / Automated Decision-making / Online Safety. Primary locations: Chapter 19 Digital Trade and its CUSMA 2.0 modernization provisions, with related sectoral and custodial automation rules.</w:t>
      </w:r>
    </w:p>
    <w:p>
      <w:pPr>
        <w:pStyle w:val="ListBullet"/>
        <w:widowControl/>
        <w:numPr>
          <w:ilvl w:val="0"/>
          <w:numId w:val="1"/>
        </w:numPr>
        <w:rPr/>
      </w:pPr>
      <w:r>
        <w:t>Critical Minerals / Strategic Materials / Rare Earths / Graphite / Lithium / Nickel / Cobalt / Processing / Refining / Stockpile / Offtake / Recycling. Primary location: Chapter 37 and related strategic-supply and sectoral packages.</w:t>
      </w:r>
    </w:p>
    <w:p>
      <w:pPr>
        <w:pStyle w:val="ListBullet"/>
        <w:widowControl/>
        <w:numPr>
          <w:ilvl w:val="0"/>
          <w:numId w:val="1"/>
        </w:numPr>
        <w:rPr/>
      </w:pPr>
      <w:r>
        <w:t>Energy / Energy Security / Electricity / Grid / Pipeline / Storage / Clean Power / Cybersecurity / Critical Infrastructure. Primary location: Chapter 40 and related strategic-infrastructure and emergency-continuity provisions.</w:t>
      </w:r>
    </w:p>
    <w:p>
      <w:pPr>
        <w:pStyle w:val="ListBullet"/>
        <w:widowControl/>
        <w:numPr>
          <w:ilvl w:val="0"/>
          <w:numId w:val="1"/>
        </w:numPr>
        <w:rPr/>
      </w:pPr>
      <w:r>
        <w:t>Environment / Climate / Biodiversity / Wildfire / Forestry / Fisheries / Marine Mammals / Whales / Pollution / Conservation / Circular Production. Primary locations: Chapter 24 Environment, forestry and wildfire modernization provisions, and Chapter 68 Great Whale Compact.</w:t>
      </w:r>
    </w:p>
    <w:p>
      <w:pPr>
        <w:pStyle w:val="ListBullet"/>
        <w:widowControl/>
        <w:numPr>
          <w:ilvl w:val="0"/>
          <w:numId w:val="1"/>
        </w:numPr>
        <w:rPr/>
      </w:pPr>
      <w:r>
        <w:t>Border Security / Fentanyl / Precursors / Scanners / Customs Targeting / North American Shield / Sensitive-location Protection. Search the customs and border chapters plus the later border-security packages.</w:t>
      </w:r>
    </w:p>
    <w:p>
      <w:pPr>
        <w:pStyle w:val="ListBullet"/>
        <w:widowControl/>
        <w:numPr>
          <w:ilvl w:val="0"/>
          <w:numId w:val="1"/>
        </w:numPr>
        <w:rPr/>
      </w:pPr>
      <w:r>
        <w:t>Trade Remedies / Tariffs / Retaliation / Snapback / Step-back / Earn-back / Cothrom / No-fade / No Uncompensated Front-loading / Proportional Trade Adjustment. Primary locations: Chapters 10, 31, 35 and associated treaty-integrity architecture.</w:t>
      </w:r>
    </w:p>
    <w:p>
      <w:bookmarkStart w:id="1007" w:name="_NAESTMA_TOC_1007"/>
      <w:pPr>
        <w:pStyle w:val="Heading2"/>
        <w:keepNext/>
        <w:widowControl/>
        <w:rPr/>
      </w:pPr>
      <w:r>
        <w:t>I. Foundational, Institutional, Transparency and Dispute Settlement</w:t>
      </w:r>
      <w:bookmarkEnd w:id="1007"/>
    </w:p>
    <w:p>
      <w:pPr>
        <w:pStyle w:val="Normal"/>
        <w:widowControl/>
        <w:rPr/>
      </w:pPr>
      <w:r>
        <w:t>Search: Initial Provisions; General Definitions; Free Trade Commission; Secretariat; Publication; Transparency; Administrative Proceedings; General Exceptions; Essential Security; Indigenous Peoples; Final Provisions; Amendment; Withdrawal; Periodic Review; Consultations; Panel; Compliance; Suspension Of Benefits; Anti-deadlock.</w:t>
      </w:r>
    </w:p>
    <w:p>
      <w:bookmarkStart w:id="1008" w:name="_NAESTMA_TOC_1008"/>
      <w:pPr>
        <w:pStyle w:val="Heading2"/>
        <w:keepNext/>
        <w:widowControl/>
        <w:rPr/>
      </w:pPr>
      <w:r>
        <w:t>II. Trade In Goods, Origin, Customs and Remedies</w:t>
      </w:r>
      <w:bookmarkEnd w:id="1008"/>
    </w:p>
    <w:p>
      <w:pPr>
        <w:pStyle w:val="Normal"/>
        <w:widowControl/>
        <w:rPr/>
      </w:pPr>
      <w:r>
        <w:t>Search: National Treatment; Market Access; Customs Duties; Tariff-rate Quota; TRQ; Drawback; Temporary Admission; Import Restriction; Rules Of Origin; RVC; Automotive 75% 80% 85%; Melted And Poured; Smelted And Cast; De Minimis; Accumulation; Certification Of Origin; Verification; Advance Ruling; Single Window; AEO; Trusted Trader; Textiles; Tpl; Safeguard; Antidumping; Countervailing; Binational Panel; Duty Evasion.</w:t>
      </w:r>
    </w:p>
    <w:p>
      <w:bookmarkStart w:id="1009" w:name="_NAESTMA_TOC_1009"/>
      <w:pPr>
        <w:pStyle w:val="Heading2"/>
        <w:keepNext/>
        <w:widowControl/>
        <w:rPr/>
      </w:pPr>
      <w:r>
        <w:t>III. Agriculture, Food and Sector-specific Goods</w:t>
      </w:r>
      <w:bookmarkEnd w:id="1009"/>
    </w:p>
    <w:p>
      <w:pPr>
        <w:pStyle w:val="Normal"/>
        <w:widowControl/>
        <w:rPr/>
      </w:pPr>
      <w:r>
        <w:t>Search: Agriculture; Dairy; Milk Class; Supply Management; TRQ; Sugar; Poultry; Eggs; Biotechnology; SPS; Sanitary; Phytosanitary; TBT; Technical Barriers; Chemicals; Cosmetics; Medical Devices; Pharmaceuticals; Aviation Certification; Alcohol; Wine; Spirits; Beer.</w:t>
      </w:r>
    </w:p>
    <w:p>
      <w:bookmarkStart w:id="1010" w:name="_NAESTMA_TOC_1010"/>
      <w:pPr>
        <w:pStyle w:val="Heading2"/>
        <w:keepNext/>
        <w:widowControl/>
        <w:rPr/>
      </w:pPr>
      <w:r>
        <w:t>IV. Services, Investment, Mobility, Finance, Digital and Telecom</w:t>
      </w:r>
      <w:bookmarkEnd w:id="1010"/>
    </w:p>
    <w:p>
      <w:pPr>
        <w:pStyle w:val="Normal"/>
        <w:widowControl/>
        <w:rPr/>
      </w:pPr>
      <w:r>
        <w:t>Search: Cross-border Services; Professional Services; Temporary Entry; Business Visitor; Intra-company Transferee; Professional; Financial Services; Investment; Expropriation; Performance Requirements; Digital Trade; Data Flows; Data Localization; Source Code; AI; Cybersecurity; Telecommunications; Interconnection; Roaming.</w:t>
      </w:r>
    </w:p>
    <w:p>
      <w:bookmarkStart w:id="1011" w:name="_NAESTMA_TOC_1011"/>
      <w:pPr>
        <w:pStyle w:val="Heading2"/>
        <w:keepNext/>
        <w:widowControl/>
        <w:rPr/>
      </w:pPr>
      <w:r>
        <w:t>V. Intellectual Property, State Enterprises, Competition and Procurement</w:t>
      </w:r>
      <w:bookmarkEnd w:id="1011"/>
    </w:p>
    <w:p>
      <w:pPr>
        <w:pStyle w:val="Normal"/>
        <w:widowControl/>
        <w:rPr/>
      </w:pPr>
      <w:r>
        <w:t>Search: Trademark; Geographical Indication; Patent; Copyright; Biologics; Test Data; Trade Secret; ISP Safe Harbor; SOE; State-owned Enterprise; Monopoly; Competition; Consumer Protection; Government Procurement; Tender; Domestic Review.</w:t>
      </w:r>
    </w:p>
    <w:p>
      <w:bookmarkStart w:id="1012" w:name="_NAESTMA_TOC_1012"/>
      <w:pPr>
        <w:pStyle w:val="Heading2"/>
        <w:keepNext/>
        <w:widowControl/>
        <w:rPr/>
      </w:pPr>
      <w:r>
        <w:t>VI. Labor / Labour and Worker Protection</w:t>
      </w:r>
      <w:bookmarkEnd w:id="1012"/>
    </w:p>
    <w:p>
      <w:pPr>
        <w:pStyle w:val="Normal"/>
        <w:widowControl/>
        <w:rPr/>
      </w:pPr>
      <w:r>
        <w:t>Search: Chapter 23 Labor; Labour Rights; Freedom Of Association; Collective Bargaining; Forced Or Compulsory Labor; Child Labor; Discrimination; Minimum Wage; Hours Of Work; Occupational Safety And Health; Non-derogation; Violence Against Workers; Migrant Worker; Annex 23-A; Rapid Response Labor Mechanism; Public Submissions; Independent Factual Verification.</w:t>
      </w:r>
    </w:p>
    <w:p>
      <w:bookmarkStart w:id="1013" w:name="_NAESTMA_TOC_1013"/>
      <w:pPr>
        <w:pStyle w:val="Heading2"/>
        <w:keepNext/>
        <w:widowControl/>
        <w:rPr/>
      </w:pPr>
      <w:r>
        <w:t>VII. Environment, Forestry, Wildfire and Conservation</w:t>
      </w:r>
      <w:bookmarkEnd w:id="1013"/>
    </w:p>
    <w:p>
      <w:pPr>
        <w:pStyle w:val="Normal"/>
        <w:widowControl/>
        <w:rPr/>
      </w:pPr>
      <w:r>
        <w:t>Search: Chapter 24 Environment; Environmental Law; Ozone; Marine Pollution; Air Quality; Marine Litter; Biodiversity; Invasive Species; Fisheries; IUU Fishing; Sharks; Sea Turtles; Seabirds; Marine Mammals; Fisheries Subsidies; CITES; Forest Management; Environmental Goods; Wildfire; Smoke; Storm-damaged Forest Fuel; Traceability; Circular Production; Chapter 68 Great Whale Compact.</w:t>
      </w:r>
    </w:p>
    <w:p>
      <w:bookmarkStart w:id="1014" w:name="_NAESTMA_TOC_1014"/>
      <w:pPr>
        <w:pStyle w:val="Heading2"/>
        <w:keepNext/>
        <w:widowControl/>
        <w:rPr/>
      </w:pPr>
      <w:r>
        <w:t>VIII. Strategic, Security, Minerals, Energy and Emergency Continuity</w:t>
      </w:r>
      <w:bookmarkEnd w:id="1014"/>
    </w:p>
    <w:p>
      <w:pPr>
        <w:pStyle w:val="Normal"/>
        <w:widowControl/>
        <w:rPr/>
      </w:pPr>
      <w:r>
        <w:t>Search: Chapter 35 Treaty Integrity; Proportional Trade Adjustment; PTA; Verification Panel; Escrow; Step-back; Earn-back; No-fade; Chapter 36 Economic Security; TNAO; Forced-labor Perimeter; Steel; Aluminum; Semiconductors; Chapter 37 Critical Minerals; Stockpiles; Chapter 38 Emergency Trade Continuity; Health Security; Food Security; Cyber Incident; Chapter 40 Energy Security; Grid Resilience; Electricity; Storage; Critical Infrastructure Cybersecurity.</w:t>
      </w:r>
    </w:p>
    <w:p>
      <w:bookmarkStart w:id="1015" w:name="_NAESTMA_TOC_1015"/>
      <w:pPr>
        <w:pStyle w:val="Heading2"/>
        <w:keepNext/>
        <w:widowControl/>
        <w:rPr/>
      </w:pPr>
      <w:r>
        <w:t>IX. Inclusive Trade, SMEs, Competitiveness, Anticorruption and Regulation</w:t>
      </w:r>
      <w:bookmarkEnd w:id="1015"/>
    </w:p>
    <w:p>
      <w:pPr>
        <w:pStyle w:val="Normal"/>
        <w:widowControl/>
        <w:rPr/>
      </w:pPr>
      <w:r>
        <w:t>Search: SME; Small And Medium-sized Enterprise; Export Fast Lane; Compliance Gateway; Competitiveness; Supply Chain Resilience; Infrastructure; Anticorruption; Public Official; Good Regulatory Practice; Regulatory Impact Assessment; Macroeconomic Policy; Exchange Rate.</w:t>
      </w:r>
    </w:p>
    <w:p>
      <w:bookmarkStart w:id="1016" w:name="_NAESTMA_TOC_1016"/>
      <w:pPr>
        <w:pStyle w:val="Heading2"/>
        <w:keepNext/>
        <w:widowControl/>
        <w:rPr/>
      </w:pPr>
      <w:r>
        <w:t>X. Mobility, Immigration, Asylum and Humanitarian Protection</w:t>
      </w:r>
      <w:bookmarkEnd w:id="1016"/>
    </w:p>
    <w:p>
      <w:pPr>
        <w:pStyle w:val="Normal"/>
        <w:widowControl/>
        <w:rPr/>
      </w:pPr>
      <w:r>
        <w:t>Search: Chapter 16 Temporary Entry; Trusted North American Visitor; Package BN Mobility Migration Human Dignity; Human Being Not A Trade Concession; Package BQ Refugee Asylum Trafficking Humanitarian Protection; Non-refoulement; Package BS Humane Custody Detention Alternatives Sensitive-location Protection; Family Unity; Package BW Human Dignity Rule Of Law; Package BX Human-rights-conditioned Trade.</w:t>
      </w:r>
    </w:p>
    <w:p>
      <w:bookmarkStart w:id="1017" w:name="_NAESTMA_TOC_1017"/>
      <w:pPr>
        <w:pStyle w:val="Heading2"/>
        <w:keepNext/>
        <w:widowControl/>
        <w:rPr/>
      </w:pPr>
      <w:r>
        <w:t>XI. Custodial, Prisoner and Correctional Rights</w:t>
      </w:r>
      <w:bookmarkEnd w:id="1017"/>
    </w:p>
    <w:p>
      <w:pPr>
        <w:pStyle w:val="Normal"/>
        <w:widowControl/>
        <w:rPr/>
      </w:pPr>
      <w:r>
        <w:t>Search: Package CH Custodial Dignity Safe Corrections; Package CI Flexible Safe-corrections; Package CJ Implementation Review Cure; Package CK Red-team Hardening; Annex Ch-a Advanced Correctional Reform; Annex Ch-b Experimentation; Food; Water; Healthcare; Medication; Mental Health; Disability; Use Of Force; Restraints; Searches; Solitary Confinement; Restrictive Housing; Legal Access; Grievance; Inspection; Prison Labour; Prison Labor; Pregnancy; Consular Access; Contractors; Pretrial.</w:t>
      </w:r>
    </w:p>
    <w:p>
      <w:bookmarkStart w:id="1018" w:name="_NAESTMA_TOC_1018"/>
      <w:pPr>
        <w:pStyle w:val="Heading2"/>
        <w:keepNext/>
        <w:widowControl/>
        <w:rPr/>
      </w:pPr>
      <w:r>
        <w:t>XII. Side Letters, Annexes and Non-conforming Measures</w:t>
      </w:r>
      <w:bookmarkEnd w:id="1018"/>
    </w:p>
    <w:p>
      <w:pPr>
        <w:pStyle w:val="Normal"/>
        <w:widowControl/>
        <w:rPr/>
      </w:pPr>
      <w:r>
        <w:t>Search: Side Letter; Section 232; Auto Safety; Cheese; Distilled Spirits; Wine; Natural Water; Energy; Research And Development; Ramsar; Annex I; Annex II; Annex III; Annex IV; Non-conforming Measure; Services Reservation; Investment Reservation; Financial Services Reservation; SOE Reservation.</w:t>
      </w:r>
    </w:p>
    <w:p>
      <w:pPr>
        <w:pStyle w:val="Normal"/>
        <w:widowControl/>
        <w:rPr/>
      </w:pPr>
      <w:r>
        <w:t>Visibility rule. When a major subject is governed by multiple Chapters, Packages, Annexes, or modernization provisions, an index or signpost may repeat the subject name and common synonyms without creating a new legal obligation. Searchability is an interpretive aid, not an independent source of rights or duties.</w:t>
      </w:r>
    </w:p>
    <w:p>
      <w:bookmarkStart w:id="1019" w:name="_NAESTMA_TOC_1019"/>
      <w:pPr>
        <w:pStyle w:val="Heading1"/>
        <w:keepNext/>
        <w:keepLines w:val="0"/>
        <w:pageBreakBefore/>
        <w:widowControl/>
        <w:rPr/>
      </w:pPr>
      <w:bookmarkStart w:id="3" w:name="_Toc237912476"/>
      <w:r>
        <w:rPr/>
        <w:t>CHAPTER 1 INITIAL PROVISIONS AND GENERAL DEFINITIONS Section A: Initial Provisions</w:t>
      </w:r>
      <w:bookmarkEnd w:id="3"/>
      <w:bookmarkEnd w:id="1019"/>
    </w:p>
    <w:p>
      <w:pPr>
        <w:pStyle w:val="Normal"/>
        <w:widowControl/>
        <w:rPr/>
      </w:pPr>
      <w:r>
        <w:rPr/>
        <w:t>Article 1.1: Establishment of a Free Trade Area The Parties, consistent with Article XXIV of the GATT 1994 and Article V of the GATS, hereby establish a free trade area.</w:t>
      </w:r>
    </w:p>
    <w:p>
      <w:pPr>
        <w:pStyle w:val="Normal"/>
        <w:keepNext w:val="true"/>
        <w:widowControl/>
        <w:rPr/>
      </w:pPr>
      <w:r>
        <w:rPr/>
        <w:t>Article 1.2: Relation to Other Agreements Each Party affirms its existing rights and obligations with respect to each other under the WTO Agreement and other agreements to which it and another Party are party.</w:t>
      </w:r>
    </w:p>
    <w:p>
      <w:pPr>
        <w:pStyle w:val="Normal"/>
        <w:keepNext w:val="true"/>
        <w:widowControl/>
        <w:rPr/>
      </w:pPr>
      <w:r>
        <w:rPr/>
        <w:t>Article 1.3: Persons Exercising Delegated Governmental Authority Each Party shall ensure that a person that has been delegated regulatory, administrative, or other governmental authority by a Party acts in accordance with the Party’s obligations as set out under this Agreement in the exercise of that authority. Section B: General Definitions</w:t>
      </w:r>
    </w:p>
    <w:p>
      <w:pPr>
        <w:widowControl/>
      </w:pPr>
      <w:r>
        <w:rPr>
          <w:b/>
        </w:rPr>
        <w:t>Article 1.4: General Definitions</w:t>
      </w:r>
    </w:p>
    <w:p>
      <w:pPr>
        <w:widowControl/>
      </w:pPr>
      <w:r>
        <w:rPr>
          <w:b w:val="0"/>
        </w:rPr>
        <w:t>For the purposes of this Agreement, unless otherwise provided:</w:t>
      </w:r>
    </w:p>
    <w:tbl>
      <w:tblPr>
        <w:tblStyle w:val="TableGrid"/>
        <w:tblW w:type="auto" w:w="0"/>
        <w:jc w:val="center"/>
        <w:tblLayout w:type="autofit"/>
        <w:tblLook w:firstColumn="1" w:firstRow="1" w:lastColumn="0" w:lastRow="0" w:noHBand="0" w:noVBand="1" w:val="04A0"/>
      </w:tblPr>
      <w:tblGrid>
        <w:gridCol w:w="4680"/>
        <w:gridCol w:w="4680"/>
      </w:tblGrid>
      <w:tr>
        <w:trPr>
          <w:tblHeader w:val="true"/>
          <w:cantSplit/>
          <w:tblHeader w:val="true"/>
        </w:trPr>
        <w:tc>
          <w:tcPr>
            <w:tcW w:type="dxa" w:w="4680"/>
            <w:shd w:fill="233746"/>
          </w:tcPr>
          <w:p>
            <w:pPr>
              <w:spacing w:after="0"/>
            </w:pPr>
            <w:r>
              <w:rPr>
                <w:rFonts w:ascii="Arial" w:hAnsi="Arial"/>
                <w:b/>
                <w:color w:val="FFFFFF"/>
                <w:sz w:val="17"/>
              </w:rPr>
              <w:t>Term</w:t>
            </w:r>
          </w:p>
        </w:tc>
        <w:tc>
          <w:tcPr>
            <w:tcW w:type="dxa" w:w="4680"/>
            <w:shd w:fill="233746"/>
          </w:tcPr>
          <w:p>
            <w:pPr>
              <w:spacing w:after="0"/>
            </w:pPr>
            <w:r>
              <w:rPr>
                <w:rFonts w:ascii="Arial" w:hAnsi="Arial"/>
                <w:b/>
                <w:color w:val="FFFFFF"/>
                <w:sz w:val="17"/>
              </w:rPr>
              <w:t>Definition</w:t>
            </w:r>
          </w:p>
        </w:tc>
      </w:tr>
      <w:tr>
        <w:trPr>
          <w:cantSplit/>
        </w:trPr>
        <w:tc>
          <w:tcPr>
            <w:tcW w:type="dxa" w:w="4680"/>
            <w:tcMar>
              <w:top w:w="70" w:type="dxa"/>
              <w:start w:w="110" w:type="dxa"/>
              <w:bottom w:w="70" w:type="dxa"/>
              <w:end w:w="110" w:type="dxa"/>
            </w:tcMar>
          </w:tcPr>
          <w:p>
            <w:pPr>
              <w:widowControl/>
              <w:spacing w:after="0"/>
            </w:pPr>
            <w:r>
              <w:rPr>
                <w:rFonts w:ascii="Arial" w:hAnsi="Arial"/>
                <w:sz w:val="17"/>
              </w:rPr>
              <w:t>AD Agreement</w:t>
            </w:r>
          </w:p>
        </w:tc>
        <w:tc>
          <w:tcPr>
            <w:tcW w:type="dxa" w:w="4680"/>
            <w:tcMar>
              <w:top w:w="70" w:type="dxa"/>
              <w:start w:w="110" w:type="dxa"/>
              <w:bottom w:w="70" w:type="dxa"/>
              <w:end w:w="110" w:type="dxa"/>
            </w:tcMar>
          </w:tcPr>
          <w:p>
            <w:pPr>
              <w:widowControl/>
              <w:spacing w:after="0"/>
            </w:pPr>
            <w:r>
              <w:rPr>
                <w:rFonts w:ascii="Arial" w:hAnsi="Arial"/>
                <w:sz w:val="17"/>
              </w:rPr>
              <w:t>the Agreement on Implementation of Article VI of the General Agreement on Tariffs and Trade 1994, set out in Annex 1A to the WTO Agreement</w:t>
            </w:r>
          </w:p>
        </w:tc>
      </w:tr>
      <w:tr>
        <w:trPr>
          <w:cantSplit/>
        </w:trPr>
        <w:tc>
          <w:tcPr>
            <w:tcW w:type="dxa" w:w="4680"/>
            <w:tcMar>
              <w:top w:w="70" w:type="dxa"/>
              <w:start w:w="110" w:type="dxa"/>
              <w:bottom w:w="70" w:type="dxa"/>
              <w:end w:w="110" w:type="dxa"/>
            </w:tcMar>
            <w:shd w:fill="F4F6F7"/>
          </w:tcPr>
          <w:p>
            <w:pPr>
              <w:widowControl/>
              <w:spacing w:after="0"/>
            </w:pPr>
            <w:r>
              <w:rPr>
                <w:rFonts w:ascii="Arial" w:hAnsi="Arial"/>
                <w:sz w:val="17"/>
              </w:rPr>
              <w:t>central level of government</w:t>
            </w:r>
          </w:p>
        </w:tc>
        <w:tc>
          <w:tcPr>
            <w:tcW w:type="dxa" w:w="4680"/>
            <w:tcMar>
              <w:top w:w="70" w:type="dxa"/>
              <w:start w:w="110" w:type="dxa"/>
              <w:bottom w:w="70" w:type="dxa"/>
              <w:end w:w="110" w:type="dxa"/>
            </w:tcMar>
            <w:shd w:fill="F4F6F7"/>
          </w:tcPr>
          <w:p>
            <w:pPr>
              <w:widowControl/>
              <w:spacing w:after="0"/>
            </w:pPr>
            <w:r>
              <w:rPr>
                <w:rFonts w:ascii="Arial" w:hAnsi="Arial"/>
                <w:sz w:val="17"/>
              </w:rPr>
              <w:t>(a) for Canada, the Government of Canada; (b) for Mexico, the federal level of government; and (c) for the United States, the federal level of government</w:t>
            </w:r>
          </w:p>
        </w:tc>
      </w:tr>
      <w:tr>
        <w:trPr>
          <w:cantSplit/>
        </w:trPr>
        <w:tc>
          <w:tcPr>
            <w:tcW w:type="dxa" w:w="4680"/>
            <w:tcMar>
              <w:top w:w="70" w:type="dxa"/>
              <w:start w:w="110" w:type="dxa"/>
              <w:bottom w:w="70" w:type="dxa"/>
              <w:end w:w="110" w:type="dxa"/>
            </w:tcMar>
          </w:tcPr>
          <w:p>
            <w:pPr>
              <w:widowControl/>
              <w:spacing w:after="0"/>
            </w:pPr>
            <w:r>
              <w:rPr>
                <w:rFonts w:ascii="Arial" w:hAnsi="Arial"/>
                <w:sz w:val="17"/>
              </w:rPr>
              <w:t>Commission</w:t>
            </w:r>
          </w:p>
        </w:tc>
        <w:tc>
          <w:tcPr>
            <w:tcW w:type="dxa" w:w="4680"/>
            <w:tcMar>
              <w:top w:w="70" w:type="dxa"/>
              <w:start w:w="110" w:type="dxa"/>
              <w:bottom w:w="70" w:type="dxa"/>
              <w:end w:w="110" w:type="dxa"/>
            </w:tcMar>
          </w:tcPr>
          <w:p>
            <w:pPr>
              <w:widowControl/>
              <w:spacing w:after="0"/>
            </w:pPr>
            <w:r>
              <w:rPr>
                <w:rFonts w:ascii="Arial" w:hAnsi="Arial"/>
                <w:sz w:val="17"/>
              </w:rPr>
              <w:t>the Free Trade Commission established under Article 30.1 (Establishment of the Free Trade Commission)</w:t>
            </w:r>
          </w:p>
        </w:tc>
      </w:tr>
      <w:tr>
        <w:trPr>
          <w:cantSplit/>
        </w:trPr>
        <w:tc>
          <w:tcPr>
            <w:tcW w:type="dxa" w:w="4680"/>
            <w:tcMar>
              <w:top w:w="70" w:type="dxa"/>
              <w:start w:w="110" w:type="dxa"/>
              <w:bottom w:w="70" w:type="dxa"/>
              <w:end w:w="110" w:type="dxa"/>
            </w:tcMar>
            <w:shd w:fill="F4F6F7"/>
          </w:tcPr>
          <w:p>
            <w:pPr>
              <w:widowControl/>
              <w:spacing w:after="0"/>
            </w:pPr>
            <w:r>
              <w:rPr>
                <w:rFonts w:ascii="Arial" w:hAnsi="Arial"/>
                <w:sz w:val="17"/>
              </w:rPr>
              <w:t>covered investment</w:t>
            </w:r>
          </w:p>
        </w:tc>
        <w:tc>
          <w:tcPr>
            <w:tcW w:type="dxa" w:w="4680"/>
            <w:tcMar>
              <w:top w:w="70" w:type="dxa"/>
              <w:start w:w="110" w:type="dxa"/>
              <w:bottom w:w="70" w:type="dxa"/>
              <w:end w:w="110" w:type="dxa"/>
            </w:tcMar>
            <w:shd w:fill="F4F6F7"/>
          </w:tcPr>
          <w:p>
            <w:pPr>
              <w:widowControl/>
              <w:spacing w:after="0"/>
            </w:pPr>
            <w:r>
              <w:rPr>
                <w:rFonts w:ascii="Arial" w:hAnsi="Arial"/>
                <w:sz w:val="17"/>
              </w:rPr>
              <w:t>with respect to a Party, an investment in its territory of an investor of another Party in existence as of the date of entry into force of this Agreement or established, acquired, or expanded thereafter</w:t>
            </w:r>
          </w:p>
        </w:tc>
      </w:tr>
      <w:tr>
        <w:trPr>
          <w:cantSplit/>
        </w:trPr>
        <w:tc>
          <w:tcPr>
            <w:tcW w:type="dxa" w:w="4680"/>
            <w:tcMar>
              <w:top w:w="70" w:type="dxa"/>
              <w:start w:w="110" w:type="dxa"/>
              <w:bottom w:w="70" w:type="dxa"/>
              <w:end w:w="110" w:type="dxa"/>
            </w:tcMar>
          </w:tcPr>
          <w:p>
            <w:pPr>
              <w:widowControl/>
              <w:spacing w:after="0"/>
            </w:pPr>
            <w:r>
              <w:rPr>
                <w:rFonts w:ascii="Arial" w:hAnsi="Arial"/>
                <w:sz w:val="17"/>
              </w:rPr>
              <w:t>customs administration</w:t>
            </w:r>
          </w:p>
        </w:tc>
        <w:tc>
          <w:tcPr>
            <w:tcW w:type="dxa" w:w="4680"/>
            <w:tcMar>
              <w:top w:w="70" w:type="dxa"/>
              <w:start w:w="110" w:type="dxa"/>
              <w:bottom w:w="70" w:type="dxa"/>
              <w:end w:w="110" w:type="dxa"/>
            </w:tcMar>
          </w:tcPr>
          <w:p>
            <w:pPr>
              <w:widowControl/>
              <w:spacing w:after="0"/>
            </w:pPr>
            <w:r>
              <w:rPr>
                <w:rFonts w:ascii="Arial" w:hAnsi="Arial"/>
                <w:sz w:val="17"/>
              </w:rPr>
              <w:t>the competent authority that is responsible under the law of a Party for the administration of customs laws and regulations or any successor of such customs administration</w:t>
            </w:r>
          </w:p>
        </w:tc>
      </w:tr>
      <w:tr>
        <w:trPr>
          <w:cantSplit/>
        </w:trPr>
        <w:tc>
          <w:tcPr>
            <w:tcW w:type="dxa" w:w="4680"/>
            <w:tcMar>
              <w:top w:w="70" w:type="dxa"/>
              <w:start w:w="110" w:type="dxa"/>
              <w:bottom w:w="70" w:type="dxa"/>
              <w:end w:w="110" w:type="dxa"/>
            </w:tcMar>
            <w:shd w:fill="F4F6F7"/>
          </w:tcPr>
          <w:p>
            <w:pPr>
              <w:widowControl/>
              <w:spacing w:after="0"/>
            </w:pPr>
            <w:r>
              <w:rPr>
                <w:rFonts w:ascii="Arial" w:hAnsi="Arial"/>
                <w:sz w:val="17"/>
              </w:rPr>
              <w:t>customs duty</w:t>
            </w:r>
          </w:p>
        </w:tc>
        <w:tc>
          <w:tcPr>
            <w:tcW w:type="dxa" w:w="4680"/>
            <w:tcMar>
              <w:top w:w="70" w:type="dxa"/>
              <w:start w:w="110" w:type="dxa"/>
              <w:bottom w:w="70" w:type="dxa"/>
              <w:end w:w="110" w:type="dxa"/>
            </w:tcMar>
            <w:shd w:fill="F4F6F7"/>
          </w:tcPr>
          <w:p>
            <w:pPr>
              <w:widowControl/>
              <w:spacing w:after="0"/>
            </w:pPr>
            <w:r>
              <w:rPr>
                <w:rFonts w:ascii="Arial" w:hAnsi="Arial"/>
                <w:sz w:val="17"/>
              </w:rPr>
              <w:t>includes a duty or charge of any kind imposed on or in connection with the importation of a good, and any surtax or surcharge imposed in connection with such importation, but does not include any: (a) charge equivalent to an internal tax imposed consistently with Article III:2 of the GATT 1994; (b) fee or other charge in connection with the importation commensurate with the cost of services rendered; (c) antidumping or countervailing duty; and (d) premium offered or collected on an imported good arising out of any tendering system in respect of the administration of quantitative import restrictions, tariff rate quotas, or tariff preference levels</w:t>
            </w:r>
          </w:p>
        </w:tc>
      </w:tr>
      <w:tr>
        <w:trPr>
          <w:cantSplit/>
        </w:trPr>
        <w:tc>
          <w:tcPr>
            <w:tcW w:type="dxa" w:w="4680"/>
            <w:tcMar>
              <w:top w:w="70" w:type="dxa"/>
              <w:start w:w="110" w:type="dxa"/>
              <w:bottom w:w="70" w:type="dxa"/>
              <w:end w:w="110" w:type="dxa"/>
            </w:tcMar>
          </w:tcPr>
          <w:p>
            <w:pPr>
              <w:widowControl/>
              <w:spacing w:after="0"/>
            </w:pPr>
            <w:r>
              <w:rPr>
                <w:rFonts w:ascii="Arial" w:hAnsi="Arial"/>
                <w:sz w:val="17"/>
              </w:rPr>
              <w:t>customs offense</w:t>
            </w:r>
          </w:p>
        </w:tc>
        <w:tc>
          <w:tcPr>
            <w:tcW w:type="dxa" w:w="4680"/>
            <w:tcMar>
              <w:top w:w="70" w:type="dxa"/>
              <w:start w:w="110" w:type="dxa"/>
              <w:bottom w:w="70" w:type="dxa"/>
              <w:end w:w="110" w:type="dxa"/>
            </w:tcMar>
          </w:tcPr>
          <w:p>
            <w:pPr>
              <w:widowControl/>
              <w:spacing w:after="0"/>
            </w:pPr>
            <w:r>
              <w:rPr>
                <w:rFonts w:ascii="Arial" w:hAnsi="Arial"/>
                <w:sz w:val="17"/>
              </w:rPr>
              <w:t>any act committed for the purpose of, or having the effect of, avoiding a Party’s laws or regulations pertaining to the provisions of this Agreement governing importations or exportations of goods between, or transit of goods through, the territories of the Parties, specifically those that violate a customs law or regulation for restrictions or prohibitions on imports or exports, duty evasion, transshipment, falsification of documents relating to the importation or exportation of goods, fraud, or smuggling of goods</w:t>
            </w:r>
          </w:p>
        </w:tc>
      </w:tr>
      <w:tr>
        <w:trPr>
          <w:cantSplit/>
        </w:trPr>
        <w:tc>
          <w:tcPr>
            <w:tcW w:type="dxa" w:w="4680"/>
            <w:tcMar>
              <w:top w:w="70" w:type="dxa"/>
              <w:start w:w="110" w:type="dxa"/>
              <w:bottom w:w="70" w:type="dxa"/>
              <w:end w:w="110" w:type="dxa"/>
            </w:tcMar>
            <w:shd w:fill="F4F6F7"/>
          </w:tcPr>
          <w:p>
            <w:pPr>
              <w:widowControl/>
              <w:spacing w:after="0"/>
            </w:pPr>
            <w:r>
              <w:rPr>
                <w:rFonts w:ascii="Arial" w:hAnsi="Arial"/>
                <w:sz w:val="17"/>
              </w:rPr>
              <w:t>Customs Valuation Agreement</w:t>
            </w:r>
          </w:p>
        </w:tc>
        <w:tc>
          <w:tcPr>
            <w:tcW w:type="dxa" w:w="4680"/>
            <w:tcMar>
              <w:top w:w="70" w:type="dxa"/>
              <w:start w:w="110" w:type="dxa"/>
              <w:bottom w:w="70" w:type="dxa"/>
              <w:end w:w="110" w:type="dxa"/>
            </w:tcMar>
            <w:shd w:fill="F4F6F7"/>
          </w:tcPr>
          <w:p>
            <w:pPr>
              <w:widowControl/>
              <w:spacing w:after="0"/>
            </w:pPr>
            <w:r>
              <w:rPr>
                <w:rFonts w:ascii="Arial" w:hAnsi="Arial"/>
                <w:sz w:val="17"/>
              </w:rPr>
              <w:t>the Agreement on Implementation of Article VII of the General Agreement on Tariffs and Trade, set out in Annex 1A to the WTO Agreement</w:t>
            </w:r>
          </w:p>
        </w:tc>
      </w:tr>
      <w:tr>
        <w:trPr>
          <w:cantSplit/>
        </w:trPr>
        <w:tc>
          <w:tcPr>
            <w:tcW w:type="dxa" w:w="4680"/>
            <w:tcMar>
              <w:top w:w="70" w:type="dxa"/>
              <w:start w:w="110" w:type="dxa"/>
              <w:bottom w:w="70" w:type="dxa"/>
              <w:end w:w="110" w:type="dxa"/>
            </w:tcMar>
          </w:tcPr>
          <w:p>
            <w:pPr>
              <w:widowControl/>
              <w:spacing w:after="0"/>
            </w:pPr>
            <w:r>
              <w:rPr>
                <w:rFonts w:ascii="Arial" w:hAnsi="Arial"/>
                <w:sz w:val="17"/>
              </w:rPr>
              <w:t>days</w:t>
            </w:r>
          </w:p>
        </w:tc>
        <w:tc>
          <w:tcPr>
            <w:tcW w:type="dxa" w:w="4680"/>
            <w:tcMar>
              <w:top w:w="70" w:type="dxa"/>
              <w:start w:w="110" w:type="dxa"/>
              <w:bottom w:w="70" w:type="dxa"/>
              <w:end w:w="110" w:type="dxa"/>
            </w:tcMar>
          </w:tcPr>
          <w:p>
            <w:pPr>
              <w:widowControl/>
              <w:spacing w:after="0"/>
            </w:pPr>
            <w:r>
              <w:rPr>
                <w:rFonts w:ascii="Arial" w:hAnsi="Arial"/>
                <w:sz w:val="17"/>
              </w:rPr>
              <w:t>calendar days, including weekends and holidays</w:t>
            </w:r>
          </w:p>
        </w:tc>
      </w:tr>
      <w:tr>
        <w:trPr>
          <w:cantSplit/>
        </w:trPr>
        <w:tc>
          <w:tcPr>
            <w:tcW w:type="dxa" w:w="4680"/>
            <w:tcMar>
              <w:top w:w="70" w:type="dxa"/>
              <w:start w:w="110" w:type="dxa"/>
              <w:bottom w:w="70" w:type="dxa"/>
              <w:end w:w="110" w:type="dxa"/>
            </w:tcMar>
            <w:shd w:fill="F4F6F7"/>
          </w:tcPr>
          <w:p>
            <w:pPr>
              <w:widowControl/>
              <w:spacing w:after="0"/>
            </w:pPr>
            <w:r>
              <w:rPr>
                <w:rFonts w:ascii="Arial" w:hAnsi="Arial"/>
                <w:sz w:val="17"/>
              </w:rPr>
              <w:t>Dispute Settlement Understanding (DSU)</w:t>
            </w:r>
          </w:p>
        </w:tc>
        <w:tc>
          <w:tcPr>
            <w:tcW w:type="dxa" w:w="4680"/>
            <w:tcMar>
              <w:top w:w="70" w:type="dxa"/>
              <w:start w:w="110" w:type="dxa"/>
              <w:bottom w:w="70" w:type="dxa"/>
              <w:end w:w="110" w:type="dxa"/>
            </w:tcMar>
            <w:shd w:fill="F4F6F7"/>
          </w:tcPr>
          <w:p>
            <w:pPr>
              <w:widowControl/>
              <w:spacing w:after="0"/>
            </w:pPr>
            <w:r>
              <w:rPr>
                <w:rFonts w:ascii="Arial" w:hAnsi="Arial"/>
                <w:sz w:val="17"/>
              </w:rPr>
              <w:t>the Understanding on Rules and Procedures Governing the Settlement of Disputes, set out in Annex 2 to the WTO Agreement</w:t>
            </w:r>
          </w:p>
        </w:tc>
      </w:tr>
      <w:tr>
        <w:trPr>
          <w:cantSplit/>
        </w:trPr>
        <w:tc>
          <w:tcPr>
            <w:tcW w:type="dxa" w:w="4680"/>
            <w:tcMar>
              <w:top w:w="70" w:type="dxa"/>
              <w:start w:w="110" w:type="dxa"/>
              <w:bottom w:w="70" w:type="dxa"/>
              <w:end w:w="110" w:type="dxa"/>
            </w:tcMar>
          </w:tcPr>
          <w:p>
            <w:pPr>
              <w:widowControl/>
              <w:spacing w:after="0"/>
            </w:pPr>
            <w:r>
              <w:rPr>
                <w:rFonts w:ascii="Arial" w:hAnsi="Arial"/>
                <w:sz w:val="17"/>
              </w:rPr>
              <w:t>duty deferral program</w:t>
            </w:r>
          </w:p>
        </w:tc>
        <w:tc>
          <w:tcPr>
            <w:tcW w:type="dxa" w:w="4680"/>
            <w:tcMar>
              <w:top w:w="70" w:type="dxa"/>
              <w:start w:w="110" w:type="dxa"/>
              <w:bottom w:w="70" w:type="dxa"/>
              <w:end w:w="110" w:type="dxa"/>
            </w:tcMar>
          </w:tcPr>
          <w:p>
            <w:pPr>
              <w:widowControl/>
              <w:spacing w:after="0"/>
            </w:pPr>
            <w:r>
              <w:rPr>
                <w:rFonts w:ascii="Arial" w:hAnsi="Arial"/>
                <w:sz w:val="17"/>
              </w:rPr>
              <w:t>includes measures such as those governing foreign trade zones, temporary importations under bond, bonded warehouses, “maquiladoras”, and inward processing programs</w:t>
            </w:r>
          </w:p>
        </w:tc>
      </w:tr>
      <w:tr>
        <w:trPr>
          <w:cantSplit/>
        </w:trPr>
        <w:tc>
          <w:tcPr>
            <w:tcW w:type="dxa" w:w="4680"/>
            <w:tcMar>
              <w:top w:w="70" w:type="dxa"/>
              <w:start w:w="110" w:type="dxa"/>
              <w:bottom w:w="70" w:type="dxa"/>
              <w:end w:w="110" w:type="dxa"/>
            </w:tcMar>
            <w:shd w:fill="F4F6F7"/>
          </w:tcPr>
          <w:p>
            <w:pPr>
              <w:widowControl/>
              <w:spacing w:after="0"/>
            </w:pPr>
            <w:r>
              <w:rPr>
                <w:rFonts w:ascii="Arial" w:hAnsi="Arial"/>
                <w:sz w:val="17"/>
              </w:rPr>
              <w:t>enterprise</w:t>
            </w:r>
          </w:p>
        </w:tc>
        <w:tc>
          <w:tcPr>
            <w:tcW w:type="dxa" w:w="4680"/>
            <w:tcMar>
              <w:top w:w="70" w:type="dxa"/>
              <w:start w:w="110" w:type="dxa"/>
              <w:bottom w:w="70" w:type="dxa"/>
              <w:end w:w="110" w:type="dxa"/>
            </w:tcMar>
            <w:shd w:fill="F4F6F7"/>
          </w:tcPr>
          <w:p>
            <w:pPr>
              <w:widowControl/>
              <w:spacing w:after="0"/>
            </w:pPr>
            <w:r>
              <w:rPr>
                <w:rFonts w:ascii="Arial" w:hAnsi="Arial"/>
                <w:sz w:val="17"/>
              </w:rPr>
              <w:t>an entity constituted or organized under applicable law, whether or not for profit, and whether privately-owned or governmentally-owned or controlled, including a corporation, trust, partnership, sole proprietorship, joint venture, association or similar organization</w:t>
            </w:r>
          </w:p>
        </w:tc>
      </w:tr>
      <w:tr>
        <w:trPr>
          <w:cantSplit/>
        </w:trPr>
        <w:tc>
          <w:tcPr>
            <w:tcW w:type="dxa" w:w="4680"/>
            <w:tcMar>
              <w:top w:w="70" w:type="dxa"/>
              <w:start w:w="110" w:type="dxa"/>
              <w:bottom w:w="70" w:type="dxa"/>
              <w:end w:w="110" w:type="dxa"/>
            </w:tcMar>
          </w:tcPr>
          <w:p>
            <w:pPr>
              <w:widowControl/>
              <w:spacing w:after="0"/>
            </w:pPr>
            <w:r>
              <w:rPr>
                <w:rFonts w:ascii="Arial" w:hAnsi="Arial"/>
                <w:sz w:val="17"/>
              </w:rPr>
              <w:t>enterprise of a Party</w:t>
            </w:r>
          </w:p>
        </w:tc>
        <w:tc>
          <w:tcPr>
            <w:tcW w:type="dxa" w:w="4680"/>
            <w:tcMar>
              <w:top w:w="70" w:type="dxa"/>
              <w:start w:w="110" w:type="dxa"/>
              <w:bottom w:w="70" w:type="dxa"/>
              <w:end w:w="110" w:type="dxa"/>
            </w:tcMar>
          </w:tcPr>
          <w:p>
            <w:pPr>
              <w:widowControl/>
              <w:spacing w:after="0"/>
            </w:pPr>
            <w:r>
              <w:rPr>
                <w:rFonts w:ascii="Arial" w:hAnsi="Arial"/>
                <w:sz w:val="17"/>
              </w:rPr>
              <w:t>an enterprise constituted or organized under the law of a Party</w:t>
            </w:r>
          </w:p>
        </w:tc>
      </w:tr>
      <w:tr>
        <w:trPr>
          <w:cantSplit/>
        </w:trPr>
        <w:tc>
          <w:tcPr>
            <w:tcW w:type="dxa" w:w="4680"/>
            <w:tcMar>
              <w:top w:w="70" w:type="dxa"/>
              <w:start w:w="110" w:type="dxa"/>
              <w:bottom w:w="70" w:type="dxa"/>
              <w:end w:w="110" w:type="dxa"/>
            </w:tcMar>
            <w:shd w:fill="F4F6F7"/>
          </w:tcPr>
          <w:p>
            <w:pPr>
              <w:widowControl/>
              <w:spacing w:after="0"/>
            </w:pPr>
            <w:r>
              <w:rPr>
                <w:rFonts w:ascii="Arial" w:hAnsi="Arial"/>
                <w:sz w:val="17"/>
              </w:rPr>
              <w:t>existing</w:t>
            </w:r>
          </w:p>
        </w:tc>
        <w:tc>
          <w:tcPr>
            <w:tcW w:type="dxa" w:w="4680"/>
            <w:tcMar>
              <w:top w:w="70" w:type="dxa"/>
              <w:start w:w="110" w:type="dxa"/>
              <w:bottom w:w="70" w:type="dxa"/>
              <w:end w:w="110" w:type="dxa"/>
            </w:tcMar>
            <w:shd w:fill="F4F6F7"/>
          </w:tcPr>
          <w:p>
            <w:pPr>
              <w:widowControl/>
              <w:spacing w:after="0"/>
            </w:pPr>
            <w:r>
              <w:rPr>
                <w:rFonts w:ascii="Arial" w:hAnsi="Arial"/>
                <w:sz w:val="17"/>
              </w:rPr>
              <w:t>in effect on the date of entry into force of this Agreement</w:t>
            </w:r>
          </w:p>
        </w:tc>
      </w:tr>
      <w:tr>
        <w:trPr>
          <w:cantSplit/>
        </w:trPr>
        <w:tc>
          <w:tcPr>
            <w:tcW w:type="dxa" w:w="4680"/>
            <w:tcMar>
              <w:top w:w="70" w:type="dxa"/>
              <w:start w:w="110" w:type="dxa"/>
              <w:bottom w:w="70" w:type="dxa"/>
              <w:end w:w="110" w:type="dxa"/>
            </w:tcMar>
          </w:tcPr>
          <w:p>
            <w:pPr>
              <w:widowControl/>
              <w:spacing w:after="0"/>
            </w:pPr>
            <w:r>
              <w:rPr>
                <w:rFonts w:ascii="Arial" w:hAnsi="Arial"/>
                <w:sz w:val="17"/>
              </w:rPr>
              <w:t>GATS</w:t>
            </w:r>
          </w:p>
        </w:tc>
        <w:tc>
          <w:tcPr>
            <w:tcW w:type="dxa" w:w="4680"/>
            <w:tcMar>
              <w:top w:w="70" w:type="dxa"/>
              <w:start w:w="110" w:type="dxa"/>
              <w:bottom w:w="70" w:type="dxa"/>
              <w:end w:w="110" w:type="dxa"/>
            </w:tcMar>
          </w:tcPr>
          <w:p>
            <w:pPr>
              <w:widowControl/>
              <w:spacing w:after="0"/>
            </w:pPr>
            <w:r>
              <w:rPr>
                <w:rFonts w:ascii="Arial" w:hAnsi="Arial"/>
                <w:sz w:val="17"/>
              </w:rPr>
              <w:t>the General Agreement on Trade in Services, set out in Annex 1B to the WTO Agreement</w:t>
            </w:r>
          </w:p>
        </w:tc>
      </w:tr>
      <w:tr>
        <w:trPr>
          <w:cantSplit/>
        </w:trPr>
        <w:tc>
          <w:tcPr>
            <w:tcW w:type="dxa" w:w="4680"/>
            <w:tcMar>
              <w:top w:w="70" w:type="dxa"/>
              <w:start w:w="110" w:type="dxa"/>
              <w:bottom w:w="70" w:type="dxa"/>
              <w:end w:w="110" w:type="dxa"/>
            </w:tcMar>
            <w:shd w:fill="F4F6F7"/>
          </w:tcPr>
          <w:p>
            <w:pPr>
              <w:widowControl/>
              <w:spacing w:after="0"/>
            </w:pPr>
            <w:r>
              <w:rPr>
                <w:rFonts w:ascii="Arial" w:hAnsi="Arial"/>
                <w:sz w:val="17"/>
              </w:rPr>
              <w:t>GATT 1994</w:t>
            </w:r>
          </w:p>
        </w:tc>
        <w:tc>
          <w:tcPr>
            <w:tcW w:type="dxa" w:w="4680"/>
            <w:tcMar>
              <w:top w:w="70" w:type="dxa"/>
              <w:start w:w="110" w:type="dxa"/>
              <w:bottom w:w="70" w:type="dxa"/>
              <w:end w:w="110" w:type="dxa"/>
            </w:tcMar>
            <w:shd w:fill="F4F6F7"/>
          </w:tcPr>
          <w:p>
            <w:pPr>
              <w:widowControl/>
              <w:spacing w:after="0"/>
            </w:pPr>
            <w:r>
              <w:rPr>
                <w:rFonts w:ascii="Arial" w:hAnsi="Arial"/>
                <w:sz w:val="17"/>
              </w:rPr>
              <w:t>the General Agreement on Tariffs and Trade 1994, set out in Annex 1A to the WTO Agreement</w:t>
            </w:r>
          </w:p>
        </w:tc>
      </w:tr>
      <w:tr>
        <w:trPr>
          <w:cantSplit/>
        </w:trPr>
        <w:tc>
          <w:tcPr>
            <w:tcW w:type="dxa" w:w="4680"/>
            <w:tcMar>
              <w:top w:w="70" w:type="dxa"/>
              <w:start w:w="110" w:type="dxa"/>
              <w:bottom w:w="70" w:type="dxa"/>
              <w:end w:w="110" w:type="dxa"/>
            </w:tcMar>
          </w:tcPr>
          <w:p>
            <w:pPr>
              <w:widowControl/>
              <w:spacing w:after="0"/>
            </w:pPr>
            <w:r>
              <w:rPr>
                <w:rFonts w:ascii="Arial" w:hAnsi="Arial"/>
                <w:sz w:val="17"/>
              </w:rPr>
              <w:t>goods</w:t>
            </w:r>
          </w:p>
        </w:tc>
        <w:tc>
          <w:tcPr>
            <w:tcW w:type="dxa" w:w="4680"/>
            <w:tcMar>
              <w:top w:w="70" w:type="dxa"/>
              <w:start w:w="110" w:type="dxa"/>
              <w:bottom w:w="70" w:type="dxa"/>
              <w:end w:w="110" w:type="dxa"/>
            </w:tcMar>
          </w:tcPr>
          <w:p>
            <w:pPr>
              <w:widowControl/>
              <w:spacing w:after="0"/>
            </w:pPr>
            <w:r>
              <w:rPr>
                <w:rFonts w:ascii="Arial" w:hAnsi="Arial"/>
                <w:sz w:val="17"/>
              </w:rPr>
              <w:t>a merchandise, product, article, or material</w:t>
            </w:r>
          </w:p>
        </w:tc>
      </w:tr>
      <w:tr>
        <w:trPr>
          <w:cantSplit/>
        </w:trPr>
        <w:tc>
          <w:tcPr>
            <w:tcW w:type="dxa" w:w="4680"/>
            <w:tcMar>
              <w:top w:w="70" w:type="dxa"/>
              <w:start w:w="110" w:type="dxa"/>
              <w:bottom w:w="70" w:type="dxa"/>
              <w:end w:w="110" w:type="dxa"/>
            </w:tcMar>
            <w:shd w:fill="F4F6F7"/>
          </w:tcPr>
          <w:p>
            <w:pPr>
              <w:widowControl/>
              <w:spacing w:after="0"/>
            </w:pPr>
            <w:r>
              <w:rPr>
                <w:rFonts w:ascii="Arial" w:hAnsi="Arial"/>
                <w:sz w:val="17"/>
              </w:rPr>
              <w:t>goods of a Party</w:t>
            </w:r>
          </w:p>
        </w:tc>
        <w:tc>
          <w:tcPr>
            <w:tcW w:type="dxa" w:w="4680"/>
            <w:tcMar>
              <w:top w:w="70" w:type="dxa"/>
              <w:start w:w="110" w:type="dxa"/>
              <w:bottom w:w="70" w:type="dxa"/>
              <w:end w:w="110" w:type="dxa"/>
            </w:tcMar>
            <w:shd w:fill="F4F6F7"/>
          </w:tcPr>
          <w:p>
            <w:pPr>
              <w:widowControl/>
              <w:spacing w:after="0"/>
            </w:pPr>
            <w:r>
              <w:rPr>
                <w:rFonts w:ascii="Arial" w:hAnsi="Arial"/>
                <w:sz w:val="17"/>
              </w:rPr>
              <w:t>domestic products as these are understood in the GATT 1994 or such goods as the Parties may agree, and includes originating goods of a Party</w:t>
            </w:r>
          </w:p>
        </w:tc>
      </w:tr>
      <w:tr>
        <w:trPr>
          <w:cantSplit/>
        </w:trPr>
        <w:tc>
          <w:tcPr>
            <w:tcW w:type="dxa" w:w="4680"/>
            <w:tcMar>
              <w:top w:w="70" w:type="dxa"/>
              <w:start w:w="110" w:type="dxa"/>
              <w:bottom w:w="70" w:type="dxa"/>
              <w:end w:w="110" w:type="dxa"/>
            </w:tcMar>
          </w:tcPr>
          <w:p>
            <w:pPr>
              <w:widowControl/>
              <w:spacing w:after="0"/>
            </w:pPr>
            <w:r>
              <w:rPr>
                <w:rFonts w:ascii="Arial" w:hAnsi="Arial"/>
                <w:sz w:val="17"/>
              </w:rPr>
              <w:t>government procurement</w:t>
            </w:r>
          </w:p>
        </w:tc>
        <w:tc>
          <w:tcPr>
            <w:tcW w:type="dxa" w:w="4680"/>
            <w:tcMar>
              <w:top w:w="70" w:type="dxa"/>
              <w:start w:w="110" w:type="dxa"/>
              <w:bottom w:w="70" w:type="dxa"/>
              <w:end w:w="110" w:type="dxa"/>
            </w:tcMar>
          </w:tcPr>
          <w:p>
            <w:pPr>
              <w:widowControl/>
              <w:spacing w:after="0"/>
            </w:pPr>
            <w:r>
              <w:rPr>
                <w:rFonts w:ascii="Arial" w:hAnsi="Arial"/>
                <w:sz w:val="17"/>
              </w:rPr>
              <w:t>the process by which a government obtains the use of or acquires goods or services, or any combination thereof, for governmental purposes and not with a view to commercial sale or resale or use in the production or supply of goods or services for commercial sale or resale</w:t>
            </w:r>
          </w:p>
        </w:tc>
      </w:tr>
      <w:tr>
        <w:trPr>
          <w:cantSplit/>
        </w:trPr>
        <w:tc>
          <w:tcPr>
            <w:tcW w:type="dxa" w:w="4680"/>
            <w:tcMar>
              <w:top w:w="70" w:type="dxa"/>
              <w:start w:w="110" w:type="dxa"/>
              <w:bottom w:w="70" w:type="dxa"/>
              <w:end w:w="110" w:type="dxa"/>
            </w:tcMar>
            <w:shd w:fill="F4F6F7"/>
          </w:tcPr>
          <w:p>
            <w:pPr>
              <w:widowControl/>
              <w:spacing w:after="0"/>
            </w:pPr>
            <w:r>
              <w:rPr>
                <w:rFonts w:ascii="Arial" w:hAnsi="Arial"/>
                <w:sz w:val="17"/>
              </w:rPr>
              <w:t>Harmonized System (HS)</w:t>
            </w:r>
          </w:p>
        </w:tc>
        <w:tc>
          <w:tcPr>
            <w:tcW w:type="dxa" w:w="4680"/>
            <w:tcMar>
              <w:top w:w="70" w:type="dxa"/>
              <w:start w:w="110" w:type="dxa"/>
              <w:bottom w:w="70" w:type="dxa"/>
              <w:end w:w="110" w:type="dxa"/>
            </w:tcMar>
            <w:shd w:fill="F4F6F7"/>
          </w:tcPr>
          <w:p>
            <w:pPr>
              <w:widowControl/>
              <w:spacing w:after="0"/>
            </w:pPr>
            <w:r>
              <w:rPr>
                <w:rFonts w:ascii="Arial" w:hAnsi="Arial"/>
                <w:sz w:val="17"/>
              </w:rPr>
              <w:t>the Harmonized Commodity Description and Coding Systems, including its General Rules of Interpretation, Section Notes, Chapter Notes, and Subheading Notes as adopted and implemented by the Parties in their respective laws</w:t>
            </w:r>
          </w:p>
        </w:tc>
      </w:tr>
      <w:tr>
        <w:trPr>
          <w:cantSplit/>
        </w:trPr>
        <w:tc>
          <w:tcPr>
            <w:tcW w:type="dxa" w:w="4680"/>
            <w:tcMar>
              <w:top w:w="70" w:type="dxa"/>
              <w:start w:w="110" w:type="dxa"/>
              <w:bottom w:w="70" w:type="dxa"/>
              <w:end w:w="110" w:type="dxa"/>
            </w:tcMar>
          </w:tcPr>
          <w:p>
            <w:pPr>
              <w:widowControl/>
              <w:spacing w:after="0"/>
            </w:pPr>
            <w:r>
              <w:rPr>
                <w:rFonts w:ascii="Arial" w:hAnsi="Arial"/>
                <w:sz w:val="17"/>
              </w:rPr>
              <w:t>heading</w:t>
            </w:r>
          </w:p>
        </w:tc>
        <w:tc>
          <w:tcPr>
            <w:tcW w:type="dxa" w:w="4680"/>
            <w:tcMar>
              <w:top w:w="70" w:type="dxa"/>
              <w:start w:w="110" w:type="dxa"/>
              <w:bottom w:w="70" w:type="dxa"/>
              <w:end w:w="110" w:type="dxa"/>
            </w:tcMar>
          </w:tcPr>
          <w:p>
            <w:pPr>
              <w:widowControl/>
              <w:spacing w:after="0"/>
            </w:pPr>
            <w:r>
              <w:rPr>
                <w:rFonts w:ascii="Arial" w:hAnsi="Arial"/>
                <w:sz w:val="17"/>
              </w:rPr>
              <w:t>the first four digits in the tariff classification number under the Harmonized System</w:t>
            </w:r>
          </w:p>
        </w:tc>
      </w:tr>
      <w:tr>
        <w:trPr>
          <w:cantSplit/>
        </w:trPr>
        <w:tc>
          <w:tcPr>
            <w:tcW w:type="dxa" w:w="4680"/>
            <w:tcMar>
              <w:top w:w="70" w:type="dxa"/>
              <w:start w:w="110" w:type="dxa"/>
              <w:bottom w:w="70" w:type="dxa"/>
              <w:end w:w="110" w:type="dxa"/>
            </w:tcMar>
            <w:shd w:fill="F4F6F7"/>
          </w:tcPr>
          <w:p>
            <w:pPr>
              <w:widowControl/>
              <w:spacing w:after="0"/>
            </w:pPr>
            <w:r>
              <w:rPr>
                <w:rFonts w:ascii="Arial" w:hAnsi="Arial"/>
                <w:sz w:val="17"/>
              </w:rPr>
              <w:t>IMF Articles of Agreement</w:t>
            </w:r>
          </w:p>
        </w:tc>
        <w:tc>
          <w:tcPr>
            <w:tcW w:type="dxa" w:w="4680"/>
            <w:tcMar>
              <w:top w:w="70" w:type="dxa"/>
              <w:start w:w="110" w:type="dxa"/>
              <w:bottom w:w="70" w:type="dxa"/>
              <w:end w:w="110" w:type="dxa"/>
            </w:tcMar>
            <w:shd w:fill="F4F6F7"/>
          </w:tcPr>
          <w:p>
            <w:pPr>
              <w:widowControl/>
              <w:spacing w:after="0"/>
            </w:pPr>
            <w:r>
              <w:rPr>
                <w:rFonts w:ascii="Arial" w:hAnsi="Arial"/>
                <w:sz w:val="17"/>
              </w:rPr>
              <w:t>the Articles of Agreement of the International Monetary Fund, done at Bretton Woods, United States on July 22, 1944</w:t>
            </w:r>
          </w:p>
        </w:tc>
      </w:tr>
      <w:tr>
        <w:trPr>
          <w:cantSplit/>
        </w:trPr>
        <w:tc>
          <w:tcPr>
            <w:tcW w:type="dxa" w:w="4680"/>
            <w:tcMar>
              <w:top w:w="70" w:type="dxa"/>
              <w:start w:w="110" w:type="dxa"/>
              <w:bottom w:w="70" w:type="dxa"/>
              <w:end w:w="110" w:type="dxa"/>
            </w:tcMar>
          </w:tcPr>
          <w:p>
            <w:pPr>
              <w:widowControl/>
              <w:spacing w:after="0"/>
            </w:pPr>
            <w:r>
              <w:rPr>
                <w:rFonts w:ascii="Arial" w:hAnsi="Arial"/>
                <w:sz w:val="17"/>
              </w:rPr>
              <w:t>individual</w:t>
            </w:r>
          </w:p>
        </w:tc>
        <w:tc>
          <w:tcPr>
            <w:tcW w:type="dxa" w:w="4680"/>
            <w:tcMar>
              <w:top w:w="70" w:type="dxa"/>
              <w:start w:w="110" w:type="dxa"/>
              <w:bottom w:w="70" w:type="dxa"/>
              <w:end w:w="110" w:type="dxa"/>
            </w:tcMar>
          </w:tcPr>
          <w:p>
            <w:pPr>
              <w:widowControl/>
              <w:spacing w:after="0"/>
            </w:pPr>
            <w:r>
              <w:rPr>
                <w:rFonts w:ascii="Arial" w:hAnsi="Arial"/>
                <w:sz w:val="17"/>
              </w:rPr>
              <w:t>a natural person</w:t>
            </w:r>
          </w:p>
        </w:tc>
      </w:tr>
      <w:tr>
        <w:trPr>
          <w:cantSplit/>
        </w:trPr>
        <w:tc>
          <w:tcPr>
            <w:tcW w:type="dxa" w:w="4680"/>
            <w:tcMar>
              <w:top w:w="70" w:type="dxa"/>
              <w:start w:w="110" w:type="dxa"/>
              <w:bottom w:w="70" w:type="dxa"/>
              <w:end w:w="110" w:type="dxa"/>
            </w:tcMar>
            <w:shd w:fill="F4F6F7"/>
          </w:tcPr>
          <w:p>
            <w:pPr>
              <w:widowControl/>
              <w:spacing w:after="0"/>
            </w:pPr>
            <w:r>
              <w:rPr>
                <w:rFonts w:ascii="Arial" w:hAnsi="Arial"/>
                <w:sz w:val="17"/>
              </w:rPr>
              <w:t>measure</w:t>
            </w:r>
          </w:p>
        </w:tc>
        <w:tc>
          <w:tcPr>
            <w:tcW w:type="dxa" w:w="4680"/>
            <w:tcMar>
              <w:top w:w="70" w:type="dxa"/>
              <w:start w:w="110" w:type="dxa"/>
              <w:bottom w:w="70" w:type="dxa"/>
              <w:end w:w="110" w:type="dxa"/>
            </w:tcMar>
            <w:shd w:fill="F4F6F7"/>
          </w:tcPr>
          <w:p>
            <w:pPr>
              <w:widowControl/>
              <w:spacing w:after="0"/>
            </w:pPr>
            <w:r>
              <w:rPr>
                <w:rFonts w:ascii="Arial" w:hAnsi="Arial"/>
                <w:sz w:val="17"/>
              </w:rPr>
              <w:t>includes any law, regulation, procedure, requirement, or practice</w:t>
            </w:r>
          </w:p>
        </w:tc>
      </w:tr>
      <w:tr>
        <w:trPr>
          <w:cantSplit/>
        </w:trPr>
        <w:tc>
          <w:tcPr>
            <w:tcW w:type="dxa" w:w="4680"/>
            <w:tcMar>
              <w:top w:w="70" w:type="dxa"/>
              <w:start w:w="110" w:type="dxa"/>
              <w:bottom w:w="70" w:type="dxa"/>
              <w:end w:w="110" w:type="dxa"/>
            </w:tcMar>
          </w:tcPr>
          <w:p>
            <w:pPr>
              <w:widowControl/>
              <w:spacing w:after="0"/>
            </w:pPr>
            <w:r>
              <w:rPr>
                <w:rFonts w:ascii="Arial" w:hAnsi="Arial"/>
                <w:sz w:val="17"/>
              </w:rPr>
              <w:t>NAFTA 1994</w:t>
            </w:r>
          </w:p>
        </w:tc>
        <w:tc>
          <w:tcPr>
            <w:tcW w:type="dxa" w:w="4680"/>
            <w:tcMar>
              <w:top w:w="70" w:type="dxa"/>
              <w:start w:w="110" w:type="dxa"/>
              <w:bottom w:w="70" w:type="dxa"/>
              <w:end w:w="110" w:type="dxa"/>
            </w:tcMar>
          </w:tcPr>
          <w:p>
            <w:pPr>
              <w:widowControl/>
              <w:spacing w:after="0"/>
            </w:pPr>
            <w:r>
              <w:rPr>
                <w:rFonts w:ascii="Arial" w:hAnsi="Arial"/>
                <w:sz w:val="17"/>
              </w:rPr>
              <w:t>the North American Free Trade Agreement that entered into force on January 1, 1994</w:t>
            </w:r>
          </w:p>
        </w:tc>
      </w:tr>
      <w:tr>
        <w:trPr>
          <w:cantSplit/>
        </w:trPr>
        <w:tc>
          <w:tcPr>
            <w:tcW w:type="dxa" w:w="4680"/>
            <w:tcMar>
              <w:top w:w="70" w:type="dxa"/>
              <w:start w:w="110" w:type="dxa"/>
              <w:bottom w:w="70" w:type="dxa"/>
              <w:end w:w="110" w:type="dxa"/>
            </w:tcMar>
            <w:shd w:fill="F4F6F7"/>
          </w:tcPr>
          <w:p>
            <w:pPr>
              <w:widowControl/>
              <w:spacing w:after="0"/>
            </w:pPr>
            <w:r>
              <w:rPr>
                <w:rFonts w:ascii="Arial" w:hAnsi="Arial"/>
                <w:sz w:val="17"/>
              </w:rPr>
              <w:t>national</w:t>
            </w:r>
          </w:p>
        </w:tc>
        <w:tc>
          <w:tcPr>
            <w:tcW w:type="dxa" w:w="4680"/>
            <w:tcMar>
              <w:top w:w="70" w:type="dxa"/>
              <w:start w:w="110" w:type="dxa"/>
              <w:bottom w:w="70" w:type="dxa"/>
              <w:end w:w="110" w:type="dxa"/>
            </w:tcMar>
            <w:shd w:fill="F4F6F7"/>
          </w:tcPr>
          <w:p>
            <w:pPr>
              <w:widowControl/>
              <w:spacing w:after="0"/>
            </w:pPr>
            <w:r>
              <w:rPr>
                <w:rFonts w:ascii="Arial" w:hAnsi="Arial"/>
                <w:sz w:val="17"/>
              </w:rPr>
              <w:t>a “natural person who has the nationality of a Party” as set out below for each Party or a permanent resident of a Party: (a) for Canada, a citizen of Canada; (b) for Mexico, a person who has the nationality of Mexico in accordance with its applicable laws; and (c) for the United States, a “national of the United States” as defined in the Immigration and Nationality Act</w:t>
            </w:r>
          </w:p>
        </w:tc>
      </w:tr>
      <w:tr>
        <w:trPr>
          <w:cantSplit/>
        </w:trPr>
        <w:tc>
          <w:tcPr>
            <w:tcW w:type="dxa" w:w="4680"/>
            <w:tcMar>
              <w:top w:w="70" w:type="dxa"/>
              <w:start w:w="110" w:type="dxa"/>
              <w:bottom w:w="70" w:type="dxa"/>
              <w:end w:w="110" w:type="dxa"/>
            </w:tcMar>
          </w:tcPr>
          <w:p>
            <w:pPr>
              <w:widowControl/>
              <w:spacing w:after="0"/>
            </w:pPr>
            <w:r>
              <w:rPr>
                <w:rFonts w:ascii="Arial" w:hAnsi="Arial"/>
                <w:sz w:val="17"/>
              </w:rPr>
              <w:t>originating</w:t>
            </w:r>
          </w:p>
        </w:tc>
        <w:tc>
          <w:tcPr>
            <w:tcW w:type="dxa" w:w="4680"/>
            <w:tcMar>
              <w:top w:w="70" w:type="dxa"/>
              <w:start w:w="110" w:type="dxa"/>
              <w:bottom w:w="70" w:type="dxa"/>
              <w:end w:w="110" w:type="dxa"/>
            </w:tcMar>
          </w:tcPr>
          <w:p>
            <w:pPr>
              <w:widowControl/>
              <w:spacing w:after="0"/>
            </w:pPr>
            <w:r>
              <w:rPr>
                <w:rFonts w:ascii="Arial" w:hAnsi="Arial"/>
                <w:sz w:val="17"/>
              </w:rPr>
              <w:t>qualifying as originating under the rules of origin set out in Chapter 4 (Rules of Origin) or Chapter 6 (Textile and Apparel Goods)</w:t>
            </w:r>
          </w:p>
        </w:tc>
      </w:tr>
      <w:tr>
        <w:trPr>
          <w:cantSplit/>
        </w:trPr>
        <w:tc>
          <w:tcPr>
            <w:tcW w:type="dxa" w:w="4680"/>
            <w:tcMar>
              <w:top w:w="70" w:type="dxa"/>
              <w:start w:w="110" w:type="dxa"/>
              <w:bottom w:w="70" w:type="dxa"/>
              <w:end w:w="110" w:type="dxa"/>
            </w:tcMar>
            <w:shd w:fill="F4F6F7"/>
          </w:tcPr>
          <w:p>
            <w:pPr>
              <w:widowControl/>
              <w:spacing w:after="0"/>
            </w:pPr>
            <w:r>
              <w:rPr>
                <w:rFonts w:ascii="Arial" w:hAnsi="Arial"/>
                <w:sz w:val="17"/>
              </w:rPr>
              <w:t>person</w:t>
            </w:r>
          </w:p>
        </w:tc>
        <w:tc>
          <w:tcPr>
            <w:tcW w:type="dxa" w:w="4680"/>
            <w:tcMar>
              <w:top w:w="70" w:type="dxa"/>
              <w:start w:w="110" w:type="dxa"/>
              <w:bottom w:w="70" w:type="dxa"/>
              <w:end w:w="110" w:type="dxa"/>
            </w:tcMar>
            <w:shd w:fill="F4F6F7"/>
          </w:tcPr>
          <w:p>
            <w:pPr>
              <w:widowControl/>
              <w:spacing w:after="0"/>
            </w:pPr>
            <w:r>
              <w:rPr>
                <w:rFonts w:ascii="Arial" w:hAnsi="Arial"/>
                <w:sz w:val="17"/>
              </w:rPr>
              <w:t>a natural person or an enterprise</w:t>
            </w:r>
          </w:p>
        </w:tc>
      </w:tr>
      <w:tr>
        <w:trPr>
          <w:cantSplit/>
        </w:trPr>
        <w:tc>
          <w:tcPr>
            <w:tcW w:type="dxa" w:w="4680"/>
            <w:tcMar>
              <w:top w:w="70" w:type="dxa"/>
              <w:start w:w="110" w:type="dxa"/>
              <w:bottom w:w="70" w:type="dxa"/>
              <w:end w:w="110" w:type="dxa"/>
            </w:tcMar>
          </w:tcPr>
          <w:p>
            <w:pPr>
              <w:widowControl/>
              <w:spacing w:after="0"/>
            </w:pPr>
            <w:r>
              <w:rPr>
                <w:rFonts w:ascii="Arial" w:hAnsi="Arial"/>
                <w:sz w:val="17"/>
              </w:rPr>
              <w:t>person of a Party</w:t>
            </w:r>
          </w:p>
        </w:tc>
        <w:tc>
          <w:tcPr>
            <w:tcW w:type="dxa" w:w="4680"/>
            <w:tcMar>
              <w:top w:w="70" w:type="dxa"/>
              <w:start w:w="110" w:type="dxa"/>
              <w:bottom w:w="70" w:type="dxa"/>
              <w:end w:w="110" w:type="dxa"/>
            </w:tcMar>
          </w:tcPr>
          <w:p>
            <w:pPr>
              <w:widowControl/>
              <w:spacing w:after="0"/>
            </w:pPr>
            <w:r>
              <w:rPr>
                <w:rFonts w:ascii="Arial" w:hAnsi="Arial"/>
                <w:sz w:val="17"/>
              </w:rPr>
              <w:t>a national of a Party or an enterprise of a Party</w:t>
            </w:r>
          </w:p>
        </w:tc>
      </w:tr>
      <w:tr>
        <w:trPr>
          <w:cantSplit/>
        </w:trPr>
        <w:tc>
          <w:tcPr>
            <w:tcW w:type="dxa" w:w="4680"/>
            <w:tcMar>
              <w:top w:w="70" w:type="dxa"/>
              <w:start w:w="110" w:type="dxa"/>
              <w:bottom w:w="70" w:type="dxa"/>
              <w:end w:w="110" w:type="dxa"/>
            </w:tcMar>
            <w:shd w:fill="F4F6F7"/>
          </w:tcPr>
          <w:p>
            <w:pPr>
              <w:widowControl/>
              <w:spacing w:after="0"/>
            </w:pPr>
            <w:r>
              <w:rPr>
                <w:rFonts w:ascii="Arial" w:hAnsi="Arial"/>
                <w:sz w:val="17"/>
              </w:rPr>
              <w:t>preferential tariff treatment</w:t>
            </w:r>
          </w:p>
        </w:tc>
        <w:tc>
          <w:tcPr>
            <w:tcW w:type="dxa" w:w="4680"/>
            <w:tcMar>
              <w:top w:w="70" w:type="dxa"/>
              <w:start w:w="110" w:type="dxa"/>
              <w:bottom w:w="70" w:type="dxa"/>
              <w:end w:w="110" w:type="dxa"/>
            </w:tcMar>
            <w:shd w:fill="F4F6F7"/>
          </w:tcPr>
          <w:p>
            <w:pPr>
              <w:widowControl/>
              <w:spacing w:after="0"/>
            </w:pPr>
            <w:r>
              <w:rPr>
                <w:rFonts w:ascii="Arial" w:hAnsi="Arial"/>
                <w:sz w:val="17"/>
              </w:rPr>
              <w:t>the duty rate applicable to an originating good</w:t>
            </w:r>
          </w:p>
        </w:tc>
      </w:tr>
      <w:tr>
        <w:trPr>
          <w:cantSplit/>
        </w:trPr>
        <w:tc>
          <w:tcPr>
            <w:tcW w:type="dxa" w:w="4680"/>
            <w:tcMar>
              <w:top w:w="70" w:type="dxa"/>
              <w:start w:w="110" w:type="dxa"/>
              <w:bottom w:w="70" w:type="dxa"/>
              <w:end w:w="110" w:type="dxa"/>
            </w:tcMar>
          </w:tcPr>
          <w:p>
            <w:pPr>
              <w:widowControl/>
              <w:spacing w:after="0"/>
            </w:pPr>
            <w:r>
              <w:rPr>
                <w:rFonts w:ascii="Arial" w:hAnsi="Arial"/>
                <w:sz w:val="17"/>
              </w:rPr>
              <w:t>publish</w:t>
            </w:r>
          </w:p>
        </w:tc>
        <w:tc>
          <w:tcPr>
            <w:tcW w:type="dxa" w:w="4680"/>
            <w:tcMar>
              <w:top w:w="70" w:type="dxa"/>
              <w:start w:w="110" w:type="dxa"/>
              <w:bottom w:w="70" w:type="dxa"/>
              <w:end w:w="110" w:type="dxa"/>
            </w:tcMar>
          </w:tcPr>
          <w:p>
            <w:pPr>
              <w:widowControl/>
              <w:spacing w:after="0"/>
            </w:pPr>
            <w:r>
              <w:rPr>
                <w:rFonts w:ascii="Arial" w:hAnsi="Arial"/>
                <w:sz w:val="17"/>
              </w:rPr>
              <w:t>to disseminate information through paper or electronic means that is distributed widely and is readily accessible to the general public</w:t>
            </w:r>
          </w:p>
        </w:tc>
      </w:tr>
      <w:tr>
        <w:trPr>
          <w:cantSplit/>
        </w:trPr>
        <w:tc>
          <w:tcPr>
            <w:tcW w:type="dxa" w:w="4680"/>
            <w:tcMar>
              <w:top w:w="70" w:type="dxa"/>
              <w:start w:w="110" w:type="dxa"/>
              <w:bottom w:w="70" w:type="dxa"/>
              <w:end w:w="110" w:type="dxa"/>
            </w:tcMar>
            <w:shd w:fill="F4F6F7"/>
          </w:tcPr>
          <w:p>
            <w:pPr>
              <w:widowControl/>
              <w:spacing w:after="0"/>
            </w:pPr>
            <w:r>
              <w:rPr>
                <w:rFonts w:ascii="Arial" w:hAnsi="Arial"/>
                <w:sz w:val="17"/>
              </w:rPr>
              <w:t>recovered material</w:t>
            </w:r>
          </w:p>
        </w:tc>
        <w:tc>
          <w:tcPr>
            <w:tcW w:type="dxa" w:w="4680"/>
            <w:tcMar>
              <w:top w:w="70" w:type="dxa"/>
              <w:start w:w="110" w:type="dxa"/>
              <w:bottom w:w="70" w:type="dxa"/>
              <w:end w:w="110" w:type="dxa"/>
            </w:tcMar>
            <w:shd w:fill="F4F6F7"/>
          </w:tcPr>
          <w:p>
            <w:pPr>
              <w:widowControl/>
              <w:spacing w:after="0"/>
            </w:pPr>
            <w:r>
              <w:rPr>
                <w:rFonts w:ascii="Arial" w:hAnsi="Arial"/>
                <w:sz w:val="17"/>
              </w:rPr>
              <w:t>a material in the form of one or more individual parts that results from: (a) the disassembly of a used good into individual parts; and (b) the cleaning, inspecting, testing or other processing of those parts as necessary for improvement to sound working condition</w:t>
            </w:r>
          </w:p>
        </w:tc>
      </w:tr>
      <w:tr>
        <w:trPr>
          <w:cantSplit/>
        </w:trPr>
        <w:tc>
          <w:tcPr>
            <w:tcW w:type="dxa" w:w="4680"/>
            <w:tcMar>
              <w:top w:w="70" w:type="dxa"/>
              <w:start w:w="110" w:type="dxa"/>
              <w:bottom w:w="70" w:type="dxa"/>
              <w:end w:w="110" w:type="dxa"/>
            </w:tcMar>
          </w:tcPr>
          <w:p>
            <w:pPr>
              <w:widowControl/>
              <w:spacing w:after="0"/>
            </w:pPr>
            <w:r>
              <w:rPr>
                <w:rFonts w:ascii="Arial" w:hAnsi="Arial"/>
                <w:sz w:val="17"/>
              </w:rPr>
              <w:t>remanufactured good</w:t>
            </w:r>
          </w:p>
        </w:tc>
        <w:tc>
          <w:tcPr>
            <w:tcW w:type="dxa" w:w="4680"/>
            <w:tcMar>
              <w:top w:w="70" w:type="dxa"/>
              <w:start w:w="110" w:type="dxa"/>
              <w:bottom w:w="70" w:type="dxa"/>
              <w:end w:w="110" w:type="dxa"/>
            </w:tcMar>
          </w:tcPr>
          <w:p>
            <w:pPr>
              <w:widowControl/>
              <w:spacing w:after="0"/>
            </w:pPr>
            <w:r>
              <w:rPr>
                <w:rFonts w:ascii="Arial" w:hAnsi="Arial"/>
                <w:sz w:val="17"/>
              </w:rPr>
              <w:t>a good classified in HS Chapters 84 through 90 or under heading 94.02 except goods classified under HS headings 84.18, 85.09, 85.10, and 85.16, 87.03 or subheadings 8414.51, 8450.11, 8450.12, 8508.11, and 8517.11, that is entirely or partially composed of recovered materials and: (a) has a similar life expectancy and performs the same as or similar to such a good when new; and (b) has a factory warranty similar to that applicable to such a good when new</w:t>
            </w:r>
          </w:p>
        </w:tc>
      </w:tr>
      <w:tr>
        <w:trPr>
          <w:cantSplit/>
        </w:trPr>
        <w:tc>
          <w:tcPr>
            <w:tcW w:type="dxa" w:w="4680"/>
            <w:tcMar>
              <w:top w:w="70" w:type="dxa"/>
              <w:start w:w="110" w:type="dxa"/>
              <w:bottom w:w="70" w:type="dxa"/>
              <w:end w:w="110" w:type="dxa"/>
            </w:tcMar>
            <w:shd w:fill="F4F6F7"/>
          </w:tcPr>
          <w:p>
            <w:pPr>
              <w:widowControl/>
              <w:spacing w:after="0"/>
            </w:pPr>
            <w:r>
              <w:rPr>
                <w:rFonts w:ascii="Arial" w:hAnsi="Arial"/>
                <w:sz w:val="17"/>
              </w:rPr>
              <w:t>regional level of government</w:t>
            </w:r>
          </w:p>
        </w:tc>
        <w:tc>
          <w:tcPr>
            <w:tcW w:type="dxa" w:w="4680"/>
            <w:tcMar>
              <w:top w:w="70" w:type="dxa"/>
              <w:start w:w="110" w:type="dxa"/>
              <w:bottom w:w="70" w:type="dxa"/>
              <w:end w:w="110" w:type="dxa"/>
            </w:tcMar>
            <w:shd w:fill="F4F6F7"/>
          </w:tcPr>
          <w:p>
            <w:pPr>
              <w:widowControl/>
              <w:spacing w:after="0"/>
            </w:pPr>
            <w:r>
              <w:rPr>
                <w:rFonts w:ascii="Arial" w:hAnsi="Arial"/>
                <w:sz w:val="17"/>
              </w:rPr>
              <w:t>(a) for Canada, a province or territory of Canada; (b) for Mexico, a state of the United Mexican States; and (b) for the United States, a state of the United States, the District of Columbia, or Puerto Rico</w:t>
            </w:r>
          </w:p>
        </w:tc>
      </w:tr>
      <w:tr>
        <w:trPr>
          <w:cantSplit/>
        </w:trPr>
        <w:tc>
          <w:tcPr>
            <w:tcW w:type="dxa" w:w="4680"/>
            <w:tcMar>
              <w:top w:w="70" w:type="dxa"/>
              <w:start w:w="110" w:type="dxa"/>
              <w:bottom w:w="70" w:type="dxa"/>
              <w:end w:w="110" w:type="dxa"/>
            </w:tcMar>
          </w:tcPr>
          <w:p>
            <w:pPr>
              <w:widowControl/>
              <w:spacing w:after="0"/>
            </w:pPr>
            <w:r>
              <w:rPr>
                <w:rFonts w:ascii="Arial" w:hAnsi="Arial"/>
                <w:sz w:val="17"/>
              </w:rPr>
              <w:t>Safeguards Agreement</w:t>
            </w:r>
          </w:p>
        </w:tc>
        <w:tc>
          <w:tcPr>
            <w:tcW w:type="dxa" w:w="4680"/>
            <w:tcMar>
              <w:top w:w="70" w:type="dxa"/>
              <w:start w:w="110" w:type="dxa"/>
              <w:bottom w:w="70" w:type="dxa"/>
              <w:end w:w="110" w:type="dxa"/>
            </w:tcMar>
          </w:tcPr>
          <w:p>
            <w:pPr>
              <w:widowControl/>
              <w:spacing w:after="0"/>
            </w:pPr>
            <w:r>
              <w:rPr>
                <w:rFonts w:ascii="Arial" w:hAnsi="Arial"/>
                <w:sz w:val="17"/>
              </w:rPr>
              <w:t>the Agreement on Safeguards, set out in Annex 1A to the WTO Agreement</w:t>
            </w:r>
          </w:p>
        </w:tc>
      </w:tr>
      <w:tr>
        <w:trPr>
          <w:cantSplit/>
        </w:trPr>
        <w:tc>
          <w:tcPr>
            <w:tcW w:type="dxa" w:w="4680"/>
            <w:tcMar>
              <w:top w:w="70" w:type="dxa"/>
              <w:start w:w="110" w:type="dxa"/>
              <w:bottom w:w="70" w:type="dxa"/>
              <w:end w:w="110" w:type="dxa"/>
            </w:tcMar>
            <w:shd w:fill="F4F6F7"/>
          </w:tcPr>
          <w:p>
            <w:pPr>
              <w:widowControl/>
              <w:spacing w:after="0"/>
            </w:pPr>
            <w:r>
              <w:rPr>
                <w:rFonts w:ascii="Arial" w:hAnsi="Arial"/>
                <w:sz w:val="17"/>
              </w:rPr>
              <w:t>sanitary or phytosanitary measure</w:t>
            </w:r>
          </w:p>
        </w:tc>
        <w:tc>
          <w:tcPr>
            <w:tcW w:type="dxa" w:w="4680"/>
            <w:tcMar>
              <w:top w:w="70" w:type="dxa"/>
              <w:start w:w="110" w:type="dxa"/>
              <w:bottom w:w="70" w:type="dxa"/>
              <w:end w:w="110" w:type="dxa"/>
            </w:tcMar>
            <w:shd w:fill="F4F6F7"/>
          </w:tcPr>
          <w:p>
            <w:pPr>
              <w:widowControl/>
              <w:spacing w:after="0"/>
            </w:pPr>
            <w:r>
              <w:rPr>
                <w:rFonts w:ascii="Arial" w:hAnsi="Arial"/>
                <w:sz w:val="17"/>
              </w:rPr>
              <w:t>a measure referred to in paragraph 1 of Annex A to the SPS Agreement</w:t>
            </w:r>
          </w:p>
        </w:tc>
      </w:tr>
      <w:tr>
        <w:trPr>
          <w:cantSplit/>
        </w:trPr>
        <w:tc>
          <w:tcPr>
            <w:tcW w:type="dxa" w:w="4680"/>
            <w:tcMar>
              <w:top w:w="70" w:type="dxa"/>
              <w:start w:w="110" w:type="dxa"/>
              <w:bottom w:w="70" w:type="dxa"/>
              <w:end w:w="110" w:type="dxa"/>
            </w:tcMar>
          </w:tcPr>
          <w:p>
            <w:pPr>
              <w:widowControl/>
              <w:spacing w:after="0"/>
            </w:pPr>
            <w:r>
              <w:rPr>
                <w:rFonts w:ascii="Arial" w:hAnsi="Arial"/>
                <w:sz w:val="17"/>
              </w:rPr>
              <w:t>SCM Agreement</w:t>
            </w:r>
          </w:p>
        </w:tc>
        <w:tc>
          <w:tcPr>
            <w:tcW w:type="dxa" w:w="4680"/>
            <w:tcMar>
              <w:top w:w="70" w:type="dxa"/>
              <w:start w:w="110" w:type="dxa"/>
              <w:bottom w:w="70" w:type="dxa"/>
              <w:end w:w="110" w:type="dxa"/>
            </w:tcMar>
          </w:tcPr>
          <w:p>
            <w:pPr>
              <w:widowControl/>
              <w:spacing w:after="0"/>
            </w:pPr>
            <w:r>
              <w:rPr>
                <w:rFonts w:ascii="Arial" w:hAnsi="Arial"/>
                <w:sz w:val="17"/>
              </w:rPr>
              <w:t>the Agreement on Subsidies and Countervailing Measures set out in Annex 1A to the WTO Agreement</w:t>
            </w:r>
          </w:p>
        </w:tc>
      </w:tr>
      <w:tr>
        <w:trPr>
          <w:cantSplit/>
        </w:trPr>
        <w:tc>
          <w:tcPr>
            <w:tcW w:type="dxa" w:w="4680"/>
            <w:tcMar>
              <w:top w:w="70" w:type="dxa"/>
              <w:start w:w="110" w:type="dxa"/>
              <w:bottom w:w="70" w:type="dxa"/>
              <w:end w:w="110" w:type="dxa"/>
            </w:tcMar>
            <w:shd w:fill="F4F6F7"/>
          </w:tcPr>
          <w:p>
            <w:pPr>
              <w:widowControl/>
              <w:spacing w:after="0"/>
            </w:pPr>
            <w:r>
              <w:rPr>
                <w:rFonts w:ascii="Arial" w:hAnsi="Arial"/>
                <w:sz w:val="17"/>
              </w:rPr>
              <w:t>Secretariat</w:t>
            </w:r>
          </w:p>
        </w:tc>
        <w:tc>
          <w:tcPr>
            <w:tcW w:type="dxa" w:w="4680"/>
            <w:tcMar>
              <w:top w:w="70" w:type="dxa"/>
              <w:start w:w="110" w:type="dxa"/>
              <w:bottom w:w="70" w:type="dxa"/>
              <w:end w:w="110" w:type="dxa"/>
            </w:tcMar>
            <w:shd w:fill="F4F6F7"/>
          </w:tcPr>
          <w:p>
            <w:pPr>
              <w:widowControl/>
              <w:spacing w:after="0"/>
            </w:pPr>
            <w:r>
              <w:rPr>
                <w:rFonts w:ascii="Arial" w:hAnsi="Arial"/>
                <w:sz w:val="17"/>
              </w:rPr>
              <w:t>the Secretariat established under Article 30.6 (The Secretariat)</w:t>
            </w:r>
          </w:p>
        </w:tc>
      </w:tr>
      <w:tr>
        <w:trPr>
          <w:cantSplit/>
        </w:trPr>
        <w:tc>
          <w:tcPr>
            <w:tcW w:type="dxa" w:w="4680"/>
            <w:tcMar>
              <w:top w:w="70" w:type="dxa"/>
              <w:start w:w="110" w:type="dxa"/>
              <w:bottom w:w="70" w:type="dxa"/>
              <w:end w:w="110" w:type="dxa"/>
            </w:tcMar>
          </w:tcPr>
          <w:p>
            <w:pPr>
              <w:widowControl/>
              <w:spacing w:after="0"/>
            </w:pPr>
            <w:r>
              <w:rPr>
                <w:rFonts w:ascii="Arial" w:hAnsi="Arial"/>
                <w:sz w:val="17"/>
              </w:rPr>
              <w:t>SME</w:t>
            </w:r>
          </w:p>
        </w:tc>
        <w:tc>
          <w:tcPr>
            <w:tcW w:type="dxa" w:w="4680"/>
            <w:tcMar>
              <w:top w:w="70" w:type="dxa"/>
              <w:start w:w="110" w:type="dxa"/>
              <w:bottom w:w="70" w:type="dxa"/>
              <w:end w:w="110" w:type="dxa"/>
            </w:tcMar>
          </w:tcPr>
          <w:p>
            <w:pPr>
              <w:widowControl/>
              <w:spacing w:after="0"/>
            </w:pPr>
            <w:r>
              <w:rPr>
                <w:rFonts w:ascii="Arial" w:hAnsi="Arial"/>
                <w:sz w:val="17"/>
              </w:rPr>
              <w:t>a small and medium-sized enterprise, including a micro-sized enterprise</w:t>
            </w:r>
          </w:p>
        </w:tc>
      </w:tr>
      <w:tr>
        <w:trPr>
          <w:cantSplit/>
        </w:trPr>
        <w:tc>
          <w:tcPr>
            <w:tcW w:type="dxa" w:w="4680"/>
            <w:tcMar>
              <w:top w:w="70" w:type="dxa"/>
              <w:start w:w="110" w:type="dxa"/>
              <w:bottom w:w="70" w:type="dxa"/>
              <w:end w:w="110" w:type="dxa"/>
            </w:tcMar>
            <w:shd w:fill="F4F6F7"/>
          </w:tcPr>
          <w:p>
            <w:pPr>
              <w:widowControl/>
              <w:spacing w:after="0"/>
            </w:pPr>
            <w:r>
              <w:rPr>
                <w:rFonts w:ascii="Arial" w:hAnsi="Arial"/>
                <w:sz w:val="17"/>
              </w:rPr>
              <w:t>SPS Agreement</w:t>
            </w:r>
          </w:p>
        </w:tc>
        <w:tc>
          <w:tcPr>
            <w:tcW w:type="dxa" w:w="4680"/>
            <w:tcMar>
              <w:top w:w="70" w:type="dxa"/>
              <w:start w:w="110" w:type="dxa"/>
              <w:bottom w:w="70" w:type="dxa"/>
              <w:end w:w="110" w:type="dxa"/>
            </w:tcMar>
            <w:shd w:fill="F4F6F7"/>
          </w:tcPr>
          <w:p>
            <w:pPr>
              <w:widowControl/>
              <w:spacing w:after="0"/>
            </w:pPr>
            <w:r>
              <w:rPr>
                <w:rFonts w:ascii="Arial" w:hAnsi="Arial"/>
                <w:sz w:val="17"/>
              </w:rPr>
              <w:t>the Agreement on the Application of Sanitary and Phytosanitary Measures, set out in Annex 1A to the WTO Agreement</w:t>
            </w:r>
          </w:p>
        </w:tc>
      </w:tr>
      <w:tr>
        <w:trPr>
          <w:cantSplit/>
        </w:trPr>
        <w:tc>
          <w:tcPr>
            <w:tcW w:type="dxa" w:w="4680"/>
            <w:tcMar>
              <w:top w:w="70" w:type="dxa"/>
              <w:start w:w="110" w:type="dxa"/>
              <w:bottom w:w="70" w:type="dxa"/>
              <w:end w:w="110" w:type="dxa"/>
            </w:tcMar>
          </w:tcPr>
          <w:p>
            <w:pPr>
              <w:widowControl/>
              <w:spacing w:after="0"/>
            </w:pPr>
            <w:r>
              <w:rPr>
                <w:rFonts w:ascii="Arial" w:hAnsi="Arial"/>
                <w:sz w:val="17"/>
              </w:rPr>
              <w:t>state enterprise</w:t>
            </w:r>
          </w:p>
        </w:tc>
        <w:tc>
          <w:tcPr>
            <w:tcW w:type="dxa" w:w="4680"/>
            <w:tcMar>
              <w:top w:w="70" w:type="dxa"/>
              <w:start w:w="110" w:type="dxa"/>
              <w:bottom w:w="70" w:type="dxa"/>
              <w:end w:w="110" w:type="dxa"/>
            </w:tcMar>
          </w:tcPr>
          <w:p>
            <w:pPr>
              <w:widowControl/>
              <w:spacing w:after="0"/>
            </w:pPr>
            <w:r>
              <w:rPr>
                <w:rFonts w:ascii="Arial" w:hAnsi="Arial"/>
                <w:sz w:val="17"/>
              </w:rPr>
              <w:t>an enterprise that is owned, or controlled through ownership interests, by a Party</w:t>
            </w:r>
          </w:p>
        </w:tc>
      </w:tr>
      <w:tr>
        <w:trPr>
          <w:cantSplit/>
        </w:trPr>
        <w:tc>
          <w:tcPr>
            <w:tcW w:type="dxa" w:w="4680"/>
            <w:tcMar>
              <w:top w:w="70" w:type="dxa"/>
              <w:start w:w="110" w:type="dxa"/>
              <w:bottom w:w="70" w:type="dxa"/>
              <w:end w:w="110" w:type="dxa"/>
            </w:tcMar>
            <w:shd w:fill="F4F6F7"/>
          </w:tcPr>
          <w:p>
            <w:pPr>
              <w:widowControl/>
              <w:spacing w:after="0"/>
            </w:pPr>
            <w:r>
              <w:rPr>
                <w:rFonts w:ascii="Arial" w:hAnsi="Arial"/>
                <w:sz w:val="17"/>
              </w:rPr>
              <w:t>subheading</w:t>
            </w:r>
          </w:p>
        </w:tc>
        <w:tc>
          <w:tcPr>
            <w:tcW w:type="dxa" w:w="4680"/>
            <w:tcMar>
              <w:top w:w="70" w:type="dxa"/>
              <w:start w:w="110" w:type="dxa"/>
              <w:bottom w:w="70" w:type="dxa"/>
              <w:end w:w="110" w:type="dxa"/>
            </w:tcMar>
            <w:shd w:fill="F4F6F7"/>
          </w:tcPr>
          <w:p>
            <w:pPr>
              <w:widowControl/>
              <w:spacing w:after="0"/>
            </w:pPr>
            <w:r>
              <w:rPr>
                <w:rFonts w:ascii="Arial" w:hAnsi="Arial"/>
                <w:sz w:val="17"/>
              </w:rPr>
              <w:t>the first six digits in the tariff classification number under the Harmonized System; territory has for each Party the meaning set out in Section C (Country-Specific Definitions)</w:t>
            </w:r>
          </w:p>
        </w:tc>
      </w:tr>
      <w:tr>
        <w:trPr>
          <w:cantSplit/>
        </w:trPr>
        <w:tc>
          <w:tcPr>
            <w:tcW w:type="dxa" w:w="4680"/>
            <w:tcMar>
              <w:top w:w="70" w:type="dxa"/>
              <w:start w:w="110" w:type="dxa"/>
              <w:bottom w:w="70" w:type="dxa"/>
              <w:end w:w="110" w:type="dxa"/>
            </w:tcMar>
          </w:tcPr>
          <w:p>
            <w:pPr>
              <w:widowControl/>
              <w:spacing w:after="0"/>
            </w:pPr>
            <w:r>
              <w:rPr>
                <w:rFonts w:ascii="Arial" w:hAnsi="Arial"/>
                <w:sz w:val="17"/>
              </w:rPr>
              <w:t>textile or apparel good</w:t>
            </w:r>
          </w:p>
        </w:tc>
        <w:tc>
          <w:tcPr>
            <w:tcW w:type="dxa" w:w="4680"/>
            <w:tcMar>
              <w:top w:w="70" w:type="dxa"/>
              <w:start w:w="110" w:type="dxa"/>
              <w:bottom w:w="70" w:type="dxa"/>
              <w:end w:w="110" w:type="dxa"/>
            </w:tcMar>
          </w:tcPr>
          <w:p>
            <w:pPr>
              <w:widowControl/>
              <w:spacing w:after="0"/>
            </w:pPr>
            <w:r>
              <w:rPr>
                <w:rFonts w:ascii="Arial" w:hAnsi="Arial"/>
                <w:sz w:val="17"/>
              </w:rPr>
              <w:t>a textile or apparel good classified in HS subheading 4202.12, 4202.22, 4202.32, or 4202.92 (luggage, handbags and similar articles with an outer surface of textile materials), heading 50.04 through 50.07, 51.04 through 51.13, 52.04 through 52.12, 53.03 through 53.11, Chapter 54 through 63, heading 66.01 (umbrellas) or heading 70.19 (yarns and fabrics of glass fiber), subheading 9404.90 (articles of bedding and similar furnishing), or heading 96.19 (babies diapers and other sanitary textile articles)</w:t>
            </w:r>
          </w:p>
        </w:tc>
      </w:tr>
      <w:tr>
        <w:trPr>
          <w:cantSplit/>
        </w:trPr>
        <w:tc>
          <w:tcPr>
            <w:tcW w:type="dxa" w:w="4680"/>
            <w:tcMar>
              <w:top w:w="70" w:type="dxa"/>
              <w:start w:w="110" w:type="dxa"/>
              <w:bottom w:w="70" w:type="dxa"/>
              <w:end w:w="110" w:type="dxa"/>
            </w:tcMar>
            <w:shd w:fill="F4F6F7"/>
          </w:tcPr>
          <w:p>
            <w:pPr>
              <w:widowControl/>
              <w:spacing w:after="0"/>
            </w:pPr>
            <w:r>
              <w:rPr>
                <w:rFonts w:ascii="Arial" w:hAnsi="Arial"/>
                <w:sz w:val="17"/>
              </w:rPr>
              <w:t>TRIPS Agreement</w:t>
            </w:r>
          </w:p>
        </w:tc>
        <w:tc>
          <w:tcPr>
            <w:tcW w:type="dxa" w:w="4680"/>
            <w:tcMar>
              <w:top w:w="70" w:type="dxa"/>
              <w:start w:w="110" w:type="dxa"/>
              <w:bottom w:w="70" w:type="dxa"/>
              <w:end w:w="110" w:type="dxa"/>
            </w:tcMar>
            <w:shd w:fill="F4F6F7"/>
          </w:tcPr>
          <w:p>
            <w:pPr>
              <w:widowControl/>
              <w:spacing w:after="0"/>
            </w:pPr>
            <w:r>
              <w:rPr>
                <w:rFonts w:ascii="Arial" w:hAnsi="Arial"/>
                <w:sz w:val="17"/>
              </w:rPr>
              <w:t>the Agreement on Trade-Related Aspects of Intellectual Property Rights, set out in Annex 1C to the WTO Agreement;1 Uniform Regulations means the regulations described in Article 5.16 (Uniform Regulations)</w:t>
            </w:r>
          </w:p>
        </w:tc>
      </w:tr>
      <w:tr>
        <w:trPr>
          <w:cantSplit/>
        </w:trPr>
        <w:tc>
          <w:tcPr>
            <w:tcW w:type="dxa" w:w="4680"/>
            <w:tcMar>
              <w:top w:w="70" w:type="dxa"/>
              <w:start w:w="110" w:type="dxa"/>
              <w:bottom w:w="70" w:type="dxa"/>
              <w:end w:w="110" w:type="dxa"/>
            </w:tcMar>
          </w:tcPr>
          <w:p>
            <w:pPr>
              <w:widowControl/>
              <w:spacing w:after="0"/>
            </w:pPr>
            <w:r>
              <w:rPr>
                <w:rFonts w:ascii="Arial" w:hAnsi="Arial"/>
                <w:sz w:val="17"/>
              </w:rPr>
              <w:t>WTO</w:t>
            </w:r>
          </w:p>
        </w:tc>
        <w:tc>
          <w:tcPr>
            <w:tcW w:type="dxa" w:w="4680"/>
            <w:tcMar>
              <w:top w:w="70" w:type="dxa"/>
              <w:start w:w="110" w:type="dxa"/>
              <w:bottom w:w="70" w:type="dxa"/>
              <w:end w:w="110" w:type="dxa"/>
            </w:tcMar>
          </w:tcPr>
          <w:p>
            <w:pPr>
              <w:widowControl/>
              <w:spacing w:after="0"/>
            </w:pPr>
            <w:r>
              <w:rPr>
                <w:rFonts w:ascii="Arial" w:hAnsi="Arial"/>
                <w:sz w:val="17"/>
              </w:rPr>
              <w:t>the World Trade Organization</w:t>
            </w:r>
          </w:p>
        </w:tc>
      </w:tr>
      <w:tr>
        <w:trPr>
          <w:cantSplit/>
        </w:trPr>
        <w:tc>
          <w:tcPr>
            <w:tcW w:type="dxa" w:w="4680"/>
            <w:tcMar>
              <w:top w:w="70" w:type="dxa"/>
              <w:start w:w="110" w:type="dxa"/>
              <w:bottom w:w="70" w:type="dxa"/>
              <w:end w:w="110" w:type="dxa"/>
            </w:tcMar>
            <w:shd w:fill="F4F6F7"/>
          </w:tcPr>
          <w:p>
            <w:pPr>
              <w:widowControl/>
              <w:spacing w:after="0"/>
            </w:pPr>
            <w:r>
              <w:rPr>
                <w:rFonts w:ascii="Arial" w:hAnsi="Arial"/>
                <w:sz w:val="17"/>
              </w:rPr>
              <w:t>WTO Agreement</w:t>
            </w:r>
          </w:p>
        </w:tc>
        <w:tc>
          <w:tcPr>
            <w:tcW w:type="dxa" w:w="4680"/>
            <w:tcMar>
              <w:top w:w="70" w:type="dxa"/>
              <w:start w:w="110" w:type="dxa"/>
              <w:bottom w:w="70" w:type="dxa"/>
              <w:end w:w="110" w:type="dxa"/>
            </w:tcMar>
            <w:shd w:fill="F4F6F7"/>
          </w:tcPr>
          <w:p>
            <w:pPr>
              <w:widowControl/>
              <w:spacing w:after="0"/>
            </w:pPr>
            <w:r>
              <w:rPr>
                <w:rFonts w:ascii="Arial" w:hAnsi="Arial"/>
                <w:sz w:val="17"/>
              </w:rPr>
              <w:t>the Marrakesh Agreement Establishing the World Trade Organization, done at Marrakesh on April 15, 1994. 1 For greater certainty, TRIPS Agreement includes any waiver in force between the Parties of any provision of the TRIPS Agreement granted by WTO Members in accordance with the WTO Agreement.</w:t>
            </w:r>
          </w:p>
        </w:tc>
      </w:tr>
    </w:tbl>
    <w:p>
      <w:pPr>
        <w:widowControl/>
      </w:pPr>
      <w:r>
        <w:rPr>
          <w:b/>
        </w:rPr>
        <w:t>Section C: Country-Specific Definitions</w:t>
      </w:r>
    </w:p>
    <w:p>
      <w:pPr>
        <w:widowControl/>
      </w:pPr>
      <w:r>
        <w:rPr>
          <w:b w:val="0"/>
        </w:rPr>
        <w:t>For the purposes of this Agreement, unless otherwise provided, territory means:</w:t>
      </w:r>
    </w:p>
    <w:tbl>
      <w:tblPr>
        <w:tblStyle w:val="TableGrid"/>
        <w:tblW w:type="auto" w:w="0"/>
        <w:jc w:val="center"/>
        <w:tblLayout w:type="autofit"/>
        <w:tblLook w:firstColumn="1" w:firstRow="1" w:lastColumn="0" w:lastRow="0" w:noHBand="0" w:noVBand="1" w:val="04A0"/>
      </w:tblPr>
      <w:tblGrid>
        <w:gridCol w:w="4680"/>
        <w:gridCol w:w="4680"/>
      </w:tblGrid>
      <w:tr>
        <w:trPr>
          <w:tblHeader w:val="true"/>
          <w:cantSplit/>
          <w:tblHeader w:val="true"/>
        </w:trPr>
        <w:tc>
          <w:tcPr>
            <w:tcW w:type="dxa" w:w="4680"/>
            <w:shd w:fill="233746"/>
          </w:tcPr>
          <w:p>
            <w:pPr>
              <w:spacing w:after="0"/>
            </w:pPr>
            <w:r>
              <w:rPr>
                <w:rFonts w:ascii="Arial" w:hAnsi="Arial"/>
                <w:b/>
                <w:color w:val="FFFFFF"/>
                <w:sz w:val="17"/>
              </w:rPr>
              <w:t>Party</w:t>
            </w:r>
          </w:p>
        </w:tc>
        <w:tc>
          <w:tcPr>
            <w:tcW w:type="dxa" w:w="4680"/>
            <w:shd w:fill="233746"/>
          </w:tcPr>
          <w:p>
            <w:pPr>
              <w:spacing w:after="0"/>
            </w:pPr>
            <w:r>
              <w:rPr>
                <w:rFonts w:ascii="Arial" w:hAnsi="Arial"/>
                <w:b/>
                <w:color w:val="FFFFFF"/>
                <w:sz w:val="17"/>
              </w:rPr>
              <w:t>Territory</w:t>
            </w:r>
          </w:p>
        </w:tc>
      </w:tr>
      <w:tr>
        <w:trPr>
          <w:cantSplit/>
        </w:trPr>
        <w:tc>
          <w:tcPr>
            <w:tcW w:type="dxa" w:w="4680"/>
            <w:tcMar>
              <w:top w:w="70" w:type="dxa"/>
              <w:start w:w="110" w:type="dxa"/>
              <w:bottom w:w="70" w:type="dxa"/>
              <w:end w:w="110" w:type="dxa"/>
            </w:tcMar>
          </w:tcPr>
          <w:p>
            <w:pPr>
              <w:widowControl/>
              <w:spacing w:after="0"/>
            </w:pPr>
            <w:r>
              <w:rPr>
                <w:rFonts w:ascii="Arial" w:hAnsi="Arial"/>
                <w:sz w:val="17"/>
              </w:rPr>
              <w:t>Canada</w:t>
            </w:r>
          </w:p>
        </w:tc>
        <w:tc>
          <w:tcPr>
            <w:tcW w:type="dxa" w:w="4680"/>
            <w:tcMar>
              <w:top w:w="70" w:type="dxa"/>
              <w:start w:w="110" w:type="dxa"/>
              <w:bottom w:w="70" w:type="dxa"/>
              <w:end w:w="110" w:type="dxa"/>
            </w:tcMar>
          </w:tcPr>
          <w:p>
            <w:pPr>
              <w:widowControl/>
              <w:spacing w:after="0"/>
            </w:pPr>
            <w:r>
              <w:rPr>
                <w:rFonts w:ascii="Arial" w:hAnsi="Arial"/>
                <w:sz w:val="17"/>
              </w:rPr>
              <w:t>(i) the land territory, air space, internal waters, and territorial sea of Canada, (ii) the exclusive economic zone of Canada, and (iii) the continental shelf of Canada, as determined by its domestic law and consistent with international law.</w:t>
            </w:r>
          </w:p>
        </w:tc>
      </w:tr>
      <w:tr>
        <w:trPr>
          <w:cantSplit/>
        </w:trPr>
        <w:tc>
          <w:tcPr>
            <w:tcW w:type="dxa" w:w="4680"/>
            <w:tcMar>
              <w:top w:w="70" w:type="dxa"/>
              <w:start w:w="110" w:type="dxa"/>
              <w:bottom w:w="70" w:type="dxa"/>
              <w:end w:w="110" w:type="dxa"/>
            </w:tcMar>
            <w:shd w:fill="F4F6F7"/>
          </w:tcPr>
          <w:p>
            <w:pPr>
              <w:widowControl/>
              <w:spacing w:after="0"/>
            </w:pPr>
            <w:r>
              <w:rPr>
                <w:rFonts w:ascii="Arial" w:hAnsi="Arial"/>
                <w:sz w:val="17"/>
              </w:rPr>
              <w:t>Mexico</w:t>
            </w:r>
          </w:p>
        </w:tc>
        <w:tc>
          <w:tcPr>
            <w:tcW w:type="dxa" w:w="4680"/>
            <w:tcMar>
              <w:top w:w="70" w:type="dxa"/>
              <w:start w:w="110" w:type="dxa"/>
              <w:bottom w:w="70" w:type="dxa"/>
              <w:end w:w="110" w:type="dxa"/>
            </w:tcMar>
            <w:shd w:fill="F4F6F7"/>
          </w:tcPr>
          <w:p>
            <w:pPr>
              <w:widowControl/>
              <w:spacing w:after="0"/>
            </w:pPr>
            <w:r>
              <w:rPr>
                <w:rFonts w:ascii="Arial" w:hAnsi="Arial"/>
                <w:sz w:val="17"/>
              </w:rPr>
              <w:t>(i) the land territory, including the states of the Federation and Mexico City, (ii) the air space, and (iii) the internal waters, territorial sea, and any areas beyond the territorial seas of Mexico within which Mexico may exercise sovereign rights and jurisdiction, as determined by its domestic law, consistent with the United Nations Convention on the Law of the Sea, done at Montego Bay on December 10, 1982</w:t>
            </w:r>
          </w:p>
        </w:tc>
      </w:tr>
      <w:tr>
        <w:trPr>
          <w:cantSplit/>
        </w:trPr>
        <w:tc>
          <w:tcPr>
            <w:tcW w:type="dxa" w:w="4680"/>
            <w:tcMar>
              <w:top w:w="70" w:type="dxa"/>
              <w:start w:w="110" w:type="dxa"/>
              <w:bottom w:w="70" w:type="dxa"/>
              <w:end w:w="110" w:type="dxa"/>
            </w:tcMar>
          </w:tcPr>
          <w:p>
            <w:pPr>
              <w:widowControl/>
              <w:spacing w:after="0"/>
            </w:pPr>
            <w:r>
              <w:rPr>
                <w:rFonts w:ascii="Arial" w:hAnsi="Arial"/>
                <w:sz w:val="17"/>
              </w:rPr>
              <w:t>United States</w:t>
            </w:r>
          </w:p>
        </w:tc>
        <w:tc>
          <w:tcPr>
            <w:tcW w:type="dxa" w:w="4680"/>
            <w:tcMar>
              <w:top w:w="70" w:type="dxa"/>
              <w:start w:w="110" w:type="dxa"/>
              <w:bottom w:w="70" w:type="dxa"/>
              <w:end w:w="110" w:type="dxa"/>
            </w:tcMar>
          </w:tcPr>
          <w:p>
            <w:pPr>
              <w:widowControl/>
              <w:spacing w:after="0"/>
            </w:pPr>
            <w:r>
              <w:rPr>
                <w:rFonts w:ascii="Arial" w:hAnsi="Arial"/>
                <w:sz w:val="17"/>
              </w:rPr>
              <w:t>(i) the customs territory of the United States, which includes the 50 states, the District of Columbia, and Puerto Rico, (ii) the foreign trade zones located in the United States and Puerto Rico, and (iii) the territorial sea and air space of the United States and any area beyond the territorial sea within which, in accordance with customary international law as reflected in the United Nations Convention on the Law of the Sea, the United States may exercise sovereign rights or jurisdiction.</w:t>
            </w:r>
          </w:p>
        </w:tc>
      </w:tr>
    </w:tbl>
    <w:p>
      <w:pPr>
        <w:pStyle w:val="ModHeading"/>
        <w:widowControl/>
        <w:rPr/>
      </w:pPr>
      <w:bookmarkStart w:id="4" w:name="_Toc237912477"/>
      <w:r>
        <w:rPr/>
        <w:t>CHAPTER 1 — CUSMA 2.0 MODERNIZATION PROVISIONS</w:t>
      </w:r>
      <w:bookmarkEnd w:id="4"/>
    </w:p>
    <w:p>
      <w:pPr>
        <w:pStyle w:val="Normal"/>
        <w:widowControl/>
        <w:rPr/>
      </w:pPr>
      <w:r>
        <w:rPr>
          <w:i/>
        </w:rPr>
        <w:t>The provisions of this Part amend Chapter 1 (Initial Provisions and General Definitions). Upon entry into force of the Protocol of Modernization, this Part is incorporated into Chapter 1 as set out below.</w:t>
      </w:r>
    </w:p>
    <w:p>
      <w:pPr>
        <w:widowControl/>
      </w:pPr>
      <w:r>
        <w:rPr>
          <w:b/>
        </w:rPr>
        <w:t>Article 1.A: Additional General Definitions</w:t>
      </w:r>
    </w:p>
    <w:p>
      <w:pPr>
        <w:widowControl/>
      </w:pPr>
      <w:r>
        <w:rPr>
          <w:b w:val="0"/>
        </w:rPr>
        <w:t>1. Article 1.5 (General Definitions) is amended by adding the following definitions in alphabetical order:</w:t>
      </w:r>
    </w:p>
    <w:tbl>
      <w:tblPr>
        <w:tblStyle w:val="TableGrid"/>
        <w:tblW w:type="auto" w:w="0"/>
        <w:jc w:val="center"/>
        <w:tblLayout w:type="autofit"/>
        <w:tblLook w:firstColumn="1" w:firstRow="1" w:lastColumn="0" w:lastRow="0" w:noHBand="0" w:noVBand="1" w:val="04A0"/>
      </w:tblPr>
      <w:tblGrid>
        <w:gridCol w:w="4680"/>
        <w:gridCol w:w="4680"/>
      </w:tblGrid>
      <w:tr>
        <w:trPr>
          <w:tblHeader w:val="true"/>
          <w:cantSplit/>
          <w:tblHeader w:val="true"/>
        </w:trPr>
        <w:tc>
          <w:tcPr>
            <w:tcW w:type="dxa" w:w="4680"/>
            <w:shd w:fill="233746"/>
          </w:tcPr>
          <w:p>
            <w:pPr>
              <w:spacing w:after="0"/>
            </w:pPr>
            <w:r>
              <w:rPr>
                <w:rFonts w:ascii="Arial" w:hAnsi="Arial"/>
                <w:b/>
                <w:color w:val="FFFFFF"/>
                <w:sz w:val="17"/>
              </w:rPr>
              <w:t>Term</w:t>
            </w:r>
          </w:p>
        </w:tc>
        <w:tc>
          <w:tcPr>
            <w:tcW w:type="dxa" w:w="4680"/>
            <w:shd w:fill="233746"/>
          </w:tcPr>
          <w:p>
            <w:pPr>
              <w:spacing w:after="0"/>
            </w:pPr>
            <w:r>
              <w:rPr>
                <w:rFonts w:ascii="Arial" w:hAnsi="Arial"/>
                <w:b/>
                <w:color w:val="FFFFFF"/>
                <w:sz w:val="17"/>
              </w:rPr>
              <w:t>Definition</w:t>
            </w:r>
          </w:p>
        </w:tc>
      </w:tr>
      <w:tr>
        <w:trPr>
          <w:cantSplit/>
        </w:trPr>
        <w:tc>
          <w:tcPr>
            <w:tcW w:type="dxa" w:w="4680"/>
            <w:tcMar>
              <w:top w:w="70" w:type="dxa"/>
              <w:start w:w="110" w:type="dxa"/>
              <w:bottom w:w="70" w:type="dxa"/>
              <w:end w:w="110" w:type="dxa"/>
            </w:tcMar>
          </w:tcPr>
          <w:p>
            <w:pPr>
              <w:widowControl/>
              <w:spacing w:after="0"/>
            </w:pPr>
            <w:r>
              <w:rPr>
                <w:rFonts w:ascii="Arial" w:hAnsi="Arial"/>
                <w:sz w:val="17"/>
              </w:rPr>
              <w:t>covered border measure</w:t>
            </w:r>
          </w:p>
        </w:tc>
        <w:tc>
          <w:tcPr>
            <w:tcW w:type="dxa" w:w="4680"/>
            <w:tcMar>
              <w:top w:w="70" w:type="dxa"/>
              <w:start w:w="110" w:type="dxa"/>
              <w:bottom w:w="70" w:type="dxa"/>
              <w:end w:w="110" w:type="dxa"/>
            </w:tcMar>
          </w:tcPr>
          <w:p>
            <w:pPr>
              <w:widowControl/>
              <w:spacing w:after="0"/>
            </w:pPr>
            <w:r>
              <w:rPr>
                <w:rFonts w:ascii="Arial" w:hAnsi="Arial"/>
                <w:sz w:val="17"/>
              </w:rPr>
              <w:t>has the meaning assigned in Article 35.2 (Definitions);</w:t>
            </w:r>
          </w:p>
        </w:tc>
      </w:tr>
      <w:tr>
        <w:trPr>
          <w:cantSplit/>
        </w:trPr>
        <w:tc>
          <w:tcPr>
            <w:tcW w:type="dxa" w:w="4680"/>
            <w:tcMar>
              <w:top w:w="70" w:type="dxa"/>
              <w:start w:w="110" w:type="dxa"/>
              <w:bottom w:w="70" w:type="dxa"/>
              <w:end w:w="110" w:type="dxa"/>
            </w:tcMar>
            <w:shd w:fill="F4F6F7"/>
          </w:tcPr>
          <w:p>
            <w:pPr>
              <w:widowControl/>
              <w:spacing w:after="0"/>
            </w:pPr>
            <w:r>
              <w:rPr>
                <w:rFonts w:ascii="Arial" w:hAnsi="Arial"/>
                <w:sz w:val="17"/>
              </w:rPr>
              <w:t>low-value shipment</w:t>
            </w:r>
          </w:p>
        </w:tc>
        <w:tc>
          <w:tcPr>
            <w:tcW w:type="dxa" w:w="4680"/>
            <w:tcMar>
              <w:top w:w="70" w:type="dxa"/>
              <w:start w:w="110" w:type="dxa"/>
              <w:bottom w:w="70" w:type="dxa"/>
              <w:end w:w="110" w:type="dxa"/>
            </w:tcMar>
            <w:shd w:fill="F4F6F7"/>
          </w:tcPr>
          <w:p>
            <w:pPr>
              <w:widowControl/>
              <w:spacing w:after="0"/>
            </w:pPr>
            <w:r>
              <w:rPr>
                <w:rFonts w:ascii="Arial" w:hAnsi="Arial"/>
                <w:sz w:val="17"/>
              </w:rPr>
              <w:t>has the meaning assigned in Article 35.2 (Definitions);</w:t>
            </w:r>
          </w:p>
        </w:tc>
      </w:tr>
      <w:tr>
        <w:trPr>
          <w:cantSplit/>
        </w:trPr>
        <w:tc>
          <w:tcPr>
            <w:tcW w:type="dxa" w:w="4680"/>
            <w:tcMar>
              <w:top w:w="70" w:type="dxa"/>
              <w:start w:w="110" w:type="dxa"/>
              <w:bottom w:w="70" w:type="dxa"/>
              <w:end w:w="110" w:type="dxa"/>
            </w:tcMar>
          </w:tcPr>
          <w:p>
            <w:pPr>
              <w:widowControl/>
              <w:spacing w:after="0"/>
            </w:pPr>
            <w:r>
              <w:rPr>
                <w:rFonts w:ascii="Arial" w:hAnsi="Arial"/>
                <w:sz w:val="17"/>
              </w:rPr>
              <w:t>market-access credit</w:t>
            </w:r>
          </w:p>
        </w:tc>
        <w:tc>
          <w:tcPr>
            <w:tcW w:type="dxa" w:w="4680"/>
            <w:tcMar>
              <w:top w:w="70" w:type="dxa"/>
              <w:start w:w="110" w:type="dxa"/>
              <w:bottom w:w="70" w:type="dxa"/>
              <w:end w:w="110" w:type="dxa"/>
            </w:tcMar>
          </w:tcPr>
          <w:p>
            <w:pPr>
              <w:widowControl/>
              <w:spacing w:after="0"/>
            </w:pPr>
            <w:r>
              <w:rPr>
                <w:rFonts w:ascii="Arial" w:hAnsi="Arial"/>
                <w:sz w:val="17"/>
              </w:rPr>
              <w:t>a credit that may be created under Article 35.20 and Annex 35-E;</w:t>
            </w:r>
          </w:p>
        </w:tc>
      </w:tr>
      <w:tr>
        <w:trPr>
          <w:cantSplit/>
        </w:trPr>
        <w:tc>
          <w:tcPr>
            <w:tcW w:type="dxa" w:w="4680"/>
            <w:tcMar>
              <w:top w:w="70" w:type="dxa"/>
              <w:start w:w="110" w:type="dxa"/>
              <w:bottom w:w="70" w:type="dxa"/>
              <w:end w:w="110" w:type="dxa"/>
            </w:tcMar>
            <w:shd w:fill="F4F6F7"/>
          </w:tcPr>
          <w:p>
            <w:pPr>
              <w:widowControl/>
              <w:spacing w:after="0"/>
            </w:pPr>
            <w:r>
              <w:rPr>
                <w:rFonts w:ascii="Arial" w:hAnsi="Arial"/>
                <w:sz w:val="17"/>
              </w:rPr>
              <w:t>module or trade module</w:t>
            </w:r>
          </w:p>
        </w:tc>
        <w:tc>
          <w:tcPr>
            <w:tcW w:type="dxa" w:w="4680"/>
            <w:tcMar>
              <w:top w:w="70" w:type="dxa"/>
              <w:start w:w="110" w:type="dxa"/>
              <w:bottom w:w="70" w:type="dxa"/>
              <w:end w:w="110" w:type="dxa"/>
            </w:tcMar>
            <w:shd w:fill="F4F6F7"/>
          </w:tcPr>
          <w:p>
            <w:pPr>
              <w:widowControl/>
              <w:spacing w:after="0"/>
            </w:pPr>
            <w:r>
              <w:rPr>
                <w:rFonts w:ascii="Arial" w:hAnsi="Arial"/>
                <w:sz w:val="17"/>
              </w:rPr>
              <w:t>has the meaning assigned in Article 35.2 (Definitions);</w:t>
            </w:r>
          </w:p>
        </w:tc>
      </w:tr>
      <w:tr>
        <w:trPr>
          <w:cantSplit/>
        </w:trPr>
        <w:tc>
          <w:tcPr>
            <w:tcW w:type="dxa" w:w="4680"/>
            <w:tcMar>
              <w:top w:w="70" w:type="dxa"/>
              <w:start w:w="110" w:type="dxa"/>
              <w:bottom w:w="70" w:type="dxa"/>
              <w:end w:w="110" w:type="dxa"/>
            </w:tcMar>
          </w:tcPr>
          <w:p>
            <w:pPr>
              <w:widowControl/>
              <w:spacing w:after="0"/>
            </w:pPr>
            <w:r>
              <w:rPr>
                <w:rFonts w:ascii="Arial" w:hAnsi="Arial"/>
                <w:sz w:val="17"/>
              </w:rPr>
              <w:t>North American Trade Measures Registry or Registry</w:t>
            </w:r>
          </w:p>
        </w:tc>
        <w:tc>
          <w:tcPr>
            <w:tcW w:type="dxa" w:w="4680"/>
            <w:tcMar>
              <w:top w:w="70" w:type="dxa"/>
              <w:start w:w="110" w:type="dxa"/>
              <w:bottom w:w="70" w:type="dxa"/>
              <w:end w:w="110" w:type="dxa"/>
            </w:tcMar>
          </w:tcPr>
          <w:p>
            <w:pPr>
              <w:widowControl/>
              <w:spacing w:after="0"/>
            </w:pPr>
            <w:r>
              <w:rPr>
                <w:rFonts w:ascii="Arial" w:hAnsi="Arial"/>
                <w:sz w:val="17"/>
              </w:rPr>
              <w:t>the registry established under Article 35.24;</w:t>
            </w:r>
          </w:p>
        </w:tc>
      </w:tr>
      <w:tr>
        <w:trPr>
          <w:cantSplit/>
        </w:trPr>
        <w:tc>
          <w:tcPr>
            <w:tcW w:type="dxa" w:w="4680"/>
            <w:tcMar>
              <w:top w:w="70" w:type="dxa"/>
              <w:start w:w="110" w:type="dxa"/>
              <w:bottom w:w="70" w:type="dxa"/>
              <w:end w:w="110" w:type="dxa"/>
            </w:tcMar>
            <w:shd w:fill="F4F6F7"/>
          </w:tcPr>
          <w:p>
            <w:pPr>
              <w:widowControl/>
              <w:spacing w:after="0"/>
            </w:pPr>
            <w:r>
              <w:rPr>
                <w:rFonts w:ascii="Arial" w:hAnsi="Arial"/>
                <w:sz w:val="17"/>
              </w:rPr>
              <w:t>Proportional Trade Adjustment or PTA</w:t>
            </w:r>
          </w:p>
        </w:tc>
        <w:tc>
          <w:tcPr>
            <w:tcW w:type="dxa" w:w="4680"/>
            <w:tcMar>
              <w:top w:w="70" w:type="dxa"/>
              <w:start w:w="110" w:type="dxa"/>
              <w:bottom w:w="70" w:type="dxa"/>
              <w:end w:w="110" w:type="dxa"/>
            </w:tcMar>
            <w:shd w:fill="F4F6F7"/>
          </w:tcPr>
          <w:p>
            <w:pPr>
              <w:widowControl/>
              <w:spacing w:after="0"/>
            </w:pPr>
            <w:r>
              <w:rPr>
                <w:rFonts w:ascii="Arial" w:hAnsi="Arial"/>
                <w:sz w:val="17"/>
              </w:rPr>
              <w:t>has the meaning assigned in Article 35.2 (Definitions);</w:t>
            </w:r>
          </w:p>
        </w:tc>
      </w:tr>
      <w:tr>
        <w:trPr>
          <w:cantSplit/>
        </w:trPr>
        <w:tc>
          <w:tcPr>
            <w:tcW w:type="dxa" w:w="4680"/>
            <w:tcMar>
              <w:top w:w="70" w:type="dxa"/>
              <w:start w:w="110" w:type="dxa"/>
              <w:bottom w:w="70" w:type="dxa"/>
              <w:end w:w="110" w:type="dxa"/>
            </w:tcMar>
          </w:tcPr>
          <w:p>
            <w:pPr>
              <w:widowControl/>
              <w:spacing w:after="0"/>
            </w:pPr>
            <w:r>
              <w:rPr>
                <w:rFonts w:ascii="Arial" w:hAnsi="Arial"/>
                <w:sz w:val="17"/>
              </w:rPr>
              <w:t>Protocol of Modernization</w:t>
            </w:r>
          </w:p>
        </w:tc>
        <w:tc>
          <w:tcPr>
            <w:tcW w:type="dxa" w:w="4680"/>
            <w:tcMar>
              <w:top w:w="70" w:type="dxa"/>
              <w:start w:w="110" w:type="dxa"/>
              <w:bottom w:w="70" w:type="dxa"/>
              <w:end w:w="110" w:type="dxa"/>
            </w:tcMar>
          </w:tcPr>
          <w:p>
            <w:pPr>
              <w:widowControl/>
              <w:spacing w:after="0"/>
            </w:pPr>
            <w:r>
              <w:rPr>
                <w:rFonts w:ascii="Arial" w:hAnsi="Arial"/>
                <w:sz w:val="17"/>
              </w:rPr>
              <w:t>the Protocol of Modernization to this Agreement, together with its attached consolidated modernization text;</w:t>
            </w:r>
          </w:p>
        </w:tc>
      </w:tr>
      <w:tr>
        <w:trPr>
          <w:cantSplit/>
        </w:trPr>
        <w:tc>
          <w:tcPr>
            <w:tcW w:type="dxa" w:w="4680"/>
            <w:tcMar>
              <w:top w:w="70" w:type="dxa"/>
              <w:start w:w="110" w:type="dxa"/>
              <w:bottom w:w="70" w:type="dxa"/>
              <w:end w:w="110" w:type="dxa"/>
            </w:tcMar>
            <w:shd w:fill="F4F6F7"/>
          </w:tcPr>
          <w:p>
            <w:pPr>
              <w:widowControl/>
              <w:spacing w:after="0"/>
            </w:pPr>
            <w:r>
              <w:rPr>
                <w:rFonts w:ascii="Arial" w:hAnsi="Arial"/>
                <w:sz w:val="17"/>
              </w:rPr>
              <w:t>Shared Trade Data Registry</w:t>
            </w:r>
          </w:p>
        </w:tc>
        <w:tc>
          <w:tcPr>
            <w:tcW w:type="dxa" w:w="4680"/>
            <w:tcMar>
              <w:top w:w="70" w:type="dxa"/>
              <w:start w:w="110" w:type="dxa"/>
              <w:bottom w:w="70" w:type="dxa"/>
              <w:end w:w="110" w:type="dxa"/>
            </w:tcMar>
            <w:shd w:fill="F4F6F7"/>
          </w:tcPr>
          <w:p>
            <w:pPr>
              <w:widowControl/>
              <w:spacing w:after="0"/>
            </w:pPr>
            <w:r>
              <w:rPr>
                <w:rFonts w:ascii="Arial" w:hAnsi="Arial"/>
                <w:sz w:val="17"/>
              </w:rPr>
              <w:t>the registry operated under Annex 35-C;</w:t>
            </w:r>
          </w:p>
        </w:tc>
      </w:tr>
      <w:tr>
        <w:trPr>
          <w:cantSplit/>
        </w:trPr>
        <w:tc>
          <w:tcPr>
            <w:tcW w:type="dxa" w:w="4680"/>
            <w:tcMar>
              <w:top w:w="70" w:type="dxa"/>
              <w:start w:w="110" w:type="dxa"/>
              <w:bottom w:w="70" w:type="dxa"/>
              <w:end w:w="110" w:type="dxa"/>
            </w:tcMar>
          </w:tcPr>
          <w:p>
            <w:pPr>
              <w:widowControl/>
              <w:spacing w:after="0"/>
            </w:pPr>
            <w:r>
              <w:rPr>
                <w:rFonts w:ascii="Arial" w:hAnsi="Arial"/>
                <w:sz w:val="17"/>
              </w:rPr>
              <w:t>Strategic Sector</w:t>
            </w:r>
          </w:p>
        </w:tc>
        <w:tc>
          <w:tcPr>
            <w:tcW w:type="dxa" w:w="4680"/>
            <w:tcMar>
              <w:top w:w="70" w:type="dxa"/>
              <w:start w:w="110" w:type="dxa"/>
              <w:bottom w:w="70" w:type="dxa"/>
              <w:end w:w="110" w:type="dxa"/>
            </w:tcMar>
          </w:tcPr>
          <w:p>
            <w:pPr>
              <w:widowControl/>
              <w:spacing w:after="0"/>
            </w:pPr>
            <w:r>
              <w:rPr>
                <w:rFonts w:ascii="Arial" w:hAnsi="Arial"/>
                <w:sz w:val="17"/>
              </w:rPr>
              <w:t>a sector designated under Article 35.23 and Annex 35-B, Part 2;</w:t>
            </w:r>
          </w:p>
        </w:tc>
      </w:tr>
      <w:tr>
        <w:trPr>
          <w:cantSplit/>
        </w:trPr>
        <w:tc>
          <w:tcPr>
            <w:tcW w:type="dxa" w:w="4680"/>
            <w:tcMar>
              <w:top w:w="70" w:type="dxa"/>
              <w:start w:w="110" w:type="dxa"/>
              <w:bottom w:w="70" w:type="dxa"/>
              <w:end w:w="110" w:type="dxa"/>
            </w:tcMar>
            <w:shd w:fill="F4F6F7"/>
          </w:tcPr>
          <w:p>
            <w:pPr>
              <w:widowControl/>
              <w:spacing w:after="0"/>
            </w:pPr>
            <w:r>
              <w:rPr>
                <w:rFonts w:ascii="Arial" w:hAnsi="Arial"/>
                <w:sz w:val="17"/>
              </w:rPr>
              <w:t>trade module</w:t>
            </w:r>
          </w:p>
        </w:tc>
        <w:tc>
          <w:tcPr>
            <w:tcW w:type="dxa" w:w="4680"/>
            <w:tcMar>
              <w:top w:w="70" w:type="dxa"/>
              <w:start w:w="110" w:type="dxa"/>
              <w:bottom w:w="70" w:type="dxa"/>
              <w:end w:w="110" w:type="dxa"/>
            </w:tcMar>
            <w:shd w:fill="F4F6F7"/>
          </w:tcPr>
          <w:p>
            <w:pPr>
              <w:widowControl/>
              <w:spacing w:after="0"/>
            </w:pPr>
            <w:r>
              <w:rPr>
                <w:rFonts w:ascii="Arial" w:hAnsi="Arial"/>
                <w:sz w:val="17"/>
              </w:rPr>
              <w:t>has the meaning assigned in Article 35.2 (Definitions);</w:t>
            </w:r>
          </w:p>
        </w:tc>
      </w:tr>
      <w:tr>
        <w:trPr>
          <w:cantSplit/>
        </w:trPr>
        <w:tc>
          <w:tcPr>
            <w:tcW w:type="dxa" w:w="4680"/>
            <w:tcMar>
              <w:top w:w="70" w:type="dxa"/>
              <w:start w:w="110" w:type="dxa"/>
              <w:bottom w:w="70" w:type="dxa"/>
              <w:end w:w="110" w:type="dxa"/>
            </w:tcMar>
          </w:tcPr>
          <w:p>
            <w:pPr>
              <w:widowControl/>
              <w:spacing w:after="0"/>
            </w:pPr>
            <w:r>
              <w:rPr>
                <w:rFonts w:ascii="Arial" w:hAnsi="Arial"/>
                <w:sz w:val="17"/>
              </w:rPr>
              <w:t>Treaty Integrity Secretariat</w:t>
            </w:r>
          </w:p>
        </w:tc>
        <w:tc>
          <w:tcPr>
            <w:tcW w:type="dxa" w:w="4680"/>
            <w:tcMar>
              <w:top w:w="70" w:type="dxa"/>
              <w:start w:w="110" w:type="dxa"/>
              <w:bottom w:w="70" w:type="dxa"/>
              <w:end w:w="110" w:type="dxa"/>
            </w:tcMar>
          </w:tcPr>
          <w:p>
            <w:pPr>
              <w:widowControl/>
              <w:spacing w:after="0"/>
            </w:pPr>
            <w:r>
              <w:rPr>
                <w:rFonts w:ascii="Arial" w:hAnsi="Arial"/>
                <w:sz w:val="17"/>
              </w:rPr>
              <w:t>where that administrative label is used, the Treaty Integrity function performed within the Secretariat established by Article 30.6 and governed by Article 35.28; the term does not denote a separate legal person, separately staffed secretariat, or autonomous agency;</w:t>
            </w:r>
          </w:p>
        </w:tc>
      </w:tr>
      <w:tr>
        <w:trPr>
          <w:cantSplit/>
        </w:trPr>
        <w:tc>
          <w:tcPr>
            <w:tcW w:type="dxa" w:w="4680"/>
            <w:tcMar>
              <w:top w:w="70" w:type="dxa"/>
              <w:start w:w="110" w:type="dxa"/>
              <w:bottom w:w="70" w:type="dxa"/>
              <w:end w:w="110" w:type="dxa"/>
            </w:tcMar>
            <w:shd w:fill="F4F6F7"/>
          </w:tcPr>
          <w:p>
            <w:pPr>
              <w:widowControl/>
              <w:spacing w:after="0"/>
            </w:pPr>
            <w:r>
              <w:rPr>
                <w:rFonts w:ascii="Arial" w:hAnsi="Arial"/>
                <w:sz w:val="17"/>
              </w:rPr>
              <w:t>Trusted North American Origin or TNAO</w:t>
            </w:r>
          </w:p>
        </w:tc>
        <w:tc>
          <w:tcPr>
            <w:tcW w:type="dxa" w:w="4680"/>
            <w:tcMar>
              <w:top w:w="70" w:type="dxa"/>
              <w:start w:w="110" w:type="dxa"/>
              <w:bottom w:w="70" w:type="dxa"/>
              <w:end w:w="110" w:type="dxa"/>
            </w:tcMar>
            <w:shd w:fill="F4F6F7"/>
          </w:tcPr>
          <w:p>
            <w:pPr>
              <w:widowControl/>
              <w:spacing w:after="0"/>
            </w:pPr>
            <w:r>
              <w:rPr>
                <w:rFonts w:ascii="Arial" w:hAnsi="Arial"/>
                <w:sz w:val="17"/>
              </w:rPr>
              <w:t>the status conferred under Article 36.6;</w:t>
            </w:r>
          </w:p>
        </w:tc>
      </w:tr>
      <w:tr>
        <w:trPr>
          <w:cantSplit/>
        </w:trPr>
        <w:tc>
          <w:tcPr>
            <w:tcW w:type="dxa" w:w="4680"/>
            <w:tcMar>
              <w:top w:w="70" w:type="dxa"/>
              <w:start w:w="110" w:type="dxa"/>
              <w:bottom w:w="70" w:type="dxa"/>
              <w:end w:w="110" w:type="dxa"/>
            </w:tcMar>
          </w:tcPr>
          <w:p>
            <w:pPr>
              <w:widowControl/>
              <w:spacing w:after="0"/>
            </w:pPr>
            <w:r>
              <w:rPr>
                <w:rFonts w:ascii="Arial" w:hAnsi="Arial"/>
                <w:sz w:val="17"/>
              </w:rPr>
              <w:t>Verification Panel or Verification Team</w:t>
            </w:r>
          </w:p>
        </w:tc>
        <w:tc>
          <w:tcPr>
            <w:tcW w:type="dxa" w:w="4680"/>
            <w:tcMar>
              <w:top w:w="70" w:type="dxa"/>
              <w:start w:w="110" w:type="dxa"/>
              <w:bottom w:w="70" w:type="dxa"/>
              <w:end w:w="110" w:type="dxa"/>
            </w:tcMar>
          </w:tcPr>
          <w:p>
            <w:pPr>
              <w:widowControl/>
              <w:spacing w:after="0"/>
            </w:pPr>
            <w:r>
              <w:rPr>
                <w:rFonts w:ascii="Arial" w:hAnsi="Arial"/>
                <w:sz w:val="17"/>
              </w:rPr>
              <w:t>where either term is used in relation to Article 35.10, the ad hoc three-member Verification Team constituted for the particular matter under that Article; neither term denotes a separately staffed permanent panel;</w:t>
            </w:r>
          </w:p>
        </w:tc>
      </w:tr>
      <w:tr>
        <w:trPr>
          <w:cantSplit/>
        </w:trPr>
        <w:tc>
          <w:tcPr>
            <w:tcW w:type="dxa" w:w="4680"/>
            <w:tcMar>
              <w:top w:w="70" w:type="dxa"/>
              <w:start w:w="110" w:type="dxa"/>
              <w:bottom w:w="70" w:type="dxa"/>
              <w:end w:w="110" w:type="dxa"/>
            </w:tcMar>
            <w:shd w:fill="F4F6F7"/>
          </w:tcPr>
          <w:p>
            <w:pPr>
              <w:widowControl/>
              <w:spacing w:after="0"/>
            </w:pPr>
            <w:r>
              <w:rPr>
                <w:rFonts w:ascii="Arial" w:hAnsi="Arial"/>
                <w:sz w:val="17"/>
              </w:rPr>
              <w:t>verified economic distortion</w:t>
            </w:r>
          </w:p>
        </w:tc>
        <w:tc>
          <w:tcPr>
            <w:tcW w:type="dxa" w:w="4680"/>
            <w:tcMar>
              <w:top w:w="70" w:type="dxa"/>
              <w:start w:w="110" w:type="dxa"/>
              <w:bottom w:w="70" w:type="dxa"/>
              <w:end w:w="110" w:type="dxa"/>
            </w:tcMar>
            <w:shd w:fill="F4F6F7"/>
          </w:tcPr>
          <w:p>
            <w:pPr>
              <w:widowControl/>
              <w:spacing w:after="0"/>
            </w:pPr>
            <w:r>
              <w:rPr>
                <w:rFonts w:ascii="Arial" w:hAnsi="Arial"/>
                <w:sz w:val="17"/>
              </w:rPr>
              <w:t>has the meaning assigned in Article 35.2 (Definitions).</w:t>
            </w:r>
          </w:p>
        </w:tc>
      </w:tr>
      <w:tr>
        <w:trPr>
          <w:cantSplit/>
        </w:trPr>
        <w:tc>
          <w:tcPr>
            <w:tcW w:type="dxa" w:w="4680"/>
            <w:tcMar>
              <w:top w:w="70" w:type="dxa"/>
              <w:start w:w="110" w:type="dxa"/>
              <w:bottom w:w="70" w:type="dxa"/>
              <w:end w:w="110" w:type="dxa"/>
            </w:tcMar>
          </w:tcPr>
          <w:p>
            <w:pPr>
              <w:widowControl/>
              <w:spacing w:after="0"/>
            </w:pPr>
            <w:r>
              <w:rPr>
                <w:rFonts w:ascii="Arial" w:hAnsi="Arial"/>
                <w:sz w:val="17"/>
              </w:rPr>
              <w:t>special or sectoral origin procedure</w:t>
            </w:r>
          </w:p>
        </w:tc>
        <w:tc>
          <w:tcPr>
            <w:tcW w:type="dxa" w:w="4680"/>
            <w:tcMar>
              <w:top w:w="70" w:type="dxa"/>
              <w:start w:w="110" w:type="dxa"/>
              <w:bottom w:w="70" w:type="dxa"/>
              <w:end w:w="110" w:type="dxa"/>
            </w:tcMar>
          </w:tcPr>
          <w:p>
            <w:pPr>
              <w:widowControl/>
              <w:spacing w:after="0"/>
            </w:pPr>
            <w:r>
              <w:rPr>
                <w:rFonts w:ascii="Arial" w:hAnsi="Arial"/>
                <w:sz w:val="17"/>
              </w:rPr>
              <w:t>an origin procedure expressly established by Chapter 4, Chapter 5, Annex 4-B, Annex 4-C, Annex 4-D, an automotive appendix or schedule incorporated into this Agreement, or another procedure expressly designated by the Commission by consensus in the Origin Procedures Schedule. No unilateral domestic procedure, administrative guidance, waiver, or preferential arrangement with a non-Party constitutes a special or sectoral origin procedure for Chapters 32 or 35 unless so designated.</w:t>
            </w:r>
          </w:p>
        </w:tc>
      </w:tr>
      <w:tr>
        <w:trPr>
          <w:cantSplit/>
        </w:trPr>
        <w:tc>
          <w:tcPr>
            <w:tcW w:type="dxa" w:w="4680"/>
            <w:tcMar>
              <w:top w:w="70" w:type="dxa"/>
              <w:start w:w="110" w:type="dxa"/>
              <w:bottom w:w="70" w:type="dxa"/>
              <w:end w:w="110" w:type="dxa"/>
            </w:tcMar>
            <w:shd w:fill="F4F6F7"/>
          </w:tcPr>
          <w:p>
            <w:pPr>
              <w:widowControl/>
              <w:spacing w:after="0"/>
            </w:pPr>
            <w:r>
              <w:rPr>
                <w:rFonts w:ascii="Arial" w:hAnsi="Arial"/>
                <w:sz w:val="17"/>
              </w:rPr>
              <w:t>originating good</w:t>
            </w:r>
          </w:p>
        </w:tc>
        <w:tc>
          <w:tcPr>
            <w:tcW w:type="dxa" w:w="4680"/>
            <w:tcMar>
              <w:top w:w="70" w:type="dxa"/>
              <w:start w:w="110" w:type="dxa"/>
              <w:bottom w:w="70" w:type="dxa"/>
              <w:end w:w="110" w:type="dxa"/>
            </w:tcMar>
            <w:shd w:fill="F4F6F7"/>
          </w:tcPr>
          <w:p>
            <w:pPr>
              <w:widowControl/>
              <w:spacing w:after="0"/>
            </w:pPr>
            <w:r>
              <w:rPr>
                <w:rFonts w:ascii="Arial" w:hAnsi="Arial"/>
                <w:sz w:val="17"/>
              </w:rPr>
              <w:t>for the purposes of Chapters 32 and 35, includes a good qualifying under any special or sectoral origin procedure of this Agreement</w:t>
            </w:r>
          </w:p>
        </w:tc>
      </w:tr>
    </w:tbl>
    <w:p>
      <w:pPr>
        <w:widowControl/>
      </w:pPr>
      <w:r>
        <w:rPr>
          <w:b w:val="0"/>
        </w:rPr>
        <w:t>2. A term defined in Chapter 35 has the same meaning throughout this Agreement unless a Chapter expressly provides otherwise.</w:t>
      </w:r>
    </w:p>
    <w:p>
      <w:bookmarkStart w:id="1020" w:name="_NAESTMA_TOC_1020"/>
      <w:pPr>
        <w:pStyle w:val="Heading2"/>
        <w:keepNext/>
        <w:widowControl/>
        <w:rPr/>
      </w:pPr>
      <w:bookmarkStart w:id="6" w:name="_Toc237912479"/>
      <w:r>
        <w:rPr/>
        <w:t>Article 1.B: Relation of the Agreement to Extraordinary Domestic Measures</w:t>
      </w:r>
      <w:bookmarkEnd w:id="6"/>
      <w:bookmarkEnd w:id="1020"/>
    </w:p>
    <w:p>
      <w:pPr>
        <w:pStyle w:val="Normal"/>
        <w:widowControl/>
        <w:rPr/>
      </w:pPr>
      <w:r>
        <w:rPr/>
        <w:t>1. The following is inserted as a new provision of Chapter 1:</w:t>
      </w:r>
    </w:p>
    <w:p>
      <w:pPr>
        <w:pStyle w:val="Normal"/>
        <w:widowControl/>
        <w:rPr/>
      </w:pPr>
      <w:r>
        <w:rPr/>
        <w:t>“</w:t>
      </w:r>
      <w:r>
        <w:rPr/>
        <w:t>1. The obligations of this Agreement apply according to the substance and economic effect of a measure, without regard to the domestic legal authority, designation, form, or terminology under which a Party adopts or maintains that measure. For greater certainty, this rule applies to tariffs, duties, surcharges, import and export fees and charges, tariff-rate quotas, quantitative restrictions, border adjustments, suspensions of preferential, simplified, or duty-free customs treatment, extraordinary import or export charges, discriminatory internal fiscal, regulatory, or administrative measures of equivalent effect, and substantially equivalent measures, however denominated under domestic law.</w:t>
        <w:br/>
        <w:t>2. A Party shall not avoid an obligation or prohibition of this Agreement by renaming, restructuring, routing through another domestic authority, combining with another measure, or otherwise altering the form of a measure where its operative conditions and material economic effect remain substantially equivalent to conduct governed by that obligation or prohibition.</w:t>
        <w:br/>
        <w:t>3. A determination of substantial equivalence under this Article shall be based on objective evidence concerning the measure’s design, operation, incidence, conditions of application, affected trade, and material commercial effect, and shall identify the specific obligation or prohibition of this Agreement alleged to be engaged. The Party maintaining the measure may rebut the allegation by demonstrating material functional differences relevant to that obligation or prohibition.</w:t>
        <w:br/>
        <w:t>4. This Article is a treaty-wide rule of interpretation and anti-circumvention. It does not independently prohibit a measure, authorize a remedy, or shift the substantive burden established by another Chapter; any finding of breach and any responsive measure must satisfy the applicable operative provision and the procedures governing verification, dispute settlement, cure, and remedy under this Agreement.”</w:t>
      </w:r>
    </w:p>
    <w:p>
      <w:bookmarkStart w:id="1021" w:name="_NAESTMA_TOC_1021"/>
      <w:pPr>
        <w:pStyle w:val="Heading2"/>
        <w:keepNext/>
        <w:widowControl/>
        <w:rPr/>
      </w:pPr>
      <w:r>
        <w:rPr/>
        <w:t>Article 1.C: Distinction Between Political Commitments and Legal Obligations</w:t>
      </w:r>
      <w:bookmarkEnd w:id="1021"/>
    </w:p>
    <w:p>
      <w:pPr>
        <w:pStyle w:val="Normal"/>
        <w:widowControl/>
        <w:rPr/>
      </w:pPr>
      <w:r>
        <w:rPr/>
        <w:t>1. Political declarations, joint statements, negotiating summaries, memoranda of understanding, letters of intent, and other instruments expressly identified as non-binding do not constitute obligations under this Agreement unless incorporated into binding legal text or a binding side instrument in accordance with the applicable constitutional and treaty procedures of each Party.</w:t>
      </w:r>
    </w:p>
    <w:p>
      <w:pPr>
        <w:pStyle w:val="Normal"/>
        <w:widowControl/>
        <w:rPr/>
      </w:pPr>
      <w:r>
        <w:rPr/>
        <w:t>2. No Party may rely solely on an unincorporated political commitment as the legal basis for alleging breach of this Agreement or for imposing a covered border measure.</w:t>
      </w:r>
    </w:p>
    <w:p>
      <w:pPr>
        <w:pStyle w:val="Normal"/>
        <w:widowControl/>
        <w:rPr/>
      </w:pPr>
      <w:r>
        <w:rPr/>
        <w:t>3. Failure to implement a non-binding political commitment does not constitute breach of this Agreement and is not independently subject to dispute settlement.</w:t>
      </w:r>
    </w:p>
    <w:p>
      <w:pPr>
        <w:pStyle w:val="Normal"/>
        <w:widowControl/>
        <w:rPr/>
      </w:pPr>
      <w:r>
        <w:rPr/>
        <w:t>4. Nothing in this Article prevents the Parties from giving provisional or interim legal effect to specified commitments through a written instrument that expressly states its binding status, duration, scope, and termination procedure.</w:t>
      </w:r>
      <w:r>
        <w:br w:type="page"/>
      </w:r>
    </w:p>
    <w:p>
      <w:bookmarkStart w:id="1022" w:name="_NAESTMA_TOC_1022"/>
      <w:pPr>
        <w:pStyle w:val="Heading1"/>
        <w:keepNext/>
        <w:keepLines w:val="0"/>
        <w:pageBreakBefore/>
        <w:widowControl/>
        <w:rPr/>
      </w:pPr>
      <w:bookmarkStart w:id="7" w:name="_Toc237912480"/>
      <w:r>
        <w:rPr/>
        <w:t>CHAPTER 2 NATIONAL TREATMENT AND MARKET ACCESS FOR GOODS</w:t>
      </w:r>
      <w:bookmarkEnd w:id="7"/>
      <w:bookmarkEnd w:id="1022"/>
    </w:p>
    <w:p>
      <w:pPr>
        <w:widowControl/>
      </w:pPr>
      <w:r>
        <w:rPr>
          <w:b/>
        </w:rPr>
        <w:t>Article 2.1: Definitions</w:t>
      </w:r>
    </w:p>
    <w:p>
      <w:pPr>
        <w:widowControl/>
      </w:pPr>
      <w:r>
        <w:rPr>
          <w:b w:val="0"/>
        </w:rPr>
        <w:t>For the purposes of this Chapter:</w:t>
      </w:r>
    </w:p>
    <w:tbl>
      <w:tblPr>
        <w:tblStyle w:val="TableGrid"/>
        <w:tblW w:type="auto" w:w="0"/>
        <w:jc w:val="center"/>
        <w:tblLayout w:type="autofit"/>
        <w:tblLook w:firstColumn="1" w:firstRow="1" w:lastColumn="0" w:lastRow="0" w:noHBand="0" w:noVBand="1" w:val="04A0"/>
      </w:tblPr>
      <w:tblGrid>
        <w:gridCol w:w="4680"/>
        <w:gridCol w:w="4680"/>
      </w:tblGrid>
      <w:tr>
        <w:trPr>
          <w:tblHeader w:val="true"/>
          <w:cantSplit/>
          <w:tblHeader w:val="true"/>
        </w:trPr>
        <w:tc>
          <w:tcPr>
            <w:tcW w:type="dxa" w:w="4680"/>
            <w:shd w:fill="233746"/>
          </w:tcPr>
          <w:p>
            <w:pPr>
              <w:spacing w:after="0"/>
            </w:pPr>
            <w:r>
              <w:rPr>
                <w:rFonts w:ascii="Arial" w:hAnsi="Arial"/>
                <w:b/>
                <w:color w:val="FFFFFF"/>
                <w:sz w:val="17"/>
              </w:rPr>
              <w:t>Term</w:t>
            </w:r>
          </w:p>
        </w:tc>
        <w:tc>
          <w:tcPr>
            <w:tcW w:type="dxa" w:w="4680"/>
            <w:shd w:fill="233746"/>
          </w:tcPr>
          <w:p>
            <w:pPr>
              <w:spacing w:after="0"/>
            </w:pPr>
            <w:r>
              <w:rPr>
                <w:rFonts w:ascii="Arial" w:hAnsi="Arial"/>
                <w:b/>
                <w:color w:val="FFFFFF"/>
                <w:sz w:val="17"/>
              </w:rPr>
              <w:t>Definition</w:t>
            </w:r>
          </w:p>
        </w:tc>
      </w:tr>
      <w:tr>
        <w:trPr>
          <w:cantSplit/>
        </w:trPr>
        <w:tc>
          <w:tcPr>
            <w:tcW w:type="dxa" w:w="4680"/>
            <w:tcMar>
              <w:top w:w="70" w:type="dxa"/>
              <w:start w:w="110" w:type="dxa"/>
              <w:bottom w:w="70" w:type="dxa"/>
              <w:end w:w="110" w:type="dxa"/>
            </w:tcMar>
          </w:tcPr>
          <w:p>
            <w:pPr>
              <w:widowControl/>
              <w:spacing w:after="0"/>
            </w:pPr>
            <w:r>
              <w:rPr>
                <w:rFonts w:ascii="Arial" w:hAnsi="Arial"/>
                <w:sz w:val="17"/>
              </w:rPr>
              <w:t>advertising films and recordings</w:t>
            </w:r>
          </w:p>
        </w:tc>
        <w:tc>
          <w:tcPr>
            <w:tcW w:type="dxa" w:w="4680"/>
            <w:tcMar>
              <w:top w:w="70" w:type="dxa"/>
              <w:start w:w="110" w:type="dxa"/>
              <w:bottom w:w="70" w:type="dxa"/>
              <w:end w:w="110" w:type="dxa"/>
            </w:tcMar>
          </w:tcPr>
          <w:p>
            <w:pPr>
              <w:widowControl/>
              <w:spacing w:after="0"/>
            </w:pPr>
            <w:r>
              <w:rPr>
                <w:rFonts w:ascii="Arial" w:hAnsi="Arial"/>
                <w:sz w:val="17"/>
              </w:rPr>
              <w:t>recorded visual media or audio materials that exhibit for prospective customers the nature or operation of goods or services offered for sale or lease by a person established or resident in the territory of a Party, provided that the films and recordings are not for broadcast to the general public</w:t>
            </w:r>
          </w:p>
        </w:tc>
      </w:tr>
      <w:tr>
        <w:trPr>
          <w:cantSplit/>
        </w:trPr>
        <w:tc>
          <w:tcPr>
            <w:tcW w:type="dxa" w:w="4680"/>
            <w:tcMar>
              <w:top w:w="70" w:type="dxa"/>
              <w:start w:w="110" w:type="dxa"/>
              <w:bottom w:w="70" w:type="dxa"/>
              <w:end w:w="110" w:type="dxa"/>
            </w:tcMar>
            <w:shd w:fill="F4F6F7"/>
          </w:tcPr>
          <w:p>
            <w:pPr>
              <w:widowControl/>
              <w:spacing w:after="0"/>
            </w:pPr>
            <w:r>
              <w:rPr>
                <w:rFonts w:ascii="Arial" w:hAnsi="Arial"/>
                <w:sz w:val="17"/>
              </w:rPr>
              <w:t>commercial samples of negligible value</w:t>
            </w:r>
          </w:p>
        </w:tc>
        <w:tc>
          <w:tcPr>
            <w:tcW w:type="dxa" w:w="4680"/>
            <w:tcMar>
              <w:top w:w="70" w:type="dxa"/>
              <w:start w:w="110" w:type="dxa"/>
              <w:bottom w:w="70" w:type="dxa"/>
              <w:end w:w="110" w:type="dxa"/>
            </w:tcMar>
            <w:shd w:fill="F4F6F7"/>
          </w:tcPr>
          <w:p>
            <w:pPr>
              <w:widowControl/>
              <w:spacing w:after="0"/>
            </w:pPr>
            <w:r>
              <w:rPr>
                <w:rFonts w:ascii="Arial" w:hAnsi="Arial"/>
                <w:sz w:val="17"/>
              </w:rPr>
              <w:t>commercial samples having a value, individually or in the aggregate as shipped, of not more than one U.S. dollar, or the equivalent amount in the currency of another Party, or so marked, torn, perforated, or otherwise treated that they are unsuitable for sale or use except as commercial samples</w:t>
            </w:r>
          </w:p>
        </w:tc>
      </w:tr>
      <w:tr>
        <w:trPr>
          <w:cantSplit/>
        </w:trPr>
        <w:tc>
          <w:tcPr>
            <w:tcW w:type="dxa" w:w="4680"/>
            <w:tcMar>
              <w:top w:w="70" w:type="dxa"/>
              <w:start w:w="110" w:type="dxa"/>
              <w:bottom w:w="70" w:type="dxa"/>
              <w:end w:w="110" w:type="dxa"/>
            </w:tcMar>
          </w:tcPr>
          <w:p>
            <w:pPr>
              <w:widowControl/>
              <w:spacing w:after="0"/>
            </w:pPr>
            <w:r>
              <w:rPr>
                <w:rFonts w:ascii="Arial" w:hAnsi="Arial"/>
                <w:sz w:val="17"/>
              </w:rPr>
              <w:t>consular transactions</w:t>
            </w:r>
          </w:p>
        </w:tc>
        <w:tc>
          <w:tcPr>
            <w:tcW w:type="dxa" w:w="4680"/>
            <w:tcMar>
              <w:top w:w="70" w:type="dxa"/>
              <w:start w:w="110" w:type="dxa"/>
              <w:bottom w:w="70" w:type="dxa"/>
              <w:end w:w="110" w:type="dxa"/>
            </w:tcMar>
          </w:tcPr>
          <w:p>
            <w:pPr>
              <w:widowControl/>
              <w:spacing w:after="0"/>
            </w:pPr>
            <w:r>
              <w:rPr>
                <w:rFonts w:ascii="Arial" w:hAnsi="Arial"/>
                <w:sz w:val="17"/>
              </w:rPr>
              <w:t>requirements that goods of a Party intended for export to the territory of another Party must first be submitted to the supervision of the consul of the importing Party in the territory of the exporting Party, or in the territory of a non-Party, for the purpose of obtaining a consular invoice or a consular visa for a commercial invoice, certificate of origin, manifest, shipper’s export declaration, or any other customs documentation in connection with the importation of the good</w:t>
            </w:r>
          </w:p>
        </w:tc>
      </w:tr>
      <w:tr>
        <w:trPr>
          <w:cantSplit/>
        </w:trPr>
        <w:tc>
          <w:tcPr>
            <w:tcW w:type="dxa" w:w="4680"/>
            <w:tcMar>
              <w:top w:w="70" w:type="dxa"/>
              <w:start w:w="110" w:type="dxa"/>
              <w:bottom w:w="70" w:type="dxa"/>
              <w:end w:w="110" w:type="dxa"/>
            </w:tcMar>
            <w:shd w:fill="F4F6F7"/>
          </w:tcPr>
          <w:p>
            <w:pPr>
              <w:widowControl/>
              <w:spacing w:after="0"/>
            </w:pPr>
            <w:r>
              <w:rPr>
                <w:rFonts w:ascii="Arial" w:hAnsi="Arial"/>
                <w:sz w:val="17"/>
              </w:rPr>
              <w:t>consumed</w:t>
            </w:r>
          </w:p>
        </w:tc>
        <w:tc>
          <w:tcPr>
            <w:tcW w:type="dxa" w:w="4680"/>
            <w:tcMar>
              <w:top w:w="70" w:type="dxa"/>
              <w:start w:w="110" w:type="dxa"/>
              <w:bottom w:w="70" w:type="dxa"/>
              <w:end w:w="110" w:type="dxa"/>
            </w:tcMar>
            <w:shd w:fill="F4F6F7"/>
          </w:tcPr>
          <w:p>
            <w:pPr>
              <w:widowControl/>
              <w:spacing w:after="0"/>
            </w:pPr>
            <w:r>
              <w:rPr>
                <w:rFonts w:ascii="Arial" w:hAnsi="Arial"/>
                <w:sz w:val="17"/>
              </w:rPr>
              <w:t>(a) actually consumed; or (b) further processed or manufactured so as to result in a substantial change in the value, form, or use of the good or in the production of another good</w:t>
            </w:r>
          </w:p>
        </w:tc>
      </w:tr>
      <w:tr>
        <w:trPr>
          <w:cantSplit/>
        </w:trPr>
        <w:tc>
          <w:tcPr>
            <w:tcW w:type="dxa" w:w="4680"/>
            <w:tcMar>
              <w:top w:w="70" w:type="dxa"/>
              <w:start w:w="110" w:type="dxa"/>
              <w:bottom w:w="70" w:type="dxa"/>
              <w:end w:w="110" w:type="dxa"/>
            </w:tcMar>
          </w:tcPr>
          <w:p>
            <w:pPr>
              <w:widowControl/>
              <w:spacing w:after="0"/>
            </w:pPr>
            <w:r>
              <w:rPr>
                <w:rFonts w:ascii="Arial" w:hAnsi="Arial"/>
                <w:sz w:val="17"/>
              </w:rPr>
              <w:t>customs duty</w:t>
            </w:r>
          </w:p>
        </w:tc>
        <w:tc>
          <w:tcPr>
            <w:tcW w:type="dxa" w:w="4680"/>
            <w:tcMar>
              <w:top w:w="70" w:type="dxa"/>
              <w:start w:w="110" w:type="dxa"/>
              <w:bottom w:w="70" w:type="dxa"/>
              <w:end w:w="110" w:type="dxa"/>
            </w:tcMar>
          </w:tcPr>
          <w:p>
            <w:pPr>
              <w:widowControl/>
              <w:spacing w:after="0"/>
            </w:pPr>
            <w:r>
              <w:rPr>
                <w:rFonts w:ascii="Arial" w:hAnsi="Arial"/>
                <w:sz w:val="17"/>
              </w:rPr>
              <w:t>includes a duty or charge of any kind imposed on or in connection with the importation of a good, and any surtax or surcharge imposed in connection with such importation, but does not include any: (a) charge equivalent to an internal tax imposed consistently with Article III:2 of the GATT 1994; (b) fee or other charge in connection with the importation commensurate with the cost of the services rendered; (c) anti-dumping or countervailing duty; and (d) premium offered or collected on an imported good arising out of any tendering system in respect of the administration of quantitative import restrictions, tariff rate quotas, or tariff preference levels</w:t>
            </w:r>
          </w:p>
        </w:tc>
      </w:tr>
      <w:tr>
        <w:trPr>
          <w:cantSplit/>
        </w:trPr>
        <w:tc>
          <w:tcPr>
            <w:tcW w:type="dxa" w:w="4680"/>
            <w:tcMar>
              <w:top w:w="70" w:type="dxa"/>
              <w:start w:w="110" w:type="dxa"/>
              <w:bottom w:w="70" w:type="dxa"/>
              <w:end w:w="110" w:type="dxa"/>
            </w:tcMar>
            <w:shd w:fill="F4F6F7"/>
          </w:tcPr>
          <w:p>
            <w:pPr>
              <w:widowControl/>
              <w:spacing w:after="0"/>
            </w:pPr>
            <w:r>
              <w:rPr>
                <w:rFonts w:ascii="Arial" w:hAnsi="Arial"/>
                <w:sz w:val="17"/>
              </w:rPr>
              <w:t>distributor</w:t>
            </w:r>
          </w:p>
        </w:tc>
        <w:tc>
          <w:tcPr>
            <w:tcW w:type="dxa" w:w="4680"/>
            <w:tcMar>
              <w:top w:w="70" w:type="dxa"/>
              <w:start w:w="110" w:type="dxa"/>
              <w:bottom w:w="70" w:type="dxa"/>
              <w:end w:w="110" w:type="dxa"/>
            </w:tcMar>
            <w:shd w:fill="F4F6F7"/>
          </w:tcPr>
          <w:p>
            <w:pPr>
              <w:widowControl/>
              <w:spacing w:after="0"/>
            </w:pPr>
            <w:r>
              <w:rPr>
                <w:rFonts w:ascii="Arial" w:hAnsi="Arial"/>
                <w:sz w:val="17"/>
              </w:rPr>
              <w:t>a person of a Party who is responsible for the commercial distribution, agency, concession, or representation in the territory of the Party of goods of another Party</w:t>
            </w:r>
          </w:p>
        </w:tc>
      </w:tr>
      <w:tr>
        <w:trPr>
          <w:cantSplit/>
        </w:trPr>
        <w:tc>
          <w:tcPr>
            <w:tcW w:type="dxa" w:w="4680"/>
            <w:tcMar>
              <w:top w:w="70" w:type="dxa"/>
              <w:start w:w="110" w:type="dxa"/>
              <w:bottom w:w="70" w:type="dxa"/>
              <w:end w:w="110" w:type="dxa"/>
            </w:tcMar>
          </w:tcPr>
          <w:p>
            <w:pPr>
              <w:widowControl/>
              <w:spacing w:after="0"/>
            </w:pPr>
            <w:r>
              <w:rPr>
                <w:rFonts w:ascii="Arial" w:hAnsi="Arial"/>
                <w:sz w:val="17"/>
              </w:rPr>
              <w:t>duty deferral program</w:t>
            </w:r>
          </w:p>
        </w:tc>
        <w:tc>
          <w:tcPr>
            <w:tcW w:type="dxa" w:w="4680"/>
            <w:tcMar>
              <w:top w:w="70" w:type="dxa"/>
              <w:start w:w="110" w:type="dxa"/>
              <w:bottom w:w="70" w:type="dxa"/>
              <w:end w:w="110" w:type="dxa"/>
            </w:tcMar>
          </w:tcPr>
          <w:p>
            <w:pPr>
              <w:widowControl/>
              <w:spacing w:after="0"/>
            </w:pPr>
            <w:r>
              <w:rPr>
                <w:rFonts w:ascii="Arial" w:hAnsi="Arial"/>
                <w:sz w:val="17"/>
              </w:rPr>
              <w:t>includes measures such as those governing foreign trade zones, temporary importations under bond, bonded warehouses, “maquiladoras”, and inward processing programs</w:t>
            </w:r>
          </w:p>
        </w:tc>
      </w:tr>
      <w:tr>
        <w:trPr>
          <w:cantSplit/>
        </w:trPr>
        <w:tc>
          <w:tcPr>
            <w:tcW w:type="dxa" w:w="4680"/>
            <w:tcMar>
              <w:top w:w="70" w:type="dxa"/>
              <w:start w:w="110" w:type="dxa"/>
              <w:bottom w:w="70" w:type="dxa"/>
              <w:end w:w="110" w:type="dxa"/>
            </w:tcMar>
            <w:shd w:fill="F4F6F7"/>
          </w:tcPr>
          <w:p>
            <w:pPr>
              <w:widowControl/>
              <w:spacing w:after="0"/>
            </w:pPr>
            <w:r>
              <w:rPr>
                <w:rFonts w:ascii="Arial" w:hAnsi="Arial"/>
                <w:sz w:val="17"/>
              </w:rPr>
              <w:t>duty-free</w:t>
            </w:r>
          </w:p>
        </w:tc>
        <w:tc>
          <w:tcPr>
            <w:tcW w:type="dxa" w:w="4680"/>
            <w:tcMar>
              <w:top w:w="70" w:type="dxa"/>
              <w:start w:w="110" w:type="dxa"/>
              <w:bottom w:w="70" w:type="dxa"/>
              <w:end w:w="110" w:type="dxa"/>
            </w:tcMar>
            <w:shd w:fill="F4F6F7"/>
          </w:tcPr>
          <w:p>
            <w:pPr>
              <w:widowControl/>
              <w:spacing w:after="0"/>
            </w:pPr>
            <w:r>
              <w:rPr>
                <w:rFonts w:ascii="Arial" w:hAnsi="Arial"/>
                <w:sz w:val="17"/>
              </w:rPr>
              <w:t>free of customs duty</w:t>
            </w:r>
          </w:p>
        </w:tc>
      </w:tr>
      <w:tr>
        <w:trPr>
          <w:cantSplit/>
        </w:trPr>
        <w:tc>
          <w:tcPr>
            <w:tcW w:type="dxa" w:w="4680"/>
            <w:tcMar>
              <w:top w:w="70" w:type="dxa"/>
              <w:start w:w="110" w:type="dxa"/>
              <w:bottom w:w="70" w:type="dxa"/>
              <w:end w:w="110" w:type="dxa"/>
            </w:tcMar>
          </w:tcPr>
          <w:p>
            <w:pPr>
              <w:widowControl/>
              <w:spacing w:after="0"/>
            </w:pPr>
            <w:r>
              <w:rPr>
                <w:rFonts w:ascii="Arial" w:hAnsi="Arial"/>
                <w:sz w:val="17"/>
              </w:rPr>
              <w:t>goods admitted for sports purposes</w:t>
            </w:r>
          </w:p>
        </w:tc>
        <w:tc>
          <w:tcPr>
            <w:tcW w:type="dxa" w:w="4680"/>
            <w:tcMar>
              <w:top w:w="70" w:type="dxa"/>
              <w:start w:w="110" w:type="dxa"/>
              <w:bottom w:w="70" w:type="dxa"/>
              <w:end w:w="110" w:type="dxa"/>
            </w:tcMar>
          </w:tcPr>
          <w:p>
            <w:pPr>
              <w:widowControl/>
              <w:spacing w:after="0"/>
            </w:pPr>
            <w:r>
              <w:rPr>
                <w:rFonts w:ascii="Arial" w:hAnsi="Arial"/>
                <w:sz w:val="17"/>
              </w:rPr>
              <w:t>sports requisites admitted into the territory of the importing Party for use in sports contests, demonstrations, or training in the territory of the Party</w:t>
            </w:r>
          </w:p>
        </w:tc>
      </w:tr>
      <w:tr>
        <w:trPr>
          <w:cantSplit/>
        </w:trPr>
        <w:tc>
          <w:tcPr>
            <w:tcW w:type="dxa" w:w="4680"/>
            <w:tcMar>
              <w:top w:w="70" w:type="dxa"/>
              <w:start w:w="110" w:type="dxa"/>
              <w:bottom w:w="70" w:type="dxa"/>
              <w:end w:w="110" w:type="dxa"/>
            </w:tcMar>
            <w:shd w:fill="F4F6F7"/>
          </w:tcPr>
          <w:p>
            <w:pPr>
              <w:widowControl/>
              <w:spacing w:after="0"/>
            </w:pPr>
            <w:r>
              <w:rPr>
                <w:rFonts w:ascii="Arial" w:hAnsi="Arial"/>
                <w:sz w:val="17"/>
              </w:rPr>
              <w:t>import licensing</w:t>
            </w:r>
          </w:p>
        </w:tc>
        <w:tc>
          <w:tcPr>
            <w:tcW w:type="dxa" w:w="4680"/>
            <w:tcMar>
              <w:top w:w="70" w:type="dxa"/>
              <w:start w:w="110" w:type="dxa"/>
              <w:bottom w:w="70" w:type="dxa"/>
              <w:end w:w="110" w:type="dxa"/>
            </w:tcMar>
            <w:shd w:fill="F4F6F7"/>
          </w:tcPr>
          <w:p>
            <w:pPr>
              <w:widowControl/>
              <w:spacing w:after="0"/>
            </w:pPr>
            <w:r>
              <w:rPr>
                <w:rFonts w:ascii="Arial" w:hAnsi="Arial"/>
                <w:sz w:val="17"/>
              </w:rPr>
              <w:t>an administrative procedure requiring the submission of an application or other documentation (other than that generally required for customs clearance purposes) to the relevant administrative body as a prior condition for importation into the territory of the importing Party</w:t>
            </w:r>
          </w:p>
        </w:tc>
      </w:tr>
      <w:tr>
        <w:trPr>
          <w:cantSplit/>
        </w:trPr>
        <w:tc>
          <w:tcPr>
            <w:tcW w:type="dxa" w:w="4680"/>
            <w:tcMar>
              <w:top w:w="70" w:type="dxa"/>
              <w:start w:w="110" w:type="dxa"/>
              <w:bottom w:w="70" w:type="dxa"/>
              <w:end w:w="110" w:type="dxa"/>
            </w:tcMar>
          </w:tcPr>
          <w:p>
            <w:pPr>
              <w:widowControl/>
              <w:spacing w:after="0"/>
            </w:pPr>
            <w:r>
              <w:rPr>
                <w:rFonts w:ascii="Arial" w:hAnsi="Arial"/>
                <w:sz w:val="17"/>
              </w:rPr>
              <w:t>Import Licensing Agreement</w:t>
            </w:r>
          </w:p>
        </w:tc>
        <w:tc>
          <w:tcPr>
            <w:tcW w:type="dxa" w:w="4680"/>
            <w:tcMar>
              <w:top w:w="70" w:type="dxa"/>
              <w:start w:w="110" w:type="dxa"/>
              <w:bottom w:w="70" w:type="dxa"/>
              <w:end w:w="110" w:type="dxa"/>
            </w:tcMar>
          </w:tcPr>
          <w:p>
            <w:pPr>
              <w:widowControl/>
              <w:spacing w:after="0"/>
            </w:pPr>
            <w:r>
              <w:rPr>
                <w:rFonts w:ascii="Arial" w:hAnsi="Arial"/>
                <w:sz w:val="17"/>
              </w:rPr>
              <w:t>the Agreement on Import Licensing Procedures, set out in Annex 1A to the WTO Agreement</w:t>
            </w:r>
          </w:p>
        </w:tc>
      </w:tr>
      <w:tr>
        <w:trPr>
          <w:cantSplit/>
        </w:trPr>
        <w:tc>
          <w:tcPr>
            <w:tcW w:type="dxa" w:w="4680"/>
            <w:tcMar>
              <w:top w:w="70" w:type="dxa"/>
              <w:start w:w="110" w:type="dxa"/>
              <w:bottom w:w="70" w:type="dxa"/>
              <w:end w:w="110" w:type="dxa"/>
            </w:tcMar>
            <w:shd w:fill="F4F6F7"/>
          </w:tcPr>
          <w:p>
            <w:pPr>
              <w:widowControl/>
              <w:spacing w:after="0"/>
            </w:pPr>
            <w:r>
              <w:rPr>
                <w:rFonts w:ascii="Arial" w:hAnsi="Arial"/>
                <w:sz w:val="17"/>
              </w:rPr>
              <w:t>performance requirement</w:t>
            </w:r>
          </w:p>
        </w:tc>
        <w:tc>
          <w:tcPr>
            <w:tcW w:type="dxa" w:w="4680"/>
            <w:tcMar>
              <w:top w:w="70" w:type="dxa"/>
              <w:start w:w="110" w:type="dxa"/>
              <w:bottom w:w="70" w:type="dxa"/>
              <w:end w:w="110" w:type="dxa"/>
            </w:tcMar>
            <w:shd w:fill="F4F6F7"/>
          </w:tcPr>
          <w:p>
            <w:pPr>
              <w:widowControl/>
              <w:spacing w:after="0"/>
            </w:pPr>
            <w:r>
              <w:rPr>
                <w:rFonts w:ascii="Arial" w:hAnsi="Arial"/>
                <w:sz w:val="17"/>
              </w:rPr>
              <w:t>a requirement that: (a) a given level or percentage of goods or services be exported; (b) a domestic good or service of the Party granting a waiver of a custom duty or an import license be substituted for an imported good or service; (c) a person benefitting from a waiver of a custom duty or a grant of an import license, purchase a good or service in the territory of the Party granting the waiver or the import license or accord a preference to a domestically produced good or service; (d) a person benefitting from a waiver of a custom duty or a grant of an import license produce a good or provide a service, in the territory of the Party granting the waiver or import license, with a given level or percentage of domestic content; or (e) relates in any way the volume or value of imports to the volume or value of exports or to the amount of foreign exchange inflows; but does not include a requirement that an imported good be: (f) subsequently exported; (g) used as a material in the production of another good that is subsequently exported; (h) substituted by an identical or similar good used as a material in the production of another good that is subsequently exported; or (i) substituted by an identical or similar good that is subsequently exported</w:t>
            </w:r>
          </w:p>
        </w:tc>
      </w:tr>
      <w:tr>
        <w:trPr>
          <w:cantSplit/>
        </w:trPr>
        <w:tc>
          <w:tcPr>
            <w:tcW w:type="dxa" w:w="4680"/>
            <w:tcMar>
              <w:top w:w="70" w:type="dxa"/>
              <w:start w:w="110" w:type="dxa"/>
              <w:bottom w:w="70" w:type="dxa"/>
              <w:end w:w="110" w:type="dxa"/>
            </w:tcMar>
          </w:tcPr>
          <w:p>
            <w:pPr>
              <w:widowControl/>
              <w:spacing w:after="0"/>
            </w:pPr>
            <w:r>
              <w:rPr>
                <w:rFonts w:ascii="Arial" w:hAnsi="Arial"/>
                <w:sz w:val="17"/>
              </w:rPr>
              <w:t>printed advertising materials</w:t>
            </w:r>
          </w:p>
        </w:tc>
        <w:tc>
          <w:tcPr>
            <w:tcW w:type="dxa" w:w="4680"/>
            <w:tcMar>
              <w:top w:w="70" w:type="dxa"/>
              <w:start w:w="110" w:type="dxa"/>
              <w:bottom w:w="70" w:type="dxa"/>
              <w:end w:w="110" w:type="dxa"/>
            </w:tcMar>
          </w:tcPr>
          <w:p>
            <w:pPr>
              <w:widowControl/>
              <w:spacing w:after="0"/>
            </w:pPr>
            <w:r>
              <w:rPr>
                <w:rFonts w:ascii="Arial" w:hAnsi="Arial"/>
                <w:sz w:val="17"/>
              </w:rPr>
              <w:t>those goods classified in Chapter 49 of the Harmonized System, including brochures, pamphlets, leaflets, trade catalogues, yearbooks published by trade associations, tourist promotional materials, and posters, that are used to promote, publicize, or advertise a good or service, are essentially intended to advertise a good or service, and are supplied free of charge</w:t>
            </w:r>
          </w:p>
        </w:tc>
      </w:tr>
      <w:tr>
        <w:trPr>
          <w:cantSplit/>
        </w:trPr>
        <w:tc>
          <w:tcPr>
            <w:tcW w:type="dxa" w:w="4680"/>
            <w:tcMar>
              <w:top w:w="70" w:type="dxa"/>
              <w:start w:w="110" w:type="dxa"/>
              <w:bottom w:w="70" w:type="dxa"/>
              <w:end w:w="110" w:type="dxa"/>
            </w:tcMar>
            <w:shd w:fill="F4F6F7"/>
          </w:tcPr>
          <w:p>
            <w:pPr>
              <w:widowControl/>
              <w:spacing w:after="0"/>
            </w:pPr>
            <w:r>
              <w:rPr>
                <w:rFonts w:ascii="Arial" w:hAnsi="Arial"/>
                <w:sz w:val="17"/>
              </w:rPr>
              <w:t>satisfactory evidence</w:t>
            </w:r>
          </w:p>
        </w:tc>
        <w:tc>
          <w:tcPr>
            <w:tcW w:type="dxa" w:w="4680"/>
            <w:tcMar>
              <w:top w:w="70" w:type="dxa"/>
              <w:start w:w="110" w:type="dxa"/>
              <w:bottom w:w="70" w:type="dxa"/>
              <w:end w:w="110" w:type="dxa"/>
            </w:tcMar>
            <w:shd w:fill="F4F6F7"/>
          </w:tcPr>
          <w:p>
            <w:pPr>
              <w:widowControl/>
              <w:spacing w:after="0"/>
            </w:pPr>
            <w:r>
              <w:rPr>
                <w:rFonts w:ascii="Arial" w:hAnsi="Arial"/>
                <w:sz w:val="17"/>
              </w:rPr>
              <w:t>(a) a receipt, or a copy of a receipt, evidencing payment of a customs duty on a particular entry; (b) a copy of the entry document with evidence that it was received by a customs administration; (c) a copy of a final customs duty determination by a customs administration respecting the relevant entry; or (d) any other evidence of payment of a customs duty acceptable under the Uniform Regulations</w:t>
            </w:r>
          </w:p>
        </w:tc>
      </w:tr>
      <w:tr>
        <w:trPr>
          <w:cantSplit/>
        </w:trPr>
        <w:tc>
          <w:tcPr>
            <w:tcW w:type="dxa" w:w="4680"/>
            <w:tcMar>
              <w:top w:w="70" w:type="dxa"/>
              <w:start w:w="110" w:type="dxa"/>
              <w:bottom w:w="70" w:type="dxa"/>
              <w:end w:w="110" w:type="dxa"/>
            </w:tcMar>
          </w:tcPr>
          <w:p>
            <w:pPr>
              <w:widowControl/>
              <w:spacing w:after="0"/>
            </w:pPr>
            <w:r>
              <w:rPr>
                <w:rFonts w:ascii="Arial" w:hAnsi="Arial"/>
                <w:sz w:val="17"/>
              </w:rPr>
              <w:t>used vehicle</w:t>
            </w:r>
          </w:p>
        </w:tc>
        <w:tc>
          <w:tcPr>
            <w:tcW w:type="dxa" w:w="4680"/>
            <w:tcMar>
              <w:top w:w="70" w:type="dxa"/>
              <w:start w:w="110" w:type="dxa"/>
              <w:bottom w:w="70" w:type="dxa"/>
              <w:end w:w="110" w:type="dxa"/>
            </w:tcMar>
          </w:tcPr>
          <w:p>
            <w:pPr>
              <w:widowControl/>
              <w:spacing w:after="0"/>
            </w:pPr>
            <w:r>
              <w:rPr>
                <w:rFonts w:ascii="Arial" w:hAnsi="Arial"/>
                <w:sz w:val="17"/>
              </w:rPr>
              <w:t>an automobile, a truck, a bus, or a special purpose motor vehicle, not including a motorcycle, that: (a) has been sold, leased, or loaned; (b) has been driven for more than: (i) 1,000 kilometers if the vehicle has a gross weight of less than five metric tons, or (ii) 5,000 kilometers if the vehicle has a gross weight of five metric tons or more; or (c) was manufactured prior to the current year and at least 90 days have elapsed since the date of manufacture.</w:t>
            </w:r>
          </w:p>
        </w:tc>
      </w:tr>
    </w:tbl>
    <w:p>
      <w:bookmarkStart w:id="1023" w:name="_NAESTMA_TOC_1023"/>
      <w:pPr>
        <w:pStyle w:val="Heading2"/>
        <w:keepNext/>
        <w:widowControl/>
        <w:rPr/>
      </w:pPr>
      <w:r>
        <w:rPr/>
        <w:t>Article 2.2: Scope</w:t>
      </w:r>
      <w:bookmarkEnd w:id="1023"/>
    </w:p>
    <w:p>
      <w:pPr>
        <w:pStyle w:val="Normal"/>
        <w:widowControl/>
        <w:spacing w:before="0" w:after="0"/>
        <w:rPr/>
      </w:pPr>
      <w:r>
        <w:rPr/>
        <w:t>Except as otherwise provided in this Agreement, this Chapter applies to trade in goods of a Party.</w:t>
      </w:r>
    </w:p>
    <w:p>
      <w:pPr>
        <w:pStyle w:val="Normal"/>
        <w:keepNext w:val="true"/>
        <w:widowControl/>
        <w:rPr/>
      </w:pPr>
      <w:r>
        <w:rPr/>
        <w:t>Article 2.3: National Treatment 1. Each Party shall accord national treatment to the goods of another Party in accordance with Article III of the GATT 1994, including its interpretative notes, and to this end, Article III of the GATT 1994 and its interpretative notes are incorporated into and made part of this Agreement, mutatis mutandis. 2. The treatment to be accorded by a Party under paragraph 1 means, with respect to a regional level of government, treatment no less favorable than the most favorable treatment that regional level of government accords to any like, directly competitive, or substitutable goods, as the case may be, of the Party of which it forms a part. 3. Paragraphs 1 and 2 do not apply to the measures set out in Annex 2-A (Exceptions to Article 2.3 (National Treatment) and Article 2.11 (Import and Export Restrictions)).</w:t>
      </w:r>
    </w:p>
    <w:p>
      <w:pPr>
        <w:pStyle w:val="Normal"/>
        <w:keepNext w:val="true"/>
        <w:widowControl/>
        <w:rPr/>
      </w:pPr>
      <w:r>
        <w:rPr/>
        <w:t>Article 2.4: Treatment of Customs Duties 1. Unless otherwise provided in this Agreement, no Party shall increase any existing customs duty, or adopt any new customs duty, on an originating good. 2. Unless otherwise provided in this Agreement, each Party shall apply a customs duty on an originating good in accordance with its Schedule to Annex 2-B (Tariff Commitments). 3. On the request of a Party, the Parties shall consult to consider accelerating or broadening the scope of the elimination of customs duties set out in their Schedules to Annex 2-B (Tariff Commitments). An agreement between two or more Parties to accelerate or broaden the scope of the elimination of a customs duty on an originating good shall supersede any customs duty rate determined pursuant to those Parties’ Schedules to Annex 2-B (Tariff Commitments) for that good once approved by each Party in accordance with its applicable legal procedures. 4. A Party may at any time unilaterally accelerate the elimination of customs duties set out in its Schedule to Annex 2-B (Tariff Commitments) on originating goods. 5.</w:t>
      </w:r>
    </w:p>
    <w:p>
      <w:pPr>
        <w:pStyle w:val="Normal"/>
        <w:widowControl/>
        <w:rPr/>
      </w:pPr>
      <w:r>
        <w:rPr/>
        <w:t>Annex 2-C (Provisions Between Mexico and the United States on Automotive Goods) contains additional provisions between Mexico and the United States relating to customs duties on automotive goods that are not originating under Chapter 4 (Rules of Origin).</w:t>
      </w:r>
    </w:p>
    <w:p>
      <w:pPr>
        <w:pStyle w:val="Normal"/>
        <w:keepNext w:val="true"/>
        <w:widowControl/>
        <w:rPr/>
      </w:pPr>
      <w:r>
        <w:rPr/>
        <w:t>Article 2.5: Drawback and Duty Deferral Programs 1. Except as otherwise provided in this Article, no Party shall refund the amount of customs duties paid, or waive or reduce the amount of customs duties owed, on a good imported into its territory, on condition that the good is: (a) subsequently exported to the territory of another Party; (b) used as a material in the production of another good that is subsequently exported to the territory of another Party; or (c) substituted by an identical or similar good used as a material in the production of another good that is subsequently exported to the territory of another Party, in an amount that exceeds the lesser of the total amount of customs duties paid or owed on the good on importation into its territory and the total amount of customs duties paid to another Party on the good that has been subsequently exported to the territory of that other Party. 2. No Party shall, on condition of export, refund, waive, or reduce: (a) an antidumping or countervailing duty;</w:t>
      </w:r>
    </w:p>
    <w:p>
      <w:pPr>
        <w:pStyle w:val="Normal"/>
        <w:widowControl/>
        <w:rPr/>
      </w:pPr>
      <w:r>
        <w:rPr/>
        <w:t>(b) a premium offered or collected on an imported good arising out of any tendering system in respect of the administration of quantitative import restrictions, or tariff rate quotas or tariff preference levels; or (c) customs duties paid or owed on a good imported into its territory and substituted by an identical or similar good that is subsequently exported to the territory of another Party. 3.</w:t>
      </w:r>
    </w:p>
    <w:p>
      <w:pPr>
        <w:pStyle w:val="Normal"/>
        <w:widowControl/>
        <w:rPr/>
      </w:pPr>
      <w:r>
        <w:rPr/>
        <w:t>If a good is imported into the territory of a Party pursuant to a duty deferral program and is subsequently exported to the territory of another Party, or is used as a material in the production of another good that is subsequently exported to the territory of another Party, or is substituted by an identical or similar good used as a material in the production of another good that is subsequently exported to the territory of another Party, the Party from whose territory the good is exported: (a) shall assess the customs duty as if the exported good had been withdrawn for domestic consumption; and (b) may waive or reduce such customs duty to the extent permitted under paragraph 1. 4. In determining the amount of a customs duty that may be refunded, waived, or reduced pursuant to paragraph 1 on a good imported into its territory, each Party shall require presentation of satisfactory evidence of the amount of customs duties paid to another Party on the good that has been subsequently exported to the territory of that other Party. 5.</w:t>
      </w:r>
    </w:p>
    <w:p>
      <w:pPr>
        <w:pStyle w:val="Normal"/>
        <w:widowControl/>
        <w:rPr/>
      </w:pPr>
      <w:r>
        <w:rPr/>
        <w:t>If satisfactory evidence of the customs duty paid to the Party to which a good is subsequently exported under a duty deferral program described in paragraph 3 is not presented within 60 days after the date of exportation, the Party from whose territory the good was exported: (a) shall collect the customs duty as if the exported good had been withdrawn for domestic consumption; and (b) may refund such customs duty, to the extent permitted under paragraph 1, on the timely presentation of such evidence under its laws and regulations. 6. This Article does not apply to: (a) a good entered under bond for transportation and exportation to the territory of another Party; (b) a good exported to the territory of another Party in the same condition as when imported into the territory of the Party from which the good was exported.1 If that good has been commingled with fungible goods and exported in the same condition, its origin for purposes of this subparagraph may be determined on the basis of inventory management methods such as first-in, first-out or last-in, first- out.</w:t>
      </w:r>
    </w:p>
    <w:p>
      <w:pPr>
        <w:pStyle w:val="Normal"/>
        <w:widowControl/>
        <w:rPr/>
      </w:pPr>
      <w:r>
        <w:rPr/>
        <w:t>For greater certainty, nothing in this subparagraph shall be construed to permit a Party to waive, refund, or reduce a customs duty contrary to paragraph 2(c); (c) a good imported into the territory of a Party that is deemed to be exported from its territory, is used as a material in the production of another good that is deemed to be exported to the territory of another Party, or is substituted by an identical or similar good used as a material in the production of another good that is deemed to be exported to the territory of another Party, by reason of: * 1 Processes such as testing, cleaning, repacking, inspecting, sorting, or marking a good, or preserving a good in its same condition, shall not be considered to change the good’s condition.</w:t>
      </w:r>
    </w:p>
    <w:p>
      <w:pPr>
        <w:pStyle w:val="Normal"/>
        <w:widowControl/>
        <w:rPr/>
      </w:pPr>
      <w:r>
        <w:rPr/>
        <w:t>(i) delivery to a duty-free shop, (ii) delivery for ship’s stores or supplies for ships or aircraft, or (iii) delivery for use in joint undertakings of two or more of the Parties and that will subsequently become the property of the Party into whose territory the good was deemed to be exported; (d) a refund of customs duties by a Party on a particular good imported into its territory and subsequently exported to the territory of another Party, if that refund is granted by reason of the failure of that good to conform to sample or specification, or by reason of the shipment of that good without the consent of the consignee; (e) an originating good that is imported into the territory of a Party and is subsequently exported to the</w:t>
      </w:r>
    </w:p>
    <w:p>
      <w:pPr>
        <w:pStyle w:val="Normal"/>
        <w:widowControl/>
        <w:rPr/>
      </w:pPr>
      <w:r>
        <w:rPr/>
        <w:t>territory of another Party, or used as a material in the production of another good that is subsequently exported to the territory of another Party, or is substituted by an identical or similar good used as a material in the production of another good that is subsequently exported to the territory of another Party; (f) for exports from the territory of the United States to the territory of Canada or Mexico, goods provided for in U.S. tariff items 1701.13.20 or 1701.14.20 that are imported into the territory of the United States under any re-export program or any like program and used as a material in the production of, or substituted by an identical or similar good used as a material in the production of: (i) a good provided for in Canadian tariff item 1701.99.00 or Mexican tariff items 1701.99.01, 1701.99.02, and 1701.99.99 (refined sugar), or (ii) sugar containing products that are prepared foodstuffs or beverages classified in headings 17.04 and 18.06 or in Chapters 19, 20, 21, or 22; or (g) for trade between Canada and the United States:</w:t>
      </w:r>
    </w:p>
    <w:p>
      <w:pPr>
        <w:pStyle w:val="Normal"/>
        <w:widowControl/>
        <w:rPr/>
      </w:pPr>
      <w:r>
        <w:rPr/>
        <w:t>(i) imported citrus products, (ii) an imported good used as a material in the production of, or substituted by an identical or similar good used as a material in the production of, a good provided for in U.S.</w:t>
      </w:r>
    </w:p>
    <w:p>
      <w:pPr>
        <w:pStyle w:val="Normal"/>
        <w:widowControl/>
        <w:rPr/>
      </w:pPr>
      <w:r>
        <w:rPr/>
        <w:t>tariff items 5811.00.20 (quilted cotton piece goods), 5811.00.30 (quilted man-made piece goods) or 6307.90.99 (furniture moving pads), or Canadian tariff items 5811.00.10 (quilted cotton piece goods), 5811.00.20 (quilted man-made piece goods) or 6307.90.30 (furniture moving pads), that are subject to the most-favored-nation rate of duty when exported to the territory of the other Party, and (iii) an imported good used as a material in the production of apparel that is subject to the most-favored-nation rate of duty when exported to the territory of the other Party. 7. For the purposes of this Article: identical or similar goods means “identical goods” and “similar goods,” respectively, as defined in the Customs Valuation Agreement, or as otherwise provided for under the law of the importing Party; material means “material” as defined in Article 4.1 (Definitions); used means “used” as defined in Article 4.1 (Definitions). 8. If a good referred to by a tariff item number in this Article is described in parentheses following the tariff item number, the description is provided for purposes of reference only.</w:t>
      </w:r>
    </w:p>
    <w:p>
      <w:pPr>
        <w:pStyle w:val="Normal"/>
        <w:keepNext w:val="true"/>
        <w:widowControl/>
        <w:rPr/>
      </w:pPr>
      <w:r>
        <w:rPr/>
        <w:t>Article 2.6: Waiver of Customs Duties No Party shall adopt or maintain any waiver of a customs duty if the waiver is conditioned, explicitly or implicitly, on the fulfillment of a performance requirement.</w:t>
      </w:r>
    </w:p>
    <w:p>
      <w:pPr>
        <w:pStyle w:val="Normal"/>
        <w:keepNext w:val="true"/>
        <w:widowControl/>
        <w:rPr/>
      </w:pPr>
      <w:r>
        <w:rPr/>
        <w:t>Article 2.7: Temporary Admission of Goods 1. Each Party shall grant duty-free temporary admission for: (a) professional equipment, including equipment for the press or television, software, and broadcasting and cinematographic equipment, that is necessary for carrying out the business activity, trade, or profession of a person who qualifies for temporary entry in accordance with the law of the importing Party; (b) a good intended for display or demonstration, including its component parts, ancillary apparatus and accessories; (c) commercial samples and advertising films and recordings; and (d) a good admitted for sports purposes, admitted from the territory of another Party, regardless of their origin and regardless of whether like, directly competitive, or substitutable goods are available in the territory of the Party. 2.</w:t>
      </w:r>
    </w:p>
    <w:p>
      <w:pPr>
        <w:pStyle w:val="Normal"/>
        <w:widowControl/>
        <w:rPr/>
      </w:pPr>
      <w:r>
        <w:rPr/>
        <w:t>No Party shall condition the duty-free temporary admission of a good referred to in paragraph 1, other than to require that the good: (a) be imported by a national of another Party who seeks temporary entry; (b) be used solely by or under the personal supervision of a national of another Party in the exercise of the business activity, trade, profession, or sport of that person; (c) not be sold, leased, or, for goods referred to in paragraph 1(c), not be put to any use other than exhibition or demonstration, while in its territory; (d) be accompanied by a security in an amount no greater than 110 percent of the charges that would otherwise be owed on entry or importation, and releasable on exportation of the good except that a bond for customs duties shall not be required for an originating good; (e) be capable of identification when exported;</w:t>
      </w:r>
    </w:p>
    <w:p>
      <w:pPr>
        <w:pStyle w:val="Normal"/>
        <w:widowControl/>
        <w:rPr/>
      </w:pPr>
      <w:r>
        <w:rPr/>
        <w:t>(f) be exported on the departure of the person referenced in subparagraph (a), or within any other period reasonably related to the purpose of the temporary admission as the Party may establish, unless extended; (g) be admitted in no greater quantity than is reasonable for its intended use; and (h) be otherwise admissible into the Party’s territory under its law. 3. Subject to its law, each Party shall extend the time limit for temporary admission beyond the period initially fixed at the request of the person concerned. 4.</w:t>
      </w:r>
    </w:p>
    <w:p>
      <w:pPr>
        <w:pStyle w:val="Normal"/>
        <w:widowControl/>
        <w:rPr/>
      </w:pPr>
      <w:r>
        <w:rPr/>
        <w:t>Each Party shall adopt or maintain procedures providing for the expeditious release of a good admitted under this Article. To the extent possible, those procedures must provide that when such a good accompanies a national of another Party who is seeking temporary entry, the good shall be released simultaneously with the entry of that national. 5. Each Party shall permit a good temporarily admitted under this Article to be exported through a customs port other than the port through which it was admitted. 6. Each Party shall provide, in accordance with its law, that the person responsible for a good admitted under this Article shall not be liable for failure to export the good upon presentation of proof satisfactory to the Party into whose territory the good was admitted that the good has been destroyed within the original time period fixed for temporary admission or any lawful extension. 7. If any condition that a Party imposes under paragraph 2 has not been fulfilled, the Party may apply the customs duty and any other charge that would normally be owed on entry or importation of the good in addition to any other charges or penalties provided for under its law. 8.</w:t>
      </w:r>
    </w:p>
    <w:p>
      <w:pPr>
        <w:pStyle w:val="Normal"/>
        <w:widowControl/>
        <w:rPr/>
      </w:pPr>
      <w:r>
        <w:rPr/>
        <w:t>Subject to Chapters 14 (Investment) and Chapter 15 (Cross Border Trade in Services): (a) each Party shall allow a vehicle, or shipping container or other substantial holder, that enters its territory from the territory of another Party to exit its territory on any route that is reasonably related to the economic and prompt departure of that vehicle, or shipping container or other substantial holder; (b) no Party shall require any security or impose any penalty or charge solely by reason of any difference between the port of entry and the port of departure of a vehicle, or shipping container or other substantial holder;</w:t>
      </w:r>
    </w:p>
    <w:p>
      <w:pPr>
        <w:pStyle w:val="Normal"/>
        <w:widowControl/>
        <w:rPr/>
      </w:pPr>
      <w:r>
        <w:rPr/>
        <w:t>(c) no Party shall condition the release of any obligation, including any security, that it imposes in respect of the entry of a vehicle, or shipping container or other substantial holder, into its territory on the exit of that vehicle, or shipping container or other substantial holder, through any particular port of departure; and (d) no Party shall require that the vehicle or carrier bringing a shipping container or other substantial holder from the territory of another Party into its territory be the same vehicle or carrier that takes that shipping container or other substantial holder to the territory of another Party. 9. For the purposes of paragraph 8, vehicle means a truck, a truck tractor, a tractor, a trailer unit or trailer, a locomotive, or a railway car or other railroad equipment, if used in international traffic. 10.</w:t>
      </w:r>
    </w:p>
    <w:p>
      <w:pPr>
        <w:pStyle w:val="Normal"/>
        <w:widowControl/>
        <w:rPr/>
      </w:pPr>
      <w:r>
        <w:rPr/>
        <w:t>Each Party shall adopt or maintain procedures allowing for the arrival and release from customs custody, such as through a procedure that provides for temporary admission as set forth in this Article, of a shipping container or other substantial holder being used or to be used in the shipment of goods in international traffic, whether arriving full or empty and of any size, volume, or dimension, with relief from custom duties and allowing it to remain within its territory for at least 90 consecutive days. 11. Each Party shall, in accordance with its laws, regulations, and procedures, extend the timeframe for temporary admission of a shipping container or other substantial holder beyond the period initially fixed at the request of the person concerned. 12. A Party may require that a shipping container or other substantial holder be registered with the customs authority the first time it arrives in its territory, as a condition for the treatment described in paragraphs 10 and 11. 13.</w:t>
      </w:r>
    </w:p>
    <w:p>
      <w:pPr>
        <w:pStyle w:val="Normal"/>
        <w:widowControl/>
        <w:rPr/>
      </w:pPr>
      <w:r>
        <w:rPr/>
        <w:t>Each Party shall include in the treatment of any shipping container or other substantial holder that has an internal volume of one cubic meter or more, the accessories or equipment accompanying it as defined by the importing Party. 14.</w:t>
      </w:r>
    </w:p>
    <w:p>
      <w:pPr>
        <w:pStyle w:val="Normal"/>
        <w:widowControl/>
        <w:rPr/>
      </w:pPr>
      <w:r>
        <w:rPr/>
        <w:t>For the purposes of paragraph 8 and paragraphs 10 through 13, a “shipping container or other substantial holder” includes any container or holder, whether collapsible or not, that is constructed of a sturdy material capable of repeated use, and is used in the shipment of goods in international traffic.</w:t>
      </w:r>
    </w:p>
    <w:p>
      <w:pPr>
        <w:pStyle w:val="Normal"/>
        <w:keepNext w:val="true"/>
        <w:widowControl/>
        <w:rPr/>
      </w:pPr>
      <w:r>
        <w:rPr/>
        <w:t>Article 2.8: Goods Re-Entered after Repair or Alteration 1. No Party shall apply a customs duty to a good, regardless of its origin, that re-enters its territory after that good has been temporarily exported from its territory to the territory of another Party for repair or alteration, regardless of whether that repair or alteration could have been performed in the territory of the Party from which the good was exported for repair or alteration or has increased the value of the good. 2. Paragraph 1 does not apply to a good imported under a duty deferral program that is exported for repair or alteration and is not re-imported under a duty deferral program. 3. Notwithstanding Article 2.5 (Drawback and Duty Deferral Programs), no Party shall apply a customs duty to a good, regardless of its origin, admitted temporarily from the territory of another Party for repair or alteration. 4. For the purposes of this Article, repair or alteration does not include an operation or process that: (a) destroys a good’s essential characteristics or creates a new or commercially different good; or (b) transforms an unfinished good into a finished good.</w:t>
      </w:r>
    </w:p>
    <w:p>
      <w:pPr>
        <w:pStyle w:val="Normal"/>
        <w:keepNext w:val="true"/>
        <w:widowControl/>
        <w:rPr/>
      </w:pPr>
      <w:r>
        <w:rPr/>
        <w:t>Article 2.9: Duty-Free Entry of Commercial Samples of Negligible Value and Printed Advertising Materials No Party shall apply a customs duty to commercial samples of negligible value or to printed advertising materials imported from the territory of another Party, regardless of their origin, but a Party may require that: (a) the samples be imported solely for the solicitation of orders for goods, or services provided from the territory, of another Party or a non-Party; or (b) the advertising materials be imported in packets that each contain no more than one copy of each such material and that neither the materials nor the packets form part of a larger consignment.</w:t>
      </w:r>
    </w:p>
    <w:p>
      <w:pPr>
        <w:widowControl/>
      </w:pPr>
      <w:r>
        <w:rPr>
          <w:b w:val="0"/>
        </w:rPr>
        <w:t>Article 2.10: Most-Favored-Nation Rates of Duty on Certain Goods</w:t>
        <w:br/>
        <w:t>1. Each Party shall accord most-favored-nation duty-free treatment to a good provided for under the tariff provisions set out in Tables 2.10.1, 2.10.2, and 2.10.3.</w:t>
        <w:br/>
        <w:t>2. Notwithstanding Chapter 4 (Rules of Origin), each Party shall consider a good set out in Table 2.10.1, if imported into its territory from the territory of another Party, to be an originating good.</w:t>
      </w:r>
    </w:p>
    <w:p>
      <w:pPr>
        <w:widowControl/>
      </w:pPr>
      <w:r>
        <w:rPr>
          <w:b/>
        </w:rPr>
        <w:t>Table 2.10.1</w:t>
      </w:r>
    </w:p>
    <w:tbl>
      <w:tblPr>
        <w:tblStyle w:val="TableGrid"/>
        <w:tblW w:type="auto" w:w="0"/>
        <w:jc w:val="center"/>
        <w:tblLayout w:type="autofit"/>
        <w:tblLook w:firstColumn="1" w:firstRow="1" w:lastColumn="0" w:lastRow="0" w:noHBand="0" w:noVBand="1" w:val="04A0"/>
      </w:tblPr>
      <w:tblGrid>
        <w:gridCol w:w="2340"/>
        <w:gridCol w:w="2340"/>
        <w:gridCol w:w="2340"/>
        <w:gridCol w:w="2340"/>
      </w:tblGrid>
      <w:tr>
        <w:trPr>
          <w:tblHeader w:val="true"/>
          <w:cantSplit/>
          <w:tblHeader w:val="true"/>
        </w:trPr>
        <w:tc>
          <w:tcPr>
            <w:tcW w:type="dxa" w:w="2340"/>
            <w:shd w:fill="233746"/>
          </w:tcPr>
          <w:p>
            <w:pPr>
              <w:spacing w:after="0"/>
            </w:pPr>
            <w:r>
              <w:rPr>
                <w:rFonts w:ascii="Arial" w:hAnsi="Arial"/>
                <w:b/>
                <w:color w:val="FFFFFF"/>
                <w:sz w:val="17"/>
              </w:rPr>
              <w:t>Category</w:t>
            </w:r>
          </w:p>
        </w:tc>
        <w:tc>
          <w:tcPr>
            <w:tcW w:type="dxa" w:w="2340"/>
            <w:shd w:fill="233746"/>
          </w:tcPr>
          <w:p>
            <w:pPr>
              <w:spacing w:after="0"/>
            </w:pPr>
            <w:r>
              <w:rPr>
                <w:rFonts w:ascii="Arial" w:hAnsi="Arial"/>
                <w:b/>
                <w:color w:val="FFFFFF"/>
                <w:sz w:val="17"/>
              </w:rPr>
              <w:t>Party</w:t>
            </w:r>
          </w:p>
        </w:tc>
        <w:tc>
          <w:tcPr>
            <w:tcW w:type="dxa" w:w="2340"/>
            <w:shd w:fill="233746"/>
          </w:tcPr>
          <w:p>
            <w:pPr>
              <w:spacing w:after="0"/>
            </w:pPr>
            <w:r>
              <w:rPr>
                <w:rFonts w:ascii="Arial" w:hAnsi="Arial"/>
                <w:b/>
                <w:color w:val="FFFFFF"/>
                <w:sz w:val="17"/>
              </w:rPr>
              <w:t>Tariff Provision(s)</w:t>
            </w:r>
          </w:p>
        </w:tc>
        <w:tc>
          <w:tcPr>
            <w:tcW w:type="dxa" w:w="2340"/>
            <w:shd w:fill="233746"/>
          </w:tcPr>
          <w:p>
            <w:pPr>
              <w:spacing w:after="0"/>
            </w:pPr>
            <w:r>
              <w:rPr>
                <w:rFonts w:ascii="Arial" w:hAnsi="Arial"/>
                <w:b/>
                <w:color w:val="FFFFFF"/>
                <w:sz w:val="17"/>
              </w:rPr>
              <w:t>Description / Limitation</w:t>
            </w:r>
          </w:p>
        </w:tc>
      </w:tr>
      <w:tr>
        <w:trPr>
          <w:cantSplit/>
        </w:trPr>
        <w:tc>
          <w:tcPr>
            <w:tcW w:type="dxa" w:w="2340"/>
            <w:tcMar>
              <w:top w:w="70" w:type="dxa"/>
              <w:start w:w="110" w:type="dxa"/>
              <w:bottom w:w="70" w:type="dxa"/>
              <w:end w:w="110" w:type="dxa"/>
            </w:tcMar>
          </w:tcPr>
          <w:p>
            <w:pPr>
              <w:widowControl/>
              <w:spacing w:after="0"/>
            </w:pPr>
            <w:r>
              <w:rPr>
                <w:rFonts w:ascii="Arial" w:hAnsi="Arial"/>
                <w:sz w:val="17"/>
              </w:rPr>
              <w:t>A. Automatic Data Processing Machines (ADP)</w:t>
            </w:r>
          </w:p>
        </w:tc>
        <w:tc>
          <w:tcPr>
            <w:tcW w:type="dxa" w:w="2340"/>
            <w:tcMar>
              <w:top w:w="70" w:type="dxa"/>
              <w:start w:w="110" w:type="dxa"/>
              <w:bottom w:w="70" w:type="dxa"/>
              <w:end w:w="110" w:type="dxa"/>
            </w:tcMar>
          </w:tcPr>
          <w:p>
            <w:pPr>
              <w:widowControl/>
              <w:spacing w:after="0"/>
            </w:pPr>
            <w:r>
              <w:rPr>
                <w:rFonts w:ascii="Arial" w:hAnsi="Arial"/>
                <w:sz w:val="17"/>
              </w:rPr>
              <w:t>All Parties</w:t>
            </w:r>
          </w:p>
        </w:tc>
        <w:tc>
          <w:tcPr>
            <w:tcW w:type="dxa" w:w="2340"/>
            <w:tcMar>
              <w:top w:w="70" w:type="dxa"/>
              <w:start w:w="110" w:type="dxa"/>
              <w:bottom w:w="70" w:type="dxa"/>
              <w:end w:w="110" w:type="dxa"/>
            </w:tcMar>
          </w:tcPr>
          <w:p>
            <w:pPr>
              <w:widowControl/>
              <w:spacing w:after="0"/>
            </w:pPr>
            <w:r>
              <w:rPr>
                <w:rFonts w:ascii="Arial" w:hAnsi="Arial"/>
                <w:sz w:val="17"/>
              </w:rPr>
              <w:t>8471.30; 8471.41; 8471.49</w:t>
            </w:r>
          </w:p>
        </w:tc>
        <w:tc>
          <w:tcPr>
            <w:tcW w:type="dxa" w:w="2340"/>
            <w:tcMar>
              <w:top w:w="70" w:type="dxa"/>
              <w:start w:w="110" w:type="dxa"/>
              <w:bottom w:w="70" w:type="dxa"/>
              <w:end w:w="110" w:type="dxa"/>
            </w:tcMar>
          </w:tcPr>
          <w:p>
            <w:pPr>
              <w:widowControl/>
              <w:spacing w:after="0"/>
            </w:pPr>
            <w:r>
              <w:rPr>
                <w:rFonts w:ascii="Arial" w:hAnsi="Arial"/>
                <w:sz w:val="17"/>
              </w:rPr>
            </w:r>
          </w:p>
        </w:tc>
      </w:tr>
      <w:tr>
        <w:trPr>
          <w:cantSplit/>
        </w:trPr>
        <w:tc>
          <w:tcPr>
            <w:tcW w:type="dxa" w:w="2340"/>
            <w:tcMar>
              <w:top w:w="70" w:type="dxa"/>
              <w:start w:w="110" w:type="dxa"/>
              <w:bottom w:w="70" w:type="dxa"/>
              <w:end w:w="110" w:type="dxa"/>
            </w:tcMar>
            <w:shd w:fill="F4F6F7"/>
          </w:tcPr>
          <w:p>
            <w:pPr>
              <w:widowControl/>
              <w:spacing w:after="0"/>
            </w:pPr>
            <w:r>
              <w:rPr>
                <w:rFonts w:ascii="Arial" w:hAnsi="Arial"/>
                <w:sz w:val="17"/>
              </w:rPr>
              <w:t>B. Digital Processing Units</w:t>
            </w:r>
          </w:p>
        </w:tc>
        <w:tc>
          <w:tcPr>
            <w:tcW w:type="dxa" w:w="2340"/>
            <w:tcMar>
              <w:top w:w="70" w:type="dxa"/>
              <w:start w:w="110" w:type="dxa"/>
              <w:bottom w:w="70" w:type="dxa"/>
              <w:end w:w="110" w:type="dxa"/>
            </w:tcMar>
            <w:shd w:fill="F4F6F7"/>
          </w:tcPr>
          <w:p>
            <w:pPr>
              <w:widowControl/>
              <w:spacing w:after="0"/>
            </w:pPr>
            <w:r>
              <w:rPr>
                <w:rFonts w:ascii="Arial" w:hAnsi="Arial"/>
                <w:sz w:val="17"/>
              </w:rPr>
              <w:t>All Parties</w:t>
            </w:r>
          </w:p>
        </w:tc>
        <w:tc>
          <w:tcPr>
            <w:tcW w:type="dxa" w:w="2340"/>
            <w:tcMar>
              <w:top w:w="70" w:type="dxa"/>
              <w:start w:w="110" w:type="dxa"/>
              <w:bottom w:w="70" w:type="dxa"/>
              <w:end w:w="110" w:type="dxa"/>
            </w:tcMar>
            <w:shd w:fill="F4F6F7"/>
          </w:tcPr>
          <w:p>
            <w:pPr>
              <w:widowControl/>
              <w:spacing w:after="0"/>
            </w:pPr>
            <w:r>
              <w:rPr>
                <w:rFonts w:ascii="Arial" w:hAnsi="Arial"/>
                <w:sz w:val="17"/>
              </w:rPr>
              <w:t>8471.50</w:t>
            </w:r>
          </w:p>
        </w:tc>
        <w:tc>
          <w:tcPr>
            <w:tcW w:type="dxa" w:w="2340"/>
            <w:tcMar>
              <w:top w:w="70" w:type="dxa"/>
              <w:start w:w="110" w:type="dxa"/>
              <w:bottom w:w="70" w:type="dxa"/>
              <w:end w:w="110" w:type="dxa"/>
            </w:tcMar>
            <w:shd w:fill="F4F6F7"/>
          </w:tcPr>
          <w:p>
            <w:pPr>
              <w:widowControl/>
              <w:spacing w:after="0"/>
            </w:pPr>
            <w:r>
              <w:rPr>
                <w:rFonts w:ascii="Arial" w:hAnsi="Arial"/>
                <w:sz w:val="17"/>
              </w:rPr>
            </w:r>
          </w:p>
        </w:tc>
      </w:tr>
      <w:tr>
        <w:trPr>
          <w:cantSplit/>
        </w:trPr>
        <w:tc>
          <w:tcPr>
            <w:tcW w:type="dxa" w:w="2340"/>
            <w:tcMar>
              <w:top w:w="70" w:type="dxa"/>
              <w:start w:w="110" w:type="dxa"/>
              <w:bottom w:w="70" w:type="dxa"/>
              <w:end w:w="110" w:type="dxa"/>
            </w:tcMar>
          </w:tcPr>
          <w:p>
            <w:pPr>
              <w:widowControl/>
              <w:spacing w:after="0"/>
            </w:pPr>
            <w:r>
              <w:rPr>
                <w:rFonts w:ascii="Arial" w:hAnsi="Arial"/>
                <w:sz w:val="17"/>
              </w:rPr>
              <w:t>C. Input or Output Units — Combined Input/Output Units</w:t>
            </w:r>
          </w:p>
        </w:tc>
        <w:tc>
          <w:tcPr>
            <w:tcW w:type="dxa" w:w="2340"/>
            <w:tcMar>
              <w:top w:w="70" w:type="dxa"/>
              <w:start w:w="110" w:type="dxa"/>
              <w:bottom w:w="70" w:type="dxa"/>
              <w:end w:w="110" w:type="dxa"/>
            </w:tcMar>
          </w:tcPr>
          <w:p>
            <w:pPr>
              <w:widowControl/>
              <w:spacing w:after="0"/>
            </w:pPr>
            <w:r>
              <w:rPr>
                <w:rFonts w:ascii="Arial" w:hAnsi="Arial"/>
                <w:sz w:val="17"/>
              </w:rPr>
              <w:t>Canada</w:t>
            </w:r>
          </w:p>
        </w:tc>
        <w:tc>
          <w:tcPr>
            <w:tcW w:type="dxa" w:w="2340"/>
            <w:tcMar>
              <w:top w:w="70" w:type="dxa"/>
              <w:start w:w="110" w:type="dxa"/>
              <w:bottom w:w="70" w:type="dxa"/>
              <w:end w:w="110" w:type="dxa"/>
            </w:tcMar>
          </w:tcPr>
          <w:p>
            <w:pPr>
              <w:widowControl/>
              <w:spacing w:after="0"/>
            </w:pPr>
            <w:r>
              <w:rPr>
                <w:rFonts w:ascii="Arial" w:hAnsi="Arial"/>
                <w:sz w:val="17"/>
              </w:rPr>
              <w:t>8471.60.00</w:t>
            </w:r>
          </w:p>
        </w:tc>
        <w:tc>
          <w:tcPr>
            <w:tcW w:type="dxa" w:w="2340"/>
            <w:tcMar>
              <w:top w:w="70" w:type="dxa"/>
              <w:start w:w="110" w:type="dxa"/>
              <w:bottom w:w="70" w:type="dxa"/>
              <w:end w:w="110" w:type="dxa"/>
            </w:tcMar>
          </w:tcPr>
          <w:p>
            <w:pPr>
              <w:widowControl/>
              <w:spacing w:after="0"/>
            </w:pPr>
            <w:r>
              <w:rPr>
                <w:rFonts w:ascii="Arial" w:hAnsi="Arial"/>
                <w:sz w:val="17"/>
              </w:rPr>
            </w:r>
          </w:p>
        </w:tc>
      </w:tr>
      <w:tr>
        <w:trPr>
          <w:cantSplit/>
        </w:trPr>
        <w:tc>
          <w:tcPr>
            <w:tcW w:type="dxa" w:w="2340"/>
            <w:tcMar>
              <w:top w:w="70" w:type="dxa"/>
              <w:start w:w="110" w:type="dxa"/>
              <w:bottom w:w="70" w:type="dxa"/>
              <w:end w:w="110" w:type="dxa"/>
            </w:tcMar>
            <w:shd w:fill="F4F6F7"/>
          </w:tcPr>
          <w:p>
            <w:pPr>
              <w:widowControl/>
              <w:spacing w:after="0"/>
            </w:pPr>
            <w:r>
              <w:rPr>
                <w:rFonts w:ascii="Arial" w:hAnsi="Arial"/>
                <w:sz w:val="17"/>
              </w:rPr>
              <w:t>C. Input or Output Units — Combined Input/Output Units</w:t>
            </w:r>
          </w:p>
        </w:tc>
        <w:tc>
          <w:tcPr>
            <w:tcW w:type="dxa" w:w="2340"/>
            <w:tcMar>
              <w:top w:w="70" w:type="dxa"/>
              <w:start w:w="110" w:type="dxa"/>
              <w:bottom w:w="70" w:type="dxa"/>
              <w:end w:w="110" w:type="dxa"/>
            </w:tcMar>
            <w:shd w:fill="F4F6F7"/>
          </w:tcPr>
          <w:p>
            <w:pPr>
              <w:widowControl/>
              <w:spacing w:after="0"/>
            </w:pPr>
            <w:r>
              <w:rPr>
                <w:rFonts w:ascii="Arial" w:hAnsi="Arial"/>
                <w:sz w:val="17"/>
              </w:rPr>
              <w:t>Mexico</w:t>
            </w:r>
          </w:p>
        </w:tc>
        <w:tc>
          <w:tcPr>
            <w:tcW w:type="dxa" w:w="2340"/>
            <w:tcMar>
              <w:top w:w="70" w:type="dxa"/>
              <w:start w:w="110" w:type="dxa"/>
              <w:bottom w:w="70" w:type="dxa"/>
              <w:end w:w="110" w:type="dxa"/>
            </w:tcMar>
            <w:shd w:fill="F4F6F7"/>
          </w:tcPr>
          <w:p>
            <w:pPr>
              <w:widowControl/>
              <w:spacing w:after="0"/>
            </w:pPr>
            <w:r>
              <w:rPr>
                <w:rFonts w:ascii="Arial" w:hAnsi="Arial"/>
                <w:sz w:val="17"/>
              </w:rPr>
              <w:t>8471.60.02</w:t>
            </w:r>
          </w:p>
        </w:tc>
        <w:tc>
          <w:tcPr>
            <w:tcW w:type="dxa" w:w="2340"/>
            <w:tcMar>
              <w:top w:w="70" w:type="dxa"/>
              <w:start w:w="110" w:type="dxa"/>
              <w:bottom w:w="70" w:type="dxa"/>
              <w:end w:w="110" w:type="dxa"/>
            </w:tcMar>
            <w:shd w:fill="F4F6F7"/>
          </w:tcPr>
          <w:p>
            <w:pPr>
              <w:widowControl/>
              <w:spacing w:after="0"/>
            </w:pPr>
            <w:r>
              <w:rPr>
                <w:rFonts w:ascii="Arial" w:hAnsi="Arial"/>
                <w:sz w:val="17"/>
              </w:rPr>
            </w:r>
          </w:p>
        </w:tc>
      </w:tr>
      <w:tr>
        <w:trPr>
          <w:cantSplit/>
        </w:trPr>
        <w:tc>
          <w:tcPr>
            <w:tcW w:type="dxa" w:w="2340"/>
            <w:tcMar>
              <w:top w:w="70" w:type="dxa"/>
              <w:start w:w="110" w:type="dxa"/>
              <w:bottom w:w="70" w:type="dxa"/>
              <w:end w:w="110" w:type="dxa"/>
            </w:tcMar>
          </w:tcPr>
          <w:p>
            <w:pPr>
              <w:widowControl/>
              <w:spacing w:after="0"/>
            </w:pPr>
            <w:r>
              <w:rPr>
                <w:rFonts w:ascii="Arial" w:hAnsi="Arial"/>
                <w:sz w:val="17"/>
              </w:rPr>
              <w:t>C. Input or Output Units — Combined Input/Output Units</w:t>
            </w:r>
          </w:p>
        </w:tc>
        <w:tc>
          <w:tcPr>
            <w:tcW w:type="dxa" w:w="2340"/>
            <w:tcMar>
              <w:top w:w="70" w:type="dxa"/>
              <w:start w:w="110" w:type="dxa"/>
              <w:bottom w:w="70" w:type="dxa"/>
              <w:end w:w="110" w:type="dxa"/>
            </w:tcMar>
          </w:tcPr>
          <w:p>
            <w:pPr>
              <w:widowControl/>
              <w:spacing w:after="0"/>
            </w:pPr>
            <w:r>
              <w:rPr>
                <w:rFonts w:ascii="Arial" w:hAnsi="Arial"/>
                <w:sz w:val="17"/>
              </w:rPr>
              <w:t>United States</w:t>
            </w:r>
          </w:p>
        </w:tc>
        <w:tc>
          <w:tcPr>
            <w:tcW w:type="dxa" w:w="2340"/>
            <w:tcMar>
              <w:top w:w="70" w:type="dxa"/>
              <w:start w:w="110" w:type="dxa"/>
              <w:bottom w:w="70" w:type="dxa"/>
              <w:end w:w="110" w:type="dxa"/>
            </w:tcMar>
          </w:tcPr>
          <w:p>
            <w:pPr>
              <w:widowControl/>
              <w:spacing w:after="0"/>
            </w:pPr>
            <w:r>
              <w:rPr>
                <w:rFonts w:ascii="Arial" w:hAnsi="Arial"/>
                <w:sz w:val="17"/>
              </w:rPr>
              <w:t>8471.60.10</w:t>
            </w:r>
          </w:p>
        </w:tc>
        <w:tc>
          <w:tcPr>
            <w:tcW w:type="dxa" w:w="2340"/>
            <w:tcMar>
              <w:top w:w="70" w:type="dxa"/>
              <w:start w:w="110" w:type="dxa"/>
              <w:bottom w:w="70" w:type="dxa"/>
              <w:end w:w="110" w:type="dxa"/>
            </w:tcMar>
          </w:tcPr>
          <w:p>
            <w:pPr>
              <w:widowControl/>
              <w:spacing w:after="0"/>
            </w:pPr>
            <w:r>
              <w:rPr>
                <w:rFonts w:ascii="Arial" w:hAnsi="Arial"/>
                <w:sz w:val="17"/>
              </w:rPr>
            </w:r>
          </w:p>
        </w:tc>
      </w:tr>
      <w:tr>
        <w:trPr>
          <w:cantSplit/>
        </w:trPr>
        <w:tc>
          <w:tcPr>
            <w:tcW w:type="dxa" w:w="2340"/>
            <w:tcMar>
              <w:top w:w="70" w:type="dxa"/>
              <w:start w:w="110" w:type="dxa"/>
              <w:bottom w:w="70" w:type="dxa"/>
              <w:end w:w="110" w:type="dxa"/>
            </w:tcMar>
            <w:shd w:fill="F4F6F7"/>
          </w:tcPr>
          <w:p>
            <w:pPr>
              <w:widowControl/>
              <w:spacing w:after="0"/>
            </w:pPr>
            <w:r>
              <w:rPr>
                <w:rFonts w:ascii="Arial" w:hAnsi="Arial"/>
                <w:sz w:val="17"/>
              </w:rPr>
              <w:t>C. Input or Output Units — Display Units</w:t>
            </w:r>
          </w:p>
        </w:tc>
        <w:tc>
          <w:tcPr>
            <w:tcW w:type="dxa" w:w="2340"/>
            <w:tcMar>
              <w:top w:w="70" w:type="dxa"/>
              <w:start w:w="110" w:type="dxa"/>
              <w:bottom w:w="70" w:type="dxa"/>
              <w:end w:w="110" w:type="dxa"/>
            </w:tcMar>
            <w:shd w:fill="F4F6F7"/>
          </w:tcPr>
          <w:p>
            <w:pPr>
              <w:widowControl/>
              <w:spacing w:after="0"/>
            </w:pPr>
            <w:r>
              <w:rPr>
                <w:rFonts w:ascii="Arial" w:hAnsi="Arial"/>
                <w:sz w:val="17"/>
              </w:rPr>
              <w:t>Canada</w:t>
            </w:r>
          </w:p>
        </w:tc>
        <w:tc>
          <w:tcPr>
            <w:tcW w:type="dxa" w:w="2340"/>
            <w:tcMar>
              <w:top w:w="70" w:type="dxa"/>
              <w:start w:w="110" w:type="dxa"/>
              <w:bottom w:w="70" w:type="dxa"/>
              <w:end w:w="110" w:type="dxa"/>
            </w:tcMar>
            <w:shd w:fill="F4F6F7"/>
          </w:tcPr>
          <w:p>
            <w:pPr>
              <w:widowControl/>
              <w:spacing w:after="0"/>
            </w:pPr>
            <w:r>
              <w:rPr>
                <w:rFonts w:ascii="Arial" w:hAnsi="Arial"/>
                <w:sz w:val="17"/>
              </w:rPr>
              <w:t>8528.42.00; 8528.52.00; 8528.62.00</w:t>
            </w:r>
          </w:p>
        </w:tc>
        <w:tc>
          <w:tcPr>
            <w:tcW w:type="dxa" w:w="2340"/>
            <w:tcMar>
              <w:top w:w="70" w:type="dxa"/>
              <w:start w:w="110" w:type="dxa"/>
              <w:bottom w:w="70" w:type="dxa"/>
              <w:end w:w="110" w:type="dxa"/>
            </w:tcMar>
            <w:shd w:fill="F4F6F7"/>
          </w:tcPr>
          <w:p>
            <w:pPr>
              <w:widowControl/>
              <w:spacing w:after="0"/>
            </w:pPr>
            <w:r>
              <w:rPr>
                <w:rFonts w:ascii="Arial" w:hAnsi="Arial"/>
                <w:sz w:val="17"/>
              </w:rPr>
            </w:r>
          </w:p>
        </w:tc>
      </w:tr>
      <w:tr>
        <w:trPr>
          <w:cantSplit/>
        </w:trPr>
        <w:tc>
          <w:tcPr>
            <w:tcW w:type="dxa" w:w="2340"/>
            <w:tcMar>
              <w:top w:w="70" w:type="dxa"/>
              <w:start w:w="110" w:type="dxa"/>
              <w:bottom w:w="70" w:type="dxa"/>
              <w:end w:w="110" w:type="dxa"/>
            </w:tcMar>
          </w:tcPr>
          <w:p>
            <w:pPr>
              <w:widowControl/>
              <w:spacing w:after="0"/>
            </w:pPr>
            <w:r>
              <w:rPr>
                <w:rFonts w:ascii="Arial" w:hAnsi="Arial"/>
                <w:sz w:val="17"/>
              </w:rPr>
              <w:t>C. Input or Output Units — Display Units</w:t>
            </w:r>
          </w:p>
        </w:tc>
        <w:tc>
          <w:tcPr>
            <w:tcW w:type="dxa" w:w="2340"/>
            <w:tcMar>
              <w:top w:w="70" w:type="dxa"/>
              <w:start w:w="110" w:type="dxa"/>
              <w:bottom w:w="70" w:type="dxa"/>
              <w:end w:w="110" w:type="dxa"/>
            </w:tcMar>
          </w:tcPr>
          <w:p>
            <w:pPr>
              <w:widowControl/>
              <w:spacing w:after="0"/>
            </w:pPr>
            <w:r>
              <w:rPr>
                <w:rFonts w:ascii="Arial" w:hAnsi="Arial"/>
                <w:sz w:val="17"/>
              </w:rPr>
              <w:t>Mexico</w:t>
            </w:r>
          </w:p>
        </w:tc>
        <w:tc>
          <w:tcPr>
            <w:tcW w:type="dxa" w:w="2340"/>
            <w:tcMar>
              <w:top w:w="70" w:type="dxa"/>
              <w:start w:w="110" w:type="dxa"/>
              <w:bottom w:w="70" w:type="dxa"/>
              <w:end w:w="110" w:type="dxa"/>
            </w:tcMar>
          </w:tcPr>
          <w:p>
            <w:pPr>
              <w:widowControl/>
              <w:spacing w:after="0"/>
            </w:pPr>
            <w:r>
              <w:rPr>
                <w:rFonts w:ascii="Arial" w:hAnsi="Arial"/>
                <w:sz w:val="17"/>
              </w:rPr>
              <w:t>8528.41.99; 8528.51.01; 8528.51.99; 8528.61.01</w:t>
            </w:r>
          </w:p>
        </w:tc>
        <w:tc>
          <w:tcPr>
            <w:tcW w:type="dxa" w:w="2340"/>
            <w:tcMar>
              <w:top w:w="70" w:type="dxa"/>
              <w:start w:w="110" w:type="dxa"/>
              <w:bottom w:w="70" w:type="dxa"/>
              <w:end w:w="110" w:type="dxa"/>
            </w:tcMar>
          </w:tcPr>
          <w:p>
            <w:pPr>
              <w:widowControl/>
              <w:spacing w:after="0"/>
            </w:pPr>
            <w:r>
              <w:rPr>
                <w:rFonts w:ascii="Arial" w:hAnsi="Arial"/>
                <w:sz w:val="17"/>
              </w:rPr>
            </w:r>
          </w:p>
        </w:tc>
      </w:tr>
      <w:tr>
        <w:trPr>
          <w:cantSplit/>
        </w:trPr>
        <w:tc>
          <w:tcPr>
            <w:tcW w:type="dxa" w:w="2340"/>
            <w:tcMar>
              <w:top w:w="70" w:type="dxa"/>
              <w:start w:w="110" w:type="dxa"/>
              <w:bottom w:w="70" w:type="dxa"/>
              <w:end w:w="110" w:type="dxa"/>
            </w:tcMar>
            <w:shd w:fill="F4F6F7"/>
          </w:tcPr>
          <w:p>
            <w:pPr>
              <w:widowControl/>
              <w:spacing w:after="0"/>
            </w:pPr>
            <w:r>
              <w:rPr>
                <w:rFonts w:ascii="Arial" w:hAnsi="Arial"/>
                <w:sz w:val="17"/>
              </w:rPr>
              <w:t>C. Input or Output Units — Display Units</w:t>
            </w:r>
          </w:p>
        </w:tc>
        <w:tc>
          <w:tcPr>
            <w:tcW w:type="dxa" w:w="2340"/>
            <w:tcMar>
              <w:top w:w="70" w:type="dxa"/>
              <w:start w:w="110" w:type="dxa"/>
              <w:bottom w:w="70" w:type="dxa"/>
              <w:end w:w="110" w:type="dxa"/>
            </w:tcMar>
            <w:shd w:fill="F4F6F7"/>
          </w:tcPr>
          <w:p>
            <w:pPr>
              <w:widowControl/>
              <w:spacing w:after="0"/>
            </w:pPr>
            <w:r>
              <w:rPr>
                <w:rFonts w:ascii="Arial" w:hAnsi="Arial"/>
                <w:sz w:val="17"/>
              </w:rPr>
              <w:t>United States</w:t>
            </w:r>
          </w:p>
        </w:tc>
        <w:tc>
          <w:tcPr>
            <w:tcW w:type="dxa" w:w="2340"/>
            <w:tcMar>
              <w:top w:w="70" w:type="dxa"/>
              <w:start w:w="110" w:type="dxa"/>
              <w:bottom w:w="70" w:type="dxa"/>
              <w:end w:w="110" w:type="dxa"/>
            </w:tcMar>
            <w:shd w:fill="F4F6F7"/>
          </w:tcPr>
          <w:p>
            <w:pPr>
              <w:widowControl/>
              <w:spacing w:after="0"/>
            </w:pPr>
            <w:r>
              <w:rPr>
                <w:rFonts w:ascii="Arial" w:hAnsi="Arial"/>
                <w:sz w:val="17"/>
              </w:rPr>
              <w:t>8528.42.00; 8528.52.00; 8528.62.00</w:t>
            </w:r>
          </w:p>
        </w:tc>
        <w:tc>
          <w:tcPr>
            <w:tcW w:type="dxa" w:w="2340"/>
            <w:tcMar>
              <w:top w:w="70" w:type="dxa"/>
              <w:start w:w="110" w:type="dxa"/>
              <w:bottom w:w="70" w:type="dxa"/>
              <w:end w:w="110" w:type="dxa"/>
            </w:tcMar>
            <w:shd w:fill="F4F6F7"/>
          </w:tcPr>
          <w:p>
            <w:pPr>
              <w:widowControl/>
              <w:spacing w:after="0"/>
            </w:pPr>
            <w:r>
              <w:rPr>
                <w:rFonts w:ascii="Arial" w:hAnsi="Arial"/>
                <w:sz w:val="17"/>
              </w:rPr>
            </w:r>
          </w:p>
        </w:tc>
      </w:tr>
      <w:tr>
        <w:trPr>
          <w:cantSplit/>
        </w:trPr>
        <w:tc>
          <w:tcPr>
            <w:tcW w:type="dxa" w:w="2340"/>
            <w:tcMar>
              <w:top w:w="70" w:type="dxa"/>
              <w:start w:w="110" w:type="dxa"/>
              <w:bottom w:w="70" w:type="dxa"/>
              <w:end w:w="110" w:type="dxa"/>
            </w:tcMar>
          </w:tcPr>
          <w:p>
            <w:pPr>
              <w:widowControl/>
              <w:spacing w:after="0"/>
            </w:pPr>
            <w:r>
              <w:rPr>
                <w:rFonts w:ascii="Arial" w:hAnsi="Arial"/>
                <w:sz w:val="17"/>
              </w:rPr>
              <w:t>C. Input or Output Units — Other Input or Output Units</w:t>
            </w:r>
          </w:p>
        </w:tc>
        <w:tc>
          <w:tcPr>
            <w:tcW w:type="dxa" w:w="2340"/>
            <w:tcMar>
              <w:top w:w="70" w:type="dxa"/>
              <w:start w:w="110" w:type="dxa"/>
              <w:bottom w:w="70" w:type="dxa"/>
              <w:end w:w="110" w:type="dxa"/>
            </w:tcMar>
          </w:tcPr>
          <w:p>
            <w:pPr>
              <w:widowControl/>
              <w:spacing w:after="0"/>
            </w:pPr>
            <w:r>
              <w:rPr>
                <w:rFonts w:ascii="Arial" w:hAnsi="Arial"/>
                <w:sz w:val="17"/>
              </w:rPr>
              <w:t>Canada</w:t>
            </w:r>
          </w:p>
        </w:tc>
        <w:tc>
          <w:tcPr>
            <w:tcW w:type="dxa" w:w="2340"/>
            <w:tcMar>
              <w:top w:w="70" w:type="dxa"/>
              <w:start w:w="110" w:type="dxa"/>
              <w:bottom w:w="70" w:type="dxa"/>
              <w:end w:w="110" w:type="dxa"/>
            </w:tcMar>
          </w:tcPr>
          <w:p>
            <w:pPr>
              <w:widowControl/>
              <w:spacing w:after="0"/>
            </w:pPr>
            <w:r>
              <w:rPr>
                <w:rFonts w:ascii="Arial" w:hAnsi="Arial"/>
                <w:sz w:val="17"/>
              </w:rPr>
              <w:t>8471.60.00</w:t>
            </w:r>
          </w:p>
        </w:tc>
        <w:tc>
          <w:tcPr>
            <w:tcW w:type="dxa" w:w="2340"/>
            <w:tcMar>
              <w:top w:w="70" w:type="dxa"/>
              <w:start w:w="110" w:type="dxa"/>
              <w:bottom w:w="70" w:type="dxa"/>
              <w:end w:w="110" w:type="dxa"/>
            </w:tcMar>
          </w:tcPr>
          <w:p>
            <w:pPr>
              <w:widowControl/>
              <w:spacing w:after="0"/>
            </w:pPr>
            <w:r>
              <w:rPr>
                <w:rFonts w:ascii="Arial" w:hAnsi="Arial"/>
                <w:sz w:val="17"/>
              </w:rPr>
            </w:r>
          </w:p>
        </w:tc>
      </w:tr>
      <w:tr>
        <w:trPr>
          <w:cantSplit/>
        </w:trPr>
        <w:tc>
          <w:tcPr>
            <w:tcW w:type="dxa" w:w="2340"/>
            <w:tcMar>
              <w:top w:w="70" w:type="dxa"/>
              <w:start w:w="110" w:type="dxa"/>
              <w:bottom w:w="70" w:type="dxa"/>
              <w:end w:w="110" w:type="dxa"/>
            </w:tcMar>
            <w:shd w:fill="F4F6F7"/>
          </w:tcPr>
          <w:p>
            <w:pPr>
              <w:widowControl/>
              <w:spacing w:after="0"/>
            </w:pPr>
            <w:r>
              <w:rPr>
                <w:rFonts w:ascii="Arial" w:hAnsi="Arial"/>
                <w:sz w:val="17"/>
              </w:rPr>
              <w:t>C. Input or Output Units — Other Input or Output Units</w:t>
            </w:r>
          </w:p>
        </w:tc>
        <w:tc>
          <w:tcPr>
            <w:tcW w:type="dxa" w:w="2340"/>
            <w:tcMar>
              <w:top w:w="70" w:type="dxa"/>
              <w:start w:w="110" w:type="dxa"/>
              <w:bottom w:w="70" w:type="dxa"/>
              <w:end w:w="110" w:type="dxa"/>
            </w:tcMar>
            <w:shd w:fill="F4F6F7"/>
          </w:tcPr>
          <w:p>
            <w:pPr>
              <w:widowControl/>
              <w:spacing w:after="0"/>
            </w:pPr>
            <w:r>
              <w:rPr>
                <w:rFonts w:ascii="Arial" w:hAnsi="Arial"/>
                <w:sz w:val="17"/>
              </w:rPr>
              <w:t>Mexico</w:t>
            </w:r>
          </w:p>
        </w:tc>
        <w:tc>
          <w:tcPr>
            <w:tcW w:type="dxa" w:w="2340"/>
            <w:tcMar>
              <w:top w:w="70" w:type="dxa"/>
              <w:start w:w="110" w:type="dxa"/>
              <w:bottom w:w="70" w:type="dxa"/>
              <w:end w:w="110" w:type="dxa"/>
            </w:tcMar>
            <w:shd w:fill="F4F6F7"/>
          </w:tcPr>
          <w:p>
            <w:pPr>
              <w:widowControl/>
              <w:spacing w:after="0"/>
            </w:pPr>
            <w:r>
              <w:rPr>
                <w:rFonts w:ascii="Arial" w:hAnsi="Arial"/>
                <w:sz w:val="17"/>
              </w:rPr>
              <w:t>8471.60.03; 8471.60.99</w:t>
            </w:r>
          </w:p>
        </w:tc>
        <w:tc>
          <w:tcPr>
            <w:tcW w:type="dxa" w:w="2340"/>
            <w:tcMar>
              <w:top w:w="70" w:type="dxa"/>
              <w:start w:w="110" w:type="dxa"/>
              <w:bottom w:w="70" w:type="dxa"/>
              <w:end w:w="110" w:type="dxa"/>
            </w:tcMar>
            <w:shd w:fill="F4F6F7"/>
          </w:tcPr>
          <w:p>
            <w:pPr>
              <w:widowControl/>
              <w:spacing w:after="0"/>
            </w:pPr>
            <w:r>
              <w:rPr>
                <w:rFonts w:ascii="Arial" w:hAnsi="Arial"/>
                <w:sz w:val="17"/>
              </w:rPr>
            </w:r>
          </w:p>
        </w:tc>
      </w:tr>
      <w:tr>
        <w:trPr>
          <w:cantSplit/>
        </w:trPr>
        <w:tc>
          <w:tcPr>
            <w:tcW w:type="dxa" w:w="2340"/>
            <w:tcMar>
              <w:top w:w="70" w:type="dxa"/>
              <w:start w:w="110" w:type="dxa"/>
              <w:bottom w:w="70" w:type="dxa"/>
              <w:end w:w="110" w:type="dxa"/>
            </w:tcMar>
          </w:tcPr>
          <w:p>
            <w:pPr>
              <w:widowControl/>
              <w:spacing w:after="0"/>
            </w:pPr>
            <w:r>
              <w:rPr>
                <w:rFonts w:ascii="Arial" w:hAnsi="Arial"/>
                <w:sz w:val="17"/>
              </w:rPr>
              <w:t>C. Input or Output Units — Other Input or Output Units</w:t>
            </w:r>
          </w:p>
        </w:tc>
        <w:tc>
          <w:tcPr>
            <w:tcW w:type="dxa" w:w="2340"/>
            <w:tcMar>
              <w:top w:w="70" w:type="dxa"/>
              <w:start w:w="110" w:type="dxa"/>
              <w:bottom w:w="70" w:type="dxa"/>
              <w:end w:w="110" w:type="dxa"/>
            </w:tcMar>
          </w:tcPr>
          <w:p>
            <w:pPr>
              <w:widowControl/>
              <w:spacing w:after="0"/>
            </w:pPr>
            <w:r>
              <w:rPr>
                <w:rFonts w:ascii="Arial" w:hAnsi="Arial"/>
                <w:sz w:val="17"/>
              </w:rPr>
              <w:t>United States</w:t>
            </w:r>
          </w:p>
        </w:tc>
        <w:tc>
          <w:tcPr>
            <w:tcW w:type="dxa" w:w="2340"/>
            <w:tcMar>
              <w:top w:w="70" w:type="dxa"/>
              <w:start w:w="110" w:type="dxa"/>
              <w:bottom w:w="70" w:type="dxa"/>
              <w:end w:w="110" w:type="dxa"/>
            </w:tcMar>
          </w:tcPr>
          <w:p>
            <w:pPr>
              <w:widowControl/>
              <w:spacing w:after="0"/>
            </w:pPr>
            <w:r>
              <w:rPr>
                <w:rFonts w:ascii="Arial" w:hAnsi="Arial"/>
                <w:sz w:val="17"/>
              </w:rPr>
              <w:t>8471.60.20; 8471.60.70; 8471.60.80; 8471.60.90</w:t>
            </w:r>
          </w:p>
        </w:tc>
        <w:tc>
          <w:tcPr>
            <w:tcW w:type="dxa" w:w="2340"/>
            <w:tcMar>
              <w:top w:w="70" w:type="dxa"/>
              <w:start w:w="110" w:type="dxa"/>
              <w:bottom w:w="70" w:type="dxa"/>
              <w:end w:w="110" w:type="dxa"/>
            </w:tcMar>
          </w:tcPr>
          <w:p>
            <w:pPr>
              <w:widowControl/>
              <w:spacing w:after="0"/>
            </w:pPr>
            <w:r>
              <w:rPr>
                <w:rFonts w:ascii="Arial" w:hAnsi="Arial"/>
                <w:sz w:val="17"/>
              </w:rPr>
            </w:r>
          </w:p>
        </w:tc>
      </w:tr>
      <w:tr>
        <w:trPr>
          <w:cantSplit/>
        </w:trPr>
        <w:tc>
          <w:tcPr>
            <w:tcW w:type="dxa" w:w="2340"/>
            <w:tcMar>
              <w:top w:w="70" w:type="dxa"/>
              <w:start w:w="110" w:type="dxa"/>
              <w:bottom w:w="70" w:type="dxa"/>
              <w:end w:w="110" w:type="dxa"/>
            </w:tcMar>
            <w:shd w:fill="F4F6F7"/>
          </w:tcPr>
          <w:p>
            <w:pPr>
              <w:widowControl/>
              <w:spacing w:after="0"/>
            </w:pPr>
            <w:r>
              <w:rPr>
                <w:rFonts w:ascii="Arial" w:hAnsi="Arial"/>
                <w:sz w:val="17"/>
              </w:rPr>
              <w:t>D. Storage Units</w:t>
            </w:r>
          </w:p>
        </w:tc>
        <w:tc>
          <w:tcPr>
            <w:tcW w:type="dxa" w:w="2340"/>
            <w:tcMar>
              <w:top w:w="70" w:type="dxa"/>
              <w:start w:w="110" w:type="dxa"/>
              <w:bottom w:w="70" w:type="dxa"/>
              <w:end w:w="110" w:type="dxa"/>
            </w:tcMar>
            <w:shd w:fill="F4F6F7"/>
          </w:tcPr>
          <w:p>
            <w:pPr>
              <w:widowControl/>
              <w:spacing w:after="0"/>
            </w:pPr>
            <w:r>
              <w:rPr>
                <w:rFonts w:ascii="Arial" w:hAnsi="Arial"/>
                <w:sz w:val="17"/>
              </w:rPr>
              <w:t>All Parties</w:t>
            </w:r>
          </w:p>
        </w:tc>
        <w:tc>
          <w:tcPr>
            <w:tcW w:type="dxa" w:w="2340"/>
            <w:tcMar>
              <w:top w:w="70" w:type="dxa"/>
              <w:start w:w="110" w:type="dxa"/>
              <w:bottom w:w="70" w:type="dxa"/>
              <w:end w:w="110" w:type="dxa"/>
            </w:tcMar>
            <w:shd w:fill="F4F6F7"/>
          </w:tcPr>
          <w:p>
            <w:pPr>
              <w:widowControl/>
              <w:spacing w:after="0"/>
            </w:pPr>
            <w:r>
              <w:rPr>
                <w:rFonts w:ascii="Arial" w:hAnsi="Arial"/>
                <w:sz w:val="17"/>
              </w:rPr>
              <w:t>8471.70</w:t>
            </w:r>
          </w:p>
        </w:tc>
        <w:tc>
          <w:tcPr>
            <w:tcW w:type="dxa" w:w="2340"/>
            <w:tcMar>
              <w:top w:w="70" w:type="dxa"/>
              <w:start w:w="110" w:type="dxa"/>
              <w:bottom w:w="70" w:type="dxa"/>
              <w:end w:w="110" w:type="dxa"/>
            </w:tcMar>
            <w:shd w:fill="F4F6F7"/>
          </w:tcPr>
          <w:p>
            <w:pPr>
              <w:widowControl/>
              <w:spacing w:after="0"/>
            </w:pPr>
            <w:r>
              <w:rPr>
                <w:rFonts w:ascii="Arial" w:hAnsi="Arial"/>
                <w:sz w:val="17"/>
              </w:rPr>
            </w:r>
          </w:p>
        </w:tc>
      </w:tr>
      <w:tr>
        <w:trPr>
          <w:cantSplit/>
        </w:trPr>
        <w:tc>
          <w:tcPr>
            <w:tcW w:type="dxa" w:w="2340"/>
            <w:tcMar>
              <w:top w:w="70" w:type="dxa"/>
              <w:start w:w="110" w:type="dxa"/>
              <w:bottom w:w="70" w:type="dxa"/>
              <w:end w:w="110" w:type="dxa"/>
            </w:tcMar>
          </w:tcPr>
          <w:p>
            <w:pPr>
              <w:widowControl/>
              <w:spacing w:after="0"/>
            </w:pPr>
            <w:r>
              <w:rPr>
                <w:rFonts w:ascii="Arial" w:hAnsi="Arial"/>
                <w:sz w:val="17"/>
              </w:rPr>
              <w:t>E. Other Units of Automatic Data Processing Machines</w:t>
            </w:r>
          </w:p>
        </w:tc>
        <w:tc>
          <w:tcPr>
            <w:tcW w:type="dxa" w:w="2340"/>
            <w:tcMar>
              <w:top w:w="70" w:type="dxa"/>
              <w:start w:w="110" w:type="dxa"/>
              <w:bottom w:w="70" w:type="dxa"/>
              <w:end w:w="110" w:type="dxa"/>
            </w:tcMar>
          </w:tcPr>
          <w:p>
            <w:pPr>
              <w:widowControl/>
              <w:spacing w:after="0"/>
            </w:pPr>
            <w:r>
              <w:rPr>
                <w:rFonts w:ascii="Arial" w:hAnsi="Arial"/>
                <w:sz w:val="17"/>
              </w:rPr>
              <w:t>All Parties</w:t>
            </w:r>
          </w:p>
        </w:tc>
        <w:tc>
          <w:tcPr>
            <w:tcW w:type="dxa" w:w="2340"/>
            <w:tcMar>
              <w:top w:w="70" w:type="dxa"/>
              <w:start w:w="110" w:type="dxa"/>
              <w:bottom w:w="70" w:type="dxa"/>
              <w:end w:w="110" w:type="dxa"/>
            </w:tcMar>
          </w:tcPr>
          <w:p>
            <w:pPr>
              <w:widowControl/>
              <w:spacing w:after="0"/>
            </w:pPr>
            <w:r>
              <w:rPr>
                <w:rFonts w:ascii="Arial" w:hAnsi="Arial"/>
                <w:sz w:val="17"/>
              </w:rPr>
              <w:t>8471.80</w:t>
            </w:r>
          </w:p>
        </w:tc>
        <w:tc>
          <w:tcPr>
            <w:tcW w:type="dxa" w:w="2340"/>
            <w:tcMar>
              <w:top w:w="70" w:type="dxa"/>
              <w:start w:w="110" w:type="dxa"/>
              <w:bottom w:w="70" w:type="dxa"/>
              <w:end w:w="110" w:type="dxa"/>
            </w:tcMar>
          </w:tcPr>
          <w:p>
            <w:pPr>
              <w:widowControl/>
              <w:spacing w:after="0"/>
            </w:pPr>
            <w:r>
              <w:rPr>
                <w:rFonts w:ascii="Arial" w:hAnsi="Arial"/>
                <w:sz w:val="17"/>
              </w:rPr>
            </w:r>
          </w:p>
        </w:tc>
      </w:tr>
      <w:tr>
        <w:trPr>
          <w:cantSplit/>
        </w:trPr>
        <w:tc>
          <w:tcPr>
            <w:tcW w:type="dxa" w:w="2340"/>
            <w:tcMar>
              <w:top w:w="70" w:type="dxa"/>
              <w:start w:w="110" w:type="dxa"/>
              <w:bottom w:w="70" w:type="dxa"/>
              <w:end w:w="110" w:type="dxa"/>
            </w:tcMar>
            <w:shd w:fill="F4F6F7"/>
          </w:tcPr>
          <w:p>
            <w:pPr>
              <w:widowControl/>
              <w:spacing w:after="0"/>
            </w:pPr>
            <w:r>
              <w:rPr>
                <w:rFonts w:ascii="Arial" w:hAnsi="Arial"/>
                <w:sz w:val="17"/>
              </w:rPr>
              <w:t>F. Parts of Computers</w:t>
            </w:r>
          </w:p>
        </w:tc>
        <w:tc>
          <w:tcPr>
            <w:tcW w:type="dxa" w:w="2340"/>
            <w:tcMar>
              <w:top w:w="70" w:type="dxa"/>
              <w:start w:w="110" w:type="dxa"/>
              <w:bottom w:w="70" w:type="dxa"/>
              <w:end w:w="110" w:type="dxa"/>
            </w:tcMar>
            <w:shd w:fill="F4F6F7"/>
          </w:tcPr>
          <w:p>
            <w:pPr>
              <w:widowControl/>
              <w:spacing w:after="0"/>
            </w:pPr>
            <w:r>
              <w:rPr>
                <w:rFonts w:ascii="Arial" w:hAnsi="Arial"/>
                <w:sz w:val="17"/>
              </w:rPr>
              <w:t>All Parties</w:t>
            </w:r>
          </w:p>
        </w:tc>
        <w:tc>
          <w:tcPr>
            <w:tcW w:type="dxa" w:w="2340"/>
            <w:tcMar>
              <w:top w:w="70" w:type="dxa"/>
              <w:start w:w="110" w:type="dxa"/>
              <w:bottom w:w="70" w:type="dxa"/>
              <w:end w:w="110" w:type="dxa"/>
            </w:tcMar>
            <w:shd w:fill="F4F6F7"/>
          </w:tcPr>
          <w:p>
            <w:pPr>
              <w:widowControl/>
              <w:spacing w:after="0"/>
            </w:pPr>
            <w:r>
              <w:rPr>
                <w:rFonts w:ascii="Arial" w:hAnsi="Arial"/>
                <w:sz w:val="17"/>
              </w:rPr>
              <w:t>8443.99</w:t>
            </w:r>
          </w:p>
        </w:tc>
        <w:tc>
          <w:tcPr>
            <w:tcW w:type="dxa" w:w="2340"/>
            <w:tcMar>
              <w:top w:w="70" w:type="dxa"/>
              <w:start w:w="110" w:type="dxa"/>
              <w:bottom w:w="70" w:type="dxa"/>
              <w:end w:w="110" w:type="dxa"/>
            </w:tcMar>
            <w:shd w:fill="F4F6F7"/>
          </w:tcPr>
          <w:p>
            <w:pPr>
              <w:widowControl/>
              <w:spacing w:after="0"/>
            </w:pPr>
            <w:r>
              <w:rPr>
                <w:rFonts w:ascii="Arial" w:hAnsi="Arial"/>
                <w:sz w:val="17"/>
              </w:rPr>
              <w:t>parts of machines of subheading 8443.31 and 8443.32, excluding facsimile machines and teleprinters</w:t>
            </w:r>
          </w:p>
        </w:tc>
      </w:tr>
      <w:tr>
        <w:trPr>
          <w:cantSplit/>
        </w:trPr>
        <w:tc>
          <w:tcPr>
            <w:tcW w:type="dxa" w:w="2340"/>
            <w:tcMar>
              <w:top w:w="70" w:type="dxa"/>
              <w:start w:w="110" w:type="dxa"/>
              <w:bottom w:w="70" w:type="dxa"/>
              <w:end w:w="110" w:type="dxa"/>
            </w:tcMar>
          </w:tcPr>
          <w:p>
            <w:pPr>
              <w:widowControl/>
              <w:spacing w:after="0"/>
            </w:pPr>
            <w:r>
              <w:rPr>
                <w:rFonts w:ascii="Arial" w:hAnsi="Arial"/>
                <w:sz w:val="17"/>
              </w:rPr>
              <w:t>F. Parts of Computers</w:t>
            </w:r>
          </w:p>
        </w:tc>
        <w:tc>
          <w:tcPr>
            <w:tcW w:type="dxa" w:w="2340"/>
            <w:tcMar>
              <w:top w:w="70" w:type="dxa"/>
              <w:start w:w="110" w:type="dxa"/>
              <w:bottom w:w="70" w:type="dxa"/>
              <w:end w:w="110" w:type="dxa"/>
            </w:tcMar>
          </w:tcPr>
          <w:p>
            <w:pPr>
              <w:widowControl/>
              <w:spacing w:after="0"/>
            </w:pPr>
            <w:r>
              <w:rPr>
                <w:rFonts w:ascii="Arial" w:hAnsi="Arial"/>
                <w:sz w:val="17"/>
              </w:rPr>
              <w:t>All Parties</w:t>
            </w:r>
          </w:p>
        </w:tc>
        <w:tc>
          <w:tcPr>
            <w:tcW w:type="dxa" w:w="2340"/>
            <w:tcMar>
              <w:top w:w="70" w:type="dxa"/>
              <w:start w:w="110" w:type="dxa"/>
              <w:bottom w:w="70" w:type="dxa"/>
              <w:end w:w="110" w:type="dxa"/>
            </w:tcMar>
          </w:tcPr>
          <w:p>
            <w:pPr>
              <w:widowControl/>
              <w:spacing w:after="0"/>
            </w:pPr>
            <w:r>
              <w:rPr>
                <w:rFonts w:ascii="Arial" w:hAnsi="Arial"/>
                <w:sz w:val="17"/>
              </w:rPr>
              <w:t>8473.30</w:t>
            </w:r>
          </w:p>
        </w:tc>
        <w:tc>
          <w:tcPr>
            <w:tcW w:type="dxa" w:w="2340"/>
            <w:tcMar>
              <w:top w:w="70" w:type="dxa"/>
              <w:start w:w="110" w:type="dxa"/>
              <w:bottom w:w="70" w:type="dxa"/>
              <w:end w:w="110" w:type="dxa"/>
            </w:tcMar>
          </w:tcPr>
          <w:p>
            <w:pPr>
              <w:widowControl/>
              <w:spacing w:after="0"/>
            </w:pPr>
            <w:r>
              <w:rPr>
                <w:rFonts w:ascii="Arial" w:hAnsi="Arial"/>
                <w:sz w:val="17"/>
              </w:rPr>
              <w:t>parts of ADP machines and units thereof</w:t>
            </w:r>
          </w:p>
        </w:tc>
      </w:tr>
      <w:tr>
        <w:trPr>
          <w:cantSplit/>
        </w:trPr>
        <w:tc>
          <w:tcPr>
            <w:tcW w:type="dxa" w:w="2340"/>
            <w:tcMar>
              <w:top w:w="70" w:type="dxa"/>
              <w:start w:w="110" w:type="dxa"/>
              <w:bottom w:w="70" w:type="dxa"/>
              <w:end w:w="110" w:type="dxa"/>
            </w:tcMar>
            <w:shd w:fill="F4F6F7"/>
          </w:tcPr>
          <w:p>
            <w:pPr>
              <w:widowControl/>
              <w:spacing w:after="0"/>
            </w:pPr>
            <w:r>
              <w:rPr>
                <w:rFonts w:ascii="Arial" w:hAnsi="Arial"/>
                <w:sz w:val="17"/>
              </w:rPr>
              <w:t>F. Parts of Computers</w:t>
            </w:r>
          </w:p>
        </w:tc>
        <w:tc>
          <w:tcPr>
            <w:tcW w:type="dxa" w:w="2340"/>
            <w:tcMar>
              <w:top w:w="70" w:type="dxa"/>
              <w:start w:w="110" w:type="dxa"/>
              <w:bottom w:w="70" w:type="dxa"/>
              <w:end w:w="110" w:type="dxa"/>
            </w:tcMar>
            <w:shd w:fill="F4F6F7"/>
          </w:tcPr>
          <w:p>
            <w:pPr>
              <w:widowControl/>
              <w:spacing w:after="0"/>
            </w:pPr>
            <w:r>
              <w:rPr>
                <w:rFonts w:ascii="Arial" w:hAnsi="Arial"/>
                <w:sz w:val="17"/>
              </w:rPr>
              <w:t>All Parties</w:t>
            </w:r>
          </w:p>
        </w:tc>
        <w:tc>
          <w:tcPr>
            <w:tcW w:type="dxa" w:w="2340"/>
            <w:tcMar>
              <w:top w:w="70" w:type="dxa"/>
              <w:start w:w="110" w:type="dxa"/>
              <w:bottom w:w="70" w:type="dxa"/>
              <w:end w:w="110" w:type="dxa"/>
            </w:tcMar>
            <w:shd w:fill="F4F6F7"/>
          </w:tcPr>
          <w:p>
            <w:pPr>
              <w:widowControl/>
              <w:spacing w:after="0"/>
            </w:pPr>
            <w:r>
              <w:rPr>
                <w:rFonts w:ascii="Arial" w:hAnsi="Arial"/>
                <w:sz w:val="17"/>
              </w:rPr>
              <w:t>8517.70</w:t>
            </w:r>
          </w:p>
        </w:tc>
        <w:tc>
          <w:tcPr>
            <w:tcW w:type="dxa" w:w="2340"/>
            <w:tcMar>
              <w:top w:w="70" w:type="dxa"/>
              <w:start w:w="110" w:type="dxa"/>
              <w:bottom w:w="70" w:type="dxa"/>
              <w:end w:w="110" w:type="dxa"/>
            </w:tcMar>
            <w:shd w:fill="F4F6F7"/>
          </w:tcPr>
          <w:p>
            <w:pPr>
              <w:widowControl/>
              <w:spacing w:after="0"/>
            </w:pPr>
            <w:r>
              <w:rPr>
                <w:rFonts w:ascii="Arial" w:hAnsi="Arial"/>
                <w:sz w:val="17"/>
              </w:rPr>
              <w:t>parts of LAN equipment of subheading 8517.62</w:t>
            </w:r>
          </w:p>
        </w:tc>
      </w:tr>
      <w:tr>
        <w:trPr>
          <w:cantSplit/>
        </w:trPr>
        <w:tc>
          <w:tcPr>
            <w:tcW w:type="dxa" w:w="2340"/>
            <w:tcMar>
              <w:top w:w="70" w:type="dxa"/>
              <w:start w:w="110" w:type="dxa"/>
              <w:bottom w:w="70" w:type="dxa"/>
              <w:end w:w="110" w:type="dxa"/>
            </w:tcMar>
          </w:tcPr>
          <w:p>
            <w:pPr>
              <w:widowControl/>
              <w:spacing w:after="0"/>
            </w:pPr>
            <w:r>
              <w:rPr>
                <w:rFonts w:ascii="Arial" w:hAnsi="Arial"/>
                <w:sz w:val="17"/>
              </w:rPr>
              <w:t>F. Parts of Computers</w:t>
            </w:r>
          </w:p>
        </w:tc>
        <w:tc>
          <w:tcPr>
            <w:tcW w:type="dxa" w:w="2340"/>
            <w:tcMar>
              <w:top w:w="70" w:type="dxa"/>
              <w:start w:w="110" w:type="dxa"/>
              <w:bottom w:w="70" w:type="dxa"/>
              <w:end w:w="110" w:type="dxa"/>
            </w:tcMar>
          </w:tcPr>
          <w:p>
            <w:pPr>
              <w:widowControl/>
              <w:spacing w:after="0"/>
            </w:pPr>
            <w:r>
              <w:rPr>
                <w:rFonts w:ascii="Arial" w:hAnsi="Arial"/>
                <w:sz w:val="17"/>
              </w:rPr>
              <w:t>Canada</w:t>
            </w:r>
          </w:p>
        </w:tc>
        <w:tc>
          <w:tcPr>
            <w:tcW w:type="dxa" w:w="2340"/>
            <w:tcMar>
              <w:top w:w="70" w:type="dxa"/>
              <w:start w:w="110" w:type="dxa"/>
              <w:bottom w:w="70" w:type="dxa"/>
              <w:end w:w="110" w:type="dxa"/>
            </w:tcMar>
          </w:tcPr>
          <w:p>
            <w:pPr>
              <w:widowControl/>
              <w:spacing w:after="0"/>
            </w:pPr>
            <w:r>
              <w:rPr>
                <w:rFonts w:ascii="Arial" w:hAnsi="Arial"/>
                <w:sz w:val="17"/>
              </w:rPr>
              <w:t>8529.90.19; 8529.90.50; 8529.90.90</w:t>
            </w:r>
          </w:p>
        </w:tc>
        <w:tc>
          <w:tcPr>
            <w:tcW w:type="dxa" w:w="2340"/>
            <w:tcMar>
              <w:top w:w="70" w:type="dxa"/>
              <w:start w:w="110" w:type="dxa"/>
              <w:bottom w:w="70" w:type="dxa"/>
              <w:end w:w="110" w:type="dxa"/>
            </w:tcMar>
          </w:tcPr>
          <w:p>
            <w:pPr>
              <w:widowControl/>
              <w:spacing w:after="0"/>
            </w:pPr>
            <w:r>
              <w:rPr>
                <w:rFonts w:ascii="Arial" w:hAnsi="Arial"/>
                <w:sz w:val="17"/>
              </w:rPr>
              <w:t>parts of monitors and projectors of subheading 8528.42, 8528.52, and 8528.62</w:t>
            </w:r>
          </w:p>
        </w:tc>
      </w:tr>
      <w:tr>
        <w:trPr>
          <w:cantSplit/>
        </w:trPr>
        <w:tc>
          <w:tcPr>
            <w:tcW w:type="dxa" w:w="2340"/>
            <w:tcMar>
              <w:top w:w="70" w:type="dxa"/>
              <w:start w:w="110" w:type="dxa"/>
              <w:bottom w:w="70" w:type="dxa"/>
              <w:end w:w="110" w:type="dxa"/>
            </w:tcMar>
            <w:shd w:fill="F4F6F7"/>
          </w:tcPr>
          <w:p>
            <w:pPr>
              <w:widowControl/>
              <w:spacing w:after="0"/>
            </w:pPr>
            <w:r>
              <w:rPr>
                <w:rFonts w:ascii="Arial" w:hAnsi="Arial"/>
                <w:sz w:val="17"/>
              </w:rPr>
              <w:t>F. Parts of Computers</w:t>
            </w:r>
          </w:p>
        </w:tc>
        <w:tc>
          <w:tcPr>
            <w:tcW w:type="dxa" w:w="2340"/>
            <w:tcMar>
              <w:top w:w="70" w:type="dxa"/>
              <w:start w:w="110" w:type="dxa"/>
              <w:bottom w:w="70" w:type="dxa"/>
              <w:end w:w="110" w:type="dxa"/>
            </w:tcMar>
            <w:shd w:fill="F4F6F7"/>
          </w:tcPr>
          <w:p>
            <w:pPr>
              <w:widowControl/>
              <w:spacing w:after="0"/>
            </w:pPr>
            <w:r>
              <w:rPr>
                <w:rFonts w:ascii="Arial" w:hAnsi="Arial"/>
                <w:sz w:val="17"/>
              </w:rPr>
              <w:t>Mexico</w:t>
            </w:r>
          </w:p>
        </w:tc>
        <w:tc>
          <w:tcPr>
            <w:tcW w:type="dxa" w:w="2340"/>
            <w:tcMar>
              <w:top w:w="70" w:type="dxa"/>
              <w:start w:w="110" w:type="dxa"/>
              <w:bottom w:w="70" w:type="dxa"/>
              <w:end w:w="110" w:type="dxa"/>
            </w:tcMar>
            <w:shd w:fill="F4F6F7"/>
          </w:tcPr>
          <w:p>
            <w:pPr>
              <w:widowControl/>
              <w:spacing w:after="0"/>
            </w:pPr>
            <w:r>
              <w:rPr>
                <w:rFonts w:ascii="Arial" w:hAnsi="Arial"/>
                <w:sz w:val="17"/>
              </w:rPr>
              <w:t>8529.90.01; 8529.90.06</w:t>
            </w:r>
          </w:p>
        </w:tc>
        <w:tc>
          <w:tcPr>
            <w:tcW w:type="dxa" w:w="2340"/>
            <w:tcMar>
              <w:top w:w="70" w:type="dxa"/>
              <w:start w:w="110" w:type="dxa"/>
              <w:bottom w:w="70" w:type="dxa"/>
              <w:end w:w="110" w:type="dxa"/>
            </w:tcMar>
            <w:shd w:fill="F4F6F7"/>
          </w:tcPr>
          <w:p>
            <w:pPr>
              <w:widowControl/>
              <w:spacing w:after="0"/>
            </w:pPr>
            <w:r>
              <w:rPr>
                <w:rFonts w:ascii="Arial" w:hAnsi="Arial"/>
                <w:sz w:val="17"/>
              </w:rPr>
              <w:t>parts of monitors or projectors of subheadings 8528.41, 8528.51, and 8528.61</w:t>
            </w:r>
          </w:p>
        </w:tc>
      </w:tr>
      <w:tr>
        <w:trPr>
          <w:cantSplit/>
        </w:trPr>
        <w:tc>
          <w:tcPr>
            <w:tcW w:type="dxa" w:w="2340"/>
            <w:tcMar>
              <w:top w:w="70" w:type="dxa"/>
              <w:start w:w="110" w:type="dxa"/>
              <w:bottom w:w="70" w:type="dxa"/>
              <w:end w:w="110" w:type="dxa"/>
            </w:tcMar>
          </w:tcPr>
          <w:p>
            <w:pPr>
              <w:widowControl/>
              <w:spacing w:after="0"/>
            </w:pPr>
            <w:r>
              <w:rPr>
                <w:rFonts w:ascii="Arial" w:hAnsi="Arial"/>
                <w:sz w:val="17"/>
              </w:rPr>
              <w:t>F. Parts of Computers</w:t>
            </w:r>
          </w:p>
        </w:tc>
        <w:tc>
          <w:tcPr>
            <w:tcW w:type="dxa" w:w="2340"/>
            <w:tcMar>
              <w:top w:w="70" w:type="dxa"/>
              <w:start w:w="110" w:type="dxa"/>
              <w:bottom w:w="70" w:type="dxa"/>
              <w:end w:w="110" w:type="dxa"/>
            </w:tcMar>
          </w:tcPr>
          <w:p>
            <w:pPr>
              <w:widowControl/>
              <w:spacing w:after="0"/>
            </w:pPr>
            <w:r>
              <w:rPr>
                <w:rFonts w:ascii="Arial" w:hAnsi="Arial"/>
                <w:sz w:val="17"/>
              </w:rPr>
              <w:t>United States</w:t>
            </w:r>
          </w:p>
        </w:tc>
        <w:tc>
          <w:tcPr>
            <w:tcW w:type="dxa" w:w="2340"/>
            <w:tcMar>
              <w:top w:w="70" w:type="dxa"/>
              <w:start w:w="110" w:type="dxa"/>
              <w:bottom w:w="70" w:type="dxa"/>
              <w:end w:w="110" w:type="dxa"/>
            </w:tcMar>
          </w:tcPr>
          <w:p>
            <w:pPr>
              <w:widowControl/>
              <w:spacing w:after="0"/>
            </w:pPr>
            <w:r>
              <w:rPr>
                <w:rFonts w:ascii="Arial" w:hAnsi="Arial"/>
                <w:sz w:val="17"/>
              </w:rPr>
              <w:t>8529.90.22; 8529.90.75; 8529.90.99</w:t>
            </w:r>
          </w:p>
        </w:tc>
        <w:tc>
          <w:tcPr>
            <w:tcW w:type="dxa" w:w="2340"/>
            <w:tcMar>
              <w:top w:w="70" w:type="dxa"/>
              <w:start w:w="110" w:type="dxa"/>
              <w:bottom w:w="70" w:type="dxa"/>
              <w:end w:w="110" w:type="dxa"/>
            </w:tcMar>
          </w:tcPr>
          <w:p>
            <w:pPr>
              <w:widowControl/>
              <w:spacing w:after="0"/>
            </w:pPr>
            <w:r>
              <w:rPr>
                <w:rFonts w:ascii="Arial" w:hAnsi="Arial"/>
                <w:sz w:val="17"/>
              </w:rPr>
              <w:t>parts of monitors and projectors of subheading 8528.42, 8528.52, and 8528.62</w:t>
            </w:r>
          </w:p>
        </w:tc>
      </w:tr>
      <w:tr>
        <w:trPr>
          <w:cantSplit/>
        </w:trPr>
        <w:tc>
          <w:tcPr>
            <w:tcW w:type="dxa" w:w="2340"/>
            <w:tcMar>
              <w:top w:w="70" w:type="dxa"/>
              <w:start w:w="110" w:type="dxa"/>
              <w:bottom w:w="70" w:type="dxa"/>
              <w:end w:w="110" w:type="dxa"/>
            </w:tcMar>
            <w:shd w:fill="F4F6F7"/>
          </w:tcPr>
          <w:p>
            <w:pPr>
              <w:widowControl/>
              <w:spacing w:after="0"/>
            </w:pPr>
            <w:r>
              <w:rPr>
                <w:rFonts w:ascii="Arial" w:hAnsi="Arial"/>
                <w:sz w:val="17"/>
              </w:rPr>
              <w:t>G. Computer Power Supplies</w:t>
            </w:r>
          </w:p>
        </w:tc>
        <w:tc>
          <w:tcPr>
            <w:tcW w:type="dxa" w:w="2340"/>
            <w:tcMar>
              <w:top w:w="70" w:type="dxa"/>
              <w:start w:w="110" w:type="dxa"/>
              <w:bottom w:w="70" w:type="dxa"/>
              <w:end w:w="110" w:type="dxa"/>
            </w:tcMar>
            <w:shd w:fill="F4F6F7"/>
          </w:tcPr>
          <w:p>
            <w:pPr>
              <w:widowControl/>
              <w:spacing w:after="0"/>
            </w:pPr>
            <w:r>
              <w:rPr>
                <w:rFonts w:ascii="Arial" w:hAnsi="Arial"/>
                <w:sz w:val="17"/>
              </w:rPr>
              <w:t>Canada</w:t>
            </w:r>
          </w:p>
        </w:tc>
        <w:tc>
          <w:tcPr>
            <w:tcW w:type="dxa" w:w="2340"/>
            <w:tcMar>
              <w:top w:w="70" w:type="dxa"/>
              <w:start w:w="110" w:type="dxa"/>
              <w:bottom w:w="70" w:type="dxa"/>
              <w:end w:w="110" w:type="dxa"/>
            </w:tcMar>
            <w:shd w:fill="F4F6F7"/>
          </w:tcPr>
          <w:p>
            <w:pPr>
              <w:widowControl/>
              <w:spacing w:after="0"/>
            </w:pPr>
            <w:r>
              <w:rPr>
                <w:rFonts w:ascii="Arial" w:hAnsi="Arial"/>
                <w:sz w:val="17"/>
              </w:rPr>
              <w:t>8504.40.30; 8504.40.90; 8504.90.10; 8504.90.20; 8504.90.90</w:t>
            </w:r>
          </w:p>
        </w:tc>
        <w:tc>
          <w:tcPr>
            <w:tcW w:type="dxa" w:w="2340"/>
            <w:tcMar>
              <w:top w:w="70" w:type="dxa"/>
              <w:start w:w="110" w:type="dxa"/>
              <w:bottom w:w="70" w:type="dxa"/>
              <w:end w:w="110" w:type="dxa"/>
            </w:tcMar>
            <w:shd w:fill="F4F6F7"/>
          </w:tcPr>
          <w:p>
            <w:pPr>
              <w:widowControl/>
              <w:spacing w:after="0"/>
            </w:pPr>
            <w:r>
              <w:rPr>
                <w:rFonts w:ascii="Arial" w:hAnsi="Arial"/>
                <w:sz w:val="17"/>
              </w:rPr>
            </w:r>
          </w:p>
        </w:tc>
      </w:tr>
      <w:tr>
        <w:trPr>
          <w:cantSplit/>
        </w:trPr>
        <w:tc>
          <w:tcPr>
            <w:tcW w:type="dxa" w:w="2340"/>
            <w:tcMar>
              <w:top w:w="70" w:type="dxa"/>
              <w:start w:w="110" w:type="dxa"/>
              <w:bottom w:w="70" w:type="dxa"/>
              <w:end w:w="110" w:type="dxa"/>
            </w:tcMar>
          </w:tcPr>
          <w:p>
            <w:pPr>
              <w:widowControl/>
              <w:spacing w:after="0"/>
            </w:pPr>
            <w:r>
              <w:rPr>
                <w:rFonts w:ascii="Arial" w:hAnsi="Arial"/>
                <w:sz w:val="17"/>
              </w:rPr>
              <w:t>G. Computer Power Supplies</w:t>
            </w:r>
          </w:p>
        </w:tc>
        <w:tc>
          <w:tcPr>
            <w:tcW w:type="dxa" w:w="2340"/>
            <w:tcMar>
              <w:top w:w="70" w:type="dxa"/>
              <w:start w:w="110" w:type="dxa"/>
              <w:bottom w:w="70" w:type="dxa"/>
              <w:end w:w="110" w:type="dxa"/>
            </w:tcMar>
          </w:tcPr>
          <w:p>
            <w:pPr>
              <w:widowControl/>
              <w:spacing w:after="0"/>
            </w:pPr>
            <w:r>
              <w:rPr>
                <w:rFonts w:ascii="Arial" w:hAnsi="Arial"/>
                <w:sz w:val="17"/>
              </w:rPr>
              <w:t>Mexico</w:t>
            </w:r>
          </w:p>
        </w:tc>
        <w:tc>
          <w:tcPr>
            <w:tcW w:type="dxa" w:w="2340"/>
            <w:tcMar>
              <w:top w:w="70" w:type="dxa"/>
              <w:start w:w="110" w:type="dxa"/>
              <w:bottom w:w="70" w:type="dxa"/>
              <w:end w:w="110" w:type="dxa"/>
            </w:tcMar>
          </w:tcPr>
          <w:p>
            <w:pPr>
              <w:widowControl/>
              <w:spacing w:after="0"/>
            </w:pPr>
            <w:r>
              <w:rPr>
                <w:rFonts w:ascii="Arial" w:hAnsi="Arial"/>
                <w:sz w:val="17"/>
              </w:rPr>
              <w:t>8504.40.12; 8504.40.14; 8504.90.02; 8504.90.07; 8504.90.08</w:t>
            </w:r>
          </w:p>
        </w:tc>
        <w:tc>
          <w:tcPr>
            <w:tcW w:type="dxa" w:w="2340"/>
            <w:tcMar>
              <w:top w:w="70" w:type="dxa"/>
              <w:start w:w="110" w:type="dxa"/>
              <w:bottom w:w="70" w:type="dxa"/>
              <w:end w:w="110" w:type="dxa"/>
            </w:tcMar>
          </w:tcPr>
          <w:p>
            <w:pPr>
              <w:widowControl/>
              <w:spacing w:after="0"/>
            </w:pPr>
            <w:r>
              <w:rPr>
                <w:rFonts w:ascii="Arial" w:hAnsi="Arial"/>
                <w:sz w:val="17"/>
              </w:rPr>
              <w:t>parts of goods classified in tariff item 8504.40.12</w:t>
            </w:r>
          </w:p>
        </w:tc>
      </w:tr>
      <w:tr>
        <w:trPr>
          <w:cantSplit/>
        </w:trPr>
        <w:tc>
          <w:tcPr>
            <w:tcW w:type="dxa" w:w="2340"/>
            <w:tcMar>
              <w:top w:w="70" w:type="dxa"/>
              <w:start w:w="110" w:type="dxa"/>
              <w:bottom w:w="70" w:type="dxa"/>
              <w:end w:w="110" w:type="dxa"/>
            </w:tcMar>
            <w:shd w:fill="F4F6F7"/>
          </w:tcPr>
          <w:p>
            <w:pPr>
              <w:widowControl/>
              <w:spacing w:after="0"/>
            </w:pPr>
            <w:r>
              <w:rPr>
                <w:rFonts w:ascii="Arial" w:hAnsi="Arial"/>
                <w:sz w:val="17"/>
              </w:rPr>
              <w:t>G. Computer Power Supplies</w:t>
            </w:r>
          </w:p>
        </w:tc>
        <w:tc>
          <w:tcPr>
            <w:tcW w:type="dxa" w:w="2340"/>
            <w:tcMar>
              <w:top w:w="70" w:type="dxa"/>
              <w:start w:w="110" w:type="dxa"/>
              <w:bottom w:w="70" w:type="dxa"/>
              <w:end w:w="110" w:type="dxa"/>
            </w:tcMar>
            <w:shd w:fill="F4F6F7"/>
          </w:tcPr>
          <w:p>
            <w:pPr>
              <w:widowControl/>
              <w:spacing w:after="0"/>
            </w:pPr>
            <w:r>
              <w:rPr>
                <w:rFonts w:ascii="Arial" w:hAnsi="Arial"/>
                <w:sz w:val="17"/>
              </w:rPr>
              <w:t>United States</w:t>
            </w:r>
          </w:p>
        </w:tc>
        <w:tc>
          <w:tcPr>
            <w:tcW w:type="dxa" w:w="2340"/>
            <w:tcMar>
              <w:top w:w="70" w:type="dxa"/>
              <w:start w:w="110" w:type="dxa"/>
              <w:bottom w:w="70" w:type="dxa"/>
              <w:end w:w="110" w:type="dxa"/>
            </w:tcMar>
            <w:shd w:fill="F4F6F7"/>
          </w:tcPr>
          <w:p>
            <w:pPr>
              <w:widowControl/>
              <w:spacing w:after="0"/>
            </w:pPr>
            <w:r>
              <w:rPr>
                <w:rFonts w:ascii="Arial" w:hAnsi="Arial"/>
                <w:sz w:val="17"/>
              </w:rPr>
              <w:t>8504.40.60; 8504.40.70; 8504.90.20; 8504.90.41</w:t>
            </w:r>
          </w:p>
        </w:tc>
        <w:tc>
          <w:tcPr>
            <w:tcW w:type="dxa" w:w="2340"/>
            <w:tcMar>
              <w:top w:w="70" w:type="dxa"/>
              <w:start w:w="110" w:type="dxa"/>
              <w:bottom w:w="70" w:type="dxa"/>
              <w:end w:w="110" w:type="dxa"/>
            </w:tcMar>
            <w:shd w:fill="F4F6F7"/>
          </w:tcPr>
          <w:p>
            <w:pPr>
              <w:widowControl/>
              <w:spacing w:after="0"/>
            </w:pPr>
            <w:r>
              <w:rPr>
                <w:rFonts w:ascii="Arial" w:hAnsi="Arial"/>
                <w:sz w:val="17"/>
              </w:rPr>
            </w:r>
          </w:p>
        </w:tc>
      </w:tr>
    </w:tbl>
    <w:p>
      <w:pPr>
        <w:widowControl/>
      </w:pPr>
      <w:r>
        <w:rPr>
          <w:b/>
        </w:rPr>
        <w:t>Table 2.10.2</w:t>
      </w:r>
    </w:p>
    <w:tbl>
      <w:tblPr>
        <w:tblStyle w:val="TableGrid"/>
        <w:tblW w:type="auto" w:w="0"/>
        <w:jc w:val="center"/>
        <w:tblLayout w:type="autofit"/>
        <w:tblLook w:firstColumn="1" w:firstRow="1" w:lastColumn="0" w:lastRow="0" w:noHBand="0" w:noVBand="1" w:val="04A0"/>
      </w:tblPr>
      <w:tblGrid>
        <w:gridCol w:w="3120"/>
        <w:gridCol w:w="3120"/>
        <w:gridCol w:w="3120"/>
      </w:tblGrid>
      <w:tr>
        <w:trPr>
          <w:tblHeader w:val="true"/>
          <w:cantSplit/>
          <w:tblHeader w:val="true"/>
        </w:trPr>
        <w:tc>
          <w:tcPr>
            <w:tcW w:type="dxa" w:w="3120"/>
            <w:shd w:fill="233746"/>
          </w:tcPr>
          <w:p>
            <w:pPr>
              <w:spacing w:after="0"/>
            </w:pPr>
            <w:r>
              <w:rPr>
                <w:rFonts w:ascii="Arial" w:hAnsi="Arial"/>
                <w:b/>
                <w:color w:val="FFFFFF"/>
                <w:sz w:val="17"/>
              </w:rPr>
              <w:t>Category</w:t>
            </w:r>
          </w:p>
        </w:tc>
        <w:tc>
          <w:tcPr>
            <w:tcW w:type="dxa" w:w="3120"/>
            <w:shd w:fill="233746"/>
          </w:tcPr>
          <w:p>
            <w:pPr>
              <w:spacing w:after="0"/>
            </w:pPr>
            <w:r>
              <w:rPr>
                <w:rFonts w:ascii="Arial" w:hAnsi="Arial"/>
                <w:b/>
                <w:color w:val="FFFFFF"/>
                <w:sz w:val="17"/>
              </w:rPr>
              <w:t>Party</w:t>
            </w:r>
          </w:p>
        </w:tc>
        <w:tc>
          <w:tcPr>
            <w:tcW w:type="dxa" w:w="3120"/>
            <w:shd w:fill="233746"/>
          </w:tcPr>
          <w:p>
            <w:pPr>
              <w:spacing w:after="0"/>
            </w:pPr>
            <w:r>
              <w:rPr>
                <w:rFonts w:ascii="Arial" w:hAnsi="Arial"/>
                <w:b/>
                <w:color w:val="FFFFFF"/>
                <w:sz w:val="17"/>
              </w:rPr>
              <w:t>Tariff Provision(s)</w:t>
            </w:r>
          </w:p>
        </w:tc>
      </w:tr>
      <w:tr>
        <w:trPr>
          <w:cantSplit/>
        </w:trPr>
        <w:tc>
          <w:tcPr>
            <w:tcW w:type="dxa" w:w="3120"/>
            <w:tcMar>
              <w:top w:w="70" w:type="dxa"/>
              <w:start w:w="110" w:type="dxa"/>
              <w:bottom w:w="70" w:type="dxa"/>
              <w:end w:w="110" w:type="dxa"/>
            </w:tcMar>
          </w:tcPr>
          <w:p>
            <w:pPr>
              <w:widowControl/>
              <w:spacing w:after="0"/>
            </w:pPr>
            <w:r>
              <w:rPr>
                <w:rFonts w:ascii="Arial" w:hAnsi="Arial"/>
                <w:sz w:val="17"/>
              </w:rPr>
              <w:t>A. Metal Oxide Varistors</w:t>
            </w:r>
          </w:p>
        </w:tc>
        <w:tc>
          <w:tcPr>
            <w:tcW w:type="dxa" w:w="3120"/>
            <w:tcMar>
              <w:top w:w="70" w:type="dxa"/>
              <w:start w:w="110" w:type="dxa"/>
              <w:bottom w:w="70" w:type="dxa"/>
              <w:end w:w="110" w:type="dxa"/>
            </w:tcMar>
          </w:tcPr>
          <w:p>
            <w:pPr>
              <w:widowControl/>
              <w:spacing w:after="0"/>
            </w:pPr>
            <w:r>
              <w:rPr>
                <w:rFonts w:ascii="Arial" w:hAnsi="Arial"/>
                <w:sz w:val="17"/>
              </w:rPr>
              <w:t>Canada</w:t>
            </w:r>
          </w:p>
        </w:tc>
        <w:tc>
          <w:tcPr>
            <w:tcW w:type="dxa" w:w="3120"/>
            <w:tcMar>
              <w:top w:w="70" w:type="dxa"/>
              <w:start w:w="110" w:type="dxa"/>
              <w:bottom w:w="70" w:type="dxa"/>
              <w:end w:w="110" w:type="dxa"/>
            </w:tcMar>
          </w:tcPr>
          <w:p>
            <w:pPr>
              <w:widowControl/>
              <w:spacing w:after="0"/>
            </w:pPr>
            <w:r>
              <w:rPr>
                <w:rFonts w:ascii="Arial" w:hAnsi="Arial"/>
                <w:sz w:val="17"/>
              </w:rPr>
              <w:t>8533.40.00</w:t>
            </w:r>
          </w:p>
        </w:tc>
      </w:tr>
      <w:tr>
        <w:trPr>
          <w:cantSplit/>
        </w:trPr>
        <w:tc>
          <w:tcPr>
            <w:tcW w:type="dxa" w:w="3120"/>
            <w:tcMar>
              <w:top w:w="70" w:type="dxa"/>
              <w:start w:w="110" w:type="dxa"/>
              <w:bottom w:w="70" w:type="dxa"/>
              <w:end w:w="110" w:type="dxa"/>
            </w:tcMar>
            <w:shd w:fill="F4F6F7"/>
          </w:tcPr>
          <w:p>
            <w:pPr>
              <w:widowControl/>
              <w:spacing w:after="0"/>
            </w:pPr>
            <w:r>
              <w:rPr>
                <w:rFonts w:ascii="Arial" w:hAnsi="Arial"/>
                <w:sz w:val="17"/>
              </w:rPr>
              <w:t>A. Metal Oxide Varistors</w:t>
            </w:r>
          </w:p>
        </w:tc>
        <w:tc>
          <w:tcPr>
            <w:tcW w:type="dxa" w:w="3120"/>
            <w:tcMar>
              <w:top w:w="70" w:type="dxa"/>
              <w:start w:w="110" w:type="dxa"/>
              <w:bottom w:w="70" w:type="dxa"/>
              <w:end w:w="110" w:type="dxa"/>
            </w:tcMar>
            <w:shd w:fill="F4F6F7"/>
          </w:tcPr>
          <w:p>
            <w:pPr>
              <w:widowControl/>
              <w:spacing w:after="0"/>
            </w:pPr>
            <w:r>
              <w:rPr>
                <w:rFonts w:ascii="Arial" w:hAnsi="Arial"/>
                <w:sz w:val="17"/>
              </w:rPr>
              <w:t>Mexico</w:t>
            </w:r>
          </w:p>
        </w:tc>
        <w:tc>
          <w:tcPr>
            <w:tcW w:type="dxa" w:w="3120"/>
            <w:tcMar>
              <w:top w:w="70" w:type="dxa"/>
              <w:start w:w="110" w:type="dxa"/>
              <w:bottom w:w="70" w:type="dxa"/>
              <w:end w:w="110" w:type="dxa"/>
            </w:tcMar>
            <w:shd w:fill="F4F6F7"/>
          </w:tcPr>
          <w:p>
            <w:pPr>
              <w:widowControl/>
              <w:spacing w:after="0"/>
            </w:pPr>
            <w:r>
              <w:rPr>
                <w:rFonts w:ascii="Arial" w:hAnsi="Arial"/>
                <w:sz w:val="17"/>
              </w:rPr>
              <w:t>8533.40.05</w:t>
            </w:r>
          </w:p>
        </w:tc>
      </w:tr>
      <w:tr>
        <w:trPr>
          <w:cantSplit/>
        </w:trPr>
        <w:tc>
          <w:tcPr>
            <w:tcW w:type="dxa" w:w="3120"/>
            <w:tcMar>
              <w:top w:w="70" w:type="dxa"/>
              <w:start w:w="110" w:type="dxa"/>
              <w:bottom w:w="70" w:type="dxa"/>
              <w:end w:w="110" w:type="dxa"/>
            </w:tcMar>
          </w:tcPr>
          <w:p>
            <w:pPr>
              <w:widowControl/>
              <w:spacing w:after="0"/>
            </w:pPr>
            <w:r>
              <w:rPr>
                <w:rFonts w:ascii="Arial" w:hAnsi="Arial"/>
                <w:sz w:val="17"/>
              </w:rPr>
              <w:t>A. Metal Oxide Varistors</w:t>
            </w:r>
          </w:p>
        </w:tc>
        <w:tc>
          <w:tcPr>
            <w:tcW w:type="dxa" w:w="3120"/>
            <w:tcMar>
              <w:top w:w="70" w:type="dxa"/>
              <w:start w:w="110" w:type="dxa"/>
              <w:bottom w:w="70" w:type="dxa"/>
              <w:end w:w="110" w:type="dxa"/>
            </w:tcMar>
          </w:tcPr>
          <w:p>
            <w:pPr>
              <w:widowControl/>
              <w:spacing w:after="0"/>
            </w:pPr>
            <w:r>
              <w:rPr>
                <w:rFonts w:ascii="Arial" w:hAnsi="Arial"/>
                <w:sz w:val="17"/>
              </w:rPr>
              <w:t>United States</w:t>
            </w:r>
          </w:p>
        </w:tc>
        <w:tc>
          <w:tcPr>
            <w:tcW w:type="dxa" w:w="3120"/>
            <w:tcMar>
              <w:top w:w="70" w:type="dxa"/>
              <w:start w:w="110" w:type="dxa"/>
              <w:bottom w:w="70" w:type="dxa"/>
              <w:end w:w="110" w:type="dxa"/>
            </w:tcMar>
          </w:tcPr>
          <w:p>
            <w:pPr>
              <w:widowControl/>
              <w:spacing w:after="0"/>
            </w:pPr>
            <w:r>
              <w:rPr>
                <w:rFonts w:ascii="Arial" w:hAnsi="Arial"/>
                <w:sz w:val="17"/>
              </w:rPr>
              <w:t>8533.40.40</w:t>
            </w:r>
          </w:p>
        </w:tc>
      </w:tr>
      <w:tr>
        <w:trPr>
          <w:cantSplit/>
        </w:trPr>
        <w:tc>
          <w:tcPr>
            <w:tcW w:type="dxa" w:w="3120"/>
            <w:tcMar>
              <w:top w:w="70" w:type="dxa"/>
              <w:start w:w="110" w:type="dxa"/>
              <w:bottom w:w="70" w:type="dxa"/>
              <w:end w:w="110" w:type="dxa"/>
            </w:tcMar>
            <w:shd w:fill="F4F6F7"/>
          </w:tcPr>
          <w:p>
            <w:pPr>
              <w:widowControl/>
              <w:spacing w:after="0"/>
            </w:pPr>
            <w:r>
              <w:rPr>
                <w:rFonts w:ascii="Arial" w:hAnsi="Arial"/>
                <w:sz w:val="17"/>
              </w:rPr>
              <w:t>B. Diodes, Transistors and Similar Semiconductor Devices; Photosensitive Semiconductor Devices; Light Emitting Diodes; Mounted Piezo-electric Crystals</w:t>
            </w:r>
          </w:p>
        </w:tc>
        <w:tc>
          <w:tcPr>
            <w:tcW w:type="dxa" w:w="3120"/>
            <w:tcMar>
              <w:top w:w="70" w:type="dxa"/>
              <w:start w:w="110" w:type="dxa"/>
              <w:bottom w:w="70" w:type="dxa"/>
              <w:end w:w="110" w:type="dxa"/>
            </w:tcMar>
            <w:shd w:fill="F4F6F7"/>
          </w:tcPr>
          <w:p>
            <w:pPr>
              <w:widowControl/>
              <w:spacing w:after="0"/>
            </w:pPr>
            <w:r>
              <w:rPr>
                <w:rFonts w:ascii="Arial" w:hAnsi="Arial"/>
                <w:sz w:val="17"/>
              </w:rPr>
              <w:t>All Parties</w:t>
            </w:r>
          </w:p>
        </w:tc>
        <w:tc>
          <w:tcPr>
            <w:tcW w:type="dxa" w:w="3120"/>
            <w:tcMar>
              <w:top w:w="70" w:type="dxa"/>
              <w:start w:w="110" w:type="dxa"/>
              <w:bottom w:w="70" w:type="dxa"/>
              <w:end w:w="110" w:type="dxa"/>
            </w:tcMar>
            <w:shd w:fill="F4F6F7"/>
          </w:tcPr>
          <w:p>
            <w:pPr>
              <w:widowControl/>
              <w:spacing w:after="0"/>
            </w:pPr>
            <w:r>
              <w:rPr>
                <w:rFonts w:ascii="Arial" w:hAnsi="Arial"/>
                <w:sz w:val="17"/>
              </w:rPr>
              <w:t>8541.10; 8541.21; 8541.29; 8541.30; 8541.50; 8541.60; 8541.90</w:t>
            </w:r>
          </w:p>
        </w:tc>
      </w:tr>
      <w:tr>
        <w:trPr>
          <w:cantSplit/>
        </w:trPr>
        <w:tc>
          <w:tcPr>
            <w:tcW w:type="dxa" w:w="3120"/>
            <w:tcMar>
              <w:top w:w="70" w:type="dxa"/>
              <w:start w:w="110" w:type="dxa"/>
              <w:bottom w:w="70" w:type="dxa"/>
              <w:end w:w="110" w:type="dxa"/>
            </w:tcMar>
          </w:tcPr>
          <w:p>
            <w:pPr>
              <w:widowControl/>
              <w:spacing w:after="0"/>
            </w:pPr>
            <w:r>
              <w:rPr>
                <w:rFonts w:ascii="Arial" w:hAnsi="Arial"/>
                <w:sz w:val="17"/>
              </w:rPr>
              <w:t>B. Diodes, Transistors and Similar Semiconductor Devices; Photosensitive Semiconductor Devices; Light Emitting Diodes; Mounted Piezo-electric Crystals</w:t>
            </w:r>
          </w:p>
        </w:tc>
        <w:tc>
          <w:tcPr>
            <w:tcW w:type="dxa" w:w="3120"/>
            <w:tcMar>
              <w:top w:w="70" w:type="dxa"/>
              <w:start w:w="110" w:type="dxa"/>
              <w:bottom w:w="70" w:type="dxa"/>
              <w:end w:w="110" w:type="dxa"/>
            </w:tcMar>
          </w:tcPr>
          <w:p>
            <w:pPr>
              <w:widowControl/>
              <w:spacing w:after="0"/>
            </w:pPr>
            <w:r>
              <w:rPr>
                <w:rFonts w:ascii="Arial" w:hAnsi="Arial"/>
                <w:sz w:val="17"/>
              </w:rPr>
              <w:t>Canada</w:t>
            </w:r>
          </w:p>
        </w:tc>
        <w:tc>
          <w:tcPr>
            <w:tcW w:type="dxa" w:w="3120"/>
            <w:tcMar>
              <w:top w:w="70" w:type="dxa"/>
              <w:start w:w="110" w:type="dxa"/>
              <w:bottom w:w="70" w:type="dxa"/>
              <w:end w:w="110" w:type="dxa"/>
            </w:tcMar>
          </w:tcPr>
          <w:p>
            <w:pPr>
              <w:widowControl/>
              <w:spacing w:after="0"/>
            </w:pPr>
            <w:r>
              <w:rPr>
                <w:rFonts w:ascii="Arial" w:hAnsi="Arial"/>
                <w:sz w:val="17"/>
              </w:rPr>
              <w:t>8541.40</w:t>
            </w:r>
          </w:p>
        </w:tc>
      </w:tr>
      <w:tr>
        <w:trPr>
          <w:cantSplit/>
        </w:trPr>
        <w:tc>
          <w:tcPr>
            <w:tcW w:type="dxa" w:w="3120"/>
            <w:tcMar>
              <w:top w:w="70" w:type="dxa"/>
              <w:start w:w="110" w:type="dxa"/>
              <w:bottom w:w="70" w:type="dxa"/>
              <w:end w:w="110" w:type="dxa"/>
            </w:tcMar>
            <w:shd w:fill="F4F6F7"/>
          </w:tcPr>
          <w:p>
            <w:pPr>
              <w:widowControl/>
              <w:spacing w:after="0"/>
            </w:pPr>
            <w:r>
              <w:rPr>
                <w:rFonts w:ascii="Arial" w:hAnsi="Arial"/>
                <w:sz w:val="17"/>
              </w:rPr>
              <w:t>B. Diodes, Transistors and Similar Semiconductor Devices; Photosensitive Semiconductor Devices; Light Emitting Diodes; Mounted Piezo-electric Crystals</w:t>
            </w:r>
          </w:p>
        </w:tc>
        <w:tc>
          <w:tcPr>
            <w:tcW w:type="dxa" w:w="3120"/>
            <w:tcMar>
              <w:top w:w="70" w:type="dxa"/>
              <w:start w:w="110" w:type="dxa"/>
              <w:bottom w:w="70" w:type="dxa"/>
              <w:end w:w="110" w:type="dxa"/>
            </w:tcMar>
            <w:shd w:fill="F4F6F7"/>
          </w:tcPr>
          <w:p>
            <w:pPr>
              <w:widowControl/>
              <w:spacing w:after="0"/>
            </w:pPr>
            <w:r>
              <w:rPr>
                <w:rFonts w:ascii="Arial" w:hAnsi="Arial"/>
                <w:sz w:val="17"/>
              </w:rPr>
              <w:t>Mexico</w:t>
            </w:r>
          </w:p>
        </w:tc>
        <w:tc>
          <w:tcPr>
            <w:tcW w:type="dxa" w:w="3120"/>
            <w:tcMar>
              <w:top w:w="70" w:type="dxa"/>
              <w:start w:w="110" w:type="dxa"/>
              <w:bottom w:w="70" w:type="dxa"/>
              <w:end w:w="110" w:type="dxa"/>
            </w:tcMar>
            <w:shd w:fill="F4F6F7"/>
          </w:tcPr>
          <w:p>
            <w:pPr>
              <w:widowControl/>
              <w:spacing w:after="0"/>
            </w:pPr>
            <w:r>
              <w:rPr>
                <w:rFonts w:ascii="Arial" w:hAnsi="Arial"/>
                <w:sz w:val="17"/>
              </w:rPr>
              <w:t>8541.40.01; 8541.40.02; 8541.40.03</w:t>
            </w:r>
          </w:p>
        </w:tc>
      </w:tr>
      <w:tr>
        <w:trPr>
          <w:cantSplit/>
        </w:trPr>
        <w:tc>
          <w:tcPr>
            <w:tcW w:type="dxa" w:w="3120"/>
            <w:tcMar>
              <w:top w:w="70" w:type="dxa"/>
              <w:start w:w="110" w:type="dxa"/>
              <w:bottom w:w="70" w:type="dxa"/>
              <w:end w:w="110" w:type="dxa"/>
            </w:tcMar>
          </w:tcPr>
          <w:p>
            <w:pPr>
              <w:widowControl/>
              <w:spacing w:after="0"/>
            </w:pPr>
            <w:r>
              <w:rPr>
                <w:rFonts w:ascii="Arial" w:hAnsi="Arial"/>
                <w:sz w:val="17"/>
              </w:rPr>
              <w:t>B. Diodes, Transistors and Similar Semiconductor Devices; Photosensitive Semiconductor Devices; Light Emitting Diodes; Mounted Piezo-electric Crystals</w:t>
            </w:r>
          </w:p>
        </w:tc>
        <w:tc>
          <w:tcPr>
            <w:tcW w:type="dxa" w:w="3120"/>
            <w:tcMar>
              <w:top w:w="70" w:type="dxa"/>
              <w:start w:w="110" w:type="dxa"/>
              <w:bottom w:w="70" w:type="dxa"/>
              <w:end w:w="110" w:type="dxa"/>
            </w:tcMar>
          </w:tcPr>
          <w:p>
            <w:pPr>
              <w:widowControl/>
              <w:spacing w:after="0"/>
            </w:pPr>
            <w:r>
              <w:rPr>
                <w:rFonts w:ascii="Arial" w:hAnsi="Arial"/>
                <w:sz w:val="17"/>
              </w:rPr>
              <w:t>United States</w:t>
            </w:r>
          </w:p>
        </w:tc>
        <w:tc>
          <w:tcPr>
            <w:tcW w:type="dxa" w:w="3120"/>
            <w:tcMar>
              <w:top w:w="70" w:type="dxa"/>
              <w:start w:w="110" w:type="dxa"/>
              <w:bottom w:w="70" w:type="dxa"/>
              <w:end w:w="110" w:type="dxa"/>
            </w:tcMar>
          </w:tcPr>
          <w:p>
            <w:pPr>
              <w:widowControl/>
              <w:spacing w:after="0"/>
            </w:pPr>
            <w:r>
              <w:rPr>
                <w:rFonts w:ascii="Arial" w:hAnsi="Arial"/>
                <w:sz w:val="17"/>
              </w:rPr>
              <w:t>8541.40.20; 8541.40.60; 8541.40.70; 8541.40.80; 8541.40.95</w:t>
            </w:r>
          </w:p>
        </w:tc>
      </w:tr>
      <w:tr>
        <w:trPr>
          <w:cantSplit/>
        </w:trPr>
        <w:tc>
          <w:tcPr>
            <w:tcW w:type="dxa" w:w="3120"/>
            <w:tcMar>
              <w:top w:w="70" w:type="dxa"/>
              <w:start w:w="110" w:type="dxa"/>
              <w:bottom w:w="70" w:type="dxa"/>
              <w:end w:w="110" w:type="dxa"/>
            </w:tcMar>
            <w:shd w:fill="F4F6F7"/>
          </w:tcPr>
          <w:p>
            <w:pPr>
              <w:widowControl/>
              <w:spacing w:after="0"/>
            </w:pPr>
            <w:r>
              <w:rPr>
                <w:rFonts w:ascii="Arial" w:hAnsi="Arial"/>
                <w:sz w:val="17"/>
              </w:rPr>
              <w:t>C. Electronic Integrated Circuits and Microassemblies</w:t>
            </w:r>
          </w:p>
        </w:tc>
        <w:tc>
          <w:tcPr>
            <w:tcW w:type="dxa" w:w="3120"/>
            <w:tcMar>
              <w:top w:w="70" w:type="dxa"/>
              <w:start w:w="110" w:type="dxa"/>
              <w:bottom w:w="70" w:type="dxa"/>
              <w:end w:w="110" w:type="dxa"/>
            </w:tcMar>
            <w:shd w:fill="F4F6F7"/>
          </w:tcPr>
          <w:p>
            <w:pPr>
              <w:widowControl/>
              <w:spacing w:after="0"/>
            </w:pPr>
            <w:r>
              <w:rPr>
                <w:rFonts w:ascii="Arial" w:hAnsi="Arial"/>
                <w:sz w:val="17"/>
              </w:rPr>
              <w:t>Canada</w:t>
            </w:r>
          </w:p>
        </w:tc>
        <w:tc>
          <w:tcPr>
            <w:tcW w:type="dxa" w:w="3120"/>
            <w:tcMar>
              <w:top w:w="70" w:type="dxa"/>
              <w:start w:w="110" w:type="dxa"/>
              <w:bottom w:w="70" w:type="dxa"/>
              <w:end w:w="110" w:type="dxa"/>
            </w:tcMar>
            <w:shd w:fill="F4F6F7"/>
          </w:tcPr>
          <w:p>
            <w:pPr>
              <w:widowControl/>
              <w:spacing w:after="0"/>
            </w:pPr>
            <w:r>
              <w:rPr>
                <w:rFonts w:ascii="Arial" w:hAnsi="Arial"/>
                <w:sz w:val="17"/>
              </w:rPr>
              <w:t>8548.90.00</w:t>
            </w:r>
          </w:p>
        </w:tc>
      </w:tr>
      <w:tr>
        <w:trPr>
          <w:cantSplit/>
        </w:trPr>
        <w:tc>
          <w:tcPr>
            <w:tcW w:type="dxa" w:w="3120"/>
            <w:tcMar>
              <w:top w:w="70" w:type="dxa"/>
              <w:start w:w="110" w:type="dxa"/>
              <w:bottom w:w="70" w:type="dxa"/>
              <w:end w:w="110" w:type="dxa"/>
            </w:tcMar>
          </w:tcPr>
          <w:p>
            <w:pPr>
              <w:widowControl/>
              <w:spacing w:after="0"/>
            </w:pPr>
            <w:r>
              <w:rPr>
                <w:rFonts w:ascii="Arial" w:hAnsi="Arial"/>
                <w:sz w:val="17"/>
              </w:rPr>
              <w:t>C. Electronic Integrated Circuits and Microassemblies</w:t>
            </w:r>
          </w:p>
        </w:tc>
        <w:tc>
          <w:tcPr>
            <w:tcW w:type="dxa" w:w="3120"/>
            <w:tcMar>
              <w:top w:w="70" w:type="dxa"/>
              <w:start w:w="110" w:type="dxa"/>
              <w:bottom w:w="70" w:type="dxa"/>
              <w:end w:w="110" w:type="dxa"/>
            </w:tcMar>
          </w:tcPr>
          <w:p>
            <w:pPr>
              <w:widowControl/>
              <w:spacing w:after="0"/>
            </w:pPr>
            <w:r>
              <w:rPr>
                <w:rFonts w:ascii="Arial" w:hAnsi="Arial"/>
                <w:sz w:val="17"/>
              </w:rPr>
              <w:t>Mexico</w:t>
            </w:r>
          </w:p>
        </w:tc>
        <w:tc>
          <w:tcPr>
            <w:tcW w:type="dxa" w:w="3120"/>
            <w:tcMar>
              <w:top w:w="70" w:type="dxa"/>
              <w:start w:w="110" w:type="dxa"/>
              <w:bottom w:w="70" w:type="dxa"/>
              <w:end w:w="110" w:type="dxa"/>
            </w:tcMar>
          </w:tcPr>
          <w:p>
            <w:pPr>
              <w:widowControl/>
              <w:spacing w:after="0"/>
            </w:pPr>
            <w:r>
              <w:rPr>
                <w:rFonts w:ascii="Arial" w:hAnsi="Arial"/>
                <w:sz w:val="17"/>
              </w:rPr>
              <w:t>8548.90.04</w:t>
            </w:r>
          </w:p>
        </w:tc>
      </w:tr>
      <w:tr>
        <w:trPr>
          <w:cantSplit/>
        </w:trPr>
        <w:tc>
          <w:tcPr>
            <w:tcW w:type="dxa" w:w="3120"/>
            <w:tcMar>
              <w:top w:w="70" w:type="dxa"/>
              <w:start w:w="110" w:type="dxa"/>
              <w:bottom w:w="70" w:type="dxa"/>
              <w:end w:w="110" w:type="dxa"/>
            </w:tcMar>
            <w:shd w:fill="F4F6F7"/>
          </w:tcPr>
          <w:p>
            <w:pPr>
              <w:widowControl/>
              <w:spacing w:after="0"/>
            </w:pPr>
            <w:r>
              <w:rPr>
                <w:rFonts w:ascii="Arial" w:hAnsi="Arial"/>
                <w:sz w:val="17"/>
              </w:rPr>
              <w:t>C. Electronic Integrated Circuits and Microassemblies</w:t>
            </w:r>
          </w:p>
        </w:tc>
        <w:tc>
          <w:tcPr>
            <w:tcW w:type="dxa" w:w="3120"/>
            <w:tcMar>
              <w:top w:w="70" w:type="dxa"/>
              <w:start w:w="110" w:type="dxa"/>
              <w:bottom w:w="70" w:type="dxa"/>
              <w:end w:w="110" w:type="dxa"/>
            </w:tcMar>
            <w:shd w:fill="F4F6F7"/>
          </w:tcPr>
          <w:p>
            <w:pPr>
              <w:widowControl/>
              <w:spacing w:after="0"/>
            </w:pPr>
            <w:r>
              <w:rPr>
                <w:rFonts w:ascii="Arial" w:hAnsi="Arial"/>
                <w:sz w:val="17"/>
              </w:rPr>
              <w:t>United States</w:t>
            </w:r>
          </w:p>
        </w:tc>
        <w:tc>
          <w:tcPr>
            <w:tcW w:type="dxa" w:w="3120"/>
            <w:tcMar>
              <w:top w:w="70" w:type="dxa"/>
              <w:start w:w="110" w:type="dxa"/>
              <w:bottom w:w="70" w:type="dxa"/>
              <w:end w:w="110" w:type="dxa"/>
            </w:tcMar>
            <w:shd w:fill="F4F6F7"/>
          </w:tcPr>
          <w:p>
            <w:pPr>
              <w:widowControl/>
              <w:spacing w:after="0"/>
            </w:pPr>
            <w:r>
              <w:rPr>
                <w:rFonts w:ascii="Arial" w:hAnsi="Arial"/>
                <w:sz w:val="17"/>
              </w:rPr>
              <w:t>8548.90.01</w:t>
            </w:r>
          </w:p>
        </w:tc>
      </w:tr>
    </w:tbl>
    <w:p>
      <w:pPr>
        <w:widowControl/>
      </w:pPr>
      <w:r>
        <w:rPr>
          <w:b/>
        </w:rPr>
        <w:t>Table 2.10.3</w:t>
      </w:r>
    </w:p>
    <w:tbl>
      <w:tblPr>
        <w:tblStyle w:val="TableGrid"/>
        <w:tblW w:type="auto" w:w="0"/>
        <w:jc w:val="center"/>
        <w:tblLayout w:type="autofit"/>
        <w:tblLook w:firstColumn="1" w:firstRow="1" w:lastColumn="0" w:lastRow="0" w:noHBand="0" w:noVBand="1" w:val="04A0"/>
      </w:tblPr>
      <w:tblGrid>
        <w:gridCol w:w="3120"/>
        <w:gridCol w:w="3120"/>
        <w:gridCol w:w="3120"/>
      </w:tblGrid>
      <w:tr>
        <w:trPr>
          <w:tblHeader w:val="true"/>
          <w:cantSplit/>
          <w:tblHeader w:val="true"/>
        </w:trPr>
        <w:tc>
          <w:tcPr>
            <w:tcW w:type="dxa" w:w="3120"/>
            <w:shd w:fill="233746"/>
          </w:tcPr>
          <w:p>
            <w:pPr>
              <w:spacing w:after="0"/>
            </w:pPr>
            <w:r>
              <w:rPr>
                <w:rFonts w:ascii="Arial" w:hAnsi="Arial"/>
                <w:b/>
                <w:color w:val="FFFFFF"/>
                <w:sz w:val="17"/>
              </w:rPr>
              <w:t>Category</w:t>
            </w:r>
          </w:p>
        </w:tc>
        <w:tc>
          <w:tcPr>
            <w:tcW w:type="dxa" w:w="3120"/>
            <w:shd w:fill="233746"/>
          </w:tcPr>
          <w:p>
            <w:pPr>
              <w:spacing w:after="0"/>
            </w:pPr>
            <w:r>
              <w:rPr>
                <w:rFonts w:ascii="Arial" w:hAnsi="Arial"/>
                <w:b/>
                <w:color w:val="FFFFFF"/>
                <w:sz w:val="17"/>
              </w:rPr>
              <w:t>Party</w:t>
            </w:r>
          </w:p>
        </w:tc>
        <w:tc>
          <w:tcPr>
            <w:tcW w:type="dxa" w:w="3120"/>
            <w:shd w:fill="233746"/>
          </w:tcPr>
          <w:p>
            <w:pPr>
              <w:spacing w:after="0"/>
            </w:pPr>
            <w:r>
              <w:rPr>
                <w:rFonts w:ascii="Arial" w:hAnsi="Arial"/>
                <w:b/>
                <w:color w:val="FFFFFF"/>
                <w:sz w:val="17"/>
              </w:rPr>
              <w:t>Tariff Provision</w:t>
            </w:r>
          </w:p>
        </w:tc>
      </w:tr>
      <w:tr>
        <w:trPr>
          <w:cantSplit/>
        </w:trPr>
        <w:tc>
          <w:tcPr>
            <w:tcW w:type="dxa" w:w="3120"/>
            <w:tcMar>
              <w:top w:w="70" w:type="dxa"/>
              <w:start w:w="110" w:type="dxa"/>
              <w:bottom w:w="70" w:type="dxa"/>
              <w:end w:w="110" w:type="dxa"/>
            </w:tcMar>
          </w:tcPr>
          <w:p>
            <w:pPr>
              <w:widowControl/>
              <w:spacing w:after="0"/>
            </w:pPr>
            <w:r>
              <w:rPr>
                <w:rFonts w:ascii="Arial" w:hAnsi="Arial"/>
                <w:sz w:val="17"/>
              </w:rPr>
              <w:t>Local Area Network (LAN) Apparatus</w:t>
            </w:r>
          </w:p>
        </w:tc>
        <w:tc>
          <w:tcPr>
            <w:tcW w:type="dxa" w:w="3120"/>
            <w:tcMar>
              <w:top w:w="70" w:type="dxa"/>
              <w:start w:w="110" w:type="dxa"/>
              <w:bottom w:w="70" w:type="dxa"/>
              <w:end w:w="110" w:type="dxa"/>
            </w:tcMar>
          </w:tcPr>
          <w:p>
            <w:pPr>
              <w:widowControl/>
              <w:spacing w:after="0"/>
            </w:pPr>
            <w:r>
              <w:rPr>
                <w:rFonts w:ascii="Arial" w:hAnsi="Arial"/>
                <w:sz w:val="17"/>
              </w:rPr>
              <w:t>Canada</w:t>
            </w:r>
          </w:p>
        </w:tc>
        <w:tc>
          <w:tcPr>
            <w:tcW w:type="dxa" w:w="3120"/>
            <w:tcMar>
              <w:top w:w="70" w:type="dxa"/>
              <w:start w:w="110" w:type="dxa"/>
              <w:bottom w:w="70" w:type="dxa"/>
              <w:end w:w="110" w:type="dxa"/>
            </w:tcMar>
          </w:tcPr>
          <w:p>
            <w:pPr>
              <w:widowControl/>
              <w:spacing w:after="0"/>
            </w:pPr>
            <w:r>
              <w:rPr>
                <w:rFonts w:ascii="Arial" w:hAnsi="Arial"/>
                <w:sz w:val="17"/>
              </w:rPr>
              <w:t>8517.62.00</w:t>
            </w:r>
          </w:p>
        </w:tc>
      </w:tr>
      <w:tr>
        <w:trPr>
          <w:cantSplit/>
        </w:trPr>
        <w:tc>
          <w:tcPr>
            <w:tcW w:type="dxa" w:w="3120"/>
            <w:tcMar>
              <w:top w:w="70" w:type="dxa"/>
              <w:start w:w="110" w:type="dxa"/>
              <w:bottom w:w="70" w:type="dxa"/>
              <w:end w:w="110" w:type="dxa"/>
            </w:tcMar>
            <w:shd w:fill="F4F6F7"/>
          </w:tcPr>
          <w:p>
            <w:pPr>
              <w:widowControl/>
              <w:spacing w:after="0"/>
            </w:pPr>
            <w:r>
              <w:rPr>
                <w:rFonts w:ascii="Arial" w:hAnsi="Arial"/>
                <w:sz w:val="17"/>
              </w:rPr>
              <w:t>Local Area Network (LAN) Apparatus</w:t>
            </w:r>
          </w:p>
        </w:tc>
        <w:tc>
          <w:tcPr>
            <w:tcW w:type="dxa" w:w="3120"/>
            <w:tcMar>
              <w:top w:w="70" w:type="dxa"/>
              <w:start w:w="110" w:type="dxa"/>
              <w:bottom w:w="70" w:type="dxa"/>
              <w:end w:w="110" w:type="dxa"/>
            </w:tcMar>
            <w:shd w:fill="F4F6F7"/>
          </w:tcPr>
          <w:p>
            <w:pPr>
              <w:widowControl/>
              <w:spacing w:after="0"/>
            </w:pPr>
            <w:r>
              <w:rPr>
                <w:rFonts w:ascii="Arial" w:hAnsi="Arial"/>
                <w:sz w:val="17"/>
              </w:rPr>
              <w:t>Mexico</w:t>
            </w:r>
          </w:p>
        </w:tc>
        <w:tc>
          <w:tcPr>
            <w:tcW w:type="dxa" w:w="3120"/>
            <w:tcMar>
              <w:top w:w="70" w:type="dxa"/>
              <w:start w:w="110" w:type="dxa"/>
              <w:bottom w:w="70" w:type="dxa"/>
              <w:end w:w="110" w:type="dxa"/>
            </w:tcMar>
            <w:shd w:fill="F4F6F7"/>
          </w:tcPr>
          <w:p>
            <w:pPr>
              <w:widowControl/>
              <w:spacing w:after="0"/>
            </w:pPr>
            <w:r>
              <w:rPr>
                <w:rFonts w:ascii="Arial" w:hAnsi="Arial"/>
                <w:sz w:val="17"/>
              </w:rPr>
              <w:t>8517.62.01</w:t>
            </w:r>
          </w:p>
        </w:tc>
      </w:tr>
      <w:tr>
        <w:trPr>
          <w:cantSplit/>
        </w:trPr>
        <w:tc>
          <w:tcPr>
            <w:tcW w:type="dxa" w:w="3120"/>
            <w:tcMar>
              <w:top w:w="70" w:type="dxa"/>
              <w:start w:w="110" w:type="dxa"/>
              <w:bottom w:w="70" w:type="dxa"/>
              <w:end w:w="110" w:type="dxa"/>
            </w:tcMar>
          </w:tcPr>
          <w:p>
            <w:pPr>
              <w:widowControl/>
              <w:spacing w:after="0"/>
            </w:pPr>
            <w:r>
              <w:rPr>
                <w:rFonts w:ascii="Arial" w:hAnsi="Arial"/>
                <w:sz w:val="17"/>
              </w:rPr>
              <w:t>Local Area Network (LAN) Apparatus</w:t>
            </w:r>
          </w:p>
        </w:tc>
        <w:tc>
          <w:tcPr>
            <w:tcW w:type="dxa" w:w="3120"/>
            <w:tcMar>
              <w:top w:w="70" w:type="dxa"/>
              <w:start w:w="110" w:type="dxa"/>
              <w:bottom w:w="70" w:type="dxa"/>
              <w:end w:w="110" w:type="dxa"/>
            </w:tcMar>
          </w:tcPr>
          <w:p>
            <w:pPr>
              <w:widowControl/>
              <w:spacing w:after="0"/>
            </w:pPr>
            <w:r>
              <w:rPr>
                <w:rFonts w:ascii="Arial" w:hAnsi="Arial"/>
                <w:sz w:val="17"/>
              </w:rPr>
              <w:t>United States</w:t>
            </w:r>
          </w:p>
        </w:tc>
        <w:tc>
          <w:tcPr>
            <w:tcW w:type="dxa" w:w="3120"/>
            <w:tcMar>
              <w:top w:w="70" w:type="dxa"/>
              <w:start w:w="110" w:type="dxa"/>
              <w:bottom w:w="70" w:type="dxa"/>
              <w:end w:w="110" w:type="dxa"/>
            </w:tcMar>
          </w:tcPr>
          <w:p>
            <w:pPr>
              <w:widowControl/>
              <w:spacing w:after="0"/>
            </w:pPr>
            <w:r>
              <w:rPr>
                <w:rFonts w:ascii="Arial" w:hAnsi="Arial"/>
                <w:sz w:val="17"/>
              </w:rPr>
              <w:t>8517.62.00</w:t>
            </w:r>
          </w:p>
        </w:tc>
      </w:tr>
    </w:tbl>
    <w:p>
      <w:pPr>
        <w:pStyle w:val="Normal"/>
        <w:keepNext w:val="true"/>
        <w:widowControl/>
        <w:rPr/>
      </w:pPr>
      <w:r>
        <w:rPr/>
        <w:t>Article 2.11: Import and Export Restrictions 1. Except as otherwise provided in this Agreement, no Party shall adopt or maintain any prohibition or restriction on the importation of any good of another Party or on the exportation or sale for export of any good destined for the territory of another Party, except in accordance with Article XI of the GATT 1994, including its interpretative notes, and to this end Article XI of the GATT 1994 and its interpretative notes are incorporated into and made a part of this Agreement, mutatis mutandis. 2. The Parties understand that GATT 1994 rights and obligations incorporated by paragraph 1 prohibit, in any circumstances in which any other form of restriction is prohibited, a Party from adopting or maintaining: (a) an export or import price requirement, except as permitted in enforcement of antidumping and countervailing duty orders or price undertakings; (b) import licensing conditioned on the fulfilment of a performance requirement; or (c) a voluntary export restraint inconsistent with Article VI of the GATT 1994, as implemented under Article 18 of the SCM Agreement and Article 8.1 of the AD Agreement. 3.</w:t>
      </w:r>
    </w:p>
    <w:p>
      <w:pPr>
        <w:pStyle w:val="Normal"/>
        <w:widowControl/>
        <w:rPr/>
      </w:pPr>
      <w:r>
        <w:rPr/>
        <w:t>If a Party adopts or maintains a prohibition or restriction on the importation from or exportation to a non-Party of a good, nothing in this Agreement shall be construed to prevent that Party from: (a) limiting or prohibiting the importation of the good of that non-Party from the territory of another Party; or (b) requiring, as a condition for exporting the good of the Party to the territory of another Party, that the good not be re-exported to the non-Party, directly or indirectly, without being consumed in the territory of the other Party. 4. If a Party adopts or maintains a prohibition or restriction on the importation of a good from a non-Party, the Parties, on the request of a Party, shall consult with a view to avoiding undue interference with or distortion of pricing, marketing, or distribution arrangements in another Party. 5.</w:t>
      </w:r>
    </w:p>
    <w:p>
      <w:pPr>
        <w:pStyle w:val="Normal"/>
        <w:widowControl/>
        <w:rPr/>
      </w:pPr>
      <w:r>
        <w:rPr/>
        <w:t>No Party shall as a condition for engaging in importation generally, or for the importation of a particular good, require a person of another Party to establish or maintain a contractual or other relationship with a distributor in its territory. 6. For greater certainty, paragraph 5 does not prevent a Party from requiring that a person referred to in that paragraph designate a point of contact for the purpose of facilitating communications between its regulatory authorities and that person. 7.</w:t>
      </w:r>
    </w:p>
    <w:p>
      <w:pPr>
        <w:pStyle w:val="Normal"/>
        <w:widowControl/>
        <w:rPr/>
      </w:pPr>
      <w:r>
        <w:rPr/>
        <w:t>Paragraphs 1 through 6 do not apply to the measures set out in Annex 2-A (Exceptions to Article 2.3 (National Treatment) and Article 2.11 (Import and Export Restrictions)). 8. For greater certainty, paragraph 1 applies to the importation of any good implementing or incorporating cryptography, if the good is not designed or modified specifically for government use and is sold or otherwise made available to the public. 9. For greater certainty, no Party shall adopt or maintain a prohibition or restriction on the importation of originating used vehicles from the territory of another Party. This Article does not prevent a Party from applying motor vehicle safety or emissions measures, or vehicle registration requirements, of general application to originating used vehicles in a manner consistent with this Agreement.</w:t>
      </w:r>
    </w:p>
    <w:p>
      <w:pPr>
        <w:pStyle w:val="Normal"/>
        <w:keepNext w:val="true"/>
        <w:widowControl/>
        <w:rPr/>
      </w:pPr>
      <w:r>
        <w:rPr/>
        <w:t>Article 2.12: Remanufactured Goods 1. For greater certainty, Article 2.11.1 (Import and Export Restrictions) applies to prohibitions and restrictions on a remanufactured good. 2. Subject to its obligations under this Agreement and the WTO Agreement, a Party may require that a remanufactured good: (a) be identified as such, including through labelling, for distribution or sale in its territory, and (b) meet all applicable technical requirements that apply to an equivalent good in new condition. 3. If a Party adopts or maintains a prohibition or a restriction on a used good, it shall not apply the measure to a remanufactured good.</w:t>
      </w:r>
    </w:p>
    <w:p>
      <w:pPr>
        <w:pStyle w:val="Normal"/>
        <w:keepNext w:val="true"/>
        <w:widowControl/>
        <w:rPr/>
      </w:pPr>
      <w:r>
        <w:rPr/>
        <w:t>Article 2.13: Transparency in Import Licensing Procedures 1. Subject to paragraph 2, each Party shall notify the other Parties of its existing import licensing procedures, if any, as soon as practicable, after this Agreement enters into force. The notification shall: (a) include the information specified in Article 5.2 of the Import Licensing Agreement and in the annual questionnaire on import licensing procedures described in Article 7.3 of the Import Licensing Agreement; and (b) be without prejudice as to whether the import licensing procedures are consistent with this Agreement. 2. A Party shall be deemed to be in compliance with the obligations in paragraph 1 with respect to an import licensing procedure if:</w:t>
      </w:r>
    </w:p>
    <w:p>
      <w:pPr>
        <w:pStyle w:val="Normal"/>
        <w:widowControl/>
        <w:rPr/>
      </w:pPr>
      <w:r>
        <w:rPr/>
        <w:t>(a) it has notified that procedure to the Committee on Import Licensing established under Article 4 of the Import Licensing Agreement together with the information specified in Article 5.2 of that agreement; and (b) it has provided the information requested in the questionnaire on import licensing procedures under Article 7.3 of the Import Licensing Agreement in its most recent submission to the Committee on Import Licensing before the entry into force of this Agreement. 3. A Party shall publish on an official government website any new or modified import licensing procedure, including any information that it is required to be published under Article 1.4(a) of the Import Licensing Agreement.</w:t>
      </w:r>
    </w:p>
    <w:p>
      <w:pPr>
        <w:pStyle w:val="Normal"/>
        <w:widowControl/>
        <w:rPr/>
      </w:pPr>
      <w:r>
        <w:rPr/>
        <w:t>To the extent possible, the Party shall do so at least 20 days before the new procedure or modification takes effect. 4. Each Party shall respond within 60 days to a reasonable inquiry from another Party concerning its licensing rules and its procedures for the submission of an application for an import license, including the eligibility of persons, firms, and institutions to make an application, any administrative body to be approached, and the list of products subject to the licensing requirement. 5. If a Party denies an import license application with respect to a good of another Party, it shall, on request of the applicant and within a reasonable period after receiving the request, provide the applicant with a written explanation of the reason for the denial. 6. No Party shall apply an import licensing procedure to a good of another Party unless the Party has complied with the requirements of paragraphs 1 or 2, and 3, with respect to that procedure.</w:t>
      </w:r>
    </w:p>
    <w:p>
      <w:pPr>
        <w:pStyle w:val="Normal"/>
        <w:keepNext w:val="true"/>
        <w:widowControl/>
        <w:rPr/>
      </w:pPr>
      <w:r>
        <w:rPr/>
        <w:t>Article 2.14: Transparency in Export Licensing Procedures 1. Within 30 days after the date of entry into force of this Agreement, each Party shall notify the other Parties in writing of the publications in which its export licensing procedures, if any, are set out, including addresses of relevant government websites on which the procedures are published. Thereafter, each Party shall publish any new export licensing procedure, or any modification of an export licensing procedure, it adopts as soon as practicable but no later than 30 days after the new procedure or modification takes effect. 2. Each Party shall ensure that it includes in the publications it has notified under paragraph 1: (a) the texts of its export licensing procedures, including any modifications it makes to those procedures; (b) the goods subject to each licensing procedure; (c) for each licensing procedure, a description of:</w:t>
      </w:r>
    </w:p>
    <w:p>
      <w:pPr>
        <w:pStyle w:val="Normal"/>
        <w:widowControl/>
        <w:rPr/>
      </w:pPr>
      <w:r>
        <w:rPr/>
        <w:t>(i) the process for applying for a license, and (ii) any criteria an applicant must meet to be eligible to apply for a license, such as possessing an activity license, establishing or maintaining an investment, or operating through a particular form of establishment in a Party’s territory; (d) a contact point from which interested persons can obtain further information on the conditions for obtaining an export license; (e) any administrative body to which an application or other relevant documentation is to be submitted; (f) a description of or a citation to a publication reproducing</w:t>
      </w:r>
    </w:p>
    <w:p>
      <w:pPr>
        <w:pStyle w:val="Normal"/>
        <w:widowControl/>
        <w:rPr/>
      </w:pPr>
      <w:r>
        <w:rPr/>
        <w:t>in full any measure that the export licensing procedure implements; (g) the period during which each export licensing procedure will be in effect, unless the procedure will remain in effect until withdrawn or revised in a new publication; (h) if the Party intends to use a licensing procedure to administer an export quota, the overall quantity and, if practicable, the value of the quota, and the opening and closing dates of the quota; and (i) any exemptions from or exceptions to the requirement to obtain an export license that are available to the public, how to request or use these exemptions or exceptions, and the criteria for the exemptions or exceptions. 3. Each Party shall provide another Party, upon the other Party’s request and to the extent practicable, the following information regarding a particular export licensing procedure that it adopts or maintains, except when doing so would reveal business proprietary or other confidential information of a particular person:</w:t>
      </w:r>
    </w:p>
    <w:p>
      <w:pPr>
        <w:pStyle w:val="Normal"/>
        <w:widowControl/>
        <w:rPr/>
      </w:pPr>
      <w:r>
        <w:rPr/>
        <w:t>(a) the aggregate number of licenses the Party has granted over a recent period specified in the other Party’s request; and (b) measures, if any, that the Party has adopted in conjunction with the licensing procedure to restrict domestic production or consumption or to stabilize production, supply, or prices for the relevant good. 4.</w:t>
      </w:r>
    </w:p>
    <w:p>
      <w:pPr>
        <w:pStyle w:val="Normal"/>
        <w:widowControl/>
        <w:rPr/>
      </w:pPr>
      <w:r>
        <w:rPr/>
        <w:t>This Article does not require a Party to grant an export license, or prevent a Party from implementing its obligations or commitments under United Nations Security Council Resolutions, as well as multilateral non-proliferation regimes, including: the Wassenaar Arrangement on Export Controls for Conventional Arms and Dual-Use Goods and Technologies; Nuclear Suppliers Group; the Australia Group; Convention on the Prohibition of the Development, Production, Stockpiling and Use of Chemical Weapons and on Their Destruction, done at Geneva, September 3, 1992, and signed at Paris, January 13, 1993; Convention on the Prohibition of the Development, Production and Stockpiling of Bacteriological (Biological) and Toxin Weapons and on Their Destruction, done at Washington, London, and Moscow, April 10, 1972; Treaty on the Non-Proliferation of Nuclear Weapons done at Washington, London, and Moscow, July 1, 1968; and the Missile Technology Control Regime. 5.</w:t>
      </w:r>
    </w:p>
    <w:p>
      <w:pPr>
        <w:pStyle w:val="Normal"/>
        <w:widowControl/>
        <w:rPr/>
      </w:pPr>
      <w:r>
        <w:rPr/>
        <w:t>For the purposes of this Article, export licensing procedure means a requirement that a Party adopts or maintains under which an exporter must, as a condition for exporting a good from the Party’s territory, submit an application or other documentation to an administrative body or bodies, but does not include customs documentation required in the normal course of trade or any requirement that must be fulfilled prior to introduction of the good into commerce within the Party’s territory.</w:t>
      </w:r>
    </w:p>
    <w:p>
      <w:pPr>
        <w:pStyle w:val="Normal"/>
        <w:keepNext w:val="true"/>
        <w:widowControl/>
        <w:rPr/>
      </w:pPr>
      <w:r>
        <w:rPr/>
        <w:t>Article 2.15: Export Duties, Taxes, or Other Charges No Party shall adopt or maintain any duty, tax, or other charge on the export of any good to the territory of another Party, unless the duty, tax, or charge is also applied to the good if destined for domestic consumption.</w:t>
      </w:r>
    </w:p>
    <w:p>
      <w:pPr>
        <w:pStyle w:val="Normal"/>
        <w:keepNext w:val="true"/>
        <w:widowControl/>
        <w:rPr/>
      </w:pPr>
      <w:r>
        <w:rPr/>
        <w:t>Article 2.16: Administrative Fees and Formalities 1. Each Party shall ensure, in accordance with Article VIII:1 of the GATT 1994 and its interpretative notes, that all fees and charges of whatever character (other than customs duties, charges equivalent to an internal tax or other internal charges applied in a manner consistent with Article III:2 of the GATT 1994, and antidumping or countervailing duties) imposed on or in connection with importation or exportation are limited in amount to the approximate cost of services rendered and do not represent an indirect protection to a domestic good or a taxation of an import or export for fiscal purposes. 2. No Party shall require a consular transaction, including a related fee or charge, in connection with the importation of a good of another Party.2 3. No Party shall adopt or maintain a customs user fee on an originating good.3</w:t>
      </w:r>
    </w:p>
    <w:p>
      <w:pPr>
        <w:pStyle w:val="Normal"/>
        <w:keepNext w:val="true"/>
        <w:widowControl/>
        <w:rPr/>
      </w:pPr>
      <w:r>
        <w:rPr/>
        <w:t>Article 2.17: Committee on Trade in Goods 1. The Parties hereby establish a Committee on Trade in Goods (Goods Committee), comprising representatives of each Party. 2. The Goods Committee shall meet on the request of a Party or the Commission to consider any matter arising under this Chapter. 3. The Goods Committee shall meet at a venue and time as the Parties decide or by electronic means. In-person meetings will be held alternately in the territory of each Party. 4. The Goods Committee’s functions shall include: (a) monitoring the implementation and administration of this Chapter; (b) promoting trade in goods between the Parties; (c) providing a forum for the Parties to consult and endeavor to resolve issues relating to this Chapter, including, as appropriate, in coordination or jointly with * 2 For Mexico, this paragraph does not apply to the procedures for the duty-free entry of personal and household effects of natural persons relocating to Mexico. 3 The merchandise processing fee (MPF) is the only customs user fee of the United States to which this paragraph applies. The derecho de trámite aduanero is the only customs user fee of Mexico to which this paragraph applies.</w:t>
      </w:r>
    </w:p>
    <w:p>
      <w:pPr>
        <w:pStyle w:val="Normal"/>
        <w:widowControl/>
        <w:rPr/>
      </w:pPr>
      <w:r>
        <w:rPr/>
        <w:t>other Committees, working groups, or other subsidiary bodies established under this Agreement; (d) promptly seeking to address tariff and non-tariff barriers to trade in goods between the Parties and, if appropriate, referring the matter to the Commission for its consideration; (e) coordinating the exchange of information on trade in goods between the Parties; (f) discussing and endeavoring to resolve any difference that may arise between the Parties on matters related to the Harmonized System, including ensuring that each Party’s obligations under this Agreement are not altered by its implementation of future amendments to the Harmonized System into its national nomenclature; (g) referring to another committee established under this Agreement those issues that may be relevant to that committee, as appropriate; and (h) undertaking additional work that the Commission may assign, or another committee may refer, to it.</w:t>
      </w:r>
    </w:p>
    <w:p>
      <w:pPr>
        <w:pStyle w:val="Normal"/>
        <w:widowControl/>
        <w:rPr/>
      </w:pPr>
      <w:r>
        <w:rPr/>
        <w:t>ANNEX 2-A EXCEPTIONS TO ARTICLE 2.3 (NATIONAL TREATMENT) AND ARTICLE 2.11 (IMPORT AND EXPORT RESTRICTIONS) Article 2.A.1: Application of Article 2.3 (National Treatment) and Article 2.11 (Import and Export Restrictions) 1. Article 2.3 (National Treatment) and Article 2.11 (Import and Export Restrictions) do not apply to the continuation, renewal, or amendment made to any law, statute, decree, or administrative regulation giving rise to a measure set out in the articles of this Annex to the extent that the continuation, renewal, or amendment does not decrease the conformity of the measure listed with Article 2.3 (National Treatment) and Article 2.11 (Import and Export Restrictions). 2. Article 2.3 (National Treatment) and Article 2.11 (Import and Export Restrictions) shall not apply to the import and export of rough diamonds (HS codes 7102.10, 7102.21, and 7102.31), pursuant to the Kimberley Process Certification Scheme and any subsequent amendments to that scheme. Article 2.A.2: Measures of Canada 1.</w:t>
      </w:r>
    </w:p>
    <w:p>
      <w:pPr>
        <w:pStyle w:val="Normal"/>
        <w:keepNext w:val="true"/>
        <w:widowControl/>
        <w:rPr/>
      </w:pPr>
      <w:r>
        <w:rPr/>
        <w:t>Article 2.3 (National Treatment) and Article 2.11 (Import and Export Restrictions) do not apply to: (a) the export of logs of all species; (b) the export of unprocessed fish pursuant to the following provincial laws and their related regulations: (i) New Brunswick Seafood Processing Act, SNB 2006, c S-5.3, and Fisheries and Aquaculture Development Act, SNB 2009, c F-15.001; (ii) Newfoundland and Labrador Fish Inspection Act, RSNL 1990, c F-12; (iii) Nova Scotia Fisheries and Coastal Resources Act, Chapter 25 of the Acts of 1996; (iv) Prince Edward Island Fisheries Act, R.S.P.E.I. 1988, Cap. F-13.01, and Fish Inspection Act, R.S.P.E.I. 1988, Cap. F-1; and (v) Quebec Marine Products Processing Act, CQLR c T-11.01.</w:t>
      </w:r>
    </w:p>
    <w:p>
      <w:pPr>
        <w:pStyle w:val="Normal"/>
        <w:widowControl/>
        <w:rPr/>
      </w:pPr>
      <w:r>
        <w:rPr/>
        <w:t>2-A-1 For greater certainty, notwithstanding Article 2.A.1:1 of this Annex, Article 2.3 (National Treatment) and 2.11 (Import and Export Restrictions) shall not apply to any requirements for the export of unprocessed fish authorized under the above laws and their related regulations that are not being applied upon the entry into force of this Agreement, or that are in force upon the entry into force of this Agreement but suspended after that date, and subsequently applied; (c) the importation of goods of the prohibited provisions of tariff items 9897.00.00, 9898.00.00, and 9899.00.00 referred to in the Schedule of the Customs Tariff, except as otherwise provided; (d) the use of ships in the coasting trade of Canada; and (e) Canadian excise duties on the absolute</w:t>
      </w:r>
    </w:p>
    <w:p>
      <w:pPr>
        <w:pStyle w:val="Normal"/>
        <w:widowControl/>
        <w:rPr/>
      </w:pPr>
      <w:r>
        <w:rPr/>
        <w:t>volume of ethyl alcohol, as listed under tariff item 2207.10.90 in Canada’s Schedule of Concessions annexed to GATT 1994 (Schedule V), used in manufacturing under the provisions of the Excise Act, 2001, Statutes of Canada 2002, c. 22, as amended. 2. Article 2.3 (National Treatment) and Article 2.11 (Import and Export Restrictions) do not apply to quantitative import restrictions on originating goods from the United States classified in tariff headings 89.01, 89.04, and 89.05, and tariff items 8902.00.10 and 8903.99.90 (of an overall length exceeding 9.2 m only) for as long as the measures adopted under the Merchant Marine Act of 1920 and Passenger Vessel Services Act and 46 U.S.C. §§ 12102, 12113, and 12116, apply with quantitative effect to comparable originating goods from Canada sold or offered for sale into the U.S. market. Article 2.A.3: Measures of Mexico 1.</w:t>
      </w:r>
    </w:p>
    <w:p>
      <w:pPr>
        <w:pStyle w:val="Normal"/>
        <w:widowControl/>
        <w:rPr/>
      </w:pPr>
      <w:r>
        <w:rPr/>
        <w:t>Paragraphs 1 through 4 of Article 2.11 (Import and Export Restrictions) do not apply to:</w:t>
      </w:r>
    </w:p>
    <w:p>
      <w:pPr>
        <w:pStyle w:val="Normal"/>
        <w:widowControl/>
        <w:rPr/>
      </w:pPr>
      <w:r>
        <w:rPr/>
        <w:t>(a) export measures pursuant to Article 48 of the Hydrocarbons Law (Ley de Hidrocarburos) published in Mexico’s Official Gazette (Diario Oficial de la Federación) on August 11, 2014, for the tariff items under the “Agreement that amends and establishes the classification and codification of Hydrocarbons and Petroleum Products subject to import and export permits by the Ministry of Energy” (Acuerdo que modifica al diverso por el que se establece la clasificación y codificación de Hidrocarburos y Petrólíferos cuya importación y exportación está sujeta a Permiso Previo por parte de la Secretaría de Energía) published in the Mexico’s Official Gazette (Diario Oficial de la Federación) on December 4, 2017, subject to Mexico’s rights and obligations under the WTO Agreement, including with regard to transparency and non-discriminatory treatment;</w:t>
      </w:r>
    </w:p>
    <w:p>
      <w:pPr>
        <w:pStyle w:val="Normal"/>
        <w:widowControl/>
        <w:rPr/>
      </w:pPr>
      <w:r>
        <w:rPr/>
        <w:t>and 2-A-2 (b) prohibitions or restrictions on the importation into Mexico of used tyres, used apparel, non-originating used vehicles, and used chassis equipped with vehicle motors set forth in paragraphs 1(I) and 5 of Annex 2.2.1 of the Resolution through which the Ministry of the Economy establishes Rules and General Criteria on International Trade (Acuerdo por el que la Secretaría de Economía emite reglas y criterios de carácter general en materia de Comercio Exterior) published in Mexico’s Official Gazette (Diario Oficial de la Federación) on</w:t>
      </w:r>
    </w:p>
    <w:p>
      <w:pPr>
        <w:pStyle w:val="Normal"/>
        <w:widowControl/>
        <w:rPr/>
      </w:pPr>
      <w:r>
        <w:rPr/>
        <w:t>December 31, 2012. Article 2.A.4: Measures of the United States Article 2.3 (National Treatment) and Article 2.11 (Import and Export Restrictions) do not apply to: (a) controls on the export of logs of all species; and (b) (i) measures under existing provisions of the Merchant Marine Act of 1920 and Passenger Vessel Services Act and 46 U.S.C. §§ 12102, 12113, and 12116, to the extent that such measures were mandatory legislation at the time of the accession of the United States to the General Agreement on Tariffs and Trade 1947 (GATT 1947) and have not been amended so as to decrease their conformity with Part II of the GATT 1947; (ii) the continuation or prompt renewal of a non-conforming provision of any statute referred to in clause (i); and (iii) the amendment to a non-conforming provision of any statute referred to in clause (i) to the extent that the amendment does not decrease the conformity of the provision with Articles 2.3 (National Treatment) and 2.11 (Import and Export Restrictions). 2-A-3</w:t>
      </w:r>
    </w:p>
    <w:p>
      <w:pPr>
        <w:pStyle w:val="Normal"/>
        <w:widowControl/>
        <w:rPr/>
      </w:pPr>
      <w:r>
        <w:rPr/>
        <w:t>ANNEX 2-B TARIFF COMMITMENTS 1. The rate of customs duty for an originating good under this Agreement is indicated in each Party’s Schedule to this Annex. 2. Except as otherwise provided in a Party’s Schedule to this Annex, and in accordance with Article 2.4 (Treatment of Customs Duties), the rate of customs duty on originating goods is designated with “0,” and these goods shall be duty-free on the date of entry into force of this Agreement. 3. For originating goods provided for in the items marked with an asterisk (*) in a Party’s Schedule to this Annex, the tariff treatment set forth in Appendix 1 to that Party’s Schedule applies. 2-B-1 TARIFF SCHEDULE OF CANADA GENERAL NOTES 1. The provisions of this Schedule are generally expressed in terms of Canada’s Customs Tariff, and the interpretation of the provisions of this Schedule, including the product coverage of subheadings of this Schedule, shall be governed by the General Notes, Section Notes and Chapter Notes of Canada’s Customs Tariff.</w:t>
      </w:r>
    </w:p>
    <w:p>
      <w:pPr>
        <w:pStyle w:val="Normal"/>
        <w:widowControl/>
        <w:rPr/>
      </w:pPr>
      <w:r>
        <w:rPr/>
        <w:t>To the extent that provisions of this Schedule are identical to the corresponding provisions of Canada’s Customs Tariff, the provisions of this Schedule shall have the same meaning as the corresponding provisions of Canada’s Customs Tariff. 2.</w:t>
      </w:r>
    </w:p>
    <w:p>
      <w:pPr>
        <w:pStyle w:val="Normal"/>
        <w:widowControl/>
        <w:rPr/>
      </w:pPr>
      <w:r>
        <w:rPr/>
        <w:t>This Schedule reflects Canada’s applied tariff nomenclature as at July 1, 2017, which is implemented in accordance with the Harmonized System (2017 edition), and includes all tariff items of Chapter 1 through 97 of the HS that provide for a Most-Favoured-Nation (MFN) rate of customs duty. 3. For the purpose of this Agreement, Canada’s Schedule is authentic in the English and French languages. 4. The base rates of customs duty for determining the interim staged rate of customs duty for a tariff item shall be those set out in Appendix 1 to this Schedule, which reflect Canada’s MFN rates of duty in effect on July 1, 2017. 5. In Appendix 1 to this Schedule, the following staging categories apply to the elimination or reduction of customs duties by Canada pursuant to</w:t>
      </w:r>
    </w:p>
    <w:p>
      <w:pPr>
        <w:pStyle w:val="Normal"/>
        <w:keepNext w:val="true"/>
        <w:widowControl/>
        <w:rPr/>
      </w:pPr>
      <w:r>
        <w:rPr/>
        <w:t>Article 2.4: (a) customs duties on originating goods provided for in the items in staging category “0” shall be duty-free on the date of entry into force of this Agreement. For greater certainty, this rate of customs duty shall also apply to the within access quantity of any TRQ provided for these goods under Canada’s Schedule to the WTO; (b) customs duties on originating goods provided for in the items in staging category B6 shall be eliminated in six equal, annual stages, beginning on the date this Agreement enters into force, and these goods shall be duty-free effective January 1 of year six; (c) customs duties on originating goods provided for in the items in staging category B11 shall be eliminated in eleven equal, annual stages, beginning on the date this Agreement enters into force, and these goods shall be duty-free effective January 1 of year eleven;</w:t>
      </w:r>
    </w:p>
    <w:p>
      <w:pPr>
        <w:pStyle w:val="Normal"/>
        <w:widowControl/>
        <w:rPr/>
      </w:pPr>
      <w:r>
        <w:rPr/>
        <w:t>2-B-2 (d) customs duties on originating goods provided for in the items in staging category X are exempt from tariff commitments under Article 2.4;4 and (e) customs duties on originating goods provided for in the items in a staging category denoted by “TRQ” shall be governed by the terms of the TRQ applicable to that tariff item, as outlined in Appendix 2 to this Schedule. 6.</w:t>
      </w:r>
    </w:p>
    <w:p>
      <w:pPr>
        <w:pStyle w:val="Normal"/>
        <w:widowControl/>
        <w:rPr/>
      </w:pPr>
      <w:r>
        <w:rPr/>
        <w:t>For the purposes of Appendix 1 to this Schedule: (a) the tariff reduction for year one shall take effect on the date this Agreement enters into force as provided for in Article 34.5 (Final Provisions – Entry into Force), with each subsequent annual stage of tariff reduction taking effect on January 1 of each subsequent year; (b) year one means the period of time beginning on the date this Agreement enters into force as provided for in Article 34.5 (Final Provisions – Entry into Force), and ending on December 31 of the same calendar year as the date of entry into force; (c) year two means the 12-month period beginning on January 1 of the calendar year immediately following the calendar year of the date this Agreement enters into force as provided for in Article 34.5 (Final Provisions – Entry into Force); and (d) each subsequent year means each subsequent 12-month period beginning on January 1 of each subsequent calendar year. 7.</w:t>
      </w:r>
    </w:p>
    <w:p>
      <w:pPr>
        <w:pStyle w:val="Normal"/>
        <w:widowControl/>
        <w:rPr/>
      </w:pPr>
      <w:r>
        <w:rPr/>
        <w:t>Interim staged rates for tariff items in Appendix 1 to this Schedule shall be rounded down at least to the nearest tenth of a percentage point or, if the rate of customs duty is expressed in monetary units, to the nearest tenth of one Canadian cent. 8.</w:t>
      </w:r>
    </w:p>
    <w:p>
      <w:pPr>
        <w:pStyle w:val="Normal"/>
        <w:widowControl/>
        <w:rPr/>
      </w:pPr>
      <w:r>
        <w:rPr/>
        <w:t>If Canada applies different preferential tariff treatment to other Parties for the same originating good in accordance with Canada’s Schedule to this Annex at the time a claim for preferential tariff treatment is made, Canada shall apply the rate of customs duty for the originating good of the Party where the last production process, other than a minimal operation, occurred. 9. For the purposes of paragraph 9, a minimal operation is: * For greater certainty, Canada retains its rights and obligations under the WTO Agreement with respect to agricultural goods in staging category X. 2-B-3 (a) an operation to ensure the preservation of a good in good condition for the purposes of transport and storage; (b) packaging, re-packaging, breaking up of consignments or putting up a good for retail sale, including placing a good in bottles, cans, flasks, bags, cases or boxes; (c) mere dilution with water or another substance that does not materially alter the characteristics of the good; (d) collection of goods intended to form sets, assortments, kits or composite goods; and (e) any combination of operations referred to in subparagraphs (a) through (d). 10.</w:t>
      </w:r>
    </w:p>
    <w:p>
      <w:pPr>
        <w:pStyle w:val="Normal"/>
        <w:widowControl/>
        <w:rPr/>
      </w:pPr>
      <w:r>
        <w:rPr/>
        <w:t>Notwithstanding paragraph 8, if the good is produced in the first Party from originating materials produced in the second Party, Canada shall apply the rate of customs duty for the good of the first Party, provided that the good satisfies the applicable changes in tariff classification requirement set out in Table B-1 in the territory of the first Party or in Canada. Table B-1: HS6 Change in Tariff Classification Requirement 1701.12 A change from any other chapter 1701.13 A change from any other chapter 1701.91 A change from any other chapter 1701.99 A change from any other chapter 1702.90 A change from any other chapter 1806.10 A change from any other heading excluding from heading 17.01 2106.90 A change from any other heading excluding from Chapter 17 2-B-4 TARIFF SCHEDULE OF MEXICO GENERAL NOTES 1.</w:t>
      </w:r>
    </w:p>
    <w:p>
      <w:pPr>
        <w:pStyle w:val="Normal"/>
        <w:widowControl/>
        <w:rPr/>
      </w:pPr>
      <w:r>
        <w:rPr/>
        <w:t>The provisions of this Schedule are generally expressed in terms of Mexico’s Tariff Schedule of the General Import and Export Duties Law (Tarifa de la Ley de los Impuestos Generales de Importación y de Exportación (LIGIE)) and the interpretation of the provisions of this Schedule, including the product coverage of subheadings of this Schedule, shall be governed by the General Notes, Section Notes and Chapter Notes of the LIGIE. To the extent that provisions of this Schedule are identical to the corresponding provisions of the LIGIE, the provisions of this Schedule shall have the same meaning as the corresponding provisions of the LIGIE. 2.</w:t>
      </w:r>
    </w:p>
    <w:p>
      <w:pPr>
        <w:pStyle w:val="Normal"/>
        <w:widowControl/>
        <w:rPr/>
      </w:pPr>
      <w:r>
        <w:rPr/>
        <w:t>This Schedule reflects Mexico’s applied tariff nomenclature as of September 1st, 2018, which is implemented in accordance with the Harmonized System (2012 edition), and includes all tariff items of Chapter 1 through 97 of the HS that provide for a Most-Favored-Nation (MFN) rate of customs duty. 3. In Appendix 1 to this Schedule, pursuant to Article 2.4, customs duties on originating goods provided for in the items denoted by “excluded” shall be subject to the applicable MFN tariff rates at the time of importation. 4. For an originating good provided for in a tariff item in Appendix 1 to this Schedule, Mexico shall apply a rate of customs duty no higher than zero, if: (a) the good is wholly obtained, either in the territory of the United States or in the territory of the United States and of Mexico;</w:t>
      </w:r>
    </w:p>
    <w:p>
      <w:pPr>
        <w:pStyle w:val="Normal"/>
        <w:widowControl/>
        <w:rPr/>
      </w:pPr>
      <w:r>
        <w:rPr/>
        <w:t>(b) the good is produced entirely and exclusively from originating materials produced in the territory of the United States or in the territory of the United States and of Mexico; or (c) the good is produced entirely in the territory of the United States or of Mexico, provided that operations performed in, or materials obtained from the territory of Canada are considered as if they were performed in or obtained from a non-Party. 2-B-5 TARIFF SCHEDULE OF THE UNITED STATES GENERAL NOTES 1.</w:t>
      </w:r>
    </w:p>
    <w:p>
      <w:pPr>
        <w:pStyle w:val="Normal"/>
        <w:widowControl/>
        <w:rPr/>
      </w:pPr>
      <w:r>
        <w:rPr/>
        <w:t>The provisions of this Schedule are generally expressed in terms of the Harmonized Tariff Schedule of the United States (HTSUS), and the interpretation of the provisions of this Schedule, including the product coverage of subheadings of this Schedule, shall be governed by the General Notes, Section Notes, and Chapter Notes of the HTSUS. To the extent that provisions of this Schedule are identical to the corresponding provisions of the HTSUS, the provisions of this Schedule shall have the same meaning as the corresponding provisions of the HTSUS. 2. The base rates of duty set out in Appendix 1 to this Schedule reflect the United States’ Most-Favored-Nation (MFN) rates of duty in effect on July 1, 2017. 3. In Appendix 1 to this Schedule, the following staging categories apply to the elimination or reduction of customs duties by the United States pursuant to</w:t>
      </w:r>
    </w:p>
    <w:p>
      <w:pPr>
        <w:pStyle w:val="Normal"/>
        <w:keepNext w:val="true"/>
        <w:widowControl/>
        <w:rPr/>
      </w:pPr>
      <w:r>
        <w:rPr/>
        <w:t>Article 2.4: (a) customs duties on originating goods provided for in the items in staging category B6 shall be eliminated in six annual stages, and such goods shall be duty-free effective January 1 of year six; (b) customs duties on originating goods provided for in the items in staging category B11 shall be eliminated in eleven annual stages, and such goods shall be duty-free effective January 1 of year eleven; and (c) customs duties on originating goods provided for in the items in staging category TRQ shall be governed by the terms of the TRQ for that specific tariff line, as outlined in Appendix 2 to this Schedule. 4. Interim staged rates for tariff items in Appendix 1 to this Schedule shall be rounded down to the nearest tenth of a percentage point or, if the rate of duty is expressed in monetary units, to the nearest tenth of one U.S. cent. 5.</w:t>
      </w:r>
    </w:p>
    <w:p>
      <w:pPr>
        <w:pStyle w:val="Normal"/>
        <w:widowControl/>
        <w:rPr/>
      </w:pPr>
      <w:r>
        <w:rPr/>
        <w:t>For the purposes of Appendix 1 to this Schedule, year one means the year this Agreement enters into force as provided in Article 34.5 (Final Provisions – Entry into Force). 6. For the purposes of Appendix 1 to this Schedule, beginning in year two, each annual stage of tariff reduction shall take effect on January 1 of the relevant year. 7.</w:t>
      </w:r>
    </w:p>
    <w:p>
      <w:pPr>
        <w:pStyle w:val="Normal"/>
        <w:widowControl/>
        <w:rPr/>
      </w:pPr>
      <w:r>
        <w:rPr/>
        <w:t>For an originating good provided for in a tariff item in Appendix 1 to this Schedule, if the United States applies different preferential treatment to one Party than to the other Party for that good: 2-B-6 (a) the United States shall apply a rate of customs duty no higher than the applicable rate under the staging category set forth for that tariff item in Appendix 1 to this Schedule if the good qualifies to be marked as a good of Canada pursuant to U.S. law, without regard to whether the good is marked;5 (b) the United States shall apply a rate of customs duty no higher than zero if the good qualifies to be marked as a good of Mexico pursuant to U.S. law, without regard to whether the good is marked. * 5 For the purposes of determining whether originating goods are eligible to enter duty-free as provided for in paragraph 15 of Section B of Appendix 2, paragraph 15(h) shall apply in lieu of this paragraph. 2-B-7 Appendix 2:</w:t>
      </w:r>
    </w:p>
    <w:p>
      <w:pPr>
        <w:pStyle w:val="Normal"/>
        <w:widowControl/>
        <w:rPr/>
      </w:pPr>
      <w:r>
        <w:rPr/>
        <w:t>Tariff Schedule of Canada - (Tariff Rate Quotas) Section A: General Provisions 1. Section B of this Appendix sets out the tariff rate quotas (TRQs) that Canada shall apply to certain originating goods of the United States under this Agreement. In particular, an originating good of the United States included under this Appendix shall be subject to the rates of duty set out in this Appendix instead of the rates of duty specified in Chapter 1 through Chapter 97 of the Schedule to Canada’s Customs Tariff.</w:t>
      </w:r>
    </w:p>
    <w:p>
      <w:pPr>
        <w:pStyle w:val="Normal"/>
        <w:widowControl/>
        <w:rPr/>
      </w:pPr>
      <w:r>
        <w:rPr/>
        <w:t>Notwithstanding any other provision of Canada’s Customs Tariff, originating goods under this Agreement in the quantities described in Section B of this Appendix shall be permitted entry into the territory of Canada as provided in this Appendix. Furthermore, unless specified otherwise in this Schedule, any quantity of originating goods imported from a Party under a TRQ provided for in Section B of this Appendix shall not be counted towards, or reduce the in-quota quantity, of any TRQ provided for such goods under Canada’s WTO tariff schedule or any other trade agreement. 2. Each good or group of goods covered by each TRQ set out in Section B is informally identified in the title to the paragraph setting out the TRQ. These titles are included solely to assist readers in understanding this Appendix and shall not alter or supersede the coverage established through identification of covered codes of Canada’s Customs Tariff. 3. Canada shall administer all TRQs provided for in this Agreement and set out in Section B of this Appendix according to the following provisions:</w:t>
      </w:r>
    </w:p>
    <w:p>
      <w:pPr>
        <w:pStyle w:val="Normal"/>
        <w:widowControl/>
        <w:rPr/>
      </w:pPr>
      <w:r>
        <w:rPr/>
        <w:t>(a) Canada shall administer its TRQs through an import licensing system. (b) For the purposes of this Appendix, quota year means the 12-month period over which a TRQ applies and is allocated. “Quota year 1” has the meaning assigned to “year 1” in paragraph 6 of the Tariff Schedule of Canada - General Notes. (c) Canada shall allocate its TRQs each quota year to eligible applicants.</w:t>
      </w:r>
    </w:p>
    <w:p>
      <w:pPr>
        <w:widowControl/>
      </w:pPr>
      <w:r>
        <w:t>An eligible applicant means an applicant active in the Canadian food or agriculture sector. In assessing eligibility, Canada shall not discriminate against applicants who have not previously imported the product subject to a TRQ. 4. For the purposes of this Appendix, the term “metric tons” shall be abbreviated as “MT”. Section B: TRQs 5. TRQ-CA1: Milk (a) The aggregate quantity of originating goods described in subparagraph (c) that shall be permitted to enter duty-free in each quota year under this TRQ is:</w:t>
      </w:r>
    </w:p>
    <w:tbl>
      <w:tblPr>
        <w:tblStyle w:val="TableGrid"/>
        <w:tblW w:type="auto" w:w="0"/>
        <w:jc w:val="center"/>
        <w:tblLayout w:type="autofit"/>
        <w:tblLook w:firstColumn="1" w:firstRow="1" w:lastColumn="0" w:lastRow="0" w:noHBand="0" w:noVBand="1" w:val="04A0"/>
      </w:tblPr>
      <w:tblGrid>
        <w:gridCol w:w="4680"/>
        <w:gridCol w:w="4680"/>
      </w:tblGrid>
      <w:tr>
        <w:trPr>
          <w:tblHeader w:val="true"/>
          <w:cantSplit/>
          <w:tblHeader w:val="true"/>
        </w:trPr>
        <w:tc>
          <w:tcPr>
            <w:tcW w:type="dxa" w:w="1872"/>
            <w:vAlign w:val="center"/>
            <w:shd w:fill="233746"/>
          </w:tcPr>
          <w:p>
            <w:pPr>
              <w:spacing w:after="0"/>
            </w:pPr>
            <w:r>
              <w:rPr>
                <w:rFonts w:ascii="Arial" w:hAnsi="Arial"/>
                <w:b/>
                <w:color w:val="FFFFFF"/>
                <w:sz w:val="17"/>
              </w:rPr>
              <w:t>Quota Year</w:t>
            </w:r>
          </w:p>
        </w:tc>
        <w:tc>
          <w:tcPr>
            <w:tcW w:type="dxa" w:w="3600"/>
            <w:vAlign w:val="center"/>
            <w:shd w:fill="233746"/>
          </w:tcPr>
          <w:p>
            <w:pPr>
              <w:spacing w:after="0"/>
            </w:pPr>
            <w:r>
              <w:rPr>
                <w:rFonts w:ascii="Arial" w:hAnsi="Arial"/>
                <w:b/>
                <w:color w:val="FFFFFF"/>
                <w:sz w:val="17"/>
              </w:rPr>
              <w:t>Aggregate Quantity (MT)</w:t>
            </w:r>
          </w:p>
        </w:tc>
      </w:tr>
      <w:tr>
        <w:trPr>
          <w:cantSplit/>
        </w:trPr>
        <w:tc>
          <w:tcPr>
            <w:tcW w:type="dxa" w:w="1872"/>
            <w:vAlign w:val="center"/>
            <w:tcMar>
              <w:top w:w="70" w:type="dxa"/>
              <w:start w:w="110" w:type="dxa"/>
              <w:bottom w:w="70" w:type="dxa"/>
              <w:end w:w="110" w:type="dxa"/>
            </w:tcMar>
          </w:tcPr>
          <w:p>
            <w:pPr>
              <w:widowControl/>
              <w:spacing w:after="0"/>
            </w:pPr>
            <w:r>
              <w:rPr>
                <w:rFonts w:ascii="Arial" w:hAnsi="Arial"/>
                <w:sz w:val="17"/>
              </w:rPr>
              <w:t>1</w:t>
            </w:r>
          </w:p>
        </w:tc>
        <w:tc>
          <w:tcPr>
            <w:tcW w:type="dxa" w:w="3600"/>
            <w:vAlign w:val="center"/>
            <w:tcMar>
              <w:top w:w="70" w:type="dxa"/>
              <w:start w:w="110" w:type="dxa"/>
              <w:bottom w:w="70" w:type="dxa"/>
              <w:end w:w="110" w:type="dxa"/>
            </w:tcMar>
          </w:tcPr>
          <w:p>
            <w:pPr>
              <w:widowControl/>
              <w:spacing w:after="0"/>
            </w:pPr>
            <w:r>
              <w:rPr>
                <w:rFonts w:ascii="Arial" w:hAnsi="Arial"/>
                <w:sz w:val="17"/>
              </w:rPr>
              <w:t>8,333</w:t>
            </w:r>
          </w:p>
        </w:tc>
      </w:tr>
      <w:tr>
        <w:trPr>
          <w:cantSplit/>
        </w:trPr>
        <w:tc>
          <w:tcPr>
            <w:tcW w:type="dxa" w:w="1872"/>
            <w:vAlign w:val="center"/>
            <w:tcMar>
              <w:top w:w="70" w:type="dxa"/>
              <w:start w:w="110" w:type="dxa"/>
              <w:bottom w:w="70" w:type="dxa"/>
              <w:end w:w="110" w:type="dxa"/>
            </w:tcMar>
            <w:shd w:fill="F4F6F7"/>
          </w:tcPr>
          <w:p>
            <w:pPr>
              <w:widowControl/>
              <w:spacing w:after="0"/>
            </w:pPr>
            <w:r>
              <w:rPr>
                <w:rFonts w:ascii="Arial" w:hAnsi="Arial"/>
                <w:sz w:val="17"/>
              </w:rPr>
              <w:t>2</w:t>
            </w:r>
          </w:p>
        </w:tc>
        <w:tc>
          <w:tcPr>
            <w:tcW w:type="dxa" w:w="3600"/>
            <w:vAlign w:val="center"/>
            <w:tcMar>
              <w:top w:w="70" w:type="dxa"/>
              <w:start w:w="110" w:type="dxa"/>
              <w:bottom w:w="70" w:type="dxa"/>
              <w:end w:w="110" w:type="dxa"/>
            </w:tcMar>
            <w:shd w:fill="F4F6F7"/>
          </w:tcPr>
          <w:p>
            <w:pPr>
              <w:widowControl/>
              <w:spacing w:after="0"/>
            </w:pPr>
            <w:r>
              <w:rPr>
                <w:rFonts w:ascii="Arial" w:hAnsi="Arial"/>
                <w:sz w:val="17"/>
              </w:rPr>
              <w:t>16,667</w:t>
            </w:r>
          </w:p>
        </w:tc>
      </w:tr>
      <w:tr>
        <w:trPr>
          <w:cantSplit/>
        </w:trPr>
        <w:tc>
          <w:tcPr>
            <w:tcW w:type="dxa" w:w="1872"/>
            <w:vAlign w:val="center"/>
            <w:tcMar>
              <w:top w:w="70" w:type="dxa"/>
              <w:start w:w="110" w:type="dxa"/>
              <w:bottom w:w="70" w:type="dxa"/>
              <w:end w:w="110" w:type="dxa"/>
            </w:tcMar>
          </w:tcPr>
          <w:p>
            <w:pPr>
              <w:widowControl/>
              <w:spacing w:after="0"/>
            </w:pPr>
            <w:r>
              <w:rPr>
                <w:rFonts w:ascii="Arial" w:hAnsi="Arial"/>
                <w:sz w:val="17"/>
              </w:rPr>
              <w:t>3</w:t>
            </w:r>
          </w:p>
        </w:tc>
        <w:tc>
          <w:tcPr>
            <w:tcW w:type="dxa" w:w="3600"/>
            <w:vAlign w:val="center"/>
            <w:tcMar>
              <w:top w:w="70" w:type="dxa"/>
              <w:start w:w="110" w:type="dxa"/>
              <w:bottom w:w="70" w:type="dxa"/>
              <w:end w:w="110" w:type="dxa"/>
            </w:tcMar>
          </w:tcPr>
          <w:p>
            <w:pPr>
              <w:widowControl/>
              <w:spacing w:after="0"/>
            </w:pPr>
            <w:r>
              <w:rPr>
                <w:rFonts w:ascii="Arial" w:hAnsi="Arial"/>
                <w:sz w:val="17"/>
              </w:rPr>
              <w:t>25,000</w:t>
            </w:r>
          </w:p>
        </w:tc>
      </w:tr>
      <w:tr>
        <w:trPr>
          <w:cantSplit/>
        </w:trPr>
        <w:tc>
          <w:tcPr>
            <w:tcW w:type="dxa" w:w="1872"/>
            <w:vAlign w:val="center"/>
            <w:tcMar>
              <w:top w:w="70" w:type="dxa"/>
              <w:start w:w="110" w:type="dxa"/>
              <w:bottom w:w="70" w:type="dxa"/>
              <w:end w:w="110" w:type="dxa"/>
            </w:tcMar>
            <w:shd w:fill="F4F6F7"/>
          </w:tcPr>
          <w:p>
            <w:pPr>
              <w:widowControl/>
              <w:spacing w:after="0"/>
            </w:pPr>
            <w:r>
              <w:rPr>
                <w:rFonts w:ascii="Arial" w:hAnsi="Arial"/>
                <w:sz w:val="17"/>
              </w:rPr>
              <w:t>4</w:t>
            </w:r>
          </w:p>
        </w:tc>
        <w:tc>
          <w:tcPr>
            <w:tcW w:type="dxa" w:w="3600"/>
            <w:vAlign w:val="center"/>
            <w:tcMar>
              <w:top w:w="70" w:type="dxa"/>
              <w:start w:w="110" w:type="dxa"/>
              <w:bottom w:w="70" w:type="dxa"/>
              <w:end w:w="110" w:type="dxa"/>
            </w:tcMar>
            <w:shd w:fill="F4F6F7"/>
          </w:tcPr>
          <w:p>
            <w:pPr>
              <w:widowControl/>
              <w:spacing w:after="0"/>
            </w:pPr>
            <w:r>
              <w:rPr>
                <w:rFonts w:ascii="Arial" w:hAnsi="Arial"/>
                <w:sz w:val="17"/>
              </w:rPr>
              <w:t>33,333</w:t>
            </w:r>
          </w:p>
        </w:tc>
      </w:tr>
      <w:tr>
        <w:trPr>
          <w:cantSplit/>
        </w:trPr>
        <w:tc>
          <w:tcPr>
            <w:tcW w:type="dxa" w:w="1872"/>
            <w:vAlign w:val="center"/>
            <w:tcMar>
              <w:top w:w="70" w:type="dxa"/>
              <w:start w:w="110" w:type="dxa"/>
              <w:bottom w:w="70" w:type="dxa"/>
              <w:end w:w="110" w:type="dxa"/>
            </w:tcMar>
          </w:tcPr>
          <w:p>
            <w:pPr>
              <w:widowControl/>
              <w:spacing w:after="0"/>
            </w:pPr>
            <w:r>
              <w:rPr>
                <w:rFonts w:ascii="Arial" w:hAnsi="Arial"/>
                <w:sz w:val="17"/>
              </w:rPr>
              <w:t>5</w:t>
            </w:r>
          </w:p>
        </w:tc>
        <w:tc>
          <w:tcPr>
            <w:tcW w:type="dxa" w:w="3600"/>
            <w:vAlign w:val="center"/>
            <w:tcMar>
              <w:top w:w="70" w:type="dxa"/>
              <w:start w:w="110" w:type="dxa"/>
              <w:bottom w:w="70" w:type="dxa"/>
              <w:end w:w="110" w:type="dxa"/>
            </w:tcMar>
          </w:tcPr>
          <w:p>
            <w:pPr>
              <w:widowControl/>
              <w:spacing w:after="0"/>
            </w:pPr>
            <w:r>
              <w:rPr>
                <w:rFonts w:ascii="Arial" w:hAnsi="Arial"/>
                <w:sz w:val="17"/>
              </w:rPr>
              <w:t>41,667</w:t>
            </w:r>
          </w:p>
        </w:tc>
      </w:tr>
      <w:tr>
        <w:trPr>
          <w:cantSplit/>
        </w:trPr>
        <w:tc>
          <w:tcPr>
            <w:tcW w:type="dxa" w:w="1872"/>
            <w:vAlign w:val="center"/>
            <w:tcMar>
              <w:top w:w="70" w:type="dxa"/>
              <w:start w:w="110" w:type="dxa"/>
              <w:bottom w:w="70" w:type="dxa"/>
              <w:end w:w="110" w:type="dxa"/>
            </w:tcMar>
            <w:shd w:fill="F4F6F7"/>
          </w:tcPr>
          <w:p>
            <w:pPr>
              <w:widowControl/>
              <w:spacing w:after="0"/>
            </w:pPr>
            <w:r>
              <w:rPr>
                <w:rFonts w:ascii="Arial" w:hAnsi="Arial"/>
                <w:sz w:val="17"/>
              </w:rPr>
              <w:t>6</w:t>
            </w:r>
          </w:p>
        </w:tc>
        <w:tc>
          <w:tcPr>
            <w:tcW w:type="dxa" w:w="3600"/>
            <w:vAlign w:val="center"/>
            <w:tcMar>
              <w:top w:w="70" w:type="dxa"/>
              <w:start w:w="110" w:type="dxa"/>
              <w:bottom w:w="70" w:type="dxa"/>
              <w:end w:w="110" w:type="dxa"/>
            </w:tcMar>
            <w:shd w:fill="F4F6F7"/>
          </w:tcPr>
          <w:p>
            <w:pPr>
              <w:widowControl/>
              <w:spacing w:after="0"/>
            </w:pPr>
            <w:r>
              <w:rPr>
                <w:rFonts w:ascii="Arial" w:hAnsi="Arial"/>
                <w:sz w:val="17"/>
              </w:rPr>
              <w:t>50,000</w:t>
            </w:r>
          </w:p>
        </w:tc>
      </w:tr>
      <w:tr>
        <w:trPr>
          <w:cantSplit/>
        </w:trPr>
        <w:tc>
          <w:tcPr>
            <w:tcW w:type="dxa" w:w="1872"/>
            <w:vAlign w:val="center"/>
            <w:tcMar>
              <w:top w:w="70" w:type="dxa"/>
              <w:start w:w="110" w:type="dxa"/>
              <w:bottom w:w="70" w:type="dxa"/>
              <w:end w:w="110" w:type="dxa"/>
            </w:tcMar>
          </w:tcPr>
          <w:p>
            <w:pPr>
              <w:widowControl/>
              <w:spacing w:after="0"/>
            </w:pPr>
            <w:r>
              <w:rPr>
                <w:rFonts w:ascii="Arial" w:hAnsi="Arial"/>
                <w:sz w:val="17"/>
              </w:rPr>
              <w:t>7</w:t>
            </w:r>
          </w:p>
        </w:tc>
        <w:tc>
          <w:tcPr>
            <w:tcW w:type="dxa" w:w="3600"/>
            <w:vAlign w:val="center"/>
            <w:tcMar>
              <w:top w:w="70" w:type="dxa"/>
              <w:start w:w="110" w:type="dxa"/>
              <w:bottom w:w="70" w:type="dxa"/>
              <w:end w:w="110" w:type="dxa"/>
            </w:tcMar>
          </w:tcPr>
          <w:p>
            <w:pPr>
              <w:widowControl/>
              <w:spacing w:after="0"/>
            </w:pPr>
            <w:r>
              <w:rPr>
                <w:rFonts w:ascii="Arial" w:hAnsi="Arial"/>
                <w:sz w:val="17"/>
              </w:rPr>
              <w:t>50,500</w:t>
            </w:r>
          </w:p>
        </w:tc>
      </w:tr>
      <w:tr>
        <w:trPr>
          <w:cantSplit/>
        </w:trPr>
        <w:tc>
          <w:tcPr>
            <w:tcW w:type="dxa" w:w="1872"/>
            <w:vAlign w:val="center"/>
            <w:tcMar>
              <w:top w:w="70" w:type="dxa"/>
              <w:start w:w="110" w:type="dxa"/>
              <w:bottom w:w="70" w:type="dxa"/>
              <w:end w:w="110" w:type="dxa"/>
            </w:tcMar>
            <w:shd w:fill="F4F6F7"/>
          </w:tcPr>
          <w:p>
            <w:pPr>
              <w:widowControl/>
              <w:spacing w:after="0"/>
            </w:pPr>
            <w:r>
              <w:rPr>
                <w:rFonts w:ascii="Arial" w:hAnsi="Arial"/>
                <w:sz w:val="17"/>
              </w:rPr>
              <w:t>8</w:t>
            </w:r>
          </w:p>
        </w:tc>
        <w:tc>
          <w:tcPr>
            <w:tcW w:type="dxa" w:w="3600"/>
            <w:vAlign w:val="center"/>
            <w:tcMar>
              <w:top w:w="70" w:type="dxa"/>
              <w:start w:w="110" w:type="dxa"/>
              <w:bottom w:w="70" w:type="dxa"/>
              <w:end w:w="110" w:type="dxa"/>
            </w:tcMar>
            <w:shd w:fill="F4F6F7"/>
          </w:tcPr>
          <w:p>
            <w:pPr>
              <w:widowControl/>
              <w:spacing w:after="0"/>
            </w:pPr>
            <w:r>
              <w:rPr>
                <w:rFonts w:ascii="Arial" w:hAnsi="Arial"/>
                <w:sz w:val="17"/>
              </w:rPr>
              <w:t>51,005</w:t>
            </w:r>
          </w:p>
        </w:tc>
      </w:tr>
      <w:tr>
        <w:trPr>
          <w:cantSplit/>
        </w:trPr>
        <w:tc>
          <w:tcPr>
            <w:tcW w:type="dxa" w:w="1872"/>
            <w:vAlign w:val="center"/>
            <w:tcMar>
              <w:top w:w="70" w:type="dxa"/>
              <w:start w:w="110" w:type="dxa"/>
              <w:bottom w:w="70" w:type="dxa"/>
              <w:end w:w="110" w:type="dxa"/>
            </w:tcMar>
          </w:tcPr>
          <w:p>
            <w:pPr>
              <w:widowControl/>
              <w:spacing w:after="0"/>
            </w:pPr>
            <w:r>
              <w:rPr>
                <w:rFonts w:ascii="Arial" w:hAnsi="Arial"/>
                <w:sz w:val="17"/>
              </w:rPr>
              <w:t>9</w:t>
            </w:r>
          </w:p>
        </w:tc>
        <w:tc>
          <w:tcPr>
            <w:tcW w:type="dxa" w:w="3600"/>
            <w:vAlign w:val="center"/>
            <w:tcMar>
              <w:top w:w="70" w:type="dxa"/>
              <w:start w:w="110" w:type="dxa"/>
              <w:bottom w:w="70" w:type="dxa"/>
              <w:end w:w="110" w:type="dxa"/>
            </w:tcMar>
          </w:tcPr>
          <w:p>
            <w:pPr>
              <w:widowControl/>
              <w:spacing w:after="0"/>
            </w:pPr>
            <w:r>
              <w:rPr>
                <w:rFonts w:ascii="Arial" w:hAnsi="Arial"/>
                <w:sz w:val="17"/>
              </w:rPr>
              <w:t>51,515</w:t>
            </w:r>
          </w:p>
        </w:tc>
      </w:tr>
      <w:tr>
        <w:trPr>
          <w:cantSplit/>
        </w:trPr>
        <w:tc>
          <w:tcPr>
            <w:tcW w:type="dxa" w:w="1872"/>
            <w:vAlign w:val="center"/>
            <w:tcMar>
              <w:top w:w="70" w:type="dxa"/>
              <w:start w:w="110" w:type="dxa"/>
              <w:bottom w:w="70" w:type="dxa"/>
              <w:end w:w="110" w:type="dxa"/>
            </w:tcMar>
            <w:shd w:fill="F4F6F7"/>
          </w:tcPr>
          <w:p>
            <w:pPr>
              <w:widowControl/>
              <w:spacing w:after="0"/>
            </w:pPr>
            <w:r>
              <w:rPr>
                <w:rFonts w:ascii="Arial" w:hAnsi="Arial"/>
                <w:sz w:val="17"/>
              </w:rPr>
              <w:t>10</w:t>
            </w:r>
          </w:p>
        </w:tc>
        <w:tc>
          <w:tcPr>
            <w:tcW w:type="dxa" w:w="3600"/>
            <w:vAlign w:val="center"/>
            <w:tcMar>
              <w:top w:w="70" w:type="dxa"/>
              <w:start w:w="110" w:type="dxa"/>
              <w:bottom w:w="70" w:type="dxa"/>
              <w:end w:w="110" w:type="dxa"/>
            </w:tcMar>
            <w:shd w:fill="F4F6F7"/>
          </w:tcPr>
          <w:p>
            <w:pPr>
              <w:widowControl/>
              <w:spacing w:after="0"/>
            </w:pPr>
            <w:r>
              <w:rPr>
                <w:rFonts w:ascii="Arial" w:hAnsi="Arial"/>
                <w:sz w:val="17"/>
              </w:rPr>
              <w:t>52,030</w:t>
            </w:r>
          </w:p>
        </w:tc>
      </w:tr>
      <w:tr>
        <w:trPr>
          <w:cantSplit/>
        </w:trPr>
        <w:tc>
          <w:tcPr>
            <w:tcW w:type="dxa" w:w="1872"/>
            <w:vAlign w:val="center"/>
            <w:tcMar>
              <w:top w:w="70" w:type="dxa"/>
              <w:start w:w="110" w:type="dxa"/>
              <w:bottom w:w="70" w:type="dxa"/>
              <w:end w:w="110" w:type="dxa"/>
            </w:tcMar>
          </w:tcPr>
          <w:p>
            <w:pPr>
              <w:widowControl/>
              <w:spacing w:after="0"/>
            </w:pPr>
            <w:r>
              <w:rPr>
                <w:rFonts w:ascii="Arial" w:hAnsi="Arial"/>
                <w:sz w:val="17"/>
              </w:rPr>
              <w:t>11</w:t>
            </w:r>
          </w:p>
        </w:tc>
        <w:tc>
          <w:tcPr>
            <w:tcW w:type="dxa" w:w="3600"/>
            <w:vAlign w:val="center"/>
            <w:tcMar>
              <w:top w:w="70" w:type="dxa"/>
              <w:start w:w="110" w:type="dxa"/>
              <w:bottom w:w="70" w:type="dxa"/>
              <w:end w:w="110" w:type="dxa"/>
            </w:tcMar>
          </w:tcPr>
          <w:p>
            <w:pPr>
              <w:widowControl/>
              <w:spacing w:after="0"/>
            </w:pPr>
            <w:r>
              <w:rPr>
                <w:rFonts w:ascii="Arial" w:hAnsi="Arial"/>
                <w:sz w:val="17"/>
              </w:rPr>
              <w:t>52,551</w:t>
            </w:r>
          </w:p>
        </w:tc>
      </w:tr>
      <w:tr>
        <w:trPr>
          <w:cantSplit/>
        </w:trPr>
        <w:tc>
          <w:tcPr>
            <w:tcW w:type="dxa" w:w="1872"/>
            <w:vAlign w:val="center"/>
            <w:tcMar>
              <w:top w:w="70" w:type="dxa"/>
              <w:start w:w="110" w:type="dxa"/>
              <w:bottom w:w="70" w:type="dxa"/>
              <w:end w:w="110" w:type="dxa"/>
            </w:tcMar>
            <w:shd w:fill="F4F6F7"/>
          </w:tcPr>
          <w:p>
            <w:pPr>
              <w:widowControl/>
              <w:spacing w:after="0"/>
            </w:pPr>
            <w:r>
              <w:rPr>
                <w:rFonts w:ascii="Arial" w:hAnsi="Arial"/>
                <w:sz w:val="17"/>
              </w:rPr>
              <w:t>12</w:t>
            </w:r>
          </w:p>
        </w:tc>
        <w:tc>
          <w:tcPr>
            <w:tcW w:type="dxa" w:w="3600"/>
            <w:vAlign w:val="center"/>
            <w:tcMar>
              <w:top w:w="70" w:type="dxa"/>
              <w:start w:w="110" w:type="dxa"/>
              <w:bottom w:w="70" w:type="dxa"/>
              <w:end w:w="110" w:type="dxa"/>
            </w:tcMar>
            <w:shd w:fill="F4F6F7"/>
          </w:tcPr>
          <w:p>
            <w:pPr>
              <w:widowControl/>
              <w:spacing w:after="0"/>
            </w:pPr>
            <w:r>
              <w:rPr>
                <w:rFonts w:ascii="Arial" w:hAnsi="Arial"/>
                <w:sz w:val="17"/>
              </w:rPr>
              <w:t>53,076</w:t>
            </w:r>
          </w:p>
        </w:tc>
      </w:tr>
      <w:tr>
        <w:trPr>
          <w:cantSplit/>
        </w:trPr>
        <w:tc>
          <w:tcPr>
            <w:tcW w:type="dxa" w:w="1872"/>
            <w:vAlign w:val="center"/>
            <w:tcMar>
              <w:top w:w="70" w:type="dxa"/>
              <w:start w:w="110" w:type="dxa"/>
              <w:bottom w:w="70" w:type="dxa"/>
              <w:end w:w="110" w:type="dxa"/>
            </w:tcMar>
          </w:tcPr>
          <w:p>
            <w:pPr>
              <w:widowControl/>
              <w:spacing w:after="0"/>
            </w:pPr>
            <w:r>
              <w:rPr>
                <w:rFonts w:ascii="Arial" w:hAnsi="Arial"/>
                <w:sz w:val="17"/>
              </w:rPr>
              <w:t>13</w:t>
            </w:r>
          </w:p>
        </w:tc>
        <w:tc>
          <w:tcPr>
            <w:tcW w:type="dxa" w:w="3600"/>
            <w:vAlign w:val="center"/>
            <w:tcMar>
              <w:top w:w="70" w:type="dxa"/>
              <w:start w:w="110" w:type="dxa"/>
              <w:bottom w:w="70" w:type="dxa"/>
              <w:end w:w="110" w:type="dxa"/>
            </w:tcMar>
          </w:tcPr>
          <w:p>
            <w:pPr>
              <w:widowControl/>
              <w:spacing w:after="0"/>
            </w:pPr>
            <w:r>
              <w:rPr>
                <w:rFonts w:ascii="Arial" w:hAnsi="Arial"/>
                <w:sz w:val="17"/>
              </w:rPr>
              <w:t>53,607</w:t>
            </w:r>
          </w:p>
        </w:tc>
      </w:tr>
      <w:tr>
        <w:trPr>
          <w:cantSplit/>
        </w:trPr>
        <w:tc>
          <w:tcPr>
            <w:tcW w:type="dxa" w:w="1872"/>
            <w:vAlign w:val="center"/>
            <w:tcMar>
              <w:top w:w="70" w:type="dxa"/>
              <w:start w:w="110" w:type="dxa"/>
              <w:bottom w:w="70" w:type="dxa"/>
              <w:end w:w="110" w:type="dxa"/>
            </w:tcMar>
            <w:shd w:fill="F4F6F7"/>
          </w:tcPr>
          <w:p>
            <w:pPr>
              <w:widowControl/>
              <w:spacing w:after="0"/>
            </w:pPr>
            <w:r>
              <w:rPr>
                <w:rFonts w:ascii="Arial" w:hAnsi="Arial"/>
                <w:sz w:val="17"/>
              </w:rPr>
              <w:t>14</w:t>
            </w:r>
          </w:p>
        </w:tc>
        <w:tc>
          <w:tcPr>
            <w:tcW w:type="dxa" w:w="3600"/>
            <w:vAlign w:val="center"/>
            <w:tcMar>
              <w:top w:w="70" w:type="dxa"/>
              <w:start w:w="110" w:type="dxa"/>
              <w:bottom w:w="70" w:type="dxa"/>
              <w:end w:w="110" w:type="dxa"/>
            </w:tcMar>
            <w:shd w:fill="F4F6F7"/>
          </w:tcPr>
          <w:p>
            <w:pPr>
              <w:widowControl/>
              <w:spacing w:after="0"/>
            </w:pPr>
            <w:r>
              <w:rPr>
                <w:rFonts w:ascii="Arial" w:hAnsi="Arial"/>
                <w:sz w:val="17"/>
              </w:rPr>
              <w:t>54,143</w:t>
            </w:r>
          </w:p>
        </w:tc>
      </w:tr>
      <w:tr>
        <w:trPr>
          <w:cantSplit/>
        </w:trPr>
        <w:tc>
          <w:tcPr>
            <w:tcW w:type="dxa" w:w="1872"/>
            <w:vAlign w:val="center"/>
            <w:tcMar>
              <w:top w:w="70" w:type="dxa"/>
              <w:start w:w="110" w:type="dxa"/>
              <w:bottom w:w="70" w:type="dxa"/>
              <w:end w:w="110" w:type="dxa"/>
            </w:tcMar>
          </w:tcPr>
          <w:p>
            <w:pPr>
              <w:widowControl/>
              <w:spacing w:after="0"/>
            </w:pPr>
            <w:r>
              <w:rPr>
                <w:rFonts w:ascii="Arial" w:hAnsi="Arial"/>
                <w:sz w:val="17"/>
              </w:rPr>
              <w:t>15</w:t>
            </w:r>
          </w:p>
        </w:tc>
        <w:tc>
          <w:tcPr>
            <w:tcW w:type="dxa" w:w="3600"/>
            <w:vAlign w:val="center"/>
            <w:tcMar>
              <w:top w:w="70" w:type="dxa"/>
              <w:start w:w="110" w:type="dxa"/>
              <w:bottom w:w="70" w:type="dxa"/>
              <w:end w:w="110" w:type="dxa"/>
            </w:tcMar>
          </w:tcPr>
          <w:p>
            <w:pPr>
              <w:widowControl/>
              <w:spacing w:after="0"/>
            </w:pPr>
            <w:r>
              <w:rPr>
                <w:rFonts w:ascii="Arial" w:hAnsi="Arial"/>
                <w:sz w:val="17"/>
              </w:rPr>
              <w:t>54,684</w:t>
            </w:r>
          </w:p>
        </w:tc>
      </w:tr>
      <w:tr>
        <w:trPr>
          <w:cantSplit/>
        </w:trPr>
        <w:tc>
          <w:tcPr>
            <w:tcW w:type="dxa" w:w="1872"/>
            <w:vAlign w:val="center"/>
            <w:tcMar>
              <w:top w:w="70" w:type="dxa"/>
              <w:start w:w="110" w:type="dxa"/>
              <w:bottom w:w="70" w:type="dxa"/>
              <w:end w:w="110" w:type="dxa"/>
            </w:tcMar>
            <w:shd w:fill="F4F6F7"/>
          </w:tcPr>
          <w:p>
            <w:pPr>
              <w:widowControl/>
              <w:spacing w:after="0"/>
            </w:pPr>
            <w:r>
              <w:rPr>
                <w:rFonts w:ascii="Arial" w:hAnsi="Arial"/>
                <w:sz w:val="17"/>
              </w:rPr>
              <w:t>16</w:t>
            </w:r>
          </w:p>
        </w:tc>
        <w:tc>
          <w:tcPr>
            <w:tcW w:type="dxa" w:w="3600"/>
            <w:vAlign w:val="center"/>
            <w:tcMar>
              <w:top w:w="70" w:type="dxa"/>
              <w:start w:w="110" w:type="dxa"/>
              <w:bottom w:w="70" w:type="dxa"/>
              <w:end w:w="110" w:type="dxa"/>
            </w:tcMar>
            <w:shd w:fill="F4F6F7"/>
          </w:tcPr>
          <w:p>
            <w:pPr>
              <w:widowControl/>
              <w:spacing w:after="0"/>
            </w:pPr>
            <w:r>
              <w:rPr>
                <w:rFonts w:ascii="Arial" w:hAnsi="Arial"/>
                <w:sz w:val="17"/>
              </w:rPr>
              <w:t>55,231</w:t>
            </w:r>
          </w:p>
        </w:tc>
      </w:tr>
      <w:tr>
        <w:trPr>
          <w:cantSplit/>
        </w:trPr>
        <w:tc>
          <w:tcPr>
            <w:tcW w:type="dxa" w:w="1872"/>
            <w:vAlign w:val="center"/>
            <w:tcMar>
              <w:top w:w="70" w:type="dxa"/>
              <w:start w:w="110" w:type="dxa"/>
              <w:bottom w:w="70" w:type="dxa"/>
              <w:end w:w="110" w:type="dxa"/>
            </w:tcMar>
          </w:tcPr>
          <w:p>
            <w:pPr>
              <w:widowControl/>
              <w:spacing w:after="0"/>
            </w:pPr>
            <w:r>
              <w:rPr>
                <w:rFonts w:ascii="Arial" w:hAnsi="Arial"/>
                <w:sz w:val="17"/>
              </w:rPr>
              <w:t>17</w:t>
            </w:r>
          </w:p>
        </w:tc>
        <w:tc>
          <w:tcPr>
            <w:tcW w:type="dxa" w:w="3600"/>
            <w:vAlign w:val="center"/>
            <w:tcMar>
              <w:top w:w="70" w:type="dxa"/>
              <w:start w:w="110" w:type="dxa"/>
              <w:bottom w:w="70" w:type="dxa"/>
              <w:end w:w="110" w:type="dxa"/>
            </w:tcMar>
          </w:tcPr>
          <w:p>
            <w:pPr>
              <w:widowControl/>
              <w:spacing w:after="0"/>
            </w:pPr>
            <w:r>
              <w:rPr>
                <w:rFonts w:ascii="Arial" w:hAnsi="Arial"/>
                <w:sz w:val="17"/>
              </w:rPr>
              <w:t>55,783</w:t>
            </w:r>
          </w:p>
        </w:tc>
      </w:tr>
      <w:tr>
        <w:trPr>
          <w:cantSplit/>
        </w:trPr>
        <w:tc>
          <w:tcPr>
            <w:tcW w:type="dxa" w:w="1872"/>
            <w:vAlign w:val="center"/>
            <w:tcMar>
              <w:top w:w="70" w:type="dxa"/>
              <w:start w:w="110" w:type="dxa"/>
              <w:bottom w:w="70" w:type="dxa"/>
              <w:end w:w="110" w:type="dxa"/>
            </w:tcMar>
            <w:shd w:fill="F4F6F7"/>
          </w:tcPr>
          <w:p>
            <w:pPr>
              <w:widowControl/>
              <w:spacing w:after="0"/>
            </w:pPr>
            <w:r>
              <w:rPr>
                <w:rFonts w:ascii="Arial" w:hAnsi="Arial"/>
                <w:sz w:val="17"/>
              </w:rPr>
              <w:t>18</w:t>
            </w:r>
          </w:p>
        </w:tc>
        <w:tc>
          <w:tcPr>
            <w:tcW w:type="dxa" w:w="3600"/>
            <w:vAlign w:val="center"/>
            <w:tcMar>
              <w:top w:w="70" w:type="dxa"/>
              <w:start w:w="110" w:type="dxa"/>
              <w:bottom w:w="70" w:type="dxa"/>
              <w:end w:w="110" w:type="dxa"/>
            </w:tcMar>
            <w:shd w:fill="F4F6F7"/>
          </w:tcPr>
          <w:p>
            <w:pPr>
              <w:widowControl/>
              <w:spacing w:after="0"/>
            </w:pPr>
            <w:r>
              <w:rPr>
                <w:rFonts w:ascii="Arial" w:hAnsi="Arial"/>
                <w:sz w:val="17"/>
              </w:rPr>
              <w:t>56,341</w:t>
            </w:r>
          </w:p>
        </w:tc>
      </w:tr>
      <w:tr>
        <w:trPr>
          <w:cantSplit/>
        </w:trPr>
        <w:tc>
          <w:tcPr>
            <w:tcW w:type="dxa" w:w="1872"/>
            <w:vAlign w:val="center"/>
            <w:tcMar>
              <w:top w:w="70" w:type="dxa"/>
              <w:start w:w="110" w:type="dxa"/>
              <w:bottom w:w="70" w:type="dxa"/>
              <w:end w:w="110" w:type="dxa"/>
            </w:tcMar>
          </w:tcPr>
          <w:p>
            <w:pPr>
              <w:widowControl/>
              <w:spacing w:after="0"/>
            </w:pPr>
            <w:r>
              <w:rPr>
                <w:rFonts w:ascii="Arial" w:hAnsi="Arial"/>
                <w:sz w:val="17"/>
              </w:rPr>
              <w:t>19</w:t>
            </w:r>
          </w:p>
        </w:tc>
        <w:tc>
          <w:tcPr>
            <w:tcW w:type="dxa" w:w="3600"/>
            <w:vAlign w:val="center"/>
            <w:tcMar>
              <w:top w:w="70" w:type="dxa"/>
              <w:start w:w="110" w:type="dxa"/>
              <w:bottom w:w="70" w:type="dxa"/>
              <w:end w:w="110" w:type="dxa"/>
            </w:tcMar>
          </w:tcPr>
          <w:p>
            <w:pPr>
              <w:widowControl/>
              <w:spacing w:after="0"/>
            </w:pPr>
            <w:r>
              <w:rPr>
                <w:rFonts w:ascii="Arial" w:hAnsi="Arial"/>
                <w:sz w:val="17"/>
              </w:rPr>
              <w:t>56,905</w:t>
            </w:r>
          </w:p>
        </w:tc>
      </w:tr>
    </w:tbl>
    <w:p>
      <w:pPr>
        <w:widowControl/>
      </w:pPr>
      <w:r>
        <w:t>Starting in quota year 19, the quantity shall remain at 56,905 MT per year. (b) Canada shall apply the following provisions in the administration of this TRQ: (i) Up to 85 percent of the TRQ quantities set out in subparagraph (a) shall be for the importation of milk in bulk (not for retail sale) to be processed into dairy products used as ingredients for further food processing (secondary manufacturing).</w:t>
      </w:r>
    </w:p>
    <w:p>
      <w:pPr>
        <w:pStyle w:val="Normal"/>
        <w:widowControl/>
        <w:rPr/>
      </w:pPr>
      <w:r>
        <w:rPr/>
        <w:t>(ii) Any remainder of the TRQ quantities set out in subparagraph (a) shall be for the importation of any milk. (c) This paragraph applies to goods classified in the following tariff items: 0401.10.10 and 0401.20.10. (d) This TRQ shall be allocated on a dairy year basis, meaning from August 1 to July 31. 6.</w:t>
      </w:r>
    </w:p>
    <w:p>
      <w:pPr>
        <w:widowControl/>
      </w:pPr>
      <w:r>
        <w:t>TRQ-CA2: Cream (a) The aggregate quantity of originating goods described in subparagraph (c) that shall be permitted to enter duty-free in each quota year under this TRQ is:</w:t>
      </w:r>
    </w:p>
    <w:tbl>
      <w:tblPr>
        <w:tblStyle w:val="TableGrid"/>
        <w:tblW w:type="auto" w:w="0"/>
        <w:jc w:val="center"/>
        <w:tblLayout w:type="autofit"/>
        <w:tblLook w:firstColumn="1" w:firstRow="1" w:lastColumn="0" w:lastRow="0" w:noHBand="0" w:noVBand="1" w:val="04A0"/>
      </w:tblPr>
      <w:tblGrid>
        <w:gridCol w:w="4680"/>
        <w:gridCol w:w="4680"/>
      </w:tblGrid>
      <w:tr>
        <w:trPr>
          <w:tblHeader w:val="true"/>
          <w:cantSplit/>
          <w:tblHeader w:val="true"/>
        </w:trPr>
        <w:tc>
          <w:tcPr>
            <w:tcW w:type="dxa" w:w="1872"/>
            <w:vAlign w:val="center"/>
            <w:shd w:fill="233746"/>
          </w:tcPr>
          <w:p>
            <w:pPr>
              <w:spacing w:after="0"/>
            </w:pPr>
            <w:r>
              <w:rPr>
                <w:rFonts w:ascii="Arial" w:hAnsi="Arial"/>
                <w:b/>
                <w:color w:val="FFFFFF"/>
                <w:sz w:val="17"/>
              </w:rPr>
              <w:t>Quota Year</w:t>
            </w:r>
          </w:p>
        </w:tc>
        <w:tc>
          <w:tcPr>
            <w:tcW w:type="dxa" w:w="3600"/>
            <w:vAlign w:val="center"/>
            <w:shd w:fill="233746"/>
          </w:tcPr>
          <w:p>
            <w:pPr>
              <w:spacing w:after="0"/>
            </w:pPr>
            <w:r>
              <w:rPr>
                <w:rFonts w:ascii="Arial" w:hAnsi="Arial"/>
                <w:b/>
                <w:color w:val="FFFFFF"/>
                <w:sz w:val="17"/>
              </w:rPr>
              <w:t>Aggregate Quantity (MT)</w:t>
            </w:r>
          </w:p>
        </w:tc>
      </w:tr>
      <w:tr>
        <w:trPr>
          <w:cantSplit/>
        </w:trPr>
        <w:tc>
          <w:tcPr>
            <w:tcW w:type="dxa" w:w="1872"/>
            <w:vAlign w:val="center"/>
            <w:tcMar>
              <w:top w:w="70" w:type="dxa"/>
              <w:start w:w="110" w:type="dxa"/>
              <w:bottom w:w="70" w:type="dxa"/>
              <w:end w:w="110" w:type="dxa"/>
            </w:tcMar>
          </w:tcPr>
          <w:p>
            <w:pPr>
              <w:widowControl/>
              <w:spacing w:after="0"/>
            </w:pPr>
            <w:r>
              <w:rPr>
                <w:rFonts w:ascii="Arial" w:hAnsi="Arial"/>
                <w:sz w:val="17"/>
              </w:rPr>
              <w:t>1</w:t>
            </w:r>
          </w:p>
        </w:tc>
        <w:tc>
          <w:tcPr>
            <w:tcW w:type="dxa" w:w="3600"/>
            <w:vAlign w:val="center"/>
            <w:tcMar>
              <w:top w:w="70" w:type="dxa"/>
              <w:start w:w="110" w:type="dxa"/>
              <w:bottom w:w="70" w:type="dxa"/>
              <w:end w:w="110" w:type="dxa"/>
            </w:tcMar>
          </w:tcPr>
          <w:p>
            <w:pPr>
              <w:widowControl/>
              <w:spacing w:after="0"/>
            </w:pPr>
            <w:r>
              <w:rPr>
                <w:rFonts w:ascii="Arial" w:hAnsi="Arial"/>
                <w:sz w:val="17"/>
              </w:rPr>
              <w:t>1,750</w:t>
            </w:r>
          </w:p>
        </w:tc>
      </w:tr>
      <w:tr>
        <w:trPr>
          <w:cantSplit/>
        </w:trPr>
        <w:tc>
          <w:tcPr>
            <w:tcW w:type="dxa" w:w="1872"/>
            <w:vAlign w:val="center"/>
            <w:tcMar>
              <w:top w:w="70" w:type="dxa"/>
              <w:start w:w="110" w:type="dxa"/>
              <w:bottom w:w="70" w:type="dxa"/>
              <w:end w:w="110" w:type="dxa"/>
            </w:tcMar>
            <w:shd w:fill="F4F6F7"/>
          </w:tcPr>
          <w:p>
            <w:pPr>
              <w:widowControl/>
              <w:spacing w:after="0"/>
            </w:pPr>
            <w:r>
              <w:rPr>
                <w:rFonts w:ascii="Arial" w:hAnsi="Arial"/>
                <w:sz w:val="17"/>
              </w:rPr>
              <w:t>2</w:t>
            </w:r>
          </w:p>
        </w:tc>
        <w:tc>
          <w:tcPr>
            <w:tcW w:type="dxa" w:w="3600"/>
            <w:vAlign w:val="center"/>
            <w:tcMar>
              <w:top w:w="70" w:type="dxa"/>
              <w:start w:w="110" w:type="dxa"/>
              <w:bottom w:w="70" w:type="dxa"/>
              <w:end w:w="110" w:type="dxa"/>
            </w:tcMar>
            <w:shd w:fill="F4F6F7"/>
          </w:tcPr>
          <w:p>
            <w:pPr>
              <w:widowControl/>
              <w:spacing w:after="0"/>
            </w:pPr>
            <w:r>
              <w:rPr>
                <w:rFonts w:ascii="Arial" w:hAnsi="Arial"/>
                <w:sz w:val="17"/>
              </w:rPr>
              <w:t>3,500</w:t>
            </w:r>
          </w:p>
        </w:tc>
      </w:tr>
      <w:tr>
        <w:trPr>
          <w:cantSplit/>
        </w:trPr>
        <w:tc>
          <w:tcPr>
            <w:tcW w:type="dxa" w:w="1872"/>
            <w:vAlign w:val="center"/>
            <w:tcMar>
              <w:top w:w="70" w:type="dxa"/>
              <w:start w:w="110" w:type="dxa"/>
              <w:bottom w:w="70" w:type="dxa"/>
              <w:end w:w="110" w:type="dxa"/>
            </w:tcMar>
          </w:tcPr>
          <w:p>
            <w:pPr>
              <w:widowControl/>
              <w:spacing w:after="0"/>
            </w:pPr>
            <w:r>
              <w:rPr>
                <w:rFonts w:ascii="Arial" w:hAnsi="Arial"/>
                <w:sz w:val="17"/>
              </w:rPr>
              <w:t>3</w:t>
            </w:r>
          </w:p>
        </w:tc>
        <w:tc>
          <w:tcPr>
            <w:tcW w:type="dxa" w:w="3600"/>
            <w:vAlign w:val="center"/>
            <w:tcMar>
              <w:top w:w="70" w:type="dxa"/>
              <w:start w:w="110" w:type="dxa"/>
              <w:bottom w:w="70" w:type="dxa"/>
              <w:end w:w="110" w:type="dxa"/>
            </w:tcMar>
          </w:tcPr>
          <w:p>
            <w:pPr>
              <w:widowControl/>
              <w:spacing w:after="0"/>
            </w:pPr>
            <w:r>
              <w:rPr>
                <w:rFonts w:ascii="Arial" w:hAnsi="Arial"/>
                <w:sz w:val="17"/>
              </w:rPr>
              <w:t>5,250</w:t>
            </w:r>
          </w:p>
        </w:tc>
      </w:tr>
      <w:tr>
        <w:trPr>
          <w:cantSplit/>
        </w:trPr>
        <w:tc>
          <w:tcPr>
            <w:tcW w:type="dxa" w:w="1872"/>
            <w:vAlign w:val="center"/>
            <w:tcMar>
              <w:top w:w="70" w:type="dxa"/>
              <w:start w:w="110" w:type="dxa"/>
              <w:bottom w:w="70" w:type="dxa"/>
              <w:end w:w="110" w:type="dxa"/>
            </w:tcMar>
            <w:shd w:fill="F4F6F7"/>
          </w:tcPr>
          <w:p>
            <w:pPr>
              <w:widowControl/>
              <w:spacing w:after="0"/>
            </w:pPr>
            <w:r>
              <w:rPr>
                <w:rFonts w:ascii="Arial" w:hAnsi="Arial"/>
                <w:sz w:val="17"/>
              </w:rPr>
              <w:t>4</w:t>
            </w:r>
          </w:p>
        </w:tc>
        <w:tc>
          <w:tcPr>
            <w:tcW w:type="dxa" w:w="3600"/>
            <w:vAlign w:val="center"/>
            <w:tcMar>
              <w:top w:w="70" w:type="dxa"/>
              <w:start w:w="110" w:type="dxa"/>
              <w:bottom w:w="70" w:type="dxa"/>
              <w:end w:w="110" w:type="dxa"/>
            </w:tcMar>
            <w:shd w:fill="F4F6F7"/>
          </w:tcPr>
          <w:p>
            <w:pPr>
              <w:widowControl/>
              <w:spacing w:after="0"/>
            </w:pPr>
            <w:r>
              <w:rPr>
                <w:rFonts w:ascii="Arial" w:hAnsi="Arial"/>
                <w:sz w:val="17"/>
              </w:rPr>
              <w:t>7,000</w:t>
            </w:r>
          </w:p>
        </w:tc>
      </w:tr>
      <w:tr>
        <w:trPr>
          <w:cantSplit/>
        </w:trPr>
        <w:tc>
          <w:tcPr>
            <w:tcW w:type="dxa" w:w="1872"/>
            <w:vAlign w:val="center"/>
            <w:tcMar>
              <w:top w:w="70" w:type="dxa"/>
              <w:start w:w="110" w:type="dxa"/>
              <w:bottom w:w="70" w:type="dxa"/>
              <w:end w:w="110" w:type="dxa"/>
            </w:tcMar>
          </w:tcPr>
          <w:p>
            <w:pPr>
              <w:widowControl/>
              <w:spacing w:after="0"/>
            </w:pPr>
            <w:r>
              <w:rPr>
                <w:rFonts w:ascii="Arial" w:hAnsi="Arial"/>
                <w:sz w:val="17"/>
              </w:rPr>
              <w:t>5</w:t>
            </w:r>
          </w:p>
        </w:tc>
        <w:tc>
          <w:tcPr>
            <w:tcW w:type="dxa" w:w="3600"/>
            <w:vAlign w:val="center"/>
            <w:tcMar>
              <w:top w:w="70" w:type="dxa"/>
              <w:start w:w="110" w:type="dxa"/>
              <w:bottom w:w="70" w:type="dxa"/>
              <w:end w:w="110" w:type="dxa"/>
            </w:tcMar>
          </w:tcPr>
          <w:p>
            <w:pPr>
              <w:widowControl/>
              <w:spacing w:after="0"/>
            </w:pPr>
            <w:r>
              <w:rPr>
                <w:rFonts w:ascii="Arial" w:hAnsi="Arial"/>
                <w:sz w:val="17"/>
              </w:rPr>
              <w:t>8,750</w:t>
            </w:r>
          </w:p>
        </w:tc>
      </w:tr>
      <w:tr>
        <w:trPr>
          <w:cantSplit/>
        </w:trPr>
        <w:tc>
          <w:tcPr>
            <w:tcW w:type="dxa" w:w="1872"/>
            <w:vAlign w:val="center"/>
            <w:tcMar>
              <w:top w:w="70" w:type="dxa"/>
              <w:start w:w="110" w:type="dxa"/>
              <w:bottom w:w="70" w:type="dxa"/>
              <w:end w:w="110" w:type="dxa"/>
            </w:tcMar>
            <w:shd w:fill="F4F6F7"/>
          </w:tcPr>
          <w:p>
            <w:pPr>
              <w:widowControl/>
              <w:spacing w:after="0"/>
            </w:pPr>
            <w:r>
              <w:rPr>
                <w:rFonts w:ascii="Arial" w:hAnsi="Arial"/>
                <w:sz w:val="17"/>
              </w:rPr>
              <w:t>6</w:t>
            </w:r>
          </w:p>
        </w:tc>
        <w:tc>
          <w:tcPr>
            <w:tcW w:type="dxa" w:w="3600"/>
            <w:vAlign w:val="center"/>
            <w:tcMar>
              <w:top w:w="70" w:type="dxa"/>
              <w:start w:w="110" w:type="dxa"/>
              <w:bottom w:w="70" w:type="dxa"/>
              <w:end w:w="110" w:type="dxa"/>
            </w:tcMar>
            <w:shd w:fill="F4F6F7"/>
          </w:tcPr>
          <w:p>
            <w:pPr>
              <w:widowControl/>
              <w:spacing w:after="0"/>
            </w:pPr>
            <w:r>
              <w:rPr>
                <w:rFonts w:ascii="Arial" w:hAnsi="Arial"/>
                <w:sz w:val="17"/>
              </w:rPr>
              <w:t>10,500</w:t>
            </w:r>
          </w:p>
        </w:tc>
      </w:tr>
      <w:tr>
        <w:trPr>
          <w:cantSplit/>
        </w:trPr>
        <w:tc>
          <w:tcPr>
            <w:tcW w:type="dxa" w:w="1872"/>
            <w:vAlign w:val="center"/>
            <w:tcMar>
              <w:top w:w="70" w:type="dxa"/>
              <w:start w:w="110" w:type="dxa"/>
              <w:bottom w:w="70" w:type="dxa"/>
              <w:end w:w="110" w:type="dxa"/>
            </w:tcMar>
          </w:tcPr>
          <w:p>
            <w:pPr>
              <w:widowControl/>
              <w:spacing w:after="0"/>
            </w:pPr>
            <w:r>
              <w:rPr>
                <w:rFonts w:ascii="Arial" w:hAnsi="Arial"/>
                <w:sz w:val="17"/>
              </w:rPr>
              <w:t>7</w:t>
            </w:r>
          </w:p>
        </w:tc>
        <w:tc>
          <w:tcPr>
            <w:tcW w:type="dxa" w:w="3600"/>
            <w:vAlign w:val="center"/>
            <w:tcMar>
              <w:top w:w="70" w:type="dxa"/>
              <w:start w:w="110" w:type="dxa"/>
              <w:bottom w:w="70" w:type="dxa"/>
              <w:end w:w="110" w:type="dxa"/>
            </w:tcMar>
          </w:tcPr>
          <w:p>
            <w:pPr>
              <w:widowControl/>
              <w:spacing w:after="0"/>
            </w:pPr>
            <w:r>
              <w:rPr>
                <w:rFonts w:ascii="Arial" w:hAnsi="Arial"/>
                <w:sz w:val="17"/>
              </w:rPr>
              <w:t>10,605</w:t>
            </w:r>
          </w:p>
        </w:tc>
      </w:tr>
      <w:tr>
        <w:trPr>
          <w:cantSplit/>
        </w:trPr>
        <w:tc>
          <w:tcPr>
            <w:tcW w:type="dxa" w:w="1872"/>
            <w:vAlign w:val="center"/>
            <w:tcMar>
              <w:top w:w="70" w:type="dxa"/>
              <w:start w:w="110" w:type="dxa"/>
              <w:bottom w:w="70" w:type="dxa"/>
              <w:end w:w="110" w:type="dxa"/>
            </w:tcMar>
            <w:shd w:fill="F4F6F7"/>
          </w:tcPr>
          <w:p>
            <w:pPr>
              <w:widowControl/>
              <w:spacing w:after="0"/>
            </w:pPr>
            <w:r>
              <w:rPr>
                <w:rFonts w:ascii="Arial" w:hAnsi="Arial"/>
                <w:sz w:val="17"/>
              </w:rPr>
              <w:t>8</w:t>
            </w:r>
          </w:p>
        </w:tc>
        <w:tc>
          <w:tcPr>
            <w:tcW w:type="dxa" w:w="3600"/>
            <w:vAlign w:val="center"/>
            <w:tcMar>
              <w:top w:w="70" w:type="dxa"/>
              <w:start w:w="110" w:type="dxa"/>
              <w:bottom w:w="70" w:type="dxa"/>
              <w:end w:w="110" w:type="dxa"/>
            </w:tcMar>
            <w:shd w:fill="F4F6F7"/>
          </w:tcPr>
          <w:p>
            <w:pPr>
              <w:widowControl/>
              <w:spacing w:after="0"/>
            </w:pPr>
            <w:r>
              <w:rPr>
                <w:rFonts w:ascii="Arial" w:hAnsi="Arial"/>
                <w:sz w:val="17"/>
              </w:rPr>
              <w:t>10,711</w:t>
            </w:r>
          </w:p>
        </w:tc>
      </w:tr>
      <w:tr>
        <w:trPr>
          <w:cantSplit/>
        </w:trPr>
        <w:tc>
          <w:tcPr>
            <w:tcW w:type="dxa" w:w="1872"/>
            <w:vAlign w:val="center"/>
            <w:tcMar>
              <w:top w:w="70" w:type="dxa"/>
              <w:start w:w="110" w:type="dxa"/>
              <w:bottom w:w="70" w:type="dxa"/>
              <w:end w:w="110" w:type="dxa"/>
            </w:tcMar>
          </w:tcPr>
          <w:p>
            <w:pPr>
              <w:widowControl/>
              <w:spacing w:after="0"/>
            </w:pPr>
            <w:r>
              <w:rPr>
                <w:rFonts w:ascii="Arial" w:hAnsi="Arial"/>
                <w:sz w:val="17"/>
              </w:rPr>
              <w:t>9</w:t>
            </w:r>
          </w:p>
        </w:tc>
        <w:tc>
          <w:tcPr>
            <w:tcW w:type="dxa" w:w="3600"/>
            <w:vAlign w:val="center"/>
            <w:tcMar>
              <w:top w:w="70" w:type="dxa"/>
              <w:start w:w="110" w:type="dxa"/>
              <w:bottom w:w="70" w:type="dxa"/>
              <w:end w:w="110" w:type="dxa"/>
            </w:tcMar>
          </w:tcPr>
          <w:p>
            <w:pPr>
              <w:widowControl/>
              <w:spacing w:after="0"/>
            </w:pPr>
            <w:r>
              <w:rPr>
                <w:rFonts w:ascii="Arial" w:hAnsi="Arial"/>
                <w:sz w:val="17"/>
              </w:rPr>
              <w:t>10,818</w:t>
            </w:r>
          </w:p>
        </w:tc>
      </w:tr>
      <w:tr>
        <w:trPr>
          <w:cantSplit/>
        </w:trPr>
        <w:tc>
          <w:tcPr>
            <w:tcW w:type="dxa" w:w="1872"/>
            <w:vAlign w:val="center"/>
            <w:tcMar>
              <w:top w:w="70" w:type="dxa"/>
              <w:start w:w="110" w:type="dxa"/>
              <w:bottom w:w="70" w:type="dxa"/>
              <w:end w:w="110" w:type="dxa"/>
            </w:tcMar>
            <w:shd w:fill="F4F6F7"/>
          </w:tcPr>
          <w:p>
            <w:pPr>
              <w:widowControl/>
              <w:spacing w:after="0"/>
            </w:pPr>
            <w:r>
              <w:rPr>
                <w:rFonts w:ascii="Arial" w:hAnsi="Arial"/>
                <w:sz w:val="17"/>
              </w:rPr>
              <w:t>10</w:t>
            </w:r>
          </w:p>
        </w:tc>
        <w:tc>
          <w:tcPr>
            <w:tcW w:type="dxa" w:w="3600"/>
            <w:vAlign w:val="center"/>
            <w:tcMar>
              <w:top w:w="70" w:type="dxa"/>
              <w:start w:w="110" w:type="dxa"/>
              <w:bottom w:w="70" w:type="dxa"/>
              <w:end w:w="110" w:type="dxa"/>
            </w:tcMar>
            <w:shd w:fill="F4F6F7"/>
          </w:tcPr>
          <w:p>
            <w:pPr>
              <w:widowControl/>
              <w:spacing w:after="0"/>
            </w:pPr>
            <w:r>
              <w:rPr>
                <w:rFonts w:ascii="Arial" w:hAnsi="Arial"/>
                <w:sz w:val="17"/>
              </w:rPr>
              <w:t>10,926</w:t>
            </w:r>
          </w:p>
        </w:tc>
      </w:tr>
      <w:tr>
        <w:trPr>
          <w:cantSplit/>
        </w:trPr>
        <w:tc>
          <w:tcPr>
            <w:tcW w:type="dxa" w:w="1872"/>
            <w:vAlign w:val="center"/>
            <w:tcMar>
              <w:top w:w="70" w:type="dxa"/>
              <w:start w:w="110" w:type="dxa"/>
              <w:bottom w:w="70" w:type="dxa"/>
              <w:end w:w="110" w:type="dxa"/>
            </w:tcMar>
          </w:tcPr>
          <w:p>
            <w:pPr>
              <w:widowControl/>
              <w:spacing w:after="0"/>
            </w:pPr>
            <w:r>
              <w:rPr>
                <w:rFonts w:ascii="Arial" w:hAnsi="Arial"/>
                <w:sz w:val="17"/>
              </w:rPr>
              <w:t>11</w:t>
            </w:r>
          </w:p>
        </w:tc>
        <w:tc>
          <w:tcPr>
            <w:tcW w:type="dxa" w:w="3600"/>
            <w:vAlign w:val="center"/>
            <w:tcMar>
              <w:top w:w="70" w:type="dxa"/>
              <w:start w:w="110" w:type="dxa"/>
              <w:bottom w:w="70" w:type="dxa"/>
              <w:end w:w="110" w:type="dxa"/>
            </w:tcMar>
          </w:tcPr>
          <w:p>
            <w:pPr>
              <w:widowControl/>
              <w:spacing w:after="0"/>
            </w:pPr>
            <w:r>
              <w:rPr>
                <w:rFonts w:ascii="Arial" w:hAnsi="Arial"/>
                <w:sz w:val="17"/>
              </w:rPr>
              <w:t>11,036</w:t>
            </w:r>
          </w:p>
        </w:tc>
      </w:tr>
      <w:tr>
        <w:trPr>
          <w:cantSplit/>
        </w:trPr>
        <w:tc>
          <w:tcPr>
            <w:tcW w:type="dxa" w:w="1872"/>
            <w:vAlign w:val="center"/>
            <w:tcMar>
              <w:top w:w="70" w:type="dxa"/>
              <w:start w:w="110" w:type="dxa"/>
              <w:bottom w:w="70" w:type="dxa"/>
              <w:end w:w="110" w:type="dxa"/>
            </w:tcMar>
            <w:shd w:fill="F4F6F7"/>
          </w:tcPr>
          <w:p>
            <w:pPr>
              <w:widowControl/>
              <w:spacing w:after="0"/>
            </w:pPr>
            <w:r>
              <w:rPr>
                <w:rFonts w:ascii="Arial" w:hAnsi="Arial"/>
                <w:sz w:val="17"/>
              </w:rPr>
              <w:t>12</w:t>
            </w:r>
          </w:p>
        </w:tc>
        <w:tc>
          <w:tcPr>
            <w:tcW w:type="dxa" w:w="3600"/>
            <w:vAlign w:val="center"/>
            <w:tcMar>
              <w:top w:w="70" w:type="dxa"/>
              <w:start w:w="110" w:type="dxa"/>
              <w:bottom w:w="70" w:type="dxa"/>
              <w:end w:w="110" w:type="dxa"/>
            </w:tcMar>
            <w:shd w:fill="F4F6F7"/>
          </w:tcPr>
          <w:p>
            <w:pPr>
              <w:widowControl/>
              <w:spacing w:after="0"/>
            </w:pPr>
            <w:r>
              <w:rPr>
                <w:rFonts w:ascii="Arial" w:hAnsi="Arial"/>
                <w:sz w:val="17"/>
              </w:rPr>
              <w:t>11,146</w:t>
            </w:r>
          </w:p>
        </w:tc>
      </w:tr>
      <w:tr>
        <w:trPr>
          <w:cantSplit/>
        </w:trPr>
        <w:tc>
          <w:tcPr>
            <w:tcW w:type="dxa" w:w="1872"/>
            <w:vAlign w:val="center"/>
            <w:tcMar>
              <w:top w:w="70" w:type="dxa"/>
              <w:start w:w="110" w:type="dxa"/>
              <w:bottom w:w="70" w:type="dxa"/>
              <w:end w:w="110" w:type="dxa"/>
            </w:tcMar>
          </w:tcPr>
          <w:p>
            <w:pPr>
              <w:widowControl/>
              <w:spacing w:after="0"/>
            </w:pPr>
            <w:r>
              <w:rPr>
                <w:rFonts w:ascii="Arial" w:hAnsi="Arial"/>
                <w:sz w:val="17"/>
              </w:rPr>
              <w:t>13</w:t>
            </w:r>
          </w:p>
        </w:tc>
        <w:tc>
          <w:tcPr>
            <w:tcW w:type="dxa" w:w="3600"/>
            <w:vAlign w:val="center"/>
            <w:tcMar>
              <w:top w:w="70" w:type="dxa"/>
              <w:start w:w="110" w:type="dxa"/>
              <w:bottom w:w="70" w:type="dxa"/>
              <w:end w:w="110" w:type="dxa"/>
            </w:tcMar>
          </w:tcPr>
          <w:p>
            <w:pPr>
              <w:widowControl/>
              <w:spacing w:after="0"/>
            </w:pPr>
            <w:r>
              <w:rPr>
                <w:rFonts w:ascii="Arial" w:hAnsi="Arial"/>
                <w:sz w:val="17"/>
              </w:rPr>
              <w:t>11,257</w:t>
            </w:r>
          </w:p>
        </w:tc>
      </w:tr>
      <w:tr>
        <w:trPr>
          <w:cantSplit/>
        </w:trPr>
        <w:tc>
          <w:tcPr>
            <w:tcW w:type="dxa" w:w="1872"/>
            <w:vAlign w:val="center"/>
            <w:tcMar>
              <w:top w:w="70" w:type="dxa"/>
              <w:start w:w="110" w:type="dxa"/>
              <w:bottom w:w="70" w:type="dxa"/>
              <w:end w:w="110" w:type="dxa"/>
            </w:tcMar>
            <w:shd w:fill="F4F6F7"/>
          </w:tcPr>
          <w:p>
            <w:pPr>
              <w:widowControl/>
              <w:spacing w:after="0"/>
            </w:pPr>
            <w:r>
              <w:rPr>
                <w:rFonts w:ascii="Arial" w:hAnsi="Arial"/>
                <w:sz w:val="17"/>
              </w:rPr>
              <w:t>14</w:t>
            </w:r>
          </w:p>
        </w:tc>
        <w:tc>
          <w:tcPr>
            <w:tcW w:type="dxa" w:w="3600"/>
            <w:vAlign w:val="center"/>
            <w:tcMar>
              <w:top w:w="70" w:type="dxa"/>
              <w:start w:w="110" w:type="dxa"/>
              <w:bottom w:w="70" w:type="dxa"/>
              <w:end w:w="110" w:type="dxa"/>
            </w:tcMar>
            <w:shd w:fill="F4F6F7"/>
          </w:tcPr>
          <w:p>
            <w:pPr>
              <w:widowControl/>
              <w:spacing w:after="0"/>
            </w:pPr>
            <w:r>
              <w:rPr>
                <w:rFonts w:ascii="Arial" w:hAnsi="Arial"/>
                <w:sz w:val="17"/>
              </w:rPr>
              <w:t>11,370</w:t>
            </w:r>
          </w:p>
        </w:tc>
      </w:tr>
      <w:tr>
        <w:trPr>
          <w:cantSplit/>
        </w:trPr>
        <w:tc>
          <w:tcPr>
            <w:tcW w:type="dxa" w:w="1872"/>
            <w:vAlign w:val="center"/>
            <w:tcMar>
              <w:top w:w="70" w:type="dxa"/>
              <w:start w:w="110" w:type="dxa"/>
              <w:bottom w:w="70" w:type="dxa"/>
              <w:end w:w="110" w:type="dxa"/>
            </w:tcMar>
          </w:tcPr>
          <w:p>
            <w:pPr>
              <w:widowControl/>
              <w:spacing w:after="0"/>
            </w:pPr>
            <w:r>
              <w:rPr>
                <w:rFonts w:ascii="Arial" w:hAnsi="Arial"/>
                <w:sz w:val="17"/>
              </w:rPr>
              <w:t>15</w:t>
            </w:r>
          </w:p>
        </w:tc>
        <w:tc>
          <w:tcPr>
            <w:tcW w:type="dxa" w:w="3600"/>
            <w:vAlign w:val="center"/>
            <w:tcMar>
              <w:top w:w="70" w:type="dxa"/>
              <w:start w:w="110" w:type="dxa"/>
              <w:bottom w:w="70" w:type="dxa"/>
              <w:end w:w="110" w:type="dxa"/>
            </w:tcMar>
          </w:tcPr>
          <w:p>
            <w:pPr>
              <w:widowControl/>
              <w:spacing w:after="0"/>
            </w:pPr>
            <w:r>
              <w:rPr>
                <w:rFonts w:ascii="Arial" w:hAnsi="Arial"/>
                <w:sz w:val="17"/>
              </w:rPr>
              <w:t>11,484</w:t>
            </w:r>
          </w:p>
        </w:tc>
      </w:tr>
      <w:tr>
        <w:trPr>
          <w:cantSplit/>
        </w:trPr>
        <w:tc>
          <w:tcPr>
            <w:tcW w:type="dxa" w:w="1872"/>
            <w:vAlign w:val="center"/>
            <w:tcMar>
              <w:top w:w="70" w:type="dxa"/>
              <w:start w:w="110" w:type="dxa"/>
              <w:bottom w:w="70" w:type="dxa"/>
              <w:end w:w="110" w:type="dxa"/>
            </w:tcMar>
            <w:shd w:fill="F4F6F7"/>
          </w:tcPr>
          <w:p>
            <w:pPr>
              <w:widowControl/>
              <w:spacing w:after="0"/>
            </w:pPr>
            <w:r>
              <w:rPr>
                <w:rFonts w:ascii="Arial" w:hAnsi="Arial"/>
                <w:sz w:val="17"/>
              </w:rPr>
              <w:t>16</w:t>
            </w:r>
          </w:p>
        </w:tc>
        <w:tc>
          <w:tcPr>
            <w:tcW w:type="dxa" w:w="3600"/>
            <w:vAlign w:val="center"/>
            <w:tcMar>
              <w:top w:w="70" w:type="dxa"/>
              <w:start w:w="110" w:type="dxa"/>
              <w:bottom w:w="70" w:type="dxa"/>
              <w:end w:w="110" w:type="dxa"/>
            </w:tcMar>
            <w:shd w:fill="F4F6F7"/>
          </w:tcPr>
          <w:p>
            <w:pPr>
              <w:widowControl/>
              <w:spacing w:after="0"/>
            </w:pPr>
            <w:r>
              <w:rPr>
                <w:rFonts w:ascii="Arial" w:hAnsi="Arial"/>
                <w:sz w:val="17"/>
              </w:rPr>
              <w:t>11,599</w:t>
            </w:r>
          </w:p>
        </w:tc>
      </w:tr>
      <w:tr>
        <w:trPr>
          <w:cantSplit/>
        </w:trPr>
        <w:tc>
          <w:tcPr>
            <w:tcW w:type="dxa" w:w="1872"/>
            <w:vAlign w:val="center"/>
            <w:tcMar>
              <w:top w:w="70" w:type="dxa"/>
              <w:start w:w="110" w:type="dxa"/>
              <w:bottom w:w="70" w:type="dxa"/>
              <w:end w:w="110" w:type="dxa"/>
            </w:tcMar>
          </w:tcPr>
          <w:p>
            <w:pPr>
              <w:widowControl/>
              <w:spacing w:after="0"/>
            </w:pPr>
            <w:r>
              <w:rPr>
                <w:rFonts w:ascii="Arial" w:hAnsi="Arial"/>
                <w:sz w:val="17"/>
              </w:rPr>
              <w:t>17</w:t>
            </w:r>
          </w:p>
        </w:tc>
        <w:tc>
          <w:tcPr>
            <w:tcW w:type="dxa" w:w="3600"/>
            <w:vAlign w:val="center"/>
            <w:tcMar>
              <w:top w:w="70" w:type="dxa"/>
              <w:start w:w="110" w:type="dxa"/>
              <w:bottom w:w="70" w:type="dxa"/>
              <w:end w:w="110" w:type="dxa"/>
            </w:tcMar>
          </w:tcPr>
          <w:p>
            <w:pPr>
              <w:widowControl/>
              <w:spacing w:after="0"/>
            </w:pPr>
            <w:r>
              <w:rPr>
                <w:rFonts w:ascii="Arial" w:hAnsi="Arial"/>
                <w:sz w:val="17"/>
              </w:rPr>
              <w:t>11,715</w:t>
            </w:r>
          </w:p>
        </w:tc>
      </w:tr>
      <w:tr>
        <w:trPr>
          <w:cantSplit/>
        </w:trPr>
        <w:tc>
          <w:tcPr>
            <w:tcW w:type="dxa" w:w="1872"/>
            <w:vAlign w:val="center"/>
            <w:tcMar>
              <w:top w:w="70" w:type="dxa"/>
              <w:start w:w="110" w:type="dxa"/>
              <w:bottom w:w="70" w:type="dxa"/>
              <w:end w:w="110" w:type="dxa"/>
            </w:tcMar>
            <w:shd w:fill="F4F6F7"/>
          </w:tcPr>
          <w:p>
            <w:pPr>
              <w:widowControl/>
              <w:spacing w:after="0"/>
            </w:pPr>
            <w:r>
              <w:rPr>
                <w:rFonts w:ascii="Arial" w:hAnsi="Arial"/>
                <w:sz w:val="17"/>
              </w:rPr>
              <w:t>18</w:t>
            </w:r>
          </w:p>
        </w:tc>
        <w:tc>
          <w:tcPr>
            <w:tcW w:type="dxa" w:w="3600"/>
            <w:vAlign w:val="center"/>
            <w:tcMar>
              <w:top w:w="70" w:type="dxa"/>
              <w:start w:w="110" w:type="dxa"/>
              <w:bottom w:w="70" w:type="dxa"/>
              <w:end w:w="110" w:type="dxa"/>
            </w:tcMar>
            <w:shd w:fill="F4F6F7"/>
          </w:tcPr>
          <w:p>
            <w:pPr>
              <w:widowControl/>
              <w:spacing w:after="0"/>
            </w:pPr>
            <w:r>
              <w:rPr>
                <w:rFonts w:ascii="Arial" w:hAnsi="Arial"/>
                <w:sz w:val="17"/>
              </w:rPr>
              <w:t>11,832</w:t>
            </w:r>
          </w:p>
        </w:tc>
      </w:tr>
      <w:tr>
        <w:trPr>
          <w:cantSplit/>
        </w:trPr>
        <w:tc>
          <w:tcPr>
            <w:tcW w:type="dxa" w:w="1872"/>
            <w:vAlign w:val="center"/>
            <w:tcMar>
              <w:top w:w="70" w:type="dxa"/>
              <w:start w:w="110" w:type="dxa"/>
              <w:bottom w:w="70" w:type="dxa"/>
              <w:end w:w="110" w:type="dxa"/>
            </w:tcMar>
          </w:tcPr>
          <w:p>
            <w:pPr>
              <w:widowControl/>
              <w:spacing w:after="0"/>
            </w:pPr>
            <w:r>
              <w:rPr>
                <w:rFonts w:ascii="Arial" w:hAnsi="Arial"/>
                <w:sz w:val="17"/>
              </w:rPr>
              <w:t>19</w:t>
            </w:r>
          </w:p>
        </w:tc>
        <w:tc>
          <w:tcPr>
            <w:tcW w:type="dxa" w:w="3600"/>
            <w:vAlign w:val="center"/>
            <w:tcMar>
              <w:top w:w="70" w:type="dxa"/>
              <w:start w:w="110" w:type="dxa"/>
              <w:bottom w:w="70" w:type="dxa"/>
              <w:end w:w="110" w:type="dxa"/>
            </w:tcMar>
          </w:tcPr>
          <w:p>
            <w:pPr>
              <w:widowControl/>
              <w:spacing w:after="0"/>
            </w:pPr>
            <w:r>
              <w:rPr>
                <w:rFonts w:ascii="Arial" w:hAnsi="Arial"/>
                <w:sz w:val="17"/>
              </w:rPr>
              <w:t>11,950</w:t>
            </w:r>
          </w:p>
        </w:tc>
      </w:tr>
    </w:tbl>
    <w:p>
      <w:pPr>
        <w:widowControl/>
      </w:pPr>
      <w:r>
        <w:t>Starting in quota year 19, the quantity shall remain at 11,950 MT per year. (b) Canada shall apply the following provisions in the administration of this TRQ: (i) Up to 85 percent of the TRQ quantities set out in subparagraph (a) shall be for the importation of cream in bulk (not for retail sale) to be processed into dairy products used as ingredients for further food processing (secondary manufacturing). (ii) Any remainder of the TRQ quantities set out in subparagraph (a) shall be for the importation of any cream. (c) This paragraph applies to goods classified in the following tariff items: 0401.40.10, and 0401.50.10. (d) This TRQ shall be allocated on a dairy year basis, meaning from August 1 to July 31. 7.</w:t>
      </w:r>
    </w:p>
    <w:p>
      <w:pPr>
        <w:widowControl/>
      </w:pPr>
      <w:r>
        <w:t>TRQ-CA3: Skim Milk Powder (a) The aggregate quantity of originating goods described in subparagraph (b) that shall be permitted to enter duty-free in each quota year under this TRQ is:</w:t>
      </w:r>
    </w:p>
    <w:tbl>
      <w:tblPr>
        <w:tblStyle w:val="TableGrid"/>
        <w:tblW w:type="auto" w:w="0"/>
        <w:jc w:val="center"/>
        <w:tblLayout w:type="autofit"/>
        <w:tblLook w:firstColumn="1" w:firstRow="1" w:lastColumn="0" w:lastRow="0" w:noHBand="0" w:noVBand="1" w:val="04A0"/>
      </w:tblPr>
      <w:tblGrid>
        <w:gridCol w:w="4680"/>
        <w:gridCol w:w="4680"/>
      </w:tblGrid>
      <w:tr>
        <w:trPr>
          <w:tblHeader w:val="true"/>
          <w:cantSplit/>
          <w:tblHeader w:val="true"/>
        </w:trPr>
        <w:tc>
          <w:tcPr>
            <w:tcW w:type="dxa" w:w="1872"/>
            <w:vAlign w:val="center"/>
            <w:shd w:fill="233746"/>
          </w:tcPr>
          <w:p>
            <w:pPr>
              <w:spacing w:after="0"/>
            </w:pPr>
            <w:r>
              <w:rPr>
                <w:rFonts w:ascii="Arial" w:hAnsi="Arial"/>
                <w:b/>
                <w:color w:val="FFFFFF"/>
                <w:sz w:val="17"/>
              </w:rPr>
              <w:t>Quota Year</w:t>
            </w:r>
          </w:p>
        </w:tc>
        <w:tc>
          <w:tcPr>
            <w:tcW w:type="dxa" w:w="3600"/>
            <w:vAlign w:val="center"/>
            <w:shd w:fill="233746"/>
          </w:tcPr>
          <w:p>
            <w:pPr>
              <w:spacing w:after="0"/>
            </w:pPr>
            <w:r>
              <w:rPr>
                <w:rFonts w:ascii="Arial" w:hAnsi="Arial"/>
                <w:b/>
                <w:color w:val="FFFFFF"/>
                <w:sz w:val="17"/>
              </w:rPr>
              <w:t>Aggregate Quantity (MT)</w:t>
            </w:r>
          </w:p>
        </w:tc>
      </w:tr>
      <w:tr>
        <w:trPr>
          <w:cantSplit/>
        </w:trPr>
        <w:tc>
          <w:tcPr>
            <w:tcW w:type="dxa" w:w="1872"/>
            <w:vAlign w:val="center"/>
            <w:tcMar>
              <w:top w:w="70" w:type="dxa"/>
              <w:start w:w="110" w:type="dxa"/>
              <w:bottom w:w="70" w:type="dxa"/>
              <w:end w:w="110" w:type="dxa"/>
            </w:tcMar>
          </w:tcPr>
          <w:p>
            <w:pPr>
              <w:widowControl/>
              <w:spacing w:after="0"/>
            </w:pPr>
            <w:r>
              <w:rPr>
                <w:rFonts w:ascii="Arial" w:hAnsi="Arial"/>
                <w:sz w:val="17"/>
              </w:rPr>
              <w:t>1</w:t>
            </w:r>
          </w:p>
        </w:tc>
        <w:tc>
          <w:tcPr>
            <w:tcW w:type="dxa" w:w="3600"/>
            <w:vAlign w:val="center"/>
            <w:tcMar>
              <w:top w:w="70" w:type="dxa"/>
              <w:start w:w="110" w:type="dxa"/>
              <w:bottom w:w="70" w:type="dxa"/>
              <w:end w:w="110" w:type="dxa"/>
            </w:tcMar>
          </w:tcPr>
          <w:p>
            <w:pPr>
              <w:widowControl/>
              <w:spacing w:after="0"/>
            </w:pPr>
            <w:r>
              <w:rPr>
                <w:rFonts w:ascii="Arial" w:hAnsi="Arial"/>
                <w:sz w:val="17"/>
              </w:rPr>
              <w:t>1,250</w:t>
            </w:r>
          </w:p>
        </w:tc>
      </w:tr>
      <w:tr>
        <w:trPr>
          <w:cantSplit/>
        </w:trPr>
        <w:tc>
          <w:tcPr>
            <w:tcW w:type="dxa" w:w="1872"/>
            <w:vAlign w:val="center"/>
            <w:tcMar>
              <w:top w:w="70" w:type="dxa"/>
              <w:start w:w="110" w:type="dxa"/>
              <w:bottom w:w="70" w:type="dxa"/>
              <w:end w:w="110" w:type="dxa"/>
            </w:tcMar>
            <w:shd w:fill="F4F6F7"/>
          </w:tcPr>
          <w:p>
            <w:pPr>
              <w:widowControl/>
              <w:spacing w:after="0"/>
            </w:pPr>
            <w:r>
              <w:rPr>
                <w:rFonts w:ascii="Arial" w:hAnsi="Arial"/>
                <w:sz w:val="17"/>
              </w:rPr>
              <w:t>2</w:t>
            </w:r>
          </w:p>
        </w:tc>
        <w:tc>
          <w:tcPr>
            <w:tcW w:type="dxa" w:w="3600"/>
            <w:vAlign w:val="center"/>
            <w:tcMar>
              <w:top w:w="70" w:type="dxa"/>
              <w:start w:w="110" w:type="dxa"/>
              <w:bottom w:w="70" w:type="dxa"/>
              <w:end w:w="110" w:type="dxa"/>
            </w:tcMar>
            <w:shd w:fill="F4F6F7"/>
          </w:tcPr>
          <w:p>
            <w:pPr>
              <w:widowControl/>
              <w:spacing w:after="0"/>
            </w:pPr>
            <w:r>
              <w:rPr>
                <w:rFonts w:ascii="Arial" w:hAnsi="Arial"/>
                <w:sz w:val="17"/>
              </w:rPr>
              <w:t>2,500</w:t>
            </w:r>
          </w:p>
        </w:tc>
      </w:tr>
      <w:tr>
        <w:trPr>
          <w:cantSplit/>
        </w:trPr>
        <w:tc>
          <w:tcPr>
            <w:tcW w:type="dxa" w:w="1872"/>
            <w:vAlign w:val="center"/>
            <w:tcMar>
              <w:top w:w="70" w:type="dxa"/>
              <w:start w:w="110" w:type="dxa"/>
              <w:bottom w:w="70" w:type="dxa"/>
              <w:end w:w="110" w:type="dxa"/>
            </w:tcMar>
          </w:tcPr>
          <w:p>
            <w:pPr>
              <w:widowControl/>
              <w:spacing w:after="0"/>
            </w:pPr>
            <w:r>
              <w:rPr>
                <w:rFonts w:ascii="Arial" w:hAnsi="Arial"/>
                <w:sz w:val="17"/>
              </w:rPr>
              <w:t>3</w:t>
            </w:r>
          </w:p>
        </w:tc>
        <w:tc>
          <w:tcPr>
            <w:tcW w:type="dxa" w:w="3600"/>
            <w:vAlign w:val="center"/>
            <w:tcMar>
              <w:top w:w="70" w:type="dxa"/>
              <w:start w:w="110" w:type="dxa"/>
              <w:bottom w:w="70" w:type="dxa"/>
              <w:end w:w="110" w:type="dxa"/>
            </w:tcMar>
          </w:tcPr>
          <w:p>
            <w:pPr>
              <w:widowControl/>
              <w:spacing w:after="0"/>
            </w:pPr>
            <w:r>
              <w:rPr>
                <w:rFonts w:ascii="Arial" w:hAnsi="Arial"/>
                <w:sz w:val="17"/>
              </w:rPr>
              <w:t>3,750</w:t>
            </w:r>
          </w:p>
        </w:tc>
      </w:tr>
      <w:tr>
        <w:trPr>
          <w:cantSplit/>
        </w:trPr>
        <w:tc>
          <w:tcPr>
            <w:tcW w:type="dxa" w:w="1872"/>
            <w:vAlign w:val="center"/>
            <w:tcMar>
              <w:top w:w="70" w:type="dxa"/>
              <w:start w:w="110" w:type="dxa"/>
              <w:bottom w:w="70" w:type="dxa"/>
              <w:end w:w="110" w:type="dxa"/>
            </w:tcMar>
            <w:shd w:fill="F4F6F7"/>
          </w:tcPr>
          <w:p>
            <w:pPr>
              <w:widowControl/>
              <w:spacing w:after="0"/>
            </w:pPr>
            <w:r>
              <w:rPr>
                <w:rFonts w:ascii="Arial" w:hAnsi="Arial"/>
                <w:sz w:val="17"/>
              </w:rPr>
              <w:t>4</w:t>
            </w:r>
          </w:p>
        </w:tc>
        <w:tc>
          <w:tcPr>
            <w:tcW w:type="dxa" w:w="3600"/>
            <w:vAlign w:val="center"/>
            <w:tcMar>
              <w:top w:w="70" w:type="dxa"/>
              <w:start w:w="110" w:type="dxa"/>
              <w:bottom w:w="70" w:type="dxa"/>
              <w:end w:w="110" w:type="dxa"/>
            </w:tcMar>
            <w:shd w:fill="F4F6F7"/>
          </w:tcPr>
          <w:p>
            <w:pPr>
              <w:widowControl/>
              <w:spacing w:after="0"/>
            </w:pPr>
            <w:r>
              <w:rPr>
                <w:rFonts w:ascii="Arial" w:hAnsi="Arial"/>
                <w:sz w:val="17"/>
              </w:rPr>
              <w:t>5,000</w:t>
            </w:r>
          </w:p>
        </w:tc>
      </w:tr>
      <w:tr>
        <w:trPr>
          <w:cantSplit/>
        </w:trPr>
        <w:tc>
          <w:tcPr>
            <w:tcW w:type="dxa" w:w="1872"/>
            <w:vAlign w:val="center"/>
            <w:tcMar>
              <w:top w:w="70" w:type="dxa"/>
              <w:start w:w="110" w:type="dxa"/>
              <w:bottom w:w="70" w:type="dxa"/>
              <w:end w:w="110" w:type="dxa"/>
            </w:tcMar>
          </w:tcPr>
          <w:p>
            <w:pPr>
              <w:widowControl/>
              <w:spacing w:after="0"/>
            </w:pPr>
            <w:r>
              <w:rPr>
                <w:rFonts w:ascii="Arial" w:hAnsi="Arial"/>
                <w:sz w:val="17"/>
              </w:rPr>
              <w:t>5</w:t>
            </w:r>
          </w:p>
        </w:tc>
        <w:tc>
          <w:tcPr>
            <w:tcW w:type="dxa" w:w="3600"/>
            <w:vAlign w:val="center"/>
            <w:tcMar>
              <w:top w:w="70" w:type="dxa"/>
              <w:start w:w="110" w:type="dxa"/>
              <w:bottom w:w="70" w:type="dxa"/>
              <w:end w:w="110" w:type="dxa"/>
            </w:tcMar>
          </w:tcPr>
          <w:p>
            <w:pPr>
              <w:widowControl/>
              <w:spacing w:after="0"/>
            </w:pPr>
            <w:r>
              <w:rPr>
                <w:rFonts w:ascii="Arial" w:hAnsi="Arial"/>
                <w:sz w:val="17"/>
              </w:rPr>
              <w:t>6,250</w:t>
            </w:r>
          </w:p>
        </w:tc>
      </w:tr>
      <w:tr>
        <w:trPr>
          <w:cantSplit/>
        </w:trPr>
        <w:tc>
          <w:tcPr>
            <w:tcW w:type="dxa" w:w="1872"/>
            <w:vAlign w:val="center"/>
            <w:tcMar>
              <w:top w:w="70" w:type="dxa"/>
              <w:start w:w="110" w:type="dxa"/>
              <w:bottom w:w="70" w:type="dxa"/>
              <w:end w:w="110" w:type="dxa"/>
            </w:tcMar>
            <w:shd w:fill="F4F6F7"/>
          </w:tcPr>
          <w:p>
            <w:pPr>
              <w:widowControl/>
              <w:spacing w:after="0"/>
            </w:pPr>
            <w:r>
              <w:rPr>
                <w:rFonts w:ascii="Arial" w:hAnsi="Arial"/>
                <w:sz w:val="17"/>
              </w:rPr>
              <w:t>6</w:t>
            </w:r>
          </w:p>
        </w:tc>
        <w:tc>
          <w:tcPr>
            <w:tcW w:type="dxa" w:w="3600"/>
            <w:vAlign w:val="center"/>
            <w:tcMar>
              <w:top w:w="70" w:type="dxa"/>
              <w:start w:w="110" w:type="dxa"/>
              <w:bottom w:w="70" w:type="dxa"/>
              <w:end w:w="110" w:type="dxa"/>
            </w:tcMar>
            <w:shd w:fill="F4F6F7"/>
          </w:tcPr>
          <w:p>
            <w:pPr>
              <w:widowControl/>
              <w:spacing w:after="0"/>
            </w:pPr>
            <w:r>
              <w:rPr>
                <w:rFonts w:ascii="Arial" w:hAnsi="Arial"/>
                <w:sz w:val="17"/>
              </w:rPr>
              <w:t>7,500</w:t>
            </w:r>
          </w:p>
        </w:tc>
      </w:tr>
      <w:tr>
        <w:trPr>
          <w:cantSplit/>
        </w:trPr>
        <w:tc>
          <w:tcPr>
            <w:tcW w:type="dxa" w:w="1872"/>
            <w:vAlign w:val="center"/>
            <w:tcMar>
              <w:top w:w="70" w:type="dxa"/>
              <w:start w:w="110" w:type="dxa"/>
              <w:bottom w:w="70" w:type="dxa"/>
              <w:end w:w="110" w:type="dxa"/>
            </w:tcMar>
          </w:tcPr>
          <w:p>
            <w:pPr>
              <w:widowControl/>
              <w:spacing w:after="0"/>
            </w:pPr>
            <w:r>
              <w:rPr>
                <w:rFonts w:ascii="Arial" w:hAnsi="Arial"/>
                <w:sz w:val="17"/>
              </w:rPr>
              <w:t>7</w:t>
            </w:r>
          </w:p>
        </w:tc>
        <w:tc>
          <w:tcPr>
            <w:tcW w:type="dxa" w:w="3600"/>
            <w:vAlign w:val="center"/>
            <w:tcMar>
              <w:top w:w="70" w:type="dxa"/>
              <w:start w:w="110" w:type="dxa"/>
              <w:bottom w:w="70" w:type="dxa"/>
              <w:end w:w="110" w:type="dxa"/>
            </w:tcMar>
          </w:tcPr>
          <w:p>
            <w:pPr>
              <w:widowControl/>
              <w:spacing w:after="0"/>
            </w:pPr>
            <w:r>
              <w:rPr>
                <w:rFonts w:ascii="Arial" w:hAnsi="Arial"/>
                <w:sz w:val="17"/>
              </w:rPr>
              <w:t>7,575</w:t>
            </w:r>
          </w:p>
        </w:tc>
      </w:tr>
      <w:tr>
        <w:trPr>
          <w:cantSplit/>
        </w:trPr>
        <w:tc>
          <w:tcPr>
            <w:tcW w:type="dxa" w:w="1872"/>
            <w:vAlign w:val="center"/>
            <w:tcMar>
              <w:top w:w="70" w:type="dxa"/>
              <w:start w:w="110" w:type="dxa"/>
              <w:bottom w:w="70" w:type="dxa"/>
              <w:end w:w="110" w:type="dxa"/>
            </w:tcMar>
            <w:shd w:fill="F4F6F7"/>
          </w:tcPr>
          <w:p>
            <w:pPr>
              <w:widowControl/>
              <w:spacing w:after="0"/>
            </w:pPr>
            <w:r>
              <w:rPr>
                <w:rFonts w:ascii="Arial" w:hAnsi="Arial"/>
                <w:sz w:val="17"/>
              </w:rPr>
              <w:t>8</w:t>
            </w:r>
          </w:p>
        </w:tc>
        <w:tc>
          <w:tcPr>
            <w:tcW w:type="dxa" w:w="3600"/>
            <w:vAlign w:val="center"/>
            <w:tcMar>
              <w:top w:w="70" w:type="dxa"/>
              <w:start w:w="110" w:type="dxa"/>
              <w:bottom w:w="70" w:type="dxa"/>
              <w:end w:w="110" w:type="dxa"/>
            </w:tcMar>
            <w:shd w:fill="F4F6F7"/>
          </w:tcPr>
          <w:p>
            <w:pPr>
              <w:widowControl/>
              <w:spacing w:after="0"/>
            </w:pPr>
            <w:r>
              <w:rPr>
                <w:rFonts w:ascii="Arial" w:hAnsi="Arial"/>
                <w:sz w:val="17"/>
              </w:rPr>
              <w:t>7,651</w:t>
            </w:r>
          </w:p>
        </w:tc>
      </w:tr>
      <w:tr>
        <w:trPr>
          <w:cantSplit/>
        </w:trPr>
        <w:tc>
          <w:tcPr>
            <w:tcW w:type="dxa" w:w="1872"/>
            <w:vAlign w:val="center"/>
            <w:tcMar>
              <w:top w:w="70" w:type="dxa"/>
              <w:start w:w="110" w:type="dxa"/>
              <w:bottom w:w="70" w:type="dxa"/>
              <w:end w:w="110" w:type="dxa"/>
            </w:tcMar>
          </w:tcPr>
          <w:p>
            <w:pPr>
              <w:widowControl/>
              <w:spacing w:after="0"/>
            </w:pPr>
            <w:r>
              <w:rPr>
                <w:rFonts w:ascii="Arial" w:hAnsi="Arial"/>
                <w:sz w:val="17"/>
              </w:rPr>
              <w:t>9</w:t>
            </w:r>
          </w:p>
        </w:tc>
        <w:tc>
          <w:tcPr>
            <w:tcW w:type="dxa" w:w="3600"/>
            <w:vAlign w:val="center"/>
            <w:tcMar>
              <w:top w:w="70" w:type="dxa"/>
              <w:start w:w="110" w:type="dxa"/>
              <w:bottom w:w="70" w:type="dxa"/>
              <w:end w:w="110" w:type="dxa"/>
            </w:tcMar>
          </w:tcPr>
          <w:p>
            <w:pPr>
              <w:widowControl/>
              <w:spacing w:after="0"/>
            </w:pPr>
            <w:r>
              <w:rPr>
                <w:rFonts w:ascii="Arial" w:hAnsi="Arial"/>
                <w:sz w:val="17"/>
              </w:rPr>
              <w:t>7,727</w:t>
            </w:r>
          </w:p>
        </w:tc>
      </w:tr>
      <w:tr>
        <w:trPr>
          <w:cantSplit/>
        </w:trPr>
        <w:tc>
          <w:tcPr>
            <w:tcW w:type="dxa" w:w="1872"/>
            <w:vAlign w:val="center"/>
            <w:tcMar>
              <w:top w:w="70" w:type="dxa"/>
              <w:start w:w="110" w:type="dxa"/>
              <w:bottom w:w="70" w:type="dxa"/>
              <w:end w:w="110" w:type="dxa"/>
            </w:tcMar>
            <w:shd w:fill="F4F6F7"/>
          </w:tcPr>
          <w:p>
            <w:pPr>
              <w:widowControl/>
              <w:spacing w:after="0"/>
            </w:pPr>
            <w:r>
              <w:rPr>
                <w:rFonts w:ascii="Arial" w:hAnsi="Arial"/>
                <w:sz w:val="17"/>
              </w:rPr>
              <w:t>10</w:t>
            </w:r>
          </w:p>
        </w:tc>
        <w:tc>
          <w:tcPr>
            <w:tcW w:type="dxa" w:w="3600"/>
            <w:vAlign w:val="center"/>
            <w:tcMar>
              <w:top w:w="70" w:type="dxa"/>
              <w:start w:w="110" w:type="dxa"/>
              <w:bottom w:w="70" w:type="dxa"/>
              <w:end w:w="110" w:type="dxa"/>
            </w:tcMar>
            <w:shd w:fill="F4F6F7"/>
          </w:tcPr>
          <w:p>
            <w:pPr>
              <w:widowControl/>
              <w:spacing w:after="0"/>
            </w:pPr>
            <w:r>
              <w:rPr>
                <w:rFonts w:ascii="Arial" w:hAnsi="Arial"/>
                <w:sz w:val="17"/>
              </w:rPr>
              <w:t>7,805</w:t>
            </w:r>
          </w:p>
        </w:tc>
      </w:tr>
      <w:tr>
        <w:trPr>
          <w:cantSplit/>
        </w:trPr>
        <w:tc>
          <w:tcPr>
            <w:tcW w:type="dxa" w:w="1872"/>
            <w:vAlign w:val="center"/>
            <w:tcMar>
              <w:top w:w="70" w:type="dxa"/>
              <w:start w:w="110" w:type="dxa"/>
              <w:bottom w:w="70" w:type="dxa"/>
              <w:end w:w="110" w:type="dxa"/>
            </w:tcMar>
          </w:tcPr>
          <w:p>
            <w:pPr>
              <w:widowControl/>
              <w:spacing w:after="0"/>
            </w:pPr>
            <w:r>
              <w:rPr>
                <w:rFonts w:ascii="Arial" w:hAnsi="Arial"/>
                <w:sz w:val="17"/>
              </w:rPr>
              <w:t>11</w:t>
            </w:r>
          </w:p>
        </w:tc>
        <w:tc>
          <w:tcPr>
            <w:tcW w:type="dxa" w:w="3600"/>
            <w:vAlign w:val="center"/>
            <w:tcMar>
              <w:top w:w="70" w:type="dxa"/>
              <w:start w:w="110" w:type="dxa"/>
              <w:bottom w:w="70" w:type="dxa"/>
              <w:end w:w="110" w:type="dxa"/>
            </w:tcMar>
          </w:tcPr>
          <w:p>
            <w:pPr>
              <w:widowControl/>
              <w:spacing w:after="0"/>
            </w:pPr>
            <w:r>
              <w:rPr>
                <w:rFonts w:ascii="Arial" w:hAnsi="Arial"/>
                <w:sz w:val="17"/>
              </w:rPr>
              <w:t>7,883</w:t>
            </w:r>
          </w:p>
        </w:tc>
      </w:tr>
      <w:tr>
        <w:trPr>
          <w:cantSplit/>
        </w:trPr>
        <w:tc>
          <w:tcPr>
            <w:tcW w:type="dxa" w:w="1872"/>
            <w:vAlign w:val="center"/>
            <w:tcMar>
              <w:top w:w="70" w:type="dxa"/>
              <w:start w:w="110" w:type="dxa"/>
              <w:bottom w:w="70" w:type="dxa"/>
              <w:end w:w="110" w:type="dxa"/>
            </w:tcMar>
            <w:shd w:fill="F4F6F7"/>
          </w:tcPr>
          <w:p>
            <w:pPr>
              <w:widowControl/>
              <w:spacing w:after="0"/>
            </w:pPr>
            <w:r>
              <w:rPr>
                <w:rFonts w:ascii="Arial" w:hAnsi="Arial"/>
                <w:sz w:val="17"/>
              </w:rPr>
              <w:t>12</w:t>
            </w:r>
          </w:p>
        </w:tc>
        <w:tc>
          <w:tcPr>
            <w:tcW w:type="dxa" w:w="3600"/>
            <w:vAlign w:val="center"/>
            <w:tcMar>
              <w:top w:w="70" w:type="dxa"/>
              <w:start w:w="110" w:type="dxa"/>
              <w:bottom w:w="70" w:type="dxa"/>
              <w:end w:w="110" w:type="dxa"/>
            </w:tcMar>
            <w:shd w:fill="F4F6F7"/>
          </w:tcPr>
          <w:p>
            <w:pPr>
              <w:widowControl/>
              <w:spacing w:after="0"/>
            </w:pPr>
            <w:r>
              <w:rPr>
                <w:rFonts w:ascii="Arial" w:hAnsi="Arial"/>
                <w:sz w:val="17"/>
              </w:rPr>
              <w:t>7,961</w:t>
            </w:r>
          </w:p>
        </w:tc>
      </w:tr>
      <w:tr>
        <w:trPr>
          <w:cantSplit/>
        </w:trPr>
        <w:tc>
          <w:tcPr>
            <w:tcW w:type="dxa" w:w="1872"/>
            <w:vAlign w:val="center"/>
            <w:tcMar>
              <w:top w:w="70" w:type="dxa"/>
              <w:start w:w="110" w:type="dxa"/>
              <w:bottom w:w="70" w:type="dxa"/>
              <w:end w:w="110" w:type="dxa"/>
            </w:tcMar>
          </w:tcPr>
          <w:p>
            <w:pPr>
              <w:widowControl/>
              <w:spacing w:after="0"/>
            </w:pPr>
            <w:r>
              <w:rPr>
                <w:rFonts w:ascii="Arial" w:hAnsi="Arial"/>
                <w:sz w:val="17"/>
              </w:rPr>
              <w:t>13</w:t>
            </w:r>
          </w:p>
        </w:tc>
        <w:tc>
          <w:tcPr>
            <w:tcW w:type="dxa" w:w="3600"/>
            <w:vAlign w:val="center"/>
            <w:tcMar>
              <w:top w:w="70" w:type="dxa"/>
              <w:start w:w="110" w:type="dxa"/>
              <w:bottom w:w="70" w:type="dxa"/>
              <w:end w:w="110" w:type="dxa"/>
            </w:tcMar>
          </w:tcPr>
          <w:p>
            <w:pPr>
              <w:widowControl/>
              <w:spacing w:after="0"/>
            </w:pPr>
            <w:r>
              <w:rPr>
                <w:rFonts w:ascii="Arial" w:hAnsi="Arial"/>
                <w:sz w:val="17"/>
              </w:rPr>
              <w:t>8,041</w:t>
            </w:r>
          </w:p>
        </w:tc>
      </w:tr>
      <w:tr>
        <w:trPr>
          <w:cantSplit/>
        </w:trPr>
        <w:tc>
          <w:tcPr>
            <w:tcW w:type="dxa" w:w="1872"/>
            <w:vAlign w:val="center"/>
            <w:tcMar>
              <w:top w:w="70" w:type="dxa"/>
              <w:start w:w="110" w:type="dxa"/>
              <w:bottom w:w="70" w:type="dxa"/>
              <w:end w:w="110" w:type="dxa"/>
            </w:tcMar>
            <w:shd w:fill="F4F6F7"/>
          </w:tcPr>
          <w:p>
            <w:pPr>
              <w:widowControl/>
              <w:spacing w:after="0"/>
            </w:pPr>
            <w:r>
              <w:rPr>
                <w:rFonts w:ascii="Arial" w:hAnsi="Arial"/>
                <w:sz w:val="17"/>
              </w:rPr>
              <w:t>14</w:t>
            </w:r>
          </w:p>
        </w:tc>
        <w:tc>
          <w:tcPr>
            <w:tcW w:type="dxa" w:w="3600"/>
            <w:vAlign w:val="center"/>
            <w:tcMar>
              <w:top w:w="70" w:type="dxa"/>
              <w:start w:w="110" w:type="dxa"/>
              <w:bottom w:w="70" w:type="dxa"/>
              <w:end w:w="110" w:type="dxa"/>
            </w:tcMar>
            <w:shd w:fill="F4F6F7"/>
          </w:tcPr>
          <w:p>
            <w:pPr>
              <w:widowControl/>
              <w:spacing w:after="0"/>
            </w:pPr>
            <w:r>
              <w:rPr>
                <w:rFonts w:ascii="Arial" w:hAnsi="Arial"/>
                <w:sz w:val="17"/>
              </w:rPr>
              <w:t>8,121</w:t>
            </w:r>
          </w:p>
        </w:tc>
      </w:tr>
      <w:tr>
        <w:trPr>
          <w:cantSplit/>
        </w:trPr>
        <w:tc>
          <w:tcPr>
            <w:tcW w:type="dxa" w:w="1872"/>
            <w:vAlign w:val="center"/>
            <w:tcMar>
              <w:top w:w="70" w:type="dxa"/>
              <w:start w:w="110" w:type="dxa"/>
              <w:bottom w:w="70" w:type="dxa"/>
              <w:end w:w="110" w:type="dxa"/>
            </w:tcMar>
          </w:tcPr>
          <w:p>
            <w:pPr>
              <w:widowControl/>
              <w:spacing w:after="0"/>
            </w:pPr>
            <w:r>
              <w:rPr>
                <w:rFonts w:ascii="Arial" w:hAnsi="Arial"/>
                <w:sz w:val="17"/>
              </w:rPr>
              <w:t>15</w:t>
            </w:r>
          </w:p>
        </w:tc>
        <w:tc>
          <w:tcPr>
            <w:tcW w:type="dxa" w:w="3600"/>
            <w:vAlign w:val="center"/>
            <w:tcMar>
              <w:top w:w="70" w:type="dxa"/>
              <w:start w:w="110" w:type="dxa"/>
              <w:bottom w:w="70" w:type="dxa"/>
              <w:end w:w="110" w:type="dxa"/>
            </w:tcMar>
          </w:tcPr>
          <w:p>
            <w:pPr>
              <w:widowControl/>
              <w:spacing w:after="0"/>
            </w:pPr>
            <w:r>
              <w:rPr>
                <w:rFonts w:ascii="Arial" w:hAnsi="Arial"/>
                <w:sz w:val="17"/>
              </w:rPr>
              <w:t>8,203</w:t>
            </w:r>
          </w:p>
        </w:tc>
      </w:tr>
      <w:tr>
        <w:trPr>
          <w:cantSplit/>
        </w:trPr>
        <w:tc>
          <w:tcPr>
            <w:tcW w:type="dxa" w:w="1872"/>
            <w:vAlign w:val="center"/>
            <w:tcMar>
              <w:top w:w="70" w:type="dxa"/>
              <w:start w:w="110" w:type="dxa"/>
              <w:bottom w:w="70" w:type="dxa"/>
              <w:end w:w="110" w:type="dxa"/>
            </w:tcMar>
            <w:shd w:fill="F4F6F7"/>
          </w:tcPr>
          <w:p>
            <w:pPr>
              <w:widowControl/>
              <w:spacing w:after="0"/>
            </w:pPr>
            <w:r>
              <w:rPr>
                <w:rFonts w:ascii="Arial" w:hAnsi="Arial"/>
                <w:sz w:val="17"/>
              </w:rPr>
              <w:t>16</w:t>
            </w:r>
          </w:p>
        </w:tc>
        <w:tc>
          <w:tcPr>
            <w:tcW w:type="dxa" w:w="3600"/>
            <w:vAlign w:val="center"/>
            <w:tcMar>
              <w:top w:w="70" w:type="dxa"/>
              <w:start w:w="110" w:type="dxa"/>
              <w:bottom w:w="70" w:type="dxa"/>
              <w:end w:w="110" w:type="dxa"/>
            </w:tcMar>
            <w:shd w:fill="F4F6F7"/>
          </w:tcPr>
          <w:p>
            <w:pPr>
              <w:widowControl/>
              <w:spacing w:after="0"/>
            </w:pPr>
            <w:r>
              <w:rPr>
                <w:rFonts w:ascii="Arial" w:hAnsi="Arial"/>
                <w:sz w:val="17"/>
              </w:rPr>
              <w:t>8,285</w:t>
            </w:r>
          </w:p>
        </w:tc>
      </w:tr>
      <w:tr>
        <w:trPr>
          <w:cantSplit/>
        </w:trPr>
        <w:tc>
          <w:tcPr>
            <w:tcW w:type="dxa" w:w="1872"/>
            <w:vAlign w:val="center"/>
            <w:tcMar>
              <w:top w:w="70" w:type="dxa"/>
              <w:start w:w="110" w:type="dxa"/>
              <w:bottom w:w="70" w:type="dxa"/>
              <w:end w:w="110" w:type="dxa"/>
            </w:tcMar>
          </w:tcPr>
          <w:p>
            <w:pPr>
              <w:widowControl/>
              <w:spacing w:after="0"/>
            </w:pPr>
            <w:r>
              <w:rPr>
                <w:rFonts w:ascii="Arial" w:hAnsi="Arial"/>
                <w:sz w:val="17"/>
              </w:rPr>
              <w:t>17</w:t>
            </w:r>
          </w:p>
        </w:tc>
        <w:tc>
          <w:tcPr>
            <w:tcW w:type="dxa" w:w="3600"/>
            <w:vAlign w:val="center"/>
            <w:tcMar>
              <w:top w:w="70" w:type="dxa"/>
              <w:start w:w="110" w:type="dxa"/>
              <w:bottom w:w="70" w:type="dxa"/>
              <w:end w:w="110" w:type="dxa"/>
            </w:tcMar>
          </w:tcPr>
          <w:p>
            <w:pPr>
              <w:widowControl/>
              <w:spacing w:after="0"/>
            </w:pPr>
            <w:r>
              <w:rPr>
                <w:rFonts w:ascii="Arial" w:hAnsi="Arial"/>
                <w:sz w:val="17"/>
              </w:rPr>
              <w:t>8,368</w:t>
            </w:r>
          </w:p>
        </w:tc>
      </w:tr>
      <w:tr>
        <w:trPr>
          <w:cantSplit/>
        </w:trPr>
        <w:tc>
          <w:tcPr>
            <w:tcW w:type="dxa" w:w="1872"/>
            <w:vAlign w:val="center"/>
            <w:tcMar>
              <w:top w:w="70" w:type="dxa"/>
              <w:start w:w="110" w:type="dxa"/>
              <w:bottom w:w="70" w:type="dxa"/>
              <w:end w:w="110" w:type="dxa"/>
            </w:tcMar>
            <w:shd w:fill="F4F6F7"/>
          </w:tcPr>
          <w:p>
            <w:pPr>
              <w:widowControl/>
              <w:spacing w:after="0"/>
            </w:pPr>
            <w:r>
              <w:rPr>
                <w:rFonts w:ascii="Arial" w:hAnsi="Arial"/>
                <w:sz w:val="17"/>
              </w:rPr>
              <w:t>18</w:t>
            </w:r>
          </w:p>
        </w:tc>
        <w:tc>
          <w:tcPr>
            <w:tcW w:type="dxa" w:w="3600"/>
            <w:vAlign w:val="center"/>
            <w:tcMar>
              <w:top w:w="70" w:type="dxa"/>
              <w:start w:w="110" w:type="dxa"/>
              <w:bottom w:w="70" w:type="dxa"/>
              <w:end w:w="110" w:type="dxa"/>
            </w:tcMar>
            <w:shd w:fill="F4F6F7"/>
          </w:tcPr>
          <w:p>
            <w:pPr>
              <w:widowControl/>
              <w:spacing w:after="0"/>
            </w:pPr>
            <w:r>
              <w:rPr>
                <w:rFonts w:ascii="Arial" w:hAnsi="Arial"/>
                <w:sz w:val="17"/>
              </w:rPr>
              <w:t>8,451</w:t>
            </w:r>
          </w:p>
        </w:tc>
      </w:tr>
      <w:tr>
        <w:trPr>
          <w:cantSplit/>
        </w:trPr>
        <w:tc>
          <w:tcPr>
            <w:tcW w:type="dxa" w:w="1872"/>
            <w:vAlign w:val="center"/>
            <w:tcMar>
              <w:top w:w="70" w:type="dxa"/>
              <w:start w:w="110" w:type="dxa"/>
              <w:bottom w:w="70" w:type="dxa"/>
              <w:end w:w="110" w:type="dxa"/>
            </w:tcMar>
          </w:tcPr>
          <w:p>
            <w:pPr>
              <w:widowControl/>
              <w:spacing w:after="0"/>
            </w:pPr>
            <w:r>
              <w:rPr>
                <w:rFonts w:ascii="Arial" w:hAnsi="Arial"/>
                <w:sz w:val="17"/>
              </w:rPr>
              <w:t>19</w:t>
            </w:r>
          </w:p>
        </w:tc>
        <w:tc>
          <w:tcPr>
            <w:tcW w:type="dxa" w:w="3600"/>
            <w:vAlign w:val="center"/>
            <w:tcMar>
              <w:top w:w="70" w:type="dxa"/>
              <w:start w:w="110" w:type="dxa"/>
              <w:bottom w:w="70" w:type="dxa"/>
              <w:end w:w="110" w:type="dxa"/>
            </w:tcMar>
          </w:tcPr>
          <w:p>
            <w:pPr>
              <w:widowControl/>
              <w:spacing w:after="0"/>
            </w:pPr>
            <w:r>
              <w:rPr>
                <w:rFonts w:ascii="Arial" w:hAnsi="Arial"/>
                <w:sz w:val="17"/>
              </w:rPr>
              <w:t>8,536</w:t>
            </w:r>
          </w:p>
        </w:tc>
      </w:tr>
    </w:tbl>
    <w:p>
      <w:pPr>
        <w:widowControl/>
      </w:pPr>
      <w:r>
        <w:t>Starting in quota year 19, the quantity shall remain at 8,536 MT per year. (b) This paragraph applies to goods classified in the following tariff item: 0402.10.10. (c) This TRQ shall be allocated on a dairy year basis, meaning from August 1 to July 31. 8. TRQ-CA4: Butter and Cream Powder (a) The aggregate quantity of originating goods described in subparagraph (c) that shall be permitted to enter duty-free in each quota year under this TRQ is:</w:t>
      </w:r>
    </w:p>
    <w:tbl>
      <w:tblPr>
        <w:tblStyle w:val="TableGrid"/>
        <w:tblW w:type="auto" w:w="0"/>
        <w:jc w:val="center"/>
        <w:tblLayout w:type="autofit"/>
        <w:tblLook w:firstColumn="1" w:firstRow="1" w:lastColumn="0" w:lastRow="0" w:noHBand="0" w:noVBand="1" w:val="04A0"/>
      </w:tblPr>
      <w:tblGrid>
        <w:gridCol w:w="4680"/>
        <w:gridCol w:w="4680"/>
      </w:tblGrid>
      <w:tr>
        <w:trPr>
          <w:tblHeader w:val="true"/>
          <w:cantSplit/>
          <w:tblHeader w:val="true"/>
        </w:trPr>
        <w:tc>
          <w:tcPr>
            <w:tcW w:type="dxa" w:w="1872"/>
            <w:vAlign w:val="center"/>
            <w:shd w:fill="233746"/>
          </w:tcPr>
          <w:p>
            <w:pPr>
              <w:spacing w:after="0"/>
            </w:pPr>
            <w:r>
              <w:rPr>
                <w:rFonts w:ascii="Arial" w:hAnsi="Arial"/>
                <w:b/>
                <w:color w:val="FFFFFF"/>
                <w:sz w:val="17"/>
              </w:rPr>
              <w:t>Quota Year</w:t>
            </w:r>
          </w:p>
        </w:tc>
        <w:tc>
          <w:tcPr>
            <w:tcW w:type="dxa" w:w="3600"/>
            <w:vAlign w:val="center"/>
            <w:shd w:fill="233746"/>
          </w:tcPr>
          <w:p>
            <w:pPr>
              <w:spacing w:after="0"/>
            </w:pPr>
            <w:r>
              <w:rPr>
                <w:rFonts w:ascii="Arial" w:hAnsi="Arial"/>
                <w:b/>
                <w:color w:val="FFFFFF"/>
                <w:sz w:val="17"/>
              </w:rPr>
              <w:t>Aggregate Quantity (MT)</w:t>
            </w:r>
          </w:p>
        </w:tc>
      </w:tr>
      <w:tr>
        <w:trPr>
          <w:cantSplit/>
        </w:trPr>
        <w:tc>
          <w:tcPr>
            <w:tcW w:type="dxa" w:w="1872"/>
            <w:vAlign w:val="center"/>
            <w:tcMar>
              <w:top w:w="70" w:type="dxa"/>
              <w:start w:w="110" w:type="dxa"/>
              <w:bottom w:w="70" w:type="dxa"/>
              <w:end w:w="110" w:type="dxa"/>
            </w:tcMar>
          </w:tcPr>
          <w:p>
            <w:pPr>
              <w:widowControl/>
              <w:spacing w:after="0"/>
            </w:pPr>
            <w:r>
              <w:rPr>
                <w:rFonts w:ascii="Arial" w:hAnsi="Arial"/>
                <w:sz w:val="17"/>
              </w:rPr>
              <w:t>1</w:t>
            </w:r>
          </w:p>
        </w:tc>
        <w:tc>
          <w:tcPr>
            <w:tcW w:type="dxa" w:w="3600"/>
            <w:vAlign w:val="center"/>
            <w:tcMar>
              <w:top w:w="70" w:type="dxa"/>
              <w:start w:w="110" w:type="dxa"/>
              <w:bottom w:w="70" w:type="dxa"/>
              <w:end w:w="110" w:type="dxa"/>
            </w:tcMar>
          </w:tcPr>
          <w:p>
            <w:pPr>
              <w:widowControl/>
              <w:spacing w:after="0"/>
            </w:pPr>
            <w:r>
              <w:rPr>
                <w:rFonts w:ascii="Arial" w:hAnsi="Arial"/>
                <w:sz w:val="17"/>
              </w:rPr>
              <w:t>1,500</w:t>
            </w:r>
          </w:p>
        </w:tc>
      </w:tr>
      <w:tr>
        <w:trPr>
          <w:cantSplit/>
        </w:trPr>
        <w:tc>
          <w:tcPr>
            <w:tcW w:type="dxa" w:w="1872"/>
            <w:vAlign w:val="center"/>
            <w:tcMar>
              <w:top w:w="70" w:type="dxa"/>
              <w:start w:w="110" w:type="dxa"/>
              <w:bottom w:w="70" w:type="dxa"/>
              <w:end w:w="110" w:type="dxa"/>
            </w:tcMar>
            <w:shd w:fill="F4F6F7"/>
          </w:tcPr>
          <w:p>
            <w:pPr>
              <w:widowControl/>
              <w:spacing w:after="0"/>
            </w:pPr>
            <w:r>
              <w:rPr>
                <w:rFonts w:ascii="Arial" w:hAnsi="Arial"/>
                <w:sz w:val="17"/>
              </w:rPr>
              <w:t>2</w:t>
            </w:r>
          </w:p>
        </w:tc>
        <w:tc>
          <w:tcPr>
            <w:tcW w:type="dxa" w:w="3600"/>
            <w:vAlign w:val="center"/>
            <w:tcMar>
              <w:top w:w="70" w:type="dxa"/>
              <w:start w:w="110" w:type="dxa"/>
              <w:bottom w:w="70" w:type="dxa"/>
              <w:end w:w="110" w:type="dxa"/>
            </w:tcMar>
            <w:shd w:fill="F4F6F7"/>
          </w:tcPr>
          <w:p>
            <w:pPr>
              <w:widowControl/>
              <w:spacing w:after="0"/>
            </w:pPr>
            <w:r>
              <w:rPr>
                <w:rFonts w:ascii="Arial" w:hAnsi="Arial"/>
                <w:sz w:val="17"/>
              </w:rPr>
              <w:t>2,250</w:t>
            </w:r>
          </w:p>
        </w:tc>
      </w:tr>
      <w:tr>
        <w:trPr>
          <w:cantSplit/>
        </w:trPr>
        <w:tc>
          <w:tcPr>
            <w:tcW w:type="dxa" w:w="1872"/>
            <w:vAlign w:val="center"/>
            <w:tcMar>
              <w:top w:w="70" w:type="dxa"/>
              <w:start w:w="110" w:type="dxa"/>
              <w:bottom w:w="70" w:type="dxa"/>
              <w:end w:w="110" w:type="dxa"/>
            </w:tcMar>
          </w:tcPr>
          <w:p>
            <w:pPr>
              <w:widowControl/>
              <w:spacing w:after="0"/>
            </w:pPr>
            <w:r>
              <w:rPr>
                <w:rFonts w:ascii="Arial" w:hAnsi="Arial"/>
                <w:sz w:val="17"/>
              </w:rPr>
              <w:t>3</w:t>
            </w:r>
          </w:p>
        </w:tc>
        <w:tc>
          <w:tcPr>
            <w:tcW w:type="dxa" w:w="3600"/>
            <w:vAlign w:val="center"/>
            <w:tcMar>
              <w:top w:w="70" w:type="dxa"/>
              <w:start w:w="110" w:type="dxa"/>
              <w:bottom w:w="70" w:type="dxa"/>
              <w:end w:w="110" w:type="dxa"/>
            </w:tcMar>
          </w:tcPr>
          <w:p>
            <w:pPr>
              <w:widowControl/>
              <w:spacing w:after="0"/>
            </w:pPr>
            <w:r>
              <w:rPr>
                <w:rFonts w:ascii="Arial" w:hAnsi="Arial"/>
                <w:sz w:val="17"/>
              </w:rPr>
              <w:t>3,000</w:t>
            </w:r>
          </w:p>
        </w:tc>
      </w:tr>
      <w:tr>
        <w:trPr>
          <w:cantSplit/>
        </w:trPr>
        <w:tc>
          <w:tcPr>
            <w:tcW w:type="dxa" w:w="1872"/>
            <w:vAlign w:val="center"/>
            <w:tcMar>
              <w:top w:w="70" w:type="dxa"/>
              <w:start w:w="110" w:type="dxa"/>
              <w:bottom w:w="70" w:type="dxa"/>
              <w:end w:w="110" w:type="dxa"/>
            </w:tcMar>
            <w:shd w:fill="F4F6F7"/>
          </w:tcPr>
          <w:p>
            <w:pPr>
              <w:widowControl/>
              <w:spacing w:after="0"/>
            </w:pPr>
            <w:r>
              <w:rPr>
                <w:rFonts w:ascii="Arial" w:hAnsi="Arial"/>
                <w:sz w:val="17"/>
              </w:rPr>
              <w:t>4</w:t>
            </w:r>
          </w:p>
        </w:tc>
        <w:tc>
          <w:tcPr>
            <w:tcW w:type="dxa" w:w="3600"/>
            <w:vAlign w:val="center"/>
            <w:tcMar>
              <w:top w:w="70" w:type="dxa"/>
              <w:start w:w="110" w:type="dxa"/>
              <w:bottom w:w="70" w:type="dxa"/>
              <w:end w:w="110" w:type="dxa"/>
            </w:tcMar>
            <w:shd w:fill="F4F6F7"/>
          </w:tcPr>
          <w:p>
            <w:pPr>
              <w:widowControl/>
              <w:spacing w:after="0"/>
            </w:pPr>
            <w:r>
              <w:rPr>
                <w:rFonts w:ascii="Arial" w:hAnsi="Arial"/>
                <w:sz w:val="17"/>
              </w:rPr>
              <w:t>3,750</w:t>
            </w:r>
          </w:p>
        </w:tc>
      </w:tr>
      <w:tr>
        <w:trPr>
          <w:cantSplit/>
        </w:trPr>
        <w:tc>
          <w:tcPr>
            <w:tcW w:type="dxa" w:w="1872"/>
            <w:vAlign w:val="center"/>
            <w:tcMar>
              <w:top w:w="70" w:type="dxa"/>
              <w:start w:w="110" w:type="dxa"/>
              <w:bottom w:w="70" w:type="dxa"/>
              <w:end w:w="110" w:type="dxa"/>
            </w:tcMar>
          </w:tcPr>
          <w:p>
            <w:pPr>
              <w:widowControl/>
              <w:spacing w:after="0"/>
            </w:pPr>
            <w:r>
              <w:rPr>
                <w:rFonts w:ascii="Arial" w:hAnsi="Arial"/>
                <w:sz w:val="17"/>
              </w:rPr>
              <w:t>5</w:t>
            </w:r>
          </w:p>
        </w:tc>
        <w:tc>
          <w:tcPr>
            <w:tcW w:type="dxa" w:w="3600"/>
            <w:vAlign w:val="center"/>
            <w:tcMar>
              <w:top w:w="70" w:type="dxa"/>
              <w:start w:w="110" w:type="dxa"/>
              <w:bottom w:w="70" w:type="dxa"/>
              <w:end w:w="110" w:type="dxa"/>
            </w:tcMar>
          </w:tcPr>
          <w:p>
            <w:pPr>
              <w:widowControl/>
              <w:spacing w:after="0"/>
            </w:pPr>
            <w:r>
              <w:rPr>
                <w:rFonts w:ascii="Arial" w:hAnsi="Arial"/>
                <w:sz w:val="17"/>
              </w:rPr>
              <w:t>4,500</w:t>
            </w:r>
          </w:p>
        </w:tc>
      </w:tr>
      <w:tr>
        <w:trPr>
          <w:cantSplit/>
        </w:trPr>
        <w:tc>
          <w:tcPr>
            <w:tcW w:type="dxa" w:w="1872"/>
            <w:vAlign w:val="center"/>
            <w:tcMar>
              <w:top w:w="70" w:type="dxa"/>
              <w:start w:w="110" w:type="dxa"/>
              <w:bottom w:w="70" w:type="dxa"/>
              <w:end w:w="110" w:type="dxa"/>
            </w:tcMar>
            <w:shd w:fill="F4F6F7"/>
          </w:tcPr>
          <w:p>
            <w:pPr>
              <w:widowControl/>
              <w:spacing w:after="0"/>
            </w:pPr>
            <w:r>
              <w:rPr>
                <w:rFonts w:ascii="Arial" w:hAnsi="Arial"/>
                <w:sz w:val="17"/>
              </w:rPr>
              <w:t>6</w:t>
            </w:r>
          </w:p>
        </w:tc>
        <w:tc>
          <w:tcPr>
            <w:tcW w:type="dxa" w:w="3600"/>
            <w:vAlign w:val="center"/>
            <w:tcMar>
              <w:top w:w="70" w:type="dxa"/>
              <w:start w:w="110" w:type="dxa"/>
              <w:bottom w:w="70" w:type="dxa"/>
              <w:end w:w="110" w:type="dxa"/>
            </w:tcMar>
            <w:shd w:fill="F4F6F7"/>
          </w:tcPr>
          <w:p>
            <w:pPr>
              <w:widowControl/>
              <w:spacing w:after="0"/>
            </w:pPr>
            <w:r>
              <w:rPr>
                <w:rFonts w:ascii="Arial" w:hAnsi="Arial"/>
                <w:sz w:val="17"/>
              </w:rPr>
              <w:t>4,545</w:t>
            </w:r>
          </w:p>
        </w:tc>
      </w:tr>
      <w:tr>
        <w:trPr>
          <w:cantSplit/>
        </w:trPr>
        <w:tc>
          <w:tcPr>
            <w:tcW w:type="dxa" w:w="1872"/>
            <w:vAlign w:val="center"/>
            <w:tcMar>
              <w:top w:w="70" w:type="dxa"/>
              <w:start w:w="110" w:type="dxa"/>
              <w:bottom w:w="70" w:type="dxa"/>
              <w:end w:w="110" w:type="dxa"/>
            </w:tcMar>
          </w:tcPr>
          <w:p>
            <w:pPr>
              <w:widowControl/>
              <w:spacing w:after="0"/>
            </w:pPr>
            <w:r>
              <w:rPr>
                <w:rFonts w:ascii="Arial" w:hAnsi="Arial"/>
                <w:sz w:val="17"/>
              </w:rPr>
              <w:t>7</w:t>
            </w:r>
          </w:p>
        </w:tc>
        <w:tc>
          <w:tcPr>
            <w:tcW w:type="dxa" w:w="3600"/>
            <w:vAlign w:val="center"/>
            <w:tcMar>
              <w:top w:w="70" w:type="dxa"/>
              <w:start w:w="110" w:type="dxa"/>
              <w:bottom w:w="70" w:type="dxa"/>
              <w:end w:w="110" w:type="dxa"/>
            </w:tcMar>
          </w:tcPr>
          <w:p>
            <w:pPr>
              <w:widowControl/>
              <w:spacing w:after="0"/>
            </w:pPr>
            <w:r>
              <w:rPr>
                <w:rFonts w:ascii="Arial" w:hAnsi="Arial"/>
                <w:sz w:val="17"/>
              </w:rPr>
              <w:t>4,590</w:t>
            </w:r>
          </w:p>
        </w:tc>
      </w:tr>
      <w:tr>
        <w:trPr>
          <w:cantSplit/>
        </w:trPr>
        <w:tc>
          <w:tcPr>
            <w:tcW w:type="dxa" w:w="1872"/>
            <w:vAlign w:val="center"/>
            <w:tcMar>
              <w:top w:w="70" w:type="dxa"/>
              <w:start w:w="110" w:type="dxa"/>
              <w:bottom w:w="70" w:type="dxa"/>
              <w:end w:w="110" w:type="dxa"/>
            </w:tcMar>
            <w:shd w:fill="F4F6F7"/>
          </w:tcPr>
          <w:p>
            <w:pPr>
              <w:widowControl/>
              <w:spacing w:after="0"/>
            </w:pPr>
            <w:r>
              <w:rPr>
                <w:rFonts w:ascii="Arial" w:hAnsi="Arial"/>
                <w:sz w:val="17"/>
              </w:rPr>
              <w:t>8</w:t>
            </w:r>
          </w:p>
        </w:tc>
        <w:tc>
          <w:tcPr>
            <w:tcW w:type="dxa" w:w="3600"/>
            <w:vAlign w:val="center"/>
            <w:tcMar>
              <w:top w:w="70" w:type="dxa"/>
              <w:start w:w="110" w:type="dxa"/>
              <w:bottom w:w="70" w:type="dxa"/>
              <w:end w:w="110" w:type="dxa"/>
            </w:tcMar>
            <w:shd w:fill="F4F6F7"/>
          </w:tcPr>
          <w:p>
            <w:pPr>
              <w:widowControl/>
              <w:spacing w:after="0"/>
            </w:pPr>
            <w:r>
              <w:rPr>
                <w:rFonts w:ascii="Arial" w:hAnsi="Arial"/>
                <w:sz w:val="17"/>
              </w:rPr>
              <w:t>4,636</w:t>
            </w:r>
          </w:p>
        </w:tc>
      </w:tr>
      <w:tr>
        <w:trPr>
          <w:cantSplit/>
        </w:trPr>
        <w:tc>
          <w:tcPr>
            <w:tcW w:type="dxa" w:w="1872"/>
            <w:vAlign w:val="center"/>
            <w:tcMar>
              <w:top w:w="70" w:type="dxa"/>
              <w:start w:w="110" w:type="dxa"/>
              <w:bottom w:w="70" w:type="dxa"/>
              <w:end w:w="110" w:type="dxa"/>
            </w:tcMar>
          </w:tcPr>
          <w:p>
            <w:pPr>
              <w:widowControl/>
              <w:spacing w:after="0"/>
            </w:pPr>
            <w:r>
              <w:rPr>
                <w:rFonts w:ascii="Arial" w:hAnsi="Arial"/>
                <w:sz w:val="17"/>
              </w:rPr>
              <w:t>9</w:t>
            </w:r>
          </w:p>
        </w:tc>
        <w:tc>
          <w:tcPr>
            <w:tcW w:type="dxa" w:w="3600"/>
            <w:vAlign w:val="center"/>
            <w:tcMar>
              <w:top w:w="70" w:type="dxa"/>
              <w:start w:w="110" w:type="dxa"/>
              <w:bottom w:w="70" w:type="dxa"/>
              <w:end w:w="110" w:type="dxa"/>
            </w:tcMar>
          </w:tcPr>
          <w:p>
            <w:pPr>
              <w:widowControl/>
              <w:spacing w:after="0"/>
            </w:pPr>
            <w:r>
              <w:rPr>
                <w:rFonts w:ascii="Arial" w:hAnsi="Arial"/>
                <w:sz w:val="17"/>
              </w:rPr>
              <w:t>4,683</w:t>
            </w:r>
          </w:p>
        </w:tc>
      </w:tr>
      <w:tr>
        <w:trPr>
          <w:cantSplit/>
        </w:trPr>
        <w:tc>
          <w:tcPr>
            <w:tcW w:type="dxa" w:w="1872"/>
            <w:vAlign w:val="center"/>
            <w:tcMar>
              <w:top w:w="70" w:type="dxa"/>
              <w:start w:w="110" w:type="dxa"/>
              <w:bottom w:w="70" w:type="dxa"/>
              <w:end w:w="110" w:type="dxa"/>
            </w:tcMar>
            <w:shd w:fill="F4F6F7"/>
          </w:tcPr>
          <w:p>
            <w:pPr>
              <w:widowControl/>
              <w:spacing w:after="0"/>
            </w:pPr>
            <w:r>
              <w:rPr>
                <w:rFonts w:ascii="Arial" w:hAnsi="Arial"/>
                <w:sz w:val="17"/>
              </w:rPr>
              <w:t>10</w:t>
            </w:r>
          </w:p>
        </w:tc>
        <w:tc>
          <w:tcPr>
            <w:tcW w:type="dxa" w:w="3600"/>
            <w:vAlign w:val="center"/>
            <w:tcMar>
              <w:top w:w="70" w:type="dxa"/>
              <w:start w:w="110" w:type="dxa"/>
              <w:bottom w:w="70" w:type="dxa"/>
              <w:end w:w="110" w:type="dxa"/>
            </w:tcMar>
            <w:shd w:fill="F4F6F7"/>
          </w:tcPr>
          <w:p>
            <w:pPr>
              <w:widowControl/>
              <w:spacing w:after="0"/>
            </w:pPr>
            <w:r>
              <w:rPr>
                <w:rFonts w:ascii="Arial" w:hAnsi="Arial"/>
                <w:sz w:val="17"/>
              </w:rPr>
              <w:t>4,730</w:t>
            </w:r>
          </w:p>
        </w:tc>
      </w:tr>
      <w:tr>
        <w:trPr>
          <w:cantSplit/>
        </w:trPr>
        <w:tc>
          <w:tcPr>
            <w:tcW w:type="dxa" w:w="1872"/>
            <w:vAlign w:val="center"/>
            <w:tcMar>
              <w:top w:w="70" w:type="dxa"/>
              <w:start w:w="110" w:type="dxa"/>
              <w:bottom w:w="70" w:type="dxa"/>
              <w:end w:w="110" w:type="dxa"/>
            </w:tcMar>
          </w:tcPr>
          <w:p>
            <w:pPr>
              <w:widowControl/>
              <w:spacing w:after="0"/>
            </w:pPr>
            <w:r>
              <w:rPr>
                <w:rFonts w:ascii="Arial" w:hAnsi="Arial"/>
                <w:sz w:val="17"/>
              </w:rPr>
              <w:t>11</w:t>
            </w:r>
          </w:p>
        </w:tc>
        <w:tc>
          <w:tcPr>
            <w:tcW w:type="dxa" w:w="3600"/>
            <w:vAlign w:val="center"/>
            <w:tcMar>
              <w:top w:w="70" w:type="dxa"/>
              <w:start w:w="110" w:type="dxa"/>
              <w:bottom w:w="70" w:type="dxa"/>
              <w:end w:w="110" w:type="dxa"/>
            </w:tcMar>
          </w:tcPr>
          <w:p>
            <w:pPr>
              <w:widowControl/>
              <w:spacing w:after="0"/>
            </w:pPr>
            <w:r>
              <w:rPr>
                <w:rFonts w:ascii="Arial" w:hAnsi="Arial"/>
                <w:sz w:val="17"/>
              </w:rPr>
              <w:t>4,777</w:t>
            </w:r>
          </w:p>
        </w:tc>
      </w:tr>
      <w:tr>
        <w:trPr>
          <w:cantSplit/>
        </w:trPr>
        <w:tc>
          <w:tcPr>
            <w:tcW w:type="dxa" w:w="1872"/>
            <w:vAlign w:val="center"/>
            <w:tcMar>
              <w:top w:w="70" w:type="dxa"/>
              <w:start w:w="110" w:type="dxa"/>
              <w:bottom w:w="70" w:type="dxa"/>
              <w:end w:w="110" w:type="dxa"/>
            </w:tcMar>
            <w:shd w:fill="F4F6F7"/>
          </w:tcPr>
          <w:p>
            <w:pPr>
              <w:widowControl/>
              <w:spacing w:after="0"/>
            </w:pPr>
            <w:r>
              <w:rPr>
                <w:rFonts w:ascii="Arial" w:hAnsi="Arial"/>
                <w:sz w:val="17"/>
              </w:rPr>
              <w:t>12</w:t>
            </w:r>
          </w:p>
        </w:tc>
        <w:tc>
          <w:tcPr>
            <w:tcW w:type="dxa" w:w="3600"/>
            <w:vAlign w:val="center"/>
            <w:tcMar>
              <w:top w:w="70" w:type="dxa"/>
              <w:start w:w="110" w:type="dxa"/>
              <w:bottom w:w="70" w:type="dxa"/>
              <w:end w:w="110" w:type="dxa"/>
            </w:tcMar>
            <w:shd w:fill="F4F6F7"/>
          </w:tcPr>
          <w:p>
            <w:pPr>
              <w:widowControl/>
              <w:spacing w:after="0"/>
            </w:pPr>
            <w:r>
              <w:rPr>
                <w:rFonts w:ascii="Arial" w:hAnsi="Arial"/>
                <w:sz w:val="17"/>
              </w:rPr>
              <w:t>4,825</w:t>
            </w:r>
          </w:p>
        </w:tc>
      </w:tr>
      <w:tr>
        <w:trPr>
          <w:cantSplit/>
        </w:trPr>
        <w:tc>
          <w:tcPr>
            <w:tcW w:type="dxa" w:w="1872"/>
            <w:vAlign w:val="center"/>
            <w:tcMar>
              <w:top w:w="70" w:type="dxa"/>
              <w:start w:w="110" w:type="dxa"/>
              <w:bottom w:w="70" w:type="dxa"/>
              <w:end w:w="110" w:type="dxa"/>
            </w:tcMar>
          </w:tcPr>
          <w:p>
            <w:pPr>
              <w:widowControl/>
              <w:spacing w:after="0"/>
            </w:pPr>
            <w:r>
              <w:rPr>
                <w:rFonts w:ascii="Arial" w:hAnsi="Arial"/>
                <w:sz w:val="17"/>
              </w:rPr>
              <w:t>13</w:t>
            </w:r>
          </w:p>
        </w:tc>
        <w:tc>
          <w:tcPr>
            <w:tcW w:type="dxa" w:w="3600"/>
            <w:vAlign w:val="center"/>
            <w:tcMar>
              <w:top w:w="70" w:type="dxa"/>
              <w:start w:w="110" w:type="dxa"/>
              <w:bottom w:w="70" w:type="dxa"/>
              <w:end w:w="110" w:type="dxa"/>
            </w:tcMar>
          </w:tcPr>
          <w:p>
            <w:pPr>
              <w:widowControl/>
              <w:spacing w:after="0"/>
            </w:pPr>
            <w:r>
              <w:rPr>
                <w:rFonts w:ascii="Arial" w:hAnsi="Arial"/>
                <w:sz w:val="17"/>
              </w:rPr>
              <w:t>4,873</w:t>
            </w:r>
          </w:p>
        </w:tc>
      </w:tr>
      <w:tr>
        <w:trPr>
          <w:cantSplit/>
        </w:trPr>
        <w:tc>
          <w:tcPr>
            <w:tcW w:type="dxa" w:w="1872"/>
            <w:vAlign w:val="center"/>
            <w:tcMar>
              <w:top w:w="70" w:type="dxa"/>
              <w:start w:w="110" w:type="dxa"/>
              <w:bottom w:w="70" w:type="dxa"/>
              <w:end w:w="110" w:type="dxa"/>
            </w:tcMar>
            <w:shd w:fill="F4F6F7"/>
          </w:tcPr>
          <w:p>
            <w:pPr>
              <w:widowControl/>
              <w:spacing w:after="0"/>
            </w:pPr>
            <w:r>
              <w:rPr>
                <w:rFonts w:ascii="Arial" w:hAnsi="Arial"/>
                <w:sz w:val="17"/>
              </w:rPr>
              <w:t>14</w:t>
            </w:r>
          </w:p>
        </w:tc>
        <w:tc>
          <w:tcPr>
            <w:tcW w:type="dxa" w:w="3600"/>
            <w:vAlign w:val="center"/>
            <w:tcMar>
              <w:top w:w="70" w:type="dxa"/>
              <w:start w:w="110" w:type="dxa"/>
              <w:bottom w:w="70" w:type="dxa"/>
              <w:end w:w="110" w:type="dxa"/>
            </w:tcMar>
            <w:shd w:fill="F4F6F7"/>
          </w:tcPr>
          <w:p>
            <w:pPr>
              <w:widowControl/>
              <w:spacing w:after="0"/>
            </w:pPr>
            <w:r>
              <w:rPr>
                <w:rFonts w:ascii="Arial" w:hAnsi="Arial"/>
                <w:sz w:val="17"/>
              </w:rPr>
              <w:t>4,922</w:t>
            </w:r>
          </w:p>
        </w:tc>
      </w:tr>
      <w:tr>
        <w:trPr>
          <w:cantSplit/>
        </w:trPr>
        <w:tc>
          <w:tcPr>
            <w:tcW w:type="dxa" w:w="1872"/>
            <w:vAlign w:val="center"/>
            <w:tcMar>
              <w:top w:w="70" w:type="dxa"/>
              <w:start w:w="110" w:type="dxa"/>
              <w:bottom w:w="70" w:type="dxa"/>
              <w:end w:w="110" w:type="dxa"/>
            </w:tcMar>
          </w:tcPr>
          <w:p>
            <w:pPr>
              <w:widowControl/>
              <w:spacing w:after="0"/>
            </w:pPr>
            <w:r>
              <w:rPr>
                <w:rFonts w:ascii="Arial" w:hAnsi="Arial"/>
                <w:sz w:val="17"/>
              </w:rPr>
              <w:t>15</w:t>
            </w:r>
          </w:p>
        </w:tc>
        <w:tc>
          <w:tcPr>
            <w:tcW w:type="dxa" w:w="3600"/>
            <w:vAlign w:val="center"/>
            <w:tcMar>
              <w:top w:w="70" w:type="dxa"/>
              <w:start w:w="110" w:type="dxa"/>
              <w:bottom w:w="70" w:type="dxa"/>
              <w:end w:w="110" w:type="dxa"/>
            </w:tcMar>
          </w:tcPr>
          <w:p>
            <w:pPr>
              <w:widowControl/>
              <w:spacing w:after="0"/>
            </w:pPr>
            <w:r>
              <w:rPr>
                <w:rFonts w:ascii="Arial" w:hAnsi="Arial"/>
                <w:sz w:val="17"/>
              </w:rPr>
              <w:t>4,971</w:t>
            </w:r>
          </w:p>
        </w:tc>
      </w:tr>
      <w:tr>
        <w:trPr>
          <w:cantSplit/>
        </w:trPr>
        <w:tc>
          <w:tcPr>
            <w:tcW w:type="dxa" w:w="1872"/>
            <w:vAlign w:val="center"/>
            <w:tcMar>
              <w:top w:w="70" w:type="dxa"/>
              <w:start w:w="110" w:type="dxa"/>
              <w:bottom w:w="70" w:type="dxa"/>
              <w:end w:w="110" w:type="dxa"/>
            </w:tcMar>
            <w:shd w:fill="F4F6F7"/>
          </w:tcPr>
          <w:p>
            <w:pPr>
              <w:widowControl/>
              <w:spacing w:after="0"/>
            </w:pPr>
            <w:r>
              <w:rPr>
                <w:rFonts w:ascii="Arial" w:hAnsi="Arial"/>
                <w:sz w:val="17"/>
              </w:rPr>
              <w:t>16</w:t>
            </w:r>
          </w:p>
        </w:tc>
        <w:tc>
          <w:tcPr>
            <w:tcW w:type="dxa" w:w="3600"/>
            <w:vAlign w:val="center"/>
            <w:tcMar>
              <w:top w:w="70" w:type="dxa"/>
              <w:start w:w="110" w:type="dxa"/>
              <w:bottom w:w="70" w:type="dxa"/>
              <w:end w:w="110" w:type="dxa"/>
            </w:tcMar>
            <w:shd w:fill="F4F6F7"/>
          </w:tcPr>
          <w:p>
            <w:pPr>
              <w:widowControl/>
              <w:spacing w:after="0"/>
            </w:pPr>
            <w:r>
              <w:rPr>
                <w:rFonts w:ascii="Arial" w:hAnsi="Arial"/>
                <w:sz w:val="17"/>
              </w:rPr>
              <w:t>5,021</w:t>
            </w:r>
          </w:p>
        </w:tc>
      </w:tr>
      <w:tr>
        <w:trPr>
          <w:cantSplit/>
        </w:trPr>
        <w:tc>
          <w:tcPr>
            <w:tcW w:type="dxa" w:w="1872"/>
            <w:vAlign w:val="center"/>
            <w:tcMar>
              <w:top w:w="70" w:type="dxa"/>
              <w:start w:w="110" w:type="dxa"/>
              <w:bottom w:w="70" w:type="dxa"/>
              <w:end w:w="110" w:type="dxa"/>
            </w:tcMar>
          </w:tcPr>
          <w:p>
            <w:pPr>
              <w:widowControl/>
              <w:spacing w:after="0"/>
            </w:pPr>
            <w:r>
              <w:rPr>
                <w:rFonts w:ascii="Arial" w:hAnsi="Arial"/>
                <w:sz w:val="17"/>
              </w:rPr>
              <w:t>17</w:t>
            </w:r>
          </w:p>
        </w:tc>
        <w:tc>
          <w:tcPr>
            <w:tcW w:type="dxa" w:w="3600"/>
            <w:vAlign w:val="center"/>
            <w:tcMar>
              <w:top w:w="70" w:type="dxa"/>
              <w:start w:w="110" w:type="dxa"/>
              <w:bottom w:w="70" w:type="dxa"/>
              <w:end w:w="110" w:type="dxa"/>
            </w:tcMar>
          </w:tcPr>
          <w:p>
            <w:pPr>
              <w:widowControl/>
              <w:spacing w:after="0"/>
            </w:pPr>
            <w:r>
              <w:rPr>
                <w:rFonts w:ascii="Arial" w:hAnsi="Arial"/>
                <w:sz w:val="17"/>
              </w:rPr>
              <w:t>5,071</w:t>
            </w:r>
          </w:p>
        </w:tc>
      </w:tr>
      <w:tr>
        <w:trPr>
          <w:cantSplit/>
        </w:trPr>
        <w:tc>
          <w:tcPr>
            <w:tcW w:type="dxa" w:w="1872"/>
            <w:vAlign w:val="center"/>
            <w:tcMar>
              <w:top w:w="70" w:type="dxa"/>
              <w:start w:w="110" w:type="dxa"/>
              <w:bottom w:w="70" w:type="dxa"/>
              <w:end w:w="110" w:type="dxa"/>
            </w:tcMar>
            <w:shd w:fill="F4F6F7"/>
          </w:tcPr>
          <w:p>
            <w:pPr>
              <w:widowControl/>
              <w:spacing w:after="0"/>
            </w:pPr>
            <w:r>
              <w:rPr>
                <w:rFonts w:ascii="Arial" w:hAnsi="Arial"/>
                <w:sz w:val="17"/>
              </w:rPr>
              <w:t>18</w:t>
            </w:r>
          </w:p>
        </w:tc>
        <w:tc>
          <w:tcPr>
            <w:tcW w:type="dxa" w:w="3600"/>
            <w:vAlign w:val="center"/>
            <w:tcMar>
              <w:top w:w="70" w:type="dxa"/>
              <w:start w:w="110" w:type="dxa"/>
              <w:bottom w:w="70" w:type="dxa"/>
              <w:end w:w="110" w:type="dxa"/>
            </w:tcMar>
            <w:shd w:fill="F4F6F7"/>
          </w:tcPr>
          <w:p>
            <w:pPr>
              <w:widowControl/>
              <w:spacing w:after="0"/>
            </w:pPr>
            <w:r>
              <w:rPr>
                <w:rFonts w:ascii="Arial" w:hAnsi="Arial"/>
                <w:sz w:val="17"/>
              </w:rPr>
              <w:t>5,121</w:t>
            </w:r>
          </w:p>
        </w:tc>
      </w:tr>
    </w:tbl>
    <w:p>
      <w:pPr>
        <w:widowControl/>
      </w:pPr>
      <w:r>
        <w:t>Starting in quota year 19, the quantity shall remain at 5,121 MT per year.</w:t>
      </w:r>
    </w:p>
    <w:p>
      <w:pPr>
        <w:pStyle w:val="Normal"/>
        <w:widowControl/>
        <w:rPr/>
      </w:pPr>
      <w:r>
        <w:rPr/>
        <w:t>(b) Canada shall apply the following provision in the administration of this TRQ: (i) Up to 85 percent in year 1 of the TRQ quantities set out in subparagraph (a) shall be for the importation of goods in bulk (not for retail sale) used as ingredients for further food processing (secondary manufacturing), reducing to 50 percent of the TRQ quantities over five years.</w:t>
      </w:r>
    </w:p>
    <w:p>
      <w:pPr>
        <w:widowControl/>
      </w:pPr>
      <w:r>
        <w:t>(ii) Any remainder of the TRQ quantities set out in subparagraph (a) shall be for the importation of any butter or cream powder. (c) This paragraph applies to goods classified in the following tariff items: 0405.10.10, 0405.20.10, 0405.90.10, 0402.21.21, and 0402.29.21. (d) This TRQ shall be allocated on a dairy year basis, meaning from August 1 to July 31. 9. TRQ-CA5: Industrial Cheeses (a) The aggregate quantity of originating goods described in subparagraph (c) that shall be permitted to enter duty-free in each quota year under this TRQ is:</w:t>
      </w:r>
    </w:p>
    <w:tbl>
      <w:tblPr>
        <w:tblStyle w:val="TableGrid"/>
        <w:tblW w:type="auto" w:w="0"/>
        <w:jc w:val="center"/>
        <w:tblLayout w:type="autofit"/>
        <w:tblLook w:firstColumn="1" w:firstRow="1" w:lastColumn="0" w:lastRow="0" w:noHBand="0" w:noVBand="1" w:val="04A0"/>
      </w:tblPr>
      <w:tblGrid>
        <w:gridCol w:w="4680"/>
        <w:gridCol w:w="4680"/>
      </w:tblGrid>
      <w:tr>
        <w:trPr>
          <w:tblHeader w:val="true"/>
          <w:cantSplit/>
          <w:tblHeader w:val="true"/>
        </w:trPr>
        <w:tc>
          <w:tcPr>
            <w:tcW w:type="dxa" w:w="1872"/>
            <w:vAlign w:val="center"/>
            <w:shd w:fill="233746"/>
          </w:tcPr>
          <w:p>
            <w:pPr>
              <w:spacing w:after="0"/>
            </w:pPr>
            <w:r>
              <w:rPr>
                <w:rFonts w:ascii="Arial" w:hAnsi="Arial"/>
                <w:b/>
                <w:color w:val="FFFFFF"/>
                <w:sz w:val="17"/>
              </w:rPr>
              <w:t>Quota Year</w:t>
            </w:r>
          </w:p>
        </w:tc>
        <w:tc>
          <w:tcPr>
            <w:tcW w:type="dxa" w:w="3600"/>
            <w:vAlign w:val="center"/>
            <w:shd w:fill="233746"/>
          </w:tcPr>
          <w:p>
            <w:pPr>
              <w:spacing w:after="0"/>
            </w:pPr>
            <w:r>
              <w:rPr>
                <w:rFonts w:ascii="Arial" w:hAnsi="Arial"/>
                <w:b/>
                <w:color w:val="FFFFFF"/>
                <w:sz w:val="17"/>
              </w:rPr>
              <w:t>Aggregate Quantity (MT)</w:t>
            </w:r>
          </w:p>
        </w:tc>
      </w:tr>
      <w:tr>
        <w:trPr>
          <w:cantSplit/>
        </w:trPr>
        <w:tc>
          <w:tcPr>
            <w:tcW w:type="dxa" w:w="1872"/>
            <w:vAlign w:val="center"/>
            <w:tcMar>
              <w:top w:w="70" w:type="dxa"/>
              <w:start w:w="110" w:type="dxa"/>
              <w:bottom w:w="70" w:type="dxa"/>
              <w:end w:w="110" w:type="dxa"/>
            </w:tcMar>
          </w:tcPr>
          <w:p>
            <w:pPr>
              <w:widowControl/>
              <w:spacing w:after="0"/>
            </w:pPr>
            <w:r>
              <w:rPr>
                <w:rFonts w:ascii="Arial" w:hAnsi="Arial"/>
                <w:sz w:val="17"/>
              </w:rPr>
              <w:t>1</w:t>
            </w:r>
          </w:p>
        </w:tc>
        <w:tc>
          <w:tcPr>
            <w:tcW w:type="dxa" w:w="3600"/>
            <w:vAlign w:val="center"/>
            <w:tcMar>
              <w:top w:w="70" w:type="dxa"/>
              <w:start w:w="110" w:type="dxa"/>
              <w:bottom w:w="70" w:type="dxa"/>
              <w:end w:w="110" w:type="dxa"/>
            </w:tcMar>
          </w:tcPr>
          <w:p>
            <w:pPr>
              <w:widowControl/>
              <w:spacing w:after="0"/>
            </w:pPr>
            <w:r>
              <w:rPr>
                <w:rFonts w:ascii="Arial" w:hAnsi="Arial"/>
                <w:sz w:val="17"/>
              </w:rPr>
              <w:t>1,042</w:t>
            </w:r>
          </w:p>
        </w:tc>
      </w:tr>
      <w:tr>
        <w:trPr>
          <w:cantSplit/>
        </w:trPr>
        <w:tc>
          <w:tcPr>
            <w:tcW w:type="dxa" w:w="1872"/>
            <w:vAlign w:val="center"/>
            <w:tcMar>
              <w:top w:w="70" w:type="dxa"/>
              <w:start w:w="110" w:type="dxa"/>
              <w:bottom w:w="70" w:type="dxa"/>
              <w:end w:w="110" w:type="dxa"/>
            </w:tcMar>
            <w:shd w:fill="F4F6F7"/>
          </w:tcPr>
          <w:p>
            <w:pPr>
              <w:widowControl/>
              <w:spacing w:after="0"/>
            </w:pPr>
            <w:r>
              <w:rPr>
                <w:rFonts w:ascii="Arial" w:hAnsi="Arial"/>
                <w:sz w:val="17"/>
              </w:rPr>
              <w:t>2</w:t>
            </w:r>
          </w:p>
        </w:tc>
        <w:tc>
          <w:tcPr>
            <w:tcW w:type="dxa" w:w="3600"/>
            <w:vAlign w:val="center"/>
            <w:tcMar>
              <w:top w:w="70" w:type="dxa"/>
              <w:start w:w="110" w:type="dxa"/>
              <w:bottom w:w="70" w:type="dxa"/>
              <w:end w:w="110" w:type="dxa"/>
            </w:tcMar>
            <w:shd w:fill="F4F6F7"/>
          </w:tcPr>
          <w:p>
            <w:pPr>
              <w:widowControl/>
              <w:spacing w:after="0"/>
            </w:pPr>
            <w:r>
              <w:rPr>
                <w:rFonts w:ascii="Arial" w:hAnsi="Arial"/>
                <w:sz w:val="17"/>
              </w:rPr>
              <w:t>2,083</w:t>
            </w:r>
          </w:p>
        </w:tc>
      </w:tr>
      <w:tr>
        <w:trPr>
          <w:cantSplit/>
        </w:trPr>
        <w:tc>
          <w:tcPr>
            <w:tcW w:type="dxa" w:w="1872"/>
            <w:vAlign w:val="center"/>
            <w:tcMar>
              <w:top w:w="70" w:type="dxa"/>
              <w:start w:w="110" w:type="dxa"/>
              <w:bottom w:w="70" w:type="dxa"/>
              <w:end w:w="110" w:type="dxa"/>
            </w:tcMar>
          </w:tcPr>
          <w:p>
            <w:pPr>
              <w:widowControl/>
              <w:spacing w:after="0"/>
            </w:pPr>
            <w:r>
              <w:rPr>
                <w:rFonts w:ascii="Arial" w:hAnsi="Arial"/>
                <w:sz w:val="17"/>
              </w:rPr>
              <w:t>3</w:t>
            </w:r>
          </w:p>
        </w:tc>
        <w:tc>
          <w:tcPr>
            <w:tcW w:type="dxa" w:w="3600"/>
            <w:vAlign w:val="center"/>
            <w:tcMar>
              <w:top w:w="70" w:type="dxa"/>
              <w:start w:w="110" w:type="dxa"/>
              <w:bottom w:w="70" w:type="dxa"/>
              <w:end w:w="110" w:type="dxa"/>
            </w:tcMar>
          </w:tcPr>
          <w:p>
            <w:pPr>
              <w:widowControl/>
              <w:spacing w:after="0"/>
            </w:pPr>
            <w:r>
              <w:rPr>
                <w:rFonts w:ascii="Arial" w:hAnsi="Arial"/>
                <w:sz w:val="17"/>
              </w:rPr>
              <w:t>3,125</w:t>
            </w:r>
          </w:p>
        </w:tc>
      </w:tr>
      <w:tr>
        <w:trPr>
          <w:cantSplit/>
        </w:trPr>
        <w:tc>
          <w:tcPr>
            <w:tcW w:type="dxa" w:w="1872"/>
            <w:vAlign w:val="center"/>
            <w:tcMar>
              <w:top w:w="70" w:type="dxa"/>
              <w:start w:w="110" w:type="dxa"/>
              <w:bottom w:w="70" w:type="dxa"/>
              <w:end w:w="110" w:type="dxa"/>
            </w:tcMar>
            <w:shd w:fill="F4F6F7"/>
          </w:tcPr>
          <w:p>
            <w:pPr>
              <w:widowControl/>
              <w:spacing w:after="0"/>
            </w:pPr>
            <w:r>
              <w:rPr>
                <w:rFonts w:ascii="Arial" w:hAnsi="Arial"/>
                <w:sz w:val="17"/>
              </w:rPr>
              <w:t>4</w:t>
            </w:r>
          </w:p>
        </w:tc>
        <w:tc>
          <w:tcPr>
            <w:tcW w:type="dxa" w:w="3600"/>
            <w:vAlign w:val="center"/>
            <w:tcMar>
              <w:top w:w="70" w:type="dxa"/>
              <w:start w:w="110" w:type="dxa"/>
              <w:bottom w:w="70" w:type="dxa"/>
              <w:end w:w="110" w:type="dxa"/>
            </w:tcMar>
            <w:shd w:fill="F4F6F7"/>
          </w:tcPr>
          <w:p>
            <w:pPr>
              <w:widowControl/>
              <w:spacing w:after="0"/>
            </w:pPr>
            <w:r>
              <w:rPr>
                <w:rFonts w:ascii="Arial" w:hAnsi="Arial"/>
                <w:sz w:val="17"/>
              </w:rPr>
              <w:t>4,167</w:t>
            </w:r>
          </w:p>
        </w:tc>
      </w:tr>
      <w:tr>
        <w:trPr>
          <w:cantSplit/>
        </w:trPr>
        <w:tc>
          <w:tcPr>
            <w:tcW w:type="dxa" w:w="1872"/>
            <w:vAlign w:val="center"/>
            <w:tcMar>
              <w:top w:w="70" w:type="dxa"/>
              <w:start w:w="110" w:type="dxa"/>
              <w:bottom w:w="70" w:type="dxa"/>
              <w:end w:w="110" w:type="dxa"/>
            </w:tcMar>
          </w:tcPr>
          <w:p>
            <w:pPr>
              <w:widowControl/>
              <w:spacing w:after="0"/>
            </w:pPr>
            <w:r>
              <w:rPr>
                <w:rFonts w:ascii="Arial" w:hAnsi="Arial"/>
                <w:sz w:val="17"/>
              </w:rPr>
              <w:t>5</w:t>
            </w:r>
          </w:p>
        </w:tc>
        <w:tc>
          <w:tcPr>
            <w:tcW w:type="dxa" w:w="3600"/>
            <w:vAlign w:val="center"/>
            <w:tcMar>
              <w:top w:w="70" w:type="dxa"/>
              <w:start w:w="110" w:type="dxa"/>
              <w:bottom w:w="70" w:type="dxa"/>
              <w:end w:w="110" w:type="dxa"/>
            </w:tcMar>
          </w:tcPr>
          <w:p>
            <w:pPr>
              <w:widowControl/>
              <w:spacing w:after="0"/>
            </w:pPr>
            <w:r>
              <w:rPr>
                <w:rFonts w:ascii="Arial" w:hAnsi="Arial"/>
                <w:sz w:val="17"/>
              </w:rPr>
              <w:t>5,208</w:t>
            </w:r>
          </w:p>
        </w:tc>
      </w:tr>
      <w:tr>
        <w:trPr>
          <w:cantSplit/>
        </w:trPr>
        <w:tc>
          <w:tcPr>
            <w:tcW w:type="dxa" w:w="1872"/>
            <w:vAlign w:val="center"/>
            <w:tcMar>
              <w:top w:w="70" w:type="dxa"/>
              <w:start w:w="110" w:type="dxa"/>
              <w:bottom w:w="70" w:type="dxa"/>
              <w:end w:w="110" w:type="dxa"/>
            </w:tcMar>
            <w:shd w:fill="F4F6F7"/>
          </w:tcPr>
          <w:p>
            <w:pPr>
              <w:widowControl/>
              <w:spacing w:after="0"/>
            </w:pPr>
            <w:r>
              <w:rPr>
                <w:rFonts w:ascii="Arial" w:hAnsi="Arial"/>
                <w:sz w:val="17"/>
              </w:rPr>
              <w:t>6</w:t>
            </w:r>
          </w:p>
        </w:tc>
        <w:tc>
          <w:tcPr>
            <w:tcW w:type="dxa" w:w="3600"/>
            <w:vAlign w:val="center"/>
            <w:tcMar>
              <w:top w:w="70" w:type="dxa"/>
              <w:start w:w="110" w:type="dxa"/>
              <w:bottom w:w="70" w:type="dxa"/>
              <w:end w:w="110" w:type="dxa"/>
            </w:tcMar>
            <w:shd w:fill="F4F6F7"/>
          </w:tcPr>
          <w:p>
            <w:pPr>
              <w:widowControl/>
              <w:spacing w:after="0"/>
            </w:pPr>
            <w:r>
              <w:rPr>
                <w:rFonts w:ascii="Arial" w:hAnsi="Arial"/>
                <w:sz w:val="17"/>
              </w:rPr>
              <w:t>6,250</w:t>
            </w:r>
          </w:p>
        </w:tc>
      </w:tr>
      <w:tr>
        <w:trPr>
          <w:cantSplit/>
        </w:trPr>
        <w:tc>
          <w:tcPr>
            <w:tcW w:type="dxa" w:w="1872"/>
            <w:vAlign w:val="center"/>
            <w:tcMar>
              <w:top w:w="70" w:type="dxa"/>
              <w:start w:w="110" w:type="dxa"/>
              <w:bottom w:w="70" w:type="dxa"/>
              <w:end w:w="110" w:type="dxa"/>
            </w:tcMar>
          </w:tcPr>
          <w:p>
            <w:pPr>
              <w:widowControl/>
              <w:spacing w:after="0"/>
            </w:pPr>
            <w:r>
              <w:rPr>
                <w:rFonts w:ascii="Arial" w:hAnsi="Arial"/>
                <w:sz w:val="17"/>
              </w:rPr>
              <w:t>7</w:t>
            </w:r>
          </w:p>
        </w:tc>
        <w:tc>
          <w:tcPr>
            <w:tcW w:type="dxa" w:w="3600"/>
            <w:vAlign w:val="center"/>
            <w:tcMar>
              <w:top w:w="70" w:type="dxa"/>
              <w:start w:w="110" w:type="dxa"/>
              <w:bottom w:w="70" w:type="dxa"/>
              <w:end w:w="110" w:type="dxa"/>
            </w:tcMar>
          </w:tcPr>
          <w:p>
            <w:pPr>
              <w:widowControl/>
              <w:spacing w:after="0"/>
            </w:pPr>
            <w:r>
              <w:rPr>
                <w:rFonts w:ascii="Arial" w:hAnsi="Arial"/>
                <w:sz w:val="17"/>
              </w:rPr>
              <w:t>6,313</w:t>
            </w:r>
          </w:p>
        </w:tc>
      </w:tr>
      <w:tr>
        <w:trPr>
          <w:cantSplit/>
        </w:trPr>
        <w:tc>
          <w:tcPr>
            <w:tcW w:type="dxa" w:w="1872"/>
            <w:vAlign w:val="center"/>
            <w:tcMar>
              <w:top w:w="70" w:type="dxa"/>
              <w:start w:w="110" w:type="dxa"/>
              <w:bottom w:w="70" w:type="dxa"/>
              <w:end w:w="110" w:type="dxa"/>
            </w:tcMar>
            <w:shd w:fill="F4F6F7"/>
          </w:tcPr>
          <w:p>
            <w:pPr>
              <w:widowControl/>
              <w:spacing w:after="0"/>
            </w:pPr>
            <w:r>
              <w:rPr>
                <w:rFonts w:ascii="Arial" w:hAnsi="Arial"/>
                <w:sz w:val="17"/>
              </w:rPr>
              <w:t>8</w:t>
            </w:r>
          </w:p>
        </w:tc>
        <w:tc>
          <w:tcPr>
            <w:tcW w:type="dxa" w:w="3600"/>
            <w:vAlign w:val="center"/>
            <w:tcMar>
              <w:top w:w="70" w:type="dxa"/>
              <w:start w:w="110" w:type="dxa"/>
              <w:bottom w:w="70" w:type="dxa"/>
              <w:end w:w="110" w:type="dxa"/>
            </w:tcMar>
            <w:shd w:fill="F4F6F7"/>
          </w:tcPr>
          <w:p>
            <w:pPr>
              <w:widowControl/>
              <w:spacing w:after="0"/>
            </w:pPr>
            <w:r>
              <w:rPr>
                <w:rFonts w:ascii="Arial" w:hAnsi="Arial"/>
                <w:sz w:val="17"/>
              </w:rPr>
              <w:t>6,376</w:t>
            </w:r>
          </w:p>
        </w:tc>
      </w:tr>
      <w:tr>
        <w:trPr>
          <w:cantSplit/>
        </w:trPr>
        <w:tc>
          <w:tcPr>
            <w:tcW w:type="dxa" w:w="1872"/>
            <w:vAlign w:val="center"/>
            <w:tcMar>
              <w:top w:w="70" w:type="dxa"/>
              <w:start w:w="110" w:type="dxa"/>
              <w:bottom w:w="70" w:type="dxa"/>
              <w:end w:w="110" w:type="dxa"/>
            </w:tcMar>
          </w:tcPr>
          <w:p>
            <w:pPr>
              <w:widowControl/>
              <w:spacing w:after="0"/>
            </w:pPr>
            <w:r>
              <w:rPr>
                <w:rFonts w:ascii="Arial" w:hAnsi="Arial"/>
                <w:sz w:val="17"/>
              </w:rPr>
              <w:t>9</w:t>
            </w:r>
          </w:p>
        </w:tc>
        <w:tc>
          <w:tcPr>
            <w:tcW w:type="dxa" w:w="3600"/>
            <w:vAlign w:val="center"/>
            <w:tcMar>
              <w:top w:w="70" w:type="dxa"/>
              <w:start w:w="110" w:type="dxa"/>
              <w:bottom w:w="70" w:type="dxa"/>
              <w:end w:w="110" w:type="dxa"/>
            </w:tcMar>
          </w:tcPr>
          <w:p>
            <w:pPr>
              <w:widowControl/>
              <w:spacing w:after="0"/>
            </w:pPr>
            <w:r>
              <w:rPr>
                <w:rFonts w:ascii="Arial" w:hAnsi="Arial"/>
                <w:sz w:val="17"/>
              </w:rPr>
              <w:t>6,439</w:t>
            </w:r>
          </w:p>
        </w:tc>
      </w:tr>
      <w:tr>
        <w:trPr>
          <w:cantSplit/>
        </w:trPr>
        <w:tc>
          <w:tcPr>
            <w:tcW w:type="dxa" w:w="1872"/>
            <w:vAlign w:val="center"/>
            <w:tcMar>
              <w:top w:w="70" w:type="dxa"/>
              <w:start w:w="110" w:type="dxa"/>
              <w:bottom w:w="70" w:type="dxa"/>
              <w:end w:w="110" w:type="dxa"/>
            </w:tcMar>
            <w:shd w:fill="F4F6F7"/>
          </w:tcPr>
          <w:p>
            <w:pPr>
              <w:widowControl/>
              <w:spacing w:after="0"/>
            </w:pPr>
            <w:r>
              <w:rPr>
                <w:rFonts w:ascii="Arial" w:hAnsi="Arial"/>
                <w:sz w:val="17"/>
              </w:rPr>
              <w:t>10</w:t>
            </w:r>
          </w:p>
        </w:tc>
        <w:tc>
          <w:tcPr>
            <w:tcW w:type="dxa" w:w="3600"/>
            <w:vAlign w:val="center"/>
            <w:tcMar>
              <w:top w:w="70" w:type="dxa"/>
              <w:start w:w="110" w:type="dxa"/>
              <w:bottom w:w="70" w:type="dxa"/>
              <w:end w:w="110" w:type="dxa"/>
            </w:tcMar>
            <w:shd w:fill="F4F6F7"/>
          </w:tcPr>
          <w:p>
            <w:pPr>
              <w:widowControl/>
              <w:spacing w:after="0"/>
            </w:pPr>
            <w:r>
              <w:rPr>
                <w:rFonts w:ascii="Arial" w:hAnsi="Arial"/>
                <w:sz w:val="17"/>
              </w:rPr>
              <w:t>6,504</w:t>
            </w:r>
          </w:p>
        </w:tc>
      </w:tr>
      <w:tr>
        <w:trPr>
          <w:cantSplit/>
        </w:trPr>
        <w:tc>
          <w:tcPr>
            <w:tcW w:type="dxa" w:w="1872"/>
            <w:vAlign w:val="center"/>
            <w:tcMar>
              <w:top w:w="70" w:type="dxa"/>
              <w:start w:w="110" w:type="dxa"/>
              <w:bottom w:w="70" w:type="dxa"/>
              <w:end w:w="110" w:type="dxa"/>
            </w:tcMar>
          </w:tcPr>
          <w:p>
            <w:pPr>
              <w:widowControl/>
              <w:spacing w:after="0"/>
            </w:pPr>
            <w:r>
              <w:rPr>
                <w:rFonts w:ascii="Arial" w:hAnsi="Arial"/>
                <w:sz w:val="17"/>
              </w:rPr>
              <w:t>11</w:t>
            </w:r>
          </w:p>
        </w:tc>
        <w:tc>
          <w:tcPr>
            <w:tcW w:type="dxa" w:w="3600"/>
            <w:vAlign w:val="center"/>
            <w:tcMar>
              <w:top w:w="70" w:type="dxa"/>
              <w:start w:w="110" w:type="dxa"/>
              <w:bottom w:w="70" w:type="dxa"/>
              <w:end w:w="110" w:type="dxa"/>
            </w:tcMar>
          </w:tcPr>
          <w:p>
            <w:pPr>
              <w:widowControl/>
              <w:spacing w:after="0"/>
            </w:pPr>
            <w:r>
              <w:rPr>
                <w:rFonts w:ascii="Arial" w:hAnsi="Arial"/>
                <w:sz w:val="17"/>
              </w:rPr>
              <w:t>6,569</w:t>
            </w:r>
          </w:p>
        </w:tc>
      </w:tr>
      <w:tr>
        <w:trPr>
          <w:cantSplit/>
        </w:trPr>
        <w:tc>
          <w:tcPr>
            <w:tcW w:type="dxa" w:w="1872"/>
            <w:vAlign w:val="center"/>
            <w:tcMar>
              <w:top w:w="70" w:type="dxa"/>
              <w:start w:w="110" w:type="dxa"/>
              <w:bottom w:w="70" w:type="dxa"/>
              <w:end w:w="110" w:type="dxa"/>
            </w:tcMar>
            <w:shd w:fill="F4F6F7"/>
          </w:tcPr>
          <w:p>
            <w:pPr>
              <w:widowControl/>
              <w:spacing w:after="0"/>
            </w:pPr>
            <w:r>
              <w:rPr>
                <w:rFonts w:ascii="Arial" w:hAnsi="Arial"/>
                <w:sz w:val="17"/>
              </w:rPr>
              <w:t>12</w:t>
            </w:r>
          </w:p>
        </w:tc>
        <w:tc>
          <w:tcPr>
            <w:tcW w:type="dxa" w:w="3600"/>
            <w:vAlign w:val="center"/>
            <w:tcMar>
              <w:top w:w="70" w:type="dxa"/>
              <w:start w:w="110" w:type="dxa"/>
              <w:bottom w:w="70" w:type="dxa"/>
              <w:end w:w="110" w:type="dxa"/>
            </w:tcMar>
            <w:shd w:fill="F4F6F7"/>
          </w:tcPr>
          <w:p>
            <w:pPr>
              <w:widowControl/>
              <w:spacing w:after="0"/>
            </w:pPr>
            <w:r>
              <w:rPr>
                <w:rFonts w:ascii="Arial" w:hAnsi="Arial"/>
                <w:sz w:val="17"/>
              </w:rPr>
              <w:t>6,635</w:t>
            </w:r>
          </w:p>
        </w:tc>
      </w:tr>
      <w:tr>
        <w:trPr>
          <w:cantSplit/>
        </w:trPr>
        <w:tc>
          <w:tcPr>
            <w:tcW w:type="dxa" w:w="1872"/>
            <w:vAlign w:val="center"/>
            <w:tcMar>
              <w:top w:w="70" w:type="dxa"/>
              <w:start w:w="110" w:type="dxa"/>
              <w:bottom w:w="70" w:type="dxa"/>
              <w:end w:w="110" w:type="dxa"/>
            </w:tcMar>
          </w:tcPr>
          <w:p>
            <w:pPr>
              <w:widowControl/>
              <w:spacing w:after="0"/>
            </w:pPr>
            <w:r>
              <w:rPr>
                <w:rFonts w:ascii="Arial" w:hAnsi="Arial"/>
                <w:sz w:val="17"/>
              </w:rPr>
              <w:t>13</w:t>
            </w:r>
          </w:p>
        </w:tc>
        <w:tc>
          <w:tcPr>
            <w:tcW w:type="dxa" w:w="3600"/>
            <w:vAlign w:val="center"/>
            <w:tcMar>
              <w:top w:w="70" w:type="dxa"/>
              <w:start w:w="110" w:type="dxa"/>
              <w:bottom w:w="70" w:type="dxa"/>
              <w:end w:w="110" w:type="dxa"/>
            </w:tcMar>
          </w:tcPr>
          <w:p>
            <w:pPr>
              <w:widowControl/>
              <w:spacing w:after="0"/>
            </w:pPr>
            <w:r>
              <w:rPr>
                <w:rFonts w:ascii="Arial" w:hAnsi="Arial"/>
                <w:sz w:val="17"/>
              </w:rPr>
              <w:t>6,701</w:t>
            </w:r>
          </w:p>
        </w:tc>
      </w:tr>
      <w:tr>
        <w:trPr>
          <w:cantSplit/>
        </w:trPr>
        <w:tc>
          <w:tcPr>
            <w:tcW w:type="dxa" w:w="1872"/>
            <w:vAlign w:val="center"/>
            <w:tcMar>
              <w:top w:w="70" w:type="dxa"/>
              <w:start w:w="110" w:type="dxa"/>
              <w:bottom w:w="70" w:type="dxa"/>
              <w:end w:w="110" w:type="dxa"/>
            </w:tcMar>
            <w:shd w:fill="F4F6F7"/>
          </w:tcPr>
          <w:p>
            <w:pPr>
              <w:widowControl/>
              <w:spacing w:after="0"/>
            </w:pPr>
            <w:r>
              <w:rPr>
                <w:rFonts w:ascii="Arial" w:hAnsi="Arial"/>
                <w:sz w:val="17"/>
              </w:rPr>
              <w:t>14</w:t>
            </w:r>
          </w:p>
        </w:tc>
        <w:tc>
          <w:tcPr>
            <w:tcW w:type="dxa" w:w="3600"/>
            <w:vAlign w:val="center"/>
            <w:tcMar>
              <w:top w:w="70" w:type="dxa"/>
              <w:start w:w="110" w:type="dxa"/>
              <w:bottom w:w="70" w:type="dxa"/>
              <w:end w:w="110" w:type="dxa"/>
            </w:tcMar>
            <w:shd w:fill="F4F6F7"/>
          </w:tcPr>
          <w:p>
            <w:pPr>
              <w:widowControl/>
              <w:spacing w:after="0"/>
            </w:pPr>
            <w:r>
              <w:rPr>
                <w:rFonts w:ascii="Arial" w:hAnsi="Arial"/>
                <w:sz w:val="17"/>
              </w:rPr>
              <w:t>6,768</w:t>
            </w:r>
          </w:p>
        </w:tc>
      </w:tr>
      <w:tr>
        <w:trPr>
          <w:cantSplit/>
        </w:trPr>
        <w:tc>
          <w:tcPr>
            <w:tcW w:type="dxa" w:w="1872"/>
            <w:vAlign w:val="center"/>
            <w:tcMar>
              <w:top w:w="70" w:type="dxa"/>
              <w:start w:w="110" w:type="dxa"/>
              <w:bottom w:w="70" w:type="dxa"/>
              <w:end w:w="110" w:type="dxa"/>
            </w:tcMar>
          </w:tcPr>
          <w:p>
            <w:pPr>
              <w:widowControl/>
              <w:spacing w:after="0"/>
            </w:pPr>
            <w:r>
              <w:rPr>
                <w:rFonts w:ascii="Arial" w:hAnsi="Arial"/>
                <w:sz w:val="17"/>
              </w:rPr>
              <w:t>15</w:t>
            </w:r>
          </w:p>
        </w:tc>
        <w:tc>
          <w:tcPr>
            <w:tcW w:type="dxa" w:w="3600"/>
            <w:vAlign w:val="center"/>
            <w:tcMar>
              <w:top w:w="70" w:type="dxa"/>
              <w:start w:w="110" w:type="dxa"/>
              <w:bottom w:w="70" w:type="dxa"/>
              <w:end w:w="110" w:type="dxa"/>
            </w:tcMar>
          </w:tcPr>
          <w:p>
            <w:pPr>
              <w:widowControl/>
              <w:spacing w:after="0"/>
            </w:pPr>
            <w:r>
              <w:rPr>
                <w:rFonts w:ascii="Arial" w:hAnsi="Arial"/>
                <w:sz w:val="17"/>
              </w:rPr>
              <w:t>6,836</w:t>
            </w:r>
          </w:p>
        </w:tc>
      </w:tr>
      <w:tr>
        <w:trPr>
          <w:cantSplit/>
        </w:trPr>
        <w:tc>
          <w:tcPr>
            <w:tcW w:type="dxa" w:w="1872"/>
            <w:vAlign w:val="center"/>
            <w:tcMar>
              <w:top w:w="70" w:type="dxa"/>
              <w:start w:w="110" w:type="dxa"/>
              <w:bottom w:w="70" w:type="dxa"/>
              <w:end w:w="110" w:type="dxa"/>
            </w:tcMar>
            <w:shd w:fill="F4F6F7"/>
          </w:tcPr>
          <w:p>
            <w:pPr>
              <w:widowControl/>
              <w:spacing w:after="0"/>
            </w:pPr>
            <w:r>
              <w:rPr>
                <w:rFonts w:ascii="Arial" w:hAnsi="Arial"/>
                <w:sz w:val="17"/>
              </w:rPr>
              <w:t>16</w:t>
            </w:r>
          </w:p>
        </w:tc>
        <w:tc>
          <w:tcPr>
            <w:tcW w:type="dxa" w:w="3600"/>
            <w:vAlign w:val="center"/>
            <w:tcMar>
              <w:top w:w="70" w:type="dxa"/>
              <w:start w:w="110" w:type="dxa"/>
              <w:bottom w:w="70" w:type="dxa"/>
              <w:end w:w="110" w:type="dxa"/>
            </w:tcMar>
            <w:shd w:fill="F4F6F7"/>
          </w:tcPr>
          <w:p>
            <w:pPr>
              <w:widowControl/>
              <w:spacing w:after="0"/>
            </w:pPr>
            <w:r>
              <w:rPr>
                <w:rFonts w:ascii="Arial" w:hAnsi="Arial"/>
                <w:sz w:val="17"/>
              </w:rPr>
              <w:t>6,904</w:t>
            </w:r>
          </w:p>
        </w:tc>
      </w:tr>
      <w:tr>
        <w:trPr>
          <w:cantSplit/>
        </w:trPr>
        <w:tc>
          <w:tcPr>
            <w:tcW w:type="dxa" w:w="1872"/>
            <w:vAlign w:val="center"/>
            <w:tcMar>
              <w:top w:w="70" w:type="dxa"/>
              <w:start w:w="110" w:type="dxa"/>
              <w:bottom w:w="70" w:type="dxa"/>
              <w:end w:w="110" w:type="dxa"/>
            </w:tcMar>
          </w:tcPr>
          <w:p>
            <w:pPr>
              <w:widowControl/>
              <w:spacing w:after="0"/>
            </w:pPr>
            <w:r>
              <w:rPr>
                <w:rFonts w:ascii="Arial" w:hAnsi="Arial"/>
                <w:sz w:val="17"/>
              </w:rPr>
              <w:t>17</w:t>
            </w:r>
          </w:p>
        </w:tc>
        <w:tc>
          <w:tcPr>
            <w:tcW w:type="dxa" w:w="3600"/>
            <w:vAlign w:val="center"/>
            <w:tcMar>
              <w:top w:w="70" w:type="dxa"/>
              <w:start w:w="110" w:type="dxa"/>
              <w:bottom w:w="70" w:type="dxa"/>
              <w:end w:w="110" w:type="dxa"/>
            </w:tcMar>
          </w:tcPr>
          <w:p>
            <w:pPr>
              <w:widowControl/>
              <w:spacing w:after="0"/>
            </w:pPr>
            <w:r>
              <w:rPr>
                <w:rFonts w:ascii="Arial" w:hAnsi="Arial"/>
                <w:sz w:val="17"/>
              </w:rPr>
              <w:t>6,973</w:t>
            </w:r>
          </w:p>
        </w:tc>
      </w:tr>
      <w:tr>
        <w:trPr>
          <w:cantSplit/>
        </w:trPr>
        <w:tc>
          <w:tcPr>
            <w:tcW w:type="dxa" w:w="1872"/>
            <w:vAlign w:val="center"/>
            <w:tcMar>
              <w:top w:w="70" w:type="dxa"/>
              <w:start w:w="110" w:type="dxa"/>
              <w:bottom w:w="70" w:type="dxa"/>
              <w:end w:w="110" w:type="dxa"/>
            </w:tcMar>
            <w:shd w:fill="F4F6F7"/>
          </w:tcPr>
          <w:p>
            <w:pPr>
              <w:widowControl/>
              <w:spacing w:after="0"/>
            </w:pPr>
            <w:r>
              <w:rPr>
                <w:rFonts w:ascii="Arial" w:hAnsi="Arial"/>
                <w:sz w:val="17"/>
              </w:rPr>
              <w:t>18</w:t>
            </w:r>
          </w:p>
        </w:tc>
        <w:tc>
          <w:tcPr>
            <w:tcW w:type="dxa" w:w="3600"/>
            <w:vAlign w:val="center"/>
            <w:tcMar>
              <w:top w:w="70" w:type="dxa"/>
              <w:start w:w="110" w:type="dxa"/>
              <w:bottom w:w="70" w:type="dxa"/>
              <w:end w:w="110" w:type="dxa"/>
            </w:tcMar>
            <w:shd w:fill="F4F6F7"/>
          </w:tcPr>
          <w:p>
            <w:pPr>
              <w:widowControl/>
              <w:spacing w:after="0"/>
            </w:pPr>
            <w:r>
              <w:rPr>
                <w:rFonts w:ascii="Arial" w:hAnsi="Arial"/>
                <w:sz w:val="17"/>
              </w:rPr>
              <w:t>7,043</w:t>
            </w:r>
          </w:p>
        </w:tc>
      </w:tr>
      <w:tr>
        <w:trPr>
          <w:cantSplit/>
        </w:trPr>
        <w:tc>
          <w:tcPr>
            <w:tcW w:type="dxa" w:w="1872"/>
            <w:vAlign w:val="center"/>
            <w:tcMar>
              <w:top w:w="70" w:type="dxa"/>
              <w:start w:w="110" w:type="dxa"/>
              <w:bottom w:w="70" w:type="dxa"/>
              <w:end w:w="110" w:type="dxa"/>
            </w:tcMar>
          </w:tcPr>
          <w:p>
            <w:pPr>
              <w:widowControl/>
              <w:spacing w:after="0"/>
            </w:pPr>
            <w:r>
              <w:rPr>
                <w:rFonts w:ascii="Arial" w:hAnsi="Arial"/>
                <w:sz w:val="17"/>
              </w:rPr>
              <w:t>19</w:t>
            </w:r>
          </w:p>
        </w:tc>
        <w:tc>
          <w:tcPr>
            <w:tcW w:type="dxa" w:w="3600"/>
            <w:vAlign w:val="center"/>
            <w:tcMar>
              <w:top w:w="70" w:type="dxa"/>
              <w:start w:w="110" w:type="dxa"/>
              <w:bottom w:w="70" w:type="dxa"/>
              <w:end w:w="110" w:type="dxa"/>
            </w:tcMar>
          </w:tcPr>
          <w:p>
            <w:pPr>
              <w:widowControl/>
              <w:spacing w:after="0"/>
            </w:pPr>
            <w:r>
              <w:rPr>
                <w:rFonts w:ascii="Arial" w:hAnsi="Arial"/>
                <w:sz w:val="17"/>
              </w:rPr>
              <w:t>7,113</w:t>
            </w:r>
          </w:p>
        </w:tc>
      </w:tr>
    </w:tbl>
    <w:p>
      <w:pPr>
        <w:widowControl/>
      </w:pPr>
      <w:r>
        <w:t>Starting in quota year 19, the quantity shall remain at 7,113 MT per year. (b) Only goods in bulk (not for retail sale) used as ingredients for further food processing (secondary manufacturing) shall be imported under this TRQ. (c) This paragraph applies to goods classified in the following tariff items: 0406.10.10, 0406.20.11, 0406.20.91, 0406.30.10, 0406.40.10, 0406.90.11, 0406.90.21, 0406.90.31, 0406.90.41, 0406.90.51, 0406.90.61, 0406.90.71, 0406.90.81, 0406.90.91, 0406.90.93, 0406.90.95, and 0406.90.98. (d) This TRQ shall be allocated on a calendar year basis. 10.</w:t>
      </w:r>
    </w:p>
    <w:p>
      <w:pPr>
        <w:widowControl/>
      </w:pPr>
      <w:r>
        <w:t>TRQ-CA6: Cheeses of All Types (a) The aggregate quantity of originating goods described in subparagraph (b) that shall be permitted to enter duty-free in each quota year under this TRQ is:</w:t>
      </w:r>
    </w:p>
    <w:tbl>
      <w:tblPr>
        <w:tblStyle w:val="TableGrid"/>
        <w:tblW w:type="auto" w:w="0"/>
        <w:jc w:val="center"/>
        <w:tblLayout w:type="autofit"/>
        <w:tblLook w:firstColumn="1" w:firstRow="1" w:lastColumn="0" w:lastRow="0" w:noHBand="0" w:noVBand="1" w:val="04A0"/>
      </w:tblPr>
      <w:tblGrid>
        <w:gridCol w:w="4680"/>
        <w:gridCol w:w="4680"/>
      </w:tblGrid>
      <w:tr>
        <w:trPr>
          <w:tblHeader w:val="true"/>
          <w:cantSplit/>
          <w:tblHeader w:val="true"/>
        </w:trPr>
        <w:tc>
          <w:tcPr>
            <w:tcW w:type="dxa" w:w="1872"/>
            <w:vAlign w:val="center"/>
            <w:shd w:fill="233746"/>
          </w:tcPr>
          <w:p>
            <w:pPr>
              <w:spacing w:after="0"/>
            </w:pPr>
            <w:r>
              <w:rPr>
                <w:rFonts w:ascii="Arial" w:hAnsi="Arial"/>
                <w:b/>
                <w:color w:val="FFFFFF"/>
                <w:sz w:val="17"/>
              </w:rPr>
              <w:t>Quota Year</w:t>
            </w:r>
          </w:p>
        </w:tc>
        <w:tc>
          <w:tcPr>
            <w:tcW w:type="dxa" w:w="3600"/>
            <w:vAlign w:val="center"/>
            <w:shd w:fill="233746"/>
          </w:tcPr>
          <w:p>
            <w:pPr>
              <w:spacing w:after="0"/>
            </w:pPr>
            <w:r>
              <w:rPr>
                <w:rFonts w:ascii="Arial" w:hAnsi="Arial"/>
                <w:b/>
                <w:color w:val="FFFFFF"/>
                <w:sz w:val="17"/>
              </w:rPr>
              <w:t>Aggregate Quantity (MT)</w:t>
            </w:r>
          </w:p>
        </w:tc>
      </w:tr>
      <w:tr>
        <w:trPr>
          <w:cantSplit/>
        </w:trPr>
        <w:tc>
          <w:tcPr>
            <w:tcW w:type="dxa" w:w="1872"/>
            <w:vAlign w:val="center"/>
            <w:tcMar>
              <w:top w:w="70" w:type="dxa"/>
              <w:start w:w="110" w:type="dxa"/>
              <w:bottom w:w="70" w:type="dxa"/>
              <w:end w:w="110" w:type="dxa"/>
            </w:tcMar>
          </w:tcPr>
          <w:p>
            <w:pPr>
              <w:widowControl/>
              <w:spacing w:after="0"/>
            </w:pPr>
            <w:r>
              <w:rPr>
                <w:rFonts w:ascii="Arial" w:hAnsi="Arial"/>
                <w:sz w:val="17"/>
              </w:rPr>
              <w:t>1</w:t>
            </w:r>
          </w:p>
        </w:tc>
        <w:tc>
          <w:tcPr>
            <w:tcW w:type="dxa" w:w="3600"/>
            <w:vAlign w:val="center"/>
            <w:tcMar>
              <w:top w:w="70" w:type="dxa"/>
              <w:start w:w="110" w:type="dxa"/>
              <w:bottom w:w="70" w:type="dxa"/>
              <w:end w:w="110" w:type="dxa"/>
            </w:tcMar>
          </w:tcPr>
          <w:p>
            <w:pPr>
              <w:widowControl/>
              <w:spacing w:after="0"/>
            </w:pPr>
            <w:r>
              <w:rPr>
                <w:rFonts w:ascii="Arial" w:hAnsi="Arial"/>
                <w:sz w:val="17"/>
              </w:rPr>
              <w:t>1,042</w:t>
            </w:r>
          </w:p>
        </w:tc>
      </w:tr>
      <w:tr>
        <w:trPr>
          <w:cantSplit/>
        </w:trPr>
        <w:tc>
          <w:tcPr>
            <w:tcW w:type="dxa" w:w="1872"/>
            <w:vAlign w:val="center"/>
            <w:tcMar>
              <w:top w:w="70" w:type="dxa"/>
              <w:start w:w="110" w:type="dxa"/>
              <w:bottom w:w="70" w:type="dxa"/>
              <w:end w:w="110" w:type="dxa"/>
            </w:tcMar>
            <w:shd w:fill="F4F6F7"/>
          </w:tcPr>
          <w:p>
            <w:pPr>
              <w:widowControl/>
              <w:spacing w:after="0"/>
            </w:pPr>
            <w:r>
              <w:rPr>
                <w:rFonts w:ascii="Arial" w:hAnsi="Arial"/>
                <w:sz w:val="17"/>
              </w:rPr>
              <w:t>2</w:t>
            </w:r>
          </w:p>
        </w:tc>
        <w:tc>
          <w:tcPr>
            <w:tcW w:type="dxa" w:w="3600"/>
            <w:vAlign w:val="center"/>
            <w:tcMar>
              <w:top w:w="70" w:type="dxa"/>
              <w:start w:w="110" w:type="dxa"/>
              <w:bottom w:w="70" w:type="dxa"/>
              <w:end w:w="110" w:type="dxa"/>
            </w:tcMar>
            <w:shd w:fill="F4F6F7"/>
          </w:tcPr>
          <w:p>
            <w:pPr>
              <w:widowControl/>
              <w:spacing w:after="0"/>
            </w:pPr>
            <w:r>
              <w:rPr>
                <w:rFonts w:ascii="Arial" w:hAnsi="Arial"/>
                <w:sz w:val="17"/>
              </w:rPr>
              <w:t>2,083</w:t>
            </w:r>
          </w:p>
        </w:tc>
      </w:tr>
      <w:tr>
        <w:trPr>
          <w:cantSplit/>
        </w:trPr>
        <w:tc>
          <w:tcPr>
            <w:tcW w:type="dxa" w:w="1872"/>
            <w:vAlign w:val="center"/>
            <w:tcMar>
              <w:top w:w="70" w:type="dxa"/>
              <w:start w:w="110" w:type="dxa"/>
              <w:bottom w:w="70" w:type="dxa"/>
              <w:end w:w="110" w:type="dxa"/>
            </w:tcMar>
          </w:tcPr>
          <w:p>
            <w:pPr>
              <w:widowControl/>
              <w:spacing w:after="0"/>
            </w:pPr>
            <w:r>
              <w:rPr>
                <w:rFonts w:ascii="Arial" w:hAnsi="Arial"/>
                <w:sz w:val="17"/>
              </w:rPr>
              <w:t>3</w:t>
            </w:r>
          </w:p>
        </w:tc>
        <w:tc>
          <w:tcPr>
            <w:tcW w:type="dxa" w:w="3600"/>
            <w:vAlign w:val="center"/>
            <w:tcMar>
              <w:top w:w="70" w:type="dxa"/>
              <w:start w:w="110" w:type="dxa"/>
              <w:bottom w:w="70" w:type="dxa"/>
              <w:end w:w="110" w:type="dxa"/>
            </w:tcMar>
          </w:tcPr>
          <w:p>
            <w:pPr>
              <w:widowControl/>
              <w:spacing w:after="0"/>
            </w:pPr>
            <w:r>
              <w:rPr>
                <w:rFonts w:ascii="Arial" w:hAnsi="Arial"/>
                <w:sz w:val="17"/>
              </w:rPr>
              <w:t>3,125</w:t>
            </w:r>
          </w:p>
        </w:tc>
      </w:tr>
      <w:tr>
        <w:trPr>
          <w:cantSplit/>
        </w:trPr>
        <w:tc>
          <w:tcPr>
            <w:tcW w:type="dxa" w:w="1872"/>
            <w:vAlign w:val="center"/>
            <w:tcMar>
              <w:top w:w="70" w:type="dxa"/>
              <w:start w:w="110" w:type="dxa"/>
              <w:bottom w:w="70" w:type="dxa"/>
              <w:end w:w="110" w:type="dxa"/>
            </w:tcMar>
            <w:shd w:fill="F4F6F7"/>
          </w:tcPr>
          <w:p>
            <w:pPr>
              <w:widowControl/>
              <w:spacing w:after="0"/>
            </w:pPr>
            <w:r>
              <w:rPr>
                <w:rFonts w:ascii="Arial" w:hAnsi="Arial"/>
                <w:sz w:val="17"/>
              </w:rPr>
              <w:t>4</w:t>
            </w:r>
          </w:p>
        </w:tc>
        <w:tc>
          <w:tcPr>
            <w:tcW w:type="dxa" w:w="3600"/>
            <w:vAlign w:val="center"/>
            <w:tcMar>
              <w:top w:w="70" w:type="dxa"/>
              <w:start w:w="110" w:type="dxa"/>
              <w:bottom w:w="70" w:type="dxa"/>
              <w:end w:w="110" w:type="dxa"/>
            </w:tcMar>
            <w:shd w:fill="F4F6F7"/>
          </w:tcPr>
          <w:p>
            <w:pPr>
              <w:widowControl/>
              <w:spacing w:after="0"/>
            </w:pPr>
            <w:r>
              <w:rPr>
                <w:rFonts w:ascii="Arial" w:hAnsi="Arial"/>
                <w:sz w:val="17"/>
              </w:rPr>
              <w:t>4,167</w:t>
            </w:r>
          </w:p>
        </w:tc>
      </w:tr>
      <w:tr>
        <w:trPr>
          <w:cantSplit/>
        </w:trPr>
        <w:tc>
          <w:tcPr>
            <w:tcW w:type="dxa" w:w="1872"/>
            <w:vAlign w:val="center"/>
            <w:tcMar>
              <w:top w:w="70" w:type="dxa"/>
              <w:start w:w="110" w:type="dxa"/>
              <w:bottom w:w="70" w:type="dxa"/>
              <w:end w:w="110" w:type="dxa"/>
            </w:tcMar>
          </w:tcPr>
          <w:p>
            <w:pPr>
              <w:widowControl/>
              <w:spacing w:after="0"/>
            </w:pPr>
            <w:r>
              <w:rPr>
                <w:rFonts w:ascii="Arial" w:hAnsi="Arial"/>
                <w:sz w:val="17"/>
              </w:rPr>
              <w:t>5</w:t>
            </w:r>
          </w:p>
        </w:tc>
        <w:tc>
          <w:tcPr>
            <w:tcW w:type="dxa" w:w="3600"/>
            <w:vAlign w:val="center"/>
            <w:tcMar>
              <w:top w:w="70" w:type="dxa"/>
              <w:start w:w="110" w:type="dxa"/>
              <w:bottom w:w="70" w:type="dxa"/>
              <w:end w:w="110" w:type="dxa"/>
            </w:tcMar>
          </w:tcPr>
          <w:p>
            <w:pPr>
              <w:widowControl/>
              <w:spacing w:after="0"/>
            </w:pPr>
            <w:r>
              <w:rPr>
                <w:rFonts w:ascii="Arial" w:hAnsi="Arial"/>
                <w:sz w:val="17"/>
              </w:rPr>
              <w:t>5,208</w:t>
            </w:r>
          </w:p>
        </w:tc>
      </w:tr>
      <w:tr>
        <w:trPr>
          <w:cantSplit/>
        </w:trPr>
        <w:tc>
          <w:tcPr>
            <w:tcW w:type="dxa" w:w="1872"/>
            <w:vAlign w:val="center"/>
            <w:tcMar>
              <w:top w:w="70" w:type="dxa"/>
              <w:start w:w="110" w:type="dxa"/>
              <w:bottom w:w="70" w:type="dxa"/>
              <w:end w:w="110" w:type="dxa"/>
            </w:tcMar>
            <w:shd w:fill="F4F6F7"/>
          </w:tcPr>
          <w:p>
            <w:pPr>
              <w:widowControl/>
              <w:spacing w:after="0"/>
            </w:pPr>
            <w:r>
              <w:rPr>
                <w:rFonts w:ascii="Arial" w:hAnsi="Arial"/>
                <w:sz w:val="17"/>
              </w:rPr>
              <w:t>6</w:t>
            </w:r>
          </w:p>
        </w:tc>
        <w:tc>
          <w:tcPr>
            <w:tcW w:type="dxa" w:w="3600"/>
            <w:vAlign w:val="center"/>
            <w:tcMar>
              <w:top w:w="70" w:type="dxa"/>
              <w:start w:w="110" w:type="dxa"/>
              <w:bottom w:w="70" w:type="dxa"/>
              <w:end w:w="110" w:type="dxa"/>
            </w:tcMar>
            <w:shd w:fill="F4F6F7"/>
          </w:tcPr>
          <w:p>
            <w:pPr>
              <w:widowControl/>
              <w:spacing w:after="0"/>
            </w:pPr>
            <w:r>
              <w:rPr>
                <w:rFonts w:ascii="Arial" w:hAnsi="Arial"/>
                <w:sz w:val="17"/>
              </w:rPr>
              <w:t>6,250</w:t>
            </w:r>
          </w:p>
        </w:tc>
      </w:tr>
      <w:tr>
        <w:trPr>
          <w:cantSplit/>
        </w:trPr>
        <w:tc>
          <w:tcPr>
            <w:tcW w:type="dxa" w:w="1872"/>
            <w:vAlign w:val="center"/>
            <w:tcMar>
              <w:top w:w="70" w:type="dxa"/>
              <w:start w:w="110" w:type="dxa"/>
              <w:bottom w:w="70" w:type="dxa"/>
              <w:end w:w="110" w:type="dxa"/>
            </w:tcMar>
          </w:tcPr>
          <w:p>
            <w:pPr>
              <w:widowControl/>
              <w:spacing w:after="0"/>
            </w:pPr>
            <w:r>
              <w:rPr>
                <w:rFonts w:ascii="Arial" w:hAnsi="Arial"/>
                <w:sz w:val="17"/>
              </w:rPr>
              <w:t>7</w:t>
            </w:r>
          </w:p>
        </w:tc>
        <w:tc>
          <w:tcPr>
            <w:tcW w:type="dxa" w:w="3600"/>
            <w:vAlign w:val="center"/>
            <w:tcMar>
              <w:top w:w="70" w:type="dxa"/>
              <w:start w:w="110" w:type="dxa"/>
              <w:bottom w:w="70" w:type="dxa"/>
              <w:end w:w="110" w:type="dxa"/>
            </w:tcMar>
          </w:tcPr>
          <w:p>
            <w:pPr>
              <w:widowControl/>
              <w:spacing w:after="0"/>
            </w:pPr>
            <w:r>
              <w:rPr>
                <w:rFonts w:ascii="Arial" w:hAnsi="Arial"/>
                <w:sz w:val="17"/>
              </w:rPr>
              <w:t>6,313</w:t>
            </w:r>
          </w:p>
        </w:tc>
      </w:tr>
      <w:tr>
        <w:trPr>
          <w:cantSplit/>
        </w:trPr>
        <w:tc>
          <w:tcPr>
            <w:tcW w:type="dxa" w:w="1872"/>
            <w:vAlign w:val="center"/>
            <w:tcMar>
              <w:top w:w="70" w:type="dxa"/>
              <w:start w:w="110" w:type="dxa"/>
              <w:bottom w:w="70" w:type="dxa"/>
              <w:end w:w="110" w:type="dxa"/>
            </w:tcMar>
            <w:shd w:fill="F4F6F7"/>
          </w:tcPr>
          <w:p>
            <w:pPr>
              <w:widowControl/>
              <w:spacing w:after="0"/>
            </w:pPr>
            <w:r>
              <w:rPr>
                <w:rFonts w:ascii="Arial" w:hAnsi="Arial"/>
                <w:sz w:val="17"/>
              </w:rPr>
              <w:t>8</w:t>
            </w:r>
          </w:p>
        </w:tc>
        <w:tc>
          <w:tcPr>
            <w:tcW w:type="dxa" w:w="3600"/>
            <w:vAlign w:val="center"/>
            <w:tcMar>
              <w:top w:w="70" w:type="dxa"/>
              <w:start w:w="110" w:type="dxa"/>
              <w:bottom w:w="70" w:type="dxa"/>
              <w:end w:w="110" w:type="dxa"/>
            </w:tcMar>
            <w:shd w:fill="F4F6F7"/>
          </w:tcPr>
          <w:p>
            <w:pPr>
              <w:widowControl/>
              <w:spacing w:after="0"/>
            </w:pPr>
            <w:r>
              <w:rPr>
                <w:rFonts w:ascii="Arial" w:hAnsi="Arial"/>
                <w:sz w:val="17"/>
              </w:rPr>
              <w:t>6,376</w:t>
            </w:r>
          </w:p>
        </w:tc>
      </w:tr>
      <w:tr>
        <w:trPr>
          <w:cantSplit/>
        </w:trPr>
        <w:tc>
          <w:tcPr>
            <w:tcW w:type="dxa" w:w="1872"/>
            <w:vAlign w:val="center"/>
            <w:tcMar>
              <w:top w:w="70" w:type="dxa"/>
              <w:start w:w="110" w:type="dxa"/>
              <w:bottom w:w="70" w:type="dxa"/>
              <w:end w:w="110" w:type="dxa"/>
            </w:tcMar>
          </w:tcPr>
          <w:p>
            <w:pPr>
              <w:widowControl/>
              <w:spacing w:after="0"/>
            </w:pPr>
            <w:r>
              <w:rPr>
                <w:rFonts w:ascii="Arial" w:hAnsi="Arial"/>
                <w:sz w:val="17"/>
              </w:rPr>
              <w:t>9</w:t>
            </w:r>
          </w:p>
        </w:tc>
        <w:tc>
          <w:tcPr>
            <w:tcW w:type="dxa" w:w="3600"/>
            <w:vAlign w:val="center"/>
            <w:tcMar>
              <w:top w:w="70" w:type="dxa"/>
              <w:start w:w="110" w:type="dxa"/>
              <w:bottom w:w="70" w:type="dxa"/>
              <w:end w:w="110" w:type="dxa"/>
            </w:tcMar>
          </w:tcPr>
          <w:p>
            <w:pPr>
              <w:widowControl/>
              <w:spacing w:after="0"/>
            </w:pPr>
            <w:r>
              <w:rPr>
                <w:rFonts w:ascii="Arial" w:hAnsi="Arial"/>
                <w:sz w:val="17"/>
              </w:rPr>
              <w:t>6,439</w:t>
            </w:r>
          </w:p>
        </w:tc>
      </w:tr>
      <w:tr>
        <w:trPr>
          <w:cantSplit/>
        </w:trPr>
        <w:tc>
          <w:tcPr>
            <w:tcW w:type="dxa" w:w="1872"/>
            <w:vAlign w:val="center"/>
            <w:tcMar>
              <w:top w:w="70" w:type="dxa"/>
              <w:start w:w="110" w:type="dxa"/>
              <w:bottom w:w="70" w:type="dxa"/>
              <w:end w:w="110" w:type="dxa"/>
            </w:tcMar>
            <w:shd w:fill="F4F6F7"/>
          </w:tcPr>
          <w:p>
            <w:pPr>
              <w:widowControl/>
              <w:spacing w:after="0"/>
            </w:pPr>
            <w:r>
              <w:rPr>
                <w:rFonts w:ascii="Arial" w:hAnsi="Arial"/>
                <w:sz w:val="17"/>
              </w:rPr>
              <w:t>10</w:t>
            </w:r>
          </w:p>
        </w:tc>
        <w:tc>
          <w:tcPr>
            <w:tcW w:type="dxa" w:w="3600"/>
            <w:vAlign w:val="center"/>
            <w:tcMar>
              <w:top w:w="70" w:type="dxa"/>
              <w:start w:w="110" w:type="dxa"/>
              <w:bottom w:w="70" w:type="dxa"/>
              <w:end w:w="110" w:type="dxa"/>
            </w:tcMar>
            <w:shd w:fill="F4F6F7"/>
          </w:tcPr>
          <w:p>
            <w:pPr>
              <w:widowControl/>
              <w:spacing w:after="0"/>
            </w:pPr>
            <w:r>
              <w:rPr>
                <w:rFonts w:ascii="Arial" w:hAnsi="Arial"/>
                <w:sz w:val="17"/>
              </w:rPr>
              <w:t>6,504</w:t>
            </w:r>
          </w:p>
        </w:tc>
      </w:tr>
      <w:tr>
        <w:trPr>
          <w:cantSplit/>
        </w:trPr>
        <w:tc>
          <w:tcPr>
            <w:tcW w:type="dxa" w:w="1872"/>
            <w:vAlign w:val="center"/>
            <w:tcMar>
              <w:top w:w="70" w:type="dxa"/>
              <w:start w:w="110" w:type="dxa"/>
              <w:bottom w:w="70" w:type="dxa"/>
              <w:end w:w="110" w:type="dxa"/>
            </w:tcMar>
          </w:tcPr>
          <w:p>
            <w:pPr>
              <w:widowControl/>
              <w:spacing w:after="0"/>
            </w:pPr>
            <w:r>
              <w:rPr>
                <w:rFonts w:ascii="Arial" w:hAnsi="Arial"/>
                <w:sz w:val="17"/>
              </w:rPr>
              <w:t>11</w:t>
            </w:r>
          </w:p>
        </w:tc>
        <w:tc>
          <w:tcPr>
            <w:tcW w:type="dxa" w:w="3600"/>
            <w:vAlign w:val="center"/>
            <w:tcMar>
              <w:top w:w="70" w:type="dxa"/>
              <w:start w:w="110" w:type="dxa"/>
              <w:bottom w:w="70" w:type="dxa"/>
              <w:end w:w="110" w:type="dxa"/>
            </w:tcMar>
          </w:tcPr>
          <w:p>
            <w:pPr>
              <w:widowControl/>
              <w:spacing w:after="0"/>
            </w:pPr>
            <w:r>
              <w:rPr>
                <w:rFonts w:ascii="Arial" w:hAnsi="Arial"/>
                <w:sz w:val="17"/>
              </w:rPr>
              <w:t>6,569</w:t>
            </w:r>
          </w:p>
        </w:tc>
      </w:tr>
      <w:tr>
        <w:trPr>
          <w:cantSplit/>
        </w:trPr>
        <w:tc>
          <w:tcPr>
            <w:tcW w:type="dxa" w:w="1872"/>
            <w:vAlign w:val="center"/>
            <w:tcMar>
              <w:top w:w="70" w:type="dxa"/>
              <w:start w:w="110" w:type="dxa"/>
              <w:bottom w:w="70" w:type="dxa"/>
              <w:end w:w="110" w:type="dxa"/>
            </w:tcMar>
            <w:shd w:fill="F4F6F7"/>
          </w:tcPr>
          <w:p>
            <w:pPr>
              <w:widowControl/>
              <w:spacing w:after="0"/>
            </w:pPr>
            <w:r>
              <w:rPr>
                <w:rFonts w:ascii="Arial" w:hAnsi="Arial"/>
                <w:sz w:val="17"/>
              </w:rPr>
              <w:t>12</w:t>
            </w:r>
          </w:p>
        </w:tc>
        <w:tc>
          <w:tcPr>
            <w:tcW w:type="dxa" w:w="3600"/>
            <w:vAlign w:val="center"/>
            <w:tcMar>
              <w:top w:w="70" w:type="dxa"/>
              <w:start w:w="110" w:type="dxa"/>
              <w:bottom w:w="70" w:type="dxa"/>
              <w:end w:w="110" w:type="dxa"/>
            </w:tcMar>
            <w:shd w:fill="F4F6F7"/>
          </w:tcPr>
          <w:p>
            <w:pPr>
              <w:widowControl/>
              <w:spacing w:after="0"/>
            </w:pPr>
            <w:r>
              <w:rPr>
                <w:rFonts w:ascii="Arial" w:hAnsi="Arial"/>
                <w:sz w:val="17"/>
              </w:rPr>
              <w:t>6,635</w:t>
            </w:r>
          </w:p>
        </w:tc>
      </w:tr>
      <w:tr>
        <w:trPr>
          <w:cantSplit/>
        </w:trPr>
        <w:tc>
          <w:tcPr>
            <w:tcW w:type="dxa" w:w="1872"/>
            <w:vAlign w:val="center"/>
            <w:tcMar>
              <w:top w:w="70" w:type="dxa"/>
              <w:start w:w="110" w:type="dxa"/>
              <w:bottom w:w="70" w:type="dxa"/>
              <w:end w:w="110" w:type="dxa"/>
            </w:tcMar>
          </w:tcPr>
          <w:p>
            <w:pPr>
              <w:widowControl/>
              <w:spacing w:after="0"/>
            </w:pPr>
            <w:r>
              <w:rPr>
                <w:rFonts w:ascii="Arial" w:hAnsi="Arial"/>
                <w:sz w:val="17"/>
              </w:rPr>
              <w:t>13</w:t>
            </w:r>
          </w:p>
        </w:tc>
        <w:tc>
          <w:tcPr>
            <w:tcW w:type="dxa" w:w="3600"/>
            <w:vAlign w:val="center"/>
            <w:tcMar>
              <w:top w:w="70" w:type="dxa"/>
              <w:start w:w="110" w:type="dxa"/>
              <w:bottom w:w="70" w:type="dxa"/>
              <w:end w:w="110" w:type="dxa"/>
            </w:tcMar>
          </w:tcPr>
          <w:p>
            <w:pPr>
              <w:widowControl/>
              <w:spacing w:after="0"/>
            </w:pPr>
            <w:r>
              <w:rPr>
                <w:rFonts w:ascii="Arial" w:hAnsi="Arial"/>
                <w:sz w:val="17"/>
              </w:rPr>
              <w:t>6,701</w:t>
            </w:r>
          </w:p>
        </w:tc>
      </w:tr>
      <w:tr>
        <w:trPr>
          <w:cantSplit/>
        </w:trPr>
        <w:tc>
          <w:tcPr>
            <w:tcW w:type="dxa" w:w="1872"/>
            <w:vAlign w:val="center"/>
            <w:tcMar>
              <w:top w:w="70" w:type="dxa"/>
              <w:start w:w="110" w:type="dxa"/>
              <w:bottom w:w="70" w:type="dxa"/>
              <w:end w:w="110" w:type="dxa"/>
            </w:tcMar>
            <w:shd w:fill="F4F6F7"/>
          </w:tcPr>
          <w:p>
            <w:pPr>
              <w:widowControl/>
              <w:spacing w:after="0"/>
            </w:pPr>
            <w:r>
              <w:rPr>
                <w:rFonts w:ascii="Arial" w:hAnsi="Arial"/>
                <w:sz w:val="17"/>
              </w:rPr>
              <w:t>14</w:t>
            </w:r>
          </w:p>
        </w:tc>
        <w:tc>
          <w:tcPr>
            <w:tcW w:type="dxa" w:w="3600"/>
            <w:vAlign w:val="center"/>
            <w:tcMar>
              <w:top w:w="70" w:type="dxa"/>
              <w:start w:w="110" w:type="dxa"/>
              <w:bottom w:w="70" w:type="dxa"/>
              <w:end w:w="110" w:type="dxa"/>
            </w:tcMar>
            <w:shd w:fill="F4F6F7"/>
          </w:tcPr>
          <w:p>
            <w:pPr>
              <w:widowControl/>
              <w:spacing w:after="0"/>
            </w:pPr>
            <w:r>
              <w:rPr>
                <w:rFonts w:ascii="Arial" w:hAnsi="Arial"/>
                <w:sz w:val="17"/>
              </w:rPr>
              <w:t>6,768</w:t>
            </w:r>
          </w:p>
        </w:tc>
      </w:tr>
      <w:tr>
        <w:trPr>
          <w:cantSplit/>
        </w:trPr>
        <w:tc>
          <w:tcPr>
            <w:tcW w:type="dxa" w:w="1872"/>
            <w:vAlign w:val="center"/>
            <w:tcMar>
              <w:top w:w="70" w:type="dxa"/>
              <w:start w:w="110" w:type="dxa"/>
              <w:bottom w:w="70" w:type="dxa"/>
              <w:end w:w="110" w:type="dxa"/>
            </w:tcMar>
          </w:tcPr>
          <w:p>
            <w:pPr>
              <w:widowControl/>
              <w:spacing w:after="0"/>
            </w:pPr>
            <w:r>
              <w:rPr>
                <w:rFonts w:ascii="Arial" w:hAnsi="Arial"/>
                <w:sz w:val="17"/>
              </w:rPr>
              <w:t>15</w:t>
            </w:r>
          </w:p>
        </w:tc>
        <w:tc>
          <w:tcPr>
            <w:tcW w:type="dxa" w:w="3600"/>
            <w:vAlign w:val="center"/>
            <w:tcMar>
              <w:top w:w="70" w:type="dxa"/>
              <w:start w:w="110" w:type="dxa"/>
              <w:bottom w:w="70" w:type="dxa"/>
              <w:end w:w="110" w:type="dxa"/>
            </w:tcMar>
          </w:tcPr>
          <w:p>
            <w:pPr>
              <w:widowControl/>
              <w:spacing w:after="0"/>
            </w:pPr>
            <w:r>
              <w:rPr>
                <w:rFonts w:ascii="Arial" w:hAnsi="Arial"/>
                <w:sz w:val="17"/>
              </w:rPr>
              <w:t>6,836</w:t>
            </w:r>
          </w:p>
        </w:tc>
      </w:tr>
      <w:tr>
        <w:trPr>
          <w:cantSplit/>
        </w:trPr>
        <w:tc>
          <w:tcPr>
            <w:tcW w:type="dxa" w:w="1872"/>
            <w:vAlign w:val="center"/>
            <w:tcMar>
              <w:top w:w="70" w:type="dxa"/>
              <w:start w:w="110" w:type="dxa"/>
              <w:bottom w:w="70" w:type="dxa"/>
              <w:end w:w="110" w:type="dxa"/>
            </w:tcMar>
            <w:shd w:fill="F4F6F7"/>
          </w:tcPr>
          <w:p>
            <w:pPr>
              <w:widowControl/>
              <w:spacing w:after="0"/>
            </w:pPr>
            <w:r>
              <w:rPr>
                <w:rFonts w:ascii="Arial" w:hAnsi="Arial"/>
                <w:sz w:val="17"/>
              </w:rPr>
              <w:t>16</w:t>
            </w:r>
          </w:p>
        </w:tc>
        <w:tc>
          <w:tcPr>
            <w:tcW w:type="dxa" w:w="3600"/>
            <w:vAlign w:val="center"/>
            <w:tcMar>
              <w:top w:w="70" w:type="dxa"/>
              <w:start w:w="110" w:type="dxa"/>
              <w:bottom w:w="70" w:type="dxa"/>
              <w:end w:w="110" w:type="dxa"/>
            </w:tcMar>
            <w:shd w:fill="F4F6F7"/>
          </w:tcPr>
          <w:p>
            <w:pPr>
              <w:widowControl/>
              <w:spacing w:after="0"/>
            </w:pPr>
            <w:r>
              <w:rPr>
                <w:rFonts w:ascii="Arial" w:hAnsi="Arial"/>
                <w:sz w:val="17"/>
              </w:rPr>
              <w:t>6,904</w:t>
            </w:r>
          </w:p>
        </w:tc>
      </w:tr>
      <w:tr>
        <w:trPr>
          <w:cantSplit/>
        </w:trPr>
        <w:tc>
          <w:tcPr>
            <w:tcW w:type="dxa" w:w="1872"/>
            <w:vAlign w:val="center"/>
            <w:tcMar>
              <w:top w:w="70" w:type="dxa"/>
              <w:start w:w="110" w:type="dxa"/>
              <w:bottom w:w="70" w:type="dxa"/>
              <w:end w:w="110" w:type="dxa"/>
            </w:tcMar>
          </w:tcPr>
          <w:p>
            <w:pPr>
              <w:widowControl/>
              <w:spacing w:after="0"/>
            </w:pPr>
            <w:r>
              <w:rPr>
                <w:rFonts w:ascii="Arial" w:hAnsi="Arial"/>
                <w:sz w:val="17"/>
              </w:rPr>
              <w:t>17</w:t>
            </w:r>
          </w:p>
        </w:tc>
        <w:tc>
          <w:tcPr>
            <w:tcW w:type="dxa" w:w="3600"/>
            <w:vAlign w:val="center"/>
            <w:tcMar>
              <w:top w:w="70" w:type="dxa"/>
              <w:start w:w="110" w:type="dxa"/>
              <w:bottom w:w="70" w:type="dxa"/>
              <w:end w:w="110" w:type="dxa"/>
            </w:tcMar>
          </w:tcPr>
          <w:p>
            <w:pPr>
              <w:widowControl/>
              <w:spacing w:after="0"/>
            </w:pPr>
            <w:r>
              <w:rPr>
                <w:rFonts w:ascii="Arial" w:hAnsi="Arial"/>
                <w:sz w:val="17"/>
              </w:rPr>
              <w:t>6,973</w:t>
            </w:r>
          </w:p>
        </w:tc>
      </w:tr>
      <w:tr>
        <w:trPr>
          <w:cantSplit/>
        </w:trPr>
        <w:tc>
          <w:tcPr>
            <w:tcW w:type="dxa" w:w="1872"/>
            <w:vAlign w:val="center"/>
            <w:tcMar>
              <w:top w:w="70" w:type="dxa"/>
              <w:start w:w="110" w:type="dxa"/>
              <w:bottom w:w="70" w:type="dxa"/>
              <w:end w:w="110" w:type="dxa"/>
            </w:tcMar>
            <w:shd w:fill="F4F6F7"/>
          </w:tcPr>
          <w:p>
            <w:pPr>
              <w:widowControl/>
              <w:spacing w:after="0"/>
            </w:pPr>
            <w:r>
              <w:rPr>
                <w:rFonts w:ascii="Arial" w:hAnsi="Arial"/>
                <w:sz w:val="17"/>
              </w:rPr>
              <w:t>18</w:t>
            </w:r>
          </w:p>
        </w:tc>
        <w:tc>
          <w:tcPr>
            <w:tcW w:type="dxa" w:w="3600"/>
            <w:vAlign w:val="center"/>
            <w:tcMar>
              <w:top w:w="70" w:type="dxa"/>
              <w:start w:w="110" w:type="dxa"/>
              <w:bottom w:w="70" w:type="dxa"/>
              <w:end w:w="110" w:type="dxa"/>
            </w:tcMar>
            <w:shd w:fill="F4F6F7"/>
          </w:tcPr>
          <w:p>
            <w:pPr>
              <w:widowControl/>
              <w:spacing w:after="0"/>
            </w:pPr>
            <w:r>
              <w:rPr>
                <w:rFonts w:ascii="Arial" w:hAnsi="Arial"/>
                <w:sz w:val="17"/>
              </w:rPr>
              <w:t>7,043</w:t>
            </w:r>
          </w:p>
        </w:tc>
      </w:tr>
      <w:tr>
        <w:trPr>
          <w:cantSplit/>
        </w:trPr>
        <w:tc>
          <w:tcPr>
            <w:tcW w:type="dxa" w:w="1872"/>
            <w:vAlign w:val="center"/>
            <w:tcMar>
              <w:top w:w="70" w:type="dxa"/>
              <w:start w:w="110" w:type="dxa"/>
              <w:bottom w:w="70" w:type="dxa"/>
              <w:end w:w="110" w:type="dxa"/>
            </w:tcMar>
          </w:tcPr>
          <w:p>
            <w:pPr>
              <w:widowControl/>
              <w:spacing w:after="0"/>
            </w:pPr>
            <w:r>
              <w:rPr>
                <w:rFonts w:ascii="Arial" w:hAnsi="Arial"/>
                <w:sz w:val="17"/>
              </w:rPr>
              <w:t>19</w:t>
            </w:r>
          </w:p>
        </w:tc>
        <w:tc>
          <w:tcPr>
            <w:tcW w:type="dxa" w:w="3600"/>
            <w:vAlign w:val="center"/>
            <w:tcMar>
              <w:top w:w="70" w:type="dxa"/>
              <w:start w:w="110" w:type="dxa"/>
              <w:bottom w:w="70" w:type="dxa"/>
              <w:end w:w="110" w:type="dxa"/>
            </w:tcMar>
          </w:tcPr>
          <w:p>
            <w:pPr>
              <w:widowControl/>
              <w:spacing w:after="0"/>
            </w:pPr>
            <w:r>
              <w:rPr>
                <w:rFonts w:ascii="Arial" w:hAnsi="Arial"/>
                <w:sz w:val="17"/>
              </w:rPr>
              <w:t>7,113</w:t>
            </w:r>
          </w:p>
        </w:tc>
      </w:tr>
    </w:tbl>
    <w:p>
      <w:pPr>
        <w:widowControl/>
      </w:pPr>
      <w:r>
        <w:t>Starting in quota year 19, the quantity shall remain at 7,113 MT per year. (b) This paragraph applies to goods classified in the following tariff items: 0406.10.10, 0406.20.11, 0406.20.91, 0406.30.10, 0406.40.10, 0406.90.11, 0406.90.21, 0406.90.31, 0406.90.41, 0406.90.51, 0406.90.61, 0406.90.71, 0406.90.81, 0406.90.91, 0406.90.93, 0406.90.95, and 0406.90.98. (c) This TRQ shall be allocated on a calendar year basis. 11. TRQ-CA7: Milk Powders (a) The aggregate quantity of originating goods described in subparagraph (b) that shall be permitted to enter duty-free in each quota year under this TRQ is:</w:t>
      </w:r>
    </w:p>
    <w:tbl>
      <w:tblPr>
        <w:tblStyle w:val="TableGrid"/>
        <w:tblW w:type="auto" w:w="0"/>
        <w:jc w:val="center"/>
        <w:tblLayout w:type="autofit"/>
        <w:tblLook w:firstColumn="1" w:firstRow="1" w:lastColumn="0" w:lastRow="0" w:noHBand="0" w:noVBand="1" w:val="04A0"/>
      </w:tblPr>
      <w:tblGrid>
        <w:gridCol w:w="4680"/>
        <w:gridCol w:w="4680"/>
      </w:tblGrid>
      <w:tr>
        <w:trPr>
          <w:tblHeader w:val="true"/>
          <w:cantSplit/>
          <w:tblHeader w:val="true"/>
        </w:trPr>
        <w:tc>
          <w:tcPr>
            <w:tcW w:type="dxa" w:w="4680"/>
            <w:shd w:fill="233746"/>
          </w:tcPr>
          <w:p>
            <w:pPr>
              <w:spacing w:after="0"/>
            </w:pPr>
            <w:r>
              <w:rPr>
                <w:rFonts w:ascii="Arial" w:hAnsi="Arial"/>
                <w:b/>
                <w:color w:val="FFFFFF"/>
                <w:sz w:val="17"/>
              </w:rPr>
              <w:t>Quota Year</w:t>
            </w:r>
          </w:p>
        </w:tc>
        <w:tc>
          <w:tcPr>
            <w:tcW w:type="dxa" w:w="4680"/>
            <w:shd w:fill="233746"/>
          </w:tcPr>
          <w:p>
            <w:pPr>
              <w:spacing w:after="0"/>
            </w:pPr>
            <w:r>
              <w:rPr>
                <w:rFonts w:ascii="Arial" w:hAnsi="Arial"/>
                <w:b/>
                <w:color w:val="FFFFFF"/>
                <w:sz w:val="17"/>
              </w:rPr>
              <w:t>Aggregate Quantity (MT)</w:t>
            </w:r>
          </w:p>
        </w:tc>
      </w:tr>
      <w:tr>
        <w:tc>
          <w:tcPr>
            <w:tcW w:type="dxa" w:w="4680"/>
            <w:tcMar>
              <w:top w:w="70" w:type="dxa"/>
              <w:start w:w="110" w:type="dxa"/>
              <w:bottom w:w="70" w:type="dxa"/>
              <w:end w:w="110" w:type="dxa"/>
            </w:tcMar>
          </w:tcPr>
          <w:p>
            <w:pPr>
              <w:widowControl/>
              <w:spacing w:after="0"/>
            </w:pPr>
            <w:r>
              <w:rPr>
                <w:rFonts w:ascii="Arial" w:hAnsi="Arial"/>
                <w:sz w:val="17"/>
              </w:rPr>
              <w:t>1</w:t>
            </w:r>
          </w:p>
        </w:tc>
        <w:tc>
          <w:tcPr>
            <w:tcW w:type="dxa" w:w="4680"/>
            <w:tcMar>
              <w:top w:w="70" w:type="dxa"/>
              <w:start w:w="110" w:type="dxa"/>
              <w:bottom w:w="70" w:type="dxa"/>
              <w:end w:w="110" w:type="dxa"/>
            </w:tcMar>
          </w:tcPr>
          <w:p>
            <w:pPr>
              <w:widowControl/>
              <w:spacing w:after="0"/>
            </w:pPr>
            <w:r>
              <w:rPr>
                <w:rFonts w:ascii="Arial" w:hAnsi="Arial"/>
                <w:sz w:val="17"/>
              </w:rPr>
              <w:t>115</w:t>
            </w:r>
          </w:p>
        </w:tc>
      </w:tr>
      <w:tr>
        <w:tc>
          <w:tcPr>
            <w:tcW w:type="dxa" w:w="4680"/>
            <w:tcMar>
              <w:top w:w="70" w:type="dxa"/>
              <w:start w:w="110" w:type="dxa"/>
              <w:bottom w:w="70" w:type="dxa"/>
              <w:end w:w="110" w:type="dxa"/>
            </w:tcMar>
            <w:shd w:fill="F4F6F7"/>
          </w:tcPr>
          <w:p>
            <w:pPr>
              <w:widowControl/>
              <w:spacing w:after="0"/>
            </w:pPr>
            <w:r>
              <w:rPr>
                <w:rFonts w:ascii="Arial" w:hAnsi="Arial"/>
                <w:sz w:val="17"/>
              </w:rPr>
              <w:t>2</w:t>
            </w:r>
          </w:p>
        </w:tc>
        <w:tc>
          <w:tcPr>
            <w:tcW w:type="dxa" w:w="4680"/>
            <w:tcMar>
              <w:top w:w="70" w:type="dxa"/>
              <w:start w:w="110" w:type="dxa"/>
              <w:bottom w:w="70" w:type="dxa"/>
              <w:end w:w="110" w:type="dxa"/>
            </w:tcMar>
            <w:shd w:fill="F4F6F7"/>
          </w:tcPr>
          <w:p>
            <w:pPr>
              <w:widowControl/>
              <w:spacing w:after="0"/>
            </w:pPr>
            <w:r>
              <w:rPr>
                <w:rFonts w:ascii="Arial" w:hAnsi="Arial"/>
                <w:sz w:val="17"/>
              </w:rPr>
              <w:t>230</w:t>
            </w:r>
          </w:p>
        </w:tc>
      </w:tr>
      <w:tr>
        <w:tc>
          <w:tcPr>
            <w:tcW w:type="dxa" w:w="4680"/>
            <w:tcMar>
              <w:top w:w="70" w:type="dxa"/>
              <w:start w:w="110" w:type="dxa"/>
              <w:bottom w:w="70" w:type="dxa"/>
              <w:end w:w="110" w:type="dxa"/>
            </w:tcMar>
          </w:tcPr>
          <w:p>
            <w:pPr>
              <w:widowControl/>
              <w:spacing w:after="0"/>
            </w:pPr>
            <w:r>
              <w:rPr>
                <w:rFonts w:ascii="Arial" w:hAnsi="Arial"/>
                <w:sz w:val="17"/>
              </w:rPr>
              <w:t>3</w:t>
            </w:r>
          </w:p>
        </w:tc>
        <w:tc>
          <w:tcPr>
            <w:tcW w:type="dxa" w:w="4680"/>
            <w:tcMar>
              <w:top w:w="70" w:type="dxa"/>
              <w:start w:w="110" w:type="dxa"/>
              <w:bottom w:w="70" w:type="dxa"/>
              <w:end w:w="110" w:type="dxa"/>
            </w:tcMar>
          </w:tcPr>
          <w:p>
            <w:pPr>
              <w:widowControl/>
              <w:spacing w:after="0"/>
            </w:pPr>
            <w:r>
              <w:rPr>
                <w:rFonts w:ascii="Arial" w:hAnsi="Arial"/>
                <w:sz w:val="17"/>
              </w:rPr>
              <w:t>345</w:t>
            </w:r>
          </w:p>
        </w:tc>
      </w:tr>
      <w:tr>
        <w:tc>
          <w:tcPr>
            <w:tcW w:type="dxa" w:w="4680"/>
            <w:tcMar>
              <w:top w:w="70" w:type="dxa"/>
              <w:start w:w="110" w:type="dxa"/>
              <w:bottom w:w="70" w:type="dxa"/>
              <w:end w:w="110" w:type="dxa"/>
            </w:tcMar>
            <w:shd w:fill="F4F6F7"/>
          </w:tcPr>
          <w:p>
            <w:pPr>
              <w:widowControl/>
              <w:spacing w:after="0"/>
            </w:pPr>
            <w:r>
              <w:rPr>
                <w:rFonts w:ascii="Arial" w:hAnsi="Arial"/>
                <w:sz w:val="17"/>
              </w:rPr>
              <w:t>4</w:t>
            </w:r>
          </w:p>
        </w:tc>
        <w:tc>
          <w:tcPr>
            <w:tcW w:type="dxa" w:w="4680"/>
            <w:tcMar>
              <w:top w:w="70" w:type="dxa"/>
              <w:start w:w="110" w:type="dxa"/>
              <w:bottom w:w="70" w:type="dxa"/>
              <w:end w:w="110" w:type="dxa"/>
            </w:tcMar>
            <w:shd w:fill="F4F6F7"/>
          </w:tcPr>
          <w:p>
            <w:pPr>
              <w:widowControl/>
              <w:spacing w:after="0"/>
            </w:pPr>
            <w:r>
              <w:rPr>
                <w:rFonts w:ascii="Arial" w:hAnsi="Arial"/>
                <w:sz w:val="17"/>
              </w:rPr>
              <w:t>460</w:t>
            </w:r>
          </w:p>
        </w:tc>
      </w:tr>
      <w:tr>
        <w:tc>
          <w:tcPr>
            <w:tcW w:type="dxa" w:w="4680"/>
            <w:tcMar>
              <w:top w:w="70" w:type="dxa"/>
              <w:start w:w="110" w:type="dxa"/>
              <w:bottom w:w="70" w:type="dxa"/>
              <w:end w:w="110" w:type="dxa"/>
            </w:tcMar>
          </w:tcPr>
          <w:p>
            <w:pPr>
              <w:widowControl/>
              <w:spacing w:after="0"/>
            </w:pPr>
            <w:r>
              <w:rPr>
                <w:rFonts w:ascii="Arial" w:hAnsi="Arial"/>
                <w:sz w:val="17"/>
              </w:rPr>
              <w:t>5</w:t>
            </w:r>
          </w:p>
        </w:tc>
        <w:tc>
          <w:tcPr>
            <w:tcW w:type="dxa" w:w="4680"/>
            <w:tcMar>
              <w:top w:w="70" w:type="dxa"/>
              <w:start w:w="110" w:type="dxa"/>
              <w:bottom w:w="70" w:type="dxa"/>
              <w:end w:w="110" w:type="dxa"/>
            </w:tcMar>
          </w:tcPr>
          <w:p>
            <w:pPr>
              <w:widowControl/>
              <w:spacing w:after="0"/>
            </w:pPr>
            <w:r>
              <w:rPr>
                <w:rFonts w:ascii="Arial" w:hAnsi="Arial"/>
                <w:sz w:val="17"/>
              </w:rPr>
              <w:t>575</w:t>
            </w:r>
          </w:p>
        </w:tc>
      </w:tr>
      <w:tr>
        <w:tc>
          <w:tcPr>
            <w:tcW w:type="dxa" w:w="4680"/>
            <w:tcMar>
              <w:top w:w="70" w:type="dxa"/>
              <w:start w:w="110" w:type="dxa"/>
              <w:bottom w:w="70" w:type="dxa"/>
              <w:end w:w="110" w:type="dxa"/>
            </w:tcMar>
            <w:shd w:fill="F4F6F7"/>
          </w:tcPr>
          <w:p>
            <w:pPr>
              <w:widowControl/>
              <w:spacing w:after="0"/>
            </w:pPr>
            <w:r>
              <w:rPr>
                <w:rFonts w:ascii="Arial" w:hAnsi="Arial"/>
                <w:sz w:val="17"/>
              </w:rPr>
              <w:t>6</w:t>
            </w:r>
          </w:p>
        </w:tc>
        <w:tc>
          <w:tcPr>
            <w:tcW w:type="dxa" w:w="4680"/>
            <w:tcMar>
              <w:top w:w="70" w:type="dxa"/>
              <w:start w:w="110" w:type="dxa"/>
              <w:bottom w:w="70" w:type="dxa"/>
              <w:end w:w="110" w:type="dxa"/>
            </w:tcMar>
            <w:shd w:fill="F4F6F7"/>
          </w:tcPr>
          <w:p>
            <w:pPr>
              <w:widowControl/>
              <w:spacing w:after="0"/>
            </w:pPr>
            <w:r>
              <w:rPr>
                <w:rFonts w:ascii="Arial" w:hAnsi="Arial"/>
                <w:sz w:val="17"/>
              </w:rPr>
              <w:t>690</w:t>
            </w:r>
          </w:p>
        </w:tc>
      </w:tr>
      <w:tr>
        <w:tc>
          <w:tcPr>
            <w:tcW w:type="dxa" w:w="4680"/>
            <w:tcMar>
              <w:top w:w="70" w:type="dxa"/>
              <w:start w:w="110" w:type="dxa"/>
              <w:bottom w:w="70" w:type="dxa"/>
              <w:end w:w="110" w:type="dxa"/>
            </w:tcMar>
          </w:tcPr>
          <w:p>
            <w:pPr>
              <w:widowControl/>
              <w:spacing w:after="0"/>
            </w:pPr>
            <w:r>
              <w:rPr>
                <w:rFonts w:ascii="Arial" w:hAnsi="Arial"/>
                <w:sz w:val="17"/>
              </w:rPr>
              <w:t>7</w:t>
            </w:r>
          </w:p>
        </w:tc>
        <w:tc>
          <w:tcPr>
            <w:tcW w:type="dxa" w:w="4680"/>
            <w:tcMar>
              <w:top w:w="70" w:type="dxa"/>
              <w:start w:w="110" w:type="dxa"/>
              <w:bottom w:w="70" w:type="dxa"/>
              <w:end w:w="110" w:type="dxa"/>
            </w:tcMar>
          </w:tcPr>
          <w:p>
            <w:pPr>
              <w:widowControl/>
              <w:spacing w:after="0"/>
            </w:pPr>
            <w:r>
              <w:rPr>
                <w:rFonts w:ascii="Arial" w:hAnsi="Arial"/>
                <w:sz w:val="17"/>
              </w:rPr>
              <w:t>697</w:t>
            </w:r>
          </w:p>
        </w:tc>
      </w:tr>
      <w:tr>
        <w:tc>
          <w:tcPr>
            <w:tcW w:type="dxa" w:w="4680"/>
            <w:tcMar>
              <w:top w:w="70" w:type="dxa"/>
              <w:start w:w="110" w:type="dxa"/>
              <w:bottom w:w="70" w:type="dxa"/>
              <w:end w:w="110" w:type="dxa"/>
            </w:tcMar>
            <w:shd w:fill="F4F6F7"/>
          </w:tcPr>
          <w:p>
            <w:pPr>
              <w:widowControl/>
              <w:spacing w:after="0"/>
            </w:pPr>
            <w:r>
              <w:rPr>
                <w:rFonts w:ascii="Arial" w:hAnsi="Arial"/>
                <w:sz w:val="17"/>
              </w:rPr>
              <w:t>8</w:t>
            </w:r>
          </w:p>
        </w:tc>
        <w:tc>
          <w:tcPr>
            <w:tcW w:type="dxa" w:w="4680"/>
            <w:tcMar>
              <w:top w:w="70" w:type="dxa"/>
              <w:start w:w="110" w:type="dxa"/>
              <w:bottom w:w="70" w:type="dxa"/>
              <w:end w:w="110" w:type="dxa"/>
            </w:tcMar>
            <w:shd w:fill="F4F6F7"/>
          </w:tcPr>
          <w:p>
            <w:pPr>
              <w:widowControl/>
              <w:spacing w:after="0"/>
            </w:pPr>
            <w:r>
              <w:rPr>
                <w:rFonts w:ascii="Arial" w:hAnsi="Arial"/>
                <w:sz w:val="17"/>
              </w:rPr>
              <w:t>704</w:t>
            </w:r>
          </w:p>
        </w:tc>
      </w:tr>
      <w:tr>
        <w:tc>
          <w:tcPr>
            <w:tcW w:type="dxa" w:w="4680"/>
            <w:tcMar>
              <w:top w:w="70" w:type="dxa"/>
              <w:start w:w="110" w:type="dxa"/>
              <w:bottom w:w="70" w:type="dxa"/>
              <w:end w:w="110" w:type="dxa"/>
            </w:tcMar>
          </w:tcPr>
          <w:p>
            <w:pPr>
              <w:widowControl/>
              <w:spacing w:after="0"/>
            </w:pPr>
            <w:r>
              <w:rPr>
                <w:rFonts w:ascii="Arial" w:hAnsi="Arial"/>
                <w:sz w:val="17"/>
              </w:rPr>
              <w:t>9</w:t>
            </w:r>
          </w:p>
        </w:tc>
        <w:tc>
          <w:tcPr>
            <w:tcW w:type="dxa" w:w="4680"/>
            <w:tcMar>
              <w:top w:w="70" w:type="dxa"/>
              <w:start w:w="110" w:type="dxa"/>
              <w:bottom w:w="70" w:type="dxa"/>
              <w:end w:w="110" w:type="dxa"/>
            </w:tcMar>
          </w:tcPr>
          <w:p>
            <w:pPr>
              <w:widowControl/>
              <w:spacing w:after="0"/>
            </w:pPr>
            <w:r>
              <w:rPr>
                <w:rFonts w:ascii="Arial" w:hAnsi="Arial"/>
                <w:sz w:val="17"/>
              </w:rPr>
              <w:t>711</w:t>
            </w:r>
          </w:p>
        </w:tc>
      </w:tr>
      <w:tr>
        <w:tc>
          <w:tcPr>
            <w:tcW w:type="dxa" w:w="4680"/>
            <w:tcMar>
              <w:top w:w="70" w:type="dxa"/>
              <w:start w:w="110" w:type="dxa"/>
              <w:bottom w:w="70" w:type="dxa"/>
              <w:end w:w="110" w:type="dxa"/>
            </w:tcMar>
            <w:shd w:fill="F4F6F7"/>
          </w:tcPr>
          <w:p>
            <w:pPr>
              <w:widowControl/>
              <w:spacing w:after="0"/>
            </w:pPr>
            <w:r>
              <w:rPr>
                <w:rFonts w:ascii="Arial" w:hAnsi="Arial"/>
                <w:sz w:val="17"/>
              </w:rPr>
              <w:t>10</w:t>
            </w:r>
          </w:p>
        </w:tc>
        <w:tc>
          <w:tcPr>
            <w:tcW w:type="dxa" w:w="4680"/>
            <w:tcMar>
              <w:top w:w="70" w:type="dxa"/>
              <w:start w:w="110" w:type="dxa"/>
              <w:bottom w:w="70" w:type="dxa"/>
              <w:end w:w="110" w:type="dxa"/>
            </w:tcMar>
            <w:shd w:fill="F4F6F7"/>
          </w:tcPr>
          <w:p>
            <w:pPr>
              <w:widowControl/>
              <w:spacing w:after="0"/>
            </w:pPr>
            <w:r>
              <w:rPr>
                <w:rFonts w:ascii="Arial" w:hAnsi="Arial"/>
                <w:sz w:val="17"/>
              </w:rPr>
              <w:t>718</w:t>
            </w:r>
          </w:p>
        </w:tc>
      </w:tr>
      <w:tr>
        <w:tc>
          <w:tcPr>
            <w:tcW w:type="dxa" w:w="4680"/>
            <w:tcMar>
              <w:top w:w="70" w:type="dxa"/>
              <w:start w:w="110" w:type="dxa"/>
              <w:bottom w:w="70" w:type="dxa"/>
              <w:end w:w="110" w:type="dxa"/>
            </w:tcMar>
          </w:tcPr>
          <w:p>
            <w:pPr>
              <w:widowControl/>
              <w:spacing w:after="0"/>
            </w:pPr>
            <w:r>
              <w:rPr>
                <w:rFonts w:ascii="Arial" w:hAnsi="Arial"/>
                <w:sz w:val="17"/>
              </w:rPr>
              <w:t>11</w:t>
            </w:r>
          </w:p>
        </w:tc>
        <w:tc>
          <w:tcPr>
            <w:tcW w:type="dxa" w:w="4680"/>
            <w:tcMar>
              <w:top w:w="70" w:type="dxa"/>
              <w:start w:w="110" w:type="dxa"/>
              <w:bottom w:w="70" w:type="dxa"/>
              <w:end w:w="110" w:type="dxa"/>
            </w:tcMar>
          </w:tcPr>
          <w:p>
            <w:pPr>
              <w:widowControl/>
              <w:spacing w:after="0"/>
            </w:pPr>
            <w:r>
              <w:rPr>
                <w:rFonts w:ascii="Arial" w:hAnsi="Arial"/>
                <w:sz w:val="17"/>
              </w:rPr>
              <w:t>725</w:t>
            </w:r>
          </w:p>
        </w:tc>
      </w:tr>
      <w:tr>
        <w:tc>
          <w:tcPr>
            <w:tcW w:type="dxa" w:w="4680"/>
            <w:tcMar>
              <w:top w:w="70" w:type="dxa"/>
              <w:start w:w="110" w:type="dxa"/>
              <w:bottom w:w="70" w:type="dxa"/>
              <w:end w:w="110" w:type="dxa"/>
            </w:tcMar>
            <w:shd w:fill="F4F6F7"/>
          </w:tcPr>
          <w:p>
            <w:pPr>
              <w:widowControl/>
              <w:spacing w:after="0"/>
            </w:pPr>
            <w:r>
              <w:rPr>
                <w:rFonts w:ascii="Arial" w:hAnsi="Arial"/>
                <w:sz w:val="17"/>
              </w:rPr>
              <w:t>12</w:t>
            </w:r>
          </w:p>
        </w:tc>
        <w:tc>
          <w:tcPr>
            <w:tcW w:type="dxa" w:w="4680"/>
            <w:tcMar>
              <w:top w:w="70" w:type="dxa"/>
              <w:start w:w="110" w:type="dxa"/>
              <w:bottom w:w="70" w:type="dxa"/>
              <w:end w:w="110" w:type="dxa"/>
            </w:tcMar>
            <w:shd w:fill="F4F6F7"/>
          </w:tcPr>
          <w:p>
            <w:pPr>
              <w:widowControl/>
              <w:spacing w:after="0"/>
            </w:pPr>
            <w:r>
              <w:rPr>
                <w:rFonts w:ascii="Arial" w:hAnsi="Arial"/>
                <w:sz w:val="17"/>
              </w:rPr>
              <w:t>732</w:t>
            </w:r>
          </w:p>
        </w:tc>
      </w:tr>
      <w:tr>
        <w:tc>
          <w:tcPr>
            <w:tcW w:type="dxa" w:w="4680"/>
            <w:tcMar>
              <w:top w:w="70" w:type="dxa"/>
              <w:start w:w="110" w:type="dxa"/>
              <w:bottom w:w="70" w:type="dxa"/>
              <w:end w:w="110" w:type="dxa"/>
            </w:tcMar>
          </w:tcPr>
          <w:p>
            <w:pPr>
              <w:widowControl/>
              <w:spacing w:after="0"/>
            </w:pPr>
            <w:r>
              <w:rPr>
                <w:rFonts w:ascii="Arial" w:hAnsi="Arial"/>
                <w:sz w:val="17"/>
              </w:rPr>
              <w:t>13</w:t>
            </w:r>
          </w:p>
        </w:tc>
        <w:tc>
          <w:tcPr>
            <w:tcW w:type="dxa" w:w="4680"/>
            <w:tcMar>
              <w:top w:w="70" w:type="dxa"/>
              <w:start w:w="110" w:type="dxa"/>
              <w:bottom w:w="70" w:type="dxa"/>
              <w:end w:w="110" w:type="dxa"/>
            </w:tcMar>
          </w:tcPr>
          <w:p>
            <w:pPr>
              <w:widowControl/>
              <w:spacing w:after="0"/>
            </w:pPr>
            <w:r>
              <w:rPr>
                <w:rFonts w:ascii="Arial" w:hAnsi="Arial"/>
                <w:sz w:val="17"/>
              </w:rPr>
              <w:t>740</w:t>
            </w:r>
          </w:p>
        </w:tc>
      </w:tr>
      <w:tr>
        <w:tc>
          <w:tcPr>
            <w:tcW w:type="dxa" w:w="4680"/>
            <w:tcMar>
              <w:top w:w="70" w:type="dxa"/>
              <w:start w:w="110" w:type="dxa"/>
              <w:bottom w:w="70" w:type="dxa"/>
              <w:end w:w="110" w:type="dxa"/>
            </w:tcMar>
            <w:shd w:fill="F4F6F7"/>
          </w:tcPr>
          <w:p>
            <w:pPr>
              <w:widowControl/>
              <w:spacing w:after="0"/>
            </w:pPr>
            <w:r>
              <w:rPr>
                <w:rFonts w:ascii="Arial" w:hAnsi="Arial"/>
                <w:sz w:val="17"/>
              </w:rPr>
              <w:t>14</w:t>
            </w:r>
          </w:p>
        </w:tc>
        <w:tc>
          <w:tcPr>
            <w:tcW w:type="dxa" w:w="4680"/>
            <w:tcMar>
              <w:top w:w="70" w:type="dxa"/>
              <w:start w:w="110" w:type="dxa"/>
              <w:bottom w:w="70" w:type="dxa"/>
              <w:end w:w="110" w:type="dxa"/>
            </w:tcMar>
            <w:shd w:fill="F4F6F7"/>
          </w:tcPr>
          <w:p>
            <w:pPr>
              <w:widowControl/>
              <w:spacing w:after="0"/>
            </w:pPr>
            <w:r>
              <w:rPr>
                <w:rFonts w:ascii="Arial" w:hAnsi="Arial"/>
                <w:sz w:val="17"/>
              </w:rPr>
              <w:t>747</w:t>
            </w:r>
          </w:p>
        </w:tc>
      </w:tr>
      <w:tr>
        <w:tc>
          <w:tcPr>
            <w:tcW w:type="dxa" w:w="4680"/>
            <w:tcMar>
              <w:top w:w="70" w:type="dxa"/>
              <w:start w:w="110" w:type="dxa"/>
              <w:bottom w:w="70" w:type="dxa"/>
              <w:end w:w="110" w:type="dxa"/>
            </w:tcMar>
          </w:tcPr>
          <w:p>
            <w:pPr>
              <w:widowControl/>
              <w:spacing w:after="0"/>
            </w:pPr>
            <w:r>
              <w:rPr>
                <w:rFonts w:ascii="Arial" w:hAnsi="Arial"/>
                <w:sz w:val="17"/>
              </w:rPr>
              <w:t>15</w:t>
            </w:r>
          </w:p>
        </w:tc>
        <w:tc>
          <w:tcPr>
            <w:tcW w:type="dxa" w:w="4680"/>
            <w:tcMar>
              <w:top w:w="70" w:type="dxa"/>
              <w:start w:w="110" w:type="dxa"/>
              <w:bottom w:w="70" w:type="dxa"/>
              <w:end w:w="110" w:type="dxa"/>
            </w:tcMar>
          </w:tcPr>
          <w:p>
            <w:pPr>
              <w:widowControl/>
              <w:spacing w:after="0"/>
            </w:pPr>
            <w:r>
              <w:rPr>
                <w:rFonts w:ascii="Arial" w:hAnsi="Arial"/>
                <w:sz w:val="17"/>
              </w:rPr>
              <w:t>755</w:t>
            </w:r>
          </w:p>
        </w:tc>
      </w:tr>
      <w:tr>
        <w:tc>
          <w:tcPr>
            <w:tcW w:type="dxa" w:w="4680"/>
            <w:tcMar>
              <w:top w:w="70" w:type="dxa"/>
              <w:start w:w="110" w:type="dxa"/>
              <w:bottom w:w="70" w:type="dxa"/>
              <w:end w:w="110" w:type="dxa"/>
            </w:tcMar>
            <w:shd w:fill="F4F6F7"/>
          </w:tcPr>
          <w:p>
            <w:pPr>
              <w:widowControl/>
              <w:spacing w:after="0"/>
            </w:pPr>
            <w:r>
              <w:rPr>
                <w:rFonts w:ascii="Arial" w:hAnsi="Arial"/>
                <w:sz w:val="17"/>
              </w:rPr>
              <w:t>16</w:t>
            </w:r>
          </w:p>
        </w:tc>
        <w:tc>
          <w:tcPr>
            <w:tcW w:type="dxa" w:w="4680"/>
            <w:tcMar>
              <w:top w:w="70" w:type="dxa"/>
              <w:start w:w="110" w:type="dxa"/>
              <w:bottom w:w="70" w:type="dxa"/>
              <w:end w:w="110" w:type="dxa"/>
            </w:tcMar>
            <w:shd w:fill="F4F6F7"/>
          </w:tcPr>
          <w:p>
            <w:pPr>
              <w:widowControl/>
              <w:spacing w:after="0"/>
            </w:pPr>
            <w:r>
              <w:rPr>
                <w:rFonts w:ascii="Arial" w:hAnsi="Arial"/>
                <w:sz w:val="17"/>
              </w:rPr>
              <w:t>762</w:t>
            </w:r>
          </w:p>
        </w:tc>
      </w:tr>
      <w:tr>
        <w:tc>
          <w:tcPr>
            <w:tcW w:type="dxa" w:w="4680"/>
            <w:tcMar>
              <w:top w:w="70" w:type="dxa"/>
              <w:start w:w="110" w:type="dxa"/>
              <w:bottom w:w="70" w:type="dxa"/>
              <w:end w:w="110" w:type="dxa"/>
            </w:tcMar>
          </w:tcPr>
          <w:p>
            <w:pPr>
              <w:widowControl/>
              <w:spacing w:after="0"/>
            </w:pPr>
            <w:r>
              <w:rPr>
                <w:rFonts w:ascii="Arial" w:hAnsi="Arial"/>
                <w:sz w:val="17"/>
              </w:rPr>
              <w:t>17</w:t>
            </w:r>
          </w:p>
        </w:tc>
        <w:tc>
          <w:tcPr>
            <w:tcW w:type="dxa" w:w="4680"/>
            <w:tcMar>
              <w:top w:w="70" w:type="dxa"/>
              <w:start w:w="110" w:type="dxa"/>
              <w:bottom w:w="70" w:type="dxa"/>
              <w:end w:w="110" w:type="dxa"/>
            </w:tcMar>
          </w:tcPr>
          <w:p>
            <w:pPr>
              <w:widowControl/>
              <w:spacing w:after="0"/>
            </w:pPr>
            <w:r>
              <w:rPr>
                <w:rFonts w:ascii="Arial" w:hAnsi="Arial"/>
                <w:sz w:val="17"/>
              </w:rPr>
              <w:t>770</w:t>
            </w:r>
          </w:p>
        </w:tc>
      </w:tr>
      <w:tr>
        <w:tc>
          <w:tcPr>
            <w:tcW w:type="dxa" w:w="4680"/>
            <w:tcMar>
              <w:top w:w="70" w:type="dxa"/>
              <w:start w:w="110" w:type="dxa"/>
              <w:bottom w:w="70" w:type="dxa"/>
              <w:end w:w="110" w:type="dxa"/>
            </w:tcMar>
            <w:shd w:fill="F4F6F7"/>
          </w:tcPr>
          <w:p>
            <w:pPr>
              <w:widowControl/>
              <w:spacing w:after="0"/>
            </w:pPr>
            <w:r>
              <w:rPr>
                <w:rFonts w:ascii="Arial" w:hAnsi="Arial"/>
                <w:sz w:val="17"/>
              </w:rPr>
              <w:t>18</w:t>
            </w:r>
          </w:p>
        </w:tc>
        <w:tc>
          <w:tcPr>
            <w:tcW w:type="dxa" w:w="4680"/>
            <w:tcMar>
              <w:top w:w="70" w:type="dxa"/>
              <w:start w:w="110" w:type="dxa"/>
              <w:bottom w:w="70" w:type="dxa"/>
              <w:end w:w="110" w:type="dxa"/>
            </w:tcMar>
            <w:shd w:fill="F4F6F7"/>
          </w:tcPr>
          <w:p>
            <w:pPr>
              <w:widowControl/>
              <w:spacing w:after="0"/>
            </w:pPr>
            <w:r>
              <w:rPr>
                <w:rFonts w:ascii="Arial" w:hAnsi="Arial"/>
                <w:sz w:val="17"/>
              </w:rPr>
              <w:t>778</w:t>
            </w:r>
          </w:p>
        </w:tc>
      </w:tr>
      <w:tr>
        <w:tc>
          <w:tcPr>
            <w:tcW w:type="dxa" w:w="4680"/>
            <w:tcMar>
              <w:top w:w="70" w:type="dxa"/>
              <w:start w:w="110" w:type="dxa"/>
              <w:bottom w:w="70" w:type="dxa"/>
              <w:end w:w="110" w:type="dxa"/>
            </w:tcMar>
          </w:tcPr>
          <w:p>
            <w:pPr>
              <w:widowControl/>
              <w:spacing w:after="0"/>
            </w:pPr>
            <w:r>
              <w:rPr>
                <w:rFonts w:ascii="Arial" w:hAnsi="Arial"/>
                <w:sz w:val="17"/>
              </w:rPr>
              <w:t>19</w:t>
            </w:r>
          </w:p>
        </w:tc>
        <w:tc>
          <w:tcPr>
            <w:tcW w:type="dxa" w:w="4680"/>
            <w:tcMar>
              <w:top w:w="70" w:type="dxa"/>
              <w:start w:w="110" w:type="dxa"/>
              <w:bottom w:w="70" w:type="dxa"/>
              <w:end w:w="110" w:type="dxa"/>
            </w:tcMar>
          </w:tcPr>
          <w:p>
            <w:pPr>
              <w:widowControl/>
              <w:spacing w:after="0"/>
            </w:pPr>
            <w:r>
              <w:rPr>
                <w:rFonts w:ascii="Arial" w:hAnsi="Arial"/>
                <w:sz w:val="17"/>
              </w:rPr>
              <w:t>785</w:t>
            </w:r>
          </w:p>
        </w:tc>
      </w:tr>
    </w:tbl>
    <w:p>
      <w:pPr>
        <w:widowControl/>
      </w:pPr>
      <w:r>
        <w:t>Starting in quota year 19, the quantity shall remain at 785 MT per year.</w:t>
      </w:r>
    </w:p>
    <w:p>
      <w:pPr>
        <w:pStyle w:val="Normal"/>
        <w:widowControl/>
        <w:rPr/>
      </w:pPr>
      <w:r>
        <w:rPr/>
        <w:t>(b) This paragraph applies to goods classified in the following tariff items: 0402.21.11 and 0402.29.11. (c) This TRQ shall be allocated on a dairy year basis, meaning from August 1 to July 31. 12.</w:t>
      </w:r>
    </w:p>
    <w:p>
      <w:pPr>
        <w:widowControl/>
      </w:pPr>
      <w:r>
        <w:t>TRQ-CA8: Concentrated or condensed milk (a) The aggregate quantity of originating goods described in subparagraph (b) that shall be permitted to enter duty-free in each quota year under this TRQ is:</w:t>
      </w:r>
    </w:p>
    <w:tbl>
      <w:tblPr>
        <w:tblStyle w:val="TableGrid"/>
        <w:tblW w:type="auto" w:w="0"/>
        <w:jc w:val="center"/>
        <w:tblLayout w:type="autofit"/>
        <w:tblLook w:firstColumn="1" w:firstRow="1" w:lastColumn="0" w:lastRow="0" w:noHBand="0" w:noVBand="1" w:val="04A0"/>
      </w:tblPr>
      <w:tblGrid>
        <w:gridCol w:w="4680"/>
        <w:gridCol w:w="4680"/>
      </w:tblGrid>
      <w:tr>
        <w:trPr>
          <w:tblHeader w:val="true"/>
          <w:cantSplit/>
          <w:tblHeader w:val="true"/>
        </w:trPr>
        <w:tc>
          <w:tcPr>
            <w:tcW w:type="dxa" w:w="1872"/>
            <w:vAlign w:val="center"/>
            <w:shd w:fill="233746"/>
          </w:tcPr>
          <w:p>
            <w:pPr>
              <w:spacing w:after="0"/>
            </w:pPr>
            <w:r>
              <w:rPr>
                <w:rFonts w:ascii="Arial" w:hAnsi="Arial"/>
                <w:b/>
                <w:color w:val="FFFFFF"/>
                <w:sz w:val="17"/>
              </w:rPr>
              <w:t>Quota Year</w:t>
            </w:r>
          </w:p>
        </w:tc>
        <w:tc>
          <w:tcPr>
            <w:tcW w:type="dxa" w:w="3600"/>
            <w:vAlign w:val="center"/>
            <w:shd w:fill="233746"/>
          </w:tcPr>
          <w:p>
            <w:pPr>
              <w:spacing w:after="0"/>
            </w:pPr>
            <w:r>
              <w:rPr>
                <w:rFonts w:ascii="Arial" w:hAnsi="Arial"/>
                <w:b/>
                <w:color w:val="FFFFFF"/>
                <w:sz w:val="17"/>
              </w:rPr>
              <w:t>Aggregate Quantity (MT)</w:t>
            </w:r>
          </w:p>
        </w:tc>
      </w:tr>
      <w:tr>
        <w:trPr>
          <w:cantSplit/>
        </w:trPr>
        <w:tc>
          <w:tcPr>
            <w:tcW w:type="dxa" w:w="1872"/>
            <w:vAlign w:val="center"/>
            <w:tcMar>
              <w:top w:w="70" w:type="dxa"/>
              <w:start w:w="110" w:type="dxa"/>
              <w:bottom w:w="70" w:type="dxa"/>
              <w:end w:w="110" w:type="dxa"/>
            </w:tcMar>
          </w:tcPr>
          <w:p>
            <w:pPr>
              <w:widowControl/>
              <w:spacing w:after="0"/>
            </w:pPr>
            <w:r>
              <w:rPr>
                <w:rFonts w:ascii="Arial" w:hAnsi="Arial"/>
                <w:sz w:val="17"/>
              </w:rPr>
              <w:t>1</w:t>
            </w:r>
          </w:p>
        </w:tc>
        <w:tc>
          <w:tcPr>
            <w:tcW w:type="dxa" w:w="3600"/>
            <w:vAlign w:val="center"/>
            <w:tcMar>
              <w:top w:w="70" w:type="dxa"/>
              <w:start w:w="110" w:type="dxa"/>
              <w:bottom w:w="70" w:type="dxa"/>
              <w:end w:w="110" w:type="dxa"/>
            </w:tcMar>
          </w:tcPr>
          <w:p>
            <w:pPr>
              <w:widowControl/>
              <w:spacing w:after="0"/>
            </w:pPr>
            <w:r>
              <w:rPr>
                <w:rFonts w:ascii="Arial" w:hAnsi="Arial"/>
                <w:sz w:val="17"/>
              </w:rPr>
              <w:t>1,150</w:t>
            </w:r>
          </w:p>
        </w:tc>
      </w:tr>
      <w:tr>
        <w:trPr>
          <w:cantSplit/>
        </w:trPr>
        <w:tc>
          <w:tcPr>
            <w:tcW w:type="dxa" w:w="1872"/>
            <w:vAlign w:val="center"/>
            <w:tcMar>
              <w:top w:w="70" w:type="dxa"/>
              <w:start w:w="110" w:type="dxa"/>
              <w:bottom w:w="70" w:type="dxa"/>
              <w:end w:w="110" w:type="dxa"/>
            </w:tcMar>
            <w:shd w:fill="F4F6F7"/>
          </w:tcPr>
          <w:p>
            <w:pPr>
              <w:widowControl/>
              <w:spacing w:after="0"/>
            </w:pPr>
            <w:r>
              <w:rPr>
                <w:rFonts w:ascii="Arial" w:hAnsi="Arial"/>
                <w:sz w:val="17"/>
              </w:rPr>
              <w:t>2</w:t>
            </w:r>
          </w:p>
        </w:tc>
        <w:tc>
          <w:tcPr>
            <w:tcW w:type="dxa" w:w="3600"/>
            <w:vAlign w:val="center"/>
            <w:tcMar>
              <w:top w:w="70" w:type="dxa"/>
              <w:start w:w="110" w:type="dxa"/>
              <w:bottom w:w="70" w:type="dxa"/>
              <w:end w:w="110" w:type="dxa"/>
            </w:tcMar>
            <w:shd w:fill="F4F6F7"/>
          </w:tcPr>
          <w:p>
            <w:pPr>
              <w:widowControl/>
              <w:spacing w:after="0"/>
            </w:pPr>
            <w:r>
              <w:rPr>
                <w:rFonts w:ascii="Arial" w:hAnsi="Arial"/>
                <w:sz w:val="17"/>
              </w:rPr>
              <w:t>1,380</w:t>
            </w:r>
          </w:p>
        </w:tc>
      </w:tr>
      <w:tr>
        <w:trPr>
          <w:cantSplit/>
        </w:trPr>
        <w:tc>
          <w:tcPr>
            <w:tcW w:type="dxa" w:w="1872"/>
            <w:vAlign w:val="center"/>
            <w:tcMar>
              <w:top w:w="70" w:type="dxa"/>
              <w:start w:w="110" w:type="dxa"/>
              <w:bottom w:w="70" w:type="dxa"/>
              <w:end w:w="110" w:type="dxa"/>
            </w:tcMar>
          </w:tcPr>
          <w:p>
            <w:pPr>
              <w:widowControl/>
              <w:spacing w:after="0"/>
            </w:pPr>
            <w:r>
              <w:rPr>
                <w:rFonts w:ascii="Arial" w:hAnsi="Arial"/>
                <w:sz w:val="17"/>
              </w:rPr>
              <w:t>3</w:t>
            </w:r>
          </w:p>
        </w:tc>
        <w:tc>
          <w:tcPr>
            <w:tcW w:type="dxa" w:w="3600"/>
            <w:vAlign w:val="center"/>
            <w:tcMar>
              <w:top w:w="70" w:type="dxa"/>
              <w:start w:w="110" w:type="dxa"/>
              <w:bottom w:w="70" w:type="dxa"/>
              <w:end w:w="110" w:type="dxa"/>
            </w:tcMar>
          </w:tcPr>
          <w:p>
            <w:pPr>
              <w:widowControl/>
              <w:spacing w:after="0"/>
            </w:pPr>
            <w:r>
              <w:rPr>
                <w:rFonts w:ascii="Arial" w:hAnsi="Arial"/>
                <w:sz w:val="17"/>
              </w:rPr>
              <w:t>1,394</w:t>
            </w:r>
          </w:p>
        </w:tc>
      </w:tr>
      <w:tr>
        <w:trPr>
          <w:cantSplit/>
        </w:trPr>
        <w:tc>
          <w:tcPr>
            <w:tcW w:type="dxa" w:w="1872"/>
            <w:vAlign w:val="center"/>
            <w:tcMar>
              <w:top w:w="70" w:type="dxa"/>
              <w:start w:w="110" w:type="dxa"/>
              <w:bottom w:w="70" w:type="dxa"/>
              <w:end w:w="110" w:type="dxa"/>
            </w:tcMar>
            <w:shd w:fill="F4F6F7"/>
          </w:tcPr>
          <w:p>
            <w:pPr>
              <w:widowControl/>
              <w:spacing w:after="0"/>
            </w:pPr>
            <w:r>
              <w:rPr>
                <w:rFonts w:ascii="Arial" w:hAnsi="Arial"/>
                <w:sz w:val="17"/>
              </w:rPr>
              <w:t>4</w:t>
            </w:r>
          </w:p>
        </w:tc>
        <w:tc>
          <w:tcPr>
            <w:tcW w:type="dxa" w:w="3600"/>
            <w:vAlign w:val="center"/>
            <w:tcMar>
              <w:top w:w="70" w:type="dxa"/>
              <w:start w:w="110" w:type="dxa"/>
              <w:bottom w:w="70" w:type="dxa"/>
              <w:end w:w="110" w:type="dxa"/>
            </w:tcMar>
            <w:shd w:fill="F4F6F7"/>
          </w:tcPr>
          <w:p>
            <w:pPr>
              <w:widowControl/>
              <w:spacing w:after="0"/>
            </w:pPr>
            <w:r>
              <w:rPr>
                <w:rFonts w:ascii="Arial" w:hAnsi="Arial"/>
                <w:sz w:val="17"/>
              </w:rPr>
              <w:t>1,408</w:t>
            </w:r>
          </w:p>
        </w:tc>
      </w:tr>
      <w:tr>
        <w:trPr>
          <w:cantSplit/>
        </w:trPr>
        <w:tc>
          <w:tcPr>
            <w:tcW w:type="dxa" w:w="1872"/>
            <w:vAlign w:val="center"/>
            <w:tcMar>
              <w:top w:w="70" w:type="dxa"/>
              <w:start w:w="110" w:type="dxa"/>
              <w:bottom w:w="70" w:type="dxa"/>
              <w:end w:w="110" w:type="dxa"/>
            </w:tcMar>
          </w:tcPr>
          <w:p>
            <w:pPr>
              <w:widowControl/>
              <w:spacing w:after="0"/>
            </w:pPr>
            <w:r>
              <w:rPr>
                <w:rFonts w:ascii="Arial" w:hAnsi="Arial"/>
                <w:sz w:val="17"/>
              </w:rPr>
              <w:t>5</w:t>
            </w:r>
          </w:p>
        </w:tc>
        <w:tc>
          <w:tcPr>
            <w:tcW w:type="dxa" w:w="3600"/>
            <w:vAlign w:val="center"/>
            <w:tcMar>
              <w:top w:w="70" w:type="dxa"/>
              <w:start w:w="110" w:type="dxa"/>
              <w:bottom w:w="70" w:type="dxa"/>
              <w:end w:w="110" w:type="dxa"/>
            </w:tcMar>
          </w:tcPr>
          <w:p>
            <w:pPr>
              <w:widowControl/>
              <w:spacing w:after="0"/>
            </w:pPr>
            <w:r>
              <w:rPr>
                <w:rFonts w:ascii="Arial" w:hAnsi="Arial"/>
                <w:sz w:val="17"/>
              </w:rPr>
              <w:t>1,422</w:t>
            </w:r>
          </w:p>
        </w:tc>
      </w:tr>
      <w:tr>
        <w:trPr>
          <w:cantSplit/>
        </w:trPr>
        <w:tc>
          <w:tcPr>
            <w:tcW w:type="dxa" w:w="1872"/>
            <w:vAlign w:val="center"/>
            <w:tcMar>
              <w:top w:w="70" w:type="dxa"/>
              <w:start w:w="110" w:type="dxa"/>
              <w:bottom w:w="70" w:type="dxa"/>
              <w:end w:w="110" w:type="dxa"/>
            </w:tcMar>
            <w:shd w:fill="F4F6F7"/>
          </w:tcPr>
          <w:p>
            <w:pPr>
              <w:widowControl/>
              <w:spacing w:after="0"/>
            </w:pPr>
            <w:r>
              <w:rPr>
                <w:rFonts w:ascii="Arial" w:hAnsi="Arial"/>
                <w:sz w:val="17"/>
              </w:rPr>
              <w:t>6</w:t>
            </w:r>
          </w:p>
        </w:tc>
        <w:tc>
          <w:tcPr>
            <w:tcW w:type="dxa" w:w="3600"/>
            <w:vAlign w:val="center"/>
            <w:tcMar>
              <w:top w:w="70" w:type="dxa"/>
              <w:start w:w="110" w:type="dxa"/>
              <w:bottom w:w="70" w:type="dxa"/>
              <w:end w:w="110" w:type="dxa"/>
            </w:tcMar>
            <w:shd w:fill="F4F6F7"/>
          </w:tcPr>
          <w:p>
            <w:pPr>
              <w:widowControl/>
              <w:spacing w:after="0"/>
            </w:pPr>
            <w:r>
              <w:rPr>
                <w:rFonts w:ascii="Arial" w:hAnsi="Arial"/>
                <w:sz w:val="17"/>
              </w:rPr>
              <w:t>1,436</w:t>
            </w:r>
          </w:p>
        </w:tc>
      </w:tr>
      <w:tr>
        <w:trPr>
          <w:cantSplit/>
        </w:trPr>
        <w:tc>
          <w:tcPr>
            <w:tcW w:type="dxa" w:w="1872"/>
            <w:vAlign w:val="center"/>
            <w:tcMar>
              <w:top w:w="70" w:type="dxa"/>
              <w:start w:w="110" w:type="dxa"/>
              <w:bottom w:w="70" w:type="dxa"/>
              <w:end w:w="110" w:type="dxa"/>
            </w:tcMar>
          </w:tcPr>
          <w:p>
            <w:pPr>
              <w:widowControl/>
              <w:spacing w:after="0"/>
            </w:pPr>
            <w:r>
              <w:rPr>
                <w:rFonts w:ascii="Arial" w:hAnsi="Arial"/>
                <w:sz w:val="17"/>
              </w:rPr>
              <w:t>7</w:t>
            </w:r>
          </w:p>
        </w:tc>
        <w:tc>
          <w:tcPr>
            <w:tcW w:type="dxa" w:w="3600"/>
            <w:vAlign w:val="center"/>
            <w:tcMar>
              <w:top w:w="70" w:type="dxa"/>
              <w:start w:w="110" w:type="dxa"/>
              <w:bottom w:w="70" w:type="dxa"/>
              <w:end w:w="110" w:type="dxa"/>
            </w:tcMar>
          </w:tcPr>
          <w:p>
            <w:pPr>
              <w:widowControl/>
              <w:spacing w:after="0"/>
            </w:pPr>
            <w:r>
              <w:rPr>
                <w:rFonts w:ascii="Arial" w:hAnsi="Arial"/>
                <w:sz w:val="17"/>
              </w:rPr>
              <w:t>1,450</w:t>
            </w:r>
          </w:p>
        </w:tc>
      </w:tr>
      <w:tr>
        <w:trPr>
          <w:cantSplit/>
        </w:trPr>
        <w:tc>
          <w:tcPr>
            <w:tcW w:type="dxa" w:w="1872"/>
            <w:vAlign w:val="center"/>
            <w:tcMar>
              <w:top w:w="70" w:type="dxa"/>
              <w:start w:w="110" w:type="dxa"/>
              <w:bottom w:w="70" w:type="dxa"/>
              <w:end w:w="110" w:type="dxa"/>
            </w:tcMar>
            <w:shd w:fill="F4F6F7"/>
          </w:tcPr>
          <w:p>
            <w:pPr>
              <w:widowControl/>
              <w:spacing w:after="0"/>
            </w:pPr>
            <w:r>
              <w:rPr>
                <w:rFonts w:ascii="Arial" w:hAnsi="Arial"/>
                <w:sz w:val="17"/>
              </w:rPr>
              <w:t>8</w:t>
            </w:r>
          </w:p>
        </w:tc>
        <w:tc>
          <w:tcPr>
            <w:tcW w:type="dxa" w:w="3600"/>
            <w:vAlign w:val="center"/>
            <w:tcMar>
              <w:top w:w="70" w:type="dxa"/>
              <w:start w:w="110" w:type="dxa"/>
              <w:bottom w:w="70" w:type="dxa"/>
              <w:end w:w="110" w:type="dxa"/>
            </w:tcMar>
            <w:shd w:fill="F4F6F7"/>
          </w:tcPr>
          <w:p>
            <w:pPr>
              <w:widowControl/>
              <w:spacing w:after="0"/>
            </w:pPr>
            <w:r>
              <w:rPr>
                <w:rFonts w:ascii="Arial" w:hAnsi="Arial"/>
                <w:sz w:val="17"/>
              </w:rPr>
              <w:t>1,465</w:t>
            </w:r>
          </w:p>
        </w:tc>
      </w:tr>
      <w:tr>
        <w:trPr>
          <w:cantSplit/>
        </w:trPr>
        <w:tc>
          <w:tcPr>
            <w:tcW w:type="dxa" w:w="1872"/>
            <w:vAlign w:val="center"/>
            <w:tcMar>
              <w:top w:w="70" w:type="dxa"/>
              <w:start w:w="110" w:type="dxa"/>
              <w:bottom w:w="70" w:type="dxa"/>
              <w:end w:w="110" w:type="dxa"/>
            </w:tcMar>
          </w:tcPr>
          <w:p>
            <w:pPr>
              <w:widowControl/>
              <w:spacing w:after="0"/>
            </w:pPr>
            <w:r>
              <w:rPr>
                <w:rFonts w:ascii="Arial" w:hAnsi="Arial"/>
                <w:sz w:val="17"/>
              </w:rPr>
              <w:t>9</w:t>
            </w:r>
          </w:p>
        </w:tc>
        <w:tc>
          <w:tcPr>
            <w:tcW w:type="dxa" w:w="3600"/>
            <w:vAlign w:val="center"/>
            <w:tcMar>
              <w:top w:w="70" w:type="dxa"/>
              <w:start w:w="110" w:type="dxa"/>
              <w:bottom w:w="70" w:type="dxa"/>
              <w:end w:w="110" w:type="dxa"/>
            </w:tcMar>
          </w:tcPr>
          <w:p>
            <w:pPr>
              <w:widowControl/>
              <w:spacing w:after="0"/>
            </w:pPr>
            <w:r>
              <w:rPr>
                <w:rFonts w:ascii="Arial" w:hAnsi="Arial"/>
                <w:sz w:val="17"/>
              </w:rPr>
              <w:t>1,480</w:t>
            </w:r>
          </w:p>
        </w:tc>
      </w:tr>
      <w:tr>
        <w:trPr>
          <w:cantSplit/>
        </w:trPr>
        <w:tc>
          <w:tcPr>
            <w:tcW w:type="dxa" w:w="1872"/>
            <w:vAlign w:val="center"/>
            <w:tcMar>
              <w:top w:w="70" w:type="dxa"/>
              <w:start w:w="110" w:type="dxa"/>
              <w:bottom w:w="70" w:type="dxa"/>
              <w:end w:w="110" w:type="dxa"/>
            </w:tcMar>
            <w:shd w:fill="F4F6F7"/>
          </w:tcPr>
          <w:p>
            <w:pPr>
              <w:widowControl/>
              <w:spacing w:after="0"/>
            </w:pPr>
            <w:r>
              <w:rPr>
                <w:rFonts w:ascii="Arial" w:hAnsi="Arial"/>
                <w:sz w:val="17"/>
              </w:rPr>
              <w:t>10</w:t>
            </w:r>
          </w:p>
        </w:tc>
        <w:tc>
          <w:tcPr>
            <w:tcW w:type="dxa" w:w="3600"/>
            <w:vAlign w:val="center"/>
            <w:tcMar>
              <w:top w:w="70" w:type="dxa"/>
              <w:start w:w="110" w:type="dxa"/>
              <w:bottom w:w="70" w:type="dxa"/>
              <w:end w:w="110" w:type="dxa"/>
            </w:tcMar>
            <w:shd w:fill="F4F6F7"/>
          </w:tcPr>
          <w:p>
            <w:pPr>
              <w:widowControl/>
              <w:spacing w:after="0"/>
            </w:pPr>
            <w:r>
              <w:rPr>
                <w:rFonts w:ascii="Arial" w:hAnsi="Arial"/>
                <w:sz w:val="17"/>
              </w:rPr>
              <w:t>1,494</w:t>
            </w:r>
          </w:p>
        </w:tc>
      </w:tr>
      <w:tr>
        <w:trPr>
          <w:cantSplit/>
        </w:trPr>
        <w:tc>
          <w:tcPr>
            <w:tcW w:type="dxa" w:w="1872"/>
            <w:vAlign w:val="center"/>
            <w:tcMar>
              <w:top w:w="70" w:type="dxa"/>
              <w:start w:w="110" w:type="dxa"/>
              <w:bottom w:w="70" w:type="dxa"/>
              <w:end w:w="110" w:type="dxa"/>
            </w:tcMar>
          </w:tcPr>
          <w:p>
            <w:pPr>
              <w:widowControl/>
              <w:spacing w:after="0"/>
            </w:pPr>
            <w:r>
              <w:rPr>
                <w:rFonts w:ascii="Arial" w:hAnsi="Arial"/>
                <w:sz w:val="17"/>
              </w:rPr>
              <w:t>11</w:t>
            </w:r>
          </w:p>
        </w:tc>
        <w:tc>
          <w:tcPr>
            <w:tcW w:type="dxa" w:w="3600"/>
            <w:vAlign w:val="center"/>
            <w:tcMar>
              <w:top w:w="70" w:type="dxa"/>
              <w:start w:w="110" w:type="dxa"/>
              <w:bottom w:w="70" w:type="dxa"/>
              <w:end w:w="110" w:type="dxa"/>
            </w:tcMar>
          </w:tcPr>
          <w:p>
            <w:pPr>
              <w:widowControl/>
              <w:spacing w:after="0"/>
            </w:pPr>
            <w:r>
              <w:rPr>
                <w:rFonts w:ascii="Arial" w:hAnsi="Arial"/>
                <w:sz w:val="17"/>
              </w:rPr>
              <w:t>1,509</w:t>
            </w:r>
          </w:p>
        </w:tc>
      </w:tr>
      <w:tr>
        <w:trPr>
          <w:cantSplit/>
        </w:trPr>
        <w:tc>
          <w:tcPr>
            <w:tcW w:type="dxa" w:w="1872"/>
            <w:vAlign w:val="center"/>
            <w:tcMar>
              <w:top w:w="70" w:type="dxa"/>
              <w:start w:w="110" w:type="dxa"/>
              <w:bottom w:w="70" w:type="dxa"/>
              <w:end w:w="110" w:type="dxa"/>
            </w:tcMar>
            <w:shd w:fill="F4F6F7"/>
          </w:tcPr>
          <w:p>
            <w:pPr>
              <w:widowControl/>
              <w:spacing w:after="0"/>
            </w:pPr>
            <w:r>
              <w:rPr>
                <w:rFonts w:ascii="Arial" w:hAnsi="Arial"/>
                <w:sz w:val="17"/>
              </w:rPr>
              <w:t>12</w:t>
            </w:r>
          </w:p>
        </w:tc>
        <w:tc>
          <w:tcPr>
            <w:tcW w:type="dxa" w:w="3600"/>
            <w:vAlign w:val="center"/>
            <w:tcMar>
              <w:top w:w="70" w:type="dxa"/>
              <w:start w:w="110" w:type="dxa"/>
              <w:bottom w:w="70" w:type="dxa"/>
              <w:end w:w="110" w:type="dxa"/>
            </w:tcMar>
            <w:shd w:fill="F4F6F7"/>
          </w:tcPr>
          <w:p>
            <w:pPr>
              <w:widowControl/>
              <w:spacing w:after="0"/>
            </w:pPr>
            <w:r>
              <w:rPr>
                <w:rFonts w:ascii="Arial" w:hAnsi="Arial"/>
                <w:sz w:val="17"/>
              </w:rPr>
              <w:t>1,524</w:t>
            </w:r>
          </w:p>
        </w:tc>
      </w:tr>
      <w:tr>
        <w:trPr>
          <w:cantSplit/>
        </w:trPr>
        <w:tc>
          <w:tcPr>
            <w:tcW w:type="dxa" w:w="1872"/>
            <w:vAlign w:val="center"/>
            <w:tcMar>
              <w:top w:w="70" w:type="dxa"/>
              <w:start w:w="110" w:type="dxa"/>
              <w:bottom w:w="70" w:type="dxa"/>
              <w:end w:w="110" w:type="dxa"/>
            </w:tcMar>
          </w:tcPr>
          <w:p>
            <w:pPr>
              <w:widowControl/>
              <w:spacing w:after="0"/>
            </w:pPr>
            <w:r>
              <w:rPr>
                <w:rFonts w:ascii="Arial" w:hAnsi="Arial"/>
                <w:sz w:val="17"/>
              </w:rPr>
              <w:t>13</w:t>
            </w:r>
          </w:p>
        </w:tc>
        <w:tc>
          <w:tcPr>
            <w:tcW w:type="dxa" w:w="3600"/>
            <w:vAlign w:val="center"/>
            <w:tcMar>
              <w:top w:w="70" w:type="dxa"/>
              <w:start w:w="110" w:type="dxa"/>
              <w:bottom w:w="70" w:type="dxa"/>
              <w:end w:w="110" w:type="dxa"/>
            </w:tcMar>
          </w:tcPr>
          <w:p>
            <w:pPr>
              <w:widowControl/>
              <w:spacing w:after="0"/>
            </w:pPr>
            <w:r>
              <w:rPr>
                <w:rFonts w:ascii="Arial" w:hAnsi="Arial"/>
                <w:sz w:val="17"/>
              </w:rPr>
              <w:t>1,540</w:t>
            </w:r>
          </w:p>
        </w:tc>
      </w:tr>
      <w:tr>
        <w:trPr>
          <w:cantSplit/>
        </w:trPr>
        <w:tc>
          <w:tcPr>
            <w:tcW w:type="dxa" w:w="1872"/>
            <w:vAlign w:val="center"/>
            <w:tcMar>
              <w:top w:w="70" w:type="dxa"/>
              <w:start w:w="110" w:type="dxa"/>
              <w:bottom w:w="70" w:type="dxa"/>
              <w:end w:w="110" w:type="dxa"/>
            </w:tcMar>
            <w:shd w:fill="F4F6F7"/>
          </w:tcPr>
          <w:p>
            <w:pPr>
              <w:widowControl/>
              <w:spacing w:after="0"/>
            </w:pPr>
            <w:r>
              <w:rPr>
                <w:rFonts w:ascii="Arial" w:hAnsi="Arial"/>
                <w:sz w:val="17"/>
              </w:rPr>
              <w:t>14</w:t>
            </w:r>
          </w:p>
        </w:tc>
        <w:tc>
          <w:tcPr>
            <w:tcW w:type="dxa" w:w="3600"/>
            <w:vAlign w:val="center"/>
            <w:tcMar>
              <w:top w:w="70" w:type="dxa"/>
              <w:start w:w="110" w:type="dxa"/>
              <w:bottom w:w="70" w:type="dxa"/>
              <w:end w:w="110" w:type="dxa"/>
            </w:tcMar>
            <w:shd w:fill="F4F6F7"/>
          </w:tcPr>
          <w:p>
            <w:pPr>
              <w:widowControl/>
              <w:spacing w:after="0"/>
            </w:pPr>
            <w:r>
              <w:rPr>
                <w:rFonts w:ascii="Arial" w:hAnsi="Arial"/>
                <w:sz w:val="17"/>
              </w:rPr>
              <w:t>1,555</w:t>
            </w:r>
          </w:p>
        </w:tc>
      </w:tr>
      <w:tr>
        <w:trPr>
          <w:cantSplit/>
        </w:trPr>
        <w:tc>
          <w:tcPr>
            <w:tcW w:type="dxa" w:w="1872"/>
            <w:vAlign w:val="center"/>
            <w:tcMar>
              <w:top w:w="70" w:type="dxa"/>
              <w:start w:w="110" w:type="dxa"/>
              <w:bottom w:w="70" w:type="dxa"/>
              <w:end w:w="110" w:type="dxa"/>
            </w:tcMar>
          </w:tcPr>
          <w:p>
            <w:pPr>
              <w:widowControl/>
              <w:spacing w:after="0"/>
            </w:pPr>
            <w:r>
              <w:rPr>
                <w:rFonts w:ascii="Arial" w:hAnsi="Arial"/>
                <w:sz w:val="17"/>
              </w:rPr>
              <w:t>15</w:t>
            </w:r>
          </w:p>
        </w:tc>
        <w:tc>
          <w:tcPr>
            <w:tcW w:type="dxa" w:w="3600"/>
            <w:vAlign w:val="center"/>
            <w:tcMar>
              <w:top w:w="70" w:type="dxa"/>
              <w:start w:w="110" w:type="dxa"/>
              <w:bottom w:w="70" w:type="dxa"/>
              <w:end w:w="110" w:type="dxa"/>
            </w:tcMar>
          </w:tcPr>
          <w:p>
            <w:pPr>
              <w:widowControl/>
              <w:spacing w:after="0"/>
            </w:pPr>
            <w:r>
              <w:rPr>
                <w:rFonts w:ascii="Arial" w:hAnsi="Arial"/>
                <w:sz w:val="17"/>
              </w:rPr>
              <w:t>1,571</w:t>
            </w:r>
          </w:p>
        </w:tc>
      </w:tr>
    </w:tbl>
    <w:p>
      <w:pPr>
        <w:widowControl/>
      </w:pPr>
      <w:r>
        <w:t>Starting in quota year 19, the quantity shall remain at 1,571 MT per year. (b) This paragraph applies to goods classified in the following tariff items: 0402.91.10 and 0402.99.10. (c) This TRQ shall be allocated on a calendar year basis. 13. TRQ-CA9: Yogurt and Buttermilk (a) The aggregate quantity of originating goods described in subparagraph (b) that shall be permitted to enter duty-free in each quota year under this TRQ is:</w:t>
      </w:r>
    </w:p>
    <w:tbl>
      <w:tblPr>
        <w:tblStyle w:val="TableGrid"/>
        <w:tblW w:type="auto" w:w="0"/>
        <w:jc w:val="center"/>
        <w:tblLayout w:type="autofit"/>
        <w:tblLook w:firstColumn="1" w:firstRow="1" w:lastColumn="0" w:lastRow="0" w:noHBand="0" w:noVBand="1" w:val="04A0"/>
      </w:tblPr>
      <w:tblGrid>
        <w:gridCol w:w="4680"/>
        <w:gridCol w:w="4680"/>
      </w:tblGrid>
      <w:tr>
        <w:trPr>
          <w:tblHeader w:val="true"/>
          <w:cantSplit/>
          <w:tblHeader w:val="true"/>
        </w:trPr>
        <w:tc>
          <w:tcPr>
            <w:tcW w:type="dxa" w:w="1872"/>
            <w:vAlign w:val="center"/>
            <w:shd w:fill="233746"/>
          </w:tcPr>
          <w:p>
            <w:pPr>
              <w:spacing w:after="0"/>
            </w:pPr>
            <w:r>
              <w:rPr>
                <w:rFonts w:ascii="Arial" w:hAnsi="Arial"/>
                <w:b/>
                <w:color w:val="FFFFFF"/>
                <w:sz w:val="17"/>
              </w:rPr>
              <w:t>Quota Year</w:t>
            </w:r>
          </w:p>
        </w:tc>
        <w:tc>
          <w:tcPr>
            <w:tcW w:type="dxa" w:w="3600"/>
            <w:vAlign w:val="center"/>
            <w:shd w:fill="233746"/>
          </w:tcPr>
          <w:p>
            <w:pPr>
              <w:spacing w:after="0"/>
            </w:pPr>
            <w:r>
              <w:rPr>
                <w:rFonts w:ascii="Arial" w:hAnsi="Arial"/>
                <w:b/>
                <w:color w:val="FFFFFF"/>
                <w:sz w:val="17"/>
              </w:rPr>
              <w:t>Aggregate Quantity (MT)</w:t>
            </w:r>
          </w:p>
        </w:tc>
      </w:tr>
      <w:tr>
        <w:trPr>
          <w:cantSplit/>
        </w:trPr>
        <w:tc>
          <w:tcPr>
            <w:tcW w:type="dxa" w:w="1872"/>
            <w:vAlign w:val="center"/>
            <w:tcMar>
              <w:top w:w="70" w:type="dxa"/>
              <w:start w:w="110" w:type="dxa"/>
              <w:bottom w:w="70" w:type="dxa"/>
              <w:end w:w="110" w:type="dxa"/>
            </w:tcMar>
          </w:tcPr>
          <w:p>
            <w:pPr>
              <w:widowControl/>
              <w:spacing w:after="0"/>
            </w:pPr>
            <w:r>
              <w:rPr>
                <w:rFonts w:ascii="Arial" w:hAnsi="Arial"/>
                <w:sz w:val="17"/>
              </w:rPr>
              <w:t>1</w:t>
            </w:r>
          </w:p>
        </w:tc>
        <w:tc>
          <w:tcPr>
            <w:tcW w:type="dxa" w:w="3600"/>
            <w:vAlign w:val="center"/>
            <w:tcMar>
              <w:top w:w="70" w:type="dxa"/>
              <w:start w:w="110" w:type="dxa"/>
              <w:bottom w:w="70" w:type="dxa"/>
              <w:end w:w="110" w:type="dxa"/>
            </w:tcMar>
          </w:tcPr>
          <w:p>
            <w:pPr>
              <w:widowControl/>
              <w:spacing w:after="0"/>
            </w:pPr>
            <w:r>
              <w:rPr>
                <w:rFonts w:ascii="Arial" w:hAnsi="Arial"/>
                <w:sz w:val="17"/>
              </w:rPr>
              <w:t>1,378</w:t>
            </w:r>
          </w:p>
        </w:tc>
      </w:tr>
      <w:tr>
        <w:trPr>
          <w:cantSplit/>
        </w:trPr>
        <w:tc>
          <w:tcPr>
            <w:tcW w:type="dxa" w:w="1872"/>
            <w:vAlign w:val="center"/>
            <w:tcMar>
              <w:top w:w="70" w:type="dxa"/>
              <w:start w:w="110" w:type="dxa"/>
              <w:bottom w:w="70" w:type="dxa"/>
              <w:end w:w="110" w:type="dxa"/>
            </w:tcMar>
            <w:shd w:fill="F4F6F7"/>
          </w:tcPr>
          <w:p>
            <w:pPr>
              <w:widowControl/>
              <w:spacing w:after="0"/>
            </w:pPr>
            <w:r>
              <w:rPr>
                <w:rFonts w:ascii="Arial" w:hAnsi="Arial"/>
                <w:sz w:val="17"/>
              </w:rPr>
              <w:t>2</w:t>
            </w:r>
          </w:p>
        </w:tc>
        <w:tc>
          <w:tcPr>
            <w:tcW w:type="dxa" w:w="3600"/>
            <w:vAlign w:val="center"/>
            <w:tcMar>
              <w:top w:w="70" w:type="dxa"/>
              <w:start w:w="110" w:type="dxa"/>
              <w:bottom w:w="70" w:type="dxa"/>
              <w:end w:w="110" w:type="dxa"/>
            </w:tcMar>
            <w:shd w:fill="F4F6F7"/>
          </w:tcPr>
          <w:p>
            <w:pPr>
              <w:widowControl/>
              <w:spacing w:after="0"/>
            </w:pPr>
            <w:r>
              <w:rPr>
                <w:rFonts w:ascii="Arial" w:hAnsi="Arial"/>
                <w:sz w:val="17"/>
              </w:rPr>
              <w:t>2,068</w:t>
            </w:r>
          </w:p>
        </w:tc>
      </w:tr>
      <w:tr>
        <w:trPr>
          <w:cantSplit/>
        </w:trPr>
        <w:tc>
          <w:tcPr>
            <w:tcW w:type="dxa" w:w="1872"/>
            <w:vAlign w:val="center"/>
            <w:tcMar>
              <w:top w:w="70" w:type="dxa"/>
              <w:start w:w="110" w:type="dxa"/>
              <w:bottom w:w="70" w:type="dxa"/>
              <w:end w:w="110" w:type="dxa"/>
            </w:tcMar>
          </w:tcPr>
          <w:p>
            <w:pPr>
              <w:widowControl/>
              <w:spacing w:after="0"/>
            </w:pPr>
            <w:r>
              <w:rPr>
                <w:rFonts w:ascii="Arial" w:hAnsi="Arial"/>
                <w:sz w:val="17"/>
              </w:rPr>
              <w:t>3</w:t>
            </w:r>
          </w:p>
        </w:tc>
        <w:tc>
          <w:tcPr>
            <w:tcW w:type="dxa" w:w="3600"/>
            <w:vAlign w:val="center"/>
            <w:tcMar>
              <w:top w:w="70" w:type="dxa"/>
              <w:start w:w="110" w:type="dxa"/>
              <w:bottom w:w="70" w:type="dxa"/>
              <w:end w:w="110" w:type="dxa"/>
            </w:tcMar>
          </w:tcPr>
          <w:p>
            <w:pPr>
              <w:widowControl/>
              <w:spacing w:after="0"/>
            </w:pPr>
            <w:r>
              <w:rPr>
                <w:rFonts w:ascii="Arial" w:hAnsi="Arial"/>
                <w:sz w:val="17"/>
              </w:rPr>
              <w:t>2,757</w:t>
            </w:r>
          </w:p>
        </w:tc>
      </w:tr>
      <w:tr>
        <w:trPr>
          <w:cantSplit/>
        </w:trPr>
        <w:tc>
          <w:tcPr>
            <w:tcW w:type="dxa" w:w="1872"/>
            <w:vAlign w:val="center"/>
            <w:tcMar>
              <w:top w:w="70" w:type="dxa"/>
              <w:start w:w="110" w:type="dxa"/>
              <w:bottom w:w="70" w:type="dxa"/>
              <w:end w:w="110" w:type="dxa"/>
            </w:tcMar>
            <w:shd w:fill="F4F6F7"/>
          </w:tcPr>
          <w:p>
            <w:pPr>
              <w:widowControl/>
              <w:spacing w:after="0"/>
            </w:pPr>
            <w:r>
              <w:rPr>
                <w:rFonts w:ascii="Arial" w:hAnsi="Arial"/>
                <w:sz w:val="17"/>
              </w:rPr>
              <w:t>4</w:t>
            </w:r>
          </w:p>
        </w:tc>
        <w:tc>
          <w:tcPr>
            <w:tcW w:type="dxa" w:w="3600"/>
            <w:vAlign w:val="center"/>
            <w:tcMar>
              <w:top w:w="70" w:type="dxa"/>
              <w:start w:w="110" w:type="dxa"/>
              <w:bottom w:w="70" w:type="dxa"/>
              <w:end w:w="110" w:type="dxa"/>
            </w:tcMar>
            <w:shd w:fill="F4F6F7"/>
          </w:tcPr>
          <w:p>
            <w:pPr>
              <w:widowControl/>
              <w:spacing w:after="0"/>
            </w:pPr>
            <w:r>
              <w:rPr>
                <w:rFonts w:ascii="Arial" w:hAnsi="Arial"/>
                <w:sz w:val="17"/>
              </w:rPr>
              <w:t>3,446</w:t>
            </w:r>
          </w:p>
        </w:tc>
      </w:tr>
      <w:tr>
        <w:trPr>
          <w:cantSplit/>
        </w:trPr>
        <w:tc>
          <w:tcPr>
            <w:tcW w:type="dxa" w:w="1872"/>
            <w:vAlign w:val="center"/>
            <w:tcMar>
              <w:top w:w="70" w:type="dxa"/>
              <w:start w:w="110" w:type="dxa"/>
              <w:bottom w:w="70" w:type="dxa"/>
              <w:end w:w="110" w:type="dxa"/>
            </w:tcMar>
          </w:tcPr>
          <w:p>
            <w:pPr>
              <w:widowControl/>
              <w:spacing w:after="0"/>
            </w:pPr>
            <w:r>
              <w:rPr>
                <w:rFonts w:ascii="Arial" w:hAnsi="Arial"/>
                <w:sz w:val="17"/>
              </w:rPr>
              <w:t>5</w:t>
            </w:r>
          </w:p>
        </w:tc>
        <w:tc>
          <w:tcPr>
            <w:tcW w:type="dxa" w:w="3600"/>
            <w:vAlign w:val="center"/>
            <w:tcMar>
              <w:top w:w="70" w:type="dxa"/>
              <w:start w:w="110" w:type="dxa"/>
              <w:bottom w:w="70" w:type="dxa"/>
              <w:end w:w="110" w:type="dxa"/>
            </w:tcMar>
          </w:tcPr>
          <w:p>
            <w:pPr>
              <w:widowControl/>
              <w:spacing w:after="0"/>
            </w:pPr>
            <w:r>
              <w:rPr>
                <w:rFonts w:ascii="Arial" w:hAnsi="Arial"/>
                <w:sz w:val="17"/>
              </w:rPr>
              <w:t>4,135</w:t>
            </w:r>
          </w:p>
        </w:tc>
      </w:tr>
      <w:tr>
        <w:trPr>
          <w:cantSplit/>
        </w:trPr>
        <w:tc>
          <w:tcPr>
            <w:tcW w:type="dxa" w:w="1872"/>
            <w:vAlign w:val="center"/>
            <w:tcMar>
              <w:top w:w="70" w:type="dxa"/>
              <w:start w:w="110" w:type="dxa"/>
              <w:bottom w:w="70" w:type="dxa"/>
              <w:end w:w="110" w:type="dxa"/>
            </w:tcMar>
            <w:shd w:fill="F4F6F7"/>
          </w:tcPr>
          <w:p>
            <w:pPr>
              <w:widowControl/>
              <w:spacing w:after="0"/>
            </w:pPr>
            <w:r>
              <w:rPr>
                <w:rFonts w:ascii="Arial" w:hAnsi="Arial"/>
                <w:sz w:val="17"/>
              </w:rPr>
              <w:t>6</w:t>
            </w:r>
          </w:p>
        </w:tc>
        <w:tc>
          <w:tcPr>
            <w:tcW w:type="dxa" w:w="3600"/>
            <w:vAlign w:val="center"/>
            <w:tcMar>
              <w:top w:w="70" w:type="dxa"/>
              <w:start w:w="110" w:type="dxa"/>
              <w:bottom w:w="70" w:type="dxa"/>
              <w:end w:w="110" w:type="dxa"/>
            </w:tcMar>
            <w:shd w:fill="F4F6F7"/>
          </w:tcPr>
          <w:p>
            <w:pPr>
              <w:widowControl/>
              <w:spacing w:after="0"/>
            </w:pPr>
            <w:r>
              <w:rPr>
                <w:rFonts w:ascii="Arial" w:hAnsi="Arial"/>
                <w:sz w:val="17"/>
              </w:rPr>
              <w:t>4,176</w:t>
            </w:r>
          </w:p>
        </w:tc>
      </w:tr>
      <w:tr>
        <w:trPr>
          <w:cantSplit/>
        </w:trPr>
        <w:tc>
          <w:tcPr>
            <w:tcW w:type="dxa" w:w="1872"/>
            <w:vAlign w:val="center"/>
            <w:tcMar>
              <w:top w:w="70" w:type="dxa"/>
              <w:start w:w="110" w:type="dxa"/>
              <w:bottom w:w="70" w:type="dxa"/>
              <w:end w:w="110" w:type="dxa"/>
            </w:tcMar>
          </w:tcPr>
          <w:p>
            <w:pPr>
              <w:widowControl/>
              <w:spacing w:after="0"/>
            </w:pPr>
            <w:r>
              <w:rPr>
                <w:rFonts w:ascii="Arial" w:hAnsi="Arial"/>
                <w:sz w:val="17"/>
              </w:rPr>
              <w:t>7</w:t>
            </w:r>
          </w:p>
        </w:tc>
        <w:tc>
          <w:tcPr>
            <w:tcW w:type="dxa" w:w="3600"/>
            <w:vAlign w:val="center"/>
            <w:tcMar>
              <w:top w:w="70" w:type="dxa"/>
              <w:start w:w="110" w:type="dxa"/>
              <w:bottom w:w="70" w:type="dxa"/>
              <w:end w:w="110" w:type="dxa"/>
            </w:tcMar>
          </w:tcPr>
          <w:p>
            <w:pPr>
              <w:widowControl/>
              <w:spacing w:after="0"/>
            </w:pPr>
            <w:r>
              <w:rPr>
                <w:rFonts w:ascii="Arial" w:hAnsi="Arial"/>
                <w:sz w:val="17"/>
              </w:rPr>
              <w:t>4,218</w:t>
            </w:r>
          </w:p>
        </w:tc>
      </w:tr>
      <w:tr>
        <w:trPr>
          <w:cantSplit/>
        </w:trPr>
        <w:tc>
          <w:tcPr>
            <w:tcW w:type="dxa" w:w="1872"/>
            <w:vAlign w:val="center"/>
            <w:tcMar>
              <w:top w:w="70" w:type="dxa"/>
              <w:start w:w="110" w:type="dxa"/>
              <w:bottom w:w="70" w:type="dxa"/>
              <w:end w:w="110" w:type="dxa"/>
            </w:tcMar>
            <w:shd w:fill="F4F6F7"/>
          </w:tcPr>
          <w:p>
            <w:pPr>
              <w:widowControl/>
              <w:spacing w:after="0"/>
            </w:pPr>
            <w:r>
              <w:rPr>
                <w:rFonts w:ascii="Arial" w:hAnsi="Arial"/>
                <w:sz w:val="17"/>
              </w:rPr>
              <w:t>8</w:t>
            </w:r>
          </w:p>
        </w:tc>
        <w:tc>
          <w:tcPr>
            <w:tcW w:type="dxa" w:w="3600"/>
            <w:vAlign w:val="center"/>
            <w:tcMar>
              <w:top w:w="70" w:type="dxa"/>
              <w:start w:w="110" w:type="dxa"/>
              <w:bottom w:w="70" w:type="dxa"/>
              <w:end w:w="110" w:type="dxa"/>
            </w:tcMar>
            <w:shd w:fill="F4F6F7"/>
          </w:tcPr>
          <w:p>
            <w:pPr>
              <w:widowControl/>
              <w:spacing w:after="0"/>
            </w:pPr>
            <w:r>
              <w:rPr>
                <w:rFonts w:ascii="Arial" w:hAnsi="Arial"/>
                <w:sz w:val="17"/>
              </w:rPr>
              <w:t>4,260</w:t>
            </w:r>
          </w:p>
        </w:tc>
      </w:tr>
      <w:tr>
        <w:trPr>
          <w:cantSplit/>
        </w:trPr>
        <w:tc>
          <w:tcPr>
            <w:tcW w:type="dxa" w:w="1872"/>
            <w:vAlign w:val="center"/>
            <w:tcMar>
              <w:top w:w="70" w:type="dxa"/>
              <w:start w:w="110" w:type="dxa"/>
              <w:bottom w:w="70" w:type="dxa"/>
              <w:end w:w="110" w:type="dxa"/>
            </w:tcMar>
          </w:tcPr>
          <w:p>
            <w:pPr>
              <w:widowControl/>
              <w:spacing w:after="0"/>
            </w:pPr>
            <w:r>
              <w:rPr>
                <w:rFonts w:ascii="Arial" w:hAnsi="Arial"/>
                <w:sz w:val="17"/>
              </w:rPr>
              <w:t>9</w:t>
            </w:r>
          </w:p>
        </w:tc>
        <w:tc>
          <w:tcPr>
            <w:tcW w:type="dxa" w:w="3600"/>
            <w:vAlign w:val="center"/>
            <w:tcMar>
              <w:top w:w="70" w:type="dxa"/>
              <w:start w:w="110" w:type="dxa"/>
              <w:bottom w:w="70" w:type="dxa"/>
              <w:end w:w="110" w:type="dxa"/>
            </w:tcMar>
          </w:tcPr>
          <w:p>
            <w:pPr>
              <w:widowControl/>
              <w:spacing w:after="0"/>
            </w:pPr>
            <w:r>
              <w:rPr>
                <w:rFonts w:ascii="Arial" w:hAnsi="Arial"/>
                <w:sz w:val="17"/>
              </w:rPr>
              <w:t>4,303</w:t>
            </w:r>
          </w:p>
        </w:tc>
      </w:tr>
      <w:tr>
        <w:trPr>
          <w:cantSplit/>
        </w:trPr>
        <w:tc>
          <w:tcPr>
            <w:tcW w:type="dxa" w:w="1872"/>
            <w:vAlign w:val="center"/>
            <w:tcMar>
              <w:top w:w="70" w:type="dxa"/>
              <w:start w:w="110" w:type="dxa"/>
              <w:bottom w:w="70" w:type="dxa"/>
              <w:end w:w="110" w:type="dxa"/>
            </w:tcMar>
            <w:shd w:fill="F4F6F7"/>
          </w:tcPr>
          <w:p>
            <w:pPr>
              <w:widowControl/>
              <w:spacing w:after="0"/>
            </w:pPr>
            <w:r>
              <w:rPr>
                <w:rFonts w:ascii="Arial" w:hAnsi="Arial"/>
                <w:sz w:val="17"/>
              </w:rPr>
              <w:t>10</w:t>
            </w:r>
          </w:p>
        </w:tc>
        <w:tc>
          <w:tcPr>
            <w:tcW w:type="dxa" w:w="3600"/>
            <w:vAlign w:val="center"/>
            <w:tcMar>
              <w:top w:w="70" w:type="dxa"/>
              <w:start w:w="110" w:type="dxa"/>
              <w:bottom w:w="70" w:type="dxa"/>
              <w:end w:w="110" w:type="dxa"/>
            </w:tcMar>
            <w:shd w:fill="F4F6F7"/>
          </w:tcPr>
          <w:p>
            <w:pPr>
              <w:widowControl/>
              <w:spacing w:after="0"/>
            </w:pPr>
            <w:r>
              <w:rPr>
                <w:rFonts w:ascii="Arial" w:hAnsi="Arial"/>
                <w:sz w:val="17"/>
              </w:rPr>
              <w:t>4,346</w:t>
            </w:r>
          </w:p>
        </w:tc>
      </w:tr>
      <w:tr>
        <w:trPr>
          <w:cantSplit/>
        </w:trPr>
        <w:tc>
          <w:tcPr>
            <w:tcW w:type="dxa" w:w="1872"/>
            <w:vAlign w:val="center"/>
            <w:tcMar>
              <w:top w:w="70" w:type="dxa"/>
              <w:start w:w="110" w:type="dxa"/>
              <w:bottom w:w="70" w:type="dxa"/>
              <w:end w:w="110" w:type="dxa"/>
            </w:tcMar>
          </w:tcPr>
          <w:p>
            <w:pPr>
              <w:widowControl/>
              <w:spacing w:after="0"/>
            </w:pPr>
            <w:r>
              <w:rPr>
                <w:rFonts w:ascii="Arial" w:hAnsi="Arial"/>
                <w:sz w:val="17"/>
              </w:rPr>
              <w:t>11</w:t>
            </w:r>
          </w:p>
        </w:tc>
        <w:tc>
          <w:tcPr>
            <w:tcW w:type="dxa" w:w="3600"/>
            <w:vAlign w:val="center"/>
            <w:tcMar>
              <w:top w:w="70" w:type="dxa"/>
              <w:start w:w="110" w:type="dxa"/>
              <w:bottom w:w="70" w:type="dxa"/>
              <w:end w:w="110" w:type="dxa"/>
            </w:tcMar>
          </w:tcPr>
          <w:p>
            <w:pPr>
              <w:widowControl/>
              <w:spacing w:after="0"/>
            </w:pPr>
            <w:r>
              <w:rPr>
                <w:rFonts w:ascii="Arial" w:hAnsi="Arial"/>
                <w:sz w:val="17"/>
              </w:rPr>
              <w:t>4,389</w:t>
            </w:r>
          </w:p>
        </w:tc>
      </w:tr>
      <w:tr>
        <w:trPr>
          <w:cantSplit/>
        </w:trPr>
        <w:tc>
          <w:tcPr>
            <w:tcW w:type="dxa" w:w="1872"/>
            <w:vAlign w:val="center"/>
            <w:tcMar>
              <w:top w:w="70" w:type="dxa"/>
              <w:start w:w="110" w:type="dxa"/>
              <w:bottom w:w="70" w:type="dxa"/>
              <w:end w:w="110" w:type="dxa"/>
            </w:tcMar>
            <w:shd w:fill="F4F6F7"/>
          </w:tcPr>
          <w:p>
            <w:pPr>
              <w:widowControl/>
              <w:spacing w:after="0"/>
            </w:pPr>
            <w:r>
              <w:rPr>
                <w:rFonts w:ascii="Arial" w:hAnsi="Arial"/>
                <w:sz w:val="17"/>
              </w:rPr>
              <w:t>12</w:t>
            </w:r>
          </w:p>
        </w:tc>
        <w:tc>
          <w:tcPr>
            <w:tcW w:type="dxa" w:w="3600"/>
            <w:vAlign w:val="center"/>
            <w:tcMar>
              <w:top w:w="70" w:type="dxa"/>
              <w:start w:w="110" w:type="dxa"/>
              <w:bottom w:w="70" w:type="dxa"/>
              <w:end w:w="110" w:type="dxa"/>
            </w:tcMar>
            <w:shd w:fill="F4F6F7"/>
          </w:tcPr>
          <w:p>
            <w:pPr>
              <w:widowControl/>
              <w:spacing w:after="0"/>
            </w:pPr>
            <w:r>
              <w:rPr>
                <w:rFonts w:ascii="Arial" w:hAnsi="Arial"/>
                <w:sz w:val="17"/>
              </w:rPr>
              <w:t>4,433</w:t>
            </w:r>
          </w:p>
        </w:tc>
      </w:tr>
      <w:tr>
        <w:trPr>
          <w:cantSplit/>
        </w:trPr>
        <w:tc>
          <w:tcPr>
            <w:tcW w:type="dxa" w:w="1872"/>
            <w:vAlign w:val="center"/>
            <w:tcMar>
              <w:top w:w="70" w:type="dxa"/>
              <w:start w:w="110" w:type="dxa"/>
              <w:bottom w:w="70" w:type="dxa"/>
              <w:end w:w="110" w:type="dxa"/>
            </w:tcMar>
          </w:tcPr>
          <w:p>
            <w:pPr>
              <w:widowControl/>
              <w:spacing w:after="0"/>
            </w:pPr>
            <w:r>
              <w:rPr>
                <w:rFonts w:ascii="Arial" w:hAnsi="Arial"/>
                <w:sz w:val="17"/>
              </w:rPr>
              <w:t>13</w:t>
            </w:r>
          </w:p>
        </w:tc>
        <w:tc>
          <w:tcPr>
            <w:tcW w:type="dxa" w:w="3600"/>
            <w:vAlign w:val="center"/>
            <w:tcMar>
              <w:top w:w="70" w:type="dxa"/>
              <w:start w:w="110" w:type="dxa"/>
              <w:bottom w:w="70" w:type="dxa"/>
              <w:end w:w="110" w:type="dxa"/>
            </w:tcMar>
          </w:tcPr>
          <w:p>
            <w:pPr>
              <w:widowControl/>
              <w:spacing w:after="0"/>
            </w:pPr>
            <w:r>
              <w:rPr>
                <w:rFonts w:ascii="Arial" w:hAnsi="Arial"/>
                <w:sz w:val="17"/>
              </w:rPr>
              <w:t>4,478</w:t>
            </w:r>
          </w:p>
        </w:tc>
      </w:tr>
      <w:tr>
        <w:trPr>
          <w:cantSplit/>
        </w:trPr>
        <w:tc>
          <w:tcPr>
            <w:tcW w:type="dxa" w:w="1872"/>
            <w:vAlign w:val="center"/>
            <w:tcMar>
              <w:top w:w="70" w:type="dxa"/>
              <w:start w:w="110" w:type="dxa"/>
              <w:bottom w:w="70" w:type="dxa"/>
              <w:end w:w="110" w:type="dxa"/>
            </w:tcMar>
            <w:shd w:fill="F4F6F7"/>
          </w:tcPr>
          <w:p>
            <w:pPr>
              <w:widowControl/>
              <w:spacing w:after="0"/>
            </w:pPr>
            <w:r>
              <w:rPr>
                <w:rFonts w:ascii="Arial" w:hAnsi="Arial"/>
                <w:sz w:val="17"/>
              </w:rPr>
              <w:t>14</w:t>
            </w:r>
          </w:p>
        </w:tc>
        <w:tc>
          <w:tcPr>
            <w:tcW w:type="dxa" w:w="3600"/>
            <w:vAlign w:val="center"/>
            <w:tcMar>
              <w:top w:w="70" w:type="dxa"/>
              <w:start w:w="110" w:type="dxa"/>
              <w:bottom w:w="70" w:type="dxa"/>
              <w:end w:w="110" w:type="dxa"/>
            </w:tcMar>
            <w:shd w:fill="F4F6F7"/>
          </w:tcPr>
          <w:p>
            <w:pPr>
              <w:widowControl/>
              <w:spacing w:after="0"/>
            </w:pPr>
            <w:r>
              <w:rPr>
                <w:rFonts w:ascii="Arial" w:hAnsi="Arial"/>
                <w:sz w:val="17"/>
              </w:rPr>
              <w:t>4,522</w:t>
            </w:r>
          </w:p>
        </w:tc>
      </w:tr>
      <w:tr>
        <w:trPr>
          <w:cantSplit/>
        </w:trPr>
        <w:tc>
          <w:tcPr>
            <w:tcW w:type="dxa" w:w="1872"/>
            <w:vAlign w:val="center"/>
            <w:tcMar>
              <w:top w:w="70" w:type="dxa"/>
              <w:start w:w="110" w:type="dxa"/>
              <w:bottom w:w="70" w:type="dxa"/>
              <w:end w:w="110" w:type="dxa"/>
            </w:tcMar>
          </w:tcPr>
          <w:p>
            <w:pPr>
              <w:widowControl/>
              <w:spacing w:after="0"/>
            </w:pPr>
            <w:r>
              <w:rPr>
                <w:rFonts w:ascii="Arial" w:hAnsi="Arial"/>
                <w:sz w:val="17"/>
              </w:rPr>
              <w:t>15</w:t>
            </w:r>
          </w:p>
        </w:tc>
        <w:tc>
          <w:tcPr>
            <w:tcW w:type="dxa" w:w="3600"/>
            <w:vAlign w:val="center"/>
            <w:tcMar>
              <w:top w:w="70" w:type="dxa"/>
              <w:start w:w="110" w:type="dxa"/>
              <w:bottom w:w="70" w:type="dxa"/>
              <w:end w:w="110" w:type="dxa"/>
            </w:tcMar>
          </w:tcPr>
          <w:p>
            <w:pPr>
              <w:widowControl/>
              <w:spacing w:after="0"/>
            </w:pPr>
            <w:r>
              <w:rPr>
                <w:rFonts w:ascii="Arial" w:hAnsi="Arial"/>
                <w:sz w:val="17"/>
              </w:rPr>
              <w:t>4,568</w:t>
            </w:r>
          </w:p>
        </w:tc>
      </w:tr>
      <w:tr>
        <w:trPr>
          <w:cantSplit/>
        </w:trPr>
        <w:tc>
          <w:tcPr>
            <w:tcW w:type="dxa" w:w="1872"/>
            <w:vAlign w:val="center"/>
            <w:tcMar>
              <w:top w:w="70" w:type="dxa"/>
              <w:start w:w="110" w:type="dxa"/>
              <w:bottom w:w="70" w:type="dxa"/>
              <w:end w:w="110" w:type="dxa"/>
            </w:tcMar>
            <w:shd w:fill="F4F6F7"/>
          </w:tcPr>
          <w:p>
            <w:pPr>
              <w:widowControl/>
              <w:spacing w:after="0"/>
            </w:pPr>
            <w:r>
              <w:rPr>
                <w:rFonts w:ascii="Arial" w:hAnsi="Arial"/>
                <w:sz w:val="17"/>
              </w:rPr>
              <w:t>16</w:t>
            </w:r>
          </w:p>
        </w:tc>
        <w:tc>
          <w:tcPr>
            <w:tcW w:type="dxa" w:w="3600"/>
            <w:vAlign w:val="center"/>
            <w:tcMar>
              <w:top w:w="70" w:type="dxa"/>
              <w:start w:w="110" w:type="dxa"/>
              <w:bottom w:w="70" w:type="dxa"/>
              <w:end w:w="110" w:type="dxa"/>
            </w:tcMar>
            <w:shd w:fill="F4F6F7"/>
          </w:tcPr>
          <w:p>
            <w:pPr>
              <w:widowControl/>
              <w:spacing w:after="0"/>
            </w:pPr>
            <w:r>
              <w:rPr>
                <w:rFonts w:ascii="Arial" w:hAnsi="Arial"/>
                <w:sz w:val="17"/>
              </w:rPr>
              <w:t>4,613</w:t>
            </w:r>
          </w:p>
        </w:tc>
      </w:tr>
      <w:tr>
        <w:trPr>
          <w:cantSplit/>
        </w:trPr>
        <w:tc>
          <w:tcPr>
            <w:tcW w:type="dxa" w:w="1872"/>
            <w:vAlign w:val="center"/>
            <w:tcMar>
              <w:top w:w="70" w:type="dxa"/>
              <w:start w:w="110" w:type="dxa"/>
              <w:bottom w:w="70" w:type="dxa"/>
              <w:end w:w="110" w:type="dxa"/>
            </w:tcMar>
          </w:tcPr>
          <w:p>
            <w:pPr>
              <w:widowControl/>
              <w:spacing w:after="0"/>
            </w:pPr>
            <w:r>
              <w:rPr>
                <w:rFonts w:ascii="Arial" w:hAnsi="Arial"/>
                <w:sz w:val="17"/>
              </w:rPr>
              <w:t>17</w:t>
            </w:r>
          </w:p>
        </w:tc>
        <w:tc>
          <w:tcPr>
            <w:tcW w:type="dxa" w:w="3600"/>
            <w:vAlign w:val="center"/>
            <w:tcMar>
              <w:top w:w="70" w:type="dxa"/>
              <w:start w:w="110" w:type="dxa"/>
              <w:bottom w:w="70" w:type="dxa"/>
              <w:end w:w="110" w:type="dxa"/>
            </w:tcMar>
          </w:tcPr>
          <w:p>
            <w:pPr>
              <w:widowControl/>
              <w:spacing w:after="0"/>
            </w:pPr>
            <w:r>
              <w:rPr>
                <w:rFonts w:ascii="Arial" w:hAnsi="Arial"/>
                <w:sz w:val="17"/>
              </w:rPr>
              <w:t>4,659</w:t>
            </w:r>
          </w:p>
        </w:tc>
      </w:tr>
      <w:tr>
        <w:trPr>
          <w:cantSplit/>
        </w:trPr>
        <w:tc>
          <w:tcPr>
            <w:tcW w:type="dxa" w:w="1872"/>
            <w:vAlign w:val="center"/>
            <w:tcMar>
              <w:top w:w="70" w:type="dxa"/>
              <w:start w:w="110" w:type="dxa"/>
              <w:bottom w:w="70" w:type="dxa"/>
              <w:end w:w="110" w:type="dxa"/>
            </w:tcMar>
            <w:shd w:fill="F4F6F7"/>
          </w:tcPr>
          <w:p>
            <w:pPr>
              <w:widowControl/>
              <w:spacing w:after="0"/>
            </w:pPr>
            <w:r>
              <w:rPr>
                <w:rFonts w:ascii="Arial" w:hAnsi="Arial"/>
                <w:sz w:val="17"/>
              </w:rPr>
              <w:t>18</w:t>
            </w:r>
          </w:p>
        </w:tc>
        <w:tc>
          <w:tcPr>
            <w:tcW w:type="dxa" w:w="3600"/>
            <w:vAlign w:val="center"/>
            <w:tcMar>
              <w:top w:w="70" w:type="dxa"/>
              <w:start w:w="110" w:type="dxa"/>
              <w:bottom w:w="70" w:type="dxa"/>
              <w:end w:w="110" w:type="dxa"/>
            </w:tcMar>
            <w:shd w:fill="F4F6F7"/>
          </w:tcPr>
          <w:p>
            <w:pPr>
              <w:widowControl/>
              <w:spacing w:after="0"/>
            </w:pPr>
            <w:r>
              <w:rPr>
                <w:rFonts w:ascii="Arial" w:hAnsi="Arial"/>
                <w:sz w:val="17"/>
              </w:rPr>
              <w:t>4,706</w:t>
            </w:r>
          </w:p>
        </w:tc>
      </w:tr>
    </w:tbl>
    <w:p>
      <w:pPr>
        <w:widowControl/>
      </w:pPr>
      <w:r>
        <w:t>Starting in quota year 19, the quantity shall remain at 4,706 MT per year. (b) This paragraph applies to goods classified in the following tariff items: 0403.10.10 and 0403.90.91 (c) This TRQ shall be allocated on a calendar year basis. 14.</w:t>
      </w:r>
    </w:p>
    <w:p>
      <w:pPr>
        <w:widowControl/>
      </w:pPr>
      <w:r>
        <w:t>TRQ-CA10: Powdered Buttermilk (a) The aggregate quantity of originating goods described in subparagraph (b) that shall be permitted to enter duty-free in each quota year under this TRQ is:</w:t>
      </w:r>
    </w:p>
    <w:tbl>
      <w:tblPr>
        <w:tblStyle w:val="TableGrid"/>
        <w:tblW w:type="auto" w:w="0"/>
        <w:jc w:val="center"/>
        <w:tblLayout w:type="autofit"/>
        <w:tblLook w:firstColumn="1" w:firstRow="1" w:lastColumn="0" w:lastRow="0" w:noHBand="0" w:noVBand="1" w:val="04A0"/>
      </w:tblPr>
      <w:tblGrid>
        <w:gridCol w:w="4680"/>
        <w:gridCol w:w="4680"/>
      </w:tblGrid>
      <w:tr>
        <w:trPr>
          <w:tblHeader w:val="true"/>
          <w:cantSplit/>
          <w:tblHeader w:val="true"/>
        </w:trPr>
        <w:tc>
          <w:tcPr>
            <w:tcW w:type="dxa" w:w="4680"/>
            <w:shd w:fill="233746"/>
          </w:tcPr>
          <w:p>
            <w:pPr>
              <w:spacing w:after="0"/>
            </w:pPr>
            <w:r>
              <w:rPr>
                <w:rFonts w:ascii="Arial" w:hAnsi="Arial"/>
                <w:b/>
                <w:color w:val="FFFFFF"/>
                <w:sz w:val="17"/>
              </w:rPr>
              <w:t>Quota Year</w:t>
            </w:r>
          </w:p>
        </w:tc>
        <w:tc>
          <w:tcPr>
            <w:tcW w:type="dxa" w:w="4680"/>
            <w:shd w:fill="233746"/>
          </w:tcPr>
          <w:p>
            <w:pPr>
              <w:spacing w:after="0"/>
            </w:pPr>
            <w:r>
              <w:rPr>
                <w:rFonts w:ascii="Arial" w:hAnsi="Arial"/>
                <w:b/>
                <w:color w:val="FFFFFF"/>
                <w:sz w:val="17"/>
              </w:rPr>
              <w:t>Aggregate Quantity (MT)</w:t>
            </w:r>
          </w:p>
        </w:tc>
      </w:tr>
      <w:tr>
        <w:tc>
          <w:tcPr>
            <w:tcW w:type="dxa" w:w="4680"/>
            <w:tcMar>
              <w:top w:w="70" w:type="dxa"/>
              <w:start w:w="110" w:type="dxa"/>
              <w:bottom w:w="70" w:type="dxa"/>
              <w:end w:w="110" w:type="dxa"/>
            </w:tcMar>
          </w:tcPr>
          <w:p>
            <w:pPr>
              <w:widowControl/>
              <w:spacing w:after="0"/>
            </w:pPr>
            <w:r>
              <w:rPr>
                <w:rFonts w:ascii="Arial" w:hAnsi="Arial"/>
                <w:sz w:val="17"/>
              </w:rPr>
              <w:t>1</w:t>
            </w:r>
          </w:p>
        </w:tc>
        <w:tc>
          <w:tcPr>
            <w:tcW w:type="dxa" w:w="4680"/>
            <w:tcMar>
              <w:top w:w="70" w:type="dxa"/>
              <w:start w:w="110" w:type="dxa"/>
              <w:bottom w:w="70" w:type="dxa"/>
              <w:end w:w="110" w:type="dxa"/>
            </w:tcMar>
          </w:tcPr>
          <w:p>
            <w:pPr>
              <w:widowControl/>
              <w:spacing w:after="0"/>
            </w:pPr>
            <w:r>
              <w:rPr>
                <w:rFonts w:ascii="Arial" w:hAnsi="Arial"/>
                <w:sz w:val="17"/>
              </w:rPr>
              <w:t>87</w:t>
            </w:r>
          </w:p>
        </w:tc>
      </w:tr>
      <w:tr>
        <w:tc>
          <w:tcPr>
            <w:tcW w:type="dxa" w:w="4680"/>
            <w:tcMar>
              <w:top w:w="70" w:type="dxa"/>
              <w:start w:w="110" w:type="dxa"/>
              <w:bottom w:w="70" w:type="dxa"/>
              <w:end w:w="110" w:type="dxa"/>
            </w:tcMar>
            <w:shd w:fill="F4F6F7"/>
          </w:tcPr>
          <w:p>
            <w:pPr>
              <w:widowControl/>
              <w:spacing w:after="0"/>
            </w:pPr>
            <w:r>
              <w:rPr>
                <w:rFonts w:ascii="Arial" w:hAnsi="Arial"/>
                <w:sz w:val="17"/>
              </w:rPr>
              <w:t>2</w:t>
            </w:r>
          </w:p>
        </w:tc>
        <w:tc>
          <w:tcPr>
            <w:tcW w:type="dxa" w:w="4680"/>
            <w:tcMar>
              <w:top w:w="70" w:type="dxa"/>
              <w:start w:w="110" w:type="dxa"/>
              <w:bottom w:w="70" w:type="dxa"/>
              <w:end w:w="110" w:type="dxa"/>
            </w:tcMar>
            <w:shd w:fill="F4F6F7"/>
          </w:tcPr>
          <w:p>
            <w:pPr>
              <w:widowControl/>
              <w:spacing w:after="0"/>
            </w:pPr>
            <w:r>
              <w:rPr>
                <w:rFonts w:ascii="Arial" w:hAnsi="Arial"/>
                <w:sz w:val="17"/>
              </w:rPr>
              <w:t>173</w:t>
            </w:r>
          </w:p>
        </w:tc>
      </w:tr>
      <w:tr>
        <w:tc>
          <w:tcPr>
            <w:tcW w:type="dxa" w:w="4680"/>
            <w:tcMar>
              <w:top w:w="70" w:type="dxa"/>
              <w:start w:w="110" w:type="dxa"/>
              <w:bottom w:w="70" w:type="dxa"/>
              <w:end w:w="110" w:type="dxa"/>
            </w:tcMar>
          </w:tcPr>
          <w:p>
            <w:pPr>
              <w:widowControl/>
              <w:spacing w:after="0"/>
            </w:pPr>
            <w:r>
              <w:rPr>
                <w:rFonts w:ascii="Arial" w:hAnsi="Arial"/>
                <w:sz w:val="17"/>
              </w:rPr>
              <w:t>3</w:t>
            </w:r>
          </w:p>
        </w:tc>
        <w:tc>
          <w:tcPr>
            <w:tcW w:type="dxa" w:w="4680"/>
            <w:tcMar>
              <w:top w:w="70" w:type="dxa"/>
              <w:start w:w="110" w:type="dxa"/>
              <w:bottom w:w="70" w:type="dxa"/>
              <w:end w:w="110" w:type="dxa"/>
            </w:tcMar>
          </w:tcPr>
          <w:p>
            <w:pPr>
              <w:widowControl/>
              <w:spacing w:after="0"/>
            </w:pPr>
            <w:r>
              <w:rPr>
                <w:rFonts w:ascii="Arial" w:hAnsi="Arial"/>
                <w:sz w:val="17"/>
              </w:rPr>
              <w:t>260</w:t>
            </w:r>
          </w:p>
        </w:tc>
      </w:tr>
      <w:tr>
        <w:tc>
          <w:tcPr>
            <w:tcW w:type="dxa" w:w="4680"/>
            <w:tcMar>
              <w:top w:w="70" w:type="dxa"/>
              <w:start w:w="110" w:type="dxa"/>
              <w:bottom w:w="70" w:type="dxa"/>
              <w:end w:w="110" w:type="dxa"/>
            </w:tcMar>
            <w:shd w:fill="F4F6F7"/>
          </w:tcPr>
          <w:p>
            <w:pPr>
              <w:widowControl/>
              <w:spacing w:after="0"/>
            </w:pPr>
            <w:r>
              <w:rPr>
                <w:rFonts w:ascii="Arial" w:hAnsi="Arial"/>
                <w:sz w:val="17"/>
              </w:rPr>
              <w:t>4</w:t>
            </w:r>
          </w:p>
        </w:tc>
        <w:tc>
          <w:tcPr>
            <w:tcW w:type="dxa" w:w="4680"/>
            <w:tcMar>
              <w:top w:w="70" w:type="dxa"/>
              <w:start w:w="110" w:type="dxa"/>
              <w:bottom w:w="70" w:type="dxa"/>
              <w:end w:w="110" w:type="dxa"/>
            </w:tcMar>
            <w:shd w:fill="F4F6F7"/>
          </w:tcPr>
          <w:p>
            <w:pPr>
              <w:widowControl/>
              <w:spacing w:after="0"/>
            </w:pPr>
            <w:r>
              <w:rPr>
                <w:rFonts w:ascii="Arial" w:hAnsi="Arial"/>
                <w:sz w:val="17"/>
              </w:rPr>
              <w:t>347</w:t>
            </w:r>
          </w:p>
        </w:tc>
      </w:tr>
      <w:tr>
        <w:tc>
          <w:tcPr>
            <w:tcW w:type="dxa" w:w="4680"/>
            <w:tcMar>
              <w:top w:w="70" w:type="dxa"/>
              <w:start w:w="110" w:type="dxa"/>
              <w:bottom w:w="70" w:type="dxa"/>
              <w:end w:w="110" w:type="dxa"/>
            </w:tcMar>
          </w:tcPr>
          <w:p>
            <w:pPr>
              <w:widowControl/>
              <w:spacing w:after="0"/>
            </w:pPr>
            <w:r>
              <w:rPr>
                <w:rFonts w:ascii="Arial" w:hAnsi="Arial"/>
                <w:sz w:val="17"/>
              </w:rPr>
              <w:t>5</w:t>
            </w:r>
          </w:p>
        </w:tc>
        <w:tc>
          <w:tcPr>
            <w:tcW w:type="dxa" w:w="4680"/>
            <w:tcMar>
              <w:top w:w="70" w:type="dxa"/>
              <w:start w:w="110" w:type="dxa"/>
              <w:bottom w:w="70" w:type="dxa"/>
              <w:end w:w="110" w:type="dxa"/>
            </w:tcMar>
          </w:tcPr>
          <w:p>
            <w:pPr>
              <w:widowControl/>
              <w:spacing w:after="0"/>
            </w:pPr>
            <w:r>
              <w:rPr>
                <w:rFonts w:ascii="Arial" w:hAnsi="Arial"/>
                <w:sz w:val="17"/>
              </w:rPr>
              <w:t>433</w:t>
            </w:r>
          </w:p>
        </w:tc>
      </w:tr>
      <w:tr>
        <w:tc>
          <w:tcPr>
            <w:tcW w:type="dxa" w:w="4680"/>
            <w:tcMar>
              <w:top w:w="70" w:type="dxa"/>
              <w:start w:w="110" w:type="dxa"/>
              <w:bottom w:w="70" w:type="dxa"/>
              <w:end w:w="110" w:type="dxa"/>
            </w:tcMar>
            <w:shd w:fill="F4F6F7"/>
          </w:tcPr>
          <w:p>
            <w:pPr>
              <w:widowControl/>
              <w:spacing w:after="0"/>
            </w:pPr>
            <w:r>
              <w:rPr>
                <w:rFonts w:ascii="Arial" w:hAnsi="Arial"/>
                <w:sz w:val="17"/>
              </w:rPr>
              <w:t>6</w:t>
            </w:r>
          </w:p>
        </w:tc>
        <w:tc>
          <w:tcPr>
            <w:tcW w:type="dxa" w:w="4680"/>
            <w:tcMar>
              <w:top w:w="70" w:type="dxa"/>
              <w:start w:w="110" w:type="dxa"/>
              <w:bottom w:w="70" w:type="dxa"/>
              <w:end w:w="110" w:type="dxa"/>
            </w:tcMar>
            <w:shd w:fill="F4F6F7"/>
          </w:tcPr>
          <w:p>
            <w:pPr>
              <w:widowControl/>
              <w:spacing w:after="0"/>
            </w:pPr>
            <w:r>
              <w:rPr>
                <w:rFonts w:ascii="Arial" w:hAnsi="Arial"/>
                <w:sz w:val="17"/>
              </w:rPr>
              <w:t>520</w:t>
            </w:r>
          </w:p>
        </w:tc>
      </w:tr>
      <w:tr>
        <w:tc>
          <w:tcPr>
            <w:tcW w:type="dxa" w:w="4680"/>
            <w:tcMar>
              <w:top w:w="70" w:type="dxa"/>
              <w:start w:w="110" w:type="dxa"/>
              <w:bottom w:w="70" w:type="dxa"/>
              <w:end w:w="110" w:type="dxa"/>
            </w:tcMar>
          </w:tcPr>
          <w:p>
            <w:pPr>
              <w:widowControl/>
              <w:spacing w:after="0"/>
            </w:pPr>
            <w:r>
              <w:rPr>
                <w:rFonts w:ascii="Arial" w:hAnsi="Arial"/>
                <w:sz w:val="17"/>
              </w:rPr>
              <w:t>7</w:t>
            </w:r>
          </w:p>
        </w:tc>
        <w:tc>
          <w:tcPr>
            <w:tcW w:type="dxa" w:w="4680"/>
            <w:tcMar>
              <w:top w:w="70" w:type="dxa"/>
              <w:start w:w="110" w:type="dxa"/>
              <w:bottom w:w="70" w:type="dxa"/>
              <w:end w:w="110" w:type="dxa"/>
            </w:tcMar>
          </w:tcPr>
          <w:p>
            <w:pPr>
              <w:widowControl/>
              <w:spacing w:after="0"/>
            </w:pPr>
            <w:r>
              <w:rPr>
                <w:rFonts w:ascii="Arial" w:hAnsi="Arial"/>
                <w:sz w:val="17"/>
              </w:rPr>
              <w:t>525</w:t>
            </w:r>
          </w:p>
        </w:tc>
      </w:tr>
      <w:tr>
        <w:tc>
          <w:tcPr>
            <w:tcW w:type="dxa" w:w="4680"/>
            <w:tcMar>
              <w:top w:w="70" w:type="dxa"/>
              <w:start w:w="110" w:type="dxa"/>
              <w:bottom w:w="70" w:type="dxa"/>
              <w:end w:w="110" w:type="dxa"/>
            </w:tcMar>
            <w:shd w:fill="F4F6F7"/>
          </w:tcPr>
          <w:p>
            <w:pPr>
              <w:widowControl/>
              <w:spacing w:after="0"/>
            </w:pPr>
            <w:r>
              <w:rPr>
                <w:rFonts w:ascii="Arial" w:hAnsi="Arial"/>
                <w:sz w:val="17"/>
              </w:rPr>
              <w:t>8</w:t>
            </w:r>
          </w:p>
        </w:tc>
        <w:tc>
          <w:tcPr>
            <w:tcW w:type="dxa" w:w="4680"/>
            <w:tcMar>
              <w:top w:w="70" w:type="dxa"/>
              <w:start w:w="110" w:type="dxa"/>
              <w:bottom w:w="70" w:type="dxa"/>
              <w:end w:w="110" w:type="dxa"/>
            </w:tcMar>
            <w:shd w:fill="F4F6F7"/>
          </w:tcPr>
          <w:p>
            <w:pPr>
              <w:widowControl/>
              <w:spacing w:after="0"/>
            </w:pPr>
            <w:r>
              <w:rPr>
                <w:rFonts w:ascii="Arial" w:hAnsi="Arial"/>
                <w:sz w:val="17"/>
              </w:rPr>
              <w:t>530</w:t>
            </w:r>
          </w:p>
        </w:tc>
      </w:tr>
      <w:tr>
        <w:tc>
          <w:tcPr>
            <w:tcW w:type="dxa" w:w="4680"/>
            <w:tcMar>
              <w:top w:w="70" w:type="dxa"/>
              <w:start w:w="110" w:type="dxa"/>
              <w:bottom w:w="70" w:type="dxa"/>
              <w:end w:w="110" w:type="dxa"/>
            </w:tcMar>
          </w:tcPr>
          <w:p>
            <w:pPr>
              <w:widowControl/>
              <w:spacing w:after="0"/>
            </w:pPr>
            <w:r>
              <w:rPr>
                <w:rFonts w:ascii="Arial" w:hAnsi="Arial"/>
                <w:sz w:val="17"/>
              </w:rPr>
              <w:t>9</w:t>
            </w:r>
          </w:p>
        </w:tc>
        <w:tc>
          <w:tcPr>
            <w:tcW w:type="dxa" w:w="4680"/>
            <w:tcMar>
              <w:top w:w="70" w:type="dxa"/>
              <w:start w:w="110" w:type="dxa"/>
              <w:bottom w:w="70" w:type="dxa"/>
              <w:end w:w="110" w:type="dxa"/>
            </w:tcMar>
          </w:tcPr>
          <w:p>
            <w:pPr>
              <w:widowControl/>
              <w:spacing w:after="0"/>
            </w:pPr>
            <w:r>
              <w:rPr>
                <w:rFonts w:ascii="Arial" w:hAnsi="Arial"/>
                <w:sz w:val="17"/>
              </w:rPr>
              <w:t>536</w:t>
            </w:r>
          </w:p>
        </w:tc>
      </w:tr>
      <w:tr>
        <w:tc>
          <w:tcPr>
            <w:tcW w:type="dxa" w:w="4680"/>
            <w:tcMar>
              <w:top w:w="70" w:type="dxa"/>
              <w:start w:w="110" w:type="dxa"/>
              <w:bottom w:w="70" w:type="dxa"/>
              <w:end w:w="110" w:type="dxa"/>
            </w:tcMar>
            <w:shd w:fill="F4F6F7"/>
          </w:tcPr>
          <w:p>
            <w:pPr>
              <w:widowControl/>
              <w:spacing w:after="0"/>
            </w:pPr>
            <w:r>
              <w:rPr>
                <w:rFonts w:ascii="Arial" w:hAnsi="Arial"/>
                <w:sz w:val="17"/>
              </w:rPr>
              <w:t>10</w:t>
            </w:r>
          </w:p>
        </w:tc>
        <w:tc>
          <w:tcPr>
            <w:tcW w:type="dxa" w:w="4680"/>
            <w:tcMar>
              <w:top w:w="70" w:type="dxa"/>
              <w:start w:w="110" w:type="dxa"/>
              <w:bottom w:w="70" w:type="dxa"/>
              <w:end w:w="110" w:type="dxa"/>
            </w:tcMar>
            <w:shd w:fill="F4F6F7"/>
          </w:tcPr>
          <w:p>
            <w:pPr>
              <w:widowControl/>
              <w:spacing w:after="0"/>
            </w:pPr>
            <w:r>
              <w:rPr>
                <w:rFonts w:ascii="Arial" w:hAnsi="Arial"/>
                <w:sz w:val="17"/>
              </w:rPr>
              <w:t>541</w:t>
            </w:r>
          </w:p>
        </w:tc>
      </w:tr>
      <w:tr>
        <w:tc>
          <w:tcPr>
            <w:tcW w:type="dxa" w:w="4680"/>
            <w:tcMar>
              <w:top w:w="70" w:type="dxa"/>
              <w:start w:w="110" w:type="dxa"/>
              <w:bottom w:w="70" w:type="dxa"/>
              <w:end w:w="110" w:type="dxa"/>
            </w:tcMar>
          </w:tcPr>
          <w:p>
            <w:pPr>
              <w:widowControl/>
              <w:spacing w:after="0"/>
            </w:pPr>
            <w:r>
              <w:rPr>
                <w:rFonts w:ascii="Arial" w:hAnsi="Arial"/>
                <w:sz w:val="17"/>
              </w:rPr>
              <w:t>11</w:t>
            </w:r>
          </w:p>
        </w:tc>
        <w:tc>
          <w:tcPr>
            <w:tcW w:type="dxa" w:w="4680"/>
            <w:tcMar>
              <w:top w:w="70" w:type="dxa"/>
              <w:start w:w="110" w:type="dxa"/>
              <w:bottom w:w="70" w:type="dxa"/>
              <w:end w:w="110" w:type="dxa"/>
            </w:tcMar>
          </w:tcPr>
          <w:p>
            <w:pPr>
              <w:widowControl/>
              <w:spacing w:after="0"/>
            </w:pPr>
            <w:r>
              <w:rPr>
                <w:rFonts w:ascii="Arial" w:hAnsi="Arial"/>
                <w:sz w:val="17"/>
              </w:rPr>
              <w:t>547</w:t>
            </w:r>
          </w:p>
        </w:tc>
      </w:tr>
      <w:tr>
        <w:tc>
          <w:tcPr>
            <w:tcW w:type="dxa" w:w="4680"/>
            <w:tcMar>
              <w:top w:w="70" w:type="dxa"/>
              <w:start w:w="110" w:type="dxa"/>
              <w:bottom w:w="70" w:type="dxa"/>
              <w:end w:w="110" w:type="dxa"/>
            </w:tcMar>
            <w:shd w:fill="F4F6F7"/>
          </w:tcPr>
          <w:p>
            <w:pPr>
              <w:widowControl/>
              <w:spacing w:after="0"/>
            </w:pPr>
            <w:r>
              <w:rPr>
                <w:rFonts w:ascii="Arial" w:hAnsi="Arial"/>
                <w:sz w:val="17"/>
              </w:rPr>
              <w:t>12</w:t>
            </w:r>
          </w:p>
        </w:tc>
        <w:tc>
          <w:tcPr>
            <w:tcW w:type="dxa" w:w="4680"/>
            <w:tcMar>
              <w:top w:w="70" w:type="dxa"/>
              <w:start w:w="110" w:type="dxa"/>
              <w:bottom w:w="70" w:type="dxa"/>
              <w:end w:w="110" w:type="dxa"/>
            </w:tcMar>
            <w:shd w:fill="F4F6F7"/>
          </w:tcPr>
          <w:p>
            <w:pPr>
              <w:widowControl/>
              <w:spacing w:after="0"/>
            </w:pPr>
            <w:r>
              <w:rPr>
                <w:rFonts w:ascii="Arial" w:hAnsi="Arial"/>
                <w:sz w:val="17"/>
              </w:rPr>
              <w:t>552</w:t>
            </w:r>
          </w:p>
        </w:tc>
      </w:tr>
      <w:tr>
        <w:tc>
          <w:tcPr>
            <w:tcW w:type="dxa" w:w="4680"/>
            <w:tcMar>
              <w:top w:w="70" w:type="dxa"/>
              <w:start w:w="110" w:type="dxa"/>
              <w:bottom w:w="70" w:type="dxa"/>
              <w:end w:w="110" w:type="dxa"/>
            </w:tcMar>
          </w:tcPr>
          <w:p>
            <w:pPr>
              <w:widowControl/>
              <w:spacing w:after="0"/>
            </w:pPr>
            <w:r>
              <w:rPr>
                <w:rFonts w:ascii="Arial" w:hAnsi="Arial"/>
                <w:sz w:val="17"/>
              </w:rPr>
              <w:t>13</w:t>
            </w:r>
          </w:p>
        </w:tc>
        <w:tc>
          <w:tcPr>
            <w:tcW w:type="dxa" w:w="4680"/>
            <w:tcMar>
              <w:top w:w="70" w:type="dxa"/>
              <w:start w:w="110" w:type="dxa"/>
              <w:bottom w:w="70" w:type="dxa"/>
              <w:end w:w="110" w:type="dxa"/>
            </w:tcMar>
          </w:tcPr>
          <w:p>
            <w:pPr>
              <w:widowControl/>
              <w:spacing w:after="0"/>
            </w:pPr>
            <w:r>
              <w:rPr>
                <w:rFonts w:ascii="Arial" w:hAnsi="Arial"/>
                <w:sz w:val="17"/>
              </w:rPr>
              <w:t>558</w:t>
            </w:r>
          </w:p>
        </w:tc>
      </w:tr>
      <w:tr>
        <w:tc>
          <w:tcPr>
            <w:tcW w:type="dxa" w:w="4680"/>
            <w:tcMar>
              <w:top w:w="70" w:type="dxa"/>
              <w:start w:w="110" w:type="dxa"/>
              <w:bottom w:w="70" w:type="dxa"/>
              <w:end w:w="110" w:type="dxa"/>
            </w:tcMar>
            <w:shd w:fill="F4F6F7"/>
          </w:tcPr>
          <w:p>
            <w:pPr>
              <w:widowControl/>
              <w:spacing w:after="0"/>
            </w:pPr>
            <w:r>
              <w:rPr>
                <w:rFonts w:ascii="Arial" w:hAnsi="Arial"/>
                <w:sz w:val="17"/>
              </w:rPr>
              <w:t>14</w:t>
            </w:r>
          </w:p>
        </w:tc>
        <w:tc>
          <w:tcPr>
            <w:tcW w:type="dxa" w:w="4680"/>
            <w:tcMar>
              <w:top w:w="70" w:type="dxa"/>
              <w:start w:w="110" w:type="dxa"/>
              <w:bottom w:w="70" w:type="dxa"/>
              <w:end w:w="110" w:type="dxa"/>
            </w:tcMar>
            <w:shd w:fill="F4F6F7"/>
          </w:tcPr>
          <w:p>
            <w:pPr>
              <w:widowControl/>
              <w:spacing w:after="0"/>
            </w:pPr>
            <w:r>
              <w:rPr>
                <w:rFonts w:ascii="Arial" w:hAnsi="Arial"/>
                <w:sz w:val="17"/>
              </w:rPr>
              <w:t>563</w:t>
            </w:r>
          </w:p>
        </w:tc>
      </w:tr>
      <w:tr>
        <w:tc>
          <w:tcPr>
            <w:tcW w:type="dxa" w:w="4680"/>
            <w:tcMar>
              <w:top w:w="70" w:type="dxa"/>
              <w:start w:w="110" w:type="dxa"/>
              <w:bottom w:w="70" w:type="dxa"/>
              <w:end w:w="110" w:type="dxa"/>
            </w:tcMar>
          </w:tcPr>
          <w:p>
            <w:pPr>
              <w:widowControl/>
              <w:spacing w:after="0"/>
            </w:pPr>
            <w:r>
              <w:rPr>
                <w:rFonts w:ascii="Arial" w:hAnsi="Arial"/>
                <w:sz w:val="17"/>
              </w:rPr>
              <w:t>15</w:t>
            </w:r>
          </w:p>
        </w:tc>
        <w:tc>
          <w:tcPr>
            <w:tcW w:type="dxa" w:w="4680"/>
            <w:tcMar>
              <w:top w:w="70" w:type="dxa"/>
              <w:start w:w="110" w:type="dxa"/>
              <w:bottom w:w="70" w:type="dxa"/>
              <w:end w:w="110" w:type="dxa"/>
            </w:tcMar>
          </w:tcPr>
          <w:p>
            <w:pPr>
              <w:widowControl/>
              <w:spacing w:after="0"/>
            </w:pPr>
            <w:r>
              <w:rPr>
                <w:rFonts w:ascii="Arial" w:hAnsi="Arial"/>
                <w:sz w:val="17"/>
              </w:rPr>
              <w:t>569</w:t>
            </w:r>
          </w:p>
        </w:tc>
      </w:tr>
      <w:tr>
        <w:tc>
          <w:tcPr>
            <w:tcW w:type="dxa" w:w="4680"/>
            <w:tcMar>
              <w:top w:w="70" w:type="dxa"/>
              <w:start w:w="110" w:type="dxa"/>
              <w:bottom w:w="70" w:type="dxa"/>
              <w:end w:w="110" w:type="dxa"/>
            </w:tcMar>
            <w:shd w:fill="F4F6F7"/>
          </w:tcPr>
          <w:p>
            <w:pPr>
              <w:widowControl/>
              <w:spacing w:after="0"/>
            </w:pPr>
            <w:r>
              <w:rPr>
                <w:rFonts w:ascii="Arial" w:hAnsi="Arial"/>
                <w:sz w:val="17"/>
              </w:rPr>
              <w:t>16</w:t>
            </w:r>
          </w:p>
        </w:tc>
        <w:tc>
          <w:tcPr>
            <w:tcW w:type="dxa" w:w="4680"/>
            <w:tcMar>
              <w:top w:w="70" w:type="dxa"/>
              <w:start w:w="110" w:type="dxa"/>
              <w:bottom w:w="70" w:type="dxa"/>
              <w:end w:w="110" w:type="dxa"/>
            </w:tcMar>
            <w:shd w:fill="F4F6F7"/>
          </w:tcPr>
          <w:p>
            <w:pPr>
              <w:widowControl/>
              <w:spacing w:after="0"/>
            </w:pPr>
            <w:r>
              <w:rPr>
                <w:rFonts w:ascii="Arial" w:hAnsi="Arial"/>
                <w:sz w:val="17"/>
              </w:rPr>
              <w:t>574</w:t>
            </w:r>
          </w:p>
        </w:tc>
      </w:tr>
      <w:tr>
        <w:tc>
          <w:tcPr>
            <w:tcW w:type="dxa" w:w="4680"/>
            <w:tcMar>
              <w:top w:w="70" w:type="dxa"/>
              <w:start w:w="110" w:type="dxa"/>
              <w:bottom w:w="70" w:type="dxa"/>
              <w:end w:w="110" w:type="dxa"/>
            </w:tcMar>
          </w:tcPr>
          <w:p>
            <w:pPr>
              <w:widowControl/>
              <w:spacing w:after="0"/>
            </w:pPr>
            <w:r>
              <w:rPr>
                <w:rFonts w:ascii="Arial" w:hAnsi="Arial"/>
                <w:sz w:val="17"/>
              </w:rPr>
              <w:t>17</w:t>
            </w:r>
          </w:p>
        </w:tc>
        <w:tc>
          <w:tcPr>
            <w:tcW w:type="dxa" w:w="4680"/>
            <w:tcMar>
              <w:top w:w="70" w:type="dxa"/>
              <w:start w:w="110" w:type="dxa"/>
              <w:bottom w:w="70" w:type="dxa"/>
              <w:end w:w="110" w:type="dxa"/>
            </w:tcMar>
          </w:tcPr>
          <w:p>
            <w:pPr>
              <w:widowControl/>
              <w:spacing w:after="0"/>
            </w:pPr>
            <w:r>
              <w:rPr>
                <w:rFonts w:ascii="Arial" w:hAnsi="Arial"/>
                <w:sz w:val="17"/>
              </w:rPr>
              <w:t>580</w:t>
            </w:r>
          </w:p>
        </w:tc>
      </w:tr>
      <w:tr>
        <w:tc>
          <w:tcPr>
            <w:tcW w:type="dxa" w:w="4680"/>
            <w:tcMar>
              <w:top w:w="70" w:type="dxa"/>
              <w:start w:w="110" w:type="dxa"/>
              <w:bottom w:w="70" w:type="dxa"/>
              <w:end w:w="110" w:type="dxa"/>
            </w:tcMar>
            <w:shd w:fill="F4F6F7"/>
          </w:tcPr>
          <w:p>
            <w:pPr>
              <w:widowControl/>
              <w:spacing w:after="0"/>
            </w:pPr>
            <w:r>
              <w:rPr>
                <w:rFonts w:ascii="Arial" w:hAnsi="Arial"/>
                <w:sz w:val="17"/>
              </w:rPr>
              <w:t>18</w:t>
            </w:r>
          </w:p>
        </w:tc>
        <w:tc>
          <w:tcPr>
            <w:tcW w:type="dxa" w:w="4680"/>
            <w:tcMar>
              <w:top w:w="70" w:type="dxa"/>
              <w:start w:w="110" w:type="dxa"/>
              <w:bottom w:w="70" w:type="dxa"/>
              <w:end w:w="110" w:type="dxa"/>
            </w:tcMar>
            <w:shd w:fill="F4F6F7"/>
          </w:tcPr>
          <w:p>
            <w:pPr>
              <w:widowControl/>
              <w:spacing w:after="0"/>
            </w:pPr>
            <w:r>
              <w:rPr>
                <w:rFonts w:ascii="Arial" w:hAnsi="Arial"/>
                <w:sz w:val="17"/>
              </w:rPr>
              <w:t>586</w:t>
            </w:r>
          </w:p>
        </w:tc>
      </w:tr>
      <w:tr>
        <w:tc>
          <w:tcPr>
            <w:tcW w:type="dxa" w:w="4680"/>
            <w:tcMar>
              <w:top w:w="70" w:type="dxa"/>
              <w:start w:w="110" w:type="dxa"/>
              <w:bottom w:w="70" w:type="dxa"/>
              <w:end w:w="110" w:type="dxa"/>
            </w:tcMar>
          </w:tcPr>
          <w:p>
            <w:pPr>
              <w:widowControl/>
              <w:spacing w:after="0"/>
            </w:pPr>
            <w:r>
              <w:rPr>
                <w:rFonts w:ascii="Arial" w:hAnsi="Arial"/>
                <w:sz w:val="17"/>
              </w:rPr>
              <w:t>19</w:t>
            </w:r>
          </w:p>
        </w:tc>
        <w:tc>
          <w:tcPr>
            <w:tcW w:type="dxa" w:w="4680"/>
            <w:tcMar>
              <w:top w:w="70" w:type="dxa"/>
              <w:start w:w="110" w:type="dxa"/>
              <w:bottom w:w="70" w:type="dxa"/>
              <w:end w:w="110" w:type="dxa"/>
            </w:tcMar>
          </w:tcPr>
          <w:p>
            <w:pPr>
              <w:widowControl/>
              <w:spacing w:after="0"/>
            </w:pPr>
            <w:r>
              <w:rPr>
                <w:rFonts w:ascii="Arial" w:hAnsi="Arial"/>
                <w:sz w:val="17"/>
              </w:rPr>
              <w:t>592</w:t>
            </w:r>
          </w:p>
        </w:tc>
      </w:tr>
    </w:tbl>
    <w:p>
      <w:pPr>
        <w:widowControl/>
      </w:pPr>
      <w:r>
        <w:t>Starting in quota year 19, the quantity shall remain at 592 MT per year. (b) This paragraph applies to goods classified in the following tariff items: 0403.90.11. (c) This TRQ shall be allocated on a calendar year basis. 15. TRQ-CA11: Whey Powder (a) The aggregate quantity of originating goods described in subparagraph (b) that shall be permitted to enter duty-free in each quota year under this TRQ is:</w:t>
      </w:r>
    </w:p>
    <w:tbl>
      <w:tblPr>
        <w:tblStyle w:val="TableGrid"/>
        <w:tblW w:type="auto" w:w="0"/>
        <w:jc w:val="center"/>
        <w:tblLayout w:type="autofit"/>
        <w:tblLook w:firstColumn="1" w:firstRow="1" w:lastColumn="0" w:lastRow="0" w:noHBand="0" w:noVBand="1" w:val="04A0"/>
      </w:tblPr>
      <w:tblGrid>
        <w:gridCol w:w="4680"/>
        <w:gridCol w:w="4680"/>
      </w:tblGrid>
      <w:tr>
        <w:trPr>
          <w:tblHeader w:val="true"/>
          <w:cantSplit/>
          <w:tblHeader w:val="true"/>
        </w:trPr>
        <w:tc>
          <w:tcPr>
            <w:tcW w:type="dxa" w:w="1872"/>
            <w:vAlign w:val="center"/>
            <w:shd w:fill="233746"/>
          </w:tcPr>
          <w:p>
            <w:pPr>
              <w:spacing w:after="0"/>
            </w:pPr>
            <w:r>
              <w:rPr>
                <w:rFonts w:ascii="Arial" w:hAnsi="Arial"/>
                <w:b/>
                <w:color w:val="FFFFFF"/>
                <w:sz w:val="17"/>
              </w:rPr>
              <w:t>Quota Year</w:t>
            </w:r>
          </w:p>
        </w:tc>
        <w:tc>
          <w:tcPr>
            <w:tcW w:type="dxa" w:w="3600"/>
            <w:vAlign w:val="center"/>
            <w:shd w:fill="233746"/>
          </w:tcPr>
          <w:p>
            <w:pPr>
              <w:spacing w:after="0"/>
            </w:pPr>
            <w:r>
              <w:rPr>
                <w:rFonts w:ascii="Arial" w:hAnsi="Arial"/>
                <w:b/>
                <w:color w:val="FFFFFF"/>
                <w:sz w:val="17"/>
              </w:rPr>
              <w:t>Aggregate Quantity (MT)</w:t>
            </w:r>
          </w:p>
        </w:tc>
      </w:tr>
      <w:tr>
        <w:trPr>
          <w:cantSplit/>
        </w:trPr>
        <w:tc>
          <w:tcPr>
            <w:tcW w:type="dxa" w:w="1872"/>
            <w:vAlign w:val="center"/>
            <w:tcMar>
              <w:top w:w="70" w:type="dxa"/>
              <w:start w:w="110" w:type="dxa"/>
              <w:bottom w:w="70" w:type="dxa"/>
              <w:end w:w="110" w:type="dxa"/>
            </w:tcMar>
          </w:tcPr>
          <w:p>
            <w:pPr>
              <w:widowControl/>
              <w:spacing w:after="0"/>
            </w:pPr>
            <w:r>
              <w:rPr>
                <w:rFonts w:ascii="Arial" w:hAnsi="Arial"/>
                <w:sz w:val="17"/>
              </w:rPr>
              <w:t>1</w:t>
            </w:r>
          </w:p>
        </w:tc>
        <w:tc>
          <w:tcPr>
            <w:tcW w:type="dxa" w:w="3600"/>
            <w:vAlign w:val="center"/>
            <w:tcMar>
              <w:top w:w="70" w:type="dxa"/>
              <w:start w:w="110" w:type="dxa"/>
              <w:bottom w:w="70" w:type="dxa"/>
              <w:end w:w="110" w:type="dxa"/>
            </w:tcMar>
          </w:tcPr>
          <w:p>
            <w:pPr>
              <w:widowControl/>
              <w:spacing w:after="0"/>
            </w:pPr>
            <w:r>
              <w:rPr>
                <w:rFonts w:ascii="Arial" w:hAnsi="Arial"/>
                <w:sz w:val="17"/>
              </w:rPr>
              <w:t>1,378</w:t>
            </w:r>
          </w:p>
        </w:tc>
      </w:tr>
      <w:tr>
        <w:trPr>
          <w:cantSplit/>
        </w:trPr>
        <w:tc>
          <w:tcPr>
            <w:tcW w:type="dxa" w:w="1872"/>
            <w:vAlign w:val="center"/>
            <w:tcMar>
              <w:top w:w="70" w:type="dxa"/>
              <w:start w:w="110" w:type="dxa"/>
              <w:bottom w:w="70" w:type="dxa"/>
              <w:end w:w="110" w:type="dxa"/>
            </w:tcMar>
            <w:shd w:fill="F4F6F7"/>
          </w:tcPr>
          <w:p>
            <w:pPr>
              <w:widowControl/>
              <w:spacing w:after="0"/>
            </w:pPr>
            <w:r>
              <w:rPr>
                <w:rFonts w:ascii="Arial" w:hAnsi="Arial"/>
                <w:sz w:val="17"/>
              </w:rPr>
              <w:t>2</w:t>
            </w:r>
          </w:p>
        </w:tc>
        <w:tc>
          <w:tcPr>
            <w:tcW w:type="dxa" w:w="3600"/>
            <w:vAlign w:val="center"/>
            <w:tcMar>
              <w:top w:w="70" w:type="dxa"/>
              <w:start w:w="110" w:type="dxa"/>
              <w:bottom w:w="70" w:type="dxa"/>
              <w:end w:w="110" w:type="dxa"/>
            </w:tcMar>
            <w:shd w:fill="F4F6F7"/>
          </w:tcPr>
          <w:p>
            <w:pPr>
              <w:widowControl/>
              <w:spacing w:after="0"/>
            </w:pPr>
            <w:r>
              <w:rPr>
                <w:rFonts w:ascii="Arial" w:hAnsi="Arial"/>
                <w:sz w:val="17"/>
              </w:rPr>
              <w:t>2,068</w:t>
            </w:r>
          </w:p>
        </w:tc>
      </w:tr>
      <w:tr>
        <w:trPr>
          <w:cantSplit/>
        </w:trPr>
        <w:tc>
          <w:tcPr>
            <w:tcW w:type="dxa" w:w="1872"/>
            <w:vAlign w:val="center"/>
            <w:tcMar>
              <w:top w:w="70" w:type="dxa"/>
              <w:start w:w="110" w:type="dxa"/>
              <w:bottom w:w="70" w:type="dxa"/>
              <w:end w:w="110" w:type="dxa"/>
            </w:tcMar>
          </w:tcPr>
          <w:p>
            <w:pPr>
              <w:widowControl/>
              <w:spacing w:after="0"/>
            </w:pPr>
            <w:r>
              <w:rPr>
                <w:rFonts w:ascii="Arial" w:hAnsi="Arial"/>
                <w:sz w:val="17"/>
              </w:rPr>
              <w:t>3</w:t>
            </w:r>
          </w:p>
        </w:tc>
        <w:tc>
          <w:tcPr>
            <w:tcW w:type="dxa" w:w="3600"/>
            <w:vAlign w:val="center"/>
            <w:tcMar>
              <w:top w:w="70" w:type="dxa"/>
              <w:start w:w="110" w:type="dxa"/>
              <w:bottom w:w="70" w:type="dxa"/>
              <w:end w:w="110" w:type="dxa"/>
            </w:tcMar>
          </w:tcPr>
          <w:p>
            <w:pPr>
              <w:widowControl/>
              <w:spacing w:after="0"/>
            </w:pPr>
            <w:r>
              <w:rPr>
                <w:rFonts w:ascii="Arial" w:hAnsi="Arial"/>
                <w:sz w:val="17"/>
              </w:rPr>
              <w:t>2,757</w:t>
            </w:r>
          </w:p>
        </w:tc>
      </w:tr>
      <w:tr>
        <w:trPr>
          <w:cantSplit/>
        </w:trPr>
        <w:tc>
          <w:tcPr>
            <w:tcW w:type="dxa" w:w="1872"/>
            <w:vAlign w:val="center"/>
            <w:tcMar>
              <w:top w:w="70" w:type="dxa"/>
              <w:start w:w="110" w:type="dxa"/>
              <w:bottom w:w="70" w:type="dxa"/>
              <w:end w:w="110" w:type="dxa"/>
            </w:tcMar>
            <w:shd w:fill="F4F6F7"/>
          </w:tcPr>
          <w:p>
            <w:pPr>
              <w:widowControl/>
              <w:spacing w:after="0"/>
            </w:pPr>
            <w:r>
              <w:rPr>
                <w:rFonts w:ascii="Arial" w:hAnsi="Arial"/>
                <w:sz w:val="17"/>
              </w:rPr>
              <w:t>4</w:t>
            </w:r>
          </w:p>
        </w:tc>
        <w:tc>
          <w:tcPr>
            <w:tcW w:type="dxa" w:w="3600"/>
            <w:vAlign w:val="center"/>
            <w:tcMar>
              <w:top w:w="70" w:type="dxa"/>
              <w:start w:w="110" w:type="dxa"/>
              <w:bottom w:w="70" w:type="dxa"/>
              <w:end w:w="110" w:type="dxa"/>
            </w:tcMar>
            <w:shd w:fill="F4F6F7"/>
          </w:tcPr>
          <w:p>
            <w:pPr>
              <w:widowControl/>
              <w:spacing w:after="0"/>
            </w:pPr>
            <w:r>
              <w:rPr>
                <w:rFonts w:ascii="Arial" w:hAnsi="Arial"/>
                <w:sz w:val="17"/>
              </w:rPr>
              <w:t>3,446</w:t>
            </w:r>
          </w:p>
        </w:tc>
      </w:tr>
      <w:tr>
        <w:trPr>
          <w:cantSplit/>
        </w:trPr>
        <w:tc>
          <w:tcPr>
            <w:tcW w:type="dxa" w:w="1872"/>
            <w:vAlign w:val="center"/>
            <w:tcMar>
              <w:top w:w="70" w:type="dxa"/>
              <w:start w:w="110" w:type="dxa"/>
              <w:bottom w:w="70" w:type="dxa"/>
              <w:end w:w="110" w:type="dxa"/>
            </w:tcMar>
          </w:tcPr>
          <w:p>
            <w:pPr>
              <w:widowControl/>
              <w:spacing w:after="0"/>
            </w:pPr>
            <w:r>
              <w:rPr>
                <w:rFonts w:ascii="Arial" w:hAnsi="Arial"/>
                <w:sz w:val="17"/>
              </w:rPr>
              <w:t>5</w:t>
            </w:r>
          </w:p>
        </w:tc>
        <w:tc>
          <w:tcPr>
            <w:tcW w:type="dxa" w:w="3600"/>
            <w:vAlign w:val="center"/>
            <w:tcMar>
              <w:top w:w="70" w:type="dxa"/>
              <w:start w:w="110" w:type="dxa"/>
              <w:bottom w:w="70" w:type="dxa"/>
              <w:end w:w="110" w:type="dxa"/>
            </w:tcMar>
          </w:tcPr>
          <w:p>
            <w:pPr>
              <w:widowControl/>
              <w:spacing w:after="0"/>
            </w:pPr>
            <w:r>
              <w:rPr>
                <w:rFonts w:ascii="Arial" w:hAnsi="Arial"/>
                <w:sz w:val="17"/>
              </w:rPr>
              <w:t>4,135</w:t>
            </w:r>
          </w:p>
        </w:tc>
      </w:tr>
      <w:tr>
        <w:trPr>
          <w:cantSplit/>
        </w:trPr>
        <w:tc>
          <w:tcPr>
            <w:tcW w:type="dxa" w:w="1872"/>
            <w:vAlign w:val="center"/>
            <w:tcMar>
              <w:top w:w="70" w:type="dxa"/>
              <w:start w:w="110" w:type="dxa"/>
              <w:bottom w:w="70" w:type="dxa"/>
              <w:end w:w="110" w:type="dxa"/>
            </w:tcMar>
            <w:shd w:fill="F4F6F7"/>
          </w:tcPr>
          <w:p>
            <w:pPr>
              <w:widowControl/>
              <w:spacing w:after="0"/>
            </w:pPr>
            <w:r>
              <w:rPr>
                <w:rFonts w:ascii="Arial" w:hAnsi="Arial"/>
                <w:sz w:val="17"/>
              </w:rPr>
              <w:t>6</w:t>
            </w:r>
          </w:p>
        </w:tc>
        <w:tc>
          <w:tcPr>
            <w:tcW w:type="dxa" w:w="3600"/>
            <w:vAlign w:val="center"/>
            <w:tcMar>
              <w:top w:w="70" w:type="dxa"/>
              <w:start w:w="110" w:type="dxa"/>
              <w:bottom w:w="70" w:type="dxa"/>
              <w:end w:w="110" w:type="dxa"/>
            </w:tcMar>
            <w:shd w:fill="F4F6F7"/>
          </w:tcPr>
          <w:p>
            <w:pPr>
              <w:widowControl/>
              <w:spacing w:after="0"/>
            </w:pPr>
            <w:r>
              <w:rPr>
                <w:rFonts w:ascii="Arial" w:hAnsi="Arial"/>
                <w:sz w:val="17"/>
              </w:rPr>
              <w:t>4,176</w:t>
            </w:r>
          </w:p>
        </w:tc>
      </w:tr>
      <w:tr>
        <w:trPr>
          <w:cantSplit/>
        </w:trPr>
        <w:tc>
          <w:tcPr>
            <w:tcW w:type="dxa" w:w="1872"/>
            <w:vAlign w:val="center"/>
            <w:tcMar>
              <w:top w:w="70" w:type="dxa"/>
              <w:start w:w="110" w:type="dxa"/>
              <w:bottom w:w="70" w:type="dxa"/>
              <w:end w:w="110" w:type="dxa"/>
            </w:tcMar>
          </w:tcPr>
          <w:p>
            <w:pPr>
              <w:widowControl/>
              <w:spacing w:after="0"/>
            </w:pPr>
            <w:r>
              <w:rPr>
                <w:rFonts w:ascii="Arial" w:hAnsi="Arial"/>
                <w:sz w:val="17"/>
              </w:rPr>
              <w:t>7</w:t>
            </w:r>
          </w:p>
        </w:tc>
        <w:tc>
          <w:tcPr>
            <w:tcW w:type="dxa" w:w="3600"/>
            <w:vAlign w:val="center"/>
            <w:tcMar>
              <w:top w:w="70" w:type="dxa"/>
              <w:start w:w="110" w:type="dxa"/>
              <w:bottom w:w="70" w:type="dxa"/>
              <w:end w:w="110" w:type="dxa"/>
            </w:tcMar>
          </w:tcPr>
          <w:p>
            <w:pPr>
              <w:widowControl/>
              <w:spacing w:after="0"/>
            </w:pPr>
            <w:r>
              <w:rPr>
                <w:rFonts w:ascii="Arial" w:hAnsi="Arial"/>
                <w:sz w:val="17"/>
              </w:rPr>
              <w:t>4,218</w:t>
            </w:r>
          </w:p>
        </w:tc>
      </w:tr>
      <w:tr>
        <w:trPr>
          <w:cantSplit/>
        </w:trPr>
        <w:tc>
          <w:tcPr>
            <w:tcW w:type="dxa" w:w="1872"/>
            <w:vAlign w:val="center"/>
            <w:tcMar>
              <w:top w:w="70" w:type="dxa"/>
              <w:start w:w="110" w:type="dxa"/>
              <w:bottom w:w="70" w:type="dxa"/>
              <w:end w:w="110" w:type="dxa"/>
            </w:tcMar>
            <w:shd w:fill="F4F6F7"/>
          </w:tcPr>
          <w:p>
            <w:pPr>
              <w:widowControl/>
              <w:spacing w:after="0"/>
            </w:pPr>
            <w:r>
              <w:rPr>
                <w:rFonts w:ascii="Arial" w:hAnsi="Arial"/>
                <w:sz w:val="17"/>
              </w:rPr>
              <w:t>8</w:t>
            </w:r>
          </w:p>
        </w:tc>
        <w:tc>
          <w:tcPr>
            <w:tcW w:type="dxa" w:w="3600"/>
            <w:vAlign w:val="center"/>
            <w:tcMar>
              <w:top w:w="70" w:type="dxa"/>
              <w:start w:w="110" w:type="dxa"/>
              <w:bottom w:w="70" w:type="dxa"/>
              <w:end w:w="110" w:type="dxa"/>
            </w:tcMar>
            <w:shd w:fill="F4F6F7"/>
          </w:tcPr>
          <w:p>
            <w:pPr>
              <w:widowControl/>
              <w:spacing w:after="0"/>
            </w:pPr>
            <w:r>
              <w:rPr>
                <w:rFonts w:ascii="Arial" w:hAnsi="Arial"/>
                <w:sz w:val="17"/>
              </w:rPr>
              <w:t>4,260</w:t>
            </w:r>
          </w:p>
        </w:tc>
      </w:tr>
      <w:tr>
        <w:trPr>
          <w:cantSplit/>
        </w:trPr>
        <w:tc>
          <w:tcPr>
            <w:tcW w:type="dxa" w:w="1872"/>
            <w:vAlign w:val="center"/>
            <w:tcMar>
              <w:top w:w="70" w:type="dxa"/>
              <w:start w:w="110" w:type="dxa"/>
              <w:bottom w:w="70" w:type="dxa"/>
              <w:end w:w="110" w:type="dxa"/>
            </w:tcMar>
          </w:tcPr>
          <w:p>
            <w:pPr>
              <w:widowControl/>
              <w:spacing w:after="0"/>
            </w:pPr>
            <w:r>
              <w:rPr>
                <w:rFonts w:ascii="Arial" w:hAnsi="Arial"/>
                <w:sz w:val="17"/>
              </w:rPr>
              <w:t>9</w:t>
            </w:r>
          </w:p>
        </w:tc>
        <w:tc>
          <w:tcPr>
            <w:tcW w:type="dxa" w:w="3600"/>
            <w:vAlign w:val="center"/>
            <w:tcMar>
              <w:top w:w="70" w:type="dxa"/>
              <w:start w:w="110" w:type="dxa"/>
              <w:bottom w:w="70" w:type="dxa"/>
              <w:end w:w="110" w:type="dxa"/>
            </w:tcMar>
          </w:tcPr>
          <w:p>
            <w:pPr>
              <w:widowControl/>
              <w:spacing w:after="0"/>
            </w:pPr>
            <w:r>
              <w:rPr>
                <w:rFonts w:ascii="Arial" w:hAnsi="Arial"/>
                <w:sz w:val="17"/>
              </w:rPr>
              <w:t>4,303</w:t>
            </w:r>
          </w:p>
        </w:tc>
      </w:tr>
    </w:tbl>
    <w:p>
      <w:pPr>
        <w:widowControl/>
      </w:pPr>
      <w:r>
        <w:t>After quota year 10 this TRQ shall be eliminated. (b) This paragraph applies to goods classified in the following tariff items: 0404.10.21. (c) This TRQ shall be allocated on a dairy year basis, meaning from August 1 to July 31. 16. TRQ-CA12:</w:t>
      </w:r>
    </w:p>
    <w:p>
      <w:pPr>
        <w:widowControl/>
      </w:pPr>
      <w:r>
        <w:t>Products Consisting of Natural Milk Constituents (a) The aggregate quantity of originating goods described in subparagraph (b) that shall be permitted to enter duty-free in each quota year under this TRQ is:</w:t>
      </w:r>
    </w:p>
    <w:tbl>
      <w:tblPr>
        <w:tblStyle w:val="TableGrid"/>
        <w:tblW w:type="auto" w:w="0"/>
        <w:jc w:val="center"/>
        <w:tblLayout w:type="autofit"/>
        <w:tblLook w:firstColumn="1" w:firstRow="1" w:lastColumn="0" w:lastRow="0" w:noHBand="0" w:noVBand="1" w:val="04A0"/>
      </w:tblPr>
      <w:tblGrid>
        <w:gridCol w:w="4680"/>
        <w:gridCol w:w="4680"/>
      </w:tblGrid>
      <w:tr>
        <w:trPr>
          <w:tblHeader w:val="true"/>
          <w:cantSplit/>
          <w:tblHeader w:val="true"/>
        </w:trPr>
        <w:tc>
          <w:tcPr>
            <w:tcW w:type="dxa" w:w="1872"/>
            <w:vAlign w:val="center"/>
            <w:shd w:fill="233746"/>
          </w:tcPr>
          <w:p>
            <w:pPr>
              <w:spacing w:after="0"/>
            </w:pPr>
            <w:r>
              <w:rPr>
                <w:rFonts w:ascii="Arial" w:hAnsi="Arial"/>
                <w:b/>
                <w:color w:val="FFFFFF"/>
                <w:sz w:val="17"/>
              </w:rPr>
              <w:t>Quota Year</w:t>
            </w:r>
          </w:p>
        </w:tc>
        <w:tc>
          <w:tcPr>
            <w:tcW w:type="dxa" w:w="3600"/>
            <w:vAlign w:val="center"/>
            <w:shd w:fill="233746"/>
          </w:tcPr>
          <w:p>
            <w:pPr>
              <w:spacing w:after="0"/>
            </w:pPr>
            <w:r>
              <w:rPr>
                <w:rFonts w:ascii="Arial" w:hAnsi="Arial"/>
                <w:b/>
                <w:color w:val="FFFFFF"/>
                <w:sz w:val="17"/>
              </w:rPr>
              <w:t>Aggregate Quantity (MT)</w:t>
            </w:r>
          </w:p>
        </w:tc>
      </w:tr>
      <w:tr>
        <w:trPr>
          <w:cantSplit/>
        </w:trPr>
        <w:tc>
          <w:tcPr>
            <w:tcW w:type="dxa" w:w="1872"/>
            <w:vAlign w:val="center"/>
            <w:tcMar>
              <w:top w:w="70" w:type="dxa"/>
              <w:start w:w="110" w:type="dxa"/>
              <w:bottom w:w="70" w:type="dxa"/>
              <w:end w:w="110" w:type="dxa"/>
            </w:tcMar>
          </w:tcPr>
          <w:p>
            <w:pPr>
              <w:widowControl/>
              <w:spacing w:after="0"/>
            </w:pPr>
            <w:r>
              <w:rPr>
                <w:rFonts w:ascii="Arial" w:hAnsi="Arial"/>
                <w:sz w:val="17"/>
              </w:rPr>
              <w:t>1</w:t>
            </w:r>
          </w:p>
        </w:tc>
        <w:tc>
          <w:tcPr>
            <w:tcW w:type="dxa" w:w="3600"/>
            <w:vAlign w:val="center"/>
            <w:tcMar>
              <w:top w:w="70" w:type="dxa"/>
              <w:start w:w="110" w:type="dxa"/>
              <w:bottom w:w="70" w:type="dxa"/>
              <w:end w:w="110" w:type="dxa"/>
            </w:tcMar>
          </w:tcPr>
          <w:p>
            <w:pPr>
              <w:widowControl/>
              <w:spacing w:after="0"/>
            </w:pPr>
            <w:r>
              <w:rPr>
                <w:rFonts w:ascii="Arial" w:hAnsi="Arial"/>
                <w:sz w:val="17"/>
              </w:rPr>
              <w:t>1,380</w:t>
            </w:r>
          </w:p>
        </w:tc>
      </w:tr>
      <w:tr>
        <w:trPr>
          <w:cantSplit/>
        </w:trPr>
        <w:tc>
          <w:tcPr>
            <w:tcW w:type="dxa" w:w="1872"/>
            <w:vAlign w:val="center"/>
            <w:tcMar>
              <w:top w:w="70" w:type="dxa"/>
              <w:start w:w="110" w:type="dxa"/>
              <w:bottom w:w="70" w:type="dxa"/>
              <w:end w:w="110" w:type="dxa"/>
            </w:tcMar>
            <w:shd w:fill="F4F6F7"/>
          </w:tcPr>
          <w:p>
            <w:pPr>
              <w:widowControl/>
              <w:spacing w:after="0"/>
            </w:pPr>
            <w:r>
              <w:rPr>
                <w:rFonts w:ascii="Arial" w:hAnsi="Arial"/>
                <w:sz w:val="17"/>
              </w:rPr>
              <w:t>2</w:t>
            </w:r>
          </w:p>
        </w:tc>
        <w:tc>
          <w:tcPr>
            <w:tcW w:type="dxa" w:w="3600"/>
            <w:vAlign w:val="center"/>
            <w:tcMar>
              <w:top w:w="70" w:type="dxa"/>
              <w:start w:w="110" w:type="dxa"/>
              <w:bottom w:w="70" w:type="dxa"/>
              <w:end w:w="110" w:type="dxa"/>
            </w:tcMar>
            <w:shd w:fill="F4F6F7"/>
          </w:tcPr>
          <w:p>
            <w:pPr>
              <w:widowControl/>
              <w:spacing w:after="0"/>
            </w:pPr>
            <w:r>
              <w:rPr>
                <w:rFonts w:ascii="Arial" w:hAnsi="Arial"/>
                <w:sz w:val="17"/>
              </w:rPr>
              <w:t>1,840</w:t>
            </w:r>
          </w:p>
        </w:tc>
      </w:tr>
      <w:tr>
        <w:trPr>
          <w:cantSplit/>
        </w:trPr>
        <w:tc>
          <w:tcPr>
            <w:tcW w:type="dxa" w:w="1872"/>
            <w:vAlign w:val="center"/>
            <w:tcMar>
              <w:top w:w="70" w:type="dxa"/>
              <w:start w:w="110" w:type="dxa"/>
              <w:bottom w:w="70" w:type="dxa"/>
              <w:end w:w="110" w:type="dxa"/>
            </w:tcMar>
          </w:tcPr>
          <w:p>
            <w:pPr>
              <w:widowControl/>
              <w:spacing w:after="0"/>
            </w:pPr>
            <w:r>
              <w:rPr>
                <w:rFonts w:ascii="Arial" w:hAnsi="Arial"/>
                <w:sz w:val="17"/>
              </w:rPr>
              <w:t>3</w:t>
            </w:r>
          </w:p>
        </w:tc>
        <w:tc>
          <w:tcPr>
            <w:tcW w:type="dxa" w:w="3600"/>
            <w:vAlign w:val="center"/>
            <w:tcMar>
              <w:top w:w="70" w:type="dxa"/>
              <w:start w:w="110" w:type="dxa"/>
              <w:bottom w:w="70" w:type="dxa"/>
              <w:end w:w="110" w:type="dxa"/>
            </w:tcMar>
          </w:tcPr>
          <w:p>
            <w:pPr>
              <w:widowControl/>
              <w:spacing w:after="0"/>
            </w:pPr>
            <w:r>
              <w:rPr>
                <w:rFonts w:ascii="Arial" w:hAnsi="Arial"/>
                <w:sz w:val="17"/>
              </w:rPr>
              <w:t>2,300</w:t>
            </w:r>
          </w:p>
        </w:tc>
      </w:tr>
      <w:tr>
        <w:trPr>
          <w:cantSplit/>
        </w:trPr>
        <w:tc>
          <w:tcPr>
            <w:tcW w:type="dxa" w:w="1872"/>
            <w:vAlign w:val="center"/>
            <w:tcMar>
              <w:top w:w="70" w:type="dxa"/>
              <w:start w:w="110" w:type="dxa"/>
              <w:bottom w:w="70" w:type="dxa"/>
              <w:end w:w="110" w:type="dxa"/>
            </w:tcMar>
            <w:shd w:fill="F4F6F7"/>
          </w:tcPr>
          <w:p>
            <w:pPr>
              <w:widowControl/>
              <w:spacing w:after="0"/>
            </w:pPr>
            <w:r>
              <w:rPr>
                <w:rFonts w:ascii="Arial" w:hAnsi="Arial"/>
                <w:sz w:val="17"/>
              </w:rPr>
              <w:t>4</w:t>
            </w:r>
          </w:p>
        </w:tc>
        <w:tc>
          <w:tcPr>
            <w:tcW w:type="dxa" w:w="3600"/>
            <w:vAlign w:val="center"/>
            <w:tcMar>
              <w:top w:w="70" w:type="dxa"/>
              <w:start w:w="110" w:type="dxa"/>
              <w:bottom w:w="70" w:type="dxa"/>
              <w:end w:w="110" w:type="dxa"/>
            </w:tcMar>
            <w:shd w:fill="F4F6F7"/>
          </w:tcPr>
          <w:p>
            <w:pPr>
              <w:widowControl/>
              <w:spacing w:after="0"/>
            </w:pPr>
            <w:r>
              <w:rPr>
                <w:rFonts w:ascii="Arial" w:hAnsi="Arial"/>
                <w:sz w:val="17"/>
              </w:rPr>
              <w:t>2,760</w:t>
            </w:r>
          </w:p>
        </w:tc>
      </w:tr>
      <w:tr>
        <w:trPr>
          <w:cantSplit/>
        </w:trPr>
        <w:tc>
          <w:tcPr>
            <w:tcW w:type="dxa" w:w="1872"/>
            <w:vAlign w:val="center"/>
            <w:tcMar>
              <w:top w:w="70" w:type="dxa"/>
              <w:start w:w="110" w:type="dxa"/>
              <w:bottom w:w="70" w:type="dxa"/>
              <w:end w:w="110" w:type="dxa"/>
            </w:tcMar>
          </w:tcPr>
          <w:p>
            <w:pPr>
              <w:widowControl/>
              <w:spacing w:after="0"/>
            </w:pPr>
            <w:r>
              <w:rPr>
                <w:rFonts w:ascii="Arial" w:hAnsi="Arial"/>
                <w:sz w:val="17"/>
              </w:rPr>
              <w:t>5</w:t>
            </w:r>
          </w:p>
        </w:tc>
        <w:tc>
          <w:tcPr>
            <w:tcW w:type="dxa" w:w="3600"/>
            <w:vAlign w:val="center"/>
            <w:tcMar>
              <w:top w:w="70" w:type="dxa"/>
              <w:start w:w="110" w:type="dxa"/>
              <w:bottom w:w="70" w:type="dxa"/>
              <w:end w:w="110" w:type="dxa"/>
            </w:tcMar>
          </w:tcPr>
          <w:p>
            <w:pPr>
              <w:widowControl/>
              <w:spacing w:after="0"/>
            </w:pPr>
            <w:r>
              <w:rPr>
                <w:rFonts w:ascii="Arial" w:hAnsi="Arial"/>
                <w:sz w:val="17"/>
              </w:rPr>
              <w:t>2,788</w:t>
            </w:r>
          </w:p>
        </w:tc>
      </w:tr>
      <w:tr>
        <w:trPr>
          <w:cantSplit/>
        </w:trPr>
        <w:tc>
          <w:tcPr>
            <w:tcW w:type="dxa" w:w="1872"/>
            <w:vAlign w:val="center"/>
            <w:tcMar>
              <w:top w:w="70" w:type="dxa"/>
              <w:start w:w="110" w:type="dxa"/>
              <w:bottom w:w="70" w:type="dxa"/>
              <w:end w:w="110" w:type="dxa"/>
            </w:tcMar>
            <w:shd w:fill="F4F6F7"/>
          </w:tcPr>
          <w:p>
            <w:pPr>
              <w:widowControl/>
              <w:spacing w:after="0"/>
            </w:pPr>
            <w:r>
              <w:rPr>
                <w:rFonts w:ascii="Arial" w:hAnsi="Arial"/>
                <w:sz w:val="17"/>
              </w:rPr>
              <w:t>6</w:t>
            </w:r>
          </w:p>
        </w:tc>
        <w:tc>
          <w:tcPr>
            <w:tcW w:type="dxa" w:w="3600"/>
            <w:vAlign w:val="center"/>
            <w:tcMar>
              <w:top w:w="70" w:type="dxa"/>
              <w:start w:w="110" w:type="dxa"/>
              <w:bottom w:w="70" w:type="dxa"/>
              <w:end w:w="110" w:type="dxa"/>
            </w:tcMar>
            <w:shd w:fill="F4F6F7"/>
          </w:tcPr>
          <w:p>
            <w:pPr>
              <w:widowControl/>
              <w:spacing w:after="0"/>
            </w:pPr>
            <w:r>
              <w:rPr>
                <w:rFonts w:ascii="Arial" w:hAnsi="Arial"/>
                <w:sz w:val="17"/>
              </w:rPr>
              <w:t>2,815</w:t>
            </w:r>
          </w:p>
        </w:tc>
      </w:tr>
      <w:tr>
        <w:trPr>
          <w:cantSplit/>
        </w:trPr>
        <w:tc>
          <w:tcPr>
            <w:tcW w:type="dxa" w:w="1872"/>
            <w:vAlign w:val="center"/>
            <w:tcMar>
              <w:top w:w="70" w:type="dxa"/>
              <w:start w:w="110" w:type="dxa"/>
              <w:bottom w:w="70" w:type="dxa"/>
              <w:end w:w="110" w:type="dxa"/>
            </w:tcMar>
          </w:tcPr>
          <w:p>
            <w:pPr>
              <w:widowControl/>
              <w:spacing w:after="0"/>
            </w:pPr>
            <w:r>
              <w:rPr>
                <w:rFonts w:ascii="Arial" w:hAnsi="Arial"/>
                <w:sz w:val="17"/>
              </w:rPr>
              <w:t>7</w:t>
            </w:r>
          </w:p>
        </w:tc>
        <w:tc>
          <w:tcPr>
            <w:tcW w:type="dxa" w:w="3600"/>
            <w:vAlign w:val="center"/>
            <w:tcMar>
              <w:top w:w="70" w:type="dxa"/>
              <w:start w:w="110" w:type="dxa"/>
              <w:bottom w:w="70" w:type="dxa"/>
              <w:end w:w="110" w:type="dxa"/>
            </w:tcMar>
          </w:tcPr>
          <w:p>
            <w:pPr>
              <w:widowControl/>
              <w:spacing w:after="0"/>
            </w:pPr>
            <w:r>
              <w:rPr>
                <w:rFonts w:ascii="Arial" w:hAnsi="Arial"/>
                <w:sz w:val="17"/>
              </w:rPr>
              <w:t>2,844</w:t>
            </w:r>
          </w:p>
        </w:tc>
      </w:tr>
      <w:tr>
        <w:trPr>
          <w:cantSplit/>
        </w:trPr>
        <w:tc>
          <w:tcPr>
            <w:tcW w:type="dxa" w:w="1872"/>
            <w:vAlign w:val="center"/>
            <w:tcMar>
              <w:top w:w="70" w:type="dxa"/>
              <w:start w:w="110" w:type="dxa"/>
              <w:bottom w:w="70" w:type="dxa"/>
              <w:end w:w="110" w:type="dxa"/>
            </w:tcMar>
            <w:shd w:fill="F4F6F7"/>
          </w:tcPr>
          <w:p>
            <w:pPr>
              <w:widowControl/>
              <w:spacing w:after="0"/>
            </w:pPr>
            <w:r>
              <w:rPr>
                <w:rFonts w:ascii="Arial" w:hAnsi="Arial"/>
                <w:sz w:val="17"/>
              </w:rPr>
              <w:t>8</w:t>
            </w:r>
          </w:p>
        </w:tc>
        <w:tc>
          <w:tcPr>
            <w:tcW w:type="dxa" w:w="3600"/>
            <w:vAlign w:val="center"/>
            <w:tcMar>
              <w:top w:w="70" w:type="dxa"/>
              <w:start w:w="110" w:type="dxa"/>
              <w:bottom w:w="70" w:type="dxa"/>
              <w:end w:w="110" w:type="dxa"/>
            </w:tcMar>
            <w:shd w:fill="F4F6F7"/>
          </w:tcPr>
          <w:p>
            <w:pPr>
              <w:widowControl/>
              <w:spacing w:after="0"/>
            </w:pPr>
            <w:r>
              <w:rPr>
                <w:rFonts w:ascii="Arial" w:hAnsi="Arial"/>
                <w:sz w:val="17"/>
              </w:rPr>
              <w:t>2,872</w:t>
            </w:r>
          </w:p>
        </w:tc>
      </w:tr>
      <w:tr>
        <w:trPr>
          <w:cantSplit/>
        </w:trPr>
        <w:tc>
          <w:tcPr>
            <w:tcW w:type="dxa" w:w="1872"/>
            <w:vAlign w:val="center"/>
            <w:tcMar>
              <w:top w:w="70" w:type="dxa"/>
              <w:start w:w="110" w:type="dxa"/>
              <w:bottom w:w="70" w:type="dxa"/>
              <w:end w:w="110" w:type="dxa"/>
            </w:tcMar>
          </w:tcPr>
          <w:p>
            <w:pPr>
              <w:widowControl/>
              <w:spacing w:after="0"/>
            </w:pPr>
            <w:r>
              <w:rPr>
                <w:rFonts w:ascii="Arial" w:hAnsi="Arial"/>
                <w:sz w:val="17"/>
              </w:rPr>
              <w:t>9</w:t>
            </w:r>
          </w:p>
        </w:tc>
        <w:tc>
          <w:tcPr>
            <w:tcW w:type="dxa" w:w="3600"/>
            <w:vAlign w:val="center"/>
            <w:tcMar>
              <w:top w:w="70" w:type="dxa"/>
              <w:start w:w="110" w:type="dxa"/>
              <w:bottom w:w="70" w:type="dxa"/>
              <w:end w:w="110" w:type="dxa"/>
            </w:tcMar>
          </w:tcPr>
          <w:p>
            <w:pPr>
              <w:widowControl/>
              <w:spacing w:after="0"/>
            </w:pPr>
            <w:r>
              <w:rPr>
                <w:rFonts w:ascii="Arial" w:hAnsi="Arial"/>
                <w:sz w:val="17"/>
              </w:rPr>
              <w:t>2,901</w:t>
            </w:r>
          </w:p>
        </w:tc>
      </w:tr>
      <w:tr>
        <w:trPr>
          <w:cantSplit/>
        </w:trPr>
        <w:tc>
          <w:tcPr>
            <w:tcW w:type="dxa" w:w="1872"/>
            <w:vAlign w:val="center"/>
            <w:tcMar>
              <w:top w:w="70" w:type="dxa"/>
              <w:start w:w="110" w:type="dxa"/>
              <w:bottom w:w="70" w:type="dxa"/>
              <w:end w:w="110" w:type="dxa"/>
            </w:tcMar>
            <w:shd w:fill="F4F6F7"/>
          </w:tcPr>
          <w:p>
            <w:pPr>
              <w:widowControl/>
              <w:spacing w:after="0"/>
            </w:pPr>
            <w:r>
              <w:rPr>
                <w:rFonts w:ascii="Arial" w:hAnsi="Arial"/>
                <w:sz w:val="17"/>
              </w:rPr>
              <w:t>10</w:t>
            </w:r>
          </w:p>
        </w:tc>
        <w:tc>
          <w:tcPr>
            <w:tcW w:type="dxa" w:w="3600"/>
            <w:vAlign w:val="center"/>
            <w:tcMar>
              <w:top w:w="70" w:type="dxa"/>
              <w:start w:w="110" w:type="dxa"/>
              <w:bottom w:w="70" w:type="dxa"/>
              <w:end w:w="110" w:type="dxa"/>
            </w:tcMar>
            <w:shd w:fill="F4F6F7"/>
          </w:tcPr>
          <w:p>
            <w:pPr>
              <w:widowControl/>
              <w:spacing w:after="0"/>
            </w:pPr>
            <w:r>
              <w:rPr>
                <w:rFonts w:ascii="Arial" w:hAnsi="Arial"/>
                <w:sz w:val="17"/>
              </w:rPr>
              <w:t>2,930</w:t>
            </w:r>
          </w:p>
        </w:tc>
      </w:tr>
      <w:tr>
        <w:trPr>
          <w:cantSplit/>
        </w:trPr>
        <w:tc>
          <w:tcPr>
            <w:tcW w:type="dxa" w:w="1872"/>
            <w:vAlign w:val="center"/>
            <w:tcMar>
              <w:top w:w="70" w:type="dxa"/>
              <w:start w:w="110" w:type="dxa"/>
              <w:bottom w:w="70" w:type="dxa"/>
              <w:end w:w="110" w:type="dxa"/>
            </w:tcMar>
          </w:tcPr>
          <w:p>
            <w:pPr>
              <w:widowControl/>
              <w:spacing w:after="0"/>
            </w:pPr>
            <w:r>
              <w:rPr>
                <w:rFonts w:ascii="Arial" w:hAnsi="Arial"/>
                <w:sz w:val="17"/>
              </w:rPr>
              <w:t>11</w:t>
            </w:r>
          </w:p>
        </w:tc>
        <w:tc>
          <w:tcPr>
            <w:tcW w:type="dxa" w:w="3600"/>
            <w:vAlign w:val="center"/>
            <w:tcMar>
              <w:top w:w="70" w:type="dxa"/>
              <w:start w:w="110" w:type="dxa"/>
              <w:bottom w:w="70" w:type="dxa"/>
              <w:end w:w="110" w:type="dxa"/>
            </w:tcMar>
          </w:tcPr>
          <w:p>
            <w:pPr>
              <w:widowControl/>
              <w:spacing w:after="0"/>
            </w:pPr>
            <w:r>
              <w:rPr>
                <w:rFonts w:ascii="Arial" w:hAnsi="Arial"/>
                <w:sz w:val="17"/>
              </w:rPr>
              <w:t>2,959</w:t>
            </w:r>
          </w:p>
        </w:tc>
      </w:tr>
      <w:tr>
        <w:trPr>
          <w:cantSplit/>
        </w:trPr>
        <w:tc>
          <w:tcPr>
            <w:tcW w:type="dxa" w:w="1872"/>
            <w:vAlign w:val="center"/>
            <w:tcMar>
              <w:top w:w="70" w:type="dxa"/>
              <w:start w:w="110" w:type="dxa"/>
              <w:bottom w:w="70" w:type="dxa"/>
              <w:end w:w="110" w:type="dxa"/>
            </w:tcMar>
            <w:shd w:fill="F4F6F7"/>
          </w:tcPr>
          <w:p>
            <w:pPr>
              <w:widowControl/>
              <w:spacing w:after="0"/>
            </w:pPr>
            <w:r>
              <w:rPr>
                <w:rFonts w:ascii="Arial" w:hAnsi="Arial"/>
                <w:sz w:val="17"/>
              </w:rPr>
              <w:t>12</w:t>
            </w:r>
          </w:p>
        </w:tc>
        <w:tc>
          <w:tcPr>
            <w:tcW w:type="dxa" w:w="3600"/>
            <w:vAlign w:val="center"/>
            <w:tcMar>
              <w:top w:w="70" w:type="dxa"/>
              <w:start w:w="110" w:type="dxa"/>
              <w:bottom w:w="70" w:type="dxa"/>
              <w:end w:w="110" w:type="dxa"/>
            </w:tcMar>
            <w:shd w:fill="F4F6F7"/>
          </w:tcPr>
          <w:p>
            <w:pPr>
              <w:widowControl/>
              <w:spacing w:after="0"/>
            </w:pPr>
            <w:r>
              <w:rPr>
                <w:rFonts w:ascii="Arial" w:hAnsi="Arial"/>
                <w:sz w:val="17"/>
              </w:rPr>
              <w:t>2,989</w:t>
            </w:r>
          </w:p>
        </w:tc>
      </w:tr>
      <w:tr>
        <w:trPr>
          <w:cantSplit/>
        </w:trPr>
        <w:tc>
          <w:tcPr>
            <w:tcW w:type="dxa" w:w="1872"/>
            <w:vAlign w:val="center"/>
            <w:tcMar>
              <w:top w:w="70" w:type="dxa"/>
              <w:start w:w="110" w:type="dxa"/>
              <w:bottom w:w="70" w:type="dxa"/>
              <w:end w:w="110" w:type="dxa"/>
            </w:tcMar>
          </w:tcPr>
          <w:p>
            <w:pPr>
              <w:widowControl/>
              <w:spacing w:after="0"/>
            </w:pPr>
            <w:r>
              <w:rPr>
                <w:rFonts w:ascii="Arial" w:hAnsi="Arial"/>
                <w:sz w:val="17"/>
              </w:rPr>
              <w:t>13</w:t>
            </w:r>
          </w:p>
        </w:tc>
        <w:tc>
          <w:tcPr>
            <w:tcW w:type="dxa" w:w="3600"/>
            <w:vAlign w:val="center"/>
            <w:tcMar>
              <w:top w:w="70" w:type="dxa"/>
              <w:start w:w="110" w:type="dxa"/>
              <w:bottom w:w="70" w:type="dxa"/>
              <w:end w:w="110" w:type="dxa"/>
            </w:tcMar>
          </w:tcPr>
          <w:p>
            <w:pPr>
              <w:widowControl/>
              <w:spacing w:after="0"/>
            </w:pPr>
            <w:r>
              <w:rPr>
                <w:rFonts w:ascii="Arial" w:hAnsi="Arial"/>
                <w:sz w:val="17"/>
              </w:rPr>
              <w:t>3,019</w:t>
            </w:r>
          </w:p>
        </w:tc>
      </w:tr>
      <w:tr>
        <w:trPr>
          <w:cantSplit/>
        </w:trPr>
        <w:tc>
          <w:tcPr>
            <w:tcW w:type="dxa" w:w="1872"/>
            <w:vAlign w:val="center"/>
            <w:tcMar>
              <w:top w:w="70" w:type="dxa"/>
              <w:start w:w="110" w:type="dxa"/>
              <w:bottom w:w="70" w:type="dxa"/>
              <w:end w:w="110" w:type="dxa"/>
            </w:tcMar>
            <w:shd w:fill="F4F6F7"/>
          </w:tcPr>
          <w:p>
            <w:pPr>
              <w:widowControl/>
              <w:spacing w:after="0"/>
            </w:pPr>
            <w:r>
              <w:rPr>
                <w:rFonts w:ascii="Arial" w:hAnsi="Arial"/>
                <w:sz w:val="17"/>
              </w:rPr>
              <w:t>14</w:t>
            </w:r>
          </w:p>
        </w:tc>
        <w:tc>
          <w:tcPr>
            <w:tcW w:type="dxa" w:w="3600"/>
            <w:vAlign w:val="center"/>
            <w:tcMar>
              <w:top w:w="70" w:type="dxa"/>
              <w:start w:w="110" w:type="dxa"/>
              <w:bottom w:w="70" w:type="dxa"/>
              <w:end w:w="110" w:type="dxa"/>
            </w:tcMar>
            <w:shd w:fill="F4F6F7"/>
          </w:tcPr>
          <w:p>
            <w:pPr>
              <w:widowControl/>
              <w:spacing w:after="0"/>
            </w:pPr>
            <w:r>
              <w:rPr>
                <w:rFonts w:ascii="Arial" w:hAnsi="Arial"/>
                <w:sz w:val="17"/>
              </w:rPr>
              <w:t>3,049</w:t>
            </w:r>
          </w:p>
        </w:tc>
      </w:tr>
      <w:tr>
        <w:trPr>
          <w:cantSplit/>
        </w:trPr>
        <w:tc>
          <w:tcPr>
            <w:tcW w:type="dxa" w:w="1872"/>
            <w:vAlign w:val="center"/>
            <w:tcMar>
              <w:top w:w="70" w:type="dxa"/>
              <w:start w:w="110" w:type="dxa"/>
              <w:bottom w:w="70" w:type="dxa"/>
              <w:end w:w="110" w:type="dxa"/>
            </w:tcMar>
          </w:tcPr>
          <w:p>
            <w:pPr>
              <w:widowControl/>
              <w:spacing w:after="0"/>
            </w:pPr>
            <w:r>
              <w:rPr>
                <w:rFonts w:ascii="Arial" w:hAnsi="Arial"/>
                <w:sz w:val="17"/>
              </w:rPr>
              <w:t>15</w:t>
            </w:r>
          </w:p>
        </w:tc>
        <w:tc>
          <w:tcPr>
            <w:tcW w:type="dxa" w:w="3600"/>
            <w:vAlign w:val="center"/>
            <w:tcMar>
              <w:top w:w="70" w:type="dxa"/>
              <w:start w:w="110" w:type="dxa"/>
              <w:bottom w:w="70" w:type="dxa"/>
              <w:end w:w="110" w:type="dxa"/>
            </w:tcMar>
          </w:tcPr>
          <w:p>
            <w:pPr>
              <w:widowControl/>
              <w:spacing w:after="0"/>
            </w:pPr>
            <w:r>
              <w:rPr>
                <w:rFonts w:ascii="Arial" w:hAnsi="Arial"/>
                <w:sz w:val="17"/>
              </w:rPr>
              <w:t>3,079</w:t>
            </w:r>
          </w:p>
        </w:tc>
      </w:tr>
      <w:tr>
        <w:trPr>
          <w:cantSplit/>
        </w:trPr>
        <w:tc>
          <w:tcPr>
            <w:tcW w:type="dxa" w:w="1872"/>
            <w:vAlign w:val="center"/>
            <w:tcMar>
              <w:top w:w="70" w:type="dxa"/>
              <w:start w:w="110" w:type="dxa"/>
              <w:bottom w:w="70" w:type="dxa"/>
              <w:end w:w="110" w:type="dxa"/>
            </w:tcMar>
            <w:shd w:fill="F4F6F7"/>
          </w:tcPr>
          <w:p>
            <w:pPr>
              <w:widowControl/>
              <w:spacing w:after="0"/>
            </w:pPr>
            <w:r>
              <w:rPr>
                <w:rFonts w:ascii="Arial" w:hAnsi="Arial"/>
                <w:sz w:val="17"/>
              </w:rPr>
              <w:t>16</w:t>
            </w:r>
          </w:p>
        </w:tc>
        <w:tc>
          <w:tcPr>
            <w:tcW w:type="dxa" w:w="3600"/>
            <w:vAlign w:val="center"/>
            <w:tcMar>
              <w:top w:w="70" w:type="dxa"/>
              <w:start w:w="110" w:type="dxa"/>
              <w:bottom w:w="70" w:type="dxa"/>
              <w:end w:w="110" w:type="dxa"/>
            </w:tcMar>
            <w:shd w:fill="F4F6F7"/>
          </w:tcPr>
          <w:p>
            <w:pPr>
              <w:widowControl/>
              <w:spacing w:after="0"/>
            </w:pPr>
            <w:r>
              <w:rPr>
                <w:rFonts w:ascii="Arial" w:hAnsi="Arial"/>
                <w:sz w:val="17"/>
              </w:rPr>
              <w:t>3,110</w:t>
            </w:r>
          </w:p>
        </w:tc>
      </w:tr>
      <w:tr>
        <w:trPr>
          <w:cantSplit/>
        </w:trPr>
        <w:tc>
          <w:tcPr>
            <w:tcW w:type="dxa" w:w="1872"/>
            <w:vAlign w:val="center"/>
            <w:tcMar>
              <w:top w:w="70" w:type="dxa"/>
              <w:start w:w="110" w:type="dxa"/>
              <w:bottom w:w="70" w:type="dxa"/>
              <w:end w:w="110" w:type="dxa"/>
            </w:tcMar>
          </w:tcPr>
          <w:p>
            <w:pPr>
              <w:widowControl/>
              <w:spacing w:after="0"/>
            </w:pPr>
            <w:r>
              <w:rPr>
                <w:rFonts w:ascii="Arial" w:hAnsi="Arial"/>
                <w:sz w:val="17"/>
              </w:rPr>
              <w:t>17</w:t>
            </w:r>
          </w:p>
        </w:tc>
        <w:tc>
          <w:tcPr>
            <w:tcW w:type="dxa" w:w="3600"/>
            <w:vAlign w:val="center"/>
            <w:tcMar>
              <w:top w:w="70" w:type="dxa"/>
              <w:start w:w="110" w:type="dxa"/>
              <w:bottom w:w="70" w:type="dxa"/>
              <w:end w:w="110" w:type="dxa"/>
            </w:tcMar>
          </w:tcPr>
          <w:p>
            <w:pPr>
              <w:widowControl/>
              <w:spacing w:after="0"/>
            </w:pPr>
            <w:r>
              <w:rPr>
                <w:rFonts w:ascii="Arial" w:hAnsi="Arial"/>
                <w:sz w:val="17"/>
              </w:rPr>
              <w:t>3,141</w:t>
            </w:r>
          </w:p>
        </w:tc>
      </w:tr>
    </w:tbl>
    <w:p>
      <w:pPr>
        <w:widowControl/>
      </w:pPr>
      <w:r>
        <w:t>Starting in quota year 19, the quantity shall remain at 3,141 MT per year.</w:t>
      </w:r>
    </w:p>
    <w:p>
      <w:pPr>
        <w:widowControl/>
      </w:pPr>
      <w:r>
        <w:rPr>
          <w:b w:val="0"/>
        </w:rPr>
        <w:t>(b) This paragraph applies to goods classified in the following tariff items: 0404.90.10. (c) This TRQ shall be allocated on a calendar year basis. 17. TRQ-CA13: Ice Cream and Ice Cream Mixes (a) The aggregate quantity of originating goods described in subparagraph (b) that shall be permitted to enter duty-free in each quota year under this TRQ is:</w:t>
      </w:r>
    </w:p>
    <w:tbl>
      <w:tblPr>
        <w:tblStyle w:val="TableGrid"/>
        <w:tblW w:type="auto" w:w="0"/>
        <w:jc w:val="center"/>
        <w:tblLayout w:type="autofit"/>
        <w:tblLook w:firstColumn="1" w:firstRow="1" w:lastColumn="0" w:lastRow="0" w:noHBand="0" w:noVBand="1" w:val="04A0"/>
      </w:tblPr>
      <w:tblGrid>
        <w:gridCol w:w="4680"/>
        <w:gridCol w:w="4680"/>
      </w:tblGrid>
      <w:tr>
        <w:trPr>
          <w:tblHeader w:val="true"/>
          <w:cantSplit/>
          <w:tblHeader w:val="true"/>
        </w:trPr>
        <w:tc>
          <w:tcPr>
            <w:tcW w:type="dxa" w:w="4680"/>
            <w:shd w:fill="233746"/>
          </w:tcPr>
          <w:p>
            <w:pPr>
              <w:spacing w:after="0"/>
            </w:pPr>
            <w:r>
              <w:rPr>
                <w:rFonts w:ascii="Arial" w:hAnsi="Arial"/>
                <w:b/>
                <w:color w:val="FFFFFF"/>
                <w:sz w:val="17"/>
              </w:rPr>
              <w:t>Quota Year</w:t>
            </w:r>
          </w:p>
        </w:tc>
        <w:tc>
          <w:tcPr>
            <w:tcW w:type="dxa" w:w="4680"/>
            <w:shd w:fill="233746"/>
          </w:tcPr>
          <w:p>
            <w:pPr>
              <w:spacing w:after="0"/>
            </w:pPr>
            <w:r>
              <w:rPr>
                <w:rFonts w:ascii="Arial" w:hAnsi="Arial"/>
                <w:b/>
                <w:color w:val="FFFFFF"/>
                <w:sz w:val="17"/>
              </w:rPr>
              <w:t>Aggregate Quantity (MT)</w:t>
            </w:r>
          </w:p>
        </w:tc>
      </w:tr>
      <w:tr>
        <w:tc>
          <w:tcPr>
            <w:tcW w:type="dxa" w:w="4680"/>
            <w:tcMar>
              <w:top w:w="70" w:type="dxa"/>
              <w:start w:w="110" w:type="dxa"/>
              <w:bottom w:w="70" w:type="dxa"/>
              <w:end w:w="110" w:type="dxa"/>
            </w:tcMar>
          </w:tcPr>
          <w:p>
            <w:pPr>
              <w:widowControl/>
              <w:spacing w:after="0"/>
            </w:pPr>
            <w:r>
              <w:rPr>
                <w:rFonts w:ascii="Arial" w:hAnsi="Arial"/>
                <w:sz w:val="17"/>
              </w:rPr>
              <w:t>1</w:t>
            </w:r>
          </w:p>
        </w:tc>
        <w:tc>
          <w:tcPr>
            <w:tcW w:type="dxa" w:w="4680"/>
            <w:tcMar>
              <w:top w:w="70" w:type="dxa"/>
              <w:start w:w="110" w:type="dxa"/>
              <w:bottom w:w="70" w:type="dxa"/>
              <w:end w:w="110" w:type="dxa"/>
            </w:tcMar>
          </w:tcPr>
          <w:p>
            <w:pPr>
              <w:widowControl/>
              <w:spacing w:after="0"/>
            </w:pPr>
            <w:r>
              <w:rPr>
                <w:rFonts w:ascii="Arial" w:hAnsi="Arial"/>
                <w:sz w:val="17"/>
              </w:rPr>
              <w:t>115</w:t>
            </w:r>
          </w:p>
        </w:tc>
      </w:tr>
      <w:tr>
        <w:tc>
          <w:tcPr>
            <w:tcW w:type="dxa" w:w="4680"/>
            <w:tcMar>
              <w:top w:w="70" w:type="dxa"/>
              <w:start w:w="110" w:type="dxa"/>
              <w:bottom w:w="70" w:type="dxa"/>
              <w:end w:w="110" w:type="dxa"/>
            </w:tcMar>
            <w:shd w:fill="F4F6F7"/>
          </w:tcPr>
          <w:p>
            <w:pPr>
              <w:widowControl/>
              <w:spacing w:after="0"/>
            </w:pPr>
            <w:r>
              <w:rPr>
                <w:rFonts w:ascii="Arial" w:hAnsi="Arial"/>
                <w:sz w:val="17"/>
              </w:rPr>
              <w:t>2</w:t>
            </w:r>
          </w:p>
        </w:tc>
        <w:tc>
          <w:tcPr>
            <w:tcW w:type="dxa" w:w="4680"/>
            <w:tcMar>
              <w:top w:w="70" w:type="dxa"/>
              <w:start w:w="110" w:type="dxa"/>
              <w:bottom w:w="70" w:type="dxa"/>
              <w:end w:w="110" w:type="dxa"/>
            </w:tcMar>
            <w:shd w:fill="F4F6F7"/>
          </w:tcPr>
          <w:p>
            <w:pPr>
              <w:widowControl/>
              <w:spacing w:after="0"/>
            </w:pPr>
            <w:r>
              <w:rPr>
                <w:rFonts w:ascii="Arial" w:hAnsi="Arial"/>
                <w:sz w:val="17"/>
              </w:rPr>
              <w:t>230</w:t>
            </w:r>
          </w:p>
        </w:tc>
      </w:tr>
      <w:tr>
        <w:tc>
          <w:tcPr>
            <w:tcW w:type="dxa" w:w="4680"/>
            <w:tcMar>
              <w:top w:w="70" w:type="dxa"/>
              <w:start w:w="110" w:type="dxa"/>
              <w:bottom w:w="70" w:type="dxa"/>
              <w:end w:w="110" w:type="dxa"/>
            </w:tcMar>
          </w:tcPr>
          <w:p>
            <w:pPr>
              <w:widowControl/>
              <w:spacing w:after="0"/>
            </w:pPr>
            <w:r>
              <w:rPr>
                <w:rFonts w:ascii="Arial" w:hAnsi="Arial"/>
                <w:sz w:val="17"/>
              </w:rPr>
              <w:t>3</w:t>
            </w:r>
          </w:p>
        </w:tc>
        <w:tc>
          <w:tcPr>
            <w:tcW w:type="dxa" w:w="4680"/>
            <w:tcMar>
              <w:top w:w="70" w:type="dxa"/>
              <w:start w:w="110" w:type="dxa"/>
              <w:bottom w:w="70" w:type="dxa"/>
              <w:end w:w="110" w:type="dxa"/>
            </w:tcMar>
          </w:tcPr>
          <w:p>
            <w:pPr>
              <w:widowControl/>
              <w:spacing w:after="0"/>
            </w:pPr>
            <w:r>
              <w:rPr>
                <w:rFonts w:ascii="Arial" w:hAnsi="Arial"/>
                <w:sz w:val="17"/>
              </w:rPr>
              <w:t>345</w:t>
            </w:r>
          </w:p>
        </w:tc>
      </w:tr>
      <w:tr>
        <w:tc>
          <w:tcPr>
            <w:tcW w:type="dxa" w:w="4680"/>
            <w:tcMar>
              <w:top w:w="70" w:type="dxa"/>
              <w:start w:w="110" w:type="dxa"/>
              <w:bottom w:w="70" w:type="dxa"/>
              <w:end w:w="110" w:type="dxa"/>
            </w:tcMar>
            <w:shd w:fill="F4F6F7"/>
          </w:tcPr>
          <w:p>
            <w:pPr>
              <w:widowControl/>
              <w:spacing w:after="0"/>
            </w:pPr>
            <w:r>
              <w:rPr>
                <w:rFonts w:ascii="Arial" w:hAnsi="Arial"/>
                <w:sz w:val="17"/>
              </w:rPr>
              <w:t>4</w:t>
            </w:r>
          </w:p>
        </w:tc>
        <w:tc>
          <w:tcPr>
            <w:tcW w:type="dxa" w:w="4680"/>
            <w:tcMar>
              <w:top w:w="70" w:type="dxa"/>
              <w:start w:w="110" w:type="dxa"/>
              <w:bottom w:w="70" w:type="dxa"/>
              <w:end w:w="110" w:type="dxa"/>
            </w:tcMar>
            <w:shd w:fill="F4F6F7"/>
          </w:tcPr>
          <w:p>
            <w:pPr>
              <w:widowControl/>
              <w:spacing w:after="0"/>
            </w:pPr>
            <w:r>
              <w:rPr>
                <w:rFonts w:ascii="Arial" w:hAnsi="Arial"/>
                <w:sz w:val="17"/>
              </w:rPr>
              <w:t>460</w:t>
            </w:r>
          </w:p>
        </w:tc>
      </w:tr>
      <w:tr>
        <w:tc>
          <w:tcPr>
            <w:tcW w:type="dxa" w:w="4680"/>
            <w:tcMar>
              <w:top w:w="70" w:type="dxa"/>
              <w:start w:w="110" w:type="dxa"/>
              <w:bottom w:w="70" w:type="dxa"/>
              <w:end w:w="110" w:type="dxa"/>
            </w:tcMar>
          </w:tcPr>
          <w:p>
            <w:pPr>
              <w:widowControl/>
              <w:spacing w:after="0"/>
            </w:pPr>
            <w:r>
              <w:rPr>
                <w:rFonts w:ascii="Arial" w:hAnsi="Arial"/>
                <w:sz w:val="17"/>
              </w:rPr>
              <w:t>5</w:t>
            </w:r>
          </w:p>
        </w:tc>
        <w:tc>
          <w:tcPr>
            <w:tcW w:type="dxa" w:w="4680"/>
            <w:tcMar>
              <w:top w:w="70" w:type="dxa"/>
              <w:start w:w="110" w:type="dxa"/>
              <w:bottom w:w="70" w:type="dxa"/>
              <w:end w:w="110" w:type="dxa"/>
            </w:tcMar>
          </w:tcPr>
          <w:p>
            <w:pPr>
              <w:widowControl/>
              <w:spacing w:after="0"/>
            </w:pPr>
            <w:r>
              <w:rPr>
                <w:rFonts w:ascii="Arial" w:hAnsi="Arial"/>
                <w:sz w:val="17"/>
              </w:rPr>
              <w:t>575</w:t>
            </w:r>
          </w:p>
        </w:tc>
      </w:tr>
      <w:tr>
        <w:tc>
          <w:tcPr>
            <w:tcW w:type="dxa" w:w="4680"/>
            <w:tcMar>
              <w:top w:w="70" w:type="dxa"/>
              <w:start w:w="110" w:type="dxa"/>
              <w:bottom w:w="70" w:type="dxa"/>
              <w:end w:w="110" w:type="dxa"/>
            </w:tcMar>
            <w:shd w:fill="F4F6F7"/>
          </w:tcPr>
          <w:p>
            <w:pPr>
              <w:widowControl/>
              <w:spacing w:after="0"/>
            </w:pPr>
            <w:r>
              <w:rPr>
                <w:rFonts w:ascii="Arial" w:hAnsi="Arial"/>
                <w:sz w:val="17"/>
              </w:rPr>
              <w:t>6</w:t>
            </w:r>
          </w:p>
        </w:tc>
        <w:tc>
          <w:tcPr>
            <w:tcW w:type="dxa" w:w="4680"/>
            <w:tcMar>
              <w:top w:w="70" w:type="dxa"/>
              <w:start w:w="110" w:type="dxa"/>
              <w:bottom w:w="70" w:type="dxa"/>
              <w:end w:w="110" w:type="dxa"/>
            </w:tcMar>
            <w:shd w:fill="F4F6F7"/>
          </w:tcPr>
          <w:p>
            <w:pPr>
              <w:widowControl/>
              <w:spacing w:after="0"/>
            </w:pPr>
            <w:r>
              <w:rPr>
                <w:rFonts w:ascii="Arial" w:hAnsi="Arial"/>
                <w:sz w:val="17"/>
              </w:rPr>
              <w:t>690</w:t>
            </w:r>
          </w:p>
        </w:tc>
      </w:tr>
      <w:tr>
        <w:tc>
          <w:tcPr>
            <w:tcW w:type="dxa" w:w="4680"/>
            <w:tcMar>
              <w:top w:w="70" w:type="dxa"/>
              <w:start w:w="110" w:type="dxa"/>
              <w:bottom w:w="70" w:type="dxa"/>
              <w:end w:w="110" w:type="dxa"/>
            </w:tcMar>
          </w:tcPr>
          <w:p>
            <w:pPr>
              <w:widowControl/>
              <w:spacing w:after="0"/>
            </w:pPr>
            <w:r>
              <w:rPr>
                <w:rFonts w:ascii="Arial" w:hAnsi="Arial"/>
                <w:sz w:val="17"/>
              </w:rPr>
              <w:t>7</w:t>
            </w:r>
          </w:p>
        </w:tc>
        <w:tc>
          <w:tcPr>
            <w:tcW w:type="dxa" w:w="4680"/>
            <w:tcMar>
              <w:top w:w="70" w:type="dxa"/>
              <w:start w:w="110" w:type="dxa"/>
              <w:bottom w:w="70" w:type="dxa"/>
              <w:end w:w="110" w:type="dxa"/>
            </w:tcMar>
          </w:tcPr>
          <w:p>
            <w:pPr>
              <w:widowControl/>
              <w:spacing w:after="0"/>
            </w:pPr>
            <w:r>
              <w:rPr>
                <w:rFonts w:ascii="Arial" w:hAnsi="Arial"/>
                <w:sz w:val="17"/>
              </w:rPr>
              <w:t>697</w:t>
            </w:r>
          </w:p>
        </w:tc>
      </w:tr>
      <w:tr>
        <w:tc>
          <w:tcPr>
            <w:tcW w:type="dxa" w:w="4680"/>
            <w:tcMar>
              <w:top w:w="70" w:type="dxa"/>
              <w:start w:w="110" w:type="dxa"/>
              <w:bottom w:w="70" w:type="dxa"/>
              <w:end w:w="110" w:type="dxa"/>
            </w:tcMar>
            <w:shd w:fill="F4F6F7"/>
          </w:tcPr>
          <w:p>
            <w:pPr>
              <w:widowControl/>
              <w:spacing w:after="0"/>
            </w:pPr>
            <w:r>
              <w:rPr>
                <w:rFonts w:ascii="Arial" w:hAnsi="Arial"/>
                <w:sz w:val="17"/>
              </w:rPr>
              <w:t>8</w:t>
            </w:r>
          </w:p>
        </w:tc>
        <w:tc>
          <w:tcPr>
            <w:tcW w:type="dxa" w:w="4680"/>
            <w:tcMar>
              <w:top w:w="70" w:type="dxa"/>
              <w:start w:w="110" w:type="dxa"/>
              <w:bottom w:w="70" w:type="dxa"/>
              <w:end w:w="110" w:type="dxa"/>
            </w:tcMar>
            <w:shd w:fill="F4F6F7"/>
          </w:tcPr>
          <w:p>
            <w:pPr>
              <w:widowControl/>
              <w:spacing w:after="0"/>
            </w:pPr>
            <w:r>
              <w:rPr>
                <w:rFonts w:ascii="Arial" w:hAnsi="Arial"/>
                <w:sz w:val="17"/>
              </w:rPr>
              <w:t>704</w:t>
            </w:r>
          </w:p>
        </w:tc>
      </w:tr>
      <w:tr>
        <w:tc>
          <w:tcPr>
            <w:tcW w:type="dxa" w:w="4680"/>
            <w:tcMar>
              <w:top w:w="70" w:type="dxa"/>
              <w:start w:w="110" w:type="dxa"/>
              <w:bottom w:w="70" w:type="dxa"/>
              <w:end w:w="110" w:type="dxa"/>
            </w:tcMar>
          </w:tcPr>
          <w:p>
            <w:pPr>
              <w:widowControl/>
              <w:spacing w:after="0"/>
            </w:pPr>
            <w:r>
              <w:rPr>
                <w:rFonts w:ascii="Arial" w:hAnsi="Arial"/>
                <w:sz w:val="17"/>
              </w:rPr>
              <w:t>9</w:t>
            </w:r>
          </w:p>
        </w:tc>
        <w:tc>
          <w:tcPr>
            <w:tcW w:type="dxa" w:w="4680"/>
            <w:tcMar>
              <w:top w:w="70" w:type="dxa"/>
              <w:start w:w="110" w:type="dxa"/>
              <w:bottom w:w="70" w:type="dxa"/>
              <w:end w:w="110" w:type="dxa"/>
            </w:tcMar>
          </w:tcPr>
          <w:p>
            <w:pPr>
              <w:widowControl/>
              <w:spacing w:after="0"/>
            </w:pPr>
            <w:r>
              <w:rPr>
                <w:rFonts w:ascii="Arial" w:hAnsi="Arial"/>
                <w:sz w:val="17"/>
              </w:rPr>
              <w:t>711</w:t>
            </w:r>
          </w:p>
        </w:tc>
      </w:tr>
      <w:tr>
        <w:tc>
          <w:tcPr>
            <w:tcW w:type="dxa" w:w="4680"/>
            <w:tcMar>
              <w:top w:w="70" w:type="dxa"/>
              <w:start w:w="110" w:type="dxa"/>
              <w:bottom w:w="70" w:type="dxa"/>
              <w:end w:w="110" w:type="dxa"/>
            </w:tcMar>
            <w:shd w:fill="F4F6F7"/>
          </w:tcPr>
          <w:p>
            <w:pPr>
              <w:widowControl/>
              <w:spacing w:after="0"/>
            </w:pPr>
            <w:r>
              <w:rPr>
                <w:rFonts w:ascii="Arial" w:hAnsi="Arial"/>
                <w:sz w:val="17"/>
              </w:rPr>
              <w:t>10</w:t>
            </w:r>
          </w:p>
        </w:tc>
        <w:tc>
          <w:tcPr>
            <w:tcW w:type="dxa" w:w="4680"/>
            <w:tcMar>
              <w:top w:w="70" w:type="dxa"/>
              <w:start w:w="110" w:type="dxa"/>
              <w:bottom w:w="70" w:type="dxa"/>
              <w:end w:w="110" w:type="dxa"/>
            </w:tcMar>
            <w:shd w:fill="F4F6F7"/>
          </w:tcPr>
          <w:p>
            <w:pPr>
              <w:widowControl/>
              <w:spacing w:after="0"/>
            </w:pPr>
            <w:r>
              <w:rPr>
                <w:rFonts w:ascii="Arial" w:hAnsi="Arial"/>
                <w:sz w:val="17"/>
              </w:rPr>
              <w:t>718</w:t>
            </w:r>
          </w:p>
        </w:tc>
      </w:tr>
      <w:tr>
        <w:tc>
          <w:tcPr>
            <w:tcW w:type="dxa" w:w="4680"/>
            <w:tcMar>
              <w:top w:w="70" w:type="dxa"/>
              <w:start w:w="110" w:type="dxa"/>
              <w:bottom w:w="70" w:type="dxa"/>
              <w:end w:w="110" w:type="dxa"/>
            </w:tcMar>
          </w:tcPr>
          <w:p>
            <w:pPr>
              <w:widowControl/>
              <w:spacing w:after="0"/>
            </w:pPr>
            <w:r>
              <w:rPr>
                <w:rFonts w:ascii="Arial" w:hAnsi="Arial"/>
                <w:sz w:val="17"/>
              </w:rPr>
              <w:t>11</w:t>
            </w:r>
          </w:p>
        </w:tc>
        <w:tc>
          <w:tcPr>
            <w:tcW w:type="dxa" w:w="4680"/>
            <w:tcMar>
              <w:top w:w="70" w:type="dxa"/>
              <w:start w:w="110" w:type="dxa"/>
              <w:bottom w:w="70" w:type="dxa"/>
              <w:end w:w="110" w:type="dxa"/>
            </w:tcMar>
          </w:tcPr>
          <w:p>
            <w:pPr>
              <w:widowControl/>
              <w:spacing w:after="0"/>
            </w:pPr>
            <w:r>
              <w:rPr>
                <w:rFonts w:ascii="Arial" w:hAnsi="Arial"/>
                <w:sz w:val="17"/>
              </w:rPr>
              <w:t>725</w:t>
            </w:r>
          </w:p>
        </w:tc>
      </w:tr>
      <w:tr>
        <w:tc>
          <w:tcPr>
            <w:tcW w:type="dxa" w:w="4680"/>
            <w:tcMar>
              <w:top w:w="70" w:type="dxa"/>
              <w:start w:w="110" w:type="dxa"/>
              <w:bottom w:w="70" w:type="dxa"/>
              <w:end w:w="110" w:type="dxa"/>
            </w:tcMar>
            <w:shd w:fill="F4F6F7"/>
          </w:tcPr>
          <w:p>
            <w:pPr>
              <w:widowControl/>
              <w:spacing w:after="0"/>
            </w:pPr>
            <w:r>
              <w:rPr>
                <w:rFonts w:ascii="Arial" w:hAnsi="Arial"/>
                <w:sz w:val="17"/>
              </w:rPr>
              <w:t>12</w:t>
            </w:r>
          </w:p>
        </w:tc>
        <w:tc>
          <w:tcPr>
            <w:tcW w:type="dxa" w:w="4680"/>
            <w:tcMar>
              <w:top w:w="70" w:type="dxa"/>
              <w:start w:w="110" w:type="dxa"/>
              <w:bottom w:w="70" w:type="dxa"/>
              <w:end w:w="110" w:type="dxa"/>
            </w:tcMar>
            <w:shd w:fill="F4F6F7"/>
          </w:tcPr>
          <w:p>
            <w:pPr>
              <w:widowControl/>
              <w:spacing w:after="0"/>
            </w:pPr>
            <w:r>
              <w:rPr>
                <w:rFonts w:ascii="Arial" w:hAnsi="Arial"/>
                <w:sz w:val="17"/>
              </w:rPr>
              <w:t>732</w:t>
            </w:r>
          </w:p>
        </w:tc>
      </w:tr>
      <w:tr>
        <w:tc>
          <w:tcPr>
            <w:tcW w:type="dxa" w:w="4680"/>
            <w:tcMar>
              <w:top w:w="70" w:type="dxa"/>
              <w:start w:w="110" w:type="dxa"/>
              <w:bottom w:w="70" w:type="dxa"/>
              <w:end w:w="110" w:type="dxa"/>
            </w:tcMar>
          </w:tcPr>
          <w:p>
            <w:pPr>
              <w:widowControl/>
              <w:spacing w:after="0"/>
            </w:pPr>
            <w:r>
              <w:rPr>
                <w:rFonts w:ascii="Arial" w:hAnsi="Arial"/>
                <w:sz w:val="17"/>
              </w:rPr>
              <w:t>13</w:t>
            </w:r>
          </w:p>
        </w:tc>
        <w:tc>
          <w:tcPr>
            <w:tcW w:type="dxa" w:w="4680"/>
            <w:tcMar>
              <w:top w:w="70" w:type="dxa"/>
              <w:start w:w="110" w:type="dxa"/>
              <w:bottom w:w="70" w:type="dxa"/>
              <w:end w:w="110" w:type="dxa"/>
            </w:tcMar>
          </w:tcPr>
          <w:p>
            <w:pPr>
              <w:widowControl/>
              <w:spacing w:after="0"/>
            </w:pPr>
            <w:r>
              <w:rPr>
                <w:rFonts w:ascii="Arial" w:hAnsi="Arial"/>
                <w:sz w:val="17"/>
              </w:rPr>
              <w:t>740</w:t>
            </w:r>
          </w:p>
        </w:tc>
      </w:tr>
      <w:tr>
        <w:tc>
          <w:tcPr>
            <w:tcW w:type="dxa" w:w="4680"/>
            <w:tcMar>
              <w:top w:w="70" w:type="dxa"/>
              <w:start w:w="110" w:type="dxa"/>
              <w:bottom w:w="70" w:type="dxa"/>
              <w:end w:w="110" w:type="dxa"/>
            </w:tcMar>
            <w:shd w:fill="F4F6F7"/>
          </w:tcPr>
          <w:p>
            <w:pPr>
              <w:widowControl/>
              <w:spacing w:after="0"/>
            </w:pPr>
            <w:r>
              <w:rPr>
                <w:rFonts w:ascii="Arial" w:hAnsi="Arial"/>
                <w:sz w:val="17"/>
              </w:rPr>
              <w:t>14</w:t>
            </w:r>
          </w:p>
        </w:tc>
        <w:tc>
          <w:tcPr>
            <w:tcW w:type="dxa" w:w="4680"/>
            <w:tcMar>
              <w:top w:w="70" w:type="dxa"/>
              <w:start w:w="110" w:type="dxa"/>
              <w:bottom w:w="70" w:type="dxa"/>
              <w:end w:w="110" w:type="dxa"/>
            </w:tcMar>
            <w:shd w:fill="F4F6F7"/>
          </w:tcPr>
          <w:p>
            <w:pPr>
              <w:widowControl/>
              <w:spacing w:after="0"/>
            </w:pPr>
            <w:r>
              <w:rPr>
                <w:rFonts w:ascii="Arial" w:hAnsi="Arial"/>
                <w:sz w:val="17"/>
              </w:rPr>
              <w:t>747</w:t>
            </w:r>
          </w:p>
        </w:tc>
      </w:tr>
      <w:tr>
        <w:tc>
          <w:tcPr>
            <w:tcW w:type="dxa" w:w="4680"/>
            <w:tcMar>
              <w:top w:w="70" w:type="dxa"/>
              <w:start w:w="110" w:type="dxa"/>
              <w:bottom w:w="70" w:type="dxa"/>
              <w:end w:w="110" w:type="dxa"/>
            </w:tcMar>
          </w:tcPr>
          <w:p>
            <w:pPr>
              <w:widowControl/>
              <w:spacing w:after="0"/>
            </w:pPr>
            <w:r>
              <w:rPr>
                <w:rFonts w:ascii="Arial" w:hAnsi="Arial"/>
                <w:sz w:val="17"/>
              </w:rPr>
              <w:t>15</w:t>
            </w:r>
          </w:p>
        </w:tc>
        <w:tc>
          <w:tcPr>
            <w:tcW w:type="dxa" w:w="4680"/>
            <w:tcMar>
              <w:top w:w="70" w:type="dxa"/>
              <w:start w:w="110" w:type="dxa"/>
              <w:bottom w:w="70" w:type="dxa"/>
              <w:end w:w="110" w:type="dxa"/>
            </w:tcMar>
          </w:tcPr>
          <w:p>
            <w:pPr>
              <w:widowControl/>
              <w:spacing w:after="0"/>
            </w:pPr>
            <w:r>
              <w:rPr>
                <w:rFonts w:ascii="Arial" w:hAnsi="Arial"/>
                <w:sz w:val="17"/>
              </w:rPr>
              <w:t>755</w:t>
            </w:r>
          </w:p>
        </w:tc>
      </w:tr>
      <w:tr>
        <w:tc>
          <w:tcPr>
            <w:tcW w:type="dxa" w:w="4680"/>
            <w:tcMar>
              <w:top w:w="70" w:type="dxa"/>
              <w:start w:w="110" w:type="dxa"/>
              <w:bottom w:w="70" w:type="dxa"/>
              <w:end w:w="110" w:type="dxa"/>
            </w:tcMar>
            <w:shd w:fill="F4F6F7"/>
          </w:tcPr>
          <w:p>
            <w:pPr>
              <w:widowControl/>
              <w:spacing w:after="0"/>
            </w:pPr>
            <w:r>
              <w:rPr>
                <w:rFonts w:ascii="Arial" w:hAnsi="Arial"/>
                <w:sz w:val="17"/>
              </w:rPr>
              <w:t>16</w:t>
            </w:r>
          </w:p>
        </w:tc>
        <w:tc>
          <w:tcPr>
            <w:tcW w:type="dxa" w:w="4680"/>
            <w:tcMar>
              <w:top w:w="70" w:type="dxa"/>
              <w:start w:w="110" w:type="dxa"/>
              <w:bottom w:w="70" w:type="dxa"/>
              <w:end w:w="110" w:type="dxa"/>
            </w:tcMar>
            <w:shd w:fill="F4F6F7"/>
          </w:tcPr>
          <w:p>
            <w:pPr>
              <w:widowControl/>
              <w:spacing w:after="0"/>
            </w:pPr>
            <w:r>
              <w:rPr>
                <w:rFonts w:ascii="Arial" w:hAnsi="Arial"/>
                <w:sz w:val="17"/>
              </w:rPr>
              <w:t>762</w:t>
            </w:r>
          </w:p>
        </w:tc>
      </w:tr>
      <w:tr>
        <w:tc>
          <w:tcPr>
            <w:tcW w:type="dxa" w:w="4680"/>
            <w:tcMar>
              <w:top w:w="70" w:type="dxa"/>
              <w:start w:w="110" w:type="dxa"/>
              <w:bottom w:w="70" w:type="dxa"/>
              <w:end w:w="110" w:type="dxa"/>
            </w:tcMar>
          </w:tcPr>
          <w:p>
            <w:pPr>
              <w:widowControl/>
              <w:spacing w:after="0"/>
            </w:pPr>
            <w:r>
              <w:rPr>
                <w:rFonts w:ascii="Arial" w:hAnsi="Arial"/>
                <w:sz w:val="17"/>
              </w:rPr>
              <w:t>17</w:t>
            </w:r>
          </w:p>
        </w:tc>
        <w:tc>
          <w:tcPr>
            <w:tcW w:type="dxa" w:w="4680"/>
            <w:tcMar>
              <w:top w:w="70" w:type="dxa"/>
              <w:start w:w="110" w:type="dxa"/>
              <w:bottom w:w="70" w:type="dxa"/>
              <w:end w:w="110" w:type="dxa"/>
            </w:tcMar>
          </w:tcPr>
          <w:p>
            <w:pPr>
              <w:widowControl/>
              <w:spacing w:after="0"/>
            </w:pPr>
            <w:r>
              <w:rPr>
                <w:rFonts w:ascii="Arial" w:hAnsi="Arial"/>
                <w:sz w:val="17"/>
              </w:rPr>
              <w:t>770</w:t>
            </w:r>
          </w:p>
        </w:tc>
      </w:tr>
      <w:tr>
        <w:tc>
          <w:tcPr>
            <w:tcW w:type="dxa" w:w="4680"/>
            <w:tcMar>
              <w:top w:w="70" w:type="dxa"/>
              <w:start w:w="110" w:type="dxa"/>
              <w:bottom w:w="70" w:type="dxa"/>
              <w:end w:w="110" w:type="dxa"/>
            </w:tcMar>
            <w:shd w:fill="F4F6F7"/>
          </w:tcPr>
          <w:p>
            <w:pPr>
              <w:widowControl/>
              <w:spacing w:after="0"/>
            </w:pPr>
            <w:r>
              <w:rPr>
                <w:rFonts w:ascii="Arial" w:hAnsi="Arial"/>
                <w:sz w:val="17"/>
              </w:rPr>
              <w:t>18</w:t>
            </w:r>
          </w:p>
        </w:tc>
        <w:tc>
          <w:tcPr>
            <w:tcW w:type="dxa" w:w="4680"/>
            <w:tcMar>
              <w:top w:w="70" w:type="dxa"/>
              <w:start w:w="110" w:type="dxa"/>
              <w:bottom w:w="70" w:type="dxa"/>
              <w:end w:w="110" w:type="dxa"/>
            </w:tcMar>
            <w:shd w:fill="F4F6F7"/>
          </w:tcPr>
          <w:p>
            <w:pPr>
              <w:widowControl/>
              <w:spacing w:after="0"/>
            </w:pPr>
            <w:r>
              <w:rPr>
                <w:rFonts w:ascii="Arial" w:hAnsi="Arial"/>
                <w:sz w:val="17"/>
              </w:rPr>
              <w:t>778</w:t>
            </w:r>
          </w:p>
        </w:tc>
      </w:tr>
      <w:tr>
        <w:tc>
          <w:tcPr>
            <w:tcW w:type="dxa" w:w="4680"/>
            <w:tcMar>
              <w:top w:w="70" w:type="dxa"/>
              <w:start w:w="110" w:type="dxa"/>
              <w:bottom w:w="70" w:type="dxa"/>
              <w:end w:w="110" w:type="dxa"/>
            </w:tcMar>
          </w:tcPr>
          <w:p>
            <w:pPr>
              <w:widowControl/>
              <w:spacing w:after="0"/>
            </w:pPr>
            <w:r>
              <w:rPr>
                <w:rFonts w:ascii="Arial" w:hAnsi="Arial"/>
                <w:sz w:val="17"/>
              </w:rPr>
              <w:t>19</w:t>
            </w:r>
          </w:p>
        </w:tc>
        <w:tc>
          <w:tcPr>
            <w:tcW w:type="dxa" w:w="4680"/>
            <w:tcMar>
              <w:top w:w="70" w:type="dxa"/>
              <w:start w:w="110" w:type="dxa"/>
              <w:bottom w:w="70" w:type="dxa"/>
              <w:end w:w="110" w:type="dxa"/>
            </w:tcMar>
          </w:tcPr>
          <w:p>
            <w:pPr>
              <w:widowControl/>
              <w:spacing w:after="0"/>
            </w:pPr>
            <w:r>
              <w:rPr>
                <w:rFonts w:ascii="Arial" w:hAnsi="Arial"/>
                <w:sz w:val="17"/>
              </w:rPr>
              <w:t>785</w:t>
            </w:r>
          </w:p>
        </w:tc>
      </w:tr>
    </w:tbl>
    <w:p>
      <w:pPr>
        <w:widowControl/>
      </w:pPr>
      <w:r>
        <w:rPr>
          <w:b w:val="0"/>
        </w:rPr>
        <w:t>Starting in quota year 19, the quantity shall remain at 785 MT per year. (b) This paragraph applies to goods classified in the following tariff items: 1806.20.21, 1806.90.11, 1901.90.31, 1901.90.51, 2105.00.91, and 2202.99.32. (c) This TRQ shall be allocated on a calendar year basis. 18. TRQ-CA14: Other Dairy (a) The aggregate quantity of originating goods described in subparagraph (b) that shall be permitted to enter duty-free in each quota year under this TRQ is:</w:t>
      </w:r>
    </w:p>
    <w:tbl>
      <w:tblPr>
        <w:tblStyle w:val="TableGrid"/>
        <w:tblW w:type="auto" w:w="0"/>
        <w:jc w:val="center"/>
        <w:tblLayout w:type="autofit"/>
        <w:tblLook w:firstColumn="1" w:firstRow="1" w:lastColumn="0" w:lastRow="0" w:noHBand="0" w:noVBand="1" w:val="04A0"/>
      </w:tblPr>
      <w:tblGrid>
        <w:gridCol w:w="4680"/>
        <w:gridCol w:w="4680"/>
      </w:tblGrid>
      <w:tr>
        <w:trPr>
          <w:tblHeader w:val="true"/>
          <w:cantSplit/>
          <w:tblHeader w:val="true"/>
        </w:trPr>
        <w:tc>
          <w:tcPr>
            <w:tcW w:type="dxa" w:w="4680"/>
            <w:shd w:fill="233746"/>
          </w:tcPr>
          <w:p>
            <w:pPr>
              <w:spacing w:after="0"/>
            </w:pPr>
            <w:r>
              <w:rPr>
                <w:rFonts w:ascii="Arial" w:hAnsi="Arial"/>
                <w:b/>
                <w:color w:val="FFFFFF"/>
                <w:sz w:val="17"/>
              </w:rPr>
              <w:t>Quota Year</w:t>
            </w:r>
          </w:p>
        </w:tc>
        <w:tc>
          <w:tcPr>
            <w:tcW w:type="dxa" w:w="4680"/>
            <w:shd w:fill="233746"/>
          </w:tcPr>
          <w:p>
            <w:pPr>
              <w:spacing w:after="0"/>
            </w:pPr>
            <w:r>
              <w:rPr>
                <w:rFonts w:ascii="Arial" w:hAnsi="Arial"/>
                <w:b/>
                <w:color w:val="FFFFFF"/>
                <w:sz w:val="17"/>
              </w:rPr>
              <w:t>Aggregate Quantity (MT)</w:t>
            </w:r>
          </w:p>
        </w:tc>
      </w:tr>
      <w:tr>
        <w:tc>
          <w:tcPr>
            <w:tcW w:type="dxa" w:w="4680"/>
            <w:tcMar>
              <w:top w:w="70" w:type="dxa"/>
              <w:start w:w="110" w:type="dxa"/>
              <w:bottom w:w="70" w:type="dxa"/>
              <w:end w:w="110" w:type="dxa"/>
            </w:tcMar>
          </w:tcPr>
          <w:p>
            <w:pPr>
              <w:widowControl/>
              <w:spacing w:after="0"/>
            </w:pPr>
            <w:r>
              <w:rPr>
                <w:rFonts w:ascii="Arial" w:hAnsi="Arial"/>
                <w:sz w:val="17"/>
              </w:rPr>
              <w:t>1</w:t>
            </w:r>
          </w:p>
        </w:tc>
        <w:tc>
          <w:tcPr>
            <w:tcW w:type="dxa" w:w="4680"/>
            <w:tcMar>
              <w:top w:w="70" w:type="dxa"/>
              <w:start w:w="110" w:type="dxa"/>
              <w:bottom w:w="70" w:type="dxa"/>
              <w:end w:w="110" w:type="dxa"/>
            </w:tcMar>
          </w:tcPr>
          <w:p>
            <w:pPr>
              <w:widowControl/>
              <w:spacing w:after="0"/>
            </w:pPr>
            <w:r>
              <w:rPr>
                <w:rFonts w:ascii="Arial" w:hAnsi="Arial"/>
                <w:sz w:val="17"/>
              </w:rPr>
              <w:t>115</w:t>
            </w:r>
          </w:p>
        </w:tc>
      </w:tr>
      <w:tr>
        <w:tc>
          <w:tcPr>
            <w:tcW w:type="dxa" w:w="4680"/>
            <w:tcMar>
              <w:top w:w="70" w:type="dxa"/>
              <w:start w:w="110" w:type="dxa"/>
              <w:bottom w:w="70" w:type="dxa"/>
              <w:end w:w="110" w:type="dxa"/>
            </w:tcMar>
            <w:shd w:fill="F4F6F7"/>
          </w:tcPr>
          <w:p>
            <w:pPr>
              <w:widowControl/>
              <w:spacing w:after="0"/>
            </w:pPr>
            <w:r>
              <w:rPr>
                <w:rFonts w:ascii="Arial" w:hAnsi="Arial"/>
                <w:sz w:val="17"/>
              </w:rPr>
              <w:t>2</w:t>
            </w:r>
          </w:p>
        </w:tc>
        <w:tc>
          <w:tcPr>
            <w:tcW w:type="dxa" w:w="4680"/>
            <w:tcMar>
              <w:top w:w="70" w:type="dxa"/>
              <w:start w:w="110" w:type="dxa"/>
              <w:bottom w:w="70" w:type="dxa"/>
              <w:end w:w="110" w:type="dxa"/>
            </w:tcMar>
            <w:shd w:fill="F4F6F7"/>
          </w:tcPr>
          <w:p>
            <w:pPr>
              <w:widowControl/>
              <w:spacing w:after="0"/>
            </w:pPr>
            <w:r>
              <w:rPr>
                <w:rFonts w:ascii="Arial" w:hAnsi="Arial"/>
                <w:sz w:val="17"/>
              </w:rPr>
              <w:t>230</w:t>
            </w:r>
          </w:p>
        </w:tc>
      </w:tr>
      <w:tr>
        <w:tc>
          <w:tcPr>
            <w:tcW w:type="dxa" w:w="4680"/>
            <w:tcMar>
              <w:top w:w="70" w:type="dxa"/>
              <w:start w:w="110" w:type="dxa"/>
              <w:bottom w:w="70" w:type="dxa"/>
              <w:end w:w="110" w:type="dxa"/>
            </w:tcMar>
          </w:tcPr>
          <w:p>
            <w:pPr>
              <w:widowControl/>
              <w:spacing w:after="0"/>
            </w:pPr>
            <w:r>
              <w:rPr>
                <w:rFonts w:ascii="Arial" w:hAnsi="Arial"/>
                <w:sz w:val="17"/>
              </w:rPr>
              <w:t>3</w:t>
            </w:r>
          </w:p>
        </w:tc>
        <w:tc>
          <w:tcPr>
            <w:tcW w:type="dxa" w:w="4680"/>
            <w:tcMar>
              <w:top w:w="70" w:type="dxa"/>
              <w:start w:w="110" w:type="dxa"/>
              <w:bottom w:w="70" w:type="dxa"/>
              <w:end w:w="110" w:type="dxa"/>
            </w:tcMar>
          </w:tcPr>
          <w:p>
            <w:pPr>
              <w:widowControl/>
              <w:spacing w:after="0"/>
            </w:pPr>
            <w:r>
              <w:rPr>
                <w:rFonts w:ascii="Arial" w:hAnsi="Arial"/>
                <w:sz w:val="17"/>
              </w:rPr>
              <w:t>345</w:t>
            </w:r>
          </w:p>
        </w:tc>
      </w:tr>
      <w:tr>
        <w:tc>
          <w:tcPr>
            <w:tcW w:type="dxa" w:w="4680"/>
            <w:tcMar>
              <w:top w:w="70" w:type="dxa"/>
              <w:start w:w="110" w:type="dxa"/>
              <w:bottom w:w="70" w:type="dxa"/>
              <w:end w:w="110" w:type="dxa"/>
            </w:tcMar>
            <w:shd w:fill="F4F6F7"/>
          </w:tcPr>
          <w:p>
            <w:pPr>
              <w:widowControl/>
              <w:spacing w:after="0"/>
            </w:pPr>
            <w:r>
              <w:rPr>
                <w:rFonts w:ascii="Arial" w:hAnsi="Arial"/>
                <w:sz w:val="17"/>
              </w:rPr>
              <w:t>4</w:t>
            </w:r>
          </w:p>
        </w:tc>
        <w:tc>
          <w:tcPr>
            <w:tcW w:type="dxa" w:w="4680"/>
            <w:tcMar>
              <w:top w:w="70" w:type="dxa"/>
              <w:start w:w="110" w:type="dxa"/>
              <w:bottom w:w="70" w:type="dxa"/>
              <w:end w:w="110" w:type="dxa"/>
            </w:tcMar>
            <w:shd w:fill="F4F6F7"/>
          </w:tcPr>
          <w:p>
            <w:pPr>
              <w:widowControl/>
              <w:spacing w:after="0"/>
            </w:pPr>
            <w:r>
              <w:rPr>
                <w:rFonts w:ascii="Arial" w:hAnsi="Arial"/>
                <w:sz w:val="17"/>
              </w:rPr>
              <w:t>460</w:t>
            </w:r>
          </w:p>
        </w:tc>
      </w:tr>
      <w:tr>
        <w:tc>
          <w:tcPr>
            <w:tcW w:type="dxa" w:w="4680"/>
            <w:tcMar>
              <w:top w:w="70" w:type="dxa"/>
              <w:start w:w="110" w:type="dxa"/>
              <w:bottom w:w="70" w:type="dxa"/>
              <w:end w:w="110" w:type="dxa"/>
            </w:tcMar>
          </w:tcPr>
          <w:p>
            <w:pPr>
              <w:widowControl/>
              <w:spacing w:after="0"/>
            </w:pPr>
            <w:r>
              <w:rPr>
                <w:rFonts w:ascii="Arial" w:hAnsi="Arial"/>
                <w:sz w:val="17"/>
              </w:rPr>
              <w:t>5</w:t>
            </w:r>
          </w:p>
        </w:tc>
        <w:tc>
          <w:tcPr>
            <w:tcW w:type="dxa" w:w="4680"/>
            <w:tcMar>
              <w:top w:w="70" w:type="dxa"/>
              <w:start w:w="110" w:type="dxa"/>
              <w:bottom w:w="70" w:type="dxa"/>
              <w:end w:w="110" w:type="dxa"/>
            </w:tcMar>
          </w:tcPr>
          <w:p>
            <w:pPr>
              <w:widowControl/>
              <w:spacing w:after="0"/>
            </w:pPr>
            <w:r>
              <w:rPr>
                <w:rFonts w:ascii="Arial" w:hAnsi="Arial"/>
                <w:sz w:val="17"/>
              </w:rPr>
              <w:t>575</w:t>
            </w:r>
          </w:p>
        </w:tc>
      </w:tr>
      <w:tr>
        <w:tc>
          <w:tcPr>
            <w:tcW w:type="dxa" w:w="4680"/>
            <w:tcMar>
              <w:top w:w="70" w:type="dxa"/>
              <w:start w:w="110" w:type="dxa"/>
              <w:bottom w:w="70" w:type="dxa"/>
              <w:end w:w="110" w:type="dxa"/>
            </w:tcMar>
            <w:shd w:fill="F4F6F7"/>
          </w:tcPr>
          <w:p>
            <w:pPr>
              <w:widowControl/>
              <w:spacing w:after="0"/>
            </w:pPr>
            <w:r>
              <w:rPr>
                <w:rFonts w:ascii="Arial" w:hAnsi="Arial"/>
                <w:sz w:val="17"/>
              </w:rPr>
              <w:t>6</w:t>
            </w:r>
          </w:p>
        </w:tc>
        <w:tc>
          <w:tcPr>
            <w:tcW w:type="dxa" w:w="4680"/>
            <w:tcMar>
              <w:top w:w="70" w:type="dxa"/>
              <w:start w:w="110" w:type="dxa"/>
              <w:bottom w:w="70" w:type="dxa"/>
              <w:end w:w="110" w:type="dxa"/>
            </w:tcMar>
            <w:shd w:fill="F4F6F7"/>
          </w:tcPr>
          <w:p>
            <w:pPr>
              <w:widowControl/>
              <w:spacing w:after="0"/>
            </w:pPr>
            <w:r>
              <w:rPr>
                <w:rFonts w:ascii="Arial" w:hAnsi="Arial"/>
                <w:sz w:val="17"/>
              </w:rPr>
              <w:t>690</w:t>
            </w:r>
          </w:p>
        </w:tc>
      </w:tr>
      <w:tr>
        <w:tc>
          <w:tcPr>
            <w:tcW w:type="dxa" w:w="4680"/>
            <w:tcMar>
              <w:top w:w="70" w:type="dxa"/>
              <w:start w:w="110" w:type="dxa"/>
              <w:bottom w:w="70" w:type="dxa"/>
              <w:end w:w="110" w:type="dxa"/>
            </w:tcMar>
          </w:tcPr>
          <w:p>
            <w:pPr>
              <w:widowControl/>
              <w:spacing w:after="0"/>
            </w:pPr>
            <w:r>
              <w:rPr>
                <w:rFonts w:ascii="Arial" w:hAnsi="Arial"/>
                <w:sz w:val="17"/>
              </w:rPr>
              <w:t>7</w:t>
            </w:r>
          </w:p>
        </w:tc>
        <w:tc>
          <w:tcPr>
            <w:tcW w:type="dxa" w:w="4680"/>
            <w:tcMar>
              <w:top w:w="70" w:type="dxa"/>
              <w:start w:w="110" w:type="dxa"/>
              <w:bottom w:w="70" w:type="dxa"/>
              <w:end w:w="110" w:type="dxa"/>
            </w:tcMar>
          </w:tcPr>
          <w:p>
            <w:pPr>
              <w:widowControl/>
              <w:spacing w:after="0"/>
            </w:pPr>
            <w:r>
              <w:rPr>
                <w:rFonts w:ascii="Arial" w:hAnsi="Arial"/>
                <w:sz w:val="17"/>
              </w:rPr>
              <w:t>697</w:t>
            </w:r>
          </w:p>
        </w:tc>
      </w:tr>
      <w:tr>
        <w:tc>
          <w:tcPr>
            <w:tcW w:type="dxa" w:w="4680"/>
            <w:tcMar>
              <w:top w:w="70" w:type="dxa"/>
              <w:start w:w="110" w:type="dxa"/>
              <w:bottom w:w="70" w:type="dxa"/>
              <w:end w:w="110" w:type="dxa"/>
            </w:tcMar>
            <w:shd w:fill="F4F6F7"/>
          </w:tcPr>
          <w:p>
            <w:pPr>
              <w:widowControl/>
              <w:spacing w:after="0"/>
            </w:pPr>
            <w:r>
              <w:rPr>
                <w:rFonts w:ascii="Arial" w:hAnsi="Arial"/>
                <w:sz w:val="17"/>
              </w:rPr>
              <w:t>8</w:t>
            </w:r>
          </w:p>
        </w:tc>
        <w:tc>
          <w:tcPr>
            <w:tcW w:type="dxa" w:w="4680"/>
            <w:tcMar>
              <w:top w:w="70" w:type="dxa"/>
              <w:start w:w="110" w:type="dxa"/>
              <w:bottom w:w="70" w:type="dxa"/>
              <w:end w:w="110" w:type="dxa"/>
            </w:tcMar>
            <w:shd w:fill="F4F6F7"/>
          </w:tcPr>
          <w:p>
            <w:pPr>
              <w:widowControl/>
              <w:spacing w:after="0"/>
            </w:pPr>
            <w:r>
              <w:rPr>
                <w:rFonts w:ascii="Arial" w:hAnsi="Arial"/>
                <w:sz w:val="17"/>
              </w:rPr>
              <w:t>704</w:t>
            </w:r>
          </w:p>
        </w:tc>
      </w:tr>
      <w:tr>
        <w:tc>
          <w:tcPr>
            <w:tcW w:type="dxa" w:w="4680"/>
            <w:tcMar>
              <w:top w:w="70" w:type="dxa"/>
              <w:start w:w="110" w:type="dxa"/>
              <w:bottom w:w="70" w:type="dxa"/>
              <w:end w:w="110" w:type="dxa"/>
            </w:tcMar>
          </w:tcPr>
          <w:p>
            <w:pPr>
              <w:widowControl/>
              <w:spacing w:after="0"/>
            </w:pPr>
            <w:r>
              <w:rPr>
                <w:rFonts w:ascii="Arial" w:hAnsi="Arial"/>
                <w:sz w:val="17"/>
              </w:rPr>
              <w:t>9</w:t>
            </w:r>
          </w:p>
        </w:tc>
        <w:tc>
          <w:tcPr>
            <w:tcW w:type="dxa" w:w="4680"/>
            <w:tcMar>
              <w:top w:w="70" w:type="dxa"/>
              <w:start w:w="110" w:type="dxa"/>
              <w:bottom w:w="70" w:type="dxa"/>
              <w:end w:w="110" w:type="dxa"/>
            </w:tcMar>
          </w:tcPr>
          <w:p>
            <w:pPr>
              <w:widowControl/>
              <w:spacing w:after="0"/>
            </w:pPr>
            <w:r>
              <w:rPr>
                <w:rFonts w:ascii="Arial" w:hAnsi="Arial"/>
                <w:sz w:val="17"/>
              </w:rPr>
              <w:t>711</w:t>
            </w:r>
          </w:p>
        </w:tc>
      </w:tr>
      <w:tr>
        <w:tc>
          <w:tcPr>
            <w:tcW w:type="dxa" w:w="4680"/>
            <w:tcMar>
              <w:top w:w="70" w:type="dxa"/>
              <w:start w:w="110" w:type="dxa"/>
              <w:bottom w:w="70" w:type="dxa"/>
              <w:end w:w="110" w:type="dxa"/>
            </w:tcMar>
            <w:shd w:fill="F4F6F7"/>
          </w:tcPr>
          <w:p>
            <w:pPr>
              <w:widowControl/>
              <w:spacing w:after="0"/>
            </w:pPr>
            <w:r>
              <w:rPr>
                <w:rFonts w:ascii="Arial" w:hAnsi="Arial"/>
                <w:sz w:val="17"/>
              </w:rPr>
              <w:t>10</w:t>
            </w:r>
          </w:p>
        </w:tc>
        <w:tc>
          <w:tcPr>
            <w:tcW w:type="dxa" w:w="4680"/>
            <w:tcMar>
              <w:top w:w="70" w:type="dxa"/>
              <w:start w:w="110" w:type="dxa"/>
              <w:bottom w:w="70" w:type="dxa"/>
              <w:end w:w="110" w:type="dxa"/>
            </w:tcMar>
            <w:shd w:fill="F4F6F7"/>
          </w:tcPr>
          <w:p>
            <w:pPr>
              <w:widowControl/>
              <w:spacing w:after="0"/>
            </w:pPr>
            <w:r>
              <w:rPr>
                <w:rFonts w:ascii="Arial" w:hAnsi="Arial"/>
                <w:sz w:val="17"/>
              </w:rPr>
              <w:t>718</w:t>
            </w:r>
          </w:p>
        </w:tc>
      </w:tr>
      <w:tr>
        <w:tc>
          <w:tcPr>
            <w:tcW w:type="dxa" w:w="4680"/>
            <w:tcMar>
              <w:top w:w="70" w:type="dxa"/>
              <w:start w:w="110" w:type="dxa"/>
              <w:bottom w:w="70" w:type="dxa"/>
              <w:end w:w="110" w:type="dxa"/>
            </w:tcMar>
          </w:tcPr>
          <w:p>
            <w:pPr>
              <w:widowControl/>
              <w:spacing w:after="0"/>
            </w:pPr>
            <w:r>
              <w:rPr>
                <w:rFonts w:ascii="Arial" w:hAnsi="Arial"/>
                <w:sz w:val="17"/>
              </w:rPr>
              <w:t>11</w:t>
            </w:r>
          </w:p>
        </w:tc>
        <w:tc>
          <w:tcPr>
            <w:tcW w:type="dxa" w:w="4680"/>
            <w:tcMar>
              <w:top w:w="70" w:type="dxa"/>
              <w:start w:w="110" w:type="dxa"/>
              <w:bottom w:w="70" w:type="dxa"/>
              <w:end w:w="110" w:type="dxa"/>
            </w:tcMar>
          </w:tcPr>
          <w:p>
            <w:pPr>
              <w:widowControl/>
              <w:spacing w:after="0"/>
            </w:pPr>
            <w:r>
              <w:rPr>
                <w:rFonts w:ascii="Arial" w:hAnsi="Arial"/>
                <w:sz w:val="17"/>
              </w:rPr>
              <w:t>725</w:t>
            </w:r>
          </w:p>
        </w:tc>
      </w:tr>
      <w:tr>
        <w:tc>
          <w:tcPr>
            <w:tcW w:type="dxa" w:w="4680"/>
            <w:tcMar>
              <w:top w:w="70" w:type="dxa"/>
              <w:start w:w="110" w:type="dxa"/>
              <w:bottom w:w="70" w:type="dxa"/>
              <w:end w:w="110" w:type="dxa"/>
            </w:tcMar>
            <w:shd w:fill="F4F6F7"/>
          </w:tcPr>
          <w:p>
            <w:pPr>
              <w:widowControl/>
              <w:spacing w:after="0"/>
            </w:pPr>
            <w:r>
              <w:rPr>
                <w:rFonts w:ascii="Arial" w:hAnsi="Arial"/>
                <w:sz w:val="17"/>
              </w:rPr>
              <w:t>12</w:t>
            </w:r>
          </w:p>
        </w:tc>
        <w:tc>
          <w:tcPr>
            <w:tcW w:type="dxa" w:w="4680"/>
            <w:tcMar>
              <w:top w:w="70" w:type="dxa"/>
              <w:start w:w="110" w:type="dxa"/>
              <w:bottom w:w="70" w:type="dxa"/>
              <w:end w:w="110" w:type="dxa"/>
            </w:tcMar>
            <w:shd w:fill="F4F6F7"/>
          </w:tcPr>
          <w:p>
            <w:pPr>
              <w:widowControl/>
              <w:spacing w:after="0"/>
            </w:pPr>
            <w:r>
              <w:rPr>
                <w:rFonts w:ascii="Arial" w:hAnsi="Arial"/>
                <w:sz w:val="17"/>
              </w:rPr>
              <w:t>732</w:t>
            </w:r>
          </w:p>
        </w:tc>
      </w:tr>
      <w:tr>
        <w:tc>
          <w:tcPr>
            <w:tcW w:type="dxa" w:w="4680"/>
            <w:tcMar>
              <w:top w:w="70" w:type="dxa"/>
              <w:start w:w="110" w:type="dxa"/>
              <w:bottom w:w="70" w:type="dxa"/>
              <w:end w:w="110" w:type="dxa"/>
            </w:tcMar>
          </w:tcPr>
          <w:p>
            <w:pPr>
              <w:widowControl/>
              <w:spacing w:after="0"/>
            </w:pPr>
            <w:r>
              <w:rPr>
                <w:rFonts w:ascii="Arial" w:hAnsi="Arial"/>
                <w:sz w:val="17"/>
              </w:rPr>
              <w:t>13</w:t>
            </w:r>
          </w:p>
        </w:tc>
        <w:tc>
          <w:tcPr>
            <w:tcW w:type="dxa" w:w="4680"/>
            <w:tcMar>
              <w:top w:w="70" w:type="dxa"/>
              <w:start w:w="110" w:type="dxa"/>
              <w:bottom w:w="70" w:type="dxa"/>
              <w:end w:w="110" w:type="dxa"/>
            </w:tcMar>
          </w:tcPr>
          <w:p>
            <w:pPr>
              <w:widowControl/>
              <w:spacing w:after="0"/>
            </w:pPr>
            <w:r>
              <w:rPr>
                <w:rFonts w:ascii="Arial" w:hAnsi="Arial"/>
                <w:sz w:val="17"/>
              </w:rPr>
              <w:t>740</w:t>
            </w:r>
          </w:p>
        </w:tc>
      </w:tr>
      <w:tr>
        <w:tc>
          <w:tcPr>
            <w:tcW w:type="dxa" w:w="4680"/>
            <w:tcMar>
              <w:top w:w="70" w:type="dxa"/>
              <w:start w:w="110" w:type="dxa"/>
              <w:bottom w:w="70" w:type="dxa"/>
              <w:end w:w="110" w:type="dxa"/>
            </w:tcMar>
            <w:shd w:fill="F4F6F7"/>
          </w:tcPr>
          <w:p>
            <w:pPr>
              <w:widowControl/>
              <w:spacing w:after="0"/>
            </w:pPr>
            <w:r>
              <w:rPr>
                <w:rFonts w:ascii="Arial" w:hAnsi="Arial"/>
                <w:sz w:val="17"/>
              </w:rPr>
              <w:t>14</w:t>
            </w:r>
          </w:p>
        </w:tc>
        <w:tc>
          <w:tcPr>
            <w:tcW w:type="dxa" w:w="4680"/>
            <w:tcMar>
              <w:top w:w="70" w:type="dxa"/>
              <w:start w:w="110" w:type="dxa"/>
              <w:bottom w:w="70" w:type="dxa"/>
              <w:end w:w="110" w:type="dxa"/>
            </w:tcMar>
            <w:shd w:fill="F4F6F7"/>
          </w:tcPr>
          <w:p>
            <w:pPr>
              <w:widowControl/>
              <w:spacing w:after="0"/>
            </w:pPr>
            <w:r>
              <w:rPr>
                <w:rFonts w:ascii="Arial" w:hAnsi="Arial"/>
                <w:sz w:val="17"/>
              </w:rPr>
              <w:t>747</w:t>
            </w:r>
          </w:p>
        </w:tc>
      </w:tr>
      <w:tr>
        <w:tc>
          <w:tcPr>
            <w:tcW w:type="dxa" w:w="4680"/>
            <w:tcMar>
              <w:top w:w="70" w:type="dxa"/>
              <w:start w:w="110" w:type="dxa"/>
              <w:bottom w:w="70" w:type="dxa"/>
              <w:end w:w="110" w:type="dxa"/>
            </w:tcMar>
          </w:tcPr>
          <w:p>
            <w:pPr>
              <w:widowControl/>
              <w:spacing w:after="0"/>
            </w:pPr>
            <w:r>
              <w:rPr>
                <w:rFonts w:ascii="Arial" w:hAnsi="Arial"/>
                <w:sz w:val="17"/>
              </w:rPr>
              <w:t>15</w:t>
            </w:r>
          </w:p>
        </w:tc>
        <w:tc>
          <w:tcPr>
            <w:tcW w:type="dxa" w:w="4680"/>
            <w:tcMar>
              <w:top w:w="70" w:type="dxa"/>
              <w:start w:w="110" w:type="dxa"/>
              <w:bottom w:w="70" w:type="dxa"/>
              <w:end w:w="110" w:type="dxa"/>
            </w:tcMar>
          </w:tcPr>
          <w:p>
            <w:pPr>
              <w:widowControl/>
              <w:spacing w:after="0"/>
            </w:pPr>
            <w:r>
              <w:rPr>
                <w:rFonts w:ascii="Arial" w:hAnsi="Arial"/>
                <w:sz w:val="17"/>
              </w:rPr>
              <w:t>755</w:t>
            </w:r>
          </w:p>
        </w:tc>
      </w:tr>
      <w:tr>
        <w:tc>
          <w:tcPr>
            <w:tcW w:type="dxa" w:w="4680"/>
            <w:tcMar>
              <w:top w:w="70" w:type="dxa"/>
              <w:start w:w="110" w:type="dxa"/>
              <w:bottom w:w="70" w:type="dxa"/>
              <w:end w:w="110" w:type="dxa"/>
            </w:tcMar>
            <w:shd w:fill="F4F6F7"/>
          </w:tcPr>
          <w:p>
            <w:pPr>
              <w:widowControl/>
              <w:spacing w:after="0"/>
            </w:pPr>
            <w:r>
              <w:rPr>
                <w:rFonts w:ascii="Arial" w:hAnsi="Arial"/>
                <w:sz w:val="17"/>
              </w:rPr>
              <w:t>16</w:t>
            </w:r>
          </w:p>
        </w:tc>
        <w:tc>
          <w:tcPr>
            <w:tcW w:type="dxa" w:w="4680"/>
            <w:tcMar>
              <w:top w:w="70" w:type="dxa"/>
              <w:start w:w="110" w:type="dxa"/>
              <w:bottom w:w="70" w:type="dxa"/>
              <w:end w:w="110" w:type="dxa"/>
            </w:tcMar>
            <w:shd w:fill="F4F6F7"/>
          </w:tcPr>
          <w:p>
            <w:pPr>
              <w:widowControl/>
              <w:spacing w:after="0"/>
            </w:pPr>
            <w:r>
              <w:rPr>
                <w:rFonts w:ascii="Arial" w:hAnsi="Arial"/>
                <w:sz w:val="17"/>
              </w:rPr>
              <w:t>762</w:t>
            </w:r>
          </w:p>
        </w:tc>
      </w:tr>
      <w:tr>
        <w:tc>
          <w:tcPr>
            <w:tcW w:type="dxa" w:w="4680"/>
            <w:tcMar>
              <w:top w:w="70" w:type="dxa"/>
              <w:start w:w="110" w:type="dxa"/>
              <w:bottom w:w="70" w:type="dxa"/>
              <w:end w:w="110" w:type="dxa"/>
            </w:tcMar>
          </w:tcPr>
          <w:p>
            <w:pPr>
              <w:widowControl/>
              <w:spacing w:after="0"/>
            </w:pPr>
            <w:r>
              <w:rPr>
                <w:rFonts w:ascii="Arial" w:hAnsi="Arial"/>
                <w:sz w:val="17"/>
              </w:rPr>
              <w:t>17</w:t>
            </w:r>
          </w:p>
        </w:tc>
        <w:tc>
          <w:tcPr>
            <w:tcW w:type="dxa" w:w="4680"/>
            <w:tcMar>
              <w:top w:w="70" w:type="dxa"/>
              <w:start w:w="110" w:type="dxa"/>
              <w:bottom w:w="70" w:type="dxa"/>
              <w:end w:w="110" w:type="dxa"/>
            </w:tcMar>
          </w:tcPr>
          <w:p>
            <w:pPr>
              <w:widowControl/>
              <w:spacing w:after="0"/>
            </w:pPr>
            <w:r>
              <w:rPr>
                <w:rFonts w:ascii="Arial" w:hAnsi="Arial"/>
                <w:sz w:val="17"/>
              </w:rPr>
              <w:t>770</w:t>
            </w:r>
          </w:p>
        </w:tc>
      </w:tr>
      <w:tr>
        <w:tc>
          <w:tcPr>
            <w:tcW w:type="dxa" w:w="4680"/>
            <w:tcMar>
              <w:top w:w="70" w:type="dxa"/>
              <w:start w:w="110" w:type="dxa"/>
              <w:bottom w:w="70" w:type="dxa"/>
              <w:end w:w="110" w:type="dxa"/>
            </w:tcMar>
            <w:shd w:fill="F4F6F7"/>
          </w:tcPr>
          <w:p>
            <w:pPr>
              <w:widowControl/>
              <w:spacing w:after="0"/>
            </w:pPr>
            <w:r>
              <w:rPr>
                <w:rFonts w:ascii="Arial" w:hAnsi="Arial"/>
                <w:sz w:val="17"/>
              </w:rPr>
              <w:t>18</w:t>
            </w:r>
          </w:p>
        </w:tc>
        <w:tc>
          <w:tcPr>
            <w:tcW w:type="dxa" w:w="4680"/>
            <w:tcMar>
              <w:top w:w="70" w:type="dxa"/>
              <w:start w:w="110" w:type="dxa"/>
              <w:bottom w:w="70" w:type="dxa"/>
              <w:end w:w="110" w:type="dxa"/>
            </w:tcMar>
            <w:shd w:fill="F4F6F7"/>
          </w:tcPr>
          <w:p>
            <w:pPr>
              <w:widowControl/>
              <w:spacing w:after="0"/>
            </w:pPr>
            <w:r>
              <w:rPr>
                <w:rFonts w:ascii="Arial" w:hAnsi="Arial"/>
                <w:sz w:val="17"/>
              </w:rPr>
              <w:t>778</w:t>
            </w:r>
          </w:p>
        </w:tc>
      </w:tr>
      <w:tr>
        <w:tc>
          <w:tcPr>
            <w:tcW w:type="dxa" w:w="4680"/>
            <w:tcMar>
              <w:top w:w="70" w:type="dxa"/>
              <w:start w:w="110" w:type="dxa"/>
              <w:bottom w:w="70" w:type="dxa"/>
              <w:end w:w="110" w:type="dxa"/>
            </w:tcMar>
          </w:tcPr>
          <w:p>
            <w:pPr>
              <w:widowControl/>
              <w:spacing w:after="0"/>
            </w:pPr>
            <w:r>
              <w:rPr>
                <w:rFonts w:ascii="Arial" w:hAnsi="Arial"/>
                <w:sz w:val="17"/>
              </w:rPr>
              <w:t>19</w:t>
            </w:r>
          </w:p>
        </w:tc>
        <w:tc>
          <w:tcPr>
            <w:tcW w:type="dxa" w:w="4680"/>
            <w:tcMar>
              <w:top w:w="70" w:type="dxa"/>
              <w:start w:w="110" w:type="dxa"/>
              <w:bottom w:w="70" w:type="dxa"/>
              <w:end w:w="110" w:type="dxa"/>
            </w:tcMar>
          </w:tcPr>
          <w:p>
            <w:pPr>
              <w:widowControl/>
              <w:spacing w:after="0"/>
            </w:pPr>
            <w:r>
              <w:rPr>
                <w:rFonts w:ascii="Arial" w:hAnsi="Arial"/>
                <w:sz w:val="17"/>
              </w:rPr>
              <w:t>785</w:t>
            </w:r>
          </w:p>
        </w:tc>
      </w:tr>
    </w:tbl>
    <w:p>
      <w:pPr>
        <w:widowControl/>
      </w:pPr>
      <w:r>
        <w:rPr>
          <w:b w:val="0"/>
        </w:rPr>
        <w:t>Starting in quota year 19, the quantity shall remain at 785 MT per year. (b) This paragraph applies to goods classified in the following tariff items:</w:t>
      </w:r>
    </w:p>
    <w:p>
      <w:pPr>
        <w:pStyle w:val="Normal"/>
        <w:widowControl/>
        <w:rPr/>
      </w:pPr>
      <w:r>
        <w:rPr/>
        <w:t>1517.90.21, 1901.20.11, 1901.20.21, 1901.90.33, 1901.90.53, 2106.90.31, 2106.90.33, 2106.90.93, and 2309.90.31. (c) This TRQ shall be allocated on a calendar year basis. 19.</w:t>
      </w:r>
    </w:p>
    <w:p>
      <w:pPr>
        <w:widowControl/>
      </w:pPr>
      <w:r>
        <w:t>TRQ-CA15: Chicken (a) The aggregate quantity of originating goods described in subparagraph (b) that shall be permitted to enter duty-free in each quota year under this TRQ is:</w:t>
      </w:r>
    </w:p>
    <w:tbl>
      <w:tblPr>
        <w:tblStyle w:val="TableGrid"/>
        <w:tblW w:type="auto" w:w="0"/>
        <w:jc w:val="center"/>
        <w:tblLayout w:type="autofit"/>
        <w:tblLook w:firstColumn="1" w:firstRow="1" w:lastColumn="0" w:lastRow="0" w:noHBand="0" w:noVBand="1" w:val="04A0"/>
      </w:tblPr>
      <w:tblGrid>
        <w:gridCol w:w="4680"/>
        <w:gridCol w:w="4680"/>
      </w:tblGrid>
      <w:tr>
        <w:trPr>
          <w:tblHeader w:val="true"/>
          <w:cantSplit/>
          <w:tblHeader w:val="true"/>
        </w:trPr>
        <w:tc>
          <w:tcPr>
            <w:tcW w:type="dxa" w:w="1872"/>
            <w:vAlign w:val="center"/>
            <w:shd w:fill="233746"/>
          </w:tcPr>
          <w:p>
            <w:pPr>
              <w:spacing w:after="0"/>
            </w:pPr>
            <w:r>
              <w:rPr>
                <w:rFonts w:ascii="Arial" w:hAnsi="Arial"/>
                <w:b/>
                <w:color w:val="FFFFFF"/>
                <w:sz w:val="17"/>
              </w:rPr>
              <w:t>Quota Year</w:t>
            </w:r>
          </w:p>
        </w:tc>
        <w:tc>
          <w:tcPr>
            <w:tcW w:type="dxa" w:w="3600"/>
            <w:vAlign w:val="center"/>
            <w:shd w:fill="233746"/>
          </w:tcPr>
          <w:p>
            <w:pPr>
              <w:spacing w:after="0"/>
            </w:pPr>
            <w:r>
              <w:rPr>
                <w:rFonts w:ascii="Arial" w:hAnsi="Arial"/>
                <w:b/>
                <w:color w:val="FFFFFF"/>
                <w:sz w:val="17"/>
              </w:rPr>
              <w:t>Aggregate Quantity (MT eviscerated product basis)</w:t>
            </w:r>
          </w:p>
        </w:tc>
      </w:tr>
      <w:tr>
        <w:trPr>
          <w:cantSplit/>
        </w:trPr>
        <w:tc>
          <w:tcPr>
            <w:tcW w:type="dxa" w:w="1872"/>
            <w:vAlign w:val="center"/>
            <w:tcMar>
              <w:top w:w="70" w:type="dxa"/>
              <w:start w:w="110" w:type="dxa"/>
              <w:bottom w:w="70" w:type="dxa"/>
              <w:end w:w="110" w:type="dxa"/>
            </w:tcMar>
          </w:tcPr>
          <w:p>
            <w:pPr>
              <w:widowControl/>
              <w:spacing w:after="0"/>
            </w:pPr>
            <w:r>
              <w:rPr>
                <w:rFonts w:ascii="Arial" w:hAnsi="Arial"/>
                <w:sz w:val="17"/>
              </w:rPr>
              <w:t>1</w:t>
            </w:r>
          </w:p>
        </w:tc>
        <w:tc>
          <w:tcPr>
            <w:tcW w:type="dxa" w:w="3600"/>
            <w:vAlign w:val="center"/>
            <w:tcMar>
              <w:top w:w="70" w:type="dxa"/>
              <w:start w:w="110" w:type="dxa"/>
              <w:bottom w:w="70" w:type="dxa"/>
              <w:end w:w="110" w:type="dxa"/>
            </w:tcMar>
          </w:tcPr>
          <w:p>
            <w:pPr>
              <w:widowControl/>
              <w:spacing w:after="0"/>
            </w:pPr>
            <w:r>
              <w:rPr>
                <w:rFonts w:ascii="Arial" w:hAnsi="Arial"/>
                <w:sz w:val="17"/>
              </w:rPr>
              <w:t>47,000</w:t>
            </w:r>
          </w:p>
        </w:tc>
      </w:tr>
      <w:tr>
        <w:trPr>
          <w:cantSplit/>
        </w:trPr>
        <w:tc>
          <w:tcPr>
            <w:tcW w:type="dxa" w:w="1872"/>
            <w:vAlign w:val="center"/>
            <w:tcMar>
              <w:top w:w="70" w:type="dxa"/>
              <w:start w:w="110" w:type="dxa"/>
              <w:bottom w:w="70" w:type="dxa"/>
              <w:end w:w="110" w:type="dxa"/>
            </w:tcMar>
            <w:shd w:fill="F4F6F7"/>
          </w:tcPr>
          <w:p>
            <w:pPr>
              <w:widowControl/>
              <w:spacing w:after="0"/>
            </w:pPr>
            <w:r>
              <w:rPr>
                <w:rFonts w:ascii="Arial" w:hAnsi="Arial"/>
                <w:sz w:val="17"/>
              </w:rPr>
              <w:t>2</w:t>
            </w:r>
          </w:p>
        </w:tc>
        <w:tc>
          <w:tcPr>
            <w:tcW w:type="dxa" w:w="3600"/>
            <w:vAlign w:val="center"/>
            <w:tcMar>
              <w:top w:w="70" w:type="dxa"/>
              <w:start w:w="110" w:type="dxa"/>
              <w:bottom w:w="70" w:type="dxa"/>
              <w:end w:w="110" w:type="dxa"/>
            </w:tcMar>
            <w:shd w:fill="F4F6F7"/>
          </w:tcPr>
          <w:p>
            <w:pPr>
              <w:widowControl/>
              <w:spacing w:after="0"/>
            </w:pPr>
            <w:r>
              <w:rPr>
                <w:rFonts w:ascii="Arial" w:hAnsi="Arial"/>
                <w:sz w:val="17"/>
              </w:rPr>
              <w:t>49,000</w:t>
            </w:r>
          </w:p>
        </w:tc>
      </w:tr>
      <w:tr>
        <w:trPr>
          <w:cantSplit/>
        </w:trPr>
        <w:tc>
          <w:tcPr>
            <w:tcW w:type="dxa" w:w="1872"/>
            <w:vAlign w:val="center"/>
            <w:tcMar>
              <w:top w:w="70" w:type="dxa"/>
              <w:start w:w="110" w:type="dxa"/>
              <w:bottom w:w="70" w:type="dxa"/>
              <w:end w:w="110" w:type="dxa"/>
            </w:tcMar>
          </w:tcPr>
          <w:p>
            <w:pPr>
              <w:widowControl/>
              <w:spacing w:after="0"/>
            </w:pPr>
            <w:r>
              <w:rPr>
                <w:rFonts w:ascii="Arial" w:hAnsi="Arial"/>
                <w:sz w:val="17"/>
              </w:rPr>
              <w:t>3</w:t>
            </w:r>
          </w:p>
        </w:tc>
        <w:tc>
          <w:tcPr>
            <w:tcW w:type="dxa" w:w="3600"/>
            <w:vAlign w:val="center"/>
            <w:tcMar>
              <w:top w:w="70" w:type="dxa"/>
              <w:start w:w="110" w:type="dxa"/>
              <w:bottom w:w="70" w:type="dxa"/>
              <w:end w:w="110" w:type="dxa"/>
            </w:tcMar>
          </w:tcPr>
          <w:p>
            <w:pPr>
              <w:widowControl/>
              <w:spacing w:after="0"/>
            </w:pPr>
            <w:r>
              <w:rPr>
                <w:rFonts w:ascii="Arial" w:hAnsi="Arial"/>
                <w:sz w:val="17"/>
              </w:rPr>
              <w:t>51,000</w:t>
            </w:r>
          </w:p>
        </w:tc>
      </w:tr>
      <w:tr>
        <w:trPr>
          <w:cantSplit/>
        </w:trPr>
        <w:tc>
          <w:tcPr>
            <w:tcW w:type="dxa" w:w="1872"/>
            <w:vAlign w:val="center"/>
            <w:tcMar>
              <w:top w:w="70" w:type="dxa"/>
              <w:start w:w="110" w:type="dxa"/>
              <w:bottom w:w="70" w:type="dxa"/>
              <w:end w:w="110" w:type="dxa"/>
            </w:tcMar>
            <w:shd w:fill="F4F6F7"/>
          </w:tcPr>
          <w:p>
            <w:pPr>
              <w:widowControl/>
              <w:spacing w:after="0"/>
            </w:pPr>
            <w:r>
              <w:rPr>
                <w:rFonts w:ascii="Arial" w:hAnsi="Arial"/>
                <w:sz w:val="17"/>
              </w:rPr>
              <w:t>4</w:t>
            </w:r>
          </w:p>
        </w:tc>
        <w:tc>
          <w:tcPr>
            <w:tcW w:type="dxa" w:w="3600"/>
            <w:vAlign w:val="center"/>
            <w:tcMar>
              <w:top w:w="70" w:type="dxa"/>
              <w:start w:w="110" w:type="dxa"/>
              <w:bottom w:w="70" w:type="dxa"/>
              <w:end w:w="110" w:type="dxa"/>
            </w:tcMar>
            <w:shd w:fill="F4F6F7"/>
          </w:tcPr>
          <w:p>
            <w:pPr>
              <w:widowControl/>
              <w:spacing w:after="0"/>
            </w:pPr>
            <w:r>
              <w:rPr>
                <w:rFonts w:ascii="Arial" w:hAnsi="Arial"/>
                <w:sz w:val="17"/>
              </w:rPr>
              <w:t>53,000</w:t>
            </w:r>
          </w:p>
        </w:tc>
      </w:tr>
      <w:tr>
        <w:trPr>
          <w:cantSplit/>
        </w:trPr>
        <w:tc>
          <w:tcPr>
            <w:tcW w:type="dxa" w:w="1872"/>
            <w:vAlign w:val="center"/>
            <w:tcMar>
              <w:top w:w="70" w:type="dxa"/>
              <w:start w:w="110" w:type="dxa"/>
              <w:bottom w:w="70" w:type="dxa"/>
              <w:end w:w="110" w:type="dxa"/>
            </w:tcMar>
          </w:tcPr>
          <w:p>
            <w:pPr>
              <w:widowControl/>
              <w:spacing w:after="0"/>
            </w:pPr>
            <w:r>
              <w:rPr>
                <w:rFonts w:ascii="Arial" w:hAnsi="Arial"/>
                <w:sz w:val="17"/>
              </w:rPr>
              <w:t>5</w:t>
            </w:r>
          </w:p>
        </w:tc>
        <w:tc>
          <w:tcPr>
            <w:tcW w:type="dxa" w:w="3600"/>
            <w:vAlign w:val="center"/>
            <w:tcMar>
              <w:top w:w="70" w:type="dxa"/>
              <w:start w:w="110" w:type="dxa"/>
              <w:bottom w:w="70" w:type="dxa"/>
              <w:end w:w="110" w:type="dxa"/>
            </w:tcMar>
          </w:tcPr>
          <w:p>
            <w:pPr>
              <w:widowControl/>
              <w:spacing w:after="0"/>
            </w:pPr>
            <w:r>
              <w:rPr>
                <w:rFonts w:ascii="Arial" w:hAnsi="Arial"/>
                <w:sz w:val="17"/>
              </w:rPr>
              <w:t>55,000</w:t>
            </w:r>
          </w:p>
        </w:tc>
      </w:tr>
      <w:tr>
        <w:trPr>
          <w:cantSplit/>
        </w:trPr>
        <w:tc>
          <w:tcPr>
            <w:tcW w:type="dxa" w:w="1872"/>
            <w:vAlign w:val="center"/>
            <w:tcMar>
              <w:top w:w="70" w:type="dxa"/>
              <w:start w:w="110" w:type="dxa"/>
              <w:bottom w:w="70" w:type="dxa"/>
              <w:end w:w="110" w:type="dxa"/>
            </w:tcMar>
            <w:shd w:fill="F4F6F7"/>
          </w:tcPr>
          <w:p>
            <w:pPr>
              <w:widowControl/>
              <w:spacing w:after="0"/>
            </w:pPr>
            <w:r>
              <w:rPr>
                <w:rFonts w:ascii="Arial" w:hAnsi="Arial"/>
                <w:sz w:val="17"/>
              </w:rPr>
              <w:t>6</w:t>
            </w:r>
          </w:p>
        </w:tc>
        <w:tc>
          <w:tcPr>
            <w:tcW w:type="dxa" w:w="3600"/>
            <w:vAlign w:val="center"/>
            <w:tcMar>
              <w:top w:w="70" w:type="dxa"/>
              <w:start w:w="110" w:type="dxa"/>
              <w:bottom w:w="70" w:type="dxa"/>
              <w:end w:w="110" w:type="dxa"/>
            </w:tcMar>
            <w:shd w:fill="F4F6F7"/>
          </w:tcPr>
          <w:p>
            <w:pPr>
              <w:widowControl/>
              <w:spacing w:after="0"/>
            </w:pPr>
            <w:r>
              <w:rPr>
                <w:rFonts w:ascii="Arial" w:hAnsi="Arial"/>
                <w:sz w:val="17"/>
              </w:rPr>
              <w:t>57,000</w:t>
            </w:r>
          </w:p>
        </w:tc>
      </w:tr>
      <w:tr>
        <w:trPr>
          <w:cantSplit/>
        </w:trPr>
        <w:tc>
          <w:tcPr>
            <w:tcW w:type="dxa" w:w="1872"/>
            <w:vAlign w:val="center"/>
            <w:tcMar>
              <w:top w:w="70" w:type="dxa"/>
              <w:start w:w="110" w:type="dxa"/>
              <w:bottom w:w="70" w:type="dxa"/>
              <w:end w:w="110" w:type="dxa"/>
            </w:tcMar>
          </w:tcPr>
          <w:p>
            <w:pPr>
              <w:widowControl/>
              <w:spacing w:after="0"/>
            </w:pPr>
            <w:r>
              <w:rPr>
                <w:rFonts w:ascii="Arial" w:hAnsi="Arial"/>
                <w:sz w:val="17"/>
              </w:rPr>
              <w:t>7</w:t>
            </w:r>
          </w:p>
        </w:tc>
        <w:tc>
          <w:tcPr>
            <w:tcW w:type="dxa" w:w="3600"/>
            <w:vAlign w:val="center"/>
            <w:tcMar>
              <w:top w:w="70" w:type="dxa"/>
              <w:start w:w="110" w:type="dxa"/>
              <w:bottom w:w="70" w:type="dxa"/>
              <w:end w:w="110" w:type="dxa"/>
            </w:tcMar>
          </w:tcPr>
          <w:p>
            <w:pPr>
              <w:widowControl/>
              <w:spacing w:after="0"/>
            </w:pPr>
            <w:r>
              <w:rPr>
                <w:rFonts w:ascii="Arial" w:hAnsi="Arial"/>
                <w:sz w:val="17"/>
              </w:rPr>
              <w:t>57,570</w:t>
            </w:r>
          </w:p>
        </w:tc>
      </w:tr>
      <w:tr>
        <w:trPr>
          <w:cantSplit/>
        </w:trPr>
        <w:tc>
          <w:tcPr>
            <w:tcW w:type="dxa" w:w="1872"/>
            <w:vAlign w:val="center"/>
            <w:tcMar>
              <w:top w:w="70" w:type="dxa"/>
              <w:start w:w="110" w:type="dxa"/>
              <w:bottom w:w="70" w:type="dxa"/>
              <w:end w:w="110" w:type="dxa"/>
            </w:tcMar>
            <w:shd w:fill="F4F6F7"/>
          </w:tcPr>
          <w:p>
            <w:pPr>
              <w:widowControl/>
              <w:spacing w:after="0"/>
            </w:pPr>
            <w:r>
              <w:rPr>
                <w:rFonts w:ascii="Arial" w:hAnsi="Arial"/>
                <w:sz w:val="17"/>
              </w:rPr>
              <w:t>8</w:t>
            </w:r>
          </w:p>
        </w:tc>
        <w:tc>
          <w:tcPr>
            <w:tcW w:type="dxa" w:w="3600"/>
            <w:vAlign w:val="center"/>
            <w:tcMar>
              <w:top w:w="70" w:type="dxa"/>
              <w:start w:w="110" w:type="dxa"/>
              <w:bottom w:w="70" w:type="dxa"/>
              <w:end w:w="110" w:type="dxa"/>
            </w:tcMar>
            <w:shd w:fill="F4F6F7"/>
          </w:tcPr>
          <w:p>
            <w:pPr>
              <w:widowControl/>
              <w:spacing w:after="0"/>
            </w:pPr>
            <w:r>
              <w:rPr>
                <w:rFonts w:ascii="Arial" w:hAnsi="Arial"/>
                <w:sz w:val="17"/>
              </w:rPr>
              <w:t>58,146</w:t>
            </w:r>
          </w:p>
        </w:tc>
      </w:tr>
      <w:tr>
        <w:trPr>
          <w:cantSplit/>
        </w:trPr>
        <w:tc>
          <w:tcPr>
            <w:tcW w:type="dxa" w:w="1872"/>
            <w:vAlign w:val="center"/>
            <w:tcMar>
              <w:top w:w="70" w:type="dxa"/>
              <w:start w:w="110" w:type="dxa"/>
              <w:bottom w:w="70" w:type="dxa"/>
              <w:end w:w="110" w:type="dxa"/>
            </w:tcMar>
          </w:tcPr>
          <w:p>
            <w:pPr>
              <w:widowControl/>
              <w:spacing w:after="0"/>
            </w:pPr>
            <w:r>
              <w:rPr>
                <w:rFonts w:ascii="Arial" w:hAnsi="Arial"/>
                <w:sz w:val="17"/>
              </w:rPr>
              <w:t>9</w:t>
            </w:r>
          </w:p>
        </w:tc>
        <w:tc>
          <w:tcPr>
            <w:tcW w:type="dxa" w:w="3600"/>
            <w:vAlign w:val="center"/>
            <w:tcMar>
              <w:top w:w="70" w:type="dxa"/>
              <w:start w:w="110" w:type="dxa"/>
              <w:bottom w:w="70" w:type="dxa"/>
              <w:end w:w="110" w:type="dxa"/>
            </w:tcMar>
          </w:tcPr>
          <w:p>
            <w:pPr>
              <w:widowControl/>
              <w:spacing w:after="0"/>
            </w:pPr>
            <w:r>
              <w:rPr>
                <w:rFonts w:ascii="Arial" w:hAnsi="Arial"/>
                <w:sz w:val="17"/>
              </w:rPr>
              <w:t>58,727</w:t>
            </w:r>
          </w:p>
        </w:tc>
      </w:tr>
      <w:tr>
        <w:trPr>
          <w:cantSplit/>
        </w:trPr>
        <w:tc>
          <w:tcPr>
            <w:tcW w:type="dxa" w:w="1872"/>
            <w:vAlign w:val="center"/>
            <w:tcMar>
              <w:top w:w="70" w:type="dxa"/>
              <w:start w:w="110" w:type="dxa"/>
              <w:bottom w:w="70" w:type="dxa"/>
              <w:end w:w="110" w:type="dxa"/>
            </w:tcMar>
            <w:shd w:fill="F4F6F7"/>
          </w:tcPr>
          <w:p>
            <w:pPr>
              <w:widowControl/>
              <w:spacing w:after="0"/>
            </w:pPr>
            <w:r>
              <w:rPr>
                <w:rFonts w:ascii="Arial" w:hAnsi="Arial"/>
                <w:sz w:val="17"/>
              </w:rPr>
              <w:t>10</w:t>
            </w:r>
          </w:p>
        </w:tc>
        <w:tc>
          <w:tcPr>
            <w:tcW w:type="dxa" w:w="3600"/>
            <w:vAlign w:val="center"/>
            <w:tcMar>
              <w:top w:w="70" w:type="dxa"/>
              <w:start w:w="110" w:type="dxa"/>
              <w:bottom w:w="70" w:type="dxa"/>
              <w:end w:w="110" w:type="dxa"/>
            </w:tcMar>
            <w:shd w:fill="F4F6F7"/>
          </w:tcPr>
          <w:p>
            <w:pPr>
              <w:widowControl/>
              <w:spacing w:after="0"/>
            </w:pPr>
            <w:r>
              <w:rPr>
                <w:rFonts w:ascii="Arial" w:hAnsi="Arial"/>
                <w:sz w:val="17"/>
              </w:rPr>
              <w:t>59,314</w:t>
            </w:r>
          </w:p>
        </w:tc>
      </w:tr>
      <w:tr>
        <w:trPr>
          <w:cantSplit/>
        </w:trPr>
        <w:tc>
          <w:tcPr>
            <w:tcW w:type="dxa" w:w="1872"/>
            <w:vAlign w:val="center"/>
            <w:tcMar>
              <w:top w:w="70" w:type="dxa"/>
              <w:start w:w="110" w:type="dxa"/>
              <w:bottom w:w="70" w:type="dxa"/>
              <w:end w:w="110" w:type="dxa"/>
            </w:tcMar>
          </w:tcPr>
          <w:p>
            <w:pPr>
              <w:widowControl/>
              <w:spacing w:after="0"/>
            </w:pPr>
            <w:r>
              <w:rPr>
                <w:rFonts w:ascii="Arial" w:hAnsi="Arial"/>
                <w:sz w:val="17"/>
              </w:rPr>
              <w:t>11</w:t>
            </w:r>
          </w:p>
        </w:tc>
        <w:tc>
          <w:tcPr>
            <w:tcW w:type="dxa" w:w="3600"/>
            <w:vAlign w:val="center"/>
            <w:tcMar>
              <w:top w:w="70" w:type="dxa"/>
              <w:start w:w="110" w:type="dxa"/>
              <w:bottom w:w="70" w:type="dxa"/>
              <w:end w:w="110" w:type="dxa"/>
            </w:tcMar>
          </w:tcPr>
          <w:p>
            <w:pPr>
              <w:widowControl/>
              <w:spacing w:after="0"/>
            </w:pPr>
            <w:r>
              <w:rPr>
                <w:rFonts w:ascii="Arial" w:hAnsi="Arial"/>
                <w:sz w:val="17"/>
              </w:rPr>
              <w:t>59,908</w:t>
            </w:r>
          </w:p>
        </w:tc>
      </w:tr>
      <w:tr>
        <w:trPr>
          <w:cantSplit/>
        </w:trPr>
        <w:tc>
          <w:tcPr>
            <w:tcW w:type="dxa" w:w="1872"/>
            <w:vAlign w:val="center"/>
            <w:tcMar>
              <w:top w:w="70" w:type="dxa"/>
              <w:start w:w="110" w:type="dxa"/>
              <w:bottom w:w="70" w:type="dxa"/>
              <w:end w:w="110" w:type="dxa"/>
            </w:tcMar>
            <w:shd w:fill="F4F6F7"/>
          </w:tcPr>
          <w:p>
            <w:pPr>
              <w:widowControl/>
              <w:spacing w:after="0"/>
            </w:pPr>
            <w:r>
              <w:rPr>
                <w:rFonts w:ascii="Arial" w:hAnsi="Arial"/>
                <w:sz w:val="17"/>
              </w:rPr>
              <w:t>12</w:t>
            </w:r>
          </w:p>
        </w:tc>
        <w:tc>
          <w:tcPr>
            <w:tcW w:type="dxa" w:w="3600"/>
            <w:vAlign w:val="center"/>
            <w:tcMar>
              <w:top w:w="70" w:type="dxa"/>
              <w:start w:w="110" w:type="dxa"/>
              <w:bottom w:w="70" w:type="dxa"/>
              <w:end w:w="110" w:type="dxa"/>
            </w:tcMar>
            <w:shd w:fill="F4F6F7"/>
          </w:tcPr>
          <w:p>
            <w:pPr>
              <w:widowControl/>
              <w:spacing w:after="0"/>
            </w:pPr>
            <w:r>
              <w:rPr>
                <w:rFonts w:ascii="Arial" w:hAnsi="Arial"/>
                <w:sz w:val="17"/>
              </w:rPr>
              <w:t>60,507</w:t>
            </w:r>
          </w:p>
        </w:tc>
      </w:tr>
      <w:tr>
        <w:trPr>
          <w:cantSplit/>
        </w:trPr>
        <w:tc>
          <w:tcPr>
            <w:tcW w:type="dxa" w:w="1872"/>
            <w:vAlign w:val="center"/>
            <w:tcMar>
              <w:top w:w="70" w:type="dxa"/>
              <w:start w:w="110" w:type="dxa"/>
              <w:bottom w:w="70" w:type="dxa"/>
              <w:end w:w="110" w:type="dxa"/>
            </w:tcMar>
          </w:tcPr>
          <w:p>
            <w:pPr>
              <w:widowControl/>
              <w:spacing w:after="0"/>
            </w:pPr>
            <w:r>
              <w:rPr>
                <w:rFonts w:ascii="Arial" w:hAnsi="Arial"/>
                <w:sz w:val="17"/>
              </w:rPr>
              <w:t>13</w:t>
            </w:r>
          </w:p>
        </w:tc>
        <w:tc>
          <w:tcPr>
            <w:tcW w:type="dxa" w:w="3600"/>
            <w:vAlign w:val="center"/>
            <w:tcMar>
              <w:top w:w="70" w:type="dxa"/>
              <w:start w:w="110" w:type="dxa"/>
              <w:bottom w:w="70" w:type="dxa"/>
              <w:end w:w="110" w:type="dxa"/>
            </w:tcMar>
          </w:tcPr>
          <w:p>
            <w:pPr>
              <w:widowControl/>
              <w:spacing w:after="0"/>
            </w:pPr>
            <w:r>
              <w:rPr>
                <w:rFonts w:ascii="Arial" w:hAnsi="Arial"/>
                <w:sz w:val="17"/>
              </w:rPr>
              <w:t>61,112</w:t>
            </w:r>
          </w:p>
        </w:tc>
      </w:tr>
      <w:tr>
        <w:trPr>
          <w:cantSplit/>
        </w:trPr>
        <w:tc>
          <w:tcPr>
            <w:tcW w:type="dxa" w:w="1872"/>
            <w:vAlign w:val="center"/>
            <w:tcMar>
              <w:top w:w="70" w:type="dxa"/>
              <w:start w:w="110" w:type="dxa"/>
              <w:bottom w:w="70" w:type="dxa"/>
              <w:end w:w="110" w:type="dxa"/>
            </w:tcMar>
            <w:shd w:fill="F4F6F7"/>
          </w:tcPr>
          <w:p>
            <w:pPr>
              <w:widowControl/>
              <w:spacing w:after="0"/>
            </w:pPr>
            <w:r>
              <w:rPr>
                <w:rFonts w:ascii="Arial" w:hAnsi="Arial"/>
                <w:sz w:val="17"/>
              </w:rPr>
              <w:t>14</w:t>
            </w:r>
          </w:p>
        </w:tc>
        <w:tc>
          <w:tcPr>
            <w:tcW w:type="dxa" w:w="3600"/>
            <w:vAlign w:val="center"/>
            <w:tcMar>
              <w:top w:w="70" w:type="dxa"/>
              <w:start w:w="110" w:type="dxa"/>
              <w:bottom w:w="70" w:type="dxa"/>
              <w:end w:w="110" w:type="dxa"/>
            </w:tcMar>
            <w:shd w:fill="F4F6F7"/>
          </w:tcPr>
          <w:p>
            <w:pPr>
              <w:widowControl/>
              <w:spacing w:after="0"/>
            </w:pPr>
            <w:r>
              <w:rPr>
                <w:rFonts w:ascii="Arial" w:hAnsi="Arial"/>
                <w:sz w:val="17"/>
              </w:rPr>
              <w:t>61,723</w:t>
            </w:r>
          </w:p>
        </w:tc>
      </w:tr>
      <w:tr>
        <w:trPr>
          <w:cantSplit/>
        </w:trPr>
        <w:tc>
          <w:tcPr>
            <w:tcW w:type="dxa" w:w="1872"/>
            <w:vAlign w:val="center"/>
            <w:tcMar>
              <w:top w:w="70" w:type="dxa"/>
              <w:start w:w="110" w:type="dxa"/>
              <w:bottom w:w="70" w:type="dxa"/>
              <w:end w:w="110" w:type="dxa"/>
            </w:tcMar>
          </w:tcPr>
          <w:p>
            <w:pPr>
              <w:widowControl/>
              <w:spacing w:after="0"/>
            </w:pPr>
            <w:r>
              <w:rPr>
                <w:rFonts w:ascii="Arial" w:hAnsi="Arial"/>
                <w:sz w:val="17"/>
              </w:rPr>
              <w:t>15</w:t>
            </w:r>
          </w:p>
        </w:tc>
        <w:tc>
          <w:tcPr>
            <w:tcW w:type="dxa" w:w="3600"/>
            <w:vAlign w:val="center"/>
            <w:tcMar>
              <w:top w:w="70" w:type="dxa"/>
              <w:start w:w="110" w:type="dxa"/>
              <w:bottom w:w="70" w:type="dxa"/>
              <w:end w:w="110" w:type="dxa"/>
            </w:tcMar>
          </w:tcPr>
          <w:p>
            <w:pPr>
              <w:widowControl/>
              <w:spacing w:after="0"/>
            </w:pPr>
            <w:r>
              <w:rPr>
                <w:rFonts w:ascii="Arial" w:hAnsi="Arial"/>
                <w:sz w:val="17"/>
              </w:rPr>
              <w:t>62,340</w:t>
            </w:r>
          </w:p>
        </w:tc>
      </w:tr>
      <w:tr>
        <w:trPr>
          <w:cantSplit/>
        </w:trPr>
        <w:tc>
          <w:tcPr>
            <w:tcW w:type="dxa" w:w="1872"/>
            <w:vAlign w:val="center"/>
            <w:tcMar>
              <w:top w:w="70" w:type="dxa"/>
              <w:start w:w="110" w:type="dxa"/>
              <w:bottom w:w="70" w:type="dxa"/>
              <w:end w:w="110" w:type="dxa"/>
            </w:tcMar>
            <w:shd w:fill="F4F6F7"/>
          </w:tcPr>
          <w:p>
            <w:pPr>
              <w:widowControl/>
              <w:spacing w:after="0"/>
            </w:pPr>
            <w:r>
              <w:rPr>
                <w:rFonts w:ascii="Arial" w:hAnsi="Arial"/>
                <w:sz w:val="17"/>
              </w:rPr>
              <w:t>16</w:t>
            </w:r>
          </w:p>
        </w:tc>
        <w:tc>
          <w:tcPr>
            <w:tcW w:type="dxa" w:w="3600"/>
            <w:vAlign w:val="center"/>
            <w:tcMar>
              <w:top w:w="70" w:type="dxa"/>
              <w:start w:w="110" w:type="dxa"/>
              <w:bottom w:w="70" w:type="dxa"/>
              <w:end w:w="110" w:type="dxa"/>
            </w:tcMar>
            <w:shd w:fill="F4F6F7"/>
          </w:tcPr>
          <w:p>
            <w:pPr>
              <w:widowControl/>
              <w:spacing w:after="0"/>
            </w:pPr>
            <w:r>
              <w:rPr>
                <w:rFonts w:ascii="Arial" w:hAnsi="Arial"/>
                <w:sz w:val="17"/>
              </w:rPr>
              <w:t>62,963</w:t>
            </w:r>
          </w:p>
        </w:tc>
      </w:tr>
    </w:tbl>
    <w:p>
      <w:pPr>
        <w:widowControl/>
      </w:pPr>
      <w:r>
        <w:t>Starting in quota year 16, the quantity shall remain at 62,963 MT per year. (b) This paragraph applies to goods classified in the following tariff items: 0105.94.91, 0207.11.91, 0207.12.91, 0207.13.91, 0207.14.21, 0207.14.91, 0209.90.10, 0210.99.11, 1601.00.21, 1602.20.21, 1602.32.12, and 1602.32.93. (c) This TRQ shall be allocated on a calendar year basis. 20. TRQ-CA16: Eggs and Egg Products (a) The aggregate quantity of originating goods described in subparagraph (c) that shall be permitted to enter duty-free in each quota year under this TRQ is:</w:t>
      </w:r>
    </w:p>
    <w:tbl>
      <w:tblPr>
        <w:tblStyle w:val="TableGrid"/>
        <w:tblW w:type="auto" w:w="0"/>
        <w:jc w:val="center"/>
        <w:tblLayout w:type="autofit"/>
        <w:tblLook w:firstColumn="1" w:firstRow="1" w:lastColumn="0" w:lastRow="0" w:noHBand="0" w:noVBand="1" w:val="04A0"/>
      </w:tblPr>
      <w:tblGrid>
        <w:gridCol w:w="4680"/>
        <w:gridCol w:w="4680"/>
      </w:tblGrid>
      <w:tr>
        <w:trPr>
          <w:tblHeader w:val="true"/>
          <w:cantSplit/>
          <w:tblHeader w:val="true"/>
        </w:trPr>
        <w:tc>
          <w:tcPr>
            <w:tcW w:type="dxa" w:w="1872"/>
            <w:vAlign w:val="center"/>
            <w:shd w:fill="233746"/>
          </w:tcPr>
          <w:p>
            <w:pPr>
              <w:spacing w:after="0"/>
            </w:pPr>
            <w:r>
              <w:rPr>
                <w:rFonts w:ascii="Arial" w:hAnsi="Arial"/>
                <w:b/>
                <w:color w:val="FFFFFF"/>
                <w:sz w:val="17"/>
              </w:rPr>
              <w:t>Quota Year</w:t>
            </w:r>
          </w:p>
        </w:tc>
        <w:tc>
          <w:tcPr>
            <w:tcW w:type="dxa" w:w="3600"/>
            <w:vAlign w:val="center"/>
            <w:shd w:fill="233746"/>
          </w:tcPr>
          <w:p>
            <w:pPr>
              <w:spacing w:after="0"/>
            </w:pPr>
            <w:r>
              <w:rPr>
                <w:rFonts w:ascii="Arial" w:hAnsi="Arial"/>
                <w:b/>
                <w:color w:val="FFFFFF"/>
                <w:sz w:val="17"/>
              </w:rPr>
              <w:t>Aggregate Quantity (dozen eggs equivalent)</w:t>
            </w:r>
          </w:p>
        </w:tc>
      </w:tr>
      <w:tr>
        <w:trPr>
          <w:cantSplit/>
        </w:trPr>
        <w:tc>
          <w:tcPr>
            <w:tcW w:type="dxa" w:w="1872"/>
            <w:vAlign w:val="center"/>
            <w:tcMar>
              <w:top w:w="70" w:type="dxa"/>
              <w:start w:w="110" w:type="dxa"/>
              <w:bottom w:w="70" w:type="dxa"/>
              <w:end w:w="110" w:type="dxa"/>
            </w:tcMar>
          </w:tcPr>
          <w:p>
            <w:pPr>
              <w:widowControl/>
              <w:spacing w:after="0"/>
            </w:pPr>
            <w:r>
              <w:rPr>
                <w:rFonts w:ascii="Arial" w:hAnsi="Arial"/>
                <w:sz w:val="17"/>
              </w:rPr>
              <w:t>1</w:t>
            </w:r>
          </w:p>
        </w:tc>
        <w:tc>
          <w:tcPr>
            <w:tcW w:type="dxa" w:w="3600"/>
            <w:vAlign w:val="center"/>
            <w:tcMar>
              <w:top w:w="70" w:type="dxa"/>
              <w:start w:w="110" w:type="dxa"/>
              <w:bottom w:w="70" w:type="dxa"/>
              <w:end w:w="110" w:type="dxa"/>
            </w:tcMar>
          </w:tcPr>
          <w:p>
            <w:pPr>
              <w:widowControl/>
              <w:spacing w:after="0"/>
            </w:pPr>
            <w:r>
              <w:rPr>
                <w:rFonts w:ascii="Arial" w:hAnsi="Arial"/>
                <w:sz w:val="17"/>
              </w:rPr>
              <w:t>1,666,667</w:t>
            </w:r>
          </w:p>
        </w:tc>
      </w:tr>
      <w:tr>
        <w:trPr>
          <w:cantSplit/>
        </w:trPr>
        <w:tc>
          <w:tcPr>
            <w:tcW w:type="dxa" w:w="1872"/>
            <w:vAlign w:val="center"/>
            <w:tcMar>
              <w:top w:w="70" w:type="dxa"/>
              <w:start w:w="110" w:type="dxa"/>
              <w:bottom w:w="70" w:type="dxa"/>
              <w:end w:w="110" w:type="dxa"/>
            </w:tcMar>
            <w:shd w:fill="F4F6F7"/>
          </w:tcPr>
          <w:p>
            <w:pPr>
              <w:widowControl/>
              <w:spacing w:after="0"/>
            </w:pPr>
            <w:r>
              <w:rPr>
                <w:rFonts w:ascii="Arial" w:hAnsi="Arial"/>
                <w:sz w:val="17"/>
              </w:rPr>
              <w:t>2</w:t>
            </w:r>
          </w:p>
        </w:tc>
        <w:tc>
          <w:tcPr>
            <w:tcW w:type="dxa" w:w="3600"/>
            <w:vAlign w:val="center"/>
            <w:tcMar>
              <w:top w:w="70" w:type="dxa"/>
              <w:start w:w="110" w:type="dxa"/>
              <w:bottom w:w="70" w:type="dxa"/>
              <w:end w:w="110" w:type="dxa"/>
            </w:tcMar>
            <w:shd w:fill="F4F6F7"/>
          </w:tcPr>
          <w:p>
            <w:pPr>
              <w:widowControl/>
              <w:spacing w:after="0"/>
            </w:pPr>
            <w:r>
              <w:rPr>
                <w:rFonts w:ascii="Arial" w:hAnsi="Arial"/>
                <w:sz w:val="17"/>
              </w:rPr>
              <w:t>3,333,333</w:t>
            </w:r>
          </w:p>
        </w:tc>
      </w:tr>
      <w:tr>
        <w:trPr>
          <w:cantSplit/>
        </w:trPr>
        <w:tc>
          <w:tcPr>
            <w:tcW w:type="dxa" w:w="1872"/>
            <w:vAlign w:val="center"/>
            <w:tcMar>
              <w:top w:w="70" w:type="dxa"/>
              <w:start w:w="110" w:type="dxa"/>
              <w:bottom w:w="70" w:type="dxa"/>
              <w:end w:w="110" w:type="dxa"/>
            </w:tcMar>
          </w:tcPr>
          <w:p>
            <w:pPr>
              <w:widowControl/>
              <w:spacing w:after="0"/>
            </w:pPr>
            <w:r>
              <w:rPr>
                <w:rFonts w:ascii="Arial" w:hAnsi="Arial"/>
                <w:sz w:val="17"/>
              </w:rPr>
              <w:t>3</w:t>
            </w:r>
          </w:p>
        </w:tc>
        <w:tc>
          <w:tcPr>
            <w:tcW w:type="dxa" w:w="3600"/>
            <w:vAlign w:val="center"/>
            <w:tcMar>
              <w:top w:w="70" w:type="dxa"/>
              <w:start w:w="110" w:type="dxa"/>
              <w:bottom w:w="70" w:type="dxa"/>
              <w:end w:w="110" w:type="dxa"/>
            </w:tcMar>
          </w:tcPr>
          <w:p>
            <w:pPr>
              <w:widowControl/>
              <w:spacing w:after="0"/>
            </w:pPr>
            <w:r>
              <w:rPr>
                <w:rFonts w:ascii="Arial" w:hAnsi="Arial"/>
                <w:sz w:val="17"/>
              </w:rPr>
              <w:t>5,000,000</w:t>
            </w:r>
          </w:p>
        </w:tc>
      </w:tr>
      <w:tr>
        <w:trPr>
          <w:cantSplit/>
        </w:trPr>
        <w:tc>
          <w:tcPr>
            <w:tcW w:type="dxa" w:w="1872"/>
            <w:vAlign w:val="center"/>
            <w:tcMar>
              <w:top w:w="70" w:type="dxa"/>
              <w:start w:w="110" w:type="dxa"/>
              <w:bottom w:w="70" w:type="dxa"/>
              <w:end w:w="110" w:type="dxa"/>
            </w:tcMar>
            <w:shd w:fill="F4F6F7"/>
          </w:tcPr>
          <w:p>
            <w:pPr>
              <w:widowControl/>
              <w:spacing w:after="0"/>
            </w:pPr>
            <w:r>
              <w:rPr>
                <w:rFonts w:ascii="Arial" w:hAnsi="Arial"/>
                <w:sz w:val="17"/>
              </w:rPr>
              <w:t>4</w:t>
            </w:r>
          </w:p>
        </w:tc>
        <w:tc>
          <w:tcPr>
            <w:tcW w:type="dxa" w:w="3600"/>
            <w:vAlign w:val="center"/>
            <w:tcMar>
              <w:top w:w="70" w:type="dxa"/>
              <w:start w:w="110" w:type="dxa"/>
              <w:bottom w:w="70" w:type="dxa"/>
              <w:end w:w="110" w:type="dxa"/>
            </w:tcMar>
            <w:shd w:fill="F4F6F7"/>
          </w:tcPr>
          <w:p>
            <w:pPr>
              <w:widowControl/>
              <w:spacing w:after="0"/>
            </w:pPr>
            <w:r>
              <w:rPr>
                <w:rFonts w:ascii="Arial" w:hAnsi="Arial"/>
                <w:sz w:val="17"/>
              </w:rPr>
              <w:t>6,666,667</w:t>
            </w:r>
          </w:p>
        </w:tc>
      </w:tr>
      <w:tr>
        <w:trPr>
          <w:cantSplit/>
        </w:trPr>
        <w:tc>
          <w:tcPr>
            <w:tcW w:type="dxa" w:w="1872"/>
            <w:vAlign w:val="center"/>
            <w:tcMar>
              <w:top w:w="70" w:type="dxa"/>
              <w:start w:w="110" w:type="dxa"/>
              <w:bottom w:w="70" w:type="dxa"/>
              <w:end w:w="110" w:type="dxa"/>
            </w:tcMar>
          </w:tcPr>
          <w:p>
            <w:pPr>
              <w:widowControl/>
              <w:spacing w:after="0"/>
            </w:pPr>
            <w:r>
              <w:rPr>
                <w:rFonts w:ascii="Arial" w:hAnsi="Arial"/>
                <w:sz w:val="17"/>
              </w:rPr>
              <w:t>5</w:t>
            </w:r>
          </w:p>
        </w:tc>
        <w:tc>
          <w:tcPr>
            <w:tcW w:type="dxa" w:w="3600"/>
            <w:vAlign w:val="center"/>
            <w:tcMar>
              <w:top w:w="70" w:type="dxa"/>
              <w:start w:w="110" w:type="dxa"/>
              <w:bottom w:w="70" w:type="dxa"/>
              <w:end w:w="110" w:type="dxa"/>
            </w:tcMar>
          </w:tcPr>
          <w:p>
            <w:pPr>
              <w:widowControl/>
              <w:spacing w:after="0"/>
            </w:pPr>
            <w:r>
              <w:rPr>
                <w:rFonts w:ascii="Arial" w:hAnsi="Arial"/>
                <w:sz w:val="17"/>
              </w:rPr>
              <w:t>8,333,333</w:t>
            </w:r>
          </w:p>
        </w:tc>
      </w:tr>
      <w:tr>
        <w:trPr>
          <w:cantSplit/>
        </w:trPr>
        <w:tc>
          <w:tcPr>
            <w:tcW w:type="dxa" w:w="1872"/>
            <w:vAlign w:val="center"/>
            <w:tcMar>
              <w:top w:w="70" w:type="dxa"/>
              <w:start w:w="110" w:type="dxa"/>
              <w:bottom w:w="70" w:type="dxa"/>
              <w:end w:w="110" w:type="dxa"/>
            </w:tcMar>
            <w:shd w:fill="F4F6F7"/>
          </w:tcPr>
          <w:p>
            <w:pPr>
              <w:widowControl/>
              <w:spacing w:after="0"/>
            </w:pPr>
            <w:r>
              <w:rPr>
                <w:rFonts w:ascii="Arial" w:hAnsi="Arial"/>
                <w:sz w:val="17"/>
              </w:rPr>
              <w:t>6</w:t>
            </w:r>
          </w:p>
        </w:tc>
        <w:tc>
          <w:tcPr>
            <w:tcW w:type="dxa" w:w="3600"/>
            <w:vAlign w:val="center"/>
            <w:tcMar>
              <w:top w:w="70" w:type="dxa"/>
              <w:start w:w="110" w:type="dxa"/>
              <w:bottom w:w="70" w:type="dxa"/>
              <w:end w:w="110" w:type="dxa"/>
            </w:tcMar>
            <w:shd w:fill="F4F6F7"/>
          </w:tcPr>
          <w:p>
            <w:pPr>
              <w:widowControl/>
              <w:spacing w:after="0"/>
            </w:pPr>
            <w:r>
              <w:rPr>
                <w:rFonts w:ascii="Arial" w:hAnsi="Arial"/>
                <w:sz w:val="17"/>
              </w:rPr>
              <w:t>10,000,000</w:t>
            </w:r>
          </w:p>
        </w:tc>
      </w:tr>
      <w:tr>
        <w:trPr>
          <w:cantSplit/>
        </w:trPr>
        <w:tc>
          <w:tcPr>
            <w:tcW w:type="dxa" w:w="1872"/>
            <w:vAlign w:val="center"/>
            <w:tcMar>
              <w:top w:w="70" w:type="dxa"/>
              <w:start w:w="110" w:type="dxa"/>
              <w:bottom w:w="70" w:type="dxa"/>
              <w:end w:w="110" w:type="dxa"/>
            </w:tcMar>
          </w:tcPr>
          <w:p>
            <w:pPr>
              <w:widowControl/>
              <w:spacing w:after="0"/>
            </w:pPr>
            <w:r>
              <w:rPr>
                <w:rFonts w:ascii="Arial" w:hAnsi="Arial"/>
                <w:sz w:val="17"/>
              </w:rPr>
              <w:t>7</w:t>
            </w:r>
          </w:p>
        </w:tc>
        <w:tc>
          <w:tcPr>
            <w:tcW w:type="dxa" w:w="3600"/>
            <w:vAlign w:val="center"/>
            <w:tcMar>
              <w:top w:w="70" w:type="dxa"/>
              <w:start w:w="110" w:type="dxa"/>
              <w:bottom w:w="70" w:type="dxa"/>
              <w:end w:w="110" w:type="dxa"/>
            </w:tcMar>
          </w:tcPr>
          <w:p>
            <w:pPr>
              <w:widowControl/>
              <w:spacing w:after="0"/>
            </w:pPr>
            <w:r>
              <w:rPr>
                <w:rFonts w:ascii="Arial" w:hAnsi="Arial"/>
                <w:sz w:val="17"/>
              </w:rPr>
              <w:t>10,100,000</w:t>
            </w:r>
          </w:p>
        </w:tc>
      </w:tr>
      <w:tr>
        <w:trPr>
          <w:cantSplit/>
        </w:trPr>
        <w:tc>
          <w:tcPr>
            <w:tcW w:type="dxa" w:w="1872"/>
            <w:vAlign w:val="center"/>
            <w:tcMar>
              <w:top w:w="70" w:type="dxa"/>
              <w:start w:w="110" w:type="dxa"/>
              <w:bottom w:w="70" w:type="dxa"/>
              <w:end w:w="110" w:type="dxa"/>
            </w:tcMar>
            <w:shd w:fill="F4F6F7"/>
          </w:tcPr>
          <w:p>
            <w:pPr>
              <w:widowControl/>
              <w:spacing w:after="0"/>
            </w:pPr>
            <w:r>
              <w:rPr>
                <w:rFonts w:ascii="Arial" w:hAnsi="Arial"/>
                <w:sz w:val="17"/>
              </w:rPr>
              <w:t>8</w:t>
            </w:r>
          </w:p>
        </w:tc>
        <w:tc>
          <w:tcPr>
            <w:tcW w:type="dxa" w:w="3600"/>
            <w:vAlign w:val="center"/>
            <w:tcMar>
              <w:top w:w="70" w:type="dxa"/>
              <w:start w:w="110" w:type="dxa"/>
              <w:bottom w:w="70" w:type="dxa"/>
              <w:end w:w="110" w:type="dxa"/>
            </w:tcMar>
            <w:shd w:fill="F4F6F7"/>
          </w:tcPr>
          <w:p>
            <w:pPr>
              <w:widowControl/>
              <w:spacing w:after="0"/>
            </w:pPr>
            <w:r>
              <w:rPr>
                <w:rFonts w:ascii="Arial" w:hAnsi="Arial"/>
                <w:sz w:val="17"/>
              </w:rPr>
              <w:t>10,201,000</w:t>
            </w:r>
          </w:p>
        </w:tc>
      </w:tr>
      <w:tr>
        <w:trPr>
          <w:cantSplit/>
        </w:trPr>
        <w:tc>
          <w:tcPr>
            <w:tcW w:type="dxa" w:w="1872"/>
            <w:vAlign w:val="center"/>
            <w:tcMar>
              <w:top w:w="70" w:type="dxa"/>
              <w:start w:w="110" w:type="dxa"/>
              <w:bottom w:w="70" w:type="dxa"/>
              <w:end w:w="110" w:type="dxa"/>
            </w:tcMar>
          </w:tcPr>
          <w:p>
            <w:pPr>
              <w:widowControl/>
              <w:spacing w:after="0"/>
            </w:pPr>
            <w:r>
              <w:rPr>
                <w:rFonts w:ascii="Arial" w:hAnsi="Arial"/>
                <w:sz w:val="17"/>
              </w:rPr>
              <w:t>9</w:t>
            </w:r>
          </w:p>
        </w:tc>
        <w:tc>
          <w:tcPr>
            <w:tcW w:type="dxa" w:w="3600"/>
            <w:vAlign w:val="center"/>
            <w:tcMar>
              <w:top w:w="70" w:type="dxa"/>
              <w:start w:w="110" w:type="dxa"/>
              <w:bottom w:w="70" w:type="dxa"/>
              <w:end w:w="110" w:type="dxa"/>
            </w:tcMar>
          </w:tcPr>
          <w:p>
            <w:pPr>
              <w:widowControl/>
              <w:spacing w:after="0"/>
            </w:pPr>
            <w:r>
              <w:rPr>
                <w:rFonts w:ascii="Arial" w:hAnsi="Arial"/>
                <w:sz w:val="17"/>
              </w:rPr>
              <w:t>10,303,010</w:t>
            </w:r>
          </w:p>
        </w:tc>
      </w:tr>
      <w:tr>
        <w:trPr>
          <w:cantSplit/>
        </w:trPr>
        <w:tc>
          <w:tcPr>
            <w:tcW w:type="dxa" w:w="1872"/>
            <w:vAlign w:val="center"/>
            <w:tcMar>
              <w:top w:w="70" w:type="dxa"/>
              <w:start w:w="110" w:type="dxa"/>
              <w:bottom w:w="70" w:type="dxa"/>
              <w:end w:w="110" w:type="dxa"/>
            </w:tcMar>
            <w:shd w:fill="F4F6F7"/>
          </w:tcPr>
          <w:p>
            <w:pPr>
              <w:widowControl/>
              <w:spacing w:after="0"/>
            </w:pPr>
            <w:r>
              <w:rPr>
                <w:rFonts w:ascii="Arial" w:hAnsi="Arial"/>
                <w:sz w:val="17"/>
              </w:rPr>
              <w:t>10</w:t>
            </w:r>
          </w:p>
        </w:tc>
        <w:tc>
          <w:tcPr>
            <w:tcW w:type="dxa" w:w="3600"/>
            <w:vAlign w:val="center"/>
            <w:tcMar>
              <w:top w:w="70" w:type="dxa"/>
              <w:start w:w="110" w:type="dxa"/>
              <w:bottom w:w="70" w:type="dxa"/>
              <w:end w:w="110" w:type="dxa"/>
            </w:tcMar>
            <w:shd w:fill="F4F6F7"/>
          </w:tcPr>
          <w:p>
            <w:pPr>
              <w:widowControl/>
              <w:spacing w:after="0"/>
            </w:pPr>
            <w:r>
              <w:rPr>
                <w:rFonts w:ascii="Arial" w:hAnsi="Arial"/>
                <w:sz w:val="17"/>
              </w:rPr>
              <w:t>10,406,040</w:t>
            </w:r>
          </w:p>
        </w:tc>
      </w:tr>
      <w:tr>
        <w:trPr>
          <w:cantSplit/>
        </w:trPr>
        <w:tc>
          <w:tcPr>
            <w:tcW w:type="dxa" w:w="1872"/>
            <w:vAlign w:val="center"/>
            <w:tcMar>
              <w:top w:w="70" w:type="dxa"/>
              <w:start w:w="110" w:type="dxa"/>
              <w:bottom w:w="70" w:type="dxa"/>
              <w:end w:w="110" w:type="dxa"/>
            </w:tcMar>
          </w:tcPr>
          <w:p>
            <w:pPr>
              <w:widowControl/>
              <w:spacing w:after="0"/>
            </w:pPr>
            <w:r>
              <w:rPr>
                <w:rFonts w:ascii="Arial" w:hAnsi="Arial"/>
                <w:sz w:val="17"/>
              </w:rPr>
              <w:t>11</w:t>
            </w:r>
          </w:p>
        </w:tc>
        <w:tc>
          <w:tcPr>
            <w:tcW w:type="dxa" w:w="3600"/>
            <w:vAlign w:val="center"/>
            <w:tcMar>
              <w:top w:w="70" w:type="dxa"/>
              <w:start w:w="110" w:type="dxa"/>
              <w:bottom w:w="70" w:type="dxa"/>
              <w:end w:w="110" w:type="dxa"/>
            </w:tcMar>
          </w:tcPr>
          <w:p>
            <w:pPr>
              <w:widowControl/>
              <w:spacing w:after="0"/>
            </w:pPr>
            <w:r>
              <w:rPr>
                <w:rFonts w:ascii="Arial" w:hAnsi="Arial"/>
                <w:sz w:val="17"/>
              </w:rPr>
              <w:t>10,510,101</w:t>
            </w:r>
          </w:p>
        </w:tc>
      </w:tr>
      <w:tr>
        <w:trPr>
          <w:cantSplit/>
        </w:trPr>
        <w:tc>
          <w:tcPr>
            <w:tcW w:type="dxa" w:w="1872"/>
            <w:vAlign w:val="center"/>
            <w:tcMar>
              <w:top w:w="70" w:type="dxa"/>
              <w:start w:w="110" w:type="dxa"/>
              <w:bottom w:w="70" w:type="dxa"/>
              <w:end w:w="110" w:type="dxa"/>
            </w:tcMar>
            <w:shd w:fill="F4F6F7"/>
          </w:tcPr>
          <w:p>
            <w:pPr>
              <w:widowControl/>
              <w:spacing w:after="0"/>
            </w:pPr>
            <w:r>
              <w:rPr>
                <w:rFonts w:ascii="Arial" w:hAnsi="Arial"/>
                <w:sz w:val="17"/>
              </w:rPr>
              <w:t>12</w:t>
            </w:r>
          </w:p>
        </w:tc>
        <w:tc>
          <w:tcPr>
            <w:tcW w:type="dxa" w:w="3600"/>
            <w:vAlign w:val="center"/>
            <w:tcMar>
              <w:top w:w="70" w:type="dxa"/>
              <w:start w:w="110" w:type="dxa"/>
              <w:bottom w:w="70" w:type="dxa"/>
              <w:end w:w="110" w:type="dxa"/>
            </w:tcMar>
            <w:shd w:fill="F4F6F7"/>
          </w:tcPr>
          <w:p>
            <w:pPr>
              <w:widowControl/>
              <w:spacing w:after="0"/>
            </w:pPr>
            <w:r>
              <w:rPr>
                <w:rFonts w:ascii="Arial" w:hAnsi="Arial"/>
                <w:sz w:val="17"/>
              </w:rPr>
              <w:t>10,615,202</w:t>
            </w:r>
          </w:p>
        </w:tc>
      </w:tr>
      <w:tr>
        <w:trPr>
          <w:cantSplit/>
        </w:trPr>
        <w:tc>
          <w:tcPr>
            <w:tcW w:type="dxa" w:w="1872"/>
            <w:vAlign w:val="center"/>
            <w:tcMar>
              <w:top w:w="70" w:type="dxa"/>
              <w:start w:w="110" w:type="dxa"/>
              <w:bottom w:w="70" w:type="dxa"/>
              <w:end w:w="110" w:type="dxa"/>
            </w:tcMar>
          </w:tcPr>
          <w:p>
            <w:pPr>
              <w:widowControl/>
              <w:spacing w:after="0"/>
            </w:pPr>
            <w:r>
              <w:rPr>
                <w:rFonts w:ascii="Arial" w:hAnsi="Arial"/>
                <w:sz w:val="17"/>
              </w:rPr>
              <w:t>13</w:t>
            </w:r>
          </w:p>
        </w:tc>
        <w:tc>
          <w:tcPr>
            <w:tcW w:type="dxa" w:w="3600"/>
            <w:vAlign w:val="center"/>
            <w:tcMar>
              <w:top w:w="70" w:type="dxa"/>
              <w:start w:w="110" w:type="dxa"/>
              <w:bottom w:w="70" w:type="dxa"/>
              <w:end w:w="110" w:type="dxa"/>
            </w:tcMar>
          </w:tcPr>
          <w:p>
            <w:pPr>
              <w:widowControl/>
              <w:spacing w:after="0"/>
            </w:pPr>
            <w:r>
              <w:rPr>
                <w:rFonts w:ascii="Arial" w:hAnsi="Arial"/>
                <w:sz w:val="17"/>
              </w:rPr>
              <w:t>10,721,354</w:t>
            </w:r>
          </w:p>
        </w:tc>
      </w:tr>
      <w:tr>
        <w:trPr>
          <w:cantSplit/>
        </w:trPr>
        <w:tc>
          <w:tcPr>
            <w:tcW w:type="dxa" w:w="1872"/>
            <w:vAlign w:val="center"/>
            <w:tcMar>
              <w:top w:w="70" w:type="dxa"/>
              <w:start w:w="110" w:type="dxa"/>
              <w:bottom w:w="70" w:type="dxa"/>
              <w:end w:w="110" w:type="dxa"/>
            </w:tcMar>
            <w:shd w:fill="F4F6F7"/>
          </w:tcPr>
          <w:p>
            <w:pPr>
              <w:widowControl/>
              <w:spacing w:after="0"/>
            </w:pPr>
            <w:r>
              <w:rPr>
                <w:rFonts w:ascii="Arial" w:hAnsi="Arial"/>
                <w:sz w:val="17"/>
              </w:rPr>
              <w:t>14</w:t>
            </w:r>
          </w:p>
        </w:tc>
        <w:tc>
          <w:tcPr>
            <w:tcW w:type="dxa" w:w="3600"/>
            <w:vAlign w:val="center"/>
            <w:tcMar>
              <w:top w:w="70" w:type="dxa"/>
              <w:start w:w="110" w:type="dxa"/>
              <w:bottom w:w="70" w:type="dxa"/>
              <w:end w:w="110" w:type="dxa"/>
            </w:tcMar>
            <w:shd w:fill="F4F6F7"/>
          </w:tcPr>
          <w:p>
            <w:pPr>
              <w:widowControl/>
              <w:spacing w:after="0"/>
            </w:pPr>
            <w:r>
              <w:rPr>
                <w:rFonts w:ascii="Arial" w:hAnsi="Arial"/>
                <w:sz w:val="17"/>
              </w:rPr>
              <w:t>10,828,567</w:t>
            </w:r>
          </w:p>
        </w:tc>
      </w:tr>
      <w:tr>
        <w:trPr>
          <w:cantSplit/>
        </w:trPr>
        <w:tc>
          <w:tcPr>
            <w:tcW w:type="dxa" w:w="1872"/>
            <w:vAlign w:val="center"/>
            <w:tcMar>
              <w:top w:w="70" w:type="dxa"/>
              <w:start w:w="110" w:type="dxa"/>
              <w:bottom w:w="70" w:type="dxa"/>
              <w:end w:w="110" w:type="dxa"/>
            </w:tcMar>
          </w:tcPr>
          <w:p>
            <w:pPr>
              <w:widowControl/>
              <w:spacing w:after="0"/>
            </w:pPr>
            <w:r>
              <w:rPr>
                <w:rFonts w:ascii="Arial" w:hAnsi="Arial"/>
                <w:sz w:val="17"/>
              </w:rPr>
              <w:t>15</w:t>
            </w:r>
          </w:p>
        </w:tc>
        <w:tc>
          <w:tcPr>
            <w:tcW w:type="dxa" w:w="3600"/>
            <w:vAlign w:val="center"/>
            <w:tcMar>
              <w:top w:w="70" w:type="dxa"/>
              <w:start w:w="110" w:type="dxa"/>
              <w:bottom w:w="70" w:type="dxa"/>
              <w:end w:w="110" w:type="dxa"/>
            </w:tcMar>
          </w:tcPr>
          <w:p>
            <w:pPr>
              <w:widowControl/>
              <w:spacing w:after="0"/>
            </w:pPr>
            <w:r>
              <w:rPr>
                <w:rFonts w:ascii="Arial" w:hAnsi="Arial"/>
                <w:sz w:val="17"/>
              </w:rPr>
              <w:t>10,936,853</w:t>
            </w:r>
          </w:p>
        </w:tc>
      </w:tr>
      <w:tr>
        <w:trPr>
          <w:cantSplit/>
        </w:trPr>
        <w:tc>
          <w:tcPr>
            <w:tcW w:type="dxa" w:w="1872"/>
            <w:vAlign w:val="center"/>
            <w:tcMar>
              <w:top w:w="70" w:type="dxa"/>
              <w:start w:w="110" w:type="dxa"/>
              <w:bottom w:w="70" w:type="dxa"/>
              <w:end w:w="110" w:type="dxa"/>
            </w:tcMar>
            <w:shd w:fill="F4F6F7"/>
          </w:tcPr>
          <w:p>
            <w:pPr>
              <w:widowControl/>
              <w:spacing w:after="0"/>
            </w:pPr>
            <w:r>
              <w:rPr>
                <w:rFonts w:ascii="Arial" w:hAnsi="Arial"/>
                <w:sz w:val="17"/>
              </w:rPr>
              <w:t>16</w:t>
            </w:r>
          </w:p>
        </w:tc>
        <w:tc>
          <w:tcPr>
            <w:tcW w:type="dxa" w:w="3600"/>
            <w:vAlign w:val="center"/>
            <w:tcMar>
              <w:top w:w="70" w:type="dxa"/>
              <w:start w:w="110" w:type="dxa"/>
              <w:bottom w:w="70" w:type="dxa"/>
              <w:end w:w="110" w:type="dxa"/>
            </w:tcMar>
            <w:shd w:fill="F4F6F7"/>
          </w:tcPr>
          <w:p>
            <w:pPr>
              <w:widowControl/>
              <w:spacing w:after="0"/>
            </w:pPr>
            <w:r>
              <w:rPr>
                <w:rFonts w:ascii="Arial" w:hAnsi="Arial"/>
                <w:sz w:val="17"/>
              </w:rPr>
              <w:t>11,046,221</w:t>
            </w:r>
          </w:p>
        </w:tc>
      </w:tr>
    </w:tbl>
    <w:p>
      <w:pPr>
        <w:widowControl/>
      </w:pPr>
      <w:r>
        <w:t>Starting in quota year 16, the quantity shall remain at 11,046,221 dozen eggs equivalent per year.</w:t>
      </w:r>
    </w:p>
    <w:p>
      <w:pPr>
        <w:pStyle w:val="Normal"/>
        <w:widowControl/>
        <w:rPr/>
      </w:pPr>
      <w:r>
        <w:rPr/>
        <w:t>(b) Canada shall apply the following provision in the administration of this TRQ: (i) The TRQ quantities set out in subparagraph (a) shall be used in priority for the importation of eggs for breaking purposes for further food processing (secondary manufacturing). (ii) Thirty percent of import licenses for shell egg imports will be made available to new importers. (c) This paragraph applies to goods classified in the following tariff items: 0407.11.91, 0407.21.10, 0407.90.11, 0408.11.10, 0408.19.10, 0408.91.10, 0408.99.10, 2106.90.51, 3502.11.10, and 3502.19.10. (d) This TRQ shall be allocated on a calendar year basis. Section C: Turkey, Turkey Products, Broiler Hatching Eggs, and Chicks 21. For the purposes of this Section: (a) turkey and turkey products means goods classified in the following tariff items: 0105.99.11, 0207.24.11, 0207.24.91, 0207.25.11, 0207.25.91, 0207.26.10, 0207.27.11, 0207.27.91, 0209.90.30, 0210.99.14, 1601.00.31, 1602.20.31, 1602.31.12, and 1602.31.93; and (b) broiler hatching eggs and chicks means goods classified in the following tariff items: 0105.11.21 and 0407.11.11. 22.</w:t>
      </w:r>
    </w:p>
    <w:p>
      <w:pPr>
        <w:pStyle w:val="Normal"/>
        <w:widowControl/>
        <w:rPr/>
      </w:pPr>
      <w:r>
        <w:rPr/>
        <w:t>If Canada adopts or maintains TRQs under Canada’s WTO tariff schedule on any of the goods set out in Section C, Canada shall permit the importation of such goods as follows: (a) The level of global import quota on turkey and turkey products, as defined in Section C, for any given year shall be no less than 3.5 percent of the previous year’s domestic turkey production in Canada.</w:t>
      </w:r>
    </w:p>
    <w:p>
      <w:pPr>
        <w:pStyle w:val="Normal"/>
        <w:widowControl/>
        <w:rPr/>
      </w:pPr>
      <w:r>
        <w:rPr/>
        <w:t>Except, for a period of 10 years after the entry into force of this Agreement, Canada shall calculate the difference, in any given year, between: (i) 3.5 percent of the previous year’s domestic turkey production in Canada, and (ii) 3.5 percent of that year’s Canadian domestic turkey production quota. If (i) exceeds (ii) by 1,000 metric tons or more, then Canada may restrict the level of global import quota on turkey and turkey products for that quota year to no more than 3.5 percent of that year’s Canadian domestic turkey production quota plus 1,000 metric tons. (b) The combined level of global import quotas on broiler hatching eggs and chick products, as defined in Section C, for any given year shall be no less than 21.1 percent of the estimated Canadian domestic production of broiler hatching eggs for that year. This estimate shall be adjusted and finalized on the first of August of each year.</w:t>
      </w:r>
    </w:p>
    <w:p>
      <w:pPr>
        <w:pStyle w:val="Normal"/>
        <w:widowControl/>
        <w:rPr/>
      </w:pPr>
      <w:r>
        <w:rPr/>
        <w:t>This combined annual access level shall be subdivided into separate and distinct access levels for broiler hatching eggs and for chicks for broiler production such that the annual access level for broiler hatching eggs shall be equivalent to 17.4 percent of Canadian domestic broiler hatching egg production and the annual access level for egg-equivalent chicks shall be 3.7 percent of Canadian domestic broiler hatching egg production.</w:t>
      </w:r>
    </w:p>
    <w:p>
      <w:pPr>
        <w:pStyle w:val="Normal"/>
        <w:widowControl/>
        <w:rPr/>
      </w:pPr>
      <w:r>
        <w:rPr/>
        <w:t>Canada shall permit any person who has received an allocation of annual access for broiler hatching eggs to convert any proportion of said allocation into an allocation for chick imports at a conversion rate such that 1.27 broiler hatching eggs are equal to 1 chick. Chick import allocations may not be converted into egg import allocations, unless agreed by both Parties in advance in writing. Appendix 2: Tariff Schedule of the United States - (Tariff Rate Quotas) Section A: General Provisions 1. This Appendix sets out modifications to the Harmonized Tariff Schedule of the United States (HTSUS) that reflect the tariff rate quotas (TRQs) that the United States shall apply to certain originating goods from Canada under this Agreement. In particular, originating goods of Canada included under this Appendix shall be subject to the rates of duty set out in this Appendix instead of the rates of duty specified in Chapter 1 through Chapter 97 of the HTSUS. Notwithstanding any other provision of the HTSUS, originating goods of Canada in the quantities described in this Appendix shall be permitted entry into the territory of the United States as provided in this Appendix.</w:t>
      </w:r>
    </w:p>
    <w:p>
      <w:pPr>
        <w:pStyle w:val="Normal"/>
        <w:widowControl/>
        <w:rPr/>
      </w:pPr>
      <w:r>
        <w:rPr/>
        <w:t>Furthermore, except as provided below, any quantity of originating goods imported from Canada under a TRQ provided for in this Appendix shall not be counted toward the in-quota quantity of any TRQ provided for such goods under the United States’ WTO Tariff Schedule, the United States’ WTO Schedule of Concessions or any other trade agreement. 2. Except as provided below, the United States shall administer all TRQs provided for in this Agreement and set out in this Appendix on a first-come, first-served basis. 3. For the purposes of this Appendix, quota year means calendar year. 4. Each good or group of goods covered by each TRQ set out below is informally described in the title to the paragraph setting out the TRQ. These titles are included solely to assist readers in understanding this Appendix and shall not alter or supersede the coverage for each TRQ established by reference to the relevant Table 1 provisions. 5. For the purposes of this Appendix, the term “metric tons” shall be abbreviated as “MT”. Section B: Country-Specific TRQs 6. TRQ – US 1:</w:t>
      </w:r>
    </w:p>
    <w:p>
      <w:pPr>
        <w:pStyle w:val="Normal"/>
        <w:widowControl/>
        <w:rPr/>
      </w:pPr>
      <w:r>
        <w:rPr/>
        <w:t>Fluid Cream, Sour Cream, Ice Cream, and Milk Beverages (a) This paragraph sets out a TRQ for the originating goods of Canada described in subparagraph (d). The TRQ set out in this paragraph is designated in Appendix 1 of the Schedule of the United States to Annex 2-B (Tariff Commitments) with the designation “US 1”.</w:t>
      </w:r>
    </w:p>
    <w:p>
      <w:pPr>
        <w:widowControl/>
      </w:pPr>
      <w:r>
        <w:t>(b) The aggregate quantity of originating goods of Canada described in subparagraph (d) that shall be permitted to enter free of duty in each quota year under this TRQ is:</w:t>
      </w:r>
    </w:p>
    <w:tbl>
      <w:tblPr>
        <w:tblStyle w:val="TableGrid"/>
        <w:tblW w:type="auto" w:w="0"/>
        <w:jc w:val="center"/>
        <w:tblLayout w:type="autofit"/>
        <w:tblLook w:firstColumn="1" w:firstRow="1" w:lastColumn="0" w:lastRow="0" w:noHBand="0" w:noVBand="1" w:val="04A0"/>
      </w:tblPr>
      <w:tblGrid>
        <w:gridCol w:w="4680"/>
        <w:gridCol w:w="4680"/>
      </w:tblGrid>
      <w:tr>
        <w:trPr>
          <w:tblHeader w:val="true"/>
          <w:cantSplit/>
          <w:tblHeader w:val="true"/>
        </w:trPr>
        <w:tc>
          <w:tcPr>
            <w:tcW w:type="dxa" w:w="1872"/>
            <w:vAlign w:val="center"/>
            <w:shd w:fill="233746"/>
          </w:tcPr>
          <w:p>
            <w:pPr>
              <w:spacing w:after="0"/>
            </w:pPr>
            <w:r>
              <w:rPr>
                <w:rFonts w:ascii="Arial" w:hAnsi="Arial"/>
                <w:b/>
                <w:color w:val="FFFFFF"/>
                <w:sz w:val="17"/>
              </w:rPr>
              <w:t>Quota Year</w:t>
            </w:r>
          </w:p>
        </w:tc>
        <w:tc>
          <w:tcPr>
            <w:tcW w:type="dxa" w:w="3600"/>
            <w:vAlign w:val="center"/>
            <w:shd w:fill="233746"/>
          </w:tcPr>
          <w:p>
            <w:pPr>
              <w:spacing w:after="0"/>
            </w:pPr>
            <w:r>
              <w:rPr>
                <w:rFonts w:ascii="Arial" w:hAnsi="Arial"/>
                <w:b/>
                <w:color w:val="FFFFFF"/>
                <w:sz w:val="17"/>
              </w:rPr>
              <w:t>Aggregate Quantity (‘000 Liters)</w:t>
            </w:r>
          </w:p>
        </w:tc>
      </w:tr>
      <w:tr>
        <w:trPr>
          <w:cantSplit/>
        </w:trPr>
        <w:tc>
          <w:tcPr>
            <w:tcW w:type="dxa" w:w="1872"/>
            <w:vAlign w:val="center"/>
            <w:tcMar>
              <w:top w:w="70" w:type="dxa"/>
              <w:start w:w="110" w:type="dxa"/>
              <w:bottom w:w="70" w:type="dxa"/>
              <w:end w:w="110" w:type="dxa"/>
            </w:tcMar>
          </w:tcPr>
          <w:p>
            <w:pPr>
              <w:widowControl/>
              <w:spacing w:after="0"/>
            </w:pPr>
            <w:r>
              <w:rPr>
                <w:rFonts w:ascii="Arial" w:hAnsi="Arial"/>
                <w:sz w:val="17"/>
              </w:rPr>
              <w:t>1</w:t>
            </w:r>
          </w:p>
        </w:tc>
        <w:tc>
          <w:tcPr>
            <w:tcW w:type="dxa" w:w="3600"/>
            <w:vAlign w:val="center"/>
            <w:tcMar>
              <w:top w:w="70" w:type="dxa"/>
              <w:start w:w="110" w:type="dxa"/>
              <w:bottom w:w="70" w:type="dxa"/>
              <w:end w:w="110" w:type="dxa"/>
            </w:tcMar>
          </w:tcPr>
          <w:p>
            <w:pPr>
              <w:widowControl/>
              <w:spacing w:after="0"/>
            </w:pPr>
            <w:r>
              <w:rPr>
                <w:rFonts w:ascii="Arial" w:hAnsi="Arial"/>
                <w:sz w:val="17"/>
              </w:rPr>
              <w:t>1,750</w:t>
            </w:r>
          </w:p>
        </w:tc>
      </w:tr>
      <w:tr>
        <w:trPr>
          <w:cantSplit/>
        </w:trPr>
        <w:tc>
          <w:tcPr>
            <w:tcW w:type="dxa" w:w="1872"/>
            <w:vAlign w:val="center"/>
            <w:tcMar>
              <w:top w:w="70" w:type="dxa"/>
              <w:start w:w="110" w:type="dxa"/>
              <w:bottom w:w="70" w:type="dxa"/>
              <w:end w:w="110" w:type="dxa"/>
            </w:tcMar>
            <w:shd w:fill="F4F6F7"/>
          </w:tcPr>
          <w:p>
            <w:pPr>
              <w:widowControl/>
              <w:spacing w:after="0"/>
            </w:pPr>
            <w:r>
              <w:rPr>
                <w:rFonts w:ascii="Arial" w:hAnsi="Arial"/>
                <w:sz w:val="17"/>
              </w:rPr>
              <w:t>2</w:t>
            </w:r>
          </w:p>
        </w:tc>
        <w:tc>
          <w:tcPr>
            <w:tcW w:type="dxa" w:w="3600"/>
            <w:vAlign w:val="center"/>
            <w:tcMar>
              <w:top w:w="70" w:type="dxa"/>
              <w:start w:w="110" w:type="dxa"/>
              <w:bottom w:w="70" w:type="dxa"/>
              <w:end w:w="110" w:type="dxa"/>
            </w:tcMar>
            <w:shd w:fill="F4F6F7"/>
          </w:tcPr>
          <w:p>
            <w:pPr>
              <w:widowControl/>
              <w:spacing w:after="0"/>
            </w:pPr>
            <w:r>
              <w:rPr>
                <w:rFonts w:ascii="Arial" w:hAnsi="Arial"/>
                <w:sz w:val="17"/>
              </w:rPr>
              <w:t>3,500</w:t>
            </w:r>
          </w:p>
        </w:tc>
      </w:tr>
      <w:tr>
        <w:trPr>
          <w:cantSplit/>
        </w:trPr>
        <w:tc>
          <w:tcPr>
            <w:tcW w:type="dxa" w:w="1872"/>
            <w:vAlign w:val="center"/>
            <w:tcMar>
              <w:top w:w="70" w:type="dxa"/>
              <w:start w:w="110" w:type="dxa"/>
              <w:bottom w:w="70" w:type="dxa"/>
              <w:end w:w="110" w:type="dxa"/>
            </w:tcMar>
          </w:tcPr>
          <w:p>
            <w:pPr>
              <w:widowControl/>
              <w:spacing w:after="0"/>
            </w:pPr>
            <w:r>
              <w:rPr>
                <w:rFonts w:ascii="Arial" w:hAnsi="Arial"/>
                <w:sz w:val="17"/>
              </w:rPr>
              <w:t>3</w:t>
            </w:r>
          </w:p>
        </w:tc>
        <w:tc>
          <w:tcPr>
            <w:tcW w:type="dxa" w:w="3600"/>
            <w:vAlign w:val="center"/>
            <w:tcMar>
              <w:top w:w="70" w:type="dxa"/>
              <w:start w:w="110" w:type="dxa"/>
              <w:bottom w:w="70" w:type="dxa"/>
              <w:end w:w="110" w:type="dxa"/>
            </w:tcMar>
          </w:tcPr>
          <w:p>
            <w:pPr>
              <w:widowControl/>
              <w:spacing w:after="0"/>
            </w:pPr>
            <w:r>
              <w:rPr>
                <w:rFonts w:ascii="Arial" w:hAnsi="Arial"/>
                <w:sz w:val="17"/>
              </w:rPr>
              <w:t>5,250</w:t>
            </w:r>
          </w:p>
        </w:tc>
      </w:tr>
      <w:tr>
        <w:trPr>
          <w:cantSplit/>
        </w:trPr>
        <w:tc>
          <w:tcPr>
            <w:tcW w:type="dxa" w:w="1872"/>
            <w:vAlign w:val="center"/>
            <w:tcMar>
              <w:top w:w="70" w:type="dxa"/>
              <w:start w:w="110" w:type="dxa"/>
              <w:bottom w:w="70" w:type="dxa"/>
              <w:end w:w="110" w:type="dxa"/>
            </w:tcMar>
            <w:shd w:fill="F4F6F7"/>
          </w:tcPr>
          <w:p>
            <w:pPr>
              <w:widowControl/>
              <w:spacing w:after="0"/>
            </w:pPr>
            <w:r>
              <w:rPr>
                <w:rFonts w:ascii="Arial" w:hAnsi="Arial"/>
                <w:sz w:val="17"/>
              </w:rPr>
              <w:t>4</w:t>
            </w:r>
          </w:p>
        </w:tc>
        <w:tc>
          <w:tcPr>
            <w:tcW w:type="dxa" w:w="3600"/>
            <w:vAlign w:val="center"/>
            <w:tcMar>
              <w:top w:w="70" w:type="dxa"/>
              <w:start w:w="110" w:type="dxa"/>
              <w:bottom w:w="70" w:type="dxa"/>
              <w:end w:w="110" w:type="dxa"/>
            </w:tcMar>
            <w:shd w:fill="F4F6F7"/>
          </w:tcPr>
          <w:p>
            <w:pPr>
              <w:widowControl/>
              <w:spacing w:after="0"/>
            </w:pPr>
            <w:r>
              <w:rPr>
                <w:rFonts w:ascii="Arial" w:hAnsi="Arial"/>
                <w:sz w:val="17"/>
              </w:rPr>
              <w:t>7,000</w:t>
            </w:r>
          </w:p>
        </w:tc>
      </w:tr>
      <w:tr>
        <w:trPr>
          <w:cantSplit/>
        </w:trPr>
        <w:tc>
          <w:tcPr>
            <w:tcW w:type="dxa" w:w="1872"/>
            <w:vAlign w:val="center"/>
            <w:tcMar>
              <w:top w:w="70" w:type="dxa"/>
              <w:start w:w="110" w:type="dxa"/>
              <w:bottom w:w="70" w:type="dxa"/>
              <w:end w:w="110" w:type="dxa"/>
            </w:tcMar>
          </w:tcPr>
          <w:p>
            <w:pPr>
              <w:widowControl/>
              <w:spacing w:after="0"/>
            </w:pPr>
            <w:r>
              <w:rPr>
                <w:rFonts w:ascii="Arial" w:hAnsi="Arial"/>
                <w:sz w:val="17"/>
              </w:rPr>
              <w:t>5</w:t>
            </w:r>
          </w:p>
        </w:tc>
        <w:tc>
          <w:tcPr>
            <w:tcW w:type="dxa" w:w="3600"/>
            <w:vAlign w:val="center"/>
            <w:tcMar>
              <w:top w:w="70" w:type="dxa"/>
              <w:start w:w="110" w:type="dxa"/>
              <w:bottom w:w="70" w:type="dxa"/>
              <w:end w:w="110" w:type="dxa"/>
            </w:tcMar>
          </w:tcPr>
          <w:p>
            <w:pPr>
              <w:widowControl/>
              <w:spacing w:after="0"/>
            </w:pPr>
            <w:r>
              <w:rPr>
                <w:rFonts w:ascii="Arial" w:hAnsi="Arial"/>
                <w:sz w:val="17"/>
              </w:rPr>
              <w:t>8,750</w:t>
            </w:r>
          </w:p>
        </w:tc>
      </w:tr>
      <w:tr>
        <w:trPr>
          <w:cantSplit/>
        </w:trPr>
        <w:tc>
          <w:tcPr>
            <w:tcW w:type="dxa" w:w="1872"/>
            <w:vAlign w:val="center"/>
            <w:tcMar>
              <w:top w:w="70" w:type="dxa"/>
              <w:start w:w="110" w:type="dxa"/>
              <w:bottom w:w="70" w:type="dxa"/>
              <w:end w:w="110" w:type="dxa"/>
            </w:tcMar>
            <w:shd w:fill="F4F6F7"/>
          </w:tcPr>
          <w:p>
            <w:pPr>
              <w:widowControl/>
              <w:spacing w:after="0"/>
            </w:pPr>
            <w:r>
              <w:rPr>
                <w:rFonts w:ascii="Arial" w:hAnsi="Arial"/>
                <w:sz w:val="17"/>
              </w:rPr>
              <w:t>6</w:t>
            </w:r>
          </w:p>
        </w:tc>
        <w:tc>
          <w:tcPr>
            <w:tcW w:type="dxa" w:w="3600"/>
            <w:vAlign w:val="center"/>
            <w:tcMar>
              <w:top w:w="70" w:type="dxa"/>
              <w:start w:w="110" w:type="dxa"/>
              <w:bottom w:w="70" w:type="dxa"/>
              <w:end w:w="110" w:type="dxa"/>
            </w:tcMar>
            <w:shd w:fill="F4F6F7"/>
          </w:tcPr>
          <w:p>
            <w:pPr>
              <w:widowControl/>
              <w:spacing w:after="0"/>
            </w:pPr>
            <w:r>
              <w:rPr>
                <w:rFonts w:ascii="Arial" w:hAnsi="Arial"/>
                <w:sz w:val="17"/>
              </w:rPr>
              <w:t>10,500</w:t>
            </w:r>
          </w:p>
        </w:tc>
      </w:tr>
    </w:tbl>
    <w:p>
      <w:pPr>
        <w:widowControl/>
      </w:pPr>
      <w:r>
        <w:t>Starting in quota year seven, the quantity shall increase at a compounded annual growth rate of one percent for the subsequent 13 years. (c) Goods entered in aggregate quantities in excess of the quantities listed in subparagraph (b) shall continue to receive most-favored-nation tariff treatment. (d) This paragraph applies to the following Table 1 provisions: AG04014025, AG04015025, AG04039016, AG 21050020, and AG22029928. 7. TRQ – US 2: Skim Milk Powder (a) This paragraph sets out a TRQ for the originating goods of Canada described in subparagraph (d). The TRQ set out in this paragraph is designated in Appendix 1 of the Schedule of the United States to Annex 2-B (Tariff Commitments) with the designation “US 2”.</w:t>
      </w:r>
    </w:p>
    <w:p>
      <w:pPr>
        <w:widowControl/>
      </w:pPr>
      <w:r>
        <w:t>(b) The aggregate quantity of originating goods of Canada described in subparagraph (d) that shall be permitted to enter free of duty in each quota year under this TRQ is:</w:t>
      </w:r>
    </w:p>
    <w:tbl>
      <w:tblPr>
        <w:tblStyle w:val="TableGrid"/>
        <w:tblW w:type="auto" w:w="0"/>
        <w:jc w:val="center"/>
        <w:tblLayout w:type="autofit"/>
        <w:tblLook w:firstColumn="1" w:firstRow="1" w:lastColumn="0" w:lastRow="0" w:noHBand="0" w:noVBand="1" w:val="04A0"/>
      </w:tblPr>
      <w:tblGrid>
        <w:gridCol w:w="4680"/>
        <w:gridCol w:w="4680"/>
      </w:tblGrid>
      <w:tr>
        <w:trPr>
          <w:tblHeader w:val="true"/>
          <w:cantSplit/>
          <w:tblHeader w:val="true"/>
        </w:trPr>
        <w:tc>
          <w:tcPr>
            <w:tcW w:type="dxa" w:w="1872"/>
            <w:vAlign w:val="center"/>
            <w:shd w:fill="233746"/>
          </w:tcPr>
          <w:p>
            <w:pPr>
              <w:spacing w:after="0"/>
            </w:pPr>
            <w:r>
              <w:rPr>
                <w:rFonts w:ascii="Arial" w:hAnsi="Arial"/>
                <w:b/>
                <w:color w:val="FFFFFF"/>
                <w:sz w:val="17"/>
              </w:rPr>
              <w:t>Quota Year</w:t>
            </w:r>
          </w:p>
        </w:tc>
        <w:tc>
          <w:tcPr>
            <w:tcW w:type="dxa" w:w="3600"/>
            <w:vAlign w:val="center"/>
            <w:shd w:fill="233746"/>
          </w:tcPr>
          <w:p>
            <w:pPr>
              <w:spacing w:after="0"/>
            </w:pPr>
            <w:r>
              <w:rPr>
                <w:rFonts w:ascii="Arial" w:hAnsi="Arial"/>
                <w:b/>
                <w:color w:val="FFFFFF"/>
                <w:sz w:val="17"/>
              </w:rPr>
              <w:t>Aggregate Quantity (MT)</w:t>
            </w:r>
          </w:p>
        </w:tc>
      </w:tr>
      <w:tr>
        <w:trPr>
          <w:cantSplit/>
        </w:trPr>
        <w:tc>
          <w:tcPr>
            <w:tcW w:type="dxa" w:w="1872"/>
            <w:vAlign w:val="center"/>
            <w:tcMar>
              <w:top w:w="70" w:type="dxa"/>
              <w:start w:w="110" w:type="dxa"/>
              <w:bottom w:w="70" w:type="dxa"/>
              <w:end w:w="110" w:type="dxa"/>
            </w:tcMar>
          </w:tcPr>
          <w:p>
            <w:pPr>
              <w:widowControl/>
              <w:spacing w:after="0"/>
            </w:pPr>
            <w:r>
              <w:rPr>
                <w:rFonts w:ascii="Arial" w:hAnsi="Arial"/>
                <w:sz w:val="17"/>
              </w:rPr>
              <w:t>1</w:t>
            </w:r>
          </w:p>
        </w:tc>
        <w:tc>
          <w:tcPr>
            <w:tcW w:type="dxa" w:w="3600"/>
            <w:vAlign w:val="center"/>
            <w:tcMar>
              <w:top w:w="70" w:type="dxa"/>
              <w:start w:w="110" w:type="dxa"/>
              <w:bottom w:w="70" w:type="dxa"/>
              <w:end w:w="110" w:type="dxa"/>
            </w:tcMar>
          </w:tcPr>
          <w:p>
            <w:pPr>
              <w:widowControl/>
              <w:spacing w:after="0"/>
            </w:pPr>
            <w:r>
              <w:rPr>
                <w:rFonts w:ascii="Arial" w:hAnsi="Arial"/>
                <w:sz w:val="17"/>
              </w:rPr>
              <w:t>1,250</w:t>
            </w:r>
          </w:p>
        </w:tc>
      </w:tr>
      <w:tr>
        <w:trPr>
          <w:cantSplit/>
        </w:trPr>
        <w:tc>
          <w:tcPr>
            <w:tcW w:type="dxa" w:w="1872"/>
            <w:vAlign w:val="center"/>
            <w:tcMar>
              <w:top w:w="70" w:type="dxa"/>
              <w:start w:w="110" w:type="dxa"/>
              <w:bottom w:w="70" w:type="dxa"/>
              <w:end w:w="110" w:type="dxa"/>
            </w:tcMar>
            <w:shd w:fill="F4F6F7"/>
          </w:tcPr>
          <w:p>
            <w:pPr>
              <w:widowControl/>
              <w:spacing w:after="0"/>
            </w:pPr>
            <w:r>
              <w:rPr>
                <w:rFonts w:ascii="Arial" w:hAnsi="Arial"/>
                <w:sz w:val="17"/>
              </w:rPr>
              <w:t>2</w:t>
            </w:r>
          </w:p>
        </w:tc>
        <w:tc>
          <w:tcPr>
            <w:tcW w:type="dxa" w:w="3600"/>
            <w:vAlign w:val="center"/>
            <w:tcMar>
              <w:top w:w="70" w:type="dxa"/>
              <w:start w:w="110" w:type="dxa"/>
              <w:bottom w:w="70" w:type="dxa"/>
              <w:end w:w="110" w:type="dxa"/>
            </w:tcMar>
            <w:shd w:fill="F4F6F7"/>
          </w:tcPr>
          <w:p>
            <w:pPr>
              <w:widowControl/>
              <w:spacing w:after="0"/>
            </w:pPr>
            <w:r>
              <w:rPr>
                <w:rFonts w:ascii="Arial" w:hAnsi="Arial"/>
                <w:sz w:val="17"/>
              </w:rPr>
              <w:t>2,500</w:t>
            </w:r>
          </w:p>
        </w:tc>
      </w:tr>
      <w:tr>
        <w:trPr>
          <w:cantSplit/>
        </w:trPr>
        <w:tc>
          <w:tcPr>
            <w:tcW w:type="dxa" w:w="1872"/>
            <w:vAlign w:val="center"/>
            <w:tcMar>
              <w:top w:w="70" w:type="dxa"/>
              <w:start w:w="110" w:type="dxa"/>
              <w:bottom w:w="70" w:type="dxa"/>
              <w:end w:w="110" w:type="dxa"/>
            </w:tcMar>
          </w:tcPr>
          <w:p>
            <w:pPr>
              <w:widowControl/>
              <w:spacing w:after="0"/>
            </w:pPr>
            <w:r>
              <w:rPr>
                <w:rFonts w:ascii="Arial" w:hAnsi="Arial"/>
                <w:sz w:val="17"/>
              </w:rPr>
              <w:t>3</w:t>
            </w:r>
          </w:p>
        </w:tc>
        <w:tc>
          <w:tcPr>
            <w:tcW w:type="dxa" w:w="3600"/>
            <w:vAlign w:val="center"/>
            <w:tcMar>
              <w:top w:w="70" w:type="dxa"/>
              <w:start w:w="110" w:type="dxa"/>
              <w:bottom w:w="70" w:type="dxa"/>
              <w:end w:w="110" w:type="dxa"/>
            </w:tcMar>
          </w:tcPr>
          <w:p>
            <w:pPr>
              <w:widowControl/>
              <w:spacing w:after="0"/>
            </w:pPr>
            <w:r>
              <w:rPr>
                <w:rFonts w:ascii="Arial" w:hAnsi="Arial"/>
                <w:sz w:val="17"/>
              </w:rPr>
              <w:t>3,750</w:t>
            </w:r>
          </w:p>
        </w:tc>
      </w:tr>
      <w:tr>
        <w:trPr>
          <w:cantSplit/>
        </w:trPr>
        <w:tc>
          <w:tcPr>
            <w:tcW w:type="dxa" w:w="1872"/>
            <w:vAlign w:val="center"/>
            <w:tcMar>
              <w:top w:w="70" w:type="dxa"/>
              <w:start w:w="110" w:type="dxa"/>
              <w:bottom w:w="70" w:type="dxa"/>
              <w:end w:w="110" w:type="dxa"/>
            </w:tcMar>
            <w:shd w:fill="F4F6F7"/>
          </w:tcPr>
          <w:p>
            <w:pPr>
              <w:widowControl/>
              <w:spacing w:after="0"/>
            </w:pPr>
            <w:r>
              <w:rPr>
                <w:rFonts w:ascii="Arial" w:hAnsi="Arial"/>
                <w:sz w:val="17"/>
              </w:rPr>
              <w:t>4</w:t>
            </w:r>
          </w:p>
        </w:tc>
        <w:tc>
          <w:tcPr>
            <w:tcW w:type="dxa" w:w="3600"/>
            <w:vAlign w:val="center"/>
            <w:tcMar>
              <w:top w:w="70" w:type="dxa"/>
              <w:start w:w="110" w:type="dxa"/>
              <w:bottom w:w="70" w:type="dxa"/>
              <w:end w:w="110" w:type="dxa"/>
            </w:tcMar>
            <w:shd w:fill="F4F6F7"/>
          </w:tcPr>
          <w:p>
            <w:pPr>
              <w:widowControl/>
              <w:spacing w:after="0"/>
            </w:pPr>
            <w:r>
              <w:rPr>
                <w:rFonts w:ascii="Arial" w:hAnsi="Arial"/>
                <w:sz w:val="17"/>
              </w:rPr>
              <w:t>5,000</w:t>
            </w:r>
          </w:p>
        </w:tc>
      </w:tr>
      <w:tr>
        <w:trPr>
          <w:cantSplit/>
        </w:trPr>
        <w:tc>
          <w:tcPr>
            <w:tcW w:type="dxa" w:w="1872"/>
            <w:vAlign w:val="center"/>
            <w:tcMar>
              <w:top w:w="70" w:type="dxa"/>
              <w:start w:w="110" w:type="dxa"/>
              <w:bottom w:w="70" w:type="dxa"/>
              <w:end w:w="110" w:type="dxa"/>
            </w:tcMar>
          </w:tcPr>
          <w:p>
            <w:pPr>
              <w:widowControl/>
              <w:spacing w:after="0"/>
            </w:pPr>
            <w:r>
              <w:rPr>
                <w:rFonts w:ascii="Arial" w:hAnsi="Arial"/>
                <w:sz w:val="17"/>
              </w:rPr>
              <w:t>5</w:t>
            </w:r>
          </w:p>
        </w:tc>
        <w:tc>
          <w:tcPr>
            <w:tcW w:type="dxa" w:w="3600"/>
            <w:vAlign w:val="center"/>
            <w:tcMar>
              <w:top w:w="70" w:type="dxa"/>
              <w:start w:w="110" w:type="dxa"/>
              <w:bottom w:w="70" w:type="dxa"/>
              <w:end w:w="110" w:type="dxa"/>
            </w:tcMar>
          </w:tcPr>
          <w:p>
            <w:pPr>
              <w:widowControl/>
              <w:spacing w:after="0"/>
            </w:pPr>
            <w:r>
              <w:rPr>
                <w:rFonts w:ascii="Arial" w:hAnsi="Arial"/>
                <w:sz w:val="17"/>
              </w:rPr>
              <w:t>6,250</w:t>
            </w:r>
          </w:p>
        </w:tc>
      </w:tr>
      <w:tr>
        <w:trPr>
          <w:cantSplit/>
        </w:trPr>
        <w:tc>
          <w:tcPr>
            <w:tcW w:type="dxa" w:w="1872"/>
            <w:vAlign w:val="center"/>
            <w:tcMar>
              <w:top w:w="70" w:type="dxa"/>
              <w:start w:w="110" w:type="dxa"/>
              <w:bottom w:w="70" w:type="dxa"/>
              <w:end w:w="110" w:type="dxa"/>
            </w:tcMar>
            <w:shd w:fill="F4F6F7"/>
          </w:tcPr>
          <w:p>
            <w:pPr>
              <w:widowControl/>
              <w:spacing w:after="0"/>
            </w:pPr>
            <w:r>
              <w:rPr>
                <w:rFonts w:ascii="Arial" w:hAnsi="Arial"/>
                <w:sz w:val="17"/>
              </w:rPr>
              <w:t>6</w:t>
            </w:r>
          </w:p>
        </w:tc>
        <w:tc>
          <w:tcPr>
            <w:tcW w:type="dxa" w:w="3600"/>
            <w:vAlign w:val="center"/>
            <w:tcMar>
              <w:top w:w="70" w:type="dxa"/>
              <w:start w:w="110" w:type="dxa"/>
              <w:bottom w:w="70" w:type="dxa"/>
              <w:end w:w="110" w:type="dxa"/>
            </w:tcMar>
            <w:shd w:fill="F4F6F7"/>
          </w:tcPr>
          <w:p>
            <w:pPr>
              <w:widowControl/>
              <w:spacing w:after="0"/>
            </w:pPr>
            <w:r>
              <w:rPr>
                <w:rFonts w:ascii="Arial" w:hAnsi="Arial"/>
                <w:sz w:val="17"/>
              </w:rPr>
              <w:t>7,500</w:t>
            </w:r>
          </w:p>
        </w:tc>
      </w:tr>
    </w:tbl>
    <w:p>
      <w:pPr>
        <w:widowControl/>
      </w:pPr>
      <w:r>
        <w:t>Starting in quota year seven, the quantity shall increase at a compounded annual growth rate of one percent for the subsequent 13 years.</w:t>
      </w:r>
    </w:p>
    <w:p>
      <w:pPr>
        <w:widowControl/>
      </w:pPr>
      <w:r>
        <w:t>(c) Goods entered in aggregate quantities in excess of the quantities listed in subparagraph (b) shall continue to receive most favored nation tariff treatment. (d) This paragraph applies to the following Table 1 provisions: AG04021050 and AG04022125. 8. TRQ – US 3: Butter, Cream, and Cream Powder (a) This paragraph sets out a TRQ for the originating goods of Canada described in subparagraph (d). The TRQ set out in this paragraph is designated in Appendix 1 of the Schedule of the United States to Annex 2-B (Tariff Commitments) with the designation “US 3”. (b) The aggregate quantity of originating goods of Canada described in subparagraph (d) that shall be permitted to enter free of duty in each quota year under this TRQ is:</w:t>
      </w:r>
    </w:p>
    <w:tbl>
      <w:tblPr>
        <w:tblStyle w:val="TableGrid"/>
        <w:tblW w:type="auto" w:w="0"/>
        <w:jc w:val="center"/>
        <w:tblLayout w:type="autofit"/>
        <w:tblLook w:firstColumn="1" w:firstRow="1" w:lastColumn="0" w:lastRow="0" w:noHBand="0" w:noVBand="1" w:val="04A0"/>
      </w:tblPr>
      <w:tblGrid>
        <w:gridCol w:w="4680"/>
        <w:gridCol w:w="4680"/>
      </w:tblGrid>
      <w:tr>
        <w:trPr>
          <w:tblHeader w:val="true"/>
          <w:cantSplit/>
          <w:tblHeader w:val="true"/>
        </w:trPr>
        <w:tc>
          <w:tcPr>
            <w:tcW w:type="dxa" w:w="1872"/>
            <w:vAlign w:val="center"/>
            <w:shd w:fill="233746"/>
          </w:tcPr>
          <w:p>
            <w:pPr>
              <w:spacing w:after="0"/>
            </w:pPr>
            <w:r>
              <w:rPr>
                <w:rFonts w:ascii="Arial" w:hAnsi="Arial"/>
                <w:b/>
                <w:color w:val="FFFFFF"/>
                <w:sz w:val="17"/>
              </w:rPr>
              <w:t>Quota Year</w:t>
            </w:r>
          </w:p>
        </w:tc>
        <w:tc>
          <w:tcPr>
            <w:tcW w:type="dxa" w:w="3600"/>
            <w:vAlign w:val="center"/>
            <w:shd w:fill="233746"/>
          </w:tcPr>
          <w:p>
            <w:pPr>
              <w:spacing w:after="0"/>
            </w:pPr>
            <w:r>
              <w:rPr>
                <w:rFonts w:ascii="Arial" w:hAnsi="Arial"/>
                <w:b/>
                <w:color w:val="FFFFFF"/>
                <w:sz w:val="17"/>
              </w:rPr>
              <w:t>Aggregate Quantity (MT)</w:t>
            </w:r>
          </w:p>
        </w:tc>
      </w:tr>
      <w:tr>
        <w:trPr>
          <w:cantSplit/>
        </w:trPr>
        <w:tc>
          <w:tcPr>
            <w:tcW w:type="dxa" w:w="1872"/>
            <w:vAlign w:val="center"/>
            <w:tcMar>
              <w:top w:w="70" w:type="dxa"/>
              <w:start w:w="110" w:type="dxa"/>
              <w:bottom w:w="70" w:type="dxa"/>
              <w:end w:w="110" w:type="dxa"/>
            </w:tcMar>
          </w:tcPr>
          <w:p>
            <w:pPr>
              <w:widowControl/>
              <w:spacing w:after="0"/>
            </w:pPr>
            <w:r>
              <w:rPr>
                <w:rFonts w:ascii="Arial" w:hAnsi="Arial"/>
                <w:sz w:val="17"/>
              </w:rPr>
              <w:t>1</w:t>
            </w:r>
          </w:p>
        </w:tc>
        <w:tc>
          <w:tcPr>
            <w:tcW w:type="dxa" w:w="3600"/>
            <w:vAlign w:val="center"/>
            <w:tcMar>
              <w:top w:w="70" w:type="dxa"/>
              <w:start w:w="110" w:type="dxa"/>
              <w:bottom w:w="70" w:type="dxa"/>
              <w:end w:w="110" w:type="dxa"/>
            </w:tcMar>
          </w:tcPr>
          <w:p>
            <w:pPr>
              <w:widowControl/>
              <w:spacing w:after="0"/>
            </w:pPr>
            <w:r>
              <w:rPr>
                <w:rFonts w:ascii="Arial" w:hAnsi="Arial"/>
                <w:sz w:val="17"/>
              </w:rPr>
              <w:t>1,500</w:t>
            </w:r>
          </w:p>
        </w:tc>
      </w:tr>
      <w:tr>
        <w:trPr>
          <w:cantSplit/>
        </w:trPr>
        <w:tc>
          <w:tcPr>
            <w:tcW w:type="dxa" w:w="1872"/>
            <w:vAlign w:val="center"/>
            <w:tcMar>
              <w:top w:w="70" w:type="dxa"/>
              <w:start w:w="110" w:type="dxa"/>
              <w:bottom w:w="70" w:type="dxa"/>
              <w:end w:w="110" w:type="dxa"/>
            </w:tcMar>
            <w:shd w:fill="F4F6F7"/>
          </w:tcPr>
          <w:p>
            <w:pPr>
              <w:widowControl/>
              <w:spacing w:after="0"/>
            </w:pPr>
            <w:r>
              <w:rPr>
                <w:rFonts w:ascii="Arial" w:hAnsi="Arial"/>
                <w:sz w:val="17"/>
              </w:rPr>
              <w:t>2</w:t>
            </w:r>
          </w:p>
        </w:tc>
        <w:tc>
          <w:tcPr>
            <w:tcW w:type="dxa" w:w="3600"/>
            <w:vAlign w:val="center"/>
            <w:tcMar>
              <w:top w:w="70" w:type="dxa"/>
              <w:start w:w="110" w:type="dxa"/>
              <w:bottom w:w="70" w:type="dxa"/>
              <w:end w:w="110" w:type="dxa"/>
            </w:tcMar>
            <w:shd w:fill="F4F6F7"/>
          </w:tcPr>
          <w:p>
            <w:pPr>
              <w:widowControl/>
              <w:spacing w:after="0"/>
            </w:pPr>
            <w:r>
              <w:rPr>
                <w:rFonts w:ascii="Arial" w:hAnsi="Arial"/>
                <w:sz w:val="17"/>
              </w:rPr>
              <w:t>2,250</w:t>
            </w:r>
          </w:p>
        </w:tc>
      </w:tr>
      <w:tr>
        <w:trPr>
          <w:cantSplit/>
        </w:trPr>
        <w:tc>
          <w:tcPr>
            <w:tcW w:type="dxa" w:w="1872"/>
            <w:vAlign w:val="center"/>
            <w:tcMar>
              <w:top w:w="70" w:type="dxa"/>
              <w:start w:w="110" w:type="dxa"/>
              <w:bottom w:w="70" w:type="dxa"/>
              <w:end w:w="110" w:type="dxa"/>
            </w:tcMar>
          </w:tcPr>
          <w:p>
            <w:pPr>
              <w:widowControl/>
              <w:spacing w:after="0"/>
            </w:pPr>
            <w:r>
              <w:rPr>
                <w:rFonts w:ascii="Arial" w:hAnsi="Arial"/>
                <w:sz w:val="17"/>
              </w:rPr>
              <w:t>3</w:t>
            </w:r>
          </w:p>
        </w:tc>
        <w:tc>
          <w:tcPr>
            <w:tcW w:type="dxa" w:w="3600"/>
            <w:vAlign w:val="center"/>
            <w:tcMar>
              <w:top w:w="70" w:type="dxa"/>
              <w:start w:w="110" w:type="dxa"/>
              <w:bottom w:w="70" w:type="dxa"/>
              <w:end w:w="110" w:type="dxa"/>
            </w:tcMar>
          </w:tcPr>
          <w:p>
            <w:pPr>
              <w:widowControl/>
              <w:spacing w:after="0"/>
            </w:pPr>
            <w:r>
              <w:rPr>
                <w:rFonts w:ascii="Arial" w:hAnsi="Arial"/>
                <w:sz w:val="17"/>
              </w:rPr>
              <w:t>3,000</w:t>
            </w:r>
          </w:p>
        </w:tc>
      </w:tr>
      <w:tr>
        <w:trPr>
          <w:cantSplit/>
        </w:trPr>
        <w:tc>
          <w:tcPr>
            <w:tcW w:type="dxa" w:w="1872"/>
            <w:vAlign w:val="center"/>
            <w:tcMar>
              <w:top w:w="70" w:type="dxa"/>
              <w:start w:w="110" w:type="dxa"/>
              <w:bottom w:w="70" w:type="dxa"/>
              <w:end w:w="110" w:type="dxa"/>
            </w:tcMar>
            <w:shd w:fill="F4F6F7"/>
          </w:tcPr>
          <w:p>
            <w:pPr>
              <w:widowControl/>
              <w:spacing w:after="0"/>
            </w:pPr>
            <w:r>
              <w:rPr>
                <w:rFonts w:ascii="Arial" w:hAnsi="Arial"/>
                <w:sz w:val="17"/>
              </w:rPr>
              <w:t>4</w:t>
            </w:r>
          </w:p>
        </w:tc>
        <w:tc>
          <w:tcPr>
            <w:tcW w:type="dxa" w:w="3600"/>
            <w:vAlign w:val="center"/>
            <w:tcMar>
              <w:top w:w="70" w:type="dxa"/>
              <w:start w:w="110" w:type="dxa"/>
              <w:bottom w:w="70" w:type="dxa"/>
              <w:end w:w="110" w:type="dxa"/>
            </w:tcMar>
            <w:shd w:fill="F4F6F7"/>
          </w:tcPr>
          <w:p>
            <w:pPr>
              <w:widowControl/>
              <w:spacing w:after="0"/>
            </w:pPr>
            <w:r>
              <w:rPr>
                <w:rFonts w:ascii="Arial" w:hAnsi="Arial"/>
                <w:sz w:val="17"/>
              </w:rPr>
              <w:t>3,750</w:t>
            </w:r>
          </w:p>
        </w:tc>
      </w:tr>
      <w:tr>
        <w:trPr>
          <w:cantSplit/>
        </w:trPr>
        <w:tc>
          <w:tcPr>
            <w:tcW w:type="dxa" w:w="1872"/>
            <w:vAlign w:val="center"/>
            <w:tcMar>
              <w:top w:w="70" w:type="dxa"/>
              <w:start w:w="110" w:type="dxa"/>
              <w:bottom w:w="70" w:type="dxa"/>
              <w:end w:w="110" w:type="dxa"/>
            </w:tcMar>
          </w:tcPr>
          <w:p>
            <w:pPr>
              <w:widowControl/>
              <w:spacing w:after="0"/>
            </w:pPr>
            <w:r>
              <w:rPr>
                <w:rFonts w:ascii="Arial" w:hAnsi="Arial"/>
                <w:sz w:val="17"/>
              </w:rPr>
              <w:t>5</w:t>
            </w:r>
          </w:p>
        </w:tc>
        <w:tc>
          <w:tcPr>
            <w:tcW w:type="dxa" w:w="3600"/>
            <w:vAlign w:val="center"/>
            <w:tcMar>
              <w:top w:w="70" w:type="dxa"/>
              <w:start w:w="110" w:type="dxa"/>
              <w:bottom w:w="70" w:type="dxa"/>
              <w:end w:w="110" w:type="dxa"/>
            </w:tcMar>
          </w:tcPr>
          <w:p>
            <w:pPr>
              <w:widowControl/>
              <w:spacing w:after="0"/>
            </w:pPr>
            <w:r>
              <w:rPr>
                <w:rFonts w:ascii="Arial" w:hAnsi="Arial"/>
                <w:sz w:val="17"/>
              </w:rPr>
              <w:t>4,500</w:t>
            </w:r>
          </w:p>
        </w:tc>
      </w:tr>
    </w:tbl>
    <w:p>
      <w:pPr>
        <w:widowControl/>
      </w:pPr>
      <w:r>
        <w:t>Starting in quota year seven, the quantity shall increase at a compounded annual growth rate of one percent for the subsequent 13 years.</w:t>
      </w:r>
    </w:p>
    <w:p>
      <w:pPr>
        <w:pStyle w:val="Normal"/>
        <w:widowControl/>
        <w:rPr/>
      </w:pPr>
      <w:r>
        <w:rPr/>
        <w:t>(c) Goods entered in aggregate quantities in excess of the quantities listed in subparagraph (b) shall continue to receive most favored nation tariff treatment. (d) This paragraph applies to the following Table 1 provisions: AG04015075, AG04022190, AG04039065, AG04039078, AG04051020, AG04052030, AG04052070, AG04059020, AG21069026, and AG21069036 9. TRQ – US 4: Cheese (a) This paragraph sets out a TRQ for the originating goods of Canada described in subparagraph (d).</w:t>
      </w:r>
    </w:p>
    <w:p>
      <w:pPr>
        <w:widowControl/>
      </w:pPr>
      <w:r>
        <w:t>The TRQ set out in this paragraph is designated in the Appendix 1 of the Schedule of the United States to Annex 2-B (Tariff Commitments) with the designation “US 4”. (b) The aggregate quantity of originating goods of Canada described in subparagraph (d) that shall be permitted to enter free of duty in each quota year under this TRQ is:</w:t>
      </w:r>
    </w:p>
    <w:tbl>
      <w:tblPr>
        <w:tblStyle w:val="TableGrid"/>
        <w:tblW w:type="auto" w:w="0"/>
        <w:jc w:val="center"/>
        <w:tblLayout w:type="autofit"/>
        <w:tblLook w:firstColumn="1" w:firstRow="1" w:lastColumn="0" w:lastRow="0" w:noHBand="0" w:noVBand="1" w:val="04A0"/>
      </w:tblPr>
      <w:tblGrid>
        <w:gridCol w:w="4680"/>
        <w:gridCol w:w="4680"/>
      </w:tblGrid>
      <w:tr>
        <w:trPr>
          <w:tblHeader w:val="true"/>
          <w:cantSplit/>
          <w:tblHeader w:val="true"/>
        </w:trPr>
        <w:tc>
          <w:tcPr>
            <w:tcW w:type="dxa" w:w="1872"/>
            <w:vAlign w:val="center"/>
            <w:shd w:fill="233746"/>
          </w:tcPr>
          <w:p>
            <w:pPr>
              <w:spacing w:after="0"/>
            </w:pPr>
            <w:r>
              <w:rPr>
                <w:rFonts w:ascii="Arial" w:hAnsi="Arial"/>
                <w:b/>
                <w:color w:val="FFFFFF"/>
                <w:sz w:val="17"/>
              </w:rPr>
              <w:t>Quota Year</w:t>
            </w:r>
          </w:p>
        </w:tc>
        <w:tc>
          <w:tcPr>
            <w:tcW w:type="dxa" w:w="3600"/>
            <w:vAlign w:val="center"/>
            <w:shd w:fill="233746"/>
          </w:tcPr>
          <w:p>
            <w:pPr>
              <w:spacing w:after="0"/>
            </w:pPr>
            <w:r>
              <w:rPr>
                <w:rFonts w:ascii="Arial" w:hAnsi="Arial"/>
                <w:b/>
                <w:color w:val="FFFFFF"/>
                <w:sz w:val="17"/>
              </w:rPr>
              <w:t>Aggregate Quantity (MT)</w:t>
            </w:r>
          </w:p>
        </w:tc>
      </w:tr>
      <w:tr>
        <w:trPr>
          <w:cantSplit/>
        </w:trPr>
        <w:tc>
          <w:tcPr>
            <w:tcW w:type="dxa" w:w="1872"/>
            <w:vAlign w:val="center"/>
            <w:tcMar>
              <w:top w:w="70" w:type="dxa"/>
              <w:start w:w="110" w:type="dxa"/>
              <w:bottom w:w="70" w:type="dxa"/>
              <w:end w:w="110" w:type="dxa"/>
            </w:tcMar>
          </w:tcPr>
          <w:p>
            <w:pPr>
              <w:widowControl/>
              <w:spacing w:after="0"/>
            </w:pPr>
            <w:r>
              <w:rPr>
                <w:rFonts w:ascii="Arial" w:hAnsi="Arial"/>
                <w:sz w:val="17"/>
              </w:rPr>
              <w:t>1</w:t>
            </w:r>
          </w:p>
        </w:tc>
        <w:tc>
          <w:tcPr>
            <w:tcW w:type="dxa" w:w="3600"/>
            <w:vAlign w:val="center"/>
            <w:tcMar>
              <w:top w:w="70" w:type="dxa"/>
              <w:start w:w="110" w:type="dxa"/>
              <w:bottom w:w="70" w:type="dxa"/>
              <w:end w:w="110" w:type="dxa"/>
            </w:tcMar>
          </w:tcPr>
          <w:p>
            <w:pPr>
              <w:widowControl/>
              <w:spacing w:after="0"/>
            </w:pPr>
            <w:r>
              <w:rPr>
                <w:rFonts w:ascii="Arial" w:hAnsi="Arial"/>
                <w:sz w:val="17"/>
              </w:rPr>
              <w:t>2,083</w:t>
            </w:r>
          </w:p>
        </w:tc>
      </w:tr>
      <w:tr>
        <w:trPr>
          <w:cantSplit/>
        </w:trPr>
        <w:tc>
          <w:tcPr>
            <w:tcW w:type="dxa" w:w="1872"/>
            <w:vAlign w:val="center"/>
            <w:tcMar>
              <w:top w:w="70" w:type="dxa"/>
              <w:start w:w="110" w:type="dxa"/>
              <w:bottom w:w="70" w:type="dxa"/>
              <w:end w:w="110" w:type="dxa"/>
            </w:tcMar>
            <w:shd w:fill="F4F6F7"/>
          </w:tcPr>
          <w:p>
            <w:pPr>
              <w:widowControl/>
              <w:spacing w:after="0"/>
            </w:pPr>
            <w:r>
              <w:rPr>
                <w:rFonts w:ascii="Arial" w:hAnsi="Arial"/>
                <w:sz w:val="17"/>
              </w:rPr>
              <w:t>2</w:t>
            </w:r>
          </w:p>
        </w:tc>
        <w:tc>
          <w:tcPr>
            <w:tcW w:type="dxa" w:w="3600"/>
            <w:vAlign w:val="center"/>
            <w:tcMar>
              <w:top w:w="70" w:type="dxa"/>
              <w:start w:w="110" w:type="dxa"/>
              <w:bottom w:w="70" w:type="dxa"/>
              <w:end w:w="110" w:type="dxa"/>
            </w:tcMar>
            <w:shd w:fill="F4F6F7"/>
          </w:tcPr>
          <w:p>
            <w:pPr>
              <w:widowControl/>
              <w:spacing w:after="0"/>
            </w:pPr>
            <w:r>
              <w:rPr>
                <w:rFonts w:ascii="Arial" w:hAnsi="Arial"/>
                <w:sz w:val="17"/>
              </w:rPr>
              <w:t>4,167</w:t>
            </w:r>
          </w:p>
        </w:tc>
      </w:tr>
      <w:tr>
        <w:trPr>
          <w:cantSplit/>
        </w:trPr>
        <w:tc>
          <w:tcPr>
            <w:tcW w:type="dxa" w:w="1872"/>
            <w:vAlign w:val="center"/>
            <w:tcMar>
              <w:top w:w="70" w:type="dxa"/>
              <w:start w:w="110" w:type="dxa"/>
              <w:bottom w:w="70" w:type="dxa"/>
              <w:end w:w="110" w:type="dxa"/>
            </w:tcMar>
          </w:tcPr>
          <w:p>
            <w:pPr>
              <w:widowControl/>
              <w:spacing w:after="0"/>
            </w:pPr>
            <w:r>
              <w:rPr>
                <w:rFonts w:ascii="Arial" w:hAnsi="Arial"/>
                <w:sz w:val="17"/>
              </w:rPr>
              <w:t>3</w:t>
            </w:r>
          </w:p>
        </w:tc>
        <w:tc>
          <w:tcPr>
            <w:tcW w:type="dxa" w:w="3600"/>
            <w:vAlign w:val="center"/>
            <w:tcMar>
              <w:top w:w="70" w:type="dxa"/>
              <w:start w:w="110" w:type="dxa"/>
              <w:bottom w:w="70" w:type="dxa"/>
              <w:end w:w="110" w:type="dxa"/>
            </w:tcMar>
          </w:tcPr>
          <w:p>
            <w:pPr>
              <w:widowControl/>
              <w:spacing w:after="0"/>
            </w:pPr>
            <w:r>
              <w:rPr>
                <w:rFonts w:ascii="Arial" w:hAnsi="Arial"/>
                <w:sz w:val="17"/>
              </w:rPr>
              <w:t>6,250</w:t>
            </w:r>
          </w:p>
        </w:tc>
      </w:tr>
      <w:tr>
        <w:trPr>
          <w:cantSplit/>
        </w:trPr>
        <w:tc>
          <w:tcPr>
            <w:tcW w:type="dxa" w:w="1872"/>
            <w:vAlign w:val="center"/>
            <w:tcMar>
              <w:top w:w="70" w:type="dxa"/>
              <w:start w:w="110" w:type="dxa"/>
              <w:bottom w:w="70" w:type="dxa"/>
              <w:end w:w="110" w:type="dxa"/>
            </w:tcMar>
            <w:shd w:fill="F4F6F7"/>
          </w:tcPr>
          <w:p>
            <w:pPr>
              <w:widowControl/>
              <w:spacing w:after="0"/>
            </w:pPr>
            <w:r>
              <w:rPr>
                <w:rFonts w:ascii="Arial" w:hAnsi="Arial"/>
                <w:sz w:val="17"/>
              </w:rPr>
              <w:t>4</w:t>
            </w:r>
          </w:p>
        </w:tc>
        <w:tc>
          <w:tcPr>
            <w:tcW w:type="dxa" w:w="3600"/>
            <w:vAlign w:val="center"/>
            <w:tcMar>
              <w:top w:w="70" w:type="dxa"/>
              <w:start w:w="110" w:type="dxa"/>
              <w:bottom w:w="70" w:type="dxa"/>
              <w:end w:w="110" w:type="dxa"/>
            </w:tcMar>
            <w:shd w:fill="F4F6F7"/>
          </w:tcPr>
          <w:p>
            <w:pPr>
              <w:widowControl/>
              <w:spacing w:after="0"/>
            </w:pPr>
            <w:r>
              <w:rPr>
                <w:rFonts w:ascii="Arial" w:hAnsi="Arial"/>
                <w:sz w:val="17"/>
              </w:rPr>
              <w:t>8,333</w:t>
            </w:r>
          </w:p>
        </w:tc>
      </w:tr>
      <w:tr>
        <w:trPr>
          <w:cantSplit/>
        </w:trPr>
        <w:tc>
          <w:tcPr>
            <w:tcW w:type="dxa" w:w="1872"/>
            <w:vAlign w:val="center"/>
            <w:tcMar>
              <w:top w:w="70" w:type="dxa"/>
              <w:start w:w="110" w:type="dxa"/>
              <w:bottom w:w="70" w:type="dxa"/>
              <w:end w:w="110" w:type="dxa"/>
            </w:tcMar>
          </w:tcPr>
          <w:p>
            <w:pPr>
              <w:widowControl/>
              <w:spacing w:after="0"/>
            </w:pPr>
            <w:r>
              <w:rPr>
                <w:rFonts w:ascii="Arial" w:hAnsi="Arial"/>
                <w:sz w:val="17"/>
              </w:rPr>
              <w:t>5</w:t>
            </w:r>
          </w:p>
        </w:tc>
        <w:tc>
          <w:tcPr>
            <w:tcW w:type="dxa" w:w="3600"/>
            <w:vAlign w:val="center"/>
            <w:tcMar>
              <w:top w:w="70" w:type="dxa"/>
              <w:start w:w="110" w:type="dxa"/>
              <w:bottom w:w="70" w:type="dxa"/>
              <w:end w:w="110" w:type="dxa"/>
            </w:tcMar>
          </w:tcPr>
          <w:p>
            <w:pPr>
              <w:widowControl/>
              <w:spacing w:after="0"/>
            </w:pPr>
            <w:r>
              <w:rPr>
                <w:rFonts w:ascii="Arial" w:hAnsi="Arial"/>
                <w:sz w:val="17"/>
              </w:rPr>
              <w:t>10,416</w:t>
            </w:r>
          </w:p>
        </w:tc>
      </w:tr>
      <w:tr>
        <w:trPr>
          <w:cantSplit/>
        </w:trPr>
        <w:tc>
          <w:tcPr>
            <w:tcW w:type="dxa" w:w="1872"/>
            <w:vAlign w:val="center"/>
            <w:tcMar>
              <w:top w:w="70" w:type="dxa"/>
              <w:start w:w="110" w:type="dxa"/>
              <w:bottom w:w="70" w:type="dxa"/>
              <w:end w:w="110" w:type="dxa"/>
            </w:tcMar>
            <w:shd w:fill="F4F6F7"/>
          </w:tcPr>
          <w:p>
            <w:pPr>
              <w:widowControl/>
              <w:spacing w:after="0"/>
            </w:pPr>
            <w:r>
              <w:rPr>
                <w:rFonts w:ascii="Arial" w:hAnsi="Arial"/>
                <w:sz w:val="17"/>
              </w:rPr>
              <w:t>6</w:t>
            </w:r>
          </w:p>
        </w:tc>
        <w:tc>
          <w:tcPr>
            <w:tcW w:type="dxa" w:w="3600"/>
            <w:vAlign w:val="center"/>
            <w:tcMar>
              <w:top w:w="70" w:type="dxa"/>
              <w:start w:w="110" w:type="dxa"/>
              <w:bottom w:w="70" w:type="dxa"/>
              <w:end w:w="110" w:type="dxa"/>
            </w:tcMar>
            <w:shd w:fill="F4F6F7"/>
          </w:tcPr>
          <w:p>
            <w:pPr>
              <w:widowControl/>
              <w:spacing w:after="0"/>
            </w:pPr>
            <w:r>
              <w:rPr>
                <w:rFonts w:ascii="Arial" w:hAnsi="Arial"/>
                <w:sz w:val="17"/>
              </w:rPr>
              <w:t>12,500</w:t>
            </w:r>
          </w:p>
        </w:tc>
      </w:tr>
    </w:tbl>
    <w:p>
      <w:pPr>
        <w:widowControl/>
      </w:pPr>
      <w:r>
        <w:t>Starting in quota year seven, the quantity shall increase at a compounded annual growth rate of one percent for the subsequent 13 years. (c) Goods entered in aggregate quantities in excess of the quantities listed in subparagraph (b) shall continue to receive most favored nation tariff treatment. (d) This paragraph applies to the following Table 1 provisions: AG04061008, AG04061018, AG04061028, AG04061038, AG04061048, AG04061058, AG04061068, AG04061078, AG04061088, AG04062028, AG04062033, AG04062039, AG04062048, AG04062053, AG04062063, AG04062067, AG04062071, AG04062075, AG04062079, AG04062083, AG04062087, AG04062091, AG04063018, AG04063028, AG04063038, AG04063048, AG04063053, AG04063063, AG04063067, AG04063071, AG04063075, AG04063079, AG04063083, AG04063087, AG04063091, AG04064070, AG04069012, AG04069018, AG04069032, AG04069037, AG04069042, AG04069048, AG04069054, AG04069068, AG04069074, AG04069078, AG04069084, AG04069088, AG04069092, AG04069094, AG04069097, and AG19019036. 10.</w:t>
      </w:r>
    </w:p>
    <w:p>
      <w:pPr>
        <w:widowControl/>
      </w:pPr>
      <w:r>
        <w:rPr>
          <w:b w:val="0"/>
        </w:rPr>
        <w:t>TRQ – US 5: Whole Milk Powder (a) This paragraph sets out a country-specific TRQ for the originating goods of Canada described in subparagraph (d). The TRQ set out in this paragraph is designated in Appendix 1 of the Schedule of the United States to Annex 2-B (Tariff Commitments) with the designation “US 5”. (b) The aggregate quantity of originating goods of Canada described in subparagraph (d) that shall be permitted to enter free of duty in each quota year under this TRQ is:</w:t>
      </w:r>
    </w:p>
    <w:tbl>
      <w:tblPr>
        <w:tblStyle w:val="TableGrid"/>
        <w:tblW w:type="auto" w:w="0"/>
        <w:jc w:val="center"/>
        <w:tblLayout w:type="autofit"/>
        <w:tblLook w:firstColumn="1" w:firstRow="1" w:lastColumn="0" w:lastRow="0" w:noHBand="0" w:noVBand="1" w:val="04A0"/>
      </w:tblPr>
      <w:tblGrid>
        <w:gridCol w:w="4680"/>
        <w:gridCol w:w="4680"/>
      </w:tblGrid>
      <w:tr>
        <w:trPr>
          <w:tblHeader w:val="true"/>
          <w:cantSplit/>
          <w:tblHeader w:val="true"/>
        </w:trPr>
        <w:tc>
          <w:tcPr>
            <w:tcW w:type="dxa" w:w="4680"/>
            <w:shd w:fill="233746"/>
          </w:tcPr>
          <w:p>
            <w:pPr>
              <w:spacing w:after="0"/>
            </w:pPr>
            <w:r>
              <w:rPr>
                <w:rFonts w:ascii="Arial" w:hAnsi="Arial"/>
                <w:b/>
                <w:color w:val="FFFFFF"/>
                <w:sz w:val="17"/>
              </w:rPr>
              <w:t>Quota Year</w:t>
            </w:r>
          </w:p>
        </w:tc>
        <w:tc>
          <w:tcPr>
            <w:tcW w:type="dxa" w:w="4680"/>
            <w:shd w:fill="233746"/>
          </w:tcPr>
          <w:p>
            <w:pPr>
              <w:spacing w:after="0"/>
            </w:pPr>
            <w:r>
              <w:rPr>
                <w:rFonts w:ascii="Arial" w:hAnsi="Arial"/>
                <w:b/>
                <w:color w:val="FFFFFF"/>
                <w:sz w:val="17"/>
              </w:rPr>
              <w:t>Aggregate Quantity (MT)</w:t>
            </w:r>
          </w:p>
        </w:tc>
      </w:tr>
      <w:tr>
        <w:tc>
          <w:tcPr>
            <w:tcW w:type="dxa" w:w="4680"/>
            <w:tcMar>
              <w:top w:w="70" w:type="dxa"/>
              <w:start w:w="110" w:type="dxa"/>
              <w:bottom w:w="70" w:type="dxa"/>
              <w:end w:w="110" w:type="dxa"/>
            </w:tcMar>
          </w:tcPr>
          <w:p>
            <w:pPr>
              <w:widowControl/>
              <w:spacing w:after="0"/>
            </w:pPr>
            <w:r>
              <w:rPr>
                <w:rFonts w:ascii="Arial" w:hAnsi="Arial"/>
                <w:sz w:val="17"/>
              </w:rPr>
              <w:t>1</w:t>
            </w:r>
          </w:p>
        </w:tc>
        <w:tc>
          <w:tcPr>
            <w:tcW w:type="dxa" w:w="4680"/>
            <w:tcMar>
              <w:top w:w="70" w:type="dxa"/>
              <w:start w:w="110" w:type="dxa"/>
              <w:bottom w:w="70" w:type="dxa"/>
              <w:end w:w="110" w:type="dxa"/>
            </w:tcMar>
          </w:tcPr>
          <w:p>
            <w:pPr>
              <w:widowControl/>
              <w:spacing w:after="0"/>
            </w:pPr>
            <w:r>
              <w:rPr>
                <w:rFonts w:ascii="Arial" w:hAnsi="Arial"/>
                <w:sz w:val="17"/>
              </w:rPr>
              <w:t>115</w:t>
            </w:r>
          </w:p>
        </w:tc>
      </w:tr>
      <w:tr>
        <w:tc>
          <w:tcPr>
            <w:tcW w:type="dxa" w:w="4680"/>
            <w:tcMar>
              <w:top w:w="70" w:type="dxa"/>
              <w:start w:w="110" w:type="dxa"/>
              <w:bottom w:w="70" w:type="dxa"/>
              <w:end w:w="110" w:type="dxa"/>
            </w:tcMar>
            <w:shd w:fill="F4F6F7"/>
          </w:tcPr>
          <w:p>
            <w:pPr>
              <w:widowControl/>
              <w:spacing w:after="0"/>
            </w:pPr>
            <w:r>
              <w:rPr>
                <w:rFonts w:ascii="Arial" w:hAnsi="Arial"/>
                <w:sz w:val="17"/>
              </w:rPr>
              <w:t>2</w:t>
            </w:r>
          </w:p>
        </w:tc>
        <w:tc>
          <w:tcPr>
            <w:tcW w:type="dxa" w:w="4680"/>
            <w:tcMar>
              <w:top w:w="70" w:type="dxa"/>
              <w:start w:w="110" w:type="dxa"/>
              <w:bottom w:w="70" w:type="dxa"/>
              <w:end w:w="110" w:type="dxa"/>
            </w:tcMar>
            <w:shd w:fill="F4F6F7"/>
          </w:tcPr>
          <w:p>
            <w:pPr>
              <w:widowControl/>
              <w:spacing w:after="0"/>
            </w:pPr>
            <w:r>
              <w:rPr>
                <w:rFonts w:ascii="Arial" w:hAnsi="Arial"/>
                <w:sz w:val="17"/>
              </w:rPr>
              <w:t>230</w:t>
            </w:r>
          </w:p>
        </w:tc>
      </w:tr>
      <w:tr>
        <w:tc>
          <w:tcPr>
            <w:tcW w:type="dxa" w:w="4680"/>
            <w:tcMar>
              <w:top w:w="70" w:type="dxa"/>
              <w:start w:w="110" w:type="dxa"/>
              <w:bottom w:w="70" w:type="dxa"/>
              <w:end w:w="110" w:type="dxa"/>
            </w:tcMar>
          </w:tcPr>
          <w:p>
            <w:pPr>
              <w:widowControl/>
              <w:spacing w:after="0"/>
            </w:pPr>
            <w:r>
              <w:rPr>
                <w:rFonts w:ascii="Arial" w:hAnsi="Arial"/>
                <w:sz w:val="17"/>
              </w:rPr>
              <w:t>3</w:t>
            </w:r>
          </w:p>
        </w:tc>
        <w:tc>
          <w:tcPr>
            <w:tcW w:type="dxa" w:w="4680"/>
            <w:tcMar>
              <w:top w:w="70" w:type="dxa"/>
              <w:start w:w="110" w:type="dxa"/>
              <w:bottom w:w="70" w:type="dxa"/>
              <w:end w:w="110" w:type="dxa"/>
            </w:tcMar>
          </w:tcPr>
          <w:p>
            <w:pPr>
              <w:widowControl/>
              <w:spacing w:after="0"/>
            </w:pPr>
            <w:r>
              <w:rPr>
                <w:rFonts w:ascii="Arial" w:hAnsi="Arial"/>
                <w:sz w:val="17"/>
              </w:rPr>
              <w:t>345</w:t>
            </w:r>
          </w:p>
        </w:tc>
      </w:tr>
      <w:tr>
        <w:tc>
          <w:tcPr>
            <w:tcW w:type="dxa" w:w="4680"/>
            <w:tcMar>
              <w:top w:w="70" w:type="dxa"/>
              <w:start w:w="110" w:type="dxa"/>
              <w:bottom w:w="70" w:type="dxa"/>
              <w:end w:w="110" w:type="dxa"/>
            </w:tcMar>
            <w:shd w:fill="F4F6F7"/>
          </w:tcPr>
          <w:p>
            <w:pPr>
              <w:widowControl/>
              <w:spacing w:after="0"/>
            </w:pPr>
            <w:r>
              <w:rPr>
                <w:rFonts w:ascii="Arial" w:hAnsi="Arial"/>
                <w:sz w:val="17"/>
              </w:rPr>
              <w:t>4</w:t>
            </w:r>
          </w:p>
        </w:tc>
        <w:tc>
          <w:tcPr>
            <w:tcW w:type="dxa" w:w="4680"/>
            <w:tcMar>
              <w:top w:w="70" w:type="dxa"/>
              <w:start w:w="110" w:type="dxa"/>
              <w:bottom w:w="70" w:type="dxa"/>
              <w:end w:w="110" w:type="dxa"/>
            </w:tcMar>
            <w:shd w:fill="F4F6F7"/>
          </w:tcPr>
          <w:p>
            <w:pPr>
              <w:widowControl/>
              <w:spacing w:after="0"/>
            </w:pPr>
            <w:r>
              <w:rPr>
                <w:rFonts w:ascii="Arial" w:hAnsi="Arial"/>
                <w:sz w:val="17"/>
              </w:rPr>
              <w:t>460</w:t>
            </w:r>
          </w:p>
        </w:tc>
      </w:tr>
      <w:tr>
        <w:tc>
          <w:tcPr>
            <w:tcW w:type="dxa" w:w="4680"/>
            <w:tcMar>
              <w:top w:w="70" w:type="dxa"/>
              <w:start w:w="110" w:type="dxa"/>
              <w:bottom w:w="70" w:type="dxa"/>
              <w:end w:w="110" w:type="dxa"/>
            </w:tcMar>
          </w:tcPr>
          <w:p>
            <w:pPr>
              <w:widowControl/>
              <w:spacing w:after="0"/>
            </w:pPr>
            <w:r>
              <w:rPr>
                <w:rFonts w:ascii="Arial" w:hAnsi="Arial"/>
                <w:sz w:val="17"/>
              </w:rPr>
              <w:t>5</w:t>
            </w:r>
          </w:p>
        </w:tc>
        <w:tc>
          <w:tcPr>
            <w:tcW w:type="dxa" w:w="4680"/>
            <w:tcMar>
              <w:top w:w="70" w:type="dxa"/>
              <w:start w:w="110" w:type="dxa"/>
              <w:bottom w:w="70" w:type="dxa"/>
              <w:end w:w="110" w:type="dxa"/>
            </w:tcMar>
          </w:tcPr>
          <w:p>
            <w:pPr>
              <w:widowControl/>
              <w:spacing w:after="0"/>
            </w:pPr>
            <w:r>
              <w:rPr>
                <w:rFonts w:ascii="Arial" w:hAnsi="Arial"/>
                <w:sz w:val="17"/>
              </w:rPr>
              <w:t>575</w:t>
            </w:r>
          </w:p>
        </w:tc>
      </w:tr>
      <w:tr>
        <w:tc>
          <w:tcPr>
            <w:tcW w:type="dxa" w:w="4680"/>
            <w:tcMar>
              <w:top w:w="70" w:type="dxa"/>
              <w:start w:w="110" w:type="dxa"/>
              <w:bottom w:w="70" w:type="dxa"/>
              <w:end w:w="110" w:type="dxa"/>
            </w:tcMar>
            <w:shd w:fill="F4F6F7"/>
          </w:tcPr>
          <w:p>
            <w:pPr>
              <w:widowControl/>
              <w:spacing w:after="0"/>
            </w:pPr>
            <w:r>
              <w:rPr>
                <w:rFonts w:ascii="Arial" w:hAnsi="Arial"/>
                <w:sz w:val="17"/>
              </w:rPr>
              <w:t>6</w:t>
            </w:r>
          </w:p>
        </w:tc>
        <w:tc>
          <w:tcPr>
            <w:tcW w:type="dxa" w:w="4680"/>
            <w:tcMar>
              <w:top w:w="70" w:type="dxa"/>
              <w:start w:w="110" w:type="dxa"/>
              <w:bottom w:w="70" w:type="dxa"/>
              <w:end w:w="110" w:type="dxa"/>
            </w:tcMar>
            <w:shd w:fill="F4F6F7"/>
          </w:tcPr>
          <w:p>
            <w:pPr>
              <w:widowControl/>
              <w:spacing w:after="0"/>
            </w:pPr>
            <w:r>
              <w:rPr>
                <w:rFonts w:ascii="Arial" w:hAnsi="Arial"/>
                <w:sz w:val="17"/>
              </w:rPr>
              <w:t>690</w:t>
            </w:r>
          </w:p>
        </w:tc>
      </w:tr>
    </w:tbl>
    <w:p>
      <w:pPr>
        <w:widowControl/>
      </w:pPr>
      <w:r>
        <w:rPr>
          <w:b w:val="0"/>
        </w:rPr>
        <w:t>Starting in quota year seven, the quantity shall increase at a compounded annual growth rate of one percent for the subsequent 13 years. (c) Goods entered in aggregate quantities in excess of the quantities listed in subparagraph (b) shall continue to receive most favored nation tariff treatment. (d) This paragraph applies to the following Table 1 provisions: AG04022150, AG04022950, AG23099028, and AG23099048. 11. TRQ – US 6:</w:t>
      </w:r>
    </w:p>
    <w:p>
      <w:pPr>
        <w:pStyle w:val="Normal"/>
        <w:widowControl/>
        <w:rPr/>
      </w:pPr>
      <w:r>
        <w:rPr/>
        <w:t>Dried Yogurt, Sour Cream, Whey, and Products of Milk Constituents (a) This paragraph sets out a country-specific TRQ for the originating goods of Canada described in subparagraph (e). The TRQ set out in this paragraph is designated in Appendix 1 of the Schedule of the United States to Annex 2-B (Tariff Commitments) with the designation “US 6”.</w:t>
      </w:r>
    </w:p>
    <w:p>
      <w:pPr>
        <w:widowControl/>
      </w:pPr>
      <w:r>
        <w:t>(b) The aggregate quantity of originating goods of Canada described in subparagraph (e) that shall be permitted to enter free of duty in each quota year under this TRQ is:</w:t>
      </w:r>
    </w:p>
    <w:tbl>
      <w:tblPr>
        <w:tblStyle w:val="TableGrid"/>
        <w:tblW w:type="auto" w:w="0"/>
        <w:jc w:val="center"/>
        <w:tblLayout w:type="autofit"/>
        <w:tblLook w:firstColumn="1" w:firstRow="1" w:lastColumn="0" w:lastRow="0" w:noHBand="0" w:noVBand="1" w:val="04A0"/>
      </w:tblPr>
      <w:tblGrid>
        <w:gridCol w:w="4680"/>
        <w:gridCol w:w="4680"/>
      </w:tblGrid>
      <w:tr>
        <w:trPr>
          <w:tblHeader w:val="true"/>
          <w:cantSplit/>
          <w:tblHeader w:val="true"/>
        </w:trPr>
        <w:tc>
          <w:tcPr>
            <w:tcW w:type="dxa" w:w="1872"/>
            <w:vAlign w:val="center"/>
            <w:shd w:fill="233746"/>
          </w:tcPr>
          <w:p>
            <w:pPr>
              <w:spacing w:after="0"/>
            </w:pPr>
            <w:r>
              <w:rPr>
                <w:rFonts w:ascii="Arial" w:hAnsi="Arial"/>
                <w:b/>
                <w:color w:val="FFFFFF"/>
                <w:sz w:val="17"/>
              </w:rPr>
              <w:t>Quota Year</w:t>
            </w:r>
          </w:p>
        </w:tc>
        <w:tc>
          <w:tcPr>
            <w:tcW w:type="dxa" w:w="3600"/>
            <w:vAlign w:val="center"/>
            <w:shd w:fill="233746"/>
          </w:tcPr>
          <w:p>
            <w:pPr>
              <w:spacing w:after="0"/>
            </w:pPr>
            <w:r>
              <w:rPr>
                <w:rFonts w:ascii="Arial" w:hAnsi="Arial"/>
                <w:b/>
                <w:color w:val="FFFFFF"/>
                <w:sz w:val="17"/>
              </w:rPr>
              <w:t>Aggregate Quantity (MT)</w:t>
            </w:r>
          </w:p>
        </w:tc>
      </w:tr>
      <w:tr>
        <w:trPr>
          <w:cantSplit/>
        </w:trPr>
        <w:tc>
          <w:tcPr>
            <w:tcW w:type="dxa" w:w="1872"/>
            <w:vAlign w:val="center"/>
            <w:tcMar>
              <w:top w:w="70" w:type="dxa"/>
              <w:start w:w="110" w:type="dxa"/>
              <w:bottom w:w="70" w:type="dxa"/>
              <w:end w:w="110" w:type="dxa"/>
            </w:tcMar>
          </w:tcPr>
          <w:p>
            <w:pPr>
              <w:widowControl/>
              <w:spacing w:after="0"/>
            </w:pPr>
            <w:r>
              <w:rPr>
                <w:rFonts w:ascii="Arial" w:hAnsi="Arial"/>
                <w:sz w:val="17"/>
              </w:rPr>
              <w:t>1</w:t>
            </w:r>
          </w:p>
        </w:tc>
        <w:tc>
          <w:tcPr>
            <w:tcW w:type="dxa" w:w="3600"/>
            <w:vAlign w:val="center"/>
            <w:tcMar>
              <w:top w:w="70" w:type="dxa"/>
              <w:start w:w="110" w:type="dxa"/>
              <w:bottom w:w="70" w:type="dxa"/>
              <w:end w:w="110" w:type="dxa"/>
            </w:tcMar>
          </w:tcPr>
          <w:p>
            <w:pPr>
              <w:widowControl/>
              <w:spacing w:after="0"/>
            </w:pPr>
            <w:r>
              <w:rPr>
                <w:rFonts w:ascii="Arial" w:hAnsi="Arial"/>
                <w:sz w:val="17"/>
              </w:rPr>
              <w:t>1,838</w:t>
            </w:r>
          </w:p>
        </w:tc>
      </w:tr>
      <w:tr>
        <w:trPr>
          <w:cantSplit/>
        </w:trPr>
        <w:tc>
          <w:tcPr>
            <w:tcW w:type="dxa" w:w="1872"/>
            <w:vAlign w:val="center"/>
            <w:tcMar>
              <w:top w:w="70" w:type="dxa"/>
              <w:start w:w="110" w:type="dxa"/>
              <w:bottom w:w="70" w:type="dxa"/>
              <w:end w:w="110" w:type="dxa"/>
            </w:tcMar>
            <w:shd w:fill="F4F6F7"/>
          </w:tcPr>
          <w:p>
            <w:pPr>
              <w:widowControl/>
              <w:spacing w:after="0"/>
            </w:pPr>
            <w:r>
              <w:rPr>
                <w:rFonts w:ascii="Arial" w:hAnsi="Arial"/>
                <w:sz w:val="17"/>
              </w:rPr>
              <w:t>2</w:t>
            </w:r>
          </w:p>
        </w:tc>
        <w:tc>
          <w:tcPr>
            <w:tcW w:type="dxa" w:w="3600"/>
            <w:vAlign w:val="center"/>
            <w:tcMar>
              <w:top w:w="70" w:type="dxa"/>
              <w:start w:w="110" w:type="dxa"/>
              <w:bottom w:w="70" w:type="dxa"/>
              <w:end w:w="110" w:type="dxa"/>
            </w:tcMar>
            <w:shd w:fill="F4F6F7"/>
          </w:tcPr>
          <w:p>
            <w:pPr>
              <w:widowControl/>
              <w:spacing w:after="0"/>
            </w:pPr>
            <w:r>
              <w:rPr>
                <w:rFonts w:ascii="Arial" w:hAnsi="Arial"/>
                <w:sz w:val="17"/>
              </w:rPr>
              <w:t>3,677</w:t>
            </w:r>
          </w:p>
        </w:tc>
      </w:tr>
      <w:tr>
        <w:trPr>
          <w:cantSplit/>
        </w:trPr>
        <w:tc>
          <w:tcPr>
            <w:tcW w:type="dxa" w:w="1872"/>
            <w:vAlign w:val="center"/>
            <w:tcMar>
              <w:top w:w="70" w:type="dxa"/>
              <w:start w:w="110" w:type="dxa"/>
              <w:bottom w:w="70" w:type="dxa"/>
              <w:end w:w="110" w:type="dxa"/>
            </w:tcMar>
          </w:tcPr>
          <w:p>
            <w:pPr>
              <w:widowControl/>
              <w:spacing w:after="0"/>
            </w:pPr>
            <w:r>
              <w:rPr>
                <w:rFonts w:ascii="Arial" w:hAnsi="Arial"/>
                <w:sz w:val="17"/>
              </w:rPr>
              <w:t>3</w:t>
            </w:r>
          </w:p>
        </w:tc>
        <w:tc>
          <w:tcPr>
            <w:tcW w:type="dxa" w:w="3600"/>
            <w:vAlign w:val="center"/>
            <w:tcMar>
              <w:top w:w="70" w:type="dxa"/>
              <w:start w:w="110" w:type="dxa"/>
              <w:bottom w:w="70" w:type="dxa"/>
              <w:end w:w="110" w:type="dxa"/>
            </w:tcMar>
          </w:tcPr>
          <w:p>
            <w:pPr>
              <w:widowControl/>
              <w:spacing w:after="0"/>
            </w:pPr>
            <w:r>
              <w:rPr>
                <w:rFonts w:ascii="Arial" w:hAnsi="Arial"/>
                <w:sz w:val="17"/>
              </w:rPr>
              <w:t>5,515</w:t>
            </w:r>
          </w:p>
        </w:tc>
      </w:tr>
      <w:tr>
        <w:trPr>
          <w:cantSplit/>
        </w:trPr>
        <w:tc>
          <w:tcPr>
            <w:tcW w:type="dxa" w:w="1872"/>
            <w:vAlign w:val="center"/>
            <w:tcMar>
              <w:top w:w="70" w:type="dxa"/>
              <w:start w:w="110" w:type="dxa"/>
              <w:bottom w:w="70" w:type="dxa"/>
              <w:end w:w="110" w:type="dxa"/>
            </w:tcMar>
            <w:shd w:fill="F4F6F7"/>
          </w:tcPr>
          <w:p>
            <w:pPr>
              <w:widowControl/>
              <w:spacing w:after="0"/>
            </w:pPr>
            <w:r>
              <w:rPr>
                <w:rFonts w:ascii="Arial" w:hAnsi="Arial"/>
                <w:sz w:val="17"/>
              </w:rPr>
              <w:t>4</w:t>
            </w:r>
          </w:p>
        </w:tc>
        <w:tc>
          <w:tcPr>
            <w:tcW w:type="dxa" w:w="3600"/>
            <w:vAlign w:val="center"/>
            <w:tcMar>
              <w:top w:w="70" w:type="dxa"/>
              <w:start w:w="110" w:type="dxa"/>
              <w:bottom w:w="70" w:type="dxa"/>
              <w:end w:w="110" w:type="dxa"/>
            </w:tcMar>
            <w:shd w:fill="F4F6F7"/>
          </w:tcPr>
          <w:p>
            <w:pPr>
              <w:widowControl/>
              <w:spacing w:after="0"/>
            </w:pPr>
            <w:r>
              <w:rPr>
                <w:rFonts w:ascii="Arial" w:hAnsi="Arial"/>
                <w:sz w:val="17"/>
              </w:rPr>
              <w:t>7,353</w:t>
            </w:r>
          </w:p>
        </w:tc>
      </w:tr>
      <w:tr>
        <w:trPr>
          <w:cantSplit/>
        </w:trPr>
        <w:tc>
          <w:tcPr>
            <w:tcW w:type="dxa" w:w="1872"/>
            <w:vAlign w:val="center"/>
            <w:tcMar>
              <w:top w:w="70" w:type="dxa"/>
              <w:start w:w="110" w:type="dxa"/>
              <w:bottom w:w="70" w:type="dxa"/>
              <w:end w:w="110" w:type="dxa"/>
            </w:tcMar>
          </w:tcPr>
          <w:p>
            <w:pPr>
              <w:widowControl/>
              <w:spacing w:after="0"/>
            </w:pPr>
            <w:r>
              <w:rPr>
                <w:rFonts w:ascii="Arial" w:hAnsi="Arial"/>
                <w:sz w:val="17"/>
              </w:rPr>
              <w:t>5</w:t>
            </w:r>
          </w:p>
        </w:tc>
        <w:tc>
          <w:tcPr>
            <w:tcW w:type="dxa" w:w="3600"/>
            <w:vAlign w:val="center"/>
            <w:tcMar>
              <w:top w:w="70" w:type="dxa"/>
              <w:start w:w="110" w:type="dxa"/>
              <w:bottom w:w="70" w:type="dxa"/>
              <w:end w:w="110" w:type="dxa"/>
            </w:tcMar>
          </w:tcPr>
          <w:p>
            <w:pPr>
              <w:widowControl/>
              <w:spacing w:after="0"/>
            </w:pPr>
            <w:r>
              <w:rPr>
                <w:rFonts w:ascii="Arial" w:hAnsi="Arial"/>
                <w:sz w:val="17"/>
              </w:rPr>
              <w:t>11,030</w:t>
            </w:r>
          </w:p>
        </w:tc>
      </w:tr>
    </w:tbl>
    <w:p>
      <w:pPr>
        <w:widowControl/>
      </w:pPr>
      <w:r>
        <w:t>Starting in quota year seven, the quantity shall increase at a compounded annual growth rate of one percent for the subsequent 13 years. (c) With respect to goods described in subparagraph (e) entered in quantities in excess of the quantities listed in subparagraph (b), for those goods provided for in: (i) Table 1 provisions AG04041015 and AG04041090, duties shall be removed in accordance with the provisions of staging category B11 in the General Notes to the Schedule of the United States to Annex 2-B (Tariff Commitments), and (ii) any other Table 1 provision described in subparagraph (e) shall continue to receive most favored nation tariff treatment. (d) Starting on January 1 of quota year 11, originating goods of Canada provided for in Table 1 provisions AG04041015 and AG04041090 shall not count towards the quantities specified in subparagraph (b).</w:t>
      </w:r>
    </w:p>
    <w:p>
      <w:pPr>
        <w:pStyle w:val="Normal"/>
        <w:widowControl/>
        <w:rPr/>
      </w:pPr>
      <w:r>
        <w:rPr/>
        <w:t>(e) This paragraph applies to the following Table 1 provisions: AG04031050, AG04039045, AG04039055, AG04039095, AG04041015, AG04041090, and AG04049050. 12. TRQ – US 7: Concentrated Milk (a) This paragraph sets out a country-specific TRQ for the originating goods of Canada described in subparagraph (d).</w:t>
      </w:r>
    </w:p>
    <w:p>
      <w:pPr>
        <w:widowControl/>
      </w:pPr>
      <w:r>
        <w:t>The TRQ set out in this paragraph is designated in Appendix 1 of the Schedule of the United States to Annex 2-B (Tariff Commitments) with the designation “US 7”. (b) The aggregate quantity of originating goods of Canada described in subparagraph (d) that shall be permitted to enter free of duty in each quota year under this TRQ is:</w:t>
      </w:r>
    </w:p>
    <w:tbl>
      <w:tblPr>
        <w:tblStyle w:val="TableGrid"/>
        <w:tblW w:type="auto" w:w="0"/>
        <w:jc w:val="center"/>
        <w:tblLayout w:type="autofit"/>
        <w:tblLook w:firstColumn="1" w:firstRow="1" w:lastColumn="0" w:lastRow="0" w:noHBand="0" w:noVBand="1" w:val="04A0"/>
      </w:tblPr>
      <w:tblGrid>
        <w:gridCol w:w="4680"/>
        <w:gridCol w:w="4680"/>
      </w:tblGrid>
      <w:tr>
        <w:trPr>
          <w:tblHeader w:val="true"/>
          <w:cantSplit/>
          <w:tblHeader w:val="true"/>
        </w:trPr>
        <w:tc>
          <w:tcPr>
            <w:tcW w:type="dxa" w:w="1872"/>
            <w:vAlign w:val="center"/>
            <w:shd w:fill="233746"/>
          </w:tcPr>
          <w:p>
            <w:pPr>
              <w:spacing w:after="0"/>
            </w:pPr>
            <w:r>
              <w:rPr>
                <w:rFonts w:ascii="Arial" w:hAnsi="Arial"/>
                <w:b/>
                <w:color w:val="FFFFFF"/>
                <w:sz w:val="17"/>
              </w:rPr>
              <w:t>Quota Year</w:t>
            </w:r>
          </w:p>
        </w:tc>
        <w:tc>
          <w:tcPr>
            <w:tcW w:type="dxa" w:w="3600"/>
            <w:vAlign w:val="center"/>
            <w:shd w:fill="233746"/>
          </w:tcPr>
          <w:p>
            <w:pPr>
              <w:spacing w:after="0"/>
            </w:pPr>
            <w:r>
              <w:rPr>
                <w:rFonts w:ascii="Arial" w:hAnsi="Arial"/>
                <w:b/>
                <w:color w:val="FFFFFF"/>
                <w:sz w:val="17"/>
              </w:rPr>
              <w:t>Aggregate Quantity (MT)</w:t>
            </w:r>
          </w:p>
        </w:tc>
      </w:tr>
      <w:tr>
        <w:trPr>
          <w:cantSplit/>
        </w:trPr>
        <w:tc>
          <w:tcPr>
            <w:tcW w:type="dxa" w:w="1872"/>
            <w:vAlign w:val="center"/>
            <w:tcMar>
              <w:top w:w="70" w:type="dxa"/>
              <w:start w:w="110" w:type="dxa"/>
              <w:bottom w:w="70" w:type="dxa"/>
              <w:end w:w="110" w:type="dxa"/>
            </w:tcMar>
          </w:tcPr>
          <w:p>
            <w:pPr>
              <w:widowControl/>
              <w:spacing w:after="0"/>
            </w:pPr>
            <w:r>
              <w:rPr>
                <w:rFonts w:ascii="Arial" w:hAnsi="Arial"/>
                <w:sz w:val="17"/>
              </w:rPr>
              <w:t>1</w:t>
            </w:r>
          </w:p>
        </w:tc>
        <w:tc>
          <w:tcPr>
            <w:tcW w:type="dxa" w:w="3600"/>
            <w:vAlign w:val="center"/>
            <w:tcMar>
              <w:top w:w="70" w:type="dxa"/>
              <w:start w:w="110" w:type="dxa"/>
              <w:bottom w:w="70" w:type="dxa"/>
              <w:end w:w="110" w:type="dxa"/>
            </w:tcMar>
          </w:tcPr>
          <w:p>
            <w:pPr>
              <w:widowControl/>
              <w:spacing w:after="0"/>
            </w:pPr>
            <w:r>
              <w:rPr>
                <w:rFonts w:ascii="Arial" w:hAnsi="Arial"/>
                <w:sz w:val="17"/>
              </w:rPr>
              <w:t>1,150</w:t>
            </w:r>
          </w:p>
        </w:tc>
      </w:tr>
      <w:tr>
        <w:trPr>
          <w:cantSplit/>
        </w:trPr>
        <w:tc>
          <w:tcPr>
            <w:tcW w:type="dxa" w:w="1872"/>
            <w:vAlign w:val="center"/>
            <w:tcMar>
              <w:top w:w="70" w:type="dxa"/>
              <w:start w:w="110" w:type="dxa"/>
              <w:bottom w:w="70" w:type="dxa"/>
              <w:end w:w="110" w:type="dxa"/>
            </w:tcMar>
            <w:shd w:fill="F4F6F7"/>
          </w:tcPr>
          <w:p>
            <w:pPr>
              <w:widowControl/>
              <w:spacing w:after="0"/>
            </w:pPr>
            <w:r>
              <w:rPr>
                <w:rFonts w:ascii="Arial" w:hAnsi="Arial"/>
                <w:sz w:val="17"/>
              </w:rPr>
              <w:t>2</w:t>
            </w:r>
          </w:p>
        </w:tc>
        <w:tc>
          <w:tcPr>
            <w:tcW w:type="dxa" w:w="3600"/>
            <w:vAlign w:val="center"/>
            <w:tcMar>
              <w:top w:w="70" w:type="dxa"/>
              <w:start w:w="110" w:type="dxa"/>
              <w:bottom w:w="70" w:type="dxa"/>
              <w:end w:w="110" w:type="dxa"/>
            </w:tcMar>
            <w:shd w:fill="F4F6F7"/>
          </w:tcPr>
          <w:p>
            <w:pPr>
              <w:widowControl/>
              <w:spacing w:after="0"/>
            </w:pPr>
            <w:r>
              <w:rPr>
                <w:rFonts w:ascii="Arial" w:hAnsi="Arial"/>
                <w:sz w:val="17"/>
              </w:rPr>
              <w:t>1,380</w:t>
            </w:r>
          </w:p>
        </w:tc>
      </w:tr>
    </w:tbl>
    <w:p>
      <w:pPr>
        <w:widowControl/>
      </w:pPr>
      <w:r>
        <w:t>Starting in quota year seven, the quantity shall increase at a compounded annual growth rate of one percent for the subsequent 13 years. (c) Goods entered in aggregate quantities in excess of the quantities listed in subparagraph (b) shall continue to receive MFN tariff treatment. (d) This paragraph applies to the following Table 1 provisions: AG04029170, AG04029190, AG04029945, AG04029955, and AG04029990. 13. TRQ – US 8: Other Dairy (a) This paragraph sets out a country-specific TRQ for the originating goods of Canada described in subparagraph (e).</w:t>
      </w:r>
    </w:p>
    <w:p>
      <w:pPr>
        <w:widowControl/>
      </w:pPr>
      <w:r>
        <w:t>The TRQ set out in this paragraph is designated in Appendix 1 of the Schedule of the United States to Annex 2-B (Tariff Commitments) with the designation “US 8”. (b) The aggregate quantity of originating goods of Canada described in subparagraph (e) that shall be permitted to enter free of duty in each quota year under this TRQ is:</w:t>
      </w:r>
    </w:p>
    <w:tbl>
      <w:tblPr>
        <w:tblStyle w:val="TableGrid"/>
        <w:tblW w:type="auto" w:w="0"/>
        <w:jc w:val="center"/>
        <w:tblLayout w:type="autofit"/>
        <w:tblLook w:firstColumn="1" w:firstRow="1" w:lastColumn="0" w:lastRow="0" w:noHBand="0" w:noVBand="1" w:val="04A0"/>
      </w:tblPr>
      <w:tblGrid>
        <w:gridCol w:w="4680"/>
        <w:gridCol w:w="4680"/>
      </w:tblGrid>
      <w:tr>
        <w:trPr>
          <w:tblHeader w:val="true"/>
          <w:cantSplit/>
          <w:tblHeader w:val="true"/>
        </w:trPr>
        <w:tc>
          <w:tcPr>
            <w:tcW w:type="dxa" w:w="1872"/>
            <w:vAlign w:val="center"/>
            <w:shd w:fill="233746"/>
          </w:tcPr>
          <w:p>
            <w:pPr>
              <w:spacing w:after="0"/>
            </w:pPr>
            <w:r>
              <w:rPr>
                <w:rFonts w:ascii="Arial" w:hAnsi="Arial"/>
                <w:b/>
                <w:color w:val="FFFFFF"/>
                <w:sz w:val="17"/>
              </w:rPr>
              <w:t>Quota Year</w:t>
            </w:r>
          </w:p>
        </w:tc>
        <w:tc>
          <w:tcPr>
            <w:tcW w:type="dxa" w:w="3600"/>
            <w:vAlign w:val="center"/>
            <w:shd w:fill="233746"/>
          </w:tcPr>
          <w:p>
            <w:pPr>
              <w:spacing w:after="0"/>
            </w:pPr>
            <w:r>
              <w:rPr>
                <w:rFonts w:ascii="Arial" w:hAnsi="Arial"/>
                <w:b/>
                <w:color w:val="FFFFFF"/>
                <w:sz w:val="17"/>
              </w:rPr>
              <w:t>Aggregate Quantity (MT)</w:t>
            </w:r>
          </w:p>
        </w:tc>
      </w:tr>
      <w:tr>
        <w:trPr>
          <w:cantSplit/>
        </w:trPr>
        <w:tc>
          <w:tcPr>
            <w:tcW w:type="dxa" w:w="1872"/>
            <w:vAlign w:val="center"/>
            <w:tcMar>
              <w:top w:w="70" w:type="dxa"/>
              <w:start w:w="110" w:type="dxa"/>
              <w:bottom w:w="70" w:type="dxa"/>
              <w:end w:w="110" w:type="dxa"/>
            </w:tcMar>
          </w:tcPr>
          <w:p>
            <w:pPr>
              <w:widowControl/>
              <w:spacing w:after="0"/>
            </w:pPr>
            <w:r>
              <w:rPr>
                <w:rFonts w:ascii="Arial" w:hAnsi="Arial"/>
                <w:sz w:val="17"/>
              </w:rPr>
              <w:t>1</w:t>
            </w:r>
          </w:p>
        </w:tc>
        <w:tc>
          <w:tcPr>
            <w:tcW w:type="dxa" w:w="3600"/>
            <w:vAlign w:val="center"/>
            <w:tcMar>
              <w:top w:w="70" w:type="dxa"/>
              <w:start w:w="110" w:type="dxa"/>
              <w:bottom w:w="70" w:type="dxa"/>
              <w:end w:w="110" w:type="dxa"/>
            </w:tcMar>
          </w:tcPr>
          <w:p>
            <w:pPr>
              <w:widowControl/>
              <w:spacing w:after="0"/>
            </w:pPr>
            <w:r>
              <w:rPr>
                <w:rFonts w:ascii="Arial" w:hAnsi="Arial"/>
                <w:sz w:val="17"/>
              </w:rPr>
              <w:t>1,267</w:t>
            </w:r>
          </w:p>
        </w:tc>
      </w:tr>
      <w:tr>
        <w:trPr>
          <w:cantSplit/>
        </w:trPr>
        <w:tc>
          <w:tcPr>
            <w:tcW w:type="dxa" w:w="1872"/>
            <w:vAlign w:val="center"/>
            <w:tcMar>
              <w:top w:w="70" w:type="dxa"/>
              <w:start w:w="110" w:type="dxa"/>
              <w:bottom w:w="70" w:type="dxa"/>
              <w:end w:w="110" w:type="dxa"/>
            </w:tcMar>
            <w:shd w:fill="F4F6F7"/>
          </w:tcPr>
          <w:p>
            <w:pPr>
              <w:widowControl/>
              <w:spacing w:after="0"/>
            </w:pPr>
            <w:r>
              <w:rPr>
                <w:rFonts w:ascii="Arial" w:hAnsi="Arial"/>
                <w:sz w:val="17"/>
              </w:rPr>
              <w:t>2</w:t>
            </w:r>
          </w:p>
        </w:tc>
        <w:tc>
          <w:tcPr>
            <w:tcW w:type="dxa" w:w="3600"/>
            <w:vAlign w:val="center"/>
            <w:tcMar>
              <w:top w:w="70" w:type="dxa"/>
              <w:start w:w="110" w:type="dxa"/>
              <w:bottom w:w="70" w:type="dxa"/>
              <w:end w:w="110" w:type="dxa"/>
            </w:tcMar>
            <w:shd w:fill="F4F6F7"/>
          </w:tcPr>
          <w:p>
            <w:pPr>
              <w:widowControl/>
              <w:spacing w:after="0"/>
            </w:pPr>
            <w:r>
              <w:rPr>
                <w:rFonts w:ascii="Arial" w:hAnsi="Arial"/>
                <w:sz w:val="17"/>
              </w:rPr>
              <w:t>1,583</w:t>
            </w:r>
          </w:p>
        </w:tc>
      </w:tr>
      <w:tr>
        <w:trPr>
          <w:cantSplit/>
        </w:trPr>
        <w:tc>
          <w:tcPr>
            <w:tcW w:type="dxa" w:w="1872"/>
            <w:vAlign w:val="center"/>
            <w:tcMar>
              <w:top w:w="70" w:type="dxa"/>
              <w:start w:w="110" w:type="dxa"/>
              <w:bottom w:w="70" w:type="dxa"/>
              <w:end w:w="110" w:type="dxa"/>
            </w:tcMar>
          </w:tcPr>
          <w:p>
            <w:pPr>
              <w:widowControl/>
              <w:spacing w:after="0"/>
            </w:pPr>
            <w:r>
              <w:rPr>
                <w:rFonts w:ascii="Arial" w:hAnsi="Arial"/>
                <w:sz w:val="17"/>
              </w:rPr>
              <w:t>3</w:t>
            </w:r>
          </w:p>
        </w:tc>
        <w:tc>
          <w:tcPr>
            <w:tcW w:type="dxa" w:w="3600"/>
            <w:vAlign w:val="center"/>
            <w:tcMar>
              <w:top w:w="70" w:type="dxa"/>
              <w:start w:w="110" w:type="dxa"/>
              <w:bottom w:w="70" w:type="dxa"/>
              <w:end w:w="110" w:type="dxa"/>
            </w:tcMar>
          </w:tcPr>
          <w:p>
            <w:pPr>
              <w:widowControl/>
              <w:spacing w:after="0"/>
            </w:pPr>
            <w:r>
              <w:rPr>
                <w:rFonts w:ascii="Arial" w:hAnsi="Arial"/>
                <w:sz w:val="17"/>
              </w:rPr>
              <w:t>1,900</w:t>
            </w:r>
          </w:p>
        </w:tc>
      </w:tr>
    </w:tbl>
    <w:p>
      <w:pPr>
        <w:widowControl/>
      </w:pPr>
      <w:r>
        <w:t>Starting in quota year seven, the quantity shall increase at a compounded annual growth rate of one percent for the subsequent 13 years.</w:t>
      </w:r>
    </w:p>
    <w:p>
      <w:pPr>
        <w:pStyle w:val="Normal"/>
        <w:widowControl/>
        <w:rPr/>
      </w:pPr>
      <w:r>
        <w:rPr/>
        <w:t>(c) With respect to goods described in subparagraph (e) entered in quantities in excess of the quantities listed in subparagraph (b), for those goods provided for in: (i) Table 1 provision AG15179060, duties shall be removed in accordance with the provisions of staging category B6 in the General Notes to the Schedule of the United States to Annex 2-B (Tariff Commitments), and (ii) any other Table 1 provision described in subparagraph (e) shall continue to receive most favored nation tariff treatment. (d) Starting on January 1 of quota year 6, originating goods of Canada provided for in Table 1 provision AG15179060 shall not count towards the quantities specified in subparagraph (b). (e) This paragraph applies to the following Table 1 provisions: AG15179060, AG17049058, AG18062026, AG18062028, AG18062036, AG18062038, AG18062082, AG18062083, AG18062087, AG18062089, AG18063206, AG18063208, AG18063216, AG18063218, AG18063270, AG18063280, AG18069008, AG18069010, AG18069018, AG18069020, AG18069028, AG18069030, AG19011016, AG19011026, AG19011036, AG19011044, AG19011056, AG19011066, AG19012015, AG19012050, AG19019062, AG19019065, AG21050040, AG21069009, AG21069066, and AG21069087. 14. TRQ – US 9: Sugar (a) This paragraph sets out a country-specific TRQ for the originating goods of Canada described in subparagraph (e).</w:t>
      </w:r>
    </w:p>
    <w:p>
      <w:pPr>
        <w:pStyle w:val="Normal"/>
        <w:widowControl/>
        <w:rPr/>
      </w:pPr>
      <w:r>
        <w:rPr/>
        <w:t>The TRQ set out in this paragraph is designated in Appendix 1 of the Schedule of the United States to Annex 2-B (Tariff Commitments) with the designation “US 9”. (b) The aggregate quantity of originating goods of Canada described in subparagraph (e) that shall be permitted to enter free of duty in each quota year under this TRQ is 9,600 MT. However, no quantity shall be permitted to enter free of duty unless wholly obtained from sugar beets produced in Canada.</w:t>
      </w:r>
    </w:p>
    <w:p>
      <w:pPr>
        <w:pStyle w:val="Normal"/>
        <w:widowControl/>
        <w:rPr/>
      </w:pPr>
      <w:r>
        <w:rPr/>
        <w:t>(c) In any year in which the United States Secretary of Agriculture (the Secretary) makes a determination to permit the importation into the United States at in-quota tariff rates of additional quantities of refined sugar, other than specialty sugar, above the quantities made available at those rates pursuant to its commitments under the WTO Agreement and other trade agreements, including this Agreement, that is to say, additional in-quota rate imports of refined sugar, the quantity set out for that year in subparagraph (b) shall increase by an amount equal to 20 percent of the quantity of additional in-quota rate imports of refined sugar that the Secretary determines to permit to enter into the United States in that year. Any increase pursuant to this subparagraph of a quantity set out in subparagraph (b) shall not take effect until the date on which the additional in-quota rate imports of refined sugar are permitted entry into the United States.</w:t>
      </w:r>
    </w:p>
    <w:p>
      <w:pPr>
        <w:pStyle w:val="Normal"/>
        <w:widowControl/>
        <w:rPr/>
      </w:pPr>
      <w:r>
        <w:rPr/>
        <w:t>Refined sugar imported pursuant to this subparagraph may be made from non-originating raw sugar. Nothing in this paragraph shall alter Canada’s rights under the WTO Agreement with respect to any increase by the United States of the quantities of refined sugar permitted to be imported above the quantities made available at in-quota tariff rates pursuant to its commitments under the WTO Agreement and other trade agreements, including this Agreement. (d) Goods entered in quantities in excess of the quantities provided under subparagraph (b) and, goods not wholly obtained from sugar beets produced in Canada, shall continue to receive most favored nation tariff treatment. (e) This paragraph applies to the following Table 1 provisions: AG17011250, AG17011350, AG17011450, AG17019130, AG17019950, and AG17029020. 15. TRQ – US 10: Sugar Containing Products (a) This paragraph sets out a country-specific TRQ for the originating goods of Canada described in subparagraph (g). The TRQ set out in this paragraph is designated in Appendix 1 of the Schedule of the United States to Annex 2-B (Tariff Commitments) with the designation “US 7”.</w:t>
      </w:r>
    </w:p>
    <w:p>
      <w:pPr>
        <w:pStyle w:val="Normal"/>
        <w:widowControl/>
        <w:rPr/>
      </w:pPr>
      <w:r>
        <w:rPr/>
        <w:t>(b) The aggregate quantity of originating goods of Canada described in subparagraph (g) that shall be permitted to enter free of duty in each quota year under this TRQ is 9,600 MT.</w:t>
      </w:r>
    </w:p>
    <w:p>
      <w:pPr>
        <w:pStyle w:val="Normal"/>
        <w:widowControl/>
        <w:rPr/>
      </w:pPr>
      <w:r>
        <w:rPr/>
        <w:t>(c) In any year for which Canada has provided the United States with a written notification in accordance with the terms of subparagraph (d) of Canada’s intent to require export certificates for the exportation of goods for import under this TRQ, the above quantity shall only be eligible for duty-free treatment if the U.S. importer makes a declaration to U.S. Customs and Border Protection (Customs), in the form and manner determined by Customs, that a valid export certificate issued by the Government of Canada is in effect for the goods. (d) Canada shall provide the United States with the notification referred to in subparagraph (c) at least 150 days prior to the start of each year in which Canada requires an export certificate for the exportation of goods for import under this TRQ. Canada shall provide the notification in writing to the U.S. Contact Point designated pursuant to Article 30.5 (Agreement Coordinator and Contact Points).</w:t>
      </w:r>
    </w:p>
    <w:p>
      <w:pPr>
        <w:pStyle w:val="Normal"/>
        <w:widowControl/>
        <w:rPr/>
      </w:pPr>
      <w:r>
        <w:rPr/>
        <w:t>(e) Goods entered within the quantity listed in subparagraph (b) that are provided for in Table 1 provisions AG17019148, AG17019158, AG17022028, AG17023028, AG17024028, AG17026028, AG17029058, AG17029068, AG18061015, AG18061028, and AG18061038 may be made from sugar refined in Canada. For the purposes of this subparagraph, refined means a change to a good of HS subheading 1701.91 or 1701.99 from any other subheading.</w:t>
      </w:r>
    </w:p>
    <w:p>
      <w:pPr>
        <w:pStyle w:val="Normal"/>
        <w:widowControl/>
        <w:rPr/>
      </w:pPr>
      <w:r>
        <w:rPr/>
        <w:t>(f) Goods entered in quantities in excess of the quantity listed in subparagraph (b) shall continue to receive MFN tariff treatment. (g) This paragraph applies to the following Table 1 provisions: AG17019148, AG17019158, AG17022028, AG17023028, AG17024028, AG17026028, AG17029058, AG17029068, AG17049068, AG17049078, AG18061015, AG18061028, AG18061038, AG18061055, AG18061075, AG18062073, AG18062077, AG18062094, AG18062098, AG18069039, AG18069049, AG18069059, AG19011076, AG19012025, AG19012035, AG19012060, AG19012070, AG19019068, AG19019071, AG21011238, AG21011248, AG21011258, AG21012038, AG21012048, AG21012058, AG21039078, AG21069046, AG21069072, AG21069076, AG21069080, AG21069091, AG21069094, and AG21069097. (h) Originating goods which last underwent production in Canada shall be considered eligible for this TRQ regardless of whether they qualify to be marked as a good of Canada pursuant to U.S. law.</w:t>
      </w:r>
    </w:p>
    <w:p>
      <w:pPr>
        <w:pStyle w:val="Normal"/>
        <w:widowControl/>
        <w:spacing w:before="0" w:after="160"/>
        <w:rPr/>
      </w:pPr>
      <w:r>
        <w:rPr/>
        <w:t>Table 1 Heading Article Description</w:t>
      </w:r>
    </w:p>
    <w:tbl>
      <w:tblPr>
        <w:tblStyle w:val="TableGrid"/>
        <w:tblW w:w="9360" w:type="dxa"/>
        <w:jc w:val="center"/>
        <w:tblInd w:w="-28" w:type="dxa"/>
        <w:tblLayout w:type="autofit"/>
        <w:tblCellMar>
          <w:top w:w="60" w:type="dxa"/>
          <w:left w:w="80" w:type="dxa"/>
          <w:bottom w:w="60" w:type="dxa"/>
          <w:right w:w="80" w:type="dxa"/>
        </w:tblCellMar>
        <w:tblLook w:val="04a0" w:noHBand="0" w:noVBand="1" w:firstColumn="1" w:lastRow="0" w:lastColumn="0" w:firstRow="1"/>
      </w:tblPr>
      <w:tblGrid>
        <w:gridCol w:w="4680"/>
        <w:gridCol w:w="4679"/>
      </w:tblGrid>
      <w:tr>
        <w:trPr>
          <w:tblHeader w:val="true"/>
          <w:cantSplit w:val="true"/>
          <w:tblHeader w:val="true"/>
        </w:trPr>
        <w:tc>
          <w:tcPr>
            <w:tcW w:w="4680" w:type="dxa"/>
            <w:tcBorders/>
            <w:vAlign w:val="center"/>
            <w:shd w:fill="233746"/>
          </w:tcPr>
          <w:p>
            <w:pPr>
              <w:pStyle w:val="Normal"/>
              <w:widowControl/>
              <w:suppressAutoHyphens w:val="true"/>
              <w:spacing w:lineRule="auto" w:line="240" w:before="0" w:after="0"/>
              <w:jc w:val="left"/>
              <w:rPr>
                <w:rFonts w:cs=""/>
                <w:kern w:val="0"/>
                <w:szCs w:val="22"/>
                <w:lang w:val="en-US" w:eastAsia="en-US" w:bidi="ar-SA"/>
              </w:rPr>
            </w:pPr>
            <w:r>
              <w:rPr>
                <w:rFonts w:cs="" w:ascii="Arial" w:hAnsi="Arial"/>
                <w:b/>
                <w:color w:val="FFFFFF"/>
                <w:kern w:val="0"/>
                <w:sz w:val="17"/>
                <w:szCs w:val="22"/>
                <w:lang w:val="en-US" w:eastAsia="en-US" w:bidi="ar-SA"/>
              </w:rPr>
              <w:t>Tariff Item</w:t>
            </w:r>
          </w:p>
        </w:tc>
        <w:tc>
          <w:tcPr>
            <w:tcW w:w="4679" w:type="dxa"/>
            <w:tcBorders/>
            <w:vAlign w:val="center"/>
            <w:shd w:fill="233746"/>
          </w:tcPr>
          <w:p>
            <w:pPr>
              <w:pStyle w:val="Normal"/>
              <w:widowControl/>
              <w:suppressAutoHyphens w:val="true"/>
              <w:spacing w:lineRule="auto" w:line="240" w:before="0" w:after="0"/>
              <w:jc w:val="left"/>
              <w:rPr>
                <w:rFonts w:cs=""/>
                <w:kern w:val="0"/>
                <w:szCs w:val="22"/>
                <w:lang w:val="en-US" w:eastAsia="en-US" w:bidi="ar-SA"/>
              </w:rPr>
            </w:pPr>
            <w:r>
              <w:rPr>
                <w:rFonts w:cs="" w:ascii="Arial" w:hAnsi="Arial"/>
                <w:b/>
                <w:color w:val="FFFFFF"/>
                <w:kern w:val="0"/>
                <w:sz w:val="17"/>
                <w:szCs w:val="22"/>
                <w:lang w:val="en-US" w:eastAsia="en-US" w:bidi="ar-SA"/>
              </w:rPr>
              <w:t>Description</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AG04014025</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Provided for in tariff item 04014025</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AG04015025</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Provided for in tariff item 04015025</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AG04015075</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Provided for in tariff item 04015075</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AG04021050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Provided for in tariff item 04021050</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AG04022125</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Provided for in tariff item 04022125</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AG04022150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Provided for in tariff item 04022150</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AG04022190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Provided for in tariff item 04022190</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AG04022950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Provided for in tariff item 04022950</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AG04029170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Provided for in tariff item 04029170</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AG04029190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Provided for in tariff item 04029190</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AG04029945</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Provided for in tariff item 04029945</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AG04029955</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Provided for in tariff item 04029955</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AG04029990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Provided for in tariff item 04029990</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AG04031050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Provided for in tariff item 04031050</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AG04039016</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Provided for in tariff item 04039016</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AG04039045</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Provided for in tariff item 04039045</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AG04039055</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Provided for in tariff item 04039055</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AG04039065</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Provided for in tariff item 04039065</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AG04039078</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Provided for in tariff item 04039078</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AG04039095</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Provided for in tariff item 04039095</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AG04041015</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Provided for in tariff item 04041015</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AG04041090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Provided for in tariff item 04041090</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AG04049050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Provided for in tariff item 04049050</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AG04051020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Provided for in tariff item 04051020</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AG04052030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Provided for in tariff item 04052030</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AG04052070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Provided for in tariff item 04052070</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AG04059020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Provided for in tariff item 04059020</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AG04061008</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Provided for in tariff item 04061008</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AG04061018</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Provided for in tariff item 04061018</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AG04061028</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Provided for in tariff item 04061028</w:t>
            </w:r>
          </w:p>
        </w:tc>
      </w:tr>
    </w:tbl>
    <w:p>
      <w:pPr>
        <w:pStyle w:val="Normal"/>
        <w:widowControl/>
        <w:spacing w:before="160" w:after="160"/>
        <w:rPr/>
      </w:pPr>
      <w:r>
        <w:rPr/>
        <w:t>Provided for in tariff item 04061038</w:t>
      </w:r>
    </w:p>
    <w:tbl>
      <w:tblPr>
        <w:tblStyle w:val="TableGrid"/>
        <w:tblW w:w="9360" w:type="dxa"/>
        <w:jc w:val="center"/>
        <w:tblInd w:w="-28" w:type="dxa"/>
        <w:tblLayout w:type="autofit"/>
        <w:tblCellMar>
          <w:top w:w="60" w:type="dxa"/>
          <w:left w:w="80" w:type="dxa"/>
          <w:bottom w:w="60" w:type="dxa"/>
          <w:right w:w="80" w:type="dxa"/>
        </w:tblCellMar>
        <w:tblLook w:val="04a0" w:noHBand="0" w:noVBand="1" w:firstColumn="1" w:lastRow="0" w:lastColumn="0" w:firstRow="1"/>
      </w:tblPr>
      <w:tblGrid>
        <w:gridCol w:w="4680"/>
        <w:gridCol w:w="4679"/>
      </w:tblGrid>
      <w:tr>
        <w:trPr>
          <w:tblHeader w:val="true"/>
          <w:cantSplit w:val="true"/>
          <w:tblHeader w:val="true"/>
        </w:trPr>
        <w:tc>
          <w:tcPr>
            <w:tcW w:w="4680" w:type="dxa"/>
            <w:tcBorders/>
            <w:vAlign w:val="center"/>
            <w:shd w:fill="233746"/>
          </w:tcPr>
          <w:p>
            <w:pPr>
              <w:pStyle w:val="Normal"/>
              <w:widowControl/>
              <w:suppressAutoHyphens w:val="true"/>
              <w:spacing w:lineRule="auto" w:line="240" w:before="0" w:after="0"/>
              <w:jc w:val="left"/>
              <w:rPr>
                <w:rFonts w:cs=""/>
                <w:kern w:val="0"/>
                <w:szCs w:val="22"/>
                <w:lang w:val="en-US" w:eastAsia="en-US" w:bidi="ar-SA"/>
              </w:rPr>
            </w:pPr>
            <w:r>
              <w:rPr>
                <w:rFonts w:cs="" w:ascii="Arial" w:hAnsi="Arial"/>
                <w:b/>
                <w:color w:val="FFFFFF"/>
                <w:kern w:val="0"/>
                <w:sz w:val="17"/>
                <w:szCs w:val="22"/>
                <w:lang w:val="en-US" w:eastAsia="en-US" w:bidi="ar-SA"/>
              </w:rPr>
              <w:t>Tariff Item</w:t>
            </w:r>
          </w:p>
        </w:tc>
        <w:tc>
          <w:tcPr>
            <w:tcW w:w="4679" w:type="dxa"/>
            <w:tcBorders/>
            <w:vAlign w:val="center"/>
            <w:shd w:fill="233746"/>
          </w:tcPr>
          <w:p>
            <w:pPr>
              <w:pStyle w:val="Normal"/>
              <w:widowControl/>
              <w:suppressAutoHyphens w:val="true"/>
              <w:spacing w:lineRule="auto" w:line="240" w:before="0" w:after="0"/>
              <w:jc w:val="left"/>
              <w:rPr>
                <w:rFonts w:cs=""/>
                <w:kern w:val="0"/>
                <w:szCs w:val="22"/>
                <w:lang w:val="en-US" w:eastAsia="en-US" w:bidi="ar-SA"/>
              </w:rPr>
            </w:pPr>
            <w:r>
              <w:rPr>
                <w:rFonts w:cs="" w:ascii="Arial" w:hAnsi="Arial"/>
                <w:b/>
                <w:color w:val="FFFFFF"/>
                <w:kern w:val="0"/>
                <w:sz w:val="17"/>
                <w:szCs w:val="22"/>
                <w:lang w:val="en-US" w:eastAsia="en-US" w:bidi="ar-SA"/>
              </w:rPr>
              <w:t>Description</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AG04061048</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Provided for in tariff item 04061048</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AG04061058</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Provided for in tariff item 04061058</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AG04061068</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Provided for in tariff item 04061068</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AG04061078</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Provided for in tariff item 04061078</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AG04061088</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Provided for in tariff item 04061088</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AG04062028</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Provided for in tariff item 04062028</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AG04062033</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Provided for in tariff item 04062033</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AG04062039</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Provided for in tariff item 04062039</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AG04062048</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Provided for in tariff item 04062048</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AG04062053</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Provided for in tariff item 04062053</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AG04062063</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Provided for in tariff item 04062063</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AG04062067</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Provided for in tariff item 04062067</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AG04062071</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Provided for in tariff item 04062071</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AG04062075</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Provided for in tariff item 04062075</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AG04062079</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Provided for in tariff item 04062079</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AG04062083</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Provided for in tariff item 04062083</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AG04062087</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Provided for in tariff item 04062087</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AG04062091</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Provided for in tariff item 04062091</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AG04063018</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Provided for in tariff item 04063018</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AG04063028</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Provided for in tariff item 04063028</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AG04063038</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Provided for in tariff item 04063038</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AG04063048</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Provided for in tariff item 04063048</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AG04063053</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Provided for in tariff item 04063053</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AG04063063</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Provided for in tariff item 04063063</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AG04063067</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Provided for in tariff item 04063067</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AG04063071</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Provided for in tariff item 04063071</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AG04063075</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Provided for in tariff item 04063075</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AG04063079</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Provided for in tariff item 04063079</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AG04063083</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Provided for in tariff item 04063083</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AG04063087</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Provided for in tariff item 04063087</w:t>
            </w:r>
          </w:p>
        </w:tc>
      </w:tr>
    </w:tbl>
    <w:p>
      <w:pPr>
        <w:pStyle w:val="Normal"/>
        <w:widowControl/>
        <w:spacing w:before="160" w:after="160"/>
        <w:rPr/>
      </w:pPr>
      <w:r>
        <w:rPr/>
        <w:t>Provided for in tariff item 04063091</w:t>
      </w:r>
    </w:p>
    <w:tbl>
      <w:tblPr>
        <w:tblStyle w:val="TableGrid"/>
        <w:tblW w:w="9360" w:type="dxa"/>
        <w:jc w:val="center"/>
        <w:tblInd w:w="-28" w:type="dxa"/>
        <w:tblLayout w:type="autofit"/>
        <w:tblCellMar>
          <w:top w:w="60" w:type="dxa"/>
          <w:left w:w="80" w:type="dxa"/>
          <w:bottom w:w="60" w:type="dxa"/>
          <w:right w:w="80" w:type="dxa"/>
        </w:tblCellMar>
        <w:tblLook w:val="04a0" w:noHBand="0" w:noVBand="1" w:firstColumn="1" w:lastRow="0" w:lastColumn="0" w:firstRow="1"/>
      </w:tblPr>
      <w:tblGrid>
        <w:gridCol w:w="4680"/>
        <w:gridCol w:w="4679"/>
      </w:tblGrid>
      <w:tr>
        <w:trPr>
          <w:tblHeader w:val="true"/>
          <w:cantSplit w:val="true"/>
          <w:tblHeader w:val="true"/>
        </w:trPr>
        <w:tc>
          <w:tcPr>
            <w:tcW w:w="4680" w:type="dxa"/>
            <w:tcBorders/>
            <w:vAlign w:val="center"/>
            <w:shd w:fill="233746"/>
          </w:tcPr>
          <w:p>
            <w:pPr>
              <w:pStyle w:val="Normal"/>
              <w:widowControl/>
              <w:suppressAutoHyphens w:val="true"/>
              <w:spacing w:lineRule="auto" w:line="240" w:before="0" w:after="0"/>
              <w:jc w:val="left"/>
              <w:rPr>
                <w:rFonts w:cs=""/>
                <w:kern w:val="0"/>
                <w:szCs w:val="22"/>
                <w:lang w:val="en-US" w:eastAsia="en-US" w:bidi="ar-SA"/>
              </w:rPr>
            </w:pPr>
            <w:r>
              <w:rPr>
                <w:rFonts w:cs="" w:ascii="Arial" w:hAnsi="Arial"/>
                <w:b/>
                <w:color w:val="FFFFFF"/>
                <w:kern w:val="0"/>
                <w:sz w:val="17"/>
                <w:szCs w:val="22"/>
                <w:lang w:val="en-US" w:eastAsia="en-US" w:bidi="ar-SA"/>
              </w:rPr>
              <w:t>Tariff Item</w:t>
            </w:r>
          </w:p>
        </w:tc>
        <w:tc>
          <w:tcPr>
            <w:tcW w:w="4679" w:type="dxa"/>
            <w:tcBorders/>
            <w:vAlign w:val="center"/>
            <w:shd w:fill="233746"/>
          </w:tcPr>
          <w:p>
            <w:pPr>
              <w:pStyle w:val="Normal"/>
              <w:widowControl/>
              <w:suppressAutoHyphens w:val="true"/>
              <w:spacing w:lineRule="auto" w:line="240" w:before="0" w:after="0"/>
              <w:jc w:val="left"/>
              <w:rPr>
                <w:rFonts w:cs=""/>
                <w:kern w:val="0"/>
                <w:szCs w:val="22"/>
                <w:lang w:val="en-US" w:eastAsia="en-US" w:bidi="ar-SA"/>
              </w:rPr>
            </w:pPr>
            <w:r>
              <w:rPr>
                <w:rFonts w:cs="" w:ascii="Arial" w:hAnsi="Arial"/>
                <w:b/>
                <w:color w:val="FFFFFF"/>
                <w:kern w:val="0"/>
                <w:sz w:val="17"/>
                <w:szCs w:val="22"/>
                <w:lang w:val="en-US" w:eastAsia="en-US" w:bidi="ar-SA"/>
              </w:rPr>
              <w:t>Description</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AG04064070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Provided for in tariff item 04064070</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AG04069012</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Provided for in tariff item 04069012</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AG04069018</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Provided for in tariff item 04069018</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AG04069032</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Provided for in tariff item 04069032</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AG04069037</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Provided for in tariff item 04069037</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AG04069042</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Provided for in tariff item 04069042</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AG04069048</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Provided for in tariff item 04069048</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AG04069054</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Provided for in tariff item 04069054</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AG04069068</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Provided for in tariff item 04069068</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AG04069074</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Provided for in tariff item 04069074</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AG04069078</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Provided for in tariff item 04069078</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AG04069084</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Provided for in tariff item 04069084</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AG04069088</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Provided for in tariff item 04069088</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AG04069092</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Provided for in tariff item 04069092</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AG04069094</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Provided for in tariff item 04069094</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AG04069097</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Provided for in tariff item 04069097</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AG15179060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Provided for in tariff item 15179060</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AG17011250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Provided for in tariff item 17011250</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AG17011350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Provided for in tariff item 17011350</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AG17011450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Provided for in tariff item 17011450</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AG17019130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Provided for in tariff item 17019130</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AG17019148</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Provided for in tariff item 17019148</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AG17019158</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Provided for in tariff item 17019158</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AG17019950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Provided for in tariff item 17019950</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AG17022028</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Provided for in tariff item 17022028</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AG17023028</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Provided for in tariff item 17023028</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AG17024028</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Provided for in tariff item 17024028</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AG17026028</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Provided for in tariff item 17026028</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AG17029020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Provided for in tariff item 17029020</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AG17029058</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Provided for in tariff item 17029058</w:t>
            </w:r>
          </w:p>
        </w:tc>
      </w:tr>
    </w:tbl>
    <w:p>
      <w:pPr>
        <w:pStyle w:val="Normal"/>
        <w:widowControl/>
        <w:spacing w:before="160" w:after="160"/>
        <w:rPr/>
      </w:pPr>
      <w:r>
        <w:rPr/>
        <w:t>Provided for in tariff item 17029068</w:t>
      </w:r>
    </w:p>
    <w:tbl>
      <w:tblPr>
        <w:tblStyle w:val="TableGrid"/>
        <w:tblW w:w="9360" w:type="dxa"/>
        <w:jc w:val="center"/>
        <w:tblInd w:w="-28" w:type="dxa"/>
        <w:tblLayout w:type="autofit"/>
        <w:tblCellMar>
          <w:top w:w="60" w:type="dxa"/>
          <w:left w:w="80" w:type="dxa"/>
          <w:bottom w:w="60" w:type="dxa"/>
          <w:right w:w="80" w:type="dxa"/>
        </w:tblCellMar>
        <w:tblLook w:val="04a0" w:noHBand="0" w:noVBand="1" w:firstColumn="1" w:lastRow="0" w:lastColumn="0" w:firstRow="1"/>
      </w:tblPr>
      <w:tblGrid>
        <w:gridCol w:w="4680"/>
        <w:gridCol w:w="4679"/>
      </w:tblGrid>
      <w:tr>
        <w:trPr>
          <w:tblHeader w:val="true"/>
          <w:cantSplit w:val="true"/>
          <w:tblHeader w:val="true"/>
        </w:trPr>
        <w:tc>
          <w:tcPr>
            <w:tcW w:w="4680" w:type="dxa"/>
            <w:tcBorders/>
            <w:vAlign w:val="center"/>
            <w:shd w:fill="233746"/>
          </w:tcPr>
          <w:p>
            <w:pPr>
              <w:pStyle w:val="Normal"/>
              <w:widowControl/>
              <w:suppressAutoHyphens w:val="true"/>
              <w:spacing w:lineRule="auto" w:line="240" w:before="0" w:after="0"/>
              <w:jc w:val="left"/>
              <w:rPr>
                <w:rFonts w:cs=""/>
                <w:kern w:val="0"/>
                <w:szCs w:val="22"/>
                <w:lang w:val="en-US" w:eastAsia="en-US" w:bidi="ar-SA"/>
              </w:rPr>
            </w:pPr>
            <w:r>
              <w:rPr>
                <w:rFonts w:cs="" w:ascii="Arial" w:hAnsi="Arial"/>
                <w:b/>
                <w:color w:val="FFFFFF"/>
                <w:kern w:val="0"/>
                <w:sz w:val="17"/>
                <w:szCs w:val="22"/>
                <w:lang w:val="en-US" w:eastAsia="en-US" w:bidi="ar-SA"/>
              </w:rPr>
              <w:t>Tariff Item</w:t>
            </w:r>
          </w:p>
        </w:tc>
        <w:tc>
          <w:tcPr>
            <w:tcW w:w="4679" w:type="dxa"/>
            <w:tcBorders/>
            <w:vAlign w:val="center"/>
            <w:shd w:fill="233746"/>
          </w:tcPr>
          <w:p>
            <w:pPr>
              <w:pStyle w:val="Normal"/>
              <w:widowControl/>
              <w:suppressAutoHyphens w:val="true"/>
              <w:spacing w:lineRule="auto" w:line="240" w:before="0" w:after="0"/>
              <w:jc w:val="left"/>
              <w:rPr>
                <w:rFonts w:cs=""/>
                <w:kern w:val="0"/>
                <w:szCs w:val="22"/>
                <w:lang w:val="en-US" w:eastAsia="en-US" w:bidi="ar-SA"/>
              </w:rPr>
            </w:pPr>
            <w:r>
              <w:rPr>
                <w:rFonts w:cs="" w:ascii="Arial" w:hAnsi="Arial"/>
                <w:b/>
                <w:color w:val="FFFFFF"/>
                <w:kern w:val="0"/>
                <w:sz w:val="17"/>
                <w:szCs w:val="22"/>
                <w:lang w:val="en-US" w:eastAsia="en-US" w:bidi="ar-SA"/>
              </w:rPr>
              <w:t>Description</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AG17049058</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Provided for in tariff item 17049058</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AG17049068</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Provided for in tariff item 17049068</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AG17049078</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Provided for in tariff item 17049078</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AG18061015</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Provided for in tariff item 18061015</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AG18061028</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Provided for in tariff item 18061028</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AG18061038</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Provided for in tariff item 18061038</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AG18061055</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Provided for in tariff item 18061055</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AG18061075</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Provided for in tariff item 18061075</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AG18062026</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Provided for in tariff item 18062026</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AG18062028</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Provided for in tariff item 18062028</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AG18062036</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Provided for in tariff item 18062036</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AG18062038</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Provided for in tariff item 18062038</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AG18062073</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Provided for in tariff item 18062073</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AG18062077</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Provided for in tariff item 18062077</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AG18062082</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Provided for in tariff item 18062082</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AG18062083</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Provided for in tariff item 18062083</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AG18062087</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Provided for in tariff item 18062087</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AG18062089</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Provided for in tariff item 18062089</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AG18062094</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Provided for in tariff item 18062094</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AG18062098</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Provided for in tariff item 18062098</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AG18063206</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Provided for in tariff item 18063206</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AG18063208</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Provided for in tariff item 18063208</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AG18063216</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Provided for in tariff item 18063216</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AG18063218</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Provided for in tariff item 18063218</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AG18063270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Provided for in tariff item 18063270</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AG18063280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Provided for in tariff item 18063280</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AG18069008</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Provided for in tariff item 18069008</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AG18069010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Provided for in tariff item 18069010</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AG18069018</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Provided for in tariff item 18069018</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AG18069020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Provided for in tariff item 18069020</w:t>
            </w:r>
          </w:p>
        </w:tc>
      </w:tr>
    </w:tbl>
    <w:p>
      <w:pPr>
        <w:pStyle w:val="Normal"/>
        <w:widowControl/>
        <w:spacing w:before="160" w:after="160"/>
        <w:rPr/>
      </w:pPr>
      <w:r>
        <w:rPr/>
        <w:t>Provided for in tariff item 18069028</w:t>
      </w:r>
    </w:p>
    <w:tbl>
      <w:tblPr>
        <w:tblStyle w:val="TableGrid"/>
        <w:tblW w:w="9360" w:type="dxa"/>
        <w:jc w:val="center"/>
        <w:tblInd w:w="-28" w:type="dxa"/>
        <w:tblLayout w:type="autofit"/>
        <w:tblCellMar>
          <w:top w:w="60" w:type="dxa"/>
          <w:left w:w="80" w:type="dxa"/>
          <w:bottom w:w="60" w:type="dxa"/>
          <w:right w:w="80" w:type="dxa"/>
        </w:tblCellMar>
        <w:tblLook w:val="04a0" w:noHBand="0" w:noVBand="1" w:firstColumn="1" w:lastRow="0" w:lastColumn="0" w:firstRow="1"/>
      </w:tblPr>
      <w:tblGrid>
        <w:gridCol w:w="4680"/>
        <w:gridCol w:w="4679"/>
      </w:tblGrid>
      <w:tr>
        <w:trPr>
          <w:tblHeader w:val="true"/>
          <w:cantSplit w:val="true"/>
          <w:tblHeader w:val="true"/>
        </w:trPr>
        <w:tc>
          <w:tcPr>
            <w:tcW w:w="4680" w:type="dxa"/>
            <w:tcBorders/>
            <w:vAlign w:val="center"/>
            <w:shd w:fill="233746"/>
          </w:tcPr>
          <w:p>
            <w:pPr>
              <w:pStyle w:val="Normal"/>
              <w:widowControl/>
              <w:suppressAutoHyphens w:val="true"/>
              <w:spacing w:lineRule="auto" w:line="240" w:before="0" w:after="0"/>
              <w:jc w:val="left"/>
              <w:rPr>
                <w:rFonts w:cs=""/>
                <w:kern w:val="0"/>
                <w:szCs w:val="22"/>
                <w:lang w:val="en-US" w:eastAsia="en-US" w:bidi="ar-SA"/>
              </w:rPr>
            </w:pPr>
            <w:r>
              <w:rPr>
                <w:rFonts w:cs="" w:ascii="Arial" w:hAnsi="Arial"/>
                <w:b/>
                <w:color w:val="FFFFFF"/>
                <w:kern w:val="0"/>
                <w:sz w:val="17"/>
                <w:szCs w:val="22"/>
                <w:lang w:val="en-US" w:eastAsia="en-US" w:bidi="ar-SA"/>
              </w:rPr>
              <w:t>Tariff Item</w:t>
            </w:r>
          </w:p>
        </w:tc>
        <w:tc>
          <w:tcPr>
            <w:tcW w:w="4679" w:type="dxa"/>
            <w:tcBorders/>
            <w:vAlign w:val="center"/>
            <w:shd w:fill="233746"/>
          </w:tcPr>
          <w:p>
            <w:pPr>
              <w:pStyle w:val="Normal"/>
              <w:widowControl/>
              <w:suppressAutoHyphens w:val="true"/>
              <w:spacing w:lineRule="auto" w:line="240" w:before="0" w:after="0"/>
              <w:jc w:val="left"/>
              <w:rPr>
                <w:rFonts w:cs=""/>
                <w:kern w:val="0"/>
                <w:szCs w:val="22"/>
                <w:lang w:val="en-US" w:eastAsia="en-US" w:bidi="ar-SA"/>
              </w:rPr>
            </w:pPr>
            <w:r>
              <w:rPr>
                <w:rFonts w:cs="" w:ascii="Arial" w:hAnsi="Arial"/>
                <w:b/>
                <w:color w:val="FFFFFF"/>
                <w:kern w:val="0"/>
                <w:sz w:val="17"/>
                <w:szCs w:val="22"/>
                <w:lang w:val="en-US" w:eastAsia="en-US" w:bidi="ar-SA"/>
              </w:rPr>
              <w:t>Description</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AG18069030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Provided for in tariff item 18069030</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AG18069039</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Provided for in tariff item 18069039</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AG18069049</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Provided for in tariff item 18069049</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AG18069059</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Provided for in tariff item 18069059</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AG19011016</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Provided for in tariff item 19011016</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AG19011026</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Provided for in tariff item 19011026</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AG19011036</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Provided for in tariff item 19011036</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AG19011044</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Provided for in tariff item 19011044</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AG19011056</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Provided for in tariff item 19011056</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AG19011066</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Provided for in tariff item 19011066</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AG19011076</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Provided for in tariff item 19011076</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AG19012015</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Provided for in tariff item 19012015</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AG19012025</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Provided for in tariff item 19012025</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AG19012035</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Provided for in tariff item 19012035</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AG19012050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Provided for in tariff item 19012050</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AG19012060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Provided for in tariff item 19012060</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AG19012070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Provided for in tariff item 19012070</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AG19019036</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Provided for in tariff item 19019036</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AG19019062</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Provided for in tariff item 19019062</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AG19019065</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Provided for in tariff item 19019065</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AG19019068</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Provided for in tariff item 19019068</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AG19019071</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Provided for in tariff item 19019071</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AG21011238</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Provided for in tariff item 21011238</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AG21011248</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Provided for in tariff item 21011248</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AG21011258</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Provided for in tariff item 21011258</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AG21012038</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Provided for in tariff item 21012038</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AG21012048</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Provided for in tariff item 21012048</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AG21012058</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Provided for in tariff item 21012058</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AG21039078</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Provided for in tariff item 21039078</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AG21050020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Provided for in tariff item 21050020</w:t>
            </w:r>
          </w:p>
        </w:tc>
      </w:tr>
    </w:tbl>
    <w:p>
      <w:pPr>
        <w:pStyle w:val="Normal"/>
        <w:widowControl/>
        <w:spacing w:before="160" w:after="160"/>
        <w:rPr/>
      </w:pPr>
      <w:r>
        <w:rPr/>
        <w:t>Provided for in tariff item 21050040</w:t>
      </w:r>
    </w:p>
    <w:tbl>
      <w:tblPr>
        <w:tblStyle w:val="TableGrid"/>
        <w:tblW w:w="9360" w:type="dxa"/>
        <w:jc w:val="center"/>
        <w:tblInd w:w="-28" w:type="dxa"/>
        <w:tblLayout w:type="autofit"/>
        <w:tblCellMar>
          <w:top w:w="60" w:type="dxa"/>
          <w:left w:w="80" w:type="dxa"/>
          <w:bottom w:w="60" w:type="dxa"/>
          <w:right w:w="80" w:type="dxa"/>
        </w:tblCellMar>
        <w:tblLook w:val="04a0" w:noHBand="0" w:noVBand="1" w:firstColumn="1" w:lastRow="0" w:lastColumn="0" w:firstRow="1"/>
      </w:tblPr>
      <w:tblGrid>
        <w:gridCol w:w="4680"/>
        <w:gridCol w:w="4679"/>
      </w:tblGrid>
      <w:tr>
        <w:trPr>
          <w:tblHeader w:val="true"/>
          <w:cantSplit w:val="true"/>
          <w:tblHeader w:val="true"/>
        </w:trPr>
        <w:tc>
          <w:tcPr>
            <w:tcW w:w="4680" w:type="dxa"/>
            <w:tcBorders/>
            <w:vAlign w:val="center"/>
            <w:shd w:fill="233746"/>
          </w:tcPr>
          <w:p>
            <w:pPr>
              <w:pStyle w:val="Normal"/>
              <w:widowControl/>
              <w:suppressAutoHyphens w:val="true"/>
              <w:spacing w:lineRule="auto" w:line="240" w:before="0" w:after="0"/>
              <w:jc w:val="left"/>
              <w:rPr>
                <w:rFonts w:cs=""/>
                <w:kern w:val="0"/>
                <w:szCs w:val="22"/>
                <w:lang w:val="en-US" w:eastAsia="en-US" w:bidi="ar-SA"/>
              </w:rPr>
            </w:pPr>
            <w:r>
              <w:rPr>
                <w:rFonts w:cs="" w:ascii="Arial" w:hAnsi="Arial"/>
                <w:b/>
                <w:color w:val="FFFFFF"/>
                <w:kern w:val="0"/>
                <w:sz w:val="17"/>
                <w:szCs w:val="22"/>
                <w:lang w:val="en-US" w:eastAsia="en-US" w:bidi="ar-SA"/>
              </w:rPr>
              <w:t>Tariff Item</w:t>
            </w:r>
          </w:p>
        </w:tc>
        <w:tc>
          <w:tcPr>
            <w:tcW w:w="4679" w:type="dxa"/>
            <w:tcBorders/>
            <w:vAlign w:val="center"/>
            <w:shd w:fill="233746"/>
          </w:tcPr>
          <w:p>
            <w:pPr>
              <w:pStyle w:val="Normal"/>
              <w:widowControl/>
              <w:suppressAutoHyphens w:val="true"/>
              <w:spacing w:lineRule="auto" w:line="240" w:before="0" w:after="0"/>
              <w:jc w:val="left"/>
              <w:rPr>
                <w:rFonts w:cs=""/>
                <w:kern w:val="0"/>
                <w:szCs w:val="22"/>
                <w:lang w:val="en-US" w:eastAsia="en-US" w:bidi="ar-SA"/>
              </w:rPr>
            </w:pPr>
            <w:r>
              <w:rPr>
                <w:rFonts w:cs="" w:ascii="Arial" w:hAnsi="Arial"/>
                <w:b/>
                <w:color w:val="FFFFFF"/>
                <w:kern w:val="0"/>
                <w:sz w:val="17"/>
                <w:szCs w:val="22"/>
                <w:lang w:val="en-US" w:eastAsia="en-US" w:bidi="ar-SA"/>
              </w:rPr>
              <w:t>Description</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AG21069009</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Provided for in tariff item 21069009</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AG21069026</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Provided for in tariff item 21069026</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AG21069036</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Provided for in tariff item 21069036</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AG21069046</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Provided for in tariff item 21069046</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AG21069066</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Provided for in tariff item 21069066</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AG21069072</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Provided for in tariff item 21069072</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AG21069076</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Provided for in tariff item 21069076</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AG21069080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Provided for in tariff item 21069080</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AG21069087</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Provided for in tariff item 21069087</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AG21069091</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Provided for in tariff item 21069091</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AG21069094</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Provided for in tariff item 21069094</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AG21069097</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Provided for in tariff item 21069097</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AG22029928</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Provided for in tariff item 22029928</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AG23099028</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Provided for in tariff item 23099028</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AG23099048</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Provided for in tariff item 23099048</w:t>
            </w:r>
          </w:p>
        </w:tc>
      </w:tr>
    </w:tbl>
    <w:p>
      <w:pPr>
        <w:pStyle w:val="Normal"/>
        <w:widowControl/>
        <w:spacing w:before="160" w:after="120"/>
        <w:rPr/>
      </w:pPr>
      <w:r>
        <w:rPr/>
        <w:t>ANNEX 2-C PROVISIONS BETWEEN MEXICO AND THE UNITED STATES ON AUTOMOTIVE GOODS 1. This Annex does not apply to originating goods that qualify for duty free preferential tariff treatment under Chapter 4 (Rules of Origin) that are imported to the United States from Mexico and are: (a) passenger vehicles classified in subheadings 8703.21 through 8703.90; (b) light trucks classified in subheading 8704.21 or 8704.31, or (c) auto parts listed in the Appendix to this Annex. 2. The customs duty applied by the United States on passenger vehicles imported from Mexico classified in subheadings 8703.21 through 8703.90 that do not qualify as originating under Chapter 4 (Rules of Origin), shall not exceed the lesser of 2.5 percent or the United States’ most-favored-nation (MFN) applied rate in effect at the time of the importation of the good. 3. The customs duty applied by the United States on light trucks imported from Mexico classified in subheadings 8704.21 or 8704.31 that do not qualify as originating under Chapter 4 (Rules of Origin), shall not exceed the lesser of 25 percent or the United States’ MFN applied rate in effect at the time of the importation of the good. 4.</w:t>
      </w:r>
    </w:p>
    <w:p>
      <w:pPr>
        <w:pStyle w:val="Normal"/>
        <w:widowControl/>
        <w:rPr/>
      </w:pPr>
      <w:r>
        <w:rPr/>
        <w:t>The customs duty applied by the United States on auto parts imported from Mexico listed in the Appendix to this Annex that do not qualify as originating under Chapter 4 (Rules of Origin), shall not exceed the lesser of the United States’ MFN applied rate in effect on August 1, 2018 or the MFN applied rate in effect at the time of the importation of the good. 5. If the United States implements any measure that increases its MFN applied rate in effect on August 1, 2018 on passenger vehicles classified in subheadings 8703.21 through 8703.90, or on auto parts listed in the Appendix to this Annex, and in order to protect Mexico’s ability to export passenger vehicles and auto parts throughout the territories of the Parties at volumes that take into account Mexico’s existing manufacturing capacity, the following shall apply:</w:t>
      </w:r>
    </w:p>
    <w:p>
      <w:pPr>
        <w:pStyle w:val="Normal"/>
        <w:widowControl/>
        <w:rPr/>
      </w:pPr>
      <w:r>
        <w:rPr/>
        <w:t>(a) The customs duty applied by the United States on a passenger vehicle classified in subheadings 8703.21 through 8703.90 imported from Mexico that does not qualify as originating under Chapter 4 (Rules of Origin) shall not exceed 2.5 percent, provided that the vehicle meets a regional value content requirement of at least 62.5 percent under the net cost method as set out under Article 4.5 (Regional Value Content).</w:t>
      </w:r>
    </w:p>
    <w:p>
      <w:pPr>
        <w:pStyle w:val="Normal"/>
        <w:widowControl/>
        <w:rPr/>
      </w:pPr>
      <w:r>
        <w:rPr/>
        <w:t>In addition, averaging provisions under Article 10.4 of the Appendix to Annex 4-B (Regional Value Content for Other Vehicles) and other 2-C-1 provisions under Article 10.6 of the Appendix to Annex 4-B (Regional Value Content for Other Vehicles) apply. The United States may limit this treatment to 1,600,000 vehicles in any calendar year. (b) The customs duty applied by the United States on an auto part listed in the Appendix to this Annex imported from Mexico that do not qualify as originating under Chapter 4 (Rules of Origin) shall not exceed the United States’ MFN applied rate in effect on August 1, 2018, provided that the part meets a regional value content requirement of at least 50 percent under the net cost method, or 60 percent under the transaction value method, as set out under Article 4.5 (Regional Value Content) or any non-originating materials used in the production of the auto part are classified in a different heading than the auto part.</w:t>
      </w:r>
    </w:p>
    <w:p>
      <w:pPr>
        <w:pStyle w:val="Normal"/>
        <w:widowControl/>
        <w:rPr/>
      </w:pPr>
      <w:r>
        <w:rPr/>
        <w:t>In addition, averaging provisions under Article 10.5 of the Appendix to Annex 4-B (Regional Value Content for Other Vehicles). The United States may limit this treatment to auto parts valued at 108 billion U.S. dollars in any calendar year. (c) Mexico shall monitor and allocate or otherwise administer quantities of passenger vehicles and auto parts eligible for this treatment under subparagraphs (a) and (b).</w:t>
      </w:r>
    </w:p>
    <w:p>
      <w:pPr>
        <w:pStyle w:val="Normal"/>
        <w:widowControl/>
        <w:rPr/>
      </w:pPr>
      <w:r>
        <w:rPr/>
        <w:t>(d) The customs duty applied by the United States on passenger vehicles classified in subheadings 8703.21 through 8703.90 or auto parts listed in the Appendix to this Annex that do not qualify as originating under Chapter 4 (Rules of Origin) imported from Mexico in excess of the quantities set out in subparagraphs (a) and (b) shall be the United States’ MFN applied rate in effect at the time of importation of the good. (e) For greater certainty, goods described under subparagraphs (a) and (b) shall be subject to Chapter 5 (Origin Procedures). 2-C-2 APPENDIX AUTO PARTS Note: For purposes of reference only, descriptions are provided next to the corresponding tariff provisions. Hydraulic Brake Fluid Anti-Freeze Stoppers, lids, caps and other closures Fittings for furniture, coachwork or the like General Use Plastic Articles Pipe, Not Reinforced/Comb. W/ Materials W/ Fittings Pipes, Vulc Rub, Reinforced/Combo With Metal,W/ Fitting Reinforced or otherwise combined only with textile materials: Without fittings Pipe of Vul Rub, Reinforced W/ Text Only Mat,W/Fittings Pipe, Reinforced/Comb W/Other Textile Mat,W/Fittings Endless Trans. Belts V-Belt/V-Ribbed/Circ 60-180Cm Endless Trans. Belts V-Belt, Circ 60-180Cm, Nesoi Endless Trans Belts V-Belt/V-Ribbed/Circ 180-240Cm Endless Trans.</w:t>
      </w:r>
    </w:p>
    <w:p>
      <w:pPr>
        <w:pStyle w:val="Normal"/>
        <w:widowControl/>
        <w:rPr/>
      </w:pPr>
      <w:r>
        <w:rPr/>
        <w:t>Belts V-Belt, Circ 180-240Cm, Nesoi Transmission Belt/Belting, of Vulcanize Rub, Nesoi New Pneumatic Tires of Rubber, for Motor Cars New Pneumatic Tires of Rubber, for Buses or Trucks Retreaded Tires of Rubber, for Use on Motor Cars Retreaded Tires of Rubber, for Use on Trucks Retreaded Tires of Rubber, Nesoi Inner Tubes of Rubber for Mot Cars, Buses &amp; Trucks Articles Nesoi, Of Vulcanized Rubber Other Than Hard Rubber, Of Cell Rubber Gasket, Washers &amp; Other Seals, of Vulcanized Rub Articles of Soft Vulcanized Rubber Nesoi Other Containing asbestos Not containing asbestos: brake linings and pads Not containing asbestos: other Non-electrical articles of graphite or other carbon toughened Safety Glass of Size a Shape for Vehicles Etc Laminated Safety Glass for Vehicles, Aircraft Etc. Rear-View Mirrors for Vehicles Signalling glassware and optical elements of glass (other than those of heading 7015), not optically worked.</w:t>
      </w:r>
    </w:p>
    <w:p>
      <w:pPr>
        <w:pStyle w:val="Normal"/>
        <w:widowControl/>
        <w:rPr/>
      </w:pPr>
      <w:r>
        <w:rPr/>
        <w:t>2-C-1-1 APPENDIX AUTO PARTS Continued Articulated link chain and parts thereof: roller chain Threaded articles: other screws and bolts, whether or not with their nuts or washers Lugnuts Leaf Springs and Leaves Therefor, of Iron or Steel Helical Springs of Iron or Steel Locks of a Kind Used On Motor Vehicles, Base Metal Hinges, and Parts Thereof, of Base Metal Other Base Metal Mountings, Fittings Etc for Motor Vehicles Automatic door closers Other Sign plates, name-plates, address-plates and similar plates, numbers, letters and other symbols, of base metal, excluding those of heading 9405.</w:t>
      </w:r>
    </w:p>
    <w:p>
      <w:pPr>
        <w:pStyle w:val="Normal"/>
        <w:widowControl/>
        <w:rPr/>
      </w:pPr>
      <w:r>
        <w:rPr/>
        <w:t>Spark-Ignition Piston Engine for Vehicle Ex Railway Not Over 50 Cc Spark-Ignition Reciprocating Piston Engine Etc Nov 250Cc Spark-Ignition Reciprocating Piston Engine Etc &gt;250 Nov1000Cc Spark-Ignition Reciprocating Piston Engine Etc &gt; 1000 Cc Compression-Ignition Internal Combustion Piston Engine Etc Spark-Ignition Internal Combustion Piston Engine Parts Nesoi Spark-Ignition Reciprocating Internal Combustion Piston Engine Parts Fuel, Lub/Cooling Med Pumps for Internal Comb Piston Engine Hydraulic Fluid power Pumps Parts of hydraulic fluid power pumps Compressors Used In Refrigerating Equipment Fans, Nesoi (turbochargers and superchargers) Air/Gas Pumps, Compressors and Fans Etc, Nesoi Automotive Air Conditioners Parts, Nesoi, of Air Conditioning Machines Filtering or purifying machinery and apparatus for liquids: oil or petrol-filters for internal combustion engines Filtering or purifying</w:t>
      </w:r>
    </w:p>
    <w:p>
      <w:pPr>
        <w:pStyle w:val="Normal"/>
        <w:widowControl/>
        <w:rPr/>
      </w:pPr>
      <w:r>
        <w:rPr/>
        <w:t>machinery and apparatus for gases: intake air filters for internal combustion engines Catalytic converters Parts: other Jacks; hoists of a kind used for raising vehicles: built-in jacking systems of a type used in garages 2-C-1-2 APPENDIX AUTO PARTS Continued Jacks; hoists of a kind used for raising vehicles: other jacks and hoists, hydraulic Jacks, Nesoi; Hoists for Raising Vehicles, Nesoi Lifting or Handling Machinery for Road Vehicles Parts for Pulley Tackle, Hoist Ex Skip, Winches, Etc Electronic brake systems incl. ABS and ESC systems Valves for Oleohydraulic or Pneumatic Transmissions Check Valves Taps Cocks Etc for Pipe Vat Inc Thermo Control Nesoi Ball Bearings Tapered Roll Bearings, Including Cone &amp; Roller Assemblies Spherical Roller Bearings Needle Roller Bearings Cylindrical Roller Bearing Nesoi Other Ball or Roll Bearings, Inc Comb Ball/Roll Bearings Balls, Needles and Rollers for Bearings Parts: other Transmission Shafts (Inc Cam-&amp; Crank-Shaft), Etc. Housed Bearings, Incorp Ball or Roller Bearings Bearing Housings; Plain Shaft Bearings Gears; Ball or Roller Screws; Gear Boxes, Etc Flywheels and Pulleys, Including Pulley Blocks Clutches and Shaft Couplings (Incl.</w:t>
      </w:r>
    </w:p>
    <w:p>
      <w:pPr>
        <w:pStyle w:val="Normal"/>
        <w:widowControl/>
        <w:rPr/>
      </w:pPr>
      <w:r>
        <w:rPr/>
        <w:t>Universal Joints) Toothed Wheels, Chain Sprockets &amp; Other Trans Elem; Parts Gaskets and similar joints of metal sheeting combined with other material or of two or more layers of metal Mechanical seals Other Other Electric Motors of an Output Not Exceeding 37.5 W Universal Ac/Dc Motors of an Output &gt; 37.5 W Dc Motors &amp; Generators W Output N Over 750 W Dc Motors &amp; Generators W Output &gt; 750W; N Over 75 Kw Dc Motors &amp; Generators W Output &gt; 75Kw; N Over 375Kw Other AC motors, single-phase Other AC motors, multi-phase: of an output exceeding 750 W but not exceeding 75 kW Other AC motors, multi-phase: of an output exceeding 75 kW 2-C-1-3 APPENDIX AUTO PARTS Continued Parts suitable for use solely or principally with the machines of heading 8501 or 8502.</w:t>
      </w:r>
    </w:p>
    <w:p>
      <w:pPr>
        <w:pStyle w:val="Normal"/>
        <w:widowControl/>
        <w:rPr/>
      </w:pPr>
      <w:r>
        <w:rPr/>
        <w:t>Electromagnetic couplings, clutches and brakes Other Electromagnets and permanent magnets, including parts Lead-Acid Batteries of a Kind Used for Stg Engines Lead-Acid Storage Batteries Nesoi Nickel-Cadmium Storage Batteries Nickel-Iron Storage Batteries Nickel-metal Hydride Batteries Lithium Ion Batteries Storage Batteries Nesoi Parts Elect Storage Batteries Including Separators Thereof Internal Combustion Engine Spark Plugs Internal Combustion Engine Magnetos, Magneto-Dynam Distributors; Ignition Coils Internal Combustion Engine Starter Motors Internal Combustion Engine Generators, Nesoi Elect Ignition/Start Equipment for Spark/Comp Engine; Generator Nesoi Parts Elect Ignition/Start Equip; Generators &amp; Cut-Outs Elect</w:t>
      </w:r>
    </w:p>
    <w:p>
      <w:pPr>
        <w:pStyle w:val="Normal"/>
        <w:widowControl/>
        <w:rPr/>
      </w:pPr>
      <w:r>
        <w:rPr/>
        <w:t>Lighting/Visual Signaling Equipment Ex for Bicycles Electrical Sound Signaling Equipment for Motor Vehicles Windshield Wiper Defroster &amp; Demister for Cycle/Motor Vehicle Parts Elect Lighting/Signaling Equipment Windshield Wiper Defroster Etc Other electro-thermic appliances: other Telephone sets, including telephones for cellular networks or for other wireless networks: telephones for cellular networks or for other wireless networks Other apparatus for transmission or reception of voice, images or other data, including apparatus for communication in a wired or wireless network (such as a local or wide area network: base stations Other apparatus for transmission or reception of voice, images or other data, including apparatus for communication in a wired or wireless network (such as a local or wide area network: machines for the reception, conversion and transmission or regeneration of voice, images or other data, including switching and routing apparatus Audio-frequency electric amplifiers Sound Recording/Reproducing App Magnetic/Optical/Semiconductor Nesoi Other Transmission apparatus incorporating reception apparatus 2-C-1-4 APPENDIX AUTO PARTS Continued TV Cameras, Digital Cameras, Video Camera Recorders Radio navigational aid apparatus incl. GPS equip.</w:t>
      </w:r>
    </w:p>
    <w:p>
      <w:pPr>
        <w:pStyle w:val="Normal"/>
        <w:widowControl/>
        <w:rPr/>
      </w:pPr>
      <w:r>
        <w:rPr/>
        <w:t>Radio remote control apparatus Radiobroadcast Receivers for Motor Vehicles W Rcos Radiobroadcast Receivers for Motor Vehicles Nesoi Monitors, Not Incorporating TV Reception Apparatus Antennas and Antenna Reflectors and Parts Thereof Parts for Radio Trans. Radar Radio Navigational Aid Electric Sound or Visual Signaling Apparatus Nesoi Fuses Relays for a Voltage Not Exceeding 60 V Elect Switches for Voltage Not Over 1000 V, Nesoi Elect Apparatus for Protect to Elect Circuit Nov 1000 V Nesoi Controls Etc W Elect Appr for Elect Cont Nov 1000 V Sealed Beam Electric Lamp Units Other electrical conductors, for a voltage not exceeding 1,000 V: other Tungsten Halogen Electric Filament Lamps Electrical Machines &amp; Apparatus Having Ind Functions Insulated Wiring Sets for Vehicles Ships Aircraft Other electric conductors:</w:t>
      </w:r>
    </w:p>
    <w:p>
      <w:pPr>
        <w:pStyle w:val="Normal"/>
        <w:widowControl/>
        <w:rPr/>
      </w:pPr>
      <w:r>
        <w:rPr/>
        <w:t>Fitted with connectors Electrical Carbon or Graphite Brushes Chassis W Engine for Trac, Motor Vehicle for Pass/Good &amp; Special Purpose Bodies for Motor Cars/Vehicles for Transporting Persons Bodies for Road Tractors and Motor Vehicles (Pub Tran, Etc) Bumpers and Parts, for Motor Vehicles Safety Seat Belts for Motor Vehicles Parts &amp; Accessories of Bodies of Motor Vehicles, Nesoi Brakes and Servo-Breaks; Parts Thereof Gear Boxes for Motor Vehicles Drive Axles with Differential for Motor Vehicles Road Wheels &amp; Parts &amp; Accessories for Motor Vehicles Suspension Shock Absorbers for Motor Vehicles Radiators for Motor Vehicles Mufflers and Exhaust Pipes for Motor Vehicles</w:t>
      </w:r>
    </w:p>
    <w:p>
      <w:pPr>
        <w:pStyle w:val="Normal"/>
        <w:widowControl/>
        <w:rPr/>
      </w:pPr>
      <w:r>
        <w:rPr/>
        <w:t>Clutches and Parts Thereof for Motor Vehicles Steering Wheels, Columns &amp; Boxes for Motor Vehicles Safety Airbags with Inflator System; Parts Thereof Parts and Accessories of Motor Vehicles, Nesoi 2-C-1-5 APPENDIX AUTO PARTS Continued Parts Trailers, Semi-Trailer &amp; Other Vehicle Not Mechanically Propelled Direction finding compasses Thermometers not combined with other instruments Instruments for Measuring Flow or Level of Liquids Instruments for Measuring Pressure of Liquids Gases Gas or smoke analysis apparatus: Electrical Microtomes; parts and accessories Revolution Counters, Production Counters, Etc Speedometers and Tachometers;</w:t>
      </w:r>
    </w:p>
    <w:p>
      <w:pPr>
        <w:pStyle w:val="Normal"/>
        <w:widowControl/>
        <w:rPr/>
      </w:pPr>
      <w:r>
        <w:rPr/>
        <w:t>Stroboscopes Parts for Revolution Counters, Odometer, Etc Measuring or Checking Instruments Appliances Measuring &amp; Checking Instrument, Appliances &amp; Mach Nesoi Auto Regulating Ins &amp; Appr Ex Thermostat, Mnstat, Etc Parts &amp; Accessories of Automatic Regulating Instruments Other Instrument Panel Clocks &amp; Clock Similar, for Vehicle Seats of a Kind Used for Motor Vehicles Parts of Seats (Ex Medical, Barber, Dental Etc) Other lighters Parts 2-C-1-6 TARIFF SCHEDULE OF CANADA Tariff Line Description Mexico Duty Rate United States Duty Rate 0101.21.00 Pure-bred breeding animals 0101.29.00 Other 0101.30.00 Asses 0101.90.00 Other 0102.21.00 Pure-bred breeding animals 0102.29.00 Other 0102.31.00 Pure-bred breeding animals 0102.39.00 Other 0102.90.00 Other 0103.10.00 Pure-bred breeding animals 0103.91.00 Weighing less than 50 kg 0103.92.00 Weighing 50 kg or</w:t>
      </w:r>
    </w:p>
    <w:p>
      <w:pPr>
        <w:pStyle w:val="Normal"/>
        <w:widowControl/>
        <w:spacing w:before="0" w:after="160"/>
        <w:rPr/>
      </w:pPr>
      <w:r>
        <w:rPr/>
        <w:t>more</w:t>
      </w:r>
    </w:p>
    <w:tbl>
      <w:tblPr>
        <w:tblStyle w:val="TableGrid"/>
        <w:tblW w:w="9360" w:type="dxa"/>
        <w:jc w:val="center"/>
        <w:tblInd w:w="-28" w:type="dxa"/>
        <w:tblLayout w:type="autofit"/>
        <w:tblCellMar>
          <w:top w:w="60" w:type="dxa"/>
          <w:left w:w="80" w:type="dxa"/>
          <w:bottom w:w="60" w:type="dxa"/>
          <w:right w:w="80" w:type="dxa"/>
        </w:tblCellMar>
        <w:tblLook w:val="04a0" w:noHBand="0" w:noVBand="1" w:firstColumn="1" w:lastRow="0" w:lastColumn="0" w:firstRow="1"/>
      </w:tblPr>
      <w:tblGrid>
        <w:gridCol w:w="4680"/>
        <w:gridCol w:w="4679"/>
      </w:tblGrid>
      <w:tr>
        <w:trPr>
          <w:tblHeader w:val="true"/>
          <w:cantSplit w:val="true"/>
          <w:tblHeader w:val="true"/>
        </w:trPr>
        <w:tc>
          <w:tcPr>
            <w:tcW w:w="4680" w:type="dxa"/>
            <w:tcBorders/>
            <w:vAlign w:val="center"/>
            <w:shd w:fill="233746"/>
          </w:tcPr>
          <w:p>
            <w:pPr>
              <w:pStyle w:val="Normal"/>
              <w:widowControl/>
              <w:suppressAutoHyphens w:val="true"/>
              <w:spacing w:lineRule="auto" w:line="240" w:before="0" w:after="0"/>
              <w:jc w:val="left"/>
              <w:rPr>
                <w:rFonts w:cs=""/>
                <w:kern w:val="0"/>
                <w:szCs w:val="22"/>
                <w:lang w:val="en-US" w:eastAsia="en-US" w:bidi="ar-SA"/>
              </w:rPr>
            </w:pPr>
            <w:r>
              <w:rPr>
                <w:rFonts w:cs="" w:ascii="Arial" w:hAnsi="Arial"/>
                <w:b/>
                <w:color w:val="FFFFFF"/>
                <w:kern w:val="0"/>
                <w:sz w:val="17"/>
                <w:szCs w:val="22"/>
                <w:lang w:val="en-US" w:eastAsia="en-US" w:bidi="ar-SA"/>
              </w:rPr>
              <w:t>Tariff Item</w:t>
            </w:r>
          </w:p>
        </w:tc>
        <w:tc>
          <w:tcPr>
            <w:tcW w:w="4679" w:type="dxa"/>
            <w:tcBorders/>
            <w:vAlign w:val="center"/>
            <w:shd w:fill="233746"/>
          </w:tcPr>
          <w:p>
            <w:pPr>
              <w:pStyle w:val="Normal"/>
              <w:widowControl/>
              <w:suppressAutoHyphens w:val="true"/>
              <w:spacing w:lineRule="auto" w:line="240" w:before="0" w:after="0"/>
              <w:jc w:val="left"/>
              <w:rPr>
                <w:rFonts w:cs=""/>
                <w:kern w:val="0"/>
                <w:szCs w:val="22"/>
                <w:lang w:val="en-US" w:eastAsia="en-US" w:bidi="ar-SA"/>
              </w:rPr>
            </w:pPr>
            <w:r>
              <w:rPr>
                <w:rFonts w:cs="" w:ascii="Arial" w:hAnsi="Arial"/>
                <w:b/>
                <w:color w:val="FFFFFF"/>
                <w:kern w:val="0"/>
                <w:sz w:val="17"/>
                <w:szCs w:val="22"/>
                <w:lang w:val="en-US" w:eastAsia="en-US" w:bidi="ar-SA"/>
              </w:rPr>
              <w:t>Description</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0104.10.00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Sheep</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0104.20.00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Goats</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0105.11.10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For breeding purposes</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0105.11.21</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Broilers for domestic production: Within access commitment *</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0105.11.22</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Broilers for domestic production: Over access commitment * *</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0105.11.90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Other</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0105.12.10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For breeding purposes</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0105.12.90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Other</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0105.13.10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For breeding purposes</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0105.13.90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Other</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0105.14.10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For breeding purposes</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0105.14.90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Other</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0105.15.10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For breeding purposes</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0105.15.90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Other</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0105.94.10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For breeding purposes; Spent fowl; Started pullets *</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0105.94.91</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Other: Within access commitment * *</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0105.94.92</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Other: Over access commitment * *</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0105.99.11</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Turkeys: Within access commitment *</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0105.99.12</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Turkeys: Over access commitment * *</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0105.99.90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Other *</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0106.11.00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Primates</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0106.12.00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Whales, dolphins and porpoises (mammals of the order Cetecea); manatees and dugongs (mammals of the order Sirenia); seals, sea lions and walruses (mammals of the suborder Pinnipedia)</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0106.13.00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Camels and other camelids (Camelidae)</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0106.14.00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Rabbits and hares</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0106.19.00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Other</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0106.20.00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Reptiles (including snakes and turtles)</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0106.31.00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Birds of prey</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0106.32.00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Psittaciformes (including parrots, parakeets, macaws and cockatoos)</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0106.33.00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Ostriches; emus (Dromaius novaehollandiae)</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0106.39.00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Other</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0106.41.00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Bees</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0106.49.00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Other</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0106.90.00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Other</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0201.10.10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Within access commitment</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0201.10.20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Over access commitment</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0201.20.10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Within access commitment</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0201.20.20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Over access commitment</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0201.30.10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Within access commitment</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0201.30.20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Over access commitment</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b/>
                <w:kern w:val="0"/>
                <w:sz w:val="17"/>
                <w:szCs w:val="22"/>
                <w:lang w:val="en-US" w:eastAsia="en-US" w:bidi="ar-SA"/>
              </w:rPr>
              <w:t>Tariff Item</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b/>
                <w:kern w:val="0"/>
                <w:sz w:val="17"/>
                <w:szCs w:val="22"/>
                <w:lang w:val="en-US" w:eastAsia="en-US" w:bidi="ar-SA"/>
              </w:rPr>
              <w:t>Description</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0202.10.10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Within access commitment</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0202.10.20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Over access commitment</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0202.20.10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Within access commitment</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0202.20.20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Over access commitment</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0202.30.10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Within access commitment</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0202.30.20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Over access commitment</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0203.11.00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Carcasses and half-carcasses</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0203.12.00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Hams, shoulders and cuts thereof, with bone in</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0203.19.00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Other</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0203.21.00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Carcasses and half-carcasses</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0203.22.00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Hams, shoulders and cuts thereof, with bone in</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0203.29.00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Other</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0204.10.00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Carcasses and half-carcasses of lamb, fresh or chilled</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0204.21.00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Carcasses and half-carcasses</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0204.22.10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Of lamb</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0204.22.20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Of mutton</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0204.23.00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Boneless</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0204.30.00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Carcasses and half-carcasses of lamb, frozen</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0204.41.00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Carcasses and half-carcasses</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0204.42.10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Of lamb</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0204.42.20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Of mutton</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0204.43.10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Of lamb</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0204.43.20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Of mutton</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0204.50.00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Meat of goats</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0205.00.00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Meat of horses, asses, mules or hinnies, fresh, chilled or frozen.</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b/>
                <w:kern w:val="0"/>
                <w:sz w:val="17"/>
                <w:szCs w:val="22"/>
                <w:lang w:val="en-US" w:eastAsia="en-US" w:bidi="ar-SA"/>
              </w:rPr>
              <w:t>Tariff Item</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b/>
                <w:kern w:val="0"/>
                <w:sz w:val="17"/>
                <w:szCs w:val="22"/>
                <w:lang w:val="en-US" w:eastAsia="en-US" w:bidi="ar-SA"/>
              </w:rPr>
              <w:t>Description</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0206.10.00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Of bovine animals, fresh or chilled</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0206.21.00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Tongues</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0206.22.00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Livers</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0206.29.00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Other</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0206.30.00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Of swine, fresh or chilled</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0206.41.00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Livers</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0206.49.00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Other</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0206.80.00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Other, fresh or chilled</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0206.90.00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Other, frozen</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0207.11.10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Spent fowl *</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0207.11.91</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Other: Within access commitment * *</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0207.11.92</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Other: Over access commitment * *</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0207.12.10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Spent fowl *</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0207.12.91</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Other: Within access commitment * *</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0207.12.92</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Other: Over access commitment * *</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0207.13.10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Spent fowl *</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0207.13.91</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Other: Within access commitment * *</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0207.13.92</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Other: Over access commitment, bone in * *</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0207.13.93</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Other: Over access commitment, boneless * *</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0207.14.10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Spent fowl *</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0207.14.21</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Livers: Within access commitment * *</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0207.14.22</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Livers: Over access commitment * *</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0207.14.91</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Other: Within access commitment * *</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0207.14.92</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Other: Over access commitment, bone in * *</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0207.14.93</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Other: Over access commitment, boneless * *</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0207.24.11</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Canner pack: Within access commitment *</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0207.24.12</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Canner pack: Over access commitment * *</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0207.24.91</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Other: Within access commitment *</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0207.24.92</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Other: Over access commitment * *</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0207.25.11</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Canner pack: Within access commitment *</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0207.25.12</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Canner pack:</w:t>
            </w:r>
          </w:p>
        </w:tc>
      </w:tr>
    </w:tbl>
    <w:p>
      <w:pPr>
        <w:pStyle w:val="Normal"/>
        <w:widowControl/>
        <w:spacing w:before="160" w:after="160"/>
        <w:rPr/>
      </w:pPr>
      <w:r>
        <w:rPr/>
        <w:t>Over access commitment * *</w:t>
      </w:r>
    </w:p>
    <w:tbl>
      <w:tblPr>
        <w:tblStyle w:val="TableGrid"/>
        <w:tblW w:w="9360" w:type="dxa"/>
        <w:jc w:val="center"/>
        <w:tblInd w:w="-28" w:type="dxa"/>
        <w:tblLayout w:type="autofit"/>
        <w:tblCellMar>
          <w:top w:w="60" w:type="dxa"/>
          <w:left w:w="80" w:type="dxa"/>
          <w:bottom w:w="60" w:type="dxa"/>
          <w:right w:w="80" w:type="dxa"/>
        </w:tblCellMar>
        <w:tblLook w:val="04a0" w:noHBand="0" w:noVBand="1" w:firstColumn="1" w:lastRow="0" w:lastColumn="0" w:firstRow="1"/>
      </w:tblPr>
      <w:tblGrid>
        <w:gridCol w:w="4680"/>
        <w:gridCol w:w="4679"/>
      </w:tblGrid>
      <w:tr>
        <w:trPr>
          <w:tblHeader w:val="true"/>
          <w:cantSplit w:val="true"/>
          <w:tblHeader w:val="true"/>
        </w:trPr>
        <w:tc>
          <w:tcPr>
            <w:tcW w:w="4680" w:type="dxa"/>
            <w:tcBorders/>
            <w:vAlign w:val="center"/>
            <w:shd w:fill="233746"/>
          </w:tcPr>
          <w:p>
            <w:pPr>
              <w:pStyle w:val="Normal"/>
              <w:widowControl/>
              <w:suppressAutoHyphens w:val="true"/>
              <w:spacing w:lineRule="auto" w:line="240" w:before="0" w:after="0"/>
              <w:jc w:val="left"/>
              <w:rPr>
                <w:rFonts w:cs=""/>
                <w:kern w:val="0"/>
                <w:szCs w:val="22"/>
                <w:lang w:val="en-US" w:eastAsia="en-US" w:bidi="ar-SA"/>
              </w:rPr>
            </w:pPr>
            <w:r>
              <w:rPr>
                <w:rFonts w:cs="" w:ascii="Arial" w:hAnsi="Arial"/>
                <w:b/>
                <w:color w:val="FFFFFF"/>
                <w:kern w:val="0"/>
                <w:sz w:val="17"/>
                <w:szCs w:val="22"/>
                <w:lang w:val="en-US" w:eastAsia="en-US" w:bidi="ar-SA"/>
              </w:rPr>
              <w:t>Tariff Item</w:t>
            </w:r>
          </w:p>
        </w:tc>
        <w:tc>
          <w:tcPr>
            <w:tcW w:w="4679" w:type="dxa"/>
            <w:tcBorders/>
            <w:vAlign w:val="center"/>
            <w:shd w:fill="233746"/>
          </w:tcPr>
          <w:p>
            <w:pPr>
              <w:pStyle w:val="Normal"/>
              <w:widowControl/>
              <w:suppressAutoHyphens w:val="true"/>
              <w:spacing w:lineRule="auto" w:line="240" w:before="0" w:after="0"/>
              <w:jc w:val="left"/>
              <w:rPr>
                <w:rFonts w:cs=""/>
                <w:kern w:val="0"/>
                <w:szCs w:val="22"/>
                <w:lang w:val="en-US" w:eastAsia="en-US" w:bidi="ar-SA"/>
              </w:rPr>
            </w:pPr>
            <w:r>
              <w:rPr>
                <w:rFonts w:cs="" w:ascii="Arial" w:hAnsi="Arial"/>
                <w:b/>
                <w:color w:val="FFFFFF"/>
                <w:kern w:val="0"/>
                <w:sz w:val="17"/>
                <w:szCs w:val="22"/>
                <w:lang w:val="en-US" w:eastAsia="en-US" w:bidi="ar-SA"/>
              </w:rPr>
              <w:t>Description</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0207.25.91</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Other: Within access commitment *</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0207.25.92</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Other: Over access commitment * *</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0207.26.10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Within access commitment *</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0207.26.20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Over access commitment, bone in * *</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0207.26.30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Over access commitment, boneless * *</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0207.27.11</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Livers: Within access commitment *</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0207.27.12</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r>
          </w:p>
        </w:tc>
      </w:tr>
    </w:tbl>
    <w:p>
      <w:pPr>
        <w:pStyle w:val="Normal"/>
        <w:widowControl/>
        <w:spacing w:before="160" w:after="160"/>
        <w:rPr/>
      </w:pPr>
      <w:r>
        <w:rPr/>
        <w:t>Livers: Over access commitment * *</w:t>
      </w:r>
    </w:p>
    <w:tbl>
      <w:tblPr>
        <w:tblStyle w:val="TableGrid"/>
        <w:tblW w:w="9360" w:type="dxa"/>
        <w:jc w:val="center"/>
        <w:tblInd w:w="-28" w:type="dxa"/>
        <w:tblLayout w:type="autofit"/>
        <w:tblCellMar>
          <w:top w:w="60" w:type="dxa"/>
          <w:left w:w="80" w:type="dxa"/>
          <w:bottom w:w="60" w:type="dxa"/>
          <w:right w:w="80" w:type="dxa"/>
        </w:tblCellMar>
        <w:tblLook w:val="04a0" w:noHBand="0" w:noVBand="1" w:firstColumn="1" w:lastRow="0" w:lastColumn="0" w:firstRow="1"/>
      </w:tblPr>
      <w:tblGrid>
        <w:gridCol w:w="4680"/>
        <w:gridCol w:w="4679"/>
      </w:tblGrid>
      <w:tr>
        <w:trPr>
          <w:tblHeader w:val="true"/>
          <w:cantSplit w:val="true"/>
          <w:tblHeader w:val="true"/>
        </w:trPr>
        <w:tc>
          <w:tcPr>
            <w:tcW w:w="4680" w:type="dxa"/>
            <w:tcBorders/>
            <w:vAlign w:val="center"/>
            <w:shd w:fill="233746"/>
          </w:tcPr>
          <w:p>
            <w:pPr>
              <w:pStyle w:val="Normal"/>
              <w:widowControl/>
              <w:suppressAutoHyphens w:val="true"/>
              <w:spacing w:lineRule="auto" w:line="240" w:before="0" w:after="0"/>
              <w:jc w:val="left"/>
              <w:rPr>
                <w:rFonts w:cs=""/>
                <w:kern w:val="0"/>
                <w:szCs w:val="22"/>
                <w:lang w:val="en-US" w:eastAsia="en-US" w:bidi="ar-SA"/>
              </w:rPr>
            </w:pPr>
            <w:r>
              <w:rPr>
                <w:rFonts w:cs="" w:ascii="Arial" w:hAnsi="Arial"/>
                <w:b/>
                <w:color w:val="FFFFFF"/>
                <w:kern w:val="0"/>
                <w:sz w:val="17"/>
                <w:szCs w:val="22"/>
                <w:lang w:val="en-US" w:eastAsia="en-US" w:bidi="ar-SA"/>
              </w:rPr>
              <w:t>Tariff Item</w:t>
            </w:r>
          </w:p>
        </w:tc>
        <w:tc>
          <w:tcPr>
            <w:tcW w:w="4679" w:type="dxa"/>
            <w:tcBorders/>
            <w:vAlign w:val="center"/>
            <w:shd w:fill="233746"/>
          </w:tcPr>
          <w:p>
            <w:pPr>
              <w:pStyle w:val="Normal"/>
              <w:widowControl/>
              <w:suppressAutoHyphens w:val="true"/>
              <w:spacing w:lineRule="auto" w:line="240" w:before="0" w:after="0"/>
              <w:jc w:val="left"/>
              <w:rPr>
                <w:rFonts w:cs=""/>
                <w:kern w:val="0"/>
                <w:szCs w:val="22"/>
                <w:lang w:val="en-US" w:eastAsia="en-US" w:bidi="ar-SA"/>
              </w:rPr>
            </w:pPr>
            <w:r>
              <w:rPr>
                <w:rFonts w:cs="" w:ascii="Arial" w:hAnsi="Arial"/>
                <w:b/>
                <w:color w:val="FFFFFF"/>
                <w:kern w:val="0"/>
                <w:sz w:val="17"/>
                <w:szCs w:val="22"/>
                <w:lang w:val="en-US" w:eastAsia="en-US" w:bidi="ar-SA"/>
              </w:rPr>
              <w:t>Description</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0207.27.91</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Other: Within access commitment *</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0207.27.92</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Other: Over access commitment, bone in * *</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0207.27.93</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Other: Over access commitment, boneless * *</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0207.41.00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Not cut in pieces, fresh or chilled *</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0207.42.00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Not cut in pieces, frozen</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0207.43.00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Fatty livers, fresh or chilled</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0207.44.00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Other, fresh or chilled *</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0207.45.10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Livers *</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0207.45.90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Other</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0207.51.00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Not cut in pieces, fresh or chilled *</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0207.52.00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Not cut in pieces, frozen</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0207.53.00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Fatty livers, fresh or chilled</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0207.54.00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Other, fresh or chilled *</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0207.55.10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Livers *</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0207.55.90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Other</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0207.60.11</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Fresh or chilled: Not cut in pieces *</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0207.60.19</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Fresh or chilled: Other *</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0207.60.20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Not cut in pieces, frozen</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0207.60.91</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Other frozen: Livers *</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0207.60.99</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Other frozen:</w:t>
            </w:r>
          </w:p>
        </w:tc>
      </w:tr>
    </w:tbl>
    <w:p>
      <w:pPr>
        <w:pStyle w:val="Normal"/>
        <w:widowControl/>
        <w:spacing w:before="160" w:after="160"/>
        <w:rPr/>
      </w:pPr>
      <w:r>
        <w:rPr/>
        <w:t>Other</w:t>
      </w:r>
    </w:p>
    <w:tbl>
      <w:tblPr>
        <w:tblStyle w:val="TableGrid"/>
        <w:tblW w:w="9360" w:type="dxa"/>
        <w:jc w:val="center"/>
        <w:tblInd w:w="-28" w:type="dxa"/>
        <w:tblLayout w:type="autofit"/>
        <w:tblCellMar>
          <w:top w:w="60" w:type="dxa"/>
          <w:left w:w="80" w:type="dxa"/>
          <w:bottom w:w="60" w:type="dxa"/>
          <w:right w:w="80" w:type="dxa"/>
        </w:tblCellMar>
        <w:tblLook w:val="04a0" w:noHBand="0" w:noVBand="1" w:firstColumn="1" w:lastRow="0" w:lastColumn="0" w:firstRow="1"/>
      </w:tblPr>
      <w:tblGrid>
        <w:gridCol w:w="4680"/>
        <w:gridCol w:w="4679"/>
      </w:tblGrid>
      <w:tr>
        <w:trPr>
          <w:tblHeader w:val="true"/>
          <w:cantSplit w:val="true"/>
          <w:tblHeader w:val="true"/>
        </w:trPr>
        <w:tc>
          <w:tcPr>
            <w:tcW w:w="4680" w:type="dxa"/>
            <w:tcBorders/>
            <w:vAlign w:val="center"/>
            <w:shd w:fill="233746"/>
          </w:tcPr>
          <w:p>
            <w:pPr>
              <w:pStyle w:val="Normal"/>
              <w:widowControl/>
              <w:suppressAutoHyphens w:val="true"/>
              <w:spacing w:lineRule="auto" w:line="240" w:before="0" w:after="0"/>
              <w:jc w:val="left"/>
              <w:rPr>
                <w:rFonts w:cs=""/>
                <w:kern w:val="0"/>
                <w:szCs w:val="22"/>
                <w:lang w:val="en-US" w:eastAsia="en-US" w:bidi="ar-SA"/>
              </w:rPr>
            </w:pPr>
            <w:r>
              <w:rPr>
                <w:rFonts w:cs="" w:ascii="Arial" w:hAnsi="Arial"/>
                <w:b/>
                <w:color w:val="FFFFFF"/>
                <w:kern w:val="0"/>
                <w:sz w:val="17"/>
                <w:szCs w:val="22"/>
                <w:lang w:val="en-US" w:eastAsia="en-US" w:bidi="ar-SA"/>
              </w:rPr>
              <w:t>Tariff Item</w:t>
            </w:r>
          </w:p>
        </w:tc>
        <w:tc>
          <w:tcPr>
            <w:tcW w:w="4679" w:type="dxa"/>
            <w:tcBorders/>
            <w:vAlign w:val="center"/>
            <w:shd w:fill="233746"/>
          </w:tcPr>
          <w:p>
            <w:pPr>
              <w:pStyle w:val="Normal"/>
              <w:widowControl/>
              <w:suppressAutoHyphens w:val="true"/>
              <w:spacing w:lineRule="auto" w:line="240" w:before="0" w:after="0"/>
              <w:jc w:val="left"/>
              <w:rPr>
                <w:rFonts w:cs=""/>
                <w:kern w:val="0"/>
                <w:szCs w:val="22"/>
                <w:lang w:val="en-US" w:eastAsia="en-US" w:bidi="ar-SA"/>
              </w:rPr>
            </w:pPr>
            <w:r>
              <w:rPr>
                <w:rFonts w:cs="" w:ascii="Arial" w:hAnsi="Arial"/>
                <w:b/>
                <w:color w:val="FFFFFF"/>
                <w:kern w:val="0"/>
                <w:sz w:val="17"/>
                <w:szCs w:val="22"/>
                <w:lang w:val="en-US" w:eastAsia="en-US" w:bidi="ar-SA"/>
              </w:rPr>
              <w:t>Description</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0208.10.00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Of rabbits or hares</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0208.30.00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Of primates</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0208.40.10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Of whales</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0208.40.90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Other</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0208.50.00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Of reptiles (including snakes and turtles)</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0208.60.00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Of camels and other camelids (Camelidae)</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0208.90.00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Other</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0209.10.00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Of pigs</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0209.90.10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Fat of fowls of the species Gallus domesticus, within access commitment * *</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0209.90.20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Fat of fowls of the species Gallus domesticus, over access commitment * *</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0209.90.30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Fat of turkeys, within access commitment *</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0209.90.40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Fat of turkeys, over access commitment * *</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0209.90.90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Other *</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0210.11.00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Hams, shoulders and cuts thereof, with bone in</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0210.12.00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Bellies (streaky) and cuts thereof</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0210.19.00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Other</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0210.20.00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Meat of bovine animals</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0210.91.00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Of primates</w:t>
            </w:r>
          </w:p>
        </w:tc>
      </w:tr>
    </w:tbl>
    <w:p>
      <w:pPr>
        <w:pStyle w:val="Normal"/>
        <w:widowControl/>
        <w:spacing w:before="160" w:after="120"/>
        <w:rPr/>
      </w:pPr>
      <w:r>
        <w:rPr/>
        <w:t>0210.92.00 Of whales, dolphins and porpoises (mammals of the order Cetacea); of manatees and dugongs (mammals of the order Sirenia); of seals, sea lions and walruses (mammals of the suborder Pinnipedia) 0210.93.00 Of reptiles (including snakes and turtles) 0210.99.11 Meat of poultry: Of fowls of the species Gallus domesticus, within access commitment * * 0210.99.12 Meat of poultry: Of fowls of the species Gallus domesticus, over access commitment, bone in * * 0210.99.13 Meat of poultry: Of fowls of the species Gallus domesticus, over access commitment, boneless * * 0210.99.14 Meat of poultry: Of turkeys, within access commitment * 0210.99.15 Meat of poultry: Of turkeys, over access commitment, bone in * * 0210.99.16 Meat of poultry: Of turkeys, over access commitment, boneless * * 0210.99.19 Meat of poultry: Other * 0210.99.90 Other 0301.11.00 Freshwater 0301.19.00 Other 0301.91.00 Trout (Salmo trutta, Oncorhynchus mykiss, Oncorhynchus clarki, Oncorhynchus aguabonita, Oncorhynchus gilae, Oncorhynchus apache and Oncorhynchus chrysogaster) 0301.92.00 Eels (Anguilla spp.) 0301.93.00 Carp (Cyprinus spp., Carassius spp., Ctenopharyngodon idellus, Hypophthalmichthys spp., Cirrhinus spp., Mylopharyngodon piceus, Catla catla, Labeo spp., Osteochilus hasselti, Leptobarbus hoeveni, Megalobrama spp.)</w:t>
      </w:r>
    </w:p>
    <w:p>
      <w:pPr>
        <w:pStyle w:val="Normal"/>
        <w:widowControl/>
        <w:rPr/>
      </w:pPr>
      <w:r>
        <w:rPr/>
        <w:t>0301.94.00 Atlantic and Pacific bluefin tunas (Thunnus thynnus, Thunnus orientalis) 0301.95.00 Southern bluefin tunas (Thunnus maccoyii) 0301.99.00 Other 0302.11.00 Trout (Salmo trutta, Oncorhynchus mykiss, Oncorhynchus clarki, Oncorhynchus aguabonita, Oncorhynchus gilae, Oncorhynchus apache and Oncorhynchus chrysogaster) 0302.13.00 Pacific salmon (Oncorhynchus nerka, Oncorhynchus gorbuscha, Oncorhynchus keta, Oncorhynchus tschawytscha, Oncorhynchus kisutch, Oncorhynchus masou and Oncorhynchus rhodurus) 0302.14.00 Atlantic salmon (Salmo salar) and Danube salmon (Hucho hucho) 0302.19.00 Other 0302.21.00 Halibut (Reinhardtius hippoglossoides, Hippoglossus hippoglossus, Hippoglossus stenolepis) 0302.22.00 Plaice (Pleuronectes platessa) 0302.23.00 Sole (Solea spp.) 0302.24.00 Turbots (Psetta maxima) 0302.29.00 Other 0302.31.00 Albacore or longfinned tunas (Thunnus alalunga) 0302.32.00 Yellowfin tunas (Thunnus albacares) 0302.33.00 Skipjack or stripe-bellied bonito 0302.34.00 Bigeye tunas (Thunnus obesus) 0302.35.00 Atlantic and Pacific bluefin tunas (Thunnus thynnus, Thunnus orientalis) 0302.36.00 Southern bluefin tunas (Thunnus maccoyii) 0302.39.00 Other 0302.41.00 Herrings (Clupea harengus, Clupea pallasii) 0302.42.00 Anchovies (Engraulis spp.) 0302.43.00 Sardines (Sardina pilchardus, Sardinops spp.), sardinella (Sardinella spp.),</w:t>
      </w:r>
    </w:p>
    <w:p>
      <w:pPr>
        <w:pStyle w:val="Normal"/>
        <w:widowControl/>
        <w:rPr/>
      </w:pPr>
      <w:r>
        <w:rPr/>
        <w:t>brisling or sprats (Sprattus sprattus) 0302.44.00 Mackerel (Scomber scombrus, Scomber australasicus, Scomber japonicus) 0302.45.00 Jack and horse mackerel (Trachurus spp.) 0302.46.00 Cobia (Rachycentron canadum) 0302.47.00 Swordfish (Xiphias gladius) 0302.49.00 Other 0302.51.00 Cod (Gadus morhua, Gadus ogac, Gadus macrocephalus) 0302.52.00 Haddock (Melanogrammus aeglefinus) 0302.53.00 Coalfish (Pollachius virens) 0302.54.00 Hake (Merluccius spp., Urophycis spp.) 0302.55.00 Alaska Pollack (Theragra chalcogramma) 0302.56.00 Blue whitings (Micromesistius poutassou, Micromesistius australis) 0302.59.00 Other 0302.71.00 Tilapias (Oreochromis spp.) 0302.72.00 Catfish (Pangasius spp., Silurus spp., Clarias spp., Ictalurus spp.) 0302.73.00 Carp (Cyprinus spp., Carassius spp., Ctenopharyngodon idellus, Hypophthalmichthys spp., Cirrhinus spp., Mylopharyngodon piceus, Catla catla, Labeo spp., Osteochilus hasselti, Leptobarbus hoeveni, Megalobrama spp.) 0302.74.00 Eels (Anguilla spp.) 0302.79.00 Other 0302.81.00 Dogfish and other sharks 0302.82.00 Rays and skates (Rajidae) 0302.83.00 Toothfish (Dissostichus spp.) 0302.84.00 Seabass (Dicentrarchus spp.)</w:t>
      </w:r>
    </w:p>
    <w:p>
      <w:pPr>
        <w:pStyle w:val="Normal"/>
        <w:widowControl/>
        <w:spacing w:before="0" w:after="160"/>
        <w:rPr/>
      </w:pPr>
      <w:r>
        <w:rPr/>
        <w:t>0302.85.00 Seabream (Sparidae) 0302.89.00 Other 0302.91.00 Livers, roes and milt 0302.92.00 Shark fins 0302.99.00 Other 0303.11.00 Sockeye salmon (red salmon) (Oncorhynchus nerka) 0303.12.00 Other Pacific salmon (Oncorhynchus gorbuscha, Oncorhynchus keta, Oncorhynchus tschawytscha, Oncorhynchus kisutch, Oncorhynchus masou and Oncorhynchus rhodurus) 0303.13.00 Atlantic salmon (Salmo salar) and Danube salmon (Hucho hucho) 0303.14.00 Trout (Salmo trutta, Oncorhynchus mykiss, Oncorhynchus clarki, Oncorhynchus aguabonita, Oncorhynchus gilae, Oncorhynchus apache and Oncorhynchus chrysogaster) 0303.19.00 Other 0303.23.00 Tilapias (Oreochromis spp.) 0303.24.00 Catfish (Pangasius spp., Silurus spp., Clarias spp., Ictalurus spp.) 0303.25.00 Carp (Cyprinus spp., Carassius spp., Ctenopharyngodon idellus, Hypophthalmichthys spp., Cirrhinus spp., Mylopharyngodon piceus, Catla catla, Labeo spp., Osteochilus hasselti, Leptobarbus hoeveni, Megalobrama spp.) 0303.26.00 Eels (Anguilla spp.) 0303.29.00 Other 0303.31.00 Halibut (Reinhardtius hippoglossoides, Hippoglossus hippoglossus, Hippoglossus stenolepis) 0303.32.00 Plaice (Pleuronectes platessa) 0303.33.00 Sole (Solea spp.)</w:t>
      </w:r>
    </w:p>
    <w:tbl>
      <w:tblPr>
        <w:tblStyle w:val="TableGrid"/>
        <w:tblW w:w="9360" w:type="dxa"/>
        <w:jc w:val="center"/>
        <w:tblInd w:w="-28" w:type="dxa"/>
        <w:tblLayout w:type="autofit"/>
        <w:tblCellMar>
          <w:top w:w="60" w:type="dxa"/>
          <w:left w:w="80" w:type="dxa"/>
          <w:bottom w:w="60" w:type="dxa"/>
          <w:right w:w="80" w:type="dxa"/>
        </w:tblCellMar>
        <w:tblLook w:val="04a0" w:noHBand="0" w:noVBand="1" w:firstColumn="1" w:lastRow="0" w:lastColumn="0" w:firstRow="1"/>
      </w:tblPr>
      <w:tblGrid>
        <w:gridCol w:w="4680"/>
        <w:gridCol w:w="4679"/>
      </w:tblGrid>
      <w:tr>
        <w:trPr>
          <w:tblHeader w:val="true"/>
          <w:cantSplit w:val="true"/>
          <w:tblHeader w:val="true"/>
        </w:trPr>
        <w:tc>
          <w:tcPr>
            <w:tcW w:w="4680" w:type="dxa"/>
            <w:tcBorders/>
            <w:vAlign w:val="center"/>
            <w:shd w:fill="233746"/>
          </w:tcPr>
          <w:p>
            <w:pPr>
              <w:pStyle w:val="Normal"/>
              <w:widowControl/>
              <w:suppressAutoHyphens w:val="true"/>
              <w:spacing w:lineRule="auto" w:line="240" w:before="0" w:after="0"/>
              <w:jc w:val="left"/>
              <w:rPr>
                <w:rFonts w:cs=""/>
                <w:kern w:val="0"/>
                <w:szCs w:val="22"/>
                <w:lang w:val="en-US" w:eastAsia="en-US" w:bidi="ar-SA"/>
              </w:rPr>
            </w:pPr>
            <w:r>
              <w:rPr>
                <w:rFonts w:cs="" w:ascii="Arial" w:hAnsi="Arial"/>
                <w:b/>
                <w:color w:val="FFFFFF"/>
                <w:kern w:val="0"/>
                <w:sz w:val="17"/>
                <w:szCs w:val="22"/>
                <w:lang w:val="en-US" w:eastAsia="en-US" w:bidi="ar-SA"/>
              </w:rPr>
              <w:t>Tariff Item</w:t>
            </w:r>
          </w:p>
        </w:tc>
        <w:tc>
          <w:tcPr>
            <w:tcW w:w="4679" w:type="dxa"/>
            <w:tcBorders/>
            <w:vAlign w:val="center"/>
            <w:shd w:fill="233746"/>
          </w:tcPr>
          <w:p>
            <w:pPr>
              <w:pStyle w:val="Normal"/>
              <w:widowControl/>
              <w:suppressAutoHyphens w:val="true"/>
              <w:spacing w:lineRule="auto" w:line="240" w:before="0" w:after="0"/>
              <w:jc w:val="left"/>
              <w:rPr>
                <w:rFonts w:cs=""/>
                <w:kern w:val="0"/>
                <w:szCs w:val="22"/>
                <w:lang w:val="en-US" w:eastAsia="en-US" w:bidi="ar-SA"/>
              </w:rPr>
            </w:pPr>
            <w:r>
              <w:rPr>
                <w:rFonts w:cs="" w:ascii="Arial" w:hAnsi="Arial"/>
                <w:b/>
                <w:color w:val="FFFFFF"/>
                <w:kern w:val="0"/>
                <w:sz w:val="17"/>
                <w:szCs w:val="22"/>
                <w:lang w:val="en-US" w:eastAsia="en-US" w:bidi="ar-SA"/>
              </w:rPr>
              <w:t>Description</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0303.34.00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 Turbots (Psetta maxima)</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0303.39.00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Other</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0303.41.00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Albacore or longfinned tunas (Thunnus alalunga)</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0303.42.00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Yellowfin tunas (Thunnus albacares)</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0303.43.00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Skipjack or stripe-bellied bonito</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0303.44.00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Bigeye tunas (Thunnus obesus)</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0303.45.00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Atlantic and Pacific bluefin tunas (Thunnus thynnus, Thunnus orientalis)</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0303.46.00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Southern bluefin tunas (Thunnus maccoyii)</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0303.49.00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Other</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0303.51.00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Herrings (Clupea harengus, Clupea pallasii)</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0303.53.00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Sardines (Sardina pilchardus, Sardinops spp.), sardinella (Sardinella spp.), brisling or sprats (Sprattus sprattus)</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0303.54.00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Mackerel (Scomber scombrus, Scomber australasicus, Scomber japonicus)</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0303.55.00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Jack and horse mackerel (Trachurus spp.)</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0303.56.00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Cobia (Rachycentron canadum)</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0303.57.00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Swordfish (Xiphias gladius)</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0303.59.00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Other</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0303.63.00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Cod (Gadus morhua, Gadus ogac, Gadus macrocephalus)</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0303.64.00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Haddock (Melanogrammus aeglefinus)</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0303.65.00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Coalfish (Pollachius virens)</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0303.66.00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Hake (Merluccius spp., Urophycis spp.)</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0303.67.00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Alaska Pollack (Theragra chalcogramma)</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0303.68.00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Blue whitings (Micromesistius poutassou, Micromesistius australis)</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0303.69.00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Other</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0303.81.00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Dogfish and other sharks</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0303.82.00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Rays and skates (Rajidae)</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0303.83.00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Toothfish (Dissostichus spp.)</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0303.84.00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Seabass (Dicentrarchus spp.)</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0303.89.00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Other</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0303.91.00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Livers, roes and milt</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0303.92.00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Shark fins</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0303.99.00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Other</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0304.31.00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Tilapias (Oreochromis spp.</w:t>
            </w:r>
          </w:p>
        </w:tc>
      </w:tr>
    </w:tbl>
    <w:p>
      <w:pPr>
        <w:pStyle w:val="Normal"/>
        <w:widowControl/>
        <w:spacing w:before="160" w:after="120"/>
        <w:rPr/>
      </w:pPr>
      <w:r>
        <w:rPr/>
        <w:t>0304.32.00 Catfish (Pangasius spp., Silurus spp., Clarias spp., Ictalurus spp.) 0304.33.00 Nile Perch (Lates niloticus) 0304.39.00 Other 0304.41.00 Pacific salmon (Oncorhynchus nerka, Oncorhynchus gorbuscha, Oncorhynchus keta, Oncorhynchus tschawytscha, Oncorhynchus kisutch, Oncorhynchus masou and Oncorhynchus rhodurus), Atlantic salmon (Salmo salar) and Danube salmon (Hucho hucho) 0304.42.00 Trout (Salmo trutta, Oncorhynchus mykiss, Oncorhynchus clarki, Oncorhynchus aguabonita, Oncorhynchus gilae, Oncorhynchus apache and Oncorhynchus chrysogaster) 0304.43.00 Flat fish (Pleuronectidae, Bothidae, Cynoglossidae, Soleidae, Scophthalmidae and Citharidae) 0304.44.00 Fish of the families Bregmacerotidae, Euclichthyidae, Gadidae, Macrouridae, Melanonidae, Merlucciidae, Moridae and Muraenolepididae 0304.45.00 Swordfish (Xiphias gladius) 0304.46.00 Toothfish (Dissostichus spp.) 0304.47.00 Dogfish and other sharks 0304.48.00 Rays and skates (Rajidae) 0304.49.00 Other 0304.51.00 Tilapias (Oreochromis spp.), catfish (Pangasius spp., Silurus spp., Clarias spp., Ictalurus spp.), carp (Cyprinus spp., Carassius spp., Ctenopharyngodon idellus, Hypophthalmichthys spp., Cirrhinus spp., Mylopharyngodon piceus, Catla catla, Labeo spp., Osteochilus hasselti, Leptobarbus hoeveni, Megalobrama spp.), eels (Anguilla spp.), Nile perch (Lates niloticus) and snakeheads (Channa spp.)</w:t>
      </w:r>
    </w:p>
    <w:p>
      <w:pPr>
        <w:pStyle w:val="Normal"/>
        <w:widowControl/>
        <w:rPr/>
      </w:pPr>
      <w:r>
        <w:rPr/>
        <w:t>0304.52.00 Salmonidae 0304.53.00 Fish of the families Bregmacerotidae, Euclichthyidae, Gadidae, Macrouridae, Melanonidae, Merlucciidae, Moridae and Muraenolepididae 0304.54.00 Swordfish (Xiphias gladius) 0304.55.00 Toothfish (Dissostichus spp.) 0304.56.00 Dogfish and other sharks 0304.57.00 Rays and skates (Rajidae) 0304.59.00 Other 0304.61.00 Tilapias (Oreochromis spp.) 0304.62.00 Catfish (Pangasius spp., Silurus spp., Clarias spp., Ictalurus spp.) 0304.63.00 Nile Perch (Lates niloticus) 0304.69.00 Other 0304.71.00 Cod (Gadus morhua, Gadus ogac, Gadus macrocephalus) 0304.72.00 Haddock (Melanogrammus aeglefinus) 0304.73.00 Coalfish (Pollachius virens) 0304.74.00 Hake (Merluccius spp., Urophycis spp.) 0304.75.00 Alaska Pollack (Theragra chalcogramma) 0304.79.00 Other 0304.81.00 Pacific salmon (Oncorhynchus nerka, Oncorhynchus gorbuscha, Oncorhynchus keta, Oncorhynchus tschawytscha, Oncorhynchus kisutch, Oncorhynchus masou and Oncorhynchus rhodurus), Atlantic salmon (Salmo salar) and Danube salmon (Hucho hucho) 0304.82.00 Trout (Salmo trutta, Oncorhynchus mykiss, Oncorhynchus clarki, Oncorhynchus aguabonita, Oncorhynchus gilae, Oncorhynchus apache and Oncorhynchus chrysogaster) 0304.83.00 Flat fish (Pleuronectidae, Bothidae, Cynoglossidae, Soleidae, Scophthalmidae and Citharidae) 0304.84.00 Swordfish (Xiphias gladius) 0304.85.00 Toothfish (Dissostichus spp.)</w:t>
      </w:r>
    </w:p>
    <w:p>
      <w:pPr>
        <w:pStyle w:val="Normal"/>
        <w:widowControl/>
        <w:rPr/>
      </w:pPr>
      <w:r>
        <w:rPr/>
        <w:t>0304.86.00 Herrings (Clupea harengus, Clupea pallasii) 0304.87.00 Tunas (of the genus Thunnus), skipjack or stripe-bellied bonito (Euthynnus (Katsuwonus) pelamis) 0304.88.00 Dogfish, other sharks, rays and skates (Rajidae) 0304.89.00 Other 0304.91.00 Swordfish (Xiphias gladius) 0304.92.00 Toothfish (Dissostichus spp.) 0304.93.00 Tilapias (Oreochromis spp.), catfish (Pangasius spp., Silurus spp., Clarias spp., Ictalurus spp .), carp (Cyprinus spp., Carassius spp., Ctenopharyngodon idellus, Hypophthalmichthys spp., Cirrhinus spp., Mylopharyngodon piceus, Catla catla, Labeo spp., Osteochilus hasselti, Leptobarbus hoeveni, Megalobrama spp .), eels (Anguilla spp.), Nile perch (Lates niloticus) and snakeheads (Channa spp.) 0304.94.00 Alaska Pollack (Theragra chalcogramma) 0304.95.00 Fish of the families Bregmacerotidae, Euclichthyidae, Gadidae, Macrouridae, Melanonidae, Merlucciidae, Moridae and Muraenolepididae, other than Alaska Pollack (Theragra chalcogramma) 0304.96.00 Dogfish and other sharks 0304.97.00 Rays and skates (Rajidae) 0304.99.00 Other 0305.10.00 Flours, meals and pellets of fish, fit for human consumption 0305.20.00 Livers, roes and milt of fish, dried, smoked, salted or in brine 0305.31.00 Tilapias (Oreochromis spp.), catfish (Pangasius spp., Silurus spp., Clarias spp., Ictalurus spp.),</w:t>
      </w:r>
    </w:p>
    <w:p>
      <w:pPr>
        <w:pStyle w:val="Normal"/>
        <w:widowControl/>
        <w:rPr/>
      </w:pPr>
      <w:r>
        <w:rPr/>
        <w:t>carp (Cyprinus spp., Carassius spp., Ctenopharyngodon idellus, Hypophthalmichthys spp., Cirrhinus spp., Mylopharyngodon piceus, Catla catla, Labeo spp., Osteochilus hasselti, Leptobarbus hoeveni, Megalobrama spp.), eels (Anguilla spp.), Nile perch (Lates niloticus) and snakeheads (Channa spp.) 0305.32.00 Fish of the families Bregmacerotidae, Euclichthyidae, Gadidae, Macrouridae, Melanonidae, Merlucciidae, Moridae and Muraenolepididae 0305.39.00 Other 0305.41.00 Pacific salmon (Oncorhynchus nerka, Oncorhynchus gorbuscha, Oncorhynchus keta, Oncorhynchus tschawytscha, Oncorhynchus kisutch, Oncorhynchus masou and Oncorhynchus rhodurus), Atlantic salmon (Salmo salar) and Danube salmon (Hucho hucho) 0305.42.00 Herrings (Clupea harengus, Clupea pallasii) 0305.43.00 Trout (Salmo trutta, Oncorhynchus mykiss, Oncorhynchus clarki, Oncorhynchus aguabonita, Oncorhynchus gilae, Oncorhynchus apache and Oncorhynchus chrysogaster) 0305.44.00 Tilapias (Oreochromis spp.), catfish (Pangasius spp., Silurus spp., Clarias spp., Ictalurus spp.), carp (Cyprinus spp., Carassius spp., Ctenopharyngodon idellus, Hypophthalmichthys spp., Cirrhinus spp., Mylopharyngodon piceus, Catla catla, Labeo spp., Osteochilus hasselti, Leptobarbus hoeveni, Megalobrama spp.), eels (Anguilla spp.), Nile perch (Lates niloticus) and snakeheads (Channa spp.) 0305.49.00 Other 0305.51.00 Cod (Gadus morhua, Gadus ogac, Gadus macrocephalus) 0305.52.00 Tilapias (Oreochromis spp.),</w:t>
      </w:r>
    </w:p>
    <w:p>
      <w:pPr>
        <w:pStyle w:val="Normal"/>
        <w:widowControl/>
        <w:rPr/>
      </w:pPr>
      <w:r>
        <w:rPr/>
        <w:t>catfish (Pangasius spp., Silurus spp., Clarias spp., Ictalurus spp.), carp (Cyprinus spp., Carassius spp., Ctenopharyngodon idellus, Hypophthalmichthys spp., Cirrhinus spp., Mylopharyngodon piceus, Catla catla, Labeo spp., Osteochilus hasselti, Leptobarbus hoeveni, Megalobrama spp.), eels (Anguilla spp.), Nile perch (Lates niloticus) and snakeheads (Channa spp.) 0305.53.00 Fish of the families Bregmacerotidae, Euclichthyidae, Gadidae, Macrouridae, Melanonidae, Merlucciidae, Moridae and Muraenolepididae, other than cod (Gadus morhua, Gadus ogac, Gadus macrocephalus) 0305.54.00 Herrings (Clupea harengus, Clupea pallasii), anchovies (Engraulis spp.), sardines (Sardina pilchardus, Sardinops spp.), sardinella (Sardinella spp.), brisling or sprats (Sprattus sprattus), mackerel (Scomber scombrus, Scomber australasicus, Scomber japonicus), Indian mackerels (Rastrelliger spp.), seerfishes (Scomberomorus spp.), jack and horse mackerel (Trachurus spp.), jacks, crevalles (Caranx spp.), cobia (Rachycentron canadum), silver pomfrets (Pampus spp.), Pacific saury (Cololabis saira), scads (Decapterus spp.), capelin (Mallotus villosus), swordfish (Xiphias gladius), Kawakawa (Euthynnus affinis), bonitos (Sarda spp.), marlins, sailfishes, spearfish (Istiophoridae) 0305.59.00 Other 0305.61.00 Herrings (Clupea harengus, Clupea pallasii) 0305.62.00 Cod (Gadus morhua, Gadus ogac, Gadus macrocephalus) 0305.63.00 Anchovies (Engraulis spp.)</w:t>
      </w:r>
    </w:p>
    <w:p>
      <w:pPr>
        <w:pStyle w:val="Normal"/>
        <w:widowControl/>
        <w:spacing w:before="0" w:after="160"/>
        <w:rPr/>
      </w:pPr>
      <w:r>
        <w:rPr/>
        <w:t>0305.64.00 Tilapias (Oreochromis spp.), catfish (Pangasius spp., Silurus spp., Clarias spp., Ictalurus spp.), carp (Cyprinus spp., Carassius spp., Ctenopharyngodon idellus, Hypophthalmichthys spp., Cirrhinus spp., Mylopharyngodon piceus, Catla catla, Labeo spp., Osteochilus hasselti, Leptobarbus hoeveni, Megalobrama spp.), eels (Anguilla spp.), Nile perch (Lates niloticus) and snakeheads (Channa spp.) 0305.69.00 Other 0305.71.00 Shark fins 0305.72.00 Fish heads, tails and maws 0305.79.00 Other 0306.11.00 Rock lobster and other sea crawfish (Palinurus spp., Panulirus spp., Jasus spp.) 0306.12.10 Smoked 0306.12.90 Other 0306.14.10 King or snow for processing 0306.14.90 Other 0306.15.00 Norway lobsters (Nephrops norvegicus) 0306.16.00 Cold-water shrimps and prawns (Pandalus spp., Crangon crangon) 0306.17.00 Other shrimps and prawns 0306.19.00 Other, including flours, meals and pellets of crustaceans, fit for human consumption 0306.31.00 Rock lobster and other sea crawfish (Palinurus spp., Panulirus spp., Jasus spp.) 0306.32.00 Lobsters (Homarus spp.) 0306.33.00 Crabs 0306.34.00 Norway lobsters (Nephrops norvegicus) 0306.35.00 Cold-water shrimps and prawns (Pandalus spp., Crangon crangon) 0306.36.00 Other shrimps and prawns 0306.39.00 Other, including flours, meals and pellets of crustaceans, fit for human consumption 0306.91.00 Rock lobster and other sea crawfish (Palinurus spp., Panulirus spp., Jasus spp.</w:t>
      </w:r>
    </w:p>
    <w:tbl>
      <w:tblPr>
        <w:tblStyle w:val="TableGrid"/>
        <w:tblW w:w="9360" w:type="dxa"/>
        <w:jc w:val="center"/>
        <w:tblInd w:w="-28" w:type="dxa"/>
        <w:tblLayout w:type="autofit"/>
        <w:tblCellMar>
          <w:top w:w="60" w:type="dxa"/>
          <w:left w:w="80" w:type="dxa"/>
          <w:bottom w:w="60" w:type="dxa"/>
          <w:right w:w="80" w:type="dxa"/>
        </w:tblCellMar>
        <w:tblLook w:val="04a0" w:noHBand="0" w:noVBand="1" w:firstColumn="1" w:lastRow="0" w:lastColumn="0" w:firstRow="1"/>
      </w:tblPr>
      <w:tblGrid>
        <w:gridCol w:w="4680"/>
        <w:gridCol w:w="4679"/>
      </w:tblGrid>
      <w:tr>
        <w:trPr>
          <w:tblHeader w:val="true"/>
          <w:cantSplit w:val="true"/>
          <w:tblHeader w:val="true"/>
        </w:trPr>
        <w:tc>
          <w:tcPr>
            <w:tcW w:w="4680" w:type="dxa"/>
            <w:tcBorders/>
            <w:vAlign w:val="center"/>
            <w:shd w:fill="233746"/>
          </w:tcPr>
          <w:p>
            <w:pPr>
              <w:pStyle w:val="Normal"/>
              <w:widowControl/>
              <w:suppressAutoHyphens w:val="true"/>
              <w:spacing w:lineRule="auto" w:line="240" w:before="0" w:after="0"/>
              <w:jc w:val="left"/>
              <w:rPr>
                <w:rFonts w:cs=""/>
                <w:kern w:val="0"/>
                <w:szCs w:val="22"/>
                <w:lang w:val="en-US" w:eastAsia="en-US" w:bidi="ar-SA"/>
              </w:rPr>
            </w:pPr>
            <w:r>
              <w:rPr>
                <w:rFonts w:cs="" w:ascii="Arial" w:hAnsi="Arial"/>
                <w:b/>
                <w:color w:val="FFFFFF"/>
                <w:kern w:val="0"/>
                <w:sz w:val="17"/>
                <w:szCs w:val="22"/>
                <w:lang w:val="en-US" w:eastAsia="en-US" w:bidi="ar-SA"/>
              </w:rPr>
              <w:t>Tariff Item</w:t>
            </w:r>
          </w:p>
        </w:tc>
        <w:tc>
          <w:tcPr>
            <w:tcW w:w="4679" w:type="dxa"/>
            <w:tcBorders/>
            <w:vAlign w:val="center"/>
            <w:shd w:fill="233746"/>
          </w:tcPr>
          <w:p>
            <w:pPr>
              <w:pStyle w:val="Normal"/>
              <w:widowControl/>
              <w:suppressAutoHyphens w:val="true"/>
              <w:spacing w:lineRule="auto" w:line="240" w:before="0" w:after="0"/>
              <w:jc w:val="left"/>
              <w:rPr>
                <w:rFonts w:cs=""/>
                <w:kern w:val="0"/>
                <w:szCs w:val="22"/>
                <w:lang w:val="en-US" w:eastAsia="en-US" w:bidi="ar-SA"/>
              </w:rPr>
            </w:pPr>
            <w:r>
              <w:rPr>
                <w:rFonts w:cs="" w:ascii="Arial" w:hAnsi="Arial"/>
                <w:b/>
                <w:color w:val="FFFFFF"/>
                <w:kern w:val="0"/>
                <w:sz w:val="17"/>
                <w:szCs w:val="22"/>
                <w:lang w:val="en-US" w:eastAsia="en-US" w:bidi="ar-SA"/>
              </w:rPr>
              <w:t>Description</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0306.92.10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 Smoked</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0306.92.90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Other</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0306.93.00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Crabs</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0306.94.00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Norway lobsters (Nephrops norvegicus)</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0306.95.00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Shrimps and prawns</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0306.99.00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Other, including flours, meals and pellets of crustaceans, fit for human consumption</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0307.11.10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In shell</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0307.11.20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Shelled</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0307.12.10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Smoked</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0307.12.90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Other</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0307.19.10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Smoked</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0307.19.90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Other</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0307.21.00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Live, fresh or chilled</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0307.22.00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Frozen</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0307.29.00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Other</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0307.31.00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Live, fresh or chilled</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0307.32.10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Smoked</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0307.32.90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Other</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0307.39.10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Smoked</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0307.39.90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Other</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0307.42.00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Live, fresh or chilled</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0307.43.00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Frozen</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0307.49.00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Other</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0307.51.00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Live, fresh or chilled</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0307.52.00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Frozen</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0307.59.00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Other</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0307.60.10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Smoked</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0307.60.90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Other</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0307.71.00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Live, fresh or chilled</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0307.72.10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Smoked</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0307.72.90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Other</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0307.79.10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Smoked</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0307.79.90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Other</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0307.81.00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Live, fresh or chilled abalone (Haliotis spp.)</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0307.82.00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Live, fresh or chilled stromboid conchs (Strombus spp.</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b/>
                <w:kern w:val="0"/>
                <w:sz w:val="17"/>
                <w:szCs w:val="22"/>
                <w:lang w:val="en-US" w:eastAsia="en-US" w:bidi="ar-SA"/>
              </w:rPr>
              <w:t>Tariff Item</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b/>
                <w:kern w:val="0"/>
                <w:sz w:val="17"/>
                <w:szCs w:val="22"/>
                <w:lang w:val="en-US" w:eastAsia="en-US" w:bidi="ar-SA"/>
              </w:rPr>
              <w:t>Description</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0307.83.10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 Smoked</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0307.83.90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Other</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0307.84.10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Smoked</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0307.84.90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Other</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0307.87.10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Smoked</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0307.87.90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Other</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0307.88.10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Smoked</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0307.88.90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Other</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0307.91.00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Live, fresh or chilled</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0307.92.10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Smoked</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0307.92.90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Other</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0307.99.10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Smoked</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0307.99.90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Other</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0308.11.00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Live, fresh or chilled</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0308.12.10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Smoked</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0308.12.90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Other</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0308.19.10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Smoked</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0308.19.90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Other</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0308.21.00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Live, fresh or chilled</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0308.22.10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Smoked</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0308.22.90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Other</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0308.29.10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Smoked</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0308.29.90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Other</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0308.30.10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Smoked</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0308.30.90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Other</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0308.90.10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Smoked</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0308.90.90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Other</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0401.10.10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Within access commitment * *</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0401.10.20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Over access commitment * *</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0401.20.10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Within access commitment * *</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0401.20.20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Over access commitment * *</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0401.40.10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Within access commitment * *</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0401.40.20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Over access commitment * *</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0401.50.10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Within access commitment * *</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0401.50.20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Over access commitment * *</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0402.10.10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Within access commitment * *</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0402.10.20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Over access commitment * *</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0402.21.11</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Milk: Within access commitment * *</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0402.21.12</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Milk: Over access commitment * *</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0402.21.21</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Cream: Within access commitment * *</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0402.21.22</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Cream: Over access commitment * *</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0402.29.11</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Milk: Within access commitment * *</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0402.29.12</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Milk: Over access commitment * *</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0402.29.21</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Cream: Within access commitment * *</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0402.29.22</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Cream: Over access commitment * *</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0402.91.10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Within access commitment * *</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0402.91.20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Over access commitment * *</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0402.99.10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Within access commitment * *</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0402.99.20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Over access commitment * *</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0403.10.10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Within access commitment * *</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0403.10.20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Over access</w:t>
            </w:r>
          </w:p>
        </w:tc>
      </w:tr>
    </w:tbl>
    <w:p>
      <w:pPr>
        <w:pStyle w:val="Normal"/>
        <w:widowControl/>
        <w:spacing w:before="160" w:after="160"/>
        <w:rPr/>
      </w:pPr>
      <w:r>
        <w:rPr/>
        <w:t>commitment * *</w:t>
      </w:r>
    </w:p>
    <w:tbl>
      <w:tblPr>
        <w:tblStyle w:val="TableGrid"/>
        <w:tblW w:w="9360" w:type="dxa"/>
        <w:jc w:val="center"/>
        <w:tblInd w:w="-28" w:type="dxa"/>
        <w:tblLayout w:type="autofit"/>
        <w:tblCellMar>
          <w:top w:w="60" w:type="dxa"/>
          <w:left w:w="80" w:type="dxa"/>
          <w:bottom w:w="60" w:type="dxa"/>
          <w:right w:w="80" w:type="dxa"/>
        </w:tblCellMar>
        <w:tblLook w:val="04a0" w:noHBand="0" w:noVBand="1" w:firstColumn="1" w:lastRow="0" w:lastColumn="0" w:firstRow="1"/>
      </w:tblPr>
      <w:tblGrid>
        <w:gridCol w:w="4680"/>
        <w:gridCol w:w="4679"/>
      </w:tblGrid>
      <w:tr>
        <w:trPr>
          <w:tblHeader w:val="true"/>
          <w:cantSplit w:val="true"/>
          <w:tblHeader w:val="true"/>
        </w:trPr>
        <w:tc>
          <w:tcPr>
            <w:tcW w:w="4680" w:type="dxa"/>
            <w:tcBorders/>
            <w:vAlign w:val="center"/>
            <w:shd w:fill="233746"/>
          </w:tcPr>
          <w:p>
            <w:pPr>
              <w:pStyle w:val="Normal"/>
              <w:widowControl/>
              <w:suppressAutoHyphens w:val="true"/>
              <w:spacing w:lineRule="auto" w:line="240" w:before="0" w:after="0"/>
              <w:jc w:val="left"/>
              <w:rPr>
                <w:rFonts w:cs=""/>
                <w:kern w:val="0"/>
                <w:szCs w:val="22"/>
                <w:lang w:val="en-US" w:eastAsia="en-US" w:bidi="ar-SA"/>
              </w:rPr>
            </w:pPr>
            <w:r>
              <w:rPr>
                <w:rFonts w:cs="" w:ascii="Arial" w:hAnsi="Arial"/>
                <w:b/>
                <w:color w:val="FFFFFF"/>
                <w:kern w:val="0"/>
                <w:sz w:val="17"/>
                <w:szCs w:val="22"/>
                <w:lang w:val="en-US" w:eastAsia="en-US" w:bidi="ar-SA"/>
              </w:rPr>
              <w:t>Tariff Item</w:t>
            </w:r>
          </w:p>
        </w:tc>
        <w:tc>
          <w:tcPr>
            <w:tcW w:w="4679" w:type="dxa"/>
            <w:tcBorders/>
            <w:vAlign w:val="center"/>
            <w:shd w:fill="233746"/>
          </w:tcPr>
          <w:p>
            <w:pPr>
              <w:pStyle w:val="Normal"/>
              <w:widowControl/>
              <w:suppressAutoHyphens w:val="true"/>
              <w:spacing w:lineRule="auto" w:line="240" w:before="0" w:after="0"/>
              <w:jc w:val="left"/>
              <w:rPr>
                <w:rFonts w:cs=""/>
                <w:kern w:val="0"/>
                <w:szCs w:val="22"/>
                <w:lang w:val="en-US" w:eastAsia="en-US" w:bidi="ar-SA"/>
              </w:rPr>
            </w:pPr>
            <w:r>
              <w:rPr>
                <w:rFonts w:cs="" w:ascii="Arial" w:hAnsi="Arial"/>
                <w:b/>
                <w:color w:val="FFFFFF"/>
                <w:kern w:val="0"/>
                <w:sz w:val="17"/>
                <w:szCs w:val="22"/>
                <w:lang w:val="en-US" w:eastAsia="en-US" w:bidi="ar-SA"/>
              </w:rPr>
              <w:t>Description</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0403.90.11</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Powdered buttermilk: Within access commitment * *</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0403.90.12</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Powdered buttermilk: Over access commitment * *</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0403.90.91</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Other: Within access commitment * *</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0403.90.92</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Other: Over access commitment * *</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0404.10.10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Whey protein concentrate *</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0404.10.21</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Powdered whey: Within access commitment * *</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0404.10.22</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Powdered whey: Over access commitment * *</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0404.10.90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Other *</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0404.90.10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Within access commitment * *</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0404.90.20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Over access commitment * *</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0405.10.10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Within access commitment * *</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0405.10.20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Over access commitment * *</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0405.20.10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Within access commitment * *</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0405.20.20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Over access commitment * *</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0405.90.10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Within access commitment * *</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0405.90.20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Over access commitment * *</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0406.10.10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Within access commitment * *</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0406.10.20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Over access commitment * *</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0406.20.11</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Cheddar and Cheddar types: Within access commitment * *</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0406.20.12</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Cheddar and Cheddar types: Over access commitment * *</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0406.20.91</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Other: Within access commitment * *</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0406.20.92</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Other: Over access commitment * *</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0406.30.10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Within access commitment * *</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0406.30.20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Over access commitment * *</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0406.40.10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Within access commitment * *</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0406.40.20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Over access commitment * *</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0406.90.11</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Cheddar and Cheddar types:</w:t>
            </w:r>
          </w:p>
        </w:tc>
      </w:tr>
    </w:tbl>
    <w:p>
      <w:pPr>
        <w:pStyle w:val="Normal"/>
        <w:widowControl/>
        <w:spacing w:before="160" w:after="120"/>
        <w:rPr/>
      </w:pPr>
      <w:r>
        <w:rPr/>
        <w:t>Within access commitment * * 0406.90.12 Cheddar and Cheddar types: Over access commitment * * 0406.90.21 Camembert and Camembert types: Within access commitment * * 0406.90.22 Camembert and Camembert types: Over access commitment * * 0406.90.31 Brie and Brie types: Within access commitment * *</w:t>
      </w:r>
    </w:p>
    <w:p>
      <w:pPr>
        <w:pStyle w:val="Normal"/>
        <w:widowControl/>
        <w:rPr/>
      </w:pPr>
      <w:r>
        <w:rPr/>
        <w:t>0406.90.32 Brie and Brie types: Over access commitment * * 0406.90.41 Gouda and Gouda types: Within access commitment * * 0406.90.42 Gouda and Gouda types: Over access commitment * * 0406.90.51 Provolone and Provolone types: Within access commitment * * 0406.90.52 Provolone and Provolone types: Over access commitment * * 0406.90.61 Mozzarella and Mozzarella types: Within access commitment * * 0406.90.62 Mozzarella and Mozzarella types: Over access commitment * * 0406.90.71 Swiss/Emmental and Swiss/Emmental types: Within access commitment * * 0406.90.72 Swiss/Emmental and Swiss/Emmental types: Over access commitment * * 0406.90.81 Gruyère and Gruyère types: Within access commitment * * 0406.90.82 Gruyère and Gruyère types: Over access commitment * * 0406.90.91 Other: Havarti and Havarti types, within access commitment * * 0406.90.92 Other: Havarti and Havarti types, over access commitment * * 0406.90.93 Other: Parmesan and Parmesan types, within access commitment * * 0406.90.94 Other: Parmesan and Parmesan types, over access commitment * * 0406.90.95 Other: Romano and Romano types, within access commitment * * 0406.90.96 Other: Romano and Romano types, over access commitment * * 0406.90.98 Other:</w:t>
      </w:r>
    </w:p>
    <w:p>
      <w:pPr>
        <w:pStyle w:val="Normal"/>
        <w:widowControl/>
        <w:rPr/>
      </w:pPr>
      <w:r>
        <w:rPr/>
        <w:t>Other, within access commitment * * 0406.90.99 Other: Other, over access commitment * * 0407.11.11 Hatching, for broilers: Within access commitment * 0407.11.12 Hatching, for broilers: Over access commitment * * 0407.11.91 Other: Within access commitment * * 0407.11.92 Other: Over</w:t>
      </w:r>
    </w:p>
    <w:p>
      <w:pPr>
        <w:pStyle w:val="Normal"/>
        <w:widowControl/>
        <w:rPr/>
      </w:pPr>
      <w:r>
        <w:rPr/>
        <w:t>access commitment * * 0407.19.00 Other * 0407.21.10 Within access commitment * * 0407.21.20 Over access commitment * * 0407.29.00 Other * 0407.90.11 Of the fowls of the species Gallus domesticus: Within access commitment * * 0407.90.12 Of the fowls of the species Gallus domesticus: Over access commitment * * 0407.90.90 Other * 0408.11.10 Within access commitment * * 0408.11.20 Over access commitment * * 0408.19.10 Within access commitment * * 0408.19.20 Over access commitment * * 0408.91.10 Within access commitment * * 0408.91.20 Over access commitment * * 0408.99.10 Within access commitment * * 0408.99.20 Over access commitment * * 0409.00.00 Natural honey. 0410.00.00 Edible products of animal origin, not elsewhere specified or included. 0501.00.00 Human hair, unworked, whether or not washed or scoured; waste of human hair. 0502.10.00 Pigs’, hogs’ or boars’ bristles and hair and waste thereof 0502.90.00 Other 0504.00.00 Guts, bladders and stomachs of animals (other than fish), whole and pieces thereof, fresh, chilled, frozen, salted, in brine, dried or smoked.</w:t>
      </w:r>
    </w:p>
    <w:p>
      <w:pPr>
        <w:pStyle w:val="Normal"/>
        <w:widowControl/>
        <w:rPr/>
      </w:pPr>
      <w:r>
        <w:rPr/>
        <w:t>0505.10.00 Feathers of a kind used for stuffing; down 0505.90.00 Other 0506.10.00 Ossein and bones treated with acid 0506.90.00 Other 0507.10.00 Ivory; ivory powder and waste 0507.90.00 Other 0508.00.00 Coral and similar materials, unworked or simply prepared but not otherwise worked; shells of molluscs, crustaceans or echinoderms and cuttle-bone, unworked or simply prepared but not cut to shape, powder and waste thereof. 0510.00.00 Ambergris, castoreum, civet and musk; cantharides; bile, whether or not dried; glands and other animal products used in the preparation of pharmaceutical products, fresh, chilled, frozen or otherwise provisionally preserved. 0511.10.00 Bovine semen 0511.91.00 Products of fish or crustaceans, molluscs or other aquatic invertebrates; dead animals of Chapter 3 0511.99.10 Horsehair and horsehair waste, whether or not put up as a layer with or without supporting material 0511.99.90 Other 0601.10.11 Bulbs: Of the genus narcissus, other than for use by florists or nurserymen for forcing purposes or for growing on prior to disposal 0601.10.19 Bulbs: Other 0601.10.21 Tubers, tuberous roots, corms, crowns and rhizomes: Crowns of rhubarb or asparagus; Tuberous roots of cannas, dahlias and paeonias;</w:t>
      </w:r>
    </w:p>
    <w:p>
      <w:pPr>
        <w:pStyle w:val="Normal"/>
        <w:widowControl/>
        <w:rPr/>
      </w:pPr>
      <w:r>
        <w:rPr/>
        <w:t>Tubers, other tuberous roots, corms, other crowns and rhizomes, for use by florists or nurserymen for forcing purposes or for growing on prior to disposal 0601.10.29 Tubers, tuberous roots, corms, crowns and rhizomes: Other 0601.20.10 Chicory plants and roots;</w:t>
      </w:r>
    </w:p>
    <w:p>
      <w:pPr>
        <w:pStyle w:val="Normal"/>
        <w:widowControl/>
        <w:rPr/>
      </w:pPr>
      <w:r>
        <w:rPr/>
        <w:t>For use by florists or nurserymen for forcing purposes or for growing on prior to disposal; Tuberous roots of cannas, dahlias and paeonias 0601.20.90 Other 0602.10.00 Unrooted cuttings and slips 0602.20.00 Trees, shrubs and bushes, grafted or not, of kinds which bear edible fruit or nuts 0602.30.00 Rhododendrons and azaleas, grafted or not 0602.40.10 Multiflora rosebushes 0602.40.90 Other 0602.90.10 Mushroom spawn; Palms, ferns (other than tuberous rooted ferns), rubber plants (ficus), lilacs, araucarias, laurels, cacti, trees, teasels, sweet potato plants, cabbage seedlings, cauliflower seedlings, onion seedlings and strawberry plants; For producing cuttings, buds, scions, seeds or similar goods or for having grafting, layering or other operations performed on them; For producing vegetables; For propagation purposes or for use by florists or nurserymen for forcing purposes or for growing on prior to disposal 0602.90.90 Other 0603.11.00 Roses 0603.12.00 Carnations 0603.13.10 Cymbidium 0603.13.90 Other 0603.14.00 Chrysanthemums 0603.15.00 Lilies (Lilium spp.)</w:t>
      </w:r>
    </w:p>
    <w:p>
      <w:pPr>
        <w:pStyle w:val="Normal"/>
        <w:widowControl/>
        <w:rPr/>
      </w:pPr>
      <w:r>
        <w:rPr/>
        <w:t>0603.19.00 Other 0603.90.10 Gypsophila, dyed, bleached or impregnated 0603.90.20 Other gypsophila 0603.90.90 Other 0604.20.10 Christmas trees; Foliage of Asparagus setaceus; Grasses and palm leaves; Mosses and lichens 0604.20.90 Other 0604.90.10 Grasses and palm leaves; Mosses and lichens 0604.90.90 Other 0701.10.00 Seed 0701.90.00 Other 0702.00.10 For processing 0702.00.21 Other than for processing: Cherry tomatoes imported during such period, which may be divided into two separate periods, specified by order of the Minister of Public Safety and Emergency Preparedness or the President of the Canada Border Services Agency, not exceeding a total of 32 weeks in any 12 month period ending 31st March 0702.00.29 Other than for processing: Other cherry tomatoes 0702.00.91 Other: Imported during such period, which may be divided into two separate periods, specified by order of the Minister of Public Safety and Emergency Preparedness or the President of the Canada Border Services Agency, not exceeding a total of 32 weeks in any 12 month period ending 31st March 0702.00.99 Other: Other 0703.10.10 Onion sets 0703.10.20 Onions, Spanish-type, for processing 0703.10.31 Onions or shallots, green:</w:t>
      </w:r>
    </w:p>
    <w:p>
      <w:pPr>
        <w:pStyle w:val="Normal"/>
        <w:widowControl/>
        <w:rPr/>
      </w:pPr>
      <w:r>
        <w:rPr/>
        <w:t>Imported during such period, which may be divided into two separate periods, specified by order of the Minister of Public Safety and Emergency Preparedness or the President of the Canada Border Services Agency, not exceeding a total of 22 weeks in any 12 month period ending 31st March</w:t>
      </w:r>
    </w:p>
    <w:p>
      <w:pPr>
        <w:pStyle w:val="Normal"/>
        <w:widowControl/>
        <w:rPr/>
      </w:pPr>
      <w:r>
        <w:rPr/>
        <w:t>0703.10.39 Onions or shallots, green: Other 0703.10.41 Dry shallots: Imported during such period, which may be divided into two separate periods, specified by order of the Minister of Public Safety and Emergency Preparedness or the President of the Canada Border Services Agency, not exceeding a total of 46 weeks in any 12 month period ending 31st March 0703.10.49 Dry shallots: Other 0703.10.91 Other: Imported during such period, which may be divided into two separate periods, specified by order of the Minister of Public Safety and Emergency Preparedness or the President of the Canada Border Services Agency, not exceeding a total of 46 weeks in any 12 month period ending 31st March 0703.10.99 Other: Other 0703.20.00 Garlic 0703.90.00 Leeks and other alliaceous vegetables 0704.10.11 Imported during such period, which may be divided into two separate periods, specified by order of the Minister of Public Safety and Emergency Preparedness or the President of the Canada Border Services Agency, not exceeding a total of 20 weeks in any 12 month period ending 31st March:</w:t>
      </w:r>
    </w:p>
    <w:p>
      <w:pPr>
        <w:pStyle w:val="Normal"/>
        <w:widowControl/>
        <w:rPr/>
      </w:pPr>
      <w:r>
        <w:rPr/>
        <w:t>In packages of a weight not exceeding 2.27 kg each 0704.10.12 Imported during such period, which may be divided into two separate periods, specified by order of the Minister of Public Safety and Emergency Preparedness or the President of the Canada Border Services Agency, not exceeding a total of 20 weeks in any 12 month period ending 31st March: In bulk or in packages of a weight exceeding 2.27 kg each 0704.10.90</w:t>
      </w:r>
    </w:p>
    <w:p>
      <w:pPr>
        <w:pStyle w:val="Normal"/>
        <w:widowControl/>
        <w:rPr/>
      </w:pPr>
      <w:r>
        <w:rPr/>
        <w:t>Other 0704.20.11 Imported during such period specified by order of the Minister of Public Safety and Emergency Preparedness or the President of the Canada Border Services Agency, not exceeding 20 weeks in any 12 month period ending 31st March: In packages of a weight not exceeding 2.27 kg each 0704.20.12 Imported during such period specified by order of the Minister of Public Safety and Emergency Preparedness or the President of the Canada Border Services Agency, not exceeding 20 weeks in any 12 month period ending 31st March: In bulk or in packages of a weight exceeding 2.27 kg each 0704.20.90 Other 0704.90.10 Broccoli for processing 0704.90.21 Other broccoli: Imported during such period specified by order of the Minister of Public Safety and Emergency Preparedness or the President of the Canada Border Services Agency, not exceeding 16 weeks in any 12 month period ending 31st March 0704.90.29 Other broccoli: Other 0704.90.31 Cabbage (Brassica oleracea, capitata):</w:t>
      </w:r>
    </w:p>
    <w:p>
      <w:pPr>
        <w:pStyle w:val="Normal"/>
        <w:widowControl/>
        <w:rPr/>
      </w:pPr>
      <w:r>
        <w:rPr/>
        <w:t>Imported during such period, which may be divided into two separate periods, specified by order of the Minister of Public Safety and Emergency Preparedness or the President of the Canada Border Services Agency, not exceeding a total of 34 weeks in any 12 month period ending 31st March 0704.90.39 Cabbage (Brassica oleracea, capitata): Other 0704.90.41 Cabbage, Chinese or Chinese lettuce (Brassica rapa, chenensis, and Brassica rapa, pekinensis): Imported during such period specified by order of the Minister of</w:t>
      </w:r>
    </w:p>
    <w:p>
      <w:pPr>
        <w:pStyle w:val="Normal"/>
        <w:widowControl/>
        <w:rPr/>
      </w:pPr>
      <w:r>
        <w:rPr/>
        <w:t>Public Safety and Emergency Preparedness or the President of the Canada Border Services Agency, not exceeding 30 weeks in any 12 month period ending 31st March 0704.90.49 Cabbage, Chinese or Chinese lettuce (Brassica rapa, chenensis, and Brassica rapa, pekinensis): Other 0704.90.90 Other 0705.11.11 Imported during such period, which may be divided into two separate periods, specified by order of the Minister of Public Safety and Emergency Preparedness or the President of the Canada Border Services Agency, not exceeding a total of 16 weeks in any 12 month period ending 31st March: In packages of a weight not exceeding 2.27 kg each 0705.11.12 Imported during such period, which may be divided into two separate periods, specified by order of the Minister of Public Safety and Emergency Preparedness or the President of the Canada Border Services Agency, not exceeding a total of 16 weeks in any 12 month period ending 31st March:</w:t>
      </w:r>
    </w:p>
    <w:p>
      <w:pPr>
        <w:pStyle w:val="Normal"/>
        <w:widowControl/>
        <w:rPr/>
      </w:pPr>
      <w:r>
        <w:rPr/>
        <w:t>In bulk or in packages of a weight exceeding 2.27 kg each 0705.11.90 Other 0705.19.11 Imported during such period, which may be divided into two separate periods, specified by order of the Minister of Public Safety and Emergency Preparedness or the President of the Canada Border Services Agency, not exceeding a total of 16 weeks in any 12 month period ending 31st March: In packages of a weight not exceeding 2.27 kg each 0705.19.12 Imported during such period, which may be divided into two separate periods, specified by order of the Minister of Public</w:t>
      </w:r>
    </w:p>
    <w:p>
      <w:pPr>
        <w:pStyle w:val="Normal"/>
        <w:widowControl/>
        <w:rPr/>
      </w:pPr>
      <w:r>
        <w:rPr/>
        <w:t>Safety and Emergency Preparedness or the President of the Canada Border Services Agency, not exceeding a total of 16 weeks in any 12 month period ending 31st March: In bulk or in packages of a weight exceeding 2.27 kg each 0705.19.90 Other 0705.21.00 Witloof chicory (Cichorium intybus var. foliosum) 0705.29.00 Other 0706.10.11 Baby carrots (of a length not exceeding 11 cm), imported during such period, which may be divided into two separate periods, specified by order of the Minister of Public Safety and Emergency Preparedness or the President of the Canada Border Services Agency, not exceeding a total of 40 weeks in any 12 month period ending 31st March: In packages of a weight not exceeding 2.27 kg each 0706.10.12 Baby carrots (of a length not exceeding 11 cm), imported during such period, which may be divided into two separate periods, specified by order of the Minister of Public Safety and Emergency Preparedness or the President of the Canada Border Services Agency, not exceeding a total of 40 weeks in any 12 month period ending 31st March:</w:t>
      </w:r>
    </w:p>
    <w:p>
      <w:pPr>
        <w:pStyle w:val="Normal"/>
        <w:widowControl/>
        <w:rPr/>
      </w:pPr>
      <w:r>
        <w:rPr/>
        <w:t>In bulk or in packages of a weight exceeding 2.27 kg each 0706.10.20 Other baby carrots of a length not exceeding 11 cm 0706.10.31 Carrots, other than baby carrots (of a length not exceeding 11 cm), imported during such period, which may be divided into two separate periods, specified by order of the Minister of Public Safety and Emergency Preparedness or the President of the Canada Border Services Agency, not exceeding a total of 40</w:t>
      </w:r>
    </w:p>
    <w:p>
      <w:pPr>
        <w:pStyle w:val="Normal"/>
        <w:widowControl/>
        <w:rPr/>
      </w:pPr>
      <w:r>
        <w:rPr/>
        <w:t>weeks in any 12 month period ending 31st March: In packages of a weight not exceeding 2.27 kg each 0706.10.32 Carrots, other than baby carrots (of a length not exceeding 11 cm), imported during such period, which may be divided into two separate periods, specified by order of the Minister of Public Safety and Emergency Preparedness or the President of the Canada Border Services Agency, not exceeding a total of 40 weeks in any 12 month period ending 31st March: In bulk or in packages of a weight exceeding 2.27 kg each 0706.10.40 Other carrots 0706.10.50 Turnips 0706.90.10 Beets, for processing 0706.90.21 Other beets imported during such period, which may be divided into two separate periods, specified by order of the Minister of Public Safety and Emergency Preparedness or the President of the Canada Border Services Agency, not exceeding a total of 34 weeks in any 12 month period ending 31st March:</w:t>
      </w:r>
    </w:p>
    <w:p>
      <w:pPr>
        <w:pStyle w:val="Normal"/>
        <w:widowControl/>
        <w:rPr/>
      </w:pPr>
      <w:r>
        <w:rPr/>
        <w:t>In packages of a weight not exceeding 2.27 kg each 0706.90.22 Other beets imported during such period, which may be divided into two separate periods, specified by order of the Minister of Public Safety and Emergency Preparedness or the President of the Canada Border Services Agency, not exceeding a total of 34 weeks in any 12 month period ending 31st March: In bulk or in packages of a weight exceeding 2.27 kg each 0706.90.30 Other beets 0706.90.40 Salsify and celeriac 0706.90.51 Radishes: Imported during such period specified by order of the Minister of Public Safety and Emergency</w:t>
      </w:r>
    </w:p>
    <w:p>
      <w:pPr>
        <w:pStyle w:val="Normal"/>
        <w:widowControl/>
        <w:rPr/>
      </w:pPr>
      <w:r>
        <w:rPr/>
        <w:t>Preparedness or the President of the Canada Border Services Agency, not exceeding 26 weeks in any 12 month period ending 31st March 0706.90.59 Radishes: Other 0706.90.90 Other 0707.00.10 For processing 0707.00.91 Other: Imported during such period, which may be divided into two separate periods, specified by order of the Minister of Public Safety and Emergency Preparedness or the President of the Canada Border Services Agency, not exceeding a total of 30 weeks in any 12 month period ending 31st March 0707.00.99 Other: Other 0708.10.10 For processing 0708.10.91 Other: Imported during such period specified by order of the Minister of Public Safety and Emergency Preparedness or the President of the Canada Border Services Agency, not exceeding 12 weeks in any 12 month period ending 31st March 0708.10.99 Other:</w:t>
      </w:r>
    </w:p>
    <w:p>
      <w:pPr>
        <w:pStyle w:val="Normal"/>
        <w:widowControl/>
        <w:rPr/>
      </w:pPr>
      <w:r>
        <w:rPr/>
        <w:t>Other 0708.20.10 Snap beans for processing 0708.20.21 Other snap beans, imported during such period, which may be divided into two separate periods, specified by order of the Minister of Public Safety and Emergency Preparedness or the President of the Canada Border Services Agency, not exceeding a total of 14 weeks in any 12 month period ending 31st March: In packages of a weight not exceeding 2.27 kg each 0708.20.22 Other snap beans, imported during such period, which may be divided into two separate periods, specified by order of the Minister of Public Safety and Emergency Preparedness or the President of the Canada Border Services Agency, not exceeding a total of 14</w:t>
      </w:r>
    </w:p>
    <w:p>
      <w:pPr>
        <w:pStyle w:val="Normal"/>
        <w:widowControl/>
        <w:rPr/>
      </w:pPr>
      <w:r>
        <w:rPr/>
        <w:t>weeks in any 12 month period ending 31st March: In bulk or in packages of a weight exceeding 2.27 kg each 0708.20.30 Other snap beans 0708.20.90 Other 0708.90.00 Other leguminous vegetables 0709.20.10 For processing 0709.20.91 Other: Imported during such period specified by order of the Minister of Public Safety and Emergency Preparedness or the President of the Canada Border Services Agency, not exceeding 8 weeks in any 12 month period ending 31st March 0709.20.99 Other: Other 0709.30.00 Aubergines (egg-plants) 0709.40.11 Imported during such period specified by order of the Minister of Public Safety and Emergency Preparedness or the President of the Canada Border Services Agency, not exceeding 18 weeks in any 12 month period ending 31st March: In packages of a weight not exceeding 2.27 kg each 0709.40.12 Imported during such period specified by order of the Minister of Public Safety and Emergency Preparedness or the President of the Canada Border Services Agency, not exceeding 18 weeks in any 12 month period ending 31st March:</w:t>
      </w:r>
    </w:p>
    <w:p>
      <w:pPr>
        <w:pStyle w:val="Normal"/>
        <w:widowControl/>
        <w:rPr/>
      </w:pPr>
      <w:r>
        <w:rPr/>
        <w:t>In bulk or in packages of a weight exceeding 2.27 kg each 0709.40.90 Other 0709.51.10 For processing 0709.51.90 Other 0709.59.10 Mushrooms, for processing 0709.59.20 Truffles 0709.59.90 Other 0709.60.10 Imported during such period specified by order of the Minister of Public Safety and Emergency Preparedness or the President of the Canada Border Services Agency, not exceeding 12 weeks in any 12 month period ending 31st March 0709.60.90 Other</w:t>
      </w:r>
    </w:p>
    <w:p>
      <w:pPr>
        <w:pStyle w:val="Normal"/>
        <w:widowControl/>
        <w:rPr/>
      </w:pPr>
      <w:r>
        <w:rPr/>
        <w:t>0709.70.00 Spinach, New Zealand spinach and orache spinach (garden spinach) 0709.91.00 Globe artichokes 0709.92.00 Olives 0709.93.00 Pumpkins, squash and gourds (Cucurbita spp.) 0709.99.11 Parsley: Imported during such period specified by order of the Minister of Public Safety and Emergency Preparedness or the President of the Canada Border Services Agency, not exceeding 16 weeks in any 12 month period ending 31st March 0709.99.19 Parsley: Other 0709.99.21 Rhubarb: Imported during such period specified by order of the Minister of Public Safety and Emergency Preparedness or the President of the Canada Border Services Agency, not exceeding 12 weeks in any 12 month period ending 31st March 0709.99.29 Rhubarb: Other 0709.99.31 Sweet corn-on-the-cob, imported during such period specified by order of the Minister of Public Safety and Emergency Preparedness or the President of the Canada Border Services Agency, not exceeding 12 weeks in any 12 month period ending 31st March:</w:t>
      </w:r>
    </w:p>
    <w:p>
      <w:pPr>
        <w:pStyle w:val="Normal"/>
        <w:widowControl/>
        <w:rPr/>
      </w:pPr>
      <w:r>
        <w:rPr/>
        <w:t>In packages of a weight not exceeding 2.27 kg each 0709.99.32 Sweet corn-on-the-cob, imported during such period specified by order of the Minister of Public Safety and Emergency Preparedness or the President of the Canada Border Services Agency, not exceeding 12 weeks in any 12 month period ending 31st March: In bulk or in packages of a weight exceeding 2.27 kg each 0709.99.40 Other sweet corn-on-the-cob 0709.99.90 Other 0710.10.00 Potatoes 0710.21.00 Peas (Pisum sativum) 0710.22.00 Beans (Vigna spp.,</w:t>
      </w:r>
    </w:p>
    <w:p>
      <w:pPr>
        <w:pStyle w:val="Normal"/>
        <w:widowControl/>
        <w:spacing w:before="0" w:after="160"/>
        <w:rPr/>
      </w:pPr>
      <w:r>
        <w:rPr/>
        <w:t>Phaseolus spp.)</w:t>
      </w:r>
    </w:p>
    <w:tbl>
      <w:tblPr>
        <w:tblStyle w:val="TableGrid"/>
        <w:tblW w:w="9360" w:type="dxa"/>
        <w:jc w:val="center"/>
        <w:tblInd w:w="-28" w:type="dxa"/>
        <w:tblLayout w:type="autofit"/>
        <w:tblCellMar>
          <w:top w:w="60" w:type="dxa"/>
          <w:left w:w="80" w:type="dxa"/>
          <w:bottom w:w="60" w:type="dxa"/>
          <w:right w:w="80" w:type="dxa"/>
        </w:tblCellMar>
        <w:tblLook w:val="04a0" w:noHBand="0" w:noVBand="1" w:firstColumn="1" w:lastRow="0" w:lastColumn="0" w:firstRow="1"/>
      </w:tblPr>
      <w:tblGrid>
        <w:gridCol w:w="4680"/>
        <w:gridCol w:w="4679"/>
      </w:tblGrid>
      <w:tr>
        <w:trPr>
          <w:tblHeader w:val="true"/>
          <w:cantSplit w:val="true"/>
          <w:tblHeader w:val="true"/>
        </w:trPr>
        <w:tc>
          <w:tcPr>
            <w:tcW w:w="4680" w:type="dxa"/>
            <w:tcBorders/>
            <w:vAlign w:val="center"/>
            <w:shd w:fill="233746"/>
          </w:tcPr>
          <w:p>
            <w:pPr>
              <w:pStyle w:val="Normal"/>
              <w:widowControl/>
              <w:suppressAutoHyphens w:val="true"/>
              <w:spacing w:lineRule="auto" w:line="240" w:before="0" w:after="0"/>
              <w:jc w:val="left"/>
              <w:rPr>
                <w:rFonts w:cs=""/>
                <w:kern w:val="0"/>
                <w:szCs w:val="22"/>
                <w:lang w:val="en-US" w:eastAsia="en-US" w:bidi="ar-SA"/>
              </w:rPr>
            </w:pPr>
            <w:r>
              <w:rPr>
                <w:rFonts w:cs="" w:ascii="Arial" w:hAnsi="Arial"/>
                <w:b/>
                <w:color w:val="FFFFFF"/>
                <w:kern w:val="0"/>
                <w:sz w:val="17"/>
                <w:szCs w:val="22"/>
                <w:lang w:val="en-US" w:eastAsia="en-US" w:bidi="ar-SA"/>
              </w:rPr>
              <w:t>Tariff Item</w:t>
            </w:r>
          </w:p>
        </w:tc>
        <w:tc>
          <w:tcPr>
            <w:tcW w:w="4679" w:type="dxa"/>
            <w:tcBorders/>
            <w:vAlign w:val="center"/>
            <w:shd w:fill="233746"/>
          </w:tcPr>
          <w:p>
            <w:pPr>
              <w:pStyle w:val="Normal"/>
              <w:widowControl/>
              <w:suppressAutoHyphens w:val="true"/>
              <w:spacing w:lineRule="auto" w:line="240" w:before="0" w:after="0"/>
              <w:jc w:val="left"/>
              <w:rPr>
                <w:rFonts w:cs=""/>
                <w:kern w:val="0"/>
                <w:szCs w:val="22"/>
                <w:lang w:val="en-US" w:eastAsia="en-US" w:bidi="ar-SA"/>
              </w:rPr>
            </w:pPr>
            <w:r>
              <w:rPr>
                <w:rFonts w:cs="" w:ascii="Arial" w:hAnsi="Arial"/>
                <w:b/>
                <w:color w:val="FFFFFF"/>
                <w:kern w:val="0"/>
                <w:sz w:val="17"/>
                <w:szCs w:val="22"/>
                <w:lang w:val="en-US" w:eastAsia="en-US" w:bidi="ar-SA"/>
              </w:rPr>
              <w:t>Description</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0710.29.00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Other</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0710.30.00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Spinach, New Zealand spinach and orache spinach (garden spinach)</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0710.40.00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Sweet corn</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0710.80.00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Other vegetables</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0710.90.00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Mixtures of vegetables</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0711.20.00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Olives</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0711.40.10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Gherkins, of a maximum diameter of 19 mm, for use in the manufacture of finished gherkins</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0711.40.90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Other</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0711.51.00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Mushrooms of the genus Agaricus</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0711.59.00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Other</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0711.90.00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Other vegetables; mixtures of vegetables</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0712.20.00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Onions</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0712.31.00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Mushrooms of the genus Agaricus</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0712.32.10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For use in the manufacture of food products</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0712.32.90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Other</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0712.33.00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Jelly fungi (Tremella spp.)</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0712.39.11</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Mushrooms: Porcini (Boletus Edulis) or Shiitake (Lentinus Edodes) for use in the manufacture of food products</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0712.39.19</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Mushrooms:</w:t>
            </w:r>
          </w:p>
        </w:tc>
      </w:tr>
    </w:tbl>
    <w:p>
      <w:pPr>
        <w:pStyle w:val="Normal"/>
        <w:widowControl/>
        <w:spacing w:before="160" w:after="120"/>
        <w:rPr/>
      </w:pPr>
      <w:r>
        <w:rPr/>
        <w:t>Other 0712.39.20 Truffles 0712.90.00 Other vegetables; mixtures of vegetables 0713.10.10 Seed, in packages of a weight not exceeding 500 g each 0713.10.90 Other 0713.20.00 Chickpeas (garbanzos) 0713.31.10 Of the species Vigna radiata (L.) Wilczek, in bulk or in packages of a weight exceeding 500 g each 0713.31.90 Other 0713.32.00 Small red (Adzuki) beans (Phaseolus or Vigna angularis) 0713.33.00 Kidney beans, including white pea beans (Phaseolus vulgaris) 0713.34.00 Bambara beans (Vigna subterranea or Voandzeia subterranea) 0713.35.00 Cow peas (Vigna unguiculata) 0713.39.00 Other 0713.40.00 Lentils 0713.50.00 Broad beans (Vicia faba var. major) and horse beans (Vicia faba var. equina, Vicia faba var.</w:t>
      </w:r>
    </w:p>
    <w:p>
      <w:pPr>
        <w:pStyle w:val="Normal"/>
        <w:widowControl/>
        <w:spacing w:before="0" w:after="160"/>
        <w:rPr/>
      </w:pPr>
      <w:r>
        <w:rPr/>
        <w:t>minor)</w:t>
      </w:r>
    </w:p>
    <w:tbl>
      <w:tblPr>
        <w:tblStyle w:val="TableGrid"/>
        <w:tblW w:w="9360" w:type="dxa"/>
        <w:jc w:val="center"/>
        <w:tblInd w:w="-28" w:type="dxa"/>
        <w:tblLayout w:type="autofit"/>
        <w:tblCellMar>
          <w:top w:w="60" w:type="dxa"/>
          <w:left w:w="80" w:type="dxa"/>
          <w:bottom w:w="60" w:type="dxa"/>
          <w:right w:w="80" w:type="dxa"/>
        </w:tblCellMar>
        <w:tblLook w:val="04a0" w:noHBand="0" w:noVBand="1" w:firstColumn="1" w:lastRow="0" w:lastColumn="0" w:firstRow="1"/>
      </w:tblPr>
      <w:tblGrid>
        <w:gridCol w:w="4680"/>
        <w:gridCol w:w="4679"/>
      </w:tblGrid>
      <w:tr>
        <w:trPr>
          <w:tblHeader w:val="true"/>
          <w:cantSplit w:val="true"/>
          <w:tblHeader w:val="true"/>
        </w:trPr>
        <w:tc>
          <w:tcPr>
            <w:tcW w:w="4680" w:type="dxa"/>
            <w:tcBorders/>
            <w:vAlign w:val="center"/>
            <w:shd w:fill="233746"/>
          </w:tcPr>
          <w:p>
            <w:pPr>
              <w:pStyle w:val="Normal"/>
              <w:widowControl/>
              <w:suppressAutoHyphens w:val="true"/>
              <w:spacing w:lineRule="auto" w:line="240" w:before="0" w:after="0"/>
              <w:jc w:val="left"/>
              <w:rPr>
                <w:rFonts w:cs=""/>
                <w:kern w:val="0"/>
                <w:szCs w:val="22"/>
                <w:lang w:val="en-US" w:eastAsia="en-US" w:bidi="ar-SA"/>
              </w:rPr>
            </w:pPr>
            <w:r>
              <w:rPr>
                <w:rFonts w:cs="" w:ascii="Arial" w:hAnsi="Arial"/>
                <w:b/>
                <w:color w:val="FFFFFF"/>
                <w:kern w:val="0"/>
                <w:sz w:val="17"/>
                <w:szCs w:val="22"/>
                <w:lang w:val="en-US" w:eastAsia="en-US" w:bidi="ar-SA"/>
              </w:rPr>
              <w:t>Tariff Item</w:t>
            </w:r>
          </w:p>
        </w:tc>
        <w:tc>
          <w:tcPr>
            <w:tcW w:w="4679" w:type="dxa"/>
            <w:tcBorders/>
            <w:vAlign w:val="center"/>
            <w:shd w:fill="233746"/>
          </w:tcPr>
          <w:p>
            <w:pPr>
              <w:pStyle w:val="Normal"/>
              <w:widowControl/>
              <w:suppressAutoHyphens w:val="true"/>
              <w:spacing w:lineRule="auto" w:line="240" w:before="0" w:after="0"/>
              <w:jc w:val="left"/>
              <w:rPr>
                <w:rFonts w:cs=""/>
                <w:kern w:val="0"/>
                <w:szCs w:val="22"/>
                <w:lang w:val="en-US" w:eastAsia="en-US" w:bidi="ar-SA"/>
              </w:rPr>
            </w:pPr>
            <w:r>
              <w:rPr>
                <w:rFonts w:cs="" w:ascii="Arial" w:hAnsi="Arial"/>
                <w:b/>
                <w:color w:val="FFFFFF"/>
                <w:kern w:val="0"/>
                <w:sz w:val="17"/>
                <w:szCs w:val="22"/>
                <w:lang w:val="en-US" w:eastAsia="en-US" w:bidi="ar-SA"/>
              </w:rPr>
              <w:t>Description</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0713.60.00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Pigeon peas (Cajanus cajan)</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0713.90.10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Seed in bulk or in packages of a weight exceeding 500 g each</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0713.90.90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Other</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0714.10.00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Manioc (cassava)</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0714.20.00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Sweet potatoes</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0714.30.00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Yams (Dioscorea spp.)</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0714.40.00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Taro (Colocasia spp.)</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0714.50.00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Yautia (Xanthosoma spp.)</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0714.90.00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Other</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0801.11.00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Desiccated</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0801.12.00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In the inner shell (endocarp)</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0801.19.00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Other</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0801.21.00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In shell</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0801.22.00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Shelled</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0801.31.00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In shell</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0801.32.00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Shelled</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0802.11.00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In shell</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0802.12.00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Shelled</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0802.21.00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In shell</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0802.22.00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Shelled</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0802.31.00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In shell</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0802.32.00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Shelled</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0802.41.00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In shell</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0802.42.00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Shelled</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0802.51.00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In shell</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0802.52.00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Shelled</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0802.61.00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In shell</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0802.62.00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Shelled</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0802.70.00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Kola nuts (Cola spp.)</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0802.80.00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Areca nuts</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0802.90.00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Other</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0803.10.00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Plantains</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0803.90.00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Other</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0804.10.00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Dates</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0804.20.00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Figs</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0804.30.00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Pineapples</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0804.40.00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Avocados</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0804.50.00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Guavas, mangoes and mangosteens</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0805.10.00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Oranges</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0805.21.00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Mandarins (including tangerines and satsumas)</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0805.22.00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Clementines</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0805.29.00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Other</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0805.40.00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Grapefruit, including pomelos</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0805.50.00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Lemons (Citrus limon, Citrus limonum) and limes (Citrus aurantifolia, Citrus latifolia)</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0805.90.00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Other</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0806.10.11</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Grapes of the species Vitis labrusca, in their natural state: Imported during such period specified by order of the Minister of Public Safety and Emergency Preparedness or the President of the Canada Border Services Agency, not exceeding 15 weeks in any 12 month period ending</w:t>
            </w:r>
          </w:p>
        </w:tc>
      </w:tr>
    </w:tbl>
    <w:p>
      <w:pPr>
        <w:pStyle w:val="Normal"/>
        <w:widowControl/>
        <w:spacing w:before="160" w:after="120"/>
        <w:rPr/>
      </w:pPr>
      <w:r>
        <w:rPr/>
        <w:t>31st March 0806.10.19 Grapes of the species Vitis labrusca, in their natural state: Other 0806.10.91 Other: In their natural state 0806.10.99 Other: Other 0806.20.00 Dried 0807.11.00 Watermelons 0807.19.00 Other 0807.20.00 Papaws (papayas) 0808.10.10 In their natural state 0808.10.90 Other 0808.30.10 For processing 0808.30.91 Other: Imported during such period specified by order of the Minister of Public Safety and Emergency Preparedness or the President of the Canada Border Services Agency, not exceeding 24 weeks in any 12 month period ending 31st March 0808.30.99 Other: Other 0808.40.00 Quinces 0809.10.10 For processing 0809.10.91 Other: Imported during such period specified by order of the Minister of Public Safety and Emergency Preparedness or the President of the Canada Border Services Agency, not exceeding 10 weeks in any 12 month period ending 31st March 0809.10.99 Other: Other 0809.21.11 In their natural state: Imported during such period specified by order of the Minister of Public Safety and Emergency Preparedness or the President of the Canada Border Services Agency, not exceeding 10 weeks in any 12 month period ending 31st March 0809.21.19 In their natural state:</w:t>
      </w:r>
    </w:p>
    <w:p>
      <w:pPr>
        <w:pStyle w:val="Normal"/>
        <w:widowControl/>
        <w:rPr/>
      </w:pPr>
      <w:r>
        <w:rPr/>
        <w:t>Other 0809.21.90 Other 0809.29.10 Sweet, for processing 0809.29.21 Other, in their natural state: Imported during such period specified by order of the Minister of Public Safety and Emergency Preparedness or the President of the Canada Border Services Agency, not exceeding 8 weeks in any 12 month period</w:t>
      </w:r>
    </w:p>
    <w:p>
      <w:pPr>
        <w:pStyle w:val="Normal"/>
        <w:widowControl/>
        <w:rPr/>
      </w:pPr>
      <w:r>
        <w:rPr/>
        <w:t>ending 31st March 0809.29.29 Other, in their natural state: Other 0809.29.90 Other 0809.30.10 Peaches, not including nectarines, for processing 0809.30.21 Other peaches, in their natural state, not including nectarines: Imported during such period specified by order of the Minister of Public Safety and Emergency Preparedness or the President of the Canada Border Services Agency, not exceeding 14 weeks in any 12 month period ending 31st March 0809.30.29 Other peaches, in their natural state, not including nectarines: Other 0809.30.30 Nectarines, in their natural state 0809.30.90 Other 0809.40.10 Prune plums, for processing 0809.40.21 Other prune plums, in their natural state: Imported during such period specified by order of the Minister of Public Safety and Emergency Preparedness or the President of the Canada Border Services Agency, not exceeding 12 weeks in any 12 month period ending 31st March 0809.40.29 Other prune plums, in their natural state: Other 0809.40.31 Plums, other than prune plums, and sloes, in their natural state:</w:t>
      </w:r>
    </w:p>
    <w:p>
      <w:pPr>
        <w:pStyle w:val="Normal"/>
        <w:widowControl/>
        <w:rPr/>
      </w:pPr>
      <w:r>
        <w:rPr/>
        <w:t>Imported during such period specified by order of the Minister of Public Safety and Emergency Preparedness or the President of the Canada Border Services Agency, not exceeding 12 weeks in any 12 month period ending 31st March 0809.40.39 Plums, other than prune plums, and sloes, in their natural state: Other 0809.40.90 Other 0810.10.10 For processing 0810.10.91 Other: Imported during such period specified by order of the Minister of Public Safety</w:t>
      </w:r>
    </w:p>
    <w:p>
      <w:pPr>
        <w:pStyle w:val="Normal"/>
        <w:widowControl/>
        <w:rPr/>
      </w:pPr>
      <w:r>
        <w:rPr/>
        <w:t>and Emergency Preparedness or the President of the Canada Border Services Agency, not exceeding 8 weeks in any 12 month period ending 31st March 0810.10.99 Other: Other 0810.20.11 Raspberries and loganberries, in their natural state: Imported during such period specified by order of the Minister of Public Safety and Emergency Preparedness or the President of the Canada Border Services Agency, not exceeding 6 weeks in any 12 month period ending 31st March 0810.20.19 Raspberries and loganberries, in their natural state: Other 0810.20.90 Other 0810.30.00 Black, white or red currants and gooseberries 0810.40.10 In their natural state 0810.40.90 Other 0810.50.00 Kiwifruit 0810.60.00 Durians 0810.70.00 Persimmons 0810.90.00 Other 0811.10.10 For processing 0811.10.90 Other 0811.20.00 Raspberries, blackberries, mulberries, loganberries, black, white or red currants and gooseberries 0811.90.10 Cherries 0811.90.20 Peaches 0811.90.90 Other 0812.10.00 Cherries 0812.90.00 Other 0813.10.00 Apricots 0813.20.00 Prunes 0813.30.00 Apples 0813.40.00 Other fruit 0813.50.00 Mixtures of nuts or dried fruits of this Chapter 0814.00.00 Peel of citrus fruit or melons (including watermelons), fresh, frozen, dried or provisionally preserved in brine, in sulphur water or in other preservative solutions.</w:t>
      </w:r>
    </w:p>
    <w:p>
      <w:pPr>
        <w:pStyle w:val="Normal"/>
        <w:widowControl/>
        <w:spacing w:before="0" w:after="160"/>
        <w:rPr/>
      </w:pPr>
      <w:r>
        <w:rPr/>
        <w:t>0901.11.00 Not decaffeinated 0901.12.00 Decaffeinated 0901.21.00 Not decaffeinated 0901.22.00 Decaffeinated 0901.90.00 Other 0902.10.10 In bags for individual servings 0902.10.90 Other 0902.20.00 Other green tea (not fermented) 0902.30.10 In bags for individual servings 0902.30.90 Other 0902.40.00 Other black tea (fermented) and other partly fermented tea 0903.00.00 Maté. 0904.11.00 Neither crushed nor ground 0904.12.10 For processing 0904.12.90 Other 0904.21.00 Dried, neither crushed nor ground 0904.22.00 Crushed or ground 0905.10.00 Neither crushed nor ground 0905.20.00 Crushed or ground 0906.11.00 Cinnamon (Cinnamomum zeylanicum Blume) 0906.19.00 Other 0906.20.00 Crushed or ground 0907.10.00 Neither crushed nor ground 0907.20.00 Crushed or ground 0908.11.00 Neither crushed nor ground 0908.12.00 Crushed or ground 0908.21.00 Neither crushed nor ground 0908.22.00 Crushed or ground 0908.31.00 Neither crushed nor ground 0908.32.00 Crushed or ground 0909.21.00 Neither crushed nor ground 0909.22.00 Crushed or ground 0909.31.00 Neither crushed nor ground 0909.32.00 Crushed or ground 0909.61.00 Neither crushed nor ground 0909.62.00 Crushed or ground 0910.11.00 Neither crushed nor ground 0910.12.00 Crushed or ground 0910.20.00 Saffron 0910.30.00 Turmeric (curcuma) 0910.91.00 Mixtures referred to in Note 1 (b) to this Chapter 0910.99.00 Other 1001.11.10 Within access commitment 1001.11.20 Over access commitment 1001.19.10 Within access commitment 1001.19.20 Over access commitment</w:t>
      </w:r>
    </w:p>
    <w:tbl>
      <w:tblPr>
        <w:tblStyle w:val="TableGrid"/>
        <w:tblW w:w="9360" w:type="dxa"/>
        <w:jc w:val="center"/>
        <w:tblInd w:w="-28" w:type="dxa"/>
        <w:tblLayout w:type="autofit"/>
        <w:tblCellMar>
          <w:top w:w="60" w:type="dxa"/>
          <w:left w:w="80" w:type="dxa"/>
          <w:bottom w:w="60" w:type="dxa"/>
          <w:right w:w="80" w:type="dxa"/>
        </w:tblCellMar>
        <w:tblLook w:val="04a0" w:noHBand="0" w:noVBand="1" w:firstColumn="1" w:lastRow="0" w:lastColumn="0" w:firstRow="1"/>
      </w:tblPr>
      <w:tblGrid>
        <w:gridCol w:w="4680"/>
        <w:gridCol w:w="4679"/>
      </w:tblGrid>
      <w:tr>
        <w:trPr>
          <w:tblHeader w:val="true"/>
          <w:cantSplit w:val="true"/>
          <w:tblHeader w:val="true"/>
        </w:trPr>
        <w:tc>
          <w:tcPr>
            <w:tcW w:w="4680" w:type="dxa"/>
            <w:tcBorders/>
            <w:vAlign w:val="center"/>
            <w:shd w:fill="233746"/>
          </w:tcPr>
          <w:p>
            <w:pPr>
              <w:pStyle w:val="Normal"/>
              <w:widowControl/>
              <w:suppressAutoHyphens w:val="true"/>
              <w:spacing w:lineRule="auto" w:line="240" w:before="0" w:after="0"/>
              <w:jc w:val="left"/>
              <w:rPr>
                <w:rFonts w:cs=""/>
                <w:kern w:val="0"/>
                <w:szCs w:val="22"/>
                <w:lang w:val="en-US" w:eastAsia="en-US" w:bidi="ar-SA"/>
              </w:rPr>
            </w:pPr>
            <w:r>
              <w:rPr>
                <w:rFonts w:cs="" w:ascii="Arial" w:hAnsi="Arial"/>
                <w:b/>
                <w:color w:val="FFFFFF"/>
                <w:kern w:val="0"/>
                <w:sz w:val="17"/>
                <w:szCs w:val="22"/>
                <w:lang w:val="en-US" w:eastAsia="en-US" w:bidi="ar-SA"/>
              </w:rPr>
              <w:t>Tariff Item</w:t>
            </w:r>
          </w:p>
        </w:tc>
        <w:tc>
          <w:tcPr>
            <w:tcW w:w="4679" w:type="dxa"/>
            <w:tcBorders/>
            <w:vAlign w:val="center"/>
            <w:shd w:fill="233746"/>
          </w:tcPr>
          <w:p>
            <w:pPr>
              <w:pStyle w:val="Normal"/>
              <w:widowControl/>
              <w:suppressAutoHyphens w:val="true"/>
              <w:spacing w:lineRule="auto" w:line="240" w:before="0" w:after="0"/>
              <w:jc w:val="left"/>
              <w:rPr>
                <w:rFonts w:cs=""/>
                <w:kern w:val="0"/>
                <w:szCs w:val="22"/>
                <w:lang w:val="en-US" w:eastAsia="en-US" w:bidi="ar-SA"/>
              </w:rPr>
            </w:pPr>
            <w:r>
              <w:rPr>
                <w:rFonts w:cs="" w:ascii="Arial" w:hAnsi="Arial"/>
                <w:b/>
                <w:color w:val="FFFFFF"/>
                <w:kern w:val="0"/>
                <w:sz w:val="17"/>
                <w:szCs w:val="22"/>
                <w:lang w:val="en-US" w:eastAsia="en-US" w:bidi="ar-SA"/>
              </w:rPr>
              <w:t>Description</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1001.91.10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Within access commitment</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1001.91.20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Over access commitment</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1001.99.10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Within access commitment</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1001.99.20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Over access commitment</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1002.10.00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Seed</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1002.90.00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Other</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1003.10.11</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For malting purposes: Within access commitment</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1003.10.12</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For malting purposes: Over access commitment</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1003.10.91</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Other: Within access commitment</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1003.10.92</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Other: Over access commitment</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1003.90.11</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For malting purposes: Within access commitment</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1003.90.12</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For malting purposes: Over access commitment</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1003.90.91</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Other: Within access commitment</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1003.90.92</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Other: Over access commitment</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1004.10.00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Seed</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1004.90.00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Other</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1005.10.00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Seed</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1005.90.00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Other</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1006.10.00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Rice in the husk (paddy or rough)</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1006.20.00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Husked (brown) rice</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1006.30.00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Semi-milled or wholly milled rice, whether or not polished or glazed</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1006.40.00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Broken rice</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1007.10.00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Seed</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1007.90.00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Other</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1008.10.00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Buckwheat</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1008.21.00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Seed</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1008.29.00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Other</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1008.30.00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Canary seeds</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1008.40.00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Fonio (Digitaria spp.</w:t>
            </w:r>
          </w:p>
        </w:tc>
      </w:tr>
    </w:tbl>
    <w:p>
      <w:pPr>
        <w:pStyle w:val="Normal"/>
        <w:widowControl/>
        <w:spacing w:before="160" w:after="120"/>
        <w:rPr/>
      </w:pPr>
      <w:r>
        <w:rPr/>
        <w:t>1008.50.00 Quinoa (Chenopodium quinoa) 1008.60.00 Triticale 1008.90.00 Other cereals 1101.00.10 Within access commitment 1101.00.20 Over access commitment 1102.20.00 Maize (corn) flour 1102.90.11 Barley flour: Within access commitment 1102.90.12 Barley flour: Over access commitment 1102.90.20 Rice flour 1102.90.30 Rye flour 1102.90.90 Other 1103.11.10 Within access commitment 1103.11.20 Over access commitment 1103.13.00 Of maize (corn) 1103.19.11 Of barley: Within access commitment 1103.19.12 Of barley: Over access commitment 1103.19.90 Other 1103.20.11 Of wheat: Within access commitment 1103.20.12 Of wheat: Over access commitment 1103.20.21 Of barley: Within access commitment 1103.20.22 Of barley: Over access commitment 1103.20.90 Other 1104.12.00 Of oats 1104.19.11 Of wheat: Within access commitment 1104.19.12 Of wheat: Over access commitment 1104.19.21 Of barley: Within access commitment 1104.19.22 Of barley: Over access commitment 1104.19.90 Other 1104.22.00 Of oats 1104.23.00 Of maize (corn) 1104.29.11 Of wheat: Within access commitment 1104.29.12 Of wheat: Over access commitment 1104.29.21 Of barley: Within access commitment 1104.29.22 Of barley: Over access commitment 1104.29.90 Other 1104.30.11 Of wheat: Within access commitment 1104.30.12 Of wheat: Over access commitment 1104.30.90 Other 1105.10.00 Flour, meal and powder 1105.20.00 Flakes, granules and pellets 1106.10.10 Guar meal 1106.10.90 Other 1106.20.00 Of sago or of roots or tubers of heading 07.14</w:t>
      </w:r>
    </w:p>
    <w:p>
      <w:pPr>
        <w:pStyle w:val="Normal"/>
        <w:widowControl/>
        <w:rPr/>
      </w:pPr>
      <w:r>
        <w:rPr/>
        <w:t>1106.30.00 Of the products of Chapter 8 1107.10.11 Whole: Within access commitment 1107.10.12 Whole: Over access commitment 1107.10.91 Other: Within access commitment 1107.10.92 Other: Over access commitment 1107.20.11 Whole: Within access commitment 1107.20.12 Whole: Over access commitment 1107.20.91 Other: Within access commitment 1107.20.92 Other: Over access commitment 1108.11.10 Within access commitment 1108.11.20 Over access commitment 1108.12.00 Maize (corn) starch 1108.13.00 Potato starch 1108.14.00 Manioc (cassava) starch 1108.19.11 Barley starch: Within access commitment 1108.19.12 Barley starch: Over access commitment 1108.19.90 Other 1108.20.00 Inulin 1109.00.10 Within access commitment 1109.00.20 Over access commitment 1201.10.00 Seed 1201.90.00 Other 1202.30.00 Seed 1202.41.00 In shell 1202.42.00 Shelled, whether or not broken 1203.00.00 Copra. 1204.00.00 Linseed, whether or not broken. 1205.10.00 Low erucic acid rape or colza seeds 1205.90.00 Other 1206.00.00 Sunflower seeds, whether or not broken. 1207.10.00 Palm nuts and kernels 1207.21.00 Seed 1207.29.00 Other 1207.30.00 Castor oil seeds 1207.40.00 Sesamum seeds 1207.50.00 Mustard seeds 1207.60.00 Safflower (Carthamus tinctorius) seeds 1207.70.00 Melon seeds 1207.91.00 Poppy seeds 1207.99.00 Other 1208.10.00 Of soya beans 1208.90.00 Other 1209.10.00 Sugar beet seeds 1209.21.00 Lucerne (alfalfa) seeds 1209.22.00 Clover (Trifolium spp.)</w:t>
      </w:r>
    </w:p>
    <w:p>
      <w:pPr>
        <w:pStyle w:val="Normal"/>
        <w:widowControl/>
        <w:rPr/>
      </w:pPr>
      <w:r>
        <w:rPr/>
        <w:t>seeds 1209.23.00 Fescue seeds 1209.24.00 Kentucky blue grass (Poa pratensis L.) seeds 1209.25.00 Rye grass (Lolium multiflorum Lam., Lolium perenne L.) seeds 1209.29.00 Other 1209.30.10 In packages of a weight of less than 25 g each 1209.30.20 In bulk or in packages of a weight of 25 g each or more 1209.91.10 In bulk or in packages of a weight exceeding 500 g each; In packages of a weight of 25 g each or more but not exceeding 500 g each when valued at $5.50 or more per 500 g 1209.91.90 Other 1209.99.10 Tree seed, other than nut trees of Chapter 8; Seeds, in bulk or in packages of a weight exceeding 500 g each;</w:t>
      </w:r>
    </w:p>
    <w:p>
      <w:pPr>
        <w:pStyle w:val="Normal"/>
        <w:widowControl/>
        <w:spacing w:before="0" w:after="160"/>
        <w:rPr/>
      </w:pPr>
      <w:r>
        <w:rPr/>
        <w:t>Fruit and spores</w:t>
      </w:r>
    </w:p>
    <w:tbl>
      <w:tblPr>
        <w:tblStyle w:val="TableGrid"/>
        <w:tblW w:w="9360" w:type="dxa"/>
        <w:jc w:val="center"/>
        <w:tblInd w:w="-28" w:type="dxa"/>
        <w:tblLayout w:type="autofit"/>
        <w:tblCellMar>
          <w:top w:w="60" w:type="dxa"/>
          <w:left w:w="80" w:type="dxa"/>
          <w:bottom w:w="60" w:type="dxa"/>
          <w:right w:w="80" w:type="dxa"/>
        </w:tblCellMar>
        <w:tblLook w:val="04a0" w:noHBand="0" w:noVBand="1" w:firstColumn="1" w:lastRow="0" w:lastColumn="0" w:firstRow="1"/>
      </w:tblPr>
      <w:tblGrid>
        <w:gridCol w:w="4680"/>
        <w:gridCol w:w="4679"/>
      </w:tblGrid>
      <w:tr>
        <w:trPr>
          <w:tblHeader w:val="true"/>
          <w:cantSplit w:val="true"/>
          <w:tblHeader w:val="true"/>
        </w:trPr>
        <w:tc>
          <w:tcPr>
            <w:tcW w:w="4680" w:type="dxa"/>
            <w:tcBorders/>
            <w:vAlign w:val="center"/>
            <w:shd w:fill="233746"/>
          </w:tcPr>
          <w:p>
            <w:pPr>
              <w:pStyle w:val="Normal"/>
              <w:widowControl/>
              <w:suppressAutoHyphens w:val="true"/>
              <w:spacing w:lineRule="auto" w:line="240" w:before="0" w:after="0"/>
              <w:jc w:val="left"/>
              <w:rPr>
                <w:rFonts w:cs=""/>
                <w:kern w:val="0"/>
                <w:szCs w:val="22"/>
                <w:lang w:val="en-US" w:eastAsia="en-US" w:bidi="ar-SA"/>
              </w:rPr>
            </w:pPr>
            <w:r>
              <w:rPr>
                <w:rFonts w:cs="" w:ascii="Arial" w:hAnsi="Arial"/>
                <w:b/>
                <w:color w:val="FFFFFF"/>
                <w:kern w:val="0"/>
                <w:sz w:val="17"/>
                <w:szCs w:val="22"/>
                <w:lang w:val="en-US" w:eastAsia="en-US" w:bidi="ar-SA"/>
              </w:rPr>
              <w:t>Tariff Item</w:t>
            </w:r>
          </w:p>
        </w:tc>
        <w:tc>
          <w:tcPr>
            <w:tcW w:w="4679" w:type="dxa"/>
            <w:tcBorders/>
            <w:vAlign w:val="center"/>
            <w:shd w:fill="233746"/>
          </w:tcPr>
          <w:p>
            <w:pPr>
              <w:pStyle w:val="Normal"/>
              <w:widowControl/>
              <w:suppressAutoHyphens w:val="true"/>
              <w:spacing w:lineRule="auto" w:line="240" w:before="0" w:after="0"/>
              <w:jc w:val="left"/>
              <w:rPr>
                <w:rFonts w:cs=""/>
                <w:kern w:val="0"/>
                <w:szCs w:val="22"/>
                <w:lang w:val="en-US" w:eastAsia="en-US" w:bidi="ar-SA"/>
              </w:rPr>
            </w:pPr>
            <w:r>
              <w:rPr>
                <w:rFonts w:cs="" w:ascii="Arial" w:hAnsi="Arial"/>
                <w:b/>
                <w:color w:val="FFFFFF"/>
                <w:kern w:val="0"/>
                <w:sz w:val="17"/>
                <w:szCs w:val="22"/>
                <w:lang w:val="en-US" w:eastAsia="en-US" w:bidi="ar-SA"/>
              </w:rPr>
              <w:t>Description</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1209.99.20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Seeds, in packages of a weight not exceeding 500 g each</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1210.10.00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Hop cones, neither ground nor powdered nor in the form of pellets</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1210.20.00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Hop cones, ground, powdered or in the form of pellets; lupulin</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1211.20.10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Herbal “tea” in bags for individual servings</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1211.20.90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Other</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1211.30.00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Coca leaf</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1211.40.00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Poppy straw</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1211.50.00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Ephedra</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1211.90.10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Herbal “tea” in bags for individual servings</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1211.90.90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Other</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1212.21.00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Fit for human consumption</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1212.29.00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Other</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1212.91.00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Sugar beet</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1212.92.00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Locust beans (carob)</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1212.93.00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Sugar cane</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1212.94.00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Chicory roots</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1212.99.00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Other</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1213.00.00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Cereal straw and husks, unprepared, whether or not chopped, ground, pressed or in the form of pellets.</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b/>
                <w:kern w:val="0"/>
                <w:sz w:val="17"/>
                <w:szCs w:val="22"/>
                <w:lang w:val="en-US" w:eastAsia="en-US" w:bidi="ar-SA"/>
              </w:rPr>
              <w:t>Tariff Item</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b/>
                <w:kern w:val="0"/>
                <w:sz w:val="17"/>
                <w:szCs w:val="22"/>
                <w:lang w:val="en-US" w:eastAsia="en-US" w:bidi="ar-SA"/>
              </w:rPr>
              <w:t>Description</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1214.10.00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Lucerne (alfalfa) meal and pellets</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1214.90.00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Other</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1301.20.00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Gum Arabic</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1301.90.00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Other</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1302.11.00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Opium</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1302.12.00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Of liquorice</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1302.13.00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Of hops</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1302.14.00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Of ephedra</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1302.19.00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Other</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1302.20.00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Pectic substances, pectinates and pectates</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1302.31.00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Agar-agar</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1302.32.00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Mucilages and thickeners, whether or not modified, derived from locust beans, locust bean seeds or guar seeds</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1302.39.00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Other</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1401.10.00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Bamboos</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1401.20.00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Rattans</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1401.90.00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Other</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1404.20.00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Cotton linters</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1404.90.00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Other</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1501.10.00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Lard</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1501.20.00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Other pig fat</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1501.90.00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Other</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1502.10.00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Tallow</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1502.90.00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Other</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1503.00.00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Lard stearin, lard oil, oleostearin, oleo-oil and tallow oil, not emulsified or mixed or otherwise prepared.</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1504.10.10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For use in the manufacture of medicaments</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1504.10.91</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Other: For use in Canadian manufactures</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1504.10.99</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Other: Other</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1504.20.00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Fats and oils and their fractions, of fish, other than liver oils</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1504.30.00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Fats and oils and their fractions, of marine mammals</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1505.00.00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Wool grease and fatty substances derived therefrom (including lanolin).</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1506.00.00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Other animal fats and oils and their fractions, whether or not refined, but not chemically modified.</w:t>
            </w:r>
          </w:p>
        </w:tc>
      </w:tr>
    </w:tbl>
    <w:p>
      <w:pPr>
        <w:pStyle w:val="Normal"/>
        <w:widowControl/>
        <w:spacing w:before="160" w:after="120"/>
        <w:rPr/>
      </w:pPr>
      <w:r>
        <w:rPr/>
        <w:t>1507.10.00 Crude oil, whether or not degummed 1507.90.00 Other 1508.10.00 Crude oil 1508.90.00 Other 1509.10.00 Virgin 1509.90.00 Other 1510.00.00 Other oils and their fractions, obtained solely from olives, whether or not refined, but not chemically modified, including blends of these oils or fractions with oils or fractions of heading 15.09. 1511.10.00 Crude oil 1511.90.00 Other 1512.11.00 Crude oil 1512.19.11 Sunflower-seed oil and fractions thereof: For processing 1512.19.19 Sunflower-seed oil and fractions thereof: Other 1512.19.21 Safflower oil and fractions thereof: For processing 1512.19.29 Safflower oil and fractions thereof:</w:t>
      </w:r>
    </w:p>
    <w:p>
      <w:pPr>
        <w:pStyle w:val="Normal"/>
        <w:widowControl/>
        <w:spacing w:before="0" w:after="160"/>
        <w:rPr/>
      </w:pPr>
      <w:r>
        <w:rPr/>
        <w:t>Other</w:t>
      </w:r>
    </w:p>
    <w:tbl>
      <w:tblPr>
        <w:tblStyle w:val="TableGrid"/>
        <w:tblW w:w="9360" w:type="dxa"/>
        <w:jc w:val="center"/>
        <w:tblInd w:w="-28" w:type="dxa"/>
        <w:tblLayout w:type="autofit"/>
        <w:tblCellMar>
          <w:top w:w="60" w:type="dxa"/>
          <w:left w:w="80" w:type="dxa"/>
          <w:bottom w:w="60" w:type="dxa"/>
          <w:right w:w="80" w:type="dxa"/>
        </w:tblCellMar>
        <w:tblLook w:val="04a0" w:noHBand="0" w:noVBand="1" w:firstColumn="1" w:lastRow="0" w:lastColumn="0" w:firstRow="1"/>
      </w:tblPr>
      <w:tblGrid>
        <w:gridCol w:w="4680"/>
        <w:gridCol w:w="4679"/>
      </w:tblGrid>
      <w:tr>
        <w:trPr>
          <w:tblHeader w:val="true"/>
          <w:cantSplit w:val="true"/>
          <w:tblHeader w:val="true"/>
        </w:trPr>
        <w:tc>
          <w:tcPr>
            <w:tcW w:w="4680" w:type="dxa"/>
            <w:tcBorders/>
            <w:vAlign w:val="center"/>
            <w:shd w:fill="233746"/>
          </w:tcPr>
          <w:p>
            <w:pPr>
              <w:pStyle w:val="Normal"/>
              <w:widowControl/>
              <w:suppressAutoHyphens w:val="true"/>
              <w:spacing w:lineRule="auto" w:line="240" w:before="0" w:after="0"/>
              <w:jc w:val="left"/>
              <w:rPr>
                <w:rFonts w:cs=""/>
                <w:kern w:val="0"/>
                <w:szCs w:val="22"/>
                <w:lang w:val="en-US" w:eastAsia="en-US" w:bidi="ar-SA"/>
              </w:rPr>
            </w:pPr>
            <w:r>
              <w:rPr>
                <w:rFonts w:cs="" w:ascii="Arial" w:hAnsi="Arial"/>
                <w:b/>
                <w:color w:val="FFFFFF"/>
                <w:kern w:val="0"/>
                <w:sz w:val="17"/>
                <w:szCs w:val="22"/>
                <w:lang w:val="en-US" w:eastAsia="en-US" w:bidi="ar-SA"/>
              </w:rPr>
              <w:t>Tariff Item</w:t>
            </w:r>
          </w:p>
        </w:tc>
        <w:tc>
          <w:tcPr>
            <w:tcW w:w="4679" w:type="dxa"/>
            <w:tcBorders/>
            <w:vAlign w:val="center"/>
            <w:shd w:fill="233746"/>
          </w:tcPr>
          <w:p>
            <w:pPr>
              <w:pStyle w:val="Normal"/>
              <w:widowControl/>
              <w:suppressAutoHyphens w:val="true"/>
              <w:spacing w:lineRule="auto" w:line="240" w:before="0" w:after="0"/>
              <w:jc w:val="left"/>
              <w:rPr>
                <w:rFonts w:cs=""/>
                <w:kern w:val="0"/>
                <w:szCs w:val="22"/>
                <w:lang w:val="en-US" w:eastAsia="en-US" w:bidi="ar-SA"/>
              </w:rPr>
            </w:pPr>
            <w:r>
              <w:rPr>
                <w:rFonts w:cs="" w:ascii="Arial" w:hAnsi="Arial"/>
                <w:b/>
                <w:color w:val="FFFFFF"/>
                <w:kern w:val="0"/>
                <w:sz w:val="17"/>
                <w:szCs w:val="22"/>
                <w:lang w:val="en-US" w:eastAsia="en-US" w:bidi="ar-SA"/>
              </w:rPr>
              <w:t>Description</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1512.21.00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Crude oil, whether or not gossypol has been removed</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1512.29.00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Other</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1513.11.00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Crude oil</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1513.19.10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For processing</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1513.19.90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Other</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1513.21.00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Crude oil</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1513.29.10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Palm kernel oil and its fractions for use in the manufacture of margarine and shortening</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1513.29.90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Other</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1514.11.00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Crude oil</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1514.19.00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Other</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1514.91.00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Crude oil</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1514.99.00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Other</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1515.11.00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Crude oil</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1515.19.10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For processing</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1515.19.90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Other</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1515.21.00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Crude oil</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1515.29.00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Other</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1515.30.00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Castor oil and its fractions</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1515.50.10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Crude oil</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1515.50.90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Other</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1515.90.00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Other</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1516.10.00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Animal fats and oils and their fractions</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1516.20.00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Vegetable fats and oils and their fractions</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1517.10.10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Within access commitment</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1517.10.20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Over access commitment *</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1517.90.10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Imitation lard</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1517.90.21</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Substitutes for butter: Within access commitment *</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1517.90.22</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Substitutes for</w:t>
            </w:r>
          </w:p>
        </w:tc>
      </w:tr>
    </w:tbl>
    <w:p>
      <w:pPr>
        <w:pStyle w:val="Normal"/>
        <w:widowControl/>
        <w:spacing w:before="160" w:after="120"/>
        <w:rPr/>
      </w:pPr>
      <w:r>
        <w:rPr/>
        <w:t>butter: Over access commitment * 1517.90.30 Palm oil and palm kernel oil, and their fractions, and blends thereof, for use in the manufacture of margarine and shortening 1517.90.91 Other: Shortening 1517.90.99 Other: Other 1518.00.00 Animal or vegetable fats and oils and their fractions, boiled, oxidized, dehydrated, sulphurized, blown, polymerized by heat in vacuum or in inert gas or otherwise chemically modified, excluding those of heading 15.16; inedible mixtures or preparations of animal or vegetable fats or oils or of fractions of different fats or oils of this Chapter, not elsewhere specified or included. 1520.00.00 Glycerol, crude; glycerol waters and glycerol lyes. 1521.10.00 Vegetable waxes 1521.90.00 Other 1522.00.00 Degras; residues resulting from the treatment of fatty substances or animal or vegetable waxes.</w:t>
      </w:r>
    </w:p>
    <w:p>
      <w:pPr>
        <w:pStyle w:val="Normal"/>
        <w:widowControl/>
        <w:rPr/>
      </w:pPr>
      <w:r>
        <w:rPr/>
        <w:t>1601.00.11 In cans or glass jars: Of poultry of heading 01.05 * 1601.00.19 In cans or glass jars: Other 1601.00.21 Of fowls of the species Gallus domesticus, other than in cans or glass jars: Other than spent fowl, within access commitment * * 1601.00.22 Of fowls of the species Gallus domesticus, other than in cans or glass jars: Other than spent fowl, over access commitment * * 1601.00.23 Of fowls of the species Gallus domesticus, other than in cans or glass jars: Spent fowl 1601.00.31 Of turkeys, other than in cans or glass jars: Within access commitment * 1601.00.32 Of turkeys, other than in cans or glass jars: Over access commitment * * 1601.00.90 Other 1602.10.10 Of fowls of the species Gallus domesticus and turkeys, of heading 01.05 * 1602.10.90 Other 1602.20.10 Pâtés de foie with truffles 1602.20.21 Paste, of fowls of the species Gallus domesticus, not in cans or glass jars: Within access commitment * * 1602.20.22 Paste, of fowls of the species Gallus domesticus, not in cans or glass jars:</w:t>
      </w:r>
    </w:p>
    <w:p>
      <w:pPr>
        <w:pStyle w:val="Normal"/>
        <w:widowControl/>
        <w:rPr/>
      </w:pPr>
      <w:r>
        <w:rPr/>
        <w:t>Over access commitment * * 1602.20.31 Paste, of turkeys, not in cans or glass jars: Within access commitment * 1602.20.32 Paste, of turkeys, not in cans or glass jars: Over access commitment * * 1602.20.90 Other 1602.31.11 Prepared meals: Specially defined mixtures * 1602.31.12 Prepared meals: Other, within access commitment * 1602.31.13 Prepared meals: Other, over access commitment, bone in * * 1602.31.14 Prepared meals: Other, over access commitment, boneless * * 1602.31.91</w:t>
      </w:r>
    </w:p>
    <w:p>
      <w:pPr>
        <w:pStyle w:val="Normal"/>
        <w:widowControl/>
        <w:rPr/>
      </w:pPr>
      <w:r>
        <w:rPr/>
        <w:t>Other: In cans or glass jars * 1602.31.92 Other: Specially defined mixtures, other than in cans or glass jars * 1602.31.93 Other: Other, within access commitment * 1602.31.94 Other: Other, over access commitment, bone in * * 1602.31.95 Other: Other, over access commitment, boneless * * 1602.32.11 Prepared meals: Of spent fowl; Specially defined mixtures * 1602.32.12 Prepared meals: Other, within access commitment * * 1602.32.13 Prepared meals: Other, over access commitment, bone in * * 1602.32.14 Prepared meals: Other, over access commitment, boneless * * 1602.32.91 Other: In cans or glass jars * 1602.32.92 Other: Specially defined mixtures, other than in cans or glass jars; Spent fowl other than in cans or glass jars * 1602.32.93 Other: Other, within access commitment * * 1602.32.94 Other: Other, over access commitment, bone in * * 1602.32.95 Other: Other, over access commitment, boneless * * 1602.39.10 Prepared meals * 1602.39.91 Other: Of ducks, geese or guinea fowls, in cans or glass jars * 1602.39.99 Other:</w:t>
      </w:r>
    </w:p>
    <w:p>
      <w:pPr>
        <w:pStyle w:val="Normal"/>
        <w:widowControl/>
        <w:spacing w:before="0" w:after="160"/>
        <w:rPr/>
      </w:pPr>
      <w:r>
        <w:rPr/>
        <w:t>Other *</w:t>
      </w:r>
    </w:p>
    <w:tbl>
      <w:tblPr>
        <w:tblStyle w:val="TableGrid"/>
        <w:tblW w:w="9360" w:type="dxa"/>
        <w:jc w:val="center"/>
        <w:tblInd w:w="-28" w:type="dxa"/>
        <w:tblLayout w:type="autofit"/>
        <w:tblCellMar>
          <w:top w:w="60" w:type="dxa"/>
          <w:left w:w="80" w:type="dxa"/>
          <w:bottom w:w="60" w:type="dxa"/>
          <w:right w:w="80" w:type="dxa"/>
        </w:tblCellMar>
        <w:tblLook w:val="04a0" w:noHBand="0" w:noVBand="1" w:firstColumn="1" w:lastRow="0" w:lastColumn="0" w:firstRow="1"/>
      </w:tblPr>
      <w:tblGrid>
        <w:gridCol w:w="4680"/>
        <w:gridCol w:w="4679"/>
      </w:tblGrid>
      <w:tr>
        <w:trPr>
          <w:tblHeader w:val="true"/>
          <w:cantSplit w:val="true"/>
          <w:tblHeader w:val="true"/>
        </w:trPr>
        <w:tc>
          <w:tcPr>
            <w:tcW w:w="4680" w:type="dxa"/>
            <w:tcBorders/>
            <w:vAlign w:val="center"/>
            <w:shd w:fill="233746"/>
          </w:tcPr>
          <w:p>
            <w:pPr>
              <w:pStyle w:val="Normal"/>
              <w:widowControl/>
              <w:suppressAutoHyphens w:val="true"/>
              <w:spacing w:lineRule="auto" w:line="240" w:before="0" w:after="0"/>
              <w:jc w:val="left"/>
              <w:rPr>
                <w:rFonts w:cs=""/>
                <w:kern w:val="0"/>
                <w:szCs w:val="22"/>
                <w:lang w:val="en-US" w:eastAsia="en-US" w:bidi="ar-SA"/>
              </w:rPr>
            </w:pPr>
            <w:r>
              <w:rPr>
                <w:rFonts w:cs="" w:ascii="Arial" w:hAnsi="Arial"/>
                <w:b/>
                <w:color w:val="FFFFFF"/>
                <w:kern w:val="0"/>
                <w:sz w:val="17"/>
                <w:szCs w:val="22"/>
                <w:lang w:val="en-US" w:eastAsia="en-US" w:bidi="ar-SA"/>
              </w:rPr>
              <w:t>Tariff Item</w:t>
            </w:r>
          </w:p>
        </w:tc>
        <w:tc>
          <w:tcPr>
            <w:tcW w:w="4679" w:type="dxa"/>
            <w:tcBorders/>
            <w:vAlign w:val="center"/>
            <w:shd w:fill="233746"/>
          </w:tcPr>
          <w:p>
            <w:pPr>
              <w:pStyle w:val="Normal"/>
              <w:widowControl/>
              <w:suppressAutoHyphens w:val="true"/>
              <w:spacing w:lineRule="auto" w:line="240" w:before="0" w:after="0"/>
              <w:jc w:val="left"/>
              <w:rPr>
                <w:rFonts w:cs=""/>
                <w:kern w:val="0"/>
                <w:szCs w:val="22"/>
                <w:lang w:val="en-US" w:eastAsia="en-US" w:bidi="ar-SA"/>
              </w:rPr>
            </w:pPr>
            <w:r>
              <w:rPr>
                <w:rFonts w:cs="" w:ascii="Arial" w:hAnsi="Arial"/>
                <w:b/>
                <w:color w:val="FFFFFF"/>
                <w:kern w:val="0"/>
                <w:sz w:val="17"/>
                <w:szCs w:val="22"/>
                <w:lang w:val="en-US" w:eastAsia="en-US" w:bidi="ar-SA"/>
              </w:rPr>
              <w:t>Description</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1602.41.10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In cans or glass jars</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1602.41.90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Other</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1602.42.10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In cans or glass jars</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1602.42.90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Other</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1602.49.10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In cans or glass jars; Prepared meals</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1602.49.90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Other</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1602.50.10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Prepared meals</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1602.50.91</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Other: In cans or glass jars</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1602.50.99</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Other: Other</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1602.90.10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Prepared meals</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1602.90.91</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Other: In cans or glass jars</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1602.90.99</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Other: Other</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1603.00.10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Of meat</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1603.00.20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Of fish or crustaceans, molluscs or other aquatic invertebrates</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1604.11.00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Salmon</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b/>
                <w:kern w:val="0"/>
                <w:sz w:val="17"/>
                <w:szCs w:val="22"/>
                <w:lang w:val="en-US" w:eastAsia="en-US" w:bidi="ar-SA"/>
              </w:rPr>
              <w:t>Tariff Item</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b/>
                <w:kern w:val="0"/>
                <w:sz w:val="17"/>
                <w:szCs w:val="22"/>
                <w:lang w:val="en-US" w:eastAsia="en-US" w:bidi="ar-SA"/>
              </w:rPr>
              <w:t>Description</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1604.12.10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Pickled</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1604.12.90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Other</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1604.13.10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In cans or glass jars</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1604.13.90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Other</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1604.14.10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Atlantic bonito</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1604.14.90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Other</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1604.15.00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Mackerel</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1604.16.10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In cans or glass jars</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1604.16.90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Other</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1604.17.00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Eels</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1604.18.00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Shark fins</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1604.19.10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Whitebait, in cans or glass jars</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1604.19.90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Other</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1604.20.10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Prepared meals</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1604.20.20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Gefilte fish</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1604.20.90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Other</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1604.31.00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Caviar</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1604.32.00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Caviar substitutes</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1605.10.00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Crab</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1605.21.00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Not in airtight container</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1605.29.00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Other</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1605.30.10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Shelled, cooked by steaming or boiling in water, whether or not frozen but not further prepared or preserved</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1605.30.90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Other</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1605.40.10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Crayfish, in cans or glass jars</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1605.40.90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Other</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1605.51.00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Oysters</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1605.52.00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Scallops, including queen scallops</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1605.53.00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Mussels</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1605.54.00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Cuttle fish and squid</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1605.55.00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Octopus</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1605.56.00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Clams, cockles and arkshells</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1605.57.00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Abalone</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1605.58.00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Snails, other than sea snails</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1605.59.10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Toheroas, in can or glass jars</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1605.59.90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Other</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1605.61.00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Sea cucumbers</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1605.62.00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Sea urchins</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1605.63.00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Jellyfish</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1605.69.00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Other</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1701.12.10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For use by sugar refineries in the production of refined sugar used in the manufacture of wine</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1701.12.90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Other *</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1701.13.10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For use by sugar refineries in the production of refined sugar used in the manufacture of wine</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1701.13.90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Other *</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1701.14.00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Other cane sugar</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1701.91.90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Other *</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1701.99.90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Other *</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1702.11.00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Containing by weight 99% or more lactose, expressed as anhydrous lactose, calculated on the dry matter</w:t>
            </w:r>
          </w:p>
        </w:tc>
      </w:tr>
    </w:tbl>
    <w:p>
      <w:pPr>
        <w:pStyle w:val="Normal"/>
        <w:widowControl/>
        <w:spacing w:before="160" w:after="120"/>
        <w:rPr/>
      </w:pPr>
      <w:r>
        <w:rPr/>
        <w:t>1702.19.00 Other 1702.20.00 Maple sugar and maple syrup 1702.30.10 Crystalline dextrose, having a dextrose equivalent of 90% or more but not more than 10% by weight of moisture 1702.30.90 Other 1702.40.00 Glucose and glucose syrup, containing in the dry state at least 20% but less than 50% by weight of fructose, excluding invert sugar 1702.50.00 Chemically pure fructose 1702.60.00 Other fructose and fructose syrup, containing in the dry state more than 50% by weight of fructose, excluding invert sugar 1702.90.11 Invert sugar and other sugar syrups containing, after inversion, reducing sugars weighing 75% or more of the total solid weight and in receptacles where the gross weight exceeds 27 kg: Containing reducing sugars after inversion not exceeding 65% by weight of the total syrup * 1702.90.12 Invert sugar and other sugar syrups containing, after inversion, reducing sugars weighing 75% or more of the total solid weight and in receptacles where the gross weight exceeds 27 kg:</w:t>
      </w:r>
    </w:p>
    <w:p>
      <w:pPr>
        <w:pStyle w:val="Normal"/>
        <w:widowControl/>
        <w:rPr/>
      </w:pPr>
      <w:r>
        <w:rPr/>
        <w:t>Containing reducing sugars after inversion exceeding 65% but not exceeding 70% by weight of the total syrup * 1702.90.13 Invert sugar and other sugar syrups containing, after inversion, reducing sugars weighing 75% or more of the total solid weight and in receptacles where the gross weight exceeds 27 kg: Containing reducing sugars after inversion exceeding 70% but not exceeding 71% by weight of the total syrup * 1702.90.14 Invert sugar and other sugar syrups containing, after inversion, reducing sugars</w:t>
      </w:r>
    </w:p>
    <w:p>
      <w:pPr>
        <w:pStyle w:val="Normal"/>
        <w:widowControl/>
        <w:rPr/>
      </w:pPr>
      <w:r>
        <w:rPr/>
        <w:t>weighing 75% or more of the total solid weight and in receptacles where the gross weight exceeds 27 kg: Containing reducing sugars after inversion exceeding 71% but not exceeding 72% by weight of the total syrup * 1702.90.15 Invert sugar and other sugar syrups containing, after inversion, reducing sugars weighing 75% or more of the total solid weight and in receptacles where the gross weight exceeds 27 kg: Containing reducing sugars after inversion exceeding 72% but not exceeding 73% by weight of the total syrup * 1702.90.16 Invert sugar and other sugar syrups containing, after inversion, reducing sugars weighing 75% or more of the total solid weight and in receptacles where the gross weight exceeds 27 kg: Containing reducing sugars after inversion exceeding 73% but not exceeding 74% by weight of the total syrup * 1702.90.17 Invert sugar and other sugar syrups containing, after inversion, reducing sugars weighing 75% or more of the total solid weight and in receptacles where the gross weight exceeds 27 kg:</w:t>
      </w:r>
    </w:p>
    <w:p>
      <w:pPr>
        <w:pStyle w:val="Normal"/>
        <w:widowControl/>
        <w:spacing w:before="0" w:after="160"/>
        <w:rPr/>
      </w:pPr>
      <w:r>
        <w:rPr/>
        <w:t>Containing reducing sugars after inversion exceeding 74% but not exceeding 75% by weight of the total syrup * 1702.90.18 Invert sugar and other sugar syrups containing, after inversion, reducing sugars weighing 75% or more of the total solid weight and in receptacles where the gross weight exceeds 27 kg: Containing reducing sugars after inversion exceeding 75% by weight of the total syrup * 1702.90.29 Artificial honey, whether or not mixed with natural honey: Other</w:t>
      </w:r>
    </w:p>
    <w:tbl>
      <w:tblPr>
        <w:tblStyle w:val="TableGrid"/>
        <w:tblW w:w="9360" w:type="dxa"/>
        <w:jc w:val="center"/>
        <w:tblInd w:w="-28" w:type="dxa"/>
        <w:tblLayout w:type="autofit"/>
        <w:tblCellMar>
          <w:top w:w="60" w:type="dxa"/>
          <w:left w:w="80" w:type="dxa"/>
          <w:bottom w:w="60" w:type="dxa"/>
          <w:right w:w="80" w:type="dxa"/>
        </w:tblCellMar>
        <w:tblLook w:val="04a0" w:noHBand="0" w:noVBand="1" w:firstColumn="1" w:lastRow="0" w:lastColumn="0" w:firstRow="1"/>
      </w:tblPr>
      <w:tblGrid>
        <w:gridCol w:w="4680"/>
        <w:gridCol w:w="4679"/>
      </w:tblGrid>
      <w:tr>
        <w:trPr>
          <w:tblHeader w:val="true"/>
          <w:cantSplit w:val="true"/>
          <w:tblHeader w:val="true"/>
        </w:trPr>
        <w:tc>
          <w:tcPr>
            <w:tcW w:w="4680" w:type="dxa"/>
            <w:tcBorders/>
            <w:vAlign w:val="center"/>
            <w:shd w:fill="233746"/>
          </w:tcPr>
          <w:p>
            <w:pPr>
              <w:pStyle w:val="Normal"/>
              <w:widowControl/>
              <w:suppressAutoHyphens w:val="true"/>
              <w:spacing w:lineRule="auto" w:line="240" w:before="0" w:after="0"/>
              <w:jc w:val="left"/>
              <w:rPr>
                <w:rFonts w:cs=""/>
                <w:kern w:val="0"/>
                <w:szCs w:val="22"/>
                <w:lang w:val="en-US" w:eastAsia="en-US" w:bidi="ar-SA"/>
              </w:rPr>
            </w:pPr>
            <w:r>
              <w:rPr>
                <w:rFonts w:cs="" w:ascii="Arial" w:hAnsi="Arial"/>
                <w:b/>
                <w:color w:val="FFFFFF"/>
                <w:kern w:val="0"/>
                <w:sz w:val="17"/>
                <w:szCs w:val="22"/>
                <w:lang w:val="en-US" w:eastAsia="en-US" w:bidi="ar-SA"/>
              </w:rPr>
              <w:t>Tariff Item</w:t>
            </w:r>
          </w:p>
        </w:tc>
        <w:tc>
          <w:tcPr>
            <w:tcW w:w="4679" w:type="dxa"/>
            <w:tcBorders/>
            <w:vAlign w:val="center"/>
            <w:shd w:fill="233746"/>
          </w:tcPr>
          <w:p>
            <w:pPr>
              <w:pStyle w:val="Normal"/>
              <w:widowControl/>
              <w:suppressAutoHyphens w:val="true"/>
              <w:spacing w:lineRule="auto" w:line="240" w:before="0" w:after="0"/>
              <w:jc w:val="left"/>
              <w:rPr>
                <w:rFonts w:cs=""/>
                <w:kern w:val="0"/>
                <w:szCs w:val="22"/>
                <w:lang w:val="en-US" w:eastAsia="en-US" w:bidi="ar-SA"/>
              </w:rPr>
            </w:pPr>
            <w:r>
              <w:rPr>
                <w:rFonts w:cs="" w:ascii="Arial" w:hAnsi="Arial"/>
                <w:b/>
                <w:color w:val="FFFFFF"/>
                <w:kern w:val="0"/>
                <w:sz w:val="17"/>
                <w:szCs w:val="22"/>
                <w:lang w:val="en-US" w:eastAsia="en-US" w:bidi="ar-SA"/>
              </w:rPr>
              <w:t>Description</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1702.90.40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Chemically pure maltose</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1702.90.50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Colouring caramels</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1702.90.69</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Other sucrose sugars: Other</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1702.90.89</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Other invert sugars and other sugar syrups: Other *</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1702.90.90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Other</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1703.10.10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Powder with admixture other than colouring or anti-caking agents</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1703.10.90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Other</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1703.90.10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Powder with admixture other than colouring or anti-caking agents</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1703.90.90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Other</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1704.10.00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Chewing gum, whether or not sugar-coated</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1704.90.10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Chestnut cream or paste</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1704.90.20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Liquorice candy; Toffee</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1704.90.90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Other</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1801.00.00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Cocoa beans, whole or broken, raw or roasted.</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1802.00.00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Cocoa shells, husks, skins and other cocoa waste.</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1803.10.00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Not defatted</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1803.20.00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Wholly or partly defatted</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1804.00.00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Cocoa butter, fat and oil.</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1805.00.00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Cocoa powder, not containing added sugar or other sweetening matter.</w:t>
            </w:r>
          </w:p>
        </w:tc>
      </w:tr>
    </w:tbl>
    <w:p>
      <w:pPr>
        <w:pStyle w:val="Normal"/>
        <w:widowControl/>
        <w:spacing w:before="160" w:after="120"/>
        <w:rPr/>
      </w:pPr>
      <w:r>
        <w:rPr/>
        <w:t>1806.10.10 Containing 90% or more by weight of sugar * 1806.10.90 Other 1806.20.10 Cocoa paste containing added sugar or other sweetening matter, whether or not enriched with additional cocoa butter, but containing no other ingredients 1806.20.21 Chocolate ice cream mix or ice milk mix: Within access commitment * 1806.20.22 Chocolate ice cream mix or ice milk mix: Over access commitment * * 1806.20.90 Other 1806.31.00 Filled 1806.32.00 Not filled 1806.90.11 Chocolate ice cream mix or ice milk mix: Within access commitment * 1806.90.12 Chocolate ice cream mix or ice milk mix: Over access commitment * * 1806.90.90 Other 1901.10.10 Food preparations of flour, meal, starch or malt extract 1901.10.20 Food preparations of goods of headings 04.01 to 04.04 containing more than 10% on a dry weight basis of milk solids 1901.10.90 Other 1901.20.11 In packages of a weight not exceeding 11.34 kg each: Containing more than 25% by weight of butterfat, not put up for retail sale, within access commitment * 1901.20.12 In packages of a weight not exceeding 11.34 kg each:</w:t>
      </w:r>
    </w:p>
    <w:p>
      <w:pPr>
        <w:pStyle w:val="Normal"/>
        <w:widowControl/>
        <w:rPr/>
      </w:pPr>
      <w:r>
        <w:rPr/>
        <w:t>Containing more than 25% by weight of butterfat, not put up for retail sale, over access commitment * * 1901.20.13 In packages of a weight not exceeding 11.34 kg each: Other, containing 25% or more by weight of wheat, within access commitment 1901.20.14 In packages of a weight not exceeding 11.34 kg each: Other, in packages of a weight not exceeding 454 g each, containing 25% or more by weight of wheat, over access</w:t>
      </w:r>
    </w:p>
    <w:p>
      <w:pPr>
        <w:pStyle w:val="Normal"/>
        <w:widowControl/>
        <w:rPr/>
      </w:pPr>
      <w:r>
        <w:rPr/>
        <w:t>commitment; Frozen, for bread, buns, rolls and pizza crusts, in packages of a weight not exceeding 900 g each, containing 25% or more by weight of wheat, over access commitment 1901.20.15 In packages of a weight not exceeding 11.34 kg each: Other, containing 25% or more by weight of wheat, over access commitment 1901.20.19 In packages of a weight not exceeding 11.34 kg each: Other 1901.20.21 In bulk or in packages of a weight exceeding 11.34 kg each: Containing more than 25% by weight of butterfat, not put up for retail sale, within access commitment * 1901.20.22 In bulk or in packages of a weight exceeding 11.34 kg each: Containing more than 25% by weight of butterfat, not put up for retail sale, over access commitment * * 1901.20.23 In bulk or in packages of a weight exceeding 11.34 kg each: Other, containing 25% or more by weight of wheat, within access commitment 1901.20.24 In bulk or in packages of a weight exceeding 11.34 kg each:</w:t>
      </w:r>
    </w:p>
    <w:p>
      <w:pPr>
        <w:pStyle w:val="Normal"/>
        <w:widowControl/>
        <w:rPr/>
      </w:pPr>
      <w:r>
        <w:rPr/>
        <w:t>Other, containing 25% or more by weight of wheat, over access commitment 1901.20.29 In bulk or in packages of a weight exceeding 11.34 kg each: Other 1901.90.11 Malt extract: Within access commitment 1901.90.12 Malt extract: Over access commitment 1901.90.20 Food preparations of flour, meal, starch or malt extract 1901.90.31 Food preparations of goods of headings 04.01 to 04.04, containing more than 10% but less than 50 % on a dry weight basis of milk solids: Ice cream mixes or ice milk mixes, within access commitment * * 1901.90.32 Food</w:t>
      </w:r>
    </w:p>
    <w:p>
      <w:pPr>
        <w:pStyle w:val="Normal"/>
        <w:widowControl/>
        <w:rPr/>
      </w:pPr>
      <w:r>
        <w:rPr/>
        <w:t>preparations of goods of headings 04.01 to 04.04, containing more than 10% but less than 50 % on a dry weight basis of milk solids: Ice cream mixes or ice milk mixes, over access commitment * * 1901.90.33 Food preparations of goods of headings 04.01 to 04.04, containing more than 10% but less than 50 % on a dry weight basis of milk solids: Other, not put up for retail sale, within access commitment * * 1901.90.34 Food preparations of goods of headings 04.01 to 04.04, containing more than 10% but less than 50 % on a dry weight basis of milk solids: Other, not put up for retail sale, over access commitment * * 1901.90.39 Food preparations of goods of headings 04.01 to 04.04, containing more than 10% but less than 50 % on a dry weight basis of milk solids:</w:t>
      </w:r>
    </w:p>
    <w:p>
      <w:pPr>
        <w:pStyle w:val="Normal"/>
        <w:widowControl/>
        <w:rPr/>
      </w:pPr>
      <w:r>
        <w:rPr/>
        <w:t>Other 1901.90.40 Food preparations of goods of headings 04.01 to 04.04, containing 10% or less on a dry weight basis of milk solids 1901.90.51 Food preparations of goods of headings 04.01 to 04.04, containing 50 % or more on a dry weight basis of milk solids: Ice cream mixes or ice milk mixes, within access commitment * * 1901.90.52 Food preparations of goods of headings 04.01 to 04.04, containing 50 % or more on a dry weight basis of milk solids: Ice cream mixes or ice milk mixes, over access commitment * * 1901.90.53 Food preparations of goods of headings 04.01 to 04.04, containing 50 % or more on a dry weight basis of milk solids: Other, not put up for retail sale, within access commitment * * 1901.90.54 Food preparations</w:t>
      </w:r>
    </w:p>
    <w:p>
      <w:pPr>
        <w:pStyle w:val="Normal"/>
        <w:widowControl/>
        <w:rPr/>
      </w:pPr>
      <w:r>
        <w:rPr/>
        <w:t>of goods of headings 04.01 to 04.04, containing 50 % or more on a dry weight basis of milk solids: Other, not put up for retail sale, over access commitment * * 1901.90.59 Food preparations of goods of headings 04.01 to 04.04, containing 50 % or more on a dry weight basis of milk solids: Other 1902.11.10 Containing 25% or more by weight of wheat, within access commitment 1902.11.21 Containing 25% or more by weight of wheat, over access commitment: In packages of a weight not exceeding 2.3 kg each 1902.11.29 Containing 25% or more by weight of wheat, over access commitment: Other 1902.11.90 Other 1902.19.11 Low protein or protein-free pasta, certified by Health Canada as special low protein or protein-free dietary products: Containing 25% or more by weight of wheat, within access commitment 1902.19.12 Low protein or protein-free pasta, certified by Health Canada as special low protein or protein-free dietary products:</w:t>
      </w:r>
    </w:p>
    <w:p>
      <w:pPr>
        <w:pStyle w:val="Normal"/>
        <w:widowControl/>
        <w:rPr/>
      </w:pPr>
      <w:r>
        <w:rPr/>
        <w:t>Containing 25% or more by weight of wheat, over access commitment 1902.19.19 Low protein or protein-free pasta, certified by Health Canada as special low protein or protein-free dietary products: Other 1902.19.21 Other, containing flour and water only: Containing 25% or more by weight of wheat, within access commitment 1902.19.22 Other, containing flour and water only: Containing 25% or more by weight of wheat, in packages of a weight not exceeding 2.3 kg each, over access commitment 1902.19.23 Other, containing flour and water only: Other, containing 25% or</w:t>
      </w:r>
    </w:p>
    <w:p>
      <w:pPr>
        <w:pStyle w:val="Normal"/>
        <w:widowControl/>
        <w:rPr/>
      </w:pPr>
      <w:r>
        <w:rPr/>
        <w:t>more by weight of wheat, over access commitment 1902.19.29 Other, containing flour and water only: Other 1902.19.91 Other: Containing 25% or more by weight of wheat, within access commitment 1902.19.92 Other: Containing 25% or more by weight of wheat, in packages of a weight not exceeding 2.3 kg each, over access commitment 1902.19.93 Other: Other, containing 25% or more by weight of wheat, over access commitment 1902.19.99 Other: Other 1902.20.00 Stuffed pasta, whether or not cooked or otherwise prepared 1902.30.11 Low protein or protein-free pasta, without meat, certified by Health Canada as special low protein or protein-free dietary products: Containing 25% or more by weight of wheat, within access commitment 1902.30.12 Low protein or protein-free pasta, without meat, certified by Health Canada as special low protein or protein-free dietary products: Containing 25% or more by weight of wheat, over access commitment 1902.30.19 Low protein or protein-free pasta, without meat, certified by Health Canada as special low protein or protein-free dietary products:</w:t>
      </w:r>
    </w:p>
    <w:p>
      <w:pPr>
        <w:pStyle w:val="Normal"/>
        <w:widowControl/>
        <w:rPr/>
      </w:pPr>
      <w:r>
        <w:rPr/>
        <w:t>Other 1902.30.20 Other, containing 25% or more by weight of wheat, without meat, within access commitment 1902.30.31 Other, containing 25% or more by weight of wheat, without meat, over access commitment: In packages of a weight not exceeding 2.3 kg each 1902.30.39 Other, containing 25% or more by weight of wheat, without meat, over access commitment: Other 1902.30.40 Other, without meat 1902.30.50 With meat 1902.40.10</w:t>
      </w:r>
    </w:p>
    <w:p>
      <w:pPr>
        <w:pStyle w:val="Normal"/>
        <w:widowControl/>
        <w:rPr/>
      </w:pPr>
      <w:r>
        <w:rPr/>
        <w:t>In packages of a weight not exceeding 11.34 kg each 1902.40.20 In bulk or in packages of a weight exceeding 11.34 kg each 1903.00.00 Tapioca and substitutes therefor prepared from starch, in the form of flakes, grains, pearls, siftings or in similar forms. 1904.10.10 Containing 25% or more by weight of wheat, within access commitment 1904.10.21 Containing 25% or more by weight of wheat, over access commitment: In packages of a weight not exceeding 454 g each 1904.10.29 Containing 25% or more by weight of wheat, over access commitment: Other 1904.10.30 Of barley, within access commitment 1904.10.41 Of barley, over access commitment: Breakfast cereals, in packages of a weight not exceeding 454 g each 1904.10.49 Of barley, over access commitment: Other 1904.10.90 Other 1904.20.10 Containing 25% or more by weight of wheat, in packages of a weight not exceeding 11.34 kg each, within access commitment 1904.20.21 Containing 25% or more by weight of wheat, in packages of a weight not exceeding 11.34 kg each, over access commitment:</w:t>
      </w:r>
    </w:p>
    <w:p>
      <w:pPr>
        <w:pStyle w:val="Normal"/>
        <w:widowControl/>
        <w:rPr/>
      </w:pPr>
      <w:r>
        <w:rPr/>
        <w:t>In packages of a weight not exceeding 454 g each 1904.20.29 Containing 25% or more by weight of wheat, in packages of a weight not exceeding 11.34 kg each, over access commitment: Other 1904.20.30 Of barley, in packages of a weight not exceeding 11.34 kg each, within access commitment 1904.20.41 Of barley, in packages of a weight not exceeding 11.34 kg each, over access commitment: Breakfast cereals, in packages of a weight not exceeding 454 g each</w:t>
      </w:r>
    </w:p>
    <w:p>
      <w:pPr>
        <w:pStyle w:val="Normal"/>
        <w:widowControl/>
        <w:rPr/>
      </w:pPr>
      <w:r>
        <w:rPr/>
        <w:t>1904.20.49 Of barley, in packages of a weight not exceeding 11.34 kg each, over access commitment: Other 1904.20.50 Other, in packages of a weight not exceeding 11.34 kg each 1904.20.61 In bulk or in packages of a weight exceeding 11.34 kg each: Containing 25% or more by weight of wheat, within access commitment 1904.20.62 In bulk or in packages of a weight exceeding 11.34 kg each: Containing 25% or more by weight of wheat, over access commitment 1904.20.63 In bulk or in packages of a weight exceeding 11.34 kg each: Of barley, within access commitment 1904.20.64 In bulk or in packages of a weight exceeding 11.34 kg each: Of barley, over access commitment 1904.20.69 In bulk or in packages of a weight exceeding 11.34 kg each: Other 1904.30.10 Containing 25% or more by weight of wheat, in packages of a weight not exceeding 11.34 kg each, within access commitment 1904.30.21 Containing 25% or more by weight of wheat, in packages of a weight not exceeding 11.34 kg each, over access commitment:</w:t>
      </w:r>
    </w:p>
    <w:p>
      <w:pPr>
        <w:pStyle w:val="Normal"/>
        <w:widowControl/>
        <w:rPr/>
      </w:pPr>
      <w:r>
        <w:rPr/>
        <w:t>In packages of a weight not exceeding 454 g each 1904.30.29 Containing 25% or more by weight of wheat, in packages of a weight not exceeding 11.34 kg each, over access commitment: Other 1904.30.50 Other, in packages of a weight not exceeding 11.34 kg each 1904.30.61 In bulk or in packages of a weight exceeding 11.34 kg each: Containing 25% or more by weight of wheat, within access commitment 1904.30.62 In bulk or in packages of a weight exceeding 11.34 kg each: Containing 25% or more by</w:t>
      </w:r>
    </w:p>
    <w:p>
      <w:pPr>
        <w:pStyle w:val="Normal"/>
        <w:widowControl/>
        <w:rPr/>
      </w:pPr>
      <w:r>
        <w:rPr/>
        <w:t>weight of wheat, over access commitment 1904.30.69 In bulk or in packages of a weight exceeding 11.34 kg each: Other 1904.90.10 Containing 25% or more by weight of wheat, in packages of a weight not exceeding 11.34 kg each, within access commitment 1904.90.21 Containing 25% or more by weight of wheat, in packages of a weight not exceeding 11.34 kg each, over access commitment: In packages of a weight not exceeding 454 g each 1904.90.29 Containing 25% or more by weight of wheat, in packages of a weight not exceeding 11.34 kg each, over access commitment: Other 1904.90.30 Of barley, in packages of a weight not exceeding 11.34 kg each, within access commitment 1904.90.40 Of barley, in packages of a weight not exceeding 11.34 kg each, over access commitment 1904.90.50 Other, in packages of a weight not exceeding 11.34 kg each 1904.90.61 In bulk or in packages of a weight exceeding 11.34 kg each: Containing 25% or more by weight of wheat, within access commitment 1904.90.62 In bulk or in packages of a weight exceeding 11.34 kg each:</w:t>
      </w:r>
    </w:p>
    <w:p>
      <w:pPr>
        <w:pStyle w:val="Normal"/>
        <w:widowControl/>
        <w:rPr/>
      </w:pPr>
      <w:r>
        <w:rPr/>
        <w:t>Containing 25% or more by weight of wheat, over access commitment 1904.90.63 In bulk or in packages of a weight exceeding 11.34 kg each: Of barley, within access commitment 1904.90.64 In bulk or in packages of a weight exceeding 11.34 kg each: Of barley, over access commitment 1904.90.69 In bulk or in packages of a weight exceeding 11.34 kg each: Other 1905.10.10 Leavened with yeast, containing 25% or more by weight of wheat, within access commitment</w:t>
      </w:r>
    </w:p>
    <w:p>
      <w:pPr>
        <w:pStyle w:val="Normal"/>
        <w:widowControl/>
        <w:rPr/>
      </w:pPr>
      <w:r>
        <w:rPr/>
        <w:t>1905.10.21 Leavened with yeast, containing 25% or more by weight of wheat, over access commitment: In packages of a weight not exceeding 454 g each 1905.10.29 Leavened with yeast, containing 25% or more by weight of wheat, over access commitment: Other 1905.10.30 Other, leavened with yeast 1905.10.40 Not leavened with yeast, in packages of a weight not exceeding 11.34 kg each, containing 25% or more by weight of wheat, within access commitment 1905.10.51 Not leavened with yeast, in packages of a weight not exceeding 11.34 kg each, containing 25% or more by weight of wheat, over access commitment: In packages of a weight not exceeding 454 g each 1905.10.59 Not leavened with yeast, in packages of a weight not exceeding 11.34 kg each, containing 25% or more by weight of wheat, over access commitment: Other 1905.10.60 Other, not leavened with yeast, in packages of a weight not exceeding 11.34 kg each 1905.10.71 Other, not leavened with yeast, in bulk or in packages of a weight exceeding 11.34 kg each:</w:t>
      </w:r>
    </w:p>
    <w:p>
      <w:pPr>
        <w:pStyle w:val="Normal"/>
        <w:widowControl/>
        <w:rPr/>
      </w:pPr>
      <w:r>
        <w:rPr/>
        <w:t>Containing 25% or more by weight of wheat, within access commitment 1905.10.72 Other, not leavened with yeast, in bulk or in packages of a weight exceeding 11.34 kg each: Containing 25% or more by weight of wheat, over access commitment 1905.10.79 Other, not leavened with yeast, in bulk or in packages of a weight exceeding 11.34 kg each: Other 1905.20.00 Gingerbread and the like 1905.31.10 Certified by Health Canada as special low protein or protein-free products 1905.31.21 Other</w:t>
      </w:r>
    </w:p>
    <w:p>
      <w:pPr>
        <w:pStyle w:val="Normal"/>
        <w:widowControl/>
        <w:rPr/>
      </w:pPr>
      <w:r>
        <w:rPr/>
        <w:t>biscuits valued at 44¢/kg or more, said value to be based on the net weight and to include the value of the usual retail package: Containing 25% or more by weight of wheat, within access commitment 1905.31.22 Other biscuits valued at not less than 44¢/kg, said value to be based on the net weight and to include the value of the usual retail package: Containing 25% or more by weight of wheat, in packages of a weight not exceeding 1.36 kg each, over access commitment 1905.31.23 Other biscuits valued at not less than 44¢/kg, said value to be based on the net weight and to include the value of the usual retail package: Containing 25% or more by weight of wheat, over access commitment 1905.31.29 Other biscuits valued at not less than 44¢/kg, said value to be based on the net weight and to include the value of the usual retail package: Other 1905.31.91 Other: Containing 25% or more by weight of wheat, within access commitment 1905.31.92 Other:</w:t>
      </w:r>
    </w:p>
    <w:p>
      <w:pPr>
        <w:pStyle w:val="Normal"/>
        <w:widowControl/>
        <w:rPr/>
      </w:pPr>
      <w:r>
        <w:rPr/>
        <w:t>Sweet biscuits containing 25% or more by weight of wheat, in packages of a weight not exceeding 1.36 kg each, over access commitment 1905.31.93 Other: Other, containing 25% or more by weight of wheat, over access commitment 1905.31.99 Other: Other 1905.32.10 Certified by Health Canada as special low protein or protein-free products 1905.32.91 Other: Containing 25% or more by weight of wheat, within access commitment 1905.32.92 Other: Wafers and frozen waffles containing 25% or more by weight of wheat, in packages of a weight not exceeding 454</w:t>
      </w:r>
    </w:p>
    <w:p>
      <w:pPr>
        <w:pStyle w:val="Normal"/>
        <w:widowControl/>
        <w:rPr/>
      </w:pPr>
      <w:r>
        <w:rPr/>
        <w:t>g each, over access commitment 1905.32.93 Other: Other, containing 25% or more by weight of wheat, over access commitment 1905.32.99 Other: Other 1905.40.10 Special dietary, as defined under regulations of Health Canada 1905.40.20 Other, leavened with yeast, containing 25% or more by weight of wheat, within access commitment 1905.40.31 Other, leavened with yeast, containing 25% or more by weight of wheat, over access commitment: In packages of a weight not exceeding 454 g each 1905.40.39 Other, leavened with yeast, containing 25% or more by weight of wheat, over access commitment: Other 1905.40.40 Other, leavened with yeast 1905.40.50 Other, not leavened with yeast, containing 25% or more by weight of wheat, within access commitment 1905.40.61 Other, not leavened with yeast, containing 25% or more by weight of wheat, over access commitment: In packages of a weight not exceeding 454 g each 1905.40.69 Other, not leavened with yeast, containing 25% or more by weight of wheat, over access commitment: Other 1905.40.90 Other 1905.90.10 Special dietary biscuits as defined under regulations of Health Canada;</w:t>
      </w:r>
    </w:p>
    <w:p>
      <w:pPr>
        <w:pStyle w:val="Normal"/>
        <w:widowControl/>
        <w:rPr/>
      </w:pPr>
      <w:r>
        <w:rPr/>
        <w:t>Low protein or protein-free biscuits certified by Health Canada as special low protein or protein-free products 1905.90.20 Bread, leavened with yeast; Unleavened bread for sacramental purposes and communion wafers 1905.90.31 Other bread: Containing 25% or more by weight of wheat, in packages of a weight not exceeding 11.34 kg each, within access commitment 1905.90.32 Other</w:t>
      </w:r>
    </w:p>
    <w:p>
      <w:pPr>
        <w:pStyle w:val="Normal"/>
        <w:widowControl/>
        <w:rPr/>
      </w:pPr>
      <w:r>
        <w:rPr/>
        <w:t>bread: Fresh bread, buns and rolls, in packages of a weight not exceeding 1.36 kg each, or other bread in packages of a weight not exceeding 454 g each, containing 25% or more by weight of wheat, over access commitment 1905.90.33 Other bread: Other, containing 25% or more by weight of wheat, in packages of a weight not exceeding 11.34 kg each, over access commitment 1905.90.34 Other bread: Containing 25% or more by weight of wheat, in bulk or in packages of a weight exceeding 11.34 kg each, within access commitment 1905.90.35 Other bread: Containing 25% or more by weight of wheat, in bulk or in packages of a weight exceeding 11.34 kg each, over access commitment 1905.90.39 Other bread: Other 1905.90.41 Other biscuits: Containing 25% or more by weight of wheat, valued at 44¢/kg or more, said value to be based on the net weight and to include the value of the usual retail package, within access commitment 1905.90.42 Other biscuits: Other, containing 25% or more by weight of wheat, within access commitment 1905.90.43 Other biscuits:</w:t>
      </w:r>
    </w:p>
    <w:p>
      <w:pPr>
        <w:pStyle w:val="Normal"/>
        <w:widowControl/>
        <w:rPr/>
      </w:pPr>
      <w:r>
        <w:rPr/>
        <w:t>Containing 25% or more by weight of wheat, in packages of a weight not exceeding 1.36 kg each, over access commitment 1905.90.44 Other biscuits: Other, containing 25% or more by weight of wheat, valued at 44¢/kg or more, said value to be based on the net weight and to include the value of the usual retail package, over access commitment 1905.90.45 Other biscuits: Other, containing 25% or more by weight of wheat, over access commitment 1905.90.49</w:t>
      </w:r>
    </w:p>
    <w:p>
      <w:pPr>
        <w:pStyle w:val="Normal"/>
        <w:widowControl/>
        <w:rPr/>
      </w:pPr>
      <w:r>
        <w:rPr/>
        <w:t>Other biscuits Other 1905.90.51 Pizza and quiche; pastries, pies, puddings and cakes, including sweet products leavened with yeast; bakery products made without flour: Pizza and quiche 1905.90.59 Pizza and quiche; pastries, pies, puddings and cakes, including sweet products leavened with yeast; bakery products made without flour: Other 1905.90.61 Pretzels: Containing 25% or more by weight of wheat, within access commitment 1905.90.62 Pretzels: Containing 25% or more by weight of wheat, in packages of a weight not exceeding 1.36 kg each, over access commitment 1905.90.63 Pretzels: Containing 25% or more by weight of wheat, in packages of a weight exceeding 1.36 kg each, over access commitment 1905.90.69 Pretzels: Other 1905.90.71 Empty cachets of a kind suitable for pharmaceutical use, sealing wafers, rice paper and cheese sticks: In packages of a weight not exceeding 11.34 kg each 1905.90.72 Empty cachets of a kind suitable for pharmaceutical use, sealing wafers, rice paper and cheese sticks:</w:t>
      </w:r>
    </w:p>
    <w:p>
      <w:pPr>
        <w:pStyle w:val="Normal"/>
        <w:widowControl/>
        <w:spacing w:before="0" w:after="160"/>
        <w:rPr/>
      </w:pPr>
      <w:r>
        <w:rPr/>
        <w:t>In bulk or in packages of a weight exceeding 11.34 kg each</w:t>
      </w:r>
    </w:p>
    <w:tbl>
      <w:tblPr>
        <w:tblStyle w:val="TableGrid"/>
        <w:tblW w:w="9360" w:type="dxa"/>
        <w:jc w:val="center"/>
        <w:tblInd w:w="-28" w:type="dxa"/>
        <w:tblLayout w:type="autofit"/>
        <w:tblCellMar>
          <w:top w:w="60" w:type="dxa"/>
          <w:left w:w="80" w:type="dxa"/>
          <w:bottom w:w="60" w:type="dxa"/>
          <w:right w:w="80" w:type="dxa"/>
        </w:tblCellMar>
        <w:tblLook w:val="04a0" w:noHBand="0" w:noVBand="1" w:firstColumn="1" w:lastRow="0" w:lastColumn="0" w:firstRow="1"/>
      </w:tblPr>
      <w:tblGrid>
        <w:gridCol w:w="4680"/>
        <w:gridCol w:w="4679"/>
      </w:tblGrid>
      <w:tr>
        <w:trPr>
          <w:tblHeader w:val="true"/>
          <w:cantSplit w:val="true"/>
          <w:tblHeader w:val="true"/>
        </w:trPr>
        <w:tc>
          <w:tcPr>
            <w:tcW w:w="4680" w:type="dxa"/>
            <w:tcBorders/>
            <w:vAlign w:val="center"/>
            <w:shd w:fill="233746"/>
          </w:tcPr>
          <w:p>
            <w:pPr>
              <w:pStyle w:val="Normal"/>
              <w:widowControl/>
              <w:suppressAutoHyphens w:val="true"/>
              <w:spacing w:lineRule="auto" w:line="240" w:before="0" w:after="0"/>
              <w:jc w:val="left"/>
              <w:rPr>
                <w:rFonts w:cs=""/>
                <w:kern w:val="0"/>
                <w:szCs w:val="22"/>
                <w:lang w:val="en-US" w:eastAsia="en-US" w:bidi="ar-SA"/>
              </w:rPr>
            </w:pPr>
            <w:r>
              <w:rPr>
                <w:rFonts w:cs="" w:ascii="Arial" w:hAnsi="Arial"/>
                <w:b/>
                <w:color w:val="FFFFFF"/>
                <w:kern w:val="0"/>
                <w:sz w:val="17"/>
                <w:szCs w:val="22"/>
                <w:lang w:val="en-US" w:eastAsia="en-US" w:bidi="ar-SA"/>
              </w:rPr>
              <w:t>Tariff Item</w:t>
            </w:r>
          </w:p>
        </w:tc>
        <w:tc>
          <w:tcPr>
            <w:tcW w:w="4679" w:type="dxa"/>
            <w:tcBorders/>
            <w:vAlign w:val="center"/>
            <w:shd w:fill="233746"/>
          </w:tcPr>
          <w:p>
            <w:pPr>
              <w:pStyle w:val="Normal"/>
              <w:widowControl/>
              <w:suppressAutoHyphens w:val="true"/>
              <w:spacing w:lineRule="auto" w:line="240" w:before="0" w:after="0"/>
              <w:jc w:val="left"/>
              <w:rPr>
                <w:rFonts w:cs=""/>
                <w:kern w:val="0"/>
                <w:szCs w:val="22"/>
                <w:lang w:val="en-US" w:eastAsia="en-US" w:bidi="ar-SA"/>
              </w:rPr>
            </w:pPr>
            <w:r>
              <w:rPr>
                <w:rFonts w:cs="" w:ascii="Arial" w:hAnsi="Arial"/>
                <w:b/>
                <w:color w:val="FFFFFF"/>
                <w:kern w:val="0"/>
                <w:sz w:val="17"/>
                <w:szCs w:val="22"/>
                <w:lang w:val="en-US" w:eastAsia="en-US" w:bidi="ar-SA"/>
              </w:rPr>
              <w:t>Description</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1905.90.90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Other</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2001.10.00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Cucumbers and gherkins</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2001.90.10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Onions</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2001.90.90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Other</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2002.10.00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Tomatoes, whole or in pieces</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2002.90.00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Other</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2003.10.00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Mushrooms of the genus Agaricus</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2003.90.10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Truffles</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2003.90.90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Other</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2004.10.00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Potatoes</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2004.90.11</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Baby carrots (of a length not exceeding 11 cm) and Brussels sprouts: Baby carrots (of a length not exceeding 11 cm)</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2004.90.12</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Baby carrots (of a length not exceeding 11 cm) and</w:t>
            </w:r>
          </w:p>
        </w:tc>
      </w:tr>
    </w:tbl>
    <w:p>
      <w:pPr>
        <w:pStyle w:val="Normal"/>
        <w:widowControl/>
        <w:spacing w:before="160" w:after="120"/>
        <w:rPr/>
      </w:pPr>
      <w:r>
        <w:rPr/>
        <w:t>Brussels sprouts: Brussels sprouts 2004.90.20 Asparagus 2004.90.30 Broccoli and cauliflowers 2004.90.91 Other: Artichokes (globe or Chinese), bamboo shoots, cactus leaves (nopales), cardoons, chickpeas (garbanzos), cilantro (Chinese or Mexican parsley or Yen Sai), jicama, leaf chervils, malanga, okra, peas (Angola, catjang, no-eye, pigeon), spinach, tamarillos (tree tomatoes), tarragons, tomatillos, topedos and verdolagas 2004.90.99 Other: Other 2005.10.00 Homogenized vegetables 2005.20.00 Potatoes 2005.40.00 Peas (Pisum sativum) 2005.51.10 Red bean paste for use in the manufacture of food products 2005.51.90 Other 2005.59.00 Other 2005.60.00 Asparagus 2005.70.10 Olives sulphured or in brine but not in glass jars; Ripe olives in brine 2005.70.90 Other 2005.80.00 Sweet corn (Zea mays var. saccharata) 2005.91.00 Bamboo shoots 2005.99.11 Carrots: Baby carrots (of a length not exceeding 11 cm), in cans or glass jars 2005.99.19 Carrots: Other 2005.99.20 Artichokes (globe or Chinese), cactus leaves (nopales), cardoons, chickpeas (garbanzos), cilantro (Chinese or Mexican parsley or Yen Sai), jicama, leaf chervils, malanga, okra, peas (Angola, catjang, no-eye, pigeon), spinach, tamarillos (tree tomatoes), tarragons, tomatillos, topedos, verdolagas and water chestnuts 2005.99.90 Other 2006.00.10 Fruit; Fruit-peel 2006.00.20 Nuts 2006.00.90 Other 2007.10.00 Homogenized preparations 2007.91.00 Citrus fruit 2007.99.10 Strawberry jam 2007.99.20 Banana purée 2007.99.90 Other 2008.11.10</w:t>
      </w:r>
    </w:p>
    <w:p>
      <w:pPr>
        <w:pStyle w:val="Normal"/>
        <w:widowControl/>
        <w:rPr/>
      </w:pPr>
      <w:r>
        <w:rPr/>
        <w:t>Peanut butter 2008.11.20 Peanuts, blanched 2008.11.90 Other 2008.19.10 Almonds and pistachio nuts 2008.19.90 Other 2008.20.00 Pineapples 2008.30.00 Citrus fruit 2008.40.10 Pulp 2008.40.20 Chips 2008.40.90 Other 2008.50.10 Pulp 2008.50.90 Other 2008.60.10 Pulp 2008.60.90 Other 2008.70.10 Pulp 2008.70.90 Other 2008.80.00 Strawberries 2008.91.00 Palm hearts 2008.93.00 Cranberries (Vaccinium macrocarpon, Vaccinium oxycoccos, Vaccinium vitis-idaea) 2008.97.10 Consisting of two or more of akalas, akees, anchovy pears, apple- pears, avocados, bananas, bread fruit, carambolas, chayotes, cherimoyas (Jamaica apples), citrus fruit, dasheens (taros), dates, durians, feijoas, figs, fu quas (balsam pears), genipes, ginger, guavas, imbus, jujubes, kiwi fruit, lady apples, litchis (lychees), loquats, magueys, mammees (mammeas), mangoes, mangosteens, manioc (cassava or yucca root), papaws (papayas), passion fruit, pawpaws, persimmons, pineapples, plantains, plumcots, prickly pears, pomegranates, quinces, rangpurs, sapatas, star-apples, sweet potatoes, tamarinds, tangelos, uglifruit, watermelons or yams 2008.97.90 Other 2008.99.10 Apple chips 2008.99.20 Apples, other than pulp 2008.99.30 Akalas, akees, anchovy pears, apple-pears, avocados, bananas, banana chips (thin banana slices fried or otherwise prepared whether or not salted, sweetened or otherwise flavoured), bread fruit, carambolas, chayotes, cherimoyas (Jamaica apples), dasheens (taros), dates, durians, feijoas, figs, fu quas (balsam</w:t>
      </w:r>
    </w:p>
    <w:p>
      <w:pPr>
        <w:pStyle w:val="Normal"/>
        <w:widowControl/>
        <w:rPr/>
      </w:pPr>
      <w:r>
        <w:rPr/>
        <w:t>pears), genipes, ginger, guavas, imbus, jujubes, kiwi fruit, lady apples, litchis (lychees), loquats, magueys, mammees (mammeas), mangoes, mangosteens, manioc (cassava or yucca root), papaws (papayas), passion fruit, pawpaws, persimmons, plantains, plumcots, prickly pears, pomegranates, quinces, raisins, rangpurs, sapatas, star-apples, sweet potatoes, tamarinds, tangelos, Thompson seedless grapes, uglifruit, watermelons and yams 2008.99.40 Melons of the genus cucumis melo, cubes, in syrup 2008.99.90 Other 2009.11.10 Unsweetened concentrate, of a Brix value not less than 58, for use in the manufacture of citrus fruit juices or beverages 2009.11.90 Other 2009.12.00 Not frozen, of a Brix value not exceeding 20 2009.19.10 Dehydrated;</w:t>
      </w:r>
    </w:p>
    <w:p>
      <w:pPr>
        <w:pStyle w:val="Normal"/>
        <w:widowControl/>
        <w:spacing w:before="0" w:after="160"/>
        <w:rPr/>
      </w:pPr>
      <w:r>
        <w:rPr/>
        <w:t>Unsweetened concentrate, of a Brix value not less than 58, for use in the manufacture of citrus fruit juices</w:t>
      </w:r>
    </w:p>
    <w:tbl>
      <w:tblPr>
        <w:tblStyle w:val="TableGrid"/>
        <w:tblW w:w="9360" w:type="dxa"/>
        <w:jc w:val="center"/>
        <w:tblInd w:w="-28" w:type="dxa"/>
        <w:tblLayout w:type="autofit"/>
        <w:tblCellMar>
          <w:top w:w="60" w:type="dxa"/>
          <w:left w:w="80" w:type="dxa"/>
          <w:bottom w:w="60" w:type="dxa"/>
          <w:right w:w="80" w:type="dxa"/>
        </w:tblCellMar>
        <w:tblLook w:val="04a0" w:noHBand="0" w:noVBand="1" w:firstColumn="1" w:lastRow="0" w:lastColumn="0" w:firstRow="1"/>
      </w:tblPr>
      <w:tblGrid>
        <w:gridCol w:w="4680"/>
        <w:gridCol w:w="4679"/>
      </w:tblGrid>
      <w:tr>
        <w:trPr>
          <w:tblHeader w:val="true"/>
          <w:cantSplit w:val="true"/>
          <w:tblHeader w:val="true"/>
        </w:trPr>
        <w:tc>
          <w:tcPr>
            <w:tcW w:w="4680" w:type="dxa"/>
            <w:tcBorders/>
            <w:vAlign w:val="center"/>
            <w:shd w:fill="233746"/>
          </w:tcPr>
          <w:p>
            <w:pPr>
              <w:pStyle w:val="Normal"/>
              <w:widowControl/>
              <w:suppressAutoHyphens w:val="true"/>
              <w:spacing w:lineRule="auto" w:line="240" w:before="0" w:after="0"/>
              <w:jc w:val="left"/>
              <w:rPr>
                <w:rFonts w:cs=""/>
                <w:kern w:val="0"/>
                <w:szCs w:val="22"/>
                <w:lang w:val="en-US" w:eastAsia="en-US" w:bidi="ar-SA"/>
              </w:rPr>
            </w:pPr>
            <w:r>
              <w:rPr>
                <w:rFonts w:cs="" w:ascii="Arial" w:hAnsi="Arial"/>
                <w:b/>
                <w:color w:val="FFFFFF"/>
                <w:kern w:val="0"/>
                <w:sz w:val="17"/>
                <w:szCs w:val="22"/>
                <w:lang w:val="en-US" w:eastAsia="en-US" w:bidi="ar-SA"/>
              </w:rPr>
              <w:t>Tariff Item</w:t>
            </w:r>
          </w:p>
        </w:tc>
        <w:tc>
          <w:tcPr>
            <w:tcW w:w="4679" w:type="dxa"/>
            <w:tcBorders/>
            <w:vAlign w:val="center"/>
            <w:shd w:fill="233746"/>
          </w:tcPr>
          <w:p>
            <w:pPr>
              <w:pStyle w:val="Normal"/>
              <w:widowControl/>
              <w:suppressAutoHyphens w:val="true"/>
              <w:spacing w:lineRule="auto" w:line="240" w:before="0" w:after="0"/>
              <w:jc w:val="left"/>
              <w:rPr>
                <w:rFonts w:cs=""/>
                <w:kern w:val="0"/>
                <w:szCs w:val="22"/>
                <w:lang w:val="en-US" w:eastAsia="en-US" w:bidi="ar-SA"/>
              </w:rPr>
            </w:pPr>
            <w:r>
              <w:rPr>
                <w:rFonts w:cs="" w:ascii="Arial" w:hAnsi="Arial"/>
                <w:b/>
                <w:color w:val="FFFFFF"/>
                <w:kern w:val="0"/>
                <w:sz w:val="17"/>
                <w:szCs w:val="22"/>
                <w:lang w:val="en-US" w:eastAsia="en-US" w:bidi="ar-SA"/>
              </w:rPr>
              <w:t>Description</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2009.19.90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Other</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2009.21.00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Of a Brix value not exceeding 20</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2009.29.00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Other</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2009.31.00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Of a Brix value not exceeding 20</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2009.39.00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Other</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2009.41.00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Of a Brix value not exceeding 20</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2009.49.00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Other</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2009.50.00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Tomato juice</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2009.61.10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Grape juice for wine-making</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2009.61.90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Other</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2009.69.10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Grape concentrate, of a Brix value not less than 68, for use in the manufacture of fruit juices or beverages; Grape juice for wine-making</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2009.69.90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Other</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2009.71.10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Reconstituted</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2009.71.90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Other</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2009.79.11</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Concentrated: For use in the manufacture of fruit juices, juice beverages or fruit snack products</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2009.79.19</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Concentrated: Other</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2009.79.90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Other</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b/>
                <w:kern w:val="0"/>
                <w:sz w:val="17"/>
                <w:szCs w:val="22"/>
                <w:lang w:val="en-US" w:eastAsia="en-US" w:bidi="ar-SA"/>
              </w:rPr>
              <w:t>Tariff Item</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b/>
                <w:kern w:val="0"/>
                <w:sz w:val="17"/>
                <w:szCs w:val="22"/>
                <w:lang w:val="en-US" w:eastAsia="en-US" w:bidi="ar-SA"/>
              </w:rPr>
              <w:t>Description</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2009.81.00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Cranberry (Vaccinium macrocarpon, Vaccinium oxycoccos, Vaccinium vitis-idaea) juice</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2009.89.10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Of a fruit</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2009.89.20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Of a vegetable</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2009.90.10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Of citrus fruit juices, dehydrated</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2009.90.20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Of orange and grapefruit juices, other than dehydrated</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2009.90.30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Of other fruit juices, whether or not dehydrated</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2009.90.40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Of vegetable juices</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2101.11.10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Instant coffee, not flavoured</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2101.11.90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Other</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2101.12.00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Preparations with a basis of extracts, essences or concentrates or with a basis of coffee</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2101.20.00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Extracts, essences and concentrates, of tea or maté, and preparations with a basis of these extracts, essences or concentrates or with a basis of tea or maté</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2101.30.00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Roasted chicory and other roasted coffee substitutes, and extracts, essences and concentrates thereof</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2102.10.00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Active yeasts</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2102.20.00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Inactive yeasts; other single-cell micro-organisms, dead</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2102.30.00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Prepared baking powders</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2103.10.00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Soya sauce</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2103.20.10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Tomato ketchup</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2103.20.90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Other</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2103.30.10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Mustard flour and meal</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2103.30.20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Prepared mustard</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2103.90.10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Mayonnaise and salad dressing</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2103.90.20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Mixed condiments and mixed seasonings</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2103.90.90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Other</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2104.10.00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Soups and broths and preparations therefor</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2104.20.00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Homogenized composite food preparations</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2105.00.10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Flavoured ice and ice sherbets *</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2105.00.91</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Other:</w:t>
            </w:r>
          </w:p>
        </w:tc>
      </w:tr>
    </w:tbl>
    <w:p>
      <w:pPr>
        <w:pStyle w:val="Normal"/>
        <w:widowControl/>
        <w:spacing w:before="160" w:after="120"/>
        <w:rPr/>
      </w:pPr>
      <w:r>
        <w:rPr/>
        <w:t>Within access commitment * * 2105.00.92 Other: Over access commitment * * 2106.10.00 Protein concentrates and textured protein substances 2106.90.10 Chewing gum, containing 2 mg or</w:t>
      </w:r>
    </w:p>
    <w:p>
      <w:pPr>
        <w:pStyle w:val="Normal"/>
        <w:widowControl/>
        <w:rPr/>
      </w:pPr>
      <w:r>
        <w:rPr/>
        <w:t>more of nicotine; Cream of coconut syrup for use in the manufacture of beverages; Elderberry flower concentrate and Limeflower concentrate for use in the manufacture of beverages; Nutmeat substitutes; Sour dough flavouring ingredients; Tea substitutes; Vegetable preparations for use as flavouring 2106.90.21 Syrups derived from cane or beet sugar, containing added colouring matter; Food concentrates and fruit syrups for use in beverages or other food preparations: Syrups derived from cane or beet sugar, containing, in the dry state, 90% or more by weight of sugar and no added flavouring matter * 2106.90.29 Syrups derived from cane or beet sugar, containing added colouring matter and food concentrates and fruit syrups for use in beverages or other preparations: Other 2106.90.31 Milk, cream or butter substitutes and preparations suitable for use as butter substitutes: Milk, cream or butter substitutes, containing 50% or more by weight of dairy content, within access commitment * * 2106.90.32 Milk, cream or butter substitutes and preparations suitable for use as butter substitutes:</w:t>
      </w:r>
    </w:p>
    <w:p>
      <w:pPr>
        <w:pStyle w:val="Normal"/>
        <w:widowControl/>
        <w:rPr/>
      </w:pPr>
      <w:r>
        <w:rPr/>
        <w:t>Milk, cream or butter substitutes, containing 50% or more by weight of dairy content, over access commitment * * 2106.90.33 Milk, cream or butter substitutes and preparations suitable for use as butter substitutes: Preparations, containing more than 15% by weight of milk fat but less than 50% by weight of dairy content, suitable for use as butter substitutes, within access commitment * 2106.90.34</w:t>
      </w:r>
    </w:p>
    <w:p>
      <w:pPr>
        <w:pStyle w:val="Normal"/>
        <w:widowControl/>
        <w:rPr/>
      </w:pPr>
      <w:r>
        <w:rPr/>
        <w:t>Milk, cream or butter substitutes and preparations suitable for use as butter substitutes: Preparations, containing more than 15% by weight of milk fat but less than 50% by weight of dairy content, suitable for use as butter substitutes, over access commitment * * 2106.90.35 Milk, cream or butter substitutes and preparations suitable for use as butter substitutes: Milk or cream substitutes, containing, in the dry state, over 10% by weight of milk solids but less than 50% by weight of dairy content, and butter substitutes, containing, in the dry state, over 10% by weight of milk solids but 15% or less by weight of milk fat 2106.90.39 Milk, cream or butter substitutes and preparations suitable for use as butter substitutes: Other 2106.90.41 Cheese fondue; Popping corn, prepared and packaged for use with microwave ovens; Protein hydrolysates: Cheese fondue; Popping corn, prepared and packaged for use with microwave ovens 2106.90.42 Cheese fondue; Popping corn, prepared and packaged for use with microwave ovens; Protein hydrolysates: Protein hydrolysates 2106.90.51 Egg preparations: Within access commitment * * 2106.90.52 Egg preparations:</w:t>
      </w:r>
    </w:p>
    <w:p>
      <w:pPr>
        <w:pStyle w:val="Normal"/>
        <w:widowControl/>
        <w:rPr/>
      </w:pPr>
      <w:r>
        <w:rPr/>
        <w:t>Over access commitment * * 2106.90.91 Other: Concentrated juice of any single fruit or vegetable, fortified with vitamins or minerals 2106.90.92 Other: Concentrated mixtures of fruit or vegetable juices, fortified with vitamins or minerals 2106.90.93 Other: Containing 50% or more by weight of dairy content, within access commitment *</w:t>
      </w:r>
    </w:p>
    <w:p>
      <w:pPr>
        <w:pStyle w:val="Normal"/>
        <w:widowControl/>
        <w:rPr/>
      </w:pPr>
      <w:r>
        <w:rPr/>
        <w:t>2106.90.94 Other: Containing 50% or more by weight of dairy content, over access commitment * * 2106.90.95 Other: Other preparations, containing, in the dry state, over 10% by weight of milk solids but less than 50% by weight of dairy content 2106.90.96 Other: Compound alcoholic preparations, not based on one or more odoriferous substances, with an alcoholic strength exceeding 0.5% by volume, for use in the manufacture of beverages 2106.90.97 Other: Fruit flavoured powders for use in the manufacture of pharmaceuticals, food products or beverages 2106.90.98 Other: Jelly powders, ice cream powders and powders for similar preparations 2106.90.99 Other: Other 2201.10.00 Mineral waters and aerated waters 2201.90.00 Other 2202.10.00 Waters, including mineral waters and aerated waters, containing added sugar or other sweetening matter or flavoured 2202.91.00 Non-alcoholic beer 2202.99.10 Non-alcoholic wine 2202.99.21 Juices, not concentrated, fortified with vitamins or minerals: Of any single fruit or vegetable 2202.99.22 Juices, not concentrated, fortified with vitamins or minerals: Of mixtures of fruits or vegetables 2202.99.31 Beverages containing milk: Chocolate milk 2202.99.32 Beverages containing milk:</w:t>
      </w:r>
    </w:p>
    <w:p>
      <w:pPr>
        <w:pStyle w:val="Normal"/>
        <w:widowControl/>
        <w:rPr/>
      </w:pPr>
      <w:r>
        <w:rPr/>
        <w:t>Other, containing 50% or more by weight of dairy content, not put up for retail sale, within access commitment * 2202.99.33 Beverages containing milk: Other, containing 50% or more by weight of dairy content, not put up for retail sale, over access commitment * * 2202.99.39</w:t>
      </w:r>
    </w:p>
    <w:p>
      <w:pPr>
        <w:pStyle w:val="Normal"/>
        <w:widowControl/>
        <w:rPr/>
      </w:pPr>
      <w:r>
        <w:rPr/>
        <w:t>Beverages containing milk: Other 2202.99.90 Other 2203.00.00 Beer made from malt. 2204.10.10 Of an alcoholic strength by volume not exceeding 22.9% vol 2204.10.90 Other 2204.21.10 Wine, of an alcoholic strength by volume not exceeding 13.7% vol 2204.21.21 Wine, of an alcoholic strength by volume exceeding 13.7% vol but not exceeding 21.9%: Of an alcoholic strength by volume not exceeding 14.9% vol 2204.21.22 Wine, of an alcoholic strength by volume exceeding 13.7% vol but not exceeding 21.9%: Of an alcoholic strength by volume exceeding 14.9% vol but not exceeding 15.9% vol 2204.21.23 Wine, of an alcoholic strength by volume exceeding 13.7% vol but not exceeding 21.9%: Of an alcoholic strength by volume exceeding 15.9% vol but not exceeding 16.9% vol 2204.21.24 Wine, of an alcoholic strength by volume exceeding 13.7% vol but not exceeding 21.9%: Of an alcoholic strength by volume exceeding 16.9% vol but not exceeding 17.9% vol 2204.21.25 Wine, of an alcoholic strength by volume exceeding 13.7% vol but not exceeding 21.9%:</w:t>
      </w:r>
    </w:p>
    <w:p>
      <w:pPr>
        <w:pStyle w:val="Normal"/>
        <w:widowControl/>
        <w:rPr/>
      </w:pPr>
      <w:r>
        <w:rPr/>
        <w:t>Of an alcoholic strength by volume exceeding 17.9% vol but not exceeding 18.9% vol 2204.21.26 Wine, of an alcoholic strength by volume exceeding 13.7% vol but not exceeding 21.9%: Of an alcoholic strength by volume exceeding 18.9% vol but not exceeding 19.9% vol 2204.21.27 Wine, of an alcoholic strength by volume exceeding 13.7% vol but not exceeding 21.9%: Of an alcoholic strength by volume exceeding 19.9% vol but not exceeding 20.9% vol 2204.21.28 Wine,</w:t>
      </w:r>
    </w:p>
    <w:p>
      <w:pPr>
        <w:pStyle w:val="Normal"/>
        <w:widowControl/>
        <w:rPr/>
      </w:pPr>
      <w:r>
        <w:rPr/>
        <w:t>of an alcoholic strength by volume exceeding 13.7% vol but not exceeding 21.9%: Of an alcoholic strength by volume exceeding 20.9% vol but not exceeding 21.9% vol 2204.21.31 Wine, of an alcoholic strength by volume exceeding 21.9% vol: Of an alcoholic strength by volume exceeding 21.9% vol but not exceeding 22.9% vol 2204.21.32 Wine, of an alcoholic strength by volume exceeding 21.9% vol: Of an alcoholic strength by volume exceeding 22.9% vol 2204.21.41 Grape must with fermentation prevented or arrested by the addition of alcohol: Of an alcoholic strength by volume not exceeding 22.9% vol 2204.21.49 Grape must with fermentation prevented or arrested by the addition of alcohol: Other 2204.22.10 Wine, of an alcoholic strength by volume not exceeding 13.7% vol 2204.22.21 Wine, of an alcoholic strength by volume exceeding 13.7% vol but not exceeding 21.9% vol: Of an alcoholic strength by volume not exceeding 14.9% vol 2204.22.22 Wine, of an alcoholic strength by volume exceeding 13.7% vol but not exceeding 21.9% vol:</w:t>
      </w:r>
    </w:p>
    <w:p>
      <w:pPr>
        <w:pStyle w:val="Normal"/>
        <w:widowControl/>
        <w:rPr/>
      </w:pPr>
      <w:r>
        <w:rPr/>
        <w:t>Of an alcoholic strength by volume exceeding 14.9% vol but not exceeding 15.9% vol 2204.22.23 Wine, of an alcoholic strength by volume exceeding 13.7% vol but not exceeding 21.9% vol: Of an alcoholic strength by volume exceeding 15.9% vol but not exceeding 16.9% vol 2204.22.24 Wine, of an alcoholic strength by volume exceeding 13.7% vol but not exceeding 21.9% vol: Of an alcoholic strength by volume exceeding 16.9% vol but not exceeding 17.9% vol 2204.22.25 Wine, of</w:t>
      </w:r>
    </w:p>
    <w:p>
      <w:pPr>
        <w:pStyle w:val="Normal"/>
        <w:widowControl/>
        <w:rPr/>
      </w:pPr>
      <w:r>
        <w:rPr/>
        <w:t>an alcoholic strength by volume exceeding 13.7% vol but not exceeding 21.9% vol: Of an alcoholic strength by volume exceeding 17.9% vol but not exceeding 18.9% vol 2204.22.26 Wine, of an alcoholic strength by volume exceeding 13.7% vol but not exceeding 21.9% vol: Of an alcoholic strength by volume exceeding 18.9% vol but not exceeding 19.9% vol 2204.22.27 Wine, of an alcoholic strength by volume exceeding 13.7% vol but not exceeding 21.9% vol: Of an alcoholic strength by volume exceeding 19.9% vol but not exceeding 20.9% vol 2204.22.28 Wine, of an alcoholic strength by volume exceeding 13.7% vol but not exceeding 21.9% vol: Of an alcoholic strength by volume exceeding 20.9% vol but not exceeding 21.9% vol 2204.22.31 Wine, of an alcoholic strength by volume exceeding 21.9% vol: Of an alcoholic strength by volume exceeding 21.9% vol but not exceeding 22.9% vol 2204.22.32 Wine, of an alcoholic strength by volume exceeding 21.9% vol: Of an alcoholic strength by volume exceeding 22.9% vol 2204.22.41 Grape must with fermentation prevented or arrested by the addition of alcohol:</w:t>
      </w:r>
    </w:p>
    <w:p>
      <w:pPr>
        <w:pStyle w:val="Normal"/>
        <w:widowControl/>
        <w:rPr/>
      </w:pPr>
      <w:r>
        <w:rPr/>
        <w:t>Of an alcoholic strength by volume not exceeding 22.9% vol 2204.22.49 Grape must with fermentation prevented or arrested by the addition of alcohol: Other 2204.29.10 Wine, of an alcoholic strength by volume not exceeding 13.7% vol 2204.29.21 Wine, of an alcoholic strength by volume exceeding 13.7% vol but not exceeding 21.9% vol: Of an alcoholic strength by volume not exceeding 14.9% vol 2204.29.22 Wine,</w:t>
      </w:r>
    </w:p>
    <w:p>
      <w:pPr>
        <w:pStyle w:val="Normal"/>
        <w:widowControl/>
        <w:rPr/>
      </w:pPr>
      <w:r>
        <w:rPr/>
        <w:t>of an alcoholic strength by volume exceeding 13.7% vol but not exceeding 21.9% vol: Of an alcoholic strength by volume exceeding 14.9% vol but not exceeding 15.9% vol 2204.29.23 Wine, of an alcoholic strength by volume exceeding 13.7% vol but not exceeding 21.9% vol: Of an alcoholic strength by volume exceeding 15.9% vol but not exceeding 16.9% vol 2204.29.24 Wine, of an alcoholic strength by volume exceeding 13.7% vol but not exceeding 21.9% vol: Of an alcoholic strength by volume exceeding 16.9% vol but not exceeding 17.9% vol 2204.29.25 Wine, of an alcoholic strength by volume exceeding 13.7% vol but not exceeding 21.9% vol: Of an alcoholic strength by volume exceeding 17.9% vol but not exceeding 18.9% vol 2204.29.26 Wine, of an alcoholic strength by volume exceeding 13.7% vol but not exceeding 21.9% vol: Of an alcoholic strength by volume exceeding 18.9% vol but not exceeding 19.9% vol 2204.29.27 Wine, of an alcoholic strength by volume exceeding 13.7% vol but not exceeding 21.9% vol:</w:t>
      </w:r>
    </w:p>
    <w:p>
      <w:pPr>
        <w:pStyle w:val="Normal"/>
        <w:widowControl/>
        <w:rPr/>
      </w:pPr>
      <w:r>
        <w:rPr/>
        <w:t>Of an alcoholic strength by volume exceeding 19.9% vol but not exceeding 20.9% vol 2204.29.28 Wine, of an alcoholic strength by volume exceeding 13.7% vol but not exceeding 21.9% vol: Of an alcoholic strength by volume exceeding 20.9% vol but not exceeding 21.9% vol 2204.29.31 Wine, of an alcoholic strength by volume exceeding 21.9% vol: Of an alcoholic strength by volume exceeding 21.9% vol but not exceeding 22.9% vol 2204.29.32 Wine, of an alcoholic strength by volume exceeding 21.9% vol:</w:t>
      </w:r>
    </w:p>
    <w:p>
      <w:pPr>
        <w:pStyle w:val="Normal"/>
        <w:widowControl/>
        <w:rPr/>
      </w:pPr>
      <w:r>
        <w:rPr/>
        <w:t>Of an alcoholic strength by volume exceeding 22.9% vol 2204.29.41 Grape must with fermentation prevented or arrested by the addition of alcohol: Of an alcoholic strength by volume not exceeding 22.9% vol 2204.29.49 Grape must with fermentation prevented or arrested by the addition of alcohol: Other 2204.30.10 Of an alcoholic strength by volume not exceeding 22.9% vol 2204.30.90 Other 2205.10.10 Of an alcoholic strength by volume not exceeding 18.3% vol 2205.10.20 Of an alcoholic strength by volume exceeding 18.3% vol but not exceeding 22.9% vol 2205.10.30 Of an alcoholic strength by volume exceeding 22.9% vol 2205.90.10 Of an alcoholic strength by volume not exceeding 18.3% vol 2205.90.20 Of an alcoholic strength by volume exceeding 18.3% vol but not exceeding 22.9% vol 2205.90.30 Of an alcoholic strength by volume exceeding 22.9% vol 2206.00.11 Cider: Sparkling, of an alcoholic strength by volume not exceeding 22.9% vol 2206.00.12 Cider: Other sparkling 2206.00.18 Cider: Other cider, of an alcoholic strength by volume not exceeding 22.9% vol 2206.00.19 Cider: Other 2206.00.21 Prune wine:</w:t>
      </w:r>
    </w:p>
    <w:p>
      <w:pPr>
        <w:pStyle w:val="Normal"/>
        <w:widowControl/>
        <w:rPr/>
      </w:pPr>
      <w:r>
        <w:rPr/>
        <w:t>Of an alcoholic strength by volume not exceeding 22.9% vol 2206.00.22 Prune wine: Of an alcoholic strength by volume exceeding 22.9% vol 2206.00.31 Perry, sparkling: Of an alcoholic strength by volume not exceeding 22.9% vol 2206.00.39 Perry, sparkling: Other 2206.00.41 Other wine, sparkling: Of an alcoholic strength by volume not exceeding 22.9% vol 2206.00.49 Other wine, sparkling: Other</w:t>
      </w:r>
    </w:p>
    <w:p>
      <w:pPr>
        <w:pStyle w:val="Normal"/>
        <w:widowControl/>
        <w:rPr/>
      </w:pPr>
      <w:r>
        <w:rPr/>
        <w:t>2206.00.50 Sake and other wine, not sparkling, of an alcoholic strength by volume not exceeding 13.7% vol 2206.00.61 Sake and other wine, not sparkling, of an alcoholic strength by volume exceeding 13.7% vol but not exceeding 21.9% vol: Of an alcoholic strength by volume not exceeding 14.9% vol 2206.00.62 Sake and other wine, not sparkling, of an alcoholic strength by volume exceeding 13.7% vol but not exceeding 21.9% vol: Of an alcoholic strength by volume exceeding 14.9% vol but not exceeding 15.9% vol 2206.00.63 Sake and other wine, not sparkling, of an alcoholic strength by volume exceeding 13.7% vol but not exceeding 21.9% vol: Of an alcoholic strength by volume exceeding 15.9% vol but not exceeding 16.9% vol 2206.00.64 Sake and other wine, not sparkling, of an alcoholic strength by volume exceeding 13.7% vol but not exceeding 21.9% vol: Of an alcoholic strength by volume exceeding 16.9% vol but not exceeding 17.9% vol 2206.00.65 Sake and other wine, not sparkling, of an alcoholic strength by volume exceeding 13.7% vol but not exceeding 21.9% vol:</w:t>
      </w:r>
    </w:p>
    <w:p>
      <w:pPr>
        <w:pStyle w:val="Normal"/>
        <w:widowControl/>
        <w:rPr/>
      </w:pPr>
      <w:r>
        <w:rPr/>
        <w:t>Of an alcoholic strength by volume exceeding 17.9% vol but not exceeding 18.9% vol 2206.00.66 Sake and other wine, not sparkling, of an alcoholic strength by volume exceeding 13.7% vol but not exceeding 21.9% vol: Of an alcoholic strength by volume exceeding 18.9% vol but not exceeding 19.9% vol 2206.00.67 Sake and other wine, not sparkling, of an alcoholic strength by volume exceeding 13.7% vol but not exceeding 21.9% vol: Of</w:t>
      </w:r>
    </w:p>
    <w:p>
      <w:pPr>
        <w:pStyle w:val="Normal"/>
        <w:widowControl/>
        <w:rPr/>
      </w:pPr>
      <w:r>
        <w:rPr/>
        <w:t>an alcoholic strength by volume exceeding 19.9% vol but not exceeding 20.9% vol 2206.00.68 Sake and other wine, not sparkling, of an alcoholic strength by volume exceeding 13.7% vol but not exceeding 21.9% vol: Of an alcoholic strength by volume exceeding 20.9% vol but not exceeding 21.9% vol 2206.00.71 Sake and other wine, not sparkling, of an alcoholic strength by volume exceeding 21.9% vol: Of an alcoholic strength by volume not exceeding 22.9% vol 2206.00.72 Sake and other wine, not sparkling, of an alcoholic strength by volume exceeding 21.9% vol: Of an alcoholic strength by volume exceeding 22.9% vol 2206.00.80 Ginger beer and herbal beer 2206.00.91 Other: Mead 2206.00.92 Other: Other, of an alcoholic strength by volume not exceeding 22.9% vol 2206.00.93 Other: Other, of an alcoholic strength by volume exceeding 22.9% vol 2207.10.10 For use as a spirituous or alcoholic beverage or for use in the manufacture of spirituous or alcoholic beverages 2207.10.90 Other 2207.20.11 Ethyl alcohol: Specially denatured alcohol, within the meaning of the Excise Act, 2001 2207.20.12 Ethyl alcohol:</w:t>
      </w:r>
    </w:p>
    <w:p>
      <w:pPr>
        <w:pStyle w:val="Normal"/>
        <w:widowControl/>
        <w:spacing w:before="0" w:after="160"/>
        <w:rPr/>
      </w:pPr>
      <w:r>
        <w:rPr/>
        <w:t>Denatured alcohol, within the meaning of the Excise Act, 2001</w:t>
      </w:r>
    </w:p>
    <w:tbl>
      <w:tblPr>
        <w:tblStyle w:val="TableGrid"/>
        <w:tblW w:w="9360" w:type="dxa"/>
        <w:jc w:val="center"/>
        <w:tblInd w:w="-28" w:type="dxa"/>
        <w:tblLayout w:type="autofit"/>
        <w:tblCellMar>
          <w:top w:w="60" w:type="dxa"/>
          <w:left w:w="80" w:type="dxa"/>
          <w:bottom w:w="60" w:type="dxa"/>
          <w:right w:w="80" w:type="dxa"/>
        </w:tblCellMar>
        <w:tblLook w:val="04a0" w:noHBand="0" w:noVBand="1" w:firstColumn="1" w:lastRow="0" w:lastColumn="0" w:firstRow="1"/>
      </w:tblPr>
      <w:tblGrid>
        <w:gridCol w:w="4680"/>
        <w:gridCol w:w="4679"/>
      </w:tblGrid>
      <w:tr>
        <w:trPr>
          <w:tblHeader w:val="true"/>
          <w:cantSplit w:val="true"/>
          <w:tblHeader w:val="true"/>
        </w:trPr>
        <w:tc>
          <w:tcPr>
            <w:tcW w:w="4680" w:type="dxa"/>
            <w:tcBorders/>
            <w:vAlign w:val="center"/>
            <w:shd w:fill="233746"/>
          </w:tcPr>
          <w:p>
            <w:pPr>
              <w:pStyle w:val="Normal"/>
              <w:widowControl/>
              <w:suppressAutoHyphens w:val="true"/>
              <w:spacing w:lineRule="auto" w:line="240" w:before="0" w:after="0"/>
              <w:jc w:val="left"/>
              <w:rPr>
                <w:rFonts w:cs=""/>
                <w:kern w:val="0"/>
                <w:szCs w:val="22"/>
                <w:lang w:val="en-US" w:eastAsia="en-US" w:bidi="ar-SA"/>
              </w:rPr>
            </w:pPr>
            <w:r>
              <w:rPr>
                <w:rFonts w:cs="" w:ascii="Arial" w:hAnsi="Arial"/>
                <w:b/>
                <w:color w:val="FFFFFF"/>
                <w:kern w:val="0"/>
                <w:sz w:val="17"/>
                <w:szCs w:val="22"/>
                <w:lang w:val="en-US" w:eastAsia="en-US" w:bidi="ar-SA"/>
              </w:rPr>
              <w:t>Tariff Item</w:t>
            </w:r>
          </w:p>
        </w:tc>
        <w:tc>
          <w:tcPr>
            <w:tcW w:w="4679" w:type="dxa"/>
            <w:tcBorders/>
            <w:vAlign w:val="center"/>
            <w:shd w:fill="233746"/>
          </w:tcPr>
          <w:p>
            <w:pPr>
              <w:pStyle w:val="Normal"/>
              <w:widowControl/>
              <w:suppressAutoHyphens w:val="true"/>
              <w:spacing w:lineRule="auto" w:line="240" w:before="0" w:after="0"/>
              <w:jc w:val="left"/>
              <w:rPr>
                <w:rFonts w:cs=""/>
                <w:kern w:val="0"/>
                <w:szCs w:val="22"/>
                <w:lang w:val="en-US" w:eastAsia="en-US" w:bidi="ar-SA"/>
              </w:rPr>
            </w:pPr>
            <w:r>
              <w:rPr>
                <w:rFonts w:cs="" w:ascii="Arial" w:hAnsi="Arial"/>
                <w:b/>
                <w:color w:val="FFFFFF"/>
                <w:kern w:val="0"/>
                <w:sz w:val="17"/>
                <w:szCs w:val="22"/>
                <w:lang w:val="en-US" w:eastAsia="en-US" w:bidi="ar-SA"/>
              </w:rPr>
              <w:t>Description</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2207.20.19</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Ethyl alcohol: Other</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2207.20.90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Other</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2208.20.00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Spirits obtained by distilling grape wine or grape marc</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2208.30.00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Whiskies</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2208.40.10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Rum</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2208.40.90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Other</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2208.50.00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Gin and Geneva</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2208.60.00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Vodka</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2208.70.00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Liqueurs and cordials</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2208.90.10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Tequila</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2208.90.21</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Undenatured ethyl alcohol: For use as a spirituous or</w:t>
            </w:r>
          </w:p>
        </w:tc>
      </w:tr>
    </w:tbl>
    <w:p>
      <w:pPr>
        <w:pStyle w:val="Normal"/>
        <w:widowControl/>
        <w:spacing w:before="160" w:after="120"/>
        <w:rPr/>
      </w:pPr>
      <w:r>
        <w:rPr/>
        <w:t>alcoholic beverage or for use in the manufacture of spirituous or alcoholic beverages 2208.90.29 Undenatured ethyl alcohol: Other 2208.90.30 Angostura bitters 2208.90.41 Spirituous fruit juices of an alcoholic strength by volume not exceeding 14.3% vol: Packaged, of an alcoholic strength by volume not exceeding 7% vol 2208.90.49 Spirituous fruit juices of an alcoholic strength by volume not exceeding 14.3% vol: Other 2208.90.92 Other: Fruit brandies 2208.90.98 Other: Other, packaged, of an alcoholic strength by volume not exceeding 7% 2208.90.99 Other: Other 2209.00.00 Vinegar and substitutes for vinegar obtained from acetic acid. 2301.10.10 Of whales 2301.10.90 Other 2301.20.11 Fish meal: For use in the manufacture of complete feeds for fish 2301.20.18 Fish meal: Other, not including herring meal or salmon meal, for use in the manufacture of animal feed 2301.20.19 Fish meal: Other 2301.20.90 Other 2302.10.00 Of maize (corn) 2302.30.10 Within access commitment 2302.30.20 Over access commitment 2302.40.11 Of barley: Within access commitment 2302.40.12 Of barley:</w:t>
      </w:r>
    </w:p>
    <w:p>
      <w:pPr>
        <w:pStyle w:val="Normal"/>
        <w:widowControl/>
        <w:rPr/>
      </w:pPr>
      <w:r>
        <w:rPr/>
        <w:t>Over access commitment 2302.40.90 Other 2302.50.00 Of leguminous plants 2303.10.00 Residues of starch manufacture and similar residues 2303.20.10 Dried beet-pulp 2303.20.90 Other 2303.30.00 Brewing or distilling dregs and waste 2304.00.00 Oil-cake and other solid residues, whether or not ground or in the form of pellets, resulting from the extraction of soya-bean oil.</w:t>
      </w:r>
    </w:p>
    <w:p>
      <w:pPr>
        <w:pStyle w:val="Normal"/>
        <w:widowControl/>
        <w:rPr/>
      </w:pPr>
      <w:r>
        <w:rPr/>
        <w:t>2305.00.00 Oil-cake and other solid residues, whether or not ground or in the form of pellets, resulting from the extraction of ground-nut oil. 2306.10.00 Of cotton seeds 2306.20.00 Of linseed 2306.30.00 Of sunflower seeds 2306.41.00 Of low erucic acid rape or colza seeds 2306.49.00 Other 2306.50.00 Of coconut or copra 2306.60.00 Of palm nuts or kernels 2306.90.00 Other 2307.00.00 Wine lees; argol. 2308.00.00 Vegetable materials and vegetable waste, vegetable residues and by-products, whether or not in the form of pellets, of a kind used in animal feeding, not elsewhere specified or included. 2309.10.00 Dog or cat food, put up for retail sale 2309.90.10 Feeds containing cereals, excluding baked biscuits, to be employed in feeding fur-bearing animals or in the manufacture of feeds for such animals; Granulated tylosin concentrate and hygromycin B concentrate for use in the manufacture of animal feed supplements; Preparations to be employed in feeding trout or salmon and cereal preparations to be employed in feeding fur-bearing animals 2309.90.20 Other preparations containing eggs 2309.90.31 Complete feeds and feed supplements, including concentrates:</w:t>
      </w:r>
    </w:p>
    <w:p>
      <w:pPr>
        <w:pStyle w:val="Normal"/>
        <w:widowControl/>
        <w:rPr/>
      </w:pPr>
      <w:r>
        <w:rPr/>
        <w:t>Containing 50% or more by weight in the dry state of non-fat milk solids, within access commitment * * 2309.90.32 Complete feeds and feed supplements, including concentrates: Containing 50% or more by weight in the dry state of non-fat milk solids, over access commitment * * 2309.90.33 Complete feeds and feed supplements,</w:t>
      </w:r>
    </w:p>
    <w:p>
      <w:pPr>
        <w:pStyle w:val="Normal"/>
        <w:widowControl/>
        <w:rPr/>
      </w:pPr>
      <w:r>
        <w:rPr/>
        <w:t>including concentrates: Containing more than 10% but less than 50% by weight in the dry state of non-fat milk solids 2309.90.34 Complete feeds and feed supplements, including concentrates: Containing 10% or less by weight in the dry state of non-fat milk solids 2309.90.35 Complete feeds and feed supplements, including concentrates: Containing 50% or more by weight in the dry state of milk solids containing butterfat * 2309.90.36 Complete feeds and feed supplements, including concentrates: Containing more than 10% but less than 50% by weight in the dry state of milk solids containing butterfat 2309.90.37 Complete feeds and feed supplements, including concentrates: Fish solubles 2309.90.39 Complete feeds and feed supplements, including concentrates: Other 2309.90.91 Other: Feed grade chlortetracycline, obtained by fermentation and the subsequent drying of the contents of the fermentation vessel, whether or not standardized by the addition of other substances, for use in the manufacture of premixes; Flavourings; Mineral blocks; Pellet binders; Preservatives; Single ingredient feeds; Yeast cultures 2309.90.99 Other: Other 2401.10.10 For use as wrappers in the manufacture of cigars 2401.10.91 Other: Turkish type 2401.10.99 Other:</w:t>
      </w:r>
    </w:p>
    <w:p>
      <w:pPr>
        <w:pStyle w:val="Normal"/>
        <w:widowControl/>
        <w:spacing w:before="0" w:after="160"/>
        <w:rPr/>
      </w:pPr>
      <w:r>
        <w:rPr/>
        <w:t>Other</w:t>
      </w:r>
    </w:p>
    <w:tbl>
      <w:tblPr>
        <w:tblStyle w:val="TableGrid"/>
        <w:tblW w:w="9360" w:type="dxa"/>
        <w:jc w:val="center"/>
        <w:tblInd w:w="-28" w:type="dxa"/>
        <w:tblLayout w:type="autofit"/>
        <w:tblCellMar>
          <w:top w:w="60" w:type="dxa"/>
          <w:left w:w="80" w:type="dxa"/>
          <w:bottom w:w="60" w:type="dxa"/>
          <w:right w:w="80" w:type="dxa"/>
        </w:tblCellMar>
        <w:tblLook w:val="04a0" w:noHBand="0" w:noVBand="1" w:firstColumn="1" w:lastRow="0" w:lastColumn="0" w:firstRow="1"/>
      </w:tblPr>
      <w:tblGrid>
        <w:gridCol w:w="4680"/>
        <w:gridCol w:w="4679"/>
      </w:tblGrid>
      <w:tr>
        <w:trPr>
          <w:tblHeader w:val="true"/>
          <w:cantSplit w:val="true"/>
          <w:tblHeader w:val="true"/>
        </w:trPr>
        <w:tc>
          <w:tcPr>
            <w:tcW w:w="4680" w:type="dxa"/>
            <w:tcBorders/>
            <w:vAlign w:val="center"/>
            <w:shd w:fill="233746"/>
          </w:tcPr>
          <w:p>
            <w:pPr>
              <w:pStyle w:val="Normal"/>
              <w:widowControl/>
              <w:suppressAutoHyphens w:val="true"/>
              <w:spacing w:lineRule="auto" w:line="240" w:before="0" w:after="0"/>
              <w:jc w:val="left"/>
              <w:rPr>
                <w:rFonts w:cs=""/>
                <w:kern w:val="0"/>
                <w:szCs w:val="22"/>
                <w:lang w:val="en-US" w:eastAsia="en-US" w:bidi="ar-SA"/>
              </w:rPr>
            </w:pPr>
            <w:r>
              <w:rPr>
                <w:rFonts w:cs="" w:ascii="Arial" w:hAnsi="Arial"/>
                <w:b/>
                <w:color w:val="FFFFFF"/>
                <w:kern w:val="0"/>
                <w:sz w:val="17"/>
                <w:szCs w:val="22"/>
                <w:lang w:val="en-US" w:eastAsia="en-US" w:bidi="ar-SA"/>
              </w:rPr>
              <w:t>Tariff Item</w:t>
            </w:r>
          </w:p>
        </w:tc>
        <w:tc>
          <w:tcPr>
            <w:tcW w:w="4679" w:type="dxa"/>
            <w:tcBorders/>
            <w:vAlign w:val="center"/>
            <w:shd w:fill="233746"/>
          </w:tcPr>
          <w:p>
            <w:pPr>
              <w:pStyle w:val="Normal"/>
              <w:widowControl/>
              <w:suppressAutoHyphens w:val="true"/>
              <w:spacing w:lineRule="auto" w:line="240" w:before="0" w:after="0"/>
              <w:jc w:val="left"/>
              <w:rPr>
                <w:rFonts w:cs=""/>
                <w:kern w:val="0"/>
                <w:szCs w:val="22"/>
                <w:lang w:val="en-US" w:eastAsia="en-US" w:bidi="ar-SA"/>
              </w:rPr>
            </w:pPr>
            <w:r>
              <w:rPr>
                <w:rFonts w:cs="" w:ascii="Arial" w:hAnsi="Arial"/>
                <w:b/>
                <w:color w:val="FFFFFF"/>
                <w:kern w:val="0"/>
                <w:sz w:val="17"/>
                <w:szCs w:val="22"/>
                <w:lang w:val="en-US" w:eastAsia="en-US" w:bidi="ar-SA"/>
              </w:rPr>
              <w:t>Description</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2401.20.10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Wrapper tobacco for use in the manufacture of cigars</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2401.20.90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Other</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2401.30.00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Tobacco refuse</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2402.10.00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Cigars, cheroots and cigarillos, containing tobacco</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2402.20.00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Cigarettes containing tobacco</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2402.90.00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Other</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2403.11.00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Water</w:t>
            </w:r>
          </w:p>
        </w:tc>
      </w:tr>
    </w:tbl>
    <w:p>
      <w:pPr>
        <w:pStyle w:val="Normal"/>
        <w:widowControl/>
        <w:spacing w:before="160" w:after="120"/>
        <w:rPr/>
      </w:pPr>
      <w:r>
        <w:rPr/>
        <w:t>pipe tobacco specified in Subheading Note 1 to this Chapter 2403.19.00 Other 2403.91.10 Suitable for use as wrapper tobacco 2403.91.20 Processed leaf tobacco suitable for use as cigar binders 2403.91.90 Other 2403.99.10 Snuff 2403.99.20 Manufactured tobacco substitutes not containing tobacco 2403.99.90 Other 2501.00.10 Table salt made by an admixture of other ingredients when containing 90% or more of pure sodium chloride 2501.00.90 Other 2502.00.00 Unroasted iron pyrites. 2503.00.00 Sulphur of all kinds, other than sublimed sulphur, precipitated sulphur and colloidal sulphur. 2504.10.00 In powder or in flakes 2504.90.00 Other 2505.10.00 Silica sand and quartz sands 2505.90.00 Other 2506.10.00 Quartz 2506.20.00 Quartzite 2507.00.00 Kaolin and other kaolinic clays, whether or not calcined. 2508.10.00 Bentonite 2508.30.00 Fire-clay 2508.40.00 Other clays 2508.50.00 Andalusite, kyanite and sillimanite 2508.60.00 Mullite 2508.70.00 Chamotte or dinas earths 2509.00.00 Chalk. 2510.10.00 Unground 2510.20.00 Ground 2511.10.00 Natural barium sulphate (barytes) 2511.20.00 Natural barium carbonate (witherite) 2512.00.00 Siliceous fossil meals (for example, kieselguhr, tripolite and diatomite) and similar siliceous earths, whether or not calcined, of an apparent specific gravity of 1 or less.</w:t>
      </w:r>
    </w:p>
    <w:p>
      <w:pPr>
        <w:pStyle w:val="Normal"/>
        <w:widowControl/>
        <w:rPr/>
      </w:pPr>
      <w:r>
        <w:rPr/>
        <w:t>2513.10.00 Pumice stone 2513.20.00 Emery, natural corundum, natural garnet and other natural abrasives 2514.00.00 Slate, whether or not roughly trimmed or merely cut, by sawing or otherwise, into blocks or slabs of a rectangular (including square) shape.</w:t>
      </w:r>
    </w:p>
    <w:p>
      <w:pPr>
        <w:pStyle w:val="Normal"/>
        <w:widowControl/>
        <w:spacing w:before="0" w:after="160"/>
        <w:rPr/>
      </w:pPr>
      <w:r>
        <w:rPr/>
        <w:t>2515.11.00 Crude or roughly trimmed 2515.12.00 Merely cut, by sawing or otherwise, into blocks or slabs of a rectangular (including square) shape 2515.20.00 Ecaussine and other calcareous monumental or building stone; alabaster 2516.11.00 Crude or roughly trimmed 2516.12.00 Merely cut, by sawing or otherwise, into blocks or slabs of a rectangular (including square) shape 2516.20.00 Sandstone 2516.90.00 Other monumental or building stone 2517.10.00 Pebbles, gravel, broken or crushed stone, of a kind commonly used for concrete aggregates, for road metalling or for railway or other ballast, shingle and flint, whether or not heat-treated 2517.20.00 Macadam of slag, dross or similar industrial waste, whether or not incorporating the materials cited in subheading 2517.10 2517.30.00 Tarred macadam 2517.41.00 Of marble 2517.49.00 Other 2518.10.00 Dolomite, not calcined or sintered 2518.20.00 Calcined or sintered dolomite 2518.30.00 Dolomite ramming mix 2519.10.00 Natural magnesium carbonate (magnesite) 2519.90.00 Other 2520.10.00 Gypsum; anhydrite 2520.20.00 Plasters 2521.00.00 Limestone flux; limestone and other calcareous stone, of a kind used for the manufacture of lime or cement.</w:t>
      </w:r>
    </w:p>
    <w:tbl>
      <w:tblPr>
        <w:tblStyle w:val="TableGrid"/>
        <w:tblW w:w="9360" w:type="dxa"/>
        <w:jc w:val="center"/>
        <w:tblInd w:w="-28" w:type="dxa"/>
        <w:tblLayout w:type="autofit"/>
        <w:tblCellMar>
          <w:top w:w="60" w:type="dxa"/>
          <w:left w:w="80" w:type="dxa"/>
          <w:bottom w:w="60" w:type="dxa"/>
          <w:right w:w="80" w:type="dxa"/>
        </w:tblCellMar>
        <w:tblLook w:val="04a0" w:noHBand="0" w:noVBand="1" w:firstColumn="1" w:lastRow="0" w:lastColumn="0" w:firstRow="1"/>
      </w:tblPr>
      <w:tblGrid>
        <w:gridCol w:w="4680"/>
        <w:gridCol w:w="4679"/>
      </w:tblGrid>
      <w:tr>
        <w:trPr>
          <w:tblHeader w:val="true"/>
          <w:cantSplit w:val="true"/>
          <w:tblHeader w:val="true"/>
        </w:trPr>
        <w:tc>
          <w:tcPr>
            <w:tcW w:w="4680" w:type="dxa"/>
            <w:tcBorders/>
            <w:vAlign w:val="center"/>
            <w:shd w:fill="233746"/>
          </w:tcPr>
          <w:p>
            <w:pPr>
              <w:pStyle w:val="Normal"/>
              <w:widowControl/>
              <w:suppressAutoHyphens w:val="true"/>
              <w:spacing w:lineRule="auto" w:line="240" w:before="0" w:after="0"/>
              <w:jc w:val="left"/>
              <w:rPr>
                <w:rFonts w:cs=""/>
                <w:kern w:val="0"/>
                <w:szCs w:val="22"/>
                <w:lang w:val="en-US" w:eastAsia="en-US" w:bidi="ar-SA"/>
              </w:rPr>
            </w:pPr>
            <w:r>
              <w:rPr>
                <w:rFonts w:cs="" w:ascii="Arial" w:hAnsi="Arial"/>
                <w:b/>
                <w:color w:val="FFFFFF"/>
                <w:kern w:val="0"/>
                <w:sz w:val="17"/>
                <w:szCs w:val="22"/>
                <w:lang w:val="en-US" w:eastAsia="en-US" w:bidi="ar-SA"/>
              </w:rPr>
              <w:t>Tariff Item</w:t>
            </w:r>
          </w:p>
        </w:tc>
        <w:tc>
          <w:tcPr>
            <w:tcW w:w="4679" w:type="dxa"/>
            <w:tcBorders/>
            <w:vAlign w:val="center"/>
            <w:shd w:fill="233746"/>
          </w:tcPr>
          <w:p>
            <w:pPr>
              <w:pStyle w:val="Normal"/>
              <w:widowControl/>
              <w:suppressAutoHyphens w:val="true"/>
              <w:spacing w:lineRule="auto" w:line="240" w:before="0" w:after="0"/>
              <w:jc w:val="left"/>
              <w:rPr>
                <w:rFonts w:cs=""/>
                <w:kern w:val="0"/>
                <w:szCs w:val="22"/>
                <w:lang w:val="en-US" w:eastAsia="en-US" w:bidi="ar-SA"/>
              </w:rPr>
            </w:pPr>
            <w:r>
              <w:rPr>
                <w:rFonts w:cs="" w:ascii="Arial" w:hAnsi="Arial"/>
                <w:b/>
                <w:color w:val="FFFFFF"/>
                <w:kern w:val="0"/>
                <w:sz w:val="17"/>
                <w:szCs w:val="22"/>
                <w:lang w:val="en-US" w:eastAsia="en-US" w:bidi="ar-SA"/>
              </w:rPr>
              <w:t>Description</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2522.10.00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Quicklime</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2522.20.00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Slaked lime</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2522.30.00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Hydraulic lime</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2523.10.00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Cement clinkers</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2523.21.00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White cement, whether or not artificially coloured</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2523.29.00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Other</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2523.30.00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Aluminous cement</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2523.90.00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Other hydraulic cements</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2524.10.00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Crocidolite</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2524.90.00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Other</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2525.10.00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Crude mica and mica rifted into sheets or splittings</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2525.20.00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Mica powder</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2525.30.00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Mica waste</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2526.10.00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Not crushed, not powdered</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2526.20.00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Crushed or powdered</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2528.00.00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Natural borates and concentrates thereof (whether or not calcined), but not including borates separated from natural brine; natural boric acid containing not more than 85% of H3BO3 calculated on the dry weight.</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2529.10.00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Feldspar</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2529.21.00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Containing by weight 97% or less of calcium fluoride</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2529.22.00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Containing by weight more than 97% of calcium fluoride</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2529.30.00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Leucite; nepheline and nepheline syenite</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2530.10.00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Vermiculite, perlite and chlorites, unexpanded</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2530.20.00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Kieserite, epsomite (natural magnesium sulphates)</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2530.90.00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Other</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2601.11.00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Non-agglomerated</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2601.12.00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Agglomerated</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2601.20.00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Roasted iron pyrites</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2602.00.00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Manganese ores and concentrates, including ferruginous manganese ores and concentrates with a manganese content of 20% or more, calculated on the dry weight.</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2603.00.00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Copper ores and concentrates.</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2604.00.00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Nickel ores and concentrates.</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2605.00.00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Cobalt ores and concentrates.</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2606.00.00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Aluminum ores and concentrates.</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2607.00.00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Lead ores and concentrates.</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b/>
                <w:kern w:val="0"/>
                <w:sz w:val="17"/>
                <w:szCs w:val="22"/>
                <w:lang w:val="en-US" w:eastAsia="en-US" w:bidi="ar-SA"/>
              </w:rPr>
              <w:t>Tariff Item</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b/>
                <w:kern w:val="0"/>
                <w:sz w:val="17"/>
                <w:szCs w:val="22"/>
                <w:lang w:val="en-US" w:eastAsia="en-US" w:bidi="ar-SA"/>
              </w:rPr>
              <w:t>Description</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2608.00.00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Zinc ores and concentrates.</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2609.00.00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Tin ores and concentrates.</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2610.00.00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Chromium ores and concentrates.</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2611.00.00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Tungsten ores and concentrates.</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2612.10.00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Uranium ores and concentrates</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2612.20.00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Thorium ores and concentrates</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2613.10.00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Roasted</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2613.90.00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Other</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2614.00.00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Titanium ores and concentrates.</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2615.10.00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Zirconium ores and concentrates</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2615.90.00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Other</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2616.10.00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Silver ores and concentrates</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2616.90.00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Other</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2617.10.00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Antimony ores and concentrates</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2617.90.00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Other</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2618.00.00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Granulated slag (slag sand) from the manufacture of iron or steel.</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2619.00.00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Slag, dross (other than granulated slag), scalings and other waste from the manufacture of iron or steel.</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2620.11.00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Hard zinc spelter</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2620.19.00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Other</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2620.21.00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Leaded gasoline sludges and leaded anti-knock compound sludges</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2620.29.00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Other</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2620.30.00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Containing mainly copper</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2620.40.00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Containing mainly aluminum</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2620.60.00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Containing arsenic, mercury, thallium or their mixtures, of a kind used for the extraction of arsenic or those metals or for the manufacture of their chemical compounds</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2620.91.00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Containing antimony, beryllium, cadmium, chromium or their mixtures</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2620.99.00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Other</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2621.10.00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Ash and residues from the incineration of municipal waste</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2621.90.00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Other</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2701.11.00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Anthracite</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2701.12.00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Bituminous coal</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2701.19.00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Other coal</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2701.20.00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Briquettes, ovoids and similar solid fuels manufactured from coal</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2702.10.00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Lignite, whether or not pulverized, but not agglomerated</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2702.20.00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r>
          </w:p>
        </w:tc>
      </w:tr>
    </w:tbl>
    <w:p>
      <w:pPr>
        <w:pStyle w:val="Normal"/>
        <w:widowControl/>
        <w:spacing w:before="160" w:after="120"/>
        <w:rPr/>
      </w:pPr>
      <w:r>
        <w:rPr/>
        <w:t>Agglomerated lignite 2703.00.00 Peat (including peat litter), whether or not agglomerated. 2704.00.00 Coke and semi-coke of coal, of lignite or of peat, whether or not agglomerated; retort carbon. 2705.00.00 Coal gas, water gas, producer gas and similar gases, other than petroleum gases and other gaseous hydrocarbons. 2706.00.00 Tar distilled from coal, from lignite or from peat, and other mineral tars, whether or not dehydrated or partially distilled, including reconstituted tars. 2707.10.00 Benzol (benzene) 2707.20.00 Toluol (toluene) 2707.30.00 Xylol (xylenes) 2707.40.00 Naphthalene 2707.50.00 Other aromatic hydrocarbon mixtures of which 65% or more by volume (including losses) distils at 250°C by the ISO 3405 method (equivalent to the ASTM D 86 method) 2707.91.00 Creosote oils 2707.99.00 Other 2708.10.00 Pitch 2708.20.00 Pitch coke 2709.00.00 Petroleum oils and oils obtained from bituminous minerals, crude. 2710.12.10 Alkylenes, mixed, with a very low degree of polymerization 2710.12.20 Lubricating oils put up in packings for retail sale 2710.12.90 Other 2710.19.10 White mineral oil (USP, BP or NF grades); Naphthenic oils for use in the manufacture of printing ink; Oils for use in the manufacture of goods of heading 38.08 or of tariff item No.</w:t>
      </w:r>
    </w:p>
    <w:p>
      <w:pPr>
        <w:pStyle w:val="Normal"/>
        <w:widowControl/>
        <w:spacing w:before="0" w:after="160"/>
        <w:rPr/>
      </w:pPr>
      <w:r>
        <w:rPr/>
        <w:t>9919.00.00 2710.19.20 Alkylenes, mixed, with a very low degree of polymerization; Lubricating oils or basestocks, containing by weight more than 50% of synthetic hydrocarbons; Other white oils; Petroleum greases and lubricating greases 2710.19.30 Hydrocracker bottoms for use in the manufacture of motor oils, transmission fluids or hydraulic fluids 2710.19.91 Other: Lubricating oils put up in packings for retail sale 2710.19.99 Other: Other 2710.20.10 Lubricating oils put up in packings for retail sale 2710.20.90 Other 2710.91.00 Containing polychlorinated biphenyls (PCBs), polychlorinated terphenyls (PCTs) or polybrominated biphenyls (PBBs) 2710.99.00 Other 2711.11.00 Natural gas 2711.12.10 In containers ready for use 2711.12.90 Other 2711.13.00 Butanes 2711.14.00 Ethylene, propylene, butylene and butadiene 2711.19.10 In containers ready for use 2711.19.90 Other 2711.21.00 Natural gas 2711.29.00 Other 2712.10.00 Petroleum jelly 2712.20.00 Paraffin wax containing by weight less than 0.75% of oil 2712.90.00 Other 2713.11.00 Not calcined 2713.12.00 Calcined 2713.20.00 Petroleum bitumen 2713.90.00 Other residues of petroleum oils or of oils obtained from bituminous minerals 2714.10.00 Bituminous or oil shale and tar sands 2714.90.00 Other 2715.00.00 Bituminous mixtures based on natural asphalt, on natural bitumen, on petroleum bitumen, on mineral tar or on mineral tar pitch (for example, bituminous mastics, cut-backs). 2716.00.00 Electrical energy.</w:t>
      </w:r>
    </w:p>
    <w:tbl>
      <w:tblPr>
        <w:tblStyle w:val="TableGrid"/>
        <w:tblW w:w="9360" w:type="dxa"/>
        <w:jc w:val="center"/>
        <w:tblInd w:w="-28" w:type="dxa"/>
        <w:tblLayout w:type="autofit"/>
        <w:tblCellMar>
          <w:top w:w="60" w:type="dxa"/>
          <w:left w:w="80" w:type="dxa"/>
          <w:bottom w:w="60" w:type="dxa"/>
          <w:right w:w="80" w:type="dxa"/>
        </w:tblCellMar>
        <w:tblLook w:val="04a0" w:noHBand="0" w:noVBand="1" w:firstColumn="1" w:lastRow="0" w:lastColumn="0" w:firstRow="1"/>
      </w:tblPr>
      <w:tblGrid>
        <w:gridCol w:w="4680"/>
        <w:gridCol w:w="4679"/>
      </w:tblGrid>
      <w:tr>
        <w:trPr>
          <w:tblHeader w:val="true"/>
          <w:cantSplit w:val="true"/>
          <w:tblHeader w:val="true"/>
        </w:trPr>
        <w:tc>
          <w:tcPr>
            <w:tcW w:w="4680" w:type="dxa"/>
            <w:tcBorders/>
            <w:vAlign w:val="center"/>
            <w:shd w:fill="233746"/>
          </w:tcPr>
          <w:p>
            <w:pPr>
              <w:pStyle w:val="Normal"/>
              <w:widowControl/>
              <w:suppressAutoHyphens w:val="true"/>
              <w:spacing w:lineRule="auto" w:line="240" w:before="0" w:after="0"/>
              <w:jc w:val="left"/>
              <w:rPr>
                <w:rFonts w:cs=""/>
                <w:kern w:val="0"/>
                <w:szCs w:val="22"/>
                <w:lang w:val="en-US" w:eastAsia="en-US" w:bidi="ar-SA"/>
              </w:rPr>
            </w:pPr>
            <w:r>
              <w:rPr>
                <w:rFonts w:cs="" w:ascii="Arial" w:hAnsi="Arial"/>
                <w:b/>
                <w:color w:val="FFFFFF"/>
                <w:kern w:val="0"/>
                <w:sz w:val="17"/>
                <w:szCs w:val="22"/>
                <w:lang w:val="en-US" w:eastAsia="en-US" w:bidi="ar-SA"/>
              </w:rPr>
              <w:t>Tariff Item</w:t>
            </w:r>
          </w:p>
        </w:tc>
        <w:tc>
          <w:tcPr>
            <w:tcW w:w="4679" w:type="dxa"/>
            <w:tcBorders/>
            <w:vAlign w:val="center"/>
            <w:shd w:fill="233746"/>
          </w:tcPr>
          <w:p>
            <w:pPr>
              <w:pStyle w:val="Normal"/>
              <w:widowControl/>
              <w:suppressAutoHyphens w:val="true"/>
              <w:spacing w:lineRule="auto" w:line="240" w:before="0" w:after="0"/>
              <w:jc w:val="left"/>
              <w:rPr>
                <w:rFonts w:cs=""/>
                <w:kern w:val="0"/>
                <w:szCs w:val="22"/>
                <w:lang w:val="en-US" w:eastAsia="en-US" w:bidi="ar-SA"/>
              </w:rPr>
            </w:pPr>
            <w:r>
              <w:rPr>
                <w:rFonts w:cs="" w:ascii="Arial" w:hAnsi="Arial"/>
                <w:b/>
                <w:color w:val="FFFFFF"/>
                <w:kern w:val="0"/>
                <w:sz w:val="17"/>
                <w:szCs w:val="22"/>
                <w:lang w:val="en-US" w:eastAsia="en-US" w:bidi="ar-SA"/>
              </w:rPr>
              <w:t>Description</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2801.10.00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Chlorine</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2801.20.00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Iodine</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2801.30.00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Fluorine; bromine</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2802.00.00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Sulphur, sublimed or precipitated; colloidal sulphur.</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2803.00.00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Carbon (carbon blacks and other forms of carbon not elsewhere specified or included).</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2804.10.00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Hydrogen</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2804.21.00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Argon</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2804.29.00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Other</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2804.30.00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Nitrogen</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2804.40.00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Oxygen</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2804.50.00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Boron; tellurium</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2804.61.00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Containing by weight not less than 99.99% of silicon</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2804.69.00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Other</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2804.70.00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Phosphorus</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2804.80.00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Arsenic</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2804.90.00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Selenium</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2805.11.00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Sodium</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2805.12.00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Calcium</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2805.19.00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Other</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2805.30.00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Rare-earth metals, scandium and yttrium, whether or not intermixed or interalloyed</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2805.40.00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Mercury</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2806.10.00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Hydrogen chloride (hydrochloric acid)</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2806.20.00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Chlorosulphuric acid</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2807.00.00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Sulphuric acid; oleum.</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2808.00.00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Nitric acid; sulphonitric acids.</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2809.10.00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Diphosphorus pentaoxide</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2809.20.00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Phosphoric acid and polyphosphoric acids</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2810.00.00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Oxides of boron; boric acids.</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b/>
                <w:kern w:val="0"/>
                <w:sz w:val="17"/>
                <w:szCs w:val="22"/>
                <w:lang w:val="en-US" w:eastAsia="en-US" w:bidi="ar-SA"/>
              </w:rPr>
              <w:t>Tariff Item</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b/>
                <w:kern w:val="0"/>
                <w:sz w:val="17"/>
                <w:szCs w:val="22"/>
                <w:lang w:val="en-US" w:eastAsia="en-US" w:bidi="ar-SA"/>
              </w:rPr>
              <w:t>Description</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2811.11.00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Hydrogen fluoride (hydrofluoric acid)</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2811.12.00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Hydrogen cyanide (hydrocyanic acid)</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2811.19.00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Other</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2811.21.00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Carbon dioxide</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2811.22.00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Silicon dioxide</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2811.29.00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Other</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2812.11.00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Carbonyl dichloride (phosgene)</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2812.12.00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Phosphorus oxychloride</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2812.13.00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Phosphorus trichloride</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2812.14.00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Phosphorus pentachloride</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2812.15.00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Sulphur monochloride</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2812.16.00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Sulphur dichloride</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2812.17.00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Thionyl chloride</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2812.19.00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Other</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2812.90.00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Other</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2813.10.00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Carbon disulphide</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2813.90.00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Other</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2814.10.00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Anhydrous ammonia</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2814.20.00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Ammonia in aqueous solution</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2815.11.00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Solid</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2815.12.00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In aqueous solution (soda lye or liquid soda)</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2815.20.00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Potassium hydroxide (caustic potash)</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2815.30.00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Peroxides of sodium or potassium</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2816.10.00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Hydroxide and peroxide of magnesium</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2816.40.00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Oxides, hydroxides and peroxides, of strontium or barium</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2817.00.00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Zinc oxide; zinc peroxide.</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2818.10.00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Artificial corundum, whether or not chemically defined</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2818.20.00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Aluminum oxide, other than artificial corundum</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2818.30.00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Aluminum hydroxide</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2819.10.00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Chromium trioxide</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2819.90.00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Other</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2820.10.00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Manganese dioxide</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2820.90.00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Other</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2821.10.00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Iron oxides and hydroxides</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2821.20.00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Earth colours</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2822.00.00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Cobalt oxides and hydroxides; commercial cobalt oxides.</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2823.00.00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Titanium oxides.</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b/>
                <w:kern w:val="0"/>
                <w:sz w:val="17"/>
                <w:szCs w:val="22"/>
                <w:lang w:val="en-US" w:eastAsia="en-US" w:bidi="ar-SA"/>
              </w:rPr>
              <w:t>Tariff Item</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b/>
                <w:kern w:val="0"/>
                <w:sz w:val="17"/>
                <w:szCs w:val="22"/>
                <w:lang w:val="en-US" w:eastAsia="en-US" w:bidi="ar-SA"/>
              </w:rPr>
              <w:t>Description</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2824.10.00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Lead monoxide (litharge, massicot)</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2824.90.00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Other</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2825.10.00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Hydrazine and hydroxylamine and their inorganic salts</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2825.20.00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Lithium oxide and hydroxide</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2825.30.00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Vanadium oxides and hydroxides</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2825.40.00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Nickel oxides and hydroxides</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2825.50.00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Copper oxides and hydroxides</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2825.60.00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Germanium oxides and zirconium dioxide</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2825.70.00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Molybdenum oxides and hydroxides</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2825.80.00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Antimony oxides</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2825.90.00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Other</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2826.12.00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Of aluminum</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2826.19.00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Other</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2826.30.00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Sodium hexafluoroaluminate (synthetic cryolite)</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2826.90.00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Other</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2827.10.00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Ammonium chloride</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2827.20.00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Calcium chloride</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2827.31.00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Of magnesium</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2827.32.00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Of aluminum</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2827.35.00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Of nickel</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2827.39.00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Other</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2827.41.00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Of copper</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2827.49.00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Other</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2827.51.00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Bromides of sodium or of potassium</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2827.59.00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Other</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2827.60.00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Iodides and iodide oxides</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2828.10.00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Commercial calcium hypochlorite and other calcium hypochlorites</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2828.90.00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Other</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2829.11.00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Of sodium</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2829.19.00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Other</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2829.90.00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Other</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2830.10.00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Sodium sulphides</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2830.90.00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Other</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2831.10.00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Of sodium</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2831.90.00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Other</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2832.10.00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Sodium sulphites</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2832.20.00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Other sulphites</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2832.30.00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Thiosulphates</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2833.11.00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Disodium sulphate</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2833.19.00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Other</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2833.21.00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Of magnesium</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2833.22.00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Of aluminum</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2833.24.00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Of nickel</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2833.25.00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Of copper</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2833.27.00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Of barium</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2833.29.00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Other</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2833.30.00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Alums</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2833.40.00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Peroxosulphates (persulphates)</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2834.10.00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Nitrites</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2834.21.00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Of potassium</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2834.29.00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Other</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2835.10.00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Phosphinates (hypophosphites) and phosphonates (phosphites)</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b/>
                <w:kern w:val="0"/>
                <w:sz w:val="17"/>
                <w:szCs w:val="22"/>
                <w:lang w:val="en-US" w:eastAsia="en-US" w:bidi="ar-SA"/>
              </w:rPr>
              <w:t>Tariff Item</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b/>
                <w:kern w:val="0"/>
                <w:sz w:val="17"/>
                <w:szCs w:val="22"/>
                <w:lang w:val="en-US" w:eastAsia="en-US" w:bidi="ar-SA"/>
              </w:rPr>
              <w:t>Description</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2835.22.00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Of mono- or disodium</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2835.24.00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Of potassium</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2835.25.00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Calcium hydrogenorthophosphate (“dicalcium phosphate”)</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2835.26.00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Other phosphates of calcium</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2835.29.00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Other</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2835.31.00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Sodium triphosphate (sodium tripolyphosphate)</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2835.39.00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Other</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2836.20.00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Disodium carbonate</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2836.30.00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Sodium hydrogencarbonate (sodium bicarbonate)</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2836.40.00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Potassium carbonates</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2836.50.00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Calcium carbonate</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2836.60.00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Barium carbonate</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2836.91.00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Lithium carbonates</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2836.92.00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Strontium carbonate</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2836.99.00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Other</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2837.11.00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Of sodium</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2837.19.00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Other</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2837.20.00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Complex cyanides</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2839.11.00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Sodium metasilicates</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2839.19.00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Other</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2839.90.00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Other</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2840.11.00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Anhydrous</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2840.19.00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Other</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2840.20.00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Other borates</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2840.30.00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Peroxoborates (perborates)</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2841.30.00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Sodium dichromate</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2841.50.00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Other chromates and dichromates; peroxochromates</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2841.61.00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Potassium permanganate</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2841.69.00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Other</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2841.70.00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Molybdates</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2841.80.00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Tungstates (wolframates)</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2841.90.00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Other</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2842.10.00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Double or complex silicates, including aluminosilicates whether or not chemically defined</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2842.90.00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Other</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2843.10.00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Colloidal precious metals</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2843.21.00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Silver nitrate</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2843.29.00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Other</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2843.30.00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Gold compounds</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2843.90.00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Other compounds; amalgams</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2844.10.00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Natural uranium and its compounds; alloys, dispersions (including cermets), ceramic products and mixtures containing natural uranium or natural uranium compounds</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2844.20.00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Uranium enriched in U235 and its compounds; plutonium and its compounds; alloys, dispersions</w:t>
            </w:r>
          </w:p>
        </w:tc>
      </w:tr>
    </w:tbl>
    <w:p>
      <w:pPr>
        <w:pStyle w:val="Normal"/>
        <w:widowControl/>
        <w:spacing w:before="160" w:after="160"/>
        <w:rPr/>
      </w:pPr>
      <w:r>
        <w:rPr/>
        <w:t>(including cermets), ceramic products and mixtures containing uranium enriched in U235, plutonium or compounds of these products 2844.30.00 Uranium depleted in U235 and its compounds; thorium and its compounds; alloys, dispersions (including cermets), ceramic products and mixtures containing uranium depleted in U235, thorium or compounds of these products 2844.40.00 Radioactive elements and isotopes and compounds other than those of subheading 2844.10, 2844.20 or 2844.30; alloys, dispersions (including cermets), ceramic products and mixtures containing these elements, isotopes or compounds; radioactive residues 2844.50.00 Spent (irradiated) fuel elements (cartridges) of nuclear reactors 2845.10.00 Heavy water (deuterium oxide) 2845.90.00 Other 2846.10.00 Cerium compounds 2846.90.00 Other 2847.00.00 Hydrogen peroxide, whether or not solidified with urea. 2849.10.00 Of calcium 2849.20.00 Of silicon 2849.90.00 Other 2850.00.00 Hydrides, nitrides, azides, silicides and borides, whether or not chemically defined, other than compounds which are also carbides of heading 28.49.</w:t>
      </w:r>
    </w:p>
    <w:tbl>
      <w:tblPr>
        <w:tblStyle w:val="TableGrid"/>
        <w:tblW w:w="9360" w:type="dxa"/>
        <w:jc w:val="center"/>
        <w:tblInd w:w="-28" w:type="dxa"/>
        <w:tblLayout w:type="autofit"/>
        <w:tblCellMar>
          <w:top w:w="60" w:type="dxa"/>
          <w:left w:w="80" w:type="dxa"/>
          <w:bottom w:w="60" w:type="dxa"/>
          <w:right w:w="80" w:type="dxa"/>
        </w:tblCellMar>
        <w:tblLook w:val="04a0" w:noHBand="0" w:noVBand="1" w:firstColumn="1" w:lastRow="0" w:lastColumn="0" w:firstRow="1"/>
      </w:tblPr>
      <w:tblGrid>
        <w:gridCol w:w="4680"/>
        <w:gridCol w:w="4679"/>
      </w:tblGrid>
      <w:tr>
        <w:trPr>
          <w:tblHeader w:val="true"/>
          <w:cantSplit w:val="true"/>
          <w:tblHeader w:val="true"/>
        </w:trPr>
        <w:tc>
          <w:tcPr>
            <w:tcW w:w="4680" w:type="dxa"/>
            <w:tcBorders/>
            <w:vAlign w:val="center"/>
            <w:shd w:fill="233746"/>
          </w:tcPr>
          <w:p>
            <w:pPr>
              <w:pStyle w:val="Normal"/>
              <w:widowControl/>
              <w:suppressAutoHyphens w:val="true"/>
              <w:spacing w:lineRule="auto" w:line="240" w:before="0" w:after="0"/>
              <w:jc w:val="left"/>
              <w:rPr>
                <w:rFonts w:cs=""/>
                <w:kern w:val="0"/>
                <w:szCs w:val="22"/>
                <w:lang w:val="en-US" w:eastAsia="en-US" w:bidi="ar-SA"/>
              </w:rPr>
            </w:pPr>
            <w:r>
              <w:rPr>
                <w:rFonts w:cs="" w:ascii="Arial" w:hAnsi="Arial"/>
                <w:b/>
                <w:color w:val="FFFFFF"/>
                <w:kern w:val="0"/>
                <w:sz w:val="17"/>
                <w:szCs w:val="22"/>
                <w:lang w:val="en-US" w:eastAsia="en-US" w:bidi="ar-SA"/>
              </w:rPr>
              <w:t>Tariff Item</w:t>
            </w:r>
          </w:p>
        </w:tc>
        <w:tc>
          <w:tcPr>
            <w:tcW w:w="4679" w:type="dxa"/>
            <w:tcBorders/>
            <w:vAlign w:val="center"/>
            <w:shd w:fill="233746"/>
          </w:tcPr>
          <w:p>
            <w:pPr>
              <w:pStyle w:val="Normal"/>
              <w:widowControl/>
              <w:suppressAutoHyphens w:val="true"/>
              <w:spacing w:lineRule="auto" w:line="240" w:before="0" w:after="0"/>
              <w:jc w:val="left"/>
              <w:rPr>
                <w:rFonts w:cs=""/>
                <w:kern w:val="0"/>
                <w:szCs w:val="22"/>
                <w:lang w:val="en-US" w:eastAsia="en-US" w:bidi="ar-SA"/>
              </w:rPr>
            </w:pPr>
            <w:r>
              <w:rPr>
                <w:rFonts w:cs="" w:ascii="Arial" w:hAnsi="Arial"/>
                <w:b/>
                <w:color w:val="FFFFFF"/>
                <w:kern w:val="0"/>
                <w:sz w:val="17"/>
                <w:szCs w:val="22"/>
                <w:lang w:val="en-US" w:eastAsia="en-US" w:bidi="ar-SA"/>
              </w:rPr>
              <w:t>Description</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2852.10.00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Chemically defined</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2852.90.10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Mercury albuminate; Nucleoproteids of mercury</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2852.90.90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Other</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2853.10.00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Cyanogen chloride (chlorcyan)</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2853.90.00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Other</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2901.10.00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Saturated</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2901.21.00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Ethylene</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2901.22.00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Propene (propylene)</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2901.23.00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Butene (butylene) and isomers thereof</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2901.24.00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Buta-1,3-diene and isoprene</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2901.29.00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Other</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2902.11.00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Cyclohexane</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2902.19.00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Other</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2902.20.00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Benzene</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2902.30.00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Toluene</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2902.41.00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o-Xylene</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2902.42.00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m-Xylene</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2902.43.00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p-Xylene</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2902.44.00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Mixed xylene isomers</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2902.50.00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Styrene</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2902.60.00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Ethylbenzene</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2902.70.00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Cumene</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2902.90.00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Other</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2903.11.00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Chloromethane (methyl chloride) and chloroethane (ethyl chloride)</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2903.12.00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Dichloromethane (methylene chloride)</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2903.13.00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Chloroform (trichloromethane)</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2903.14.00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Carbon tetrachloride</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2903.15.00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Ethylene dichloride (ISO) (1,2-dichloroethane)</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2903.19.00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Other</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2903.21.00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Vinyl chloride (chloroethylene)</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2903.22.00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Trichloroethylene</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2903.23.00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Tetrachloroethylene (perchloroethylene)</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2903.29.00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Other</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2903.31.00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Ethylene dibromide (ISO) (1,2-dibromoethane)</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2903.39.00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Other</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2903.71.00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Chlorodifluoromethane</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2903.72.00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Dichlorotrifluoroethanes</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2903.73.00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Dichlorofluoroethanes</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2903.74.00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Chlorodifluoroethanes</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2903.75.00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Dichloropentafluoropropanes</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2903.76.00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Bromochlorodifluoromethane, bromotrifluoromethane and dibromotetrafluoroethanes</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2903.77.00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Other, perhalogenated only with fluorine and chlorine</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2903.78.00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Other perhalogenated derivatives</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2903.79.00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Other</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2903.81.00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r>
          </w:p>
        </w:tc>
      </w:tr>
    </w:tbl>
    <w:p>
      <w:pPr>
        <w:pStyle w:val="Normal"/>
        <w:widowControl/>
        <w:spacing w:before="160" w:after="160"/>
        <w:rPr/>
      </w:pPr>
      <w:r>
        <w:rPr/>
        <w:t>1,2,3,4,5,6-Hexachlorocyclohexane (HCH (ISO)), including lindane (ISO, INN)</w:t>
      </w:r>
    </w:p>
    <w:tbl>
      <w:tblPr>
        <w:tblStyle w:val="TableGrid"/>
        <w:tblW w:w="9360" w:type="dxa"/>
        <w:jc w:val="center"/>
        <w:tblInd w:w="-28" w:type="dxa"/>
        <w:tblLayout w:type="autofit"/>
        <w:tblCellMar>
          <w:top w:w="60" w:type="dxa"/>
          <w:left w:w="80" w:type="dxa"/>
          <w:bottom w:w="60" w:type="dxa"/>
          <w:right w:w="80" w:type="dxa"/>
        </w:tblCellMar>
        <w:tblLook w:val="04a0" w:noHBand="0" w:noVBand="1" w:firstColumn="1" w:lastRow="0" w:lastColumn="0" w:firstRow="1"/>
      </w:tblPr>
      <w:tblGrid>
        <w:gridCol w:w="4680"/>
        <w:gridCol w:w="4679"/>
      </w:tblGrid>
      <w:tr>
        <w:trPr>
          <w:tblHeader w:val="true"/>
          <w:cantSplit w:val="true"/>
          <w:tblHeader w:val="true"/>
        </w:trPr>
        <w:tc>
          <w:tcPr>
            <w:tcW w:w="4680" w:type="dxa"/>
            <w:tcBorders/>
            <w:vAlign w:val="center"/>
            <w:shd w:fill="233746"/>
          </w:tcPr>
          <w:p>
            <w:pPr>
              <w:pStyle w:val="Normal"/>
              <w:widowControl/>
              <w:suppressAutoHyphens w:val="true"/>
              <w:spacing w:lineRule="auto" w:line="240" w:before="0" w:after="0"/>
              <w:jc w:val="left"/>
              <w:rPr>
                <w:rFonts w:cs=""/>
                <w:kern w:val="0"/>
                <w:szCs w:val="22"/>
                <w:lang w:val="en-US" w:eastAsia="en-US" w:bidi="ar-SA"/>
              </w:rPr>
            </w:pPr>
            <w:r>
              <w:rPr>
                <w:rFonts w:cs="" w:ascii="Arial" w:hAnsi="Arial"/>
                <w:b/>
                <w:color w:val="FFFFFF"/>
                <w:kern w:val="0"/>
                <w:sz w:val="17"/>
                <w:szCs w:val="22"/>
                <w:lang w:val="en-US" w:eastAsia="en-US" w:bidi="ar-SA"/>
              </w:rPr>
              <w:t>Tariff Item</w:t>
            </w:r>
          </w:p>
        </w:tc>
        <w:tc>
          <w:tcPr>
            <w:tcW w:w="4679" w:type="dxa"/>
            <w:tcBorders/>
            <w:vAlign w:val="center"/>
            <w:shd w:fill="233746"/>
          </w:tcPr>
          <w:p>
            <w:pPr>
              <w:pStyle w:val="Normal"/>
              <w:widowControl/>
              <w:suppressAutoHyphens w:val="true"/>
              <w:spacing w:lineRule="auto" w:line="240" w:before="0" w:after="0"/>
              <w:jc w:val="left"/>
              <w:rPr>
                <w:rFonts w:cs=""/>
                <w:kern w:val="0"/>
                <w:szCs w:val="22"/>
                <w:lang w:val="en-US" w:eastAsia="en-US" w:bidi="ar-SA"/>
              </w:rPr>
            </w:pPr>
            <w:r>
              <w:rPr>
                <w:rFonts w:cs="" w:ascii="Arial" w:hAnsi="Arial"/>
                <w:b/>
                <w:color w:val="FFFFFF"/>
                <w:kern w:val="0"/>
                <w:sz w:val="17"/>
                <w:szCs w:val="22"/>
                <w:lang w:val="en-US" w:eastAsia="en-US" w:bidi="ar-SA"/>
              </w:rPr>
              <w:t>Description</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2903.82.00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Aldrin (ISO), chlordane (ISO) and heptachlor (ISO)</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2903.83.00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Mirex (ISO)</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2903.89.00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Other</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2903.91.00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Chlorobenzene, o -dichlorobenzene and p -dichlorobenzene</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2903.92.00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Hexachlorobenzene (ISO) and DDT (ISO) (clofenotane (INN), 1,1,1-trichloro-2,2-bis(p -chlorophenyl)ethane)</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2903.93.00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Pentachlorobenzene (ISO)</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2903.94.00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Hexabromobiphenyls</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2903.99.00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Other</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2904.10.00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Derivatives containing only sulpho groups, their salts and ethyl esters</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2904.20.00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Derivatives containing only nitro or only nitroso groups</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2904.31.00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Perfluorooctane sulphonic acid</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2904.32.00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Ammonium perfluorooctane sulphonate</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2904.33.00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Lithium perfluorooctane sulphonate</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2904.34.00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Potassium perfluorooctane sulphonate</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2904.35.00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Other salts of perfluorooctane sulphonic acid</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2904.36.00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Perfluorooctane sulphonyl fluoride</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2904.91.00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Trichloronitromethane (chloropicrin)</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2904.99.00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Other</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2905.11.00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Methanol (methyl alcohol)</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2905.12.00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Propan-1-ol (propyl alcohol) and propan-2-ol (isopropyl alcohol)</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2905.13.00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Butan-1-ol (n -butyl alcohol)</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2905.14.00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Other butanols</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2905.16.00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Octanol (octyl alcohol) and isomers thereof</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2905.17.00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Dodecan-1-ol (lauryl alcohol), hexadecan-1-ol (cetyl alcohol) and octadecan-1-ol (stearyl alcohol)</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2905.19.00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Other</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2905.22.00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Acyclic terpene alcohols</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2905.29.00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Other</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2905.31.00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Ethylene glycol (ethanediol)</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2905.32.00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Propylene glycol (propane-1,2-diol)</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2905.39.00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Other</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2905.41.00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r>
          </w:p>
        </w:tc>
      </w:tr>
    </w:tbl>
    <w:p>
      <w:pPr>
        <w:pStyle w:val="Normal"/>
        <w:widowControl/>
        <w:spacing w:before="160" w:after="160"/>
        <w:rPr/>
      </w:pPr>
      <w:r>
        <w:rPr/>
        <w:t>2-Ethyl-2-(hydroxymethyl) propane-1,3-diol (trimethylolpropane)</w:t>
      </w:r>
    </w:p>
    <w:tbl>
      <w:tblPr>
        <w:tblStyle w:val="TableGrid"/>
        <w:tblW w:w="9360" w:type="dxa"/>
        <w:jc w:val="center"/>
        <w:tblInd w:w="-28" w:type="dxa"/>
        <w:tblLayout w:type="autofit"/>
        <w:tblCellMar>
          <w:top w:w="60" w:type="dxa"/>
          <w:left w:w="80" w:type="dxa"/>
          <w:bottom w:w="60" w:type="dxa"/>
          <w:right w:w="80" w:type="dxa"/>
        </w:tblCellMar>
        <w:tblLook w:val="04a0" w:noHBand="0" w:noVBand="1" w:firstColumn="1" w:lastRow="0" w:lastColumn="0" w:firstRow="1"/>
      </w:tblPr>
      <w:tblGrid>
        <w:gridCol w:w="4680"/>
        <w:gridCol w:w="4679"/>
      </w:tblGrid>
      <w:tr>
        <w:trPr>
          <w:tblHeader w:val="true"/>
          <w:cantSplit w:val="true"/>
          <w:tblHeader w:val="true"/>
        </w:trPr>
        <w:tc>
          <w:tcPr>
            <w:tcW w:w="4680" w:type="dxa"/>
            <w:tcBorders/>
            <w:vAlign w:val="center"/>
            <w:shd w:fill="233746"/>
          </w:tcPr>
          <w:p>
            <w:pPr>
              <w:pStyle w:val="Normal"/>
              <w:widowControl/>
              <w:suppressAutoHyphens w:val="true"/>
              <w:spacing w:lineRule="auto" w:line="240" w:before="0" w:after="0"/>
              <w:jc w:val="left"/>
              <w:rPr>
                <w:rFonts w:cs=""/>
                <w:kern w:val="0"/>
                <w:szCs w:val="22"/>
                <w:lang w:val="en-US" w:eastAsia="en-US" w:bidi="ar-SA"/>
              </w:rPr>
            </w:pPr>
            <w:r>
              <w:rPr>
                <w:rFonts w:cs="" w:ascii="Arial" w:hAnsi="Arial"/>
                <w:b/>
                <w:color w:val="FFFFFF"/>
                <w:kern w:val="0"/>
                <w:sz w:val="17"/>
                <w:szCs w:val="22"/>
                <w:lang w:val="en-US" w:eastAsia="en-US" w:bidi="ar-SA"/>
              </w:rPr>
              <w:t>Tariff Item</w:t>
            </w:r>
          </w:p>
        </w:tc>
        <w:tc>
          <w:tcPr>
            <w:tcW w:w="4679" w:type="dxa"/>
            <w:tcBorders/>
            <w:vAlign w:val="center"/>
            <w:shd w:fill="233746"/>
          </w:tcPr>
          <w:p>
            <w:pPr>
              <w:pStyle w:val="Normal"/>
              <w:widowControl/>
              <w:suppressAutoHyphens w:val="true"/>
              <w:spacing w:lineRule="auto" w:line="240" w:before="0" w:after="0"/>
              <w:jc w:val="left"/>
              <w:rPr>
                <w:rFonts w:cs=""/>
                <w:kern w:val="0"/>
                <w:szCs w:val="22"/>
                <w:lang w:val="en-US" w:eastAsia="en-US" w:bidi="ar-SA"/>
              </w:rPr>
            </w:pPr>
            <w:r>
              <w:rPr>
                <w:rFonts w:cs="" w:ascii="Arial" w:hAnsi="Arial"/>
                <w:b/>
                <w:color w:val="FFFFFF"/>
                <w:kern w:val="0"/>
                <w:sz w:val="17"/>
                <w:szCs w:val="22"/>
                <w:lang w:val="en-US" w:eastAsia="en-US" w:bidi="ar-SA"/>
              </w:rPr>
              <w:t>Description</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2905.42.00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Pentaerythritol</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2905.43.00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Mannitol</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2905.44.00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D-glucitol (sorbitol)</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2905.45.00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Glycerol</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2905.49.00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Other</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2905.51.00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Ethchlorvynol (INN)</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2905.59.00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Other</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2906.11.00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Menthol</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2906.12.00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Cyclohexanol, methylcyclohexanols and dimethylcyclohexanols</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2906.13.00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Sterols and inositols</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2906.19.00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Other</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2906.21.00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Benzyl alcohol</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2906.29.00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Other</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2907.11.00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Phenol (hydroxybenzene) and its salts</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2907.12.00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Cresols and their salts</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2907.13.00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Octylphenol, nonylphenol and their isomers; salts thereof</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2907.15.00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Naphthols and their salts</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2907.19.00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Other</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2907.21.00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Resorcinol and its salts</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2907.22.00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Hydroquinone (quinol) and its salts</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2907.23.00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4,4’-Isopropylidenediphenol (bisphenol A, diphenylolpropane) and its salts</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2907.29.00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Other</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2908.11.00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Pentachlorophenol (ISO)</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2908.19.00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Other</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2908.91.00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Dinoseb (ISO) and its salts</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2908.92.00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4,6-Dinitro-o-cresol (DNOC (ISO)) and its salts</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2908.99.00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Other</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2909.11.00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Diethyl ether</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2909.19.00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Other</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2909.20.00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Cyclanic, cyclenic or cycloterpenic ethers and their halogenated, sulphonated, nitrated or nitrosated derivatives</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2909.30.00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Aromatic ethers and their halogenated, sulphonated, nitrated or nitrosated derivatives</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2909.41.00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2,2’-Oxydiethanol (diethylene glycol, digol)</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2909.43.00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Monobutyl ethers of ethylene glycol or of diethylene glycol</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2909.44.00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Other monoalkylethers of ethylene glycol or of diethylene glycol</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2909.49.00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Other</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2909.50.00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Ether-phenols,</w:t>
            </w:r>
          </w:p>
        </w:tc>
      </w:tr>
    </w:tbl>
    <w:p>
      <w:pPr>
        <w:pStyle w:val="Normal"/>
        <w:widowControl/>
        <w:spacing w:before="160" w:after="160"/>
        <w:rPr/>
      </w:pPr>
      <w:r>
        <w:rPr/>
        <w:t>ether-alcohol-phenols and their halogenated, sulphonated, nitrated or nitrosated derivatives 2909.60.00 Alcohol peroxides, ether peroxides, ketone peroxides and their halogenated, sulphonated, nitrated or nitrosated derivatives 2910.10.00 Oxirane (ethylene oxide) 2910.20.00 Methyloxirane (propylene oxide) 2910.30.00 1-Chloro-2,3-epoxypropane (epichlorohydrin) 2910.40.00 Dieldrin (ISO, INN) 2910.50.00 Endrin (ISO) 2910.90.00 Other 2911.00.00 Acetals and hemiacetals, whether or not with other oxygen function, and their halogenated, sulphonated, nitrated or nitrosated derivatives. 2912.11.00 Methanal (formaldehyde) 2912.12.00 Ethanal (acetaldehyde) 2912.19.00 Other 2912.21.00 Benzaldehyde 2912.29.00 Other 2912.41.00 Vanillin (4-hydroxy-3-methoxybenzaldehyde) 2912.42.00 Ethylvanillin (3-ethoxy-4-hydroxybenzaldehyde) 2912.49.00 Other 2912.50.00 Cyclic polymers of aldehydes 2912.60.00 Paraformaldehyde 2913.00.00 Halogenated, sulphonated, nitrated or nitrosated derivatives of products of heading 29.12.</w:t>
      </w:r>
    </w:p>
    <w:tbl>
      <w:tblPr>
        <w:tblStyle w:val="TableGrid"/>
        <w:tblW w:w="9360" w:type="dxa"/>
        <w:jc w:val="center"/>
        <w:tblInd w:w="-28" w:type="dxa"/>
        <w:tblLayout w:type="autofit"/>
        <w:tblCellMar>
          <w:top w:w="60" w:type="dxa"/>
          <w:left w:w="80" w:type="dxa"/>
          <w:bottom w:w="60" w:type="dxa"/>
          <w:right w:w="80" w:type="dxa"/>
        </w:tblCellMar>
        <w:tblLook w:val="04a0" w:noHBand="0" w:noVBand="1" w:firstColumn="1" w:lastRow="0" w:lastColumn="0" w:firstRow="1"/>
      </w:tblPr>
      <w:tblGrid>
        <w:gridCol w:w="4680"/>
        <w:gridCol w:w="4679"/>
      </w:tblGrid>
      <w:tr>
        <w:trPr>
          <w:tblHeader w:val="true"/>
          <w:cantSplit w:val="true"/>
          <w:tblHeader w:val="true"/>
        </w:trPr>
        <w:tc>
          <w:tcPr>
            <w:tcW w:w="4680" w:type="dxa"/>
            <w:tcBorders/>
            <w:vAlign w:val="center"/>
            <w:shd w:fill="233746"/>
          </w:tcPr>
          <w:p>
            <w:pPr>
              <w:pStyle w:val="Normal"/>
              <w:widowControl/>
              <w:suppressAutoHyphens w:val="true"/>
              <w:spacing w:lineRule="auto" w:line="240" w:before="0" w:after="0"/>
              <w:jc w:val="left"/>
              <w:rPr>
                <w:rFonts w:cs=""/>
                <w:kern w:val="0"/>
                <w:szCs w:val="22"/>
                <w:lang w:val="en-US" w:eastAsia="en-US" w:bidi="ar-SA"/>
              </w:rPr>
            </w:pPr>
            <w:r>
              <w:rPr>
                <w:rFonts w:cs="" w:ascii="Arial" w:hAnsi="Arial"/>
                <w:b/>
                <w:color w:val="FFFFFF"/>
                <w:kern w:val="0"/>
                <w:sz w:val="17"/>
                <w:szCs w:val="22"/>
                <w:lang w:val="en-US" w:eastAsia="en-US" w:bidi="ar-SA"/>
              </w:rPr>
              <w:t>Tariff Item</w:t>
            </w:r>
          </w:p>
        </w:tc>
        <w:tc>
          <w:tcPr>
            <w:tcW w:w="4679" w:type="dxa"/>
            <w:tcBorders/>
            <w:vAlign w:val="center"/>
            <w:shd w:fill="233746"/>
          </w:tcPr>
          <w:p>
            <w:pPr>
              <w:pStyle w:val="Normal"/>
              <w:widowControl/>
              <w:suppressAutoHyphens w:val="true"/>
              <w:spacing w:lineRule="auto" w:line="240" w:before="0" w:after="0"/>
              <w:jc w:val="left"/>
              <w:rPr>
                <w:rFonts w:cs=""/>
                <w:kern w:val="0"/>
                <w:szCs w:val="22"/>
                <w:lang w:val="en-US" w:eastAsia="en-US" w:bidi="ar-SA"/>
              </w:rPr>
            </w:pPr>
            <w:r>
              <w:rPr>
                <w:rFonts w:cs="" w:ascii="Arial" w:hAnsi="Arial"/>
                <w:b/>
                <w:color w:val="FFFFFF"/>
                <w:kern w:val="0"/>
                <w:sz w:val="17"/>
                <w:szCs w:val="22"/>
                <w:lang w:val="en-US" w:eastAsia="en-US" w:bidi="ar-SA"/>
              </w:rPr>
              <w:t>Description</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2914.11.00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Acetone</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2914.12.00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Butanone (methyl ethyl ketone)</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2914.13.00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4-Methylpentan-2-one (methyl isobutyl ketone)</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2914.19.00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Other</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2914.22.00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Cyclohexanone and methylcyclohexanones</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2914.23.00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Ionones and methylionones</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2914.29.00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Other</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2914.31.00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Phenylacetone (phenylpropan-2-one)</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2914.39.00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Other</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2914.40.00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Ketone-alcohols and ketone-aldehydes</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2914.50.00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Ketone-phenols and ketones with other oxygen function</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2914.61.00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Anthraquinone</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2914.62.00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Coenzyme Q10 (ubidecarenone (INN))</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2914.69.00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Other</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2914.71.00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Chlordecone (ISO)</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2914.79.00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Other</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2915.11.00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Formic acid</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2915.12.00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Salts of formic acid</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2915.13.00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Esters of formic acid</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2915.21.00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Acetic acid</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2915.24.00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Acetic anhydride</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2915.29.00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Other</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2915.31.00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Ethyl acetate</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2915.32.00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Vinyl acetate</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2915.33.00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n -Butyl acetate</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2915.36.00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Dinoseb (ISO) acetate</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2915.39.00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Other</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2915.40.00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Mono-, di- or trichloroacetic acids, their salts and esters</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2915.50.00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Propionic acid, its salts and esters</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2915.60.00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Butanoic acids, pentanoic acids, their salts and esters</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2915.70.00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Palmitic acid, stearic acid, their salts and esters</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2915.90.00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Other</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2916.11.00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Acrylic acid and its salts</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2916.12.00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Esters of acrylic acid</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2916.13.00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Methacrylic acid and its salts</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2916.14.00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Esters of methacrylic acid</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2916.15.00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Oleic, linoleic or linolenic acids, their salts and esters</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2916.16.00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Binapacryl (ISO)</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2916.19.00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Other</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2916.20.00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Cyclanic, cyclenic or cycloterpenic monocarboxylic acids, their anhydrides, halides, peroxides, peroxyacids and their</w:t>
            </w:r>
          </w:p>
        </w:tc>
      </w:tr>
    </w:tbl>
    <w:p>
      <w:pPr>
        <w:pStyle w:val="Normal"/>
        <w:widowControl/>
        <w:spacing w:before="160" w:after="160"/>
        <w:rPr/>
      </w:pPr>
      <w:r>
        <w:rPr/>
        <w:t>derivatives</w:t>
      </w:r>
    </w:p>
    <w:tbl>
      <w:tblPr>
        <w:tblStyle w:val="TableGrid"/>
        <w:tblW w:w="9360" w:type="dxa"/>
        <w:jc w:val="center"/>
        <w:tblInd w:w="-28" w:type="dxa"/>
        <w:tblLayout w:type="autofit"/>
        <w:tblCellMar>
          <w:top w:w="60" w:type="dxa"/>
          <w:left w:w="80" w:type="dxa"/>
          <w:bottom w:w="60" w:type="dxa"/>
          <w:right w:w="80" w:type="dxa"/>
        </w:tblCellMar>
        <w:tblLook w:val="04a0" w:noHBand="0" w:noVBand="1" w:firstColumn="1" w:lastRow="0" w:lastColumn="0" w:firstRow="1"/>
      </w:tblPr>
      <w:tblGrid>
        <w:gridCol w:w="4680"/>
        <w:gridCol w:w="4679"/>
      </w:tblGrid>
      <w:tr>
        <w:trPr>
          <w:tblHeader w:val="true"/>
          <w:cantSplit w:val="true"/>
          <w:tblHeader w:val="true"/>
        </w:trPr>
        <w:tc>
          <w:tcPr>
            <w:tcW w:w="4680" w:type="dxa"/>
            <w:tcBorders/>
            <w:vAlign w:val="center"/>
            <w:shd w:fill="233746"/>
          </w:tcPr>
          <w:p>
            <w:pPr>
              <w:pStyle w:val="Normal"/>
              <w:widowControl/>
              <w:suppressAutoHyphens w:val="true"/>
              <w:spacing w:lineRule="auto" w:line="240" w:before="0" w:after="0"/>
              <w:jc w:val="left"/>
              <w:rPr>
                <w:rFonts w:cs=""/>
                <w:kern w:val="0"/>
                <w:szCs w:val="22"/>
                <w:lang w:val="en-US" w:eastAsia="en-US" w:bidi="ar-SA"/>
              </w:rPr>
            </w:pPr>
            <w:r>
              <w:rPr>
                <w:rFonts w:cs="" w:ascii="Arial" w:hAnsi="Arial"/>
                <w:b/>
                <w:color w:val="FFFFFF"/>
                <w:kern w:val="0"/>
                <w:sz w:val="17"/>
                <w:szCs w:val="22"/>
                <w:lang w:val="en-US" w:eastAsia="en-US" w:bidi="ar-SA"/>
              </w:rPr>
              <w:t>Tariff Item</w:t>
            </w:r>
          </w:p>
        </w:tc>
        <w:tc>
          <w:tcPr>
            <w:tcW w:w="4679" w:type="dxa"/>
            <w:tcBorders/>
            <w:vAlign w:val="center"/>
            <w:shd w:fill="233746"/>
          </w:tcPr>
          <w:p>
            <w:pPr>
              <w:pStyle w:val="Normal"/>
              <w:widowControl/>
              <w:suppressAutoHyphens w:val="true"/>
              <w:spacing w:lineRule="auto" w:line="240" w:before="0" w:after="0"/>
              <w:jc w:val="left"/>
              <w:rPr>
                <w:rFonts w:cs=""/>
                <w:kern w:val="0"/>
                <w:szCs w:val="22"/>
                <w:lang w:val="en-US" w:eastAsia="en-US" w:bidi="ar-SA"/>
              </w:rPr>
            </w:pPr>
            <w:r>
              <w:rPr>
                <w:rFonts w:cs="" w:ascii="Arial" w:hAnsi="Arial"/>
                <w:b/>
                <w:color w:val="FFFFFF"/>
                <w:kern w:val="0"/>
                <w:sz w:val="17"/>
                <w:szCs w:val="22"/>
                <w:lang w:val="en-US" w:eastAsia="en-US" w:bidi="ar-SA"/>
              </w:rPr>
              <w:t>Description</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2916.31.00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Benzoic acid, its salts and esters</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2916.32.00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Benzoyl peroxide and benzoyl chloride</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2916.34.00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Phenylacetic acid and its salts</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2916.39.00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Other</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2917.11.00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Oxalic acid, its salts and esters</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2917.12.00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Adipic acid, its salts and esters</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2917.13.00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Azelaic acid, sebacic acid, their salts and esters</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2917.14.00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Maleic anhydride</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2917.19.10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Dibutyl fumarate; Dibutyl maleate; Ferrous fumarate; Lead fumarate, tetrabasic; Maleic acid</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2917.19.91</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Other: For use in the manufacture of glues or adhesives, optical fibres or optical fibre bundles or cables, typewriter or similar ribbons, polymers in primary forms or profile shapes or sheets of plastics</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2917.19.99</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Other: Other</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2917.20.00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Cyclanic, cyclenic or cycloterpenic polycarboxylic acids, their anhydrides, halides, peroxides, peroxyacids and their derivatives</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2917.32.00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Dioctyl orthophthalates</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2917.33.00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Dinonyl or didecyl orthophthalates</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2917.34.00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Other esters of orthophthalic acid</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2917.35.00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Phthalic anhydride</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2917.36.00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Terephthalic acid and its salts</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2917.37.00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Dimethyl terephthalate</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2917.39.00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Other</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2918.11.00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Lactic acid, its salts and esters</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2918.12.00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Tartaric acid</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2918.13.00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Salts and esters of tartaric acid</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2918.14.00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Citric acid</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2918.15.00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Salts and esters of citric acid</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2918.16.00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Gluconic acid, its salts and esters</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2918.17.00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2,2-Diphenyl-2-hydroxyacetic acid (benzilic acid)</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2918.18.00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Chlorobenzilate (ISO)</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2918.19.00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Other</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2918.21.00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Salicylic acid and its salts</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2918.22.00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O -Acetylsalicylic acid,</w:t>
            </w:r>
          </w:p>
        </w:tc>
      </w:tr>
    </w:tbl>
    <w:p>
      <w:pPr>
        <w:pStyle w:val="Normal"/>
        <w:widowControl/>
        <w:spacing w:before="160" w:after="160"/>
        <w:rPr/>
      </w:pPr>
      <w:r>
        <w:rPr/>
        <w:t>its salts and esters</w:t>
      </w:r>
    </w:p>
    <w:tbl>
      <w:tblPr>
        <w:tblStyle w:val="TableGrid"/>
        <w:tblW w:w="9360" w:type="dxa"/>
        <w:jc w:val="center"/>
        <w:tblInd w:w="-28" w:type="dxa"/>
        <w:tblLayout w:type="autofit"/>
        <w:tblCellMar>
          <w:top w:w="60" w:type="dxa"/>
          <w:left w:w="80" w:type="dxa"/>
          <w:bottom w:w="60" w:type="dxa"/>
          <w:right w:w="80" w:type="dxa"/>
        </w:tblCellMar>
        <w:tblLook w:val="04a0" w:noHBand="0" w:noVBand="1" w:firstColumn="1" w:lastRow="0" w:lastColumn="0" w:firstRow="1"/>
      </w:tblPr>
      <w:tblGrid>
        <w:gridCol w:w="4680"/>
        <w:gridCol w:w="4679"/>
      </w:tblGrid>
      <w:tr>
        <w:trPr>
          <w:tblHeader w:val="true"/>
          <w:cantSplit w:val="true"/>
          <w:tblHeader w:val="true"/>
        </w:trPr>
        <w:tc>
          <w:tcPr>
            <w:tcW w:w="4680" w:type="dxa"/>
            <w:tcBorders/>
            <w:vAlign w:val="center"/>
            <w:shd w:fill="233746"/>
          </w:tcPr>
          <w:p>
            <w:pPr>
              <w:pStyle w:val="Normal"/>
              <w:widowControl/>
              <w:suppressAutoHyphens w:val="true"/>
              <w:spacing w:lineRule="auto" w:line="240" w:before="0" w:after="0"/>
              <w:jc w:val="left"/>
              <w:rPr>
                <w:rFonts w:cs=""/>
                <w:kern w:val="0"/>
                <w:szCs w:val="22"/>
                <w:lang w:val="en-US" w:eastAsia="en-US" w:bidi="ar-SA"/>
              </w:rPr>
            </w:pPr>
            <w:r>
              <w:rPr>
                <w:rFonts w:cs="" w:ascii="Arial" w:hAnsi="Arial"/>
                <w:b/>
                <w:color w:val="FFFFFF"/>
                <w:kern w:val="0"/>
                <w:sz w:val="17"/>
                <w:szCs w:val="22"/>
                <w:lang w:val="en-US" w:eastAsia="en-US" w:bidi="ar-SA"/>
              </w:rPr>
              <w:t>Tariff Item</w:t>
            </w:r>
          </w:p>
        </w:tc>
        <w:tc>
          <w:tcPr>
            <w:tcW w:w="4679" w:type="dxa"/>
            <w:tcBorders/>
            <w:vAlign w:val="center"/>
            <w:shd w:fill="233746"/>
          </w:tcPr>
          <w:p>
            <w:pPr>
              <w:pStyle w:val="Normal"/>
              <w:widowControl/>
              <w:suppressAutoHyphens w:val="true"/>
              <w:spacing w:lineRule="auto" w:line="240" w:before="0" w:after="0"/>
              <w:jc w:val="left"/>
              <w:rPr>
                <w:rFonts w:cs=""/>
                <w:kern w:val="0"/>
                <w:szCs w:val="22"/>
                <w:lang w:val="en-US" w:eastAsia="en-US" w:bidi="ar-SA"/>
              </w:rPr>
            </w:pPr>
            <w:r>
              <w:rPr>
                <w:rFonts w:cs="" w:ascii="Arial" w:hAnsi="Arial"/>
                <w:b/>
                <w:color w:val="FFFFFF"/>
                <w:kern w:val="0"/>
                <w:sz w:val="17"/>
                <w:szCs w:val="22"/>
                <w:lang w:val="en-US" w:eastAsia="en-US" w:bidi="ar-SA"/>
              </w:rPr>
              <w:t>Description</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2918.23.00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Other esters of salicylic acid and their salts</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2918.29.00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Other</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2918.30.00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Carboxylic acids with aldehyde or ketone function but without other oxygen function, their anhydrides, halides, peroxides, peroxyacids and their derivatives</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2918.91.00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2,4,5-T (ISO) (2,4,5-trichlorophenoxyacetic acid), its salts and esters</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2918.99.00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Other</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2919.10.00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Tris(2,3-dibromopropyl) phosphate</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2919.90.00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Other</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2920.11.00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Parathion (ISO) and parathion-methyl (ISO) (methyl-parathion)</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2920.19.00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Other</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2920.21.00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Dimethyl phosphite</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2920.22.00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Diethyl phosphite</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2920.23.00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Trimethyl phosphite</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2920.24.00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Triethyl phosphite</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2920.29.00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Other</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2920.30.00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Endosulfan (ISO)</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2920.90.00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Other</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2921.11.00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Methylamine, di- or trimethylamine and their salts</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2921.12.00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2-(N,N-Dimethylamino)ethylchloride hydrochloride</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2921.13.00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2-(N,N-Diethylamino)ethylchloride hydrochloride</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2921.14.00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2-(N,N-Diisopropylamino)ethylchloride hydrochloride</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2921.19.00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Other</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2921.21.00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Ethylenediamine and its salts</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2921.22.00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Hexamethylenediamine and its salts</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2921.29.00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Other</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2921.30.00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Cyclanic, cyclenic or cycloterpenic mono- or polyamines, and their derivatives; salts thereof</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2921.41.00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Aniline and its salts</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2921.42.00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Aniline derivatives and their salts</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2921.43.00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Toluidines and their derivatives; salts thereof</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2921.44.00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Diphenylamine and its derivatives; salts thereof</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2921.45.00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1-Naphthylamine (alpha-naphthylamine), 2-naphthylamine (beta naphthylamine) and their derivatives; salts thereof</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b/>
                <w:kern w:val="0"/>
                <w:sz w:val="17"/>
                <w:szCs w:val="22"/>
                <w:lang w:val="en-US" w:eastAsia="en-US" w:bidi="ar-SA"/>
              </w:rPr>
              <w:t>Tariff Item</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b/>
                <w:kern w:val="0"/>
                <w:sz w:val="17"/>
                <w:szCs w:val="22"/>
                <w:lang w:val="en-US" w:eastAsia="en-US" w:bidi="ar-SA"/>
              </w:rPr>
              <w:t>Description</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2921.46.00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Amfetamine (INN), benzfetamine (INN), dexamfetamine (INN), etilamfetamine (INN), fencamfamin (INN), lefetamine (INN), levamfetamine (INN), mefenorex (INN) and phentermine (INN); salts thereof</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2921.49.00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Other</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2921.51.00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o-, m-, p -Phenylenediamine, diaminotoluenes, and their derivatives; salts thereof</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2921.59.00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Other</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2922.11.00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Monoethanolamine and its salts</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2922.12.00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Diethanolamine and its salts</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2922.14.00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Dextropropoxyphene (INN) and its salts</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2922.15.00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Triethanolamine</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2922.16.00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Diethanolammonium perfluorooctane sulphonate</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2922.17.00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Methyldiethanolamine and ethyldiethanolamine</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2922.18.00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2-(N,N-Diisopropylamino)ethanol</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2922.19.00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Other</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2922.21.00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Aminohydroxynaphthalenesulphonic acids and their salts</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2922.29.00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Other</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2922.31.00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Amfepramone (INN), methadone (INN) and normethadone (INN); salts thereof</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2922.39.00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Other</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2922.41.00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Lysine and its esters; salts thereof</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2922.42.00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Glutamic acid and its salts</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2922.43.00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Anthranilic acid and its salts</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2922.44.00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Tilidine (INN) and its salts</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2922.49.00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Other</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2922.50.00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Amino-alcohol-phenols, amino-acid-phenols and other amino- compounds with oxygen function</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2923.10.00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Choline and its salts</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2923.20.00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Lecithins and other phosphoaminolipids</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2923.30.00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Tetraethylammonium perfluorooctane sulphonate</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2923.40.00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Didecyldimethylammonium perfluorooctane sulphonate</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2923.90.00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Other</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2924.11.00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Meprobamate (INN)</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2924.12.00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Fluoroacetamide (ISO), monocrotophos (ISO) and phosphamidon (ISO)</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2924.19.00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Other</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2924.21.00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Ureines and</w:t>
            </w:r>
          </w:p>
        </w:tc>
      </w:tr>
    </w:tbl>
    <w:p>
      <w:pPr>
        <w:pStyle w:val="Normal"/>
        <w:widowControl/>
        <w:spacing w:before="160" w:after="160"/>
        <w:rPr/>
      </w:pPr>
      <w:r>
        <w:rPr/>
        <w:t>their derivatives; salts thereof</w:t>
      </w:r>
    </w:p>
    <w:tbl>
      <w:tblPr>
        <w:tblStyle w:val="TableGrid"/>
        <w:tblW w:w="9360" w:type="dxa"/>
        <w:jc w:val="center"/>
        <w:tblInd w:w="-28" w:type="dxa"/>
        <w:tblLayout w:type="autofit"/>
        <w:tblCellMar>
          <w:top w:w="60" w:type="dxa"/>
          <w:left w:w="80" w:type="dxa"/>
          <w:bottom w:w="60" w:type="dxa"/>
          <w:right w:w="80" w:type="dxa"/>
        </w:tblCellMar>
        <w:tblLook w:val="04a0" w:noHBand="0" w:noVBand="1" w:firstColumn="1" w:lastRow="0" w:lastColumn="0" w:firstRow="1"/>
      </w:tblPr>
      <w:tblGrid>
        <w:gridCol w:w="4680"/>
        <w:gridCol w:w="4679"/>
      </w:tblGrid>
      <w:tr>
        <w:trPr>
          <w:tblHeader w:val="true"/>
          <w:cantSplit w:val="true"/>
          <w:tblHeader w:val="true"/>
        </w:trPr>
        <w:tc>
          <w:tcPr>
            <w:tcW w:w="4680" w:type="dxa"/>
            <w:tcBorders/>
            <w:vAlign w:val="center"/>
            <w:shd w:fill="233746"/>
          </w:tcPr>
          <w:p>
            <w:pPr>
              <w:pStyle w:val="Normal"/>
              <w:widowControl/>
              <w:suppressAutoHyphens w:val="true"/>
              <w:spacing w:lineRule="auto" w:line="240" w:before="0" w:after="0"/>
              <w:jc w:val="left"/>
              <w:rPr>
                <w:rFonts w:cs=""/>
                <w:kern w:val="0"/>
                <w:szCs w:val="22"/>
                <w:lang w:val="en-US" w:eastAsia="en-US" w:bidi="ar-SA"/>
              </w:rPr>
            </w:pPr>
            <w:r>
              <w:rPr>
                <w:rFonts w:cs="" w:ascii="Arial" w:hAnsi="Arial"/>
                <w:b/>
                <w:color w:val="FFFFFF"/>
                <w:kern w:val="0"/>
                <w:sz w:val="17"/>
                <w:szCs w:val="22"/>
                <w:lang w:val="en-US" w:eastAsia="en-US" w:bidi="ar-SA"/>
              </w:rPr>
              <w:t>Tariff Item</w:t>
            </w:r>
          </w:p>
        </w:tc>
        <w:tc>
          <w:tcPr>
            <w:tcW w:w="4679" w:type="dxa"/>
            <w:tcBorders/>
            <w:vAlign w:val="center"/>
            <w:shd w:fill="233746"/>
          </w:tcPr>
          <w:p>
            <w:pPr>
              <w:pStyle w:val="Normal"/>
              <w:widowControl/>
              <w:suppressAutoHyphens w:val="true"/>
              <w:spacing w:lineRule="auto" w:line="240" w:before="0" w:after="0"/>
              <w:jc w:val="left"/>
              <w:rPr>
                <w:rFonts w:cs=""/>
                <w:kern w:val="0"/>
                <w:szCs w:val="22"/>
                <w:lang w:val="en-US" w:eastAsia="en-US" w:bidi="ar-SA"/>
              </w:rPr>
            </w:pPr>
            <w:r>
              <w:rPr>
                <w:rFonts w:cs="" w:ascii="Arial" w:hAnsi="Arial"/>
                <w:b/>
                <w:color w:val="FFFFFF"/>
                <w:kern w:val="0"/>
                <w:sz w:val="17"/>
                <w:szCs w:val="22"/>
                <w:lang w:val="en-US" w:eastAsia="en-US" w:bidi="ar-SA"/>
              </w:rPr>
              <w:t>Description</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2924.23.00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2-Acetamidobenzoic acid (N-acetylanthranilic acid) and its salts</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2924.24.00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Ethinamate (INN)</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2924.25.00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Alachlor (ISO)</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2924.29.00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Other</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2925.11.00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Saccharin and its salts</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2925.12.00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Glutethimide (INN)</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2925.19.00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Other</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2925.21.00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Chlordimeform (ISO)</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2925.29.00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Other</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2926.10.00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Acrylonitrile</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2926.20.00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1-Cyanoguanidine (dicyandiamide)</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2926.30.00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Fenproporex (INN) and its salts; methadone (INN) intermediate (4-cyano-2-dimethylamino-4,4-diphenylbutane)</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2926.40.00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alpha-Phenylacetoacetonitrile</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2926.90.00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Other</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2927.00.00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Diazo-, azo- or azoxy-compounds.</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2928.00.00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Organic derivatives of hydrazine or of hydroxylamine.</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2929.10.00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Isocyanates</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2929.90.00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Other</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2930.20.00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Thiocarbamates and dithiocarbamates</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2930.30.00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Thiuram mono-, di- or tetrasulphides</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2930.40.00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Methionine</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2930.60.00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2-(N,N-Diethylamino)ethanethiol</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2930.70.00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Bis(2-hydroxyethyl)sulfide (thiodiglycol (INN))</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2930.80.00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Aldicarb (ISO), captafol (ISO) and methamidophos (ISO)</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2930.90.00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Other</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2931.10.00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Tetramethyl lead and tetraethyl lead</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2931.20.00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Tibutyltin compounds</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2931.31.00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Dimethyl methylphosphonate</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2931.32.00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Dimethyl propylphosphonate</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2931.33.00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Diethyl ethylphosphonate</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2931.34.00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Sodium 3-(trihydroxysilyl)propyl methylphosphonate</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2931.35.00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2,4,6-Tripropyl-1,3,5,2,4,6-trioxatriphosphinane 2,4,6-trioxide</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2931.36.00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(5-Ethyl-2-methyl-2-oxido-1,3,2-dioxaphosphinan-5-yl)methyl methyl methylphosphonate</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2931.37.00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Bis[(5-ethyl-2-methyl-2-oxido-1,3,2-dioxaphosphinan-5</w:t>
            </w:r>
          </w:p>
        </w:tc>
      </w:tr>
    </w:tbl>
    <w:p>
      <w:pPr>
        <w:pStyle w:val="Normal"/>
        <w:widowControl/>
        <w:spacing w:before="160" w:after="160"/>
        <w:rPr/>
      </w:pPr>
      <w:r>
        <w:rPr/>
        <w:t>yl)methyl] methylphosphonate</w:t>
      </w:r>
    </w:p>
    <w:tbl>
      <w:tblPr>
        <w:tblStyle w:val="TableGrid"/>
        <w:tblW w:w="9360" w:type="dxa"/>
        <w:jc w:val="center"/>
        <w:tblInd w:w="-28" w:type="dxa"/>
        <w:tblLayout w:type="autofit"/>
        <w:tblCellMar>
          <w:top w:w="60" w:type="dxa"/>
          <w:left w:w="80" w:type="dxa"/>
          <w:bottom w:w="60" w:type="dxa"/>
          <w:right w:w="80" w:type="dxa"/>
        </w:tblCellMar>
        <w:tblLook w:val="04a0" w:noHBand="0" w:noVBand="1" w:firstColumn="1" w:lastRow="0" w:lastColumn="0" w:firstRow="1"/>
      </w:tblPr>
      <w:tblGrid>
        <w:gridCol w:w="4680"/>
        <w:gridCol w:w="4679"/>
      </w:tblGrid>
      <w:tr>
        <w:trPr>
          <w:tblHeader w:val="true"/>
          <w:cantSplit w:val="true"/>
          <w:tblHeader w:val="true"/>
        </w:trPr>
        <w:tc>
          <w:tcPr>
            <w:tcW w:w="4680" w:type="dxa"/>
            <w:tcBorders/>
            <w:vAlign w:val="center"/>
            <w:shd w:fill="233746"/>
          </w:tcPr>
          <w:p>
            <w:pPr>
              <w:pStyle w:val="Normal"/>
              <w:widowControl/>
              <w:suppressAutoHyphens w:val="true"/>
              <w:spacing w:lineRule="auto" w:line="240" w:before="0" w:after="0"/>
              <w:jc w:val="left"/>
              <w:rPr>
                <w:rFonts w:cs=""/>
                <w:kern w:val="0"/>
                <w:szCs w:val="22"/>
                <w:lang w:val="en-US" w:eastAsia="en-US" w:bidi="ar-SA"/>
              </w:rPr>
            </w:pPr>
            <w:r>
              <w:rPr>
                <w:rFonts w:cs="" w:ascii="Arial" w:hAnsi="Arial"/>
                <w:b/>
                <w:color w:val="FFFFFF"/>
                <w:kern w:val="0"/>
                <w:sz w:val="17"/>
                <w:szCs w:val="22"/>
                <w:lang w:val="en-US" w:eastAsia="en-US" w:bidi="ar-SA"/>
              </w:rPr>
              <w:t>Tariff Item</w:t>
            </w:r>
          </w:p>
        </w:tc>
        <w:tc>
          <w:tcPr>
            <w:tcW w:w="4679" w:type="dxa"/>
            <w:tcBorders/>
            <w:vAlign w:val="center"/>
            <w:shd w:fill="233746"/>
          </w:tcPr>
          <w:p>
            <w:pPr>
              <w:pStyle w:val="Normal"/>
              <w:widowControl/>
              <w:suppressAutoHyphens w:val="true"/>
              <w:spacing w:lineRule="auto" w:line="240" w:before="0" w:after="0"/>
              <w:jc w:val="left"/>
              <w:rPr>
                <w:rFonts w:cs=""/>
                <w:kern w:val="0"/>
                <w:szCs w:val="22"/>
                <w:lang w:val="en-US" w:eastAsia="en-US" w:bidi="ar-SA"/>
              </w:rPr>
            </w:pPr>
            <w:r>
              <w:rPr>
                <w:rFonts w:cs="" w:ascii="Arial" w:hAnsi="Arial"/>
                <w:b/>
                <w:color w:val="FFFFFF"/>
                <w:kern w:val="0"/>
                <w:sz w:val="17"/>
                <w:szCs w:val="22"/>
                <w:lang w:val="en-US" w:eastAsia="en-US" w:bidi="ar-SA"/>
              </w:rPr>
              <w:t>Description</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2931.38.00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Salt of methylphosphonic acid and (aminoiminomethyl)urea (1:1)</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2931.39.00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Other</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2931.90.00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Other</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2932.11.00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Tetrahydrofuran</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2932.12.00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2-Furaldehyde (furfuraldehyde)</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2932.13.00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Furfuryl alcohol and tetrahydrofurfuryl alcohol</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2932.14.00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Sucralose</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2932.19.00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Other</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2932.20.00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Lactones</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2932.91.00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Isosafrole</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2932.92.00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1-(1,3-Benzodioxol-5-yl)propan-2-one</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2932.93.00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Piperonal</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2932.94.00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Safrole</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2932.95.00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Tetrahydrocannabinols (all isomers)</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2932.99.00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Other</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2933.11.00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Phenazone (antipyrin) and its derivatives</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2933.19.00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Other</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2933.21.00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Hydantoin and its derivatives</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2933.29.00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Other</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2933.31.00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Pyridine and its salts</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2933.32.00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Piperidine and its salts</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2933.33.00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Alfentanil (INN), anileridine (INN), bezitramide (INN), bromazepam (INN), difenoxin (INN), diphenoxylate (INN), dipipanone (INN), fentanyl (INN), ketobemidone (INN), methylphenidate (INN), pentazocine (INN), pethidine (INN), pethidine (INN) intermediate A, phencyclidine (INN) (PCP), phenoperidine (INN), pipradrol (INN), piritramide (INN), propiram (INN) and trimeperidine (INN); salts thereof</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2933.39.00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Other</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2933.41.00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Levorphanol (INN) and its salts</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2933.49.00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Other</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2933.52.00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Malonylurea (barbituric acid) and its salts</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2933.53.00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Allobarbital (INN), amobarbital (INN), barbital (INN), butalbital (INN), butobarbital, cyclobarbital (INN), methylphenobarbital (INN), pentobarbital (INN), phenobarbital (INN), secbutabarbital (INN), secobarbital (INN) and vinylbital (INN); salts thereof</w:t>
            </w:r>
          </w:p>
        </w:tc>
      </w:tr>
    </w:tbl>
    <w:p>
      <w:pPr>
        <w:pStyle w:val="Normal"/>
        <w:widowControl/>
        <w:spacing w:before="160" w:after="120"/>
        <w:rPr/>
      </w:pPr>
      <w:r>
        <w:rPr/>
        <w:t>2933.54.00 Other derivatives of malonylurea (barbituric acid); salts thereof 2933.55.00 Loprazolam (INN), mecloqualone (INN), methaqualone (INN) and zipeprol (INN); salts thereof 2933.59.00 Other 2933.61.00 Melamine 2933.69.00 Other 2933.71.00 6-Hexanelactam (epsilon-caprolactam) 2933.72.00 Clobazam (INN) and methyprylon (INN) 2933.79.00 Other lactams 2933.91.00 Alprazolam (INN), camazepam (INN), chlordiazepoxide (INN), clonazepam (INN), clorazepate, delorazepam (INN), diazepam (INN), estazolam (INN), ethyl loflazepate (INN), fludiazepam (INN), flunitrazepam (INN), flurazepam (INN), halazepam (INN), lorazepam (INN), lormetazepam (INN), mazindol (INN), medazepam (INN), midazolam (INN), nimetazepam (INN), nitrazepam (INN), nordazepam (INN), oxazepam (INN), pinazepam (INN), prazepam (INN), pyrovalerone (INN), temazepam (INN), tetrazepam (INN) and triazolam (INN); salts thereof 2933.92.00 Azinphos-methyl (ISO) 2933.99.00 Other 2934.10.00 Compounds containing an unfused thiazole ring (whether or not hydrogenated) in the structure 2934.20.00 Compounds containing in the structure a benzothiazole ring- system (whether or not hydrogenated), not further fused 2934.30.00 Compounds containing in the structure a phenothiazine ring- system (whether or not hydrogenated), not further fused 2934.91.00 Aminorex (INN), brotizolam (INN), clotiazepam (INN), cloxazolam (INN), dextromoramide (INN), haloxazolam (INN), ketazolam (INN), mesocarb (INN), oxazolam (INN), pemoline (INN), phendimetrazine</w:t>
      </w:r>
    </w:p>
    <w:p>
      <w:pPr>
        <w:pStyle w:val="Normal"/>
        <w:widowControl/>
        <w:spacing w:before="0" w:after="160"/>
        <w:rPr/>
      </w:pPr>
      <w:r>
        <w:rPr/>
        <w:t>(INN), phenmetrazine (INN) and sufentanil (INN); salts thereof</w:t>
      </w:r>
    </w:p>
    <w:tbl>
      <w:tblPr>
        <w:tblStyle w:val="TableGrid"/>
        <w:tblW w:w="9360" w:type="dxa"/>
        <w:jc w:val="center"/>
        <w:tblInd w:w="-28" w:type="dxa"/>
        <w:tblLayout w:type="autofit"/>
        <w:tblCellMar>
          <w:top w:w="60" w:type="dxa"/>
          <w:left w:w="80" w:type="dxa"/>
          <w:bottom w:w="60" w:type="dxa"/>
          <w:right w:w="80" w:type="dxa"/>
        </w:tblCellMar>
        <w:tblLook w:val="04a0" w:noHBand="0" w:noVBand="1" w:firstColumn="1" w:lastRow="0" w:lastColumn="0" w:firstRow="1"/>
      </w:tblPr>
      <w:tblGrid>
        <w:gridCol w:w="4680"/>
        <w:gridCol w:w="4679"/>
      </w:tblGrid>
      <w:tr>
        <w:trPr>
          <w:tblHeader w:val="true"/>
          <w:cantSplit w:val="true"/>
          <w:tblHeader w:val="true"/>
        </w:trPr>
        <w:tc>
          <w:tcPr>
            <w:tcW w:w="4680" w:type="dxa"/>
            <w:tcBorders/>
            <w:vAlign w:val="center"/>
            <w:shd w:fill="233746"/>
          </w:tcPr>
          <w:p>
            <w:pPr>
              <w:pStyle w:val="Normal"/>
              <w:widowControl/>
              <w:suppressAutoHyphens w:val="true"/>
              <w:spacing w:lineRule="auto" w:line="240" w:before="0" w:after="0"/>
              <w:jc w:val="left"/>
              <w:rPr>
                <w:rFonts w:cs=""/>
                <w:kern w:val="0"/>
                <w:szCs w:val="22"/>
                <w:lang w:val="en-US" w:eastAsia="en-US" w:bidi="ar-SA"/>
              </w:rPr>
            </w:pPr>
            <w:r>
              <w:rPr>
                <w:rFonts w:cs="" w:ascii="Arial" w:hAnsi="Arial"/>
                <w:b/>
                <w:color w:val="FFFFFF"/>
                <w:kern w:val="0"/>
                <w:sz w:val="17"/>
                <w:szCs w:val="22"/>
                <w:lang w:val="en-US" w:eastAsia="en-US" w:bidi="ar-SA"/>
              </w:rPr>
              <w:t>Tariff Item</w:t>
            </w:r>
          </w:p>
        </w:tc>
        <w:tc>
          <w:tcPr>
            <w:tcW w:w="4679" w:type="dxa"/>
            <w:tcBorders/>
            <w:vAlign w:val="center"/>
            <w:shd w:fill="233746"/>
          </w:tcPr>
          <w:p>
            <w:pPr>
              <w:pStyle w:val="Normal"/>
              <w:widowControl/>
              <w:suppressAutoHyphens w:val="true"/>
              <w:spacing w:lineRule="auto" w:line="240" w:before="0" w:after="0"/>
              <w:jc w:val="left"/>
              <w:rPr>
                <w:rFonts w:cs=""/>
                <w:kern w:val="0"/>
                <w:szCs w:val="22"/>
                <w:lang w:val="en-US" w:eastAsia="en-US" w:bidi="ar-SA"/>
              </w:rPr>
            </w:pPr>
            <w:r>
              <w:rPr>
                <w:rFonts w:cs="" w:ascii="Arial" w:hAnsi="Arial"/>
                <w:b/>
                <w:color w:val="FFFFFF"/>
                <w:kern w:val="0"/>
                <w:sz w:val="17"/>
                <w:szCs w:val="22"/>
                <w:lang w:val="en-US" w:eastAsia="en-US" w:bidi="ar-SA"/>
              </w:rPr>
              <w:t>Description</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2934.99.00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Other</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2935.10.00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N-Methylperfluorooctane sulphonamide</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2935.20.00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N-Ethylperfluorooctane sulphonamide</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2935.30.00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N-Ethyl-N-(2-hydroxyethyl) perfluorooctane sulphonamide</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2935.40.00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N-(2-Hydroxyethyl)-N-methylperfluorooctane sulphonamide</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2935.50.00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Other perfluorooctane sulphonamides</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2935.90.00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Other</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2936.21.00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Vitamins A and their derivatives</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2936.22.00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Vitamin B1 and its derivatives</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2936.23.00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Vitamin B2 and its derivatives</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2936.24.00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D- or DL-Pantothenic acid (Vitamin B3 or Vitamin B5) and its derivatives</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2936.25.00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Vitamin B6 and its derivatives</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2936.26.00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Vitamin B12 and its derivatives</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2936.27.00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Vitamin C and its derivatives</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2936.28.00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Vitamin E and its derivatives</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2936.29.00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Other vitamins and their derivatives</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2936.90.00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Other, including natural concentrates</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2937.11.00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Somatotropin, its derivatives and structural analogues</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2937.12.00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Insulin and its salts</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2937.19.00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Other</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2937.21.00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Cortisone, hydrocortisone, prednisone (dehydrocortisone) and prednisolone (dehydrohydrocortisone)</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2937.22.00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Halogenated derivatives of corticosteroidal hormones</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2937.23.00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Oestrogens and progestogens</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2937.29.00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Other</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2937.50.00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Prostaglandins, thromboxanes and leukotrienes, their derivatives and structural analogues</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2937.90.00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Other</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2938.10.00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Rutoside (rutin) and its derivatives</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2938.90.00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Other</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2939.11.00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Concentrates of poppy straw; buprenorphine (INN), codeine, dihydrocodeine (INN), ethylmorphine, etorphine</w:t>
            </w:r>
          </w:p>
        </w:tc>
      </w:tr>
    </w:tbl>
    <w:p>
      <w:pPr>
        <w:pStyle w:val="Normal"/>
        <w:widowControl/>
        <w:spacing w:before="160" w:after="120"/>
        <w:rPr/>
      </w:pPr>
      <w:r>
        <w:rPr/>
        <w:t>(INN), heroin, hydrocodone (INN), hydromorphone (INN), morphine, nicomorphine (INN), oxycodone (INN), oxymorphone (INN), pholcodine (INN), thebacon (INN) and thebaine; salts thereof 2939.19.00 Other 2939.20.00 Alkaloids of cinchona and their derivatives; salts thereof 2939.30.00 Caffeine and its salts 2939.41.00 Ephedrine and its salts 2939.42.00 Pseudoephedrine (INN) and its salts 2939.43.00 Cathine (INN) and its salts 2939.44.00 Norephendrine and its salts 2939.49.00 Other 2939.51.00 Fenetylline (INN) and its salts 2939.59.00 Other 2939.61.00 Ergometrine (INN) and its salts 2939.62.00 Ergotamine (INN) and its salts 2939.63.00 Lysergic acid and its salts 2939.69.00 Other 2939.71.00 Cocaine, ecgonine, levometamfetamine, metamfetamine (INN), metamfetamine racemate; salts, esters and other derivatives thereof 2939.79.00 Other 2939.80.00 Other 2940.00.00 Sugars, chemically pure, other than sucrose, lactose, maltose, glucose and fructose; sugar ethers, sugar acetals and sugar esters, and their salts, other than products of heading 29.37, 29.38 or 29.39. 2941.10.00 Penicillins and their derivatives with a penicillanic acid structure; salts thereof 2941.20.00 Streptomycins and their derivatives; salts thereof 2941.30.00 Tetracyclines and their derivatives; salts thereof 2941.40.00 Chloramphenicol and its derivatives; salts thereof 2941.50.00 Erythromycin and its derivatives; salts thereof 2941.90.00 Other 2942.00.00 Other organic compounds.</w:t>
      </w:r>
    </w:p>
    <w:p>
      <w:pPr>
        <w:pStyle w:val="Normal"/>
        <w:widowControl/>
        <w:rPr/>
      </w:pPr>
      <w:r>
        <w:rPr/>
        <w:t>3001.20.00 Extracts of glands or other organs or of their secretions 3001.90.00 Other 3002.11.00 Malaria diagnostic test kits 3002.12.00 Antisera and other blood fractions 3002.13.00 Immunological products, unmixed, not put up in measured doses or in forms or packings for retail sale 3002.14.00 Immunological products, mixed, not put up in measured doses or in forms or packings for retail sale 3002.15.00 Immunological products, put up in measured doses or in forms or packings for retail sale 3002.19.00 Other 3002.20.00 Vaccines for human medicine 3002.30.00 Vaccines for veterinary medicine 3002.90.00 Other 3003.10.00 Containing penicillins or derivatives thereof, with a penicillanic acid structure, or streptomycins or their derivatives 3003.20.00 Other, containing antibiotics 3003.31.00 Containing insulin 3003.39.00 Other 3003.41.00 Containing ephedrine or its salts 3003.42.00 Containing pseudoephedrine (INN) or its salts 3003.43.00 Containing norephedrine or its salts 3003.49.00 Other 3003.60.00 Other, containing antimalarial active principles described in Subheading Note 2 to this Chapter 3003.90.00 Other 3004.10.00 Containing penicillins or derivatives thereof, with a penicillanic acid structure, or streptomycins or their derivatives 3004.20.00 Other, containing antibiotics 3004.31.00 Containing insulin 3004.32.00 Containing corticosteroid hormones, their derivatives or structural analogues 3004.39.00 Other 3004.41.00 Containing ephedrine or its salts 3004.42.00</w:t>
      </w:r>
    </w:p>
    <w:p>
      <w:pPr>
        <w:pStyle w:val="Normal"/>
        <w:widowControl/>
        <w:rPr/>
      </w:pPr>
      <w:r>
        <w:rPr/>
        <w:t>Containing pseudoephedrine (INN) or its salts 3004.43.00 Containing norephedrine or its salts 3004.49.00 Other 3004.50.00 Other, containing vitamins or other products of heading 29.36 3004.60.00 Other, containing antimalarial active principles described in Subheading Note 2 to this Chapter 3004.90.00 Other 3005.10.00 Adhesive dressings and other articles having an adhesive layer 3005.90.00 Other 3006.10.00 Sterile surgical catgut, similar sterile suture materials (including sterile absorbable surgical or dental yarns) and sterile tissue adhesives for surgical wound closure; sterile laminaria and sterile laminaria tents; sterile absorbable surgical or dental haemostatics; sterile surgical or dental adhesion barriers, whether or not absorbable 3006.20.00 Blood-grouping reagents 3006.30.00 Opacifying preparations for X-ray examinations; diagnostic reagents designed to be administered to the patient 3006.40.00 Dental cements and other dental fillings; bone reconstruction cements 3006.50.00 First-aid boxes and kits 3006.60.00 Chemical contraceptive preparations based on hormones, on other products of heading 29.37 or on spermicides 3006.70.10 Chemical or biological preparations, including kits containing ancillary articles or materials, for medical diagnosis; To be employed in the insemination of animal semen 3006.70.90 Other 3006.91.00 Appliances identifiable for ostomy use 3006.92.00 Waste pharmaceuticals 3101.00.00 Animal or vegetable fertilizers, whether or not mixed together</w:t>
      </w:r>
    </w:p>
    <w:p>
      <w:pPr>
        <w:pStyle w:val="Normal"/>
        <w:widowControl/>
        <w:rPr/>
      </w:pPr>
      <w:r>
        <w:rPr/>
        <w:t>or chemically treated; fertilizers produced by the mixing or chemical treatment of animal or vegetable products. 3102.10.00 Urea, whether or not in aqueous solution 3102.21.00 Ammonium sulphate 3102.29.00 Other 3102.30.00 Ammonium nitrate, whether or not in aqueous solution 3102.40.00 Mixtures of ammonium nitrate with calcium carbonate or other inorganic non-fertilizing substances 3102.50.00 Sodium nitrate 3102.60.00 Double salts and mixtures of calcium nitrate and ammonium nitrate 3102.80.00 Mixtures of urea and ammonium nitrate in aqueous or ammoniacal solution 3102.90.00 Other, including mixtures not specified in the foregoing subheadings 3103.11.00 Containing by weight 35% or more of diphosphorus pentaoxide (P2O5) 3103.19.00 Other 3103.90.00 Other 3104.20.00 Potassium chloride 3104.30.00 Potassium sulphate 3104.90.00 Other 3105.10.00 Goods of this Chapter in tablets or similar forms or in packages of a gross weight not exceeding 10 kg 3105.20.00 Mineral or chemical fertilizers containing the three fertilizing elements nitrogen, phosphorus and potassium 3105.30.00 Diammonium hydrogenorthophosphate (diammonium phosphate) 3105.40.00 Ammonium dihydrogenorthophosphate (monoammonium phosphate) and mixtures thereof with diammonium hydrogenorthophosphate (diammonium phosphate) 3105.51.00 Containing nitrates and phosphates 3105.59.00 Other 3105.60.00 Mineral or chemical fertilizers containing the two fertilizing elements phosphorus and potassium 3105.90.00 Other 3201.10.00</w:t>
      </w:r>
    </w:p>
    <w:p>
      <w:pPr>
        <w:pStyle w:val="Normal"/>
        <w:widowControl/>
        <w:rPr/>
      </w:pPr>
      <w:r>
        <w:rPr/>
        <w:t>Quebracho extract 3201.20.00 Wattle extract 3201.90.00 Other 3202.10.00 Synthetic organic tanning substances 3202.90.00 Other 3203.00.00 Colouring matter of vegetable or animal origin (including dyeing extracts but excluding animal black), whether or not chemically defined; preparations as specified in Note 3 to this Chapter based on colouring matter of vegetable or animal origin. 3204.11.00 Disperse dyes and preparations based thereon 3204.12.00 Acid dyes, whether or not premetallized, and preparations based thereon; mordant dyes and preparations based thereon 3204.13.00 Basic dyes and preparations based thereon 3204.14.00 Direct dyes and preparations based thereon 3204.15.00 Vat dyes (including those usable in that state as pigments) and preparations based thereon 3204.16.00 Reactive dyes and preparations based thereon 3204.17.00 Pigments and preparations based thereon 3204.19.00 Other, including mixtures of colouring matter of two or more of the subheadings 3204.11 to 3204.19 3204.20.00 Synthetic organic products of a kind used as fluorescent brightening agents 3204.90.00 Other 3205.00.00 Colour lakes; preparations as specified in Note 3 to this Chapter based on colour lakes.</w:t>
      </w:r>
    </w:p>
    <w:p>
      <w:pPr>
        <w:pStyle w:val="Normal"/>
        <w:widowControl/>
        <w:spacing w:before="0" w:after="160"/>
        <w:rPr/>
      </w:pPr>
      <w:r>
        <w:rPr/>
        <w:t>3206.11.10 For use in Canadian manufactures 3206.11.90 Other 3206.19.00 Other 3206.20.00 Pigments and preparations based on chromium compounds 3206.41.00 Ultramarine and preparations based thereon 3206.42.00 Lithopone and other pigments and preparations based on zinc sulphide 3206.49.00 Other 3206.50.00 Inorganic products of a kind used as luminophores 3207.10.00 Prepared pigments, prepared opacifiers, prepared colours and similar preparations 3207.20.00 Vitrifiable enamels and glazes, engobes (slips) and similar preparations 3207.30.00 Liquid lustres and similar preparations 3207.40.00 Glass frit and other glass, in the form of powder, granules or flakes 3208.10.00 Based on polyesters 3208.20.00 Based on acrylic or vinyl polymers 3208.90.10 Corrosion resistant coatings specifically formulated for use in the manufacture of mirrors; To be employed in the manufacture of semiconductor devices 3208.90.90 Other 3209.10.00 Based on acrylic or vinyl polymers 3209.90.00 Other 3210.00.00 Other paints and varnishes (including enamels, lacquers and distempers); prepared water pigments of a kind used for finishing leather. 3211.00.00 Prepared driers.</w:t>
      </w:r>
    </w:p>
    <w:tbl>
      <w:tblPr>
        <w:tblStyle w:val="TableGrid"/>
        <w:tblW w:w="9360" w:type="dxa"/>
        <w:jc w:val="center"/>
        <w:tblInd w:w="-28" w:type="dxa"/>
        <w:tblLayout w:type="autofit"/>
        <w:tblCellMar>
          <w:top w:w="60" w:type="dxa"/>
          <w:left w:w="80" w:type="dxa"/>
          <w:bottom w:w="60" w:type="dxa"/>
          <w:right w:w="80" w:type="dxa"/>
        </w:tblCellMar>
        <w:tblLook w:val="04a0" w:noHBand="0" w:noVBand="1" w:firstColumn="1" w:lastRow="0" w:lastColumn="0" w:firstRow="1"/>
      </w:tblPr>
      <w:tblGrid>
        <w:gridCol w:w="4680"/>
        <w:gridCol w:w="4679"/>
      </w:tblGrid>
      <w:tr>
        <w:trPr>
          <w:tblHeader w:val="true"/>
          <w:cantSplit w:val="true"/>
          <w:tblHeader w:val="true"/>
        </w:trPr>
        <w:tc>
          <w:tcPr>
            <w:tcW w:w="4680" w:type="dxa"/>
            <w:tcBorders/>
            <w:vAlign w:val="center"/>
            <w:shd w:fill="233746"/>
          </w:tcPr>
          <w:p>
            <w:pPr>
              <w:pStyle w:val="Normal"/>
              <w:widowControl/>
              <w:suppressAutoHyphens w:val="true"/>
              <w:spacing w:lineRule="auto" w:line="240" w:before="0" w:after="0"/>
              <w:jc w:val="left"/>
              <w:rPr>
                <w:rFonts w:cs=""/>
                <w:kern w:val="0"/>
                <w:szCs w:val="22"/>
                <w:lang w:val="en-US" w:eastAsia="en-US" w:bidi="ar-SA"/>
              </w:rPr>
            </w:pPr>
            <w:r>
              <w:rPr>
                <w:rFonts w:cs="" w:ascii="Arial" w:hAnsi="Arial"/>
                <w:b/>
                <w:color w:val="FFFFFF"/>
                <w:kern w:val="0"/>
                <w:sz w:val="17"/>
                <w:szCs w:val="22"/>
                <w:lang w:val="en-US" w:eastAsia="en-US" w:bidi="ar-SA"/>
              </w:rPr>
              <w:t>Tariff Item</w:t>
            </w:r>
          </w:p>
        </w:tc>
        <w:tc>
          <w:tcPr>
            <w:tcW w:w="4679" w:type="dxa"/>
            <w:tcBorders/>
            <w:vAlign w:val="center"/>
            <w:shd w:fill="233746"/>
          </w:tcPr>
          <w:p>
            <w:pPr>
              <w:pStyle w:val="Normal"/>
              <w:widowControl/>
              <w:suppressAutoHyphens w:val="true"/>
              <w:spacing w:lineRule="auto" w:line="240" w:before="0" w:after="0"/>
              <w:jc w:val="left"/>
              <w:rPr>
                <w:rFonts w:cs=""/>
                <w:kern w:val="0"/>
                <w:szCs w:val="22"/>
                <w:lang w:val="en-US" w:eastAsia="en-US" w:bidi="ar-SA"/>
              </w:rPr>
            </w:pPr>
            <w:r>
              <w:rPr>
                <w:rFonts w:cs="" w:ascii="Arial" w:hAnsi="Arial"/>
                <w:b/>
                <w:color w:val="FFFFFF"/>
                <w:kern w:val="0"/>
                <w:sz w:val="17"/>
                <w:szCs w:val="22"/>
                <w:lang w:val="en-US" w:eastAsia="en-US" w:bidi="ar-SA"/>
              </w:rPr>
              <w:t>Description</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3212.10.00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Stamping foils</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3212.90.00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Other</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3213.10.00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Colours in sets</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3213.90.10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Water colours, in liquid or powder form, in jars, bottles or tins</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3213.90.90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Other</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3214.10.10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Containing phenol-formaldehyde resin, for use in the manufacture of filament lamps; Polyester or epoxide-based mastic, electrically insulating or conductive, for use in the manufacture or refurbishing of electrical generators</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3214.10.90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Other</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3214.90.00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Other</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3215.11.00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Black</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3215.19.00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Other</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3215.90.00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Other</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3301.12.00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Of orange</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3301.13.00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Of lemon</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3301.19.00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Other</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3301.24.00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Of peppermint (Mentha piperita)</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3301.25.00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Of other mints</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3301.29.00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Other</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3301.30.10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Oleoresin paprika</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3301.30.90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Other</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3301.90.00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Other</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3302.10.11</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Compound alcoholic preparations of a kind used for the manufacture of beverages: With an alcoholic strength by volume exceeding 0.5% vol</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3302.10.12</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Compound alcoholic preparations of a kind used for the manufacture of beverages: With an alcoholic strength by volume not exceeding 0.5% vol</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3302.10.90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Other</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3302.90.00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Other</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3303.00.00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Perfumes and toilet waters.</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b/>
                <w:kern w:val="0"/>
                <w:sz w:val="17"/>
                <w:szCs w:val="22"/>
                <w:lang w:val="en-US" w:eastAsia="en-US" w:bidi="ar-SA"/>
              </w:rPr>
              <w:t>Tariff Item</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b/>
                <w:kern w:val="0"/>
                <w:sz w:val="17"/>
                <w:szCs w:val="22"/>
                <w:lang w:val="en-US" w:eastAsia="en-US" w:bidi="ar-SA"/>
              </w:rPr>
              <w:t>Description</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3304.10.00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Lip make-up preparations</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3304.20.00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Eye make-up preparations</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3304.30.00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Manicure or pedicure preparations</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3304.91.00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Powders, whether or not compressed</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3304.99.10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Preparations for the application and maintenance of ostomy appliances or of briefs, underpants, panties, napkins (diapers), napkin (diaper) liners and similar sanitary articles for incontinence, designed to be worn by persons, excluding those of a kind for babies</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3304.99.90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Other</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3305.10.00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Shampoos</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3305.20.00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Preparations for permanent waving or straightening</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3305.30.00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Hair lacquers</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3305.90.00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Other</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3306.10.00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Dentifrices</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3306.20.00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Yarn used to clean between the teeth (dental floss)</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3306.90.00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Other</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3307.10.00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Pre-shave, shaving or after-shave preparations</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3307.20.00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Personal deodorants and antiperspirants</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3307.30.00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Perfumed bath salts and other bath preparations</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3307.41.00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w:t>
            </w:r>
            <w:r>
              <w:rPr>
                <w:rFonts w:cs="" w:ascii="Arial" w:hAnsi="Arial"/>
                <w:kern w:val="0"/>
                <w:sz w:val="17"/>
                <w:szCs w:val="22"/>
                <w:lang w:val="en-US" w:eastAsia="en-US" w:bidi="ar-SA"/>
              </w:rPr>
              <w:t>Agarbatti” and other odoriferous preparations which operate by burning</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3307.49.00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Other</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3307.90.00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Other</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3401.11.10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Castile soap</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3401.11.90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Other</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3401.19.00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Other</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3401.20.10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Laundry soap for washing clothes and other linens</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3401.20.20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Soap pellets containing sodium soaps of fatty acids and glycerol, for use in the manufacture of bar soaps</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3401.20.30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Dry soap for use as a lubricant in wire drawing in the manufacture of pneumatic tires</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3401.20.90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Other</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3401.30.00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Organic surface-active products and preparations for washing the skin, in the form of liquid or cream and put up for retail sale, whether or not containing soap</w:t>
            </w:r>
          </w:p>
        </w:tc>
      </w:tr>
    </w:tbl>
    <w:p>
      <w:pPr>
        <w:pStyle w:val="Normal"/>
        <w:widowControl/>
        <w:spacing w:before="160" w:after="120"/>
        <w:rPr/>
      </w:pPr>
      <w:r>
        <w:rPr/>
        <w:t>3402.11.10 Sodium alkylbenzene sulphonates for use in the manufacture of slow dissolving inside toilet tank solids of heading 34.02 or 38.08 3402.11.90 Other 3402.12.00 Cationic 3402.13.10 Polyether polyols, with a hydroxyl number of 265 or more, for use in the manufacture of polyurethane moulding compositions 3402.13.90 Other 3402.19.00 Other 3402.20.10 Automatic dishwasher detergents 3402.20.90 Other 3402.90.10 Chemical antioxidants, hardeners, inhibitors, restrainers, sensitizers and stabilizers for use in the manufacture of photographic emulsions; To be employed in removing salts or water from crude petroleum oils; To be employed as drilling mud or additives therefor in drilling for minerals, natural gas, oil or water 3402.90.91 Other: For use in Canadian manufactures 3402.90.99 Other: Other 3403.11.10 Lubricating oil preparations based in part on petroleum 3403.11.90 Other 3403.19.11 Lubricating oil preparations based in part on petroleum: For use in Canadian manufactures; Other oil-based lubricating preparations for wet drawing of tire wire 3403.19.19 Lubricating oil preparations based in part on petroleum: Other 3403.19.91 Other: For use in Canadian manufactures 3403.19.99 Other:</w:t>
      </w:r>
    </w:p>
    <w:p>
      <w:pPr>
        <w:pStyle w:val="Normal"/>
        <w:widowControl/>
        <w:rPr/>
      </w:pPr>
      <w:r>
        <w:rPr/>
        <w:t>Other 3403.91.10 For use in stuffing or dressing leather or furskins 3403.91.90 Other 3403.99.10 For use in Canadian manufactures 3403.99.90 Other 3404.20.10 Artificial waxes, for use in the manufacture of acrylonitrile butadiene-styrene (ABS) copolymers of subheading 3903.30 3404.20.90</w:t>
      </w:r>
    </w:p>
    <w:p>
      <w:pPr>
        <w:pStyle w:val="Normal"/>
        <w:widowControl/>
        <w:rPr/>
      </w:pPr>
      <w:r>
        <w:rPr/>
        <w:t>Other 3404.90.10 Chemically modified polyethylene glycol wax for use in the manufacture of tackifier dispersions; Diamides, produced by the reaction of ethylenediamine with fatty acids of heading 38.23, for use in the manufacture of moulded articles of wood pulp composition; Of polyethylene having a number-average molecular weight not exceeding 4,000; Rheological additives composed of fatty esters and fatty amides, derived from hydrogenated castor oil;</w:t>
      </w:r>
    </w:p>
    <w:p>
      <w:pPr>
        <w:pStyle w:val="Normal"/>
        <w:widowControl/>
        <w:rPr/>
      </w:pPr>
      <w:r>
        <w:rPr/>
        <w:t>Wax composed of fatty acid alkyl ketene dimer for use in the manufacture of sizing agents or sizing preparations 3404.90.20 Of chemically modified lignite 3404.90.90 Other 3405.10.10 Liquid shoe shine preparations for use in the manufacture of shoe care products 3405.10.90 Other 3405.20.00 Polishes, creams and similar preparations for the maintenance of wooden furniture, floors or other woodwork 3405.30.00 Polishes and similar preparations for coachwork, other than metal polishes 3405.40.00 Scouring pastes and powders and other scouring preparations 3405.90.00 Other 3406.00.10 For birthdays, Christmas and other festive occasions 3406.00.90 Other 3407.00.10 Modelling pastes 3407.00.20 Dental impression compounds excluding those based on silicone polymers 3407.00.90 Other 3501.10.00 Casein * 3501.90.00 Other * 3502.11.10 Within access commitment * * 3502.11.20 Over access commitment * * 3502.19.10 Within access commitment * * 3502.19.20 Over access commitment * * 3502.20.00 Milk albumin, including concentrates of two or more</w:t>
      </w:r>
    </w:p>
    <w:p>
      <w:pPr>
        <w:pStyle w:val="Normal"/>
        <w:widowControl/>
        <w:rPr/>
      </w:pPr>
      <w:r>
        <w:rPr/>
        <w:t>whey proteins 3502.90.00 Other 3503.00.00 Gelatin (including gelatin in rectangular (including square) sheets, whether or not surface-worked or coloured) and gelatin derivatives; isinglass; other glues of animal origin, excluding casein glues of heading 35.01. 3504.00.11 Milk protein substances: Within access commitment 3504.00.12 Milk protein substances: Over access commitment 3504.00.90 Other 3505.10.11 Etherified or esterified starches: Cationic potato starch for use in the manufacture of paper or paperboard 3505.10.19 Etherified or esterified starches: Other 3505.10.20 Pregelatinized starch; Soluble starch (amylogen) 3505.10.90 Other 3505.20.10 Blend of potato starch and synthetic polymer for use in the manufacture of pre-pasted wallpaper 3505.20.90 Other 3506.10.00 Products suitable for use as glues or adhesives, put up for retail sale as glues or adhesives, not exceeding a net weight of 1 kg 3506.91.10 To be employed in the manufacture of semiconductor devices; Hot melt adhesives, based on polyamides, for use in the manufacture of interlinings or findings for clothing 3506.91.90 Other 3506.99.00 Other 3507.10.00 Rennet and concentrates thereof 3507.90.00 Other 3601.00.00 Propellent powders. 3602.00.00 Prepared explosives, other than propellent powders. 3603.00.00 Safety fuses; detonating fuses; percussion or detonating caps; igniters; electric detonators. 3604.10.00 Fireworks 3604.90.00 Other 3605.00.00 Matches, other than pyrotechnic articles of heading 36.04.</w:t>
      </w:r>
    </w:p>
    <w:p>
      <w:pPr>
        <w:pStyle w:val="Normal"/>
        <w:widowControl/>
        <w:rPr/>
      </w:pPr>
      <w:r>
        <w:rPr/>
        <w:t>3606.10.00 Liquid or liquefied-gas fuels in containers of a kind used for filling or refilling cigarette or similar lighters and of a capacity not exceeding 300 cm³ 3606.90.00 Other 3701.10.00 For X-ray 3701.20.00 Instant print film 3701.30.10 Plates, with a resolution capability of not less than 500 line pairs per millimetre, for use in the manufacture of photomasks used in the production of integrated circuits 3701.30.20 Other plates 3701.30.31 Film: For use in the production of replications of exposed and developed cinematographic film 3701.30.39 Film: Other 3701.91.10 Plates 3701.91.20 Film 3701.99.10 Photopolymer resist film;</w:t>
      </w:r>
    </w:p>
    <w:p>
      <w:pPr>
        <w:pStyle w:val="Normal"/>
        <w:widowControl/>
        <w:rPr/>
      </w:pPr>
      <w:r>
        <w:rPr/>
        <w:t>Plates, with a resolution capability of not less than 500 line pairs per millimetre, for use in the manufacture of photomasks used in the production of integrated circuits 3701.99.20 Other plates 3701.99.30 Other film 3702.10.00 For X-ray 3702.31.00 For colour photography (polychrome) 3702.32.00 Other, with silver halide emulsion 3702.39.00 Other 3702.41.00 Of a width exceeding 610 mm and of a length exceeding 200 m, for colour photography (polychrome) 3702.42.10 Duplicating, scanner or continuous tone graphic arts film, of a width of 762 mm or more, for use in the manufacture of photographic film 3702.42.90 Other 3702.43.20 Instant print film 3702.43.90 Other 3702.44.20 Instant print film 3702.44.90 Other 3702.52.00 Of a width not exceeding 16 mm 3702.53.00 Of a width exceeding 16 mm but not exceeding 35 mm and of a length not exceeding 30 m, for</w:t>
      </w:r>
    </w:p>
    <w:p>
      <w:pPr>
        <w:pStyle w:val="Normal"/>
        <w:widowControl/>
        <w:rPr/>
      </w:pPr>
      <w:r>
        <w:rPr/>
        <w:t>slides 3702.54.10 For use in the production of replications of exposed and developed cinematographic film 3702.54.90 Other 3702.55.00 Of a width exceeding 16 mm but not exceeding 35 mm and of a length exceeding 30 m 3702.56.00 Of a width exceeding 35 mm 3702.96.00 Of a width not exceeding 35 mm and of a length not exceeding 30 m 3702.97.00 Of a width not exceeding 35 mm and of a length exceeding 30 m 3702.98.00 Of a width exceeding 35 mm 3703.10.00 In rolls of a width exceeding 610 mm 3703.20.00 Other, for colour photography (polychrome) 3703.90.10 Paper, in rolls, used with photographic transmission machines, to be employed in the production of newspapers, magazines or periodicals 3703.90.90 Other 3704.00.10 Film to be employed in the production of printing plates, rolls or cylinders for the reproduction of non-advertising material in newspapers, or for printing books or music, or for printing periodical publications entitled to second-class mailing privileges, the pages of which are regularly bound, wire-stitched or otherwise fastened together, excluding catalogues 3704.00.90 Other 3705.00.11 For offset reproduction:</w:t>
      </w:r>
    </w:p>
    <w:p>
      <w:pPr>
        <w:pStyle w:val="Normal"/>
        <w:widowControl/>
        <w:rPr/>
      </w:pPr>
      <w:r>
        <w:rPr/>
        <w:t>Film to be employed in the production of printing plates, rolls or cylinders for the reproduction of non- advertising material in newspapers, or for printing books or music, or for printing periodical publications entitled to second- class mailing privileges, the pages of which are regularly bound, wire-stitched or otherwise fastened together, excluding</w:t>
      </w:r>
    </w:p>
    <w:p>
      <w:pPr>
        <w:pStyle w:val="Normal"/>
        <w:widowControl/>
        <w:rPr/>
      </w:pPr>
      <w:r>
        <w:rPr/>
        <w:t>catalogues 3705.00.19 For offset reproduction: Other 3705.00.91 Other: Contact halftone film screens for the production of printing plates; Film to be employed in the production of printing plates, rolls or cylinders for the reproduction of non-advertising material in newspapers, or for printing books or music, or for printing periodical publications entitled to second-class mailing privileges, the pages of which are regularly bound, wire-stitched or otherwise fastened together, excluding catalogues; Films for deposit as archives and not for exhibition for commercial purpose; News features and recordings of current events; Photomasks to be employed in the manufacture of semiconductor devices;</w:t>
      </w:r>
    </w:p>
    <w:p>
      <w:pPr>
        <w:pStyle w:val="Normal"/>
        <w:widowControl/>
        <w:rPr/>
      </w:pPr>
      <w:r>
        <w:rPr/>
        <w:t>Slides and slide films when they (a) are of an educational, scientific or cultural character within the meaning of the Agreement for Facilitating the International Circulation of Visual and Auditory Materials of an Educational, Scientific and Cultural Character adopted at Beirut, Lebanon, in 1948, and (b) have been certified by the Government or by a recognized representative authority of the Government of the country of production or by an appropriate representative of the United Nations Educational, Scientific and Cultural Organization as being of an international educational, scientific or cultural character 3705.00.99 Other: Other 3706.10.10 Television commercials excluding those imported for reference purposes only 3706.10.90 Other 3706.90.10 Television commercials excluding those</w:t>
      </w:r>
    </w:p>
    <w:p>
      <w:pPr>
        <w:pStyle w:val="Normal"/>
        <w:widowControl/>
        <w:spacing w:before="0" w:after="160"/>
        <w:rPr/>
      </w:pPr>
      <w:r>
        <w:rPr/>
        <w:t>imported for reference purposes only 3706.90.90 Other 3707.10.00 Sensitizing emulsions 3707.90.10 Chemical preparations to be employed in the manufacture of semiconductor devices; To be employed in the processing of X-ray film 3707.90.90 Other 3801.10.00 Artificial graphite 3801.20.00 Colloidal or semi-colloidal graphite 3801.30.00 Carbonaceous pastes for electrodes and similar pastes for furnace linings 3801.90.00 Other 3802.10.00 Activated carbon 3802.90.00 Other 3803.00.00 Tall oil, whether or not refined. 3804.00.00 Residual lyes from the manufacture of wood pulp, whether or not concentrated, desugared or chemically treated, including lignin sulphonates, but excluding tall oil of heading 38.03. 3805.10.00 Gum, wood or sulphate turpentine oils 3805.90.00 Other 3806.10.00 Rosin and resin acids 3806.20.00 Salts of rosin, of resin acids or of derivatives of rosin or resin acids, other than salts of rosin adducts 3806.30.00 Ester gums 3806.90.00 Other 3807.00.00 Wood tar; wood tar oils; wood creosote; wood naphtha; vegetable pitch; brewers’ pitch and similar preparations based on rosin, resin acids or on vegetable pitch.</w:t>
      </w:r>
    </w:p>
    <w:tbl>
      <w:tblPr>
        <w:tblStyle w:val="TableGrid"/>
        <w:tblW w:w="9360" w:type="dxa"/>
        <w:jc w:val="center"/>
        <w:tblInd w:w="-28" w:type="dxa"/>
        <w:tblLayout w:type="autofit"/>
        <w:tblCellMar>
          <w:top w:w="60" w:type="dxa"/>
          <w:left w:w="80" w:type="dxa"/>
          <w:bottom w:w="60" w:type="dxa"/>
          <w:right w:w="80" w:type="dxa"/>
        </w:tblCellMar>
        <w:tblLook w:val="04a0" w:noHBand="0" w:noVBand="1" w:firstColumn="1" w:lastRow="0" w:lastColumn="0" w:firstRow="1"/>
      </w:tblPr>
      <w:tblGrid>
        <w:gridCol w:w="4680"/>
        <w:gridCol w:w="4679"/>
      </w:tblGrid>
      <w:tr>
        <w:trPr>
          <w:tblHeader w:val="true"/>
          <w:cantSplit w:val="true"/>
          <w:tblHeader w:val="true"/>
        </w:trPr>
        <w:tc>
          <w:tcPr>
            <w:tcW w:w="4680" w:type="dxa"/>
            <w:tcBorders/>
            <w:vAlign w:val="center"/>
            <w:shd w:fill="233746"/>
          </w:tcPr>
          <w:p>
            <w:pPr>
              <w:pStyle w:val="Normal"/>
              <w:widowControl/>
              <w:suppressAutoHyphens w:val="true"/>
              <w:spacing w:lineRule="auto" w:line="240" w:before="0" w:after="0"/>
              <w:jc w:val="left"/>
              <w:rPr>
                <w:rFonts w:cs=""/>
                <w:kern w:val="0"/>
                <w:szCs w:val="22"/>
                <w:lang w:val="en-US" w:eastAsia="en-US" w:bidi="ar-SA"/>
              </w:rPr>
            </w:pPr>
            <w:r>
              <w:rPr>
                <w:rFonts w:cs="" w:ascii="Arial" w:hAnsi="Arial"/>
                <w:b/>
                <w:color w:val="FFFFFF"/>
                <w:kern w:val="0"/>
                <w:sz w:val="17"/>
                <w:szCs w:val="22"/>
                <w:lang w:val="en-US" w:eastAsia="en-US" w:bidi="ar-SA"/>
              </w:rPr>
              <w:t>Tariff Item</w:t>
            </w:r>
          </w:p>
        </w:tc>
        <w:tc>
          <w:tcPr>
            <w:tcW w:w="4679" w:type="dxa"/>
            <w:tcBorders/>
            <w:vAlign w:val="center"/>
            <w:shd w:fill="233746"/>
          </w:tcPr>
          <w:p>
            <w:pPr>
              <w:pStyle w:val="Normal"/>
              <w:widowControl/>
              <w:suppressAutoHyphens w:val="true"/>
              <w:spacing w:lineRule="auto" w:line="240" w:before="0" w:after="0"/>
              <w:jc w:val="left"/>
              <w:rPr>
                <w:rFonts w:cs=""/>
                <w:kern w:val="0"/>
                <w:szCs w:val="22"/>
                <w:lang w:val="en-US" w:eastAsia="en-US" w:bidi="ar-SA"/>
              </w:rPr>
            </w:pPr>
            <w:r>
              <w:rPr>
                <w:rFonts w:cs="" w:ascii="Arial" w:hAnsi="Arial"/>
                <w:b/>
                <w:color w:val="FFFFFF"/>
                <w:kern w:val="0"/>
                <w:sz w:val="17"/>
                <w:szCs w:val="22"/>
                <w:lang w:val="en-US" w:eastAsia="en-US" w:bidi="ar-SA"/>
              </w:rPr>
              <w:t>Description</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3808.52.00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DDT (ISO) (clofenotane (INN)), in packings of a net weight content not exceeding 300 g</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3808.59.10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In packages of a gross weight not exceeding 1.36 kg each</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3808.59.20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In bulk or in packages of a gross weight exceeding 1.36 kg each</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3808.61.00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In packings of a net weight content not exceeding 300 g</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3808.62.10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In packages of a gross weight not exceeding 1.36 kg each</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3808.62.20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In bulk or in packages of a gross weight exceeding 1.36 kg each</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3808.69.00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Other</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3808.91.10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In packages of a gross weight not exceeding 1.36 kg each</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3808.91.20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In bulk or in packages of a gross weight exceeding 1.36 kg each</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3808.92.10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In packages of a gross weight not exceeding 1.36 kg each</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3808.92.20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In bulk or in packages of a gross weight exceeding 1.36 kg each</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3808.93.10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In packages of a gross weight not exceeding 1.36 kg each</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3808.93.20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In bulk or in packages of a gross weight exceeding 1.36 kg each</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3808.94.10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In packages of a gross weight not exceeding 1.36 kg each</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3808.94.20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In bulk or in packages of a gross weight exceeding 1.36 kg each</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3808.99.10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In packages of a gross weight not exceeding 1.36 kg each</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3808.99.20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In bulk or in packages of a gross weight exceeding 1.36 kg each</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3809.10.00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With a basis of amylaceous substances</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3809.91.00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Of a kind used in the textile or like industries</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3809.92.00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Of a kind used in the paper or like industries</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3809.93.00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Of a kind used in the leather or like industries</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3810.10.00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Pickling preparations for metal surfaces;</w:t>
            </w:r>
          </w:p>
        </w:tc>
      </w:tr>
    </w:tbl>
    <w:p>
      <w:pPr>
        <w:pStyle w:val="Normal"/>
        <w:widowControl/>
        <w:spacing w:before="160" w:after="120"/>
        <w:rPr/>
      </w:pPr>
      <w:r>
        <w:rPr/>
        <w:t>soldering, brazing or welding</w:t>
      </w:r>
    </w:p>
    <w:p>
      <w:pPr>
        <w:pStyle w:val="Normal"/>
        <w:widowControl/>
        <w:rPr/>
      </w:pPr>
      <w:r>
        <w:rPr/>
        <w:t>powders and pastes consisting of metal and other materials 3810.90.00 Other 3811.11.00 Based on lead compounds 3811.19.00 Other 3811.21.00 Containing petroleum oils or oils obtained from bituminous minerals 3811.29.00 Other 3811.90.00 Other 3812.10.00 Prepared rubber accelerators 3812.20.00 Compound plasticizers for rubber or plastics 3812.31.00 Mixtures of oligomers of 2,2,4-trimethyl-1,2-dihydroquinoline (TMQ) 3812.39.00 Other 3813.00.00 Preparations and charges for fire-extinguishers; charged fire- extinguishing grenades. 3814.00.00 Organic composite solvents and thinners, not elsewhere specified or included; prepared paint or varnish removers. 3815.11.00 With nickel or nickel compounds as the active substance 3815.12.00 With precious metal or precious metal compounds as the active substance 3815.19.00 Other 3815.90.00 Other 3816.00.00 Refractory cements, mortars, concretes and similar compositions, other than products of heading 38.01. 3817.00.00 Mixed alkylbenzenes and mixed alkylnaphthalenes, other than those of heading 27.07 or 29.02 3818.00.00 Chemical elements doped for use in electronics, in the form of discs, wafers or similar forms; chemical compounds doped for use in electronics. 3819.00.00 Hydraulic brake fluids and other prepared liquids for hydraulic transmission, not containing or containing less than 70% by weight of petroleum oils or oils obtained from bituminous minerals. 3820.00.00 Anti-freezing preparations and prepared de-icing fluids.</w:t>
      </w:r>
    </w:p>
    <w:p>
      <w:pPr>
        <w:pStyle w:val="Normal"/>
        <w:widowControl/>
        <w:rPr/>
      </w:pPr>
      <w:r>
        <w:rPr/>
        <w:t>3821.00.00 Prepared culture media for the development or maintenance of micro-organisms (including viruses and the like) or of plant, human or animal cells. 3822.00.00 Diagnostic or laboratory reagents on a backing, prepared diagnostic or laboratory reagents whether or not on a backing, other than those of heading 30.02 or 30.06; certified reference materials. 3823.11.00 Stearic acid 3823.12.00 Oleic acid 3823.13.00 Tall oil fatty acids 3823.19.00 Other 3823.70.00 Industrial fatty alcohols 3824.10.00 Prepared binders for foundry moulds or cores 3824.30.00 Non-agglomerated metal carbides mixed together or with metallic binders 3824.40.00 Prepared additives for cements, mortars or concretes 3824.50.00 Non-refractory mortars and concretes 3824.60.00 Sorbitol other than that of subheading 2905.44 3824.71.00 Containing chlorofluorocarbons (CFCs), whether or not containing hydrochlorofluorocarbons (HCFCs), perfluorocarbons (PFCs) or hydrofluorocarbons (HFCs) 3824.72.00 Containing bromochlorodifluoromethane, bromotrifluoromethane or dibromotetrafluoroethanes 3824.73.00 Containing hydrobromofluorocarbons (HBFCs) 3824.74.00 Containing hydrochlorofluorocarbons (HCFCs), whether or not containing perfluorocarbons (PFCs) or hydrofluorocarbons (HFCs), but not containing chlorofluorocarbons (CFCs) 3824.75.00 Containing carbon tetrachloride 3824.76.00 Containing, 1,1,1-trichloroethane (methyl chloroform) 3824.77.00 Containing bromomethane (methyl bromide) or bromochloromethane 3824.78.00</w:t>
      </w:r>
    </w:p>
    <w:p>
      <w:pPr>
        <w:pStyle w:val="Normal"/>
        <w:widowControl/>
        <w:rPr/>
      </w:pPr>
      <w:r>
        <w:rPr/>
        <w:t>Containing perfluorocarbons (PFCs) or hydrofluorocarbons (HFCs), but not containing chlorofluorocarbons (CFCs) or hydrochlorofluorocarbons (HCFCs) 3824.79.00 Other 3824.81.00 Containing oxirane (ethylene oxide) 3824.82.00 Containing polychlorinated biphenyls (PCBs), polychlorinated terphenyls (PCTs) or polybrominated biphenyls (PBBs) 3824.83.00 Containing tris(2,3-dibromopropyl) phosphate 3824.84.00 Containing aldrin (ISO), camphechlor (ISO) (toxaphene), chlordane (ISO), chlordecone (ISO), DDT (ISO) (clofenotane (INN), 1,1,1-trichloro-2,2-bis(p-chlorophenyl)ethane), dieldrin (ISO, INN), endosulfan (ISO), endrin (ISO), heptachlor (ISO) or mirex (ISO) 3824.85.00 Containing 1,2,3,4,5,6-hexachlorocyclohexane (HCH (ISO)), including lindane (ISO, INN) 3824.86.00 Containing pentachlorobenzene (ISO) or hexachlorobenzene (ISO) 3824.87.00 Containing perfluorooctane sulphonic acid, its salts, perfluorooctane sulphonamides, or perfluorooctane sulphonyl fluoride 3824.88.00 Containing tetra-, penta-, hexa-, hepta- or octabromodiphenyl ethers 3824.91.00 Mixtures and preparations consisting mainly of (5-ethyl-2-methyl 2-oxido-1,3,2-dioxaphosphinan-5-yl)methyl methyl methylphosphonate and bis[(5-ethyl-2-methyl-2-oxido-1,3,2 dioxaphosphinan-5-yl)methyl] methylphosphonate 3824.99.00 Other 3825.10.00 Municipal waste 3825.20.00 Sewage sludge 3825.30.10 Soiled dressings (wadding, gauze, bandages and similar articles) contaminated as a result of medical, surgical, dental or veterinary</w:t>
      </w:r>
    </w:p>
    <w:p>
      <w:pPr>
        <w:pStyle w:val="Normal"/>
        <w:widowControl/>
        <w:rPr/>
      </w:pPr>
      <w:r>
        <w:rPr/>
        <w:t>procedures; Syringes, needles, catheters, cannulae and the like 3825.30.20 Surgical gloves of vulcanized rubber other than hard rubber 3825.30.90 Other 3825.41.00 Halogenated 3825.49.00 Other 3825.50.00 Wastes of metal pickling liquors, hydraulic fluids, brake fluids and anti-freeze fluids 3825.61.00 Mainly containing organic constituents 3825.69.00 Other 3825.90.00 Other 3826.00.00 Biodiesel and mixtures thereof, not containing or containing less than 70% by weight of petroleum oils or oils obtained from bituminous minerals. 3901.10.10 Having a molecular weight of 3 million or more but not exceeding 6 million, for use in the manufacture of rods, sticks or profile shapes of subheading 3916.10 or sheet of subheading 3920.10 3901.10.20 Having a molecular weight of more than 4 million, for use in the manufacture of medical orthopaedic implants or parts for snowmobiles, all terrain vehicles, industrial sweepers, agricultural equipment, railway rolling stock and equipment, water treatment equipment and conveyor systems 3901.10.90 Other 3901.20.10 Having a minimum intrinsic viscosity of 10, excluding compositions 3901.20.90 Other 3901.30.00 Ethylene-vinyl acetate copolymers 3901.40.00 Ethylene-alpha-olefin copolymers, having a specific gravity of less than 0.94 3901.90.00 Other 3902.10.00 Polypropylene 3902.20.00 Polyisobutylene 3902.30.00 Propylene copolymers 3902.90.10 Compositions 3902.90.90 Other 3903.11.00 Expansible 3903.19.00 Other 3903.20.00 Styrene-acrylonitrile (SAN)</w:t>
      </w:r>
    </w:p>
    <w:p>
      <w:pPr>
        <w:pStyle w:val="Normal"/>
        <w:widowControl/>
        <w:spacing w:before="0" w:after="160"/>
        <w:rPr/>
      </w:pPr>
      <w:r>
        <w:rPr/>
        <w:t>copolymers</w:t>
      </w:r>
    </w:p>
    <w:tbl>
      <w:tblPr>
        <w:tblStyle w:val="TableGrid"/>
        <w:tblW w:w="9360" w:type="dxa"/>
        <w:jc w:val="center"/>
        <w:tblInd w:w="-28" w:type="dxa"/>
        <w:tblLayout w:type="autofit"/>
        <w:tblCellMar>
          <w:top w:w="60" w:type="dxa"/>
          <w:left w:w="80" w:type="dxa"/>
          <w:bottom w:w="60" w:type="dxa"/>
          <w:right w:w="80" w:type="dxa"/>
        </w:tblCellMar>
        <w:tblLook w:val="04a0" w:noHBand="0" w:noVBand="1" w:firstColumn="1" w:lastRow="0" w:lastColumn="0" w:firstRow="1"/>
      </w:tblPr>
      <w:tblGrid>
        <w:gridCol w:w="4680"/>
        <w:gridCol w:w="4679"/>
      </w:tblGrid>
      <w:tr>
        <w:trPr>
          <w:tblHeader w:val="true"/>
          <w:cantSplit w:val="true"/>
          <w:tblHeader w:val="true"/>
        </w:trPr>
        <w:tc>
          <w:tcPr>
            <w:tcW w:w="4680" w:type="dxa"/>
            <w:tcBorders/>
            <w:vAlign w:val="center"/>
            <w:shd w:fill="233746"/>
          </w:tcPr>
          <w:p>
            <w:pPr>
              <w:pStyle w:val="Normal"/>
              <w:widowControl/>
              <w:suppressAutoHyphens w:val="true"/>
              <w:spacing w:lineRule="auto" w:line="240" w:before="0" w:after="0"/>
              <w:jc w:val="left"/>
              <w:rPr>
                <w:rFonts w:cs=""/>
                <w:kern w:val="0"/>
                <w:szCs w:val="22"/>
                <w:lang w:val="en-US" w:eastAsia="en-US" w:bidi="ar-SA"/>
              </w:rPr>
            </w:pPr>
            <w:r>
              <w:rPr>
                <w:rFonts w:cs="" w:ascii="Arial" w:hAnsi="Arial"/>
                <w:b/>
                <w:color w:val="FFFFFF"/>
                <w:kern w:val="0"/>
                <w:sz w:val="17"/>
                <w:szCs w:val="22"/>
                <w:lang w:val="en-US" w:eastAsia="en-US" w:bidi="ar-SA"/>
              </w:rPr>
              <w:t>Tariff Item</w:t>
            </w:r>
          </w:p>
        </w:tc>
        <w:tc>
          <w:tcPr>
            <w:tcW w:w="4679" w:type="dxa"/>
            <w:tcBorders/>
            <w:vAlign w:val="center"/>
            <w:shd w:fill="233746"/>
          </w:tcPr>
          <w:p>
            <w:pPr>
              <w:pStyle w:val="Normal"/>
              <w:widowControl/>
              <w:suppressAutoHyphens w:val="true"/>
              <w:spacing w:lineRule="auto" w:line="240" w:before="0" w:after="0"/>
              <w:jc w:val="left"/>
              <w:rPr>
                <w:rFonts w:cs=""/>
                <w:kern w:val="0"/>
                <w:szCs w:val="22"/>
                <w:lang w:val="en-US" w:eastAsia="en-US" w:bidi="ar-SA"/>
              </w:rPr>
            </w:pPr>
            <w:r>
              <w:rPr>
                <w:rFonts w:cs="" w:ascii="Arial" w:hAnsi="Arial"/>
                <w:b/>
                <w:color w:val="FFFFFF"/>
                <w:kern w:val="0"/>
                <w:sz w:val="17"/>
                <w:szCs w:val="22"/>
                <w:lang w:val="en-US" w:eastAsia="en-US" w:bidi="ar-SA"/>
              </w:rPr>
              <w:t>Description</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3903.30.00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Acrylonitrile-butadiene-styrene (ABS) copolymers</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3903.90.00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Other</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3904.10.00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Poly(vinyl chloride), not mixed with any other substances</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3904.21.00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Non-plasticized</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3904.22.00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Plasticized</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3904.30.00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Vinyl chloride-vinyl acetate copolymers</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3904.40.00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Other vinyl chloride copolymers</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3904.50.00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Vinylidene chloride polymers</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3904.61.00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Polytetrafluoroethylene</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3904.69.00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Other</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3904.90.00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Other</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3905.12.00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In aqueous dispersion</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3905.19.00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Other</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3905.21.00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In aqueous dispersion</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3905.29.00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Other</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3905.30.00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Poly(vinyl alcohol), whether or not containing unhydrolysed acetate groups</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3905.91.00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Copolymers</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3905.99.00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Other</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3906.10.00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Poly(methyl methacrylate)</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3906.90.00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Other</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3907.10.00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Polyacetals</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3907.20.00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Other polyethers</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3907.30.00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Epoxide resins</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3907.40.00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Polycarbonates</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3907.50.00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Alkyd resins</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3907.61.00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Having a viscosity number of 78 ml/g or higher</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3907.69.00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Other</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3907.70.00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Poly(lactic acid)</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3907.91.00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Unsaturated</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3907.99.00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Other</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3908.10.00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Polyamide-6, -11, -12, -6,6, -6,9, -6,10 or -6,12</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3908.90.00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Other</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3909.10.00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Urea resins; thiourea resins</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3909.20.10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Binders for pigments or inks, for use in the coating, colouring or printing of textiles</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3909.20.90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Other</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3909.31.00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Poly(methylene phenyl isocyanate) (crude MDI, polymeric MDI)</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3909.39.00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Other</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3909.40.00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Phenolic resins</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3909.50.00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Polyurethanes</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3910.00.00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Silicones in primary forms.</w:t>
            </w:r>
          </w:p>
        </w:tc>
      </w:tr>
    </w:tbl>
    <w:p>
      <w:pPr>
        <w:pStyle w:val="Normal"/>
        <w:widowControl/>
        <w:spacing w:before="160" w:after="120"/>
        <w:rPr/>
      </w:pPr>
      <w:r>
        <w:rPr/>
        <w:t>3911.10.00 Petroleum resins, coumarone, indene or coumarone-indene resins and polyterpenes 3911.90.00 Other 3912.11.00 Non-plasticized 3912.12.00 Plasticized 3912.20.00 Cellulose nitrates (including collodions) 3912.31.00 Carboxymethylcellulose and its salts 3912.39.00 Other 3912.90.00 Other 3913.10.00 Alginic acid, its salts and esters 3913.90.00 Other 3914.00.00 Ion-exchangers based on polymers of headings 39.01 to 39.13, in primary forms. 3915.10.00 Of polymers of ethylene 3915.20.00 Of polymers of styrene 3915.30.00 Of polymers of vinyl chloride 3915.90.00 Of other plastics 3916.10.00 Of polymers of ethylene 3916.20.00 Of polymers of vinyl chloride 3916.90.00 Of other plastics 3917.10.00 Artificial guts (sausage casings) of hardened protein or of cellulosic materials 3917.21.00 Of polymers of ethylene 3917.22.00 Of polymers of propylene 3917.23.00 Of polymers of vinyl chloride 3917.29.00 Of other plastics 3917.31.00 Flexible tubes, pipes and hoses, having a minimum burst pressure of 27.6 MPa 3917.32.10 Of polymers of heading 39.02, excluding of polymers of propylene or tubing of polymers of butylene; Of polymers of heading 39.04, excluding of polymers of vinyl chloride, of polymers of tetrafluoroethylene or of polyvinylidene chloride; Of polymers of heading 39.05;</w:t>
      </w:r>
    </w:p>
    <w:p>
      <w:pPr>
        <w:pStyle w:val="Normal"/>
        <w:widowControl/>
        <w:rPr/>
      </w:pPr>
      <w:r>
        <w:rPr/>
        <w:t>Of polymers of heading 39.06, excluding of polymers of methyl methacrylate; Of polymers of heading 39.07; Of polymers of heading 39.09, excluding of polyurethanes; Of polymers of heading 39.11, 39.12 or 39.13;</w:t>
      </w:r>
    </w:p>
    <w:p>
      <w:pPr>
        <w:pStyle w:val="Normal"/>
        <w:widowControl/>
        <w:rPr/>
      </w:pPr>
      <w:r>
        <w:rPr/>
        <w:t>Of polyvinylidene chloride to be employed in the packaging of goods for sale; To be employed in the manufacture of sera, antisera, toxoids, viruses, toxins or antitoxins, virus or bacterial vaccines, bacteriophage or bacterial lysates, allergenics, liver extracts, pituitary extracts, epinephrine or its solutions, insulin (with or without zinc, globin or protamine) and blood plasma or serum of human origin, or fractions thereof, or extenders or substitutes therefor; To be employed in the processing, storing or insemination of animal semen 3917.32.90 Other 3917.33.00 Other, not reinforced or otherwise combined with other materials, with fittings 3917.39.10 Of polymers of heading 39.02, excluding of polymers of propylene or tubing of polymers of butylene; Of polymers of heading 39.04, excluding of polymers of vinyl chloride, of polymers of tetrafluoroethylene or of polyvinylidene chloride; Of polymers of heading 39.05; Of polymers of heading 39.06, excluding of polymers of methyl methacrylate; Of polymers of heading 39.07; Of polymers of heading 39.09, excluding of polyurethanes; Of polymers of heading 39.11, 39.12 or 39.13; Of polyvinylidene chloride to be employed in the packaging of goods for sale;</w:t>
      </w:r>
    </w:p>
    <w:p>
      <w:pPr>
        <w:pStyle w:val="Normal"/>
        <w:widowControl/>
        <w:rPr/>
      </w:pPr>
      <w:r>
        <w:rPr/>
        <w:t>To be employed in the processing, storing or insemmination of animal semen 3917.39.90 Other 3917.40.00 Fittings 3918.10.10 Wall or ceiling coverings combined with knitted or woven fabrics, nonwovens or felt 3918.10.90 Other 3918.90.10 Wall or ceiling coverings combined with</w:t>
      </w:r>
    </w:p>
    <w:p>
      <w:pPr>
        <w:pStyle w:val="Normal"/>
        <w:widowControl/>
        <w:rPr/>
      </w:pPr>
      <w:r>
        <w:rPr/>
        <w:t>knitted or woven fabrics, nonwovens or felt 3918.90.90 Other 3919.10.10 Combined with knitted or woven fabrics, nonwovens or felt, such combinations which can, without fracturing, be bent manually around a cylinder of a diameter of 7 mm, at a temperature between 15°C and 30°C 3919.10.20 Of polymers of methyl methacrylate; Poly(ethylene terephthalate) film of a width of less than 15 cm; Cellulose acetate and cellulose acetate butyrate sheets, film or strip, of a thickness exceeding 0.08 mm or of a width of less than 15 cm and a thickness not exceeding 0.08 mm 3919.10.91 Other: Of polymers of heading 39.02, excluding of polymers of propylene; Of polymers of heading 39.04, excluding of polymers of vinyl chloride, of polymers of tetrafluoroethylene or of polyvinylidene chloride; Of polymers of heading 39.05 or 39.06; Of polymers of heading 39.07, excluding of epoxide resins, of unsaturated polyesters, or polycarbonate plates, sheets, film or strip, of a thickness of 0.08 cm or more but not exceeding 1.3 cm;</w:t>
      </w:r>
    </w:p>
    <w:p>
      <w:pPr>
        <w:pStyle w:val="Normal"/>
        <w:widowControl/>
        <w:rPr/>
      </w:pPr>
      <w:r>
        <w:rPr/>
        <w:t>Of polymers of heading 39.09, excluding of urea-formaldehyde resins, of melamine-formaldehyde resins, of phenol- formaldehyde resins or of polyurethanes; Of polymers of heading 39.11 or 39.13; Of polymers of heading 39.12, excluding of regenerated cellulose or of vulcanized fibre; Of polyvinylidene chloride to be employed in the packaging of goods for sale; Polyester or polystyrene film, of a thickness not exceeding 0.25 mm, for use in the manufacture of loud-speakers or</w:t>
      </w:r>
    </w:p>
    <w:p>
      <w:pPr>
        <w:pStyle w:val="Normal"/>
        <w:widowControl/>
        <w:rPr/>
      </w:pPr>
      <w:r>
        <w:rPr/>
        <w:t>audio- frequency electric amplifiers, record-players or magnetic tape transcribing machines, magnetic tape sound recording apparatus, tape transport mechanisms, electrical equipment of heading 85.21, 85.25, 85.26, 85.27 or 85.28, and parts of the foregoing, including transformers and inductors; Strips of polyurethane for use in the manufacture of clothing 3919.10.99 Other: Other 3919.90.00 Other 3920.10.00 Of polymers of ethylene 3920.20.00 Of polymers of propylene 3920.30.00 Of polymers of styrene 3920.43.00 Containing by weight not less than 6% of plasticizers 3920.49.00 Other 3920.51.00 Of poly(methyl methacrylate) 3920.59.00 Other 3920.61.00 Of polycarbonates 3920.62.00 Of poly(ethylene terephthalate) 3920.63.00 Of unsaturated polyesters 3920.69.00 Of other polyesters 3920.71.00 Of regenerated cellulose 3920.73.00 Of cellulose acetate 3920.79.00 Of other cellulose derivatives 3920.91.00 Of poly(vinyl butyral) 3920.92.00 Of polyamides 3920.93.00 Of amino-resins 3920.94.00 Of phenolic resins 3920.99.00 Of other plastics 3921.11.00 Of polymers of styrene 3921.12.00 Of polymers of vinyl chloride 3921.13.00 Of polyurethanes 3921.14.00 Of regenerated cellulose 3921.19.00 Of other plastics 3921.90.00 Other 3922.10.00 Baths, shower-baths, sinks and wash-basins 3922.20.00 Lavatory seats and covers 3922.90.00 Other 3923.10.10 For vaccines, toxoids (anatoxins), bacterins, toxins, serums containing immune bodies including antitoxins, glandular extracts or antibiotics, to be employed</w:t>
      </w:r>
    </w:p>
    <w:p>
      <w:pPr>
        <w:pStyle w:val="Normal"/>
        <w:widowControl/>
        <w:rPr/>
      </w:pPr>
      <w:r>
        <w:rPr/>
        <w:t>in the manufacture of such products; To be employed in the manufacture of goods of heading 38.08 or of goods of Chapter 28 or 29 in packages of a gross weight exceeding 1.36 kg each, for use as products having the same functions as the goods of heading 38.08 3923.10.90 Other 3923.21.10 For vaccines, toxoids (anatoxins), bacterins, toxins, serums containing immune bodies including antitoxins, glandular extracts or antibiotics, to be employed in the manufacture of such products 3923.21.90 Other 3923.29.10 For vaccines, toxoids (anatoxins), bacterins, toxins, serums containing immune bodies including antitoxins, glandular extracts or antibiotics, to be employed in the manufacture of such products; To be employed in the processing, storing or insemination of animal semen 3923.29.90 Other 3923.30.10 To be employed in the processing, storing or insemination of animal semen 3923.30.90 Other 3923.40.00 Spools, cops, bobbins and similar supports 3923.50.10 Caps to be employed by perfume manufacturers in the bottling of perfume; Flexible plastic spouts of a diameter of 57 mm for use in the manufacture of lids for gallon paint cans;</w:t>
      </w:r>
    </w:p>
    <w:p>
      <w:pPr>
        <w:pStyle w:val="Normal"/>
        <w:widowControl/>
        <w:rPr/>
      </w:pPr>
      <w:r>
        <w:rPr/>
        <w:t>For vaccines, toxoids (anatoxins), bacterins, toxins, serums containing immune bodies including antitoxins, glandular extracts or antibiotics, to be employed in the manufacture of such products 3923.50.90 Other 3923.90.10 Containers, bearing the shapes and images of cartoon characters, to be employed in the production or distribution of shampoo, bubble bath</w:t>
      </w:r>
    </w:p>
    <w:p>
      <w:pPr>
        <w:pStyle w:val="Normal"/>
        <w:widowControl/>
        <w:rPr/>
      </w:pPr>
      <w:r>
        <w:rPr/>
        <w:t>and other novelty cosmetic and bath products; For vaccines, toxoids (anatoxins), bacterins, toxins, serums containing immune bodies including antitoxins, glandular extracts or antibiotics, to be employed in the manufacture of such products; Holding trays of polymers of vinyl chloride for use as inserts in boxes to prevent peaches from touching each other; Vegetable-based capsules for use in Canadian manufactures 3923.90.90 Other 3924.10.00 Tableware and kitchenware 3924.90.00 Other 3925.10.00 Reservoirs, tanks, vats and similar containers, of a capacity exceeding 300 litres 3925.20.00 Doors, windows and their frames and thresholds for doors 3925.30.00 Shutters, blinds (including Venetian blinds) and similar articles and parts thereof 3925.90.00 Other 3926.10.00 Office or school supplies 3926.20.10 Disposable gloves to be employed in clean rooms allowing a maximum of 10 airborne particles measuring greater than 0.0005 mm per 28.317 dm³ of air, 30 airborne particles measuring greater than 0.0003 mm per 28.317 dm³ of air, 75 airborne particles measuring greater than 0.0002 mm per 28.317 dm³ of air or 350 airborne particles measuring greater than 0.0001 mm per 28.317 dm³ of air;</w:t>
      </w:r>
    </w:p>
    <w:p>
      <w:pPr>
        <w:pStyle w:val="Normal"/>
        <w:widowControl/>
        <w:rPr/>
      </w:pPr>
      <w:r>
        <w:rPr/>
        <w:t>Protective suits and their accessories (including gloves), to be employed in a noxious atmosphere; To be employed in the processing, storing or insemination of animal semen 3926.20.91 Other: Disposable gloves 3926.20.92 Other: Mittens; Non-disposable gloves 3926.20.93 Other: Belts; Articles of apparel</w:t>
      </w:r>
    </w:p>
    <w:p>
      <w:pPr>
        <w:pStyle w:val="Normal"/>
        <w:widowControl/>
        <w:rPr/>
      </w:pPr>
      <w:r>
        <w:rPr/>
        <w:t>and other clothing accessories, containing not more than 25% by weight of woven fabrics of man-made fibres, coated on both sides with polymers of vinyl chloride 3926.20.94 Other: Other articles of apparel and clothing accessories, of plastics combined with knitted or woven fabrics, bolducs, nonwovens or felt, containing woven fabrics of more than 50% by weight of silk 3926.20.95 Other: Other articles of apparel and clothing accessories, of plastics combined with knitted or woven fabrics, bolducs, nonwovens or felt 3926.20.99 Other: Other 3926.30.00 Fittings for furniture, coachwork or the like 3926.40.10 Statuettes 3926.40.90 Other ornamental articles 3926.90.10 Articles for climbing or mountaineering; Beak guards and blinders for pheasants; Cassette shells and parts thereof, excluding exterior jackets or sleeves, for use in the manufacture of video cassettes; Container cap covers or container toppers, bearing the shapes and images of cartoon characters, to be employed in the production or distribution of shampoo, bubble bath and other novelty cosmetic and bath products; Conveyor belting, in modular form, of a length not exceeding 5 m; Conveyor belts;</w:t>
      </w:r>
    </w:p>
    <w:p>
      <w:pPr>
        <w:pStyle w:val="Normal"/>
        <w:widowControl/>
        <w:rPr/>
      </w:pPr>
      <w:r>
        <w:rPr/>
        <w:t>Corner protectors for use in the manufacture of portable musical instruments or microphone amplifiers, loudspeakers and sound mixers, other than those designed and marketed for home entertainment systems; Die models, to be employed as blueprint substitutes in the manufacture, assembly, erection, installation, operation or</w:t>
      </w:r>
    </w:p>
    <w:p>
      <w:pPr>
        <w:pStyle w:val="Normal"/>
        <w:widowControl/>
        <w:rPr/>
      </w:pPr>
      <w:r>
        <w:rPr/>
        <w:t>maintenance of machines, test sets, engines, apparatus, appliances, plant equipment and parts thereof; Dunnage bags to be employed in securing items for transport; Fish egg incubators and parts thereof; For use in the manufacture of fire fighting vehicles; Housings, for use in the manufacture of television descramblers; Imitation gemstones or pearls for use in the manufacture of jewellery; Knobs, for use in the manufacture of gas barbecues or domestic 3926.90.20 Door mats 3926.90.30 Signs, letters and numerals 3926.90.50 Identification tags for animals 3926.90.91 Other: Belts and belting for machinery other than conveyor belts; Bolts, nuts, screws and washers; Gaskets 3926.90.92 Other: Parts for use in the manufacture of yachts, racing boats, canoes and other vessels for pleasure or sport 3926.90.93 Other: Trays designed to hold discs, for use in the manufacture of CD or DVD cases or boxed set collections 3926.90.99 Other:</w:t>
      </w:r>
    </w:p>
    <w:p>
      <w:pPr>
        <w:pStyle w:val="Normal"/>
        <w:widowControl/>
        <w:spacing w:before="0" w:after="160"/>
        <w:rPr/>
      </w:pPr>
      <w:r>
        <w:rPr/>
        <w:t>Other</w:t>
      </w:r>
    </w:p>
    <w:tbl>
      <w:tblPr>
        <w:tblStyle w:val="TableGrid"/>
        <w:tblW w:w="9360" w:type="dxa"/>
        <w:jc w:val="center"/>
        <w:tblInd w:w="-28" w:type="dxa"/>
        <w:tblLayout w:type="autofit"/>
        <w:tblCellMar>
          <w:top w:w="60" w:type="dxa"/>
          <w:left w:w="80" w:type="dxa"/>
          <w:bottom w:w="60" w:type="dxa"/>
          <w:right w:w="80" w:type="dxa"/>
        </w:tblCellMar>
        <w:tblLook w:val="04a0" w:noHBand="0" w:noVBand="1" w:firstColumn="1" w:lastRow="0" w:lastColumn="0" w:firstRow="1"/>
      </w:tblPr>
      <w:tblGrid>
        <w:gridCol w:w="4680"/>
        <w:gridCol w:w="4679"/>
      </w:tblGrid>
      <w:tr>
        <w:trPr>
          <w:tblHeader w:val="true"/>
          <w:cantSplit w:val="true"/>
          <w:tblHeader w:val="true"/>
        </w:trPr>
        <w:tc>
          <w:tcPr>
            <w:tcW w:w="4680" w:type="dxa"/>
            <w:tcBorders/>
            <w:vAlign w:val="center"/>
            <w:shd w:fill="233746"/>
          </w:tcPr>
          <w:p>
            <w:pPr>
              <w:pStyle w:val="Normal"/>
              <w:widowControl/>
              <w:suppressAutoHyphens w:val="true"/>
              <w:spacing w:lineRule="auto" w:line="240" w:before="0" w:after="0"/>
              <w:jc w:val="left"/>
              <w:rPr>
                <w:rFonts w:cs=""/>
                <w:kern w:val="0"/>
                <w:szCs w:val="22"/>
                <w:lang w:val="en-US" w:eastAsia="en-US" w:bidi="ar-SA"/>
              </w:rPr>
            </w:pPr>
            <w:r>
              <w:rPr>
                <w:rFonts w:cs="" w:ascii="Arial" w:hAnsi="Arial"/>
                <w:b/>
                <w:color w:val="FFFFFF"/>
                <w:kern w:val="0"/>
                <w:sz w:val="17"/>
                <w:szCs w:val="22"/>
                <w:lang w:val="en-US" w:eastAsia="en-US" w:bidi="ar-SA"/>
              </w:rPr>
              <w:t>Tariff Item</w:t>
            </w:r>
          </w:p>
        </w:tc>
        <w:tc>
          <w:tcPr>
            <w:tcW w:w="4679" w:type="dxa"/>
            <w:tcBorders/>
            <w:vAlign w:val="center"/>
            <w:shd w:fill="233746"/>
          </w:tcPr>
          <w:p>
            <w:pPr>
              <w:pStyle w:val="Normal"/>
              <w:widowControl/>
              <w:suppressAutoHyphens w:val="true"/>
              <w:spacing w:lineRule="auto" w:line="240" w:before="0" w:after="0"/>
              <w:jc w:val="left"/>
              <w:rPr>
                <w:rFonts w:cs=""/>
                <w:kern w:val="0"/>
                <w:szCs w:val="22"/>
                <w:lang w:val="en-US" w:eastAsia="en-US" w:bidi="ar-SA"/>
              </w:rPr>
            </w:pPr>
            <w:r>
              <w:rPr>
                <w:rFonts w:cs="" w:ascii="Arial" w:hAnsi="Arial"/>
                <w:b/>
                <w:color w:val="FFFFFF"/>
                <w:kern w:val="0"/>
                <w:sz w:val="17"/>
                <w:szCs w:val="22"/>
                <w:lang w:val="en-US" w:eastAsia="en-US" w:bidi="ar-SA"/>
              </w:rPr>
              <w:t>Description</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4001.10.00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Natural rubber latex, whether or not pre-vulcanized</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4001.21.00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Smoked sheets</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4001.22.00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Technically specified natural rubber (TSNR)</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4001.29.00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Other</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4001.30.00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Balata, gutta-percha, guayule, chicle and similar natural gums</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4002.11.00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Latex</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4002.19.00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Other</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4002.20.00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Butadiene rubber (BR)</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4002.31.00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Isobutene-isoprene (butyl) rubber (IIR)</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4002.39.00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Other</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4002.41.00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Latex</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4002.49.00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Other</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4002.51.00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Latex</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4002.59.00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Other</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4002.60.00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Isoprene rubber (IR)</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4002.70.00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Ethylene-propylene-non-conjugated diene rubber (EPDM)</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4002.80.00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Mixtures of</w:t>
            </w:r>
          </w:p>
        </w:tc>
      </w:tr>
    </w:tbl>
    <w:p>
      <w:pPr>
        <w:pStyle w:val="Normal"/>
        <w:widowControl/>
        <w:spacing w:before="160" w:after="120"/>
        <w:rPr/>
      </w:pPr>
      <w:r>
        <w:rPr/>
        <w:t>any product of heading 40.01 with any product of this heading 4002.91.00 Latex 4002.99.00 Other 4003.00.00 Reclaimed rubber in primary forms or in plates, sheets or strip. 4004.00.00 Waste, parings and scrap of rubber (other than hard rubber) and powders and granules obtained therefrom. 4005.10.00 Compounded with carbon black or silica 4005.20.00 Solutions; dispersions other than those of subheading 4005.10 4005.91.00 Plates, sheets and strip 4005.99.00 Other 4006.10.00 “Camel-back” strips for retreading rubber tires 4006.90.00 Other 4007.00.10 Thread, not covered 4007.00.20 Cord, not covered 4007.00.90 Other 4008.11.00 Plates, sheets and strip 4008.19.00 Other 4008.21.00 Plates, sheets and strip 4008.29.00 Other 4009.11.00 Without fittings 4009.12.00 With fittings 4009.21.00 Without fittings 4009.22.00 With fittings 4009.31.00 Without fittings 4009.32.00 With fittings 4009.41.00 Without fittings 4009.42.00 With fittings 4010.11.00 Reinforced only with metal 4010.12.00 Reinforced only with textile materials 4010.19.00 Other 4010.31.00 Endless transmission belts of trapezoidal cross-section (V-belts), V-ribbed, of an outside circumference exceeding 60 cm but not exceeding 180 cm 4010.32.00 Endless transmission belts of trapezoidal cross-section (V-belts), other than V-ribbed, of an outside circumference exceeding 60 cm but not exceeding 180 cm 4010.33.00 Endless transmission belts of trapezoidal cross-section (V-belts), V-ribbed, of an outside circumference exceeding 180 cm</w:t>
      </w:r>
    </w:p>
    <w:p>
      <w:pPr>
        <w:pStyle w:val="Normal"/>
        <w:widowControl/>
        <w:rPr/>
      </w:pPr>
      <w:r>
        <w:rPr/>
        <w:t>but not exceeding 240 cm 4010.34.00 Endless transmission belts of trapezoidal cross-section (V-belts), other than V-ribbed, of an outside circumference exceeding 180 cm but not exceeding 240 cm 4010.35.00 Endless synchronous belts, of an outside circumference exceeding 60 cm but not exceeding 150 cm 4010.36.00 Endless synchronous belts, of an outside circumference exceeding 150 cm but not exceeding 198 cm 4010.39.10 Endless transmission belts of trapezoidal cross-section (V-belts), whether or not V-ribbed, of an outside circumference exceeding 240 cm 4010.39.90 Other 4011.10.00 Of a kind used on motor cars (including station wagons and racing cars) 4011.20.00 Of a kind used on buses or lorries 4011.30.00 Of a kind used on aircraft 4011.40.00 Of a kind used on motorcycles 4011.50.00 Of a kind used on bicycles 4011.70.10 For use with appliances of subheading 8424.82, levellers of subheading 8429.20 used for farm purposes only, combination excavating and transporting scrapers of subheading 8429.30 or 8430.69, traction ditching machines of subheading 8429.59 or</w:t>
      </w:r>
    </w:p>
    <w:p>
      <w:pPr>
        <w:pStyle w:val="Normal"/>
        <w:widowControl/>
        <w:rPr/>
      </w:pPr>
      <w:r>
        <w:rPr/>
        <w:t>8430.69 used for farm purposes only, agricultural machinery for soil preparation or cultivation of heading 84.32, harvesting or threshing machinery (including straw or fodder balers) and agricultural mowers of heading 84.33, tractors of heading 87.01 powered by internal combustion engines and used for farm purposes only, and spraying vehicles of subheading 8705.90 for agricultural use for spreading dry or liquid</w:t>
      </w:r>
    </w:p>
    <w:p>
      <w:pPr>
        <w:pStyle w:val="Normal"/>
        <w:widowControl/>
        <w:rPr/>
      </w:pPr>
      <w:r>
        <w:rPr/>
        <w:t>fertilizer or sludge; Of a size of 3600 X 51 or 4000 X 57 4011.70.90 Other 4011.80.10 For use with combination excavating and transporting scrapers of subheading 8429.30 or 8430.69; Of a size of 3600 X 51 or 4000 X 57 4011.80.90 Other 4011.90.10 For use with appliances of subheading 8424.82, combination excavating and transporting scrapers of subheading 8429.30 or 8430.69, horticultural machinery for soil preparation and lawn or sports-ground rollers of heading 84.32, horticultural mowers (other than mowers for lawns, parks or sports-grounds) of heading 84.33;</w:t>
      </w:r>
    </w:p>
    <w:p>
      <w:pPr>
        <w:pStyle w:val="Normal"/>
        <w:widowControl/>
        <w:rPr/>
      </w:pPr>
      <w:r>
        <w:rPr/>
        <w:t>Of a size of 3,600 X 51 or 4,000 X 57 4011.90.90 Other 4012.11.00 Of a kind used on motor cars (including station wagons and racing cars) 4012.12.00 Of a kind used on buses or lorries 4012.13.00 Of a kind used on aircraft 4012.19.00 Other 4012.20.10 Of a size of 3600 x 51 or 4000 x 57 4012.20.20 Of a kind used on vehicles, including tractors, for the on-highway transport of passengers or goods, or on vehicles of heading 87.05 4012.20.90 Other 4012.90.10 Rimtape (tire flaps) for use in the manufacture of bicycles or bicycle wheels 4012.90.90 Other 4013.10.00 Of a kind used on motor cars (including station wagons and racing cars), buses or lorries 4013.20.00 Of a kind used on bicycles 4013.90.10 Of a kind used on aircraft; For use with appliances of subheading 8424.82, levellers of subheading 8429.20 used for farm purposes only, combination excavating and transporting scrapers of subheading 8429.30 or 8430.69, traction</w:t>
      </w:r>
    </w:p>
    <w:p>
      <w:pPr>
        <w:pStyle w:val="Normal"/>
        <w:widowControl/>
        <w:rPr/>
      </w:pPr>
      <w:r>
        <w:rPr/>
        <w:t>ditching machines of subheading 8429.59 or 8430.69 used for farm purposes only, agricultural or horticultural machinery for soil preparation or cultivation and lawn or sports- ground rollers of heading 84.32, harvesting or threshing machinery (including straw or fodder balers) and agricultural or horticultural mowers (other than mowers for lawns, parks or sports-grounds) of heading 84.33, tractors of heading 87.01 powered by internal combustion engines and used for farm purposes only, and spraying vehicles of subheading 8705.90 for agricultural use for spreading dry or liquid fertilizer or sludge 4013.90.90 Other 4014.10.00 Sheath contraceptives 4014.90.10 Containers and parts thereof, for vaccines, toxoids (anatoxins), bacterins, toxins, serums containing immune bodies including antitoxins, glandular extracts or antibiotics, to be employed in the manufacture of such products 4014.90.90 Other 4015.11.00 Surgical 4015.19.10 Protective gloves to be employed with protective suits in a noxious atmosphere 4015.19.90 Other 4015.90.10 Protective suits and parts thereof, to be employed in a noxious atmosphere 4015.90.20 Diving suits 4015.90.90 Other 4016.10.00 Of cellular rubber 4016.91.00 Floor coverings and mats 4016.92.00 Erasers 4016.93.11 Of a kind used in the automotive goods of Chapter 87:</w:t>
      </w:r>
    </w:p>
    <w:p>
      <w:pPr>
        <w:pStyle w:val="Normal"/>
        <w:widowControl/>
        <w:rPr/>
      </w:pPr>
      <w:r>
        <w:rPr/>
        <w:t>For use in the manufacture of aftermarket gas tanks and radiators for motor vehicles 4016.93.19 Of a kind used in the automotive goods of Chapter 87: Other 4016.93.91 Other: For use in the</w:t>
      </w:r>
    </w:p>
    <w:p>
      <w:pPr>
        <w:pStyle w:val="Normal"/>
        <w:widowControl/>
        <w:rPr/>
      </w:pPr>
      <w:r>
        <w:rPr/>
        <w:t>goods of heading 84.81 or hydraulic pump- motors of subheading 8413.60; For use in the manufacture or repair of engines or parts thereof for commercial fishing vessels; For use in the manufacture of goods of Section XVI, of Chapter 73 or 90, or of heading 87.05 (excluding the motor vehicle chassis portion and parts thereof), such goods being used in the recovery or production of crude oil from shales, oil-sands or tar- sands 4016.93.99 Other: Other 4016.94.00 Boat or dock fenders, whether or not inflatable 4016.95.10 Air mattresses 4016.95.90 Other 4016.99.10 Articles for use in the manufacture of microwave, passive infrared, or combination microwave and passive infrared relays; Backing pads for use with grinders; Bladders or sleeves, for use with tire or tube manufacturing machines; Boots and nipples, for use in the manufacture of ignition wiring sets; Containers and parts thereof (including expelling bulbs), for vaccines, toxoids (anatoxins), bacterins, toxins, serums containing immune bodies including antitoxins, glandular extracts or antibiotics, to be employed in the manufacture of such products;</w:t>
      </w:r>
    </w:p>
    <w:p>
      <w:pPr>
        <w:pStyle w:val="Normal"/>
        <w:widowControl/>
        <w:rPr/>
      </w:pPr>
      <w:r>
        <w:rPr/>
        <w:t>Grommets, sleeves and protectors, for use in the manufacture of hose assemblies for brake or steering systems for motorcycles or all-terrain vehicles; Parts for use in the manufacture of aftermarket gas tanks and radiators for motor vehicles; Rail pads; To be employed in the manufacture of sera, antisera, toxoids, viruses, toxins or antitoxins, virus or bacterial vaccines,</w:t>
      </w:r>
    </w:p>
    <w:p>
      <w:pPr>
        <w:pStyle w:val="Normal"/>
        <w:widowControl/>
        <w:rPr/>
      </w:pPr>
      <w:r>
        <w:rPr/>
        <w:t>bacteriophage or bacterial lysates, allergenics, liver extracts, pituitary extracts, epinephrine or its solutions, insulin (with or without zinc, globin or protamine) and blood plasma or serum of human origin, or fractions thereof, or extenders or substitutes therefor 4016.99.30 Vibration control articles of a kind used in the vehicles of headings 87.01 through 87.05 4016.99.90 Other 4017.00.10 Rods and tubes; Sheets and strip, of a thickness not exceeding 1.6 mm; Waste and scrap 4017.00.90 Other 4101.20.00 Whole hides and skins, unsplit, of a weight per skin not exceeding 8 kg when simply dried, 10 kg when dry-salted, or 16 kg when fresh, wet-salted or otherwise preserved 4101.50.00 Whole hides and skins, of a weight not exceeding 16 kg 4101.90.00 Other, including butts, bends and bellies 4102.10.00 With wool on 4102.21.00 Pickled 4102.29.00 Other 4103.20.00 Of reptiles 4103.30.00 Of swine 4103.90.00 Other 4104.11.00 Full grains, unsplit; grain splits 4104.19.00 Other 4104.41.00 Full grains, unsplit; grain splits 4104.49.00 Other 4105.10.11 Pre-tanned: For use as processing materials by tanners 4105.10.12 Pre-tanned:</w:t>
      </w:r>
    </w:p>
    <w:p>
      <w:pPr>
        <w:pStyle w:val="Normal"/>
        <w:widowControl/>
        <w:rPr/>
      </w:pPr>
      <w:r>
        <w:rPr/>
        <w:t>Vegetable pre-tanned hair sheep skins, and otherwise pre-tanned skins, for use in the manufacture of clothing or gloves 4105.10.19 Pre-tanned: Other 4105.10.21 Wet blue leather: For use as processing materials by tanners 4105.10.29 Wet blue leather: Other 4105.10.91 Other: For use as linings in the manufacture of footwear; For use as processing materials by</w:t>
      </w:r>
    </w:p>
    <w:p>
      <w:pPr>
        <w:pStyle w:val="Normal"/>
        <w:widowControl/>
        <w:rPr/>
      </w:pPr>
      <w:r>
        <w:rPr/>
        <w:t>tanners; Hair sheep skins, for use in the manufacture of footwear or ladies’ handbags 4105.10.99 Other: Other 4105.30.00 In the dry state (crust) 4106.21.10 Pre-tanned 4106.21.21 Wet blue leather: For use as processing materials by tanners 4106.21.29 Wet blue leather: Other 4106.21.91 Other: For use as processing materials by tanners; For use in the manufacture of belts, footwear or ladies’ handbags 4106.21.92 Other: For use in the manufacture of clothing or gloves 4106.21.99 Other: Other 4106.22.00 In the dry state (crust) 4106.31.10 Wet blue leather 4106.31.91 Other: For use as linings in the manufacture of footwear; For use in the manufacture of clothing; For use in the manufacture of uppers for footwear 4106.31.92 Other: For use in the manufacture of gloves 4106.31.99 Other: Other 4106.32.00 In the dry state (crust) 4106.40.00 Of reptiles 4106.91.00 In the wet state (including wet-blue) 4106.92.00 In the dry state (crust) 4107.11.00 Full grains, unsplit 4107.12.00 Grain splits 4107.19.00 Other 4107.91.00 Full grains, unsplit 4107.92.00 Grain splits 4107.99.00 Other 4112.00.00 Leather further prepared after tanning or crusting, including parchment-dressed leather, of sheep or lamb, without wool on, whether or not split, other than leather of heading 41.14.</w:t>
      </w:r>
    </w:p>
    <w:p>
      <w:pPr>
        <w:pStyle w:val="Normal"/>
        <w:widowControl/>
        <w:rPr/>
      </w:pPr>
      <w:r>
        <w:rPr/>
        <w:t>4113.10.00 Of goats or kids 4113.20.00 Of swine 4113.30.00 Of reptiles 4113.90.00 Other 4114.10.00 Chamois (including combination chamois) leather 4114.20.00 Patent leather and patent laminated leather; metallized leather 4115.10.00 Composition leather with a basis of leather or leather fibre, in slabs, sheets or strip, whether or not in rolls 4115.20.00 Parings and other waste of leather or of composition leather, not suitable for the manufacture of leather articles; leather dust, powder and flour 4201.00.10 English type saddles 4201.00.90 Other 4202.11.00 With outer surface of leather or of composition leather 4202.12.10 With outer surface of textile materials, containing less than 85% by weight of silk or silk waste 4202.12.90 Other 4202.19.00 Other 4202.21.00 With outer surface of leather or of composition leather 4202.22.10 With outer surface of textile materials (other than of abaca), containing less than 85% by weight of silk or silk waste 4202.22.90 Other 4202.29.00 Other 4202.31.00 With outer surface of leather or of composition leather 4202.32.10 With outer surface of textile materials, containing less than 85% by weight of silk or silk waste 4202.32.90 Other 4202.39.00 Other 4202.91.10 Fitted cases for church bells;</w:t>
      </w:r>
    </w:p>
    <w:p>
      <w:pPr>
        <w:pStyle w:val="Normal"/>
        <w:widowControl/>
        <w:spacing w:before="0" w:after="160"/>
        <w:rPr/>
      </w:pPr>
      <w:r>
        <w:rPr/>
        <w:t>Golfbags</w:t>
      </w:r>
    </w:p>
    <w:tbl>
      <w:tblPr>
        <w:tblStyle w:val="TableGrid"/>
        <w:tblW w:w="9360" w:type="dxa"/>
        <w:jc w:val="center"/>
        <w:tblInd w:w="-28" w:type="dxa"/>
        <w:tblLayout w:type="autofit"/>
        <w:tblCellMar>
          <w:top w:w="60" w:type="dxa"/>
          <w:left w:w="80" w:type="dxa"/>
          <w:bottom w:w="60" w:type="dxa"/>
          <w:right w:w="80" w:type="dxa"/>
        </w:tblCellMar>
        <w:tblLook w:val="04a0" w:noHBand="0" w:noVBand="1" w:firstColumn="1" w:lastRow="0" w:lastColumn="0" w:firstRow="1"/>
      </w:tblPr>
      <w:tblGrid>
        <w:gridCol w:w="4680"/>
        <w:gridCol w:w="4679"/>
      </w:tblGrid>
      <w:tr>
        <w:trPr>
          <w:tblHeader w:val="true"/>
          <w:cantSplit w:val="true"/>
          <w:tblHeader w:val="true"/>
        </w:trPr>
        <w:tc>
          <w:tcPr>
            <w:tcW w:w="4680" w:type="dxa"/>
            <w:tcBorders/>
            <w:vAlign w:val="center"/>
            <w:shd w:fill="233746"/>
          </w:tcPr>
          <w:p>
            <w:pPr>
              <w:pStyle w:val="Normal"/>
              <w:widowControl/>
              <w:suppressAutoHyphens w:val="true"/>
              <w:spacing w:lineRule="auto" w:line="240" w:before="0" w:after="0"/>
              <w:jc w:val="left"/>
              <w:rPr>
                <w:rFonts w:cs=""/>
                <w:kern w:val="0"/>
                <w:szCs w:val="22"/>
                <w:lang w:val="en-US" w:eastAsia="en-US" w:bidi="ar-SA"/>
              </w:rPr>
            </w:pPr>
            <w:r>
              <w:rPr>
                <w:rFonts w:cs="" w:ascii="Arial" w:hAnsi="Arial"/>
                <w:b/>
                <w:color w:val="FFFFFF"/>
                <w:kern w:val="0"/>
                <w:sz w:val="17"/>
                <w:szCs w:val="22"/>
                <w:lang w:val="en-US" w:eastAsia="en-US" w:bidi="ar-SA"/>
              </w:rPr>
              <w:t>Tariff Item</w:t>
            </w:r>
          </w:p>
        </w:tc>
        <w:tc>
          <w:tcPr>
            <w:tcW w:w="4679" w:type="dxa"/>
            <w:tcBorders/>
            <w:vAlign w:val="center"/>
            <w:shd w:fill="233746"/>
          </w:tcPr>
          <w:p>
            <w:pPr>
              <w:pStyle w:val="Normal"/>
              <w:widowControl/>
              <w:suppressAutoHyphens w:val="true"/>
              <w:spacing w:lineRule="auto" w:line="240" w:before="0" w:after="0"/>
              <w:jc w:val="left"/>
              <w:rPr>
                <w:rFonts w:cs=""/>
                <w:kern w:val="0"/>
                <w:szCs w:val="22"/>
                <w:lang w:val="en-US" w:eastAsia="en-US" w:bidi="ar-SA"/>
              </w:rPr>
            </w:pPr>
            <w:r>
              <w:rPr>
                <w:rFonts w:cs="" w:ascii="Arial" w:hAnsi="Arial"/>
                <w:b/>
                <w:color w:val="FFFFFF"/>
                <w:kern w:val="0"/>
                <w:sz w:val="17"/>
                <w:szCs w:val="22"/>
                <w:lang w:val="en-US" w:eastAsia="en-US" w:bidi="ar-SA"/>
              </w:rPr>
              <w:t>Description</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4202.91.20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Tool bags, haversacks, knapsacks, packsacks and rucksacks</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4202.91.90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Other</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4202.92.10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Fitted cases for church bells; Golf bags</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4202.92.20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Tool bags, haversacks, knapsacks, packsacks and rucksacks</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4202.92.90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Other</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4202.99.10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Fitted</w:t>
            </w:r>
          </w:p>
        </w:tc>
      </w:tr>
    </w:tbl>
    <w:p>
      <w:pPr>
        <w:pStyle w:val="Normal"/>
        <w:widowControl/>
        <w:spacing w:before="160" w:after="160"/>
        <w:rPr/>
      </w:pPr>
      <w:r>
        <w:rPr/>
        <w:t>cases for church bells</w:t>
      </w:r>
    </w:p>
    <w:tbl>
      <w:tblPr>
        <w:tblStyle w:val="TableGrid"/>
        <w:tblW w:w="9360" w:type="dxa"/>
        <w:jc w:val="center"/>
        <w:tblInd w:w="-28" w:type="dxa"/>
        <w:tblLayout w:type="autofit"/>
        <w:tblCellMar>
          <w:top w:w="60" w:type="dxa"/>
          <w:left w:w="80" w:type="dxa"/>
          <w:bottom w:w="60" w:type="dxa"/>
          <w:right w:w="80" w:type="dxa"/>
        </w:tblCellMar>
        <w:tblLook w:val="04a0" w:noHBand="0" w:noVBand="1" w:firstColumn="1" w:lastRow="0" w:lastColumn="0" w:firstRow="1"/>
      </w:tblPr>
      <w:tblGrid>
        <w:gridCol w:w="4680"/>
        <w:gridCol w:w="4679"/>
      </w:tblGrid>
      <w:tr>
        <w:trPr>
          <w:tblHeader w:val="true"/>
          <w:cantSplit w:val="true"/>
          <w:tblHeader w:val="true"/>
        </w:trPr>
        <w:tc>
          <w:tcPr>
            <w:tcW w:w="4680" w:type="dxa"/>
            <w:tcBorders/>
            <w:vAlign w:val="center"/>
            <w:shd w:fill="233746"/>
          </w:tcPr>
          <w:p>
            <w:pPr>
              <w:pStyle w:val="Normal"/>
              <w:widowControl/>
              <w:suppressAutoHyphens w:val="true"/>
              <w:spacing w:lineRule="auto" w:line="240" w:before="0" w:after="0"/>
              <w:jc w:val="left"/>
              <w:rPr>
                <w:rFonts w:cs=""/>
                <w:kern w:val="0"/>
                <w:szCs w:val="22"/>
                <w:lang w:val="en-US" w:eastAsia="en-US" w:bidi="ar-SA"/>
              </w:rPr>
            </w:pPr>
            <w:r>
              <w:rPr>
                <w:rFonts w:cs="" w:ascii="Arial" w:hAnsi="Arial"/>
                <w:b/>
                <w:color w:val="FFFFFF"/>
                <w:kern w:val="0"/>
                <w:sz w:val="17"/>
                <w:szCs w:val="22"/>
                <w:lang w:val="en-US" w:eastAsia="en-US" w:bidi="ar-SA"/>
              </w:rPr>
              <w:t>Tariff Item</w:t>
            </w:r>
          </w:p>
        </w:tc>
        <w:tc>
          <w:tcPr>
            <w:tcW w:w="4679" w:type="dxa"/>
            <w:tcBorders/>
            <w:vAlign w:val="center"/>
            <w:shd w:fill="233746"/>
          </w:tcPr>
          <w:p>
            <w:pPr>
              <w:pStyle w:val="Normal"/>
              <w:widowControl/>
              <w:suppressAutoHyphens w:val="true"/>
              <w:spacing w:lineRule="auto" w:line="240" w:before="0" w:after="0"/>
              <w:jc w:val="left"/>
              <w:rPr>
                <w:rFonts w:cs=""/>
                <w:kern w:val="0"/>
                <w:szCs w:val="22"/>
                <w:lang w:val="en-US" w:eastAsia="en-US" w:bidi="ar-SA"/>
              </w:rPr>
            </w:pPr>
            <w:r>
              <w:rPr>
                <w:rFonts w:cs="" w:ascii="Arial" w:hAnsi="Arial"/>
                <w:b/>
                <w:color w:val="FFFFFF"/>
                <w:kern w:val="0"/>
                <w:sz w:val="17"/>
                <w:szCs w:val="22"/>
                <w:lang w:val="en-US" w:eastAsia="en-US" w:bidi="ar-SA"/>
              </w:rPr>
              <w:t>Description</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4202.99.90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Other</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4203.10.00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Articles of apparel</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4203.21.10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Gloves for cricket</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4203.21.90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Other</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4203.29.10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Gloves of kid</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4203.29.90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Other</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4203.30.00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Belts and bandoliers</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4203.40.00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Other clothing accessories</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4205.00.00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Other articles of leather or of composition leather.</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4206.00.10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Catgut</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4206.00.90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Other</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4301.10.00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Of mink, whole, with or without head, tail or paws</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4301.30.00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Of lamb, the following: Astrakhan, Broadtail, Caracul, Persian and similar lamb, Indian, Chinese, Mongolian or Tibetan lamb, whole, with or without head, tail or paws</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4301.60.00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Of fox, whole, with or without head, tail or paws</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4301.80.00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Other furskins, whole, with or without head, tail or paws</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4301.90.00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Heads, tails, paws and other pieces or cuttings, suitable for furriers’ use</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4302.11.00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Of mink</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4302.19.00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Other</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4302.20.00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Heads, tails, paws and other pieces or cuttings, not assembled</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4302.30.10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China goat mats or plates; Rabbit or hare fur plates</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4302.30.90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Other</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4303.10.10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Gloves, mittens and mitts</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4303.10.20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Leather garments lined with furskin</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4303.10.90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Other</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4303.90.00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Other</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4304.00.00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Artificial fur and articles thereof.</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b/>
                <w:kern w:val="0"/>
                <w:sz w:val="17"/>
                <w:szCs w:val="22"/>
                <w:lang w:val="en-US" w:eastAsia="en-US" w:bidi="ar-SA"/>
              </w:rPr>
              <w:t>Tariff Item</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b/>
                <w:kern w:val="0"/>
                <w:sz w:val="17"/>
                <w:szCs w:val="22"/>
                <w:lang w:val="en-US" w:eastAsia="en-US" w:bidi="ar-SA"/>
              </w:rPr>
              <w:t>Description</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4401.11.00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Coniferous</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4401.12.00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Non-coniferous</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4401.21.00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Coniferous</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4401.22.00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Non-coniferous</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4401.31.00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Wood pellets</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4401.39.00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Other</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4401.40.00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Sawdust and wood waste and scrap, not agglomerated</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4402.10.10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Wood charcoal (not including shell or nut charcoal), containing 10% or less by weight of binder</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4402.10.90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Other</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4402.90.10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Charcoal of coconut shell for use in the manufacture of activated carbon;</w:t>
            </w:r>
          </w:p>
        </w:tc>
      </w:tr>
    </w:tbl>
    <w:p>
      <w:pPr>
        <w:pStyle w:val="Normal"/>
        <w:widowControl/>
        <w:spacing w:before="160" w:after="160"/>
        <w:rPr/>
      </w:pPr>
      <w:r>
        <w:rPr/>
        <w:t>Wood charcoal (not including shell or nut charcoal), containing 10% or less by weight of binder 4402.90.90 Other 4403.11.00 Coniferous 4403.12.00 Non-coniferous 4403.21.00 Of pine (Pinus spp.), of which any cross-sectional dimension is 15 cm or more 4403.22.00 Of pine (Pinus spp.), other 4403.23.00 Of fir (Abies spp.) and spruce (Picea spp.), of which any cross- sectional dimension is 15 cm or more 4403.24.00 Of fir (Abies spp.) and spruce (Picea spp.), other 4403.25.00 Other, of which any cross-sectional dimension is 15 cm or more 4403.26.00 Other 4403.41.00 Dark Red Meranti, Light Red Meranti and Meranti Bakau 4403.49.00 Other 4403.91.00 Of oak (Quercus spp.) 4403.93.00 Of beech (Fagus spp.), of which any cross-sectional dimension is 15 cm or more 4403.94.00 Of beech (Fagus spp.), other 4403.95.00 Of birch (Betula spp.), of which any cross-sectional dimension is 15 cm or more 4403.96.00 Of birch (Betula spp.), other 4403.97.00 Of poplar and aspen (Populus spp.) 4403.98.00 Of eucalyptus (Eucalyptus spp.</w:t>
      </w:r>
    </w:p>
    <w:tbl>
      <w:tblPr>
        <w:tblStyle w:val="TableGrid"/>
        <w:tblW w:w="9360" w:type="dxa"/>
        <w:jc w:val="center"/>
        <w:tblInd w:w="-28" w:type="dxa"/>
        <w:tblLayout w:type="autofit"/>
        <w:tblCellMar>
          <w:top w:w="60" w:type="dxa"/>
          <w:left w:w="80" w:type="dxa"/>
          <w:bottom w:w="60" w:type="dxa"/>
          <w:right w:w="80" w:type="dxa"/>
        </w:tblCellMar>
        <w:tblLook w:val="04a0" w:noHBand="0" w:noVBand="1" w:firstColumn="1" w:lastRow="0" w:lastColumn="0" w:firstRow="1"/>
      </w:tblPr>
      <w:tblGrid>
        <w:gridCol w:w="4680"/>
        <w:gridCol w:w="4679"/>
      </w:tblGrid>
      <w:tr>
        <w:trPr>
          <w:tblHeader w:val="true"/>
          <w:cantSplit w:val="true"/>
          <w:tblHeader w:val="true"/>
        </w:trPr>
        <w:tc>
          <w:tcPr>
            <w:tcW w:w="4680" w:type="dxa"/>
            <w:tcBorders/>
            <w:vAlign w:val="center"/>
            <w:shd w:fill="233746"/>
          </w:tcPr>
          <w:p>
            <w:pPr>
              <w:pStyle w:val="Normal"/>
              <w:widowControl/>
              <w:suppressAutoHyphens w:val="true"/>
              <w:spacing w:lineRule="auto" w:line="240" w:before="0" w:after="0"/>
              <w:jc w:val="left"/>
              <w:rPr>
                <w:rFonts w:cs=""/>
                <w:kern w:val="0"/>
                <w:szCs w:val="22"/>
                <w:lang w:val="en-US" w:eastAsia="en-US" w:bidi="ar-SA"/>
              </w:rPr>
            </w:pPr>
            <w:r>
              <w:rPr>
                <w:rFonts w:cs="" w:ascii="Arial" w:hAnsi="Arial"/>
                <w:b/>
                <w:color w:val="FFFFFF"/>
                <w:kern w:val="0"/>
                <w:sz w:val="17"/>
                <w:szCs w:val="22"/>
                <w:lang w:val="en-US" w:eastAsia="en-US" w:bidi="ar-SA"/>
              </w:rPr>
              <w:t>Tariff Item</w:t>
            </w:r>
          </w:p>
        </w:tc>
        <w:tc>
          <w:tcPr>
            <w:tcW w:w="4679" w:type="dxa"/>
            <w:tcBorders/>
            <w:vAlign w:val="center"/>
            <w:shd w:fill="233746"/>
          </w:tcPr>
          <w:p>
            <w:pPr>
              <w:pStyle w:val="Normal"/>
              <w:widowControl/>
              <w:suppressAutoHyphens w:val="true"/>
              <w:spacing w:lineRule="auto" w:line="240" w:before="0" w:after="0"/>
              <w:jc w:val="left"/>
              <w:rPr>
                <w:rFonts w:cs=""/>
                <w:kern w:val="0"/>
                <w:szCs w:val="22"/>
                <w:lang w:val="en-US" w:eastAsia="en-US" w:bidi="ar-SA"/>
              </w:rPr>
            </w:pPr>
            <w:r>
              <w:rPr>
                <w:rFonts w:cs="" w:ascii="Arial" w:hAnsi="Arial"/>
                <w:b/>
                <w:color w:val="FFFFFF"/>
                <w:kern w:val="0"/>
                <w:sz w:val="17"/>
                <w:szCs w:val="22"/>
                <w:lang w:val="en-US" w:eastAsia="en-US" w:bidi="ar-SA"/>
              </w:rPr>
              <w:t>Description</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4403.99.00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 Other</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4404.10.00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Coniferous</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4404.20.00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Non-coniferous</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4405.00.00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Wood wool; wood flour.</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4406.11.00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Coniferous</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4406.12.00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Non-coniferous</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4406.91.00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Coniferous</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4406.92.00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Non-coniferous</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4407.11.00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Of pine (Pinus spp.)</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4407.12.00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Of fir (Abies spp.) and spruce (Picea spp.)</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4407.19.00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Other</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4407.21.00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Mahogany (Swietenia spp.)</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4407.22.00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Virola, Imbuia and Balsa</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4407.25.00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Dark Red Meranti, Light Red Meranti and Meranti Bakau</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4407.26.00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White Lauan, White Meranti, White Seraya, Yellow Meranti and Alan</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4407.27.00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Sapelli</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4407.28.00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Iroko</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4407.29.00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Other</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4407.91.00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Of oak (Quercus spp.)</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4407.92.00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Of beech (Fagus spp.)</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4407.93.00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Of maple (Acer spp.)</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4407.94.00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Of cherry (Prunus spp.)</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4407.95.00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Of ash (Fraxinus spp.)</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4407.96.00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Of birch (Betula spp.)</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4407.97.00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Of poplar and aspen (Populus spp.)</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4407.99.00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Other</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4408.10.10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Sheets for veneering obtained by slicing laminated wood</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4408.10.90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Other</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4408.31.00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Dark Red Meranti, Light Red Meranti and Meranti Bakau</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4408.39.00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Other</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4408.90.10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Sheets for veneering obtained by slicing laminated wood</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4408.90.90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Other</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4409.10.00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Coniferous</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4409.21.00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Of bamboo</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4409.22.00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Of tropical wood</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4409.29.10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Flooring of oak (Quercus spp.</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b/>
                <w:kern w:val="0"/>
                <w:sz w:val="17"/>
                <w:szCs w:val="22"/>
                <w:lang w:val="en-US" w:eastAsia="en-US" w:bidi="ar-SA"/>
              </w:rPr>
              <w:t>Tariff Item</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b/>
                <w:kern w:val="0"/>
                <w:sz w:val="17"/>
                <w:szCs w:val="22"/>
                <w:lang w:val="en-US" w:eastAsia="en-US" w:bidi="ar-SA"/>
              </w:rPr>
              <w:t>Description</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4409.29.90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 Other</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4410.11.00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Particle board</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4410.12.00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Oriented strand board (OSB)</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4410.19.00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Other</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4410.90.00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Other</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4411.12.00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Of a thickness not exceeding 5 mm</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4411.13.00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Of a thickness exceeding 5 mm but not exceeding 9 mm</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4411.14.00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Of a thickness exceeding 9 mm</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4411.92.10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Not mechanically worked or surface covered;</w:t>
            </w:r>
          </w:p>
        </w:tc>
      </w:tr>
    </w:tbl>
    <w:p>
      <w:pPr>
        <w:pStyle w:val="Normal"/>
        <w:widowControl/>
        <w:spacing w:before="160" w:after="120"/>
        <w:rPr/>
      </w:pPr>
      <w:r>
        <w:rPr/>
        <w:t>Resin impregnated, containing 17% or more by weight of phenol- formaldehyde resin, for use in the manufacture of overlaid plywood or overlaid particle board 4411.92.90 Other 4411.93.00 Of a density exceeding 0.5 g/cm³ but not exceeding 0.8 g/cm³ 4411.94.00 Of a density not exceeding 0.5 g/cm³ 4412.10.10 With at least one outer ply of non-coniferous wood 4412.10.90 Other 4412.31.00 With at least one outer ply of tropical wood 4412.33.00 Other, with at least one outer ply of non-coniferous wood of the species alder (Alnus spp.), ash (Fraxinus spp.), beech (Fagus spp.), birch (Betula spp.), cherry (Prunus spp.), chestnut (Castanea spp.), elm (Ulmus spp.), eucalyptus (Eucalyptus spp.), hickory (Carya spp.), horse chestnut (Aesculus spp.), lime (Tilia spp.), maple (Acer spp.), oak (Quercus spp.), plane tree (Platanus spp.), poplar and aspen (Populus spp.), robinia (Robinia spp.), tulipwood (Liriodendron spp.) or walnut (Juglans spp.)</w:t>
      </w:r>
    </w:p>
    <w:p>
      <w:pPr>
        <w:pStyle w:val="Normal"/>
        <w:widowControl/>
        <w:rPr/>
      </w:pPr>
      <w:r>
        <w:rPr/>
        <w:t>4412.34.00 Other, with at least one outer ply of non-coniferous wood not specified under subheading 4412.33 4412.39.00 Other, with both outer plies of coniferous wood 4412.94.10 With outer ply of coniferous wood, containing at least one layer of particle board; Plywood core boards or wood block core boards, mahogany- veneered, for use in the manufacture of door jambs 4412.94.90 Other 4412.99.10 Containing at least one layer of particle board; Plywood core boards or wood block core boards, mahogany- veneered, for use in the manufacture of door jambs 4412.99.90 Other 4413.00.00 Densified wood, in blocks, plates, strips or profile shapes. 4414.00.00 Wooden frames for paintings, photographs, mirrors or similar objects. 4415.10.10 Reusable containers, specially designed to be employed in the transportation of motor vehicle components which are free of customs duties, presented with the goods therein 4415.10.80 Other cases, boxes and crates 4415.10.90 Other 4415.20.00 Pallets, box pallets and other load boards; pallet collars 4416.00.00 Casks, barrels, vats, tubs and other coopers’ products and parts thereof, of wood, including staves.</w:t>
      </w:r>
    </w:p>
    <w:p>
      <w:pPr>
        <w:pStyle w:val="Normal"/>
        <w:widowControl/>
        <w:rPr/>
      </w:pPr>
      <w:r>
        <w:rPr/>
        <w:t>4417.00.10 Handles for axes, spades, hand shovels, hand hoes, hand rakes and hand forks, not further manufactured than turned; Handles for brushes, brooms or mops; Handles for scythes (snaths) 4417.00.90 Other 4418.10.10 Window frames 4418.10.90 Other 4418.20.00 Doors and their frames and thresholds 4418.40.00 Shuttering for concrete constructional work 4418.50.00 Shingles and shakes 4418.60.00 Posts and beams 4418.73.00 Of bamboo or with at least the top layer (wear layer) of bamboo 4418.74.00 Other, for mosaic floors 4418.75.00 Other, multilayer 4418.79.00 Other 4418.91.00 Of bamboo 4418.99.00 Other 4419.11.00 Bread boards, chopping boards and similar boards 4419.12.00 Chopsticks 4419.19.00 Other 4419.90.00 Other 4420.10.00 Statuettes and other ornaments, of wood 4420.90.00 Other 4421.10.00 Clothes hangers 4421.91.10 Cross arms, drilled; Die models, to be employed as blueprint substitutes in the manufacture, assembly, erection, installation, operation or maintenance of machines, test sets, engines, apparatus, appliances, plant equipment and parts thereof; Hay stack forms; Mouldings (other than the goods of heading 44.09), continuously shaped, and not further processed than treated with fire retardant materials, fillers, sealers, waxes, oils, stains, varnishes, paints or enamels; Saddle trees;</w:t>
      </w:r>
    </w:p>
    <w:p>
      <w:pPr>
        <w:pStyle w:val="Normal"/>
        <w:widowControl/>
        <w:rPr/>
      </w:pPr>
      <w:r>
        <w:rPr/>
        <w:t>Spokes and last blocks not further manufactured than turned; Trellises and fencing panels 4421.91.20 Blinds; Labels; Signs, letters and numerals; Window shade or blind rollers</w:t>
      </w:r>
    </w:p>
    <w:p>
      <w:pPr>
        <w:pStyle w:val="Normal"/>
        <w:widowControl/>
        <w:rPr/>
      </w:pPr>
      <w:r>
        <w:rPr/>
        <w:t>4421.91.30 Coffins and caskets 4421.91.90 Other 4421.99.10 Cross arms, drilled; Die models, to be employed as blueprint substitutes in the manufacture, assembly, erection, installation, operation or maintenance of machines, test sets, engines, apparatus, appliances, plant equipment and parts thereof; Felloes of hickory or oak; Hay stack forms; Mouldings (other than the goods of heading 44.09), continuously shaped, and not further processed than treated with fire retardant materials, fillers, sealers, waxes, oils, stains, varnishes, paints or enamels; Saddle trees and stirrups; Spokes and last blocks not further manufactured than turned; Trellises and fencing panels 4421.99.20 Blinds; Labels; Signs, letters and numerals; Window shade or blind rollers 4421.99.30 Coffins and caskets; Joiners’ benches and trestles 4421.99.90 Other 4501.10.00 Natural cork, raw or simply prepared 4501.90.00 Other 4502.00.00 Natural cork, debacked or roughly squared, or in rectangular (including square) blocks, plates, sheets or strip, (including sharp- edged blanks for corks or stoppers).</w:t>
      </w:r>
    </w:p>
    <w:p>
      <w:pPr>
        <w:pStyle w:val="Normal"/>
        <w:widowControl/>
        <w:rPr/>
      </w:pPr>
      <w:r>
        <w:rPr/>
        <w:t>4503.10.00 Corks and stoppers 4503.90.00 Other 4504.10.00 Blocks, plates, sheets and strip; tiles of any shape; solid cylinders, including discs 4504.90.00 Other 4601.21.00 Of bamboo 4601.22.00 Of rattan 4601.29.10 Mats and matting of sisal, palm or cane straw 4601.29.90 Other 4601.92.10 Plaits and similar products of plaiting materials, whether or not assembled into strips 4601.92.90 Other 4601.93.10 Plaits and similar products of plaiting materials, whether or not assembled into strips 4601.93.90 Other 4601.94.10 Plaits and similar products of plaiting materials, whether or not assembled into strips 4601.94.90 Other 4601.99.10 Plaits and similar products of plaiting materials, whether or not assembled into strips 4601.99.90 Other 4602.11.10 Handbags; Trunks, travelling-bags and cases, shopping-bags and hatboxes 4602.11.92 Other: Baskets 4602.11.93 Other: Panniers specially designed for transporting and releasing pigeons 4602.11.99 Other: Other 4602.12.10 Handbags other than of palm straw or cane straw; Trunks, travelling-bags and cases, shopping-bags and hatboxes 4602.12.91 Other: Handbags of palm straw 4602.12.92 Other: Baskets of interwoven vegetable fibres 4602.12.93 Other: Panniers specially designed for transporting and releasing pigeons 4602.12.99 Other:</w:t>
      </w:r>
    </w:p>
    <w:p>
      <w:pPr>
        <w:pStyle w:val="Normal"/>
        <w:widowControl/>
        <w:rPr/>
      </w:pPr>
      <w:r>
        <w:rPr/>
        <w:t>Other 4602.19.10 Handbags other than of sisal, palm straw or cane straw; Trunks, travelling-bags and cases, shopping-bags and hatboxes 4602.19.91 Other: Handbags of sisal, palm straw or cane straw 4602.19.92 Other:</w:t>
      </w:r>
    </w:p>
    <w:p>
      <w:pPr>
        <w:pStyle w:val="Normal"/>
        <w:widowControl/>
        <w:spacing w:before="0" w:after="160"/>
        <w:rPr/>
      </w:pPr>
      <w:r>
        <w:rPr/>
        <w:t>Baskets of interwoven vegetable fibres</w:t>
      </w:r>
    </w:p>
    <w:tbl>
      <w:tblPr>
        <w:tblStyle w:val="TableGrid"/>
        <w:tblW w:w="9360" w:type="dxa"/>
        <w:jc w:val="center"/>
        <w:tblInd w:w="-28" w:type="dxa"/>
        <w:tblLayout w:type="autofit"/>
        <w:tblCellMar>
          <w:top w:w="60" w:type="dxa"/>
          <w:left w:w="80" w:type="dxa"/>
          <w:bottom w:w="60" w:type="dxa"/>
          <w:right w:w="80" w:type="dxa"/>
        </w:tblCellMar>
        <w:tblLook w:val="04a0" w:noHBand="0" w:noVBand="1" w:firstColumn="1" w:lastRow="0" w:lastColumn="0" w:firstRow="1"/>
      </w:tblPr>
      <w:tblGrid>
        <w:gridCol w:w="4680"/>
        <w:gridCol w:w="4679"/>
      </w:tblGrid>
      <w:tr>
        <w:trPr>
          <w:tblHeader w:val="true"/>
          <w:cantSplit w:val="true"/>
          <w:tblHeader w:val="true"/>
        </w:trPr>
        <w:tc>
          <w:tcPr>
            <w:tcW w:w="4680" w:type="dxa"/>
            <w:tcBorders/>
            <w:vAlign w:val="center"/>
            <w:shd w:fill="233746"/>
          </w:tcPr>
          <w:p>
            <w:pPr>
              <w:pStyle w:val="Normal"/>
              <w:widowControl/>
              <w:suppressAutoHyphens w:val="true"/>
              <w:spacing w:lineRule="auto" w:line="240" w:before="0" w:after="0"/>
              <w:jc w:val="left"/>
              <w:rPr>
                <w:rFonts w:cs=""/>
                <w:kern w:val="0"/>
                <w:szCs w:val="22"/>
                <w:lang w:val="en-US" w:eastAsia="en-US" w:bidi="ar-SA"/>
              </w:rPr>
            </w:pPr>
            <w:r>
              <w:rPr>
                <w:rFonts w:cs="" w:ascii="Arial" w:hAnsi="Arial"/>
                <w:b/>
                <w:color w:val="FFFFFF"/>
                <w:kern w:val="0"/>
                <w:sz w:val="17"/>
                <w:szCs w:val="22"/>
                <w:lang w:val="en-US" w:eastAsia="en-US" w:bidi="ar-SA"/>
              </w:rPr>
              <w:t>Tariff Item</w:t>
            </w:r>
          </w:p>
        </w:tc>
        <w:tc>
          <w:tcPr>
            <w:tcW w:w="4679" w:type="dxa"/>
            <w:tcBorders/>
            <w:vAlign w:val="center"/>
            <w:shd w:fill="233746"/>
          </w:tcPr>
          <w:p>
            <w:pPr>
              <w:pStyle w:val="Normal"/>
              <w:widowControl/>
              <w:suppressAutoHyphens w:val="true"/>
              <w:spacing w:lineRule="auto" w:line="240" w:before="0" w:after="0"/>
              <w:jc w:val="left"/>
              <w:rPr>
                <w:rFonts w:cs=""/>
                <w:kern w:val="0"/>
                <w:szCs w:val="22"/>
                <w:lang w:val="en-US" w:eastAsia="en-US" w:bidi="ar-SA"/>
              </w:rPr>
            </w:pPr>
            <w:r>
              <w:rPr>
                <w:rFonts w:cs="" w:ascii="Arial" w:hAnsi="Arial"/>
                <w:b/>
                <w:color w:val="FFFFFF"/>
                <w:kern w:val="0"/>
                <w:sz w:val="17"/>
                <w:szCs w:val="22"/>
                <w:lang w:val="en-US" w:eastAsia="en-US" w:bidi="ar-SA"/>
              </w:rPr>
              <w:t>Description</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4602.19.93</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Other: Panniers specially designed for transporting and releasing pigeons</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4602.19.99</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Other: Other</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4602.90.10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Baskets, trunks, travelling-bags and cases, shopping-bags, handbags and hatboxes</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4602.90.90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Other</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4701.00.00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Mechanical wood pulp.</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4702.00.00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Chemical wood pulp, dissolving grades.</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4703.11.00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Coniferous</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4703.19.00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Non-coniferous</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4703.21.00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Coniferous</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4703.29.00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Non-coniferous</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4704.11.00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Coniferous</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4704.19.00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Non-coniferous</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4704.21.00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Coniferous</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4704.29.00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Non-coniferous</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4705.00.00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Wood pulp obtained by a combination of mechanical and chemical pulping processes.</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4706.10.00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Cotton linters pulp</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4706.20.00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Pulps of fibres derived from recovered (waste and scrap) paper or paperboard</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4706.30.00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Other, of bamboo</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4706.91.00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Mechanical</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4706.92.00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Chemical</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4706.93.00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Obtained by a combination of mechanical and chemical processes</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4707.10.00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Unbleached kraft paper or paperboard or corrugated paper or paperboard</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4707.20.00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Other paper or paperboard made mainly of bleached chemical pulp, not coloured in the mass</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4707.30.00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Paper or paperboard made mainly of mechanical pulp (for example, newspapers, journals and similar printed matter)</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4707.90.00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Other, including unsorted waste and scrap</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4801.00.00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Newsprint, in rolls or sheets.</w:t>
            </w:r>
          </w:p>
        </w:tc>
      </w:tr>
    </w:tbl>
    <w:p>
      <w:pPr>
        <w:pStyle w:val="Normal"/>
        <w:widowControl/>
        <w:spacing w:before="160" w:after="160"/>
        <w:rPr/>
      </w:pPr>
      <w:r>
        <w:rPr/>
        <w:t>4802.10.00 Hand-made paper and paperboard 4802.20.00 Paper and paperboard of a kind used as a base for photo sensitive, heat-sensitive or electro-sensitive paper or paperboard 4802.40.00 Wallpaper base 4802.54.00 Weighing less than 40 g/m² 4802.55.00 Weighing 40 g/m² or more but not more than 150 g/m², in rolls 4802.56.00 Weighing 40 g/m² or more but not more than 150 g/m², in sheets with one side not exceeding 435 mm and the other side not exceeding 297 mm in the unfolded state 4802.57.00 Other, weighing 40 g/m² or more but not more than 150 g/m² 4802.58.00 Weighing more than 150 g/m² 4802.61.00 In rolls 4802.62.00 In sheets with one side not exceeding 435 mm and the other side not exceeding 297 mm in the unfolded state 4802.69.00 Other 4803.00.00 Toilet or facial tissue stock, towel or napkin stock and similar paper of a kind used for household or sanitary purposes, cellulose wadding and webs of cellulose fibres, whether or not creped, crinkled, embossed, perforated, surface-coloured, surface- decorated or printed, in rolls or sheets.</w:t>
      </w:r>
    </w:p>
    <w:tbl>
      <w:tblPr>
        <w:tblStyle w:val="TableGrid"/>
        <w:tblW w:w="9360" w:type="dxa"/>
        <w:jc w:val="center"/>
        <w:tblInd w:w="-28" w:type="dxa"/>
        <w:tblLayout w:type="autofit"/>
        <w:tblCellMar>
          <w:top w:w="60" w:type="dxa"/>
          <w:left w:w="80" w:type="dxa"/>
          <w:bottom w:w="60" w:type="dxa"/>
          <w:right w:w="80" w:type="dxa"/>
        </w:tblCellMar>
        <w:tblLook w:val="04a0" w:noHBand="0" w:noVBand="1" w:firstColumn="1" w:lastRow="0" w:lastColumn="0" w:firstRow="1"/>
      </w:tblPr>
      <w:tblGrid>
        <w:gridCol w:w="4680"/>
        <w:gridCol w:w="4679"/>
      </w:tblGrid>
      <w:tr>
        <w:trPr>
          <w:tblHeader w:val="true"/>
          <w:cantSplit w:val="true"/>
          <w:tblHeader w:val="true"/>
        </w:trPr>
        <w:tc>
          <w:tcPr>
            <w:tcW w:w="4680" w:type="dxa"/>
            <w:tcBorders/>
            <w:vAlign w:val="center"/>
            <w:shd w:fill="233746"/>
          </w:tcPr>
          <w:p>
            <w:pPr>
              <w:pStyle w:val="Normal"/>
              <w:widowControl/>
              <w:suppressAutoHyphens w:val="true"/>
              <w:spacing w:lineRule="auto" w:line="240" w:before="0" w:after="0"/>
              <w:jc w:val="left"/>
              <w:rPr>
                <w:rFonts w:cs=""/>
                <w:kern w:val="0"/>
                <w:szCs w:val="22"/>
                <w:lang w:val="en-US" w:eastAsia="en-US" w:bidi="ar-SA"/>
              </w:rPr>
            </w:pPr>
            <w:r>
              <w:rPr>
                <w:rFonts w:cs="" w:ascii="Arial" w:hAnsi="Arial"/>
                <w:b/>
                <w:color w:val="FFFFFF"/>
                <w:kern w:val="0"/>
                <w:sz w:val="17"/>
                <w:szCs w:val="22"/>
                <w:lang w:val="en-US" w:eastAsia="en-US" w:bidi="ar-SA"/>
              </w:rPr>
              <w:t>Tariff Item</w:t>
            </w:r>
          </w:p>
        </w:tc>
        <w:tc>
          <w:tcPr>
            <w:tcW w:w="4679" w:type="dxa"/>
            <w:tcBorders/>
            <w:vAlign w:val="center"/>
            <w:shd w:fill="233746"/>
          </w:tcPr>
          <w:p>
            <w:pPr>
              <w:pStyle w:val="Normal"/>
              <w:widowControl/>
              <w:suppressAutoHyphens w:val="true"/>
              <w:spacing w:lineRule="auto" w:line="240" w:before="0" w:after="0"/>
              <w:jc w:val="left"/>
              <w:rPr>
                <w:rFonts w:cs=""/>
                <w:kern w:val="0"/>
                <w:szCs w:val="22"/>
                <w:lang w:val="en-US" w:eastAsia="en-US" w:bidi="ar-SA"/>
              </w:rPr>
            </w:pPr>
            <w:r>
              <w:rPr>
                <w:rFonts w:cs="" w:ascii="Arial" w:hAnsi="Arial"/>
                <w:b/>
                <w:color w:val="FFFFFF"/>
                <w:kern w:val="0"/>
                <w:sz w:val="17"/>
                <w:szCs w:val="22"/>
                <w:lang w:val="en-US" w:eastAsia="en-US" w:bidi="ar-SA"/>
              </w:rPr>
              <w:t>Description</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4804.11.00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Unbleached</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4804.19.00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Other</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4804.21.00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Unbleached</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4804.29.00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Other</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4804.31.00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Unbleached</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4804.39.00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Other</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4804.41.00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Unbleached</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4804.42.00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Bleached uniformly throughout the mass and of which more than 95% by weight of the total fibre content consists of wood fibres obtained by a chemical process</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4804.49.00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Other</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4804.51.00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Unbleached</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4804.52.00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Bleached uniformly throughout the mass and of which more than 95% by weight of the total fibre content consists of wood fibres obtained by a chemical process</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4804.59.00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Other</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4805.11.00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Semi-chemical fluting paper</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4805.12.00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Straw fluting paper</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4805.19.00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Other</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4805.24.00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Weighing 150 g/m² or less</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4805.25.00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Weighing more than 150 g/m²</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4805.30.00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Sulphite wrapping paper</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4805.40.00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Filter paper and paperboard</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4805.50.00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Felt paper and paperboard</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4805.91.00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Weighing 150 g/m² or less</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4805.92.00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Weighing more than 150 g/m² but less than 225 g/m²</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4805.93.00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Weighing 225 g/m² or more</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4806.10.00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Vegetable parchment</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4806.20.00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Greaseproof papers</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4806.30.00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Tracing papers</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4806.40.00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Glassine and other glazed transparent or translucent papers</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4807.00.00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Composite paper and paperboard (made by sticking flat layers of paper or paperboard together with an adhesive), not surface- coated or impregnated, whether or not internally reinforced, in rolls or sheets.</w:t>
            </w:r>
          </w:p>
        </w:tc>
      </w:tr>
    </w:tbl>
    <w:p>
      <w:pPr>
        <w:pStyle w:val="Normal"/>
        <w:widowControl/>
        <w:spacing w:before="160" w:after="160"/>
        <w:rPr/>
      </w:pPr>
      <w:r>
        <w:rPr/>
        <w:t>4808.10.00 Corrugated paper and paperboard, whether or not perforated 4808.40.00 Kraft paper, creped or crinkled, whether or not embossed or perforated 4808.90.00 Other 4809.20.00 Self-copy paper 4809.90.00 Other 4810.13.00 In rolls 4810.14.00 In sheets with one side not exceeding 435 mm and the other side not exceeding 297 mm in the unfolded state 4810.19.00 Other 4810.22.00 Light-weight coated paper 4810.29.00 Other 4810.31.00 Bleached uniformly throughout the mass and of which more than 95% by weight of the total fibre content consists of wood fibres obtained by a chemical process, and weighing 150 g/m² or less 4810.32.00 Bleached uniformly throughout the mass and of which more than 95% by weight of the total fibre content consists of wood fibres obtained by a chemical process, and weighing more than 150 g/m² 4810.39.00 Other 4810.92.00 Multi-ply 4810.99.00 Other 4811.10.00 Tarred, bituminized or asphalted paper and paperboard 4811.41.00 Self-adhesive 4811.49.00 Other 4811.51.00 Bleached, weighing more than 150 g/m² 4811.59.00 Other 4811.60.00 Paper and paperboard, coated, impregnated or covered with wax, paraffin wax, stearin, oil or glycerol 4811.90.00 Other paper, paperboard, cellulose wadding and webs of cellulose fibres 4812.00.00 Filter blocks, slabs and plates, of paper pulp.</w:t>
      </w:r>
    </w:p>
    <w:tbl>
      <w:tblPr>
        <w:tblStyle w:val="TableGrid"/>
        <w:tblW w:w="9360" w:type="dxa"/>
        <w:jc w:val="center"/>
        <w:tblInd w:w="-28" w:type="dxa"/>
        <w:tblLayout w:type="autofit"/>
        <w:tblCellMar>
          <w:top w:w="60" w:type="dxa"/>
          <w:left w:w="80" w:type="dxa"/>
          <w:bottom w:w="60" w:type="dxa"/>
          <w:right w:w="80" w:type="dxa"/>
        </w:tblCellMar>
        <w:tblLook w:val="04a0" w:noHBand="0" w:noVBand="1" w:firstColumn="1" w:lastRow="0" w:lastColumn="0" w:firstRow="1"/>
      </w:tblPr>
      <w:tblGrid>
        <w:gridCol w:w="4680"/>
        <w:gridCol w:w="4679"/>
      </w:tblGrid>
      <w:tr>
        <w:trPr>
          <w:tblHeader w:val="true"/>
          <w:cantSplit w:val="true"/>
          <w:tblHeader w:val="true"/>
        </w:trPr>
        <w:tc>
          <w:tcPr>
            <w:tcW w:w="4680" w:type="dxa"/>
            <w:tcBorders/>
            <w:vAlign w:val="center"/>
            <w:shd w:fill="233746"/>
          </w:tcPr>
          <w:p>
            <w:pPr>
              <w:pStyle w:val="Normal"/>
              <w:widowControl/>
              <w:suppressAutoHyphens w:val="true"/>
              <w:spacing w:lineRule="auto" w:line="240" w:before="0" w:after="0"/>
              <w:jc w:val="left"/>
              <w:rPr>
                <w:rFonts w:cs=""/>
                <w:kern w:val="0"/>
                <w:szCs w:val="22"/>
                <w:lang w:val="en-US" w:eastAsia="en-US" w:bidi="ar-SA"/>
              </w:rPr>
            </w:pPr>
            <w:r>
              <w:rPr>
                <w:rFonts w:cs="" w:ascii="Arial" w:hAnsi="Arial"/>
                <w:b/>
                <w:color w:val="FFFFFF"/>
                <w:kern w:val="0"/>
                <w:sz w:val="17"/>
                <w:szCs w:val="22"/>
                <w:lang w:val="en-US" w:eastAsia="en-US" w:bidi="ar-SA"/>
              </w:rPr>
              <w:t>Tariff Item</w:t>
            </w:r>
          </w:p>
        </w:tc>
        <w:tc>
          <w:tcPr>
            <w:tcW w:w="4679" w:type="dxa"/>
            <w:tcBorders/>
            <w:vAlign w:val="center"/>
            <w:shd w:fill="233746"/>
          </w:tcPr>
          <w:p>
            <w:pPr>
              <w:pStyle w:val="Normal"/>
              <w:widowControl/>
              <w:suppressAutoHyphens w:val="true"/>
              <w:spacing w:lineRule="auto" w:line="240" w:before="0" w:after="0"/>
              <w:jc w:val="left"/>
              <w:rPr>
                <w:rFonts w:cs=""/>
                <w:kern w:val="0"/>
                <w:szCs w:val="22"/>
                <w:lang w:val="en-US" w:eastAsia="en-US" w:bidi="ar-SA"/>
              </w:rPr>
            </w:pPr>
            <w:r>
              <w:rPr>
                <w:rFonts w:cs="" w:ascii="Arial" w:hAnsi="Arial"/>
                <w:b/>
                <w:color w:val="FFFFFF"/>
                <w:kern w:val="0"/>
                <w:sz w:val="17"/>
                <w:szCs w:val="22"/>
                <w:lang w:val="en-US" w:eastAsia="en-US" w:bidi="ar-SA"/>
              </w:rPr>
              <w:t>Description</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4813.10.00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In the form of booklets or tubes</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4813.20.00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In rolls of a width not exceeding 5 cm</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4813.90.00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Other</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4814.20.00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Wallpaper and similar wall coverings, consisting of paper coated or covered, on the face side, with a grained, embossed, coloured, design-printed or otherwise decorated layer of plastics</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4814.90.00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Other</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4816.20.00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Self-copy paper</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4816.90.00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Other</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4817.10.00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Envelopes</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4817.20.00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Letter cards, plain postcards and correspondence cards</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4817.30.00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Boxes, pouches, wallets and writing compendiums, of paper or paperboard, containing an assortment of paper stationery</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4818.10.00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Toilet paper</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4818.20.00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Handkerchiefs, cleansing or facial tissues and towels</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4818.30.00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Tablecloths and serviettes</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4818.50.00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Articles of apparel and clothing accessories</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4818.90.00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Other</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4819.10.00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Cartons, boxes and cases, of corrugated paper or paperboard</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4819.20.00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Folding cartons, boxes and cases, of non-corrugated paper or paperboard</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4819.30.00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Sacks and bags, having a base of a width of 40 cm or more</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4819.40.00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Other sacks and bags, including cones</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4819.50.00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Other packing containers, including record sleeves</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4819.60.00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Box files, letter trays, storage boxes and similar articles, of a kind used in offices, shops or the like</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4820.10.00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Registers, account books, note books, order books, receipt books, letter pads, memorandum pads, diaries and similar articles</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4820.20.00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Exercise books</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4820.30.00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Binders (other than book covers), folders and file covers</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4820.40.00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Manifold business</w:t>
            </w:r>
          </w:p>
        </w:tc>
      </w:tr>
    </w:tbl>
    <w:p>
      <w:pPr>
        <w:pStyle w:val="Normal"/>
        <w:widowControl/>
        <w:spacing w:before="160" w:after="120"/>
        <w:rPr/>
      </w:pPr>
      <w:r>
        <w:rPr/>
        <w:t>forms and interleaved carbon sets 4820.50.00 Albums for samples or for collections 4820.90.00 Other 4821.10.00 Printed 4821.90.00 Other 4822.10.00 Of a kind used for winding textile yarn 4822.90.00 Other 4823.20.00 Filter paper and paperboard 4823.40.00 Rolls, sheets and dials, printed for self-recording apparatus 4823.61.00 Of bamboo 4823.69.00 Other 4823.70.00 Moulded or pressed articles of paper pulp 4823.90.00 Other 4901.10.00 In single sheets, whether or not folded 4901.91.00 Dictionaries, encyclopaedias and serial instalments thereof 4901.99.00 Other 4902.10.00 Appearing at least four times a week 4902.90.00 Other 4903.00.00 Children’s picture, drawing or colouring books. 4904.00.00 Music, printed or in manuscript, whether or not bound or illustrated. 4905.10.00 Globes 4905.91.00 In book form 4905.99.00 Other 4906.00.00 Plans and drawings for architectural, engineering, industrial, commercial, topographical or similar purposes, being originals drawn by hand; hand-written texts; photographic reproductions on sensitized paper and carbon copies of the foregoing. 4907.00.00 Unused postage, revenue or similar stamps of current or new issue in the country in which they have, or will have, a recognized face value; stamp-impressed paper; banknotes; cheque forms; stock, share or bond certificates and similar documents of title.</w:t>
      </w:r>
    </w:p>
    <w:p>
      <w:pPr>
        <w:pStyle w:val="Normal"/>
        <w:widowControl/>
        <w:spacing w:before="0" w:after="160"/>
        <w:rPr/>
      </w:pPr>
      <w:r>
        <w:rPr/>
        <w:t>4908.10.00 Transfers (decalcomanias), vitrifiable 4908.90.00 Other 4909.00.00 Printed or illustrated postcards; printed cards bearing personal greetings, messages or announcements, whether or not illustrated, with or without envelopes or trimmings. 4910.00.00 Calendars of any kind, printed, including calendar blocks. 4911.10.00 Trade advertising material, commercial catalogues and the like 4911.91.00 Pictures, designs and photographs 4911.99.00 Other 5001.00.00 Silk-worm cocoons suitable for reeling. 5002.00.00 Raw silk (not thrown). 5003.00.00 Silk waste (including cocoons unsuitable for reeling, yarn waste and garnetted stock). 5004.00.00 Silk yarn (other than yarn spun from silk waste), not put up for retail sale. 5005.00.00 Yarn spun from silk waste, not put up for retail sale. 5006.00.00 Silk yarn and yarn spun from silk waste, put up for retail sale; silk-worm gut.</w:t>
      </w:r>
    </w:p>
    <w:tbl>
      <w:tblPr>
        <w:tblStyle w:val="TableGrid"/>
        <w:tblW w:w="9360" w:type="dxa"/>
        <w:jc w:val="center"/>
        <w:tblInd w:w="-28" w:type="dxa"/>
        <w:tblLayout w:type="autofit"/>
        <w:tblCellMar>
          <w:top w:w="60" w:type="dxa"/>
          <w:left w:w="80" w:type="dxa"/>
          <w:bottom w:w="60" w:type="dxa"/>
          <w:right w:w="80" w:type="dxa"/>
        </w:tblCellMar>
        <w:tblLook w:val="04a0" w:noHBand="0" w:noVBand="1" w:firstColumn="1" w:lastRow="0" w:lastColumn="0" w:firstRow="1"/>
      </w:tblPr>
      <w:tblGrid>
        <w:gridCol w:w="4680"/>
        <w:gridCol w:w="4679"/>
      </w:tblGrid>
      <w:tr>
        <w:trPr>
          <w:tblHeader w:val="true"/>
          <w:cantSplit w:val="true"/>
          <w:tblHeader w:val="true"/>
        </w:trPr>
        <w:tc>
          <w:tcPr>
            <w:tcW w:w="4680" w:type="dxa"/>
            <w:tcBorders/>
            <w:vAlign w:val="center"/>
            <w:shd w:fill="233746"/>
          </w:tcPr>
          <w:p>
            <w:pPr>
              <w:pStyle w:val="Normal"/>
              <w:widowControl/>
              <w:suppressAutoHyphens w:val="true"/>
              <w:spacing w:lineRule="auto" w:line="240" w:before="0" w:after="0"/>
              <w:jc w:val="left"/>
              <w:rPr>
                <w:rFonts w:cs=""/>
                <w:kern w:val="0"/>
                <w:szCs w:val="22"/>
                <w:lang w:val="en-US" w:eastAsia="en-US" w:bidi="ar-SA"/>
              </w:rPr>
            </w:pPr>
            <w:r>
              <w:rPr>
                <w:rFonts w:cs="" w:ascii="Arial" w:hAnsi="Arial"/>
                <w:b/>
                <w:color w:val="FFFFFF"/>
                <w:kern w:val="0"/>
                <w:sz w:val="17"/>
                <w:szCs w:val="22"/>
                <w:lang w:val="en-US" w:eastAsia="en-US" w:bidi="ar-SA"/>
              </w:rPr>
              <w:t>Tariff Item</w:t>
            </w:r>
          </w:p>
        </w:tc>
        <w:tc>
          <w:tcPr>
            <w:tcW w:w="4679" w:type="dxa"/>
            <w:tcBorders/>
            <w:vAlign w:val="center"/>
            <w:shd w:fill="233746"/>
          </w:tcPr>
          <w:p>
            <w:pPr>
              <w:pStyle w:val="Normal"/>
              <w:widowControl/>
              <w:suppressAutoHyphens w:val="true"/>
              <w:spacing w:lineRule="auto" w:line="240" w:before="0" w:after="0"/>
              <w:jc w:val="left"/>
              <w:rPr>
                <w:rFonts w:cs=""/>
                <w:kern w:val="0"/>
                <w:szCs w:val="22"/>
                <w:lang w:val="en-US" w:eastAsia="en-US" w:bidi="ar-SA"/>
              </w:rPr>
            </w:pPr>
            <w:r>
              <w:rPr>
                <w:rFonts w:cs="" w:ascii="Arial" w:hAnsi="Arial"/>
                <w:b/>
                <w:color w:val="FFFFFF"/>
                <w:kern w:val="0"/>
                <w:sz w:val="17"/>
                <w:szCs w:val="22"/>
                <w:lang w:val="en-US" w:eastAsia="en-US" w:bidi="ar-SA"/>
              </w:rPr>
              <w:t>Description</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5007.10.00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Fabrics of noil silk</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5007.20.00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Other fabrics, containing 85% or more by weight of silk or of silk waste other than noil silk</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5007.90.00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Other fabrics</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5101.11.00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Shorn wool</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5101.19.00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Other</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5101.21.00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Shorn wool</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5101.29.00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Other</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5101.30.00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Carbonized</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5102.11.00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Of Kashmir (cashmere) goats</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5102.19.00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Other</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5102.20.00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Coarse animal hair</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5103.10.00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Noils of wool or of fine animal hair</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5103.20.00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Other waste of wool or of fine animal hair</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5103.30.00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Waste of coarse animal hair</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5104.00.00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Garnetted stock of wool or of fine or coarse animal hair.</w:t>
            </w:r>
          </w:p>
        </w:tc>
      </w:tr>
    </w:tbl>
    <w:p>
      <w:pPr>
        <w:pStyle w:val="Normal"/>
        <w:widowControl/>
        <w:spacing w:before="160" w:after="120"/>
        <w:rPr/>
      </w:pPr>
      <w:r>
        <w:rPr/>
        <w:t>5105.10.00 Carded wool 5105.21.00 Combed wool in fragments 5105.29.00 Other 5105.31.00 Of Kashmir (cashmere) goats 5105.39.00 Other 5105.40.00 Coarse animal hair, carded or combed 5106.10.10 For use in the manufacture of berets and other soft felt headgear 5106.10.90 Other 5106.20.00 Containing less than 85% by weight of wool 5107.10.10 Unbleached or bleached, for use in the manufacture of woven fabrics 5107.10.90 Other 5107.20.10 Solely of combed wool and polyesters, not exceeding 65% by weight of wool, for use in the manufacture of woven fabrics; Unbleached or bleached, for use in the manufacture of woven fabrics 5107.20.90 Other 5108.10.00 Carded 5108.20.00 Combed 5109.10.00 Containing 85% or more by weight of wool or of fine animal hair 5109.90.00 Other 5110.00.00 Yarn of coarse animal hair or of horsehair (including gimped horsehair yarn), whether or not put up for retail sale.</w:t>
      </w:r>
    </w:p>
    <w:p>
      <w:pPr>
        <w:pStyle w:val="Normal"/>
        <w:widowControl/>
        <w:spacing w:before="0" w:after="160"/>
        <w:rPr/>
      </w:pPr>
      <w:r>
        <w:rPr/>
        <w:t>5111.11.10 For use in the manufacture of headbands (hat sweats), linings (including tips and sides), peaks and stiffening bands, for hats or caps 5111.11.40 For use in the manufacture of apparel 5111.11.50 Other, in the grey or unfinished condition, of a weight not exceeding 135 g/m² 5111.11.90 Other 5111.19.00 Other 5111.20.00 Other, mixed mainly or solely with man-made filaments 5111.30.00 Other, mixed mainly or solely with man-made staple fibres 5111.90.00 Other 5112.11.00 Of a weight not exceeding 200 g/m² 5112.19.00 Other 5112.20.00 Other, mixed mainly or solely with man-made filaments 5112.30.00 Other, mixed mainly or solely with man-made staple fibres 5112.90.00 Other 5113.00.00 Woven fabrics of coarse animal hair or of horsehair. 5201.00.00 Cotton, not carded or combed. 5202.10.00 Yarn waste (including thread waste) 5202.91.00 Garnetted stock 5202.99.00 Other 5203.00.00 Cotton, carded or combed.</w:t>
      </w:r>
    </w:p>
    <w:tbl>
      <w:tblPr>
        <w:tblStyle w:val="TableGrid"/>
        <w:tblW w:w="9360" w:type="dxa"/>
        <w:jc w:val="center"/>
        <w:tblInd w:w="-28" w:type="dxa"/>
        <w:tblLayout w:type="autofit"/>
        <w:tblCellMar>
          <w:top w:w="60" w:type="dxa"/>
          <w:left w:w="80" w:type="dxa"/>
          <w:bottom w:w="60" w:type="dxa"/>
          <w:right w:w="80" w:type="dxa"/>
        </w:tblCellMar>
        <w:tblLook w:val="04a0" w:noHBand="0" w:noVBand="1" w:firstColumn="1" w:lastRow="0" w:lastColumn="0" w:firstRow="1"/>
      </w:tblPr>
      <w:tblGrid>
        <w:gridCol w:w="4680"/>
        <w:gridCol w:w="4679"/>
      </w:tblGrid>
      <w:tr>
        <w:trPr>
          <w:tblHeader w:val="true"/>
          <w:cantSplit w:val="true"/>
          <w:tblHeader w:val="true"/>
        </w:trPr>
        <w:tc>
          <w:tcPr>
            <w:tcW w:w="4680" w:type="dxa"/>
            <w:tcBorders/>
            <w:vAlign w:val="center"/>
            <w:shd w:fill="233746"/>
          </w:tcPr>
          <w:p>
            <w:pPr>
              <w:pStyle w:val="Normal"/>
              <w:widowControl/>
              <w:suppressAutoHyphens w:val="true"/>
              <w:spacing w:lineRule="auto" w:line="240" w:before="0" w:after="0"/>
              <w:jc w:val="left"/>
              <w:rPr>
                <w:rFonts w:cs=""/>
                <w:kern w:val="0"/>
                <w:szCs w:val="22"/>
                <w:lang w:val="en-US" w:eastAsia="en-US" w:bidi="ar-SA"/>
              </w:rPr>
            </w:pPr>
            <w:r>
              <w:rPr>
                <w:rFonts w:cs="" w:ascii="Arial" w:hAnsi="Arial"/>
                <w:b/>
                <w:color w:val="FFFFFF"/>
                <w:kern w:val="0"/>
                <w:sz w:val="17"/>
                <w:szCs w:val="22"/>
                <w:lang w:val="en-US" w:eastAsia="en-US" w:bidi="ar-SA"/>
              </w:rPr>
              <w:t>Tariff Item</w:t>
            </w:r>
          </w:p>
        </w:tc>
        <w:tc>
          <w:tcPr>
            <w:tcW w:w="4679" w:type="dxa"/>
            <w:tcBorders/>
            <w:vAlign w:val="center"/>
            <w:shd w:fill="233746"/>
          </w:tcPr>
          <w:p>
            <w:pPr>
              <w:pStyle w:val="Normal"/>
              <w:widowControl/>
              <w:suppressAutoHyphens w:val="true"/>
              <w:spacing w:lineRule="auto" w:line="240" w:before="0" w:after="0"/>
              <w:jc w:val="left"/>
              <w:rPr>
                <w:rFonts w:cs=""/>
                <w:kern w:val="0"/>
                <w:szCs w:val="22"/>
                <w:lang w:val="en-US" w:eastAsia="en-US" w:bidi="ar-SA"/>
              </w:rPr>
            </w:pPr>
            <w:r>
              <w:rPr>
                <w:rFonts w:cs="" w:ascii="Arial" w:hAnsi="Arial"/>
                <w:b/>
                <w:color w:val="FFFFFF"/>
                <w:kern w:val="0"/>
                <w:sz w:val="17"/>
                <w:szCs w:val="22"/>
                <w:lang w:val="en-US" w:eastAsia="en-US" w:bidi="ar-SA"/>
              </w:rPr>
              <w:t>Description</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5204.11.10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Solely of cotton, for use in the manufacture of cotton sewing thread or Schiffli embroidery thread</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5204.11.90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Other</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5204.19.00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Other</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5204.20.00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Put up for retail sale</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5205.11.10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Solely of cotton, for use in the manufacture of crochet, knitting, darning or embroidery cottons to be put up for retail sale</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5205.11.20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Solely of cotton, for use in the manufacture of cotton sewing thread or Schiffli embroidery thread</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5205.11.90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Other</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5205.12.10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Solely of cotton, for use in the manufacture of crochet, knitting, darning or embroidery cottons to be put up for retail sale</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5205.12.90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Other</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5205.13.10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Solely of cotton, for use in the manufacture of crochet, knitting, darning or embroidery cottons to be put up for retail sale</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5205.13.90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Other</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5205.14.10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Solely of cotton, for use in the manufacture of crochet, knitting, darning or embroidery cottons to be put up for retail sale</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5205.14.20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Solely of white or off-white cotton or solely of white or off-white cotton and white polyester staple fibres, ring-spun (but not including mock twist or heather yarns), unbleached or bleached, measuring 190 decitex or less (52.63 metric number or more), for use in the manufacture of knitted fabrics or knitted garments</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5205.14.30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Solely of cotton, containing 12% or less but not less than 1% of dyed cotton fibres, ring-spun, measuring 190 decitex or less, for use in the manufacture of knitted apparel or knitted fabrics</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5205.14.90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Other</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5205.15.00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Measuring less than 125 decitex (exceeding 80</w:t>
            </w:r>
          </w:p>
        </w:tc>
      </w:tr>
    </w:tbl>
    <w:p>
      <w:pPr>
        <w:pStyle w:val="Normal"/>
        <w:widowControl/>
        <w:spacing w:before="160" w:after="120"/>
        <w:rPr/>
      </w:pPr>
      <w:r>
        <w:rPr/>
        <w:t>metric number) 5205.21.10 Solely of cotton, for use in the manufacture of crochet, knitting, darning or embroidery cottons to be put up for retail sale 5205.21.90 Other 5205.22.10 Solely of cotton, for use in the manufacture of crochet, knitting, darning or embroidery cottons to be put up for retail sale 5205.22.20 Solely of cotton, for use in the manufacture of cotton sewing thread or Schiffli embroidery thread;</w:t>
      </w:r>
    </w:p>
    <w:p>
      <w:pPr>
        <w:pStyle w:val="Normal"/>
        <w:widowControl/>
        <w:rPr/>
      </w:pPr>
      <w:r>
        <w:rPr/>
        <w:t>Solely of cotton, having an average staple fibre length greater than 3 cm, for use in the manufacture of towels 5205.22.90 Other 5205.23.10 Solely of cotton, for use in the manufacture of crochet, knitting, darning or embroidery cottons to be put up for retail sale 5205.23.90 Other 5205.24.10 Solely of cotton, for use in the manufacture of crochet, knitting, darning or embroidery cottons to be put up for retail sale 5205.24.20 Solely of white or off-white cotton or solely of white or off-white cotton and white polyester staple fibres, ring-spun (but not including mock twist or heather yarns), unbleached or bleached, measuring 190 decitex or less (52.63 metric number or more), for use in the manufacture of knitted fabrics or knitted garments 5205.24.30 Solely of cotton, not put up for retail sale, ring-spun, unbleached, measuring less than 166 decitex, for use in the manufacture of woven fabrics 5205.24.40 Solely of cotton, containing 12% or less but not less than 1% of dyed cotton fibres, ring-spun, measuring 190 decitex or less, for use in the manufacture of</w:t>
      </w:r>
    </w:p>
    <w:p>
      <w:pPr>
        <w:pStyle w:val="Normal"/>
        <w:widowControl/>
        <w:rPr/>
      </w:pPr>
      <w:r>
        <w:rPr/>
        <w:t>knitted apparel or knitted fabrics 5205.24.90 Other 5205.26.00 Measuring less than 125 decitex but not less than 106.38 decitex (exceeding 80 metric number but not exceeding 94 metric number) 5205.27.00 Measuring less than 106.38 decitex but not less than 83.33 decitex (exceeding 94 metric number but not exceeding 120 metric number) 5205.28.00 Measuring less than 83.33 decitex (exceeding 120 metric number) 5205.31.10 Solely of cotton, for use in the manufacture of crochet, knitting, darning or embroidery cottons to be put up for retail sale, or for use in the manufacture of cotton sewing thread or Schiffli embroidery thread 5205.31.90 Other 5205.32.10 Solely of cotton, for use in the manufacture of crochet, knitting, darning or embroidery cottons to be put up for retail sale, or for use in the manufacture of cotton sewing thread or Schiffli embroidery thread 5205.32.90 Other 5205.33.00 Measuring per single yarn less than 232.56 decitex but not less than 192.31 decitex (exceeding 43 metric number but not exceeding 52 metric number per single yarn)</w:t>
      </w:r>
    </w:p>
    <w:p>
      <w:pPr>
        <w:pStyle w:val="Normal"/>
        <w:widowControl/>
        <w:rPr/>
      </w:pPr>
      <w:r>
        <w:rPr/>
        <w:t>5205.34.00 Measuring per single yarn less than 192.31 decitex but not less than 125 decitex (exceeding 52 metric number but not exceeding 80 metric number per single yarn) 5205.35.00 Measuring per single yarn less than 125 decitex (exceeding 80 metric number per single yarn) 5205.41.10 Solely of cotton, for use in the manufacture of crochet, knitting, darning or embroidery cottons to be put up for retail sale, or for use in the</w:t>
      </w:r>
    </w:p>
    <w:p>
      <w:pPr>
        <w:pStyle w:val="Normal"/>
        <w:widowControl/>
        <w:rPr/>
      </w:pPr>
      <w:r>
        <w:rPr/>
        <w:t>manufacture of cotton sewing thread or Schiffli embroidery thread 5205.41.90 Other 5205.42.10 Solely of cotton, for use in the manufacture of crochet, knitting, darning or embroidery cottons to be put up for retail sale, or for use in the manufacture of cotton sewing thread or Schiffli embroidery thread 5205.42.90 Other 5205.43.00 Measuring per single yarn less than 232.56 decitex but not less than 192.31 decitex (exceeding 43 metric number but not exceeding 52 metric number per single yarn) 5205.44.00 Measuring per single yarn less than 192.31 decitex but not less than 125 decitex (exceeding 52 metric number but not exceeding 80 metric number per single yarn) 5205.46.00 Measuring per single yarn less than 125 decitex but not less than 106.38 decitex (exceeding 80 metric number but not exceeding 94 metric number per single yarn) 5205.47.00 Measuring per single yarn less than 106.38 decitex but not less than 83.33 decitex (exceeding 94 metric number but not exceeding 120 metric number per single yarn) 5205.48.00 Measuring per single yarn less than 83.33 decitex (exceeding 120 metric number per single yarn)</w:t>
      </w:r>
    </w:p>
    <w:p>
      <w:pPr>
        <w:pStyle w:val="Normal"/>
        <w:widowControl/>
        <w:rPr/>
      </w:pPr>
      <w:r>
        <w:rPr/>
        <w:t>5206.11.00 Measuring 714.29 decitex or more (not exceeding 14 metric number) 5206.12.00 Measuring less than 714.29 decitex but not less than 232.56 decitex (exceeding 14 metric number but not exceeding 43 metric number) 5206.13.00 Measuring less than 232.56 decitex but not less than 192.31 decitex (exceeding 43 metric number but not exceeding 52 metric number) 5206.14.00</w:t>
      </w:r>
    </w:p>
    <w:p>
      <w:pPr>
        <w:pStyle w:val="Normal"/>
        <w:widowControl/>
        <w:rPr/>
      </w:pPr>
      <w:r>
        <w:rPr/>
        <w:t>Measuring less than 192.31 decitex but not less than 125 decitex (exceeding 52 metric number but not exceeding 80 metric number) 5206.15.00 Measuring less than 125 decitex (exceeding 80 metric number) 5206.21.00 Measuring 714.29 decitex or more (not exceeding 14 metric number) 5206.22.00 Measuring less than 714.29 decitex but not less than 232.56 decitex (exceeding 14 metric number but not exceeding 43 metric number) 5206.23.00 Measuring less than 232.56 decitex but not less than 192.31 decitex (exceeding 43 metric number but not exceeding 52 metric number) 5206.24.00 Measuring less than 192.31 decitex but not less than 125 decitex (exceeding 52 metric number but not exceeding 80 metric number) 5206.25.00 Measuring less than 125 decitex (exceeding 80 metric number) 5206.31.00 Measuring per single yarn 714.29 decitex or more (not exceeding 14 metric number per single yarn) 5206.32.00 Measuring per single yarn less than 714.29 decitex but not less than 232.56 decitex (exceeding 14 metric number but not exceeding 43 metric number per single yarn)</w:t>
      </w:r>
    </w:p>
    <w:p>
      <w:pPr>
        <w:pStyle w:val="Normal"/>
        <w:widowControl/>
        <w:spacing w:before="0" w:after="160"/>
        <w:rPr/>
      </w:pPr>
      <w:r>
        <w:rPr/>
        <w:t>5206.33.00 Measuring per single yarn less than 232.56 decitex but not less than 192.31 decitex (exceeding 43 metric number but not exceeding 52 metric number per single yarn) 5206.34.00 Measuring per single yarn less than 192.31 decitex but not less than 125 decitex (exceeding 52 metric number but not exceeding 80 metric number per single yarn) 5206.35.00 Measuring per single yarn less than 125 decitex (exceeding 80 metric number per</w:t>
      </w:r>
    </w:p>
    <w:tbl>
      <w:tblPr>
        <w:tblStyle w:val="TableGrid"/>
        <w:tblW w:w="9360" w:type="dxa"/>
        <w:jc w:val="center"/>
        <w:tblInd w:w="-28" w:type="dxa"/>
        <w:tblLayout w:type="autofit"/>
        <w:tblCellMar>
          <w:top w:w="60" w:type="dxa"/>
          <w:left w:w="80" w:type="dxa"/>
          <w:bottom w:w="60" w:type="dxa"/>
          <w:right w:w="80" w:type="dxa"/>
        </w:tblCellMar>
        <w:tblLook w:val="04a0" w:noHBand="0" w:noVBand="1" w:firstColumn="1" w:lastRow="0" w:lastColumn="0" w:firstRow="1"/>
      </w:tblPr>
      <w:tblGrid>
        <w:gridCol w:w="4680"/>
        <w:gridCol w:w="4679"/>
      </w:tblGrid>
      <w:tr>
        <w:trPr>
          <w:tblHeader w:val="true"/>
          <w:cantSplit w:val="true"/>
          <w:tblHeader w:val="true"/>
        </w:trPr>
        <w:tc>
          <w:tcPr>
            <w:tcW w:w="4680" w:type="dxa"/>
            <w:tcBorders/>
            <w:vAlign w:val="center"/>
            <w:shd w:fill="233746"/>
          </w:tcPr>
          <w:p>
            <w:pPr>
              <w:pStyle w:val="Normal"/>
              <w:widowControl/>
              <w:suppressAutoHyphens w:val="true"/>
              <w:spacing w:lineRule="auto" w:line="240" w:before="0" w:after="0"/>
              <w:jc w:val="left"/>
              <w:rPr>
                <w:rFonts w:cs=""/>
                <w:kern w:val="0"/>
                <w:szCs w:val="22"/>
                <w:lang w:val="en-US" w:eastAsia="en-US" w:bidi="ar-SA"/>
              </w:rPr>
            </w:pPr>
            <w:r>
              <w:rPr>
                <w:rFonts w:cs="" w:ascii="Arial" w:hAnsi="Arial"/>
                <w:b/>
                <w:color w:val="FFFFFF"/>
                <w:kern w:val="0"/>
                <w:sz w:val="17"/>
                <w:szCs w:val="22"/>
                <w:lang w:val="en-US" w:eastAsia="en-US" w:bidi="ar-SA"/>
              </w:rPr>
              <w:t>Tariff Item</w:t>
            </w:r>
          </w:p>
        </w:tc>
        <w:tc>
          <w:tcPr>
            <w:tcW w:w="4679" w:type="dxa"/>
            <w:tcBorders/>
            <w:vAlign w:val="center"/>
            <w:shd w:fill="233746"/>
          </w:tcPr>
          <w:p>
            <w:pPr>
              <w:pStyle w:val="Normal"/>
              <w:widowControl/>
              <w:suppressAutoHyphens w:val="true"/>
              <w:spacing w:lineRule="auto" w:line="240" w:before="0" w:after="0"/>
              <w:jc w:val="left"/>
              <w:rPr>
                <w:rFonts w:cs=""/>
                <w:kern w:val="0"/>
                <w:szCs w:val="22"/>
                <w:lang w:val="en-US" w:eastAsia="en-US" w:bidi="ar-SA"/>
              </w:rPr>
            </w:pPr>
            <w:r>
              <w:rPr>
                <w:rFonts w:cs="" w:ascii="Arial" w:hAnsi="Arial"/>
                <w:b/>
                <w:color w:val="FFFFFF"/>
                <w:kern w:val="0"/>
                <w:sz w:val="17"/>
                <w:szCs w:val="22"/>
                <w:lang w:val="en-US" w:eastAsia="en-US" w:bidi="ar-SA"/>
              </w:rPr>
              <w:t>Description</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5206.41.00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single yarn) Measuring per single yarn 714.29 decitex or more (not exceeding 14 metric number per single yarn)</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5206.42.00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Measuring per single yarn less than 714.29 decitex but not less than 232.56 decitex (exceeding 14 metric number but not exceeding 43 metric number per single yarn)</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5206.43.00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Measuring per single yarn less than 232.56 decitex but not less than 192.31 decitex (exceeding 43 metric number but not exceeding 52 metric number per single yarn)</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5206.44.00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Measuring per single yarn less than 192.31 decitex but not less than 125 decitex (exceeding 52 metric number but not exceeding 80 metric number per single yarn)</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5206.45.00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Measuring per single yarn less than 125 decitex (exceeding 80 metric number per single yarn)</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5207.10.00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Containing 85% or more by weight of cotton</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5207.90.00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Other</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5208.11.00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Plain weave, weighing not more than 100 g/m²</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5208.12.00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Plain weave, weighing more than 100 g/m²</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5208.13.00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3-thread or 4-thread twill, including cross twill</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5208.19.00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Other fabrics</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5208.21.00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Plain weave, weighing not more than 100 g/m²</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5208.22.00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Plain weave, weighing more than 100 g/m²</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5208.23.00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3-thread or 4-thread twill, including cross twill</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5208.29.00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Other fabrics</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5208.31.00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Plain weave, weighing not more than 100 g/m²</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5208.32.00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Plain weave, weighing more than 100 g/m²</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5208.33.00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3-thread or 4-thread twill, including cross twill</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5208.39.00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Other fabrics</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5208.41.00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Plain weave, weighing not more than 100 g/m²</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5208.42.00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Plain weave, weighing more than</w:t>
            </w:r>
          </w:p>
        </w:tc>
      </w:tr>
    </w:tbl>
    <w:p>
      <w:pPr>
        <w:pStyle w:val="Normal"/>
        <w:widowControl/>
        <w:spacing w:before="160" w:after="160"/>
        <w:rPr/>
      </w:pPr>
      <w:r>
        <w:rPr/>
        <w:t>100 g/m²</w:t>
      </w:r>
    </w:p>
    <w:tbl>
      <w:tblPr>
        <w:tblStyle w:val="TableGrid"/>
        <w:tblW w:w="9360" w:type="dxa"/>
        <w:jc w:val="center"/>
        <w:tblInd w:w="-28" w:type="dxa"/>
        <w:tblLayout w:type="autofit"/>
        <w:tblCellMar>
          <w:top w:w="60" w:type="dxa"/>
          <w:left w:w="80" w:type="dxa"/>
          <w:bottom w:w="60" w:type="dxa"/>
          <w:right w:w="80" w:type="dxa"/>
        </w:tblCellMar>
        <w:tblLook w:val="04a0" w:noHBand="0" w:noVBand="1" w:firstColumn="1" w:lastRow="0" w:lastColumn="0" w:firstRow="1"/>
      </w:tblPr>
      <w:tblGrid>
        <w:gridCol w:w="4680"/>
        <w:gridCol w:w="4679"/>
      </w:tblGrid>
      <w:tr>
        <w:trPr>
          <w:tblHeader w:val="true"/>
          <w:cantSplit w:val="true"/>
          <w:tblHeader w:val="true"/>
        </w:trPr>
        <w:tc>
          <w:tcPr>
            <w:tcW w:w="4680" w:type="dxa"/>
            <w:tcBorders/>
            <w:vAlign w:val="center"/>
            <w:shd w:fill="233746"/>
          </w:tcPr>
          <w:p>
            <w:pPr>
              <w:pStyle w:val="Normal"/>
              <w:widowControl/>
              <w:suppressAutoHyphens w:val="true"/>
              <w:spacing w:lineRule="auto" w:line="240" w:before="0" w:after="0"/>
              <w:jc w:val="left"/>
              <w:rPr>
                <w:rFonts w:cs=""/>
                <w:kern w:val="0"/>
                <w:szCs w:val="22"/>
                <w:lang w:val="en-US" w:eastAsia="en-US" w:bidi="ar-SA"/>
              </w:rPr>
            </w:pPr>
            <w:r>
              <w:rPr>
                <w:rFonts w:cs="" w:ascii="Arial" w:hAnsi="Arial"/>
                <w:b/>
                <w:color w:val="FFFFFF"/>
                <w:kern w:val="0"/>
                <w:sz w:val="17"/>
                <w:szCs w:val="22"/>
                <w:lang w:val="en-US" w:eastAsia="en-US" w:bidi="ar-SA"/>
              </w:rPr>
              <w:t>Tariff Item</w:t>
            </w:r>
          </w:p>
        </w:tc>
        <w:tc>
          <w:tcPr>
            <w:tcW w:w="4679" w:type="dxa"/>
            <w:tcBorders/>
            <w:vAlign w:val="center"/>
            <w:shd w:fill="233746"/>
          </w:tcPr>
          <w:p>
            <w:pPr>
              <w:pStyle w:val="Normal"/>
              <w:widowControl/>
              <w:suppressAutoHyphens w:val="true"/>
              <w:spacing w:lineRule="auto" w:line="240" w:before="0" w:after="0"/>
              <w:jc w:val="left"/>
              <w:rPr>
                <w:rFonts w:cs=""/>
                <w:kern w:val="0"/>
                <w:szCs w:val="22"/>
                <w:lang w:val="en-US" w:eastAsia="en-US" w:bidi="ar-SA"/>
              </w:rPr>
            </w:pPr>
            <w:r>
              <w:rPr>
                <w:rFonts w:cs="" w:ascii="Arial" w:hAnsi="Arial"/>
                <w:b/>
                <w:color w:val="FFFFFF"/>
                <w:kern w:val="0"/>
                <w:sz w:val="17"/>
                <w:szCs w:val="22"/>
                <w:lang w:val="en-US" w:eastAsia="en-US" w:bidi="ar-SA"/>
              </w:rPr>
              <w:t>Description</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5208.43.00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3-thread or 4-thread twill, including cross twill</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5208.49.00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Other fabrics</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5208.51.00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Plain weave, weighing not more than 100 g/m²</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5208.52.00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Plain weave, weighing more than 100 g/m²</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5208.59.00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Other fabrics</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5209.11.00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Plain weave</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5209.12.00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3-thread or 4-thread twill, including cross twill</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5209.19.00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Other fabrics</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5209.21.00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Plain weave</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5209.22.00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3-thread or 4-thread twill, including cross twill</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5209.29.00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Other fabrics</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5209.31.00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Plain weave</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5209.32.00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3-thread or 4-thread twill, including cross twill</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5209.39.00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Other fabrics</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5209.41.00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Plain weave</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5209.42.00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Denim</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5209.43.00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Other fabrics of 3-thread or 4-thread twill, including cross twill</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5209.49.00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Other fabrics</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5209.51.00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Plain weave</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5209.52.00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3-thread or 4-thread twill, including cross twill</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5209.59.00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Other fabrics</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5210.11.00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Plain weave</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5210.19.00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Other fabrics</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5210.21.00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Plain weave</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5210.29.00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Other fabrics</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5210.31.00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Plain weave</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5210.32.00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3-thread or 4-thread twill, including cross twill</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5210.39.00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Other fabrics</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5210.41.00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Plain weave</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5210.49.11</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3-thread or 4-thread twill, including cross twill: For use in the manufacture of apparel</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5210.49.19</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3-thread or 4-thread twill, including cross twill:</w:t>
            </w:r>
          </w:p>
        </w:tc>
      </w:tr>
    </w:tbl>
    <w:p>
      <w:pPr>
        <w:pStyle w:val="Normal"/>
        <w:widowControl/>
        <w:spacing w:before="160" w:after="160"/>
        <w:rPr/>
      </w:pPr>
      <w:r>
        <w:rPr/>
        <w:t>Other</w:t>
      </w:r>
    </w:p>
    <w:tbl>
      <w:tblPr>
        <w:tblStyle w:val="TableGrid"/>
        <w:tblW w:w="9360" w:type="dxa"/>
        <w:jc w:val="center"/>
        <w:tblInd w:w="-28" w:type="dxa"/>
        <w:tblLayout w:type="autofit"/>
        <w:tblCellMar>
          <w:top w:w="60" w:type="dxa"/>
          <w:left w:w="80" w:type="dxa"/>
          <w:bottom w:w="60" w:type="dxa"/>
          <w:right w:w="80" w:type="dxa"/>
        </w:tblCellMar>
        <w:tblLook w:val="04a0" w:noHBand="0" w:noVBand="1" w:firstColumn="1" w:lastRow="0" w:lastColumn="0" w:firstRow="1"/>
      </w:tblPr>
      <w:tblGrid>
        <w:gridCol w:w="4680"/>
        <w:gridCol w:w="4679"/>
      </w:tblGrid>
      <w:tr>
        <w:trPr>
          <w:tblHeader w:val="true"/>
          <w:cantSplit w:val="true"/>
          <w:tblHeader w:val="true"/>
        </w:trPr>
        <w:tc>
          <w:tcPr>
            <w:tcW w:w="4680" w:type="dxa"/>
            <w:tcBorders/>
            <w:vAlign w:val="center"/>
            <w:shd w:fill="233746"/>
          </w:tcPr>
          <w:p>
            <w:pPr>
              <w:pStyle w:val="Normal"/>
              <w:widowControl/>
              <w:suppressAutoHyphens w:val="true"/>
              <w:spacing w:lineRule="auto" w:line="240" w:before="0" w:after="0"/>
              <w:jc w:val="left"/>
              <w:rPr>
                <w:rFonts w:cs=""/>
                <w:kern w:val="0"/>
                <w:szCs w:val="22"/>
                <w:lang w:val="en-US" w:eastAsia="en-US" w:bidi="ar-SA"/>
              </w:rPr>
            </w:pPr>
            <w:r>
              <w:rPr>
                <w:rFonts w:cs="" w:ascii="Arial" w:hAnsi="Arial"/>
                <w:b/>
                <w:color w:val="FFFFFF"/>
                <w:kern w:val="0"/>
                <w:sz w:val="17"/>
                <w:szCs w:val="22"/>
                <w:lang w:val="en-US" w:eastAsia="en-US" w:bidi="ar-SA"/>
              </w:rPr>
              <w:t>Tariff Item</w:t>
            </w:r>
          </w:p>
        </w:tc>
        <w:tc>
          <w:tcPr>
            <w:tcW w:w="4679" w:type="dxa"/>
            <w:tcBorders/>
            <w:vAlign w:val="center"/>
            <w:shd w:fill="233746"/>
          </w:tcPr>
          <w:p>
            <w:pPr>
              <w:pStyle w:val="Normal"/>
              <w:widowControl/>
              <w:suppressAutoHyphens w:val="true"/>
              <w:spacing w:lineRule="auto" w:line="240" w:before="0" w:after="0"/>
              <w:jc w:val="left"/>
              <w:rPr>
                <w:rFonts w:cs=""/>
                <w:kern w:val="0"/>
                <w:szCs w:val="22"/>
                <w:lang w:val="en-US" w:eastAsia="en-US" w:bidi="ar-SA"/>
              </w:rPr>
            </w:pPr>
            <w:r>
              <w:rPr>
                <w:rFonts w:cs="" w:ascii="Arial" w:hAnsi="Arial"/>
                <w:b/>
                <w:color w:val="FFFFFF"/>
                <w:kern w:val="0"/>
                <w:sz w:val="17"/>
                <w:szCs w:val="22"/>
                <w:lang w:val="en-US" w:eastAsia="en-US" w:bidi="ar-SA"/>
              </w:rPr>
              <w:t>Description</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5210.49.90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Other</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5210.51.00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Plain weave</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5210.59.00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Other fabrics</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5211.11.00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Plain weave</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5211.12.10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For use in the manufacture of apparel</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5211.12.90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Other</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5211.19.00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Other fabrics</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5211.20.11</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3-thread or 4-thread twill, including cross twill: For use in the manufacture of apparel</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5211.20.19</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r>
          </w:p>
        </w:tc>
      </w:tr>
    </w:tbl>
    <w:p>
      <w:pPr>
        <w:pStyle w:val="Normal"/>
        <w:widowControl/>
        <w:spacing w:before="160" w:after="120"/>
        <w:rPr/>
      </w:pPr>
      <w:r>
        <w:rPr/>
        <w:t>3-thread or 4-thread twill, including cross twill:</w:t>
      </w:r>
    </w:p>
    <w:p>
      <w:pPr>
        <w:pStyle w:val="Normal"/>
        <w:widowControl/>
        <w:spacing w:before="0" w:after="160"/>
        <w:rPr/>
      </w:pPr>
      <w:r>
        <w:rPr/>
        <w:t>Other</w:t>
      </w:r>
    </w:p>
    <w:tbl>
      <w:tblPr>
        <w:tblStyle w:val="TableGrid"/>
        <w:tblW w:w="9360" w:type="dxa"/>
        <w:jc w:val="center"/>
        <w:tblInd w:w="-28" w:type="dxa"/>
        <w:tblLayout w:type="autofit"/>
        <w:tblCellMar>
          <w:top w:w="60" w:type="dxa"/>
          <w:left w:w="80" w:type="dxa"/>
          <w:bottom w:w="60" w:type="dxa"/>
          <w:right w:w="80" w:type="dxa"/>
        </w:tblCellMar>
        <w:tblLook w:val="04a0" w:noHBand="0" w:noVBand="1" w:firstColumn="1" w:lastRow="0" w:lastColumn="0" w:firstRow="1"/>
      </w:tblPr>
      <w:tblGrid>
        <w:gridCol w:w="4680"/>
        <w:gridCol w:w="4679"/>
      </w:tblGrid>
      <w:tr>
        <w:trPr>
          <w:tblHeader w:val="true"/>
          <w:cantSplit w:val="true"/>
          <w:tblHeader w:val="true"/>
        </w:trPr>
        <w:tc>
          <w:tcPr>
            <w:tcW w:w="4680" w:type="dxa"/>
            <w:tcBorders/>
            <w:vAlign w:val="center"/>
            <w:shd w:fill="233746"/>
          </w:tcPr>
          <w:p>
            <w:pPr>
              <w:pStyle w:val="Normal"/>
              <w:widowControl/>
              <w:suppressAutoHyphens w:val="true"/>
              <w:spacing w:lineRule="auto" w:line="240" w:before="0" w:after="0"/>
              <w:jc w:val="left"/>
              <w:rPr>
                <w:rFonts w:cs=""/>
                <w:kern w:val="0"/>
                <w:szCs w:val="22"/>
                <w:lang w:val="en-US" w:eastAsia="en-US" w:bidi="ar-SA"/>
              </w:rPr>
            </w:pPr>
            <w:r>
              <w:rPr>
                <w:rFonts w:cs="" w:ascii="Arial" w:hAnsi="Arial"/>
                <w:b/>
                <w:color w:val="FFFFFF"/>
                <w:kern w:val="0"/>
                <w:sz w:val="17"/>
                <w:szCs w:val="22"/>
                <w:lang w:val="en-US" w:eastAsia="en-US" w:bidi="ar-SA"/>
              </w:rPr>
              <w:t>Tariff Item</w:t>
            </w:r>
          </w:p>
        </w:tc>
        <w:tc>
          <w:tcPr>
            <w:tcW w:w="4679" w:type="dxa"/>
            <w:tcBorders/>
            <w:vAlign w:val="center"/>
            <w:shd w:fill="233746"/>
          </w:tcPr>
          <w:p>
            <w:pPr>
              <w:pStyle w:val="Normal"/>
              <w:widowControl/>
              <w:suppressAutoHyphens w:val="true"/>
              <w:spacing w:lineRule="auto" w:line="240" w:before="0" w:after="0"/>
              <w:jc w:val="left"/>
              <w:rPr>
                <w:rFonts w:cs=""/>
                <w:kern w:val="0"/>
                <w:szCs w:val="22"/>
                <w:lang w:val="en-US" w:eastAsia="en-US" w:bidi="ar-SA"/>
              </w:rPr>
            </w:pPr>
            <w:r>
              <w:rPr>
                <w:rFonts w:cs="" w:ascii="Arial" w:hAnsi="Arial"/>
                <w:b/>
                <w:color w:val="FFFFFF"/>
                <w:kern w:val="0"/>
                <w:sz w:val="17"/>
                <w:szCs w:val="22"/>
                <w:lang w:val="en-US" w:eastAsia="en-US" w:bidi="ar-SA"/>
              </w:rPr>
              <w:t>Description</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5211.20.90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Other</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5211.31.00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Plain weave</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5211.32.10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For use in the manufacture of apparel</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5211.32.90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Other</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5211.39.00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Other fabrics</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5211.41.10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For use in the manufacture of apparel</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5211.41.90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Other</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5211.42.00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Denim</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5211.43.10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For use in the manufacture of apparel</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5211.43.90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Other</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5211.49.00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Other fabrics</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5211.51.00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Plain weave</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5211.52.10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For use in the manufacture of apparel</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5211.52.90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Other</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5211.59.00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Other fabrics</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5212.11.20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For use in the manufacture of apparel</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5212.11.30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Other, mixed mainly or solely with silk</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5212.11.90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Other</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5212.12.20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For use in the manufacture of apparel</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5212.12.30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Other, mixed mainly or solely with silk</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5212.12.90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Other</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5212.13.30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For use in the manufacture of apparel</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5212.13.40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Other, mixed mainly or solely with silk</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5212.13.90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Other</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5212.14.30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For use in the manufacture of apparel</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5212.14.40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Other, mixed mainly or solely with silk</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5212.14.90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Other</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5212.15.20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For use in the manufacture of apparel</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5212.15.30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Other, mixed mainly or solely with silk</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5212.15.90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Other</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5212.21.20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For use in the manufacture of apparel</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5212.21.30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Other, mixed mainly or solely with silk</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5212.21.90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Other</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5212.22.20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For use in the manufacture of apparel</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5212.22.30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Other, mixed mainly or solely with silk</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5212.22.90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Other</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5212.23.20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For use in the manufacture of apparel</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5212.23.30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Other, mixed mainly or solely with silk</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5212.23.90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Other</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5212.24.20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For use in the manufacture of apparel</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5212.24.30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Other, mixed mainly or</w:t>
            </w:r>
          </w:p>
        </w:tc>
      </w:tr>
    </w:tbl>
    <w:p>
      <w:pPr>
        <w:pStyle w:val="Normal"/>
        <w:widowControl/>
        <w:spacing w:before="160" w:after="160"/>
        <w:rPr/>
      </w:pPr>
      <w:r>
        <w:rPr/>
        <w:t>solely with silk</w:t>
      </w:r>
    </w:p>
    <w:tbl>
      <w:tblPr>
        <w:tblStyle w:val="TableGrid"/>
        <w:tblW w:w="9360" w:type="dxa"/>
        <w:jc w:val="center"/>
        <w:tblInd w:w="-28" w:type="dxa"/>
        <w:tblLayout w:type="autofit"/>
        <w:tblCellMar>
          <w:top w:w="60" w:type="dxa"/>
          <w:left w:w="80" w:type="dxa"/>
          <w:bottom w:w="60" w:type="dxa"/>
          <w:right w:w="80" w:type="dxa"/>
        </w:tblCellMar>
        <w:tblLook w:val="04a0" w:noHBand="0" w:noVBand="1" w:firstColumn="1" w:lastRow="0" w:lastColumn="0" w:firstRow="1"/>
      </w:tblPr>
      <w:tblGrid>
        <w:gridCol w:w="4680"/>
        <w:gridCol w:w="4679"/>
      </w:tblGrid>
      <w:tr>
        <w:trPr>
          <w:tblHeader w:val="true"/>
          <w:cantSplit w:val="true"/>
          <w:tblHeader w:val="true"/>
        </w:trPr>
        <w:tc>
          <w:tcPr>
            <w:tcW w:w="4680" w:type="dxa"/>
            <w:tcBorders/>
            <w:vAlign w:val="center"/>
            <w:shd w:fill="233746"/>
          </w:tcPr>
          <w:p>
            <w:pPr>
              <w:pStyle w:val="Normal"/>
              <w:widowControl/>
              <w:suppressAutoHyphens w:val="true"/>
              <w:spacing w:lineRule="auto" w:line="240" w:before="0" w:after="0"/>
              <w:jc w:val="left"/>
              <w:rPr>
                <w:rFonts w:cs=""/>
                <w:kern w:val="0"/>
                <w:szCs w:val="22"/>
                <w:lang w:val="en-US" w:eastAsia="en-US" w:bidi="ar-SA"/>
              </w:rPr>
            </w:pPr>
            <w:r>
              <w:rPr>
                <w:rFonts w:cs="" w:ascii="Arial" w:hAnsi="Arial"/>
                <w:b/>
                <w:color w:val="FFFFFF"/>
                <w:kern w:val="0"/>
                <w:sz w:val="17"/>
                <w:szCs w:val="22"/>
                <w:lang w:val="en-US" w:eastAsia="en-US" w:bidi="ar-SA"/>
              </w:rPr>
              <w:t>Tariff Item</w:t>
            </w:r>
          </w:p>
        </w:tc>
        <w:tc>
          <w:tcPr>
            <w:tcW w:w="4679" w:type="dxa"/>
            <w:tcBorders/>
            <w:vAlign w:val="center"/>
            <w:shd w:fill="233746"/>
          </w:tcPr>
          <w:p>
            <w:pPr>
              <w:pStyle w:val="Normal"/>
              <w:widowControl/>
              <w:suppressAutoHyphens w:val="true"/>
              <w:spacing w:lineRule="auto" w:line="240" w:before="0" w:after="0"/>
              <w:jc w:val="left"/>
              <w:rPr>
                <w:rFonts w:cs=""/>
                <w:kern w:val="0"/>
                <w:szCs w:val="22"/>
                <w:lang w:val="en-US" w:eastAsia="en-US" w:bidi="ar-SA"/>
              </w:rPr>
            </w:pPr>
            <w:r>
              <w:rPr>
                <w:rFonts w:cs="" w:ascii="Arial" w:hAnsi="Arial"/>
                <w:b/>
                <w:color w:val="FFFFFF"/>
                <w:kern w:val="0"/>
                <w:sz w:val="17"/>
                <w:szCs w:val="22"/>
                <w:lang w:val="en-US" w:eastAsia="en-US" w:bidi="ar-SA"/>
              </w:rPr>
              <w:t>Description</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5212.24.90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Other</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5212.25.20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For use in the manufacture of apparel</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5212.25.30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Other, mixed mainly or solely with silk</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5212.25.90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Other</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5301.10.00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Flax, raw or retted</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5301.21.00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Broken or scutched</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5301.29.00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Other</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5301.30.00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Flax tow and waste</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5302.10.00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True hemp, raw or retted</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5302.90.00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Other</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5303.10.00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Jute and other textile bast fibres, raw or retted</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5303.90.00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Other</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5305.00.00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Coconut, abaca (Manila hemp or Musa textilis Nee), ramie and other vegetable textile fibres, not elsewhere specified or included, raw or processed but not spun; tow, noils and waste of these fibres (including yarn waste and garnetted stock).</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5306.10.00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Single</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5306.20.00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Multiple (folded) or cabled</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5307.10.00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Single</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5307.20.00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Multiple (folded) or cabled</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5308.10.00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Coir yarn</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5308.20.00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True hemp yarn</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5308.90.10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Paper yarn</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5308.90.90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Other</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5309.11.00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Unbleached or bleached</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5309.19.00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Other</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5309.21.00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Unbleached or bleached</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5309.29.00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Other</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5310.10.00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Unbleached</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5310.90.00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Other</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5311.00.00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Woven fabrics of other vegetable textile fibres; woven fabrics of paper yarn.</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b/>
                <w:kern w:val="0"/>
                <w:sz w:val="17"/>
                <w:szCs w:val="22"/>
                <w:lang w:val="en-US" w:eastAsia="en-US" w:bidi="ar-SA"/>
              </w:rPr>
              <w:t>Tariff Item</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b/>
                <w:kern w:val="0"/>
                <w:sz w:val="17"/>
                <w:szCs w:val="22"/>
                <w:lang w:val="en-US" w:eastAsia="en-US" w:bidi="ar-SA"/>
              </w:rPr>
              <w:t>Description</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5401.10.00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Of synthetic filaments</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5401.20.00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Of artificial filaments</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5402.11.10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Solely of poly (p-phenyleneterephthalamide), for use in the manufacture of armour or protective clothing</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5402.11.90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Other</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5402.19.10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Solely of nylon, measuring 200 decitex or more but not exceeding 500 decitex, containing 34 or more filaments but not exceeding 68 filaments, with a twist not exceeding 50 turns per metre, for use in the manufacture of woven or knitted fabrics</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5402.19.90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Other</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5402.20.10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Solely of polyesters, fully drawn, measuring not more than 180 decitex</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5402.20.20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Solely of polyester, singles, flat, fully drawn, measuring not more than 1700 decitex, with producer twist not exceeding 5 turns per metre</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5402.20.90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Other</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5402.31.10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Solely of nylon, measuring not more than 250 decitex per single yarn, for use in the manufacture of swimwear and other circular knitted fabrics</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5402.31.20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Of nylon, measuring 50 decitex or more but not exceeding 250 decitex, containing 13 or more nylon filaments but not exceeding 68 nylon filaments and 1 spandex (elasthane) filament, for use in the manufacture of woven or knitted fabrics</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5402.31.30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Solely of nylon, measuring 175 decitex or more but not exceeding 500 decitex, containing 68 or more filaments but not exceeding 234 filaments for use in the manufacture of woven or knitted fabrics</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5402.31.90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Other</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5402.32.10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Solely of poly (p-phenyleneterephthalamide), for use in the manufacture of armour or protective clothing</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5402.32.90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Other</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5402.33.10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r>
          </w:p>
        </w:tc>
      </w:tr>
    </w:tbl>
    <w:p>
      <w:pPr>
        <w:pStyle w:val="Normal"/>
        <w:widowControl/>
        <w:spacing w:before="160" w:after="120"/>
        <w:rPr/>
      </w:pPr>
      <w:r>
        <w:rPr/>
        <w:t>Containing 80% or more by weight of polyesters, of uneven thickness with slub, loops or similar irregularities, measuring 1,000 decitex or less, for use in the manufacture of curtains of a weight not exceeding 100 g/m²; Solely of polyesters, measuring 72 decitex or more but not exceeding 111 decitex, for use in the manufacture of woven labels; Solely of polyesters, measuring 111 decitex or more but not exceeding 222 decitex, bright finish, for use in the manufacture of woven labels;</w:t>
      </w:r>
    </w:p>
    <w:p>
      <w:pPr>
        <w:pStyle w:val="Normal"/>
        <w:widowControl/>
        <w:rPr/>
      </w:pPr>
      <w:r>
        <w:rPr/>
        <w:t>Solely of polyester, measuring not more than 250 decitex per single yarn, for use in the manufacture of swimwear and other circular knitted fabrics 5402.33.20 Solely of bleached or unbleached polyester, measuring 70 decitex or more but not exceeding 570 decitex, containing 30 or more filaments but not exceeding 140 filaments, untwisted or with a twist not exceeding 5 turns per metre, for use in the manufacture of woven or knitted fabrics or sewing threads 5402.33.90 Other 5402.34.10 Multifilament single yarn, solely of polypropylene, textured, fully drawn, with an “S” twist exceeding 50 turns per metre, measuring 1,680 decitex or more but not exceeding 3,215 decitex, for use in the manufacture of area rugs 5402.34.20 Multifilament single yarn, solely of polypropylene, textured, measuring 715 decitex or more but not exceeding 2 290 decitex, for use in the manufacture of woven fabrics 5402.34.90 Other 5402.39.00 Other 5402.44.00 Elastomeric 5402.45.00 Other, of nylon or other polyamides 5402.46.00</w:t>
      </w:r>
    </w:p>
    <w:p>
      <w:pPr>
        <w:pStyle w:val="Normal"/>
        <w:widowControl/>
        <w:rPr/>
      </w:pPr>
      <w:r>
        <w:rPr/>
        <w:t>Other, of polyesters, partially oriented 5402.47.00 Other, of polyesters 5402.48.00 Other, of polypropylene 5402.49.00 Other 5402.51.10 Measuring less than 195 decitex 5402.51.90 Other 5402.52.10 Solely of polyesters, measuring not less than 75 decitex but not more than 80 decitex and having 24 filaments per yarn 5402.52.91 Other: Solely of polyesters, fully drawn, measuring not more than 180 decitex; Solely of polyesters, measuring 72 decitex or more but not exceeding 111 decitex, for use in the manufacture of woven labels; Containing 80% or more by weight of polyesters, of uneven thickness with slubs, loops or similar irregularities, measuring 1,000 decitex or less, for use in the manufacture of curtains of a weight not exceeding 100 g/m² 5402.52.99 Other: Other 5402.53.00 Of polypropylene 5402.59.00 Other 5402.61.00 Of nylon or other polyamides 5402.62.10 Solely of polyesters, fully drawn, measuring not more than 180 decitex;</w:t>
      </w:r>
    </w:p>
    <w:p>
      <w:pPr>
        <w:pStyle w:val="Normal"/>
        <w:widowControl/>
        <w:rPr/>
      </w:pPr>
      <w:r>
        <w:rPr/>
        <w:t>Containing 80% or more by weight of polyesters, of uneven thickness with slubs, loops or similar irregularities, measuring 1,000 decitex or less, for use in the manufacture of curtains of a weight not exceeding 100 g/m² 5402.62.90 Other 5402.63.00 Of polypropylene 5402.69.00 Other 5403.10.00 High tenacity yarn of viscose rayon 5403.31.00 Of viscose rayon, untwisted or with a twist not exceeding 120 turns per metre 5403.32.00 Of viscose rayon, with a twist exceeding 120 turns per metre 5403.33.00 Of cellulose acetate 5403.39.00 Other 5403.41.00 Of</w:t>
      </w:r>
    </w:p>
    <w:p>
      <w:pPr>
        <w:pStyle w:val="Normal"/>
        <w:widowControl/>
        <w:rPr/>
      </w:pPr>
      <w:r>
        <w:rPr/>
        <w:t>viscose rayon 5403.42.00 Of cellulose acetate 5403.49.00 Other 5404.11.00 Elastomeric 5404.12.00 Other, of polypropylene 5404.19.00 Other 5404.90.00 Other 5405.00.00 Artificial monofilament of 67 decitex or more and of which no cross-sectional dimension exceeds 1 mm; strip and the like (for example, artificial straw) of artificial textile materials of an apparent width not exceeding 5 mm. 5406.00.10 Synthetic filament yarn 5406.00.90 Other 5407.10.10 Belting, of a thickness not exceeding 2.8 mm and a width exceeding 350 mm, of nylon, polyester or aramid, for use in the manufacture of conveyor belts; For use in the manufacture of goods of Section XVI, of Chapter 40, 73 or 90, or of heading 59.10 or 87.05 (excluding the motor vehicle chassis portion and parts thereof), such goods being used in the exploration, discovery, development or operation of potash or rock salt deposits; For use in the manufacture of insignia for sails for ships or boats; For use in the manufacture of sails for ships or boats;</w:t>
      </w:r>
    </w:p>
    <w:p>
      <w:pPr>
        <w:pStyle w:val="Normal"/>
        <w:widowControl/>
        <w:rPr/>
      </w:pPr>
      <w:r>
        <w:rPr/>
        <w:t>Transmission belting, excluding belting of trapezoidal cross- section (V or multi V), whether or not embossed, for use in the manufacture of transmission belts 5407.10.20 Other, for use in the manufacture of conveyor or transmission belts or belting, containing rubber 5407.10.90 Other 5407.20.00 Woven fabrics obtained from strip or the like 5407.30.10 For use in the manufacture of apparel 5407.30.90 Other 5407.41.10 Solely of single non-textured nylon filament yarns measuring 78</w:t>
      </w:r>
    </w:p>
    <w:p>
      <w:pPr>
        <w:pStyle w:val="Normal"/>
        <w:widowControl/>
        <w:rPr/>
      </w:pPr>
      <w:r>
        <w:rPr/>
        <w:t>decitex, to be coated on one side in Canada with non-cellular polyurethane, for use in the manufacture of family or recreational tents of a floor area of 3 m² or more but not exceeding 21 m², or tent flies 5407.41.90 Other 5407.42.10 Solely of single non-textured nylon filament yarns measuring 78 decitex, to be coated on one side in Canada with non-cellular polyurethane, for use in the manufacture of family or recreational tents of a floor area of 3 m² or more but not exceeding 21 m², or tent flies 5407.42.20 Solely of single non-textured nylon filament yarns, coated on one side with non-cellular polyurethane, with the total weight of the coated fabric not exceeding 72 g/m², for use in the manufacture of family or recreational tents of a floor area of 3 m² or more but not exceeding 21 m², or tent flies 5407.42.90 Other 5407.43.00 Of yarns of different colours 5407.44.00 Printed 5407.51.00 Unbleached or bleached</w:t>
      </w:r>
    </w:p>
    <w:p>
      <w:pPr>
        <w:pStyle w:val="Normal"/>
        <w:widowControl/>
        <w:rPr/>
      </w:pPr>
      <w:r>
        <w:rPr/>
        <w:t>5407.52.11 Containing less than 10% by weight of metallized yarns, less than 65% by weight of wool or less than 15% by weight of flax, for use in the manufacture of clerical or ecclesiastical garments or vestments and furnishing articles for decorating religious buildings:</w:t>
      </w:r>
    </w:p>
    <w:p>
      <w:pPr>
        <w:pStyle w:val="Normal"/>
        <w:widowControl/>
        <w:rPr/>
      </w:pPr>
      <w:r>
        <w:rPr/>
        <w:t>For use in the manufacture of apparel 5407.52.19 Containing less than 10% by weight of metallized yarns, less than 65% by weight of wool or less than 15% by weight of flax, for use in the manufacture of clerical or ecclesiastical garments or vestments and furnishing articles for decorating religious</w:t>
      </w:r>
    </w:p>
    <w:p>
      <w:pPr>
        <w:pStyle w:val="Normal"/>
        <w:widowControl/>
        <w:rPr/>
      </w:pPr>
      <w:r>
        <w:rPr/>
        <w:t>buildings: Other 5407.52.20 Satin weave fabrics, white or off-white, solely of textured polyester filament yarns, of a weight exceeding 170 g/m², for use in the manufacture of brides’ white or off-white wedding dresses 5407.52.30 With or without backing, solely of yarns of textured polyester filaments, of a weight not exceeding 225 g/m², for use as facing or braids in the manufacture of tuxedos 5407.52.90 Other 5407.53.00 Of yarns of different colours 5407.54.00 Printed 5407.61.11 Solely of polyester single yarns measuring not less than 75 decitex but not more than 80 decitex, having 24 filaments per yarn and a twist of 900 or more turns per metre: For use in the manufacture of conveyor or transmission belts or belting, containing rubber 5407.61.19 Solely of polyester single yarns measuring not less than 75 decitex but not more than 80 decitex, having 24 filaments per yarn and a twist of 900 or more turns per metre:</w:t>
      </w:r>
    </w:p>
    <w:p>
      <w:pPr>
        <w:pStyle w:val="Normal"/>
        <w:widowControl/>
        <w:rPr/>
      </w:pPr>
      <w:r>
        <w:rPr/>
        <w:t>Other 5407.61.20 Solely of single non-textured polyester filaments, dyed, having a 3/2 right hand twill weave with a steep twill of approximately 63 degrees, with a twist exceeding 1,250 turns per metre in the warp and the weft, having “S” twist yarns in the warp and two “S” twist yarns followed by two “Z” twist yarns alternating in the weft, of a weight not exceeding 250 g/m², for use in the manufacture of apparel 5407.61.93 Other: For use in the manufacture of conveyor or transmission belts or belting, containing rubber 5407.61.94 Other: Woven fabrics, white</w:t>
      </w:r>
    </w:p>
    <w:p>
      <w:pPr>
        <w:pStyle w:val="Normal"/>
        <w:widowControl/>
        <w:rPr/>
      </w:pPr>
      <w:r>
        <w:rPr/>
        <w:t>or off-white, solely of non-textured polyester monofilament yarns and non-textured polyester multifilament yarns, having two filaments per yarn, of a weight not exceeding 45 g/m², for use in the manufacture of brides’ white or off-white wedding dresses 5407.61.95 Other: Of faille, georgette or crêpe de Chine, solely of single, non- textured polyester yarns, with a twist exceeding 1,250 turns per metre in the warp or the weft, measuring 50 decitex or more but not exceeding 180 decitex, of a weight of 90 g/m² or more but not exceeding 120 g/m², for use in the manufacture of apparel 5407.61.96 Other: Solely of polyester filaments with a twist of 1,050 turns or more per metre in the warp or the weft, unbleached or bleached, of a weight not exceeding 300 g/m², to produce dyed fabrics for the manufacture of apparel 5407.61.97 Other:</w:t>
      </w:r>
    </w:p>
    <w:p>
      <w:pPr>
        <w:pStyle w:val="Normal"/>
        <w:widowControl/>
        <w:rPr/>
      </w:pPr>
      <w:r>
        <w:rPr/>
        <w:t>Woven fabrics, plain weave, solely of non-textured polyester filaments mixed with elastomeric filaments, having the elastomeric yarn only in the weft, of a weight of less than 90 g/m², for use as lining in the manufacture of suits, vests (waistcoats), jackets (sportcoats and blazers) and trousers 5407.61.99 Other: Other 5407.69.10 Solely of polyester filaments with a twist of 1,050 turns or more per metre in the warp or the weft, unbleached or bleached, of a weight not exceeding 300 g/m², to produce dyed fabrics for the manufacture of apparel 5407.69.20 Woven fabrics, white or off-white, solely of non-textured polyester monofilament warp yarns and</w:t>
      </w:r>
    </w:p>
    <w:p>
      <w:pPr>
        <w:pStyle w:val="Normal"/>
        <w:widowControl/>
        <w:rPr/>
      </w:pPr>
      <w:r>
        <w:rPr/>
        <w:t>alternating stripes in the weft of non-textured polyester multifilament yarns, having two filaments per yarn, and textured polyester multifilament yarns, of a weight not exceeding 62 g/m², for use in the manufacture of brides’ white or off-white wedding dresses 5407.69.30 Solely of polyesters or of polyesters mixed solely with polypropylene, for use as ticking in the manufacture of mattresses or mattress supports 5407.69.40 Woven fabric, plain, dyed, of untwisted textured polyester filament yarns in the weft and untwisted non-textured polyester filament yarns in the warp, of a weight not exceeding 55 g/m², for use as knee lining in the manufacture of trousers 5407.69.50 Woven fabric, satin weave, dyed, of yarns of non-textured polyester filaments in the warp and of textured polyester filaments and elastomeric yarn in the weft, of a weight not exceeding 132 g/m², for use in the manufacture of dresses, skirts, vests, blouses, tops and scarves 5407.69.90 Other 5407.71.00 Unbleached or bleached 5407.72.00 Dyed 5407.73.10 Of polyesters mixed solely with polypropylene, for use as ticking in the manufacture of mattresses or mattress supports 5407.73.90 Other 5407.74.00 Printed</w:t>
      </w:r>
    </w:p>
    <w:p>
      <w:pPr>
        <w:pStyle w:val="Normal"/>
        <w:widowControl/>
        <w:rPr/>
      </w:pPr>
      <w:r>
        <w:rPr/>
        <w:t>5407.81.00 Unbleached or bleached 5407.82.10 For use in the manufacture of headbands (hat sweats), linings (including tips and sides), peaks and stiffening bands for hats or caps 5407.82.91 Other:</w:t>
      </w:r>
    </w:p>
    <w:p>
      <w:pPr>
        <w:pStyle w:val="Normal"/>
        <w:widowControl/>
        <w:rPr/>
      </w:pPr>
      <w:r>
        <w:rPr/>
        <w:t>Fabrics (other than fabrics containing polyester or nylon filaments mixed mainly with cotton), for use in the</w:t>
      </w:r>
    </w:p>
    <w:p>
      <w:pPr>
        <w:pStyle w:val="Normal"/>
        <w:widowControl/>
        <w:rPr/>
      </w:pPr>
      <w:r>
        <w:rPr/>
        <w:t>manufacture of apparel 5407.82.99 Other:</w:t>
      </w:r>
    </w:p>
    <w:p>
      <w:pPr>
        <w:pStyle w:val="Normal"/>
        <w:widowControl/>
        <w:rPr/>
      </w:pPr>
      <w:r>
        <w:rPr/>
        <w:t>Other 5407.83.00 Of yarns of different colours 5407.84.00 Printed 5407.91.10 Containing 35% or more by weight of cellulose acetate or cellulose triacetate filaments mixed with polyester filaments or with viscose rayon filaments, containing not more than 5% by weight of any other fibre, with an average yarn twist of 500 or more turns per metre in the warp or the weft, of a weight of 100 g/m² or more but not exceeding 310 g/m², for use in the manufacture of apparel 5407.91.20 Plain woven fabrics, unbleached or bleached, containing 65% or more by weight of polyester fibres mixed solely with cotton, of a weight not exceeding 100 g/m² and a width of 183 cm or more, to be dyed or printed, for use in the manufacture of the following bedding products:</w:t>
      </w:r>
    </w:p>
    <w:p>
      <w:pPr>
        <w:pStyle w:val="Normal"/>
        <w:widowControl/>
        <w:rPr/>
      </w:pPr>
      <w:r>
        <w:rPr/>
        <w:t>comforters, duvets, pillow shams and bed skirts 5407.91.90 Other 5407.92.00 Dyed 5407.93.00 Of yarns of different colours 5407.94.10 Of polyesters mixed solely with cotton, of a weight not exceeding 170 g/m², for use as ticking in the manufacture of mattresses or mattress supports 5407.94.90 Other 5408.10.00 Woven fabrics obtained from high tenacity yarn of viscose rayon 5408.21.00 Unbleached or bleached 5408.22.11 For use in the manufacture of headbands (hat sweats), linings (including tips and sides), peaks and stiffening bands for hats or caps:</w:t>
      </w:r>
    </w:p>
    <w:p>
      <w:pPr>
        <w:pStyle w:val="Normal"/>
        <w:widowControl/>
        <w:rPr/>
      </w:pPr>
      <w:r>
        <w:rPr/>
        <w:t>Of cuprammonium rayon 5408.22.19 For use in the manufacture of headbands (hat sweats), linings (including tips and sides), peaks and stiffening bands</w:t>
      </w:r>
    </w:p>
    <w:p>
      <w:pPr>
        <w:pStyle w:val="Normal"/>
        <w:widowControl/>
        <w:spacing w:before="0" w:after="160"/>
        <w:rPr/>
      </w:pPr>
      <w:r>
        <w:rPr/>
        <w:t>for hats or caps: Other</w:t>
      </w:r>
    </w:p>
    <w:tbl>
      <w:tblPr>
        <w:tblStyle w:val="TableGrid"/>
        <w:tblW w:w="9360" w:type="dxa"/>
        <w:jc w:val="center"/>
        <w:tblInd w:w="-28" w:type="dxa"/>
        <w:tblLayout w:type="autofit"/>
        <w:tblCellMar>
          <w:top w:w="60" w:type="dxa"/>
          <w:left w:w="80" w:type="dxa"/>
          <w:bottom w:w="60" w:type="dxa"/>
          <w:right w:w="80" w:type="dxa"/>
        </w:tblCellMar>
        <w:tblLook w:val="04a0" w:noHBand="0" w:noVBand="1" w:firstColumn="1" w:lastRow="0" w:lastColumn="0" w:firstRow="1"/>
      </w:tblPr>
      <w:tblGrid>
        <w:gridCol w:w="4680"/>
        <w:gridCol w:w="4679"/>
      </w:tblGrid>
      <w:tr>
        <w:trPr>
          <w:tblHeader w:val="true"/>
          <w:cantSplit w:val="true"/>
          <w:tblHeader w:val="true"/>
        </w:trPr>
        <w:tc>
          <w:tcPr>
            <w:tcW w:w="4680" w:type="dxa"/>
            <w:tcBorders/>
            <w:vAlign w:val="center"/>
            <w:shd w:fill="233746"/>
          </w:tcPr>
          <w:p>
            <w:pPr>
              <w:pStyle w:val="Normal"/>
              <w:widowControl/>
              <w:suppressAutoHyphens w:val="true"/>
              <w:spacing w:lineRule="auto" w:line="240" w:before="0" w:after="0"/>
              <w:jc w:val="left"/>
              <w:rPr>
                <w:rFonts w:cs=""/>
                <w:kern w:val="0"/>
                <w:szCs w:val="22"/>
                <w:lang w:val="en-US" w:eastAsia="en-US" w:bidi="ar-SA"/>
              </w:rPr>
            </w:pPr>
            <w:r>
              <w:rPr>
                <w:rFonts w:cs="" w:ascii="Arial" w:hAnsi="Arial"/>
                <w:b/>
                <w:color w:val="FFFFFF"/>
                <w:kern w:val="0"/>
                <w:sz w:val="17"/>
                <w:szCs w:val="22"/>
                <w:lang w:val="en-US" w:eastAsia="en-US" w:bidi="ar-SA"/>
              </w:rPr>
              <w:t>Tariff Item</w:t>
            </w:r>
          </w:p>
        </w:tc>
        <w:tc>
          <w:tcPr>
            <w:tcW w:w="4679" w:type="dxa"/>
            <w:tcBorders/>
            <w:vAlign w:val="center"/>
            <w:shd w:fill="233746"/>
          </w:tcPr>
          <w:p>
            <w:pPr>
              <w:pStyle w:val="Normal"/>
              <w:widowControl/>
              <w:suppressAutoHyphens w:val="true"/>
              <w:spacing w:lineRule="auto" w:line="240" w:before="0" w:after="0"/>
              <w:jc w:val="left"/>
              <w:rPr>
                <w:rFonts w:cs=""/>
                <w:kern w:val="0"/>
                <w:szCs w:val="22"/>
                <w:lang w:val="en-US" w:eastAsia="en-US" w:bidi="ar-SA"/>
              </w:rPr>
            </w:pPr>
            <w:r>
              <w:rPr>
                <w:rFonts w:cs="" w:ascii="Arial" w:hAnsi="Arial"/>
                <w:b/>
                <w:color w:val="FFFFFF"/>
                <w:kern w:val="0"/>
                <w:sz w:val="17"/>
                <w:szCs w:val="22"/>
                <w:lang w:val="en-US" w:eastAsia="en-US" w:bidi="ar-SA"/>
              </w:rPr>
              <w:t>Description</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5408.22.23</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Of cuprammonium rayon: For use in the manufacture of apparel</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5408.22.29</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Of cuprammonium rayon: Other</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5408.22.91</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Other: For use in the manufacture of apparel</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5408.22.99</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Other: Other</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5408.23.11</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Of cuprammonium rayon: For use in the manufacture of apparel</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5408.23.19</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Of cuprammonium rayon: Other</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5408.23.91</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Other: For use in the manufacture of apparel</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5408.23.99</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Other: Other</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5408.24.12</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Of cuprammonium rayon: For use in the manufacture of apparel</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5408.24.19</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Of cuprammonium rayon: Other</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5408.24.92</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Other: For use in the manufacture of apparel</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5408.24.99</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Other: Other</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5408.31.00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Unbleached or bleached</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5408.32.00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Dyed</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5408.33.00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Of yarns of different colours</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5408.34.00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Printed</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5501.10.00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Of nylon or other polyamides</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5501.20.00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Of polyesters</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5501.30.00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Acrylic or modacrylic</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5501.40.00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Of polypropylene</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5501.90.00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Other</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5502.10.00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Of cellulose acetate</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5502.90.00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Other</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5503.11.00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Of aramids</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5503.19.00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Other</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5503.20.00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Of polyesters</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5503.30.00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Acrylic or modacrylic</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5503.40.00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Of polypropylene</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5503.90.00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Other</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5504.10.00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Of viscose rayon</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5504.90.00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Other</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5505.10.00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Of synthetic fibres</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5505.20.00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Of artificial fibres</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5506.10.00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Of nylon or other polyamides</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5506.20.00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Of polyesters</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5506.30.00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Acrylic or modacrylic</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5506.40.00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Of polypropylene</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5506.90.00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Other</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5507.00.00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Artificial staple fibres, carded, combed or otherwise processed for spinning.</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b/>
                <w:kern w:val="0"/>
                <w:sz w:val="17"/>
                <w:szCs w:val="22"/>
                <w:lang w:val="en-US" w:eastAsia="en-US" w:bidi="ar-SA"/>
              </w:rPr>
              <w:t>Tariff Item</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b/>
                <w:kern w:val="0"/>
                <w:sz w:val="17"/>
                <w:szCs w:val="22"/>
                <w:lang w:val="en-US" w:eastAsia="en-US" w:bidi="ar-SA"/>
              </w:rPr>
              <w:t>Description</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5508.10.10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Of polyester or aramid staple fibres</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5508.10.90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Other</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5508.20.00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Of artificial staple fibres</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5509.11.00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Single yarn</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5509.12.10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Stretch-broken (tow-to-top) spun yarns of aramids</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5509.12.90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Other</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5509.21.10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Of uneven thickness with slubs, loops or similar irregularities, measuring 1,000 decitex or less (10 metric number or more), for use in the manufacture of curtains of a weight not exceeding 100 g/m²</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5509.21.90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Other</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5509.22.20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Stretch-broken (tow-to-top) spun yarns of polyester</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5509.22.30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Other, solely of polyesters</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5509.22.90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Other</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5509.31.00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Single yarn</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5509.32.10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Solely of acrylic staple fibres, unbleached, in hanks, measuring 450 decitex or less per single yarn (22.2 metric number or more per single yarn), for use in the manufacture of bulk, dyed, acrylic yarns</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5509.32.90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Other</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5509.41.10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Containing 80% or more by weight of polyester staple fibres, of uneven thickness with slubs, loops or similar irregularities, measuring 1,000 decitex or less (10 metric number or more), for use in the manufacture of curtains of a weight not exceeding 100 g/m²</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5509.41.90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Other</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5509.42.00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Multiple (folded) or cabled yarn</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5509.51.00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Mixed mainly or solely with artificial staple fibres</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5509.52.10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Solely of combed wool and polyester staple fibres, containing 40% or more by weight of wool, for use in the manufacture of woven combed fabrics</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5509.52.90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Other</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5509.53.10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Solely of white or off-white cotton and white polyester staple fibres, containing not more than 80% by weight of</w:t>
            </w:r>
          </w:p>
        </w:tc>
      </w:tr>
    </w:tbl>
    <w:p>
      <w:pPr>
        <w:pStyle w:val="Normal"/>
        <w:widowControl/>
        <w:spacing w:before="160" w:after="120"/>
        <w:rPr/>
      </w:pPr>
      <w:r>
        <w:rPr/>
        <w:t>white polyester staple fibres, single, ring-spun (but not including mock twist or heather yarns), unbleached or bleached, measuring 190 decitex or less (52.63 metric number or more), for use in the manufacture of knitted fabrics or knitted garments 5509.53.20 Solely of white or off-white cotton and white polyester staple fibres, containing 50% by weight of white polyester staple fibres, single, combed, ring-spun (but not including mock twist or heather yarns), unbleached or bleached, measuring 492 decitex (12s cotton count), 328 decitex (18s cotton count) or 246 decitex (24s cotton count), for use in the manufacture apparel 5509.53.30 Solely of white or off-white cotton and white polyester staple fibres, containing 52% by weight of white polyester staple fibres, single, combed, ring-spun (but not including mock twist or heather yarns), unbleached or bleached, measuring 492 decitex (12s cotton count), 328 decitex (18s cotton count) or 246 decitex (24s cotton count), for use in the manufacture of apparel</w:t>
      </w:r>
    </w:p>
    <w:p>
      <w:pPr>
        <w:pStyle w:val="Normal"/>
        <w:widowControl/>
        <w:spacing w:before="0" w:after="160"/>
        <w:rPr/>
      </w:pPr>
      <w:r>
        <w:rPr/>
        <w:t>5509.53.40 Solely of white or off-white cotton and white polyester staple fibres, containing 55% by weight of white polyester staple fibres, single, combed, ring-spun (but not including mock twist or heather yarns), unbleached or bleached, measuring 492 decitex (12s cotton count), 328 decitex (18s cotton count) or 246 decitex (24s cotton count), for use in the manufacture of apparel 5509.53.90 Other 5509.59.00 Other 5509.61.00 Mixed mainly or solely with wool or fine animal</w:t>
      </w:r>
    </w:p>
    <w:tbl>
      <w:tblPr>
        <w:tblStyle w:val="TableGrid"/>
        <w:tblW w:w="9360" w:type="dxa"/>
        <w:jc w:val="center"/>
        <w:tblInd w:w="-28" w:type="dxa"/>
        <w:tblLayout w:type="autofit"/>
        <w:tblCellMar>
          <w:top w:w="60" w:type="dxa"/>
          <w:left w:w="80" w:type="dxa"/>
          <w:bottom w:w="60" w:type="dxa"/>
          <w:right w:w="80" w:type="dxa"/>
        </w:tblCellMar>
        <w:tblLook w:val="04a0" w:noHBand="0" w:noVBand="1" w:firstColumn="1" w:lastRow="0" w:lastColumn="0" w:firstRow="1"/>
      </w:tblPr>
      <w:tblGrid>
        <w:gridCol w:w="4680"/>
        <w:gridCol w:w="4679"/>
      </w:tblGrid>
      <w:tr>
        <w:trPr>
          <w:tblHeader w:val="true"/>
          <w:cantSplit w:val="true"/>
          <w:tblHeader w:val="true"/>
        </w:trPr>
        <w:tc>
          <w:tcPr>
            <w:tcW w:w="4680" w:type="dxa"/>
            <w:tcBorders/>
            <w:vAlign w:val="center"/>
            <w:shd w:fill="233746"/>
          </w:tcPr>
          <w:p>
            <w:pPr>
              <w:pStyle w:val="Normal"/>
              <w:widowControl/>
              <w:suppressAutoHyphens w:val="true"/>
              <w:spacing w:lineRule="auto" w:line="240" w:before="0" w:after="0"/>
              <w:jc w:val="left"/>
              <w:rPr>
                <w:rFonts w:cs=""/>
                <w:kern w:val="0"/>
                <w:szCs w:val="22"/>
                <w:lang w:val="en-US" w:eastAsia="en-US" w:bidi="ar-SA"/>
              </w:rPr>
            </w:pPr>
            <w:r>
              <w:rPr>
                <w:rFonts w:cs="" w:ascii="Arial" w:hAnsi="Arial"/>
                <w:b/>
                <w:color w:val="FFFFFF"/>
                <w:kern w:val="0"/>
                <w:sz w:val="17"/>
                <w:szCs w:val="22"/>
                <w:lang w:val="en-US" w:eastAsia="en-US" w:bidi="ar-SA"/>
              </w:rPr>
              <w:t>Tariff Item</w:t>
            </w:r>
          </w:p>
        </w:tc>
        <w:tc>
          <w:tcPr>
            <w:tcW w:w="4679" w:type="dxa"/>
            <w:tcBorders/>
            <w:vAlign w:val="center"/>
            <w:shd w:fill="233746"/>
          </w:tcPr>
          <w:p>
            <w:pPr>
              <w:pStyle w:val="Normal"/>
              <w:widowControl/>
              <w:suppressAutoHyphens w:val="true"/>
              <w:spacing w:lineRule="auto" w:line="240" w:before="0" w:after="0"/>
              <w:jc w:val="left"/>
              <w:rPr>
                <w:rFonts w:cs=""/>
                <w:kern w:val="0"/>
                <w:szCs w:val="22"/>
                <w:lang w:val="en-US" w:eastAsia="en-US" w:bidi="ar-SA"/>
              </w:rPr>
            </w:pPr>
            <w:r>
              <w:rPr>
                <w:rFonts w:cs="" w:ascii="Arial" w:hAnsi="Arial"/>
                <w:b/>
                <w:color w:val="FFFFFF"/>
                <w:kern w:val="0"/>
                <w:sz w:val="17"/>
                <w:szCs w:val="22"/>
                <w:lang w:val="en-US" w:eastAsia="en-US" w:bidi="ar-SA"/>
              </w:rPr>
              <w:t>Description</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5509.62.00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hair Mixed mainly or solely with cotton</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5509.69.00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Other</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5509.91.00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Mixed mainly or solely with wool or fine animal hair</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5509.92.00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Mixed mainly or solely with cotton</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5509.99.00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Other</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5510.11.10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Solely of artificial staple fibres other than acetate fibres, or mixed solely with 15% or less by weight of any natural fibre, measuring less than 210 decitex, for use in the manufacture of circular knitted apparel fabrics</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5510.11.90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Other</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5510.12.10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Solely of viscose rayon, measuring per single yarn less than 175 decitex, for use in the manufacture of mattress ticking</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5510.12.90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Other</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5510.20.10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Of viscose rayon fibres and 25% or more by weight of goat hair, for use in the manufacture of interlining fabrics for apparel</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5510.20.90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Other</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5510.30.10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Single yarn containing 50% or more by weight of artificial staple fibres other than acetate fibres, mixed solely with cotton fibres, measuring less than 210 decitex, for use in the manufacture of circular knitted apparel fabrics</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5510.30.90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Other</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5510.90.00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Other yarn</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5511.10.00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Of synthetic staple fibres, containing 85% or more by weight of such fibres</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5511.20.00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Of synthetic staple fibres, containing less than 85% by weight of such fibres</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5511.30.00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Of artificial staple fibres</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5512.11.10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Solely of polyester staple fibres, for use in the manufacture of family or recreational tents of a floor area of 3 m² or more but not exceeding 21 m²</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5512.11.30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Woven fabrics of polyester staple fibres mixed solely with cotton, unbleached or</w:t>
            </w:r>
          </w:p>
        </w:tc>
      </w:tr>
    </w:tbl>
    <w:p>
      <w:pPr>
        <w:pStyle w:val="Normal"/>
        <w:widowControl/>
        <w:spacing w:before="160" w:after="120"/>
        <w:rPr/>
      </w:pPr>
      <w:r>
        <w:rPr/>
        <w:t>bleached, ring-spun, having a metric twist factor ([turns per metre] x [square root of tex] x 0.01) of 45 or more in the warp or the weft, for use by textile converters only to produce dyed and finished fabrics for the apparel and footwear industries 5512.11.91 Other: For use in the manufacture of apparel 5512.11.99 Other: Other 5512.19.10 Solely of polyester staple fibres, for use in the manufacture of family or recreational tents of a floor area of 3 m² or more but not exceeding 21 m² 5512.19.91 Other: Fabrics (other than solely of polyester staple fibres), for use in the manufacture of apparel 5512.19.99 Other: Other 5512.21.10 For use in the manufacture of apparel 5512.21.90 Other 5512.29.10 Plain woven fabrics, solely of acrylic staple fibres made from 2 ply yarns, having a decitex per single yarn of 295 or more but not exceeding 315 decitex, of a weight of 280 g/m² or more but not exceeding 320 g/m², for use in the manufacture of retractable awnings or sun umbrellas 5512.29.91 Other:</w:t>
      </w:r>
    </w:p>
    <w:p>
      <w:pPr>
        <w:pStyle w:val="Normal"/>
        <w:widowControl/>
        <w:rPr/>
      </w:pPr>
      <w:r>
        <w:rPr/>
        <w:t>For use in the manufacture of apparel 5512.29.99 Other: Other 5512.91.10 Fabrics (other than woven fabrics of aramid fibres), for use in the manufacture of apparel 5512.91.90 Other 5512.99.10 Containing 83% or more by weight of vinal staple fibres and 13% or more by weight of polynosic staple fibres, for use in the manufacture of protective outerwear worn in high temperature applications in aluminum plants 5512.99.91 Other: Fabrics (other than woven fabrics of aramid staple fibres), for</w:t>
      </w:r>
    </w:p>
    <w:p>
      <w:pPr>
        <w:pStyle w:val="Normal"/>
        <w:widowControl/>
        <w:rPr/>
      </w:pPr>
      <w:r>
        <w:rPr/>
        <w:t>use in the manufacture of apparel 5512.99.99 Other: Other 5513.11.20 Woven fabrics of polyester staple fibres mixed solely with cotton, unbleached or bleached, ring-spun, having a metric twist factor ([turns per metre] x [square root of tex] x 0.01) of 45 or more in the warp or the weft, for use by textile converters only to produce dyed and finished fabrics for the apparel and footwear industries 5513.11.30 Plain woven fabrics, unbleached or bleached, containing 65% or more by weight of polyester fibres mixed solely with cotton, of a weight not exceeding 100 g/m² and a width of 183 cm or more, to be dyed or printed, for use in the manufacture of the following bedding products: comforters, duvets, pillow shams and bed skirts 5513.11.91 Other: For use in the manufacture of apparel 5513.11.99 Other:</w:t>
      </w:r>
    </w:p>
    <w:p>
      <w:pPr>
        <w:pStyle w:val="Normal"/>
        <w:widowControl/>
        <w:rPr/>
      </w:pPr>
      <w:r>
        <w:rPr/>
        <w:t>Other 5513.12.10 Woven fabrics of polyester staple fibres mixed solely with cotton, unbleached or bleached, ring-spun, having a metric twist factor ([turns per metre] x [square root of tex] x 0.01) of 45 or more in the warp or the weft, for use by textile converters only to produce dyed and finished fabrics for the apparel and footwear industries 5513.12.91 Other: For use in the manufacture of apparel 5513.12.99 Other: Other 5513.13.10 Woven fabrics of polyester staple fibres mixed solely with cotton, unbleached or bleached, ring-spun, having a metric twist factor ([turns per metre] x [square root of tex] x 0.01) of 45 or more in the warp or the weft, for use by textile converters</w:t>
      </w:r>
    </w:p>
    <w:p>
      <w:pPr>
        <w:pStyle w:val="Normal"/>
        <w:widowControl/>
        <w:rPr/>
      </w:pPr>
      <w:r>
        <w:rPr/>
        <w:t>only to produce dyed and finished fabrics for the apparel and footwear industries 5513.13.91 Other: For use in the manufacture of apparel 5513.13.99 Other: Other 5513.19.00 Other woven fabrics 5513.21.00 Of polyester staple fibres, plain weave 5513.23.11 3-thread or 4-thread twill, including cross twill, of polyester staple fibres:</w:t>
      </w:r>
    </w:p>
    <w:p>
      <w:pPr>
        <w:pStyle w:val="Normal"/>
        <w:widowControl/>
        <w:rPr/>
      </w:pPr>
      <w:r>
        <w:rPr/>
        <w:t>Containing 60% or more by weight of polyester staple fibres, 30% or more by weight of cotton fibres and 5% or more by weight of elastomeric monofilaments, 4-thread twill, measuring 170 decitex or more but not exceeding 180 decitex in the warp, per single yarn, and measuring 315 decitex or more but not exceeding 333 decitex in the weft, per single yarn, having a yarn count in the warp of 423 or more but not exceeding 447 per 10 cm, and a yarn count in the weft of 246 or more but not exceeding 262 per 10 cm, of a weight not exceeding 170 g/m², with a value of $7.50 or more per square metre, for use in the manufacture of uniform or hiking pants and shorts or bicycle touring shorts 5513.23.19 3-thread or 4-thread twill, including cross twill, of polyester staple fibres: Other 5513.23.91 Other: For use in the manufacture of apparel 5513.23.99 Other:</w:t>
      </w:r>
    </w:p>
    <w:p>
      <w:pPr>
        <w:pStyle w:val="Normal"/>
        <w:widowControl/>
        <w:rPr/>
      </w:pPr>
      <w:r>
        <w:rPr/>
        <w:t>Other 5513.29.00 Other woven fabrics 5513.31.20 For use in the manufacture of apparel 5513.31.90 Other 5513.39.11 3-thread or 4-thread twill, including cross twill, of polyester staple fibres; other woven fabrics of polyester staple fibres: For use in the manufacture of apparel 5513.39.19 3-thread or</w:t>
      </w:r>
    </w:p>
    <w:p>
      <w:pPr>
        <w:pStyle w:val="Normal"/>
        <w:widowControl/>
        <w:rPr/>
      </w:pPr>
      <w:r>
        <w:rPr/>
        <w:t>4-thread twill, including cross twill, of polyester staple fibres; other woven fabrics of polyester staple fibres: Other 5513.39.91 Other: For use in the manufacture of apparel 5513.39.99 Other:</w:t>
      </w:r>
    </w:p>
    <w:p>
      <w:pPr>
        <w:pStyle w:val="Normal"/>
        <w:widowControl/>
        <w:rPr/>
      </w:pPr>
      <w:r>
        <w:rPr/>
        <w:t>Other 5513.41.10 Of polyester staple fibres mixed solely with cotton, of a seersucker or similar crinkle stripe appearance, of a weight not exceeding 100 g/m², for use in the manufacture of apparel 5513.41.20 Of polyester staple fibres, mixed solely with cotton, of a weight not excceeding 100 g/m², for use in the manufacture of apparel 5513.41.30 Of polyester staple fibres, mixed solely with cotton, of a weight not exceeding 100g/m², for use in the manufacture of sleeping bags 5513.41.90 Other 5513.49.00 Other woven fabrics 5514.11.00 Of polyester staple fibres, plain weave 5514.12.00 3-thread or 4-thread twill, including cross twill, of polyester staple fibres 5514.19.00 Other woven fabrics 5514.21.00 Of polyester staple fibres, plain weave 5514.22.00 3-thread or 4-thread twill, including cross twill, of polyester staple fibres 5514.23.10 For use in the manufacture of apparel 5514.23.90 Other 5514.29.00 Other woven fabrics 5514.30.00 Of yarns of different colours 5514.41.00 Of polyester staple fibres, plain weave 5514.42.00 3-thread or 4-thread twill, including cross twill, of polyester staple fibres 5514.43.10 For use in the manufacture of apparel 5514.43.90 Other 5514.49.10 For use in the manufacture of apparel 5514.49.90 Other 5515.11.10 Solely of polyester fibres and viscose</w:t>
      </w:r>
    </w:p>
    <w:p>
      <w:pPr>
        <w:pStyle w:val="Normal"/>
        <w:widowControl/>
        <w:rPr/>
      </w:pPr>
      <w:r>
        <w:rPr/>
        <w:t>rayon staple fibres, or solely of polyester fibres, viscose rayon fibres and flax, with a twist of 1,050 turns or more per metre in the warp or the weft, unbleached or bleached, of a weight not exceeding 300 g/m², to produced dyed fabrics for the manufacture of apparel 5515.11.20 Containing 60% or more by weight of polyester staple fibres, 30% or more by weight of rayon staple fibres, mixed with 10% or less by weight of elastomeric monofilament, constructed in both the warp and the weft of 2-ply yarns that are also plied with an elastomeric monofilament, with a twist of 450 turns or more per metre, of a weight of 200 g/m² or more, for use in the manufacture of apparel 5515.11.30 Of a weight exceeding 300 g/m² for use in the manufacture of apparel 5515.11.90 Other 5515.12.00 Mixed mainly or solely with man-made filaments 5515.13.00 Mixed mainly or solely with wool or fine animal hair 5515.19.10 For use in the manufacture of apparel 5515.19.90 Other</w:t>
      </w:r>
    </w:p>
    <w:p>
      <w:pPr>
        <w:pStyle w:val="Normal"/>
        <w:widowControl/>
        <w:rPr/>
      </w:pPr>
      <w:r>
        <w:rPr/>
        <w:t>5515.21.10 Fabrics (other than fabrics containing polyester filaments, polyester staple fibres and acrylic staple fibres), for use in the manufacture of apparel 5515.21.90 Other 5515.22.00 Mixed mainly or solely with wool or fine animal hair 5515.29.10 For use in the manufacture of apparel 5515.29.90 Other 5515.91.10 For use in the manufacture of apparel 5515.91.90 Other 5515.99.11 Mixed mainly or solely with wool or fine animal hair:</w:t>
      </w:r>
    </w:p>
    <w:p>
      <w:pPr>
        <w:pStyle w:val="Normal"/>
        <w:widowControl/>
        <w:rPr/>
      </w:pPr>
      <w:r>
        <w:rPr/>
        <w:t>For use in the manufacture of apparel 5515.99.19 Mixed mainly or solely with wool or fine animal</w:t>
      </w:r>
    </w:p>
    <w:p>
      <w:pPr>
        <w:pStyle w:val="Normal"/>
        <w:widowControl/>
        <w:rPr/>
      </w:pPr>
      <w:r>
        <w:rPr/>
        <w:t>hair: Other 5515.99.91 Other: Fabrics (other than fabrics containing aramid staple fibres), for use in the manufacture of apparel 5515.99.99 Other: Other 5516.11.00 Unbleached or bleached 5516.12.10 Fabrics (other than fabrics solely of Lyocell staple fibres), for use in the manufacture of apparel 5516.12.91 Other: Solely of rayon, of a width exceeding 280 cm, having a sum of yarns per 10 cm in the warp and the weft of 1,085 or more, for use in the manufacture of bed linen, duvet covers, pillow shams, cushions and cushion covers 5516.12.99 Other: Other 5516.13.10 For use in the manufacture of apparel 5516.13.90 Other 5516.14.20 Fabrics (other than fabrics solely of Lyocell staple fibres), for use in the manufacture of apparel 5516.14.90 Other 5516.21.10 Solely of polyester fibres and viscose rayon staple fibres, or solely of polyester fibres, viscose rayon fibres and flax, with a twist or 1,050 turns or more per metre in the warp or the weft, of a weight not exceeding 300 g/m², to produce dyed fabrics for the manufacture of apparel 5516.21.91 Other:</w:t>
      </w:r>
    </w:p>
    <w:p>
      <w:pPr>
        <w:pStyle w:val="Normal"/>
        <w:widowControl/>
        <w:rPr/>
      </w:pPr>
      <w:r>
        <w:rPr/>
        <w:t>Fabrics (other than fabrics containing polyester filaments, polyester staple fibres and rayon staple fibres), for use in the manufacture of apparel 5516.21.99 Other: Other 5516.22.00 Dyed 5516.23.10 Of rayon mixed solely with polypropylene, for use as ticking in the manufacture of mattresses or mattress supports 5516.23.91 Other: For use in the manufacture of apparel 5516.23.99 Other: Other 5516.24.10 Containing 85% or more of</w:t>
      </w:r>
    </w:p>
    <w:p>
      <w:pPr>
        <w:pStyle w:val="Normal"/>
        <w:widowControl/>
        <w:rPr/>
      </w:pPr>
      <w:r>
        <w:rPr/>
        <w:t>viscose rayon or cuprammonium rayon, valued at $5.00/m² or more, for use in the manufacture of apparel 5516.24.90 Other 5516.31.00 Unbleached or bleached 5516.32.00 Dyed 5516.33.00 Of yarns of different colours 5516.34.00 Printed 5516.41.00 Unbleached or bleached 5516.42.00 Dyed 5516.43.00 Of yarns of different colours 5516.44.00 Printed 5516.91.10 Solely of polyester fibres and viscose rayon staple fibres, or solely of polyester fibres, viscose rayon fibres and flax, with a twist of 1,050 turns or more per metre in the warp or the weft, of a weight not exceeding 300 g/m², to produce dyed fabrics for the manufacture of apparel 5516.91.91 Other: Fabrics (other than fabrics containing Lyocell, viscose staple fibres or aramid fibres), for use in the manufacture of apparel 5516.91.92 Other: Plain weave fabric, of unbleached yarns, composed predominately of viscose rayon staple fibres, mixed mainly with horsehair, cotton and polyester staple fibres, of a weight not exceeding 225 g/m², for use in the manufacture of apparel 5516.91.99 Other:</w:t>
      </w:r>
    </w:p>
    <w:p>
      <w:pPr>
        <w:pStyle w:val="Normal"/>
        <w:widowControl/>
        <w:spacing w:before="0" w:after="160"/>
        <w:rPr/>
      </w:pPr>
      <w:r>
        <w:rPr/>
        <w:t>Other</w:t>
      </w:r>
    </w:p>
    <w:tbl>
      <w:tblPr>
        <w:tblStyle w:val="TableGrid"/>
        <w:tblW w:w="9360" w:type="dxa"/>
        <w:jc w:val="center"/>
        <w:tblInd w:w="-28" w:type="dxa"/>
        <w:tblLayout w:type="autofit"/>
        <w:tblCellMar>
          <w:top w:w="60" w:type="dxa"/>
          <w:left w:w="80" w:type="dxa"/>
          <w:bottom w:w="60" w:type="dxa"/>
          <w:right w:w="80" w:type="dxa"/>
        </w:tblCellMar>
        <w:tblLook w:val="04a0" w:noHBand="0" w:noVBand="1" w:firstColumn="1" w:lastRow="0" w:lastColumn="0" w:firstRow="1"/>
      </w:tblPr>
      <w:tblGrid>
        <w:gridCol w:w="4680"/>
        <w:gridCol w:w="4679"/>
      </w:tblGrid>
      <w:tr>
        <w:trPr>
          <w:tblHeader w:val="true"/>
          <w:cantSplit w:val="true"/>
          <w:tblHeader w:val="true"/>
        </w:trPr>
        <w:tc>
          <w:tcPr>
            <w:tcW w:w="4680" w:type="dxa"/>
            <w:tcBorders/>
            <w:vAlign w:val="center"/>
            <w:shd w:fill="233746"/>
          </w:tcPr>
          <w:p>
            <w:pPr>
              <w:pStyle w:val="Normal"/>
              <w:widowControl/>
              <w:suppressAutoHyphens w:val="true"/>
              <w:spacing w:lineRule="auto" w:line="240" w:before="0" w:after="0"/>
              <w:jc w:val="left"/>
              <w:rPr>
                <w:rFonts w:cs=""/>
                <w:kern w:val="0"/>
                <w:szCs w:val="22"/>
                <w:lang w:val="en-US" w:eastAsia="en-US" w:bidi="ar-SA"/>
              </w:rPr>
            </w:pPr>
            <w:r>
              <w:rPr>
                <w:rFonts w:cs="" w:ascii="Arial" w:hAnsi="Arial"/>
                <w:b/>
                <w:color w:val="FFFFFF"/>
                <w:kern w:val="0"/>
                <w:sz w:val="17"/>
                <w:szCs w:val="22"/>
                <w:lang w:val="en-US" w:eastAsia="en-US" w:bidi="ar-SA"/>
              </w:rPr>
              <w:t>Tariff Item</w:t>
            </w:r>
          </w:p>
        </w:tc>
        <w:tc>
          <w:tcPr>
            <w:tcW w:w="4679" w:type="dxa"/>
            <w:tcBorders/>
            <w:vAlign w:val="center"/>
            <w:shd w:fill="233746"/>
          </w:tcPr>
          <w:p>
            <w:pPr>
              <w:pStyle w:val="Normal"/>
              <w:widowControl/>
              <w:suppressAutoHyphens w:val="true"/>
              <w:spacing w:lineRule="auto" w:line="240" w:before="0" w:after="0"/>
              <w:jc w:val="left"/>
              <w:rPr>
                <w:rFonts w:cs=""/>
                <w:kern w:val="0"/>
                <w:szCs w:val="22"/>
                <w:lang w:val="en-US" w:eastAsia="en-US" w:bidi="ar-SA"/>
              </w:rPr>
            </w:pPr>
            <w:r>
              <w:rPr>
                <w:rFonts w:cs="" w:ascii="Arial" w:hAnsi="Arial"/>
                <w:b/>
                <w:color w:val="FFFFFF"/>
                <w:kern w:val="0"/>
                <w:sz w:val="17"/>
                <w:szCs w:val="22"/>
                <w:lang w:val="en-US" w:eastAsia="en-US" w:bidi="ar-SA"/>
              </w:rPr>
              <w:t>Description</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5516.92.00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Dyed</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5516.93.00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Of yarns of different colours</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5516.94.10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Fabrics (other than fabrics containing Lyocell, viscose staple fibres or aramid fibres), for use in the manufacture of apparel</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5516.94.90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Other</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5601.21.10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Strips of wadding, for use in the manufacture of tampons</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5601.21.21</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Other wadding: For use in the manufacture of apparel</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5601.21.29</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Other wadding: Other</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5601.21.30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Articles of wadding</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5601.22.40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Wadding</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5601.22.50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r>
          </w:p>
        </w:tc>
      </w:tr>
    </w:tbl>
    <w:p>
      <w:pPr>
        <w:pStyle w:val="Normal"/>
        <w:widowControl/>
        <w:spacing w:before="160" w:after="120"/>
        <w:rPr/>
      </w:pPr>
      <w:r>
        <w:rPr/>
        <w:t>Articles of wadding 5601.29.00 Other 5601.30.00 Textile flock and dust and mill neps 5602.10.10 Needleloom felt, certified by the exporter to be products that have been impregnated with polyurethane which has been coagulated, whether or not further coated or covered, for use in the manufacture of clothing accessories, parts of garments or trimmings for garments, including labels, badges and similar articles of a kind normally sewn to the outer part of wearing apparel 5602.10.20 Needleloom felt, not impregnated, coated, covered or laminated, containing 10% or more of wool or fine animal hair, for use in the manufacture of apparel 5602.10.90 Other 5602.21.10 Pressure pads for use in the manufacture of tape cassettes or tape cartridges 5602.21.91 Other: For use in the manufacture of apparel 5602.21.99 Other:</w:t>
      </w:r>
    </w:p>
    <w:p>
      <w:pPr>
        <w:pStyle w:val="Normal"/>
        <w:widowControl/>
        <w:rPr/>
      </w:pPr>
      <w:r>
        <w:rPr/>
        <w:t>Other 5602.29.00 Of other textile materials 5602.90.10 For use in the manufacture of apparel 5602.90.90 Other 5603.11.00 Weighing not more than 25 g/m² 5603.12.00 Weighing more than 25 g/m² but not more than 70 g/m² 5603.13.00 Weighing more than 70 g/m² but not more than 150 g/m² 5603.14.00 Weighing more than 150 g/m² 5603.91.00 Weighing not more than 25 g/m² 5603.92.00 Weighing more than 25 g/m² but not more than 70 g/m² 5603.93.00 Weighing more than 70 g/m² but not more than 150 g/m² 5603.94.00 Weighing more than 150 g/m² 5604.10.00 Rubber thread and cord, textile covered 5604.90.10 High tenacity yarn of polyesters, of nylon or other polyamides or of viscose rayon,</w:t>
      </w:r>
    </w:p>
    <w:p>
      <w:pPr>
        <w:pStyle w:val="Normal"/>
        <w:widowControl/>
        <w:rPr/>
      </w:pPr>
      <w:r>
        <w:rPr/>
        <w:t>impregnated or coated, excluding yarn solely of viscose, single, with a twist not exceeding 150 turns per metre 5604.90.20 Solely of viscose rayon, single, with a twist not exceeding 150 turns per metre 5604.90.90 Other 5605.00.00 Metallized yarn, whether or not gimped, being textile yarn, or strip or the like of heading 54.04 or 54.05, combined with metal in the form of thread, strip or powder or covered with metal. 5606.00.00 Gimped yarn, and strip and the like of heading 54.04 or 54.05, gimped (other than those of heading 56.05 and gimped horsehair yarn); chenille yarn (including flock chenille yarn); loop wale- yarn. 5607.21.00 Binder or baler twine 5607.29.10 Of a circumference not exceeding 38 mm, to be employed in commercial fishing or in the commercial harvesting of marine plants; Twine, to be employed in baling farm produce 5607.29.20 Other, of a circumference not exceeding 25.4 mm 5607.29.90 Other 5607.41.00 Binder or baler twine 5607.49.10 Rope, for climbing or mountaineering, manufactured to the standards of the Union Internationale des Associations d’Alpinisme;</w:t>
      </w:r>
    </w:p>
    <w:p>
      <w:pPr>
        <w:pStyle w:val="Normal"/>
        <w:widowControl/>
        <w:rPr/>
      </w:pPr>
      <w:r>
        <w:rPr/>
        <w:t>Seine rope, of a circumference of 60 mm or more, consisting of multiple ropes of polypropylene and twisted steel wires surrounding a core of multiple ropes of polypropylene, to be employed in commercial fishing or in the commercial harvesting of marine plants; Of a circumference not exceeding 38 mm, to be employed in commercial fishing or in the commercial harvesting of marine plants; Twine, to be</w:t>
      </w:r>
    </w:p>
    <w:p>
      <w:pPr>
        <w:pStyle w:val="Normal"/>
        <w:widowControl/>
        <w:rPr/>
      </w:pPr>
      <w:r>
        <w:rPr/>
        <w:t>employed in baling farm produce 5607.49.20 Other, of a circumference not exceeding 25.4 mm 5607.49.90 Other 5607.50.10 Braided cord, solely of polyester, electrically conductive, of a circumference exceeding 29 mm but not exceeding 40 mm, for use in the manufacture or refurbishing of electrical generators; Of a circumference not exceeding 38 mm, to be employed in commercial fishing or in the commercial harvesting of marine plants; Rope, for climbing or mountaineering, manufactured to the standards of the Union Internationale des Associations d’Alpinisme 5607.50.20 Other, of a circumference not exceeding 25.4 mm 5607.50.90 Other 5607.90.10 Jute twine for use in the manufacture of backing for area carpets; Of a circumference not exceeding 38 mm, to be employed in commercial fishing or in the commercial harvesting of marine plants; Rope, for climbing or mountaineering, manufactured to the standards of the Union Internationale des Associations d’Alpinisme 5607.90.20 Other, of a circumference not exceeding 25.4 mm;</w:t>
      </w:r>
    </w:p>
    <w:p>
      <w:pPr>
        <w:pStyle w:val="Normal"/>
        <w:widowControl/>
        <w:rPr/>
      </w:pPr>
      <w:r>
        <w:rPr/>
        <w:t>Other, of jute or other textile bast fibres of heading 53.03 5607.90.90 Other 5608.11.10 To be employed in commercial fishing 5608.11.90 Other 5608.19.10 Netting, to be employed in commercial fishing or in the commercial harvesting of marine plants; Made up nets, solely of polyethylene monofilament, to be employed in the protection of fruit crops from birds 5608.19.20 Knotted netting, open square mesh, of tubular braided twine of polyethylene filaments, for use in the</w:t>
      </w:r>
    </w:p>
    <w:p>
      <w:pPr>
        <w:pStyle w:val="Normal"/>
        <w:widowControl/>
        <w:spacing w:before="0" w:after="160"/>
        <w:rPr/>
      </w:pPr>
      <w:r>
        <w:rPr/>
        <w:t>manufacture of tennis nets 5608.19.90 Other 5608.90.10 Fishing nets and netting, to be employed in commercial fishing or in the commercial harvesting of marine plants 5608.90.90 Other 5609.00.00 Articles of yarn, strip or the like of heading 54.04 or 54.05, twine, cordage, rope or cables, not elsewhere specified or included.</w:t>
      </w:r>
    </w:p>
    <w:tbl>
      <w:tblPr>
        <w:tblStyle w:val="TableGrid"/>
        <w:tblW w:w="9360" w:type="dxa"/>
        <w:jc w:val="center"/>
        <w:tblInd w:w="-28" w:type="dxa"/>
        <w:tblLayout w:type="autofit"/>
        <w:tblCellMar>
          <w:top w:w="60" w:type="dxa"/>
          <w:left w:w="80" w:type="dxa"/>
          <w:bottom w:w="60" w:type="dxa"/>
          <w:right w:w="80" w:type="dxa"/>
        </w:tblCellMar>
        <w:tblLook w:val="04a0" w:noHBand="0" w:noVBand="1" w:firstColumn="1" w:lastRow="0" w:lastColumn="0" w:firstRow="1"/>
      </w:tblPr>
      <w:tblGrid>
        <w:gridCol w:w="4680"/>
        <w:gridCol w:w="4679"/>
      </w:tblGrid>
      <w:tr>
        <w:trPr>
          <w:tblHeader w:val="true"/>
          <w:cantSplit w:val="true"/>
          <w:tblHeader w:val="true"/>
        </w:trPr>
        <w:tc>
          <w:tcPr>
            <w:tcW w:w="4680" w:type="dxa"/>
            <w:tcBorders/>
            <w:vAlign w:val="center"/>
            <w:shd w:fill="233746"/>
          </w:tcPr>
          <w:p>
            <w:pPr>
              <w:pStyle w:val="Normal"/>
              <w:widowControl/>
              <w:suppressAutoHyphens w:val="true"/>
              <w:spacing w:lineRule="auto" w:line="240" w:before="0" w:after="0"/>
              <w:jc w:val="left"/>
              <w:rPr>
                <w:rFonts w:cs=""/>
                <w:kern w:val="0"/>
                <w:szCs w:val="22"/>
                <w:lang w:val="en-US" w:eastAsia="en-US" w:bidi="ar-SA"/>
              </w:rPr>
            </w:pPr>
            <w:r>
              <w:rPr>
                <w:rFonts w:cs="" w:ascii="Arial" w:hAnsi="Arial"/>
                <w:b/>
                <w:color w:val="FFFFFF"/>
                <w:kern w:val="0"/>
                <w:sz w:val="17"/>
                <w:szCs w:val="22"/>
                <w:lang w:val="en-US" w:eastAsia="en-US" w:bidi="ar-SA"/>
              </w:rPr>
              <w:t>Tariff Item</w:t>
            </w:r>
          </w:p>
        </w:tc>
        <w:tc>
          <w:tcPr>
            <w:tcW w:w="4679" w:type="dxa"/>
            <w:tcBorders/>
            <w:vAlign w:val="center"/>
            <w:shd w:fill="233746"/>
          </w:tcPr>
          <w:p>
            <w:pPr>
              <w:pStyle w:val="Normal"/>
              <w:widowControl/>
              <w:suppressAutoHyphens w:val="true"/>
              <w:spacing w:lineRule="auto" w:line="240" w:before="0" w:after="0"/>
              <w:jc w:val="left"/>
              <w:rPr>
                <w:rFonts w:cs=""/>
                <w:kern w:val="0"/>
                <w:szCs w:val="22"/>
                <w:lang w:val="en-US" w:eastAsia="en-US" w:bidi="ar-SA"/>
              </w:rPr>
            </w:pPr>
            <w:r>
              <w:rPr>
                <w:rFonts w:cs="" w:ascii="Arial" w:hAnsi="Arial"/>
                <w:b/>
                <w:color w:val="FFFFFF"/>
                <w:kern w:val="0"/>
                <w:sz w:val="17"/>
                <w:szCs w:val="22"/>
                <w:lang w:val="en-US" w:eastAsia="en-US" w:bidi="ar-SA"/>
              </w:rPr>
              <w:t>Description</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5701.10.10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Machine knotted</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5701.10.90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Other</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5701.90.10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Machine knotted</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5701.90.90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Other</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5702.10.00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w:t>
            </w:r>
            <w:r>
              <w:rPr>
                <w:rFonts w:cs="" w:ascii="Arial" w:hAnsi="Arial"/>
                <w:kern w:val="0"/>
                <w:sz w:val="17"/>
                <w:szCs w:val="22"/>
                <w:lang w:val="en-US" w:eastAsia="en-US" w:bidi="ar-SA"/>
              </w:rPr>
              <w:t>Kelem”, “Schumacks”, “Karamanie” and similar hand-woven rugs</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5702.20.00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Floor coverings of coconut fibres (coir)</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5702.31.00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Of wool or fine animal hair</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5702.32.00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Of man-made textile materials</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5702.39.00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Of other textile materials</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5702.41.00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Of wool or fine animal hair</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5702.42.00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Of man-made textile materials</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5702.49.00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Of other textile materials</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5702.50.10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Of straw, hemp, flax tow or jute</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5702.50.90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Other</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5702.91.00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Of wool or fine animal hair</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5702.92.00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Of man-made textile materials</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5702.99.10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Of straw, hemp, flax tow or jute</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5702.99.90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Other</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5703.10.10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Machine tufted</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5703.10.90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Other</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5703.20.10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Machine tufted</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5703.20.90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Other</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5703.30.10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Machine tufted</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5703.30.90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Other</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5703.90.10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Machine tufted</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5703.90.90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Other</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5704.10.00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Tiles, having a maximum surface area of 0.3 m²</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5704.20.00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Tiles, having a maximum surface area exceeding 0.3 m² but not exceeding 1 m²</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5704.90.00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Other</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5705.00.00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Other carpets and other textile floor coverings, whether or not made up.</w:t>
            </w:r>
          </w:p>
        </w:tc>
      </w:tr>
    </w:tbl>
    <w:p>
      <w:pPr>
        <w:pStyle w:val="Normal"/>
        <w:widowControl/>
        <w:spacing w:before="160" w:after="120"/>
        <w:rPr/>
      </w:pPr>
      <w:r>
        <w:rPr/>
        <w:t>5801.10.00 Of wool or fine animal hair 5801.21.00 Uncut weft pile fabrics 5801.22.00 Cut corduroy 5801.23.00 Other weft pile fabrics 5801.26.00 Chenille fabrics 5801.27.00 Warp pile fabrics 5801.31.00 Uncut weft pile fabrics 5801.32.00 Cut corduroy 5801.33.00 Other weft pile fabrics 5801.36.00 Chenille fabrics 5801.37.00 Warp pile fabrics 5801.90.00 Of other textile materials 5802.11.00 Unbleached 5802.19.00 Other 5802.20.00 Terry towelling and similar woven terry fabrics, of other textile materials 5802.30.00 Tufted textile fabrics 5803.00.00 Gauze, other than narrow fabrics of heading 58.06.</w:t>
      </w:r>
    </w:p>
    <w:p>
      <w:pPr>
        <w:pStyle w:val="Normal"/>
        <w:widowControl/>
        <w:rPr/>
      </w:pPr>
      <w:r>
        <w:rPr/>
        <w:t>5804.10.00 Tulles and other net fabrics 5804.21.00 Of man-made fibres 5804.29.00 Of other textile materials 5804.30.00 Hand-made lace 5805.00.10 Hand-woven tapestries 5805.00.90 Other 5806.10.00 Woven pile fabrics (including terry towelling and similar terry fabrics) and chenille fabrics 5806.20.00 Other woven fabrics, containing by weight 5% or more of elastomeric yarn or rubber thread 5806.31.00 Of cotton 5806.32.00 Of man-made fibres 5806.39.00 Of other textile materials 5806.40.00 Fabrics consisting of warp without weft assembled by means of an adhesive (bolducs) 5807.10.00 Woven 5807.90.00 Other 5808.10.00 Braids in the piece 5808.90.00 Other 5809.00.00 Woven fabrics of metal thread and woven fabrics of metallized yarn of heading 56.05, of a kind used in apparel, as furnishing fabrics or for similar purposes, not elsewhere specified or included.</w:t>
      </w:r>
    </w:p>
    <w:p>
      <w:pPr>
        <w:pStyle w:val="Normal"/>
        <w:widowControl/>
        <w:rPr/>
      </w:pPr>
      <w:r>
        <w:rPr/>
        <w:t>5810.10.00 Embroidery without visible ground 5810.91.00 Of cotton 5810.92.00 Of man-made fibres 5810.99.00 Of other textile materials 5811.00.10 Cotton piece goods 5811.00.21 Man-made piece goods: Polypropylene fibres for use in the manufacture of sorbent material for containment or clean-up of liquid spills 5811.00.29 Man-made piece goods: Other 5811.00.90 Other 5901.10.10 Holland cloth, solely of cotton fibres 5901.10.90 Other 5901.90.10 Prepared painting canvas 5901.90.90 Other 5902.10.00 Of nylon or other polyamides 5902.20.00 Of polyesters 5902.90.00 Other 5903.10.11 Textile fabrics not containing man-made fibres: Of a length of 9 m or more, for use in the manufacture of umbrellas having a rib length not exceeding 69 cm; Woven fabrics of cotton, impregnated and coated, with the weight of the unimpregnated/uncoated fabrics not exceeding 120 g/m² and the total weight of the impregnated/coated fabrics exceeding 430 g/m² but not exceeding 470 g/m², for use in the manufacture of apparel 5903.10.19 Textile fabrics not containing man-made fibres: Other 5903.10.21 Textile fabrics containing man-made fibres:</w:t>
      </w:r>
    </w:p>
    <w:p>
      <w:pPr>
        <w:pStyle w:val="Normal"/>
        <w:widowControl/>
        <w:rPr/>
      </w:pPr>
      <w:r>
        <w:rPr/>
        <w:t>For use in the manufacture of headbands (hat sweats), linings (including tips and sides), peaks and stiffening bands for hats or caps; Of a length of 9 m or more, for use in the manufacture of umbrellas having a rib length not exceeding 69 cm; Coated open weave fabrics, solely of yarns of polyesters, or open weave fabrics, solely of yarns of polyesters which have been</w:t>
      </w:r>
    </w:p>
    <w:p>
      <w:pPr>
        <w:pStyle w:val="Normal"/>
        <w:widowControl/>
        <w:rPr/>
      </w:pPr>
      <w:r>
        <w:rPr/>
        <w:t>extrusion or dip coated, for use in the manufacture of garden furniture, umbrellas for garden furniture or cushions for garden furniture; Woven fabrics of cotton mixed solely with polyesters, or solely of polyester staple fibres or of polyester staple fibres mixed solely with cotton, for use in the manufacture of family or recreational tents of a floor area of 3 m² or more but not exceeding 21 m² 5903.10.29 Textile fabrics containing man-made fibres: Other 5903.20.11 Textile fabrics not containing man-made fibres: With a leather- like coating solely of polyurethane on one side, the weight of the coating being 20% or more of the total weight of the coated fabric, for use in the manufacture of footwear or handbags;</w:t>
      </w:r>
    </w:p>
    <w:p>
      <w:pPr>
        <w:pStyle w:val="Normal"/>
        <w:widowControl/>
        <w:rPr/>
      </w:pPr>
      <w:r>
        <w:rPr/>
        <w:t>Woven fabrics, certified by the exporter to be products that have been impregnated with polyurethane which has been coagulated, of a total weight, including the impregnation, exceeding 240 g/m², for use in the manufacture of clothing accessories, parts of garments or trimmings for garments, including labels, badges and similar articles of a kind normally sewn to the outer part of wearing apparel 5903.20.19 Textile fabrics not containing man-made fibres: Other 5903.20.21 Textile fabrics containing man-made fibres: Heat seal tape; With a leather-like coating solely of polyurethane on one side, the weight of the coating being 20% or more of the total weight of the coated fabric, for use in the manufacture of footwear or handbags; Woven fabrics, certified by the</w:t>
      </w:r>
    </w:p>
    <w:p>
      <w:pPr>
        <w:pStyle w:val="Normal"/>
        <w:widowControl/>
        <w:rPr/>
      </w:pPr>
      <w:r>
        <w:rPr/>
        <w:t>exporter to be products that have been impregnated with polyurethane which has been coagulated, of a total weight, including the impregnation, exceeding 240 g/m², for use in the manufacture of clothing accessories, parts of garments or trimmings for garments, including labels, badges and similar articles of a kind normally sewn to the outer part of wearing apparel; Woven fabrics of cotton mixed solely with polyesters, or solely of polyester staple fibres or of polyester staple fibres mixed solely with cotton, for use in the manufacture of family or recreational tents of a floor area of 3 m² or more but not exceeding 21 m²; Woven tape, containing 50% by weight of cotton and 50% by weight of rayon fibres, coated with an adhesive, for use in the manufacture of footwear; Woven fabrics, solely of polyester filament yarns, the weight of the coated or covered fabric not exceeding 150 g/m², for use in the manufacture of aircraft 5903.20.22 Textile fabrics containing man-made fibres:</w:t>
      </w:r>
    </w:p>
    <w:p>
      <w:pPr>
        <w:pStyle w:val="Normal"/>
        <w:widowControl/>
        <w:rPr/>
      </w:pPr>
      <w:r>
        <w:rPr/>
        <w:t>Woven fabrics, solely of single, non-textured nylon filament yarns, coated on one side with non-cellular polyurethane, with the total weight of the coated fabric not exceeding 72 g/m², for use in the manufacture of family or recreational tents of a floor area of 3 m² or more but not exceeding 21 m², or tent flies 5903.20.23 Textile fabrics containing man-made fibres: Imitation leather, containing 60% or more by weight of man-made fibres, valued at $13/m² or more; Poromeric materials, with a water vapour</w:t>
      </w:r>
    </w:p>
    <w:p>
      <w:pPr>
        <w:pStyle w:val="Normal"/>
        <w:widowControl/>
        <w:rPr/>
      </w:pPr>
      <w:r>
        <w:rPr/>
        <w:t>permeability of 0.5 mg/cm²/hr or more but not exceeding 11 mg/cm²/hr, excluding materials with a backing composed solely of woven or knitted fabrics, for use in the manufacture of footwear 5903.20.24 Textile fabrics containing man-made fibres: Weft-knit fabric of polyester, nylon or poly(m-phenylene isophthalamide), coated on one side with a non-cellular polyurethane, certified by the exporter to have been transfer-coated, for use in the manufacture of apparel 5903.20.25 Textile fabrics containing man-made fibres: Four-layer fabric consisting of a first layer of woven polyester or nylon fabric with or without elastomeric yarns, a second layer of cellular polytetrafluoroethylene, a third layer of non-cellular polyurethane and a fourth layer of woven or knit fabric of polyester or nylon, for use in the manufacture of water-resistant or waterproof, breathable recreational outerwear, including alpine hiking and climbing, skiing or mountaineering apparel 5903.20.29 Textile fabrics containing man-made fibres: Other 5903.90.10 Textile fabrics not containing man-made fibres 5903.90.21 Textile fabrics containing man-made fibres: Heat seal tape;</w:t>
      </w:r>
    </w:p>
    <w:p>
      <w:pPr>
        <w:pStyle w:val="Normal"/>
        <w:widowControl/>
        <w:rPr/>
      </w:pPr>
      <w:r>
        <w:rPr/>
        <w:t>Woven fabrics of cotton mixed solely with polyesters, or solely of polyester staple fibres, or of polyester staple fibres mixed solely with cotton, for use in the manufacture of family or recreational tents of a floor area of 3 m² or more but not exceeding 21 m² 5903.90.22 Textile fabrics containing man-made fibres: Warp knit fabrics, of</w:t>
      </w:r>
    </w:p>
    <w:p>
      <w:pPr>
        <w:pStyle w:val="Normal"/>
        <w:widowControl/>
        <w:rPr/>
      </w:pPr>
      <w:r>
        <w:rPr/>
        <w:t>polyester filaments and polyester staple fibres, partially coated with hot-melt adhesive, of a weight not exceeding 55 g/m², for use in the manufacture of apparel 5903.90.23 Textile fabrics containing man-made fibres: Other, of textured polyester filament yarns, partially coated with hot-melt adhesive, with a 4% minimum stretch in the warp and a 12% minimum stretch in the weft as measured by specification ASTM D3107 75, of a weight not exceeding 95 g/m², for use in the manufacture of apparel 5903.90.24 Textile fabrics containing man-made fibres: Other, of textured and non-textured polyester filament yarns, partially coated with hot-melt adhesive, with a 4% minimum stretch in the warp and a 12% minimum stretch in the weft as measured by specification ASTM D3107-75, of a weight exceeding 70 g/m² but not exceeding 95 g/m², for use in the manufacture of apparel 5903.90.25 Textile fabrics containing man-made fibres: Stitch-bonded, warp knit fabrics, solely of polyesters, coated on one side with cellular acrylic polymer, for use as ticking in the manufacture of mattresses or mattress supports 5903.90.26 Textile fabrics containing man-made fibres:</w:t>
      </w:r>
    </w:p>
    <w:p>
      <w:pPr>
        <w:pStyle w:val="Normal"/>
        <w:widowControl/>
        <w:rPr/>
      </w:pPr>
      <w:r>
        <w:rPr/>
        <w:t>Woven fabric of polyester filaments coated on one side with two layers of acrylic polymers and on the other side with a layer of polyvinyl acetate polymer, for use in the manufacture of internal roller shade systems 5903.90.27 Textile fabrics containing man-made fibres: The following for use in the manufacture of water-resistant or</w:t>
      </w:r>
    </w:p>
    <w:p>
      <w:pPr>
        <w:pStyle w:val="Normal"/>
        <w:widowControl/>
        <w:rPr/>
      </w:pPr>
      <w:r>
        <w:rPr/>
        <w:t>waterproof, breathable recreational outerwear, including alpine hiking and climbing, skiing or mountaineering apparel: Three-layer fabric consisting of a middle layer of cellular polytetrafluoroethylene, having a woven polyester or nylon fabric with or without elastomeric yarns on one side and a woven or knit fabric of polyester or nylon on the other side; Four-layer fabric consisting of a first layer of woven polyester or nylon fabric with or without elastomeric yarns, a second layer of cellular polytetrafluoroethylene, a third layer of non-cellular polyurethane and a fourth layer of woven or knit fabric of polyester or nylon 5903.90.29 Textile fabrics containing man-made fibres: Other 5904.10.00 Linoleum 5904.90.10 Floor coverings, with a base consisting of needleloom felt or nonwovens 5904.90.90 Other 5905.00.10 Backed with wallpaper base (hanging stock), whether or not coated or pre-pasted; Of jute backed with paper 5905.00.90 Other 5906.10.10 For use in the manufacture of thermionic, cold cathode or photo- cathode valves and tubes 5906.10.90 Other 5906.91.10 Cellular chloroprene rubber sheets with a knitted nylon fabric laminated to one or both sides 5906.91.91 Other:</w:t>
      </w:r>
    </w:p>
    <w:p>
      <w:pPr>
        <w:pStyle w:val="Normal"/>
        <w:widowControl/>
        <w:rPr/>
      </w:pPr>
      <w:r>
        <w:rPr/>
        <w:t>For use in the manufacture of apparel 5906.91.99 Other: Other 5906.99.11 Textile fabrics not containing man-made fibres: For use in the manufacture of apparel 5906.99.19 Textile fabrics not containing man-made fibres: Other 5906.99.21 Textile fabrics containing man-made fibres: Woven fabrics of yarns of</w:t>
      </w:r>
    </w:p>
    <w:p>
      <w:pPr>
        <w:pStyle w:val="Normal"/>
        <w:widowControl/>
        <w:rPr/>
      </w:pPr>
      <w:r>
        <w:rPr/>
        <w:t>synthetic filaments coated with a mixture of styrene butadiene rubber and resorcinol-formaldehyde resin for use in the manufacture of conveyor belts or conveyor belting; Woven fabrics, solely of nylon or solely of polyester, coated or covered with rubber, for use in the manufacture of inflatable boats or inflatable life preservers 5906.99.22 Textile fabrics containing man-made fibres: Other, for use in the manufacture of conveyor or transmission belts or belting; Tire cord fabric for use in the manufacture of pneumatic tires 5906.99.23 Textile fabrics containing man-made fibres: Woven fabrics, coated or impregnated with styrene-butadiene rubber or butadiene rubber, of high tenacity yarns solely of nylon filaments or of high tenacity yarns of polyester filaments and nylon filaments, of a weight not exceeding 1,000 g/m², for use as a stabilizing/reinforcing fabric in the manufacture of unvulcanized, calendered rubber of a kind used in the manufacture of snowmobile track and industrial track 5906.99.24 Textile fabrics containing man-made fibres: Impregnated, coated, covered or laminated with rubber, other than neoprene rubber, for use in the manufacture of apparel 5906.99.29 Textile fabrics containing man-made fibres:</w:t>
      </w:r>
    </w:p>
    <w:p>
      <w:pPr>
        <w:pStyle w:val="Normal"/>
        <w:widowControl/>
        <w:rPr/>
      </w:pPr>
      <w:r>
        <w:rPr/>
        <w:t>Other 5907.00.11 Textile fabrics otherwise impregnated, coated or covered: Holland cloth, solely of cotton fibres 5907.00.12 Textile fabrics otherwise impregnated, coated or covered: Woven fabrics, solely of non-melting, heat stabilized polyacrylonitrile fibres</w:t>
      </w:r>
    </w:p>
    <w:p>
      <w:pPr>
        <w:pStyle w:val="Normal"/>
        <w:widowControl/>
        <w:rPr/>
      </w:pPr>
      <w:r>
        <w:rPr/>
        <w:t>produced by the oxidization of polyacrylonitrile 5907.00.13 Textile fabrics otherwise impregnated, coated or covered: Oilcloth 5907.00.16 Textile fabrics otherwise impregnated, coated or covered: Other, solely of cotton, containing 2 ply yarns, impregnated with materials that are predominantly not of plastic or rubber to achieve a hydrostatic pressure of more than 36 cm of water, based on ISO 811-1981 using a rate of increase of water pressure of 60 cm of water/min, and a spray rating of ISO 4 or higher, based on ISO 4920-1981, all values taken in a standard temperate atmosphere based on ISO 139-1973 using distilled or fully deionized water at 20 ± 2 °C, the impregnated fabric weighing 250 g/m² or more but not exceeding 400 g/m² and valued at $4.50/m² or more, for use in the manufacture of jackets, coats or hats 5907.00.17 Textile fabrics otherwise impregnated, coated or covered: Other, for use in the manufacture of apparel 5907.00.18 Textile fabrics otherwise impregnated, coated or covered: Other, not containing man-made fibres 5907.00.19 Textile fabrics otherwise impregnated, coated or covered:</w:t>
      </w:r>
    </w:p>
    <w:p>
      <w:pPr>
        <w:pStyle w:val="Normal"/>
        <w:widowControl/>
        <w:rPr/>
      </w:pPr>
      <w:r>
        <w:rPr/>
        <w:t>Other, containing man-made fibres 5907.00.21 Painted canvas being theatrical scenery, studio back-cloths or the like: Of a kind used as photographic, cinematographic or television studio equipment 5907.00.29 Painted canvas being theatrical scenery, studio back-cloths or the like: Other 5908.00.10 Textile wicks, whether or not plaited, processed or with core, for use in the</w:t>
      </w:r>
    </w:p>
    <w:p>
      <w:pPr>
        <w:pStyle w:val="Normal"/>
        <w:widowControl/>
        <w:rPr/>
      </w:pPr>
      <w:r>
        <w:rPr/>
        <w:t>manufacture of wax candles or tapers or to be employed in oil-burning sanctuary lamps 5908.00.90 Other 5909.00.10 Fire hose 5909.00.90 Other 5910.00.00 Transmission or conveyor belts or belting, of textile material, whether or not impregnated, coated, covered or laminated with plastics, or reinforced with metal or other material. 5911.10.10 Blankets, lapping or blanketing to be employed in offset printing machinery 5911.10.20 Belting, of a thickness not exceeding 2.8 mm and a width exceeding 350 mm, of nylon, polyester or aramid, for use in the manufacture of conveyor belts; Belts and developer sleeves for use in the manufacture of contact printers; Other blankets, lapping or blanketing; Transmission belting, excluding belting of trapezoidal cross- section (V or multi V), whether or not embossed, for use in the manufacture of transmission belts 5911.10.90 Other 5911.20.10 For sifting flour in flour mills;</w:t>
      </w:r>
    </w:p>
    <w:p>
      <w:pPr>
        <w:pStyle w:val="Normal"/>
        <w:widowControl/>
        <w:rPr/>
      </w:pPr>
      <w:r>
        <w:rPr/>
        <w:t>For use in the manufacture of screens for printing 5911.20.90 Other 5911.31.00 Weighing less than 650 g/m² 5911.32.00 Weighing 650 g/m² or more 5911.40.10 Filtering fabric, solely of non-textured polyester filaments, with a loom width exceeding 3 metres, for use in the manufacture of cesium formate 5911.40.90 Other 5911.90.00 Other 6001.10.10 Weft pile fabrics, having a W-knit pile surface of nylon or polyester filaments, for use in the manufacture of apparel 6001.10.90 Other 6001.21.00 Of cotton 6001.22.00 Of man-made fibres 6001.29.10 For use in the manufacture of apparel</w:t>
      </w:r>
    </w:p>
    <w:p>
      <w:pPr>
        <w:pStyle w:val="Normal"/>
        <w:widowControl/>
        <w:rPr/>
      </w:pPr>
      <w:r>
        <w:rPr/>
        <w:t>6001.29.90 Other 6001.91.00 Of cotton 6001.92.10 Weft pile fabrics, having a W-knit pile surface of nylon or polyester filaments, for use in the manufacture of apparel 6001.92.20 Three-layer fabric consisting of a middle layer of cellular polytetrafluoroethylene, having a woven nylon fabric with or without elastomeric yarns on one side and a knit pile fabric of polyester on the other side, for use in the manufacture of water- resistant or waterproof, breathable recreational outerwear, including alpine hiking and climbing, skiing or moutaineering apparel 6001.92.30 Four-layer fabric consisting of a first layer of woven nylon fabric with or without elastomeric yarns, a second layer of cellular polytetrafluoroethylene, a third layer of non-cellular polyurethane and a fourth layer of knit pile fabric of polyester, for use in the manufacture of water-resistant or waterproof, breathable recreational outerwear, including alpine hiking and climbing, skiing or moutaineering apparel 6001.92.40 Warp pile fabric, cut, solely of polyester, including the ground fabric, brushed, for use in the manufacture of coffin interiors 6001.92.90 Other 6001.99.10 For use in the manufacture of apparel 6001.99.90 Other</w:t>
      </w:r>
    </w:p>
    <w:p>
      <w:pPr>
        <w:pStyle w:val="Normal"/>
        <w:widowControl/>
        <w:rPr/>
      </w:pPr>
      <w:r>
        <w:rPr/>
        <w:t>6002.40.30 For use in the manufacture of apparel 6002.40.40 Other, knitted netting or lace, of vegetable textile fibres, not containing any other textile fibres 6002.40.90 Other 6002.90.11 Knitted netting or lace, of vegetable textile fibres, not containing any other textile fibres:</w:t>
      </w:r>
    </w:p>
    <w:p>
      <w:pPr>
        <w:pStyle w:val="Normal"/>
        <w:widowControl/>
        <w:rPr/>
      </w:pPr>
      <w:r>
        <w:rPr/>
        <w:t>For</w:t>
      </w:r>
    </w:p>
    <w:p>
      <w:pPr>
        <w:pStyle w:val="Normal"/>
        <w:widowControl/>
        <w:rPr/>
      </w:pPr>
      <w:r>
        <w:rPr/>
        <w:t>use in the manufacture of apparel 6002.90.19 Knitted netting or lace, of vegetable textile fibres, not containing any other textile fibres: Other 6002.90.90 Other 6003.10.10 Knitted tubing, napped, of a width not exceeding 11 cm when laid flat and unstretched, for use in the manufacture of injection moulded boots 6003.10.91 Other: For use in the manufacture of apparel 6003.10.99 Other: Other 6003.20.20 Knitted tubing, napped, of a width not exceeding 11 cm when laid flat and unstretched, for use in the manufacture of injection moulded boots 6003.20.30 For use in the manufacture of apparel 6003.20.40 Other lace, solely of vegetable textile fibres 6003.20.90 Other 6003.30.10 Knitted tubing, napped, of a width not exceeding 11 cm when laid flat and unstretched, for use in the manufacture of injection moulded boots 6003.30.91 Other: For use in the manufacture of apparel 6003.30.99 Other: Other 6003.40.10 Knitted tubing, napped, of a width not exceeding 11 cm when laid flat and unstretched, for use in the manufacture of injection moulded boots 6003.40.91 Other: For use in the manufacture of apparel 6003.40.99 Other:</w:t>
      </w:r>
    </w:p>
    <w:p>
      <w:pPr>
        <w:pStyle w:val="Normal"/>
        <w:widowControl/>
        <w:rPr/>
      </w:pPr>
      <w:r>
        <w:rPr/>
        <w:t>Other 6003.90.20 Knitted tubing, napped, of a width not exceeding 11 cm when laid flat and unstretched, for use in the manufacture of injection moulded boots 6003.90.30 For use in the manufacture of apparel 6003.90.40 Other lace, solely of vegetable textile fibres 6003.90.90 Other 6004.10.11 Lace of vegetable textile fibres, not containing any other textile</w:t>
      </w:r>
    </w:p>
    <w:p>
      <w:pPr>
        <w:pStyle w:val="Normal"/>
        <w:widowControl/>
        <w:rPr/>
      </w:pPr>
      <w:r>
        <w:rPr/>
        <w:t>fibres: For use in the manufacture of apparel 6004.10.19 Lace of vegetable textile fibres, not containing any other textile fibres:</w:t>
      </w:r>
    </w:p>
    <w:p>
      <w:pPr>
        <w:pStyle w:val="Normal"/>
        <w:widowControl/>
        <w:rPr/>
      </w:pPr>
      <w:r>
        <w:rPr/>
        <w:t>Other 6004.10.20 Warp knit fabrics, lace-like, consisting of nylon filament yarns or polyester filament yarns or mixtures thereof, with elastomeric yarns but not containing any other textile fibre, produced on a knitting machine using 9 bars or more, for use in the manufacture of brassieres, camisoles, teddies, chemises, bustiers and panties or briefs 6004.10.90 Other 6004.90.20 For use in the manufacture of apparel 6004.90.30 Other lace of vegetable textile fibres, not containing any other textile fibres 6004.90.90 Other 6005.21.20 For use in the manufacture of apparel 6005.21.30 Other lace, solely of cotton or solely of cotton and other vegetable textile fibres 6005.21.90 Other 6005.22.20 For use in the manufacture of apparel 6005.22.30 Other lace, solely of cotton or solely of cotton and other vegetable textile fibres 6005.22.90 Other 6005.23.20 For use in the manufacture of apparel 6005.23.30 Other lace, solely of cotton or solely of cotton and other vegetable textile fibres 6005.23.90 Other 6005.24.20 For use in the manufacture of apparel 6005.24.30 Other lace, solely of cotton or solely of cotton and other vegetable textile fibres 6005.24.90 Other</w:t>
      </w:r>
    </w:p>
    <w:p>
      <w:pPr>
        <w:pStyle w:val="Normal"/>
        <w:widowControl/>
        <w:rPr/>
      </w:pPr>
      <w:r>
        <w:rPr/>
        <w:t>6005.35.00 Fabrics specified in Subheading Note 1 to this Chapter 6005.36.10 Containing 25% or more by weight of metallized yarn, for use in the manufacture of clerical or ecclesiastical garments</w:t>
      </w:r>
    </w:p>
    <w:p>
      <w:pPr>
        <w:pStyle w:val="Normal"/>
        <w:widowControl/>
        <w:rPr/>
      </w:pPr>
      <w:r>
        <w:rPr/>
        <w:t>or vestments and furnishing articles for decorating religious buildings; Knitted netting, to be employed in commercial fishing or in the commercial harvesting of marine plants; To be employed in greenhouse shading systems 6005.36.20 Solely of polyester filaments and polyester monofilaments, open mesh, treated with fire retardant material, for use in the manufacture of mesh windows and ventilation for tents 6005.36.90 Other 6005.37.10 Containing 25% or more by weight of metallized yarn, for use in the manufacture of clerical or ecclesiastical garments or vestments and furnishing articles for decorating religious buildings; Knitted netting, to be employed in commercial fishing or in the commercial harvesting of marine plants; To be employed in greenhouse shading systems 6005.37.20 Solely of polyester filaments and polyester monofilaments, open mesh, treated with fire retardant material, for use in the manufacture of mesh windows and ventilation for tents 6005.37.90 Other 6005.38.10 Containing 25% or more by weight of metallized yarn, for use in the manufacture of clerical or ecclesiastical garments or vestments and furnishing articles for decorating religious buildings;</w:t>
      </w:r>
    </w:p>
    <w:p>
      <w:pPr>
        <w:pStyle w:val="Normal"/>
        <w:widowControl/>
        <w:rPr/>
      </w:pPr>
      <w:r>
        <w:rPr/>
        <w:t>Knitted netting, to be employed in commercial fishing or in the commercial harvesting of marine plants; To be employed in greenhouse shading systems 6005.38.20 Solely of polyester filaments and polyester monofilaments, open mesh, treated with fire retardant material, for use in the manufacture of mesh windows</w:t>
      </w:r>
    </w:p>
    <w:p>
      <w:pPr>
        <w:pStyle w:val="Normal"/>
        <w:widowControl/>
        <w:rPr/>
      </w:pPr>
      <w:r>
        <w:rPr/>
        <w:t>and ventilation for tents 6005.38.90 Other 6005.39.10 Containing 25% or more by weight of metallized yarn, for use in the manufacture of clerical or ecclesiastical garments or vestments and furnishing articles for decorating religious buildings; Knitted netting, to be employed in commercial fishing or in the commercial harvesting of marine plants; To be employed in greenhouse shading systems 6005.39.20 Solely of polyesters, printed, for use as ticking in the manufacture of mattresses or mattress supports; Stitch-bonded, warp knit fabrics, printed, of a blend of viscose rayon and polyester staple fibres, stitch-bonded with nylon filament yarns, of a weight of 100 g/m² or more but not exceeding 150 g/m², for use in the manufacture of mattresses, mattress supports or upholstered furniture 6005.39.30 Solely of polyester filaments and polyester monofilaments, open mesh, treated with fire retardant material, for use in the manufacture of mesh windows and ventilation for tents 6005.39.90 Other 6005.41.10 Containing 25% or more by weight of metallized yarn, for use in the manufacture of clerical or ecclesiastical garments or vestments and furnishing articles for decorating religious buildings;</w:t>
      </w:r>
    </w:p>
    <w:p>
      <w:pPr>
        <w:pStyle w:val="Normal"/>
        <w:widowControl/>
        <w:rPr/>
      </w:pPr>
      <w:r>
        <w:rPr/>
        <w:t>Knitted netting, to be employed in commercial fishing or in the commercial harvesting of marine plants; To be employed in greenhouse shading systems 6005.41.90 Other 6005.42.10 Containing 25% or more by weight of metallized yarn, for use in the manufacture of clerical or ecclesiastical</w:t>
      </w:r>
    </w:p>
    <w:p>
      <w:pPr>
        <w:pStyle w:val="Normal"/>
        <w:widowControl/>
        <w:rPr/>
      </w:pPr>
      <w:r>
        <w:rPr/>
        <w:t>garments or vestments and furnishing articles for decorating religious buildings; Knitted netting, to be employed in commercial fishing or in the commercial harvesting of marine plants; To be employed in greenhouse shading systems 6005.42.90 Other 6005.43.10 Containing 25% or more by weight of metallized yarn, for use in the manufacture of clerical or ecclesiastical garments or vestments and furnishing articles for decorating religious buildings; Knitted netting, to be employed in commercial fishing or in the commercial harvesting of marine plants; To be employed in greenhouse shading systems 6005.43.91 Other: For use in the manufacture of apparel 6005.43.99 Other: Other 6005.44.10 Containing 25% or more by weight of metallized yarn, for use in the manufacture of clerical or ecclesiastical garments or vestments and furnishing articles for decorating religious buildings; Knitted netting, to be employed in commercial fishing or in the commercial harvesting of marine plants;</w:t>
      </w:r>
    </w:p>
    <w:p>
      <w:pPr>
        <w:pStyle w:val="Normal"/>
        <w:widowControl/>
        <w:rPr/>
      </w:pPr>
      <w:r>
        <w:rPr/>
        <w:t>To be employed in greenhouse shading systems 6005.44.20 Stitch-bonded, warp knit fabrics, printed, of a blend of viscose rayon and polyester staple fibres, stitch-bonded with nylon filament yarns, of a weight of 100 g/m² or more but not exceeding 150 g/m², for use in the manufacture of mattresses, mattress supports or upholstered furniture 6005.44.90 Other 6005.90.21 Of wool or fine animal hair: For use in the manufacture of apparel 6005.90.29 Of wool or fine animal hair: Other 6005.90.91 Other: For use in</w:t>
      </w:r>
    </w:p>
    <w:p>
      <w:pPr>
        <w:pStyle w:val="Normal"/>
        <w:widowControl/>
        <w:rPr/>
      </w:pPr>
      <w:r>
        <w:rPr/>
        <w:t>the manufacture of apparel 6005.90.92 Other: To be employed in greenhouse shading systems 6005.90.99 Other:</w:t>
      </w:r>
    </w:p>
    <w:p>
      <w:pPr>
        <w:pStyle w:val="Normal"/>
        <w:widowControl/>
        <w:rPr/>
      </w:pPr>
      <w:r>
        <w:rPr/>
        <w:t>Other 6006.10.00 Of wool or fine animal hair 6006.21.10 Circular knit, solely of cotton yarns measuring less than 100 decitex per single yarn (100 metric number or more per single yarn) 6006.21.90 Other 6006.22.10 Circular knit, solely of cotton yarns measuring less than 100 decitex per single yarn (100 metric number or more per single yarn) 6006.22.20 Solely of 2-ply cotton yarns, measuring 180 decitex or more per single yarn but not exceeding 200 decitex, of a weight of 150 g/m² or more but not exceeding 200 g/m², certified by the exporter to have been double-mercerized (yarns that have been mercerized, knit into a fabric and subjected to a second mercerization process), for use in the manufacture of golf jerseys 6006.22.90 Other</w:t>
      </w:r>
    </w:p>
    <w:p>
      <w:pPr>
        <w:pStyle w:val="Normal"/>
        <w:widowControl/>
        <w:rPr/>
      </w:pPr>
      <w:r>
        <w:rPr/>
        <w:t>6006.23.10 Solely of 2-ply cotton yarns of different colours, measuring per single yarn 180 decitex or less, of a weight of 100 g/m2 or more but not exceeding 200 g/m2, certified by the exporter to have been knit on a Jacquard circular weft-knitting machine and to have been double mercerized (yarns that have been mercerized, knit into a fabric and subjected to a second mercerization process), for use in the manufacture of golf jerseys 6006.23.21 Circular knit, solely of cotton yarns measuring less than 100 decitex per single yarn (100 metric number or more per single yarn):</w:t>
      </w:r>
    </w:p>
    <w:p>
      <w:pPr>
        <w:pStyle w:val="Normal"/>
        <w:widowControl/>
        <w:rPr/>
      </w:pPr>
      <w:r>
        <w:rPr/>
        <w:t>For use in the manufacture of apparel 6006.23.29 Circular knit,</w:t>
      </w:r>
    </w:p>
    <w:p>
      <w:pPr>
        <w:pStyle w:val="Normal"/>
        <w:widowControl/>
        <w:rPr/>
      </w:pPr>
      <w:r>
        <w:rPr/>
        <w:t>solely of cotton yarns measuring less than 100 decitex per single yarn (100 metric number or more per single yarn): Other 6006.23.90 Other 6006.24.10 Circular knit, solely of cotton yarns measuring less than 100 decitex per single yarn (100 metric number or more per single yarn) 6006.24.90 Other 6006.31.10 For use in the manufacture of headbands (hat sweats), linings (including tips and sides), peaks and stiffening bands for hats or caps; Napped and sheared, for use in the manufacture of coated or covered fabrics with a leather-like coating of polyurethane on one or both sides, the coating of which represents by weight 20% or more of the coated fabric 6006.31.90 Other 6006.32.10 For use in the manufacture of headbands (hat sweats), linings (including tips and sides), peaks and stiffening bands for hats or caps;</w:t>
      </w:r>
    </w:p>
    <w:p>
      <w:pPr>
        <w:pStyle w:val="Normal"/>
        <w:widowControl/>
        <w:rPr/>
      </w:pPr>
      <w:r>
        <w:rPr/>
        <w:t>Napped and sheared, for use in the manufacture of coated or covered fabrics with a leather-like coating of polyurethane on one or both sides, the coating of which represents by weight 20% or more of the coated fabric 6006.32.90 Other 6006.33.10 For use in the manufacture of headbands (hat sweats), linings (including tips and sides), peaks and stiffening bands for hats or caps; Napped and sheared, for use in the manufacture of coated or covered fabrics with a leather-like coating of polyurethane on one or both sides, the coating of which represents by weight 20% or more of the coated fabric 6006.33.90 Other 6006.34.10 For use in the manufacture of headbands (hat</w:t>
      </w:r>
    </w:p>
    <w:p>
      <w:pPr>
        <w:pStyle w:val="Normal"/>
        <w:widowControl/>
        <w:rPr/>
      </w:pPr>
      <w:r>
        <w:rPr/>
        <w:t>sweats), linings (including tips and sides), peaks and stiffening bands for hats or caps; Napped and sheared, for use in the manufacture of coated or covered fabrics with a leather-like coating of polyurethane on one or both sides, the coating of which represents by weight 20% or more of the coated fabric 6006.34.90 Other 6006.41.10 For use in the manufacture of headbands (hat sweats), linings (including tips and sides), peaks and stiffening bands for hats or caps; Napped and sheared, for use in the manufacture of coated or covered fabrics with a leather-like coating of polyurethane on one or both sides, the coating of which represents by weight 20% or more of the coated fabric 6006.41.90 Other 6006.42.10 For use in the manufacture of headbands (hat sweats), linings (including tips and sides), peaks and stiffening bands for hats or caps;</w:t>
      </w:r>
    </w:p>
    <w:p>
      <w:pPr>
        <w:pStyle w:val="Normal"/>
        <w:widowControl/>
        <w:rPr/>
      </w:pPr>
      <w:r>
        <w:rPr/>
        <w:t>Napped and sheared, for use in the manufacture of coated or covered fabrics with a leather-like coating of polyurethane on one or both sides, the coating of which represents by weight 20% or more of the coated fabric 6006.42.90 Other 6006.43.10 For use in the manufacture of headbands (hat sweats), linings (including tips and sides), peaks and stiffening bands for hats or caps; Napped and sheared, for use in the manufacture of coated or covered fabrics with a leather-like coating of polyurethane on one or both sides, the coating of which represents by weight 20% or more of the coated fabric 6006.43.90 Other 6006.44.10 For use in the</w:t>
      </w:r>
    </w:p>
    <w:p>
      <w:pPr>
        <w:pStyle w:val="Normal"/>
        <w:widowControl/>
        <w:rPr/>
      </w:pPr>
      <w:r>
        <w:rPr/>
        <w:t>manufacture of headbands (hat sweats), linings (including tips and sides), peaks and stiffening bands for hats or caps;</w:t>
      </w:r>
    </w:p>
    <w:p>
      <w:pPr>
        <w:pStyle w:val="Normal"/>
        <w:widowControl/>
        <w:spacing w:before="0" w:after="160"/>
        <w:rPr/>
      </w:pPr>
      <w:r>
        <w:rPr/>
        <w:t>Napped and sheared, for use in the manufacture of coated or covered fabrics with a leather-like coating of polyurethane on one or both sides, the coating of which represents by weight 20% or more of the coated fabric</w:t>
      </w:r>
    </w:p>
    <w:tbl>
      <w:tblPr>
        <w:tblStyle w:val="TableGrid"/>
        <w:tblW w:w="9360" w:type="dxa"/>
        <w:jc w:val="center"/>
        <w:tblInd w:w="-28" w:type="dxa"/>
        <w:tblLayout w:type="autofit"/>
        <w:tblCellMar>
          <w:top w:w="60" w:type="dxa"/>
          <w:left w:w="80" w:type="dxa"/>
          <w:bottom w:w="60" w:type="dxa"/>
          <w:right w:w="80" w:type="dxa"/>
        </w:tblCellMar>
        <w:tblLook w:val="04a0" w:noHBand="0" w:noVBand="1" w:firstColumn="1" w:lastRow="0" w:lastColumn="0" w:firstRow="1"/>
      </w:tblPr>
      <w:tblGrid>
        <w:gridCol w:w="4680"/>
        <w:gridCol w:w="4679"/>
      </w:tblGrid>
      <w:tr>
        <w:trPr>
          <w:tblHeader w:val="true"/>
          <w:cantSplit w:val="true"/>
          <w:tblHeader w:val="true"/>
        </w:trPr>
        <w:tc>
          <w:tcPr>
            <w:tcW w:w="4680" w:type="dxa"/>
            <w:tcBorders/>
            <w:vAlign w:val="center"/>
            <w:shd w:fill="233746"/>
          </w:tcPr>
          <w:p>
            <w:pPr>
              <w:pStyle w:val="Normal"/>
              <w:widowControl/>
              <w:suppressAutoHyphens w:val="true"/>
              <w:spacing w:lineRule="auto" w:line="240" w:before="0" w:after="0"/>
              <w:jc w:val="left"/>
              <w:rPr>
                <w:rFonts w:cs=""/>
                <w:kern w:val="0"/>
                <w:szCs w:val="22"/>
                <w:lang w:val="en-US" w:eastAsia="en-US" w:bidi="ar-SA"/>
              </w:rPr>
            </w:pPr>
            <w:r>
              <w:rPr>
                <w:rFonts w:cs="" w:ascii="Arial" w:hAnsi="Arial"/>
                <w:b/>
                <w:color w:val="FFFFFF"/>
                <w:kern w:val="0"/>
                <w:sz w:val="17"/>
                <w:szCs w:val="22"/>
                <w:lang w:val="en-US" w:eastAsia="en-US" w:bidi="ar-SA"/>
              </w:rPr>
              <w:t>Tariff Item</w:t>
            </w:r>
          </w:p>
        </w:tc>
        <w:tc>
          <w:tcPr>
            <w:tcW w:w="4679" w:type="dxa"/>
            <w:tcBorders/>
            <w:vAlign w:val="center"/>
            <w:shd w:fill="233746"/>
          </w:tcPr>
          <w:p>
            <w:pPr>
              <w:pStyle w:val="Normal"/>
              <w:widowControl/>
              <w:suppressAutoHyphens w:val="true"/>
              <w:spacing w:lineRule="auto" w:line="240" w:before="0" w:after="0"/>
              <w:jc w:val="left"/>
              <w:rPr>
                <w:rFonts w:cs=""/>
                <w:kern w:val="0"/>
                <w:szCs w:val="22"/>
                <w:lang w:val="en-US" w:eastAsia="en-US" w:bidi="ar-SA"/>
              </w:rPr>
            </w:pPr>
            <w:r>
              <w:rPr>
                <w:rFonts w:cs="" w:ascii="Arial" w:hAnsi="Arial"/>
                <w:b/>
                <w:color w:val="FFFFFF"/>
                <w:kern w:val="0"/>
                <w:sz w:val="17"/>
                <w:szCs w:val="22"/>
                <w:lang w:val="en-US" w:eastAsia="en-US" w:bidi="ar-SA"/>
              </w:rPr>
              <w:t>Description</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6006.44.90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Other</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6006.90.10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For use in the manufacture of apparel</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6006.90.90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Other</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6101.20.00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Of cotton</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6101.30.00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Of man-made fibres</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6101.90.00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Of other textile materials</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6102.10.00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Of wool or fine animal hair</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6102.20.00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Of cotton</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6102.30.00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Of man-made fibres</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6102.90.00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Of other textile materials</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6103.10.10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Of wool or fine animal hair</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6103.10.90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Other</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6103.22.00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Of cotton</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6103.23.00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Of synthetic fibres</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6103.29.00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Of other textile materials</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6103.31.00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Of wool or fine animal hair</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6103.32.00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Of cotton</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6103.33.00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Of synthetic fibres</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6103.39.10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Of artificial fibres</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6103.39.90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Other</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6103.41.00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Of wool or fine animal hair</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6103.42.00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Of cotton</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6103.43.00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Of synthetic fibres</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6103.49.00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Of other textile materials</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6104.13.00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Of synthetic fibres</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6104.19.00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Of other textile materials</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6104.22.00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Of cotton</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6104.23.00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Of synthetic fibres</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6104.29.00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Of other textile materials</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6104.31.00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Of wool or fine animal hair</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6104.32.00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Of cotton</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6104.33.00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Of synthetic fibres</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6104.39.10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Of artificial fibres</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6104.39.90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Other</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6104.41.00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Of wool or fine animal hair</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6104.42.00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Of cotton</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6104.43.00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Of synthetic fibres</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6104.44.00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Of artificial fibres</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6104.49.00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Of other</w:t>
            </w:r>
          </w:p>
        </w:tc>
      </w:tr>
    </w:tbl>
    <w:p>
      <w:pPr>
        <w:pStyle w:val="Normal"/>
        <w:widowControl/>
        <w:spacing w:before="160" w:after="160"/>
        <w:rPr/>
      </w:pPr>
      <w:r>
        <w:rPr/>
        <w:t>textile materials</w:t>
      </w:r>
    </w:p>
    <w:tbl>
      <w:tblPr>
        <w:tblStyle w:val="TableGrid"/>
        <w:tblW w:w="9360" w:type="dxa"/>
        <w:jc w:val="center"/>
        <w:tblInd w:w="-28" w:type="dxa"/>
        <w:tblLayout w:type="autofit"/>
        <w:tblCellMar>
          <w:top w:w="60" w:type="dxa"/>
          <w:left w:w="80" w:type="dxa"/>
          <w:bottom w:w="60" w:type="dxa"/>
          <w:right w:w="80" w:type="dxa"/>
        </w:tblCellMar>
        <w:tblLook w:val="04a0" w:noHBand="0" w:noVBand="1" w:firstColumn="1" w:lastRow="0" w:lastColumn="0" w:firstRow="1"/>
      </w:tblPr>
      <w:tblGrid>
        <w:gridCol w:w="4680"/>
        <w:gridCol w:w="4679"/>
      </w:tblGrid>
      <w:tr>
        <w:trPr>
          <w:tblHeader w:val="true"/>
          <w:cantSplit w:val="true"/>
          <w:tblHeader w:val="true"/>
        </w:trPr>
        <w:tc>
          <w:tcPr>
            <w:tcW w:w="4680" w:type="dxa"/>
            <w:tcBorders/>
            <w:vAlign w:val="center"/>
            <w:shd w:fill="233746"/>
          </w:tcPr>
          <w:p>
            <w:pPr>
              <w:pStyle w:val="Normal"/>
              <w:widowControl/>
              <w:suppressAutoHyphens w:val="true"/>
              <w:spacing w:lineRule="auto" w:line="240" w:before="0" w:after="0"/>
              <w:jc w:val="left"/>
              <w:rPr>
                <w:rFonts w:cs=""/>
                <w:kern w:val="0"/>
                <w:szCs w:val="22"/>
                <w:lang w:val="en-US" w:eastAsia="en-US" w:bidi="ar-SA"/>
              </w:rPr>
            </w:pPr>
            <w:r>
              <w:rPr>
                <w:rFonts w:cs="" w:ascii="Arial" w:hAnsi="Arial"/>
                <w:b/>
                <w:color w:val="FFFFFF"/>
                <w:kern w:val="0"/>
                <w:sz w:val="17"/>
                <w:szCs w:val="22"/>
                <w:lang w:val="en-US" w:eastAsia="en-US" w:bidi="ar-SA"/>
              </w:rPr>
              <w:t>Tariff Item</w:t>
            </w:r>
          </w:p>
        </w:tc>
        <w:tc>
          <w:tcPr>
            <w:tcW w:w="4679" w:type="dxa"/>
            <w:tcBorders/>
            <w:vAlign w:val="center"/>
            <w:shd w:fill="233746"/>
          </w:tcPr>
          <w:p>
            <w:pPr>
              <w:pStyle w:val="Normal"/>
              <w:widowControl/>
              <w:suppressAutoHyphens w:val="true"/>
              <w:spacing w:lineRule="auto" w:line="240" w:before="0" w:after="0"/>
              <w:jc w:val="left"/>
              <w:rPr>
                <w:rFonts w:cs=""/>
                <w:kern w:val="0"/>
                <w:szCs w:val="22"/>
                <w:lang w:val="en-US" w:eastAsia="en-US" w:bidi="ar-SA"/>
              </w:rPr>
            </w:pPr>
            <w:r>
              <w:rPr>
                <w:rFonts w:cs="" w:ascii="Arial" w:hAnsi="Arial"/>
                <w:b/>
                <w:color w:val="FFFFFF"/>
                <w:kern w:val="0"/>
                <w:sz w:val="17"/>
                <w:szCs w:val="22"/>
                <w:lang w:val="en-US" w:eastAsia="en-US" w:bidi="ar-SA"/>
              </w:rPr>
              <w:t>Description</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6104.51.00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Of wool or fine animal hair</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6104.52.00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Of cotton</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6104.53.00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Of synthetic fibres</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6104.59.10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Of artificial fibres</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6104.59.90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Other</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6104.61.00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Of wool or fine animal hair</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6104.62.00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Of cotton</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6104.63.00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Of synthetic fibres</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6104.69.00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Of other textile materials</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6105.10.00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Of cotton</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6105.20.00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Of man-made fibres</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6105.90.00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Of other textile materials</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6106.10.00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Of cotton</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6106.20.00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Of man-made fibres</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6106.90.00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Of other textile materials</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6107.11.00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Of cotton</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6107.12.00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Of man-made fibres</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6107.19.00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Of other textile materials</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6107.21.00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Of cotton</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6107.22.00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Of man-made fibres</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6107.29.00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Of other textile materials</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6107.91.00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Of cotton</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6107.99.00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Of other textile materials</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6108.11.00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Of man-made fibres</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6108.19.00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Of other textile materials</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6108.21.00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Of cotton</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6108.22.00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Of man-made fibres</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6108.29.00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Of other textile materials</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6108.31.00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Of cotton</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6108.32.00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Of man-made fibres</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6108.39.00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Of other textile materials</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6108.91.00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Of cotton</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6108.92.00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Of man-made fibres</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6108.99.00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Of other textile materials</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6109.10.00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Of cotton</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6109.90.00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Of other textile materials</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6110.11.10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Women’s or girls’, valued at not less than $20/kg</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6110.11.90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Other</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6110.12.10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Women’s or girls’, valued at not less than $20/kg</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6110.12.90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Other</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6110.19.10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Women’s or girls’, valued at not less than $20/kg</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6110.19.90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Other</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6110.20.00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Of cotton</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6110.30.00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Of man-made fibres</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6110.90.00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Of other textile materials</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6111.20.00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Of cotton</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6111.30.00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Of synthetic fibres</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6111.90.00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Of other textile</w:t>
            </w:r>
          </w:p>
        </w:tc>
      </w:tr>
    </w:tbl>
    <w:p>
      <w:pPr>
        <w:pStyle w:val="Normal"/>
        <w:widowControl/>
        <w:spacing w:before="160" w:after="160"/>
        <w:rPr/>
      </w:pPr>
      <w:r>
        <w:rPr/>
        <w:t>materials</w:t>
      </w:r>
    </w:p>
    <w:tbl>
      <w:tblPr>
        <w:tblStyle w:val="TableGrid"/>
        <w:tblW w:w="9360" w:type="dxa"/>
        <w:jc w:val="center"/>
        <w:tblInd w:w="-28" w:type="dxa"/>
        <w:tblLayout w:type="autofit"/>
        <w:tblCellMar>
          <w:top w:w="60" w:type="dxa"/>
          <w:left w:w="80" w:type="dxa"/>
          <w:bottom w:w="60" w:type="dxa"/>
          <w:right w:w="80" w:type="dxa"/>
        </w:tblCellMar>
        <w:tblLook w:val="04a0" w:noHBand="0" w:noVBand="1" w:firstColumn="1" w:lastRow="0" w:lastColumn="0" w:firstRow="1"/>
      </w:tblPr>
      <w:tblGrid>
        <w:gridCol w:w="4680"/>
        <w:gridCol w:w="4679"/>
      </w:tblGrid>
      <w:tr>
        <w:trPr>
          <w:tblHeader w:val="true"/>
          <w:cantSplit w:val="true"/>
          <w:tblHeader w:val="true"/>
        </w:trPr>
        <w:tc>
          <w:tcPr>
            <w:tcW w:w="4680" w:type="dxa"/>
            <w:tcBorders/>
            <w:vAlign w:val="center"/>
            <w:shd w:fill="233746"/>
          </w:tcPr>
          <w:p>
            <w:pPr>
              <w:pStyle w:val="Normal"/>
              <w:widowControl/>
              <w:suppressAutoHyphens w:val="true"/>
              <w:spacing w:lineRule="auto" w:line="240" w:before="0" w:after="0"/>
              <w:jc w:val="left"/>
              <w:rPr>
                <w:rFonts w:cs=""/>
                <w:kern w:val="0"/>
                <w:szCs w:val="22"/>
                <w:lang w:val="en-US" w:eastAsia="en-US" w:bidi="ar-SA"/>
              </w:rPr>
            </w:pPr>
            <w:r>
              <w:rPr>
                <w:rFonts w:cs="" w:ascii="Arial" w:hAnsi="Arial"/>
                <w:b/>
                <w:color w:val="FFFFFF"/>
                <w:kern w:val="0"/>
                <w:sz w:val="17"/>
                <w:szCs w:val="22"/>
                <w:lang w:val="en-US" w:eastAsia="en-US" w:bidi="ar-SA"/>
              </w:rPr>
              <w:t>Tariff Item</w:t>
            </w:r>
          </w:p>
        </w:tc>
        <w:tc>
          <w:tcPr>
            <w:tcW w:w="4679" w:type="dxa"/>
            <w:tcBorders/>
            <w:vAlign w:val="center"/>
            <w:shd w:fill="233746"/>
          </w:tcPr>
          <w:p>
            <w:pPr>
              <w:pStyle w:val="Normal"/>
              <w:widowControl/>
              <w:suppressAutoHyphens w:val="true"/>
              <w:spacing w:lineRule="auto" w:line="240" w:before="0" w:after="0"/>
              <w:jc w:val="left"/>
              <w:rPr>
                <w:rFonts w:cs=""/>
                <w:kern w:val="0"/>
                <w:szCs w:val="22"/>
                <w:lang w:val="en-US" w:eastAsia="en-US" w:bidi="ar-SA"/>
              </w:rPr>
            </w:pPr>
            <w:r>
              <w:rPr>
                <w:rFonts w:cs="" w:ascii="Arial" w:hAnsi="Arial"/>
                <w:b/>
                <w:color w:val="FFFFFF"/>
                <w:kern w:val="0"/>
                <w:sz w:val="17"/>
                <w:szCs w:val="22"/>
                <w:lang w:val="en-US" w:eastAsia="en-US" w:bidi="ar-SA"/>
              </w:rPr>
              <w:t>Description</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6112.11.00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Of cotton</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6112.12.00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Of synthetic fibres</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6112.19.00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Of other textile materials</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6112.20.00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Ski suits</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6112.31.00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Of synthetic fibres</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6112.39.00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Of other textile materials</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6112.41.00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Of synthetic fibres</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6112.49.00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Of other textile materials</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6113.00.10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Protective suits, to be employed in a noxious atmosphere</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6113.00.20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Diving suits</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6113.00.90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Other</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6114.20.00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Of cotton</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6114.30.00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Of man-made fibres</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6114.90.00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Of other textile materials</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6115.10.10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Panty hose and tights</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6115.10.91</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Other: Of wool or fine animal hair</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6115.10.99</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Other: Other</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6115.21.00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Of synthetic fibres, measuring per single yarn less than 67 decitex</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6115.22.00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Of synthetic fibres, measuring per single yarn 67 decitex or more</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6115.29.00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Of other textile materials</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6115.30.00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Other women’s full-length or knee-length hosiery, measuring per single yarn less than 67 decitex</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6115.94.00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Of wool or fine animal hair</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6115.95.00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Of cotton</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6115.96.00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Of synthetic fibres</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6115.99.00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Of other textile materials</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6116.10.00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Impregnated, coated or covered with plastics or rubber</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6116.91.00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Of wool or fine animal hair</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6116.92.00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Of cotton</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6116.93.00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Of synthetic fibres</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6116.99.00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Of other textile materials</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6117.10.10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Prayer shawls</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6117.10.90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Other</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6117.80.10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Badges and the like;</w:t>
            </w:r>
          </w:p>
        </w:tc>
      </w:tr>
    </w:tbl>
    <w:p>
      <w:pPr>
        <w:pStyle w:val="Normal"/>
        <w:widowControl/>
        <w:spacing w:before="160" w:after="120"/>
        <w:rPr/>
      </w:pPr>
      <w:r>
        <w:rPr/>
        <w:t>Belts 6117.80.90 Other 6117.90.10 Inserts for use in the manufacture of cycling shorts; Of protective suits, to be employed in a noxious atmosphere; Of prayer shawls; Sleeve cuffs and collars, solely of fabric of tariff item No.</w:t>
      </w:r>
    </w:p>
    <w:p>
      <w:pPr>
        <w:pStyle w:val="Normal"/>
        <w:widowControl/>
        <w:rPr/>
      </w:pPr>
      <w:r>
        <w:rPr/>
        <w:t>6006.23.10, for use in the manufacture of golf jerseys 6117.90.20 Of diving suits 6117.90.90 Other 6201.11.00 Of wool or fine animal hair 6201.12.00 Of cotton 6201.13.00 Of man-made fibres 6201.19.00 Of other textile materials 6201.91.00 Of wool or fine animal hair 6201.92.10 Men’s ski-jackets, solely of cotton 6201.92.90 Other 6201.93.00 Of man-made fibres 6201.99.00 Of other textile materials 6202.11.00 Of wool or fine animal hair 6202.12.00 Of cotton 6202.13.00 Of man-made fibres 6202.19.00 Of other textile materials 6202.91.00 Of wool or fine animal hair 6202.92.00 Of cotton 6202.93.00 Of man-made fibres 6202.99.00 Of other textile materials 6203.11.00 Of wool or fine animal hair 6203.12.00 Of synthetic fibres 6203.19.10 Of cotton or of artificial fibres 6203.19.90 Other 6203.22.00 Of cotton 6203.23.00 Of synthetic fibres 6203.29.10 Of wool or fine animal hair 6203.29.90 Other 6203.31.00 Of wool or fine animal hair 6203.32.00 Of cotton 6203.33.00 Of synthetic fibres 6203.39.10 Of artificial fibres 6203.39.90 Other 6203.41.00 Of wool or fine animal hair 6203.42.00 Of cotton 6203.43.00 Of synthetic fibres 6203.49.00 Of other textile materials 6204.11.00 Of wool or fine animal hair</w:t>
      </w:r>
    </w:p>
    <w:p>
      <w:pPr>
        <w:pStyle w:val="Normal"/>
        <w:widowControl/>
        <w:spacing w:before="0" w:after="160"/>
        <w:rPr/>
      </w:pPr>
      <w:r>
        <w:rPr/>
        <w:t>6204.12.00 Of cotton 6204.13.00 Of synthetic fibres 6204.19.10 Of artificial fibres 6204.19.90 Other 6204.21.00 Of wool or fine animal hair 6204.22.00 Of cotton 6204.23.00 Of synthetic fibres 6204.29.00 Of other textile materials 6204.31.00 Of wool or fine animal hair 6204.32.00 Of cotton</w:t>
      </w:r>
    </w:p>
    <w:tbl>
      <w:tblPr>
        <w:tblStyle w:val="TableGrid"/>
        <w:tblW w:w="9360" w:type="dxa"/>
        <w:jc w:val="center"/>
        <w:tblInd w:w="-28" w:type="dxa"/>
        <w:tblLayout w:type="autofit"/>
        <w:tblCellMar>
          <w:top w:w="60" w:type="dxa"/>
          <w:left w:w="80" w:type="dxa"/>
          <w:bottom w:w="60" w:type="dxa"/>
          <w:right w:w="80" w:type="dxa"/>
        </w:tblCellMar>
        <w:tblLook w:val="04a0" w:noHBand="0" w:noVBand="1" w:firstColumn="1" w:lastRow="0" w:lastColumn="0" w:firstRow="1"/>
      </w:tblPr>
      <w:tblGrid>
        <w:gridCol w:w="4680"/>
        <w:gridCol w:w="4679"/>
      </w:tblGrid>
      <w:tr>
        <w:trPr>
          <w:tblHeader w:val="true"/>
          <w:cantSplit w:val="true"/>
          <w:tblHeader w:val="true"/>
        </w:trPr>
        <w:tc>
          <w:tcPr>
            <w:tcW w:w="4680" w:type="dxa"/>
            <w:tcBorders/>
            <w:vAlign w:val="center"/>
            <w:shd w:fill="233746"/>
          </w:tcPr>
          <w:p>
            <w:pPr>
              <w:pStyle w:val="Normal"/>
              <w:widowControl/>
              <w:suppressAutoHyphens w:val="true"/>
              <w:spacing w:lineRule="auto" w:line="240" w:before="0" w:after="0"/>
              <w:jc w:val="left"/>
              <w:rPr>
                <w:rFonts w:cs=""/>
                <w:kern w:val="0"/>
                <w:szCs w:val="22"/>
                <w:lang w:val="en-US" w:eastAsia="en-US" w:bidi="ar-SA"/>
              </w:rPr>
            </w:pPr>
            <w:r>
              <w:rPr>
                <w:rFonts w:cs="" w:ascii="Arial" w:hAnsi="Arial"/>
                <w:b/>
                <w:color w:val="FFFFFF"/>
                <w:kern w:val="0"/>
                <w:sz w:val="17"/>
                <w:szCs w:val="22"/>
                <w:lang w:val="en-US" w:eastAsia="en-US" w:bidi="ar-SA"/>
              </w:rPr>
              <w:t>Tariff Item</w:t>
            </w:r>
          </w:p>
        </w:tc>
        <w:tc>
          <w:tcPr>
            <w:tcW w:w="4679" w:type="dxa"/>
            <w:tcBorders/>
            <w:vAlign w:val="center"/>
            <w:shd w:fill="233746"/>
          </w:tcPr>
          <w:p>
            <w:pPr>
              <w:pStyle w:val="Normal"/>
              <w:widowControl/>
              <w:suppressAutoHyphens w:val="true"/>
              <w:spacing w:lineRule="auto" w:line="240" w:before="0" w:after="0"/>
              <w:jc w:val="left"/>
              <w:rPr>
                <w:rFonts w:cs=""/>
                <w:kern w:val="0"/>
                <w:szCs w:val="22"/>
                <w:lang w:val="en-US" w:eastAsia="en-US" w:bidi="ar-SA"/>
              </w:rPr>
            </w:pPr>
            <w:r>
              <w:rPr>
                <w:rFonts w:cs="" w:ascii="Arial" w:hAnsi="Arial"/>
                <w:b/>
                <w:color w:val="FFFFFF"/>
                <w:kern w:val="0"/>
                <w:sz w:val="17"/>
                <w:szCs w:val="22"/>
                <w:lang w:val="en-US" w:eastAsia="en-US" w:bidi="ar-SA"/>
              </w:rPr>
              <w:t>Description</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6204.33.00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Of synthetic fibres</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6204.39.10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Of artificial fibres</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6204.39.90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Other</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6204.41.00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Of wool or fine animal hair</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6204.42.00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Of cotton</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6204.43.00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Of synthetic fibres</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6204.44.00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Of artificial fibres</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6204.49.00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Of other textile materials</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6204.51.00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Of wool or fine animal hair</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6204.52.00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Of cotton</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6204.53.00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Of synthetic fibres</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6204.59.10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Of artificial fibres</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6204.59.90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Other</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6204.61.00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Of wool or fine animal hair</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6204.62.00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Of cotton</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6204.63.00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Of synthetic fibres</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6204.69.00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Of other textile materials</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6205.20.00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Of cotton</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6205.30.00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Of man-made fibres</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6205.90.10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Of wool or fine animal hair</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6205.90.90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Other</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6206.10.00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Of silk or silk waste</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6206.20.00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Of wool or fine animal hair</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6206.30.00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Of cotton</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6206.40.00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Of man-made fibres</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6206.90.00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Of other textile materials</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6207.11.00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Of cotton</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6207.19.00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Of other textile materials</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6207.21.00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Of cotton</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6207.22.00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Of man-made fibres</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6207.29.00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Of other textile materials</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6207.91.00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Of cotton</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6207.99.10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Of man-made fibres</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6207.99.90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Other</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6208.11.00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Of man-made fibres</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6208.19.00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Of other textile materials</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6208.21.00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Of cotton</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6208.22.00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Of man-made fibres</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6208.29.00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Of other textile materials</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6208.91.00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Of cotton</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6208.92.00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Of man-made fibres</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6208.99.00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Of other textile materials</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6209.20.00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Of cotton</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6209.30.00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Of synthetic fibres</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6209.90.10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Of wool or fine animal hair</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6209.90.90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Other</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6210.10.10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Protective suits, to be employed in a noxious atmosphere</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6210.10.90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Other</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6210.20.00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Other garments, of the type described in subheadings</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b/>
                <w:kern w:val="0"/>
                <w:sz w:val="17"/>
                <w:szCs w:val="22"/>
                <w:lang w:val="en-US" w:eastAsia="en-US" w:bidi="ar-SA"/>
              </w:rPr>
              <w:t>Tariff Item</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b/>
                <w:kern w:val="0"/>
                <w:sz w:val="17"/>
                <w:szCs w:val="22"/>
                <w:lang w:val="en-US" w:eastAsia="en-US" w:bidi="ar-SA"/>
              </w:rPr>
              <w:t>Description</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6201.11</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to</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6201.19</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6210.30.00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Other garments, of the type described in subheadings</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6202.11</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to</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6202.19</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6210.40.10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Protective suits, to be employed in a noxious atmosphere</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6210.40.90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Other</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6210.50.10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Protective suits, to be employed in a noxious atmosphere</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6210.50.90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Other</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6211.11.00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Men’s or boys’</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6211.12.10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Specially designed for incorporating breast prostheses</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6211.12.90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Other</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6211.20.00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Ski suits</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6211.32.00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Of cotton</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6211.33.10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Clerical or ecclesiastical garments or vestments</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6211.33.90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Other</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6211.39.10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Of wool or fine animal hair</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6211.39.90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Other</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6211.42.00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Of cotton</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6211.43.10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Saris</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6211.43.20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Clerical or ecclesiastical garments or vestments</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6211.43.90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Other</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6211.49.10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Saris</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6211.49.20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Clerical or ecclesiastical garments or vestments</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6211.49.91</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Other: Of wool or fine animal hair</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6211.49.99</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Other: Other</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6212.10.00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Brassières</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6212.20.00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Girdles and panty-girdles</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6212.30.00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Corselettes</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6212.90.00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Other</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6213.20.00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Of cotton</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6213.90.10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Of silk or silk waste</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6213.90.90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Other</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6214.10.10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Prayer shawls</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6214.10.90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Other</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6214.20.10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Prayer shawls</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6214.20.90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Other</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6214.30.10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Prayer shawls</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6214.30.90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Other</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6214.40.00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Of artificial fibres</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6214.90.00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Of other textile materials</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6215.10.00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Of silk or silk waste</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6215.20.00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Of man-made fibres</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6215.90.00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Of other textile materials</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6216.00.00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Gloves, mittens and mitts.</w:t>
            </w:r>
          </w:p>
        </w:tc>
      </w:tr>
    </w:tbl>
    <w:p>
      <w:pPr>
        <w:pStyle w:val="Normal"/>
        <w:widowControl/>
        <w:spacing w:before="160" w:after="120"/>
        <w:rPr/>
      </w:pPr>
      <w:r>
        <w:rPr/>
        <w:t>6217.10.10 For clerical or ecclesiastical garments or vestments 6217.10.90 Other 6217.90.10 Of protective suits to be employed in a noxious atmosphere; Of prayer shawls 6217.90.90 Other 6301.10.00 Electric blankets 6301.20.00 Blankets (other than electric blankets) and travelling rugs, of wool or of fine animal hair 6301.30.00 Blankets (other than electric blankets) and travelling rugs, of cotton 6301.40.00 Blankets (other than electric blankets) and travelling rugs, of synthetic fibres 6301.90.00 Other blankets and travelling rugs 6302.10.00 Bed linen, knitted or crocheted 6302.21.00 Of cotton 6302.22.00 Of man-made fibres 6302.29.00 Of other textile materials 6302.31.00 Of cotton 6302.32.00 Of man-made fibres 6302.39.00 Of other textile materials 6302.40.00 Table linen, knitted or crocheted 6302.51.00 Of cotton 6302.53.10 For decorating religious buildings 6302.53.90 Other 6302.59.10 Of flax 6302.59.90 Other 6302.60.00 Toilet linen and kitchen linen, of terry towelling or similar terry fabrics, of cotton 6302.91.00 Of cotton 6302.93.00 Of man-made fibres 6302.99.10 Of flax 6302.99.90 Other 6303.12.00 Of synthetic fibres 6303.19.00 Of other textile materials 6303.91.00 Of cotton 6303.92.10 Made up from fabrics of tariff item No.</w:t>
      </w:r>
    </w:p>
    <w:p>
      <w:pPr>
        <w:pStyle w:val="Normal"/>
        <w:widowControl/>
        <w:rPr/>
      </w:pPr>
      <w:r>
        <w:rPr/>
        <w:t>5407.61.19 6303.92.90 Other 6303.99.00 Of other textile materials 6304.11.00 Knitted or crocheted 6304.19.00 Other 6304.20.00 Bed nets specified in Subheading Note 1 to this Chapter 6304.91.10 Seat covers for motor vehicles 6304.91.90 Other 6304.92.10 Seat covers for motor vehicles 6304.92.90 Other 6304.93.10 Seat covers for motor vehicles 6304.93.90 Other 6304.99.10 Seat covers for motor vehicles 6304.99.90 Other 6305.10.00 Of jute or of other textile bast fibres of heading 53.03 6305.20.00 Of cotton 6305.32.00 Flexible intermediate bulk containers 6305.33.00 Other, of polyethylene or polypropylene strip or the like 6305.39.00 Other 6305.90.00 Of other textile materials 6306.12.00 Of synthetic fibres 6306.19.00 Of other textile materials 6306.22.00 Of synthetic fibres 6306.29.00 Of other textile materials 6306.30.00 Sails 6306.40.00 Pneumatic mattresses 6306.90.10 Of cotton 6306.90.90 Other</w:t>
      </w:r>
    </w:p>
    <w:p>
      <w:pPr>
        <w:pStyle w:val="Normal"/>
        <w:widowControl/>
        <w:rPr/>
      </w:pPr>
      <w:r>
        <w:rPr/>
        <w:t>6307.10.10 Industrial shop towels, hemmed, of a width of 43 cm or more but not exceeding 56 cm and a length of 43 cm or more but not exceeding 61 cm, of unbleached woven fabrics solely of cotton or of cotton and man-made fibres, measuring per single yarn 420 decitex to 1,000 decitex and having not less than 78 yarns but not more than 133 yarns per 10 cm in the warp and not less than 78 yarns but not more than 137 yarns per 10 cm in the weft, of a weight of 135 g/m² or more but not exceeding 203 g/m² 6307.10.90 Other 6307.20.00 Life-jackets and life-belts 6307.90.10 Burial shrouds;</w:t>
      </w:r>
    </w:p>
    <w:p>
      <w:pPr>
        <w:pStyle w:val="Normal"/>
        <w:widowControl/>
        <w:spacing w:before="0" w:after="160"/>
        <w:rPr/>
      </w:pPr>
      <w:r>
        <w:rPr/>
        <w:t>Climbing harnesses, for climbing or mountaineering, manufactured to the standards of the Union Internationale des Associations d’Alpinisme; Marine evacuation chutes, for use in the manufacture of marine evacuation systems; Respirators, NIOSH approved or equivalent, consisting of several layers of nonwovens of man-made fibres, whether or not treated with activated carbon, with or without an exhalation valve, to be employed in a noxious atmosphere; Sample books of textile wall coverings of subheading 5905.00; Tubular webbing, for climbing or mountaineering; Wire-edged ribbon for use in the manufacture of articles put up for retail sale as festive articles of heading 95.05 6307.90.20 Furnishing articles for decorating religious buildings 6307.90.30 Belts for occupational use 6307.90.40 Furniture moving pads 6307.90.50 Shells for use in the manufacture of articles of subheading 9404.90 6307.90.91 Other: Solely of jute 6307.90.92 Other: Of silk 6307.90.93 Of cotton or other vegetable textile fibres, except solely of jute 6307.90.99 Other: Of other textile materials 6308.00.00 Sets consisting of woven fabric and yarn, whether or not with accessories, for making up into rugs, tapestries, embroidered table cloths or serviettes, or similar textile articles, put up in packings for retail sale.</w:t>
      </w:r>
    </w:p>
    <w:tbl>
      <w:tblPr>
        <w:tblStyle w:val="TableGrid"/>
        <w:tblW w:w="9360" w:type="dxa"/>
        <w:jc w:val="center"/>
        <w:tblInd w:w="-28" w:type="dxa"/>
        <w:tblLayout w:type="autofit"/>
        <w:tblCellMar>
          <w:top w:w="60" w:type="dxa"/>
          <w:left w:w="80" w:type="dxa"/>
          <w:bottom w:w="60" w:type="dxa"/>
          <w:right w:w="80" w:type="dxa"/>
        </w:tblCellMar>
        <w:tblLook w:val="04a0" w:noHBand="0" w:noVBand="1" w:firstColumn="1" w:lastRow="0" w:lastColumn="0" w:firstRow="1"/>
      </w:tblPr>
      <w:tblGrid>
        <w:gridCol w:w="4680"/>
        <w:gridCol w:w="4679"/>
      </w:tblGrid>
      <w:tr>
        <w:trPr>
          <w:tblHeader w:val="true"/>
          <w:cantSplit w:val="true"/>
          <w:tblHeader w:val="true"/>
        </w:trPr>
        <w:tc>
          <w:tcPr>
            <w:tcW w:w="4680" w:type="dxa"/>
            <w:tcBorders/>
            <w:vAlign w:val="center"/>
            <w:shd w:fill="233746"/>
          </w:tcPr>
          <w:p>
            <w:pPr>
              <w:pStyle w:val="Normal"/>
              <w:widowControl/>
              <w:suppressAutoHyphens w:val="true"/>
              <w:spacing w:lineRule="auto" w:line="240" w:before="0" w:after="0"/>
              <w:jc w:val="left"/>
              <w:rPr>
                <w:rFonts w:cs=""/>
                <w:kern w:val="0"/>
                <w:szCs w:val="22"/>
                <w:lang w:val="en-US" w:eastAsia="en-US" w:bidi="ar-SA"/>
              </w:rPr>
            </w:pPr>
            <w:r>
              <w:rPr>
                <w:rFonts w:cs="" w:ascii="Arial" w:hAnsi="Arial"/>
                <w:b/>
                <w:color w:val="FFFFFF"/>
                <w:kern w:val="0"/>
                <w:sz w:val="17"/>
                <w:szCs w:val="22"/>
                <w:lang w:val="en-US" w:eastAsia="en-US" w:bidi="ar-SA"/>
              </w:rPr>
              <w:t>Tariff Item</w:t>
            </w:r>
          </w:p>
        </w:tc>
        <w:tc>
          <w:tcPr>
            <w:tcW w:w="4679" w:type="dxa"/>
            <w:tcBorders/>
            <w:vAlign w:val="center"/>
            <w:shd w:fill="233746"/>
          </w:tcPr>
          <w:p>
            <w:pPr>
              <w:pStyle w:val="Normal"/>
              <w:widowControl/>
              <w:suppressAutoHyphens w:val="true"/>
              <w:spacing w:lineRule="auto" w:line="240" w:before="0" w:after="0"/>
              <w:jc w:val="left"/>
              <w:rPr>
                <w:rFonts w:cs=""/>
                <w:kern w:val="0"/>
                <w:szCs w:val="22"/>
                <w:lang w:val="en-US" w:eastAsia="en-US" w:bidi="ar-SA"/>
              </w:rPr>
            </w:pPr>
            <w:r>
              <w:rPr>
                <w:rFonts w:cs="" w:ascii="Arial" w:hAnsi="Arial"/>
                <w:b/>
                <w:color w:val="FFFFFF"/>
                <w:kern w:val="0"/>
                <w:sz w:val="17"/>
                <w:szCs w:val="22"/>
                <w:lang w:val="en-US" w:eastAsia="en-US" w:bidi="ar-SA"/>
              </w:rPr>
              <w:t>Description</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6309.00.10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Used textile articles for use in the manufacture of wiping rags</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6309.00.90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Other</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6310.10.00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Sorted</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6310.90.00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Other</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6401.10.11</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Of rubber: Riding boots solely of rubber</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6401.10.19</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Of rubber: Other</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6401.10.20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Of plastics</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6401.92.11</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Riding boots: Of rubber</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6401.92.12</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Riding boots: Of plastics</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6401.92.20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Downhill ski-boots</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6401.92.30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Sandals solely of rubber</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6401.92.91</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Other: Of rubber</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6401.92.92</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Other: Of plastics</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6401.99.11</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Of rubber: Riding boots solely of rubber; Sandals solely of rubber</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6401.99.12</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Of rubber: Unfinished footwear consisting of an outer sole and an incomplete upper</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6401.99.19</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Of rubber: Other</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6401.99.20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Of plastics</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6402.12.10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Downhill ski-boots</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6402.12.20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Cross-country ski footwear</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6402.12.30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Snowboard boots</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6402.19.10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Soccer, other football, baseball or bowling footwear</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6402.19.90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Other</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6402.20.11</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Of rubber: Sandals solely of rubber</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6402.20.19</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Of rubber:</w:t>
            </w:r>
          </w:p>
        </w:tc>
      </w:tr>
    </w:tbl>
    <w:p>
      <w:pPr>
        <w:pStyle w:val="Normal"/>
        <w:widowControl/>
        <w:spacing w:before="160" w:after="160"/>
        <w:rPr/>
      </w:pPr>
      <w:r>
        <w:rPr/>
        <w:t>Other</w:t>
      </w:r>
    </w:p>
    <w:tbl>
      <w:tblPr>
        <w:tblStyle w:val="TableGrid"/>
        <w:tblW w:w="9360" w:type="dxa"/>
        <w:jc w:val="center"/>
        <w:tblInd w:w="-28" w:type="dxa"/>
        <w:tblLayout w:type="autofit"/>
        <w:tblCellMar>
          <w:top w:w="60" w:type="dxa"/>
          <w:left w:w="80" w:type="dxa"/>
          <w:bottom w:w="60" w:type="dxa"/>
          <w:right w:w="80" w:type="dxa"/>
        </w:tblCellMar>
        <w:tblLook w:val="04a0" w:noHBand="0" w:noVBand="1" w:firstColumn="1" w:lastRow="0" w:lastColumn="0" w:firstRow="1"/>
      </w:tblPr>
      <w:tblGrid>
        <w:gridCol w:w="4680"/>
        <w:gridCol w:w="4679"/>
      </w:tblGrid>
      <w:tr>
        <w:trPr>
          <w:tblHeader w:val="true"/>
          <w:cantSplit w:val="true"/>
          <w:tblHeader w:val="true"/>
        </w:trPr>
        <w:tc>
          <w:tcPr>
            <w:tcW w:w="4680" w:type="dxa"/>
            <w:tcBorders/>
            <w:vAlign w:val="center"/>
            <w:shd w:fill="233746"/>
          </w:tcPr>
          <w:p>
            <w:pPr>
              <w:pStyle w:val="Normal"/>
              <w:widowControl/>
              <w:suppressAutoHyphens w:val="true"/>
              <w:spacing w:lineRule="auto" w:line="240" w:before="0" w:after="0"/>
              <w:jc w:val="left"/>
              <w:rPr>
                <w:rFonts w:cs=""/>
                <w:kern w:val="0"/>
                <w:szCs w:val="22"/>
                <w:lang w:val="en-US" w:eastAsia="en-US" w:bidi="ar-SA"/>
              </w:rPr>
            </w:pPr>
            <w:r>
              <w:rPr>
                <w:rFonts w:cs="" w:ascii="Arial" w:hAnsi="Arial"/>
                <w:b/>
                <w:color w:val="FFFFFF"/>
                <w:kern w:val="0"/>
                <w:sz w:val="17"/>
                <w:szCs w:val="22"/>
                <w:lang w:val="en-US" w:eastAsia="en-US" w:bidi="ar-SA"/>
              </w:rPr>
              <w:t>Tariff Item</w:t>
            </w:r>
          </w:p>
        </w:tc>
        <w:tc>
          <w:tcPr>
            <w:tcW w:w="4679" w:type="dxa"/>
            <w:tcBorders/>
            <w:vAlign w:val="center"/>
            <w:shd w:fill="233746"/>
          </w:tcPr>
          <w:p>
            <w:pPr>
              <w:pStyle w:val="Normal"/>
              <w:widowControl/>
              <w:suppressAutoHyphens w:val="true"/>
              <w:spacing w:lineRule="auto" w:line="240" w:before="0" w:after="0"/>
              <w:jc w:val="left"/>
              <w:rPr>
                <w:rFonts w:cs=""/>
                <w:kern w:val="0"/>
                <w:szCs w:val="22"/>
                <w:lang w:val="en-US" w:eastAsia="en-US" w:bidi="ar-SA"/>
              </w:rPr>
            </w:pPr>
            <w:r>
              <w:rPr>
                <w:rFonts w:cs="" w:ascii="Arial" w:hAnsi="Arial"/>
                <w:b/>
                <w:color w:val="FFFFFF"/>
                <w:kern w:val="0"/>
                <w:sz w:val="17"/>
                <w:szCs w:val="22"/>
                <w:lang w:val="en-US" w:eastAsia="en-US" w:bidi="ar-SA"/>
              </w:rPr>
              <w:t>Description</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6402.20.20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Of plastics</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6402.91.10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Incorporating a protective metal toe-cap</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6402.91.90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Other</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6402.99.10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Incorporating a protective metal toe-cap</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6402.99.90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Other</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6403.12.10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Downhill ski-boots</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6403.12.20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Cross-country ski footwear</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6403.12.30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Snowboard boots</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6403.19.10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For an individual with a defective or abnormal foot or ankle, when purchased on the written order of a registered medical practitioner</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6403.19.20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Other footwear for riding, golfing, hiking, climbing, curling, bowling, skating or training including track and running</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6403.19.90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Other</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6403.20.00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Footwear with outer soles of leather,</w:t>
            </w:r>
          </w:p>
        </w:tc>
      </w:tr>
    </w:tbl>
    <w:p>
      <w:pPr>
        <w:pStyle w:val="Normal"/>
        <w:widowControl/>
        <w:spacing w:before="160" w:after="120"/>
        <w:rPr/>
      </w:pPr>
      <w:r>
        <w:rPr/>
        <w:t>and uppers which consist of leather straps across the instep and around the big toe 6403.40.00 Other footwear, incorporating a protective metal toe-cap 6403.51.00 Covering the ankle 6403.59.10 For an individual with a defective or abnormal foot or ankle, when purchased on the written order of a registered medical practitioner;</w:t>
      </w:r>
    </w:p>
    <w:p>
      <w:pPr>
        <w:pStyle w:val="Normal"/>
        <w:widowControl/>
        <w:rPr/>
      </w:pPr>
      <w:r>
        <w:rPr/>
        <w:t>Pointe shoes or block toe shoes, for professional dancers employed by full-time dance companies which meet Canada Council standards of professionalism or for ballet students in full- time attendance at a ballet school which meets Canada Council curriculum standards 6403.59.20 Other women’s footwear, valued at $30 or more per pair 6403.59.90 Other 6403.91.00 Covering the ankle 6403.99.10 For an individual with a defective or abnormal foot or ankle, when purchased on the written order of a registered medical practitioner 6403.99.30 Other women’s footwear, valued at $30 or more per pair 6403.99.90 Other 6404.11.11 Footwear with outer soles solely of rubber and uppers of canvas, being a heavy, plain weave or basket weave fabric, tightly woven with a minimum per cent cover of 99%, solely of vegetable textile fibres, of a weight of 200 g/m² or more, excluding coatings or laminations:</w:t>
      </w:r>
    </w:p>
    <w:p>
      <w:pPr>
        <w:pStyle w:val="Normal"/>
        <w:widowControl/>
        <w:rPr/>
      </w:pPr>
      <w:r>
        <w:rPr/>
        <w:t>Hiking footwear 6404.11.19 Footwear with outer soles solely of rubber and uppers of canvas, being a heavy, plain weave or basket weave fabric, tightly woven with a minimum per cent cover of 99%, solely of vegetable textile fibres, of a weight of 200 g/m² or more, excluding</w:t>
      </w:r>
    </w:p>
    <w:p>
      <w:pPr>
        <w:pStyle w:val="Normal"/>
        <w:widowControl/>
        <w:rPr/>
      </w:pPr>
      <w:r>
        <w:rPr/>
        <w:t>coatings or laminations: Other 6404.11.91 Other: Hiking footwear 6404.11.99 Other:</w:t>
      </w:r>
    </w:p>
    <w:p>
      <w:pPr>
        <w:pStyle w:val="Normal"/>
        <w:widowControl/>
        <w:rPr/>
      </w:pPr>
      <w:r>
        <w:rPr/>
        <w:t>Other 6404.19.10 For an individual with a defective or abnormal foot or ankle, when purchased on the written order of a registered medical practitioner 6404.19.20 For clerical or ecclesiastical use 6404.19.30 Other, with outer soles solely of rubber and uppers of canvas, being a heavy, plain weave or basket weave fabric, tightly woven with a minimum per cent cover of 99%, solely of vegetable textile fibres, of a weight of 200 g/m² or more, excluding coatings or laminations 6404.19.90 Other 6404.20.10 Pointe shoes or block toe shoes, for professional dancers employed by full-time dance companies which meet Canada Council standards of professionalism or for ballet students in full- time attendance at a ballet school which meets Canada Council curriculum standards 6404.20.90 Other 6405.10.10 Pointe shoes or block toe shoes, for professional dancers employed by full-time dance companies which meet Canada Council standards of professionalism or for ballet students in full- time attendance at a ballet school which meets Canada Council curriculum standards 6405.10.90 Other</w:t>
      </w:r>
    </w:p>
    <w:p>
      <w:pPr>
        <w:pStyle w:val="Normal"/>
        <w:widowControl/>
        <w:rPr/>
      </w:pPr>
      <w:r>
        <w:rPr/>
        <w:t>6405.20.10 Pointe shoes or block toe shoes, for professional dancers employed by full-time dance companies which meet Canada Council standards of professionalism or for ballet students in full- time attendance at a ballet school which meets Canada Council curriculum standards 6405.20.20 Other footwear with outer soles and uppers of</w:t>
      </w:r>
    </w:p>
    <w:p>
      <w:pPr>
        <w:pStyle w:val="Normal"/>
        <w:widowControl/>
        <w:rPr/>
      </w:pPr>
      <w:r>
        <w:rPr/>
        <w:t>wool felt 6405.20.90 Other 6405.90.00 Other 6406.10.11 Of textile materials: Uppers, the external surface of which is 50% or more of textile materials 6406.10.19 Of textile materials: Other 6406.10.91 Other: Of leather or imitation leather, or combinations thereof, unlined or lined with textile or other materials, for use in the manufacture of women’s cement lasted footwear 6406.10.99 Other: Other 6406.20.00 Outer soles and heels, of rubber or plastics 6406.90.10 Of wood 6406.90.20 Crampons for climbing or mountaineering; Steel toe-caps 6406.90.30 Gaiters or leggings of textile material 6406.90.90 Other 6501.00.00 Hat-forms, hat bodies and hoods of felt, neither blocked to shape nor with made brims; plateaux and manchons (including slit manchons), of felt. 6502.00.00 Hat-shapes, plaited or made by assembling strips of any material, neither blocked to shape, nor with made brims, nor lined, nor trimmed.</w:t>
      </w:r>
    </w:p>
    <w:p>
      <w:pPr>
        <w:pStyle w:val="Normal"/>
        <w:widowControl/>
        <w:rPr/>
      </w:pPr>
      <w:r>
        <w:rPr/>
        <w:t>6504.00.10 Plaited, in a single piece, or of fur-felt or wool-felt, for use in the manufacture of hats 6504.00.90 Other 6505.00.10 Hair-nets 6505.00.20 Knitted, crocheted or woven, for use in the manufacture of hats 6505.00.31 Felt hats and other felt headgear, made from the hat bodies, hoods or plateaux of heading 65.01, whether or not lined or trimmed: Of fur-felt or wool-felt, for use in the manufacture of hats 6505.00.39 Felt hats and other felt headgear, made from the hat bodies, hoods or plateaux of heading 65.01: Other 6505.00.40 Other hats, hoods, caps, bonnets or berets 6505.00.90 Other 6506.10.10 Football helmets; For firemen; For mountaineering and climbing; Industrial safety helmets; Lead-impregnated or lead-lined, for X-ray operators; Other protective headgear, athletic 6506.10.90 Other 6506.91.00 Of rubber or of plastics 6506.99.10 Of paper, leather or feathers 6506.99.20 Of furskin 6506.99.90 Other 6507.00.00 Head-bands, linings, covers, hat foundations, hat frames, peaks and chinstraps, for headgear.</w:t>
      </w:r>
    </w:p>
    <w:p>
      <w:pPr>
        <w:pStyle w:val="Normal"/>
        <w:widowControl/>
        <w:rPr/>
      </w:pPr>
      <w:r>
        <w:rPr/>
        <w:t>6601.10.00 Garden or similar umbrellas 6601.91.00 Having a telescopic shaft 6601.99.00 Other 6602.00.10 Canes for use of a public hospital 6602.00.90 Other 6603.20.00 Umbrella frames, including frames mounted on shafts (sticks) 6603.90.00 Other 6701.00.10 Articles of feathers or down 6701.00.90 Other 6702.10.00 Of plastics 6702.90.10 Parts, of polyester or silk yarns or fabrics, whether or not with wire stems, for use in the manufacture of artificial flowers, trees or other plants 6702.90.90 Other 6703.00.00 Human hair, dressed, thinned, bleached or otherwise worked; wool or other animal hair or other textile materials, prepared for use in making wigs or the like. 6704.11.00 Complete wigs 6704.19.00 Other 6704.20.00 Of human hair 6704.90.00 Of other materials 6801.00.00 Setts, curbstones and flagstones, of natural stone (except slate).</w:t>
      </w:r>
    </w:p>
    <w:p>
      <w:pPr>
        <w:pStyle w:val="Normal"/>
        <w:widowControl/>
        <w:rPr/>
      </w:pPr>
      <w:r>
        <w:rPr/>
        <w:t>6802.10.10 Artificially coloured roofing granules 6802.10.90 Other 6802.21.00 Marble, travertine and alabaster 6802.23.00 Granite 6802.29.00 Other stone 6802.91.00 Marble, travertine and alabaster 6802.92.00 Other calcareous stone 6802.93.00 Granite 6802.99.00 Other stone 6803.00.10 Roofing slate; Slate for use in the manufacture of billiard tables 6803.00.90 Other 6804.10.00 Millstones and grindstones for milling, grinding or pulping 6804.21.00 Of agglomerated synthetic or natural diamond 6804.22.00 Of other agglomerated abrasives or of ceramics 6804.23.00 Of natural stone 6804.30.00 Hand sharpening or polishing stones 6805.10.00 On a base of woven textile fabric only 6805.20.00 On a base of paper or paperboard only 6805.30.00 On a base of other materials 6806.10.00 Slag wool, rock wool and similar mineral wools, (including intermixtures thereof), in bulk, sheets or rolls 6806.20.00 Exfoliated vermiculite, expanded clays, foamed slag and similar expanded mineral materials (including intermixtures thereof) 6806.90.00 Other 6807.10.00 In rolls 6807.90.00 Other 6808.00.00 Panels, boards, tiles, blocks and similar articles of vegetable fibre, of straw or of shavings, chips, particles, sawdust or other waste, of wood, agglomerated with cement, plaster or other mineral binders.</w:t>
      </w:r>
    </w:p>
    <w:p>
      <w:pPr>
        <w:pStyle w:val="Normal"/>
        <w:widowControl/>
        <w:rPr/>
      </w:pPr>
      <w:r>
        <w:rPr/>
        <w:t>6809.11.00 Faced or reinforced with paper or paperboard only 6809.19.00 Other 6809.90.10 Models and casts, of a kind used in the manufacture of dental prostheses 6809.90.90 Other 6810.11.00 Building blocks and bricks 6810.19.00 Other 6810.91.00 Prefabricated structural components for building or civil engineering 6810.99.00 Other 6811.40.00 Containing asbestos 6811.81.00 Corrugated sheets 6811.82.00 Other sheets, panels, tiles and similar articles 6811.89.00 Other articles 6812.80.00 Of crocidolite 6812.91.00 Clothing, clothing accessories, footwear and headgear 6812.92.00 Paper, millboard and felt 6812.93.00 Compressed asbestos fibre jointing, in sheets or rolls 6812.99.00 Other 6813.20.11 Brake linings and pads: For motor vehicles of heading 87.02, 87.03, 87.04 or 87.05 6813.20.19 Brake linings and pads: Other 6813.20.90 Other 6813.81.10 For motor vehicles of heading 87.02, 87.03, 87.04 or 87.05 6813.81.90 Other 6813.89.00 Other 6814.10.00 Plates, sheets and strips of agglomerated or reconstituted mica, whether or not on a support 6814.90.00 Other 6815.10.00 Non-electrical articles of graphite or other carbon 6815.20.00 Articles of peat 6815.91.00 Containing magnesite, dolomite or chromite 6815.99.10 Foundry facings; Models and casts, of a kind used in the manufacture of dental prostheses;</w:t>
      </w:r>
    </w:p>
    <w:p>
      <w:pPr>
        <w:pStyle w:val="Normal"/>
        <w:widowControl/>
        <w:rPr/>
      </w:pPr>
      <w:r>
        <w:rPr/>
        <w:t>Olivine panels for use in the manufacture of wood waste incinerators; Refractory bricks, blocks, tiles and similar refractory constructional products to be employed in the production of</w:t>
      </w:r>
    </w:p>
    <w:p>
      <w:pPr>
        <w:pStyle w:val="Normal"/>
        <w:widowControl/>
        <w:spacing w:before="0" w:after="160"/>
        <w:rPr/>
      </w:pPr>
      <w:r>
        <w:rPr/>
        <w:t>metallurgical coke, iron and steel 6815.99.20 Signs 6815.99.90 Other 6901.00.00 Bricks, blocks, tiles and other ceramic goods of siliceous fossil meals (for example, kieselguhr, tripolite or diatomite) or of similar siliceous earths. 6902.10.00 Containing by weight, singly or together, more than 50% of the elements Mg, Ca or Cr, expressed as MgO, CaO or Cr2O3 6902.20.00 Containing by weight more than 50% of alumina (Al2O3), of silica (SiO2) or of a mixture or compound of these products 6902.90.00 Other 6903.10.00 Containing by weight more than 50% of graphite or other carbon or of a mixture of these products 6903.20.00 Containing by weight more than 50% of alumina (Al2O3) or of a mixture or compound of alumina and of silica (SiO2) 6903.90.00 Other 6904.10.00 Building bricks 6904.90.10 Flooring blocks 6904.90.20 Support or filler tiles and the like 6905.10.00 Roofing tiles 6905.90.00 Other 6906.00.00 Ceramic pipes, conduits, guttering and pipe fittings.</w:t>
      </w:r>
    </w:p>
    <w:tbl>
      <w:tblPr>
        <w:tblStyle w:val="TableGrid"/>
        <w:tblW w:w="9360" w:type="dxa"/>
        <w:jc w:val="center"/>
        <w:tblInd w:w="-28" w:type="dxa"/>
        <w:tblLayout w:type="autofit"/>
        <w:tblCellMar>
          <w:top w:w="60" w:type="dxa"/>
          <w:left w:w="80" w:type="dxa"/>
          <w:bottom w:w="60" w:type="dxa"/>
          <w:right w:w="80" w:type="dxa"/>
        </w:tblCellMar>
        <w:tblLook w:val="04a0" w:noHBand="0" w:noVBand="1" w:firstColumn="1" w:lastRow="0" w:lastColumn="0" w:firstRow="1"/>
      </w:tblPr>
      <w:tblGrid>
        <w:gridCol w:w="4680"/>
        <w:gridCol w:w="4679"/>
      </w:tblGrid>
      <w:tr>
        <w:trPr>
          <w:tblHeader w:val="true"/>
          <w:cantSplit w:val="true"/>
          <w:tblHeader w:val="true"/>
        </w:trPr>
        <w:tc>
          <w:tcPr>
            <w:tcW w:w="4680" w:type="dxa"/>
            <w:tcBorders/>
            <w:vAlign w:val="center"/>
            <w:shd w:fill="233746"/>
          </w:tcPr>
          <w:p>
            <w:pPr>
              <w:pStyle w:val="Normal"/>
              <w:widowControl/>
              <w:suppressAutoHyphens w:val="true"/>
              <w:spacing w:lineRule="auto" w:line="240" w:before="0" w:after="0"/>
              <w:jc w:val="left"/>
              <w:rPr>
                <w:rFonts w:cs=""/>
                <w:kern w:val="0"/>
                <w:szCs w:val="22"/>
                <w:lang w:val="en-US" w:eastAsia="en-US" w:bidi="ar-SA"/>
              </w:rPr>
            </w:pPr>
            <w:r>
              <w:rPr>
                <w:rFonts w:cs="" w:ascii="Arial" w:hAnsi="Arial"/>
                <w:b/>
                <w:color w:val="FFFFFF"/>
                <w:kern w:val="0"/>
                <w:sz w:val="17"/>
                <w:szCs w:val="22"/>
                <w:lang w:val="en-US" w:eastAsia="en-US" w:bidi="ar-SA"/>
              </w:rPr>
              <w:t>Tariff Item</w:t>
            </w:r>
          </w:p>
        </w:tc>
        <w:tc>
          <w:tcPr>
            <w:tcW w:w="4679" w:type="dxa"/>
            <w:tcBorders/>
            <w:vAlign w:val="center"/>
            <w:shd w:fill="233746"/>
          </w:tcPr>
          <w:p>
            <w:pPr>
              <w:pStyle w:val="Normal"/>
              <w:widowControl/>
              <w:suppressAutoHyphens w:val="true"/>
              <w:spacing w:lineRule="auto" w:line="240" w:before="0" w:after="0"/>
              <w:jc w:val="left"/>
              <w:rPr>
                <w:rFonts w:cs=""/>
                <w:kern w:val="0"/>
                <w:szCs w:val="22"/>
                <w:lang w:val="en-US" w:eastAsia="en-US" w:bidi="ar-SA"/>
              </w:rPr>
            </w:pPr>
            <w:r>
              <w:rPr>
                <w:rFonts w:cs="" w:ascii="Arial" w:hAnsi="Arial"/>
                <w:b/>
                <w:color w:val="FFFFFF"/>
                <w:kern w:val="0"/>
                <w:sz w:val="17"/>
                <w:szCs w:val="22"/>
                <w:lang w:val="en-US" w:eastAsia="en-US" w:bidi="ar-SA"/>
              </w:rPr>
              <w:t>Description</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6907.21.10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Unglazed</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6907.21.21</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Glazed: Tiles with a surface area of 103 cm² or more</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6907.21.29</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Glazed: Other</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6907.22.10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Unglazed</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6907.22.21</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Glazed: Tiles with a surface area of 103 cm² or more</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6907.22.29</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Glazed: Other</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6907.23.10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Unglazed</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6907.23.21</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Glazed: Tiles with a surface area of 103 cm² or more</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6907.23.29</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Glazed: Other</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6907.30.10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Unglazed</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6907.30.21</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Glazed: Tiles with a surface area of 103 cm² or more</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6907.30.29</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Glazed: Other</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6907.40.10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Unglazed</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6907.40.21</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Glazed: Tiles with a surface area of 103 cm² or more</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6907.40.29</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Glazed: Other</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6909.11.00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Of porcelain or china</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6909.12.10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For use in machinery for making pulp of fibrous cellulosic material or for making or finishing paper or paperboard</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6909.12.90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Other</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6909.19.10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Ceramic rings for use in the manufacture of formaldehyde;</w:t>
            </w:r>
          </w:p>
        </w:tc>
      </w:tr>
    </w:tbl>
    <w:p>
      <w:pPr>
        <w:pStyle w:val="Normal"/>
        <w:widowControl/>
        <w:spacing w:before="160" w:after="120"/>
        <w:rPr/>
      </w:pPr>
      <w:r>
        <w:rPr/>
        <w:t>For use in machinery for making pulp of fibrous cellulosic material or for making or finishing paper or paperboard 6909.19.90 Other 6909.90.00 Other 6910.10.10 Water closet pans (toilet bowls) and flushing cisterns (toilet tanks) or combinations thereof 6910.10.90 Other 6910.90.00 Other 6911.10.10 Undecorated tableware, of a thickness of 3 mm or more, for use in the manufacture of decorated heavy duty tableware for hotel, restaurant or institutional use 6911.10.20 Other undecorated tableware for use in the manufacture of decorated tableware by kiln-fired decoration 6911.10.90 Other 6911.90.00 Other 6912.00.10 Undecorated coffee mugs of earthenware or stoneware, for use in the manufacture of</w:t>
      </w:r>
    </w:p>
    <w:p>
      <w:pPr>
        <w:pStyle w:val="Normal"/>
        <w:widowControl/>
        <w:rPr/>
      </w:pPr>
      <w:r>
        <w:rPr/>
        <w:t>decorated coffee mugs by kiln-fired decoration; Undecorated tableware of semi-porcelain or white granite, of a thickness of 3 mm or more, for use in the manufacture of decorated heavy duty tableware for hotel, restaurant or institutional use 6912.00.20 Other, undecorated tableware of semi-porcelain or white granite for use in the manufacture of decorated tableware by kiln-fired decoration 6912.00.90 Other 6913.10.00 Of porcelain or china 6913.90.10 Produced in Canada more than 25 years prior to the date of accounting 6913.90.90 Other 6914.10.10 Porcelain hand forms to be employed in the manufacture of rubber gloves 6914.10.90 Other 6914.90.00 Other 7001.00.00 Cullet and other waste and scrap of glass; glass in the mass.</w:t>
      </w:r>
    </w:p>
    <w:p>
      <w:pPr>
        <w:pStyle w:val="Normal"/>
        <w:widowControl/>
        <w:rPr/>
      </w:pPr>
      <w:r>
        <w:rPr/>
        <w:t>7002.10.00 Balls 7002.20.00 Rods 7002.31.00 Of fused quartz or other fused silica 7002.32.00 Of other glass having a linear coefficient of expansion not exceeding 5x10 per Kelvin within a temperature range of 0°C to 300°C 7002.39.00 Other 7003.12.00 Coloured throughout the mass (body tinted), opacified, flashed or having an absorbent, reflecting or non-reflecting layer 7003.19.00 Other 7003.20.00 Wired sheets 7003.30.00 Profiles 7004.20.00 Glass, coloured throughout the mass (body tinted), opacified, flashed or having an absorbent, reflecting or non-reflecting layer 7004.90.00 Other glass 7005.10.00 Non-wired glass, having an absorbent, reflecting or non- reflecting layer 7005.21.00 Coloured throughout the mass (body tinted), opacified, flashed or merely</w:t>
      </w:r>
    </w:p>
    <w:p>
      <w:pPr>
        <w:pStyle w:val="Normal"/>
        <w:widowControl/>
        <w:rPr/>
      </w:pPr>
      <w:r>
        <w:rPr/>
        <w:t>surface ground 7005.29.00 Other 7005.30.00 Wired glass 7006.00.00 Glass of heading 70.03, 70.04 or 70.05, bent, edge-worked, engraved, drilled, enamelled or otherwise worked, but not framed or fitted with other materials. 7007.11.00 Of size and shape suitable for incorporation in vehicles, aircraft, spacecraft or vessels 7007.19.00 Other 7007.21.00 Of size and shape suitable for incorporation in vehicles, aircraft, spacecraft or vessels 7007.29.00 Other 7008.00.00 Multiple-walled insulating units of glass. 7009.10.00 Rear-view mirrors for vehicles 7009.91.00 Unframed 7009.92.00 Framed 7010.10.00 Ampoules 7010.20.00 Stoppers, lids and other closures 7010.90.00 Other 7011.10.00 For electric lighting 7011.20.10 Cones (funnels) 7011.20.90 Other 7011.90.00 Other 7013.10.00 Of glass-ceramics 7013.22.00 Of lead crystal 7013.28.00 Other 7013.33.00 Of lead crystal 7013.37.00 Other 7013.41.00 Of lead crystal 7013.42.00 Of glass having a linear coefficient of expansion not exceeding 5x10 per Kelvin within a temperature range of 0°C to 300°C 7013.49.00 Other 7013.91.00 Of lead crystal 7013.99.00 Other 7014.00.00 Signalling glassware and optical elements of glass (other than those of heading 70.15), not optically worked.</w:t>
      </w:r>
    </w:p>
    <w:p>
      <w:pPr>
        <w:pStyle w:val="Normal"/>
        <w:widowControl/>
        <w:rPr/>
      </w:pPr>
      <w:r>
        <w:rPr/>
        <w:t>7015.10.00 Glasses for corrective spectacles 7015.90.00 Other 7016.10.00 Glass cubes and other glass smallwares, whether or not on a backing, for mosaics or similar decorative purposes 7016.90.00 Other 7017.10.00 Of fused quartz or other fused silica 7017.20.00 Of other glass having a linear coefficient of expansion not exceeding 5x10 per Kelvin within a temperature range of 0°C to 300°C 7017.90.00 Other 7018.10.00 Glass beads, imitation pearls, imitation precious or semi-precious stones and similar glass smallwares 7018.20.00 Glass microspheres not exceeding 1 mm in diameter 7018.90.00 Other 7019.11.00 Chopped strands, of a length of not more than 50 mm 7019.12.00 Rovings 7019.19.00 Other 7019.31.00 Mats 7019.32.00 Thin sheets (voiles) 7019.39.00 Other 7019.40.10 Impregnated with a compounded and not completely cured epoxide resin, commonly known as “prepreg”, meeting the IPC 4101 specification, for use in the manufacture of printed circuit boards; Glass tape, woven, electrically conductive, for use in the manufacture or refurbishing of electrical generators; Solely of glass fibres or filaments, resin impregnated, in rolls, whether or not backed with paper separators, for use in the manufacture of grinding wheels;</w:t>
      </w:r>
    </w:p>
    <w:p>
      <w:pPr>
        <w:pStyle w:val="Normal"/>
        <w:widowControl/>
        <w:spacing w:before="0" w:after="160"/>
        <w:rPr/>
      </w:pPr>
      <w:r>
        <w:rPr/>
        <w:t>Solely of high silica glass fibres, the fibres, exclusive of coating, containing 90% or more by weight of combined silicon, evaluated as silicon dioxide (SiO2) 7019.40.20 For use in the manufacture of tires 7019.40.91 Other: For use in the manufacture of apparel</w:t>
      </w:r>
    </w:p>
    <w:tbl>
      <w:tblPr>
        <w:tblStyle w:val="TableGrid"/>
        <w:tblW w:w="9360" w:type="dxa"/>
        <w:jc w:val="center"/>
        <w:tblInd w:w="-28" w:type="dxa"/>
        <w:tblLayout w:type="autofit"/>
        <w:tblCellMar>
          <w:top w:w="60" w:type="dxa"/>
          <w:left w:w="80" w:type="dxa"/>
          <w:bottom w:w="60" w:type="dxa"/>
          <w:right w:w="80" w:type="dxa"/>
        </w:tblCellMar>
        <w:tblLook w:val="04a0" w:noHBand="0" w:noVBand="1" w:firstColumn="1" w:lastRow="0" w:lastColumn="0" w:firstRow="1"/>
      </w:tblPr>
      <w:tblGrid>
        <w:gridCol w:w="4680"/>
        <w:gridCol w:w="4679"/>
      </w:tblGrid>
      <w:tr>
        <w:trPr>
          <w:tblHeader w:val="true"/>
          <w:cantSplit w:val="true"/>
          <w:tblHeader w:val="true"/>
        </w:trPr>
        <w:tc>
          <w:tcPr>
            <w:tcW w:w="4680" w:type="dxa"/>
            <w:tcBorders/>
            <w:vAlign w:val="center"/>
            <w:shd w:fill="233746"/>
          </w:tcPr>
          <w:p>
            <w:pPr>
              <w:pStyle w:val="Normal"/>
              <w:widowControl/>
              <w:suppressAutoHyphens w:val="true"/>
              <w:spacing w:lineRule="auto" w:line="240" w:before="0" w:after="0"/>
              <w:jc w:val="left"/>
              <w:rPr>
                <w:rFonts w:cs=""/>
                <w:kern w:val="0"/>
                <w:szCs w:val="22"/>
                <w:lang w:val="en-US" w:eastAsia="en-US" w:bidi="ar-SA"/>
              </w:rPr>
            </w:pPr>
            <w:r>
              <w:rPr>
                <w:rFonts w:cs="" w:ascii="Arial" w:hAnsi="Arial"/>
                <w:b/>
                <w:color w:val="FFFFFF"/>
                <w:kern w:val="0"/>
                <w:sz w:val="17"/>
                <w:szCs w:val="22"/>
                <w:lang w:val="en-US" w:eastAsia="en-US" w:bidi="ar-SA"/>
              </w:rPr>
              <w:t>Tariff Item</w:t>
            </w:r>
          </w:p>
        </w:tc>
        <w:tc>
          <w:tcPr>
            <w:tcW w:w="4679" w:type="dxa"/>
            <w:tcBorders/>
            <w:vAlign w:val="center"/>
            <w:shd w:fill="233746"/>
          </w:tcPr>
          <w:p>
            <w:pPr>
              <w:pStyle w:val="Normal"/>
              <w:widowControl/>
              <w:suppressAutoHyphens w:val="true"/>
              <w:spacing w:lineRule="auto" w:line="240" w:before="0" w:after="0"/>
              <w:jc w:val="left"/>
              <w:rPr>
                <w:rFonts w:cs=""/>
                <w:kern w:val="0"/>
                <w:szCs w:val="22"/>
                <w:lang w:val="en-US" w:eastAsia="en-US" w:bidi="ar-SA"/>
              </w:rPr>
            </w:pPr>
            <w:r>
              <w:rPr>
                <w:rFonts w:cs="" w:ascii="Arial" w:hAnsi="Arial"/>
                <w:b/>
                <w:color w:val="FFFFFF"/>
                <w:kern w:val="0"/>
                <w:sz w:val="17"/>
                <w:szCs w:val="22"/>
                <w:lang w:val="en-US" w:eastAsia="en-US" w:bidi="ar-SA"/>
              </w:rPr>
              <w:t>Description</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7019.40.99</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Other: Other</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7019.51.00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Of a width not exceeding 30 cm</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7019.52.00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Of a width exceeding 30 cm, plain weave, weighing less than 250 g/m², of filaments measuring per single yarn not more than 136 tex</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7019.59.00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Other</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7019.90.00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Other</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7020.00.10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For use in the manufacture of cut or decorated glassware; Glassware having a linear coefficient of expansion not exceeding 5x10 per Kelvin within a temperature range of 0°C to 300°C; Glass inners for vacuum flasks or for other vacuum vessels</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7020.00.90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Other</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7101.10.10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Graded pearls temporarily strung for the convenience of transport</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7101.10.90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Other</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7101.21.00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Unworked</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7101.22.10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Graded pearls temporarily strung for the convenience of transport</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7101.22.90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Other</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7102.10.00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Unsorted</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7102.21.00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Unworked or simply sawn, cleaved or bruted</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7102.29.00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Other</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7102.31.00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Unworked or simply sawn, cleaved or bruted</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7102.39.00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Other</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7103.10.00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Unworked or simply sawn or roughly shaped</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7103.91.00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Rubies, sapphires and emeralds</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7103.99.00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Other</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7104.10.00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Piezo-electric quartz</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7104.20.00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Other, unworked or simply sawn or roughly shaped</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7104.90.00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Other</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7105.10.00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Of diamonds</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7105.90.00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Other</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7106.10.00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Powder</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7106.91.00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Unwrought</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7106.92.00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Semi-manufactured</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7107.00.00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Base metals clad with silver, not further worked than semi- manufactured.</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b/>
                <w:kern w:val="0"/>
                <w:sz w:val="17"/>
                <w:szCs w:val="22"/>
                <w:lang w:val="en-US" w:eastAsia="en-US" w:bidi="ar-SA"/>
              </w:rPr>
              <w:t>Tariff Item</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b/>
                <w:kern w:val="0"/>
                <w:sz w:val="17"/>
                <w:szCs w:val="22"/>
                <w:lang w:val="en-US" w:eastAsia="en-US" w:bidi="ar-SA"/>
              </w:rPr>
              <w:t>Description</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7108.11.00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Powder</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7108.12.00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Other unwrought forms</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7108.13.00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Other semi-manufactured forms</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7108.20.00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Monetary</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7109.00.00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Base metals or silver, clad with gold, not further worked than semi-manufactured.</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7110.11.00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Unwrought or in powder form</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7110.19.00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Other</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7110.21.00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Unwrought or in powder form</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7110.29.00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Other</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7110.31.00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Unwrought or in powder form</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7110.39.00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Other</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7110.41.00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Unwrought or in powder form</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7110.49.00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Other</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7111.00.00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Base metals, silver or gold, clad with platinum, not further worked than semi-manufactured.</w:t>
            </w:r>
          </w:p>
        </w:tc>
      </w:tr>
    </w:tbl>
    <w:p>
      <w:pPr>
        <w:pStyle w:val="Normal"/>
        <w:widowControl/>
        <w:spacing w:before="160" w:after="120"/>
        <w:rPr/>
      </w:pPr>
      <w:r>
        <w:rPr/>
        <w:t>7112.30.00 Ash containing precious metal or precious metal compounds 7112.91.00 Of gold, including metal clad with gold but excluding sweepings containing other precious metals 7112.92.00 Of platinum, including metal clad with platinum but excluding sweepings containing other precious metals 7112.99.00 Other 7113.11.10 Findings, not plated or clad 7113.11.90 Other 7113.19.10 Findings, not plated or clad 7113.19.90 Other 7113.20.10 Findings 7113.20.90 Other 7114.11.00 Of silver, whether or not plated or clad with other precious metal 7114.19.00 Of other precious metal, whether or not plated or clad with precious metal 7114.20.00 Of base metal clad with precious metal 7115.10.00 Catalysts in the form of wire cloth or grill, of platinum 7115.90.00 Other 7116.10.00 Of natural or cultured pearls 7116.20.10 Produced in Canada more than 25 years prior to the date of accounting 7116.20.90 Other 7117.11.00 Cuff-links and studs 7117.19.10 Brass chain, set with</w:t>
      </w:r>
    </w:p>
    <w:p>
      <w:pPr>
        <w:pStyle w:val="Normal"/>
        <w:widowControl/>
        <w:spacing w:before="0" w:after="160"/>
        <w:rPr/>
      </w:pPr>
      <w:r>
        <w:rPr/>
        <w:t>rhinestones, for use in the manufacture of jewellery; Paua shells in metal settings; Ornaments for use in the manufacture of footwear or footwear fittings</w:t>
      </w:r>
    </w:p>
    <w:tbl>
      <w:tblPr>
        <w:tblStyle w:val="TableGrid"/>
        <w:tblW w:w="9360" w:type="dxa"/>
        <w:jc w:val="center"/>
        <w:tblInd w:w="-28" w:type="dxa"/>
        <w:tblLayout w:type="autofit"/>
        <w:tblCellMar>
          <w:top w:w="60" w:type="dxa"/>
          <w:left w:w="80" w:type="dxa"/>
          <w:bottom w:w="60" w:type="dxa"/>
          <w:right w:w="80" w:type="dxa"/>
        </w:tblCellMar>
        <w:tblLook w:val="04a0" w:noHBand="0" w:noVBand="1" w:firstColumn="1" w:lastRow="0" w:lastColumn="0" w:firstRow="1"/>
      </w:tblPr>
      <w:tblGrid>
        <w:gridCol w:w="4680"/>
        <w:gridCol w:w="4679"/>
      </w:tblGrid>
      <w:tr>
        <w:trPr>
          <w:tblHeader w:val="true"/>
          <w:cantSplit w:val="true"/>
          <w:tblHeader w:val="true"/>
        </w:trPr>
        <w:tc>
          <w:tcPr>
            <w:tcW w:w="4680" w:type="dxa"/>
            <w:tcBorders/>
            <w:vAlign w:val="center"/>
            <w:shd w:fill="233746"/>
          </w:tcPr>
          <w:p>
            <w:pPr>
              <w:pStyle w:val="Normal"/>
              <w:widowControl/>
              <w:suppressAutoHyphens w:val="true"/>
              <w:spacing w:lineRule="auto" w:line="240" w:before="0" w:after="0"/>
              <w:jc w:val="left"/>
              <w:rPr>
                <w:rFonts w:cs=""/>
                <w:kern w:val="0"/>
                <w:szCs w:val="22"/>
                <w:lang w:val="en-US" w:eastAsia="en-US" w:bidi="ar-SA"/>
              </w:rPr>
            </w:pPr>
            <w:r>
              <w:rPr>
                <w:rFonts w:cs="" w:ascii="Arial" w:hAnsi="Arial"/>
                <w:b/>
                <w:color w:val="FFFFFF"/>
                <w:kern w:val="0"/>
                <w:sz w:val="17"/>
                <w:szCs w:val="22"/>
                <w:lang w:val="en-US" w:eastAsia="en-US" w:bidi="ar-SA"/>
              </w:rPr>
              <w:t>Tariff Item</w:t>
            </w:r>
          </w:p>
        </w:tc>
        <w:tc>
          <w:tcPr>
            <w:tcW w:w="4679" w:type="dxa"/>
            <w:tcBorders/>
            <w:vAlign w:val="center"/>
            <w:shd w:fill="233746"/>
          </w:tcPr>
          <w:p>
            <w:pPr>
              <w:pStyle w:val="Normal"/>
              <w:widowControl/>
              <w:suppressAutoHyphens w:val="true"/>
              <w:spacing w:lineRule="auto" w:line="240" w:before="0" w:after="0"/>
              <w:jc w:val="left"/>
              <w:rPr>
                <w:rFonts w:cs=""/>
                <w:kern w:val="0"/>
                <w:szCs w:val="22"/>
                <w:lang w:val="en-US" w:eastAsia="en-US" w:bidi="ar-SA"/>
              </w:rPr>
            </w:pPr>
            <w:r>
              <w:rPr>
                <w:rFonts w:cs="" w:ascii="Arial" w:hAnsi="Arial"/>
                <w:b/>
                <w:color w:val="FFFFFF"/>
                <w:kern w:val="0"/>
                <w:sz w:val="17"/>
                <w:szCs w:val="22"/>
                <w:lang w:val="en-US" w:eastAsia="en-US" w:bidi="ar-SA"/>
              </w:rPr>
              <w:t>Description</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7117.19.90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Other</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7117.90.00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Other</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7118.10.00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Coin (other than gold coin), not being legal tender</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7118.90.00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Other</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7201.10.00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Non-alloy pig iron containing by weight 0.5% or less of phosphorus</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7201.20.00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Non-alloy pig iron containing by weight more than 0.5% of phosphorus</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7201.50.00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Alloy pig iron; spiegeleisen</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7202.11.00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Containing by weight more than 2% of carbon</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7202.19.00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Other</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7202.21.00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Containing by weight more than 55% of silicon</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7202.29.00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Other</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7202.30.00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Ferro-silico-manganese</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7202.41.00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Containing by weight more than 4% of carbon</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7202.49.00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Other</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7202.50.00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Ferro-silico-chromium</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7202.60.00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Ferro-nickel</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7202.70.00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Ferro-molybdenum</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7202.80.00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Ferro-tungsten and ferro-silico-tungsten</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7202.91.00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Ferro-titanium and ferro-silico-titanium</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7202.92.00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Ferro-vanadium</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7202.93.00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Ferro-niobium</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7202.99.00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Other</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7203.10.00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Ferrous products obtained by direct reduction of iron ore</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7203.90.00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Other</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7204.10.00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Waste and scrap of cast iron</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7204.21.00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Of stainless steel</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7204.29.00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Other</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7204.30.00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Waste and scrap of tinned iron or steel</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7204.41.00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Turnings, shavings, chips, milling waste, sawdust, filings, trimmings and stampings, whether or not in bundles</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7204.49.00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Other</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7204.50.00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Remelting scrap ingots</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7205.10.00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Granules</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7205.21.00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Of alloy steel</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7205.29.00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Other</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7206.10.00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Ingots</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7206.90.00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Other</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7207.11.00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Of rectangular</w:t>
            </w:r>
          </w:p>
        </w:tc>
      </w:tr>
    </w:tbl>
    <w:p>
      <w:pPr>
        <w:pStyle w:val="Normal"/>
        <w:widowControl/>
        <w:spacing w:before="160" w:after="120"/>
        <w:rPr/>
      </w:pPr>
      <w:r>
        <w:rPr/>
        <w:t>(including square) cross-section, the width measuring less than twice the thickness 7207.12.00 Other, of rectangular (other than square) cross-section 7207.19.00 Other 7207.20.00 Containing by weight 0.25% or more of carbon 7208.10.00 In coils, not further worked than hot-rolled, with patterns in relief 7208.25.00 Of a thickness of 4.75 mm or more 7208.26.00 Of a thickness of 3 mm or more but less than 4.75 mm 7208.27.00 Of a thickness of less than 3 mm 7208.36.00 Of a thickness exceeding 10 mm 7208.37.00 Of a thickness of 4.75 mm or more but not exceeding 10 mm 7208.38.00 Of a thickness of 3 mm or more but less than 4.75 mm 7208.39.00 Of a thickness of less than 3 mm 7208.40.00 Not in coils, not further worked than hot-rolled, with patterns in relief 7208.51.00 Of a thickness exceeding 10 mm 7208.52.00 Of a thickness of 4.75 mm or more but not exceeding 10 mm 7208.53.00 Of a thickness of 3 mm or more but less than 4.75 mm 7208.54.00 Of a thickness of less than 3 mm 7208.90.00 Other</w:t>
      </w:r>
    </w:p>
    <w:p>
      <w:pPr>
        <w:pStyle w:val="Normal"/>
        <w:widowControl/>
        <w:rPr/>
      </w:pPr>
      <w:r>
        <w:rPr/>
        <w:t>7209.15.00 Of a thickness of 3 mm or more 7209.16.00 Of a thickness exceeding 1 mm but less than 3 mm 7209.17.00 Of a thickness of 0.5 mm or more but not exceeding 1 mm 7209.18.00 Of a thickness of less than 0.5 mm 7209.25.00 Of a thickness of 3 mm or more 7209.26.00 Of a thickness exceeding 1 mm but less than 3 mm 7209.27.00 Of a thickness of 0.5 mm or more but not exceeding 1 mm 7209.28.00 Of a thickness of less than 0.5 mm 7209.90.00 Other 7210.11.00 Of a thickness of 0.5 mm or more 7210.12.00</w:t>
      </w:r>
    </w:p>
    <w:p>
      <w:pPr>
        <w:pStyle w:val="Normal"/>
        <w:widowControl/>
        <w:rPr/>
      </w:pPr>
      <w:r>
        <w:rPr/>
        <w:t>Of a thickness of less than 0.5 mm 7210.20.00 Plated or coated with lead, including terne-plate 7210.30.00 Electrolytically plated or coated with zinc 7210.41.00 Corrugated 7210.49.00 Other 7210.50.00 Plated or coated with chromium oxides or with chromium and chromium oxides 7210.61.00 Plated or coated with aluminum-zinc alloys 7210.69.00 Other 7210.70.00 Painted, varnished or coated with plastics 7210.90.00 Other 7211.13.00 Rolled on four faces or in a closed box pass, of a width exceeding 150 mm and a thickness of not less than 4 mm, not in coils and without patterns in relief 7211.14.00 Other, of a thickness of 4.75 mm or more 7211.19.00 Other 7211.23.00 Containing by weight less than 0.25% of carbon 7211.29.00 Other 7211.90.00 Other 7212.10.00 Plated or coated with tin 7212.20.00 Electrolytically plated or coated with zinc 7212.30.00 Otherwise plated or coated with zinc 7212.40.00 Painted, varnished or coated with plastics 7212.50.00 Otherwise plated or coated 7212.60.00 Clad 7213.10.00 Containing indentations, ribs, grooves or other deformations produced during the rolling process 7213.20.00 Other, of free-cutting steel 7213.91.00 Of circular cross-section measuring less than 14 mm in diameter</w:t>
      </w:r>
    </w:p>
    <w:p>
      <w:pPr>
        <w:pStyle w:val="Normal"/>
        <w:widowControl/>
        <w:spacing w:before="0" w:after="160"/>
        <w:rPr/>
      </w:pPr>
      <w:r>
        <w:rPr/>
        <w:t>7213.99.00 Other 7214.10.00 Forged 7214.20.00 Containing indentations, ribs, grooves or other deformations produced during the rolling process or twisted after rolling 7214.30.00 Other, of free-cutting steel 7214.91.00 Of rectangular (other than square) cross-section 7214.99.00</w:t>
      </w:r>
    </w:p>
    <w:tbl>
      <w:tblPr>
        <w:tblStyle w:val="TableGrid"/>
        <w:tblW w:w="9360" w:type="dxa"/>
        <w:jc w:val="center"/>
        <w:tblInd w:w="-28" w:type="dxa"/>
        <w:tblLayout w:type="autofit"/>
        <w:tblCellMar>
          <w:top w:w="60" w:type="dxa"/>
          <w:left w:w="80" w:type="dxa"/>
          <w:bottom w:w="60" w:type="dxa"/>
          <w:right w:w="80" w:type="dxa"/>
        </w:tblCellMar>
        <w:tblLook w:val="04a0" w:noHBand="0" w:noVBand="1" w:firstColumn="1" w:lastRow="0" w:lastColumn="0" w:firstRow="1"/>
      </w:tblPr>
      <w:tblGrid>
        <w:gridCol w:w="4680"/>
        <w:gridCol w:w="4679"/>
      </w:tblGrid>
      <w:tr>
        <w:trPr>
          <w:tblHeader w:val="true"/>
          <w:cantSplit w:val="true"/>
          <w:tblHeader w:val="true"/>
        </w:trPr>
        <w:tc>
          <w:tcPr>
            <w:tcW w:w="4680" w:type="dxa"/>
            <w:tcBorders/>
            <w:vAlign w:val="center"/>
            <w:shd w:fill="233746"/>
          </w:tcPr>
          <w:p>
            <w:pPr>
              <w:pStyle w:val="Normal"/>
              <w:widowControl/>
              <w:suppressAutoHyphens w:val="true"/>
              <w:spacing w:lineRule="auto" w:line="240" w:before="0" w:after="0"/>
              <w:jc w:val="left"/>
              <w:rPr>
                <w:rFonts w:cs=""/>
                <w:kern w:val="0"/>
                <w:szCs w:val="22"/>
                <w:lang w:val="en-US" w:eastAsia="en-US" w:bidi="ar-SA"/>
              </w:rPr>
            </w:pPr>
            <w:r>
              <w:rPr>
                <w:rFonts w:cs="" w:ascii="Arial" w:hAnsi="Arial"/>
                <w:b/>
                <w:color w:val="FFFFFF"/>
                <w:kern w:val="0"/>
                <w:sz w:val="17"/>
                <w:szCs w:val="22"/>
                <w:lang w:val="en-US" w:eastAsia="en-US" w:bidi="ar-SA"/>
              </w:rPr>
              <w:t>Tariff Item</w:t>
            </w:r>
          </w:p>
        </w:tc>
        <w:tc>
          <w:tcPr>
            <w:tcW w:w="4679" w:type="dxa"/>
            <w:tcBorders/>
            <w:vAlign w:val="center"/>
            <w:shd w:fill="233746"/>
          </w:tcPr>
          <w:p>
            <w:pPr>
              <w:pStyle w:val="Normal"/>
              <w:widowControl/>
              <w:suppressAutoHyphens w:val="true"/>
              <w:spacing w:lineRule="auto" w:line="240" w:before="0" w:after="0"/>
              <w:jc w:val="left"/>
              <w:rPr>
                <w:rFonts w:cs=""/>
                <w:kern w:val="0"/>
                <w:szCs w:val="22"/>
                <w:lang w:val="en-US" w:eastAsia="en-US" w:bidi="ar-SA"/>
              </w:rPr>
            </w:pPr>
            <w:r>
              <w:rPr>
                <w:rFonts w:cs="" w:ascii="Arial" w:hAnsi="Arial"/>
                <w:b/>
                <w:color w:val="FFFFFF"/>
                <w:kern w:val="0"/>
                <w:sz w:val="17"/>
                <w:szCs w:val="22"/>
                <w:lang w:val="en-US" w:eastAsia="en-US" w:bidi="ar-SA"/>
              </w:rPr>
              <w:t>Description</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7215.10.00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Other Of free-cutting steel, not further worked than cold-formed or cold- finished</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7215.50.00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Other, not further worked than cold-formed or cold-finished</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7215.90.00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Other</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7216.10.00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U, I or H sections, not further worked than hot-rolled, hot-drawn or extruded, of a height of less than 80 mm</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7216.21.00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L sections</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7216.22.00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T sections</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7216.31.00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U sections</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7216.32.00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I sections</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7216.33.00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H sections</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7216.40.00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L or T sections, not further worked than hot-rolled, hot-drawn or extruded, of a height of 80 mm or more</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7216.50.00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Other angles, shapes and sections, not further worked than hot- rolled, hot-drawn or extruded</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7216.61.00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Obtained from flat-rolled products</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7216.69.00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Other</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7216.91.00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Cold-formed or cold-finished from flat-rolled products</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7216.99.00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Other</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7217.10.00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Not plated or coated, whether or not polished</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7217.20.00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Plated or coated with zinc</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7217.30.00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Plated or coated with other base metals</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7217.90.00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Other</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7218.10.00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Ingots and other primary forms</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7218.91.00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Of rectangular (other than square) cross-section</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7218.99.00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Other</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7219.11.00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Of a thickness exceeding 10 mm</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7219.12.00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Of a thickness of 4.75 mm or more but not exceeding 10 mm</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7219.13.00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Of a thickness of 3 mm or more but less than 4.75 mm</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7219.14.00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Of a thickness of less than 3 mm</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7219.21.00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Of a thickness exceeding 10 mm</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7219.22.00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Of a thickness of 4.75 mm or more but not exceeding 10 mm</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7219.23.00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Of a thickness of 3 mm or more but less than 4.75 mm</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7219.24.00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Of a thickness of less than 3 mm</w:t>
            </w:r>
          </w:p>
        </w:tc>
      </w:tr>
    </w:tbl>
    <w:p>
      <w:pPr>
        <w:pStyle w:val="Normal"/>
        <w:widowControl/>
        <w:spacing w:before="160" w:after="160"/>
        <w:rPr/>
      </w:pPr>
      <w:r>
        <w:rPr/>
        <w:t>7219.31.00 Of a thickness of 4.75 mm or more 7219.32.00 Of a thickness of 3 mm or more but less than 4.75 mm 7219.33.00 Of a thickness exceeding 1 mm but less than 3 mm 7219.34.00 Of a thickness of 0.5 mm or more but not exceeding 1 mm 7219.35.00 Of a thickness of less than 0.5 mm 7219.90.00 Other 7220.11.00 Of a thickness of 4.75 mm or more 7220.12.00 Of a thickness of less than 4.75 mm 7220.20.00 Not further worked than cold-rolled (cold-reduced) 7220.90.00 Other 7221.00.00 Bars and rods, hot-rolled, in irregularly wound coils, of stainless steel. 7222.11.00 Of circular cross-section 7222.19.00 Other 7222.20.00 Bars and rods, not further worked than cold-formed or cold- finished 7222.30.00 Other bars and rods 7222.40.00 Angles, shapes and sections 7223.00.00 Wire of stainless steel.</w:t>
      </w:r>
    </w:p>
    <w:tbl>
      <w:tblPr>
        <w:tblStyle w:val="TableGrid"/>
        <w:tblW w:w="9360" w:type="dxa"/>
        <w:jc w:val="center"/>
        <w:tblInd w:w="-28" w:type="dxa"/>
        <w:tblLayout w:type="autofit"/>
        <w:tblCellMar>
          <w:top w:w="60" w:type="dxa"/>
          <w:left w:w="80" w:type="dxa"/>
          <w:bottom w:w="60" w:type="dxa"/>
          <w:right w:w="80" w:type="dxa"/>
        </w:tblCellMar>
        <w:tblLook w:val="04a0" w:noHBand="0" w:noVBand="1" w:firstColumn="1" w:lastRow="0" w:lastColumn="0" w:firstRow="1"/>
      </w:tblPr>
      <w:tblGrid>
        <w:gridCol w:w="4680"/>
        <w:gridCol w:w="4679"/>
      </w:tblGrid>
      <w:tr>
        <w:trPr>
          <w:tblHeader w:val="true"/>
          <w:cantSplit w:val="true"/>
          <w:tblHeader w:val="true"/>
        </w:trPr>
        <w:tc>
          <w:tcPr>
            <w:tcW w:w="4680" w:type="dxa"/>
            <w:tcBorders/>
            <w:vAlign w:val="center"/>
            <w:shd w:fill="233746"/>
          </w:tcPr>
          <w:p>
            <w:pPr>
              <w:pStyle w:val="Normal"/>
              <w:widowControl/>
              <w:suppressAutoHyphens w:val="true"/>
              <w:spacing w:lineRule="auto" w:line="240" w:before="0" w:after="0"/>
              <w:jc w:val="left"/>
              <w:rPr>
                <w:rFonts w:cs=""/>
                <w:kern w:val="0"/>
                <w:szCs w:val="22"/>
                <w:lang w:val="en-US" w:eastAsia="en-US" w:bidi="ar-SA"/>
              </w:rPr>
            </w:pPr>
            <w:r>
              <w:rPr>
                <w:rFonts w:cs="" w:ascii="Arial" w:hAnsi="Arial"/>
                <w:b/>
                <w:color w:val="FFFFFF"/>
                <w:kern w:val="0"/>
                <w:sz w:val="17"/>
                <w:szCs w:val="22"/>
                <w:lang w:val="en-US" w:eastAsia="en-US" w:bidi="ar-SA"/>
              </w:rPr>
              <w:t>Tariff Item</w:t>
            </w:r>
          </w:p>
        </w:tc>
        <w:tc>
          <w:tcPr>
            <w:tcW w:w="4679" w:type="dxa"/>
            <w:tcBorders/>
            <w:vAlign w:val="center"/>
            <w:shd w:fill="233746"/>
          </w:tcPr>
          <w:p>
            <w:pPr>
              <w:pStyle w:val="Normal"/>
              <w:widowControl/>
              <w:suppressAutoHyphens w:val="true"/>
              <w:spacing w:lineRule="auto" w:line="240" w:before="0" w:after="0"/>
              <w:jc w:val="left"/>
              <w:rPr>
                <w:rFonts w:cs=""/>
                <w:kern w:val="0"/>
                <w:szCs w:val="22"/>
                <w:lang w:val="en-US" w:eastAsia="en-US" w:bidi="ar-SA"/>
              </w:rPr>
            </w:pPr>
            <w:r>
              <w:rPr>
                <w:rFonts w:cs="" w:ascii="Arial" w:hAnsi="Arial"/>
                <w:b/>
                <w:color w:val="FFFFFF"/>
                <w:kern w:val="0"/>
                <w:sz w:val="17"/>
                <w:szCs w:val="22"/>
                <w:lang w:val="en-US" w:eastAsia="en-US" w:bidi="ar-SA"/>
              </w:rPr>
              <w:t>Description</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7224.10.00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Ingots and other primary forms</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7224.90.00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Other</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7225.11.00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Grain-oriented</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7225.19.00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Other</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7225.30.00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Other, not further worked than hot-rolled, in coils</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7225.40.00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Other, not further worked than hot-rolled, not in coils</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7225.50.00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Other, not further worked than cold-rolled (cold-reduced)</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7225.91.00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Electrolytically plated or coated with zinc</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7225.92.00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Otherwise plated or coated with zinc</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7225.99.00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Other</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7226.11.00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Grain-oriented</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7226.19.00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Other</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7226.20.00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Of high speed steel</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7226.91.00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Not further worked than hot-rolled</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7226.92.00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Not further worked than cold-rolled (cold-reduced)</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7226.99.00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Other</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7227.10.00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Of high speed steel</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7227.20.00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Of silico-manganese steel</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7227.90.00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r>
          </w:p>
        </w:tc>
      </w:tr>
    </w:tbl>
    <w:p>
      <w:pPr>
        <w:pStyle w:val="Normal"/>
        <w:widowControl/>
        <w:spacing w:before="160" w:after="160"/>
        <w:rPr/>
      </w:pPr>
      <w:r>
        <w:rPr/>
        <w:t>Other</w:t>
      </w:r>
    </w:p>
    <w:tbl>
      <w:tblPr>
        <w:tblStyle w:val="TableGrid"/>
        <w:tblW w:w="9360" w:type="dxa"/>
        <w:jc w:val="center"/>
        <w:tblInd w:w="-28" w:type="dxa"/>
        <w:tblLayout w:type="autofit"/>
        <w:tblCellMar>
          <w:top w:w="60" w:type="dxa"/>
          <w:left w:w="80" w:type="dxa"/>
          <w:bottom w:w="60" w:type="dxa"/>
          <w:right w:w="80" w:type="dxa"/>
        </w:tblCellMar>
        <w:tblLook w:val="04a0" w:noHBand="0" w:noVBand="1" w:firstColumn="1" w:lastRow="0" w:lastColumn="0" w:firstRow="1"/>
      </w:tblPr>
      <w:tblGrid>
        <w:gridCol w:w="4680"/>
        <w:gridCol w:w="4679"/>
      </w:tblGrid>
      <w:tr>
        <w:trPr>
          <w:tblHeader w:val="true"/>
          <w:cantSplit w:val="true"/>
          <w:tblHeader w:val="true"/>
        </w:trPr>
        <w:tc>
          <w:tcPr>
            <w:tcW w:w="4680" w:type="dxa"/>
            <w:tcBorders/>
            <w:vAlign w:val="center"/>
            <w:shd w:fill="233746"/>
          </w:tcPr>
          <w:p>
            <w:pPr>
              <w:pStyle w:val="Normal"/>
              <w:widowControl/>
              <w:suppressAutoHyphens w:val="true"/>
              <w:spacing w:lineRule="auto" w:line="240" w:before="0" w:after="0"/>
              <w:jc w:val="left"/>
              <w:rPr>
                <w:rFonts w:cs=""/>
                <w:kern w:val="0"/>
                <w:szCs w:val="22"/>
                <w:lang w:val="en-US" w:eastAsia="en-US" w:bidi="ar-SA"/>
              </w:rPr>
            </w:pPr>
            <w:r>
              <w:rPr>
                <w:rFonts w:cs="" w:ascii="Arial" w:hAnsi="Arial"/>
                <w:b/>
                <w:color w:val="FFFFFF"/>
                <w:kern w:val="0"/>
                <w:sz w:val="17"/>
                <w:szCs w:val="22"/>
                <w:lang w:val="en-US" w:eastAsia="en-US" w:bidi="ar-SA"/>
              </w:rPr>
              <w:t>Tariff Item</w:t>
            </w:r>
          </w:p>
        </w:tc>
        <w:tc>
          <w:tcPr>
            <w:tcW w:w="4679" w:type="dxa"/>
            <w:tcBorders/>
            <w:vAlign w:val="center"/>
            <w:shd w:fill="233746"/>
          </w:tcPr>
          <w:p>
            <w:pPr>
              <w:pStyle w:val="Normal"/>
              <w:widowControl/>
              <w:suppressAutoHyphens w:val="true"/>
              <w:spacing w:lineRule="auto" w:line="240" w:before="0" w:after="0"/>
              <w:jc w:val="left"/>
              <w:rPr>
                <w:rFonts w:cs=""/>
                <w:kern w:val="0"/>
                <w:szCs w:val="22"/>
                <w:lang w:val="en-US" w:eastAsia="en-US" w:bidi="ar-SA"/>
              </w:rPr>
            </w:pPr>
            <w:r>
              <w:rPr>
                <w:rFonts w:cs="" w:ascii="Arial" w:hAnsi="Arial"/>
                <w:b/>
                <w:color w:val="FFFFFF"/>
                <w:kern w:val="0"/>
                <w:sz w:val="17"/>
                <w:szCs w:val="22"/>
                <w:lang w:val="en-US" w:eastAsia="en-US" w:bidi="ar-SA"/>
              </w:rPr>
              <w:t>Description</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7228.10.00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Bars and rods, of high speed steel</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7228.20.00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Bars and rods, of silico-manganese steel</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7228.30.00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Other bars and rods, not further worked than hot-rolled, hot- drawn or extruded</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7228.40.00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Other bars and rods, not further worked than forged</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7228.50.00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Other bars and rods, not further worked than cold-formed or cold- finished</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7228.60.00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Other bars and rods</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7228.70.00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Angles, shapes and sections</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7228.80.00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Hollow drill bars and rods</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7229.20.00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Of silico-manganese steel</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7229.90.00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Other</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7301.10.00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Sheet piling</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7301.20.00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Angles, shapes and sections</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7302.10.00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Rails</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7302.30.10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For use with grooved or girder guard rail</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7302.30.90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Other</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7302.40.00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Fish-plates and sole plates</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7302.90.00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Other</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7303.00.00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Tubes, pipes and hollow profiles, of cast iron.</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7304.11.00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Of stainless steel</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7304.19.00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Other</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7304.22.00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Drill pipe of stainless steel</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7304.23.00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Other drill pipe</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7304.24.00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Other, of stainless steel</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7304.29.00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Other</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7304.31.00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Cold-drawn or cold-rolled (cold-reduced)</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7304.39.00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Other</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7304.41.11</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Of an external diameter of less than 19 mm:</w:t>
            </w:r>
          </w:p>
        </w:tc>
      </w:tr>
    </w:tbl>
    <w:p>
      <w:pPr>
        <w:pStyle w:val="Normal"/>
        <w:widowControl/>
        <w:spacing w:before="160" w:after="120"/>
        <w:rPr/>
      </w:pPr>
      <w:r>
        <w:rPr/>
        <w:t>For use in the manufacture of goods of Section XVI or of Chapter 73, such goods being used in the distillation or recovery of products from natural gas 7304.41.19 Of an external diameter of less than 19 mm: Other 7304.41.91 Other: For use in the manufacture of goods of Section XVI or of Chapter 73, such goods being used in the distillation or recovery of products from natural gas 7304.41.99 Other: Other 7304.49.00 Other 7304.51.00</w:t>
      </w:r>
    </w:p>
    <w:p>
      <w:pPr>
        <w:pStyle w:val="Normal"/>
        <w:widowControl/>
        <w:spacing w:before="0" w:after="160"/>
        <w:rPr/>
      </w:pPr>
      <w:r>
        <w:rPr/>
        <w:t>Cold-drawn or cold-rolled (cold-reduced)</w:t>
      </w:r>
    </w:p>
    <w:tbl>
      <w:tblPr>
        <w:tblStyle w:val="TableGrid"/>
        <w:tblW w:w="9360" w:type="dxa"/>
        <w:jc w:val="center"/>
        <w:tblInd w:w="-28" w:type="dxa"/>
        <w:tblLayout w:type="autofit"/>
        <w:tblCellMar>
          <w:top w:w="60" w:type="dxa"/>
          <w:left w:w="80" w:type="dxa"/>
          <w:bottom w:w="60" w:type="dxa"/>
          <w:right w:w="80" w:type="dxa"/>
        </w:tblCellMar>
        <w:tblLook w:val="04a0" w:noHBand="0" w:noVBand="1" w:firstColumn="1" w:lastRow="0" w:lastColumn="0" w:firstRow="1"/>
      </w:tblPr>
      <w:tblGrid>
        <w:gridCol w:w="4680"/>
        <w:gridCol w:w="4679"/>
      </w:tblGrid>
      <w:tr>
        <w:trPr>
          <w:tblHeader w:val="true"/>
          <w:cantSplit w:val="true"/>
          <w:tblHeader w:val="true"/>
        </w:trPr>
        <w:tc>
          <w:tcPr>
            <w:tcW w:w="4680" w:type="dxa"/>
            <w:tcBorders/>
            <w:vAlign w:val="center"/>
            <w:shd w:fill="233746"/>
          </w:tcPr>
          <w:p>
            <w:pPr>
              <w:pStyle w:val="Normal"/>
              <w:widowControl/>
              <w:suppressAutoHyphens w:val="true"/>
              <w:spacing w:lineRule="auto" w:line="240" w:before="0" w:after="0"/>
              <w:jc w:val="left"/>
              <w:rPr>
                <w:rFonts w:cs=""/>
                <w:kern w:val="0"/>
                <w:szCs w:val="22"/>
                <w:lang w:val="en-US" w:eastAsia="en-US" w:bidi="ar-SA"/>
              </w:rPr>
            </w:pPr>
            <w:r>
              <w:rPr>
                <w:rFonts w:cs="" w:ascii="Arial" w:hAnsi="Arial"/>
                <w:b/>
                <w:color w:val="FFFFFF"/>
                <w:kern w:val="0"/>
                <w:sz w:val="17"/>
                <w:szCs w:val="22"/>
                <w:lang w:val="en-US" w:eastAsia="en-US" w:bidi="ar-SA"/>
              </w:rPr>
              <w:t>Tariff Item</w:t>
            </w:r>
          </w:p>
        </w:tc>
        <w:tc>
          <w:tcPr>
            <w:tcW w:w="4679" w:type="dxa"/>
            <w:tcBorders/>
            <w:vAlign w:val="center"/>
            <w:shd w:fill="233746"/>
          </w:tcPr>
          <w:p>
            <w:pPr>
              <w:pStyle w:val="Normal"/>
              <w:widowControl/>
              <w:suppressAutoHyphens w:val="true"/>
              <w:spacing w:lineRule="auto" w:line="240" w:before="0" w:after="0"/>
              <w:jc w:val="left"/>
              <w:rPr>
                <w:rFonts w:cs=""/>
                <w:kern w:val="0"/>
                <w:szCs w:val="22"/>
                <w:lang w:val="en-US" w:eastAsia="en-US" w:bidi="ar-SA"/>
              </w:rPr>
            </w:pPr>
            <w:r>
              <w:rPr>
                <w:rFonts w:cs="" w:ascii="Arial" w:hAnsi="Arial"/>
                <w:b/>
                <w:color w:val="FFFFFF"/>
                <w:kern w:val="0"/>
                <w:sz w:val="17"/>
                <w:szCs w:val="22"/>
                <w:lang w:val="en-US" w:eastAsia="en-US" w:bidi="ar-SA"/>
              </w:rPr>
              <w:t>Description</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7304.59.00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Other</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7304.90.00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Other</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7305.11.00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Longitudinally submerged arc welded</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7305.12.00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Other, longitudinally welded</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7305.19.00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Other</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7305.20.00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Casing of a kind used in drilling for oil or gas</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7305.31.00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Longitudinally welded</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7305.39.00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Other</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7305.90.00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Other</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7306.11.00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Welded, of stainless steel</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7306.19.00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Other</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7306.21.00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Welded, of stainless steel</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7306.29.00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Other</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7306.30.00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Other, welded, of circular cross-section, of iron or non-alloy steel</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7306.40.00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Other, welded, of circular cross-section, of stainless steel</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7306.50.00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Other, welded, of circular cross-section, of other alloy steel</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7306.61.00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Of square or rectangular cross-section</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7306.69.00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Of other non-circular cross-section</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7306.90.00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Other</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7307.11.00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Of non-malleable cast iron</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7307.19.00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Other</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7307.21.00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Flanges</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7307.22.00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Threaded elbows, bends and sleeves</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7307.23.00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Butt welding fittings</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7307.29.10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To be employed in pneumatically breaking down the working face of a mine in mining, quarrying or developing mineral deposits</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7307.29.20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For installation between the wellhead assembly or surface oil pumping unit and the field marketing valve at oil or natural gas wells</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7307.29.91</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Other: Not further worked than forged or bent to shape</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7307.29.99</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Other: Other</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7307.91.00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Flanges</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7307.92.00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Threaded elbows, bends and sleeves</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7307.93.00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Butt welding fittings</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7307.99.00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Other</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7308.10.00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Bridges and bridge-sections</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7308.20.00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Towers and lattice masts</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7308.30.00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Doors, windows and</w:t>
            </w:r>
          </w:p>
        </w:tc>
      </w:tr>
    </w:tbl>
    <w:p>
      <w:pPr>
        <w:pStyle w:val="Normal"/>
        <w:widowControl/>
        <w:spacing w:before="160" w:after="120"/>
        <w:rPr/>
      </w:pPr>
      <w:r>
        <w:rPr/>
        <w:t>their frames and thresholds for doors 7308.40.00 Equipment for scaffolding, shuttering, propping or pit-propping 7308.90.00 Other 7309.00.00 Reservoirs, tanks, vats and similar containers for any material (other than compressed or liquefied gas), of iron or steel, of a capacity exceeding 300 litres, whether or not lined or heat- insulated, but not fitted with mechanical or thermal equipment. 7310.10.00 Of a capacity of 50 litres or more 7310.21.00 Cans which are to be closed by soldering or crimping 7310.29.00 Other 7311.00.00 Containers for compressed or liquefied gas, of iron or steel. 7312.10.00 Stranded wire, ropes and cables 7312.90.00 Other 7313.00.00 Barbed wire of iron or steel; twisted hoop or single flat wire, barbed or not, and loosely twisted double wire, of a kind used for fencing, of iron or steel.</w:t>
      </w:r>
    </w:p>
    <w:p>
      <w:pPr>
        <w:pStyle w:val="Normal"/>
        <w:widowControl/>
        <w:spacing w:before="0" w:after="160"/>
        <w:rPr/>
      </w:pPr>
      <w:r>
        <w:rPr/>
        <w:t>7314.12.00 Endless bands for machinery, of stainless steel 7314.14.00 Other woven cloth, of stainless steel 7314.19.00 Other 7314.20.00 Grill, netting and fencing, welded at the intersection, of wire with a maximum cross-sectional dimension of 3 mm or more and having a mesh size of 100 cm² or more 7314.31.00 Plated or coated with zinc 7314.39.00 Other 7314.41.00 Plated or coated with zinc 7314.42.00 Coated with plastics 7314.49.00 Other 7314.50.00 Expanded metal 7315.11.00 Roller chain 7315.12.00 Other chain 7315.19.00 Parts 7315.20.00 Skid chain 7315.81.00 Stud-link 7315.82.00 Other, welded link 7315.89.00 Other 7315.90.00 Other parts 7316.00.10 Of a weight of 18 kg or more 7316.00.20 Of a weight of less than 18 kg 7317.00.00 Nails, tacks, drawing pins, corrugated nails, staples (other than those of heading 83.05) and similar articles, of iron or steel, whether or not with heads of other material, but excluding such articles with heads of copper.</w:t>
      </w:r>
    </w:p>
    <w:tbl>
      <w:tblPr>
        <w:tblStyle w:val="TableGrid"/>
        <w:tblW w:w="9360" w:type="dxa"/>
        <w:jc w:val="center"/>
        <w:tblInd w:w="-28" w:type="dxa"/>
        <w:tblLayout w:type="autofit"/>
        <w:tblCellMar>
          <w:top w:w="60" w:type="dxa"/>
          <w:left w:w="80" w:type="dxa"/>
          <w:bottom w:w="60" w:type="dxa"/>
          <w:right w:w="80" w:type="dxa"/>
        </w:tblCellMar>
        <w:tblLook w:val="04a0" w:noHBand="0" w:noVBand="1" w:firstColumn="1" w:lastRow="0" w:lastColumn="0" w:firstRow="1"/>
      </w:tblPr>
      <w:tblGrid>
        <w:gridCol w:w="4680"/>
        <w:gridCol w:w="4679"/>
      </w:tblGrid>
      <w:tr>
        <w:trPr>
          <w:tblHeader w:val="true"/>
          <w:cantSplit w:val="true"/>
          <w:tblHeader w:val="true"/>
        </w:trPr>
        <w:tc>
          <w:tcPr>
            <w:tcW w:w="4680" w:type="dxa"/>
            <w:tcBorders/>
            <w:vAlign w:val="center"/>
            <w:shd w:fill="233746"/>
          </w:tcPr>
          <w:p>
            <w:pPr>
              <w:pStyle w:val="Normal"/>
              <w:widowControl/>
              <w:suppressAutoHyphens w:val="true"/>
              <w:spacing w:lineRule="auto" w:line="240" w:before="0" w:after="0"/>
              <w:jc w:val="left"/>
              <w:rPr>
                <w:rFonts w:cs=""/>
                <w:kern w:val="0"/>
                <w:szCs w:val="22"/>
                <w:lang w:val="en-US" w:eastAsia="en-US" w:bidi="ar-SA"/>
              </w:rPr>
            </w:pPr>
            <w:r>
              <w:rPr>
                <w:rFonts w:cs="" w:ascii="Arial" w:hAnsi="Arial"/>
                <w:b/>
                <w:color w:val="FFFFFF"/>
                <w:kern w:val="0"/>
                <w:sz w:val="17"/>
                <w:szCs w:val="22"/>
                <w:lang w:val="en-US" w:eastAsia="en-US" w:bidi="ar-SA"/>
              </w:rPr>
              <w:t>Tariff Item</w:t>
            </w:r>
          </w:p>
        </w:tc>
        <w:tc>
          <w:tcPr>
            <w:tcW w:w="4679" w:type="dxa"/>
            <w:tcBorders/>
            <w:vAlign w:val="center"/>
            <w:shd w:fill="233746"/>
          </w:tcPr>
          <w:p>
            <w:pPr>
              <w:pStyle w:val="Normal"/>
              <w:widowControl/>
              <w:suppressAutoHyphens w:val="true"/>
              <w:spacing w:lineRule="auto" w:line="240" w:before="0" w:after="0"/>
              <w:jc w:val="left"/>
              <w:rPr>
                <w:rFonts w:cs=""/>
                <w:kern w:val="0"/>
                <w:szCs w:val="22"/>
                <w:lang w:val="en-US" w:eastAsia="en-US" w:bidi="ar-SA"/>
              </w:rPr>
            </w:pPr>
            <w:r>
              <w:rPr>
                <w:rFonts w:cs="" w:ascii="Arial" w:hAnsi="Arial"/>
                <w:b/>
                <w:color w:val="FFFFFF"/>
                <w:kern w:val="0"/>
                <w:sz w:val="17"/>
                <w:szCs w:val="22"/>
                <w:lang w:val="en-US" w:eastAsia="en-US" w:bidi="ar-SA"/>
              </w:rPr>
              <w:t>Description</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7318.11.00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Coach screws</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7318.12.00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Other wood screws</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7318.13.00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Screw hooks and screw rings</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7318.14.00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Self-tapping screws</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7318.15.00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Other screws and bolts, whether or not with their nuts or washers</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7318.16.00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Nuts</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7318.19.00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Other</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7318.21.00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Spring washers and other lock washers</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7318.22.00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Other washers</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7318.23.00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Rivets</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7318.24.00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Cotters and cotter-pins</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7318.29.00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Other</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7319.40.10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Specially designed for marking systems</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7319.40.90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Other</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7319.90.10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Sewing, darning or embroidery needles</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7319.90.90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Other</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7320.10.00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Leaf-springs and leaves therefor</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7320.20.00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Helical springs</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7320.90.00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Other</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7321.11.10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Non-portable stoves or ranges (including those specially designed for use on boats)</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7321.11.90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Other</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7321.12.00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For liquid fuel</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7321.19.10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Non-portable stoves or ranges (including those specially designed for use on boats)</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7321.19.90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Other</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7321.81.00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For gas fuel or for both gas and other fuels</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7321.82.00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For liquid fuel</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7321.89.00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Other, including appliances for solid fuel</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7321.90.10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Cast iron grilles, of a weight not exceeding 3 kg, not further worked than as cast, cut and ground, for use in the manufacture of finished grilles for non-industrial non-portable stoves or ranges, for gas fuel or for both gas or other fuels;</w:t>
            </w:r>
          </w:p>
        </w:tc>
      </w:tr>
    </w:tbl>
    <w:p>
      <w:pPr>
        <w:pStyle w:val="Normal"/>
        <w:widowControl/>
        <w:spacing w:before="160" w:after="120"/>
        <w:rPr/>
      </w:pPr>
      <w:r>
        <w:rPr/>
        <w:t>For appliances, excluding cooking appliances and plate warmers; For cooking appliances and plate warmers for gas fuel or for both gas and other fuels, excluding non-portable stoves or ranges (including those specially designed for use on boats) 7321.90.21 For</w:t>
      </w:r>
    </w:p>
    <w:p>
      <w:pPr>
        <w:pStyle w:val="Normal"/>
        <w:widowControl/>
        <w:rPr/>
      </w:pPr>
      <w:r>
        <w:rPr/>
        <w:t>non-portable stoves or ranges (including those specially designed for use on boats), for gas fuel or for both gas or other fuels: Cooking chambers 7321.90.22 For non-portable stoves or ranges (including those specially designed for use on boats), for gas fuel or for both gas or other fuels: Top surface panels 7321.90.23 For non-portable stoves or ranges (including those specially designed for use on boats), for gas fuel or for both gas or other fuels: Door assemblies, incorporating at least two of the following: inner panel, outer panel, window, insulation 7321.90.24 For non-portable stoves or ranges (including those specially designed for use on boats), for gas fuel or both gas or other fuels: Oven pilot burners, top burners of other than cast iron, oven burners and lighter cones, for use in the manufacture of ranges 7321.90.29 For non-portable stoves or ranges (including those specially designed for use on boats), for gas fuel or both gas or other fuels: Other 7321.90.90 Other 7322.11.00 Of cast iron 7322.19.00 Other 7322.90.10 For heating buildings 7322.90.20 Process air heaters;</w:t>
      </w:r>
    </w:p>
    <w:p>
      <w:pPr>
        <w:pStyle w:val="Normal"/>
        <w:widowControl/>
        <w:rPr/>
      </w:pPr>
      <w:r>
        <w:rPr/>
        <w:t>Switch heaters and sensing heads (hot air and oil fired), horizontal air curtains, for railway tracks 7322.90.90 Other 7323.10.00 Iron or steel wool; pot scourers and scouring or polishing pads, gloves and the like 7323.91.00 Of cast iron, not enamelled 7323.92.00 Of cast iron, enamelled 7323.93.00 Of stainless steel 7323.94.00 Of iron (other than cast iron) or steel, enamelled 7323.99.00 Other</w:t>
      </w:r>
    </w:p>
    <w:p>
      <w:pPr>
        <w:pStyle w:val="Normal"/>
        <w:widowControl/>
        <w:rPr/>
      </w:pPr>
      <w:r>
        <w:rPr/>
        <w:t>7324.10.00 Sinks and wash basins, of stainless steel 7324.21.00 Of cast iron, whether or not enamelled 7324.29.10 Stampings and assemblies thereof, for use in the manufacture of bath tubs 7324.29.90 Other 7324.90.00 Other, including parts 7325.10.00 Of non-malleable cast iron 7325.91.00 Grinding balls and similar articles for mills 7325.99.10 The following, to be employed in the exploration, discovery, development, maintenance, testing, depletion or production of oil or natural gas wells or potash or rock salt deposits: Flanged casing heads; Screwed casing heads for surface casings of an external diameter exceeding 273 mm, or rated for service in working pressures exceeding 14 MPa W.O.G. (water, oil, gas) 7325.99.91 Other: In the rough 7325.99.99 Other: Other 7326.11.00 Grinding balls and similar articles for mills 7326.19.10 Flanged wellhead tubing heads and flanged casing head spools, in the rough, for use in the manufacture of wellhead tubing heads or casing head spools, rated for service in working pressures exceeding 14 MPa W.O.G.</w:t>
      </w:r>
    </w:p>
    <w:p>
      <w:pPr>
        <w:pStyle w:val="Normal"/>
        <w:widowControl/>
        <w:rPr/>
      </w:pPr>
      <w:r>
        <w:rPr/>
        <w:t>(water, oil, gas), to be employed in the exploration, discovery, development, maintenance, testing, depletion or production of oil or natural gas wells; Wick sustainers for use in the manufacture of candles 7326.19.90 Other 7326.20.00 Articles of iron or steel wire 7326.90.10 Couplings for sucker rods, pony rods or polished rods for oilfield related pumps; Fishing tools and parts thereof to be employed in the exploration, discovery, development, maintenance, testing, depletion or production of oil or natural gas wells or for drilling machinery employed in the exploration, discovery, development or operation of potash or rock salt deposits; For climbing or mountaineering; For keeping nets open and swivels, to be employed in commercial fishing or in the commercial harvesting of marine plants; For use in the manufacture of detectors for propane or other toxic fumes; For use in the manufacture of fire fighting vehicles; For use in the manufacture of goods of Section XVI or of Chapter 73, such goods being used in the recovery or production of crude oil from shales, oil-sands or tar-sands;</w:t>
      </w:r>
    </w:p>
    <w:p>
      <w:pPr>
        <w:pStyle w:val="Normal"/>
        <w:widowControl/>
        <w:rPr/>
      </w:pPr>
      <w:r>
        <w:rPr/>
        <w:t>For use in the manufacture or repair of engines or parts thereof for commercial fishing vessels; Forged steel clevis hooks and eye hooks for use in the manufacture of debris chutes; Identification bands for migratory birds; Pitless well heads and parts thereof; Reusable containers, specially designed to be employed in the transportation of motor vehicle components which are free of customs</w:t>
      </w:r>
    </w:p>
    <w:p>
      <w:pPr>
        <w:pStyle w:val="Normal"/>
        <w:widowControl/>
        <w:rPr/>
      </w:pPr>
      <w:r>
        <w:rPr/>
        <w:t>duties, presented with the goods therein; 7326.90.90 Other 7401.00.00 Copper mattes; cement copper (precipitated copper). 7402.00.00 Unrefined copper; copper anodes for electrolytic refining. 7403.11.00 Cathodes and sections of cathodes 7403.12.00 Wire-bars 7403.13.00 Billets 7403.19.00 Other 7403.21.00 Copper-zinc base alloys (brass) 7403.22.00 Copper-tin base alloys (bronze) 7403.29.00 Other copper alloys (other than master alloys of heading 74.05) 7404.00.10 Spent anodes, not alloyed; With a copper content of less than 94% by weight, not alloyed 7404.00.20 Copper-zinc base alloys (brass) with a copper content of less than 94% by weight 7404.00.91 Other: With a copper content of less than 94% by weight 7404.00.99 Other: Other 7405.00.00 Master alloys of copper. 7406.10.00 Powders of non-lamellar structure 7406.20.00 Powders of lamellar structure; flakes 7407.10.11 Hollow profiles: Unworked 7407.10.12 Hollow profiles: Worked 7407.10.21 Other: Bars and rods, of which the maximum cross-sectional dimension exceeds 12.7 mm; Solid profiles 7407.10.29 Other: Other 7407.21.10 Bars and rods, for use in the manufacture of welding electrodes, welding caps, electrode adaptors, electrode shanks, electrode holders, seam weld wheels or welding guns 7407.21.21 Hollow profiles: Unworked 7407.21.22 Hollow profiles:</w:t>
      </w:r>
    </w:p>
    <w:p>
      <w:pPr>
        <w:pStyle w:val="Normal"/>
        <w:widowControl/>
        <w:rPr/>
      </w:pPr>
      <w:r>
        <w:rPr/>
        <w:t>Worked 7407.21.90 Other 7407.29.21 Of copper-nickel base alloys (cupro-nickel) or copper-nickel-zinc base alloys (nickel silver): Bars and rods, of copper-nickel base alloys</w:t>
      </w:r>
    </w:p>
    <w:p>
      <w:pPr>
        <w:pStyle w:val="Normal"/>
        <w:widowControl/>
        <w:spacing w:before="0" w:after="160"/>
        <w:rPr/>
      </w:pPr>
      <w:r>
        <w:rPr/>
        <w:t>(cupro-nickel) of which the maximum cross-sectional dimension exceeds 12.7 mm; Solid profiles; Unworked hollow profiles</w:t>
      </w:r>
    </w:p>
    <w:tbl>
      <w:tblPr>
        <w:tblStyle w:val="TableGrid"/>
        <w:tblW w:w="9360" w:type="dxa"/>
        <w:jc w:val="center"/>
        <w:tblInd w:w="-28" w:type="dxa"/>
        <w:tblLayout w:type="autofit"/>
        <w:tblCellMar>
          <w:top w:w="60" w:type="dxa"/>
          <w:left w:w="80" w:type="dxa"/>
          <w:bottom w:w="60" w:type="dxa"/>
          <w:right w:w="80" w:type="dxa"/>
        </w:tblCellMar>
        <w:tblLook w:val="04a0" w:noHBand="0" w:noVBand="1" w:firstColumn="1" w:lastRow="0" w:lastColumn="0" w:firstRow="1"/>
      </w:tblPr>
      <w:tblGrid>
        <w:gridCol w:w="4680"/>
        <w:gridCol w:w="4679"/>
      </w:tblGrid>
      <w:tr>
        <w:trPr>
          <w:tblHeader w:val="true"/>
          <w:cantSplit w:val="true"/>
          <w:tblHeader w:val="true"/>
        </w:trPr>
        <w:tc>
          <w:tcPr>
            <w:tcW w:w="4680" w:type="dxa"/>
            <w:tcBorders/>
            <w:vAlign w:val="center"/>
            <w:shd w:fill="233746"/>
          </w:tcPr>
          <w:p>
            <w:pPr>
              <w:pStyle w:val="Normal"/>
              <w:widowControl/>
              <w:suppressAutoHyphens w:val="true"/>
              <w:spacing w:lineRule="auto" w:line="240" w:before="0" w:after="0"/>
              <w:jc w:val="left"/>
              <w:rPr>
                <w:rFonts w:cs=""/>
                <w:kern w:val="0"/>
                <w:szCs w:val="22"/>
                <w:lang w:val="en-US" w:eastAsia="en-US" w:bidi="ar-SA"/>
              </w:rPr>
            </w:pPr>
            <w:r>
              <w:rPr>
                <w:rFonts w:cs="" w:ascii="Arial" w:hAnsi="Arial"/>
                <w:b/>
                <w:color w:val="FFFFFF"/>
                <w:kern w:val="0"/>
                <w:sz w:val="17"/>
                <w:szCs w:val="22"/>
                <w:lang w:val="en-US" w:eastAsia="en-US" w:bidi="ar-SA"/>
              </w:rPr>
              <w:t>Tariff Item</w:t>
            </w:r>
          </w:p>
        </w:tc>
        <w:tc>
          <w:tcPr>
            <w:tcW w:w="4679" w:type="dxa"/>
            <w:tcBorders/>
            <w:vAlign w:val="center"/>
            <w:shd w:fill="233746"/>
          </w:tcPr>
          <w:p>
            <w:pPr>
              <w:pStyle w:val="Normal"/>
              <w:widowControl/>
              <w:suppressAutoHyphens w:val="true"/>
              <w:spacing w:lineRule="auto" w:line="240" w:before="0" w:after="0"/>
              <w:jc w:val="left"/>
              <w:rPr>
                <w:rFonts w:cs=""/>
                <w:kern w:val="0"/>
                <w:szCs w:val="22"/>
                <w:lang w:val="en-US" w:eastAsia="en-US" w:bidi="ar-SA"/>
              </w:rPr>
            </w:pPr>
            <w:r>
              <w:rPr>
                <w:rFonts w:cs="" w:ascii="Arial" w:hAnsi="Arial"/>
                <w:b/>
                <w:color w:val="FFFFFF"/>
                <w:kern w:val="0"/>
                <w:sz w:val="17"/>
                <w:szCs w:val="22"/>
                <w:lang w:val="en-US" w:eastAsia="en-US" w:bidi="ar-SA"/>
              </w:rPr>
              <w:t>Description</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7407.29.29</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Of copper-nickel base alloys (cupro-nickel) or copper-nickel-zinc base alloys (nickel silver): Other</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7407.29.90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Other</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7408.11.11</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Not exceeding 9.5 mm: Not coated or covered</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7408.11.12</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Not exceeding 9.5 mm: Coated or covered</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7408.11.20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Exceeding 9.5 mm but not exceeding 12.7 mm</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7408.11.31</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Exceeding 12.7 mm: Not coated or covered</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7408.11.32</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Exceeding 12.7 mm: Coated or covered</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7408.19.00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Other</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7408.21.00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Of copper-zinc base alloys (brass)</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7408.22.00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Of copper-nickel base alloys (cupro-nickel) or copper-nickel-zinc base alloys (nickel silver)</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7408.29.00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Other</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7409.11.00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In coils</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7409.19.00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Other</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7409.21.00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In coils</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7409.29.00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Other</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7409.31.00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In coils</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7409.39.00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Other</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7409.40.00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Of copper-nickel base alloys (cupro-nickel) or copper-nickel-zinc base alloys (nickel silver)</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7409.90.00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Of other copper alloys</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7410.11.00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Of refined copper</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7410.12.00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Of copper alloys</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7410.21.00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Of refined copper</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7410.22.00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Of copper alloys</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7411.10.00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Of refined copper</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7411.21.00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Of copper-zinc base alloys (brass)</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7411.22.00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Of copper-nickel base alloys (cupro-nickel) or copper-nickel-zinc base alloys (nickel silver)</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7411.29.00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Other</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7412.10.00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Of refined copper</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7412.20.00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Of copper alloys</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7413.00.00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Stranded wire, cables, plaited bands and the like, of copper, not electrically insulated.</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b/>
                <w:kern w:val="0"/>
                <w:sz w:val="17"/>
                <w:szCs w:val="22"/>
                <w:lang w:val="en-US" w:eastAsia="en-US" w:bidi="ar-SA"/>
              </w:rPr>
              <w:t>Tariff Item</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b/>
                <w:kern w:val="0"/>
                <w:sz w:val="17"/>
                <w:szCs w:val="22"/>
                <w:lang w:val="en-US" w:eastAsia="en-US" w:bidi="ar-SA"/>
              </w:rPr>
              <w:t>Description</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7415.10.00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Nails and tacks, drawing pins, staples and similar articles</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7415.21.00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Washers (including spring washers)</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7415.29.00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Other</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7415.33.00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Screws; bolts and nuts</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7415.39.00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Other</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7418.10.00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Table, kitchen or other household articles and parts thereof; pot scourers and scouring or polishing pads, gloves and the like</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7418.20.00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Sanitary ware and parts thereof</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7419.10.00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Chain and parts thereof</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7419.91.10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Anodes for electroplating</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7419.91.91</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Other: For use in Canadian manufactures</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7419.91.99</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Other: Other</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7419.99.10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Anodes for electroplating</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7419.99.20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Caskets or coffins</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7419.99.90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Other</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7501.10.00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Nickel mattes</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7501.20.00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Nickel oxide sinters and other intermediate products of nickel metallurgy</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7502.10.00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Nickel, not alloyed</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7502.20.00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Nickel alloys</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7503.00.00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Nickel waste and scrap.</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7504.00.00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Nickel powders and flakes.</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7505.11.00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Of nickel, not alloyed</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7505.12.00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Of nickel alloys</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7505.21.00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Of nickel, not alloyed</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7505.22.00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Of nickel alloys</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7506.10.10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Worked foil of a thickness not exceeding 0.15 mm</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7506.10.90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Other</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7506.20.10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The following foil of a thickness not exceeding 0.15 mm: Unworked, containing by weight less than 60% of nickel;</w:t>
            </w:r>
          </w:p>
        </w:tc>
      </w:tr>
    </w:tbl>
    <w:p>
      <w:pPr>
        <w:pStyle w:val="Normal"/>
        <w:widowControl/>
        <w:spacing w:before="160" w:after="160"/>
        <w:rPr/>
      </w:pPr>
      <w:r>
        <w:rPr/>
        <w:t>Worked</w:t>
      </w:r>
    </w:p>
    <w:tbl>
      <w:tblPr>
        <w:tblStyle w:val="TableGrid"/>
        <w:tblW w:w="9360" w:type="dxa"/>
        <w:jc w:val="center"/>
        <w:tblInd w:w="-28" w:type="dxa"/>
        <w:tblLayout w:type="autofit"/>
        <w:tblCellMar>
          <w:top w:w="60" w:type="dxa"/>
          <w:left w:w="80" w:type="dxa"/>
          <w:bottom w:w="60" w:type="dxa"/>
          <w:right w:w="80" w:type="dxa"/>
        </w:tblCellMar>
        <w:tblLook w:val="04a0" w:noHBand="0" w:noVBand="1" w:firstColumn="1" w:lastRow="0" w:lastColumn="0" w:firstRow="1"/>
      </w:tblPr>
      <w:tblGrid>
        <w:gridCol w:w="4680"/>
        <w:gridCol w:w="4679"/>
      </w:tblGrid>
      <w:tr>
        <w:trPr>
          <w:tblHeader w:val="true"/>
          <w:cantSplit w:val="true"/>
          <w:tblHeader w:val="true"/>
        </w:trPr>
        <w:tc>
          <w:tcPr>
            <w:tcW w:w="4680" w:type="dxa"/>
            <w:tcBorders/>
            <w:vAlign w:val="center"/>
            <w:shd w:fill="233746"/>
          </w:tcPr>
          <w:p>
            <w:pPr>
              <w:pStyle w:val="Normal"/>
              <w:widowControl/>
              <w:suppressAutoHyphens w:val="true"/>
              <w:spacing w:lineRule="auto" w:line="240" w:before="0" w:after="0"/>
              <w:jc w:val="left"/>
              <w:rPr>
                <w:rFonts w:cs=""/>
                <w:kern w:val="0"/>
                <w:szCs w:val="22"/>
                <w:lang w:val="en-US" w:eastAsia="en-US" w:bidi="ar-SA"/>
              </w:rPr>
            </w:pPr>
            <w:r>
              <w:rPr>
                <w:rFonts w:cs="" w:ascii="Arial" w:hAnsi="Arial"/>
                <w:b/>
                <w:color w:val="FFFFFF"/>
                <w:kern w:val="0"/>
                <w:sz w:val="17"/>
                <w:szCs w:val="22"/>
                <w:lang w:val="en-US" w:eastAsia="en-US" w:bidi="ar-SA"/>
              </w:rPr>
              <w:t>Tariff Item</w:t>
            </w:r>
          </w:p>
        </w:tc>
        <w:tc>
          <w:tcPr>
            <w:tcW w:w="4679" w:type="dxa"/>
            <w:tcBorders/>
            <w:vAlign w:val="center"/>
            <w:shd w:fill="233746"/>
          </w:tcPr>
          <w:p>
            <w:pPr>
              <w:pStyle w:val="Normal"/>
              <w:widowControl/>
              <w:suppressAutoHyphens w:val="true"/>
              <w:spacing w:lineRule="auto" w:line="240" w:before="0" w:after="0"/>
              <w:jc w:val="left"/>
              <w:rPr>
                <w:rFonts w:cs=""/>
                <w:kern w:val="0"/>
                <w:szCs w:val="22"/>
                <w:lang w:val="en-US" w:eastAsia="en-US" w:bidi="ar-SA"/>
              </w:rPr>
            </w:pPr>
            <w:r>
              <w:rPr>
                <w:rFonts w:cs="" w:ascii="Arial" w:hAnsi="Arial"/>
                <w:b/>
                <w:color w:val="FFFFFF"/>
                <w:kern w:val="0"/>
                <w:sz w:val="17"/>
                <w:szCs w:val="22"/>
                <w:lang w:val="en-US" w:eastAsia="en-US" w:bidi="ar-SA"/>
              </w:rPr>
              <w:t>Description</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7506.20.90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Other</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7507.11.00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Of nickel, not alloyed</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7507.12.00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Of nickel alloys</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7507.20.00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Tube or pipe fittings</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7508.10.00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Cloth, grill and netting, of nickel wire</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7508.90.10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Anodes for electroplating</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7508.90.90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Other</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7601.10.00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Aluminum, not alloyed</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7601.20.00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Aluminum alloys</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7602.00.00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Aluminum waste and scrap.</w:t>
            </w:r>
          </w:p>
        </w:tc>
      </w:tr>
    </w:tbl>
    <w:p>
      <w:pPr>
        <w:pStyle w:val="Normal"/>
        <w:widowControl/>
        <w:spacing w:before="160" w:after="120"/>
        <w:rPr/>
      </w:pPr>
      <w:r>
        <w:rPr/>
        <w:t>7603.10.00 Powders of non-lamellar structure 7603.20.00 Powders of lamellar structure; flakes 7604.10.00 Of aluminum, not alloyed 7604.21.00 Hollow profiles 7604.29.00 Other 7605.11.00 Of which the maximum cross-sectional dimension exceeds 7 mm 7605.19.00 Other 7605.21.00 Of which the maximum cross-sectional dimension exceeds 7 mm 7605.29.00 Other 7606.11.00 Of aluminum, not alloyed 7606.12.00 Of aluminum alloys 7606.91.00 Of aluminum, not alloyed 7606.92.00 Of aluminum alloys 7607.11.00 Rolled but not further worked 7607.19.00 Other 7607.20.10 For use in the manufacture of 960 ml beverage containers; Of a thickness of less than 0.127 mm, embossed, not printed 7607.20.90 Other 7608.10.00 Of aluminum, not alloyed 7608.20.00 Of aluminum alloys 7609.00.00 Aluminum tube or pipe fittings (for example, couplings, elbows, sleeves). 7610.10.00 Doors, windows and their frames and thresholds for doors 7610.90.10 For use in Canadian manufactures 7610.90.90 Other 7611.00.00 Aluminum reservoirs, tanks, vats and similar containers, for any material (other than compressed or liquefied gas), of a capacity exceeding 300 litres, whether or not lined or heat-insulated, but not fitted with mechanical or thermal equipment.</w:t>
      </w:r>
    </w:p>
    <w:p>
      <w:pPr>
        <w:pStyle w:val="Normal"/>
        <w:widowControl/>
        <w:rPr/>
      </w:pPr>
      <w:r>
        <w:rPr/>
        <w:t>7612.10.00 Collapsible tubular containers 7612.90.10 Aerosol containers, excluding three-piece cans without inserts having a base diameter of 50 mm or more but not exceeding 80 mm 7612.90.91 Other: Embossed aluminum cans for use in the packaging of beverages 7612.90.99 Other: Other 7613.00.00 Aluminum containers for compressed or liquefied gas. 7614.10.00 With steel core 7614.90.00 Other 7615.10.00 Table, kitchen or other household articles and parts thereof; pot scourers and scouring or polishing pads, gloves and the like 7615.20.00 Sanitary ware and parts thereof 7616.10.00 Nails, tacks, staples (other than those of heading 83.05), screws, bolts, nuts, screw hooks, rivets, cotters, cotter-pins, washers and similar articles 7616.91.00 Cloth, grill, netting and fencing, of aluminum wire 7616.99.10 Cups for use in the manufacture of candles; Ferrules for use in the manufacture of pencils; Fish egg incubators and parts thereof; For climbing or mountaineering; Identification bands for migratory birds; Pigeon countermark leg bands;</w:t>
      </w:r>
    </w:p>
    <w:p>
      <w:pPr>
        <w:pStyle w:val="Normal"/>
        <w:widowControl/>
        <w:rPr/>
      </w:pPr>
      <w:r>
        <w:rPr/>
        <w:t>To be employed in the manufacture of sera, antisera, toxoids, viruses, toxins or antitoxins, virus or bacterial vaccines, bacteriophage or bacterial lysates, allergenics, liver extracts, pituitary extracts, epinephrine or its solutions, insulin (with or without zinc, globin or protamine), and blood plasma or serum of human origin, or fractions thereof, or extenders or substitutes therefor 7616.99.90 Other 7801.10.00 Refined lead 7801.91.00 Containing</w:t>
      </w:r>
    </w:p>
    <w:p>
      <w:pPr>
        <w:pStyle w:val="Normal"/>
        <w:widowControl/>
        <w:spacing w:before="0" w:after="160"/>
        <w:rPr/>
      </w:pPr>
      <w:r>
        <w:rPr/>
        <w:t>by weight antimony as the principal other element 7801.99.00 Other 7802.00.00 Lead waste and scrap. 7804.11.00 Sheets, strip and foil of a thickness (excluding any backing) not exceeding 0.2 mm 7804.19.00 Other 7804.20.00 Powders and flakes 7806.00.00 Other articles of lead. 7901.11.00 Containing by weight 99.99% or more of zinc 7901.12.00 Containing by weight less than 99.99% of zinc 7901.20.00 Zinc alloys 7902.00.00 Zinc waste and scrap. 7903.10.00 Zinc dust 7903.90.00 Other 7904.00.00 Zinc bars, rods, profiles and wire. 7905.00.00 Zinc plates, sheets, strip and foil. 7907.00.30 For use in Canadian manufactures 7907.00.91 Other: Anodes for electroplating 7907.00.92 Other: Discs or slugs, containing by weight 90% or more of zinc; Gutters, roof capping, skylight frames and other fabricated building components; Zinc tubes, pipes and tube or pipe fittings (for example couplings, elbows, sleeves) 7907.00.99 Other: Other 8001.10.00 Tin, not alloyed 8001.20.00 Tin alloys 8002.00.00 Tin waste and scrap. 8003.00.00 Tin bars, rods, profiles and wire.</w:t>
      </w:r>
    </w:p>
    <w:tbl>
      <w:tblPr>
        <w:tblStyle w:val="TableGrid"/>
        <w:tblW w:w="9360" w:type="dxa"/>
        <w:jc w:val="center"/>
        <w:tblInd w:w="-28" w:type="dxa"/>
        <w:tblLayout w:type="autofit"/>
        <w:tblCellMar>
          <w:top w:w="60" w:type="dxa"/>
          <w:left w:w="80" w:type="dxa"/>
          <w:bottom w:w="60" w:type="dxa"/>
          <w:right w:w="80" w:type="dxa"/>
        </w:tblCellMar>
        <w:tblLook w:val="04a0" w:noHBand="0" w:noVBand="1" w:firstColumn="1" w:lastRow="0" w:lastColumn="0" w:firstRow="1"/>
      </w:tblPr>
      <w:tblGrid>
        <w:gridCol w:w="4680"/>
        <w:gridCol w:w="4679"/>
      </w:tblGrid>
      <w:tr>
        <w:trPr>
          <w:tblHeader w:val="true"/>
          <w:cantSplit w:val="true"/>
          <w:tblHeader w:val="true"/>
        </w:trPr>
        <w:tc>
          <w:tcPr>
            <w:tcW w:w="4680" w:type="dxa"/>
            <w:tcBorders/>
            <w:vAlign w:val="center"/>
            <w:shd w:fill="233746"/>
          </w:tcPr>
          <w:p>
            <w:pPr>
              <w:pStyle w:val="Normal"/>
              <w:widowControl/>
              <w:suppressAutoHyphens w:val="true"/>
              <w:spacing w:lineRule="auto" w:line="240" w:before="0" w:after="0"/>
              <w:jc w:val="left"/>
              <w:rPr>
                <w:rFonts w:cs=""/>
                <w:kern w:val="0"/>
                <w:szCs w:val="22"/>
                <w:lang w:val="en-US" w:eastAsia="en-US" w:bidi="ar-SA"/>
              </w:rPr>
            </w:pPr>
            <w:r>
              <w:rPr>
                <w:rFonts w:cs="" w:ascii="Arial" w:hAnsi="Arial"/>
                <w:b/>
                <w:color w:val="FFFFFF"/>
                <w:kern w:val="0"/>
                <w:sz w:val="17"/>
                <w:szCs w:val="22"/>
                <w:lang w:val="en-US" w:eastAsia="en-US" w:bidi="ar-SA"/>
              </w:rPr>
              <w:t>Tariff Item</w:t>
            </w:r>
          </w:p>
        </w:tc>
        <w:tc>
          <w:tcPr>
            <w:tcW w:w="4679" w:type="dxa"/>
            <w:tcBorders/>
            <w:vAlign w:val="center"/>
            <w:shd w:fill="233746"/>
          </w:tcPr>
          <w:p>
            <w:pPr>
              <w:pStyle w:val="Normal"/>
              <w:widowControl/>
              <w:suppressAutoHyphens w:val="true"/>
              <w:spacing w:lineRule="auto" w:line="240" w:before="0" w:after="0"/>
              <w:jc w:val="left"/>
              <w:rPr>
                <w:rFonts w:cs=""/>
                <w:kern w:val="0"/>
                <w:szCs w:val="22"/>
                <w:lang w:val="en-US" w:eastAsia="en-US" w:bidi="ar-SA"/>
              </w:rPr>
            </w:pPr>
            <w:r>
              <w:rPr>
                <w:rFonts w:cs="" w:ascii="Arial" w:hAnsi="Arial"/>
                <w:b/>
                <w:color w:val="FFFFFF"/>
                <w:kern w:val="0"/>
                <w:sz w:val="17"/>
                <w:szCs w:val="22"/>
                <w:lang w:val="en-US" w:eastAsia="en-US" w:bidi="ar-SA"/>
              </w:rPr>
              <w:t>Description</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8007.00.10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Foil</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8007.00.20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Tin plates, sheets and strip, of a thickness exceeding 0.2 mm; Tin tubes, pipes and tube or pipe fittings (for example, couplings, elbows, sleeves)</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8007.00.30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Powders and flakes</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8007.00.90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Other</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8101.10.00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Powders</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8101.94.00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Unwrought tungsten, including bars and rods obtained simply by sintering</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8101.96.00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Wire</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8101.97.00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Waste and scrap</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8101.99.00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Other</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8102.10.00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Powders</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8102.94.00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Unwrought molybdenum, including bars and rods obtained simply by sintering</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8102.95.10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Bars and rods</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8102.95.20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Profiles, plates, sheets, strip and foil</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8102.96.00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Wire</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8102.97.00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Waste and scrap</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8102.99.00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Other</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8103.20.00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Unwrought tantalum, including bars and rods obtained simply by sintering; powders</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8103.30.00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Waste and scrap</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8103.90.00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Other</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8104.11.00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Containing at least 99.8% by weight of magnesium</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8104.19.00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Other</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8104.20.00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Waste and scrap</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8104.30.00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Raspings, turnings and granules, graded according to size; powders</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8104.90.00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Other</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8105.20.00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Cobalt mattes and other intermediate products of cobalt metallurgy; unwrought cobalt; powders</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8105.30.00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Waste and scrap</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8105.90.00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Other</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8106.00.00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Bismuth and articles thereof, including waste and scrap.</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b/>
                <w:kern w:val="0"/>
                <w:sz w:val="17"/>
                <w:szCs w:val="22"/>
                <w:lang w:val="en-US" w:eastAsia="en-US" w:bidi="ar-SA"/>
              </w:rPr>
              <w:t>Tariff Item</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b/>
                <w:kern w:val="0"/>
                <w:sz w:val="17"/>
                <w:szCs w:val="22"/>
                <w:lang w:val="en-US" w:eastAsia="en-US" w:bidi="ar-SA"/>
              </w:rPr>
              <w:t>Description</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8107.20.00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Unwrought cadmium; powders</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8107.30.00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Waste and scrap</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8107.90.00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Other</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8108.20.00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Unwrought titanium; powders</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8108.30.00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Waste and scrap</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8108.90.00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Other</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8109.20.00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Unwrought zirconium; powders</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8109.30.00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Waste and scrap</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8109.90.00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Other</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8110.10.00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Unwrought antimony; powders</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8110.20.00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Waste and scrap</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8110.90.00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Other</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8111.00.11</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Unwrought manganese; waste and scrap: Unwrought manganese, not alloyed</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8111.00.12</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Unwrought manganese; waste and scrap: Unwrought manganese, alloyed; Waste and scrap</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8111.00.21</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Powders: Not alloyed</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8111.00.22</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Powders: Alloyed</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8111.00.40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Articles of manganese</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8112.12.00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Unwrought; powders</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8112.13.00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Waste and scrap</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8112.19.00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Other</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8112.21.00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Unwrought; powders</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8112.22.00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Waste and scrap</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8112.29.00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Other</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8112.51.00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Unwrought; powders</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8112.52.00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Waste and scrap</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8112.59.00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Other</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8112.92.00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Unwrought; waste and scrap; powders</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8112.99.00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Other</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8113.00.00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Cermets and articles thereof, including waste and scrap.</w:t>
            </w:r>
          </w:p>
        </w:tc>
      </w:tr>
    </w:tbl>
    <w:p>
      <w:pPr>
        <w:pStyle w:val="Normal"/>
        <w:widowControl/>
        <w:spacing w:before="160" w:after="120"/>
        <w:rPr/>
      </w:pPr>
      <w:r>
        <w:rPr/>
        <w:t>8201.10.10 Heads for use in the manufacture or production of spades and shovels 8201.10.90 Other 8201.30.10 Heads for use in the manufacture or production of mattocks, picks, hoes or rakes; Mattocks and picks for climbing or mountaineering 8201.30.90 Other 8201.40.10 For climbing or mountaineering; Heads for use in the manufacture or production of axes, bill hooks and similar hewing tools 8201.40.90 Other 8201.50.00 Secateurs and similar one-handed pruners and shears (including poultry shears) 8201.60.10 Pruning shears 8201.60.90 Other 8201.90.10 Post-hole diggers; Pruning hooks 8201.90.21 Forks: Forged, for use in the manufacture of pronged forks 8201.90.29 Forks: Other 8201.90.91 Other: Heads for use in the manufacture or production of other hand tools of a kind used in agriculture, horticulture or forestry 8201.90.99 Other:</w:t>
      </w:r>
    </w:p>
    <w:p>
      <w:pPr>
        <w:pStyle w:val="Normal"/>
        <w:widowControl/>
        <w:spacing w:before="0" w:after="160"/>
        <w:rPr/>
      </w:pPr>
      <w:r>
        <w:rPr/>
        <w:t>Other</w:t>
      </w:r>
    </w:p>
    <w:tbl>
      <w:tblPr>
        <w:tblStyle w:val="TableGrid"/>
        <w:tblW w:w="9360" w:type="dxa"/>
        <w:jc w:val="center"/>
        <w:tblInd w:w="-28" w:type="dxa"/>
        <w:tblLayout w:type="autofit"/>
        <w:tblCellMar>
          <w:top w:w="60" w:type="dxa"/>
          <w:left w:w="80" w:type="dxa"/>
          <w:bottom w:w="60" w:type="dxa"/>
          <w:right w:w="80" w:type="dxa"/>
        </w:tblCellMar>
        <w:tblLook w:val="04a0" w:noHBand="0" w:noVBand="1" w:firstColumn="1" w:lastRow="0" w:lastColumn="0" w:firstRow="1"/>
      </w:tblPr>
      <w:tblGrid>
        <w:gridCol w:w="4680"/>
        <w:gridCol w:w="4679"/>
      </w:tblGrid>
      <w:tr>
        <w:trPr>
          <w:tblHeader w:val="true"/>
          <w:cantSplit w:val="true"/>
          <w:tblHeader w:val="true"/>
        </w:trPr>
        <w:tc>
          <w:tcPr>
            <w:tcW w:w="4680" w:type="dxa"/>
            <w:tcBorders/>
            <w:vAlign w:val="center"/>
            <w:shd w:fill="233746"/>
          </w:tcPr>
          <w:p>
            <w:pPr>
              <w:pStyle w:val="Normal"/>
              <w:widowControl/>
              <w:suppressAutoHyphens w:val="true"/>
              <w:spacing w:lineRule="auto" w:line="240" w:before="0" w:after="0"/>
              <w:jc w:val="left"/>
              <w:rPr>
                <w:rFonts w:cs=""/>
                <w:kern w:val="0"/>
                <w:szCs w:val="22"/>
                <w:lang w:val="en-US" w:eastAsia="en-US" w:bidi="ar-SA"/>
              </w:rPr>
            </w:pPr>
            <w:r>
              <w:rPr>
                <w:rFonts w:cs="" w:ascii="Arial" w:hAnsi="Arial"/>
                <w:b/>
                <w:color w:val="FFFFFF"/>
                <w:kern w:val="0"/>
                <w:sz w:val="17"/>
                <w:szCs w:val="22"/>
                <w:lang w:val="en-US" w:eastAsia="en-US" w:bidi="ar-SA"/>
              </w:rPr>
              <w:t>Tariff Item</w:t>
            </w:r>
          </w:p>
        </w:tc>
        <w:tc>
          <w:tcPr>
            <w:tcW w:w="4679" w:type="dxa"/>
            <w:tcBorders/>
            <w:vAlign w:val="center"/>
            <w:shd w:fill="233746"/>
          </w:tcPr>
          <w:p>
            <w:pPr>
              <w:pStyle w:val="Normal"/>
              <w:widowControl/>
              <w:suppressAutoHyphens w:val="true"/>
              <w:spacing w:lineRule="auto" w:line="240" w:before="0" w:after="0"/>
              <w:jc w:val="left"/>
              <w:rPr>
                <w:rFonts w:cs=""/>
                <w:kern w:val="0"/>
                <w:szCs w:val="22"/>
                <w:lang w:val="en-US" w:eastAsia="en-US" w:bidi="ar-SA"/>
              </w:rPr>
            </w:pPr>
            <w:r>
              <w:rPr>
                <w:rFonts w:cs="" w:ascii="Arial" w:hAnsi="Arial"/>
                <w:b/>
                <w:color w:val="FFFFFF"/>
                <w:kern w:val="0"/>
                <w:sz w:val="17"/>
                <w:szCs w:val="22"/>
                <w:lang w:val="en-US" w:eastAsia="en-US" w:bidi="ar-SA"/>
              </w:rPr>
              <w:t>Description</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8202.10.00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Hand saws</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8202.20.00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Band saw blades</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8202.31.00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With working part of steel</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8202.39.00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Other, including parts</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8202.40.00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Chain saw blades</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8202.91.00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Straight saw blades, for working metal</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8202.99.00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Other</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8203.10.00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Files, rasps and similar tools</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8203.20.00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Pliers (including cutting pliers), pincers, tweezers and similar tools</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8203.30.10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Shears</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8203.30.90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Other</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8203.40.00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Pipe-cutters, bolt croppers, perforating punches and similar tools</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8204.11.00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Non-adjustable</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8204.12.00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Adjustable</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8204.20.00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Interchangeable spanner sockets, with or without handles</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8205.10.10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Die stocks</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8205.10.90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Other</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8205.20.10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For climbing or mountaineering;</w:t>
            </w:r>
          </w:p>
        </w:tc>
      </w:tr>
    </w:tbl>
    <w:p>
      <w:pPr>
        <w:pStyle w:val="Normal"/>
        <w:widowControl/>
        <w:spacing w:before="160" w:after="120"/>
        <w:rPr/>
      </w:pPr>
      <w:r>
        <w:rPr/>
        <w:t>Heads for use in the manufacture or production of hammers and sledge hammers 8205.20.90 Other 8205.30.00 Planes, chisels, gouges and similar cutting tools for working wood 8205.40.00 Screwdrivers 8205.51.10 Portable butane hair curlers 8205.51.90 Other 8205.59.10 For climbing or mountaineering; Heads for use in the manufacture or production of other hand tools; Livestock branding irons 8205.59.20 Stapling or tacking guns, and hammer tackers not operated by an independent hammer 8205.59.90 Other 8205.60.00 Blow lamps 8205.70.10 Clamps for use with the following surgical, dental, veterinary or diagnostic articles: Instruments; Sterilizers; Cobalt therapy units; Anaesthesia, surgical suction or oxygen administering apparatus 8205.70.20 Precision clamps and vices, for toolmakers, machinists or metal workers 8205.70.90 Other 8205.90.10 Anvils; portable forges; hand or pedal-operated grinding wheels with frameworks 8205.90.90 Other 8206.00.00 Tools of two or more of the headings 82.02 to 82.05, put up in sets for retail sale.</w:t>
      </w:r>
    </w:p>
    <w:p>
      <w:pPr>
        <w:pStyle w:val="Normal"/>
        <w:widowControl/>
        <w:rPr/>
      </w:pPr>
      <w:r>
        <w:rPr/>
        <w:t>8207.13.00 With working part of cermets 8207.19.00 Other, including parts 8207.20.00 Dies for drawing or extruding metal 8207.30.00 Tools for pressing, stamping or punching 8207.40.00 Tools for tapping or threading 8207.50.00 Tools for drilling, other than for rock drilling 8207.60.00 Tools for boring or broaching 8207.70.00 Tools for milling 8207.80.00 Tools for turning 8207.90.10 Ball points, bushing bits, chisels, clay spades, front spades, drivers (for pipes, pins and spikes) and star drills, for portable power tools; Cutting tools, carbide tipped, for wood working; Nozzles for vacuum cleaners 8207.90.90 Other 8208.10.00 For metal working 8208.20.00 For wood working 8208.30.00 For kitchen appliances or for machines used by the food industry 8208.40.00 For agricultural, horticultural or forestry machines 8208.90.00 Other 8209.00.00 Plates, sticks, tips and the like for tools, unmounted, of cermets.</w:t>
      </w:r>
    </w:p>
    <w:p>
      <w:pPr>
        <w:pStyle w:val="Normal"/>
        <w:widowControl/>
        <w:rPr/>
      </w:pPr>
      <w:r>
        <w:rPr/>
        <w:t>8210.00.10 Grape crushers for domestic purposes 8210.00.90 Other 8211.10.10 Table cutlery 8211.10.90 Other 8211.91.10 Carving knives 8211.91.90 Other 8211.92.00 Other knives having fixed blades 8211.93.00 Knives having other than fixed blades 8211.94.10 Blanks, of stainless steel, to specification AISI 430 or AISI 300 series, of a thickness of 1.78 mm or more, not further manufactured than stamped to shape, for use in the manufacture of flatware; Forged, including blanks of stainless steel, not further manufactured than wet ground, for use in the manufacture of table knives 8211.94.90 Other 8211.95.11 Of table knives having fixed blades: Of carving knives 8211.95.12 Of table knives having fixed blades: Hollow stainless steel handles, further manufactured than welded, of table knives other than carving knives 8211.95.13 Of table knives having fixed blades: Hollow stainless steel knife handles, not further manufactured than welded, for use in the manufacture of table knives 8211.95.19 Of table knives having fixed blades:</w:t>
      </w:r>
    </w:p>
    <w:p>
      <w:pPr>
        <w:pStyle w:val="Normal"/>
        <w:widowControl/>
        <w:spacing w:before="0" w:after="160"/>
        <w:rPr/>
      </w:pPr>
      <w:r>
        <w:rPr/>
        <w:t>Other</w:t>
      </w:r>
    </w:p>
    <w:tbl>
      <w:tblPr>
        <w:tblStyle w:val="TableGrid"/>
        <w:tblW w:w="9360" w:type="dxa"/>
        <w:jc w:val="center"/>
        <w:tblInd w:w="-28" w:type="dxa"/>
        <w:tblLayout w:type="autofit"/>
        <w:tblCellMar>
          <w:top w:w="60" w:type="dxa"/>
          <w:left w:w="80" w:type="dxa"/>
          <w:bottom w:w="60" w:type="dxa"/>
          <w:right w:w="80" w:type="dxa"/>
        </w:tblCellMar>
        <w:tblLook w:val="04a0" w:noHBand="0" w:noVBand="1" w:firstColumn="1" w:lastRow="0" w:lastColumn="0" w:firstRow="1"/>
      </w:tblPr>
      <w:tblGrid>
        <w:gridCol w:w="4680"/>
        <w:gridCol w:w="4679"/>
      </w:tblGrid>
      <w:tr>
        <w:trPr>
          <w:tblHeader w:val="true"/>
          <w:cantSplit w:val="true"/>
          <w:tblHeader w:val="true"/>
        </w:trPr>
        <w:tc>
          <w:tcPr>
            <w:tcW w:w="4680" w:type="dxa"/>
            <w:tcBorders/>
            <w:vAlign w:val="center"/>
            <w:shd w:fill="233746"/>
          </w:tcPr>
          <w:p>
            <w:pPr>
              <w:pStyle w:val="Normal"/>
              <w:widowControl/>
              <w:suppressAutoHyphens w:val="true"/>
              <w:spacing w:lineRule="auto" w:line="240" w:before="0" w:after="0"/>
              <w:jc w:val="left"/>
              <w:rPr>
                <w:rFonts w:cs=""/>
                <w:kern w:val="0"/>
                <w:szCs w:val="22"/>
                <w:lang w:val="en-US" w:eastAsia="en-US" w:bidi="ar-SA"/>
              </w:rPr>
            </w:pPr>
            <w:r>
              <w:rPr>
                <w:rFonts w:cs="" w:ascii="Arial" w:hAnsi="Arial"/>
                <w:b/>
                <w:color w:val="FFFFFF"/>
                <w:kern w:val="0"/>
                <w:sz w:val="17"/>
                <w:szCs w:val="22"/>
                <w:lang w:val="en-US" w:eastAsia="en-US" w:bidi="ar-SA"/>
              </w:rPr>
              <w:t>Tariff Item</w:t>
            </w:r>
          </w:p>
        </w:tc>
        <w:tc>
          <w:tcPr>
            <w:tcW w:w="4679" w:type="dxa"/>
            <w:tcBorders/>
            <w:vAlign w:val="center"/>
            <w:shd w:fill="233746"/>
          </w:tcPr>
          <w:p>
            <w:pPr>
              <w:pStyle w:val="Normal"/>
              <w:widowControl/>
              <w:suppressAutoHyphens w:val="true"/>
              <w:spacing w:lineRule="auto" w:line="240" w:before="0" w:after="0"/>
              <w:jc w:val="left"/>
              <w:rPr>
                <w:rFonts w:cs=""/>
                <w:kern w:val="0"/>
                <w:szCs w:val="22"/>
                <w:lang w:val="en-US" w:eastAsia="en-US" w:bidi="ar-SA"/>
              </w:rPr>
            </w:pPr>
            <w:r>
              <w:rPr>
                <w:rFonts w:cs="" w:ascii="Arial" w:hAnsi="Arial"/>
                <w:b/>
                <w:color w:val="FFFFFF"/>
                <w:kern w:val="0"/>
                <w:sz w:val="17"/>
                <w:szCs w:val="22"/>
                <w:lang w:val="en-US" w:eastAsia="en-US" w:bidi="ar-SA"/>
              </w:rPr>
              <w:t>Description</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8211.95.20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Of other knives having fixed blades</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8211.95.30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Of knives having other than fixed blades</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8212.10.00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Razors</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8212.20.00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Safety razor blades, including razor blade blanks in strips</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8212.90.00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Other parts</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8213.00.10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Scissors and shears</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8213.00.20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Blanks</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8213.00.30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Blades</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8214.10.00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Paper knives, letter openers, erasing knives, pencil sharpeners and blades therefor</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8214.20.00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Manicure or pedicure sets and instruments (including nail files)</w:t>
            </w:r>
          </w:p>
        </w:tc>
      </w:tr>
    </w:tbl>
    <w:p>
      <w:pPr>
        <w:pStyle w:val="Normal"/>
        <w:widowControl/>
        <w:spacing w:before="160" w:after="120"/>
        <w:rPr/>
      </w:pPr>
      <w:r>
        <w:rPr/>
        <w:t>8214.90.10 Clippers for animals, for use on the farm 8214.90.90 Other 8215.10.10 Containing spoons, knives and forks, of a kind used at the table 8215.10.90 Other 8215.20.10 Containing spoons, knives and forks, of a kind used at the table 8215.20.90 Other 8215.91.10 Spoons or forks, of a kind used at the table 8215.91.90 Other 8215.99.10 Spoons or forks, of a kind used at the table 8215.99.20 Spoon blanks and table forks in the rough 8215.99.90 Other 8301.10.00 Padlocks 8301.20.00 Locks of a kind used for motor vehicles 8301.30.00 Locks of a kind used for furniture 8301.40.10 For use in the manufacture of portfolios, luggage or tackle boxes 8301.40.20 Key-operated security locks for use in the manufacture of casement or awning windows 8301.40.90 Other 8301.50.00 Clasps and frames with clasps, incorporating locks 8301.60.00 Parts 8301.70.10 To be employed as original equipment in the manufacture of passenger automobiles, trucks or buses 8301.70.90 Other 8302.10.00 Hinges 8302.20.00 Castors 8302.30.10 Brackets or clamps for use in the manufacture of aftermarket gas tanks and radiators for motor vehicles;</w:t>
      </w:r>
    </w:p>
    <w:p>
      <w:pPr>
        <w:pStyle w:val="Normal"/>
        <w:widowControl/>
        <w:rPr/>
      </w:pPr>
      <w:r>
        <w:rPr/>
        <w:t>Brackets or clamps of steel for use in the manufacture of hose assemblies for brake and steering systems for motorcycles or all- terrain vehicles; For use in the manufacture of fire fighting vehicles 8302.30.90 Other 8302.41.10 Bar or rod type door exit devices, for commercial, institutional or industrial applications; For use in the manufacture or repair of rotary gear window</w:t>
      </w:r>
    </w:p>
    <w:p>
      <w:pPr>
        <w:pStyle w:val="Normal"/>
        <w:widowControl/>
        <w:rPr/>
      </w:pPr>
      <w:r>
        <w:rPr/>
        <w:t>operators; Rotary gear window operators; Snub-guides, lever-lock operators, torsion bars and centre hooks for lever-lock or rotary gear window operators, sash locks (excluding peg locks) and keepers for key-operated security locks or sash locks (excluding peg-locks), for use in the manufacture of casement or awning windows 8302.41.90 Other 8302.42.00 Other, suitable for furniture 8302.49.00 Other 8302.50.00 Hat-racks, hat-pegs, brackets and similar fixtures 8302.60.10 Hydraulic; Other, for use in the manufacture of railway or tramway passenger coaches 8302.60.90 Other 8303.00.00 Armoured or reinforced safes, strong-boxes and doors and safe deposit lockers for strong-rooms, cash or deed boxes and the like, of base metal. 8304.00.00 Filing cabinets, card-index cabinets, paper trays, paper rests, pen trays, office-stamp stands and similar office or desk equipment, of base metal, other than office furniture of heading 94.03.</w:t>
      </w:r>
    </w:p>
    <w:p>
      <w:pPr>
        <w:pStyle w:val="Normal"/>
        <w:widowControl/>
        <w:rPr/>
      </w:pPr>
      <w:r>
        <w:rPr/>
        <w:t>8305.10.10 For use in the manufacture of multiple ring binders 8305.10.90 Other 8305.20.00 Staples in strips 8305.90.00 Other, including parts 8306.10.10 Church bells 8306.10.90 Other 8306.21.00 Plated with precious metal 8306.29.00 Other 8306.30.00 Photograph, picture or similar frames; mirrors 8307.10.00 Of iron or steel 8307.90.00 Of other base metal 8308.10.00 Hooks, eyes and eyelets 8308.20.00 Tubular or bifurcated rivets 8308.90.00 Other, including parts 8309.10.00 Crown corks 8309.90.00 Other 8310.00.00 Sign-plates, name-plates, address-plates and similar plates, numbers, letters and other symbols, of base metal, excluding those of heading 94.05. 8311.10.00 Coated electrodes of base metal, for electric arc-welding 8311.20.00 Cored wire of base metal, for electric arc-welding 8311.30.00 Coated rods and cored wire, of base metal, for soldering, brazing or welding by flame 8311.90.00 Other 8401.10.00 Nuclear reactors 8401.20.00 Machinery and apparatus for isotopic separation, and parts thereof 8401.30.00 Fuel elements (cartridges), non-irradiated 8401.40.00 Parts of nuclear reactors 8402.11.00 Watertube boilers with a steam production exceeding 45 tonnes per hour 8402.12.00 Watertube boilers with a steam production not exceeding 45 tonnes per hour 8402.19.00 Other vapour generating boilers, including hybrid boilers 8402.20.00 Super-heated water boilers 8402.90.00 Parts 8403.10.00 Boilers 8403.90.00 Parts 8404.10.00 Auxiliary plant for use with boilers of heading 84.02</w:t>
      </w:r>
    </w:p>
    <w:p>
      <w:pPr>
        <w:pStyle w:val="Normal"/>
        <w:widowControl/>
        <w:rPr/>
      </w:pPr>
      <w:r>
        <w:rPr/>
        <w:t>or 84.03 8404.20.00 Condensers for steam or other vapour power units 8404.90.00 Parts 8405.10.00 Producer gas or water gas generators, with or without their purifiers; acetylene gas generators and similar water process gas generators, with or without their purifiers 8405.90.00 Parts 8406.10.00 Turbines for marine propulsion 8406.81.00 Of an output exceeding 40 MW 8406.82.00 Of an output of not exceeding 40 MW 8406.90.10 Blade diaphragms, spindle discs and shafts, wholly or in chief part of metal, for the repair or remanufacture of steam turbines or parts thereof; Electro-mechanical speed regulators and parts thereof, for steam turbines 8406.90.21 Other parts of the goods of tariff item No. 8406.10.00: Rotors, not further advanced than cleaned or machined for removal of fins, gates, sprues or risers, or to permit location in finishing machinery 8406.90.22 Other parts of the goods of tariff item No. 8406.10.00: Rotors, finished for final assembly 8406.90.23 Other parts of the goods of tariff item No. 8406.10.00: Blades, rotating or stationary 8406.90.29 Other parts of the goods of tariff item No. 8406.10.00: Other 8406.90.31 Other parts of the goods of tariff item No.</w:t>
      </w:r>
    </w:p>
    <w:p>
      <w:pPr>
        <w:pStyle w:val="Normal"/>
        <w:widowControl/>
        <w:rPr/>
      </w:pPr>
      <w:r>
        <w:rPr/>
        <w:t>8406.81.00 or 8406.82.00: Rotors, not further advanced than cleaned or machined for removal of fins, gates, sprues or risers, or to permit location in finishing machinery, wholly or in chief part of metal, for the repair or remanufacture of steam turbines or parts thereof 8406.90.32 Other parts of the goods of tariff item No. 8406.81.00 or 8406.82.00: Other rotors, not further advanced than cleaned or machined for removal of fins, gates, sprues or risers, or to permit location in finishing machinery 8406.90.33 Other parts of the goods of tariff item No. 8406.81.00 or 8406.82.00: Rotors, finished for final assembly, wholly or in chief part of metal, for the repair or remanufacture of steam turbines or parts thereof 8406.90.34 Other parts of the goods of tariff item No. 8406.81.00 or 8406.82.00: Other rotors, finished for final assembly 8406.90.35 Other parts of the goods of tariff item No. 8406.81.00 or 8406.82.00: Other rotors, wholly or in chief part of metal, for the repair or remanufacture of steam turbines or parts thereof 8406.90.36 Other parts of the goods of tariff item No.</w:t>
      </w:r>
    </w:p>
    <w:p>
      <w:pPr>
        <w:pStyle w:val="Normal"/>
        <w:widowControl/>
        <w:rPr/>
      </w:pPr>
      <w:r>
        <w:rPr/>
        <w:t>8406.81.00 or 8406.82.00: Blades, rotating or stationary, wholly or chief part of metal, for the repair or remanufacture of steam turbines or parts thereof 8406.90.37 Other parts of the goods of tariff item No. 8406.81.00 or 8406.82.00: Other blades, rotating or stationary 8406.90.39 Other parts of the goods of tariff item No.</w:t>
      </w:r>
    </w:p>
    <w:p>
      <w:pPr>
        <w:pStyle w:val="Normal"/>
        <w:widowControl/>
        <w:rPr/>
      </w:pPr>
      <w:r>
        <w:rPr/>
        <w:t>8406.81.00 or 8406.82.00: Other 8407.10.00 Aircraft engines 8407.21.00 Outboard motors 8407.29.10 Inboard-outboard engines 8407.29.20 Inboard engines 8407.31.00 Of a cylinder capacity not exceeding 50 cc 8407.32.00 Of a cylinder capacity exceeding 50 cc but not exceeding 250 cc 8407.33.00 Of a cylinder capacity exceeding 250 cc but not exceeding 1,000 cc 8407.34.10 Of a cylinder capacity not exceeding 2,000 cc 8407.34.21 Of a cylinder capacity exceeding 2,000 cc: For use in the repair of road tractors for semi-trailers, motor vehicles for the transport of ten or more persons (including the driver), ambulances, hearses, motor vehicles for the transport of goods, fire fighting vehicles, or chassis for the foregoing vehicles, or for use in the manufacture of repair parts therefor 8407.34.29 Of a cylinder capacity exceeding 2,000 cc:</w:t>
      </w:r>
    </w:p>
    <w:p>
      <w:pPr>
        <w:pStyle w:val="Normal"/>
        <w:widowControl/>
        <w:rPr/>
      </w:pPr>
      <w:r>
        <w:rPr/>
        <w:t>Other 8407.90.00 Other engines 8408.10.00 Marine propulsion engines 8408.20.00 Engines of a kind used for the propulsion of vehicles of Chapter 8408.90.00 Other engines 8409.10.00 For aircraft engines 8409.91.00 Suitable for use solely or principally with spark-ignition internal combustion piston engines 8409.99.00 Other 8410.11.10 Hydraulic turbines 8410.11.20 Water wheels 8410.12.10 Hydraulic turbines 8410.12.20 Water wheels 8410.13.10 Hydraulic turbines 8410.13.20 Water wheels 8410.90.10 Electro-mechanical speed regulators, and parts thereof, for hydraulic turbines; Stay rings, turbine shafts, runner parts, bottom rings, wicket gates and head</w:t>
      </w:r>
    </w:p>
    <w:p>
      <w:pPr>
        <w:pStyle w:val="Normal"/>
        <w:widowControl/>
        <w:rPr/>
      </w:pPr>
      <w:r>
        <w:rPr/>
        <w:t>covers, for use in the manufacture of hydraulic turbines of a power exceeding 100 MW 8410.90.20 Other parts of hydraulic turbines 8410.90.30 Parts of water wheels 8411.11.00 Of a thrust not exceeding 25 kN 8411.12.00 Of a thrust exceeding 25 kN 8411.21.00 Of a power not exceeding 1,100 kW 8411.22.00 Of a power exceeding 1,100 kW 8411.81.00 Of a power not exceeding 5,000 kW 8411.82.10 Of a power exceeding 44,742 kW, to be employed in the exploration, discovery, development, maintenance, testing, depletion or production of water, oil or natural gas wells, in mining or quarrying, or in the distillation or recovery of products from natural gas; Of a power of 12,682 kW or more but not exceeding 14,547 kW, for use in the manufacture of compressor sets 8411.82.20 For use in the manufacture of generator sets;</w:t>
      </w:r>
    </w:p>
    <w:p>
      <w:pPr>
        <w:pStyle w:val="Normal"/>
        <w:widowControl/>
        <w:rPr/>
      </w:pPr>
      <w:r>
        <w:rPr/>
        <w:t>Of a power of less than 12,682 kW or exceeding 14,547 kW but not exceeding 20,000 kW, for use in the manufacture of compressor sets 8411.82.90 Other 8411.91.00 Of turbo-jets or turbo-propellers 8411.99.00 Other 8412.10.00 Reaction engines other than turbo-jets 8412.21.00 Linear acting (cylinders) 8412.29.00 Other 8412.31.00 Linear acting (cylinders) 8412.39.00 Other 8412.80.00 Other 8412.90.00 Parts 8413.11.10 For dispensing gasoline, diesel fuel, liquid natural gas or liquid propane 8413.11.90 Other 8413.19.10 For dispensing fuel oil; Skid-mounted pumps for dispensing fuel for helicopters 8413.19.90 Other 8413.20.00 Hand pumps, other than those of subheading 8413.11 or 8413.19</w:t>
      </w:r>
    </w:p>
    <w:p>
      <w:pPr>
        <w:pStyle w:val="Normal"/>
        <w:widowControl/>
        <w:rPr/>
      </w:pPr>
      <w:r>
        <w:rPr/>
        <w:t>8413.30.00 Fuel, lubricating or cooling medium pumps for internal combustion piston engines 8413.40.00 Concrete pumps 8413.50.00 Other reciprocating positive displacement pumps 8413.60.00 Other rotary positive displacement pumps 8413.70.10 Battery operated, for recreational vehicles and boats; Canned rotor; De-foaming type; Drinking fountain; For food, pharmaceutical or similar applications; For swimming pools; Heat transfer, oil type; Magnetic drive chemical; Milk; Molten metal; Multi-stage single suction, with head over 5,516 kPa; Of a power not exceeding 250 kW, for pulp manufacturing; Portable, engine type, capable of producing a minimum pressure boost of 1,034 kPa, maintaining a flow rate exceeding 700 l/m at that pressure; Solar powered; Submersible slurry, agitator type; Transformer oil circulation pumps; Vertical slurry, of cantilever shaft design, having a pump discharge flange size of a diameter of 50.8 cm or more, for track- laying machines to be employed in mining, recovering and producing crude oil from shales, oil-sands or tar-sands; With speed variators, for the wine and juice making industries 8413.70.91 Other: Submersible pumps 8413.70.99 Other:</w:t>
      </w:r>
    </w:p>
    <w:p>
      <w:pPr>
        <w:pStyle w:val="Normal"/>
        <w:widowControl/>
        <w:spacing w:before="0" w:after="160"/>
        <w:rPr/>
      </w:pPr>
      <w:r>
        <w:rPr/>
        <w:t>Other</w:t>
      </w:r>
    </w:p>
    <w:tbl>
      <w:tblPr>
        <w:tblStyle w:val="TableGrid"/>
        <w:tblW w:w="9360" w:type="dxa"/>
        <w:jc w:val="center"/>
        <w:tblInd w:w="-28" w:type="dxa"/>
        <w:tblLayout w:type="autofit"/>
        <w:tblCellMar>
          <w:top w:w="60" w:type="dxa"/>
          <w:left w:w="80" w:type="dxa"/>
          <w:bottom w:w="60" w:type="dxa"/>
          <w:right w:w="80" w:type="dxa"/>
        </w:tblCellMar>
        <w:tblLook w:val="04a0" w:noHBand="0" w:noVBand="1" w:firstColumn="1" w:lastRow="0" w:lastColumn="0" w:firstRow="1"/>
      </w:tblPr>
      <w:tblGrid>
        <w:gridCol w:w="4680"/>
        <w:gridCol w:w="4679"/>
      </w:tblGrid>
      <w:tr>
        <w:trPr>
          <w:tblHeader w:val="true"/>
          <w:cantSplit w:val="true"/>
          <w:tblHeader w:val="true"/>
        </w:trPr>
        <w:tc>
          <w:tcPr>
            <w:tcW w:w="4680" w:type="dxa"/>
            <w:tcBorders/>
            <w:vAlign w:val="center"/>
            <w:shd w:fill="233746"/>
          </w:tcPr>
          <w:p>
            <w:pPr>
              <w:pStyle w:val="Normal"/>
              <w:widowControl/>
              <w:suppressAutoHyphens w:val="true"/>
              <w:spacing w:lineRule="auto" w:line="240" w:before="0" w:after="0"/>
              <w:jc w:val="left"/>
              <w:rPr>
                <w:rFonts w:cs=""/>
                <w:kern w:val="0"/>
                <w:szCs w:val="22"/>
                <w:lang w:val="en-US" w:eastAsia="en-US" w:bidi="ar-SA"/>
              </w:rPr>
            </w:pPr>
            <w:r>
              <w:rPr>
                <w:rFonts w:cs="" w:ascii="Arial" w:hAnsi="Arial"/>
                <w:b/>
                <w:color w:val="FFFFFF"/>
                <w:kern w:val="0"/>
                <w:sz w:val="17"/>
                <w:szCs w:val="22"/>
                <w:lang w:val="en-US" w:eastAsia="en-US" w:bidi="ar-SA"/>
              </w:rPr>
              <w:t>Tariff Item</w:t>
            </w:r>
          </w:p>
        </w:tc>
        <w:tc>
          <w:tcPr>
            <w:tcW w:w="4679" w:type="dxa"/>
            <w:tcBorders/>
            <w:vAlign w:val="center"/>
            <w:shd w:fill="233746"/>
          </w:tcPr>
          <w:p>
            <w:pPr>
              <w:pStyle w:val="Normal"/>
              <w:widowControl/>
              <w:suppressAutoHyphens w:val="true"/>
              <w:spacing w:lineRule="auto" w:line="240" w:before="0" w:after="0"/>
              <w:jc w:val="left"/>
              <w:rPr>
                <w:rFonts w:cs=""/>
                <w:kern w:val="0"/>
                <w:szCs w:val="22"/>
                <w:lang w:val="en-US" w:eastAsia="en-US" w:bidi="ar-SA"/>
              </w:rPr>
            </w:pPr>
            <w:r>
              <w:rPr>
                <w:rFonts w:cs="" w:ascii="Arial" w:hAnsi="Arial"/>
                <w:b/>
                <w:color w:val="FFFFFF"/>
                <w:kern w:val="0"/>
                <w:sz w:val="17"/>
                <w:szCs w:val="22"/>
                <w:lang w:val="en-US" w:eastAsia="en-US" w:bidi="ar-SA"/>
              </w:rPr>
              <w:t>Description</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8413.81.00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Pumps</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8413.82.00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Liquid elevators</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8413.91.00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Of pumps</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8413.92.00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Of liquid elevators</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8414.10.00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Vacuum pumps</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8414.20.00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Hand- or foot-operated air pumps</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8414.30.00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Compressors of a kind used in refrigerating equipment</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8414.40.00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Air compressors mounted on a wheeled chassis for towing</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8414.51.10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r>
          </w:p>
        </w:tc>
      </w:tr>
    </w:tbl>
    <w:p>
      <w:pPr>
        <w:pStyle w:val="Normal"/>
        <w:widowControl/>
        <w:spacing w:before="160" w:after="120"/>
        <w:rPr/>
      </w:pPr>
      <w:r>
        <w:rPr/>
        <w:t>Personal fans, mains powered; Table fans, single or variable speed, oscillating 8414.51.90 Other 8414.59.00 Other 8414.60.00 Hoods having a maximum horizontal side not exceeding 120 cm 8414.80.10 Turbochargers and superchargers for use in motor vehicles of Chapter 87 8414.80.90 Other 8414.90.10 Stators and rotors for compressors for use in refrigerating equipment 8414.90.90 Other 8415.10.00 Of a kind designed to be fixed to a window, wall, ceiling or floor, self-contained or “split-system” 8415.20.00 Of a kind used for persons, in motor vehicles 8415.81.10 The following, excluding mini-split heat pumps and air conditioner units: Single packaged or split-system, of a heat transfer capacity not exceeding 15.8 kW (53,900 BTU per hour); Water source, vertical, horizontal and console types, of a heat transfer capacity not exceeding 34.8 kW (118,700 BTU per hour) 8415.81.90 Other 8415.82.10 Domestic heat pumps and air conditioners, ductless split-systems; Portable type, of a weight not exceeding 25 kg and of a heat transfer capacity not exceeding 1.8 kW (6,000 BTU per hour); Truck heater/air conditioners 8415.82.91 Other: Central station air handlers;</w:t>
      </w:r>
    </w:p>
    <w:p>
      <w:pPr>
        <w:pStyle w:val="Normal"/>
        <w:widowControl/>
        <w:rPr/>
      </w:pPr>
      <w:r>
        <w:rPr/>
        <w:t>Combination terminal units, water source or air to air, of a heat transfer capacity not exceeding 5.8 kW (19,800 BTU per hour); Fan coil units; For off-highway vehicles; For humidity and dust sensitive areas, of a heat transfer capacity not exceeding 71.1 kW (242,700 BTU per hour); Single packaged, combination, of a heat transfer</w:t>
      </w:r>
    </w:p>
    <w:p>
      <w:pPr>
        <w:pStyle w:val="Normal"/>
        <w:widowControl/>
        <w:rPr/>
      </w:pPr>
      <w:r>
        <w:rPr/>
        <w:t>capacity not exceeding 15.8 kW (53,900 BTU per hour); Split-system, of a heat transfer capacity not exceeding 47.4 kW (161,800 per hour); Water source, of a heat transfer capacity not exceeding 34.8 kW (118,700 BTU per hour) 8415.82.99 Other: Other 8415.83.00 Not incorporating a refrigerating unit 8415.90.11 Of the goods of tariff item No. 8415.10.00, 8415.20.00, 8415.81.90, 8415.82.10, 8415.82.99 or 8415.83.00: Chassis, chassis bases or outer cabinets 8415.90.19 Of the goods of tariff item No. 8415.10.00, 8415.20.00, 8415.81.90, 8415.82.10, 8415.82.99 or 8415.83.00: Other 8415.90.21 Of the goods of tariff item No. 8415.20.00, 8415.81.10, 8415.82.91 or 8415.83.00: Chassis, chassis bases or outer cabinets for use in the manufacture of the goods of these tariff items 8415.90.22 Of the goods of tariff item No. 8415.20.00, 8415.81.10, 8415.82.91 or 8415.83.00: Other chassis, chassis bases or outer cabinets 8415.90.23 Of the goods of tariff item No. 8415.20.00, 8415.81.10, 8415.82.91 or 8415.83.00: Other parts for use in the manufacture of the goods of these tariff items 8415.90.29 Of the goods of tariff item No.</w:t>
      </w:r>
    </w:p>
    <w:p>
      <w:pPr>
        <w:pStyle w:val="Normal"/>
        <w:widowControl/>
        <w:rPr/>
      </w:pPr>
      <w:r>
        <w:rPr/>
        <w:t>8415.20.00, 8415.81.10, 8415.82.91 or 8415.83.00: Other 8416.10.00 Furnace burners for liquid fuel 8416.20.00 Other furnace burners, including combination burners 8416.30.00 Mechanical stokers, including their mechanical grates, mechanical ash dischargers and similar appliances 8416.90.00 Parts 8417.10.00 Furnaces and ovens for the roasting, melting or other heat- treatment of ores, pyrites or of metals 8417.20.00 Bakery ovens, including biscuit ovens 8417.80.00 Other 8417.90.00 Parts 8418.10.10 Absorption-type, combination gas and electric powered, designed for permanent installation in recreational vehicles and for use in the manufacture of such vehicles 8418.10.90 Other 8418.21.00 Compression-type 8418.29.00 Other 8418.30.10 Household type 8418.30.90 Other 8418.40.10 Blood bank type; Household type; With minimum temperature capability to -85°C at 30°C ambient 8418.40.90 Other 8418.50.10 Refrigerating or refrigerating-freezing type 8418.50.21 Freezing type: Display counter; Ice merchandisers; Reach-in frozen food and ice cream merchandisers, sliding, swing glass or solid door, with capacities not exceeding 2.3 m³ 8418.50.29 Freezing type: Other 8418.61.00 Heat pumps other than air conditioning machines of heading 84.15 8418.69.20 Commercial refrigerating installations (store type) 8418.69.90 Other 8418.91.10 For use in the manufacture of the goods of this heading; For the goods of tariff item No.</w:t>
      </w:r>
    </w:p>
    <w:p>
      <w:pPr>
        <w:pStyle w:val="Normal"/>
        <w:widowControl/>
        <w:rPr/>
      </w:pPr>
      <w:r>
        <w:rPr/>
        <w:t>8418.10.10, 8418.10.90, 8418.21.00, 8418.29.00, 8418.30.10, 8418.30.90, 8418.40.10, 8418.40.90, 8418.50.10, 8418.50.29, 8418.61.00, 8418.69.20 or 8418.69.90 8418.91.20 For the goods of tariff item No. 8418.50.21 8418.99.10 Door assemblies incorporating at least two of the following: inner panel, outer panel, insulation, hinges or handles 8418.99.90 Other 8419.11.00 Instantaneous gas water heaters 8419.19.00 Other 8419.20.00 Medical, surgical or laboratory sterilizers 8419.31.00 For agricultural products 8419.32.00 For wood, paper pulp, paper or paperboard 8419.39.00 Other 8419.40.00 Distilling or rectifying plant 8419.50.00 Heat exchange units 8419.60.00 Machinery for liquefying air or other gases 8419.81.00 For making hot drinks or for cooking or heating food 8419.89.00 Other 8419.90.00 Parts 8420.10.00 Calendering or other rolling machines 8420.91.00 Cylinders 8420.99.00 Other 8421.11.00 Cream separators 8421.12.00 Clothes-dryers 8421.19.00 Other 8421.21.00 For filtering or purifying water 8421.22.00 For filtering or purifying beverages other than water 8421.23.00 Oil or petrol-filters for internal combustion engines 8421.29.00 Other 8421.31.10 Air filters for use with the goods of tariff item No.</w:t>
      </w:r>
    </w:p>
    <w:p>
      <w:pPr>
        <w:pStyle w:val="Normal"/>
        <w:widowControl/>
        <w:rPr/>
      </w:pPr>
      <w:r>
        <w:rPr/>
        <w:t>9908.00.00; Air cleaners for use in the manufacture of asphalt pavers 8421.31.90 Other 8421.39.10 Air filter masks; Air filter systems for breathing apparatus; Air separators to be employed in the processing, smelting or refining of minerals, ores or metals; Air strippers; Class smoke evacuation cart systems; Dry cleaning solvent vapour absorbers; Filter breather systems for hydraulic reservoirs; Filters for breathing apparatus; Filtration booths, pharmaceutical preparation type; High efficiency particulate (hepa) air filters of an efficiency exceeding 99.5% (0.3 micron particulate size); High pressure air filters for air compressors; Industrial refrigerant strainers; Laundry lint filters; Sterilization cartridges; Suction line filter driers; Ultraviolet airborne disinfection systems; Y-strainers, basket strainers, duplex strainers, and automatic (self cleaning) strainers, made from plastic or having a body manufactured by a metal casting process 8421.39.20 Catalytic converters for the motor vehicles of Chapter 87 8421.39.90 Other 8421.91.10 Drying chambers for clothes-dryers and other parts of clothes- dryers incorporating drying chambers 8421.91.20 Furniture designed to receive clothes-dryers 8421.91.90 Other 8421.99.00 Other 8422.11.10 Counter-top, electric; Portable, of a width not exceeding 46 cm 8422.11.90 Other 8422.19.00 Other 8422.20.00 Machinery for cleaning or drying bottles or other containers 8422.30.00 Machinery for filling, closing, sealing, or labelling</w:t>
      </w:r>
    </w:p>
    <w:p>
      <w:pPr>
        <w:pStyle w:val="Normal"/>
        <w:widowControl/>
        <w:rPr/>
      </w:pPr>
      <w:r>
        <w:rPr/>
        <w:t>bottles, cans, boxes, bags or other containers; machinery for capsuling bottles, jars, tubes and similar containers; machinery for aerating beverages 8422.40.00 Other packing or wrapping machinery (including heat-shrink wrapping machinery) 8422.90.10 Water containment chambers and other parts incorporating water containment chambers, for dish washing machines of the household type 8422.90.20 Door assemblies for dish washing machines of the household type 8422.90.90 Other 8423.10.00 Personal weighing machines, including baby scales; household scales 8423.20.00 Scales for continuous weighing of goods on conveyors 8423.30.00 Constant weight scales and scales for discharging a predetermined weight of material into a bag or container, including hopper scales 8423.81.00 Having a maximum weighing capacity not exceeding 30 kg 8423.82.00 Having a maximum weighing capacity exceeding 30 kg but not exceeding 5,000 kg 8423.89.00 Other 8423.90.00 Weighing machine weights of all kinds;</w:t>
      </w:r>
    </w:p>
    <w:p>
      <w:pPr>
        <w:pStyle w:val="Normal"/>
        <w:widowControl/>
        <w:spacing w:before="0" w:after="160"/>
        <w:rPr/>
      </w:pPr>
      <w:r>
        <w:rPr/>
        <w:t>parts of weighing machinery</w:t>
      </w:r>
    </w:p>
    <w:tbl>
      <w:tblPr>
        <w:tblStyle w:val="TableGrid"/>
        <w:tblW w:w="9360" w:type="dxa"/>
        <w:jc w:val="center"/>
        <w:tblInd w:w="-28" w:type="dxa"/>
        <w:tblLayout w:type="autofit"/>
        <w:tblCellMar>
          <w:top w:w="60" w:type="dxa"/>
          <w:left w:w="80" w:type="dxa"/>
          <w:bottom w:w="60" w:type="dxa"/>
          <w:right w:w="80" w:type="dxa"/>
        </w:tblCellMar>
        <w:tblLook w:val="04a0" w:noHBand="0" w:noVBand="1" w:firstColumn="1" w:lastRow="0" w:lastColumn="0" w:firstRow="1"/>
      </w:tblPr>
      <w:tblGrid>
        <w:gridCol w:w="4680"/>
        <w:gridCol w:w="4679"/>
      </w:tblGrid>
      <w:tr>
        <w:trPr>
          <w:tblHeader w:val="true"/>
          <w:cantSplit w:val="true"/>
          <w:tblHeader w:val="true"/>
        </w:trPr>
        <w:tc>
          <w:tcPr>
            <w:tcW w:w="4680" w:type="dxa"/>
            <w:tcBorders/>
            <w:vAlign w:val="center"/>
            <w:shd w:fill="233746"/>
          </w:tcPr>
          <w:p>
            <w:pPr>
              <w:pStyle w:val="Normal"/>
              <w:widowControl/>
              <w:suppressAutoHyphens w:val="true"/>
              <w:spacing w:lineRule="auto" w:line="240" w:before="0" w:after="0"/>
              <w:jc w:val="left"/>
              <w:rPr>
                <w:rFonts w:cs=""/>
                <w:kern w:val="0"/>
                <w:szCs w:val="22"/>
                <w:lang w:val="en-US" w:eastAsia="en-US" w:bidi="ar-SA"/>
              </w:rPr>
            </w:pPr>
            <w:r>
              <w:rPr>
                <w:rFonts w:cs="" w:ascii="Arial" w:hAnsi="Arial"/>
                <w:b/>
                <w:color w:val="FFFFFF"/>
                <w:kern w:val="0"/>
                <w:sz w:val="17"/>
                <w:szCs w:val="22"/>
                <w:lang w:val="en-US" w:eastAsia="en-US" w:bidi="ar-SA"/>
              </w:rPr>
              <w:t>Tariff Item</w:t>
            </w:r>
          </w:p>
        </w:tc>
        <w:tc>
          <w:tcPr>
            <w:tcW w:w="4679" w:type="dxa"/>
            <w:tcBorders/>
            <w:vAlign w:val="center"/>
            <w:shd w:fill="233746"/>
          </w:tcPr>
          <w:p>
            <w:pPr>
              <w:pStyle w:val="Normal"/>
              <w:widowControl/>
              <w:suppressAutoHyphens w:val="true"/>
              <w:spacing w:lineRule="auto" w:line="240" w:before="0" w:after="0"/>
              <w:jc w:val="left"/>
              <w:rPr>
                <w:rFonts w:cs=""/>
                <w:kern w:val="0"/>
                <w:szCs w:val="22"/>
                <w:lang w:val="en-US" w:eastAsia="en-US" w:bidi="ar-SA"/>
              </w:rPr>
            </w:pPr>
            <w:r>
              <w:rPr>
                <w:rFonts w:cs="" w:ascii="Arial" w:hAnsi="Arial"/>
                <w:b/>
                <w:color w:val="FFFFFF"/>
                <w:kern w:val="0"/>
                <w:sz w:val="17"/>
                <w:szCs w:val="22"/>
                <w:lang w:val="en-US" w:eastAsia="en-US" w:bidi="ar-SA"/>
              </w:rPr>
              <w:t>Description</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8424.10.00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Fire extinguishers, whether or not charged</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8424.20.00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Spray guns and similar appliances</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8424.30.00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Steam or sand blasting machines and similar jet projecting machines</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8424.41.00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Portable sprayers</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8424.49.00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Other</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8424.82.00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Agricultural or horticultural</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8424.89.00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Other</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8424.90.00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Parts</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8425.11.00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Powered by electric motor</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8425.19.00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Other</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8425.31.00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Powered by electric motor</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8425.39.00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Other</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8425.41.00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Built-in jacking systems of a type used in garages</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8425.42.00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Other</w:t>
            </w:r>
          </w:p>
        </w:tc>
      </w:tr>
    </w:tbl>
    <w:p>
      <w:pPr>
        <w:pStyle w:val="Normal"/>
        <w:widowControl/>
        <w:spacing w:before="160" w:after="160"/>
        <w:rPr/>
      </w:pPr>
      <w:r>
        <w:rPr/>
        <w:t>jacks and hoists, hydraulic</w:t>
      </w:r>
    </w:p>
    <w:tbl>
      <w:tblPr>
        <w:tblStyle w:val="TableGrid"/>
        <w:tblW w:w="9360" w:type="dxa"/>
        <w:jc w:val="center"/>
        <w:tblInd w:w="-28" w:type="dxa"/>
        <w:tblLayout w:type="autofit"/>
        <w:tblCellMar>
          <w:top w:w="60" w:type="dxa"/>
          <w:left w:w="80" w:type="dxa"/>
          <w:bottom w:w="60" w:type="dxa"/>
          <w:right w:w="80" w:type="dxa"/>
        </w:tblCellMar>
        <w:tblLook w:val="04a0" w:noHBand="0" w:noVBand="1" w:firstColumn="1" w:lastRow="0" w:lastColumn="0" w:firstRow="1"/>
      </w:tblPr>
      <w:tblGrid>
        <w:gridCol w:w="4680"/>
        <w:gridCol w:w="4679"/>
      </w:tblGrid>
      <w:tr>
        <w:trPr>
          <w:tblHeader w:val="true"/>
          <w:cantSplit w:val="true"/>
          <w:tblHeader w:val="true"/>
        </w:trPr>
        <w:tc>
          <w:tcPr>
            <w:tcW w:w="4680" w:type="dxa"/>
            <w:tcBorders/>
            <w:vAlign w:val="center"/>
            <w:shd w:fill="233746"/>
          </w:tcPr>
          <w:p>
            <w:pPr>
              <w:pStyle w:val="Normal"/>
              <w:widowControl/>
              <w:suppressAutoHyphens w:val="true"/>
              <w:spacing w:lineRule="auto" w:line="240" w:before="0" w:after="0"/>
              <w:jc w:val="left"/>
              <w:rPr>
                <w:rFonts w:cs=""/>
                <w:kern w:val="0"/>
                <w:szCs w:val="22"/>
                <w:lang w:val="en-US" w:eastAsia="en-US" w:bidi="ar-SA"/>
              </w:rPr>
            </w:pPr>
            <w:r>
              <w:rPr>
                <w:rFonts w:cs="" w:ascii="Arial" w:hAnsi="Arial"/>
                <w:b/>
                <w:color w:val="FFFFFF"/>
                <w:kern w:val="0"/>
                <w:sz w:val="17"/>
                <w:szCs w:val="22"/>
                <w:lang w:val="en-US" w:eastAsia="en-US" w:bidi="ar-SA"/>
              </w:rPr>
              <w:t>Tariff Item</w:t>
            </w:r>
          </w:p>
        </w:tc>
        <w:tc>
          <w:tcPr>
            <w:tcW w:w="4679" w:type="dxa"/>
            <w:tcBorders/>
            <w:vAlign w:val="center"/>
            <w:shd w:fill="233746"/>
          </w:tcPr>
          <w:p>
            <w:pPr>
              <w:pStyle w:val="Normal"/>
              <w:widowControl/>
              <w:suppressAutoHyphens w:val="true"/>
              <w:spacing w:lineRule="auto" w:line="240" w:before="0" w:after="0"/>
              <w:jc w:val="left"/>
              <w:rPr>
                <w:rFonts w:cs=""/>
                <w:kern w:val="0"/>
                <w:szCs w:val="22"/>
                <w:lang w:val="en-US" w:eastAsia="en-US" w:bidi="ar-SA"/>
              </w:rPr>
            </w:pPr>
            <w:r>
              <w:rPr>
                <w:rFonts w:cs="" w:ascii="Arial" w:hAnsi="Arial"/>
                <w:b/>
                <w:color w:val="FFFFFF"/>
                <w:kern w:val="0"/>
                <w:sz w:val="17"/>
                <w:szCs w:val="22"/>
                <w:lang w:val="en-US" w:eastAsia="en-US" w:bidi="ar-SA"/>
              </w:rPr>
              <w:t>Description</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8425.49.00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Other</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8426.11.00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Overhead travelling cranes on fixed support</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8426.12.00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Mobile lifting frames on tires and straddle carriers</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8426.19.00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Other</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8426.20.00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Tower cranes</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8426.30.00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Portal or pedestal jib cranes</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8426.41.00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On tires</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8426.49.00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Other</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8426.91.00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Designed for mounting on road vehicles</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8426.99.00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Other</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8427.10.10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Rider-type, counterbalanced fork-lift trucks</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8427.10.90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Other</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8427.20.11</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Rider-type, counterbalanced fork-lift trucks: Rough terrain type</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8427.20.19</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Rider-type, counterbalanced fork-lift trucks: Other</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8427.20.90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Other</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8427.90.00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Other trucks</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8428.10.00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Lifts and skip hoists</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8428.20.00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Pneumatic elevators and conveyors</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8428.31.00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Specially designed for underground use</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8428.32.00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Other, bucket type</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8428.33.00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Other, belt type</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8428.39.00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Other</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8428.40.00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Escalators and moving walkways</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8428.60.00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Teleferics, chair-lifts, ski-draglines; traction mechanisms for funiculars</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8428.90.00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Other machinery</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8429.11.00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Track laying</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8429.19.00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Other</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8429.20.00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Graders and levellers</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8429.30.00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Scrapers</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8429.40.00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Tamping machines and road rollers</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8429.51.00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Front-end shovel loaders</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8429.52.00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Machinery with a 360° revolving superstructure</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8429.59.00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Other</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8430.10.00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Pile-drivers and pile-extractors</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8430.20.00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Snow-ploughs and snow-blowers</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8430.31.00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Self-propelled</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8430.39.00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Other</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8430.41.00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Self-propelled</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8430.49.00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Other</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8430.50.00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Other machinery, self-propelled</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8430.61.00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Tamping or compacting machinery</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8430.69.00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Other</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8431.10.00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Of</w:t>
            </w:r>
          </w:p>
        </w:tc>
      </w:tr>
    </w:tbl>
    <w:p>
      <w:pPr>
        <w:pStyle w:val="Normal"/>
        <w:widowControl/>
        <w:spacing w:before="160" w:after="120"/>
        <w:rPr/>
      </w:pPr>
      <w:r>
        <w:rPr/>
        <w:t>machinery of heading 84.25 8431.20.00 Of machinery of heading 84.27 8431.31.00 Of lifts, skip hoists or escalators 8431.39.00 Other 8431.41.00 Buckets, shovels, grabs and grips 8431.42.00 Bulldozer or angledozer blades 8431.43.00 Parts of boring or sinking machinery of subheading 8430.41 or 8430.49 8431.49.00 Other 8432.10.00 Ploughs 8432.21.00 Disc harrows 8432.29.00 Other 8432.31.00 No-till direct seeders, planters and transplanters 8432.39.00 Other 8432.41.00 Manure spreaders 8432.42.00 Fertilizer distributors 8432.80.00 Other machinery 8432.90.00 Parts 8433.11.00 Powered, with the cutting device rotating in a horizontal plane 8433.19.00 Other 8433.20.00 Other mowers, including cutter bars for tractor mounting 8433.30.00 Other haymaking machinery 8433.40.00 Straw or fodder balers, including pick-up balers 8433.51.00 Combine harvester-threshers 8433.52.00 Other threshing machinery 8433.53.00 Root or tuber harvesting machines 8433.59.00 Other 8433.60.00 Machines for cleaning, sorting or grading eggs, fruit or other agricultural produce 8433.90.00 Parts 8434.10.00 Milking machines 8434.20.00 Dairy machinery 8434.90.00 Parts 8435.10.00 Machinery 8435.90.00 Parts 8436.10.00 Machinery for preparing animal feeding stuffs 8436.21.00 Poultry incubators and brooders 8436.29.00 Other 8436.80.00 Other machinery 8436.91.00 Of poultry-keeping machinery or poultry incubators and brooders 8436.99.00 Other 8437.10.00 Machines for cleaning, sorting or grading seed, grain or dried</w:t>
      </w:r>
    </w:p>
    <w:p>
      <w:pPr>
        <w:pStyle w:val="Normal"/>
        <w:widowControl/>
        <w:rPr/>
      </w:pPr>
      <w:r>
        <w:rPr/>
        <w:t>leguminous vegetables 8437.80.00 Other machinery 8437.90.00 Parts 8438.10.00 Bakery machinery and machinery for the manufacture of macaroni, spaghetti or similar products 8438.20.00 Machinery for the manufacture of confectionery, cocoa or chocolate 8438.30.00 Machinery for sugar manufacture 8438.40.00 Brewery machinery 8438.50.00 Machinery for the preparation of meat or poultry 8438.60.00 Machinery for the preparation of fruits, nuts or vegetables 8438.80.00 Other machinery 8438.90.00 Parts 8439.10.00 Machinery for making pulp of fibrous cellulosic material 8439.20.00 Machinery for making paper or paperboard 8439.30.00 Machinery for finishing paper or paperboard 8439.91.00 Of machinery for making pulp of fibrous cellulosic material 8439.99.00 Other 8440.10.00 Machinery 8440.90.00 Parts 8441.10.00 Cutting machines 8441.20.00 Machines for making bags, sacks or envelopes 8441.30.00 Machines for making cartons, boxes, cases, tubes, drums or similar containers, other than by moulding 8441.40.00 Machines for moulding articles in paper pulp, paper or paperboard 8441.80.00 Other machinery 8441.90.00 Parts 8442.30.00 Machinery, apparatus and equipment 8442.40.00 Parts of the foregoing machinery, apparatus or equipment 8442.50.00 Plates, cylinders and other printing components; plates, cylinders and lithographic stones, prepared for printing purposes (for example, planed, grained or polished) 8443.11.00 Offset printing machinery, reel-fed 8443.12.00 Offset printing machinery,</w:t>
      </w:r>
    </w:p>
    <w:p>
      <w:pPr>
        <w:pStyle w:val="Normal"/>
        <w:widowControl/>
        <w:rPr/>
      </w:pPr>
      <w:r>
        <w:rPr/>
        <w:t>sheet-fed, office type (using sheets with one side not exceeding 22 cm and the other side not exceeding 36 cm in the unfolded state) 8443.13.00 Other offset printing machinery 8443.14.00 Letterpress printing machinery, reel fed, excluding flexographic printing 8443.15.00 Letterpress printing machinery, other than reel fed, excluding flexographic printing 8443.16.00 Flexographic printing machinery 8443.17.00 Gravure printing machinery 8443.19.00 Other 8443.31.00 Machines which perform two or more of the functions of printing, copying or facsimile transmission, capable of connecting to an automatic data processing machine or to a network 8443.32.00 Other, capable of connecting to an automatic data processing machine or to a network 8443.39.00 Other 8443.91.00 Parts and accessories of printing machinery used for printing by means of plates, cylinders and other printing components of heading 84.42 8443.99.00 Other 8444.00.00 Machines for extruding, drawing, texturing or cutting man-made textile materials.</w:t>
      </w:r>
    </w:p>
    <w:p>
      <w:pPr>
        <w:pStyle w:val="Normal"/>
        <w:widowControl/>
        <w:rPr/>
      </w:pPr>
      <w:r>
        <w:rPr/>
        <w:t>8445.11.00 Carding machines 8445.12.00 Combing machines 8445.13.00 Drawing or roving machines 8445.19.00 Other 8445.20.00 Textile spinning machines 8445.30.00 Textile doubling or twisting machines 8445.40.00 Textile winding (including weft-winding) or reeling machines 8445.90.00 Other 8446.10.00 For weaving fabrics of a width not exceeding 30 cm 8446.21.00 Power looms 8446.29.00 Other 8446.30.00 For weaving fabrics of a width exceeding 30 cm, shuttleless type 8447.11.00 With cylinder diameter not exceeding 165 mm 8447.12.00 With cylinder diameter exceeding 165 mm 8447.20.00 Flat knitting machines; stitch-bonding machines 8447.90.00 Other 8448.11.00 Dobbies and Jacquards; card reducing, copying, punching or assembling machines for use therewith 8448.19.00 Other 8448.20.00 Parts and accessories of machines of heading 84.44 or of their auxiliary machinery 8448.31.00 Card clothing 8448.32.00 Of machines for preparing textile fibres, other than card clothing 8448.33.00 Spindles, spindle flyers, spinning rings and ring travellers 8448.39.00 Other 8448.42.00 Reeds for looms, healds and heald-frames 8448.49.00 Other 8448.51.00 Sinker, needles and other articles used in forming stitches 8448.59.00 Other 8449.00.00 Machinery for the manufacture or finishing of felt or nonwovens in the piece or in shapes, including machinery for making felt hats; blocks for making hats.</w:t>
      </w:r>
    </w:p>
    <w:p>
      <w:pPr>
        <w:pStyle w:val="Normal"/>
        <w:widowControl/>
        <w:rPr/>
      </w:pPr>
      <w:r>
        <w:rPr/>
        <w:t>8450.11.10 Household type, not including machines which both wash and dry 8450.11.90 Other 8450.12.00 Other machines, with built-in centrifugal dryer 8450.19.00 Other 8450.20.00 Machines, each of a dry linen capacity exceeding 10 kg 8450.90.10 Tubs or tub assemblies 8450.90.20 Furniture designed to receive household or laundry type washing machines, including machines which both wash and dry 8450.90.90 Other 8451.10.00 Dry-cleaning machines 8451.21.00 Each of a dry linen capacity not exceeding 10 kg 8451.29.00 Other 8451.30.10 Accessory steam irons for commercial laundries; Vacuum and heated pressing tables 8451.30.90 Other 8451.40.10 Carpet shampooers; Carpet, drapery and upholstery cleaning machines;</w:t>
      </w:r>
    </w:p>
    <w:p>
      <w:pPr>
        <w:pStyle w:val="Normal"/>
        <w:widowControl/>
        <w:rPr/>
      </w:pPr>
      <w:r>
        <w:rPr/>
        <w:t>Fish net washing machines 8451.40.90 Other 8451.50.00 Machines for reeling, unreeling, folding, cutting or pinking textile fabrics 8451.80.00 Other machinery 8451.90.10 Drying chambers for the drying machines of subheading 8451.21 or 8451.29 and other parts of drying machines incorporating drying chambers 8451.90.20 Furniture designed to receive the drying machines of subheading 8451.21 or 8451.29 8451.90.90 Other 8452.10.00 Sewing machines of the household type 8452.21.00 Automatic units 8452.29.00 Other 8452.30.00 Sewing machine needles 8452.90.10 Furniture, bases and covers for sewing machines, and parts thereof, for domestic sewing machines 8452.90.20 Other parts of domestic sewing machines 8452.90.90 Other 8453.10.00 Machinery for preparing, tanning or working hides,</w:t>
      </w:r>
    </w:p>
    <w:p>
      <w:pPr>
        <w:pStyle w:val="Normal"/>
        <w:widowControl/>
        <w:spacing w:before="0" w:after="160"/>
        <w:rPr/>
      </w:pPr>
      <w:r>
        <w:rPr/>
        <w:t>skins or leather</w:t>
      </w:r>
    </w:p>
    <w:tbl>
      <w:tblPr>
        <w:tblStyle w:val="TableGrid"/>
        <w:tblW w:w="9360" w:type="dxa"/>
        <w:jc w:val="center"/>
        <w:tblInd w:w="-28" w:type="dxa"/>
        <w:tblLayout w:type="autofit"/>
        <w:tblCellMar>
          <w:top w:w="60" w:type="dxa"/>
          <w:left w:w="80" w:type="dxa"/>
          <w:bottom w:w="60" w:type="dxa"/>
          <w:right w:w="80" w:type="dxa"/>
        </w:tblCellMar>
        <w:tblLook w:val="04a0" w:noHBand="0" w:noVBand="1" w:firstColumn="1" w:lastRow="0" w:lastColumn="0" w:firstRow="1"/>
      </w:tblPr>
      <w:tblGrid>
        <w:gridCol w:w="4680"/>
        <w:gridCol w:w="4679"/>
      </w:tblGrid>
      <w:tr>
        <w:trPr>
          <w:tblHeader w:val="true"/>
          <w:cantSplit w:val="true"/>
          <w:tblHeader w:val="true"/>
        </w:trPr>
        <w:tc>
          <w:tcPr>
            <w:tcW w:w="4680" w:type="dxa"/>
            <w:tcBorders/>
            <w:vAlign w:val="center"/>
            <w:shd w:fill="233746"/>
          </w:tcPr>
          <w:p>
            <w:pPr>
              <w:pStyle w:val="Normal"/>
              <w:widowControl/>
              <w:suppressAutoHyphens w:val="true"/>
              <w:spacing w:lineRule="auto" w:line="240" w:before="0" w:after="0"/>
              <w:jc w:val="left"/>
              <w:rPr>
                <w:rFonts w:cs=""/>
                <w:kern w:val="0"/>
                <w:szCs w:val="22"/>
                <w:lang w:val="en-US" w:eastAsia="en-US" w:bidi="ar-SA"/>
              </w:rPr>
            </w:pPr>
            <w:r>
              <w:rPr>
                <w:rFonts w:cs="" w:ascii="Arial" w:hAnsi="Arial"/>
                <w:b/>
                <w:color w:val="FFFFFF"/>
                <w:kern w:val="0"/>
                <w:sz w:val="17"/>
                <w:szCs w:val="22"/>
                <w:lang w:val="en-US" w:eastAsia="en-US" w:bidi="ar-SA"/>
              </w:rPr>
              <w:t>Tariff Item</w:t>
            </w:r>
          </w:p>
        </w:tc>
        <w:tc>
          <w:tcPr>
            <w:tcW w:w="4679" w:type="dxa"/>
            <w:tcBorders/>
            <w:vAlign w:val="center"/>
            <w:shd w:fill="233746"/>
          </w:tcPr>
          <w:p>
            <w:pPr>
              <w:pStyle w:val="Normal"/>
              <w:widowControl/>
              <w:suppressAutoHyphens w:val="true"/>
              <w:spacing w:lineRule="auto" w:line="240" w:before="0" w:after="0"/>
              <w:jc w:val="left"/>
              <w:rPr>
                <w:rFonts w:cs=""/>
                <w:kern w:val="0"/>
                <w:szCs w:val="22"/>
                <w:lang w:val="en-US" w:eastAsia="en-US" w:bidi="ar-SA"/>
              </w:rPr>
            </w:pPr>
            <w:r>
              <w:rPr>
                <w:rFonts w:cs="" w:ascii="Arial" w:hAnsi="Arial"/>
                <w:b/>
                <w:color w:val="FFFFFF"/>
                <w:kern w:val="0"/>
                <w:sz w:val="17"/>
                <w:szCs w:val="22"/>
                <w:lang w:val="en-US" w:eastAsia="en-US" w:bidi="ar-SA"/>
              </w:rPr>
              <w:t>Description</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8453.20.00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Machinery for making or repairing footwear</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8453.80.00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Other machinery</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8453.90.00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Parts</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8454.10.00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Converters</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8454.20.00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Ingot moulds and ladles</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8454.30.00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Casting machines</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8454.90.00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Parts</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8455.10.00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Tube mills</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8455.21.00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Hot or combination hot and cold</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8455.22.00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Cold</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8455.30.00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Rolls for rolling mills</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8455.90.10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Castings or weldments, individually weighing less than 90 tonnes</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8455.90.90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Other</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8456.11.00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Operated by laser</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8456.12.00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Operated by other light or photon beam processes</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8456.20.00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Operated by ultrasonic processes</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8456.30.00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Operated by electro-discharge processes</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8456.40.00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Operated by plasma arc processes</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8456.50.00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Water-jet cutting machines</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8456.90.00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Other</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8457.10.00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Machining centres</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8457.20.00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Unit construction machines (single station)</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8457.30.00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Multi-station transfer machines</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8458.11.00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Numerically controlled</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8458.19.00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Other</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8458.91.00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Numerically controlled</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8458.99.00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Other</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8459.10.00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Way-type unit head machines</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8459.21.00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Numerically controlled</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8459.29.00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Other</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8459.31.00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Numerically controlled</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8459.39.00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Other</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8459.41.00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Numerically controlled</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8459.49.00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Other</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8459.51.00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Numerically controlled</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8459.59.00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Other</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8459.61.00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Numerically controlled</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8459.69.00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Other</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8459.70.10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Numerically controlled</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8459.70.90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Other</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8460.12.00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Numerically controlled</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8460.19.00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Other</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8460.22.00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Centreless grinding machines, numerically controlled</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8460.23.00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Other cylindrical grinding machines, numerically controlled</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8460.24.00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Other, numerically</w:t>
            </w:r>
          </w:p>
        </w:tc>
      </w:tr>
    </w:tbl>
    <w:p>
      <w:pPr>
        <w:pStyle w:val="Normal"/>
        <w:widowControl/>
        <w:spacing w:before="160" w:after="120"/>
        <w:rPr/>
      </w:pPr>
      <w:r>
        <w:rPr/>
        <w:t>controlled 8460.29.00 Other 8460.31.00 Numerically controlled 8460.39.00 Other 8460.40.10 Numerically controlled 8460.40.90 Other 8460.90.00 Other 8461.20.10 Numerically controlled 8461.20.90 Other 8461.30.10 Numerically controlled 8461.30.90 Other 8461.40.00 Gear cutting, gear grinding or gear finishing machines 8461.50.11 Numerically controlled: Horizontal band sawing machines, of a round or square capacity not exceeding 101.6 cm, excluding block and plate band sawing machines and computer numerically controlled band sawing machines with programmable magazines 8461.50.19 Numerically controlled: Other 8461.50.91 Other: Horizontal band sawing machines, of a round or square capacity not exceeding 101.6 cm, excluding block and plate band sawing machines 8461.50.99 Other: Other 8461.90.10 Numerically controlled 8461.90.90 Other 8462.10.00 Forging or die-stamping machines (including presses) and hammers 8462.21.00 Numerically controlled 8462.29.00 Other 8462.31.00 Numerically controlled 8462.39.00 Other 8462.41.00 Numerically controlled 8462.49.00 Other 8462.91.10 Numerically controlled 8462.91.91 Other: Bulldozer presses; Extrusion presses; Fine blanking presses with mechanical ram drive; Horizontal high pressure extrusion presses; Metal stamping presses, with a capacity of 100 tonnes or more but not exceeding 2,500 tonnes and a width of 56 cm or more but not exceeding 620 cm; Trim presses 8462.91.99 Other: Other 8462.99.11 Numerically controlled: Bangle rounding and sizing</w:t>
      </w:r>
    </w:p>
    <w:p>
      <w:pPr>
        <w:pStyle w:val="Normal"/>
        <w:widowControl/>
        <w:rPr/>
      </w:pPr>
      <w:r>
        <w:rPr/>
        <w:t>machines (jewellery industry); Can flatteners with magnetic separators; Combined stamping and bending machines for metal hose clamps; Dressing machines for facing diamond and carbide segments in stone cutting saws; Edgers and scale brakers; Fine blanking presses with mechanical ram drive; High speed production presses capable of operating at more than 600 strokes per minute; Horizontal Venetian blind manufacturing machinery; Horn presses; Multilayer vacuum press systems for printed circuit board production; Powder metal presses; Punch press and plastic cone tie maker systems; Terminal lead wire attaching, crimping or clinching presses or machines; Welding presses 8462.99.19 Numerically controlled: Other 8462.99.90 Other 8463.10.00 Draw-benches for bars, tubes, profiles, wire or the like 8463.20.00 Thread rolling machines 8463.30.00 Machines for working wire 8463.90.00 Other 8464.10.00 Sawing machines 8464.20.00 Grinding or polishing machines 8464.90.00 Other 8465.10.00 Machines which can carry out different types of machining operations without tool change between such operations 8465.20.00 Machining centres 8465.91.00 Sawing machines 8465.92.00 Planing, milling or moulding (by cutting) machines 8465.93.00 Grinding, sanding or polishing machines 8465.94.00 Bending or assembling machines 8465.95.00 Drilling or morticing machines 8465.96.00 Splitting, slicing or paring machines 8465.99.00 Other 8466.10.00 Tool holders and self-opening dieheads 8466.20.00 Work holders</w:t>
      </w:r>
    </w:p>
    <w:p>
      <w:pPr>
        <w:pStyle w:val="Normal"/>
        <w:widowControl/>
        <w:rPr/>
      </w:pPr>
      <w:r>
        <w:rPr/>
        <w:t>8466.30.00 Dividing heads and other special attachments for machines 8466.91.00 For machines of heading 84.64 8466.92.00 For machines of heading 84.65 8466.93.10 Bed, base, table, head, tail, saddle, cradle, cross slide, column, arm, saw arm, wheelhead, tailstock, headstock, ram, frame, work arbour support, and C-frame castings, weldments or fabrications 8466.93.90 Other 8466.94.10 Bed, base, table, column, cradle, frame, bolster, crown, slide, rod, tailstock and headstock castings, weldments or fabrications 8466.94.90 Other 8467.11.00 Rotary type (including combined rotary percussion) 8467.19.00 Other 8467.21.00 Drills of all kinds 8467.22.00 Saws 8467.29.00 Other 8467.81.00 Chain saws 8467.89.00 Other 8467.91.00 Of chain saws 8467.92.00 Of pneumatic tools 8467.99.00 Other 8468.10.00 Hand-held blow pipes 8468.20.00 Other gas-operated machinery and apparatus 8468.80.00 Other machinery and apparatus 8468.90.00 Parts 8470.10.00 Electronic calculators capable of operation without an external source of electric power and pocket-size data recording, reproducing and displaying machines with calculating functions 8470.21.00 Incorporating a printing device 8470.29.00 Other 8470.30.00 Other calculating machines 8470.50.00 Cash registers 8470.90.00 Other 8471.30.00 Portable automatic data processing machines, weighing not more than 10 kg, consisting of at least a central processing unit, a keyboard and a display 8471.41.00 Comprising in the same housing at least a central processing</w:t>
      </w:r>
    </w:p>
    <w:p>
      <w:pPr>
        <w:pStyle w:val="Normal"/>
        <w:widowControl/>
        <w:rPr/>
      </w:pPr>
      <w:r>
        <w:rPr/>
        <w:t>unit and an input and output unit, whether or not combined 8471.49.00 Other, presented in the form of systems 8471.50.00 Processing units, other than those of subheading 8471.41 or 8471.49, whether or not containing in the same housing one or two of the following types of unit: storage units, input units, output units 8471.60.00 Input or output units, whether or not containing storage units in the same housing 8471.70.00 Storage units 8471.80.10 Control or adapter units 8471.80.91 Other: Units suitable for physical incorporation into automatic data processing machines or units thereof 8471.80.99 Other:</w:t>
      </w:r>
    </w:p>
    <w:p>
      <w:pPr>
        <w:pStyle w:val="Normal"/>
        <w:widowControl/>
        <w:rPr/>
      </w:pPr>
      <w:r>
        <w:rPr/>
        <w:t>Other 8471.90.00 Other 8472.10.00 Duplicating machines 8472.30.00 Machines for sorting or folding mail or for inserting mail in envelopes or bands, machines for opening, closing or sealing mail and machines for affixing or cancelling postage stamps 8472.90.00 Other 8473.21.00 Of the electronic calculating machines of subheading 8470.10, 8470.21 or 8470.29 8473.29.00 Other 8473.30.20 Printed circuit assemblies 8473.30.30 Parts and accessories of printed circuit assemblies, including face plates and lock latches 8473.30.90 Other 8473.40.00 Parts and accessories of the machines of heading 84.72 8473.50.10 Printed circuit assemblies 8473.50.20 Parts and accessories of printed circuit assemblies, including face plates and lock latches 8473.50.90 Other 8474.10.00 Sorting, screening, separating or washing machines 8474.20.00 Crushing or grinding machines 8474.31.00 Concrete or mortar</w:t>
      </w:r>
    </w:p>
    <w:p>
      <w:pPr>
        <w:pStyle w:val="Normal"/>
        <w:widowControl/>
        <w:spacing w:before="0" w:after="160"/>
        <w:rPr/>
      </w:pPr>
      <w:r>
        <w:rPr/>
        <w:t>mixers</w:t>
      </w:r>
    </w:p>
    <w:tbl>
      <w:tblPr>
        <w:tblStyle w:val="TableGrid"/>
        <w:tblW w:w="9360" w:type="dxa"/>
        <w:jc w:val="center"/>
        <w:tblInd w:w="-28" w:type="dxa"/>
        <w:tblLayout w:type="autofit"/>
        <w:tblCellMar>
          <w:top w:w="60" w:type="dxa"/>
          <w:left w:w="80" w:type="dxa"/>
          <w:bottom w:w="60" w:type="dxa"/>
          <w:right w:w="80" w:type="dxa"/>
        </w:tblCellMar>
        <w:tblLook w:val="04a0" w:noHBand="0" w:noVBand="1" w:firstColumn="1" w:lastRow="0" w:lastColumn="0" w:firstRow="1"/>
      </w:tblPr>
      <w:tblGrid>
        <w:gridCol w:w="4680"/>
        <w:gridCol w:w="4679"/>
      </w:tblGrid>
      <w:tr>
        <w:trPr>
          <w:tblHeader w:val="true"/>
          <w:cantSplit w:val="true"/>
          <w:tblHeader w:val="true"/>
        </w:trPr>
        <w:tc>
          <w:tcPr>
            <w:tcW w:w="4680" w:type="dxa"/>
            <w:tcBorders/>
            <w:vAlign w:val="center"/>
            <w:shd w:fill="233746"/>
          </w:tcPr>
          <w:p>
            <w:pPr>
              <w:pStyle w:val="Normal"/>
              <w:widowControl/>
              <w:suppressAutoHyphens w:val="true"/>
              <w:spacing w:lineRule="auto" w:line="240" w:before="0" w:after="0"/>
              <w:jc w:val="left"/>
              <w:rPr>
                <w:rFonts w:cs=""/>
                <w:kern w:val="0"/>
                <w:szCs w:val="22"/>
                <w:lang w:val="en-US" w:eastAsia="en-US" w:bidi="ar-SA"/>
              </w:rPr>
            </w:pPr>
            <w:r>
              <w:rPr>
                <w:rFonts w:cs="" w:ascii="Arial" w:hAnsi="Arial"/>
                <w:b/>
                <w:color w:val="FFFFFF"/>
                <w:kern w:val="0"/>
                <w:sz w:val="17"/>
                <w:szCs w:val="22"/>
                <w:lang w:val="en-US" w:eastAsia="en-US" w:bidi="ar-SA"/>
              </w:rPr>
              <w:t>Tariff Item</w:t>
            </w:r>
          </w:p>
        </w:tc>
        <w:tc>
          <w:tcPr>
            <w:tcW w:w="4679" w:type="dxa"/>
            <w:tcBorders/>
            <w:vAlign w:val="center"/>
            <w:shd w:fill="233746"/>
          </w:tcPr>
          <w:p>
            <w:pPr>
              <w:pStyle w:val="Normal"/>
              <w:widowControl/>
              <w:suppressAutoHyphens w:val="true"/>
              <w:spacing w:lineRule="auto" w:line="240" w:before="0" w:after="0"/>
              <w:jc w:val="left"/>
              <w:rPr>
                <w:rFonts w:cs=""/>
                <w:kern w:val="0"/>
                <w:szCs w:val="22"/>
                <w:lang w:val="en-US" w:eastAsia="en-US" w:bidi="ar-SA"/>
              </w:rPr>
            </w:pPr>
            <w:r>
              <w:rPr>
                <w:rFonts w:cs="" w:ascii="Arial" w:hAnsi="Arial"/>
                <w:b/>
                <w:color w:val="FFFFFF"/>
                <w:kern w:val="0"/>
                <w:sz w:val="17"/>
                <w:szCs w:val="22"/>
                <w:lang w:val="en-US" w:eastAsia="en-US" w:bidi="ar-SA"/>
              </w:rPr>
              <w:t>Description</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8474.32.00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Machines for mixing mineral substances with bitumen</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8474.39.00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Other</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8474.80.00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Other machinery</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8474.90.00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Parts</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8475.10.00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Machines for assembling electric or electronic lamps, tubes or valves or flash-bulbs, in glass envelopes</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8475.21.00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Machines for making optical fibres and preforms thereof</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8475.29.00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Other</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8475.90.00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Parts</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8476.21.10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For vending in-cup hot beverages, with no more than three selections</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8476.21.90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Other</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8476.29.00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Other</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8476.81.10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For vending French fried potatoes or chicken nuggets</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8476.81.90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Other</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8476.89.10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For dispensing tampons or sanitary napkins</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8476.89.90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Other</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8476.90.00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Parts</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8477.10.00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Injection-moulding machines</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8477.20.00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Extruders</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8477.30.00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Blow moulding machines</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8477.40.00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Vacuum moulding machines and other thermoforming machines</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8477.51.00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For moulding or retreading pneumatic tires or for moulding or otherwise forming inner tubes</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8477.59.00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Other</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8477.80.10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For tire or tube manufacturing machines; Thermokinetic mixers</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8477.80.91</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Other: For blending plastics</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8477.80.99</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Other: Other</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8477.90.10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Base, bed, platen, clamp cylinder, ram and injection castings, weldments and fabrications</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8477.90.20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Barrel screws</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8477.90.30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Hydraulic assemblies consisting of at least two of the following: manifold, valves, pump or oil cooler</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8477.90.90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Other</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8478.10.00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Machinery</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8478.90.00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Parts</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8479.10.00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Machinery for public works, building or the like</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8479.20.00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Machinery for the extraction or preparation of animal or fixed vegetable fats or</w:t>
            </w:r>
          </w:p>
        </w:tc>
      </w:tr>
    </w:tbl>
    <w:p>
      <w:pPr>
        <w:pStyle w:val="Normal"/>
        <w:widowControl/>
        <w:spacing w:before="160" w:after="120"/>
        <w:rPr/>
      </w:pPr>
      <w:r>
        <w:rPr/>
        <w:t>oils 8479.30.00 Presses for the manufacture of particle board or fibre building board of wood or other ligneous materials and other machinery for treating wood or cork 8479.40.00 Rope or cable-making machines 8479.50.00 Industrial robots, not elsewhere specified or included 8479.60.00 Evaporative air coolers 8479.71.00 Of a kind used in airports 8479.79.00 Other 8479.81.00 For treating metal, including electric wire coil-winders 8479.82.00 Mixing, kneading, crushing, grinding, screening, sifting, homogenizing, emulsifying or stirring machines 8479.89.10 Aircraft ground use continuous flow jet engine start units; Artificial fog or smoke generators; Automatic loaders for small arms ammunition; Automotive relay assembly lines; Box dumpers for use with fresh fruit or fresh vegetables; Cathode assembly systems; Coating plant with thermal waste gas purification plant; Coin control devices, of iron or steel, for apparatus, other than telephones, which vends merchandise, services or tickets; Condenser tube cleaning systems; Double-sided printed circuit board coating systems; Dry solder mask processing lines for printed circuit board production;</w:t>
      </w:r>
    </w:p>
    <w:p>
      <w:pPr>
        <w:pStyle w:val="Normal"/>
        <w:widowControl/>
        <w:rPr/>
      </w:pPr>
      <w:r>
        <w:rPr/>
        <w:t>Fishing tools or well fracturing machines and appliances to be employed in the exploration, discovery, development, maintenance, testing, depletion or production of oil or natural gas wells or for use in drilling machinery to be employed in the exploration, discovery, development or operation of potash or rock salt deposits; Horizontal solder</w:t>
      </w:r>
    </w:p>
    <w:p>
      <w:pPr>
        <w:pStyle w:val="Normal"/>
        <w:widowControl/>
        <w:rPr/>
      </w:pPr>
      <w:r>
        <w:rPr/>
        <w:t>levelling systems for printed circuit board production; Initial fluid filling machines for automobiles; Laboratory jet dyeing machines; Liquid solder mask coater processing lines for printed circuit board production; Low volume needle or taper nozzle fluid dispensers; 8479.89.20 Carpet sweepers; Electric motor driven household air humidifiers or air dehumidifiers, excluding appliances of heading 84.15 or 84.24; Munition cartridge loaders, excluding shot shell cartridge loaders and automatic loaders for small arms ammunition 8479.89.30 Machinery to be employed in the manufacture of fertilizers from fish or fish waste; Mechanical devices for the control of the composition of sterilizing or cleaning solutions used in the food or beverage industries or in hospitals 8479.89.41 Trash compactors: Industrial solid waste compactors; Waste or refuse compactors, electrically powered, utilized on aircraft, trains, ships or buses, capable of crushing bottles and other in-transit waste 8479.89.49 Trash compactors: Other 8479.89.90 Other 8479.90.11 Of the goods of tariff item No. 8479.89.41 or 8479.89.49: Frame assemblies incorporating at least two of the following: baseplate, side frames, power screws or front plates 8479.90.12 Of the goods of tariff item No. 8479.89.41 or 8479.89.49: Ram assemblies incorporating a ram wrapper or ram cover 8479.90.13 Of the goods of tariff item No.</w:t>
      </w:r>
    </w:p>
    <w:p>
      <w:pPr>
        <w:pStyle w:val="Normal"/>
        <w:widowControl/>
        <w:rPr/>
      </w:pPr>
      <w:r>
        <w:rPr/>
        <w:t>8479.89.41 or 8479.89.49: Container assemblies incorporating at least two of the following: container bottom, container wrapper, slide track or container front 8479.90.14 Of the goods of tariff item No. 8479.89.41 or 8479.89.49: Cabinets or cases 8479.90.19 Of the goods of tariff item No. 8479.89.41 or 8479.89.49: Other 8479.90.90 Other 8480.10.00 Moulding boxes for metal foundry 8480.20.00 Mould bases 8480.30.00 Moulding patterns 8480.41.00 Injection or compression types 8480.49.00 Other 8480.50.00 Moulds for glass 8480.60.00 Moulds for mineral materials 8480.71.00 Injection or compression types 8480.79.00 Other 8481.10.00 Pressure-reducing valves 8481.20.00 Valves for oleohydraulic or pneumatic transmissions 8481.30.00 Check (nonreturn) valves 8481.40.00 Safety or relief valves 8481.80.00 Other appliances 8481.90.00 Parts 8482.10.00 Ball bearings 8482.20.00 Tapered roller bearings, including cone and tapered roller assemblies 8482.30.00 Spherical roller bearings 8482.40.00 Needle roller bearings 8482.50.00 Other cylindrical roller bearings 8482.80.00 Other, including combined ball/roller bearings 8482.91.00 Balls, needles and rollers 8482.99.11 Inner or outer races or rings: For the goods of tariff item No.</w:t>
      </w:r>
    </w:p>
    <w:p>
      <w:pPr>
        <w:pStyle w:val="Normal"/>
        <w:widowControl/>
        <w:rPr/>
      </w:pPr>
      <w:r>
        <w:rPr/>
        <w:t>8482.10.00 or 8482.20.00 8482.99.19 Inner or outer races or rings:</w:t>
      </w:r>
    </w:p>
    <w:p>
      <w:pPr>
        <w:pStyle w:val="Normal"/>
        <w:widowControl/>
        <w:rPr/>
      </w:pPr>
      <w:r>
        <w:rPr/>
        <w:t>Other 8482.99.90 Other 8483.10.00 Transmission shafts (including cam shafts and crank shafts) and cranks 8483.20.00 Bearing housings, incorporating ball or roller bearings 8483.30.00 Bearing housings, not incorporating ball or roller bearings; plain shaft bearings 8483.40.00 Gears and gearing, other than toothed wheels, chain sprockets and other transmission elements presented separately; ball or roller screws; gear boxes and other speed changers, including torque converters 8483.50.00 Flywheels and pulleys, including pulley blocks 8483.60.00 Clutches and shaft couplings (including universal joints) 8483.90.00 Toothed wheels, chain sprockets and other transmission elements presented separately; parts 8484.10.00 Gaskets and similar joints of metal sheeting combined with other material or of two or more layers of metal 8484.20.00 Mechanical seals 8484.90.00 Other 8486.10.00 Machines and apparatus for the manufacture of boules or wafers 8486.20.00 Machines and apparatus for the manufacture of semiconductor devices or of electronic integrated circuits 8486.30.00 Machines and apparatus for the manufacture of flat panel displays 8486.40.00 Machines and apparatus specified in Note 9 (C) to this Chapter 8486.90.00 Parts and accessories 8487.10.00 Ships’ or boats’ propellers and blades therefor 8487.90.00 Other 8501.10.00 Motors of an output not exceeding 37.5 W 8501.20.00 Universal AC/DC motors of an output</w:t>
      </w:r>
    </w:p>
    <w:p>
      <w:pPr>
        <w:pStyle w:val="Normal"/>
        <w:widowControl/>
        <w:rPr/>
      </w:pPr>
      <w:r>
        <w:rPr/>
        <w:t>exceeding 37.5 W 8501.31.00 Of an output not exceeding 750 W 8501.32.10 Actuators; Brushless geared shaft motors for use in electrical hand tools; Gear motors for use in the manufacture of machinery or equipment; Motors for use in the manufacture of lifts (elevators);</w:t>
      </w:r>
    </w:p>
    <w:p>
      <w:pPr>
        <w:pStyle w:val="Normal"/>
        <w:widowControl/>
        <w:rPr/>
      </w:pPr>
      <w:r>
        <w:rPr/>
        <w:t>Motors of a voltage of 20 V or more but not exceeding 75 V, for use in the manufacture of fork-lift trucks 8501.32.20 Motors for use as the primary source of mechanical power for electric powered vehicles of subheading 8703.80 or 8703.90 8501.32.90 Other 8501.33.00 Of an output exceeding 75 kW but not exceeding 375 kW 8501.34.00 Of an output exceeding 375 kW 8501.40.00 Other AC motors, single-phase 8501.51.00 Of an output not exceeding 750 W 8501.52.00 Of an output exceeding 750 W but not exceeding 75 kW 8501.53.00 Of an output exceeding 75 kW 8501.61.00 Of an output not exceeding 75 kVA 8501.62.00 Of an output exceeding 75 kVA but not exceeding 375 kVA 8501.63.00 Of an output exceeding 375 kVA but not exceeding 750 kVA 8501.64.00 Of an output exceeding 750 kVA 8502.11.00 Of an output not exceeding 75 kVA 8502.12.00 Of an output exceeding 75 kVA but not exceeding 375 kVA 8502.13.00 Of an output exceeding 375 kVA 8502.20.00 Generating sets with spark-ignition internal combustion piston engines 8502.31.00 Wind-powered 8502.39.10 The following, excluding 400 Hz frequency changers:</w:t>
      </w:r>
    </w:p>
    <w:p>
      <w:pPr>
        <w:pStyle w:val="Normal"/>
        <w:widowControl/>
        <w:rPr/>
      </w:pPr>
      <w:r>
        <w:rPr/>
        <w:t>Gas turbine-driven, excluding aero-derivative generator sets with a range of 40 to 50 MW; Hydraulic turbine-driven; Steam</w:t>
      </w:r>
    </w:p>
    <w:p>
      <w:pPr>
        <w:pStyle w:val="Normal"/>
        <w:widowControl/>
        <w:rPr/>
      </w:pPr>
      <w:r>
        <w:rPr/>
        <w:t>turbine-driven, excluding generator sets of an output exceeding 60 MW;</w:t>
      </w:r>
    </w:p>
    <w:p>
      <w:pPr>
        <w:pStyle w:val="Normal"/>
        <w:widowControl/>
        <w:rPr/>
      </w:pPr>
      <w:r>
        <w:rPr/>
        <w:t>Thermo-electric DC 8502.39.90 Other 8502.40.00 Electric rotary converters 8503.00.10 Stators and rotors of the machines of heading 85.01 8503.00.90 Other 8504.10.00 Ballasts for discharge lamps or tubes 8504.21.00 Having a power handling capacity not exceeding 650 kVA 8504.22.00 Having a power handling capacity exceeding 650 kVA but not exceeding 10,000 kVA 8504.23.00 Having a power handling capacity exceeding 10,000 kVA 8504.31.00 Having a power handling capacity not exceeding 1 kVA 8504.32.00 Having a power handling capacity exceeding 1 kVA but not exceeding 16 kVA 8504.33.00 Having a power handling capacity exceeding 16 kVA but not exceeding 500 kVA 8504.34.00 Having a power handling capacity exceeding 500 kVA 8504.40.10 Commercial battery chargers, excluding those for charging batteries used in miners’ safety lamps and those for use in the manufacture of railway or tramway passenger vehicles 8504.40.20 Power supplies for use with surgical, dental, veterinary or diagnostic instruments 8504.40.30 Power supplies for the automatic data processing machines of heading 84.71 8504.40.40 Speed drive controllers for electric motors 8504.40.90 Other 8504.50.00 Other inductors 8504.90.10 Printed circuit assemblies for the goods of subheadings</w:t>
      </w:r>
    </w:p>
    <w:p>
      <w:pPr>
        <w:pStyle w:val="Normal"/>
        <w:widowControl/>
        <w:rPr/>
      </w:pPr>
      <w:r>
        <w:rPr/>
        <w:t>8504.40 and 8504.90 8504.90.20 Other parts of power supplies for automatic data processing machines of heading 84.71 8504.90.90 Other 8505.11.00 Of metal 8505.19.00 Other</w:t>
      </w:r>
    </w:p>
    <w:p>
      <w:pPr>
        <w:pStyle w:val="Normal"/>
        <w:widowControl/>
        <w:rPr/>
      </w:pPr>
      <w:r>
        <w:rPr/>
        <w:t>8505.20.00 Electro-magnetic couplings, clutches and brakes 8505.90.00 Other, including parts 8506.10.10 Alkaline cells having welded connectors or designed to receive welded connectors, for use in electronic lock systems or in components thereof; Primary batteries, 9 V, for use in the manufacture of smoke detectors 8506.10.90 Other 8506.30.00 Mercuric oxide 8506.40.00 Silver oxide 8506.50.10 Cells having welded connectors or designed to receive welded connectors, for use in electronic lock systems or in components thereof 8506.50.90 Other 8506.60.00 Air-zinc 8506.80.10 For use in the manufacture of smoke detectors 8506.80.90 Other 8506.90.00 Parts 8507.10.00 Lead-acid, of a kind used for starting piston engines 8507.20.10 For use as the primary source of electrical power for electrically- powered vehicles of subheading 8703.80 or 8703.90; For use in the initial installation of smoke, fire or gas detection and alarm systems manufactured in Canada, including power supply panels and modules for those systems 8507.20.90 Other 8507.30.10 Cells having welded connectors or designed to receive welded connectors, for use in electronic lock systems or in components thereof;</w:t>
      </w:r>
    </w:p>
    <w:p>
      <w:pPr>
        <w:pStyle w:val="Normal"/>
        <w:widowControl/>
        <w:rPr/>
      </w:pPr>
      <w:r>
        <w:rPr/>
        <w:t>For use in miners’ safety lamps 8507.30.20 For use as the primary source of electrical power for electrically- powered vehicles of subheading 8703.80 or 8703.90 8507.30.90 Other 8507.40.10 For use as the primary source of electrical power for electrically- powered vehicles of subheading 8703.80 or 8703.90</w:t>
      </w:r>
    </w:p>
    <w:p>
      <w:pPr>
        <w:pStyle w:val="Normal"/>
        <w:widowControl/>
        <w:spacing w:before="0" w:after="160"/>
        <w:rPr/>
      </w:pPr>
      <w:r>
        <w:rPr/>
        <w:t>8507.40.90 Other 8507.50.10 For use as the primary source of electrical power for electrically- powered vehicles of subheading 8703.80 or 8703.90 8507.50.90 Other 8507.60.10 For use as the primary source of electrical power for electrically- powered vehicles of subheading 8703.80 or 8703.90 8507.60.20 For use as the primary source of electrical power for electrically- powered motorcycles of subheading 8711.60 or 8711.90 8507.60.90 Other 8507.80.10 Alkaline or lithium cells having welded connectors or designed to receive welded connectors, for use in electronic lock systems or in components thereof; Low discharge types, for use in the manufacture, maintenance or repair of buoys or beacons for the Government of Canada 8507.80.20 For use as the primary source of electrical power for electrically- powered vehicles of subheading 8703.80 or 8703.90 8507.80.90 Other 8507.90.00 Parts 8508.11.00 Of a power not exceeding 1,500 W and having a dust bag or other receptacle capacity not exceeding 20 litres 8508.19.00 Other 8508.60.00 Other vacuum cleaners 8508.70.10 Of vacuum cleaners of subheading 8508.19 8508.70.90 Other 8509.40.10 Grape crushers for domestic purposes 8509.40.90 Other 8509.80.10 Ultrasonic vaporizers 8509.80.90 Other 8509.90.20 For use in the manufacture of the goods of this heading; Of the goods of tariff item No.</w:t>
      </w:r>
    </w:p>
    <w:tbl>
      <w:tblPr>
        <w:tblStyle w:val="TableGrid"/>
        <w:tblW w:w="9360" w:type="dxa"/>
        <w:jc w:val="center"/>
        <w:tblInd w:w="-28" w:type="dxa"/>
        <w:tblLayout w:type="autofit"/>
        <w:tblCellMar>
          <w:top w:w="60" w:type="dxa"/>
          <w:left w:w="80" w:type="dxa"/>
          <w:bottom w:w="60" w:type="dxa"/>
          <w:right w:w="80" w:type="dxa"/>
        </w:tblCellMar>
        <w:tblLook w:val="04a0" w:noHBand="0" w:noVBand="1" w:firstColumn="1" w:lastRow="0" w:lastColumn="0" w:firstRow="1"/>
      </w:tblPr>
      <w:tblGrid>
        <w:gridCol w:w="4680"/>
        <w:gridCol w:w="4679"/>
      </w:tblGrid>
      <w:tr>
        <w:trPr>
          <w:tblHeader w:val="true"/>
          <w:cantSplit w:val="true"/>
          <w:tblHeader w:val="true"/>
        </w:trPr>
        <w:tc>
          <w:tcPr>
            <w:tcW w:w="4680" w:type="dxa"/>
            <w:tcBorders/>
            <w:vAlign w:val="center"/>
            <w:shd w:fill="233746"/>
          </w:tcPr>
          <w:p>
            <w:pPr>
              <w:pStyle w:val="Normal"/>
              <w:widowControl/>
              <w:suppressAutoHyphens w:val="true"/>
              <w:spacing w:lineRule="auto" w:line="240" w:before="0" w:after="0"/>
              <w:jc w:val="left"/>
              <w:rPr>
                <w:rFonts w:cs=""/>
                <w:kern w:val="0"/>
                <w:szCs w:val="22"/>
                <w:lang w:val="en-US" w:eastAsia="en-US" w:bidi="ar-SA"/>
              </w:rPr>
            </w:pPr>
            <w:r>
              <w:rPr>
                <w:rFonts w:cs="" w:ascii="Arial" w:hAnsi="Arial"/>
                <w:b/>
                <w:color w:val="FFFFFF"/>
                <w:kern w:val="0"/>
                <w:sz w:val="17"/>
                <w:szCs w:val="22"/>
                <w:lang w:val="en-US" w:eastAsia="en-US" w:bidi="ar-SA"/>
              </w:rPr>
              <w:t>Tariff Item</w:t>
            </w:r>
          </w:p>
        </w:tc>
        <w:tc>
          <w:tcPr>
            <w:tcW w:w="4679" w:type="dxa"/>
            <w:tcBorders/>
            <w:vAlign w:val="center"/>
            <w:shd w:fill="233746"/>
          </w:tcPr>
          <w:p>
            <w:pPr>
              <w:pStyle w:val="Normal"/>
              <w:widowControl/>
              <w:suppressAutoHyphens w:val="true"/>
              <w:spacing w:lineRule="auto" w:line="240" w:before="0" w:after="0"/>
              <w:jc w:val="left"/>
              <w:rPr>
                <w:rFonts w:cs=""/>
                <w:kern w:val="0"/>
                <w:szCs w:val="22"/>
                <w:lang w:val="en-US" w:eastAsia="en-US" w:bidi="ar-SA"/>
              </w:rPr>
            </w:pPr>
            <w:r>
              <w:rPr>
                <w:rFonts w:cs="" w:ascii="Arial" w:hAnsi="Arial"/>
                <w:b/>
                <w:color w:val="FFFFFF"/>
                <w:kern w:val="0"/>
                <w:sz w:val="17"/>
                <w:szCs w:val="22"/>
                <w:lang w:val="en-US" w:eastAsia="en-US" w:bidi="ar-SA"/>
              </w:rPr>
              <w:t>Description</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8509.40.90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or</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8509.80.90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8509.90.90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Other</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8510.10.00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Shavers</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8510.20.10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For cutting pet hair; Alternating current-powered, for cutting human hair</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8510.20.90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Other</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8510.30.00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Hair-removing appliances</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8510.90.00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Parts</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8511.10.00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Sparking plugs</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8511.20.00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Ignition magnetos; magneto-dynamos; magnetic flywheels</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8511.30.00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Distributors; ignition coils</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8511.40.00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Starter motors and dual purpose starter-generators</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8511.50.00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Other generators</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8511.80.00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Other equipment</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8511.90.00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Parts</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8512.10.00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Lighting or visual signalling equipment of a kind used on bicycles</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8512.20.00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Other lighting or visual signalling equipment</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8512.30.10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Bells or buzzers for use in the repair of logging trucks, or in the manufacture of such parts; For use in the manufacture of detectors for propane or other toxic fumes</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8512.30.90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Other</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8512.40.00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Windscreen wipers, defrosters and demisters</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8512.90.00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Parts</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8513.10.10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Flashlights; Miners’ safety lamps</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8513.10.90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Other</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8513.90.10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Of flashlights and miners’ safety lamps</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8513.90.90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Other</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8514.10.00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Resistance heated furnaces and ovens</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8514.20.00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Furnaces and ovens functioning by induction or dielectric loss</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8514.30.00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Other furnaces and ovens</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8514.40.00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Other equipment for the heat treatment of materials by induction or dielectric loss</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8514.90.00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Parts</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8515.11.00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Soldering irons and guns</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8515.19.00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Other</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8515.21.00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Fully or partly automatic</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8515.29.00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Other</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8515.31.00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Fully or partly automatic</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8515.39.00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Other</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8515.80.00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Other machines and apparatus</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8515.90.00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r>
          </w:p>
        </w:tc>
      </w:tr>
    </w:tbl>
    <w:p>
      <w:pPr>
        <w:pStyle w:val="Normal"/>
        <w:widowControl/>
        <w:spacing w:before="160" w:after="160"/>
        <w:rPr/>
      </w:pPr>
      <w:r>
        <w:rPr/>
        <w:t>Parts</w:t>
      </w:r>
    </w:p>
    <w:tbl>
      <w:tblPr>
        <w:tblStyle w:val="TableGrid"/>
        <w:tblW w:w="9360" w:type="dxa"/>
        <w:jc w:val="center"/>
        <w:tblInd w:w="-28" w:type="dxa"/>
        <w:tblLayout w:type="autofit"/>
        <w:tblCellMar>
          <w:top w:w="60" w:type="dxa"/>
          <w:left w:w="80" w:type="dxa"/>
          <w:bottom w:w="60" w:type="dxa"/>
          <w:right w:w="80" w:type="dxa"/>
        </w:tblCellMar>
        <w:tblLook w:val="04a0" w:noHBand="0" w:noVBand="1" w:firstColumn="1" w:lastRow="0" w:lastColumn="0" w:firstRow="1"/>
      </w:tblPr>
      <w:tblGrid>
        <w:gridCol w:w="4680"/>
        <w:gridCol w:w="4679"/>
      </w:tblGrid>
      <w:tr>
        <w:trPr>
          <w:tblHeader w:val="true"/>
          <w:cantSplit w:val="true"/>
          <w:tblHeader w:val="true"/>
        </w:trPr>
        <w:tc>
          <w:tcPr>
            <w:tcW w:w="4680" w:type="dxa"/>
            <w:tcBorders/>
            <w:vAlign w:val="center"/>
            <w:shd w:fill="233746"/>
          </w:tcPr>
          <w:p>
            <w:pPr>
              <w:pStyle w:val="Normal"/>
              <w:widowControl/>
              <w:suppressAutoHyphens w:val="true"/>
              <w:spacing w:lineRule="auto" w:line="240" w:before="0" w:after="0"/>
              <w:jc w:val="left"/>
              <w:rPr>
                <w:rFonts w:cs=""/>
                <w:kern w:val="0"/>
                <w:szCs w:val="22"/>
                <w:lang w:val="en-US" w:eastAsia="en-US" w:bidi="ar-SA"/>
              </w:rPr>
            </w:pPr>
            <w:r>
              <w:rPr>
                <w:rFonts w:cs="" w:ascii="Arial" w:hAnsi="Arial"/>
                <w:b/>
                <w:color w:val="FFFFFF"/>
                <w:kern w:val="0"/>
                <w:sz w:val="17"/>
                <w:szCs w:val="22"/>
                <w:lang w:val="en-US" w:eastAsia="en-US" w:bidi="ar-SA"/>
              </w:rPr>
              <w:t>Tariff Item</w:t>
            </w:r>
          </w:p>
        </w:tc>
        <w:tc>
          <w:tcPr>
            <w:tcW w:w="4679" w:type="dxa"/>
            <w:tcBorders/>
            <w:vAlign w:val="center"/>
            <w:shd w:fill="233746"/>
          </w:tcPr>
          <w:p>
            <w:pPr>
              <w:pStyle w:val="Normal"/>
              <w:widowControl/>
              <w:suppressAutoHyphens w:val="true"/>
              <w:spacing w:lineRule="auto" w:line="240" w:before="0" w:after="0"/>
              <w:jc w:val="left"/>
              <w:rPr>
                <w:rFonts w:cs=""/>
                <w:kern w:val="0"/>
                <w:szCs w:val="22"/>
                <w:lang w:val="en-US" w:eastAsia="en-US" w:bidi="ar-SA"/>
              </w:rPr>
            </w:pPr>
            <w:r>
              <w:rPr>
                <w:rFonts w:cs="" w:ascii="Arial" w:hAnsi="Arial"/>
                <w:b/>
                <w:color w:val="FFFFFF"/>
                <w:kern w:val="0"/>
                <w:sz w:val="17"/>
                <w:szCs w:val="22"/>
                <w:lang w:val="en-US" w:eastAsia="en-US" w:bidi="ar-SA"/>
              </w:rPr>
              <w:t>Description</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8516.10.10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Immersion heaters for photographic solutions</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8516.10.20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Immersion heaters for use in motor vehicles</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8516.10.90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Other</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8516.21.00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Storage heating radiators</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8516.29.00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Other</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8516.31.00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Hair dryers</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8516.32.10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Curling irons</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8516.32.90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Other</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8516.33.10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Wall mounted</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8516.33.90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Other</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8516.40.00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Electric smoothing irons</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8516.50.00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Microwave ovens</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8516.60.10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Bread makers; Indoor smokeless barbecues; Rice cookers</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8516.60.20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Ovens, cooking stoves and ranges</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8516.60.90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Other</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8516.71.10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Coffee makers</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8516.71.20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Tea makers</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8516.72.10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Automatic</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8516.72.90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Other</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8516.79.10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Fabric steamers</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8516.79.90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Other</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8516.80.00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Electric heating resistors</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8516.90.10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Housings for hand-drying apparatus</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8516.90.20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Housings and steel bases for electric smoothing irons</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8516.90.30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Assemblies for microwave ovens, incorporating at least two of the following: cooking chamber, space structural supporting chassis, door or outer case</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8516.90.40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Printed circuit assemblies for microwave ovens</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8516.90.50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Cooking chambers, whether or not assembled, for ovens or cookers</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8516.90.60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Top surface panels, whether or not with heating elements or controls, for ovens or cookers</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8516.90.70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Door assemblies, for ovens or cookers, incorporating at least two of the following: inner panel, outer panel, window or insulation</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8516.90.81</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Housings for toasters: For automatic toasters</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8516.90.82</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Housings for toasters: For other toasters</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8516.90.90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Other</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8517.11.00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Line telephone sets with cordless handsets</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8517.12.00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r>
          </w:p>
        </w:tc>
      </w:tr>
    </w:tbl>
    <w:p>
      <w:pPr>
        <w:pStyle w:val="Normal"/>
        <w:widowControl/>
        <w:spacing w:before="160" w:after="120"/>
        <w:rPr/>
      </w:pPr>
      <w:r>
        <w:rPr/>
        <w:t>Telephones for cellular networks or for other wireless networks 8517.18.00 Other 8517.61.00 Base stations 8517.62.00 Machines for the reception, conversion and transmission or regeneration of voice, images or other data, including switching and routing apparatus 8517.69.10 Facsimile apparatus; Other telephonic or telegraphic apparatus 8517.69.20 Receivers for calling, alerting or paging 8517.69.90 Other 8517.70.00 Parts 8518.10.00 Microphones and stands therefor 8518.21.00 Single loudspeakers, mounted in their enclosures 8518.22.00 Multiple loudspeakers, mounted in the same enclosure 8518.29.10 Compression horn drivers or compression horn tweeters for use in the manufacture of speaker systems 8518.29.20 Loudspeakers, without housings, having a frequency range of 300 Hz to 3.4 KHz and with a diameter not exceeding 50 mm, for telecommunications use 8518.29.90 Other 8518.30.10 Telephone handsets 8518.30.91 Other: Headphones, including earphones, and telephone headsets 8518.30.99 Other: Other 8518.40.10 For line telephony applications 8518.40.90 Other 8518.50.00 Electric sound amplifier sets 8518.90.10 Cone housings, field cases and pole pieces, for speakers with mounting dimensions exceeding 203 mm, cones and cone surrounds, dust covers and spiders, for use in the manufacture of loudspeakers;</w:t>
      </w:r>
    </w:p>
    <w:p>
      <w:pPr>
        <w:pStyle w:val="Normal"/>
        <w:widowControl/>
        <w:rPr/>
      </w:pPr>
      <w:r>
        <w:rPr/>
        <w:t>Of compression horn drivers or compression horn tweeters for use in the manufacture of speaker systems; Of loudspeakers, without housings, having a frequency range of 300 Hz to 3.4 KHz and</w:t>
      </w:r>
    </w:p>
    <w:p>
      <w:pPr>
        <w:pStyle w:val="Normal"/>
        <w:widowControl/>
        <w:rPr/>
      </w:pPr>
      <w:r>
        <w:rPr/>
        <w:t>with a diameter not exceeding 50 mm, for telecommunications use; Of microphones, stands therefor, and headphones (including earphones) 8518.90.20 Of audio-frequency electric amplifiers for line telephony applications 8518.90.30 Of other audio-frequency electric amplifiers; Of telephone handsets; Other, of loudspeakers 8518.90.90 Other 8519.20.10 Coin- or token-operated record-players 8519.20.90 Other 8519.30.10 With automatic record changing mechanism 8519.30.90 Other 8519.50.00 Telephone answering machines 8519.81.10 Magnetic tape recorders incorporating sound reproducing apparatus 8519.81.21 Other sound reproducing apparatus: Compact disc players; Pocket-size cassette-players; Other, cassette type 8519.81.29 Other sound reproducing apparatus: Other 8519.81.31 Dictating machines not capable of operating without an external source of power and transcribing machines: Using magnetic tape 8519.81.39 Dictating machines not capable of operating without an external source of power and transcribing machines: Other 8519.81.91 Other: For the commercial reproduction or duplication of audio cassette tapes; To be employed in the commercial production of video tape productions, cinematographic films (motion picture films), animated films or multi-image shows 8519.81.99 Other: Other 8519.89.10 Record players; To be employed in the commercial production of video tape productions, cinematographic films (motion picture films), animated films or multi-image shows; Transcribing machines</w:t>
      </w:r>
    </w:p>
    <w:p>
      <w:pPr>
        <w:pStyle w:val="Normal"/>
        <w:widowControl/>
        <w:rPr/>
      </w:pPr>
      <w:r>
        <w:rPr/>
        <w:t>8519.89.90 Other 8521.10.00 Magnetic tape-type 8521.90.10 Laser video disc players 8521.90.90 Other 8522.10.00 Pick-up cartridges 8522.90.10 Printed circuit assemblies 8522.90.90 Other 8523.21.10 Cards incorporating an unrecorded magnetic stripe 8523.21.20 Cards incorporating a recorded magnetic stripe 8523.29.10 Unrecorded, of a width not exceeding 4 mm 8523.29.20 Of a musical nature, including recordings of operas, operettas, musical comedies and other recordings having a significant musical content; Recordings of music hall and cabaret numbers, whether musical or not, including monologues and soliloquies and other recordings of a similar entertainment character; Of an advertising character not including radio or television commercials imported for reference purposes only; Video recordings, not including news features or current events 8523.29.90 Other 8523.41.10 Prepared unrecorded media 8523.41.90 Other 8523.49.10 For reproducing phenomena other than sound or image;</w:t>
      </w:r>
    </w:p>
    <w:p>
      <w:pPr>
        <w:pStyle w:val="Normal"/>
        <w:widowControl/>
        <w:rPr/>
      </w:pPr>
      <w:r>
        <w:rPr/>
        <w:t>Of an educational, scientific or cultural character, within the meaning of the Agreement for Facilitating the International Circulation of Visual and Auditory Materials of an Educational, Scientific and Cultural Character adopted at Beirut, Lebanon, in 1948, and certified by the Government or by a recognized representative authority of the Government of the country of production or by an appropriate representative of the United Nations Educational, Scientific and Cultural Organization as being of an</w:t>
      </w:r>
    </w:p>
    <w:p>
      <w:pPr>
        <w:pStyle w:val="Normal"/>
        <w:widowControl/>
        <w:rPr/>
      </w:pPr>
      <w:r>
        <w:rPr/>
        <w:t>international educational, scientific or cultural character; Other software 8523.49.90 Other 8523.51.10 Of an educational, scientific or cultural character, within the meaning of the Agreement for Facilitating the International Circulation of Visual and Auditory Materials of an Educational, Scientific and Cultural Character adopted at Beirut, Lebanon, in 1948, and certified by the Government or by a recognized representative authority of the Government of the country of production or by an appropriate representative of the United Nations Educational, Scientific and Cultural Organization as being of an international educational, scientific or cultural character; Prepared unrecorded media; Other software 8523.51.90 Other 8523.52.00 “Smart cards” 8523.59.10 For reproducing phenomena other than sound or image;</w:t>
      </w:r>
    </w:p>
    <w:p>
      <w:pPr>
        <w:pStyle w:val="Normal"/>
        <w:widowControl/>
        <w:rPr/>
      </w:pPr>
      <w:r>
        <w:rPr/>
        <w:t>Of an educational, scientific or cultural character, within the meaning of the Agreement for Facilitating the International Circulation of Visual and Auditory Materials of an Educational, Scientific and Cultural Character adopted at Beirut, Lebanon, in 1948, and certified by the Government or by a recognized representative authority of the Government of the country of production or by an appropriate representative of the United Nations Educational, Scientific and Cultural Organization as being of an international educational, scientific or cultural character; Other prepared unrecorded media; Other sofware; Proximity cards and tags 8523.59.90 Other 8523.80.10 Gramophone</w:t>
      </w:r>
    </w:p>
    <w:p>
      <w:pPr>
        <w:pStyle w:val="Normal"/>
        <w:widowControl/>
        <w:rPr/>
      </w:pPr>
      <w:r>
        <w:rPr/>
        <w:t>records; Prepared unrecorded media; Of an educational, scientific or cultural character, within the meaning of the Agreement for Facilitating the International Circulation of Visual and Auditory Materials of an Educational, Scientific and Cultural Character adopted at Beirut, Lebanon, in 1948, and certified by the Government or by a recognized representative authority of the Government of the country of production or by an appropriate representative of the United Nations Educational, Scientific and Cultural Organization as being of an international educational, scientific or cultural character; Other software 8523.80.90 Other 8525.50.00 Transmission apparatus 8525.60.00 Transmission apparatus incorporating reception apparatus 8525.80.00 Television cameras, digital cameras and video camera recorders 8526.10.00 Radar apparatus 8526.91.00 Radio navigational aid apparatus 8526.92.00 Radio remote control apparatus 8527.12.10 Domestic 8527.12.90 Other 8527.13.10 Domestic 8527.13.90 Other 8527.19.00 Other 8527.21.00 Combined with sound recording or reproducing apparatus 8527.29.00 Other 8527.91.10 Domestic 8527.91.90 Other 8527.92.10 Domestic 8527.92.90 Other 8527.99.10 Domestic radio receivers; Facsimile apparatus; Radios designed for use on the amateur bands of the radio frequency spectrum; Receivers for calling, alerting or paging 8527.99.90 Other 8528.42.00 Capable of directly connecting to and designed for use with an automatic data processing machine of heading 84.71</w:t>
      </w:r>
    </w:p>
    <w:p>
      <w:pPr>
        <w:pStyle w:val="Normal"/>
        <w:widowControl/>
        <w:rPr/>
      </w:pPr>
      <w:r>
        <w:rPr/>
        <w:t>8528.49.11 For use in the manufacture of lightwave transmission systems: High definition 8528.49.19 For use in the manufacture of lightwave transmission systems: Other 8528.49.20 Black and white or other monochrome 8528.49.30 Incomplete or unfinished colour monitors, including assemblies for monitors consisting of video intermediate (IF) amplifying and detecting systems, video processing and amplification systems, synchronizing and deflection circuitry and audio detection and amplification systems plus a power supply, but not incorporating a cathode-ray tube 8528.49.90 Other 8528.52.00 Capable of directly connecting to and designed for use with an automatic data processing machine of heading 84.71 8528.59.11 For use in the manufacture of lightwave transmission systems: High definition 8528.59.19 For use in the manufacture of lightwave transmission systems: Other 8528.59.20 Black and white or other monochrome 8528.59.30 Incomplete or unfinished colour monitors, including assemblies for monitors consisting of video intermediate (IF) amplifying and detecting systems, video processing and amplification systems, synchronizing and deflection circuitry and audio detection and amplification systems plus a power supply, but not incorporating a flat panel screen or similar display;</w:t>
      </w:r>
    </w:p>
    <w:p>
      <w:pPr>
        <w:pStyle w:val="Normal"/>
        <w:widowControl/>
        <w:rPr/>
      </w:pPr>
      <w:r>
        <w:rPr/>
        <w:t>Other, having a single picture tube intended for direct viewing (non-projection type); Other, with flat panel screen 8528.59.90 Other 8528.62.00 Capable of directly connecting to and designed for use with</w:t>
      </w:r>
    </w:p>
    <w:p>
      <w:pPr>
        <w:pStyle w:val="Normal"/>
        <w:widowControl/>
        <w:rPr/>
      </w:pPr>
      <w:r>
        <w:rPr/>
        <w:t>an automatic data processing machine of heading 84.71 8528.69.11 Colour, with flat panel screen: Capable of being used with both automatic data processing machines of heading 84.71 and with apparatus which emits television signals 8528.69.19 Colour, with flat panel screen: Other 8528.69.20 Incomplete or unfinished colour projectors, including assemblies for projectors consisting of video intermediate (IF) amplifying and detecting systems, video processing and amplification systems, synchronizing and deflection circuitry and audio detection and amplification systems plus a power supply, but not incorporating a cathode-ray tube, flat panel screen or similar display; Colour, other 8528.69.30 Black and white or other monochrome 8528.71.10 Incomplete or unfinished television receivers, including assemblies for television receivers consisting of video intermediate (IF) amplifying and detecting systems, video processing and amplification systems, synchronizing and deflection circuitry, tuners and tuner control systems, and audio detection and amplification systems plus a power supply, but not incorporating a cathode-ray tube, flat panel screen or similar display 8528.71.20 Set-top boxes which have a communication function: a microprocessor-based device incorporating a modem for gaining access to the Internet, and having a function of interactive information exchange 8528.71.40 For use in the manufacture of lightwave transmission systems 8528.71.90 Other 8528.72.10 Set-top boxes</w:t>
      </w:r>
    </w:p>
    <w:p>
      <w:pPr>
        <w:pStyle w:val="Normal"/>
        <w:widowControl/>
        <w:rPr/>
      </w:pPr>
      <w:r>
        <w:rPr/>
        <w:t>which have a communication function: a microprocessor-based device incorporating a modem for gaining access to the Internet, and having a function of interactive information exchange 8528.72.20 Incomplete or unfinished television receivers, including assemblies for television receivers consisting of video intermediate (IF) amplifying and detecting systems, video processing and amplification systems, synchronizing and deflection circuitry, tuners and tuner control systems, and audio detection and amplification systems plus a power supply, but not incorporating a cathode-ray tube, flat panel screen or similar display 8528.72.31 High definition: Projection type, with cathode-ray tube 8528.72.32 High definition: Non-projection type, with cathode-ray tube 8528.72.33 High definition: Other, with flat panel screen 8528.72.34 High definition: Other, for use in the manufacture of lightwave transmission systems 8528.72.39 High definition: Other 8528.72.91 Other: Having a single picture tube intended for direct viewing (non-projection type), with a video display diagonal not exceeding 35.56 cm 8528.72.92 Other: Combined in the same housing with video recording or reproducing apparatus (video cassette recorders/players), having a single picture tube intended for direct viewing (non-projection type), with a video display diagonal exceeding 35.56 cm 8528.72.93 Other: Other non-projection type having a single picture tube intended for direct viewing, with a video display diagonal exceeding</w:t>
      </w:r>
    </w:p>
    <w:p>
      <w:pPr>
        <w:pStyle w:val="Normal"/>
        <w:widowControl/>
        <w:rPr/>
      </w:pPr>
      <w:r>
        <w:rPr/>
        <w:t>35.56 cm but less than 66.04 cm 8528.72.94 Other: Other non-projection type having a single picture tube intended for direct viewing, with a video display diagonal of 66.04 cm or more 8528.72.95 Other: Projection type, with cathode-ray tube 8528.72.96 Other: Other, with flat panel screen 8528.72.97 Other: Other, for use in the manufacture of lightwave transmission systems 8528.72.99 Other: Other 8528.73.10 Domestic television receivers 8528.73.90 Other 8529.10.00 Aerials and aerial reflectors of all kinds; parts suitable for use therewith 8529.90.11 Printed circuit assemblies: Of radio remote control apparatus for controlling domestic audio or video equipment or for use on amateur radio bands by hobbyists 8529.90.12 Printed circuit assemblies: Of transmission apparatus for radio- broadcasting or television, whether or not incorporating reception apparatus or sound recording or reproducing apparatus, of television cameras or of still image video cameras and other video camera recorders 8529.90.19 Printed circuit assemblies:</w:t>
      </w:r>
    </w:p>
    <w:p>
      <w:pPr>
        <w:pStyle w:val="Normal"/>
        <w:widowControl/>
        <w:rPr/>
      </w:pPr>
      <w:r>
        <w:rPr/>
        <w:t>Other 8529.90.20 Transceiver assemblies for the goods of subheading 8526.10, not elsewhere specified or included 8529.90.31 The following parts of television receivers (including video monitors and video projectors): video intermediate (IF) amplifying and detecting systems; video processing and amplification systems; synchronizing and deflection circuitry; tuners and tuner control systems; and audio detection and amplification systems: Combinations of</w:t>
      </w:r>
    </w:p>
    <w:p>
      <w:pPr>
        <w:pStyle w:val="Normal"/>
        <w:widowControl/>
        <w:rPr/>
      </w:pPr>
      <w:r>
        <w:rPr/>
        <w:t>parts 8529.90.39 The following parts of television receivers (including video monitors and video projectors): video intermediate (IF) amplifying and detecting systems; video processing and amplification systems; synchronizing and deflection circuitry; tuners and tuner control systems; and audio detection and amplification systems: Other 8529.90.40 Flat panel screen assemblies for the goods of tariff item No. 8528.59.30, 8528.69.11, 8528.69.19, 8528.72.33 or 8528.72.96 8529.90.50 Parts, including face plates and lock latches, for printed circuit assemblies 8529.90.61 Other parts of goods of heading 85.25 or 85.27, excluding parts of cellular telephones: Incorporating printed circuit assemblies of goods of subheading 8525.50 or 8525.60 8529.90.69 Other parts of goods of heading 85.25 or 85.27, excluding parts of cellular telephones: Other 8529.90.90 Other 8530.10.00 Equipment for railways or tramways 8530.80.10 For use in the manufacture, maintenance or repair of buoys for the Government of Canada 8530.80.90 Other 8530.90.00 Parts 8531.10.10 Smoke detectors 8531.10.90 Other 8531.20.00 Indicator panels incorporating liquid crystal devices (LCD) or light-emitting diodes (LED) 8531.80.00 Other apparatus 8531.90.10 Printed circuit assemblies 8531.90.90 Other 8532.10.00 Fixed capacitors designed for use in 50/60 Hz circuits and having a reactive power handling capacity of not less than 0.5 kvar (power capacitors) 8532.21.00 Tantalum 8532.22.00 Aluminum electrolytic 8532.23.00</w:t>
      </w:r>
    </w:p>
    <w:p>
      <w:pPr>
        <w:pStyle w:val="Normal"/>
        <w:widowControl/>
        <w:rPr/>
      </w:pPr>
      <w:r>
        <w:rPr/>
        <w:t>Ceramic dielectric, single layer 8532.24.00 Ceramic dielectric, multilayer 8532.25.00 Dielectric of paper or plastics 8532.29.00 Other 8532.30.00 Variable or adjustable (pre-set) capacitors 8532.90.00 Parts 8533.10.00 Fixed carbon resistors, composition or film types 8533.21.00 For a power handling capacity not exceeding 20 W 8533.29.00 Other 8533.31.00 For a power handling capacity not exceeding 20 W 8533.39.00 Other 8533.40.00 Other variable resistors, including rheostats and potentiometers 8533.90.10 Of ceramic or metallic materials, electrically or mechanically reactive to changes in temperature, for the goods of tariff item No. 8533.40.00 8533.90.90 Other 8534.00.00 Printed circuits. 8535.10.00 Fuses 8535.21.00 For a voltage of less than 72.5 kV 8535.29.00 Other 8535.30.00 Isolating switches and make-and-break switches 8535.40.00 Lightning arresters, voltage limiters and surge suppressors 8535.90.10 Flameproof cable connecting devices and junction boxes to be employed in mines in which inflammable gases exist 8535.90.20 Industrial control-type switches; Other junction boxes or flameproof cable connecting devices; Receptacle boxes of metal 8535.90.30 Motor starters and motor overload protectors 8535.90.90 Other 8536.10.00 Fuses 8536.20.00 Automatic circuit breakers 8536.30.10 Overloads for use in the manufacture of air conditioning machines 8536.30.20 Overload motor protectors excluding those for use in the manufacture of air conditioning machines 8536.30.90 Other</w:t>
      </w:r>
    </w:p>
    <w:p>
      <w:pPr>
        <w:pStyle w:val="Normal"/>
        <w:widowControl/>
        <w:rPr/>
      </w:pPr>
      <w:r>
        <w:rPr/>
        <w:t>8536.41.00 For a voltage not exceeding 60 V 8536.49.00 Other 8536.50.11 Motor starters: For use with machinery or equipment 8536.50.12 Motor starters: For automotive use 8536.50.19 Motor starters: Other 8536.50.20 Electro-mechanical snap-action switches for a current not exceeding 11 A; Electronic switches, including temperature-protected electronic switches, consisting of a transistor and a logic chip (chip-on-chip technology); Electronic AC switches consisting of optically-coupled input and output circuits (insulated thyristor AC switches) 8536.50.91 Other: The following, other than for use in the manufacture of dish washing machines or of detectors for propane or other toxic fumes: Contact mat switches for activating automatic door openers; High pressure switches; Cam-type rotary limit switches with multiple contacts; Float switches and similar types of switches activated by changes in liquid levels; Magnetic contactors; Push button switches 8536.50.92 Other: Other, for automotive use 8536.50.99 Other: Other 8536.61.00 Lamp-holders 8536.69.00 Other 8536.70.00 Connectors for optical fibres, optical fibre bundles or cables 8536.90.00 Other apparatus 8537.10.11 Numerical control panels with built-in automatic data processing machines: Assembled with outer housings or supports, for the goods of heading 84.21, 84.22, 84.28, 84.50 or 85.16 8537.10.19 Numerical control panels with built-in automatic data processing machines: Other 8537.10.21 Motor control centres: For automotive</w:t>
      </w:r>
    </w:p>
    <w:p>
      <w:pPr>
        <w:pStyle w:val="Normal"/>
        <w:widowControl/>
        <w:rPr/>
      </w:pPr>
      <w:r>
        <w:rPr/>
        <w:t>use 8537.10.29 Motor control centres: Other 8537.10.31 Other, for use with machinery or equipment: Automated industrial control systems, excluding panels for anode formers 8537.10.39 Other, for use with machinery or equipment: Other 8537.10.91 Other: Assembled with outer housings or supports, for the goods of heading 84.21, 84.22, 84.50 or 85.16 8537.10.93 Other: Panel boards and distribution boards 8537.10.99 Other: Other 8537.20.00 For a voltage exceeding 1,000 V 8538.10.00 Boards, panels, consoles, desks, cabinets and other bases for the goods of heading 85.37, not equipped with their apparatus 8538.90.10 Of ceramic or metallic materials, electrically or mechanically reactive to changes in temperature, for motor starters and overload protectors 8538.90.20 Printed circuit assemblies 8538.90.31 Moulded parts: For use in the manufacture of relays, microwave, passive infrared, or combination microwave/passive infrared, for a voltage not exceeding 60 V 8538.90.39 Moulded parts: Other 8538.90.90 Other 8539.10.10 For use in motor vehicles of Chapter 87 8539.10.90 Other 8539.21.00 Tungsten halogen 8539.22.10 For use in the manufacture of Christmas lighting sets or patio lighting sets 8539.22.90 Other 8539.29.10 Xenon filament lamps 8539.29.91 Other:</w:t>
      </w:r>
    </w:p>
    <w:p>
      <w:pPr>
        <w:pStyle w:val="Normal"/>
        <w:widowControl/>
        <w:rPr/>
      </w:pPr>
      <w:r>
        <w:rPr/>
        <w:t>For a voltage exceeding 31 V 8539.29.99 Other: Other 8539.31.00 Fluorescent, hot cathode 8539.32.10 For use in measuring, checking or testing instruments of Chapter 90, or for use in electrically operated apparatus for indicating</w:t>
      </w:r>
    </w:p>
    <w:p>
      <w:pPr>
        <w:pStyle w:val="Normal"/>
        <w:widowControl/>
        <w:rPr/>
      </w:pPr>
      <w:r>
        <w:rPr/>
        <w:t>intervals of time; High pressure (190-200 atmospheres), 100W to 300W mercury discharge lamps with arc gaps from 1.0mm to 1.3mm, mounted within a parabolic or elliptical dichroic glass reflector, and with a luminious efficiency of 60 (+/- 5) lumens per watt, for use in Canadian manufactures 8539.32.90 Other 8539.39.10 For use in measuring, checking or testing instruments of Chapter 90, or for use in electrically operated apparatus for indicating intervals of time; Neon glow lamps, with an attached resistor, for use in the manufacture of indicator light assemblies; Photographic flash lamps; Xenon discharge lamps 8539.39.90 Other 8539.41.10 For use in measuring, checking or testing instruments of Chapter 90, or for use in electrically operated apparatus for indicating intervals of time; Hollow-cathode lamps, for use in instruments and apparatus for measuring or detecting noxious gases; Xenon arc-lamps 8539.41.90 Other 8539.49.10 For use in measuring, checking or testing instruments of Chapter 90, or for use in electrically operated apparatus for indicating intervals of time; Ultra violet hollow-cathode lamps, for use in instruments and apparatus for measuring or detecting noxious gases;</w:t>
      </w:r>
    </w:p>
    <w:p>
      <w:pPr>
        <w:pStyle w:val="Normal"/>
        <w:widowControl/>
        <w:rPr/>
      </w:pPr>
      <w:r>
        <w:rPr/>
        <w:t>Ultra violet lamps designed for detecting scheelite ore 8539.49.90 Other 8539.50.00 Light-emitting diode (LED) lamps 8539.90.10 Filaments, cathodes or electrodes, for use in the manufacture of electric lamps; Of the goods of tariff item No.</w:t>
      </w:r>
    </w:p>
    <w:p>
      <w:pPr>
        <w:pStyle w:val="Normal"/>
        <w:widowControl/>
        <w:rPr/>
      </w:pPr>
      <w:r>
        <w:rPr/>
        <w:t>8539.10.90, 8539.22.10, 8539.29.10, 8539.32.10, 8539.39.10, 8539.41.10 or 8539.49.10 8539.90.90 Other 8540.11.11 High definition: With a video display diagonal not exceeding 35.56 cm 8540.11.12 High definition: With a video display diagonal exceeding 35.56 cm 8540.11.21 Other, for non-projection television receivers: With a video display diagonal not exceeding 35.56 cm 8540.11.22 Other, for non-projection television receivers: With a video display diagonal exceeding 35.56 cm 8540.11.90 Other 8540.12.11 High definition: For use in the manufacture of video monitors; For use in the manufacture of high definition colour television receivers, projection type 8540.12.19 High definition: Other 8540.12.91 Other: For use in the manufacture of video monitors; For use in the manufacture of other colour television receivers, projection type 8540.12.99 Other: Other 8540.20.00 Television camera tubes; image converters and intensifiers; other photo-cathode tubes 8540.40.00 Data/graphic display tubes, monochrome; data/graphic display tubes, colour, with a phosphor dot screen pitch smaller than 0.4 mm 8540.60.00 Other cathode-ray tubes 8540.71.00 Magnetrons 8540.79.00 Other 8540.81.00 Receiver or amplifier valves and tubes 8540.89.00 Other 8540.91.10 Front panel assemblies as follows:</w:t>
      </w:r>
    </w:p>
    <w:p>
      <w:pPr>
        <w:pStyle w:val="Normal"/>
        <w:widowControl/>
        <w:rPr/>
      </w:pPr>
      <w:r>
        <w:rPr/>
        <w:t>(a) with respect to colour cathode-ray television picture tube, an assembly that consists of a glass panel to which a shadow mask or aperture grill is attached for ultimate use, that is suitable for</w:t>
      </w:r>
    </w:p>
    <w:p>
      <w:pPr>
        <w:pStyle w:val="Normal"/>
        <w:widowControl/>
        <w:rPr/>
      </w:pPr>
      <w:r>
        <w:rPr/>
        <w:t>incorporation into a colour cathode-ray television picture tube (including a video monitor or video projector cathode-ray tube) and that has undergone the necessary chemical and physical processes for imprinting phosphors on the glass panel with sufficient precision to render a video image when excited by a stream of electrons; or (b) with respect to a monochrome cathode-ray television picture tube, an assembly that consists of either a glass panel or a glass envelope, that is suitable for incorporation into a monochrome cathode-ray television picture tube (including a video monitor or video projector cathode-ray tube) and that has undergone the necessary chemical and physical processes for imprinting phosphors on the glass panel or glass envelope with sufficient precision to render a video image when excited by a stream of electrons 8540.91.90 Other 8540.99.10 Electron guns;</w:t>
      </w:r>
    </w:p>
    <w:p>
      <w:pPr>
        <w:pStyle w:val="Normal"/>
        <w:widowControl/>
        <w:spacing w:before="0" w:after="160"/>
        <w:rPr/>
      </w:pPr>
      <w:r>
        <w:rPr/>
        <w:t>Radio frequency (RF) interaction structures for microwave tubes of subheading 8540.71, 8540.72 or 8540.79 8540.99.90 Other 8541.10.00 Diodes, other than photosensitive or light-emitting diodes (LED) 8541.21.00 With a dissipation rate of less than 1 W 8541.29.00 Other 8541.30.00 Thyristors, diacs and triacs, other than photosensitive devices 8541.40.00 Photosensitive semiconductor devices, including photovoltaic cells whether or not assembled in modules or made up into panels; light-emitting diodes (LED) 8541.50.00 Other semiconductor devices 8541.60.00 Mounted piezo-electric crystals 8541.90.00 Parts</w:t>
      </w:r>
    </w:p>
    <w:tbl>
      <w:tblPr>
        <w:tblStyle w:val="TableGrid"/>
        <w:tblW w:w="9360" w:type="dxa"/>
        <w:jc w:val="center"/>
        <w:tblInd w:w="-28" w:type="dxa"/>
        <w:tblLayout w:type="autofit"/>
        <w:tblCellMar>
          <w:top w:w="60" w:type="dxa"/>
          <w:left w:w="80" w:type="dxa"/>
          <w:bottom w:w="60" w:type="dxa"/>
          <w:right w:w="80" w:type="dxa"/>
        </w:tblCellMar>
        <w:tblLook w:val="04a0" w:noHBand="0" w:noVBand="1" w:firstColumn="1" w:lastRow="0" w:lastColumn="0" w:firstRow="1"/>
      </w:tblPr>
      <w:tblGrid>
        <w:gridCol w:w="4680"/>
        <w:gridCol w:w="4679"/>
      </w:tblGrid>
      <w:tr>
        <w:trPr>
          <w:tblHeader w:val="true"/>
          <w:cantSplit w:val="true"/>
          <w:tblHeader w:val="true"/>
        </w:trPr>
        <w:tc>
          <w:tcPr>
            <w:tcW w:w="4680" w:type="dxa"/>
            <w:tcBorders/>
            <w:vAlign w:val="center"/>
            <w:shd w:fill="233746"/>
          </w:tcPr>
          <w:p>
            <w:pPr>
              <w:pStyle w:val="Normal"/>
              <w:widowControl/>
              <w:suppressAutoHyphens w:val="true"/>
              <w:spacing w:lineRule="auto" w:line="240" w:before="0" w:after="0"/>
              <w:jc w:val="left"/>
              <w:rPr>
                <w:rFonts w:cs=""/>
                <w:kern w:val="0"/>
                <w:szCs w:val="22"/>
                <w:lang w:val="en-US" w:eastAsia="en-US" w:bidi="ar-SA"/>
              </w:rPr>
            </w:pPr>
            <w:r>
              <w:rPr>
                <w:rFonts w:cs="" w:ascii="Arial" w:hAnsi="Arial"/>
                <w:b/>
                <w:color w:val="FFFFFF"/>
                <w:kern w:val="0"/>
                <w:sz w:val="17"/>
                <w:szCs w:val="22"/>
                <w:lang w:val="en-US" w:eastAsia="en-US" w:bidi="ar-SA"/>
              </w:rPr>
              <w:t>Tariff Item</w:t>
            </w:r>
          </w:p>
        </w:tc>
        <w:tc>
          <w:tcPr>
            <w:tcW w:w="4679" w:type="dxa"/>
            <w:tcBorders/>
            <w:vAlign w:val="center"/>
            <w:shd w:fill="233746"/>
          </w:tcPr>
          <w:p>
            <w:pPr>
              <w:pStyle w:val="Normal"/>
              <w:widowControl/>
              <w:suppressAutoHyphens w:val="true"/>
              <w:spacing w:lineRule="auto" w:line="240" w:before="0" w:after="0"/>
              <w:jc w:val="left"/>
              <w:rPr>
                <w:rFonts w:cs=""/>
                <w:kern w:val="0"/>
                <w:szCs w:val="22"/>
                <w:lang w:val="en-US" w:eastAsia="en-US" w:bidi="ar-SA"/>
              </w:rPr>
            </w:pPr>
            <w:r>
              <w:rPr>
                <w:rFonts w:cs="" w:ascii="Arial" w:hAnsi="Arial"/>
                <w:b/>
                <w:color w:val="FFFFFF"/>
                <w:kern w:val="0"/>
                <w:sz w:val="17"/>
                <w:szCs w:val="22"/>
                <w:lang w:val="en-US" w:eastAsia="en-US" w:bidi="ar-SA"/>
              </w:rPr>
              <w:t>Description</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8542.31.00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Processors and controllers, whether or not combined with memories, converters, logic circuits, amplifiers, clock and timing circuits, or other circuits</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8542.32.00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Memories</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8542.33.00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Amplifiers</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8542.39.00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Other</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8542.90.00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Parts</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8543.10.00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Particle accelerators</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8543.20.00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Signal generators</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8543.30.00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Machines and apparatus for electroplating, electrolysis or electrophoresis</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8543.70.00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Other machines and apparatus</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8543.90.00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Parts</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8544.11.00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Of copper</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8544.19.00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Other</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8544.20.00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Co-axial cable and other co-axial electric conductors</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8544.30.00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Ignition wiring sets and other wiring sets of a kind used in vehicles, aircraft or ships</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8544.42.00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Fitted with connectors</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8544.49.00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Other</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8544.60.10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Flameproof, to be employed in mines; Submarine cables for a voltage exceeding 235 kV</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8544.60.91</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Other: To be employed in mining, recovering and producing crude oil from shales, oil-sands or tar-sands</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8544.60.99</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Other: Other</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8544.70.00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Optical fibre cables</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8545.11.00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Of a kind used for furnaces</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8545.19.00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Other</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8545.20.00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Brushes</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8545.90.00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Other</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8546.10.00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Of glass</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8546.20.00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Of ceramics</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8546.90.00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Other</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8547.10.00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Insulating fittings of ceramics</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8547.20.00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Insulating fittings of plastics</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8547.90.00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Other</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8548.10.10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Spent primary cells, spent primary batteries and spent electric accumulators</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8548.10.90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Other</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8548.90.00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Other</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8601.10.00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Powered from an external source of electricity</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8601.20.00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Powered by electric accumulators</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8602.10.00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Diesel-electric locomotives</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8602.90.00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Other</w:t>
            </w:r>
          </w:p>
        </w:tc>
      </w:tr>
    </w:tbl>
    <w:p>
      <w:pPr>
        <w:pStyle w:val="Normal"/>
        <w:widowControl/>
        <w:spacing w:before="160" w:after="120"/>
        <w:rPr/>
      </w:pPr>
      <w:r>
        <w:rPr/>
        <w:t>8603.10.00 Powered from an external source of electricity 8603.90.00 Other 8604.00.10 Ballast spreaders; Buggies for transporting work crews and track material trailers, not exceeding 20 tonnes; Combination ballast broom and snow switch cleaners; Manual feed spike drivers for maintenance or production applications; On-track brush cutters; Rail tie spacing machines; Snow plows; Supply push carts; Tie cranes; Track carriage cranes 8604.00.90 Other 8605.00.00 Railway or tramway passenger coaches, not self-propelled; luggage vans (baggage cars), post office coaches and other special purpose railway or tramway coaches, not self-propelled (excluding those of heading 86.04). 8606.10.00 Tank wagons (tank cars) and the like 8606.30.00 Self-discharging vans and wagons (cars), other than those of subheading 8606.10 8606.91.00 Covered and closed 8606.92.00 Open, with non-removable sides of a height exceeding 60 cm 8606.99.00 Other 8607.11.00 Driving bogies and bissel-bogies (truck assemblies) 8607.12.00 Other bogies and bissel-bogies (truck assemblies) 8607.19.11 Axles: For self-propelled railway vehicles for the transport of passengers, baggage, mail or express traffic; In the rough, for use in the manufacture of axles for railway rolling-stock 8607.19.19 Axles:</w:t>
      </w:r>
    </w:p>
    <w:p>
      <w:pPr>
        <w:pStyle w:val="Normal"/>
        <w:widowControl/>
        <w:rPr/>
      </w:pPr>
      <w:r>
        <w:rPr/>
        <w:t>Other 8607.19.21 Wheels, whether or not fitted with axles: Blanks for use in the manufacture of wheel and axle combinations for railway and tramway (including subway cars) passenger coaches; For self-propelled railway vehicles</w:t>
      </w:r>
    </w:p>
    <w:p>
      <w:pPr>
        <w:pStyle w:val="Normal"/>
        <w:widowControl/>
        <w:rPr/>
      </w:pPr>
      <w:r>
        <w:rPr/>
        <w:t>for the transport of passengers, baggage, mail or express traffic; For use in the repair of tramway vehicles (excluding subway cars) with magnetic track brakes 8607.19.29 Wheels, whether or not fitted with axles: Other 8607.19.30 Parts of axles or wheels 8607.19.40 Tires of steel, in the rough, not machined or drilled 8607.19.50 Parts of bogies or bissel-bogies (truck assemblies) 8607.21.10 For self-propelled railway vehicles for the transport of passengers, baggage, mail or express traffic; Parts for use in the manufacture of brake systems for subway and rapid transit cars 8607.21.20 Brake beams for use in railway vehicles 8607.21.90 Other 8607.29.10 For self-propelled railway vehicles for the transport of passengers, baggage, mail or express traffic; For use in the repair of tramway vehicles (excluding subway cars) with magnetic track brakes; Parts for use in the manufacture of brake systems for subway and rapid transit cars 8607.29.90 Other 8607.30.10 For self-propelled railway vehicles for the transport of passengers, baggage, mail or express traffic; For use in the repair of tramway vehicles (excluding subway cars) with magnetic track brakes;</w:t>
      </w:r>
    </w:p>
    <w:p>
      <w:pPr>
        <w:pStyle w:val="Normal"/>
        <w:widowControl/>
        <w:rPr/>
      </w:pPr>
      <w:r>
        <w:rPr/>
        <w:t>Parts for use in the manufacture of hydraulic cushioning devices (buffers) for railway rolling-stock 8607.30.90 Other 8607.91.00 Of locomotives 8607.99.11 Of self-propelled rolling-stock: For use in the repair of tramway vehicles (excluding subway cars) with magnetic track brakes; Of the vehicles of heading 86.04; Of railway</w:t>
      </w:r>
    </w:p>
    <w:p>
      <w:pPr>
        <w:pStyle w:val="Normal"/>
        <w:widowControl/>
        <w:rPr/>
      </w:pPr>
      <w:r>
        <w:rPr/>
        <w:t>vehicles for the transport of passengers, baggage, mail or express traffic 8607.99.19 Of self-propelled rolling-stock: Other 8607.99.20 Of non self-propelled rolling-stock 8608.00.10 Fixed and sliding railway bumping posts and friction buffer stops;</w:t>
      </w:r>
    </w:p>
    <w:p>
      <w:pPr>
        <w:pStyle w:val="Normal"/>
        <w:widowControl/>
        <w:rPr/>
      </w:pPr>
      <w:r>
        <w:rPr/>
        <w:t>Signalling equipment for railways and parts thereof 8608.00.90 Other 8609.00.10 Reusable, specially designed to be employed in the transportation of motor vehicle components which are free of customs duties, presented with the goods therein 8609.00.90 Other 8701.10.10 Powered by an internal combustion engine 8701.10.90 Other 8701.20.00 Road tractors for semi-trailers 8701.30.00 Track-laying tractors 8701.91.00 Not exceeding 18 kW 8701.92.00 Exceeding 18 kW but not exceeding 37 kW 8701.93.00 Exceeding 37 kW but not exceeding 75 kW 8701.94.00 Exceeding 75 kW but not exceeding 130 kW 8701.95.10 Yard shunting tractors 8701.95.90 Other 8702.10.10 For the transport of 16 or more persons, including the driver 8702.10.20 For the transport of ten to 15 persons, including the driver 8702.20.10 For the transport of 16 or more persons, including the driver 8702.20.20 For the transport of ten to 15 persons, including the driver 8702.30.10 For the transport of 16 or more persons, including the driver 8702.30.20 For the transport of ten to 15 persons, including the driver 8702.40.10 For the transport of 16 or more persons, including the driver 8702.40.20 For the transport of ten to 15 persons, including the driver 8702.90.10 For the transport</w:t>
      </w:r>
    </w:p>
    <w:p>
      <w:pPr>
        <w:pStyle w:val="Normal"/>
        <w:widowControl/>
        <w:rPr/>
      </w:pPr>
      <w:r>
        <w:rPr/>
        <w:t>of 16 or more persons, including the driver 8702.90.20 For the transport of ten to 15 persons, including the driver 8703.10.10 Recreational or sporting vehicles specially designed for travelling on snow 8703.10.90 Other 8703.21.10 Non-amphibious all-terrain vehicles of a weight of less than 227.3 kg, having fewer than six wheels and designed to carry only one passenger 8703.21.90 Other 8703.22.00 Of a cylinder capacity exceeding 1,000 cc but not exceeding 1,500 cc 8703.23.00 Of a cylinder capacity exceeding 1,500 cc but not exceeding 3,000 cc 8703.24.00 Of a cylinder capacity exceeding 3,000 cc 8703.31.00 Of a cylinder capacity not exceeding 1,500 cc 8703.32.00 Of a cylinder capacity exceeding 1,500 cc but not exceeding 2,500 cc 8703.33.00 Of a cylinder capacity exceeding 2,500 cc 8703.40.10 Of a cylinder capacity not exceeding 1,000 cc 8703.40.90 Other 8703.50.00 Other vehicles, with both compression-ignition internal combustion piston engine (diesel or semi-diesel) and electric motor as motors for propulsion, other than those capable of being charged by plugging to external source of electric power 8703.60.10 Of a cylinder capacity not exceeding 1,000 cc 8703.60.90 Other</w:t>
      </w:r>
    </w:p>
    <w:p>
      <w:pPr>
        <w:pStyle w:val="Normal"/>
        <w:widowControl/>
        <w:rPr/>
      </w:pPr>
      <w:r>
        <w:rPr/>
        <w:t>8703.70.00 Other vehicles, with both compression-ignition internal combustion piston engine (diesel or semi-diesel) and electric motor as motors for propulsion, capable of being charged by plugging to external source of electric power 8703.80.00 Other vehicles, with only electric motor for propulsion</w:t>
      </w:r>
    </w:p>
    <w:p>
      <w:pPr>
        <w:pStyle w:val="Normal"/>
        <w:widowControl/>
        <w:rPr/>
      </w:pPr>
      <w:r>
        <w:rPr/>
        <w:t>8703.90.00 Other 8704.10.00 Dumpers designed for off-highway use 8704.21.10 For conversion to ambulances 8704.21.90 Other 8704.22.00 g.v.w. exceeding 5 tonnes but not exceeding 20 tonnes 8704.23.00 g.v.w. exceeding 20 tonnes 8704.31.00 g.v.w. not exceeding 5 tonnes 8704.32.00 g.v.w. exceeding 5 tonnes 8704.90.00 Other 8705.10.10 Railway maintenance cranes equipped to travel both by road and rail, with a lifting capacity exceeding 36.3 tonnes but not exceeding 68 tonnes 8705.10.90 Other 8705.20.00 Mobile drilling derricks 8705.30.00 Fire fighting vehicles 8705.40.10 Transit type, with delivery conveyors 8705.40.90 Other 8705.90.10 Automotive towing trucks for a basic wrecker rating not exceeding 67,000 kg; Cement trucks with mixing or pumping capabilities for the oil and gas industry, excluding concrete pumps with booms designed primarily for the construction industry;</w:t>
      </w:r>
    </w:p>
    <w:p>
      <w:pPr>
        <w:pStyle w:val="Normal"/>
        <w:widowControl/>
        <w:rPr/>
      </w:pPr>
      <w:r>
        <w:rPr/>
        <w:t>Lorries equipped with: aggregate spreaders; carpet cleaning machinery; coiled tubing systems for servicing oil wells; combination vacuum and broom type sweepers; furnace and duct cleaning machinery; highway paint spraying machinery; manlift baskets with a working height not exceeding 26.5 m; oil or gas well logging units; recovery vacuum tanks; road surface patching machines; sand and salt spreaders; scissor lifts; sewer and catch basin cleaners; snow blowers; solid waste removal tanks, without compactors; street cleaning flushers; sweepers for airports; or vacuum type sweeper-leaf loaders 8705.90.90 Other</w:t>
      </w:r>
    </w:p>
    <w:p>
      <w:pPr>
        <w:pStyle w:val="Normal"/>
        <w:widowControl/>
        <w:rPr/>
      </w:pPr>
      <w:r>
        <w:rPr/>
        <w:t>8706.00.10 For the tractors of tariff item No. 8701.10.10, 8701.30.00, 8701.91.00, 8701.92.00, 8701.93.00, 8701.94.00 or 8701.95.90 8706.00.20 For the vehicles of heading 87.03 or of subheading 8704.21 or 8704.31 8706.00.90 Other 8707.10.00 For the vehicles of heading 87.03 8707.90.10 Cabs for the tractors of tariff item No. 8701.10.10, 8701.30.00, 8701.91.00, 8701.92.00, 8701.93.00, 8701.94.00 or 8701.95.90 8707.90.90 Other 8708.10.10 Bumpers 8708.10.21 Parts: Face bars, of bare metal, not finished in any degree after final forming 8708.10.29 Parts: Other 8708.21.00 Safety seat belts 8708.29.11 Stampings: For the tractors of tariff item No. 8701.10.10, 8701.30.00, 8701.91.00, 8701.92.00, 8701.93.00, 8701.94.00 or 8701.95.90 8708.29.19 Stampings: Other 8708.29.20 Door assemblies 8708.29.60 Seat covers or floor mats of plastics 8708.29.91 Other: Veterinary units and parts and accessories thereof, designed for the transportation and storage of veterinary equipment and preparations, for installation on motor vehicles; Parts and accessories for use in the manufacture of fire fighting vehicles; Parts for the tractors of tariff item No. 8701.10.10, 8701.30.00, 8701.91.00, 8701.92.00, 8701.93.00, 8701.94.00 or 8701.95.90 8708.29.92 Other: Rear-trunk spoilers or wings of polyurethane, for use as aftermarket automotive accessories 8708.29.99 Other: Other 8708.30.11 Mounted brake linings: For the tractors of tariff item No.</w:t>
      </w:r>
    </w:p>
    <w:p>
      <w:pPr>
        <w:pStyle w:val="Normal"/>
        <w:widowControl/>
        <w:rPr/>
      </w:pPr>
      <w:r>
        <w:rPr/>
        <w:t>8701.10.10, 8701.30.00, 8701.91.00, 8701.92.00, 8701.93.00, 8701.94.00 or 8701.95.90 8708.30.19 Mounted brake linings: Other 8708.30.91 Other: Parts, excluding slack adjusters, service chambers, double diaphragm spring brake actuators and oiled air connectors, for use in the manufacture of air or vacuum brake control systems; Parts for the tractors of tariff item No. 8701.10.10, 8701.30.00, 8701.91.00, 8701.92.00, 8701.93.00, 8701.94.00 or 8701.95.90 8708.30.99 Other: Other 8708.40.21 Gear boxes: For the tractors of tariff item No. 8701.10.10, 8701.30.00, 8701.91.00, 8701.92.00, 8701.93.00, 8701.94.00 or 8701.95.90; Transfer cases for use in the manufacture of tandem suspension conversion systems or all-wheel drive conversion systems to be installed in vehicles of heading 87.04 or 87.05 after the date of manufacture of those vehicles but prior to the date of receipt and licensing by the original purchaser 8708.40.29 Gear boxes: Other 8708.40.91 Other: For the tractors of tariff item No. 8701.10.10, 8701.30.00, 8701.91.00, 8701.92.00, 8701.93.00, 8701.94.00 or 8701.95.90; For installation in motor vehicles designed for the transportation and storage of veterinary equipment and preparations; Parts and accessories for use in the manufacture of fire fighting vehicles 8708.40.99 Other: Other 8708.50.31 Drive-axles with differential, whether or not provided with other transmission components: For the tractors of tariff item No.</w:t>
      </w:r>
    </w:p>
    <w:p>
      <w:pPr>
        <w:pStyle w:val="Normal"/>
        <w:widowControl/>
        <w:rPr/>
      </w:pPr>
      <w:r>
        <w:rPr/>
        <w:t>8701.10.10, 8701.30.00, 8701.91.00, 8701.92.00, 8701.93.00, 8701.94.00 or 8701.95.90; For use in the manufacture of self-propelled road sweepers; Front steerable drive axles for use in the manufacture of tandem suspension conversion systems or all-wheel drive conversion systems to be installed in vehicles of heading 87.04 or 87.05 after the date of manufacture of those vehicles but prior to the date of receipt and licensing by the original purchaser; Transaxle assemblies for use in the manufacture of off-highway utility vehicles of a weight not exceeding 680 kg 8708.50.39 Drive-axles with differential, whether or not provided with other transmission components: Other 8708.50.81 Parts of drive-axles with differential: For installation in motor vehicles designed for the transportation and storage of veterinary equipment and preparations; Half shafts for the tractors of tariff item No. 8701.10.10, 8701.30.00, 8701.91.00, 8701.92.00, 8701.93.00, 8701.94.00 or 8701.95.90; Parts and accessories for use in the manufacture of fire fighting vehicles 8708.50.89 Parts of drive-axles with differential: Other 8708.50.91 Other: For the tractors of tariff item No. 8701.10.10, 8701.30.00, 8701.91.00, 8701.92.00, 8701.93.00, 8701.94.00 or 8701.95.90 8708.50.99 Other: Other 8708.70.11 Road wheels: For the tractors of tariff item No.</w:t>
      </w:r>
    </w:p>
    <w:p>
      <w:pPr>
        <w:pStyle w:val="Normal"/>
        <w:widowControl/>
        <w:rPr/>
      </w:pPr>
      <w:r>
        <w:rPr/>
        <w:t>8701.10.10, 8701.30.00, 8701.91.00, 8701.92.00, 8701.93.00, 8701.94.00 or 8701.95.90 8708.70.19 Road wheels: Other 8708.70.21 Parts and accessories: Locking ring and rim sections, of hot- rolled iron or steel, for use in the manufacture of wheel rim assemblies; For the tractors of tariff item No. 8701.10.10, 8701.30.00, 8701.91.00, 8701.92.00, 8701.93.00, 8701.94.00 or 8701.95.90 8708.70.29 Parts and accessories: Other 8708.80.11 McPherson struts: For use in the manufacture of off-highway utility vehicles of a weight not exceeding 680 kg 8708.80.19 McPherson struts: Other 8708.80.20 Spring shock assemblies for use in the manufacture of off- highway utility vehicles of a weight not exceeding 680 kg; Other, for the tractors of tariff item No. 8701.10.10, 8701.30.00, 8701.91.00, 8701.92.00, 8701.93.00, 8701.94.00 or 8701.95.90 8708.80.30 Other suspension shock absorbers 8708.80.91 Other: For the tractors of tariff item No. 8701.10.10, 8701.30.00, 8701.91.00, 8701.92.00, 8701.93.00, 8701.94.00 or 8701.95.90 8708.80.99 Other: Other 8708.91.21 Radiators: For the tractors of tariff item No. 8701.10.10, 8701.30.00, 8701.91.00, 8701.92.00, 8701.93.00, 8701.94.00 or 8701.95.90 8708.91.29 Radiators: Other 8708.91.91 Other: For the tractors of tariff item No.</w:t>
      </w:r>
    </w:p>
    <w:p>
      <w:pPr>
        <w:pStyle w:val="Normal"/>
        <w:widowControl/>
        <w:rPr/>
      </w:pPr>
      <w:r>
        <w:rPr/>
        <w:t>8701.10.10, 8701.30.00, 8701.91.00, 8701.92.00, 8701.93.00, 8701.94.00 or 8701.95.90; For installation in motor vehicles designed for the transportation and storage of veterinary equipment and preparations; Parts and accessories for use in the manufacture of fire fighting vehicles; Parts for use in the manufacture of aftermarket radiators for motor vehicles 8708.91.99 Other: Other 8708.92.21 Silencers (mufflers) and exhaust pipes: For the tractors of tariff item No. 8701.10.10, 8701.30.00, 8701.91.00, 8701.92.00, 8701.93.00, 8701.94.00 or 8701.95.90 8708.92.29 Silencers (mufflers) and exhaust pipes: Other 8708.92.91 Other: For the tractors of tariff item No. 8701.10.10, 8701.30.00, 8701.91.00, 8701.92.00, 8701.93.00, 8701.94.00 or 8701.95.90; For installation in motor vehicles designed for the transportation and storage of veterinary equipment and preparations; Parts and accessories for use in the manufacture of fire fighting vehicles 8708.92.99 Other: Other 8708.93.11 Clutches: For the tractors of tariff item No. 8701.10.10, 8701.30.00, 8701.91.00, 8701.92.00, 8701.93.00, 8701.94.00 or 8701.95.90 8708.93.19 Clutches: Other 8708.93.21 Parts of clutches: For the tractors of tariff item No. 8701.10.10, 8701.30.00, 8701.91.00, 8701.92.00, 8701.93.00, 8701.94.00 or 8701.95.90 8708.93.29 Parts of clutches: Other 8708.94.21 Steering wheels, steering columns and steering boxes: For the tractors of tariff item No.</w:t>
      </w:r>
    </w:p>
    <w:p>
      <w:pPr>
        <w:pStyle w:val="Normal"/>
        <w:widowControl/>
        <w:rPr/>
      </w:pPr>
      <w:r>
        <w:rPr/>
        <w:t>8701.10.10, 8701.30.00, 8701.91.00, 8701.92.00, 8701.93.00, 8701.94.00 or 8701.95.90 8708.94.29 Steering wheels, steering columns and steering boxes: Other 8708.94.91 Other: For the tractors of tariff item No. 8701.10.10, 8701.30.00, 8701.91.00, 8701.92.00, 8701.93.00, 8701.94.00 or 8701.95.90; Rack and pinion steering assemblies for use in the manufacture of off-highway utility vehicles of a weight not exceeding 680 kg 8708.94.99 Other: Other 8708.95.10 For installation in motor vehicles designed for the transportation and storage of veterinary equipment and preparations; Parts and accessories for use in the manufacture of fire fighting vehicles 8708.95.90 Other 8708.99.14 Parts for power trains: For the tractors of tariff item No. 8701.10.10, 8701.30.00, 8701.91.00, 8701.92.00, 8701.93.00, 8701.94.00 or 8701.95.90 8708.99.15 Parts for power trains: For the vehicles of heading 87.03 8708.99.19 Parts for power trains: Other 8708.99.41 Vibration control units containing rubber: For the tractors of tariff item No. 8701.10.10, 8701.30.00, 8701.91.00, 8701.92.00, 8701.93.00, 8701.94.00 or 8701.95.90 8708.99.49 Vibration control units containing rubber: Other 8708.99.51 Double flanged wheel hub units incorporating ball bearings: For the tractors of tariff item No. 8701.10.10, 8701.30.00, 8701.91.00, 8701.92.00, 8701.93.00, 8701.94.00 or 8701.95.90 8708.99.59 Double flanged wheel hub units incorporating ball bearings: Other 8708.99.91 Other: For the tractors of tariff item No.</w:t>
      </w:r>
    </w:p>
    <w:p>
      <w:pPr>
        <w:pStyle w:val="Normal"/>
        <w:widowControl/>
        <w:rPr/>
      </w:pPr>
      <w:r>
        <w:rPr/>
        <w:t>8701.10.10, 8701.30.00, 8701.91.00, 8701.92.00, 8701.93.00, 8701.94.00 or 8701.95.90; Veterinary units, and parts and accessories thereof, designed for the transportation and storage of veterinary equipment and preparations, for installation in motor vehicles; Parts and accessories for use in the manufacture of fire fighting vehicles; Parts for use in the manufacture of aftermarket gas tanks for motor vehicles 8708.99.99 Other: Other 8709.11.10 Industrial tow tractors with motors of an output not exceeding 3.5 kW 8709.11.90 Other 8709.19.10 Tractors 8709.19.90 Other 8709.90.00 Parts 8710.00.00 Tanks and other armoured fighting vehicles, motorized, whether or not fitted with weapons, and parts of such vehicles.</w:t>
      </w:r>
    </w:p>
    <w:p>
      <w:pPr>
        <w:pStyle w:val="Normal"/>
        <w:widowControl/>
        <w:rPr/>
      </w:pPr>
      <w:r>
        <w:rPr/>
        <w:t>8711.10.00 With reciprocating internal combustion piston engine of a cylinder capacity not exceeding 50 cc 8711.20.00 With reciprocating internal combustion piston engine of a cylinder capacity exceeding 50 cc but not exceeding 250 cc 8711.30.00 With reciprocating internal combustion piston engine of a cylinder capacity exceeding 250 cc but not exceeding 500 cc 8711.40.00 With reciprocating internal combustion piston engine of a cylinder capacity exceeding 500 cc but not exceeding 800 cc 8711.50.00 With reciprocating internal combustion piston engine of a cylinder capacity exceeding 800 cc 8711.60.00 With electric motor for propulsion 8711.90.00 Other 8712.00.00 Bicycles and other cycles (including delivery tricycles), not motorized.</w:t>
      </w:r>
    </w:p>
    <w:p>
      <w:pPr>
        <w:pStyle w:val="Normal"/>
        <w:widowControl/>
        <w:rPr/>
      </w:pPr>
      <w:r>
        <w:rPr/>
        <w:t>8713.10.00 Not mechanically propelled 8713.90.00 Other 8714.10.00 Of motorcycles (including mopeds) 8714.20.00 Of carriages for disabled persons 8714.91.10 Frame lugs, bottom bracket shells, forks, fork tubing sets, fork bearing assemblies, hydraulic shock absorbing cylinders, spring shock absorbers, rear pivots, cable stops, cable guides and back, chain and seat stays 8714.91.90 Other 8714.92.00 Wheel rims and spokes 8714.93.00 Hubs, other than coaster braking hubs and hub brakes, and free wheel sprocket-wheels 8714.94.00 Brakes, including coaster braking hubs, and hub brakes, and parts thereof 8714.95.00 Saddles 8714.96.00 Pedals and crank-gear, and parts thereof 8714.99.10 Bicycle wheels 8714.99.90 Other 8715.00.00 Baby carriages and parts thereof. 8716.10.00 Trailers and semi-trailers of the caravan type, for housing or camping 8716.20.10 Automatic bale stacking wagons, grain carts and silage wagons 8716.20.90 Other 8716.31.00 Tanker trailers and tanker semi-trailers 8716.39.10 Aluminum construction drop-centre livestock trailers having a g.v.w.</w:t>
      </w:r>
    </w:p>
    <w:p>
      <w:pPr>
        <w:pStyle w:val="Normal"/>
        <w:widowControl/>
        <w:rPr/>
      </w:pPr>
      <w:r>
        <w:rPr/>
        <w:t>of 11.778 tonnes or more and a length exceeding 12 m 8716.39.20 Farm, logging or freight wagons; Trailers for self-propelled logging trucks of heading 87.04 8716.39.30 Trailers and semi-trailers for road tractors or for motor vehicles for the transport of goods (excluding non-commercial snowmobile, utility, boat or horse trailers and trailers for use as permanent mountings for machinery or equipment) 8716.39.90 Other 8716.40.00 Other trailers and semi-trailers 8716.80.10 For the transport of persons 8716.80.20 For the transport of goods 8716.90.30 For use in the manufacture of trailers and semi-trailers 8716.90.91 Other: Brake drums, hubs and rotors for use in the manufacture or repair of brakes and brake assemblies mounted on axles for semi-trailers; Double ball race turntables for use in the manufacture of self- steering axle assemblies for trailers; Forage boxes for self-loading or self-unloading trailers and semi trailers, for agricultural purposes; Gravity discharge boxes for farm wagons; Hitches and couplings, for use on the farm; Parts for automatic bale stacking wagons, grain carts, silage wagons, or the header or swather transporters of subheading 8716.39 8716.90.92 Other:</w:t>
      </w:r>
    </w:p>
    <w:p>
      <w:pPr>
        <w:pStyle w:val="Normal"/>
        <w:widowControl/>
        <w:rPr/>
      </w:pPr>
      <w:r>
        <w:rPr/>
        <w:t>Other parts for farm, logging or freight wagons, for trailers for self-propelled logging trucks or for other vehicles for the transport of persons 8716.90.99 Other: Other 8801.00.10 Captive balloons 8801.00.90 Other 8802.11.00 Of an unladen weight not exceeding 2,000 kg 8802.12.00 Of an unladen</w:t>
      </w:r>
    </w:p>
    <w:p>
      <w:pPr>
        <w:pStyle w:val="Normal"/>
        <w:widowControl/>
        <w:rPr/>
      </w:pPr>
      <w:r>
        <w:rPr/>
        <w:t>weight exceeding 2,000 kg 8802.20.00 Airplanes and other aircraft, of an unladen weight not exceeding 2,000 kg 8802.30.00 Airplanes and other aircraft, of an unladen weight exceeding 2,000 kg but not exceeding 15,000 kg 8802.40.00 Airplanes and other aircraft, of an unladen weight exceeding 15,000 kg 8802.60.10 Satellites 8802.60.90 Other 8803.10.00 Propellers and rotors and parts thereof 8803.20.00 Under-carriages and parts thereof 8803.30.00 Other parts of airplanes or helicopters 8803.90.00 Other 8804.00.10 Parachutes (including dirigible parachutes) and rotochutes 8804.00.20 Parts and accessories for parachutes (including dirigible parachutes) and rotochutes 8804.00.30 Paragliders; parts thereof and accessories thereto 8805.10.00 Aircraft launching gear and parts thereof; deck-arrestor or similar gear and parts thereof 8805.21.00 Air combat simulators and parts thereof 8805.29.00 Other 8901.10.10 Of dimensions exceeding a length of 294.13 m and a beam of 32.31 m 8901.10.90 Other 8901.20.10 Of dimensions exceeding a length of 294.13 m and a beam of 32.31 m 8901.20.90 Other 8901.30.00 Refrigerated vessels, other than those of subheading 8901.20 8901.90.10 Open vessels 8901.90.91 Other:</w:t>
      </w:r>
    </w:p>
    <w:p>
      <w:pPr>
        <w:pStyle w:val="Normal"/>
        <w:widowControl/>
        <w:rPr/>
      </w:pPr>
      <w:r>
        <w:rPr/>
        <w:t>Of dimensions exceeding a length of 294.13 m and a beam of 32.31 m 8901.90.99 Other: Other 8902.00.10 Of a registered length not exceeding 30.5 m 8902.00.20 Of a registered length exceeding 30.5 m 8903.10.00 Inflatable 8903.91.00 Sailboats, with or without auxiliary motor 8903.92.00</w:t>
      </w:r>
    </w:p>
    <w:p>
      <w:pPr>
        <w:pStyle w:val="Normal"/>
        <w:widowControl/>
        <w:rPr/>
      </w:pPr>
      <w:r>
        <w:rPr/>
        <w:t>Motorboats, other than outboard motorboats 8903.99.10 Racing shells 8903.99.90 Other 8904.00.00 Tugs and pusher craft. 8905.10.00 Dredgers 8905.20.11 Drilling platforms: Used in drilling activity for exploration, delineation or development of offshore projects 8905.20.19 Drilling platforms: Other 8905.20.20 Production platforms 8905.90.11 Drill-ships, drilling barges and floating drilling rigs: Drill-ships used in drilling activity for exploration, delineation or development of offshore projects 8905.90.19 Drill-ships, drilling barges and floating drilling rigs: Other 8905.90.20 Semi-submersible crane vessels, floating cranes, and other heavy lift crane vessels, with a minimum gross lift capacity of 1,200 tonnes 8905.90.90 Other 8906.10.00 Warships 8906.90.11 Open vessels: Lifeboats imported by societies dedicated to the saving of lives 8906.90.19 Open vessels: Other 8906.90.91 Other: Of dimensions exceeding a length of 294.13 m and a beam of 32.31 m 8906.90.99 Other: Other 8907.10.10 Imported by societies dedicated to the saving of lives 8907.10.90 Other 8907.90.10 Marker buoys, excluding wooden buoys, to be employed in commercial fishing or in the commercial harvesting of marine plants 8907.90.20 Other buoys and beacons 8907.90.90 Other 8908.00.10 Stripped of salvageable articles or equipment 8908.00.90 Other 9001.10.00 Optical fibres, optical fibre bundles and cables 9001.20.00 Sheets and plates of polarizing material 9001.30.00 Contact lenses 9001.40.10 Designed for use</w:t>
      </w:r>
    </w:p>
    <w:p>
      <w:pPr>
        <w:pStyle w:val="Normal"/>
        <w:widowControl/>
        <w:rPr/>
      </w:pPr>
      <w:r>
        <w:rPr/>
        <w:t>by workers employed in hazardous work 9001.40.40 Other, unfinished 9001.40.90 Other 9001.50.10 Designed for use by workers employed in hazardous work; Unfinished, light polarizing, for use in the manufacture of spectacles 9001.50.40 Other, unfinished 9001.50.90 Other 9001.90.10 Diffusion discs, polarizing filters and colour filters, for cameras, and holders for use therewith; Diffraction gratings, proof planes and optical flats; Fresnel lenses or lenticular lenses for use in the manufacture of projection-type colour television receivers; Halftone or similar printing screens; Lenses or shields for use in the manufacture of ski goggles 9001.90.90 Other 9002.11.10 For colour television cameras or colour video cameras; For enlargers making negatives or positives of a width exceeding 10 cm and a length exceeding 12.5 cm; For photographic cameras; For use in the manufacture of projectors; To be employed in the commercial production of video tape productions, cinematographic films (motion picture films), animated films or multi-image shows 9002.11.90 Other 9002.19.10 For microscopes; For photogrammetric instruments; For rangefinders; For microfilm reader-printers;</w:t>
      </w:r>
    </w:p>
    <w:p>
      <w:pPr>
        <w:pStyle w:val="Normal"/>
        <w:widowControl/>
        <w:rPr/>
      </w:pPr>
      <w:r>
        <w:rPr/>
        <w:t>Of a diameter of 6 cm or more but not exceeding 20.5 cm, for astronomical telescopes 9002.19.90 Other 9002.20.10 Diffusion discs, polarizing filters and colour filters, for cameras, and holders for use therewith; Filters for photogrammetric or stereoscopic instruments; Polarizing filters for microscopes 9002.20.90 Other</w:t>
      </w:r>
    </w:p>
    <w:p>
      <w:pPr>
        <w:pStyle w:val="Normal"/>
        <w:widowControl/>
        <w:rPr/>
      </w:pPr>
      <w:r>
        <w:rPr/>
        <w:t>9002.90.10 Halftone or similar printing screens; Lenses, viewfinders and eyepieces, used with the equipment and apparatus specified in tariff item No. 9002.11.10 or 9002.19.10; Mirrors and prisms for astronomical telescopes 9002.90.90 Other 9003.11.10 For prismatic eyeglasses for reading; For safety goggles or safety spectacles designed for use by workers employed in hazardous work 9003.11.20 For other spectacles, goggles or the like 9003.19.00 Of other materials 9003.90.10 For use in the manufacture of ski goggles; Of other spectacles, goggles or the like, unfinished; Of prismatic eyeglasses for reading; Of safety goggles or safety spectacles designed for use by workers employed in hazardous work 9003.90.90 Other 9004.10.00 Sunglasses 9004.90.10 Prismatic eyeglasses for reading; Safety goggles and safety spectacles, designed for use by workers employed in hazardous work 9004.90.90 Other 9005.10.00 Binoculars 9005.80.10 Telescopes 9005.80.90 Other 9005.90.11 Of binoculars or telescopes of heading 90.05: Incorporating goods of heading 90.01 or 90.02 9005.90.19 Of binoculars or telescopes of heading 90.05: Other 9005.90.91 Other: Incorporating goods of heading 90.01 or 90.02 9005.90.99 Other: Other 9006.30.10 Comparison cameras for forensic or criminological purposes;</w:t>
      </w:r>
    </w:p>
    <w:p>
      <w:pPr>
        <w:pStyle w:val="Normal"/>
        <w:widowControl/>
        <w:rPr/>
      </w:pPr>
      <w:r>
        <w:rPr/>
        <w:t>For making negatives or positives of a width exceeding 8 cm and of a length exceeding 10.5 cm; Specially designed for medical or surgical examination of internal organs 9006.30.90 Other 9006.40.00 Instant print</w:t>
      </w:r>
    </w:p>
    <w:p>
      <w:pPr>
        <w:pStyle w:val="Normal"/>
        <w:widowControl/>
        <w:rPr/>
      </w:pPr>
      <w:r>
        <w:rPr/>
        <w:t>cameras 9006.51.00 With a through-the-lens viewfinder (single lens reflex (SLR)), for roll film of a width not exceeding 35 mm 9006.52.10 For making negatives or positives; Single-use cameras 9006.52.90 Other 9006.53.10 For making negatives or positives; Single-use cameras 9006.53.90 Other 9006.59.10 For making negatives or positives 9006.59.90 Other 9006.61.00 Discharge lamp (“electronic”) flashlight apparatus 9006.69.10 Flash guns 9006.69.20 Flashbulbs, flashcubes and the like 9006.69.90 Other 9006.91.10 Lantern slide attachments, lens hoods, stands and vignetters; Parts of the foregoing; Shutters and parts thereof, for use in the manufacture of cameras; Tripod tops and other parts of tripods; Unfinished parts for use in the manufacture of cameras; Other parts of the goods of tariff item No.</w:t>
      </w:r>
    </w:p>
    <w:p>
      <w:pPr>
        <w:pStyle w:val="Normal"/>
        <w:widowControl/>
        <w:rPr/>
      </w:pPr>
      <w:r>
        <w:rPr/>
        <w:t>9006.30.10, 9006.40.00, 9006.51.00, 9006.52.90, 9006.53.90, 9006.59.10 or 9006.59.90 9006.91.90 Other 9006.99.10 Parts of discharge lamp (“electronic”) flashlight apparatus or flash guns 9006.99.90 Other 9007.10.10 For use with surgical, dental, veterinary or diagnostic instruments; To be employed in the commercial production of video tape productions, cinematographic films (motion picture films), animated films or multi-image shows 9007.10.90 Other 9007.20.10 To be employed in medical, surgical, dental or veterinary applications 9007.20.90 Other 9007.91.00 For cameras 9007.92.10 Parts for use in the manufacture of projectors 9007.92.90 Other 9008.50.10 Slide projectors 9008.50.21 Microfilm, microfiche or other microform readers, whether or not capable of producing copies: Microfilm or microfiche reader- printers 9008.50.29 Microfilm, microfiche or other microform readers, whether or not capable of producing copies: Other 9008.50.30 Other image projectors 9008.50.90 Other 9008.90.10 Parts 9008.90.20 Accessories 9010.10.00 Apparatus and equipment for automatically developing photographic (including cinematographic) film or paper in rolls or for automatically exposing developed film to rolls of photographic paper 9010.50.10 Ferro-type plates; Film or paper processors for photo-finishing; Film or print dryers; For X-ray film; Mounting presses; Negative or sheet-film hangers; Print straighteners; Print washers; Tanks and trays for negative and positive processing; To be</w:t>
      </w:r>
    </w:p>
    <w:p>
      <w:pPr>
        <w:pStyle w:val="Normal"/>
        <w:widowControl/>
        <w:rPr/>
      </w:pPr>
      <w:r>
        <w:rPr/>
        <w:t>employed in the commercial production of video tape productions or cinematographic films (motion picture films), animated films or multi-image shows 9010.50.90 Other 9010.60.00 Projection screens 9010.90.00 Parts and accessories 9011.10.00 Stereoscopic microscopes 9011.20.00 Other microscopes, for photomicrography, cinephotomicrography or microprojection 9011.80.00 Other microscopes 9011.90.00 Parts and accessories 9012.10.00 Microscopes other than optical microscopes; diffraction apparatus 9012.90.00 Parts and accessories 9013.10.00 Telescopic sights for fitting to arms; periscopes; telescopes designed to form parts of machines, appliances, instruments or apparatus of this Chapter or Section XVI 9013.20.00 Lasers, other than laser diodes 9013.80.00 Other devices, appliances and instruments 9013.90.00 Parts and accessories 9014.10.10 For marine or aeronautical navigation; For use in the manufacture of geophysical instruments or appliances or for use in the manufacture of parts and accessories thereof, of heading 90.15 9014.10.90 Other 9014.20.00 Instruments and appliances for aeronautical or space navigation (other than compasses) 9014.80.10 Sextants 9014.80.90 Other 9014.90.00 Parts and accessories 9015.10.00 Rangefinders 9015.20.00 Theodolites and tachymeters (tacheometers) 9015.30.00 Levels 9015.40.00 Photogrammetrical surveying instruments and appliances 9015.80.10 Geophysical instruments, excluding magnetometers, gravimeters and geophone stringers; Oceanographic</w:t>
      </w:r>
    </w:p>
    <w:p>
      <w:pPr>
        <w:pStyle w:val="Normal"/>
        <w:widowControl/>
        <w:spacing w:before="0" w:after="160"/>
        <w:rPr/>
      </w:pPr>
      <w:r>
        <w:rPr/>
        <w:t>instruments and appliances, to be employed in research 9015.80.20 Anemometers and other instruments for measuring wind direction; Ceilometers; Visibility meters, including transmissometers 9015.80.90 Other 9015.90.00 Parts and accessories 9016.00.00 Balances of a sensitivity of 5 cg or better, with or without weights. 9017.10.10 Drafting machines 9017.10.20 Drafting tables 9017.20.10 Drawing instruments 9017.20.90 Other 9017.30.00 Micrometers, callipers and gauges 9017.80.10 Measuring rules and tapes 9017.80.90 Other, including map measurers 9017.90.00 Parts and accessories 9018.11.10 Electro-cardiographs 9018.11.91 Parts and accessories: Printed circuit assemblies 9018.11.99 Parts and accessories: Other 9018.12.00 Ultrasonic scanning apparatus 9018.13.00 Magnetic resonance imaging apparatus 9018.14.00 Scintigraphic apparatus 9018.19.10 Patient monitoring systems 9018.19.20 Printed circuit assemblies for parameter acquisition modules 9018.19.90 Other 9018.20.00 Ultra-violet or infra-red ray apparatus 9018.31.00 Syringes, with or without needles 9018.32.00 Tubular metal needles and needles for sutures 9018.39.00 Other 9018.41.00 Dental drill engines, whether or not combined on a single base with other dental equipment 9018.49.00 Other 9018.50.00 Other ophthalmic instruments and appliances 9018.90.10 Defibrillators 9018.90.20 Printed circuit assemblies for the goods of tariff item No.</w:t>
      </w:r>
    </w:p>
    <w:tbl>
      <w:tblPr>
        <w:tblStyle w:val="TableGrid"/>
        <w:tblW w:w="9360" w:type="dxa"/>
        <w:jc w:val="center"/>
        <w:tblInd w:w="-28" w:type="dxa"/>
        <w:tblLayout w:type="autofit"/>
        <w:tblCellMar>
          <w:top w:w="60" w:type="dxa"/>
          <w:left w:w="80" w:type="dxa"/>
          <w:bottom w:w="60" w:type="dxa"/>
          <w:right w:w="80" w:type="dxa"/>
        </w:tblCellMar>
        <w:tblLook w:val="04a0" w:noHBand="0" w:noVBand="1" w:firstColumn="1" w:lastRow="0" w:lastColumn="0" w:firstRow="1"/>
      </w:tblPr>
      <w:tblGrid>
        <w:gridCol w:w="4680"/>
        <w:gridCol w:w="4679"/>
      </w:tblGrid>
      <w:tr>
        <w:trPr>
          <w:tblHeader w:val="true"/>
          <w:cantSplit w:val="true"/>
          <w:tblHeader w:val="true"/>
        </w:trPr>
        <w:tc>
          <w:tcPr>
            <w:tcW w:w="4680" w:type="dxa"/>
            <w:tcBorders/>
            <w:vAlign w:val="center"/>
            <w:shd w:fill="233746"/>
          </w:tcPr>
          <w:p>
            <w:pPr>
              <w:pStyle w:val="Normal"/>
              <w:widowControl/>
              <w:suppressAutoHyphens w:val="true"/>
              <w:spacing w:lineRule="auto" w:line="240" w:before="0" w:after="0"/>
              <w:jc w:val="left"/>
              <w:rPr>
                <w:rFonts w:cs=""/>
                <w:kern w:val="0"/>
                <w:szCs w:val="22"/>
                <w:lang w:val="en-US" w:eastAsia="en-US" w:bidi="ar-SA"/>
              </w:rPr>
            </w:pPr>
            <w:r>
              <w:rPr>
                <w:rFonts w:cs="" w:ascii="Arial" w:hAnsi="Arial"/>
                <w:b/>
                <w:color w:val="FFFFFF"/>
                <w:kern w:val="0"/>
                <w:sz w:val="17"/>
                <w:szCs w:val="22"/>
                <w:lang w:val="en-US" w:eastAsia="en-US" w:bidi="ar-SA"/>
              </w:rPr>
              <w:t>Tariff Item</w:t>
            </w:r>
          </w:p>
        </w:tc>
        <w:tc>
          <w:tcPr>
            <w:tcW w:w="4679" w:type="dxa"/>
            <w:tcBorders/>
            <w:vAlign w:val="center"/>
            <w:shd w:fill="233746"/>
          </w:tcPr>
          <w:p>
            <w:pPr>
              <w:pStyle w:val="Normal"/>
              <w:widowControl/>
              <w:suppressAutoHyphens w:val="true"/>
              <w:spacing w:lineRule="auto" w:line="240" w:before="0" w:after="0"/>
              <w:jc w:val="left"/>
              <w:rPr>
                <w:rFonts w:cs=""/>
                <w:kern w:val="0"/>
                <w:szCs w:val="22"/>
                <w:lang w:val="en-US" w:eastAsia="en-US" w:bidi="ar-SA"/>
              </w:rPr>
            </w:pPr>
            <w:r>
              <w:rPr>
                <w:rFonts w:cs="" w:ascii="Arial" w:hAnsi="Arial"/>
                <w:b/>
                <w:color w:val="FFFFFF"/>
                <w:kern w:val="0"/>
                <w:sz w:val="17"/>
                <w:szCs w:val="22"/>
                <w:lang w:val="en-US" w:eastAsia="en-US" w:bidi="ar-SA"/>
              </w:rPr>
              <w:t>Description</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9018.90.10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9018.90.90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Other</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9019.10.00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Mechano-therapy appliances; massage apparatus; psychological aptitude-testing apparatus</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9019.20.00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Ozone therapy, oxygen therapy, aerosol therapy, artificial respiration or other therapeutic respiration apparatus</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9020.00.00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Other breathing appliances and gas masks, excluding protective masks having neither mechanical parts nor replaceable filters.</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9021.10.00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Orthopaedic or fracture appliances</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9021.21.00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Artificial teeth</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9021.29.00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Other</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9021.31.00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Artificial joints</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9021.39.00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Other</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9021.40.00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Hearing aids, excluding parts and accessories</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9021.50.00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Pacemakers for stimulating heart muscles, excluding parts and accessories</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9021.90.00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Other</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9022.12.00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Computed tomography apparatus</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9022.13.00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Other, for dental uses</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9022.14.00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Other, for medical, surgical or veterinary uses</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9022.19.00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For other uses</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9022.21.00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For medical, surgical, dental or veterinary uses</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9022.29.00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For other uses</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9022.30.00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X-ray tubes</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9022.90.10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Radiation generator units</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9022.90.20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Radiation beam delivery units</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9022.90.90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Other</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9023.00.00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Instruments, apparatus and models, designed for demonstrational purposes (for example, in education or exhibitions), unsuitable for other uses.</w:t>
            </w:r>
          </w:p>
        </w:tc>
      </w:tr>
    </w:tbl>
    <w:p>
      <w:pPr>
        <w:pStyle w:val="Normal"/>
        <w:widowControl/>
        <w:spacing w:before="160" w:after="120"/>
        <w:rPr/>
      </w:pPr>
      <w:r>
        <w:rPr/>
        <w:t>9024.10.00 Machines and appliances for testing metals 9024.80.00 Other machines and appliances 9024.90.00 Parts and accessories 9025.11.10 Clinical thermometers 9025.11.90 Other 9025.19.00 Other 9025.80.10 Barometers, not combined with other instruments 9025.80.90 Other 9025.90.00 Parts and accessories 9026.10.00 For measuring or checking the flow or level of liquids 9026.20.00 For measuring or checking pressure 9026.80.00 Other instruments or apparatus 9026.90.00 Parts and accessories 9027.10.00 Gas or smoke analysis apparatus 9027.20.00 Chromatographs and electrophoresis instruments 9027.30.00 Spectrometers, spectrophotometers and spectrographs using optical radiations (UV, visible, IR) 9027.50.00 Other instruments and apparatus using optical radiations (UV, visible, IR) 9027.80.11 Salinometers, titration instruments, rH and pH meters; Vibration, noise or spike energy measuring, analyzing or monitoring instruments: For physical or chemical analysis of drilling mud, acidizing fluids, fracturing fluids or well cement, excluding pH meters 9027.80.19 Salinometers, titration instruments, rH and pH meters; Vibration, noise or spike energy measuring, analyzing or monitoring instruments: Other 9027.80.20 Nuclear magnetic resonance instruments 9027.80.90 Other 9027.90.00 Microtomes; parts and accessories 9028.10.00 Gas meters 9028.20.00 Liquid meters 9028.30.00 Electricity meters 9028.90.10 Of gas meters; Of liquid meters, excluding those for fitting to fuel dispensing pumps, of</w:t>
      </w:r>
    </w:p>
    <w:p>
      <w:pPr>
        <w:pStyle w:val="Normal"/>
        <w:widowControl/>
        <w:spacing w:before="0" w:after="160"/>
        <w:rPr/>
      </w:pPr>
      <w:r>
        <w:rPr/>
        <w:t>the kind used in filling stations or in garages; Transducers</w:t>
      </w:r>
    </w:p>
    <w:tbl>
      <w:tblPr>
        <w:tblStyle w:val="TableGrid"/>
        <w:tblW w:w="9360" w:type="dxa"/>
        <w:jc w:val="center"/>
        <w:tblInd w:w="-28" w:type="dxa"/>
        <w:tblLayout w:type="autofit"/>
        <w:tblCellMar>
          <w:top w:w="60" w:type="dxa"/>
          <w:left w:w="80" w:type="dxa"/>
          <w:bottom w:w="60" w:type="dxa"/>
          <w:right w:w="80" w:type="dxa"/>
        </w:tblCellMar>
        <w:tblLook w:val="04a0" w:noHBand="0" w:noVBand="1" w:firstColumn="1" w:lastRow="0" w:lastColumn="0" w:firstRow="1"/>
      </w:tblPr>
      <w:tblGrid>
        <w:gridCol w:w="4680"/>
        <w:gridCol w:w="4679"/>
      </w:tblGrid>
      <w:tr>
        <w:trPr>
          <w:tblHeader w:val="true"/>
          <w:cantSplit w:val="true"/>
          <w:tblHeader w:val="true"/>
        </w:trPr>
        <w:tc>
          <w:tcPr>
            <w:tcW w:w="4680" w:type="dxa"/>
            <w:tcBorders/>
            <w:vAlign w:val="center"/>
            <w:shd w:fill="233746"/>
          </w:tcPr>
          <w:p>
            <w:pPr>
              <w:pStyle w:val="Normal"/>
              <w:widowControl/>
              <w:suppressAutoHyphens w:val="true"/>
              <w:spacing w:lineRule="auto" w:line="240" w:before="0" w:after="0"/>
              <w:jc w:val="left"/>
              <w:rPr>
                <w:rFonts w:cs=""/>
                <w:kern w:val="0"/>
                <w:szCs w:val="22"/>
                <w:lang w:val="en-US" w:eastAsia="en-US" w:bidi="ar-SA"/>
              </w:rPr>
            </w:pPr>
            <w:r>
              <w:rPr>
                <w:rFonts w:cs="" w:ascii="Arial" w:hAnsi="Arial"/>
                <w:b/>
                <w:color w:val="FFFFFF"/>
                <w:kern w:val="0"/>
                <w:sz w:val="17"/>
                <w:szCs w:val="22"/>
                <w:lang w:val="en-US" w:eastAsia="en-US" w:bidi="ar-SA"/>
              </w:rPr>
              <w:t>Tariff Item</w:t>
            </w:r>
          </w:p>
        </w:tc>
        <w:tc>
          <w:tcPr>
            <w:tcW w:w="4679" w:type="dxa"/>
            <w:tcBorders/>
            <w:vAlign w:val="center"/>
            <w:shd w:fill="233746"/>
          </w:tcPr>
          <w:p>
            <w:pPr>
              <w:pStyle w:val="Normal"/>
              <w:widowControl/>
              <w:suppressAutoHyphens w:val="true"/>
              <w:spacing w:lineRule="auto" w:line="240" w:before="0" w:after="0"/>
              <w:jc w:val="left"/>
              <w:rPr>
                <w:rFonts w:cs=""/>
                <w:kern w:val="0"/>
                <w:szCs w:val="22"/>
                <w:lang w:val="en-US" w:eastAsia="en-US" w:bidi="ar-SA"/>
              </w:rPr>
            </w:pPr>
            <w:r>
              <w:rPr>
                <w:rFonts w:cs="" w:ascii="Arial" w:hAnsi="Arial"/>
                <w:b/>
                <w:color w:val="FFFFFF"/>
                <w:kern w:val="0"/>
                <w:sz w:val="17"/>
                <w:szCs w:val="22"/>
                <w:lang w:val="en-US" w:eastAsia="en-US" w:bidi="ar-SA"/>
              </w:rPr>
              <w:t>Description</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9028.90.90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Other</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9029.10.00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Revolution counters, production counters, taximeters, mileometers, pedometers and the like</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9029.20.00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Speed indicators and tachometers; stroboscopes</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9029.90.00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Parts and accessories</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9030.10.00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Instruments and apparatus for measuring or detecting ionizing radiations</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9030.20.00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Oscilloscopes and oscillographs</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9030.31.00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Multimeters without a recording device</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9030.32.00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Multimeters with a recording device</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9030.33.00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Other, without a recording device</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9030.39.00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Other, with a recording device</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9030.40.00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Other instruments and apparatus, specially designed for telecommunications (for example, cross-talk meters, gain measuring instruments, distortion factor meters, psophometers)</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9030.82.00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For measuring or checking semiconductor wafers or devices</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9030.84.00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Other, with a recording device</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9030.89.00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Other</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9030.90.00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Parts and accessories</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9031.10.00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Machines for balancing mechanical parts</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9031.20.00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Test benches</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9031.41.00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For inspecting semiconductor wafers or devices or for inspecting photomasks or reticles used in manufacturing semiconductor devices</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9031.49.10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Co-ordinate measuring machines</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9031.49.90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Other</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9031.80.00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Other instruments, appliances and machines</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9031.90.10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Bases and frames for co-ordinate measuring machines</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9031.90.90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Other</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9032.10.10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For use with machinery or equipment</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9032.10.90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Other</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9032.20.00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Manostats</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9032.81.00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Hydraulic or pneumatic</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9032.89.00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Other</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9032.90.00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Parts and</w:t>
            </w:r>
          </w:p>
        </w:tc>
      </w:tr>
    </w:tbl>
    <w:p>
      <w:pPr>
        <w:pStyle w:val="Normal"/>
        <w:widowControl/>
        <w:spacing w:before="160" w:after="120"/>
        <w:rPr/>
      </w:pPr>
      <w:r>
        <w:rPr/>
        <w:t>accessories 9033.00.00 Parts and accessories (not specified or included elsewhere in this Chapter) for machines, appliances, instruments or apparatus of Chapter 90. 9101.11.00 With mechanical display only 9101.19.00 Other 9101.21.00 With automatic winding 9101.29.00 Other 9101.91.10 Stop-watches 9101.91.90 Other 9101.99.00 Other 9102.11.00 With mechanical display only 9102.12.00 With opto-electronic display only 9102.19.00 Other 9102.21.00 With automatic winding 9102.29.00 Other 9102.91.10 Stop-watches 9102.91.90 Other 9102.99.00 Other 9103.10.00 Electrically operated 9103.90.00 Other 9104.00.00 Instrument panel clocks and clocks of a similar type for vehicles, aircraft, spacecraft or vessels. 9105.11.00 Electrically operated 9105.19.00 Other 9105.21.10 Clock systems 9105.21.90 Other 9105.29.00 Other 9105.91.10 Clock systems 9105.91.20 Chronometers for aircraft or vessels 9105.91.90 Other 9105.99.10 Chronometers for aircraft or vessels 9105.99.90 Other 9106.10.00 Time-registers; time-recorders 9106.90.10 Parking meters 9106.90.90 Other 9107.00.10 Electro-mechanical irrigation controllers; Time switches for use in the manufacture of machinery or equipment 9107.00.90 Other 9108.11.00 With mechanical display only or with a device to which a mechanical display can be incorporated 9108.12.00 With opto-electronic display only 9108.19.00 Other 9108.20.00 With automatic winding 9108.90.00 Other 9109.10.00 Electrically operated 9109.90.00 Other 9110.11.00 Complete movements,</w:t>
      </w:r>
    </w:p>
    <w:p>
      <w:pPr>
        <w:pStyle w:val="Normal"/>
        <w:widowControl/>
        <w:spacing w:before="0" w:after="160"/>
        <w:rPr/>
      </w:pPr>
      <w:r>
        <w:rPr/>
        <w:t>unassembled or partly assembled (movement sets)</w:t>
      </w:r>
    </w:p>
    <w:tbl>
      <w:tblPr>
        <w:tblStyle w:val="TableGrid"/>
        <w:tblW w:w="9360" w:type="dxa"/>
        <w:jc w:val="center"/>
        <w:tblInd w:w="-28" w:type="dxa"/>
        <w:tblLayout w:type="autofit"/>
        <w:tblCellMar>
          <w:top w:w="60" w:type="dxa"/>
          <w:left w:w="80" w:type="dxa"/>
          <w:bottom w:w="60" w:type="dxa"/>
          <w:right w:w="80" w:type="dxa"/>
        </w:tblCellMar>
        <w:tblLook w:val="04a0" w:noHBand="0" w:noVBand="1" w:firstColumn="1" w:lastRow="0" w:lastColumn="0" w:firstRow="1"/>
      </w:tblPr>
      <w:tblGrid>
        <w:gridCol w:w="4680"/>
        <w:gridCol w:w="4679"/>
      </w:tblGrid>
      <w:tr>
        <w:trPr>
          <w:tblHeader w:val="true"/>
          <w:cantSplit w:val="true"/>
          <w:tblHeader w:val="true"/>
        </w:trPr>
        <w:tc>
          <w:tcPr>
            <w:tcW w:w="4680" w:type="dxa"/>
            <w:tcBorders/>
            <w:vAlign w:val="center"/>
            <w:shd w:fill="233746"/>
          </w:tcPr>
          <w:p>
            <w:pPr>
              <w:pStyle w:val="Normal"/>
              <w:widowControl/>
              <w:suppressAutoHyphens w:val="true"/>
              <w:spacing w:lineRule="auto" w:line="240" w:before="0" w:after="0"/>
              <w:jc w:val="left"/>
              <w:rPr>
                <w:rFonts w:cs=""/>
                <w:kern w:val="0"/>
                <w:szCs w:val="22"/>
                <w:lang w:val="en-US" w:eastAsia="en-US" w:bidi="ar-SA"/>
              </w:rPr>
            </w:pPr>
            <w:r>
              <w:rPr>
                <w:rFonts w:cs="" w:ascii="Arial" w:hAnsi="Arial"/>
                <w:b/>
                <w:color w:val="FFFFFF"/>
                <w:kern w:val="0"/>
                <w:sz w:val="17"/>
                <w:szCs w:val="22"/>
                <w:lang w:val="en-US" w:eastAsia="en-US" w:bidi="ar-SA"/>
              </w:rPr>
              <w:t>Tariff Item</w:t>
            </w:r>
          </w:p>
        </w:tc>
        <w:tc>
          <w:tcPr>
            <w:tcW w:w="4679" w:type="dxa"/>
            <w:tcBorders/>
            <w:vAlign w:val="center"/>
            <w:shd w:fill="233746"/>
          </w:tcPr>
          <w:p>
            <w:pPr>
              <w:pStyle w:val="Normal"/>
              <w:widowControl/>
              <w:suppressAutoHyphens w:val="true"/>
              <w:spacing w:lineRule="auto" w:line="240" w:before="0" w:after="0"/>
              <w:jc w:val="left"/>
              <w:rPr>
                <w:rFonts w:cs=""/>
                <w:kern w:val="0"/>
                <w:szCs w:val="22"/>
                <w:lang w:val="en-US" w:eastAsia="en-US" w:bidi="ar-SA"/>
              </w:rPr>
            </w:pPr>
            <w:r>
              <w:rPr>
                <w:rFonts w:cs="" w:ascii="Arial" w:hAnsi="Arial"/>
                <w:b/>
                <w:color w:val="FFFFFF"/>
                <w:kern w:val="0"/>
                <w:sz w:val="17"/>
                <w:szCs w:val="22"/>
                <w:lang w:val="en-US" w:eastAsia="en-US" w:bidi="ar-SA"/>
              </w:rPr>
              <w:t>Description</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9110.12.00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Incomplete movements, assembled</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9110.19.00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Rough movements</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9110.90.00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Other</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9111.10.00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Cases of precious metal or of metal clad with precious metal</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9111.20.00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Cases of base metal, whether or not gold- or silver-plated</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9111.80.00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Other cases</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9111.90.00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Parts</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9112.20.00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Cases</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9112.90.00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Parts</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9113.10.10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For use in the manufacture of watches</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9113.10.90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Other</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9113.20.10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For use in the manufacture of watches</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9113.20.90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Other</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9113.90.00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Other</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9114.10.00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Springs, including hair-springs</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9114.30.00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Dials</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9114.40.00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Plates and bridges</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9114.90.00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Other</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9201.10.00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Upright pianos</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9201.20.00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Grand pianos</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9201.90.10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Harpsichords and clavichords</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9201.90.90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Other</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9202.10.00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Played with a bow</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9202.90.10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Harps, including autoharps</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9202.90.90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Other</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9205.10.00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Brass-wind instruments</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9205.90.10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Accordions and similar instruments; Bassoons, clarinets, English horns, fifes, flutes, oboes, piccolos, practice chanters, recorders and saxophones; Keyboard pipe organs; Mouth organs</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9205.90.20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Harmoniums and similar keyboard instruments with free metal reeds</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9205.90.90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Other</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9206.00.10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Carillons to be employed in churches; Drums and drum sets, cymbals, orchestral or concert chimes and bells, vibraharps or vibraphones, marimbas, xylophones and tuned handbells</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9206.00.90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Other</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9207.10.00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Keyboard instruments, other than accordions</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9207.90.10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Accordions, orchestral or concert chimes and bells, vibraharps or vibraphones, marimbas and xylophones</w:t>
            </w:r>
          </w:p>
        </w:tc>
      </w:tr>
    </w:tbl>
    <w:p>
      <w:pPr>
        <w:pStyle w:val="Normal"/>
        <w:widowControl/>
        <w:spacing w:before="160" w:after="120"/>
        <w:rPr/>
      </w:pPr>
      <w:r>
        <w:rPr/>
        <w:t>9207.90.90 Other 9208.10.00 Musical boxes 9208.90.00 Other 9209.30.10 For autoharps, clavichords, harpsichords, harps, viols, violas, violins and violoncellos; For use in the manufacture of guitars, banjos or mandolins 9209.30.90 Other 9209.91.10 Agraffes, bass damper parts, bridle leather and bridle straps, damper sockets, damper rods, uncovered hammer heads and hammer head moulding, key bottoms, piano or organ sharps, tuning pins, hitch pins, bridge pins, key pins, centre brass pins, brass flange plates, pressure bars, paper or felt punchings, rail hooks, spruce sounding boards, spoons, back check wires, bridle wires, damper wires, dowel wires, lifter wires, hammer wires and piano plates 9209.91.90 Other 9209.92.10 For harps and instruments played with a bow; For use in the manufacture of guitars, banjos or mandolins 9209.92.20 For other string instruments, except keyboard string instruments 9209.94.10 For use in the manufacture or repair of pianos or organs; Parts and accessories for use in the manufacture of guitars, banjos or mandolins, the sound of which is produced or must be amplified electrically;</w:t>
      </w:r>
    </w:p>
    <w:p>
      <w:pPr>
        <w:pStyle w:val="Normal"/>
        <w:widowControl/>
        <w:rPr/>
      </w:pPr>
      <w:r>
        <w:rPr/>
        <w:t>Parts of carillons to be employed in churches 9209.94.90 Other 9209.99.10 For harpischords, clavichords, accordions and similar instruments, brass-wind instruments, bassoons, clarinets, English horns, fifes, flutes, oboes, piccolos, practice chanters, recorders, saxophones, drums and drum sets, cymbals, orchestral or concert chimes and bells, vibraharps or vibraphones,</w:t>
      </w:r>
    </w:p>
    <w:p>
      <w:pPr>
        <w:pStyle w:val="Normal"/>
        <w:widowControl/>
        <w:rPr/>
      </w:pPr>
      <w:r>
        <w:rPr/>
        <w:t>marimbas, xylophones and tuned handbells, and carillons to be employed in churches; Parts and accessories for keyboard pipe organs, harmoniums and similar keyboard instruments with free metal reeds 9209.99.20 Mechanisms for musical boxes 9209.99.30 Metronomes, tuning forks and pitch pipes 9209.99.90 Other 9301.10.10 Guns 9301.10.90 Other 9301.20.00 Rocket launchers; flame-throwers; grenade launchers; torpedo tubes and similar projectors 9301.90.10 Guns 9301.90.90 Other 9302.00.00 Revolvers and pistols, other than those of heading 93.03 or 93.04. 9303.10.00 Muzzle-loading firearms 9303.20.10 Pump or slide-action shotguns 9303.20.90 Other 9303.30.10 Bolt-action or semi-automatic .22 calibre rimfire rifles, excluding target shooting rifles 9303.30.90 Other 9303.90.10 Apparatus for the destruction of predatory animals by the discharge of poisonous cartridges; Automatic explosive bird-scaring devices 9303.90.90 Other 9304.00.10 Guns and pistols, spring or gas 9304.00.90 Other 9305.10.00 Of revolvers or pistols 9305.20.10 Shotgun barrels 9305.20.20 Accessories for use in bolt-action or semi-automatic .22 calibre rimfire rifles, excluding accessories of target shooting rifles; Parts 9305.20.90 Other 9305.91.00 Of military weapons of heading 93.01 9305.99.10 Parts for apparatus for the destruction of predatory animals by the discharge of poisonous cartridges; Parts for automatic explosive bird-scaring devices 9305.99.90 Other 9306.21.00 Cartridges 9306.29.00 Other 9306.30.10</w:t>
      </w:r>
    </w:p>
    <w:p>
      <w:pPr>
        <w:pStyle w:val="Normal"/>
        <w:widowControl/>
        <w:spacing w:before="0" w:after="160"/>
        <w:rPr/>
      </w:pPr>
      <w:r>
        <w:rPr/>
        <w:t>Poisonous cartridges for apparatus for the destruction of predatory animals; Starter cartridges and parts thereof, for diesel or semi-diesel engines; Twin-shot cartridges designed for bird-scaring devices 9306.30.90 Other 9306.90.10 Parts of bombs, grenades, torpedoes, mines, missiles and similar munitions of war 9306.90.90 Other 9307.00.00 Swords, cutlasses, bayonets, lances and similar arms and parts thereof and scabbards and sheaths therefor.</w:t>
      </w:r>
    </w:p>
    <w:tbl>
      <w:tblPr>
        <w:tblStyle w:val="TableGrid"/>
        <w:tblW w:w="9360" w:type="dxa"/>
        <w:jc w:val="center"/>
        <w:tblInd w:w="-28" w:type="dxa"/>
        <w:tblLayout w:type="autofit"/>
        <w:tblCellMar>
          <w:top w:w="60" w:type="dxa"/>
          <w:left w:w="80" w:type="dxa"/>
          <w:bottom w:w="60" w:type="dxa"/>
          <w:right w:w="80" w:type="dxa"/>
        </w:tblCellMar>
        <w:tblLook w:val="04a0" w:noHBand="0" w:noVBand="1" w:firstColumn="1" w:lastRow="0" w:lastColumn="0" w:firstRow="1"/>
      </w:tblPr>
      <w:tblGrid>
        <w:gridCol w:w="4680"/>
        <w:gridCol w:w="4679"/>
      </w:tblGrid>
      <w:tr>
        <w:trPr>
          <w:tblHeader w:val="true"/>
          <w:cantSplit w:val="true"/>
          <w:tblHeader w:val="true"/>
        </w:trPr>
        <w:tc>
          <w:tcPr>
            <w:tcW w:w="4680" w:type="dxa"/>
            <w:tcBorders/>
            <w:vAlign w:val="center"/>
            <w:shd w:fill="233746"/>
          </w:tcPr>
          <w:p>
            <w:pPr>
              <w:pStyle w:val="Normal"/>
              <w:widowControl/>
              <w:suppressAutoHyphens w:val="true"/>
              <w:spacing w:lineRule="auto" w:line="240" w:before="0" w:after="0"/>
              <w:jc w:val="left"/>
              <w:rPr>
                <w:rFonts w:cs=""/>
                <w:kern w:val="0"/>
                <w:szCs w:val="22"/>
                <w:lang w:val="en-US" w:eastAsia="en-US" w:bidi="ar-SA"/>
              </w:rPr>
            </w:pPr>
            <w:r>
              <w:rPr>
                <w:rFonts w:cs="" w:ascii="Arial" w:hAnsi="Arial"/>
                <w:b/>
                <w:color w:val="FFFFFF"/>
                <w:kern w:val="0"/>
                <w:sz w:val="17"/>
                <w:szCs w:val="22"/>
                <w:lang w:val="en-US" w:eastAsia="en-US" w:bidi="ar-SA"/>
              </w:rPr>
              <w:t>Tariff Item</w:t>
            </w:r>
          </w:p>
        </w:tc>
        <w:tc>
          <w:tcPr>
            <w:tcW w:w="4679" w:type="dxa"/>
            <w:tcBorders/>
            <w:vAlign w:val="center"/>
            <w:shd w:fill="233746"/>
          </w:tcPr>
          <w:p>
            <w:pPr>
              <w:pStyle w:val="Normal"/>
              <w:widowControl/>
              <w:suppressAutoHyphens w:val="true"/>
              <w:spacing w:lineRule="auto" w:line="240" w:before="0" w:after="0"/>
              <w:jc w:val="left"/>
              <w:rPr>
                <w:rFonts w:cs=""/>
                <w:kern w:val="0"/>
                <w:szCs w:val="22"/>
                <w:lang w:val="en-US" w:eastAsia="en-US" w:bidi="ar-SA"/>
              </w:rPr>
            </w:pPr>
            <w:r>
              <w:rPr>
                <w:rFonts w:cs="" w:ascii="Arial" w:hAnsi="Arial"/>
                <w:b/>
                <w:color w:val="FFFFFF"/>
                <w:kern w:val="0"/>
                <w:sz w:val="17"/>
                <w:szCs w:val="22"/>
                <w:lang w:val="en-US" w:eastAsia="en-US" w:bidi="ar-SA"/>
              </w:rPr>
              <w:t>Description</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9401.10.00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Seats of a kind used for aircraft</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9401.20.00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Seats of a kind used for motor vehicles</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9401.30.10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For domestic purposes</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9401.30.90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Other</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9401.40.00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Seats other than garden seats or camping equipment, convertible into beds</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9401.52.10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Unfinished and unassembled, for use in the manufacture of furniture of bamboo</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9401.52.90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Other</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9401.53.10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Unfinished and unassembled, for use in the manufacture of furniture of rattan</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9401.53.90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Other</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9401.59.10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Unfinished and unassembled, for use in the manufacture of furniture of bamboo or rattan</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9401.59.90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Other</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9401.61.10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For domestic purposes</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9401.61.90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Other</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9401.69.10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For domestic purposes</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9401.69.90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Other</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9401.71.10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For domestic purposes</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9401.71.90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Other</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9401.79.10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For domestic purposes</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9401.79.90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Other</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9401.80.10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For domestic purposes</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9401.80.90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Other</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9401.90.00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Parts</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9402.10.00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Dentists’, barbers’ or similar chairs and parts thereof</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9402.90.00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Other</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9403.10.00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Metal furniture of a kind used in offices</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9403.20.00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Other metal furniture</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9403.30.00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Wooden furniture of a kind used in offices</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b/>
                <w:kern w:val="0"/>
                <w:sz w:val="17"/>
                <w:szCs w:val="22"/>
                <w:lang w:val="en-US" w:eastAsia="en-US" w:bidi="ar-SA"/>
              </w:rPr>
              <w:t>Tariff Item</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b/>
                <w:kern w:val="0"/>
                <w:sz w:val="17"/>
                <w:szCs w:val="22"/>
                <w:lang w:val="en-US" w:eastAsia="en-US" w:bidi="ar-SA"/>
              </w:rPr>
              <w:t>Description</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9403.40.00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Wooden furniture of a kind used in the kitchen</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9403.50.00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Wooden furniture of a kind used in the bedroom</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9403.60.10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For domestic purposes</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9403.60.90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Other</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9403.70.10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For domestic purposes</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9403.70.90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Other</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9403.82.11</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For domestic purposes: Unfinished and unassembled, for use in the manufacture of furniture of bamboo</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9403.82.19</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For domestic purposes: Other</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9403.82.90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Other</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9403.83.11</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For domestic purposes: Unfinished and unassembled, for use in the manufacture of furniture of rattan</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9403.83.19</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For domestic purposes: Other</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9403.83.90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Other</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9403.89.11</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For domestic purposes: Unfinished and unassembled, for use in the manufacture of furniture of bamboo or rattan</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9403.89.19</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For domestic purposes: Other</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9403.89.90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Other</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9403.90.00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Parts</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9404.10.00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Mattress supports</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9404.21.00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Of cellular rubber or plastics, whether or not covered</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9404.29.00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Of other materials</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9404.30.00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Sleeping bags</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9404.90.10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Pillows, cushions and similar furnishings, of cotton;</w:t>
            </w:r>
          </w:p>
        </w:tc>
      </w:tr>
    </w:tbl>
    <w:p>
      <w:pPr>
        <w:pStyle w:val="Normal"/>
        <w:widowControl/>
        <w:spacing w:before="160" w:after="120"/>
        <w:rPr/>
      </w:pPr>
      <w:r>
        <w:rPr/>
        <w:t>Quilts, eiderdowns, comforters and similar articles of textile material containing less than 85% by weight of silk or silk waste 9404.90.90 Other 9405.10.00 Chandeliers and other electric ceiling or wall lighting fittings, excluding those of a kind used for lighting public open spaces or thoroughfares 9405.20.00 Electric table, desk, bedside or floor-standing lamps 9405.30.00 Lighting sets of a kind used for Christmas trees 9405.40.10 Xenon type 9405.40.20 Motion picture or theatrical spotlights 9405.40.90 Other 9405.50.10</w:t>
      </w:r>
    </w:p>
    <w:p>
      <w:pPr>
        <w:pStyle w:val="Normal"/>
        <w:widowControl/>
        <w:rPr/>
      </w:pPr>
      <w:r>
        <w:rPr/>
        <w:t>Candlesticks and candelabras 9405.50.90 Other 9405.60.00 Illuminated signs, illuminated name-plates and the like 9405.91.00 Of glass 9405.92.00 Of plastics 9405.99.00 Other 9406.10.10 Silos for storing ensilage 9406.10.90 Other 9406.90.11 Silos for storing ensilage: Unassembled or incomplete, of glass fibre reinforced plastics, for use in the manufacture of silos 9406.90.19 Silos for storing ensilage: Other 9406.90.20 Air-supported buildings 9406.90.90 Other 9503.00.10 Wheeled toys designed to be ridden by children (for example, tricycles, scooters, pedal cars); dolls’ carriages 9503.00.90 Other 9504.20.00 Articles and accessories for billiards of all kinds 9504.30.00 Other games, operated by coins, banknotes, bank cards, tokens or by other means of payment, other than automatic bowling alley equipment 9504.40.00 Playing cards 9504.50.00 Video game consoles and machines, other than those of subheading 9504.30 9504.90.00 Other 9505.10.00 Articles for Christmas festivities 9505.90.00 Other 9506.11.10 Downhill 9506.11.90 Other 9506.12.00 Ski-fastenings (ski-bindings) 9506.19.00 Other 9506.21.00 Sailboards 9506.29.00 Other 9506.31.00 Clubs, complete 9506.32.10 Hollow, for practice 9506.32.90 Other 9506.39.10 Finished grips for use in the manufacture of golf clubs; Shafts of steel or graphite 9506.39.20 Heads of woods; Shafts of wood 9506.39.30 Forged heads of iron or steel, not ground, polished, plated or otherwise finished 9506.39.90 Other 9506.40.00 Articles and equipment for</w:t>
      </w:r>
    </w:p>
    <w:p>
      <w:pPr>
        <w:pStyle w:val="Normal"/>
        <w:widowControl/>
        <w:rPr/>
      </w:pPr>
      <w:r>
        <w:rPr/>
        <w:t>table-tennis 9506.51.00 Lawn-tennis rackets, whether or not strung 9506.59.10 Squash, badminton or racketball rackets 9506.59.90 Other 9506.61.00 Lawn-tennis balls 9506.62.10 Designed for the training of children with intellectual disabilities, to be employed in any school, academy, college or seminary of learning, or by any association, society or institution that trains such children; For basketball, volleyball or soccer 9506.62.90 Other 9506.69.10 Cricket balls 9506.69.20 Balls for lawn or carpet bowling, croquet, squash or racketball 9506.69.90 Other 9506.70.11 Ice or roller skates attached to boots or other footwear: Ice skates 9506.70.12 Ice or roller skates attached to boots or other footwear: Roller skates 9506.70.20 Ice or roller skates not attached to boots or other footwear 9506.91.10 Exercise bicycles; Parts for use in the manufacture of physical exercise machines; Stair climbing machines 9506.91.90 Other 9506.99.10 Badminton birds (shuttle cocks); Baseball bats of aluminum; Face masks and shoulder pads for football; For climbing or mountaineering 9506.99.20 Clay pigeons for trapshooting; Curling stones; Hockey sticks 9506.99.31 Power-operated equipment for the development of athletic skills: Automated batting cages; Clay target thrower machines;</w:t>
      </w:r>
    </w:p>
    <w:p>
      <w:pPr>
        <w:pStyle w:val="Normal"/>
        <w:widowControl/>
        <w:rPr/>
      </w:pPr>
      <w:r>
        <w:rPr/>
        <w:t>Throwing or pitching machines for baseballs or softballs 9506.99.39 Power-operated equipment for the development of athletic skills: Other 9506.99.40 Leg pads and bats for cricket 9506.99.50 Shin-guards and elbow or</w:t>
      </w:r>
    </w:p>
    <w:p>
      <w:pPr>
        <w:pStyle w:val="Normal"/>
        <w:widowControl/>
        <w:spacing w:before="0" w:after="160"/>
        <w:rPr/>
      </w:pPr>
      <w:r>
        <w:rPr/>
        <w:t>shoulder pads excluding those for football; Waist, thigh and hip protective equipment 9506.99.90 Other 9507.10.10 Parts for use in the manufacture of fishing rods 9507.10.90 Other 9507.20.00 Fish-hooks, whether or not snelled 9507.30.00 Fishing reels 9507.90.10 Sportsmen’s fishing line, in retail packages 9507.90.91 Other: Fish landing net bags for use in the manufacture of fish landing nets; Lures, jiggers, artificial bait, line floats and fishing lines (including marlines) of a circumference not exceeding 38 mm, to be employed in commercial fishing; Split rings and swivels for use in the manufacture of fishing lures 9507.90.99 Other: Other 9508.10.00 Travelling circuses and travelling menageries 9508.90.00 Other 9601.10.00 Worked ivory and articles of ivory 9601.90.00 Other 9602.00.10 Artificial honeycombs; Gelatin capsules for pharmaceutical products; Worked amber for use in the manufacture of jewellery 9602.00.90 Other 9603.10.10 Brooms 9603.10.20 Brushes 9603.21.00 Tooth brushes, including dental-plate brushes 9603.29.00 Other 9603.30.10 Artists’ brushes 9603.30.90 Other 9603.40.10 Rollers of textile materials 9603.40.90 Other 9603.50.00 Other brushes constituting parts of machines, appliances or vehicles 9603.90.10 Brooms 9603.90.20 Hand-operated mechanical floor sweepers, not motorized 9603.90.30 Mops of textile materials 9603.90.90 Other 9604.00.00 Hand sieves and hand riddles. 9605.00.00 Travel sets for personal toilet, sewing or shoe or clothes cleaning.</w:t>
      </w:r>
    </w:p>
    <w:tbl>
      <w:tblPr>
        <w:tblStyle w:val="TableGrid"/>
        <w:tblW w:w="9360" w:type="dxa"/>
        <w:jc w:val="center"/>
        <w:tblInd w:w="-28" w:type="dxa"/>
        <w:tblLayout w:type="autofit"/>
        <w:tblCellMar>
          <w:top w:w="60" w:type="dxa"/>
          <w:left w:w="80" w:type="dxa"/>
          <w:bottom w:w="60" w:type="dxa"/>
          <w:right w:w="80" w:type="dxa"/>
        </w:tblCellMar>
        <w:tblLook w:val="04a0" w:noHBand="0" w:noVBand="1" w:firstColumn="1" w:lastRow="0" w:lastColumn="0" w:firstRow="1"/>
      </w:tblPr>
      <w:tblGrid>
        <w:gridCol w:w="4680"/>
        <w:gridCol w:w="4679"/>
      </w:tblGrid>
      <w:tr>
        <w:trPr>
          <w:tblHeader w:val="true"/>
          <w:cantSplit w:val="true"/>
          <w:tblHeader w:val="true"/>
        </w:trPr>
        <w:tc>
          <w:tcPr>
            <w:tcW w:w="4680" w:type="dxa"/>
            <w:tcBorders/>
            <w:vAlign w:val="center"/>
            <w:shd w:fill="233746"/>
          </w:tcPr>
          <w:p>
            <w:pPr>
              <w:pStyle w:val="Normal"/>
              <w:widowControl/>
              <w:suppressAutoHyphens w:val="true"/>
              <w:spacing w:lineRule="auto" w:line="240" w:before="0" w:after="0"/>
              <w:jc w:val="left"/>
              <w:rPr>
                <w:rFonts w:cs=""/>
                <w:kern w:val="0"/>
                <w:szCs w:val="22"/>
                <w:lang w:val="en-US" w:eastAsia="en-US" w:bidi="ar-SA"/>
              </w:rPr>
            </w:pPr>
            <w:r>
              <w:rPr>
                <w:rFonts w:cs="" w:ascii="Arial" w:hAnsi="Arial"/>
                <w:b/>
                <w:color w:val="FFFFFF"/>
                <w:kern w:val="0"/>
                <w:sz w:val="17"/>
                <w:szCs w:val="22"/>
                <w:lang w:val="en-US" w:eastAsia="en-US" w:bidi="ar-SA"/>
              </w:rPr>
              <w:t>Tariff Item</w:t>
            </w:r>
          </w:p>
        </w:tc>
        <w:tc>
          <w:tcPr>
            <w:tcW w:w="4679" w:type="dxa"/>
            <w:tcBorders/>
            <w:vAlign w:val="center"/>
            <w:shd w:fill="233746"/>
          </w:tcPr>
          <w:p>
            <w:pPr>
              <w:pStyle w:val="Normal"/>
              <w:widowControl/>
              <w:suppressAutoHyphens w:val="true"/>
              <w:spacing w:lineRule="auto" w:line="240" w:before="0" w:after="0"/>
              <w:jc w:val="left"/>
              <w:rPr>
                <w:rFonts w:cs=""/>
                <w:kern w:val="0"/>
                <w:szCs w:val="22"/>
                <w:lang w:val="en-US" w:eastAsia="en-US" w:bidi="ar-SA"/>
              </w:rPr>
            </w:pPr>
            <w:r>
              <w:rPr>
                <w:rFonts w:cs="" w:ascii="Arial" w:hAnsi="Arial"/>
                <w:b/>
                <w:color w:val="FFFFFF"/>
                <w:kern w:val="0"/>
                <w:sz w:val="17"/>
                <w:szCs w:val="22"/>
                <w:lang w:val="en-US" w:eastAsia="en-US" w:bidi="ar-SA"/>
              </w:rPr>
              <w:t>Description</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9606.10.00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Press-fasteners, snap-fasteners and press-studs and parts therefor</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9606.21.00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Of plastics, not covered with textile material</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9606.22.00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Of base metal, not covered with textile material</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9606.29.00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Other</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9606.30.00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Button moulds and other parts of buttons; button blanks</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9607.11.10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Air-tight and watertight</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9607.11.90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Other</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9607.19.00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Other</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9607.20.10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Of textile materials</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9607.20.90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Other</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9608.10.00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Ball point pens</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9608.20.00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Felt tipped and other porous-tipped pens and markers</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9608.30.10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Indian ink drawing pens</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9608.30.90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Other</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9608.40.00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Propelling or sliding pencils</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9608.50.00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Sets of articles from two or more of the foregoing subheadings</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9608.60.10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For use in the manufacture of ball point pens</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9608.60.90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Other</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9608.91.10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Nibs of wool felt or plastics for use in the manufacture of porous tip pens or markers</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9608.91.90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Other</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9608.99.10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Parts other than refills, for use in the manufacture of ball point pens</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9608.99.90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Other</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9609.10.00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Pencils and crayons, with leads encased in a rigid sheath</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9609.20.10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For use in the manufacture of pencils</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9609.20.90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Other</w:t>
            </w:r>
          </w:p>
        </w:tc>
      </w:tr>
      <w:tr>
        <w:trPr>
          <w:cantSplit w:val="true"/>
        </w:trPr>
        <w:tc>
          <w:tcPr>
            <w:tcW w:w="4680"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9609.90.00</w:t>
            </w:r>
          </w:p>
        </w:tc>
        <w:tc>
          <w:tcPr>
            <w:tcW w:w="4679" w:type="dxa"/>
            <w:tcBorders/>
            <w:vAlign w:val="center"/>
            <w:tcMar>
              <w:top w:w="70" w:type="dxa"/>
              <w:start w:w="110" w:type="dxa"/>
              <w:bottom w:w="70" w:type="dxa"/>
              <w:end w:w="110" w:type="dxa"/>
            </w:tcMar>
            <w:shd w:fill="F4F6F7"/>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Other</w:t>
            </w:r>
          </w:p>
        </w:tc>
      </w:tr>
      <w:tr>
        <w:trPr>
          <w:cantSplit w:val="true"/>
        </w:trPr>
        <w:tc>
          <w:tcPr>
            <w:tcW w:w="4680"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9610.00.00</w:t>
            </w:r>
          </w:p>
        </w:tc>
        <w:tc>
          <w:tcPr>
            <w:tcW w:w="4679" w:type="dxa"/>
            <w:tcBorders/>
            <w:vAlign w:val="center"/>
            <w:tcMar>
              <w:top w:w="70" w:type="dxa"/>
              <w:start w:w="110" w:type="dxa"/>
              <w:bottom w:w="70" w:type="dxa"/>
              <w:end w:w="110" w:type="dxa"/>
            </w:tcMar>
          </w:tcPr>
          <w:p>
            <w:pPr>
              <w:pStyle w:val="Normal"/>
              <w:widowControl/>
              <w:suppressAutoHyphens w:val="true"/>
              <w:spacing w:lineRule="auto" w:line="240" w:before="0" w:after="0"/>
              <w:jc w:val="left"/>
              <w:rPr>
                <w:rFonts w:cs=""/>
                <w:kern w:val="0"/>
                <w:szCs w:val="22"/>
                <w:lang w:val="en-US" w:eastAsia="en-US" w:bidi="ar-SA"/>
              </w:rPr>
            </w:pPr>
            <w:r>
              <w:rPr>
                <w:rFonts w:cs="" w:ascii="Arial" w:hAnsi="Arial"/>
                <w:kern w:val="0"/>
                <w:sz w:val="17"/>
                <w:szCs w:val="22"/>
                <w:lang w:val="en-US" w:eastAsia="en-US" w:bidi="ar-SA"/>
              </w:rPr>
              <w:t>Slates and boards, with writing or drawing surfaces, whether or not framed.</w:t>
            </w:r>
          </w:p>
        </w:tc>
      </w:tr>
    </w:tbl>
    <w:p>
      <w:pPr>
        <w:pStyle w:val="Normal"/>
        <w:widowControl/>
        <w:spacing w:before="160" w:after="120"/>
        <w:rPr/>
      </w:pPr>
      <w:r>
        <w:rPr/>
        <w:t>9611.00.00 Date, sealing or numbering stamps, and the like (including devices for printing or embossing labels), designed for operating in the hand; hand-operated composing sticks, and hand printing sets incorporating such composing sticks.</w:t>
      </w:r>
    </w:p>
    <w:p>
      <w:pPr>
        <w:pStyle w:val="Normal"/>
        <w:widowControl/>
        <w:rPr/>
      </w:pPr>
      <w:r>
        <w:rPr/>
        <w:t>9612.10.10 To be employed in machinery for packing fresh fruit or vegetables 9612.10.20 Other, woven, of man-made fibres, other than those of a width of 30 mm or less and permanently put up in cartridges 9612.10.30 Other, containing man-made fibres 9612.10.90 Other 9612.20.00 Ink-pads 9613.10.00 Pocket lighters, gas fuelled, non-refillable 9613.20.00 Pocket lighters, gas fuelled, refillable 9613.80.10 Table lighters 9613.80.90 Other 9613.90.00 Parts 9614.00.11 Pipes and pipe bowls: Meerschaum pipes, excluding those composed in part of briar wood; Roughly shaped blocks of wood or root, for pipes 9614.00.19 Pipes and pipe bowls: Other 9614.00.90 Other 9615.11.00 Of hard rubber or plastics 9615.19.00 Other 9615.90.00 Other 9616.10.00 Scent sprays and similar toilet sprays, and mounts and heads therefor 9616.20.00 Powder-puffs and pads for the application of cosmetics or toilet preparations 9617.00.00 Vacuum flasks and other vacuum vessels, complete with cases; parts thereof other than glass inners. 9618.00.00 Tailors’ dummies and other lay figures; automata and other animated displays used for shop window dressing.</w:t>
      </w:r>
    </w:p>
    <w:p>
      <w:pPr>
        <w:pStyle w:val="Normal"/>
        <w:widowControl/>
        <w:rPr/>
      </w:pPr>
      <w:r>
        <w:rPr/>
        <w:t>9619.00.10 Incontinent briefs, underpants and panties, incontinent napkins (diapers), napkin (diaper) liners and similar sanitary articles for incontinence, designed to be worn by a person, excluding those of a kind for babies 9619.00.21 Napkins (diapers), napkin (diaper) liners and similar articles for babies: Of paper pulp, paper, cellulose wadding or webs of cellulose fibres 9619.00.22 Napkins (diapers), napkin (diaper) liners and similar articles for babies: Of textile wadding 9619.00.23 Napkins (diapers), napkin (diaper) liners and similar articles for babies: Knitted or crocheted 9619.00.24 Napkins (diapers), napkin (diaper) liners and similar articles for babies: Not knitted or crocheted, of cotton 9619.00.25 Napkins (diapers), napkin (diaper) liners and similar articles for babies: Not knitted or crocheted, of synthetic fibres 9619.00.29 Napkins (diapers), napkin (diaper) liners and similar articles for babies: Other 9619.00.91 Other: Of paper pulp, paper, cellulose wadding or webs of cellulose fibres 9619.00.92 Other: Of textile wadding 9619.00.99 Other: Other 9620.00.10 For binoculars or telescopes of heading 90.05; For cinematographic cameras; For goods of heading 84.71, 85.17 or 85.21; For surveying, hydrographic, oceanographic, hydrological, meteorological or geophysical instruments and appliances 9620.00.21 For photographic cameras: Tripods 9620.00.29 For photographic cameras: Other 9620.00.30 For monoculars; For other astronomical instruments 9620.00.40 For</w:t>
      </w:r>
    </w:p>
    <w:p>
      <w:pPr>
        <w:pStyle w:val="Normal"/>
        <w:widowControl/>
        <w:rPr/>
      </w:pPr>
      <w:r>
        <w:rPr/>
        <w:t>other machines, appliances, instruments or apparatus of Chapter 90 9620.00.91 Other: Of graphite or other carbon 9620.00.92 Other: Of wood 9620.00.93 Other: Of aluminum 9620.00.99 Other: Other 9701.10.10 Originals by artists 9701.10.90 Other 9701.90.10 Original collages and similar decorative plaques by artists 9701.90.90 Other 9702.00.00 Original engravings, prints and lithographs. 9703.00.00 Original sculptures and statuary, in any material. 9704.00.00 Postage or revenue stamps, stamp-postmarks, first-day covers, postal stationery (stamped paper), and the like, used or unused, other than those of heading 49.07. 9705.00.00 Collections and collectors’ pieces of zoological, botanical, mineralogical, anatomical, historical, archaeological, palaeontological, ethnographic or numismatic interest. 9706.00.00 Antiques of an age exceeding one hundred years.</w:t>
      </w:r>
    </w:p>
    <w:p>
      <w:pPr>
        <w:pStyle w:val="Normal"/>
        <w:widowControl/>
        <w:rPr/>
      </w:pPr>
      <w:r>
        <w:rPr/>
        <w:t>TARIFF SCHEDULE OF CANADA: APPENDIX 1 Tariff Line Description Base Rate for Mexico Staging Category for Mexico Base Rate for the United States Staging Category for the United States 0105.11.21 Broilers for domestic production: Within access commitment X 0.86¢ each 0105.11.22 Broilers for domestic production: Over access commitment X X 0105.94.10 For breeding purposes; Spent fowl; Started pullets X 2.82¢/kg 0105.94.91 Other: Within access commitment X 1.90¢/kg 0,TRQ-CA15 0105.94.92 Other: Over access commitment X X 0105.99.11 Turkeys: Within access commitment X 1.90¢/kg 0105.99.12 Turkeys: Over access commitment X X 0105.99.90 Other X 3% 0207.11.10 Spent fowl X 8% 0207.11.91 Other: Within access commitment X 5% but not less than 4.74¢/kg or more than 9.48¢/kg 0,TRQ-CA15 0207.11.92 Other: Over access commitment X X 0207.12.10 Spent fowl X 8% 0207.12.91 Other: Within access commitment X 5% but not less than 4.74¢/kg or more than 9.48¢/kg 0,TRQ-CA15 0207.12.92 Other: Over access commitment X X 0207.13.10 Spent fowl X 4% 0207.13.91 Other: Within access commitment X 5% but not less than 4.74¢/kg or more than 9.48¢/kg 0,TRQ-CA15 0207.13.92 Other:</w:t>
      </w:r>
    </w:p>
    <w:p>
      <w:pPr>
        <w:pStyle w:val="Normal"/>
        <w:widowControl/>
        <w:rPr/>
      </w:pPr>
      <w:r>
        <w:rPr/>
        <w:t>Over access commitment, bone in X X 0207.13.93 Other: Over access commitment, boneless X X 0207.14.10 Spent fowl X 9% 0207.14.21 Livers: Within access commitment X Free 0,TRQ-CA15 0207.14.22 Livers: Over access commitment X X 0207.14.91 Other: Within access commitment X 5% but not less than 4.74¢/kg or more than 9.48¢/kg 0,TRQ-CA15</w:t>
      </w:r>
    </w:p>
    <w:p>
      <w:pPr>
        <w:pStyle w:val="Normal"/>
        <w:widowControl/>
        <w:rPr/>
      </w:pPr>
      <w:r>
        <w:rPr/>
        <w:t>0207.14.92 Other: Over access commitment, bone in X X 0207.14.93 Other: Over access commitment, boneless X X 0207.24.11 Canner pack: Within access commitment X 5% but not less than 4.74¢/kg or more than 9.48¢/kg 0207.24.12 Canner pack: Over access commitment X X 0207.24.91 Other: Within access commitment X 5% but not less than 4.74¢/kg or more than 9.48¢/kg 0207.24.92 Other: Over access commitment X X 0207.25.11 Canner pack: Within access commitment X 5% but not less than 4.74¢/kg or more than 9.48¢/kg 0207.25.12 Canner pack: Over access commitment X X 0207.25.91 Other: Within access commitment X 5% but not less than 4.74¢/kg or more than 9.48¢/kg 0207.25.92 Other: Over access commitment X X 0207.26.10 Within access commitment X 5% but not less than 4.74¢/kg or more than 9.48¢/kg 0207.26.20 Over access commitment, bone in X X 0207.26.30 Over access commitment, boneless X X 0207.27.11 Livers: Within access commitment X Free 0207.27.12 Livers: Over access commitment X X 0207.27.91 Other: Within access commitment X 5% but not less than 4.74¢/kg or more than 9.48¢/kg 0207.27.92 Other:</w:t>
      </w:r>
    </w:p>
    <w:p>
      <w:pPr>
        <w:pStyle w:val="Normal"/>
        <w:widowControl/>
        <w:rPr/>
      </w:pPr>
      <w:r>
        <w:rPr/>
        <w:t>Over access commitment, bone in X X 0207.27.93 Other: Over access commitment, boneless X X 0207.41.00 Not cut in pieces, fresh or chilled X 8% 0207.44.00 Other, fresh or chilled X 4% 0207.45.10 Livers X Free 0207.51.00 Not cut in pieces, fresh or chilled X 8% 0207.54.00 Other, fresh or chilled X 4% 0207.55.10 Livers X Free 0207.60.11 Fresh or chilled: Not cut in pieces X 8% 0207.60.19 Fresh or</w:t>
      </w:r>
    </w:p>
    <w:p>
      <w:pPr>
        <w:pStyle w:val="Normal"/>
        <w:widowControl/>
        <w:rPr/>
      </w:pPr>
      <w:r>
        <w:rPr/>
        <w:t>chilled: Other X 4% 0207.60.91 Other frozen: Livers X Free 0209.90.10 Fat of fowls of the species Gallus domesticus, within access commitment X 5% but not less than 4.74¢/kg or more than 9.48¢/kg 0,TRQ-CA15 0209.90.20 Fat of fowls of the species Gallus domesticus, over access commitment X X 0209.90.30 Fat of turkeys, within access commitment X 5% but not less than 4.74¢/kg or more than 9.48¢/kg 0209.90.40 Fat of turkeys, over access commitment X X 0209.90.90 Other X 11% 0210.99.11 Meat of poultry: Of fowls of the species Gallus domesticus, within access commitment X 5% but not less than 4.74¢/kg or more than 9.48¢/kg 0,TRQ-CA15 0210.99.12 Meat of poultry: Of fowls of the species Gallus domesticus, over access commitment, bone in X X 0210.99.13 Meat of poultry: Of fowls of the species Gallus domesticus, over access commitment, boneless X X 0210.99.14 Meat of poultry: Of turkeys, within access commitment X 5% but not less than 4.74¢/kg or more than 9.48¢/kg 0210.99.15 Meat of poultry:</w:t>
      </w:r>
    </w:p>
    <w:p>
      <w:pPr>
        <w:pStyle w:val="Normal"/>
        <w:widowControl/>
        <w:rPr/>
      </w:pPr>
      <w:r>
        <w:rPr/>
        <w:t>Of turkeys, over access commitment, bone in X X 0210.99.16 Meat of poultry: Of turkeys, over access commitment, boneless X X 0210.99.19 Meat of poultry: Other X 2.5% 0401.10.10 Within access commitment X 7.5% 0,TRQ-CA1 0401.10.20 Over access commitment X X 0401.20.10 Within access commitment X 7.5% 0,TRQ-CA1 0401.20.20 Over access commitment X X 0401.40.10 Within access commitment X 7.5% 0,TRQ-CA2 0401.40.20 Over access commitment X X 0401.50.10 Within access commitment X 7.5% 0,TRQ-CA2</w:t>
      </w:r>
    </w:p>
    <w:p>
      <w:pPr>
        <w:pStyle w:val="Normal"/>
        <w:widowControl/>
        <w:rPr/>
      </w:pPr>
      <w:r>
        <w:rPr/>
        <w:t>0401.50.20 Over access commitment X X 0402.10.10 Within access commitment X 3.32¢/kg 0,TRQ-CA3 0402.10.20 Over access commitment X X 0402.21.11 Milk: Within access commitment X 3.32¢/kg 0,TRQ-CA7 0402.21.12 Milk: Over access commitment X X 0402.21.21 Cream: Within access commitment X 6.5% 0,TRQ-CA4 0402.21.22 Cream: Over access commitment X X 0402.29.11 Milk: Within access commitment X 3.32¢/kg 0,TRQ-CA7 0402.29.12 Milk: Over access commitment X X 0402.29.21 Cream: Within access commitment X 6.5% 0,TRQ-CA4 0402.29.22 Cream: Over access commitment X X 0402.91.10 Within access commitment X 2.84¢/kg 0,TRQ-CA8 0402.91.20 Over access commitment X X 0402.99.10 Within access commitment X 2.84¢/kg 0,TRQ-CA8 0402.99.20 Over access commitment X X 0403.10.10 Within access commitment X 6.5% 0,TRQ-CA9 0403.10.20 Over access commitment X X 0403.90.11 Powdered buttermilk: Within access commitment X 3.32¢/kg 0,TRQ-CA10 0403.90.12 Powdered buttermilk: Over access commitment X X 0403.90.91 Other: Within access commitment X 7.5% 0,TRQ-CA9 0403.90.92 Other: Over access commitment X X 0404.10.10 Whey protein concentrate X 4.94¢/kg 0404.10.21 Powdered whey: Within access commitment X 3.32¢/kg 0,TRQ-CA11 0404.10.22 Powdered whey:</w:t>
      </w:r>
    </w:p>
    <w:p>
      <w:pPr>
        <w:pStyle w:val="Normal"/>
        <w:widowControl/>
        <w:rPr/>
      </w:pPr>
      <w:r>
        <w:rPr/>
        <w:t>Over access commitment X 208% but not less than $2.07/kg B11 0404.10.90 Other X 11% 0404.90.10 Within access commitment X 3% 0,TRQ-CA12 0404.90.20 Over access commitment X X 0405.10.10 Within access commitment X 11.38¢/kg 0,TRQ-CA4 0405.10.20 Over access commitment X X</w:t>
      </w:r>
    </w:p>
    <w:p>
      <w:pPr>
        <w:pStyle w:val="Normal"/>
        <w:widowControl/>
        <w:rPr/>
      </w:pPr>
      <w:r>
        <w:rPr/>
        <w:t>0405.20.10 Within access commitment X 7% 0,TRQ-CA4 0405.20.20 Over access commitment X X 0405.90.10 Within access commitment X 7.5% 0,TRQ-CA4 0405.90.20 Over access commitment X X 0406.10.10 Within access commitment X 3.32¢/kg 0,TRQ-CA5; 0,TRQ-CA6 0406.10.20 Over access commitment X X 0406.20.11 Cheddar and Cheddar types: Within access commitment X 2.84¢/kg 0,TRQ-CA5; 0,TRQ-CA6 0406.20.12 Cheddar and Cheddar types: Over access commitment X X 0406.20.91 Other: Within access commitment X 3.32¢/kg 0,TRQ-CA5; 0,TRQ-CA6 0406.20.92 Other: Over access commitment X X 0406.30.10 Within access commitment X 3.32¢/kg 0,TRQ-CA5; 0,TRQ-CA6 0406.30.20 Over access commitment X X 0406.40.10 Within access commitment X 3.32¢/kg 0,TRQ-CA5; 0,TRQ-CA6 0406.40.20 Over access commitment X X 0406.90.11 Cheddar and Cheddar types: Within access commitment X 2.84¢/kg 0,TRQ-CA5; 0,TRQ-CA6 0406.90.12 Cheddar and Cheddar types: Over access commitment X X 0406.90.21 Camembert and Camembert types: Within access commitment X 3.32¢/kg 0,TRQ-CA5; 0,TRQ-CA6 0406.90.22 Camembert and Camembert types: Over access commitment X X 0406.90.31 Brie and Brie types: Within access commitment X 3.32¢/kg 0,TRQ-CA5; 0,TRQ-CA6 0406.90.32 Brie and Brie types: Over access commitment X X 0406.90.41 Gouda and Gouda types:</w:t>
      </w:r>
    </w:p>
    <w:p>
      <w:pPr>
        <w:pStyle w:val="Normal"/>
        <w:widowControl/>
        <w:rPr/>
      </w:pPr>
      <w:r>
        <w:rPr/>
        <w:t>Within access commitment X 3.32¢/kg 0,TRQ-CA5; 0,TRQ-CA6 0406.90.42 Gouda and Gouda types: Over access commitment X X 0406.90.51 Provolone and Provolone types: Within access commitment X 3.32¢/kg 0,TRQ-CA5;</w:t>
      </w:r>
    </w:p>
    <w:p>
      <w:pPr>
        <w:pStyle w:val="Normal"/>
        <w:widowControl/>
        <w:rPr/>
      </w:pPr>
      <w:r>
        <w:rPr/>
        <w:t>0,TRQ-CA6 0406.90.52 Provolone and Provolone types: Over access commitment X X 0406.90.61 Mozzarella and Mozzarella types: Within access commitment X 3.32¢/kg 0,TRQ-CA5; 0,TRQ-CA6 0406.90.62 Mozzarella and Mozzarella types: Over access commitment X X 0406.90.71 Swiss/Emmental and Swiss/Emmental types: Within access commitment X 3.32¢/kg 0,TRQ-CA5; 0,TRQ-CA6 0406.90.72 Swiss/Emmental and Swiss/Emmental types: Over access commitment X X 0406.90.81 Gruyère and Gruyère types: Within access commitment X 3.32¢/kg 0,TRQ-CA5; 0,TRQ-CA6 0406.90.82 Gruyère and Gruyère types: Over access commitment X X 0406.90.91 Other: Havarti and Havarti types, within access commitment X 3.32¢/kg 0,TRQ-CA5; 0,TRQ-CA6 0406.90.92 Other: Havarti and Havarti types, over access commitment X X 0406.90.93 Other: Parmesan and Parmesan types, within access commitment X 3.32¢/kg 0,TRQ-CA5; 0,TRQ-CA6 0406.90.94 Other: Parmesan and Parmesan types, over access commitment X X 0406.90.95 Other: Romano and Romano types, within access commitment X 3.32¢/kg 0,TRQ-CA5; 0,TRQ-CA6 0406.90.96 Other: Romano and Romano types, over access commitment X X 0406.90.98 Other: Other, within access commitment X 3.32¢/kg 0,TRQ-CA5; 0,TRQ-CA6 0406.90.99 Other: Other, over access commitment X X 0407.11.11 Hatching, for broilers: Within access commitment X 1.51¢/dozen 0407.11.12 Hatching, for broilers: Over access commitment X X 0407.11.91 Other: Within access commitment X 1.51¢/dozen 0,TRQ-CA16 0407.11.92 Other: Over access commitment</w:t>
      </w:r>
    </w:p>
    <w:p>
      <w:pPr>
        <w:pStyle w:val="Normal"/>
        <w:widowControl/>
        <w:rPr/>
      </w:pPr>
      <w:r>
        <w:rPr/>
        <w:t>X X 0407.19.00 Other X Free 0407.21.10 Within access commitment X 1.51¢/dozen 0,TRQ-CA16 0407.21.20 Over access commitment X X 0407.29.00 Other X Free 0407.90.11 Of the fowls of the species Gallus domesticus: Within access commitment X 1.51¢/dozen 0,TRQ-CA16 0407.90.12 Of the fowls of the species Gallus domesticus: Over access commitment X X 0407.90.90 Other X Free 0408.11.10 Within access commitment X 8.5% 0,TRQ-CA16 0408.11.20 Over access commitment X X 0408.19.10 Within access commitment X 6.63¢/kg 0,TRQ-CA16 0408.19.20 Over access commitment X X 0408.91.10 Within access commitment X 8.5% 0,TRQ-CA16 0408.91.20 Over access commitment X X 0408.99.10 Within access commitment X 6.63¢/kg 0,TRQ-CA16 0408.99.20 Over access commitment X X 1517.10.20 Over access commitment 82.28¢/kg 82.28¢/kg B6 1517.90.21 Substitutes for butter: Within access commitment 7.5% 7.5% 0,TRQ-CA14 1517.90.22 Substitutes for butter: Over access commitment 218% but not less than $2.47/kg 218% but not less than $2.47/kg B6 1601.00.11 In cans or glass jars: Of poultry of heading 01.05 X 12.5% 1601.00.21 Of fowls of the species Gallus domesticus, other than in cans or glass jars:</w:t>
      </w:r>
    </w:p>
    <w:p>
      <w:pPr>
        <w:pStyle w:val="Normal"/>
        <w:widowControl/>
        <w:rPr/>
      </w:pPr>
      <w:r>
        <w:rPr/>
        <w:t>Other than spent fowl, within access commitment X 0.95¢/kg 0,TRQ-CA15 1601.00.22 Of fowls of the species Gallus domesticus, other than in cans or glass jars: Other than spent fowl, over access commitment X X 1601.00.31 Of turkeys, other than in cans or glass jars: Within access commitment X 0.95¢/kg 1601.00.32 Of turkeys, other</w:t>
      </w:r>
    </w:p>
    <w:p>
      <w:pPr>
        <w:pStyle w:val="Normal"/>
        <w:widowControl/>
        <w:rPr/>
      </w:pPr>
      <w:r>
        <w:rPr/>
        <w:t>than in cans or glass jars: Over access commitment X X 1602.10.10 Of fowls of the species Gallus domesticus and turkeys, of heading 01.05 X 12.5% 1602.20.21 Paste, of fowls of the species Gallus domesticus, not in cans or glass jars: Within access commitment X Free 0,TRQ-CA15 1602.20.22 Paste, of fowls of the species Gallus domesticus, not in cans or glass jars: Over access commitment X X 1602.20.31 Paste, of turkeys, not in cans or glass jars: Within access commitment X Free 1602.20.32 Paste, of turkeys, not in cans or glass jars: Over access commitment X X 1602.31.11 Prepared meals: Specially defined mixtures X 11% 1602.31.12 Prepared meals: Other, within access commitment X 7.5% 1602.31.13 Prepared meals: Other, over access commitment, bone in X X 1602.31.14 Prepared meals: Other, over access commitment, boneless X X 1602.31.91 Other: In cans or glass jars X 12.5% 1602.31.92 Other: Specially defined mixtures, other than in cans or glass jars X 2.5% 1602.31.93 Other: Other, within access commitment X 5% but not less than 4.74¢/kg or more than 9.48¢/kg 1602.31.94 Other:</w:t>
      </w:r>
    </w:p>
    <w:p>
      <w:pPr>
        <w:pStyle w:val="Normal"/>
        <w:widowControl/>
        <w:rPr/>
      </w:pPr>
      <w:r>
        <w:rPr/>
        <w:t>Other, over access commitment, bone in X X 1602.31.95 Other: Other, over access commitment, boneless X X 1602.32.11 Prepared meals: Of spent fowl; Specially defined mixtures X 11% 1602.32.12 Prepared meals: Other, within access commitment X 7.5% 0,TRQ-CA15 1602.32.13 Prepared meals: Other, over access commitment, bone in X X 1602.32.14 Prepared meals: Other, over access commitment, boneless X X 1602.32.91</w:t>
      </w:r>
    </w:p>
    <w:p>
      <w:pPr>
        <w:pStyle w:val="Normal"/>
        <w:widowControl/>
        <w:rPr/>
      </w:pPr>
      <w:r>
        <w:rPr/>
        <w:t>Other: In cans or glass jars X 9.5% 1602.32.92 Other: Specially defined mixtures, other than in cans or glass jars; Spent fowl other than in cans or glass jars X Free 1602.32.93 Other: Other, within access commitment X 5% but not less than 4.74¢/kg or more than 9.48¢/kg 0,TRQ-CA15 1602.32.94 Other: Other, over access commitment, bone in X X 1602.32.95 Other: Other, over access commitment, boneless X X 1602.39.10 Prepared meals X 11% 1602.39.91 Other: Of ducks, geese or guinea fowls, in cans or glass jars X 9.5% 1602.39.99 Other: Other X Free 1701.12.90 Other X $24.69/tonne 1701.13.90 Other X $22.05/tonne 1701.91.90 Other X $30.86/tonne 1701.99.90 Other X $30.86/tonne 1702.90.11 Invert sugar and other sugar syrups containing, after inversion, reducing sugars weighing 75% or more of the total solid weight and in receptacles where the gross weight exceeds 27 kg:</w:t>
      </w:r>
    </w:p>
    <w:p>
      <w:pPr>
        <w:pStyle w:val="Normal"/>
        <w:widowControl/>
        <w:rPr/>
      </w:pPr>
      <w:r>
        <w:rPr/>
        <w:t>Containing reducing sugars after inversion not exceeding 65% by weight of the total syrup X $11.99/tonne 1702.90.12 Invert sugar and other sugar syrups containing, after inversion, reducing sugars weighing 75% or more of the total solid weight and in receptacles where the gross weight exceeds 27 kg: Containing reducing sugars after inversion exceeding 65% but not exceeding 70% by weight of the total syrup X $13.05/tonne 1702.90.13 Invert sugar and other sugar syrups containing, after inversion, reducing sugars weighing 75% or more of the total solid weight and in receptacles where the gross weight exceeds 27 kg:</w:t>
      </w:r>
    </w:p>
    <w:p>
      <w:pPr>
        <w:pStyle w:val="Normal"/>
        <w:widowControl/>
        <w:rPr/>
      </w:pPr>
      <w:r>
        <w:rPr/>
        <w:t>Containing reducing sugars after inversion exceeding 70% but not exceeding 71% by weight of the total syrup X $13.26/tonne 1702.90.14 Invert sugar and other sugar syrups containing, after inversion, reducing sugars weighing 75% or more of the total solid weight and in receptacles where the gross weight exceeds 27 kg: Containing reducing sugars after inversion exceeding 71% but not exceeding 72% by weight of the total syrup X $13.47/tonne 1702.90.15 Invert sugar and other sugar syrups containing, after inversion, reducing sugars weighing 75% or more of the total solid weight and in receptacles where the gross weight exceeds 27 kg: Containing reducing sugars after inversion exceeding 72% but not exceeding 73% by weight of the total syrup X $13.69/tonne 1702.90.16 Invert sugar and other sugar syrups containing, after inversion, reducing sugars weighing 75% or more of the total solid weight and in receptacles where the gross weight exceeds 27 kg:</w:t>
      </w:r>
    </w:p>
    <w:p>
      <w:pPr>
        <w:pStyle w:val="Normal"/>
        <w:widowControl/>
        <w:rPr/>
      </w:pPr>
      <w:r>
        <w:rPr/>
        <w:t>Containing reducing sugars after inversion exceeding 73% but not exceeding 74% by weight of the total syrup X $13.90/tonne 1702.90.17 Invert sugar and other sugar syrups containing, after inversion, reducing sugars weighing 75% or more of the total solid weight and in receptacles where the gross weight exceeds 27 kg: Containing reducing sugars after inversion exceeding 74% but not exceeding 75% by weight of the total syrup X $14.11/tonne 1702.90.18 Invert sugar and other sugar syrups containing, after inversion, reducing sugars weighing</w:t>
      </w:r>
    </w:p>
    <w:p>
      <w:pPr>
        <w:pStyle w:val="Normal"/>
        <w:widowControl/>
        <w:rPr/>
      </w:pPr>
      <w:r>
        <w:rPr/>
        <w:t>75% or more of the total solid weight and in receptacles where the gross weight exceeds 27 kg: Containing reducing sugars after inversion exceeding 75% by weight of the total syrup X $15.17/tonne 1702.90.89 Other invert sugars and other sugar syrups: Other X $4.52/tonne 1806.10.10 Containing 90% or more by weight of sugar X 6% 1806.20.21 Chocolate ice cream mix or ice milk mix: Within access commitment 5% 5% 0,TRQ-CA13 1806.20.22 Chocolate ice cream mix or ice milk mix: Over access commitment X X 1806.90.11 Chocolate ice cream mix or ice milk mix: Within access commitment 5% 5% 0,TRQ-CA13 1806.90.12 Chocolate ice cream mix or ice milk mix: Over access commitment X X 1901.20.11 In packages of a weight not exceeding 11.34 kg each: Containing more than 25% by weight of butterfat, not put up for retail sale, within access commitment 4% 4% 0,TRQ-CA14 1901.20.12 In packages of a weight not exceeding 11.34 kg each:</w:t>
      </w:r>
    </w:p>
    <w:p>
      <w:pPr>
        <w:pStyle w:val="Normal"/>
        <w:widowControl/>
        <w:rPr/>
      </w:pPr>
      <w:r>
        <w:rPr/>
        <w:t>Containing more than 25% by weight of butterfat, not put up for retail sale, over access commitment X X 1901.20.21 In bulk or in packages of a weight exceeding 11.34 kg each: Containing more than 25% by weight of butterfat, not put up for retail sale, within access commitment 3% 3% 0,TRQ-CA14 1901.20.22 In bulk or in packages of a weight exceeding 11.34 kg each: Containing more than 25% by weight of butterfat, not put up for retail sale, over access commitment X X 1901.90.31 Food preparations of goods of headings 04.01 to 04.04, containing more than 10% but less than 50</w:t>
      </w:r>
    </w:p>
    <w:p>
      <w:pPr>
        <w:pStyle w:val="Normal"/>
        <w:widowControl/>
        <w:rPr/>
      </w:pPr>
      <w:r>
        <w:rPr/>
        <w:t>% on a dry weight basis of milk solids: Ice cream mixes or ice milk mixes, within access commitment X 6.5% 0,TRQ-CA13 1901.90.32 Food preparations of goods of headings 04.01 to 04.04, containing more than 10% but less than 50 % on a dry weight basis of milk solids: Ice cream mixes or ice milk mixes, over access commitment X X 1901.90.33 Food preparations of goods of headings 04.01 to 04.04, containing more than 10% but less than 50 % on a dry weight basis of milk solids: Other, not put up for retail sale, within access commitment X 6.5% 0,TRQ-CA14 1901.90.34 Food preparations of goods of headings 04.01 to 04.04, containing more than 10% but less than 50 % on a dry weight basis of milk solids: Other, not put up for retail sale, over access commitment X X 1901.90.51 Food preparations of goods of headings 04.01 to 04.04, containing 50 % or more on a dry weight basis of milk solids:</w:t>
      </w:r>
    </w:p>
    <w:p>
      <w:pPr>
        <w:pStyle w:val="Normal"/>
        <w:widowControl/>
        <w:rPr/>
      </w:pPr>
      <w:r>
        <w:rPr/>
        <w:t>Ice cream mixes or ice milk mixes, within access commitment X 6.5% 0,TRQ-CA13 1901.90.52 Food preparations of goods of headings 04.01 to 04.04, containing 50 % or more on a dry weight basis of milk solids: Ice cream mixes or ice milk mixes, over access commitment X X 1901.90.53 Food preparations of goods of headings 04.01 to 04.04, containing 50 % or more on a dry weight basis of milk solids: Other, not put up for retail sale, within access commitment X 6.5% 0,TRQ-CA14 1901.90.54 Food preparations of goods of headings 04.01 to 04.04, containing 50 % or more on a dry weight basis of milk solids:</w:t>
      </w:r>
    </w:p>
    <w:p>
      <w:pPr>
        <w:pStyle w:val="Normal"/>
        <w:widowControl/>
        <w:rPr/>
      </w:pPr>
      <w:r>
        <w:rPr/>
        <w:t>Other, not put up for retail sale, over access commitment X X 2105.00.10 Flavoured ice and ice sherbets X 9.5% 2105.00.91 Other: Within access commitment X 6.5% 0,TRQ-CA13 2105.00.92 Other: Over access commitment X X 2106.90.21 Syrups derived from cane or beet sugar, containing added colouring matter; Food concentrates and fruit syrups for use in beverages or other food preparations: Syrups derived from cane or beet sugar, containing, in the dry state, 90% or more by weight of sugar and no added flavouring matter X 6% 2106.90.31 Milk, cream or butter substitutes and preparations suitable for use as butter substitutes: Milk, cream or butter substitutes, containing 50% or more by weight of dairy content, within access commitment X 5% 0,TRQ-CA14 2106.90.32 Milk, cream or butter substitutes and preparations suitable for use as butter substitutes: Milk, cream or butter substitutes, containing 50% or more by weight of dairy content, over access commitment X X 2106.90.33 Milk, cream or butter substitutes and preparations suitable for use as butter substitutes:</w:t>
      </w:r>
    </w:p>
    <w:p>
      <w:pPr>
        <w:pStyle w:val="Normal"/>
        <w:widowControl/>
        <w:rPr/>
      </w:pPr>
      <w:r>
        <w:rPr/>
        <w:t>Preparations, containing more than 15% by weight of milk fat but less than 50% by weight of dairy content, suitable for use as butter substitutes, within access commitment 5% 5% 0,TRQ-CA14 2106.90.34 Milk, cream or butter substitutes and preparations suitable for use as butter substitutes: Preparations, containing more than 15% by weight of milk fat but less than 50% by weight of dairy content, suitable for use as butter</w:t>
      </w:r>
    </w:p>
    <w:p>
      <w:pPr>
        <w:pStyle w:val="Normal"/>
        <w:widowControl/>
        <w:rPr/>
      </w:pPr>
      <w:r>
        <w:rPr/>
        <w:t>substitutes, over access commitment X X 2106.90.51 Egg preparations: Within access commitment X 6.68¢/kg 0,TRQ-CA16 2106.90.52 Egg preparations: Over access commitment X X 2106.90.93 Other: Containing 50% or more by weight of dairy content, within access commitment 7% 7% 0,TRQ-CA14 2106.90.94 Other: Containing 50% or more by weight of dairy content, over access commitment X X 2202.99.32 Beverages containing milk: Other, containing 50% or more by weight of dairy content, not put up for retail sale, within access commitment 7.5% 7.5% 0,TRQ-CA13 2202.99.33 Beverages containing milk: Other, containing 50% or more by weight of dairy content, not put up for retail sale, over access commitment X X 2309.90.31 Complete feeds and feed supplements, including concentrates: Containing 50% or more by weight in the dry state of non-fat milk solids, within access commitment X 2% 0,TRQ-CA14 2309.90.32 Complete feeds and feed supplements, including concentrates: Containing 50% or more by weight in the dry state of non-fat milk solids, over access commitment X X 2309.90.35 Complete feeds and feed supplements, including concentrates:</w:t>
      </w:r>
    </w:p>
    <w:p>
      <w:pPr>
        <w:pStyle w:val="Normal"/>
        <w:widowControl/>
        <w:rPr/>
      </w:pPr>
      <w:r>
        <w:rPr/>
        <w:t>Containing 50% or more by weight in the dry state of milk solids containing butterfat X 3% 3501.10.00 Casein X Free 3501.90.00 Other X Free 3502.11.10 Within access commitment X 8.5% 0,TRQ-CA16 3502.11.20 Over access commitment X X 3502.19.10 Within access commitment X 6.63¢/kg 0,TRQ-CA16 3502.19.20 Over access commitment X X TARIFF SCHEDULE OF THE UNITED STATES</w:t>
      </w:r>
    </w:p>
    <w:p>
      <w:pPr>
        <w:pStyle w:val="Normal"/>
        <w:widowControl/>
        <w:rPr/>
      </w:pPr>
      <w:r>
        <w:rPr/>
        <w:t>HTSUS 1 July 2017 Brief Description Canada Duty Rate Mexico Duty Rate Live purebred breeding horses Live horses other than purebred breeding horses Live asses Mules and hinnies imported for immediate slaughter Mules and hinnies not imported for immediate slaughter Live purebred breeding cattle Cows imported specially for dairy purposes Live cattle other than purebred or those imported for dairy purposes Live purebred breeding buffalo Live buffalo, other than purebred breeding animals Live bovine animals, other than cattle and buffalo Live purebred breeding swine Live swine, other than purebred breeding swine, weighing less than 50 kg each Live swine, other than purebred breeding swine, weighing 50 kg or more Live sheep Live goats Live chickens weighing not over 185 g each Live turkeys weighing not more than over 185 g each Live ducks, weighing not more than 185 g each Live geese, weighing not more than 185 g each Live guinea fowls, weighing not more than 185 g each Live Poultry;Chickens Live ducks, geese, turkeys and guineas, weighing over 185 g each Live primates Live whales, dolphins and porpoises;</w:t>
      </w:r>
    </w:p>
    <w:p>
      <w:pPr>
        <w:pStyle w:val="Normal"/>
        <w:widowControl/>
        <w:rPr/>
      </w:pPr>
      <w:r>
        <w:rPr/>
        <w:t>manatees and dugongs, seals, sea lions, and walruses Live camels and other camelids (Camelidae) Live rabbits and hares Live foxes Live mammals, not elsewhere specified or included Live reptiles (including snakes and turtles) Live birds of prey Live psittaciforme birds (including parrots, parakeets, macaws and cockatoos) Ostriches; emus Live birds, other than poultry, birds of</w:t>
      </w:r>
    </w:p>
    <w:p>
      <w:pPr>
        <w:pStyle w:val="Normal"/>
        <w:widowControl/>
        <w:rPr/>
      </w:pPr>
      <w:r>
        <w:rPr/>
        <w:t>prey or psittaciforme birds Bees Live insects other than bees Live animals other than mammals, reptiles, insects, and birds Bovine carcasses and halves, fresh or chld., descr. in gen. note 15 of the HTS Bovine carcasses and halves, fresh or chld., descr. in add. US note 3 to Ch. 2 Bovine carcasses and halves, fresh or chld., other than descr. in gen. note 15 or add. US note 3 to Ch. 2 High-qual. beef cuts w/bone in, processed, fresh or chld., descr in gen. note 15 of the HTS Bovine meat cuts (except high-qual. beef cuts), w/bone in, processed, fresh or chld., descr in gen. note 15 of the HTS Bovine meat cuts, w/bone in, not processed, fresh or chld., descr in gen. note 15 of the HTS High-qual. beef cuts, w/bone in, processed, fresh or chld., descr in add. US note 3 to Ch. 2 Bovine meat cuts (except high-qual. beef cuts), w/bone in, processed, fresh or chld., descr in add. US note 3 to Ch.</w:t>
      </w:r>
    </w:p>
    <w:p>
      <w:pPr>
        <w:pStyle w:val="Normal"/>
        <w:widowControl/>
        <w:rPr/>
      </w:pPr>
      <w:r>
        <w:rPr/>
        <w:t>2 Bovine meat cuts, w/bone in, not processed, fresh or chld., descr in add. US note 3 to Ch. 2 Bovine meat cuts, w/bone in, fresh or chld., not descr in gen. note 15 or add. US note 3 to Ch. 2 High-qual. beef cuts, boneless, processed, fresh or chld., descr in gen. note 15 of the HTS Bovine meat cuts (except high-qual. beef cuts), boneless, processed, fresh or chld., descr in gen. note 15 of the HTS Bovine meat cuts, boneless, not processed, fresh or chld., descr in gen. note 15 of the HTS High-qual. beef cuts, boneless, processed, fresh or chld., descr in add. US note 3 to Ch.</w:t>
      </w:r>
    </w:p>
    <w:p>
      <w:pPr>
        <w:pStyle w:val="Normal"/>
        <w:widowControl/>
        <w:rPr/>
      </w:pPr>
      <w:r>
        <w:rPr/>
        <w:t>Bovine meat cuts (except high-qual. beef cuts), boneless, processed, fresh or chld., descr in add. US note 3 to Ch. 2 Bovine meat cuts, boneless, not processed, fresh or chld., descr in add. US note 3 to Ch. 2 Bovine meat cuts, boneless, fresh or chld., not descr in gen. note 15 or add. US note 3 to Ch. 2 Bovine carcasses and halves, frozen, descr. in gen. note 15 of the HTS Bovine carcasses and halves, frozen, descr. in add. US note 3 to Ch. 2 Bovine carcasses and halves, frozen, other than descr. in gen. note 15 or add. US note 3 to Ch. 2 High-qual. beef cuts w/bone in, processed, frozen, descr in gen. note 15 of the HTS Bovine meat cuts (except high-qual. beef cuts), w/bone in, processed, frozen, descr in gen. note 15 of the HTS Bovine meat cuts, w/bone in, not processed, frozen, descr in gen. note 15 of the HTS High-qual. beef cuts, w/bone in, processed, frozen, descr in add. US note 3 to Ch.</w:t>
      </w:r>
    </w:p>
    <w:p>
      <w:pPr>
        <w:pStyle w:val="Normal"/>
        <w:widowControl/>
        <w:rPr/>
      </w:pPr>
      <w:r>
        <w:rPr/>
        <w:t>2 Bovine meat cuts (except high-qual. beef cuts), w/bone in, processed, frozen, descr in add. US note 3 to Ch. 2 Bovine meat cuts, w/bone in, not processed, frozen, descr in add. US note 3 to Ch. 2 Bovine meat cuts, w/bone in, frozen, not descr in gen. note 15 or add. US note 3 to Ch. High-qual. beef cuts, boneless, processed, frozen, descr in gen. note 15 of the HTS Bovine meat cuts (except high-qual. beef cuts), boneless, processed, frozen, descr in gen. note 15 of the HTS Bovine meat cuts, boneless, not processed, frozen, descr in gen. note 15 of the HTS High-qual.</w:t>
      </w:r>
    </w:p>
    <w:p>
      <w:pPr>
        <w:pStyle w:val="Normal"/>
        <w:widowControl/>
        <w:rPr/>
      </w:pPr>
      <w:r>
        <w:rPr/>
        <w:t>beef cuts, boneless, processed, frozen, descr in add. US note 3 to Ch. 2 Bovine meat cuts (except high-qual. beef cuts), boneless, processed, frozen, descr in add. US note 3 to Ch. 2 Bovine meat cuts, boneless, not processed, frozen, descr in add. US note 3 to Ch. 2 Bovine meat cuts, boneless, frozen, not descr in gen. note 15 or add. US note 3 to Ch.</w:t>
      </w:r>
    </w:p>
    <w:p>
      <w:pPr>
        <w:pStyle w:val="Normal"/>
        <w:widowControl/>
        <w:rPr/>
      </w:pPr>
      <w:r>
        <w:rPr/>
        <w:t>Carcasses and half-carcasses of swine, fresh or chilled Fresh or chilled retail cuts of ham, shoulders and cuts thereof, with bone in Fresh or chilled hams, shoulders and cuts thereof, with bone in, other than processed Meat of swine nesi, retail cuts, fresh or chilled Meat of swine, nesi, non retail cuts, fresh or chilled Carcasses and half-carcasses of swine, frozen Frozen retail cuts of hams, shoulders and cuts thereof, with bone in Frozen hams, shoulders and cuts thereof, with bone in, other than retail cuts Frozen retail cuts of meat of swine, nesi Frozen meat of swine, other than retail cuts, nesi Carcasses and half-carcasses of lamb, fresh or chilled Carcasses and half-carcasses of sheep, other than lamb, fresh or chilled Cuts of lamb meat with bone in, fresh or chilled Cuts of sheep meat with bone in, nesi, fresh or chilled Boneless meat of lamb, fresh or chilled Boneless meat of sheep, nesi, fresh or chilled Carcasses and half-carcasses of lamb, frozen Carcasses and half-carcasses of sheep, other than lamb, frozen Cuts of lamb meat with bone in, frozen Cuts of sheep meat with bone in, nesi, frozen Boneless meat of</w:t>
      </w:r>
    </w:p>
    <w:p>
      <w:pPr>
        <w:pStyle w:val="Normal"/>
        <w:widowControl/>
        <w:rPr/>
      </w:pPr>
      <w:r>
        <w:rPr/>
        <w:t>lamb, frozen Boneless meat of sheep, nesi, frozen Meat of goats, fresh, chilled or frozen Meat of horses, asses, mules or hinnies, fresh, chilled or frozen Edible offal of bovine animals, fresh or chilled Tongues of bovine animals, frozen Livers of bovine animals, frozen Edible offal of bovine animals, except tongues or livers, frozen Edible offal of swine, fresh or chilled Livers of swine, frozen Edible offal of swine, except liver, frozen Edible offal of sheep, goats, horses, asses, mules or hinnies, fresh or chilled Edible offal of sheep, goats, horses, asses, mules or hinnies, frozen Chickens, not cut in pieces, fresh or chilled Chickens, not cut in pieces, frozen Cuts and offal of chickens, fresh or chilled Cuts and offal of chickens, frozen Turkeys, not cut in pieces, fresh or chilled Turkeys, not cut in pieces, valued less than 88 cents/kg, frozen Turkeys, not cut in pieces, valued 88 cents or more per kg, frozen Cuts and offal of turkeys, fresh or chilled Cuts and offal of turkeys, frozen</w:t>
      </w:r>
    </w:p>
    <w:p>
      <w:pPr>
        <w:pStyle w:val="Normal"/>
        <w:widowControl/>
        <w:rPr/>
      </w:pPr>
      <w:r>
        <w:rPr/>
        <w:t>Ducks, not cut in pieces, fresh or chilled Ducks, not cut in pieces, frozen Fatty livers of ducks, fresh or chilled Cuts and offal, other than fatty livers, of ducks, fresh or chilled Cuts and offal of ducks, frozen Geese, not cut in pieces, fresh or chilled Geese, not cut in pieces, frozen Fatty livers of geese, fresh or chilled Cuts and offal, other than fatty livers, of geese, fresh or chilled Cuts and offal of geese, frozen Guinea fowls, not cut in pieces, fresh or chilled</w:t>
      </w:r>
    </w:p>
    <w:p>
      <w:pPr>
        <w:pStyle w:val="Normal"/>
        <w:widowControl/>
        <w:rPr/>
      </w:pPr>
      <w:r>
        <w:rPr/>
        <w:t>Guinea fowls, not cut in pieces, frozen Fatty livers of guinea fowls, fresh or chilled Cuts and offal, other than fatty livers, of guinea fowls, fresh or chilled Cuts and offal of guinea fowls, frozen Meat and edible meat offal of rabbits or hares, fresh, chilled or frozen Meat and edible meat offal of primates, fresh, chilled or frozen Meat and edible meat offal of whales, dolphins, porpoises, manatees, dugongs, seals, seal lions or walruses, fresh, chilled or frozen Meat and edible meat offal of reptiles, fresh, chilled or frozen Meat and edible meat offal of camels and other camelids, fresh, chilled or frozen Meat and edible offal of deer, fresh, chilled or frozen Frog legs, fresh, chilled or frozen Fresh, chilled or frozen quail, eviscerated, not in pieces Other meat and edible meat offal not elsewhere specified or included, fresh, chilled or frozen Pig fat, free of lean meat, fresh, chilled, frozen, salted, in brine, dried or smoked Poultry fat, not rendered or otherwise extracted, fresh, chilled, frozen, salted,</w:t>
      </w:r>
    </w:p>
    <w:p>
      <w:pPr>
        <w:pStyle w:val="Normal"/>
        <w:widowControl/>
        <w:rPr/>
      </w:pPr>
      <w:r>
        <w:rPr/>
        <w:t>in brine, dried or smoked Hams, shoulders and cuts thereof with bone in, salted, in brine, dried or smoked Bellies (streaky) and cuts thereof of swine, salted, in brine, dried or smoked Meat of swine other than hams, shoulders, bellies (streaky) and cuts thereof, salted, in brine, dried or smoked Meat of bovine animals, salted, in brine, dried or smoked Meat and edible offal of primates, salted, in brine, dried or smoked;</w:t>
      </w:r>
    </w:p>
    <w:p>
      <w:pPr>
        <w:pStyle w:val="Normal"/>
        <w:widowControl/>
        <w:rPr/>
      </w:pPr>
      <w:r>
        <w:rPr/>
        <w:t>edible flours and meals thereof Meat,</w:t>
      </w:r>
    </w:p>
    <w:p>
      <w:pPr>
        <w:pStyle w:val="Normal"/>
        <w:widowControl/>
        <w:rPr/>
      </w:pPr>
      <w:r>
        <w:rPr/>
        <w:t>edible offal, &amp; meals of whales,dolphins,porpoises,manatees,dugongs,seals, sea lions, walruses,salted,in brine,dried or smoked Meat and edible offal of reptiles, salted, in brine, dried or smoked; edible flours and meals thereof Meat and edible offal of poultry of heading 0105, in brine, dried or smoked; edible flours and meals thereof Meat and edible offal not elsewhere specified or included, salted, in brine, dried or smoked;</w:t>
      </w:r>
    </w:p>
    <w:p>
      <w:pPr>
        <w:pStyle w:val="Normal"/>
        <w:widowControl/>
        <w:rPr/>
      </w:pPr>
      <w:r>
        <w:rPr/>
        <w:t>edible flours and meals thereof Live ornamental freshwater fish Live ornamental fish, other than freshwater Live trout Live eels Live carp Other live Fish, Atlantic &amp; Pacific Bluefin Tunas Other live Fish, Southern Bluefin Tunas Live Tench (Tinca Tinca), sheatfish (Silurus Glanis), bighead carp (Aristichthys Nobilis) and other fish, nesoi Trout, fresh or chilled, excluding fillets, other meat portions, livers and roes Pacific salmon, fresh or chilled, excluding fillets, other meat portions, livers and roes Atlantic and Danube salmon, fresh or chilled, excluding fillets, other meat portions, livers and roes Salmonidae other than trout or Pacific, Atlantic &amp; Danube salmon, fresh or chilled, excluding fillets, other meat portions, livers &amp; roes Halibut and Greenland turbot, fresh or chilled, excluding fillets, other meat portions, livers and roes Plaice, fresh or chilled, excluding fillets, other meat portions, livers and roes Sole, fresh or chilled, excluding fillets, other meat portions, livers and roes Turbots Flat fish, nesi, fresh or chilled,</w:t>
      </w:r>
    </w:p>
    <w:p>
      <w:pPr>
        <w:pStyle w:val="Normal"/>
        <w:widowControl/>
        <w:rPr/>
      </w:pPr>
      <w:r>
        <w:rPr/>
        <w:t>excluding fillets, other meat portions, livers and roes Albacore or longfinned tunas, fresh or chilled, excluding fillets, other meat portions, livers and roes Yellowfin tunas, fresh or chilled, excluding fillets, other meat portions, livers and roes Skipjack or stripe-bellied bonito, fresh or chilled, excluding fillets, other meat portions, livers and roes Bigeye tunas (Thunnas obesus), fresh or chilled, excluding fillets, other meat portions, livers and roes Atlantic &amp; Pacific bluefin tunas, fresh or chilled, excluding fillets, other meat portions, livers and roes Southern bluefin tunas (Thunnas maccoyii), fresh or chilled, excluding fillets, other meat portions, livers and roes Tunas not elsewhere specified or included, fresh or chilled, excluding fillets, other meat portions, livers and roes Herrings, fresh or chilled, excluding fillets, other meat portions, livers and roes Anchovies, excl. fillets, livers &amp; roes, fresh or chilled, scaled, in immediate containers weighing with their contents &lt;6.8 kg Sardines, sardinella, brisling or sprats, fresh or chilled, excluding fillets, other meat portions, livers and roes Mackerel, excl. fillets, livers &amp; roes, fresh or chilled Jack &amp; horse mackerel, excl.</w:t>
      </w:r>
    </w:p>
    <w:p>
      <w:pPr>
        <w:pStyle w:val="Normal"/>
        <w:widowControl/>
        <w:rPr/>
      </w:pPr>
      <w:r>
        <w:rPr/>
        <w:t>fillets, livers &amp; roes, fresh or chilled, scaled, in immediate containers weighing with their contents &lt;6.8 kg Jack &amp; horse mackerel excl. fillets, livers &amp; roes, fresh or chilled, not scaled, or scaled in immediate containers &gt; 6.8 kg Cobia, excl.</w:t>
      </w:r>
    </w:p>
    <w:p>
      <w:pPr>
        <w:pStyle w:val="Normal"/>
        <w:widowControl/>
        <w:rPr/>
      </w:pPr>
      <w:r>
        <w:rPr/>
        <w:t>fillets, livers and roes, fresh or chilled, scaled, in immediate containers weighing with their contents 6.8 kg or less Cobia, excl. fillets, livers &amp; roes, fresh or chilled, not scaled, or scaled in immediate containers over 6.8 kg Swordfish, fresh or chilled, excluding livers and roes Herrings, anchovies, sardines, nesoi Cod, fresh or chilled, excluding fillets, other meat portions, livers and roes Haddock, fresh or chilled, excluding fillets, other meat portions, livers and roes Coalfish, fresh or chilled, excluding fillets, other meat portions, livers and roes Hake, excl. fillets, livers and roes, fresh or chilled, scaled, in immediate containers weighing with their contents 6.8 kg or less Hake,excl. fillets, livers &amp; roes, fresh or chilled, not scaled, or scaled in immediate containers over 6.8 kg Alaska pollack, excl. fillets, livers,roes, fresh or chilled, scaled, in immediate containers weighing with their contents&lt; 6.8 kg Alaska pollack excl. fillets, livers &amp; roes, fresh or chilled, not scaled, or scaled in immediate containers over 6.8 kg Blue whitings, excl.</w:t>
      </w:r>
    </w:p>
    <w:p>
      <w:pPr>
        <w:pStyle w:val="Normal"/>
        <w:widowControl/>
        <w:rPr/>
      </w:pPr>
      <w:r>
        <w:rPr/>
        <w:t>fillets, livers &amp; roes, fresh or chilled, scaled, in immediate containers weighing with their contents &lt;6.8 kg Blue whitings, excl. fillets, livers &amp; roes, fresh or chilled, not scaled, or scaled in immediate containers over 6.8 kg Bregmacerotidae et al fish, nesi, excl. fillets, livers and roes, fresh or chilled, scaled, in immediate containers weighing &lt; 6.8 kg Bregmacerotidae fish, etc. excl.</w:t>
      </w:r>
    </w:p>
    <w:p>
      <w:pPr>
        <w:pStyle w:val="Normal"/>
        <w:widowControl/>
        <w:rPr/>
      </w:pPr>
      <w:r>
        <w:rPr/>
        <w:t>fillets, livers &amp; roes, fresh or chilled, not scaled, or scaled in immediate containers &gt; 6.8 kg Tilapias, excl. fillets, livers and roes, fresh or chilled, scaled, in immediate containers weighing with their contents &lt;6.8 kg Tilapias, excl. fillets, livers &amp; roes, fresh or chilled, not scaled, or scaled in immediate containers over 6.8 kg Catfish, excl. fillets, livers and roes, fresh or chilled, scaled, in immediate containers weighing with their contents 6.8 kg or less Catfish excl. fillets, livers &amp; roes, fresh or chilled, not scaled, or scaled in immediate containers over 6.8 kg Carp, excl. fillets, livers and roes, fresh or chilled, scaled, in immediate containers weighing with their contents 6.8 kg or less Carp excl. fillets, livers &amp; roes, fresh or chilled, not scaled, or scaled in immediate containers over 6.8 kg Eels, fresh or chilled, excluding fillets, other meat portions, livers and roes Fish beginning 0302.7, nesi, excl. fillets, livers and roes, fresh or chilled, scaled, in immediate containers &lt; 6.8 kg Fish beginning 0302.7, nesi, excl.</w:t>
      </w:r>
    </w:p>
    <w:p>
      <w:pPr>
        <w:pStyle w:val="Normal"/>
        <w:widowControl/>
        <w:rPr/>
      </w:pPr>
      <w:r>
        <w:rPr/>
        <w:t>fillets, livers &amp; roes, fresh or chilled,not scaled,or scaled in containers&gt;6.8 kg Dogfish and other sharks, fresh or chilled, excluding fillets, livers, roes and fish meat of 0304 Rays &amp; skates, excl. fillets, livers &amp; roes, fresh or chilled, not scaled, or scaled in immediate containers over 6.8 kg Toothfish excl.</w:t>
      </w:r>
    </w:p>
    <w:p>
      <w:pPr>
        <w:pStyle w:val="Normal"/>
        <w:widowControl/>
        <w:rPr/>
      </w:pPr>
      <w:r>
        <w:rPr/>
        <w:t>fillets, livers &amp; roes, fresh or chilled, not scaled, or scaled in immediate containers over 6.8 kg Seabass, excl. fillets, livers and roes, fresh or chilled, scaled, in immediate containers weighing with their contents 6.8 kg or less Seabass, excl. fillets, livers &amp; roes, fresh or chilled, not scaled, or scaled in immediate containers over 6.8 kg Seabream, excl. fillets, livers and roes, fresh or chilled, scaled, in immediate containers weighing with their contents 6.8 kg or less Seabream, excl. fillets, livers &amp; roes, fresh or chilled, not scaled, or scaled in immediate containers over 6.8 kg Fish, nesi, excl. fillets, livers and roes, fresh or chilled, scaled, in immediate containers weighing with their contents 6.8 kg or less Fish, nesi, excl.</w:t>
      </w:r>
    </w:p>
    <w:p>
      <w:pPr>
        <w:pStyle w:val="Normal"/>
        <w:widowControl/>
        <w:rPr/>
      </w:pPr>
      <w:r>
        <w:rPr/>
        <w:t>fillets, livers &amp; roes, fresh or chilled, not scaled, or scaled in immediate containers over 6.8 kg Sturgeon Roe, fresh or chilled Mullet and other fish liver and roes, fresh or chilled Shark fins, fresh or chilled, excluding fillet Other fish, fresh or chilled, nesoi Sockeye salmon (red salmon) (Orncorhynchus nerka), frozen, excluding fillets, other meat portions, livers and roes Pacific salmon, other than sockeye, frozen, excluding fillets, other meat portions, livers and roes Atlantic salmon and Danube salmon, frozen, excluding livers and roes Trout, frozen, excluding fillets, other meat portions, livers and roes Salmonidae, other than trout or Atlantic and Danube salmon, nesi, frozen, excluding fillets, other meat portions,</w:t>
      </w:r>
    </w:p>
    <w:p>
      <w:pPr>
        <w:pStyle w:val="Normal"/>
        <w:widowControl/>
        <w:rPr/>
      </w:pPr>
      <w:r>
        <w:rPr/>
        <w:t>livers and roes Tilapias, frozen, excluding fillets, other meat portions, livers and roes Catfish, frozen, excluding fillets, other meat portions, livers and roes Carp, frozen excluding fillets, livers and roes Eels, frozen, excluding fillets, other meat portions, livers and roes Other fish in 0303.2 grouping nesi, frozen, excluding fillets, other meat portions, livers and roes Halibut and Greenland turbot, frozen, excluding fillets, other meat portions &amp; livers and roes Plaice, frozen, excluding fillets, other meat portions, livers and roes Sole, frozen, excluding fillets, other meat portions, livers and roes Turbots, frozen, excluding fillets, other meat portions, livers and roes Flat fish, other than halibut, Greenland turbot, plaice and sole, frozen, excluding fillets, other meat portions, livers and roes Albacore or longfinned tunas, frozen, excluding fillets, other meat portions, livers and roes Yellowfin tunas, frozen, excluding fillets, other meat portions, livers and roes Skipjack or stripe-bellied bonito, frozen, excluding fillets, other meat portions, livers and roes Bigeye tunas (Thunnas obesus), frozen, excluding fillets, other meat portions, livers and roes Atlantic and</w:t>
      </w:r>
    </w:p>
    <w:p>
      <w:pPr>
        <w:pStyle w:val="Normal"/>
        <w:widowControl/>
        <w:rPr/>
      </w:pPr>
      <w:r>
        <w:rPr/>
        <w:t>Pacific bluefin tunas, frozen, excluding fillets, other meat portions, livers and roes Southern bluefin tunas (Thunnas maccoyii), frozen, excluding fillets, other meat portions, livers and roes Tunas, not elsewhere specified or included, frozen, excluding fillets, other meat portions, livers and</w:t>
      </w:r>
    </w:p>
    <w:p>
      <w:pPr>
        <w:pStyle w:val="Normal"/>
        <w:widowControl/>
        <w:rPr/>
      </w:pPr>
      <w:r>
        <w:rPr/>
        <w:t>roes Herrings, frozen, excluding fillets, other meat portions, livers and roes Sardines, sardinella, brisling or sprats, frozen, excluding fillets, other meat portions, livers and roes Mackerel, frozen, excluding fillets, livers and roes Jack &amp; horse mackerel, frozen, excluding fillets, other meat portions, livers and roes Cobia, frozen, excluding fillets, other meat portions, livers and roes Swordfish steaks,other swordfish, excluding fillets, other meat portions, livers and roes Other fish, frozen, excluding fillets, livers, roes and herrings Cod, frozen, excluding fillets, other meat portions, livers and roes Haddock, frozen, excluding fillets, other meat portions, livers and roes Coalfish, frozen, excluding fillets, other meat portions, livers and roes Hake, frozen, excluding fillets, other meat portions, livers and roes Alaska pollack, frozen, excluding fillets, other meat portions, livers and roes Blue whitings, frozen, excluding fillets, other meat portions, livers and roes Other fish in Bregmacerotidae et al,etc.</w:t>
      </w:r>
    </w:p>
    <w:p>
      <w:pPr>
        <w:pStyle w:val="Normal"/>
        <w:widowControl/>
        <w:rPr/>
      </w:pPr>
      <w:r>
        <w:rPr/>
        <w:t>frozen, excluding fillets, other meat portions, livers and roes Dogfish and other sharks, frozen, excluding fillets, livers, roes and fish meat of 0304 Rays &amp; skates, frozen, excluding fillets, other meat portions, livers and roes Toothfish excluding fillets, other meat portions, livers and roes Sea bass, frozen, excluding fillets, other meat portions, livers and roes Smelts, cusk, pollock, shad, sturgeon, atkafish, fresh-water fish,etc.</w:t>
      </w:r>
    </w:p>
    <w:p>
      <w:pPr>
        <w:pStyle w:val="Normal"/>
        <w:widowControl/>
        <w:rPr/>
      </w:pPr>
      <w:r>
        <w:rPr/>
        <w:t>frozen, excluding fillets, other meat portions, livers and roes Sturgeon roe, frozen Herring, salmon, alaskan pollock, mullet, other fist liver and roes, frozen Shark fins excluding fillets, frozen Other fish, frozen, nesoi Tilapias, fillets, fresh or chilled Catfish, fillets, fresh or chilled Nile perch, fillets, fresh or chilled Eels or snakeheads, fillets, fresh or chilled Salmon fillets, fresh or chilled Trout, fillets, fresh or chilled “Flat fish”, sole, plaice, etc.</w:t>
      </w:r>
    </w:p>
    <w:p>
      <w:pPr>
        <w:pStyle w:val="Normal"/>
        <w:widowControl/>
        <w:rPr/>
      </w:pPr>
      <w:r>
        <w:rPr/>
        <w:t>fillets, fresh or chilled Bregamacerotidae &amp; like fish, fillets, fresh or chilled Fresh or chilled swordfish fillets Fresh or chilled toothfish fillets Dogfish and other shark fillets, frozen or chilled Ray and skate fillets, fresh or chilled Pike, pickerel, whitefish, tilapia, perch, cusk, other fish fillets, fresh or chilled Tilapias, catfish, carp, eels, nile perch, snakeheads, other than fillets, fresh or chilled Salmonidae, other than fillets, fresh or chilled Bregmacerotidae and other fish, nesi, other than fillets, fresh or chilled Fresh or chilled swordfish other than fillets Fresh or chilled toothfish other than fillets Dogfish and other sharks, fresh or chilled Rays and skates, fresh or chilled Other fish, nesi, other than fillets, fresh or chilled Frozen tilapia fillets Frozen catfish fillets Frozen Nile perch fillets Frozen eel &amp; snakehead fillets Frozen cod fillets, skinned, in blocks weighing over 4.5 kg, to be minced, ground or cut into pieces of uniform weight and dimension Fillets,</w:t>
      </w:r>
    </w:p>
    <w:p>
      <w:pPr>
        <w:pStyle w:val="Normal"/>
        <w:widowControl/>
        <w:rPr/>
      </w:pPr>
      <w:r>
        <w:rPr/>
        <w:t>frozen, of cod, other than above Frozen haddock fillets, skinned, in blocks weighing over 4.5 kg, to be minced, ground or cut into pieces of uniform weight and dimension Fillets, frozen, of haddock, other than above Frozen coalfish fillets, skinned, in blocks weighing over 4.5 kg, to be minced, ground or cut into pieces of uniform weight and dimension Other coalfish fillets Frozen hake fillets, skinned, in blocks weighing over 4.5 kg, to be minced, ground or cut into pieces of uniform weight and dimension Fillets, frozen, of hake Frozen Alaska pollack fillets, skinned, in blocks weighing over 4.5 kg, to be minced, ground or cut Fillets, frozen, of Alaska pollock, other than above Frozen Bregmacerotidae et al fish fillets,nesi, skinned, in blocks weighing over 4.5 kg, to be minced, ground or cut into pieces Frozen fillets of other fresh-water fish, flat fish, etc., nesi, other than above Frozen salmon fillets, skinned, in blocks weighing over 4.5 kg, to be minced, ground or cut into pieces of uniform weight Other</w:t>
      </w:r>
    </w:p>
    <w:p>
      <w:pPr>
        <w:pStyle w:val="Normal"/>
        <w:widowControl/>
        <w:rPr/>
      </w:pPr>
      <w:r>
        <w:rPr/>
        <w:t>frozen salmon fillets Frozen trout fillets, skinned, in blocks weighing over 4.5 kg, to be minced, ground or cut into pieces of uniform weight and dimension Frozen trout fillets, other than above Frozen “flat fish” fillets, skinned, in blocks weighing over 4.5 kg, to be minced, ground or cut into pieces of uniform weight and dimension Frozen “other flat fish” fillets, other than above Frozen swordfish fillets Frozen toothfish fillets Frozen herring fillets Frozen</w:t>
      </w:r>
    </w:p>
    <w:p>
      <w:pPr>
        <w:pStyle w:val="Normal"/>
        <w:widowControl/>
        <w:rPr/>
      </w:pPr>
      <w:r>
        <w:rPr/>
        <w:t>tuna fillets Dogfish, other shark, ray and skate fillets, frozen Other frozen fish fillets, skinned, in blocks weighing over 4.5 kg, to be minced, ground or cut into pieces of uniform weight and dimension Other frozen fish fillets, other than above Chilled or Frozen Swordfish fillets, in bulk or in immediate containers weighing with their contents over 6.8 kg each Chilled or Frozen Swordfish Fillets,nesi Chilled or Frozen Toothfish fillets, in bulk or in immediate containers weighing with their contents over 6.8 kg each Chilled or Frozen Toothfish Fillets,nesi Chilled or Frozen tilapia &amp; like fillets,nesi, in bulk or in immediate containers weighing &gt; 6.8 kg each Tilapias, catfish, carp, eels, nile perch &amp; snakehead chilled or frozen fillets,nesi Alaska pollack chilled or frozen fillets,in bulk or in immediate containers weighing with their contents over 6.8 kg each Alaska pollack, chilled or frozen fillets,nesi Chilled or Frozen fillets,Bregmacerotidae &amp; like, nesi, in bulk or in immediate containers &gt; 6.8 kg each Bregamacerotidae other fish, other than Alaska pollack, nesi,</w:t>
      </w:r>
    </w:p>
    <w:p>
      <w:pPr>
        <w:pStyle w:val="Normal"/>
        <w:widowControl/>
        <w:rPr/>
      </w:pPr>
      <w:r>
        <w:rPr/>
        <w:t>chilled or frozen fillets,nesi Dogfish and other sharks, frozen, nesoi Ray and skates, frozen, nesoi Chilled or Frozen fillets,nesi, in bulk or in immediate containers weighing with their contents over 6.8 kg each Chilled or Frozen fillets,nesi Flours, meals and pellets of fish, fit for human consumption, in bulk or in immediate containers weighing with contents over 6.8 kg each Flours, meals and</w:t>
      </w:r>
    </w:p>
    <w:p>
      <w:pPr>
        <w:pStyle w:val="Normal"/>
        <w:widowControl/>
        <w:rPr/>
      </w:pPr>
      <w:r>
        <w:rPr/>
        <w:t>pellets of fish, fit for human consumption, other than in bulk or immediate containers weighing contents over 6.8 kg each Sturgeon roe, dried, smoked, salted or in brine Fish livers and roes, other than sturgeon roe, dried, smoked, salted or in brine Tilapia, catfish, carp, eel, nile perch, snakehead fillets, dried or salted in brine, but not smoked “Flat fish” fillets, nesi, dried, salted or in brine, but not smoked Fillets of herrings, dried, salted or in brine, but not smoked, in immediate containers weighing with their contents 6.8 kg or less each Fillets of mackerel, dried, salted or in brine, but not smoked, in immediate containers weighing with their contents 6.8 kg or less each Herring and other fist fillets, dried, salted or in brine, but not smoked Smoked Pacific, Atlantic and Danube salmon, including fillets Smoked herrings, including fillets Smoked trout, including fillets Tilapia, catfish, carp, eel, nile perch, snakehead including fillets, smoked Smoked mackerel, including fillets Smoked fish, including fillets, nesoi Dried cod, whether or not salted</w:t>
      </w:r>
    </w:p>
    <w:p>
      <w:pPr>
        <w:pStyle w:val="Normal"/>
        <w:widowControl/>
        <w:rPr/>
      </w:pPr>
      <w:r>
        <w:rPr/>
        <w:t>but not smoked Tilapia, catfish, carp, eel, nile perch, snakehead, not smoked, dried, whether or not salted Fish of families Bregmacerotidae, Euclichthyidae, Gadidae, Macrouridae,Melanonidae, Merlucciidae, Moridae and Muraenolepididae, dried but not smoked Herrings, anchovies, sardines, sardinella, brisling or sprat, mackerel, Indian mackeral, seerfish, dried, whether or not salted, but not smoked Dried fish, other</w:t>
      </w:r>
    </w:p>
    <w:p>
      <w:pPr>
        <w:pStyle w:val="Normal"/>
        <w:widowControl/>
        <w:rPr/>
      </w:pPr>
      <w:r>
        <w:rPr/>
        <w:t>than cod or shark fins, whether or not salted but not smoked Herrings, in brine or salted but not dried or smoked, in immediate containers weighing with their contents 6.8 kg or less each Herrings, in brine or salted but not dried or smoked, other than in immediate containers weighing with their contents 6.8 kg or less each Cod, in brine or salted but not dried or smoked Anchovies, in brine or salted but not dried or smoked, in immediate airtight containers weighing with their contents 6.8 kg or less each Anchovies, in brine or salted but not dried or smoked, in immediate containers, nesi, weighing with their contents 6.8 kg or less each Anchovies, in brine or salted but not dried or smoked, other than in immediate containers weighing with their contents 6.8 kg or less each Tilapias, catfish, carp, eel, Nile perch, or snakehead, in brine or salted but not dried or smoked, in immediate containers &lt;6.8 kg Tilapias, catfish, carp, eel, Nile perch, or snakehead, in brine</w:t>
      </w:r>
    </w:p>
    <w:p>
      <w:pPr>
        <w:pStyle w:val="Normal"/>
        <w:widowControl/>
        <w:rPr/>
      </w:pPr>
      <w:r>
        <w:rPr/>
        <w:t>or salted but not dried or smoked, other than in containers &lt;6.8 kg Cusk, haddock, hake, and pollock, in brine or salted but not dried or smoked Mackerel, in brine or salted but not dried or smoked, in immediate containers weighing with their contents 6.8 kg or less each Mackerel, in brine or salted but not dried or smoked, other than in immediate containers weighing with their contents 6.8 kg or less each Salmon, in brine or salted but not dried or smoked Fish, nesi, in brine or salted but not dried or smoked,</w:t>
      </w:r>
    </w:p>
    <w:p>
      <w:pPr>
        <w:pStyle w:val="Normal"/>
        <w:widowControl/>
        <w:rPr/>
      </w:pPr>
      <w:r>
        <w:rPr/>
        <w:t>in immediate containers weighing with their contents 6.8 kg or less each Fish, nesi, in brine or salted but not dried or smoked, other than in immediate containers weighing with their contents 6.8 kg or less each Dried shark fins, whether or not salted but not smoked Fish heads, tails, and maws, whether or not salted but not smoked Edible fish offal, other fish heads tails and maws or shark fins, whether or not salted but not smoked Rock lobster and other sea crawfish, cooked in shell or uncooked, dried, salted or in brine, frozen Lobsters excluding rock lobster, cooked in shell or uncooked, dried, salted or in brine, frozen Crabmeat, frozen Crabs, cooked in shell or uncooked (whether in shell or not), dried, salted or in brine, frozen Norway lobsters, cooked in shell or uncooked, dried, salted or in brine, frozen Cold-water shrimps and prawns, cooked in shell or uncooked, dried, salted or in brine, frozen Other shrimps and prawns, cooked in shell or uncooked, dried, salted or in</w:t>
      </w:r>
    </w:p>
    <w:p>
      <w:pPr>
        <w:pStyle w:val="Normal"/>
        <w:widowControl/>
        <w:rPr/>
      </w:pPr>
      <w:r>
        <w:rPr/>
        <w:t>brine, frozen Crustateans, nesi (including flours, meals and pellets of crustaceans fit for human consumption), cooked in shell or uncooked, etc., frozen Live rock lobster and other sea crawfish, frozen or chilled Live lobsters (Homarus spp.), frozen or chilled, except rock lobster Crabmeat, fresh or chilled Live crabs, fresh or chilled, other than crabmeat Live Norway lobsters, frozen or chilled Cold water shrimps and prawns, shell-on or peeled, live, frozen, or chilled Shrimps and prawns, other</w:t>
      </w:r>
    </w:p>
    <w:p>
      <w:pPr>
        <w:pStyle w:val="Normal"/>
        <w:widowControl/>
        <w:rPr/>
      </w:pPr>
      <w:r>
        <w:rPr/>
        <w:t>than cold water shrimp, shell-on or peeled, live, frozen or chilled Flours, meals and pellets of crustaceans, fress or chilled, fit for human consumption, or other crustaceans, live, fresh or chilled Rock lobster and other sea crawfish nesoi Lobsters (Homarus SPP.), except rock lobster nesoi Crabmeat, nesoi Crabs, other than crabmeat, nesoi Norway lobsters (Nephrops Norvegicus), nesoi Other shrimps and prawns, shell-on or peeled Flours, meals and pellets of crustaceans, fit for human consumption or crustraceans nesoi Oysters, whether in shell or not, live, fresh, or chilled Oysters, frozen Oysters, fresh or chilled Scallops, including queen scallops, whether in shell or not, live, fresh or chilled Scallops, including queen scallops, of the genera Pecten, Chlamys or Placopecten, frozen Scallops, including queen scallops, of the genera Pecten, Chlamys or Placopecten, dried, salted or in brine Mussels, whether in shell or not, live, fresh or chilled Mussels (Mytilus Spp., Perna Spp.), frozen Mussels (Mytilus Spp., Perna Spp.), dried, salted or in brine Squid or cuttle fish, live, fresh or chilled Squid or</w:t>
      </w:r>
    </w:p>
    <w:p>
      <w:pPr>
        <w:pStyle w:val="Normal"/>
        <w:widowControl/>
        <w:rPr/>
      </w:pPr>
      <w:r>
        <w:rPr/>
        <w:t>cuttle fish, frozen Squid or cuttle fish, dried, salted or in brine Octopus, live, fresh or chilled Octopus, frozen Octopus, dried, salted or in brine Snails, other than sea snails, whether in shell or not, live, fresh, chilled, frozen, dried, salted or in brine Clams, cockles and ark shells, whether in shell or not, live, fresh or chilled Clams, cockles and ark shells, frozen</w:t>
      </w:r>
    </w:p>
    <w:p>
      <w:pPr>
        <w:pStyle w:val="Normal"/>
        <w:widowControl/>
        <w:rPr/>
      </w:pPr>
      <w:r>
        <w:rPr/>
        <w:t>Clams, cockles and ark shells, dried salted or in brine Abalone, whether in shell or not, live, fresh or chilled Live stromboid conch, fresh or chilled Abalone, including flours, meals and pellets fit for human consumption, frozen Stromboid conchs (Strombus Spp.), frozen Abalone, including edible flours, meals and pellets, nesoi Stromboid conchs, nesoi Conch and other molluscs nesoi, including flours, meals and pellets, fit for human consumption, live, fresh o chilled Conch and other molluscs nesoi, including flours, meals and pellets, fit for human consumption, frozen Molluscs, including flours, meals and pellets fit for human consumption, nesoi Sea cucumbers, live, fresh or chilled Frozen sea cucumbers Sea cucumbers, not frozen Sea urchins, live, fresh or chilled Frozen sea urchins Sea urchins, not frozen Jellly fish, live, fresh, chilled, frozen, dried, salted smoked, or in brine Other aquatic invertebrates, oth than molluscs &amp; crustaceans, nesi, live, fresh or chilled, dried, salted, smoked or in brine Milk and cream, unconcentrated, with no added sweeteners, fat content, by weight, not more than 1</w:t>
      </w:r>
    </w:p>
    <w:p>
      <w:pPr>
        <w:pStyle w:val="Normal"/>
        <w:widowControl/>
        <w:rPr/>
      </w:pPr>
      <w:r>
        <w:rPr/>
        <w:t>percent Milk and cream, unconcentrated, unsweetened, fat content over 1% but n/o 6%, for not over 11,356,236 liters entered in any calendar year Milk and cream, unconcentrated, unsweetened, fat content over 1% but not over 6%, for over 11,356,236 liters entered in any calendar year Milk and cream, not concentrated, not sweetened, fat content o/6% but not o/10%, subject to gen.</w:t>
      </w:r>
    </w:p>
    <w:p>
      <w:pPr>
        <w:pStyle w:val="Normal"/>
        <w:widowControl/>
        <w:rPr/>
      </w:pPr>
      <w:r>
        <w:rPr/>
        <w:t>note 15 of the HTS Milk and cream, not concentrated, not sweetened, fat content o/6% but not o/10%, subject to add. US note 5 to Ch. 4 Milk and cream, not concentrated, not sweetened, fat content o/6% but not o/10%, not subject to gen. nte 15 or add. nte 5 to Ch. 4 * Milk and cream, not concentrated, not sweetened, fat content o/10% but not o/45%, subject to gen. note 15 of the HTS Milk and cream, not concentrated, not sweetened, fat content o/10% but not o/45%, subject to add. US note 5 to Ch. 4 Milk and cream, not concentrated, not sweetened, fat content o/10% but not o/45%, not subject to gen. nte 15 or add. nte 5 to Ch. 4 * Milk and cream, not concentrated, not sweetened, fat content o/45%, subject to gen. note 15 of the HTS Milk and cream, not concentrated, not sweetened, fat content o/45%, subject to add. US note 6 to Ch. 4 Milk and cream, not concentrated, not sweetened, fat content o/45%, not subject to gen. nte 15 or add. nte 6 to Ch.</w:t>
      </w:r>
    </w:p>
    <w:p>
      <w:pPr>
        <w:pStyle w:val="Normal"/>
        <w:widowControl/>
        <w:rPr/>
      </w:pPr>
      <w:r>
        <w:rPr/>
        <w:t>4 * Milk &amp; cream, concen or sweetened, in powder, granules or other solid forms, w/fat content by weight not o/1.5%, subj to GN15 Milk &amp; cream in powder granules/other solid forms fat content by weight not exceeding 1.5% whether/not sweetened, described in addl note 7 Milk &amp; cream in powder granules/other solid forms fat content by weight not exceeding 1.5% whether/not sweetened, nesi * Milk &amp; cream, concen, not sweetened, in powder, granules or other solid forms, w/fat content o/1.5% but not o/3%, subj to GN15 Milk &amp; cream, concen, not sweetened, in powder, granules or other solid forms, w/fat content o/1.5% but not o/3%, subj Ch4 US note 7 Milk &amp; cream, concen, not sweetened, in powder, granules or other solid forms, w/fat content o/1.5% but not o/3%, not subj GN15/Ch4 US note7 * Milk &amp; cream, concen, not sweetened, in powder, granules or other solid forms, w/fat content o/3% but not o/35%, subject to gen.</w:t>
      </w:r>
    </w:p>
    <w:p>
      <w:pPr>
        <w:pStyle w:val="Normal"/>
        <w:widowControl/>
        <w:rPr/>
      </w:pPr>
      <w:r>
        <w:rPr/>
        <w:t>note 15 Milk &amp; cream, concen, not sweetened, in powder/granules/oth solid forms, fat cont o/3% but not o/35%, subj to Ch 4 US note 7 Milk &amp; cream, concen, not sweetened, in powder/granules/oth solid forms, fat cont o/3% but not o/35%, not subj to GN15 or Ch 4 US.S. note 7 * Milk &amp; cream, concen, not sweetened, in powder, granules or other solid forms, w/fat content o/35%, subject to gen. note 15 Milk &amp; cream, concen, not sweetened, in powder, granules or other solid forms, w/fat content o/35%, subject to add.</w:t>
      </w:r>
    </w:p>
    <w:p>
      <w:pPr>
        <w:pStyle w:val="Normal"/>
        <w:widowControl/>
        <w:rPr/>
      </w:pPr>
      <w:r>
        <w:rPr/>
        <w:t>US note 9 to Ch.4 Milk &amp; cream, concen, not sweetened, in powder, granules or other solid forms, w/fat content o/35%, not subj to GN15 or Ch4 US note 9 * Milk &amp; cream, concen, sweetened, in powder, granules or other solid forms, w/fat content o/1.5%, subject to gen. note 15 Milk &amp; cream, concen, sweetened, in powder, granules or other solid forms, w/fat content o/1.5%, subject to add. US note 10 to Ch.4 Milk &amp; cream, concen, sweetened, in powder, granules or other solid forms, w/fat content o/1.5%, not subj to GN15 or Ch4 US note 10 * Milk &amp; cream, concen, in non-solid forms, not sweetened, in airtight containers, subject to gen. note 15 of the HTS Milk &amp; cream, concen in non-solid forms, not sweetened, not in airtight containers, subject to gen. note 15 of the HTS Milk &amp; cream, concen in non-solid forms, not sweetened, in airtight containers, subject to add. US note 11 to Ch.4 Milk &amp; cream, concen in non-solid forms, not sweetened, not in airtight containers, subject to add.</w:t>
      </w:r>
    </w:p>
    <w:p>
      <w:pPr>
        <w:pStyle w:val="Normal"/>
        <w:widowControl/>
        <w:rPr/>
      </w:pPr>
      <w:r>
        <w:rPr/>
        <w:t>US note 11 to Ch. 4 Milk &amp; cream, concen in non-solid forms, not sweetened, in airtight containers, not subject to gen. note 15 or add. US note 11 to Ch.4 * Milk and cream, concentrated, in other than powder, granules or other solid forms, unsweetened, other than in airtight containers * Condensed milk, sweetened, in airtight containers, subject to gen. note 15 of the HTS Condensed milk, sweetened, not in airtight containers, subject to gen.</w:t>
      </w:r>
    </w:p>
    <w:p>
      <w:pPr>
        <w:pStyle w:val="Normal"/>
        <w:widowControl/>
        <w:rPr/>
      </w:pPr>
      <w:r>
        <w:rPr/>
        <w:t>note 15 of the HTS Condensed milk, sweetened, in airtight containers, subject to add. US note 11 to Ch.4 Condensed milk, sweetened, not in airtight containers, subject to add. US note 11 to Ch. 4 Condensed milk, sweetened, in airtight containers, not subject to gen. note 15 or add. US note 11 to Ch.4 * Condensed milk, sweetened, not in airtight containers, not subject to gen. note 15 or add. US note 11 to Ch.4 * Milk &amp; cream (except condensed milk), concentrated in non-solid forms, sweetened, subject to gen. note 15 of the HTS Milk &amp; cream (except condensed milk), concentrated in non-solid forms, sweetened, subject to add. US note 10 to Ch. 4 Milk &amp; cream (except condensed milk), concentrated in non-solid forms, sweetened, not desc. gen. note 15 or add. US note 10 to Ch. 4 * Yogurt, in dry form, whether or not flavored or containing add fruit or cocoa, subject to gen. note 15 of the HTS Yogurt, in dry form, whether or not flavored or containing add fruit or cocoa, subject to add.</w:t>
      </w:r>
    </w:p>
    <w:p>
      <w:pPr>
        <w:pStyle w:val="Normal"/>
        <w:widowControl/>
        <w:rPr/>
      </w:pPr>
      <w:r>
        <w:rPr/>
        <w:t>US note 10 to Ch. 4 Yogurt, in dry form, whether or not flavored or containing add fruit or cocoa, not subject to gen nte 15 or add. US nte 10 to Ch.4 * Yogurt, not in dry form, whether or not flavored or containing add fruit or cocoa Sour cream, fluid, n/o 45% by wt. butterfat, subject to gen. note 15 of the HTS Sour cream, fluid, n/o 45% by wt. butterfat, subject to add. US note 5 to Ch.4 Sour cream, fluid, n/o 45% by wt.</w:t>
      </w:r>
    </w:p>
    <w:p>
      <w:pPr>
        <w:pStyle w:val="Normal"/>
        <w:widowControl/>
        <w:rPr/>
      </w:pPr>
      <w:r>
        <w:rPr/>
        <w:t>butterfat, not subject to gen nte 15 or add US note 5 to Ch.4 * Fluid buttermilk Sour cream, dried, n/o 6% by wt. butterfat, subject to gen. note 15 of the HTS Sour cream, dried, n/o 6% by wt. butterfat, subject to add. US note 12 to Ch. 4 Sour cream, dried, n/o 6% by wt. butterfat, not subject to gen nte 15 or add. US note 12 to Ch. 4 * Sour cream, dried, o/6% but n/o 35% by wt. butterfat, subject to gen. note 15 of the HTS Sour cream, dried, o/6% but n/o 35% by wt. butterfat, subject to add. US note 8 to Ch. Sour cream, dried, o/6% but n/o 35% by wt. butterfat, not subject to gen nte 15 or add. US note 8 to Ch. 4 * Sour cream, dried, o/35% but n/o 45% by wt. butterfat, subject to gen. note 15 of the HTS Sour cream, dried, o/35% but n/o 45% by wt. butterfat, subject to add. US note 9 to Ch.</w:t>
      </w:r>
    </w:p>
    <w:p>
      <w:pPr>
        <w:pStyle w:val="Normal"/>
        <w:widowControl/>
        <w:rPr/>
      </w:pPr>
      <w:r>
        <w:rPr/>
        <w:t>4 Sour cream, dried, o/35% but n/o 45% by wt. butterfat, not subject to gen nte 15 or add. US note 9 to Ch. 4 * Sour cream, o/45% by wt. butterfat, subject to gen. note 15 of the HTS Sour cream, o/45% by wt. butterfat, subject to add. US note 6 to Ch. 4 Sour cream, o/45% by wt. butterfat, not subject to gen nte 15 or add. US note 6 to Ch. * Fermented milk o/than dried fermented milk or o/than dried milk with added lactic ferments Curdled milk/cream/kephir &amp; other fermentd or acid. milk/cream descr.in gen. note 15 Curdled milk/cream/kephir &amp; other fermentd or acid. milk/cream subject to add US note 10 to Ch.4 Curdled milk/cream/kephir &amp; other fermentd or acid.</w:t>
      </w:r>
    </w:p>
    <w:p>
      <w:pPr>
        <w:pStyle w:val="Normal"/>
        <w:widowControl/>
        <w:rPr/>
      </w:pPr>
      <w:r>
        <w:rPr/>
        <w:t>milk/cream subj to GN 15 or Ch4 US note 10 * Whey protein concentrates Modified whey (except protein conc.), subject to gen. note 15 of the HTS Modified whey (except protein conc.), wheth/not conc. or sweetened, subject to add US note 10 to Ch.4 Modified whey (except protein conc.), wheth/not conc. or sweetened, not subject to gen. note 15 or * Fluid whey, whether or not concentrated or containing added sweeteners Whey (except modified whey), dried, whether or not conc. or sweetened, subject to gen. note 15 of the HTS Whey (except modified whey), dried, whether or not conc. or sweetened, subject to add. US note 12 to Ch. 4 Whey (except modified whey), dried, whether or not conc. or sweetened, not subject to gen. note 15 or add US nte 12 to Ch.4 * Milk protein concentrates Dairy products of nat. milk constituents (except protein conc.), descr. in add. US nte 1 to Ch. 4 and subj to GN 15 Dairy products of nat. milk constituents (except protein conc.), descr. in add. US nte 1 to Ch.</w:t>
      </w:r>
    </w:p>
    <w:p>
      <w:pPr>
        <w:pStyle w:val="Normal"/>
        <w:widowControl/>
        <w:rPr/>
      </w:pPr>
      <w:r>
        <w:rPr/>
        <w:t>4 and sub to Ch4 US note 10 Dairy products of nat. milk constituents (except protein conc.), descr. in add. US nte 1 to Ch. 4 &amp; not subj to GN15 or Ch4 US note 10 * Products consisting of natural milk constituents (except protein conc.), whether or not sweetened, not descr. in add US note 1 to Ch.</w:t>
      </w:r>
    </w:p>
    <w:p>
      <w:pPr>
        <w:pStyle w:val="Normal"/>
        <w:widowControl/>
        <w:rPr/>
      </w:pPr>
      <w:r>
        <w:rPr/>
        <w:t>4 Butter subject to general note 15 (outside quota) Butter subject to quota pursuant to chapter 4 additional US note 6 Butter not subject to general note 15 and in excess of quota in chapter 4 additional U.S. note 6 * Butter substitute dairy spreads, over 45% butterfat weight, subject to general note 15 (outside quota) Butter substitute dairy spreads, over 45% butterfat weight, subject to quota pursuant to chapter 4 additional US note 14 Butter substitute dairy spreads, over 45% butterfat weight, not subj to gen note 15 and in excess of quota in ch. 4 additional US note 14 * Butter substitute dairy spreads, containing 45% or less butterfat by weight Other dairy spreads of a type provided in chapter 4 additional US note 1, subject to general note 15 (outside quota) Other dairy spreads of a type provided in ch. 4 add. US note 1, subject to quota pursuant to chapter 4 additional US note 10 Other dairy spreads of a type provided in ch. 4 add. US note 1, not subject to gen note 15 and in excess of quota in ch. 4 add.</w:t>
      </w:r>
    </w:p>
    <w:p>
      <w:pPr>
        <w:pStyle w:val="Normal"/>
        <w:widowControl/>
        <w:rPr/>
      </w:pPr>
      <w:r>
        <w:rPr/>
        <w:t>US note 10 * Other dairy spreads, not butter substitutes or of a type provided for in chapter 4 additional US note 1 Fats and oils derived from milk, other than butter or dairy spreads, subject to general note 15 (outside quota) Fats and oils derived from milk, other than butter or dairy spreads, subject to quota pursuant to chapter 4 additional US note 14 Fats and oils derived from milk, other than butter or dairy spreads, not subject to gen note 15 and excess of quota in ch 4 add US note 14 * Chongos, unripened or uncured cheese, including whey cheese and curd, subject to gen. note 15 of the HTS Chongos, unripened or uncured cheese, including whey cheese and curd, subject to add. US note 16 to Ch. 4 Chongos, unripened or uncured cheese, including whey cheese and curd, not subject to gen note 15 or add. US note 16 to Ch. 4 * Fresh (unripened/uncured) cheese (ex chongos), incl whey cheese and curd, subj to gen.</w:t>
      </w:r>
    </w:p>
    <w:p>
      <w:pPr>
        <w:pStyle w:val="Normal"/>
        <w:widowControl/>
        <w:rPr/>
      </w:pPr>
      <w:r>
        <w:rPr/>
        <w:t>note 15 of the HTS, not GN15 Fresh (unripened/uncured) blue-mold cheese, cheese/subs for cheese cont or procd fr blue-mold cheese, subj to Ch4 US note 17, not GN15 Fresh (unripened/uncured) blue-mold cheese, cheese/subs for cheese cont or proc fr blue-mold cheese, not subj to Ch4 US note 17 or GN15 * Fresh (unripened/uncured) cheddar cheese, cheese/subs for cheese cont or proc from cheddar cheese, subj to Ch 4 US note 18, not GN15 Fresh (unripened/uncured) cheddar cheese, cheese/subs for cheese cont or proc from cheddar cheese, not subj to Ch4 US note 18, not GN15 * Fresh (unripened/uncured) american-type cheese, cheese cont or proc. fr american type, subj to add. US note 19 to Ch.4, not GN15 Fresh (unripened/uncured) american-type cheese, cheese cont or proc. fr american type, not subj to add.</w:t>
      </w:r>
    </w:p>
    <w:p>
      <w:pPr>
        <w:pStyle w:val="Normal"/>
        <w:widowControl/>
        <w:rPr/>
      </w:pPr>
      <w:r>
        <w:rPr/>
        <w:t>US note 19 to Ch.4, not GN15 * Fresh (unripened/uncured) edam and gouda cheeses, cheese/subs for cheese cont or processed therefrom, subj to Ch4 US note 20, not GN15 Fresh (unripened/uncured) edam and gouda cheeses, cheese/subs for cheese cont or processed therefrom, not sub to Ch4 US note 20, not GN15 * Fresh (unripened/uncured) Italian-type cheeses from cow milk, cheese/substitutes cont or proc therefrom, subj to Ch4 US nte 21, not GN15 Fresh (unrip./uncured) Italian-type cheeses from cow milk, cheese/substitutes cont or proc therefrom, not subj to Ch4 US note 21 or GN15 * Fresh (unrip./uncured) Swiss/emmentaler cheeses w/o eyes, gruyere-process and cheese cont/proc.</w:t>
      </w:r>
    </w:p>
    <w:p>
      <w:pPr>
        <w:pStyle w:val="Normal"/>
        <w:widowControl/>
        <w:rPr/>
      </w:pPr>
      <w:r>
        <w:rPr/>
        <w:t>from, subj to Ch4 US note 22, not GN15 Fresh (unripened/uncured) Swiss/emmentaler cheeses exc eye formation, gruyere process cheese and cheese cont or proc. from such, not subj .. * Fresh cheese, and substitutes for cheese,neosi, w/0.5% or less by wt. of butterfat, descr in add US note 23 to Ch 4, not GN15 Fresh cheese, and substitutes for cheese,neosi, w/0.5% or less by wt. of butterfat, not descr in add US note 23 to Ch 4, not GN15 * Fresh cheese, and substitutes for cheese, cont. cows milk, neosi, o/0.5% by wt. of butterfat, descr in add US note 16 to Ch 4, not GN15 Fresh cheese, and substitutes for cheese, cont. cows milk, neosi, o/0.5% by wt. of butterfat, not descr in add US note 16 to Ch 4, not GN 15 * Fresh cheese, and substitutes for cheese, not cont. cows milk, neosi, o/0.5% by wt. of butterfat Roquefort cheese, grated or powdered Stilton cheese, grated or powdered, subject to add. US note 24 to Ch.</w:t>
      </w:r>
    </w:p>
    <w:p>
      <w:pPr>
        <w:pStyle w:val="Normal"/>
        <w:widowControl/>
        <w:rPr/>
      </w:pPr>
      <w:r>
        <w:rPr/>
        <w:t>4 Blue-veined cheese (except Roquefort or Stilton), grated or powdered, subject to gen. note 15 of the HTS Blue-veined cheese (except Roquefort or Stilton), grated or powdered, subject to add. US note 17 to Ch.4 Blue-veined cheese (except Roquefort or Stilton), grated or powdered, not subject to gen nte 15 or add. US note 17 to Ch.4 * Cheddar cheese, grated or powdered, subject to gen. note 15 of the HTS Cheddar cheese, grated or powdered, subject to add. US note 18 to Ch. 4 Cheddar cheese, grated or powdered, not subject to gen. note 15 or add. US note 18 to Ch.</w:t>
      </w:r>
    </w:p>
    <w:p>
      <w:pPr>
        <w:pStyle w:val="Normal"/>
        <w:widowControl/>
        <w:rPr/>
      </w:pPr>
      <w:r>
        <w:rPr/>
        <w:t>4 * Colby cheese, grated or powdered, subject to gen. note 15 of the HTS Colby cheese, grated or powdered, subject to add. US note 19 to Ch. 4 Colby cheese, grated or powdered, not describ. in gen. note 15 or add. US note 19 to Ch. 4 * Edam and gouda cheese, grated or powdered, subject to gen. note 15 of the HTS Edam and gouda cheese, grated or powdered, subject to add. US note 20 to Ch. 4 Edam and gouda cheese, grated or powdered, not subject to gen note 15 or add. US nte 20 to Ch.</w:t>
      </w:r>
    </w:p>
    <w:p>
      <w:pPr>
        <w:pStyle w:val="Normal"/>
        <w:widowControl/>
        <w:rPr/>
      </w:pPr>
      <w:r>
        <w:rPr/>
        <w:t>4 * Romano (cows milk), reggiano, provolone, provoletti, sbrinz and goya, grated or powdered, subject to gen. note 15 to HTS Romano, reggiano, provolone, provoletti, sbrinz and goya, made from cow’s milk, grated or powdered, subject to add US note 21 to Ch.4 Romano, reggiano, provolone, provoletti, sbrinz and goya, made from cow’s milk, grated or powdered, not subj to Ch4 US nte 21 or GN15 * Reggiano, provolone, provoletti, sbrinz and goya cheeses, not made from cow’s milk, grated or powdered Cheeses made from sheep’s milk, including mixtures of such cheeses, grated or powdered Cheese (including mixtures) nesoi, grated or powdered, subject to gen.</w:t>
      </w:r>
    </w:p>
    <w:p>
      <w:pPr>
        <w:pStyle w:val="Normal"/>
        <w:widowControl/>
        <w:rPr/>
      </w:pPr>
      <w:r>
        <w:rPr/>
        <w:t>note 15 of the HTS Cheese containing or processed from bryndza, gjetost, gammelost, nokkelost or roquefort cheeses, grated or powdered Cheese containing or processed from blue-veined cheese (except roquefort), grated/powdered, subject to add US note 17 to Ch.4 Cheese containing or processed from blue-veined cheese (except roquefort), grated/powdered, not subject to add US note 17 to Ch.4 * Cheese containing or processed from cheddar cheese, grated or powdered, subject to add US note 18 to Ch. 4 Cheese containing or processed from cheddar cheese, grated or powdered, not subject to add US note 18 to Ch. 4 * Cheese containing or processed from american-type cheese (except cheddar), grated or powdered, subject to add US note 19 to Ch. 4 Cheese containing or processed from american-type cheese (except cheddar), grated or powdered, not subject to add US note 19 to Ch.</w:t>
      </w:r>
    </w:p>
    <w:p>
      <w:pPr>
        <w:pStyle w:val="Normal"/>
        <w:widowControl/>
        <w:rPr/>
      </w:pPr>
      <w:r>
        <w:rPr/>
        <w:t>4 * Cheese containing or processed from edam or gouda cheeses, grated or powdered, subject to add US note 20 to Ch.4 Cheese containing or processed from edam or gouda cheeses, grated or powdered, not subject to add US note 20 to Ch. 4 * Cheese containing or processed from italian-type cheeses made from cow’s milk, grated or powdered, subject to add US note 21 to Ch. 4 Cheese containing or processed from italian-type cheeses made from cow’s milk, grated or powdered, not subject to add US note 21 to Ch.</w:t>
      </w:r>
    </w:p>
    <w:p>
      <w:pPr>
        <w:pStyle w:val="Normal"/>
        <w:widowControl/>
        <w:rPr/>
      </w:pPr>
      <w:r>
        <w:rPr/>
        <w:t>4 * Cheese containing or processed from swiss, emmentaler or gruyere-process cheeses, grated or powdered, subject to add US nte 22 to Ch.4 Cheese containing or processed from swiss, emmentaler or gruyere-process cheeses, grated or powdered, not subject to add US nte 22 to Ch. 4 * Cheese (including mixtures), nesoi, n/o 0.5% by wt. of butterfat, grated or powdered, subject to add US note 23 to Ch. 4 Cheese (including mixtures), nesoi, n/o 0.5% by wt. of butterfat, grated or powdered, not subject to add US note 23 to Ch. 4 * Cheese (including mixtures), nesoi, o/0.5% by wt of butterfat, w/cow’s milk, grated or powdered, subject to add US note 16 to Ch. 4 Cheese (including mixtures), nesoi, o/0.5% by wt of butterfat, w/cow’s milk, grated or powdered, not subject to add US note 16 to Ch. 4 * Cheese (including mixtures), nesoi, o/0.5% by wt of butterfat, not containing cow’s milk, grated or powdered Stilton cheese, processed, not grated or powdered, subject to add US note 24 to Ch.</w:t>
      </w:r>
    </w:p>
    <w:p>
      <w:pPr>
        <w:pStyle w:val="Normal"/>
        <w:widowControl/>
        <w:rPr/>
      </w:pPr>
      <w:r>
        <w:rPr/>
        <w:t>4 Blue-veined cheese (except roquefort), processed, not grated or powdered, subject to gen. note 15 of the HTS Blue-veined cheese (except roquefort), processed, not grated or powdered, subject to add. US note 17 to Ch. 4 Blue-veined cheese (except roquefort), processed, not grated or powdered, not subject to gen. note 15 or add. US note 17 to Ch. 4 * Cheddar cheese, processed, not grated or powdered, subject to gen.</w:t>
      </w:r>
    </w:p>
    <w:p>
      <w:pPr>
        <w:pStyle w:val="Normal"/>
        <w:widowControl/>
        <w:rPr/>
      </w:pPr>
      <w:r>
        <w:rPr/>
        <w:t>note 15 of the HTS Cheddar cheese, processed, not grated or powdered, subject to add US note 18 to Ch. 4 Cheddar cheese, processed, not grated or powdered, not subject to gen note 15 or in add US note 18 to Ch. 4 * Colby cheese, processed, not grated or powdered, subject to gen. note 15 of the HTS Colby cheese, processed, not grated or powdered, subject to add US note 19 to Ch. 4 Colby cheese, processed, not grated or powdered, not subject to gen note 15 or add US note 19 to Ch. 4 * Edam and gouda cheese, processed, not grated or powdered, subject to gen. note 15 of the HTS Edam and gouda cheese, processed, not grated or powdered, subject to add. US note 20 to Ch. 4 Edam and gouda cheese, processed, not grated or powdered, not subject to gen note 15 or add. US note 20 to Ch.</w:t>
      </w:r>
    </w:p>
    <w:p>
      <w:pPr>
        <w:pStyle w:val="Normal"/>
        <w:widowControl/>
        <w:rPr/>
      </w:pPr>
      <w:r>
        <w:rPr/>
        <w:t>4 * Gruyere-process cheese, processed, not grated or powdered, subject to gen. note 15 of the HTS Gruyere-process cheese, processed, not grated or powdered, subject to add. US note 22 to Ch. 4 Gruyere-process cheese, processed, not grated or powdered, not subject to gen note 15 or add. US note 22 to Ch. 4 * Processed cheeses made from sheep’s milk, including mixtures of such cheeses, not grated or powdered Cheese (including mixtures) nesoi, processed, not grated or powdered, subject to gen.</w:t>
      </w:r>
    </w:p>
    <w:p>
      <w:pPr>
        <w:pStyle w:val="Normal"/>
        <w:widowControl/>
        <w:rPr/>
      </w:pPr>
      <w:r>
        <w:rPr/>
        <w:t>note 15 of the HTS Processed cheese containing or processed from bryndza, gjetost, gammelost, nokkelost or roquefort, not grated or powdered, not GN15 Processed cheese cont/procd fr blue-veined cheese (ex roquefort), not grated/powdered, subject to add US note 17 to Ch. 4, not GN15 Processed cheese cont/procd fr blue-veined cheese (ex roquefort), not grated/powdered, not subject to add US note 17 to Ch. 4, not GN15 * Processed cheese cont/procd fr cheddar cheese, not grated/powdered, subject to add US note 18, not GN15 Processed cheese cont/procd fr cheddar cheese, not grated/powdered, not subject to add US note 18, not GN15 * Processed cheese cont/procd fr american-type cheese (ex cheddar), not grated/powdered, subject to add US note 19 to Ch. 4, not GN15 Processed cheese cont/procd fr american-type cheese (ex cheddar), not grated/powdered, not subject to add US note 19 to Ch. 4, not GN15 * Processed cheese cont/procd fr edam or gouda, not grated/powdered, subject to add US note 20 to Ch.</w:t>
      </w:r>
    </w:p>
    <w:p>
      <w:pPr>
        <w:pStyle w:val="Normal"/>
        <w:widowControl/>
        <w:rPr/>
      </w:pPr>
      <w:r>
        <w:rPr/>
        <w:t>4, not GN15 Processed cheese cont/procd from edam or gouda, not grated/powdered, not subject to add US note 20 to Ch. 4, not GN15 * Processed cheese cont/procd from italian-type, not grated/powdered, subject to add US note 21 to Ch. 4, not GN15 Processed cheese cont/procd from italian-type, not grated/powdered, not subject to add US note 21 to Ch. 4, not GN15 * Processed cheese cont/procd from swiss, emmentaler or gruyere-process, n/grated/powdered, subject to add US note 22 to Ch.</w:t>
      </w:r>
    </w:p>
    <w:p>
      <w:pPr>
        <w:pStyle w:val="Normal"/>
        <w:widowControl/>
        <w:rPr/>
      </w:pPr>
      <w:r>
        <w:rPr/>
        <w:t>4, not GN15 Processed cheese cont/procd from swiss/emmentaler/gruyere-process, n/grated/powdered, not subject to add US note 22 to Ch. 4, not GN15 * Processed cheese (incl. mixtures), nesoi, n/o 0.5% by wt. butterfat, not grated or powdered, subject to Ch4 US note 23, not GN15 Processed cheese (incl. mixtures), nesoi, n/o 0.5% by wt. butterfat, not grated or powdered, not subj to Ch 4 US note 23 or not GN15 * Processed cheese (incl. mixtures), nesoi, w/cow’s milk, not grated or powdered, subject to add US note 16 to Ch. 4, not GN15 Processed cheese (incl. mixtures), nesoi, w/cow’s milk, not grated or powdered, not subject to add US note 16 to Ch. 4, not GN15 * Processed cheese (incl. mixtures), nesoi, w/o cows milk, not grated or powdered, not GN15 Roquefort cheese in original loaves, not grated or powdered, not processed Roquefort cheese, other than in original loaves, not grated or powdered, not processed Stilton cheese, nesoi, in original loaves, subject to add. US note 24 to Ch. 4 Stilton cheese, nesoi, not in original loaves, subject to add.</w:t>
      </w:r>
    </w:p>
    <w:p>
      <w:pPr>
        <w:pStyle w:val="Normal"/>
        <w:widowControl/>
        <w:rPr/>
      </w:pPr>
      <w:r>
        <w:rPr/>
        <w:t>US note 24 to Ch. 4 Blue-veined cheese, nesoi, in original loaves, subject to gen. note 15 of the HTS Blue-veined cheese, nesoi, not in original loaves, subject to gen. note 15 of the HTS Blue-veined cheese, nesoi, in original loaves, subject to add. US note 17 to Ch. 4 Blue-veined cheese, nesoi, not in original loaves, subject to add. US note 17 to Ch. 4 Blue-veined cheese, nesoi, not subject to gen. note 15 of the HTS or to add.</w:t>
      </w:r>
    </w:p>
    <w:p>
      <w:pPr>
        <w:pStyle w:val="Normal"/>
        <w:widowControl/>
        <w:rPr/>
      </w:pPr>
      <w:r>
        <w:rPr/>
        <w:t>US note 17 to Ch. 4 * Bryndza cheese, not grated or powdered, not processed Cheddar cheese, neosi, subject to gen. note 15 of the &amp; entered pursuant to its provisions Cheddar cheese, neosi, subject to add. US note 18 to Ch. 4 Cheddar cheese, nesoi, not subject to gen. note 15 of the HTS or to add. US note 18 to Ch. 4 * Edam and gouda cheese, nesoi, subject to gen. note 15 of the HTS Edam and gouda cheese, nesoi, subject to add. US note 20 to Ch. 4 Edam and gouda cheese, nesoi, not subject to gen. note 15 of the HTS or to add. US note 20 to Ch.</w:t>
      </w:r>
    </w:p>
    <w:p>
      <w:pPr>
        <w:pStyle w:val="Normal"/>
        <w:widowControl/>
        <w:rPr/>
      </w:pPr>
      <w:r>
        <w:rPr/>
        <w:t>4 * Gjetost cheese from goat’s milk, whey or whey obtained from a mixture of goat’s &amp; n/o 20% cow’s milk, not grated, powdered or processed Gjetost cheese, made from goats’ milk, whey or whey obtained from a mixture of goats’ &amp; n/o 20% cows milk, not grated, powdered or processed Goya cheese, nesoi, subject to gen. note 15 of the HTS Goya cheese from cow’s milk, not in original loaves, nesoi,subject to add. US note 21 to Ch. 4 Goya cheese from cow’s milk, not in original loaves, nesoi, not subject to gen. note 15 or to add. US note 21 to Ch. 4 * Goya cheese not from cow’s milk, nesoi, not subject to gen. note 15 or to add. US note 21 to Ch. 4 Sbrinz cheese, nesoi, subject to gen. note 15 of the HTS Sbrinz cheese from cow’s milk, nesoi, subject to add. US note 21 to Ch. 4 Sbrinz cheese from cow’s milk, nesoi, not subject to gen. note 15 or to add. US note 21 to Ch.</w:t>
      </w:r>
    </w:p>
    <w:p>
      <w:pPr>
        <w:pStyle w:val="Normal"/>
        <w:widowControl/>
        <w:rPr/>
      </w:pPr>
      <w:r>
        <w:rPr/>
        <w:t>4 * Sbrinz cheese not from cow’s milk, nesoi, not subject to gen.</w:t>
      </w:r>
    </w:p>
    <w:p>
      <w:pPr>
        <w:pStyle w:val="Normal"/>
        <w:widowControl/>
        <w:rPr/>
      </w:pPr>
      <w:r>
        <w:rPr/>
        <w:t>note 15 or to add. US note 21 to Ch. 4 Romano from cows milk, Reggiano, Parmesan, Provolone, and Provoletti cheese, nesoi, subject to gen. note 15 of the HTS Romano, Reggiano, Parmesan, Provolone, and Provoletti cheese, nesoi, from cow’s milk, subject to add. US note 21 to Ch. 4 Romano, Reggiano, Parmesan, Provolone, and Provoletti cheese, nesoi, from cow’s milk, not subj to to GN 15 or Ch4 US note 21 * Reggiano, Parmesan, Provolone, and Provoletti cheese, nesoi, not from cow’s milk, not subject to gen. note 15 Swiss or Emmentaler cheese with eye formation, nesoi, subject to gen. note 15 of the HTS Swiss or Emmentaler cheese with eye formation, nesoi, subject to add. US note 25 to Ch. 4 Swiss or Emmentaler cheese with eye formation, nesoi, not subject to gen. note 15 or to add. US note 25 to Ch. 4 * Gammelost and nokkelost cheese, nesoi Colby cheese, nesoi, subject to gen. note 15 of the HTS and entered pursuant to its provisions Colby cheese, nesoi, subject to add. US note 19 to Ch.</w:t>
      </w:r>
    </w:p>
    <w:p>
      <w:pPr>
        <w:pStyle w:val="Normal"/>
        <w:widowControl/>
        <w:rPr/>
      </w:pPr>
      <w:r>
        <w:rPr/>
        <w:t>4 and entered pursuant to its provisions Colby cheese, nesoi, not subject to gen. note 15 or to add. US note 19 to Ch. 4 * Cheeses, nesoi, from sheep’s milk in original loaves and suitable for grating Pecorino cheese, from sheep’s milk, in original loaves, not suitable for grating Cheeses, substitute for cheese (including mixtures of cheeses), nesoi, made from sheep’s milk Cheeses &amp; substitutes for cheese (incl.mixtures) w/romano/reggiano/parmesan/provolone/etc from cows milk, subj. to gen.</w:t>
      </w:r>
    </w:p>
    <w:p>
      <w:pPr>
        <w:pStyle w:val="Normal"/>
        <w:widowControl/>
        <w:rPr/>
      </w:pPr>
      <w:r>
        <w:rPr/>
        <w:t>note 15 Cheeses &amp; substitutes for cheese (incl.mixtures) not cont.romano/reggiano/parmesan/provolone/etc from cows milk, subj. to gen. note 15 Cheeses &amp; subst. for cheese(incl. mixt.), nesoi, w/romano/reggiano/parmesan/provolone/etc, f/cow milk, subj. Ch4 US note 21, not GN15 Cheeses &amp; subst. for cheese(incl. mixt.), nesoi, w/romano/reggiano/parmesan/provolone/etc, f/cow milk, not subj. Ch4 US note 21, not GN15 * Cheeses &amp; subst. for cheese (incl. mixt.), nesoi, w/ or from blue-veined cheese, subj. to add. US note 17 to Ch.4, not GN15 Cheeses &amp; subst. for cheese (incl. mixt.), nesoi, w/ or from blue-veined cheese, not subj. to add. US note 17 to Ch.4, not GN15 * Cheeses &amp; subst. for cheese (incl. mixt.), nesoi, w/ or from cheddar cheese, subj. to add. US note 18 to Ch.4, not GN15 Cheeses &amp; subst. for cheese (incl. mixt.), nesoi, w/ or from cheddar cheese, not subj. to add. US note 18 to Ch.4, not GN15 * Cheeses &amp; subst. for cheese (incl. mixt.), nesoi, w/ or from Am. cheese except cheddar, subj. to add.</w:t>
      </w:r>
    </w:p>
    <w:p>
      <w:pPr>
        <w:pStyle w:val="Normal"/>
        <w:widowControl/>
        <w:rPr/>
      </w:pPr>
      <w:r>
        <w:rPr/>
        <w:t>US note 19 to Ch.4, not GN15 Cheeses &amp; subst. for cheese (incl. mixt.), nesoi, w/ or from Am. cheese except cheddar, not subj. to add. US note 19 to Ch.4, not GN15 * Cheeses &amp; subst. for cheese (incl. mixt.), nesoi, w/ or from edam or gouda cheese, subj. to add. US note 20 to Ch.4, not GN15 Cheeses &amp; subst. for cheese (incl. mixt.), nesoi, w/ or from edam or gouda cheese, not subj. to add. US note 20 to Ch.4, not GN15 * Cheeses &amp; subst. for cheese (incl.</w:t>
      </w:r>
    </w:p>
    <w:p>
      <w:pPr>
        <w:pStyle w:val="Normal"/>
        <w:widowControl/>
        <w:rPr/>
      </w:pPr>
      <w:r>
        <w:rPr/>
        <w:t>mixt.), nesoi, w/ or from swiss, emmentaler or gruyere, subj. to add. US note 22 to Ch.4, not GN15 Cheeses &amp; subst. for cheese (incl. mixt.), nesoi, w/ or from swiss, emmentaler or gruyere, not subj. Ch4 US note 22, not GN15 * Cheeses &amp; subst. for cheese (incl. mixt.), nesoi, w/butterfat n/o 0.5% by wt, subject to add. US note 23 to Ch. 4, not GN15 Cheeses &amp; subst. for cheese (incl. mixt.), nesoi, w/butterfat n/o 0.5% by wt, not subject to add. US note 23 to Ch.</w:t>
      </w:r>
    </w:p>
    <w:p>
      <w:pPr>
        <w:pStyle w:val="Normal"/>
        <w:widowControl/>
        <w:rPr/>
      </w:pPr>
      <w:r>
        <w:rPr/>
        <w:t>4, not GN15 * Cheeses &amp; subst. for cheese (incl. mixt.), nesoi, w/cows milk, w/butterfat o/0.5% by wt, subject to Ch 4 US note 16 (quota) Cheeses &amp; subst. for cheese (incl. mixt.), nesoi, w/cows milk, w/butterfat o/0.5% by wt, not subject to Ch4 US note 16, not GN15 * Cheeses &amp; subst. for cheese (incl. mixt.), nesoi, w/o cows milk, w/butterfat o/0.5% by wt, not GN15 Birds’ eggs, in shell, fertilized eggs for incubation, Gallus domesticus Birds’ eggs, in shell, fertilized eggs for incubation, other than Gallus domesticus Birds’ eggs, in shell, other fresh, not fertilized eggs for incubation, of species Gallus domesticus Birds’ eggs, in shell, other fresh, not fertilized eggs for incubation, other than species Gallus domesticus Birds’ eggs, in shell, fresh, preserved or cooked Egg yolks, dried, whether or not containing added sweeteners Egg yolks, other than dried, whether or not containing added sweeteners Birds’ eggs, not in shell, dried, whether or not containing added sweeteners Birds’ eggs, not in shell, other</w:t>
      </w:r>
    </w:p>
    <w:p>
      <w:pPr>
        <w:pStyle w:val="Normal"/>
        <w:widowControl/>
        <w:rPr/>
      </w:pPr>
      <w:r>
        <w:rPr/>
        <w:t>than dried, whether or not containing added sweeteners Natural honey Edible products of animal origin, nesi Human hair, unworked, whether or not washed and scoured; waste of human hair Pigs’, hogs’ or boars’ bristles and hair and waste thereof Badger hair and other brushmaking hair, nesi, and waste thereof Guts, bladders and stomachs of animals (other than fish), whole and pieces thereof Feathers of a kind used for stuffing, and down Feather meal and waste Skins and parts of birds with their feathers or down (except meal and waste) nesoi Ossein and bones treated with acid Bones &amp; horn-cores, unworked, defatted, simply prepared (but not cut to shape) or degelatinized; powder &amp; waste of these products Ivory, ivory powder and waste Tortoise shell, whalebone and whalebone hair, horns, antlers, hooves, nails, claws and beaks, unworked or simply prepared; waste and powder Coral, shells, cuttlebone and similar materials, unworked or simply prepared, but not cut to shape; powder and waste thereof Ambergris, castoreum, civet, and musk used in the preparation of pharmaceutical products Cantharides; bile;</w:t>
      </w:r>
    </w:p>
    <w:p>
      <w:pPr>
        <w:pStyle w:val="Normal"/>
        <w:widowControl/>
        <w:rPr/>
      </w:pPr>
      <w:r>
        <w:rPr/>
        <w:t>glands and other animal products nesi, used in pharmaceutical products Bovine semen Products of fish, crustaceans, molluscs or other aquatic invertebrates nesi; dead animals of chapter 3, unfit for human consumption Parings and similar waste of raw hides or skins; glue stock nesi Animal products chiefly used as food for animals or as ingredients in such food, nesi Horsehair and</w:t>
      </w:r>
    </w:p>
    <w:p>
      <w:pPr>
        <w:pStyle w:val="Normal"/>
        <w:widowControl/>
        <w:rPr/>
      </w:pPr>
      <w:r>
        <w:rPr/>
        <w:t>horsehair waste, whether or not put up as a layer with or without supporting material Natural sponges of animal origin Animal products nesi; dead animals of chapter 1, unfit for human consumption Tulip bulbs, dormant Hyacinth bulbs, dormant Lily bulbs, dormant Narcissus bulbs, dormant Crocus corms, dormant Lily of the valley pips, dormant Bulbs, tubers, tuberous roots, corms, crowns and rhizomes, nesi, dormant Hyacinth bulbs, without soil attached, in growth or in flower Bulbs nesi, tubers, tuberous roots, corms, crowns and rhizomes, in growth or in flower;</w:t>
      </w:r>
    </w:p>
    <w:p>
      <w:pPr>
        <w:pStyle w:val="Normal"/>
        <w:widowControl/>
        <w:rPr/>
      </w:pPr>
      <w:r>
        <w:rPr/>
        <w:t>chicory plants and roots Unrooted cuttings and slips of live plants Trees, shrubs, and bushes, grafted or not of kinds which bear edible fruits or nuts Rhododendron and azalea plants, grafted or not Rose plants, grafted or not Live orchid plants Live herbaceous perennials, other than orchid plants, with soil attached to roots Live herbaceous perennials, other than orchid plants, without soil attached to roots Live mushroom spawn Other live plants nesoi, with soil attached to roots Other live plants nesoi, other than those with soil attached to roots Sweetheart, Spray and other Roses, fresh cut Miniature (spray) carnations, fresh cut Other Carnations, fresh cut Orchids, fresh cut Chrysanthemums, fresh cut Fresh cut Lilies (Lillium spp.) Fresh cut, Anthuriums,Alstroemeria,Gypsophilia,Lilies, Snapdragons and flowers, nesoi Cut flowers and flower buds, suitable for bouquets or ornamental purposes, dried, dyed, bleached,</w:t>
      </w:r>
    </w:p>
    <w:p>
      <w:pPr>
        <w:pStyle w:val="Normal"/>
        <w:widowControl/>
        <w:rPr/>
      </w:pPr>
      <w:r>
        <w:rPr/>
        <w:t>impregnated or otherwise prepared Fresh foliage, branches, and other parts of plants for ornamental purposes Mosses and lichens Dried or bleached foliage, branches, and other parts of plants for ornamental purposes, except mosses and lichens Other than fresh, bleached or dried: Foliage, branches, parts of plants and grasses, suitable for ornamental purposes,except mosses &amp; lichen Seed potatoes, fresh or chilled Yellow (Solano) potatoes, excluding seed Fresh potatoes, other than yellow (Solano) potatoes or seed potatoes Tomatoes, fresh or chilled, entered during Mar.1 to July 14, or the period Sept.1 to Nov.14 in any year Tomatoes, fresh or chilled, entered during July 15 to Aug.31 in any year Tomatoes, fresh or chilled, entered from Nov.</w:t>
      </w:r>
    </w:p>
    <w:p>
      <w:pPr>
        <w:pStyle w:val="Normal"/>
        <w:widowControl/>
        <w:rPr/>
      </w:pPr>
      <w:r>
        <w:rPr/>
        <w:t>15 thru the last day of Feb. of the following year Onion sets, fresh or chilled Pearl onions not over 16 mm in diameter, fresh or chilled Onions, other than onion sets or pearl onions not over 16 mm in diameter, and shallots, fresh or chilled Garlic, fresh or chilled Leeks and other alliaceous vegetables nesi, fresh or chilled Cauliflower and headed broccoli, fresh or chilled, if entered June 5 to October 15, inclusive, in any year Cauliflower and headed broccoli, fresh or chilled, not reduced in size, if entered Oct. 16 through June 4, inclusive Cauliflower and headed broccoli, fresh or chilled, reduced in size, if entered Oct.</w:t>
      </w:r>
    </w:p>
    <w:p>
      <w:pPr>
        <w:pStyle w:val="Normal"/>
        <w:widowControl/>
        <w:rPr/>
      </w:pPr>
      <w:r>
        <w:rPr/>
        <w:t>16 through June 4, inclusive Brussels sprouts, fresh or chilled Cabbage, fresh or chilled Kohlrabi, kale and similar edible brassicas nesi, including sprouting broccoli, fresh or chilled Head lettuce (cabbage lettuce), fresh or chilled, if entered June 1 to October 31, inclusive, in any year Head lettuce (cabbage lettuce), fresh or chilled, if entered Nov. 1 through May 30, inclusive, in any year Lettuce, other than head lettuce, fresh or chilled, if entered June 1 to October 31, inclusive, in any year Lettuce, other than head lettuce, fresh or chilled, if entered Nov.</w:t>
      </w:r>
    </w:p>
    <w:p>
      <w:pPr>
        <w:pStyle w:val="Normal"/>
        <w:widowControl/>
        <w:rPr/>
      </w:pPr>
      <w:r>
        <w:rPr/>
        <w:t>1 through May 30, inclusive, in any year Witloof chicory, fresh or chilled Chicory, other than witloof chicory, fresh or chilled Carrots, fresh or chilled, reduced in size Carrots, fresh or chilled, not reduced in size, under 10 cm in length Carrots, fresh or chilled, not reduced in size, 10 cm or over in length Turnips, fresh or chilled Radishes, fresh or chilled Beets and horseradish, fresh or chilled Salsify, celeriac, radishes and similar edible roots nesi, fresh or chilled Cucumbers, including gherkins, fresh or chilled, if entered December 1 in any year to the last day of the following February, inclusive Cucumbers, including gherkins, fresh or chilled, if entered March 1 to April 30, inclusive, in any year Cucumbers, including gherkins, fresh or chilled, if entered May 1 to June 30, inclusive, or Sept. 1 to Nov.</w:t>
      </w:r>
    </w:p>
    <w:p>
      <w:pPr>
        <w:pStyle w:val="Normal"/>
        <w:widowControl/>
        <w:rPr/>
      </w:pPr>
      <w:r>
        <w:rPr/>
        <w:t>30, inclusive, in any year Cucumbers, including gherkins, fresh or chilled, if entered July 1 to August 31, inclusive, in any year Peas, fresh or chilled, shelled or unshelled, if entered July 1 to Sept. 30, inclusive, in any year Peas, fresh or chilled, shelled or unshelled, if entered Nov. 1 through the following June 30, inclusive Lima beans, fresh or chilled, shelled or unshelled, if entered November 1 through the following May 31, inclusive Cowpeas (other than black-eye peas), fresh or chilled, shelled or unshelled Beans nesi, fresh or chilled, shelled or unshelled Chickpeas (garbanzos), fresh or chilled, shelled or unshelled Lentils, fresh or chilled, shelled or unshelled Pigeon peas, fresh or chilled, shelled or unshelled, if entered from July 1 to September 30, inclusive, in any year Pigeon peas, fresh or chilled, shelled or unshelled, if entered Oct. 1 through the following June 30, inclusive Leguminous vegetables nesi, fresh or chilled, shelled or unshelled Asparagus, fresh or chilled, not reduced in size, if entered September 15 to November 15, inclusive, and transported to the U.S.</w:t>
      </w:r>
    </w:p>
    <w:p>
      <w:pPr>
        <w:pStyle w:val="Normal"/>
        <w:widowControl/>
        <w:rPr/>
      </w:pPr>
      <w:r>
        <w:rPr/>
        <w:t>by air Asparagus, nesi, fresh or chilled Eggplants (aubergines), fresh or chilled, if entered April 1 to November 30, inclusive, in any year Eggplants (aubergines), fresh or chilled, if entered December 1 through the following March 31, inclusive Celery, other than celeriac, fresh or chilled, reduced in size Celery, other than celeriac, fresh or chilled, not reduced in size, if entered April 15 to July 31, inclusive, in any year Celery, other than celeriac, fresh or chilled, not reduced in size, if entered August 1 through the following April 14, inclusive Mushrooms of the genus Agaricus, fresh or chilled Truffles, fresh or chilled Mushrooms, other than of the genus Agaricus, fresh or chilled Chili peppers, fresh or chilled Fruits of the genus capsicum (peppers) (ex.</w:t>
      </w:r>
    </w:p>
    <w:p>
      <w:pPr>
        <w:pStyle w:val="Normal"/>
        <w:widowControl/>
        <w:rPr/>
      </w:pPr>
      <w:r>
        <w:rPr/>
        <w:t>chili peppers) or of the genus pimenta (e.g., Allspice), fresh or chilled Spinach, New Zealand spinach and orache spinach (garden spinach), fresh or chilled Globe artichokes, fresh or chilled Olives, fresh or chilled Pumpkins, fresh or chilled Squash, fresh or chilled Gourds (Cucurbita spp.), fresh or chilled Jicamas and breadfruit, fresh or chilled Chayote (Sechium edule), fresh or chilled Okra, fresh or chilled Fiddlehead greens, fresh or chilled Sweet corn, fresh or chilled Vegetables, not elsewhere specified or included, fresh or chilled Potatoes, uncooked or cooked by steaming or boiling in water, frozen Peas, uncooked or cooked by steaming or boiling in water, frozen, if entered July 1 through September</w:t>
      </w:r>
    </w:p>
    <w:p>
      <w:pPr>
        <w:pStyle w:val="Normal"/>
        <w:widowControl/>
        <w:rPr/>
      </w:pPr>
      <w:r>
        <w:rPr/>
        <w:t>30, inclusive, in any year Peas, uncooked or cooked by steaming or boiling in water, frozen, if entered Jan. 1 through June 30, or Oct. 1 through Dec. 31, inclusive Lima beans, uncooked or cooked by steaming or boiling in water, frozen, not reduced in size, entered Nov. 1 through the following May 31 Lima beans, frozen, entered June 1 - October 31 Cowpeas (other than black-eye peas), uncooked or cooked by steaming or boiling in water, frozen, not reduced in size Frozen string beans (snap beans), not reduced in size Frozen beans nesi, not reduced in size Beans nesi, uncooked or cooked by steaming or boiling in water, frozen, reduced in size Chickpeas (garbanzos), uncooked or cooked by steaming or boiling in water, frozen Lentils, uncooked or cooked by steaming or boiling in water, frozen Pigeon peas, uncooked or cooked by steaming or boiling in water, frozen, if entered July 1 through September 30, inclusive, in any year Pigeon peas, uncooked or cooked by steaming or boiling in water, frozen, if entered Oct.</w:t>
      </w:r>
    </w:p>
    <w:p>
      <w:pPr>
        <w:pStyle w:val="Normal"/>
        <w:widowControl/>
        <w:rPr/>
      </w:pPr>
      <w:r>
        <w:rPr/>
        <w:t>1 through the following June 30, inclusive Leguminous vegetables nesi, uncooked or cooked by steaming or boiling in water, frozen Spinach, New Zealand spinach and orache spinach (garden spinach), uncooked or cooked by steaming or boiling in water, frozen Sweet corn, uncooked or cooked by steaming or boiling in water, frozen Bamboo shoots and water chestnuts (other than Chinese water chestnuts), uncooked or cooked by steaming or boiling in water, frozen Mushrooms, uncooked or cooked by steaming or boiling in water, frozen Tomatoes, uncooked or cooked by steaming or boiling in water, frozen, if entered Mar. 1 thru July 14, incl. or Sept. 1 thru Nov. 14, incl. Tomatoes, uncooked or cooked by steaming or boiling in water, frozen, if entered July 15 through August 31, inclusive, in any year Tomatoes, uncooked or cooked by steaming or boiling in water, frozen, if entered Nov. 15 through the following February, incl.</w:t>
      </w:r>
    </w:p>
    <w:p>
      <w:pPr>
        <w:pStyle w:val="Normal"/>
        <w:widowControl/>
        <w:rPr/>
      </w:pPr>
      <w:r>
        <w:rPr/>
        <w:t>Fiddlehead greens, uncooked or cooked by steaming or boiling in water, frozen, not reduced in size Brussels sprouts, uncooked or cooked by steaming or boiling in water, frozen, not reduced in size Vegetables nesi, uncooked or cooked by steaming or boiling in water, frozen, not reduced in size Brussels sprouts, uncooked or cooked by steaming or boiling in water, frozen, reduced in size Okra, reduced in size, frozen Vegetables nesi, uncooked or cooked by steaming or boiling in water, frozen, reduced in size Mixtures of pea pods and water chestnuts (other than Chinese water chestnuts), uncooked or cooked by steaming or boiling in water, frozen Mixtures of vegetables not elsewhere specified or included, uncooked or cooked by steaming or boiling in water, frozen Olives, n/pitted, green, in saline sol., in contain. &gt; 8 kg, drained wt, for repacking or sale, subject to add. US note 5 to Ch. 7 Olives, n/pitted, green, in saline sol., in contain. &gt; 8 kg, drained wt, for repacking or sale, not subject to add. US note 5 to Ch.</w:t>
      </w:r>
    </w:p>
    <w:p>
      <w:pPr>
        <w:pStyle w:val="Normal"/>
        <w:widowControl/>
        <w:rPr/>
      </w:pPr>
      <w:r>
        <w:rPr/>
        <w:t>7 Olives, n/pitted, nesoi Olives, pitted or stuffed, provisionally preserved but unsuitable in that state for immediate consumption Cucumbers including gherkins, provisionally preserved but unsuitable in that state for immediate consumption Mushrooms of the genus Agaricus, provisionally preserved but unsuitable in that state for immediate consumption Mushrooms, other than of the genus Agaricus, provisionally preserved but unsuitable in that state for immediate consumption Truffles, provisionally preserved but unsuitable in that state for immediate consumption Leguminous vegetables, provisionally preserved but unsuitable in that state for immediate consumption Capers, provisionally preserved but unsuitable in that state for immediate consumption Onions, provisionally preserved but unsuitable in that state for immediate consumption Vegetables nesoi, and mixtures of vegetables, provisionally preserved but unsuitable in that state for immediate consumption Dried onion powder or flour Dried onions whole, cut, sliced or broken, but not further prepared Air dried or sun dried mushrooms of the genus Agaricus, whole, cut, sliced, broken or in powder, but not further prepared Dried (not air or sun dried) mushrooms of the</w:t>
      </w:r>
    </w:p>
    <w:p>
      <w:pPr>
        <w:pStyle w:val="Normal"/>
        <w:widowControl/>
        <w:rPr/>
      </w:pPr>
      <w:r>
        <w:rPr/>
        <w:t>genus Agaricus, whole, cut, sliced, broken or in powder, but not further prepared Dried wood ears (Auricularia spp.), whole, cut, sliced, broken or in powder, but not further prepared Dried jelly fungi (Tremella spp), whole, cut, sliced, broken or in powder, but not</w:t>
      </w:r>
    </w:p>
    <w:p>
      <w:pPr>
        <w:pStyle w:val="Normal"/>
        <w:widowControl/>
        <w:rPr/>
      </w:pPr>
      <w:r>
        <w:rPr/>
        <w:t>further prepared Air dried or sun dried mushrooms (other than of the genus Agaricus), whole, cut, sliced, broken or in powder, but not further prepared Dried (not air or sun dried) mushrooms (other than of the genus Agaricus), whole, cut, sliced, broken or in powder, but not further prepared Dried truffles, whole, cut, sliced, broken or in powder, but not further prepared Dried carrots, whole, cut, sliced, broken or in powder, but not further prepared Dried olives, not ripe Dried olives, ripe Dried potatoes, whether or not cut or sliced but not further prepared Dried garlic, whole, cut, sliced, broken or in powder, but not further prepared Dried fennel, marjoram, parsley, savory and tarragon, crude or not manufactured Dried parsley nesi, whole, cut, sliced, broken or in powder, but not further prepared Dried fennel, marjoram, savory and tarragon nesi, whole, cut, sliced, broken or in powder, but not further prepared Tomatoes, dried in powder Tomatoes, dried, whole, other Dried vegetables nesoi, and mixtures of dried vegetables, whole, cut, sliced, broken</w:t>
      </w:r>
    </w:p>
    <w:p>
      <w:pPr>
        <w:pStyle w:val="Normal"/>
        <w:widowControl/>
        <w:rPr/>
      </w:pPr>
      <w:r>
        <w:rPr/>
        <w:t>or in powder, but not further prepared Seeds of peas of a kind used for sowing Dried split peas, shelled Dried peas, nesi, shelled Seeds of chickpeas (garbanzos) of a kind used for sowing Dried chickpeas (garbanzos), shelled Seeds of beans of a kind used for sowing Dried beans, shelled, if entered May 1 through August 31, inclusive, in any year Dried beans, shelled, if entered September 1 through the following April 30, or</w:t>
      </w:r>
    </w:p>
    <w:p>
      <w:pPr>
        <w:pStyle w:val="Normal"/>
        <w:widowControl/>
        <w:rPr/>
      </w:pPr>
      <w:r>
        <w:rPr/>
        <w:t>withdrawn for consumption at any time Seeds of small red (adzuki) beans of a kind used for sowing Dried small red (adzuki) beans, shelled Seeds of kidney beans, including white pea beans of a kind used for sowing Dried kidney beans, including white pea beans, shelled, if entered May 1 through August 31, inclusive, in any year Dried kidney beans, including white pea beans, shelled, if entered Sept.</w:t>
      </w:r>
    </w:p>
    <w:p>
      <w:pPr>
        <w:pStyle w:val="Normal"/>
        <w:widowControl/>
        <w:rPr/>
      </w:pPr>
      <w:r>
        <w:rPr/>
        <w:t>1 through April 30, or withdrawn for consumption at any time Dried seeds of Bambara beans, of a kind used for sowing Dried Bambara beans, shelled, if entered for consumption from May 1 through August 31, inclusive, in any year Dried Bambara beans, shelled, if entered for consumption other than above period, or withdrawn for consumption Dried cowpeas, shelled Seeds of beans nesi, of a kind used for sowing Dried beans nesi, shelled, if entered for consumption from May 1 through August 31, inclusive, in any year Dried beans nesi, shelled, if entered for consumption September 1 through April 30, or withdrawn for consumption at any time Lentil seeds of a kind used for sowing Dried lentils, shelled Seeds of broad beans and horse beans of a kind used for sowing Dried broad beans and horse beans, shelled Dried pigeon pea seeds, of a kind used for sowing Dried pigeon pea seeds, shelled, if entered for consumption during the period from May 1 through August 31, inclusive, in any year Dried pigeon pea seeds, shelled, if entered Sept.</w:t>
      </w:r>
    </w:p>
    <w:p>
      <w:pPr>
        <w:pStyle w:val="Normal"/>
        <w:widowControl/>
        <w:rPr/>
      </w:pPr>
      <w:r>
        <w:rPr/>
        <w:t>1 through the following April 30, or withdrawn for consumption at any time Seeds of leguminous vegetables nesi, of a kind used for sowing Dried guar seeds, shelled Dried leguminous vegetables nesi, shelled, if entered for consumption during the period from May 1 through August 31, inclusive, in any year Dried leguminous vegetales, nesi, shelled, if entered Sept.</w:t>
      </w:r>
    </w:p>
    <w:p>
      <w:pPr>
        <w:pStyle w:val="Normal"/>
        <w:widowControl/>
        <w:rPr/>
      </w:pPr>
      <w:r>
        <w:rPr/>
        <w:t>1 through the following April 30, or withdrawn for consumption at any time Cassava (manioc), frozen, whether or not sliced or in the form of pellets Cassava (manioc), fresh, chilled or dried, whether or not sliced or in the form of pellets Sweet potatoes, frozen, whether or not sliced or in the form of pellets Sweet potatoes, fresh, chilled or dried, whether or not sliced or in the form of pellets Fresh or chilled yams (Dioscorea spp.), whether or not sliced or in the form of pellets Frozen yams (Dioscorea spp.) Dried yams (Dioscorea spp.), in the form of pellets Dried yams (Dioscorea spp.), whether or not sliced but not in pellets Fresh or chilled taro (Colocasia spp.), whether or not sliced or in the form of pellets Frozen taro (Colocasia spp.) Dried taro (Colocasia spp.), in the form of pellets Dried taro (Colocasia spp.), whether or not sliced but not in pellets Fresh or chilled yautia (Xanthosoma spp.), whether or not sliced or in the form of pellets Frozen yautia (Xanthosoma spp.) Dried yautia (Xanthosoma spp.), in the form of pellets Dried yautia (Xanthosoma spp.), whether or not sliced but not in pellets</w:t>
      </w:r>
    </w:p>
    <w:p>
      <w:pPr>
        <w:pStyle w:val="Normal"/>
        <w:widowControl/>
        <w:rPr/>
      </w:pPr>
      <w:r>
        <w:rPr/>
        <w:t>Chinese water chestnuts, fresh or chilled Fresh or chilled arrowroot/salep/Jerusalem artichokes/similar roots &amp; tubers, nesi Mixtures of pea pods and Chineses water chestnuts, frozen Other mixtures of Chinese water chestnuts, frozen Chinese water chestnuts, not mixed, frozen Frozen dasheens/arrowroot/salep/Jerusalem artichokes/similar roots &amp; tubers, nesi Chinese water chestnuts, dried Dried dasheens, arrowroot, salep, Jerusalem artichokes and similar roots and tubers nesoi, in the form of pellets Dried dasheens, arrowroot, salep, Jerusalem artichokes, and similar roots and tubers nesoi, whether or not sliced but not in pellets Coconuts, desiccated Coconuts, fresh, in the inner shell (endocarp) Coconuts, fresh, not in the inner shell (endocarp) Brazil nuts, fresh or dried, in shell Brazil nuts, fresh or dried, shelled Cashew nuts, fresh or dried, in shell Cashew nuts, fresh or dried, shelled Almonds, fresh or dried, in shell Almonds, fresh or dried, shelled Hazelnuts or filberts, fresh or dried, in shell Hazelnuts or filberts, fresh or dried, shelled Walnuts, fresh or dried, in shell Walnuts, fresh or dried, shelled Chestnuts, fresh or dried, in</w:t>
      </w:r>
    </w:p>
    <w:p>
      <w:pPr>
        <w:pStyle w:val="Normal"/>
        <w:widowControl/>
        <w:rPr/>
      </w:pPr>
      <w:r>
        <w:rPr/>
        <w:t>shell Chestnuts, fresh or dried, shelled Pistachios, fresh or dried, in shell Pistachios, fresh or dried, shelled Macadamia nuts, in shell Macadamia nuts, shelled Kola nuts (Cola spp.), fresh or dried, in shell Kola nuts (Cola spp.), fresh or dried, shelled Areca nuts, fresh or dried, in shell Areca nuts, fresh or dried, shelled</w:t>
      </w:r>
    </w:p>
    <w:p>
      <w:pPr>
        <w:pStyle w:val="Normal"/>
        <w:widowControl/>
        <w:rPr/>
      </w:pPr>
      <w:r>
        <w:rPr/>
        <w:t>Pecans, fresh or dried, in shell Pecans, fresh or dried, shelled Pignolias, fresh or dried, in shell Pignolias, fresh or dried, shelled Nuts,nesi, fresh or dried, in shell Nuts nesi, fresh or dried, shelled Plantains, fresh Plantains, dried Bananas, fresh or dried Dates, fresh or dried, whole, with or without pits, packed in units weighing (with immediate container, if any) not over 4.6 kg Dates, fresh or dried, whole, with pits, packed in units weighing over 4.6 kg Dates, fresh or dried, whole, without pits, packed in units weighing over 4.6 kg Dates, fresh or dried, other than whole Figs, fresh or dried, whole, in units weighing more than 0.5 kg each Figs, fresh or dried, whole, in immediate containers weighing with their contents 0.5 kg or less Figs, fresh or dried, other than whole (including fig paste) Pineapples, fresh or dried, not reduced in size, in bulk Pineapples, fresh or dried, not reduced in size, in crates or other packages Pineapples, fresh or dried, reduced in size Avocados, fresh</w:t>
      </w:r>
    </w:p>
    <w:p>
      <w:pPr>
        <w:pStyle w:val="Normal"/>
        <w:widowControl/>
        <w:rPr/>
      </w:pPr>
      <w:r>
        <w:rPr/>
        <w:t>or dried Guavas, mangoes, and mangosteens, fresh, if entered during the period September 1 through May 31, inclusive Guavas, mangoes, and mangosteens, fresh, if entered during the period June 1 through August 31, inclusive Guavas, mangoes, and mangosteens, dried Oranges, fresh or dried Mandarins and other similar citrus hybrids including tangerines, satsumas, clementines, wilkings, fresh or dried Clementines, fresh or dried, other Wilkings and similar citrus hybrids, fresh or</w:t>
      </w:r>
    </w:p>
    <w:p>
      <w:pPr>
        <w:pStyle w:val="Normal"/>
        <w:widowControl/>
        <w:rPr/>
      </w:pPr>
      <w:r>
        <w:rPr/>
        <w:t>dried, other Grapefruit, fresh or dried, entered during the period August 1 through September 30, inclusive Grapefruit, fresh or dried, if entered during the month of October Grapefruit, fresh or dried, if entered during the period November 1 through the following July 31, inclusive Lemons, fresh or dried Tahitian lines, Persian limes and other limes of the Citrus latifolia variety, fresh or dried Limes of the Citrus aurantifolia variety, fresh or dried Citrus fruit, not elsewhere specified or included, fresh or dried, including kumquats, citrons and bergamots Grapes, fresh, if entered during the period February 15 through March 31, inclusive Grapes, fresh, if entered during the period April 1 through June 30, inclusive Grapes, fresh, if entered during the period July 1 through the following February 14, inclusive Raisins, made from dried seedless grapes Raisins, made from other than seedless grapes Grapes, dried, other than raisins Watermelons, fresh, if entered during the period from December 1, in any year, to the following March 31, inclusive Watermelons, fresh, if entered during</w:t>
      </w:r>
    </w:p>
    <w:p>
      <w:pPr>
        <w:pStyle w:val="Normal"/>
        <w:widowControl/>
        <w:rPr/>
      </w:pPr>
      <w:r>
        <w:rPr/>
        <w:t>the period April 1 through November 30, inclusive Cantaloupes, fresh, if entered during the period from August 1 through September 15, inclusive Cantaloupes, fresh, if entered during the periods from January 1 through July 31 or September 16 to December 31, inclusive Ogen and Galia melons, fresh, if entered during the period from December 1, in any year, to the following May 31, inclusive Ogen</w:t>
      </w:r>
    </w:p>
    <w:p>
      <w:pPr>
        <w:pStyle w:val="Normal"/>
        <w:widowControl/>
        <w:rPr/>
      </w:pPr>
      <w:r>
        <w:rPr/>
        <w:t>and Galia melons, fresh, if entered during the period from June 1 through November 30, inclusive Other melons nesoi, fresh, if entered during the period from December 1, in any year, to the following May 31, inclusive Other melons nesoi, fresh, if entered during the period from June 1 through November 30, inclusive Papayas (papaws), fresh Apples, fresh Pears, fresh, if entered during the period from April 1 through June 30, inclusive Pears, fresh, if entered during the period from July 1 through the following March 31, inclusive Quinces, fresh, if entered during the period from April 1 through June 30, inclusive Quinces, fresh, if entered during the period from July 1 through the following March 31, inclusive Apricots, fresh Sour cherries (Prunus cerasus), fresh Other cherries, fresh Peaches, including nectarines, fresh, if entered during the period from June 1 through November 30, inclusive Peaches, including nectarines, fresh, if entered during the period from December 1 through the following May 31, inclusive Plums, prunes and sloes, fresh, if entered during</w:t>
      </w:r>
    </w:p>
    <w:p>
      <w:pPr>
        <w:pStyle w:val="Normal"/>
        <w:widowControl/>
        <w:rPr/>
      </w:pPr>
      <w:r>
        <w:rPr/>
        <w:t>the period from January 1 through May 31, inclusive Plums, prunes and sloes, fresh, if entered during the period from June 1 through December 31, inclusive Strawberries, fresh, if entered during the period from June 15 through September 15, inclusive Strawberries, fresh, if entered during the period from September 16 through the following June 14, inclusive Raspberries and loganberries, fresh, if entered during the</w:t>
      </w:r>
    </w:p>
    <w:p>
      <w:pPr>
        <w:pStyle w:val="Normal"/>
        <w:widowControl/>
        <w:rPr/>
      </w:pPr>
      <w:r>
        <w:rPr/>
        <w:t>period from September 1 through the following June 30, inclusive Raspberries and loganberries, fresh, if entered July 1 - August 31, inclusive;</w:t>
      </w:r>
    </w:p>
    <w:p>
      <w:pPr>
        <w:pStyle w:val="Normal"/>
        <w:widowControl/>
        <w:rPr/>
      </w:pPr>
      <w:r>
        <w:rPr/>
        <w:t>blackberries &amp; mulberries, fresh, entered any time Black, white or red currants and gooseberries (other than kiwifruit), fresh Cranberries, blueberries and other fruits of the genus Vaccinium, fresh Kiwi fruit, fresh Durians, fresh Persimmons, fresh Other berries and tamarinds, fresh Fruit, not elsewhere specified or included, fresh Strawberries, frozen, in water or containing added sweetening Raspberries, loganberries, black currants and gooseberries, frozen, in water or containing added sweetening Blackberries, mulberries and white or red currants, frozen, in water or containing added sweetening Bananas and plantains, frozen, in water or containing added sweetening Blueberries, frozen, in water or containing added sweetening Boysenberries, frozen, in water or containing added sweetening Cashew apples, mameyes colorados, sapodillas, soursops and sweetsops, frozen, in water or containing added sweetening Coconut meat, frozen, in water or containing added sweetening Cranberries, frozen, in water or containing added sweetening Papayas, frozen, in water or containing added sweetening Pineapples, frozen, in water or containing added sweetening Mangoes, frozen, whether or not previously steamed or boiled Melons, frozen, in water or containing added sweetening Fruit, nesi, frozen, whether or not previously steamed or boiled Cherries,</w:t>
      </w:r>
    </w:p>
    <w:p>
      <w:pPr>
        <w:pStyle w:val="Normal"/>
        <w:widowControl/>
        <w:rPr/>
      </w:pPr>
      <w:r>
        <w:rPr/>
        <w:t>provisionally preserved, but unsuitable in that state for immediate consumption Mixtures of two or more fruits, provisionally preserved, but unsuitable in that state for consumption Citrus fruit, provisionally preserved, but unsuitable in that state for immediate consumption Figs, provisionally preserved, but unsuitable in that state for immediate consumption Pineapples, provisionally preserved, but unsuitable in that state for immediate consumption Strawberries, provisionally preserved, but unsuitable in that state for immediate consumption Fruit and nuts nesi, including mixtures containing nuts, provisionally preserved, but not for immediate consumption Apricots, dried Prunes and plums, soaked in brine and dried Prunes and plums, dried, (except if presoaked in brine) Apples, dried Papayas, dried Barberries, dried Berries except barberries, dried Cherries, dried Peaches, dried Tamarinds, dried Fruit nesi, dried, other than that of headings 0801 to 0806, and excluding mixtures Mixtures of nuts or dried fruits of Chapter 8 Peel of orange or citron, fresh, frozen, dried or provisionally preserved in brine, in sulfur water or other preservative solutions Lime peel, fresh, frozen or in brine Peel of citrus fruit, excl.</w:t>
      </w:r>
    </w:p>
    <w:p>
      <w:pPr>
        <w:pStyle w:val="Normal"/>
        <w:widowControl/>
        <w:rPr/>
      </w:pPr>
      <w:r>
        <w:rPr/>
        <w:t>orange or citron and peel, nesi, of melon, fresh, frozen, dried or provisionally preserved Coffee, not roasted, not decaffeinated Coffee, not roasted, decaffeinated Coffee, roasted, not decaffeinated Coffee, roasted, decaffeinated Coffee husks and skins Coffee substitutes containing coffee Green tea in packages not over 3 kg, flavored Green tea in packages not over 3 kg, not flavored Green tea in packages over 3 kg, flavored Green tea in packages over 3 kg, not flavored Black tea (fermented) and partly fermented tea, in immediate packings of a content not exceeding 3 kg Black tea (fermented) and partly fermented tea, other than in immediate packings of a content not exceeding 3 kg Mate Pepper of the genus Piper, neither crushed nor ground Pepper of the genus Piper, crushed or ground Paprika, dried neither crushed nor ground Anaheim and ancho pepper, dried, neither crushed nor ground Fruits of the genus Capsicum, other than paprika or anaheim and ancho pepper, dried, not crushed or ground Fruits of the genus Pimenta (including allspice), dried Paprika,</w:t>
      </w:r>
    </w:p>
    <w:p>
      <w:pPr>
        <w:pStyle w:val="Normal"/>
        <w:widowControl/>
        <w:rPr/>
      </w:pPr>
      <w:r>
        <w:rPr/>
        <w:t>crushed or ground Anaheim and ancho pepper, crushed or ground Mixtures of mashed or macerated hot red peppers and salt, nesoi Fruits of the genus capsicum, crushed or ground, nesoi Fruits of the genus Pimenta (including allspice), crushed or ground Vanilla beans, neither crushed nor ground Vanilla beans, crushed or ground Cinnamon (Cinnamomum zeylanicum Blume) neither crushed nor ground Cinnamon and cinnamon-tree flowers,nesi,</w:t>
      </w:r>
    </w:p>
    <w:p>
      <w:pPr>
        <w:pStyle w:val="Normal"/>
        <w:widowControl/>
        <w:rPr/>
      </w:pPr>
      <w:r>
        <w:rPr/>
        <w:t>neither crushed nor ground Cinnamon and cinnamon-tree flowers, crushed or ground Cloves (whole fruit, cloves and stems), neither crushed nor ground Cloves (whole fruit, cloves and stems), crushed or ground Nutmeg, neither crushed nor ground Nutmeg, crushed or ground Mace, neither crushed nor ground Mace, crushed or ground, Bombay or wild Mace, crushed or ground, other than Bombay or wild mace Cardamoms, neither crushed nor ground Cardamoms, crushed or ground Seeds of coriander, neither crushed nor ground Seeds of coriander, crushed or ground Seeds of cumin, neither crushed nor ground Seeds of cumin, crushed or ground Seeds of anise,badian, caraway or fennel; juniper berries; neither crushed nor ground Seeds of anise,badian, caraway or fennel; juniper berries; crushed or ground Ginger, neither crushed nor ground Ginger, crushed or ground Saffron Turmeric (curcuma) Mixtures of spices Thyme;</w:t>
      </w:r>
    </w:p>
    <w:p>
      <w:pPr>
        <w:pStyle w:val="Normal"/>
        <w:widowControl/>
        <w:rPr/>
      </w:pPr>
      <w:r>
        <w:rPr/>
        <w:t>bay leaves, crude or not manufactured Thyme, other than crude or not manufactured Bay leaves, other than crude or not manufactured Curry Origanum, crude or not manufactured Origanum, other than crude or not manufactured Dill Spices, nesi Durum wheat, seed Durum wheat, other than seed Seed of wheat and meslin, other than durum wheat Wheat &amp; meslin other than durum or seed wheat Rye, seed Rye, other than seed Barley, seed Barley, other than seed, for malting purposes Barley, not seed, other than for malting purposes Oats, seed Oats, other than seed Seed corn (maize) Yellow dent corn Corn</w:t>
      </w:r>
    </w:p>
    <w:p>
      <w:pPr>
        <w:pStyle w:val="Normal"/>
        <w:widowControl/>
        <w:rPr/>
      </w:pPr>
      <w:r>
        <w:rPr/>
        <w:t>(maize), other than seed and yellow dent corn Rice in the husk (paddy or rough) Basmati rice, husked Husked (brown) rice, other than Basmati Rice semi-milled or wholly milled, whether or not polished or glazed, parboiled Rice semi-milled or wholly milled, whether or not polished or glazed, other than parboiled Broken rice Grain sorghum, seed Grain sorghum, other than seed Buckwheat Millet, seed Millet, other than seed Canary seed Fonio (Digitaria spp.) Quinoa (Chenopodium quinoa) Triticale Cereals nesi (including wild rice) Wheat or meslin flour Corn (maize) flour Buckwheat flour Rice flour Rye flour Cereal flours nesi, mixed together Cereal flours, other than of wheat or meslin, rye, corn, rice or buckwheat Groats and meal of wheat Groats and meal of corn (maize) Groats and meal of oats Groats and meal of rice Groats and meal of cereals other than wheat, oats, corn (maize) or rice Pellets of cereals Rolled or flaked grains of oats Rolled or flaked grains of barley Rolled or flaked grains of cereals, other than of</w:t>
      </w:r>
    </w:p>
    <w:p>
      <w:pPr>
        <w:pStyle w:val="Normal"/>
        <w:widowControl/>
        <w:rPr/>
      </w:pPr>
      <w:r>
        <w:rPr/>
        <w:t>barley or oats Grains of oats, hulled, pearled, clipped, sliced, kibbled or otherwise worked, but not rolled or flaked Grains of corn (maize), hulled, pearled, clipped, sliced, kibbled or otherwise worked, but not rolled or flaked Grains of barley, hulled, pearled, clipped, sliced, kibbled or otherwise worked, but not rolled or flaked Grains of cereals other than barley, oats or corn, hulled, pearled, clipped, sliced, kibbled or otherwise worked, but not rolled or</w:t>
      </w:r>
    </w:p>
    <w:p>
      <w:pPr>
        <w:pStyle w:val="Normal"/>
        <w:widowControl/>
        <w:rPr/>
      </w:pPr>
      <w:r>
        <w:rPr/>
        <w:t>flaked Germ of cereals, whole, rolled, flaked or ground Flour, meal and powder of potatoes Flakes, granules and pellets, of potatoes Flour, meal and powder of the dried leguminous vegetables of heading 0713 Flour, meal and powder of Chinese water chestnuts Flour, meal and powder of sago, or of roots or tubers of heading 0714 (excluding Chinese water chestnuts) Flour, meal and powder of banana and plantain Fruit and nut flour, meal and powder of the products of chapter 8, other than of banana and plantain Malt, not roasted Malt, roasted Wheat starch Corn (maize) starch Potato starch Cassava (manioc) starch Starches other than wheat, corn (maize), potato or cassava (manioc) starches Inulin Wheat gluten, whether or not dried, to be used as animal feed Wheat gluten, whether or not dried, to be used for other than animal feed Soybeans, whether or not broken, seed Soybeans, whether or not broken, other than seed Peanuts (ground-nuts), seed, not roasted or cooked, shelled, subject to gen note 15 of the HTS Peanuts (ground-nuts), seed, not roasted or cooked, shelled, subject to add.</w:t>
      </w:r>
    </w:p>
    <w:p>
      <w:pPr>
        <w:pStyle w:val="Normal"/>
        <w:widowControl/>
        <w:rPr/>
      </w:pPr>
      <w:r>
        <w:rPr/>
        <w:t>US note 2 to Ch.12 Peanuts (ground-nuts), seed, not roasted or cooked, shelled, not subject to gen note 15 or add. US note 2 to Ch.12 * Peanuts (ground-nuts), not seed, not roasted or cooked, in shell, subject to gen note 15 of the HTS Peanuts (ground-nuts), not seed, not roasted or cooked, in shell, subject to add.</w:t>
      </w:r>
    </w:p>
    <w:p>
      <w:pPr>
        <w:pStyle w:val="Normal"/>
        <w:widowControl/>
        <w:rPr/>
      </w:pPr>
      <w:r>
        <w:rPr/>
        <w:t>US note 2 to Ch.12 Peanuts (ground-nuts), not seed, not roasted or cooked, in shell, not subject to gen note 15 or add. US note 2 to Ch.12 * Peanuts (ground-nuts), not seed, not roasted or cooked, shelled, subject to gen note 15 of the HTS Peanuts (ground-nuts), not seed, not roasted or cooked, shelled, subject to add. US note 2 to Ch.12 Peanuts (ground-nuts), not seed, not roasted or cooked, shelled, not subject to gen note 15 or add.</w:t>
      </w:r>
    </w:p>
    <w:p>
      <w:pPr>
        <w:pStyle w:val="Normal"/>
        <w:widowControl/>
        <w:rPr/>
      </w:pPr>
      <w:r>
        <w:rPr/>
        <w:t>US note 2 to Ch.12 * Copra Flaxseed (linseed), whether or not broken Low erucic acid rape or colza seeds, whether or not broken Rape or colza seeds (other than of low erucic acid), whether or not broken Sunflower seeds, whether or not broken Palm nuts and kernels Cotton seeds, whether or not broken, seed for sowing Cotton seeds, whether or not broken, other than seed for sowing Castor oil seeds Sesame seeds, whether or not broken Mustard seeds, whether or not broken Safflower (Carthamus tintorius) seeds Melon seeds Poppy seeds, whether or not broken Other oil seeds and oleaginous fruits whether or not broken, incl niger seeds, hemp seeds and seeds nesoi Flours and meals of soybeans Flours and meals of oil seeds or oleaginous fruits other than those of mustard or soybeans Sugar beet seeds of a kind used for sowing Alfalfa (lucerne) seed of a kind used for sowing White and ladino clover seeds of a kind used for sowing Clover seeds, other than white and ladino, of a kind used for sowing Fescue seeds of a kind used for sowing Kentucky blue grass</w:t>
      </w:r>
    </w:p>
    <w:p>
      <w:pPr>
        <w:pStyle w:val="Normal"/>
        <w:widowControl/>
        <w:rPr/>
      </w:pPr>
      <w:r>
        <w:rPr/>
        <w:t>seeds of a kind used for sowing Rye grass seeds of a kind used for sowing Beet seed, other than sugar beet seed, of a kind used for sowing Seeds of forage plants of a kind used for sowing, not elsewhere specified or included Seeds of herbaceous plants cultivated principally for their flowers Cauliflower seeds of a kind used for sowing Celery seeds of a kind used for sowing Onion seeds of a kind used for sowing Parsley seeds of a kind used for sowing Pepper seeds of a kind used for sowing Vegetable seeds, nesi, of a kind used for sowing Tree and shrub seeds of a kind used for sowing Seeds, fruits and spores, of a kind used for sowing, nesi Hop cones, fresh or dried, neither ground, powdered nor in the form of pellets Hop cones, fresh or dried, ground, powdered or in the form of pellets;</w:t>
      </w:r>
    </w:p>
    <w:p>
      <w:pPr>
        <w:pStyle w:val="Normal"/>
        <w:widowControl/>
        <w:rPr/>
      </w:pPr>
      <w:r>
        <w:rPr/>
        <w:t>lupulin Ginseng roots, fresh or dried, whether or not cut, crushed or powdered Ginseng roots, frozen or chilled Coca leaf, of a kind used in perfumery, in pharmacy or for insecticidal, fungicidal or similar purposes Poppy straw, of a kind used in perfumery, in pharmacy or for insecticidal, fungicidal or similar purposes Ephedra Mint leaves, crude or not manufactured, of a kind used in perfumery, in pharmacy or for insecticidal, fungicidal or similar purposes Mint leaves nesi, of a kind used in perfumery, in pharmacy or for insecticidal, fungicidal or similar purposes Tonka beans, of a kind used in perfumery, in pharmacy or for insecticidal, fungicidal or similar purposes Plants, parts of</w:t>
      </w:r>
    </w:p>
    <w:p>
      <w:pPr>
        <w:pStyle w:val="Normal"/>
        <w:widowControl/>
        <w:rPr/>
      </w:pPr>
      <w:r>
        <w:rPr/>
        <w:t>plants (including seeds and fruits), used in perfumery, pharmacy, insecticidal, fungicidal or similar puproses, other, fresh or dried Plants, parts of plants (including seeds and fruits), used in perfumery, pharmacy, insecticidal, fungicidal or similar purposes, chilled or frozen Seaweeds and other algae, fresh, chilled, frozen or dried, whether or not ground, fit for human consumption Seaweeds and other algae, fresh, chilled, frozen or dried, whether or not ground, other than for human consumption Sugar beet, fresh, chilled, frozen or dried, whether or not ground Locust beans (carob) Sugar cane, fresh, chilled, frozen or dried, whether or not ground Chicory roots Nectarine stones and kernels of a kind used primarily for human consumption, not elsewhere specified or included Apricot, peach (other than nectarine) or plum stones and kernels used primarily for human consumption, not elsewhere specified or included Fruit stone &amp; kernel (not apricot/peach/plum) &amp; other vegetable products used primary human consumption, nesoi Cereal straw and husks, unprepared, whether or not chopped, ground, pressed or in the form of pellets Alfalfa</w:t>
      </w:r>
    </w:p>
    <w:p>
      <w:pPr>
        <w:pStyle w:val="Normal"/>
        <w:widowControl/>
        <w:rPr/>
      </w:pPr>
      <w:r>
        <w:rPr/>
        <w:t>(lucerne) meal and pellets Rutabagas, mangolds, fodder roots, hay, clover, sainfoin, kale, lupines, vetches &amp; forage products nesi Gum Arabic Turpentine gum (oleoresinous exudate from living trees) Lac,natural gums, resins, gum-resins and oleoresins (e.g., balsams), nesoi Saps and extracts of opium Saps and extracts of licorice Saps and extracts of</w:t>
      </w:r>
    </w:p>
    <w:p>
      <w:pPr>
        <w:pStyle w:val="Normal"/>
        <w:widowControl/>
        <w:rPr/>
      </w:pPr>
      <w:r>
        <w:rPr/>
        <w:t>hops Vegetable saps and extracts of ephedra Poppy straw extract Ginseng and other substances having prophylatic or therapeutic properties Vegetable saps and extracts nesoi Pectic substances, pectinates and pectates Agar-agar Mucilages and thickeners, whether or not modified, derived from locust beans, locust bean seeds or guar seeds Mucilages and thickeners derived from vegetable products other than locust beans, locust bean seeds or guar seeds, and excluding agar-agar Bamboos, of a kind used primarily for plaiting Rattans, in the rough or cut transversely into sections, of a kind used primarily for plaiting Rattans, other than those in the rough or cut transversely into sections, of a kind used primarily for plaiting Willow (osier), of a kind used primarily for plaiting Lime bark, raffia, reeds, rushes, cleaned, bleached or dyed cereal straw, other vegetable materials nesi, used primarily for plaiting Cotton linters Vegetable hair not elsewere specified or included Broomcorn (Sorghum vulgare var.</w:t>
      </w:r>
    </w:p>
    <w:p>
      <w:pPr>
        <w:pStyle w:val="Normal"/>
        <w:widowControl/>
        <w:rPr/>
      </w:pPr>
      <w:r>
        <w:rPr/>
        <w:t>technicum) of a kind used primarily in brooms or brushes Istle of a kind used primarily in brooms or brushes Piassava, couch-grass and other vegetable materials nesoi, of a kind used primarily in brooms or brushes Other vegetable materials nesoi Lard, other than heading 0209 or 1503 Other pig fat other than heading 0209 or 1503 Poultry fat, other than that of head 0209 or 1503 Fats of bovine animals, sheep or goats, other than those of heading 1503:</w:t>
      </w:r>
    </w:p>
    <w:p>
      <w:pPr>
        <w:pStyle w:val="Normal"/>
        <w:widowControl/>
        <w:rPr/>
      </w:pPr>
      <w:r>
        <w:rPr/>
        <w:t>tallow Fats of bovine animals, sheep or goats, other than those of heading 1503, other than tallow Lard stearin, lard oil, oleostearin, oleo-oil, and tallow oil, not emulsified or mixed or otherwise prepared Cod-liver oil and its fractions Fish-liver oils and their fractions, other than cod-liver oil and its fractions Cod oil and its fractions, other than liver oil Herring oil and its fractions, other than liver oil Fats and oils and their fractions, of fish other than cod and herring, excluding liver oil Fats and oils and their fractions, of marine mammals Wool grease, crude Fatty substances derived from wool grease (including lanolin) Animal fats and oils and their fractions nesi, whether or not refined, but not chemically modified Crude soybean oil, whether or not degummed Pharmaceutical grade soybean oil meeting FDA requirements for use in intravenous fat emulsions, valued over $5 per kg Soybean oil, other than crude, and its fractions, whether or not refined, but not chemically modified, nesi Crude peanut (ground-nut) oil</w:t>
      </w:r>
    </w:p>
    <w:p>
      <w:pPr>
        <w:pStyle w:val="Normal"/>
        <w:widowControl/>
        <w:rPr/>
      </w:pPr>
      <w:r>
        <w:rPr/>
        <w:t>Peanut (ground-nut) oil, other than crude, and its fractions, whether or not refined, but not chemically modified Virgin olive oil and its fractions, whether or not refined, not chemically modified, weighing with the immediate container under 18 kg Virgin olive oil and its fractions, whether or not refined, not chemically modified, weighing with the immediate container 18 kg or over Olive oil, other than virgin olive oil, and its fractions, not chemically modified, weighing with the immediate container under 18 kg Olive oil, other than virgin olive oil, and its fractions, not chemically modified, weighing with the immediate container 18 kg or over Olive oil, including blends, and their fractions, not chemically modified, rendered unfit for use as food Edible oil including blends, and their fractions, nesi, not chemically modified, weighing under 18 kg Edible oil including blends, and their fractions, nesi, not chemically modified, weighing 18 kg or over Palm oil, crude, and its fractions, whether or not refined, not chemically modified Palm oil, other than crude, and its</w:t>
      </w:r>
    </w:p>
    <w:p>
      <w:pPr>
        <w:pStyle w:val="Normal"/>
        <w:widowControl/>
        <w:rPr/>
      </w:pPr>
      <w:r>
        <w:rPr/>
        <w:t>fractions, whether or not refined, but not chemically modified Sunflower-seed or safflower oil, crude, and their fractions, whether or not refined, not chemically modified Sunflower seed or safflower oil, other than crude, and their fractions, whether or not refined, but not chemically modified Cottonseed oil, crude, and its fractions, whether or not gossypol has been removed Cottonseed oil, other than</w:t>
      </w:r>
    </w:p>
    <w:p>
      <w:pPr>
        <w:pStyle w:val="Normal"/>
        <w:widowControl/>
        <w:rPr/>
      </w:pPr>
      <w:r>
        <w:rPr/>
        <w:t>crude, and its fractions, whether or not refined, but not chemically modified Coconut (copra) oil, crude, and its fractions, not chemically modified Coconut (copra) oil, other than crude, and its fractions, whether or not refined, but not chemically modified Palm kernel or babassu oil, crude, and their fractions, not chemically modified Palm kernel oil or babassu oil, other than crude, and their fractions, whether or not refined, but not chemically modified Low erucic acid rapeseed or colza oil, crude, but not chemically modified Low erucic acid rapeseed or colza oil, other than crude, and their fractions, whether or not refined, but not chemically modified Rapeseed/colza (not low erucic) or mustard oil, for use in manufacture of rubber substitutes or lubricating oil, crude, not chem modified Rapeseed or colza (not low erucic acid) or mustard oil, crude, not chemically modified, nesoi Rapeseed/colza(not low erucic) or mustard oil, for use manufacture rubber substitute or lube oil,not crude,&amp; its fractions,not chem modified Denatured rapeseed or colza (not low erucic acid) or mustard oil,</w:t>
      </w:r>
    </w:p>
    <w:p>
      <w:pPr>
        <w:pStyle w:val="Normal"/>
        <w:widowControl/>
        <w:rPr/>
      </w:pPr>
      <w:r>
        <w:rPr/>
        <w:t>other than crude, and their fractions, whether or not refined, nesoi Rapeseed/colza (not low erucic) or mustard oil, other than crude, &amp; their fractions, whether or not refined, not chemically modified, nesoi Linseed oil, crude, and its fractions, not chemically modified Linseed oil, other than crude, and its fractions, whether or not refined, not chemically modified Corn (maize) oil, crude,</w:t>
      </w:r>
    </w:p>
    <w:p>
      <w:pPr>
        <w:pStyle w:val="Normal"/>
        <w:widowControl/>
        <w:rPr/>
      </w:pPr>
      <w:r>
        <w:rPr/>
        <w:t>and its fractions, not chemically modified Corn (maize) oil, other than crude, and its fractions, whether or not refined, not chemically modified Castor oil and its fractions, whether or not refined, but not chemically modified Sesame oil and its fractions, whether or not refined, not chemically modified Nut oils, whether or not refined, not chemically modified Jojoba oil and its fractions, whether or not refined, not chemically modified Fixed vegetable fats and oils and their fractions nesoi, whether or not refined, not chemically modified Animal fats and oils, partly or wholly hydrogenated, interesterified, reesterified or elaidinized, not further prepared Rapeseed oil, hydrogenated or hardened Vegetable fats and oils nesi, partly or wholly hydrogenated, interesterified, reesterified or elaidinized, not further prepared Margarine, excluding liquid margarine Edible artificial mixtures of products provided for in headings 1501 to 1515, cont. 5% or more by weight of soybean oil or fraction thereof Edible artificial mixtures of products provided for in headings 1501 to 1515, nesi Edible mixt. &amp; preps, dairy products described in add.</w:t>
      </w:r>
    </w:p>
    <w:p>
      <w:pPr>
        <w:pStyle w:val="Normal"/>
        <w:widowControl/>
        <w:rPr/>
      </w:pPr>
      <w:r>
        <w:rPr/>
        <w:t>US note 1 to Ch 4: subject to gen. note 15 of the HTS Edible mixt. &amp; preps, dairy products described in add. US note 1 to Ch 4: subject to add. US note 10 to Ch. 4 Edible mixt. &amp; preps, dairy products described in add. US note 1 to Ch 4: not subj. to gen. note 15 or add. US note 10 to Ch. 4 * Edible mixt. &amp; preps (ex. dairy products descr. in add.</w:t>
      </w:r>
    </w:p>
    <w:p>
      <w:pPr>
        <w:pStyle w:val="Normal"/>
        <w:widowControl/>
        <w:rPr/>
      </w:pPr>
      <w:r>
        <w:rPr/>
        <w:t>US note 1 to Ch.</w:t>
      </w:r>
    </w:p>
    <w:p>
      <w:pPr>
        <w:pStyle w:val="Normal"/>
        <w:widowControl/>
        <w:rPr/>
      </w:pPr>
      <w:r>
        <w:rPr/>
        <w:t>4), nesoi Linseed or flaxseed oil, and their fractions, boiled, oxidized, dehydrated, sulfurized, blown or otherwise chemically modified Animal or vegetable fats and oils, nesi, oxidized, dehydrated or otherwise chemically modified; inedible mixtures of fats and oils nesi Glycerol, crude; glycerol waters and glycerol lyes Vegetable waxes (other than triglycerides), whether or not refined or colored Bleached beeswax Insect waxes, other than bleached beeswax, and spermaceti, whether or not refined or colored Degras; residues resulting from the treatment of fatty substances or animal or vegetable waxes Pork sausages and similar products of pork, pork offal or blood; food preparations based on these products Sausages and similar products of beef, beef offal or blood; food preparations based on these products, in airtight containers Sausage and similar products of meats, meat offal or blood nesi;</w:t>
      </w:r>
    </w:p>
    <w:p>
      <w:pPr>
        <w:pStyle w:val="Normal"/>
        <w:widowControl/>
        <w:rPr/>
      </w:pPr>
      <w:r>
        <w:rPr/>
        <w:t>food preparations based on these products Homogenized preparations of prepared or preserved meat, meat offal or blood, put up for retail sale as food for infants or for dietetic purposes Homogenized preparations of prepared or preserved meat, meat offal or blood, put up for retail sale as food for children Prepared or preserved liver of goose Prepared or preserved liver of any animal other than of goose Prepared or preserved meat or meat offal of turkeys, nesi Prepared or preserved meat or meat offal of chickens, nesoi Prepared or preserved meat or meat offal of ducks,</w:t>
      </w:r>
    </w:p>
    <w:p>
      <w:pPr>
        <w:pStyle w:val="Normal"/>
        <w:widowControl/>
        <w:rPr/>
      </w:pPr>
      <w:r>
        <w:rPr/>
        <w:t>geese or guineas, nesoi Prepared or preserved pork ham and cuts thereof, containing cereals or vegetables Pork hams and cuts thereof, not containing cereals or vegetables, boned and cooked and packed in airtight containers Prepared or preserved pork hams and cuts thereof, not containing cereals or vegetables, nesi Pork shoulders and cuts thereof, boned and cooked and packed in airtight containers Prepared or preserved pork shoulders and cuts thereof, other than boned and cooked and packed in airtight containers Prepared or preserved pork offal, including mixtures Pork other than ham and shoulder and cuts thereof, not containing cereals or vegetables, boned and cooked and packed in airtight containers Prepared or preserved pork, not containing cereals or vegetables, nesi Prepared or preserved pork mixed with beef Prepared or preserved pork, nesi Prepared or preserved offal of bovine animals Corned beed in airtight containers Of bovine animals, cured or pickled, not corned beef, not in airtight containers Of bovine animals, other, in airtight containers Prepared or preserved meat of bovine animals, not</w:t>
      </w:r>
    </w:p>
    <w:p>
      <w:pPr>
        <w:pStyle w:val="Normal"/>
        <w:widowControl/>
        <w:rPr/>
      </w:pPr>
      <w:r>
        <w:rPr/>
        <w:t>containing cereals or vegetables, nesi Prepared or preserved meat of bovine animals, containing cereals or vegetables Prepared or preserved frog meat Prepared or preserved meat, meat offal or blood, whether or not canned, nesoi Clam juice Extracts and juices of meat, fish, crustaceans, molluscs or other aquatic invertebrates, other than clam juice Prepared or preserved salmon,</w:t>
      </w:r>
    </w:p>
    <w:p>
      <w:pPr>
        <w:pStyle w:val="Normal"/>
        <w:widowControl/>
        <w:rPr/>
      </w:pPr>
      <w:r>
        <w:rPr/>
        <w:t>whole or in pieces, but not minced, in oil, in airtight containers Prepared or preserved salmon, whole or in pieces, but not minced, other than in oil and in airtight containers Prepared or preserved herrings, whole or in pieces, but not minced, in oil, in airtight containers Herrings, whole or in pieces, but not minced, in tomato sauce, smoked or kippered, in immediate containers over 0.45 kg each Herrings prepared or preserved, whole or in pieces, but not minced, nesi Smoked sardines, in oil, not skinned nor boned, $1/kg or more in tin-plate containers, or $1.10/kg or more in other airtight containers Sardines, not smoked, sardinella, brisling or sprats, neither skinned nor boned, in oil, in airtight containers Sardines, sardinella, brisling or sprats, skinned or boned, in oil, in airtight containers Sardines, sardinella, brisling, sprats in containers with their contents under 225 g each, except those in oil and in airtight containers Sardines, sardinella and brisling or sprats (not in oil and airtight cont.), prepared or preserved, not minced, cont.</w:t>
      </w:r>
    </w:p>
    <w:p>
      <w:pPr>
        <w:pStyle w:val="Normal"/>
        <w:widowControl/>
        <w:rPr/>
      </w:pPr>
      <w:r>
        <w:rPr/>
        <w:t>225 g or more Tunas and skipjack, whole or in pieces, but not minced, in oil, in airtight containers Tunas and skipjack, not in oil, in airtight cont., n/o 7 kg, not of U.S. possessions, product within quota Tunas and skipjack, not in oil, in airtight containers, n/o 7 kg, not of U.S.</w:t>
      </w:r>
    </w:p>
    <w:p>
      <w:pPr>
        <w:pStyle w:val="Normal"/>
        <w:widowControl/>
        <w:rPr/>
      </w:pPr>
      <w:r>
        <w:rPr/>
        <w:t>possessions, over quota Tunas and skipjack, not in airtight containers, not in oil, in bulk or in immediate containers weighing with contents over 6.8 kg each Tunas and skipjack, not in airtight containers, not in bulk or in immediate containers weighing with contents over 6.8 kg each Bonito (Sarda spp.), in oil Bonito (Sarda spp.), not in oil Prepared or preserved mackerel, whole or in pieces, but not minced Anchovies, whole or in pieces but not minced, in oil, in airtight containers Prepared or preserved anchovies, whole or in pieces, not minced, not in oil, in immediate containers with their contents 6.8 kg or less ea.</w:t>
      </w:r>
    </w:p>
    <w:p>
      <w:pPr>
        <w:pStyle w:val="Normal"/>
        <w:widowControl/>
        <w:rPr/>
      </w:pPr>
      <w:r>
        <w:rPr/>
        <w:t>Prepared or preserved anchovies, whole or in pieces, but not minced, not in oil, nesi Prepared or preserved eels, whole or in pieces, but not minced, in airtight containers, not in oil Eel portions similar to fish sticks and like products of any size or shape, breaded, coated with batter, not cooked nor in oil Eel similar to fish sticks and like products of any size or shape, if breaded, coated with batter, cooked or in oil Prepared or preserved eel, in oil and in bulk or in immediate containers weighing over 7 kg each Prepared or preserved eel, whole or in pieces, but not minced, nesi Shark fins, not in oil, in airtight containters Shark fins, not in airtight containers Bonito, yellowtail and pollock, whole or in pieces, but not minced, in airtight containers, not in oil Other fish, excluding bonito, yellowtail and pollock, in airtight containers, not in</w:t>
      </w:r>
    </w:p>
    <w:p>
      <w:pPr>
        <w:pStyle w:val="Normal"/>
        <w:widowControl/>
        <w:rPr/>
      </w:pPr>
      <w:r>
        <w:rPr/>
        <w:t>oil Bonito, yellowtail and pollock, whole or in pieces, but not minced, in airtight containers, in oil Other fish, excluding bonito, yellowtail and pollock, in airtight containers, in oil Fish sticks and like products of any size or shape, fillets or other portions of fish, breaded, coated with batter, not cooked nor in oil Fish sticks and like products of any size or shape, fillets or other portions of fish, if breaded, coated with batter, cooked or in oil Prepared or preserved fish nesi, in oil and in bulk or in immediate containers weighing over 7 kg each Fish, whole or in pieces, but not minced, prepared or preserved, nesoi Products containing meat of crustaceans, molluscs or other aquatic invertebrates, prepared meals Fish pastes Fish balls, cakes and puddings, in oil Fish balls, cakes and puddings, not in oil, in immediate airtight containers, weighing with their contents not over 6.8 kg each Fish balls, cakes and puddings, not in oil, and in immediate nonairtight containers weighing with their contents not</w:t>
      </w:r>
    </w:p>
    <w:p>
      <w:pPr>
        <w:pStyle w:val="Normal"/>
        <w:widowControl/>
        <w:rPr/>
      </w:pPr>
      <w:r>
        <w:rPr/>
        <w:t>over 6.8 kg each Fish balls, cakes and puddings, not in oil, not in immediate containers, weighing with their contents not over 6.8 kg each Fish sticks and similar products of any size or shape, if breaded, coated with batter or similarly prepared, not cooked nor in oil Fish sticks and similar products of any size or shape, if breaded, coated with batter or similarly prepared, cooked or in oil Prepared or preserved fish, other than whole or in pieces, nesi Caviar</w:t>
      </w:r>
    </w:p>
    <w:p>
      <w:pPr>
        <w:pStyle w:val="Normal"/>
        <w:widowControl/>
        <w:rPr/>
      </w:pPr>
      <w:r>
        <w:rPr/>
        <w:t>Caviar substitutes prepared from fish eggs, boiled and in airtight containers Caviar substitutes prepared from fish eggs, nesi Crab products containing fish meat; prepared meals of crab Crabmeat, prepared or preserved, in airtight containers Crabmeat, prepared or preserved, other than in airtight containers Crabs, other than crabmeat, prepared or preserved Shrimp &amp; prawns not in airtight containers: fish meat and prepared meals Shrimp &amp; prawns not in airtight containers: other than fish meat and prepared meals Shrimp &amp; prawns in airtight containers: fish meat and prepared meals Shrimp &amp; prawns in airtight containers: other than fish meat and prepared meals Lobster products containing fish meat; prepared meals of lobster Lobster, prepared or preserved, not containing fish meat, nesi Crustacean products nesi, containing fish meat; prepared meals of crustaceans, nesi Crustaceans nesi, prepared or preserved, not containing fish meat, nesi Oysters, fish meat or prepared meals Smoked oysters Oysters, prepared or preserved, but not smoked Scallops, including queen scallops as containing fish meat;</w:t>
      </w:r>
    </w:p>
    <w:p>
      <w:pPr>
        <w:pStyle w:val="Normal"/>
        <w:widowControl/>
        <w:rPr/>
      </w:pPr>
      <w:r>
        <w:rPr/>
        <w:t>prepared meals Scallops, including queen scallops, prepared or preserved Mussels, containing fish meats or in prepared meals Mussels, prepared or preserved Cuttle fish and squid, as containing fish meat; prepared meals Cuttle fish and squid, prepared or preserved Octopus, as containing fish meat or prepared meals Octopus, prepared or preserved Products of clams, cockles, and arkshells</w:t>
      </w:r>
    </w:p>
    <w:p>
      <w:pPr>
        <w:pStyle w:val="Normal"/>
        <w:widowControl/>
        <w:rPr/>
      </w:pPr>
      <w:r>
        <w:rPr/>
        <w:t>containing fish meat; prepared meals Razor clams, in airtight containers, prepared or preserved, nesi Boiled clams in immediate airtight containers, the contents of which do not exceed 680 g gross weight Clams, prepared or preserved, excluding boiled clams, in immediate airtight containers, nesi Clams, prepared or preserved, other than in airtight containers Cockles and arkshells, prepared or preserved Products of abalone containing fish meat; prepared meals of abalone Abalone, prepared or preserved Products of snails, other than sea snails, containing fish meat; prepared meals of snails other than sea snails Prepared or preserved snails, other than sea snails Products of molluscs nesi containing fish meat; prepared meals of molluscs nesi Molluscs nesi, prepared or preserved Sea cucumbers, prepared or preserved Sea urchins, prepared or preserved Jelly fish, prepared or preserved Other aquatic invertebrates, nesi, prepared or preserved Beet sugar, raw, in solid form, w/o added flavoring or coloring, subject to gen. note 15 of the HTS Beet sugar, raw, in solid form, w/o added flavoring or coloring, subject to add.</w:t>
      </w:r>
    </w:p>
    <w:p>
      <w:pPr>
        <w:pStyle w:val="Normal"/>
        <w:widowControl/>
        <w:rPr/>
      </w:pPr>
      <w:r>
        <w:rPr/>
        <w:t>US 5 to Ch.17 Beet sugar, raw, in solid form, w/o added flavoring or coloring, nesoi, not subject to gen. note 15 or add. US 5 to Ch.17 * Cane sugar, raw, specified in subheading 2 to chapter 17, in solid form, w/o added flavoring or coloring, subject to gen.</w:t>
      </w:r>
    </w:p>
    <w:p>
      <w:pPr>
        <w:pStyle w:val="Normal"/>
        <w:widowControl/>
        <w:rPr/>
      </w:pPr>
      <w:r>
        <w:rPr/>
        <w:t>note 15 of the HTS Cane sugar, raw, specified in subheading 2 and subject to add’l note 5 to this chapter, in solid form, w/o added flavoring or coloring Cane sugar, raw, specified in subheading 2 to chapter 17, to be used for certain polyhydric alcohols Cane sugar, raw, specif in subhead 2 to chapt 17,solid, w/o added flavor or color, not subject gen. note 15 of the HTS or chapter note 5 * Other cane sugar, raw, in solid form, w/o added flavoring or coloring, subject to gen. note 15 of the HTS Other cane sugar, raw, in solid form, w/o added flavoring or coloring, subject to add. US 5 to Ch.17 Other cane sugar, raw, in solid form, to be used for certain polyhydric alcohols Other cane sugar, raw solid form, w/o flavoring or coloring, nesoi, not subject to gen. note 15 or add.</w:t>
      </w:r>
    </w:p>
    <w:p>
      <w:pPr>
        <w:pStyle w:val="Normal"/>
        <w:widowControl/>
        <w:rPr/>
      </w:pPr>
      <w:r>
        <w:rPr/>
        <w:t>US 5 to Ch.17 * Cane/beet sugar &amp; pure sucrose, refined, solid, w/added coloring but not flav., subject to gen. note 15 of the HTS Cane/beet sugar &amp; pure sucrose, refined, solid, w/added coloring but not flav., subject to add. US 5 to Ch.17 Cane/beet sugar &amp; pure sucrose, refined, solid, w/added coloring but not flav., not subject to gen. note 15 or add. US 5 to Ch.17 * Cane/beet sugar &amp; pure sucrose, refined, solid, w/added flavoring, o/65% by wt. sugar, descr. in Ch17 US note 2, subj. to gen nte 15 Cane/beet sugar &amp; pure sucrose, refined, solid, w/added flavoring, o/65% by wt. sugar, descr. in Ch17 US note 2, subj.</w:t>
      </w:r>
    </w:p>
    <w:p>
      <w:pPr>
        <w:pStyle w:val="Normal"/>
        <w:widowControl/>
        <w:rPr/>
      </w:pPr>
      <w:r>
        <w:rPr/>
        <w:t>to Ch17 US nte 7 Cane/beet sugar &amp; pure sucrose, refined, solid, w/added flavoring, o/65% by wt. sugar, descr. in Ch17 US note 2, not GN 15/Ch 17 US nte 7 * Cane/beet sugar &amp; pure sucrose, refined, solid, w/added flavoring, o/10% by wt. sugar, descr. in Ch17 US note 3, subj. to gen nte 15 Cane/beet sugar &amp; pure sucrose, refined, solid, w/added flavoring, o/10% by wt. sugar, descr. in Ch17 US note 3, subj. to Ch17 US nte 8 Cane/beet sugar &amp; pure sucrose, refined, solid, w/added flavoring, o/10% by wt. sugar, descr. in Ch17 US note 3, not GN15/Ch.17 US nte 8 * Cane/beet sugar &amp; pure sucrose, refined, solid, w/added flavoring, nesoi Cane/beet sugar &amp; pure sucrose, refined, solid, w/o added coloring or flavoring, subject to gen. note 15 of the HTS Cane/beet sugar &amp; pure sucrose, refined, solid, w/o added coloring or flavoring, subject to add. US 5 to Ch.17 Cane/beet sugar &amp; pure sucrose, refined, solid, w/o added coloring or flavoring, not subject to gen. note 15 or add.</w:t>
      </w:r>
    </w:p>
    <w:p>
      <w:pPr>
        <w:pStyle w:val="Normal"/>
        <w:widowControl/>
        <w:rPr/>
      </w:pPr>
      <w:r>
        <w:rPr/>
        <w:t>US 5 to Ch.17 * Lactose and lactose syrup containing by weight 99% or more lactose, calculated on the dry matter Lactose and lactose syrup containing by weight less than 99% lactose, calculated on the dry matter Maple syrup, blended, described in add. US note 4 to Ch.17: subject to gen. note 15 of the HTS Maple syrup, blended, described in add. US note 4 to Ch.17: subject to add. US note 9 to Ch.17 Maple syrup, blended, described in add. US note 4 to Ch.17: not subject to gen note 15 or add.</w:t>
      </w:r>
    </w:p>
    <w:p>
      <w:pPr>
        <w:pStyle w:val="Normal"/>
        <w:widowControl/>
        <w:rPr/>
      </w:pPr>
      <w:r>
        <w:rPr/>
        <w:t>US note 9 to Ch.17 * Maple sugar and maple syrup, nesi Glucose &amp; glucose syrup nt containing or containing in dry state less than 20% fructose; blended, see gen. note 15 of the schedule &amp; prov. Glucose &amp; glucose syrup nt containing or containing in dry state less than 20% fructose; blended, see add’l U.S. note 9 (chap. 17) &amp; Prov. Glucose &amp; glucose syrup not containing or containing in dry state less than 20% fructose; blended syrups (chap 17-note 4), nesoi * Glucose and glucose syrup, not containing fructose or in the dry state less than 20 percent by weight of fructose, nesi Blended syrup desc. in add’l U.S. note 4(chap.17) Contng in dry state 20%-50% by weight of fructose, see gen. note 15 of the HTS &amp; prov. Blended syrup desc. in add’l U.S. note 4(chap.17) Contng in dry state 20%-50% by weight of fructose, see add’l U.S. note 9 (chap.17) &amp; Prov.</w:t>
      </w:r>
    </w:p>
    <w:p>
      <w:pPr>
        <w:pStyle w:val="Normal"/>
        <w:widowControl/>
        <w:rPr/>
      </w:pPr>
      <w:r>
        <w:rPr/>
        <w:t>Blended syrup desc. in add’l U.S. note 4(chap.17) Contng in dry state 20%-50% by weight of fructose, nesoi * Glucose in solid form &amp; glucose syrup, containing in dry state at least 20% but less than 50% by weight of fructose, nesoi Chemically pure fructose Oth fructose &amp; fruc. syrup contng in dry state &gt;50% by wt. of fructose, blended syrup(see add’l U.S. note 4-chap 17) &amp; see gen. note 15 Oth fructose &amp; fruc. syrup contng in dry state &gt;50% by wt. of fructose, blended syrup(see add’l U.S. note 4-chap 17) &amp; see add’l U.S. note 9 Oth fructose &amp; fruc. syrup contng in dry state &gt;50% by wt. of fructose, blended syrup(see add’l U.S.</w:t>
      </w:r>
    </w:p>
    <w:p>
      <w:pPr>
        <w:pStyle w:val="Normal"/>
        <w:widowControl/>
        <w:rPr/>
      </w:pPr>
      <w:r>
        <w:rPr/>
        <w:t>note 4-chap 17), nesoi * Glucose and glucose syrup, w/50% or more fructose, other than blended syrups described in add. US note 4 to Ch.17 Cane/beet sugars &amp; syrups (incl. invert sugar); nesoi, w/soluble non-sugar solids 6% or less soluble solids, subj to GN 15 Cane/beet sugars &amp; syrups (incl. invert sugar); nesoi, w/soluble non-sugar solids 6% or less soluble solids, subj Ch17 US note 5 Cane/beet sugars &amp; syrups (incl. invert sugar); nesoi, w/soluble non-sugar solids 6% or less soluble solids, not subj to GN15/Ch17 US nte 5 * Invert molasses Other cane/beet syrups nesi Sugar syrups, artificial honey, caramel, nesoi, subject to gen. note 15 of the HTS Blended syrups described in add. US note 4 to chap. 17, nesoi, subject to add. US note 9 to Ch. 17 Blended syrups described in add. US note 4 to chap. 17, nesoi, not subject to add. US note 9 to Ch. 17 * Sugars nesoi w/o 65% by dry wt. sugar, described in add. U.S note 2 to Ch.17: and subj. to add. US note 7 to Ch.17 Sugars nesoi w/o 65% by dry wt. sugar, described in add. U.S note 2 to Ch.17: and not subj. to add.</w:t>
      </w:r>
    </w:p>
    <w:p>
      <w:pPr>
        <w:pStyle w:val="Normal"/>
        <w:widowControl/>
        <w:rPr/>
      </w:pPr>
      <w:r>
        <w:rPr/>
        <w:t>US note 7 to Ch.17 * Sugars and sugar syrups, and articles containing sugar, neosi Cane molasses imported for (a) the commercial extraction of sugar or (b) human consumption Cane molasses nesi Molasses, other than cane, imported for (a) the commercial extraction of sugar or (b) human consumption Molasses nesi Chewing gum, not containing cocoa, whether or not sugar-coated Candied nuts, not containing cocoa Sugar confectionary cough drops, not containing cocoa Sugar confections or sweetmeats ready for consumption, not containing cocoa, other than candied nuts or cough drops Sugar confectionery nesoi, not containing cocoa, subject to gen. note 15 of the HTS Sugar confectionery nesoi, w/o cocoa, dairy products subject to add. US note 1 to chap. 4: subject to add US note 10 to chapter 4 Sugar confectionery nesoi, w/o cocoa, dairy products subject to add. US note 1 to chap. 4: not subject to add US note 10 to chapter 4 * Sugar confectionery nesoi o/65% by dry wt. of sugar described in add. US note 2 to Ch. 17, w/o cocoa, subj. to add.</w:t>
      </w:r>
    </w:p>
    <w:p>
      <w:pPr>
        <w:pStyle w:val="Normal"/>
        <w:widowControl/>
        <w:rPr/>
      </w:pPr>
      <w:r>
        <w:rPr/>
        <w:t>US note 7 to Ch.17 Sugar confectionery nesoi o/65% by dry wt. of sugar described in add. US note 2 to Ch. 17, w/o cocoa, not subj. to Ch17 US note 7 * Sugar confectionery nesoi o/10% by dry wt. of sugar described in add. US note 3 to Ch. 17, w/o cocoa, subj. to add. US note 8 to Ch.17 Sugar confectionery nesoi o/10% by dry wt. of sugar described in add. US note 3 to Ch. 17, w/o cocoa, not subj.</w:t>
      </w:r>
    </w:p>
    <w:p>
      <w:pPr>
        <w:pStyle w:val="Normal"/>
        <w:widowControl/>
        <w:rPr/>
      </w:pPr>
      <w:r>
        <w:rPr/>
        <w:t>to Ch17 US note 8 * Sugar confectionery, w/o cocoa, nesoi Cocoa beans, whole or broken, raw or roasted Cocoa shells, husks, skins and other cocoa waste Cocoa paste, not defatted Cocoa paste, wholly or partly defatted Cocoa butter, fat and oil Cocoa powder, not containing added sugar or other sweetening matter Cocoa powder, sweetened, w/less than 65% by dry wt. sugar, subject to gen. note 15 of the HTS Cocoa powder, sweetened, w/less than 65% by dry wt. sugar, subject to add US note 1 to Ch. 18 Cocoa powder, sweetened, w/less than 65% by dry wt. sugar, not subject to gen note 15 or add US note 1 to Ch. 18 * Cocoa powder, o/65% but less than 90% by dry wt of sugar, subject to gen. note 15 of the HTS Cocoa powder, o/65% but less than 90% by dry wt of sugar, described in add US note 2 to Ch.17: subj. to add US note 7 to Ch.</w:t>
      </w:r>
    </w:p>
    <w:p>
      <w:pPr>
        <w:pStyle w:val="Normal"/>
        <w:widowControl/>
        <w:rPr/>
      </w:pPr>
      <w:r>
        <w:rPr/>
        <w:t>17 Cocoa powder, o/65% but less than 90% by dry wt of sugar, described in add US note 2 to Ch.17: not subj. to add US note 7 to Ch. 17 * Cocoa powder, sweetened, neosi, subject to add US note 1 to Ch. 18 Cocoa powder, sweetened, neosi, not subject to add US note 1 to Ch. 18 * Cocoa powder, o/90% by dry wt of sugar, subject to gen. note 15 of the HTS Cocoa powder, o/90% by dry wt of sugar, described in add US note 2 to Ch. 17: subject to add US note 7 to Ch. 17 Cocoa powder, o/90% by dry wt of sugar, described in add US note 2 to Ch. 17: not subject to add US note 7 to Ch. 17 * Cocoa powder, o/90% by dry wt of sugar, neosi, subject to add. US note 1 to Ch.</w:t>
      </w:r>
    </w:p>
    <w:p>
      <w:pPr>
        <w:pStyle w:val="Normal"/>
        <w:widowControl/>
        <w:rPr/>
      </w:pPr>
      <w:r>
        <w:rPr/>
        <w:t>18 Cocoa powder, o/90% by dry wt of sugar, neosi * Preparation consist wholly of ground cocoa beans, cont. n/o 32% butterfat and 60% sugar, in blocks or slabs 4.5 kg or more each Chocolate, ov 2kg, cont. milk solids, not in blocks 4.5 kg or more, subj. to gen. note 15 of the HTS Chocolate, ov 2kg, cont. milk solids, not in blocks 4.5 kg or more, subj. to add US note 2 to Ch. 18, not GN15, ov 5.5 pc bf Chocolate, ov 2kg, cont. milk solids, not in blocks 4.5 kg or more, not subj. Ch18 US note 2/GN15, ov 5.5 pc bf, less th 21% milk solids * Chocolate, ov 2kg, cont. milk solids, not in blocks 4.5 kg or more, not GN15, ov 5.5 pc bf ov 21% milk solids * Chocolate, ov 2kg, cont. milk solids, not in blocks 4.5 kg or more, not ov 5.5 pc bf, subj. to add US note 3 to Ch.</w:t>
      </w:r>
    </w:p>
    <w:p>
      <w:pPr>
        <w:pStyle w:val="Normal"/>
        <w:widowControl/>
        <w:rPr/>
      </w:pPr>
      <w:r>
        <w:rPr/>
        <w:t>18, not GN15 Chocolate, ov 2kg, cont. milk solids, not in blocks 4.5 kg or more, less than 21% milk solids, not subj. to Ch18 US note 3/GN15 * Chocolate, ov 2kg, cont. milk solids, not in blocks 4.5 kg or more, 21% or more milk solids, not GN15 * Chocolate, ov 2kg, cont. milk solids, not in blocks 4.5 kg or more, no milk solids, not GN15 Confectioners’ coatings &amp; other products, not less than 6.8% non-fat solids of the cocoa bean nib and not less than 15% vegetable fats Chocolate/oth preps with cocoa, ov 2kg but n/o 4.5 kg, o/65% by wt of sugar, subject to gen. note 15 of the HTS Chocolate/oth preps with cocoa, ov 2kg but n/o 4.5 kg, o/65% by wt of sugar, desc in add US nte 2 to Ch. 17: subj. to add note 7 to Ch.</w:t>
      </w:r>
    </w:p>
    <w:p>
      <w:pPr>
        <w:pStyle w:val="Normal"/>
        <w:widowControl/>
        <w:rPr/>
      </w:pPr>
      <w:r>
        <w:rPr/>
        <w:t>17 Chocolate/oth preps with cocoa, ov 2kg but n/o 4.5 kg, o/65% by wt of sugar, desc in Ch17 US nte 2, not subj. to Ch17 US note 7 * Chocolate/oth preps with cocoa, ov 2kg but n/o 4.5 kg, o/65% by wt of sugar, desc in add US nte 3 to Ch. 17: subj. to Ch17 US note 8 Chocolate/oth preps with cocoa, ov 2kg but n/o 4.5 kg, o/65% by wt of sugar, desc in add US nte 3 to Ch.</w:t>
      </w:r>
    </w:p>
    <w:p>
      <w:pPr>
        <w:pStyle w:val="Normal"/>
        <w:widowControl/>
        <w:rPr/>
      </w:pPr>
      <w:r>
        <w:rPr/>
        <w:t>17: not subj. to Ch17 US note 8 * Chocolate/oth preps with cocoa, ov 2kg but n/o 4.5 kg, o/65% by wt of sugar, neosi Chocolate/oth preps with cocoa, ov 2kg but n/o 4.5 kg, n/o 65% by wt of sugar, not in blocks 4.5 kg or more, subj to GN 15 Chocolate/oth preps with cocoa, ov 2kg but n/o 4.5 kg, (dairy prod. descr. in Ch.4 US note 1), n/o 65% sugar, subj to Ch.4 nte 10, not GN15 Chocolate/oth preps w/cocoa, o/2kg but n/o4.5 kg (dairy prod. of Ch4 US note 1), n/o 65% sugar, less th 21% milk solid, not GN15 * Chocolate/oth preps w/cocoa, o/2kg but n/o4.5 kg (dairy prod. of Ch4 US note 10), n/o 65% sugar, 21% or more milk solids, not GN15 * Low-fat chocoate crumb, n/o 65% by wt of sugar, ov 2kg but n/o 4.5 kg, subject to add US note 3 to Ch.</w:t>
      </w:r>
    </w:p>
    <w:p>
      <w:pPr>
        <w:pStyle w:val="Normal"/>
        <w:widowControl/>
        <w:rPr/>
      </w:pPr>
      <w:r>
        <w:rPr/>
        <w:t>18, not GN15 Low-fat chocolate crumb, n/o 65% by wt of sugar, ov 2kg but n/o 4.5 kg, less than 21% milk solids, not GN15, not subj to ch 18 US note 3 * Low-fat chocolate crumb, n/o 65% by wt of sugar, 21% or more milk solids, not ov 2kg, not GN15, not subj to ch 18 US note 3 * Blended syrups w/chocolate or cocoa, o/2kg but n/o 4.5 kg, n/o 65% sugar, descr in Ch17 US note 4, subj. to Ch17 US note 9, not GN15 Blended syrups w/chocolate or cocoa, o/2kg but n/o 4.5 kg, n/o 65% sugar, descr in Ch 17 US note 4, not subj. to Cha7 US note 9, not GN15 * Chocolate and preps w/cocoa, nesoi, o/2kg but n/o 4.5 kg, n/o 65% sugar, desc in Ch17 US note 3, subj.</w:t>
      </w:r>
    </w:p>
    <w:p>
      <w:pPr>
        <w:pStyle w:val="Normal"/>
        <w:widowControl/>
        <w:rPr/>
      </w:pPr>
      <w:r>
        <w:rPr/>
        <w:t>to Ch17 US note 8, not GN15 Chocolate and preps w/cocoa, neosi, o/2kg but n/o 4.5 kg, n/o 65% sugar, desc in Ch17 US note 3, not subj to Ch.17 US note 8, not GN15 * Chocolate and preps with cocoa, nesoi, ov 2kg but n/o 4.5 kg, n/o 65% sugar, nesoi Chocolate and other cocoa preparations, in blocks, slabs or bars, filled, not in bulk Chocolate, nt filled, in blocks/slabs/bars 2kg or less, subj. to GN15 Chocolate, nt filled, in blocks/slabs/bars 2kg or less, subj. to add US note 2 to Ch.</w:t>
      </w:r>
    </w:p>
    <w:p>
      <w:pPr>
        <w:pStyle w:val="Normal"/>
        <w:widowControl/>
        <w:rPr/>
      </w:pPr>
      <w:r>
        <w:rPr/>
        <w:t>18 Chocolate, not filled, less than 21% milk solids, &gt;5.5% butterfat, in blocks/slabs/bars 2kg or less * Chocolate, not filled, 21% or more milk solids, &gt;5.5% butterfat, in blocks/slabs/bars 2kg or less * Chocolate, not filled, in blocks/slabs/bars 2kg or less, subj. to add US note 3 to Ch.</w:t>
      </w:r>
    </w:p>
    <w:p>
      <w:pPr>
        <w:pStyle w:val="Normal"/>
        <w:widowControl/>
        <w:rPr/>
      </w:pPr>
      <w:r>
        <w:rPr/>
        <w:t>18 Chocolate, not filled, less than 21% milk solids, &lt;= 5.5% butterfat, in blocks/slabs/bars 2kg or less * Chocolate, not filled, 21% or more milk solids, &lt;=5.5% butterfat, in blocks/slabs/bars 2kg or less * Chocolate, not filled, w/o butterfat/milk solids, in blocks/slabs/bars 2kg or less Cocoa preps, not filled, in blocks, slabs or bars weighing 2 kg or less, subject to gen. note 15 of the HTS Cocoa preps, (dairy prod. of Ch4 US note 1), not filled, in blocks, slabs or bars, w/wt 2 kg or less, subj. to add.</w:t>
      </w:r>
    </w:p>
    <w:p>
      <w:pPr>
        <w:pStyle w:val="Normal"/>
        <w:widowControl/>
        <w:rPr/>
      </w:pPr>
      <w:r>
        <w:rPr/>
        <w:t>US note 10 to Ch 4 Cocoa preps, (dairy prod. of Ch4 US note 1), less than 21% milk solids, not filled, in blocks/slabs/bars, 2 kg or less, not Ch.4 US nte 10 * Cocoa preps, (dairy prod. of Ch4 US note 1), 21% or more milk solids, not filled, in blocks/slabs/bars, 2 kg or less, not Ch.4 US nte 10 * Cocoa preps, not filled, in blocks, slabs or bars weighing 2kg or less, Cocoa preps, not in blocks/slabs/bars, subj. to gen. note 15 of the HTS Cocoa preps, (dairy prod. descr. in add US note 1 to Ch.4), not in blocks, slabs or bars, subj. to add.</w:t>
      </w:r>
    </w:p>
    <w:p>
      <w:pPr>
        <w:pStyle w:val="Normal"/>
        <w:widowControl/>
        <w:rPr/>
      </w:pPr>
      <w:r>
        <w:rPr/>
        <w:t>US note 10 to Ch 4, not GN15 Cocoa preps, (dairy prod. descr. in add US note 1 to Ch.4), less than 21% milk solids, not in blocks, slabs or bars, not GN15 * Cocoa preps, (dairy prod. descr. in Ch4 US note 1), 21% or more milk solids, not in blocks, slabs or bars, not Ch4 USNote 10, not GN15 * Cocoa preps, o/5.5% butterfat by wt, not in blocks/slabs/bars, subj. to add US note 2 to Ch.</w:t>
      </w:r>
    </w:p>
    <w:p>
      <w:pPr>
        <w:pStyle w:val="Normal"/>
        <w:widowControl/>
        <w:rPr/>
      </w:pPr>
      <w:r>
        <w:rPr/>
        <w:t>18, not GN15 Cocoa preps, o/5.5% butterfat by wt, w/less than 21% milk solids, not in blocks/slabs/bars, not GN15 * Cocoa preps, o/5.5% butterfat by wt, 21% or more milk solids, not in blocks/slabs/bars, not GN15 * Cocoa preps, cont. milk solids, n/o 5.5% butterfat by wt, not in blocks/slabs/bars, subj. to add US note 3 to Ch. 18, not GN15 Cocoa preps, cont. milk solids, n/o 5.5% butterfat by wt, w/less than 21% milk solids, not blocks/slabs/bars, not Ch18 US note 3, not GN15 * Cocoa preps, cont. milk solids, n/o 5.5% butterfat by wt, 21% or more milk solids, not in blocks/slabs/bars, not Ch18 US note 3, not GN15 * Blended syrups w/chocolate or cocoa, nesoi, described in add US note 4 to Ch.17: subj. to add US note 9 to Ch. 17, not GN15 Blended syrups w/chocolate or cocoa, nesoi, described in add US note 4 to Ch.17: not subj. to add US note 9 to Ch. 17, not GN15 * Chocolate and preps w/cocoa, nesoi, o/65% by dry wt of sugar, described in add US note 2 to Ch.17: subj.</w:t>
      </w:r>
    </w:p>
    <w:p>
      <w:pPr>
        <w:pStyle w:val="Normal"/>
        <w:widowControl/>
        <w:rPr/>
      </w:pPr>
      <w:r>
        <w:rPr/>
        <w:t>to Ch17 US note 7, not GN15 Chocolate and preps w/cocoa, nesoi, o/65% by dry wt of sugar, described in add US note 2 to Ch.17: not subj to Ch17 US note 7, not GN15 * Chocolate and preps w/cocoa, nesoi, o/10% by dry wt of sugar, described in add US note 3 to Ch.17: subj to Ch17 US note 8, not GN15 Chocolate and preps w/cocoa, nesoi, o/10% by dry wt of sugar, described in add US note 3 to Ch.17: not subj to Ch17 US note 8, not GN15 * Chocolate and preps w/cocoa, nesoi, not put up for retail sale Preps for infant use, for retail sale, o/10% milk solids, subject to gen. note 15 Preps for infant use, infant formula containing Oligossaccharides and &gt;10% milk solid by weight, described in US note 2 Preps for infant use, infant formula containing Oligossaccharides and &gt; 10% milk solid by weight, nesoi * Pre[s for infant use containing &gt;10% milk solids, dairy products described in additional note 10 to chap:</w:t>
      </w:r>
    </w:p>
    <w:p>
      <w:pPr>
        <w:pStyle w:val="Normal"/>
        <w:widowControl/>
        <w:rPr/>
      </w:pPr>
      <w:r>
        <w:rPr/>
        <w:t>provisional Preps for infant use, containing &gt;10% weight of milk solids, dairy products described in additional note 1 to chapter 4, nesoi * Preps for infant use, containing &gt;10% by weight of milk solids, nesoi Preps for infant use, nesoi, described in general note 15 of USHTS and entered pursuant to its provisions Preps for infant use, nesoi, containing Oligosaccharides described in additional US note 2: provisional Preps for infant use, nesoi, formula containing Oligosaccharides, nesoi * Preps for infant use, nesoi, dairy products described in additional US note 10 to chatper</w:t>
      </w:r>
    </w:p>
    <w:p>
      <w:pPr>
        <w:pStyle w:val="Normal"/>
        <w:widowControl/>
        <w:rPr/>
      </w:pPr>
      <w:r>
        <w:rPr/>
        <w:t>4: provisional Preps for infant use, dairy products described in additional US note 1 to chapter 4 * Preps for infant use, nesoi Preps for young children, containing &gt;10% milk solids by weight, described in general note 15 of USHTS: provisional Preps suitable for young children, containing &gt;10% milk solids by weight, described in additional US note 10 to chapter 4 Preps for young children, dairy preps containing &gt; 10% by weight of milk solids, nesoi * Preps for young children, nesoi, described in general note 15: provisional Preps for young children, nesoi, described in additional US note 10 to chapter 4 Preps for young children, nesoi * Preps for young children, other excl dairy, described in general note 15 of USHTS and entered pursuant to its provisions Preps for young children, nesoi, described in additional US note 8 to chapter 17 and entered pursuant to its provisions Preps for young children, nesoi, containing &gt;10% by dry weight of sugar described in additional US note 3 to Chapter 17:</w:t>
      </w:r>
    </w:p>
    <w:p>
      <w:pPr>
        <w:pStyle w:val="Normal"/>
        <w:widowControl/>
        <w:rPr/>
      </w:pPr>
      <w:r>
        <w:rPr/>
        <w:t>provisional * Preps for young children, nesoi Mixes for bakers wares, o/25% butterfat, not retail, subject to gen. note 15 of the HTS Mixes for bakers wares (dairy prod. of Ch4 US note 1), o/25% by wt butterfat, not retail, subj. to add.</w:t>
      </w:r>
    </w:p>
    <w:p>
      <w:pPr>
        <w:pStyle w:val="Normal"/>
        <w:widowControl/>
        <w:rPr/>
      </w:pPr>
      <w:r>
        <w:rPr/>
        <w:t>US nte 10 to Ch.4, not GN15 Mixes for bakers wares (dairy prod. of Ch4 US note 1), o/25% by wt butterfat, not retail, not subj. to add.</w:t>
      </w:r>
    </w:p>
    <w:p>
      <w:pPr>
        <w:pStyle w:val="Normal"/>
        <w:widowControl/>
        <w:rPr/>
      </w:pPr>
      <w:r>
        <w:rPr/>
        <w:t>US nte 10 to Ch.4, not GN15 * Mixes for bakers wares, o/65% sugar, o/25% bf, not retail, descr in add US note 2 to Ch. 17: subj. to add. US nte 7 to Ch.17, not GN15 Mixes and doughs for the prep of bakers wares of heading 1905, containing over 25% by weight of butterfat, not put up for retail sale, nesoi * Mixes for bakers wares, o/25% bf, not retail, descr in add US note 1 to Ch. 19: subj. to add. US nte 3 to Ch.19, not GN15 Mixes for bakers wares, o/25% bf, not retail, descr in add US note 1 to Ch. 19: not subj. to add. US nte 3 to Ch.19, not GN15 * Mixes for bakers wares, o/25% bf, not retail, nesoi Mixes for bakers wares, n/o 25% bf, not retail, subject to gen. note 15 of the HTS Mixes for bakers wares (dairy prod. of Ch4 US note 1), n/o 25% bf, not retail, subj. to add.</w:t>
      </w:r>
    </w:p>
    <w:p>
      <w:pPr>
        <w:pStyle w:val="Normal"/>
        <w:widowControl/>
        <w:rPr/>
      </w:pPr>
      <w:r>
        <w:rPr/>
        <w:t>US nte 10 to Ch.4, not GN15 Mixes for bakers wares (dairy prod. of Ch4 US note 1), n/o 25% bf, not retail, not subj. to add. US nte 10 to Ch.4, not GN15 * Mixes for bakers wares, o/65% sugar, n/o 25% bf, not retail, descr in add US note 2 to Ch. 17: subj. to Ch17 US nte 7, not GN15 Mixes for bakers wares, o/65% sugar, n/o 25% bf, not retail, descr in add US note 2 to Ch. 17: not subj. to Ch17 US nte 7, not GN15 * Mixes for bakers wares, n/o 25% bf, not retail, descr in add US note 1 to Ch. 19: subj. to add. US nte 3 to Ch.19, not GN15 Mixes for bakers wares, n/o 25% bf, not retail, descr in add US note 1 to Ch. 19: not subj. to add.</w:t>
      </w:r>
    </w:p>
    <w:p>
      <w:pPr>
        <w:pStyle w:val="Normal"/>
        <w:widowControl/>
        <w:rPr/>
      </w:pPr>
      <w:r>
        <w:rPr/>
        <w:t>US nte 3 to Ch.19, not GN15 * Mixes for bakers wares, n/o 25% bf, not retail, nesoi Malt extract, fluid Malt extract, solid or condensed Puddings, ready for immediate consumption without further preparation Dry mix. w/less than 31% bf &amp; 17.5% or more sodium caseinate, bf, whey solids o/5.5% b’fat &amp; dry whole milk, n/cntng dry milk/whey/b’fat Cajeta not made from cow’s milk Margarine cheese subject to gen. note 15 of the HTS and entered pursuant to its provisions Margarine cheese subject to add. US note 23 to Ch. 4 and entered pursuant to its provisions Margarine cheese not subject to gen. note 15 or add US note 23 to Ch.</w:t>
      </w:r>
    </w:p>
    <w:p>
      <w:pPr>
        <w:pStyle w:val="Normal"/>
        <w:widowControl/>
        <w:rPr/>
      </w:pPr>
      <w:r>
        <w:rPr/>
        <w:t>4 * Malted milk described in general note 15 of USHTS and entered pursuant to its provisions Malted milk described in additional US note 10 to chapter 4: provisional Malted milk containing &gt;10% by weight of milk solids, nesoi * Articles of milk or cream, nesoi, preps containing &gt;10% by weight of milk solids, described in general note 15: provisional Articles of milk or cream, nesoi, preps containing &gt;10% by weight of milk solids, described in additional US note 10 to chapter 4 Articles of milk or cream, nesoi, preps containing &gt;10% by weight of milk solids, nesoi * Malted milk, nesoi, described in general note 15 of USHTS and entered pursuant to its provisions Articles of milk or cream, nesoi, containing &gt;65% by dry weight of sugar described in additional US note 7 to Chapter 17: provisional Articles of milk or cream, nesoi, containing &gt;65% by dry weight of</w:t>
      </w:r>
    </w:p>
    <w:p>
      <w:pPr>
        <w:pStyle w:val="Normal"/>
        <w:widowControl/>
        <w:rPr/>
      </w:pPr>
      <w:r>
        <w:rPr/>
        <w:t>sugar described in additional US note 2 to Chapter 17: provisional * Articles of milk or cream, nesoi, described I n additional US note 8 to chapter 17 and entered pursuant to its provisions Articles of milk or cream, nesoi, containing &gt;10% by dry weight of sugar described in additional US note 3 to chapter 17:</w:t>
      </w:r>
    </w:p>
    <w:p>
      <w:pPr>
        <w:pStyle w:val="Normal"/>
        <w:widowControl/>
        <w:rPr/>
      </w:pPr>
      <w:r>
        <w:rPr/>
        <w:t>provisional * Food preps, nesoi, containing &gt;5.5% by weight of butterfat and not packaged for retail sale, nesoi Flour-, meal-, starch-, malt extract- or dairy-based food preps not containing cocoa and not containing specific amounts of dairy, nesoi Uncooked pasta, not stuffed or otherwise prepared, containing eggs, exclusively pasta Uncooked pasta, not stuffed or otherwise prepared, containing eggs, nesi, including pasta packaged with sauce preparations Uncooked pasta, not stuffed or otherwise prepared, not containing eggs, exclusively pasta Uncooked pasta, not stuffed or otherwise prepared, not containing eggs, nesi, including pasta packaged with sauce preparations Stuffed pasta, whether or not cooked or otherwise prepared Pasta nesi Couscous, whether or not prepared Tapioca and substitutes prepared from arrowroot, cassava or sago, in the form of flakes, grains, pearls, siftings or in similar forms Tapioca and substitutes, prepared from starch nesi, in the form of flakes, grains, pearls, siftings or in similar forms Prepared foods obtained by the swelling or roasting of cereals or cereal products Prep food in airtght cont.,of unroast cereal flake/mixture of</w:t>
      </w:r>
    </w:p>
    <w:p>
      <w:pPr>
        <w:pStyle w:val="Normal"/>
        <w:widowControl/>
        <w:rPr/>
      </w:pPr>
      <w:r>
        <w:rPr/>
        <w:t>unroasted/roasted cereal flake/swelled cereal,no apricot/citrus/peach/pear Prepared foods obtained from unroasted cereal flakes or from mixtures of unroasted and roasted cereal flakes or swelled cereals, nesoi Bulgur wheat, in grain form or in form of flakes or other worked grain (except flour,groats &amp; meal), pre-cooked or otherwise prepared, nesoi Cereals,other than corn,in grain form or form flakes or other worked grain (not flour,groat &amp; meal), pre-cooked or otherwise prepared, nesoi Crispbread Gingerbread and the like Sweet biscuits Waffles and wafers Rusks, toasted bread and similar toasted products Bread, pastry, cake, biscuit and similar baked products nesi, and puddings whether or not containing chocolate, fruit, nuts or confectionery Bakers’ wares communion wafers, empty capsules suitable for pharmaceutical use, sealing wafers, rice paper and similar products, nesi Cucumbers including gherkins, prepared or preserved by vinegar or acetic acid Capers, prepared or preserved by vinegar or acetic acid, in immediate containers holding more than 3.4 kg Capers, prepared or preserved by vinegar or acetic acid, nesi Artichokes, prepared or preserved by vinegar or acetic</w:t>
      </w:r>
    </w:p>
    <w:p>
      <w:pPr>
        <w:pStyle w:val="Normal"/>
        <w:widowControl/>
        <w:rPr/>
      </w:pPr>
      <w:r>
        <w:rPr/>
        <w:t>acid Beans, prepared or preserved by vinegar or acetic acid Nopalitos, preserved by vinegar Onions, prepared or preserved by vinegar or acetic acid Pimientos, prepared or preserved by vinegar or acetic acid Vegetables (including olives) nesoi, prepared or preserved by vinegar or acetic acid Chestnuts, prepared</w:t>
      </w:r>
    </w:p>
    <w:p>
      <w:pPr>
        <w:pStyle w:val="Normal"/>
        <w:widowControl/>
        <w:rPr/>
      </w:pPr>
      <w:r>
        <w:rPr/>
        <w:t>or preserved by vinegar or acetic acid Mangoes, prepared or preserved by vinegar or acetic acid Chinese water chestnuts, prepared or preserved by vinegar or acetic acid Walnuts, prepared or preserved by vinegar or acetic acid Fruits, nuts, and other edible parts of plants, nesi, prepared or preserved by vinegar or acetic acid Tomatoes, whole or in pieces, prepared or preserved otherwise than by vinegar or acetic acid Tomato prep/pres ex by vinegar/acetic acid, powder Tomatoes prepared or preserved otherwise than by vinegar or acetic acid, nesoi Mushrooms of the genus Agaricus, prepared or preserved otherwise than by vinegar or acetic acid Truffles Mushrooms other than of the genus Agaricus or truffles, prepared or preserved otherwise than by vinegar or acetic acid Yellow (Solano) potatoes, prepared or preserved otherwise than by vinegar or acetic acid, frozen Potatoes (not Solano), prepared or preserved otherwise than by vinegar or acetic acid, frozen Antipasto, prepared or preserved otherwise than by vinegar or acetic acid, frozen Beans, prepared or preserved otherwise than by vinegar</w:t>
      </w:r>
    </w:p>
    <w:p>
      <w:pPr>
        <w:pStyle w:val="Normal"/>
        <w:widowControl/>
        <w:rPr/>
      </w:pPr>
      <w:r>
        <w:rPr/>
        <w:t>or acetic acid, frozen Vegetables and mixtures of vegetables, nesoi, prepared or preserved other than by vinegar or acetic acid, frozen, not preserved by sugar Homogenized vegetables, prepared or preserved otherwise than by vinegar or acetic acid, not frozen Potato preparations, prepared or preserved otherwise than by vinegar or acetic acid, not frozen Peas, prepared or preserved otherwise</w:t>
      </w:r>
    </w:p>
    <w:p>
      <w:pPr>
        <w:pStyle w:val="Normal"/>
        <w:widowControl/>
        <w:rPr/>
      </w:pPr>
      <w:r>
        <w:rPr/>
        <w:t>than by vinegar or acetic acid, not frozen Black-eye cowpeas, shelled, prepared or preserved otherwise than by vinegar or acetic acid, not frozen Beans other than black-eye cowpeas, shelled, prepared or preserved otherwise than by vinegar or acetic acid, not frozen Beans, not shelled, prepared or preserved otherwise than by vinegar or acetic acid, not frozen Asparagus, prepared or preserved otherwise than by vinegar or acetic acid, not frozen Olives, green, not pitted, in saline, ripe, in containers holding 13 kg or less, aggregate quantity not to exceed 730 m ton/yr Olives, green, not pitted, in saline, ripe, in containers holding 13 kg or less, aggregate quantity exceeding 730 m ton/yr Olives, green, not pitted, in saline, not ripe, in containers holding o/8 kg for repkg, subject to add. US note 4 to Ch. 20 Olives, green, not pitted, in saline, not ripe, in containers holding o/8 kg for repkg, not subject to add. US note 4 to Ch.</w:t>
      </w:r>
    </w:p>
    <w:p>
      <w:pPr>
        <w:pStyle w:val="Normal"/>
        <w:widowControl/>
        <w:rPr/>
      </w:pPr>
      <w:r>
        <w:rPr/>
        <w:t>20 Olives, green, not pitted, in saline, not ripe Olives, green, in saline, place packed, stuffed, in containers holding n/o 1 kg, aggregate quantity n/o 2700 m ton/yr Olives, green, in saline, place packed, stuffed, in containers holding n/o 1 kg, aggregate quantity o/2700 m ton/yr Olives, green, in saline, place packed, stuffed, not in containers holding 1 kg or less Olives, green, in a saline solution, pitted or stuffed, not place packed Olives (not green), in a saline solution, canned, not pitted Olives (not green), in a saline solution, canned, pitted Olives (not green), in a saline solution, in airtight containers of glass or metal but not canned Olives (not green), in a saline solution, not canned, nesi Olives, green, container less 13 kg, quota of 550 m tons/year, prepared or preserved otherwise than by vinegar/acetic acid, not in saline Olives, green, container less than 13 kg, exceed 550 m tons/year, prepared or preserved otherwise than by vinegar/acetic acid, not in saline Olives, prepared or preserved otherwise than by</w:t>
      </w:r>
    </w:p>
    <w:p>
      <w:pPr>
        <w:pStyle w:val="Normal"/>
        <w:widowControl/>
        <w:rPr/>
      </w:pPr>
      <w:r>
        <w:rPr/>
        <w:t>vinegar, acetic acid or saline soln, not frozen, nesoi Sweet corn, prepared or preserved otherwise than by vinegar, acetic acid or sugar, not frozen Bamboo shoots in airtight containers, prepared or preserved otherwise than by vinegar or acetic acid, not frozen, not preserved by sugar Bamboo shoots, not in airtight containers, prepared or preserved otherwise than by vinegar or acetic acid, not frozen, not preserved by sugar Carrots in airtight</w:t>
      </w:r>
    </w:p>
    <w:p>
      <w:pPr>
        <w:pStyle w:val="Normal"/>
        <w:widowControl/>
        <w:rPr/>
      </w:pPr>
      <w:r>
        <w:rPr/>
        <w:t>containers, prepared or preserved otherwise than by vinegar, acetic acid or sugar, not frozen Onions, prepared or preserved otherwise than by vinegar or acetic acid, not frozen Sauerkraut, prepared or preserved otherwise than by vinegar or acetic acid, not frozen Whole or Sliced water chestnuts, other than Chinese water chestnuts, prepared or preserved otherwise than by vinegar or acetic acid or sugar Pimientos, prepared or preserved otherwise than by vinegar or acetic acid, not frozen Fruits of the genus Capsicum or Pimenta, not pimientos, prepared or preserved otherwise than by vinegar or acetic acid, not frozen Artichokes, prepared or preserved otherwise than by vinegar or acetic acid, not frozen Chickpeas (garbanzos), prepared or preserved otherwise than by vinegar or acetic acid, not frozen Vegetables nesoi,&amp; mixtures of vegetables,prepared or preserved otherwise than by vinegar or acetic acid, not frozen, not preserved by sugar Cherries, preserved by sugar (drained, glace or crystallized) Ginger root, preserved by sugar (drained, glace or crystallized) Pineapples, preserved by sugar (drained, glace or crystallized) Mixtures of</w:t>
      </w:r>
    </w:p>
    <w:p>
      <w:pPr>
        <w:pStyle w:val="Normal"/>
        <w:widowControl/>
        <w:rPr/>
      </w:pPr>
      <w:r>
        <w:rPr/>
        <w:t>vegetables, fruit, nuts, fruit-peel or other parts of plants, preserved by sugar (drained, glace or crystallized) Citrus fruit or peel of citrus or other fruit, except mixtures, preserved by sugar (drained, glace or crystallized) Fruit nesi, and nuts, except mixtures, preserved by sugar (drained, glace or crystallized) Vegetables and parts of</w:t>
      </w:r>
    </w:p>
    <w:p>
      <w:pPr>
        <w:pStyle w:val="Normal"/>
        <w:widowControl/>
        <w:rPr/>
      </w:pPr>
      <w:r>
        <w:rPr/>
        <w:t>plants, nesoi, preserved by sugar (drained, glace or crystallized), except mixtures, Homogenized cooked preparations of fruit put up for retail sale as infant food or for dietetic purposes, in cont. not over 250 grams, net Citrus fruit pastes and purees, being cooked preparations Orange marmalade Citrus jams, fruit jellies, and marmalades (other than orange) Lingonberry and raspberry jams Strawberry jam Currant and other berry jams, nesi Apricot jam Cherry jam Guava jam Peach jam Pineapple jam Jams, nesi Apple, quince and pear pastes and purees, being cooked preparations Guava and mango pastes and purees, being cooked preparations Papaya pastes and purees, being cooked preparations Strawberry pastes and purees, being cooked preparations Fruit pastes and purees, nesi, and nut pastes and purees, being cooked preparations Currant and berry fruit jellies Fruit jellies, other than currant and berry Peanut butter and paste, subject to gen. note 15 of the HTS Peanut butter and paste, subject to add. US note 5 to Ch.</w:t>
      </w:r>
    </w:p>
    <w:p>
      <w:pPr>
        <w:pStyle w:val="Normal"/>
        <w:widowControl/>
        <w:rPr/>
      </w:pPr>
      <w:r>
        <w:rPr/>
        <w:t>20, not GN15 Peanut butter and paste, nesoi, not subject to gen note 15 or add US note 5 to Ch. 20 * Blanched peanuts, subject to gen. note 15 of the HTS Blanched peanuts, subject to add. US note 2 to Ch. 12, not GN15 Blanched peanuts, nesoi, not subject to gen note 15 or add US note 2 to Ch. 12 * Peanuts, otherwise prepared or preserved, nesoi, subject to gen. note 15 of the HTS Peanuts, otherwise prepared or preserved, nesoi, subject to add. US note 2 to chap.</w:t>
      </w:r>
    </w:p>
    <w:p>
      <w:pPr>
        <w:pStyle w:val="Normal"/>
        <w:widowControl/>
        <w:rPr/>
      </w:pPr>
      <w:r>
        <w:rPr/>
        <w:t>12, not GN15 Peanuts, otherwise prepared or preserved, nesoi, not subject to gen note 15 or add US note 2 to Ch.</w:t>
      </w:r>
    </w:p>
    <w:p>
      <w:pPr>
        <w:pStyle w:val="Normal"/>
        <w:widowControl/>
        <w:rPr/>
      </w:pPr>
      <w:r>
        <w:rPr/>
        <w:t>12 * Brazil nuts and cashew nuts, otherwise prepared or preserved, nesi Coconuts, otherwise prepared or preserved, nesi Filberts, otherwise prepared or preserved, nesi Pecans, otherwise prepared or preserved, nesi Pignolia and pistachio nuts, otherwise prepared or preserved, nesi Almonds, otherwise prepared or preserved, nesi Watermelon seeds, otherwise prepared or preserved, nesi Mixtures of nuts or other seeds otherwise prepared or preserved, nesi Other nuts and seeds nesi, excluding mixtures, otherwise prepared or preserved, nesi Pineapples, otherwise prepared or preserved, nesi Peel of oranges, mandarins, clementines, wilkings and similar citrus hybrids, otherwise prepared or preserved, nesi Peel of lemons, otherwise prepared or preserved, nesi Peel of citrus fruit, nesi, otherwise prepared or preserved, nesi Orange pulp, otherwise prepared or preserved, nesi Citrus fruit pulp other than orange, otherwise prepared or preserved, nesi Oranges (other than peel or pulp), otherwise prepared or preserved, nesi Satsumas, prepared or preserved, in airtight containers, aggregate quantity n/o 40,000 metric tons/calandar yr Satsumas, prepared or preserved, in airtight containers, aggregate quantity o/40,000 metric tons/calandar yr Mandarins (other than satsuma), prepared or preserved, nesoi Clementines, wilkings and similar citrus hybrids (other than peel or pulp),</w:t>
      </w:r>
    </w:p>
    <w:p>
      <w:pPr>
        <w:pStyle w:val="Normal"/>
        <w:widowControl/>
        <w:rPr/>
      </w:pPr>
      <w:r>
        <w:rPr/>
        <w:t>otherwise prepared or preserved, nesi Lemons (other than peel or pulp), otherwise prepared or preserved, nesi Limes (other than peel or pulp), otherwise prepared or preserved, not elsewhere specified or included Grapefruit (other than peel or pulp), otherwise prepared or preserved, nesi Kumquats (other than peel or pulp), otherwise prepared or preserved, nesi Citron (other than peel or pulp), otherwise prepared or preserved, nesi Citrus fruit nesoi (including bergamots), other than peel or pulp, otherwise prepared or preserved, nesoi Pears, otherwise prepared or preserved, nesi Apricot pulp, otherwise prepared or preserved, nesi Apricots, other than pulp, otherwise prepared or preserved, nesi Cherries, otherwise prepared or preserved, nesi Nectarines, otherwise prepared or preserved, not elsewhere specified or included Peaches (excluding nectarines), otherwise prepared or preserved, not elsewhere specified or included Strawberries, otherwise prepared or preserved, nesi Palm hearts, otherwise prepared or preserved, nesi Cranberries Mixtures of fruit or edible parts of plants, in airtight cont. excl. apricots, citrus, peaches or pears (incl.</w:t>
      </w:r>
    </w:p>
    <w:p>
      <w:pPr>
        <w:pStyle w:val="Normal"/>
        <w:widowControl/>
        <w:rPr/>
      </w:pPr>
      <w:r>
        <w:rPr/>
        <w:t>canned tropical fruit salad) Mixtures of fruit or other edible parts of plants, otherwise prepared or preserved, nesi (excluding tropical fruit salad) Apples, otherwise prepared or preserved, nesi Avocados, otherwise prepared or preserved, nesi Banana pulp, otherwise prepared or preserved, nesi Bananas, other than pulp, otherwise prepared or preserved, nesi Blueberries, otherwise prepared or preserved, nesi. Berries, other than cranberries, blueberries and strawberries, otherwise prepared or preserved, nesi Cashew apples, mameyes colorados, sapodillas, soursops and sweetsops, otherwise prepared or preserved, nesi Dates, otherwise prepared or preserved, nesi Figs, otherwise prepared or preserved, nesi Grapes, otherwise prepared or preserved, nesi Guavas, otherwise prepared or preserved, nesi Lychees and longans, otherwise prepared or preserved, nesi Mangoes, otherwise prepared or preserved, nesi Papaya pulp, otherwise prepared or preserved, nesi Papayas, other than pulp, otherwise prepared or preserved, nesi Plums (including prune plums and sloes), otherwise prepared or preserved, nesi Soybeans, otherwise prepared or preserved, nesi Sweet ginger, otherwise prepared or preserved, nesi Yucca, otherwise prepared or preserved, nesi Chinese water chestnuts, otherwise prepared or preserved, frozen, not elsewhere specified or included Chinese water chestnuts, otherwise prepared or preserved, not frozen, not elsewhere specified or included Pulp of fruit nesi, and other edible parts</w:t>
      </w:r>
    </w:p>
    <w:p>
      <w:pPr>
        <w:pStyle w:val="Normal"/>
        <w:widowControl/>
        <w:rPr/>
      </w:pPr>
      <w:r>
        <w:rPr/>
        <w:t>of plants nesi, excluding mixtures, otherwise prepared or preserved, nesi Bean cake, bean stick, miso, other fruit, nuts and other edible parts of plans, prepared or preserved Orange juice, frozen, unfermented and not containing added spirit Orange juice, not frozen, Brix value not exceed 20, not concentrate &amp; not made from juice degree concentration of 1.5 or &gt;, unfermented Orange juice, not frozen, of a Brix value not exceeding 20, concentrated, unfermented Orange juice, not frozen, of a Brix value exceeding 20, unfermented Grapefruit juice, Brix value not exceeding 20, not concentrated and not made from a juice degree of concentration of 1.5 or &gt;, unfermented Grapefruit juice, of a Brix value not exceeding 20, concentrated, unfermented Grapefruit juice, of a Brix value exceeding 20, unfermented Lime juice, of a Brix value not exceeding 20, unfit for beverage purposes, unfermented Lime juice, of a Brix value not exceeding 20, fit for beverage purposes, unfermented Citrus juice of any single citrus fruit (other than orange, grapefruit or lime), Brix value not</w:t>
      </w:r>
    </w:p>
    <w:p>
      <w:pPr>
        <w:pStyle w:val="Normal"/>
        <w:widowControl/>
        <w:rPr/>
      </w:pPr>
      <w:r>
        <w:rPr/>
        <w:t>exceeding 20, not concentrated, unfermented Citrus juice of any single citrus fruit (other than orange, grapefruit or lime), of a Brix value not exceeding 20, concentrated, unfermented Lime juice, of a Brix value exceeding 20, unfit for beverage purposes, unfermented Lime juice, of a Brix value exceeding 20, fit for beverage purposes, unfermented Citrus juice of any single citrus fruit (other than orange, grapefruit or</w:t>
      </w:r>
    </w:p>
    <w:p>
      <w:pPr>
        <w:pStyle w:val="Normal"/>
        <w:widowControl/>
        <w:rPr/>
      </w:pPr>
      <w:r>
        <w:rPr/>
        <w:t>lime), of a Brix value exceeding 20, unfermented Pineapple juice, of a Brix value not exceeding 20, not concentrated, or not having a degree of concentration of &gt; 3.5, unfermented Pineapple juice, of a Brix value not exceeding 20, concentrated (in degree of concentration greater than 3.5), unfermented Pineapple juice, of a Brix value exceeding 20, not concentrated, or not having a degree of concentration of &gt; 3.5, unfermented Pineapple juice, of a Brix value exceeding 20, concentrated (in degree of concentration greater than 3.5) Tomato juice, concentrated or not concentrated Grape juice (including grape must), of a Brix value not exceeding 30, unfermented Grape juice (including grape must), of a Brix value exceeding 30, unfermented Apple juice, of a Brix value not exceeding 20, unfermented Apple juice, of a Brix value exceeding 20, unfermented Cranberry juice, concentrated or not concentrated Pear juice, concentrated or not concentrated Prune juice, concentrated or not concentrated Juice of any other single fruit, nesi, (including cherries and berries), concentrated or not concentrated Juice of</w:t>
      </w:r>
    </w:p>
    <w:p>
      <w:pPr>
        <w:pStyle w:val="Normal"/>
        <w:widowControl/>
        <w:rPr/>
      </w:pPr>
      <w:r>
        <w:rPr/>
        <w:t>any single vegetable, other than tomato, concentrated or not concentrated Mixtures of vegetable juices, concentrated or not concentrated Mixtures of fruit juices, or mixtures of vegetable and fruit juices, concentrated or not concentrated Instant coffee, not flavored Extracts, essences and concentrates of coffee other than unflavored instant coffee Preparations with a basis of</w:t>
      </w:r>
    </w:p>
    <w:p>
      <w:pPr>
        <w:pStyle w:val="Normal"/>
        <w:widowControl/>
        <w:rPr/>
      </w:pPr>
      <w:r>
        <w:rPr/>
        <w:t>extracts, essences or concentrates or with a basis of coffee, subject to general note 15 (outside quota) Blend syrup (Ch17 add US note 4) preparation w/basis of extract,essence or concentrate or w/basis of coffee,subj. quota of Ch17 add US nte 9 Blend syrup (Ch17 add US note 4) preparation w/basis of extract, essence or concentrate or w/ basis of coffee, over Ch17 add US note 9 quota * Preparation ov 65% sugar (Ch17 add US nte 2) w/basis of extract,essence or concentrate or w/basis of coffee,subj. quota of Ch17 add US nte 7 Preparation ov 65% sugar (Ch17 add US note 2) w/ basis of extract, essence or concentrate or w/ basis of coffee, ov Ch17 add US note 9 quota * Preparation ov 10% sugar (Ch17 add US nte 3) w/basis of extract,essence or concentrate or w/basis of coffee,subj.</w:t>
      </w:r>
    </w:p>
    <w:p>
      <w:pPr>
        <w:pStyle w:val="Normal"/>
        <w:widowControl/>
        <w:rPr/>
      </w:pPr>
      <w:r>
        <w:rPr/>
        <w:t>quota of Ch17 add US nte 8 Preparation ov 10% sugar (Ch17 add US note 3) w/ basis of extract, essence or concentrate or w/ basis of coffee, ov Ch17 add US note 8 quota * Preparations nesoi, with a basis of extracts, essences or concentrates or with a basis of coffee Extracts, essences or concentrates of tea or mate Preparations with a basis of extracts, essences or concentrates or with a basis of tea or mate, subject to general note 15 (outside quota) Blend syrup (Ch17 add US nte 4) preparation w/basis extract/essence/concentrate or w/basis of tea or mate,subj.</w:t>
      </w:r>
    </w:p>
    <w:p>
      <w:pPr>
        <w:pStyle w:val="Normal"/>
        <w:widowControl/>
        <w:rPr/>
      </w:pPr>
      <w:r>
        <w:rPr/>
        <w:t>quota of Ch17 add US nte 9 Blend syrup (Ch17 add US note 4) preparation w/basis of extract/essence/concentrate or w/basis of tea or mate, over Ch17 add US note 9 quota * Preparation ov 65% sugar (Ch17 add US nte 2) w/basis extract/essence/concentrate or w/basis of tea or mate,subj. quota of Ch17 add US note 7 Preparation ov 65% sugar (Ch17 add US note 2) w/basis of extract/essence/concentrate or w/basis of tea or mate, ov Ch17 add US note 9 quota * Preparation ov 10% sugar (Ch17 add US nte 3) w/basis extract/essence/concentrate or w/basis of tea or mate,subj.</w:t>
      </w:r>
    </w:p>
    <w:p>
      <w:pPr>
        <w:pStyle w:val="Normal"/>
        <w:widowControl/>
        <w:rPr/>
      </w:pPr>
      <w:r>
        <w:rPr/>
        <w:t>quota of Ch17 add US note 8 Preparation ov 10% sugar (Ch17 add US note 3) w/basis of extract/essence/concentrate or w/basis of tea or mate, ov Ch17 add US note 8 quota * Preparations nesoi, with a basis of extracts, essences or concentrates or with a basis of tea or mate Roasted chicory and other roasted coffee substitutes and extracts, essences and concentrates thereof Active yeasts Inactive yeasts (except dried brewers’ yeast) Dried brewers’ yeast, crude Single-cell micro-organisms, dead, excluding yeasts, (but not including vaccines of heading 3002) Prepared baking powders Soy sauce Tomato ketchup Tomato sauces, nesi Mustard flour and meal Prepared mustard Sauces derived or prepared from fish Nonalcoholic preparations of yeast extract (other than sauces) Mixed condiments and mixed seasonings (described in add US note 3 to Ch.</w:t>
      </w:r>
    </w:p>
    <w:p>
      <w:pPr>
        <w:pStyle w:val="Normal"/>
        <w:widowControl/>
        <w:rPr/>
      </w:pPr>
      <w:r>
        <w:rPr/>
        <w:t>21), subject to gen.</w:t>
      </w:r>
    </w:p>
    <w:p>
      <w:pPr>
        <w:pStyle w:val="Normal"/>
        <w:widowControl/>
        <w:rPr/>
      </w:pPr>
      <w:r>
        <w:rPr/>
        <w:t>note 15 of the HTS Mixed condiments and mixed seasonings (described in add US note 3 to Ch. 21), subject to add. US note 8(a) to Ch.17, not GN15 Mixed condiments and mixed seasonings (described in add US note 3 to Ch. 21), not subject to gen note 15 or add. US note 8(a) to Ch.17 * Mixed condiments and mixed seasonings, not described in add US note 3 to Ch. 21 Sauces and preparations therefor, neosi Soups and broths and preparations therefor Homogenized composite food preps put up for retail sale for infants or for dietectic purposes Homogenized composite food preps put up for retail sale for young children Ice cream, whether or not w/cocoa, subject to gen. note 15 of the HTS Ice cream, whether or not w/cocoa, subject to add. US note 5 to Ch. 21, not GN15 Ice cream, whether or not containing cocoa, not subject to gen note 15 or add. US note 5 to Ch.21 * Edible ice (dairy prod. described in add US note 1 to Ch.</w:t>
      </w:r>
    </w:p>
    <w:p>
      <w:pPr>
        <w:pStyle w:val="Normal"/>
        <w:widowControl/>
        <w:rPr/>
      </w:pPr>
      <w:r>
        <w:rPr/>
        <w:t>4), subject to gen note 15 of the HTS Edible ice (dairy prod. described in add US note 1 to Ch. 4), subject to add US note 10 to Ch. 4, not GN15 Edible ice except ice cream, dairy products described in add’l U.S. note 1 to chap. 4, nesoi * Edible ice, except ice cream, not described in add US note 1 to Ch. 4, nesoi Protein concentrates and textured protein substances Food preps, nesoi, n/o 5.5% bf, mixed w/other ingred. if o/16% milk solids capable of being further proc., subj. to GN15 Food preps, nesoi, n/o 5.5% bf, mixed w/other ingred.</w:t>
      </w:r>
    </w:p>
    <w:p>
      <w:pPr>
        <w:pStyle w:val="Normal"/>
        <w:widowControl/>
        <w:rPr/>
      </w:pPr>
      <w:r>
        <w:rPr/>
        <w:t>if o/16% milk solids capable of being further proc., subj. to Ch4 US nte 10, not GN15 Food preps, nesoi, n/o 5.5% b’fat, mixed w/other ingredi., if o/16% milk solids by wt, capable of being further proc, bulk, nesoi, not GN15 * Compound alcoholic preparations of a kind used for the manufacture of beverages, over 20% weight alcohol but not over 0.5% vol alcohol Compound alcoholic preparations used in the manufacture of beverages, cont. over 20% not over 50% of alcohol by weight Compound alcoholic preparations of a kind used for the manufacture of beverages, containing over 50% of alcohol by weight Butter substitutes o/10% by wt of milk solids, o/45% butterfat, subject to gen. note 15 to the HTS Butter substitutes o/10% by wt of milk solids, o/45% butterfat, subject to add US note 14 to Ch.4, not GN15 Butter substitutes o/10% by wt of milk solids, o/45% butterfat, not subject to gen note 15 or add US note 14 to Ch.4 * Butter substitutes o/10% by wt of milk solids, n/o 45% butterfat, neosi Butter substitutes n/o 10% by wt of milk solids, o/45% butterfat, subject to gen.</w:t>
      </w:r>
    </w:p>
    <w:p>
      <w:pPr>
        <w:pStyle w:val="Normal"/>
        <w:widowControl/>
        <w:rPr/>
      </w:pPr>
      <w:r>
        <w:rPr/>
        <w:t>note 15 to the HTS Butter substitutes n/o 10% by wt of milk solids, o/45% butterfat, subject to add US note 14 to Ch.4, not GN15 Butter substitutes n/o 10% by wt of milk solids, o/45% butterfat, not subject to gen note 15 or add US note 14 to Ch.4 * Butter substitutes n/o 10% by wt of milk solids, n/o 45% butterfat, neosi Artificially sweetened cough drops Syrups from cane/beet sugar, neosi, w/added coloring but not added flavoring, subject to gen. note 15 of the HTS Syrups from cane/beet sugar, neosi, w/added coloring but not added flavoring, subject to add US note 5 to Ch. 17, not GN15 Syrups from cane/beet sugar, neosi, w/added coloring but not added flavoring, not subject to gen note 15 or add US note 5 to Ch.</w:t>
      </w:r>
    </w:p>
    <w:p>
      <w:pPr>
        <w:pStyle w:val="Normal"/>
        <w:widowControl/>
        <w:rPr/>
      </w:pPr>
      <w:r>
        <w:rPr/>
        <w:t>17 * Orange juice, fortified with vitamins or minerals Juice of any single fruit or vegetables juices (o/t orange), concentrated, fortified with vitamins or minerals Mixtures of fruit or vegetable juices, fortified with vitamins or minerals, nesoi, mixtures of juices in concentrated form Food preparations of gelatin, neosi Food preps, nesoi, o/10% by wt of milk solids, subject to gen. note 15 of the HTS Food preps, nesoi, o/10% by wt of milk solids, dairy prods, descr. in add US note 1 to Ch.4: subject to add US note 10 to Ch.4, not GN15 Food preps, nesoi, o/10% by wt of milk solids, dairy prods, descr. in add US note 1 to Ch.4: not subject to Ch4 US note 10, not GN15 * Blended syrups, neosi, o/10% milk solids, descr.</w:t>
      </w:r>
    </w:p>
    <w:p>
      <w:pPr>
        <w:pStyle w:val="Normal"/>
        <w:widowControl/>
        <w:rPr/>
      </w:pPr>
      <w:r>
        <w:rPr/>
        <w:t>in add US note 4 to Ch 17: subject to add US note 9 to Ch. 17, not GN15 Blended syrups, neosi, o/10% milk solids, descr. in add US note 4 to Ch 17: not subject to add US note 9 to Ch. 17, not GN15 * Food preps, nesoi, o/10% milk solids, o/65% sugar, descr. in add US note 2 to Ch.17, subject to add US note 7 to Ch. 17, not GN15 Food preps, nesoi, o/10% milk solids, o/65% sugar, descr. in add US note 2 to Ch.17, not subject to add US note 7 to Ch. 17, not GN15 * Food preps, nesoi, o/10% milk solids, o/10% sugar, descr. in add US note 3 to Ch.17, subject to add US note 8 to Ch. 17, not GN15 Food preps, nesoi, o/10% milk solids, o/10% sugar, descr. in add US note 3 to Ch.17, not subject to add US note 8 to Ch.</w:t>
      </w:r>
    </w:p>
    <w:p>
      <w:pPr>
        <w:pStyle w:val="Normal"/>
        <w:widowControl/>
        <w:rPr/>
      </w:pPr>
      <w:r>
        <w:rPr/>
        <w:t>17, not GN15 * Food preps, nesoi, o/10% milk solids, neosi Food preps, nesoi, n/o 10% by wt of milk solids, subject to gen. note 15 of the HTS Food preps, nesoi, n/o 10% by wt of milk solids, dairy prods, descr. in add US note 1 to Ch.4: subject to add US note 10 to Ch.4, not GN15 Food preps, nesoi, n/o 10% by wt of milk solids, dairy prods, descr. in add US note 1 to Ch.4: n/subject to add US note 10 to Ch. 4, n/GN15 * Blended syrups, neosi, n/o 10% milk solids, descr. in add US note 4 to Ch 17: subject to add US note 9 to Ch. 17, not GN15 Blended syrups, neosi, n/o/10% milk solids, descr. in add US note 4 to Ch 17: not subject to add US note 9 to Ch. 17, not GN15 * Food preps, nesoi, n/o 10% milk solids, o/65% sugar, descr.</w:t>
      </w:r>
    </w:p>
    <w:p>
      <w:pPr>
        <w:pStyle w:val="Normal"/>
        <w:widowControl/>
        <w:rPr/>
      </w:pPr>
      <w:r>
        <w:rPr/>
        <w:t>in add US note 2 to Ch.17, subject to add US note 7 to Ch. 17, not GN15 Food preps, nesoi, n/o 10% milk solids, o/65% sugar, descr. in add US note 2 to Ch.17, not subject to add US note 7 to Ch. 17, not GN15 * Food preps, nesoi, n/o 10% milk solids, o/10% sugar, descr. in add US note 3 to Ch.17, subject to add US note 8 to Ch. 17, not GN15 Food preps, nesoi, n/o 10% milk solids, o/10% sugar, descr. in add US note 3 to Ch.17, not subject to add US note 8 to Ch.</w:t>
      </w:r>
    </w:p>
    <w:p>
      <w:pPr>
        <w:pStyle w:val="Normal"/>
        <w:widowControl/>
        <w:rPr/>
      </w:pPr>
      <w:r>
        <w:rPr/>
        <w:t>17, not GN15 * Other food preps nesoi, incl preps for the manufacture of beverages, non-dairy coffee whiteners, herbal teas and flavored honey Mineral waters and aerated waters, not containing added sugar or other sweetening matter nor flavored Waters (incl. ice, snow and steam), ot/than mineral waters or aerated waters, not cont. added sugar or other sweetening matter nor flavored Waters, including mineral waters and aerated waters, containing added sugar or other sweetening matter or flavored Nonalcoholic beer Chocolate milk drink Milk-based drinks described in general note 15 of USHTS and entered pursuant to its provisions, nonalcoholic, nesoi Milk-based drinks described in additional US note 10 to chapter 4 and entered pursuant to its provisions, nonalcoholic, nesoi Milk-based drinks, nonalcoholic, nesoi * Orange juice, fortified with vitamins or minerals not made from a juice having a degree of concentration of &gt;=1.5 Orange juice fortified with vitamins or minerals, nesoi Juice of any single fruit or vegetable</w:t>
      </w:r>
    </w:p>
    <w:p>
      <w:pPr>
        <w:pStyle w:val="Normal"/>
        <w:widowControl/>
        <w:rPr/>
      </w:pPr>
      <w:r>
        <w:rPr/>
        <w:t>(except orange juice) fortified with vitamins or minerals, in nonconcentrated form Fruit or vegetable juices, fortified with vitamins or minerals, mixtures of juices in non- concentrated form Nonalcoholic beverages, nesoi, excluding fruit or vegetable juices of heading 2009 Beer made from malt Sparkling wine, made from grapes Effervescent grape wine, in containers holding 2 liters or less Tokay wine (not carbonated) not over 14% alcohol, in containers not over 2 liters Wine other than Tokay (not carbonated), not over 14% alcohol, in containers not over 2 liters “Marsala” wine, over 14% vol. alcohol, in containers holding 2 liters or less Grape wine, other than “Marsala”, not sparkling or effervescent, over 14% vol.</w:t>
      </w:r>
    </w:p>
    <w:p>
      <w:pPr>
        <w:pStyle w:val="Normal"/>
        <w:widowControl/>
        <w:rPr/>
      </w:pPr>
      <w:r>
        <w:rPr/>
        <w:t>alcohol, in containers holding 2 liters or less Wine of fresh grapes of an alcoholic strength by volume &lt;=14% in containers holding &lt;2 liters but not &gt;10 liters Wine of fresh grapes of an alcoholic strength by volume &gt;14%, in containers holding &lt;2 liters but not &gt;10 liters Wine of fresh grapes of an alcoholic strength by volume &lt;=14% in containers holding &gt;10 liters Wine of fresh grapes of an alcoholic strength by volume &gt;14% I n containers holding &gt;10 liters Wine of fresh grapes of an alcoholic strength by volume &lt;=14% in containers holding &gt;10 liters Wine of fresh grapes of an alcoholic strength by volume &gt;14% in containers holding &gt;10 liters Grape must, nesi, in fermentation or with fermentation arrested otherwise than by addition of alcohol Vermouth in</w:t>
      </w:r>
    </w:p>
    <w:p>
      <w:pPr>
        <w:pStyle w:val="Normal"/>
        <w:widowControl/>
        <w:rPr/>
      </w:pPr>
      <w:r>
        <w:rPr/>
        <w:t>containers holding 2 liters or less Wine of fresh grapes flavored with plants or aromatic substances, other than vermouth, in containers holding 2 liters or less Vermouth in containers each holding over 2 liters but not over 4 liters Vermouth in containers each holding over 4 liters Wine of fresh grapes flavored with plants or aromatic substances, other than vermouth, in containers holding over 2 liters Cider, fermented, whether still or sparkling Prune wine Rice wine or sake Effervescent wine, nesi Fermented beverages (other than grape wine, beer, cider, prune wine, sake, vermouth, or other effervescent wines) Undenatured ethyl alcohol of 80 percent vol. alcohol or higher, for beverage purposes Undenatured ethyl alcohol of 80 percent vol.</w:t>
      </w:r>
    </w:p>
    <w:p>
      <w:pPr>
        <w:pStyle w:val="Normal"/>
        <w:widowControl/>
        <w:rPr/>
      </w:pPr>
      <w:r>
        <w:rPr/>
        <w:t>alcohol or higher, for nonbeverage purposes Ethyl alcohol and other spirits, denatured, of any strength Pisco and singani Grape brandy, excluding pisco and singani, in containers not over 4 liters, not over $2.38/liter Grape brandy, excluding pisco and singani, in containers not over 4 liters, valued over $2.38 to $3.43/liter Grape brandy, excluding pisco and singani, in containers not over 4 liters, valued over $3.43/liter Grape brandy, excluding pisco and singani, in containers over 4 liters, not over $2.38/liter Grape brandy, excluding pisco and singani, in containers over 4 liters, over $2.38/liter Irish and Scotch whiskies Whiskies, other than Irish and Scotch whiskies Rum and tafia, in containers each holding not over 4 liters,</w:t>
      </w:r>
    </w:p>
    <w:p>
      <w:pPr>
        <w:pStyle w:val="Normal"/>
        <w:widowControl/>
        <w:rPr/>
      </w:pPr>
      <w:r>
        <w:rPr/>
        <w:t>valued not over $3/proof liter Rum and tafia, in containers each holding not over 4 liters, valued over $3/proof liter Rum and tafia, in containers each holding over 4 liters, valued not over $0.69/proof liter Rum and tafia, in containers each holding over 4 liters, valued over $0.69/proof liter Gin and Geneve Vodka, in containers each holding not over 4 liters, valued not over $2.05/liter Vodka, in containers each holding not over 4 liters, valued over $2.05/liter Vodka, in containers each holding over 4 liters Liqueurs and cordials Aquavit Bitters, not fit for use as beverages Bitters, fit for use as beverages Slivovitz brandy, valued not over $3.43/liter, in containers each holding not over 4 liters Slivovitz brandy, valued not over $3.43/liter, in containers each holding over 4 liters Slivovitz brandy, valued over $3.43/liter Brandy, except slivovitz, in containers each holding not over 4 liters, valued not over $2.38/liter Brandy, except grape brandy and slivovitz, in containers each holding not over 4 liters, valued over $2.38 but not over $3.43/liter</w:t>
      </w:r>
    </w:p>
    <w:p>
      <w:pPr>
        <w:pStyle w:val="Normal"/>
        <w:widowControl/>
        <w:rPr/>
      </w:pPr>
      <w:r>
        <w:rPr/>
        <w:t>Brandy, except grape brandy and slivovitz, in containers each holding not over 4 liters, valued over $3.43/liter Brandy, except grape brandy and slivovitz, in containers each holding over 4 liters, valued not over $2.38/liter Brandy, except grape brandy and slivovitz, in containers each holding over 4 liters, valued over $2.38/liter Kirschwasser and ratafia Tequila, in containers each holding not over 4 liters Tequila, in</w:t>
      </w:r>
    </w:p>
    <w:p>
      <w:pPr>
        <w:pStyle w:val="Normal"/>
        <w:widowControl/>
        <w:rPr/>
      </w:pPr>
      <w:r>
        <w:rPr/>
        <w:t>containers each holding over 4 liters Imitations of brandy and other spirituous beverages containing alcohol Mescal in containers each holding not over 4 liters Spirits nesi, fit for use as beverages or for beverage purposes Undenatured ethyl alcohol of an alcoholic strength by volume of less than 80 percent vol., nesi Vinegar and substitutes for vinegar obtained from acetic acid Flours, meals, and pellets, of meat or meat offal unfit for human consumption;</w:t>
      </w:r>
    </w:p>
    <w:p>
      <w:pPr>
        <w:pStyle w:val="Normal"/>
        <w:widowControl/>
        <w:rPr/>
      </w:pPr>
      <w:r>
        <w:rPr/>
        <w:t>greaves (cracklings) Flours, meals, and pellets, of fish or of crustaceans, molluscs or other aquatic invertebrates, unfit for human consumption Bran, sharps (middlings) and other residues, derived from the sifting, milling or other working of corn (maize) Bran, sharps (middlings) and other residues, derived from the sifting, milling or other working of wheat Bran, sharps (middlings) and other residues, derived from the sifting, milling or other working of cereals, excluding corn, rice and wheat Bran, sharps (middlings) and other residues, derived from the sifting, milling or other working of leguminous plants Residues of starch manufacture and similar residues Beet-pulp, bagasse and other waste of sugar manufacture Brewing or distilling dregs and waste Oilcake and other solid residues, resulting from the extraction of soybean oil Oilcake and other solid residues, resulting from the extraction of peanut (ground-nut) oil Oilcake and other solid residues, resulting from the extraction of vegetable fats or oils, of cotton</w:t>
      </w:r>
    </w:p>
    <w:p>
      <w:pPr>
        <w:pStyle w:val="Normal"/>
        <w:widowControl/>
        <w:rPr/>
      </w:pPr>
      <w:r>
        <w:rPr/>
        <w:t>seeds Oilcake and other solid residues, resulting from the extraction of vegetable fats or oils, of linseed Oilcake and other solid residues, resulting from the extraction of vegetable fats or oils, of sunflower seeds Oilcake and other solid residues, resulting from the extraction of vegetable fats or oils, of low erucic acid rape or colza seeds Oilcake and other solid residues, resulting from the extraction of vegetable fats/oils, of rape or colza seeds (other than low erucic acid) Oilcake and other solid residues, resulting from the extraction of vegetable fats or oils, of coconut or copra Oilcake and other solid residues, resulting from the extraction of vegetable fats or oils, of palm nuts or kernels Oilcake and other solid residues, resulting from the extraction of vegetable fats or oils, nesi Wine lees;</w:t>
      </w:r>
    </w:p>
    <w:p>
      <w:pPr>
        <w:pStyle w:val="Normal"/>
        <w:widowControl/>
        <w:rPr/>
      </w:pPr>
      <w:r>
        <w:rPr/>
        <w:t>argol Acorns and horse-chestnuts, of a kind used in animal feeding, not elsewhere specified or included Screenings, scalpings, chaff or scourings, ground or not ground of flaxseed (linseed), of a kind used in animal feeding, nesoi Dehydrated marigolds, of a kind used in animal feeding, not elsewhere specified or included Vegetable materials and vegetable waste, vegetable residues and byproducts, of a kind used in animal feeding, nesoi Dog or cat food, put up for retail sale Mixed feed or mixed feed ingredients used in animal feeding Animal feeds w/milk or milk derivatives, o/10% by wt of milk solids, subject to gen.</w:t>
      </w:r>
    </w:p>
    <w:p>
      <w:pPr>
        <w:pStyle w:val="Normal"/>
        <w:widowControl/>
        <w:rPr/>
      </w:pPr>
      <w:r>
        <w:rPr/>
        <w:t>note 15 of the HTS Animal feeds w/milk or milk derivatives, o/10% by wt of milk solids, subject to add note 2 to Ch. 23, not GN15 Animal feeds w/milk or milk derivatives, o/10% by wt of milk solids, not subject to gen note 15 or add note 2 to Ch. 23 * Animal feeds w/milk or milk derivatives, n/o 10% by wt of milk solids, subject to gen. note 15 of the HTS Animal feeds w/milk or milk derivatives, n/o 10% by wt of milk solids, subject to add note 2 to Ch. 23, not GN15 Animal feeds w/milk or milk derivatives, n/o 10% by wt of milk solids, not subject to gen note 15 or add note 2 to Ch.</w:t>
      </w:r>
    </w:p>
    <w:p>
      <w:pPr>
        <w:pStyle w:val="Normal"/>
        <w:widowControl/>
        <w:rPr/>
      </w:pPr>
      <w:r>
        <w:rPr/>
        <w:t>23 * Animal feeds containing egg, other than mixed feeds or mixed feed ingredients, not containing milk or milk derivatives Other preps nes with a basis of vitamin B12, for supplementing animal in animal feeding, not cont milk or egg prods Other preps nes of a kind used in animal feeding, not cont milk or egg prods Wrapper tobacco, not stemmed/stripped Tobacco (o/t wrapper tobacco), cont ov 35% wrapper tobacco, not stemmed/stripped Tobacco, not stemmed or stripped, not or not over 35% wrapper tobacco, oriental or turkish type, cigarette leaf Tobacco, not stemmed or stripped, not or not over 35% wrapper tobacco, oriental or turkish type, other than cigarette leaf Tobacco, not stemmed or stripped, not or not over 35% wrapper tobacco, cigar binder and filler Tobacco, not stemmed or stripped, not or not over 35% wrapper tobacco, flue-cured burley etc, not for cigarettes Tobacco, not stemmed or</w:t>
      </w:r>
    </w:p>
    <w:p>
      <w:pPr>
        <w:pStyle w:val="Normal"/>
        <w:widowControl/>
        <w:rPr/>
      </w:pPr>
      <w:r>
        <w:rPr/>
        <w:t>stripped, not or not over 35% wrapper tobacco, flue-cured burley, etc., described in addl US note 5 to chap 24 Tobacco, not stemmed or stripped, not or not over 35% wrapper tobacco, flue-cured burley, etc., other nesi Tobacco, not stemmed or stripped, not or not over 35% wrapper tobacco, not flue- cured burley, etc., other nesi Leaf tobacco, the product of two or more countries or dependencies, when mixed or packed together, partly or wholly stemmed, not threshed Wrapper tobacco, partly or wholly stemmed (stripped), not threshed or similarly processed Tobacco containing over 35% wrapper tobacco, partly or wholly stemmed (stripped), not threshed or similarly processed Tobacco, partly or wholly stemmed/stripped, n/threshed or similarly processed, not or n/over 35% wrapper, oriental or turkish, cigarette lea Tobacco, partly or wholly stemmed/stripped, n/threshed or similarly processed, not or n/over 35% wrapper, not cigarette leaf Tobacco, partly or wholly stemmed/stripped, n/threshed or similarly processed, not or n/over 35% wrapper, cigar binder and filler Tobacco, partly or wholly stemmed/stripped, n/threshed or similarly proc., not or n/over 35% wrapper, flue-cured burley etc, not for cigaret Tobacco, partly or wholly stemmed/stripped, n/threshed or similarly proc., not or n/over 35% wrapper, des.</w:t>
      </w:r>
    </w:p>
    <w:p>
      <w:pPr>
        <w:pStyle w:val="Normal"/>
        <w:widowControl/>
        <w:rPr/>
      </w:pPr>
      <w:r>
        <w:rPr/>
        <w:t>in addl US note 5 to ch.</w:t>
      </w:r>
    </w:p>
    <w:p>
      <w:pPr>
        <w:pStyle w:val="Normal"/>
        <w:widowControl/>
        <w:rPr/>
      </w:pPr>
      <w:r>
        <w:rPr/>
        <w:t>24 Tobacco, partly or wholly stemmed/stripped, n/threshed or similarly proc., not or n/over 35% wrapper, flue-cured burley etc, other nesi Tobacco, partly or wholly stemmed/stripped, n/threshed or similarly proc., not or n/over 35% wrapper, not flue-cured burley etc., other nesi Tobacco, partly or wholly stemmed (stripped), threshed or similarly processed, from cigar leaf Tobacco, partly or wholly stemmed/stripped, threshed or similarly processed, not from cigar leaf, oriental or turkish Tobacco, partly or wholly stemmed/stripped, threshed or similarly processed, not from cigar leaf, not oriental or turkish, not for cigarett Tobacco, partly or wholly stemmed/stripped, threshed or similarly processed, not from cigar leaf, described in addl US note 5 to chap 24 Tobacco, partly or wholly stemmed/stripped, threshed or similarly processed, not from cigar leaf, not oriental or turkish, other nesi Tobacco refuse, tobacco stems, not cut, ground or pulverized Tobacco refuse, from cigar leaf, tobacco stems, cut, ground or pulverized Tobacco refuse, from cigar leaf, other than tobacco stems Tobacco refuse, from oriental or turkish type,</w:t>
      </w:r>
    </w:p>
    <w:p>
      <w:pPr>
        <w:pStyle w:val="Normal"/>
        <w:widowControl/>
        <w:rPr/>
      </w:pPr>
      <w:r>
        <w:rPr/>
        <w:t>tobacco stems, not cut, ground or pulverized Tobacco refuse, from oriental or turkish type, tobacco stems, cut, ground or pulverized Tobacco refuse, from oriental or turkish type, other than tobacco stems Tobacco refuse, from other tobacco, other than for cigarettes, tobacco stems, not cut, ground or pulverized Tobacco refuse, from other tobacco,</w:t>
      </w:r>
    </w:p>
    <w:p>
      <w:pPr>
        <w:pStyle w:val="Normal"/>
        <w:widowControl/>
        <w:rPr/>
      </w:pPr>
      <w:r>
        <w:rPr/>
        <w:t>other than for cigarettes, tobacco stems, cut, ground or pulverized Tobacco refuse, from other tobacco, other than for cigarettes,tother than tobacco stems Tobacco refuse, from other tobacco, for cigarettes, described in addl US note 5 to chap 24, tobacco stems, not cut, ground or pulverized Tobacco refuse, from other tobacco, for cigarettes, described in addl US note 5 to chap 24, tobacco stems, cut, ground or pulverized Tobacco refuse, from other tobacco, for cigarettes, described in addl US note 5 to chap 24, not tobacco stems Tobacco refuse, from other tobacco, for cigarettes, other nesi Cigars, cheroots and cigarillos containing tobacco, each valued less than 15 cents Cigars, cheroots and cigarillos containing tobacco, each valued 15 cents or over but less than 23 cents Cigars, cheroots and cigarillos containing tobacco, each valued 23 cents or over Cigarettes containing tobacco and clove Cigarettes containing tobacco but not containing clove, paper-wrapped Cigarettes containing tobacco, nesi Cigars, cheroots and cigarillos and cigarettes of tobacco substitutes Water pipe tobacco, whether or not containing tobacco</w:t>
      </w:r>
    </w:p>
    <w:p>
      <w:pPr>
        <w:pStyle w:val="Normal"/>
        <w:widowControl/>
        <w:rPr/>
      </w:pPr>
      <w:r>
        <w:rPr/>
        <w:t>substitutes Smoking tobacco, whether or not containing tobacco substitutes, prepared for marketing directly to consumer as packaged Smoking tobacco, other than for water pipes, whether or not containing tobacco subst, other, to be used in products other than cigarettes Smoking tobacco, not water pipe, whether or not containing substitutes, other, to be used in</w:t>
      </w:r>
    </w:p>
    <w:p>
      <w:pPr>
        <w:pStyle w:val="Normal"/>
        <w:widowControl/>
        <w:rPr/>
      </w:pPr>
      <w:r>
        <w:rPr/>
        <w:t>cigarettes, in addl US note 5 to chapter Smoking tobacco, not water pipe, whether or not containing substitutes, other, to be used in cigarettes, other nesi “Homogenized” or “reconstituted” tobacco suitable for use as wrapper tobacco “Homogenized” or “reconstituted” tobacco, not suitable for use as wrapper tobacco, to be used in products other than cigarettes “Homogenized” or “reconstituted” tobacco, not suitable for use as wrapper tobacco, to be used in cigarettes, des. in addl US note 5 to chap “Homogenized” or “reconstituted” tobacco, not suitable for use as wrapper tobacco, to be used in cigarettes, other nesi Other manufactured tobacco, tobacco substitutes, tobacco extracts or essences, prepared for marketing directly to consumer as packaged Other manufactured tobacco, tobacco substitutes, tobacco extracts or essences, other, to be used in products other than cigarettes Other manufactured tobacco, tobacco substitutes, tobacco extracts or essences, to be used in cigarettes, described in addl US note 5 to chap Other manufactured tobacco, tobacco substitutes, tobacco extracts or essences, other, to be used in cigarettes, other nesi Salt &amp; pure sodium chloride, whether or not in aqueous solution or cont.</w:t>
      </w:r>
    </w:p>
    <w:p>
      <w:pPr>
        <w:pStyle w:val="Normal"/>
        <w:widowControl/>
        <w:rPr/>
      </w:pPr>
      <w:r>
        <w:rPr/>
        <w:t>added anticaking or free-flowing agents;</w:t>
      </w:r>
    </w:p>
    <w:p>
      <w:pPr>
        <w:pStyle w:val="Normal"/>
        <w:widowControl/>
        <w:rPr/>
      </w:pPr>
      <w:r>
        <w:rPr/>
        <w:t>sea water Iron pyrites, unroasted Sulfur of all kinds, other than sublimed, precipitated and colloidal sulfur Natural graphite, crystalline flake (not including flake dust) Natural graphite in powder or flakes (other than crystalline flake) Natural graphite, other than in powder or in flakes Natural silica and quartz sands, containing by weight 95% or more of silica and not more than 0.6% of oxide of iron Natural silica and quartz sands, nesoi Natural sands, other than silica or quartz sands and other than metal-bearing sands of chapter 26 Quartz (other than natural sands) Quartzite Kaolin and other kaolinic clays, whether or not calcined Bentonite clay, whether or not calcined Fire-clay, whether or not calcined Clays, (not including expanded clays of heading 6806), nesoi, whether or not calcined Andalusite, kyanite and sillimanite, whether or not calcined Mullite Chamotte or dinas earths Chalk, crude Chalk, other than crude Natural calcium phosphates, natural aluminum calcium phosphates and phosphatic chalk, unground Natural calcium phosphates, natural aluminum calcium phosphates and phosphatic chalk, ground Natural barium sulfate</w:t>
      </w:r>
    </w:p>
    <w:p>
      <w:pPr>
        <w:pStyle w:val="Normal"/>
        <w:widowControl/>
        <w:rPr/>
      </w:pPr>
      <w:r>
        <w:rPr/>
        <w:t>(barytes), ground Natural barium sulfate (barytes), not ground Natural barium carbonate (witherite), whether or not calcined Siliceous fossil meals and similar siliceous earths, whether or not calcined, of an apparent specific gravity of 1 or less Pumice Emery;</w:t>
      </w:r>
    </w:p>
    <w:p>
      <w:pPr>
        <w:pStyle w:val="Normal"/>
        <w:widowControl/>
        <w:rPr/>
      </w:pPr>
      <w:r>
        <w:rPr/>
        <w:t>natural corundum, nat. garnet and other nat.</w:t>
      </w:r>
    </w:p>
    <w:p>
      <w:pPr>
        <w:pStyle w:val="Normal"/>
        <w:widowControl/>
        <w:rPr/>
      </w:pPr>
      <w:r>
        <w:rPr/>
        <w:t>abrasives, whether or not heat- treated, all the foregoing crude or in irregular pieces Emery; natural corundum, nat. garnet and other nat. abrasives, whether or not heat- treated, all the foregoin not crude or irregular pieces Slate, whether or not roughly trimmed or merely cut into blocks or slabs of a rectangular (including square) shape Marble and travertine, crude or roughly trimmed Marble, merely cut into blocks or slabs of a rectangular (including square) shape Travertine, merely cut into blocks or slabs of a rectangular (including square) shape Calcareous monument.or build.stone (o/than marble/traver.) of spec. gravity &gt;=2.5 &amp; alabaster, crude, rough, trimmed or cut blocks or slabs Granite, crude or roughly trimmed Granite, merely cut into blocks or slabs of a rectangular (including square) shape Sandstone, crude or roughly trimmed Sandstone, merely cut into blocks or slabs of a rectangular (including square) shape Porphyry, basalt and other monument. or build. stone (except granite/sandstone), crude or roughly trimmed or cut into rect. blocks/slabs Pebbles, gravel, broken or crushed stones, for concrete aggregates, road metalling, ballast, shingle or flint, whether o/not heat-treated Macadam of slag, dross or similar industrial waste, whether or not incorporating pebbles, gravel, etc.</w:t>
      </w:r>
    </w:p>
    <w:p>
      <w:pPr>
        <w:pStyle w:val="Normal"/>
        <w:widowControl/>
        <w:rPr/>
      </w:pPr>
      <w:r>
        <w:rPr/>
        <w:t>Tarred macadam Granules, chippings and powder of marble, whether or not heat-treated Granules, chippings and powder, of travertine/calcareous monument.</w:t>
      </w:r>
    </w:p>
    <w:p>
      <w:pPr>
        <w:pStyle w:val="Normal"/>
        <w:widowControl/>
        <w:rPr/>
      </w:pPr>
      <w:r>
        <w:rPr/>
        <w:t>or build.stone (except marble)/granite/porphyry/basalt/sandstone etc.</w:t>
      </w:r>
    </w:p>
    <w:p>
      <w:pPr>
        <w:pStyle w:val="Normal"/>
        <w:widowControl/>
        <w:rPr/>
      </w:pPr>
      <w:r>
        <w:rPr/>
        <w:t>Dolomite, not calcined, whether or not or roughly trimmed or merely cut into blocks or slabs of a rectangular (including square) shape Dolomite, calcined, whether or not roughly trimmed or merely cut into blocks or slabs of a rectangular (including square) shape Agglomerated dolomite (including tarred dolomite) Natural magnesium carbonate (magnesite) Fused magnesia; dead-burned (sintered) magnesia, whether or not cont. small quant. of other oxides added before sintering Caustic calcined magnesite Magnesium oxide, nesi, whether or not pure Gypsum; anhydrite Plasters (of calcined gypsum or calcium sulfate), whether or not colored, with or without small quantities of accelerators or retarders Limestone flux;</w:t>
      </w:r>
    </w:p>
    <w:p>
      <w:pPr>
        <w:pStyle w:val="Normal"/>
        <w:widowControl/>
        <w:rPr/>
      </w:pPr>
      <w:r>
        <w:rPr/>
        <w:t>limestone and other calcareous stone, of a kind used for the manufacture of lime or cement Quicklime (other than calcium oxide and hydroxide of heading 2825) Slaked lime (other than calcium oxide and hydroxide of heading 2825) Hydraulic lime (other than calcium oxide and hydroxide of heading 2825) Clinkers of portland, aluminous, slag, supersulfate and similar hydraulic cements Portland cement (white cement), whether or not artificially colored Portland cement (other than white cement), whether or not colored Aluminous cement, whether or not colored Slag cement, supersulfate cement and other hydraulic cements, nesoi, whether or not colored Crocidolite Asbestos other than crocidolite Mica, crude or rifted</w:t>
      </w:r>
    </w:p>
    <w:p>
      <w:pPr>
        <w:pStyle w:val="Normal"/>
        <w:widowControl/>
        <w:rPr/>
      </w:pPr>
      <w:r>
        <w:rPr/>
        <w:t>into sheets or splittings Mica, powder Mica, waste Steatite, natural n/crushed or powdered, whether or not roughly trimmed or cut into rect. blocks or slabs; talc n/crushed or powdered Steatite, natural; talc; the foregoing crushed or powdered Borates, natural and conc., but n/incl. borates from nat. brine; nat. boric acid w/not over 85% H3B03 by dry weight Feldspar Fluorspar, containing by weight 97 percent or less of calcium fluoride Fluorspar, containing by weight more than 97 percent of calcium fluoride Leucite; nepheline and nepheline syenite Vermiculite, perlite and chlorites, unexpanded Kieserite Epsom salts (natural magnesium sulfates) Natural cryolite;</w:t>
      </w:r>
    </w:p>
    <w:p>
      <w:pPr>
        <w:pStyle w:val="Normal"/>
        <w:widowControl/>
        <w:rPr/>
      </w:pPr>
      <w:r>
        <w:rPr/>
        <w:t>natural chiolite Natural micaceous iron oxides Other mineral substances, not elsewhere specified or included Iron ores and concentrates (other than roasted iron pyrites), not agglomerated Iron ores and concentrates (other than roasted iron pyrites), agglomerated Roasted iron pyrites Manganese ores and concentrates including ferruginous manganese ores &amp; concentrates with manganese content over 20% calculated on dry weight Copper ores and concentrates Nickel ores and concentrates Cobalt ores and concentrates Aluminum ores and concentrates Lead ores and concentrates Zinc ores and concentrates Tin ores and concentrates Chromium ores and concentrates Tungsten ores Tungsten concentrates Uranium ores and concentrates Thorium ores and concentrates Molybdenum ores and concentrates, roasted Molybdenum ores and concentrates, not</w:t>
      </w:r>
    </w:p>
    <w:p>
      <w:pPr>
        <w:pStyle w:val="Normal"/>
        <w:widowControl/>
        <w:rPr/>
      </w:pPr>
      <w:r>
        <w:rPr/>
        <w:t>roasted Synthetic rutile Titanium ores and concentrates, other than synthetic rutile Zirconium ores and concentrates Synthetic tantalum-niobium concentrates Niobium, tantalum or vanadium ores and concentrates, nesoi Silver ores and concentrates Precious metal (other than silver) ores and concentrates Antimony ores and concentrates Metal ores and concentrates, nesoi Granulated slag (slag sand) from the manufacture of iron or steel Ferrous scale Slag, dross and other waste (except ferrous scale) from the manufacture of iron or steel Hard zinc spelter Zinc dross and skimmings (not from from the mfr. of iron or steel) Ash and residues (not from the mfr. of iron or steel), containing mainly zinc, other than hard zinc spelter/zinc dross &amp; skimmings Leaded gasoline sludges and leaded anti-knock compound sludges, containing mainly lead Ash and residues (other than from the manufacture of iron or steel), containing mainly lead, nesoi Ash and residues (not from the mfr. of iron or steel), containing mainly copper Ash and residues (not from the mfr.</w:t>
      </w:r>
    </w:p>
    <w:p>
      <w:pPr>
        <w:pStyle w:val="Normal"/>
        <w:widowControl/>
        <w:rPr/>
      </w:pPr>
      <w:r>
        <w:rPr/>
        <w:t>of iron or steel), containing mainly aluminum Ash/residues contain arsenic, mercury, thallium or their mixtures, kind used only for extraction of arsenic or manufacture of its compounds Ash/residue contain arsenic,mercury,thallium/their mixtures,kind used only for extraction of those metals or manufacture of their compounds Ash and residues (other than from the manufacture of iron or steel), containing antimony, beryllium, cadmium, chromium or their mixtures Ash and residues (other than from the manufacture of iron or steel), containing mainly vanadium Ash and residues (other than from the manufacture of iron or steel), containing mainly tungsten Materials (ash and residues) not provided for elsewhere in heading 2620 containing by weight over 10 percent nickel Slag (other than from the manufacture of iron or steel) contains over 40% titanium &amp; if has over 2% Cu/Pb/Zn is not for recovery thereof Residues (not from mfr. of iron or steel) cont. metals/metal compounds nesoi, and n/adv. in value or cond.</w:t>
      </w:r>
    </w:p>
    <w:p>
      <w:pPr>
        <w:pStyle w:val="Normal"/>
        <w:widowControl/>
        <w:rPr/>
      </w:pPr>
      <w:r>
        <w:rPr/>
        <w:t>&amp; if &gt; 2% Cu/Pb/Zn n/for recovery Other ash and residues (other than from the manufacture of iron or steel), containing metals or metal compounds, nesoi Ash and residues from the incineraction of municipal waste Other slag and ash, including seaweed ash (kelp), not elsewhere specified or included Coal, anthracite, whether or not pulverized, but not agglomerated Coal, bituminous, whether or not pulverized, but not agglomerated Coal, other than anthracite or bituminous, whether or not pulverized, but not agglomerated Coal, briquettes, ovoids and similar solid fuels manufactured from coal Lignite (excluding jet), whether or not pulverized, but not agglomerated Lignite (excluding jet), agglomerated Peat (including peat litter), whether or not agglomerated Coke and semicoke of coal, lignite or peat, whether or not agglomerated; retort carbon Coal gas, water gas, producer gas and similar gases, other than petroleum gases or other gaseous hydrocarbons Tars (including reconstituted tars), distill. from coal, lignite or peat, and other mineral tars, whether dehydrated or partially distilled Benzene, from distillation of hi-temp coal tar or in which wt. of aromatic components o/wt.</w:t>
      </w:r>
    </w:p>
    <w:p>
      <w:pPr>
        <w:pStyle w:val="Normal"/>
        <w:widowControl/>
        <w:rPr/>
      </w:pPr>
      <w:r>
        <w:rPr/>
        <w:t>of nonaromatic components Toluene, from distillation of hi-temp coal tar or in which wt. of aromatic components o/wt. of nonaromatic components Xylenes, from distillation of hi-temp coal tar or in which wt. of aromatic components o/wt.</w:t>
      </w:r>
    </w:p>
    <w:p>
      <w:pPr>
        <w:pStyle w:val="Normal"/>
        <w:widowControl/>
        <w:rPr/>
      </w:pPr>
      <w:r>
        <w:rPr/>
        <w:t>of nonaromatic components Naphthalene, from distillation of hi-temp coal tar or in which wt. of aromatic components o/wt. of nonaromatic components Aromatichydrocarbon mix.(from dist.ofhi-temp coaltar or wt.of aromatic &gt; nonaromatic),65%+ by vol.(incl.losses) dist. at 250 C/ASTM D 86 Creosote oils, from dist.of hi-temp coal tar or wt. of aromatic exceeds nonaromatic Light oil, from dist.of hi-temp coal tar or wt. of aromatic exceeds nonaromatic Picolines, from dist.of hi-temp coal tar or wt. of aromatic exceeds nonaromatic Carbazole, from dist.of hi-temp coal tar or wt. of aromatic exceeds nonaromatic, w/purity of 65% or more by wt. Phenols &gt; 50% by wt hydroxybenzene Metacresol/orthocresol/paracresol/metaparacresol (from dist.of hi-temp coal tar or wt. of aromatic &gt; nonaromatic), w/purity of 75%+ by wt. Phenols, nesoi Other products of hi-temp coal tar distillation and like products in which aromatic constituents exceed nonaromatic constituents, nesi Pitch, obtained from coal tar or other mineral tars Pitch coke, obtained from coal tar or other mineral tars Petroleum oils and oils from bituminous minerals, crude, testing under 25 degrees A.P.I.</w:t>
      </w:r>
    </w:p>
    <w:p>
      <w:pPr>
        <w:pStyle w:val="Normal"/>
        <w:widowControl/>
        <w:rPr/>
      </w:pPr>
      <w:r>
        <w:rPr/>
        <w:t>Petroleum oils and oils from bituminous minerals, crude, testing 25 degrees A.P.I. or more Light oil motor fuel from petroleum oils and bituminous minerals (o/than crude) or preps. 70%+ by wt. from petroleum oils Light oil motor fuel blending stock from petroleum oils &amp; bituminous minerals (o/than crude) or prep 70%+ by wt.</w:t>
      </w:r>
    </w:p>
    <w:p>
      <w:pPr>
        <w:pStyle w:val="Normal"/>
        <w:widowControl/>
        <w:rPr/>
      </w:pPr>
      <w:r>
        <w:rPr/>
        <w:t>from petroleum oils Naphthas (exc. motor fuel/mtr fuel blend. stock) fr petroleum oils &amp; bitumin minerals (o/than crude) or preps 70%+ by wt. fr petroleum oils Light oil mixt. of hydrocarbons fr petro oils &amp; bitum min(o/than crude) or prep 70%+ wt. fr petro oils, nesoi,n/o 50% any single hydrocarbon Light oils and preparations from petroleum oils &amp; oils from bituminous min. or preps 70%+ by wt. from petro. oils or bitum. min., nesoi Distillate and residual fuel oil (including blends) derived from petroleum or oils from bituminous minerals, testing &lt; 25 degrees A.P.I. Distillate and residual fuel oil (including blends) derived from petroleum oils or oil of bituminous minerals, testing 25 degree A.P.I. or &gt; Kerosene-type jet fuel from petroleum oils and oils of bitumin minerals (o/than crude) or preps. 70%+ by wt. from petroleum oils Kerosene motor fuel (not jet) from petro oils and bitumin minerals (o/than crude) or preps. 70%+ by wt. from petroleum oils Kerosene motor fuel blending stock (not jet), from petro oils and bitumin. minerals (o/than crude) or preps.</w:t>
      </w:r>
    </w:p>
    <w:p>
      <w:pPr>
        <w:pStyle w:val="Normal"/>
        <w:widowControl/>
        <w:rPr/>
      </w:pPr>
      <w:r>
        <w:rPr/>
        <w:t>70%+ by wt. from petro oils Kerosene (ex. motor fuel/mtr fuel blend stock/xc jet), fr petro oils and bitumin minerals (o/than crude) or preps 70%+ by wt fr petro oils Lubricating oils, w/or w/o additives, fr. petro oils and bitumin minerals (o/than crude) or preps. 70%+ by wt. fr. petro oils Lubricating greases from petro oil/bitum min/70%+ by wt. fr. petro. oils but n/o 10% by wt.</w:t>
      </w:r>
    </w:p>
    <w:p>
      <w:pPr>
        <w:pStyle w:val="Normal"/>
        <w:widowControl/>
        <w:rPr/>
      </w:pPr>
      <w:r>
        <w:rPr/>
        <w:t>of fatty acid salts animal/vegetable origin Lubricating greases from petro oil/bitum min/70%+ by wt. fr. petro. oils &gt; 10% by wt. of fatty acid salts animal/vegetable origin Mixture of hydrocarbons from petro oils &amp; bitum. min. or preps.70%+ by wt. fr. petro. oils, nesoi, n/o 50% any single hydrocarbon Petroleum oils &amp; oils from bituminous minerals or preps nesoi 70%+ by wt. from petroleum oils or bitum. min., not waste, nesoi Dist and resid fuel oil (including blends) derived from petro or oils fr bitum min, testing under 25 degrees A.P.I., contng biodiesel Dist and resid fuel oil (including blends) derived from petro or oils fr bitum min testing 25 degree A.P.I. or &gt;, contng biodiesel Kerosene-type jet fuel/mtr ful/mtr ful blend stck fr pet oils &amp; bitumin min (o/th crude), or preps.</w:t>
      </w:r>
    </w:p>
    <w:p>
      <w:pPr>
        <w:pStyle w:val="Normal"/>
        <w:widowControl/>
        <w:rPr/>
      </w:pPr>
      <w:r>
        <w:rPr/>
        <w:t>70%+ by w fr pet oils, ctg biodiesel Kerosene (ex jet fuel,mtr ful/mtr ful blend stck/jet), fr pet oils and bitumin. min (o/th crude) or preps 70%+ by wt fr pet oils, ctg biodie Waste oils from petro oils/bitum minerals/preps 70%+ by wt. fr. petro oils/bitum minerals containing PCBs, PCTs or PBBs Wastes of distillate and residual fuel oil (including blends) derived from petroleum oil/bituminous minerals, testing under 25 degree A.P.I. Wastes of distillate and residual fuel oil (including blends) derived from petroleum oil/bituminous minerals, testing 25 degrees A.P.I. or &gt; Waste motor fuel or motor fuel blending stock from petro oils and bitumin. minerals (o/than crude) or preps. 70%+ by wt.</w:t>
      </w:r>
    </w:p>
    <w:p>
      <w:pPr>
        <w:pStyle w:val="Normal"/>
        <w:widowControl/>
        <w:rPr/>
      </w:pPr>
      <w:r>
        <w:rPr/>
        <w:t>from petro oils Waste kerosene or naphthas from petro oils and bitumin minerals (o/than crude) or preps. 70%+ by wt. From petro oils/bitumin minerals Waste lubricating oils, w/or w/o additives, from petro oils and bitumin minerals (o/than crude) or preps.</w:t>
      </w:r>
    </w:p>
    <w:p>
      <w:pPr>
        <w:pStyle w:val="Normal"/>
        <w:widowControl/>
        <w:rPr/>
      </w:pPr>
      <w:r>
        <w:rPr/>
        <w:t>70%+ by wt. from petro oils Waste lubricating greases from petro oil/bitum min/70%+ by wt. fr petro oils but n/o 10% by wt. of fatty acid salts animal/vegetable origin Waste lubricating greases from petro oil/bitum min/70%+ by wt. fr petro oils but over 10% by wt. of fatty acid salts animal/vegetable origin Waste mixtures of hydrocarbons from petro oils &amp; bitum. min. or preps.70%+ by wt. fr. petro oils, nesoi, n/o 50% any single hydrocarbon Waste petroleum oils &amp; oils from bitum. min. or preps nesoi 70%+ by wt. from petro. oils or bitum. min., nesoi Natural gas, liquefied Propane, liquefied Butanes, liquefied Ethylene, propylene, butylene and butadiene, liquefied Liquefied petroleum gases and other gaseous hydrocarbons, nesoi Natural gas, in gaseous state Petroleum gases and other gaseous hydrocarbons, except natural gas Petroleum jelly Paraffin wax (whether or not colored), obtained by synthesis or other process and less than 0.75% oil by wt. Montan wax (whether or not colored), obtained by synthesis or other process Mineral waxes (i.e.,paraffin w/0.75%+ oil, microcrystall.</w:t>
      </w:r>
    </w:p>
    <w:p>
      <w:pPr>
        <w:pStyle w:val="Normal"/>
        <w:widowControl/>
        <w:rPr/>
      </w:pPr>
      <w:r>
        <w:rPr/>
        <w:t>wax, slack lignite &amp; peat waxes, ozokerite), obtained by synthesis Coke, petroleum, not calcined Coke, petroleum coke, calcined Petroleum bitumen Residues (except petroleum coke or petroleum bitumen) of petroleum oils or of oils obtained from bituminous materials Bituminous or oil shale and tar sands Bitumen and asphalt, natural; asphaltites and asphaltic rocks Bituminous mixtures based on natural asphalt, natural bitumen, petroleum bitumen, mineral tar or mineral tar pitch Electrical energy Chlorine Iodine Fluorine Bromine Sulfur, sublimed or precipitated; colloidal sulfur Carbon (carbon blacks and other forms of carbon not elsewhere specified or included) Hydrogen Argon Rare gases, other than argon Nitrogen Oxygen Boron; tellurium Silicon containing by weight not less than 99.99 percent of silicon Silicon, containing by weight less than 99.99 percent but not less than 99 percent of silicon Silicon, containing by weight less than 99 percent of silicon Phosphorus Arsenic Selenium Sodium Calcium Strontium Barium Alkali metals, other than sodium Rare-earth metals, scandium and yttrium, whether or not intermixed or interalloyed Mercury Hydrogen chloride (Hydrochloric acid) Chlorosulfuric acid Sulfuric acid; oleum Nitric acid;</w:t>
      </w:r>
    </w:p>
    <w:p>
      <w:pPr>
        <w:pStyle w:val="Normal"/>
        <w:widowControl/>
        <w:rPr/>
      </w:pPr>
      <w:r>
        <w:rPr/>
        <w:t>sulfonitric acids Diphosphorus pentoxide Phosphoric acid and polyphosphoric acids Oxides of boron; boric acids Hydrogen fluoride (Hydrofluoric acid) Hydrogen cyanide Arsenic acid Hydrobromic acid Sulfamic acid and other inorganic acids nesoi Carbon</w:t>
      </w:r>
    </w:p>
    <w:p>
      <w:pPr>
        <w:pStyle w:val="Normal"/>
        <w:widowControl/>
        <w:rPr/>
      </w:pPr>
      <w:r>
        <w:rPr/>
        <w:t>dioxide Synthetic silica gel Silicon dioxide, other than synthetic silica gel Arsenic trioxide Selenium dioxide Sulfur dioxide Other inorganic oxygen compounds of nonmetals, nesoi Carbonyl dichloride (Phosgene) Phosphorus oxychloride Phosphorus trichloride Phosphorus pentachloride Sulfur monochloride Sulfur dichloride Thionyl chloride Other chlorides and chloride oxides Halides and halide oxides of nonmetals, excluding chlorides and chloride oxides Carbon disulfide Arsenic sulfides Phosphorus sulfides Sulfides of nonmetals, excluding carbon disulfide and sulfides of arsenic or phosphorus Anhydrous ammonia Ammonia in aqueous solution Sodium hydroxide (Caustic soda), solid Sodium hydroxide (Caustic soda), in aqueous solution (Soda lye or liquid soda) Potassium hydroxide (Caustic potash) Peroxides of sodium or potassium Hydroxide and peroxide of magnesium Oxides, hydroxides and peroxides of strontium Oxides, hydroxides and peroxides of barium Zinc oxide; zinc peroxide Artificial corundum, crude Artificial corundum, in grains, or ground, pulverized or refined Aluminum oxide, other than artificial corundum Aluminum hydroxide Chromium trioxide Chromium oxides and hydroxides, other than chromium trioxide Manganese dioxide Manganese oxides, other than manganese dioxide Iron oxides and hydroxides Earth colors containing 70 percent or more by weight of combined iron evaluated as Fe2O3 Cobalt oxides and hydroxides; commercial cobalt oxides Titanium oxides Lead monoxide (Litharge,</w:t>
      </w:r>
    </w:p>
    <w:p>
      <w:pPr>
        <w:pStyle w:val="Normal"/>
        <w:widowControl/>
        <w:rPr/>
      </w:pPr>
      <w:r>
        <w:rPr/>
        <w:t>massicot) Lead suboxide (Leady litharge) Red lead and orange lead Lead oxides, nesoi Hydrazine and hydroxylamine and their inorganic salts Lithium oxide and hydroxide Vanadium oxides and hydroxides Nickel oxides and hydroxides Cupric oxide Cuprous oxide Copper hydroxides Germanium oxides and zirconium dioxide Molybdenum oxides and hydroxides Antimony oxides Beryllium oxide and hydroxide Niobium oxide Tin oxides Tungsten oxides Cadmium oxide Other inorganic bases;</w:t>
      </w:r>
    </w:p>
    <w:p>
      <w:pPr>
        <w:pStyle w:val="Normal"/>
        <w:widowControl/>
        <w:rPr/>
      </w:pPr>
      <w:r>
        <w:rPr/>
        <w:t>other metal oxides, hydroxides and peroxides, nesoi Fluorides of aluminum Ammonium fluoride Sodium fluoride Fluorides, other than of ammonium, sodium or aluminum Sodium hexafluoroaluminate (Synthetic cryolite) Fluorosilicates of sodium or of potassium Other complex fluorine salts, nesoi Ammonium chloride Calcium chloride Magnesium chloride Aluminum chloride Nickel chloride Vanadium chlorides Tin chlorides Titanium chlorides Tungsten hexachloride Barium chloride Iron chlorides Cobalt chlorides Zinc chloride Chlorides, nesoi Chloride oxides and chloride hydroxides of copper Chloride oxides and chloride hydroxides of vanadium Chloride oxides and chloride hydroxides other than of copper or of vanadium Bromides of sodium or potassium Bromides or bromide oxides of ammonium, calcium, or zinc Other bromides and bromide oxides, other than ammonium, calcium or zinc Iodide and iodide oxide of calcium or copper Iodide and iodide oxide of potassium Iodides and iodide oxides, other than of calcium, copper or potassium Commercial</w:t>
      </w:r>
    </w:p>
    <w:p>
      <w:pPr>
        <w:pStyle w:val="Normal"/>
        <w:widowControl/>
        <w:rPr/>
      </w:pPr>
      <w:r>
        <w:rPr/>
        <w:t>calcium hypochlorite and other calcium hypochlorites Hypochlorites, except of calcium; hypobromites; chlorites Sodium chlorate Other chlorates and perchlorates, other than sodium Potassium bromate Sodium bromate Perchlorates, perbromates, iodates, periodates; of potassium Other perbromates, iodates and periodates other than potassium Sodium sulfides Zinc sulfide, luminescent grade, purity&gt;= 99.99 % By wt. Zinc sulfide excluding luminescent grade Cadmium sulfide Polysulfides; sulfides, other than those of zinc and cadmium Sodium formaldehyde sulfoxylate Dithionites and sulfoxylates of sodium Dithionites and sulfoxylates, other than those of sodium Sodium sulfites Sulfites, except sodium sulfites Sodium thiosulfate Thiosulfates, except sodium thiosulfate Disodium sulfate, crude (Salt cake) Disodium sulfate, other than crude Sodium sulfates, other than disodium sulfate Magnesium sulfate Aluminum sulfate Nickel sulfate Copper sulfate Barium sulfate Cobalt sulfate Iron sulfate Vanadium sulfate Chromium sulfate Zinc sulfate Other sulfates nesoi Alums Sodium peroxosulfates (sodium persulfates) Peroxosulfates (persulfates), nesoi Sodium nitrite Nitrites, other than of sodium Potassium nitrate Bismuth nitrate Calcium nitrate Strontium nitrate Nitrates, nesoi Phosphinates (hypophosphites) and phosphonates (phosphites) Mono- or disodium phosphates Potassium phosphate Calcium hydrogenorthophosphate (“Dicalcium phosphate”) Other phosphates of calcium, nesoi Aluminum phosphate Triammonium</w:t>
      </w:r>
    </w:p>
    <w:p>
      <w:pPr>
        <w:pStyle w:val="Normal"/>
        <w:widowControl/>
        <w:rPr/>
      </w:pPr>
      <w:r>
        <w:rPr/>
        <w:t>phosphate Trisodium phosphate Other phosphates nesoi Sodium triphosphate (Sodium tripolyphosphate) Potassium polyphosphate Polyphosphates, other than sodium triphosphate and potassium polyphosphate Disodium carbonate Sodium hydrogencarbonate (Sodium bicarbonate) Dipotassium carbonate Potassium hydrogencarbonate (Potassium bicarbonate) Calcium carbonate Barium carbonate Lithium carbonates Strontium carbonate Cobalt carbonates Bismuth carbonate Commercial ammonium carbonate, containing ammonium carbamate, and other ammonium carbonates Lead carbonate Carbonates nesoi, and peroxocarbonates (percarbonates) Sodium cyanide Cyanides and cyanide oxides, except those of sodium Potassium ferricyanide Complex cyanides, excluding potassium ferricyanide Sodium metasilicates Sodium silicates except sodium metasilicates Potassium silicate Other alkali metal silicates nesoi Anhydrous disodium tetraborate (refined borax) Disodium tetraborate (refined borax) except anhydrous Borates, other than disodium tetraborate (refined borax) Peroxoborates (perborates) Sodium dichromate Potassium dichromate Chromates except of zinc or lead and dichromates except of sodium or potassium; peroxochromates Potassium permanganate Manganites, manganates and permanganates (except potassium permanganate) Ammonium molybdate Molybdates, other than of ammonium Tungstates (wolframates) Vanadates Ammonium perrhenate Potassium stannate Aluminates Chromates of zinc or of lead Salts of oxometallic or peroxometallic acids</w:t>
      </w:r>
    </w:p>
    <w:p>
      <w:pPr>
        <w:pStyle w:val="Normal"/>
        <w:widowControl/>
        <w:rPr/>
      </w:pPr>
      <w:r>
        <w:rPr/>
        <w:t>nesoi Double or complex silicates Fulminates, cyanates and thiocyanates Salts of inorganic acids or peroxoacids nesoi, excluding azides Colloidal precious metals Silver nitrate Silver compounds, other than silver nitrate Gold compounds Inorganic or organic compounds of precious metals, excluding those of silver and gold; amalgams of precious metals Natural uranium metal Natural uranium compounds Alloys, dispersions (including cermets), ceramic products and mixtures containing natural uranium or natural uranium compounds Uranium enriched in U235 and plutonium and their compounds; alloys, dispersions, ceramic products and mixtures containing these products Thorium compounds Compounds of uranium depleted in U235 Uranium depleted in U235, thorium; alloys, dispersions, ceramic products and mixtures of these products and their compounds Radioactive elements, isotopes, compounds nesoi; alloys, dispersions, ceramic products and mixtures of these products; radioactive residues Spent (irradiated) fuel elements (cartridges) of nuclear reactors Heavy water (Deuterium oxide) Isotopes not in heading 2844 and their compounds other than heavy water Cerium compounds Mixtures of rare-earth oxides or of rare-earth chlorides Yttrium materials and compounds containing by wt.</w:t>
      </w:r>
    </w:p>
    <w:p>
      <w:pPr>
        <w:pStyle w:val="Normal"/>
        <w:widowControl/>
        <w:rPr/>
      </w:pPr>
      <w:r>
        <w:rPr/>
        <w:t>&gt;19% But &lt; 85% yttrium oxide equivalent Compounds, inorganic or organic, of rare-earth metals, of yttrium or of scandium, or of mixtures of these metals, nesoi Hydrogen peroxide, whether or not solidified with urea Calcium carbide Silicon carbide, crude Silicon carbide, in grains, or ground, pulverized or refined Boron carbide Chromium carbide Tungsten carbide Carbides, nesoi Hydride, nitride, azide, silicide and boride of calcium Hydride, nitride, azide, silicide and boride of titanium Hydride, nitride, azide, silicide and boride of tungsten Hydride, nitride, azide, silicide and boride of vanadium Hydrides, nitrides, azides, silicides and borides other than of calcium, titanium, tungsten or vanadium Mercuric oxide, mercuric cyanide, mercuric oxycyanide and mercuric potassium cyanide Other chemically defined compounds of mercury excluding amalgams Albuminates, tannates, and phosphides of mercury Inorganic or organic compounds of mercury, not chemically defined, not albuminates, tannates, or phosphides, excluding amalgams Cyanogen chloride (Chlorocyan) Phosphor copper containing more than 15% by weight of phosphorus, excluding ferrosphosphorus Phosphides, whether or not chemically defined, excluding ferrophosphorus, of other metals or of nonmetals Other phosphides, excl ferrophosphorous, nesoi Ethane and butane n-Pentane and isopentane Saturated acyclic hydrocarbon (not ethane,butane,n-pentane or isopentane),derived in whole or part from petroleum,shale oil or natural gas</w:t>
      </w:r>
    </w:p>
    <w:p>
      <w:pPr>
        <w:pStyle w:val="Normal"/>
        <w:widowControl/>
        <w:rPr/>
      </w:pPr>
      <w:r>
        <w:rPr/>
        <w:t>Saturated acyclic hydrocarbon (not ethane,butane,n-pentane or isopentane),not derived in whole or part petroleum,shale oil or natural gas Ethylene Propene (Propylene) Butene (Butylene) and isomers thereof Buta-l,3-diene Isoprene, having a purity of 95 percent or more by weight Isoprene less than 95 percent pure Unsaturated acyclic hydrocarbons, nesoi, derived in whole or in part from petroleum, shale oil or natural gas Unsaturated acyclic hydrocarbons, nesoi, not derived in whole or in part from petroleum, shale oil or natural gas Cyclohexane Cyclanic hydrocarbons (except cyclohexane), cyclenic hydrocarbons and cycloterpenes Benzene Toluene o-Xylene m-Xylene p-Xylene Mixed xylene isomers Styrene Ethylbenzene Cumene Pseudocumene Acenaphthene, chrysene, cymene, dimethylnaphthalenes, fluoranthene, fluorene, indene, mesitylene, and other specified cyclic hydrocarbons Alkylbenzenes and polyalkylbenzenes Anthracene and 1,4-di-(2-methylstyryl)benzene Biphenyl (diphenyl), in flakes Cyclic hydrocarbons, nesoi Chloromethane (Methyl chloride) &amp; chloroethane (Ethyl chloride) Dichloromethane (Methylene chloride) Chloroform (Trichloromethane) Carbon tetrachloride 1,2-Dichloroethane (Ethylene dichloride) 1,2-Dichloropropane (Propylene dichloride) and dichlorobutanes Hexachloroethane and tetrachloroethane sec-Butyl chloride Saturated chlorinated derivatives of acyclic hydrocarbons, nesoi Vinyl chloride (Chloroethylene) Trichloroethylene Tetrachloroethylene (Perchloroethylene) Unsaturated</w:t>
      </w:r>
    </w:p>
    <w:p>
      <w:pPr>
        <w:pStyle w:val="Normal"/>
        <w:widowControl/>
        <w:rPr/>
      </w:pPr>
      <w:r>
        <w:rPr/>
        <w:t>chlorinated derivatives of acyclic hydrocarbons, nesoi Ethylene dibromide Acetylene tetrabromide; alkyl bromides; methylene dibromide; and vinyl bromide Fluorinated, brominated or iodinated derivatives of acyclic hydrocarbons, nesoi Chlorodifluoromethane Dichlorotrifluoroethanes Dichlorofluoroethanes Chlorodifluoroethanes Dichloropentafluoropropanes Bromochlorodifluoromethane, bromotrifluoromethane and dibromotetrafluoroethanes Other acyclic hydrocarbon derivatives,perhalogenated only with flourine and chlorine Other perhalogenated acyclic hydrocarbon derivatives, nesoi Bromochloromethane Other halogenated derivatives of acyclic hydrocarbons containing two or more different halogens, nesoi 1,2,3,4,5,6-Hexachlorocyclohexane (HCH (ISO)), including Lindane(ISO, INN) Aldrin (ISO), chlordane (ISO) and heptachlor (ISO) Halogenated derivatives of cyclanic cyclenic or cycloterpenic hydrocarbons: Mirex (ISO) Dibromoethyldibromocyclohexane Halogenated pesticides derived in whole or in part from benzene or other aromatic hydrocarbon, nesoi Halogenated products derived in whole or in part from benzene or other aromatic hydrocarbon, described in additional U.S. note 3 to sec.</w:t>
      </w:r>
    </w:p>
    <w:p>
      <w:pPr>
        <w:pStyle w:val="Normal"/>
        <w:widowControl/>
        <w:rPr/>
      </w:pPr>
      <w:r>
        <w:rPr/>
        <w:t>VI Halogenated derivatives derived in whole or in part from benzene or other aromatic hydrocarbon, nesoi Chlorinated, but not otherwise halogenated derivatives of cyclanic, cyclenic or cycloterpenic hydrocarbons 1,3,5,7,9,11-Hexabromocyclododecane Tetrabromocyclooctane Other halogenated derivatives of cyclanic etc hydrocarbons not deriv from benzene or other aromatic hydrocarbons Chlorobenzene o-Dichlorobenzene p-Dichlorobenzene Hexachlorobenzene (ISO) and DDT (clofenatone (INN), (1,1,1-Trichloro-2,2-bis(p chlorophenyl)ethane)) Halogenated derivatives of aromatic hydrocarbons, pentachlorobenzene Halogenated derivatives of aromatic hydrocarbons, hexabromobiphenyls 3-Bromo-alpha,alpha,alpha-trifluorotoluene; and other specified halogenated derivatives of aromatic hydrocarbons p-Chlorobenzotrifluoride; and 3,4-Dichlorobenzotrifluoride m-Dichlorobenzene; 1,1-dichloro-2,2-bis(p-ethylphenyl)ethane; and trichlorobenzenes Triphenylmethyl chloride Benzyl chloride (alpha-Chlorotoluene); benzotrichloride (alpha,alpha,alpha trichlorotoluene) Pentabromoethylbenzene Tribromocumene Pesticides derived from halogenated derivatives of aromatic hydrocarbons Other halogenated derivatives of aromatic hydrocarbons, nesoi 2-Anthracenesulfonic acid Benzenesulfonyl chloride m-Benzenedisulfonic acid, sodium salt; 1,5-naphthalenedisulfonic acid; and p toluenesulfonyl chloride Mixtures of 1,3,6-naphthalenetrisulfonic acid and 1,3,7-naphthalenetrisulfonic acid Aromatic derivatives of hydrocarbons</w:t>
      </w:r>
    </w:p>
    <w:p>
      <w:pPr>
        <w:pStyle w:val="Normal"/>
        <w:widowControl/>
        <w:rPr/>
      </w:pPr>
      <w:r>
        <w:rPr/>
        <w:t>containing only sulfo groups, their salts and ethyl esters, described in add. U.S. note 3 to sec. VI Aromatic derivatives of hydrocarbons containing only sulfo groups, their salts and ethyl esters, nesoi Nonaromatic derivatives of hydrocarbons containing only sulfo groups, their salts and ethyl esters, nesoi p-Nitrotoluene p-Nitro-o-xylene Trinitrotoluene 5-tert-Butyl-2,4,6-trinitro-m-xylene (Musk xylol) and other artificial musks Nitrated benzene, nitrated toluene (except p-nitrotoluene) or nitrated naphthalene Aromatic derivatives of hydrocarbons containing only nitro or only nitroso groups, described in additional U.S. note 3 to section VI Aromatic derivatives of hydrocarbons containing only nitro or only nitroso groups, nesoi Nonaromatic derivatives of hydrocarbons containing only nitro or only nitroso groups, nesoi Perfluorooctane sulfonic acid Ammonium perfluorooctane sulfonate Lithium perfluorooctane sulfonate Potassium perfluorooctane sulfonate Other salts of perfluorooctane sulfonic acid Perfluorooctane sulfonyl fluoride Trichloronitromethane (chloropicrin) Monochloromononitrobenzenes; o-nitrochlorobenzene; p-nitrochlorobenzene Monochloromononitrobenzenes nesoi 4-Chloro-3-nitro-a,a,a-trifluorotoluene; 2-Chloro-5-nitro-a,a,a-trifluorotoluene; and 4 Chloro-3,5-dinitro-a,a,a-trifluorotoluene Nitrotoluenesulfonic acids 1-Bromo-2-nitrobenzene; 1,2-Dichloro-4-nitrobenzene and o-Fluoronitrobenzene 4,4’-Dinitrostilbene-2,2’-disulfonic acid Sulfonated, nitrated or</w:t>
      </w:r>
    </w:p>
    <w:p>
      <w:pPr>
        <w:pStyle w:val="Normal"/>
        <w:widowControl/>
        <w:rPr/>
      </w:pPr>
      <w:r>
        <w:rPr/>
        <w:t>nitrosated derivatives of aromatic products described in additional US note 3 to section 6 Other sulfonated, nitrated or nitrosated derivatives of aromatic hydrocarbons excluding aromatic products described in add US note 3 to section 6 Nonaromatic sulfonated, nitrated or nitrosated derivatives of hydrocarbons, nesoi Methanol (Methyl alcohol) imported only for use in producing synthetic natural gas (SNG) or for direct use as a fuel Methanol (Methyl alcohol), other than imported only for use in producing synthetic natural gas (SNG) or for direct use as fuel Propan-1-ol (Propyl alcohol) and Propan-2-ol (isopropyl alcohol) Butan-1-ol (n-Butyl alcohol) tert-Butyl alcohol, having a purity of less than 99 percent by weight Butanols other than butan-1-ol and tert-butyl alcohol having a purity of less than 99 percent by weight Octanol (Octyl acohol) and isomers thereof Dodecan-1-ol (Lauryl alcohol); hexadecan-1-ol (Cetyl alcohol); octadecan-1-ol (Stearyl alcohol) Pentanol (Amyl alcohol) and isomers thereof Saturated monohydric alcohols, nesoi Geraniol Isophytol Acyclic terpene alcohols, other than geraniol and isophytol Allyl alcohol Unsaturated monohydric alcohols, other than allyl alcohol or acyclic terpene alcohols Ethylene glycol (Ethanediol) Propylene glycol (Propane-1,2-diol) Butylene glycol Neopentyl glycol Hexylene glycol Dihydric alcohols (diols), nesoi 2-Ethyl-2-(hydroxymethyl)propane-1,3-diol (Trimethylolpropane) Pentaerythritol Mannitol D-glucitol (Sorbitol) Glycerol</w:t>
      </w:r>
    </w:p>
    <w:p>
      <w:pPr>
        <w:pStyle w:val="Normal"/>
        <w:widowControl/>
        <w:rPr/>
      </w:pPr>
      <w:r>
        <w:rPr/>
        <w:t>Triols and tetrols Esters of glycerol formed with the acids of heading 2904 Xylitol Polyhydric alcohols derived from sugars, nesoi Polyhydric alcohols, nesoi Ethchlorvynol (INN) Halogenated, sulfonated, nitrated or nitrosated derivatives of monohydric alcohols Dibromoneopentylglycol Halogenated, sulfonated, nitrated or nitrosated derivatives of acyclic alcohols, nesoi Menthol Cyclohexanol, methylcyclohexanols and dimethylcyclohexanols Inositols Sterols 4,4’-Isopropylidenedicyclohexanol;and mixt. w/not less 90% stereoisomers of 2 isopropyl-5-methylcyclohexanol but n/o 30% any 1 stereoisomer Terpineols Other cyclanic, cyclenic or cycloterpenic alcohols and their halogenated, sulfonated, nitrated or nitrosated derivatives Benzyl alcohol Phenethyl alcohol Odoriferous or flavoring compounds of aromatic alcohols and their halogenated, sulfonated, nitrated or nitrosated derivatives, nesoi 1,1-Bis(4-chlorophenyl)-2,2,2-trichloroethanol (Dicofol); and p-nitrobenzyl alcohol Other aromatic alcohols and their halogenated, sulfonated, nitrated or nitrosated derivatives Phenol (Hydroxybenzene) and its salts Cresols and their salts Octylphenol, nonylphenol and their isomers; salts thereof alpha-Naphthol 2-Naphthol Naphthols and their salts, other than alpha-Naphthol and 2-Naphthol Alkylcresols Alkylphenols Thymol 2-t-Butyl ethyl phenol; and 6-t-butyl-2,4-xylenol and ylenols and their salts Other monophenols Resorcinol and its salts Hydroquinone (Quinol) and its salts, photographic grade</w:t>
      </w:r>
    </w:p>
    <w:p>
      <w:pPr>
        <w:pStyle w:val="Normal"/>
        <w:widowControl/>
        <w:rPr/>
      </w:pPr>
      <w:r>
        <w:rPr/>
        <w:t>Hydroquinone (Quinol) and its salts, other than photographic grade 4,4’-Isopropylidenediphenol (Bisphenol A, Diphenylolpropane) and its salts Phenol-alcohols Pyrogallic acid 4,4’-Biphenol tert-Butylhydroquinone Other polyphenols, nesoi Pentachlorophenol (ISO) 2,2-Bis(4-hydroxyphenyl)-1,1,1,3,3,3-hexafluoropropane 6-Chloro-m-cresol [OH=1]; m-chlorophenol; and chlorothymol 3-Hydroxy-alpha,alpha,alpha-trifluorotoluene Pentachlorophenol and its salts; and 2,4,5-trichlorophenol and its salts Tetrabromobisphenol A Derivatives of phenols or phenol-alcohols containing only halogen substituents and their salts described in add. U.S. note 3 to sec. VI Other halogenated, sulfonated, nitrated or nitrosated derivatives of phenol or phenol- alcohols Dinoseb (ISO) and its salts 4,6-Dinitro-o-cresol (DNOC (ISO)) and its salts Specified derivatives of phenols or phenol-alcohols containing only sulfo groups, their salts and esters 4-Hydroxy-1-naphthalenesulfonic acid 1,8-Dihydroxynaphthalene-3,6-disulfonic acid and its sodium salt Derivatives nesoi,of phenols or phenol-alcohols cont. only sulfo groups, their salts and esters, described in add. U.S.</w:t>
      </w:r>
    </w:p>
    <w:p>
      <w:pPr>
        <w:pStyle w:val="Normal"/>
        <w:widowControl/>
        <w:rPr/>
      </w:pPr>
      <w:r>
        <w:rPr/>
        <w:t>note 3 to section VI Derivatives of phenol or phenol-alcohols containing only sulfo groups, their salts and esters, nesoi p-Nitrophenol Nitrophenols, except p-nitrophenol Dinitro-o-cresols (other than 4,6-dinitro-o-cresol) and 4-nitro-m-cresol Dinitrobutylphenol and its salts Halogenated, sulfonated, nitrated or nitrosated derivatives of phenols or phenol- alcohols described in additional U.S. note 3 to section VI Halogenated, sulfonated, nitrated or nitrosated derivatives of phenols or phenol- alcohols, nesoi Diethyl ether Methyl tertiay-butyl ether. (MTBE) Ethers of acyc monohydric alcohols &amp; deriv, nesoi Triethylene glycol dichloride Ethers of polyhydric alcohols and their halogenated, sulfonated, nitrated or nitrosated derivatives, nesoi Cyclanic, cyclenic or cycloterpenic ethers and their halogenated, sulfonated, nitrated or nitrosated derivatives 5-Chloro-2-nitroanisole; 6-chloro-3-nitro-p-dimethoxybenzene; and dimethyl diphenyl ether Decabromodiphenyl oxide; and octabromodiphenyl oxide Bis-(tribromophenoxy)ethane; pentabromodiphenyl oxide; and tetradecabromodiphenoxy benzene 6-tert-Butyl-3-methyl-2,4-dinitroanisole (Musk ambrette) and other artificial musks Odoriferous or flavoring compounds of aromatic ethers and their halogenated, sulfonated, nitrated or nitrosated derivatives, nesoi Pesticides, of aromatic ethers and their halogenated, sulfonated, nitrated or nitrosated derivatives Aromatic ethers and their halogenated, sulfonated, nitrated or nitrosated</w:t>
      </w:r>
    </w:p>
    <w:p>
      <w:pPr>
        <w:pStyle w:val="Normal"/>
        <w:widowControl/>
        <w:rPr/>
      </w:pPr>
      <w:r>
        <w:rPr/>
        <w:t>derivatives, nesoi, described in add. U.S. note 3 to section VI Other aromatic ethers and their halogenated, sulfonated, nitrated, or nitrosated derivatives, nesoi 2,2’-Oxydiethanol (Diethylene glycol, Digol) Monobutyl ethers of ethylene glycol or of diethylene glycol Monoalkyl ethers of ethylene glycol or of diethylene glycol Guaifenesin Other aromatic ether-alcohols, their halogenated, sulfonated, nitrated or nitrosated derivatives described in add. US note 3 to section VI Aromatic ether-alcohols and their halogenated, sulfonated, nitrated or nitrosated derivatives, nesoi Nonaromatic glycerol ethers Di-pentaerythritol having a purity of 94% or more by weight Other non-aromatic ether-alcohols and their halogenated, sulfonated, nitrated or nitrosated derivatives 4-Ethylguaiacol Guaiacol and its derivatives Odoriferous or flavoring compounds of ether-phenols, ether-alcohol-phenols &amp; their halogenated, sulfonated, nitrated, nitrosated derivatives Ether-phenols, ether-alcohol-phenols &amp; their halogenated, sulfonated, nitrated, nitrosated derivatives nesoi, in add. U.S. note 3 to sec. VI Ether-phenols, ether-alcohol-phenols and their halogenated, sulfonated, nitrated or nitrosated derivatives, nesoi Aromatic alcohol, ether and ketone peroxides and their halogenated, sulfonated, nitrated, nitrosated derivatives, in add. US note 3 sec.</w:t>
      </w:r>
    </w:p>
    <w:p>
      <w:pPr>
        <w:pStyle w:val="Normal"/>
        <w:widowControl/>
        <w:rPr/>
      </w:pPr>
      <w:r>
        <w:rPr/>
        <w:t>VI Aromatic alcohol peroxides, ether peroxides, ketone peroxides and their halogenated, sulfonated, nitrated or nitrosated derivatives, nesoi Nonaromatic alcohol, ether and ketone peroxides and their halogenated, sulfonated, nitrated or nitrosated derivatives Oxirane (Ethylene oxide) Methyloxirane (Propylene oxide) 1-Chloro-2,3-epoxypropane (Epichlorohydrin) Dieldrin Endrin Butylene oxide Aromatic epoxides, epoxyalcohols, epoxyphenols and epoxyethers, with a three- membered ring, and their derivatives, nesoi Other nonaromatic epoxides, epoxyalcohols and epoxyethers, with a three-membered ring and their halogenated, sulfonated, nitrated or nitrosated deriv 1,1-Bis-(1-methylethoxy)cyclohexane Acetals and hemiacetals, whether or not with other oxygen function, and their halogenated, sulfonated, nitrated or nitrosated derivatives Methanal (Formaldehyde) Ethanal (Acetaldehyde) Citral Odoriferous or flavoring compounds of acyclic aldehydes without other oxygen function, nesoi Butanal (Butyraldehyde, normal isomer) Glyoxal Isobutanal Acyclic aldehydes without other oxygen function, nesoi Benzaldehyde Phenylacetaldehyde 3,4-Dimethylbenzaldehyde; paraldehyde, USP grade; and p-tolualdehyde Other cyclic aldehydes without other oxygen function Vanillin (4-Hydroxy-3-methoxybenzaldehyde) Ethylvanillin (3-Ethoxy-4-hydroxy-benzaldehyde) p-Anisaldehyde P-Hydroxybenzaldehyde Other aromatic aldehyde-alcohols, aldehyde-ethers, aldehyde-phenols and aldehydes with other oxygen function</w:t>
      </w:r>
    </w:p>
    <w:p>
      <w:pPr>
        <w:pStyle w:val="Normal"/>
        <w:widowControl/>
        <w:rPr/>
      </w:pPr>
      <w:r>
        <w:rPr/>
        <w:t>Hydroxycitronellal Nonaromatic aldehyde-alcohols, other than hydroxycitronellal Nonaromatic aldehyde-ethers, aldehyde-phenols and aldehydes with other oxygen function, nesoi Metaldehyde from cyclic polymers of aldehydes Cyclic polymers of aldehydes, other than Metaldehyde. Paraformaldehyde 4-Fluoro-3-phenoxybenzaldehyde Aromatic halogenated, sulfonated, nitrated or nitrosated derivatives of product of heading 2912 Nonaromatic halogenated, sulfonated, nitrated or nitrosated derivatives of products of heading 2912 Acetone, derived in whole or in part from cumene Acetone, not derived in whole or in part from cumene Butanone (Methyl ethyl ketone) 4-Methylpentan-2-one (Methyl isobutyl ketone) Acyclic ketones without other oxygen function, nesoi Cyclohexanone Methylcyclohexanone Ionones and methylionones Isophorone Natural camphor Synthetic camphor Cyclanic, cyclenic or cycloterpenic ketones without other oxygen function, nesoi Phenylacetone (Phenylpropan-2-one) 7-Acetyl-1,1,3,4,4,6-hexamethyltetrahydronaphthalene; 1-(2-Naphthalenyl)ethanone; and 6-Acetyl-1,1,2,3,3,5-hexamethylindan Aromatic ketones without other oxygen function, nesoi 4-Hydroxy-4-methylpentan-2-one (Diacetone alcohol) 1,2,3-Indantrione monohydrate (Ninhydrin) Aromatic ketone-alcohols and ketone-aldehydes, nesoi 1,3-Dihydroxyacetone Nonaromatic ketone-alcohols and ketone-aldehydes, nesoi 5-Benzoyl-4-hydroxy-2-methoxy-benzenesulfonic acid Aromatic ketone-phenols and ketones with other oxygen function Nonaromatic</w:t>
      </w:r>
    </w:p>
    <w:p>
      <w:pPr>
        <w:pStyle w:val="Normal"/>
        <w:widowControl/>
        <w:rPr/>
      </w:pPr>
      <w:r>
        <w:rPr/>
        <w:t>ketone-phenols and ketones with other oxygen function Anthraquinone Coenzyme Q10 (ubidecarenone (INN) Photographic chemicals of quinones Quinone drugs 1,4-Dihydroxyanthraquinone; and 2-ethylanthraquinone Quinones, nesoi Halogenated, sulfonated, nitrated or nitrosated derivatives: chlordecone (ISO) 2,3-dichloro-1,4-naphthoquinone and other artificial musks Anthraquinone disulfonic acid, sodium salt; and 4-(3,4-Dichlorophenyl)-1-tetralone Other halogenated, sulfonated, nitrated, etc derivatives of aromatic ketones and quinones whether or not with other oxygen function 1-Chloro-5-hexanone Other halogenated, sulfonated, nitrated or nitrosated derivatives of nonaromatic ketones and quinones whether or not with other ogygen function Formic acid Salts of formic acid Aromatic esters of formic acid Nonaromatic esters of formic acid Acetic acid Acetic anhydride Cupric acetate monohydrate Sodium acetate Cobalt acetates Other salts of acetic acid Ethyl acetate Vinyl acetate n-Butyl acetate Dinoseb (ISO) acetate Benzyl acetate Odoriferous or flavoring compounds of aromatic esters of acetic acid, other than benzyl acetate Aromatic esters of acetic acid described in additional U.S.</w:t>
      </w:r>
    </w:p>
    <w:p>
      <w:pPr>
        <w:pStyle w:val="Normal"/>
        <w:widowControl/>
        <w:rPr/>
      </w:pPr>
      <w:r>
        <w:rPr/>
        <w:t>note 3 to section VI Aromatic esters of acetic acid, nesoi Linalyl acetate Odoriferous or flavoring compounds of nonaromatic esters of acetic acid, nesoi Acetates of polyhydric alcohols or of polyhydric alcohol ethers Bis(bromoacetoxy)butene Isobutyl acetate 2-Ethoxyethyl acetate (Ethylene glycol, monoethyl ether acetate) Other non-aromatic esters of acetic acid Chloroacetic acids Aromatic salts and esters of chlorocetic acids, described in additional U.S.</w:t>
      </w:r>
    </w:p>
    <w:p>
      <w:pPr>
        <w:pStyle w:val="Normal"/>
        <w:widowControl/>
        <w:rPr/>
      </w:pPr>
      <w:r>
        <w:rPr/>
        <w:t>note 3 to section VI Aromatic salts and esters of chlorocetic acids, nesoi Nonaromatic salts and esters of chlorocetic acids, nesoi Propionic acid Aromatic salts and esters of propionic acid Nonaromatic salts and esters of propionic acid Aromatic salts and esters of butyric acids and valeric acids Butyric acids, valeric acids, their nonaromatic salts and esters Palmitic acid, stearic acid, their salts and esters Fatty acids of animal or vegetable origin, nesoi Valproic acid Saturated acyclic monocarboxylic acids, nesoi Aromatic anhydrides, halides, peroxides and peroxyacids, of saturated acyclic monocarboxylic acids, and their derivatives, nesoi Nonaromatic anhydrides, halides, peroxides and peroxyacids, of saturated acyclic monocarboxylic acids, and their derivatives, nesoi Acrylic acid and its salts Aromatic esters of acrylic acid Nonaromatic esters of acrylic acid Methacrylic acid and its salts Dicyclopentenyloxyethyl methacrylate Other esters of methacrylic acid Oleic, linoleic or linolenic acids Salts and esters of</w:t>
      </w:r>
    </w:p>
    <w:p>
      <w:pPr>
        <w:pStyle w:val="Normal"/>
        <w:widowControl/>
        <w:rPr/>
      </w:pPr>
      <w:r>
        <w:rPr/>
        <w:t>oleic, linoleic or linolenic acids Binapacryl (ISO) Potassium sorbate Sorbic acid Unsaturated acyclic monocarboxylic acids, nesoi Unsaturated acyclic monocarboxylic acid anhydrides, halides, peroxides, peroxyacids and their derivatives, nesoi Tefluthrin Cyclanic, cyclenic or cycloterpenic monocarboxylic acids, their anhydrides, halides, peroxides, peroxyacids and their derivatives Benzoic acid and its salts Odoriferous or flavoring compounds of benzoic acid esters Benzoic acid esters, except odoriferous or flavoring compounds, described in additional U.S. note 3 to section VI Benzoic acid esters, nesoi Benzoyl peroxide Benzoyl chloride Phenylacetic acid (alpha-Toluic acid) Odoriferous or flavoring compounds of phenylacetic acid and its salts Phenylacetic acid salts, nesoi, described in additional US note 3 to section VI Phenylacetic acid salts, nesoi Benzoic anhydride; tert-butyl peroxybenzoate; p-nitrobenzoyl chloride; 2-nitro-m toluic acid; and 3-nitro-o-toluic acid Specified derivatives of benzoic and toluic acids Cinnamic acid 4-Chloro-3-nitrobenzoic acid 4-Chloro-3,5-dinitrobenzoic acid and its esters Ibuprofen 4-Chlorobenzoic acid 2,2-Dichlorophenylacetic acid ethyl ester and m-toluic acid Odoriferous or flavoring compounds of aromatic monocarboxylic acids, their anhydrides, halides, peroxides, peroxyacids and derivatives Aromatic monocarboxylic acids, their anhydrides, halides, peroxides, peroxyacids and derivatives described in add’l US note 3 to section VI</w:t>
      </w:r>
    </w:p>
    <w:p>
      <w:pPr>
        <w:pStyle w:val="Normal"/>
        <w:widowControl/>
        <w:rPr/>
      </w:pPr>
      <w:r>
        <w:rPr/>
        <w:t>Phenylacetic acid esters, nesoi Other aromatic monocarboxylic acids, their anhydrides, halides, peroxides, peroxyacids and their derivatives Oxalic acid, its salts and esters Adipic acid Plasticizers of adipic acid salts and esters Adipic acid salts and esters, nesoi Azelaic acid, sebacic acid, their salts and esters Maleic anhydride derived in whole or in part from benzene or other aromatic hydrocarbons Maleic anhydride, except derived in whole or in part from benzene or other aromatic hydrocarbons Ferrous fumarate Fumaric acid, derived in whole or in part from aromatic hydrocarbons Fumaric acid except derived in whole or in part from aromatic hydrocarbons Specified acyclic polycarboxylic acids and their derivatives, described in additional U.S. note 3 to section VI Maleic acid Succinic acid, glutaric acid, and their derivatives, and derivatives of adipic, fumeric and maleic acids, nesoi Ethylene brassylate Malonic acid Acyclic polycarboxylic acids, derived from aromatic hydrocarbons, and their derivatives, nesoi Acyclic polycarboxylic acids and derivative (excluding plasticizers) Cyclanic, cyclenic or cycloterpenic polycarboxylic acids, their anhydrides, halides, peroxides, peroxyacids and their derivatives Dioctyl orthophthalates Dinonyl or didecyl orthophthalates Esters of orthophthalic acid, nesoi Phthalic anhydride Terephthalic acid and its salts Dimethyl terephthalate 1,2,4-Benzenetricarboxylic acid,1,2-dianhydride(trimellitic anhydride);naphthalic anhydride;phthalic</w:t>
      </w:r>
    </w:p>
    <w:p>
      <w:pPr>
        <w:pStyle w:val="Normal"/>
        <w:widowControl/>
        <w:rPr/>
      </w:pPr>
      <w:r>
        <w:rPr/>
        <w:t>acid;&amp; 4-sulfo-1,8-naphthalic anhydride Naphthalic anhydride 4,4’-(Hexafluoroisopropyl-indene)bis(phthalic anhydride) Isophthalic acid Tetrabromophthalic anhydride Plasticizers of aromatic polycarboxylic acids, their anhydrides, halides, peroxides, peroxyacids and their derivatives Aromatic polycarboxylic acids, their anhydrides, halides, peroxides, peroxyacids and their derivatives nesoi, in add. U.S. note 3 to sec. VI Other aromatic polycarboxylic acids and their derivatives (excluding those described in additional US note 3 to section VI Lactic acid Salts and esters of lactic acid Tartaric acid Potassium antimony tartrate (Tartar emetic) Potassium bitartrate (Cream of tartar) Potassium sodium tartrate (Rochelle salts) Salts and esters of tartaric acid, nesoi Citric acid Sodium citrate Salts and esters of citric acid, except sodium citrate Gluconic acid Salts and esters of gluconic acid 2,2-Diphenyl-2-hydroxyacetic acid (benzilic acid) Chlorobenzilate (ISO) Benzilic acid, methyl ester Phenylglycolic acid (Mandelic acid) Phenylglycolic (Mandelic) acid salts and esters Aromatic carboxylic acids with alcohol function, w/o other oxygen functions, and their derivatives, described in add. U.S. note 3 to sec.</w:t>
      </w:r>
    </w:p>
    <w:p>
      <w:pPr>
        <w:pStyle w:val="Normal"/>
        <w:widowControl/>
        <w:rPr/>
      </w:pPr>
      <w:r>
        <w:rPr/>
        <w:t>VI Aromatic carboxylic acids with alcohol function, without other oxygen functions, and their derivatives, nesoi Malic acid Nonaromatic carboxylic acids with alcohol function, without other oxygen function, and their derivatives, nesoi Salicylic acid and its salts, suitable for medicinal use Salicylic acid and its salts, not suitable for medicinal use O-Acetylsalicylic acid (Aspirin) Salts and esters Of O-acetylsalicylic acid Salol (Phenyl salicylate) suitable for medicinal use Odoriferous or flavoring compounds of other esters of salicyclic acid and their salts, nesoi Esters of salicylic acid and their salts, described in additional U.S. note 3 to section VI Esters of salicylic acid and their salts, nesoi 2,3-Cresotic acid; m-hydroxybenzoic acid;2-hydroxybenzoic acid, calcium salt; and other specified carboxylic acids w/phenol function 1,6-hexanediol-bis(3,5-dibutyl-4-hydroxyphenyl)propionate m-Hydroxybenzoic acid Gentisic acid; and hydroxycinnamic acid and its salts p-Hydroxybenzoic acid 3-Hydroxy-2-naphthoic acid Gallic acid 4,4-Bis(4-hydroxyphenyl)-pentanoic acid; and 3,5,6-triclorosalicylic acid Carboxylic acids with phenol function but w/o other oxygen function, described in add’l. U.S. note 3 to section VI Other carboxylic acids w/phenol function but w/o other oxygen function &amp; their derivatives (excluding goods of add.</w:t>
      </w:r>
    </w:p>
    <w:p>
      <w:pPr>
        <w:pStyle w:val="Normal"/>
        <w:widowControl/>
        <w:rPr/>
      </w:pPr>
      <w:r>
        <w:rPr/>
        <w:t>US note 3 to section VI) 1-Formylphenylacetic acid, methyl ester 2-Chloro-4,5-difluoro-beta-oxobenzenepropanoic acid, ethyl ester; and ethyl 2-keto-4 phenylbutanoate Aromatic carboxylic acids w/aldehyde or ketone function but w/o other oxygen function &amp; their deriv desc. in add US note 3 to sec VI, nesoi Aromatic carboxylic acids with aldehyde or ketone function, but without other oxygen function, and derivatives, nesoi Dimethyl acetyl succinate; oxalacetic acid diethyl ester sodium salt; 4,4,4-trifluoro-3 oxobutanoic acid, both ethyl &amp; methyl ester versions Non-aromatic carboxylic acids w/aldehyde or ketone function but w/o other oxygen func. their anhydrides, halides, peroxides, etc derivatives 2, 4, 5-T (ISO) (2, 4, 5-trichlorophenoxyacetic acid), its salts and esters p-Anisic acid; clofibrate and 3-phenoxybenzoic acid 1-Hydroxy-6-octadecyloxy-2-naphthalenccarboxylic acid; and 1-hydroxy-6-docosyloxy 2-naphthalene carboxylic acid 2-(4-Chloro-2-methyl-phenoxy)propionic acid and its salts 4-(4-Chloro-2-methyl-phenoxy)butyric acid; p-chlorophenoxyacetic acid; and 2-(2,4 dichlorophenoxy)propionic acid Aromatic pesticides, derived from carboxylic acids with additional oxygen function, and their derivatives, nesoi Aromatic drugs derived from carboxylic acids with additional oxygen function, and their derivatives, nesoi Odoriferous or flavoring compounds of carboxylic acids with additional oxygen function, and their derivatives, nesoi Aromatic carboxylic acids with add’l</w:t>
      </w:r>
    </w:p>
    <w:p>
      <w:pPr>
        <w:pStyle w:val="Normal"/>
        <w:widowControl/>
        <w:rPr/>
      </w:pPr>
      <w:r>
        <w:rPr/>
        <w:t>oxygen function and their anhydrides, halide, etc deriv described in add US note 3 to sect VI, nesoi Other aromatic carboxylic acids with add’l oxygen function and their anhydrides, halide, etc deriv (exclud goods in add US note 3 to sec VI) Nonaromatic carboxylic acids with additional oxygen function, and their derivatives, nesoi Tris (2,3-dibromopropyl phosphate) Triphenyl phosphate plasticizers Other aromatic plasticizers Aromatic phosphoric esters and their salts, including lactophosphates, and their derivatives, not used as plasticizers Nonaromatic phosphoric esters and their salts, including lactophosphates, and their derivatives Parathion (ISO) and parathion-methyl (ISO) (methyl-parathion) O,O-Dimethyl-O-(4-nitro-m-tolyl)-phosphorothioate (Fenitrothion) Other aromatic thiophosphoric esters (phosphorothioates) and their salts; their halogenated, sulfonated, nitrated or nitrosated derivatives Nonaromatic phosphorothioates, their salts and halogenated, sulfonated, nitrated or nitrosated derivatives, nesoi Dimethyl phosphite Diethyl phosphite Trimethyl phosphite Triethyl phosphite Other phosphite esters and their salts; their haolgenated, sulfonated, nitrated or nitrosated derivatives Endosulfan (ISO) Aromatic pesticides of esters of other inorganic acids (excluding hydrogen halides), their salts and their derivatives Aromatic esters of other inorganic acids (excluding hydrogen halides) their salts and their derivatives, nesoi Nonaromatic esters of inorganic acids of</w:t>
      </w:r>
    </w:p>
    <w:p>
      <w:pPr>
        <w:pStyle w:val="Normal"/>
        <w:widowControl/>
        <w:rPr/>
      </w:pPr>
      <w:r>
        <w:rPr/>
        <w:t>nonmetals and their salts and derivatives, excluding esters of hydrogen halides, nesoi Methylamine, di- or trimethylamine, and their salts 2-(N,N-Dimethylamino)ethyl chloride hydrochloride 2-(N,N-Diethylamino)ethyl chloride hydrochloride 2-(N,N,-Diisopropylamino)ethyl chloride hydrochloride Mono- and triethylamines; mono-, di-, and tri(propyl- and butyl-) monoamines; salts of any of the foregoing 3-Amino-3-methyl-1-butyne; (Dimethylamino)isopropyl chloride hydrochloride N,N-Dialkyl (methyl, ethyl, N-Propyl or Isopropyl)-2-Chloroethylamines and their protonated salts; Acylcic monoamines and their derivatives, nesoi Ethylenediamine and its salts Hexamethylenediamine adipate (Nylon salt) Hexamethylenediamine and its salts (except Nylon salt), derived in whole or in part from adipic acid Hexamethylenediamine and its salts (except Nylon salt), not derived in whole or in part from adipic acid Acyclic polyamines, their derivatives and salts, other than ethylenediamine or hexamethylenediamine and their salts 1,3-Bis(aminoethyl)cyclohexane Cyclanic, cyclenic, cycloterpenic mono- or polyamines, derivatives and salts, from any aromatic compound desc in add US note 3, sec.</w:t>
      </w:r>
    </w:p>
    <w:p>
      <w:pPr>
        <w:pStyle w:val="Normal"/>
        <w:widowControl/>
        <w:rPr/>
      </w:pPr>
      <w:r>
        <w:rPr/>
        <w:t>VI Cyclanic, cyclenic, cycloterpenic mono- or polyamines and their derivative, deriv from any aromatic cmpd (excl goods in add US note 3 sec VI Cyclanic, cyclenic or cycloterpenic mono- or polyamines, and their derivatives and salts, from any nonaromatic compounds Aniline Aniline salts N,N-Dimethylaniline N-Ethylaniline and N,N-diethylaniline 2,4,5-Trichloroaniline o-Aminobenzenesulfonic acid; 6-chlorometanilic acid; 2-chloro-5-nitroaniline; 4 chloro-3-nitroaniline; dichloroanilines; and other specified Metanilic acid Sulfanilic acid 3,4-Dichloroaniline m-Chloroaniline;2-chloro-4-nitroaniline;2,5-dicholoraniline-4-sulfonic acid &amp; its monosodium salt; &amp; other specified aniline derivatives Fast color bases of aniline derivatives and their salts Aniline derivatives and their salts of products in additional U.S.</w:t>
      </w:r>
    </w:p>
    <w:p>
      <w:pPr>
        <w:pStyle w:val="Normal"/>
        <w:widowControl/>
        <w:rPr/>
      </w:pPr>
      <w:r>
        <w:rPr/>
        <w:t>note 3 to section VI Other aniline derivatives and their salts 3-Chloro-o-toluidine; and 6-chloro-o-toluidine 4-Chloro-o-toluidine hydrochloride; 5-chloro-o-o-toluidine; 6-chloro-2-toluidine sulfonic acid; 4-chloro-a,a,a-trifluoro-o-toluidine;&amp; other alpha,alpha,alpha-Trifluoro-2,6-dinitro-N,N-dipropyl-p-toluidine (Trifluralin) alpha,alpha,alpha-Trifluoro-o-toluidine; alpha,alpha,alpha-trifluoro-6-chloro-m toluidine N-Ethyl-N-(2-methyl-2-propenyl)-2,6-dinitro-4-(trifluoromethyl)benzenamine 2-Amino-5-chloro-4-ethyl-benzenesulfonic acid; 2-amino-5-chloro-p-toluenesulfonic acid; p-nitro-o-toluidine; and 3-(trifluoromethyl)aniline Toluidines and their derivatives; salts thereof; described in additional U.S. note 3 to section VI Other toluidines and their derivatives; and salts thereof, nesoi 4,4’-Bis(alpha,alpha-dimethlbenzyl)diphenylamine; and N-nitrosodiphenylamine Nitrosodiphenylamine Diphenylamine and its derivatives (except nitrodiphenylamine); salts thereof, described in additional U.S. note 3 to section VI Diphenylamine and its derivatives; salts thereof; excluding goods in additional U.S.</w:t>
      </w:r>
    </w:p>
    <w:p>
      <w:pPr>
        <w:pStyle w:val="Normal"/>
        <w:widowControl/>
        <w:rPr/>
      </w:pPr>
      <w:r>
        <w:rPr/>
        <w:t>note 3 to section VI 7-Amino-1,3-naphthalenedisulfonic acid, specified naphthalenesulfonic acids and their salts; N-phenyl-2-napthylamine Specified aromatic monoamines and their derivatives; salts thereof Mixture of 5- &amp; 8-amino-2-naphthalenesulfonic acid;2-naphthalamine-o-sulfonic acid;&amp; o-naphthionic acid (1-amino-2-naphthalenesulfonic acid) Aromatic monoamines and their derivatives and salts described in additional US note 3 to section VI, nesoi Aromatic monoamines and their derivatives and salts thereof nesoi Amfetamine (INN), benzfetamine (INN), dexamfetamine (INN), etilamfetamine (INN), and other specified INNs; salts thereof 4-Amino-2-stilbenesulfonic acid and its salts, p-ethylaniline; 2,4,6-trimethylaniline (Mesidine); and specified xylidines m-Nitro-p-toluidine Fast color bases of aromatic monamines and their derivatives Aromatic monoamine antidepressants, tranquilizers and other psychotherapeutic agents, nesoi Aromatic monoamine drugs, nesoi Aromatic monoamines and their derivatives nesoi; salts thereof, described in additional U.S.</w:t>
      </w:r>
    </w:p>
    <w:p>
      <w:pPr>
        <w:pStyle w:val="Normal"/>
        <w:widowControl/>
        <w:rPr/>
      </w:pPr>
      <w:r>
        <w:rPr/>
        <w:t>note 3 to section VI Aromatic monoamines and their derivatives and salts thereof, nesoi 4-Amino-2-(N,N-diethylamino)toluene hydrochloride; m- and o-phenylenediamine; toluene-2,4- and -2,5-diamine; and toluene-2,5-diamine sulfate Photographic chemicals of o-, m-, p-phenylenediamine, diaminotoluenes, and their derivatives, and salts thereof o-, m-, p-Phenylenediamine, diaminotoluenes, and their derivatives, and salts thereof, described in additional U.S. note 3 to section VI o-, m-, p-Phenylenediamine, and diaminotoluenes and their derivatives, and salts thereof, nesoi 1,8-diaminonaphthalene (1,8-naphthalenediamino) 5-Amino-2-(p-aminoanilino)benzenesulfonic acid; 4,4-diamino-3-biphenylsulfonic acid; 3,3-dimethylbenzidine (o-tolidine); &amp; other specified 4,4’-Benzidine-2,2’-disulfonic acid;1,4-diaminobenzene-2-sulfonic acid;4,4’ methylenebis-(2,6-diethylaniline);m-xylenediamine; and 1 other 4,4’-Diamino-2,2’-stilbenedisulfonic acid 4,4’-Methylenedianiline Aromatic polyamines and their derivatives and salts thereof, described in additional U.S.</w:t>
      </w:r>
    </w:p>
    <w:p>
      <w:pPr>
        <w:pStyle w:val="Normal"/>
        <w:widowControl/>
        <w:rPr/>
      </w:pPr>
      <w:r>
        <w:rPr/>
        <w:t>note 3 to section VI Aromatic polyamines and their derivatives; salts thereof nesoi Monoethanolamine and its salts Diethanolamine and its salts Dextropropoxyphene (INN) and its salts Triethanolamine Diethylammonium perfluorooctane sulfonate Methyldiethanolamine and ethyldiethanolamine 2-(N,N-Diisopropylamino)ethanol Aromatic amino-alcohols drugs, their ethers and esters, other than those containing &gt; one kind of oxygen function; salts thereof; nesoi 4,4’-Bis(dimethylamino)benzhydrol (Michler’s hydrol) and other specified aromatic amino-alcohols, their ethers and esters; salts thereof N1-(2-Hydroxyethyl-2-nitro-1,4-phenylendiamine; N1,N4,N4-tris(2-hydroxyethyl)-2 nitro-1,4-phenylenediamine; and other specified chemicals Aromatic amino-alcohols, their ethers and esters, other than those containing more than one oxy func described in add. US note 3 to sect VI Other aromatic amino-alcohols, their ethers &amp; esters, other than those contain more than one oxy func (exc goods of add.</w:t>
      </w:r>
    </w:p>
    <w:p>
      <w:pPr>
        <w:pStyle w:val="Normal"/>
        <w:widowControl/>
        <w:rPr/>
      </w:pPr>
      <w:r>
        <w:rPr/>
        <w:t>US note 3 sect VI) Salts of triethanolamine Amino-alcohols, other than those containing more than one kind of oxygen function, their ethers and esters and salts thereof, nesoi 1-Amino-8-hydroxy-3,6-naphthalenedisulfonic acid; and other specified aminohydroxynaphthalenesulfonic acids and their salts 1-Amino-8-hydroxy-4,6-naphthalenedisulfonic acid, monosodium salts Aminohydroxynaphthalene sulfonic acids and their salts of products described in additional US note 3 to section VI Aminohydroxynaphthalene sulfonic acids and their salts, nesoi o-Anisidine; p-anisidine; and p-phenetidine m-Nitro-p-anisidine and m-nitro-o-anisidine as fast color bases m-Nitro-p-anisidine and m-nitro-o-anisidine, nesoi 2-Amino-6-chloro-4-nitrophenol and other specified amino-naphthols and amino- phenols, their ethers and esters; salts thereof o-Aminophenol; and 2,2-bis-[4-(4-aminophenoxy)phenyl]propane m-Diethylaminophenol; m-dimethylaminophenol; 3-ethylamino-p-cresol; and 5 methoxy-m-phenylenediamine 4-Chloro-2,5-dimethoxyaniline; and 2,4-dimethoxyaniline Amino-naphthols and other amino-phenols and their derivatives used as fast color bases Drugs of amino-naphthols and -phenols, their ethers and esters, except those cont. more than one oxygen function; salts thereof, nesoi Photographic chemicals of amino-naphthols and -phenols, their ethers/esters, except those cont.</w:t>
      </w:r>
    </w:p>
    <w:p>
      <w:pPr>
        <w:pStyle w:val="Normal"/>
        <w:widowControl/>
        <w:rPr/>
      </w:pPr>
      <w:r>
        <w:rPr/>
        <w:t>more than one oxygen function; salts, nesoi Amino-naphthols and other amino-phenols and their derivatives of products described in add’l U.S. note 3 to section VI Amino-naphthols and other amino-phenols; their ethers, esters &amp; salts (not containing more than one oxygen function) thereof nesoi Amfepramone (INN), methadone (INN) and normethadone (INN); salts thereof 1-Amino-2,4-dibromoanthraquinone; and 2-Amino-5-chlorobenzophenone 2’-Aminoacetophenone &amp; other specified aromatic amino-aldehydes, -ketones and  quinones, other than those with more than one oxygen function 2-Aminoanthraquinone 1-Aminoanthraquinone Aromatic amino-aldehydes, -ketones and -quinones, other than those with more than one oxygen function; salts; desc in add US note 3 sec VI Aromatic amino-aldehydes, -ketones and -quinones, other than those with more than one oxygen function; salts thereof; nesoi Nonaromatic amino-aldehydes, -ketones and -quinones, other than those with more than one kind of oxygen function, salts thereof; nesoi Lysine and its esters and salts thereof Monosodium glutamate Glutamic acid and its salts, other than monosodium glutamate Anthranilic acid and its salts, described in additional US note 3 to section VI Anthranilic acid and its salts, nesoi Tildine (INN) and its salts (R)-alpha-Aminobenzeneacetic acid;</w:t>
      </w:r>
    </w:p>
    <w:p>
      <w:pPr>
        <w:pStyle w:val="Normal"/>
        <w:widowControl/>
        <w:rPr/>
      </w:pPr>
      <w:r>
        <w:rPr/>
        <w:t>and 2-amino-3-chlorobenzoic acid, methyl ester m-Aminobenzoic acid, technical; and other specified aromatic amino-acids and their esters, except those with more than one oxygen</w:t>
      </w:r>
    </w:p>
    <w:p>
      <w:pPr>
        <w:pStyle w:val="Normal"/>
        <w:widowControl/>
        <w:rPr/>
      </w:pPr>
      <w:r>
        <w:rPr/>
        <w:t>function Aromatic amino-acids drugs and their esters, not containing more than one kind of oxygen function, nesoi Aromatic amino-acids and their esters, excl. those with more than one oxygen function; salts; described in add. U.S. note 3 to sect VI Aromatic amino-acids and their esters, not contng more than 1 kind of oxygen function (excluding goods in add U.S. note 3 to sec VI), nesoi Glycine (aminoacetic acid) Nonaromatic amino-acids, other than those containing more than one kind of oxygen function, other than glycine 3-Aminocrotonic acid, methyl ester; and (R)-alpha-amino-1,4-cyclohexadiene-1-acetic acid Non-aromatic esters of amino-acids, other than those containing more than one kind of oxygen function; salts thereof 3,4-Diaminophenetole dihydrogen sulfate; 2-nitro-5-[(2,3-dihydroxy)propoxy]-N methylaniline; and other specified aromatic chemicals Specified aromatic amino-alcohol-phenols, amino-acid-phenols and other amino- compounds with oxygen function Salts of d(underscored)-(-)-p-Hydroxyphenylglycine Isoetharine hydrochloride and other specified aromatic drugs of amino-compounds with oxygen function Other aromatic cardiovascular drugs of amino-compounds with oxygen function Aromatic dermatological agents and local anesthetics of amino-compounds with oxygen function Aromatic guaiacol derivatives of amino-compounds with oxygen function Aromatic drugs of amino-compounds with oxygen function, nesoi Aromatic amino-alcohol-phenols, amino-acid-phenols and other</w:t>
      </w:r>
    </w:p>
    <w:p>
      <w:pPr>
        <w:pStyle w:val="Normal"/>
        <w:widowControl/>
        <w:rPr/>
      </w:pPr>
      <w:r>
        <w:rPr/>
        <w:t>amino-compounds with oxygen function described in add. US note 3 to section VI Aromatic amino-alcohol-phenols, amino-acid-phenols and other amino-compounds with oxygen function, nesoi Nonaromatic amino-alcohol-phenols, amino-acid-phenols and other amino-compounds with oxygen function Choline and its salts Purified egg phospholipids, pharmaceutical grade meeting requirements of the U.S. FDA for use in intravenous fat emulsion Lecithins and other phosphoaminolipids, nesoi Tetraethylammonium perfluorooctane sulfonate Didecylmethylammonium perfluorooctane sulfonate Quaternary ammonium salts and hydroxides, whether or not chemically defined, nesoi Meprobamate (INN) Fluoroacetamide (ISO), monocrotophos (ISO) and phosphamidon (ISO) Acyclic amides (including acyclic carbamates) Acyclic amide derivatives; salts thereof; nesoi 3-(p-Chlorophenyl)-1,1-dimethylurea (Monuron) 1,1-Diethyl-3-(alpha,alpha,alpah-trifluoro-m-tolyl)urea (Fluometuron) 1-(2-Methylcyclohexyl)-3-phenylurea Aromatic ureines and their derivatives pesticides, nesoi sym-Diethyldiphenylurea Aromatic ureines and their derivatives; salts thereof; described in additional U.S. note 3 to section VI Aromatic ureines and their derivatives; salts thereof, nesoi Nonaromatic ureines and their derivatives; and salts thereof 2-Acetamidobenzoic acid 2-Acetamidobenzoic acid salts described in additional U.S.</w:t>
      </w:r>
    </w:p>
    <w:p>
      <w:pPr>
        <w:pStyle w:val="Normal"/>
        <w:widowControl/>
        <w:rPr/>
      </w:pPr>
      <w:r>
        <w:rPr/>
        <w:t>note 3 to section VI 2-Acetamidobenzoic acid salts, nesoi Ethinamate (INN) Alachlor (ISO) p-Acetanisidide; p-acetoacetatoluidide; 4’-amino-N-methylacetanilide; 2,5 dimethoxyacetanilide; and N-(7-hydroxy-1-naphthyl)acetamide 3,5-Dinitro-o-toluamide Biligrafin acid; 3,5-diacetamido-2,4,6-triiodobenzoic acid; and metrizoic acid Acetanilide; N-acetylsulfanilyl chloride; aspartame; and 2-methoxy-5-acetamino-N,N bis(2-acetoxyethyl)aniline 2-Acetamido-3-chloroanthraquinone; o-acetoacetaidide; o-acetoacetotoluidide; 2,4 acetoacetoxylidide; and 1-amino-5-benzamidoanthraquinone 4-Aminoacetanilide; 2-2-oxamidobis[ethyl-3-(3,5-di-tert-butyl-4 hydroxyphenyl)propionate]; and other specified cyclic amide chemicals 3-Aminomethoxybenzanilide N-[[(4-Chlorophenyl)amino]carbonyl]difluorobenzamide; and 3,5-dichloro-N-(1,1 dimethyl-2-propynyl)benzamide (pronamide) 4-Acetamido-2-aminophenol; p-acetaminobenzaldehyde; acetoacetbenzylamide; p acetoacetophenetidide; N-acetyl-2,6-xylidine; &amp; other specified 3-Hydroxy-2-naphthanilide; 3-hydroxy-2-naphtho-o-toluidide; 3-hydroxy-2-naphtho-o anisidine; 3-hydroxy-2-naphtho-o-phenetidide; &amp; other Naphthol AS and derivatives, nesoi 3-Ethoxycarbonylaminophenyl-N-phenylcarbamate (desmedipham); and Isopropyl-N (3-chlorophenyl)carbamate (CIPC) Other cyclic amides used as pesticides Aromatic cyclic amides for use as fast color bases Diethylaminoacetoxylidide (Lidocaine) Other aromatic cyclic amides and derivatives for use as drugs</w:t>
      </w:r>
    </w:p>
    <w:p>
      <w:pPr>
        <w:pStyle w:val="Normal"/>
        <w:widowControl/>
        <w:rPr/>
      </w:pPr>
      <w:r>
        <w:rPr/>
        <w:t>5-Bromoacetyl-2-salicylamide Aromatic cyclic amides and their derivatives of products described in additional U.S. note 3 to section VI, nesoi Aromatic cyclic amides (incl cyclic carbamates) and their derivatives and salts thereof, nesoi 2,2-Dimethylcyclopropylcarboxamide Other nonaromatic cyclic amides and their derivatives; salts thereof; nesoi Saccharin and its salts Glutethimide (INN) Ethylenebistetrabromophthalimide Bis(o-tolyl)carbodiimide; and 2,2,6,6-tetraisopropyldiphenylcarbodiimide Other aromatic imides and their derivatives; salts thereof; nesoi N-Chlorosuccinimide; and N,N-ethylenebis(5,6-dibromo-2,3 norbornanedicarbooximide Other non-aromatic imides and their derivatives Chlordimeform (ISO) N’-(4-Chloro-o-tolyl)-N,N-dimethylformamidine; bunamidine hydrochloride; and pentamidine N,N’-diphenylguanidine; 3-dimethylaminomethyleneiminophenol hydrochloride; 1,3-di o-tolyguandidine; and one other specified chemical Aromatic drugs of imines and their derivatives, nesoi Aromatic imines and their derivatives; salts thereof (excluding drugs); nesoi Tetramethylguanidine Non-aromatic imines and their derivatives; salts thereof Acrylonitrile 1-Cyanoguanidine (Dicyandiamide) Fenproporex (INN) and its salts 4-Cyano-2-dimethylamino-4,4-diphenylbutane alpha-Phenylacetoacetonitrile 2-Cyano-4-nitroaniline 2-Amino-4-chlorobenzonitrile (5-chloro-2-cyanoaniline); 2-amino-5 chlorobenzonitrile; 4-amino-2-chlorobenzonitrile; and others specified Benzonitrile 2,6-Diclorobenzonitrile</w:t>
      </w:r>
    </w:p>
    <w:p>
      <w:pPr>
        <w:pStyle w:val="Normal"/>
        <w:widowControl/>
        <w:rPr/>
      </w:pPr>
      <w:r>
        <w:rPr/>
        <w:t>Other dichlorobenzonitriles p-Chlorobenzonitrile and verapamil hydrochloride Specifically named derivative of dimethylcyclopropanecarboxylic acid o-Chlorobenzonitrile N,N-Bis(2-cyanoethyl)aniline; and 2,6-diflourobenzonitrile Aromatic fungicides of nitrile-function compounds 3,5-Dibromo-4-hydroxybenzonitrile (Bromoxynil) Aromatic herbicides of nitrile-function compounds, nesoi Other aromatic nitrile-function pesticides Aromatic nitrile-function compounds, nesoi, described in additional U.S. note 3 to section VI Aromatic nitrile-function compounds other than those products in additional U.S. note 3 to section VI, nesoi Nonaromatic nitrile-function compounds, nesoi 4-Aminoazobenzenedisulfonic acid, monosodium salt p-Aminoazobenzenedisulfonic acid; and diazoaminobenzene (1,3-diphenyltriazine) 1,1’-Azobisformamide 1-Naphthalenesulfonic acid, 6-diazo-5,6-dihydro-5-oxo, ester with phenyl compound; and three other specified chemicals Diazo-, azo- or azoxy-compounds used as photographic chemicals Fast color bases and fast color salts, of diazo-, azo- or azoxy-compounds Diazo-, azo- or azoxy-compounds, nesoi, described in additional U.S.</w:t>
      </w:r>
    </w:p>
    <w:p>
      <w:pPr>
        <w:pStyle w:val="Normal"/>
        <w:widowControl/>
        <w:rPr/>
      </w:pPr>
      <w:r>
        <w:rPr/>
        <w:t>note 3 to section VI Other diazo-, azo- or azoxy-compounds, nesoi Methyl ethyl ketoxime Phenylhydrazine Aromatic organic derivatives of hydrazine or of hydroxylamine Nonaromatic drugs of organic derivatives of hydrazine or of hydroxylamine, other than Methyl ethyl ketoxime Nonaromatic organic derivatives of hydrazine or of hydroxylamine, nesoi Toluenediisocyanates (unmixed) Mixtures of 2,4- and 2,6-toluenediisocyanates Bitolylene diisocyanate (TODI); o-Isocyanic acid, o-tolyl ester; and Xylene diisocyanate N-Butylisocyanate; cyclohexyl isocyanate; 1-isocyanato-3-(trifluoromethyl)benzene; 1,5-naphthalene diisocyanate; and octadecyl isocyanate 3,4-Dichlorophenylisocyanate 1,6-Hexamethylene diisocyanate Isocyanates of products described in additioonal U.S. note 3 to sect VI Other isocyanates, nesoi 2,2-Bis(4-cyanatophenyl)-1,1,1,3,3,3,-hexafluoropropane; 2,2-bis(4 cyanatophenyl)propane; 1,1-ethylidenebis(phenyl-4-cyanate); and 2 others Other aromatic compounds with other nitrogen function of products described in additional U.S.</w:t>
      </w:r>
    </w:p>
    <w:p>
      <w:pPr>
        <w:pStyle w:val="Normal"/>
        <w:widowControl/>
        <w:rPr/>
      </w:pPr>
      <w:r>
        <w:rPr/>
        <w:t>note 3 to section VI Aromatic compounds with other nitrogen function, nesoi Nonaromatic compounds with other nitrogen functions, except isocyanates Aromatic pesticides of thiocarbamates and dithiocarbamates Aromatic compounds of thiocarbamates and dithiocarbamates, excluding pesticides S-(2,3,3-trichloroallyl)diisopropylthiocarbamate Other non-aromatic thiocarbamates and dithiocarbamates Tetramethylthiuram monosulfide Thiuram mono-, di- or tetrasulfides, other than tetramethylthiuram monosulfide Methionine 2-(N,N-Diethylamino)ethanethiol Bis(2-hydroxyethyl)sulfide (thiodiglycol (INN)) Aldicarb (ISO), captafol (ISO) and methamidophos (ISO) Aromatic pesticides of organo-sulfur compounds, nesoi N-Cyclohexylthiophthalimide 3-(4-Aminobenzamido)phenyl-beta-hydroxyethylsulfone; 2-[(4 aminophenyl)sulfonyl]ethanol, hydrogen sulfate ester; diphenylthiourea; &amp; others Other aromatic organo-sulfur compounds (excluding pesticides) Thiocyanates, thiurams and isothiocyanates O,O-Dimethyl-S-methylcarbamoylmethyl phosphorodithioate; and malathion Other non-aromatic organo-sulfur compounds used as pesticides dl(underscored)-Hydroxy analog of dl(underscored)-methionine Nonaromatic organo-sulfur acids, nesoi Dibutylthiourea Other non-aromatic organo-sulfur compounds Tetramethyl lead &amp; tetraethyl lead Tributyltin compounds Dimethyl methylphosphonate Dimethyl propylphosphonate Diethyl ethylphosphonate Sodium 3-(trihydroxysilyl)propyl methylphosphonate</w:t>
      </w:r>
    </w:p>
    <w:p>
      <w:pPr>
        <w:pStyle w:val="Normal"/>
        <w:widowControl/>
        <w:rPr/>
      </w:pPr>
      <w:r>
        <w:rPr/>
        <w:t>2,4,6-Tripropyl-1,3,5,2,4,6-trioxatriphosphinane-2,4,6-trioxide (5-Ethyl-2-methyl-2-oxido-1,3,2-dioxaphosphinan-5-yl)methyl methylphosphonate Bis[(5-ethyl-2-methyl-2-oxido-1,3,2-dioxaphosphinan-5-yl)methyl] methylphosphonate Salt of methylphosphonic acid and (aminoiminiomethyl)urea (1:1) Other organo-phosphorous derivatives, nesoi Diphenyldichlorosilane; and phenyltrichlorosilane 4,4’-Diphenyl-bis-phosphonous acid, di(2’,2“,4’,4”-di-tert-butyl)phenyl ester Sodium tetraphenylboron Drugs of aromatic organo-inorganic (except organo-sulfur) compounds Pesticides of aromatic organo-inorganic (except organo-sulfur) compounds Aromatic organo-inorganic compounds, nesoi, described in additional U.S. note 3 to section VI Other aromatic organo-inorganic compounds (excluding products described in additional U.S. note 3 to section VI) N,N’-Bis(trimethylsilyl)urea;2-Phosphonobutane-1,2,4-tricarboxylic acid and its salts; and one other specified chemical Other non-aromatic organo-inorganic compounds Tetrahydrofuran 2-Furaldehyde (Furfuraldehyde) Furfuryl alcohol and tetrahydrofurfuryl alcohol Sucralose Aromatic heterocyclic compounds with oxygen hetero-atom(s) only, containing an unfused furan ring, nesoi Nonaromatic compounds containing an unfused furan ring (whether or not hydrogenated) in the ring Coumarin, methylcoumarins and ethylcoumarins Aromatic pesticides of lactones Aromatic drugs of lactones 4-Hydroxycoumarin Aromatic lactones, nesoi, described in additional U.S.</w:t>
      </w:r>
    </w:p>
    <w:p>
      <w:pPr>
        <w:pStyle w:val="Normal"/>
        <w:widowControl/>
        <w:rPr/>
      </w:pPr>
      <w:r>
        <w:rPr/>
        <w:t>note 3 to section VI Aromatic lactones, nesoi Nonaromatic lactones Isosafrole 1-(1,3-Benzodioxol-5-yl)propan-2-one Piperonal (heliotropin) Safrole Tetrahydrocannabinols (all isomers) 2,2-Dimethyl-1,3-benzodioxol-4-yl methylcarbamate (Bendiocarb) 2-Ethoxy-2,3-dihydro-3,3-dimethyl-5-benzofuranylmethanesulfonate Aromatic pesticides of heterocyclic compounds with oxygen hetero-atom(s) only, nesoi Benzofuran (Coumarone); and Dibenzofuran (Diphenylene oxide) 2-Hydroxy-3-dibenzofurancarboxylic acid Benzointetrahydropyranyl ester; and Xanthen-9-one Bis-O-[(4-methylphenyl)methylene]-D-glucitol (Dimethylbenzylidene sorbitol); and Rhodamine 2C base Aromatic heterocyclic compounds with oxygen hetero-atom(s) only described in additional U.S. note 3 to section VI, nesoi Aromatic heterocyclic compounds with oxygen hetero-atom(s) only, nesoi Nonaromatic heterocyclic compounds with oxygen hetero-atom(s) only, nesoi Phenazone (Antipyrine) and its derivatives Aminoethylphenylpyrazole (phenylmethylaminopyrazole); 3-methyl-1-(p-tolyl)-2 pyrazolin-5-one (p-tolylmethylpyrazolone) 3-(5-Amino-3-methyl-1H-pyrazol-1-yl)benzenesulfonic acid; amino-J-pyrazolone; and another 12 specified chemicals 1,2-Dimethyl-3,5-diphenyl-1H-pyrazolium methyl sulfate (difenzoquat methyl sulfate) 2-Chloro-5-sulfophenylmethylpyrazolone; phenylcarbethyoxypyrazolone; and 3 other specified chemicals Aromatic or modified aromatic pesticides containing an unfused pyrazole ring (whether or not hydrogenated) in the structure</w:t>
      </w:r>
    </w:p>
    <w:p>
      <w:pPr>
        <w:pStyle w:val="Normal"/>
        <w:widowControl/>
        <w:rPr/>
      </w:pPr>
      <w:r>
        <w:rPr/>
        <w:t>Aromatic or modified aromatic photographic chemicals containing an unfused pyrazole ring (whether or n/hydrogenated) in the structure, nesoi Aromatic or modified aromatic drugs of heterocyclic compounds with nitrogen hetero- atom(s) only containing an unfused pyrazole ring Aromatic or mod. aromatic compound desc in add US note 3 to section VI contain an unfused pyrazole ring (w/wo hydrogenated) in the structure Aromatic or modified aromatic compounds (excluding products in add US note 3 to sec VI) containing an unfused pyrazole ring in the structure Nonaromatic drugs of heterocyclic compounds with nitrogen hetero-atom(s) only containing an unfused pyrazole ring 3-Methyl-5-pyrazolone Other compound (excluding aromatic, modified aromatic &amp; drugs) containing unfused pyrazole ring (whether or n/hydrogenated) in the structure Hydantoin and its derivatives 1-[1-((4-Chloro-2-(trifluoromethyl)phenyl)imino)-2-propoxyethyl]-1H-imidazole (triflumizole); and ethylene thiourea 2-Phenylimidazole Aromatic or modified aromatic drugs of heterocyclic compounds with nitrogen hetero- atom(s) only cont. an unfused imidazole ring Aromatic or mod.</w:t>
      </w:r>
    </w:p>
    <w:p>
      <w:pPr>
        <w:pStyle w:val="Normal"/>
        <w:widowControl/>
        <w:rPr/>
      </w:pPr>
      <w:r>
        <w:rPr/>
        <w:t>aromatic goods in add US note 3 to sect VI containing an unfused imidazole ring (whether or n/hydrogenated) in structure Aromatic or mod aromatic goods contng unfused imidazole ring (whether or n/hydrogenated) in the structure (exc prod in add US note 3 sec VI) Nonaromatic drugs of heterocyclic compounds with nitrogen hetero-atom(s) only, containing an unfused imidazole ring, nesoi Imidazole Other compounds (excluding drugs, aromatic and modified aromatic compounds) containing an unfused imidazole ring (whether or n/hydrogenated) Pyridine and its salts Piperidine Piperidine salts Alfentanil (INN), anileridine (INN), bezitramide (INN), bromazepam (INN), difenoxin (INN), and other specified INNs; salts thereof 1-(3-Sulfapropyl)pryidinium hydroxide; N,N-bis(2,2,6,6-tetramethyl-4-piperidinyl)-1,6 hexanediamine; and 5 other specified chemicals Collidines, lutidines and picolines Quinuclidin-3-ol p-Chloro-2-benzylpyridine &amp; other specified heterocyclic compounds, w nitrogen hetero-atom(s) only cont.</w:t>
      </w:r>
    </w:p>
    <w:p>
      <w:pPr>
        <w:pStyle w:val="Normal"/>
        <w:widowControl/>
        <w:rPr/>
      </w:pPr>
      <w:r>
        <w:rPr/>
        <w:t>an unfused pyridine ring Fungicides of heterocyclic compounds with nitrogen hetero-atom(s) only, containing an unfused pyridine ring o-Paraquat dichloride Herbicides nesoi, of heterocyclic compounds with nitrogen hetero-atom(s) only, containing an unfused pyridine ring Pesticides nesoi, of heterocyclic compounds with nitrogen hetero-atom(s) only, containing an unfused pyridine ring Psychotherapeutic agents of heterocyclic compounds with nitrogen hetero-atom(s) only, containing an unfused pyridine ring, nesoi Drugs containing an unfused pyridine ring (whether or not hydrogenated) in the structure, nesoi Heterocyclic compounds with nitrogen hetero-atom(s) only containing an unfused pyridine ring, described in add. US note 3 to sec. VI Heterocyclic compounds with nitrogen hetero-atom(s) only containing an unfused pyridine ring, nesoi Levorphenol (INN) and its salts 4,7-Dichloroquinoline Ethoxyquin (1,2-Dihydro-6-ethoxy-2,2,4-trimethylquinoline) 8-Methylquinoline and Isoquinoline Ethyl ethyl-6,7,8-trifluoro-1,4-dihydro-4-oxo-3-quinoline carboxylate 5-Chloro-7-iodo-8-quinolinol (Iodochlorhydroxyquin); Decoquinate; Diiodohydroxyquin; and Oxyquinoline sulfate Drugs containing a quinoline or isoquinoline ring-system (whether or not hydrogenated) not further fused, nesoi Pesticides of heterocyclic compounds with nitrogen hetero-atom(s) only, cont. a quinoline or isoquinoline ring-system, not further fused Products described in add.</w:t>
      </w:r>
    </w:p>
    <w:p>
      <w:pPr>
        <w:pStyle w:val="Normal"/>
        <w:widowControl/>
        <w:rPr/>
      </w:pPr>
      <w:r>
        <w:rPr/>
        <w:t>US note 3 to sec VI containing quinoline or isoquinoline ring-system (whether or n/hydrogenated), n/further fused Heterocyclic compounds with nitrogen hetero-atom(s) only, containing a quinoline ring-system, not further fused, nesoi Malonylurea (barbituric acid) Salts of barbituric acid Allobarbital (INN), amobarbital (INN), barbital (INN), butalbital (INN), butobarbital, and other specified INNs; salts thereof Other derivatives of malonylurea (barbituric acid); salts thereof Loprazolam (INN), mecloqualone (INN), methaqualone (INN) and zipeprol (INN); salts thereof Aromatic or modified aromatic herbicides of heterocyclic compounds with nitrogen hetero-atom(s) only, cont. a pyrimidine or piperazine ring Aromatic or mod. aromatic pesticides nesoi, of heterocyclic compounds with nitrogen hetero-atom(s) only cont. pyrimidine or piperazine ring Nonaromatic pesticides of heterocyclic compounds with nitrogen hetero-atom(s) only, cont. pyrimidine or piperazine ring, nesoi Antihistamines, including those principally used as antinauseants Nicarbazin and trimethoprim Anti-infective agents nesoi, of heterocyclic compounds with nitrogen hetero-atom(s) only, cont. pyrimidine, piperazine ring Psychotherapeutic agents of heterocyclic compounds with nitrogen hetero-atom(s) only, cont.</w:t>
      </w:r>
    </w:p>
    <w:p>
      <w:pPr>
        <w:pStyle w:val="Normal"/>
        <w:widowControl/>
        <w:rPr/>
      </w:pPr>
      <w:r>
        <w:rPr/>
        <w:t>pyrimidine or piperazine ring, nesoi Other aromatic or modified aromatic drugs containing a pyrimidine ring (whether or not hydrogenated) or piperazine ring in the structure Nonaromatic drugs of heterocyclic compounds nesoi, with nitrogen hetero-atom(s) only, cont. a pyrimidine or piperazine ring Aromatic heterocyclic compounds nesoi, with nitrogen hetero-atom(s) only, cont. pyrimidine or piperazine ring, in add. U.S. note 3, sec. VI Aromatic or modified aromatic heterocyclic compounds nesoi, with nitrogen hetero- atom(s) only, cont. pyrimidine or piperazine ring 2-Amino-4-chloro-6-methoxypyrimidine; 2-amino-4,6-dimethoxypyrimidine; and 6 methyluracil Other (excluding aromatic or mod aromatic) compds containing pyrimidine ring (whether or n/hydrogenated) or piperazine ring in the structure Melamine 2,4-Diamino-6-phenyl-1,3,5-triazine Hexamethylenetetramine Other compounds containing an unfused triazine ring (whether or not hydrogenated) in the structure 6-Hexanelactam (epsilon-Caprolactam) Clobazam (INN) and methyprylon (INN) 2,4-Dihydro-3,6-diphenylpyrrolo-(3,4-C)pyrrole-1,4-dione Aromatic or modified aromatic lactams with nitrogen hetero-atoms only described in additional U.S.</w:t>
      </w:r>
    </w:p>
    <w:p>
      <w:pPr>
        <w:pStyle w:val="Normal"/>
        <w:widowControl/>
        <w:rPr/>
      </w:pPr>
      <w:r>
        <w:rPr/>
        <w:t>note 3 to section VI Aromatic or modified aromatic lactams, nesoi N-Methyl-2-pyrrolidone; and 2-pyrrolidone N-Vinyl-2-pyrrolidone, monomer 12-Aminododecanoic acid lactam Aromatic or modified aromatic lactams with nitrogen hetero-atoms only, nesoi Alprazolam (INN), camazepam (INN), chlordiazepoxide (INN), clonazepam (INN), clorazepate, and other specified INNs; salts thereof Azinphos-methyl Butyl (R)-2-[4-(5-triflouromethyl-2-pyridinyloxy)phenoxy]propanoate 2-[4-[(6-Chloro-2-quinoxalinyl)oxy]phenoxy]propionic acid, ethyl ester; and 1 other specified aromatic chemical Acridine and indole alpha-Butyl-alpha-(4-chlorophenyl)-1H-1,2,4-triazole-1-propanenitrile (Mycolbutanil); and one other specified aromatic chemical Acetoacetyl-5-aminobenzimidazolone; 1,3,3-Trimethyl-2-methyleneindoline; and two other specified aromatic chemicals Carbazole 6-Bromo-5-methyl-1H-imidazo-(4,5-b)pyridine; 2-sec-butyl-4-tert-butyl-6 (benzotriazol-2-yl)phenol; 2-methylindoline; and other specific 5-Amino-4-chloro-alpha-phenyl-3-pyridazinone o-Diquat dibromide (1,1-Ethylene-2,2-dipyridylium dibromide) Aromatic or modified aromatic insecticides with nitrogen hetero-atom(s) only, nesoi Other heterocyclic aromatic or modified aromatic pesticides with nitrogen hetero- atom(s) only, nesoi Aromatic or modified aromatic photographic chemicals with nitrogen hetero-atom(s) only Aromatic or modified aromatic antihistamines of heterocyclic compounds with nitrogen hetero-atom(s) only Acriflavin; Acriflavin</w:t>
      </w:r>
    </w:p>
    <w:p>
      <w:pPr>
        <w:pStyle w:val="Normal"/>
        <w:widowControl/>
        <w:rPr/>
      </w:pPr>
      <w:r>
        <w:rPr/>
        <w:t>hydrochloride; Carbadox; Pyrazinamide Aromatic or modified aromatic anti-infective agents of heterocyclic compounds with nitrogen hetero-atom(s) only, nesoi Hydralazine hydrochloride Aromatic or modified aromatic cardiovascular drugs of heterocyclic compounds with nitrogen hetero-atom(s) only, nesoi Aromatic or modified aromatic analgesics and certain like affecting chemicals, of heterocyclic compounds with nitrogen hetero-atom(s) only Droperidol; and Imipramine hydrochloride Aromatic/modified aromatic psychotherapeutic agents, affecting the CNS, of heterocyclic compounds with nitrogen hetero-atom(s) only, nesoi Aromatic or modified aromatic anticonvulsants, hypnotics and sedatives, of heterocyclic compounds with nitrogen hetero-atom(s) only, nesoi Aromatic or modified aromatic drugs affecting the central nervous system, of heterocyclic compounds with nitrogen atom(s) only, nesoi Aromatic or modified aromatic drugs of heterocyclic compounds with nitrogen hetero- atom(s) only, nesoi Aromatic or modified aromatic compounds with nitrogen hetero-atom(s) only described in additional U.S. note 3 to section VI Aromatic or mod. aromatic compounds with nitrogen hetero-atom(s) only other than products described in add. U.S.</w:t>
      </w:r>
    </w:p>
    <w:p>
      <w:pPr>
        <w:pStyle w:val="Normal"/>
        <w:widowControl/>
        <w:rPr/>
      </w:pPr>
      <w:r>
        <w:rPr/>
        <w:t>note 3 to section VI, nesoi 3-Amino-1,2,4-triazole Hexamethyleneimine Nonaromatic drugs of heterocyclic compounds with nitrogen hetero-atom(s) only, nesoi Nonaromatic heterocyclic compounds with nitrogen hetero-atom(s) only, nesoi Aromatic or modified aromatic heterocyclic compounds cont. an unfused thiazole ring, described in add. U.S. note 3 to section VI Aromatic or modified aromatic heterocyclic compounds, nesoi, containing an unfused thiazole ring 4,5-Dichloro-2-n-octyl-4-isothiazolin-3-one; thiothiamine hydrochloride; and 4 other specified chemicals Other compounds (excluding aromatic or modified aromatic) containing an unfused thiazole ring (whether or not hydrogenated) in the structure N-tert-Butyl-2-benzothiazolesulfenamide 2,2’-Dithiobisbenzothiazole 2-Mercaptobenzothiazole; and N-(Oxydiethylene)benzothiazole-2-sulfenamide 2-Mercaptobenzothiazole, sodium salt (2-Benzothiazolethiol, sodium salt) 2-Amino-5,6-dichlorobenzothiazole; 2-amino-6-nitrobenzothiazole; and 2 other specified chemicals 2-Amino-6-methoxybenzothiazole and other specified heterocyclic compounds, cont. a benzothiazole ring-system, not further fused Pesticides containing a benzothiazole ring-system, not further fused Heterocyclic compounds containing a benzothiazole ring-system, not further fused, described in add. U.S.</w:t>
      </w:r>
    </w:p>
    <w:p>
      <w:pPr>
        <w:pStyle w:val="Normal"/>
        <w:widowControl/>
        <w:rPr/>
      </w:pPr>
      <w:r>
        <w:rPr/>
        <w:t>note 3 to section VI Other compounds containing a benzothiazole ring system (whether or not hydrogenated), not further fused 2-(Trifluoromethyl)phenothiazine Ethyl (1H-phenothiazin-2,4,1)carbamate Antidepressants, tranquilizers and other pschotherapeutic agents containing a phenothiazine ring-system, not further fused Other drugs containing a phenothiazine ring system (whether or not hydrogenated), not further fused, nesoi Products described in add. US note 3 to section VI containing a phenothiazine ring system (whether or not hydrogenated), not further fused Heterocyclic compounds containing a phenothiazine ring-system (whether or not hydrogenated), not further fused, nesoi Aminorex (INN), brotizolam (INN), clotiazepam (INN), cloxazolam (INN), dextromoramide (INN), and other specified INNs; salts thereof Mycophenolate mofetil 2-Acetylbenzo(b)thiophene; and 2 other specified aromatic or modified aromatic compounds 5-Amino-3-phenyl-1,2,4-thiadiazole(3-Phenyl-5-amino-1,2,4-thiadiazole); and 3 other specified aromatic/mod.</w:t>
      </w:r>
    </w:p>
    <w:p>
      <w:pPr>
        <w:pStyle w:val="Normal"/>
        <w:widowControl/>
        <w:rPr/>
      </w:pPr>
      <w:r>
        <w:rPr/>
        <w:t>aromatic heterocyclic compounds 7-Nitronaphth[1,2]oxadiazole-5-sulfonic acid and its salts Ethyl 2-[4-[(6-chloro-2-benzoxazoyl)oxy]phenoxy]propanoate (Fenoxaprop- ethyl) 2,5-Diphenyloxazole 1,2-Benzisothiazolin-3-one 2-tert-Butyl-4-(2,4-dichloro-5-isopropoxyphenyl)-delta(squared)-1,3,4-oxadiazolin-5 one; Bentazon; Phosalone Aromatic or modified aromatic fungicides of other heterocyclic compounds, nesoi Aromatic or modified aromatic herbicides of other heterocyclic compounds, nesoi Aromatic or modified aromatic insecticides of other heterocyclic compounds, nesoi Aromatic or modified aromatic pesticides nesoi, of other heterocyclic compounds, nesoi Aromatic or modified aromatic photographic chemicals of other heterocyclic compounds, nesoi Aromatic or modified aromatic drugs of other heterocyclic compounds, nesoi Aromatic or modified aromatic other heterocyclic compounds described in additional U.S.</w:t>
      </w:r>
    </w:p>
    <w:p>
      <w:pPr>
        <w:pStyle w:val="Normal"/>
        <w:widowControl/>
        <w:rPr/>
      </w:pPr>
      <w:r>
        <w:rPr/>
        <w:t>note 3 to section VI Aromatic or modified aromatic other heterocyclic compounds, nesoi Nonaromatic drugs of other heterocyclic compounds, nesoi Morpholinethyl chloride hydrochloride; 2-methyl-2,5-dioxo-1-oxa-2-phospholan; and 1 other specified nonaromatic chemical Nonaromatic other heterocyclic compounds, nesoi N-Methyl perfluorooctane sulfonamide N-Ethyl perfluorooctane sulfonamide N-Ethyl -N-(2-hydroxyethyl)perfluorooctane sulfonamide N-(2-hydroxyethyl)-N-methyl perfluorooctane sulfonamide Other perfluorooctane sulfonamides 4-Amino-6-chloro-m-benzenedisulfonamide and Methyl-4 aminobenzenesulfonylcarbamate (Asulam) 2-Amino-N-Ethylbenzenesulfonanilide etc (5-[2-Chloro-4-(Trifluoromeythyl)phenoxy]-N-(Methylsulfonyl)-2 Nitrobenzamide)(fomesafen); etc ortho-Toluenesulfonamide Sulfonamides used as fast color bases and fast color salts Acetylsulfaguanidine Sulfamethazine Acetylsulfisoxazole; Sulfacetamide, sodium; and Sulfamethazine, sodium Sulfathiazole and Sulfathiazole, sodium Salicylazosulfapyridine (Sulfasalazine); Sulfadiazine; Sulfaguanidine; Sulfamerizine; and Sulfapyridine Other sulfonamides used as anti-infective agents Other sulfonamide drugs (excluding anti-infective agents) Other sulfonamides (excluding drugs, etc) of products descibed in US note 3 to section Other sulfonamides, excluding drugs, excluding products described in US note 4 to section 6 Vitamins A and their derivatives, unmixed, natural or synthesized Vitamin B1 (Thiamine) and its derivatives,</w:t>
      </w:r>
    </w:p>
    <w:p>
      <w:pPr>
        <w:pStyle w:val="Normal"/>
        <w:widowControl/>
        <w:rPr/>
      </w:pPr>
      <w:r>
        <w:rPr/>
        <w:t>unmixed, natural or synthesized Vitamin B2 (Riboflavin) and its derivatives, unmixed, natural or synthesized Vitamin B3 or B5 (d- or dl-Pantothenic acid) and its derivatives, unmixed, natural or synthesized Vitamin B6 (Pyridoxine and related compounds with Vitamin B6 activity) and its derivatives, unmixed, natural or synthesized Vitamin B12 (Cyanocobalamin and related compounds with Vitamin B12 activity) and its derivatives, unmixed, natural or synthesized Vitamin C (Ascorbic acid) and its derivatives, unmixed, natural or synthesized Vitamin E (Tocopherols and related compounds with Vitamin E activity) and its derivatives, unmixed, natural or synthesized Folic acid and its derivatives, unmixed Niacin an niacinamide Aromatic or modified aromatic vitamins and their derivatives, nesoi Other vitamins and their derivatives, nesoi Vitamins or provitamins (including natural concentrates) and intermixtures of the foregoing, whether or not in any solvent Somatotropin, its derivatives and structural analogues Insulin and its salts Polypeptide hormones, protein hormones and glycoprotein hormones, their derivatives and structural analogues, nesoi Cortisone, hydrocortisone, prednisone (Dehydrocortisone) and prednisolone (Dehydrohydrocortisone) Halogenated derivatives of corticosteroidal hormones Estrogens and progestins obtained directly or indirectly from animal or vegetable materials Estradiol benzoate; and Estradiol cyclopentylpropionate (estradiol cypionate) Other estrogens and</w:t>
      </w:r>
    </w:p>
    <w:p>
      <w:pPr>
        <w:pStyle w:val="Normal"/>
        <w:widowControl/>
        <w:rPr/>
      </w:pPr>
      <w:r>
        <w:rPr/>
        <w:t>progestins not derived from animal or vegetable materials, nesoi Desonide; and Nandrolone phenpropionate Steroidal hormones, their derivatives and structural analogues, nesoi Prostaglandins, thromboxanes and leukotrienes, their derivatives and structural analogues Epinephrine Epinephrine hydrochloride Catecholamine hormones, their derivatives and structural analogues, nesoi l-Thyroxine(Levothyroxine), sodium Amino-acid derivatives of hormones and their derivatives, nesoi Other hormones,their derivatives and structural analogues,other steroid derivatives and structural analogue used primarily as hormones,nesoi Rutoside (Rutin) and its derivatives Glycosides, natural or synthesized, and their salts, ethers, esters, and other derivatives other than rutoside and its derivatives Concentrates of poppy straw; buprenorphine (INN), codeine, dihydrocodeine (INN), ethylmorphine, and other specified INNs; salts thereof Papaverine and its salts Synthetic alkaloids of opium and their derivatives; salts thereof; nesoi Nonsynthetic alkaloids of opium and their derivatives; salts thereof; nesoi Alkaloids of cinchona, and their derivatives; salts thereof, other than quinine and its salts Caffeine and its salts Ephedrine and its salts Pseudoephedrine and its salts Cathine (INN) and its salts Norephedrine &amp; its salts Ephedrines and their salts, other than ephedrine, cathine, norephedrine, pseudoephedrine and their salts Fenetylline (INN) its salts Theophylline aminophylline</w:t>
      </w:r>
    </w:p>
    <w:p>
      <w:pPr>
        <w:pStyle w:val="Normal"/>
        <w:widowControl/>
        <w:rPr/>
      </w:pPr>
      <w:r>
        <w:rPr/>
        <w:t>(Theophylline-ethylenediamine) and their derivatives; salts thereof; nesoi Ergometrine and its salts Ergotamine and its salts Lysergic acid and its salts Alkaloids of rye ergot and their derivatives, nesoi; salts thereof Cocaine, ecgonine, levometamfetamine, metamfetamine (INN), metamfetamine racemate;salts, esters and other derivatives thereof Vegetable alkaloids, natural or reproduced by synthesis, their salts and other derivatives, nesoi Other alkaloids, natural or reproduced by synthesis and their salts, ethers, esters &amp; other derivatives, nesoi D-Arabinose Other sugars, nesoi excluding d-arabinose Ampicillin and its salts Penicillin G salts Carfecillin, sodium; cloxacillin, sodium; dicloxacillin, sodium; flucloxacillin (Floxacillin); and oxacillin, sodium Penicillins and their derivatives nesoi, with a penicillanic acid structure; salts thereof Dihydrostreptomycins and its derivatives; salts thereof Streptomycins and their derivatives; salts thereof, nesoi Tetracyclines and their derivatives; salts thereof Chloramphenicol and their derivatives; salts thereof Erythromycin and their derivatives; salts thereof Natural antibiotics, nesoi Antibiotics, nesoi, aromatic or modified aromatic, other than natural Antibiotics nesoi, other than aromatic or modified aromatic antibiotics [2,2’-Thiobis(4-(1,1,3,3-tetramethyl-n-butyl)phenolato)(2,1)]-O,O’,S-s(1-butanamine), nickel II Aromatic or modified aromatic drugs of other organic compounds, nesoi Aromatic or modified aromatic</w:t>
      </w:r>
    </w:p>
    <w:p>
      <w:pPr>
        <w:pStyle w:val="Normal"/>
        <w:widowControl/>
        <w:rPr/>
      </w:pPr>
      <w:r>
        <w:rPr/>
        <w:t>organic compounds, nesoi, described in additional U.S. note 3 to section VI Other aromatic or modified aromatic organic compounds (excluding products described in additional U.S. note 3 to section VI) Nonaromatic organic compounds, nesoi Extracts of glands or other organs or of their secretions for organotherapeutic uses Glands and other organs for organotherapeutic uses, dried, whether or not powdered Malaria diagnostic test kits Antisera and other blood fractions including human blood and fetal bovine serum Immunological products, unmixed, not put up in measured doses or in forms or packings for retail sale Immunological products, mixed, not put up in measured doses or in forms or packings for retail sale Immunological products, put up in measured doses or in forms or packings for retail sale Blood fractions, nesoi Vaccines for human medicine Vaccines for veterinary medicine Ferments, excluding yeasts Human blood; animal blood prepared for therapeutic, prophylactic, diagnostic uses; toxins, cultures of micro-organisms nesoi &amp; like products Medicaments, cont.</w:t>
      </w:r>
    </w:p>
    <w:p>
      <w:pPr>
        <w:pStyle w:val="Normal"/>
        <w:widowControl/>
        <w:rPr/>
      </w:pPr>
      <w:r>
        <w:rPr/>
        <w:t>penicillins or streptomycins, not dosage form and not packed for retail Medicaments containing antibiotics, nesoi, not dosage form and not packaged for retail Medicaments containing insulin, not dosage form and not packed for retail Medicaments containing artificial mixtures of natural hormones, but not antibiotics, not dosage form and not packed for retail Medicaments containing products of heading 2937, nesoi, but not antibiotics, not dosage form and not packed for retail Medicaments containing ephedrine or its salts, not dosage form and not packed for retail Medicaments containing pseudoephedrine (INN) or its salts, not dosage form and not packed for retail Medicaments containing norephedrine or its salts, not dosage form and not packed for retail Other medicaments containing alkaloids or derivatives thereof, nesoi, not dosage form and not packed for retail Other medicaments containing antimalarial active principles described in subheading note 2 to this chapter, not dosage form and not packed for retail Other medicaments excl goods of heading 3002, 3005, 3006 consist of two or more consituents mixed together, not dosage form and not packed for retail Medicaments containing penicillin G salts, in dosage form and packed for retail Medicaments cont.</w:t>
      </w:r>
    </w:p>
    <w:p>
      <w:pPr>
        <w:pStyle w:val="Normal"/>
        <w:widowControl/>
        <w:rPr/>
      </w:pPr>
      <w:r>
        <w:rPr/>
        <w:t>penicillins or streptomycins, nesoi, in dosage form or packed for retail Medicaments containing antibiotics, nesoi, in dosage form or packed for retail Medicaments containing insulin, in dosage form or packed for retail Medicaments, containing adrenal cortical hormones, in dosage form or packed for retail Medicaments, containing products of heading 2937 nesoi, in dosage form or packed for retail Medicaments containing ephedrine or its salts, in dosage form and packed for retail Medicaments containing pseudoephedrine (INN) or its salts, in dosage form and packed for retail Medicaments containing norephedrine or its salts, in dosage form and packed for retail Other medicaments containing alkaloids or derivatives thereof, nesoi, in dosage form and packed for retail Medicaments containing vitamin B2 synthesized from aromatic or mod. aromatic compounds, in dosage form or packed for retail Medicaments containing vitamim B12 synthesized from aromatic or mod. aromatic compounds, in dosage form or packed for retail Medicaments containing vitamin E synthesized from aromatic or mod. aromatic compounds, in dosage form or packed for retail Medicaments containing vitamins nesoi, synthesized from aromatic or mod.</w:t>
      </w:r>
    </w:p>
    <w:p>
      <w:pPr>
        <w:pStyle w:val="Normal"/>
        <w:widowControl/>
        <w:rPr/>
      </w:pPr>
      <w:r>
        <w:rPr/>
        <w:t>aromatic compounds, in dosage form or packed for retail Medicaments containing vitamins or other products of heading 2936, nesoi, in dosage form or packed for retail Other medicaments containing antimalarial active principles described in subheading note 2 to this chapter, in dosage form and packed for retail Medicaments containing antigens or hyaluronic acid or its sodium salt, nesoi, in dosage form or packed for retail Medicaments nesoi, in dosage form and packed for retail Adhesive dressings and other articles having an adhesive layer, coated or impregnated with pharmaceutical substances, packed for retail Adhesive dressings and other articles having an adhesive layer, packed for retail for medical, surgical, dental, veterinary purposes Wadding, gauze, bandages, &amp; similar articles, not having an adhesive layer, coated, impregnated with pharmaceutical substances, for retail Wadding, gauze, bandages, and similar articles, not having an adhesive layer, packed for retail for medical, surgical, like purposes Sterile surgical catgut, suture materials, tissue adhesives for wound closure, laminaria, laminaria tents, and absorbable hemostatics Blood-grouping reagents Opacifying preparation for X-ray examination; diagnostic reagent designed to be administered to the patient; all cont.</w:t>
      </w:r>
    </w:p>
    <w:p>
      <w:pPr>
        <w:pStyle w:val="Normal"/>
        <w:widowControl/>
        <w:rPr/>
      </w:pPr>
      <w:r>
        <w:rPr/>
        <w:t>antigens or antisera Opacifying preparations for X-ray examinations; diagnostic reagents designed to be administered to the patient, nesoi Dental cements and other dental fillings; bone reconstruction cements First-aid boxes and kits Chemical contraceptive preparations based on hormones or spermicides Gel preparation use human/veterinary medicine lubricant in surgical operation, physical exam or coupling agent tween body &amp; med instrument Applicances identifiable for ostomy use Waste pharmaceuticals Animal or vegetable fertilizers;</w:t>
      </w:r>
    </w:p>
    <w:p>
      <w:pPr>
        <w:pStyle w:val="Normal"/>
        <w:widowControl/>
        <w:rPr/>
      </w:pPr>
      <w:r>
        <w:rPr/>
        <w:t>fertilizers produced by the mixing or chemical treatment of animal or vegetable products Urea, whether or not in aqueous solution Ammonium sulfate Double salts and mixtures of ammonium sulfate and ammonium nitrate Ammonium nitrate, whether or not in aqueous solution Mixtures of ammonium nitrate with calcium carbonate or other inorganic nonfertilizing substances Sodium nitrate Double salts and mixtures of calcium nitrate and ammonium nitrate Mixtures of urea and ammonium nitrate in aqueous or ammoniacal solution Mineral or chemical fertilizers, nitrogenous, nesoi, including mixtures not specified elsewhere in heading 3102 Superphosphates containing by weight 35% or more of diphosphorous pentaoxide (P2O5) Superphosphates nesoi Mineral or chemical fertilizers, phosphatic Potassium chloride Potassium sulfate Mineral or chemical fertilizers, potassic, nesoi Fertilizers of chapter 31 in tablets or similar forms or in packages of a gross weight not</w:t>
      </w:r>
    </w:p>
    <w:p>
      <w:pPr>
        <w:pStyle w:val="Normal"/>
        <w:widowControl/>
        <w:rPr/>
      </w:pPr>
      <w:r>
        <w:rPr/>
        <w:t>exceeding 10 kg Mineral or chemical fertilizers nesoi, containing the three fertilizing elements nitrogen, phosphorus and potassium Diammonium hydrogenorthophosphate (Diammonium phosphate) Ammonium dihydrogenorthophosphate (Monoammonium phosphate), mixtures thereof with diammonium hydrogenorthophosphate (Diammonium phosphate) Mineral or chemical fertilizers nesoi, containing nitrates and phosphates Mineral or chemical fertilizers nesoi, containing the two fertilizing elements nitrogen and phosphorus Mineral or chemical fertilizers nesoi, containing the two fertilizing elements phosphorous and potassium Mineral or chemical fertilizers cont. two or three of the fertilizing elements nitrogen, phosphorus and potassium fertilizers, nesoi Quebracho tanning extract Wattle tanning extract Tannic acid, containing by weight 50 percent or more of tannic acid Tanning extracts of canaigre,chestnut curupay,divi divi,eucalyptus,gambier,hemlock,larch,mangrove,myrobalan,oak,sumac,tara,urunday,v alonia Tanning extracts of vegetable origin nesoi; tannins and their salts, ethers, esters and other derivatives Aromatic or modified aromatic synthetic organic tanning substances Synthetic organic tanning substances, nonaromatic Tanning substances, tanning preparations and enzymatic preparations for pre-tanning consisting wholly of inorganic substances Tanning substances, tanning preparations and enzymatic preparations for pre-tanning, nesoi Coloring matter of annato, archil, cochineal, cudbear,</w:t>
      </w:r>
    </w:p>
    <w:p>
      <w:pPr>
        <w:pStyle w:val="Normal"/>
        <w:widowControl/>
        <w:rPr/>
      </w:pPr>
      <w:r>
        <w:rPr/>
        <w:t>litmus and marigold meal Mixtures of 3,4-dihydroxyphenyl-2,4,6,-trihydroxypphenylmethanone and 2-(2,4 dihydroxyphenyl)-3,5,7-trihydroxy-4H-1-benzopyran-4-one Coloring matter of vegetable or animal origin, nesoi Disperse blue 19 and other specified dispersed dyes and preparations based thereon Disperse blue 30 and preparations based thereon N-[2-[2,6-Dicyano-4-methylphenylazo]-5-(diethylamino)phenyl]methanesulfonamide; and 1 other specified disperse dye Disperse dyes described in add’l U.S. note 3 to section VI Disperse dyes and preparations based thereon, nesoi Acid black 210 powder and presscake Acid violet 19 Acid dyes, whether or not premetallized, and preparations based thereon, acid black 31, and other specified acid or mordant dyes Acid black 61 and other specified acid and mordant dyes and preparations based thereon Mordant black 75, blue 1, brown 79, red 81, 84 and preparations based thereon Acid dyes, whether or not premetallized, and preparations based thereon, described in add’l U.S.</w:t>
      </w:r>
    </w:p>
    <w:p>
      <w:pPr>
        <w:pStyle w:val="Normal"/>
        <w:widowControl/>
        <w:rPr/>
      </w:pPr>
      <w:r>
        <w:rPr/>
        <w:t>note 3 to section VI Synthetic acid and mordant dyes and preparations based thereon, nesoi Basic black 7 and other specified basic dyes and preparations based thereon Basic orange 22, basic red 13 dyes, and preparations based thereon Basic blue 3; basic red 14; and basic yellow 1, 11, 13; and preparations based thereon 3,7-Bis(dimethylamino)phenazathionium chloride (methylene blue); and basic blue Basic dyes and preparations based thereon, described in add’l U.S note 3 to section VIvi Basic dyes and preparations based thereon, nesoi Direct black 62 and other specified basic dyes and preparations based thereon Direct black 51 and other specified basic dyes and preparations based thereon Direct blue 86; direct red 83; direct yellow 28 dyes; and preparations based thereon Direct dyes nesoi, and preparations based thereon, described in additional U.S. note 3 to section VI Direct dyes and preparations based thereon, nesoi Vat blue 1 (synthetic indigo) dye, “Colour Index No.</w:t>
      </w:r>
    </w:p>
    <w:p>
      <w:pPr>
        <w:pStyle w:val="Normal"/>
        <w:widowControl/>
        <w:rPr/>
      </w:pPr>
      <w:r>
        <w:rPr/>
        <w:t>73000” and preparations based thereon Vat brown 3; vat orange 2, 7; and vat violet 9, 13 dyes and preparations based thereon Vat red 1 Solubilized vat blue 5 and specified solubilized vat dyes and preparations based thereon Solubilized vat orange 3, vat blue 2, vat red 44; and vat yellow 4, 20 and preparations based thereon Vat dyes (incl. those usable as pigments) and preparations based thereon, described in add. U.S. note 3 to sec.</w:t>
      </w:r>
    </w:p>
    <w:p>
      <w:pPr>
        <w:pStyle w:val="Normal"/>
        <w:widowControl/>
        <w:rPr/>
      </w:pPr>
      <w:r>
        <w:rPr/>
        <w:t>VI Vat dyes (including those usable in that state as pigments) and preparations based thereon, nesoi Reactive black 1; blue 1, 2, 4; orange 1; red 1, 2, 3, 5, 6; and yellow 1; and preparations based thereon Specified reactive dye mixtures and preparations based thereon Reactive dyes and preparations based thereon nesoi, described in additional U.S. note 3 to section VI Synthetic reactive dyes and preparations based thereon, nesoi Pigments and preparations based thereon, pigment black 1, and other specified pigments, nesoi Pigment red 178; pigment yellow 101, 138 Copper phthalocyanine ([Phthalocyanato(2-)]copper) not ready for use as a pigment Pigments and preparations based thereon, isoindoline red pigment; pigment red 242, 245; pigment yellow 155, 183, nesoi Pigments and preparations based thereon, products described in add’l U.S. note 3 to section VI, nesoi Other pigments and preparations based thereon, nesoi Solvent yellow 43, 44, 85, 172 Solvent black 2 and other specified solvent dyes and preparations based thereon Solvent dyes and preparations based thereon, products described in add’l U.S. note 3 to section VI Solvent dyes and preparations based thereon nesoi Sulfur black, “Colour Index Nos.</w:t>
      </w:r>
    </w:p>
    <w:p>
      <w:pPr>
        <w:pStyle w:val="Normal"/>
        <w:widowControl/>
        <w:rPr/>
      </w:pPr>
      <w:r>
        <w:rPr/>
        <w:t>53185, 53190 and 53195” and preparations based thereon Beta-carotene and other carotenoid coloring matter Synthetic organic coloring matter and preparations based thereon, nesoi, described in additional U.S.</w:t>
      </w:r>
    </w:p>
    <w:p>
      <w:pPr>
        <w:pStyle w:val="Normal"/>
        <w:widowControl/>
        <w:rPr/>
      </w:pPr>
      <w:r>
        <w:rPr/>
        <w:t>note 3 to section VI Synthetic organic coloring matter and preparations based thereon nesoi, including mixtures of items from subheading 320411 to 320419 Fluorescent brightening agent 32 Benzoxazol Synthetic organic products of a kind used as fluorescent brightening agents, nesoi Synthetic organic coloring matter or preparations based thereon, nesoi; synthetic organic products used as luminophores Carmine food coloring solutions, cont cochineal carmine lake and paprika oleoresins, not including any synthetic organic coloring matter Carmine color lakes and preparations as specified in note 3 to this chapter, nesoi Color lakes and preparations based thereon, described in additional U.S.</w:t>
      </w:r>
    </w:p>
    <w:p>
      <w:pPr>
        <w:pStyle w:val="Normal"/>
        <w:widowControl/>
        <w:rPr/>
      </w:pPr>
      <w:r>
        <w:rPr/>
        <w:t>note 3 to section VI Color lakes and preparations based thereon, nesoi Pigments &amp; preparations based on titanium dioxide containing 80 percent or more by weight off titanium dioxide calculated on the dry weight Pigments and preparations based on titanium dioxide, nesoi Pigments and preparations based on chromium compounds Ultramarine and preparations based thereon Lithopone and other pigments and preparations based on zinc sulfide Concentrated dispersions of pigments in plastics materials Coloring preparations based on iron oxides, as specified in note 3 to this chapter 32 Coloring preparations based on zinc oxides, as specified in note 3 to this chapter 32 Coloring preparations based on carbon black, as specified in note 3 to this chapter 32 Pigments and preparations based on</w:t>
      </w:r>
    </w:p>
    <w:p>
      <w:pPr>
        <w:pStyle w:val="Normal"/>
        <w:widowControl/>
        <w:rPr/>
      </w:pPr>
      <w:r>
        <w:rPr/>
        <w:t>hexacyanoferrates (ferrocyanides and ferricyanides) Coloring matter and preparations, nesoi, as specified in note 3 to this chapter 32 Inorganic products of a kind used as luminophores Prepared pigments, opacifiers, colors, and similar preparations, of a kind used in the ceramic, enamelling or glass industry Vitrifiable enamels and glazes, engobes (slips), and similar preparations, of a kind used in the ceramic, enamelling or glass industry Liquid lustres and similar preparations, of a kind used in the ceramic, enamelling or glass industry Glass frit and other glass, ground or pulverized Glass frit and other glass, in the form of granules or flakes Paints and varnishes (including enamels and lacquers) based on polyesters in a nonaqueous medium Paints and varnishes (including enamels and lacquers) based on acrylic or vinyl polymers in a nonaqueous medium Paints and varnishes based on synthetic polymers or chemically modified natural polymers nesoi, in a nonaqueous medium Paints and varnishes (including enamels and lacquers) based on acrylic or vinyl polymers in an aqueous medium Paints and varnishes based on synthetic polymers or chemically modified natural polymers nesoi, in an aqueous medium Other paints and varnishes (including enamels, lacquers and distempers) nesoi;</w:t>
      </w:r>
    </w:p>
    <w:p>
      <w:pPr>
        <w:pStyle w:val="Normal"/>
        <w:widowControl/>
        <w:rPr/>
      </w:pPr>
      <w:r>
        <w:rPr/>
        <w:t>prepared water pigments of a kind used for finishing leather Prepared driers for paints and varnishes Stamping foils Pigments dispersed in nonaqueous media, in liquid or paste form, used in making paints;</w:t>
      </w:r>
    </w:p>
    <w:p>
      <w:pPr>
        <w:pStyle w:val="Normal"/>
        <w:widowControl/>
        <w:rPr/>
      </w:pPr>
      <w:r>
        <w:rPr/>
        <w:t>dyes &amp; coloring matter packaged for retail sale Artists’, students’ or signboard painters’ colors, in tablets, tubes, jars, bottles, pans or in similar packings, in sets Artists’, students’ or signboard painters’ colors, in tablets, tubes, jars, bottles, pans or in similar packings, not in sets Glaziers’ putty, grafting putty, resin cements, caulking compounds and other mastics;</w:t>
      </w:r>
    </w:p>
    <w:p>
      <w:pPr>
        <w:pStyle w:val="Normal"/>
        <w:widowControl/>
        <w:rPr/>
      </w:pPr>
      <w:r>
        <w:rPr/>
        <w:t>painters’ fillings Nonrefractory surfacing preparations for facades, indoor walls, floors, ceilings or the like, based on rubber Nonrefractory surfacing preparations for facades, indoor walls, floors, ceilings or the like, not based on rubber Printing ink, black, solid, in engineered shapes for apparatus in 8443.31,32,39 Printing ink, black, solid, other Printing ink, black, not solid, other Printing ink, not black, solid, in engineered shapes for apparatus in 8443.31,32,39 Printing ink, not black, solid, other Printing ink, not black, not solid Drawing ink Inks, other than printing or drawing inks Essential oils of orange Essential oils of lemon Essential oils of grapefruit Essential oils of citrus fruit, other, nesoi Essential oils of peppermint (Mentha piperita) Essential oils of mints, other than peppermint Essential oils of eucalyptus Essential oils of orris Essential oils other than those of citrus fruit, other, nesoi Resinoids Extracted oleoresins consisting essentially of nonvolatile components of the natural raw plant Concentrates of essential oils; terpenic by-product of the deterpenation</w:t>
      </w:r>
    </w:p>
    <w:p>
      <w:pPr>
        <w:pStyle w:val="Normal"/>
        <w:widowControl/>
        <w:rPr/>
      </w:pPr>
      <w:r>
        <w:rPr/>
        <w:t>of essential oils;</w:t>
      </w:r>
    </w:p>
    <w:p>
      <w:pPr>
        <w:pStyle w:val="Normal"/>
        <w:widowControl/>
        <w:rPr/>
      </w:pPr>
      <w:r>
        <w:rPr/>
        <w:t>aqueous distillates&amp; solutions of essential oils Mixtures of odoriferous substances, mixtures with a basis of these substances, used in the food or drink industries, not containing alcohol Mixtures of or with a basis of odoriferous substances, used in the food or drink industries, not over 20 percent alcohol by weight Mixtures of/with basis of odoriferous substances,with 20% to 50% alcohol by weight, needs only addn of ethyl alcohol or water to be beverage Mixtures of/with basis of odoriferous substances,over 50% of alcohol by weight, requiring only addn of ethyl alcohol or water to be beverage Mixtures of or with a basis of odoriferous substances, used in the food or drink industries, over 20 percent of alcohol by weight, nesoi Mixtures of or with a basis of odoriferous substances, used in other than the food or drink industries, zero to 10% alcohol by weight Mixtures of or with a basis of odoriferous substances, used in other than the food or drink industries, over 10 percent alcohol by weight Floral or flower</w:t>
      </w:r>
    </w:p>
    <w:p>
      <w:pPr>
        <w:pStyle w:val="Normal"/>
        <w:widowControl/>
        <w:rPr/>
      </w:pPr>
      <w:r>
        <w:rPr/>
        <w:t>waters, not containing alcohol Perfumes and toilet waters, other than floral or flower waters, not containing alcohol Perfumes and toilet waters, containing alcohol Lip make-up preparations Eye make-up preparations Manicure or pedicure preparations Beauty or make-up powders, whether or not compressed Petroleum jelly put up for retail sale Beauty or make-up preparations &amp; preparations for the care of the skin, excl.</w:t>
      </w:r>
    </w:p>
    <w:p>
      <w:pPr>
        <w:pStyle w:val="Normal"/>
        <w:widowControl/>
        <w:rPr/>
      </w:pPr>
      <w:r>
        <w:rPr/>
        <w:t>medicaments but incl.</w:t>
      </w:r>
    </w:p>
    <w:p>
      <w:pPr>
        <w:pStyle w:val="Normal"/>
        <w:widowControl/>
        <w:rPr/>
      </w:pPr>
      <w:r>
        <w:rPr/>
        <w:t>sunscreen or sun tan preparations, nesoi Shampoos Preparations for permanent waving or straightening the hair Hair lacquers Preparations for use on the hair, nesoi Dentifrices Yarn used to clean between the teeth (dental floss) Preparations for oral or dental hygiene, including denture fixative pastes and powders, excluding dentifrices Pre-shave, shaving or after-shave preparations, not containing alcohol Pre-shave, shaving or after-shave preparations, containing alcohol Personal deodorants and antiperspirants Bath salts, whether or not perfumed Bath preparations, other than bath salts “Agarbatti” and other odoriferous preparations which operate by burning, to perfume or deodorize rooms or used during religious rites Preparations for perfuming or deodorizing rooms, including odoriferous preparations used during religious rites, nesoi Depilatories and other perfumery, cosmetic or toilet preparations.</w:t>
      </w:r>
    </w:p>
    <w:p>
      <w:pPr>
        <w:pStyle w:val="Normal"/>
        <w:widowControl/>
        <w:rPr/>
      </w:pPr>
      <w:r>
        <w:rPr/>
        <w:t>nesoi Castile soap in the form of bars, cakes or molded pieces or shapes Soap, nesoi; organic surface-active products used as soap, in bars, cakes, pieces, soap- impregnated paper, wadding, felt, for toilet use Soap; organic surface-active products used as soap, in bars, cakes, pieces;</w:t>
      </w:r>
    </w:p>
    <w:p>
      <w:pPr>
        <w:pStyle w:val="Normal"/>
        <w:widowControl/>
        <w:rPr/>
      </w:pPr>
      <w:r>
        <w:rPr/>
        <w:t>soap- impregnated paper, wadding, felt, not for toilet use Soap, not in the form of bars, cakes, molded pieces or shapes Organic surface-active products for wash skin, in liquid or cream, contain any aromatic/mod aromatic surface-active agent, put up for retail Organic surface-active products and preparations for washing the skin, in liquid or cream form, put up for retail sale, nesoi Linear alkylbenzene sulfonates Anionic, aromatic or modified aromatic organic surface-active agents, whether or not put up for retail sale, nesoi Nonaromatic anionic organic surface-active agents (other than soap) Aromatic or modified aromatic cationic organic surface-active agents (other than soap) Nonaromatic cationic organic surface-active agents (other than soap) Aromatic or modified aromatic nonionic organic surface-active agents (other than soap) Nonaromatic nonionic organic surface-active agents (other than soap) of fatty substances of animal or vegetable origin Nonaromatic nonionic organic surface-active agents (other than soap), other than of fatty substances of animal or vegetable origin Aromatic or modified aromatic organic surface-active agents (other than soap) other than anionic, cationic or</w:t>
      </w:r>
    </w:p>
    <w:p>
      <w:pPr>
        <w:pStyle w:val="Normal"/>
        <w:widowControl/>
        <w:rPr/>
      </w:pPr>
      <w:r>
        <w:rPr/>
        <w:t>nonionic Nonaromatic organic surface-active agents (other than soap) nesoi Surface-active/washing/cleaning preparations containing any aromatic or mod aromatic surface-active agent, put up for retail, not head 3401 Surface-active, washing, and cleaning preparations nesoi, put up for retail sale, not of heading 3401 Synthetic detergents put up for retail sale Surface-active, washing, and cleaning preparations cont. any aromatic or modified aromatic surface-active agent, put up for retail sale Surface-active, washing, and cleaning preparations nesoi, put up for retail sale Preparations for the treatment of textile materials, containing 50 but not over 70 percent or more by weight of petroleum oils Preparations for the treatment of textile materials, containing less than 50 percent by weight of petroleum oils Preparations for the treatment of leather, furskins, other materials nesoi, containing less than 70% petroleum or bituminous mineral oils Lubricating preparations containing 50% but less than 70% by weight of petroleum oils or of oils obtained from bituminous minerals Lubricating preparations containing less than 50% by weight of petroleum oils or of oils from bituminous minerals Preparations for the treatment of textile materials, nesoi Preparations nesoi, for the treatment of leather, furskins or other materials nesoi Lubricating preparations (incl.</w:t>
      </w:r>
    </w:p>
    <w:p>
      <w:pPr>
        <w:pStyle w:val="Normal"/>
        <w:widowControl/>
        <w:rPr/>
      </w:pPr>
      <w:r>
        <w:rPr/>
        <w:t>lubricant-based preparations), nesoi Artificial waxes and prepared waxes of polyethylene glycol Artificial waxes and prepared waxes containing bleached beeswax Artificial waxes and prepared waxes Polishes, creams and similar preparations for footwear or leather Polishes, creams and similar preparations for the maintenance of wooden furniture, floors or other woodwork Polishes and similar preparations for coachwork, other than metal polishes Scouring pastes and powders and other scouring preparations Polishes, creams and similar preparations for glass or metal Candles, tapers and the like Modeling pastes, including those put up for children’s amusement Modeling pastes, nesoi Casein, milk protein concentrate Casein, other than milk protein concentrate Casein glues Caseinates and other casein derivatives, nesoi Egg albumin, dried Egg albumin, other than dried Milk albumin, including concentrates of two or more whey proteins Albumins, albuminates and other albumin derivatives, nesoi Fish glue Inedible gelatin and animal glue valued under 88 cents per kg Inedible gelatin and animal glue valued 88 cents or more per kg Gelatin sheets and derivatives, nesoi; isinglass; other glues of animal origin, nesoi Protein isolates Peptones and their derivatives;</w:t>
      </w:r>
    </w:p>
    <w:p>
      <w:pPr>
        <w:pStyle w:val="Normal"/>
        <w:widowControl/>
        <w:rPr/>
      </w:pPr>
      <w:r>
        <w:rPr/>
        <w:t>protein substances and their derivatives, nesoi; hide powder Dextrins and other modified starches Glues based on starches or on dextrins or other modified starches Animal glue, including casein glue but not including fish glue, not</w:t>
      </w:r>
    </w:p>
    <w:p>
      <w:pPr>
        <w:pStyle w:val="Normal"/>
        <w:widowControl/>
        <w:rPr/>
      </w:pPr>
      <w:r>
        <w:rPr/>
        <w:t>exceeding a net weight of 1 kg, put up for retail sale Products suitable for use as glues or adhesives, nesoi, not exceeding 1 kg, put up for retail sale Adhesive preparations based on rubber or plastics (including artificial resins), optically clear, for flat panel &amp; touchscreen displays Other adhesive preparations based on rubber or plastics (including artificial resins) Prepared glues and other prepared adhesives, excluding adhesives based on rubber or plastics, nesoi Rennet and concentrates thereof Penicillin G amidase Enzymes and prepared enzymes, nesoi Propellant powders Prepared explosives, other than propellant powders Safety fuses or detonating fuses Percussion caps Detonating caps, igniters or electric detonators Display or special fireworks (Class 1.3G) Fireworks, nesoi Signaling flares, rain rockets, fog signals and other pyrotechnic articles, excluding fireworks Matches, other than pyrotechnic articles of heading 3604 Liquid or liquefied-gas fuels in containers used for filling cigarette or similar lighters of a capacity not exceeding 300 cubic cm Ferrocerium and other pyrophoric alloys in all forms Metaldehyde Articles of combustible materials as specified in note 2 of chap.</w:t>
      </w:r>
    </w:p>
    <w:p>
      <w:pPr>
        <w:pStyle w:val="Normal"/>
        <w:widowControl/>
        <w:rPr/>
      </w:pPr>
      <w:r>
        <w:rPr/>
        <w:t>36, nesoi Photographic plates and film in the flat, sensitized, unexposed, of any material other than paper, paperboard or textiles, for X-ray use Instant print film in the flat, sensitized, unexposed, whether or not in packs Photographic plates and film nesoi, with any side 255 mm, in the flat, sensitized, unexposed, not of paper, paperboard, or textiles Photographic plates, film, for color photography, nesoi, in the flat, sensitized, unexposed, not of paper, paperboard, textiles Photographic dry plates, nesoi, sensitized, unexposed, of any material other than paper, paperboard or textiles Photographic plates and film, nesoi, in the flat, sensitized, unexposed, of any material other than paper, paperboard or textiles Photographic film in rolls, sensitized, unexposed, for X-ray use;</w:t>
      </w:r>
    </w:p>
    <w:p>
      <w:pPr>
        <w:pStyle w:val="Normal"/>
        <w:widowControl/>
        <w:rPr/>
      </w:pPr>
      <w:r>
        <w:rPr/>
        <w:t>of any material other than paper, paperboard or textiles Film in rolls, for color photography, without sprocket holes, of a width not exceeding 105 mm, sensitized, unexposed Film in rolls, with silver halide emulsion, without sprocket holes, of a width not exceeding 105 mm, sensitized, unexposed Film in rolls without sprocket holes, width not exceeding 105 mm, other than color photography or silver halide emulsion film Film in rolls, without sprocket holes, of a width exceeding 610 mm and of a length exceeding 200 m, for color photography Film in rolls, without sprocket holes, of a width exceeding 610 mm and of a length exceeding 200 m, other than for color photography Film in rolls, without</w:t>
      </w:r>
    </w:p>
    <w:p>
      <w:pPr>
        <w:pStyle w:val="Normal"/>
        <w:widowControl/>
        <w:rPr/>
      </w:pPr>
      <w:r>
        <w:rPr/>
        <w:t>sprocket holes, of a width exceeding 610 mm and of a length not exceeding 200 m Film in rolls, without sprocket holes, of a width exceeding 105 mm but not exceeding 610 mm Film for color photography, in rolls, of a width not exceeding 16 mm Film for color photography, in rolls, exceeding 16 but not 35 mm in width and of a length not exceeding 30 m, for slides Film for color photography, in rolls, exceeding 16 but not 35 mm in width, of a length not exceeding 30 m, other than for slides Film for color photography, in rolls, exceeding 16 but not 35 mm in width and of a length exceeding 30 m Film for color photography, in rolls, of a width exceeding 35 mm Photographic film nesoi, in rolls, of a width not exceeding 35 mm and of a length not exceeding 30 m Photographic film nesoi, in rolls, of a width not exceeding 35 mm and of a length exceeding 30 m Photographic film nesoi,</w:t>
      </w:r>
    </w:p>
    <w:p>
      <w:pPr>
        <w:pStyle w:val="Normal"/>
        <w:widowControl/>
        <w:rPr/>
      </w:pPr>
      <w:r>
        <w:rPr/>
        <w:t>in rolls, of a width exceeding 35 mm Silver halide photographic papers, sensitized, unexposed, in rolls of a width exceeding 610 mm Photographic paper (other than silver halide), paperboard and textiles, sensitized, unexposed, in rolls of a width exceeding 610 mm Silver halide papers, other than in rolls of a width exceeding 610 mm, for color photography, sensitized, unexposed Photographic paper (not silver halide), paperbd &amp; textiles for color photos, other than in rolls of a width &gt; 610 mm, sensitized, unexposed Silver halide photographic papers, sensitized, unexposed, not for color photography, other than</w:t>
      </w:r>
    </w:p>
    <w:p>
      <w:pPr>
        <w:pStyle w:val="Normal"/>
        <w:widowControl/>
        <w:rPr/>
      </w:pPr>
      <w:r>
        <w:rPr/>
        <w:t>in rolls of a width exceeding 610 mm Photographic paper (not silver halide), paperbd, tex., not for color photo, other than in rolls of a width &gt; 610 mm, sensitized, unexposed Photographic plates, film, paper, paperboard and textiles, exposed but not developed Photographic plates and film, exposed and developed, other than cinematographic film Sound recordings on motion-picture film of a width of 35 mm or more, suitable for use with motion-picture exhibits Motion-picture film of a width of 35 mm or more, exposed and developed, whether or not incorporating sound track, nesoi Motion-picture film, exposed and developed, less than 35 mm wide Sensitizing emulsions, for photographic uses, nesoi Acid violet 19 for photographic uses Chemical preparations for photographic uses, nesoi Unmixed products for photographic uses, put up in measured portions or put up for retail sale in a form ready for use Artificial graphite plates, rods, powder and other forms, for manufacture into brushes for electric generators, motors or appliances Artificial graphite, nesoi Colloidal or semi-colloidal graphite Carbonaceous pastes for</w:t>
      </w:r>
    </w:p>
    <w:p>
      <w:pPr>
        <w:pStyle w:val="Normal"/>
        <w:widowControl/>
        <w:rPr/>
      </w:pPr>
      <w:r>
        <w:rPr/>
        <w:t>electrodes and similar pastes for furnace linings Preparations based on graphite or other carbon in the form of pastes, blocks, plates or other semimanufactures, nesoi Activated carbon Bone black Activated clays and activated earths Activated natural mineral products, nesoi;</w:t>
      </w:r>
    </w:p>
    <w:p>
      <w:pPr>
        <w:pStyle w:val="Normal"/>
        <w:widowControl/>
        <w:rPr/>
      </w:pPr>
      <w:r>
        <w:rPr/>
        <w:t>animal black, including spent animal black Tall oil, whether or not refined Lignin sulfonic acid</w:t>
      </w:r>
    </w:p>
    <w:p>
      <w:pPr>
        <w:pStyle w:val="Normal"/>
        <w:widowControl/>
        <w:rPr/>
      </w:pPr>
      <w:r>
        <w:rPr/>
        <w:t>and its salts Residual lyes from the manufacture of wood pulp, nesoi, excluding tall oil Gum, wood or sulfate turpentine oils Pine oil containing alpha-terpineol as the main constituent Terpenic oils, nesoi, produced by treatment of coniferous woods; crude dipentene; sulfite turpentine and other crude para-cymene Rosin and resin acids Salts of rosin or of resin acids Ester gums Resin acids, derivatives of resin acids and rosin, rosin spirit and rosin oils, run gums, nesoi Wood tar and its oils; wood creosote; wood naphtha; vegetable pitch;</w:t>
      </w:r>
    </w:p>
    <w:p>
      <w:pPr>
        <w:pStyle w:val="Normal"/>
        <w:widowControl/>
        <w:rPr/>
      </w:pPr>
      <w:r>
        <w:rPr/>
        <w:t>preparations based on rosin, resin acids or vegetable pitch DDT (ISO) (clofenatone (INN)), in packings of a net weight content not exceeding 300 g Pesticides containing any aromatic or modified aromatic specified in note 1 to chapter Disinfectants specified in note 1 to chapter 38 Pesticides, nesoi specified in note 1 to chapter 38 Pesticides containing any aromatic or modified aromatic, not exceeding 300g, specified in note 2 to chapter 38 Pesticides, nesoi, not exceeding 300g, specified in note 2 to chapter 38 Pesticides containing any aromatic or modified aromatic, &gt;300g but &lt;7.5kg, specified in note 2 to chapter 38 Pesticides, nesoi, &gt;300g but &lt;7.5kg, specified in note 2 to chapter 38 Pesticides containing any aromatic or modified aromatic, &gt;7.5kg, specified in note 2 to chapter 38 Pesticides, nesoi, &gt;7.5kg, specified in note 2 to chapter 38 Fly ribbons (ribbon fly catchers), put up in packings for retail sale Mixtures of</w:t>
      </w:r>
    </w:p>
    <w:p>
      <w:pPr>
        <w:pStyle w:val="Normal"/>
        <w:widowControl/>
        <w:rPr/>
      </w:pPr>
      <w:r>
        <w:rPr/>
        <w:t>N-[[(chlorophenyl)amino]carbonyl]-2,6-difluorobenzamide and inert substances Insecticides containing any aromatic or modified aromatic insecticide, nesoi Insecticides, nesoi, containing an inorganic substance, put up for retail sale Insecticides, nesoi, for retail sale or as preparations or articles Mixtures of dinocap and application adjuvants Fungicides containing any aromatic or modified aromatic fungicide, nesoi Maneb; zinab; mancozeb; and metiram Fungicides containing any fungicide which is a thioamide, thiocarbamate, dithio carbamate, thiuram or isothiocyanate, nesoi Fungicides, nesoi, containing an inorganic substance, put up for retail sale Fungicides nesoi, put up in forms or packing for retail sale or as preparations or articles Herbicides, antisprouting products and plant-growth regulators, aromatic or modified aromatic, for retail sale Herbicides containing any aromatic or modified aromatic herbicide, antisprouting agent or plant-growth regulator, nesoi Herbicides, antisprouting products and plant-growth regulators, nesoi, containing an inorganic substance, for retail sale Herbicides, antisprouting products and plant-growth regulators nesoi, put up for retail sale Disinfectants, containing any aromatic or modified aromatic disinfectant Disinfectants not subject to subheading note 1 of chapter 38, nesoi Mixtures of 1,1-bis(4-chlorophenyl)-2,2,2-trichloroethanol (Dicofol) and application adjuvants Rodenticides containing any aromatic or modified aromatic pesticide,</w:t>
      </w:r>
    </w:p>
    <w:p>
      <w:pPr>
        <w:pStyle w:val="Normal"/>
        <w:widowControl/>
        <w:rPr/>
      </w:pPr>
      <w:r>
        <w:rPr/>
        <w:t>nesoi Formulated biocides based on 2-methyl-4-isothiazolin-3-one, or 2-n-octyl-4 isothiazolin-3-one, or on certain other chemicals; metaldehyde Rodenticides containing an inorganic substance Rodenticides, nesoi Finishing agents, dye carriers and like products, nesoi, with a basis of amylaceous substances Finishing agents, dye carriers and like products, nesoi, used in the textile or like industries Finishing agents, dye carriers and other preparations used in paper or like industries, 5% or more by wt. aromatic (mod.) substance(s) Finishing agents, dye carriers and other preparations used in paper or like industries, &lt; 5% by weight of aromatic (mod.) substance(s) Finishing agents, dye carriers and other preparations used in leather and like industries, &gt; 5% by weight aromatic (mod.) substance(s) Finishing agents, dye carriers and other preparations used in leather and like industries, &lt; 5% by weight aromatic (mod.) substance(s) Pickling preparations for metal surfaces;</w:t>
      </w:r>
    </w:p>
    <w:p>
      <w:pPr>
        <w:pStyle w:val="Normal"/>
        <w:widowControl/>
        <w:rPr/>
      </w:pPr>
      <w:r>
        <w:rPr/>
        <w:t>soldering, brazing or welding powders and pastes consisting of metal and other materials Preparations used for soldering or cores or coatings for welding electrodes or rods, 5% or more by weight aromatic (or mod.) substance(s) Preparations used for soldering or as cores or coatings for welding electrodes or rods, consisting wholly of inorganic substances Preparations used for soldering or as cores or coatings for welding electrodes or rods, nesoi Antiknock preparations based on tetraethyl lead or on a mixture</w:t>
      </w:r>
    </w:p>
    <w:p>
      <w:pPr>
        <w:pStyle w:val="Normal"/>
        <w:widowControl/>
        <w:rPr/>
      </w:pPr>
      <w:r>
        <w:rPr/>
        <w:t>of tetraethyl lead and tetramethyl lead Antiknock preparations based on lead compounds, nesoi Antiknock preparations based on other than lead compounds Additives for lubricating oils containing petroleum oils or oils obtained from bituminous minerals Additives for lubricating oils, nesoi Prepared additives for mineral oils (incl. gasoline) or other liquids used for the same purposes as mineral oils, nesoi Prepared rubber accelerators containing any aromatic or modified aromatic rubber accelerator nesoi Prepared rubber accelerators not containing any aromatic or modified aromatic rubber accelerator nesoi Compound plasticizers for rubber or plastics containing any aromatic or modified aromatic plasticizer nesoi Compound plasticizers for rubber or plastics not containing any aromatic or modified aromatic plasticizer nesoi Mixtures of oligomers of 2,2,4-trimethyl-1,2-dihydroquinoline (TMQ) Mixtures of N,N’-diaryl-p-phenylenediamines Master batches of poly[nitrilomethanetetraartlnitr Compound plasticizers for rubber/plastics cont any aromatic or modified aromatic antioxidant or other stabilizer, nesoi Bis(1,2,2,6,6-pentamethyl-4-piperidinyl) sebacate Antioxiding prep &amp; oth compound stabilizers for rubber or plastics, nesoi Preparations and charges for fire extinguishers; charged fire-extinguishing grenades; consisting wholly of inorganic substances Preparations and charges for fire extinguishers; charged fire-extinguishing grenades; nesoi Organic composite solvents and thinners</w:t>
      </w:r>
    </w:p>
    <w:p>
      <w:pPr>
        <w:pStyle w:val="Normal"/>
        <w:widowControl/>
        <w:rPr/>
      </w:pPr>
      <w:r>
        <w:rPr/>
        <w:t>containing 5 to 25 percent, by weight of one or more aromatic substances Organic composite solvents and thinners containing more than 25 percent by weight of one or more aromatic substances Organic composite solvents and thinners, nesoi; prepared paint or varnish removers;</w:t>
      </w:r>
    </w:p>
    <w:p>
      <w:pPr>
        <w:pStyle w:val="Normal"/>
        <w:widowControl/>
        <w:rPr/>
      </w:pPr>
      <w:r>
        <w:rPr/>
        <w:t>nesoi Supported catalysts with nickel or nickel compounds as the active substance Supported catalysts with precious metal or precious metal compounds as the active substance Supported catalysts other than with nickel or precious metal or their compounds as the active substance Reaction initiators, reaction accelerators and catalytic preparations, nesoi, consisting wholly of bismuth, of tungsten or of vanadium Reaction initiators, reaction accelerators and catalytic preparations, nesoi, consisting wholly of mercury or of molybdenum Reaction initiators, reaction accelerators and catalytic preparations, nesoi, consisting wholly of inorganic substances nesoi Reaction initiators, reaction accelerators and catalytic preparations, nesoi Refractory cements, mortars, concretes and similar compositions, other than products of heading 3801 Mixed linear alkylbenzenes, other than those of heading 2707 or 2902 Mixed alkylbenzenes, other than linear or those of heading 2707 or 2902 Mixed alkylnaphthalenes, other than those of heading 2707 or 2902 Chemical elements doped for use in electronics, in the form of discs, wafers etc., chemical compounds doped for electronic use Hydraulic brake fluids and transmission fluids</w:t>
      </w:r>
    </w:p>
    <w:p>
      <w:pPr>
        <w:pStyle w:val="Normal"/>
        <w:widowControl/>
        <w:rPr/>
      </w:pPr>
      <w:r>
        <w:rPr/>
        <w:t>cont.</w:t>
      </w:r>
    </w:p>
    <w:p>
      <w:pPr>
        <w:pStyle w:val="Normal"/>
        <w:widowControl/>
        <w:rPr/>
      </w:pPr>
      <w:r>
        <w:rPr/>
        <w:t>less than 70% by weight of petroleum oils, or bituminous mineral oils Antifreezing preparations and prepared de-icing fluids Prepared culture media for development of microorganisms Composite diagnostic or laboratory reagents, other than those of heading 3002 or 3006, containing antigens or antisera Composite diagnostic or laboratory reagents, nesoi Certified reference materials as defined in note 2 to chapter 38 Stearic acid Oleic acid Tall oil fatty acids Industrial monocarboxylic fatty acids or acid oils from refining derived from coconut, palm-kernel, or palm oil Industrial monocarboxylic fatty acids or acid oils from refining, nesoi Oleyl alcohol derived from fatty substances of animal or vegetable origin Industrial fatty alcohols, other than oleyl, derived from fatty substances of animal or vegetable origin Industrial fatty alcohols other than derived from fatty substances of animal or vegetable origin Prepared binders for foundry molds or cores Nonagglomerated metal carbides mixed together or with metallic binders Prepared additives for cements, mortars or concretes containing 5% or more by weight of aromatic or modified aromatic substances Prepared additives for cements, mortars or concretes consisting wholly of inorganic substances Prepared additives for cements, mortars or concretes, nesoi Non-refractory mortars and concretes Sorbitol other than that of subheading</w:t>
      </w:r>
    </w:p>
    <w:p>
      <w:pPr>
        <w:pStyle w:val="Normal"/>
        <w:widowControl/>
        <w:rPr/>
      </w:pPr>
      <w:r>
        <w:rPr/>
        <w:t>2905.44 Mixtures containing chlorofluorocarbons Containing bromochlorodiflourormethane,</w:t>
      </w:r>
    </w:p>
    <w:p>
      <w:pPr>
        <w:pStyle w:val="Normal"/>
        <w:widowControl/>
        <w:rPr/>
      </w:pPr>
      <w:r>
        <w:rPr/>
        <w:t>bromotrifluoromethane or dibromotetrafluroroethane Mixtures containing hydrobromofluorocarbons Mixtures containing hydrochlorofluorocarbons Mixtures of halogenated hydrocarbons containing carbon tetrachloride Containing 1,1,1,-trichloroethane Containing bromomethane or bomochloromethane Containing PFCs or HFCs but not CFCs or HCFCs Mixtures containing halogenated derivatives of methane, ethane, or propane, nesoi, chlorinated but not otherwise halogenated Mixtures containing halogenated derivatives of methane, ethane, or propane, nesoi, other than chlorinated but not halogenated Chemical mixtures containing oxirane (ethylene oxide) Containing PCBs, PCTs or PBBs: mixtures of halogenated hydrocarbons, chlorinated but not otherwise halogenated, nesoi Containing PCBs, PCTs or PBBs: mixtures of halogenated hydrocarbons other than chlorinated only, nesoi Containing tris (2,3-dibromopropyl phosphate) Other mixtures cont aldrin, camphechlor(toxaphene), chlordane, chlordecone, DDT(clofenatone), 1,1,1-TRICHLORO-2,2-BIS(P-CHLOROPHENYL)ETHANE), ETC. Mixtures containing 1,2,3,4,5,6-hexachlorocyclohexane (HCH (ISO)), including lindane (ISO,INN) Mixtures containing pentachlorobenzene (ISO) or hexachlorobenzene (ISO) Mixtures containing perfluorooctane sulfonic acid, its salts, perfluorooctane sulfonamides, or perfluorooctane sulfonyl fluoride Mixtures containing tetra-, penta-, hexa-, hepta-, or octabromodiphenyl ethers Mixtures consisting mainly of methylphosphonate etc.</w:t>
      </w:r>
    </w:p>
    <w:p>
      <w:pPr>
        <w:pStyle w:val="Normal"/>
        <w:widowControl/>
        <w:rPr/>
      </w:pPr>
      <w:r>
        <w:rPr/>
        <w:t>Cultured crystals, weighing not less than 2.5g each, in the form of ingots Cultured crystals, weighing not less than 2.5g each except in the form of ingots Mixtures consisting wholly of substances found naturally in coal tar, whether obtained from coal tar or other source Mixtures of triphenyl sulfonium chloride, diphenyl (4-phenylthio)phenyl sulfonium chloride &amp; (thiodi-4,1- phenylene)bis(diphenyl sulfonium) dichloride Benzene,2,4-Diisocyanate-1,3,5-tris-(1-methylethyl) Mixtures containing 5% or more by weight of one or more aromatic or modified aromatic substance, nesoi Mixtures of bismuth Mixtures of hydrosulfite compounds, of sulfoxylate compounds, or of both Mixtures of mercury Mixtures of molybdenum Mixtures of tungsten Mixture of vanadium Mixtures of two or more inorganic compounds, nesoi Mixtures of fatty substances of animal or vegetable origin and mixtures thereof Mixtures that are in whole or in part of hydrocarbons derived in whole or in part from petroleum, shale oil or natural gas Mixtures chlorinated but not otherwise halogenated Mixtures of halogenated hydrocarbons, nesoi Mixtures of dibromoneopentyl gylcol;polydibromophenylene oxide;tetrabromobisphenol-A-carbonate oligomers;electroplating chemical and electroless Mixtures of naphthenic acids, their water-insoluble salts and their esthers Chemical products and preparations and residual products of the chemical or allied industries, nesoi Municipal waste Sewage sludge Clinical waste Halogenated waste organic</w:t>
      </w:r>
    </w:p>
    <w:p>
      <w:pPr>
        <w:pStyle w:val="Normal"/>
        <w:widowControl/>
        <w:rPr/>
      </w:pPr>
      <w:r>
        <w:rPr/>
        <w:t>solvents Waste organic solvents, other than halogenated Wastes of metal-pickling liquors, hydraulic fluids, brake fluids and anti-freeze fluids Other wastes from the chemical or allied industries mainly containing organic constituents Other wastes from the chemical or allied industries, other than those mainly containing organic constituents Residual products of the chemical or allied industries, nesoi; other wastes, nesoi, specified in note 6 to chapter 38 Biodiesel not containing petroleum or bituminous oil Biodiesel containing &lt;70% petroleum or bituminous oil Polyethylene having a specific gravity of less than 0.94 and having a relative viscosity of 1.44 or more, in primary forms Polyethylene having a specific gravity of less than 0.94, in primary forms, nesoi Polyethylene having a specific gravity of 0.94 or more and having a relative viscosity of 1.44 or more, in primary forms Polyethylene having a specific gravity of 0.94 or more, in primary forms, nesoi Ethylene copolymer:</w:t>
      </w:r>
    </w:p>
    <w:p>
      <w:pPr>
        <w:pStyle w:val="Normal"/>
        <w:widowControl/>
        <w:rPr/>
      </w:pPr>
      <w:r>
        <w:rPr/>
        <w:t>Vinyl acetate-vinyl chloride-ethylene terpoly w/ &lt; 50% deriv of vinyl acetate, exc polymer aromatic/mod arom monomers Ethylene-vinyl acetate copolymers, nesoi Ethylene-alpha-olefin copolymers, having a specific gravity of less than 0.94 Polymers of ethylene, nesoi, in primary forms, elastomeric Ethylene copolymers, in primary forms, other than elastomeric Polymers of ethylene, nesoi, in primary forms, other than elastomeric Polypropylene, in primary forms Polyisobutylene, elastomeric, in primary</w:t>
      </w:r>
    </w:p>
    <w:p>
      <w:pPr>
        <w:pStyle w:val="Normal"/>
        <w:widowControl/>
        <w:rPr/>
      </w:pPr>
      <w:r>
        <w:rPr/>
        <w:t>forms Polyisobutylene, other than elastomeric, in primary forms Propylene copolymers, in primary forms Polymers of propylene or of other olefins, nesoi, in primary forms Polystyrene, expandable, in primary forms Polystyrene, other than expandable, in primary forms Styrene-acrylonitrile (SAN) copolymers, in primary forms Acrylonitrile-butadiene-styrene (ABS) copolymers, in primary forms Methyl methacrylate-butadiene-styrene (MBS) copolymers, in primary forms Polymers of styrene, nesoi, in primary forms Polyvinyl chloride, not mixed with any other substances, in primary forms Polyvinyl chloride, mixed with other substances, nonplasticized, in primary forms Polyvinyl chloride, mixed with other substances, plasticized, in primary forms Vinyl chloride copolymer: Vinyl acetate-vinyl chloride-ethylene terpoly w/&lt; 50% deriv vinyl acetate, exc polymer aromatic/mod arom monomers Vinyl chloride-vinyl acetate copolymers, nesoi Vinyl chloride copolymers nesoi, in primary forms Vinylidene chloride polymers, in primary forms Polytetrafluoroethylene (PTFE), in primary forms Fluoropolymers, elastomeric, other than polytetrafluoroethylene, in primary forms Fluoropolymers, other than elastomeric and other than polytetrafluoroethylene, in primary forms Polymers of vinyl chloride or of other halogenated olefins, nesoi, in primary forms, elastomeric, in primary forms Polymers of vinyl chloride or of other halogenated olefins, nesoi, in primary forms, other than elastomeric, in primary forms</w:t>
      </w:r>
    </w:p>
    <w:p>
      <w:pPr>
        <w:pStyle w:val="Normal"/>
        <w:widowControl/>
        <w:rPr/>
      </w:pPr>
      <w:r>
        <w:rPr/>
        <w:t>Polyvinyl acetate, in aqueous dispersion Polyvinyl acetate, other than in aqueous dispersion, in primary forms Vinyl acetate copolymers, in aqueous dispersion Vinyl acetate copolymers, other than in aqueous dispersion, in primary forms Polyvinyl alcohols, whether or not containing unhydrolyzed acetate groups, in primary forms Copolymers of vinyl esters or other vinyls, in primary forms, containing by weight 50% or more of derivatives of vinyl acetate Copolymers of vinyl esters or other vinyls, in primary forms, nesoi Polyvinyl carbazole (including adjuvants) Polymers of vinyl esters or other vinyl polymers, in primary forms, nesoi Polymethyl methacrylate, in primary forms Acrylic polymers (except PMMA) in primary forms, elastomeric Acrylic plastics polymers (except PMMA), in primary forms, nonelastomeric Acrylic polymers (except plastics or elastomers), in primary forms, nesoi Polyacetals in primary forms Polyethers, other than polyacetals, in primary forms Epoxide resins in primary forms Polycarbonates in primary forms Alkyd resins in primary forms Having a viscosity number of 78 ml/g or higher Polyethylene terephthalate, nesoi Poly(lactic acid) Unsaturated allyl resins, uncompounded Unsaturated allyl resins,</w:t>
      </w:r>
    </w:p>
    <w:p>
      <w:pPr>
        <w:pStyle w:val="Normal"/>
        <w:widowControl/>
        <w:rPr/>
      </w:pPr>
      <w:r>
        <w:rPr/>
        <w:t>nesoi Unsaturated polyesters, other than allyl resins in primary forms Thermoplastic liquid crystal aromatic polyester copolymers Other polyesters nesoi, saturated, in primary forms Polyamide-6, -11, -12, -6,6, -6,9, -6,10 or -6,12 in primary form</w:t>
      </w:r>
    </w:p>
    <w:p>
      <w:pPr>
        <w:pStyle w:val="Normal"/>
        <w:widowControl/>
        <w:rPr/>
      </w:pPr>
      <w:r>
        <w:rPr/>
        <w:t>Bis(4-amino-3-methylcyclohexyl)methaneisophthalic acid-laurolactam copolymer Other polyamides in primary forms Urea resins; thiourea resins Melamine resins Poly(methylene phenyl isocyanate) (crude MDI, polymeric MDI) Amino-resins, nesoi Phenolic resins Polyurethanes, elastomeric, in primary forms Polyurethanes: cements, in primary forms Polyurethanes, other than elastomeric or cements, in primary forms Silicones in primary forms Petroleum resins, coumarone, indene, or coumarone-indene resins and polyterpenes, in primary forms Elastomeric polysulfides, polysulfones and other products specified in note 3 to chapter 39, nesoi, in primary forms Specified carbodiimide or homopolymer with polyethylene thermoplastic goods Thermoplastic polysulfides, polysulfones &amp; oth products spec in note 3, chapt 39, cont aromatic monomer units or derived therefrom Benzenamine; and hydrocarbon novolac cyanate ester Thermosetting polysulfides, polysulfones &amp; oth products spec in note 3, chapt 39, cont aromatic monomer units or derived therefrom Chlorinated synthetic rubber Polysulfides, polysulfones &amp; other products specified in note 3 to chapter 39, nesoi Cellulose acetates, nesoi, in primary forms, nonplasticized Cellulose acetates, nesoi, in primary forms, plasticized Cellulose nitrates (including collodions), in primary forms Carboxymethylcellulose and its salts Cellulose ethers, other than carboxymethylcellulose and its salts, in primary forms Cellulose and its chemical derivatives nesoi, in</w:t>
      </w:r>
    </w:p>
    <w:p>
      <w:pPr>
        <w:pStyle w:val="Normal"/>
        <w:widowControl/>
        <w:rPr/>
      </w:pPr>
      <w:r>
        <w:rPr/>
        <w:t>primary forms Alginic acid, and its salts and esters, in primary forms Chemical derivatives of natural rubber, nesoi, in primary forms Polysaccharides and their derivatives, nesoi, in primary forms Natural polymers and modified natural polymers, nesoi, in primary forms Cross-linked polyvinylbenzyltrimethylammonium chloride (Cholestyramine resin USP) Ion-exchangers based on polymers of headings 3901 to 3913, in primary forms, nesoi Waste, parings and scraps, of polymers of ethylene Waste, parings and scrap, of polymers of styrene Waste, parings and scrap, of polymers of vinyl chloride Waste, parings and scrap, of plastics, nesoi Monofilament with cross-section dimension over 1 mm, rods, sticks, profile shapes, at most surface-worked, of polymers of ethylene Monofilament with cross-section dimension over 1 mm, rods, sticks, profile shapes, at most surface-worked, of polymers of vinyl chloride Monofilament with cross-section dimension over 1 mm, rods, sticks, profile shapes, at most surface-worked, of acrylic polymers Monofilament racket strings of plastics of which any cross-sectional dimension exceeds 1 mm Monafilament nesoi, of plastics, excluding ethylene, vinyl chloride and acrylic polymers Rods, sticks</w:t>
      </w:r>
    </w:p>
    <w:p>
      <w:pPr>
        <w:pStyle w:val="Normal"/>
        <w:widowControl/>
        <w:rPr/>
      </w:pPr>
      <w:r>
        <w:rPr/>
        <w:t>and profile shapes, at most surface-worked, of plastics, nesoi Artificial guts (sausage casings) of cellulosic plastics materials Artificial guts (sausage casings) of collagen Artificial guts (sausage casings) of hardened protein, nesoi Tubes, pipes and hoses, rigid, of</w:t>
      </w:r>
    </w:p>
    <w:p>
      <w:pPr>
        <w:pStyle w:val="Normal"/>
        <w:widowControl/>
        <w:rPr/>
      </w:pPr>
      <w:r>
        <w:rPr/>
        <w:t>polymers of ethylene Tubes, pipes and hoses, rigid, of polymers of propylene Tubes, pipes and hoses, rigid, of polymers of vinyl chloride Tubes, pipes and hoses, rigid, of other plastics nesoi Flexible plastic tubes, pipes and hoses, having a minimum burst pressure of 27.6 MPa Tubes, pipes and hoses, of plastics, other than rigid, not reinforced or otherwise combined with other materials, without fittings Flexible plastic tubes, pipes and hoses, nesoi, with fittings, not reinforced or otherwise combined with other materials Flexible plastic tubes, pipes and hoses, nesoi Fittings of plastics, for plastic tubes, pipes and hoses, nesoi Vinyl tile floor coverings Vinyl flooring, excluding vinyl tile Wall or ceiling coverings, with a backing of manmade fibers, greater than 70% by weight of PVC Wall or ceiling coverings, with a backing of manmade fibers, less than or equal to 70% by weight of PVC Wall or ceiling coverings of polymers of vinyl chloride with a backing of textile fibers other than of manmade fibers Wall or ceiling coverings of polymers</w:t>
      </w:r>
    </w:p>
    <w:p>
      <w:pPr>
        <w:pStyle w:val="Normal"/>
        <w:widowControl/>
        <w:rPr/>
      </w:pPr>
      <w:r>
        <w:rPr/>
        <w:t>of vinyl chloride, without a backing of textile fibers Floor coverings of plastics, other than of polymers of vinyl chloride, nesoi Wall or ceiling coverings, with a backing of manmade fibers, of plastics other than polymers of vinyl chloride Wall or ceiling coverings of plastics other than of polymers of vinyl chloride with a backing of textile fibers other than of manmade fiber Wall or ceiling coverings of plastics other than vinyl</w:t>
      </w:r>
    </w:p>
    <w:p>
      <w:pPr>
        <w:pStyle w:val="Normal"/>
        <w:widowControl/>
        <w:rPr/>
      </w:pPr>
      <w:r>
        <w:rPr/>
        <w:t>chloride, without a backing of textile fibers Self-adhesive plates, sheets, other flat shapes, of plastics, in rolls n/o 20 cm wide, light- reflecting surface produced by glass grains Self-adhesive plates, sheets, other flat shapes, of plastics, in rolls n/o 20 cm wide, not having a light-reflecting glass grain surface Self-adhesive plates, sheets, other flat shapes, of plastics, light-reflecting surface produced by glass grains, nesoi Self-adhesive plates, sheets, other flat shapes, of plastics, not having a light-reflecting surface produced by glass grains, nesoi Nonadhesive plates, sheets, film, foil and strip, noncellular, not reinforced or combined with other materials, of polymers of ethylene Nonadhesive plates, sheets, film, foil and strip, noncellular, not reinforced or combined with other materials, of polymers of propylene Nonadhesive plates, sheets, film, foil and strip, noncellular, not reinforced or combined with other materials, of polymers of styrene Nonadhesive plates/sheets/film/foil/strip made imitation of patent leather, of vinyl chloride polymers, not less 6% plasticizers Nonadhesive plate/sheet/film/foil/strip, noncellular, not comb w/other materials, of vinyl chloride polymers, not less 6% plasticizer, nesoi</w:t>
      </w:r>
    </w:p>
    <w:p>
      <w:pPr>
        <w:pStyle w:val="Normal"/>
        <w:widowControl/>
        <w:rPr/>
      </w:pPr>
      <w:r>
        <w:rPr/>
        <w:t>Nonadhesive plates, sheets, film, foil, strip, noncellular, not combined w/other materials, of polymers of vinyl chloride, &lt; 6% plasticizers Nonadhesive plates, sheets, film, foil and strip, noncellular, not combined with other materials, of</w:t>
      </w:r>
    </w:p>
    <w:p>
      <w:pPr>
        <w:pStyle w:val="Normal"/>
        <w:widowControl/>
        <w:rPr/>
      </w:pPr>
      <w:r>
        <w:rPr/>
        <w:t>polymethyl methacrylate, flexible Nonadhesive plates, sheets, film, foil and strip, noncellular, not combined with other materials, of polymethyl methacrylate, not flexible Nonadhesive plates, sheets, film, foil and strip, noncellular, not combined with other materials, of acrylic polymers, flexible, nesoi Transparent sheeting containing 30% or more by weight of lead Plates, sheets, film, etc, noncellular, not reinforced, laminated, combined, of other acrylic polymers, nesoi Nonadhesive plates, sheets, film, foil and strip, noncellular, not combined with other materials, of polycarbonates Nonadhesive plates, sheets, film, foil and strip, noncellular, not combined with other materials, of polyethylene terephthalate Nonadhesive plates, sheets, film, foil and strip, noncellular, not combined with other materials, of unsaturated polyesters, flexible Nonadhesive plates, sheets, film, foil and strip, noncellular, not combined with other materials, of unsaturated polyesters, not flexible Nonadhesive plates, sheets, film, foil and strip, noncellular, not combined with other materials, of polyesters, nesoi Nonadhesive plates, sheets, film, foil and strip, noncellular, not combined with other materials, of regenerated cellulose Nonadhesive plates, sheets, film, foil and strip, noncellular, not combined with other materials, of cellulose acetate Nonadhesive plates, sheets, film, foil and strip, noncellular, not combined with other materials, of vulcanized fiber Nonadhesive films,</w:t>
      </w:r>
    </w:p>
    <w:p>
      <w:pPr>
        <w:pStyle w:val="Normal"/>
        <w:widowControl/>
        <w:rPr/>
      </w:pPr>
      <w:r>
        <w:rPr/>
        <w:t>strips, sheets, noncellular, not combined with other materials, of other cellulose derivatives nesoi, n/o 0.076 mm thick Nonadhesive plates, sheets, film, foil and strip, noncellular, not combined with other materials, of cellulose derivatives, nesoi Nonadhesive plates, sheets, film, foil and strip, noncellular, not combined with other materials, of polyvinyl butyral Nonadhesive plates, sheets, film, foil and strip, noncellular, not combined with other materials, of polyamides Nonadhesive plates, sheets, film, foil and strip, noncellular, not combined with other materials, of amino-resins Nonadhesive plates, sheets, film, foil and strip, noncellular, not combined with other materials, of phenolic resins Nonadhesive film, noncellular, not combined with other materials, of plastics nesoi, flexible, over 0.152mm thick, not in rolls Nonadhesive film, strips and sheets, noncellular, not combined with other materials, of plastics nesoi, flexible Nonadhesive plates, sheets, film, foil and strip, noncellular, not combined with other materials, of plastics, nesoi Nonadhesive plates, sheets, film, foil and strip, cellular, of polymers of styrene Nonadhesive plates, sheets, film, foil, strip, cellular, of polymers of vinyl chloride, with</w:t>
      </w:r>
    </w:p>
    <w:p>
      <w:pPr>
        <w:pStyle w:val="Normal"/>
        <w:widowControl/>
        <w:rPr/>
      </w:pPr>
      <w:r>
        <w:rPr/>
        <w:t>man-made textile fibers, over 70% plastics Nonadhesive plates, sheets, film, foil, strip, cellular, of polymers of vinyl chloride, with man-made textile fibers, n/o 70% plastics Nonadhesive plates, sheets, film, foil and strip, cellular, of polymers of</w:t>
      </w:r>
    </w:p>
    <w:p>
      <w:pPr>
        <w:pStyle w:val="Normal"/>
        <w:widowControl/>
        <w:rPr/>
      </w:pPr>
      <w:r>
        <w:rPr/>
        <w:t>vinyl chloride, combined with textile materials, nesoi Nonadhesive plates, sheets, film, foil and strip, cellular, of polymers of vinyl chloride, not combined with textile materials Nonadhesive plates, sheets, film, foil and strip, cellular, of polyurethanes, with man- made textile fibers, over 70% plastics Nonadhesive plates, sheets, film, foil and strip, cellular, of polyurethanes, with man- made textile fibers, not over 70 percent plastics Nonadhesive plates, sheets, film, foil and strip, cellular, of polyurethanes, combined with textile materials nesoi Nonadhesive plates, sheets, film, foil and strip, cellular,of polyurethanes, not combined with textile materials, nesoi Nonadhesive plates, sheets, film, foil and strip, cellular, of regenerated cellulose Nonadhesive plates, sheets, film, foil and strip, cellular, of plastics nesoi Nonadhesive plates, sheets, film, foil, strip, of noncellular plastics combined with man- made fibers, n/o 1.492 kg/sq m, over 70% plastics Nonadhesive plates, sheets, film, foil, strip, of noncellular plastics combined with man- made fibers, n/o 1.492 kg/sq m, n/o 70% plastics Nonadhesive plates, sheets, film, foil and strip, of noncellular plastics combined with textile</w:t>
      </w:r>
    </w:p>
    <w:p>
      <w:pPr>
        <w:pStyle w:val="Normal"/>
        <w:widowControl/>
        <w:rPr/>
      </w:pPr>
      <w:r>
        <w:rPr/>
        <w:t>materials, nesoi, not over 1.492 kg/sq m Nonadhesive plates, sheets, film, foil and strip, of noncellular plastics combined with cotton, over 1.492 kg/sq m Nonadhesive plates, sheets, film, foil and strip, of noncellular plastics combined with man-made fibers, over 1.492 kg/sq</w:t>
      </w:r>
    </w:p>
    <w:p>
      <w:pPr>
        <w:pStyle w:val="Normal"/>
        <w:widowControl/>
        <w:rPr/>
      </w:pPr>
      <w:r>
        <w:rPr/>
        <w:t>m Nonadhesive plates, sheets, film, foil and strip, of noncellular plastics combined with textile materials, nesoi, over 1.492 kg/sq m Nonadhesive plates, sheets, film, foil and strip, flexible, nesoi, of noncellular plastics Nonadhesive plates, sheets, film, foil and strip, nonflexible, nesoi, of noncellular plastics Baths, shower baths and washbasins, of plastics Lavatory seats and covers, of plastics Bidets, lavatory pans, flushing cisterns and similar sanitary ware nesoi, of plastics Boxes and similar articles for the conveyance or packing of semiconductor wafers, masks or reticules of subheadings 3923.10 or</w:t>
      </w:r>
    </w:p>
    <w:p>
      <w:pPr>
        <w:pStyle w:val="Normal"/>
        <w:widowControl/>
        <w:rPr/>
      </w:pPr>
      <w:r>
        <w:rPr/>
        <w:t>8485.90 Other boxes, cases, crates and similar articles for the conveyance or packing of goods, of plastics Sacks and bags (including cones) for the conveyance or packing of goods, of polymers of ethylene Sacks and bags (including cones) for the conveyance or packing of goods, of plastics other than polymers of ethylene Carboys, bottles, flasks and similar articles for the conveyance or packing of goods, of plastics Spools, cops, bobbins and similar supports, of plastics Stoppers, lids, caps and other closures, of plastics Articles nesoi, for the conveyance or packing of goods, of plastics Salt, pepper, mustard and ketchup dispensers and similar dispensers, of plastics Plates, cups, saucers, soup bowls, cereal bowls, sugar bowls, creamers, gravy boats, serving dishes and platters, of plastics Trays, of plastics Tableware and kitchenware articles, nesoi, of plastics</w:t>
      </w:r>
    </w:p>
    <w:p>
      <w:pPr>
        <w:pStyle w:val="Normal"/>
        <w:widowControl/>
        <w:rPr/>
      </w:pPr>
      <w:r>
        <w:rPr/>
        <w:t>Nursing nipples and finger cots Curtains and drapes, incl.</w:t>
      </w:r>
    </w:p>
    <w:p>
      <w:pPr>
        <w:pStyle w:val="Normal"/>
        <w:widowControl/>
        <w:rPr/>
      </w:pPr>
      <w:r>
        <w:rPr/>
        <w:t>panels and valances, napkins, table covers, mats, scarves, runners, doilies, and like furnishings, of plastics Picture frames of plastics Household articles and toilet articles, nesoi, of plastics Reservoirs, tanks, vats and similar containers, of a capacity exceeding 300 liters, of plastics Doors, windows, and their frames and thresholds for doors, of plastics Blinds (including venetian blinds), of plastics Shutters and similar articles and parts thereof, nesoi, of plastics Builders’ ware of plastics, nesoi Office or school supplies, of plastics Gloves, seamless, of plastics Baseball and softball gloves and mitts, of plastics Gloves specially designed for use in sports, nesoi, of plastics Gloves, nesoi, of plastics Plastic rainwear, incl jackets, coats, ponchos, parkas &amp; slickers, w/ outer shell PVC and w/wo attached hoods, val not over $10 per unit Articles of apparel &amp; clothing accessories, of plastic, nesoi Handles and knobs for furniture, coachwork or the like, of plastics Fittings for furniture, coachwork or the like, other than handles and knobs, of plastics Statuettes and other ornamental articles, of plastics Buckets</w:t>
      </w:r>
    </w:p>
    <w:p>
      <w:pPr>
        <w:pStyle w:val="Normal"/>
        <w:widowControl/>
        <w:rPr/>
      </w:pPr>
      <w:r>
        <w:rPr/>
        <w:t>and pails, of plastics, nesoi Pacifiers Specified sanitary, invalid and nursing products, and fittings therefor, of plastics Handles and knobs, not used as fittings for furniture, coachwork or the like, of plastics Parts for yachts or pleasure boats of heading 8903 and watercraft not used with</w:t>
      </w:r>
    </w:p>
    <w:p>
      <w:pPr>
        <w:pStyle w:val="Normal"/>
        <w:widowControl/>
        <w:rPr/>
      </w:pPr>
      <w:r>
        <w:rPr/>
        <w:t>motors or sails, of plastics Handbags made of beads, bugles and spangles, of plastics Beads, bugles and spangles, not strung or set; articles thereof, nesoi, of plastics Imitation gemstones, of plastics Gaskets, washers and other seals, of plastics Photo albums Frames or mounts for photographic slides, of plastics V-belts of plastics, containing textile fibers Belting and belts (except V-belts) for machinery, of plastics, containing predominately vegetable fibers Belting and belts (except V-belts) for machinery, of plastics, containing predominately man-made fibers Belting and belts (except V-belts) for machinery, of plastics, containing textile fibers nesoi Belting and belts (except V-belts) for machinery, of plastics, not containing textile fibers Clothespins, spring type, of plastics Clothespins, other than spring type, of plastics Pneumatic mattresses and other inflatable articles, nesoi, of plastics Waterbed mattresses and liners and parts of the foregoing, of plastics Empty cartridges and cassettes for typewriter and machine ribbons, of plastics Fasteners, in clips suitable for use in a mechanical attaching device, of plastics Flexible document binders with tabs, rolled or flat, of plastics Cards, not punched, suit.</w:t>
      </w:r>
    </w:p>
    <w:p>
      <w:pPr>
        <w:pStyle w:val="Normal"/>
        <w:widowControl/>
        <w:rPr/>
      </w:pPr>
      <w:r>
        <w:rPr/>
        <w:t>for jacquard cards; jacquard cards &amp; jacquard heads for power-driven weaving mach, etc;&amp; trans sheet plast 30%lead Casing for bicycle derailleur cable;and casing for cable or inner wire for caliper and cantilever bake,whether or not cut length;</w:t>
      </w:r>
    </w:p>
    <w:p>
      <w:pPr>
        <w:pStyle w:val="Normal"/>
        <w:widowControl/>
        <w:rPr/>
      </w:pPr>
      <w:r>
        <w:rPr/>
        <w:t>of plastic Other articles of plastic, nesoi Natural rubber latex, whether or not prevulcanized Natural rubber smoked sheets Technically specified natural rubber (TSNR), in primary forms Natural rubber in primary forms other than latex, smoked sheets or technically specified natural rubber (TSNR) Balata, gutta-percha, guayule, chicle and similar natural rubber gums, in primary forms Styrene-butadiene rubber (SBR) or carboxylated styrene-butadiene rubber (XSBR), latex, in primary forms or in plates, sheets or strip Styrene-butadiene rubber (SBR), carboxylated styrene-butadiene rubber (XSBR), except latex, in primary forms or in plates, sheets or strip Butadiene rubber (BR), in primary forms or in plates, sheets or strip Isobutene-isoprene (butyl) rubber (IIR), in primary forms or in plates, sheets or strip Halo-isobutene-isoprene rubber (CIIR or BIIR), in primary forms or in plates, sheets or strip Chloroprene (chlorobutadiene) rubber (CR), latex, in primary forms or in plates, sheets or strip Chloroprene (chlorobutadiene) rubber (CR), other than latex, in primary forms or in plates, sheets or strip Acrylonitrile-butadiene rubber (NBR), latex, in primary forms or in plates, sheets or strip Acrylonitrile-butadiene rubber (NBR), other</w:t>
      </w:r>
    </w:p>
    <w:p>
      <w:pPr>
        <w:pStyle w:val="Normal"/>
        <w:widowControl/>
        <w:rPr/>
      </w:pPr>
      <w:r>
        <w:rPr/>
        <w:t>than latex, in primary forms or in plates, sheets or strip Isoprene rubber (IR), in primary forms or in plates, sheets or strip Ethylene-propylene-nonconjugated diene rubber (EPDM), in primary forms or in plates, sheets or strip Mixtures of natural rubber gums with synthetic rubber, in primary forms or in plates, sheets or strip Synthetic rubber and factice derived from oils, in latex form, in primary forms or in plates, sheets or strip, nesoi Synthetic rubber and factice derived from oils, in primary forms or in plates, sheets or strip, nesoi Reclaimed rubber in primary forms or in plates, sheets or strip Waste, parings and scrap of rubber (other than hard rubber) and powders and granules obtained therefrom Rubber, unvulcanized, compounded with carbon black or silica, in primary forms or in plates, sheets or strip Solutions and dispersions of rubber, unvulcanized, compounded with other than carbon black or silica Compounded rubber, unvulcanized, in plates, sheets and strip Compounded rubber, unvulcanized, in primary forms, nesoi “Camel-back” strips of unvulcanized rubber, for retreading</w:t>
      </w:r>
    </w:p>
    <w:p>
      <w:pPr>
        <w:pStyle w:val="Normal"/>
        <w:widowControl/>
        <w:rPr/>
      </w:pPr>
      <w:r>
        <w:rPr/>
        <w:t>rubber tires Rods, tubes, profile shapes, discs, rings, and similar articles, of natural, unvulcanized rubber Rods, tubes, profile shapes, discs, rings, and similar articles, of synthetic unvulcanized rubber Vulcanized rubber thread and cord Plates, sheets and strip of vulcanized natural cellular rubber, other than hard rubber Plates, sheets and strip of vulcanized synthetic cellular rubber,</w:t>
      </w:r>
    </w:p>
    <w:p>
      <w:pPr>
        <w:pStyle w:val="Normal"/>
        <w:widowControl/>
        <w:rPr/>
      </w:pPr>
      <w:r>
        <w:rPr/>
        <w:t>other than hard rubber Rods and profile shapes of vulcanized natural cellular rubber, other than hard rubber Vulcanized natural cellular rubber, other than hard rubber, other than rods and profile shapes,nesi Rods and profile shapes of vulcanized, synthetic cellular rubber, other than hard rubber Vulcanized, synthetic cellular rubber, other than hard rubber, other than rods and profile shapes Plates, sheets and strip of vulcanized, noncellular rubber, other than hard rubber Rods and profile shapes of vulcanized, noncellular rubber, other than hard rubber Vulcanized, noncellular rubber, other than hard rubber, other than rods and profile shapes, nesoi Tubes, pipes and hoses of vulcanized rubber other than hard rubber, not reinforced or combined w/other materials, without fittings Tubes, pipes and hoses of vulcanized rubber other than hard rubber, not reinforced or combined w/other materials, with fittings Tubes, pipes and hoses of vulcanized rubber other than hard rubber, reinforced or combined only with metal, without fittings Tubes, pipes and hoses of vulcanized rubber other than hard rubber, reinforced or combined only with metal,</w:t>
      </w:r>
    </w:p>
    <w:p>
      <w:pPr>
        <w:pStyle w:val="Normal"/>
        <w:widowControl/>
        <w:rPr/>
      </w:pPr>
      <w:r>
        <w:rPr/>
        <w:t>with fittings Tubes, pipes and hoses of vulcanized rubber other than hard rubber, reinforced or combined only with textile materials, without fittings Tubes, pipes and hoses of vulcanized rubber other than hard rubber, reinforced or combined only with textile materials, with fittings Tubes, pipes and hoses of vulcanized rubber other than hard</w:t>
      </w:r>
    </w:p>
    <w:p>
      <w:pPr>
        <w:pStyle w:val="Normal"/>
        <w:widowControl/>
        <w:rPr/>
      </w:pPr>
      <w:r>
        <w:rPr/>
        <w:t>rubber, reinforced or combined with other materials nesoi, without fittings Tubes, pipes and hoses of vulcanized rubber other than hard rubber, reinforced or combined with other materials nesoi, with fittings Conveyor belts or belting of vulcanized rubber reinforced only with metal Conveyor belts or belting of vulcanized rubber reinforced only with textile materials, in which vegetable fibers predominate ov other fibers Conveyor belts/belting of vulcanized rubber reinforced w/textile material, mostly man- made fiber, width exceeds 20 cm Conveyor belts/belting of vulcanized rubber reinforced only w/textile material, mostly man-made fiber, width not over 20 cm Conveyor belts or belting of vulcanized rubber reinforced only with textile materials, nesoi Conveyor belts or belting of vulcanized rubber, nesoi, combined with textile materials in which vegetable fibers predominate ov other fibers Conveyor belts/belting of vulcanized rubber, nesoi, combined w/textile components in which man-made fibers predominate, width exceed 20 cm Conveyor belts/belting of vulcanized rubber, nesoi, combined w/textile components in which man-made fibers predominate, width under 20 cm Conveyor belts/belting of vulcanized rubber, nesoi, combined</w:t>
      </w:r>
    </w:p>
    <w:p>
      <w:pPr>
        <w:pStyle w:val="Normal"/>
        <w:widowControl/>
        <w:rPr/>
      </w:pPr>
      <w:r>
        <w:rPr/>
        <w:t>with textile materials nesoi Conveyor belts/belting of vulcanized rubber, nesoi Transmission V-belts of vulcanized rubber, V-ribbed, circumference exceed 60 cm but not exceed 180 cm, combined with textile materials Transmission V-belt of vulcanized rubber,</w:t>
      </w:r>
    </w:p>
    <w:p>
      <w:pPr>
        <w:pStyle w:val="Normal"/>
        <w:widowControl/>
        <w:rPr/>
      </w:pPr>
      <w:r>
        <w:rPr/>
        <w:t>V-ribbed, circumference exceed 60 cm but not exceed 180 cm, other than combined w/textile material Transmission V-belts of vulcanized rubber, not V-ribbed, circumference exceed 60 cm but not exceed 180 cm, combined with textile materials Transmission V-belt of vulcanized rubber, not V-ribbed, circumference exceed 60 cm not exceed 180 cm, other than combined w/textile material Transmission V-belts of vulcanized rubber, V-ribbed, circumference exceed 180 cm but not exceed 240 cm, combined with textile materials Transmission V-belt of vulcanized rubber, V-ribbed, circumference exceed 180 cm not exceed 240 cm, other than combined w/textile material Transmission V-belts of vulcanized rubber, not V-ribbed, circumference exceed 180 cm but not exceed 240 cm, combined with textile materials Transmission V-belt of vulcanized rubber, not V-ribbed, circumference exceed 180 cm not exceed 240 cm,other than combined w/textile material Endless synchronous transmission belt of vulcan. rubber, circum. 60-150 cm, combined w/textile mat. w/vegetable fiber more than other fibers Endless synchronous transmission belt of vulcan. rubber, circum. 60-150 cm, combine w/textile mat.;manmade fiber predominant; width ov 20 cm Endless synchronous transmission belt of vulcan. rubber, circum. 60-150 cm, combine w/text.</w:t>
      </w:r>
    </w:p>
    <w:p>
      <w:pPr>
        <w:pStyle w:val="Normal"/>
        <w:widowControl/>
        <w:rPr/>
      </w:pPr>
      <w:r>
        <w:rPr/>
        <w:t>mat.;manmade fiber predominant; width n/o 20 cm Endless synchronous transmission belt of vulcanized rubber, circumference 60 to 150 cm, combined with textile materials nesoi Endless synchronous transmission belt of vulcanized rubber, circumference 60 to 150 cm, other than combined with textile materials Endless synchronous transmission belt of vulcan. rubber, circum. 150-198 cm, combined w/textile with vegetable fiber predom over other fiber Endless synchronous transmission belt of vulcan. rubber, circum. 150-198cm, combined w/manmade fiber exceeding other fibers, width ov 20 cm Endless synchronous transmission belt of vulcan. rubber, circum. 150-198cm, combined w/manmade fiber exceeding other fiber, width n/o 20 cm Endless synchronous transmission belts of vulcanized rubber, circumference 150 to 198 cm, combined with textile materials nesoi Endless synchronous transmission belts of vulcanized rubber, circumference 150 to 198 cm, other than combined with textile materials Transmission V-belts and V-belting of vulcanized rubber, nesoi, combined with textile materials Transmission V-belts and V-belting of vulcanized rubber, nesoi, other than combined with textile materials Transmission belts or belting of vulcanized rubber, nesoi, combined with textile materials in which vegetable fiber predominate other fibers Transmission belts or belting of vulcanized rubber, nesoi, combined w.</w:t>
      </w:r>
    </w:p>
    <w:p>
      <w:pPr>
        <w:pStyle w:val="Normal"/>
        <w:widowControl/>
        <w:rPr/>
      </w:pPr>
      <w:r>
        <w:rPr/>
        <w:t>textile materials with man-made fibers predominant, width over 20 cm Transmission belts or belting of vulcanized rubber, nesoi, combined w.</w:t>
      </w:r>
    </w:p>
    <w:p>
      <w:pPr>
        <w:pStyle w:val="Normal"/>
        <w:widowControl/>
        <w:rPr/>
      </w:pPr>
      <w:r>
        <w:rPr/>
        <w:t>textile materials with man-made fibers predominant, width n/o 20 cm Transmission belts or belting of vulcanized rubber, nesoi, combined with textile materials nesoi Transmission belts or belting of vulcanized rubber, nesoi, other than combined with textile materials New pneumatic radial tires, of rubber, of a kind used on motor cars (including station wagons and racing cars) New pneumatic tires excluding radials, of rubber, of a kind used on motor cars (including station wagons and racing cars) New pneumatic radial tires, of rubber, of a kind used on buses or trucks New pneumatic tires excluding radials, of rubber, of a kind used on buses or trucks New pneumatic tires, of rubber, of a kind used on aircraft New pneumatic tires, of rubber, of a kind used on motorcycles New pneumatic tires, of rubber, of a kind used on bicycles New pneumatic tires of a kind used on agricultural or forestry vehicles and machines New pneumatic tires of a kind used on construction, mining or industrial handling vehicles and machines having a</w:t>
      </w:r>
    </w:p>
    <w:p>
      <w:pPr>
        <w:pStyle w:val="Normal"/>
        <w:widowControl/>
        <w:rPr/>
      </w:pPr>
      <w:r>
        <w:rPr/>
        <w:t>herring-bone or similar tread New pneumatic tires of a kind used on construction, mining or industrial handling vehicles and machines having a radial tread New pneumatic tires of a kind used on construction, mining or industrial handling vehicles and machines, other New pneumatic tires, of a kind nesoi, have a</w:t>
      </w:r>
    </w:p>
    <w:p>
      <w:pPr>
        <w:pStyle w:val="Normal"/>
        <w:widowControl/>
        <w:rPr/>
      </w:pPr>
      <w:r>
        <w:rPr/>
        <w:t>herring-bone or similar tread New pneumatic tires, of a kind nesoi, have a radial tread New pneumatic tires, nesoi Retreaded radial pnuematic tires, of rubber, of a kind used on motor cars (including station wagons and racing cars) Retreaded pnuematic tires (nonradials), of rubber, of a kind used on motor cars (including station wagons and racing cars) Retreaded pnuematic radial tires, of rubber, of a kind used on buses or trucks Retreaded pnuematic tires (nonradials), of rubber, of a kind used on buses or trucks Retreaded pneumatic tires, of rubber, of a kind used on aircraft Retreaded pneumatic tires, of rubber, designed for certain agricultural or horticultural machinery Retreaded pnuematic radial tires, of rubber, not elsewhere specified or included Retreaded pnuematic tires (nonradials), of rubber, not elsewhere specified or included Used pneumatic tires of rubber, for aircraft Used pneumatic tires of rubber, designed for certain agricultural or horticultural machinery,for on-highway trasnport of passengers or goods Used pneumatic tires of rubber, designed for certain agricultural or horticultural machinery, nesoi Used pneumatic</w:t>
      </w:r>
    </w:p>
    <w:p>
      <w:pPr>
        <w:pStyle w:val="Normal"/>
        <w:widowControl/>
        <w:rPr/>
      </w:pPr>
      <w:r>
        <w:rPr/>
        <w:t>tires, of rubber, for vehicles for on-highway transport of passengers or goods nesoi, or vehicles of heading 8705 Used pneumatic tires, of rubber for machinery, nesoi Solid or cushion tires of rubber Bicycle rim strips of natural rubber Interchangeable tire treads and tire flaps, of natural rubber, nesoi Bicycle rim strips of rubber other than</w:t>
      </w:r>
    </w:p>
    <w:p>
      <w:pPr>
        <w:pStyle w:val="Normal"/>
        <w:widowControl/>
        <w:rPr/>
      </w:pPr>
      <w:r>
        <w:rPr/>
        <w:t>of natural rubber Interchangeable tire treads and tire flaps, of rubber other than natural rubber, except bicycle rim strips, nesoi Inner tubes of rubber, of a kind used on motor cars (including station wagons and racing cars), buses or trucks Inner tubes of rubber, of a kind used on bicycles Inner tubes of rubber designed for tires used on certain agricultural or horticultural machinery Inner tubes of rubber for vehicles nesoi Sheath contraceptives of vulcanized rubber Nursing nipples of vulcanized rubber Hygienic or pharmaceutical articles nesoi, of vulcanized rubber other than hard rubber, with or without fittings of hard rubber Surgical gloves of vulcanized rubber other than hard rubber Medical gloves of vulcanized rubber other than hard rubber Seamless gloves of vulcanized rubber other than hard rubber, other than surgical or medical gloves Nonseamless gloves of vulcanized rubber other than hard rubber, other than surgical or medical gloves Articles of apparel and clothing accessories, excluding gloves, of vulcanized rubber other than hard rubber Articles of vulcanized cellular rubber other than</w:t>
      </w:r>
    </w:p>
    <w:p>
      <w:pPr>
        <w:pStyle w:val="Normal"/>
        <w:widowControl/>
        <w:rPr/>
      </w:pPr>
      <w:r>
        <w:rPr/>
        <w:t>hard rubber Floor covering and mats, of noncellular vulcanized rubber other than hard rubber Erasers, of noncellular vulcanized rubber other than hard rubber Gaskets, washers and other seals, of noncellular vulcanized rubber other than hard rubber, for use in automotive goods in C87 Gaskets, washers and other seals, of noncellular vulcanized rubber other than hard rubber, not</w:t>
      </w:r>
    </w:p>
    <w:p>
      <w:pPr>
        <w:pStyle w:val="Normal"/>
        <w:widowControl/>
        <w:rPr/>
      </w:pPr>
      <w:r>
        <w:rPr/>
        <w:t>for use in automotive goods in C87 Boat or dock fenders, whether or not inflatable, of noncellular vulcanized rubber other than hard rubber Inflatable articles nesoi, of noncellular vulcanized rubber other than hard rubber Containers of noncellular vulcanized rubber, other than hard rubber, of a kind for packing, transport or marketing of merchandise Household articles nesoi, of noncellular vulcanized rubber other than hard rubber Handles and knobs, of noncellular vulcanized rubber other than hard rubber Caps, lids, seals, stoppers and other closures, of noncellular vulcanized rubber other than hard rubber Toys for pets made of noncellular vulcanized rubber other than hard rubber Articles made of noncellular vulcanized natural rubber, used as vibration control goods in vehicles of 8701 through 8705 Articles made of noncellular vulcanized natural rubber, not used as vibration control goods in vehicles of 8701 through 8705 nesoi Articles nesoi, of noncellular vulcanized synthetic rubber other than hard rubber, used as vibration control goods in veh 8701/8705 Articles of noncellular vulcanized synthetic rubber other than hard rubber Hard rubber (for example, ebonite) in all forms, including waste and scrap;</w:t>
      </w:r>
    </w:p>
    <w:p>
      <w:pPr>
        <w:pStyle w:val="Normal"/>
        <w:widowControl/>
        <w:rPr/>
      </w:pPr>
      <w:r>
        <w:rPr/>
        <w:t>articles of hard rubber Whole raw hide/skin of bovine/equines (n/o 8 kg when dried, 10 kg when dry salted or 16 kg when fresh/otherwise preserved), not pretanned Whole bovine hides/skin upper/lining (n/o 8 kg when dried, 10 kg when dry salted or 16 kg when fresh/otherwise</w:t>
      </w:r>
    </w:p>
    <w:p>
      <w:pPr>
        <w:pStyle w:val="Normal"/>
        <w:widowControl/>
        <w:rPr/>
      </w:pPr>
      <w:r>
        <w:rPr/>
        <w:t>preserved), n/o 2.6 m2, nesoi Whole bovine hides/skin nesoi (n/o 8 kg when dried, 10 kg when dry salted or 16 kg when fresh/otherwise preserved), n/o 2.6 m2, nesoi Whole raw buffalo hides/skins (n/o 8 kg when dried, 10 kg when dry salted or 16 kg when fresh/otherwise preserved), over 2.6 m2, nesoi Whole bovine hides/skins (not buffalo) (n/o 8 kg dried, 10 kg dry salted or 16 kg fresh/otherwise preserved), ov 2.6 m2, vegetable pretanned Whole bovine hide/skin (not buffalo) (n/o 8 kg dried, 10 kg dry salted or 16 kg fresh/otherwise preserved), ov 2.6 m2, not vegetable pretann Whole equine hides and skins (n/o 8 kg when dried, 10 kg when dry salted or 16 kg when fresh/otherwise preserved), other than not pretanned Whole raw hides and skins of bovine or equine animals, of a weight exceeding 16 kg, not pretanned Whole raw bovine hides and skins upper/lining, of a weight over 16 kg, unit surface area n/o 2.6 m2, pretanned but not further prepared Whole raw bovine</w:t>
      </w:r>
    </w:p>
    <w:p>
      <w:pPr>
        <w:pStyle w:val="Normal"/>
        <w:widowControl/>
        <w:rPr/>
      </w:pPr>
      <w:r>
        <w:rPr/>
        <w:t>hides and skins, of a weight over 16 kg, unit surface area n/o 2.6 sq m, pretanned but not further prepared Whole raw buffalo hidess and skins, of a weight over 16 kg, surface area over 2.6 sq m, pretanned but not further prepared, Whole raw bovine hides and skins (not buffalo), weight over 16 kg, surface area over 2.6 m2, vegetable pretanned but not further prepared Whole raw bovine hides/skins (not buffalo), weight over 16 kg, surface area over 2.6 m2, pretanned (not vegetable) but not further prepared Whole raw equine</w:t>
      </w:r>
    </w:p>
    <w:p>
      <w:pPr>
        <w:pStyle w:val="Normal"/>
        <w:widowControl/>
        <w:rPr/>
      </w:pPr>
      <w:r>
        <w:rPr/>
        <w:t>hides and skins, of a weight exceeding 16 kg, pretanned but not further prepared Raw hides and skins (other than whole) of bovine or equine animals, not pretanned Raw buffalo hides and skins (other than whole), pretanned but not further prepared Raw bovine hides and skins (other than whole), vegetable pretanned but not further prepared Raw bovine hides and skins (other than whole), pretanned (other than vegetable pretanned) but not further prepared Raw equine hides and skins (other than whole), pretanned but further prepared Raw skins of sheep or lambs (not excluded by note 1(c) to chapter 41), with wool on, not pretanned Raw skins of sheep or lamb (not excluded by note 1(c) to chapter 41), with wool on, vegetable pretanned but not further prepared Raw skins of sheep or lamb (not excluded by note 1(c) to chapter 41), with wool on, pretanned other than vegetable but not further prepared Raw skins of sheep or lambs, without wool on, pickled, other than those excluded by note 1(c) to chapter</w:t>
      </w:r>
    </w:p>
    <w:p>
      <w:pPr>
        <w:pStyle w:val="Normal"/>
        <w:widowControl/>
        <w:rPr/>
      </w:pPr>
      <w:r>
        <w:rPr/>
        <w:t>41 Raw skins of sheep or lamb (not excluded by note 1(c) to chapter 41), without wool on, not pretanned Raw sheep or lamb skins (not excluded by note 1(c) to chapter 41), without wool on, vegetable pretanned but not further prepared Raw sheep or lamb skins (not excluded by note 1(c) to chapter 41), without wool on, pretanned other than vegetable but not further prepared Raw hides and skins of reptiles, not pretanned Raw hides and skins of reptiles, vegetable pretanned but not further</w:t>
      </w:r>
    </w:p>
    <w:p>
      <w:pPr>
        <w:pStyle w:val="Normal"/>
        <w:widowControl/>
        <w:rPr/>
      </w:pPr>
      <w:r>
        <w:rPr/>
        <w:t>prepared Raw hides and skins of reptiles, pretanned other than vegetable pretanned but not further prepared Raw hides and skins of swine, not pretanned Raw hides and skins of swine, pretanned but not further prepared Raw hides and skins of deer, goats, kids and animals nesoi (other than those excluded by note 1(b) or 1(c) to chapter 41), not pretanned Raw hides and skins of goats or kids (not excluded by note 1(c) to chapter 41), vegetable pretanned but not further prepared Raw hides and skins of goat or kid (not excluded by note 1(c) to chapter 41), pretanned (other than vegetable) but not prepared Raw hides and skins of animals nesoi (other than those excluded by note 1(b) or 1(c) to chapter 41), pretanned but not further prepared Tanned whole bovine skin and hide upper/lining leather, w/o hair on, unit surface area n/o 2.6 sq m, in the wet state Tanned whole bovine skin and hide leather (not upper/lining), w/o hair on, unit surface area n/o 2.6 sq m,</w:t>
      </w:r>
    </w:p>
    <w:p>
      <w:pPr>
        <w:pStyle w:val="Normal"/>
        <w:widowControl/>
        <w:rPr/>
      </w:pPr>
      <w:r>
        <w:rPr/>
        <w:t>in the wet state Full grain unsplit or grain split buffalo hide or skin, w/o hair on, tanned but not further prepared, surface ov 2.6 m2, in the wet state Full grain unsplit/grain split bovine nesoi and equine upper &amp; sole hides/skins, w/o hair, tanned but not further prepared, in the wet state Full grain unsplit/grain split bovine (except buffalo) nesoi and equine hides/skins, w/o hair, tanned not further prepared, in the wet state Whole bovine skin upper or lining leather, w/o hair on, unit surface n/o 2.6 sq m, tanned but</w:t>
      </w:r>
    </w:p>
    <w:p>
      <w:pPr>
        <w:pStyle w:val="Normal"/>
        <w:widowControl/>
        <w:rPr/>
      </w:pPr>
      <w:r>
        <w:rPr/>
        <w:t>not further prepared, in the wet state Whole bovine skin leather (not upper or lining), w/o hair on, surface n/o 2.6 sq m, tanned but not further prepared, in the wet state Buffalo hides and skins nesoi, w/o hair on, unit surface area ov 2.6 m2, tanned but not further prepared, in the wet state Upper and sole bovine (except buffalo) and equine hides and skins, nesoi, w/o hair, tanned but not further prepared, in the wet state Bovine (except buffalo) and equine hides and skins (not upper/sole) nesoi, w/o hair, tanned but not further prepared, in the wet state Crust whole bovine hide and skin upper or lining leather, w/o hair on, unit surface n/o 2.6 sq m, tanned but not further prepared Crust whole bovine hide and skin leather (not upper or lining), w/o hair on, surface n/o 2.6 sq m, tanned but not further prepared Crust full grain unsplit or grain split buffalo hides and skins, surface area over 2.6 m2, without hair on, tanned but not further prepared Crust full grain unsplit/grain split bovine (ex.</w:t>
      </w:r>
    </w:p>
    <w:p>
      <w:pPr>
        <w:pStyle w:val="Normal"/>
        <w:widowControl/>
        <w:rPr/>
      </w:pPr>
      <w:r>
        <w:rPr/>
        <w:t>buffalo) nesoi/equine hides/skins upper/sole leather, w/o hair, tanned not further prepared Crust full grain unsplit/grain split bovine (except buffalo) nesoi and equine hides and skins, nesoi, w/o hair, tanned not further prepared Crust whole bovine hide and skin upper or lining leather, w/o hair on, unit surface n/o 2.6 sq m, tanned but not further prepared, nesoi Crust whole bovine hide and skin (not upper or lining leather), w/o hair on, surface n/o 2.6 sq m, tanned but not further prepared, nesoi Crust buffalo hides and skins nesoi, without hair on, surface area over 2.6 m2, tanned but not further prepared Crust upper and sole equine and bovine (except buffalo) nesoi hides and skins, nesoi, w/o hair, tanned but not further prepared Crust bovine (except buffalo) nesoi and equine hides and skins, nesoi, w/o hair, tanned but not further prepared Sheep or lamb skins, without wool on, tanned but not further prepared, wet blue Sheep or lamb skins, without wool on, tanned but not further prepared, in the wet state</w:t>
      </w:r>
    </w:p>
    <w:p>
      <w:pPr>
        <w:pStyle w:val="Normal"/>
        <w:widowControl/>
        <w:rPr/>
      </w:pPr>
      <w:r>
        <w:rPr/>
        <w:t>other than wet blue Sheep or lamb skins, without wool on, tanned but not further prepared, in the dry state (crust) Hides and skins of goats or kids, without hair on, tanned but not further prepared, wet blue Hides and skins of goats or kids, without hair on, tanned but not further prepared, in the wet state other than wet blue Hides and skins of goats or kids, without hair on, tanned but not further prepared, in the dry state (crust) Hides and skins of swine,</w:t>
      </w:r>
    </w:p>
    <w:p>
      <w:pPr>
        <w:pStyle w:val="Normal"/>
        <w:widowControl/>
        <w:rPr/>
      </w:pPr>
      <w:r>
        <w:rPr/>
        <w:t>without hair on, tanned but not further prepared, wet blue Hides and skins of swine, without hair on, tanned but not further prepared, in the wet state other than wet blue Hides and skins of swine, without hair on, tanned but not further prepared, in the dry state (crust) Tanned or cust hides and skins of reptiles, whether or not split, but not further prepared Hides and skins of animals nesoi, without hair on, tanned but not further prepared, in the wet state (including wet-blue) Hides and skins of animals nesoi, without hair on, tanned but not further prepared, in the dry state (crust) Full grain unsplit whole bovine upper or lining leather, w/o hair on, surface n/o 2.6 m2, prepared after tanning or crusting, not head 4114 Full grain unsplit whole bovine leather (not upper/lining), w/o hair on, not fancy, n/o 2.6 m2,prepared after tanning or crust,not head 4114 Full grain unsplit whole bovine leather (not upper/lining), w/o hair on, fancy, n/o 2.6 m2, prepared after tanning or crusting,not</w:t>
      </w:r>
    </w:p>
    <w:p>
      <w:pPr>
        <w:pStyle w:val="Normal"/>
        <w:widowControl/>
        <w:rPr/>
      </w:pPr>
      <w:r>
        <w:rPr/>
        <w:t>head 4114 Full grain unsplit whole buffalo leather, without hair on, surface over 2.6 sq m, prepared after tanning or crusting, not heading 4114 Full grain unsplit upholstery leather of bovines (not buffalo) nesoi and equines, w/o hair on, prepared after tanning or crusting, not 4114 Full grain unsplit upper &amp; sole leather of bovines (not buffalo) nesoi or equine, w/o hair on, prepared after tanning or crusting, not 4114 Full grain unsplit whole bovine (not buffalo) nesoi and equine</w:t>
      </w:r>
    </w:p>
    <w:p>
      <w:pPr>
        <w:pStyle w:val="Normal"/>
        <w:widowControl/>
        <w:rPr/>
      </w:pPr>
      <w:r>
        <w:rPr/>
        <w:t>leather nesoi, w/o hair, prepared after tanning/crusting, not fancy, not 4114 Full grain unsplit whole bovine (not buffalo) nesoi and equine leather nesoi, w/o hair, prepared after tanning or crusting, fancy, not 4114 Grain split whole bovine skin upper or lining leather, w/o hair on, unit surface n/o 2.6 sq m, prepared after tanning or crusting, not 4114 Grain split whole bovine skin leather (not upper or lining), w/o hair, not fancy, n/o 2.6 sq m, prepared after tanning or crusting, not 4114 Grain split whole bovine skin leather (not upper or lining), w/o hair on, fancy, n/o 2.6 sq m, prepared after tanning or crusting, not 4114 Grain split whole buffalo leather, without hair on, unit surface area over 2.6 sq m, prepared after tanning or crusting, not of heading 4114 Grain split whole upholstery leather of bovines (not buffalo) nesoi and equines, w/o hair on, prepared after tanning or crusting, not 4114 Grain split whole upper &amp; sole leather of bovines (not buffalo) nesoi or equines, w/o hair</w:t>
      </w:r>
    </w:p>
    <w:p>
      <w:pPr>
        <w:pStyle w:val="Normal"/>
        <w:widowControl/>
        <w:rPr/>
      </w:pPr>
      <w:r>
        <w:rPr/>
        <w:t>on, prepared after tanning or crusting, not 4114 Grain split whole bovine (not buffalo) nesoi and equine nesoi leathers, w/o hair on, prepared after tanning or crusting, not fancy, not 4114 Grain split whole bovine (not buffalo) nesoi and equine nesoi leathers, without hair on, prepared after tanning or crusting, fancy, not 4114 Whole bovine skin upper or lining leather nesoi, w/o hair on, unit surface n/o 2.6 m2, prepared after tanning or crusting, not of head 4114 Whole bovine skin</w:t>
      </w:r>
    </w:p>
    <w:p>
      <w:pPr>
        <w:pStyle w:val="Normal"/>
        <w:widowControl/>
        <w:rPr/>
      </w:pPr>
      <w:r>
        <w:rPr/>
        <w:t>leather (not upper or lining) nesoi, w/o hair on, not fancy, n/or 2.6 sq m, prepared after tanning or crusting, not 4114 Whole bovine skin leather (not upper or lining) nesoi, w/o hair on, fancy, surface n/o 2.6 m2, prepared after tanning or crusting, not 4114 Whole buffalo skin leather (not full grain unsplits/grain splits), w/o hair on, over 2.6 sq m, prepared after tanning or crusting, not 4114 Whole upholstery leather of bovines (not buffalo) nesoi and equines nesoi, without hair on, prepared after tanning or crusting, not 4114 Whole upper &amp; sole leather of bovines (not buffalo) nesoi or equines nesoi, without hair on, prepared after tanning or crusting, not 4114 Whole bovine (not buffalo) and equine leather, nesoi, without hair on, not fancy, prepared after tanning or crusting, not of heading 4114 Whole bovine (not buffalo) and equine leather, nesoi, without hair on, fancy, prepared after tanning or crusting, not of heading 4114 Full grain unsplit buffalo leather (not whole), w/o hair on, prepared after tanning or</w:t>
      </w:r>
    </w:p>
    <w:p>
      <w:pPr>
        <w:pStyle w:val="Normal"/>
        <w:widowControl/>
        <w:rPr/>
      </w:pPr>
      <w:r>
        <w:rPr/>
        <w:t>crusting (including parchment-dressed), not head 4114 Full grain unsplit upholstery leather of bovines (not buffalo) &amp; equines, not whole, w/o hair, prepared after tanning or crusting, not 4114 Full grain unsplit upper &amp; sole leather of bovines (not buffalo) or equines, not whole, w/o hair, prep.</w:t>
      </w:r>
    </w:p>
    <w:p>
      <w:pPr>
        <w:pStyle w:val="Normal"/>
        <w:widowControl/>
        <w:rPr/>
      </w:pPr>
      <w:r>
        <w:rPr/>
        <w:t>after tanning or crusting, not 4114 Full grain unsplit bovine (not buffalo) &amp; equine leather, not whole, w/o hair on, nesoi, not fancy, prep.</w:t>
      </w:r>
    </w:p>
    <w:p>
      <w:pPr>
        <w:pStyle w:val="Normal"/>
        <w:widowControl/>
        <w:rPr/>
      </w:pPr>
      <w:r>
        <w:rPr/>
        <w:t>after tanning/crusting, not 4114 Full grain unsplit bovine (not buffalo) &amp; equine leather, not whole, w/o hair on, nesoi, fancy, prepared after tanning or crusting, not 4114 Grain splits buffalo leather (not whole), without hair on, prepared after tanning or crusting, other than of heading 4114 Grain splits upholstery leather of bovines (not buffalo) and equines, not whole, w/o hair on, prepared after tanning or crusting, not 4114 Grain splits upper &amp; sole leather of bovines (not buffalo) or equines, not whole, w/o hair on, prepared after tanning or crusting, not 4114 Grain splits bovine (not buffalo) and equine leather, not whole, w/o hair on, nesoi, not fancy, prepared after tanning or crusting, not 4114 Grain splits bovine (not buffalo) and equine leather, not whole, without hair on, nesoi, fancy, prepared after tanning or crusting, not 4114 Buffalo leather other than full grains unsplit &amp; grain splits, not whole, w/o hair on, prepared after tanning or crusting, not heading 4114 Upholstery leather of bovines (not buffalo) or equines, not whole,</w:t>
      </w:r>
    </w:p>
    <w:p>
      <w:pPr>
        <w:pStyle w:val="Normal"/>
        <w:widowControl/>
        <w:rPr/>
      </w:pPr>
      <w:r>
        <w:rPr/>
        <w:t>nesoi, without hair on, prepared after tanning or crusting, not 4114 Upper &amp; sole leather of bovines (not buffalo) or equines, not whole, nesoi, w/o hair on, prepare after tanning or crusting, not 4114 Bovine (not buffalo) and equine leather, not whole, nesoi, without hair on, not fancy, prepared after tanning or crusting, not heading 4114 Bovine (not buffalo) and equine leather, not whole, nesoi, without hair on, fancy, prepared</w:t>
      </w:r>
    </w:p>
    <w:p>
      <w:pPr>
        <w:pStyle w:val="Normal"/>
        <w:widowControl/>
        <w:rPr/>
      </w:pPr>
      <w:r>
        <w:rPr/>
        <w:t>after tanning or crusting, not of heading 4114 Sheep or lamb skin leather, without wool on, not fancy, prepared after tanning or crusting, other than of heading 4114 Sheep or lamb skin leather, without wool on, fancy, further prepared after tanning or crusting, other than of heading 4114 Goat or kidskin leather, without hair on, not fancy, further prepared after tanning or crusting, other than of heading 4114 Goat or kidskin leather, without hair on, fancy, further prepared after tanning or crusting, other than of heading 4114 Leather of swine, without hair on, further prepared after tanning or crusting, other than leather of heading 4114 Reptile leather, not fancy, further prepared after tanning or crusting, other than leather of heading 4114 Reptile leather, fancy, further prepared after tanning or crusting, other than leather of heading 4114 Leather of animals nesoi, without hair on, not fancy, further prepared after tanning or crusting, other than leather of heading 4114 Leather of animals nesoi, without hair on, fancy, further prepared after tanning or</w:t>
      </w:r>
    </w:p>
    <w:p>
      <w:pPr>
        <w:pStyle w:val="Normal"/>
        <w:widowControl/>
        <w:rPr/>
      </w:pPr>
      <w:r>
        <w:rPr/>
        <w:t>crusting, other than leather of heading 4114 Chamois (including combination chamois) leather Patent leather Patent laminated leather or metallized leather, of calf or kip Patent laminated leather or metallized leather, other than calf or kip Composition leather with a basis of leather or leather fiber, in slabs, sheets or strip, whether or not in rolls Parings &amp; other waste of leather or composition leather, not suitable</w:t>
      </w:r>
    </w:p>
    <w:p>
      <w:pPr>
        <w:pStyle w:val="Normal"/>
        <w:widowControl/>
        <w:rPr/>
      </w:pPr>
      <w:r>
        <w:rPr/>
        <w:t>for the manufacture of leather articles; leather dust, powder &amp; flour Dog leashes, collars, muzzles, harnesses and similar dog equipment, of any material Saddlery and harnesses for animals nesi, (incl. traces, leads, knee pads, muzzles, saddle cloths and bags and the like), of any material Trunks, suitcases, vanity &amp; all other cases, occupational luggage &amp; like containers, surface of leather, composition or patent leather Trunks, suitcases, vanity and attache cases and similar containers, with outer surface of plastics Occupational luggage and similar containers, with outer surface of plastics Trunks, suitcases, vanity &amp; attache cases, occupational luggage &amp; like containers, surfaces of cotton, not of pile or tufted construction Trunks, suitcases, vanity &amp; attache cases, occupational luggage &amp; like containers, w outer surface of veg. fibers, excl.</w:t>
      </w:r>
    </w:p>
    <w:p>
      <w:pPr>
        <w:pStyle w:val="Normal"/>
        <w:widowControl/>
        <w:rPr/>
      </w:pPr>
      <w:r>
        <w:rPr/>
        <w:t>cotton Trunks, suitcases, vanity &amp; attache cases, occupational luggage and similar containers, with outer surface of MMF materials Trunks, suitcases, vanity &amp; attache cases, occupational luggage and similar containers, with outer surface of textile materials nesi Trunks, suitcases, vanity cases, attache cases, occupational luggage &amp; like containers surface of vulcanized fiber or paperboard nesi Handbags, with or without shoulder strap or without handle, with outer surface of reptile leather Handbags, with or without shoulder strap or without handle, with outer surface of leather, composition or patent leather, nesi, n/o $20 ea.</w:t>
      </w:r>
    </w:p>
    <w:p>
      <w:pPr>
        <w:pStyle w:val="Normal"/>
        <w:widowControl/>
        <w:rPr/>
      </w:pPr>
      <w:r>
        <w:rPr/>
        <w:t>Handbags, with or without shoulder strap or without handle, with outer surface of leather, composition or patent leather, nesi, over $20 ea.</w:t>
      </w:r>
    </w:p>
    <w:p>
      <w:pPr>
        <w:pStyle w:val="Normal"/>
        <w:widowControl/>
        <w:rPr/>
      </w:pPr>
      <w:r>
        <w:rPr/>
        <w:t>Handbags, with or without shoulder straps or without handle, with outer surface of sheeting of plastics Handbags with or without shoulder strap or without handle, with outer surface of textile materials, wholly or in part of braid, of abaca Handbags with or without shoulder strap or without handle, with outer surface of textile materials, wholly or in part of braid, nesi Handbags with or without shoulder strap or without handle, with outer surface of cotton, not of pile or tufted construction or braid Handbags with or w/o shoulder strap or w/o handle, outer surface of veg. fibers, exc. cotton, not of pile or tufted construction or braid Handbags with or w/o shoulder strap or w/o handle, with outer surface containing 85% or more of silk, not braided Handbags with or without shoulder strap or without handle, with outer surface of MMF materials Handbags with or without shoulder strap or without handle, with outer surface of textile materials nesi Handbags w. or w/o shld. strap or w/o handle of mat.</w:t>
      </w:r>
    </w:p>
    <w:p>
      <w:pPr>
        <w:pStyle w:val="Normal"/>
        <w:widowControl/>
        <w:rPr/>
      </w:pPr>
      <w:r>
        <w:rPr/>
        <w:t>(o/t leather, shtng. of plas., tex. mat., vul. fib. or paperbd.), paper cov., of plas. Handbags w. or w/o shld. strap or w/o handle of mat. (o/t leather, shtng. of plas., tex. mat., vul. fib. or paperbd.), paper cov., of wood Handbags w. or w/o shld. strap or w/o handle of mat. (o/t leather, shtng. of plas., tex. mat., vul. fib.</w:t>
      </w:r>
    </w:p>
    <w:p>
      <w:pPr>
        <w:pStyle w:val="Normal"/>
        <w:widowControl/>
        <w:rPr/>
      </w:pPr>
      <w:r>
        <w:rPr/>
        <w:t>or paperbd.), pap.cov.,of mat.</w:t>
      </w:r>
    </w:p>
    <w:p>
      <w:pPr>
        <w:pStyle w:val="Normal"/>
        <w:widowControl/>
        <w:rPr/>
      </w:pPr>
      <w:r>
        <w:rPr/>
        <w:t>nesi Handbags with or without shoulder straps or without handle, with outer surface of vulcanized fiber or of paperboard, not covered with paper Articles of a kind normally carried in the pocket or handbag, with outer surface of reptile leather Articles of a kind normally carried in the pocket or handbag, with outer surface of leather, composition or patent leather, nesi Articles of a kind normally carried in the pocket or handbag, with outer surface of reinforced or laminated plastics Articles of a kind normally carried in the pocket or handbag, with outer surface of plastic sheeting, nesi Articles of a kind normally carried in the pocket or handbag, with outer surface of cotton, not of pile or tufted construction Articles of a kind normally carried in the pocket or handbag,with outer surface of vegetable fibers,not of pile or tufted construction, nesi Articles of a kind normally carried in the pocket or handbag, with outer surface 85% or more silk or silk waste Articles of a kind normally carried in</w:t>
      </w:r>
    </w:p>
    <w:p>
      <w:pPr>
        <w:pStyle w:val="Normal"/>
        <w:widowControl/>
        <w:rPr/>
      </w:pPr>
      <w:r>
        <w:rPr/>
        <w:t>the pocket or handbag, with outer surface of cotton Articles of a kind normally carried in the pocket or handbag, with outer surface of MMF Articles of a kind normally carried in the pocket or handbag, with outer surface of other textile materials Articles of kind usually carried in pocket or handbag (o/t leather, shtng.</w:t>
      </w:r>
    </w:p>
    <w:p>
      <w:pPr>
        <w:pStyle w:val="Normal"/>
        <w:widowControl/>
        <w:rPr/>
      </w:pPr>
      <w:r>
        <w:rPr/>
        <w:t>of plas., tex. mat., vul. fib. or paperbd.), pap. cov., of plas.</w:t>
      </w:r>
    </w:p>
    <w:p>
      <w:pPr>
        <w:pStyle w:val="Normal"/>
        <w:widowControl/>
        <w:rPr/>
      </w:pPr>
      <w:r>
        <w:rPr/>
        <w:t>Articles of kind usually carried in pocket or handbag (o/t leather, shtng. of plas., tex. mat., vul. fib. or paperbd.), pap. cov., of wood Articles of kind usu. carried in pocket or handbag (o/t lea., shtng. of plas., tex. mat., vul. fib. or paperbd.), pap. cov., of mat. nesi Articles of a kind normally carried in the pocket or handbag, with outer surface of vulcanized fiber or of paperboard Golf bags, with outer surface of leather or composition leather Cases, bags and containers nesi, other than golf bags, with outer surface of leather, of composition leather Insulated beverage bag w/outer surface textiles, interior only flexible plastic container storing/dispensing beverage thru flexible tubing Insulated food or beverage bags with outer surface of textile materials, nesoi Insulated food or beverage bags with outer surface of sheeting of plastic Travel, sports and similar bags with outer surface of cotton, not of pile or tufted construction Travel, sports and similar bags with outer surface of vegetable fibers, excl.</w:t>
      </w:r>
    </w:p>
    <w:p>
      <w:pPr>
        <w:pStyle w:val="Normal"/>
        <w:widowControl/>
        <w:rPr/>
      </w:pPr>
      <w:r>
        <w:rPr/>
        <w:t>cotton, not of pile construction Travel, sports and similar bags with outer surface of MMF textile materials Travel, sports and similar bags with outer surface of textile materials of paper yarn, silk or cotton Travel, sports and similar bags with outer surface of textile materials other than MMF, paper yarn, silk, cotton Travel, sports and similar bags with outer surface of plastic sheeting Musical instrument cases, with outer surface of plastic sheeting or of textile materials Bags, cases and similar containers, nesi, with outer surface of cotton Bags, cases and similar containers with outer surface of textile materials, of MMF except jewelry boxes Bags, cases and similar containers with outer surface of textile materials, not of MMF Cases for CDs, CD players, cassettes, or cassette players Bags, cases &amp; similar containers with outer surface of sheeting of plastic materials,not containers for CDs or cassettes, or CD or cassette players Cases, bags and sim. containers, nesi, of mat. (o/t leather, shtng. of plas., tex. mat., vul. fib., or paperbd.), pap. cov., of plastic Cases &amp; sim. cont., nesi, of mat.</w:t>
      </w:r>
    </w:p>
    <w:p>
      <w:pPr>
        <w:pStyle w:val="Normal"/>
        <w:widowControl/>
        <w:rPr/>
      </w:pPr>
      <w:r>
        <w:rPr/>
        <w:t>(o/t lea., shtng. of plas., tex. mat., vul. fib. or paperbd.), pap. cov., of wood, not lined with tex.fab. Cases, bags &amp; sim. cont., nesi, of mat. (o/t lea., plas. shtng., tex. mat., vul. fib. or paperbd.), pap. cov., of wood, lined with tex. fab. Cases, bags &amp; sim. cont., nesi, of mat. (o/t lea., plas. shtng., tex. mat., vul. fib. or paperbd.), pap.</w:t>
      </w:r>
    </w:p>
    <w:p>
      <w:pPr>
        <w:pStyle w:val="Normal"/>
        <w:widowControl/>
        <w:rPr/>
      </w:pPr>
      <w:r>
        <w:rPr/>
        <w:t>cov., except of wood or plastic Cases, bags and similar containers, nesi, with outer surface of vulcanized fiber or of paperboard Articles of apparel, of reptile leather Articles of apparel, of leather or of composition leather, nesi Batting gloves, of leather or of composition leather Baseball and softball gloves and mitts, excluding batting gloves, of leather or of composition leather Cross-country ski gloves, mittens and mitts, of leather or of composition leather Ski or snowmobile gloves, mittens and mitts, nesi, of leather or of composition leather Ice hockey gloves, of leather or of composition leather Gloves, mittens and mitts specially designed for use in sports, nesi, of leather or of composition leather Gloves, wholly of horsehide or cowhide leather not specially designed for use in sports, with fourchettes or sidewalls Gloves, wholly of horsehide or cowhide (except calfskin) leather, not specially designed for use in sports, nesi Gloves not wholly of horsehide or cowhide leather not specially designed for use in sports, with fourchettes or sidewalls Gloves not wholly of</w:t>
      </w:r>
    </w:p>
    <w:p>
      <w:pPr>
        <w:pStyle w:val="Normal"/>
        <w:widowControl/>
        <w:rPr/>
      </w:pPr>
      <w:r>
        <w:rPr/>
        <w:t>horsehide or cowhide leather not specially designed for use in sports, nesi Gloves, mittens and mitts of leather or composition leather, nesi, not seamed Men’s gloves, mittens and mitts of leather or composition leather, nesi, seamed Gloves, mittens and mitts of leather or composition leather, nesi, not lined, for persons other than men Gloves, mittens and mitts of leather or composition leather,</w:t>
      </w:r>
    </w:p>
    <w:p>
      <w:pPr>
        <w:pStyle w:val="Normal"/>
        <w:widowControl/>
        <w:rPr/>
      </w:pPr>
      <w:r>
        <w:rPr/>
        <w:t>nesi, lined, for persons other than men Belts and bandoliers with or without buckles, of leather or of composition leather Clothing accessories nesi, of reptile leather Clothing accessories of leather or of composition leather, nesi Belting leather cut or wholly or partly manufactured into forms or shapes suit.</w:t>
      </w:r>
    </w:p>
    <w:p>
      <w:pPr>
        <w:pStyle w:val="Normal"/>
        <w:widowControl/>
        <w:rPr/>
      </w:pPr>
      <w:r>
        <w:rPr/>
        <w:t>for conversion into belting for machinery or appliances Articles of leather or composition leather used in machinery or mechanical appliances or for other technical uses, except belting leathers Shoelaces of leather or of composition leather Straps and strops of leather or of composition leather Articles of reptile leather, nesi Articles of leather or of composition leather, nesi, excluding reptile leather Articles of catgut if imported for use in the manufacture of sterile surgical sutures Articles of catgut, nesoi Articles of gut (other than silkworm gut or catgut), of goldbeater’s skin, of bladders or of tendons Raw furskins of mink, whole, with or without head, tail or paws Raw lamb furskins of Astrakhan, Broadtail, Caracul, Persian, Indian, Chinese, Mongolian, Tibetan, whole Raw furskins of silver, black or platinum fox (including mutations of these), whole, with or without head, tail or paws Raw furskins of fox, other than of silver, black or platinum fox, whole, with or without head, tail or paws Other furskins, whole, with or without head, tail, or paws Heads, tails, paws and other pieces or cuttings of raw furskins, suitable for furriers’ use Tanned or</w:t>
      </w:r>
    </w:p>
    <w:p>
      <w:pPr>
        <w:pStyle w:val="Normal"/>
        <w:widowControl/>
        <w:rPr/>
      </w:pPr>
      <w:r>
        <w:rPr/>
        <w:t>dressed whole furskins of mink, with or without head, tail or paws, not assembled Tanned/dressed whole skins of Astrakhan, Broadtail, Caracul, Persian, Indian, Mongolian, Chinese &amp; Tibetan lamb, not assembled Tanned or dressed whole furskins of silver, black or platinum fox (including mutations), with or without head, tail or paws, not assembled Tanned or dressed whole furskins of beaver, chinchilla, ermine, lynx, raccoon, sable, other specified animals, not dyed, not assembled Tanned or dressed whole furskins of beaver, chinchilla, ermine, lynx, raccoon, sable, wolf, other specified animals, dyed, not assembled Tanned or dressed whole furskins of rabbit or hare, with or without head, tail or paws, not assembled Tanned or dressed whole furskins, nesi, with or without head, tail or paws, not assembled, not dyed Tanned or dressed whole furskins, nesi, with or without head, tail or paws, not assembled, dyed Heads, tails, paws, other pieces or cuttings of dressed or tanned furskins, of beaver, ermine, wolf, other specified animals, nt assembled Heads, tails, paws and other pieces or cuttings</w:t>
      </w:r>
    </w:p>
    <w:p>
      <w:pPr>
        <w:pStyle w:val="Normal"/>
        <w:widowControl/>
        <w:rPr/>
      </w:pPr>
      <w:r>
        <w:rPr/>
        <w:t>of dressed or tanned furskins, nesi, not assembled, not dyed Heads, tails, paws and other pieces or cuttings of dressed or tanned furskins, nesi, not assembled, dyed Whole furskins and pieces or cuttings thereof, tanned and dressed, assembled Articles of apparel and clothing accessories, of furskins Articles of furskin, nesi Artificial fur and articles thereof Fuel wood, in logs, in billets,</w:t>
      </w:r>
    </w:p>
    <w:p>
      <w:pPr>
        <w:pStyle w:val="Normal"/>
        <w:widowControl/>
        <w:rPr/>
      </w:pPr>
      <w:r>
        <w:rPr/>
        <w:t>in twigs, in faggots or similar forms Coniferous wood in chips or particles Nonconiferous wood in chips or particles Sawdust and wood waste and scrap, pellets Artificial fire logs, composed of wax and sawdust, with or without added materials Sawdust and wood waste and scrap, excluding pellets or artificial logs, nesi Wood charcoal (including shell or nut charcoal), whether or not agglomerated, of bamboo Wood charcoal (including shell or nut charcoal), whether or not agglomerated, other than of bamboo Wood in the rough whether or not stripped of bark or sapwood, or roughly squared, treated with paint, stain, creosote or other preservatives Coniferous wood in the rough, whether or not stripped of bark or sapwood or roughly squared, not treated with preservatives Wood in the rough/roughly squared,of Dark Red Meranti,Light Red Meranti and Meranti Bakau,not treated with paint/stain/cresote/other preserv Wood in the rough/roughly squared, of other tropical wood, not treated with paint/stain/creosote/other preserv Oak wood in the rough, whether or not stripped of bark or sapwood, or roughly squared, not</w:t>
      </w:r>
    </w:p>
    <w:p>
      <w:pPr>
        <w:pStyle w:val="Normal"/>
        <w:widowControl/>
        <w:rPr/>
      </w:pPr>
      <w:r>
        <w:rPr/>
        <w:t>treated with preservatives Beech wood in the rough, not treated with preservatives Wood in the rough, nesi Coniferous wood, roughly shaped into poles, pickets, stakes, sticks and other forms, to be finished into specific articles or products Nonconiferous wood, roughly shaped into poles, pickets, stakes, sticks and other forms, to be finished into specific articles or products Wood</w:t>
      </w:r>
    </w:p>
    <w:p>
      <w:pPr>
        <w:pStyle w:val="Normal"/>
        <w:widowControl/>
        <w:rPr/>
      </w:pPr>
      <w:r>
        <w:rPr/>
        <w:t>wool (excelsior);</w:t>
      </w:r>
    </w:p>
    <w:p>
      <w:pPr>
        <w:pStyle w:val="Normal"/>
        <w:widowControl/>
        <w:rPr/>
      </w:pPr>
      <w:r>
        <w:rPr/>
        <w:t>wood flour Railway or tramway sleepers (cross-ties) of wood, not impregnated Railway or tramway sleepers (cross-ties) of wood, impregnated Coniferous wood sawn or chipped lengthwise, sliced or peeled, of a thickness exceeding 6 mm Dark Red Meranti, Light Red Meranti and other specified tropical woods, sawn or chipped lengthwise, sliced or peeled, over 6 mm thick Okoume, Obeche, Sapelli and other specified tropical woods, sawn or chipped lengthwise, sliced or peeled, over 6 mm thick Dark Red Meranti, Light Red Meranti and Meranti Bakau wood sawn or chipped lengthwise, sliced or peeled, over 6 mm thick White Lauan, White Meranti, White Seraya, Yellow Meranta and Alan wood sawn or chipped lengthwise, sliced or peeled, over 6 mm thick Sapelli wood sawn or chipped lengthwise, sliced or peeled, over 6 mm thick Iroko wood sawn or chipped lengthwise, sliced or peeled, over 6 mm thick Tropical wood specified in chapter 44 subheading note 1, nesoi, sawn or chipped lengthwise, sliced or peeled, over 6 mm thick Oak wood, sawn or chipped</w:t>
      </w:r>
    </w:p>
    <w:p>
      <w:pPr>
        <w:pStyle w:val="Normal"/>
        <w:widowControl/>
        <w:rPr/>
      </w:pPr>
      <w:r>
        <w:rPr/>
        <w:t>lengthwise, sliced or peeled, over 6 mm thick Beech wood, sawn or chipped lengthwise, sliced or peeled, over 6 mm thick Maple wood sawn or chipped lengthwise, sliced or peeled, over 6 mm thick Cherry wood sawn or chipped lengthwise, sliced or peeled, over 6 mm thick Ash wood sawn or chipped lengthwise, sliced or peeled, over 6 mm thick Nonconiferous woods, nesi, sawn or chipped lengthwise, sliced or peeled, over 6 mm thick Coniferous</w:t>
      </w:r>
    </w:p>
    <w:p>
      <w:pPr>
        <w:pStyle w:val="Normal"/>
        <w:widowControl/>
        <w:rPr/>
      </w:pPr>
      <w:r>
        <w:rPr/>
        <w:t>veneer sheets and sheets for plywood &amp; coniferous wood sawn/sliced/peeled not over 6 mm thick Dark Red Meranti, Light Red Meranti and Meranti Bakau veneer sheets and sheets for plywood and other wood sawn/sliced/peeled, n/o 6 mm thick Other tropical wood veneer sheets and sheets for plywood, and wood sawn/sliced/peeled n/o 6 mm thick Nontropical nonconiferous veneer sheets and sheets for plywood and other wood sawn/sliced/peeled, not over 6 mm thick Coniferous wood continuously shaped along any of its ends, whether or not also continuously shaped along any its edges or faces Coniferous wood siding continuously shaped along any of its edges or faces but not on its ends Coniferous wood flooring continuously shaped along any of its edges or faces but not on its ends Standard wood moldings of pine (Pinus spp.) continuously shaped along any of its edges or faces but not on its ends Standard coniferous wood moldings, other than of pine, continuously shaped along any of its edges or faces but not on its ends Coniferous</w:t>
      </w:r>
    </w:p>
    <w:p>
      <w:pPr>
        <w:pStyle w:val="Normal"/>
        <w:widowControl/>
        <w:rPr/>
      </w:pPr>
      <w:r>
        <w:rPr/>
        <w:t>wood moldings, other than standard type, continuously shaped along any of its edges or faces but not on its ends Coniferous wood dowel rods, plain, continuously shaped along any of its edges or faces but not on its ends Coniferous wood dowel rod, sanded/grooved/otherwise advanced in condition, continuously shaped along any of edges or faces but not its ends Coniferous wood, other than siding, flooring, moldings or dowel rod, continuously shaped along any of its edges</w:t>
      </w:r>
    </w:p>
    <w:p>
      <w:pPr>
        <w:pStyle w:val="Normal"/>
        <w:widowControl/>
        <w:rPr/>
      </w:pPr>
      <w:r>
        <w:rPr/>
        <w:t>or faces but not on its ends Nonconiferous wood (bamboo) continuously shaped along any of its ends, wether or not also continuously shaped along any its edges or faces Bamboo, other than continuously shaped along any of its ends Nonconiferous tropical wood continuously shaped along any ends, whether or not also continuously shaped along any edges or faces Nonconiferous tropical wood siding, whether or not continuously shaped along its edges or faces but not its ends Nonconiferous tropical wood flooring, whether or not continuously shaped along its edges or faces but not its ends Nonconiferous tropical wood standard moldings, whether or not continuously shaped along its edges or faces but not its ends Other nonconiferous tropical wood moldings, whether or not continuously shaped along its edges or faces but not its ends Plain nonconiferous tropical wood dowel rods, whether or not continuously shaped along its edges or faces but not its ends Nonconif. tropical wood dowel rods, sanded/grooved/otherwise advanced in condition, whether or not continuous.</w:t>
      </w:r>
    </w:p>
    <w:p>
      <w:pPr>
        <w:pStyle w:val="Normal"/>
        <w:widowControl/>
        <w:rPr/>
      </w:pPr>
      <w:r>
        <w:rPr/>
        <w:t>along edges or faces but not ends Other nonconiferous tropical wood, whether or not continuously shaped along its edges or faces but not its ends Other nonconiferous wood, continuously shaped along any ends, whether or not also continuously shaped along any edges or faces Other nonconiferous wood siding, whether or not continuously shaped along its edges or faces but not its ends Other nonconiferous wood flooring, whether or not continuously shaped along its edges or faces but not its ends Other nonconiferous standard wood moldings, whether or not continuously shaped along its edges or faces but not its ends Other nonconiferous wood moldings, whether or not continuously shaped along its edges or faces but not its ends Plain other nonconif. wood dowel rods, whether or not continuously shaped along edges or faces but not ends Other nonconif.</w:t>
      </w:r>
    </w:p>
    <w:p>
      <w:pPr>
        <w:pStyle w:val="Normal"/>
        <w:widowControl/>
        <w:rPr/>
      </w:pPr>
      <w:r>
        <w:rPr/>
        <w:t>wood dowel rods, sanded/grooved/otherwise advanced in condition, whether or not continuously shaped along edges or faces but not ends Other nonconiferous wood, whether or not continuously shaped along its edges or faces but not its ends Waferboard, including oriented strand board, of wood Oriented strand board and waferboard, of wood, unworked or not further worked than sanded Particle board and similar board of wood, other than waferboard Particle board and similar board of ligneous materials other than wood MDF, &lt;= 5mm thick, not mechanically worked or surface covered MDF, &lt;= 5mm thick, for construction, laminated MDF, &lt;= 5mm thick, for construction, not laminated, nesoi Fiberboard of a density over 0.5 g/cm3 but not over 0.8 g/cm3, not mechanically worked surface covered (Except for oil treatment) MDF, &lt;= 5mm thick, not for construction, nesoi MDF, &gt;5mm but &lt;= 9 mm thick, not mechanically worked or surface covered MDF, &gt;5mm but &lt;= 9 mm thick,, for construction, laminated MDF, &gt;5mm but &lt;= 9 mm thick, for construction, not laminated,</w:t>
      </w:r>
    </w:p>
    <w:p>
      <w:pPr>
        <w:pStyle w:val="Normal"/>
        <w:widowControl/>
        <w:rPr/>
      </w:pPr>
      <w:r>
        <w:rPr/>
        <w:t>nesoi Fiberboard of a density over 0.5 g/cm3 but not over 0.8 g/cm3, not mechanically worked surface covered(except for oil treatment) MDF, &gt;5mm but &lt;= 9 mm thick, not for construction, nesoi Fiberboard of a thickness exceeding 9 mm, not mechanically worked or surface covered Fiberboard of a thickness exceeding 9 mm, edgeworked continuously, laminated, for construction uses Fiberboard of a thickness exceeding 9 mm, tongued, grooved or</w:t>
      </w:r>
    </w:p>
    <w:p>
      <w:pPr>
        <w:pStyle w:val="Normal"/>
        <w:widowControl/>
        <w:rPr/>
      </w:pPr>
      <w:r>
        <w:rPr/>
        <w:t>rabbetted continuously, for construction uses, nesoi Fiberboard of a thickness exceeding 9 mm, not mechanically worked surface covered (except for oil treatment) Fiberboard nesoi,of a thickness exceeding 9 mm Fiberboard of a density exceeding 0.8 g/cm3, not mechanically worked or surface covered Fiberboard, of a density exceeding 0.8 g/cm3, mechanically worked, not surface covered (except for oil treatment) Fiberboard, of a density exceeding 0.8 g/cm3, mechanically edged-worked, for construction uses Fiberboard nesoi, density exceeding 0.8 g/cm3 Fiberboard, not MDF, of a density &gt;0.5 but &lt;=0.8 g/cm3, not mechanically worked or surface covered Fiberboard, not MDF, of a density &gt;0.5 but &lt;=0.8 g/cm3, edgeworked continuously, laminated, for construction uses Fiberboard, not MDF, of a density &gt;0.5 but &lt;=0.8 g/cm3, tongued, grooved or rabbetted continuously, for construction, nesoi Fiberboard of a density over 0.5 g/cm3 but not over 0.8 g/cm3, not mechanically worked surface covered (Except for oil) Fiberboard, not MDF, of a density &gt;0.5 but &lt;=0.8 g/cm3, nesoi Fiberboard of a density exceeding 0.35 g/cm3 but not exceeding 0.5 g/cm3, not</w:t>
      </w:r>
    </w:p>
    <w:p>
      <w:pPr>
        <w:pStyle w:val="Normal"/>
        <w:widowControl/>
        <w:rPr/>
      </w:pPr>
      <w:r>
        <w:rPr/>
        <w:t>mechanically worked or surface covered Plywood, veneered panels and similar laminated wood, of bamboo Veneered panels and similar laminated wood, of bamboo, other than plywood Plywood sheets n/o 6mm thick, tropical wood outer ply, birch face ply, not surface covered beyond clear/transparent Plywood sheets n/o 6mm thick, tropical wood outer ply,</w:t>
      </w:r>
    </w:p>
    <w:p>
      <w:pPr>
        <w:pStyle w:val="Normal"/>
        <w:widowControl/>
        <w:rPr/>
      </w:pPr>
      <w:r>
        <w:rPr/>
        <w:t>Spanish cedar or walnut face ply, not surface covered beyond clear/transparent Plywood sheets n/o 6mm thick, with specified tropical wood outer ply, with face ply nesoi, not surface covered beyond clear/transparent Plywood sheets n/o 6mm thick, tropical wood nesoi at least one outer ply, with face ply nesoi, not surface covered beyond clear/transparent Plywood sheets n/o 6mm thick, with certain specified tropical wood outer ply, surface covered beyond clear or transparent Plywood sheets n/o 6mm thick, tropical wood nesoi at least one outer ply, surface covered beyond clear or transparent Plywood sheets n/o 6mm thick, outer ply of nonconiferous wood, birch face ply, not surface covered beyond clear/transparent Plywood sheets n/o 6mm thick, outer ply nonconiferous wood, face ply Spanish ceder or walnut, not surface covered beyond clear/transparent Plywood sheets n/o 6mm thick, outerply of nonconiferous wood nesoi, face ply nesoi, not surface covered beyond clear/transparent Plywood sheets n/o 6mm thick, outerply of nonconiferous wood nesoi, face ply nesoi, surface covered beyond clear/transparent Plywood of wood sheets, n/o 6 mm</w:t>
      </w:r>
    </w:p>
    <w:p>
      <w:pPr>
        <w:pStyle w:val="Normal"/>
        <w:widowControl/>
        <w:rPr/>
      </w:pPr>
      <w:r>
        <w:rPr/>
        <w:t>thick each, with outer plies of coniferous wood, face ply of Parana pine, not or clear surface covered Plywood of wood sheets, n/o 6 mm thick each, with outer plies of coniferous wood, European red pine face ply, not or clear surface covered Plywood of wood sheets, n/o 6 mm thick each, with outer plies of coniferous wood, with face ply nesoi, not or</w:t>
      </w:r>
    </w:p>
    <w:p>
      <w:pPr>
        <w:pStyle w:val="Normal"/>
        <w:widowControl/>
        <w:rPr/>
      </w:pPr>
      <w:r>
        <w:rPr/>
        <w:t>clear surface covered Plywood of wood sheets, n/o 6 mm thick each, with outer plies of coniferous wood, nesoi, surface covered, nesoi Plywood nesoi, at least one nonconiferous outer ply, not surface-covered beyond clear/transparent, face ply of birch Blockboard etc.: plywood nesoi, at least one nonconifer outer ply, not surface-covered beyond clear/transparent, not w/face ply of birch Blockboard etc: plywood nesoi, at least one nonconiferous outer ply, surface covered other than clear or transparent Blockboard etc: veneered panels and similar laminated wood w/ at least one nonconiferous outer ply, nesoi Blockboard etc: plywood nesoi,other outer plies,not surf.-cov. Beyond clear/transp., face ply Parana pine Blockboard etc: plywood nesoi, other outer plies,not surf.-cov.</w:t>
      </w:r>
    </w:p>
    <w:p>
      <w:pPr>
        <w:pStyle w:val="Normal"/>
        <w:widowControl/>
        <w:rPr/>
      </w:pPr>
      <w:r>
        <w:rPr/>
        <w:t>Beyond clear/transp.,face ply Europe red pine Blockboard etc: plywood nesoi,other outer plies,not surface-covered beyond clear/transparent, face ply nesoi Blockboard etc: plywood nesoi, other outer plies, surface covered other than clear or transparent Blockboard etc: veneered panels and similar laminated wood nesoi, other outer plies Plywood nesoi,veneered panel &amp; similar laminated wood w/nonconiferous outer ply, at least one layer of particle board Not blockboard: plywood at least 1 outer ply of nonconif wood, nesi, with a face ply of birch, not surface covered or clear/transparent Not blockboard: plywood nesoi, at least 1 nonconiferous outer ply, not surface-covered beyond clear/transparent, not w/face ply</w:t>
      </w:r>
    </w:p>
    <w:p>
      <w:pPr>
        <w:pStyle w:val="Normal"/>
        <w:widowControl/>
        <w:rPr/>
      </w:pPr>
      <w:r>
        <w:rPr/>
        <w:t>of birch Not blockboard: plywood nesoi, at least 1 nonconiferous outer ply, surface covered other than clear or transparent Not blockboard: veneered panels and similar laminated wood w/ at least 1 nonconiferous outer ply, nesoi Not blockboard: plywood/veneered panel/sim. Laminated wood nesoi, at least 1 nonconiferous outer ply,at least 1 layer of particle board Not blockboard:plywood nesoi,at least 1 nonconiferous outer ply, no particle board,not surf.-cov. Beyond clear/transp., face ply Parana pine Not blockboard: plywood nesoi, at least 1 non conif outer ply,no particle board,not surf.-cov.</w:t>
      </w:r>
    </w:p>
    <w:p>
      <w:pPr>
        <w:pStyle w:val="Normal"/>
        <w:widowControl/>
        <w:rPr/>
      </w:pPr>
      <w:r>
        <w:rPr/>
        <w:t>Beyond clear/transp.,face ply Europe red pine Not blockboard:plywood nesoi, at least 1 non conif outer ply, no particle board,not surface-covered beyond clear/transparent, face ply nesoi Not blockboard: plywood, veneer panels and similar laminated wood, at least 1 nonconiferous outer ply, nesoi Not blockboard: veneered panels and similar laminated wood, nesoi, at least 1 nonconiferous outer ply, no particle board, nesoi Densified wood, in blocks, plates, strips or profile shapes Wooden frames for paintings, photographs, mirrors or similar objects Packing boxes and cases of wood with solid sides, lids and bottoms Wooden containers designed for use in the harvesting of fruits and vegetables Wood cases, boxes, crates, drums and similar packings nesi; cable-drums of wood Wooden pallets, box-pallets and other load boards designed for use in the harvesting of fruits and vegetables Wooden</w:t>
      </w:r>
    </w:p>
    <w:p>
      <w:pPr>
        <w:pStyle w:val="Normal"/>
        <w:widowControl/>
        <w:rPr/>
      </w:pPr>
      <w:r>
        <w:rPr/>
        <w:t>pallets, box-pallets and other load boards, other than designed for use in the harvesting of fruits and vegetables Wooden casks, barrels and hogsheads Wooden staves and hoops; tight barrelheads of softwood Wooden vats, tubs and other coopers’ products and parts thereof Wooden broom and mop handles, 1.9 cm or more in diameter and 97 cm or more in length Wooden paint brush and paint roller handles Wooden brush backs Wooden tools, tool bodies, tool handles, broom or brush bodies and handles nesi;</w:t>
      </w:r>
    </w:p>
    <w:p>
      <w:pPr>
        <w:pStyle w:val="Normal"/>
        <w:widowControl/>
        <w:rPr/>
      </w:pPr>
      <w:r>
        <w:rPr/>
        <w:t>wooden boot or shoe lasts and trees Wooden windows, French-windows and their frames French doors of wood Doors of wood, other than French doors Wooden formwork (shuttering) for concrete constructional work Wooden shingles and shakes Builders’ joinery and carpentry of wood, Posts and Beams Assembled flooring panels of bamboo, for mosaic floors, solid Assembled flooring panels of bamboo, for mosaic floors other than solid, having a face ply more than 6mm in thickness Assembled flooring panels of bamboo, for mosaic floors other than solid, having a face ply less than or equal to 6 mm in thickness Assembled flooring panels of bamboo, other than for mosaic, multilayer, having a face ply more than 6mm in thickness Assembled flooring panels of bamboo, other than mosaic, multilayer, having a face ply &lt;=equal to 6mm in thickness, of unidirectional bamboo Assembled flooring panels of bamboo, other than for mosaic, multilayer, having a face ply &lt;= 6mm in thickness, not of unidirectional bamboo</w:t>
      </w:r>
    </w:p>
    <w:p>
      <w:pPr>
        <w:pStyle w:val="Normal"/>
        <w:widowControl/>
        <w:rPr/>
      </w:pPr>
      <w:r>
        <w:rPr/>
        <w:t>Assembled flooring panels of bamboo, other than for mosaic or multilayer, nesoi Assembled wood flooring panels, other than of bamboo, for mosaic floors, solid Assembled wood flooring panels, other than of bamboo, for mosaic floors other than solid, having a face ply more than 6 mm in thickness Assembled wood flooring panels, other than of bamboo, for mosaic floors other than solid, having a face ply less than or equal to 6 mm in thickness Assembled wood flooring panels, other than of bamboo, other than for mosaic, multilayer, having a face ply more than 6 mm in thickness Assembled wood flooring panels, other than of bamboo, other than for mosaic, multilayer, having a face ply less than or equal to 6 mm in thickness Assembled wood flooring panels, other than of bamboo, other than for mosaic or multilayer Builders’ joinery and carpentry of wood, of bamboo, drilled or notched lumber studs Builders’ joinery and carpentry of wood, of bamboo, other than drilled or notched lumber studs Builders’ joinery and carpentry</w:t>
      </w:r>
    </w:p>
    <w:p>
      <w:pPr>
        <w:pStyle w:val="Normal"/>
        <w:widowControl/>
        <w:rPr/>
      </w:pPr>
      <w:r>
        <w:rPr/>
        <w:t>of wood, of wood other than of bamboo, drilled or notched lumber studs Builders’ joinery and carpentry of wood, of wood other than of bamboo, other than drilled or notched lumber studs Bread boards, chopping boards and similar boards of bamboo Chopsticks of bamboo Forks and spoons of bamboo Tableware and kitchenware of bamboo, other than bread boards, chopping boards and similar boards, chopsticks, forks, spoons Forks and spoons of wood, other than of bamboo Tableware</w:t>
      </w:r>
    </w:p>
    <w:p>
      <w:pPr>
        <w:pStyle w:val="Normal"/>
        <w:widowControl/>
        <w:rPr/>
      </w:pPr>
      <w:r>
        <w:rPr/>
        <w:t>and kitchenware of wood other than of bamboo, other than bread boards, chopping boards and similar boards, chopsticks, forks, spoons Wooden statuettes and other wood ornaments Wooden cigar and cigarette boxes Wooden jewelry boxes, silverware chests, microscope, tool or utensil cases, similar boxes, cases and chests, not lined with textile fabrics Wooden jewelry boxes, silverware chests, microscope, tool or utensil cases, similar boxes, cases and chests, lined with textile fabrics Wood marquetry and inlaid wood; wooden articles of furniture, nesi Wooden clothes hangers Plain wood dowel pins of bamboo Wood dowel pins of bamboo, sanded, grooved or otherwise advanced in condition Blinds, shutters, screens and shades of bamboo, with wooden frames having fixed louver boards or slats in the center Blinds, shutters, screens and shades of bamboo, with wooden frames w/o fixed louver boards or slats in the center Toothpicks of bamboo Skewers, candy sticks, ice cream sticks, tongue depressors, drink mixers and similar wares, other than toothpicks, of bamboo Pickets, palings, posts and rails of bamboo, sawn;</w:t>
      </w:r>
    </w:p>
    <w:p>
      <w:pPr>
        <w:pStyle w:val="Normal"/>
        <w:widowControl/>
        <w:rPr/>
      </w:pPr>
      <w:r>
        <w:rPr/>
        <w:t>assembled fence sections of bamboo Spring-type clothespins of bamboo Clothespins other than spring-type, of bamboo Canoe paddles of bamboo Theatrical, ballet and operatic scenery and properties, including sets, of bamboo Edge-glued lumber of bamboo Other articles, nesoi, of bamboo, incl pencil slats, burial caskets, gates for confining children or pets Plain coniferous wood dowel</w:t>
      </w:r>
    </w:p>
    <w:p>
      <w:pPr>
        <w:pStyle w:val="Normal"/>
        <w:widowControl/>
        <w:rPr/>
      </w:pPr>
      <w:r>
        <w:rPr/>
        <w:t>pins Plain wood dowel pins, other than of coniferous wood or of bamboo Wood dowel pins of wood other than of bamboo, the foregoing sanded, grooved or otherwise advanced in condition Blinds, shutters, screens and shades of wood other than bamboo, with wooden frames having fixed louver boards or slats in the center Blinds, shutters, screens and shades of wood other than bamboo, with wooden frames w/o fixed louver boards or slats in the center Toothpicks of wood other than of bamboo Skewers, candy sticks, ice cream sticks, tongue depressors, drink mixers and similar wares, other than toothpicks, of wood other than bamboo Pickets, palings, posts and rails, sawn, of wood other than of bamboo;</w:t>
      </w:r>
    </w:p>
    <w:p>
      <w:pPr>
        <w:pStyle w:val="Normal"/>
        <w:widowControl/>
        <w:rPr/>
      </w:pPr>
      <w:r>
        <w:rPr/>
        <w:t>assembled fence sections of wood other than of bamboo Spring-type clothespins of wood other than of bamboo Clothespins other than spring-type, of wood other than of bamboo Canoe paddles of wood other than of bamboo Theatrical, ballet and operatic scenery and properties, including sets, of wood other than of bamboo Edge-glued lumber of wood other than of bamboo Other articles, nesoi, of wood other than of bamboo, incl pencil slats, burial caskets, gates for confining children or pets, Natural cork, raw or simply prepared Waste cork Crushed, granulated or ground cork Natural cork, debacked or roughly squared or in rectangular blocks, plates, sheets or strip (incl.</w:t>
      </w:r>
    </w:p>
    <w:p>
      <w:pPr>
        <w:pStyle w:val="Normal"/>
        <w:widowControl/>
        <w:rPr/>
      </w:pPr>
      <w:r>
        <w:rPr/>
        <w:t>sharp-edged blanks for corks or stoppers) Corks and stoppers of natural cork, tapered and of a thickness (or length) greater than the maximum diameter, n/o 19 mm maximum diameter Corks and stoppers wholly of natural cork,tapered &amp; of a thickness (or length) greater than the maximum diam.,over 19 mm maximum diam.</w:t>
      </w:r>
    </w:p>
    <w:p>
      <w:pPr>
        <w:pStyle w:val="Normal"/>
        <w:widowControl/>
        <w:rPr/>
      </w:pPr>
      <w:r>
        <w:rPr/>
        <w:t>Corks and stoppers of natural cork, tapered &amp; of a thickness (or length) greater than the maximum diam.,over 19 mm maximum diam., nesi Corks and stoppers of natural cork, of a thickness (or length) not greater than the maximum diameter Disks, wafers and washers of natural cork Natural cork wallcoverings, backed with paper or otherwise reinforced Articles of natural cork, other than corks and stoppers Vulcanized sheets and slabs wholly of agglomerated ground or pulverized cork and rubber Insulation of compressed agglomerated cork, coated or not coated Floor coverings of agglomerated cork Agglomerated cork wallcoverings, backed with paper or otherwise reinforced Agglomerated cork stoppers, not tapered, wholly of cork, of a thickness (or length) greater than the maximum diameter Corks, stoppers, disks, wafers and washers of agglomerated cork, nesi Blocks, plates, sheets and strip; tiles of any shape; solid cylinder; all the foregoing of cork; all the foregoing, nesi Agglomerated cork and articles of cork, nesoi Woven or partly assembled materials of bamboo, for mats, matting and screens Bamboo floor coverings Mats, matting and screens of bamboo, nesoi Woven or partly</w:t>
      </w:r>
    </w:p>
    <w:p>
      <w:pPr>
        <w:pStyle w:val="Normal"/>
        <w:widowControl/>
        <w:rPr/>
      </w:pPr>
      <w:r>
        <w:rPr/>
        <w:t>assembled materials of rattan for mats, matting and screens Rattan floor coverings Mats, matting and screens of rattan, nesoi Woven or partly assembled materials of willow for mats, matting and screens Woven or partly assembled vegetable materials other than bamboo, rattan or willow, for mats, matting and screens Willow floor coverings Mats, matting and screens of willow, nesoi Plaits of bamboo and similar products of such plaiting materials, whether or not assembled into strips Products of bamboo other than plaits and similar products such as plaiting materials. Rattan webbing for mats, matting and screens Plaits of rattan and similar products of such plaiting materials, whether or not assembled into strips Products of rattan other than plaits and similar products such as plaiting materials.</w:t>
      </w:r>
    </w:p>
    <w:p>
      <w:pPr>
        <w:pStyle w:val="Normal"/>
        <w:widowControl/>
        <w:rPr/>
      </w:pPr>
      <w:r>
        <w:rPr/>
        <w:t>Plaits of vegetable materials and similar products of such plaiting materials, whether or not assembled into strips Products nesoi, of plaiting materials, bound together in parallel strands or woven, in sheet form, of willow or wood Products nesoi, of plaiting vegetable materials nesoi, bound together in parallel strands or woven, in sheet form Plaits and similar products of plaiting materials (not vegetable), whether or not assembled into strips Products nesoi of plaiting materials (not vegetable), bound together in parallel strands or woven, in sheet form, nesoi Fishing baskets or creels made from bamboo Baskets and bags of bamboo wickerwork Baskets and bags of bamboo other than wickerwork Luggage, handbags and flat goods, whether or not lined, of bamboo Articles of wickerwork, neosi, of bamboo Basketwork and other articles, neosi, of one or more of bamboo Fishing baskets or creels made from rattan Baskets and bags of rattan wickerwork Baskets and bags of rattan other than wickerwork Articles of a kind normally carried in the pocket or in the handbag, of</w:t>
      </w:r>
    </w:p>
    <w:p>
      <w:pPr>
        <w:pStyle w:val="Normal"/>
        <w:widowControl/>
        <w:rPr/>
      </w:pPr>
      <w:r>
        <w:rPr/>
        <w:t>rattan Luggage, handbags and flat goods, whether or not lined, of rattan,nesoi Articles of wickerwork, neosi, of rattan Basketwork and other articles, neosi, of rattan Fishing baskets or creels made from vegetable materials Baskets and bags, nesi, whether or not lined, of willow Baskets and bags of palm leaf wickerwork Baskets and bags of palm leaf other than wickerwork Baskets and bags of vegetable material wickerwork,</w:t>
      </w:r>
    </w:p>
    <w:p>
      <w:pPr>
        <w:pStyle w:val="Normal"/>
        <w:widowControl/>
        <w:rPr/>
      </w:pPr>
      <w:r>
        <w:rPr/>
        <w:t>neosi Baskets and bags of vegetable material, neosi Luggage, handbags and flat goods, whether or not lined, of willow Articles of a kind normally carried in the pocket or in the handbag,of palm leaf Luggage, handbags and flat goods, whether or not lined, of palm leaf, nesoi Luggage, handbags and flat goods, whether or not lined, made from plaiting materials nesoi Articles of wickerwork, neosi, of willow or wood Basketwork and other articles, neosi, of willow or wood Articles of wickerwork, neosi, of vegetable materials, nesoi Basketwork and other articles, neosi, of vegetables materials, nesoi Basketwork, wickerwork and other articles made directly from plaiting materials or from articles of heading 4601, nesi;</w:t>
      </w:r>
    </w:p>
    <w:p>
      <w:pPr>
        <w:pStyle w:val="Normal"/>
        <w:widowControl/>
        <w:rPr/>
      </w:pPr>
      <w:r>
        <w:rPr/>
        <w:t>loofah articles Mechanical woodpulp Chemical woodpulp, dissolving grades Chemical woodpulp, soda or sulfate, other than dissolving grades, of unbleached coniferous wood Chemical woodpulp, soda or sulfate, other than dissolving grades, of unbleached nonconiferous wood Chemical woodpulp, soda or sulfate, other than dissolving grades, of semibleached or bleached coniferous wood Chemical woodpulp, soda or sulfate, other than dissolving grades, of semibleached or bleached nonconiferous wood Chemical woodpulp, sulfite, other than dissolving grades, of unbleached coniferous wood Chemical woodpulp, sulfite, other than dissolving grades, of unbleached nonconiferous wood Chemical woodpulp, sulfite, other than dissolving grades, of semibleached or bleached coniferous wood</w:t>
      </w:r>
    </w:p>
    <w:p>
      <w:pPr>
        <w:pStyle w:val="Normal"/>
        <w:widowControl/>
        <w:rPr/>
      </w:pPr>
      <w:r>
        <w:rPr/>
        <w:t>Chemical woodpulp, sulfite, other than dissolving grades, of semibleached or bleached nonconiferous wood Semichemical woodpulp Cotton linters pulp Pulps of fibers derived from recovered (waste and scrap) paper or paperboard Pulps of fibrous cellulosic material, of bamboo Pulps of fibrous cellulosic material, other than cotton linters pulp, mechanical Pulps of fibrous cellulosic material, other than cotton linters pulp, chemical Pulps of fibrous cellulosic material, other than cotton linters pulp, semichemical Waste and scrap of unbleached kraft paper or paperboard or of corrugated paper or paperboard Waste and scrap of other paper or paperboard, made mainly of bleached chemical pulp, not colored in the mass Waste and scrap of paper or paperboard made mainly of mechanical pulp (for example, newspapers, journals, and similar printed matter) Waste and scrap of paper or paperboard nesi, including unsorted waste and scrap Newsprint, in rolls or sheets Handmade paper and paperboard Paper &amp; paperboard use for photo-sensitive/heat-sensitive/electro-sensitive paper/paperboard, in strip/rolls ov 15 cm wide or certain sheets Uncoated basic paper for photo-sensitive/heat-sensitve/eletro-sensitive paper/paperboard to be</w:t>
      </w:r>
    </w:p>
    <w:p>
      <w:pPr>
        <w:pStyle w:val="Normal"/>
        <w:widowControl/>
        <w:rPr/>
      </w:pPr>
      <w:r>
        <w:rPr/>
        <w:t>sensitized for photography, roll/sheets nesoi Uncoated paper and paperboard of a kind used for photo-sensitive/heat-sensitve/eletro sensitive paper/paperboard, in rolls or sheets nesoi Wallpaper base (hanging paper), in rolls or sheets Writing paper, weigh &lt; 40 g/m2,</w:t>
      </w:r>
    </w:p>
    <w:p>
      <w:pPr>
        <w:pStyle w:val="Normal"/>
        <w:widowControl/>
        <w:rPr/>
      </w:pPr>
      <w:r>
        <w:rPr/>
        <w:t>cont.</w:t>
      </w:r>
    </w:p>
    <w:p>
      <w:pPr>
        <w:pStyle w:val="Normal"/>
        <w:widowControl/>
        <w:rPr/>
      </w:pPr>
      <w:r>
        <w:rPr/>
        <w:t>n/o 10% total fiber content by a mechanical/chemi- process, in strip/roll ov 15 cm wide/certain sheets India &amp; bible paper, weigh &lt; 40 g/m2, n/o 10% total fiber content by a mechanical/chemi- process, in strip/roll ov 15 cm wide/certain sheets Carbonizing base paper weighing n/ov 15 g/m2, in strip/roll over 15 cm wide or rectangular sheets w/side ov 36 cm and other ov 15 cm unfold Other basic paper to be sensitized use in photography, wt &lt; 40g/m2, n/o 10% total fiber by mechanical/chem- process, in rolls/sheets nesoi Carbonizing base paper of a kind used for writing, printing or other graphic purposes, in rolls or sheets nesoi Writing/cover paper, wt 40 g/m2-150 g/m2, n/o 10% total fiber by mechanical/chemi process, in rolls exceeding 15 cm in width Drawing paper, wt 40 g/m2 -150 g/m2, n/o 10% total fiber content by mechanical/chemi- process, in rolls exceeding 15 cm in width India/bible paper, wt 40 g/m2-150 g/m2, n/o 10% total fiber content by mechanical/chemi- process, in rolls exceeding 15 cm in width</w:t>
      </w:r>
    </w:p>
    <w:p>
      <w:pPr>
        <w:pStyle w:val="Normal"/>
        <w:widowControl/>
        <w:rPr/>
      </w:pPr>
      <w:r>
        <w:rPr/>
        <w:t>Paper &amp; paperboard, nesoi, 40 g/m2-150 g/m2, n/o 10% total fiber by mechanical/chemi- process, in rolls exceeding 15 cm in width Other basic paper be sensitized for use photography, 40g/m2-150g/m2, n/o 10% total fiber by mechanical/chemi- process, rolls n/o 15 cm wide Other paper/paperboard for writing/printing/other graphic purpose,40g/m2 150g/m2,n/o 10% fiber mechanical/chemi- process,roll n/o 15 cm wide Writing &amp; cover paper, wt 40 g/m2-150 g/m2, n/o 10% by</w:t>
      </w:r>
    </w:p>
    <w:p>
      <w:pPr>
        <w:pStyle w:val="Normal"/>
        <w:widowControl/>
        <w:rPr/>
      </w:pPr>
      <w:r>
        <w:rPr/>
        <w:t>weight total fiber content by mechanical/chemi- process, in certain size sheets Drawing paper, wt 40 g/m2-150 g/m2, contain n/o 10% weight total fiber content obtained by mechanical/chemi- process, in certain size sheets India &amp; bible paper, wt 40 g/m2-150 g/m2, n/o 10% by wt. total fiber content obtained by mechanical/chemi- process, in certain size sheets Paper &amp; paperboard nesoi, 40 g/m2-150 g/m2, n/o 10% by wt. total fiber content obtained by mechanical/chemi- process, in certain size sheets Other basic paper be sensitized use in photography, wt. 40g/m2-150g/m2, n/o 10% total fiber by mechanical/chemi- process, other sized sheets Paper/paperboard for writing/printing/other graphic purpose,wt 40g/m2-150g/m2, n/o 10% fiber by mechanical/chemi- process,other sized sheets Writing/cover paper, wt 40 g/m2-150 g/m2, cont. n/o 10% by weight total fiber content obtained by mechanical/chemi- process, in sheets nesoi Drawing paper, wt 40 g/m2 to 150 g/m2, cont. n/o 10% by weight total fiber content obtained by mechanical/chemi- process, in sheets nesoi India &amp; bible paper, wt 40 g/m2 to 150 g/m2, cont. n/o 10% by wt. total fiber content obtained by mechanical/chemi- process, in sheets nesoi Paper &amp; paperboard nesoi, 40 g/m2-150 g/m2, cont. n/o 10% by wt.</w:t>
      </w:r>
    </w:p>
    <w:p>
      <w:pPr>
        <w:pStyle w:val="Normal"/>
        <w:widowControl/>
        <w:rPr/>
      </w:pPr>
      <w:r>
        <w:rPr/>
        <w:t>total fiber content obtained by mechanical/chemi- process, in sheets nesoi Writing/cover paper, &gt;150 g/m2, n/o 10% by wt total fiber content by mechanical process/chemi-, in strip/roll ov 15 cm wide or certain sheet Paper &amp; paperboard nesoi, &gt;150 g/m2, n/o 10% total fiber content by mechanical/chemi- process, in strip/roll ov 15 cm wide or certain sheets Basic paper be sensitized for photography, wt &gt;150 g/m2, n/o 10% total fiber content by mechanical process/chemi-, in rolls/sheets nesoi Paper/paperboard for writing/printing/other graphic purpose,&gt;150 g/m2, n/o 10% fiber content by mechanical process/chemi-,rolls/sheets nesoi Writing &amp; cover paper, over 10% by wt total fiber content consists of fiber obtained by mechanical/chemi- process, in rolls over 15 cm wide Drawing paper, over 10% by weight total fiber content consists of fiber obtained by mechanical/chemi- process, in rolls over 15 cm wide Paper and paperboard for graphic purpose nesoi, ov 10% total fiber content obtained by mechanical/chemi- process, in rolls over 15 cm wide Basic paper to be sensitized for photography, ov 10% total fiber content</w:t>
      </w:r>
    </w:p>
    <w:p>
      <w:pPr>
        <w:pStyle w:val="Normal"/>
        <w:widowControl/>
        <w:rPr/>
      </w:pPr>
      <w:r>
        <w:rPr/>
        <w:t>obtained by mechanical/chemi- process, in rolls n/o 15 cm wide Paper/paperboard for writing/printing/other graphic purposes nesoi, ov 10% total fiber by mechanical/chemi- process, in rolls n/o 15 cm wide Writing &amp; cover paper, over 10% by wt total fiber content consists of fiber obtained by mechanical/chemi- process, in certain size sheets Drawing paper, which ov 10% by</w:t>
      </w:r>
    </w:p>
    <w:p>
      <w:pPr>
        <w:pStyle w:val="Normal"/>
        <w:widowControl/>
        <w:rPr/>
      </w:pPr>
      <w:r>
        <w:rPr/>
        <w:t>weight total fiber content consists of fiber obtained by mechanical/chemi- process, in certain size sheets Paper and paperboard for graphic purposes nesoi, ov 10% by wt total fiber obtained by mechanical/chemi- process, in certain size sheets Basic paper to be sensitized for use in photography, ov 10% by wt total fiber obtained by mechanical/chemi- process, other sized sheets Paper/paperboard for graphic purposes nesoi, ov 10% by wt total fiber obtained by mechanical/chemi- process, other sized sheets Writing &amp; cover paper, of which over 10% by weight total fiber content consists of fiber obtained by mechanical process, sheets nesoi Drawing paper, of which over 10% by weight total fiber content consists of fiber obtained by mechanical process, in sheets nesoi Paper and paperboard for graphic purposes nesoi, ov 10% by wt total fiber obtained by mechanical/chemi- process, in sheets nesoi Cellulose wadding in rolls over 36 cm wide or sheets with at least one side over 36 cm Toilet, facial tissue, towel or napkin stock and paper for household/sanitary purposes, in</w:t>
      </w:r>
    </w:p>
    <w:p>
      <w:pPr>
        <w:pStyle w:val="Normal"/>
        <w:widowControl/>
        <w:rPr/>
      </w:pPr>
      <w:r>
        <w:rPr/>
        <w:t>rolls or sheets of specific measure Uncoated, unbleached kraftliner, in rolls or sheets Uncoated kraftliner, other than unbleached, in rolls or sheets Uncoated, unbleached sack kraft paper, in rolls or sheets Uncoated sack kraft paper, other than unbleached, in rolls or sheets Uncoated, unbleached kraft condenser paper, in rolls or sheets, weighing more than 15 g/m 2 but not over 30 g/m 2 Uncoated, unbleached kraft</w:t>
      </w:r>
    </w:p>
    <w:p>
      <w:pPr>
        <w:pStyle w:val="Normal"/>
        <w:widowControl/>
        <w:rPr/>
      </w:pPr>
      <w:r>
        <w:rPr/>
        <w:t>condenser paper, in rolls or sheets, weighing less than 15 g/m 2 or more than 30 g/m 2 to 150 g/m 2 Uncoated, unbleached kraft wrapping paper in rolls or sheets, weighing 150 g/m2 or less Uncoated, unbleached kraft paper nesi, in rolls or sheets, weighing 150 g/m2 or less Uncoated kraft condenser paper, other than unbleached, in rolls or sheets, weighing 150 g/m2 or less Uncoated kraft wrapping paper, other than unbleached, in rolls or sheets, weighing 150 g/m2 or less Uncoated kraft paper and paperboard, other than unbleached, in rolls or sheets, weighing 150 g/m2 or less, nesi Uncoated, unbleached kraft wrapping paper in rolls or sheets, weighing more than 150 but less than 225 g/m2 Uncoated, unbleached kraft paper and paperboard, nesi, in rolls or sheets, weighing more than 150 but less than 225 g/m2 Uncoated, bleached kraft paper and paperboard,over 150 but n/o 225 g/m2,over 95% content of wood fibers by chemical process,rolls or sheets Uncoated kraft paper and paperboard, nesi, in rolls or sheets, weighing</w:t>
      </w:r>
    </w:p>
    <w:p>
      <w:pPr>
        <w:pStyle w:val="Normal"/>
        <w:widowControl/>
        <w:rPr/>
      </w:pPr>
      <w:r>
        <w:rPr/>
        <w:t>more than 150 but less than 225 g/m2, nesi Uncoated, unbleached kraft paper and paperboard, in rolls or sheets, weighing 225 g/m2 or more Uncoated, bleached kraft paper &amp; paperboard, over 225 g/m2, over 95% content of wood fibers obtained by chemical process, rolls or sheets Uncoated kraft paper and paperboard in rolls or sheets, weighing 225 g/m2 or more, nesi Uncoated semichemical fluting paper, in rolls or sheets, not further worked than as specified in note 3 to</w:t>
      </w:r>
    </w:p>
    <w:p>
      <w:pPr>
        <w:pStyle w:val="Normal"/>
        <w:widowControl/>
        <w:rPr/>
      </w:pPr>
      <w:r>
        <w:rPr/>
        <w:t>chapter 48 Uncoated straw fluting paper, weighing 150 g/m2 or less, in rolls or sheets, not further worked than as specified in note 3 to chapter 48 Uncoated straw fluting pape, weighing over 150 g/m2, in rolls or sheets, not further worked than as specified in note 3 to chapter 48 Uncoated fluting paper nesoi, weighing 150 g/m2 or less, in rolls or sheets, not further worked than as specified in note 3 to chapter 48 Uncoated fluting paper nesoi, weighing over 150 g/m2, in rolls or sheets, not further worked than as specified in note 3 to chapter 48 Uncoated testliner (recycled liner board), weighing n/o 15 g/m2, in rolls or sheets, not further worked than in note 3 to chapter 48 Uncoated testliner, weighing over 15 g/m2 but not over 30 g/m2, in rolls or sheets, not further worked than in note 3 to chapter 48 Uncoated testliner, weighing over 30 g/m2 but not over 150 g/m2, in rolls or sheets, not further worked than in note 3</w:t>
      </w:r>
    </w:p>
    <w:p>
      <w:pPr>
        <w:pStyle w:val="Normal"/>
        <w:widowControl/>
        <w:rPr/>
      </w:pPr>
      <w:r>
        <w:rPr/>
        <w:t>to chapter 48 Uncoated testliner, weighing more than 150 g/m2, in rolls or sheets, not further worked than as specified in note 3 to chapter 48 Uncoated sulfite wrapping paper in rolls or sheets Uncoated filter paper and paperboard in rolls or sheets Uncoated felt paper and paperboard in rolls or sheets Uncoated multi-ply paper &amp; paperboard, bibulous &amp; wrapping paper, weigh 150 g/m2 or less, in rolls/sheets, not further worked than in note 3 Uncoated condenser paper, weighing 150 g/m2 or less, in rolls or sheets, not further worked than as specified in</w:t>
      </w:r>
    </w:p>
    <w:p>
      <w:pPr>
        <w:pStyle w:val="Normal"/>
        <w:widowControl/>
        <w:rPr/>
      </w:pPr>
      <w:r>
        <w:rPr/>
        <w:t>note 3 to chapter 48 Uncoated paper and paperboard nesoi, weighing not over 15 g/m2, in rolls or sheets, not further worked than as in note 3 to chapter 48 Uncoated paper and paperboard nesoi, weigh over 15 g/m2 but n/o 30 g/m2, in rolls or sheets, not further worked than in note 3 to chapter 48 Uncoated paper and paperboard nesoi, weigh ov 30 g/m2 but n/o 150 g/m2, in rolls or sheets, not further worked than in note 3 to chapter 48 Uncoated pressboard, weighing more than 150 g/m2 but less than 225 g/m2, in rolls or sheets, not further worked than in note 3 to chapter 48 Uncoated paper &amp; paperboard nesoi, weighing &gt; 150 g/m2 but &lt; 225 g/m2, in rolls or sheets, not further worked than in note 3 to chapter 48 Uncoated pressboard weighing 225 g/m2 or more, in rolls or sheets, not further worked than as specified in note 3 to chapter 48 Uncoated paper and paperboard nesoi, weighing 225 g/m2 or more,</w:t>
      </w:r>
    </w:p>
    <w:p>
      <w:pPr>
        <w:pStyle w:val="Normal"/>
        <w:widowControl/>
        <w:rPr/>
      </w:pPr>
      <w:r>
        <w:rPr/>
        <w:t>in rolls or sheets, not further worked than as in note 3 to chapter 48 Vegetable parchment in rolls or sheets Greaseproof papers in rolls or sheets Tracing papers in rolls or sheets Glassine and other glazed transparent or translucent papers, in rolls or sheets Composite paper and paperboard, laminated internally with bitumen, tar or asphalt, not surface-coated or impregnated, in rolls or sheets Composite straw paper and paperboard, not surface-coated or impregnated, in rolls or sheets Composite cloth-lined or reinforced paper, not surface-coated or impregnated, in rolls or sheets</w:t>
      </w:r>
    </w:p>
    <w:p>
      <w:pPr>
        <w:pStyle w:val="Normal"/>
        <w:widowControl/>
        <w:rPr/>
      </w:pPr>
      <w:r>
        <w:rPr/>
        <w:t>Composite paper and paperboard nesoi, not surface-coated or impregnated, in rolls or sheets Corrugated paper and paperboard, whether or not perforated, in rolls or sheets Kraft paper, creped or crinkled, whether or not embossed or perforated Paper and paperboard, creped or crinkled, in rolls or sheets, nesi Paper and paperboard, embossed, in rolls or sheets, nesi Paper and paperboard, in rolls or sheets, nesi Self-copy writing paper in rolls over 36 cm wide or rectangular sheets over 36 cm on side(s) Self-copy paper in rolls over 36 cm wide or rectangular sheets over 36 cm on side(s), other than writing paper Stereotype-matrix board and mat in rolls over 36 cm wide or in rectangular sheets over 36 cm on side(s) Simplex decalcomania paper in rolls over 36 cm wide or in rectangular sheets over 36 cm on side(s) Duplex decalcomania paper in rolls over 36 cm wide or in rectangular sheets over 36 cm on side(s) Carbon paper, self-copy paper and other copying or transfer paper, Impregnated, coated or both,</w:t>
      </w:r>
    </w:p>
    <w:p>
      <w:pPr>
        <w:pStyle w:val="Normal"/>
        <w:widowControl/>
        <w:rPr/>
      </w:pPr>
      <w:r>
        <w:rPr/>
        <w:t>but otherwise not treated Copying or transfer papers, nesi, in rolls over 36 cm wide or rectangular sheets over 36 cm on side(s) Basic paper be sensitized for photography, coated w/inorganic, n/o 150 g/m2, n/o 10% fiber by mechanical/chemi- process, rolls ov 15 cm wide India or bible paper, coated w/inorganic, n/o 150 g/m2, n/o 10% fiber content obtained by a mechanical/chemi- process, rolls ov 15 cm wide Paper/paperboard for graphic use nesoi, coated w/inorganic, n/o 150g/m2, n/o</w:t>
      </w:r>
    </w:p>
    <w:p>
      <w:pPr>
        <w:pStyle w:val="Normal"/>
        <w:widowControl/>
        <w:rPr/>
      </w:pPr>
      <w:r>
        <w:rPr/>
        <w:t>10% fiber by mechanical/chemi- process, rolls ov 15 cm wide Paper and paperboard for graphic use, coated w/inorganic, ov 150g/m2, n/o 10% fiber by mechanical/chemi- process, in rolls over 15 cm wide Printed/embossed/perforated paper &amp; paperboard graphic use, coated w/inorganic, n/o 10% fiber by mech/chemi- process, rolls n/o 15 cm wide Basic paper be sensitized for photography, coated w/kaolin/inorganic, n/o 10% fiber by mechanical/chemi- process, rolls n/o 15 cm wide Paper &amp; paperboard for graphic purposes nesoi, coated w/kaolin/inorganic, n/o 10% fiber by mechanical/chemi- process, rolls n/o 15 cm wide Basic paper be sensitized for photography, coated w/inorganic, n/o 150g/m2, n/o 10% fiber by mechanical/chemi- process, certain size sheets India or bible paper, coated w/inorganic, n/o 150 g/m2, of n/o 10% fiber content obtained by mechanical/chemi- process, certain size sheets Paper and paperboard for graphic use nesoi, coated w/inorganic, n/o 150g/m2, n/o 10% fiber by mechanical/chemi- process, certain size sheets Paper and paperboard for graphic use, coated w/inorganic, ov 150g/m2, n/o 10% fiber obtained mechanical/chemi- process, certain size sheets Printed/embossed/perforated</w:t>
      </w:r>
    </w:p>
    <w:p>
      <w:pPr>
        <w:pStyle w:val="Normal"/>
        <w:widowControl/>
        <w:rPr/>
      </w:pPr>
      <w:r>
        <w:rPr/>
        <w:t>paper &amp; paperboard, coated w/inorganic, n/o 10% fiber obtained mechanical/chemi- process, other sized sheets Basic paper be sensitized use in photography, coated w/inorganic, n/o 10% fiber obtained mechanical/chemi- process, other sized sheets Paper &amp; paperboard for graphic purposes nesoi, coated</w:t>
      </w:r>
    </w:p>
    <w:p>
      <w:pPr>
        <w:pStyle w:val="Normal"/>
        <w:widowControl/>
        <w:rPr/>
      </w:pPr>
      <w:r>
        <w:rPr/>
        <w:t>w/inorganic, n/o 10% fiber obtained mechanical/chemi- process, other sized sheets Basic paper be sensitized use in photography, coated w/inorganic, n/o 150g/m2, n/o 10% fiber by mechanical/chemi- process, sheets nesoi India or bible paper, coated w/inorganic, n/o 150 g/m2, of n/o 10% fiber content obtained by a mechanical/chemi- process, sheets nesoi Paper &amp; paperboard for graphic use nesoi, coated w/inorganic, n/o 150g/m2, n/o 10% fiber obtained by mechanical/chemi- process, sheets nesoi Paper and paperboard for graphic use, coated w/inorganic, ov 150g/m2, n/o 10% fiber obtained by a mechanical/chemi- process, sheets nesoi Light-weight coated paper for graphic use, &gt; 10% fiber content obtained by mechanical/chemi- process, strip/roll ov 15 cm wide/sized sheets Light-wt coated printed/embossed/perforated paper/paperboard for graphic, &gt; 10% fiber obtained mechanical/chemi- process, roll/sheet nesoi Light-weight coated basic paper be sensitized use in photography, &gt; 10% fiber obtained mechanical/chemi- process, rolls/sheets nesoi Light-wt coated paper &amp; paperboard used for graphic purposes, &gt; 10% fiber obtained by a mechanical/chemi- process, roll/sheet nesoi Paper/paperboard for graphic, coated w/inorganic, &gt; 10% fiber obtained by</w:t>
      </w:r>
    </w:p>
    <w:p>
      <w:pPr>
        <w:pStyle w:val="Normal"/>
        <w:widowControl/>
        <w:rPr/>
      </w:pPr>
      <w:r>
        <w:rPr/>
        <w:t>mechanical/chemi- process, strip/roll ov 15 cm wide &amp; sized sheets Printed/embossed/perforated paper/paperboard for graphic, coated w/inorganic, &gt; 10% fiber by mechanical/chemi- process, rolls/sheets nesoi Basic paper to be sensitized for use in</w:t>
      </w:r>
    </w:p>
    <w:p>
      <w:pPr>
        <w:pStyle w:val="Normal"/>
        <w:widowControl/>
        <w:rPr/>
      </w:pPr>
      <w:r>
        <w:rPr/>
        <w:t>photography, coated w/inorganic, &gt; 10% fiber by mechanical/chemi- process, rolls/sheets nesoi Paper/paperboard used for graphic purposes, coated w/inorganic, &gt; 10% fiber by mechanical/chemi- process, rolls/sheets nesoi Nongraphic bleached coated kraft paper/paperboard, &gt;95% wood fiber by chemical process, 150g/m2 or &lt;, strip/roll ov 15 cm wide/certain sheet Bleached coated kraft paper cards, not punched, for punchcard machine, &gt;95% wood fiber by chemical process, 150g/m2 or &lt;, rolls/sheets nesoi Nongraphic bleached coated kraft paper/paperboard nesoi, of &gt; 95% wood fiber by chemical process, 150 g/m2 or less, in rolls or sheets nesoi Nongraphic bleached coated kraft paper/paperboard, &gt; 95% wood fiber by chemical process, &gt;150g/m2, strip/roll ov 15 cm wide/certain sheets Bleached coated kraft paper card, not punched, for punchcard machine, &gt;95% wood fiber by chemical process, &gt; 150g/m2, in strips/sheets nesoi Nongraphic bleached coated kraft paper/paperboard nesoi, of &gt; 95% wood fiber obtained chemical process, &gt; 150 g/m2, in rolls or sheets nesoi Nongraphic nonbleach uniformly kraft paper/paperboard,coated w/inorganic,wheth impreg but not treated,strip/roll ov 15cm wide/certain sheet Nongraphic nonbleached uniformly kraft paper and paperboard nesoi, coated w/kaolin/inorganic substances, strip/roll ov 15 cm/certain sheets Nonbleached uniformly kraft paper cards, not punched, for punchcard machines, coated w/inorganic substances, strips/sheets nesoi Nongraphic nonbleached</w:t>
      </w:r>
    </w:p>
    <w:p>
      <w:pPr>
        <w:pStyle w:val="Normal"/>
        <w:widowControl/>
        <w:rPr/>
      </w:pPr>
      <w:r>
        <w:rPr/>
        <w:t>uniformly kraft paper or paperboard nesoi, coated with kaolin or other inorganic substances, in rolls or sheets nesoi Multi-ply paper &amp; paperboard nesoi, coat w/kaolin/other inorganic substances, wt &gt; 150g/m2, strips/rolls ov 15 cm wide or certain sheets Multi-ply paper/paperboard nesoi, coat w/kaolin/other inorganic substances, wt 150g/m2 or less, strips/rolls ov 15 cm wide or certain sheets Mult-ply paper/paperboard cards, not punched, for punchcard machines, coated w/kaolin/other inorganic substances, in strips/sheets nesoi Multi-ply paper or paperboard nesoi, coated with kaolin or other inorganic substances, in rolls n/o 15 cm wide and rectangular sheets nesoi Paper &amp; paperboard nesoi, coated with kaolin or other inorganic substances, in strips/rolls ov 15 cm wide or certain size rectangular sheets Paper &amp; paperboard cards nesoi, not punched, for punchcard machines, coated w/kaolin/inorganic substances, in strips or sheets nesoi Paper and paperboard nesoi, coated with kaolin or other inorganic substances, in rolls n/o 15 cm wide and rectangular sheets nesoi Tarred, bituminized or asphalted paper &amp; paperboard, in strip/roll ov 15cm wide or rectangular sheet</w:t>
      </w:r>
    </w:p>
    <w:p>
      <w:pPr>
        <w:pStyle w:val="Normal"/>
        <w:widowControl/>
        <w:rPr/>
      </w:pPr>
      <w:r>
        <w:rPr/>
        <w:t>w/side ov 36cm &amp; other ov 15cm unfolded Tarred, bituminized or asphalted paper and paperboard, in strips or rolls not over 15 cm wide or in rectangular sheets nesoi Self-adhesive paper &amp; paperboard, in strips/rolls ov 15cm wide or rectangular sheets w/1 side ov 36cm &amp; other side ov 15cm in unfolded Self-adhesive paper</w:t>
      </w:r>
    </w:p>
    <w:p>
      <w:pPr>
        <w:pStyle w:val="Normal"/>
        <w:widowControl/>
        <w:rPr/>
      </w:pPr>
      <w:r>
        <w:rPr/>
        <w:t>and paperboard, in strips or rolls not over 15 cm wide Self-adhesive paper and paperboard, in rectangular sheets nesoi Gummed or adhesive paper and paperboard (other than self-adhesive), in strips or rolls over 15 cm wide or certain sized rectangular sheets Gummed or adhesive paper and paperboard (other than self-adhesive), in strips or rolls not over 15 cm wide Gummed or adhesive paper and paperboard (other than self-adhesive), in rectangular sheets nesoi Bleached paper and paperboard, coated/impregnated/covered w/plastics, wt &gt;150g/m2, 0.3mm or more thick, in certain size strips/rolls/sheets Bleached paper and paperboard, coated/impregnated/covered w/plastics, wt &gt; 150 g/m2, &lt; 0.3 mm thick, in certain size strips/rolls/sheets Bleached paper and paperboard, coated/impregnated/covered w/plastics, wt &gt; 150 g/m2, in rolls n/o 15 cm wide or rectangular sheets nesoi Bleached nesoi/nonbleached printing paper, coated, impregnated or covered with plastics, in strips/rolls ov 15cm wide or certain size sheets Bleached nesoi/nonbleached paper and paperboard nesoi, coated/impregnated/covered with plastics, in certain size strip/rolls/sheets Bleached nesoi/nonbleached paper &amp; paperboard, coated/impregnated/covered with plastics, in rolls n/o 15 cm wide or rectangular sheets nesoi Paper and paperboard, coated/impregnated/covered with wax/paraffin/stearin/oil/glycerol, in strips/rolls ov 15cm wide or certain size sheets Paper and paperboard, coated/impregnated/covered with</w:t>
      </w:r>
    </w:p>
    <w:p>
      <w:pPr>
        <w:pStyle w:val="Normal"/>
        <w:widowControl/>
        <w:rPr/>
      </w:pPr>
      <w:r>
        <w:rPr/>
        <w:t>wax/paraffin/stearin/oil/glycerol, in rolls n/o 15cm wide or rectangular sheets nesoi Handmade paper of cellulose fibers, in strip or roll ov 15 cm wide or rectangular sheets w/1 side ov 36 cm and other ov 15 cm in unfolded Paper/paperboard/cell wadding/webs of cell fibers, all/partly covered w/flock/gelatin/metal/metal solutions, in certain strip/rolls/sheets Paper, paperboard, cellulose wadding and webs of cellulose fibers, impregnated with latex, in certain size strips/rolls/sheets Paper, paperboard, cellulose wadding and webs of cellulose fibers, nesoi, weighing not over 15 g/m2, in certain size strips, rolls or sheets Paper, paperboard, cellulose wadding and web of cellulose fibers, nesoi, wt ov 15g/m2 n/o 30g/m2, in certain size strips, rolls or sheets Paper, paperboard, cellulose wadding and webs of cellulose fibers, nesoi, weighing over 30 g/m2, in certain size strips, rolls or sheets Paper, paperboard, cellulose wadding and webs of cellulose fibers, nesoi, in rolls n/o 15 cm wide or rectangular sheets nesoi Filter blocks, slabs and plates of paper pulp Cigarette paper in the form of booklets or tubes Cigarette paper</w:t>
      </w:r>
    </w:p>
    <w:p>
      <w:pPr>
        <w:pStyle w:val="Normal"/>
        <w:widowControl/>
        <w:rPr/>
      </w:pPr>
      <w:r>
        <w:rPr/>
        <w:t>in rolls of a width not exceeding 5 cm Cigarette paper, whether or not cut to size, nesi Wallpaper and similar wallcoverings of paper, coated or covered on the face side with a layer of plastics Other wallpaper and similar wallcoverings, nesoi;</w:t>
      </w:r>
    </w:p>
    <w:p>
      <w:pPr>
        <w:pStyle w:val="Normal"/>
        <w:widowControl/>
        <w:rPr/>
      </w:pPr>
      <w:r>
        <w:rPr/>
        <w:t>window transparencies of paper, nesoi Self-copy paper, nesi Carbon or similar copying papers, nesoi Envelopes</w:t>
      </w:r>
    </w:p>
    <w:p>
      <w:pPr>
        <w:pStyle w:val="Normal"/>
        <w:widowControl/>
        <w:rPr/>
      </w:pPr>
      <w:r>
        <w:rPr/>
        <w:t>of paper or paperboard Sheets of writing paper with border gummed or perforated, prepared for use as combination sheets and envelopes Other letter cards, plain postcards and correspondence cards, nesi Boxes, pouches, wallets and writing compendiums, of paper or paperboard, containing an assortment of paper stationery Toilet paper Handkerchiefs, cleansing or facial tissues and towels of paper pulp, paper, cellulose wadding or webs of cellulose fiber Tablecloths and table napkins of paper pulp, paper, cellulose wadding or webs of cellulose fiber Articles of apparel and clothing accessories of paper pulp, paper, cellulose wadding or webs of cellulose fibers Bedsheets and similar household, sanitary or hospital articles of paper, cellulose wadding or webs of cellulose fibers, nesi Cartons, boxes and cases of corrugated paper or paperboard Folding cartons, boxes and cases of noncorrugated paper or paperboard Sacks and bags, having a base of a width of 40 cm or more, of paper, paperboard, cellulose wadding or webs of cellulose fibers Sacks and bags, nesi, including cones, of paper, paperboard, cellulose wadding</w:t>
      </w:r>
    </w:p>
    <w:p>
      <w:pPr>
        <w:pStyle w:val="Normal"/>
        <w:widowControl/>
        <w:rPr/>
      </w:pPr>
      <w:r>
        <w:rPr/>
        <w:t>or webs of cellulose fibers Sanitary food and beverage containers of paper, paperboard, cellulose wadding or webs of cellulose fibers, nesi Record sleeves of paper, paperboard, cellulose wadding or webs of cellulose fibers Packing containers, nesi, of paper, paperboard, cellulose wadding or webs of cellulose fibers Box files, letter trays, storage &amp; like articles, used in</w:t>
      </w:r>
    </w:p>
    <w:p>
      <w:pPr>
        <w:pStyle w:val="Normal"/>
        <w:widowControl/>
        <w:rPr/>
      </w:pPr>
      <w:r>
        <w:rPr/>
        <w:t>offices &amp; shops, of paper,paperboard,cellulose wadding/webs of cellulose fibers Diaries, notebooks and address books, bound;</w:t>
      </w:r>
    </w:p>
    <w:p>
      <w:pPr>
        <w:pStyle w:val="Normal"/>
        <w:widowControl/>
        <w:rPr/>
      </w:pPr>
      <w:r>
        <w:rPr/>
        <w:t>letter and memorandum pads and similar articles, of paper or paperboard Registers, account, order and receipt books, and similar articles, of paper or paperboard, nesi Exercise books of paper or paperboard Binders (other than book covers), folders and file covers of paper or paperboard Manifold business forms and interleaved carbon sets of paper or paperboard Albums for samples or for collections, of paper or paperboard Blotting pads and other articles of stationery nesi, and book covers, of paper or paperboard Paper and paperboard labels, printed in whole or part by a lithographic process Paper and paperboard labels, printed by other than a lithographic process Pressure-sensitive paper and paperboard labels, not printed Paper and paperboard labels, not printed, nesi Bobbins, spools, cops and similar supports of paper pulp, paper or paperboard of a kind used for winding textile yarn Bobbins, spools, cops and similar supports of paper pulp, paper or paperboard, nesi Paint filters and strainers of paper or paperboard Filter paper and paperboard, nesi Rolls, sheets and dials of paper or paperboard printed for self-recording apparatus Trays, dishes, plates, cups and the like, of paper or paperboard:</w:t>
      </w:r>
    </w:p>
    <w:p>
      <w:pPr>
        <w:pStyle w:val="Normal"/>
        <w:widowControl/>
        <w:rPr/>
      </w:pPr>
      <w:r>
        <w:rPr/>
        <w:t>of bamboo Trays, dishes, plates, cups and the like, of paper or paperboard Molded or pressed articles of paper pulp Articles of paper pulp, nesi Articles of</w:t>
      </w:r>
    </w:p>
    <w:p>
      <w:pPr>
        <w:pStyle w:val="Normal"/>
        <w:widowControl/>
        <w:rPr/>
      </w:pPr>
      <w:r>
        <w:rPr/>
        <w:t>papier-mache, nesi Cards of paper or paperboard, nesoi, not punched, for punchcard machines, whether or not in strips Frames or mounts for photographic slides of paper or paperboard Hand fans of paper or paperboard Gaskets, washers and other seals of coated paper or paperboard Coated paper or paperboard, nesoi Articles of cellulose wadding, nesi Gaskets, washers and other seals of paper, paperboard and webs of cellulose fibers, nesi Articles of paper pulp, paper, paperboard, cellulose wadding or webs of cellulose fibers, nesoi Printed books, brochures, leaflets and similar printed matter in single sheets, whether or not folded Printed dictionaries and encyclopedias and serial installments thereof Printed books, brochures, leaflets and similar printed matter, other than in single sheets Newspapers, journals and periodicals, appearing at least four times a week Newspaper supplements printed by a gravure process Newspaper, journals and periodicals, except those appearing at least four times a week Children’s picture, drawing or coloring books Music, printed or in manuscript, whether or not bound or illustrated Globes, printed Maps and</w:t>
      </w:r>
    </w:p>
    <w:p>
      <w:pPr>
        <w:pStyle w:val="Normal"/>
        <w:widowControl/>
        <w:rPr/>
      </w:pPr>
      <w:r>
        <w:rPr/>
        <w:t>hydrographic or similar charts of all kinds, including atlases and topographical plans, printed in book form Maps and hydrographic or similar charts of all kinds, including atlases, wall maps and topographical plans, printed, in other than book form Hand-drawn original plans and drawings;</w:t>
      </w:r>
    </w:p>
    <w:p>
      <w:pPr>
        <w:pStyle w:val="Normal"/>
        <w:widowControl/>
        <w:rPr/>
      </w:pPr>
      <w:r>
        <w:rPr/>
        <w:t>hand-written texts; photo reproductions on sensitized paper</w:t>
      </w:r>
    </w:p>
    <w:p>
      <w:pPr>
        <w:pStyle w:val="Normal"/>
        <w:widowControl/>
        <w:rPr/>
      </w:pPr>
      <w:r>
        <w:rPr/>
        <w:t>and carbon copies of the foregoing Unused stamps of current or new issue in country to which destined; stamp-impressed paper; check forms;</w:t>
      </w:r>
    </w:p>
    <w:p>
      <w:pPr>
        <w:pStyle w:val="Normal"/>
        <w:widowControl/>
        <w:rPr/>
      </w:pPr>
      <w:r>
        <w:rPr/>
        <w:t>documents of title, etc Transfers (decalcomanias), vitrifiable Transfers (decalcomanias), not vitrifiable Postcards, printed or illustrated Printed cards (except postcards) bearing personal greetings, messages or announcements, with or without envelopes or trimmings Calendars printed on paper or paperboard in whole or in part by a lithographic process, not over 0.51 mm in thickness Calendars printed on paper or paperboard in whole or in part by a lithographic process, over 0.51 mm in thickness Printed calendars, including calendar blocks, printed on paper or paperboard by other than a lithographic process Printed trade advertising material, commercial catalogs and the like Pictures, designs and photographs, printed over 20 years at time of importation Pictures, designs and photographs printed not over 20 years at time of importation, used in production of articles of heading 4901 Lithographs on paper or paperboard, not over 0.51 mm in thickness, printed not over 20 years at time of importation Lithographs on paper or paperboard, over 0.51 mm in thickness, printed not over 20 years at time of importation Pictures,</w:t>
      </w:r>
    </w:p>
    <w:p>
      <w:pPr>
        <w:pStyle w:val="Normal"/>
        <w:widowControl/>
        <w:rPr/>
      </w:pPr>
      <w:r>
        <w:rPr/>
        <w:t>designs and photographs, excluding lithographs on paper or paperboard, printed not over 20 years at time of importation Printed international customs forms (carnets), and parts thereof, in English or French, (whether or not in</w:t>
      </w:r>
    </w:p>
    <w:p>
      <w:pPr>
        <w:pStyle w:val="Normal"/>
        <w:widowControl/>
        <w:rPr/>
      </w:pPr>
      <w:r>
        <w:rPr/>
        <w:t>additional languages) Printed matter, nesi, printed on paper in whole or in part by a lithographic process Printed matter, nesi Silkworm cocoons suitable for reeling Raw silk (not thrown) Silk waste (including cocoons unsuitable for reeling, yarn waste and garnetted stock) not carded or combed Silk waste (including cocoons unsuitable for reeling, yarn waste and garnetted stock) carded or combed Silk yarns (other than yarn spun from silk waste) not put up for retail sale Yarn spun from silk waste, not put up for retail sale Spun yarn, containing 85% or more by weight of silk, put up for retail sale;</w:t>
      </w:r>
    </w:p>
    <w:p>
      <w:pPr>
        <w:pStyle w:val="Normal"/>
        <w:widowControl/>
        <w:rPr/>
      </w:pPr>
      <w:r>
        <w:rPr/>
        <w:t>silkworm gut Spun silk yarn, containing less than 85% by weight of silk, put up for retail sale Woven fabrics of noil silk, containing 85 percent or more by weight of silk or silk waste Woven fabrics of noil silk, containing less than 85 percent by weight of silk or silk waste Woven fabrics containing 85 percent or more by weight of silk or of silk waste, other than noil silk Woven silk fabrics, containing 85 percent or more by weight of silk or silk waste, nesoi Other silk woven fabrics, containing less than 85 percent by weight of silk or silk waste, nesoi Unimproved wool and other wool not finer than 46s, greasy, shorn, not carded or combed, for special uses Unimproved wool and other wool not finer than 40s, greasy, shorn, not carded or combed, not for special uses Wool, excluding unimproved, finer than 40s but not 44s, greasy, shorn, not carded or combed, not for special uses</w:t>
      </w:r>
    </w:p>
    <w:p>
      <w:pPr>
        <w:pStyle w:val="Normal"/>
        <w:widowControl/>
        <w:rPr/>
      </w:pPr>
      <w:r>
        <w:rPr/>
        <w:t>Wool, excluding unimproved, finer than 44s but not 46s, greasy, shorn, not carded or combed, not for special uses Wool, excluding unimproved, finer than 46s, greasy, shorn, not carded or combed Unimproved wool and other wool not finer than 46s, greasy, not shorn, not carded or combed, for special uses Unimproved wool and other wool not finer than 40s, greasy, not shorn, not carded or combed, not for special uses Wool, excl. unimproved, finer than 40s, but not 44s, greasy, not shorn, not carded or combed, not for special uses Wool, excluding unimproved, finer than 44s but not 46s, greasy, not shorn, not carded or combed, not for special uses Wool, excluding unimproved, finer than 46s, greasy, incl. fleece-washed, not shorn, not carded or combed Unimproved wool and other wool not finer than 46s, degreased, not further processed, shorn, not carded or combed, for special uses Unimproved wool and other wool not finer than 40s, degreased, not further processed, shorn, not carded or combed, not for special uses Wool, excl.</w:t>
      </w:r>
    </w:p>
    <w:p>
      <w:pPr>
        <w:pStyle w:val="Normal"/>
        <w:widowControl/>
        <w:rPr/>
      </w:pPr>
      <w:r>
        <w:rPr/>
        <w:t>unimproved, finer than 40s but not 44s, degreased, not further processed, shorn, not carded or combed, not for special uses Wool, excl. unimproved, finer than 44s but not 46s, degreased, not further processed, shorn, not carded or combed, not for special uses Wool, excl.</w:t>
      </w:r>
    </w:p>
    <w:p>
      <w:pPr>
        <w:pStyle w:val="Normal"/>
        <w:widowControl/>
        <w:rPr/>
      </w:pPr>
      <w:r>
        <w:rPr/>
        <w:t>unimproved, finer than 46s, degreased, not further processed, shorn, not carded or combed, not for special uses Unimproved wool and other wool, not finer than 46s, degreased, shorn, not carbonized, not carded or combed Unimproved wool and other wool, finer than 46s, degreased, shorn, not carbonized, not carded or combed Unimproved wool and other wool not finer than 46s, degreased, not further processed, not shorn, not carded or combed, for special uses Unimproved wool and other wool not finer than 40s, degreased, not further processed, not shorn, not carded or combed, not for special uses Wool, excl. unimproved, finer than 40s but not 44s, degreased, not further processed, not shorn, not carded or combed, not for special uses Wool, excl. unimproved, finer than 44s but not 46s, degreased, not further processed, not shorn, not carded or combed, not for special uses Wool, excl.</w:t>
      </w:r>
    </w:p>
    <w:p>
      <w:pPr>
        <w:pStyle w:val="Normal"/>
        <w:widowControl/>
        <w:rPr/>
      </w:pPr>
      <w:r>
        <w:rPr/>
        <w:t>unimproved, finer than 46s, degreased, not further processed, not shorn, not carded or combed, not for special uses Unimproved wool and other wool, not finer than 46s, not shorn, not carbonized, degreased and further processed, not carded or combed Wool, finer than 46s, not carded or combed, not carbonized, not shorn, degreased and processed to remove grease Unimproved wool and other wool, not finer than 40s, carbonized, not further processed, not carded or combed Wool, excluding unimproved, finer than 40s but not finer than 44s, carbonized, not further processed, not carded or combed Wool, excluding unimproved, finer than 44s but not finer than 46s, carbonized, not further processed, not carded or combed Wool, excluding unimproved, finer than 46s, carbonized, not further processed, not carded or combed Unimproved wool and other wool, not finer than 46s, carbonized and further processed, not carded or combed Unimproved wool and other wool, finer than 46s, carbonized and further processed, not carded or combed Fine hair of Kashmir (cashmere) goats, not processed in any manner</w:t>
      </w:r>
    </w:p>
    <w:p>
      <w:pPr>
        <w:pStyle w:val="Normal"/>
        <w:widowControl/>
        <w:rPr/>
      </w:pPr>
      <w:r>
        <w:rPr/>
        <w:t>beyond the degreased or carbonized condition, not carded or combed Fine hair of Kashmir (cashmere) goats, processed beyond the degreased or carbonized condition, not carded or combed Fine hair of the camel, not processed in any manner beyond the degreased or carbonized condition, not carded or combed Fine animal hair (other than Kashmir or camel), not processed beyond the degreased or carbonized</w:t>
      </w:r>
    </w:p>
    <w:p>
      <w:pPr>
        <w:pStyle w:val="Normal"/>
        <w:widowControl/>
        <w:rPr/>
      </w:pPr>
      <w:r>
        <w:rPr/>
        <w:t>condition, not carded or combed Fur, prepared for hatters’ use, not carded or combed Fine animal hair (other than Kashmir), processed beyond the degreased or carbonized condition, not carded or combed Coarse animal hair, not carded or combed Noils of wool or of fine animal hair Waste, other than noils, of wool or of fine animal hair, including yarn waste but excluding garnetted stock Waste of coarse animal hair, including yarn waste but excluding garnetted stock Garnetted stock of wool or of fine or coarse animal hair Carded wool Combed wool in fragments Wool tops and other combed wool, except in fragments Fine hair of Kashmir (cashmere) goats, carded or combed Fine animal hair (other than Kashmir), carded or combed Coarse animal hair, carded or combed Yarn of carded wool, containing 85 percent or more by weight of wool, not put up for retail sale Yarn of carded wool, containing less than 85 percent by weight of wool, not put up for retail sale Yarn of combed wool, containing 85%</w:t>
      </w:r>
    </w:p>
    <w:p>
      <w:pPr>
        <w:pStyle w:val="Normal"/>
        <w:widowControl/>
        <w:rPr/>
      </w:pPr>
      <w:r>
        <w:rPr/>
        <w:t>or more by weight of wool, not put up for retail sale, of wool fiber avg diameter 18.5 micron or &lt; Yarn of combed wool, containing 85% or more by weight of wool, not put up for retail sale, nesoi Yarn of combed wool, containing less than 85 percent by weight of wool, not put up retail sale, of wool fiber avg diameter 18.5 micron or &lt; Yarn of combed wool, containing less than 85 percent by weight of wool, not put up retail sale, nesoi Yarn of Angora rabbit hair, carded, not put up for retail sale</w:t>
      </w:r>
    </w:p>
    <w:p>
      <w:pPr>
        <w:pStyle w:val="Normal"/>
        <w:widowControl/>
        <w:rPr/>
      </w:pPr>
      <w:r>
        <w:rPr/>
        <w:t>Yarn of mohair, carded, not put up for retail sale Yarn of fine animal hair other than Angora rabbit hair or mohair, carded, not put up for retail sale Yarn of Angora rabbit hair, combed, not put up for retail sale Yarn of mohair, combed, not put up for retail sale Yarn of fine animal hair other than Angora rabbit hair or mohair, combed, not put up for retail sale Yarn of wool, containing 85 percent or more by weight of wool, colored, cut into uniform lengths of not over 8 cm, put up for retail sale Yarn of Angora rabbit hair, containing 85 percent or more by weight of the Angora hair, put up for retail sale Yarn of wool nesoi, or fine animal hair nesoi, over 85% or &gt; of that wool/hair, for retail sale, of wool fiber avg diamter 18.5 micron or &lt; Yarn of wool nesoi, or fine animal hair nesoi, over 85% or &gt; of that wool/hair, put up for retail sale, nesoi Yarn of</w:t>
      </w:r>
    </w:p>
    <w:p>
      <w:pPr>
        <w:pStyle w:val="Normal"/>
        <w:widowControl/>
        <w:rPr/>
      </w:pPr>
      <w:r>
        <w:rPr/>
        <w:t>wool, colored, and cut into uniform lengths of not over 8 cm, containing less than 85% by weight of wool, put up for retail sale Yarn of Angora rabbit hair containing less than 85 percent by weight of the Angora hair, put up for retail sale Yarn of wool nesoi, or fine animal hair nesoi, &lt; 85% of that wool/hair, for retail sale, of wool fiber avg diameter 18.5 micron or &lt; Yarn of wool nesoi, or fine animal hair nesoi, &lt; 85% of that wool/hair, put up for retail sale, nesoi Yarn of coarse animal hair or horsehair (including gimped horsehair yarn) whether or not put up for retail sale Tapestry and upholstery fabrics of</w:t>
      </w:r>
    </w:p>
    <w:p>
      <w:pPr>
        <w:pStyle w:val="Normal"/>
        <w:widowControl/>
        <w:rPr/>
      </w:pPr>
      <w:r>
        <w:rPr/>
        <w:t>carded wool/fine animal hair, over 85% wool or hair, weighing not over 140 g/m2 Hand-woven fabrics of carded wool/fine animal hair, 85% or more wool or hair, loom width less than 76 cm, weight not over 300 g/m2 Woven fabrics, 85% or more by weight of carded wool/fine animal hair, weight not over 300 g/m2, nesoi Tapestry and upholstery fabrics, woven, 85% or more by weight of carded wool/fine animal hair, weight over 300 g/m2 Hand-woven fabrics, with 85 percent or more by weight of carded wool/fine animal hair, loom width of less than 76 cm, weight ov 300 g/m2 Woven fabrics, with 85 percent or more by weight of carded wool/fine animal hair nesoi, weight over 300 g/m2 Tapestry &amp; upholstery fabrics of carded wool/fine animal hair, mixed mainly or solely with man-made filaments, weight exceeding 300 g/m2 Tapestry &amp; upholstery fabrics of carded wool/fine animal hair, mixed mainly or solely with man-made filaments, weight not over 140 g/m2 Woven fabrics of carded wool/fine animal hair, mixed mainly or</w:t>
      </w:r>
    </w:p>
    <w:p>
      <w:pPr>
        <w:pStyle w:val="Normal"/>
        <w:widowControl/>
        <w:rPr/>
      </w:pPr>
      <w:r>
        <w:rPr/>
        <w:t>solely with man-made filaments, nesoi Tapestry &amp; upholstery fabrics of carded wool/fine animal hair, mixed mainly/solely with man-made staple fibers, weight exceeding 300 g/m2 Tapestry &amp; upholstery fabrics of carded wool/fine animal hair, mixed mainly/solely with man-made staple fibers, weight not over 140 g/m2 Woven fabrics of carded wool/fine animal hair, mixed mainly or solely with man-made staple fibers, nesoi Woven fabrics of carded wool/fine animal hair, containing 30 percent</w:t>
      </w:r>
    </w:p>
    <w:p>
      <w:pPr>
        <w:pStyle w:val="Normal"/>
        <w:widowControl/>
        <w:rPr/>
      </w:pPr>
      <w:r>
        <w:rPr/>
        <w:t>or more by weight of silk or silk waste, valued over $33/kg Tapestry and upholstery fabrics of carded wool/fine animal hair, weight over 300 g/m2, containing less than 85% wool or hair, nesoi Tapestry and upholstery fabrics of carded wool/fine animal hair, weight not over 140 g/m2, containing less than 85% wool or hair, nesoi Woven fabrics of carded wool/fine animal hair, containing less than 85% wool or hair, nesoi Tapestry and upholstery fabrics of combed wool/fine animal hair, containing 85% or more wool or hair, weight not over 140 g/m2 Woven fabrics of combed wool/fine animal hair, over 85% wool or hair, weight not over 200 g/m2, avg wool fiber diameter 18.5 micron or &lt; Woven fabrics of combed wool/fine animal hair, over 85% wool or hair, weight not over 200 g/m2, nesoi Tapestry and upholstery fabrics of combed wool/fine animal hair, over 85% wool or hair, weight over 300 g/m2 Woven fabrics of combed wool/fine animal hair, over 85% wool or fine animal hair, ov 200 g/m2, avg</w:t>
      </w:r>
    </w:p>
    <w:p>
      <w:pPr>
        <w:pStyle w:val="Normal"/>
        <w:widowControl/>
        <w:rPr/>
      </w:pPr>
      <w:r>
        <w:rPr/>
        <w:t>wool fiber diameter 18.5 micron or &lt; Woven fabrics of combed wool/fine animal hair, over 85% wool or fine animal hair, weight over 200 g/m2, nesoi Tapestry and upholstery fabrics of combed wool/fine animal hair, mixed mainly/solely with man-made filaments, weight over 300 g/m2 Tapestry and upholstery fabrics of combed wool/fine animal hair, mixed mainly/solely with man-made filaments, weight not over 140 g/m2 Woven fabrics of combed wool/fine animal hair, mixed mainly or solely with man- made</w:t>
      </w:r>
    </w:p>
    <w:p>
      <w:pPr>
        <w:pStyle w:val="Normal"/>
        <w:widowControl/>
        <w:rPr/>
      </w:pPr>
      <w:r>
        <w:rPr/>
        <w:t>filaments, nesoi Tapestry and upholstery fabrics of combed wool/fine animal hair, mixed mainly/solely with man-made staple fibers, weight over 300 g/m2 Tapestry &amp; upholstery fabrics of combed wool/fine animal hair, mixed mainly/solely with man-made staple fibers, weight not over 140 g/m2 Woven fabrics of combed wool/fine animal hair, mixed mainly or solely with man- made staple fibers, nesoi Woven fabrics of combed wool/fine animal hair, nesoi, containing 30 percent or more by weight of silk or silk waste, valued over $33/kg Woven tapestry/upholstery fabrics of combed wool/fine animal hair, con. by wt. under 85% wool/hair &amp; under 30% silk, over 300 g/m2, nesoi Woven tapestry/upholstery fabrics of combed wool/fine animal hair, con. by wt.</w:t>
      </w:r>
    </w:p>
    <w:p>
      <w:pPr>
        <w:pStyle w:val="Normal"/>
        <w:widowControl/>
        <w:rPr/>
      </w:pPr>
      <w:r>
        <w:rPr/>
        <w:t>under 85% wool/hair &amp; under 30% silk, n/o 140 g/m2, nesoi Woven fabrics of combed wool or combed fine animal hair, nesoi Woven fabrics of coarse animal hair or of horsehair Cotton, not carded or combed, having a staple length under 19.05 mm (3/4 inch), harsh or rough Cotton, n/carded or combed, having a staple length &lt; 28.575 mm (1-1/8 inches), n/harsh or rough, described in gen. note 15 Cotton, n/carded or combed, having a staple length &lt; 28.575 mm (1-1/8 inches), n/harsh or rough, quota described in ch 52 add’l US note 5 Cotton, not carded or combed, having a staple length under 28.575 mm (1-1/8 inches), n/harsh or rough, nesoi * Cotton, not carded or combed, staple length of 28.575 mm or more but under 34.925 mm, described in gen.</w:t>
      </w:r>
    </w:p>
    <w:p>
      <w:pPr>
        <w:pStyle w:val="Normal"/>
        <w:widowControl/>
        <w:rPr/>
      </w:pPr>
      <w:r>
        <w:rPr/>
        <w:t>note 15 Cotton,n/carded or combed,harsh or rough,staple length 29.36875 mm or more but n/o 34.925 mm,white in color,quota descrd ch 52 add US note 6 Cotton, not carded or combed, harsh or rough, staple length of 29.36875 mm or more but under 34.925 mm &amp; white in color, nesoi * Cotton, not carded or combed, staple length of 28.575 mm or more but under 34.925 mm, other, quota described in chapter 52 add’l US note 7 Cotton, not carded or combed, staple length of 28.575 mm or more but under 34.925 mm, nesoi * Cotton, not carded or combed, having a staple length of 34.925 mm or more, described in the gen.</w:t>
      </w:r>
    </w:p>
    <w:p>
      <w:pPr>
        <w:pStyle w:val="Normal"/>
        <w:widowControl/>
        <w:rPr/>
      </w:pPr>
      <w:r>
        <w:rPr/>
        <w:t>note 15 Cotton, not carded or combed, having a staple length of 34.925 mm or more, quota described in chapter 52 add’l US note 8 Cotton, not carded or combed, having a staple length of 34.925 mm or more, nesoi * Cotton yarn waste (including thread waste) Cotton garnetted stock Cotton card strips made from cotton waste having staple length under 30.1625 mm &amp; lap, sliver &amp; roving waste described in gen. nte 15 Cotton card strips made from cotton waste w/staple length under 30.1625 mm &amp; lap, sliver &amp; roving waste, quota dscrbd in ch 52 add US note 9 Cotton card strips made from cotton waste having staple length under 30.1625 mm &amp; lap, sliver &amp; roving waste, nesoi * Cotton waste, other than yarn waste and garnetted stock, nesoi Cotton fibers, carded or combed, of cotton fiber processed but not spun, described in gen.</w:t>
      </w:r>
    </w:p>
    <w:p>
      <w:pPr>
        <w:pStyle w:val="Normal"/>
        <w:widowControl/>
        <w:rPr/>
      </w:pPr>
      <w:r>
        <w:rPr/>
        <w:t>note 15 Cotton fibers, carded or combed, of cotton fiber processed but not spun, quota described in chapter 52 add’l US note 10 Cotton fibers, carded or combed, of cotton fiber processed, but not spun, nesoi * Cotton carded or combed, excluding fibers of cotton processed but not spun Cotton sewing thread, containing 85 percent or more by weight of cotton, not put up for retail sale Cotton sewing thread, containing less than 85 percent by weight of cotton, not put up for retail sale Cotton sewing thread, put up for retail sale Single cotton yarn, 85% or more cotton by weight, of uncombed fibers, not over 14 nm, unbleached, not mercerized, not put up for retail sale Single cotton yarn, 85% or more cotton by weight, of uncombed fibers, n/o 14 nm, bleached or mercerized Single cotton yarn, 85% or more cotton, of uncombed fibers, over 14 but n/o 43 nm, unbleached, not mercerized, not put up for retail sale Single cotton yarn, 85% or more cotton by weight,</w:t>
      </w:r>
    </w:p>
    <w:p>
      <w:pPr>
        <w:pStyle w:val="Normal"/>
        <w:widowControl/>
        <w:rPr/>
      </w:pPr>
      <w:r>
        <w:rPr/>
        <w:t>of uncombed fibers, over 14 nm but n/o 43 nm, bleached or mercerized Single cotton yarn, 85% or more cotton, of uncombed fibers, over 43 but n/o 52 nm, unbleached, not mercerized, not put up for retail sale Single cotton yarn, 85% or more cotton, of uncombed fibers, over 43 nm but n/o 52 mm, bleached or mercerized Single cotton yarn, 85% or more cotton, of uncombed fibers, over 52 but n/o 80 nm, unbleached, not mercerized, not put up for retail sale Single cotton yarn, 85% or more cotton by weight, of uncombed fibers, over 52</w:t>
      </w:r>
    </w:p>
    <w:p>
      <w:pPr>
        <w:pStyle w:val="Normal"/>
        <w:widowControl/>
        <w:rPr/>
      </w:pPr>
      <w:r>
        <w:rPr/>
        <w:t>but n/o 80 nm, bleached or mercerized Single cotton yarn, 85% or more cotton, of uncombed fibers, over 80 nm, unbleached, not mercerized, not put up for retail sale Single cotton yarn, 85% or more cotton, of uncombed fibers, over 80 nm, bleached or mercerized, not put up for retail sale, nesoi Single cotton yarn, 85% or more cotton by weight, of combed fibers, not over 14 nm, not put up for retail sale Single cotton yarn, 85% or more cotton by weight, of combed fibers, over 14 but n/o 43 nm, not put up for retail sale Single cotton yarn, 85% or more cotton by weight, of combed fibers, over 43 but n/o 52 nm, not put up for retail sale Single cotton yarn, 85% or more cotton by weight, of combed fibers, over 52 but n/o 80 nm, not put up for retail sale Single cotton yarn,85% or &gt; cotton by wt, of combed fiber, meas.&lt;125 but not&lt;106.38 decitex, &gt;80nm but not &gt;94nm, not put up for retail</w:t>
      </w:r>
    </w:p>
    <w:p>
      <w:pPr>
        <w:pStyle w:val="Normal"/>
        <w:widowControl/>
        <w:rPr/>
      </w:pPr>
      <w:r>
        <w:rPr/>
        <w:t>sale Single cotton yarn,85% or &gt; cotton by wt,of combed fiber,meas.&lt;106.38 but not&lt;83.33 decitex, &gt;94nm but not &gt;120nm,not put up for retail sale Single cotton yarn, 85% or &gt; cotton by wt, of combed fibers, meas.&lt;83.33 decitex, &gt;120 nm, not put up for retail sale Multiple or cabled cotton yarn, 85% or more cotton by weight, of uncombed fibers, n/o 14 nm per single yarn, not put up for retail sale Multiple or cabled cotton yarn, 85% or more cotton by weight, of uncombed fibers, yarn over 14 but n/o 43 nm, not put up for retail sale Multiple or cabled cotton yarn, 85% or more cotton by weight, of</w:t>
      </w:r>
    </w:p>
    <w:p>
      <w:pPr>
        <w:pStyle w:val="Normal"/>
        <w:widowControl/>
        <w:rPr/>
      </w:pPr>
      <w:r>
        <w:rPr/>
        <w:t>uncombed fibers, yarn over 43 but n/o 52 nm, not put up for retail sale Multiple or cabled cotton yarn, 85% or more cotton by weight, of uncombed fibers, yarn over 52 but n/o 80 nm, not put up for retail sale Multiple or cabled cotton yarn, 85% or more cotton by weight, of uncombed fibers, over 80 nm per single yarn, not put up for retail sale Multiple or cabled cotton yarn, 85% or more cotton by weight, of combed fibers, not over 14 nm per single yarn, not put up for retail sale Multiple or cabled cotton yarn, 85% or more cotton by weight, of combed fibers, yarn over 14 but n/o 43 nm, not put up for retail sale Multiple or cabled cotton yarn, 85% or more cotton by weight, of combed fibers, yarn over 43 but n/o 52 nm, not put up for retail sale Multiple or cabled cotton yarn, 85% or more cotton by weight, of combed fibers, yarn over 52 but n/o 80 nm,</w:t>
      </w:r>
    </w:p>
    <w:p>
      <w:pPr>
        <w:pStyle w:val="Normal"/>
        <w:widowControl/>
        <w:rPr/>
      </w:pPr>
      <w:r>
        <w:rPr/>
        <w:t>not put up for retail sale Multiple or cabled cotton yarn, 85% or &gt; cotton by wt, of combed fibers, &gt;80nm but not &gt;94nm/single yarn, not put up for retail sale Multiple or cabled cotton yarn, 85% or &gt; cotton by wt, of combed fibers, &gt;94nm but not &gt;120nm/single yarn, not put up for retail sale Multiple or cabled cotton yarn, 85% or &gt; cotton by wt, of combed fibers, &gt;120nm per single yarn, not put up for retail sale Single cotton yarn, less than 85 percent cotton by weight, of uncombed fibers, not over 14 nm, not put up for retail sale Single cotton yarn, less than 85 percent cotton by weight, of uncombed fibers, over 14 but n/o</w:t>
      </w:r>
    </w:p>
    <w:p>
      <w:pPr>
        <w:pStyle w:val="Normal"/>
        <w:widowControl/>
        <w:rPr/>
      </w:pPr>
      <w:r>
        <w:rPr/>
        <w:t>43 nm, not put up for retail sale Single cotton yarn, less than 85 percent cotton by weight, of uncombed fibers, over 43 but n/o 52 nm, not put up for retail sale Single cotton yarn, less than 85 percent cotton by weight, of uncombed fibers, over 52 but n/o 80 nm, not put up for retail sale Single cotton yarn, less than 85 percent cotton by weight, of uncombed fibers, over 80 nm, not put up for retail sale Single cotton yarn, less than 85 percent cotton by weight, of combed fibers, not over 14 nm, not put up for retail sale Single cotton yarn, less than 85 percent cotton by weight, of combed fibers, over 14 but n/o 43 nm, not put up for retail sale Single cotton yarn, less than 85 percent cotton by weight, of combed fibers, over 43 but n/o 52 nm, not put up for retail sale Single cotton yarn, less than 85 percent cotton by weight, of combed fibers, over 52 but n/o</w:t>
      </w:r>
    </w:p>
    <w:p>
      <w:pPr>
        <w:pStyle w:val="Normal"/>
        <w:widowControl/>
        <w:rPr/>
      </w:pPr>
      <w:r>
        <w:rPr/>
        <w:t>80 nm, not put up for retail sale Single cotton yarn, less than 85 percent cotton by weight, of combed fibers, over 80 nm, not put up for retail sale Multiple or cabled cotton yarn, &lt; 85% cotton by weight, of uncombed fibers, not over 14 nm per single yarn, not put up for retail sale Multiple or cabled cotton yarn, &lt; 85% cotton by weight, of uncombed fibers, over 14 but n/o 43 nm/single yarn, not put up for retail sale Multiple or cabled cotton yarn, &lt; 85% cotton by weight, of uncombed fibers, over 43 but n/o 52 nm/single yarn, not put up for retail sale Multiple or cabled cotton yarn, &lt; 85% cotton by weight, of</w:t>
      </w:r>
    </w:p>
    <w:p>
      <w:pPr>
        <w:pStyle w:val="Normal"/>
        <w:widowControl/>
        <w:rPr/>
      </w:pPr>
      <w:r>
        <w:rPr/>
        <w:t>uncombed fibers, over 52 but n/o 80 nm/single yarn, not put up for retail sale Multiple or cabled cotton yarn, &lt; 85% cotton by weight, of uncombed fibers, over 80 nm per single yarn, not put up for retail sale Multiple or cabled cotton yarn, &lt; 85% cotton by weight, of combed fibers, n/o 14 nm per single yarn, not put up for retail sale Multiple or cabled cotton yarn, &lt; 85% cotton by weight, of combed fibers, over 14 but n/o 43 nm per single yarn, not put up for retail sale Multiple or cabled cotton yarn, &lt; 85% cotton by weight, of combed fibers, over 43 but n/o 52 nm per single yarn, not put up for retail sale Multiple or cabled cotton yarn, &lt; 85% cotton by weight, of combed fibers, over 52 but n/o 80 nm per single yarn, not put up for retail sale Multiple or cabled cotton yarn, &lt; 85% cotton by weight, of combed fibers, over 80 nm per single yarn, not put</w:t>
      </w:r>
    </w:p>
    <w:p>
      <w:pPr>
        <w:pStyle w:val="Normal"/>
        <w:widowControl/>
        <w:rPr/>
      </w:pPr>
      <w:r>
        <w:rPr/>
        <w:t>up for retail sale Cotton yarn, other than sewing thread, containing 85 percent or more cotton by weight, put up for retail sale Cotton yarn, other than sewing thread, containing less than 85 percent cotton by weight, put up for retail sale Woven cotton fabric, 85% or more cotton by weight, plain weave, weight not over 100 g/m2, unbleached, of number 42 or lower Woven cotton fabric, 85% or more cotton by weight, plain weave, weight not over 100 g/m2, unbleached, of numbers 43-68 Woven cotton fabric, 85% or more cotton by weight, plain weave, wt n/o 100 g/m2, unbleached, of number 69 or over, for typewriter ribbon Woven</w:t>
      </w:r>
    </w:p>
    <w:p>
      <w:pPr>
        <w:pStyle w:val="Normal"/>
        <w:widowControl/>
        <w:rPr/>
      </w:pPr>
      <w:r>
        <w:rPr/>
        <w:t>cotton fabric, 85% or more cotton by weight, plain weave, weight not over 100 g/m2, unbleached, of number 69 or over, nesoi Woven cotton fabric, 85% or more cotton by weight, plain weave, weight over 100 but n/o 200 g/m2, unbleached, of numbers 42 or lower Woven cotton fabric, 85% or more cotton by weight, plain weave, weight over 100 but n/o 200 g/m2, unbleached, of numbers 43-68 Woven cotton fabric, 85% or more cotton by weight, plain weave, weight over 100 but n/o 200 g/m2, unbleached, of number 69 or over Unbleached 3- or 4-thread twill fabrics of cotton, incl.</w:t>
      </w:r>
    </w:p>
    <w:p>
      <w:pPr>
        <w:pStyle w:val="Normal"/>
        <w:widowControl/>
        <w:rPr/>
      </w:pPr>
      <w:r>
        <w:rPr/>
        <w:t>cross twill, containing 85% or more of cotton by weight, weighing not over 200 g/m2 Unbleached satin or twill weave fabrics of cotton, containing 85% or more cotton by weight, weighing not more than 200 g/m2, nesoi Unbleached woven fabrics of cotton, nesoi, 85% or more of cotton by weight, weighing not more than 200 g/m2, of number 42 or lower Unbleached woven fabrics of cotton, nesoi, 85% or more of cotton by weight, weighing not more than 200 g/m2, of numbers 43-68 Unbleached woven fabrics of cotton, nesoi, 85% or more of cotton by weight, weighing not more than 200 g/m2, of number 69 or higher Woven cotton fabric, 85 percent or more cotton by weight, plain weave, not over 100 g/m2, bleached, of number 42 or lower Woven cotton fabric, 85% or more cotton by weight, plain weave, not over 100 g/m2, bleached, of numbers 43-68 Woven cotton fabric, 85% or more cotton by weight, plain weave, not over 100 g/m2,</w:t>
      </w:r>
    </w:p>
    <w:p>
      <w:pPr>
        <w:pStyle w:val="Normal"/>
        <w:widowControl/>
        <w:rPr/>
      </w:pPr>
      <w:r>
        <w:rPr/>
        <w:t>bleached, of number 69 or higher Woven cotton fabric, 85% or more cotton by weight, plain weave, over 100 but n/o 200 g/m2, bleached, of number 42 or lower Woven cotton fabric, 85% or more cotton by weight, plain weave, over 100 but n/o 200 g/m2, bleached, of numbers 43-68 Woven cotton fabric, 85% or more cotton by weight, plain weave, over 100 but n/o 200 g/m2, bleached, of number 69 or higher Woven cotton fabric, &gt;= 85% by wt. cotton, &lt;= 200 g/m2, bleached, exc.</w:t>
      </w:r>
    </w:p>
    <w:p>
      <w:pPr>
        <w:pStyle w:val="Normal"/>
        <w:widowControl/>
        <w:rPr/>
      </w:pPr>
      <w:r>
        <w:rPr/>
        <w:t>plain weave, 3- or 4-thread twill Bleached satin or twill weave fabrics, containing 85% or more cotton by weight, weighing not more than 200 g/m2, nesoi Bleached woven fabrics of cotton, nesoi, 85% or more cotton by weight, weighing not more than 200 g/m2, of number 42 or lower Bleached woven fabrics of cotton, nesoi, containing 85% or more cotton by weight, weighing not more than 200 g/m2, of numbers 43-68 Bleached woven fabrics of cotton, nesoi, containing 85% or more cotton by weight, weighing not more than 200 g/m2, of number 69 or higher Dyed plain weave certified hand-loomed fabrics of cotton, containing 85% or more cotton by weight, weighing not more than 100 g/m2 Dyed plain weave fabrics of cotton, containing 85% or more cotton by weight, weighing not more than 100 g/m2, of number 42 or lower, nesoi Dyed plain weave fabrics of cotton, containing 85% or more cotton by weight, weighing not more than 100 g/m2, of numbers 43-68, nesoi Dyed plain weave fabrics of cotton, containing 85% or more cotton by weight,</w:t>
      </w:r>
    </w:p>
    <w:p>
      <w:pPr>
        <w:pStyle w:val="Normal"/>
        <w:widowControl/>
        <w:rPr/>
      </w:pPr>
      <w:r>
        <w:rPr/>
        <w:t>weighing not more than 100 g/m2, of number 69 or higher, nesoi Dyed plain weave certified hand-loomed fabrics of cotton, cont.</w:t>
      </w:r>
    </w:p>
    <w:p>
      <w:pPr>
        <w:pStyle w:val="Normal"/>
        <w:widowControl/>
        <w:rPr/>
      </w:pPr>
      <w:r>
        <w:rPr/>
        <w:t>85% or more cotton by weight, weighing over 100 g/m2 but not over 200 g/m2 Dyed plain weave fabrics of cotton, nesoi, 85% or more cotton by weight, over 100 g/m2 but not more than 200 g/m2, of number 42 or lower Dyed plain weave fabrics of cotton, nesoi, 85% or more cotton by weight, over 100 g/m2 but not more than 200 g/m2, of numbers 43-68 Dyed plain weave fabrics of cotton, nesoi, 85% or more cotton by weight, over 100 g/m2 but not more than 200 g/m2, of number 69 or higher Dyed 3- or 4-thread twill fabrics of cotton, including cross twill, 85% or more cotton by weight, weighing not more than 200 g/m2 Dyed satin or twill weave fabrics of cotton, containing 85% or more cotton by weight, weighing not more than 200 g/m2, nesoi Dyed woven fabrics of cotton, nesoi, containing 85% or more cotton by weight, weighing not more than 200 g/m2, of number 42 or lower Dyed woven fabrics of cotton, nesoi, containing</w:t>
      </w:r>
    </w:p>
    <w:p>
      <w:pPr>
        <w:pStyle w:val="Normal"/>
        <w:widowControl/>
        <w:rPr/>
      </w:pPr>
      <w:r>
        <w:rPr/>
        <w:t>85% or more cotton by weight, weighing not more than 200 g/m2, of numbers 43-68 Dyed woven fabrics of cotton, nesoi, containing 85% or more cotton by weight, weighing not more than 200 g/m2, of number 69 or higher Plain weave certified hand-loomed fabrics of cotton, 85% or more cotton by weight, weighing not over 100 g/m2, of yarns of different colors Plain weave fabrics of cotton, 85% or more cotton by weight, weighing not over 100 g/m2, number 42</w:t>
      </w:r>
    </w:p>
    <w:p>
      <w:pPr>
        <w:pStyle w:val="Normal"/>
        <w:widowControl/>
        <w:rPr/>
      </w:pPr>
      <w:r>
        <w:rPr/>
        <w:t>or lower, of yarns of different colors Plain weave fabrics of cotton, 85% or more cotton by weight, weighing not over 100 g/m2, of numbers 43-68, of yarns of different colors Plain weave fabrics of cotton, 85% or more cotton by weight, weighing not over 100 g/m2, of number 69 or higher, of yarn of different colors Plain weave certified hand-loomed fabrics of cotton, 85% or more cotton by weight, over 100 but n/o 200 g/m2, of yarns of different colors Plain weave fabrics of cotton, 85% or more cotton by weight, over 100 but n/o 200 g/m2, of numbers 42 or lower, of yarns of different colors Plain weave fabrics of cotton, 85% or more cotton by weight, over 100 but n/o 200 g/m2, of numbers 43-68, of yarns of different colors Plain weave fabrics of cotton, 85% or more cotton by weight, over 100 but n/o 200 g/m2, number 69 or higher, of yarns of different colors 3- or 4-thread twill fabrics of cotton, including cross twill, 85% or more cotton by weight, not over 200 g/m2, of yarns of different colors Satin or twill weave fabrics of cotton, cont.</w:t>
      </w:r>
    </w:p>
    <w:p>
      <w:pPr>
        <w:pStyle w:val="Normal"/>
        <w:widowControl/>
        <w:rPr/>
      </w:pPr>
      <w:r>
        <w:rPr/>
        <w:t>85% or more cotton by weight, weighing not over 200 g/m2, of yarns of different colors, nesoi Woven fabrics of cotton, nesoi, 85% or more cotton by weight, wt not more than 200 g/m2, of number 42 or lower, of yarns of different colors Woven fabrics of cotton, nesoi, 85% or more cotton by weight, wt not over 200 g/m2, of numbers 43-68, of yarns of different colors Woven fabrics of cotton, nesoi, 85% or more cotton by weight, wt not over 200 g/m2, of number 69 or higher, of yarns of different colors Printed certified hand-loomed plain weave fabrics of cotton, 85% or more cotton by weight, weighing not over 100 g/m2 Printed plain weave fabrics of cotton, containg 85% or more cotton by weight, weighing not over 100 g/m2, of number 42 or lower Printed plain weave fabrics of cotton, containing 85% or more cotton by weight, weighing not over 100 g/m2, of numbers 43-68 Printed plain weave fabrics of cotton, containg 85% or more cotton by weight,</w:t>
      </w:r>
    </w:p>
    <w:p>
      <w:pPr>
        <w:pStyle w:val="Normal"/>
        <w:widowControl/>
        <w:rPr/>
      </w:pPr>
      <w:r>
        <w:rPr/>
        <w:t>weighing not over 100 g/m2, of number 69 or higher Printed certified hand-loomed plain weave fabrics of cotton, 85% or more cotton by weight, wt more than 100 g/m2 but not more than 200 g/m2 Printed plain weave fabrics of cotton, 85% or more cotton by weight, weighing over 100g/m2 but not more than 200 g/m2, of number 42 or lower Printed plain weave fabrics of cotton, 85% or more cotton by weight, weighing over 100 g/m2 but not more than 200 g/m2, of numbers 43-68 Printed plain weave fabrics of cotton, 85% or more cotton by weight, weighing</w:t>
      </w:r>
    </w:p>
    <w:p>
      <w:pPr>
        <w:pStyle w:val="Normal"/>
        <w:widowControl/>
        <w:rPr/>
      </w:pPr>
      <w:r>
        <w:rPr/>
        <w:t>over 100g/m2 but not more than 200g/m2, of number 69 or higher Printed 3- or 4-thread twill fabrics of cotton, including cross twill, 85% or more cotton by weight, weighing not more than 200 g/m2 Printed satin or twill weave fabrics of cotton, containing 85% or more cotton by weight, weighing not more than 200 g/m2, nesoi Printed woven fabrics of cotton, nesoi, containing 85% or more cotton by weight, weighing not more than 200 g/m2, of number 42 or lower Printed woven fabrics of cotton, nesoi, containing 85% or more cotton by weight, weighing not more than 200 g/m2, of numbers 43-68 Printed woven fabrics of cotton, nesoi, containing 85% or more cotton by weight, weighing not more than 200 g/m2, of number 69 or higher Unbleached plain weave fabrics of cotton, 85 percent or more cotton by weight, weight more than 200 g/m2 Unbleached 3- or 4-thread twill fabrics of cotton, including cross twill, 85 percent or more cotton by weight, weighing more than 200 g/m2 Unbleached woven</w:t>
      </w:r>
    </w:p>
    <w:p>
      <w:pPr>
        <w:pStyle w:val="Normal"/>
        <w:widowControl/>
        <w:rPr/>
      </w:pPr>
      <w:r>
        <w:rPr/>
        <w:t>fabrics of cotton, nesoi, containing 85% or more cotton by weight, weighing more than 200g/m2 Bleached plain weave fabrics of cotton, 85% or more cotton by weight, weighing more than 200 g/m2 Bleached 3- or 4-thread twill fabrics of cotton, including cross twill, 85 percent or more cotton by weight, weighing more than 200 g/m2 Bleached woven fabrics of cotton, nesoi, containing 85% or more cotton by weight, weighing more than 200g/m2 Dyed, plain weave certified hand-loomed fabrics of cotton, containing</w:t>
      </w:r>
    </w:p>
    <w:p>
      <w:pPr>
        <w:pStyle w:val="Normal"/>
        <w:widowControl/>
        <w:rPr/>
      </w:pPr>
      <w:r>
        <w:rPr/>
        <w:t>85% or more cotton by weight, weighing more than 200 g/m2 Dyed, plain weave fabrics of cotton, containing 85% or more cotton by weight, weighing more than 200 g/m2, nesoi Dyed 3- or 4-thread twill fabrics of cotton, including cross twill, containing 85% or more cotton by weight, weighing more than 200 g/m2 Dyed woven fabrics of cotton, nesoi, containing 85% or more cotton by weight, weighing more than 200 g/m2 Plain weave certified hand-loomed fabrics of cotton, cont. 85% or more cotton by weight,weighing over 200 g/m2, of yarns of different colors Plain weave fabrics of cotton, nesoi, containing 85% or more cotton by weight, weighing more than 200 g/m2, of yarns of different colors Denim containing 85% or more cotton by weight, weighing more than 200 g/m2, of yarns of different colors 3- or 4-thread twill fabrics of cotton,incl.</w:t>
      </w:r>
    </w:p>
    <w:p>
      <w:pPr>
        <w:pStyle w:val="Normal"/>
        <w:widowControl/>
        <w:rPr/>
      </w:pPr>
      <w:r>
        <w:rPr/>
        <w:t>cross twill, nesoi, 85% or more cotton by wt, weighing ov 200g/m2, of yarns of different colors Woven fabrics of cotton, nesoi, containing 85% or more cotton by weight, weighing more than 200 g/m2, of yarns of different colors Printed plain weave certified hand-loomed fabrics of cotton, containing 85% or more cotton by weight, weighing more than 200 g/m2 Printed plain weave fabrics of cotton, nesoi, containing 85% or more cotton by weight, weighing more than 200 g/m2 Printed 3- or 4-thread twill fabrics of cotton, including cross twill, containing 85% or more cotton by weight, weighing more than 200 g/m2 Printed woven fabrics of cotton, nesoi, containing 85% or more cotton by weight, weighing more than 200 g/m2 Unbleached plain weave fabrics of cotton, &lt; 85% cotton, mixed mainly/solely with man-made fibers, wt &lt; 200 g/m2, of number 42 or lower Unbleached plain weave fabrics of cotton, &lt; 85% cotton, mixed mainly/solely with man-made fibers, wt &lt; 200 g/m2, of numbers 43-68 Unbleached plain weave fabrics of cotton, &lt; 85% cotton, mixed mainly/solely with man-made fibers, wt &lt; 200 g/m2, of number 69 or higher Unbleached 3- or 4-thread twill fabrics of cotton, incl.</w:t>
      </w:r>
    </w:p>
    <w:p>
      <w:pPr>
        <w:pStyle w:val="Normal"/>
        <w:widowControl/>
        <w:rPr/>
      </w:pPr>
      <w:r>
        <w:rPr/>
        <w:t>cross twill, &lt; 85% cotton by wt, mixed mainly/solely with mm fibers, n/o 200 g/m2 Unbleached satin or twill weave fabrics of cotton, &lt; 85% cotton by wt, mixed mainly/solely with man-made fibers, not more than 200 g/m2 Unbleached woven fabrics of cotton, nesoi, &lt; 85% cotton by wt, mixed mainly/solely with man-made fibers, n/o 200 g/m2, of number 42 or lower Unbleached woven fabrics of cotton, nesoi, &lt; 85% cotton by wt, mixed mainly/solely with man-made fibers, n/o 200 g/m2, of numbers 43-68 Unbleached woven fabrics of cotton, nesoi, &lt; 85% cotton by wt, mixed mainly/solely w/man-made fibers, n/o 200 g/m2, of number 69 or higher Bleached plain weave fabrics of cotton, &lt; 85% cotton by wt, mixed mainly/solely with man-made fibers, n/o 200 g/m2, of number 42 or lower Bleached plain weave fabrics of cotton, &lt; 85% cotton by wt, mixed mainly/solely with man-made fibers, not over 200 g/m2, of numbers 43-68 Bleached plain weave fabrics of cotton, &lt; 85% cotton by wt, mixed mainly/solely with man-made fibers, n/o 200 g/m2, of number 69 or higher Bleached 3- or 4-thread twill fabrics of cotton, incl.</w:t>
      </w:r>
    </w:p>
    <w:p>
      <w:pPr>
        <w:pStyle w:val="Normal"/>
        <w:widowControl/>
        <w:rPr/>
      </w:pPr>
      <w:r>
        <w:rPr/>
        <w:t>cross twill, &lt; 85% cotton by wt, mixed mainly/solely w/man-made fibers, n/o 200 g/m2 Bleached satin or twill weave fabrics of cotton, &lt; 85% cotton by weight, mixed mainly/solely with man-made fibers, not more than 200 g/m2 Bleached woven fabrics of cotton, nesoi, &lt; 85% cotton by weight, mixed mainly/solely w/man-made fibers, n/o 200 g/m2, of number 42 or lower Bleached woven fabrics of cotton, nesoi, &lt; 85% cotton by weight, mixed mainly/solely with man-made fibers, n/o 200 g/m2, of numbers 43-68 Bleached woven fabrics of cotton, nesoi, &lt; 85% cotton by wt, mixed mainly/solely with man-made fibers, n/o 200 g/m2, of number 69 or higher Dyed plain weave fabrics of cotton, &lt; 85% cotton by wt, mixed mainly/solely with man- made fibers, not over 200 g/m2, of number 42 or lower Dyed plain weave fabrics of cotton, &lt; 85% cotton by wt, mixed mainly/solely with man- made fibers, not over 200 g/m2, of numbers 43-68 Dyed plain weave cotton fabrics, &lt; 85% cotton by wt, mixed mainly/solely with man- made fibers, not over 200 g/m2, of number 69 or higher Dyed 3 or 4-thread twill fabrics of cotton, incl.</w:t>
      </w:r>
    </w:p>
    <w:p>
      <w:pPr>
        <w:pStyle w:val="Normal"/>
        <w:widowControl/>
        <w:rPr/>
      </w:pPr>
      <w:r>
        <w:rPr/>
        <w:t>cross twill, &lt; 85% cotton by wt, mixed mainly/solely with man-made fibers, wt n/o 200 g/m2 Dyed satin or twill weave fabrics of cotton, &lt; 85% cotton by wt, mixed mainly/solely with man-made fibers, weighing not more than 200 g/m2 Dyed woven fabrics of cotton, nesoi, &lt; 85% cotton by weight, mixed mainly/solely w/man-made fibers, not over 200 g/m2, of number 42 or lower Dyed woven fabrics of cotton, nesoi, &lt; 85% cotton by weight, mixed mainly/solely w/man-made fibers, not over 200 g/m2, of numbers 43-68 Dyed woven fabrics of cotton, nesoi, &lt; 85% cotton by wt, mixed mainly/solely w/man made fibers, not over 200 g/m2, of number 69 or higher Plain weave cotton fabrics, &lt; 85% cotton by wt, mixed mainly/solely w/mm fibers, n/o 200 g/m2, of number 42 or lower, of yarn of diff colors Plain weave cotton fabrics, &lt; 85% cotton by wt, mixed mainly/solely w/mm fibers, n/o 200 g/m2, of numbers 43-68, of yarn of different colors Plain weave cotton fabrics, &lt; 85% cotton by wt, mixed mainly/solely w/mm fibers, n/o 200 g/m2, number 69 or higher, of yarn of diff colors 3- or 4-thread twill fabrics of cotton,incl.</w:t>
      </w:r>
    </w:p>
    <w:p>
      <w:pPr>
        <w:pStyle w:val="Normal"/>
        <w:widowControl/>
        <w:rPr/>
      </w:pPr>
      <w:r>
        <w:rPr/>
        <w:t>cross twill,&lt; 85% cotton by wt,mixed mainly/solely w/mm fibers,n/o 200 g/m2,of yarn diff colors Satin or twill weave fabrics of cotton,&lt; 85% cotton by wt,mixed mainly/solely w/mm fibers, wt n/o 200g/m2, of yarn of different colors,nesoi Woven fabrics of cotton,nesoi,&lt; 85% cotton by wt,mixed mainly/solely w/mm fibers, n/o 200g/m2, of number 42 or lower, of yarn of diff colors Woven fabrics of cotton,nesoi,&lt; 85% cotton by wt,mixed mainly/solely w/man-made fibers, n/o 200 g/m2, numbers 43-68, of yarn of diff colors Woven fabrics of cotton, nesoi, &lt; 85% cotton by wt, mixed mainly with m-m fibers, n/o 200 g/m2, number 69 or higher, of yarn of diff colors Printed plain weave cotton fabrics, &lt; 85% cotton by wt, mixed mainly/solely with man- made fibers, n/o 200 g/m2, of number 42 or lower Printed plain weave cotton fabrics, &lt; 85% cotton by wt, mixed mainly/solely with man- made fibers, n/o 200 g/m2, of numbers 43-68 Printed plain weave cotton fabrics, &lt; 85% cotton by weight, mixed mainly/solely with man-made fibers, n/o 200 g/m2, of number 69 or higher Printed 3- or 4-thread twill fabrics of cotton, incl.</w:t>
      </w:r>
    </w:p>
    <w:p>
      <w:pPr>
        <w:pStyle w:val="Normal"/>
        <w:widowControl/>
        <w:rPr/>
      </w:pPr>
      <w:r>
        <w:rPr/>
        <w:t>cross twill, &lt; 85% cotton by wt, mixed mainly/solely w/man-made fibers, n/o 200 g/m2 Printed satin or twill weave cotton fabrics, nesoi, &lt; 85% cotton by wt, mixed mainly/solely with man-made fibers, weighing n/o 200 g/m2 Printed woven fabrics of cotton, nesoi, &lt; 85% cotton by wt, mixed mainly/solely with man-made fibers, wt n/o 200g/m2, of number 42 or lower Printed woven fabrics of cotton, nesoi, &lt; 85% cotton by wt, mixed mainly/solely with man-made fibers, weighing n/o 200g/m2, of numbers 43-68 Printed woven fabrics of cotton, nesoi, &lt; 85% cotton by wt, mixed mainly/solely w/man-made fibers, weighing n/o 200g/m2, number 69 or higher Unbleached plain weave fabrics of cotton, &lt; 85% cotton by wt, mixed mainly/solely with man-made fibers, over 200 g/m2 Unbleached 3- or 4-thread twill fabrics of cotton, incl. cross twill, &lt; 85% cotton by wt, mixed mainly/solely w/man-made fiber, ov 200 g/m2 Unbleached woven fabrics of cotton, nesoi, containing &lt; 85% cotton by weight, mixed mainly/solely with man-made fibers, more than 200 g/m2 Bleached plain weave fabrics of cotton, &lt; 85% cotton by weight, mixed mainly/solely with man-made fibers, over 200 g/m2 Bleached 3- or 4-thread twill fabrics of cotton, incl.</w:t>
      </w:r>
    </w:p>
    <w:p>
      <w:pPr>
        <w:pStyle w:val="Normal"/>
        <w:widowControl/>
        <w:rPr/>
      </w:pPr>
      <w:r>
        <w:rPr/>
        <w:t>cross twill, &lt; 85% cotton by wt, mixed mainly/solely w/man-made fibers, over 200 g/m2 Bleached woven fabrics of cotton, nesoi, containing &lt; 85% cotton by weight, mixed mainly/solely with man-made fibers, more than 200g/m2 Dyed plain weave fabrics of cotton, containing &lt; 85% cotton by weight, mixed mainly/solely with man-made fibers, more than 200 g/m2 Dyed 3- or 4-thread twill fabrics of cotton, incl.</w:t>
      </w:r>
    </w:p>
    <w:p>
      <w:pPr>
        <w:pStyle w:val="Normal"/>
        <w:widowControl/>
        <w:rPr/>
      </w:pPr>
      <w:r>
        <w:rPr/>
        <w:t>cross twill, &lt; 85% cotton by wt, mixed mainly/solely w/man-made fibers, more than 200g/m2 Dyed woven fabrics of cotton, nesoi, &lt; 85% cotton by weight, mixed mainly/solely with man-made fibers, weighing more than 200g/m2 Plain weave fabrics of cotton, &lt; 85% cotton by weight, mixed mainly/solely with man- made fibers, over 200g/m2, of yarns of different colors Denim containing &lt; 85% cotton by wt, mixed mainly/solely w/man-made fibers, weighing &gt; 200 g/m2, of yarns of different colors 3-or 4-thread twill fab of cotton,incl cross twill,nesoi,&lt; 85% cotton wt,mixed mainly/solely w/mm fibers,ov 200 g/m2, of yarn of diff colors Woven fabrics of cotton, nesoi, &lt; 85% cotton by weight, mixed mainly/solely w/manmade fibers, over 200g/m2, of yarns of different colors Printed plain weave fabrics of cotton, &lt; 85% cotton by wt, mixed mainly/solely with man-made fibers, weighing more than 200g/m2 Printed 3- or 4-thread twill fabrics of cotton, incl cross twill, &lt; 85% cotton by wt, mixed mainly/solely with man-made fibers, over 200g/m2 Printed woven fabrics of cotton, nesoi, &lt; 85% cotton by</w:t>
      </w:r>
    </w:p>
    <w:p>
      <w:pPr>
        <w:pStyle w:val="Normal"/>
        <w:widowControl/>
        <w:rPr/>
      </w:pPr>
      <w:r>
        <w:rPr/>
        <w:t>weight, mixed mainly/solely with man-made fibers, weighing more than 200g/m2 Other woven fabrics of cotton, containing 36% or more by weight of wool or fine hair, weighing not more than 200 g/m2, unbleached Other woven fabrics of cotton, nesoi, weighing not more than 200 g/m2, unbleached Other woven fabrics of cotton, containing 36% or more by weight of wool or fine hair, weighing not more than 200 g/m2, bleached Other woven fabrics of cotton, nesoi, weighing not more than 200 g/m2, bleached Other woven fabrics of cotton, containing 36% or more by weight of wool or fine hair, weighing not more than 200 g/m2, dyed Other woven fabrics of cotton, nesoi, weighing not more than 200 g/m2, dyed Other woven fabrics of cotton, containing 36% or more of wool or fine hair, weighing not more than 200 g/m2, of yarns of different colors Other woven fabrics of cotton, nesoi, weighing not more than 200 g/m2, of yarns of different colors Other woven fabrics of cotton, containing 36% or more by</w:t>
      </w:r>
    </w:p>
    <w:p>
      <w:pPr>
        <w:pStyle w:val="Normal"/>
        <w:widowControl/>
        <w:rPr/>
      </w:pPr>
      <w:r>
        <w:rPr/>
        <w:t>weight of wool or fine hair, weighing not more than 200 g/m2, printed Other woven fabrics of cotton, nesoi, weighing not more than 200 g/m2, printed Other woven fabrics of cotton, containing 36% or more by weight of wool or fine hair, weighing more than 200 g/m2, unbleached Other woven fabrics of cotton, nesoi, weighing more than 200 g/m2, unbleached Other woven fabrics of cotton, containing 36% or more by weight of wool or fine hair, weighing more than 200 g/m2, bleached Other woven fabrics of cotton,</w:t>
      </w:r>
    </w:p>
    <w:p>
      <w:pPr>
        <w:pStyle w:val="Normal"/>
        <w:widowControl/>
        <w:rPr/>
      </w:pPr>
      <w:r>
        <w:rPr/>
        <w:t>nesoi, weighing more than 200 g/m2, bleached Other woven fabrics of cotton, containing 36% or more by weight of wool or fine hair, weighing more than 200 g/m2, dyed Other woven fabrics of cotton, nesoi, weighing more than 200 g/m2, dyed Other woven fabrics of cotton,containing 36% or more by weight of wool or fine hair,weighing more than 200 g/m2,of yarns of different colors Other woven fabrics of cotton, nesoi, weighing more than 200 g/m2, of yarns of different colors Other woven fabrics of cotton, containing 36% or more by weight of wool or fine hair, weighing more than 200 g/m2, printed Other woven fabrics of cotton, nesoi, weighing more than 200 g/m2, printed Flax, raw or retted Flax, broken or scutched Flax, hackled or otherwise processed, except broken or scutched but not spun Flax tow and waste (including yarn waste and garnetted stock) True hemp, raw or retted True hemp, processed but not spun;</w:t>
      </w:r>
    </w:p>
    <w:p>
      <w:pPr>
        <w:pStyle w:val="Normal"/>
        <w:widowControl/>
        <w:rPr/>
      </w:pPr>
      <w:r>
        <w:rPr/>
        <w:t>tow and waste of true hemp (including yarn waste and garnetted stock) Jute and other textile bast fibers (excluding flax, true hemp and ramie), raw or retted Jute and other textile bast fibers (excluding flax, true hemp and ramie), processed but not spun; tow and waste of these fibers Coconut, abaca, ramie, other veg. fibers, nesoi, raw or processed, not spun; tow noils and their wastes (incl.</w:t>
      </w:r>
    </w:p>
    <w:p>
      <w:pPr>
        <w:pStyle w:val="Normal"/>
        <w:widowControl/>
        <w:rPr/>
      </w:pPr>
      <w:r>
        <w:rPr/>
        <w:t>yarn waste and garnetted stoc Flax yarn, single Flax yarn, multiple (folded) or cabled Yarn of jute or other textile bast fibers (excluding flax, true hemp, and ramie), single Yarn of jute or other textile bast fibers (excluding flax, true hemp, and ramie), multiple (folded) or cabled Coir yarn True hemp yarn Paper yarn Yarn of other vegetable textile fibers, nesoi Woven fabrics of flax, containing 85 percent or more by weight of flax, unbleached or bleached Woven fabrics of flax, containing 85 percent or more by weight of flax, other than unbleached or bleached Woven fabrics of flax, containing less than 85% by weight of flax, containing over 17% of wool or fine animal hair, unbleached or bleached Woven fabrics of flax, &lt; 85% by wt of flax, unbleached or bleached, containing &lt; 17% by wt of wool and containing cotton and manmade fibers Woven fabrics of flax, containing less than 85 percent by weight of flax, unbleached or bleached, nesoi Woven fabrics of flax, containing &lt; 85% by</w:t>
      </w:r>
    </w:p>
    <w:p>
      <w:pPr>
        <w:pStyle w:val="Normal"/>
        <w:widowControl/>
        <w:rPr/>
      </w:pPr>
      <w:r>
        <w:rPr/>
        <w:t>wt of flax, contain over 17% by wt of wool or fine animal hair, other than unbleached or bleached Woven fabrics of flax, less than 85% by wt of flax, containing less than 17% by wt of wool and containing cotton and manmade fibers, nesoi Woven fabrics of flax, containing less than 85 percent by weight of flax, other than unbleached or bleached, nesoi Unbleached woven fabrics of jute or of other textile bast fibers of heading 5303 Woven fabrics of jute or of other textile bast fibers of heading 5303,</w:t>
      </w:r>
    </w:p>
    <w:p>
      <w:pPr>
        <w:pStyle w:val="Normal"/>
        <w:widowControl/>
        <w:rPr/>
      </w:pPr>
      <w:r>
        <w:rPr/>
        <w:t>other than unbleached Woven fabrics of other vegetable textile fibers, containing more than 17% by weight of wool or fine animal hair Woven fabrics of other vegetable textile fibers, containing cotton and manmade fibers, nesoi Woven fabrics of other vegetable textile fibers, nesoi Woven fabrics of paper yarn Sewing thread of synthetic filaments, whether or not put up for retail sale Sewing thread of artificial filaments, whether or not put up for retail sale Single high tenacity yarn of aramids, not put up for retail sale Multiple (folded) or cabled high tenacity yarn (except sewing thread) of aramids, not put up for retail sale Single high tenacity yarn of nylon or polyamides (except aramids), not put up for retail sale Multiple (folded) or cabled high tenacity yarn (except sewing thread) of nylon or other polyamides (except aramids), not put up for retail s Single high tenacity yarn of polyesters, not put up for retail sale Multiple (folded) or cabled high tenacity yarn (except sewing thread) of polyesters, not put up</w:t>
      </w:r>
    </w:p>
    <w:p>
      <w:pPr>
        <w:pStyle w:val="Normal"/>
        <w:widowControl/>
        <w:rPr/>
      </w:pPr>
      <w:r>
        <w:rPr/>
        <w:t>for retail sale Single textured yarn, of nylon or other polyamides, measuring not more than 500 decitex, not put up for retail sale Multiple or cabled textured yarn (except sewing thread), of polyamides, single yarn not more than 500 decitex, not put up for retail sale Single textured yarn, of nylon or other polyamides, measuring more than 500 decitex, not put up for retail sale Multiple or cabled textured yarn (except sewing thread), of polyamides, single</w:t>
      </w:r>
    </w:p>
    <w:p>
      <w:pPr>
        <w:pStyle w:val="Normal"/>
        <w:widowControl/>
        <w:rPr/>
      </w:pPr>
      <w:r>
        <w:rPr/>
        <w:t>yarn more than 500 decitex, not put up for retail sale Single textured yarn of polyesters, not put up for retail sale Multiple or cabled textured yarn (except sewing thread), of polyesters, not put up for retail sale Single textured polypropylene yarn, not put up for retail sale Multiple or cabled textured polypropylene yarn (except sewing thread), not put up for retail sale Single textured yarn, nesoi, not put up for retail sale Multiple or cabled textured yarn (except sewing thread), nesoi, not put up for retail sale Single elastomeric yarns, monofil, untwisted or with a twist not exceeding 50 turns per meter, not for retail sale Synth filament yarn, for doll wigs, of colored multifil, untwisted/with twist &lt; 5 turns/meter, of nylon or other polyamide, not retail sale Syn filament yarn (not for doll wigs), of colored multifil, untwisted/with twist &lt; 5 turns/meter, of nylon or o/polyamides, not retail sale Non-textured yarn of polyesters, partially oriented, single, untwisted or with a twist not exceeding 50 turns/m, not put up</w:t>
      </w:r>
    </w:p>
    <w:p>
      <w:pPr>
        <w:pStyle w:val="Normal"/>
        <w:widowControl/>
        <w:rPr/>
      </w:pPr>
      <w:r>
        <w:rPr/>
        <w:t>for retail sale Single yarn, twist of 0-50 turns/m, wholly polyester, 75-80 decitex, 24 filaments, nesoi, not put up for retail sale Single yarn, twist of 0-50 turns/m, other than wholly of polyester, nesoi, not put up for retail sale Non-textured polypropylene yarns, monofil, untwisted or with a twist not exceeding 50 turns per meter, not for retail sale Colored multifilament yarn to be used to make wigs for dolls, of modacrylic, untwisted or</w:t>
      </w:r>
    </w:p>
    <w:p>
      <w:pPr>
        <w:pStyle w:val="Normal"/>
        <w:widowControl/>
        <w:rPr/>
      </w:pPr>
      <w:r>
        <w:rPr/>
        <w:t>twisted, &lt; 5 turns per meter, not for retail sale Other yarns, monofil; multifil, untwisted or twisted &gt; or = to 5, not exceeding 50 turns per meter of other synthetic, not for retail sale Nylon or other polyamide yarns, single, with a twist exceeding 50 turns/m, not put up for retail sale Single yarn, twist exceeding 50 turns/m, wholly polyester, 75-80 decitex, 24 filaments, nesoi, not put up for retail sale Single yarn, twist exceeding 50 turns/m, other than wholly of polyester, nesoi, not put up for retail sale Synthetic filament yarn of polypropylene: single other twisted yarns exc nylon/polyester, &gt;50 turns/M, not put up for retail sale Synthetic filament yarn nesoi:</w:t>
      </w:r>
    </w:p>
    <w:p>
      <w:pPr>
        <w:pStyle w:val="Normal"/>
        <w:widowControl/>
        <w:rPr/>
      </w:pPr>
      <w:r>
        <w:rPr/>
        <w:t>single other twisted yarns exc nylon/polyester, &gt;50 turns/M, not put up for retail sale Nylon or other polyamide yarn, multiple (folded) or cabled, (except sewing thread), not put up for retail sale Polyester yarn, multiple (folded) or cabled, (except sewing thread), not put up for retail sale Synthetic filament yarn exc sewing thread of polypropylene, not for retail sale inc monofilament &lt;67 decitex:other yarn multiple (folded) or cabled Synthetic filament yarn exc sewing thread nesoi, not for retail sale inc monofilament &lt;67 decitex:other yarn multiple (folded) or cabled Single high tenacity yarn of viscose rayon, not put up for retail sale Multiple (folded) or cabled high tenacity yarn of viscose rayon (except sewing thread), not put up for retail sale Single yarn of viscose rayon (not high ten.</w:t>
      </w:r>
    </w:p>
    <w:p>
      <w:pPr>
        <w:pStyle w:val="Normal"/>
        <w:widowControl/>
        <w:rPr/>
      </w:pPr>
      <w:r>
        <w:rPr/>
        <w:t>or sewing thread), untwisted or with a twist not over 120 turns/m, not put up for retail sale Single yarn of viscose rayon (not high ten. or sewing thread), with twist exceeding 120 turns/m, not put up for retail sale Single yarn of cellulose acetate (not high ten. or sewing thread), not put up for retail sale Single textured artificial filament yarn (other than sewing thread), not put up for retail sale Artificial filament yarn nesoi, single, not put up for retail sale Viscose rayon yarn (except sewing thread), multiple (folded) or cabled, not put up for retail sale Yarn of cellulose acetate (except sewing thread) multiple (folded) or cabled, not put up for retail sale Multiple (folded) or cabled textured artificial filament yarn (other than sewing thread), not put up for retail sale Multiple (folded) or cabled non-textured artificial filament yarn (other than sewing thread), not put up for retail sale Synthetic monofilament (exc.</w:t>
      </w:r>
    </w:p>
    <w:p>
      <w:pPr>
        <w:pStyle w:val="Normal"/>
        <w:widowControl/>
        <w:rPr/>
      </w:pPr>
      <w:r>
        <w:rPr/>
        <w:t>polypropylene), elastomeric, of 67 decitex or more and with no cross-sectional dimension &gt; 1 mm, nesoi Polypropylene monofilament of 67 decitex or more (not racket strings), and with no cross-sectional dim. &gt; 1 mm, not over 254 mm in length Polypropylene monofilament of 67 decitex or more (not racket strings), and with no cross-sectional dim. &gt; 1 mm, over 254 mm in length Racket strings of synthetic monofilament of 67 decitex or more and of which no cross- sectional dimension exceeds 1 mm Synthetic monofilament (exc.</w:t>
      </w:r>
    </w:p>
    <w:p>
      <w:pPr>
        <w:pStyle w:val="Normal"/>
        <w:widowControl/>
        <w:rPr/>
      </w:pPr>
      <w:r>
        <w:rPr/>
        <w:t>polypropylene), of 67 decitex or more and with no cross- sectional dimension &gt; 1 mm, nesoi Strip and the like of synthetic textile materials of an apparent width not exceeding 5 mm Artificial monofilament of 67 decitex or more and of which no cross-sectional dimension exceeds 1 mm Strip and the like of artificial textile materials of an apparent width not exceeding 5 mm Synthetic filament yarn (except sewing thread), put up for retail sale Artificial filament yarn (except sewing thread), put up for retail sale Woven fabrics obtained from high tenacity yarn of nylon or other polyamides or of polyesters Woven fabrics obtained from strip or the like of synthetic textile materials Woven fabrics specified in note 9 to section XI, of synthetic filament yarn, over 60 percent by weight of plastics Woven fabrics specified in note 9 to section XI, of synthetic filament yarn, nesoi Woven fabrics, containing 85 percent or more by weight of filaments of nylon or other polyamides, unbleached or bleached Woven fabrics, containing 85 percent or more by weight of filaments of nylon or other polyamides, dyed Woven fabrics, over 85% by wt fil.</w:t>
      </w:r>
    </w:p>
    <w:p>
      <w:pPr>
        <w:pStyle w:val="Normal"/>
        <w:widowControl/>
        <w:rPr/>
      </w:pPr>
      <w:r>
        <w:rPr/>
        <w:t>of nylon/other polyamides, of diff colored yarns, thread count over 69-142/cm warp, over 31-71/cm filling Woven fabrics, containing 85 percent or more by weight of filaments of nylon or other polyamides, of yarns of different colors, nesoi Woven fabrics, containing 85 percent or more by weight of filaments of nylon or other polyamides, printed Woven fabrics, containing 85 percent or more by weight of textured polyester filaments, unbleached or bleached Woven fabrics, over 85 percent textured polyester filaments, dyed, less than 77 cm in width, thread count 69-142/cm warp, 31-71/cm filling Woven fabrics, over 85 percent textured polyester filaments, dyed, nesoi Woven fabrics, over 85% textured polyester filaments, of different colored yarns, thread count 69-142/cm warp and 31-71/cm filling Woven fabrics, containing 85 percent or more by weight of textured polyester filaments, of yarns of different colors, nesoi Woven fabrics, containing 85 percent or more by weight of textured polyester filaments, printed Woven fab, dyed, 100% polyester, &lt;77cm wide, &gt;69-142 warp &gt;31-71 filling, of non tex singles yarn, 75-80dtx, 24 fil/yn, twist 900+ turns/m Woven fab,dyed,85%+ non-tex poly.</w:t>
      </w:r>
    </w:p>
    <w:p>
      <w:pPr>
        <w:pStyle w:val="Normal"/>
        <w:widowControl/>
        <w:rPr/>
      </w:pPr>
      <w:r>
        <w:rPr/>
        <w:t>fil., &lt;77cm wide, &gt;69-142 warp &gt;31-71 filling (not 100%poly. sin.yarn, 75-80dtx, 24 fil/yn &amp; 900+ turns/m) Woven fab,yn diff colors,&lt;77cm wide, &gt;69-142 warp, &gt;31-71 filling, 100% poly.non tex sin.</w:t>
      </w:r>
    </w:p>
    <w:p>
      <w:pPr>
        <w:pStyle w:val="Normal"/>
        <w:widowControl/>
        <w:rPr/>
      </w:pPr>
      <w:r>
        <w:rPr/>
        <w:t>yarn of 75-80 dtx., 24 fil/yn &amp; twist 900+ turns/m Woven fab,85%+ non-tex poly,yn diff colors,&lt;77cm wide,&gt;69-142 warp,&gt;31-71 filling (not 100%poly sin yarn, 75-80dtx,24 fil/yn &amp; 900+ turns/m) Woven fab, 85%+ non-tex poly fil, wholly of polyester, of single yarns 75-80 decitex, 24 fil/yarn &amp; a twist of 900 or more turns/m Woven fab, of 85%+ non-text. polyester filaments, nesoi (not wholly polyester single yarns, 75-80 dtx, 24 fil/yarn &amp; twist 900+ turns/m) Woven fab, containing 85%+ by wt of polyester filaments nesoi, unbleached or bleached Woven fab, containing 85%+ by wt of polyester filaments nesoi, dyed Woven fab, cont. 85%+ by wt polyester filaments nesoi, thread count &gt;69-142/cm in warp &amp; &gt;31-71/cm filling, of yarns of diff. colors Woven fab, containing 85%+ by wt polyester filaments nesoi, of yarns of different colors, nesoi Woven fab, containing 85%+ by wt polyester filaments nesoi, printed Woven fabrics, containing 85 percent or more by weight of synthetic filaments, unbleached or bleached Woven fabrics, containing 85 percent or more by weight of synthetic filaments, dyed Woven fabrics, cont. 85% or more syn.</w:t>
      </w:r>
    </w:p>
    <w:p>
      <w:pPr>
        <w:pStyle w:val="Normal"/>
        <w:widowControl/>
        <w:rPr/>
      </w:pPr>
      <w:r>
        <w:rPr/>
        <w:t>filaments by weight, thread count &gt;69-142/cm warp and &gt;31-71/cm filling, of different colored yarns Woven fabrics, containing 85% or more by weight of synthetic filaments, of yarns of different colors, nesoi Woven fabrics, containing 85 percent or more by weight of synthetic filaments, printed Woven fabrics, containing less than 85% by weight of synthetic filaments, mixed mainly or solely with cotton, unbleached or bleached Woven fabrics, containing less than 85 percent by weight of synthetic filaments, mixed mainly or solely with cotton, dyed Woven fabrics, less than 85 percent by weight of synthetic filaments, mixed mainly or solely with cotton, of yarns of different colors Woven fabrics, containing less than 85 percent by weight of synthetic filaments, mixed mainly or solely with cotton, printed Woven fabrics of synthetic filament yarn nesoi, containing 36 percent or more by weight of wool or fine animal hair, unbleached or bleached Woven fabrics of synthetic filament yarn nesoi, mixed mainly or solely with wool or fine animal hair, unbleached or bleached, nesoi Woven fabrics</w:t>
      </w:r>
    </w:p>
    <w:p>
      <w:pPr>
        <w:pStyle w:val="Normal"/>
        <w:widowControl/>
        <w:rPr/>
      </w:pPr>
      <w:r>
        <w:rPr/>
        <w:t>of synthetic filament yarn nesoi, unbleached or bleached, nesoi Woven fabrics of synthetic filament yarn nesoi, containing 36 percent or more by weight of wool or fine animal hair, dyed Woven fabrics of synthetic filament yarn nesoi, mixed mainly or solely with wool or fine animal hair, cont.</w:t>
      </w:r>
    </w:p>
    <w:p>
      <w:pPr>
        <w:pStyle w:val="Normal"/>
        <w:widowControl/>
        <w:rPr/>
      </w:pPr>
      <w:r>
        <w:rPr/>
        <w:t>&lt;36% wool/fine animal hair, dyed Woven fabrics of synthetic filament yarn nesoi, dyed, nesoi Woven fabrics of synthetic filament yarn nesoi, containing 36% or more by weight of wool or fine animal hair, of yarns of different colors Woven fabrics of synthetic filament yarn nesoi, mixed mainly or solely with wool or fine animal hair, of yarns of different colors, nesoi Woven fabrics, cont.</w:t>
      </w:r>
    </w:p>
    <w:p>
      <w:pPr>
        <w:pStyle w:val="Normal"/>
        <w:widowControl/>
        <w:rPr/>
      </w:pPr>
      <w:r>
        <w:rPr/>
        <w:t>85% or more of man-made filaments, thread count &gt;69-142/cm warp and &gt;31-71/cm filling, of different colored yarns Woven fabrics of synthetic filament yarn nesoi, of yarns of different colors, nesoi Woven fabrics of synthetic filament yarn nesoi, containing 36 percent or more by weight of wool or fine animal hair, printed Woven fabrics of synthetic filament yarn nesoi, mixed mainly/solely with wool/fine animal hair, contain &lt; 36% wool/fine animal hair, printed Woven fabrics of synthetic filament yarn nesoi, printed, nesoi Woven fabrics obtained from high tenacity yarn, of viscose rayon Woven fabrics, containing 85 percent or more by weight of artificial filament or strip or the like, unbleached or bleached Woven fabric, 85%+ artificial filament or strip or the like, dyed, of cuprammonium rayon Woven fabric, 85%+ artificial filament or strip or the like, dyed, not of cuprammonium rayon, nesoi Woven fabric, 85%+ artificial filament/strip, of yarns of different colors,&gt; 69-142 warp &amp; &gt; 31-71 filling yarns, of cupra/rayon, nesoi Woven fabric, 85%+ artificial filament/strip, of yarns of different</w:t>
      </w:r>
    </w:p>
    <w:p>
      <w:pPr>
        <w:pStyle w:val="Normal"/>
        <w:widowControl/>
        <w:rPr/>
      </w:pPr>
      <w:r>
        <w:rPr/>
        <w:t>colors,&gt; 69-142 warp &amp; &gt; 31-71 filling yarns, not of cupra/rayon, nesoi Woven fabric, 85%+ artificial filament/strip, of yarns of different colors, not 69-142 warp &amp; 31-71 filling yarns, of cupra/rayon, nesoi Woven fabric, 85%+ artificial filament/strip, of yarns of different colors, not 69-142 warp &amp; 31-71 filling yarns, not of cupra/rayon, nesoi Woven fabric, 85%+ artificial filament/strip, printed, of cuprammonium rayon, nesoi Woven fabric, 85%+ artificial filament/strip, printed, not of cuprammonium rayon, nesoi Woven fabrics of artificial filament yarn nesoi, containing 36 percent or more by wt of wool or fine animal hair, unbleached or bleached Woven fabrics of artificial filament yarn nesoi, mixed mainly or solely with wool or fine animal hair, unbleached or bleached, nesoi Woven fabrics of artificial filament yarn nesoi, unbleached or bleached, nesoi Woven fabrics of artificial filament yarn nesoi, containing 36 percent or more by wt of wool or fine animal hair, dyed Woven fabrics of artificial filament yarn nesoi, mixed mainly or solely with wool or fine animal hair, dyed, nesoi Woven</w:t>
      </w:r>
    </w:p>
    <w:p>
      <w:pPr>
        <w:pStyle w:val="Normal"/>
        <w:widowControl/>
        <w:rPr/>
      </w:pPr>
      <w:r>
        <w:rPr/>
        <w:t>fabrics of artificial filament yarn nesoi, dyed, 30 percent or more by wt of silk or silk waste, valued over $33/kg Woven fabrics of artificial filament yarn nesoi, dyed, nesoi Woven fabrics of artificial filament yarn nesoi, containing 36% or more by wt of wool or fine animal hair, of yarns of different colors Woven fabrics of artificial filament yarn nesoi, mixed mainly or solely</w:t>
      </w:r>
    </w:p>
    <w:p>
      <w:pPr>
        <w:pStyle w:val="Normal"/>
        <w:widowControl/>
        <w:rPr/>
      </w:pPr>
      <w:r>
        <w:rPr/>
        <w:t>with wool or fine animal hair, of yarns of different colors, nesoi Woven fabrics cont.</w:t>
      </w:r>
    </w:p>
    <w:p>
      <w:pPr>
        <w:pStyle w:val="Normal"/>
        <w:widowControl/>
        <w:rPr/>
      </w:pPr>
      <w:r>
        <w:rPr/>
        <w:t>85% or more mm filaments nesoi, thread count &gt; 69-142/cm warp and &gt; 31-71/cm filling, of different colored yarns Woven fabrics of artificial filament yarn nesoi, of yarns of different colors, 30 percent or more of silk or silk waste, valued over $33/kg Woven fabrics of artificial filament yarn nesoi, of yarns of different colors, nesoi Woven fabrics of artificial filament yarn nesoi, containing 36 percent or more by weight of wool or fine animal hair, printed Woven fabrics of artificial filament yarn nesoi, mixed mainly or solely with wool or fine animal hair, printed, nesoi Woven fabrics of artificial filament yarn nesoi, printed, 30 percent or more by weight of silk or silk waste, valued over $33/kg Woven fabrics of artificial filament yarn nesoi, printed, nesoi Synthetic filament tow of nylon or other polyamides Synthetic filament tow of polyesters Synthetic filament tow of acrylic or modacrylic Synthetic filament tow, of polypropylene Synthetic filament tow, nesoi Artificial filament tow of cellulose acetate Artificial filament tow other than of cellulose acetate</w:t>
      </w:r>
    </w:p>
    <w:p>
      <w:pPr>
        <w:pStyle w:val="Normal"/>
        <w:widowControl/>
        <w:rPr/>
      </w:pPr>
      <w:r>
        <w:rPr/>
        <w:t>Synthetic staple fibers, n/carded, combed or otherwise processed for spinning, of aramids Synthetic staple fibers, n/carded, combed or otherwise processed for spinning, of nylon/other polyamides (except aramids), cont 10% or more Synthetic staple fibers, n/carded, combed or otherwise processed for spinning, of nylon or other</w:t>
      </w:r>
    </w:p>
    <w:p>
      <w:pPr>
        <w:pStyle w:val="Normal"/>
        <w:widowControl/>
        <w:rPr/>
      </w:pPr>
      <w:r>
        <w:rPr/>
        <w:t>polyamides (except aramids), nesoi Synthetic staple fibers, not carded, combed or otherwise processed for spinning, of polyesters Synthetic (acrylic or modacrylic) staple fibers, not carded, combed or otherwise processed for spinning Synthetic staple fibers, not carded, combed or otherwise processed for spinning, of polypropylene Synthetic staple fibers, not carded, combed or otherwise processed for spinning, of vinyon Synthetic staple fibers, not carded, combed or otherwise processed for spinning, nesoi Artificial staple fibers, not carded, combed or otherwise processed for spinning, of viscose rayon Artificial staple fibers, not carded, combed or otherwise processed for spinning, other than of viscose rayon Waste (including noils, yarn waste and garnetted stock) of synthetic fibers Waste (including noils, yarn waste and garnetted stock) of artificial fibers Synthetic staple fibers, carded, combed or otherwise processed for spinning, of nylon or other polyamides Synthetic staple fibers, carded, combed or otherwise processed for spinning, of polyesters Synthetic (acrylic or modacrylic) staple fibers, carded, combed or otherwise processed for spinning Synthetic staple fibers of polypropylene, carded, combed or otherwise</w:t>
      </w:r>
    </w:p>
    <w:p>
      <w:pPr>
        <w:pStyle w:val="Normal"/>
        <w:widowControl/>
        <w:rPr/>
      </w:pPr>
      <w:r>
        <w:rPr/>
        <w:t>processed for spinning Other Synthetic staple fibers nesoi, carded, combed or otherwise processed for spinning Artificial staple fibers, carded, combed or otherwise processed for spinning Sewing thread of synthetic staple fibers, whether or not put up for</w:t>
      </w:r>
    </w:p>
    <w:p>
      <w:pPr>
        <w:pStyle w:val="Normal"/>
        <w:widowControl/>
        <w:rPr/>
      </w:pPr>
      <w:r>
        <w:rPr/>
        <w:t>retail sale Sewing thread of artificial staple fibers, whether or not put up for retail sale Yarn (other than sewing thread) containing 85% or more by weight of nylon/polyamide staple fibers, singles, not put up for retail sale Yarn (other than sewing thread) cont. 85% or more by weight of nylon/polyamide staple fibers, multiple or cabled, not put up for retail sale Yarn (other than sewing thread) containing 85% or more by weight of polyester staple fibers, singles, not put up for retail sale Yarn (other than sewing thread) cont. 85% or more by weight of polyester staple fibers, multiple or cabled, not put up for retail sale Yarn (not sewing thread) cont. 85% or more by weight of acrylic or modacrylic staple fibers, singles, not put up for retail sale Yarn (not sewing thread) cont. 85% or more by wt. of acrylic or modacrylic staple fibers,multiple or cabled,not put up for retail sale Yarn (other than sewing thread) containing 85% or more by weight of synthetic staple fibers nesoi, singles, not put up for retail sale Yarn (other than sewing thread) cont.</w:t>
      </w:r>
    </w:p>
    <w:p>
      <w:pPr>
        <w:pStyle w:val="Normal"/>
        <w:widowControl/>
        <w:rPr/>
      </w:pPr>
      <w:r>
        <w:rPr/>
        <w:t>85% or more by weight of synthetic staple fibers nesoi, multiple or cabled, not put up for retail sale Yarn (not sewing thread) of polyester staple fibers mixed mainly/solely with artificial staple fibers, single, not put up for retail sale Yarn (not sewing thread) of polyester staple fibers mixed mainly/solely with artificial staple fibers, multiple, not put up for retail sale Yarn (other than sewing thread) of polyester staple fibers mixed mainly/solely with wool or fine animal hair, not put up for retail sale Yarn (other than sewing thread) of polyester staple fibers mixed mainly or solely with cotton, not put up for retail sale Yarn (other than sewing thread) of polyester staple fibers nesoi, not put up for retail sale Yarn (other than sewing thread) of acrylic or modacrylic staple fibers mixed with wool or fine animal hair, not put up for retail sale Yarn (other than sewing thread) of acrylic or modacrylic staple fibers mixed mainly or solely with cotton, not put up for retail sale Yarn (not</w:t>
      </w:r>
    </w:p>
    <w:p>
      <w:pPr>
        <w:pStyle w:val="Normal"/>
        <w:widowControl/>
        <w:rPr/>
      </w:pPr>
      <w:r>
        <w:rPr/>
        <w:t>sew thread) of acrylic/modacrylic staple fibers mixed mainly/solely w/artificial staple fibers, singles, not for retail sale Yarn (not sewing thread) of acrylic/modacrylic staple fiber mixed mainly/solely w/artificial staple fiber,multiple or cabled,not retail sale Yarn (other than sewing thread) of acrylic or modacrylic staple fibers nesoi, not put up for retail sale Yarn (other than sewing thread) of synthetic staple fibers mixed mainly or solely with wool or fine animal hair,</w:t>
      </w:r>
    </w:p>
    <w:p>
      <w:pPr>
        <w:pStyle w:val="Normal"/>
        <w:widowControl/>
        <w:rPr/>
      </w:pPr>
      <w:r>
        <w:rPr/>
        <w:t>not put up for retail sale Yarn (other than sewing thread) of synthetic staple fibers mixed mainly or solely with cotton, not put up for retail sale Yarn (not sewing thread) of synthetic staple fibers nesoi, mixed mainly/solely w/artificial staple fibers, singles, not for retail sale Yarn (not sewing thread) of synthetic staple fibers nesoi, mixed mainly/solely w/artificial staple fibers, multiple, not for retail sale Yarn (other than sewing thread) of synthetic staple fibers nesoi, not put up for retail sale Yarn (other than sewing thread) containing 85% or more by weight of artificial staple fibers, singles, not put up for retail sale Yarn (other than sewing thread) cont.</w:t>
      </w:r>
    </w:p>
    <w:p>
      <w:pPr>
        <w:pStyle w:val="Normal"/>
        <w:widowControl/>
        <w:rPr/>
      </w:pPr>
      <w:r>
        <w:rPr/>
        <w:t>85% or more by weight of artificial staple fibers, multiple or cabled, not put up for retail sale Yarn (other than sewing thread) of artificial staple fibers mixed mainly or solely with wool or fine animal hair, not put up for retail sale Yarn (other than sewing thread) of artificial staple fibers mixed mainly or solely with cotton, not put up for retail sale Yarn (other than sewing thread) of artificial staple fibers mixed mainly/solely with synthetic staple fibers, singles, not for retail sale Yarn (other than sewing thread) of artificial staple fibers mixed mainly/solely with synthetic staple fibers, multiple, not for retail sale Yarn (other than sewing thread) of artificial staple fibers nesoi, not put up for retail sale Yarn (other than sewing thread) of synthetic staple fibers, containing 85% or</w:t>
      </w:r>
    </w:p>
    <w:p>
      <w:pPr>
        <w:pStyle w:val="Normal"/>
        <w:widowControl/>
        <w:rPr/>
      </w:pPr>
      <w:r>
        <w:rPr/>
        <w:t>more by weight of such fibers, put up for retail sale Yarn (other than sewing thread) of synthetic staple fibers, containing less than 85% by weight of such fibers, put up for retail sale Yarn (other than sewing thread) of artificial staple fibers, put up for retail sale Woven fabrics containing 85% or more by weight of polyester staple fibers, unbleached or bleached Woven fabrics containing 85% or more by weight of polyester staple fibers, other than unbleached or bleached Woven fabrics containing 85% or more by weight of acrylic or modacrylic staple fibers, unbleached or bleached Woven fabrics containing 85% or more by weight of acrylic or modacrylic staple fibers, other than unbleached or bleached Woven fabrics, containing 85% or more by weight of synthetic fibers nesoi, unbleached or bleached Woven fabrics, containing 85% or more by weight of synthetic fibers nesoi, other than unbleached or bleached Woven fabric of poly staple fiber,&lt; 85% wt poly staple fibers,mixed mainly/solely w/cotton,wt n/o 170 g/m2,plain weave,unbleached/bleached Woven 3-or 4-thread twill fabric</w:t>
      </w:r>
    </w:p>
    <w:p>
      <w:pPr>
        <w:pStyle w:val="Normal"/>
        <w:widowControl/>
        <w:rPr/>
      </w:pPr>
      <w:r>
        <w:rPr/>
        <w:t>of poly staple fib,&lt; 85% poly staple fiber,mixed mainly/solely w/cotton,wt n/o 170 g/m2,unbleached/bleached Woven fabrics of polyester staple fibers,&lt; 85% polyester staple fibers, mixed mainly/solely w/cotton,n/o 170 g/m2,unbleached/bleached, nesoi Woven fabrics of synthetic staple fibers nesoi, &lt; 85% by weight of such fibers, mixed with cotton, n/o 170g/m2, unbleached or bleached Woven fabrics of polyester</w:t>
      </w:r>
    </w:p>
    <w:p>
      <w:pPr>
        <w:pStyle w:val="Normal"/>
        <w:widowControl/>
        <w:rPr/>
      </w:pPr>
      <w:r>
        <w:rPr/>
        <w:t>staple fibers, &lt; 85% polyester staple fibers, mixed mainly/solely w/cotton, not over 170 g/m2, plain weave, dyed Woven fabrics of polyester staple fibers, &lt; 85% by wt polyester staple fibers, mixed mainly/solely w/cotton, not over 170 g/m2, dyed, nesoi Woven fabrics of synthetic staple fibers nesoi, &lt; 85% by wt of such fibers, mixed mainly/solely w/cotton, weighing n/o 170g/m2, dyed, nesoi Woven fabrics of poly staple fib,&lt; 85% polyester staple fibers,mixed mainly/solely w/cotton,n/o 170 g/m2,plain weave,of yarns of dif. colors Woven fabrics of synthetic staple fibers nesoi,&lt; 85% by wt of such fibers, mixed mainly/solely w/cotton, n/o 170g/m2, of dif.</w:t>
      </w:r>
    </w:p>
    <w:p>
      <w:pPr>
        <w:pStyle w:val="Normal"/>
        <w:widowControl/>
        <w:rPr/>
      </w:pPr>
      <w:r>
        <w:rPr/>
        <w:t>colored yarns Printed plain weave fabrics of poly staple fib,&lt; 85% by weight polyester staple fibers, mixed mainly/solely with cotton, n/o 170g/m2 Printed 3-or 4-thread twill fabric of poly staple fib,incl cross twill,&lt; 85% wt poly staple fibers,mixed mainly/solely w/cotton,n/o 170g/m2 Printed woven fabrics of polyester staple fibers, &lt; 85% by wt polyester staple fibers, mixed mainly/solely with cotton, weighing n/o 170g/m2 Printed woven fabrics of synthetic staple fibers nesoi, &lt; 85% by weight of such fibers, mixed mainly or solely with cotton, n/o 170g/m2 Plain weave fabrics of poly staple fiber,&lt; 85% wt polyester staple fibers, mixed mainly/solely w/cotton, wt ov 170 g/m2, unbleached/bleached Wov 3-or 4-thread twill fabric of poly staple fib,&lt; 85% polyester staple fiber,mixed mainly/solely w/cotton,ov 170</w:t>
      </w:r>
    </w:p>
    <w:p>
      <w:pPr>
        <w:pStyle w:val="Normal"/>
        <w:widowControl/>
        <w:rPr/>
      </w:pPr>
      <w:r>
        <w:rPr/>
        <w:t>g/m2,unbleached/bleached Woven fabric of polyester staple fiber, &lt; 85% wt polyester, mixed mainly/solely w/cotton, over 170 g/m2, unbleached/bleached Unbleached or bleached woven fabric of synthetic staple fibers nesoi, &lt; 85% by wt of such fibers, mixed mainly/solely w/cotton, over 170g/m2 Plain weave fabrics of polyester staple fiber, &lt; 85% by wt polyester staple fibers, mixed mainly/solely with cotton, over 170 g/m2, dyed Wov 3-or 4-thread twill fabric of poly staple fib,incl cross twill,&lt; 85% poly staple fibers,mixed mainly/solely w/cotton,ov 170 g/m2, dyed Woven fabrics of polyester staple fib, &lt; 85% by wt polyester staple fibers, mixed mainly/solely w/cotton, over 170 g/m2, dyed, nesoi Dyed woven fabrics of synthetic staple fibers nesoi, &lt; 85% by weight of such fibers, mixed mainly or solely with cotton, over 170g/m2 Plain weave fabrics of poly staple fiber, &lt; 85% polyester staple fibers, mixed mainly/solely with cotton,ov 170 g/m2,of yarns of dif. colors Woven 3-or 4-thread twill fabric of poly staple fib,&lt; 85% poly staple fibers,mixed mainly/solely w/cotton,ov 170 g/m2,of yarn of dif.</w:t>
      </w:r>
    </w:p>
    <w:p>
      <w:pPr>
        <w:pStyle w:val="Normal"/>
        <w:widowControl/>
        <w:rPr/>
      </w:pPr>
      <w:r>
        <w:rPr/>
        <w:t>colors Woven fabrics of poly staple fiber,&lt; 85% polyester staple fibers,mixed mainly/solely w/cotton,ov 170 g/m2,of yarns of different colors,nesoi Woven fabrics of synthetic staple fibers nesoi, &lt; 85% by wt of such fibers, mixed mainly/solely w/cotton, ov 170g/m2, of dif.</w:t>
      </w:r>
    </w:p>
    <w:p>
      <w:pPr>
        <w:pStyle w:val="Normal"/>
        <w:widowControl/>
        <w:rPr/>
      </w:pPr>
      <w:r>
        <w:rPr/>
        <w:t>colored yarns Printed plain weave fabrics of polyester staple fiber, &lt; 85% by wt polyester staple fibers, mixed mainly or solely with cotton, over 170g/m2 Printed 3-or 4-thread twill fab of poly staple fib,incl cross twill,&lt; 85% by wt poly staple fibers, mixed mainly/solely w/cotton,ov 170g/m Printed woven fabrics of polyester staple fiber, &lt; 85% by wt polyester staple fibers, mixed mainly/solely with cotton, over 170g/m2, nesoi Printed woven fabrics of synthetic staple fibers nesoi, &lt; 85% by weight of such fibers, mixed mainly or solely with cotton, over 170g/m2 Woven fabrics of polyester staple fibers, mixed mainly or solely with viscose rayon staple fibers, nesoi Woven fabrics of polyester staple fibers, mixed mainly or solely with man-made filaments, nesoi Woven fabrics of polyester staple fibers, containing 36 percent or more by weight of wool or fine animal hair, nesoi Woven fabrics of polyester staple fibers, mixed mainly or solely with wool or fine animal hair, nesoi Woven fabrics of polyester staple fibers, nesoi Woven fabrics of acrylic or modacrylic</w:t>
      </w:r>
    </w:p>
    <w:p>
      <w:pPr>
        <w:pStyle w:val="Normal"/>
        <w:widowControl/>
        <w:rPr/>
      </w:pPr>
      <w:r>
        <w:rPr/>
        <w:t>staple fibers, mixed mainly or solely with man- made filaments, nesoi Woven fabrics of acrylic or modacrylic staple fibers, containing 36% or more by weight of wool or fine animal hair, nesoi Woven fabrics of acrylic or modacrylic staple fibers, mixed mainly or solely with wool or fine animal hair, nesoi Woven fabrics of acrylic or modacrylic staple fibers, nesoi Woven fabrics of synthetic staple fibers (not</w:t>
      </w:r>
    </w:p>
    <w:p>
      <w:pPr>
        <w:pStyle w:val="Normal"/>
        <w:widowControl/>
        <w:rPr/>
      </w:pPr>
      <w:r>
        <w:rPr/>
        <w:t>polyester/acrylic or modacrylic staple fiber) mixed mainly/solely w/man-made filaments, nesoi Woven fabrics of synthetic staple fibers (not polyester/acrylic or modacrylic staple fiber) contain 36% or more wool/fine animal hair, nesoi Woven fabrics of synthetic staple fibers (not polyester/acrylic/modacrylic staple fiber) mixed mainly/solely w/wool/fine animal hair,nesoi Woven fabrics of synthetic staple fibers (not of polyester, acrylic or modacrylic staple fibers), nesoi Woven fabrics of artificial staple fibers, containing 85% or more by weight of such fibers, unbleached or bleached Woven fabrics of artificial staple fibers, containing 85% or more by weight of such fibers, dyed Woven fabrics of artificial staple fibers, containing 85% or more by weight of such fibers, of yarns of different colors Woven fabrics of artificial staple fibers, containing 85% or more by weight of such fibers, printed Woven fabrics of artificial staple fibers, &lt; 85% by weight of such fibers, mixed mainly/solely with man-made filaments, unbleached/bleached Woven fabrics of artificial staple fibers, &lt; 85% by weight of such fibers, mixed mainly/solely with man-made filaments, dyed Woven fabrics</w:t>
      </w:r>
    </w:p>
    <w:p>
      <w:pPr>
        <w:pStyle w:val="Normal"/>
        <w:widowControl/>
        <w:rPr/>
      </w:pPr>
      <w:r>
        <w:rPr/>
        <w:t>of artificial staple fibers, &lt; 85% by wt of such fibers, mixed mainly/solely w/man-made filaments, of different colored yarns Woven fabrics of artificial staple fibers, &lt; 85% by weight of such fibers, mixed mainly or solely with man-made filaments, printed Woven fabrics of artificial staple fibers, &lt; 85% of</w:t>
      </w:r>
    </w:p>
    <w:p>
      <w:pPr>
        <w:pStyle w:val="Normal"/>
        <w:widowControl/>
        <w:rPr/>
      </w:pPr>
      <w:r>
        <w:rPr/>
        <w:t>such fibers, containing 36% or more of wool or fine animal hair,unbleached or bleached Woven fabrics of artificial staple fibers, &lt; 85% of such fibers, mixed mainly/solely w/wool or fine animal hair, unbleached/bleached, nesoi Woven fabrics of artificial staple fibers, &lt; 85% of such fibers, containing 36% or more of wool or fine animal hair, dyed Woven fabrics of artificial staple fibers, &lt; 85% by weight of such fibers, mixed mainly/solely with wool or fine animal hair, dyed, nesoi Woven fabrics of artificial staple fibers, &lt; 85% such fibers, containing 36% or more of wool or fine animal hair, of different colored yarns Woven fabrics of artificial staple fibers, &lt; 85% of such fiber, mixed mainly/solely w/wool or fine animal hair, of dif.</w:t>
      </w:r>
    </w:p>
    <w:p>
      <w:pPr>
        <w:pStyle w:val="Normal"/>
        <w:widowControl/>
        <w:rPr/>
      </w:pPr>
      <w:r>
        <w:rPr/>
        <w:t>colored yarns, nesoi Woven fabrics of artificial staple fibers, &lt; 85% of such fibers, containing 36% or more of wool or fine animal hair, printed Woven fabrics of artificial staple fibers, &lt; 85% of such fibers, mixed mainly or solely with wool or fine animal hair, printed, nesoi Woven fabrics of artificial staple fibers, &lt; 85% by weight of such fibers, mixed mainly or solely with cotton, unbleached or bleached Woven fabrics of artificial staple fibers, less than 85% by weight of such fibers, mixed mainly or solely with cotton, dyed Woven fabrics of artificial staple fibers, &lt; 85% by wt.</w:t>
      </w:r>
    </w:p>
    <w:p>
      <w:pPr>
        <w:pStyle w:val="Normal"/>
        <w:widowControl/>
        <w:rPr/>
      </w:pPr>
      <w:r>
        <w:rPr/>
        <w:t>of such fibers, mixed mainly or solely with cotton, of yarns of different colors Woven fabrics of artificial staple fibers, less than 85% by weight of such fibers, mixed mainly or solely with cotton, printed Woven fabrics of artificial staple fibers nesoi, unbleached or bleached, nesoi Woven fabrics of artificial staple fibers nesoi, dyed, nesoi Woven fabrics of artificial staple fibers nesoi, of yarns of different colors, nesoi Woven fabrics of artificial staple fibers nesoi, printed, nesoi Wadding of cotton and other articles of cotton wadding nesoi Wadding of man-made fibers and other articles of such wadding nesoi Wadding of textile materials (excluding cotton and man-made fibers) and articles thereof, nesoi Textile flock, not exceeding 5 mm in length, and textile dust and mill neps Laminated fabrics of needleloom felt or stitch-bonded fiber fabrics Needleloom felt and stitch-bonded fabrics, whether or not impregnated, coated or covered, nesoi Felt, excluding needleloom felt and stitch-bonded fiber fabrics, not impregnated, coated, covered or laminated, of wool or fine animal hair Felt, excluding needleloom</w:t>
      </w:r>
    </w:p>
    <w:p>
      <w:pPr>
        <w:pStyle w:val="Normal"/>
        <w:widowControl/>
        <w:rPr/>
      </w:pPr>
      <w:r>
        <w:rPr/>
        <w:t>felt and stitch-bonded fiber fabrics, not impregnated, coated, covered or laminated, of textile materials nesoi Laminated fabrics of felt, nesoi Felt, impregnated, coated or covered, of man-made fibers, nesoi Felt, impregnated, coated or covered, nesoi Nonwovens, of man-made filaments, weighing not &gt;25 g/square m, whether or not impregnated, coated, covered or</w:t>
      </w:r>
    </w:p>
    <w:p>
      <w:pPr>
        <w:pStyle w:val="Normal"/>
        <w:widowControl/>
        <w:rPr/>
      </w:pPr>
      <w:r>
        <w:rPr/>
        <w:t>laminated Nonwovens, of man-made filaments, weighing &gt;25 but not &gt;70 g/square m, whether or not impregnated, coated, covered or laminated Nonwovens, of man-made filaments, weighing &gt;70 but not &gt;150 g/square m, whether or not impregnated, coated, covered or laminated Laminated nonwoven fabs, of man-made filaments, weighing &gt;150 g/square m Nonwovens (except laminated), of man-made filaments, weighing &gt;150 g/square m, whether or not impregnated, coated, or covered Nonwovens (not of man-made filaments), weighing not &gt;25 g/square m, whether or not impregnated, coated, covered or laminated Nonwovens (not of man-made filaments), weighing &gt;25 but not &gt;70 g/square m, whether or not impregnated, coated, covered or laminated Nonwovens (not of man-made filaments), weighing &gt;70 but not &gt;150 g/square m, whether or not impregnated, coated, covered or laminated Nonwoven floor covering underlays (not of man-made filaments), weighing &gt;150 g/square m, whether or not impreg, coated, cov or laminated Laminated nonwovens nesoi (not of man-made filaments), weighing &gt;150 g/square m Nonwovens nesoi (not of man-made filaments), weighing &gt;150 g/square m, whether or not impregnated, coated,</w:t>
      </w:r>
    </w:p>
    <w:p>
      <w:pPr>
        <w:pStyle w:val="Normal"/>
        <w:widowControl/>
        <w:rPr/>
      </w:pPr>
      <w:r>
        <w:rPr/>
        <w:t>covered but not laminated Rubber thread and cord, textile covered High tenacity yarn of polyesters, of nylon or other polyamides or of viscose rayon, impregnated or coated Textile yarn and strip and the like of heading 5404 or 5405, impregnated, coated, covered or sheathed with rubber or plastics, nesoi Metal coated</w:t>
      </w:r>
    </w:p>
    <w:p>
      <w:pPr>
        <w:pStyle w:val="Normal"/>
        <w:widowControl/>
        <w:rPr/>
      </w:pPr>
      <w:r>
        <w:rPr/>
        <w:t>or metal laminated man-made monofilament or strip or the like, ungimped &amp; untwisted or w/twist of less than 5 turns per meter Metalized textile yarn nesoi, of man-made monofilament or strip or the like, other than ungimped or w/twist of &lt; 5 turns per meter Gimped yarn, and strip and the like of man-made monofilament; chenille yarn;</w:t>
      </w:r>
    </w:p>
    <w:p>
      <w:pPr>
        <w:pStyle w:val="Normal"/>
        <w:widowControl/>
        <w:rPr/>
      </w:pPr>
      <w:r>
        <w:rPr/>
        <w:t>loop wale-yarn Binder or baler twine, of sisal or other textile fibers of genus Agave Twine (except binder or baler twine), cordage, rope and cables of sisal or other textile fibers of genus Agave Binder or baler twine of wide nonfibrillated strip, of polyethylene or polypropylene Binder or baler twine, of polyethylene or polypropylene, nesoi Twine (other than binder or baler twine), cordage, rope and cables of wide nonfibrillated strip, of polyethylene or polypropylene Twine (ex binder/baler twine), cordage, rope and cables, of polyethylene or polypropylene, not braided or plaited, less than 4.8 mm in diam Twine (except binder or baler twine), cordage, rope and cables, of polyethylene or polypropylene, not braided or plaited, nesoi Twine (except binder or baler twine), cordage, rope and cables, of polyethylene or polypropylene, nesoi 3- or 4-ply multicolor twine of synthetic fibers nesoi at least 10% cotton, having “S” twist, &lt; 3.5 mm diameter, not braided or plaited Twine nesoi, cordage, rope and cables of synthetic fibers, other than of polyethylene or polypropylene, not braided or plaited Twine, cordage, rope and cables of synthetic fibers,</w:t>
      </w:r>
    </w:p>
    <w:p>
      <w:pPr>
        <w:pStyle w:val="Normal"/>
        <w:widowControl/>
        <w:rPr/>
      </w:pPr>
      <w:r>
        <w:rPr/>
        <w:t>other than of polyethylene or polypropylene, nesoi Twine, cordage, rope and cables, of coir Twine, cordage, rope and cables, of jute or other textile bast fibers (excluding flax, true hemp and ramie) Twine, cordage, rope and cables of abaca or other hard (leaf) fibers, of stranded construction measuring 1.88 cm or over in diameter Twine, cordage, rope &amp; cables of abaca or other hard (leaf) fibers, other than stranded construction or stranded n/o 1.88 cm in diameter Twine, cordage, rope and cables, of materials nesoi Made-up fishing nets, of man-made textile materials Fish netting (other than made-up fishing nets) of man-made textile materials Knotted netting of twine, cordage or rope (excluding fish netting or made-up fishing nets) of man-made textile materials Fish netting and fishing nets, of textile materials other than man-made materials Hammocks, of cotton Netting or nets, of cotton, other than hammocks or netting or nets for fishing Knotted netting of twine, cordage or rope or other made-up nets (not fish netting and nets) of textile materials (not</w:t>
      </w:r>
    </w:p>
    <w:p>
      <w:pPr>
        <w:pStyle w:val="Normal"/>
        <w:widowControl/>
        <w:rPr/>
      </w:pPr>
      <w:r>
        <w:rPr/>
        <w:t>cotton/manmade mat.) Articles of yarn, strip, twine, cordage, rope or cables nesoi, of cotton Articles of yarn, strip, twine, cordage, rope or cables nesoi, of vegetable fibers except cotton Articles of yarn, strip, twine, cordage, rope or cables nesoi, of man-made fibers Articles of yarn, strip or the like of man-made monofilaments, twine, cordage, rope or cables, nesoi Carpet &amp; other textile floor</w:t>
      </w:r>
    </w:p>
    <w:p>
      <w:pPr>
        <w:pStyle w:val="Normal"/>
        <w:widowControl/>
        <w:rPr/>
      </w:pPr>
      <w:r>
        <w:rPr/>
        <w:t>covering,hand-knotted/hand-inserted,w/ov 50% wt pile of fine animal hair,foregoing cert. hand-loomed &amp; folklore Carpets &amp; other textile floor coverings, hand-knotted or hand-inserted, w/ov 50% by weight of the pile of fine animal hair, nesoi Carpets and other textile floor coverings, of wool or fine animal hair, hand-hooked (tufts were inserted and knotted by hand or hand tool) Carpets and other textile floor coverings, of wool or fine animal hair, not hand-hooked, not hand knotted during weaving Carpet and oth textile floor covering, knotted,of text.</w:t>
      </w:r>
    </w:p>
    <w:p>
      <w:pPr>
        <w:pStyle w:val="Normal"/>
        <w:widowControl/>
        <w:rPr/>
      </w:pPr>
      <w:r>
        <w:rPr/>
        <w:t>materials (not wool/hair) nesoi, pile inserted &amp; knotted during weaving or knitting Carpet &amp; oth textile floor covering, knotted, of text materials (not wool/hair) nesoi,not w/pile inserted &amp; knotted during weaving/knitting Certified hand-loomed and folklore products being “Kelem”, “Schumacks”, “Karamanie” and similar hand-woven rugs “Kelem”, “Schumacks”, “Karamanie” and similar hand-woven rugs, other than certified hand-loomed and folklore products Floor coverings of coconut fibers (coir), woven, not tufted or flocked, with pile Floor coverings of coconut fibers (coir), woven, not tufted or flocked, other than with pile Wilton, velvet and like floor coverings of pile construction, woven, not tufted or flocked, not made up, of wool or fine animal hair Carpets and other textile floor coverings of pile construction, woven, not tufted or flocked, not made up, of wool/fine animal hair, nesoi Wilton, velvet and like floor coverings</w:t>
      </w:r>
    </w:p>
    <w:p>
      <w:pPr>
        <w:pStyle w:val="Normal"/>
        <w:widowControl/>
        <w:rPr/>
      </w:pPr>
      <w:r>
        <w:rPr/>
        <w:t>of pile construction, woven, not tufted or flocked, not made up, of man-made textile materials Carpets &amp; other textile floor coverings of pile construction, woven,not tufted or flocked, not made up, of man-made textile materials, nesoi Carpets and other textile floor coverings of pile construction, woven, not tufted or flocked, not made up, of jute Carpets and other textile floor coverings of pile construction, woven, not tufted or flocked, not made up, of other textile materials nesoi Wilton, velvet and like floor coverings of pile construction, woven, not tufted or flocked, made up, of wool or fine animal hair Carpets and other textile floor coverings of pile construction, woven, not tufted or flocked, made up, of wool or fine animal hair, nesoi Wilton, velvet and like floor coverings of pile construction, woven, not tufted or flocked, made up, of man-made textile materials Carpets and other textile floor coverings, of pile construction, woven, not tufted or flocked, made up, of man-made textile materials, nesoi Carpets not other textile floor coverings of</w:t>
      </w:r>
    </w:p>
    <w:p>
      <w:pPr>
        <w:pStyle w:val="Normal"/>
        <w:widowControl/>
        <w:rPr/>
      </w:pPr>
      <w:r>
        <w:rPr/>
        <w:t>pile construction, woven, not tufted or flocked, made up, of cotton Carpets and other textile floor coverings of pile construction, woven, not tufted or flocked, made up, of jute Carpets &amp; other textile floor coverings of pile construction, woven, not tufted or flocked, made up, of other textile materials nesoi Carpets &amp; other textile floor coverings, not of pile construction, woven but not on a power-driven loom,not</w:t>
      </w:r>
    </w:p>
    <w:p>
      <w:pPr>
        <w:pStyle w:val="Normal"/>
        <w:widowControl/>
        <w:rPr/>
      </w:pPr>
      <w:r>
        <w:rPr/>
        <w:t>made up,of wool/fine animal hair Carpets &amp; other textile floor coverings, not of pile construction, woven, not made up, of wool or fine animal hair, nesoi Carpets &amp; other textile floor coverings, not of pile construction, woven, not made up, of man-made textile materials Carpets &amp; other textile floor coverings, not of pile construction, woven, not made up, of cotton Carpets &amp; other textile floor coverings, not of pile construction, woven, not made up, of other textile materials nesoi Certified hand-loomed &amp; folklore floor covering, woven not on power-driven loom,not of pile construction,made up,of wool or fine animal hair Floor coverings,not of pile construction,woven not on power-driven loom, made up, of wool or fine animal hair,nesi Carpets &amp; other textile floor coverings, not of pile construction, woven nesoi, made up, of wool or fine animal hair, nesoi Hand-loomed carpet &amp; other textile floor coverings, not of pile construction, woven, made up, of man-made textile materials,nesi Carpet &amp; other textile floor coverings, not of pile construction, woven, made up, of man-made</w:t>
      </w:r>
    </w:p>
    <w:p>
      <w:pPr>
        <w:pStyle w:val="Normal"/>
        <w:widowControl/>
        <w:rPr/>
      </w:pPr>
      <w:r>
        <w:rPr/>
        <w:t>textile materials,nesi Hand-loomed carpets and other textile floor coverings, not of pile construction, woven, made up, of cotton Carpets and other textile floor coverings, not of pile construction, woven, made up, of cotton, nesoi Carpets &amp; other textile floor coverings, not of pile construction, woven, made up, of other textile materials nesoi Hand-hooked carpets and other textile floor coverings,</w:t>
      </w:r>
    </w:p>
    <w:p>
      <w:pPr>
        <w:pStyle w:val="Normal"/>
        <w:widowControl/>
        <w:rPr/>
      </w:pPr>
      <w:r>
        <w:rPr/>
        <w:t>tufted, whether or not made up, of wool or fine animal hair Carpets and other textile floor coverings, tufted, whether or not made up, of wool or fine animal hair, nesoi Carpets and other textile floor coverings, tufted, whether or not made up, of nylon or other polyamides, hand-hooked Carpets and other textile floor coverings, tufted, whether or not made up, of nylon or other polyamides, nesoi Hand-hookded carpets &amp; other textile floor coverings, tufted, whether or not made up, of man-made materials (not nylon/other polyamides) Carpets &amp; other textile floor coverings, tufted, whether or not made up, of man-made textile materials (not nylon/other polyamides), nesoi Carpets and other textile floor coverings, tufted, whether or not made up, of other textile materials nesoi Carpet tiles of felt, not tufted or flocked, whether or not made up, having a maximum surface area of 0.3 m2 Carpet tiles of felt, not tufted or flocked, whether or not made up, having a maximum surface area exceeding 0.3m2 but not exceeding 1m2 Carpets and</w:t>
      </w:r>
    </w:p>
    <w:p>
      <w:pPr>
        <w:pStyle w:val="Normal"/>
        <w:widowControl/>
        <w:rPr/>
      </w:pPr>
      <w:r>
        <w:rPr/>
        <w:t>other textile floor coverings of felt, not tufted or flocked, whether or not made up, other surface area Carpets and other textile floor coverings, whether or not made up, of coir, nesoi Carpets and other textile floor coverings, whether or not made up, nesoi Woven pile fabrics and chenille fabrics, other than fabrics of heading 5802 or 5806, of wool or fine animal hair Uncut weft pile fabrics of cotton, other than fabrics of heading 5802 or 5806 Cut</w:t>
      </w:r>
    </w:p>
    <w:p>
      <w:pPr>
        <w:pStyle w:val="Normal"/>
        <w:widowControl/>
        <w:rPr/>
      </w:pPr>
      <w:r>
        <w:rPr/>
        <w:t>corduroy woven pile fabrics of cotton, greater than 7.5 wales per cm, other than fabrics of heading 5802 or 5806 Cut corduroy woven pile fabrics of cotton, less than 7.5 wales per cm, other than fabrics of heading 5802 or 5806 Weft pile fabrics, cut, of cotton, other than fabrics of heading 5802 or 5806, nesoi Chenille fabrics of cotton, other than fabrics of heading 5802 or 5806 Warp pile fabrics, epingle (uncut), of cotton, other than fabrics of heading 5802 or Warp pile fabrics, cut, of cotton, other than fabrics of heading 5802 or 5806 Uncut weft pile fabrics of man-made fibers, other than fabrics of heading 5802 or 5806 Cut corduroy of man-made fibers, other than fabrics of heading 5802 or 5806 Weft pile fabrics of man-made fibers, cut, other than fabrics of heading 5802 or 5806, nesoi Chenille fabrics of man-made fibers, other than fabrics of heading 5802 or 5806 Warp pile fabrics, epingle (uncut), of man-made fibers, other than fabrics of heading 5802 or 5806 Warp</w:t>
      </w:r>
    </w:p>
    <w:p>
      <w:pPr>
        <w:pStyle w:val="Normal"/>
        <w:widowControl/>
        <w:rPr/>
      </w:pPr>
      <w:r>
        <w:rPr/>
        <w:t>pile fabrics, cut, of man-made fibers, other than fabrics of heading 5802 or 5806 Woven pile fabrics and chenille fabrics of vegetable fibers except cotton, other than fabrics of heading 5802 or 5806 Woven pile fabrics and chenille fabrics of textile materials nesoi, other than fabrics of heading 5802 or 5806 Terry toweling and similar woven terry fabrics (other than narrow fabrics of heading 5806) of cotton, unbleached Terry toweling and similar woven terry fabrics (other than narrow fabrics of heading</w:t>
      </w:r>
    </w:p>
    <w:p>
      <w:pPr>
        <w:pStyle w:val="Normal"/>
        <w:widowControl/>
        <w:rPr/>
      </w:pPr>
      <w:r>
        <w:rPr/>
        <w:t>5806) of cotton, other than unbleached Terry toweling and similar woven terry fabrics (other than narrow fabrics of heading 5806) of textile materials other than cotton Tufted textile fabrics, other than products of heading 5703 Gauze (other than narrow fabrics of heading 5806) of cotton Gauze (other than narrow fabrics of heading 5806) tapestry and upholstery fabrics, of wool or fine animal hair, weighing not over 140 g/m2 Gauze (not narrow fabrics of heading 5806), except tapestry and upholstery fabrics, of wool or fine animal hair, weighing n/o 140 g/m2 Gauze (other than narrow fabrics of heading 5806) of vegetable fibers except cotton Gauze (other than narrow fabrics of heading 5806) of man-made fibers Gauze (other than narrow fabrics of heading 5806) of other textile materials nesoi Tulles and other net fabrics (not including woven, knitted or crocheted fabrics) of cotton or man-made fibers Tulles and other net fabrics (not including woven, knitted or crocheted fabrics) of textile fibers except cotton or man-made Mechanically made lace, in the piece, in</w:t>
      </w:r>
    </w:p>
    <w:p>
      <w:pPr>
        <w:pStyle w:val="Normal"/>
        <w:widowControl/>
        <w:rPr/>
      </w:pPr>
      <w:r>
        <w:rPr/>
        <w:t>strips or in motifs (not fabric of heading 6002), of man-made fibers Mechanically made lace, in the piece, in strips or in motifs (not fabric of heading 6002), of cotton Mechanically made lace, in the piece, in strips or in motifs (not fabric of heading 6002), of textile materials (not cotton or mm fibers) Hand-made lace, in the piece, in strips or in motifs (other than fabrics of heading 6002) Hand-woven tapestries of</w:t>
      </w:r>
    </w:p>
    <w:p>
      <w:pPr>
        <w:pStyle w:val="Normal"/>
        <w:widowControl/>
        <w:rPr/>
      </w:pPr>
      <w:r>
        <w:rPr/>
        <w:t>the type Gobelins, Flanders, Aubusson, Beauvais and the like, used only as wall hangings, valued over $215/m2 Certified hand-loomed and folklore hand-woven tapestries nesoi and needle-worked tapestries, of wool or fine animal hair Hand-woven tapestries nesoi and needle-worked tapestries, of wool or fine animal hair Hand-woven tapestries nesoi and needle-worked tapestries, of cotton Hand-woven tapestries nesoi and needle-worked tapestries, other than of cotton, wool or fine animal hair Narrow woven pile fabrics (including terry toweling and the like) and chenille fabrics (other than goods of heading 5807) of cotton Narrow woven pile fastener fabric tapes (other than goods of heading 5807) of man- made fibers Narrow woven pile fabrics, incl terry toweling/chenille fabric (excl fastener fabric tape)) (other than goods of heading 5807) of m-m fibers Narrow woven pile fabrics (including terry toweling/the like) &amp; chenille fabrics, except of cotton or of m-m fibers (not goods of head 5807) Narrow woven fabrics (not goods of heading 5807), not pile, containing by weight 5 percent or more of elastomeric yarn or</w:t>
      </w:r>
    </w:p>
    <w:p>
      <w:pPr>
        <w:pStyle w:val="Normal"/>
        <w:widowControl/>
        <w:rPr/>
      </w:pPr>
      <w:r>
        <w:rPr/>
        <w:t>rubber thread Narrow woven fabrics (other than goods of heading 5807), not pile, not cont by wt 5% or more of elastomeric yarn or rubber, of cotton, nesoi Woven ribbons of man-made fibers, not pile, not cont by wt 5% or more of elastomeric yarn or rubber Narrow woven fabrics (other than ribbons), not pile, of man-made fibers, not cont by wt 5% or more of elastomeric yarn or</w:t>
      </w:r>
    </w:p>
    <w:p>
      <w:pPr>
        <w:pStyle w:val="Normal"/>
        <w:widowControl/>
        <w:rPr/>
      </w:pPr>
      <w:r>
        <w:rPr/>
        <w:t>rubber Narrow woven fabrics (not goods of heading 5807), not pile, of wool/fine animal hair, not cont by wt 5% or more elastomeric yarn or rubber Narrow woven fabric (not good of heading 5807), not pile, of vegetable fibers except cotton, not cont by wt 5% or more elastomer yarn/rubber Narrow woven fabrics (not goods of heading 5807), not pile, of textile materials nesoi, not cont by wt 5% or more elastomeric yarn or rubber Narrow fabrics consisting of warp without weft assembled by means of an adhesive (bolducs) Labels, in the piece, in strips or cut to shape or size, woven, not embroidered, of cotton or man-made fibers Labels, in the piece, in strips or cut to shape or size, woven, not embroidered, of textile materials other than cotton or man-made fibers Woven badges and similar articles of textile materials (except labels), in the piece, in strips or cut to shape or size, not embroidered Labels, in the piece, in strips or cut to shape or size, nonwoven, not</w:t>
      </w:r>
    </w:p>
    <w:p>
      <w:pPr>
        <w:pStyle w:val="Normal"/>
        <w:widowControl/>
        <w:rPr/>
      </w:pPr>
      <w:r>
        <w:rPr/>
        <w:t>embroidered, of cotton or man-made fibers Labels, in the piece, in strips or cut to shape or size, nonwoven, not embroidered, of textile materials other than cotton or man-made fiber Badges &amp; similar articles (except labels) of textile materials, not woven, not embroidered, in the piece, in strips or cut to shape or size Braids, in the piece, of abaca or ramie, suitable for making or ornamenting headwear Braids in the piece, suitable for making or ornamenting headwear, of cotton or man- made fibers Braids in the</w:t>
      </w:r>
    </w:p>
    <w:p>
      <w:pPr>
        <w:pStyle w:val="Normal"/>
        <w:widowControl/>
        <w:rPr/>
      </w:pPr>
      <w:r>
        <w:rPr/>
        <w:t>piece, suitable for making or ornamenting headwear, of textile materials other than cotton or man-made fibers Braids in the piece, not suitable for making or ornamenting headwear, of cotton or man- made fibers Braids in the piece, not suitable for making or ornamenting headwear, of textile materials other than cotton or man-made fibers Ornamental trimmings in the piece, without embroidery, other than knitted or crocheted;</w:t>
      </w:r>
    </w:p>
    <w:p>
      <w:pPr>
        <w:pStyle w:val="Normal"/>
        <w:widowControl/>
        <w:rPr/>
      </w:pPr>
      <w:r>
        <w:rPr/>
        <w:t>tassels, pompons and similar articles Woven fabrics of metal thread &amp; woven fabrics of metallized yarn of heading 5605, used in apparel, as furnishing fabrics or the like, nesoi Embroidery in the piece, in strips or in motifs, without visible ground Embroidery of cotton, in the piece, in strips or in motifs, other than without visible ground Badges, emblems, and motifs of man-made fibers, embroidered, in the piece or in strips, other than without visible ground Embroidery in the piece or in strips (excluding badges, emblems and motifs), of man- made fibers, other than without visible ground Embroidery in the piece, in strips or in motifs, of wool or fine animal hair, other than without visible ground Embroidery in piece/strips/motifs,of textile material except cotton, man-made fiber, wool or fine animal hair, other than w/o visible ground Quilted textile products in the piece (excluding embroidery), of one or more layers assembled with padding, of wool or fine animal hair Quilted textile products in the piece (excluding embroidery), of one or more layers</w:t>
      </w:r>
    </w:p>
    <w:p>
      <w:pPr>
        <w:pStyle w:val="Normal"/>
        <w:widowControl/>
        <w:rPr/>
      </w:pPr>
      <w:r>
        <w:rPr/>
        <w:t>assembled with padding, of cotton Quilted textile products in the piece (excluding embroidery), of one or more layers assembled with padding, of man-made fibers Quilted textile products in the piece (excluding embroidery), of one or more layers assembled with padding, of textile materials nesoi Textile fabrics coated with gum or amylaceous substances, of a kind used for outer covers of books or the like, of man-made fibers Textile fabrics coated with gum or amylaceous substances, of a kind used for outer covers of books or the like, other than man-made fibers Tracing cloth, prepared painting canvas, buckram and similar stiffened textile fabrics used in hat foundations, of man-made fibers Tracing cloth, prepared painting canvas, buckram and similar stiffened textile fabrics used in hat foundations, except of man-made fibers Tire cord fabric of high tenacity yarn of nylon or other polyamides Tire cord fabric of high tenacity yarn of polyesters Tire cord fabric of high tenacity yarns of viscose rayon Textile fabrics of cotton, impregnated, coated, covered or laminated with polyvinyl</w:t>
      </w:r>
    </w:p>
    <w:p>
      <w:pPr>
        <w:pStyle w:val="Normal"/>
        <w:widowControl/>
        <w:rPr/>
      </w:pPr>
      <w:r>
        <w:rPr/>
        <w:t>chloride Textile fabric spec in note 9 to sect XI, of man-made fibers, impreg, coated, covered or laminated w/polyvinyl chloride, over 60% plastics Textile fabrics spec in note 9 to section XI, of man-made fibers, impregnated, coated, covered or laminated with polyvinyl chloride, nesoi Textile fabrics nesoi,of man-made fibers,impregnated, coated, covered or laminated with polyvinyl chloride, over</w:t>
      </w:r>
    </w:p>
    <w:p>
      <w:pPr>
        <w:pStyle w:val="Normal"/>
        <w:widowControl/>
        <w:rPr/>
      </w:pPr>
      <w:r>
        <w:rPr/>
        <w:t>70% wt. rubber or plastics Textile fabrics nesoi,of man-made fibers,impregnated,coated,covered or laminated with polyvinyl chloride, n/o 70% by wt.</w:t>
      </w:r>
    </w:p>
    <w:p>
      <w:pPr>
        <w:pStyle w:val="Normal"/>
        <w:widowControl/>
        <w:rPr/>
      </w:pPr>
      <w:r>
        <w:rPr/>
        <w:t>rubber or plastics Textile fabrics nesoi, impregnated, coated, covered or laminated with polyvinyl chloride, other than those of heading 5902 Textile fabrics of cotton, impregnated, coated, covered or laminated with polyurethane Textile fabrics spec in note 9 to section XI, of man-made fibers, impreg, coated, covered or laminated with polyurethane, over 60% plastics Textile fabrics specified in note 9 to section XI, of man-made fibers, impregnated, coated, covered or laminated with polyurethane, nesoi Textile fabrics of man-made fibers, impregnated, coated, covered or laminated with polyurethane, over 70% weight rubber or plastics Textile fabrics of man-made fibers, impregnated, coated, covered or laminated with polyurethane, n/o 70% by weight rubber or plastics Textile fabrics nesoi, impregnated, coated, covered or laminated with polyurethane Textile fabrics of cotton, impregnated, coated, covered or laminated with plastics nesoi, other than those of heading 5902 Textile fabrics spec in note 9 to section XI, of man-made fibers, impreg, coated, covered or laminated w/plastics, nesoi, over 60% plastics Textile fabrics specified in note 9 to section XI, of man-made fabrics, impregnated, coated, covered or laminated with plastics, nesoi Textile fabrics of man-made fibers, impregnated, coated, covered or laminated with plastics,</w:t>
      </w:r>
    </w:p>
    <w:p>
      <w:pPr>
        <w:pStyle w:val="Normal"/>
        <w:widowControl/>
        <w:rPr/>
      </w:pPr>
      <w:r>
        <w:rPr/>
        <w:t>nesoi, over 70% weight rubber or plastics Textile fabrics of man-made fibers, impregnated, coated, covered or laminated with plastics, nesoi, n/o 70% by weight rubber or plastics Textile fabrics nesoi, impreg, coated, covered or laminated w/plastics other than vinyl chloride or polyurethane, other than those head 5902 Linoleum, whether or not cut to shape Floor coverings consisting of a coating or covering applied on a textile backing, with a base consisting of needleloom felt or nonwovens Floor coverings consisting of a coating or covering applied on textile backing, with textile base other than of needleloom felt or nonwovens Textile wall coverings backed with permanently affixed paper Textile wall coverings, nesoi Rubberized textile fabric adhesive tape of a width not exceeding 20 cm (other than fabric of heading 5902) Rubberized textile fabrics of cotton, knitted or crocheted (other than fabric of heading Rubberized textile fabrics (other than of heading 5902) nesoi, knitted or crocheted, of man-made fibers, ov 70% by wt of rubber or plastics Rubberized textile fabrics (other than of</w:t>
      </w:r>
    </w:p>
    <w:p>
      <w:pPr>
        <w:pStyle w:val="Normal"/>
        <w:widowControl/>
        <w:rPr/>
      </w:pPr>
      <w:r>
        <w:rPr/>
        <w:t>head 5902), nesoi, knitted or crocheted, of man-made fibers, n/o 70% by wt of rubber or plastics Rubberized textile fabrics (other than of heading 5902) nesoi, knitted or crocheted, other than of cotton or man-made fibers Rubberized textile fabrics not knitted or crocheted, of cotton, other than fabrics of heading 5902 Rubberized textile fabrics (other than of head 5902), nesoi, not knitted</w:t>
      </w:r>
    </w:p>
    <w:p>
      <w:pPr>
        <w:pStyle w:val="Normal"/>
        <w:widowControl/>
        <w:rPr/>
      </w:pPr>
      <w:r>
        <w:rPr/>
        <w:t>or crocheted, of man-made fibers, ov 70% by wt of rubber/plastics Rubberized textile fabrics (other than of head 5902), nesoi, not knitted or crocheted, of man-made fibers, n/o 70% by wt of rubber/plastics Rubberized textile fabrics, not knitted or crocheted, other than those of heading 5902, nesoi Laminated fabrics specified in note 9 to sect. XI of HTS, of m-m fiber, for theatrical, ballet, &amp; operatic scenery &amp; properties, incl sets Laminated fabrics spec in note 9 to sect XI of HTS, of m-m fiber, other than theatrical, ballet, &amp; operatic scenery &amp; properties, incl sets Lam fabs specified in nte 9 to sect. XI of HTS, of tx mats except m-m fiber, for theatrical, ballet, &amp; opera scenery &amp; properties, incl sets Lam fabs specified in nte 9 to sect.</w:t>
      </w:r>
    </w:p>
    <w:p>
      <w:pPr>
        <w:pStyle w:val="Normal"/>
        <w:widowControl/>
        <w:rPr/>
      </w:pPr>
      <w:r>
        <w:rPr/>
        <w:t>XI of HTS, of tx mats except m-m fiber, other than theatrical, ballet, &amp; oper scenery &amp; prop, incl sets Other fabric, impregnated, coated or covered, and painted canvas being theatrical scenery, back-cloths or the like, of man-made fibers Other fabric, impregnated, coated or covered, &amp; painted canvas being theatrical scenery, back-cloths or the like, other than man-made fibers Textile wicks, woven, plaited or knitted, for lamps, stoves, candles and the like; gas mantles and tubular knitted gas mantle fabric Textile hosepiping and similar textile tubing of vegetable fibers, with or without lining, armor or accessories of other materials Textile hosepiping and similar textile tubing nesoi, with or without lining, armor or accessories</w:t>
      </w:r>
    </w:p>
    <w:p>
      <w:pPr>
        <w:pStyle w:val="Normal"/>
        <w:widowControl/>
        <w:rPr/>
      </w:pPr>
      <w:r>
        <w:rPr/>
        <w:t>of other materials Transmission or conveyor belts or belting of man-made fibers Transmission or conveyor belts or belting of textile materials, other than man-made fibers Printers’ rubberized blankets of textile fabrics Textile fabrics, felt and felt-lined woven fabrics, combined with layer(s) of rubber, leather or other material, for technical uses, nesoi Bolting cloth fabrics principally used for stenciling purposes in screen-process printing, whether or not made up Bolting cloth nesoi, of silk, whether or not made up Bolting cloth, whether or not made up, nesoi Textile fabrics and felts, endless or fitted with linking devices, used for papermaking or similar machines, weighing less than 650 g/m2 Textile fabrics and felts, endless or fitted with linking devices, used for papermaking or similar machines, weighing 650 g/m2 or more Straining cloth of a kind used in oil presses or the like, of textile material or of human hair Textile products and articles, of a kind used in machinery or plants for technical uses, specified in note 7 to chapter 59, nesoi Knitted</w:t>
      </w:r>
    </w:p>
    <w:p>
      <w:pPr>
        <w:pStyle w:val="Normal"/>
        <w:widowControl/>
        <w:rPr/>
      </w:pPr>
      <w:r>
        <w:rPr/>
        <w:t>or crocheted “long pile” fabrics of man-made fibers Knitted or crocheted “long pile” fabrics, other than of man-made fibers Knitted or crocheted looped pile fabrics of cotton Knitted or crocheted looped pile fabrics of man-made fibers Knitted or crocheted looped pile fabrics of textile materials, other than of cotton or man-made fibers Knitted or crocheted pile fabrics (other than “long pile” or looped pile) of cotton</w:t>
      </w:r>
    </w:p>
    <w:p>
      <w:pPr>
        <w:pStyle w:val="Normal"/>
        <w:widowControl/>
        <w:rPr/>
      </w:pPr>
      <w:r>
        <w:rPr/>
        <w:t>Knitted or crocheted pile fabrics (other than “long pile” or looped pile) of man-made fibers Knitted or crocheted pile fabrics (except long or looped pile), of tex mats other than cotton or mmf, containing 85% or more by wt of silk Knitted or crocheted pile fabrics (except long or looped pile), of tex mats other than cotton or mmf, cont less than 85% by wt of silk, Knitted or crocheted fabrics nesoi, width not exceeding 30 cm, containing 5% or more elastomeric yarn but no rubber thread, of cotton Knitted or crocheted fabrics nesoi, width n/o 30 cm, containing 5% or more elastomeric yarn but no rubber thread, other than of cotton Knitted or crocheted fabrics nesoi, width not exceeding 30 cm, containing 5% or more elastomeric yarn or rubber thread nesoi, of cotton Knitted or crocheted fabrics nesoi, width n/o 30 cm, containing 5% or more elastomeric yarn or rubber thread nesoi, other than of cotton Warp knit open-worked fabrics of wool or fine animal hair, width not exceeding</w:t>
      </w:r>
    </w:p>
    <w:p>
      <w:pPr>
        <w:pStyle w:val="Normal"/>
        <w:widowControl/>
        <w:rPr/>
      </w:pPr>
      <w:r>
        <w:rPr/>
        <w:t>30 cm, other than those of heading 6001 or 6002 Knitted or crocheted fabrics of wool or fine animal hair nesoi, width not exceeding 30 cm, other than those of heading 6001 or 6002 Warp knit open-worked fabrics of cotton, width not exceeding 30 cm, other than those of heading 6001 or 6002 Knitted or crocheted fabrics of cotton (other than warp knit open-worked), width not exceed 30 cm, other than those of heading 6001 or 6002 Warp knit open-worked fabrics of synthetic fibers, width not exceeding 30 cm,</w:t>
      </w:r>
    </w:p>
    <w:p>
      <w:pPr>
        <w:pStyle w:val="Normal"/>
        <w:widowControl/>
        <w:rPr/>
      </w:pPr>
      <w:r>
        <w:rPr/>
        <w:t>other than those of heading 6001 or 6002 Knitted or crocheted fabrics of synthetic fibers nesoi, width not over 30 cm, other than those of heading 6001 or 6002 Warp knit open-worked fabrics of artificial fibers, width not exceeding 30 cm, other than those of heading 6001 or 6002 Knitted or crocheted fabrics of artifical fibers nesoi, width not over 30 cm, other than those of heading 6001 or 6002 Warp knit open-worked fabrics nesoi, width not exceeding 30 cm, other than those of heading 6001 or 6002 Knitted or crocheted fabrics nesoi, width not exceeding 30 cm, other than those of heading 6001 or 6002 Knitted or crocheted fabrics, width exceeding 30 cm, containing 5% or more of elastomeric yarn but no rubber thread, not of heading 6001 Knitted or crocheted fabrics, width exceeding 30 cm, containing 5% or more of elastomeric yarn and rubber thread, other than of heading 6001 Knitted or crocheted fabrics, width exceeding 30 cm, containing 5% or more of rubber thread, other than those</w:t>
      </w:r>
    </w:p>
    <w:p>
      <w:pPr>
        <w:pStyle w:val="Normal"/>
        <w:widowControl/>
        <w:rPr/>
      </w:pPr>
      <w:r>
        <w:rPr/>
        <w:t>of heading 6001 Unbleached or bleached warp knit fabrics (including those made on galloon knitting machines) of cotton, other than of headings 6001 to 6004 Dyed warp knit fabrics (including those made on galloon knitting machines) of cotton, other than those of headings 6001 to 6004 Warp knit fabrics of yarns of different colors (including made on galloon knitting machines) of cotton, other than headings 6001 to 6004 Printed warp knit fabrics (including those made on galloon knitting machines) of</w:t>
      </w:r>
    </w:p>
    <w:p>
      <w:pPr>
        <w:pStyle w:val="Normal"/>
        <w:widowControl/>
        <w:rPr/>
      </w:pPr>
      <w:r>
        <w:rPr/>
        <w:t>cotton, other than those of headings 6001 to 6004 Wrap knit fabrics of synthetic fibers,specified in subheading note 1 to this chapter excluding headings 6001 to 6004 Other wrap knit fabrics of synthetic fibers, bleached or unbleached, but not dyed and not specified in subheading note 1 to this chapter Other wrap knit fabrics of synthetic fibers, dyed, not specified in subheading note 1 to this chapter Other wrap knit fabrics of synthetic fibers, of yarns of different colors, not specified in subheading note 1 to this chapter Other wrap knit fabrics of synthetic fibers, printed, not specified in subheading note 1 to this chapter Unbleached or bleached warp knit fabrics (including made on galloon knitting machines) of artificial fiber, other than headings 6001 to 6004 Dyed warp knit fabrics (including those made on galloon knitting machines) of artificial fibers, other than those of headings 6001 to 6004 Warp knit fabrics of yarn of different color (including made on galloon knitting machine) of artificial fiber, other than headings 6001-6004 Printed</w:t>
      </w:r>
    </w:p>
    <w:p>
      <w:pPr>
        <w:pStyle w:val="Normal"/>
        <w:widowControl/>
        <w:rPr/>
      </w:pPr>
      <w:r>
        <w:rPr/>
        <w:t>warp knit fabrics (including those made on galloon knitting machine) of artificial fibers, other than those of headings 6001 to 6004 Warp knit fabrics (including those made on galloon knitting machines) of wool or fine animal hair, other than those of headings 6001 to 6004 Warp knit fabric (including made on galloon knit machine), not of wool/fine animal hair, cotton or manmade fiber, not of headings 6001-6004 Knitted or</w:t>
      </w:r>
    </w:p>
    <w:p>
      <w:pPr>
        <w:pStyle w:val="Normal"/>
        <w:widowControl/>
        <w:rPr/>
      </w:pPr>
      <w:r>
        <w:rPr/>
        <w:t>crocheted fabrics of wool or fine animal hair, nesoi Unbleached or bleached circular knit fabric, wholly of cotton yarns over 100 metric number per single yarn, nesoi Unbleached or bleached knitted or crocheted fabrics of cotton, nesoi Dyed circular knit fabric, wholly of cotton yarns over 100 metric number per single yarn, nesoi Dyed knitted or crocheted fabrics of cotton, nesoi Circular knit fabric, of yarns of different colors, wholly of cotton yarns over 100 metric number per single yarn, nesoi Knitted or crocheted fabrics of cotton, of yarns of different colors, nesoi Printed circular knit fabric, wholly of cotton yarns over 100 metric number per single yarn, nesoi Printed knitted or crocheted fabrics of cotton, nesoi Unbleached or bleached knitted or crocheted fabrics of synthetic fibers, nesoi Dyed knitted or crocheted fabrics of synthetic fibers, nesoi Knitted or crocheted fabrics of synthetic fibers, of yarns of different colors, nesoi Printed knitted or crocheted fabrics of synthetic fibers, nesoi Unbleached or bleached knitted or crocheted fabrics of artificial fibers, nesoi</w:t>
      </w:r>
    </w:p>
    <w:p>
      <w:pPr>
        <w:pStyle w:val="Normal"/>
        <w:widowControl/>
        <w:rPr/>
      </w:pPr>
      <w:r>
        <w:rPr/>
        <w:t>Dyed knitted or crocheted fabrics of artificial fibers, nesoi Knitted or crocheted fabrics of artificial fibers, of yarns of different colors, nesoi Printed knitted or crocheted fabrics of artificial fibers, nesoi Other knitted or crocheted fabrics nesoi, containing 85 percent or more by weight of silk or silk waste Other knitted or crocheted fabrics nesoi, other than of wool, cotton or</w:t>
      </w:r>
    </w:p>
    <w:p>
      <w:pPr>
        <w:pStyle w:val="Normal"/>
        <w:widowControl/>
        <w:rPr/>
      </w:pPr>
      <w:r>
        <w:rPr/>
        <w:t>manmade fibers &amp; containing &lt; 85% by wt of silk/silk waste Men’s or boys’ overcoats, carcoats, capes, cloaks, anoraks, windbreakers and similar articles, knitted or crocheted, of cotton Men’s or boys’ overcoats, carcoats, capes and like articles knitted or crocheted, of man- made fibers, 25% or more by weight of leather Men’s or boy’s overcoat,etc.,knitted or crocheted, of manmade fibers, containing 23% or more wool or fine animal hair, nesoi Men’s or boy’s overcoats, carcoats, capes, cloaks, windbreakers and similar articles, knitted or crocheted, of man-made fibers, nesoi Men’s or boys’ overcoats, carcoats, capes, cloaks, windbreakers and similar articles, knitted or crocheted, of wool or fine animal hair Men’s or boys’ overcoats, carcoats, etc., of tex mats (other than wool, cotton or mmf), cont 70% or more wt of silk, knitted or crocheted Men’s or boys’ overcoats, carcoats, etc., of tex mats (other than wool, cotton or mmf), cont less than 70% wt silk, knitted or crocheted Women’s or girls’ overcoats, carcoats, capes, windbreakers and similar articles, knitted or crocheted,</w:t>
      </w:r>
    </w:p>
    <w:p>
      <w:pPr>
        <w:pStyle w:val="Normal"/>
        <w:widowControl/>
        <w:rPr/>
      </w:pPr>
      <w:r>
        <w:rPr/>
        <w:t>of wool or fine animal hair Women’s or girls’ overcoats, carcoats, capes, cloaks, anoraks, windbreakers and similar articles, knitted or crocheted, of cotton Women’s or girls’ overcoats, carcoats, etc., knitted or crocheted, of manmade fibers, cont.</w:t>
      </w:r>
    </w:p>
    <w:p>
      <w:pPr>
        <w:pStyle w:val="Normal"/>
        <w:widowControl/>
        <w:rPr/>
      </w:pPr>
      <w:r>
        <w:rPr/>
        <w:t>25% or more by weight of leather Women’s or girls’ overcoats, carcoats, etc., knitted or crocheted, of manmade fibers, containing 23% or more of wool or fine animal hair Women’s or girls’ overcoats, carcoats, capes, windbreakers and similar articles, knitted or crocheted, of manmade fibers, nesoi Women’s or girls’ overcoats, carcoats, etc., of tex mats (other than wool, cotton or mmf), cont 70% or more wt of silk, knitted or crochet Women’s or girls’ overcoats, carcoats, etc., of tex mats (other than wool, cotton or mmf), cont less than 70% wt of silk, knitted/crocheted Men’s or boys’ suits, knitted or crocheted, of wool or fine animal hair Men’s or boys’ suits, knitted or crocheted, of synthetic fibers, containing 23 percent or more of wool or fine animal hair Men’s or boys’ suits, knitted or crocheted, of synthetic fibers, nesoi Men’s or boys’ suits, knitted or crocheted, of artificial fibers, containing 23 percent or more of wool or fine animal hair Men’s or boys’ suits, knitted or crocheted, of artificial fibers,</w:t>
      </w:r>
    </w:p>
    <w:p>
      <w:pPr>
        <w:pStyle w:val="Normal"/>
        <w:widowControl/>
        <w:rPr/>
      </w:pPr>
      <w:r>
        <w:rPr/>
        <w:t>nesoi Men’s or boys’ suits, knitted or crocheted, of cotton Men’s or boys’ suits, of tex mats(ex wool, cotton or mmf), containing 70% or more by weight of silk or silk waste, knitted or crocheted Men’s or boys’ suits, of tex mats (ex wool, cotton or mmf), containing under 70% by weight of silk or silk waste, knitted or crocheted Men’s or boys’ ensembles, knitted or crocheted, of cotton Men’s or boys’ ensembles, knitted or crocheted, of synthetic fibers Men’s or</w:t>
      </w:r>
    </w:p>
    <w:p>
      <w:pPr>
        <w:pStyle w:val="Normal"/>
        <w:widowControl/>
        <w:rPr/>
      </w:pPr>
      <w:r>
        <w:rPr/>
        <w:t>boys’ ensembles, knitted or crocheted, of wool or fine animal hair Men’s or boys’ ensembles, knitted or crocheted, of artificial fibers Men’s or boys’ ensembles, knitted or crocheted, of textile materials nesoi Men’s or boys’ suit-type jackets and blazers, knitted or crocheted, of wool or fine animal hair Men’s or boys’ suit-type jackets and blazers, knitted or crocheted, of cotton Men’s or boys’ suit-type jackets and blazers, knitted or crocheted, of synthetic fibers, containing 23% or more of wool or fine animal hair Men’s or boys’ suit-type jackets and blazers, knitted or crocheted, of synthetic fibers, nesoi Men’s or boys’ suit-type jackets and blazers, knitted or crocheted, of artificial fibers Men’s or boys’ suit-type jackets and blazers, of textile mats, (except wool, cotton, or mmf), cont 70% or more by wt of silk, knitted/croc Men’s or boys’ suit-type jackets and blazers, of textile mats, (except wool, cotton, or mmf), cont less than 70% by wt of silk, knitted/croc Men’s or boys’ trousers, breeches and shorts, knitted or crocheted, of wool</w:t>
      </w:r>
    </w:p>
    <w:p>
      <w:pPr>
        <w:pStyle w:val="Normal"/>
        <w:widowControl/>
        <w:rPr/>
      </w:pPr>
      <w:r>
        <w:rPr/>
        <w:t>or fine animal hair Men’s or boys’ bib and brace overalls, knitted or crocheted, of wool or fine animal hair Men’s or boys’ trousers, breeches and shorts, knitted or crocheted, of cotton Men’s or boys’ bib and brace overalls, knitted or crocheted, of cotton Men’s or boys’ trousers, breeches and shorts, knitted or crocheted, of syn.</w:t>
      </w:r>
    </w:p>
    <w:p>
      <w:pPr>
        <w:pStyle w:val="Normal"/>
        <w:widowControl/>
        <w:rPr/>
      </w:pPr>
      <w:r>
        <w:rPr/>
        <w:t>fibers, cont.</w:t>
      </w:r>
    </w:p>
    <w:p>
      <w:pPr>
        <w:pStyle w:val="Normal"/>
        <w:widowControl/>
        <w:rPr/>
      </w:pPr>
      <w:r>
        <w:rPr/>
        <w:t>23 percent or more of wool or fine animal hair Men’s or boys’ trousers, breeches and shorts, knitted or crocheted, of synthetic fibers, nesoi Men’s and boys’ bib and brace overalls of synthetic fibers, knitted or crocheted Men’s or boys’ trousers, breeches and shorts, knitted or crocheted, of artificial fibers Men’s or boys’ bib and brace overalls, knitted or crocheted, of artificial fibers Men’s or boys’ trousers, bib and brace overalls, breeches and shorts, of tex mat (except wool, cot or mmf), con 70% or more wt of silk, k/c Men’s or boys’ trousers, bib and brace overalls, breeches and shorts, of tex mat (except wool, cot or mmf), con under 70% by wt of silk, k/c Women’s or girls’ suits, knitted or crocheted, of synthetic fibers, containing 23 percent or more of wool or fine animal hair Women’s or girls’ suits, knitted or crocheted, of synthetic fibers, nesoi Women’s or girls’ suits, knitted or crocheted, of artificial fibers, containing 23 percent or more of wool or fine animal hair</w:t>
      </w:r>
    </w:p>
    <w:p>
      <w:pPr>
        <w:pStyle w:val="Normal"/>
        <w:widowControl/>
        <w:rPr/>
      </w:pPr>
      <w:r>
        <w:rPr/>
        <w:t>Women’s or girls’ suits, knitted or crocheted, of artificial fibers, nesoi Women’s or girls’ suits, of tex mats (ex wool, cotton or mmf), containing 70% or more by weight of silk or silk waste, knitted or crocheted Women’s or girls’ suits, knitted or crocheted, of wool or fine animal hair Women’s or girls’ suits, knitted or crocheted, of cotton Women’s or girls’ suits, of tex mats (ex wool, cotton or mmf), containing under 70% by weight of silk or silk waste, knitted or crocheted Women’s or</w:t>
      </w:r>
    </w:p>
    <w:p>
      <w:pPr>
        <w:pStyle w:val="Normal"/>
        <w:widowControl/>
        <w:rPr/>
      </w:pPr>
      <w:r>
        <w:rPr/>
        <w:t>girls’ ensembles, knitted or crocheted, of cotton Women’s or girls’ ensembles, knitted or crocheted, of synthetic fibers Women’s or girls’ ensembles, knitted or crocheted, of wool or fine animal hair Women’s or girls’ ensembles, knitted or crocheted, of artificial fibers Women’s or girls’ ensembles, knitted or crocheted, of textile materials nesoi Women’s or girls’ suit-type jackets and blazers, knitted or crocheted, of wool or fine animal hair Women’s or girls’ suit-type jackets and blazers, knitted or crocheted, of cotton Women’s or girls’ suit-type jackets &amp; blazers, knit or crocheted, of synthetic fibers, cont.</w:t>
      </w:r>
    </w:p>
    <w:p>
      <w:pPr>
        <w:pStyle w:val="Normal"/>
        <w:widowControl/>
        <w:rPr/>
      </w:pPr>
      <w:r>
        <w:rPr/>
        <w:t>23% or more of wool or fine animal hair Women’s or girls’ suit-type jackets and blazers, knitted or crocheted, of synthetic fibers, nesoi Women’s or girls’ suit-type jackets, knitted or crocheted, of artificial fibers Women’s or girls’ suit-type jackets, knitted or crocheted, of textile materials nesoi Women’s or girls’ dresses, knitted or crocheted, of wool or fine animal hair Women’s or girls’ dresses, knitted or crocheted, of cotton Women’s or girls’ dresses, knitted or crocheted, of synthetic fibers, containing 23 percent or more of wool or fine animal hair Women’s or girls’ dresses, knitted or crocheted, of synthetic fibers, nesoi Women’s or girls’ dresses, knitted or crocheted, of artificial fibers, containing 23 percent or more of wool or fine animal hair Women’s or girls’ dresses, knitted or crocheted, of artificial fibers, nesoi Women’s or girls’ dresses,</w:t>
      </w:r>
    </w:p>
    <w:p>
      <w:pPr>
        <w:pStyle w:val="Normal"/>
        <w:widowControl/>
        <w:rPr/>
      </w:pPr>
      <w:r>
        <w:rPr/>
        <w:t>of textile mats (ex wool, cotton or mmf), containing 70% or more by weight of silk or silk waste, knitted or croc Women’s or girls’ dresses, of textile mats (ex wool, cotton or mmf), containing under 70% by weight of silk or silk waste, knitted or croc Women’s or girls’ skirts and divided skirts, knitted or crocheted, of wool or fine animal hair Women’s or girls’ skirts and divided skirts, knitted or crocheted, of cotton Women’s or girls’ skirts &amp; divided skirts, knitted or crocheted, of synthetic fibers, cont.</w:t>
      </w:r>
    </w:p>
    <w:p>
      <w:pPr>
        <w:pStyle w:val="Normal"/>
        <w:widowControl/>
        <w:rPr/>
      </w:pPr>
      <w:r>
        <w:rPr/>
        <w:t>23% or more of wool or fine animal hair Women’s or girls’ skirts and divided skirts, knitted or crocheted, of synthetic fibers, nesoi Women’s or girls’ skirts and divided skirts, knitted or crocheted, of artificial fibers Women’s or girls’ skirts &amp; divided skirts, of textile mats (ex wool, cotton or mmf), containing 70% or more by wt of silk, knitted or croc Women’s or girls’ skirts and divided skirts, of textile mats (ex wool, cotton or mmf), containing under 70% by wt of silk, knitted or croc Women’s or girls’ trousers, bib and brace overalls, breeches and shorts, knitted or crocheted, of wool or fine animal hair Women’s or girls’ bib and brace overalls, knitted or crocheted, of cotton Women’s or girls’ trousers, breeches and shorts, knitted or crocheted, of cotton Women’s or girls’ bib and brace overalls, knitted or crocheted, of synthetic fibers Women’s or girls’ trousers, etc., knitted or crocheted, of synthetic fibers, containing 23 percent or more of wool or</w:t>
      </w:r>
    </w:p>
    <w:p>
      <w:pPr>
        <w:pStyle w:val="Normal"/>
        <w:widowControl/>
        <w:rPr/>
      </w:pPr>
      <w:r>
        <w:rPr/>
        <w:t>fine animal hair Women’s or girls’ trousers, breeches and shorts, knitted or crocheted, of synthetic fibers, nesoi Women’s or girls’ bib and brace overalls, knitted or crocheted, of artificial fibers Women’s or girls’ trousers, breeches and shorts, knitted or crocheted, of artificial fibers Women’s or girls’ trousers, bib &amp; brace overalls, breeches &amp; shorts, of tex mats (ex wool, cotton or mmf), cont 70% or more wt of silk, k/c Women’s or girls’ trousers, bib &amp; brace overalls, breeches &amp; shorts, of tex mats (ex wool, cotton or mmf), cont under 70% by wt of silk, k/c Men’s or boys’ shirts, knitted or crocheted, of cotton Men’s or boys’ shirts, knitted or crocheted, of manmade fibers, containing 23 percent or more of wool or fine animal hair Men’s or boys’ shirts, knitted or crocheted, of manmade fibers, nesoi Men’s or boys’ shirts, knitted or crocheted, of wool or fine animal hair Men’s or boys’ shirts, of textile materials (ex wool, cotton or mmf), containing 70% or more by weight of</w:t>
      </w:r>
    </w:p>
    <w:p>
      <w:pPr>
        <w:pStyle w:val="Normal"/>
        <w:widowControl/>
        <w:rPr/>
      </w:pPr>
      <w:r>
        <w:rPr/>
        <w:t>silk or silk waste, knitted/croch Men’s or boys’ shirts, of textile materials (ex wool, cotton or mmf), containing under 70% by weight of silk or silk waste, knitted/crochete Women’s or girls’ blouses and shirts, knitted or crocheted, of cotton Women’s or girls’ blouses and shirts, knitted or crocheted, of manmade fibers, containing 23 percent or more of wool or fine animal hair Women’s or girls’ blouses and shirts, knitted or crocheted, of man-made fibers, nesoi Women’s or girls’ blouses and</w:t>
      </w:r>
    </w:p>
    <w:p>
      <w:pPr>
        <w:pStyle w:val="Normal"/>
        <w:widowControl/>
        <w:rPr/>
      </w:pPr>
      <w:r>
        <w:rPr/>
        <w:t>shirts, knitted or crocheted, of wool or fine animal hair Women’s or girls’ blouses and shirts, of textile materials (ex wool, cotton or mmf), containing 70% or more weight of silk, knitted or croc Women’s or girls’ blouses and shirts, of textile materials (ex wool, cotton or mmf), containing under 70% by weight of silk, knitted or croc Women’s or girls’ blouses and shirts, knitted or crocheted, of textile materials nesoi Men’s or boys’ underpants and briefs, knitted or crocheted, of cotton Men’s or boys’ underpants and briefs, knitted or crocheted, of man-made fibers Men’s or boys’ underpants &amp; briefs, of textile materials (ex cotton or mmf), containing 70% or more by weight of silk or silk waste, k/croc Men’s or boys’ underpants and briefs, of textile materials (except cotton or mmf), containing under 70% by weight of silk, knitted or croc Men’s or boys’ nightshirts and pajamas, knitted or crocheted, of cotton Men’s or boys’ nightshirts and pajamas, knitted or crocheted, of man-made fibers Men’s or boys’ nightshirts and</w:t>
      </w:r>
    </w:p>
    <w:p>
      <w:pPr>
        <w:pStyle w:val="Normal"/>
        <w:widowControl/>
        <w:rPr/>
      </w:pPr>
      <w:r>
        <w:rPr/>
        <w:t>pajamas, knitted or crocheted, of wool or fine animal hair Men’s or boys’ nightshirts and pajamas, of textile materials (ex cotton, mmf or wool), containing 70% or more by wt of silk, knitted or croc Men’s or boys’ nightshirts and pajamas, of textile materials (ex cotton, mmf or wool), containing under 70% by wt of silk, knitted or croc Men’s or boys’ bathrobes, dressing gowns and similar articles, knitted or crocheted, of cotton Men’s or boys’ bathrobes,</w:t>
      </w:r>
    </w:p>
    <w:p>
      <w:pPr>
        <w:pStyle w:val="Normal"/>
        <w:widowControl/>
        <w:rPr/>
      </w:pPr>
      <w:r>
        <w:rPr/>
        <w:t>dressing gowns and similar articles, knitted or crocheted, of man-made fibers Men’s or boys’ bathrobes, dressing gowns and similar articles, knitted or crocheted, of wool or fine animal hair Men’s or boys’ bathrobes, dressing gowns, &amp; similar articles, of textile materials (except wool), containing 70% or more by wt of silk, k/c Men’s or boys’ bathrobes, dressing gowns, and similar articles, of textile materials (except wool), containing under 70% by wt of silk, k/c Women’s or girls’ slips and petticoats, knitted or crocheted, of man-made fibers Women’s or girls’ slips and petticoats, of textile materials (except mmf), containing 70% or more by weight of silk, knitted or crocheted Women’s or girls’ slips and petticoats, of textile materials (except mmf), containing under 70% by weight of silk, knitted or crocheted Women’s or girls’ briefs and panties, knitted or crocheted, of cotton Women’s or girls’ disposable briefs and panties designed for one-time use, of man- made fibers, knitted or crocheted Women’s or girls’ briefs and panties (other than disposable), of man-made fibers,</w:t>
      </w:r>
    </w:p>
    <w:p>
      <w:pPr>
        <w:pStyle w:val="Normal"/>
        <w:widowControl/>
        <w:rPr/>
      </w:pPr>
      <w:r>
        <w:rPr/>
        <w:t>knitted or crocheted Women’s or girls’ briefs and panties (other than disposable), of text materials (other than cotton or mmf) cont 70% or more wt of silk, k/c Women’s or girls’ briefs and panties (other than disposable), of text mats (other than cotton or mmf) cont under 70% by wt of silk, k/c Women’s or girls’ nightdresses and pajamas, knitted or crocheted, of cotton Women’s or girls’ nightdresses</w:t>
      </w:r>
    </w:p>
    <w:p>
      <w:pPr>
        <w:pStyle w:val="Normal"/>
        <w:widowControl/>
        <w:rPr/>
      </w:pPr>
      <w:r>
        <w:rPr/>
        <w:t>and pajamas, knitted or crocheted, of man-made fibers Women’s or girls’ nightdresses and pajamas, knitted or crocheted, of wool or fine animal hair Women’s or girls’ nightdresses &amp; pajamas, con. 70% or more by wt of silk or silk waste, knitted or crocheted Women’s or girls’ nightdresses &amp; pajamas, of textiles (except of cotton/mmf/wool), con. under 70% by wt of silk, knitted or crocheted Women’s or girls’ negligees, bathrobes, dressing gowns and similar articles, knitted or crocheted, of cotton Women’s or girls’ negligees, bathrobes, dressing gowns and similar articles, knitted or crocheted, of man-made fibers Women’s or girls’ negligees, bathrobes, dressing gowns and similar articles, knitted or crocheted, of wool or fine animal hair Women’s or girls’ bathrobes, negligees, &amp; sim. articles, con. 70% or more by wt of silk or silk waste, knitted or crocheted Women’s or girls’ bathrobes, negligees, &amp; sim.</w:t>
      </w:r>
    </w:p>
    <w:p>
      <w:pPr>
        <w:pStyle w:val="Normal"/>
        <w:widowControl/>
        <w:rPr/>
      </w:pPr>
      <w:r>
        <w:rPr/>
        <w:t>articles, of textiles (except of cotton/mmf/wool), con under 70% by wt of silk, k/c T-shirts, singlets, tank tops and similar garments, knitted or crocheted, of cotton T-shirts, singlets, tank tops and similar garments, knitted or crocheted, of man-made fibers T-shirts and similar garments, knitted or crocheted, of wool, with long sleeves T-shirts, singlets tanktops &amp; sim garments, of text mat (except cotton, mmf or long sleeve wool garments), cont 70% or more wt of silk, k/c T-shirts, singlets tanktops and sim garments, of text mat (except cotton, mmf or long sleeve wool garments), cont under 70% wt of silk, k/c Sweaters, pullovers, sweatshirts, waistcoats (vests) and similar articles, knitted or crocheted, of wool Sweaters, pullovers, sweatshirts, waistcoats (vests) and similar articles, knitted or crocheted, of Kashmir goats, wholly of cashmere Sweaters, pullovers, sweatshirts, waistcoats (vests) and similar articles, knitted or crocheted, of Kashmir goats, not wholly of cashmere Sweaters, pullovers, sweatshirts, waistcoats (vests) and similar articles, knitted or crocheted, of fine animal hair Sweaters, pullovers and similar articles, knitted or</w:t>
      </w:r>
    </w:p>
    <w:p>
      <w:pPr>
        <w:pStyle w:val="Normal"/>
        <w:widowControl/>
        <w:rPr/>
      </w:pPr>
      <w:r>
        <w:rPr/>
        <w:t>crocheted, of cotton, containing 36 percent or more of flax fibers Sweaters, pullovers and similar articles, knitted or crocheted, of cotton, nesoi Sweaters, pullovers, sweatshirts and similar articles, knitted or crocheted, of man-made fibers, cont.</w:t>
      </w:r>
    </w:p>
    <w:p>
      <w:pPr>
        <w:pStyle w:val="Normal"/>
        <w:widowControl/>
        <w:rPr/>
      </w:pPr>
      <w:r>
        <w:rPr/>
        <w:t>25% or more by weight of leather Sweaters, etc., knitted or crocheted, of manmade fibers, containing 23% or more of wool or fine animal hair Sweaters, pullovers &amp; similar articles, knitted or crocheted, of manmade fibers, containing 30 percent or more of silk or silk waste Sweaters, pullovers and similar articles, knitted or crocheted, of manmade fibers, nesoi Sweaters, pullovers, sweatshirts, vests and similar articles, of text mat (except wool, cotton or mmf), cont 70% or more by wt of silk, k/c Sweaters, pullovers, sweatshirts, vests and sim articles, of text mat (except wool, cotton or mmf), containing under 70% by wt of silk, k/c Babies’ blouses and shirts, except those imported as parts of sets, knitted or crocheted, of cotton Babies’ T-shirts, singlets and similar garments, except those imported as parts of sets, of cotton Babies’ sweaters, pullovers, sweatshirts and similar articles, except those imported as parts of sets, knitted or crocheted, of cotton Babies’ dresses, knitted or crocheted, of cotton Babies’ trousers, breeches and shorts, except those imported</w:t>
      </w:r>
    </w:p>
    <w:p>
      <w:pPr>
        <w:pStyle w:val="Normal"/>
        <w:widowControl/>
        <w:rPr/>
      </w:pPr>
      <w:r>
        <w:rPr/>
        <w:t>as parts of sets, knitted or crocheted, of cotton Babies’ garments and clothing accessories, knitted or crocheted, of cotton, nesoi Babies’ trousers, breeches and shorts, except those imported as parts of sets, knitted or crocheted, of synthetic fibers Babies’ blouses and shirts, except those imported as parts of sets, knitted or crocheted, of synthetic fibers Babies’ T-shirts, singlets and similar garments,</w:t>
      </w:r>
    </w:p>
    <w:p>
      <w:pPr>
        <w:pStyle w:val="Normal"/>
        <w:widowControl/>
        <w:rPr/>
      </w:pPr>
      <w:r>
        <w:rPr/>
        <w:t>except those imported as parts of sets, knitted or crocheted, of synthetic fibers Babies’ sweaters, pullovers and similar articles, except those imported as parts of sets, knitted or crocheted, of synthetic fibers Babies’ garments and clothing accessories, knitted or crocheted, of synthetic fibers, nesoi Babies’ garments and clothing accessories, knitted or crocheted, of wool or fine animal hair Babies’ trousers, breeches and shorts, except those imported as parts of sets, knitted or crocheted, of artificial fibers Babies’ blouses and shirts, except those imported as parts of sets, knitted or crocheted, of artificial fibers Babies’ T-shirts, singlets and similar garments, except those imported as parts of sets, knitted or crocheted, of artificial fibers Babies’ sweaters, sweatshirts, and similar articles, except those imported as parts of sets, knitted or crocheted, of artificial fibers Babies’ garments and clothing accessories, knitted or crocheted, of artificial fibers, nesoi Babies garments and clothing accessories, of textile materials (except wool, cotton or mmf), containing 70% or more by weight of silk, k/c Babies garments and clothing accessories,</w:t>
      </w:r>
    </w:p>
    <w:p>
      <w:pPr>
        <w:pStyle w:val="Normal"/>
        <w:widowControl/>
        <w:rPr/>
      </w:pPr>
      <w:r>
        <w:rPr/>
        <w:t>of textile materials (except wool, cotton or mmf), containing under 70% by weight of silk, k/c Track suits, knitted or crocheted, of cotton Track suits, knitted or crocheted, of synthetic fibers Track suits, knitted or crocheted, of artificial fibers Track suits, of textile materials (except cotton or mmf), containing 70%</w:t>
      </w:r>
    </w:p>
    <w:p>
      <w:pPr>
        <w:pStyle w:val="Normal"/>
        <w:widowControl/>
        <w:rPr/>
      </w:pPr>
      <w:r>
        <w:rPr/>
        <w:t>or more by weight of silk or silk waste, knitted or crocheted Track suits, of textile materials (except cotton or mmf), containing less than 70% by weight of silk or silk waste, knitted or crocheted Ski-suits, knitted or crocheted, of man-made fibers Ski-suits, knitted or crocheted, of textile materials other than man-made fibers Men’s or boys’ swimwear, knitted or crocheted, of synthetic fibers Men’s or boys’ swimwear, knitted or crocheted, of textile materials other than synthetic fibers Women’s or girls’ knitted or crocheted swimwear of synthetic fibers Women’s or girls’ swimwear, knitted or crocheted, of textile materials other than synthetic fibers Garments nesoi, made up of k/c fabrics of 5903, 5906 or 5907, w an outer surf impreg, coated, cov, or lam w rub/p mat which obscures the fab Garments nesoi, made up of k/c fabrics of 5903, 5906 or 5907, not impreg, coated, covered, or laminated w rubber or plastics materials Garments nesoi, knitted or crocheted, of cotton Tops, knitted or crocheted, of man-made fibers Bodysuits and bodyshirts, knitted</w:t>
      </w:r>
    </w:p>
    <w:p>
      <w:pPr>
        <w:pStyle w:val="Normal"/>
        <w:widowControl/>
        <w:rPr/>
      </w:pPr>
      <w:r>
        <w:rPr/>
        <w:t>or crocheted, of man-made fibers Garments nesoi, knitted or crocheted, of man-made fibers Garments nesoi, knitted or crocheted, of wool or fine animal hair Other garments nesoi, of textile materials (except wool, cotton or mmf), contain 70% or more by weight of silk or silk waste, knitted/croch Other garment, nesoi, of textile materials (except wool, cotton or mmf), containing under 70% by wt of silk or silk waste,</w:t>
      </w:r>
    </w:p>
    <w:p>
      <w:pPr>
        <w:pStyle w:val="Normal"/>
        <w:widowControl/>
        <w:rPr/>
      </w:pPr>
      <w:r>
        <w:rPr/>
        <w:t>knitted/crocheted Surgical panty hose and surgical stockings with graduated compression for orthopedic treatment Graduated compression panty hose and tights (not for orthopedic treatment), of synthetic fibers Graduated compression panty hose and tights (not for orthopedic treatment), of textile materials except synthetic fibers Graduated compression hosiery (except pantyhose and tights) (not for orthopedic treatment), of cotton Graduated compression hosiery (except pantyhose and tights) (not for orthopedic treatment), of synthetic fibers Graduated compression hosiery (except pantyhose and tights) (not for orthopedic treatment), of artificial fibers Graduated compression hosiery (except pantyhose and tights) (not for orthopedic treatment), nesoi Panty hose and tights (not graduated compression), knitted or crocheted, of synthetic fibers, measuring per single yarn less than 67 decitex Panty hose and tights (not graduated compression), knitted or crocheted, of synthetic fibers, measuring per single yarn 67 decitex or more Panty hose (not graduated compressoin) and tights, containing 70% or more by weight of silk or silk waste, knitted or crocheted Panty hose (not surgical) and tights, of textile materials nesoi, knitted or</w:t>
      </w:r>
    </w:p>
    <w:p>
      <w:pPr>
        <w:pStyle w:val="Normal"/>
        <w:widowControl/>
        <w:rPr/>
      </w:pPr>
      <w:r>
        <w:rPr/>
        <w:t>crocheted Women’s full-length or knee-length hosiery, measuring per single yarn less than 67 decitex containing 70% or more by wt of silk, knit/croc Women’s full-length or knee-length hosiery, measuring per single yarn less than 67 decitex containing under</w:t>
      </w:r>
    </w:p>
    <w:p>
      <w:pPr>
        <w:pStyle w:val="Normal"/>
        <w:widowControl/>
        <w:rPr/>
      </w:pPr>
      <w:r>
        <w:rPr/>
        <w:t>70% by wt of silk, knitted/croc Hosiery nesoi, knitted or crocheted, of wool or fine animal hair Stockings, socks, etc.</w:t>
      </w:r>
    </w:p>
    <w:p>
      <w:pPr>
        <w:pStyle w:val="Normal"/>
        <w:widowControl/>
        <w:rPr/>
      </w:pPr>
      <w:r>
        <w:rPr/>
        <w:t>(not surgical), knitted or crocheted, of cotton, containing lace or net Stockings, socks, etc. nesoi (not surgical and not containing lace or net), knitted or crocheted, of cotton Stockings, socks, etc. nesoi, knitted or crocheted, of synthetic fibers, containing lace or net Stockings, socks, etc. nesoi, knitted or crocheted, of synthetic fibers (not containing lace or net) Hosiery nesoi, of artificial fibers, containing lace or net Hosiery nesoi, knitted or crocheted, of artificial fibers, other than those containing lace or net Stockings and other hosiery, including footwear without applied soles, of textile materials(except mmf), cont 70% or more by wt of silk, k/c Stockings and other hosiery, including footwear without applied soles, of textile materials(except mmf), cont under 70% by wt of silk, knitt Ice hockey and field hockey gloves, knitted or crocheted, impregnated, coated or covered with plastics or rubber Other gloves, mittens and mitts, the foregoing specially designed for sports use, incl. ski and snowmobile gloves, mittens and mitts Gloves, mittens &amp; mitts, w/o four., k/c, coated w. plastics/rubber nesoi, cut &amp; sewn, of veg. fibers, cont.</w:t>
      </w:r>
    </w:p>
    <w:p>
      <w:pPr>
        <w:pStyle w:val="Normal"/>
        <w:widowControl/>
        <w:rPr/>
      </w:pPr>
      <w:r>
        <w:rPr/>
        <w:t>&gt; 50% by wt. of plastics/rubber Gloves, mittens &amp; mitts, w/o four., k/c, coated w. plastics/rubber, nesoi, cut &amp; sewn, of veg. fibers, cont.</w:t>
      </w:r>
    </w:p>
    <w:p>
      <w:pPr>
        <w:pStyle w:val="Normal"/>
        <w:widowControl/>
        <w:rPr/>
      </w:pPr>
      <w:r>
        <w:rPr/>
        <w:t>50 % or less wt. of plas./rub.</w:t>
      </w:r>
    </w:p>
    <w:p>
      <w:pPr>
        <w:pStyle w:val="Normal"/>
        <w:widowControl/>
        <w:rPr/>
      </w:pPr>
      <w:r>
        <w:rPr/>
        <w:t>Gloves, mittens &amp; mitts(excl sports), impreg etc, cut &amp; sewn from pre-exist non-veg fib impreg fab, w/o fourch, con ov 50% wt plast/rub k/c Gloves, mittens &amp; mitts(excl sports), impreg etc, cut &amp; sewn from pre-exist non-veg fib impreg fab, w/o fourch, con &lt; 50% wt pla/rub k/c Gloves, mittens &amp; mitts(excl ports), impreg etc, not cut &amp; sewn from pre-existing fabric, w/o fourch, con 50% or more wt of tex fibers, k/c Gloves, mittens &amp; mitts(excl sports), impreg etc, not cut &amp; sewn from pre-existing fabric, w/o fourch, cont &lt; 50% by wt of text fib, k/c Gloves, mittens &amp; mitts(excl sports), impreg etc, not cut &amp; sewn from pre-existing fabric, with fourch, con 50% or more wt of text fib, k/c Gloves, mittens &amp; mitts(excl sports), impreg etc, not cut &amp; sewn from pre-existing fab, w fourch, cont &lt; 50% by wt of textile fiber, k/c Gloves, mittens and mitts, knitted or crocheted, of wool or fine animal hair Ice hockey and field hockey gloves, knitted or crocheted,</w:t>
      </w:r>
    </w:p>
    <w:p>
      <w:pPr>
        <w:pStyle w:val="Normal"/>
        <w:widowControl/>
        <w:rPr/>
      </w:pPr>
      <w:r>
        <w:rPr/>
        <w:t>of cotton, not impregnated, coated or covered with plastics or rubber Gloves, etc., specially designed for sports, including ski and snowmobile gloves, mittens and mitts, knitted or crocheted, of cotton Gloves, mittens &amp; mitts, (excl.</w:t>
      </w:r>
    </w:p>
    <w:p>
      <w:pPr>
        <w:pStyle w:val="Normal"/>
        <w:widowControl/>
        <w:rPr/>
      </w:pPr>
      <w:r>
        <w:rPr/>
        <w:t>ski or snowmobile), knitted or crocheted, of cotton, made from a pre-existing machine knit fabric, w/o four.</w:t>
      </w:r>
    </w:p>
    <w:p>
      <w:pPr>
        <w:pStyle w:val="Normal"/>
        <w:widowControl/>
        <w:rPr/>
      </w:pPr>
      <w:r>
        <w:rPr/>
        <w:t>Gloves, mittens &amp; mitts (excl. ski or snowmobile), k/c, of cotton, from a pre-existing machine knit fabric, with fourchettes Gloves, mittens &amp; mitts, (excl.</w:t>
      </w:r>
    </w:p>
    <w:p>
      <w:pPr>
        <w:pStyle w:val="Normal"/>
        <w:widowControl/>
        <w:rPr/>
      </w:pPr>
      <w:r>
        <w:rPr/>
        <w:t>ski or snowmobile), k/c, of cotton, not made from a pre existing machine knit fabric, w/o fourchettes Gloves, mittens &amp; mitts, of cotton, k/c, not impreg. etc. with plas./rub., not from pre ex. mach. knit fabric, not for sports, with four. Ice hockey and field hockey gloves, knitted or crocehted, of synthetic fibers, not impregnated, coated or covered with plastics or rubber Gloves, mittens &amp; mitts, for sports use, (incl. ski and snowmobile gloves, etc.), of synthetic fibers Gloves, mittens &amp; mitts (excl. those designed for sports etc.), k/c, of synthetic fiber, cont. 23% or more wt. of wool etc., w/o four. Gloves, mittens &amp; mitts (excl. those designed for sports etc.), k/c, of synthetic fibers, cont. 23% or more wt. of wool etc., with four.</w:t>
      </w:r>
    </w:p>
    <w:p>
      <w:pPr>
        <w:pStyle w:val="Normal"/>
        <w:widowControl/>
        <w:rPr/>
      </w:pPr>
      <w:r>
        <w:rPr/>
        <w:t>Gloves, mittens &amp; mitts (excl. those designed for sports etc.), k/c, of synthetic fibers, under 23% by wt. of wool etc., w/o fourchettes Gloves, mittens &amp; mitts (excl. those designed for sports etc.), k/c, of synthetic fibers, under 23% by wt. of wool etc., with fourchettes Ice hockey and field hockey gloves, knitted or crocheted, of artificial fibers, not impregnated, coated or covered with plastics or rubber Gloves, mittens &amp; mitts specially designed for sports, including ski and snowmobile gloves, mittens and mitts, of artificial fibers Gloves, mittens &amp; mitts (excl. those designed for sports etc.), knitted/crocheted, of artificial fibers, without fourchettes Gloves, mittens &amp; mitts (excl.</w:t>
      </w:r>
    </w:p>
    <w:p>
      <w:pPr>
        <w:pStyle w:val="Normal"/>
        <w:widowControl/>
        <w:rPr/>
      </w:pPr>
      <w:r>
        <w:rPr/>
        <w:t>those designed for sports etc.), knitted or crocheted, of artificial fibers, with fourchettes Gloves, mittens and mitts, of textile materials(except wool, cotton or mmf), containing 70% or more by wt of silk or silk waste, knit/croc Gloves, mittens and mitts, of textile materials(except wool, cotton or mmf), containing under 70% by weight of silk or silk waste, knit/croc Shawls, scarves, mufflers, mantillas, veils and the like, knitted or crocheted, of wool or fine animal hair Shawls, scarves, mufflers, mantillas, veils and the like, knitted or crocheted, of man- made fibers Shawls, scarves, etc., knitted or crocheted, containing 70% or more by weight of silk or silk waste Shawls, scarves, mufflers, mantillas, veils and the like, nesoi Ties, bow ties and cravats, containing 70% or more by weight of silk or silk waste, knitted or crocheted Made up clothing accessories(excl shawls, scarves, mufflers, mantillas, veils and the like;</w:t>
      </w:r>
    </w:p>
    <w:p>
      <w:pPr>
        <w:pStyle w:val="Normal"/>
        <w:widowControl/>
        <w:rPr/>
      </w:pPr>
      <w:r>
        <w:rPr/>
        <w:t>ties and cravat), containing &gt;= 70% wt of silk, Headbands, ponytail holders &amp; similar articles, of textile materials other than containing 70% or more by weight of silk, knitted/crocheted Ties, bow ties and cravats, containing under 70% by weight of silk or silk waste, knitted or crocheted Made up clothing accessories (excl shawl, scarve, and like, tie, cravat, headband, ponytail holder and like), cont &lt; 70% wt of silk, k/c Parts of garments or of clothing accessories, containing 70% or more by weight of silk or silk waste, knitted or crocheted</w:t>
      </w:r>
    </w:p>
    <w:p>
      <w:pPr>
        <w:pStyle w:val="Normal"/>
        <w:widowControl/>
        <w:rPr/>
      </w:pPr>
      <w:r>
        <w:rPr/>
        <w:t>Parts of garments or of clothing accessories, containing under 70% by weight of silk or silk waste, knitted or crocheted Men’s or boys’ overcoats, carcoats, capes, cloaks and similar coats of wool or fine animal hair, not knitted or crocheted Men’s or boys’ overcoats, carcoats, capes, &amp; similar coats of cotton, not knit or crocheted, containing 15% or more by wt of down, etc Men’s or boys’ overcoats, carcoats, capes, &amp; similar coats of cotton, not knit or crocheted, not containing 15% or more by wt of down, etc Men’s or boys’ overcoats, carcoats, capes, &amp; like coats of man-made fibers, not knit or crocheted, cont. 15% or more by wt of down, etc Men’s or boys’ overcoats, carcoats, capes, &amp; like coats of manmade fibers, not knit or crocheted, cont.</w:t>
      </w:r>
    </w:p>
    <w:p>
      <w:pPr>
        <w:pStyle w:val="Normal"/>
        <w:widowControl/>
        <w:rPr/>
      </w:pPr>
      <w:r>
        <w:rPr/>
        <w:t>36 percent or more of wool, nesoi Men’s or boys’ overcoats, carcoats, capes, cloaks and similar coats, not knitted or crocheted, of manmade fibers, nesoi Men’s or boys’ overcoats, carcoats, capes, cloaks, &amp; sim coats, of tex mats(except wool, cotton or mmf), cont &gt; or = 70% by wt silk, not k/c Men’s or boys’ overcoats, carcoats, capes, cloaks, &amp; sim coats, of tex mats(except wool, cotton or mmf), cont under 70% by wt silk, not k/c Rec. perf.</w:t>
      </w:r>
    </w:p>
    <w:p>
      <w:pPr>
        <w:pStyle w:val="Normal"/>
        <w:widowControl/>
        <w:rPr/>
      </w:pPr>
      <w:r>
        <w:rPr/>
        <w:t>outwear, men’s/boys’ padded, sleevels jackets, not knit/crochet, of wool or fine animal Rec perf outwear, men’s or boys’ anoraks, windbreakers and similar articles nesoi, not knitted or crocheted, of wool or fine animal hair Men’s or boys’ padded, sleeveless jackets, not knitted or crocheted, of wool or fine animal hair, o/than rec. perf outwear Men’s or boys’ anoraks, windbreakers and similar articles nesoi, not knitted or crocheted, of wool or fine animal hair, o/than rec perf outwear Rec perf outwear, men’s/boys’ anoraks, windbreakers &amp; similar articles, not knit/crocheted, of cotton, containing 15% or more by weight of down, etc Rec perf outwear, men’s or boys’ anoraks, windbreakers and similar articles, nesoi, not knitted or crocheted, of cotton, water resistant Rec perf outwear, men’s/boys’ anoraks, windbreakers &amp; similar articles nesoi, not knit/crochet, of cotton, not cont.</w:t>
      </w:r>
    </w:p>
    <w:p>
      <w:pPr>
        <w:pStyle w:val="Normal"/>
        <w:widowControl/>
        <w:rPr/>
      </w:pPr>
      <w:r>
        <w:rPr/>
        <w:t>15% or more by wt of down, etc Men’s/boys’ anoraks, windbreakers &amp; sim articles, not knit/crochet, cotton, containing 15% or more by weight down, etc, o/than rec perf outwear Men’s or boys’ anoraks, windbreakers and similar articles, nesoi, not knitted or crocheted, of cotton, water resistant, o/than rec perf outwear Men’s or boys’ anoraks, windbreakers &amp; sim articles nesoi, not knit/crochet, cotton, not cont. 15% or more by wt of down, etc, o/than rec perf outwear Rec perf outwear, men’s/boys’ anoraks, windbreakers &amp; similar articles, not knit/crochet, of man-made fibers, cont.</w:t>
      </w:r>
    </w:p>
    <w:p>
      <w:pPr>
        <w:pStyle w:val="Normal"/>
        <w:widowControl/>
        <w:rPr/>
      </w:pPr>
      <w:r>
        <w:rPr/>
        <w:t>15% or more by wt of down, etc Rec perf outwear, men’s/boys’ padded, sleeveless jackets, not knit/ crochet, man-made fibers, not containing 15% or more by weight of down, etc Rec perf outwear, men’s/boys’ anoraks, etc, nesoi, not knit/crochet, of manmade fibers, containing 36 percent or more of wool or fine animal hair Rec perf outwear, men’s/boys’ anoraks, windbreakers and similar articles, not knitted or crocheted, of manmade fibers, nesoi, water resistant Rec perf outwear, men’s/boys’ anoraks, windbreakers and similar articles, not knitted or crocheted, of manmade fibers, nesoi Men’s/boys’ anoraks, windbreakers &amp; similar articles, not knit/crochet, man-made fibers, cont.</w:t>
      </w:r>
    </w:p>
    <w:p>
      <w:pPr>
        <w:pStyle w:val="Normal"/>
        <w:widowControl/>
        <w:rPr/>
      </w:pPr>
      <w:r>
        <w:rPr/>
        <w:t>15% or more by wt of down, etc, o/than rec perf outwear Men’s/boys’ padded, sleeveless jackets, not knit/crochet, man-made fibers, not containing 15% or more by wt of down, etc, o/than rec perf outwear Men’s/boys’ anoraks, etc, nesoi, not knit/crochet, manmade fibers, containing 36 percent or more of wool or fine animal hair, o/than rec perf outwear Men’s or boys’ anoraks, windbreakers &amp; similar articles, not knitted or crocheted, of manmade fibers, nesoi, water resistant, o/than rec perf outwear Men’s or boys’ anoraks, windbreakers and similar articles, not knitted or crocheted, of manmade fibers, nesoi, o/than rec perf outwear Rec perf outwear, men’s/boys’ anoraks, wind-breakers &amp; sim articles, not k/c, of tex mats (except wool, cotton or mmf), cont 70% or more by wt silk Rec perf outwear, men’s/boys’</w:t>
      </w:r>
    </w:p>
    <w:p>
      <w:pPr>
        <w:pStyle w:val="Normal"/>
        <w:widowControl/>
        <w:rPr/>
      </w:pPr>
      <w:r>
        <w:rPr/>
        <w:t>anoraks, wind-breakers &amp; sim articles, not k/c, text mats (not wool, cotton or mmf), cont under 70% by wt of silk Men’s/boys’ anoraks, wind-breakers &amp; sim articles, not k/c, tex mats (not wool, cotton or mmf), cont 70% or more by wt silk, o/than rec perf outwear men’s/boys’ anoraks, wind-breakers &amp; similar articles, not k/c, of text mats(except wool, cotton or mmf), cont under 70% by wt of silk, Women’s or girls’ overcoats, carcoats, capes, cloaks and similar coats, not knitted or crocheted, of wool or fine animal hair Women’s or girls’ overcoats, carcoats, etc, not knitted or crocheted, of cotton, containing 15% or more by weight of down, etc Women’s or girls’ overcoats, carcoats, etc, not knitted or crocheted, of cotton, not containing 15% or more by weight of down, etc Women’s or girls’ overcoats, carcoats, etc, not knitted or crocheted, of man-made fibers, containing 15% or more by weight of down, etc Women’s or girls’ overcoats, carcoats, etc, not knitted or crocheted, of m-m fibers, cont.</w:t>
      </w:r>
    </w:p>
    <w:p>
      <w:pPr>
        <w:pStyle w:val="Normal"/>
        <w:widowControl/>
        <w:rPr/>
      </w:pPr>
      <w:r>
        <w:rPr/>
        <w:t>36% or more of wool or fine animal hair, nesoi Women’s or girls’ overcoats, carcoats, capes, cloaks and similar articles, not knitted or crocheted, of man-made fibers, nesoi Women’s or girls’ overcoats, carcoats, capes, cloaks &amp; sim coats, of tex mats(except wool, cotton or mmf), con 70% or more wt silk, not k/c Women’s or girls’ overcoats, carcoats, capes, cloaks &amp; sim coats, of tex mats(except wool, cotton or mmf), con under 70% wt silk, not k/c Rec perf outwear, women’s or girls’ padded, sleeveless jackets, not knitted or crocheted, of wool or fine animal hair Rec perf outwear, women’s or girls’ anoraks, windbreakers and similar articles nesoi, not knitted or crocheted, of wool or fine animal hair Women’s or girls’ padded, sleeveless jackets, not knitted or crocheted, of wool or fine animal hair, o/than rec perf outwear Women’s or girls’ anoraks, windbreakers and similar articles nesoi, not knitted or crocheted, of wool or fine animal hair, o/than rec pert outwear Rec perf outwear, women’s/girls’ anoraks, windbreakers 7 similar articles, not knitt/crochet, cotton, cont.</w:t>
      </w:r>
    </w:p>
    <w:p>
      <w:pPr>
        <w:pStyle w:val="Normal"/>
        <w:widowControl/>
        <w:rPr/>
      </w:pPr>
      <w:r>
        <w:rPr/>
        <w:t>15% or more by weight of down Rec perf outwear, women’s/girls’ anoraks, windbreakers and similar articles, not knitted or crocheted, of cotton, nesoi, water resistant Rec perf outwear, women’s/girls’ anoraks, windbreakers &amp; similar articles, nt knit/crochet, of cotton, nt cont. 15% or more by wt of down, etc Women’s/girls’ anoraks, windbreakers &amp; similar articles, not knit/crochet, cotton, cont.</w:t>
      </w:r>
    </w:p>
    <w:p>
      <w:pPr>
        <w:pStyle w:val="Normal"/>
        <w:widowControl/>
        <w:rPr/>
      </w:pPr>
      <w:r>
        <w:rPr/>
        <w:t>15% or more by weight of down, o/than rec perf outwear Women’s or girls’ anoraks, windbreakers and similar articles, not knitted or crocheted, of cotton, nesoi, water resistant, o/than rec perf outwear Women’s/girls’ anoraks, windbreakers &amp; similar articles, nt knit/crochet, cotton, nt cont. 15% or more by wt of down, etc, o/than rec perf outwear Women’s or girls’ anoraks, windbreakers &amp; like articles, not knitted or crocheted, of man-made fibers, cont. 15% or more by wt of down, etc Rec perf outwear, women’s/girls’ padded, sleeveless jackets, not knit/crochet, man- made fibers, not cont. 15% or more by weight of down, etc Rec perf outwear, women’s/girls’ anoraks, windbreakers, etc, nt knit/crochet, manmade fibers, cont. 36% or more of wool or fine animal hair, nesoi Rec perf outwear, women’s/girls’ anoraks, windbreakers &amp; similar articles, not knit/crochet, manmade fibers, nesoi, water resistant Rec perf outwear, women’s/girls’ anoraks, windbreakers &amp; similar articles, not knitted or crocheted, of man-made fibers, nesoi Women’s/girls’ anoraks, windbreakers &amp; like articles, not knit/crochet, man-made fibers, cont.</w:t>
      </w:r>
    </w:p>
    <w:p>
      <w:pPr>
        <w:pStyle w:val="Normal"/>
        <w:widowControl/>
        <w:rPr/>
      </w:pPr>
      <w:r>
        <w:rPr/>
        <w:t>15% or more by wt of down, etc, o/than rec perf outwear Women’s/girls’ padded, sleeveless jackets, not knit/crochet, man-made fibers, not cont. 15% or more by wt of down, etc, o/than rec perf outwear Women’s/girls’ anoraks, windbreakers, etc, nt knit/crochet, mm fibers, cont.</w:t>
      </w:r>
    </w:p>
    <w:p>
      <w:pPr>
        <w:pStyle w:val="Normal"/>
        <w:widowControl/>
        <w:rPr/>
      </w:pPr>
      <w:r>
        <w:rPr/>
        <w:t>36% or more wool or fine animal hair, nesoi, o/than rec perf outwear Women’s/girls’ anoraks, windbreakers &amp; similar articles, not knit/crochet, of manmade fibers, nesoi, water resistant, o/than rec perf outwer Women’s or girls’ anoraks, windbreakers and similar articles, not knitted or crocheted, of man-made fibers, nesoi, o/than rec perf outwear Rec perf outwear, women’s/girls’ anoraks, wind-breakers &amp; similar articles,not k/c, tex mats (not wool, cotton or mmf), cont 70% or more by wt silk Rec perf outwear, women’s/girls’ anoraks, wind-breakers &amp; similar articles, not k/c, tex mats (not wool, cotton or mmf), cont &lt; 70% by wt of silk Women’s/girls’ anoraks, wind-breakers, etc, not k/c, tex mats (not wool, cotton or mmf), cont 70% or more by wt silk, o/than rec perf outwear Women’s/girls’ anoraks, wind-breakers &amp; similar articles, not k/c, of tex mats (not wool, cotton or mmf), cont &lt; 70% by wt of silk, Men’s/boys’ suits of wool, not knitted or crocheted, 30% or more of silk or silk waste, of wool yarn w/avg fiber diameter 18.5</w:t>
      </w:r>
    </w:p>
    <w:p>
      <w:pPr>
        <w:pStyle w:val="Normal"/>
        <w:widowControl/>
        <w:rPr/>
      </w:pPr>
      <w:r>
        <w:rPr/>
        <w:t>micron or &lt; Men’s or boys’ suits of wool or fine animal hair, not knitted or crocheted, containing 30 percent or more of silk or silk waste, nesoi Men’s or boys’ suits of wool, not knitted or crocheted, nesoi, of wool yarn with average fiber diameter of 18.5 micron or less Men’s or boys’ suits of wool or fine animal hair, not knitted or crocheted, nesoi Men’s or boys’ suits, of synthetic fibers, not knitted or crocheted, containing 36 percent or more</w:t>
      </w:r>
    </w:p>
    <w:p>
      <w:pPr>
        <w:pStyle w:val="Normal"/>
        <w:widowControl/>
        <w:rPr/>
      </w:pPr>
      <w:r>
        <w:rPr/>
        <w:t>by weight of wool or fine animal hair Men’s or boys’ suits, of synthetic fibers, under 36% by weight of wool, not knitted or crocheted Men’s or boys’ suits, not knitted or crocheted, of cotton Men’s or boys’ suits, of artificial fibers, not knitted or crocheted, containing 36 percent or more of wool or fine animal hair Men’s or boys’ suits, of artificial fibers, nesoi, not knitted or crocheted Men’s or boys’ suits, of textile mats(except wool, cotton or mmf), containing 70% or more by weight of silk or silk waste, not knit or croch Men’s or boys’ suits, of textile mats(except wool, cotton or mmf), containing under 70% by weight of silk or silk waste, not knit or croch Men’s or boys’ judo, karate and other oriental martial arts uniforms, not knitted or crocheted, of cotton Men’s or boys’ ensembles, not knitted or crocheted, of cotton, other than judo, karate and other oriental martial arts uniforms Men’s or boys’ ensembles, not knitted or crocheted, of synthetic fibers Men’s or</w:t>
      </w:r>
    </w:p>
    <w:p>
      <w:pPr>
        <w:pStyle w:val="Normal"/>
        <w:widowControl/>
        <w:rPr/>
      </w:pPr>
      <w:r>
        <w:rPr/>
        <w:t>boys’ ensembles, not knitted or crocheted, of worsted wool fabric with wool yarn having average fiber diameter of 18.5 micron or &lt; Men’s or boys’ ensembles, not knitted or crocheted, of wool or fine animal hair Men’s or boys’ ensembles, not knitted or crocheted, of artificial fibers Men’s or boys’ ensembles, not knitted or crocheted, of textile materials nesoi Men’s or boys’ suit-type jackets and blazers, of worsted wool fabric of wool yarn fiber avg diameter 18.5 micron or &lt;, not knitt/crocheted Men’s</w:t>
      </w:r>
    </w:p>
    <w:p>
      <w:pPr>
        <w:pStyle w:val="Normal"/>
        <w:widowControl/>
        <w:rPr/>
      </w:pPr>
      <w:r>
        <w:rPr/>
        <w:t>or boys’ suit-type jackets and blazers, of wool or fine animal hair, not knitted or crocheted Men’s or boys’ suit-type jackets and blazers, not knitted or crocheted, of cotton, containing 36 percent or more of flax fibers Men’s or boys’ suit-type jackets and blazers, not knitted or crocheted, of cotton, under 36% by weight of flax Men’s or boys’ suit-type jackets and blazers, not knitted or crocheted, of synthetic fibers, cont.</w:t>
      </w:r>
    </w:p>
    <w:p>
      <w:pPr>
        <w:pStyle w:val="Normal"/>
        <w:widowControl/>
        <w:rPr/>
      </w:pPr>
      <w:r>
        <w:rPr/>
        <w:t>36% or more of wool or fine animal hair Men’s or boys’ suit-type jackets and blazers, not knitted or crocheted, of synthetic fibers, under 36% by weight of wool Men’s or boys’ suit-type jackets and blazers, of artificial fibers, containing 36% or more by weight of wool or fine animal hair, not k/c Men’s or boys’ suit-type jackets and blazers, not knitted or crocheted, of artificial fibers, under 36% by weight of wool Men’s or boys’ suit-type jackets and blazers, of textile materials(except wool, cotton or mmf), cont 70% or more by weight of silk, not k/c Men’s or boys’ suit-type jackets and blazers, of text materials(except wool, cotton or mmf), containing under 70% by weight of silk, not k/c Rec perf outwear, men’s/boys’ trousers &amp; breeches, wool or fine an.</w:t>
      </w:r>
    </w:p>
    <w:p>
      <w:pPr>
        <w:pStyle w:val="Normal"/>
        <w:widowControl/>
        <w:rPr/>
      </w:pPr>
      <w:r>
        <w:rPr/>
        <w:t>hair, cont elastomeric fib, water resist, w/o belt loops, weighing &gt;9 kg/doz Rec perf outwear, men’s/boys’ trousers and breeches, other than of HTS 6203.41.05, of wool yarn having average fiber diameter of 18.5 micron or less Rec perf outwear, men’s/boys’ trousers and breeches, other than of HTS 6203.41.05, nesoi Rec perf outwear, men’s/boys’ bib and brace overalls, not knitted or crocheted, of wool or fine animal hair Men’s/boys’ trousers &amp; breeches, wool or fine an. hair, cont elastomeric fib, water resist, w/o belt loops, wt &gt;9 kg/doz, o/than rec perf outwear Men’s/boys’ trousers and breeches, o/ than of HTS 6203.41.05, wool yarn w/ average fiber diam of 18.5 micron or less, o/than rec perf outwear Men’s or boys’ trousers and breeches, other than of HTSA 6203.41.05, nesoi, o/than rec perf outwear Men’s or boys’ bib and brace overalls, not knitted or crocheted, of wool or fine animal hair, o/than rec perf outwear Rec perf outwear, men’s/boys’ trousers, overalls &amp; shorts, not knit/crochet, of cotton, cont.</w:t>
      </w:r>
    </w:p>
    <w:p>
      <w:pPr>
        <w:pStyle w:val="Normal"/>
        <w:widowControl/>
        <w:rPr/>
      </w:pPr>
      <w:r>
        <w:rPr/>
        <w:t>10 to 15% or more by weight of down Rec perf outwear, men’s/boys’ bib and brace overalls, not knitted or crocheted, of cotton, not containing 10 to 15% or more by weight of down, etc Rec perf outwear, men’s/boys’ trousers &amp; shorts, not bibs, not knit/crochet, cotton, not containing 15% or more by weight of down, etc Men’s or boys’ trousers, overalls &amp; shorts, not knitted or crocheted, of cotton, cont. 10 to 15% or more by weight of down.</w:t>
      </w:r>
    </w:p>
    <w:p>
      <w:pPr>
        <w:pStyle w:val="Normal"/>
        <w:widowControl/>
        <w:rPr/>
      </w:pPr>
      <w:r>
        <w:rPr/>
        <w:t>o/than rec perf outwear Men’s/boys’ bib &amp; brace overalls, not knit/crochet, cotton, not containing 10 to 15% or more by weight of down, etc, o/than rec perf outwear Men’s/boys’ trousers &amp;shorts, not bibs, not knit/crochet, cotton, not containing 15% or more by weight of down, etc, o/than rec perf outwear Rec perf outwear, men’s/boys’ trousers, bib &amp; brace overalls, breeches &amp; shorts, not knit/crochet, syn. fibers, cont. 15% or more of down, etc Rec perf outwear, men’s/boys’ bib and brace overalls, not knitted or crocheted, of synthetic fibers, water resistant, not down Rec perf outwear, men’s/boys’ bib and brace overalls, not knitted or crocheted, of synthetic fibers, not down, not water resistant Rec perf outwear, men’s /boys’ trousers, etc, not knit/crochet, of synthetic fibers, containing 36 percent or more of wool or fine animal hair Rec perf outwear, men’s/boys’ trousers and breeches, not knitted or crocheted, of synthetic fibers, nesoi, water resistant Rec perf outwear, men’s/boys’ trousers, breeches &amp; shorts, not k/c, synth fibers, cont under 15% wt down etc, cont under 36% wt wool, n/water resist, Men’s /boys’ trousers, bib &amp; brace overalls, breeches &amp; shorts, not knit/crochet, syn. fibers, cont.</w:t>
      </w:r>
    </w:p>
    <w:p>
      <w:pPr>
        <w:pStyle w:val="Normal"/>
        <w:widowControl/>
        <w:rPr/>
      </w:pPr>
      <w:r>
        <w:rPr/>
        <w:t>15% or more down, etc, o/than rec perf outwear Men’s or boys’ bib and brace overalls, not knitted or crocheted, of synthetic fibers, water resistant, not down, o/than rec perf outwear Men’s or boys’ bib and brace overalls, not knitted or crocheted, of synthetic fibers, not down, not water resistant, o/than rec perf outwear Men’s or boys’ trousers, breeches and shorts, not knitted or crocheted, of synthetic fibers, certified hand-loomed and folklore products Men’s/boys’ trousers, etc, not knit/crochet, synthetic fibers, containing 36 percent or more of wool or fine animal hair, o/than rec perf outwear Men’s or boys’ trousers and breeches, not knitted or crocheted, of synthetic fibers, nesoi, water resistant, o/than rec perf outwear Men’s/boys’ trousers, breeches, shorts, not k/c, synth fibers, con under 15% wt down etc, cont und 36% wt wool, n/water resist, not rec perf outwear Rec perf outwear, men’s/boys’ bib and brace overalls, not knitted or crocheted, of artificial fibers Rec perf outwear, men’s/boys’ trousers, breeches and shorts, not knitted or crocheted, of artificial fibers,</w:t>
      </w:r>
    </w:p>
    <w:p>
      <w:pPr>
        <w:pStyle w:val="Normal"/>
        <w:widowControl/>
        <w:rPr/>
      </w:pPr>
      <w:r>
        <w:rPr/>
        <w:t>nesoi Rec perf outwear, men’s/boys’ trousers, bib &amp; brace overalls, breeches &amp; shorts, not k/c, tex mats (not wool, cotton, mmf), cont &gt; or = 70% wt silk Rec perf outwear, men’s/boys’ trousers, bib/brace overalls, breeches &amp; shorts, not k/c, tex mats (not wool, cotton, mmf), con &lt; 70% by wt silk, Men’s or boys’ bib and brace overalls, not knitted or crocheted, of artificial fibers, o/than rec</w:t>
      </w:r>
    </w:p>
    <w:p>
      <w:pPr>
        <w:pStyle w:val="Normal"/>
        <w:widowControl/>
        <w:rPr/>
      </w:pPr>
      <w:r>
        <w:rPr/>
        <w:t>perf outwear Men’s or boys’ trousers, breeches and shorts, not knitted or crocheted, of artificial fibers, certified hand-loomed and folklore products Men’s or boys’ trousers, breeches and shorts, not knitted or crocheted, of artificial fibers, nesoi, o/than rec perf outwear Men’s/boys’ trousers, bib/brace overalls, breeches &amp; shorts, not k/c, tex mats (not wool, cotton, mmf), cont &gt; or = 70% wt silk,, not rec P outwear Men’s/boys’ trousers, bib/brace overalls, breeches &amp; shorts, not k/c, tex mats (not wool, cotton, mmf), con &lt; 70% by wt silk, o/than rec perf outwear Women’s or girls’ suits, not knitted or crocheted, of wool or fine animal hair Women’s or girls’ suits, not knitted or crocheted, of cotton Women’s or girls’ suits, not knitted or crocheted, of synthetic fibers, containing 36 percent or more of wool or fine animal hair Women’s or girls’ suits, not knitted or crocheted, of synthetic fibers, nesoi Women’s or girls’ suits, not knitted or crocheted, of artificial fibers, containing 36 percent or more of wool or fine</w:t>
      </w:r>
    </w:p>
    <w:p>
      <w:pPr>
        <w:pStyle w:val="Normal"/>
        <w:widowControl/>
        <w:rPr/>
      </w:pPr>
      <w:r>
        <w:rPr/>
        <w:t>animal hair Women’s or girls’ suits, not knitted or crocheted, of artificial fibers, nesoi Women’s or girls’ suits, of textile materials(except wool,cotton or mmf), containing 70% or more by weight of silk or silk waste, not k/c Women’s or girls’ suits, of textile material(except wool,cotton or mmf), containing under 70% by weight of silk or silk waste, not knit/croc Women’s or girls’ ensembles, not knitted or crocheted, of wool or fine animal hair</w:t>
      </w:r>
    </w:p>
    <w:p>
      <w:pPr>
        <w:pStyle w:val="Normal"/>
        <w:widowControl/>
        <w:rPr/>
      </w:pPr>
      <w:r>
        <w:rPr/>
        <w:t>Women’s or girls’ judo, karate and other oriental martial arts uniforms, not knitted or crocheted, of cotton Women’s or girls’ ensembles, not knitted or crocheted, of cotton, other than judo, karate and other oriental martial arts uniforms Women’s or girls’ ensembles, not knitted or crocheted, of synthetic fibers Women’s or girls’ ensembles, not knitted or crocheted, of artificial fibers Women’s or girls’ ensembles, not knitted or crocheted, of textile materials nesoi Women’s or girls’ suit-type jackets &amp; blazers, of wool or fine animal hair, not knitted or crocheted, cont. 30% or more of silk/silk waste Women’s or girls’ suit-type jackets and blazers, of wool or fine animal hair, not knitted or crocheted, under 30% by weight of silk Women’s or girls’ suit-type jackets and blazers, of cotton, not knitted or crocheted, containing 36 percent or more of flax fibers Women’s or girls’ suit-type jackets and blazers, of cotton, not knitted or crocheted, under 36% flax Women’s or girls’ suit-type jackets and blazers, not knitted or crocheted, of synthetic fibers, cont.</w:t>
      </w:r>
    </w:p>
    <w:p>
      <w:pPr>
        <w:pStyle w:val="Normal"/>
        <w:widowControl/>
        <w:rPr/>
      </w:pPr>
      <w:r>
        <w:rPr/>
        <w:t>30% or more of silk/silk waste Women’s or girls’ suit-type jackets and blazers, not knitted or crocheted, of synthetic fibers, containing 36 percent or more of flax fibers Women’s or girls’ suit-type jackets &amp; blazers, not knitted or crocheted, of synthetic fibers, cont.</w:t>
      </w:r>
    </w:p>
    <w:p>
      <w:pPr>
        <w:pStyle w:val="Normal"/>
        <w:widowControl/>
        <w:rPr/>
      </w:pPr>
      <w:r>
        <w:rPr/>
        <w:t>36% or more of wool or fine animal hair Women’s or girls’ suit-type jackets and blazers, not knitted or crocheted, of synthetic fibers, nesoi Women’s or girls’ suit-type jackets &amp; blazers, not knitted or crocheted, of artificial fibers, cont. 36% or more of wool or fine animal hair Women’s or girls’ suit-type jackets and blazers, not knitted or crocheted, of artificial fibers, under 36% by weight of wool Women’s or girls’ suit-type jackets and blazers, not knitted/crocheted, of textile materials nesoi, cont.</w:t>
      </w:r>
    </w:p>
    <w:p>
      <w:pPr>
        <w:pStyle w:val="Normal"/>
        <w:widowControl/>
        <w:rPr/>
      </w:pPr>
      <w:r>
        <w:rPr/>
        <w:t>70% + of silk or silk waste Women’s or girls’ suit-type jackets and blazers, not knitted or crocheted, of textile materials nesoi Women’s or girls’ dresses, not knitted or crocheted, of wool or fine animal hair, containing 30 percent of silk or silk waste Women’s or girls’ dresses, not knitted or crocheted, of wool or fine animal hair, under 30% by weight of silk Women’s or girls’ dresses, not knitted or crocheted, of cotton, certified hand-loomed and folklore products Women’s or girls’ dresses, not knitted or crocheted, of cotton, containing 36 percent or more of flax fibers, other than certified Women’s or girls’ dresses, not knitted or crocheted, of cotton, nesoi Women’s or girls’ dresses, not knitted or crocheted, of synthetic fibers, certified hand- loomed and folklore products Women’s or girls’ dresses, not knit or crocheted, of synthetic fibers, containing 30% or more of silk or silk waste, other than certified Women’s or girls’ dresses, of synthetic fibers, not</w:t>
      </w:r>
    </w:p>
    <w:p>
      <w:pPr>
        <w:pStyle w:val="Normal"/>
        <w:widowControl/>
        <w:rPr/>
      </w:pPr>
      <w:r>
        <w:rPr/>
        <w:t>knitted or crocheted, containing 36 percent or more of wool or fine animal hair, nesoi Women’s or girls’ dresses, not knitted or crocheted, of synthetic fibers, nesoi Women’s or girls’ dresses, not knitted or crocheted, of artificial fibers, nesoi, certified hand-loomed and folklore products Women’s or girls’ dresses, not knitted or crocheted, of artificial fibers, containing 36 percent or more of wool or fine animal hair Women’s or girls’ dresses, not knitted or crocheted, of artificial fibers, nesoi Women’s or girls’ dresses, not knitted or crocheted, containing 70% or more by weight of silk or silk waste Women’s or girls’ dresses, not knitted or crocheted, of textile materials nesoi Women’s or girls’ skirts and divided skirts, not knitted or crocheted, of wool or fine animal hair Women’s or girls’ skirts and divided skirts, not knitted or crocheted, of cotton, certified hand-loomed and folklore products Women’s or girls’ skirts and divided skirts, not knitted or crocheted, of cotton, nesoi Women’s or girls’ skirts and divided skirts, not knitted or crocheted, of synthetic fibers, certified hand-loomed and folklore products Women’s or girls’ skirts &amp; divided skirts, nt knit or crocheted, of synthetic fibers, cont.</w:t>
      </w:r>
    </w:p>
    <w:p>
      <w:pPr>
        <w:pStyle w:val="Normal"/>
        <w:widowControl/>
        <w:rPr/>
      </w:pPr>
      <w:r>
        <w:rPr/>
        <w:t>36% or more of wool or fine animal hair, nesoi Women’s or girls’ skirts and divided skirts, not knitted or crocheted, of synthetic fibers, nesoi Women’s or girls’ skirts and divided skirts, not knitted or crocheted, of artificial fibers, certified hand-loomed and folklore products Women’s or girls’ skirts &amp; divided skirts, nt knit or crocheted, of artificial fibers, cont.</w:t>
      </w:r>
    </w:p>
    <w:p>
      <w:pPr>
        <w:pStyle w:val="Normal"/>
        <w:widowControl/>
        <w:rPr/>
      </w:pPr>
      <w:r>
        <w:rPr/>
        <w:t>36% or more of wool or fine animal hair, nesoi Women’s or girls’ skirts and divided skirts, not knitted or crocheted, of artificial fibers, nesoi Women’s or girls’ skirts and divided skirts, not knitted or crocheted, of textile materials nesoi Rec perf outwear, women’s/girls’ trousers &amp; breeches,not k/c, wool or f.a.h., cont elastomeric fib, water resist, w/o belt loops, wt &gt; 6 kg/doz, Rec perf outwear, women’s/girls’ trousers &amp; breeches, not k/c, wool, w/o elastomeric fib, not water resist, w belt loops, weighing under 6 kg/doz, Women’s or girls’ trousers &amp; breeches, not k/c, wool or f.a.h., cont elastomeric fib, water resist, w/o belt loops, wt &gt; 6 kg/doz, not rec perf outwr Women’s or girls’ trousers &amp; breeches, not k/c, wool, w/o elastomeric fib, not water resist, w/belt loops, wt under 6 kg/doz, o/than rec perf outwear Rec perf outwear, women’s/girls’ trousers, bib/brace overalls, breeches &amp; shorts, not knit/crochet, cotton, cont.</w:t>
      </w:r>
    </w:p>
    <w:p>
      <w:pPr>
        <w:pStyle w:val="Normal"/>
        <w:widowControl/>
        <w:rPr/>
      </w:pPr>
      <w:r>
        <w:rPr/>
        <w:t>15% or more by wt of down, etc Rec perf outwear, women’s/girls’ bib and brace overalls, not knitted or crocheted, of cotton, not containing 15% or more by weight of down, etc Rec perf outwear, women’s or girls’ trousers, breeches and shorts, not knitted or crocheted, of cotton, nesoi Women’s/girls’ trousers, bib/brace overalls, breeches &amp; shorts, not knit/ crochet, cotton, cont. 15% or more by wt down, etc, o/than rec perf outwear Women’s/girls’ bib/brace overalls, not knit/crochet, cotton, not containing 15% or more by weight of down, etc. o/than rec perf outwear Women’s or girls’ trousers, breeches and shorts, not knitted or crocheted, of cotton, nesoi, certified hand-loomed and folklore products Women’s or girls’ trousers, breeches and shorts, not knitted or crocheted, of cotton, nesoi, o/than rec perf outwear Rec perf outwear, women’s/girls’ trousers, bib/brace overalls, breeches &amp; shorts, not knit/crochet, syn. fibers, cont. 15% or more down, etc. Rec perf outwear, women’s/girls’ bib/brace overalls, not knit/crochet, syn. fibers, water resistant, not cont.</w:t>
      </w:r>
    </w:p>
    <w:p>
      <w:pPr>
        <w:pStyle w:val="Normal"/>
        <w:widowControl/>
        <w:rPr/>
      </w:pPr>
      <w:r>
        <w:rPr/>
        <w:t>15% or more by wt. of down, etc Rec perf outwear, women’s/girls’ bib/ brace overalls of synthetic fibers, not knit/crochet, not cont. 15% or more by wt of down, etc, nesoi Rec perf outwear, women’s/girls’ trousers, breeches &amp; shorts, not knit/ crochet, syn. fibers, cont.</w:t>
      </w:r>
    </w:p>
    <w:p>
      <w:pPr>
        <w:pStyle w:val="Normal"/>
        <w:widowControl/>
        <w:rPr/>
      </w:pPr>
      <w:r>
        <w:rPr/>
        <w:t>36% or more of wool or fine animal hair, nesoi Rec perf outwear, women’s/girls’ trousers, breeches and shorts, not knitted or crocheted, of synthetic fibers, nesoi, water resistant Rec perf outwear, women’s or girls’ trousers, breeches and shorts, not knitted or crocheted, of synthetic fibers, nesoi Women’s/girls’ trousers, bib/brace overalls, breeches &amp; shorts, not knit/crochet, syn. fibers, cont. 15% or more down, etc., o/than rec perf outwear Women’s/girls’ bib/brace overalls, not knit/crochet, syn. fibers, water resistant, not cont. 15% or more by wt. of down, etc, o/than rec perf outwear Women’s/girls’ bib &amp; brace overalls of synthetic fibers, not knit/crochet, not cont. 15% or more by wt of down, etc, nesoi, o/than rec perf outwear Women’s or girls’ trousers, breeches &amp; shorts, not knit or crocheted, of synthetic fibers, nesoi, certified hand-loomed &amp; folklore products Women’s/girls’ trousers, breeches &amp; shorts, not knit/crochet, syn. fibers, cont.</w:t>
      </w:r>
    </w:p>
    <w:p>
      <w:pPr>
        <w:pStyle w:val="Normal"/>
        <w:widowControl/>
        <w:rPr/>
      </w:pPr>
      <w:r>
        <w:rPr/>
        <w:t>36% or more wool or fine animal hair, nesoi, o/than rec perf outwear Women’s or girls’ trousers, breeches and shorts, not knitted or crocheted, of synthetic fibers, nesoi, water resistant, o/than rec perf outwear Women’s or girls’ trousers, breeches and shorts, not knitted or crocheted, of synthetic fibers, nesoi, o/than rec perf outwear Rec perf outwear, women’s or girls’ bib and brace overalls, not knitted or crocheted, of artificial fibers Rec perf outwear, women’s/girls’ trousers, breeches &amp; shorts, not knit/crochet, artificial fibers, cont.</w:t>
      </w:r>
    </w:p>
    <w:p>
      <w:pPr>
        <w:pStyle w:val="Normal"/>
        <w:widowControl/>
        <w:rPr/>
      </w:pPr>
      <w:r>
        <w:rPr/>
        <w:t>36% or more of wool or fine animal hair Rec perf outwear, women’s/girls’ trousers, breeches and shorts, not knitted or crocheted, of artificial fibers, nesoi Rec perf outwear, women’s/girls’ trousers, bib/brace overalls, breeches &amp; shorts, not k/c, silk or silk waste, cont &gt; or = 70% wt silk or silk waste, Rec perf outwear, women’s/girls’ trousers, bib/brace overalls, breeches &amp; shorts, not k/c, silk or silk waste, cont under 70% by wt silk/silk waste, Rec perf outwear, women’s or girls’ trousers, bib and brace overalls, breeches and shorts, not knitted or crocheted, of textile materials nesoi Women’s or girls’ bib and brace overalls, not knitted or crocheted, of artificial fibers, o/than rec perf outwear Women’s/girls’ trousers, breeches &amp; shorts, not knit/crochet, artificial fibers, cont.</w:t>
      </w:r>
    </w:p>
    <w:p>
      <w:pPr>
        <w:pStyle w:val="Normal"/>
        <w:widowControl/>
        <w:rPr/>
      </w:pPr>
      <w:r>
        <w:rPr/>
        <w:t>36% or more wool or fine animal hair, o/than rec perf outwear Women’s or girls’ trousers, breeches and shorts, not knitted or crocheted, of artificial fibers, nesoi, o/than rec perf outwear Women’s/girls’ trousers, bib/brace overalls, breeches &amp; shorts, not k/c, silk or silk waste, cont &gt; or = 70% wt silk,silk waste, not rec perf outwear Women’s/girls’ trousers, bib/brace overalls, breeches &amp; shorts,not k/c, silk or silk waste, cont under 70% by wt silk/silk waste, not rec perf outwr Women’s/girls’ trousers, bib/brace overalls, breeches &amp; shorts, not knit/crochet, textile materials nesoi, o/than red perf outwear Men’s or boys’ shirts, not knitted or crocheted, of cotton, certified hand-loomed and folklore products Men’s or boys’ shirts, not knitted or crocheted, of cotton, nesoi Men’s or boys’ shirts, not knitted or crocheted, of manmade fibers, certified hand- loomed and folklore products Men’s or boys’ shirts, not knitted or crocheted, of manmade fibers, containing 36 percent or more of wool or fine animal hair, nesoi Men’s or boys’ shirts, not knitted or crocheted, of</w:t>
      </w:r>
    </w:p>
    <w:p>
      <w:pPr>
        <w:pStyle w:val="Normal"/>
        <w:widowControl/>
        <w:rPr/>
      </w:pPr>
      <w:r>
        <w:rPr/>
        <w:t>manmade fibers, nesoi Men’s or boys’ shirts, not knitted or crocheted, of wool or fine animal hair, certified hand-loomed and folklore products Men’s or boys’ shirts, not knitted or crocheted, of wool or fine animal hair, nesoi Men’s or boys’ shirts, of silk or silk waste, containing 70% or more by wt of silk or silk waste, not knitted or crocheted Men’s or boys’ shirts, of silk or silk waste, containing</w:t>
      </w:r>
    </w:p>
    <w:p>
      <w:pPr>
        <w:pStyle w:val="Normal"/>
        <w:widowControl/>
        <w:rPr/>
      </w:pPr>
      <w:r>
        <w:rPr/>
        <w:t>under 70% by wt of silk or silk waste, not knitted or crocheted Men’s or boys’ shirts, not knitted or crocheted, of textile materials, nesoi Women’s or girls’ blouses, shirts and shirt-blouses, not knitted or crocheted, of silk or silk waste Women’s or girls’ blouses and shirts, not knitted or crocheted, of wool or fine animal hair, certified hand-loomed and folklore products Women’s or girls’ blouses &amp; shirts, not knitted or crocheted, of wool or fine animal hair, containing 30% or more of silk/silk waste, nesoi Women’s or girls’ blouses and shirts, not knitted or crocheted, of wool or fine animal hair, nesoi Women’s or girls’ blouses and shirts, not knitted or crocheted, of cotton, certified hand- loomed and folklore products Women’s or girls’ blouses and shirts, not knitted or crocheted, of cotton, containing 36 percent or more of flax fibers, nesoi Women’s or girls’ blouses and shirts, not knitted or crocheted, of cotton, nesoi Women’s or girls’ blouses and shirts, not knitted or crocheted, of manmade fibers, certified hand-loomed</w:t>
      </w:r>
    </w:p>
    <w:p>
      <w:pPr>
        <w:pStyle w:val="Normal"/>
        <w:widowControl/>
        <w:rPr/>
      </w:pPr>
      <w:r>
        <w:rPr/>
        <w:t>and folklore products Women’s or girls’ blouses and shirts, not knitted or crocheted, of manmade fibers, containing 30 percent or more of silk/silk waste, nesoi Women’s or girls’ blouses, shirts and shirt-blouses, not knitted or crocheted, of manmade fibers, containing 36% or more of wool, nesoi Women’s or girls’ blouses and shirts, not knitted or crocheted, of manmade fibers, nesoi Women’s or girls’ blouses, shirts and shirt-blouses, not</w:t>
      </w:r>
    </w:p>
    <w:p>
      <w:pPr>
        <w:pStyle w:val="Normal"/>
        <w:widowControl/>
        <w:rPr/>
      </w:pPr>
      <w:r>
        <w:rPr/>
        <w:t>knitted or crocheted, of textile materials nesoi Men’s or boys’ underpants and briefs, not knitted or crocheted, of cotton Men’s or boys’ underpants and briefs, of textile mats(except cotton), cont 70% or more wt of silk or silk waste, not knitted/crocheted Men’s or boys’ underpants and briefs, of textile mats(except cotton), cont under 70% by wt of silk or silk waste, not knitted/crocheted Men’s or boys’ nightshirts and pajamas, not knitted or crocheted, of cotton Men’s or boys’ nightshirts and pajamas, not knitted or crocheted, of man-made fibers Men’s or boys’ nightshirts and pajamas, of textile materials(except cotton or mmf), cont 70% or more by wt of silk or silk waste, not k/c Men’s or boys’ nightshirts and pajamas, of textile materials(except cotton or mmf), cont under 70% by weight of silk or silk waste, not k/c Men’s or boys’ bathrobes, dressing gowns and similar articles, not knitted or crocheted, of cotton Men’s or boys’ singlets and other undershirts, not knitted or crocheted, of cotton Men’s or boys’ bathrobes, dressing</w:t>
      </w:r>
    </w:p>
    <w:p>
      <w:pPr>
        <w:pStyle w:val="Normal"/>
        <w:widowControl/>
        <w:rPr/>
      </w:pPr>
      <w:r>
        <w:rPr/>
        <w:t>gowns and similar articles, not knitted or crocheted, of wool or fine animal hair Men’s or boys’ singlets and other undershirts, not knitted or crocheted, of wool or fine animal hair Men’s or boys’ undershirts, bathrobes, &amp; sim art, cont 70% or more by wt of silk or silk waste, not knitted or crocheted Men’s or boys’ bathrobes, dressing gowns and similar articles, not knitted or crocheted, of man-made fibers Men’s or boys’ singlets and other</w:t>
      </w:r>
    </w:p>
    <w:p>
      <w:pPr>
        <w:pStyle w:val="Normal"/>
        <w:widowControl/>
        <w:rPr/>
      </w:pPr>
      <w:r>
        <w:rPr/>
        <w:t>undershirts, not knitted or crocheted, of man-made fibers, nesoi Men’s or boys’ undershirts, bathrobes, &amp; sim art, of text mats (except of cotton, mmf, wool, silk), not knitted or crocheted Women’s or girls’ slips and petticoats, not knitted or crocheted, of man-made fibers Women’s or girls’ slips and petticoats, not knitted or crocheted, of cotton Women’s or girls’ slips and petticoats, of textile materials (except mmf or cotton), cont 70% or more by wt of silk or silk waste, not k/c Women’s or girls’ slips and petticoats, of textile materials (except mmf or cotton), cont under 70% by weight of silk or silk waste, not k/c Women’s or girls’ nightdresses and pajamas, not knitted or crocheted, of cotton Women’s or girls’ nightdresses and pajamas, not knitted or crocheted, of man-made fibers Women’s or girls’ nightdresses and pajamas, of textile materials(except cotton or mmf), cont &gt; or = 70% by wt of silk or silk waste, not k/c Women’s or girls’ nightdresses and pajamas, of textile materials(except cotton or mmf), cont</w:t>
      </w:r>
    </w:p>
    <w:p>
      <w:pPr>
        <w:pStyle w:val="Normal"/>
        <w:widowControl/>
        <w:rPr/>
      </w:pPr>
      <w:r>
        <w:rPr/>
        <w:t>under 70% by wt of silk or silk waste, not k/c Women’s or girls’ bathrobes, dressing gowns and similar articles, not knitted or crocheted, of cotton Women’s or girls’ undershirts and underpants, not knitted or crocheted, of cotton Women’s or girls’ singlets &amp; other undershirts, briefs, panties, bathrobes &amp; similar articles, not knitted or crocheted, of man-made fibers Women’s or girls’ undershirts, underpants, bathrobes &amp; like articles, not knitted or</w:t>
      </w:r>
    </w:p>
    <w:p>
      <w:pPr>
        <w:pStyle w:val="Normal"/>
        <w:widowControl/>
        <w:rPr/>
      </w:pPr>
      <w:r>
        <w:rPr/>
        <w:t>crocheted, of wool or fine animal hair Women’s or girls’ singlet &amp; other undershirt, briefs, panties, negligees, dressing gowns &amp; sim art, of silk, con &gt; or = 70% wt silk, not k/c Women’s or girls’ singlets &amp; other undershirts, briefs, panties, negligees, dressing gowns &amp; sim art, of silk, con &lt; 70% wt silk, not k/c Women’s or girls’ undershirts, underpants, bathrobes &amp; like articles, not knitted or crocheted, of textile materials nesoi Babies’ dresses, not knitted or crocheted, of cotton Babies’ blouses and shirts, except those imported as parts of sets, not knitted or crocheted, of cotton Babies’ trousers, breeches and shorts, except those imported as parts of sets, not knitted or crocheted, of cotton Babies’ garments &amp; clothing acc. nesoi, of cotton, incl.</w:t>
      </w:r>
    </w:p>
    <w:p>
      <w:pPr>
        <w:pStyle w:val="Normal"/>
        <w:widowControl/>
        <w:rPr/>
      </w:pPr>
      <w:r>
        <w:rPr/>
        <w:t>sunsuits &amp; sim app, sets &amp; parts of sets, &amp; diapers, not knitted or crocheted Babies’ blouses and shirts, except those imported as parts of sets, not knitted or crocheted, of synthetic fibers Babies’ trousers, breeches and shorts, except those imported as parts of sets, not knitted or crocheted, of synthetic fibers Babies’ garments and clothing accessories, not knitted or crocheted, nesoi, of synthetic fibers Babies’ garments and clothing accessories, not knitted or crocheted, of wool or fine animal hair Babies’ blouses and shirts, except those imported as parts of sets, not knitted or crocheted, of artificial fibers Babies’ trousers, breeches and shorts, except those imported as parts of sets, not knitted or crocheted,</w:t>
      </w:r>
    </w:p>
    <w:p>
      <w:pPr>
        <w:pStyle w:val="Normal"/>
        <w:widowControl/>
        <w:rPr/>
      </w:pPr>
      <w:r>
        <w:rPr/>
        <w:t>of artificial fibers Babies’ garments and clothing accessories, not knitted or crocheted, nesoi, of artificial fibers Babies’ garments and clothing accessories, of text mats(except wool, cotton or mmf), cont 70% or more by wt of silk or silk waste, not k/c Babies’ garments and clothing accessories, of textile mats(except wool, cotton or mmf), cont under 70% by wt of silk or silk waste, not k/c Garments, not knitted or crocheted, made up of fabrics of heading 5602 or 5603 formed on a base of paper or covered or lined with paper Nonwoven dispos apparel designed for hosps, clinics, labs or cont area use, made up of fab of 5602/5603, n/formed or lined w paper, not k/c Disposable briefs and panties designed for one time use, made up of fabrics of 5602 or 5603, not formed or lined w paper, not k/c Garments, nesoi, made up of fabrics of heading 5602 or 5603, not formed or lined w paper, not k/c Men’s or boys’ garments, sim to 6201.11-6201.19, of mmf, outer surf impreg, coated etc.</w:t>
      </w:r>
    </w:p>
    <w:p>
      <w:pPr>
        <w:pStyle w:val="Normal"/>
        <w:widowControl/>
        <w:rPr/>
      </w:pPr>
      <w:r>
        <w:rPr/>
        <w:t>w rub/plast, underlying fab completely obsc, not k/c Men’s or boys’ overcoats/carcoats/capes/etc. of mmf, other than with outer sur. impreg/coated/etc. w/ rub/plast, n knitted/crocheted Men’s or boys’ overcoats/carcoats/capes/etc. of tx mat(excl mmf), outer sur. impreg/etc. w/rub/plast completely obscuring fab, n k/c Men’s or boys’ overcoats/carcoats/capes/etc. of tx mat(excl mmf), other than with outer sur. impreg/coated/etc. w/ rub/plast, n k/c Women’s or girls’ overcoats/carcoats/capes/etc.</w:t>
      </w:r>
    </w:p>
    <w:p>
      <w:pPr>
        <w:pStyle w:val="Normal"/>
        <w:widowControl/>
        <w:rPr/>
      </w:pPr>
      <w:r>
        <w:rPr/>
        <w:t>of mmf, outer sur. impreg/coated/etc. w/rub/plast completely obscuring fab, n k/c Women’s or girls’ overcoats/carcoats/capes/etc. of mmf, other than with outer sur. impreg/coated/etc. w/rub/plast, n k/c Women’s or girls’ overcoats/carcoats/capes/etc. of tx mat(excl mmf), fabric impreg/coated w/rub/plast completely obscuring fab, n k/c Women’s or girls’ overcoats/carcoats/capes/etc. of tx mat(excl mmf), other than with outer sur. impreg/coated etc. w/rub/plast, n k/c Rec perf outwear, men’s/boys’ garm, nesi, of fab 5903/5906/5907, not k/c, mmf, w/out sur. impreg/coatd/etc. w/rub/plast completely obscuring fab, Rec perf outwear, men’s/boys’ garm, nesoi, of fab of 5903/5906/5907, not k/c, mmf, o/than w/outer sur. impreg/coated/etc. w/rub/plast, Rec perf outwear, men’s/boys’ garm, nesi, fab of 5903/5906/5907, not k/c, tex mat (excl mmf), w/out sur. impreg/etc. w/rub/plast compl obscuring fab Rec perf outwear, men’s or boys’ garm, nesoi, of fab of 5903/5906/5907, not k/c, tex mat (excl mmf), w/out sur. impreg/etc. w/rub/plast Men’s/boys’ garm, nesi, fab of 5903/5906/5907, not k/c, mmf, w/out sur. impreg/coated/etc. w/rub/plast completely obscuring fab, not rec perf outwear Men’s or boys’ garm, nesoi, of fab of 5903/5906/5907, not k/c, mmf, o/than w/outer sur. impreg/coated/etc. w/rub/plast, o/than rec perf outwear Men’s/boys’ garm, nesi, fab of 5903/5906/5907, n k/c, tex mat (excl mmf), w/oute sur. impreg/etc.</w:t>
      </w:r>
    </w:p>
    <w:p>
      <w:pPr>
        <w:pStyle w:val="Normal"/>
        <w:widowControl/>
        <w:rPr/>
      </w:pPr>
      <w:r>
        <w:rPr/>
        <w:t>w/rub/plast compl obscuring fab,not rec perf outwr Men’s or boys’ garm, nesoi, of fab of 5903/5906/5907, not k/c, tex mat (excl mmf), w/out sur. impreg/etc. w/rub/plast, o/than rec perf outwear Rec perf outwear, women’s/girls’ garm, nesi, fab of 5903/5906/5907, not k/c, mmf, w/outer sur. impreg/coated/etc. w/rub/plast compl obscuring fab Rec perf outwear, women’s/girls’ garm, nesi, fab of 5903/5906/5907,not k/c, mmf, o/than w/out sur. impreg/etc. w/rub/plast Rec perf outwear, women/girls’ garm, nesi, fab of 5903/5906/5907, n k/c, tex mat (excl mmf), w/out sur. impreg/etc. w/rub/plast comp obscuring fab Rec perf outwear, wom’s/girls’ garm, nesi, fab of 5903/5906/5907, n k/c, tex mat (excpt mmf), o/than w/out sur. impreg/coated w/rub/plas Women’s/girls’ garm, nesi, fab of 5903/5906/5907, n k/c, mmf, w/out sur. impreg/coated/etc. w/rub/plast compl obscuring fab, o/than rec perf outwear Women’s or girls’ garm, nesoi, of fab of 5903/5906/5907, n k/c, of mmf, other than w/outer sur. impreg/etc. w/rub/plast, o/than rec perf outwear Wom’s/girls’ garm, nesi, fab of 5903/5906/5907, n k/c, of tex mat (excl mmf), w/o sur. impreg/etc. w/rub/plast comp obscur fab, not rec perf outwear Wom’s/girls’ garm, nesi, fab of 5903/5906/5907, not k/c, tex mat(except mmf), o/than w/out sur.</w:t>
      </w:r>
    </w:p>
    <w:p>
      <w:pPr>
        <w:pStyle w:val="Normal"/>
        <w:widowControl/>
        <w:rPr/>
      </w:pPr>
      <w:r>
        <w:rPr/>
        <w:t>impreg/coated w/rub/plas, o/than rec perf outwear Men’s or boys’ swimwear, not knitted or crocheted, of man-made fibers Men’s or boys’ swimwear, of textile materials(except mmf), containing 70% or more by weight of silk or silk waste, not knit or crocheted Men’s or boys’ swimwear, of textile materials(except mmf), containing under 70% by weight of silk or silk waste, not knit or crocheted Women’s or girls’ swimwear, not knitted or crocheted, of man-made fibers Women’s or girls’ swimwear, of textile materials(except mmf), containing 70% or more by weight of silk or silk waste, not knit or crocheted Women’s or girls’ swimwear, of textile materials(except mmf), containing under 70% by weight of silk or silk waste, not knit or crocheted Anoraks, windbreakers and similar articles imported as parts of ski-suits, con 15% or more by wt of down &amp; waterfowl plumage, etc, not k/c Anoraks, windbreakers and similar articles imported as parts of ski-suits, con under 15% by wt of down &amp; waterfowl plumage, etc, not k/c Men’s or boys’ ski-suits, not</w:t>
      </w:r>
    </w:p>
    <w:p>
      <w:pPr>
        <w:pStyle w:val="Normal"/>
        <w:widowControl/>
        <w:rPr/>
      </w:pPr>
      <w:r>
        <w:rPr/>
        <w:t>knitted or crocheted, water resistant, not containing 15% or more by weight of down, etc Men’s or boys’ anoraks, windbreakers and sim art impted as pts of ski-suits, of wool, con &lt; 15% wt of down etc, not water resist, not k/c Men’s or boys’ anoraks, etc.</w:t>
      </w:r>
    </w:p>
    <w:p>
      <w:pPr>
        <w:pStyle w:val="Normal"/>
        <w:widowControl/>
        <w:rPr/>
      </w:pPr>
      <w:r>
        <w:rPr/>
        <w:t>imported as parts of ski-suits, of tx mats(except wool), con 15% wt of down etc, not water resist, not k/c Men’s or boys’ trousers and breeches imported as parts of ski-suits, of wool, con under 15% by wt of down etc., not water resist, not k/c Men’s or boys’ trousers &amp; breeches imported as pts of ski-suits, of tx mat(except wool), con 15% wt down etc, not water resist, not k/c Men’s or boys’ ski-suits nesoi, of wool or fine animal hair, con under 15% wt down etc, not water resist, not knitted/crocheted Men’s or boys’ ski-suits nesoi, of tx mats(except wool or fine animal hair), con under 15% wt down etc, not water resist, not knitted/croch Women’s or girls’ anoraks, windbreakers and sim art impted as pts of ski-suits, of wool, con 15% wt down etc, not water resist, not k/c Women’s or girls’ anoraks and sim art imported as pts of ski-suits, of tx mats(except wool), con &lt; 15% wt down etc, not wat resist, n k/c Women’s</w:t>
      </w:r>
    </w:p>
    <w:p>
      <w:pPr>
        <w:pStyle w:val="Normal"/>
        <w:widowControl/>
        <w:rPr/>
      </w:pPr>
      <w:r>
        <w:rPr/>
        <w:t>or girls’ trousers and breeches imported as parts of ski-suits, of wool, cont under 15% by wt of down etc, not water resist, not k/c Women’s or girls’ trousers &amp; breeches imp as pts of ski-suits, of tx mats(except wool), con &lt; 15% wt of down etc, not wat resist, not k/c Women’s or girls’ ski-suits nesoi, of wool or fine animal hair, con under 15% by wt of down etc, not water resistant, not knit or crocheted Women’s or girls’ ski-suits nesoi, of tx mats(except wool), con under 15% by weight of down etc, not water resistant, not knit or crocheted Rec pref</w:t>
      </w:r>
    </w:p>
    <w:p>
      <w:pPr>
        <w:pStyle w:val="Normal"/>
        <w:widowControl/>
        <w:rPr/>
      </w:pPr>
      <w:r>
        <w:rPr/>
        <w:t>outwear, men’s or boys’ track suits or other garments nesoi, not knitted or crocheted, of cotton Men’s or boys’ track suits or other garments nesoi, not knitted or crocheted, of cotton, o/than rec perf outwear Rec perf outwear, men’s or boys’ track suits or other garments nesoi, not knitted or crocheted, of man-made fibers Men’s or boys’ track suits or other garments nesoi, not knitted or crocheted, of man- made fibers, o/than rec perf outwear Rec perf outwear, men’s or boys’ track suits or other garments nesoi, not knitted or crocheted, of wool or fine animal hair Rec pref outwear, men’s/boys’ garments(excl swimwear or ski-suits), nesoi, not k/c, tex mat (not wool, cotton,mmf), cont 70% or more wt of silk Rec perf outwear, men’s/boys’ garments (excl swimwr or ski-suits), nesi, not k/c, tex mat (not wool, cotton, mmf), cont under 70% by wt of silk Men’s or boys’ track suits or other garments nesoi, not knitted or crocheted, of wool or fine animal hair, o/than rec perf outwear Men’s/boys’ garments</w:t>
      </w:r>
    </w:p>
    <w:p>
      <w:pPr>
        <w:pStyle w:val="Normal"/>
        <w:widowControl/>
        <w:rPr/>
      </w:pPr>
      <w:r>
        <w:rPr/>
        <w:t>(excl swimwr or ski-suits), nesi, not k/c, tex mat (not wool, cotton or mmf), cont 70% or more wt of silk, not rec perf outwear Men’s/boys’ garments (excl swimwr or ski-suits), nesi, not k/c, tex mat (not wool, cotton, mmf), cont under 70% by wt of silk, not rec perf outwear Rec perf outwear, women’s or girls’ track suits or other garments nesoi, not knitted or crocheted, of cotton Women’s or girls’ track suits or other garments nesoi, not knitted or crocheted, of cotton, o/than rec</w:t>
      </w:r>
    </w:p>
    <w:p>
      <w:pPr>
        <w:pStyle w:val="Normal"/>
        <w:widowControl/>
        <w:rPr/>
      </w:pPr>
      <w:r>
        <w:rPr/>
        <w:t>perf outwear Rec perf outwear, women’s or girls’ track suits or other garments nesoi, not knitted or crocheted, of man-made fibers Women’s or girls’ track suits or other garments nesoi, not knitted or crocheted, of man- made fibers, o/than rec perf outwear Rec perf outwear, women’s/girls’ garments (excl swimwr or ski-suits), nesi, not k/c, tex mat (not wool, cotton,mmf), cont 70% or more wt of silk Rec perf outwear, women’s or girls’ track suits or other garments nesoi, not knitted or crocheted, of wool or fine animal hair Rec pref outwear, women’s/girls’ garments (excl swimwr or ski-suits), nesi, not k/c, tex mat (not wool, cotton,mmf), cont under 70% by wt of silk Women’s/girls’ garms (excl swimwr or ski-suits), nesi, not k/c, tex mat (not wool, cotton, mmf), cont 70% or more wt of silk,o/than rec perf outwear Women’s or girls’ track suits or other garments nesoi, not knitted or crocheted, of wool or fine animal hair, o/than rec perf outwear Women’s/girls’ garments (excl swimwr or ski-suits), nesi, not k/c, tex</w:t>
      </w:r>
    </w:p>
    <w:p>
      <w:pPr>
        <w:pStyle w:val="Normal"/>
        <w:widowControl/>
        <w:rPr/>
      </w:pPr>
      <w:r>
        <w:rPr/>
        <w:t>mat (not wool, cotton, mmf), cont under 70% by wt of silk, not rec perf outwear Brassieres, containing lace, net or embroidery, containing 70% or more by weight of silk or silk waste, whether or not knitted or crocheted Brassieres containing lace, net or embroidery, containing under 70% by weight of silk or silk waste, whether or not knitted or crocheted Brassieres, not containing lace, net or embroidery, containing 70% or more by wt of silk or silk waste, whether</w:t>
      </w:r>
    </w:p>
    <w:p>
      <w:pPr>
        <w:pStyle w:val="Normal"/>
        <w:widowControl/>
        <w:rPr/>
      </w:pPr>
      <w:r>
        <w:rPr/>
        <w:t>or not knitted or crocheted Brassieres, not containing lace, net or embroidery, containing under 70% by wt of silk or silk waste, whether or not knitted or crocheted Girdles and panty-girdles Corsets Braces, suspenders, garters and similar articles and parts thereof Handkerchiefs, not knitted or crocheted, of cotton, hemmed, not containing lace or embroidery Handkerchiefs, not knitted or crocheted, of cotton, nesoi Handkerchiefs, not knitted or crocheted, containing 70% or more by weight of silk or silk waste Handkerchiefs, of silk or silk waste, containing less than 70 percent by weight of silk or silk waste Handkerchiefs, not knitted or crocheted, of man-made fibers Handkerchiefs, not knitted or crocheted, of textile materials, nesoi Shawls, scarves, mufflers, mantillas, veils and the like, not knitted or crocheted, containing 70% or more silk or silk waste Shawls, scarves, mufflers, mantillas, veils and the like, not knitted or crocheted, containing less than 70% silk or silk waste Shawls, scarves, mufflers, mantillas, veils and the like, not knitted or crocheted, of wool or fine animal</w:t>
      </w:r>
    </w:p>
    <w:p>
      <w:pPr>
        <w:pStyle w:val="Normal"/>
        <w:widowControl/>
        <w:rPr/>
      </w:pPr>
      <w:r>
        <w:rPr/>
        <w:t>hair Shawls, scarves, mufflers, mantillas, veils and the like, not knitted or crocheted, of synthetic fibers Shawls, scarves, mufflers, mantillas, veils and the like, not knitted or crocheted, of artificial fibers Shawls, scarves, mufflers, mantillas, veils and the like, not knitted or crocheted, of textile materials nesoi Ties, bow ties and cravats, not knitted or crocheted, of silk or</w:t>
      </w:r>
    </w:p>
    <w:p>
      <w:pPr>
        <w:pStyle w:val="Normal"/>
        <w:widowControl/>
        <w:rPr/>
      </w:pPr>
      <w:r>
        <w:rPr/>
        <w:t>silk waste Ties, bow ties and cravats, not knitted or crocheted, of man-made fibers Ties, bow ties and cravats, not knitted or crocheted, of textile materials nesoi Ice hockey and field hockey gloves, not knitted or crocheted, impregnated, coated or covered with plastics or rubber Gloves, mittens &amp; mitts, for sports, including ski &amp; snowmobile gloves, etc., not knitted/crocheted, impreg. or cov. with plastic/rubber Gloves etc. (excl. for sports etc.), not k/c, impreg. etc. with plas/rub, w/o four., cut &amp; sewn, of veg. fibers, over 50% by wt. plas/rub Gloves etc.</w:t>
      </w:r>
    </w:p>
    <w:p>
      <w:pPr>
        <w:pStyle w:val="Normal"/>
        <w:widowControl/>
        <w:rPr/>
      </w:pPr>
      <w:r>
        <w:rPr/>
        <w:t>(excl. for sports), not k/c, impreg. etc. with plas/rub, w/o four., cut &amp; sewn, of veg. fibers, cont. &lt;50% by wt. plas./rubber Gloves, mittens and mitts(excl sports), w/o four, impreg etc, cut &amp; sewn from pre exist impreg fab, of non-veg fib, con &gt; 50% wt plas/rub Gloves, mittens and mitts(excl sports), w/o four, impreg etc, cut &amp; sewn from pre exist impreg fab, of non-veg fib, con &lt; 50% wt plas/rub Gloves, mittens and mitts(excl sports), w/o four, impreg etc, not cut &amp; sewn from pre exist fab, con 50% or more wt cotton/mmf, not k/c Gloves, mittens and mitts(excl sports), w/o four, impreg etc, not cut &amp; sewn from pre exist fab, con under 50% wt cotton or mmf, not k/c Gloves, mittens and mitts(excl sports), impreg, etc., with fourchettes, cont 50% or more by wt of coton, mmf or combo thereof, not knit/croc Gloves, mittens and mitts(excl sports), impreg, etc., with fourchettes, cont under 50% by wt of coton, mmf or</w:t>
      </w:r>
    </w:p>
    <w:p>
      <w:pPr>
        <w:pStyle w:val="Normal"/>
        <w:widowControl/>
        <w:rPr/>
      </w:pPr>
      <w:r>
        <w:rPr/>
        <w:t>combo thereof, not knit/croc Ice hockey and field hockey gloves, not knitted or crocheted, of cotton, not impregnated, coated or covered with plastics or rubber Gloves, mittens &amp; mitts, all the foregoing for sports use, including ski &amp; snowmobile gloves, mittens &amp; mitts, of cotton Gloves, mittens &amp; mitts (excl. for sports), not impregnated, coated or covered with plastics or rubber, of cotton, without fourchettes Gloves, mittens &amp; mitts (excl. for sports), not impregnated, coated or covered with plastics or rubber, of cotton, with fourchettes Ice hockey and field hockey gloves, not knitted or crocheted, of man-made fibers, not impregnated etc. with plastics or rubber Gloves, mittens &amp; mitts, for sports use, incl. ski &amp; snowmobile, of man-made fibers, not impregnated/coated with plastics or rubber Gloves, mittens &amp; mitts (excl. for sports), not impregnated, coated or covered with plastics or rubber, of man-made fibers, w/o fourchettes Gloves, mittens &amp; mitts (excl.</w:t>
      </w:r>
    </w:p>
    <w:p>
      <w:pPr>
        <w:pStyle w:val="Normal"/>
        <w:widowControl/>
        <w:rPr/>
      </w:pPr>
      <w:r>
        <w:rPr/>
        <w:t>for sports), not impregnated, coated or covered with plastics or rubber, of mmf, with fourchettes Gloves, mittens and mitts, not knitted or crocheted, of wool or fine animal hair, nesoi Gloves, mittens and mitts, not knitted or crocheted, of textile materials nesoi Made up clothing accessories(excl those of heading 6212), containing 70% or more by weight of silk or silk waste, not knitted or crocheted Headbands, ponytail holders and similar articles, of textile materials containing &lt; 70% by weight of silk, not knit/crochet Made up clothing accessories (excl of heading 6212 or headbands, ponytail holders &amp; like), containing &lt; 70% wgt of silk, not knit/crochet Parts of garments or of clothing accessories (excl those of heading 6212), containing 70% or more by weight of silk or silk waste, not k/c Parts of garments or of clothing accessories(excl those of heading 6212), containing under 70% by weight of silk or silk waste, n/knit/croc Electric blankets Blankets (other than electric blankets) and traveling rugs, of wool or fine animal hair Blankets (other</w:t>
      </w:r>
    </w:p>
    <w:p>
      <w:pPr>
        <w:pStyle w:val="Normal"/>
        <w:widowControl/>
        <w:rPr/>
      </w:pPr>
      <w:r>
        <w:rPr/>
        <w:t>than electric blankets) and traveling rugs, of cotton Blankets (other than electric blankets) and traveling rugs, of synthetic fibers Blankets and traveling rugs, nesoi Bed linen, knitted or crocheted Bed linen, not knitted or crocheted, printed, of cotton, cont any embroidery, lace, braid, edging, trimming, piping or applique work, napped Bed linen, not knit or crocheted, printed, of cotton, cont any embroidery, lace, braid,</w:t>
      </w:r>
    </w:p>
    <w:p>
      <w:pPr>
        <w:pStyle w:val="Normal"/>
        <w:widowControl/>
        <w:rPr/>
      </w:pPr>
      <w:r>
        <w:rPr/>
        <w:t>edging, trimming, piping or applique work, n/napped Bed linen, not knit or crocheted, printed, of cotton, not cont any embroidery, lace,braid, edging, trimming, piping or applique work, napped Bed linen, not knit or croc, printed, of cotton, not cont any embroidery, lace, braid, edging, trimming, piping or applique work, not napped Bed linen, not knitted or crocheted, printed, of manmade fibers, containing embroidery, lace, braid, etc or applique work Bed linen, not knitted or crocheted, printed, of manmade fibers, nesoi Bed linen, not knitted or crocheted, printed, of textile materials nesoi Bed linen, not knit/croc, not printed, of cotton, cont any embroidery, lace, braid, edging, trimming, piping or applique work, napped Bed linen, not knit/croc, not printed, of cotton, cont any embroidery, lace, braid, edging, trimming, piping or applique work, not napped Bed linen, not knit/croc, not printed, of cotton, not cont any embroidery, lace, braid, edging, trimming, piping or applique work, napped Bed linen, not knit/croc, not printed, of cotton, not cont any embroidery, lace, braid, edging, trimming,piping or</w:t>
      </w:r>
    </w:p>
    <w:p>
      <w:pPr>
        <w:pStyle w:val="Normal"/>
        <w:widowControl/>
        <w:rPr/>
      </w:pPr>
      <w:r>
        <w:rPr/>
        <w:t>applique work, not napped Bed linen, not knitted or crocheted, not printed, of manmade fiber, containing embroidery, lace, braid, etc or applique work Bed linen, not knitted or crocheted, not printed, of manmade fibers, nesoi Bed linen, not knitted or crocheted, not printed, of textile materials nesoi Table linen, knitted or crocheted, of vegetable fiber (except of</w:t>
      </w:r>
    </w:p>
    <w:p>
      <w:pPr>
        <w:pStyle w:val="Normal"/>
        <w:widowControl/>
        <w:rPr/>
      </w:pPr>
      <w:r>
        <w:rPr/>
        <w:t>cotton) Table linen, knitted or crocheted, nesoi Damask tablecloths and napkins, not knitted or crocheted, of cotton Plain woven tablecloths and napkins, not knitted or crocheted, of cotton Tablecloths and napkins, other than plain woven or damask, not knitted or crocheted, of cotton Table linen, other than tablecloths and napkins, not knitted or crocheted, of cotton, nesoi Table linen of man-made fibers, not knitted or crocheted Tablecloths and napkins of flax, not knitted or crocheted Table linen of flax, other than tablecloths and napkins, not knitted or crocheted Table linen, of textile materials other than of cotton, flax or man-made fibers, not knitted or crocheted Toilet linen and kitchen linen, of terry toweling or similar terry fabrics, of cotton Toilet and kitchen linen, other than terry toweling or similar terry fabrics of cotton Toilet and kitchen linen, of manmade fibers, of pile or tufted construction Toilet and kitchen linen, of manmade fibers, nesoi Toilet and kitchen linen of textile materials nesoi, containing 85% or more by weight of silk or</w:t>
      </w:r>
    </w:p>
    <w:p>
      <w:pPr>
        <w:pStyle w:val="Normal"/>
        <w:widowControl/>
        <w:rPr/>
      </w:pPr>
      <w:r>
        <w:rPr/>
        <w:t>silk waste Toilet and kitchen linen of flax Toilet and kitchen linen of textile materials nesoi, containing less than 85% by weight of silk or silk waste Curtains (including drapes), interior blinds and valances of synthetic fibers, knitted or crocheted Curtains (including drapes), interior blinds and valances of cotton, knitted or crocheted Curtains (including drapes),interior blinds and valances of textile materials</w:t>
      </w:r>
    </w:p>
    <w:p>
      <w:pPr>
        <w:pStyle w:val="Normal"/>
        <w:widowControl/>
        <w:rPr/>
      </w:pPr>
      <w:r>
        <w:rPr/>
        <w:t>other than of cotton or synthetic fibers, knitted or crocheted Curtains (including drapes), interior blinds and valances of cotton, not knitted or crocheted Curtains/drapes, inter. blinds, etc. of syn fib, made up from fab of subh 5407.60.11/5407.60.21/5407.60.91, not knitted or crocheted Curtains (including drapes), interior blinds and valances, nesoi, of synthetic fibers, not knitted or crocheted Curtains (including drapes),interior blinds, valances of textile materials other than of cotton or of synthetic fibers,not knitted/crocheted Bedspreads of cotton, knitted or crocheted, excluding those of heading 9404 Bedspreads of man-made fibers, knitted or crocheted, excluding those of heading 9404 Bedspreads of textile materials other than of cotton or of man-made fibers, knitted or crocheted, excluding those of heading 9404 Bedspreads, not knitted or crocheted, of cotton, containing any embroidery, lace, etc. Bedspreads, not knitted or crocheted, of cotton, nesoi Bedspreads, not knitted or crocheted, of manmade fibers, containing any embroidery, lace, etc.</w:t>
      </w:r>
    </w:p>
    <w:p>
      <w:pPr>
        <w:pStyle w:val="Normal"/>
        <w:widowControl/>
        <w:rPr/>
      </w:pPr>
      <w:r>
        <w:rPr/>
        <w:t>Bedspreads, not knitted or crocheted, of manmade fibers, nesoi Bedspreads, not knitted or crocheted, other than those of cotton or man-made fibers, excluding those of heading 9404 Furnishing articles (excluding those of heading 9404 and other than bedspreads) knitted or crocheted Furnishing articles (excluding those of heading 9404 and other than bedspreads) not knitted or crocheted, of cotton Furnishing articles (excluding those of heading 9404 and other than bedspreads) not knitted or crocheted, of synthetic fibers Wall hangings, not knitted or crocheted, of wool or fine animal hair, the foregoing certified hand-loomed and folklore products Wall hangings, not knitted or crocheted, of wool or fine animal hair, nesoi Wall hangings of jute, excluding those of heading 9404 Furnishing articles (excl. those of heading 9404 and other than bedspreads and jute wall hangings) of veg. fibers (excl.</w:t>
      </w:r>
    </w:p>
    <w:p>
      <w:pPr>
        <w:pStyle w:val="Normal"/>
        <w:widowControl/>
        <w:rPr/>
      </w:pPr>
      <w:r>
        <w:rPr/>
        <w:t>cotton), not k/c Certified hand-loomed and folklore pillow covers of wool or fine animal hair, not knitted or crocheted Furnishing articles (excluding those of heading 9404 and other than bedspreads) not knitted or crocheted, of textile materials, nesoi Sacks and bags of a kind used for the packing of goods, of jute or of other textile bast fibers of heading 5303 Sacks and bags of a kind used for the packing of goods, of cotton Flexible intermed.</w:t>
      </w:r>
    </w:p>
    <w:p>
      <w:pPr>
        <w:pStyle w:val="Normal"/>
        <w:widowControl/>
        <w:rPr/>
      </w:pPr>
      <w:r>
        <w:rPr/>
        <w:t>bulk containers of a kind used for packing goods, of man-made textile materials Other sacks/bags for packing goods, of mm tex.mat.(not flex.intermed.bulk containers), of polyethylene or polypro.</w:t>
      </w:r>
    </w:p>
    <w:p>
      <w:pPr>
        <w:pStyle w:val="Normal"/>
        <w:widowControl/>
        <w:rPr/>
      </w:pPr>
      <w:r>
        <w:rPr/>
        <w:t>strip or the like Sacks and bags of a kind used for the packing of goods, of man-made textile materials, nesoi Sacks and bags of a kind used for the packing of goods, of textile materials, nesoi Tarpaulins, awnings and sunblinds, of synthetic fibers Tarpaulins, awnings and sunblinds, of cotton Tarpaulins, awnings and sunblinds, of textile materials other than of cotton or synthetic fibers Backpacking tents of synthetic fibers Tents other than backpacking tents, of synthetic fibers Tents of cotton Tents of textile materials other than of cotton or synthetic fibers Sails of textile materials Pneumatic mattresses of cotton Pneumatic mattresses of textile materials other than of cotton Camping goods, nesoi, of cotton Camping goods, nesoi, of textile materials other than of cotton Dustcloths, mop cloths and polishing cloths, of cotton Floor cloths, dishcloths and similar cleaning cloths of textile materials (except dustcloths, mops cloths and polishing cloths of cotton) Lifejackets and lifebelts of textile materials Made-up labels of textile materials Cords and tassels of textile materials Corset lacings, footwear lacings or similar lacings of textile materials Surgical drapes of fabric formed on a base of paper or covered or lined with paper Surgical drapes of spunlaced or bonded fiber</w:t>
      </w:r>
    </w:p>
    <w:p>
      <w:pPr>
        <w:pStyle w:val="Normal"/>
        <w:widowControl/>
        <w:rPr/>
      </w:pPr>
      <w:r>
        <w:rPr/>
        <w:t>fabric disposable surgical drapes of man- made fibers Surgical drapes, nesoi, not spunlaced or bonded fiber fabric Toys for pets, of textile materials Wall banners, of man-made fibers Surgical towels; cotton towels of pile/tufted const.; pillow shells, of cotton;</w:t>
      </w:r>
    </w:p>
    <w:p>
      <w:pPr>
        <w:pStyle w:val="Normal"/>
        <w:widowControl/>
        <w:rPr/>
      </w:pPr>
      <w:r>
        <w:rPr/>
        <w:t>shells for quilts etc., and similar articles of cotton National flags and other made-up articles of textile materials, nesoi Needlecraft sets for making up into rugs, etc., consist of woven fabric and yarn, whether/not w/accessories, put up packings for retail sale Worn clothing and other worn articles Used or new rags, scrap and worn out articles of twine, cordage, rope or cables, of wool or fine animal hair, sorted Used or new rags, scrap and worn out articles of twine, cordage, rope or cables, of textile materials nesoi, sorted Used or new rags, scrap and worn out articles of twine, cordage, rope or cables, of wool or fine animal hair, not sorted Used or new rags, scrap and worn out articles of twine, cordage, rope or cables, of textile materials nesoi, not sorted Waterproof footwear, not mechanically assembled, w/outer soles &amp; uppers of rubber or plastics, w/metal toecap Waterproof ski boots &amp; snowboard boots, not mechanically asmbld., w/outer sole and uppers of rubb. or plast., cover/ankle but not knee Waterproof footwear, not mechanically asmbld., w/over 90% of ext. surf.</w:t>
      </w:r>
    </w:p>
    <w:p>
      <w:pPr>
        <w:pStyle w:val="Normal"/>
        <w:widowControl/>
        <w:rPr/>
      </w:pPr>
      <w:r>
        <w:rPr/>
        <w:t>area of soles &amp; uppers PVC, covering/ankle but not knee Waterproof footwear, not mechanically asmbld., w/outer soles and upper of rubber or plastics, nesoi, covering ankle but not knee Waterproof footwear, not mechanically assembled, w/outer soles &amp; uppers of rubber or plastics, covering the knee Waterproof protect. footwear, not mechanically asmbld., w/outer soles and uppers of rubber or plastics, not cover ankle, w/o closures Waterproof protect. footwear, not mechanically asmbld., w/outer soles and uppers of rubber or plastics, not cover ankle, w/closures Waterproof footwear, not mechanically asmbld, w/outer soles and 90% of ext. surf. area of uppers of rubber or plastics, not cover ankle Waterproof footwear, not mechanically asmbld, w/outer soles and uppers of rubber or plastics, nesoi, not cover ankle Ski-boots, cross-country ski footwear and snowboard boots, w/outer soles and uppers of rubber or plastics Golf shoes w/outer soles of rubber or plastics and uppers &gt; 90% of ext. surface area rubber or plastics Sports footwear (o/than ski fwear &amp; golf shoes), w/outer soles of rubber or plastics &amp; uppers &gt;90% ext. surf. area rubber or plast.</w:t>
      </w:r>
    </w:p>
    <w:p>
      <w:pPr>
        <w:pStyle w:val="Normal"/>
        <w:widowControl/>
        <w:rPr/>
      </w:pPr>
      <w:r>
        <w:rPr/>
        <w:t>Sports footwear w/outer soles and uppers of rubber or plastics, nesi, valued not over $3/pair Sports footwear w/outer soles and uppers of rubber or plastics, nesi, valued over $3 but not over $6.50/pair Sports footwear w/outer soles and uppers of rubber or plastics, nesi, valued over $6.50 but not over $12/pair Sports footwear w/outer soles and uppers of rubber or plastics, nesi, valued over $12/pair Footwear w/outer soles &amp; uppers of rubber/plastics, w/upper straps or thongs assembled to sole by means of plugs (zoris) Footwear w/outer soles of rubber or plastics, o/than sports,covers ankle, w/metal toe- cap,w/ext. surf.</w:t>
      </w:r>
    </w:p>
    <w:p>
      <w:pPr>
        <w:pStyle w:val="Normal"/>
        <w:widowControl/>
        <w:rPr/>
      </w:pPr>
      <w:r>
        <w:rPr/>
        <w:t>uppers o/90% rubber or plastics Footwear, covers ankle, w/outer soles &amp; uppers of rubber or plastics, nesoi, w/metal toe-cap, designed to protect liquids, chemicals, weather Footwear, covers ankle, w/outer soles &amp; uppers of rubber or plastics, nesoi, w/metal toe-cap, not protective, valued n/o $3/pair Footwear, covers ankle, w/outer soles &amp; uppers of rubber or plastics, nesoi, w/metal toe-cap, not protective, valued over $3 but n/o $6.50/pair Footwear, covers ankle, w/outer soles &amp; uppers of rubber or plastics, nesoi, w/metal toe-cap, not protective, valued o/$6.50 but n/o $12/pair Footwear, covers ankle, w/outer soles &amp; uppers of rubber or plastics, nesoi, w/metal toe-cap, not protective, valued over $12/pair Footwear w/outer soles &amp; uppers of rubber or plastics, nesoi, covering ankle, w/ext. surf.</w:t>
      </w:r>
    </w:p>
    <w:p>
      <w:pPr>
        <w:pStyle w:val="Normal"/>
        <w:widowControl/>
        <w:rPr/>
      </w:pPr>
      <w:r>
        <w:rPr/>
        <w:t>of uppers o/90% rubber or plastics Protective active footwear w/outer soles &amp; uppers of rubber or plastics, covered ankle, nesoi, valued over $24/pair Footwear w/outer soles &amp; uppers of rubber or plastics, nesoi, covering ankle, designed as protection against liquids, chemicals, weather Footwear w/outer soles &amp; uppers of rubber or plastics, nesoi, covering ankle, nesoi, valued n/o $3/pair Footwear w/outer soles &amp; uppers of rubber or plastics, nesoi, covering ankle, nesoi, valued over $3 but n/o $6.50/pair Footwear w/outer soles &amp; uppers of rubber or plastics, nesoi, covering ankle, nesoi, valued o/$6.50 but n/o $12/pair Footwear w/outer soles &amp; uppers of rubber or plastics, nesoi, covering ankle, nesoi, valued over $12/pair Footwear not cov. ankle, w/outer soles of rubber or plastics, nesoi, w/metal toe-cap, w/ext. surf. uppers o/90% rubber or plastics Footwear not cov. ankle,w/outer soles &amp; uppers of rubber or plastics, nesoi, w/metal toe-cap, to protect against liquids, chem, weather Footwear not cov. ankle, w/outer soles &amp; uppers of rubber or plastics, nesoi, w/metal toe-cap, not protective, valued n/o $3/pair Footwear not cov.</w:t>
      </w:r>
    </w:p>
    <w:p>
      <w:pPr>
        <w:pStyle w:val="Normal"/>
        <w:widowControl/>
        <w:rPr/>
      </w:pPr>
      <w:r>
        <w:rPr/>
        <w:t>ankle, w/outer soles &amp; uppers of rubber or plastics, nesoi, w/metal toe-cap, not protective, valued &gt; $3 but n/o $6.50/pair Footwear not cov. ankle, w/outer soles &amp; uppers of rubber or plastics, nesoi, w/metal toe-cap, not protective, valued o/$6.50 but n/o $12/pair Footwear not cov.</w:t>
      </w:r>
    </w:p>
    <w:p>
      <w:pPr>
        <w:pStyle w:val="Normal"/>
        <w:widowControl/>
        <w:rPr/>
      </w:pPr>
      <w:r>
        <w:rPr/>
        <w:t>ankle, w/outer soles &amp; uppers of rubber or plastics, nesoi, w/metal toe-cap, not protective, valued over $12/pair Footwear w/outer soles &amp; uppers of rubber or plastics, nesoi, n/cov. ankle, w/ext. surf. uppers o/90% rubber/plastics, w/base of wood Footwear w/outer soles &amp; uppers of rubber or plastics, nesoi, n/cov. ankle, w/ext. surf. uppers o/90% rubber/plastics, w/base of cork Sandals w/outer soles &amp; uppers of rubber or plastics, not cov. ankle, produced in one piece by molding Footwear w/outer soles &amp; uppers of rubber or plastics, nesoi, n/cov. ankle, w/ext. surf. of uppers o/90% rubber or plastics, nesoi Protective active footwear w/outer soles &amp; uppers of rubber or plastics, not covered ankle, nesoi, valued over $24/pair Footwear w/outer soles &amp; uppers of rubber or plastics, nesoi, n/cov. ankle, nesoi, design. as protection against liquids/chemicals/weather Footwear, nesoi, w/outer soles &amp; uppers of rubber or plastic, open toe or heel or slip- on, tex outersole Footwear w/outer soles &amp; uppers of rubber or plastics, nesoi, n/cov.</w:t>
      </w:r>
    </w:p>
    <w:p>
      <w:pPr>
        <w:pStyle w:val="Normal"/>
        <w:widowControl/>
        <w:rPr/>
      </w:pPr>
      <w:r>
        <w:rPr/>
        <w:t>ankle, w/open toes or heels or of the slip-on type Footwear, nesoi, w/outer soles &amp; uppers of rubber or plastics, o/than open toe or heel or slip-on, &lt; $3, tex outersole, not subj C64 note 5 Footwear w/outer soles &amp; uppers of rubber or plastics, nesoi, n/cov.</w:t>
      </w:r>
    </w:p>
    <w:p>
      <w:pPr>
        <w:pStyle w:val="Normal"/>
        <w:widowControl/>
        <w:rPr/>
      </w:pPr>
      <w:r>
        <w:rPr/>
        <w:t>ankle, nesoi, valued n/o $3/pair Footwear, nesoi, w/outer soles and uppers of rubber or plastic, o/than open toe or heel or slip-on, $3-6.50, tex outersole, not subj C64 note 5 Footwear w/outer soles &amp; uppers of rubber or plastics, nesoi, n/cov. ankle, nesoi, valued o/$3 but n/o $6.50/pair Footwear w/outer soles &amp; uppers of rubber or plastics, nesoi, n/cov. ankle, nesoi, valued o/$6.50 but n/o $12/pair Footwear w/outer soles &amp; uppers of rubber or plastics, nesoi, n/cov. ankle, nesoi, valued over $12/pair Ski-boots,cross-country ski footwear and snowboard boots, w/outer soles of rubber/plastics/leather/comp. leather &amp; uppers of leather, welt Ski-boots,cross-country ski footwear and snowboard boot, w/outer soles of rubber/plastics/leather/comp. leather &amp;uppers of leather, n/welt Golf shoes, w/outer soles rubber/plastics/leather/comp. leather &amp; uppers of leather, welt, for men/youths/boys Sports footwear, nesoi, w/outer soles of rubber/plastics/leather/comp. leather &amp; uppers of leather, welt, for men/youths/boys Golf shoes, w/outer soles rubber/plastics/leather/comp. leather &amp; uppers of leather, n/welt, for men/youths/boys Sports footwear, nesoi, w/outer soles rubber/plastics/leather/comp. leather &amp; uppers of leather, n/welt, for men/youths/boys Golf shoes, w/outer soles rubber/plastics/leather/comp.</w:t>
      </w:r>
    </w:p>
    <w:p>
      <w:pPr>
        <w:pStyle w:val="Normal"/>
        <w:widowControl/>
        <w:rPr/>
      </w:pPr>
      <w:r>
        <w:rPr/>
        <w:t>leather &amp; upper of leather, for persons other than men/youths/boys Sports footwear, nesoi, w/outer soles rubber/plastics/leather/comp.leather &amp; uppers of leather, for persons other than men/youths/boys Footwear w/outer soles leather and uppers consist. of leather straps across the instep and around the big toe Footwear w/outer soles of rubber/plastics/leather/comp. leather &amp; uppers of leather, w/protective metal toe-cap, welt Footwear w/outer soles of rubber/plastics/leather/comp.</w:t>
      </w:r>
    </w:p>
    <w:p>
      <w:pPr>
        <w:pStyle w:val="Normal"/>
        <w:widowControl/>
        <w:rPr/>
      </w:pPr>
      <w:r>
        <w:rPr/>
        <w:t>leather &amp; uppers of leather, w/protective metal toe-cap, n/welt Footwear w/outer soles of leather &amp; uppers of leather, covering ankle, made on a base or platform of wood, w/o insole or metal toe-cap Footwear w/outer soles and uppers of leather, nesoi, covering the ankle, welt Footwear w/outer soles and uppers of leather, nesoi, covering the ankle, n/welt, for men, youths and boys Footwear w/outer soles and uppers of leather, nesoi, covering the ankle, n/welt, for persons other than men, youths and boys Footwear w/outer soles of leather &amp; uppers of leather, not covering ankle, made on a base or platform of wood, w/o insole or metal toe-cap Turn or turned footwear w/outer soles and uppers of leather, not covering the ankle Footwear w/outer soles and uppers of leather, not covering the ankle, welt, nesoi Footwear w/outer soles and uppers of leather, not cov. ankle, n/welt, for men, youths and boys Footwear w/outer soles and uppers of leather, not cov.</w:t>
      </w:r>
    </w:p>
    <w:p>
      <w:pPr>
        <w:pStyle w:val="Normal"/>
        <w:widowControl/>
        <w:rPr/>
      </w:pPr>
      <w:r>
        <w:rPr/>
        <w:t>ankle, n/welt, for persons other than men, youths and boys Footwear w/outer soles of rubber, plastics &amp; uppers of leather, covering ankle, made on a base or platform of wood, w/o insole or metal toe Footwear w/outer soles of rubber/plastics/composition leather &amp; uppers of leather, covering the ankle, welt Footwear w/outer soles of rubber/plastics/composition leather &amp; uppers of leather, covering the ankle, n/welt, for men,youths and boys Footwear w/outer soles of rubber/plastics/comp. leather &amp; uppers of leather, cov. ankle, n/welt, for persons other than men/youths/boys Footwear w/outer soles of rubber, plastics &amp; uppers of leather, not covering ankle, made on a base or platform of wood, w/o insole or metal Footwear w/outer soles of rubber/plastics/comp. leather &amp; uppers of leather, n/cov. ankle, made on a base wood Footwear w/outer soles of rubber/plastics/comp. leather &amp; uppers of leather, n/cov. ankle, welt, nesoi Footwear w/outer soles of rubber/plastics/comp. leather &amp; uppers of leather, n/cov. ankle, n/welt, for men, youths and boys, nesoi Footwear w/outer soles of rubber/plastics/comp. leather &amp; uppers of leather, n/cov.</w:t>
      </w:r>
    </w:p>
    <w:p>
      <w:pPr>
        <w:pStyle w:val="Normal"/>
        <w:widowControl/>
        <w:rPr/>
      </w:pPr>
      <w:r>
        <w:rPr/>
        <w:t>ankle, for women/child./infants, val.n/o $2.50/pr Footwear w/outer soles of rubber/plastics/comp. leather &amp; uppers of leather, n/cov. ankle, for women/child./infants, val. over $2.50/pair Sports &amp; athletic footwear w/outer soles of rubber/plastics &amp; uppers of textile, w/ext. surf.</w:t>
      </w:r>
    </w:p>
    <w:p>
      <w:pPr>
        <w:pStyle w:val="Normal"/>
        <w:widowControl/>
        <w:rPr/>
      </w:pPr>
      <w:r>
        <w:rPr/>
        <w:t>of uppers over 50% leather Sports ftwear w/outr sole rub/plast &amp; upper textile val. &lt; $3/pr, w/sole fixed w/adhesives w/o foxing not subj note 5 ch 64 Sports ftwear, outer soles rubber/plastic &amp; uppers textile, val. &lt;$3/pr, soles fixed w/adhesives w/o foxing, subj note 5 ch 64 Sports ftwear w/outer soles rubber/plastic &amp; uppers textile, val. &lt; $3/pair, not subj to note 5 ch 64 Sports ftwear w/outer soles rubber/plastic, uppers textile, val &lt;$3/pair, subj note 5 ch Sports ftwear w/outr sole rubber/plastic &amp; upper textile, val. &gt;$3 but &lt; $6.50/pr, w/soles fixed w/adhesives, not subj note 5 ch 64 Sports ftwear w/outr sole rubber/plastic &amp; uppers textile, val.&gt;$3 but &lt;$6.50/pr, w/sole fixed w/adhesives subj note 5 ch 64 Sports ftwear w/outer soles rubber/plastic &amp; uppers veg fiber, val.&gt;$3 but &lt;$6.50/pr, not subj note 5 ch 64 Sports ftwear w/outer soles rubber/plastic &amp; uppers textile, val. &gt;$3 but &lt;$6.50/pr, not subj note 5 ch 64 Sports ftwear w/outer soles rubber/plastic &amp; uppers textile, val.</w:t>
      </w:r>
    </w:p>
    <w:p>
      <w:pPr>
        <w:pStyle w:val="Normal"/>
        <w:widowControl/>
        <w:rPr/>
      </w:pPr>
      <w:r>
        <w:rPr/>
        <w:t>&gt;$3 but &lt;$6.50/pr, subj note 5 ch 64 Sports ftwear w/outer soles rubber/plastic &amp; uppers veg fiber, val. &gt;$6.50 but &lt;$12/pr, not subj note 5 to ch 64 Sports ftwear w/outer soles rubber/plastic &amp; uppers textile, val. &gt;$6.50 but &lt; $12/pr, not subj to note 5 ch 64 Sports ftwear w/outer soles rubber/plastics&amp; uppers textile, val. &gt;$6.50 but &lt;$12/pr, subj note 5 ch 64 Sports ftwear w/outer soles rubber/plastic &amp; uppers textile, val.</w:t>
      </w:r>
    </w:p>
    <w:p>
      <w:pPr>
        <w:pStyle w:val="Normal"/>
        <w:widowControl/>
        <w:rPr/>
      </w:pPr>
      <w:r>
        <w:rPr/>
        <w:t>&gt;$12/pair Ftwear w/outer soles rubber/plastic &amp; uppers textile, nesoi, w/ext. surf. of uppers &gt; 50% leather Ftwear w/outer soles rubber/plastic &amp; uppers textile, nesoi, designed to protect agst liquids, chemicals &amp; weather Ftwear w/outer soles rubber/plastic &amp; upp. veg. fibers, nesoi, w/open toes/heels or slip- on, &lt; 10% rub/plast by wt. Ftwear w/outer soles rubber/plastic &amp; upp. textile, nesoi, w/open toes/heels or slip-on, &lt;10% rub/plast by wt.</w:t>
      </w:r>
    </w:p>
    <w:p>
      <w:pPr>
        <w:pStyle w:val="Normal"/>
        <w:widowControl/>
        <w:rPr/>
      </w:pPr>
      <w:r>
        <w:rPr/>
        <w:t>Ftwear w/outer soles rub/plast &amp; upp. veg fiber, nesoi, w/open toes/heels or slip-on, &gt;10% by wt. rub./plast, subj note 5 ch 64 Ftwear w/outr soles rubber/plastic &amp; upp. textile, nesoi, w/open toes/heels or slip-on, &gt;10% by wt. of rub/plast, subj note 5 ch 64 Ftwear w/outr sole rub/plast &amp; upp. textile, nesoi, w/open toes/heels or slip-on, &gt;10% by wt. rub./plast not subj note 5 ch 64 Ftwear w/outr sole rub/plast. &amp; upp. veg fiber, nesoi, val. &lt;$3/pr, w/sole fixed to upp. w/adhesives &amp; w/o foxing, not subj note 5 ch 64 Ftwear w/outr soles rub/plast &amp; upp. textile, nesoi, val. &lt;$3/pr, w/sole fixed to upper w/adhesives &amp; w/o foxing, not subj note 5 ch 64 Ftwear w/outr sole rub./plast. &amp; upp. textile, nesoi, val. &lt;$3/pr, w/soles fixed to upper w/adhesives &amp; w/o foxing subj note 5 ch 64 Ftwear w/outer soles rubber/plastic &amp; upp. veg fiber, nesoi, val. &lt;$3/pr, nesoi, not subj note 5 ch 64 Ftwear w/outr sole rub/plast./leather &amp; upp. not veg fiber textile, nesoi, not sports, val.</w:t>
      </w:r>
    </w:p>
    <w:p>
      <w:pPr>
        <w:pStyle w:val="Normal"/>
        <w:widowControl/>
        <w:rPr/>
      </w:pPr>
      <w:r>
        <w:rPr/>
        <w:t>&lt;$3/pr, not subj note 5 ch 64 Ftwear w/outr sole rub/plast./leather &amp; upp. textile, nesoi, not sports, val. &lt; $3/pr, subj note 5 ch 64 Ftwear w/outr sole rub/plast. &amp; upp. textile, nesoi, val. &gt;/$3 but &lt;$6.50/pr, w/sole fixed to upp. w/adhesives, not subj note 5 ch 64 Ftwear w/outr sole rub/plast. &amp; upp. textile, nesoi, val. &gt;$3 but &lt;$6.50/pr, w/sole fixed to upp. w/adhesives, subj note 5 ch 64 Ftwear w/outr sole rub/plast. &amp; upper veg fiber, nesoi, val. &gt;$3 but &lt;$6.50/pr, nesoi, not subj note 5 ch 64 Footwear w/outer sole rub/plast. &amp; upper textile, nesoi, val. o/$3 but n/o $6.50/pr, nesoi, not subj note 5 ch 64 Footwear w/outr sole rub/plast. &amp; upper. textile, nesoi, val. o/$3 but n/o $6.50/pr, nesoi, subj note 5 ch 64 Footwear w/outer sole rub/plast. &amp; upp. veg fiber, nesoi, val. o/$6.50 but n/o $12/pr, not subj note 5 ch 64 Footwear w/outer sole rub/plast. &amp; upp. textile, nesoi, val. o/$6.50 but n/o $12/pr, not subj note 5 ch 64 Footwear w/outer soles rub/plast. &amp; upp. textile, nesoi, val.</w:t>
      </w:r>
    </w:p>
    <w:p>
      <w:pPr>
        <w:pStyle w:val="Normal"/>
        <w:widowControl/>
        <w:rPr/>
      </w:pPr>
      <w:r>
        <w:rPr/>
        <w:t>o/$6.50 but n/o $12/pr, subj note 5 ch 64 Footwear w/outer soles of rub./plast. &amp; upp. of textile, nesoi, val. o/$12/pr Footwear w/outer soles of leather/comp. leath., n/o 50% by wt. rub./plast. or rub./plast./text. &amp; 10%+ by wt. rub./plast., val. n/o $2.50/pr Footwear w/outer soles of leather/comp. leath., n/o 50% by wt. rub./plast. or rub./plast./text. &amp; 10%+ by wt. rub./plast., val. o/$2.50/pr Footwear w/outer soles of leather/comp.</w:t>
      </w:r>
    </w:p>
    <w:p>
      <w:pPr>
        <w:pStyle w:val="Normal"/>
        <w:widowControl/>
        <w:rPr/>
      </w:pPr>
      <w:r>
        <w:rPr/>
        <w:t>leather &amp; uppers of textile, nesoi Footwear, nesoi, w/outer soles of other than rubber/plastics/leather/comp.leather &amp; uppers of leather/composition leather, nesoi Footwear, nesoi, w/outer soles of other than rubber/plastics/leather/comp.leather &amp; uppers of vegetable fibers, nesoi Footwear, nesoi, with soles and uppers of wool felt Footwear,nesoi,w/outer sole other than rubber/plastics/leather/comp. leather &amp; upper of text. material other than veg. fibers or wool felt Disposable footwear, nesoi, designed for one-time use Footwear, nesoi, w/outer soles and uppers o/than leather or comp.</w:t>
      </w:r>
    </w:p>
    <w:p>
      <w:pPr>
        <w:pStyle w:val="Normal"/>
        <w:widowControl/>
        <w:rPr/>
      </w:pPr>
      <w:r>
        <w:rPr/>
        <w:t>leather, not disposible Formed uppers for footwear, of leather/composition leather, for men, youths and boys Formed uppers for footwear, of leather/composition leather, for women, misses, children and infants Formed uppers for footwear, of textile materials, w/o 50% of external surface leather Formed uppers for footwear, of textile materials, nesoi, valued n/o $3/pr Formed uppers for footwear, of textile materials, nesoi, valued o/$3 but n/o $6.50/pr Formed uppers for footwear, of textile materials, nesoi, valued o/$6.50 but n/o $12/pr Formed uppers for footwear, of textile materials, nesoi, valued o/$12/pr Formed upper for footwear, of materials other than leather/comp.leather or textile, w/over 90% of ext. surf. rub./plast. not for fw w/foxing Formed uppers for footwear, of materials other than leather/comp.leather or textile materials, nesoi Uppers &amp; pts.</w:t>
      </w:r>
    </w:p>
    <w:p>
      <w:pPr>
        <w:pStyle w:val="Normal"/>
        <w:widowControl/>
        <w:rPr/>
      </w:pPr>
      <w:r>
        <w:rPr/>
        <w:t>thereof for footwear, nesoi, of rubber or plastics Uppers &amp; pts. thereof for footwear, nesoi, of leather Uppers &amp; pts. thereof for footwear, nesoi, of textile materials w/external surface area over 50% leather Uppers for footwear, nesoi, of cotton, w/external surface area less than 50% textile materials Uppers &amp; pts. thereof for footwear, nesoi, of cotton, w/external surface area 50% or more of textile materials Uppers for footwear, nesoi, of materials nesoi, w/external surface area less than 50% textile materials Uppers &amp; pts. thereof for footwear, nesoi Outer soles and heels for footwear, of rubber or plastics Parts of footwear, nesoi, of wood Parts of footwear; nesoi, removable insoles, heel cushions, gaiters, leggings, etc, &amp; pts. thereof; all the foregoing of textile materials Parts of footwear, nesoi; removable insoles,heel cushions, etc; gaiters, leggings, etc., &amp; pts. thereof; all the foregoing of rubber/plastic Parts of footwear; nesoi, removable insoles, heel cushions, etc; gaiters, leggings, etc, &amp; pts.</w:t>
      </w:r>
    </w:p>
    <w:p>
      <w:pPr>
        <w:pStyle w:val="Normal"/>
        <w:widowControl/>
        <w:rPr/>
      </w:pPr>
      <w:r>
        <w:rPr/>
        <w:t>thereof; all the foregoing of leather Parts of footwear, nesoi; removable insoles, heel cushions, etc; gaiters, leggings, etc, &amp; pts thereof; all the foregoing of materials nesoi Hat forms, hat bodies and hoods, not blocked to shape or with made brims; plateaux &amp; manchons; all of fur felt, for men or boys Hat forms, hat bodies and hoods, not blocked to shape or with made brims; plateaux &amp; manchons; all of fur felt, not for men or boys Hat forms, hat bodies and hoods, not blocked to shape or with made brims; plateaux &amp; manchons; all of felt, other than fur felt Hat shapes, plaited or assembled from strips, not blocked/lined/trimmed &amp; w/o made brims, of veg. fibers or materls, or paper yarn, sewed Hat shapes, plaited or asmbld from strips, n/blocked/lined/trimmed &amp; w/o made brims, of veg. fibers or materls, not sewed/bleached/colored Hat shapes, plaited or asmbld from strips, n/blocked/lined/trimmed &amp; w/o made brims, of veg. fibers or materls, not sewed but bleachd/colord Hat shapes, plaited or assembled from strips, not blocked/lined/trimmed &amp; w/o made brims, not veg. fibers/veg.</w:t>
      </w:r>
    </w:p>
    <w:p>
      <w:pPr>
        <w:pStyle w:val="Normal"/>
        <w:widowControl/>
        <w:rPr/>
      </w:pPr>
      <w:r>
        <w:rPr/>
        <w:t>materials/paper yarn, nesoi Hats and headgear, plaited or assembled from strips of veg. fibers or unspun fibrous veg. materials and/or paper yarn, sewed Hats and headgear, plaited or assembled from strips of veg. fibers or unspun fibrous veg. materials and/or paper yarn, not sewed Hats and headgear, plaited or assembled from strips of any material (o/than veg. fibers/unspun fibrous veg.</w:t>
      </w:r>
    </w:p>
    <w:p>
      <w:pPr>
        <w:pStyle w:val="Normal"/>
        <w:widowControl/>
        <w:rPr/>
      </w:pPr>
      <w:r>
        <w:rPr/>
        <w:t>materials and/or paper yarn) Hair-nets of any material, whether or not lined or trimmed Hats and headgear of fur felt made from hat forms and hat bodies of 6501 Hats and headgear made from hat forms and hat bodies of 6501, except of fur felt Hats and headgear, of cotton and/or flax, knitted Headwear, of cotton, not knitted;</w:t>
      </w:r>
    </w:p>
    <w:p>
      <w:pPr>
        <w:pStyle w:val="Normal"/>
        <w:widowControl/>
        <w:rPr/>
      </w:pPr>
      <w:r>
        <w:rPr/>
        <w:t>certified hand-loomed and folklore hats &amp; headgear, of cotton or flax, not knitted Hats and headgear, of cotton or flax, not knitted, not certified hand-loomed folklore goods Hats and headgear, of wool, knitted or crocheted or made up from knitted or crocheted fabric Hats and headgear, of wool, made up from felt or of textile material, not knitted or crocheted or made up from knitted or crocheted fabric Hats and headgear, of man-made fibers, knitted or crocheted or made up from knitted or crocheted fabric, wholly or in part of braid Hats and headgear, of man-made fibers, knitted or crocheted or made up from knitted or crocheted fabrics, not in part of braid Hats and headgear, of man-made fibers, made up from felt or of textile material, not knitted or crocheted, wholly or in part braid Hats and headgear, of man-made fibers, made up from felt or of textile material, not knitted or crocheted, not in part of braid Hats and headgear, of textile materials (other than of cotton, flax, wool or man-made fibers), nesoi Safety headgear of reinforced or laminated plastics, whether or not lined or trimmed Safety headgear, other than of reinforced or laminated</w:t>
      </w:r>
    </w:p>
    <w:p>
      <w:pPr>
        <w:pStyle w:val="Normal"/>
        <w:widowControl/>
        <w:rPr/>
      </w:pPr>
      <w:r>
        <w:rPr/>
        <w:t>plastics, whether or not lined or trimmed Headgear (other than safety headgear), nesoi, of rubber or plastics, whether or not lined or trimmed Headgear, nesoi, of furskin, whether or not lined or trimmed Headgear (other than safety headgear), nesoi, of materials other than rubber, plastics, or furskins, whether or not lined or trimmed Headbands, linings, covers, hat foundations, hat frames, peaks (visors) and chinstraps, for headgear Garden or similar umbrellas Umbrellas, other than garden or similar umbrellas, having a telescopic shaft Umbrellas, other than garden or similar umbrellas, not having a telescopic shaft Walking-sticks, seat-sticks, whips, riding-crops and the like Umbrella frames, including frames mounted on shafts (sticks), for hand-held umbrellas chiefly used for protection against rain Umbrella frames, including frames mounted on shafts (sticks), other than for hand-held rain umbrellas, nesoi Umbrella handles, knobs, tips and caps Handles, knobs, other parts, trimmings or accessories for walking sticks, seat-sticks, whips, riding crops and the like Articles of feathers or down (other than articles &amp; apparel filled or stuffed with feathers/down and worked quills &amp; scapes) Skins and o/parts of birds w/their feathers or down, feathers, pts of feathers/down, nesoi Artificial flowers/foliage/fruit;</w:t>
      </w:r>
    </w:p>
    <w:p>
      <w:pPr>
        <w:pStyle w:val="Normal"/>
        <w:widowControl/>
        <w:rPr/>
      </w:pPr>
      <w:r>
        <w:rPr/>
        <w:t>articles of art. flowers, etc.; all of plastics, asmbld by binding/gluing/or similar methods Artificial flowers/foliage/fruit &amp; pts of; articles of art.</w:t>
      </w:r>
    </w:p>
    <w:p>
      <w:pPr>
        <w:pStyle w:val="Normal"/>
        <w:widowControl/>
        <w:rPr/>
      </w:pPr>
      <w:r>
        <w:rPr/>
        <w:t>flowers, etc.; all of plastics, not asmbld by binding/gluing/or similar methods Artificial flowers/foliage/fruit &amp; pts thereof; articles of artif. flowers, etc.; all the foregoing of feathers Artificial flowers/foliage/fruit &amp; pts thereof; articles of artif. flowers, etc.; all the foregoing of man-made fibers Artificial flowers/foliage/fruit &amp; pts thereof; articles of artif. flowers, etc.; all the foregoing of materials o/than plast./feath./mmf Human hair, dressed, thinned, bleached or otherwise worked, for use in making wigs or the like Wool or other animal hair or other textile materials, prepared for use in making wigs or the like Wigs (complete), of synthetic textile materials Wigs (partial), false beards, eyebrows and the like, of synthetic textile materials Wigs, false beards, eyebrows and the like, of human hair; articles of human hair, nesoi Wigs, false beards, eyebrows and the like, of animal hair or textile materials (other than synthetic textiles) Setts, curbstones and flagstones, of natural stone (except slate) Tiles/cubes/similar arts. of natural stone, enclosable in a sq. w/a side less than 7 cm; artificially colored granules, chippings &amp; powder Monumental or building stone &amp; arts.</w:t>
      </w:r>
    </w:p>
    <w:p>
      <w:pPr>
        <w:pStyle w:val="Normal"/>
        <w:widowControl/>
        <w:rPr/>
      </w:pPr>
      <w:r>
        <w:rPr/>
        <w:t>thereof, of travertine, simply cut/sawn, w/flat or even surface Monumental or building stone &amp; arts. thereof, of marble &amp; alabaster, simply cut/sawn, w/flat or even surface Monumental or building stone &amp; arts.</w:t>
      </w:r>
    </w:p>
    <w:p>
      <w:pPr>
        <w:pStyle w:val="Normal"/>
        <w:widowControl/>
        <w:rPr/>
      </w:pPr>
      <w:r>
        <w:rPr/>
        <w:t>thereof, of granite, simply cut/sawn, w/flat or even surface Monumental or building stone &amp; arts. thereof, of calcareous stone, nesoi, simply cut/sawn, w/flat or even surface Monumental or building stone &amp; arts. thereof, of stone, nesoi, simply cut/sawn, w/flat or even surface Marble slabs, further worked than simply cut/sawn Monumental or building stone &amp; arts. thereof (o/than slabs), of marble, further worked than simply cut/sawn, nesoi Monumental or building stone &amp; arts. thereof, of travertine, dressed or polished but not further worked, nesoi Monumental or building stone &amp; arts. thereof, of travertine, further worked than dressed or polished, nesoi Monumental or building stone &amp; arts. thereof, of alabaster, further worked than simply cut/sawn, nesoi Monumental or building stone &amp; arts. thereof, of calcareous stone, nesoi, further worked than simply cut/sawn, nesoi Monumental or building stone &amp; arts. thereof, of granite, further worked than simply cut/sawn, nesoi Monumental or building stone &amp; arts.</w:t>
      </w:r>
    </w:p>
    <w:p>
      <w:pPr>
        <w:pStyle w:val="Normal"/>
        <w:widowControl/>
        <w:rPr/>
      </w:pPr>
      <w:r>
        <w:rPr/>
        <w:t>thereof, nesoi, further worked than simply cut/sawn, nesoi Roofing slate Worked slate (other than roofing slate) and articles of slate or agglomerated slate Millstones and grindstones for milling, grinding or pulping Millstones, grindstones, grinding wheels and the like, nesoi, of agglomerated synthetic or natural diamond Millstones, grindstones, grinding wheels and the like, nesoi, of agglomerated abrasives nesoi, or ceramics, bonded with synthetic resins Abrasive wheels of agglomerated abrasives nesoi, or ceramics, not bonded with synthetic resins Millstones, grindstones, grinding wheels and the like, nesoi, of agglomerated abrasives nesoi, or ceramics, not bonded w/synthetic resins Millstones, grindstones, grinding wheels and the like, nesoi, of natural stone Hand sharpening or polishing stones Natural or artificial abrasive powder or grain on a base of woven textile fabric only Natural or artificial abrasive powder or grain on a base of paper or paperboard only Articles wholly or partly coated natural or artificial abrasive powder or grain, on a base of materials nesoi, in sheets, strips, disks,etc.</w:t>
      </w:r>
    </w:p>
    <w:p>
      <w:pPr>
        <w:pStyle w:val="Normal"/>
        <w:widowControl/>
        <w:rPr/>
      </w:pPr>
      <w:r>
        <w:rPr/>
        <w:t>Natural or artificial abrasive powder or grain on a base of materials nesoi, in forms nesoi Slag wool, rock wool and similar mineral wools, in bulk, sheets or rolls Exfoliated vermiculite, expanded clays, foamed slag and similar expanded mineral materials Mixtures and articles of heat-insulating, sound-insulating or sound-absorbing mineral materials, nesoi Articles of asphalt or of similar material, in rolls Articles of asphalt or of similar material, not in rolls Panels, boards, tiles and similar articles of vegetable fiber, straw or wood wastes, agglomerated with cement, plaster or o/mineral binders Panels, boards, sheets, tiles and similar articles of plaster or comp. plaster, n/ornamented, faced or reinforced w/paper or paperboard only Panels, boards, sheets, tiles and similar articles of plaster or comp. plaster, not ornamented, nesoi Articles (other than panels, boards, sheets, tiles, etc.) of plaster or of compositions based on plaster, nesoi Building blocks and bricks, of cement, concrete or artificial stone, whether or not reinforced Floor and wall tiles, of stone agglomerated with binders other than cement Floor and wall tiles, of cement, concrete, or of artificial stone (except stone agglom.</w:t>
      </w:r>
    </w:p>
    <w:p>
      <w:pPr>
        <w:pStyle w:val="Normal"/>
        <w:widowControl/>
        <w:rPr/>
      </w:pPr>
      <w:r>
        <w:rPr/>
        <w:t>w/binders other than cement) Tiles, flagstones, and similar articles, nesoi, of cement, concrete or artificial stone, whether or not reinforced Prefabricated structural components for building or civil engineering, of cement, concrete or artificial stone, nesoi Articles of cement (other than tiles, flagstones, bricks and similar arts.), of concrete or artificial stone, nesoi Articles of asbestos-cement Corrugated sheets, of cellulose fiber-cement or the like (not containing asbestos) Sheets (other than corrugated), panels, tiles and similar articles of cellulose-fiber cement or the like (not containing asbestos) Tubes, pipes and tube or pipe fittings, of cellulose fiber-cement or the like (not containing asbestos) Articles of cellulose fiber-cement or the like (not containing asbestos), nesoi Footwear of crocidolite Articles or mixtures of crocidolite, nesoi Footwear of asbestos other than crocidolite Clothing, accessories, and headgear of asbestos other than crocidolite Paper, millboard and felt of asbestos other than crocidolite Compressed asbestos (other than crocidolite) fiber jointing, in sheets Articles nesoi, of asbestos other than crocidolite or mixtures with a basis of asbestos other than crocidolite</w:t>
      </w:r>
    </w:p>
    <w:p>
      <w:pPr>
        <w:pStyle w:val="Normal"/>
        <w:widowControl/>
        <w:rPr/>
      </w:pPr>
      <w:r>
        <w:rPr/>
        <w:t>Friction material &amp; articles thereof, containing asbestos Brake linings and pads not containing asbestos Friction material &amp; articles thereof with a basis of mineral substances (other than asbestos) or of cellulose, nesoi Agglomerated or reconstituted mica, in plates,</w:t>
      </w:r>
    </w:p>
    <w:p>
      <w:pPr>
        <w:pStyle w:val="Normal"/>
        <w:widowControl/>
        <w:rPr/>
      </w:pPr>
      <w:r>
        <w:rPr/>
        <w:t>sheets and strips, whether or not on a support Worked mica and articles of mica, nesoi, whether or not on a support of paper, paperboard or other materials Nonelectrical articles of graphite or other carbon Articles of peat, nesoi Articles containing magnesoite, dolomite or chromite, nesoi Talc, steatite and soapstone, cut or sawn, or in blanks, crayons, cubes, disks or other forms Articles of stone or of other mineral substances (including carbon fibers &amp; articles thereof), nesoi Siliceous fossil meal or earth bricks, blocks, tiles and other ceramic goods Refractory bricks of magnesite, containing by weight o/50% MgO Refractory bricks, blocks, tiles and similar goods containing by weight o/50% MgO, CaO, or Cr2O3 Refractory bricks containing by weight o/50% alumina (Al2O2) or silica (SiO2) or mixtures or compounds thereof Refractory blocks, tiles &amp; similar goods (o/than bricks), cont. by wt. o/50% alumina (Al2O2) or silica (SiO2) or mixtures thereof Refractory bricks, nesoi Refractory blocks, tiles &amp; similar goods (other than bricks), nesoi Refractory ceramic goods (o/than of siliceous fossil meals or earths), nesoi, cont. by wt.</w:t>
      </w:r>
    </w:p>
    <w:p>
      <w:pPr>
        <w:pStyle w:val="Normal"/>
        <w:widowControl/>
        <w:rPr/>
      </w:pPr>
      <w:r>
        <w:rPr/>
        <w:t>o/50% graphite or o/forms or mix. of carbon Refractory ceramic goods (o/than of siliceous fossil meals or earths), nesoi, cont. by wt. o/50% alumina or mix. or comp.</w:t>
      </w:r>
    </w:p>
    <w:p>
      <w:pPr>
        <w:pStyle w:val="Normal"/>
        <w:widowControl/>
        <w:rPr/>
      </w:pPr>
      <w:r>
        <w:rPr/>
        <w:t>of Al2O3 &amp; SiO3 Refractory ceramic goods (o/than of siliceous fossil meals or earths), nesoi Ceramic building bricks (o/than refractory bricks) Ceramic flooring blocks, support or filler tiles and the like (other than bricks) Ceramic roofing tiles Ceramic chimney pots, cowls, chimney liners, architectural ornaments and other construction goods Ceramic pipes, conduits, guttering and pipe fittings Unglazed ceramic tiles, other than those of subheading 6907.30 and 6907.40, of H2O absorp coeff by wt &lt;=0.5% Glazed ceramic tiles having &lt;=3229 tiles per m2, surf area in sq w/ side &lt;7cm, H2O absorp coeff by wt &lt;=0.5% Glazed ceramic tiles having surface area &lt;38.7cm2, surf area in sq w/ side &lt;7cm, of H2O absorp coeff by wt &lt;=0.5% Glazed ceramic tiles having surface area &gt;=38.7cm2,, surf area in sq w/ side &lt;7cm, of a H2O absorp coeff by wt &lt;=0.5% Glazed ceramic tiles nesoi, of a H2O absorp coeff by wt &lt;=0.5% Unglazed ceramic tiles, other than those of subheading 6907.30 and</w:t>
      </w:r>
    </w:p>
    <w:p>
      <w:pPr>
        <w:pStyle w:val="Normal"/>
        <w:widowControl/>
        <w:rPr/>
      </w:pPr>
      <w:r>
        <w:rPr/>
        <w:t>6907.40, of H2O absorp coeff by wt exceeding 0.5% but not exceeding 10% Glazed ceramic tiles having &lt;=3229 tiles per m2, surf area in sq w/ side &lt;7cm, H2O absorp coeff by wt exceeding 0.5% but not exceeding 10% Glazed ceramic tiles having surface area &lt;38.7cm2, surf area in sq w/ side &lt;7cm, of H2O absorp coeff by wt exceeding 0.5% but not exceeding 10% Glazed ceramic tiles having surface area &gt;=38.7cm2,, surf area in sq w/ side &lt;7cm, of a H2O absorp coeff by wt exceeding 0.5% but not exceeding 10% Glazed ceramic</w:t>
      </w:r>
    </w:p>
    <w:p>
      <w:pPr>
        <w:pStyle w:val="Normal"/>
        <w:widowControl/>
        <w:rPr/>
      </w:pPr>
      <w:r>
        <w:rPr/>
        <w:t>tiles nesoi, of a H2O absorp coeff by wt exceeding 0.5% but not exceeding 10% Unglazed ceramic tiles, other than those of subheading 6907.30 and 6907.40, of H2O absorp coeff by wt &gt;10% Glazed ceramic tiles having &lt;=3229 tiles per m2, surf area in sq w/ side &lt;7cm, H2O absorp coeff by wt &gt;10% Glazed ceramic tiles having surface area &lt;38.7cm2, surf area in sq w/ side &lt;7cm, of H2O absorp coeff by wt &gt;10% Glazed ceramic tiles having surface area &gt;=38.7cm2,, surf area in sq w/ side &lt;7cm, of a H2O absorp coeff by wt &gt;10% Glazed ceramic tiles nesoi, of a H2O absorp coeff by wt &gt;10% Unglazed ceramic mosaic cubes, o/t subheading 6907.40 Glazed ceramic mosaic cubes having &lt;=3229 tiles per m2, surf area in sq w/ side &lt;7cm Glazed ceramic mosaic cubes having surface area &lt;38.7cm2, surf area in sq w/ side &lt;7cm Glazed ceramic mosaic cubes having surface area &gt;=38.7cm2, surf area in sq w/ side &lt;7cm Glazed ceramic mosaic cubes nesoi, o/t subheading</w:t>
      </w:r>
    </w:p>
    <w:p>
      <w:pPr>
        <w:pStyle w:val="Normal"/>
        <w:widowControl/>
        <w:rPr/>
      </w:pPr>
      <w:r>
        <w:rPr/>
        <w:t>6907.40 Unglazed finishing ceramics Glazed finishing ceramics having &lt;=3229 tiles per m2, surf area in sq w/ side &lt;7cm Glazed finishing ceramics having surface area &lt;38.7cm2, surf area in sq w/ side &lt;7cm Glazed finishing ceramics having surface area &gt;=38.7cm2,, surf area in sq w/ side &lt;7cm Glazed finishing ceramics nesoi Porcelain or china ceramic machinery parts Porcelain or china ceramic wares for laboratory, chemical or other technical uses (other than machinery parts), nesoi Ceramic wares (o/than of porcelain or china) for laboratory,</w:t>
      </w:r>
    </w:p>
    <w:p>
      <w:pPr>
        <w:pStyle w:val="Normal"/>
        <w:widowControl/>
        <w:rPr/>
      </w:pPr>
      <w:r>
        <w:rPr/>
        <w:t>chemical or technical uses, w/hardness equivalent to 9 or more on Mohs scale Ceramic ferrite core memories Ceramic wares for laboratory, chemical or other technical uses (o/than of porcelain or china), nesoi Ceramic troughs, tubes &amp; siml. receptacles for agriculture; ceramic pots, jars, &amp; siml. arts. for conveyance or packing of goods Porcelain or china ceramic sinks, washbasins, baths, bidets, water closet bowls, urinals &amp; siml. sanitary fixtures Ceramic (o/than porcelain or china) sinks, washbasins, baths, bidets, water closet bowls, urinals &amp; siml. sanitary fixtures Porcelain or china hotel, restaurant &amp; nonhousehold table and kitchenware Bone china household table &amp; kitchenware valued n/o $31.50/doz. pcs. Bone china household table &amp; kitchenware valued o/$31.50/doz. pcs. Porcelain or china (o/than bone china) househld tabl. &amp; kitch.ware in sets in which aggregate val. of arts./US note 6(b) n/o $56 Porcelain or china (o/than bone china) househld tabl. &amp; kitch.ware in sets in which aggregate val. of arts./US note 6(b) o/$56 n/o $200 Porcelain or china (o/than bone china) househld tabl. &amp; kitch.ware in sets in which aggregate val. of arts./US note 6(b) o/$200 Porcelain or china (o/than bone china) hsehld steins w/pewter lids, decanters, punch bowls, spoons &amp; rests, salt/pepper sets, etc.</w:t>
      </w:r>
    </w:p>
    <w:p>
      <w:pPr>
        <w:pStyle w:val="Normal"/>
        <w:widowControl/>
        <w:rPr/>
      </w:pPr>
      <w:r>
        <w:rPr/>
        <w:t>Porcelain or china (o/than bone china) household mugs and steins w/o attached pewter lids Porcelain or china (o/than bone china) hsehld tabl/kit.ware n/in specif.sets,cups o/$8 but n/o $29/dz, saucers o/$5.25 but n/o $18.75/dz,etc Porcelain or china (o/than bone china) hsehld tabl/kit ware n/in specif. sets, cups o/$29/dz, saucers o/$18.75/dz, bowls o/$33/dz, etc. Porcelain or china (o/than bone china) household serviette rings Porcelain or china (o/than bone china) household tableware &amp; kitchenware, not in specified sets, nesoi Porcelain or china (o/than bone china) household and toilet articles (other than tableware or kitchenware), nesoi Course-grained earthen/stoneware tabl &amp; kitchware; fine-grain earthenware tabl &amp; kitch.ware w/reddish body &amp; lustrous colored/mottled glaze Ceramic (o/than porcelain or china) hotel, restaurant or nonhousehold tableware and kitchenware Ceramic (o/than porcelain or china) household table and kitchenware, in sets in which aggregate val. of arts./US note 6(b) n/o $38 Ceramic (o/than porcelain or china) household table and kitchenware, in sets in which aggregate val. of arts./US note 6(b) o/$38 Ceramic (o/than porcelain or china) hsehld steins w/pewter lids, decanters, punch bowls, spoons &amp; rests, salt/pepper sets, etc.</w:t>
      </w:r>
    </w:p>
    <w:p>
      <w:pPr>
        <w:pStyle w:val="Normal"/>
        <w:widowControl/>
        <w:rPr/>
      </w:pPr>
      <w:r>
        <w:rPr/>
        <w:t>Ceramic (o/than porcelain or china) household mugs and steins w/o attached pewter lids Ceramic (o/than porcelain or china) household tabl/kitch.ware,n/in specif. sets, cups o/$5.25/dz, saucers o/$3/dz, etc.</w:t>
      </w:r>
    </w:p>
    <w:p>
      <w:pPr>
        <w:pStyle w:val="Normal"/>
        <w:widowControl/>
        <w:rPr/>
      </w:pPr>
      <w:r>
        <w:rPr/>
        <w:t>Ceramic (o/than porcelain or china) household serviette rings Ceramic (o/than porcelain or china) household tableware and kitchenware, nesoi Ceramic (o/than porcelain or china) household articles and toilet articles (o/than table and kitchenware), nesoi Porcelain or china statues, statuettes &amp; handmade flowers, valued o/$2.50 each, of original work by professional sculptors Bone china statuettes and other ornamental articles, nesoi Porcelain or china (o/than bone china) statuettes and other ornamental articles, nesoi Ceramic (o/than porcelain or china) statues, statuettes, handmade flowers, val. o/$2.50 each, of original work by professional sculptors Ornamental articles of ceramic tile Earthenware ornamental articles, having a reddish-colored body and a lustrous glaze of differing colors Ceramic (o/than porcelain, china or eartherware) ornamental articles, nesoi Porcelain or china ceramic ferrules, n/o 3mm diam or 25mm long, w/fiber channel open. and/or ceramic mating sleeves of Al2O3 or zirconia Porcelain or china arts. (o/than tableware/kitchenware/household &amp; ornament. arts),nesoi Ceramic (o/porcelain or china) ferrules, n/o 3mm or 25mm long, w/fiber channel open. and/or ceramic mating of sleeves of Al2O3 or zirconia Ceramic (o/than porcelain or china) arts. (o/than tableware/kitchenware/household &amp; ornament.</w:t>
      </w:r>
    </w:p>
    <w:p>
      <w:pPr>
        <w:pStyle w:val="Normal"/>
        <w:widowControl/>
        <w:rPr/>
      </w:pPr>
      <w:r>
        <w:rPr/>
        <w:t>arts), nesoi Glass in the mass of fused quartz or other fused silica Glass in the mass (other than of fused quartz or other fused silica) Cullet and other waste and scrap of glass Glass in balls (o/than microspheres of heading 7018), unworked, n/o 6mm in diameter Glass in balls (o/than microspheres of heading 7018), unworked, over 6 mm in diameter Glass rods of fused quartz or other fused silica, unworked Glass rods (o/than of fused quartz or other fused silica), unworked Glass tubes of fused quartz or other fused silica, unworked Glass tubes (o/than fused quartz/silica), w/linear coefficient of expansion n/o 5x10-6 per Kelvin in range of 0-300 degrees C, unworked Glass tubes (o/than fused quartz/silica), nesoi, unworked Cast or rolled glass, in nonwired sheets, colored thru the mass, opacified, flashed or w/absorbent,reflect. or non-reflect.layer, not wkd.</w:t>
      </w:r>
    </w:p>
    <w:p>
      <w:pPr>
        <w:pStyle w:val="Normal"/>
        <w:widowControl/>
        <w:rPr/>
      </w:pPr>
      <w:r>
        <w:rPr/>
        <w:t>Cast or rolled glass, in nonwired sheets, n/colored thru the mass, opacified, flashed, etc. &amp; not further worked Cast or rolled glass, in wired sheets Cast or rolled glass profiles Drawn or blown glass, in sheets, w/absorbent, reflecting or non-reflecting layer, n/furth. wkd. Drawn or blown glass, in rect. sheets, colored thru the mass, etc., w/o absorbent, reflecting or non-reflect. layer, n/furth wkd Drawn or blown glass, in sheets (o/than rect.), colored thru the mass, opacified, flashed, w/o absorbent, etc. layer, n/furth. wkd. Drawn or blown glass, nesoi, in rectangular sheets, w/thick.</w:t>
      </w:r>
    </w:p>
    <w:p>
      <w:pPr>
        <w:pStyle w:val="Normal"/>
        <w:widowControl/>
        <w:rPr/>
      </w:pPr>
      <w:r>
        <w:rPr/>
        <w:t>n/o 1.5 mm &amp; n/o 0.26 m2 in area, n/further wkd. Drawn or blown glass, nesoi, in rectangular sheets, w/thick. n/o 1.5 mm &amp; over 0.26 m2 in area, n/further wkd. Drawn or blown glass, nesoi, in rectangular sheets, w/thick. over 1.5 but n/o 2 mm &amp; n/o 0.26 m2 in area, n/further wkd. Drawn or blown glass, nesoi, in rectangular sheets, w/thick. over 1.5 but n/o 2 mm &amp; over 0.26 m2 in area, n/further wkd. Drawn or blown glass, nesoi, in rectangular sheets, w/thick. over 2 but n/o 3.5 mm, not further wkd. Drawn or blown glass, nesoi, in rectangular sheets, w/thick. over 3.5 mm &amp; n/o 0.65 m2 in area, not further wkd. Drawn or blown glass, nesoi, in rectangular sheets, w/thick. over 3.5 mm &amp; over 0.65 m2 in area, not further wkd. Drawn or blown glass, nesoi, in sheets (other than rectangular), nesoi Surface ground or polished glass, w/absorb. or reflect. layer, n/o 1.2 mm thick &amp; n/o 0.8 M2 in area, suitable for use in LCD’s Float glass &amp; surface ground or polished glass, nonwired, in sheets, w/absorb. or reflect.</w:t>
      </w:r>
    </w:p>
    <w:p>
      <w:pPr>
        <w:pStyle w:val="Normal"/>
        <w:widowControl/>
        <w:rPr/>
      </w:pPr>
      <w:r>
        <w:rPr/>
        <w:t>layer, nesoi, not worked Float glass &amp; surface ground or polished glass, nonwired, in sheets, colored thru mass, opacified, flashed, under 10 mm thick, not worked Float glass &amp; surface ground or polished glass, nonwired, in sheets, colored thru mass, opacified, flashed, 10 mm or more thick, not worked Float glass &amp; surface ground or polished glass, in sheets, less than 10 mm thick, w/area n/o 0.65 M2 &amp; for liquid crystal displays Float glass &amp; surface ground or polished glass, nonwired, in sheets, less than 10 mm thick, w/area n/o 0.65 M2 &amp; not for LCD’s Float glass &amp; surface ground or polished glass, in sheets, less than 10 mm thick, w/area o/0.65 M2 &amp; for liquid crystal displays Float glass &amp; surface ground or polished glass, nonwired, in sheets, less than 10 mm thick, w/area over 0.65 M2 &amp; not for LCD’s Float glass &amp; surface ground or polished glass, nonwired, in sheets, 10 mm or more in thickness Float glass &amp; surface ground or polished glass, wired,</w:t>
      </w:r>
    </w:p>
    <w:p>
      <w:pPr>
        <w:pStyle w:val="Normal"/>
        <w:widowControl/>
        <w:rPr/>
      </w:pPr>
      <w:r>
        <w:rPr/>
        <w:t>in sheets Glass of heading 7003-7005 in strips n/o 15.2 cm wide &amp; o/2 mm thick, w/longitudinal edges ground or smoothed Drawn or blown glass, not containing wire netting &amp; not surface ground or polished, but bent, edged or otherwise worked but not framed Glass of heading 7003-7005, bent, edgeworked, engraved, drilled, enameled or otherwise worked, but not framed or fitted, nesoi Toughened (tempered) safety glass, of size and shape suitable for incorporation in vehicles, aircraft, spacecraft or vessels Toughened (tempered)</w:t>
      </w:r>
    </w:p>
    <w:p>
      <w:pPr>
        <w:pStyle w:val="Normal"/>
        <w:widowControl/>
        <w:rPr/>
      </w:pPr>
      <w:r>
        <w:rPr/>
        <w:t>safety glass, not of size or shape suitable for incorporation in vehicles, aircraft, spacecraft or vessels Laminated safety glass, windshields, of size and shape suitable for incorporation in vehicles, aircraft, spacecraft or vessels Laminated safety glass (o/than windshields), of size and shape suitable for incorporation in vehicles, aircraft, spacecraft or vessels Laminated safety glass, not of size or shape suitable for incorporation in vehicles, aircraft, spacecraft or vessels Glass multiple-walled insulating units Glass rearview mirrors for vehicles Glass mirrors (o/than rearview mirrors), unframed, n/o 929 cm2 in reflecting area Glass mirrors (o/than rearview mirrors), unframed, over 929 cm2 in reflecting area Glass mirrors (o/than rearview mirrors), framed, n/o 929 cm2 in reflecting area Glass mirrors (o/than rearview mirrors), framed, over 929 cm2 in reflecting area Glass ampoules used for the conveyance or packing of goods Glass stoppers, lids and other closures produced by automatic machine Glass stoppers, lids and other closures not produced by automatic machine Glass serum bottles, vials and other pharmaceutical containers Glass containers for conveyance/packing perfume/toilet preps</w:t>
      </w:r>
    </w:p>
    <w:p>
      <w:pPr>
        <w:pStyle w:val="Normal"/>
        <w:widowControl/>
        <w:rPr/>
      </w:pPr>
      <w:r>
        <w:rPr/>
        <w:t>&amp; containers with/designed for ground glass stopper, made by automatic machine Glass containers for convey/pack perfume/toilet preps &amp; containers with/designed for ground glass stopper, not made by automatic machine Glass carboys, bottles, jars, pots, flasks, &amp; other containers for</w:t>
      </w:r>
    </w:p>
    <w:p>
      <w:pPr>
        <w:pStyle w:val="Normal"/>
        <w:widowControl/>
        <w:rPr/>
      </w:pPr>
      <w:r>
        <w:rPr/>
        <w:t>conveyance/packing of goods (w/wo closures) &amp; preserving jars, nesoi Glass bulbs (w/o fittings) for electric incandescent lamps Glass envelopes, open, &amp; glass parts thereof, for electric lighting (other than bulbs for incandescent lamps), without fittings Glass cones (w/o fittings) for cathode-ray tubes Monochrome glass envelopes (open &amp; w/o fittings), certified by importer for actual use in computer or graphic display CRTs Glass envelopes (open &amp; w/o fittings) &amp; glass parts thereof, nesoi, for cathode-ray tubes Glass envelopes (open &amp; w/o fittings) &amp; glass parts thereof (o/than for electric lighting or cathode-ray tubes Transparent glass-ceramic kitchenware 75% by vol. crystallilne, of lithium aluminosilicate, w/low lin.</w:t>
      </w:r>
    </w:p>
    <w:p>
      <w:pPr>
        <w:pStyle w:val="Normal"/>
        <w:widowControl/>
        <w:rPr/>
      </w:pPr>
      <w:r>
        <w:rPr/>
        <w:t>coefficient of expansion Glass-ceramic ware of a kind used for household, office, indoor decoration or similar purposes, nesoi Stemware drinking glasses of lead crystal, valued n/over $1 each Stemware drinking glasses of lead crystal, valued o/$1 but n/over $3 each Stemware drinking glasses of lead crystal, valued o/$3 but n/over $5 each Stemware drinking glasses of lead crystal, valued over $5 each Stemware of pressed and toughened (specially tempered) glass, o/than lead crystal Stemware, o/than of pressed and toughened glass, o/than lead crystal, valued n/over $0.30 each Stemware, o/than of pressed and toughened glass, o/than lead crystal, valued o/$0.30 but n/over $3 each Stemware, o/than of pressed and toughened glass, o/than lead crystal, cut or</w:t>
      </w:r>
    </w:p>
    <w:p>
      <w:pPr>
        <w:pStyle w:val="Normal"/>
        <w:widowControl/>
        <w:rPr/>
      </w:pPr>
      <w:r>
        <w:rPr/>
        <w:t>engraved, valued o/$3 but n/over $5 each Stemware, o/than of pressed and toughened glass, o/than lead crystal, cut or engraved, valued over $5 each Stemware, o/than of pressed and toughened glass, o/than lead crystal, not cut or engraved, valued o/$3 but n/over $5 each Stemware, o/than of pressed and toughened glass, o/than lead crystal, not cut or engraved, valued over $5 each Drinking glasses, nesoi, of lead crystal, valued n/over $1 each Drinking glasses, nesoi, of lead crystal, valued o/$1 but n/over $3 each Drinking glasses, nesoi, of lead crystal, valued o/$3 but n/over $5 each Drinking glasses, nesoi, of lead crystal, valued over $5 each Drinking glasses, nesoi, of pressed and toughened (specially tempered) glass, o/than lead crystal Drinking glasses, nesoi, o/than of pressed and toughened glass, o/than lead crystal, valued n/over $0.30 each Drinking glasses, nesoi, o/than of pressed and toughened glass, o/than lead crystal, valued o/$0.30 but n/over $3 each Drinking glasses, nesoi, o/than of pressed and toughened glass, o/than lead crystal, cut or engraved, valued o/$3</w:t>
      </w:r>
    </w:p>
    <w:p>
      <w:pPr>
        <w:pStyle w:val="Normal"/>
        <w:widowControl/>
        <w:rPr/>
      </w:pPr>
      <w:r>
        <w:rPr/>
        <w:t>but n/over $5 each Drinking glasses, nesoi, o/than of pressed and toughened glass, o/than lead crystal, cut or engraved, valued over $5 each Drinking glasses, nesoi, o/than of pressed and toughened glass, o/than lead crystal, not cut or engraved, valued o/$3 but n/over $5 each Drinking glasses, nesoi, o/than of pressed and toughened glass, o/than lead crystal, not cut or engraved, valued over $5 each</w:t>
      </w:r>
    </w:p>
    <w:p>
      <w:pPr>
        <w:pStyle w:val="Normal"/>
        <w:widowControl/>
        <w:rPr/>
      </w:pPr>
      <w:r>
        <w:rPr/>
        <w:t>Glassware for table or kitchen purposes (o/than drinking glasses), of lead crystal, valued n/over $1 each Glassware for table or kitchen purposes (o/than drinking glasses), of lead crystal, valued over $1 but n/over $3 each Glassware for table or kitchen purposes (o/than drinking glasses), of lead crystal, valued over $3 but n/over $5 each Glassware for table or kitchen purposes (o/than drinking glasses), of lead crystal, valued over $5 each Glassware for table or kitchen purposes (o/than drinking glasses), of pressed and toughened low coefficient of heat expansion glass Glassware for table or kitchen purposes (o/than drinking glasses), of low coefficient of heat expansion glass, n/o $3 each Glassware for table or kitchen purposes (o/than drinking glasses), of low coefficient of heat expansion glass, over $3 but n/o $5 each Glassware for table or kitchen purposes (o/than drinking glasses), of low coefficient of heat expansion, over $5 each Glassware for table or kitchen purposes (o/than drinking glasses), of pressed and toughened glass, nesoi Glassware for table or kitchen purposes (o/than</w:t>
      </w:r>
    </w:p>
    <w:p>
      <w:pPr>
        <w:pStyle w:val="Normal"/>
        <w:widowControl/>
        <w:rPr/>
      </w:pPr>
      <w:r>
        <w:rPr/>
        <w:t>drinking glasses), nesoi, valued n/over $3 each Glassware for table or kitchen purposes (o/than drinking glasses), nesoi, cut or engraved, valued over $3 but n/over $5 each Glassware for table or kitchen purposes (o/than drinking glasses), nesoi, cut or engraved, valued over $5 each Glassware for table or kitchen purposes (o/than drinking glasses), nesoi, n/cut or engraved, valued over $3</w:t>
      </w:r>
    </w:p>
    <w:p>
      <w:pPr>
        <w:pStyle w:val="Normal"/>
        <w:widowControl/>
        <w:rPr/>
      </w:pPr>
      <w:r>
        <w:rPr/>
        <w:t>but n/o $5 each Glassware for table or kitchen purposes (o/than drinking glasses), nesoi, n/cut or engraved, valued over $5 each Glassware for toilet/office/indoor decor. &amp; similar purposes, of lead crystal, valued n/over $1 each Glassware for toilet/office/indoor decor. &amp; similar purposes, of lead crystal, valued over $1 but n/over $3 each Glassware for toilet/office/indoor decor. &amp; similar purposes, of lead crystal, valued over $3 but n/over $5 each Glassware for toilet/office/indoor decor. &amp; similar purposes, of lead crystal, valued over $5 each Glassware, nesoi, decorated/colored within the body prior to solidification; millefiori glassware; glassware colored &amp; w/bubbles etc Glassware for toilet/office/indoor decor. &amp; similar purposes, of pressed and toughened (specially tempered) glass Smokers’ articles of glass, nesoi; perfume bottles of glass fitted with ground glass stoppersk, nesoi Votive-candle holders of glass, nesoi Glassware for toilet/office/indoor decor. or similar purposes, nesoi, valued n/over $0.30 each Glassware for toilet/office/indoor decor. or similar purposes, nesoi, valued over $0.30 but n/over $3 each Glassware for toilet/office/indoor decor. or similar purposes, nesoi, cut or engraved, valued over $3 but n/over $5 each Glassware for toilet/office/indoor decor. or similar purposes, nesoi, cut or engraved, valued over $5 each Glassware for toilet/office/indoor decor.</w:t>
      </w:r>
    </w:p>
    <w:p>
      <w:pPr>
        <w:pStyle w:val="Normal"/>
        <w:widowControl/>
        <w:rPr/>
      </w:pPr>
      <w:r>
        <w:rPr/>
        <w:t>or similar purposes, nesoi, n/cut or engraved, valued over $3 but n/over $5 each Glassware for toilet/office/indoor decor. or similar purposes, nesoi, n/cut or engraved, valued over $5 each Glass lens blanks (other than for spectacles), not optically worked Glass optical elements (other than lens blanks), not optically worked Glass lenses and filters (other than optical elements) and parts thereof, for signaling purposes, not optically worked Signaling glassware, nesoi, not optically worked Glasses, curved, bent, hollowed, or the like (but not optically worked), for corrective spectacles Watch glasses, round Watch glasses, not round Clock glasses; glasses curved, bent, hollowed, etc. for noncorrective spectacles; hollow spheres &amp; segments for glasses; all n/opt. wkd. Glass cubes and other glass smallwares, whether or not on a backing, for mosaics or similar decorative purposes Paving blocks, slabs, bricks, squares, tiles &amp; other arts.</w:t>
      </w:r>
    </w:p>
    <w:p>
      <w:pPr>
        <w:pStyle w:val="Normal"/>
        <w:widowControl/>
        <w:rPr/>
      </w:pPr>
      <w:r>
        <w:rPr/>
        <w:t>of pressed or molded glass, for building or construction purposes Leaded glass windows &amp; the like; multicellular or foam glass in blocks, panels, plates, shells or similar forms Fused quartz reactor tubes and holders designed for insertion into diffusion and oxidation furnaces for semiconductor wafer production Laboratory, hygienic or pharmaceutical glassware, whether or not calibrated or graduated, of fused quartz or other fused silica, nesoi Laboratory, hygienic or pharmaceutical glassware, whether or not calibrated or graduated, of glass w/low coefficient of heat expansion Glass microscope slides and micro cover glasses Laboratory, hygienic or pharmaceutical glassware, whether or not calibrated, nesoi, of glass, nesoi Glass imitation pearls and pearl beads of all shapes and colors, whether or not drilled, not strung and not set Glass imitation precious or semiprecious stones (except beads) Glass beads (o/than imitat.</w:t>
      </w:r>
    </w:p>
    <w:p>
      <w:pPr>
        <w:pStyle w:val="Normal"/>
        <w:widowControl/>
        <w:rPr/>
      </w:pPr>
      <w:r>
        <w:rPr/>
        <w:t>pearls) &amp; similar glass smallwares, nesoi Glass microspheres not exceeding 1 mm in diameter Glass eyes, except prosthetic articles Articles (o/than imitation jewellry) of glass beads, pearls and imitation stones and statuettes &amp; ornaments of lamp-worked glass Glass fiber chopped strands of a length not more than 50 mm Glass fiber rovings Fiberglass rubber reinforcing yarn,not color,of electrically nonconductive continuous filament 9 to 11 microns diam &amp; impreg for adhesion to Glass fiber yarns, not colored, other than fiberglass rubber reinforcing yarn Fiberglass rubber reinforce yarn,color,of electrically nonconduct. continuous filament 9 to 11 microns diam &amp; impreg for adhesion to polym. Glass fiber yarns, colored, other than fiberglass rubber reinforcing yarn Glass fiber chopped strands of a length more than 50 mm Fiberglass rubber reinforce cord,of electrically nonconduct. contin. filament 9 to 11 microns diam &amp; impreg for adhesion to polymeric comp. Glass fiber slivers Nonwoven glass fiber mats Nonwoven glass fiber in thin sheets (voiles) Nonwoven glass wool insulation products Nonwoven glass fiber webs, mattresses, boards and similar articles of nonwoven glass fibers, nesoi Woven fiberglass tire cord fabric of rovings,n/o 30 cm wide,of elect. nonconductive cont.</w:t>
      </w:r>
    </w:p>
    <w:p>
      <w:pPr>
        <w:pStyle w:val="Normal"/>
        <w:widowControl/>
        <w:rPr/>
      </w:pPr>
      <w:r>
        <w:rPr/>
        <w:t>filament 9-11 micron diam &amp; impreg for adhesion Woven glass fiber fabric of rovings, n/o 30 cm in width, other than fiberglass tire cord fabric Woven fiberglass tire cord fabric of roving,o/30 cm wide,n/color, of elect. nonconduct. contin. fil.</w:t>
      </w:r>
    </w:p>
    <w:p>
      <w:pPr>
        <w:pStyle w:val="Normal"/>
        <w:widowControl/>
        <w:rPr/>
      </w:pPr>
      <w:r>
        <w:rPr/>
        <w:t>9-11 micron diam &amp; impreg for adhesion Woven glass fiber fabric of rovings, o/30 cm wide, not colored, other than fiberglass tire cord fabric Woven fiberglass tire cord fabric of roving,o/30 cm wide,color,of elect nonconduct. cont. filament 9-11 micron diam &amp; impreg for adhesion Woven glass fiber fabrics of rovings, o/30 cm wide, colored, other than fiberglass tire cord fabric Woven fiberglass tire cord fabric,n/roving,n/o 30 cm wide,of electrical nonconduct. contin. filament 9-11 micron diam &amp; impreg for adhesion Woven glass fiber fabric, not of rovings, n/o 30 cm wide, other than fiberglass tire cord fabric Woven fiberglass tire cord fabric,n/rov,pl.weave,o/30 cm wide &amp; less than 250 g/m2,w/no single yarn o/136 tex,n/colrd,of elect nonconduct Woven glass fiber woven fabric, not colored, not of rovings, plain weave, o/30 cm wide, less than 250 g/m2, w/no single yarn o/136 tex,nesoi Woven fiberglass tire cord fabric,n/rov,color,pl. weave,o/30 cm wide &amp; less thna 250 g/m2,w/no single yarn o/136 tex, of elect nonconduct Woven glass fiber fabric,not colored,not rovings,plain weave,o/30 cm wide &amp; less than 250 g/m2,w/no single yarn not more than 136 tex, nesoi Woven fiberglass tire cord fabric,n/colored,nesoi,o/30 cm wide,of elect.</w:t>
      </w:r>
    </w:p>
    <w:p>
      <w:pPr>
        <w:pStyle w:val="Normal"/>
        <w:widowControl/>
        <w:rPr/>
      </w:pPr>
      <w:r>
        <w:rPr/>
        <w:t>noncond contin filament 9-11 micron diam and impreg for adhesion Woven glass fiber woven fabrics, not colored, nesoi, o/30 cm wide, nesoi Woven fiberglass tire cord fabric,colored,nesoi,o/30 cm wide,of elect.</w:t>
      </w:r>
    </w:p>
    <w:p>
      <w:pPr>
        <w:pStyle w:val="Normal"/>
        <w:widowControl/>
        <w:rPr/>
      </w:pPr>
      <w:r>
        <w:rPr/>
        <w:t>nonconduct contin filaments 9-11 micron diam &amp; impreg for adhesion Woven glass fiber woven fabrics, colored, nesoi, o/30 cm wide, nesoi Woven glass fiber articles (other than fabrics), nesoi Glass fibers (including glass wool), nesoi, and articles thereof, nesoi Quartz reactor tubes and holders designed for insertion into diffusion and oxidation furnaces for semiconductor wafer production, nesoi Glass inners for vacuum flasks or for other vacuum vessels Articles of glass, not elsewhere specified or included Natural pearls, graded and temporarily strung for convenence of transport Natural pearls, not strung, mounted or set Cultured pearls, unworked Cultured pearls, worked, graded and temporarily strung for convenience of transport Cultured pearls, worked, not strung, mounted or set Diamonds, unsorted, whether or not worked Miners’ diamonds, unworked or simply sawn, cleaved or bruted Industrial diamonds (other than miners’ diamonds), simply sawn, cleaved or bruted Industrial diamonds (other than miners’ diamonds), unworked Industrial diamonds, worked, but not mounted or set Nonindustrial diamonds, unworked or simply sawn, cleaved or bruted Nonindustrial diamonds, worked, but not mounted or set Precious stones (o/than diamonds) &amp; semiprecious stones, unworked Precious</w:t>
      </w:r>
    </w:p>
    <w:p>
      <w:pPr>
        <w:pStyle w:val="Normal"/>
        <w:widowControl/>
        <w:rPr/>
      </w:pPr>
      <w:r>
        <w:rPr/>
        <w:t>stones (o/than diamonds) &amp; semiprecious stones, simply sawn or roughly shaped Rubies, sapphires and emeralds, worked, whether or not graded, but n/strung (ex. ungraded temporarily strung), mounted or set Precious or semiprecious stones, nesoi, cut but not set and suitable for use in the manufacture of jewelry Precious or semiprecious stones, nesoi, worked, whether or not graded, but n/strung (ex. ungraded temporarily strung), mtd. or set Piezo-electric quartz Synthetic or reconstructed precious or semiprecious stones, unworked or simply sawn or roughly shaped Synthetic or reconstructed precious or semiprecious stones, cut but not set &amp; suitable for use in the manufacture of jewelry Synth.or reconstruct. precious or semiprecious stones, wkd, whether or not graded, but n/strung (ex.ungraded temp. strung), mtd./set,nesoi Diamond dust and powder Natural or synthetic precious (except diamond) or semiprecious stone dust and powder Silver powder Silver bullion and dore Silver, unwrought (o/than bullion and dore) Silver (incl.</w:t>
      </w:r>
    </w:p>
    <w:p>
      <w:pPr>
        <w:pStyle w:val="Normal"/>
        <w:widowControl/>
        <w:rPr/>
      </w:pPr>
      <w:r>
        <w:rPr/>
        <w:t>silver plate w gold/platinum),semimanufacture,rectangular/near rectangular shape,99.5% or &gt; pure,marked only by wgt/identity Silver (including silver plated with gold or platinum), in semimanufactured form, nesoi Base metals clad with silver, not further worked than semimanufactured Gold powder Gold, nonmonetary, bullion and dore Gold, nonmonetary, unwrought (o/than gold bullion and dore) Gold leaf Gold (incl.</w:t>
      </w:r>
    </w:p>
    <w:p>
      <w:pPr>
        <w:pStyle w:val="Normal"/>
        <w:widowControl/>
        <w:rPr/>
      </w:pPr>
      <w:r>
        <w:rPr/>
        <w:t>gold plated w platinum),not money,semimanufacture,rectangle/near rectangular shape,99.5% or &gt; pure,marked only by wgt/identity Gold (including gold plated with platinum), nonmonetary, in semimanufactured forms (except gold leaf), nesoi Gold, monetary, in unwrought, semimanufactured or powder form Base metals or silver clad with gold, but not further worked than semimanufactured Platinum, unwrought or in powder form Platinum, in semimanufactured forms Palladium, unwrought or in powder form Palladium, in semimanufactured forms Rhodium, unwrought or in powder form Rhodium, in semimanufactured forms Iridium, osmium and ruthenium, unwrought or in powder form Iridium, osmium and ruthenium, in semimanufactured forms Base metals, silver or gold clad with platinum, not further worked than semimanufactured Ash containing precious metals or precious metal compounds Gold waste and scrap, including metal clad with gold but excluding sweepings containing other precious metals Platinum waste and scrap, including metal clad with platinum but excluding sweepings containing other precious metals Precious metal (other than of gold or platinum) waste and scrap, including metal clad with precious metals, nesoi Silver rope, curb, etc.</w:t>
      </w:r>
    </w:p>
    <w:p>
      <w:pPr>
        <w:pStyle w:val="Normal"/>
        <w:widowControl/>
        <w:rPr/>
      </w:pPr>
      <w:r>
        <w:rPr/>
        <w:t>in continuous lengths, whether or not plated/clad with other precious metal, suitable for jewelry manufacture Silver articles of jewelry and parts thereof, nesoi, valued not over $18 per dozen pieces or parts Silver articles of jewelry and parts thereof, nesoi, valued over $18 per dozen pieces or parts Precious metal (o/than silver) rope, curb, etc.</w:t>
      </w:r>
    </w:p>
    <w:p>
      <w:pPr>
        <w:pStyle w:val="Normal"/>
        <w:widowControl/>
        <w:rPr/>
      </w:pPr>
      <w:r>
        <w:rPr/>
        <w:t>in continuous lengths, whether or not plated/clad precious metal, for jewelry manufacture Gold rope necklaces and neck chains Gold mixed link necklaces and neck chains Gold necklaces and neck chains (o/than of rope or mixed links) Precious metal (o/than silver) clasps and parts thereof Precious metal (o/than silver) articles of jewelry and parts thereo, whether or not plated or clad with precious metal,nesoi Base metal clad w/precious metal, rope, curb &amp; like articles in continuous lengths, suitable for use in jewelry manufacture Base metal clad w/gold rope necklaces and neck chains Base metal clad w/gold mixed link necklaces and neck chains Base metal clad w/gold necklaces and neck chains, nesoi Base metal clad w/precious metal clasps and parts thereof Base metal clad w/precious metal articles of jewelry and parts thereof, nesoi Knives with handles of silver, whether or not plated or clad with other precious metal Forks with handles of silver, whether or not plated or clad with other precious metal Spoons and ladles with handles of sterling silver Spoons and ladles (o/than w/sterling silver handles) of silver, whether or not</w:t>
      </w:r>
    </w:p>
    <w:p>
      <w:pPr>
        <w:pStyle w:val="Normal"/>
        <w:widowControl/>
        <w:rPr/>
      </w:pPr>
      <w:r>
        <w:rPr/>
        <w:t>plated or clad w/other precious metal Sets of two or more knives or forks w/silver handles or spoons and ladles of silver, whether or not clad or plated w/prec.metal Tableware, nesoi, of sterling silver Articles of silver nesoi, for household, table or kitchen use, toilet and sanitary wares, including parts thereof Silversmiths’ wares (other than for household/table/kitchen use &amp; toilet and sanitary wares) of silver, nesoi Precious metal (o/than silver) articles, nesoi, whether or not plated or clad with other precious metal, nesoi Goldsmiths’ or silversmiths’ wares of base metal clad with precious metal Platinum catalysts in the form of wire cloth or grill Precious metal articles, incl.</w:t>
      </w:r>
    </w:p>
    <w:p>
      <w:pPr>
        <w:pStyle w:val="Normal"/>
        <w:widowControl/>
        <w:rPr/>
      </w:pPr>
      <w:r>
        <w:rPr/>
        <w:t>metal clad w/precious metal,rectangle/near rectangle shape,99.5%/ or pure,marked only by wgt/identity Gold (including metal clad with gold) articles (o/than jewellry or goldsmiths’ wares), nesoi Silver (including metal clad with silver) articles (o/than jewellry or silversmiths’ wares), nesoi Articles of precious metal (o/than gold or silver), including metal clad with precious metal, nesoi Natural pearl articles Cultured pearl articles Jewelry articles of precious or semiprecious stones, valued not over $40 per piece Jewelry articles of precious or semiprecious stones, valued over $40 per piece Semiprecious stones (except rock crystal), graded and strung temporarily for convenience of transport Semiprecious stone (except rock crystal) figurines Semiprecious stone (except rock crystal)</w:t>
      </w:r>
    </w:p>
    <w:p>
      <w:pPr>
        <w:pStyle w:val="Normal"/>
        <w:widowControl/>
        <w:rPr/>
      </w:pPr>
      <w:r>
        <w:rPr/>
        <w:t>articles (other than jewelry and figurines) Precious stone articles,nesoi Cuff links and studs of base metal (whether or not plated w/precious metal) Toy jewelry rope, curb, cable, chain, etc, of base metal (whether or not plated w/prec. metal), val. n/o 8 cents each Rope, curb, cable, chain, etc., of base metal (whether or n/plated w/prec. metal), val. n/over 33 cents/meter for jewelry mfr. Rope, curb, cable, chain, etc., of base metal (whether or n/plated w/prec. metal), val. o/33 cents/meter, for jewelry mfr.</w:t>
      </w:r>
    </w:p>
    <w:p>
      <w:pPr>
        <w:pStyle w:val="Normal"/>
        <w:widowControl/>
        <w:rPr/>
      </w:pPr>
      <w:r>
        <w:rPr/>
        <w:t>Religious articles of a devotional character, design. to be carried on the person, of base metal (whether or not plated with precious metal) Toy jewelry (o/than rope, curb, cable, chain, etc.) of base metal, val. not over 8 cents each Imitation jewelry (o/than toy jewelry &amp; rope, curb, cable, chain, etc.), of base metal (wheth. or n/plated w/prec.metal), nesoi Necklaces wholly of plastic shapes on a fiber string, valued not over 30 cents per dozen Rosaries and chaplets of a purely devotional character for personal use, of a material o/than prec. or base metals, nesoi Religious articles of a purely devotional character designed to be carried on the person, nesoi Toy jewelry (except pts.), other than necklaces of plastic shapes, not of base metal, n/o 20 cents/dozen pcs Imitation jewelry nesoi, not of base metal, n/o 20 cents/doz.</w:t>
      </w:r>
    </w:p>
    <w:p>
      <w:pPr>
        <w:pStyle w:val="Normal"/>
        <w:widowControl/>
        <w:rPr/>
      </w:pPr>
      <w:r>
        <w:rPr/>
        <w:t>pcs or pts Toy jewelry (except pts.), not of base metal, n/o 8 cents each Imitation jewelry of plastics, nesoi, over 20 cents/dozen pcs or pts Imitation jewelry not of base metal or plastics, nesoi, over 20 cents/dozen pcs or pts Coin (other than gold coin), not being legal tender Coins, nesoi Nonalloy pig iron containing by weight 0.5 percent or less of phosphorus Nonalloy pig iron containing by weight more than 0.5 percent of phosphorus Alloy pig iron in blocks or other primary forms Spiegeleisen in blocks or other primary forms Ferromanganese containing by weight more than 2 percent but not more than 4 percent of carbon Ferromanganese containing by weight more than 4 percent of carbon Ferromanganese containing by weight not more than 1 percent of carbon Ferromanganese containing by weight more than 1 percent but not more than 2 percent of carbon Ferrosilicon containing by weight more than 55% but not more than 80% of silicon and more than 3% of calcium Ferrosilicon containing by weight more</w:t>
      </w:r>
    </w:p>
    <w:p>
      <w:pPr>
        <w:pStyle w:val="Normal"/>
        <w:widowControl/>
        <w:rPr/>
      </w:pPr>
      <w:r>
        <w:rPr/>
        <w:t>than 55% but not more than 80% of silicon, nesoi Ferrosilicon containing by weight more than 80% but not more than 90% of silicon Ferrosilicon containing by weight more than 90% of silicon Ferrosilicon containing by weight 55% or less of silicon Ferrosilicon manganese Ferrochromium containing by weight more than 4 percent of carbon Ferrochromium containing by weight more than 3 percent but not more than 4 percent of carbon Ferrochromium containing by weight 3 percent or less of carbon</w:t>
      </w:r>
    </w:p>
    <w:p>
      <w:pPr>
        <w:pStyle w:val="Normal"/>
        <w:widowControl/>
        <w:rPr/>
      </w:pPr>
      <w:r>
        <w:rPr/>
        <w:t>Ferrosilicon chromium Ferronickel Ferromolybdenum Ferrotungsten and ferrosilicon tungsten Ferrotitanium and ferrosilicon titanium Ferrovanadium Ferroniobium containing by weight less than 0.02 percent of phosphorus or sulfur or less than 0.4 percent of silicon Ferroniobium, nesoi Ferrozirconium Calcium silicon ferroalloys Ferroalloys nesoi Ferrous products obtained by direct reduction of iron ore Spongy ferrous products, in lumps, pellets or like forms; iron of a minimum purity by weight of 99.94% in lumps, pellets or like forms Cast iron waste and scrap Stainless steel waste and scrap Alloy steel (o/than stainless) waste and scrap Tinned iron or steel waste and scrap Ferrous turnings, shavings, chips, milling wastes, sawdust, fillings, trimmings and stampings, whether or not in bundles Ferrous waste and scrap nesoi Iron or steel remelting scrap ingots Pig iron, spiegeleisen, and iron or steel granules Alloy steel powders Pig iron, spiegeleisen, and iron or steel (o/than alloy steel) powders Iron and nonalloy steel ingots Iron and nonalloy steel in primary forms (o/than ingots) Iron or nonalloy steel semifinished products, w/less than 0.25% carbon, w/rect. cross sect.(incl. sq.), w/width less than twice thickness Iron or nonalloy steel semifinished products, w/less than 0.25% carbon, w/rect. cross sect.</w:t>
      </w:r>
    </w:p>
    <w:p>
      <w:pPr>
        <w:pStyle w:val="Normal"/>
        <w:widowControl/>
        <w:rPr/>
      </w:pPr>
      <w:r>
        <w:rPr/>
        <w:t>(exclud. sq.), nesoi Iron or nonalloy steel semifinished products, w/less than 0.25% carbon, o/than w/rect.</w:t>
      </w:r>
    </w:p>
    <w:p>
      <w:pPr>
        <w:pStyle w:val="Normal"/>
        <w:widowControl/>
        <w:rPr/>
      </w:pPr>
      <w:r>
        <w:rPr/>
        <w:t>cross section Iron or nonalloy steel semifinished products, w/0.25% or more of carbon Iron/nonalloy steel, width 600mm+, hot-rolled flat-rolled products, w/patterns in relief, in coils, pickled, not clad/plated/coated Iron/nonalloy steel,width 600mm+,hot-rolled flat-rolled product,in coil,w/pattern in relief,w/thick 4.75mm+,not pickld,not clad/plated/coatd Iron/nonalloy steel,width 600mm+,hot-rolled flat-rolled product,in coil,w/pattern in relief,w/thick &lt;4.75mm,not pickld,not clad/plated/coatd Nonalloy hi-strength steel, width 600mm+, hot-rolled flat-rolled products, in coils, w/thick 4.75mm+, pickled, not clad/plated/coated Iron/nonalloy steel, width 600mm+, hot-rolled flat-rolled products, in coils, w/thick 4.7mm or more, pickled, not clad/plated/coated Iron/nonalloy steel, width 600mm+, hot-rolled flat-rolled products, in coils, w/thick 3mm or mor but less 4.75mm, pickled, not clad/plated Iron/nonalloy steel, width 600mm+, hot-rolled flat-rolled products, in coils, w/thick less than 3mm, pickled, not clad/plated/coated Iron/nonalloy steel, width 600mm+, hot-rolled flat-rolled products, in coils, w/thick o/10mm, not pickled/clad/plated/coated Iron/nonalloy steel, width 600mm+, hot-rolled flat-rolled products, in coils, w/thick 4.75mm or more &amp; n/o 10mm, not pickled/clad/plated Iron/nonalloy steel, width 600mm+, hot-rolled flat-rolled products, in coils, w/thick 3mm or more &amp; less 4.75mm, not pickld/clad/plated Iron/nonalloy steel, width 600mm+, hot-rolled flat-rolled</w:t>
      </w:r>
    </w:p>
    <w:p>
      <w:pPr>
        <w:pStyle w:val="Normal"/>
        <w:widowControl/>
        <w:rPr/>
      </w:pPr>
      <w:r>
        <w:rPr/>
        <w:t>products, in coils, w/thick less than 3mm, not pickled/clad/plated/coated Iron/nonalloy steel, width 600mm+, hot-rolled flat-rolled products, w/pattern in relief,not coils,w/thick 4.75 or more, n/clad/plated/coated Iron/nonalloy steel, width 600mm+, hot-rolled flat-rolled products, w/pattern in relief,not coils,w/thick &lt; 4.75mm, not clad/plated/coated Iron/nonalloy steel, width 600mm+, hot-rolled flat-rolled products, nesoi, not in coils, w/thick o/10mm, not clad/plated/coated Iron/nonalloy steel, width 600mm+, hot-rolled flat-rolled products, neosi, not in coils, w/thick 4.75mm+ but n/o 10mm, not clad/plated/ Iron/nonalloy steel, width 600mm+, hot-rolled flat-rolled products, neosi, not in coils, w/thick 3mm+ but &lt; 4.75mm, not clad/plated/coated Iron/nonalloy steel, width 600mm+, hot-rolled flat-rolled products, neosi, not in coils, w/thick less than 3mm, not clad/plated/coated Iron/nonalloy steel, width 600mm+, hot-rolled flat-rolled products, nesoi, not clad/plated/coated Iron/nonalloy steel, width 600mm+, cold-rolled flat-rolled products, in coils, w/thick 3mm+, not clad/plated/coated Iron/nonalloy steel, width 600mm+, cold-rolled flat-rolled products, in coils, w/thick o/1mm but less than 3mm, not clad/plated/coated Iron/nonalloy steel, width 600mm+, cold-rolled flat-rolled products, in coils, w/thick 0.5mm or more but n/o 1mm, not clad/plated/coated Nonalloy hi-strength steel, width 600mm+, cold-rolled flat-rolled products, in coils, w/thick less than 0.5mm, not</w:t>
      </w:r>
    </w:p>
    <w:p>
      <w:pPr>
        <w:pStyle w:val="Normal"/>
        <w:widowControl/>
        <w:rPr/>
      </w:pPr>
      <w:r>
        <w:rPr/>
        <w:t>clad/plated/coated Nonalloy steel(blackplate), width 600mm+, cold-rolled flat-rolled products, in coils, w/thick less than 0.361mm, not clad/plated/coated Iron/nonalloy steel, width 600mm+, cold-rolled flat-rolled products, in coils, w/thick 0.361mm+ but less 5mm, not clad/plated/coated Iron/nonalloy steel, width 600mm+, cold-rolled flat-rolled products, not in coils, w/thick 3mm or more, not clad/plated/coated Iron/nonalloy steel, width 600mm+, cold-rolled flat-rolled products, not in coils, w/thick o/1mm but less than 3mm, not clad/plated/coated Iron/nonalloy steel, width 600mm+, cold-rolled flat-rolled products, not in coils, w/thick 0.5mm+ but n/o 1mm, not clad/plated/coated Iron/nonalloy steel, width 600mm+, cold-rolled flat-rolled products, not in coils, w/thick less than 0.5mm, not clad/plated/coated Iron/nonalloy steel, width 600mm+, flat-rolled products further worked than cold- rolled, not clad/plated/coated, nesoi Iron/nonalloy steel, width 600mm+, flat-rolled products, plated or coated with tin, w/thick.</w:t>
      </w:r>
    </w:p>
    <w:p>
      <w:pPr>
        <w:pStyle w:val="Normal"/>
        <w:widowControl/>
        <w:rPr/>
      </w:pPr>
      <w:r>
        <w:rPr/>
        <w:t>0.5 mm or more Iron/nonalloy steel, width 600mm+, flat-rolled products, plated or coated with tin, less than 0.5 mm thick Iron/nonalloy steel, width 600mm+, flat-rolled products, plated or coated with lead, including terneplate Iron/nonalloy steel, width 600mm+, flat-rolled products, electrolytically plated or coated with zinc Iron/nonalloy steel, width 600mm+, flat-rolled products, plated or coated with zinc (other than electrolytically), corrugated Iron/nonalloy steel, width 600mm+, flat-rolled products, plated or coated with zinc (other than electrolytically), not corrugated Iron/nonalloy steel, width 600mm+, flat-rolled products, plated or coated with chromium oxides or with chromium and chromium oxides Iron/nonalloy steel, width 600mm+, flat-rolled products, plated or coated with aluminum-zinc alloys Iron/nonalloy steel, width 600mm+, flat-rolled products, plated or coated with aluminum o/than aluminum-zinc alloy Iron/nonalloy steel, width 600mm+, flat-rolled products, painted/varnished or coated w/plastic but not plated/coated or clad w/metal Iron/nonalloy steel, width 600mm+, flat-rolled products, painted/varnished or coated w/plastic, nesoi Iron/nonalloy steel, width 600mm+, flat-rolled products, clad Iron/nonalloy steel, width 600mm+, flat-rolled products, electrolytically coated or plated with base metal, nesoi Iron/nonalloy steel, width 600mm+, flat-rolled products, plated or coated, nesoi Iron/nonalloy steel, width less th/600mm, hot-rolled flat-rolled universal</w:t>
      </w:r>
    </w:p>
    <w:p>
      <w:pPr>
        <w:pStyle w:val="Normal"/>
        <w:widowControl/>
        <w:rPr/>
      </w:pPr>
      <w:r>
        <w:rPr/>
        <w:t>mill plate, not clad/plated/coated Iron/nonalloy steel, width less th/600mm, hot-rolled flat-rolled products, nesoi, w/thick of 4.75mm or more, not clad/plated/coated Nonalloy hi-strength steel, width less th/300mm, hot-rolled flat-rolled products, not clad/plated/coated Iron/nonalloy steel, neosi, width less th/300mm, hot-rolled flat-rolled products, w/thick o/1.25 mm but n/o 4.75 mm, n/clad/plated/coated Iron/nonalloy steel, neosi, width less th/300mm, hot-rolled flat-rolled products, w/thick 1.25mm or less, not clad/plated/coated Nonalloy hi-strength steel, width 300mm+ but less th/600mm, hot-rolled flat-rolled products, not clad/plated/coated Iron/nonalloy steel, neosi, width 300mm+ but less th/600mm, hot-rolled flat-rolled products, pickled, not clad/plated/coated Iron/nonalloy steel, neosi, width 300mm+ but less th/600mm, hot-rolled flat-rolled products, not pickled, not clad/plated/coated Nonalloy hi-strength steel, width less th/300mm, cold-rolled flat-rolled, &lt;0.25% carbon, w/thick o/1.25mm, not clad/plated/coated Iron/nonalloy steel, nesoi, width less th/300mm, cold-rolled flat-rolled, &lt;0.25% carbon, w/thick o/1.25mm, not clad/plated/coated Iron/nonalloy steel, nesoi, width less th/300mm, cold-rolled flat-rolled, &lt;0.25% carbon, w/thick o/0.25mm n/o 1.25mm, not clad/plated Iron/nonalloy steel, nesoi, width less th/300mm, cold-rolled flat-rolled, &lt;0.25% carbon, w/thick n/o 0.25mm, not clad/plated/coated Iron/nonalloy steel, nesoi, width 300mm+ but less th/600mm,</w:t>
      </w:r>
    </w:p>
    <w:p>
      <w:pPr>
        <w:pStyle w:val="Normal"/>
        <w:widowControl/>
        <w:rPr/>
      </w:pPr>
      <w:r>
        <w:rPr/>
        <w:t>cold-rolled flat-rolled, &lt;0.25% carbon, not clad/plated/coated Iron/nonalloy steel, width less th/300mm, cold-rolled flat-rolled, w/0.25% or more carbon,w/thick o/0.25mm, not clad/plated/coated Iron/nonalloy steel, width less th/300mm, cold-rolled flat-rolled, w/0.25% or more carbon,w/thick 0.25mm or less, not clad/plated/coated Iron/nonalloy steel, width 300mm+ but less th/600mm, cold-rolled flat-rolled, w/0.25% or more carbon, not clad/plated/coated Iron/nonalloy steel, width less th/600mm, flat-rolled further worked than cold-rolled, not clad, plated or coated Iron/nonalloy steel, width less th/600mm, flat-rolled products, plated or coated with tin Iron/nonalloy steel, width less th/600mm, flat-rolled products, electrolytically plated or coated with zinc Iron/nonalloy steel, width less th/300mm, flat-rolled products, plated/coated with zinc (other than electrolytically), w/thick o/0.25mm Iron/nonalloy steel, width less th/300mm, flat-rolled products, plated/coated w/zinc (other than electrolytically), w/thick 0.25mm or less Iron/nonalloy steel, width 300+ but less th/600mm, flat-rolled products, plated or coated with zinc (other than electrolytically) Iron/nonalloy steel, width less th/300mm, flat-rolled products, painted, varnished or coated w/plastic Iron/nonalloy steel, width 300+ but less th/600mm, flat-rolled products, painted, varnished or coated w/plastic Iron/nonalloy steel, width less th/600mm, flat-rolled products, plated or coated nesoi Iron/nonalloy steel,</w:t>
      </w:r>
    </w:p>
    <w:p>
      <w:pPr>
        <w:pStyle w:val="Normal"/>
        <w:widowControl/>
        <w:rPr/>
      </w:pPr>
      <w:r>
        <w:rPr/>
        <w:t>width less th/600mm, flat-rolled products, clad Iron/nonalloy, concrete reinforcing bars and rods in irregularly wound coils, hot-rolled Free-cutting steel, bars and rods in irregularly wound coils, hot-rolled Iron/nonalloy steel, nesoi, hot-rolled bars &amp; rods in irregularly wound coils, w/cir. x- sect. diam. &lt;14mm, n/tempered/treated/partly mfd Iron/nonalloy steel, nesoi, hot-rolled bars &amp; rods in irregularly wound coils, w/cir. x- sect. diam. &lt;14mm, w/0.6%+ of carbon, nesoi Iron/nonalloy steel, nesoi, hot-rolled bars &amp; rods in irregularly wound coils, w/cir. x- sect. diam. &lt;14mm, w/less th/0.6% carbon, nesoi Iron/nonalloy steel, nesoi, hot-rolled bars &amp; rods, w/cir. x-sect. diam 14+mm or non circ.</w:t>
      </w:r>
    </w:p>
    <w:p>
      <w:pPr>
        <w:pStyle w:val="Normal"/>
        <w:widowControl/>
        <w:rPr/>
      </w:pPr>
      <w:r>
        <w:rPr/>
        <w:t>x-sect., in irregularly wound coils, nesoi Iron/nonalloy steel, forged bars and rods, not in coils Iron/nonalloy steel, concrete reinforcing bars and rods, not further worked than hot- rolled, hot-drawn or hot-extruded, n/coils Free-cutting steel, bars and rods, not further worked than hot-rolled, hot-drawn or hot- extruded, n/coils, nesoi Iron/nonalloy steel, bars and rods, not further worked than hot-rolled, hot-drawn or hot- extruded, w/rectangular (o/than square) X-section Iron/nonalloy steel, bars and rods, not further worked than hot-rolled, hot-drawn or hot- extruded, w/non-rectangular X-sect, not in coils Free-cutting steel, bars and rods, not further worked than cold-formed or cold-finished, not in coils Iron/nonalloy steel nesoi, bars and rods, not further wkd.</w:t>
      </w:r>
    </w:p>
    <w:p>
      <w:pPr>
        <w:pStyle w:val="Normal"/>
        <w:widowControl/>
        <w:rPr/>
      </w:pPr>
      <w:r>
        <w:rPr/>
        <w:t>than cold-formed or cold- finished, not in coils Iron/nonalloy steel, bars and rods, not cold-formed, plated or coated with metal Iron/nonalloy steel, bars and rods, cold-formed, plated or coated with metal Iron/nonalloy steel, bars and rods, further worked than cold-formed or cold-finished, nesoi Iron/nonalloy steel, U,I or H-sections, not further worked than hot-rolled, hot-drawn or extruded, w/height under 80 mm Iron/nonalloy steel, L-sections, not further worked than hot-rolled, hot-drawn or extruded, w/height under 80 mm Iron/nonalloy steel, T-sections, not further worked than hot-rolled, hot-drawn or extruded, w/height under 80 mm Iron/nonalloy steel, U-sections, not further worked than hot-rolled, hot-drawn or extruded, w/height of 80 mm or more Iron/nonalloy steel, I-sections (standard beams), not further worked than hot-rolled, hot-drawn or extruded, w/height 80 mm or more Iron/nonalloy steel, H-sections, not further worked than hot-rolled, hot-drawn or extruded, w/height 80 mm or more Iron/nonalloy steel, L or T-sections, not further worked than hot-rolled, hot-drawn or extruded, w/height 80 mm or more Iron/nonalloy steel, angles, shapes &amp; sections nesoi, not further worked than</w:t>
      </w:r>
    </w:p>
    <w:p>
      <w:pPr>
        <w:pStyle w:val="Normal"/>
        <w:widowControl/>
        <w:rPr/>
      </w:pPr>
      <w:r>
        <w:rPr/>
        <w:t>hot- rolled, hot-drawn or extruded Iron/nonalloy steel, angles, shapes &amp; sections nesoi, not further worked than cold- formed or cold-finished, from flat-rolled products Iron/nonalloy steel, angles, shapes &amp; sections nesoi, not further worked than cold- formed or cold-finished, not from</w:t>
      </w:r>
    </w:p>
    <w:p>
      <w:pPr>
        <w:pStyle w:val="Normal"/>
        <w:widowControl/>
        <w:rPr/>
      </w:pPr>
      <w:r>
        <w:rPr/>
        <w:t>flat-rolled products Iron/nonalloy steel, angle, shapes &amp; sections nesoi,cold-formed/cold-finished from flat- rolled prod. &amp; furth wkd th/cold-formed/cold-finish Iron/nonalloy steel, angles, shapes &amp; sections nesoi,further wkd.</w:t>
      </w:r>
    </w:p>
    <w:p>
      <w:pPr>
        <w:pStyle w:val="Normal"/>
        <w:widowControl/>
        <w:rPr/>
      </w:pPr>
      <w:r>
        <w:rPr/>
        <w:t>than cold-formed or cold-finished and not from flat-rolled products Iron/nonalloy steel, flat wire, &lt;0.25% carbon, not plated or coated, w/thick n/o 0.25 mm Iron/nonalloy steel, flat wire, &lt;0.25% carbon, not plated or coated, w/thick o/0.25mm but n/o 1.25 mm Iron/nonalloy steel, flat wire, &lt;0.25% carbon, not plated or coated, w/thick o/1.25 mm Iron/nonalloy steel, round wire, &lt;0.25% carbon, not plated or coated, w/diameter less than 1.5 mm Iron/nonalloy steel, round wire, &lt;0.25% carbon, not plated or coated, w/diameter of 1.5 mm or more Iron/nonalloy steel, wire (other than flat or round), &lt;0.25% carbon, not plated or coated Iron/nonalloy steel, flat wire, w/0.25% or more carbon, not plated or coated Iron/nonalloy steel, round wire, w/0.25% or more carbon, not plated or coated Iron/nonalloy steel, wire (other than flat or round), w/0.25% or more of carbon, not plated or coated Iron/nonalloy steel, flat wire, plated or coated with zinc Iron/nonalloy steel, round wire, &lt;0.25% carbon, plated or coated with zinc, w/diameter of 1.5 mm or more Iron/nonalloy steel, round wire, w/0.25% or more carbon and/or &lt;1.5mm diam, plated or coated with zinc Iron/nonalloy steel, wire (other than flat or round), &lt;0.25% carbon, plated or coated with zinc Iron/nonalloy</w:t>
      </w:r>
    </w:p>
    <w:p>
      <w:pPr>
        <w:pStyle w:val="Normal"/>
        <w:widowControl/>
        <w:rPr/>
      </w:pPr>
      <w:r>
        <w:rPr/>
        <w:t>steel, wire (other than flat or round), w/0.25% or more of carbon, plated or coated with zinc Iron/nonalloy steel, flat wire, plated or coated with base metal other than zinc Iron/nonalloy steel, round wire, &lt;0.25% carbon, plated or coated with base metal other than zinc, w/diam. of 1.5 mm or more Iron/nonalloy steel, round wire, w/0.25% or more carbon and/or &lt;1.5mm diam, plated or coated with base metal other than zinc Iron/nonalloy steel, wire (other than flat or round), &lt;0.25% carbon, plated or coated with base metal other than zinc Iron/nonalloy steel, wire (other than flat or round), w/0.25% or more of carbon, plated or coated with base metal other than zinc Iron/nonalloy steel, wire, coated with plastics Iron/nonalloy steel, wire, plated or coated with materials other than base metals or plastics Stainless steel, ingots and other primary forms Stainless steel, semifinished products of rectangular (other than square) cross-section Stainless steel, semifinished products, other than of rectangular (other than square) cross-section Stainless steel, width 600mm+, hot-rolled flat-rolled products, in coils, w/thickness o/10 mm Stainless steel, width 600mm+, hot-rolled flat-rolled products, in coils, w/thick.</w:t>
      </w:r>
    </w:p>
    <w:p>
      <w:pPr>
        <w:pStyle w:val="Normal"/>
        <w:widowControl/>
        <w:rPr/>
      </w:pPr>
      <w:r>
        <w:rPr/>
        <w:t>4.75 mm or more but n/o 10 mm Stainless steel, width 600mm+, hot-rolled flat-rolled products, in coils, w/thick.</w:t>
      </w:r>
    </w:p>
    <w:p>
      <w:pPr>
        <w:pStyle w:val="Normal"/>
        <w:widowControl/>
        <w:rPr/>
      </w:pPr>
      <w:r>
        <w:rPr/>
        <w:t>3 mm or more but less than 4.75 mm Stainless steel, width 600mm+, hot-rolled flat-rolled products, in coils, w/thickness less than 3 mm Stainless steel, width 600mm+, hot-rolled flat-rolled products, not in coils, w/thickness o/10 mm Stainless steel, width 600mm+, hot-rolled flat-rolled products, not in coils, w/thick. 4.75 mm or more but n/o 10 mm Stainless steel, width 600mm+, hot-rolled flat-rolled products, not in coils, w/thick.</w:t>
      </w:r>
    </w:p>
    <w:p>
      <w:pPr>
        <w:pStyle w:val="Normal"/>
        <w:widowControl/>
        <w:rPr/>
      </w:pPr>
      <w:r>
        <w:rPr/>
        <w:t>3 mm or more but less than 4.75 mm Stainless steel, width 600mm+, hot-rolled flat-rolled products, not in coils, w/thickness less than 3 mm Stainless steel, width 600mm+, cold-rolled flat-rolled products, w/thickness of 4.75 mm or more Stainless steel, width 600mm+, cold-rolled flat-rolled products, w/thickness of 3 mm or more but less than 4.75 mm Stainless steel, width 600mm+, cold-rolled flat-rolled products, w/thickness o/1 mm but less than 3 mm Stainless steel, width 600mm+, cold-rolled flat-rolled products, w/thickness of 0.5 mm or more but n/o 1 mm Stainless steel, width 600mm+, cold-rolled flat-rolled products, w/thickness of less than 0.5 mm Stainless steel, width 600mm+, flat-rolled products, nesoi, further worked than cold- rolled Stainless steel, width less th/600mm, hot-rolled flat-rolled products, w/thickness of 4.75 mm or more Stainless steel, width 300m+ but less th/600mm, hot-rolled flat-rolled products, w/thickness of less than 4.75 mm Stainless steel, width less th/300mm, hot-rolled flat-rolled products, w/thickness of less</w:t>
      </w:r>
    </w:p>
    <w:p>
      <w:pPr>
        <w:pStyle w:val="Normal"/>
        <w:widowControl/>
        <w:rPr/>
      </w:pPr>
      <w:r>
        <w:rPr/>
        <w:t>than 4.75 mm Stainless steel, width 300+ but less th/600mm, cold-rolled flat-rolled products Stainless steel, width less th/300mm, cold-rolled flat-rolled products, w/thickness o/1.25 mm Stainless steel, width less th/300mm, cold-rolled flat-rolled products, w/ thickness of 0.25 mm but n/o 1.25 mm Stainless razor blade steel, width less th/300mm, cold-rolled flat-rolled, w/thickness n/o 0.25 mm Stainless steel (o/than razor blade steel), width less th/300mm, cold-rolled flat-rolled products, w/thickness n/o 0.25 mm Stainless steel, width less th/600mm, flat-rolled products further worked than cold- rolled Stainless steel, bars and rods in irregularly wound coils, hot-rolled Stainless steel, bars and rods, hot-rolled, hot-drawn or extruded, of circular cross- section Stainless steel, bars and rods, hot-rolled, hot-drawn or extruded, other than of circular cross-section Stainless steel, bars and rods, not further worked than cold-formed or cold-finished, nesoi Stainless steel, bars and rods, further worked than cold-formed or cold-finished, nesoi Stainless steel, angles, shapes &amp; sections, hot-rolled, not drilled/punched or otherwise advanced Stainless steel, angles, shapes &amp; sections, other than hot-rolled and not drilled/punched or otherwise</w:t>
      </w:r>
    </w:p>
    <w:p>
      <w:pPr>
        <w:pStyle w:val="Normal"/>
        <w:widowControl/>
        <w:rPr/>
      </w:pPr>
      <w:r>
        <w:rPr/>
        <w:t>advanced Stainless steel, round wire Stainless steel, flat wire Stainless steel, wire (other than round or flat wire) Alloy (o/than stainless) steel, ingots and other primary forms Alloy (o/than stainless) steel, semifinished products</w:t>
      </w:r>
    </w:p>
    <w:p>
      <w:pPr>
        <w:pStyle w:val="Normal"/>
        <w:widowControl/>
        <w:rPr/>
      </w:pPr>
      <w:r>
        <w:rPr/>
        <w:t>Alloy silicon electrical steel (grain-oriented), width 600mm+, flat-rolled products Alloy silicon electrical steel (other than grain-oriented), width 600mm+, flat-rolled products Alloy tool steel, width 600mm+, hot-rolled flat-rolled products, in coils, w/thick. of 4.75 mm or more Alloy (o/th stainless, silicon elect., hi-speed, or tool) steel, width 600mm+, hot-rolled flat-rolled products, in coils, w/thick 4.75mm+ Alloy tool steel, width 600mm+, hot-rolled flat-rolled products, in coils, w/thick. of less than 4.75 mm Alloy (o/th stainless, silicon elect., hi-speed, or tool) steel, width 600mm+, hot-rolled flat-rolled prod., in coils, w/thick less 4.75mm Alloy tool steel, width 600mm+, hot-rolled flat-rolled products, n/coils, w/thick. of 4.75 mm or more Alloy (o/th stainless, silicon elect., hi-speed, or tool) steel, width 600mm+, hot-rolled flat-rolled products, n/coils, w/thick 4.75mm+ Alloy tool steel, width 600mm+, hot-rolled flat-rolled products, n/coils, w/thick.</w:t>
      </w:r>
    </w:p>
    <w:p>
      <w:pPr>
        <w:pStyle w:val="Normal"/>
        <w:widowControl/>
        <w:rPr/>
      </w:pPr>
      <w:r>
        <w:rPr/>
        <w:t>of less than 4.75 mm Alloy (o/th stainless, silicon elect., hi-speed, or tool) steel, width 600mm+, hot-rolled flat-rolled prod., n/coils, w/thick less 4.75mm Alloy tool steel, width 600mm+, cold-rolled flat-rolled products Alloy steel (o/ than tool), width 600mm+, cold-rolled flat-rolled products, w/thickness 4.75 mm or more Alloy heat-resisting steel, width 600mm+, cold-rolled flat-rolled products, w/thickness less than 4.75 mm Alloy steel (o/th heat-resisting), width 600mm+, cold-rolled flat-rolled products, w/thickness less than 4.75 mm Alloy steel, width 600mm+, flat-rolled products further worked than cold-rolled, electrolytically plated or coated with zinc Alloy steel, width 600mm+, flat-rolled products further worked than cold-rolled, plated or coated with zinc (o/than electrolytically) Alloy steel, width 600mm+, flat-rolled products further worked than cold-rolled, nesoi Alloy silicon electrical steel (grain-oriented), width 300mm+ but less th/600mm, flat- rolled products Alloy silicon electrical steel (grain-oriented), width less th/300mm, flat-rolled products Alloy silicon electrical steel (o/than grain-oriented), width 300mm+ but less th/600mm, flat-rolled products Alloy silicon electrical steel (o/than grain-oriented), width less th/300mm, flat-rolled products Alloy high-speed steel, width less th/600mm, flat-rolled products of high-speed steel Alloy chipper knife tool steel (o/than hi-speed), width less th/600mm, hot-rolled flat- rolled products Alloy tool</w:t>
      </w:r>
    </w:p>
    <w:p>
      <w:pPr>
        <w:pStyle w:val="Normal"/>
        <w:widowControl/>
        <w:rPr/>
      </w:pPr>
      <w:r>
        <w:rPr/>
        <w:t>steel (o/than hi-speed/chipper knife), width 300mm+ but less th/600mm, hot- rolled flat-rolled products Alloy tool steel (o/than hi-speed/chipper knife), width less th/300mm, hot-rolled flat- rolled products Alloy steel (o/than silicon elect./tool), width less th/600mm, hot-rolled flat-rolled products, w/thickness of 4.75 mm or more Alloy steel (o/than silicon elect./tool), width 300mm+ but less th/600mm, hot-rolled flat-rolled products, w/thickness less than 4.75 mm Alloy steel (o/than silicon elect./tool), width less th/300mm, hot-rolled flat-rolled products, w/thickness less than 4.75 mm Alloy tool steel (o/than hi-speed), width 300mm+ but less th/600mm, cold-rolled flat- rolled products Alloy tool steel (o/than hi-speed), width less th/300mm, cold-rolled flat-rolled products Alloy steel (o/than tool), width 300mm+ but less th/600mm, cold-rolled flat-rolled products Alloy steel (o/than tool), width less th/300mm, cold-rolled flat-rolled products, w/thickness n/o 0.25 mm Alloy steel (o/than tool), width less th/300mm, cold-rolled flat-rolled products, w/thickness o/0.25 mm Alloy steel, width less than 600mm, flat-rolled products further worked than cold- rolled, nesoi Alloy high-speed steel, bars and rods in irregularly wound coils, hmot-rolled Alloy silico-manganese steel, bars and rods in irregularly wound coils, hot-rolled Alloy tool steel (o/than hi-speed), bars &amp; rods in irregular wound coils, hot-rolled, n/tempered, treated or partly manufactured Alloy tool steel</w:t>
      </w:r>
    </w:p>
    <w:p>
      <w:pPr>
        <w:pStyle w:val="Normal"/>
        <w:widowControl/>
        <w:rPr/>
      </w:pPr>
      <w:r>
        <w:rPr/>
        <w:t>(o/than hi-speed), bars and rods in irregularly wound coils, hot-rolled, nesoi Alloy steel (o/than hi-speed/silico-mang./tool) steel, bars and rods in irregularly wound coils, hot-rolled Alloy high-speed steel, bars and rods, o/than hot-rolled and in irregularly wound coils Alloy silico-manganese steel, bars and rods, not cold-formed, o/than hot-rolled and in irregularly wound coils Alloy silico-manganese steel, bars and rods, cold formed, o/than hot-rolled and in irregularly wound coils Alloy ball-bearing tool steel, bars and rods, not further worked than hot-rolled, hot- drawn or extruded Alloy chipper knife tool steel, bars and rods, not cold-formed &amp; not further worked than hot-rolled, hot-drawn or extruded Alloy tool steel (o/than ball-bearing/chipper knife), bars and rods, not further worked than hot-rolled, hot-drawn or extruded Alloy steel (o/than hi-speed, silico-mang./tool), bars and rods, not further worked than hot-rolled, hot-drawn or extruded Alloy steel, bars and rods, not further worked than forged Alloy tool steel (o/than hi-speed), bars and rods, not further worked than cold-formed or cold-finished Alloy steel (o/than tool), bars and rods, not further worked</w:t>
      </w:r>
    </w:p>
    <w:p>
      <w:pPr>
        <w:pStyle w:val="Normal"/>
        <w:widowControl/>
        <w:rPr/>
      </w:pPr>
      <w:r>
        <w:rPr/>
        <w:t>than cold-formed or cold- finished Alloy tool steel (o/than hi-speed), bars and rods, further worked than hot-rolled, forged, cold-formed or cold-finished Alloy steel (o/than tool), bars and rods, further worked than hot-rolled, forged but not cold-formed Alloy steel (o/than tool), bars and rods,</w:t>
      </w:r>
    </w:p>
    <w:p>
      <w:pPr>
        <w:pStyle w:val="Normal"/>
        <w:widowControl/>
        <w:rPr/>
      </w:pPr>
      <w:r>
        <w:rPr/>
        <w:t>cold-formed Alloy steel, angles, shapes and sections, hot-rolled &amp; not drilled/not punched and not otherwise advanced Alloy steel, angles, shapes and sections, o/than hot-rolled &amp; not drilled/punced and not otherwise advanced Alloy steel hollow drill bars and rods Alloy silico-manganese steel, wire Alloy high-speed steel, wire Alloy steel (o/than hi-speed/silico-mang.), flat wire Alloy steel (o/than hi-speed/silico-mang.), round wire Alloy steel (o/than hi-speed/silico-mang.), wire (o/than flat or round wire) Iron or steel sheet piling, whether or not drilled, punched or made from assembled elements Iron or nonalloy steel, angles, shapes and sections, welded Alloy steel, angles, shapes and sections of alloy steel, welded Iron or nonalloy steel, rails for railway or tramway tracks Alloy steel, rails for railway or tramway tracks Iron or steel, switch blades, crossing frogs, point rods and other crossing pieces, for jointing or fixing rails Iron or steel, fish plates and sole plates for jointing or fixing rails Sleepers (cross-ties) for railway or tramway track construction of iron or steel Railway or tramway track construction material and</w:t>
      </w:r>
    </w:p>
    <w:p>
      <w:pPr>
        <w:pStyle w:val="Normal"/>
        <w:widowControl/>
        <w:rPr/>
      </w:pPr>
      <w:r>
        <w:rPr/>
        <w:t>other materials specialized for joing or fixing rails, of iron or steel, nesoi Cast iron, tubes, pipes and hollow profiles Stainless steel, seamless line pipe used for oil or gas pipelines Iron (o/than cast) or nonalloy steel, seamless line pipe used for oil and gas pipelines Alloy (other than stainless) steel, seamless line pipe used for</w:t>
      </w:r>
    </w:p>
    <w:p>
      <w:pPr>
        <w:pStyle w:val="Normal"/>
        <w:widowControl/>
        <w:rPr/>
      </w:pPr>
      <w:r>
        <w:rPr/>
        <w:t>oil or gas pipelines Stainless steel, seamless drill pipe, of a kind used in drilling for oil or gas Iron (o/than cast) or nonalloy steel, seamless drill pipe, of a kind used in drilling for oil or gas Alloy (other than stainless) steel, seamless drill pipe, of a kind used in drilling for oil or gas Stainless steel, seamless casing pipe, threaded or coupled, of a kind used in drilling for oil or gas Stainless steel, seamless casing pipe, not threaded or coupled, of a kind used in drilling for oil or gas Stainless steel, seamless tubing, of a kind used in drilling for oil or gas Iron (o/than cast) or nonalloy steel, seamless casing pipe, threaded or coupled, of a kind used in drilling for oil or gas Iron (o/than cast) or nonalloy steel, seamless casing pipe, not threaded or coupled, of a kind used in drilling for oil or gas Alloy (other than stainless) steel, seamless casing pipe, threaded or coupled, of a kind used in drilling for</w:t>
      </w:r>
    </w:p>
    <w:p>
      <w:pPr>
        <w:pStyle w:val="Normal"/>
        <w:widowControl/>
        <w:rPr/>
      </w:pPr>
      <w:r>
        <w:rPr/>
        <w:t>oil or gas Alloy (other than stainless) steel, seamless casing pipe, not threaded or coupled, of a kind used in drilling for oil or gas Iron (o/than cast) or nonalloy, seamless tubing, of a kind used in drilling for oil or gas Alloy (other than stainless) steel, seamless tubing, of a kind used in drilling for oil or gas Iron (o/than cast) or nonalloy steel, seamless, cold-drawn or cold-rolled, hollow bars w/circular cross section Iron (o/than cast) or nonalloy steel, seamless, cold-drawn or cold-rolled, tubes, pipes &amp; hollow profiles, w/circular</w:t>
      </w:r>
    </w:p>
    <w:p>
      <w:pPr>
        <w:pStyle w:val="Normal"/>
        <w:widowControl/>
        <w:rPr/>
      </w:pPr>
      <w:r>
        <w:rPr/>
        <w:t>cross section, nesoi Iron (o/than cast) or nonalloy steel, seamless, not cold-drawn or cold-rolled, tubes, pipes and hollow prof., w/circular cross sect., nesoi Stainless steel, seamless, cold-drawn/cold-rolled, tubes, pipes and hollow profiles, w/circular cross section &amp; extern. diam less than 19mm Stainless steel, seamless, cold-drawn/cold-rolled, tubes, pipes and hollow profiles, w/circular cross section &amp; extern. diam of 19mm or more Stainless steel, seamless, not cold-drawn/cold-rolled, tubes, pipes and hollow profiles, w/circular cross section Alloy steel (o/than stainless), seamless, cold-drawn/cold-rolled, tubes, pipes, etc., w/circ. cross sect., for mfr of ball/roller bearings Alloy steel (o/than stainless), seamless, cold-drawn/cold-rolled, tubes, pipes and hollow profiles, w/circular cross section, nesoi Alloy steel (o/than stainless), seamless, n/cold-drawn/cold-rolled, tubes, pipes, etc. w/circ. cross sect., for mfr ball/roller bearings Alloy steel (o/than stainless), seamless, n/cold-drawn/cold-rolled, tubes, pipes, etc. w/circ. cross sect., for boilers, heaters, etc Heat-resisting alloy steel (o/than stainless), seamless, n/cold-drawn/cold-rolled, tubes, pipes, etc., w/circ. cross sect., nesoi Alloy steel (o/than heat-resist or stainless), seamless, n/cold-drawn/cold-rolled, tubes, pipes and hollow prof., w/circ. cross sect., nesoi Iron (o/than cast) or nonalloy steel, seamless, tubes, pipes and hollow profiles, o/than circ.</w:t>
      </w:r>
    </w:p>
    <w:p>
      <w:pPr>
        <w:pStyle w:val="Normal"/>
        <w:widowControl/>
        <w:rPr/>
      </w:pPr>
      <w:r>
        <w:rPr/>
        <w:t>cross sect., w/wall thickness of 4 mm or more Alloy steel (o/than stainless), seamless, tubes, pipes and hollow profiles, o/than circ. cross sect., w/wall thickness of 4 mm or more Iron (o/than cast) or nonalloy steel, seamless, tubes, pipes and hollow profiles, o/than circ. cross sect., w/wall thickness less than 4 mm Alloy steel (o/than stainless), seamless, tubes, pipes and hollow profiles, o/than circ. cross sect., w/wall thickness less than 4 mm Iron or nonalloy steel, seamed, w/circ. cross sect. &amp; ext. diam o/406.4mm, line pipe, long. submerg. arc weld., used for oil/gas Alloy steel, seamed, circ. w/cross sect. &amp; ext. diam o/406.4mm, line pipe, long. submerg. arc weld., used for oil/gas pipelines Iron or nonalloy steel, seamed, w/circ. cross sect. &amp; ext. diam o/406.4mm, line pipe, long. welded nesoi, used for oil/gas Alloy steel, seamed, w/circ. cross sect. &amp; ext. diam o/406.4mm, line pipe, long. welded nesoi, used for oil/gas pipelines Iron or nonalloy steel, seamed, w/circ. cross sect.&amp; ext. diam o/406.4mm, line pipe, not long. welded, used for oil/gas Alloy steel, seamed, w/circ. cross sect. &amp; ext.</w:t>
      </w:r>
    </w:p>
    <w:p>
      <w:pPr>
        <w:pStyle w:val="Normal"/>
        <w:widowControl/>
        <w:rPr/>
      </w:pPr>
      <w:r>
        <w:rPr/>
        <w:t>diam o/406.4mm, line pipe, not long. welded, used for oil/gas pipelines Iron or nonalloy steel, seamed, w/circ. cross sect. &amp; ext. diam. o/406.4mm, casing pipe, threaded/coupled, of kind for drilling for oil/gas Iron or nonalloy steel, seamed, w/circ. cross sect. &amp; ext. diam. o/406.4mm, casing pipe, n/threaded/coupled, of kind for drill.</w:t>
      </w:r>
    </w:p>
    <w:p>
      <w:pPr>
        <w:pStyle w:val="Normal"/>
        <w:widowControl/>
        <w:rPr/>
      </w:pPr>
      <w:r>
        <w:rPr/>
        <w:t>for oil/gas Alloy steel, seamed, w/circ. cross sect. &amp; ext. diam. o/406.4mm, casing pipe, threaded/coupled, of kind for drilling for oil/gas Alloy steel, seamed, w/circ. cross sect. &amp; ext. diam. o/406.4mm, casing pipe, n/threaded/coupled, of kind for drilling for oil/gas Steel, long. welded, w/circ. cross sect &amp; ext. diam o/406.4mm, tapered pipes and tubes principally used as pts of illuminating arts.</w:t>
      </w:r>
    </w:p>
    <w:p>
      <w:pPr>
        <w:pStyle w:val="Normal"/>
        <w:widowControl/>
        <w:rPr/>
      </w:pPr>
      <w:r>
        <w:rPr/>
        <w:t>Iron or nonalloy steel, long. welded, w/circ. cross sect. &amp; ext. diam. o/406.4mm, tubes and pipes, o/th used in oil/gas drill.etc Alloy steel, long. welded, w/circ. cross sect. &amp; ext. diam. o/406.4mm, tubes and pipes, o/than used in oil/gas drill. or pipelines Iron or nonalloy steel, weld. o/than long. weld., w/circ. x-sect. &amp; ext. diam. o/406.4mm, tubes and pipes, o/th used in oil/gas drill.etc Alloy steel, weld. o/than long. weld., w/circ. x-sect. &amp; ext. diam. o/406.4mm, tubes and pipes, o/than used in oil/gas drill. or pipelines Iron or nonalloy steel, seamed, w/circ. cross sect. &amp; ext. diam. o/406.4mm, not welded, tubes and pipes, o/th used in oil/gas drill.etc Alloy steel, seamed, w/circ. cross sect. &amp; ext. diam. o/406.4mm, not welded, tubes and pipes, o/than used in oil/gas drill. or pipelines Welded stainless steel, w/ext. diam 406.4mm or less or o/than circ. x-sect, line pipe of a kind used for oil and gas pipelines Iron or nonalloy steel, seamed, w/ext. diam. 406.4mm or less or o/than circ.</w:t>
      </w:r>
    </w:p>
    <w:p>
      <w:pPr>
        <w:pStyle w:val="Normal"/>
        <w:widowControl/>
        <w:rPr/>
      </w:pPr>
      <w:r>
        <w:rPr/>
        <w:t>x-sect, line pipe of a kind used for oil and gas pipelines Alloy steel, seamed (o/than welded stainless steel), w/ext. diam 406.4mm or less or o/than circ. x-sect, line pipe of a kind used for oil an Welded stainless steel, w/ext. diam 406.4mm or less or o/than circ. x-sect, threaded/coupled, casing of kind used in drilling for oil/gas Welded stainless steel, w/ext. diam 406.4mm or less or o/than circ. x-sect, n/threaded/coupled, casing of kind used in drilling for oil/gas Welded stainless steel, w/ext. diam 406.4mm or less or o/than circ. x-sect, tubing of a kind used for drilling for oil/gas Iron or nonalloy steel, seamed, w/ext. diam 406.4mm or less or o/than circ. x-sect, threaded/coupled, casing of kind used in drill. oil/gas Iron or nonalloy steel, seamed, w/ext. diam 406.4mm or less or o/than circ. x-sect, n/threaded/coupled, casing kind used drill for oil/gas Alloy steel, seamed (o/than welded stainless steel), w/ext. diam 406.4mm or less or o/than circ. x-sect, threaded/coupled, casing of kind us Alloy steel, seamed (o/than welded stainless steel), w/ext. diam 406.4mm or less or o/than circ. x-sect, n/threaded/coupled, casing of kind Iron or nonalloy steel, seamed, w/ext. diam.</w:t>
      </w:r>
    </w:p>
    <w:p>
      <w:pPr>
        <w:pStyle w:val="Normal"/>
        <w:widowControl/>
        <w:rPr/>
      </w:pPr>
      <w:r>
        <w:rPr/>
        <w:t>406.4mm or less or o/than circ. x-sect, tubing of a kind used for drilling for oil/gas Alloy steel, seamed (o/than welded stainless steel), w/ext. diam 406.4mm or less or o/than circ. x-sect, tubing of a kind used for drilling Iron or nonalloy steel, welded, w/circ. x-sect &amp; ext. diam.</w:t>
      </w:r>
    </w:p>
    <w:p>
      <w:pPr>
        <w:pStyle w:val="Normal"/>
        <w:widowControl/>
        <w:rPr/>
      </w:pPr>
      <w:r>
        <w:rPr/>
        <w:t>406.4mm or less, tubes, pipes, hollow profiles, w/wall thick. less than 1.65 mm Nonalloy steel, welded, w/circ. x-sect &amp; ext. diam. 406.4mm or less, tapered pipes &amp; tubes, w/wall thick. of 1.65 mm+, pts. of illum. arts. Iron or nonalloy steel, welded, w/circ. x-sect &amp; ext. diam. 406.4mm or less, pipes, tubes &amp; holl. prof., w/wall thick. of 1.65 mm or more Stainless steel, welded, w/circ. x-sect &amp; ext. diam. 406.4mm or less, tubes, pipes, hollow profiles, w/wall thick. less than 1.65 mm Stainless steel, welded, w/circ. x-sect &amp; ext. diam. 406.4mm or less, tubes, pipes, hollow profiles, w/wall thick. of 1.65 mm or more Alloy steel (o/stainless), welded, w/circ. x-sect &amp; ext. diam. 406.4mm or less, tubes, pipes, hollow prof., w/wall thick. less th/1.65 mm Alloy steel (o/stainless), welded, w/circ. x-sect &amp; ext. diam. 406.4mm or less, tapered pipes &amp; tubes, w/wall thick. of 1.65 mm+, pts. illum Alloy steel (o/stainless), welded, w/circ. x-sect &amp; ext. diam. 406.4mm or less, tubes, pipes, hollow prof., w/wall thick.</w:t>
      </w:r>
    </w:p>
    <w:p>
      <w:pPr>
        <w:pStyle w:val="Normal"/>
        <w:widowControl/>
        <w:rPr/>
      </w:pPr>
      <w:r>
        <w:rPr/>
        <w:t>of 1.65 mm+ Iron or nonalloy steel, welded, w/square or rectangular x-sect, tubes, pipes and hollow profiles, w/wall thickness of 4 mm or more Alloy steel, welded, w/square or rectangular x-sect, tubes, pipes and hollow profiles, w/wall thickness of 4 mm or more Iron or nonalloy steel, welded, w/square or rectangular x-sect, tubes, pipes and hollow profiles, w/wall thickness less than 4 mm Alloy steel, welded, w/square or rectangular x-sect, tubes, pipes and hollow profiles, w/wall thickness less than 4 mm Iron or nonalloy steel, welded, w/other non-circ. x-sect, tubes, pipes and hollow profiles, w/wall thickness of 4 mm or more Alloy steel, welded, w/other non-circ. x-sect, tubes, pipes and hollow profiles, w/wall thickness of 4 mm or more Iron or nonalloy steel, welded, w/other non-circ. x-sect, tubes, pipes and hollow profiles, w/wall thickness less than 4 mm Alloy steel, welded, w/other non-circ. x-sect, tubes, pipes and hollow profiles, w/wall thickness less than 4 mm Iron or nonalloy steel, seamed o/welded, w/non-circ. x-sect. or circ. x-sect. w/ext. diam. 406.4mm or less, tubes, pipes &amp; hollow profiles Alloy steel, seamed o/than welded, w/non-circ. x-sect or circ. x-sect w/ext. diam.</w:t>
      </w:r>
    </w:p>
    <w:p>
      <w:pPr>
        <w:pStyle w:val="Normal"/>
        <w:widowControl/>
        <w:rPr/>
      </w:pPr>
      <w:r>
        <w:rPr/>
        <w:t>406.4mm or less, tubes, pipes and hollow profiles Cast nonmalleable iron, fittings for tubes or pipes Cast ductile iron or steel, fittings for tubes or pipes Cast iron or steel, fittings for tubes or pipes, nesoi Stainless steel, flanges for tubes/pipes, forged, not machined, not tooled and not otherwise processed after forging Stainless steel, not cast, flanges for tubes/pipes, not forged or forged and machined, tooled and otherwise processed after forging Stainless steel, not cast, threaded sleeves (couplings) for tubes/pipes Stainless steel, not cast, threaded elbow and bends for tubes/pipes Stainless steel, not cast, butt welding fittings for tubes/pipes Stainless steel, not cast, fittings for tubes/pipes, nesoi Iron or nonalloy steel, flanges for tubes/pipes, forged, not machined, not tooled and not otherwise processed after forging Alloy steel (o/than stainless), not cast, flanges for tubes/pipes, forged, not machined/tooled and not otherwise processed after forging Iron or steel (o/than stainless), not cast, flanges for tubes/pipes, not forged or forged and machined, tooled &amp; processed after forging Iron or steel (o/than stainless), not</w:t>
      </w:r>
    </w:p>
    <w:p>
      <w:pPr>
        <w:pStyle w:val="Normal"/>
        <w:widowControl/>
        <w:rPr/>
      </w:pPr>
      <w:r>
        <w:rPr/>
        <w:t>cast, threaded sleeves (couplings) for tubes/pipes Iron or steel (o/than stainless), not cast, threaded elbow and bends for tubes/pipes Iron or nonalloy steel, not cast, butt welding fittings for tubes/pipes, w/inside diam.</w:t>
      </w:r>
    </w:p>
    <w:p>
      <w:pPr>
        <w:pStyle w:val="Normal"/>
        <w:widowControl/>
        <w:rPr/>
      </w:pPr>
      <w:r>
        <w:rPr/>
        <w:t>less than 360mm Alloy steel (o/than stainless), not cast, butt welding fittings for tubes/pipes, w/inside diam.</w:t>
      </w:r>
    </w:p>
    <w:p>
      <w:pPr>
        <w:pStyle w:val="Normal"/>
        <w:widowControl/>
        <w:rPr/>
      </w:pPr>
      <w:r>
        <w:rPr/>
        <w:t>less than 360mm Iron or alloy steel (o/than stainless), not cast, butt welding fittings for tubes/pipes, w/inside diam.</w:t>
      </w:r>
    </w:p>
    <w:p>
      <w:pPr>
        <w:pStyle w:val="Normal"/>
        <w:widowControl/>
        <w:rPr/>
      </w:pPr>
      <w:r>
        <w:rPr/>
        <w:t>360mm or more Iron or nonalloy steel, fittings for tubes/pipes, nesoi, forged, not machined, not tooled and not otherwise processed after forging Alloy steel (o/than stainless), fittings for tubes/pipes, nesoi, forged, not machined/tooled and not otherwise processed after forging Iron/steel (o/than stainless), n/cast, fittings for tubes/pipes, nesoi, not forged or forged and machined, tooled &amp; processed after forging Iron or steel, bridges and bridge sections Iron or steel, towers and lattice masts Stainless steel, doors, windows and their frames, and thresholds for doors Iron or steel (o/than stainless), doors, windows and their frames, and thresholds for doors Iron or steel, props and similar equipment for scaffolding, shuttering or pit-propping Iron or steel, not in part alloy steel, columns, pillars, posts, beams and girders Iron or steel, columns, pillars, posts, beams and girders, nesoi Steel, grating for structures or parts of structures Iron or steel, structures (excluding prefab structures of 9406) and parts of structures, nesoi Iron/steel, reservoirs, tanks, vats, siml. contain., for any material (o/than compress./liq.gas), w/capacity o/300 l, n/fit. w/mech/thermal Iron/steel, tanks, casks, drums, cans, boxes &amp; siml. cont. for any material (o/than compress./liq.gas), w/cap.</w:t>
      </w:r>
    </w:p>
    <w:p>
      <w:pPr>
        <w:pStyle w:val="Normal"/>
        <w:widowControl/>
        <w:rPr/>
      </w:pPr>
      <w:r>
        <w:rPr/>
        <w:t>of 50+ l but n/o 300 l Iron/steel, cans for any material (o/compressed/liq. gas), closed by soldering or crimping, w/cap. less than 50 l Iron/steel, cans for any material (o/compressed/liq. gas), n/closed by soldering or crimping, w/cap. less than 50 l Iron/steel, containers for compressed or liquefied gas Stainless steel, stranded wire, not elect. insulated, fitted with fittings or made up into articles Stainless steel, stranded wire, not elect. insulated, not fitted with fittings or made up into articles Iron or steel (o/than stainless), stranded wire, not elect. insul., fitted with fittings or made up into articles Iron or steel (o/than stainless), stranded wire, not elect. insul., not fitted with fittings or made up into articles Stainless steel, ropes, cables and cordage (o/than stranded wire), not elect. insul., fitted with fittings or made up into articles Stainless steel, ropes, cables and cordage (o/than stranded wire), not elect. insul., not fitted with fittings or made up into articles Iron/steel (o/stainless), ropes, cables &amp; cordage (o/than stranded wire), n/elect. insul., fitted with fittings or made up into articles Iron/steel (o/stainless), ropes, cables &amp; cordage, of brass plated wire (o/than stranded wire), n/elect. insul., w/o fittings or arts.</w:t>
      </w:r>
    </w:p>
    <w:p>
      <w:pPr>
        <w:pStyle w:val="Normal"/>
        <w:widowControl/>
        <w:rPr/>
      </w:pPr>
      <w:r>
        <w:rPr/>
        <w:t>Iron/steel (o/stainless), ropes, cables &amp; cordage, o/th of brass plate wire (o/than stranded wire), n/elect. insul., w/o fittings etc.</w:t>
      </w:r>
    </w:p>
    <w:p>
      <w:pPr>
        <w:pStyle w:val="Normal"/>
        <w:widowControl/>
        <w:rPr/>
      </w:pPr>
      <w:r>
        <w:rPr/>
        <w:t>Iron/steel (o/stainless), plaited bands, slings and the like, not electrically insulated Iron/steel, barbed wire;</w:t>
      </w:r>
    </w:p>
    <w:p>
      <w:pPr>
        <w:pStyle w:val="Normal"/>
        <w:widowControl/>
        <w:rPr/>
      </w:pPr>
      <w:r>
        <w:rPr/>
        <w:t>iron/steel, twisted hoop or single flat wire and loosely twisted double wire, of a kind used for fencing Stainless steel, woven cloth endless bands for machinery, w/meshes not finer than 12 wires to the lineal cm in warp or filling Stainless steel, woven cloth endless bands for machinery, w/meshes finer than 12 but n/finer than 36 wires to the lineal cm warp or filling Stainless steel, Fourdrinier wires for papermaking machines w/94 or more wires to the lineal cm in warp or filling Stainless steel, Fourdrinier wires for papermaking machines w/36 to 93 wires to the lineal cm in warp or filling Stainless steel, woven cloth endless bands for machinery, nesoi, w/meshes finer than 36 wires to the lineal cm in warp or filling Stainless steel, woven cloth (o/than endless bands for machinery), w/meshes not finer than 12 wires to the lineal cm in warp or filling Stainless steel, woven cloth (o/than endless bands for machinery), w/meshes finer 12 but n/finer 36 wires to the lineal cm warp/filling Stainless steel,</w:t>
      </w:r>
    </w:p>
    <w:p>
      <w:pPr>
        <w:pStyle w:val="Normal"/>
        <w:widowControl/>
        <w:rPr/>
      </w:pPr>
      <w:r>
        <w:rPr/>
        <w:t>Fourdrinier wires (o/than endless bands) for papermaking machines,w/meshes 94 or more wire to lineal cm warp/filling Stainless steel, Fourdrinier wires (o/than endless bands) for papermaking machines, w/meshes 36 to 93 wires to the lineal cm warp/filling Stainless steel woven cloth (other than endless band for machinery), neosi, w/meshes finer than 36 wires to</w:t>
      </w:r>
    </w:p>
    <w:p>
      <w:pPr>
        <w:pStyle w:val="Normal"/>
        <w:widowControl/>
        <w:rPr/>
      </w:pPr>
      <w:r>
        <w:rPr/>
        <w:t>the lineal cm in warp or filling Iron or steel (o/than stainless), woven cloth Iron/steel, grill, netting &amp; fencing, of wire w/maximum x-sect.</w:t>
      </w:r>
    </w:p>
    <w:p>
      <w:pPr>
        <w:pStyle w:val="Normal"/>
        <w:widowControl/>
        <w:rPr/>
      </w:pPr>
      <w:r>
        <w:rPr/>
        <w:t>dimension 3 mm or more, welded at intersection, w/mesh size 100 cm2 or more Iron/steel, fencing, of wire, welded at the intersection, plated or coated with zinc, whether or not covered w/plastic material Iron/steel, grill and netting, of wire, welded at the intersection, plated or coated with zinc, nesoi Iron/steel, grill, netting and fencing, of wire, welded at the intersection, not plated or coated with zinc Iron/steel, grill, netting and fencing, of wire, not welded at the intersection, plated or coated with zinc Iron/steel, grill, netting and fencing, of wire, not welded at the intersection, coated with plastics Iron/steel, grill, netting and fencing, of wire, not welded at the intersection, not cut to shape Iron/steel, grill, netting and fencing, of wire, not welded at the intersection, cut to shape Iron or steel, expanded metal Iron or steel, roller chain Iron or steel, articulated link chain (other than roller chain) Iron or steel, parts of articulated link chain Iron or steel, skid chain, not over 8 mm in diameter Iron or</w:t>
      </w:r>
    </w:p>
    <w:p>
      <w:pPr>
        <w:pStyle w:val="Normal"/>
        <w:widowControl/>
        <w:rPr/>
      </w:pPr>
      <w:r>
        <w:rPr/>
        <w:t>steel, skid chain, over 8 mm in diameter Iron or steel, stud link chain Alloy steel, welded link chain, not over 10 mm in diameter Alloy steel, welded link chain, over 10 mm in diameter Iron or nonalloy steel, welded link chain, not over 10 mm in diameter Iron or nonalloy steel, welded link chain, over 10 mm</w:t>
      </w:r>
    </w:p>
    <w:p>
      <w:pPr>
        <w:pStyle w:val="Normal"/>
        <w:widowControl/>
        <w:rPr/>
      </w:pPr>
      <w:r>
        <w:rPr/>
        <w:t>in diameter Iron or steel, chain nesoi, with links of essentially round cross section, not over 8 mm in diameter Iron or steel, chain nesoi, with links of essentially round cross sections, over 8 mm in diameter Iron or steel, chain nesoi Iron or steel, parts of chain (other than articulated link chain) Iron or steel, anchors, grapnels and parts thereof Iron or steel, thumb tacks Iron or steel, nails, tacks, corrugated nails, staples &amp; similar arts., not threaded, suitable for use in powder-actuated hand tools Iron or steel, nails, tacks, corrugated nails, staples &amp; similar arts., threaded, suitable for use in powder-actuated hand tools Iron or steel, nails, tacks, corrugated nails, staples &amp; similar arts., of one piece construction, made of round wire, nesoi Iron or steel, nails, tacks, corrugated nails, staples &amp; similar arts., of one piece construction, not made of round wire, nesoi Iron or steel, nails, tacks, corrugated nails, staples &amp; similar arts., of two or more pieces, nesoi Iron or steel, coach screws Iron or</w:t>
      </w:r>
    </w:p>
    <w:p>
      <w:pPr>
        <w:pStyle w:val="Normal"/>
        <w:widowControl/>
        <w:rPr/>
      </w:pPr>
      <w:r>
        <w:rPr/>
        <w:t>steel, wood screws (o/than coach screws) Iron or steel, screw hooks and screw rings Iron or steel, self-tapping screws, w/shanks or threads less than 6 mm in diameter Iron or steel, self-tapping screws, w/shanks or threads 6 mm or more in diameter Iron or steel, bolts and bolts &amp; their nuts or washers, imported in the same shipment Iron or steel, machine screws (o/than cap screws), 9.5 mm or more in length and 3.2 mm in diameter Iron or steel, threaded studs</w:t>
      </w:r>
    </w:p>
    <w:p>
      <w:pPr>
        <w:pStyle w:val="Normal"/>
        <w:widowControl/>
        <w:rPr/>
      </w:pPr>
      <w:r>
        <w:rPr/>
        <w:t>Iron or steel, screws and bolts, nesoi, having shanks or threads less than 6 mm in diameter Iron or steel, screws and bolts, nesoi, having shanks or threads 6 mm or more in diameter Iron or steel, nuts Iron or steel, threaded articles similar to screws, bolts, nuts, coach screws &amp; screw hooks, nesoi Iron or steel, spring washers and other lock washers Iron or steel, washers (o/than spring washers and other lock washers) Iron or steel, rivets Iron or steel, cotters and cotter pins Iron or steel, nonthreaded articles similar to rivets, cotters, cotter pins, washers and spring washers Iron or steel, safety pins Iron or steel, dressmakers’ or common pins Iron or steel, pins (o/than safety pins, dressmakers’ or common pins) Iron or steel, sewing, darning or embroidery needles Iron or steel, knitting needles, bodkins, crochet hooks, embroidery stilettos and similar articles for use in the hand Iron or steel, leaf springs &amp; leaves therefore, to be used in motor vehicles having a G.V.W. not exceeding 4 metric tons Iron or steel, leaf springs &amp; leaves therefore, suitable for motor vehicle suspension (o/than for motor vehicles w/a G.V.W.</w:t>
      </w:r>
    </w:p>
    <w:p>
      <w:pPr>
        <w:pStyle w:val="Normal"/>
        <w:widowControl/>
        <w:rPr/>
      </w:pPr>
      <w:r>
        <w:rPr/>
        <w:t>o/4 metric tons) Iron or steel, leaf springs &amp; leaves therefore, not suitable for motor vehicle suspension Iron or steel, helical springs, suitable for motor-vehicle suspension Iron or steel, helical springs (o/than suitable for motor-vehicle suspension) Iron or steel, hairsprings Iron or steel, springs (o/than leaf springs, helical springs or hairsprings) Iron or steel, portable non-electric domestic cooking appliances and plate warmers, for gas fuel or for both gas and other fuels Iron or steel, nonportable non-electric domestic stoves or ranges, for gas fuel or for both gas and other fuels Iron or steel, nonportable non-electric domestic cook. appl. (o/th stoves or ranges) &amp; plate warmers, for gas fuel or both gas &amp; other fuels Iron or steel, non-electric domestic cooking appliances and plate warmers, for liquid fuels Iron or steel, non-electric domestic cooking appliances and plate warmers, o/than for gas or liquid fuels Iron or steel, portable non-electric domestic grates &amp; warming appl. (o/cooking/plate warmers), for gas fuel or both gas and other fuels Iron or steel, nonportable non-electric domestic grates &amp; warming appl.</w:t>
      </w:r>
    </w:p>
    <w:p>
      <w:pPr>
        <w:pStyle w:val="Normal"/>
        <w:widowControl/>
        <w:rPr/>
      </w:pPr>
      <w:r>
        <w:rPr/>
        <w:t>(o/than cooking/plate warmers), for gas fuel/both gas &amp; other fuels Iron or steel, portable non-electric domestic grates &amp; warming appliances (o/than cooking/plate warmers) for liquid fuels Iron or steel, nonportable non-electric domestic grates &amp; warming appliances (o/than cooking/plate warmers), for liquid fuels Iron or steel, non-electric domestic grates &amp; warming appliances (o/than cooking/plate warmers), o/than for gas or liquid fuelss Iron/steel, cooking chambers for nonportable non-electric domestic stoves or ranges, for gas or for gas and other fuels Iron/steel, top surface panels w/ or w/o burners/controls for nonportable non-elect. domest. stoves or ranges, for gas or gas &amp; other fuels Iron/steel, door assmbly w/more than one of inner panel, out. panel, window, insul., for non-elect.</w:t>
      </w:r>
    </w:p>
    <w:p>
      <w:pPr>
        <w:pStyle w:val="Normal"/>
        <w:widowControl/>
        <w:rPr/>
      </w:pPr>
      <w:r>
        <w:rPr/>
        <w:t>stoves or ranges, for gas or gas &amp; other Iron/steel, parts of nonportable non-electric domestic stoves or ranges, nesoi, for gas fuel or for both gas and other fuels Iron/steel, parts, of nonelectric domestic cooking and warming appliances, nesoi Cast iron, non-electrically heated radiators and parts thereof, for central heating Iron (o/than cast) or steel, non-electrically heated radiators and parts thereof, for central heating Iron or steel, non-electrically heated air heaters and hot air distributors w/motor driven fan or blower and parts thereof Iron or steel wool; iron or steel pot scourers and scouring or polishing pads, gloves and the like Cast iron, table, kitchen or o/household arts. and parts thereof, not enameled but coated or plated with precious metals Cast iron, table, kitchen or o/household arts. and parts thereof, not enameled &amp; not coated or plated with precious metals Cast iron, table, kitchen or o/household arts. and parts thereof, enameled Stainless steel, table, kitchen or o/household arts. amd parts thereof Iron (o/than cast) or steel (o/than stainless), table, kitchen or o/household arts.</w:t>
      </w:r>
    </w:p>
    <w:p>
      <w:pPr>
        <w:pStyle w:val="Normal"/>
        <w:widowControl/>
        <w:rPr/>
      </w:pPr>
      <w:r>
        <w:rPr/>
        <w:t>and parts thereof, enameled Iron (o/th cast) or steel (o/th stainless), table, kitchen or o/household arts. &amp; parts thereof, not enameled but plated/coat. w/silver Iron (o/th cast)/steel (o/th stainless), table/kitchen /household arts. &amp; parts thereof, not enameled but plated/coat. w/prec metal o/silver Tinplate, table, kitchen or o/household arts.</w:t>
      </w:r>
    </w:p>
    <w:p>
      <w:pPr>
        <w:pStyle w:val="Normal"/>
        <w:widowControl/>
        <w:rPr/>
      </w:pPr>
      <w:r>
        <w:rPr/>
        <w:t>&amp; parts thereof, not coated or plated w/precious metal Iron (o/th cast) or steel (o/than tinplate or stainless), cookingware, not coated or plated with precious metal Iron (o/th cast)/steel (o/th tinplate or stainless), table, kitchen (o/th cooking.) or o/household arts &amp; part, n/coated/plated w/prec.metal Stainless steel, sinks and wash basins Cast iron, baths (whether or not enameled), coated or plated with precious metal Cast iron, baths (whether or not enameled), not coated or plated with precious metal Iron (o/than cast) or steel, baths (whether or not enameled) Iron or steel, sanitary ware (o/than baths or stainless steel sinks and wash basins) and parts thereof Nonmalleable cast iron, articles, nesoi Iron or steel, cast grinding balls and similar articles for mills Cast iron (o/than nonmalleable cast iron), articles nesoi Steel, cast articles nesoi Iron or steel, forged or stamped grinding balls and similar articles for mills Iron or steel, articles forged or stamped but n/further worked, nesoi Iron or steel, articles of wire, nesoi Tinplate, articles nesoi Iron or steel, cable</w:t>
      </w:r>
    </w:p>
    <w:p>
      <w:pPr>
        <w:pStyle w:val="Normal"/>
        <w:widowControl/>
        <w:rPr/>
      </w:pPr>
      <w:r>
        <w:rPr/>
        <w:t>or inner wire for caliper and cantilever brakes and casing therefore, whether or not cut to length Iron or steel, containers of a kind normally carried on the person, in the pocket or in the handbag, nesoi Iron or steel, horse and mule shoes Iron or steel, articles nesoi, coated or plated with precious metal Iron or steel, articles, nesoi Copper mattes;</w:t>
      </w:r>
    </w:p>
    <w:p>
      <w:pPr>
        <w:pStyle w:val="Normal"/>
        <w:widowControl/>
        <w:rPr/>
      </w:pPr>
      <w:r>
        <w:rPr/>
        <w:t>cement copper (precipitated copper)</w:t>
      </w:r>
    </w:p>
    <w:p>
      <w:pPr>
        <w:pStyle w:val="Normal"/>
        <w:widowControl/>
        <w:rPr/>
      </w:pPr>
      <w:r>
        <w:rPr/>
        <w:t>Unrefined copper; copper anodes for electrolytic refining Refined copper cathodes and sections of cathodes Refined copper, wire bars Refined copper, billets Refined copper, unwrought articles nesoi Copper-zinc base alloys (brass), unwrought nesoi Copper-tin base alloys (bronze), unwrought nesoi Copper alloys (o/than copper-zinc, copper-tin alloys), unwrought nesoi Copper spent anodes; copper waste &amp; scrap containing less than 94% by weight of copper Copper, waste and scrap containing 94% or more by weight of copper Copper master alloys, containing 5% or more but n/more than 15% by weight of phosphorus Copper master alloys, not containing 5% or more but n/more than 15% by weight of phosphorus Copper, powders of non-lamellar structure Copper, powders of lamellar structure;</w:t>
      </w:r>
    </w:p>
    <w:p>
      <w:pPr>
        <w:pStyle w:val="Normal"/>
        <w:widowControl/>
        <w:rPr/>
      </w:pPr>
      <w:r>
        <w:rPr/>
        <w:t>copper flakes Refined copper, hollow profiles Refined copper, profiles (o/than hollow profiles) Refined copper, bars and rods Copper-zinc base alloys (brass), hollow profiles Copper-zinc base alloys (brass), profiles (o/than hollow profiles) Copper-zinc base alloys (brass), low fuming brazing rods Copper-zinc base alloys (brass), bars &amp; rods nesoi, having a rectangular cross section Copper-zinc base alloys (brass), bars &amp; rods nesoi, not having a rectangular cross section Copper alloys, hollow profiles Copper-nickel base alloys (cupro-nickel) or copper-nickel-zinc base alloys (nickel silver), profiles (o/than hollow profiles) Copper alloys (o/than cupro-nickel or nickel silver), profiles (o/than hollow</w:t>
      </w:r>
    </w:p>
    <w:p>
      <w:pPr>
        <w:pStyle w:val="Normal"/>
        <w:widowControl/>
        <w:rPr/>
      </w:pPr>
      <w:r>
        <w:rPr/>
        <w:t>profiles) Copper-nickel base alloys (cupro-nickel) or copper-nickel-zinc base alloys (nickel silver), bars &amp; rods Copper alloys (o/than brass, cupro-nickel or nickel silver), bars and rods Refined copper, wire, w/maximum cross-sectional dimension over 9.5 mm Refined copper, wire, w/maximum cross-sectional dimension over 6 mm but not over 9.5 mm Refined copper, wire, w/maximum cross-sectional dimension of 6 mm or less Copper-zinc base alloys (brass), wire Copper-nickel base alloys (cupro-nickel) or copper-nickel-zinc base alloys (nickel silver), wire, coated or plated with metal Copper-nickel base alloys (cupro-nickel) or copper-nickel-zinc base alloys (nickel silver), wire, not coated or plated w/metal Copper alloys (o/than brass, cupro-nickel or nickel-silver), wire, coated or plated with metal Copper alloys (o/than brass, cupro-nickel or nickel-silver), wire, not coated or plated with metal Refined copper, plates, sheets and strip, in coils, with a thickness of 5 mm or more Refined copper, plates, sheets and strip, in coils, with a thickness over 0.15mm but less than 5 mm Refined copper, plates, sheets and strip, not in coils, with a thickness of</w:t>
      </w:r>
    </w:p>
    <w:p>
      <w:pPr>
        <w:pStyle w:val="Normal"/>
        <w:widowControl/>
        <w:rPr/>
      </w:pPr>
      <w:r>
        <w:rPr/>
        <w:t>5 mm or more Refined copper, plates, sheets and strip, not in coils, with a thickness o/0.15mm but less than 5 mm &amp; a width of 500 mm or more Refined copper, plates, sheets and strip, not in coils, with a thickness o/0.15mm but less than 5 mm &amp; a width of less than 500 mm Copper-zinc base alloys (brass), plates, sheets and strip,</w:t>
      </w:r>
    </w:p>
    <w:p>
      <w:pPr>
        <w:pStyle w:val="Normal"/>
        <w:widowControl/>
        <w:rPr/>
      </w:pPr>
      <w:r>
        <w:rPr/>
        <w:t>in coils Copper-zinc base alloys (brass), plates, sheets and strip, not in coils Copper-tin base alloys (bronze), plates, sheets and strip, in coils.</w:t>
      </w:r>
    </w:p>
    <w:p>
      <w:pPr>
        <w:pStyle w:val="Normal"/>
        <w:widowControl/>
        <w:rPr/>
      </w:pPr>
      <w:r>
        <w:rPr/>
        <w:t>with a thickness of 5 mm or more Copper-tin base alloys (bronze), plates, sheets and strip, in coils, with a thickness o/0.15mm but less than 5mm &amp; a width of 500mm or more Copper-tin base alloys (bronze), plates, sheets and strip, in coils, w/thickness o/0.15mm but less than 5mm &amp; a width of less than 500mm Copper-tin base alloys (bronze), plates, sheets and strip, with a thickness of 5 mm or more Copper-tin base alloys (bronze), plates, sheets and strip, with a thickness o/0.15 but less than 5 mm &amp; of a width of 500 mm or more Copper-tin base alloys (bronze), plates, sheets and strip, with a thickness o/0.15 but less than 5 mm &amp; of a width of less than 500 mm Copper-nickel base alloys (cupro-nickel) or copper-nickel-zinc base alloys (nickel silver), plates, sheets and strip, w/thickness o/0.15mm Copper alloys (o/than brass/bronze/cupro-nickel/nickel silver), plates, sheets &amp; strip, with thickness of 5 mm or more Copper alloys (o/than brass/bronze/cupro-nickel/nickel silver), plates, sheets &amp; strip, w/thick.</w:t>
      </w:r>
    </w:p>
    <w:p>
      <w:pPr>
        <w:pStyle w:val="Normal"/>
        <w:widowControl/>
        <w:rPr/>
      </w:pPr>
      <w:r>
        <w:rPr/>
        <w:t>o/0.15mm but less th/5mm &amp; width 500mm+ Copper alloys (o/than brass/bronze/cupro-nickel/nickel silver), plates, sheets &amp; strip, w/thick.</w:t>
      </w:r>
    </w:p>
    <w:p>
      <w:pPr>
        <w:pStyle w:val="Normal"/>
        <w:widowControl/>
        <w:rPr/>
      </w:pPr>
      <w:r>
        <w:rPr/>
        <w:t>o/0.15mm but less th/5mm &amp; width less 500mm Refined copper, foil, w/thickness of 0.15 mm or less, not backed Copper alloys, foil, w/thickness of 0.15 mm or less, not backed Refined copper, clad laminates, w/thickness of 0.15 mm or less, backed Refined copper, foil, w/thickness of 0.15 mm or less, backed Copper alloys, foil, w/thickness of 0.15 mm or less, backed Refined copper, tubes and pipes, seamless Refined copper, tubes and pipes, other than seamless Copper-zinc base alloys (brass), tubes and pipes, seamless Copper-zinc base alloys (brass), tubes and pipes, other than seamless Copper-nickel base alloys (cupro-nickel) or copper-nickel-zinc base alloys (nickel- silver), tubes and pipes Copper alloys (o/than brass/cupro-nickel/nickel-silver), pipes and tubes, seamless Copper alloys (o/than brass/cupro-nickel/nickel-silver), pipes and tubes, other than seamless Refined copper, fittings for tubes and pipes Copper alloys, fittings for tubes and pipes Copper, stranded wire, not electrically insulated, not fitted with fittings and not made up into articles Copper, cables, plaited bands and the like, not fitted with fittings and not made up into</w:t>
      </w:r>
    </w:p>
    <w:p>
      <w:pPr>
        <w:pStyle w:val="Normal"/>
        <w:widowControl/>
        <w:rPr/>
      </w:pPr>
      <w:r>
        <w:rPr/>
        <w:t>articles Copper, stranded wire, cables, plaited bands and the like, not electrically insulated, fitted with fittings or made up into articles Copper or iron/steel w/heads of copper, nails and tacks, drawing pins, staples and similar articles Copper, washers (including spring washers) Copper, rivets, cotters, cotter pins and similar</w:t>
      </w:r>
    </w:p>
    <w:p>
      <w:pPr>
        <w:pStyle w:val="Normal"/>
        <w:widowControl/>
        <w:rPr/>
      </w:pPr>
      <w:r>
        <w:rPr/>
        <w:t>non-threaded articles (o/than washers) Copper screws for wood Muntz or yellow metal copper bolts Screws (other than wood screws), bolts (other than Muntz or yellow metal) and nuts, of copper, threaded, nesoi Copper, screw hooks and other threaded articles, nesoi Copper &amp; copper alloy table, kitchen, household articles &amp; parts; pot scourers, scouring &amp; polishing pads, gloves, etc Copper-zinc base alloys (brass), sanitary ware and parts thereof Copper (o/than brass), sanitary ware and parts thereof Copper, chain and parts thereof Copper, articles nesoi, cast, molded, stamped, or forged but not further worked Copper, Fourdrinier wires, for use in papermaking machines, w/94 or more wires to the lineal cm Copper cloth, nesoi Copper, wire grill and netting;</w:t>
      </w:r>
    </w:p>
    <w:p>
      <w:pPr>
        <w:pStyle w:val="Normal"/>
        <w:widowControl/>
        <w:rPr/>
      </w:pPr>
      <w:r>
        <w:rPr/>
        <w:t>expanded metal of copper Copper, containers a kind normally carried on the person, in the pocket or in the handbag Copper, springs Copper, articles nesoi, coated or plated with precious metal Copper, articles nesoi, not coated or plated with precious metal Nickel mattes Nickel oxide sinters and other intermediate products of nickel metallurgy Nickel (o/than alloy), unwrought Nickel alloys, unwrought Nickel, waste and scrap Nickel, powders and flakes Nickel (o/than alloy), bars and rods, cold formed Nickel (o/than alloy), bars and rods, not cold formed Nickel (o/than alloy), profiles Nickel alloy, bars and rods, cold formed Nickel alloy, bars and rods, not cold formed Nickel alloy, profiles Nickel (o/than alloy), wire, cold</w:t>
      </w:r>
    </w:p>
    <w:p>
      <w:pPr>
        <w:pStyle w:val="Normal"/>
        <w:widowControl/>
        <w:rPr/>
      </w:pPr>
      <w:r>
        <w:rPr/>
        <w:t>formed Nickel (o/than alloy), wire, not cold formed Nickel alloy, wire, cold formed Nickel alloy, wire, not cold formed Nickel, foil, w/thickness not over 0.15 mm Nickel (o/than alloy), plates, sheets and strip, cold formed Nickel (o/than alloy), plates, sheets and strip, not cold formed Nickel alloy, foil, w/thickness not over 0.15 mm Nickel alloy, plates, sheets and strip, cold formed Nickel alloy, plates, sheets and strip, not cold formed Nickel (o/than alloy), tubes and pipes Nickel alloy, tubes and pipes Nickel, fittings for tubes and pipes Nickel, wire cloth, grill and netting Nickel, stranded wire Nickel, articles of nesoi Aluminum (o/than alloy), unwrought, in coils, w/uniform x-section throughout length &amp; w/least cross-sectional dimension n/o 9.5 mm Aluminum (o/than alloy), unwrought nesoi Aluminum alloys, unwrought, in coils, w/uniform x-section throughout length &amp; w/least cross-sectional dimension n/o 9.5 mm Aluminum alloys, w/25% or more by weight of silicon, unwrought nesoi Aluminum alloys nesoi, unwrought nesoi Aluminum, waste and scrap Aluminum, powders of non-lamellar structure Aluminum, powders of lamellar structure;</w:t>
      </w:r>
    </w:p>
    <w:p>
      <w:pPr>
        <w:pStyle w:val="Normal"/>
        <w:widowControl/>
        <w:rPr/>
      </w:pPr>
      <w:r>
        <w:rPr/>
        <w:t>aluminum flakes Aluminum (o/than alloy), profiles Aluminum (o/than alloy), bar and rods, with a round cross section Aluminum (o/than alloy), bar and rods, other than with a round cross section Aluminum alloy, hollow profiles Aluminum alloy, profiles (o/than hollow profiles) Aluminum alloy, bars and rods, having a round cross section Aluminum</w:t>
      </w:r>
    </w:p>
    <w:p>
      <w:pPr>
        <w:pStyle w:val="Normal"/>
        <w:widowControl/>
        <w:rPr/>
      </w:pPr>
      <w:r>
        <w:rPr/>
        <w:t>alloy, bars and rodss, other than with a round cross section Aluminum (o/than alloy), wire, with a maximum cross-sectional dimension over 7 mm Aluminum (o/than alloy), wire, with a maximum cross-sectional dimension of 7 mm or less Aluminum alloy, wire, with a maximum cross-sectional dimension over 7 mm Aluminum alloy, wire, with a maximum cross-sectional dimension of 7 mm or less Aluminum (o/than alloy), plates/sheets/strip, w/thick. o/0.2mm, rectangular (incl. sq), not clad Aluminum (o/than alloy), plates/sheets/strip, w/thick. o/0.2mm, rectangular (incl. sq), clad Aluminum alloy, plates/sheets/strip, w/thick. o/0.2mm, rectangular (incl. sq), not clad Aluminum alloy, plates/sheets/strip, w/thick. o/0.2mm, rectangular (incl. sq), clad Aluminum (o/than alloy), plates/sheets/strip, w/thick. o/0.2mm, o/than rectangular (incl. sq), not clad Aluminum (o/than alloy), plates/sheets/strip, w/thick. o/0.2mm, o/than rectangular (incl. sq), clad Aluminum alloy, plates/sheets/strip, w/thick. o/0.2mm, o/than rectangular (incl. sq), not clad Aluminum alloy, plates/sheets/strip, w/thick. o/0.2mm, o/than rectangular (incl.</w:t>
      </w:r>
    </w:p>
    <w:p>
      <w:pPr>
        <w:pStyle w:val="Normal"/>
        <w:widowControl/>
        <w:rPr/>
      </w:pPr>
      <w:r>
        <w:rPr/>
        <w:t>sq), clad Aluminum, foil, w/thickness n/o 0.01 mm, rolled but not further worked, not backed Aluminum, foil, w/thickness over 0.01 mm but n/o 0.15 mm, rolled but not further worked, not backed Aluminum, foil, w/thickness over 0.15 mm but n/o 0.2 mm, rolled but not further worked, not backed Aluminum, etched capacitor foil, w/thickness n/o 0.2 mm, not rolled or rolled and further worked, not backed Aluminum, foil nesoi, w/thickness n/o 0.15 mm, cut to shape, not rolled, not backed Aluminum, foil nesoi, w/thickness o/0.15mm but n/o 0.2 mm or 0.15mm or less &amp; not cut to shape, not rolled, not backed, nesoi Aluminum, foil, w/thickness n/o 0.2 mm, backed, covered or decorated with a character, design, fancy effect or pattern Aluminum, foil, w/thickness n/o 0.2 mm, backed, nesoi Aluminum (o/than alloy), tubes and pipes Aluminum alloy, tubes and pipes Aluminum, fittings for tubes and pipes Aluminum, doors, windows and their frames and thresholds for doors Aluminum, structures and parts of structures, nesoi;</w:t>
      </w:r>
    </w:p>
    <w:p>
      <w:pPr>
        <w:pStyle w:val="Normal"/>
        <w:widowControl/>
        <w:rPr/>
      </w:pPr>
      <w:r>
        <w:rPr/>
        <w:t>aluminum plates, rods, profiles, tubes and the like prepared for use in structures Aluminum, reservoirs, tanks, vats &amp; like containers for any material (o/than compressed or liq. gas), w/capacity o/300 l, not fitted w/ Aluminum, collapsible tubular containers, w/capacity of 300 l or less Aluminum, casks, drums &amp; like containers, for any material (o/than compressed or liq. gas), w/cap.</w:t>
      </w:r>
    </w:p>
    <w:p>
      <w:pPr>
        <w:pStyle w:val="Normal"/>
        <w:widowControl/>
        <w:rPr/>
      </w:pPr>
      <w:r>
        <w:rPr/>
        <w:t>n/o 20 l, n/fitted w/mech/thermal Aluminum, casks, drums &amp; like containers, for any material (o/thna compressed or liq. gas), w/cap. o/20 but n/o 300 l, n/fitted w/mech Aluminum, containers for compressed or liquefied gas Aluminum, stranded wire, cables &amp; the like w/steel core, not electrically insulated, not fitted with fittings &amp; not made up into articles Aluminum, stranded wire, cables &amp; the like w/steel core, not electrically insulated, fitted with fittings or made up into articles Aluminum, elect. conductors of stranded wire, cables &amp; the like (o/than w/steel core), n/elect. insulated, n/fitted w/fittings or articles Aluminum, stranded wire, cables, &amp; the like (o/than elect. conduct or w/steel core), n/elect.</w:t>
      </w:r>
    </w:p>
    <w:p>
      <w:pPr>
        <w:pStyle w:val="Normal"/>
        <w:widowControl/>
        <w:rPr/>
      </w:pPr>
      <w:r>
        <w:rPr/>
        <w:t>insulated, n/fitted w/fittings or articles Aluminum, stranded wire, cables and the like (o/than w/steel core), not electrically insulated, fitted w/fittings or made up into articles Aluminum, pot scourers, scouring or polishing pads, gloves and the like Aluminum, cast cooking and kitchen ware, enameled or glazed or containing nonstick interior finishes Aluminum, cooking and kitchen ware (o/than cast), enameled or glazed or containing nonstick interior finishes Aluminum, cast cooking and kitchen ware, not enameled or glazed and not containing nonstick interior finishes Aluminum, cooking and kitchen ware (o/than cast), not enameled or glazed and not containing nonstick interior finishes Aluminum, table, kitchen or other household articles (o/than cooking or kitchen</w:t>
      </w:r>
    </w:p>
    <w:p>
      <w:pPr>
        <w:pStyle w:val="Normal"/>
        <w:widowControl/>
        <w:rPr/>
      </w:pPr>
      <w:r>
        <w:rPr/>
        <w:t>ware) and parts thereof Aluminum, sanitary ware and parts thereof Aluminum, nails, tacks and staples Aluminum, rivets Aluminum, cotters and cotter pins Aluminum, screws, bolts, nuts, screw hooks, washers and similar articles w/shanks, threads, or holes o/6 mm in diameter Aluminum, screws, bolts, nuts, screw hooks, washers and similar articles w/shanks, threads or holes 6 mm or less in diameter Aluminum, wire cloth, grill, netting and fencing Aluminum, luggage frames Aluminum, articles, nesoi Refined lead, unwrought Lead (o/than refined lead), containing by weight antimony as the principal other element, unwrought Lead (o/than refined lead), bullion Lead (o/than refined lead), unwrought nesoi Lead, waste and scrap Lead, sheets, strip and foil, w/thickness n/o 0.2 mm, excluding any backing Lead, plates &amp; sheets, strip and foil w/thickness o/0.2mm, nesoi Lead, powders and flakes Lead, bars, rods, profiles and wire Lead, tubes or pipes and fittings for tubes or pipes Lead, articles, nesoi Zinc (o/than alloy), unwrought, containing o/99.99% by weight of zinc Zinc (o/than alloy), unwrought, casting-grade zinc, containing at least 97.5% but less than 99.99% by weight of zinc Zinc (o/than alloy), unwrought, o/than casting-grade zinc, containing at least 97.5% but less than 99.99% by wt.</w:t>
      </w:r>
    </w:p>
    <w:p>
      <w:pPr>
        <w:pStyle w:val="Normal"/>
        <w:widowControl/>
        <w:rPr/>
      </w:pPr>
      <w:r>
        <w:rPr/>
        <w:t>of zinc Zinc alloy, unwrought Zinc, waste and scrap Zinc, dust Zinc, powders Zinc, flakes Zinc, bars, rods, profiles and wire Zinc, plates, sheets, strip and foil Zinc, household, table or kitchen use articles; zinc toilet and sanitary wares; zinc parts of all the foregoing Zinc, tubes or pipes and fittings for tubes or pipes Zinc, articles (o/than for household, table or kitchen use), nesoi Tin (o/than alloy), unwrought Tin alloy, unwrought Tin, waste and scrap Tin, bars, rods, profiles and wire Tin, household, table or kitchen use articles; tin toilet and sanitary wares; all the foregoing, n/coated or plated w/prec. metal Tin, plates, sheets and strip, of a thickness exceeding 0.20 mm Tin.</w:t>
      </w:r>
    </w:p>
    <w:p>
      <w:pPr>
        <w:pStyle w:val="Normal"/>
        <w:widowControl/>
        <w:rPr/>
      </w:pPr>
      <w:r>
        <w:rPr/>
        <w:t>foil, w/thickness (excluding any backing) n/o 0.2 mm Tin, powders and flakes Tin, tubes or pipes and fittings for tubes or pipes Tin, articles nesoi Tungsten, powders Tungsten, unwrought (including bars and rods obtained simply by sintering) Tungsten wire Tungsten waste and scrap Tungsten bars and rods (o/than those obtained simply by sintering), profiles, plates, sheets, strip and foil Tungsten, articles nesoi Molybdenum, powders Molybdenum, unwrought (including bars and rods obtained simply by sintering) Molybdenum bars and rods (o/than those obtained simply by sintering) Molybdenum profiles, plates, sheets, strip and foil Molybdenum wire Molybdenum waste and scrap Molybdenum, articles nesoi Tantalum, unwrought (including bars and rods obtained simply by sintering); tantalum powders</w:t>
      </w:r>
    </w:p>
    <w:p>
      <w:pPr>
        <w:pStyle w:val="Normal"/>
        <w:widowControl/>
        <w:rPr/>
      </w:pPr>
      <w:r>
        <w:rPr/>
        <w:t>Tantalum waste and scrap Tantalum, articles nesoi Magnesium, unwrought, containing at least 99.8 percent by weight of magnesium Magnesium, unwrought, nesoi Magnesium, waste and scrap Magnesium, raspings, turnings and granules graded according to size; magnesium powders Magnesium, articles nesoi Cobalt alloys, unwrought Cobalt (other than alloys), unwrought Cobalt, mattes and other intermediate products of cobalt metallurgy; cobalt powders Cobalt waste and scrap Cobalt, articles thereof nesoi Bismuth (including waste &amp; scrap) and articles thereof, nesoi Cadmium, unwrought; cadmium powders Cadmium waste and scrap Cadmium, articles thereof nesoi Titanium, unwrought; titanium powders Titanium waste and scrap Titanium, articles nesoi Titanium, wrought nesoi Zirconium, unwrought; zirconium powders Zirconium waste and scrap Zirconium, articles, nesoi Antimony, unwrought; antimony powders Antimony waste and scrap Articles of antimony, nesoi Manganese, waste and scrap Unwrought manganese flake containing at least 99.5 percent by weight manganese Unwrought manganese, nesoi Manganese (o/than waste and scrap, unwrought) and articles thereof, nesoi Beryllium, unwrought; beryllium powders Beryllium waste and scrap Beryllium, articles nesoi Chromium, unwrought; chromium powders Chromium waste and scrap Articles of chromium, nesoi Thallium, unwrought; thallium powders Thallium waste and scrap Articles of thallium, nesoi Waste and scrap of gallium, germanium, hafnium, indium, niobium,</w:t>
      </w:r>
    </w:p>
    <w:p>
      <w:pPr>
        <w:pStyle w:val="Normal"/>
        <w:widowControl/>
        <w:rPr/>
      </w:pPr>
      <w:r>
        <w:rPr/>
        <w:t>rhenium, or vanadium Gallium, unwrought; gallium powders Hafnium, unwrought; hafnium powders Indium, unwrought; indium powders Niobium (columbium), unwrought; niobium powders Rhenium, unwrought;</w:t>
      </w:r>
    </w:p>
    <w:p>
      <w:pPr>
        <w:pStyle w:val="Normal"/>
        <w:widowControl/>
        <w:rPr/>
      </w:pPr>
      <w:r>
        <w:rPr/>
        <w:t>rhenium powders Germanium, unwrought Germanium powder, wrought Vanadium, unwrought and powders Germanium nesoi and articles thereof Vanadium, nesoi, and articles thereof Articles of gallium, hafnium, indium, niobium or rhenium, nesoi Cermets (including waste &amp; scrap) and articles thereof Spades and shovels and base metal parts thereof Mattocks, picks, hoes and rakes and base metal parts thereof Machetes, and base metal parts thereof Axes, bill hooks and similar hewing tools (o/than machetes), and base metal parts thereof One-handed secateurs, pruners and shears (including poultry shears), and base metal parts thereof Hedge shears, two-handed pruning shears and similar two-handed shears, and base metal parts thereof Grass shears, and base metal parts thereof Forks (hand tools) and base metal parts thereof Base metal hand tools of a kind used in agriculture, horticulture or forestry nesoi, and base metal parts thereof Hand saws, and base metal parts thereof (except blades) Band saw blades Circular saw blades (including slitting or slotting saw blades), w/working part of steel Circular saw blades (including slitting or slotting saw blades), with working part of o/than steel, &amp; base metal parts thereof Chain saw blades &amp; base metal parts thereof, w/cutting parts cont.</w:t>
      </w:r>
    </w:p>
    <w:p>
      <w:pPr>
        <w:pStyle w:val="Normal"/>
        <w:widowControl/>
        <w:rPr/>
      </w:pPr>
      <w:r>
        <w:rPr/>
        <w:t>o/0.2% of Cr, Mo or W, or o/0.1% of V Chain saw blades and base metal parts thereof, nesoi Hacksaw blades for working metal Straight saw blades for working metal (o/than hacksaw blades), and base metal parts thereof Saw blades nesoi, and base metal parts thereof Files, rasps and similar tools, n/o 11 cm in length Files, rasps and similar tools, o/11 cm but n/o 17 cm in length Files, rasps and similar tools, o/17 cm in length Base metal tweezers Slip joint pliers Pliers (including cutting pliers but not slip joint pliers), pincers and similar tools Base metal parts of pliers (including cutting pliers), pincers, tweezers and similar tools Metal cutting shears and similar tools, and base metal parts thereof Pipe cutters, bolt cutters, perf. punches &amp; similar tools, w/cutting parts o/0.2% Cr, Mo or W, or o/0.1% V &amp; base metal pts.</w:t>
      </w:r>
    </w:p>
    <w:p>
      <w:pPr>
        <w:pStyle w:val="Normal"/>
        <w:widowControl/>
        <w:rPr/>
      </w:pPr>
      <w:r>
        <w:rPr/>
        <w:t>Pipe cutters, bolt cutters, perforating punches and similar tools, nesoi, and base metal parts thereof Hand-operated non-adjustable spanners and wrenches, and base metal parts thereof Hand-operated adjustable spanners and wrenches, and base metal parts thereof Socket wrenches, with or without handles, drives and extensions, and base metal parts thereof Drilling, threading or tapping tools, and base metal parts thereof Hammers and sledge hammers, with heads not over 1.5 kg each, and base metal parts thereof Hammers and sledge hammers, with heads over 1.5 kg each, and base metal parts thereof Planes, chisels, gouges etc.</w:t>
      </w:r>
    </w:p>
    <w:p>
      <w:pPr>
        <w:pStyle w:val="Normal"/>
        <w:widowControl/>
        <w:rPr/>
      </w:pPr>
      <w:r>
        <w:rPr/>
        <w:t>for working wood, over 0.2% chromium, molybdenum or tungsten, or over 0.1% vanadium, base metal parts thereof Planes, chisels, gouges and similar cutting tools for working wood, nesoi, and base metal parts thereof Screwdrivers and base metal parts thereof Carving and butcher steels, of iron or steel, with or without their handles Iron or steel household handtools (o/than carving &amp; butcher steels), and base metal parts thereof Copper household handtools, and base metal parts thereof Aluminum household handtools, and base metal parts thereof Base metal, nesoi, household handtools, and base metal parts thereof Pipe tools and base metal parts thereof Powder-actuated hand tools and base metal parts thereof Crowbars, track tools and wedges, and base metal parts thereof Caulking guns of iron or steel, and base metal parts thereof Iron or steel handtools (o/ than household, o/than caulking guns) nesoi, and base metal parts thereof Copper handtools (o/than household) nesoi, and base metal parts thereof Aluminum handtools (o/than household) nesoi, and base metal parts thereof Base metal, nesoi, handtools (o/than</w:t>
      </w:r>
    </w:p>
    <w:p>
      <w:pPr>
        <w:pStyle w:val="Normal"/>
        <w:widowControl/>
        <w:rPr/>
      </w:pPr>
      <w:r>
        <w:rPr/>
        <w:t>household), and base metal parts thereof Blow torches and similar self-contained torches, and base metal parts thereof Vises, clamps and the like, and base metal parts thereof Anvils, portable forges, hand- or pedal-operated grinding wheels with frameworks and base metal parts thereof Sets of articles (handtools and other specified tools) of two or more foregoing subheadings</w:t>
      </w:r>
    </w:p>
    <w:p>
      <w:pPr>
        <w:pStyle w:val="Normal"/>
        <w:widowControl/>
        <w:rPr/>
      </w:pPr>
      <w:r>
        <w:rPr/>
        <w:t>Tools of two or more of headings 8202 to 8205 put up in sets for retail sale Interchangeable tools for rock drilling or earth boring tools, w/working part of cermets Interchangeable tools for rock drilling or earth boring tools, w/cutting part o/0.2% Cr, Mo or W, or o/0.1% V by wt., &amp; base metal parts Interchangeable tools for rock drilling or earth boring tools, w/working part neosi, and base metal parts thereof Interchangeable dies for drawing or extruding metal, and base metal parts thereof Interchangeable tools for pressing, stamping or punching, suitable for cutting metal, and base metal parts thereof Interchangeable tools for pressing, stamping or punching, not suitable for cutting metal, and base metal parts thereof Interchangeable tools for tapping or threading, w/cutting pts ov 0.2% by wt of Cr, Mo, W, or ov 0.1% V, &amp; base metal pts thereof Interchangeable tools for tapping or threading, nesoi, and base metal parts thereof Interchangeable tools for drilling (o/than rock drilling) w/cutting part ov 0.2% Cr, Mo or W, or</w:t>
      </w:r>
    </w:p>
    <w:p>
      <w:pPr>
        <w:pStyle w:val="Normal"/>
        <w:widowControl/>
        <w:rPr/>
      </w:pPr>
      <w:r>
        <w:rPr/>
        <w:t>ov 0.1% V &amp; base metal parts thereof Interchangeable tools for drilling (o/than rock drilling), nesoi, suitable for cutting metal, and base metal parts thereof Interchangeable tools for handtools, for drilling (o/than rock drilling), nesoi, n/suitable for cutting metal, &amp; base metal parts thereof Interchangeable tools (o/than for handtools) for drilling (o/than rock drilling), nesoi, not suitable for cutting metal, &amp; base metal parts Interchangeable</w:t>
      </w:r>
    </w:p>
    <w:p>
      <w:pPr>
        <w:pStyle w:val="Normal"/>
        <w:widowControl/>
        <w:rPr/>
      </w:pPr>
      <w:r>
        <w:rPr/>
        <w:t>tools for boring or broaching, and base metal parts thereof Interchangeable tools for milling, w/cutting part ov 0.2% by wt of Cr, Mo or W, or ov 0.1% by wt of V &amp; base metal parts thereof Interchangeable tools for milling, nesoi, and base metal parts thereof Interchangeable tools for turning, w/cutting part ov 0.2% by wt of Cr, Mo or W, or ov 0.1% by wt of V &amp; base metal parts thereof Interchangeable tools for turning, nesoi, and base metal parts thereof Interchangeable files and rasps, including rotary files and rasps, and base metal parts thereof Interchangeable cutting tools, nesoi, w/cutting part ov 0.2% by wt of Cr, Mo or W, or ov 0.1% by wt of V, and base metal parts thereof Interchangeable tools, nesoi, suitable for cutting metal, nesoi and base metal parts thereof Interchangeable tools for handtools, nesoi, not suitable for cutting metal, nesoi and base metal parts thereof Interchangeable tools (o/than for handtools) nesoi, not suitable for cutting metal, nesoi and base metal parts</w:t>
      </w:r>
    </w:p>
    <w:p>
      <w:pPr>
        <w:pStyle w:val="Normal"/>
        <w:widowControl/>
        <w:rPr/>
      </w:pPr>
      <w:r>
        <w:rPr/>
        <w:t>thereof Knives and cutting blades for metal working machines or mechanical appliances, and base metal parts thereof Knives and cutting blades for wood working machines or mechanical appliances, and base metal parts thereof Knives and cutting blades for kitchen appliances or for machines used by the food industry, and base metal parts thereof Lawnmower blades for agricultural, horticultural or forestry machines Knives and cutting blades (o/than lawnmower blades) for agricultural,</w:t>
      </w:r>
    </w:p>
    <w:p>
      <w:pPr>
        <w:pStyle w:val="Normal"/>
        <w:widowControl/>
        <w:rPr/>
      </w:pPr>
      <w:r>
        <w:rPr/>
        <w:t>horticultural or forestry machines, and base metal parts thereof Knives and cutting blades for shoe machinery, and base metal parts thereof Knives and cutting blades, nesoi for machines or for mechanical appliances nesoi, and base metal parts thereof Cermet plates, sticks, tips and the like for tools, unmounted Hand-operated mechanical appliances weighing 10 kg or less, used in preparation, conditioning, serving food or drink &amp; base metal pts Sets of assorted knives w/cutting blades serrated or not (including pruning knives) Table knives with fixed blades and silver-plated handles Table knives w/fixed blades, w/stain. steel handles w/Ni or ov 10% by wt. of Mn, w/overall length 25.9cm or less &amp; val. &lt;than 25 cents ea Table knives w/fixed blades, w/stain. steel handles cont.</w:t>
      </w:r>
    </w:p>
    <w:p>
      <w:pPr>
        <w:pStyle w:val="Normal"/>
        <w:widowControl/>
        <w:rPr/>
      </w:pPr>
      <w:r>
        <w:rPr/>
        <w:t>Ni or ov 10% by wt of Mn, nesoi Table knives w/fixed blades, w/stain. steel handles, nesoi, not ov 25.9 cm in overall length &amp; val less than 25 cents each Table knives w/fixed blades, w/stain. steel handles, nesoi Table knives w/fixed blades, with rubber or plastics handles Table knives w/fixed blades, w/handles other than of silver-plate, stainless steel, rubber or plastics Kitchen and butcher knives w/fixed blades, with rubber or plastics handles Knives w/fixed blades (o/than table or kitchen and butcher knives), with rubber or plastic handles Hunting knives w/fixed blades, with wood handles Knives w/fixed blades (o/than table knives, other knives w/rubb./plast.</w:t>
      </w:r>
    </w:p>
    <w:p>
      <w:pPr>
        <w:pStyle w:val="Normal"/>
        <w:widowControl/>
        <w:rPr/>
      </w:pPr>
      <w:r>
        <w:rPr/>
        <w:t>handles, or hunting knives w/wood handles) Knives having other than fixed blades Base metal blades for knives having fixed blades Base metal blades for knives having other than fixed blades Base metal handles for table knives w/fixed blades Base metal handles for knives (o/than table knivies) w/fixed blades Base metal handles for knives having other than fixed blades Base metal razors Base metal safety razor blades (including razor blade blanks) Base metal parts of razors and razor blades Base metal scissors, tailors’ shears and similar shears, and blades thereof, valued n/o $1.75 per dozen Base metal pinking shears, and blades thereof, valued over $30 per dozen Base metal scissors, tailors’ shears and similar shears (o/than pinking shears val o$30/dz), and base metal parts, val.</w:t>
      </w:r>
    </w:p>
    <w:p>
      <w:pPr>
        <w:pStyle w:val="Normal"/>
        <w:widowControl/>
        <w:rPr/>
      </w:pPr>
      <w:r>
        <w:rPr/>
        <w:t>o/$1.75 per dozen Base metal paper knives, letter openers, erasing knives, nonmechanical pencil sharpeners and blades and base metal parts thereof Base metal instruments for manicure or pedicure purposes, and base metal parts thereof Manicure and pedicure sets, and combinations thereof, in leather containers Manicure and pedicure sets, and combinations thereof, other than in leather containers Butchers’ or kitchen cleavers with their handles, nesoi, and base metal parts thereof Butchers’ or kitchen chopping or mincing knives (o/than cleavers w/their handles), and base metal parts thereof Articles of cutlery, nesoi, and base metal parts of cutlery, nesoi Sets of assted.</w:t>
      </w:r>
    </w:p>
    <w:p>
      <w:pPr>
        <w:pStyle w:val="Normal"/>
        <w:widowControl/>
        <w:rPr/>
      </w:pPr>
      <w:r>
        <w:rPr/>
        <w:t>base metal spoons, forks, ladles, etc. &amp; similar kitchen or tableware, w/at least one article plated w/prec. metal Sets of assted. base metal spoons, forks, ladles, etc. &amp; similar kitchen or tableware, w/no articles plated with precious metal Base metal forks plated with precious metal Base metal spoons and ladles plated with precious metal Base metal skimmers, cake-servers, fish-knives, etc. and similar kitchen or tableware and parts, plated with precious metal Base metal forks, w/stainless steel handles cont. Ni or o/10% by wt of Mn, w/overall length n/o 25.9cm, valued under 25cents ea Base metal forks, w/stainless steel handles cont.</w:t>
      </w:r>
    </w:p>
    <w:p>
      <w:pPr>
        <w:pStyle w:val="Normal"/>
        <w:widowControl/>
        <w:rPr/>
      </w:pPr>
      <w:r>
        <w:rPr/>
        <w:t>Ni or o/10% by wt of Mn, nesoi Base metal forks, w/stainless steel handles, nesoi, valued under 25 cents each Base metal forks, w/stainless steel handles, nesoi, valued at 25 cents each or more Base metal forks, with rubber or plastic handles Base metal forks, without their handles Base metal table forks and barbecue forks, with wood handles Base metal forks (o/than plated w/prec. metal, or w/handles of stain. steel, wood, rubber or plastics), nesoi Base metal spoons, w/stainless steel handles &amp; valued under 25 cents each Base metal spoons, w/stainless steel handles &amp; valued at 25 cents and over, and base metal ladles w/stainless steel handles Base metal spoons and ladles with handles of base metal (o/than stain.</w:t>
      </w:r>
    </w:p>
    <w:p>
      <w:pPr>
        <w:pStyle w:val="Normal"/>
        <w:widowControl/>
        <w:rPr/>
      </w:pPr>
      <w:r>
        <w:rPr/>
        <w:t>steel) or w/nonmetal handles Base metal spoons and ladles, nesoi Base metal skimmers/cake-servers/butter-knives/sugar tongs &amp; similar kitchen or tableware, &amp; base metal parts (incl. pts.</w:t>
      </w:r>
    </w:p>
    <w:p>
      <w:pPr>
        <w:pStyle w:val="Normal"/>
        <w:widowControl/>
        <w:rPr/>
      </w:pPr>
      <w:r>
        <w:rPr/>
        <w:t>of forks/spoons) Padlocks, base metal, not of cylinder or pin tumbler construction, not ov 3.8cm wide Padlocks, base metal, not of cylinder or pin tumbler construction, ov 3.8cm but n/o 6.4cm wide Padlocks, base metal, not of cylinder or pin tumbler construction, ov 6.4cm wide Padlocks, base metal, of cylinder or pin tumbler construction, not ov 3.8cm wide Padlocks, base metal, of cylinder or pin tumbler construction, ov 3.8cm but n/o 6.4cm wide Padlocks, base metal, of cylinder or pin tumbler construction, ov 6.4cm wide Base metal locks, of a kind used on motor vehicles Base metal locks, of a kind used for furniture Base metal luggage locks Base metal locks (o/than padlocks, locks for motor vehicles or furniture, luggage locks) Base metal clasps and frames with clasps, incorporating locks Base metal parts of padlocks, other locks, and clasps and frames with clasps incorporating locks Base metal keys for padlocks, other locks, and clasps and frames with clasps incorporating locks Iron or steel, aluminum, or zinc hinges and base metal</w:t>
      </w:r>
    </w:p>
    <w:p>
      <w:pPr>
        <w:pStyle w:val="Normal"/>
        <w:widowControl/>
        <w:rPr/>
      </w:pPr>
      <w:r>
        <w:rPr/>
        <w:t>parts thereof, designed for motor vehicles Iron or steel, aluminum, or zinc hinges and base metal parts thereof, not designed for motor vehicles Base metal (o/than iron/steel/aluminum/zinc) hinges and base metal parts thereof Base metal castors and base metal</w:t>
      </w:r>
    </w:p>
    <w:p>
      <w:pPr>
        <w:pStyle w:val="Normal"/>
        <w:widowControl/>
        <w:rPr/>
      </w:pPr>
      <w:r>
        <w:rPr/>
        <w:t>parts thereof Iron or steel, aluminum or zinc mountings, fittings and similar articles nesoi, suitable for motor vehicles, and base metal parts thereof Base metal (o/than iron/steel/aluminum/zinc) mountings, fittings &amp; similar articles, suitable for motor vehicles, &amp; base metal pts thereof Base metal door closers (except automatic door closers) suitable for buildings, and base metal parts thereof Iron or steel, aluminum or zinc mountings, fittings &amp; similar articles, nesoi, suitable for buildings, &amp; base metal pts thereof Base metal (o/than iron/steel/aluminum/zinc) mountings, fittings and similar arts, nesoi, suitable for buildings &amp; base metal parts thereof Iron or steel, aluminum, or zinc mountings, fittings &amp; similar articles, suitable for furniture, and base metal parts thereof Base metal (o/than iron/steel/aluminum/zinc) mountings, fittings &amp; similar articles, suitable for furniture, and base metal parts thereof Base metal harness, saddlery or riding-bridle hardware coated or plated w/prec. metal, and base metal parts thereof Base metal harness, saddlery or riding-bridle hardware, not coated or plated w/prec.</w:t>
      </w:r>
    </w:p>
    <w:p>
      <w:pPr>
        <w:pStyle w:val="Normal"/>
        <w:widowControl/>
        <w:rPr/>
      </w:pPr>
      <w:r>
        <w:rPr/>
        <w:t>metal, and base metal parts thereof Iron or steel, aluminum, or zinc, mountings, fittings &amp; similar articles nesoi, and base metal parts thereof Base metal (o/than iron/steel/aluminum/zinc) mountings, fittings &amp; similar articles nesoi, and base metal parts thereof Base metal hat-racks, hat pegs, brackets and similar fixtures, and base metal parts thereof Base metal automatic door closers Base metal parts of automatic door closers Base metal armored or reinforced safes/strong-boxes &amp; doors &amp; safe deposit lockers for strong rooms/cash &amp; deed boxes etc., &amp; base metal pts Base metal desk-top filing/card-index cabinets, paper trays, pen trays &amp; similar office/desk equipment nesoi, and base metal parts thereof Base metal fittings for loose-leaf binders or files Base metal staples in strips (e.g., for offices, upholstery, packaging) Base metal paper clips and base metal parts thereof Base metal letter clips, letter corners, indexing tags and similar office articles nesoi, and base metal parts thereof Base metal, nonelectric bells, gongs, and the like, and base metal parts thereof Base metal statuettes and other ornaments plated w/prec.</w:t>
      </w:r>
    </w:p>
    <w:p>
      <w:pPr>
        <w:pStyle w:val="Normal"/>
        <w:widowControl/>
        <w:rPr/>
      </w:pPr>
      <w:r>
        <w:rPr/>
        <w:t>metal, and base metal parts thereof Base metal statuettes and other ornaments not plated w/prec.metal, and base metal parts thereof Base metal photograph, picture or similar frames; base metal mirrors;</w:t>
      </w:r>
    </w:p>
    <w:p>
      <w:pPr>
        <w:pStyle w:val="Normal"/>
        <w:widowControl/>
        <w:rPr/>
      </w:pPr>
      <w:r>
        <w:rPr/>
        <w:t>base metal parts thereof Iron or steel flexible tubing, with fittings Iron or steel flexible tubing, without fittings Base metal (o/than iron or steel) flexible tubing, with fittings Base metal (o/than iron or steel) flexible tubing, without fittings Base metal hooks, eyes, and eyelets, of a kind used for clothing, footwear, awnings, handbags, travel goods, or other made up articles Iron or steel bifurcated rivets, not brightened, not lathed and not machined Base metal tubular or bifurcated rivets (o/than of iron or steel) Base metal beads and spangles Base metal buckles and buckle clasps, and base metal parts thereof Base metal clasps, frames with clasps not incorporating a lock, and like articles, and base metal parts thereof Base metal crown corks (including crown seals and caps), and base metal parts thereof Base metal stoppers, caps and lids (o/than crown corks), threaded bungs, bung covers, seals, other packing accessories and parts Base metal sign plates, name plates, address plates, numbers, letters and other symbols (o/than of 9405), and base metal parts</w:t>
      </w:r>
    </w:p>
    <w:p>
      <w:pPr>
        <w:pStyle w:val="Normal"/>
        <w:widowControl/>
        <w:rPr/>
      </w:pPr>
      <w:r>
        <w:rPr/>
        <w:t>thereof Coated base metal electrodes for electric arc-welding Base metal cored wire for electric arc-welding Coated rod or cored wire lead-tin solders Coated rods and cored wire of base metal (o/than lead-tin</w:t>
      </w:r>
    </w:p>
    <w:p>
      <w:pPr>
        <w:pStyle w:val="Normal"/>
        <w:widowControl/>
        <w:rPr/>
      </w:pPr>
      <w:r>
        <w:rPr/>
        <w:t>solders), for soldering, brazing or welding by flame Wire &amp; rods of agglom. base metal powder for metal spray.; metal carbide wire, rods, tubes, electrodes, coated/cored w/flux, for welding etc Nuclear reactors Machinery and apparatus for isotopic separation, and parts thereof Fuel elements (cartridges), non-irradiated and parts thereof Parts of nuclear reactors Watertube boilers with a steam production exceeding 45 tons per hour Watertube boilers with a steam production not exceeding 45 tons per hour Vapor-generating boilers, including hybrid boilers, other than watertube boilers Super-heated water boilers Parts of steam- or other vapor-generating boilers Central heating boilers (other than those of heading 8402) Parts of central heating boilers (other than those of heading 8402) Auxiliary plant for use with boilers of heading 8402 or 8403 Condensers for steam or other vapor power units Parts for auxiliary plant for use with boilers of heading 8402 and 8403 and condensers for steam or vapor power units Producer gas or water gas generators, acetylene gas generators and similar water process gas generators;</w:t>
      </w:r>
    </w:p>
    <w:p>
      <w:pPr>
        <w:pStyle w:val="Normal"/>
        <w:widowControl/>
        <w:rPr/>
      </w:pPr>
      <w:r>
        <w:rPr/>
        <w:t>with or without their purifiers Parts for gas generators of subheading 8405.10 Steam turbines for marine propulsion Vapor turbines (other than steam) for marine propulsion Steam turbines other than for marine propulsion, of an output exceeding 40 MW Vapor turbines (excluding steam turbines) other than for marine propulsion, of an output exceeding 40 MW Steam turbines other</w:t>
      </w:r>
    </w:p>
    <w:p>
      <w:pPr>
        <w:pStyle w:val="Normal"/>
        <w:widowControl/>
        <w:rPr/>
      </w:pPr>
      <w:r>
        <w:rPr/>
        <w:t>than for marine propulsion, of an output not exceeding 40 MW Vapor turbines (excluding steam turbines) other than for marine propulsion, of an output not exceeding 40 MW Parts of steam turbines, rotors, finished for final assembly Parts of steam turbines, rotors, not further worked than cleaned or machined for removal of fins, etc., or certain other working Parts of steam turbines, blades, rotating or stationary Parts of steam turbines, other Parts of vapor turbines other than steam turbines, rotors, finished for final assembly Parts of vapor turbines other than steam turbines, rotors, not further worked than cleaned or machined for removal of fins, etc., or other Parts of vapor turbines other than steam turbines, blades, rotating or stationary Parts of vapor turbines other than steam turbines, other Spark-ignition reciprocating or rotary internal combustion piston engines for use in aircraft Marine propulsion spark-ignition reciprocating or rotary internal-combustion piston engines for outboard motors Marine propulsion spark-ignition reciprocating or rotary internal-combustion piston engines, nesi Spark-ignition reciprocating piston engines used for propulsion of</w:t>
      </w:r>
    </w:p>
    <w:p>
      <w:pPr>
        <w:pStyle w:val="Normal"/>
        <w:widowControl/>
        <w:rPr/>
      </w:pPr>
      <w:r>
        <w:rPr/>
        <w:t>vehicles of chapter 87, of a cylinder capacity not exceeding 50cc Spark-ignition reciprocating piston engines used in tractors suitable for agricultural use, of a cylinder capacity over 50cc but n/o 250cc Spark-ignition reciprocating piston engines used in vehicles of heading</w:t>
      </w:r>
    </w:p>
    <w:p>
      <w:pPr>
        <w:pStyle w:val="Normal"/>
        <w:widowControl/>
        <w:rPr/>
      </w:pPr>
      <w:r>
        <w:rPr/>
        <w:t>8701.20, 8702 8704, cylinder capacity</w:t>
      </w:r>
    </w:p>
    <w:p>
      <w:pPr>
        <w:pStyle w:val="Normal"/>
        <w:widowControl/>
        <w:rPr/>
      </w:pPr>
      <w:r>
        <w:rPr/>
        <w:t>over 50cc but n/o 250cc Spark-ignition reciprocating piston engines used for vehicles, of chap. 87 nesi, of a cylinder capacity over 50 but not over 250cc Spark-ignition reciprocating piston engines used in tractors for agricultural use, of a cylinder capacity over 250cc but not over 1000cc Spark-ignition reciprocating piston engines, for certain spec. veh. of 8701.20, 8702, 8703 or 8704, cylinder cap. &gt; 250 cc &gt; or = 1, 000 cc Spark-ignition reciprocating piston engines, for other veh. of 8701.20, 8702, 8703 or 8704, cylinder cap. &gt; 250 cc &gt; or = 1, 000 cc, nesi Spark-ignition reciprocating piston engines for vehicles of chap. 87 nesi, of a cylinder capacity over 250cc but not over 1000cc Spark-ignition reciprocating piston engines used in agricultural tractors, cylinder capacity over 1000 cc to 2000 cc Spark-ignition reciprocating piston engines for vehicles of 8701.20 or 8702-8704, cylinder cap. over 1000 cc to 2000 cc, used or rebuilt Spark-ignition reciprocating piston engines for vehicles of 8701.20 or 8702-8704, cylinder cap. over 1000 cc to 2000 cc, new Spark-ignition reciprocating piston engines for other vehicles of chap.</w:t>
      </w:r>
    </w:p>
    <w:p>
      <w:pPr>
        <w:pStyle w:val="Normal"/>
        <w:widowControl/>
        <w:rPr/>
      </w:pPr>
      <w:r>
        <w:rPr/>
        <w:t>87, of a cylinder capacity over 1000 cc to 2000 cc Spark-ignition reciprocating piston engines used in agricultural tractors, cylinder capacity over 2000 cc Spark-ignition reciprocating piston engines for vehicles of 8701.20 or 8702-8704, cylinder capacity over 2000 cc, used or rebuilt Spark-ignition reciprocating piston engines for vehicles of 8701.20 or 8702-8704, cylinder capacity over 2000 cc, new Spark-ignition reciprocating piston engines for other vehicles of chap. 87 nesi, of a cylinder capacity exceeding 2000 cc Spark-ignition rotary or reciprocating internal-combustion piston engines nesi, installed in agricultural/horticultural machinery/equipment Spark-ignition rotary or reciprocating internal-combustion piston engines, for machinery or equipment nesi Marine propulsion compression-ignition internal-combustion piston engines Compression-ignition internal-combustion piston engines to be installed in tractors suitable for agricultural use Compression-ignition internal-combustion piston engines to be installed in vehicles of heading 8701.20, 8702, 8703, or 8704 Compression-ignition internal-combustion piston engines used for propulsion of vehicles of chapter 87, nesi Compression-ignition internal-combustion piston engines, to be installed in agricultural or horticultural machinery or equipment, nesi Compression-ignition internal-combustion piston engines, for machinery or equipment, nesi Parts for internal combustion aircraft engines Cast-iron parts used solely or</w:t>
      </w:r>
    </w:p>
    <w:p>
      <w:pPr>
        <w:pStyle w:val="Normal"/>
        <w:widowControl/>
        <w:rPr/>
      </w:pPr>
      <w:r>
        <w:rPr/>
        <w:t>principally with spark-ignition internal-combustion piston engines of heading 8407 Aluminum cylinder heads for spark-ignition internal combustion piston engines for vehicles of 8701.20 or 8702-8704 Parts nesi, used solely or principally with spark-ignition internal-combustion piston engines for vehicles of head 8701.20, 8702-8704 Parts nesi, used solely or principally with spark-ignition internal-combustion piston engines for marine propulsion Parts nesi, used solely or principally with spark-ignition internal-combustion piston engines of heading 8407, nesi Cast iron parts not advanced beyond cleaning &amp; machined only for removal of fins, gates, etc.</w:t>
      </w:r>
    </w:p>
    <w:p>
      <w:pPr>
        <w:pStyle w:val="Normal"/>
        <w:widowControl/>
        <w:rPr/>
      </w:pPr>
      <w:r>
        <w:rPr/>
        <w:t>or to permit location in machinery Parts nesi, used solely or principally with the engines of heading 8408, for vehicles of heading 8701.20, 8702, 8703, 8704 Parts nesi, used solely or principally with compression-ignition internal-combustion piston engines for marine propulsion Parts nesi, used solely or principally with compression-ignition internal-combustion piston engines of heading 8407 or 8408, nesi Hydraulic turbines and water wheels of a power not exceeding 1,000 kW Hydraulic turbines and water wheels of a power exceeding 1,000 kW but not exceeding 10,000 kW Hydraulic turbines and water wheels of a power exceeding 10,000 kW Parts, including regulators, of hydraulic turbines and water wheels Aircraft turbojets of a thrust not exceeding 25 kN Turbojets of a thrust not exceeding 25 kN, other than aircraft Aircraft turbojets</w:t>
      </w:r>
    </w:p>
    <w:p>
      <w:pPr>
        <w:pStyle w:val="Normal"/>
        <w:widowControl/>
        <w:rPr/>
      </w:pPr>
      <w:r>
        <w:rPr/>
        <w:t>of a thrust exceeding 25 kN Turbojets of a thrust exceeding 25 kN, other than aircraft Aircraft turbopropellers of a power not exceeding 1,100 kW Turbopropellers of a power not exceeding 1,100 kW, other than aircraft Aircraft turbopropellers of a power exceeding 1,100 kW Turbopropellers of a power exceeding 1,100 kW, other than aircraft Aircraft gas turbines other than turbojets or turbopropellers, of a power not exceeding 5,000 kW Gas turbines other than turbojets or turbopropellers, of a power not exceeding 5,000 kW, other than aircraft Aircraft gas turbines other than turbojets or turbopropellers, of a power exceeding 5,000 kW Gas turbines, other than turbojets or turbopropellers of a power exceeding 5,000 kW, other than aircraft Cast-iron parts of turbojets or turbopropellers machined only for removal of fins, gates, etc.</w:t>
      </w:r>
    </w:p>
    <w:p>
      <w:pPr>
        <w:pStyle w:val="Normal"/>
        <w:widowControl/>
        <w:rPr/>
      </w:pPr>
      <w:r>
        <w:rPr/>
        <w:t>or to permit location in machinery Parts of turbojets or turbopropellers other than those of subheading 8411.91.10 Cast-iron parts of gas turbines nesi, not advanced beyond cleaning, and machined for removal of fins, gates, sprues and risers Parts of gas turbines nesi, other than those of subheading 8411.99.10 Reaction engines other than turbojets Hydraulic power engines and motors, linear acting (cylinders) Hydrojet engines for marine propulsion Hydraulic power engines and motors, nesi Pneumatic power engines and motors, linear acting (cylinders) Pneumatic power engines and motors, other than linear acting Spring-operated and weight-operated motors Engines and motors, nesi (excluding motors of heading 8501) Parts of hydrojet engines for marine propulsion Parts for engines of heading 8412 other than hydrojet engines for marine propulsion Pumps fitted or designed to be fitted with a measuring device, used for dispensing fuel or lubricants, of the type used in filling-stations Pumps for liquids fitted or designed to be fitted with a measuring device, nesi Hand pumps other than those of subheading 8413.11 or</w:t>
      </w:r>
    </w:p>
    <w:p>
      <w:pPr>
        <w:pStyle w:val="Normal"/>
        <w:widowControl/>
        <w:rPr/>
      </w:pPr>
      <w:r>
        <w:rPr/>
        <w:t>8413.19, not fitted with a measuring device Fuel-injection pumps for compression-ignition engines, not fitted with a measuring device Fuel, lubricating or cooling medium pumps for internal-combustion piston engines, not fitted with a measuring device, nesi Concrete pumps for liquids, not fitted with a measuring device Reciprocating positive displacement pumps for liquids,</w:t>
      </w:r>
    </w:p>
    <w:p>
      <w:pPr>
        <w:pStyle w:val="Normal"/>
        <w:widowControl/>
        <w:rPr/>
      </w:pPr>
      <w:r>
        <w:rPr/>
        <w:t>not fitted with a measuring device, nesi Rotary positive displacement pumps for liquids, not fitted with a measuring device, nesi Stock pumps imported for use with machines for making cellulosic pulp, paper or paperboard, not fitted with a measuring device Centrifugal pumps for liquids, not fitted with a measuring device, nesi Pumps for liquids, not fitted with a measuring device, nesi Liquid elevators Parts of fuel-injection pumps for compression-ignition engines Parts of stock pumps imported for use with machines for making cellulosic pulp, paper or paperboard Parts of pumps, nesi Parts of liquid elevators Vacuum pumps Hand-operated or foot-operated air pumps Compressors of a kind used in refrigerating equipment (including air conditioning) not exceeding 1/4 horsepower Compressors of a kind used in refrigerating equipment (incl.</w:t>
      </w:r>
    </w:p>
    <w:p>
      <w:pPr>
        <w:pStyle w:val="Normal"/>
        <w:widowControl/>
        <w:rPr/>
      </w:pPr>
      <w:r>
        <w:rPr/>
        <w:t>air conditioning) exceeding 1/4 horsepower Air compressors mounted on a wheeled chassis for towing Ceiling fans for permanent installation, with a self-contained electric motor of an output not exceeding 125 W Table, floor, wall, window or roof fans, with a self-contained electric motor of an output not exceeding 125 W Blowers for pipe organs Fans used for cooling microprocessors, telecommunications equipment, or computers Turbocharger and supercharger fans Other fans, nesi Ventilating or recycling hoods incorporating a fan, having a maximum horizontal side not exceeding 120 cm Turbocharger and supercharger air compressors Air compressors, nesoi Gas compressors, nesi Air or gas pumps, compressors and fans, nesi Parts of fans (including blowers) and ventilating or recycling hoods Stators and rotors of goods of subheading</w:t>
      </w:r>
    </w:p>
    <w:p>
      <w:pPr>
        <w:pStyle w:val="Normal"/>
        <w:widowControl/>
        <w:rPr/>
      </w:pPr>
      <w:r>
        <w:rPr/>
        <w:t>8414.30 Parts of air or gas compressors, nesoi Parts of air or vacuum pumps and ventilating or recycling hoods Window or wall type air conditioning machines, self-contained Window or wall type air conditioning machines, “split-system”, incorporating a refrigerating unit &amp; valve for reversal of cooling/heat cycle Window or wall type air conditioning machines, “split-system”, nesoi Air conditioning machines of a kind used for persons, in motor vehicles Air conditioning machines incorporating a refrigerating unit and valve for reversal of cooling/heat cycle, nesoi Air conditioning machines incorporating a refrigerating unit, nesoi Air conditioning machines not</w:t>
      </w:r>
    </w:p>
    <w:p>
      <w:pPr>
        <w:pStyle w:val="Normal"/>
        <w:widowControl/>
        <w:rPr/>
      </w:pPr>
      <w:r>
        <w:rPr/>
        <w:t>incorporating a refrigerating unit Chassis, chassis bases and other outer cabinets for air conditioning machines, Parts for air conditioning machines, nesi Furnace burners for liquid fuel Furnace burners for pulverized solid fuel or for gas, including combination burners Mechanical stokers, including their mechanical grates, mechanical ash dischargers and similar appliances Parts for furnace burners, mechanical stokers, mechanical grates, mechanical ash dischargers and similar appliances Furnaces and ovens for the roasting, melting or other heat treatment of ores, pyrites or of metals Bakery ovens, including biscuit ovens Industrial or laboratory furnaces and ovens nesi, including incinerators, nonelectric Parts for industrial or laboratory furnaces and ovens, including incinerators, nonelectric Combined refrigerator-freezers, fitted with separate external doors, electric or other Refrigerators, household compression-type, electric or other, other than those of subheading 8418.10 Refrigerators, household absorption-type, electrical, other than those of subheading 8418.10 Refrigerators, household type, electric or other, other than those of subheading 8418.10, nesi Freezers of the chest type, not exceeding 800 liters capacity, electric or other Freezers of the upright type, not exceeding 900 liters capacity, electric or other Refrigerating or freezing display counters, cabinets, showcases and similar refrigerating or freezing furniture Heat pumps, other than the</w:t>
      </w:r>
    </w:p>
    <w:p>
      <w:pPr>
        <w:pStyle w:val="Normal"/>
        <w:widowControl/>
        <w:rPr/>
      </w:pPr>
      <w:r>
        <w:rPr/>
        <w:t>air-conditioning machines of heading 8415 Refrigerating or freezing equipment nesi Furniture designed to receive refrigerating or freezing equipment Certain door assemblies for refrigerators, freezers and other refrigerating or freezing equipment Parts for refrigerators, freezers and other refrigerating or freezing equipment, electric or other, nesi; parts for heat pumps, nesi Instantaneous gas water heaters, nonelectric Storage water heaters, nonelectric Medical, surgical or laboratory sterilizers Dryers for agricultural products, not used for domestic purposes Dryers for wood Dryers for paper pulp, paper or paperboard Dryers, other than of a kind for domestic purposes, nesoi Distilling or rectifying plant, not used for domestic purposes Brazed aluminum plate-fin heat exchangers Heat exchange units, nesoi Machinery for liquefying air or gas containing brazed aluminum plate-fin heat exchangers Machinery for liquefying air or gas, nesoi Cooking stoves, ranges &amp; ovens, other than microwave, for making hot drinks or for cooking or heating food, not used for domestic purposes Machinery and equipment nesi, for making hot drinks or for cooking or heating food, not used for domestic purposes Machinery and equipment for the treatment of materials (by a process which changes temperatures), for making paper pulp, paper or paperboard Industrial machinery, plant or equip. for the treat.</w:t>
      </w:r>
    </w:p>
    <w:p>
      <w:pPr>
        <w:pStyle w:val="Normal"/>
        <w:widowControl/>
        <w:rPr/>
      </w:pPr>
      <w:r>
        <w:rPr/>
        <w:t>of mat., involving a change in temp., for molten-salt-cooled acrylic acid reactors Industrial machinery, plant or equipment for the treatment of materials, by process involving a change in temperature, nesoi Parts of instantaneous or storage water heaters Parts of machinery and plant, for making paper pulp, paper or paperbroad Parts of heat exchange units Parts of molten-salt-cooled acrylic acid reactors, nesi;</w:t>
      </w:r>
    </w:p>
    <w:p>
      <w:pPr>
        <w:pStyle w:val="Normal"/>
        <w:widowControl/>
        <w:rPr/>
      </w:pPr>
      <w:r>
        <w:rPr/>
        <w:t>parts of certain medical, surgical or laboratory sterilizers, nesi Parts of electromechanical tools for work in the hand, w/self-contained electric motor, for treatment of materials by change in temperature Parts of machinery, plant or laboratory equipment for the treatment of materials by a process involving a change of temperature, nesoi Textile calendering or rolling machines Calendering or similar rolling machines for making paper pulp, paper or paperboard Calendering or other rolling machines, other than for metals or glass, nesi Cylinders for textile calendering or rolling machines Cylinders for paper pulp, paper or paperboard calendering or rolling machines Cylinders for calendering and similar rolling machines, nesi Parts of calendering or rolling machines for processing textiles Parts of calendering or rolling machines for making paper pulp, paper or paperboard Parts of calendering or other rolling machines, other than for metals or glass, nesi Cream separators Centrifugal clothes dryers Centrifuges, other than cream separators or clothes dryers Machinery</w:t>
      </w:r>
    </w:p>
    <w:p>
      <w:pPr>
        <w:pStyle w:val="Normal"/>
        <w:widowControl/>
        <w:rPr/>
      </w:pPr>
      <w:r>
        <w:rPr/>
        <w:t>and apparatus for filtering or purifying water Machinery and apparatus for filtering or purifying beverages other than water Oil or fuel filters for internal combustion engines Filtering or purifying machinery and apparatus for liquids, nesi Intake air filters for internal combustion engines Catalytic converters Filtering or purifying machinery and apparatus for gases, other than intake air filters for internal combustion engines or catalytic conv.</w:t>
      </w:r>
    </w:p>
    <w:p>
      <w:pPr>
        <w:pStyle w:val="Normal"/>
        <w:widowControl/>
        <w:rPr/>
      </w:pPr>
      <w:r>
        <w:rPr/>
        <w:t>Drying chambers for the clothes-dryers of subheading 8421.12 and other parts of clothes-dryers incorporating drying chambers Furniture designed to receive the clothes-dryers of subheading 8421.12 Parts of centrifuges, including centrifugal dryers, nesi Parts for filtering or purifying machinery or apparatus for liquids or gases Dishwashing machines of the household type Dishwashing machines other than of the household type Machinery for cleaning or drying bottles or other containers Can-sealing machines Machinery for filling,closing,sealing, capsuling or labeling bottles,cans, boxes or other containers;machinery for aerating beverages; nesoi Machinery for packing or wrapping pipe tobacco, candy and cigarette packages; combination candy cutting and wrapping machines Packing or wrapping machinery, nesoi Water containment chambers for the household dishwashing machines and other parts of the same incorporating water containment chambers Door assemblies for the dishwashing machines of subheading 8422.11 Parts of dishwashing machines,</w:t>
      </w:r>
    </w:p>
    <w:p>
      <w:pPr>
        <w:pStyle w:val="Normal"/>
        <w:widowControl/>
        <w:rPr/>
      </w:pPr>
      <w:r>
        <w:rPr/>
        <w:t>nesi Parts of can-sealing machines Parts of machines for packing tobacco, wrapping candy, cigarette packages and of combination candy cutting and wrapping machines Parts of packing or wrapping machinery, nesoi Personal weighing machines, including baby scales;</w:t>
      </w:r>
    </w:p>
    <w:p>
      <w:pPr>
        <w:pStyle w:val="Normal"/>
        <w:widowControl/>
        <w:rPr/>
      </w:pPr>
      <w:r>
        <w:rPr/>
        <w:t>household scales Scales for continuous weighing of goods on conveyors using electronic means for gauging weights Other scales for continuous weighing of goods on conveyors Constant weight scales and scales for discharging a predetermined weight of material into a bag or container, including hopper scales Weighing machinery having a maximum weighing capacity not exceeding 30 kg Weighing machinery having a maximum weighing capacity exceeding 30 kg but not exceeding 5,000 kg Weighing machinery with maximum capacity exceeding 5,000 kg, using electronic means for gauging Weighing machinery with maximum capacity exceeding 5,000 kg, not using electronic means for gauging nesi Parts of weighing machinery using electronic means for gauging, except parts for weighing motor vehicles Other parts of weighing machinery, including weights Fire extinguishers, whether or not charged Simple piston pump sprays and powder bellows Spray guns and similar appliances other than simple piston pump sprays and powder bellows Sand blasting machines Steam blasting machines and similar jet projecting machines, other than sand blasting machines; nesi Portable sprayers excl self-contained sprayers having a capacity &gt;=20 liters) Portable sprayers</w:t>
      </w:r>
    </w:p>
    <w:p>
      <w:pPr>
        <w:pStyle w:val="Normal"/>
        <w:widowControl/>
        <w:rPr/>
      </w:pPr>
      <w:r>
        <w:rPr/>
        <w:t>self-contained having a capacity &gt;=20 liters Sprayers, not portable, nesoi Agricultural or horticultural projecting or dispersing equipment including irrigation equipment Mechanical appliances for projecting, dispersing or spraying liquids or powders, used for making printed circuits or printed circuit assemblies Other mechanical appliances for projecting, dispersing or spraying liquids or powders, nesi Parts of fire extinguishers Parts of simple piston pump sprays and powder bellows Parts of sand blasting machines Parts of mechanical appliances for projecting, dispersing or spraying liquids or powders, fire extinguishers and similar machines, nesi Pulley tackle and hoists other than skip hoists or hoists used for raising vehicles, powered by electric motor Pulley tackle and hoists other than skip hoists or hoists used for raising vehicles, not powered by electric motor Winches nesi, and capstans, powered by electric motor Winches nesi, and capstans, not powered by electric motor Built-in jacking systems of a type used in garages Hydraulic jacks and hoists, nesi Jacks and hoists of a kind used for raising vehicles, other than hydraulic, nesi Overhead</w:t>
      </w:r>
    </w:p>
    <w:p>
      <w:pPr>
        <w:pStyle w:val="Normal"/>
        <w:widowControl/>
        <w:rPr/>
      </w:pPr>
      <w:r>
        <w:rPr/>
        <w:t>traveling cranes on fixed support Mobile lifting frames on tires and straddle carriers Transporter cranes, gantry cranes and bridge cranes Tower cranes Portal or pedestal jib cranes Derricks, cranes and other lifting machinery nesi, self-propelled, on tires Derricks, cranes and other lifting machinery nesi, self-propelled, not</w:t>
      </w:r>
    </w:p>
    <w:p>
      <w:pPr>
        <w:pStyle w:val="Normal"/>
        <w:widowControl/>
        <w:rPr/>
      </w:pPr>
      <w:r>
        <w:rPr/>
        <w:t>on tires Derricks, cranes and other lifting machinery nesi, designed for mounting on road vehicles Derricks, cranes and other lifting machinery nesi Self-propelled works trucks powered by an electric motor, rider type forklift trucks Self-propelled works trucks powered by an electric motor, fitted with lifting and handling equipment, nesi Self-propelled works trucks not powered by an electric motor, rider type forklift trucks Self-propelled works trucks not powered by an electric motor, fitted with lifting and handling equipment, nesi Trucks, fitted with lifting or handling equipment, nesi Passenger or freight elevators other than continuous action; skip hoists Pneumatic elevators and conveyors Continuous-action elevators and conveyors, for goods or materials, specially designed for underground use Bucket type continuous-action elevators and conveyors, for goods or materials Belt type continuous-action elevators and conveyors, for goods or materials Continuous-action elevators and conveyors, for goods or materials, nesi Escalators and moving walkways Teleferics, chair lifts, ski draglines; traction mechanisms for funiculars Machinery for lifting, handling, loading or unloading, nesi Self-propelled bulldozers and angledozers, for track laying Self-propelled bulldozers and angledozers other than track laying Self-propelled graders and levelers Self-propelled scrapers Self-propelled tamping machines and road rollers Self-propelled front-end shovel loaders, wheel-type</w:t>
      </w:r>
    </w:p>
    <w:p>
      <w:pPr>
        <w:pStyle w:val="Normal"/>
        <w:widowControl/>
        <w:rPr/>
      </w:pPr>
      <w:r>
        <w:rPr/>
        <w:t>Self-propelled front-end shovel loaders, other than wheel-type Self-propelled backhoes, shovels, clamshells and draglines with a 360 degree revolving superstructure Self-propelled machinery with a 360 degree revolving superstructure, other than backhoes, shovels, clamshells and draglines Self-propelled backhoes, shovels, clamshells and draglines not with a 360 degree revolving superstructure Self-propelled machinery not with a 360 degree revolving superstructure, other than backhoes, shovels, clamshells and draglines Pile-drivers and pile-extractors Snowplows and snowblowers Self-propelled coal or rock cutters and tunneling machinery Coal or rock cutters and tunneling machinery, not self-propelled Self-propelled boring or sinking machinery Offshore oil and natural gas drilling and production platforms Boring or sinking machinery, not self-propelled, nesi Self-propelled peat excavators Self-propelled machinery for working earth, minerals or ores, nesi Tamping or compacting machinery, not self-propelled Machinery for working earth, minerals or ores, not self-propelled, nesoi Parts suitable for use solely or principally with the machinery of heading 8425 Parts suitable for use solely or principally with the machinery of heading 8427 Parts suitable for use solely or principally with passenger or freight elevators other than continuous action, skip hoists or escalators Parts suitable for use solely or principally with the machinery of heading 8428, nesi Buckets, shovels, grabs</w:t>
      </w:r>
    </w:p>
    <w:p>
      <w:pPr>
        <w:pStyle w:val="Normal"/>
        <w:widowControl/>
        <w:rPr/>
      </w:pPr>
      <w:r>
        <w:rPr/>
        <w:t>and grips suitable for use solely or principally with the machinery of headings 8426, 8429, or 8430 Bulldozer or angledozer blades suitable for use solely or principally with the machinery of heading 8426, 8429 or 8430 Parts for offshore oil &amp; natural gas, drilling and production platforms Parts for boring or sinking machinery of 8430.41 or 8430.49, nesi Parts suitable for use solely or principally with the machinery of heading 8426, nesi Parts suitable for use solely or principally with the machinery of heading 8429 or 8430, nesi Plows for soil preparation or cultivation Disc harrows for soil preparation or cultivation Harrows (other than disc), scarifiers, cultivators, weeders and hoes for soil preparation or cultivation No-till direct seeders, planters and transplanters Seeders, planters and transplanters, nesoi Manure spreaders Fertilizer distributors Agricultural, horticultural or forestry machinery for soil preparation or cultivation, nesi; lawn or sports ground rollers Parts of agricultural, horticultural or forestry machinery for soil preparation or cultivation;</w:t>
      </w:r>
    </w:p>
    <w:p>
      <w:pPr>
        <w:pStyle w:val="Normal"/>
        <w:widowControl/>
        <w:rPr/>
      </w:pPr>
      <w:r>
        <w:rPr/>
        <w:t>parts of lawn or sports ground rollers Mowers for lawns, parks or sports grounds, powered, with the cutting device rotating in a horizontal plane Mowers for lawns, parks or sports grounds, nesi Mowers nesi, including cutter bars for tractor mounting Haymaking machinery other than mowers Straw or fodder balers, including pick-up balers Combine harvester-threshers Threshing machinery other than combine</w:t>
      </w:r>
    </w:p>
    <w:p>
      <w:pPr>
        <w:pStyle w:val="Normal"/>
        <w:widowControl/>
        <w:rPr/>
      </w:pPr>
      <w:r>
        <w:rPr/>
        <w:t>harvester-threshers Root or tuber harvesting machines Harvesting machinery or threshing machinery, nesi Machines for cleaning, sorting or grading eggs, fruit or other agricultural produce Parts of mowers for lawns, parks or sports grounds Parts for machinery of heading 8433, nesi Milking machines Dairy machinery other than milking machines Parts for milking machines and dairy machinery Presses, crushers and similar machinery used in the manufacture of wine, cider, fruit juices or similar beverages Parts of presses, crushers and similar machinery used in the manufacture of wine, cider, fruit juices or similar beverages Machinery for preparing animal feeds Poultry incubators and brooders Poultry-keeping machinery Agricultural, horticultural, forestry or bee-keeping machinery, nesi Parts of poultry-keeping machinery or poultry incubators and brooders Parts for agricultural, horticultural, forestry or bee-keeping machinery, nesi Machines for cleaning, sorting or grading seed, grain or dried leguminous vegetables Machinery used in the milling industry or for the working of cereals or dried leguminous vegetables, other than farm type machinery Parts for machinery used in the milling industry or for</w:t>
      </w:r>
    </w:p>
    <w:p>
      <w:pPr>
        <w:pStyle w:val="Normal"/>
        <w:widowControl/>
        <w:rPr/>
      </w:pPr>
      <w:r>
        <w:rPr/>
        <w:t>cleaning,sorting,grading or working of cereals or dried leguminous vegetables Bakery machinery and machinery for the manufacture of macaroni, spaghetti or similar products, nesi Machinery for the manufacture of confectionery, cocoa or chocolate, nesi Machinery for sugar manufacture,</w:t>
      </w:r>
    </w:p>
    <w:p>
      <w:pPr>
        <w:pStyle w:val="Normal"/>
        <w:widowControl/>
        <w:rPr/>
      </w:pPr>
      <w:r>
        <w:rPr/>
        <w:t>nesi Brewery machinery, nesi Machinery for the preparation of meat or poultry, nesi Machinery for the preparation of fruits, nuts or vegetables, nesi Machinery for the industrial preparation or manufacture of food or drink, nesi Parts of machinery for sugar manufacture, nesi Parts of machinery for the industrial preparation or manufacture of food or drink, other than sugar manufacturing, nesi Machinery for making pulp of fibrous cellulosic material Machinery for making paper or paperboard Machinery for finishing paper or paperboard Bed plates, roll bars and other stock-treating parts of machinery for making pulp of fibrous cellulosic materials Parts of machinery for making pulp of fibrous cellulosic materials, nesi Parts of machinery for making paper or paperboard Parts of machinery for finishing paper or paperboard Bookbinding machinery, including book-sewing machines Parts for bookbinding machinery, including book-sewing machines Cutting machines of all kinds used for making up paper pulp, paper or paperboard Machines for making bags, sacks or envelopes of paper pulp, paper or paperboard Machines for making cartons, boxes, cases, tubes,</w:t>
      </w:r>
    </w:p>
    <w:p>
      <w:pPr>
        <w:pStyle w:val="Normal"/>
        <w:widowControl/>
        <w:rPr/>
      </w:pPr>
      <w:r>
        <w:rPr/>
        <w:t>drums or similar containers, other than by molding, of paper pulp, paper or paperboard Machines for molding articles in paper pulp, paper or paperboard Machinery for making up paper pulp, paper or paperboard, nesi Parts for machinery used in making up paper pulp, paper or paperboard, including cutting machines Machinery, apparatus and</w:t>
      </w:r>
    </w:p>
    <w:p>
      <w:pPr>
        <w:pStyle w:val="Normal"/>
        <w:widowControl/>
        <w:rPr/>
      </w:pPr>
      <w:r>
        <w:rPr/>
        <w:t>equipment of heading 8442 Parts of the machinery, apparatus or equipment of subheadings 8442.10, 8442.20 and 8442.30 Printing plates Printing type, blocks, cylinders and other printing components; blocks, cylinders and lithographic stones, prepared for printing purposes Reel-fed offset printing machinery, double-width newspaper printing presses Reel-fed offset printing machinery, other than double-width newspaper printing presses Sheet-fed offset printing machinery, office type (sheet size not exceeding 22 X 36 cm) Offset printing machinery, nesi Letterpress printing machinery, excluding flexographic printing, reel-fed Letterpress printing machinery, excluding flexographic printing, other than reel-fed Flexographic printing machinery Gravure printing machinery Textile printing machinery Printing machinery, nesoi Multifunction units (machines which perform two or more of the functions of printing, copying or facsimile transmission, capable of connecti Printer units, capable of connecting to an automatic data processing machine or to a network Single function units other than printer units (machines which perform only one of the functions of printing, copying or facsimile transmiss Electrostatic photocopying apparatus, operating by reproducing the original image directly onto the copy (direct process) Electrostatic photocopying apparatus, operating by reproducing the original image via an intermediate onto the copy (indirect process) Photocopying apparatus, other than</w:t>
      </w:r>
    </w:p>
    <w:p>
      <w:pPr>
        <w:pStyle w:val="Normal"/>
        <w:widowControl/>
        <w:rPr/>
      </w:pPr>
      <w:r>
        <w:rPr/>
        <w:t>electrostatic, incorporating an optical system Photocopying apparatus, other than electrostatic, of the contact type Thermocopying apparatus Copying machines, nesoi Other printers, copying machines or facsimile machines, nesoi Machines for uses ancillary to printing Parts of textile printing machinery Parts for printing machinery other than textile printing machinery Accessory &amp; auxiliary machines intended for attachment to an electrostatic photocopier &amp; which do not operate independent of such copier Parts of printer units of subheading 8443.32.10 specified in additional U.S. note 2 to this chapter Parts and accessories of printers, nesoi Parts of facsimile machines specified in additional U.S. note 3 to this chapter Parts and accessories of facsimile machines, nesoi Parts of photocopying apparatus of subheading 8443.39.20 specified in additional U.S.</w:t>
      </w:r>
    </w:p>
    <w:p>
      <w:pPr>
        <w:pStyle w:val="Normal"/>
        <w:widowControl/>
        <w:rPr/>
      </w:pPr>
      <w:r>
        <w:rPr/>
        <w:t>note 4 to this chapter Parts and acessories of copying machines; nesoi Parts and acessories of other printing, copying or facsimile machines; nesoi Machines for extruding, drawing, texturing or cutting man-made textile materials Carding machines for preparing textile fibers Combing machines for preparing textile fibers Drawing or roving machines for preparing textile fibers Machines for preparing textile fibers, nesi Textile spinning machines Textile doubling or twisting machines Textile winding (including weft-winding) or reeling machines Machinery for producing textile yarns nesi;</w:t>
      </w:r>
    </w:p>
    <w:p>
      <w:pPr>
        <w:pStyle w:val="Normal"/>
        <w:widowControl/>
        <w:rPr/>
      </w:pPr>
      <w:r>
        <w:rPr/>
        <w:t>machines for preparing textile yarns for use on machines of heading 8446 or 8447 Weaving machines (looms) for weaving fabrics of a width not exceeding 30 cm Shuttle type power looms for weaving fabrics of a width exceeding 4.9 m Shuttle type power looms for weaving fabrics of a width exceeding 30 cm, but not exceeding 4.9 m Weaving machines for weaving fabrics of a width exceeding 30 cm, shuttle type, nesi Shuttleless type power looms, for weaving fabrics of a width exceeding 4.9 m, nesi Shuttleless type weaving machines (looms), for weaving fabrics of a width exceeding 30 cm, nesi Circular knitting machines with cylinder diameter not exceeding 165 mm, for knitting hosiery Circular knitting machines with cylinder diameter not exceeding 165 mm, other than for knitting hosiery Circular knitting machines with cylinder diameter exceeding 165 mm, for knitting hosiery Circular knitting machines with</w:t>
      </w:r>
    </w:p>
    <w:p>
      <w:pPr>
        <w:pStyle w:val="Normal"/>
        <w:widowControl/>
        <w:rPr/>
      </w:pPr>
      <w:r>
        <w:rPr/>
        <w:t>cylinder diameter exceeding 165 mm, other than for knitting hosiery V-bed flat knitting machines, power driven, over 50.8 mm in width V-bed flat knitting machines, nesi Warp knitting machines Flat knitting machines, other than V-bed or warp; stitch-bonding machines Braiding and lace-braiding machines Embroidery machines Knitting machines other than circular or flat knitting; machines for making gimped yarn, tulle, trimmings or net;</w:t>
      </w:r>
    </w:p>
    <w:p>
      <w:pPr>
        <w:pStyle w:val="Normal"/>
        <w:widowControl/>
        <w:rPr/>
      </w:pPr>
      <w:r>
        <w:rPr/>
        <w:t>machines for tufting Dobbies and Jacquards, card reducing, copying, punching or assembling machines for use with machines of heading 8444, 8445, 8446 or 8447 Auxiliary machinery for machines of heading 8444, 8445, 8446 or 8447, nesi Parts and accessories of machines for extruding or drawing man-made textile filaments Parts and accessories of machines of heading 8444 or of their auxiliary machinery, nesi Card clothing as parts and accessories of machines of heading 8445 or of their auxiliary machinery Parts and accessories of machines for preparing textile fibers, other than card clothing Spindles, spindle flyers, spinning rings and ring travellers of machines of heading 8445 or of their auxiliary machines Parts of spinning, doubling or twisting machines of heading 8445 or of their auxiliary machinery Parts of winding or reeling machines of heading 8445 or of their auxiliary machinery Parts and accessories of machines of heading 8445 or their auxiliary machinery, nesi Reeds for looms, healds and heald-frames of weaving machines (looms) or their</w:t>
      </w:r>
    </w:p>
    <w:p>
      <w:pPr>
        <w:pStyle w:val="Normal"/>
        <w:widowControl/>
        <w:rPr/>
      </w:pPr>
      <w:r>
        <w:rPr/>
        <w:t>auxiliary machinery Shuttles for weaving machines (looms) Parts and accessories of weaving machines (looms) or of their auxiliary machinery, other than shuttles, reeds, healds and heald-frames Latch needles for knitting machines Spring-beard needles for knitting machines Needles for knitting machines other than latch needles or spring-beard needles Sinkers, needles and other articles used to form stitches, nesi, for machines of heading Parts of knitting machines of heading 8447 or of their auxiliary machinery, nesi Accessories of machines of heading 8447 or of their auxiliary machinery, nesi Finishing machinery for felt or nonwovens and parts thereof Machinery for making felt hats; blocks for making hats;</w:t>
      </w:r>
    </w:p>
    <w:p>
      <w:pPr>
        <w:pStyle w:val="Normal"/>
        <w:widowControl/>
        <w:rPr/>
      </w:pPr>
      <w:r>
        <w:rPr/>
        <w:t>parts thereof Household- or laundry-type washing machines, each of a dry linen capacity not exceeding 10 kg, fully automatic Household- or laundry-type washing machines, each of a dry linen capacity not exceeding 10 kg, with built-in centrifugal driers, nesi Household- or laundry-type washing machines, each of a dry linen capacity not exceeding 10 kg, nesi Household- or laundry-type washing machines, each of a dry linen capacity exceeding 10 kg Tub and tub assemblies for household- or laundry-type washing machines Furniture designed to receive household- or laundry-type washing machines Parts for household- or laundry-type washing machines, nesi Dry-cleaning machines Drying machines, each of a dry linen capacity not exceeding 10 kg Drying machines for yarns, fabrics or made</w:t>
      </w:r>
    </w:p>
    <w:p>
      <w:pPr>
        <w:pStyle w:val="Normal"/>
        <w:widowControl/>
        <w:rPr/>
      </w:pPr>
      <w:r>
        <w:rPr/>
        <w:t>up textile articles, each of a dry linen capacity exceeding 10 kg Ironing machines and presses (including fusing presses) for textile fabrics or made up textile articles Washing, bleaching or dyeing machines for textile yarns, fabrics or made up textile articles Machines for reeling, unreeling, folding, cutting or pinking textile fabrics Machinery for the handling of textile yarns, fabrics or made up textile articles, nesi Drying chambers for the drying machines of subheading 8451.21 or 8451.29, and other parts of drying machines incorporating drying chambers Furniture designed to receive the drying machines of subheading 8451.21 or</w:t>
      </w:r>
    </w:p>
    <w:p>
      <w:pPr>
        <w:pStyle w:val="Normal"/>
        <w:widowControl/>
        <w:rPr/>
      </w:pPr>
      <w:r>
        <w:rPr/>
        <w:t>8451.29 Parts of machines for the handling of textile yarns, fabrics or made up textile articles, nesi Sewing machines of the household type Sewing machines specially designed to join footwear soles to uppers, automatic Sewing machines, automatic, nesi Sewing machines, other than automatic, specially designed to join footwear soles to uppers Sewing machines, other than automatic, nesi Sewing machine needles Furniture, bases and covers for sewing machines, and parts thereof Parts of sewing machines, nesi Machinery for preparing, tanning or working hides, skins or leather Machinery for making or repairing footwear Machinery, nesi, for making or repairing articles of hides, skins or leather Parts of machinery for making or repairing footwear Parts of machinery for preparing, tanning or working hides, skins or leather or making or repairing articles</w:t>
      </w:r>
    </w:p>
    <w:p>
      <w:pPr>
        <w:pStyle w:val="Normal"/>
        <w:widowControl/>
        <w:rPr/>
      </w:pPr>
      <w:r>
        <w:rPr/>
        <w:t>of same, nesi Converters of a kind used in metallurgy or in metal foundries Ingot molds and ladles, of a kind used in metallurgy or in metal foundries Casting machines, of a kind used in metallurgy or in metal foundries Parts of converters, ladles, ingot molds and casting machines, of a kind used in metallurgy or in metal foundries Metal-rolling tube mills Metal-rolling mills, other than tube mills, hot or combination hot and cold Metal-rolling mills, other than tube mills, cold Rolls for metal-rolling mills Parts for metal-rolling mills, other than rolls, in the form of castings or weldments, individually weighing less than 90 tons Parts for metal-rolling mills, other than rolls, nesi Machine tools operated by laser, for working metal Machine tools operated by laser, of a kind used solely or principally for manufacture of printed circuits Machine tools operated by laser, nesoi Machine tools operated by light or photon beam processes, for working metal Machine tools operated by light or photon beam processes, of a kind used solely</w:t>
      </w:r>
    </w:p>
    <w:p>
      <w:pPr>
        <w:pStyle w:val="Normal"/>
        <w:widowControl/>
        <w:rPr/>
      </w:pPr>
      <w:r>
        <w:rPr/>
        <w:t>or principally for the manufacture of printed circuits Machine tools operated by light or photon beam processes, nesoi Machine tools operated by ultrasonic processes, for working metal Machine tools operated by ultrasonic processes, other than for working metal Machine tools operated by electro-discharge processes, for working metal Machine tools operated by electro-discharge processes, other than for working metal Machine tools operated by plasma</w:t>
      </w:r>
    </w:p>
    <w:p>
      <w:pPr>
        <w:pStyle w:val="Normal"/>
        <w:widowControl/>
        <w:rPr/>
      </w:pPr>
      <w:r>
        <w:rPr/>
        <w:t>arc process, for working metal Machine tools operated by plasma arc process, other than for working metal Water-jet cutting machines Machine tools operated by electro-chemical or ionic-beam processes, for working metal Machine tools operated by electro-chemical or ionic-beam processes, other than for working metal Machining centers for working metal Unit construction machines (single station), for working metal Multistation transfer machines for working metal Horizontal lathes (including turning centers) for removing metal, numerically controlled Horizontal lathes (including turning centers) for removing metal, other than numerically controlled Vertical turret lathes (including turning centers) for removing metal, numerically controlled Lathes (including turning centers), other than horizontal or vertical turret lathes, for removing metal, numerically controlled Vertical turret lathes (including turning centers) for removing metal, other than numerically controlled Lathes (including turning centers), other than horizontal or vertical turret lathes, for removing metal, other than numerically controlled Way-type unit head machines for drilling, boring, milling, threading or tapping by removing metal, other than lathes of heading 8458 Drilling machines, numerically controlled, nesi Drilling machines, other than numerically controlled, nesi Boring-milling machines, numerically controlled, nesi Boring-milling machines, other than numerically controlled, nesi Boring machines,</w:t>
      </w:r>
    </w:p>
    <w:p>
      <w:pPr>
        <w:pStyle w:val="Normal"/>
        <w:widowControl/>
        <w:rPr/>
      </w:pPr>
      <w:r>
        <w:rPr/>
        <w:t>numerically controlled, nesoi Boring machines, not numerically controlled, nesoi Milling machines, knee type, numerically controlled, nesi Milling machines, knee type, other than numerically controlled, nesi Milling machines, other than knee type, numerically controlled, nesi Milling machines, other than knee type, other than numerically controlled, nesi Other threading or tapping machines, numerically controlled Other threading or tapping machines nesi Flat-surface grinding machines, numerically controlled Flat-surface grinding machines, not numerically controlled Centerless grinding machines, numerically controlled Other cylindrical grinding machines, numerically controlled Other grinding machines, numerically controlled Other grinding machines, other than numerically controlled Sharpening (tool or cutter grinding) machines for working metal or cermets, numerically controlled Sharpening (tool or cutter grinding) machines for working metal or cermets, other than numerically controlled Honing or lapping machines for working metal or cermets, numerically controlled Honing or lapping machines for working metal or cermets, other than numerically controlled Other machine tools for deburring, polishing or otherwise finishing metal or cermets, nesoi, numerically controlled Other machine tools for deburring, polishing or otherwise finishing metal or cermets, nesoi, other than numerically controlled Shaping or slotting machines for working by removing metal or cermets, numerically</w:t>
      </w:r>
    </w:p>
    <w:p>
      <w:pPr>
        <w:pStyle w:val="Normal"/>
        <w:widowControl/>
        <w:rPr/>
      </w:pPr>
      <w:r>
        <w:rPr/>
        <w:t>controlled Shaping or slotting machines for working by removing metal or cermets, other than numerically controlled Broaching machines for working by removing metal or cermets, numerically controlled Broaching machines for working by removing metal or cermets, other than numerically controlled Gear cutting machines for working by removing metal or cermets Gear grinding or finishing machines for working by removing metal or cermets Sawing or cutting-off machines for working by removing metal or cermets, numerically controlled Sawing or cutting-off machines for working by removing metal or cermets, other than numerically controlled Machine-tools for working by removing metal or cermets, nesoi, numerically controlled Machine-tools for working by removing metal or cermets, nesoi, other than numerically controlled Forging or die-stamping machines (including presses) and hammers Bending, folding, straightening or flattening machines (including presses) numerically controlled for working metal or metal carbides Bending, folding, straightening or flattening machines (including presses) not numerically controlled for working metal or metal carbides Shearing machines (incl. presses), excl. combined punching &amp; shearing machines, numerically controlled for working metal or metal carbides Shearing machines (incl. presses), excl. combined punch &amp; shearing machines, nt numerically controlled for working metal or metal carbides Punch/notch machines (incl. presses), incl.</w:t>
      </w:r>
    </w:p>
    <w:p>
      <w:pPr>
        <w:pStyle w:val="Normal"/>
        <w:widowControl/>
        <w:rPr/>
      </w:pPr>
      <w:r>
        <w:rPr/>
        <w:t>combined punch &amp; shearing machines, numerically controlled for working metal or metal carbides Punch/notch machines (incl. presses), incl.</w:t>
      </w:r>
    </w:p>
    <w:p>
      <w:pPr>
        <w:pStyle w:val="Normal"/>
        <w:widowControl/>
        <w:rPr/>
      </w:pPr>
      <w:r>
        <w:rPr/>
        <w:t>combined punch &amp; shear machines, nt numerically controlled for working metal or metal carbides Hydraulic presses, numerically controlled Hydraulic presses, not numerically controlled Machine tools (including nonhydraulic presses) for working metal or metal carbides, nesi, numerically controlled Machine tools (including nonhydraulic presses) for working metal or metal carbides, nesi, not numerically controlled Draw-benches for bars, tubes, profiles, wire or the like, for working metal or cermets, without removing material Thread rolling machines for working metal or cermets, without removing material Machines for working wire of metal or cermets, without removing material Machine tools for working metal or cermets, without removing material, nesoi Sawing machines for working stone, ceramics, concrete, asbestos-cement or like mineral materials or for cold working glass Grinding or polishing machines for working stone, ceramics, concrete, asbestos- cement or like mineral materials, or glass, nesi Machine tools for working stone, ceramics, concrete, asbestos-cement or like mineral materials or for cold working glass, nesoi Machines for working certain hard materials which can carry out different types of machining operations w/o tool change between operations Machine centers for sawing, planing, milling, molding, grinding, sanding,</w:t>
      </w:r>
    </w:p>
    <w:p>
      <w:pPr>
        <w:pStyle w:val="Normal"/>
        <w:widowControl/>
        <w:rPr/>
      </w:pPr>
      <w:r>
        <w:rPr/>
        <w:t>polishing, drilling or mortising Machine centers for bending or assembling Machine centers, nesoi Sawing machines for working wood, cork, bone, hard rubber, hard plastics or similar hard materials Planing, milling or molding (by cutting) machines for working wood, cork, bone, hard rubber, hard plastics or similar hard materials Grinding, sanding or polishing machines for working wood, cork, bone, hard rubber, hard plastics or similar hard materials Bending or assembling machines for working wood, cork, bone hard rubber, hard plastics or similar hard materials Drilling or mortising machines for working wood, cork, bone, hard rubber, hard plastics or similar hard materials Splitting, slicing or paring machines for working wood, cork, bone, hard rubber, hard plastics or similar hard materials Machine tools for working wood, cork, bone, hard rubber, hard plastics and similar hard materials, nesoi Tool holders and self-opening dieheads for use solely or principally with machines of headings 8456 to 8465, nesoi Work holders for machine tools used in cutting gears Work holders for machine tools other than those used</w:t>
      </w:r>
    </w:p>
    <w:p>
      <w:pPr>
        <w:pStyle w:val="Normal"/>
        <w:widowControl/>
        <w:rPr/>
      </w:pPr>
      <w:r>
        <w:rPr/>
        <w:t>in cutting gears, nesoi Dividing heads for use solely or principally for machine tools of headings 8456 to Special attachments (which are machines) use solely or principally for machines of heading 8456 to 8465, excluding dividing heads, nesoi Special attachments for use solely or principally for machine tools of headings 8456 to 8465, nesoi Cast iron parts not advanced</w:t>
      </w:r>
    </w:p>
    <w:p>
      <w:pPr>
        <w:pStyle w:val="Normal"/>
        <w:widowControl/>
        <w:rPr/>
      </w:pPr>
      <w:r>
        <w:rPr/>
        <w:t>beyond cleaning and specifically machined, for machines of heading 8464 Parts and accessories nesi, for machines of heading 8464 Cast-iron parts not advanced beyond cleaning and specifically machined, for machines of heading 8465 Parts and accessories nesi, for machines of heading 8465 Certain parts for water-jet cutting machines Certain specified cast-iron parts not advanced beyond cleaning and specifically machined, for metalworking machine tools for cutting, etc. Certain specified parts and accessories of metal working machine tools for cutting gears Certain specified parts and accessories for machines of heading 8456 to 8461, nesoi Other cast-iron parts not advanced beyond cleaning and specifically machined, for metalworking machine tools for cutting, etc.</w:t>
      </w:r>
    </w:p>
    <w:p>
      <w:pPr>
        <w:pStyle w:val="Normal"/>
        <w:widowControl/>
        <w:rPr/>
      </w:pPr>
      <w:r>
        <w:rPr/>
        <w:t>Other parts and accessories of metal working machine tools for cutting gears Parts &amp; accessories for machines of heading 8456 to 8461 used to make printed circuits or PCAs, parts of heading 8517 or computers Other parts and accessories for machines of heading 8456 to 8461, nesoi Certain specified cast-iron parts not advanced beyond cleaning and specifically machined, for machines of heading 8462 or 8463 Other cast-iron parts not advanced beyond cleaning and specifically machined, for machines of heading 8462 or 8463 Other specified parts and accessories for machines of heading 8462 or 8463, nesoi Other parts and accessories for machines of heading 8462 or 8463, nesoi Tools for working in the hand, pneumatic, rotary</w:t>
      </w:r>
    </w:p>
    <w:p>
      <w:pPr>
        <w:pStyle w:val="Normal"/>
        <w:widowControl/>
        <w:rPr/>
      </w:pPr>
      <w:r>
        <w:rPr/>
        <w:t>type, suitable for metal working Tools for working in the hand, pneumatic, rotary type, other than suitable for metal working Tools for working in the hand, pneumatic, other than rotary type, suitable for metal working Tools for working in the hand, pneumatic, other than rotary type, other than suitable for metal working Electromechanical drills of all kinds for working in the hand, with self-contained electric motor Electromechanical saws for working in the hand, with self-contained electric motor Electromechanical tools for working in the hand, other than drills or saws, with self- contained electric motor Chain saws for working in the hand, hydraulic or with self-contained nonelectric motor Other tools for working in the hand, hydraulic or with self-contained nonelectric motor, suitable for metal working, nesoi Other tools for working in the hand, hydraulic or with self-contained nonelectric motor, other than suitable for metal working, nesoi Parts of chain saws Parts of pneumatic tools for working in the hand Parts of tools for working in the hand, hydraulic or with self-contained</w:t>
      </w:r>
    </w:p>
    <w:p>
      <w:pPr>
        <w:pStyle w:val="Normal"/>
        <w:widowControl/>
        <w:rPr/>
      </w:pPr>
      <w:r>
        <w:rPr/>
        <w:t>nonelectric or electric motor, other than chain saws Hand-held blow torches Gas-operated machinery, apparatus and appliances, hand-directed or -controlled, used for soldering, brazing, welding or tempering, nesi Gas-operated machinery, apparatus and appliances, not hand-directed or -controlled, used for soldering, brazing, welding or tempering, nesi Machinery and apparatus, hand-directed or</w:t>
      </w:r>
    </w:p>
    <w:p>
      <w:pPr>
        <w:pStyle w:val="Normal"/>
        <w:widowControl/>
        <w:rPr/>
      </w:pPr>
      <w:r>
        <w:rPr/>
        <w:t>-controlled, used for soldering, brazing or welding, not gas-operated Machinery and apparatus other than hand-directed or -controlled, used for soldering, brazing or welding, not gas-operated Parts of hand-directed or -controlled machinery, apparatus and appliances used for soldering, brazing, welding or tempering Parts for machinery, apparatus or appliances, not hand-directed or -controlled, used for soldering, brazing, welding or tempering Electronic calculator operate w/o external electric power &amp; pocket-size data recording/reproducing/displaying machine w/calculating function Electronic calculating machines, incorporating a printing device, nesi Electronic calculating machines, not incorporating a printing device, nesi Calculating machines nesi, other than electronic Cash registers Postage-franking, ticket-issuing and similar machines nesi, incorporating a calculating device; accounting machines Portable automatic data processing machines, not over 10 kg, consisting at least a central processing unit, keyboard and display ADP machines, nonportable or over 10 kg, comprise in the same housing least central processing unit and input &amp; output unit ADP machines, nesoi, entered as a system (consisting of a central processing unit, an input unit, and an output unit) Processing units other than those of subheading 8471.41 and 8471.49, nesoi Combined input/output units for automatic data processing machines not entered with the rest of a system Keyboards for automatic data</w:t>
      </w:r>
    </w:p>
    <w:p>
      <w:pPr>
        <w:pStyle w:val="Normal"/>
        <w:widowControl/>
        <w:rPr/>
      </w:pPr>
      <w:r>
        <w:rPr/>
        <w:t>processing machines not entered with the rest of a system Input or output units suitable for physical incorporation into ADP machine or unit thereof,nesoi, not entered with the rest of a system Optical scanners and magnetic ink recognition devices not entered with the rest of a ADP system Other input or output units of digital ADP machines, nesoi, not entered with the rest of a system ADP magnetic disk drive storage units, disk dia. ov 21 cm,w/o read-write unit; read- write units; all not entered with the rest of a system ADP magnetic disk drive storage units, disk dia. ov 21 cm: for incorp. into ADP machines or units, not entered with the rest of a system ADP magnetic disk drive storage units, disk dia. ov 21 cm, nesoi, not entered with the rest of a system ADP magnetic disk drive storage units, disk dia. n/ov 21 cm,not in cabinet, w/o attached external power supply, n/entered w/rest of a system ADP magnetic disk drive storage units, disk dia.</w:t>
      </w:r>
    </w:p>
    <w:p>
      <w:pPr>
        <w:pStyle w:val="Normal"/>
        <w:widowControl/>
        <w:rPr/>
      </w:pPr>
      <w:r>
        <w:rPr/>
        <w:t>n/ov 21 cm, nesoi, not entered with the rest of a system ADP storage units other than magnetic disk, not in cabinets for placing on a table, etc., not entered with the rest of a system ADP storage units other than magnetic disk drive units, nesoi, not entered with the rest of a system Control or adapter units for automatic data processing machines not entered with rest of a system Unit suitable for physical incorporation into automatic data processing machine or unit thereof,not entered with the rest of a system, nesoi Other units of automatic data processing machines, not entered with the rest of a system, nesoi Magnetic or optical readers, nesoi; machines for transcribing data on data media in coded form and machines for processing such data, nesoi Hectographic or stencil duplicating machines Machines for sorting, folding, opening, closing or sealing mail, and postage stamp affixing or canceling machines Addressing machines and address plate embossing machines Automatic teller machines Pencil sharpeners Typewriters other than printers of heading 8443;</w:t>
      </w:r>
    </w:p>
    <w:p>
      <w:pPr>
        <w:pStyle w:val="Normal"/>
        <w:widowControl/>
        <w:rPr/>
      </w:pPr>
      <w:r>
        <w:rPr/>
        <w:t>word processing machines Numbering, dating and check-writing machines Other office machines, nesoi Parts and accessories of the electronic calculating machines of subheading 8470.10, 8470.21 or 8470.29 Parts and accessories of machines of heading 8470, nesi Printed circuit assemblies, not incorporating a cathode ray tube, of the machines of Parts and accessories of the ADP machines of heading 8471, not incorporating a CRT,</w:t>
      </w:r>
    </w:p>
    <w:p>
      <w:pPr>
        <w:pStyle w:val="Normal"/>
        <w:widowControl/>
        <w:rPr/>
      </w:pPr>
      <w:r>
        <w:rPr/>
        <w:t>parts and accessories of printed circuit assemblies Parts and accessories of the ADP machines of heading 8471, not incorporating a CRT, nesi Parts and accessories of the ADP machines of heading 8471, incorporating a CRT, nesi Printed circuit assemblies for automatic teller machines of subheading 8472.90.10 Printed circuit assemblies of word processing machines of 8472.90.50 Other parts and accessories of the machines of 8472.90.50 Other parts and accessories of machines of heading 8472, nesoi Printed circuit assemblies suitable for use with machines of two or more of the headings 8469 to 8472 Part/accessory (also face plate and lock latch) of printed circuit assemblies suitable for use w/machine of two or more heading 8469 to 8472 Parts and accessories, nesoi, suitable for use with machines of two or more of the headings 8469 to 8472 Sorting, screening, separating or washing machines for earth, stones, ores or other mineral substances in solid form Crushing or grinding machines for earth, stones, ores or other mineral substances Concrete or mortar mixers Machines for mixing mineral substances with bitumen Mixing or kneading machines for earth, stones, ores or other mineral substances, nesi Machinery for agglomerating, shaping or molding solid mineral fuels, or other mineral products;</w:t>
      </w:r>
    </w:p>
    <w:p>
      <w:pPr>
        <w:pStyle w:val="Normal"/>
        <w:widowControl/>
        <w:rPr/>
      </w:pPr>
      <w:r>
        <w:rPr/>
        <w:t>machines for forming sand foundry molds Parts for the machinery of heading 8474 Machines for assembling electric or electronic lamps, tubes or flashbulbs, in glass envelopes Machines for making</w:t>
      </w:r>
    </w:p>
    <w:p>
      <w:pPr>
        <w:pStyle w:val="Normal"/>
        <w:widowControl/>
        <w:rPr/>
      </w:pPr>
      <w:r>
        <w:rPr/>
        <w:t>glass optical fibers and preforms thereof Machines for manufacturing or hot working glass or glassware, nesoi Parts of machines for assembling electric or electronic lamps, tubes or flashbulbs, in glass envelopes Parts of machines for manufacturing or hot working glass or glassware Automatic beverage-vending machines incorporating heating or refrigerating devices Automatic beverage-vending machines other than machines that incorporate heating or refrigerating devices Automatic goods-vending machines (other than beverage-vending) incorporating heating or refrigerating devices Automatic goods-vending (other than beverage-vending but incl. money-changing machines) not incorporating heating or refrigerating devices Parts for automatic goods-vending and money-changing machines Injection-molding machines for manufacturing shoes of rubber or plastics Injection-molding machines for use in the manufacture of video laser discs Injection-molding machines of a type used for working or manufacturing products from rubber or plastics, nesoi Extruders for working rubber or plastics or for the manufacture of products from these materials, nesi Blow-molding machines for working rubber or plastics or for the manufacture of products from these materials Vacuum-molding and other thermoforming machines for working rubber or plastics or for manufacture of products from these materials, nesoi Machinery for molding or retreading pneumatic tires or for molding or otherwise forming inner tubes</w:t>
      </w:r>
    </w:p>
    <w:p>
      <w:pPr>
        <w:pStyle w:val="Normal"/>
        <w:widowControl/>
        <w:rPr/>
      </w:pPr>
      <w:r>
        <w:rPr/>
        <w:t>Machinery for molding or otherwise forming rubber or plastics other than for molding or retreading pneumatic tires, nesoi Machinery for working rubber or plastics or for the manufacture of products from these materials, nesi Base, bed, platen and specified parts of machinery for working rubber or plastics or for manufacture of products from these material, nesoi Barrel screws of machinery for working rubber or plastics or for the manufacture of products from these materials, nesoi Hydraulic assemblies of machinery for working rubber or plastics or for the manufacture of products from these materials, nesoi Parts of machinery for working rubber or plastics or for the manufacture of products from these materials, nesoi Machinery for preparing or making up tobacco, nesi Parts of machinery for preparing or making up tobacco, nesi Machinery for public works, building or the like, nesi Machinery for the extraction or preparation of animal or fixed vegetable fats or oils, nesi Presses for making particle board or fiber building board of wood or other ligneous materials, and mach. for treat.</w:t>
      </w:r>
    </w:p>
    <w:p>
      <w:pPr>
        <w:pStyle w:val="Normal"/>
        <w:widowControl/>
        <w:rPr/>
      </w:pPr>
      <w:r>
        <w:rPr/>
        <w:t>wood or cork, nesi Rope- or cable-making machines nesi Industrial robots, not elsewhere specified or included Evaporative air coolers Passenger boarding bridges of a kind used in airports Other passenger boarding bridges Machines and mechanical appliances for treating metal, including electric wire coil- winders, nesi Machines for mixing, kneading, crushing, grinding, screening, sifting, homogenizing, emulsifying or stirring, nesi Air humidifiers or dehumidifiers with self-contained electric motor, other than for domestic purposes Floor polishers with self-contained electric motor, other than for domestic purposes Electromechanical appliances with self-contained electric motor, trash compactors Electromechanical appliances with self-contained electric motor, nesi Carpet sweepers, not electromechanical having self-contained electric motor Machines for the manufacture of optical media Automated electronic component placement machines for making printed circuit assemblies Other machines and mechanical appliances having individual functions, not specified or included elsewhere in chapter 84, nesoi Parts of floor polishers of subheading 8479.89.20; parts of carpet sweepers Parts of trash compactors, frame assemblies Parts of trash compactors, ram assemblies Parts of trash compactors, container assemblies Parts of trash compactors, cabinets or cases Parts of trash compactors, nesi Parts of machines and mechanical appliances having individual functions, not specidied or included</w:t>
      </w:r>
    </w:p>
    <w:p>
      <w:pPr>
        <w:pStyle w:val="Normal"/>
        <w:widowControl/>
        <w:rPr/>
      </w:pPr>
      <w:r>
        <w:rPr/>
        <w:t>elsewhere in chapter 84, nesoi Molding boxes for metal foundry Mold bases Molding patterns Molds for metal or metal carbides, injection or compression types Molds for metal or metal carbides other than injection or compression types Molds for glass Molds for mineral materials Molds for rubber or plastics, injection or compression types, for shoe machinery Injection or compression type molds for rubber or plastics for the manufacture of semiconductor devices Molds for rubber or plastics, injection or compression types, other than for shoe machinery or for manufacture of semiconductor devices Molds for rubber or plastics, other than injection or compression types, for shoe machinery Molds for rubber or plastics, other than injection or compression types, other than for shoe machinery Pressure-reducing valves for pipes, boiler shells, tanks, vats or the like Valves for oleohydraulic or pneumatic transmissions Check valves of copper for pipes, boiler shells, tanks, vats or the like Check valves of iron or steel for pipes, boiler shells, tanks, vats or the like Check valves other than of</w:t>
      </w:r>
    </w:p>
    <w:p>
      <w:pPr>
        <w:pStyle w:val="Normal"/>
        <w:widowControl/>
        <w:rPr/>
      </w:pPr>
      <w:r>
        <w:rPr/>
        <w:t>copper or iron or steel, for pipes, boiler shells, tanks, vats or the like Safety or relief valves for pipes, boiler shells, tanks, vats or the like Taps, cocks, valves &amp; similar appliances for pipes, boiler shells, tanks, vats or the like, hand operated, of copper, nesi Taps, cocks, valves &amp; similar appliances for pipes, boiler shells, tanks, vats or the like, hand operated, of iron or steel,</w:t>
      </w:r>
    </w:p>
    <w:p>
      <w:pPr>
        <w:pStyle w:val="Normal"/>
        <w:widowControl/>
        <w:rPr/>
      </w:pPr>
      <w:r>
        <w:rPr/>
        <w:t>nesi Taps, cocks, valves &amp; similar appliances for pipes, boiler shells, tanks, vats or the like, hand operated, not copper, iron or steel, nesi Taps, cocks, valves &amp; similar appliances for pipes, boiler shells, tanks, vats or the like, other than hand operated, nesi Parts of hand operated and check appliances for pipes, boiler shells, tanks, vats or the like, of copper Parts of hand operated and check appliances for pipes, boiler shells, tanks, vats or the like, of iron or steel Parts of hand operated and check appliances for pipes, boiler shells, tanks, vats or the like, other than of copper or iron or steel Parts of taps, cocks, valves and similar appliances for pipes, boiler shells, tanks, vats or the like, nesi Ball bearings with integral shafts Ball bearings other than ball bearings with integral shafts Tapered roller bearings, including cone and tapered roller assemblies Spherical roller bearings Needle roller bearings Cylindrical roller bearings nesi Ball or roller bearings nesi, including combined ball/roller bearings Balls, needles and rollers</w:t>
      </w:r>
    </w:p>
    <w:p>
      <w:pPr>
        <w:pStyle w:val="Normal"/>
        <w:widowControl/>
        <w:rPr/>
      </w:pPr>
      <w:r>
        <w:rPr/>
        <w:t>for ball or roller bearings Inner or outer rings or races for ball bearings Inner or outer rings or races for taper roller bearings Inner or outer rings or races for other bearings, nesi Parts of ball bearings (including parts of ball bearings with integral shafts), nesi Parts of tapered roller bearings, nesi Parts of other ball or roller bearings, nesi Camshafts and crankshafts for use solely or principally with</w:t>
      </w:r>
    </w:p>
    <w:p>
      <w:pPr>
        <w:pStyle w:val="Normal"/>
        <w:widowControl/>
        <w:rPr/>
      </w:pPr>
      <w:r>
        <w:rPr/>
        <w:t>spark-ignition internal- combustion piston or rotary engines Camshafts and crankshafts nesi Transmission shafts and cranks other than camshafts and crankshafts Housed bearings of the flange, take-up, cartridge and hanger unit type (incorporating ball or roller bearings) Housed bearings (incorporating ball or roller bearings), nesi Bearing housings of the flange, take-up, cartridge and hanger unit type Bearing housings nesi;</w:t>
      </w:r>
    </w:p>
    <w:p>
      <w:pPr>
        <w:pStyle w:val="Normal"/>
        <w:widowControl/>
        <w:rPr/>
      </w:pPr>
      <w:r>
        <w:rPr/>
        <w:t>plain shaft bearings Torque converters Fixed, multiple and variable ratio speed changers, imported for use with machines for making cellulosic pulp, paper or paperboard Fixed, multiple and variable ratio speed changers, not imported for use with machines for making cellulosic pulp, paper or paperboard Speed changers other than fixed, multiple and variable ratio speed changers Ball or roller screws Gears and gearing, other than toothed wheels, chain sprockets and other transmission elements entered separately Gray-iron awning or tackle pulleys, not over 6.4 cm in wheel diameter Flywheels, nesi Pulleys, including pulley blocks, nesi Clutches and universal joints Shaft couplings (other than universal joints) Chain sprockets and parts thereof Parts of flange, take-up, cartridge and hanger units Parts of bearing housings and plain shaft bearings, nesi Parts of gearing, gear boxes and other speed changers Parts of articles of subheading 8483.20 Parts of transmission equipment, nesi Gaskets and similar joints of metal sheeting combined with other material or of</w:t>
      </w:r>
    </w:p>
    <w:p>
      <w:pPr>
        <w:pStyle w:val="Normal"/>
        <w:widowControl/>
        <w:rPr/>
      </w:pPr>
      <w:r>
        <w:rPr/>
        <w:t>two or more layers of metal Mechanical seals Sets or assortments of gaskets and similar joints dissimilar in composition, put up in pouches, envelopes or similar packings Machines and apparatus for the manufacture of boules or wafers Machines and apparatus for the manufacture of semiconductor devices or electronic integrated circuits Machines and apparatus for the manufacture of flat panel displays Machines and apparatus for the manufacture of masks and reticles; for the assembly of electronic integrated circuits;</w:t>
      </w:r>
    </w:p>
    <w:p>
      <w:pPr>
        <w:pStyle w:val="Normal"/>
        <w:widowControl/>
        <w:rPr/>
      </w:pPr>
      <w:r>
        <w:rPr/>
        <w:t>or for the lifting, ha Parts and accessories of the machines and apparatus for the manufacture of semiconductor devices, electronic integrated circuits and flat pa Ships’ or boats propellers and blades therefor Machinery parts, not containing electrical connectors, insulators, coils, contacts or other electrical features and other parts nesi Electric motors of an output of under 18.65 W, synchronous, valued not over $4 each Electric motors of an output of under 18.65 W, other than synchronous valued not over $4 each Electric motors of an output of 18.65 W or more but not exceeding 37.5 W Universal AC/DC motors of an output exceeding 37.5 W but not exceeding 74.6 W Universal AC/DC motors of an output exceeding 74.6 W but not exceeding 735 W Universal AC/DC motors of an output exceeding 735 W but under 746 W Universal AC/DC motors of an output of 746 W or more DC motors nesi, of an output exceeding 37.5 W but not exceeding 74.6 W DC motors, nesi, of an output</w:t>
      </w:r>
    </w:p>
    <w:p>
      <w:pPr>
        <w:pStyle w:val="Normal"/>
        <w:widowControl/>
        <w:rPr/>
      </w:pPr>
      <w:r>
        <w:rPr/>
        <w:t>exceeding 74.6 W but not exceeding 735 W DC motors, nesi, of an ouput exceeding 735 W but under 746 W DC motors nesi, of an output of 746 W but not exceeding 750 W DC generators of an output not exceeding 750 W DC motors nesi, of an output exceeding 750 W but not exceeding 14.92 kW DC motors nesi, of an output exceeding 14.92 kW but not exceeding 75 kW, used as primary source of mechanical power for electric vehicles DC motors nesi, of an output exceeding 14.92 kW but not exceeding 75 kW, nesi DC generators of an output exceeding 750 W but not exceeding 75 kW DC motors nesi, of an output exceeding 75 kW but under 149.2 kW DC motors, nesi, 149.2 kW or more but not exceeding 150 kW DC motors nesi, of an output exceeding 150 kW but not exceeding 375 kW DC generators of an output exceeding 75 kW but not exceeding 375 kW DC motors nesi, of an output exceeding 375</w:t>
      </w:r>
    </w:p>
    <w:p>
      <w:pPr>
        <w:pStyle w:val="Normal"/>
        <w:widowControl/>
        <w:rPr/>
      </w:pPr>
      <w:r>
        <w:rPr/>
        <w:t>kW DC generators of an output exceeding 375 kW AC motors nesi, single-phase, exceeding 37.5 W but not exceeding 74.6 W AC motors, nesi, single-phase, exceeding 74.6 W but not exceeding 735 W AC motors, nesi, single-phase, exceeding 735 W but under 746 W AC motors nesi, single-phase, of 746 W or more AC motors nesi, multi-phase, of an output exceeding 37.5 W but not exceeding 74.6 W AC motors, nesi, multi-phase, of an output exceeding 74.6 W but not exceeding 735 W AC motors, nesi, multi-phase, of an output exceeding 735 W but under 746 W AC motors nesi, multi-phase of an output of 746 W but not exceeding 750 W AC motors</w:t>
      </w:r>
    </w:p>
    <w:p>
      <w:pPr>
        <w:pStyle w:val="Normal"/>
        <w:widowControl/>
        <w:rPr/>
      </w:pPr>
      <w:r>
        <w:rPr/>
        <w:t>nesi, multi-phase, of an output exceeding 750 W but not exceeding 14.92 kW AC motors nesi, multi-phase, of an output exceeding 14.92 kW but not exceeding 75 kW AC motors nesi, multi-phase, of an output exceeding 75 kW but under 149.2 kW AC motors, nesi, multi-phase, 149.2 kW or more but not exceeding 150 kW AC motors nesi, multi-phase, of an output exceeding 150 kW AC generators (alternators) of an output not exceeding 75 kVA AC generators (alternators) of an output exceeding 75 kVA but not exceeding 375 kVA AC generators (alternators) of an output exceeding 375 kVA but not exceeding 750 kVA AC generators (alternators) of an output exceeding 750 kVA Electric generating sets with compression-ignition internal-combustion piston engines, of an output not exceeding 75 kVA Electric generating sets with compression-ignition internal-combustion piston engines, of an output exceeding 75 kVA but not over 375 kVA Electric generating sets with compression-ignition internal-combustion piston engines, of an output exceeding 375 kVA Electric generating sets with spark-ignition internal-combustion piston engines Wind-powered electric</w:t>
      </w:r>
    </w:p>
    <w:p>
      <w:pPr>
        <w:pStyle w:val="Normal"/>
        <w:widowControl/>
        <w:rPr/>
      </w:pPr>
      <w:r>
        <w:rPr/>
        <w:t>generating sets Electric generating sets, nesoi Electric rotary converters Commutators suitable for use solely or principally with the machines of heading 8501 or 8502 Parts of electric motors under 18.65 W, stators and rotors Stators and rotors for electric generators for use on aircraft Stators and rotors for electric motors &amp; generators of heading 8501,</w:t>
      </w:r>
    </w:p>
    <w:p>
      <w:pPr>
        <w:pStyle w:val="Normal"/>
        <w:widowControl/>
        <w:rPr/>
      </w:pPr>
      <w:r>
        <w:rPr/>
        <w:t>nesi Parts of electric motors under 18.65 W, other than commutators, stators or rotors Parts for electric generators suitable for use on aircraft Other parts, nesi, suitable for use solely or principally with the machines in heading 8501 or 8502 Ballasts for discharge lamps or tubes Liquid dielectric transformers having a power handling capacity not exceeding 650 kVA Liquid dielectric transformers having a power handling capacity exceeding 650 kVA but not exceeding 10,000 kVA Liquid dielectric transformers having a power handling capacity exceeding 10,000 kVA Unrated electrical transformers other than liquid dielectric, having a power handling capacity not exceeding 1 kVA Electrical transformers other than liquid dielectric, having a power handling capacity less than 1 kVA Electrical transformers other than liquid dielectric, having a power handling capacity of l kVA Electrical transformers other than liquid dielectric, having a power handling capacity exceeding 1 kVA but not exceeding 16 kVA Electrical transformers other than liquid dielectric, having a power handling capacity exceeding 16 kVA but not exceeding 500 kVA Electrical transformers</w:t>
      </w:r>
    </w:p>
    <w:p>
      <w:pPr>
        <w:pStyle w:val="Normal"/>
        <w:widowControl/>
        <w:rPr/>
      </w:pPr>
      <w:r>
        <w:rPr/>
        <w:t>other than liquid dielectric, having a power handling capacity exceeding 500 kVA Electrical speed drive controllers for electric motors (static converters) Power supplies suitable for physical incorporation into automatic data processing machines or units thereof of heading 8471 Power supplies for automatic data processing machines or</w:t>
      </w:r>
    </w:p>
    <w:p>
      <w:pPr>
        <w:pStyle w:val="Normal"/>
        <w:widowControl/>
        <w:rPr/>
      </w:pPr>
      <w:r>
        <w:rPr/>
        <w:t>units thereof of heading 8471, nesoi Static converters (for example, rectifiers) for telecommunication apparatus Static converters (for example, rectifiers), nesoi Other inductors for power supplies for ADP machines and units of heading 8471 or for telecommunication apparatus Other inductors, nesoi Printed circuit assemblies of power supplies for automatic data processing machines or units thereof of heading 8471 Parts of power supplies (other than printed circuit assemblies) for automatic data processing machines or units thereof of heading 8471 Printed circuit assemblies of the goods of subheading 8504.40 or 8504.50 for telecommunication apparatus Printed circuit assemblies of electrical transformers, static converters and inductors, nesoi Parts (other than printed circuit assemblies) of electrical transformers, static converters and inductors Permanent magnets and articles intended to become permanent magnets after magnetization, of metal Flexible permanent magnets, other than of metal Composite goods containing flexible permanent magnets, other than of metal Permanent magnets and articles intended to become permanent magnets after magnetization, other than of metal, nesoi Electromagnetic couplings, clutches and brakes Electromagnetic lifting heads Electromagnetic or permanent magnet work holders and parts thereof Electromagnets used for MRI Other electromagnets and parts thereof, and parts of related electromagnetic articles nesi Manganese dioxide primary cells and</w:t>
      </w:r>
    </w:p>
    <w:p>
      <w:pPr>
        <w:pStyle w:val="Normal"/>
        <w:widowControl/>
        <w:rPr/>
      </w:pPr>
      <w:r>
        <w:rPr/>
        <w:t>primary batteries Mercuric oxide primary cells and primary batteries having an external volume not exceeding 300 cubic cm Mercuric oxide primary cells and primary batteries having an external volume exceeding 300 cubic cm Silver oxide primary cells and primary batteries having an external volume not exceeding 300 cubic cm Silver oxide primary cells and primary batteries having an external volume exceeding 300 cubic cm Lithium primary cells and primary batteries Air-zinc primary cells and primary batteries Primary cells and primary batteries, nesoi Parts of primary cells and primary batteries Lead-acid storage batteries of a kind used for starting piston engines Lead-acid storage batteries of a kind used as the primary source of electrical power for electrically powered vehicles of 8703.90 Lead-acid storage batteries other than of a kind used for starting piston engines or as the primary source of power for electric vehicles Nickel-cadmium storage batteries, of a kind used as the primary source of electrical power for electrically powered vehicles of</w:t>
      </w:r>
    </w:p>
    <w:p>
      <w:pPr>
        <w:pStyle w:val="Normal"/>
        <w:widowControl/>
        <w:rPr/>
      </w:pPr>
      <w:r>
        <w:rPr/>
        <w:t>8703.90 Nickel-cadmium storage batteries, other than of a kind used as the primary source of power for electric vehicles Nickel-iron storage batteries, of a kind used as the primary source of electrical power for electrically powered vehicles of 8703.90 Nickel-iron storage batteries, other than of a kind used as the primary source of power for electric vehicles Nickel-metal hydride batteries Lithium-ion batteries Other storage</w:t>
      </w:r>
    </w:p>
    <w:p>
      <w:pPr>
        <w:pStyle w:val="Normal"/>
        <w:widowControl/>
        <w:rPr/>
      </w:pPr>
      <w:r>
        <w:rPr/>
        <w:t>batteries nesi, of a kind used as the primary source of electrical power for electrically powered vehicles of</w:t>
      </w:r>
    </w:p>
    <w:p>
      <w:pPr>
        <w:pStyle w:val="Normal"/>
        <w:widowControl/>
        <w:rPr/>
      </w:pPr>
      <w:r>
        <w:rPr/>
        <w:t>8703.90 Other storage batteries nesi, other than of a kind used as the primary source of power for electric vehicles Parts of lead-acid storage batteries, including separators therefor Parts of storage batteries, including separators therefor, other than parts of lead-acid storage batteries Vacuum cleaners with self-contained electric motor, of a power not exceeding 1,500 W and having a dust bag or other receptacle capacity not Vacuum cleaners with self-contained electric motor, other than of a power not exceeding 1,500 W and having a dust bag or other receptacle ca Vacuum cleaners with other than a self-contained electric motor Parts of vacuum cleaners Electromechanical food grinders, processors, mixers, fruit or vegetable juice extractors, w self-contained electric motor, for domestic uses Electromechanical floor polishers, with self-contained electric motor, for domestic uses Electromechanical kitchen waste disposers (disposals), with self-contained electric motor, for domestic uses Electromechanical domestic appliances nesi, with self-contained electric motor Parts of electromechanical domestic floor polishers, housings Parts of electromechanical domestic floor polishers, other than housings Parts of electromechanical domestic appliances nesi, housings Parts of electromechanical domestic appliances nesi, other than housings Shavers, with self-contained electric</w:t>
      </w:r>
    </w:p>
    <w:p>
      <w:pPr>
        <w:pStyle w:val="Normal"/>
        <w:widowControl/>
        <w:rPr/>
      </w:pPr>
      <w:r>
        <w:rPr/>
        <w:t>motor Hair clippers to be used for agricultural or horticultual purposes, with self-contained electric motor Hair clippers other than to be used for agricultural or horticultural purposes, with self- contained electric motor Hair-removing appliances with self-contained electric motor Blades and cutting heads of shavers with self-contained electric motor Parts of shavers with self-contained electric motor, other than blades and cutting heads Parts of hair clippers with self-contained electric motor Parts of hair clippers, nesoi, with self-contained electric motor Parts of hair-removing appliances of subheading</w:t>
      </w:r>
    </w:p>
    <w:p>
      <w:pPr>
        <w:pStyle w:val="Normal"/>
        <w:widowControl/>
        <w:rPr/>
      </w:pPr>
      <w:r>
        <w:rPr/>
        <w:t>8510.30 Spark plugs Ignition magnetos, magneto-dynamos and magnetic flywheels Distributors and ignition coils Starter motors and dual purpose starter-generators Generators nesi, of a kind used in conjunction with spark-ignition or compression- ignition internal-combustion engines Voltage and voltage-current regulators with cut-out relays designed for use on 6, 12 or 24 V systems Voltage and voltage-current regulators with cut-out relays other than those designed for use on 6, 12 or 24 V systems Electrical ignition or starting equipment of a kind used for spark-ignition internal- combustion or compression-ignition engines, nesi Parts of voltage and voltage-current regulators with cut-out relays, designed for use on 6, 12 or 24 V systems Parts of voltage and voltage-current regulators with cut-out relays, other than those designed for use on 6, 12 or 24 V systems Parts</w:t>
      </w:r>
    </w:p>
    <w:p>
      <w:pPr>
        <w:pStyle w:val="Normal"/>
        <w:widowControl/>
        <w:rPr/>
      </w:pPr>
      <w:r>
        <w:rPr/>
        <w:t>nesi of electrical ignition or starting equipment or generators used for spark- or compression-ignition internal-combustion engines Electrical lighting equipment of a kind used on bicycles Electrical visual signaling equipment of a kind used on bicycles Electrical lighting equipment of a kind used for motor vehicles or cycles other than bicycles Electrical visual signaling equipment of a kind used for motor vehicles or cycles other than bicycles Electrical sound signaling equipment of a kind used for cycles or motor vehicles Defrosters and demisters of a kind used for cycles or motor vehicles Windshield wipers of a kind used for cycles or motor vehicles Parts of electrical signaling equipment of a kind used for cycles or motor vehicles Parts of electrical lighting equipment of a kind used on bicycles Parts of electrical lighting equipment of a kind used for motor vehicles or cycles other than bicycles Parts of defrosters and demisters of a kind used for cycles or motor vehicles Parts of windshield wipers of a kind used for motor vehicles or</w:t>
      </w:r>
    </w:p>
    <w:p>
      <w:pPr>
        <w:pStyle w:val="Normal"/>
        <w:widowControl/>
        <w:rPr/>
      </w:pPr>
      <w:r>
        <w:rPr/>
        <w:t>cycles Flashlights Portable electric lamps designed to function by their own source of energy, other than flashlights Parts of flashlights Parts of portable electric lamps designed to function by their own source of energy, other than flashlights Resistance heated industrial or laboratory furnaces and ovens Industrial or laboratory microwave ovens for making hot drinks or for cooking or heating food Industrial or laboratory microwave</w:t>
      </w:r>
    </w:p>
    <w:p>
      <w:pPr>
        <w:pStyle w:val="Normal"/>
        <w:widowControl/>
        <w:rPr/>
      </w:pPr>
      <w:r>
        <w:rPr/>
        <w:t>ovens, nesoi Industrial or laboratory furnaces and ovens (other than microwave) functioning by induction or dielectric loss Industrial furnaces and ovens for making printed circuits or printed circuit assemblies Industrial or laboratory electric industrial or laboratory furnaces and ovens nesi Industrial or laboratory induction or dielectric heating equipment nesi Parts of industrial or laboratory microwaves Parts of industrial or laboratory electric furnaces and ovens and other industrial or laboratory induction or dielectric heating equipment Electric soldering irons and guns Electric brazing or soldering machines and apparatus, other than soldering irons and guns Electric machines and apparatus for resistance welding of metal, fully or partly automatic Electric machines and apparatus for resistance welding of metal, other than fully or partly automatic Electric machines and apparatus for arc (including plasma arc) welding of metals, fully or partly automatic Electric machines and apparatus for arc (including plasma arc) welding of metals, other than fully or partly automatic Electric welding apparatus nesi,and electric machines and apparatus for hot spraying metals or sintered metal carbides</w:t>
      </w:r>
    </w:p>
    <w:p>
      <w:pPr>
        <w:pStyle w:val="Normal"/>
        <w:widowControl/>
        <w:rPr/>
      </w:pPr>
      <w:r>
        <w:rPr/>
        <w:t>Parts of electric welding machines and apparatus Parts of electric soldering or brazing machines &amp; apparatus, &amp; electric apparatus for hot spraying of metals or sintered metal carbides Electric instantaneous or storage water heaters and immersion heaters Electric storage heating</w:t>
      </w:r>
    </w:p>
    <w:p>
      <w:pPr>
        <w:pStyle w:val="Normal"/>
        <w:widowControl/>
        <w:rPr/>
      </w:pPr>
      <w:r>
        <w:rPr/>
        <w:t>radiators Electric space heating apparatus and electric soil heating apparatus, other than storage heating radiators Electrothermic hair dryers Electrothermic hairdressing apparatus other than hair dryers Electrothermic hand drying apparatus Electric flatirons, travel type Electric flatirons, other than travel type Microwave ovens of a kind used for domestic purposes Electrothermic cooking stoves, ranges and ovens (excluding microwave ovens) of a kind used for domestic purposes Electrothermic cookers, cooking plates, boiling rings, grillers and roasters, nesi, of a kind used for domestic purposes Electrothermic coffee or tea makers, for domestic purposes Electrothermic toasters, for domestic purposes Electrothermic appliances nesi, of a kind used for domestic purposes Electric heating resistors assembled only with simple insulated former and electrical connectors, used for anti-icing or de-icing Electric heating resistors, nesi Parts of electric heaters or heating apparatus of subheading 8516.10, 8516.21 or 8516.29 Housings for hand-drying apparatus of subheading 8516.33 Housings and steel bases for electric flat irons of subheading 8516.40 Parts of domestic microwave ovens, assemblies, having more than one of: cooking chamber; structural supporting chassis; door;</w:t>
      </w:r>
    </w:p>
    <w:p>
      <w:pPr>
        <w:pStyle w:val="Normal"/>
        <w:widowControl/>
        <w:rPr/>
      </w:pPr>
      <w:r>
        <w:rPr/>
        <w:t>outer case Parts of domestic microwave ovens, printed circuit assemblies Parts of domestic microwave ovens, other nesi Parts of domestic electrothermic cooking stoves, ranges and ovens of subheading 8516.60.40,</w:t>
      </w:r>
    </w:p>
    <w:p>
      <w:pPr>
        <w:pStyle w:val="Normal"/>
        <w:widowControl/>
        <w:rPr/>
      </w:pPr>
      <w:r>
        <w:rPr/>
        <w:t>cooking chambers whether or not assembled Parts of domestic electrothermic cooking stoves, ranges and ovens of subheading 8516.60.40, top surface panels w/orw/o elements or controls Parts of domestic electrothermic cooking stoves, ranges and ovens of subheading 8516.60.40, door assemblies Parts of domestic electrothermic cooking stoves, ranges and ovens of subheading 8516.60.40, other nesi Housings for domestic electrothermic toasters Parts of electric instantaneous or storage water heaters and immersion heaters and other domestic electrothermic appliance, nesi Line telephone sets with cordless handsets Telephones for cellular networks or for other wireless networks Telephone sets, nesoi Base stations Machines for the reception, conversion and transmission or regeneration of voice, images or other data, including switching and routing appa Other apparatus for transmission or reception of voice, images or other data, including apparatus for communication in a wired or wireless n Parts of telephone sets;</w:t>
      </w:r>
    </w:p>
    <w:p>
      <w:pPr>
        <w:pStyle w:val="Normal"/>
        <w:widowControl/>
        <w:rPr/>
      </w:pPr>
      <w:r>
        <w:rPr/>
        <w:t>parts of other apparatus for the transmission or reception of voice, images or other data, including apparatus for Microphones having a frequency range of 300Hz-3.4kHz with diameter not over 10 mm and height not over 3 mm, for telecommunication Microphones and stands therefor, nesoi Single loudspeakers mounted in their enclosures Multiple loudspeakers mounted in the same enclosure Loudspeakers not mounted in their enclosures, with frequency range of 300Hz to 3.4kHz, with a</w:t>
      </w:r>
    </w:p>
    <w:p>
      <w:pPr>
        <w:pStyle w:val="Normal"/>
        <w:widowControl/>
        <w:rPr/>
      </w:pPr>
      <w:r>
        <w:rPr/>
        <w:t>diameter not over 50 mm, for telecommunication Loudspeakers nesoi, not mounted in their enclosures, nesoi Line telephone handsets Headphones, earphones and combined microphone/speaker sets, other than telephone handsets Audio-frequency electric amplifiers for use as repeaters in line telephony Audio-frequency electric amplifiers, other than for use as repeaters in line telephony Electric sound amplifier sets Printed circuit assemblies of line telephone handsets; parts of repeaters Other parts of telephone handsets other than printed circuit assemblies Printed circuit assemblies of the microphones of subheading 8518.10.40 or the loudspeakers of subheading 8518.29.40 Other parts of microphones &amp; stands, loudspeakers, headphones &amp; earphones nesi, electric amplifiers, &amp; electric sound amplifier sets, nesoi Sound recording or reproducing apparatus operated by coins, bank notes, bank cards, tokens or other means of payment Turntables with automatic record changing mechanism Turntables without automatic record changing mechanism Telephone answering machines Transcribing machines Cassette players (non-recording) designed exclusively for motor-vehicle installation Cassette players (non-recording), nesoi Sound reproducing apparatus nesi, not incorporating a sound recording device Sound recording and reproducing apparatus using magnetic tape, optical media, or semiconductor media Record players, other than coin- or token-operated, without loudspeaker Record players, other than coin- or</w:t>
      </w:r>
    </w:p>
    <w:p>
      <w:pPr>
        <w:pStyle w:val="Normal"/>
        <w:widowControl/>
        <w:rPr/>
      </w:pPr>
      <w:r>
        <w:rPr/>
        <w:t>token-operated, with loudspeakers Sound recording and reproducing apparatus, nesoi Color, cartridge or cassette magnetic tape-type video players Color, cartridge or cassette magnetic tape-type video recording and reproducing apparatus, nesi Magnetic tape-type video recording or reproducing apparatus, other than color, cartridge or cassette type Video recording or reproducing apparatus, other than magnetic tape-type Pick-up cartridges for use with apparatus of heading 8519 to 8521 Assemblies &amp; subassemblies of articles of 8520.90, consisting of 2 or more pieces fastened together, printed circuit assemblies Other assemblies &amp; subassemblies of articles of</w:t>
      </w:r>
    </w:p>
    <w:p>
      <w:pPr>
        <w:pStyle w:val="Normal"/>
        <w:widowControl/>
        <w:rPr/>
      </w:pPr>
      <w:r>
        <w:rPr/>
        <w:t>8520.90, consisting of 2 or more pieces fastened together, other than printed circuit assemblies Other parts of telephone answering machines, printed circuit assemblies Other parts of telephone answering machines, other than printed circuit assemblies Parts and accessories of apparatus of headings 8519 to 8521, nesi, printed circuit assemblies Parts and accessories of apparatus of headings 8519 to 8521, nesi, other than printed circuit assemblies Cards incorporating a magnetic stripe Unrecorded magnetic media Pre-recorded magnetic tapes for reproducing phenomena other than sound or image Pre-recorded magnetic tapes, of a width not exceeding 4 mm, of news sound recording relating to current events Pre-recorded magnetic tapes, of a width not exceeding 4 mm, nesoi Pre-recorded magnetic video tape recordings of a width exceeding 4</w:t>
      </w:r>
    </w:p>
    <w:p>
      <w:pPr>
        <w:pStyle w:val="Normal"/>
        <w:widowControl/>
        <w:rPr/>
      </w:pPr>
      <w:r>
        <w:rPr/>
        <w:t>mm but not exceeding 6.5 mm Pre-recorded magnetic tapes of a width exceeding 4 mm but not exceeding 6.5 mm, nesoi Pre-recorded magnetic video tape recordings of a width exceeding 6.5 mm Pre-recorded magnetic tapes of a width exceeding 6.5 mm, nesoi Pre-recorded magnetic media other than tape, nesoi Unrecorded optical media Recorded optical media, for reproducing phenonema other than sound or image Recorded optical media, for reproducing sound only Recorded optical media,for reproducing representations of instructions, data, sound, &amp; image, recorded machine readable binary form, for ADP Recorded optical media, nesoi Semiconductor media, solid state non-volatile storage devices Semiconductor media, “smart cards” Semiconductor media, nesoi Phonograph records Discs, tapes, solid-state non-volatile storage devices, “smart cards” and other media for the recording of sound or of other phenomena, whet Television transmission set top boxes which have a communication function Transmission apparatus for television, nesoi Transmission apparatus for radiobroadcasting Transceivers Transmission apparatus incorporating reception apparatus, other than transceivers Television cameras, gyrostabilized Television cameras, studio type, other than shoulder-carried or other portable cameras Television cameras, nesi Digital still image video cameras Television cameras, digital cameras and video camera recorders, nesoi Radar apparatus Radio navigational aid apparatus, other than radar Radio remote</w:t>
      </w:r>
    </w:p>
    <w:p>
      <w:pPr>
        <w:pStyle w:val="Normal"/>
        <w:widowControl/>
        <w:rPr/>
      </w:pPr>
      <w:r>
        <w:rPr/>
        <w:t>control apparatus for video game consoles Radio remote control apparatus other than for video game consoles Pocket-size radio cassette players Radio-tape player combination (other than pocket-size radio cassette type),nonrecording,capable of operating w/o an external source of power Radio-tape recorder combinations, capable of operating without an external source of power, nesoi Radio-phonograph combinations, capable of operating without external power source, nesoi Radiobroadcast receivers capable of operating without external power source, combined with sound recording or reproducing apparatus, nesoi Radiobroadcast receivers, able to operate w/o external power, with clock or clock- timer, valued not over $40, not for motor vehicles Radiobroadcast receivers, capable of operation w/o external power, nesi Radio-tape player combinations capable of receiving &amp; decoding digital radio signals Other radio-tape player combinations Radiobroadcast receivers not operable w/o external power source, for motor veh., combined with sound recording/reproducing apparatus, nesi Radiobroadcast receivers, not operating w/o external power, for motor vehicles, w/o sound recording or reproducing apparatus, FM or AM/FM Radiobroadcast receivers, not operating w/o external power, for motor vehicles, w/o sound recording or reproducing apparatus, other Radiobroadcast receiver combined w/ sound recording or reproducing apparatus for connection to telegraphic/telephonic apparatus/network Radiobroadcast</w:t>
      </w:r>
    </w:p>
    <w:p>
      <w:pPr>
        <w:pStyle w:val="Normal"/>
        <w:widowControl/>
        <w:rPr/>
      </w:pPr>
      <w:r>
        <w:rPr/>
        <w:t>receiver combinations incorporating tape players, nesi Radiobroadcast receiver combinations incorporating tape recorders, nesi Radiobroadcast receivers combined with sound recording or reproducing apparatus, nesi Radiobroadcast receiver with clock or clock-timer, n/for m.v., n/combined w/sound recording or reproducing app., valued &lt; or = $40 ea Radiobroadcast receiver with clock or clock timer, n/for m.v., n/combined w/sound recording or reproducing app., valued &gt; $40 ea Infant nursery monitor systems, consisting, in the same package, of a radio transmitter, electrical adapter and radio receiver Radio receivers, nesoi Reception apparatus for radiobroadcasting, nesoi Cathode-ray tube monitors capable of directly connecting to and designed for use with an automatic data processing machine of heading 8471 Incomplete or unfinished color video monitors, presented w/o a display device, incorp. VCR or player Incomplete or unfinished color video monitors, presented w/o a display device, not incorp. VCR or player Non-high definition color video monitors, nonprojection type, w/CRT, video display diagonal not over 34.29 cm, incorporating VCR or player Non-high definition color video monitors, nonprojection, w/CRT, video display diag. ov 34.29 cm but n/ov 35.56 cm, incorp. VCR or player Non-high definition color video monitors, nonprojection type, w/CRT, video display diagonal not over 34.29 cm, not incorp.</w:t>
      </w:r>
    </w:p>
    <w:p>
      <w:pPr>
        <w:pStyle w:val="Normal"/>
        <w:widowControl/>
        <w:rPr/>
      </w:pPr>
      <w:r>
        <w:rPr/>
        <w:t>VCR or player Non-high definition color video monitors, nonprojection, w/CRT, video display diag. ov 34.29 cm but n/ov 35.56 cm, not incorp. VCR or player Non-high definition color video monitors, nonprojection type, w/CRT, video display diagonal over 35.56 cm, incorporating VCR or player Non-high definition color video monitors, nonprojection type, w/CRT, video display diagonal over 35.56 cm, not incorporating VCR or player Non-high definition color video monitors, projection type, with cathode-ray tube, incorporating VCR or player Non-high definition color video monitors, projection type, with cathode-ray tube, not incorporating VCR or player High definition color video monitors, nonprojection type, with cathode-ray tube, incorporating VCR or player High definition color video monitors, nonprojection type, with cathode-ray tube, not incorporating VCR or player High definition color video monitors, projection type, with cathode-ray tube, incorporating VCR or player High definition color video monitors, projection type, with cathode-ray tube, not incorporating VCR or player Black and white or other monochrome video monitors, with cathode-ray tube Other monitors capable of directly connecting to and designed for use with an automatic data processing machine of heading 8471 Incomplete or unfinished color video monitors, w/o cathode-ray tube, flat panel screen or similar display device, incorp.</w:t>
      </w:r>
    </w:p>
    <w:p>
      <w:pPr>
        <w:pStyle w:val="Normal"/>
        <w:widowControl/>
        <w:rPr/>
      </w:pPr>
      <w:r>
        <w:rPr/>
        <w:t>VCR or player Incomplete or unfinished color video monitors, w/o cathode-ray tube, flat panel screen or similar display device, not incorp.</w:t>
      </w:r>
    </w:p>
    <w:p>
      <w:pPr>
        <w:pStyle w:val="Normal"/>
        <w:widowControl/>
        <w:rPr/>
      </w:pPr>
      <w:r>
        <w:rPr/>
        <w:t>VCR or player Color video monitors w/flat panel screen, video display diagonal n/ov 34.29 cm, incorporate VCR or player Color video monitors w/flat panel screen, video display diagonal &gt; 34.29 cm, incorporating VCR or player, not subject US note 13 Color video monitors w/flat panel screen, video display diagonal n/ov 34.29 cm, not incorporate VCR or player Color video monitors w/flat panel screen, video display diagonal &gt; 34.29 cm, not with VCR/player, not subj US note 13 Color video monitors nesoi, with video display diagonal not over 34.29 cm, incorporating VCR or player Color video monitors nesoi, with video display diagonal over 34.29 cm, incorporating VCR or player Color video monitors nesoi, with video display diagonal not over 34.29 cm, not incorporating VCR or player Color video monitors nesoi, with video display diagonal over 34.29 cm, not incorporating VCR or player Black and white or other monochrome video monitors, other Projectors capable of directly connecting to and designed for use with an automatic data processing machine of heading 8471 Incomplete or unfinished color video projectors, w/o cathode-ray tube, flat panel screen or similar display device, incorp.</w:t>
      </w:r>
    </w:p>
    <w:p>
      <w:pPr>
        <w:pStyle w:val="Normal"/>
        <w:widowControl/>
        <w:rPr/>
      </w:pPr>
      <w:r>
        <w:rPr/>
        <w:t>VCR or player Incomplete or unfinished color video projectors, w/o cathode-ray tube, flat panel screen or similar display, not incorp.</w:t>
      </w:r>
    </w:p>
    <w:p>
      <w:pPr>
        <w:pStyle w:val="Normal"/>
        <w:widowControl/>
        <w:rPr/>
      </w:pPr>
      <w:r>
        <w:rPr/>
        <w:t>VCR or player Non-high definition color video projectors, with a cathode-ray tube, incorporating VCR or player Non-high definition color video projectors, with a cathode-ray tube, not incorporating VCR or player High definition color video projectors, with a cathode-ray tube, incorporating VCR or player High definition color video projectors, with a cathode-ray tube, not incorporating VCR or player Color video projectors w/flat panel screen, video display diagonal not over 34.29 cm, incorporating VCR or player Color video projectors w/flat panel screen, video display diagonal over 34.29 cm, incorporating VCR or player Color video projectors w/flat panel screen, video display diagonal not over 34.29 cm, not incorporating VCR or player Color video projectors w/flat panel screen, video display diagonal over 34.29 cm, not incorporating VCR or player Color video projectors nesoi, incorporating video recording or reproducing apparatus Color video projectors nesoi, not incorporating a video recording or reproducing apparatus Black and white or other monochrome video projectors Reception apparatus for television, not designed to incorporate a video display or screen, incorporating video</w:t>
      </w:r>
    </w:p>
    <w:p>
      <w:pPr>
        <w:pStyle w:val="Normal"/>
        <w:widowControl/>
        <w:rPr/>
      </w:pPr>
      <w:r>
        <w:rPr/>
        <w:t>recording or reproducing appa TV reception set top boxes with a communication function, nesoi TV reception printed circuit assemblies incorporating a tuner, of a kind used with ADP machines of heading 8471, nesoi TV reception apparatus, not designed to incorp.</w:t>
      </w:r>
    </w:p>
    <w:p>
      <w:pPr>
        <w:pStyle w:val="Normal"/>
        <w:widowControl/>
        <w:rPr/>
      </w:pPr>
      <w:r>
        <w:rPr/>
        <w:t>video display or screen, not incorp.</w:t>
      </w:r>
    </w:p>
    <w:p>
      <w:pPr>
        <w:pStyle w:val="Normal"/>
        <w:widowControl/>
        <w:rPr/>
      </w:pPr>
      <w:r>
        <w:rPr/>
        <w:t>video recording/reproducing apparatus, color TV reception apparatus, not designed to incorp. video display or screen, not incorp. video recording/reproducing apparatus, monochrome Incomplete or unfinished color tv reception apparatus, presented w/o a display device, incorp. VCR or player Incomplete or unfinished color tv reception apparatus, presented w/o a display device, n/incorp. VCR or player Non-high definition color television reception apparatus, nonprojection, w/CRT, video display diag. not ov 34.29 cm, incorp. a VCR or player Non-high def. color television reception app., nonprojection, w/CRT, display diag. ov 34.29 cm but n/ov 35.56 cm, incorp. VCR or player Non-high def. color television reception app., nonprojection, w/CRT, video display diag. not ov 34.29 cm, not incorporating VCR or player Non-high def. color television reception app., nonprojection, w/CRT, display diag. ov 34.29 cm but n/ov 35.56 cm, n/incorp. VCR or player Non-high definition color television reception app., nonprojection, w/CRT, video display diag. ov 35.56 cm, incorporating a VCR or player Non-high definition color television reception apparatus, nonprojection, w/CRT, video display diag. ov 35.56 cm, not incorp.</w:t>
      </w:r>
    </w:p>
    <w:p>
      <w:pPr>
        <w:pStyle w:val="Normal"/>
        <w:widowControl/>
        <w:rPr/>
      </w:pPr>
      <w:r>
        <w:rPr/>
        <w:t>a VCR or player Non-high definition color television reception apparatus, projection type, with a cathode-ray tube, incorporating a VCR or player Non-high definition color television reception apparatus, projection type, with a cathode-ray tube, not incorporating a VCR or player High definition color television reception apparatus, nonprojection, with cathode-ray tube, incorporating a VCR or player High definition color television reception apparatus, nonprojection, with cathode-ray tube, not incorporating a VCR or player High definition color television reception apparatus, projection type, with cathode-ray tube, incorporating a VCR or player High definition color television reception apparatus, projection type, with cathode-ray tube, not incorporating a VCR or player Color television reception apparatus w/flat panel screen, video display diagonal n/ov 34.29 cm, incorporating a VCR or player Color television reception apparatus w/flat panel screen, video display diagonal over 34.29 cm, incorporating a VCR or player Color television reception apparatus w/flat panel screen, video display diagonal n/o 34.29 cm, not incorporating a VCR or player Color television reception apparatus w/flat panel screen, video display diagonal over 34.29</w:t>
      </w:r>
    </w:p>
    <w:p>
      <w:pPr>
        <w:pStyle w:val="Normal"/>
        <w:widowControl/>
        <w:rPr/>
      </w:pPr>
      <w:r>
        <w:rPr/>
        <w:t>cm, not incorporating a VCR or player Color television reception apparatus nesoi, video display diagonal not over 34.29 cm, incorporating a VCR or player Color television reception apparatus nesoi, video display diagonal over 34.29 cm,</w:t>
      </w:r>
    </w:p>
    <w:p>
      <w:pPr>
        <w:pStyle w:val="Normal"/>
        <w:widowControl/>
        <w:rPr/>
      </w:pPr>
      <w:r>
        <w:rPr/>
        <w:t>incorporating a VCR or player Color television reception apparatus nesoi, video display diagonal not over 34.29 cm, not incorporating a VCR or player Color television reception apparatus nesoi, video display diagonal over 34.29 cm, not incorporating a VCR or player, nesoi Black and white or other monochrome television reception apparatus Television antennas and antenna reflectors, and parts suitable for use therewith Radar, radio navigational aid and radio remote control antennas and antenna reflectors, and parts suitable for use therewith Other antennas and antenna reflectors of all kinds and parts, for use Tuners (printed circuit assemblies) PCBs and ceramic substrates and subassemblies thereof, for color TV, with components listed in add. US note 4, chap. 85 PCBs and ceramic substrates and subassemblies thereof, for color TV, not with components listed in add. US note 4, chap. 85 Printed circuit assemblies for television cameras Printed circuit assemblies for television apparatus, nesi Printed circuit assemblies which are subassemblies of radar, radio nav.</w:t>
      </w:r>
    </w:p>
    <w:p>
      <w:pPr>
        <w:pStyle w:val="Normal"/>
        <w:widowControl/>
        <w:rPr/>
      </w:pPr>
      <w:r>
        <w:rPr/>
        <w:t>aid or remote control apparatus, of 2 or more parts joined together Printed circuit assemblies, nesi, for radar, radio navigational aid or radio remote control apparatus Other printed circuit assemblies suitable for use solely or principally with the apparatus of headings 8525 to 8528, nesi Transceiver assemblies for the apparatus of subheading 8526.10, other than printed circuit assemblies Tuners for television apparatus, other than printed circuit assemblies Subassies w/2 or more PCBs or ceramic substrates, as spec’d in add. US note 9 ch. 85, for color TV, w/components in add. US note 4, ch. 85 Subassies w/2 or more PCBs or ceramic substrates, as spec’d in add. US note 9 ch. 85, for color TV, not w/components in add. US note 4, ch. 85 Parts of television receivers specified in U.S. note 9 to chapter 85, other than printed circuit assemblies, nesi PCBs and ceramic substrates and subassemblies thereof for color TV, w/components listed in add. U.S. note 4, chap. 85 Combinations of PCBs and ceramic substrates and subassemblies thereof for color TV, w/components listed in add. U.S. note 4, chap. 85 Combinations of parts of television receivers specified in U.S.</w:t>
      </w:r>
    </w:p>
    <w:p>
      <w:pPr>
        <w:pStyle w:val="Normal"/>
        <w:widowControl/>
        <w:rPr/>
      </w:pPr>
      <w:r>
        <w:rPr/>
        <w:t>note 10 to chapter 85, other than printed circuit assemblies, nesi Flat panel screen assemblies for TV reception apparatus, color video monitors and video projectors Parts of printed circuit assemblies (including face plates and lock latches) for television cameras Parts of printed circuit assemblies (including face plates and lock latches) for television apparatus other than television cameras Parts of printed circuit assemblies (including face plates and lock latches) for radar, radio navigational aid or radio remote control app. Parts of printed circuit assemblies (including face plates and lock latches) for other apparatus of headings 8525 to 8528, nesi Mounted lenses for use in closed circuit television cameras, seperately imported, w/ or w/o attached elec. connectors or motors Other parts of television camers, nesi Other parts of television apparatus (other than television cameras), nesi Parts suitable for use solely or principally with the apparatus of 8525 and 8527 (except television apparatus or cellular phones), nesi Subassies w/2 or more PCBs or ceramic substrates, exc. tuners or converg. ass’ies, for color TV, w/components in add. US note 4, ch.</w:t>
      </w:r>
    </w:p>
    <w:p>
      <w:pPr>
        <w:pStyle w:val="Normal"/>
        <w:widowControl/>
        <w:rPr/>
      </w:pPr>
      <w:r>
        <w:rPr/>
        <w:t>85 Subassies w/2 or more PCBs or ceramic substrates, exc. tuners or converg. ass’ies, for color TV, not w/components in add. US note 4, ch.</w:t>
      </w:r>
    </w:p>
    <w:p>
      <w:pPr>
        <w:pStyle w:val="Normal"/>
        <w:widowControl/>
        <w:rPr/>
      </w:pPr>
      <w:r>
        <w:rPr/>
        <w:t>85 Parts of television apparatus, nesi Assemblies and subassemblies of radar, radio navigational aid or remote control apparatus, of 2 or more parts joined together, nesi Parts suitable for use solely or principally in radar, radio navigational aid or radio remote control apparatus, nesi Parts suitable for use solely or principally with the apparatus of headings 8525 to 8528, nesi Electrical signaling, safety or traffic control equipment for railways, streetcar lines or subways Electrical signaling, safety or traffic control equipment for roads, inland waterways, parking facilities, port installations or airfields Parts for electrical signaling, safety or traffic control equipment Electric burglar or fire alarms and similar apparatus Indicator panels incorporating liquid crystal devices (LCD’s) or light emitting diodes (LED’s) Doorbells, chimes, buzzers, and similar apparatus Electric sound or visual signaling apparatus, nesoi Printed circuit assemblies of the panels of subheading 8531.20 Printed circuit assemblies of electric sound or visual signaling apparatus, nesoi Parts of the panels of subheading</w:t>
      </w:r>
    </w:p>
    <w:p>
      <w:pPr>
        <w:pStyle w:val="Normal"/>
        <w:widowControl/>
        <w:rPr/>
      </w:pPr>
      <w:r>
        <w:rPr/>
        <w:t>8531.20, other than printed circuit assemblies Parts of electric sound or visual signaling apparatus, nesoi Fixed electrical capacitors designed for use in 50/60 Hz circuits and having a reactive power handling capacity of not less than 0.5 kvar Tantalum fixed capacitors Aluminum electrolytic fixed capacitors Ceramic dielectric fixed capacitors, single layer Ceramic</w:t>
      </w:r>
    </w:p>
    <w:p>
      <w:pPr>
        <w:pStyle w:val="Normal"/>
        <w:widowControl/>
        <w:rPr/>
      </w:pPr>
      <w:r>
        <w:rPr/>
        <w:t>dielectric fixed capacitors, multilayer Dielectric fixed capacitors of paper or plastics Fixed electrical capacitors, nesi Variable or adjustable (pre-set) electrical capacitors Parts of electrical capacitors, fixed, variable or adjustable (pre-set) Electrical fixed carbon resistors, composition or film types Electrical fixed resistors, other than composition or film type carbon resistors, for a power handling capacity not exceeding 20 W Electrical fixed resistors, other than composition or film type carbon resistors, for a power handling capacity exceeding 20 W Electrical wirewound variable resistors, including rheostats and potentiometers, for a power handling capacity not exceeding 20 W Electrical wirewound variable resistors, including rheostats and potentiometers, for a power handling capacity exceeding 20 W Metal oxide resistors Electrical variable resistors, other than wirewound, including rheostats and potentiometers For the goods of subheading</w:t>
      </w:r>
    </w:p>
    <w:p>
      <w:pPr>
        <w:pStyle w:val="Normal"/>
        <w:widowControl/>
        <w:rPr/>
      </w:pPr>
      <w:r>
        <w:rPr/>
        <w:t>8533.40, of ceramic or metallic materials, electrically or mechanically reactive to changes in temperature Other parts of electrical resistors, including rheostats and potentiometers, nesi Printed circuits, without elements (other than connecting elements) fitted thereon Fuses, for a voltage exceeding 1,000 V Automatic circuit breakers, for a voltage of less than 72.5 kV, but exceeding 1,000 V Automatic circuit breakers, for a voltage of 72.5 kV or more Isolating switches and make-and-break switches, for a voltage exceeding</w:t>
      </w:r>
    </w:p>
    <w:p>
      <w:pPr>
        <w:pStyle w:val="Normal"/>
        <w:widowControl/>
        <w:rPr/>
      </w:pPr>
      <w:r>
        <w:rPr/>
        <w:t>1,000 V Lightning arrestors, voltage limiters and surge suppressors, for a voltage exceeding 1,000 V Electrical motor starters and electrical motor overload protector, for a voltage exceeding 1,000 V Electrical apparatus nesi for switching, protecting, or making connections for electrical circuits, for a voltage exceeding 1,000 V, nesi Fuses, for a voltage not exceeding 1,000 V Automatic circuit breakers, for a voltage not exceeding 1,000 V Electrical motor overload protectors, for a voltage not exceeding 1,000 V, nesi Electrical apparatus for protecting electrical circuits, for a voltage not exceeding 1,000 V, nesi Relays for switching, protecting or making connections to or in electrical circuits, for a voltage not exceeding 60 V Relays for switching, protecting or making connections to or in electrical circuits, for a voltage exceeding 60 but not exceeding 1,000 V Electrical motor starters (which are switches), for a voltage not exceeding 1,000 V Certain specifed electronic and electromechanical snap-action switches, for a voltage not exceeding 1,000 V Switches nesoi, for switching or making connections to or in electrical circuits, for a voltage not exceeding 1,000 V Lampholders for a voltage not exceeding 1,000 V Connectors:</w:t>
      </w:r>
    </w:p>
    <w:p>
      <w:pPr>
        <w:pStyle w:val="Normal"/>
        <w:widowControl/>
        <w:rPr/>
      </w:pPr>
      <w:r>
        <w:rPr/>
        <w:t>coaxial, cylindrical multicontact, rack and panel, printed circuit, ribbon or flat cable, for a voltage not exceeding 1,000 V Plugs and sockets for making connections to or in electrical circuits, for a voltage not exceeding 1,000 V, nesoi</w:t>
      </w:r>
    </w:p>
    <w:p>
      <w:pPr>
        <w:pStyle w:val="Normal"/>
        <w:widowControl/>
        <w:rPr/>
      </w:pPr>
      <w:r>
        <w:rPr/>
        <w:t>Connectors for optical fibers, optical fiber bundles or cables Electrical terminals, electrical splicers and electrical couplings, wafer probers, for a voltage not exceeding 1,000 V Battery clamps used in motor vehicles of headings 8702, 8703, 8704, or 8711 Other electrical apparatus nesi, for switching or making connections to or in electrical circuits, for a voltage not exceeding 1,000 V, nesoi Electric control panels, for a voltage not exceeding 1,000, assembled with outer housing or supports, for goods of 8421, 8422, 8450 or 8516 Boards, panels, etc., equipped with apparatus for electric control, for a voltage not exceeding 1,000, motor control centers Touch screens without display capabilities for incorporation in apparatus having a display Other boards, panels, consoles, desks, cabinets, etc., equipped with apparatus for electric control, for a voltage not exceeding 1,000, nesi Boards, panels, consoles, desks, cabinets and other bases, equipped with apparatus for electric control, for a voltage exceeding 1,000 V Parts of boards, panels, consoles, desks, cabinets and other bases for the goods of heading 8537, not equipped with their apparatus Printed circuit assemblies of an article of heading 8537 for one of the articles described in additional U.S.</w:t>
      </w:r>
    </w:p>
    <w:p>
      <w:pPr>
        <w:pStyle w:val="Normal"/>
        <w:widowControl/>
        <w:rPr/>
      </w:pPr>
      <w:r>
        <w:rPr/>
        <w:t>note 12 to chapter 85 Printed circuit assemblies, suitable for use solely or principally with the apparatus of heading 8535, 8536 or 8537, nesoi Parts for articles of 8535.90.40, 8536.30.40 or 8536.50.40, of ceramic or metallic materials, mech. or elec. reactive to changes in temp.</w:t>
      </w:r>
    </w:p>
    <w:p>
      <w:pPr>
        <w:pStyle w:val="Normal"/>
        <w:widowControl/>
        <w:rPr/>
      </w:pPr>
      <w:r>
        <w:rPr/>
        <w:t>Molded parts nesi, suitable for use solely or principally with the apparatus of heading 8535, 8536 or 8537 Other parts nesi, suitable for use solely or principally with the apparatus of heading 8535, 8536 or 8537 Sealed beam lamp units Tungsten halogen electrical filament lamps, designed for a voltage not exceeding 100 V Tungsten halogen electrical filament lamps, designed for a voltage exceeding 100 V Electrical filament Christmas-tree lamps, of a power not exceeding 200 W and for a voltage exceeding 100 V Electrical filament lamps of a power not exceeding 200 W and for a voltage exceeding 100 V nesi, excluding ultraviolet and infrared lamps Electrical filament Christmas-tree lamps, designed for a voltage not exceeding 100 V Electrical filament lamps, voltage not exceeding 100 V, having glass envelopes n/o 6.35 mm in diameter, suitable in surgical instruments Electrical filament lamps nesi, designed for a voltage not exceeding 100 V, excluding ultraviolet and infrared lamps Electrical filament lamps, designed for a voltage exceeding 100 V, of a power exceeding 200 W Fluorescent, hot cathode discharge lamps, other than untraviolet lamps Mercury or sodium vapor discharge lamps or metal halide</w:t>
      </w:r>
    </w:p>
    <w:p>
      <w:pPr>
        <w:pStyle w:val="Normal"/>
        <w:widowControl/>
        <w:rPr/>
      </w:pPr>
      <w:r>
        <w:rPr/>
        <w:t>discharge lamps (other than ultraviolet lamps) CCFLS for backlighting of flat planel displays Other electrical discharge lamps, other than fluorescent (hot cathode), mercury or sodium vapor, metal halide or ultraviolet lamps Arc lamps Ultraviolet or infrared lamps Light-emitting diode (LED) lamps Parts of electrical filament or discharge lamps Cathode-ray television picture tubes incl. video monitor, color, non-high definition, non-projection, display &gt; 35.56 cm Cathode-ray TV &amp; video monitor tubes, color, non-high definition, non-projection, video display diagonal &lt;or= 34.29 cm Cathode-ray TV &amp; video monitor tubes, color, non-high definition, non-projection, video display diagonal &gt; 34.29 cm &amp; &lt;or= 35.56 cm Cathode-ray television picture tubes incl. video monitor, color, high definition, display diagonal &gt; 35.56 cm Cathode-ray TV &amp; video monitor tubes, color, high definition, having video display display diagonal &lt;or= 34.29 cm Cathode-ray TV &amp; video monitor tubes, color, high definition, video display diagonal video display diagonal &gt; 34.29 cm &amp; &lt;or= 35.56 cm Cathode-ray television picture tubes incl. video monitor, color, non-high definition, projection type Cathode-ray television picture tubes incl.</w:t>
      </w:r>
    </w:p>
    <w:p>
      <w:pPr>
        <w:pStyle w:val="Normal"/>
        <w:widowControl/>
        <w:rPr/>
      </w:pPr>
      <w:r>
        <w:rPr/>
        <w:t>video monitor, monochrome, non-high definition, w/faceplate diagonal &gt; 29 cm and &lt;or= 42 cm Cathode-ray television picture tubes incl. video monitor, monochrome, high definition, w/faceplate diagonal &gt; 29 cm and &lt;or= 42 cm Cathode-ray television picture tubes incl.</w:t>
      </w:r>
    </w:p>
    <w:p>
      <w:pPr>
        <w:pStyle w:val="Normal"/>
        <w:widowControl/>
        <w:rPr/>
      </w:pPr>
      <w:r>
        <w:rPr/>
        <w:t>video monitor, monochrome, non-high definition, nesi Cathode-ray television picture tubes incl. video monitor, monochrome, high definition, nesi Cathode-ray television camera tubes Television camera tubes, image converters and intensifiers, and other photocathode tubes, other than cathode-ray tubes Data/grphic display tubes, monochrome; data/graphic display tubes, color, with a phosphor dot screen pitch smaller than 0.4 mm Cathode-ray tubes nesoi Magnetron tubes, modified for use as parts of microwave ovens Magnetron tubes nesoi Klystron tubes Microwave tubes (other than magnetrons or klystrons) excluding grid-controlled tubes Receiver or amplifier tubes Thermionic, cold cathode or photocathode tubes, nesi Front panel assemblies for cathode-ray tubes Deflection coils for cathode-ray tubes Parts of cathode-ray tubes other than deflection coils or front panel assemblies Electron guns; radio frequency (RF) interaction structures for microwave tubes of subheadings 8540.71 through 8540.79, inclusive Parts of thermionic, cold cathode or photocathode tubes, other than parts of cathode- ray tubes, electron guns, etc., nesi Diodes, other than photosensitive or light-emitting diodes Transistors, other than photosensitive transistors, with a dissipation rating of less than 1 W Transistors, other than photosensitive transistors, with a dissipation rating of 1 W or more Thyristors, diacs and triacs, other than photosensitive devices Light-emitting diodes (LED’s) Diodes for semiconductor</w:t>
      </w:r>
    </w:p>
    <w:p>
      <w:pPr>
        <w:pStyle w:val="Normal"/>
        <w:widowControl/>
        <w:rPr/>
      </w:pPr>
      <w:r>
        <w:rPr/>
        <w:t>devices, other than light-emitting diodes, nesi Photosensitive transistors Photosensitive semiconductor devices nesi, optical coupled isolators Photosensitive semiconductor devices nesi, other Semiconductor devices other than photosensitive semiconductor devices, nesi Mounted piezoelectric crystals Parts of diodes, transistors, similar semiconductor devices, photosensitive semiconductor devices, LED’s and mounted piezoelectric crystals Processors and controllers, whether or not combined with memories, converters, logic circuits, amplifiers, clock and timing circuits, or oth Memories Amplifiers Electronic integrated circuits, nesoi Parts of electronic integrated circuits and microassemblies Electrical particle accelerators Electrical signal generators Electrical machines and apparatus for electroplating, electrolysis, or electrophoresis for making printed circuits Other electrical machines and apparatus for electroplating, electrolysis, or electrophoresis Physical vapor deposition appartus, nesoi Flight data recorders Other electric synchros and transducers; defrosters and demisters with electric resistors for aircraft Electrical machines and apparatus nesoi, designed for connection to telegraphic or telephonic apparatus, instruments or networks Electric luminescent lamps Microwave amplifiers Electrical machines and apparatus for electrical nerve stimulation Electrical machines w/ translation/dictionary; flatpanel displays except for heading 8528 (except 8528.51/61);infrared</w:t>
      </w:r>
    </w:p>
    <w:p>
      <w:pPr>
        <w:pStyle w:val="Normal"/>
        <w:widowControl/>
        <w:rPr/>
      </w:pPr>
      <w:r>
        <w:rPr/>
        <w:t>video game controller Portable battery operated electronic readers for recording text, still images or audio files Digital signal processing apparatus capable of connecting to a wired or wireless network for sound mixing Portable interactive electronic education devices for children Touch screens without display capabilities for incorporation in apparatus having a display Plasma cleaner machines that remove organic contaminants from electron microscopy specimens and holders Other machinery in this subheading Parts of physical vapor deposition apparatus of subheading 8543.70 Assemblies and subassemblies for flight data recorders, consisting of 2 or more parts pieces fastened together, printed circuit assemblies Assemblies and subassemblies for flight data recorders, consisting of 2 or more parts pieces fastened together, not printed circuit assys.</w:t>
      </w:r>
    </w:p>
    <w:p>
      <w:pPr>
        <w:pStyle w:val="Normal"/>
        <w:widowControl/>
        <w:rPr/>
      </w:pPr>
      <w:r>
        <w:rPr/>
        <w:t>Printed circuit assemblies of flat panel displays other than for reception apparatus for television of heading 8528 Printed circuit assemblies of electrical machines and apparatus, having individual functions, nesoi Parts, nesoi, of flat panel displays other than for reception apparatus for television of heading 8528 Parts (other than printed circuit assemblies) of electrical machines and apparatus, having individual functions, nesoi Insulated (including enameled or anodized) winding wire, of copper Insulated (including enameled or anodized) winding wire, other than of copper Insulated (including enameled or anodized) coaxial cable and other coaxial conductors Insulated ignition wiring sets and other wiring sets of a kind used in vehicles, aircraft or ships Insulated electric conductors nesi, for a voltage not exceeding 1,000 V, fitted with modular telephone connectors Insulated electric conductors nesi, used for telecommuncations, for a voltage not exceeding 1,000 V, fitted with connectors Insulated electric conductors nesi, for a voltage not exceeding 1,000 V, fitted with connectors, nesoi Insulated electric conductors of a kind used for telecommuncations, for a voltage not exceeding</w:t>
      </w:r>
    </w:p>
    <w:p>
      <w:pPr>
        <w:pStyle w:val="Normal"/>
        <w:widowControl/>
        <w:rPr/>
      </w:pPr>
      <w:r>
        <w:rPr/>
        <w:t>80 V, not fitted with connectors Insulated electric conductors nesoi, for a voltage not exceeding 80 V, not fitted with connectors Insulated electric conductors nesi, of copper, for a voltage not exceeding 1,000 V, not fitted with connectors Insulated electric conductors nesi, not of copper,</w:t>
      </w:r>
    </w:p>
    <w:p>
      <w:pPr>
        <w:pStyle w:val="Normal"/>
        <w:widowControl/>
        <w:rPr/>
      </w:pPr>
      <w:r>
        <w:rPr/>
        <w:t>for a voltage not exceeding 1,000 V, not fitted with connectors Insulated electric conductors nesi, for a voltage exceeding 1,000 V, fitted with connectors Insulated electric conductors nesi, of copper, for a voltage exceeding 1,000 V, not fitted with connectors Insulated electric conductors nesi, not of copper, for a voltage exceeding 1,000 V, not fitted with connectors Optical fiber cables made up of individually sheathed fibers Carbon electrodes of a kind used for furnaces Carbon electrodes of a kind used for electrolytic purposes Carbon electrodes of a kind used for electrical purposes, other than those used for furnaces or for electrolytic purposes Carbon brushes of a kind used for electrical purposes Arc light carbons of a kind used for electrical purposes Lamp carbons, battery carbons and articles of graphite or other carbon nesi, of a kind used for electrical purposes Electrical insulators of glass Electrical insulators of ceramics Electrical insulators of any material, other than glass or ceramics Ceramic insulators to be used in the production of spark plugs for</w:t>
      </w:r>
    </w:p>
    <w:p>
      <w:pPr>
        <w:pStyle w:val="Normal"/>
        <w:widowControl/>
        <w:rPr/>
      </w:pPr>
      <w:r>
        <w:rPr/>
        <w:t>natural gas fueled, stationary, internal-combustion engines Insulating fittings for electrical machines, appliances or equipment, of ceramics nesi Insulating fittings for electrical machines, appliances or equipment, of plastics Electrical conduit tubing and joints therefor, of base metal lined with insulating material;</w:t>
      </w:r>
    </w:p>
    <w:p>
      <w:pPr>
        <w:pStyle w:val="Normal"/>
        <w:widowControl/>
        <w:rPr/>
      </w:pPr>
      <w:r>
        <w:rPr/>
        <w:t>insulating fittings for electrical goods nesi Spent primary cells, spent primary</w:t>
      </w:r>
    </w:p>
    <w:p>
      <w:pPr>
        <w:pStyle w:val="Normal"/>
        <w:widowControl/>
        <w:rPr/>
      </w:pPr>
      <w:r>
        <w:rPr/>
        <w:t>batteries and spent electric storage batteries, entered for recovery of lead Spent primary cells, spent primary batteries and spent electric storage batteries, not entered for recovery of lead Waste and scrap of primary cells, primary batteries and electric storage batteries, entered for recovery of lead Waste and scrap of primary cells, primary batteries and electric storage batteries, not entered for recovery of lead Electrical parts of machinery or apparatus not specified or included elsewhere in chapter 85 Rail locomotives powered from an external source of electricity Rail locomotives powered by electric accumulators (batteries) Diesel-electric locomotives Rail locomotives (o/than diesel-electric), non-electric; locomotive tenders Self-propelled railway or tramway coaches, vans and trucks (o/than those of 8604), powered from an external source of electricity Self-propelled railway or tramway coaches, vans and trucks (o/than those of 8604), o/than powered from an external source of electricity Railway or tramway maintenance or service vehicles, whether or not self-propelled Railway or tramway passenger coaches and special purpose railway or tramway coaches, not self-propelled Railway or tramway tank cars and the like, not self-propelled Railway or tramway self-discharging freight cars (o/than tank cars or insulated/refrig.</w:t>
      </w:r>
    </w:p>
    <w:p>
      <w:pPr>
        <w:pStyle w:val="Normal"/>
        <w:widowControl/>
        <w:rPr/>
      </w:pPr>
      <w:r>
        <w:rPr/>
        <w:t>freight cars), not self-propelled Railway or tramway freight cars nesoi, closed and covered, not self-propelled Railway or tramway freight cars nesoi, open, with nonremovable sides of a height over 60 cm, not self-propelled Railway or tramway freight cars nesoi, not self-propelled Parts of railway/tramway locomotives/rolling stock, truck assemblies for self-propelled vehicles Parts of railway/tramway locomotives/rolling stock, truck assemblies for other than self- propelled vehicles Parts of railway/tramway locomotives/rolling stock, axles Parts of railway/tramway locomotives/rolling stock, parts of axles Parts of railway/tramway locomotives/rolling stock, wheels, whether or not fitted with axles Parts of railway/tramway locomotives/rolling stock, parts of wheels Parts of railway/tramway locomotives/rolling stock, parts of truck assemblies for non self-propelled passenger coaches or freight cars Parts of railway/tramway locomotives/rolling stock, parts of truck assemblies for self- propelled vehicles or for non-self propelled nesoi Parts of railway/tramway locomotives/rolling stock, air brakes &amp; parts thereof for non self-propelled passenger coaches or freight cars Parts of railway/tramway locomotives/rolling stock, air brakes &amp; parts thereof for self- propelled vehicles or non-self-propelled stock nesoi Parts of railway/tramway locomotives/rolling stock, pts of brakes (o/than air brakes) for non-self-propelled passenger coaches or freight Parts of railway/tramway</w:t>
      </w:r>
    </w:p>
    <w:p>
      <w:pPr>
        <w:pStyle w:val="Normal"/>
        <w:widowControl/>
        <w:rPr/>
      </w:pPr>
      <w:r>
        <w:rPr/>
        <w:t>locomotives/rolling stock, pts of brakes (o/th air brakes) for self-propelled vehicles or non-self-propelled nesoi Parts of railway/tramway locomotives/rolling stock, hooks and other coupling devices, buffers, pts thereof, for stock of 8605 or 8606 Parts of railway/tramway locomotives/rolling stock, hooks and other coupling devices, buffers, pts thereof, for stock of 8601 to 8605 Parts, nesoi, of railway/tramway locomotives Parts (o/than brake regulators) nesoi, of railway/tramway, non-self-propelled passenger coaches or freight cars Parts, nesoi, of railway or tramway rolling stock, nesoi Railway or tramway track fixtures and fittings; mechanical signaling, safety or traffic control equipment of all kinds nesoi;</w:t>
      </w:r>
    </w:p>
    <w:p>
      <w:pPr>
        <w:pStyle w:val="Normal"/>
        <w:widowControl/>
        <w:rPr/>
      </w:pPr>
      <w:r>
        <w:rPr/>
        <w:t>parts thereof Containers (including containers for transport of fluids) specially designed and equipped for carriage by one or more modes of transport Single axle tractors, other than tractors of 8709 Road tractors for semi-trailers Track-laying tractors, suitable for agricultural use Track-laying tractors, not suitable for agricultural use Other tractors of engine power &lt;18kW, for agricultural use Other tractors of engine power &lt;18kW, not for agricultural use Other tractors of engine power =&gt; 18kW but &lt; 37kW, for agricultural use Other tractors of engine power =&gt; 18kW but &lt; 37kW, not for agricultural use Other tractors of engine power =&gt; 37kW but &lt; 75kW, for agricultural use Other tractors of engine power =&gt; 37kW but &lt; 75kW, not for agricultural use Other tractors</w:t>
      </w:r>
    </w:p>
    <w:p>
      <w:pPr>
        <w:pStyle w:val="Normal"/>
        <w:widowControl/>
        <w:rPr/>
      </w:pPr>
      <w:r>
        <w:rPr/>
        <w:t>of engine power =&gt; 75kW but &lt; 130kW, for agricultural use Other tractors of engine power =&gt; 75kW but &lt; 130kW, not for agricultural use Other tractors of engine power &gt;130kW, for agricultural use Other tractors of engine power &gt;130kW, not for agricultural use Motor vehicles w/diesel engine, to transport 16 or more persons, incl driver Motor vehicles w/diesel engine, to transport 10 to 15 persons, incl driver Motor vehicles w/diesel engine &amp; electric motor, to transport 16 or more persons, incl driver Motor vehicles w/diesel engine &amp; electric motor, to transport 10 to 15 persons, incl driver Motor vehicles w/spark-ign. IC recip. piston engine &amp; electric motor, to transport 16 or more persons, incl driver Motor vehicles w/spark-ign.</w:t>
      </w:r>
    </w:p>
    <w:p>
      <w:pPr>
        <w:pStyle w:val="Normal"/>
        <w:widowControl/>
        <w:rPr/>
      </w:pPr>
      <w:r>
        <w:rPr/>
        <w:t>IC recip. piston engine &amp; electric motor, to transport 10 to 15 persons, incl driver Motor vehicles w/electric motor, to transport 16 or more persons, incl driver Motor vehicles w/electric motor, to transport 10 to 15 persons, incl driver Motor vehicles nesoi, to transport 16 or more persons, incl driver Motor vehicles nesoi, to transport 10 to 15 persons, incl driver Motor vehicles specially designed for traveling on snow Golf carts and similar motor vehicles Motor vehicles to transport persons, w/spark-ign. IC recip. piston engine, w/cyl capacity &lt;= 1, 000 cc Motor vehicles to transport persons, w/spark-ign. IC recip. piston engine, w/cyl capacity &gt; 1, 000cc but &lt;=1, 500cc Motor vehicles to transport persons, w/spark-ign. IC recip.</w:t>
      </w:r>
    </w:p>
    <w:p>
      <w:pPr>
        <w:pStyle w:val="Normal"/>
        <w:widowControl/>
        <w:rPr/>
      </w:pPr>
      <w:r>
        <w:rPr/>
        <w:t>piston engine, w/cyl capacity &gt;1, 500cc but &lt;=3, 000cc Motor vehicles to transport persons, w/spark-ign. IC recip. piston engine, w/cyl capacity &gt;3, 000cc Motor vehicles to transport persons, w/diesel engines, of a cylinder capacity &lt;= 1, 500cc Motor vehicles to transport persons, w/diesel engines, of a cylinder capacity &gt; 1, 500cc but &lt;= 2, 500cc Motor vehicles to transport persons, w/diesel engines, of a cylinder capacity &gt; 2, 500cc Motor vehicles to transport persons, w/spark-ign. IC recip. piston engine &amp; elec motor incapable of charge by plug to exetrnal source Motor vehicles to transport persons, w/diesel engine &amp; elec motor incapable of charge by plug to external source Motor vehicles to transport persons, w/spark-ign.</w:t>
      </w:r>
    </w:p>
    <w:p>
      <w:pPr>
        <w:pStyle w:val="Normal"/>
        <w:widowControl/>
        <w:rPr/>
      </w:pPr>
      <w:r>
        <w:rPr/>
        <w:t>IC recip. piston engine &amp; elec motor capable of charge by plug to external source Motor vehicles to transport persons, w/diesel engine &amp; elec motor capable of charge by plug to external source Motor vehicles to transport persons, w/electric motor for propulsion Motor vehicles to transport persons, nesoi Mtr. vehicles for transport of goods, cab chassis for dumpers designed for off-highway use Mtr. vehicles for transport of goods, complete dumpers designed for off-highway use Mtr. vehicles for transport of goods, w/compress.-ign. int. combust. recip. piston engine, w/G.V.W. not over 5 metric tons Mtr. vehicles for transport of goods, cab chassis, w/compress.-ign. int. combust. recip. piston engine, w/G.V.W. o/5 but n/o 20 metric tons Mtr. vehicl.</w:t>
      </w:r>
    </w:p>
    <w:p>
      <w:pPr>
        <w:pStyle w:val="Normal"/>
        <w:widowControl/>
        <w:rPr/>
      </w:pPr>
      <w:r>
        <w:rPr/>
        <w:t>for transport of goods (o/than cab chassis), w/compress.-ign. int. combust. recip. piston engine, w/G.V.W. o/5 but n/o 20 mtons Mtr. vehicles for transport of goods, w/compress.-ign. int. combust. recip. piston engine, w/G.V.W. over 20 metric tons Mtr. vehicles for transport of goods, w/spark.-ign. int. combust. recip. piston engine, w/G.V.W. not over 5 metric tons Mtr. vehicles for transport of goods, w/spark.-ign. int. combust. recip. piston engine, w/G.V.W. over 5 metric tons Mtr. vehicles for transport of goods, o/than w/compress. ign. or spark ign. recip. piston engine, nesoi Mtr. vehicles (o/than for transport of persons or of goods), mobile cranes Mtr. vehicles (o/than for transport of persons or of goods), mobile drilling derricks Mtr. vehicles (o/than for transport of persons or of goods), fire fighting vehicles Mtr. vehicles (o/than for transport of persons or of goods), concrete mixers Mtr. vehicles (o/than for transport of persons or of goods), special purpose motor vehicles nesoi Chassis fitted w/engines, for mtr. vehicles for transport of goods of 8704.21 or 8704.31 Chassis fitted w/engines, for mtr.</w:t>
      </w:r>
    </w:p>
    <w:p>
      <w:pPr>
        <w:pStyle w:val="Normal"/>
        <w:widowControl/>
        <w:rPr/>
      </w:pPr>
      <w:r>
        <w:rPr/>
        <w:t>vehicles of 8701.20, 8702, &amp; 8704 (except 8704.21 or 8704.31) Chassis fitted w/engines, for mtr. vehicles for transport of persons of 8703 Chassis fitted w/engines, for mtr. vehicles of heading 8705 Chassis fitted w/engines, for tractors suitable for agricultural use Chassis fitted w/engines, for tractors (o/than for agric.</w:t>
      </w:r>
    </w:p>
    <w:p>
      <w:pPr>
        <w:pStyle w:val="Normal"/>
        <w:widowControl/>
        <w:rPr/>
      </w:pPr>
      <w:r>
        <w:rPr/>
        <w:t>use) and other motor vehicles nesoi Bodies (including cabs), for mtr. vehicles for transport of persons of heading 8703 Bodies (including cabs), for tractors suitable for agricultural use Bodies (including cabs), for mtr. vehicles (o/than tract. for agri. use) of headings 8701 8705 (except 8703) Pts. &amp; access. for mtr vehicles of headings 8701 to 8705, bumpers Pts. &amp; access. of mtr. vehicles of headings 8701 to 8705, parts of bumpers Pts. &amp; access. of bodies for mtr. vehicles of headings 8701 to 8705, safety seat belts Pts. &amp; access. of bodies for mtr. vehicles of headings 8701 to 8705, door assemblies Body stampings for tractors suitable for agriculture Body stampings of motor vehicles, nesoi Pts. &amp; access. of bodies for mtr. vehicles of headings 8701 to 8705, nesoi Pts. &amp; access. of tractors suit. for agric. use, brakes and servo-brakes &amp; pts thereof Pts. &amp; access. of mtr. vehicles of 8701, nesoi, and 8702-8705, brakes and servo-brakes &amp; pts thereof Pts. &amp; access. of mtr. vehic. of 8701.20, 8702, 8703 or 8704, gear boxes Pts. &amp; access.</w:t>
      </w:r>
    </w:p>
    <w:p>
      <w:pPr>
        <w:pStyle w:val="Normal"/>
        <w:widowControl/>
        <w:rPr/>
      </w:pPr>
      <w:r>
        <w:rPr/>
        <w:t>of tractors suitable for agricultural use, gear boxes Pts. &amp; access. of mtr. vehic. of 8701, nesoi, and of 8705, gear boxes Pts. &amp; access. of tractors suitable for agricultural use, pts. for gear boxes Pts. &amp; access. of tractors (o/than road tractors or for agricultural use), pts. for gear boxes Parts of gear boxes of the motor vehicles of 8701-8705, of cast iron Pts. &amp; access. of motor vehicles of 8701, nesoi, and 8702-8705, pts.</w:t>
      </w:r>
    </w:p>
    <w:p>
      <w:pPr>
        <w:pStyle w:val="Normal"/>
        <w:widowControl/>
        <w:rPr/>
      </w:pPr>
      <w:r>
        <w:rPr/>
        <w:t>for gear boxes, nesoi Pts. &amp; access. of tractors suitable for agricultural use, drive axles w/differential (whether or not w/other transm. components) Pts. &amp; access. of tractors, other than road tractors or for agricultural use, drive axles w/differential (whether or not w/other transm. com Pts. &amp; access. of motor vehicles of 8703, drive axles w/differential (whether or not w/other transm. components) Pts. &amp; access. of mtr. vehic. of 8701, nesoi, 8702, and 8704-8705, drive axles w/different. (wheth or not w/oth transm components) Pts. &amp; access. of mtr. vehic. of 8701, nesoi, of 8702, and of 8704-8705, non-driving axles Pts. &amp; access. of tractors suitable for agricultural use, parts of drive axles w/different. (wheth or not w/oth transm components) Pts. &amp; access. of tractors, other than road tractors or for agricultural use, parts of drive axles w/different.</w:t>
      </w:r>
    </w:p>
    <w:p>
      <w:pPr>
        <w:pStyle w:val="Normal"/>
        <w:widowControl/>
        <w:rPr/>
      </w:pPr>
      <w:r>
        <w:rPr/>
        <w:t>(wheth or not w/oth transm c Pts. &amp; access. of mtr. vehic. for transp. of persons of 8703, parts of non-driving axles Pts. &amp; access. of motor vehicles of 8703, of cast iron nesoi Pts. &amp; access. of motor vehicles of 8703, half-shafts Pts. &amp; access. of motor vehicles of 8703, parts, nesoi, of drive axles w/different. (wheth or not w/oth transm components) Pts. &amp; access. of mtr. vehic. of 8701, nesoi, 8702 and 8704-8705, parts of non-driving axles Pts. &amp; access. of mtr. vehic. of 8701, nesoi, 8702 and 8704-8705, of cast iron nesoi Pts. &amp; access. of mtr. vehic. of 8701, nesoi, 8702 and 8704-8705, half-shafts Pts. &amp; access.</w:t>
      </w:r>
    </w:p>
    <w:p>
      <w:pPr>
        <w:pStyle w:val="Normal"/>
        <w:widowControl/>
        <w:rPr/>
      </w:pPr>
      <w:r>
        <w:rPr/>
        <w:t>of mtr. vehic. of 8701, nesoi, 8702 and 8704-8705, parts, nesoi, of drive axles w/different.</w:t>
      </w:r>
    </w:p>
    <w:p>
      <w:pPr>
        <w:pStyle w:val="Normal"/>
        <w:widowControl/>
        <w:rPr/>
      </w:pPr>
      <w:r>
        <w:rPr/>
        <w:t>(wheth or not w/oth transm compo Pts. &amp; access. of tractors suitable for agricultural use, road wheels Pts. &amp; access. of tractors suitable for agricultural use, pts. &amp; access. for road wheels Pts. &amp; access. of tractors (o/than road tractors or for agric. use), road wheels Pts. &amp; access. of tractors (o/than road tractors or for agric. use), pts. &amp; access. for road wheels Pts. &amp; access. of mtr. vehic. of 8701, nesoi, and of 8702-8705, road wheels Pts. &amp; access. of mtr. vehicc of 8701, nesoi, and of 8702-8705, pts. &amp; access. for road wheels Pts. &amp; access. of tractors suitable for agricultural use, McPherson struts Pts. &amp; access. of tractors suitable for agricultural use, suspension shock absorbers (o/than McPherson struts) Pts. &amp; access. of mtr. vehic. of 8701, nesoi, and of 8702-8705, McPherson struts Pts. &amp; access. of mtr. vehic. of 8701, nesoi, and of 8702-8705, suspension shock absorbers (o/than McPherson struts) Pts. &amp; access. of tractors suitable for agricultural use, pts. for suspension systems nesoi Pts. &amp; access.</w:t>
      </w:r>
    </w:p>
    <w:p>
      <w:pPr>
        <w:pStyle w:val="Normal"/>
        <w:widowControl/>
        <w:rPr/>
      </w:pPr>
      <w:r>
        <w:rPr/>
        <w:t>of tractors (o/than road tractors or for agricultural use), pts. for suspension systems nesoi Parts of suspension systems of the motor vehicles of 8701-8705, of cast iron Pts. &amp; access. of motor vehicles of 8701, nesoi, and 8702-8705, pts. for suspension systems nesoi Pts. &amp; access. of tractors suitable for agricultural use, radiators Pts. &amp; access. of mtr. vehic.</w:t>
      </w:r>
    </w:p>
    <w:p>
      <w:pPr>
        <w:pStyle w:val="Normal"/>
        <w:widowControl/>
        <w:rPr/>
      </w:pPr>
      <w:r>
        <w:rPr/>
        <w:t>of 8701, nesoi, and 8702-8705, radiators Pts. &amp; access., nesoi, of tractors suitable for agricultural use, parts of radiators Pts. &amp; access., nesoi, of tractors (o/than road tractors or suitable for agricultural use), parts of radiators Pts. &amp; access. of motor vehicles of 8701, nesoi, and 8702-8705, parts of radiators, of cast iron nesoi Pts. &amp; access., nesoi, of motor vehicles of 8701, nesoi, and 8702-8705, parts of radiators, nesoi Pts. &amp; access. of tractors suitable for agricultural use, mufflers &amp; exhaust pipes Pts. &amp; access. of mtr. vehic. of 8701, nesoi, and 8702-8705, mufflers &amp; exhaust pipes Pts. &amp; access., nesoi, of tractors suitable for agricultural use, parts of mufflers Pts. &amp; access., nesoi, of tractors (o/than road tractors or suitable for agricultural use), parts of mufflers Pts. &amp; access. of motor vehicles of 8701, nesoi, and 8702-8705, parts of mufflers, of cast iron nesoi Pts. &amp; access., nesoi, of motor vehicles of 8701, nesoi, and 8702-8705, parts of mufflers, nesoi Pts. &amp; access. of tractors suitable for agricultural use, clutches Pts. &amp; access.</w:t>
      </w:r>
    </w:p>
    <w:p>
      <w:pPr>
        <w:pStyle w:val="Normal"/>
        <w:widowControl/>
        <w:rPr/>
      </w:pPr>
      <w:r>
        <w:rPr/>
        <w:t>of tractors suitable for agricultural use, pts. of clutches Pts. &amp; access. of mtr. vehic. of 8701, nesoi, and 8702-8705, clutches Pts. &amp; access. of mtr. vehic. of 8701, nesoi, and 8702-8705, pts. of clutches Pts. &amp; access. of tractors suitable for agricultural use, steering wheels, steering columns and steering boxes Pts. &amp; access. of mtr. vehic.</w:t>
      </w:r>
    </w:p>
    <w:p>
      <w:pPr>
        <w:pStyle w:val="Normal"/>
        <w:widowControl/>
        <w:rPr/>
      </w:pPr>
      <w:r>
        <w:rPr/>
        <w:t>of 8701, nesoi, and 8702-8705, steering wheels, steering columns and steering boxes Pts. &amp; access., nesoi, of tractors suitable for agricultural use, parts of steering wheels/columns/boxes Pts. &amp; access., nesoi, of tractors (o/than road tractors or suitable for agricultural use), parts of steering wheels/columns/boxes Pts. &amp; access. of motor vehicles of 8701, nesoi, and 8702-8705, parts of steering wheels/columns/boxes, of cast iron nesoi Pts. &amp; access., nesoi, of motor vehicles of 8701, nesoi, and 8702-8705, parts of steering wheels/columns/boxes, nesoi Pts. &amp; access. of bodies for mtr. vehicles of headings 8701 to 8705, inflators &amp; modules for airbags Pts. &amp; access., nesoi, of tractors suitable for agricultural use, parts of safety airbags with inflater system Pts. &amp; access., nesoi, of tractors (o/than road tractors or suitable for agricultural use), parts of safety airbags with inflater system Pts. &amp; access. of motor vehicles of 8701, nesoi, and 8702-8705, parts of safety airbags with inflater system Pts. &amp; access. of tractors suitable for agricultural use, vibration control goods containing rubber Pts. &amp; access.</w:t>
      </w:r>
    </w:p>
    <w:p>
      <w:pPr>
        <w:pStyle w:val="Normal"/>
        <w:widowControl/>
        <w:rPr/>
      </w:pPr>
      <w:r>
        <w:rPr/>
        <w:t>of tractors suitable for agricultural use, double flanged wheel hub units w/ball bearings Pts. &amp; access. of tractors suitable for agricultural use, pts. for power trains nesoi Pts. &amp; access., nesoi, of tractors suitable for agricultural use Pts. &amp; access. of tractors (o/than road tractors or for agricultural use), vibration control goods containing rubber Pts.</w:t>
      </w:r>
    </w:p>
    <w:p>
      <w:pPr>
        <w:pStyle w:val="Normal"/>
        <w:widowControl/>
        <w:rPr/>
      </w:pPr>
      <w:r>
        <w:rPr/>
        <w:t>&amp; access. of tractors (o/than road tractors or for agricultural use), double flanged wheel hub units w/ball bearings Pts. &amp; access. of tractors (o/than road tractors or for agricultural use), pts. for power trains nesoi Pts. &amp; access., nesoi, of tractors (o/than road tractors or suitable for agricultural use) Parts &amp; accessories of motor vehicles of 8701-8705, nesoi, of cast iron Pts. &amp; access. of motor vehicles of 8701, nesoi, and 8702-8705, vibration control goods containing rubber Pts. &amp; access. of motor vehicles of 8701, nesoi, and 8702-8705, double flanged wheel hub units w/ball bearings Pts. &amp; access. of motor vehicles of 8701, nesoi, and 8702-8705, pts. for power trains nesoi Pts. &amp; access., nesoi, of motor vehicles of 8701, nesoi, and 8702-8705 Electrical, self-propelled, works trucks, not fitted w/lift. equip. and tractors of type used on railway station platforms Non-electrical, self-propelled, works trucks, not fitted w/lift. equip. and tractors of type used on railway station platforms Parts of self-propelled works trucks, not fitted w/lift. equip.</w:t>
      </w:r>
    </w:p>
    <w:p>
      <w:pPr>
        <w:pStyle w:val="Normal"/>
        <w:widowControl/>
        <w:rPr/>
      </w:pPr>
      <w:r>
        <w:rPr/>
        <w:t>and tractors of the type used on railway station platforms Tanks &amp; other armored fighting vehicles, motorized, whether or not fitted with weapons, and parts of such vehicles Motorcycles (incl. mopeds) and cycles, fitted w/recip. internal-combustion piston engine w/capacity n/o 50 cc Motorcycles (incl. mopeds) and cycles, fitted w/recip.</w:t>
      </w:r>
    </w:p>
    <w:p>
      <w:pPr>
        <w:pStyle w:val="Normal"/>
        <w:widowControl/>
        <w:rPr/>
      </w:pPr>
      <w:r>
        <w:rPr/>
        <w:t>internal-combustion piston engine w/capacity o/50 but n/o 250 cc Motorcycles (incl. mopeds) and cycles, fitted w/recip. internal-combustion piston engine w/capacity o/250 but n/o 500 cc Motorcycles (incl. mopeds) and cycles, fitted w/recip. internal-combustion piston engine w/capacity o/500 cc but n/o 700 cc Motorcycles (incl. mopeds) and cycles, fitted w/recip. internal-combustion piston engine w/capacity o/700 cc but n/o 800 cc Motorcycles (incl. mopeds) and cycles, fitted w/recip. internal-combustion piston engine w/capacity o/800 cc Motorcycles (incl. mopeds) and cycles, w/electric motor for propulsion Motorcycles (incl. mopeds) and cycles, nesoi Bicycles, not motorized, w/both wheels not over 63.5 cm in diameter Bicycles, not motorized, w/both wheels o/63.5 cm in diam., weighing under 16.3 kg &amp; not design. for tires w/x-sect. diam. o/4.13cm Bicycles, not motorized, w/both wheels o/63.5 cm in diam., weighing 16.3 kg or more, and/or for use w/tires w/x-sect. diam. o/4.13 cm Bicycles, n/motor., w/front wheel diam. o/55 cm but n/o 63.5 cm &amp; rear wheel diam.</w:t>
      </w:r>
    </w:p>
    <w:p>
      <w:pPr>
        <w:pStyle w:val="Normal"/>
        <w:widowControl/>
        <w:rPr/>
      </w:pPr>
      <w:r>
        <w:rPr/>
        <w:t>o/63.5 cm in diam., &amp; wt &lt;16.3 kg w/o acces., value $200+ Bicycles, n/motor., w/front wheel w/diameter different than rear wheel diam., nesoi Cycles (o/than bicycles) (including delivery tricycles), not motorized Invalid carriages, not mechanically propelled Invalid carriages, motorized or otherwise mechanically propelled Pts. &amp; access. for motorcycles (including mopeds) Pts. &amp; access. for invalid carriages Pts.</w:t>
      </w:r>
    </w:p>
    <w:p>
      <w:pPr>
        <w:pStyle w:val="Normal"/>
        <w:widowControl/>
        <w:rPr/>
      </w:pPr>
      <w:r>
        <w:rPr/>
        <w:t>&amp; access. for bicycles &amp; o/cycles, frames, valued over $600 each Pts. &amp; access. for bicycles &amp; o/cycles, frames, valued at $600 or less each Pts. &amp; access. for bicycles, sets of steel tubing cut to exact length for the assembly (w/other pts) into the frame &amp; fork of one bicycle Pts. &amp; access. for bicycles &amp; o/cycles, forks, nesoi and pts of frames, nesoi and pts. of forks Pts. &amp; access. for bicycles &amp; o/cycles, wheel rims Pts. &amp; access. for bicycles &amp; o/cycles, wheel spokes Pts. &amp; access. for bicycles &amp; o/cycles, aluminum alloy hubs, w/hollow axle and lever- operated quick release mechanism Pts. &amp; access. for bicycles &amp; o/cycles, 3-speed hubs nesoi Pts. &amp; access. for bicycles &amp; o/cycles, 2-speed hubs, w/internal gear changing mechanisms, nesoi Pts. &amp; access. for bicycles &amp; o/cycles, variable speed hubs, w/internal gear changing mechanisms, nesoi Pts. &amp; access. for bicycles &amp; o/cycles, non-variable speed hubs, nesoi Pts. &amp; access. for bicycles &amp; o/cycles, free-wheel sprocket-wheels Pts. &amp; access. for bicycles &amp; o/cycles, brakes (o/than hub brakes) and parts thereof Pts.</w:t>
      </w:r>
    </w:p>
    <w:p>
      <w:pPr>
        <w:pStyle w:val="Normal"/>
        <w:widowControl/>
        <w:rPr/>
      </w:pPr>
      <w:r>
        <w:rPr/>
        <w:t>&amp; access. for bicycles &amp; o/cycles, brakes and parts thereof, nesoi Pts. &amp; access. for bicycles &amp; o/cycles, saddles Pts. &amp; access. for bicycles &amp; o/cycles, pedals and parts thereof Pts. &amp; access. for bicycles &amp; o/cycles, cotterless-type crank sets and parts thereof Pts. &amp; access. for bicycles &amp; o/cycles, crank-gear nesoi and parts thereof Pts. &amp; access.</w:t>
      </w:r>
    </w:p>
    <w:p>
      <w:pPr>
        <w:pStyle w:val="Normal"/>
        <w:widowControl/>
        <w:rPr/>
      </w:pPr>
      <w:r>
        <w:rPr/>
        <w:t>for bicycles &amp; o/cycles, click twist grips and click stick levers Pts. &amp; access. for bicycles &amp; o/cycles, derailleurs and parts thereof Pts. &amp; accs. for bicycles &amp; o/cycl., trigger &amp; twist grip cntrls for 3-spd hubs, alum. handlebar stems &gt;$2.15 ea, &amp; stem rotor assys. &amp; pts.</w:t>
      </w:r>
    </w:p>
    <w:p>
      <w:pPr>
        <w:pStyle w:val="Normal"/>
        <w:widowControl/>
        <w:rPr/>
      </w:pPr>
      <w:r>
        <w:rPr/>
        <w:t>Pts. &amp; access. nesoi, for bicycles and other cycles of heading 8712 Baby carriages (including strollers) and parts thereof Trailers &amp; semi-trailers, not mech. propelled, for housing or camping Self-loading or self-unloading trailers and semi-trailers, not mech. propelled, for agricultural purposes Tanker trailers and tanker semi-trailers, not mech. propelled, for the transport of goods Trailers and semi-trailers, not mech. propelled, nesoi, for the transport of goods Trailers and semi-trailers, not mechanically propelled, nesoi Farm wagons and carts, not mechanically propelled Vehicles, not mechanically propelled, nesoi Parts of farm wagons and carts Parts of vehicles, not mechanically propelled, castors (o/than castors of heading 8302) Parts of trailers and semi-trailers and vehicles, not mechanically propelled, nesoi Balloons, dirigibles and non-powered aircraft, gliders and hang gliders Helicopters, with an unladen weight not over 2,000 kg Helicopters, with an unladen weight over 2,000 kg Airplanes and other powered aircraft, nesoi, with an unladen weight not over 2,000 kg Airplanes and other powered aircraft, nesoi, with an unladen weight over 2,000 kg but not over 15,000 kg Airplanes and other</w:t>
      </w:r>
    </w:p>
    <w:p>
      <w:pPr>
        <w:pStyle w:val="Normal"/>
        <w:widowControl/>
        <w:rPr/>
      </w:pPr>
      <w:r>
        <w:rPr/>
        <w:t>powered aircraft, nesoi, with an unladen weight over 15,000 kg Communication satellites Spacecraft, including satellites (o/than communication satellites), and suborbital and spacecraft launch vehicles Parts of airplanes and other aircraft, propellers and rotors and parts thereof Parts of airplanes and other aircraft, undercarriages and parts thereof Parts of airplanes and helicopters, nesoi Parts of communication satellites Parts of aircraft (o/than airplanes and helicopters), spacecraft (o/than comm. satell.) and suborbital and launch vehicles, nesoi Parachutes (including dirigible parachutes) and rotochutes; parts &amp; access. thereof Aircraft launching gear and parts thereof; deck-arrestors or similar gear and parts thereof Air combat ground flying simulators and parts thereof Ground flying trainers and parts thereof, other than air combat simulators Vessels, designed for the transport of persons, cruise ships, excursion boats and similar vessels; ferry boats of all kinds Vessels, designed for the transport of goods, tankers Vessels, designed for the transport of goods, refrigerated vessels (o/than tankers) Vessels, designed for the transport of goods or for the transport of both persons and goods, nesoi Vessels, fishing;</w:t>
      </w:r>
    </w:p>
    <w:p>
      <w:pPr>
        <w:pStyle w:val="Normal"/>
        <w:widowControl/>
        <w:rPr/>
      </w:pPr>
      <w:r>
        <w:rPr/>
        <w:t>factory ships and other vessels for processing or preserving fishery products Vessels, inflatable, for pleasure or sports Vessels, sailboats, with or without auxiliary motor, for pleasure or sports Vessels, motorboats (o/than outboard motorboats), for</w:t>
      </w:r>
    </w:p>
    <w:p>
      <w:pPr>
        <w:pStyle w:val="Normal"/>
        <w:widowControl/>
        <w:rPr/>
      </w:pPr>
      <w:r>
        <w:rPr/>
        <w:t>pleasure or sports Vessels, canoes, not of a type designed to be principally used with motor or sails Vessels, row boats, not of a type to be principally used with motors or sails Vessels, outboard motorboats, for pleasure or sports Vessels, yachts and other vessels for pleasure or sports, nesoi Vessels, tugs and pusher craft Vessels, dredgers Floating or submersible drilling or production platforms Floating docks Vessels, light-vessels, fire-floats, floating cranes, &amp; other vessels nesoi, the navigability of which is subsidiary to their main function Warships Vessels (including lifeboats other than row boats), nesoi Inflatable rafts (o/than used for pleasure or sports of</w:t>
      </w:r>
    </w:p>
    <w:p>
      <w:pPr>
        <w:pStyle w:val="Normal"/>
        <w:widowControl/>
        <w:rPr/>
      </w:pPr>
      <w:r>
        <w:rPr/>
        <w:t>8901.10) Floating structures nesoi (for example, rafts, other than inflatable rafts, tanks, cofferdams, landing stages, buoys and beacons) Vessels and other floating structures for breaking up (scrapping) Optical fibers, optical fiber bundles and cables, other than those of heading 8544 Sheets and plates of polarizing material Contact lenses Spectacle lenses of glass, unmounted Spectacle lenses of materials other than glass, unmounted Lenses nesi, unmounted Prisms, unmounted Mirrors, unmounted Half-tone screens designed for use in engraving or photographic processes, unmounted Optical elements nesi, unmounted Projection lenses, mounted, and parts and accessories therefor, for cameras, projectors or photographic enlargers or reducers Mounted objective lenses for use in closed circuit television cameras,</w:t>
      </w:r>
    </w:p>
    <w:p>
      <w:pPr>
        <w:pStyle w:val="Normal"/>
        <w:widowControl/>
        <w:rPr/>
      </w:pPr>
      <w:r>
        <w:rPr/>
        <w:t>seperately imported, w/ or w/o attached elec. connectors or motors Objective lenses and parts &amp; access. thereof, for cameras, projectors, or photographic enlargers or reducers, except projection, nesi Objective lenses, mounted, and parts and accessories therefor, other than for cameras, projectors or photographic enlargers or reducers Photographic filters, mounted, and parts and accessories therefor Filters, mounted, and parts and accessories therefor, for optical uses other than photographic Prisms, mounted, for optical uses Mirrors, mounted, for optical uses Half-tone screens, mounted, designed for use in engraving or photographic processes Mounted lenses, n/obj., for use in closed circuit television cameras, seperately imported, w/ or w/o attached elec. connectors or motors Mounted optical elements, nesi;</w:t>
      </w:r>
    </w:p>
    <w:p>
      <w:pPr>
        <w:pStyle w:val="Normal"/>
        <w:widowControl/>
        <w:rPr/>
      </w:pPr>
      <w:r>
        <w:rPr/>
        <w:t>parts and accessories of mounted optical elements, nesi Frames and mountings, of plastics, for spectacles, goggles or the like Frames and mountings, other than of plastics, for spectacles, goggles or the like Parts of frames and mountings for spectacles, goggles or the like Sunglasses, corrective, protective or other Spectacles, goggles and the like, corrective, protective or other, other than sunglasses Binoculars Optical telescopes, including monoculars Monoculars and astronomical instruments other than binoculars and optical telescopes but not including instruments for radio-astronomy Parts and accessories, for binoculars, monoculars, optical telescopes, or</w:t>
      </w:r>
    </w:p>
    <w:p>
      <w:pPr>
        <w:pStyle w:val="Normal"/>
        <w:widowControl/>
        <w:rPr/>
      </w:pPr>
      <w:r>
        <w:rPr/>
        <w:t>astronomical instruments, incorp.</w:t>
      </w:r>
    </w:p>
    <w:p>
      <w:pPr>
        <w:pStyle w:val="Normal"/>
        <w:widowControl/>
        <w:rPr/>
      </w:pPr>
      <w:r>
        <w:rPr/>
        <w:t>good or 9001 or 9002 Parts and accessories, including mountings, for binoculars, monoculars, other optical telescopes, and other astronomical instruments, nesi Photographic cameras for underwater, aerial, medical, surgical, forensic or criminological purposes, not cinematographic Fixed focus instant print cameras Instant print cameras, other than fixed focus, valued not over $10 each Instant print cameras, other than fixed focus, valued over $10 each Cameras with through-the-lens viewfinder, for roll film of a width not exceeding 35 mm, not cinematographic Fixed focus, hand held, 110 cameras Fixed focus, hand held cameras, other than 110 cameras, for roll film of a width less than 35 mm, not cinematographic Fixed focus cameras nesi, for roll film of a width less than 35 mm, not cinematographic Cameras, other than fixed focus, nesi, for roll film of a width less than 35 mm, valued not over $10 each, not cinematographic Cameras, other than fixed focus, nesi, for roll film of a width less than 35 mm, valued over $10 each, not cinematographic Cameras nesi, for roll</w:t>
      </w:r>
    </w:p>
    <w:p>
      <w:pPr>
        <w:pStyle w:val="Normal"/>
        <w:widowControl/>
        <w:rPr/>
      </w:pPr>
      <w:r>
        <w:rPr/>
        <w:t>film of a width of 35 mm, not cinematographic Cameras of a kind used for preparing printing plates or cylinders Fixed focus cameras, nesi, not cinematographic Cameras nesi, other than fixed focus, valued not over $10 each, not cinematographic Photographic cameras, other than fixed focus, valued over $10 each, nesi Photographic discharge lamp (“electronic”) flashlight apparatus</w:t>
      </w:r>
    </w:p>
    <w:p>
      <w:pPr>
        <w:pStyle w:val="Normal"/>
        <w:widowControl/>
        <w:rPr/>
      </w:pPr>
      <w:r>
        <w:rPr/>
        <w:t>Photographic flashlight apparatus, nesi Parts and accessories for photographic cameras, not cinematographic Parts and accessories for photographic flashlight apparatus and flashbulbs Cinematographic cameras Cinematographic projectors for film &lt; 16 mm, w/sound recording and reproducing systems and those for projecting only sound motion pictures Cinematographic projectors for film of less than 16 mm, nesoi Cinematographic projectors for film = or &gt; 16 mm, w/sound recording &amp; reproducing systems &amp; those for projecting only sound motion pictures Cinematographic projectors for film of 16 mm or greater, nesoi Parts for cinematographic cameras Accessories for cinematographic cameras Parts and accessories for cinematographic projectors Slide projectors Microfilm, microfiche or other microform readers, capable of producing copies Microfilm, microfiche or other microform readers, other than those capable of producing copies Image projectors, except slide projectors and microfilm, microfiche or other microform readers Photographic (other than cinematographic) enlargers and reducers Parts and accessories of image projectors, other than cinematographic Parts and accessories of photographic (other than cinematographic) enlargers and reducers Apparatus &amp; equipment for auto.</w:t>
      </w:r>
    </w:p>
    <w:p>
      <w:pPr>
        <w:pStyle w:val="Normal"/>
        <w:widowControl/>
        <w:rPr/>
      </w:pPr>
      <w:r>
        <w:rPr/>
        <w:t>developing photographic film/paper in rolls or exposing developed film to rolls of photographic paper Contact printers for photographic laboratories Developing tanks for photographic laboratories Editors and combination editor-splicers, for cinematographic film, containing an optical lens or designed to contain such a lens Photographic film viewers, titlers, splicers and editors, and combinations thereof, containing or designed to contain an optical lens, nesoi Photographic film viewers, titlers, splicers and editors, and combinations thereof, not containing or designed to contain an optical lens Apparatus and equipment for photographic (including cinematographic) laboratories, nesoi; negatoscopes Projection screens Parts and accessories of articles of subheading 9010.50 &amp; 9010.60 Other parts &amp; accessories for apparatus &amp; equipment for photographic (incl.</w:t>
      </w:r>
    </w:p>
    <w:p>
      <w:pPr>
        <w:pStyle w:val="Normal"/>
        <w:widowControl/>
        <w:rPr/>
      </w:pPr>
      <w:r>
        <w:rPr/>
        <w:t>cinematographic) labs, nesoi, negatoscopes, &amp; projection screens Stereoscopic microscopes, provided with a means for photographing the image Stereoscopic microscopes, other than those provided with a means for photographing the image Microscopes for microphotography, microcinematography or microprojection, provided with a means for photographing the image Microscopes for microphotography, microcinematography or microprojection, not provided with a means for photographing the image Compound optical microscopes other than stereoscopic or those for microphotography, microcinematography or microprojection Parts and accessories for compound optical microscopes, including those for microphotography, microcinematography or microprojection Microscopes other than optical microscopes; diffraction apparatus Parts and accessories for microscopes other than optical microscopes, and for diffraction apparatus Telescopic sights for rifles not designed for use with infrared light Telescopic sights for rifles designed for use with infrared light Telescopes as parts of machines, appliances, etc.</w:t>
      </w:r>
    </w:p>
    <w:p>
      <w:pPr>
        <w:pStyle w:val="Normal"/>
        <w:widowControl/>
        <w:rPr/>
      </w:pPr>
      <w:r>
        <w:rPr/>
        <w:t>of chapter 90 or section XVI Other telescopic sights for arms other than rifles; periscopes Lasers, other than laser diodes Hand magnifiers, magnifying glasses, loupes, thread counters and similar apparatus nesi Door viewers (door eyes) Liquid crystal and other optical flat panel displays other than for articles of heading 8528, nesoi Liquid crystal devices nesoi, and optical appliances and instruments, nesoi Parts and accessories of telescopic sights for rifles Parts and accessories of flat panel displays other than for articles of heading 8528 Parts and accessories other than for telescopic sights for fitting to arms or for periscopes Parts and accessories of liquid crystal devices nesoi, and optical appliances and instruments, nesoi Optical direction finding compasses Gyroscopic directing finding compasses, other than electrical Electrical direction finding compasses Direction finding compasses, other than optical instruments, gyroscopic compasses or electrical Optical instruments and appliances (other than compasses) for aeronautical or space navigation Automatic pilots for aeronautical or space navigation Electrical instruments and appliances (other than compasses) for aeronautical or space navigation Nonelectrical instruments and appliances (other than compasses) for aeronautical or space navigation Optical navigational instruments, nesi Ships’ logs and depth-sounding apparatus Electrical navigational instruments and appliances, nesi Nonelectrical navigational</w:t>
      </w:r>
    </w:p>
    <w:p>
      <w:pPr>
        <w:pStyle w:val="Normal"/>
        <w:widowControl/>
        <w:rPr/>
      </w:pPr>
      <w:r>
        <w:rPr/>
        <w:t>instruments and appliances, nesi Parts and accessories of automatic pilots for aeronautical or space navigation of subheading 9014.20.40 Parts and accessories of nonelectrical instruments and appliances for aeronautical or space navigation of subheading 9014.20.80 Parts and accessories of nonelectrical navigational instruments and appliances nesi of subheading 9014.80.50 Parts and accessories of navigational instruments and appliances, nesi Electrical rangefinders Rangefinders, other than electrical Electrical theodolites and tachymeters Theodolites and tachymeters, other than electrical Electrical levels Levels, other than electrical Electrical photogrammetrical surveying instruments and appliances Photogrammetrical surveying instruments and appliances, other than electrical Optical surveying, hydrographic, oceanographic, hydrological, meteorological or geophysical instruments and appliances, nesi Seismographs Surveying, hydrographic, oceanographic, hydrological, meteorological or geophysical instruments and appliances, nesi, nonoptical Parts and accessories of 9015 Electrical balances of a sensitivity of 5 cg or better, with or without weights, and parts and accessories thereof Jewelers’ balances (nonelectrical) of a sensitivity of 5 cg or better, with or without weights, and parts and accessories thereof Balances (nonelectrical) of a sensitivity of 5 cg or better, other than jewelers’, balances, and parts and accessories thereof Drafting plotters, whether or not automatic</w:t>
      </w:r>
    </w:p>
    <w:p>
      <w:pPr>
        <w:pStyle w:val="Normal"/>
        <w:widowControl/>
        <w:rPr/>
      </w:pPr>
      <w:r>
        <w:rPr/>
        <w:t>Drafting tables and machines, whether or not automatic, nesoi Disc calculators, slide rules and other mathematical calculating instruments Other drawing, marking-out or mathematical plotters, nesoi Other drawing, marking-out or mathematical calculating instruments, nesoi Micrometers and calipers, for use in the hand Gauges for measuring length, for use in the hand Instruments for measuring length, for use in the hand, nesi (for example, measuring rods and tapes) Parts and accessories for drawing, marking-out or mathematical calculating instruments, and for hand-held instruments for measuring length Electrocardiographs Printed circuit assemblies for electrocardiographs Parts and accessories of electrocardiographs, other than printed circuit assemblies Ultrasonic scanning electro-diagnostic apparatus used in medical, surgical, dental or veterinary sciences Magnetic resonance imaging electro-diagnostic apparatus used in medical, surgical, dental or veterinary sciences Scintigraphic electro-diagnostic apparatus used in medical, surgical, dental or veterinary sciences Electro-diagnostic apparatus for functional exploratory examination, and parts and accessories thereof Electro-diagnostic patient monitoring systems Printed circuit assemblies for electro-diagnostic parameter acquisition modules Electro-diagnostic apparatus nesi, and parts and accessories thereof nesi Ultraviolet or infrared ray apparatus used in medical, surgical, dental or veterinary sciences, and parts and</w:t>
      </w:r>
    </w:p>
    <w:p>
      <w:pPr>
        <w:pStyle w:val="Normal"/>
        <w:widowControl/>
        <w:rPr/>
      </w:pPr>
      <w:r>
        <w:rPr/>
        <w:t>accessories thereof Syringes, with or without their needles; parts and accessories thereof Tubular metal needles and needles for sutures, used in medical, surgical, dental or veterinary sciences, and parts and accessories thereof Catheters, cannulae and the like nesi, used in medical, surgical, dental or veterinary sciences, and parts and accessories thereof Dental drill engines, whether or not combined on a single base with other dental equipment, and parts and accessories thereof Dental burs Instruments and apparatus used in dental sciences, nesi, and parts and accessories thereof Ophthalmic instruments and appliances nesi, and parts and accessories thereof Mirrors and reflectors used in medical, surgical, dental or veterinary sciences, and parts and accessories thereof Optical instruments and appliances nesi, used in medical, surgical, dental or veterinary sciences, and parts and accessories thereof Anesthetic instruments and appliances nesi, used in medical, surgical, dental or veterinary sciences, and parts and accessories thereof Percussion hammers, stethescopes, and parts of stethescopes used in medical, surgical, dental or veterinary sciences Sphygmomanometers, tensimeters and oscillometers used in medical, surgical, dental or veterinary sciences; parts and accessories thereof Electro-surgical instruments and appliances nesi, other than extracorporeal shock wave lithotripters and parts and accessories thereof Defibrillators Printed circuit assemblies for</w:t>
      </w:r>
    </w:p>
    <w:p>
      <w:pPr>
        <w:pStyle w:val="Normal"/>
        <w:widowControl/>
        <w:rPr/>
      </w:pPr>
      <w:r>
        <w:rPr/>
        <w:t>defibrillators Electro-medical instruments and appliances nesi, and parts and accessories thereof Instruments and appliances used in medical, surgical, dental or veterinary sciences, nesi, and parts and accessories thereof Mechano-therapy appliances and massage apparatus, and parts and accessories thereof Electrical psychological aptitude testing apparatus and parts and accessories thereof Psychological aptitude testing apparatus, other than electrical, and parts and accessories thereof Ozone, oxygen and aerosol therapy, artificial respiration or other therapeutic respiration apparatus, and parts and accessories thereof Underwater breathing devices designed as a complete unit to be carried on the person &amp; not requiring attendants, parts &amp; accessories thereof Breathing appliances, nesi, &amp; gas masks, excl.</w:t>
      </w:r>
    </w:p>
    <w:p>
      <w:pPr>
        <w:pStyle w:val="Normal"/>
        <w:widowControl/>
        <w:rPr/>
      </w:pPr>
      <w:r>
        <w:rPr/>
        <w:t>protective masks having neither mechanical parts/replaceable filters, parts, accessories of Parts and accessories of breathing appliances and gas masks, nesi Orthopedic or fracture appliances, and parts and accessories thereof Artificial teeth and parts and accessories thereof, of plastics Artificial teeth and parts and accessories thereof, other than of plastics Dental fittings and parts and accessories thereof, of plastics Dental fittings and parts and accessories thereof, other than of plastics Artificial joints and parts and accessories thereof Artificial parts of the body (other than artificial joints) and parts and accessories thereof, nesoi Hearing aids, excluding parts and accessories thereof Pacemakers for stimulating heart muscles, excluding parts and accessories thereof Parts and accessories for hearing aids and for pacemakers for stimulating heart muscles Appliances nesi which are worn or carried, or implanted in the body, to compensate for a defect or disability, and parts and accessories Computed tomography apparatus based on the use of X-rays Apparatus based on the use of X-rays for dental uses (other than computed tomography apparatus) Apparatus based</w:t>
      </w:r>
    </w:p>
    <w:p>
      <w:pPr>
        <w:pStyle w:val="Normal"/>
        <w:widowControl/>
        <w:rPr/>
      </w:pPr>
      <w:r>
        <w:rPr/>
        <w:t>on the use of X-rays for medical, surgical or veterinary uses (other than computed tomography apparatus) Apparatus based on the use of X-rays other than for medical, surgical, dental or veterinary use Apparatus based on the use of alpha, beta or gamma radiations, for medical, surgical, dental or veterinary use</w:t>
      </w:r>
    </w:p>
    <w:p>
      <w:pPr>
        <w:pStyle w:val="Normal"/>
        <w:widowControl/>
        <w:rPr/>
      </w:pPr>
      <w:r>
        <w:rPr/>
        <w:t>Smoke detectors, ionization type Apparatus based on the use of alpha, beta or gama radiations, other than for medical, surgical, dental or veterinary use, nesi X-ray tubes Radiation generator units Radiation beam delivery units X-ray generators, high tension generators, desks, screens, examination or treatment tables, chairs and similar apparatus, nesi Parts and accessories of X-ray tubes Parts and accessories of apparatus based on the use of X-rays Parts and accessories of ionization type smoke detectors Parts and accessories of apparatus based on the use of alpha, beta or gamma radiations Instruments, apparatus and models, designed for demonstrational purposes, unsuitable for other uses, and parts and accessories thereof Machines and appliances for testing the mechanical properties of metals Machines and appliances for testing the mechanical properties of materials other than metals Parts and accessories of machines and appliances for testing the hardness, strength, compressibility, or other properties of materials Clinical thermometers, liquid-filled, for direct reading, not combined with other instruments Liquid-filled thermometers, for direct reading, not combined with other instruments, other than clinical thermometers Pyrometers, not combined with other instruments Thermometers, for direct reading, not combined with other instruments, other than liquid-filled thermometers Electrical:</w:t>
      </w:r>
    </w:p>
    <w:p>
      <w:pPr>
        <w:pStyle w:val="Normal"/>
        <w:widowControl/>
        <w:rPr/>
      </w:pPr>
      <w:r>
        <w:rPr/>
        <w:t>hydrometers &amp; sim. floating instr., hygrometers, psychometers, &amp; any comb.</w:t>
      </w:r>
    </w:p>
    <w:p>
      <w:pPr>
        <w:pStyle w:val="Normal"/>
        <w:widowControl/>
        <w:rPr/>
      </w:pPr>
      <w:r>
        <w:rPr/>
        <w:t>with or w/o thermometers, pyrometers, &amp; barometers Nonelectrical barometers, not combined with other instruments Hydrometers and similar floating instruments, whether or not incorporating a thermometer, non-recording, other than electrical Hygrometers and psychrometers, non-electrical, non-recording Thermographs, barographs, hygrographs and other recording instruments, other than electrical Combinations of thermometers, barometers and similar temperature and atmosphere measuring and recording instruments, nonelectrical Other parts &amp; accessories of hydrometers &amp; like floating instruments, thermometers,pyrometers,barometers,hygrometers,psychrometers &amp; combinations Electrical instruments and apparatus for measuring or checking the flow or level of liquids Flow meters, other than electrical, for measuring or checking the flow of liquids Instruments and apparatus for measuring or checking the level of liquids, other than flow meters, non-electrical Electrical instruments and apparatus for measuring or checking the pressure of liquids or gases Instruments and apparatus, other than electrical, for measuring or checking the pressure of liquids or gases Electrical instruments and apparatus for measuring or checking variables of liquids or gases, nesi Nonelectrical heat meters incorporating liquid supply meters, and anemometers Nonelectrical instruments and apparatus for measuring or checking variables of liquids or gases, nesi Parts and accessories of electrical instruments and</w:t>
      </w:r>
    </w:p>
    <w:p>
      <w:pPr>
        <w:pStyle w:val="Normal"/>
        <w:widowControl/>
        <w:rPr/>
      </w:pPr>
      <w:r>
        <w:rPr/>
        <w:t>apparatus for measuring or checking variables of liquids or gases Parts and accessories of nonelectrical flow meters, heat meters incorporating liquid supply meters and anemometers Parts and accessories of nonelectrical instruments and apparatus for measuring or checking variables of liquids or gases, nesi Electrical gas or smoke analysis apparatus Nonelectrical optical instruments and apparatus for gas or smoke analysis Nonelectrical gas or smoke analysis apparatus, other than optical instruments and apparatus Electrical chromatographs and electrical electrophoresis instruments Nonelectrical chromatographs Electrical spectrometers, spectrophotometers and spectrographs using optical radiations (ultraviolet, visible, infrared) Nonelectrical spectrometers, spectrophotometers and spectrographs using optical radiations (ultraviolet, visible, infrared) Exposure meters Electrical instruments and apparatus using optical radiations (ultraviolet, visible, infrared), nesi Nonelectrical instruments and apparatus using optical radiations (ultraviolet, visible, infrared), nesi Nuclear magnetic resonance instruments Electrical instruments and apparatus for physical or chemical analysis, measuring viscosity, checking heat, sound, light, etc., nesi Nonelectrical instruments and apparatus for physical or chemical analysis, measuring viscosity, checking heat, sound or light, nesi Microtomes Printed circuit assemblies for instruments and apparatus of subheading 9027.80 Parts and accessories of</w:t>
      </w:r>
    </w:p>
    <w:p>
      <w:pPr>
        <w:pStyle w:val="Normal"/>
        <w:widowControl/>
        <w:rPr/>
      </w:pPr>
      <w:r>
        <w:rPr/>
        <w:t>electrophoresis instruments not incorporating an optical or other measuring device Parts and accessories of electrical instruments and apparatus of subheading 9027.20, 9027.30, 9027.50 or 9027.80 Other parts and accessories of other electrical instruments and apparatus of heading 9027, nesoi Parts and accessories of nonelectrical optical instruments and apparatus of subheading 9027.20, 9027.30, 9027.40, 9027.50 or 9027.80 Parts and accessories of nonelectrical optical instruments and apparatus of heading 9027, nesoi Parts and accessories of nonelectrical nonoptical instruments and apparatus of heading 9027.20, 9027.30, 9027.40, 9027.50 or 9027.80 Parts and accessories of nonelectrical instruments and apparatus of heading 9027, nesoi Gas supply or production meters, including calibrating meters thereof Liquid supply or production meters, including calibrating meters thereof Electricity supply or production meters, including calibrating meters thereof Parts and accessories for gas, liquid or electricity supply or production meters Taximeters Revolution counters, production counters, odometers, pedometers and the like, other than taximeters Bicycle speedometers Speedometers and tachometers, other than bicycle speedometers Stroboscopes Parts and accessories of taximeters Parts and accessories of bicycle speedometers Parts and accessories of stroboscopes Parts and accessories of revolution counters, production counters, odometers, pedometers and the like, of speedometers nesi and</w:t>
      </w:r>
    </w:p>
    <w:p>
      <w:pPr>
        <w:pStyle w:val="Normal"/>
        <w:widowControl/>
        <w:rPr/>
      </w:pPr>
      <w:r>
        <w:rPr/>
        <w:t>tachometers Instruments and apparatus for measuring or detecting ionizing radiations Oscilloscopes and oscillographs, specially designed for telecommunications Oscilloscopes and oscillographs, nesoi Multimeters for measuring or checking electrical voltage, current, resistance or power, without a recording device Multimeters, with a recording device Resistance measuring instruments Other instruments and apparatus, nesi, for measuring or checking electrical voltage, current, resistance or power, without a recording device Instruments and apparatus, nesi, for measuring or checking electrical voltage, current, resistance or power, with a recording device Instruments and apparatus specially designed for telecommunications Instruments and apparatus for measuring or checking electrical quantities, nesoi: for measuring or checking semiconductor wafers or devices Instruments and apparatus for measuring, checking or detecting electrical quantities or ionizing radiations, nesoi: with a recording device Instruments and apparatus for measuring, checking or detecting electrical quantities or ionizing radiations, nesoi: w/o a recording device Printed circuit assemblies for instruments and apparatus for measuring or detecting ionizing radiation Parts and accessories for instruments and apparatus for measuring or detecting ionizing radiation, nesi Printed circuit assemblies for subheadings and apparatus of 9030.40 &amp; 9030.82 Printed circuit assemblies, nesoi Parts and accessories for</w:t>
      </w:r>
    </w:p>
    <w:p>
      <w:pPr>
        <w:pStyle w:val="Normal"/>
        <w:widowControl/>
        <w:rPr/>
      </w:pPr>
      <w:r>
        <w:rPr/>
        <w:t>instruments and apparatus for measuring or checking semiconductor wafers or devices, nesoi Parts and accessories for articles of subheadings 9030.20 to 9030.40, 9030.83 and 9030.89, nesoi Machines for balancing mechanical parts Test benches Optical measuring/checking instruments/appliances for inspecting semiconductor wafers/devices or photomasks/reticle used to mfg such devices Profile projectors Optical coordinate-measuring machines, nesoi Optical instrument &amp; appliance: to inspect masks (not photomask) used to mfg semiconductor devices; to measure contamination on such devices Other optical measuring or checking instruments, appliances and machines, nesoi Electron beam microscopes fitted with equipment specifically designed for the handling and transport of semiconductor devices or reticles Measuring and checking instruments, appliances and machines, nesoi Parts and accessories of profile projectors Bases and frames for the optical coordinate-measuring machines of subheading 9031.49.40 Parts &amp; accessories of measuring &amp; checking optical instruments &amp; appliances of subheading 9031.41 or 9031.49.70 Parts &amp; accessories of measuring &amp; checking optical instruments &amp; appliances, other than test benches or profile projectors, nesoi Parts and accessories of articles of subheading 9031.80.40 Parts and accessories of measuring or checking instruments, appliances and machines, nesoi Automatic thermostats Automatic manostats Hydraulic and pneumatic automatic regulating or controlling</w:t>
      </w:r>
    </w:p>
    <w:p>
      <w:pPr>
        <w:pStyle w:val="Normal"/>
        <w:widowControl/>
        <w:rPr/>
      </w:pPr>
      <w:r>
        <w:rPr/>
        <w:t>instruments and apparatus Automatic voltage and voltage-current regulators, designed for use in a 6, 12, or 24 V system Automatic voltage and voltage-current regulators, not designed for use in a 6, 12, or 24 V system Automatic regulating or controlling instruments and apparatus, nesi Parts and accessories of automatic voltage and voltage-current regulators designed for use in a 6, 12, or 24 V system, nesi Parts and accessories of automatic voltage and voltage-current regulators, not designed for use in a 6, 12, or 24 V system, nesi Parts and accessories for automatic regulating or controlling instruments and apparatus, nesi LEDs for backlighting of LCDs Touch screens without display capabilities for incorporation in apparatus having a display Other parts and accessories for machines, appliances, instruments or apparatus of chapter 90, nesi Wrist watches with cases of or clad with precious metal, electrically operated, with mechanical display only, with 0-1 jewel in mvmt Wrist watches with cases of or clad with precious metal, electrically operated, with mechanical display only, w/more than 1</w:t>
      </w:r>
    </w:p>
    <w:p>
      <w:pPr>
        <w:pStyle w:val="Normal"/>
        <w:widowControl/>
        <w:rPr/>
      </w:pPr>
      <w:r>
        <w:rPr/>
        <w:t>jewel in mvmt Wrist watches with cases of or clad with precious metal, electrically operated, with opto-electronic display only Wrist watches with cases of or clad with precious metal, electrically operated, with both opto-electronic and mechanical displays, 0-1 jewel Wrist watches with cases of or clad with precious metal, electrically operated, w/both opto-electronic &amp; mechanical</w:t>
      </w:r>
    </w:p>
    <w:p>
      <w:pPr>
        <w:pStyle w:val="Normal"/>
        <w:widowControl/>
        <w:rPr/>
      </w:pPr>
      <w:r>
        <w:rPr/>
        <w:t>displays, over 1 jewel Straps/bands/bracelets of tex. mat. or base metal, whether or not gold- or silver-plated entered with wrist watches of subheading 9101.21.50 Straps, bands or bracelets, nesi, entered with wrist watches of subheading 9101.21.50 and classifiable therewith Wrist watches with cases of or clad with precious metal, not electrically operated, with automatic winding, with over 17 jewels in mvmt Wrist watches with cases of or clad with precious metal, not electrically operated, with automatic winding, w/17 jewels or less in mvmt Wrist watches with cases of or clad with precious metal, not electrically operated, not automatic winding, with 0-1 jewel in mvmt Wrist watches with cases of or clad with precious metal, not electrically operated, not automatic winding, with 2-7 jewels in mvmt Wrist watches with cases of or clad with precious metal, not electrically operated, n/auto winding, 8-17 jewels, mvmt n/o $15 &amp; n/o 15.2 mm Wrist watches with cases of or clad with precious metal, not electrically operated, n/auto winding, 8-17 jewels, mvmt n/o $15 &amp; ov 15.2 mm Wrist watches with cases of or clad with precious metal, not electrically operated, not automatic winding, 8-17 jewels, movement over $15 Straps/bands/bracelets of tex. mat.</w:t>
      </w:r>
    </w:p>
    <w:p>
      <w:pPr>
        <w:pStyle w:val="Normal"/>
        <w:widowControl/>
        <w:rPr/>
      </w:pPr>
      <w:r>
        <w:rPr/>
        <w:t>or base metal, whether or not gold- or silver-plated entered with wrist watches of subheading 9101.29.90 Straps, bands or bracelets, nesi, entered with wrist watches of subheading 9101.29.90 and classifiable therewith Wrist watches with cases of or clad with precious metal, not electrically operated, not automatic winding, w/over 17 jewels in the mvmt Watches (excl. wrist watches) with cases of or clad with precious metal, electrically operated, with opto-electronic display only Watches (excl. wrist watches) with cases of or clad with precious metal, electrically operated, with 0-1 jewel in mvmt, n/optoelec. display Watches (excl. wrist watches) with cases of or clad with precious metal, electrically operated, over 1 jewel in mvmt, n/optoelec. display Watches (excl. wrist watches) with cases of or clad with precious metal, not electrically operated, with 0-7 jewels in the mvmt Watches (excl. wrist watches) with cases of or clad with precious metal, not electrically operated, w/8-17 jewels in mvmt, mvmt n/o $15 ea Watches (excl.</w:t>
      </w:r>
    </w:p>
    <w:p>
      <w:pPr>
        <w:pStyle w:val="Normal"/>
        <w:widowControl/>
        <w:rPr/>
      </w:pPr>
      <w:r>
        <w:rPr/>
        <w:t>wrist watches) with cases of or clad with precious metal, not electrically operated, w/8-17 jewels in mvmt, mvmt over $15 ea Watches (excl. wrist watches) with cases of or clad with precious metal, not electrically operated, with over 17 jewels in the mvmt Wrist watches nesoi, electrically operated, mechanical display only, 0-1 jewel, gold/silver-plated case, band of textile mat.</w:t>
      </w:r>
    </w:p>
    <w:p>
      <w:pPr>
        <w:pStyle w:val="Normal"/>
        <w:widowControl/>
        <w:rPr/>
      </w:pPr>
      <w:r>
        <w:rPr/>
        <w:t>or base metal Wrist watches nesoi, electrically operated, mechanical display only, 0-1 jewel, case nesoi, with band of textile material or base metal Wrist watches nesoi, electrically operated, mechanical display only, 0-1 jewel, gold- or silver-plated case, with band of material nesoi Wrist watches nesoi, electrically operated, mechanical display only, 0-1 jewel, case nesoi, with band of material nesoi Wrist watches nesoi, electrically operated, mechanical display only, over 1 jewel, gold/silver-plated case, band of textile or base metal Wrist watches nesoi, electrically operated, mechanical display only, over 1 jewel, case nesoi, with band of textile material or base metal Wrist watches nesoi, electrically operated, mechanical display only, over 1 jewel, gold- or silver-case, with band of material nesoi Wrist watches nesoi, electrically operated, mechanical display only, over 1 jewel, case nesoi, with band of material nesoi Straps/bands/bracelets of tex. mat.</w:t>
      </w:r>
    </w:p>
    <w:p>
      <w:pPr>
        <w:pStyle w:val="Normal"/>
        <w:widowControl/>
        <w:rPr/>
      </w:pPr>
      <w:r>
        <w:rPr/>
        <w:t>or base metal, whether or not gold- or silver-plated entered with wrist watches of subheading 9102.12.80 Straps, bands or bracelets, nesi, entered with wrist watches of subheading 9102.12.80 and classifiable therewith Wrist watches nesoi, electrically operated, with opto-electronic display only Wrist watches nesoi, electrically operated, w/both optoelectronic &amp; mechanical displays, 0-1 jewel, band of textile material or base metal Wrist watches nesoi, electrically operated, w/both optoelectronic &amp; mechanical displays, 0-1 jewel, band of material nesoi Wrist watches nesoi, electrically operated, w/both optoelectronic &amp; mechanical displays, over 1 jewel, band of textile mat.</w:t>
      </w:r>
    </w:p>
    <w:p>
      <w:pPr>
        <w:pStyle w:val="Normal"/>
        <w:widowControl/>
        <w:rPr/>
      </w:pPr>
      <w:r>
        <w:rPr/>
        <w:t>or base metal Wrist watches nesoi, electrically operated, w/both optoelectronic &amp; mechanical displays, over 1 jewel, band of material nesoi Wrist watches nesi, automatic winding, 0-1 jewel, watch band of textile material or base metal Wrist watches nesi, automatic winding, 0-1 jewel, watch band not of textile material or base metal Wrist watches nesi, automatic winding, 2-17 jewels, watch band of textile material or base metal Wrist watches nesi, automatic winding, 2-17 jewels, watch band not of textile material or base metal Wrist watches nesi, automatic winding, over 17 jewels, watch band of textile material or base metal Wrist watches nesi, automatic winding, over 17 jewels, watch band not of textile material or base metal Straps/bands/bracelets of tex. mat.</w:t>
      </w:r>
    </w:p>
    <w:p>
      <w:pPr>
        <w:pStyle w:val="Normal"/>
        <w:widowControl/>
        <w:rPr/>
      </w:pPr>
      <w:r>
        <w:rPr/>
        <w:t>or base metal, whether or not gold- or silver-plated entered with wrist watches of subheading 9102.29.04 Wrist watches nesoi, not electrically operated, not autowind, 0-1 jewel, entered with straps/bands/bracelet of tex. mat.</w:t>
      </w:r>
    </w:p>
    <w:p>
      <w:pPr>
        <w:pStyle w:val="Normal"/>
        <w:widowControl/>
        <w:rPr/>
      </w:pPr>
      <w:r>
        <w:rPr/>
        <w:t>or base metal Wrist watches nesoi, not electrically operated, not automatic winding, 0-1 jewel, with strap/band/bracelet of material nesoi Wrist watches nesoi, not electrically operated, not automatic winding, 2-7 jewels, with strap/band of textile material or base metal Wrist watches nesoi, not electrically operated, not automatic winding, 2-7 jewels, with strap/band/bracelet of material nesoi Wrist watches nesoi, not electrically operated, n/autowind, 8-17 jewels, mvmt n/o $15 &amp; n/o 15.2 mm, band of textile material or base metal Wrist watches nesoi, not electrically operated, not automatic winding, 8-17 jewels, movement n/o $15 &amp; n/o 15.2 mm, band of material nesoi Wrist watches nesoi, not electrically operated, n/autowinding, 8-17 jewel, mvmt n/o $15 &amp; ov 15.2 mm, band of textile material or base metal Wrist watches nesoi, not electrically operated, n/autowinding, 8-17 jewel, mvmt n/o $15 &amp; over 15.2 mm, with band of material nesoi Wrist watches nesoi, not electrically operated, not auto winding, 8-17 jewels, movement over $15 each, with band of textiles or base metal Wrist watches nesoi, not electrically operated, not auto winding, 8-17 jewels, mvmt over $15 each, with band of material nesoi Wrist watches nesoi, not electrically operated, not</w:t>
      </w:r>
    </w:p>
    <w:p>
      <w:pPr>
        <w:pStyle w:val="Normal"/>
        <w:widowControl/>
        <w:rPr/>
      </w:pPr>
      <w:r>
        <w:rPr/>
        <w:t>automatic winding, over 17 jewels in the mvmt, with band of textiles or base metal Wrist watches nesoi, not electrically operated, not automatic winding, over 17 jewels in the movement, with band of material nesoi Watches (excl. wrist watches) nesoi, electrically operated, with opto-electronic display only Watches (excl. wrist watches) nesoi, electrically operated, with 0-1 jewel in the movement Watches (excl. wrist watches) nesoi, electrically operated, with over 1 jewel in the movement Watches (excl. wrist watches) nesoi, not electrically operated, with 0-7 jewels in the movement Watches (excl. wrist watches) nesoi, not electrically operated, with 8-17 jewels in movement, movement valued not over $15 each Watches (excl. wrist watches) nesoi, not electrically operated, with 8-17 jewels in movement, movement valued over $15 each Watches (excl.</w:t>
      </w:r>
    </w:p>
    <w:p>
      <w:pPr>
        <w:pStyle w:val="Normal"/>
        <w:widowControl/>
        <w:rPr/>
      </w:pPr>
      <w:r>
        <w:rPr/>
        <w:t>wrist watches) nesoi, not electrically operated, having over 17 jewels in the movement Clocks with watch movements, excluding clocks of heading 9104, electrically operated, with opto-electronic display only Clocks with watch movements, excluding clocks of heading 9104, electrically operated, with 0-1 jewel in the movement Clocks with watch movements, excluding clocks of heading 9104, electrically operated, with over 1 jewel in the movement Clocks with watch movements, excluding clocks of heading 9104, not electrically operated Instrument panel clocks for vehicles, air/spacecraft, vessels, clock movement over 50 mm wide, opto-electronic display only, n/o $10 each Instrument panel clocks for veh., air/spacecraft, vessels, clock mvmt over 50 mm wide, electric, nt optoelectronic display, n/o $10 each Instrument panel clocks for vehicles, air/spacecraft, vessels, w/clock movement over 50 mm wide, valued n/o $10 each, nonelectric Instrument panel clocks for vehicles, air/spacecraft, vessels, w/clock movement ov 50 mm wide, opto-electronic display only, ov $10 each Instrument panel clocks for vehicles, air/spacecraft,vessels, w/clock mvmt ov 50 mm wide, electric, nt optoelectronic display, ov $10 each</w:t>
      </w:r>
    </w:p>
    <w:p>
      <w:pPr>
        <w:pStyle w:val="Normal"/>
        <w:widowControl/>
        <w:rPr/>
      </w:pPr>
      <w:r>
        <w:rPr/>
        <w:t>Instrument panel clocks for vehicles, air/spacecraft,vessels, w/clock movement ov 50 mm wide, valued ov $10 each, non-electric Instrument panel clocks for vehicles, air/spacecraft,vessels, w/watch or clock movement &lt; 50 mm wide, opto-electronic display only Instrument panel clocks</w:t>
      </w:r>
    </w:p>
    <w:p>
      <w:pPr>
        <w:pStyle w:val="Normal"/>
        <w:widowControl/>
        <w:rPr/>
      </w:pPr>
      <w:r>
        <w:rPr/>
        <w:t>for vehicles, air/spacecraft, vessels, w/watch or clock movement &lt; 50 mm wide, electric, not opto-electronic display Instrument panel clocks for vehicles, air/spacecraft or vessels, w/clock or watch movement &lt; 50 mm wide, nonelectric Alarm clocks nesoi, electrically operated, with opto-electronic display only Alarm clocks nesoi, electrically operated, other than with opto-electronic display only Alarm clocks nesoi, not electrically operated, movement measuring not over 50 mm, not designed to operate over 47 hrs without rewinding Alarm clocks nesoi, not electrically operated, movement measuring n/o 50 mm, designed to operate over 47 hrs w/o rewinding, with 0-1 jewel Alarm clocks nesoi, not electrically operated, movement measuring n/o 50 mm, designed to operate over 47 hrs w/o rewinding, over 1 jewel Alarm clocks nesoi, not electrically operated, movement measuring over 50 mm in width or diameter, valued not over $5 each Alarm clocks nesoi, not electrically operated, movement measuring over 50 mm in width or diameter, valued over $5 each Wall clocks nesoi, electrically operated, with opto-electronic display only Wall clocks nesoi, electrically operated, other than with opto-electronic display only Wall clocks nesoi, not electrically operated, mvmt measuring n/o 50 mm, not designed or constr.</w:t>
      </w:r>
    </w:p>
    <w:p>
      <w:pPr>
        <w:pStyle w:val="Normal"/>
        <w:widowControl/>
        <w:rPr/>
      </w:pPr>
      <w:r>
        <w:rPr/>
        <w:t>to operate over 47 hrs without rewinding Wall clocks nesoi, not electrically operated, mvmt measuring n/o 50 mm, 0-1 jewel, constructed/designed to operate over 47 hrs w/o rewinding Wall clocks nesoi, not electrically operated, mvmt measuring n/o 50 mm, ov 1 jewel, constructed/designed to operate ov 47 hrs w/o rewinding Wall clocks nesoi, not electrically operated, movement measuring over 50 mm in width or diameter, valued not over $5 each Wall clocks nesoi, not electrically operated, movement measuring over 50 mm in width or diameter, valued over $5 each Clocks nesoi, electrically operated, with opto-electronic display only Clocks nesoi, electrically operated, other than with opto-electronic display only Standard marine chronometers nesi, having spring-detent escapements Clocks nesoi, not electrically operated, mvmt not over 50 mm in width or diameter, not designed to operate for over 47 hrs without rewinding Clocks nesoi, not electrically operated, mvmt not over 50 mm in width or diameter, 0-1 jewel, designed to operate ov 47 hrs w/o rewinding Clocks nesoi, not electrically operated, mvmt not over</w:t>
      </w:r>
    </w:p>
    <w:p>
      <w:pPr>
        <w:pStyle w:val="Normal"/>
        <w:widowControl/>
        <w:rPr/>
      </w:pPr>
      <w:r>
        <w:rPr/>
        <w:t>50 mm in width or diameter, over 1 jewel, designed to operate ov 47 hrs w/o rewinding Clocks nesoi, not electrically operated, movement measuring over 50 mm in width or diameter, valued not over $5 each Clocks nesoi, not electrically operated, movement measuring over 50 mm in width or diameter, valued over $5 each Time registers;</w:t>
      </w:r>
    </w:p>
    <w:p>
      <w:pPr>
        <w:pStyle w:val="Normal"/>
        <w:widowControl/>
        <w:rPr/>
      </w:pPr>
      <w:r>
        <w:rPr/>
        <w:t>time recorders Parking meters Time locks valued</w:t>
      </w:r>
    </w:p>
    <w:p>
      <w:pPr>
        <w:pStyle w:val="Normal"/>
        <w:widowControl/>
        <w:rPr/>
      </w:pPr>
      <w:r>
        <w:rPr/>
        <w:t>over $10 each Apparatus for meas., recording or indicating time intervals, w/watch or clock mvmt., battery powered, w/opto-electronic display only Other apparatus for meas., recording or otherwise indicating time intervals, w/watch or clock mvmt., battery powered, nesi Apparatus for meas., recording or indicating time intervals, w/watch or clock mvmt., AC powered, w/opto-electronic display only Time of day recording apparatus &amp; apparatus for measuring, detecting, recording or otherwise indicating intervals of time nesi Time switches with clock or watch movements or with synchronous motor, valued not over $5 each Time switches with clock or watch movements or with synchronous motor, valued over $5 each Watch movements, complete and assembled, electrically operated, with mechanical display or device to incorporate such display, 0-1 jewel Watch movements, complete and assembled, electrically operated, with mechanical display or device to incorporate such display, over 1 jewel Watch movements, complete and assembled, electrically operated, with opto-electronic display only Watch movements, complete and assembled, electrically operated, w/both optoelectronic &amp; mechanical displays, having 0-1 jewels Watch movements, complete and</w:t>
      </w:r>
    </w:p>
    <w:p>
      <w:pPr>
        <w:pStyle w:val="Normal"/>
        <w:widowControl/>
        <w:rPr/>
      </w:pPr>
      <w:r>
        <w:rPr/>
        <w:t>assembled, electrically operated, w/both optoelectronic &amp; mechanical displays, having over 1 jewel Watch movements, complete and assembled, with automatic winding, over 17 jewels Watch movements, complete and assembled, with automatic winding, 17 jewels or</w:t>
      </w:r>
    </w:p>
    <w:p>
      <w:pPr>
        <w:pStyle w:val="Normal"/>
        <w:widowControl/>
        <w:rPr/>
      </w:pPr>
      <w:r>
        <w:rPr/>
        <w:t>less Watch movements, complete and assembled, not electrically operated or automatic winding, measuring 33.8 mm or less, none or only 1 jewel Watch movements, complete and assembled, not electrically operated or automatic winding, measuring over 33.8 mm, none or only 1 jewel Watch movements, complete and assembled, not electrically operated or automatic winding, measuring 33.8 mm or less, over 1 but n/o 7 jewels Watch movements, complete and assembled, not electrically operated or automatic winding, measuring over 33.8 mm, ov 1 but not over 7 jewels Watch movements, complete and assembled, nesoi, measuring not over 15.2 mm, over 7 but n/o 17 jewels, valued not over $15 each Watch movements, complete and assembled, nesoi, measuring over 15.2 mm but not over 33.8 mm, over 7 but n/o 17 jewels, valued n/o $15 each Watch movements, complete and assembled, nesoi, measuring 33.8 mm or less, over 7 but not over 17 jewels, valued over $15 each Watch movements, complete and assembled, nesoi, measuring over 33.8 mm, over 7 but not over</w:t>
      </w:r>
    </w:p>
    <w:p>
      <w:pPr>
        <w:pStyle w:val="Normal"/>
        <w:widowControl/>
        <w:rPr/>
      </w:pPr>
      <w:r>
        <w:rPr/>
        <w:t>17 jewels, valued not over $15 each Watch movements, complete and assembled, nesoi, measuring over 33.8 mm, over 7 but not over 17 jewels, valued over $15 each Watch movements, complete and assembled, not electrically operated or automatic winding, measuring 33.8 mm or less, over 17 jewels Watch movements, complete and assembled, not electrically operated or automatic winding, measuring over 33.8 mm, over 17 jewels Alarm clock movements, complete and</w:t>
      </w:r>
    </w:p>
    <w:p>
      <w:pPr>
        <w:pStyle w:val="Normal"/>
        <w:widowControl/>
        <w:rPr/>
      </w:pPr>
      <w:r>
        <w:rPr/>
        <w:t>assembled, electrically operated, with opto electronic display only Alarm clock movements, complete and assembled, electrically operated, with display nesoi, measuring not over 50 mm in width or diameter Alarm clock movements, complete and assembled, electrically operated, with display nesoi, measuring over 50 mm, valued not over $5 each Alarm clock movements, complete and assembled, electrically operated, with display nesoi, measuring over 50 mm, valued over $5 each Clock movements nesoi, complete and assembled, electrically operated, with opto electronic display only Clock movements nesoi, complete and assembled, electrically operated, with display nesoi, measuring not over 50 mm in width or diameter Clock movements nesoi, complete and assembled, electrically operated, with display nesoi, measuring over 50 mm, valued not over $5 each Clock movements nesoi, complete and assembled, electrically operated, with display nesoi, measuring over 50 mm, valued over $5 each Clock movements, complete and assembled, not electrically operated, measuring not over 50 mm in width or diameter Clock movements, complete and assembled, not electrically operated, measuring over 50 mm in width</w:t>
      </w:r>
    </w:p>
    <w:p>
      <w:pPr>
        <w:pStyle w:val="Normal"/>
        <w:widowControl/>
        <w:rPr/>
      </w:pPr>
      <w:r>
        <w:rPr/>
        <w:t>or diameter, valued not over $5 each Clock movements, complete and assembled, not electrically operated, measuring over 50 mm in width or diameter, valued over $5 each Complete watch movements, unassembled or partly assembled (movement sets) Incomplete watch movements, assembled Rough watch movements</w:t>
      </w:r>
    </w:p>
    <w:p>
      <w:pPr>
        <w:pStyle w:val="Normal"/>
        <w:widowControl/>
        <w:rPr/>
      </w:pPr>
      <w:r>
        <w:rPr/>
        <w:t>Complete clock movements, unassembled or partly assembled (movement sets) Incomplete clock movements consisting of 2 or more pieces or parts fastened or joined together Incomplete clock movements, nesi Watch cases of precious metal or of metal clad with precious metal Watch cases of gold- or silver-plated base metal Watch cases of base metal not gold- or silver-plated Watch cases, not of precious metal, of metal clad with precious metal or of base metal Parts of watch cases, of precious metal or of metal clad with precious metal Bezels, backs and centers, of watch cases, not of precious metal or of metal clad with precious metal Parts of watch cases, other than bezels, backs and centers, not of precious metal or of metal clad with precious metal Clock cases and cases of a similar type for other goods of chapter 91, of metal Clock cases and cases of a similar type for other goods of chapter 91, other than cases of metal Parts of clock cases and cases of a similar</w:t>
      </w:r>
    </w:p>
    <w:p>
      <w:pPr>
        <w:pStyle w:val="Normal"/>
        <w:widowControl/>
        <w:rPr/>
      </w:pPr>
      <w:r>
        <w:rPr/>
        <w:t>type for other goods of chapter 91 Watch straps, watch bands and watch bracelets, of precious metal or of metal clad with precious metal, and parts thereof Watch straps, watch bands and watch bracelets of base metal, whether or not gold- or silver-plated, valued not over $5 per dozen Watch straps, watch bands and watch bracelets of base metal, whether or not gold- or silver-plated, valued over $5 per dozen Parts of watch bracelet of base metal, whether or not gold- or silver-plated, valued not over $12 per dozen</w:t>
      </w:r>
    </w:p>
    <w:p>
      <w:pPr>
        <w:pStyle w:val="Normal"/>
        <w:widowControl/>
        <w:rPr/>
      </w:pPr>
      <w:r>
        <w:rPr/>
        <w:t>Parts of watch bracelets of base metal, whether or not gold- or silver-plated, valued over $12 per dozen Watch straps, watch bands and watch bracelets, of textile material, and parts thereof Watch straps, watch bands and watch bracelets, other than of precious metal, base metal or textile material, and parts thereof Springs, including hair-springs, for watches Springs, including hair-springs, for clocks Dials for watches and clocks, not exceeding 50 mm in width Dials for watches and clocks, exceeding 50 mm in width Watch movement bottom or pillar plates or their equivalent Any plate, or set of plates, suitable for assembling thereon a clock movement Plates and bridges for watches, nesi Plates and bridges for clocks, nesi Jewels for watch or clock movements Assemblies and subassemblies for watch movements consisting of 2 or more pieces or parts fastened or joined inseparably together Assemblies and subassemblies for clock movements consisting of 2 or more pieces or parts fastened or joined inseparably together Watch parts, nesi Clock parts, nesi Upright pianos Grand pianos Keybd string. musical instru., o/than w/elect. sound or ampl., pianos (incl. player pianos) nesoi; harpsichords &amp; oth keybd string. instr.</w:t>
      </w:r>
    </w:p>
    <w:p>
      <w:pPr>
        <w:pStyle w:val="Normal"/>
        <w:widowControl/>
        <w:rPr/>
      </w:pPr>
      <w:r>
        <w:rPr/>
        <w:t>String musical instruments, o/than w/elect. sound or ampl., played with a bow String musical instruments, o/than w/elect. sound or ampl., guitars, valued not over $100 each (excluding the value of the case) String musical instruments, o/than w/elect.</w:t>
      </w:r>
    </w:p>
    <w:p>
      <w:pPr>
        <w:pStyle w:val="Normal"/>
        <w:widowControl/>
        <w:rPr/>
      </w:pPr>
      <w:r>
        <w:rPr/>
        <w:t>sound or ampl., guitars, valued over $100 each (excluding the value of the case) String musical instruments (o/than guitars or instruments played with a bow), o/than w/elect. sound or ampl. Wind musical instruments, o/than w/elect. sound or ampl., brass-wind instruments Keyboard musical instruments, o/than w/elect. sound or ampl., pipe organs Keyboard musical instruments, o/than w/elect. sound or ampl., harmoniums and similar keyboard instruments with free metal reeds Piano accordions, o/than w/elect. sound or ampl. Accordions (o/than piano accordions) and similar instruments, o/than w/elect. sound or ampl. Mouth organs Wind musical instruments, o/than w/elect. sound or ampl., bagpipes Wind musical instruments, o/than w/elect. sound or ampl., woodwind instruments (o/than bagpipes) Wind musical instruments (o/than brass-wind or woodwind) nesoi, o/than w/elect. sound or ampl. Percussion musical instruments, o/than w/elect. sound or ampl., drums Percussion musical instruments, o/than w/elect. sound or ampl., cymbals Percussion musical instruments, o/than w/elect.</w:t>
      </w:r>
    </w:p>
    <w:p>
      <w:pPr>
        <w:pStyle w:val="Normal"/>
        <w:widowControl/>
        <w:rPr/>
      </w:pPr>
      <w:r>
        <w:rPr/>
        <w:t>sound or ampl., sets of tuned bells known as chimes, peals or carillons Percussion musical instruments (o/than drums, cymbals, chimes, peals or carillons) nesoi (e.g., xylophones, castanets, maracas) Keyboard musical instruments (o/than accordions), the sound of which is produced, or must be amplified, electrically Musical instruments (o/than keyboard except accordions) nesoi, the sound of which is produced, or must be amplified, electrically Music boxes Musical instruments nesoi in chapter 92; decoy calls; whistles, and o/mouth-blown sound signaling instruments Strings for musical instruments Tuning pins for pianos Parts &amp; access. for pianos (o/than tuning pins and strings) nesoi Mutes, collapsible musical instru. stands, &amp; music holders for attachment to instru., all the foregoing, for stringed music. instru. of 9202 Tuning pins for stringed musical instruments of heading 9202 Bows, parts of bows, bow hair, chin rests and other parts and accessories for stringed musical instru. of 9202 Parts &amp; access. nesoi, for stringed musical instruments of heading 9202 Collapsible musical instrument stands, for the instruments w/elect sound or ampl. of heading 9207 Parts &amp; access. nesoi, for the musical instruments w/elect.</w:t>
      </w:r>
    </w:p>
    <w:p>
      <w:pPr>
        <w:pStyle w:val="Normal"/>
        <w:widowControl/>
        <w:rPr/>
      </w:pPr>
      <w:r>
        <w:rPr/>
        <w:t>sound or ampl. of heading 9207 nesoi Metronomes, tuning forks and pitch pipes of all kinds Mutes nesoi; pedals, dampers &amp; spurs for drums; pedals &amp; holders for cymbals; music holders nesoi; collapsible music instru stands, nesoi Parts &amp; access.</w:t>
      </w:r>
    </w:p>
    <w:p>
      <w:pPr>
        <w:pStyle w:val="Normal"/>
        <w:widowControl/>
        <w:rPr/>
      </w:pPr>
      <w:r>
        <w:rPr/>
        <w:t>nesoi, for pipe organs Parts &amp; access. nesoi, for harmoniums and similar keyboard instruments with free metal reeds of heading 9203, nesoi Parts &amp; access. nesoi, for bagpipes Parts &amp; access. nesoi, for woodwind and brass-wind musical instruments Parts for music boxes Parts &amp; access. nesoi, for musical instruments, nesoi Artillery weapons (for example, guns, howitzers, and mortars) Rocket launchers; flame-throwers; grenade launchers; torpedo tubes and similar projectors Rifles, military Shotguns, military Military weapons, nesoi Revolvers and pistols (o/than of heading 9303 or 9304) Muzzle-loading firearms Shotguns (incl. comb. shotgun-rifles), for sport, hunting or target-shooting Rifles (o/than muzzle-loading), for sport, hunting or target-shootings, valued o/$25 but n/or $50 each Rifles (o/than muzzle-loading), for sport, hunting or target-shooting rifles, valued at $25 and under or o/$50 each Revolvers and pistols, designed to fire only blank cartridges or blank ammunition Firearms and similar devices that operate by the firing of an explosive charge, nesoi Rifles that eject missiles by release of compressed air or gas, or by the release of a spring mechanism or rubber held under tension Pistols &amp; other guns (o/than rifles) that eject missiles by release of comp.</w:t>
      </w:r>
    </w:p>
    <w:p>
      <w:pPr>
        <w:pStyle w:val="Normal"/>
        <w:widowControl/>
        <w:rPr/>
      </w:pPr>
      <w:r>
        <w:rPr/>
        <w:t>air or gas, a spring mechanism or rubber held under tension Arms (o/than those of heading 9307) nesoi Parts and accessories nesoi, for revolvers or pistols of heading 9302 Parts and accessories nesoi, for revolvers or pistols designed to fire only blank cartridges or blank ammunition Parts and accessories nesoi, for muzzle-loading revolvers and pistols Parts and accessories nesoi, for revolvers or pistols nesoi Stocks, for rifles of heading 9303 Other parts and accessories of shotguns or rifles of heading 9303 Parts and accessories for military rifles of heading 9301 Parts and accessories for military shotguns of heading 9301 Parts and accessories for military weapons (other than rifles and shotguns) of heading Parts and accessories for articles of heading 9303 other than shotguns or rifles Parts and accessories for articles of subheading 9304.00.20 or 9304.00.40 Parts and accessories for articles of headings 9301 to 9304, nesoi Cartridges, for shotguns Parts of cartridges for shotguns; air gun pellets Cartridges nesoi and empty cartridge shells Parts of cartridges nesoi Bombs, grenades, torpedoes, mines, missiles and similar munitions of war and pts thereof; other ammunition projectiles &amp; pts.</w:t>
      </w:r>
    </w:p>
    <w:p>
      <w:pPr>
        <w:pStyle w:val="Normal"/>
        <w:widowControl/>
        <w:rPr/>
      </w:pPr>
      <w:r>
        <w:rPr/>
        <w:t>thereof Swords, cutlasses, bayonets, lances and similar arms, parts thereof and scabbards and sheaths therefor Seats, of a kind used for aircraft, leather upholstered Seats, of a kind used for aircraft (o/than leather upholstered) Seats, of a kind used for motor vehicles Seats nesoi, swivel w/variable height adjustment &amp; w/wooden frame (o/than of heading 9402) Seats nesoi, swivel w/variable height adjustment &amp; other than w/wooden frame (o/than of heading 9402) Seats nesoi, convertible into beds (o/than garden seats or camping equip.) Bamboo seats Rattan seats Seats nesoi, of cane, osier, similar materials o/than bamboo or rattan Chairs nesoi, w/teak frames, upholstered Chairs nesoi, w/wooden frames (o/than teak), upholstered Seats (o/than chairs) nesoi, w/wooden frames, upholstered Seats nesoi, of bent-wood Chairs nesoi, w/teak frames, not upholstered Chairs nesoi, w/wooden frames (o/than teak), not upholstered Seats (o/than chairs) nesoi, w/wooden frames, not upholstered Seats nesoi, w/metal frame (o/than of heading 9402), upholstered Seats nesoi, w/metal frame (o/than of heading 9402), not upholstered Seats nesoi, of reinforced or laminated plastics (o/than of heading</w:t>
      </w:r>
    </w:p>
    <w:p>
      <w:pPr>
        <w:pStyle w:val="Normal"/>
        <w:widowControl/>
        <w:rPr/>
      </w:pPr>
      <w:r>
        <w:rPr/>
        <w:t>9402) Seats nesoi, of rubber or plastics (o/than of reinforced or laminated plastics &amp; o/than of heading 9402) Seats nesoi, o/than of wood, or w/metal frame or of rubber or plastics (o/than of heading 9402) Parts of seats nesoi, for seats of a kind used for motor vehicles Parts of seats nesoi, for bent-wood</w:t>
      </w:r>
    </w:p>
    <w:p>
      <w:pPr>
        <w:pStyle w:val="Normal"/>
        <w:widowControl/>
        <w:rPr/>
      </w:pPr>
      <w:r>
        <w:rPr/>
        <w:t>seats Parts of seats (o/than of 9402) nesoi, of cane, osier, bamboo or similar materials Parts of seats (o/than of 9402) nesoi, of rubber or plastics (o/than of heading 9402) Parts of seats (o/than of 9402) nesoi, of wood Parts of seats (o/than of 9402) nesoi, o/than of cane etc, rubber or plastics or of wood Dentists’, barbers’ and similar chairs and parts thereof Medical, surgical, dental or veterinary furniture and parts thereof Furniture (o/than seats) of metal nesoi, of a kind used in offices Furniture (o/than seats) of metal nesoi, o/than of a kind used in offices Furniture (o/than seats) of bentwood nesoi, of a kind used in offices Furniture (o/than seats) of wood (o/than bentwood) nesoi, of a kind used in offices Furniture (o/than seats) of bent-wood nesoi, of a kind used in the kitchen Furniture (o/than seats) of wood (o/than bentwood) nesoi, of a kind used in the kitchen &amp; design. for motor vehicle use Furniture (o/than seats) of wood (o/than bentwood) nesoi, of a kind used in the kitchen &amp; not design. for motor vehicl.</w:t>
      </w:r>
    </w:p>
    <w:p>
      <w:pPr>
        <w:pStyle w:val="Normal"/>
        <w:widowControl/>
        <w:rPr/>
      </w:pPr>
      <w:r>
        <w:rPr/>
        <w:t>use Furniture (o/than seats) of bentwood nesoi, of a kind used in the bedroom Furniture (o/than seats) of wood (o/than bentwood), of a kind used in the bedroom &amp; designed for motor vehicle use Furniture (o/than seats) of wood (o/than bentwood), of a kind used in the bedroom &amp; not designed for motor vehicle use Furniture (o/than seats &amp; o/than of 9402) of bentwood nesoi Furniture (o/than seats &amp; o/than of 9402) of wooden (o/than bentwood) nesoi Furniture (o/than seats &amp; o/than of 9402) of reinforced or laminated plastics nesoi Furniture (o/than seats &amp; o/than of 9402) of plastics (o/than reinforced or laminated) nesoi Bamboo furniture and parts Rattan furniture and parts Furniture (o/than seats) of cane, osier, or similar materials o/than bamboo or rattan Furniture (o/than seats &amp; o/than of 9402) of materials nesoi Parts of furniture (o/than seats), for furniture of a kind used for motor vehicles Parts of furniture (o/than seats), of cane, osier, bamboo or similar materials Parts of furniture (o/than seats or o/than of 9402),</w:t>
      </w:r>
    </w:p>
    <w:p>
      <w:pPr>
        <w:pStyle w:val="Normal"/>
        <w:widowControl/>
        <w:rPr/>
      </w:pPr>
      <w:r>
        <w:rPr/>
        <w:t>of reinforced or laminated plastics Parts of furniture (o/than seats or o/than of 9402), of rubber or plastics (o/than reinforced or laminated plastics) Parts of furniture (o/than seats or o/than of 9402), of textile material (o/than cotton) Parts of furniture (o/than seats or o/than of 9402), of wood Parts of furniture (o/than seats or o/than of 9402) nesoi Mattress supports Mattresses, of cellular rubber or plastics, whether or not covered Mattresses,</w:t>
      </w:r>
    </w:p>
    <w:p>
      <w:pPr>
        <w:pStyle w:val="Normal"/>
        <w:widowControl/>
        <w:rPr/>
      </w:pPr>
      <w:r>
        <w:rPr/>
        <w:t>of cotton Mattresses (o/than of cellular rubber or plastics or of cotton) Sleeping bags, containing 20% or more by weight of feathers and/or down Sleeping bags, not containing 20% or more by weight of feathers and/or down Pillows, cushions and similar furnishings, of cotton Pillows, cushions and similar furnishings, other than of cotton Arts. of bedding &amp; similar furnishings stuffed or internally fitted w/any material nesoi, of cotton, w/o embroidery/lace/braid/edging,etc Quilts, eiderdowns, comforters and similar articles, not of cotton Arts.</w:t>
      </w:r>
    </w:p>
    <w:p>
      <w:pPr>
        <w:pStyle w:val="Normal"/>
        <w:widowControl/>
        <w:rPr/>
      </w:pPr>
      <w:r>
        <w:rPr/>
        <w:t>of bedding &amp; similar furnishings stuffed or internally fitted w/any material nesoi Chandeliers and other electric ceiling or wall lighting fittings (o/than used for public spaces), of brass Chandeliers and other electric ceiling or wall lighting fixtures (o/than used for public spaces), of base metal (o/than brass) Chandeliers and other electric ceiling or wall lighting fixtures (o/than used for public spaces), not of base metal Electric table, desk, bedside or floor-standing lamps, of brass Electric table, desk, bedside or floor-standing lamps, of base metal (o/than brass) Electric table, desk, bedside or floor-standing lamps, not of base metal Lighting sets of a kind used for Christmas trees Electric lamps and lighting fixtures nesoi, of brass Electric lamps and lighting fixtures nesoi, of base metal (o/than brass) LEDs for backlighting of LCDs Electric lamps and lighting fixtures nesoi, not of base metal Non-electrical incandescent</w:t>
      </w:r>
    </w:p>
    <w:p>
      <w:pPr>
        <w:pStyle w:val="Normal"/>
        <w:widowControl/>
        <w:rPr/>
      </w:pPr>
      <w:r>
        <w:rPr/>
        <w:t>lamps designed to be operated by propane or other gas, or by compressed air and kerosene or gasoline Non-electrical lamps and lighting fixtures nesoi, of brass Non-electrical lamps and lighting fixtures nesoi, not of brass Illuminated signs, illuminated name plates and the like, of brass Illuminated signs, illuminated name plates and the like, of base metal (o/than brass) Illuminated signs, illuminated name plates and the like, not of base metal Parts of lamps, lighting fittings, illuminated signs &amp; the like, globes and shades, of lead crystal glass Parts of lamps, lighting fittings, illuminated signs &amp; the like, globes and shades, of glass (o/than lead crystal) Parts of lamps, lighting fittings, illuminated signs &amp; the like, chimneys, of glass Parts of lamps, lighting fixtures, illuminated signs &amp; the like, of glass nesoi Parts of lamps, lighting fixtures, illuminated signs &amp; the like, of plastics Parts of lamps, lighting fixtures, illuminated signs &amp; the like, of brass Parts of lamps, lighting fixtures, illuminated signs &amp; the like, not of glass, plastics or</w:t>
      </w:r>
    </w:p>
    <w:p>
      <w:pPr>
        <w:pStyle w:val="Normal"/>
        <w:widowControl/>
        <w:rPr/>
      </w:pPr>
      <w:r>
        <w:rPr/>
        <w:t>brass Prefabricated buildings of wood Prefabricated buildings not of wood Toys, including riding toys o/than bicycles, puzzles, reduced scale models Balls, for billiards Chalk, for billiards Tables, for billiards Articles nesoi and parts and accessories, for billiards Coin- or token-operated games for arcade, table or parlor (o/than bowling alley equipment) nesoi and parts and accessories thereof Playing cards Video</w:t>
      </w:r>
    </w:p>
    <w:p>
      <w:pPr>
        <w:pStyle w:val="Normal"/>
        <w:widowControl/>
        <w:rPr/>
      </w:pPr>
      <w:r>
        <w:rPr/>
        <w:t>game consoles and machines, other than those of heading 9504.30 Game machines (o/than coin- or token-operated) and parts and accessories thereof Chess, checkers, backgammon, darts and o/table and parlor games played on boards of a special design and parts thereof; poker chips and dice Articles nesoi for arcade, table or parlor games &amp; parts &amp; access.; automatic bowling alley equipment &amp; parts and accessories thereof Arts. for Christmas festivities, ornaments of glass Arts. for Christmas festivities, ornaments of wood Arts. for Christmas festivities, ornaments, not of glass or wood Arts. for Christmas festivities, nativity scenes and figures thereof Arts. for Christmas festivities (o/than ornaments &amp; nativity scenes) nesoi, of plastics Arts.</w:t>
      </w:r>
    </w:p>
    <w:p>
      <w:pPr>
        <w:pStyle w:val="Normal"/>
        <w:widowControl/>
        <w:rPr/>
      </w:pPr>
      <w:r>
        <w:rPr/>
        <w:t>for Christmas festivities (o/than ornaments &amp; nativity scenes) nesoi, not of plastics Magic tricks and practical joke articles, and parts &amp; accessories thereof nesoi Confetti, paper spirals or streamers, party favors, and noisemakers, and parts &amp; accessories thereof nesoi Festive, carnival or other entertainment articles nesoi and parts &amp; accessories thereof nesoi Skis, cross-country snow-skis Skis, snow-skis (o/than cross-country) Parts and accessories (o/than poles) for snow-skis Bindings and parts &amp; accessories thereof, for cross-country snow skis Bindings and parts &amp; accessories thereof, for snow-skis (o/than cross-country) Cross country snow-ski equipment nesoi, and parts &amp; accessories thereof nesoi Snow-ski (o/than cross country)</w:t>
      </w:r>
    </w:p>
    <w:p>
      <w:pPr>
        <w:pStyle w:val="Normal"/>
        <w:widowControl/>
        <w:rPr/>
      </w:pPr>
      <w:r>
        <w:rPr/>
        <w:t>equipment nesoi, and parts &amp; accessories thereof nesoi Sailboards Parts and accessories for sailboards Water-skis, surf boards, and other water sport equipment (o/than sailboards) and parts &amp; accessories thereof nesoi Golf clubs, complete Golf balls Golf equipment (o/than golf footwear) nesoi and parts &amp; accessories thereof Articles and equipment for table-tennis and parts &amp; accessories thereof Lawn-tennis rackets, strung Lawn-tennis rackets, not strung Parts and accessories for lawn-tennis rackets Badminton rackets and parts and accessories thereof Rackets for games (o/than for lawn-tennis or badminton) and parts &amp; accessories thereof Lawn-tennis balls Inflatable footballs and soccer balls Inflatable balls (o/than footballs and soccer balls) nesoi Baseballs and softballs Noninflatable hollow balls nesoi, w/diameter of 19 cm or less Noninflatable balls nesoi Roller skates and parts &amp; accessories thereof Ice skates w/footwear permanently attached Skates (o/than roller or ice) nesoi and parts &amp; access. thereof (incl. parts and accessories for ice skates w/perm. attach. footwear) Arts. and equip.</w:t>
      </w:r>
    </w:p>
    <w:p>
      <w:pPr>
        <w:pStyle w:val="Normal"/>
        <w:widowControl/>
        <w:rPr/>
      </w:pPr>
      <w:r>
        <w:rPr/>
        <w:t>for general physical exercise, gymnastics or athletics and parts &amp; accessories thereof Archery articles and equipment, and parts &amp; accessories thereof Badminton nets, of cotton Badminton articles and equipment (o/than rackets and cotton nets) and parts &amp; accessories thereof Baseball articles and equipment (o/than baseballs) and parts &amp; accessories thereof Football, soccer and polo articles and equipment (o/than balls), and parts &amp; accessories thereof Ice-hockey and field-hockey articles and equipment (o/than balls and skates), and parts &amp; accessories thereof Lacrosse sticks Lawn-tennis articles and equipment (o/than balls and rackets), and parts &amp; accessories thereof Skeet targets Toboggans; bobsleds and luges of a kind used in international competition Sleds and bobsleds (o/than bobsleds &amp; luges for intl.</w:t>
      </w:r>
    </w:p>
    <w:p>
      <w:pPr>
        <w:pStyle w:val="Normal"/>
        <w:widowControl/>
        <w:rPr/>
      </w:pPr>
      <w:r>
        <w:rPr/>
        <w:t>competition) and parts &amp; accessories for toboggans, sleds, bobsled, luges and the like Snowshoes and parts &amp; accessories thereof Swimming pools and wading pools and parts &amp; accessories thereof Athletic and sports articles and equipment nesoi, and parts &amp; accessories thereof nesoi Fishing rods and parts &amp; accessories thereof Fish hooks, snelled Fish hooks, not snelled Fishing reels, valued not over $2.70 each Fishing reels, valued over $2.70 but not over $8.45 each Fishing reels, valued over $8.45 each Parts and accessories for fishing reels Fishing line, put up and packaged for retail sale Fishing casts or leaders Fish landing nets, butterfly nets and similar nets Artificial baits and flies Line fishing tackle nesoi, decoy “birds” &amp; similar hunting or shooting equip., and parts &amp; access. thereof Traveling circuses and traveling menageries; parts and accessories thereof Merry-go-rounds, boat-swings, shooting galleries and other fairground amusements; traveling theaters;</w:t>
      </w:r>
    </w:p>
    <w:p>
      <w:pPr>
        <w:pStyle w:val="Normal"/>
        <w:widowControl/>
        <w:rPr/>
      </w:pPr>
      <w:r>
        <w:rPr/>
        <w:t>parts and accessories thereof Ivory, worked and articles thereof Shell, worked and articles thereof Coral, cut but not set, and cameos, suitable for use in jewelry Bone, horn, hoof, whalebone, quill, or any combination thereof, worked and articles thereof Carving materials of animal parts, worked and articles thereof, nesoi Unhardened gelatin, worked and articles thereof Wax, molded or carved articles Vegetable, mineral or gum materials, worked and articles of these materials Whiskbrooms, wholly or pt.</w:t>
      </w:r>
    </w:p>
    <w:p>
      <w:pPr>
        <w:pStyle w:val="Normal"/>
        <w:widowControl/>
        <w:rPr/>
      </w:pPr>
      <w:r>
        <w:rPr/>
        <w:t>of broom corn, n/o $0.96 each, first 61,655 doz in calendar year classif. In 9603.10.05-9603.10.35 Whiskbrooms, wholly or pt. of broom corn, n/o $0.96 each, &gt;first 61,655 dz in calendar year classif.</w:t>
      </w:r>
    </w:p>
    <w:p>
      <w:pPr>
        <w:pStyle w:val="Normal"/>
        <w:widowControl/>
        <w:rPr/>
      </w:pPr>
      <w:r>
        <w:rPr/>
        <w:t>In 9603.10.05-9603.10.35 Whiskbrooms, wholly or pt. of broom corn, over $0.96 each Brooms (o/than whiskbrooms), wholly or in part broom corn, val. n/o 96 cents ea, first 121478 dz in calendar yr, class. in 9603.10 Brooms (o/than whiskbrooms), wholly or in part broom corn, val. n/o 96 cents ea, in excess of 121478 dz in calendar yr., class in 9603.10 Brooms (o/than whiskbrooms), wholly or in part broom corn, val. ov 96 cents each Brooms &amp; brushes of twigs or vegetable materials (o/than broom corn) bound together, w/ or w/o handles Toothbrushes, including dental-plate brushes Shaving brushes, hair brushes, nail brushes, eyelash and other toilet brushes (o/than tooth brushes), valued n/o 40 cents each Shaving brushes, hair brushes, nail brushes, eyelash and other toilet brushes (o/than tooth brushes), valued o/40 cents each Artists’ brushes, writing brushes and similar brushes for the application of cosmetics, valued n/o 5 cents each Artists’ brushes, writing brushes and similar brushes for the application of cosmetics, valued o/5 cents but n/o 10 cents each Artists’ brushes, writing brushes and similar brushes for the application of cosmetics, valued o/10 cents each Paint rollers Paint, distemper, varnish or similar brushes (o/than artists’ brushes); paint pads Brushes,</w:t>
      </w:r>
    </w:p>
    <w:p>
      <w:pPr>
        <w:pStyle w:val="Normal"/>
        <w:widowControl/>
        <w:rPr/>
      </w:pPr>
      <w:r>
        <w:rPr/>
        <w:t>constituting parts of machines, appliances or vehicles, nesoi Feather dusters Brooms &amp; brushes nesoi, mops, hand-operated mechanical floor sweepers, squeegees and similar articles, nesoi Hand sieves and hand riddles Travel sets for personal toilet, sewing, shoe or clothes cleaning (o/than manicure and pedicure sets of 8214) Press-fasteners, snap-fasteners and press-studs and pts thereof, valued n/o 20 cents/dozen pieces or parts Press-fasteners, snap-fasteners and press-studs and pts thereof, valued o/20 cents/dozen pieces or parts Buttons, of casein, not covered with textile material Buttons, of acrylic resin or polyester resin, or both resins, not covered with textile material Buttons, of plastics (o/than casein, acrylic or polyester resins), not covered with textile materials Buttons, of base metal, not covered with textile material Buttons, of acrylic resin or polyester resin, or both resins, covered with textile material Buttons, of pearl or shell Buttons, nesoi Button blanks, of casein Button molds &amp; parts of buttons;</w:t>
      </w:r>
    </w:p>
    <w:p>
      <w:pPr>
        <w:pStyle w:val="Normal"/>
        <w:widowControl/>
        <w:rPr/>
      </w:pPr>
      <w:r>
        <w:rPr/>
        <w:t>button blanks (o/than casein) Slide fasteners, fitted with chain scoops of base metal Slide fasteners, not fitted with chain scoops of base metal Parts of slide fasteners Pens, w/ball point Pens and markers, w/felt tip or other porous-tip Pens, fountain, stylograph and other pens, nesoi Pencils, propelling or sliding, w/mechanical action for extending, or for extending and retracting, the lead Pencils, propelling or sliding pencils, not w/mechanical</w:t>
      </w:r>
    </w:p>
    <w:p>
      <w:pPr>
        <w:pStyle w:val="Normal"/>
        <w:widowControl/>
        <w:rPr/>
      </w:pPr>
      <w:r>
        <w:rPr/>
        <w:t>action for extending, or for extending and retracting, the lead Sets of pens, mechanical pencils, etc. from two or more subheadings 9608.10  9608.40 Refills for ball point pens, comprising the ball point and ink reservoir Pen nibs and nib points Refill cartridges for pens (o/than ball point pens) Balls for ball point pens Parts, of pens, mechanical pencils, etc. provided for in 9608.10, 9608.31, and 9608.39 (o/than balls for ball point pens) Duplicating stylos, pen-holders, pencil-holders and similar holders &amp; pts. thereof, and parts of pens, mech.pencils, etc. of 9608 nesoi Pencils &amp; crayons, with leads encased in a rigid sheath Pencil leads, black or colored, n/o 1.5 mm in maximum cross-sectional dimension Pencil leads, black or colored, o/1.5 mm in maximum cross-sectional dimension Tailors’ chalks Pencils &amp; crayons (o/than in rigid sheath), pastels, drawing charcoals and writing or drawing chalks, nesoi Slates and boards, with writing or drawing surfaces (whether or not framed) Date, sealing or numbering stamps and the like, designed for operating in the hand; hand-operated composing sticks and hand printing sets Ribbons, inked or otherwise prepared, less than 30 mm wide, put up in plastic/metal cart., of a kind used in typewriters, ADP or other mach.</w:t>
      </w:r>
    </w:p>
    <w:p>
      <w:pPr>
        <w:pStyle w:val="Normal"/>
        <w:widowControl/>
        <w:rPr/>
      </w:pPr>
      <w:r>
        <w:rPr/>
        <w:t>Ribbons, inked or otherwise prepared (whether or not on spools) nesoi, for typewriters and similar uses Ink pads (whether or not inked and with or without boxes) Cigarette lighters and similar lighters, gas fueled, not refillable, for the pocket Cigarette lighters and similar lighters, gas fueled, refillable, for the pocket Cigarette lighters and similar lighters, for the table Cigarette lighters and similar lighters (other than pocket or table), electrical Cigarette lighters &amp; similar lighters (o/than pocket or table), n/elect., of prec.metal (o/than silver), precious/semiprec. stones, or comb.</w:t>
      </w:r>
    </w:p>
    <w:p>
      <w:pPr>
        <w:pStyle w:val="Normal"/>
        <w:widowControl/>
        <w:rPr/>
      </w:pPr>
      <w:r>
        <w:rPr/>
        <w:t>Cigarette lighters &amp; similar lighters (o/than pocket or table), n/elect., nesoi, valued n/o $5/dozen pieces Cigarette lighters &amp; similar lighters (o/than pocket or table), n/elect., nesoi, valued over $5/dozen pieces Parts for electrical cigarette lighters and similar lighters Parts for nonelectrical cigarette lighters and similar lighters Roughly shaped blocks of wood or root, for the manufacture of smoking pipes Smoking pipes (o/than roughly shaped blocks of wood or root for the manufacture of smoking pipes) and pipe bowls of wood or root Smoking pipes and bowls, wholly of clay, and other smoking pipes w/bowls wholly of clay Smoking pipes and pipe bowls (o/than wood, root or wholly of clay) Cigar or cigarette holders of metal; parts of metal for smoking pipes &amp; bowls or for cigar or cigarette holders Cigar or cigarette holders o/than of metal; parts o/than of metal for smoking</w:t>
      </w:r>
    </w:p>
    <w:p>
      <w:pPr>
        <w:pStyle w:val="Normal"/>
        <w:widowControl/>
        <w:rPr/>
      </w:pPr>
      <w:r>
        <w:rPr/>
        <w:t>pipes &amp; bowls or for cigar or cigarette holders Combs, of hard rubber or plastics, valued n/o $4.50 per gross Combs, of hard rubber, valued over $4.50 per gross Combs, of plastics, valued over $4.50 per gross Hair slides and the like, of hard rubber or plastics, not set with imitation pearls or imitation gemstones Hair slides and the like, of hard rubber or plastics, set w/imitation pearls or imit. gemstones Combs, not of hard rubber or plastics, valued n/o $4.50 per gross Combs, not of hard rubber or plastics, valued over $4.50 per gross Hair-slides and the like, not of hard rubber or plastics Nonthermic, nonornamental devices for curling the hair Hair pins Hair accessories and pts thereof, and pts. of combs, hair slides, etc. nesoi, of rubber or plastics, n/set w/imit. pearls or imit. gemstones Hair accessories and pts thereof, and pts. of combs, hair slides, etc.</w:t>
      </w:r>
    </w:p>
    <w:p>
      <w:pPr>
        <w:pStyle w:val="Normal"/>
        <w:widowControl/>
        <w:rPr/>
      </w:pPr>
      <w:r>
        <w:rPr/>
        <w:t>nesoi Scent sprayers and similar toilet sprayers, and mounts and heads therefor Powder puffs and pads for the application of cosmetics or toilet preparations Vacuum flasks and vessels, complete with cases, w/capacity n/o 1 liter Vacuum flasks and vessels, complete with cases, w/capacity o/1 liter but n/o 2 liters Vacuum flasks and vessels, complete with cases, w/capacity o/2 liters Vacuum flask and vacuum vessel parts (o/than glass liners) Tailors’ dummies and other mannequins;</w:t>
      </w:r>
    </w:p>
    <w:p>
      <w:pPr>
        <w:pStyle w:val="Normal"/>
        <w:widowControl/>
        <w:rPr/>
      </w:pPr>
      <w:r>
        <w:rPr/>
        <w:t>automatons and other animated displays used for shop window dressing Sanitary napkins and tampons, diapers and diaper liners and similar sanitary articles, of plastics Sanitary napkins and tampons, diapers and diaper liners and similar sanitary articles, of paper pulp Sanitary napkins and tampons, diapers and diaper liners and similar sanitary articles, other than of paper pulp Sanitary towels and tampons, diapers and diaper liners for babies and similar sanitary articles, of wadding of cotton Sanitary towels and tampons, diapers and diaper liners for babies &amp; similar sanitary articles, of wadding of other textile materials, nesoi Babies’ diapers, knitted or crocheted, of cotton, nesoi Babies’ diapers nesoi, of cotton, not knitted or crocheted Babies’ diapers, not knitted or crocheted, nesoi, of synthetic fibers Babies’ diapers, not knitted or crocheted, nesoi, of artificial fibers Babies diapers, of textile materials (except wool, cotton or mmf), containing under 70% by weight of silk, k/c Babies’</w:t>
      </w:r>
    </w:p>
    <w:p>
      <w:pPr>
        <w:pStyle w:val="Normal"/>
        <w:widowControl/>
        <w:rPr/>
      </w:pPr>
      <w:r>
        <w:rPr/>
        <w:t>diapers, of textile mats(except wool, cotton or mmf), cont under 70% by wt of silk or silk waste, not k/c Other sanitary garments nesoi, knitted or crocheted, of cotton Other sanitary garments nesoi, knitted or crocheted, of man-made fibers Other sanitary garments, nesoi, of textile materials (except wool, cotton or mmf), &lt; 70% by wt of silk or silk waste, knitted/crocheted Other sanitary garments nesoi, not knitted or crocheted, of cotton Other sanitary garments nesoi, not knitted or crocheted, of man-made fibers Men’s or boys’ other sanitary garments, nesoi, of tex mat(except wool, cotton or mmf), cont under 70% by wt of silk, not k/c Women’s or girls’ other sanitary garments, nesoi, of tex mat(except wool, cotton or mmf), cont under 70% by wt of silk, not k/c Other sanitary included articles of textile materials, nesoi Monopods, bipods, tripods and similar articles, accessories of heading 8519 or 8521 Monopods, bipods, tripods and similar articles, accessories of heading 9005 Monopods, bipods, tripods and similar articles, accessories of heading 9006, other than</w:t>
      </w:r>
    </w:p>
    <w:p>
      <w:pPr>
        <w:pStyle w:val="Normal"/>
        <w:widowControl/>
        <w:rPr/>
      </w:pPr>
      <w:r>
        <w:rPr/>
        <w:t>cinematographic Monopods, bipods, tripods and similar articles, accessories of heading 9007 Monopods, bipods, tripods and similar articles, accessories of heading 9015, including rangefinders Monopods, bipods, tripods and similar articles of plastics, nesoi Monopods, bipods, tripods and similar articles of wood, nesoi Monopods, bipods, tripods and similar articles of graphite and other carbon, nesoi Monopods,</w:t>
      </w:r>
    </w:p>
    <w:p>
      <w:pPr>
        <w:pStyle w:val="Normal"/>
        <w:widowControl/>
        <w:rPr/>
      </w:pPr>
      <w:r>
        <w:rPr/>
        <w:t>bipods, tripods and similar articles of iron and steel, nesoi Monopods, bipods, tripods and similar articles of aluminum, nesoi Paintings, drawings (o/than of 4906) and pastels, executed entirely by hand, whether or not framed Collages and similar decorative plaques, executed entirely by hand, whether or not framed Original engravings, prints and lithographs, whether or not framed Original sculptures and statuary, in any material Postage or revenue stamps, stamp-postmarks, first-day covers, postal stationery, and the like, used or unused, other than heading 4907 Collections and collectors’ pieces of zoological, botanical, mineralogical, anatomical, historical, archaeological etc. interest Antiques of an age exceeding one hundred years U.S. goods returned without having been advanced in value or improved in condition while abroad U.S.</w:t>
      </w:r>
    </w:p>
    <w:p>
      <w:pPr>
        <w:pStyle w:val="Normal"/>
        <w:widowControl/>
        <w:rPr/>
      </w:pPr>
      <w:r>
        <w:rPr/>
        <w:t>Government property, returned to the United States without having been advanced in value or improved in condition by any means while abroad Articles reimported without having advanced in value or improved in condition while abroad, under lease to a foreign manufacturer Articles reimported without having advanced in value or improved in condition while abroad, or do not conform to specifications Articles sold for export for personal use and reimported without having advanced in value or improved in condition while abroad by exporter Any aircraft engine or part reimported without having advanced or improved while abroad, after temporary substitution for engine overhauled Articles returned after temporary export for exhibition, examination or experimentation, for scientific or educational purposes Articles returned after temporary export for exhibition in connection with any circus or menagerie Articles returned after temporary export for exhibition or use at any public exposition, fair or conference Art. ret. after temp. export for rendition of geophysical or contr. services, connected w/exploration, extract. or dev.</w:t>
      </w:r>
    </w:p>
    <w:p>
      <w:pPr>
        <w:pStyle w:val="Normal"/>
        <w:widowControl/>
        <w:rPr/>
      </w:pPr>
      <w:r>
        <w:rPr/>
        <w:t>of natural resources Previously exported aircraft with benefit of drawback, dutiable upon return Previously exported articles except aircraft, dutiable upon return Professional books, implements, instruments &amp; tools of trade, occupation or employment returned US by person after use temporarily abroad U.S.</w:t>
      </w:r>
    </w:p>
    <w:p>
      <w:pPr>
        <w:pStyle w:val="Normal"/>
        <w:widowControl/>
        <w:rPr/>
      </w:pPr>
      <w:r>
        <w:rPr/>
        <w:t>domestic animals and offspring returned from straying across the border or returned from pasture abroad within 8 months Photographic films and dry plates manufactured in U.S.(except commercial motion- picture film) and exposed abroad, whether developed or not Articles returned to the U.S. after having been exported for repairs or alterations, made pursuant to a warranty Articles returned to the U.S. after having been exported for repairs or alterations, nesi Textile and apparel goods, assembled in Mexico in which all fabric components were wholly formed and cut in the United States, etc.</w:t>
      </w:r>
    </w:p>
    <w:p>
      <w:pPr>
        <w:pStyle w:val="Normal"/>
        <w:widowControl/>
        <w:rPr/>
      </w:pPr>
      <w:r>
        <w:rPr/>
        <w:t>Substantial containers and holders, either U.S. or foreign prev. imported and dutied; specified instruments of international traffic, etc books, libraries, usual furniture &amp; household effects, used 1 year+, and n/for other person, or for sale For person arriving in the U.S.: professional books, implements, instruments &amp; tools of trade/occupation/employ., previously taken abroad For person emigrating to the U.S.: professional books, implements, instruments &amp; tools of trade/occupation/employ., he owned &amp; used abroad For person arriving in the U.S., not returning resident: certain wearing apparel, personal adornment art., toilet art. &amp; personal effects For person arriving in the U.S., not returning resident: up to 50 cigars, 200 cigarettes, or 2 kg smoking tobacco &amp; n/ov. 1 liter of alcohol For person arriving in the U.S., not returning resident: n/over $100 of articles (n/alcohol. bev.</w:t>
      </w:r>
    </w:p>
    <w:p>
      <w:pPr>
        <w:pStyle w:val="Normal"/>
        <w:widowControl/>
        <w:rPr/>
      </w:pPr>
      <w:r>
        <w:rPr/>
        <w:t>or cigarettes, n/over 100 cigars) for gift For person arriving in the U.S., not returning resident: automobiles &amp; other means of transport, import connected w/arrival, for personal us For person arriving in the U.S., not returning resident: n/over $200 of articles (w/n/over 4 liters alcohol. bev.) for a person in transit For person arriving in the U.S., returning resident, etc.: all personal and household effects taken abroad by him or for his account For person arriving in the U.S., returning resident, etc.: articles of metal (incl. medals, etc.), bestowed by foreign countries or citizens For person arriving in the U.S., returning resident, etc.: game animals, birds &amp; fish killed abroad by him &amp; not for noncommercial purposes For person arriving in the U.S., returning resident, etc.: automobiles rented by U.S. resident while abroad and imported for personal use For person arriving in the U.S., returning resident, etc.: acquired abroad, accompanying: n/over $400 value, etc (limit on tobacco &amp; alcoho For person arriving in the U.S., returning resident, etc.: acquired abroad: n/over $1,200 value, etc (limit on tobacco &amp; alcohol):</w:t>
      </w:r>
    </w:p>
    <w:p>
      <w:pPr>
        <w:pStyle w:val="Normal"/>
        <w:widowControl/>
        <w:rPr/>
      </w:pPr>
      <w:r>
        <w:rPr/>
        <w:t>insular For person arriving in the U.S., returning resident, etc.: acquired abroad: n/over $600 value, etc (limit on tobacco &amp; alcohol): beneficiar For person arriving in the U.S., returning resident, etc.: article imported to replace like art. previously exempted under 9804.00.70, etc.</w:t>
      </w:r>
    </w:p>
    <w:p>
      <w:pPr>
        <w:pStyle w:val="Normal"/>
        <w:widowControl/>
        <w:rPr/>
      </w:pPr>
      <w:r>
        <w:rPr/>
        <w:t>Articles (limits on tobacco &amp; alcohol), for personal use of person leaving a vessel, etc. engaged in int’l. traffic, on which employed, etc. Personal &amp; household effects, not stock in trade, part of estate of a citizen of the United States who died abroad Personal &amp; household effects (limit on alcohol &amp; tobacco) of person in U.S. service returning at end of assignment to extended duty, etc.</w:t>
      </w:r>
    </w:p>
    <w:p>
      <w:pPr>
        <w:pStyle w:val="Normal"/>
        <w:widowControl/>
        <w:rPr/>
      </w:pPr>
      <w:r>
        <w:rPr/>
        <w:t>Baggage and effects of the following aliens (on req. of Dept. of State): ambassadors, ministers and other rep., etc. &amp; their families etc Baggage and effects of the following aliens (on req. of Dept. of State): diplomatic couriers of foreign governments Baggage and effects of the following aliens (on req. of Dept. of State): rep. etc. of foreign govt in or to public int’l organizations, etc Baggage and effects of the following aliens (on req. of Dept. of State): persons on duty in the U.S. as members of foreign armed forces, etc Baggage and effects of the following aliens (on req. of Dept. of State): persons designated by the State Dept. as foreign high officials, et Baggage and effects of the following aliens (on req. of Dept. of State): persons designated by statute or treaty ratified by the U.S. Senate On req. of Dept. of State: personal effects and equip. of groups of foreign residents arriving on goodwill visits of short duration, etc. Art. for the personal or family use of the following aliens on duty in U.S.</w:t>
      </w:r>
    </w:p>
    <w:p>
      <w:pPr>
        <w:pStyle w:val="Normal"/>
        <w:widowControl/>
        <w:rPr/>
      </w:pPr>
      <w:r>
        <w:rPr/>
        <w:t>(on req. of Dept. of State): ambassadors, etc. of embassies, etc Art.</w:t>
      </w:r>
    </w:p>
    <w:p>
      <w:pPr>
        <w:pStyle w:val="Normal"/>
        <w:widowControl/>
        <w:rPr/>
      </w:pPr>
      <w:r>
        <w:rPr/>
        <w:t>for the personal or family use of the following aliens on duty in U.S. (on req. of Dept. of State): members of foreign armed forces Art. for the personal or family use of the following aliens on duty in U.S. (on req. of Dept. of State): other rep. &amp; employ. of foreign gov Art. for the personal or family use of the following aliens on duty in U.S. (on req. of Dept. of State): persons designated by statute, etc Art. of metal (incl. medals, trophies &amp; prizes), for bestowal on persons in U.S., as honorary dist., by foreign countries or their citizens Upon req. of the Dept. of State, articles from citizens of foreign countries for presentation to the Pres. or Vice Pres. of the U.S. Engravings, etchings, photographic prints or exposed films, video tapes, and govt. publications on micromedia; all for U.S. govt. agency use Sound recordings and recorded video tapes for State Department use under the U.S.I.E.E.</w:t>
      </w:r>
    </w:p>
    <w:p>
      <w:pPr>
        <w:pStyle w:val="Normal"/>
        <w:widowControl/>
        <w:rPr/>
      </w:pPr>
      <w:r>
        <w:rPr/>
        <w:t>Act of 1948 Materials certified to the Commissioner of Customs by authorized military procuring agencies to be emergency war material purchased abroad Materials certified to the Commissioner of Customs by GSA to be strategic and critical for stockpiles Material certified to the Comm. of Customs by the Nuclear Regulatory Comm. or the Dept. of Energy to be necessary for defense and security Plants, seeds and all other material for planting for use of the Department of Agriculture or United States Botanic Garden Materials certified to the Comm.</w:t>
      </w:r>
    </w:p>
    <w:p>
      <w:pPr>
        <w:pStyle w:val="Normal"/>
        <w:widowControl/>
        <w:rPr/>
      </w:pPr>
      <w:r>
        <w:rPr/>
        <w:t>of Customs by the Commodity Credit Corp. to be materials acquired by barter or exchange of agri. products Materials certified by NASA to the Comm. of Customs to be imported to be launched into space by NASA, spare parts and support equipment Public documents, incl. microfiche etc. (incl. motion pictures &amp; other films, video tapes &amp; audio tapes) issued by a foreign government, et For foreign govt on a recip. basis &amp; for public intl. org.</w:t>
      </w:r>
    </w:p>
    <w:p>
      <w:pPr>
        <w:pStyle w:val="Normal"/>
        <w:widowControl/>
        <w:rPr/>
      </w:pPr>
      <w:r>
        <w:rPr/>
        <w:t>(on req. of Dept. of State): office supplies &amp; other art. for the official use For foreign govt on a recip. basis &amp; for public intl. org.: articles for the official use of members foreign armed forces on duty in the U.S On req. of Dept. of State, property of a foreign govt or public intl. org.: used in noncommercial functions, exhibitions, etc On req. of Dept. of State, property of a foreign govt or public intl. org.: prosthetic appliances furnished by foreign govt to armed forces On req. of Dept. of State, property of a foreign govt or public intl. org.: headstones furnished by foreign govt for graves of its war vet. On req. of Dept. of State, property of a foreign govt or public intl. org.: gifts to the various govt. or public institutions in U.S. On req. of Dept. of State, property of a foreign govt or public intl. org.: printed matter, not containing advertising, for free distrib.</w:t>
      </w:r>
    </w:p>
    <w:p>
      <w:pPr>
        <w:pStyle w:val="Normal"/>
        <w:widowControl/>
        <w:rPr/>
      </w:pPr>
      <w:r>
        <w:rPr/>
        <w:t>Drawings, engravings, etchings and similar articles bound or unbound, and exposed photographic films for use of religious institutions Painted, colored or stained glass windows and parts valued over $161 per square meter, by a professional artist, for religious institutions Regalia for the use of religious institutions Handwoven fabrics, to be used by religious institutions in making religious vestments for its own use or sale Altars, pulpits, communion tables, fonts, mosaics, shrines and similar articles for use of religious institutions Drawings and plans, reproductions, engravings, globes, sound recordings and similar articles for use of public institutions Symbols, arithmetical materials, printed matter, shapes, figures, models and other classroom materials for the instruction of children Sculptures and statuary for use of any public or nonprofit institutions for educational, scientific, philosophical or fine arts purposes Regalia for use of any public or nonprofit institution for educational, scientific, literary, philosophical or fine arts purposes Any textile machine or machinery, or part thereof, solely for the instruction of students in any public or nonprofit institutions Patterns</w:t>
      </w:r>
    </w:p>
    <w:p>
      <w:pPr>
        <w:pStyle w:val="Normal"/>
        <w:widowControl/>
        <w:rPr/>
      </w:pPr>
      <w:r>
        <w:rPr/>
        <w:t>and models exclusively for exhibition or educational use at any public or nonprofit institution Instruments and apparatus, not manufactured in the U.S., to be used in nonprofit institutions for educational or scientific purposes Repair components for instruments or apparatus admitted</w:t>
      </w:r>
    </w:p>
    <w:p>
      <w:pPr>
        <w:pStyle w:val="Normal"/>
        <w:widowControl/>
        <w:rPr/>
      </w:pPr>
      <w:r>
        <w:rPr/>
        <w:t>under heading 98100060 Tools specially designed for maintenance, etc. of instruments and apparatus of subheading 9810.00.60 Wild animals (including birds and fish) imported for use or sale for use in any scientific public collection for exhibition Lifeboats and life-saving apparatus for lifesaving institutions Radiation apparatus (including parts or accessories) for nonprofit institutions for educational, scientific or therapeutic purposes Cellulosic plastics materials for use in artificial kidney machine by a hospital or by a patient pursuant to prescription of a physician Prayer shawls, bags for the keeping of prayer shawls, and headwear of a kind used for public or private religious observances Scrolls or tablets of wood or paper, commonly known as Gohonzon, imported for use in public or private religious observances Alcoholic bev. samples (each containing &lt;or=n 300 ml if a malt be., &lt;or= 150 ml if wine &amp; &lt;or= 100 ml if other) for use in soliciting orders Samples of tobacco products, etc. (limited to 3 cigars, cigarettes, cig.</w:t>
      </w:r>
    </w:p>
    <w:p>
      <w:pPr>
        <w:pStyle w:val="Normal"/>
        <w:widowControl/>
        <w:rPr/>
      </w:pPr>
      <w:r>
        <w:rPr/>
        <w:t>tubes or papers, 3.5 gm tobacco or snuff), for soliciting orders Any sample (except 9811.00.20 or 9811.00.40), valued n/over $1 each, or marked, torn, or otherwise unsuitable for sale, for soliciting order Articles imported by certain organizations, only for exhibition to encourage agriculture, arts, education or science without bond without bond Articles imported by any institution, society or state, or for a municipal corporation, for the purpose of erecting a public monument without bond without bond Articles to be repaired, altered or processed (including processes which result in articles manufactured or produced in the United States) without bond without bond Models of women’s wearing apparel imported by manufacturers for use solely as models in their own establishments without bond without bond Art. imp. by illustrators and photographers for use as models in their establishments, in illustrating of catalogues or advertising matters without bond without bond Samples solely for use in taking orders for merchandise without bond without bond Articles for examination w/view to reproduction, or for such examination and reproduction; and motion-picture advertising films without bond without bond Articles intended for testing, experimental or review purposes, incl.</w:t>
      </w:r>
    </w:p>
    <w:p>
      <w:pPr>
        <w:pStyle w:val="Normal"/>
        <w:widowControl/>
        <w:rPr/>
      </w:pPr>
      <w:r>
        <w:rPr/>
        <w:t>spec., photos and similar articles for use in experiments or for stud without bond without bond Automobiles, and other vehicles and craft, and the usual equip.; all temporarily imported by nonresidents for races or other specific contes without bond without bond Locomotives and other railroad equipment temporarily imported for use in clearing obstructions, fighting fire, making emergency repairs, etc without bond without bond Containers for compressed gases, &amp; containers, etc. for use for covering or holding merchandise during transportation and suitable for reuse without bond without bond Professional equip., tools of trade, &amp; repair components for such and camping equipment; imported by nonresidents sojourning temp. in U.S. without bond without bond Articles of special design for temporary use exclusively in connection with the manufacture or production of articles for export without bond without bond Animals and poultry brought into the U.S. for the purpose of breeding, exhibition or competition for prizes, and the usual equipment therefo without bond without bond Art, engravings, photos &amp; philo./scien. appar. imported by artist, lecturer or scientist for exhib.</w:t>
      </w:r>
    </w:p>
    <w:p>
      <w:pPr>
        <w:pStyle w:val="Normal"/>
        <w:widowControl/>
        <w:rPr/>
      </w:pPr>
      <w:r>
        <w:rPr/>
        <w:t>or promotion of art, science &amp; industry without bond without bond Automobiles, chassis, bodies, cutaway portions of such, and parts for such, finished, unfinished or cutaway, intended for show purposes without bond without bond Tea, tea waste, and tea siftings and sweepings, for manufacturing of chemical products without bond without bond Products of American fisheries which have not been landed in a foreign country, or landed solely for transshipment Fish (except cod, cusk, haddock, hake, mackerel, pollock and swordfish) landed abroad only for evisceration and/or chilling or freezing Products of American fisheries, prepared or preserved by American fishery on treaty coasts of Labrador, Magdalen Isles or Newfoundland Articles for personal or household use, or as gifts, valued not over $1,000, accompanying a person, arriving in the U.S.</w:t>
      </w:r>
    </w:p>
    <w:p>
      <w:pPr>
        <w:pStyle w:val="Normal"/>
        <w:widowControl/>
        <w:rPr/>
      </w:pPr>
      <w:r>
        <w:rPr/>
        <w:t>Articles for personal or household use, or as gifts, valued not over $1,000, accompanying a person arriving from an insular possessions Monofilament gill nets or sections or parts of nets to be used for fish sampling Nets (incl. section or parts) to be used in taking wild birds under license issued by an appropriate Federal or State government authority Visual or auditory material of educational, scientific or cultural character (except toy models) per U.S.</w:t>
      </w:r>
    </w:p>
    <w:p>
      <w:pPr>
        <w:pStyle w:val="Normal"/>
        <w:widowControl/>
        <w:rPr/>
      </w:pPr>
      <w:r>
        <w:rPr/>
        <w:t>note 1(a) of subchapter XVII Holograms; microfilm, microfiche, etc.; the foregoing if defined as visual or auditory materials Motion picture films if defined as visual or auditory materials Sound, sound+visual, and magnetic recordings; video discs, tapes, etc.; the foregoing if defined as visual or auditory materials Various specific articles and kits used generally as aids to learning or instruction, if defined as visual or auditory materials Machinery, equipment and implements to be used for agricultural or horticultural purposes Parts to be used in articles provided for in headings 8432, 8433, 8434, and 8436 Animals, game, imported to be liberated in the United States for stocking purposes Articles of copper to be used in remanufacture by melting, or by shredding, shearing, etc.</w:t>
      </w:r>
    </w:p>
    <w:p>
      <w:pPr>
        <w:pStyle w:val="Normal"/>
        <w:widowControl/>
        <w:rPr/>
      </w:pPr>
      <w:r>
        <w:rPr/>
        <w:t>rendering suitable only for recovery of metal Specified unwrought metal and forms or articles of metal for remanufacture or for recovery of the metal content Books, music and pamphlets, in raised print, used exclusively by or for the blind Braille tablets, cubarithms, and special apparatus, machines, presses, and types for use by or benefit exclusively of the blind Other articles specially designed or adapted for the use or benefit of the blind or other physically or mentally handicapped persons Articles specially designed or adapted for the use or benefit of the blind or other physically or mentally handicapped persons, nesi Rum, tafia, liqueurs and spirituous beverages, of subheading 2208.40 or</w:t>
      </w:r>
    </w:p>
    <w:p>
      <w:pPr>
        <w:pStyle w:val="Normal"/>
        <w:widowControl/>
        <w:rPr/>
      </w:pPr>
      <w:r>
        <w:rPr/>
        <w:t>2208.90, and described in US note 6 to this subchapter Photographic color couplers &amp; cyclic organic chemical products, having an aromatic or mod. aromatic structure, used in the mfg. of such Methanol (Methyl alcohol) produced from natural gas aboard a vessel on the high seas or in foreign waters Certain needle-craft display models, primarily hand stitched, of completed mass- produced kits (of certain specified headings) Articles not sale/distribution to the public:</w:t>
      </w:r>
    </w:p>
    <w:p>
      <w:pPr>
        <w:pStyle w:val="Normal"/>
        <w:widowControl/>
        <w:rPr/>
      </w:pPr>
      <w:r>
        <w:rPr/>
        <w:t>personal effect/equipment of foreign participant or official of international athletic events Articles of ski racing apparel which, are specially designed to protect against injuries from the sport of ski racing Footwear, not heading 9021, for support/hold foot after illness, injury or operation, provided certain conditions are met Certain mounted tool and drill bit blanks of polycrystalline diamond &amp; mounted tool blanks of polycrystalline diamond (of certain headings) Certain wheelbuilding, wheel-trueing, rimpunching, tire fitting and similar machines, for use in the manufacture of wheels for bicycles Prototypes to be used exclusively for development, testing, product evaluation, or quality control purposes Utilitarian articles of a kind used in the home in the performance of specific religious or cultural ritual celebrations for religious or cu Utilitarian articles in the form of a three-dimensional representation of a symbol or motif clearly associated with a specific holiday in t Any equipment or part</w:t>
      </w:r>
    </w:p>
    <w:p>
      <w:pPr>
        <w:pStyle w:val="Normal"/>
        <w:widowControl/>
        <w:rPr/>
      </w:pPr>
      <w:r>
        <w:rPr/>
        <w:t>purchased for, or repair parts used, or expense of repairs made to, a LASH (Lighter Aboard Ship) barge Spare repair parts or materials which the owner or master of a vessel certifies are intended for use aboard a cargo vessel, etc. Spare parts necessarily installed before first entry into the U.S., upon first entry into the U.S. of each such spare part, etc. Other equipment or parts, upon first arrival in any port of the U.S. of any vessel described in U.S. note 1 to subch. XVIII of chap. 98 TARIFF SCHEDULE OF THE UNITED STATES: APPENDIX 1 HTSUS 1 July 2017 Brief Description Base Rate Staging Category for Canada Milk and cream, not concentrated, not sweetened, fat content o/6% but not o/10%, not subject to gen. nte 15 or add. nte 5 to Ch. 4 77.2 cents/liter TRQ-US 1 Milk and cream, not concentrated, not sweetened, fat content o/10% but not o/45%, not subject to gen. nte 15 or add. nte 5 to Ch. 4 77.2 cents/liter TRQ-US 1 Milk and cream, not concentrated, not sweetened, fat content o/45%, not subject to gen. nte 15 or add. nte 6 to Ch.</w:t>
      </w:r>
    </w:p>
    <w:p>
      <w:pPr>
        <w:pStyle w:val="Normal"/>
        <w:widowControl/>
        <w:rPr/>
      </w:pPr>
      <w:r>
        <w:rPr/>
        <w:t>4 $1.646/kg TRQ-US 3 Milk &amp; cream in powder granules/other solid forms fat content by weight not exceeding 1.5% whether/not sweetened, nesi 86.5 cents/kg TRQ-US 2 Milk &amp; cream, concen, not sweetened, in powder, granules or other solid forms, w/fat content o/1.5% but not o/3%, not subj GN15/Ch4 US note7 86.5 cents/kg TRQ-US 2 Milk &amp; cream, concen, not sweetened, in powder/granules/oth solid forms, fat cont o/3% but not o/35%, not subj to GN15 or Ch 4 US.S. note 7 $1.092/kg TRQ-US 5 Milk &amp; cream, concen, not sweetened, in powder, granules or other solid forms, w/fat content o/35%, not subj to GN15 or Ch4 US note 9 $1.556/kg TRQ-US 3 Milk &amp; cream, concen, sweetened, in powder, granules or other solid forms, w/fat content o/1.5%, not subj to GN15 or Ch4 US note 10 $1.104/kg + 14.9% TRQ-US 5 Milk &amp; cream, concen in non-solid forms, not sweetened, in airtight containers, not subject to gen. note 15 or add.</w:t>
      </w:r>
    </w:p>
    <w:p>
      <w:pPr>
        <w:pStyle w:val="Normal"/>
        <w:widowControl/>
        <w:rPr/>
      </w:pPr>
      <w:r>
        <w:rPr/>
        <w:t>US note 11 to Ch.4 31.3 cents/kg TRQ-US 7 Milk and cream, concentrated, in other than powder, granules or other solid forms, unsweetened, other than in airtight containers 31.3 cents/kg TRQ-US 7 Condensed milk, sweetened, in airtight containers, not subject to gen. note 15 or add. US note 11 to Ch.4 49.6 cents/kg TRQ-US 7 Condensed milk, sweetened, not in airtight containers, not subject to gen. note 15 or add. US note 11 to Ch.4 49.6 cents/kg TRQ-US 7 Milk &amp; cream (except condensed milk), concentrated in non-solid forms, sweetened, not desc. gen. note 15 or add.</w:t>
      </w:r>
    </w:p>
    <w:p>
      <w:pPr>
        <w:pStyle w:val="Normal"/>
        <w:widowControl/>
        <w:rPr/>
      </w:pPr>
      <w:r>
        <w:rPr/>
        <w:t>US note 10 to Ch. 4 46.3 cents/kg + 14.9% TRQ-US 7 Yogurt, in dry form, whether or not flavored or containing add fruit or cocoa, not subject to gen nte 15 or add. US nte 10 to Ch.4 $1.035/kg + 17% TRQ-US 6 Sour cream, fluid, n/o 45% by wt. butterfat, not subject to gen nte 15 or add US note 5 to Ch.4 77.2 cents/liter TRQ-US 1 Sour cream, dried, n/o 6% by wt. butterfat, not subject to gen nte 15 or add. US note 12 to Ch. 4 87.6 cents/kg TRQ-US 6 Sour cream, dried, o/6% but n/o 35% by wt. butterfat, not subject to gen nte 15 or add. US note 8 to Ch. 4 $1.092/kg TRQ-US 6 Sour cream, dried, o/35% but n/o 45% by wt. butterfat, not subject to gen nte 15 or add. US note 9 to Ch. 4 $1.556/kg TRQ-US 3 Sour cream, o/45% by wt. butterfat, not subject to gen nte 15 or add. US note 6 to Ch.</w:t>
      </w:r>
    </w:p>
    <w:p>
      <w:pPr>
        <w:pStyle w:val="Normal"/>
        <w:widowControl/>
        <w:rPr/>
      </w:pPr>
      <w:r>
        <w:rPr/>
        <w:t>4 $1.646/kg TRQ-US 3 Curdled milk/cream/kephir &amp; other fermentd or acid. milk/cream subj to GN 15 or Ch4 US note 10 $1.034/kg + 17% TRQ-US 6 Modified whey (except protein conc.), wheth/not conc. or sweetened, not subject to gen. note 15 $1.035/kg + 8.5% B11; TRQ-US 6 Whey (except modified whey), dried, whether or not conc. or sweetened, not subject to gen. note 15 or add US nte 12 to Ch.4 87.6 cents/kg B11; TRQ-US 6 Dairy products of nat. milk constituents (except protein conc.), descr. in add. US nte 1 to Ch. 4 &amp; not subj to GN15 or Ch4 US note 10 $1.189/kg + 8.5% TRQ-US 6 Butter not subject to general note 15 and in excess of quota in chapter 4 additional U.S.</w:t>
      </w:r>
    </w:p>
    <w:p>
      <w:pPr>
        <w:pStyle w:val="Normal"/>
        <w:widowControl/>
        <w:rPr/>
      </w:pPr>
      <w:r>
        <w:rPr/>
        <w:t>note $1.541/kg TRQ-US 3 Butter substitute dairy spreads, over 45% butterfat weight, not subj to gen note 15 and in excess of quota in ch. 4 additional US note 14 $1.996/kg TRQ-US 3 Other dairy spreads of a type provided in ch. 4 add. US note 1, not subject to gen note 15 and in excess of quota in ch. 4 add. US note 10 70.4 cents/kg + 8.5% TRQ-US 3 Fats and oils derived from milk, other than butter or dairy spreads, not subject to gen note 15 and excess of quota in ch 4 add US note 14 $1.865/kg + 8.5% TRQ-US 3 Chongos, unripened or uncured cheese, including whey cheese and curd, not subject to gen note 15 or add. US note 16 to Ch. 4 $1.509/kg TRQ-US 4 Fresh (unripened/uncured) blue-mold cheese, cheese/subs for cheese cont or proc fr blue- mold cheese, not subj to Ch4 US note 17 or GN15 $2.269/kg TRQ-US 4 Fresh (unripened/uncured) cheddar cheese, cheese/subs for cheese cont or proc from cheddar cheese, not subj to Ch4 US note 18, not GN15 $1.227/kg TRQ-US 4 Fresh (unripened/uncured) american-type cheese, cheese cont or proc. fr american-type, not subj to add.</w:t>
      </w:r>
    </w:p>
    <w:p>
      <w:pPr>
        <w:pStyle w:val="Normal"/>
        <w:widowControl/>
        <w:rPr/>
      </w:pPr>
      <w:r>
        <w:rPr/>
        <w:t>US note 19 to Ch.4, not GN15 $1.055/kg TRQ-US 4 Fresh (unripened/uncured) edam and gouda cheeses, cheese/subs for cheese cont or processed therefrom, not sub to Ch4 US note 20, not GN15 $1.803/kg TRQ-US 4 Fresh (unrip./uncured) Italian-type cheeses from cow milk, cheese/substitutes cont or proc therefrom, not subj to Ch4 US note 21 or GN15 $2.146/kg TRQ-US 4 Fresh (unripened/uncured) Swiss/emmentaler cheeses exc eye formation, gruyere-process cheese and cheese cont or proc. from such, not subj .. $1.386/kg TRQ-US 4 Fresh cheese, and substitutes for cheese,neosi, w/0.5% or less by wt. of butterfat, not descr in add US note 23 to Ch 4, not GN15 $1.128/kg TRQ-US 4 Fresh cheese, and substitutes for cheese, cont. cows milk, neosi, o/0.5% by wt. of butterfat, not descr in add US note 16 to Ch 4, not GN 15 $1.509/kg TRQ-US 4 Blue-veined cheese (except Roquefort or Stilton), grated or powdered, not subject to gen nte 15 or add. US note 17 to Ch.4 $2.269/kg TRQ-US 4 Cheddar cheese, grated or powdered, not subject to gen. note 15 or add.</w:t>
      </w:r>
    </w:p>
    <w:p>
      <w:pPr>
        <w:pStyle w:val="Normal"/>
        <w:widowControl/>
        <w:rPr/>
      </w:pPr>
      <w:r>
        <w:rPr/>
        <w:t>US note 18 to Ch. 4 $1.227/kg TRQ-US 4 Colby cheese, grated or powdered, not describ. in gen. note 15 or add. US note 19 to Ch. 4 $1.055/kg TRQ-US 4 Edam and gouda cheese, grated or powdered, not subject to gen note 15 or add. US nte 20 to Ch.</w:t>
      </w:r>
    </w:p>
    <w:p>
      <w:pPr>
        <w:pStyle w:val="Normal"/>
        <w:widowControl/>
        <w:rPr/>
      </w:pPr>
      <w:r>
        <w:rPr/>
        <w:t>4 $1.803/kg TRQ-US 4 Romano, reggiano, provolone, provoletti, sbrinz and goya, made from cow’s milk, grated or powdered, not subj to Ch4 US nte 21 or GN15 $2.146/kg TRQ-US 4 Cheese containing or processed from blue-veined cheese (except roquefort), grated/powdered, not subject to add US note 17 to Ch.4 $2.269/kg TRQ-US 4 Cheese containing or processed from cheddar cheese, grated or powdered, not subject to add US note 18 to Ch. 4 $1.227/kg TRQ-US 4 Cheese containing or processed from american-type cheese (except cheddar), grated or powdered, not subject to add US note 19 to Ch. 4 $1.055/kg TRQ-US 4 Cheese containing or processed from edam or gouda cheeses, grated or powdered, not subject to add US note 20 to Ch. 4 $1.803/kg TRQ-US 4 Cheese containing or processed from italian-type cheeses made from cow’s milk, grated or powdered, not subject to add US note 21 to Ch. 4 $2.146/kg TRQ-US 4 Cheese containing or processed from swiss, emmentaler or gruyere-process cheeses, grated or powdered, not subject to add US nte 22 to Ch.</w:t>
      </w:r>
    </w:p>
    <w:p>
      <w:pPr>
        <w:pStyle w:val="Normal"/>
        <w:widowControl/>
        <w:rPr/>
      </w:pPr>
      <w:r>
        <w:rPr/>
        <w:t>4 $1.386/kg TRQ-US 4 Cheese (including mixtures), nesoi, n/o 0.5% by wt. of butterfat, grated or powdered, not subject to add US note 23 to Ch. 4 $1.128/kg TRQ-US 4 Cheese (including mixtures), nesoi, o/0.5% by wt of butterfat, w/cow’s milk, grated or powdered, not subject to add US note 16 to Ch. 4 $1.509/kg TRQ-US 4 Blue-veined cheese (except roquefort), processed, not grated or powdered, not subject to gen. note 15 or add. US note 17 to Ch.</w:t>
      </w:r>
    </w:p>
    <w:p>
      <w:pPr>
        <w:pStyle w:val="Normal"/>
        <w:widowControl/>
        <w:rPr/>
      </w:pPr>
      <w:r>
        <w:rPr/>
        <w:t>4 $2.269/kg TRQ-US 4 Cheddar cheese, processed, not grated or powdered, not subject to gen note 15 or in add US note 18 to Ch. 4 $1.227/kg TRQ-US 4 Colby cheese, processed, not grated or powdered, not subject to gen note 15 or add US note 19 to Ch. 4 $1.055/kg TRQ-US 4 Edam and gouda cheese, processed, not grated or powdered, not subject to gen note 15 or add. US note 20 to Ch. 4 $1.803/kg TRQ-US 4 Gruyere-process cheese, processed, not grated or powdered, not subject to gen note 15 or add. US note 22 to Ch. 4 $1.386/kg TRQ-US 4 Processed cheese cont/procd fr blue-veined cheese (ex roquefort), not grated/powdered, not subject to add US note 17 to Ch. 4, not GN15 $2.269/kg TRQ-US 4 Processed cheese cont/procd fr cheddar cheese, not grated/powdered, not subject to add US note 18, not GN15 $1.227/kg TRQ-US 4 Processed cheese cont/procd fr american-type cheese (ex cheddar), not grated/powdered, not subject to add US note 19 to Ch.</w:t>
      </w:r>
    </w:p>
    <w:p>
      <w:pPr>
        <w:pStyle w:val="Normal"/>
        <w:widowControl/>
        <w:rPr/>
      </w:pPr>
      <w:r>
        <w:rPr/>
        <w:t>4, not GN15 $1.055/kg TRQ-US 4 Processed cheese cont/procd from edam or gouda, not grated/powdered, not subject to add US note 20 to Ch. 4, not GN15 $1.803/kg TRQ-US 4 Processed cheese cont/procd from italian-type, not grated/powdered, not subject to add US note 21 to Ch. 4, not GN15 $2.146/kg TRQ-US 4 Processed cheese cont/procd from swiss/emmentaler/gruyere-process, n/grated/powdered, not subject to add US note 22 to Ch. 4, not GN15 $1.386/kg TRQ-US 4 Processed cheese (incl. mixtures), nesoi, n/o 0.5% by wt.</w:t>
      </w:r>
    </w:p>
    <w:p>
      <w:pPr>
        <w:pStyle w:val="Normal"/>
        <w:widowControl/>
        <w:rPr/>
      </w:pPr>
      <w:r>
        <w:rPr/>
        <w:t>butterfat, not grated or powdered, not subj to Ch 4 US note 23 or not GN15 $1.128/kg TRQ-US 4 Processed cheese (incl. mixtures), nesoi, w/cow’s milk, not grated or powdered, not subject to add US note 16 to Ch. 4, not GN15 $1.509/kg TRQ-US 4 Blue-veined cheese, nesoi, not subject to gen. note 15 of the HTS or to add. US note 17 to Ch. 4 $2.269/kg TRQ-US 4 Cheddar cheese, nesoi, not subject to gen. note 15 of the HTS or to add. US note 18 to Ch. 4 $1.227/kg TRQ-US 4 Edam and gouda cheese, nesoi, not subject to gen. note 15 of the HTS or to add. US note 20 to Ch. 4 $1.803/kg TRQ-US 4 Goya cheese from cow’s milk, not in original loaves, nesoi, not subject to gen. note 15 or to add. US note 21 to Ch. 4 $2.146/kg TRQ-US 4 Sbrinz cheese from cow’s milk, nesoi, not subject to gen. note 15 or to add. US note 21 to Ch.</w:t>
      </w:r>
    </w:p>
    <w:p>
      <w:pPr>
        <w:pStyle w:val="Normal"/>
        <w:widowControl/>
        <w:rPr/>
      </w:pPr>
      <w:r>
        <w:rPr/>
        <w:t>4 $2.146/kg TRQ-US 4 Romano, Reggiano, Parmesan, Provolone, and Provoletti cheese, nesoi, from cow’s milk, not subj to to GN 15 or Ch4 US note 21 $2.146/kg TRQ-US 4 Swiss or Emmentaler cheese with eye formation, nesoi, not subject to gen. note 15 or to add. US note 25 to Ch. 4 $1.877/kg TRQ-US 4 Colby cheese, nesoi, not subject to gen. note 15 or to add. US note 19 to Ch. 4 $1.055/kg TRQ-US 4 Cheeses &amp; subst. for cheese(incl. mixt.), nesoi, w/romano/reggiano/parmesan/provolone/etc, f/cow milk, not subj. Ch4 US note 21, not GN15 $2.146/kg TRQ-US 4 Cheeses &amp; subst. for cheese (incl. mixt.), nesoi, w/ or from blue-veined cheese, not subj. to add.</w:t>
      </w:r>
    </w:p>
    <w:p>
      <w:pPr>
        <w:pStyle w:val="Normal"/>
        <w:widowControl/>
        <w:rPr/>
      </w:pPr>
      <w:r>
        <w:rPr/>
        <w:t>US note 17 to Ch.4, not GN15 $2.269/kg TRQ-US 4 Cheeses &amp; subst. for cheese (incl. mixt.), nesoi, w/ or from cheddar cheese, not subj. to add. US note 18 to Ch.4, not GN15 $1.227/kg TRQ-US 4 Cheeses &amp; subst. for cheese (incl. mixt.), nesoi, w/ or from Am. cheese except cheddar, not subj. to add. US note 19 to Ch.4, not GN15 $1.055/kg TRQ-US 4 Cheeses &amp; subst. for cheese (incl. mixt.), nesoi, w/ or from edam or gouda cheese, not subj. to add. US note 20 to Ch.4, not GN15 $1.803/kg TRQ-US 4 Cheeses &amp; subst. for cheese (incl. mixt.), nesoi, w/ or from swiss, emmentaler or gruyere, not subj. Ch4 US note 22, not GN15 $1.386/kg TRQ-US 4 Cheeses &amp; subst. for cheese (incl. mixt.), nesoi, w/butterfat n/o 0.5% by wt, not subject to add. US note 23 to Ch.</w:t>
      </w:r>
    </w:p>
    <w:p>
      <w:pPr>
        <w:pStyle w:val="Normal"/>
        <w:widowControl/>
        <w:rPr/>
      </w:pPr>
      <w:r>
        <w:rPr/>
        <w:t>4, not GN15 $1.128/kg TRQ-US 4 Cheeses &amp; subst. for cheese (incl. mixt.), nesoi, w/cows milk, w/butterfat o/0.5% by wt, not subject to Ch4 US note 16, not GN15 $1.509/kg TRQ-US 4 Peanuts (ground-nuts), seed, not roasted or cooked, shelled, not subject to gen note 15 or add. US note 2 to Ch.12 131.8% B6 Peanuts (ground-nuts), not seed, not roasted or cooked, in shell, not subject to gen note 15 or add. US note 2 to Ch.12 163.8% B6 Peanuts (ground-nuts), not seed, not roasted or cooked, shelled, not subject to gen note 15 or add. US note 2 to Ch.12 131.8% B6 Edible mixt. &amp; preps, dairy products described in add. US note 1 to Ch 4: not subj. to gen. note 15 or add. US note 10 to Ch.</w:t>
      </w:r>
    </w:p>
    <w:p>
      <w:pPr>
        <w:pStyle w:val="Normal"/>
        <w:widowControl/>
        <w:rPr/>
      </w:pPr>
      <w:r>
        <w:rPr/>
        <w:t>4 34.2 cents/kg B6; TRQ-US 8 Beet sugar, raw, in solid form, w/o added flavoring or coloring, nesoi, not subject to gen. note 15 or add. US 5 to Ch.17 35.74 cents/kg TRQ-US 9 Cane sugar, raw, specif in subhead 2 to chapt 17,solid, w/o added flavor or color, not subject gen. note 15 of the HTS or chapter note 5 33.87 cents/kg TRQ-US 9 Other cane sugar, raw solid form, w/o flavoring or coloring, nesoi, not subject to gen. note 15 or add. US 5 to Ch.17 33.87 cents/kg TRQ-US 9 Cane/beet sugar &amp; pure sucrose, refined, solid, w/added coloring but not flav., not subject to gen. note 15 or add.</w:t>
      </w:r>
    </w:p>
    <w:p>
      <w:pPr>
        <w:pStyle w:val="Normal"/>
        <w:widowControl/>
        <w:rPr/>
      </w:pPr>
      <w:r>
        <w:rPr/>
        <w:t>US 5 to Ch.17 35.74 cents/kg TRQ-US 9 Cane/beet sugar &amp; pure sucrose, refined, solid, w/added flavoring, o/65% by wt. sugar, descr. in Ch17 US note 2, not GN 15/Ch 17 US nte 7 33.9 cents/kg + 5.1% TRQ-US 10 Cane/beet sugar &amp; pure sucrose, refined, solid, w/added flavoring, o/10% by wt. sugar, descr. in Ch17 US note 3, not GN15/Ch.17 US nte 8 33.9 cents/kg + 5.1% TRQ-US 10 Cane/beet sugar &amp; pure sucrose, refined, solid, w/o added coloring or flavoring, not subject to gen. note 15 or add. US 5 to Ch.17 35.74 cents/kg TRQ-US 9 Maple syrup, blended, described in add. US note 4 to Ch.17: not subject to gen note 15 or add. US note 9 to Ch.17 16.9 cents/kg of total sugars + 5.1% TRQ-US 10 Glucose &amp; glucose syrup not containing or containing in dry state less than 20% fructose; blended syrups (chap 17-note 4), nesoi 16.9 cents/kg of total sugars + 5.1% TRQ-US 10 Blended syrup desc. in add’l U.S.</w:t>
      </w:r>
    </w:p>
    <w:p>
      <w:pPr>
        <w:pStyle w:val="Normal"/>
        <w:widowControl/>
        <w:rPr/>
      </w:pPr>
      <w:r>
        <w:rPr/>
        <w:t>note 4(chap.17) Contng in dry state 20%-50% by weight of fructose, nesoi 33.9 cents/kg of total sugars + 5.1% TRQ-US 10 Oth fructose &amp; fruc. syrup contng in dry state &gt;50% by wt. of fructose, blended syrup(see add’l U.S. note 4-chap 17), nesoi 33.9 cents/kg of total sugars + 5.1% TRQ-US 10 Cane/beet sugars &amp; syrups (incl. invert sugar); nesoi, w/soluble non-sugar solids 6% or less soluble solids, not subj to GN15/Ch17 US nte 5 35.74 cents/kg TRQ-US 9 Blended syrups described in add. US note 4 to chap. 17, nesoi, not subject to add. US note 9 to Ch. 17 33.9 cents/kg of total sugars + 5.1% TRQ-US 10 Sugars nesoi w/o 65% by dry wt. sugar, described in add. U.S note 2 to Ch.17: and not subj. to add. US note 7 to Ch.17 33.9 cents/kg + 5.1% TRQ-US 10 Sugar confectionery nesoi, w/o cocoa, dairy products subject to add. US note 1 to chap.</w:t>
      </w:r>
    </w:p>
    <w:p>
      <w:pPr>
        <w:pStyle w:val="Normal"/>
        <w:widowControl/>
        <w:rPr/>
      </w:pPr>
      <w:r>
        <w:rPr/>
        <w:t>4: not subject to add US note 10 to chapter 4 40 cents/kg + 10.4% TRQ-US 8 Sugar confectionery nesoi o/65% by dry wt. of sugar described in add. US note 2 to Ch. 17, w/o cocoa, not subj. to Ch17 US note 7 40 cents/kg + 10.4% TRQ-US 10 Sugar confectionery nesoi o/10% by dry wt. of sugar described in add. US note 3 to Ch. 17, w/o cocoa, not subj. to Ch17 US note 8 40 cents/kg + 10.4% TRQ-US 10 Cocoa powder, sweetened, w/le ss than 65% by dr y wt. sugar, not subject to gen note 15 or add US note 1 to Ch. 18 21.7 cents/kg TRQ-US 10 Cocoa powder, o/65% but less than 90% by dry wt of sugar, described in add US note 2 to Ch.17: not subj.</w:t>
      </w:r>
    </w:p>
    <w:p>
      <w:pPr>
        <w:pStyle w:val="Normal"/>
        <w:widowControl/>
        <w:rPr/>
      </w:pPr>
      <w:r>
        <w:rPr/>
        <w:t>to add US note 7 to Ch. 17 33.6 cents/kg TRQ-US 10 Cocoa powder, sweetened, neosi, not subject to add US note 1 to Ch. 18 33.6 cents/kg TRQ-US 10 Cocoa powder, o/90% by dry wt of sugar, described in add US note 2 to Ch. 17: not subject to add US note 7 to Ch. 17 33.6 cents/kg TRQ-US 10 Cocoa powder, o/90% by dry wt of sugar, neosi 33.6 cents/kg TRQ-US 10 Chocolate, ov 2kg, cont. milk solids, not in blocks 4.5 kg or more, not subj.</w:t>
      </w:r>
    </w:p>
    <w:p>
      <w:pPr>
        <w:pStyle w:val="Normal"/>
        <w:widowControl/>
        <w:rPr/>
      </w:pPr>
      <w:r>
        <w:rPr/>
        <w:t>Ch18 US note 2/GN15, ov 5.5 pc bf, less th 21% milk solids 37.2 cents/kg + 4.3% TRQ-US 8 Chocolate, ov 2kg, cont. milk solids, not in blocks 4.5 kg or more, not GN15, ov 5.5 pc bf ov 21% milk solids 52.8 cents/kg + 4.3% TRQ-US 8 Chocolate, ov 2kg, cont. milk solids, not in blocks 4.5 kg or more, less than 21% milk solids, not subj. to Ch18 US note 3/GN15 37.2 cents/kg + 4.3% TRQ-US 8 Chocolate, ov 2kg, cont. milk solids, not in blocks 4.5 kg or more, 21% or more milk solids, not GN15 52.8 cents/kg + 4.3% TRQ-US 8 Chocolate/oth preps with cocoa, ov 2kg but n/o 4.5 kg, o/65% by wt of sugar, desc in Ch17 US nte 2, not subj. to Ch17 US note 7 30.5 cents/kg + 8.5% TRQ-US 10 Chocolate/oth preps with cocoa, ov 2kg but n/o 4.5 kg, o/65% by wt of sugar, desc in add US nte 3 to Ch.</w:t>
      </w:r>
    </w:p>
    <w:p>
      <w:pPr>
        <w:pStyle w:val="Normal"/>
        <w:widowControl/>
        <w:rPr/>
      </w:pPr>
      <w:r>
        <w:rPr/>
        <w:t>17: not subj. to Ch17 US note 8 30.5 cents/kg + 8.5% TRQ-US 10 Chocolate/oth preps w/cocoa, o/2kg but n/o4.5 kg (dairy prod.</w:t>
      </w:r>
    </w:p>
    <w:p>
      <w:pPr>
        <w:pStyle w:val="Normal"/>
        <w:widowControl/>
        <w:rPr/>
      </w:pPr>
      <w:r>
        <w:rPr/>
        <w:t>of Ch4 US note 1), n/o 65% sugar, less th 21% milk solid, not GN15 37.2 cents/kg + 8.5% TRQ-US 8 Chocolate/oth preps w/cocoa, o/2kg but n/o4.5 kg (dairy prod. of Ch4 US note 10), n/o 65% sugar, 21% or more milk solids, not GN15 52.8 cents/kg + 8.5% TRQ-US 8 Low-fat chocolate crumb, n/o 65% by wt of sugar, ov 2kg but n/o 4.5 kg, less than 21% milk solids, not GN15, not subj to ch 18 US note 3 37.2 cents/kg + 8.5% TRQ-US 8 Low-fat chocolate crumb, n/o 65% by wt of sugar, 21% or more milk solids, not ov 2kg, not GN15, not subj to ch 18 US note 3 52.8 cents/kg + 8.5% TRQ-US 8 Blended syrups w/chocolate or cocoa, o/2kg but n/o 4.5 kg, n/o 65% sugar, descr in Ch 17 US note 4, not subj.</w:t>
      </w:r>
    </w:p>
    <w:p>
      <w:pPr>
        <w:pStyle w:val="Normal"/>
        <w:widowControl/>
        <w:rPr/>
      </w:pPr>
      <w:r>
        <w:rPr/>
        <w:t>to Cha7 US note 9, not GN15 37.2 cents/kg + 8.5% TRQ-US 10 Chocolate and preps w/cocoa, neosi, o/2kg but n/o 4.5 kg, n/o 65% sugar, desc in Ch17 US note 3, not subj to Ch.17 US note 8, not GN15 37.2 cents/kg + 8.5% TRQ-US 10 Chocolate, not filled, less than 21% milk solids, &gt;5.5% butterfat, in blocks/slabs/bars 2kg or less 37.2 cents/kg + 4.3% TRQ-US 8 Chocolate, not filled, 21% or more milk solids, &gt;5.5% butterfat, in blocks/slabs/bars 2kg or less 52.8 cents/kg + 4.3% TRQ-US 8 Chocolate, not filled, less than 21% milk solids, &lt;= 5.5% butterfat, in blocks/slabs/bars 2kg or less 37.2 cents/kg + 4.3% TRQ-US 8 Chocolate, not filled, 21% or more milk solids, &lt;=5.5% butterfat, in blocks/slabs/bars 2kg or less 52.8 cents/kg + 4.3% TRQ-US 8 Cocoa preps, (dairy prod.</w:t>
      </w:r>
    </w:p>
    <w:p>
      <w:pPr>
        <w:pStyle w:val="Normal"/>
        <w:widowControl/>
        <w:rPr/>
      </w:pPr>
      <w:r>
        <w:rPr/>
        <w:t>of Ch4 US note 1), less than 21% milk solids, not filled, in blocks/slabs/bars, 2 kg or less, not Ch.4 US nte 10 37.2 cents/kg + 6% TRQ-US 8 Cocoa preps, (dairy prod. of Ch4 US note 1), 21% or more milk solids, not filled, in blocks/slabs/bars, 2 kg or less, not Ch.4 US nte 10 52.8 cents/kg + 6% TRQ-US 8 Cocoa preps, (dairy prod. descr. in add US note 1 to Ch.4), less than 21% milk solids, not in blocks, slabs or bars, not GN15 37.2 cents/kg + 6% TRQ-US 8 Cocoa preps, (dairy prod. descr. in Ch4 US note 1), 21% or more milk solids, not in blocks, slabs or bars, not Ch4 USNote 10, not GN15 52.8 cents/kg + 6% TRQ-US 8 Cocoa preps, o/5.5% butterfat by wt, w/less than 21% milk solids, not in blocks/slabs/bars, not GN15 37.2 cents/kg + 6% TRQ-US 8 Cocoa preps, o/5.5% butterfat by wt, 21% or more milk solids, not in blocks/slabs/bars, not GN15 52.8 cents/kg + 6% TRQ-US 8 Cocoa preps, cont.</w:t>
      </w:r>
    </w:p>
    <w:p>
      <w:pPr>
        <w:pStyle w:val="Normal"/>
        <w:widowControl/>
        <w:rPr/>
      </w:pPr>
      <w:r>
        <w:rPr/>
        <w:t>milk solids, n/o 5.5% butterfat by wt, w/less than 21% milk solids, not blocks/slabs/bars, not Ch18 US note 3, not GN15 37.2 cents/kg + 6% TRQ-US 8 Cocoa preps, cont. milk solids, n/o 5.5% butterfat by wt, 21% or more milk solids, not in blocks/slabs/bars, not Ch18 US note 3, not GN15 52.8 cents/kg + 6% TRQ-US 8 Blended syrups w/chocolate or cocoa, nesoi, described in add US note 4 to Ch.17: not subj. to add US note 9 to Ch.</w:t>
      </w:r>
    </w:p>
    <w:p>
      <w:pPr>
        <w:pStyle w:val="Normal"/>
        <w:widowControl/>
        <w:rPr/>
      </w:pPr>
      <w:r>
        <w:rPr/>
        <w:t>17, not GN15 37.2 cents/kg + 6% TRQ-US 10 Chocolate and preps w/cocoa, nesoi, o/65% by dry wt of sugar, described in add US note 2 to Ch.17: not subj to Ch17 US note 7, not GN15 37.2 cents/kg + 6% TRQ-US 10 Chocolate and preps w/cocoa, nesoi, o/10% by dry wt of sugar, described in add US note 3 to Ch.17:</w:t>
      </w:r>
    </w:p>
    <w:p>
      <w:pPr>
        <w:pStyle w:val="Normal"/>
        <w:widowControl/>
        <w:rPr/>
      </w:pPr>
      <w:r>
        <w:rPr/>
        <w:t>not subj to Ch17 US note 8, not GN15 37.2 cents/kg + 6% TRQ-US 10 Preps for infant use, infant formula containing Oligossaccharides and &gt; 10% milk solid by weight, nesoi $1.035/kg + 14.9% TRQ-US 8 Preps for infant use, containing &gt;10% weight of milk solids, dairy products described in additional note 1 to chapter 4, nesoi $1.035/kg + 14.9% TRQ-US 8 Preps for infant use, nesoi, formula containing Oligosaccharides, nesoi $1.035/kg + 14.9% TRQ-US 8 Preps for infant use, dairy products described in additional US note 1 to chapter 4 $1.035/kg + 14.9% TRQ-US 8 Preps for young children, dairy preps containing &gt; 10% by weight of milk solids, nesoi $1.035/kg +13.6% TRQ-US 8 Preps for young children, nesoi $1.035/kg + 13.6% TRQ-US 8 Preps for young children, nesoi, containing &gt;10% by dry weight of sugar described in additional US note 3 to Chapter 17: provisional 23.7¢/kg + 8.5% TRQ-US 10 Mixes for bakers wares (dairy prod. of Ch4 US note 1), o/25% by wt butterfat, not retail, not subj. to add.</w:t>
      </w:r>
    </w:p>
    <w:p>
      <w:pPr>
        <w:pStyle w:val="Normal"/>
        <w:widowControl/>
        <w:rPr/>
      </w:pPr>
      <w:r>
        <w:rPr/>
        <w:t>US nte 10 to Ch.4, not GN15 42.3 cents/kg + 8.5% TRQ-US 8 Mixes and doughs for the prep of bakers wares of heading 1905, containing over 25% by weight of butterfat, not put up for retail sale, nesoi 42.3 cents/kg + 8.5% TRQ-US 10 Mixes for bakers wares, o/25% bf, not retail, descr in add US note 1 to Ch. 19: not subj. to add. US nte 3 to Ch.19, not GN15 42.3 cents/kg + 8.5% TRQ-US 10 Mixes for bakers wares (dairy prod. of Ch4 US note 1), n/o 25% bf, not retail, not subj. to add. US nte 10 to Ch.4, not GN15 42.3 cents/kg + 8.5% TRQ-US 8 Mixes for bakers wares, o/65% sugar, n/o 25% bf, not retail, descr in add US note 2 to Ch. 17: not subj. to Ch17 US nte 7, not GN15 42.3 cents/kg + 8.5% TRQ-US 10 Mixes for bakers wares, n/o 25% bf, not retail, descr in add US note 1 to Ch. 19: not subj. to add. US nte 3 to Ch.19, not GN15 42.3 cents/kg + 8.5% TRQ-US 10 Margarine cheese not subject to gen. note 15 or add US note 23 to Ch.</w:t>
      </w:r>
    </w:p>
    <w:p>
      <w:pPr>
        <w:pStyle w:val="Normal"/>
        <w:widowControl/>
        <w:rPr/>
      </w:pPr>
      <w:r>
        <w:rPr/>
        <w:t>4 $1.128/kg TRQ-US 4 Malted milk containing &gt;10% by weight of milk solids, nesoi $1.035/kg +13.6% TRQ-US 8 Articles of milk or cream, nesoi, preps containing &gt;10% by weight of milk solids, nesoi $1.035/kg + 13.6% TRQ-US 8 Articles of milk or cream, nesoi, containing &gt;65% by dry weight of sugar described in additional US note 2 to Chapter 17: provisional 23.7¢/kg + 8.5% TRQ-US 10 Articles of milk or cream, nesoi, containing &gt;10% by dry weight of sugar described in additional US note 3 to chapter 17: provisional 23.7¢/kg + 8.5% TRQ-US 10 Peanut butter and paste, nesoi, not subject to gen note 15 or add US note 5 to Ch. 20 131.8% B6 Blanched peanuts, nesoi, not subject to gen note 15 or add US note 2 to Ch. 12 131.8% B6 Peanuts, otherwise prepared or preserved, nesoi, not subject to gen note 15 or add US note 2 to Ch.</w:t>
      </w:r>
    </w:p>
    <w:p>
      <w:pPr>
        <w:pStyle w:val="Normal"/>
        <w:widowControl/>
        <w:rPr/>
      </w:pPr>
      <w:r>
        <w:rPr/>
        <w:t>12 131.8% B6 Blend syrup (Ch17 add US note 4) preparation w/basis of extract, essence or concentrate or w/ basis of coffee, over Ch17 add US note 9 quota 30.5 cents/kg + 8.5% TRQ-US 10 Preparation ov 65% sugar (Ch17 add US note 2) w/ basis of extract, essence or concentrate or w/ basis of coffee, ov Ch17 add US note 9 quota 30.5 cents/kg + 8.5% TRQ-US 10 Preparation ov 10% sugar (Ch17 add US note 3) w/ basis of extract, essence or concentrate or w/ basis of coffee, ov Ch17 add US note 8 quota 30.5 cents/kg + 8.5% TRQ-US 10 Blend syrup (Ch17 add US note 4) preparation w/basis of extract/essence/concentrate or w/basis of tea or mate, over Ch17 add US note 9 quota 30.5 cents/kg + 8.5% TRQ-US 10 Preparation ov 65% sugar (Ch17 add US note 2) w/basis of extract/essence/concentrate or w/basis of tea or mate, ov Ch17 add US note 9 quota 30.5 cents/kg + 8.5% TRQ-US 10 Preparation ov 10% sugar (Ch17 add</w:t>
      </w:r>
    </w:p>
    <w:p>
      <w:pPr>
        <w:pStyle w:val="Normal"/>
        <w:widowControl/>
        <w:rPr/>
      </w:pPr>
      <w:r>
        <w:rPr/>
        <w:t>US note 3) w/basis of extract/essence/concentrate or w/basis of tea or mate, ov Ch17 add US note 8 quota 30.5 cents/kg + 8.5% TRQ-US 10 Mixed condiments and mixed seasonings (described in add US note 3 to Ch.</w:t>
      </w:r>
    </w:p>
    <w:p>
      <w:pPr>
        <w:pStyle w:val="Normal"/>
        <w:widowControl/>
        <w:rPr/>
      </w:pPr>
      <w:r>
        <w:rPr/>
        <w:t>21), not subject to gen note 15 or add. US note 8(a) to Ch.17 30.5 cents/kg + 6.4% TRQ-US 10 Ice cream, whether or not containing cocoa, not subject to gen note 15 or add. US note 5 to Ch.21 50.2 cents/kg + 17% TRQ-US 1 Edible ice except ice cream, dairy products described in add’l U.S. note 1 to chap.</w:t>
      </w:r>
    </w:p>
    <w:p>
      <w:pPr>
        <w:pStyle w:val="Normal"/>
        <w:widowControl/>
        <w:rPr/>
      </w:pPr>
      <w:r>
        <w:rPr/>
        <w:t>4, nesoi 50.2 cents/kg + 17% TRQ-US 8 Food preps, nesoi, n/o 5.5% b’fat, mixed w/other ingredi., if o/16% milk solids by wt, capable of being further proc, bulk, nesoi, not GN15 86.2 cents/kg TRQ-US 8 Butter substitutes o/10% by wt of milk solids, o/45% butterfat, not subject to gen note 15 or add US note 14 to Ch.4 $1.996/kg TRQ-US 3 Butter substitutes n/o 10% by wt of milk solids, o/45% butterfat, not subject to gen note 15 or add US note 14 to Ch.4 $1.996/kg TRQ-US 3 Syrups from cane/beet sugar, neosi, w/added coloring but not added flavoring, not subject to gen note 15 or add US note 5 to Ch. 17 35.74 cents/kg TRQ-US 10 Food preps, nesoi, o/10% by wt of milk solids, dairy prods, descr. in add US note 1 to Ch.4: not subject to Ch4 US note 10, not GN15 70.4 cents/kg + 8.5% TRQ-US 8 Blended syrups, neosi, o/10% milk solids, descr. in add US note 4 to Ch 17: not subject to add US note 9 to Ch.</w:t>
      </w:r>
    </w:p>
    <w:p>
      <w:pPr>
        <w:pStyle w:val="Normal"/>
        <w:widowControl/>
        <w:rPr/>
      </w:pPr>
      <w:r>
        <w:rPr/>
        <w:t>17, not GN15 70.4 cents/kg + 8.5% TRQ-US 10 Food preps, nesoi, o/10% milk solids, o/65% sugar, descr. in add US note 2 to Ch.17, not subject to add US note 7 to Ch. 17, not GN15 70.4 cents/kg + 8.5% TRQ-US 10 Food preps, nesoi, o/10% milk solids, o/10% sugar, descr. in add US note 3 to Ch.17, not subject to add US note 8 to Ch. 17, not GN15 70.4 cents/kg + 8.5% TRQ-US 10 Food preps, nesoi, n/o 10% by wt of milk solids, dairy prods, descr. in add US note 1 to Ch.4: n/subject to add US note 10 to Ch.</w:t>
      </w:r>
    </w:p>
    <w:p>
      <w:pPr>
        <w:pStyle w:val="Normal"/>
        <w:widowControl/>
        <w:rPr/>
      </w:pPr>
      <w:r>
        <w:rPr/>
        <w:t>4, n/GN15 28.8 cents/kg + 8.5% TRQ-US 8 Blended syrups, neosi, n/o/10% milk solids, descr. in add US note 4 to Ch 17: not subject to add US note 9 to Ch. 17, not GN15 28.8 cents/kg + 8.5% TRQ-US 10 Food preps, nesoi, n/o 10% milk solids, o/65% sugar, descr. in add US note 2 to Ch.17, not subject to add US note 7 to Ch. 17, not GN15 28.8 cents/kg + 8.5% TRQ-US 10 Food preps, nesoi, n/o 10% milk solids, o/10% sugar, descr. in add US note 3 to Ch.17, not subject to add US note 8 to Ch. 17, not GN15 28.8 cents/kg + 8.5% TRQ-US 10 Milk-based drinks, nonalcoholic, nesoi 23.5¢/liter + 14.9% TRQ-US 1 Animal feeds w/milk or milk derivatives, o/10% by wt of milk solids, not subject to gen note 15 or add note 2 to Ch. 23 80.4 cents/kg + 6.4% TRQ-US 5 Animal feeds w/milk or milk derivatives, n/o 10% by wt of milk solids, not subject to gen note 15 or add note 2 to Ch.</w:t>
      </w:r>
    </w:p>
    <w:p>
      <w:pPr>
        <w:pStyle w:val="Normal"/>
        <w:widowControl/>
        <w:rPr/>
      </w:pPr>
      <w:r>
        <w:rPr/>
        <w:t>23 80.4 cents/kg + 6.4% TRQ-US 5 Cotton, not carded or combed, having a staple length under 28.575 mm (1-1/8 inches), n/harsh or rough, nesoi 31.4 cents/kg B6 Cotton, not carded or combed, harsh or rough, staple length of 29.36875 mm or more but under 34.925 mm &amp; white in color, nesoi 31.4 cents/kg B6 Cotton, not carded or combed, staple length of 28.575 mm or more but under 34.925 mm, nesoi 31.4 cents/kg B6 Cotton, not carded or combed, having a staple length of 34.925 mm or more, nesoi 31.4 cents/kg B6 Cotton card strips made from cotton waste having staple length under 30.1625 mm &amp; lap, sliver &amp; roving waste, nesoi 7.8 cents/kg B6 Cotton fibers, carded or combed, of cotton fiber processed, but not spun, nesoi 31.4 cents/kg B6</w:t>
      </w:r>
    </w:p>
    <w:p>
      <w:pPr>
        <w:pStyle w:val="ModHeading"/>
        <w:widowControl/>
        <w:rPr/>
      </w:pPr>
      <w:bookmarkStart w:id="8" w:name="_Toc237912482"/>
      <w:r>
        <w:rPr/>
        <w:t>CHAPTER 2 — CUSMA 2.0 MODERNIZATION PROVISIONS</w:t>
      </w:r>
      <w:bookmarkEnd w:id="8"/>
    </w:p>
    <w:p>
      <w:pPr>
        <w:pStyle w:val="Normal"/>
        <w:widowControl/>
        <w:rPr/>
      </w:pPr>
      <w:r>
        <w:rPr>
          <w:i/>
        </w:rPr>
        <w:t>The provisions of this Part amend Chapter 2 (National Treatment and Market Access for Goods). The tariff commitments of Annex 2-B are unaffected except as expressly stated.</w:t>
      </w:r>
    </w:p>
    <w:p>
      <w:bookmarkStart w:id="1024" w:name="_NAESTMA_TOC_1024"/>
      <w:pPr>
        <w:pStyle w:val="Heading2"/>
        <w:keepNext/>
        <w:widowControl/>
        <w:rPr/>
      </w:pPr>
      <w:bookmarkStart w:id="9" w:name="_Toc237912483"/>
      <w:r>
        <w:rPr/>
        <w:t>Article 2.A: Tariff Treatment of Originating Goods (Replacement of Interpretive Framework for Article 2.4)</w:t>
      </w:r>
      <w:bookmarkEnd w:id="9"/>
      <w:bookmarkEnd w:id="1024"/>
    </w:p>
    <w:p>
      <w:pPr>
        <w:pStyle w:val="Normal"/>
        <w:widowControl/>
        <w:rPr/>
      </w:pPr>
      <w:r>
        <w:rPr/>
        <w:t>1. Article 2.4 (Elimination of Customs Duties) is supplemented as follows:</w:t>
      </w:r>
    </w:p>
    <w:p>
      <w:pPr>
        <w:pStyle w:val="Normal"/>
        <w:widowControl/>
        <w:rPr/>
      </w:pPr>
      <w:r>
        <w:rPr/>
        <w:t>“</w:t>
      </w:r>
      <w:r>
        <w:rPr/>
        <w:t>For greater certainty, the prohibition in this Article on increasing an existing customs duty or adopting a new customs duty on an originating good applies to any covered border measure, as defined in Article 35.2, whatever its domestic-law designation, and subject only to the exceptions expressly provided in this Agreement, including Article 35.3.9. In determining whether a measure is a covered border measure, its design, operation, incidence, conditions of application, and economic effect shall control over its domestic-law label or form. Once an affected Party identifies a measure that on its face falls within Article 35.2, the Party maintaining the measure bears the burden of identifying the provision of this Agreement that authorizes or excepts that measure and of producing the information reasonably necessary to substantiate that reliance. A disputed classification under this paragraph shall proceed through the applicable Chapter 35 notification, verification, and cure procedures and does not, by itself, authorize unilateral tariff escalation outside those procedures.”</w:t>
      </w:r>
    </w:p>
    <w:p>
      <w:pPr>
        <w:pStyle w:val="Normal"/>
        <w:widowControl/>
        <w:rPr/>
      </w:pPr>
      <w:r>
        <w:rPr/>
        <w:t>2. A Party’s Schedule to Annex 2-B may not be modified so as to increase a duty on an originating good except by agreement of the Parties under Article 34.3 (Amendments).</w:t>
      </w:r>
    </w:p>
    <w:p>
      <w:bookmarkStart w:id="1025" w:name="_NAESTMA_TOC_1025"/>
      <w:pPr>
        <w:pStyle w:val="Heading2"/>
        <w:keepNext/>
        <w:widowControl/>
        <w:rPr/>
      </w:pPr>
      <w:bookmarkStart w:id="10" w:name="_Toc237912484"/>
      <w:r>
        <w:rPr/>
        <w:t>Article 2.B: Prohibition of Equivalent Charges</w:t>
      </w:r>
      <w:bookmarkEnd w:id="10"/>
      <w:bookmarkEnd w:id="1025"/>
    </w:p>
    <w:p>
      <w:pPr>
        <w:pStyle w:val="Normal"/>
        <w:widowControl/>
        <w:rPr/>
      </w:pPr>
      <w:r>
        <w:rPr/>
        <w:t>1. No Party shall adopt or maintain, in respect of an originating good of another Party, a fee, surcharge, levy, border adjustment, security charge, or other charge of any kind applied by reason of importation or exportation, except: (a) a charge permitted by Article 2.10 as consistent with Article III:2 of the GATT 1994; (b) a fee or charge commensurate with the cost of services rendered, consistent with Article VIII of the GATT 1994; and (c) a measure expressly authorized by this Agreement.</w:t>
      </w:r>
    </w:p>
    <w:p>
      <w:pPr>
        <w:pStyle w:val="Normal"/>
        <w:widowControl/>
        <w:rPr/>
      </w:pPr>
      <w:r>
        <w:rPr/>
        <w:t>2. Any charge described in paragraph 1 that exceeds the cost of services rendered is treated for all purposes of this Agreement as a customs duty.</w:t>
      </w:r>
    </w:p>
    <w:p>
      <w:pPr>
        <w:pStyle w:val="Normal"/>
        <w:widowControl/>
        <w:rPr/>
      </w:pPr>
      <w:r>
        <w:rPr/>
        <w:t>3. A Party shall not avoid paragraphs 1 or 2 by renaming, bundling, routing through an intermediary, or indirectly collecting a charge whose design or economic incidence is materially based on the importation or exportation of an originating good.</w:t>
      </w:r>
    </w:p>
    <w:p>
      <w:pPr>
        <w:pStyle w:val="Normal"/>
        <w:widowControl/>
        <w:rPr/>
      </w:pPr>
      <w:r>
        <w:rPr/>
        <w:t>4. A Party relying on paragraph 1(b) shall maintain and, on request through the applicable consultation or verification procedure, provide a reasoned explanation of the methodology used to relate the amount of the fee or charge to the approximate cost of the services rendered, subject to protection of confidential information.</w:t>
      </w:r>
    </w:p>
    <w:p>
      <w:bookmarkStart w:id="1026" w:name="_NAESTMA_TOC_1026"/>
      <w:pPr>
        <w:pStyle w:val="Heading2"/>
        <w:keepNext/>
        <w:widowControl/>
        <w:rPr/>
      </w:pPr>
      <w:bookmarkStart w:id="11" w:name="_Toc237912485"/>
      <w:r>
        <w:rPr/>
        <w:t>Article 2.C: Low-Value Shipments</w:t>
      </w:r>
      <w:bookmarkEnd w:id="11"/>
      <w:bookmarkEnd w:id="1026"/>
    </w:p>
    <w:p>
      <w:pPr>
        <w:pStyle w:val="Normal"/>
        <w:widowControl/>
        <w:rPr/>
      </w:pPr>
      <w:r>
        <w:rPr/>
        <w:t>1. Each Party shall maintain a de minimis regime providing duty-free and simplified entry for low-value shipments, and shall not set its de minimis threshold below the level in effect for that Party on January 1, 2020.</w:t>
      </w:r>
    </w:p>
    <w:p>
      <w:pPr>
        <w:pStyle w:val="Normal"/>
        <w:widowControl/>
        <w:rPr/>
      </w:pPr>
      <w:r>
        <w:rPr/>
        <w:t>2. Duty-free and simplified treatment under paragraph 1 applies to shipments of originating goods without regard to the existence of any dispute between the Parties. Withdrawal, suspension, or conditioning of de minimis treatment for originating shipments is a covered border measure within Article 35.2(e).</w:t>
      </w:r>
    </w:p>
    <w:p>
      <w:pPr>
        <w:pStyle w:val="Normal"/>
        <w:widowControl/>
        <w:rPr/>
      </w:pPr>
      <w:r>
        <w:rPr/>
        <w:t>3. The Parties shall establish interoperable electronic advance-data and declaration systems for low-value shipments, proportionate fraud and safety controls, and simplified procedures for low-risk small and medium-sized enterprises, in accordance with Chapter 7 as amended.</w:t>
      </w:r>
    </w:p>
    <w:p>
      <w:pPr>
        <w:pStyle w:val="Normal"/>
        <w:widowControl/>
        <w:rPr/>
      </w:pPr>
      <w:r>
        <w:rPr/>
        <w:t>4. Customs treatment of low-value shipments shall be uniform across a Party’s ports of entry.</w:t>
      </w:r>
    </w:p>
    <w:p>
      <w:pPr>
        <w:pStyle w:val="Normal"/>
        <w:widowControl/>
        <w:rPr/>
      </w:pPr>
      <w:r>
        <w:rPr/>
        <w:t>5. Dispute Standstill. During the pendency of consultations, verification, panel proceedings, appeal or compliance review concerning a low-value shipment measure, the treatment in force immediately before the dispute shall remain available to originating shipments, except to the extent an identified shipment or entity is supported by particularized evidence of fraud, forced labor, prohibited goods, material health or safety risk, or another independently lawful ground. A Party shall not suspend or narrow low-value treatment generally as leverage in the dispute.</w:t>
      </w:r>
    </w:p>
    <w:p>
      <w:bookmarkStart w:id="1027" w:name="_NAESTMA_TOC_1027"/>
      <w:pPr>
        <w:pStyle w:val="Heading2"/>
        <w:keepNext/>
        <w:widowControl/>
        <w:rPr/>
      </w:pPr>
      <w:bookmarkStart w:id="12" w:name="_Toc237912486"/>
      <w:r>
        <w:rPr/>
        <w:t>Article 2.D: Non-Discriminatory Administration of Tariff-Rate Quotas</w:t>
      </w:r>
      <w:bookmarkEnd w:id="12"/>
      <w:bookmarkEnd w:id="1027"/>
    </w:p>
    <w:p>
      <w:pPr>
        <w:pStyle w:val="Normal"/>
        <w:widowControl/>
        <w:rPr/>
      </w:pPr>
      <w:r>
        <w:rPr/>
        <w:t>1. Each Party shall administer its tariff-rate quotas under this Agreement in a manner that is transparent, predictable, and non-discriminatory, and shall not administer a TRQ so as to deny eligible importers or users access to allocations by reason of their channel of trade, where that channel is eligible under the Party’s other trade agreements for substantially like products.</w:t>
      </w:r>
    </w:p>
    <w:p>
      <w:pPr>
        <w:pStyle w:val="Normal"/>
        <w:widowControl/>
        <w:rPr/>
      </w:pPr>
      <w:r>
        <w:rPr/>
        <w:t>2. Without limiting paragraph 1, where a Party administers a tariff-rate quota for cheese or other dairy products under this Agreement and a corresponding quota under another trade agreement, the Party shall ensure that the eligibility of allocation applicants under this Agreement’s quota is not less favorable than the eligibility of like applicants under the other agreement’s quota, it being understood that allocation among eligible applicants remains a matter of the administering Party’s published procedures.</w:t>
      </w:r>
    </w:p>
    <w:p>
      <w:pPr>
        <w:pStyle w:val="Normal"/>
        <w:widowControl/>
        <w:rPr/>
      </w:pPr>
      <w:r>
        <w:rPr/>
        <w:t>3. Each Party shall publish its TRQ allocation methodology, utilization rates, and applicable deadlines, and shall notify material changes 60 days before they take effect. Utilization data shall be reported annually to the Committee on Agricultural Trade.</w:t>
      </w:r>
    </w:p>
    <w:p>
      <w:pPr>
        <w:pStyle w:val="Normal"/>
        <w:widowControl/>
        <w:rPr/>
      </w:pPr>
      <w:r>
        <w:rPr/>
        <w:t>4. This Article is without prejudice to the scope and levels of market-access commitments set out in the Parties’ Schedules, and does not require a Party to expand any quota volume. For greater certainty, nothing in this Agreement requires a Party to alter the fundamental structure of its supply-management system; the disciplines of this Article address the administration of the access that this Agreement provides.</w:t>
      </w:r>
    </w:p>
    <w:p>
      <w:bookmarkStart w:id="1028" w:name="_NAESTMA_TOC_1028"/>
      <w:pPr>
        <w:pStyle w:val="Heading2"/>
        <w:keepNext/>
        <w:widowControl/>
        <w:rPr/>
      </w:pPr>
      <w:bookmarkStart w:id="13" w:name="_Toc237912487"/>
      <w:r>
        <w:rPr/>
        <w:t>Article 2.E: Alcoholic Beverages — Non-Discriminatory Treatment</w:t>
      </w:r>
      <w:bookmarkEnd w:id="13"/>
      <w:bookmarkEnd w:id="1028"/>
    </w:p>
    <w:p>
      <w:pPr>
        <w:pStyle w:val="Normal"/>
        <w:widowControl/>
        <w:rPr/>
      </w:pPr>
      <w:r>
        <w:rPr/>
        <w:t>1. Measures of a Party, including measures of a sub-federal level of government within the scope of Article 2.3 (National Treatment) and the Annexes on alcoholic beverages, shall not discriminate against wine, beer, or spirits of another Party, in listing, distribution, mark-up, or retail access, by comparison with like products of that Party or of any non-Party.</w:t>
      </w:r>
    </w:p>
    <w:p>
      <w:pPr>
        <w:pStyle w:val="Normal"/>
        <w:widowControl/>
        <w:rPr/>
      </w:pPr>
      <w:r>
        <w:rPr/>
        <w:t>2. Where a measure of a province, state, or other sub-federal entity restricts the sale of another Party’s alcoholic beverages while permitting the sale of like domestic or third-country products, the Party shall, consistent with Article 1.6 and its constitutional allocation of authority, use the measures lawfully available to it to seek observance of paragraph 1. At a minimum, the Party shall notify the relevant sub-federal authority of the concern, offer or undertake consultation, make a written request for correction where the concern is not resolved, report the response to the affected Party, and use available domestic coordinating mechanisms appropriate to the matter. This paragraph imposes an obligation of diligent use of constitutionally available measures and does not require a Party to exercise authority it does not possess or to guarantee the conduct of a sub-federal government.</w:t>
      </w:r>
    </w:p>
    <w:p>
      <w:pPr>
        <w:pStyle w:val="Normal"/>
        <w:widowControl/>
        <w:rPr/>
      </w:pPr>
      <w:r>
        <w:rPr/>
        <w:t>3. Retaliatory removal of another Party’s alcoholic beverages from sale, in response to a matter arising under this Agreement, is a measure subject to this Agreement, including the disciplines of Chapter 35 where the removal has the economic effect of a covered border measure on originating goods.</w:t>
      </w:r>
    </w:p>
    <w:p>
      <w:bookmarkStart w:id="1029" w:name="_NAESTMA_TOC_1029"/>
      <w:pPr>
        <w:pStyle w:val="Heading2"/>
        <w:keepNext/>
        <w:widowControl/>
        <w:rPr/>
      </w:pPr>
      <w:bookmarkStart w:id="14" w:name="_Toc237912488"/>
      <w:r>
        <w:rPr/>
        <w:t>Article 2.F: Goods Re-Entered After Repair or Alteration; Temporary Admission</w:t>
      </w:r>
      <w:bookmarkEnd w:id="14"/>
      <w:bookmarkEnd w:id="1029"/>
    </w:p>
    <w:p>
      <w:pPr>
        <w:pStyle w:val="Normal"/>
        <w:widowControl/>
        <w:rPr/>
      </w:pPr>
      <w:r>
        <w:rPr/>
        <w:t>1. The treatment of goods re-entered after repair or alteration, and of temporarily admitted goods, is governed by Articles 2.5 and 2.6 as in force. No Party shall apply a covered border measure to such goods by reason of extraordinary authority where the underlying goods are originating and the repair, alteration, or temporary admission conditions of this Agreement are satisfied. A Party shall not circumvent this rule by characterizing a measure as a fee, surcharge, security charge, processing charge, or other equivalent exaction where the measure is imposed by reason of the qualifying good crossing the border. Nothing in this Article prevents a Party from requiring the ordinary documentation reasonably necessary to establish origin or satisfaction of the applicable repair, alteration, or temporary-admission conditions, or from applying independently lawful measures addressing fraud, prohibited goods, material health or safety risks, or other grounds expressly permitted by this Agreement.</w:t>
      </w:r>
    </w:p>
    <w:p>
      <w:bookmarkStart w:id="1030" w:name="_NAESTMA_TOC_1030"/>
      <w:pPr>
        <w:pStyle w:val="Heading2"/>
        <w:keepNext/>
        <w:widowControl/>
        <w:rPr/>
      </w:pPr>
      <w:bookmarkStart w:id="15" w:name="_Toc237912489"/>
      <w:r>
        <w:rPr/>
        <w:t>Article 2.G: Import and Export Restrictions</w:t>
      </w:r>
      <w:bookmarkEnd w:id="15"/>
      <w:bookmarkEnd w:id="1030"/>
    </w:p>
    <w:p>
      <w:pPr>
        <w:pStyle w:val="Normal"/>
        <w:widowControl/>
        <w:rPr/>
      </w:pPr>
      <w:r>
        <w:rPr/>
        <w:t>1. Article 2.11 (Import and Export Restrictions) is supplemented as follows:</w:t>
      </w:r>
    </w:p>
    <w:p>
      <w:pPr>
        <w:pStyle w:val="Normal"/>
        <w:widowControl/>
        <w:rPr/>
      </w:pPr>
      <w:r>
        <w:rPr/>
        <w:t>“</w:t>
      </w:r>
      <w:r>
        <w:rPr/>
        <w:t>For greater certainty, a licensing requirement, registration condition, or similar administrative measure that operates to restrict imports or exports of originating goods to a degree equivalent to a quantitative restriction is a restriction within this Article, and is a covered border measure within Article 35.2 where it is applied by reason of the goods crossing the border. Indicators of equivalent restrictive effect may include denial of otherwise lawful entry or export, a numerical or volume limitation, systematic delay that materially prevents trade, discriminatory eligibility conditions, or administrative conditions that in practice materially prevent otherwise lawful trade. A Party shall not avoid this Article by dividing, renaming, sequencing, or administering measures whose combined operation produces such an effect. Nothing in this paragraph prevents nondiscriminatory licensing, registration, inspection, or similar requirements genuinely directed to health, safety, customs administration, prohibited goods, or another lawful regulatory purpose, provided that the measure is not applied as a disguised quantitative restriction.”</w:t>
      </w:r>
    </w:p>
    <w:p>
      <w:bookmarkStart w:id="1031" w:name="_NAESTMA_TOC_1031"/>
      <w:pPr>
        <w:pStyle w:val="Heading2"/>
        <w:keepNext/>
        <w:widowControl/>
        <w:rPr/>
      </w:pPr>
      <w:bookmarkStart w:id="16" w:name="_Toc237912490"/>
      <w:r>
        <w:rPr/>
        <w:t>Article 2.H: Consultation on Non-Party Preferential Treatment</w:t>
      </w:r>
      <w:bookmarkEnd w:id="16"/>
      <w:bookmarkEnd w:id="1031"/>
    </w:p>
    <w:p>
      <w:pPr>
        <w:pStyle w:val="Normal"/>
        <w:widowControl/>
        <w:rPr/>
      </w:pPr>
      <w:r>
        <w:rPr/>
        <w:t>1. Where a Party extends to a non-Party preferential sectoral treatment materially more favorable than the treatment applicable to like originating goods of another Party — including under an arrangement addressing an extraordinary measure — the affected Party may request consultations, which shall be held within 30 days.</w:t>
      </w:r>
    </w:p>
    <w:p>
      <w:pPr>
        <w:pStyle w:val="Normal"/>
        <w:widowControl/>
        <w:rPr/>
      </w:pPr>
      <w:r>
        <w:rPr/>
        <w:t>2. The Party extending the treatment shall in good faith consider extending functionally equivalent treatment to the affected Party’s originating goods, taking into account the affected Party’s participation in this Agreement’s anti-circumvention, traceability, and economic-security disciplines. In assessing whether treatment is materially more favorable or functionally equivalent, the Parties shall consider, as applicable, tariff incidence, quota or quantitative access, eligibility conditions, duration, sectoral and product scope, compliance conditions, and other conditions materially affecting usable market access. Within 30 days after the consultations conclude, the Party extending the treatment shall provide the affected Party a written response stating whether it will extend functionally equivalent treatment and, if it declines, the principal reasons for that decision. Nothing in this Article guarantees extension of a non-Party preference or requires a Party to disregard an applicable exception or other obligation under this Agreement.</w:t>
      </w:r>
    </w:p>
    <w:p>
      <w:pPr>
        <w:pStyle w:val="Normal"/>
        <w:widowControl/>
        <w:rPr/>
      </w:pPr>
      <w:r>
        <w:rPr/>
        <w:t>3. This Article does not affect preferences extended under a free trade agreement or customs union consistent with Article XXIV of the GATT 1994, or preferences required by the WTO Agreement.</w:t>
      </w:r>
    </w:p>
    <w:p>
      <w:bookmarkStart w:id="1032" w:name="_NAESTMA_TOC_1032"/>
      <w:pPr>
        <w:pStyle w:val="Heading2"/>
        <w:keepNext/>
        <w:widowControl/>
        <w:rPr/>
      </w:pPr>
      <w:bookmarkStart w:id="17" w:name="_Toc237912491"/>
      <w:r>
        <w:rPr/>
        <w:t>Article 2.I: Committee on Trade in Goods — Additional Functions</w:t>
      </w:r>
      <w:bookmarkEnd w:id="17"/>
      <w:bookmarkEnd w:id="1032"/>
    </w:p>
    <w:p>
      <w:pPr>
        <w:pStyle w:val="Normal"/>
        <w:widowControl/>
        <w:rPr/>
      </w:pPr>
      <w:r>
        <w:rPr/>
        <w:t>1. The Committee on Trade in Goods shall: (a) monitor the operation of Articles 2.A through 2.H; (b) receive reports from the Secretariat's Treaty Integrity function concerning covered border measures affecting goods; and (c) report annually to the Commission on the state of tariff-free North American trade in goods. The annual report shall identify material notifications concerning covered border measures, unresolved implementation issues, material developments involving tariffs or equivalent charges on originating goods, and recommendations, where appropriate, for improving administration or resolving recurring implementation problems. The Committee shall rely on information already produced under this Agreement and by competent national authorities to the greatest extent practicable and shall not create duplicative reporting requirements unless the Commission expressly authorizes them. The Committee may recommend action to the Commission but may not amend a Party’s tariff commitments, alter a Schedule to Annex 2-B, or create a new binding obligation except through the amendment procedures of this Agreement.</w:t>
      </w:r>
      <w:r>
        <w:br w:type="page"/>
      </w:r>
    </w:p>
    <w:p>
      <w:bookmarkStart w:id="1033" w:name="_NAESTMA_TOC_1033"/>
      <w:pPr>
        <w:pStyle w:val="Heading1"/>
        <w:keepNext/>
        <w:keepLines w:val="0"/>
        <w:pageBreakBefore/>
        <w:widowControl/>
        <w:rPr/>
      </w:pPr>
      <w:bookmarkStart w:id="18" w:name="_Toc237912492"/>
      <w:r>
        <w:rPr/>
        <w:t>CHAPTER 3 AGRICULTURE Section A: General Provisions</w:t>
      </w:r>
      <w:bookmarkEnd w:id="18"/>
      <w:bookmarkEnd w:id="1033"/>
    </w:p>
    <w:p>
      <w:pPr>
        <w:pStyle w:val="Normal"/>
        <w:widowControl/>
        <w:rPr/>
      </w:pPr>
      <w:r>
        <w:rPr/>
        <w:t>Article 3.1: Definitions For the purposes of this Chapter: agricultural good means agricultural products referred to in Article 2 of the Agreement on Agriculture; export subsidy has the same meaning as assigned to “export subsidies” in Article 1(e) of the Agreement on Agriculture; and Agreement on Agriculture means the Agreement on Agriculture, set out in Annex 1A to the WTO Agreement.</w:t>
      </w:r>
    </w:p>
    <w:p>
      <w:pPr>
        <w:pStyle w:val="Normal"/>
        <w:keepNext w:val="true"/>
        <w:widowControl/>
        <w:rPr/>
      </w:pPr>
      <w:r>
        <w:rPr/>
        <w:t>Article 3.2: Scope 1. This Chapter applies to measures adopted or maintained by a Party relating to trade in agricultural goods. 2. In the event of any inconsistency between this Chapter and another provision of this Agreement, this Chapter shall prevail to the extent of the inconsistency.</w:t>
      </w:r>
    </w:p>
    <w:p>
      <w:pPr>
        <w:pStyle w:val="Normal"/>
        <w:keepNext w:val="true"/>
        <w:widowControl/>
        <w:rPr/>
      </w:pPr>
      <w:r>
        <w:rPr/>
        <w:t>Article 3.3: International Cooperation The Parties shall work together at the WTO to promote increased transparency and to improve and further develop multilateral disciplines on market access, domestic support, and export competition with the objective of substantial progressive reductions in support and protection resulting in fundamental reform.</w:t>
      </w:r>
    </w:p>
    <w:p>
      <w:pPr>
        <w:pStyle w:val="Normal"/>
        <w:keepNext w:val="true"/>
        <w:widowControl/>
        <w:rPr/>
      </w:pPr>
      <w:r>
        <w:rPr/>
        <w:t>Article 3.4: Export Competition 1. No Party shall adopt or maintain an export subsidy on any agricultural good destined for the territory of another Party. 2. If a Party considers that export financing support granted by another Party results or may result in a distorting effect on trade between the Parties, or considers that an export subsidy is being granted by another Party, with respect to an agricultural good, it may request a discussion on the matter with the other Party. The responding Party shall agree to discuss the matter with the requesting Party as soon as practicable.</w:t>
      </w:r>
    </w:p>
    <w:p>
      <w:pPr>
        <w:pStyle w:val="Normal"/>
        <w:keepNext w:val="true"/>
        <w:widowControl/>
        <w:rPr/>
      </w:pPr>
      <w:r>
        <w:rPr/>
        <w:t>Article 3.5: Export Restrictions – Food Security 1. For the purpose of this Article, “foodstuff” includes fish and fish products intended for human consumption. 2. The Parties recognize that under Article XI:2(a) of the GATT 1994 a Party may temporarily apply an export prohibition or restriction that is otherwise prohibited under Article XI:1 of the GATT 1994 on a foodstuff to prevent or relieve a critical shortage, subject to meeting the conditions set out in Article 12.1 of the Agreement on Agriculture. 3. In addition to the conditions set out in Article 12.1 of the Agreement on Agriculture under which a Party may apply an export prohibition or restriction, other than a duty, tax, or other charge on a foodstuff, a Party that:</w:t>
      </w:r>
    </w:p>
    <w:p>
      <w:pPr>
        <w:pStyle w:val="Normal"/>
        <w:widowControl/>
        <w:rPr/>
      </w:pPr>
      <w:r>
        <w:rPr/>
        <w:t>(a) imposes an export prohibition or restriction on the exportation or sale for export of a foodstuff to another Party shall notify the measure to the other Parties at least 30 days prior to the date the measure takes effect, except when the critical shortage is caused by an event constituting force majeure, in which case the Party shall notify prior to the date the measure takes effect; or (b) maintains an export prohibition or restriction as of the date of entry into force of this Agreement shall notify the measure to the other Parties within 30 days of the date of entry into force of this Agreement. 4.</w:t>
      </w:r>
    </w:p>
    <w:p>
      <w:pPr>
        <w:pStyle w:val="Normal"/>
        <w:widowControl/>
        <w:rPr/>
      </w:pPr>
      <w:r>
        <w:rPr/>
        <w:t>A notification made pursuant to paragraph 3 must include: the reasons for adopting or maintaining the export prohibition or restriction, an explanation of how the measure is consistent with Article XI:2(a) of the GATT 1994, and an identification of alternative measures, if any, that the Party considered before imposing the export prohibition or restriction. 5. A Party is not required to notify an export prohibition or restriction pursuant to paragraphs 3 or 8 if the measure prohibits or restricts the exportation or sale for export only of a foodstuff that the Party has been a net importer during each of the three calendar years preceding the imposition of the measure, excluding the year in which the Party imposes the measure. 6.</w:t>
      </w:r>
    </w:p>
    <w:p>
      <w:pPr>
        <w:pStyle w:val="Normal"/>
        <w:widowControl/>
        <w:rPr/>
      </w:pPr>
      <w:r>
        <w:rPr/>
        <w:t>If a Party that adopts or maintains a measure referred to in paragraph 3 has been a net importer of each foodstuff subject to that measure during each of the three calendar years preceding imposition of the measure, excluding the year in which the Party imposes the measure, and that Party does not provide the other Parties with a notification pursuant to paragraph 3, the Party shall, within a reasonable period of time, provide to the other Parties trade data demonstrating that it was a net importer of the foodstuff during these three calendar years. 7.</w:t>
      </w:r>
    </w:p>
    <w:p>
      <w:pPr>
        <w:pStyle w:val="Normal"/>
        <w:widowControl/>
        <w:rPr/>
      </w:pPr>
      <w:r>
        <w:rPr/>
        <w:t>A Party that is required to notify a measure under paragraph 3 shall: (a) on the request of another Party having a substantial interest as an importer of the foodstuff subject to the measure, consult with that Party with respect to any matter relating to the measure; (b) on the request of another Party having a substantial interest as an importer of the foodstuff subject to the measure, provide that Party with relevant economic indicators bearing on whether a critical shortage within the meaning of Article XI:2(a) of the GATT 1994 exists or is likely to occur in the absence of the measure, and on how the measure will prevent or relieve the critical shortage; and (c) respond in writing to any question posed by another Party regarding the measure within 14 days of receipt of the question. 8. A Party that considers that another Party should have notified a measure under paragraph 3 may bring the matter to the attention of that other Party.</w:t>
      </w:r>
    </w:p>
    <w:p>
      <w:pPr>
        <w:pStyle w:val="Normal"/>
        <w:widowControl/>
        <w:rPr/>
      </w:pPr>
      <w:r>
        <w:rPr/>
        <w:t>If the matter is not satisfactorily resolved promptly thereafter, the Party that considers that the measure should have been notified may itself bring the measure to the attention to the third Party. 9. A Party should ordinarily terminate a measure subject to notification under paragraphs 3 or 8 within six months of the date it is adopted.</w:t>
      </w:r>
    </w:p>
    <w:p>
      <w:pPr>
        <w:pStyle w:val="Normal"/>
        <w:widowControl/>
        <w:rPr/>
      </w:pPr>
      <w:r>
        <w:rPr/>
        <w:t>A Party contemplating continuation of a measure beyond six months from the date it adopted the measure shall notify the other Parties no later than five months after the date it adopted the measure and provide the information identified in paragraph 3. Unless the Party has consulted with the other Parties that are net importers of the foodstuff subject to the export prohibition or restriction, the Party shall not continue the measure beyond 12 months from the date the Party adopted the measure. The Party shall immediately discontinue the measure when the critical shortage, or threat thereof, ceases to exist. 10. No Party shall apply a measure that is subject to notification under paragraphs 3 or 8 to a foodstuff purchased for a non-commercial, humanitarian purpose.</w:t>
      </w:r>
    </w:p>
    <w:p>
      <w:pPr>
        <w:pStyle w:val="Normal"/>
        <w:keepNext w:val="true"/>
        <w:widowControl/>
        <w:rPr/>
      </w:pPr>
      <w:r>
        <w:rPr/>
        <w:t>Article 3.6: Domestic Support 1. The Parties recognize that domestic support measures can be of crucial importance to their agricultural sectors but may also have trade distorting effects and effects on production. If a Party supports its agricultural producers, the Party shall consider domestic support measures that have no, or at most minimal, trade distorting effects or effects on production. 2. If a Party raises concerns that another Party’s domestic support measure has had a negative impact on trade between the Parties, the Parties shall share relevant information regarding the domestic support measure with each other and discuss the matter with a view to seeking to minimize any negative trade impact.</w:t>
      </w:r>
    </w:p>
    <w:p>
      <w:pPr>
        <w:pStyle w:val="Normal"/>
        <w:keepNext w:val="true"/>
        <w:widowControl/>
        <w:rPr/>
      </w:pPr>
      <w:r>
        <w:rPr/>
        <w:t>Article 3.7: Committee on Agricultural Trade 1. The Parties hereby establish a Committee on Agricultural Trade (“Agriculture Committee”), composed of government representatives of each Party. 2. The Agriculture Committee’s functions shall include: (a) promoting trade in agricultural goods between the Parties under this Agreement; (b) monitoring and promoting cooperation on the implementation and administration of this Chapter; (c) providing a forum for the Parties to consult and endeavor to address issues or trade barriers and improve access to their respective markets, in coordination or jointly with other committees, working groups, or any other subsidiary bodies established under this Agreement; (d) endeavoring to exchange information on trade in agricultural goods between the Parties, including information covered by Article 3.10.1 (Transparency and Consultations) or any other relevant transparency provision in this Chapter; (e) fostering cooperation among the Parties in areas of mutual interest, such as rural development, technology, research and development, and capacity building, and creating joint programs as mutually agreed between the agencies involved in agriculture, among others;</w:t>
      </w:r>
    </w:p>
    <w:p>
      <w:pPr>
        <w:pStyle w:val="Normal"/>
        <w:widowControl/>
        <w:rPr/>
      </w:pPr>
      <w:r>
        <w:rPr/>
        <w:t>(f) undertaking any additional work, including that the Commission may assign or another committee may refer; (g) recommending to the Commission any modification of or addition to this Chapter; and (h) reporting annually on its activities to the Commission. 3.</w:t>
      </w:r>
    </w:p>
    <w:p>
      <w:pPr>
        <w:pStyle w:val="Normal"/>
        <w:widowControl/>
        <w:rPr/>
      </w:pPr>
      <w:r>
        <w:rPr/>
        <w:t>The Agriculture Committee shall establish its terms of reference at its first meeting and may revise those terms as needed. 4. The Agriculture Committee shall meet within one year of the date of entry into force of this Agreement and once each year thereafter unless the Parties decide otherwise.</w:t>
      </w:r>
    </w:p>
    <w:p>
      <w:pPr>
        <w:pStyle w:val="Normal"/>
        <w:keepNext w:val="true"/>
        <w:widowControl/>
        <w:rPr/>
      </w:pPr>
      <w:r>
        <w:rPr/>
        <w:t>Article 3.8: Consultative Committees on Agriculture 1. The activities of the Consultative Committees on Agriculture (CCAs) established by: (a) the Canada-U.S. Consultative Committee on Agriculture Terms of Reference in accordance with the Record of Understanding Between the Governments of the United States of America and Canada Regarding Areas of Agricultural Trade (ROU) on December 4, 1998; (b) the Memorandum of Understanding Between the U.S. Department of Agriculture and the Office of the U.S. Trade Representative, and the Secretariat of Agriculture, Livestock, Rural Development, Fish and Food and the Secretary of Economy of the United Mexican States Regarding Areas of Food and Agriculture Trade (US-MX MOU) on October 1, 2001 and re-established on March 6, 2007; and (c) the Memorandum of Understanding between the Secretariat of Agriculture, Livestock, Rural Development, Fisheries and Food of the United Mexican States and Agriculture and Agri-Food Canada for the establishment of the Mexico- Canada Agriculture Consultative Committee (MX-CA MOU) on February 1, 2002 and re-established in March 2006, shall as of the date of entry into force of this Agreement be organized under this Agreement.</w:t>
      </w:r>
    </w:p>
    <w:p>
      <w:pPr>
        <w:pStyle w:val="Normal"/>
        <w:widowControl/>
        <w:rPr/>
      </w:pPr>
      <w:r>
        <w:rPr/>
        <w:t>2. The CCAs shall be governed by and operate according to their respective ROU or MOU, and all implementing or administrative documents, as may be amended. 3.</w:t>
      </w:r>
    </w:p>
    <w:p>
      <w:pPr>
        <w:pStyle w:val="Normal"/>
        <w:widowControl/>
        <w:rPr/>
      </w:pPr>
      <w:r>
        <w:rPr/>
        <w:t>The CCAs may inform the Agriculture Committee, the Committee on Sanitary and Phytosanitary Measures, or the Committee on Technical Barriers to Trade of their activities.</w:t>
      </w:r>
    </w:p>
    <w:p>
      <w:pPr>
        <w:pStyle w:val="Normal"/>
        <w:keepNext w:val="true"/>
        <w:widowControl/>
        <w:rPr/>
      </w:pPr>
      <w:r>
        <w:rPr/>
        <w:t>Article 3.9: Agricultural Special Safeguards Originating agricultural goods traded under preferential tariff treatment shall not be subject to any duties that the importing Party applies pursuant to a special safeguard it takes pursuant to the Agreement on Agriculture.1 1 For greater certainty, an agricultural good for which most-favored-nation tariff treatment applies may be subject to additional duties applied by a Party pursuant to a special safeguard taken under the Agreement on Agriculture.</w:t>
      </w:r>
    </w:p>
    <w:p>
      <w:pPr>
        <w:pStyle w:val="Normal"/>
        <w:keepNext w:val="true"/>
        <w:widowControl/>
        <w:rPr/>
      </w:pPr>
      <w:r>
        <w:rPr/>
        <w:t>Article 3.10: Transparency and Consultations 1. Each Party shall endeavor, as appropriate, to share with another Party, on request, available information regarding a measure relating to trade in agricultural goods taken by a regional level of government in its territory that may have a significant effect on trade between those Parties. 2. At the request of another Party, a Party shall meet to discuss, and if appropriate, resolve, matters arising from grade, quality, technical specifications, and other standards as they affect trade between the Parties.</w:t>
      </w:r>
    </w:p>
    <w:p>
      <w:pPr>
        <w:pStyle w:val="Normal"/>
        <w:keepNext w:val="true"/>
        <w:widowControl/>
        <w:rPr/>
      </w:pPr>
      <w:r>
        <w:rPr/>
        <w:t>Article 3.11: Annexes 1. Annex 3-A applies to trade in agricultural goods between Canada and the United States. 2. Annex 3-B applies to trade in agricultural goods between Mexico and the United States. 3. Annex 3-C applies to trade in distilled spirits, wine, beer, and other alcohol beverages. 4. Annex 3-D applies to proprietary formulas for prepackaged foods and food additives. Section B: Agricultural Biotechnology</w:t>
      </w:r>
    </w:p>
    <w:p>
      <w:pPr>
        <w:pStyle w:val="Normal"/>
        <w:keepNext w:val="true"/>
        <w:widowControl/>
        <w:rPr/>
      </w:pPr>
      <w:r>
        <w:rPr/>
        <w:t>Article 3.12: Definitions For the purposes of this Section: agricultural biotechnology means technologies, including modern biotechnology, used for the deliberate manipulation of an organism to introduce, remove, or modify one or more heritable characteristics of a product for agriculture and aquaculture use and that are not technologies used in traditional breeding and selection; Low Level Presence (LLP) Occurrence means low levels of recombinant deoxyribonucleic acid (DNA) plant materials that have passed a food safety assessment according to the Codex Guideline for the Conduct of a Food Safety Assessment of Foods Derived from Recombinant- DNA Plants (CAC/GL 45-2003) in one or more countries, which may on occasion be inadvertently present in food or feed in importing countries in which the food safety of the relevant recombinant DNA plant has not been determined; modern biotechnology means the application of:</w:t>
      </w:r>
    </w:p>
    <w:p>
      <w:pPr>
        <w:pStyle w:val="Normal"/>
        <w:widowControl/>
        <w:rPr/>
      </w:pPr>
      <w:r>
        <w:rPr/>
        <w:t>(a) in vitro nucleic acid techniques, including recombinant DNA and direct injection of nucleic acid into cells or organelles; or (b) fusion of cells beyond the taxonomic family, that overcome natural physiological reproductive or recombination barriers and that are not techniques used in traditional breeding and selection; product of agricultural biotechnology means an agricultural good, or a fish or fish product covered by Chapter 3 of the Harmonized System, developed using agricultural biotechnology, but does not include a medicine or a medical product; and product</w:t>
      </w:r>
    </w:p>
    <w:p>
      <w:pPr>
        <w:pStyle w:val="Normal"/>
        <w:widowControl/>
        <w:rPr/>
      </w:pPr>
      <w:r>
        <w:rPr/>
        <w:t>of modern biotechnology means an agricultural good, or a fish or fish product covered by Chapter 3 of the Harmonized System, developed using modern biotechnology, but does not include a medicine or a medical product.</w:t>
      </w:r>
    </w:p>
    <w:p>
      <w:pPr>
        <w:pStyle w:val="Normal"/>
        <w:keepNext w:val="true"/>
        <w:widowControl/>
        <w:rPr/>
      </w:pPr>
      <w:r>
        <w:rPr/>
        <w:t>Article 3.13: Contact Points Each Party shall designate and notify a contact point or contact points for the sharing of information on matters related to this Section, in accordance with Article 30.5 (Agreement Coordinator and Contact Points).</w:t>
      </w:r>
    </w:p>
    <w:p>
      <w:pPr>
        <w:pStyle w:val="Normal"/>
        <w:keepNext w:val="true"/>
        <w:widowControl/>
        <w:rPr/>
      </w:pPr>
      <w:r>
        <w:rPr/>
        <w:t>Article 3.14: Trade in Products of Agricultural Biotechnology 1. The Parties confirm the importance of encouraging agricultural innovation and facilitating trade in products of agricultural biotechnology, while fulfilling legitimate objectives, including by promoting transparency and cooperation, and exchanging information related to the trade in products of agricultural biotechnology. 2. This Section does not require a Party to mandate an authorization for a product of agricultural biotechnology to be on the market. 3. Each Party shall make available to the public and, to the extent possible, online: (a) the information and documentation requirements for an authorization, if required, of a product of agricultural biotechnology; (b) any summary of any risk or safety assessment that has led to the authorization, if required, of a product of agricultural biotechnology; and (c) any list of the products of agricultural biotechnology that have been authorized in its territory. 4.</w:t>
      </w:r>
    </w:p>
    <w:p>
      <w:pPr>
        <w:pStyle w:val="Normal"/>
        <w:widowControl/>
        <w:rPr/>
      </w:pPr>
      <w:r>
        <w:rPr/>
        <w:t>To reduce the likelihood of disruptions to trade in products of agricultural biotechnology: (a) each Party shall continue to encourage applicants to submit timely and concurrent applications to the Parties for authorization, if required, of products of agricultural biotechnology; (b) a Party requiring any authorization for a product of agricultural biotechnology shall: (i) accept and review applications for the authorization, if required, of products of agricultural biotechnology on an ongoing basis year-round, (ii) adopt or maintain measures that allow the initiation of the domestic regulatory authorization process of a product not yet authorized in another country, (iii) if an authorization is subject to expiration, take steps to help ensure that the review of the product is completed and a decision is made in a timely manner, and if possible, prior to expiration, and (iv) communicate with the other Parties regarding any new and existing authorizations of products of agricultural biotechnology so as to improve information exchange.</w:t>
      </w:r>
    </w:p>
    <w:p>
      <w:pPr>
        <w:pStyle w:val="Normal"/>
        <w:keepNext w:val="true"/>
        <w:widowControl/>
        <w:rPr/>
      </w:pPr>
      <w:r>
        <w:rPr/>
        <w:t>Article 3.15: LLP Occurrence 1. Each Party shall adopt or maintain policies or approaches designed to facilitate the management of any LLP Occurrence. 2. To address an LLP Occurrence, and with a view to preventing future LLP Occurrences, on request of an importing Party, an exporting Party shall: (a) provide any summary of the specific risk or safety assessments that the exporting Party conducted in connection with any authorization of the product of modern biotechnology that is the subject of the LLP Occurrence; (b) provide, on receiving permission of the entity, if required, a contact point for any entity within its territory that received authorization for the product of modern biotechnology that is the subject of the LLP Occurrence and that is on the basis of this authorization, likely to possess:</w:t>
      </w:r>
    </w:p>
    <w:p>
      <w:pPr>
        <w:pStyle w:val="Normal"/>
        <w:widowControl/>
        <w:rPr/>
      </w:pPr>
      <w:r>
        <w:rPr/>
        <w:t>(i) any existing, validated methods for the detection of the product of modern biotechnology that is the subject of the LLP Occurrence, (ii) any reference sample of the product of modern biotechnology that is the subject of the LLP Occurrence necessary for the detection of the LLP Occurrence, and (iii) relevant information2 that can be used by the importing Party to conduct a risk or safety assessment, if appropriate, in accordance with the relevant international standards and guidelines; and (c) encourage the entity in its territory that received authorization related to the product of modern biotechnology that is the subject of the LLP Occurrence to share the information</w:t>
      </w:r>
    </w:p>
    <w:p>
      <w:pPr>
        <w:pStyle w:val="Normal"/>
        <w:widowControl/>
        <w:rPr/>
      </w:pPr>
      <w:r>
        <w:rPr/>
        <w:t>referred to in paragraph 2(b) with the importing Party. 3. In the event of an LLP Occurrence, the importing Party shall: (a) inform the importer or the importer’s agent of the LLP Occurrence and of any additional information, including the information referenced in paragraph 2(b) of this Article, that will be required to be submitted to assist the importing Party to make a decision on the management of the LLP occurrence; (b) on request, and if available, provide to the exporting Party a summary of any risk or safety assessment that the importing Party has conducted in accordance with its domestic law in connection with the LLP Occurrence; (c) ensure that the LLP Occurrence is managed without unnecessary delay and that any measure3 applied to manage the LLP Occurrence is appropriate to achieve compliance with the importing Party’s laws and regulations and takes into account any risk posed by the LLP Occurrence; and (d) take into account, as appropriate, any relevant risk or safety assessment provided, and authorization granted, by another Party or non-Party when deciding how to manage the LLP Occurrence.</w:t>
      </w:r>
    </w:p>
    <w:p>
      <w:pPr>
        <w:pStyle w:val="Normal"/>
        <w:keepNext w:val="true"/>
        <w:widowControl/>
        <w:rPr/>
      </w:pPr>
      <w:r>
        <w:rPr/>
        <w:t>Article 3.16: Working Group for Cooperation on Agricultural Biotechnology 2 For example, relevant information includes the information contained in Annex 3 of the Codex Guideline for the Conduct of Food Safety Assessment of Foods Derived from Recombinant-DNA Plants (CAC/GL 45-2003). 3 For purposes of this paragraph, “measure” does not include penalties. 1. The Parties hereby establish a Working Group for Cooperation on Agricultural Biotechnology (Working Group) for information exchange and cooperation on policy and trade- related matters associated with products of agricultural biotechnology. The Working Group shall be co-chaired by government representatives of each of the Parties, and shall be comprised of policy officials responsible for issues related to agricultural biotechnology of each of the Parties. The Working Group shall report to the Agriculture Committee on its activities and progress on related matters. 2.</w:t>
      </w:r>
    </w:p>
    <w:p>
      <w:pPr>
        <w:pStyle w:val="Normal"/>
        <w:widowControl/>
        <w:rPr/>
      </w:pPr>
      <w:r>
        <w:rPr/>
        <w:t>The Working Group shall provide a forum for the Parties to: (a) exchange information on issues, including on existing and proposed domestic laws, regulations, and policies, and on any risk or safety assessments subject to appropriate confidentiality arrangements, related to the trade in products of agricultural biotechnology; (b) exchange information, and collaborate when possible, on issues pertaining to products of agricultural biotechnology, including on regulatory and policy developments; (c) consider work, based upon accumulated knowledge and experience of certain products, in areas of regulatory affairs and policy to facilitate trade in products of agricultural biotechnology; (d) collaborate to consider common approaches for the management of an LLP Occurrence; and (e) consider the work conducted under other trilateral cooperation mechanisms focused on agricultural biotechnology, including the Trilateral Technical Working Group, established by the Parties in 2003 and operating under Terms of Reference from February 2015. 3. The Working Group shall coordinate efforts to advance regulatory approaches and trade policies that are transparent, and based on science and on risk for products of agricultural biotechnology in other countries and in international organizations.</w:t>
      </w:r>
    </w:p>
    <w:p>
      <w:pPr>
        <w:pStyle w:val="Normal"/>
        <w:widowControl/>
        <w:rPr/>
      </w:pPr>
      <w:r>
        <w:rPr/>
        <w:t>4. The Working Group shall meet annually, unless otherwise decided by the Parties, and may meet in person, or by any other means as determined by the Parties.</w:t>
      </w:r>
    </w:p>
    <w:p>
      <w:pPr>
        <w:pStyle w:val="Normal"/>
        <w:widowControl/>
        <w:rPr/>
      </w:pPr>
      <w:r>
        <w:rPr/>
        <w:t>ANNEX 3-A AGRICULTURAL TRADE BETWEEN CANADA AND THE UNITED STATES Article 3.A.1: Tariff Classifications 1. Canada shall notify the United States of any change to Canada’s Schedule to the Customs Tariff that increases the rate of a customs duty applied to a dairy, poultry, or egg product when imported into Canada from the United States4 prior to finalization of such change. To the maximum extent possible, Canada shall provide such notification immediately after publication of the proposal for the change, so as to provide a sufficient opportunity for the United States to review the proposal prior to its implementation. If the United States requests, Canada shall promptly provide information to the United States, and respond to questions from the United States, pertaining to any change to Canada’s Schedule to the Customs Tariff that increases the rate of a customs duty applied to a dairy, poultry, or egg product when imported into Canada from the United States, whether or not the United States has been previously notified of the change. 2.</w:t>
      </w:r>
    </w:p>
    <w:p>
      <w:pPr>
        <w:pStyle w:val="Normal"/>
        <w:widowControl/>
        <w:rPr/>
      </w:pPr>
      <w:r>
        <w:rPr/>
        <w:t>The United States shall notify Canada of any change to the Harmonized Tariff Schedule of the United States that increases the tariff rate applied to a sugar, sugar containing product (SCP), or dairy product when imported into the United States from Canada5 prior to finalization of such change.</w:t>
      </w:r>
    </w:p>
    <w:p>
      <w:pPr>
        <w:pStyle w:val="Normal"/>
        <w:widowControl/>
        <w:rPr/>
      </w:pPr>
      <w:r>
        <w:rPr/>
        <w:t>To the maximum extent possible, the United States shall provide such notification immediately after publication of the proposal for the change, so as to provide sufficient opportunity for Canada to review the proposal prior to its implementation. If Canada requests, the United States shall promptly provide information to Canada, and respond to questions from Canada, pertaining to any change to the Harmonized Tariff Schedule of the United States that increases the tariff rate applied to a sugar, SCP, or dairy product when imported into the United States from Canada, whether or not Canada has been previously notified of the change. 3. On the request of the other Party, a Party shall meet to discuss any measures or policies that may affect trade between the Parties of a sugar, SCP, dairy, poultry, or egg product within 30 days of the request.</w:t>
      </w:r>
    </w:p>
    <w:p>
      <w:pPr>
        <w:pStyle w:val="Normal"/>
        <w:widowControl/>
        <w:rPr/>
      </w:pPr>
      <w:r>
        <w:rPr/>
        <w:t>4 For purposes of this paragraph, a “change to Canada’s Schedule to the Customs Tariff that increases the rate of a customs duty applied to a dairy, poultry, or egg product when imported into Canada from the United States” means a change to Canada’s Schedule to the Customs Tariff that changes the classification of any good not previously classified under a tariff item listed in Appendix A that results in the good being classified under a tariff item listed in Appendix A.</w:t>
      </w:r>
    </w:p>
    <w:p>
      <w:pPr>
        <w:pStyle w:val="Normal"/>
        <w:widowControl/>
        <w:rPr/>
      </w:pPr>
      <w:r>
        <w:rPr/>
        <w:t>5 For purposes of this paragraph, a “change to the Harmonized Tariff Schedule of the United States that increases the tariff rate applied to a sugar, SCP, or dairy product when imported into the United States from Canada” means a change to the Harmonized Tariff Schedule of the United States that changes the classification of any good not classified before the change under a tariff item listed in Appendix B to this Annex that results in the good being classified under a tariff item listed in Appendix B. 3-A-1 Article 3.A.2: Tariff-Rate Quota Administration 1. For the purposes of this Article: allocation mechanism means any system in which access to the tariff rate quota is granted on a basis other than first-come first-served; and tariff rate quota (TRQ) means a mechanism that provides for the application of a preferential rate of customs duty to imports of a particular originating good up to a specified quantity (in quota quantity), and at a different rate to imports of that good that exceed that quantity. 2.</w:t>
      </w:r>
    </w:p>
    <w:p>
      <w:pPr>
        <w:pStyle w:val="Normal"/>
        <w:widowControl/>
        <w:rPr/>
      </w:pPr>
      <w:r>
        <w:rPr/>
        <w:t>For the purposes of this Article, TRQ refers only t o those TRQs established under this Agreement as set out in a Party’s Schedule to Annex 2-B (Tariff Commitments). For greater certainty, this Article shall not apply to TRQs set out in a Party’s Schedule to the WTO Agreement. 3.</w:t>
      </w:r>
    </w:p>
    <w:p>
      <w:pPr>
        <w:pStyle w:val="Normal"/>
        <w:widowControl/>
        <w:rPr/>
      </w:pPr>
      <w:r>
        <w:rPr/>
        <w:t>Each Party shall implement and administer its TRQs in accordance with Article XIII of GATT 1994, including its interpretative notes, the Import Licensing Agreement and Article 2.15 (Transparency in Import Licensing). All TRQs established by a Party under this Agreement shall be set out in that Party’s Schedule to Annex 2-B (Tariff Commitments). 4. Each Party shall ensure that its procedures for administering its TRQs: (a) are transparent; (b) are fair and equitable; (c) use clearly specified timeframes, administrative procedures, and requirements; (d) are no more administratively burdensome than necessary; (e) are responsive to market conditions; and (f) are administered in a timely manner. 5. The Party administering a TRQ shall publish, on its designated website and at least 90 days prior to the beginning of the TRQ year, all information concerning its TRQ administration, including the size of quotas and eligibility requirements. 6. Each Party shall administer its TRQs in a manner that allows importers the opportunity to utilize TRQ quantities fully.</w:t>
      </w:r>
    </w:p>
    <w:p>
      <w:pPr>
        <w:pStyle w:val="Normal"/>
        <w:widowControl/>
        <w:rPr/>
      </w:pPr>
      <w:r>
        <w:rPr/>
        <w:t>(a) Except as provided in subparagraph (b) and (c), no Party shall introduce a new or additional condition, limit, or eligibility requirement on the utilization of a TRQ 3-A-2 for importation of an agricultural good, including in relation to specification or grade, permissible end-use of the imported product, or package size beyond those set out in its Schedule to Annex 2-B (Tariff Commitments).</w:t>
      </w:r>
    </w:p>
    <w:p>
      <w:pPr>
        <w:pStyle w:val="Normal"/>
        <w:widowControl/>
        <w:rPr/>
      </w:pPr>
      <w:r>
        <w:rPr/>
        <w:t>For greater certainty, paragraph 6 shall not apply to conditions, limits, or eligibility requirements that apply regardless of whether or not the importer utilizes the TRQ when importing the agricultural good. (b) A Party seeking to introduce a new or additional condition, limit, or eligibility requirement on the utilization of a TRQ for importation of an agricultural good shall notify the other Party at least 45 days prior to the proposed effective date of the new or additional condition, limit, or eligibility requirement. If the other Party has a demonstrable commercial interest in supplying the agricultural good, that Party may submit a written request for consultations within 30 days of the notification to the Party seeking to introduce the new or additional condition, limit, or eligibility requirement. On receipt of such a request for consultations, the Party seeking to introduce the new or additional condition, limit, or eligibility requirement shall promptly undertake consultations with the other Party, in accordance with Article 3.10 (Transparency and Consultations).</w:t>
      </w:r>
    </w:p>
    <w:p>
      <w:pPr>
        <w:pStyle w:val="Normal"/>
        <w:widowControl/>
        <w:rPr/>
      </w:pPr>
      <w:r>
        <w:rPr/>
        <w:t>(c) The Party seeking to introduce the new or additional condition, limit, or eligibility requirement may do so if the other Party with a demonstrable commercial interest in supplying the agricultural good has not submitted a written request for consultations within 30 days of the notification pursuant to subparagraph (b) or, in the case when the other Party has submitted a written request for consultations pursuant to subparagraph (b) if: (i) the Party has consulted with the other Party, and (ii) the other Party has not objected, after the consultation, to the introduction of the new or additional condition, limit, or eligibility requirement. (d) A new or additional condition, limit, or eligibility requirement that is the outcome of any consultation held pursuant to subparagraph (c) shall be circulated to the other Party prior to its implementation. 7. Notwithstanding paragraph 6, a Party shall not implement a condition, limit, or eligibility requirement:</w:t>
      </w:r>
    </w:p>
    <w:p>
      <w:pPr>
        <w:pStyle w:val="Normal"/>
        <w:widowControl/>
        <w:rPr/>
      </w:pPr>
      <w:r>
        <w:rPr/>
        <w:t>(a) regarding the quota applicant’s nationality, or headquarters location; or (b) requiring the quota applicant’s physical presence in the territory of the Party, except that a Party may require that the quota applicant either: (i) do business and have a business office, or 3-A-3 (ii) have an employee, an agent for service of process, or a legal representative, in the territory of the Party. 8.</w:t>
      </w:r>
    </w:p>
    <w:p>
      <w:pPr>
        <w:pStyle w:val="Normal"/>
        <w:widowControl/>
        <w:rPr/>
      </w:pPr>
      <w:r>
        <w:rPr/>
        <w:t>On entry into force of this Agreement, if either Party maintains a TRQ in its Schedule to Annex 2-B (Tariff Commitments) that is administered through issuance of permits by either Party, then the Party maintaining the TRQ shall have: (a) consulted with the other Party with respect to all procedures for the allocation and use of the TRQ, and any condition or requirement applicable on or in connection with the allocation or use of the TRQ; and (b) adopted and implemented regulations or policies containing all of its procedures for the allocation and use of the TRQ and any condition or requirement of that Party applicable on or in connection with the allocation or use of the TRQ. 9. If a TRQ is administered by an allocation mechanism, the administering Party shall, prior to any change to the allocation mechanism:</w:t>
      </w:r>
    </w:p>
    <w:p>
      <w:pPr>
        <w:pStyle w:val="Normal"/>
        <w:widowControl/>
        <w:rPr/>
      </w:pPr>
      <w:r>
        <w:rPr/>
        <w:t>(a) publish for public comment the proposed regulations or policies containing all of its procedures for the allocation and use of the TRQ and any condition or requirement applicable on or in connection with the allocation or use of the TRQ no less than 60 days in advance of the date on which comments are due; (b) take any comments into account in the development of the final regulations or policies; and (c) adopt, implement, and publish the final regulations or policies on its designated website at least 90 days prior to the beginning of each TRQ year. 10.</w:t>
      </w:r>
    </w:p>
    <w:p>
      <w:pPr>
        <w:pStyle w:val="Normal"/>
        <w:widowControl/>
        <w:rPr/>
      </w:pPr>
      <w:r>
        <w:rPr/>
        <w:t>If a TRQ is administered by an allocation mechanism, then the administering Party shall provide that the mechanism allows for importers that have not previously imported the agricultural good subject to the TRQ (new importers), who meet all eligibility criteria other than import performance, to be eligible for a quota allocation. The Party administering the TRQ allocation mechanism shall not discriminate against new importers when allocating the TRQ. 11. A Party administering an allocated TRQ shall ensure that: (a) any person of the other Party that fulfils the importing Party’s eligibility requirements is able to apply and be considered for a quota allocation under the TRQ; (b) unless otherwise agreed by the Parties, it does not allocate any portion of the quota 3-A-4 to a producer group, condition access to an allocation on the purchase of domestic production, or limit access to an allocation to processors; (c) each allocation is made in commercially viable shipping quantities and, to the maximum extent possible, in the quantities that the TRQ applicant requests;</w:t>
      </w:r>
    </w:p>
    <w:p>
      <w:pPr>
        <w:pStyle w:val="Normal"/>
        <w:widowControl/>
        <w:rPr/>
      </w:pPr>
      <w:r>
        <w:rPr/>
        <w:t>(d) an allocation for in-quota imports is applicable to any tariff items subject to the TRQ and is valid throughout the TRQ year; (e) if the aggregate TRQ quantity requested by applicants exceeds the quota size, allocation to eligible applicants shall be conducted by equitable and transparent methods; (f) applicants have at least four weeks after the opening of the application period to submit their applications;</w:t>
      </w:r>
    </w:p>
    <w:p>
      <w:pPr>
        <w:pStyle w:val="Normal"/>
        <w:widowControl/>
        <w:rPr/>
      </w:pPr>
      <w:r>
        <w:rPr/>
        <w:t>and (g) quota is allocated no later than four weeks before the opening of the quota period, unless the allocation is based in whole or in part on import performance during the 12-month period immediately preceding the quota period. If the administering Party bases the allocation in whole or in part on import performance during the 12-month period immediately preceding the quota period, then that Party shall make a provisional allocation of the full quota amount no later than four weeks before the opening of the quota period. All final allocation decisions, including any revisions, shall be made and communicated to applicants by the beginning of the quota period. 12.</w:t>
      </w:r>
    </w:p>
    <w:p>
      <w:pPr>
        <w:pStyle w:val="Normal"/>
        <w:widowControl/>
        <w:rPr/>
      </w:pPr>
      <w:r>
        <w:rPr/>
        <w:t>If less than 12 months remain in the first TRQ year on the date of entry into force of this Agreement, then a Party administering a TRQ allocation shall make available to quota applicants, beginning on the date of entry into force of this Agreement, the quota quantity established in its Schedule to Annex 2-B (Tariff Commitments), multiplied by a fraction the numerator of which shall be a whole number consisting of the number of months remaining in the TRQ year on the date of entry into force of this Agreement, including the entirety of the month in which this Agreement enters into force, and the denominator of which shall be 12.</w:t>
      </w:r>
    </w:p>
    <w:p>
      <w:pPr>
        <w:pStyle w:val="Normal"/>
        <w:widowControl/>
        <w:rPr/>
      </w:pPr>
      <w:r>
        <w:rPr/>
        <w:t>The administering Party shall make the entire quota quantity established in its Schedule to Annex 2-B (Tariff Commitments) available to quota applicants beginning on the first day of each TRQ year that the quota is in operation. 13. A Party administering a TRQ shall not require the re-export of an agricultural good as a condition for the application for, or utilization of, a quota allocation. 14. Any quantity of agricultural goods imported under a TRQ pursuant to Section B of Appendix 2 (Tariff Schedule of Canada (Tariff Rate Quotas)) to the Tariff Schedule of Canada in Annex 2-B (Tariff Commitments) or Section B of Appendix 2 (Tariff Schedule of the United States (Tariff Rate Quotas)) to the Tariff Schedule of the United States in 3-A-5 Annex 2-B (Tariff Commitments) shall not count towards, or reduce the in-quota quantity of, any TRQ provided for that agricultural good in a Party’s Schedule to the WTO Agreement or under any other trade agreement.6 15.</w:t>
      </w:r>
    </w:p>
    <w:p>
      <w:pPr>
        <w:pStyle w:val="Normal"/>
        <w:widowControl/>
        <w:rPr/>
      </w:pPr>
      <w:r>
        <w:rPr/>
        <w:t>If a TRQ is administered by an allocation mechanism, then the administering Party shall ensure that there is a mechanism for the return and reallocation of unused allocations in a timely and transparent manner that provides the greatest possible opportunity for the TRQ to be filled. 16. Each Party shall publish, on a regular basis and on its designated publicly available website, information concerning quantities allocated, quantities returned, and, if available, quota utilization rates.</w:t>
      </w:r>
    </w:p>
    <w:p>
      <w:pPr>
        <w:pStyle w:val="Normal"/>
        <w:widowControl/>
        <w:rPr/>
      </w:pPr>
      <w:r>
        <w:rPr/>
        <w:t>In addition, each Party shall publish, on the website designated to provide TRQ information, the quantities available for reallocation and the application deadline, at least two weeks prior to the date on which the Party will begin accepting applications for reallocations. 17. Each Party shall identify the entity or entities responsible for administering its TRQs and designate and notify at least one contact point, in accordance with Article 30.5 (Agreement Coordinator and Contact Points), to facilitate communications between the Parties on matters relating to the administration of its TRQs. Each Party shall promptly notify the other Party of any amendments to the details of its contact point. 18. If a TRQ is administered by an allocation mechanism, then the administering Party shall publish the name and address of allocation holders on its designated publicly available website. 19.</w:t>
      </w:r>
    </w:p>
    <w:p>
      <w:pPr>
        <w:pStyle w:val="Normal"/>
        <w:widowControl/>
        <w:rPr/>
      </w:pPr>
      <w:r>
        <w:rPr/>
        <w:t>If a TRQ is administered on a first-come, first-served basis, the importing Party’s administering authority shall publish the utilization rates and remaining available quantities for that TRQ, over the course of each TRQ year, in a timely and on-going basis, and on its designated website. 20. When a TRQ administered on a first-come, first-served basis is filled, the administering Party shall publish a notice to this effect on its designated publicly available website within 10 days. 21.</w:t>
      </w:r>
    </w:p>
    <w:p>
      <w:pPr>
        <w:pStyle w:val="Normal"/>
        <w:widowControl/>
        <w:rPr/>
      </w:pPr>
      <w:r>
        <w:rPr/>
        <w:t>When a TRQ administered by an allocation mechanism is filled, the administering Party shall publish a notice to this effect on its designated publicly available website as early as practicable. 6 For greater certainty, nothing in this paragraph shall prevent an administrating Party from applying an in-quota rate of customs duty to agricultural goods from the other Party, as set out in the administering Party’s Schedule to Annex 2-B (Tariff Commitments), that is different than the rate of customs duty applied to the same agricultural good of Mexico or a non-Party under a TRQ established under the WTO Agreement. Furthermore, nothing in this paragraph requires an administrating Party to change the in-quota quantity of any TRQ established under the WTO Agreement. 3-A-6 22. On the written request of the exporting Party, the Party administrating a TRQ shall consult with the exporting Party regarding the administration of its TRQ within 30 days of the request, under normal circumstances. Article 3.A.3: Dairy Pricing and Exports 1.</w:t>
      </w:r>
    </w:p>
    <w:p>
      <w:pPr>
        <w:pStyle w:val="Normal"/>
        <w:widowControl/>
        <w:rPr/>
      </w:pPr>
      <w:r>
        <w:rPr/>
        <w:t>For the purposes of this Article: assumed processor margin means the estimated cost to a processor of converting raw milk into a specified manufactured wholesale commodity or milk product, which may then be used in the calculation of a milk class price and may also be referred to as a make allowance; dairy year means August 1 to July 31; eligible goods means goods that a processor may manufacture using the milk or milk components provided at a milk class price; infant formula means a good classified in HS subheading 1901.10 containing more than 10 percent on a dry weight basis of cow milk solids; milk class means an end use for which processors may utilize milk or milk components provided at milk class prices; milk class price means the price, minimum price, or milk component price at which milk or milk components are billed or provided to processors based on their end use; milk component means butterfat, protein, other solids, and any other component of milk for which a Party sets a milk class price; milk protein concentrate means goods classified in HS subheading 0404.90; skim milk powder means goods classified in HS subheading 0402.10;</w:t>
      </w:r>
    </w:p>
    <w:p>
      <w:pPr>
        <w:pStyle w:val="Normal"/>
        <w:widowControl/>
        <w:rPr/>
      </w:pPr>
      <w:r>
        <w:rPr/>
        <w:t>USDA nonfat dry milk price means the nonfat dry milk price published by the United States Department of Agriculture (USDA) in its Announcement of Class and Component Prices, as used in the calculation of the Nonfat Milk Solids price in the United States; and yield factor means the estimated ratio of a given volume of skim milk powder to</w:t>
      </w:r>
    </w:p>
    <w:p>
      <w:pPr>
        <w:pStyle w:val="Normal"/>
        <w:widowControl/>
        <w:rPr/>
      </w:pPr>
      <w:r>
        <w:rPr/>
        <w:t>the volume of non-fat solids required to manufacture that volume skim milk powder as determined by the Party. 2. This Article applies to any milk class pricing system for dairy adopted or maintained by a Party, where for: 3-A-7 (a) Canada, milk class pricing system refers to price setting under the supply management system for dairy; and (b) the United States, milk class pricing system refers to price setting under the federal milk marketing orders. 3. Canada shall ensure that milk class 6 and milk class 7, including their associated milk class prices, are eliminated six months after entry into force of this Agreement. 4. Six months after entry into force of this Agreement, Canada shall ensure that products and ingredients formerly classified under milk classes 6 and 7 are reclassified and that their associated milk class prices are established appropriately based on end use. 5.</w:t>
      </w:r>
    </w:p>
    <w:p>
      <w:pPr>
        <w:pStyle w:val="Normal"/>
        <w:widowControl/>
        <w:rPr/>
      </w:pPr>
      <w:r>
        <w:rPr/>
        <w:t>Notwithstanding paragraph 4, Canada shall ensure that the prices for non-fat solids used to manufacture milk protein concentrates, skim milk powder, and infant formula are no lower than the applicable price determined by the following formula: (The USDA nonfat dry milk price minus Canada’s applicable assumed processor margin) multiplied by Canada’s applicable yield factor. 6. Paragraph 5 shall not apply to domestic sales of milk components for non-human consumption, such as for use as animal feed. 7.</w:t>
      </w:r>
    </w:p>
    <w:p>
      <w:pPr>
        <w:widowControl/>
      </w:pPr>
      <w:r>
        <w:rPr>
          <w:b w:val="0"/>
        </w:rPr>
        <w:t>Canada shall monitor its global exports of milk protein concentrates, skim milk powder, and infant formula and provide information regarding those exports to the United States as specified in paragraph 13. 8. In a given dairy year, if global exports of: (a) both milk protein concentrates and skim milk powder from Canada together exceed the following thresholds:</w:t>
      </w:r>
    </w:p>
    <w:tbl>
      <w:tblPr>
        <w:tblStyle w:val="TableGrid"/>
        <w:tblW w:type="auto" w:w="0"/>
        <w:jc w:val="center"/>
        <w:tblLayout w:type="autofit"/>
        <w:tblLook w:firstColumn="1" w:firstRow="1" w:lastColumn="0" w:lastRow="0" w:noHBand="0" w:noVBand="1" w:val="04A0"/>
      </w:tblPr>
      <w:tblGrid>
        <w:gridCol w:w="4680"/>
        <w:gridCol w:w="4680"/>
      </w:tblGrid>
      <w:tr>
        <w:trPr>
          <w:tblHeader w:val="true"/>
          <w:cantSplit/>
          <w:tblHeader w:val="true"/>
        </w:trPr>
        <w:tc>
          <w:tcPr>
            <w:tcW w:type="dxa" w:w="4680"/>
            <w:shd w:fill="233746"/>
          </w:tcPr>
          <w:p>
            <w:pPr>
              <w:spacing w:after="0"/>
            </w:pPr>
            <w:r>
              <w:rPr>
                <w:rFonts w:ascii="Arial" w:hAnsi="Arial"/>
                <w:b/>
                <w:color w:val="FFFFFF"/>
                <w:sz w:val="17"/>
              </w:rPr>
              <w:t>Year</w:t>
            </w:r>
          </w:p>
        </w:tc>
        <w:tc>
          <w:tcPr>
            <w:tcW w:type="dxa" w:w="4680"/>
            <w:shd w:fill="233746"/>
          </w:tcPr>
          <w:p>
            <w:pPr>
              <w:spacing w:after="0"/>
            </w:pPr>
            <w:r>
              <w:rPr>
                <w:rFonts w:ascii="Arial" w:hAnsi="Arial"/>
                <w:b/>
                <w:color w:val="FFFFFF"/>
                <w:sz w:val="17"/>
              </w:rPr>
              <w:t>MPC plus SMP Threshold</w:t>
            </w:r>
          </w:p>
        </w:tc>
      </w:tr>
      <w:tr>
        <w:trPr>
          <w:cantSplit/>
        </w:trPr>
        <w:tc>
          <w:tcPr>
            <w:tcW w:type="dxa" w:w="4680"/>
            <w:tcMar>
              <w:top w:w="70" w:type="dxa"/>
              <w:start w:w="110" w:type="dxa"/>
              <w:bottom w:w="70" w:type="dxa"/>
              <w:end w:w="110" w:type="dxa"/>
            </w:tcMar>
          </w:tcPr>
          <w:p>
            <w:pPr>
              <w:widowControl/>
              <w:spacing w:after="0"/>
            </w:pPr>
            <w:r>
              <w:rPr>
                <w:rFonts w:ascii="Arial" w:hAnsi="Arial"/>
                <w:sz w:val="17"/>
              </w:rPr>
              <w:t>1</w:t>
            </w:r>
          </w:p>
        </w:tc>
        <w:tc>
          <w:tcPr>
            <w:tcW w:type="dxa" w:w="4680"/>
            <w:tcMar>
              <w:top w:w="70" w:type="dxa"/>
              <w:start w:w="110" w:type="dxa"/>
              <w:bottom w:w="70" w:type="dxa"/>
              <w:end w:w="110" w:type="dxa"/>
            </w:tcMar>
          </w:tcPr>
          <w:p>
            <w:pPr>
              <w:widowControl/>
              <w:spacing w:after="0"/>
            </w:pPr>
            <w:r>
              <w:rPr>
                <w:rFonts w:ascii="Arial" w:hAnsi="Arial"/>
                <w:sz w:val="17"/>
              </w:rPr>
              <w:t>55,000 MT</w:t>
            </w:r>
          </w:p>
        </w:tc>
      </w:tr>
      <w:tr>
        <w:trPr>
          <w:cantSplit/>
        </w:trPr>
        <w:tc>
          <w:tcPr>
            <w:tcW w:type="dxa" w:w="4680"/>
            <w:tcMar>
              <w:top w:w="70" w:type="dxa"/>
              <w:start w:w="110" w:type="dxa"/>
              <w:bottom w:w="70" w:type="dxa"/>
              <w:end w:w="110" w:type="dxa"/>
            </w:tcMar>
            <w:shd w:fill="F4F6F7"/>
          </w:tcPr>
          <w:p>
            <w:pPr>
              <w:widowControl/>
              <w:spacing w:after="0"/>
            </w:pPr>
            <w:r>
              <w:rPr>
                <w:rFonts w:ascii="Arial" w:hAnsi="Arial"/>
                <w:sz w:val="17"/>
              </w:rPr>
              <w:t>2</w:t>
            </w:r>
          </w:p>
        </w:tc>
        <w:tc>
          <w:tcPr>
            <w:tcW w:type="dxa" w:w="4680"/>
            <w:tcMar>
              <w:top w:w="70" w:type="dxa"/>
              <w:start w:w="110" w:type="dxa"/>
              <w:bottom w:w="70" w:type="dxa"/>
              <w:end w:w="110" w:type="dxa"/>
            </w:tcMar>
            <w:shd w:fill="F4F6F7"/>
          </w:tcPr>
          <w:p>
            <w:pPr>
              <w:widowControl/>
              <w:spacing w:after="0"/>
            </w:pPr>
            <w:r>
              <w:rPr>
                <w:rFonts w:ascii="Arial" w:hAnsi="Arial"/>
                <w:sz w:val="17"/>
              </w:rPr>
              <w:t>35,000 MT</w:t>
            </w:r>
          </w:p>
        </w:tc>
      </w:tr>
    </w:tbl>
    <w:p>
      <w:pPr>
        <w:widowControl/>
      </w:pPr>
      <w:r>
        <w:rPr>
          <w:b w:val="0"/>
        </w:rPr>
        <w:t>then, Canada shall apply an export charge of CAD 0.54 per kilogram to global exports of these goods in excess of the thresholds set out above for the remainder of the dairy year. (b) infant formula from Canada exceeds the following thresholds:</w:t>
      </w:r>
    </w:p>
    <w:tbl>
      <w:tblPr>
        <w:tblStyle w:val="TableGrid"/>
        <w:tblW w:type="auto" w:w="0"/>
        <w:jc w:val="center"/>
        <w:tblLayout w:type="autofit"/>
        <w:tblLook w:firstColumn="1" w:firstRow="1" w:lastColumn="0" w:lastRow="0" w:noHBand="0" w:noVBand="1" w:val="04A0"/>
      </w:tblPr>
      <w:tblGrid>
        <w:gridCol w:w="4680"/>
        <w:gridCol w:w="4680"/>
      </w:tblGrid>
      <w:tr>
        <w:trPr>
          <w:tblHeader w:val="true"/>
          <w:cantSplit/>
          <w:tblHeader w:val="true"/>
        </w:trPr>
        <w:tc>
          <w:tcPr>
            <w:tcW w:type="dxa" w:w="4680"/>
            <w:shd w:fill="233746"/>
          </w:tcPr>
          <w:p>
            <w:pPr>
              <w:spacing w:after="0"/>
            </w:pPr>
            <w:r>
              <w:rPr>
                <w:rFonts w:ascii="Arial" w:hAnsi="Arial"/>
                <w:b/>
                <w:color w:val="FFFFFF"/>
                <w:sz w:val="17"/>
              </w:rPr>
              <w:t>Year</w:t>
            </w:r>
          </w:p>
        </w:tc>
        <w:tc>
          <w:tcPr>
            <w:tcW w:type="dxa" w:w="4680"/>
            <w:shd w:fill="233746"/>
          </w:tcPr>
          <w:p>
            <w:pPr>
              <w:spacing w:after="0"/>
            </w:pPr>
            <w:r>
              <w:rPr>
                <w:rFonts w:ascii="Arial" w:hAnsi="Arial"/>
                <w:b/>
                <w:color w:val="FFFFFF"/>
                <w:sz w:val="17"/>
              </w:rPr>
              <w:t>Infant Formula Threshold</w:t>
            </w:r>
          </w:p>
        </w:tc>
      </w:tr>
      <w:tr>
        <w:trPr>
          <w:cantSplit/>
        </w:trPr>
        <w:tc>
          <w:tcPr>
            <w:tcW w:type="dxa" w:w="4680"/>
            <w:tcMar>
              <w:top w:w="70" w:type="dxa"/>
              <w:start w:w="110" w:type="dxa"/>
              <w:bottom w:w="70" w:type="dxa"/>
              <w:end w:w="110" w:type="dxa"/>
            </w:tcMar>
          </w:tcPr>
          <w:p>
            <w:pPr>
              <w:widowControl/>
              <w:spacing w:after="0"/>
            </w:pPr>
            <w:r>
              <w:rPr>
                <w:rFonts w:ascii="Arial" w:hAnsi="Arial"/>
                <w:sz w:val="17"/>
              </w:rPr>
              <w:t>1</w:t>
            </w:r>
          </w:p>
        </w:tc>
        <w:tc>
          <w:tcPr>
            <w:tcW w:type="dxa" w:w="4680"/>
            <w:tcMar>
              <w:top w:w="70" w:type="dxa"/>
              <w:start w:w="110" w:type="dxa"/>
              <w:bottom w:w="70" w:type="dxa"/>
              <w:end w:w="110" w:type="dxa"/>
            </w:tcMar>
          </w:tcPr>
          <w:p>
            <w:pPr>
              <w:widowControl/>
              <w:spacing w:after="0"/>
            </w:pPr>
            <w:r>
              <w:rPr>
                <w:rFonts w:ascii="Arial" w:hAnsi="Arial"/>
                <w:sz w:val="17"/>
              </w:rPr>
              <w:t>13,333 MT</w:t>
            </w:r>
          </w:p>
        </w:tc>
      </w:tr>
      <w:tr>
        <w:trPr>
          <w:cantSplit/>
        </w:trPr>
        <w:tc>
          <w:tcPr>
            <w:tcW w:type="dxa" w:w="4680"/>
            <w:tcMar>
              <w:top w:w="70" w:type="dxa"/>
              <w:start w:w="110" w:type="dxa"/>
              <w:bottom w:w="70" w:type="dxa"/>
              <w:end w:w="110" w:type="dxa"/>
            </w:tcMar>
            <w:shd w:fill="F4F6F7"/>
          </w:tcPr>
          <w:p>
            <w:pPr>
              <w:widowControl/>
              <w:spacing w:after="0"/>
            </w:pPr>
            <w:r>
              <w:rPr>
                <w:rFonts w:ascii="Arial" w:hAnsi="Arial"/>
                <w:sz w:val="17"/>
              </w:rPr>
              <w:t>2</w:t>
            </w:r>
          </w:p>
        </w:tc>
        <w:tc>
          <w:tcPr>
            <w:tcW w:type="dxa" w:w="4680"/>
            <w:tcMar>
              <w:top w:w="70" w:type="dxa"/>
              <w:start w:w="110" w:type="dxa"/>
              <w:bottom w:w="70" w:type="dxa"/>
              <w:end w:w="110" w:type="dxa"/>
            </w:tcMar>
            <w:shd w:fill="F4F6F7"/>
          </w:tcPr>
          <w:p>
            <w:pPr>
              <w:widowControl/>
              <w:spacing w:after="0"/>
            </w:pPr>
            <w:r>
              <w:rPr>
                <w:rFonts w:ascii="Arial" w:hAnsi="Arial"/>
                <w:sz w:val="17"/>
              </w:rPr>
              <w:t>40,000 MT</w:t>
            </w:r>
          </w:p>
        </w:tc>
      </w:tr>
    </w:tbl>
    <w:p>
      <w:pPr>
        <w:widowControl/>
      </w:pPr>
      <w:r>
        <w:rPr>
          <w:b w:val="0"/>
        </w:rPr>
        <w:t>then, Canada shall apply an export charge of CAD 4.25 per kilogram to global exports of these goods in excess of the thresholds set out above for the remainder of the dairy year. 9. With regard to the thresholds established in paragraphs 8(a) and 8(b), after Year 2 each threshold shall increase at a rate of 1.2 percent annually on a dairy year basis. 10.</w:t>
      </w:r>
    </w:p>
    <w:p>
      <w:pPr>
        <w:pStyle w:val="Normal"/>
        <w:widowControl/>
        <w:rPr/>
      </w:pPr>
      <w:r>
        <w:rPr/>
        <w:t>Each Party shall publish on, or link to, a central government website, the following information: (a) laws and regulations at the central or regional level of government of a Party that govern or implement a milk class pricing system for dairy, including any replacement or amendment thereof; (b) the assumed processor margin; (c) each milk class price, including for each milk component by each milk class; and (d) the yield factor. Each Party shall publish this information as of entry into force of this Agreement for existing measures, and thereafter, a Party shall publish the information as soon as possible. 11. (a) No later than six months after entry into force of this Agreement, each Party shall provide to the other Party or publish on, or link to, a central government website the requirements, terms, and conditions for obtaining and using milk and milk components at milk class prices, including:</w:t>
      </w:r>
    </w:p>
    <w:p>
      <w:pPr>
        <w:pStyle w:val="Normal"/>
        <w:widowControl/>
        <w:rPr/>
      </w:pPr>
      <w:r>
        <w:rPr/>
        <w:t>(i) a list or description of the goods for which processors are eligible to receive milk or milk components at a milk class price, and 3-A-9 (ii) a list or description of the products that eligible goods can be used to manufacture.7 Thereafter, each Party shall provide to the other Party or publish on, or link to, a central government website any revisions or amendments to this information as soon as possible.</w:t>
      </w:r>
    </w:p>
    <w:p>
      <w:pPr>
        <w:pStyle w:val="Normal"/>
        <w:widowControl/>
        <w:rPr/>
      </w:pPr>
      <w:r>
        <w:rPr/>
        <w:t>The first time that the information in subparagraph (a) is provided or published, the Party shall also provide or publish this information since entry into force of this Agreement. (b) No later than six months after entry into force of this Agreement, each Party shall provide to the other Party or publish on, or link to, a central government website the milk utilization by milk class and by month, including quantities sold, prices, and revenues for milk and each milk component.8 Thereafter, each Party shall provide or publish this monthly data on a quarterly basis. The first time that this data is provided or published the Party shall also provide or publish this data since entry into force of this Agreement. 12. Before the adoption, amendment, or revision to a milk class,9 a Party shall:</w:t>
      </w:r>
    </w:p>
    <w:p>
      <w:pPr>
        <w:pStyle w:val="Normal"/>
        <w:widowControl/>
        <w:rPr/>
      </w:pPr>
      <w:r>
        <w:rPr/>
        <w:t>(a) notify the other Party of, or publicly announce, its intent to adopt, amend, or revise a milk class at least one calendar month before the effective date of the adoption, amendment, or revision, so as to provide a sufficient opportunity for the other Party to review the proposed measure containing the adoption, amendment, or revision to a milk class prior to its implementation; (b) consult with the other Party on request, or allow participation in any public regulatory process, regarding the proposed measure containing the adoption, amendment, or revision to a milk class, and take any comments into account in the decision to adopt, amend, or revise a milk class; and 7 For greater</w:t>
      </w:r>
    </w:p>
    <w:p>
      <w:pPr>
        <w:pStyle w:val="Normal"/>
        <w:widowControl/>
        <w:rPr/>
      </w:pPr>
      <w:r>
        <w:rPr/>
        <w:t>certainty, the information to be provided or published in subparagraph (a) is not confidential and does not include information regarding individual contractual arrangements. 8 For greater certainty, the data to be provided or published in subparagraph (b) is aggregated data. The Parties understand that aggregated data is not confidential and that if certain data cannot be aggregated, then it may be considered confidential. 9 For the purposes of this paragraph an “adoption, amendment or revision to a milk class” means the creation of a new milk class, the removal of a milk class, and the amendment of the eligible goods in a milk class or how a milk class price is set. Amendments to how a milk class price is set means changes to the formula used to calculate a milk class price, the source of data used in the formula, the value of the assumed processor margin, or the value of the yield factor.</w:t>
      </w:r>
    </w:p>
    <w:p>
      <w:pPr>
        <w:pStyle w:val="Normal"/>
        <w:widowControl/>
        <w:rPr/>
      </w:pPr>
      <w:r>
        <w:rPr/>
        <w:t>For greater certainty, “adoption, amendment, or revision to a milk class” does not include routine updates to a milk class price due to the input of updated data, and “amendment of the eligible goods” does not include changes that are clerical in nature. 3-A-10 (c) publish the final measure, and to the extent possible, allow for an interval between the publication of the final measure and its effective date. 13.</w:t>
      </w:r>
    </w:p>
    <w:p>
      <w:pPr>
        <w:pStyle w:val="Normal"/>
        <w:widowControl/>
        <w:rPr/>
      </w:pPr>
      <w:r>
        <w:rPr/>
        <w:t>Further to paragraph 7, Canada shall make available to the United States data regarding Canada’s global exports of milk protein concentrates, skim milk powder, and infant formula, at the HS subheading level, on a monthly basis, and no later than 30 days after the close of each month. 14. Within 30 days of a request from the other Party, the Parties shall meet in a jointly agreed location, or by electronic means, to discuss any matter associated with the application of this Section. 15. Recognizing that new products and new consumer preferences may impact the demand for and exports of skim milk powder, milk protein concentrates, and infant formula, if the trade monitoring mechanism established in paragraphs 7 through 9 is unsatisfactory to either Party, the Parties shall, within 30 days of a written request of a Party, enter consultations to consider and, if appropriate, seek to amend the provisions of paragraphs 7 through 9 pursuant to Article 34.3 (Amendments). 16.</w:t>
      </w:r>
    </w:p>
    <w:p>
      <w:pPr>
        <w:pStyle w:val="Normal"/>
        <w:widowControl/>
        <w:rPr/>
      </w:pPr>
      <w:r>
        <w:rPr/>
        <w:t>Five years after entry into force of this Agreement and every two years thereafter, Canada and the United States shall meet to consider whether conditions have changed such that this Article should be terminated or modified. Modifications, including termination, may be made at that time or at any other time by mutual consent of Canada and the United States. Article 3.A.4: Grain 1.</w:t>
      </w:r>
    </w:p>
    <w:p>
      <w:pPr>
        <w:pStyle w:val="Normal"/>
        <w:widowControl/>
        <w:rPr/>
      </w:pPr>
      <w:r>
        <w:rPr/>
        <w:t>Each Party shall accord to originating wheat imported from the territory of the other Party treatment no less favorable than that it accords to like wheat of domestic origin with respect to the assignment of quality grades, including by ensuring that any measure it adopts or maintains regarding the grading of wheat for quality, whether on a mandatory or voluntary basis, is applied to imported wheat on the basis of the same requirements as domestic wheat. 2. No Party shall require that a country of origin statement be issued on a quality grade certificate for originating wheat imported from the territory of the other Party, recognizing that phytosanitary or customs requirements may require such a statement. 3. At the request of the other Party, the Parties shall discuss issues related to the operation of a domestic grain grading or grain class system, including issues related to the seed regulatory system associated with the operation of any such system, through existing mechanisms. The Parties shall endeavor to share best practices with respect these issues, as appropriate. 4.</w:t>
      </w:r>
    </w:p>
    <w:p>
      <w:pPr>
        <w:pStyle w:val="Normal"/>
        <w:widowControl/>
        <w:rPr/>
      </w:pPr>
      <w:r>
        <w:rPr/>
        <w:t>Canada shall exclude from the application of the Maximum Grain Revenue Entitlement, established under the Canada Transportation Act, or any modification, replacement, or 3-A-11 amendment thereof, movements of agricultural goods originating in Canada and shipped via west coast ports for consumption in the United States. Article 3.A.5: Sugar and Sugar Containing Products 1.</w:t>
      </w:r>
    </w:p>
    <w:p>
      <w:pPr>
        <w:pStyle w:val="Normal"/>
        <w:widowControl/>
        <w:rPr/>
      </w:pPr>
      <w:r>
        <w:rPr/>
        <w:t>For the purposes of paragraphs 2 through 5: “product of Canada” means a good that qualifies to be marked as a good of Canada pursuant to U.S. law10 without regard to whether the good is marked. 2. Consistent with Article XIII of the GATT 1994, the United States shall allocate to Canada: (a) a share of the in-quota quantity of its refined sugar TRQ11 of not less than 10,300 metric tons, raw value, for sugar that is a product of Canada; and (b) a share of the in-quota quantity of its SCP TRQ12 of not less than 59,250 metric tons for SCPs that are the product of Canada. 3. Further to paragraph 2, the United States shall permit access for sugar that is the product of Canada to any in-quota quantity of the refined sugar TRQ that is not allocated among supplying countries. The United States shall permit access to the unallocated amounts in a TRQ period without regard to whether the share allocated to Canada for that period has been filled. 4.</w:t>
      </w:r>
    </w:p>
    <w:p>
      <w:pPr>
        <w:pStyle w:val="Normal"/>
        <w:widowControl/>
        <w:rPr/>
      </w:pPr>
      <w:r>
        <w:rPr/>
        <w:t>Further to paragraph 2, if the United States allocates the refined sugar TRQ reserved for specialty sugar, then the United States shall do so consistent with its WTO obligations and in consultation with Canada. 5.</w:t>
      </w:r>
    </w:p>
    <w:p>
      <w:pPr>
        <w:pStyle w:val="Normal"/>
        <w:widowControl/>
        <w:rPr/>
      </w:pPr>
      <w:r>
        <w:rPr/>
        <w:t>Further to paragraph 2, if for any TRQ period Canada informs the United States that Canada will not supply the full amount of the share of SCP TRQ allocated to Canada pursuant to paragraph 2, then the United States shall transfer the quantity of the share that Canada will not supply to the quantity of SCP TRQ that is not allocated among supplying countries. The United States shall provide Canada reasonable advance notice of the date on which such a transfer will 10 Any change to U.S. regulations regarding the marking of refined sugar and sugar containing products shall be undertaken consistent with U.S. law, meaning that any proposed amendments or revisions will be published in the Federal Register normally allowing at least 60 days for public comment, including comments from Canada, and the United States shall take all public comments timely submitted into account before finalizing any new regulation. 11 The refined sugar TRQ of the United States is as provided for in Additional U.S.</w:t>
      </w:r>
    </w:p>
    <w:p>
      <w:pPr>
        <w:pStyle w:val="Normal"/>
        <w:widowControl/>
        <w:rPr/>
      </w:pPr>
      <w:r>
        <w:rPr/>
        <w:t>Note 2 to chapter 17 of the Schedule of the United States annexed to the Marrakesh Protocol to the General Agreement on Tariffs and Trade 1994. 12 The SCP TRQ of the United States is as provided for in Additional U.S. Note 6 to chapter 17 of the Schedule of the United States annexed to the Marrakesh Protocol to the General Agreement on Tariffs and Trade 1994. 3-A-12 take effect.</w:t>
      </w:r>
    </w:p>
    <w:p>
      <w:pPr>
        <w:pStyle w:val="Normal"/>
        <w:widowControl/>
        <w:rPr/>
      </w:pPr>
      <w:r>
        <w:rPr/>
        <w:t>Any transfer under this paragraph will not affect the amount of the share of the SCP TRQ allocated to Canada pursuant to paragraph 2 in subsequent TRQ periods. Article 3.A.6: Other 1. Canada shall ensure that imports of dairy, poultry, or egg products eligible for Canada’s Duties Relief Program (DRP) and Import for Re-export Program (IREP) as of September 1, 2018, continue to be eligible for these programs, as well as any subsequent or successor programs to DRP and IREP, as long as Canada maintains such programs. 2. Notwithstanding the product specific rules of origin in Annex 4-B (Product Specific Rules of Origin), the rule of origin for a good traded between Canada and the United States in subheading 1517.10 shall allow that good to be originating if there is a change from heading 15.11 or any other chapter.</w:t>
      </w:r>
    </w:p>
    <w:p>
      <w:pPr>
        <w:pStyle w:val="Normal"/>
        <w:widowControl/>
        <w:rPr/>
      </w:pPr>
      <w:r>
        <w:rPr/>
        <w:t>3-A-13 Appendix 1 01051121, 01051122, 01059491, 01059492, 01059911, 01059912, 02071191, 02071192, 02071291, 02071292, 02071391, 02071392, 02071393, 02071421, 02071422, 02071491, 02071492, 02071493, 02072411, 02072412, 02072491, 02072492, 02072511, 02072512, 02072591, 02072592, 02072610, 02072620, 02072630, 02072711, 02072712, 02072791, 02072792, 02072793, 02099010, 02099020, 02099030, 02099040, 02109911, 02109912, 02109913, 02109914, 02109915, 02109916, 04011010, 04011020, 04012010, 04012020, 04014010, 04014020, 04015010, 04015020, 04021010, 04021020, 04022111, 04022112, 04022121, 04022122, 04022911, 04022912, 04022921, 04022922, 04029110, 04029120, 04029910, 04029920, 04031010, 04031020, 04039011, 04039012, 04039091, 04039092, 04041021, 04041022, 04049010, 04049020, 04051010, 04051020, 04052010, 04052020, 04059010, 04059020, 04061010, 04061020, 04062011, 04062012, 04062091, 04062092, 04063010, 04063020, 04064010, 04064020, 04069011, 04069012, 04069021, 04069022, 04069031, 04069032, 04069041, 04069042, 04069051, 04069052, 04069061, 04069062, 04069071, 04069072, 04069081, 04069082, 04069091, 04069092, 04069093, 04069094, 04069095, 04069096, 04069098, 04069099, 04071111, 04071112, 04071191, 04071192, 04072110, 04072120, 04079011, 04079012, 04081110, 04081120, 04081910, 04081920, 04089110, 04089120, 04089910, 04089920, 15171020, 15179021, 15179022, 16010021, 16010022, 16010031, 16010032, 16022021, 16022022, 16022031, 16022032, 16023112, 16023113, 16023114, 16023193, 16023194,</w:t>
      </w:r>
    </w:p>
    <w:p>
      <w:pPr>
        <w:pStyle w:val="Normal"/>
        <w:widowControl/>
        <w:rPr/>
      </w:pPr>
      <w:r>
        <w:rPr/>
        <w:t>16023195, 16023212, 16023213, 16023214, 16023293, 16023294, 16023295, 18062021, 18062022, 18069011, 18069012, 19012011, 19012012, 19012021, 19012022, 19019031, 19019032, 19019033, 19019034, 19019051, 19019052, 19019053, 19019054, 21050091, 21050092, 21069031, 21069032, 21069033, 21069034, 21069051, 21069052, 21069093, 21069094, 22029932, 22029933, 23099031, 23099032, 35021110, 35021120, 35021910, 35021920. 3-A-1-1 Appendix 2 04014005, 04014025, 04015005, 04015025, 04015075, 04015050, 04021010, 04021050, 04022105, 04022125, 04022130, 04022150, 04022175, 04022190, 04022910, 04022950, 04029110, 04029130, 04029170, 04029190, 04029910, 04029930, 04029945, 04029955, 04029970, 04029990, 04031010, 04031050, 04039004, 04039016, 04039041, 04039045, 04039051, 04039055, 04039061, 04039065, 04039074, 04039078, 04039090, 04039095, 04041011, 04041015, 04041050, 04041090, 04049030, 04049050, 04051010, 04051020, 04052020, 04052030, 04052060, 04052070, 04059010, 04059020, 04061004, 04061008, 04061014, 04061018, 04061024, 04061028, 04061034, 04061038, 04061044, 04061048, 04061054, 04061058, 04061064, 04061068, 04061074, 04061078, 04061084, 04061088, 04062024, 04062028, 04062031, 04062033, 04062036, 04062039, 04062044, 04062048, 04062051, 04062053, 04062061, 04062063, 04062065, 04062067, 04062069, 04062071, 04062073, 04062075, 04062077, 04062079, 04062081, 04062083, 04062085, 04062087, 04062089, 04062091, 04063014, 04063018, 04063024, 04063028, 04063034, 04063038, 04063044, 04063048, 04063051,</w:t>
      </w:r>
    </w:p>
    <w:p>
      <w:pPr>
        <w:pStyle w:val="Normal"/>
        <w:widowControl/>
        <w:rPr/>
      </w:pPr>
      <w:r>
        <w:rPr/>
        <w:t>04063053, 04063061, 04063063, 04063065, 04063067, 04063069, 04063071, 04063073, 04063075, 04063077, 04063079, 04063081, 04063083, 04063085, 04063087, 04063089, 04063091, 04064054, 04064058, 04064070, 04069008, 04069012, 04069016, 04069018, 04069031, 04069032, 04069036, 04069037, 04069041, 04069042, 04069046, 04069048, 04069052, 04069054, 04069066, 04069068, 04069072, 04069074, 04069076, 04069078, 04069082, 04069084, 04069086, 04069088, 04069090, 04069092, 04069093, 04069094, 04069095, 04069097, 15179050, 15179060, 17011210, 17011250, 17011310, 17011350, 17011410, 17011450, 17019110, 17019130, 17019144, 17019148, 17019154, 17019158, 17019910, 17019950, 17022024, 17022028, 17023024, 17023028, 17024024, 17024028, 17026024, 17026028, 17029010, 17029020, 17029054, 17029058, 17029064, 17029068, 17049054, 17049058, 17049064, 17049068, 17049074, 17049078, 18061010, 18061015, 18061024, 18061028, 18061034, 18061038, 18061045, 18061055, 18061065, 18061075, 18062024, 18062026, 18062028, 18062034, 18062036, 18062038, 18062071, 18062073, 18062075, 18062077, 18062081, 18062082, 18062083, 18062085, 18062087, 18062089, 18062091, 18062094, 18062095, 18062098, 18063204, 18063206, 18063208, 18063214, 18063216, 18063218, 18063260, 18063270, 18063280, 18069005, 18069008, 18069010, 18069015, 18069018, 18069020, 18069025, 18069028, 18069030, 18069035, 18069039, 18069045, 18069049, 18069055, 18069059, 19011011, 19011016, 19011021, 19011026, 19011033, 19011036, 19011041, 19011044, 19011054, 19011056,</w:t>
      </w:r>
    </w:p>
    <w:p>
      <w:pPr>
        <w:pStyle w:val="Normal"/>
        <w:widowControl/>
        <w:rPr/>
      </w:pPr>
      <w:r>
        <w:rPr/>
        <w:t>19011064, 19011066, 19011074, 19011076, 19012005, 19012015, 19012020, 19012025, 19012030, 19012035, 19012045, 19012050, 19012055, 19012060, 19012065, 19012070, 19019034, 19019036, 19019061, 19019062, 19019064, 19019065, 19019067, 19019068, 19019069, 19019071, 21011234, 21011238, 21011244, 21011248, 21011254, 3-A-2-1 21011258, 21012034, 21012038, 21012044, 21012048, 21012054, 21012058, 21039074, 21039078, 21050010, 21050020, 21050030, 21050040, 21069006, 21069009, 21069024, 21069026, 21069034, 21069036, 21069044, 21069046, 21069064, 21069066, 21069068, 21069072, 21069074, 21069076, 21069078, 21069080, 21069085, 21069087, 21069089, 21069091, 21069092, 21069094, 21069095, 21069097, 22029924, 22029928, 23099024, 23099028, 23099044, 23099048 3-A-2-2</w:t>
      </w:r>
    </w:p>
    <w:p>
      <w:pPr>
        <w:pStyle w:val="Normal"/>
        <w:widowControl/>
        <w:rPr/>
      </w:pPr>
      <w:r>
        <w:rPr/>
        <w:t>ANNEX 3-B AGRICULTURAL TRADE BETWEEN MEXICO AND THE UNITED STATES 1. For the purposes of this Annex: qualifying good means an originating good that is an agricultural good, except that in determining whether the good is an originating good, operations performed in or materials obtained from Canada shall be considered as if they were performed in or obtained from a non- Party; sugar means raw or refined sugar derived directly or indirectly from sugar cane or sugar beets, including liquid refined sugar; sugar-containing product means a good containing sugar; sugar or syrup good means:</w:t>
      </w:r>
    </w:p>
    <w:p>
      <w:pPr>
        <w:pStyle w:val="Normal"/>
        <w:widowControl/>
        <w:rPr/>
      </w:pPr>
      <w:r>
        <w:rPr/>
        <w:t>(a) for imports into Mexico, a good provided for in any of the current HS subheading 1701.91 (except those that contain added flavoring matter) and the current tariff items 1701.12.01, 1701.12.04, 1701.13.01, 1701.14.01, 1701.14.04, 1701.99.01, 1701.99.02, 1701.99.99, 1702.90.01, 1806.10.01, and 2106.90.05 of the General Import and Export Duty Act (“Ley de los Impuestos Generales de Importación y de Exportación”); and (b) for imports into the United States, a good provided for in any of the current tariff items 1701.12.05, 1701.12.10, 1701.12.50, 1701.13.05, 1701.13.10, 1701.13.20, 1701.13.50, 1701.14.05, 1701.14.10, 1701.14.20, 1701.14.50, 1701.91.05, 1701.91.10, 1701.91.30, 1701.99.05, 1701.99.10, 1701.99.50, 1702.90.05, 1702.90.10, 1702.90.20, 1702.90.35, 1702.90.40, 1702.90.52, 1702.90.54, 1702.90.58, 1702.90.64, 1702.90.68, 1702.90.90, 1806.10.43, 1806.10.45, 1806.10.55, 1806.10.65,</w:t>
      </w:r>
    </w:p>
    <w:p>
      <w:pPr>
        <w:pStyle w:val="Normal"/>
        <w:widowControl/>
        <w:rPr/>
      </w:pPr>
      <w:r>
        <w:rPr/>
        <w:t>1806.10.75, and 2106.90.42, 2106.90.44, and 2106.90.46 of the U.S. Harmonized Tariff Schedule, without regard to the quantity imported; and Tariff rate quota (TRQ) means a mechanism that provides for the application of a customs duty at a certain rate to imports of a particular good up to a specific quantity (in-quota quantity), and at a different rate to imports of that good that exceed that quantity. 2. This Annex applies only as between Mexico and the United States. 3. With the exception of TRQs set out in its schedule to the WTO Agreement, Mexico shall ensure that the customs duty for any TRQ it maintains for sugar or syrup goods on a most 3-B-1 favored-nation (MFN) basis is not less than the prevailing MFN rate of the United States for the same sugar and syrup goods. 4.</w:t>
      </w:r>
    </w:p>
    <w:p>
      <w:pPr>
        <w:pStyle w:val="Normal"/>
        <w:widowControl/>
        <w:rPr/>
      </w:pPr>
      <w:r>
        <w:rPr/>
        <w:t>Mexico shall not be required to apply the applicable preferential duty rate provided in this Agreement to a sugar or syrup good, or sugar-containing product, that is a qualifying good when the United States has granted or will grant benefits under any re-export program or any like program in connection with the export of the good, including a good covered in paragraph 6(f) of Article 2.5 (Drawback and Duty Deferral Programs). The United States shall notify Mexico in writing within two business days of any export to Mexico of a good for which the benefits of any re-export program or any other like program have been or will be claimed by the exporter. 5.</w:t>
      </w:r>
    </w:p>
    <w:p>
      <w:pPr>
        <w:pStyle w:val="Normal"/>
        <w:widowControl/>
        <w:rPr/>
      </w:pPr>
      <w:r>
        <w:rPr/>
        <w:t>Notwithstanding Chapter 4 (Rules of Origin), or General Note 7 to the Tariff Schedule of the United States, for the purposes of applying the preferential duty rate provided in this Agreement to a good, the United States may consider a good not to be originating if it is provided for in U.S. tariff items 1702.90.05, 1702.90.10, 1702.90.20, 1702.90.35, 1702.90.40, 1702.90.52, 1702.90.54, 1702.90.58, 1702.90.64, 1702.90.68, 1702.90.90, 1806.10.43, 1806.10.45, 1806.10.55, 1806.10.65, 1806.10.75, 2106.90.42, 2106.90.44, or 2106.90.46 that is exported from the territory of Mexico, if any material provided for in HS subheading 1701.99 used in the production of that good is not a qualifying good. 6. Notwithstanding Chapter 4 (Rules of Origin) or General Note 4 to the Tariff Schedule of Mexico, for the purposes of applying the preferential duty rate provided in this Agreement to a good, Mexico may consider a good not to be originating if it is a good provided for in: Mexican tariff item 1702.90.01, 1702.90.99, 1806.10.01, or 2106.90.05 that is exported from the territory of the United States, if any material provided for in HS subheading 1701.99 used in the production of that good is not a qualifying good. 7.</w:t>
      </w:r>
    </w:p>
    <w:p>
      <w:pPr>
        <w:pStyle w:val="Normal"/>
        <w:widowControl/>
        <w:rPr/>
      </w:pPr>
      <w:r>
        <w:rPr/>
        <w:t>Each Party shall ensure that any measure it adopts or maintains regarding the grading of agricultural goods for quality, whether on a mandatory or voluntary basis, shall be applicable to imported agricultural goods, on the basis of the same regulatory framework, including the same requirements and based on the same criteria as domestic agricultural goods. 8. A Party that provides for the assignment of grades shall ensure that the same quality grade certificate requiring the same information is used for domestic and imported like products. No Party shall require: (a) a country of origin statement on any quality grade certificate; or (b) that any quality grade certificate state that the agricultural good is foreign or domestic. 9. No Party shall make domestic registration of grain and oilseed varietals: (a) a requirement for importation; or 3-B-2 (b) a consideration in the assignment of quality grades or classes to imported grain and oilseed. 10.</w:t>
      </w:r>
    </w:p>
    <w:p>
      <w:pPr>
        <w:pStyle w:val="Normal"/>
        <w:widowControl/>
        <w:rPr/>
      </w:pPr>
      <w:r>
        <w:rPr/>
        <w:t>Mexico and the United States shall establish a technical working group, which will be comprised of, and co-chaired by, representatives of the governments of Mexico and the United States. The technical working group shall meet on an annual basis, unless otherwise decided. The technical working group shall review matters related to agricultural grade and quality standards, technical specifications, and other standards in each Party and their application and implementation insofar as they affect trade between the Parties.</w:t>
      </w:r>
    </w:p>
    <w:p>
      <w:pPr>
        <w:pStyle w:val="Normal"/>
        <w:widowControl/>
        <w:rPr/>
      </w:pPr>
      <w:r>
        <w:rPr/>
        <w:t>The technical working group shall work to resolve issues that may arise regarding the application and implementation of the standards, including when feasible and appropriate, considering joint mechanisms, such as training programs, or work plans for quality inspections at the point of origin to facilitate trade between the Parties. 11. Beginning on the date of entry into force of this Agreement, no Party may refund the amount of customs paid, or waive or reduce the amount of customs duties owed, on any agricultural good imported into its territory that is substituted for an identical or similar good that is subsequently exported to the territory of the other Party. 3-B-3</w:t>
      </w:r>
    </w:p>
    <w:p>
      <w:pPr>
        <w:pStyle w:val="Normal"/>
        <w:widowControl/>
        <w:rPr/>
      </w:pPr>
      <w:r>
        <w:rPr/>
        <w:t>ANNEX 3-C DISTILLED SPIRITS, WINE, BEER, AND OTHER ALCOHOL BEVERAGES Article 3.C.1: Internal Sale and Distribution of Distilled Spirits, Wine, Beer, or other Alcohol Beverages 1. For the purposes of this Article: commercial considerations means price, quality, availability, marketability, transportation, and other terms and conditions of purchase or sale, or other factors that would normally be taken into account in the commercial decisions of a privately owned enterprise in the relevant business or industry; distilled spirits include distilled spirits and distilled spirit containing beverages; and wine includes wine and wine-containing beverages. 2. This Article applies to a measure related to the internal sale and distribution of distilled spirits, wine, beer, or other alcohol beverages.13 3. Except as otherwise provided in this Article, Article 2.3 (National Treatment) shall not apply to: (a) a non-conforming provision of a measure related to wine or distilled spirits in existence on October 4, 1987;</w:t>
      </w:r>
    </w:p>
    <w:p>
      <w:pPr>
        <w:pStyle w:val="Normal"/>
        <w:widowControl/>
        <w:rPr/>
      </w:pPr>
      <w:r>
        <w:rPr/>
        <w:t>(b) the continuation or prompt renewal of a non-conforming provision of a measure referred to in subparagraph (a); or (c) an amendment to a non-conforming provision of a measure referred to in subparagraph (a) to the extent that the amendment does not decrease its conformity with Article 2.3 (National Treatment). 4. A Party asserting that paragraph 3 applies to a measure shall have the burden of establishing that the measure meets the conditions set out in paragraph 3. 5.</w:t>
      </w:r>
    </w:p>
    <w:p>
      <w:pPr>
        <w:pStyle w:val="Normal"/>
        <w:widowControl/>
        <w:rPr/>
      </w:pPr>
      <w:r>
        <w:rPr/>
        <w:t>Measures related to distribution of distilled spirits, wine, beer, or other alcohol beverages shall conform with Article 2.3 (National Treatment). 13 Paragraphs 3 and 4 of this Article do not apply to Mexico. 3-C-1 6. Notwithstanding paragraph 5, and provided that distribution measures otherwise ensure conformity with Article 2.3 (National Treatment), Canada may maintain a measure in existence on October 4, 1987, requiring private wine store outlets in existence on October 4, 1987, in the provinces of Ontario and British Columbia to discriminate in favor of wine of those provinces to a degree no greater than the discrimination required by that measure in existence on October 4, 1987. 7. Nothing in this Agreement shall prohibit the Province of Quebec from requiring that wine sold in grocery stores in Quebec be bottled in Quebec, provided that alternative outlets are provided in Quebec for the sale of wine of the other Parties, whether or not that wine is bottled in Quebec. 8.</w:t>
      </w:r>
    </w:p>
    <w:p>
      <w:pPr>
        <w:pStyle w:val="Normal"/>
        <w:widowControl/>
        <w:rPr/>
      </w:pPr>
      <w:r>
        <w:rPr/>
        <w:t>If a Party requires that distilled spirits, wine, beer, or other alcohol beverages be listed to be distributed or sold in its territory, measures related to listing shall: (a) conform with Article 2.3 (National Treatment); (b) not create disguised barriers to trade; (c) be based on commercial considerations; and (d) be transparent, including providing transparent criteria for decisions regarding listing. 9.</w:t>
      </w:r>
    </w:p>
    <w:p>
      <w:pPr>
        <w:pStyle w:val="Normal"/>
        <w:widowControl/>
        <w:rPr/>
      </w:pPr>
      <w:r>
        <w:rPr/>
        <w:t>If a Party requires that distilled spirits, wine, beer, or other alcohol beverages be listed to be distributed or sold in its territory, that Party shall, with regard to the decisions of the entity exercising governmental authority regarding the listing: (a) provide for a prompt decision on any listing application; (b) provide prompt written notification of decisions regarding a listing application to the applicant and, in the case of a negative decision, provide for a statement of the reason for refusal; and (c) establish administrative appeal procedures for listing decisions that provide for prompt, fair, and objective rulings. 10. If a distributor or retailer exercises governmental authority regarding internal sale or distribution of distilled spirits, wine, beer, or other alcohol beverages, any price mark-ups charged by that entity shall conform with Article 2.3 (National Treatment) and that entity shall accord treatment to distilled spirits, wine, beer, or other alcohol beverages of another Party no less favorable than the treatment accorded to a like product of another Party or a non-Party. 3-C-2 11.</w:t>
      </w:r>
    </w:p>
    <w:p>
      <w:pPr>
        <w:pStyle w:val="Normal"/>
        <w:widowControl/>
        <w:rPr/>
      </w:pPr>
      <w:r>
        <w:rPr/>
        <w:t>If a distributor or retailer exercises governmental authority regarding internal sale or distribution of distilled spirits, wine, beer, or other alcohol beverages, that entity may charge the actual cost-of-service differential between distributing or selling distilled spirits, wine, beer, or other alcohol beverages of another Party and distributing or selling domestic or regional product. The cost-of-service shall be reasonable and commensurate with service. Any cost-of-service differential referred to above shall not exceed the actual amount by which the audited cost of service for the product of the exporting Party exceeds the audited cost of service for the product of the importing Party. 12. A Party may maintain or introduce a measure limiting on premise sales by a winery or distillery to those wines or distilled spirits produced on its premises. 13. No Party shall adopt or maintain a measure requiring that distilled spirits, wine, beer, or other alcohol beverages imported from another Party for bottling be blended with distilled spirits, wine, beer, or other alcohol beverages of the importing Party. Article 3.C.2: Distinctive Products 1.</w:t>
      </w:r>
    </w:p>
    <w:p>
      <w:pPr>
        <w:pStyle w:val="Normal"/>
        <w:widowControl/>
        <w:rPr/>
      </w:pPr>
      <w:r>
        <w:rPr/>
        <w:t>Canada and Mexico shall recognize Bourbon Whiskey and Tennessee Whiskey, which is a straight Bourbon Whiskey authorized to be produced only in the State of Tennessee, as distinctive products of the United States.</w:t>
      </w:r>
    </w:p>
    <w:p>
      <w:pPr>
        <w:pStyle w:val="Normal"/>
        <w:widowControl/>
        <w:rPr/>
      </w:pPr>
      <w:r>
        <w:rPr/>
        <w:t>Accordingly, Canada and Mexico shall not permit the sale of any product as Bourbon Whiskey or Tennessee Whiskey, unless it has been manufactured in the United States in accordance with the laws and regulations of the United States governing the manufacture of Bourbon Whiskey and Tennessee Whiskey. 2. Mexico and the United States shall recognize Canadian Whisky as a distinctive product of Canada. Accordingly, Mexico and the United States shall not permit the sale of any product as Canadian Whisky, unless it has been manufactured in Canada in accordance with the laws and regulations of Canada governing the manufacture of Canadian Whisky for consumption in Canada. 3. Canada and the United States shall recognize Tequila and Mezcal as distinctive products of Mexico. Accordingly, Canada and the United States shall not permit the sale of any product as Tequila or Mezcal unless it has been manufactured in Mexico in accordance with the laws and regulations of Mexico governing the manufacture of Tequila and Mezcal. Article 3.C.3: Wine and Distilled Spirits 1.</w:t>
      </w:r>
    </w:p>
    <w:p>
      <w:pPr>
        <w:pStyle w:val="Normal"/>
        <w:widowControl/>
        <w:rPr/>
      </w:pPr>
      <w:r>
        <w:rPr/>
        <w:t>For the purposes of this Article and Article 3.C.4 (Other Provisions): container means a bottle, barrel, cask, or other closed receptacle, irrespective of size or of the material from which it is made, used for the retail sale of wine or distilled spirits;</w:t>
      </w:r>
    </w:p>
    <w:p>
      <w:pPr>
        <w:pStyle w:val="Normal"/>
        <w:widowControl/>
        <w:rPr/>
      </w:pPr>
      <w:r>
        <w:rPr/>
        <w:t>3-C-3 distilled spirits means a potable alcoholic distillate including spirits made from wine, whiskey, rum, brandy, gin, tequila, mezcal, liqueurs, cordials, and vodka and dilutions or mixtures thereof for consumption; label means a brand, mark, pictorial, or other descriptive matter that is written, printed, stenciled, marked, embossed, or impressed on, or firmly affixed to a primary container of wine or distilled spirits; mandatory information means information required by a Party to appear on a wine or distilled spirits container, label, or packaging; oenological practices means winemaking materials, processes, treatments, and techniques, but does not include labeling, bottling, or packaging for final sale; single field of vision means a part of the surface of a primary container, excluding its base and cap, that can be seen without having to turn the container; and wine means a beverage that is produced by the complete or partial alcoholic fermentation exclusively of fresh grapes, grape must, or products derived from fresh grapes and as defined by each Party’s laws and regulations.14 2.</w:t>
      </w:r>
    </w:p>
    <w:p>
      <w:pPr>
        <w:pStyle w:val="Normal"/>
        <w:widowControl/>
        <w:rPr/>
      </w:pPr>
      <w:r>
        <w:rPr/>
        <w:t>This Article shall apply to the preparation, adoption, and application of technical regulations, standards, and conformity assessment procedures adopted or maintained by each Party at the central level of government that may affect trade in wine and distilled spirits between the Parties, other than sanitary or phytosanitary measures or technical specifications prepared by a governmental body for production or consumption requirements of governmental bodies. 3. Each Party shall make its laws and regulations concerning wine and distilled spirits available online. 4. A Party may require that a wine or distilled spirits label be: (a) clear, specific, truthful, accurate, and not misleading to the consumer; (b) legible to the consumer; and (c) firmly affixed to the container if the label is not an integral part of the container. 5. Each Party shall permit mandatory information to be displayed on a supplementary label affixed to a distilled spirits container. Each Party shall permit those supplementary labels to be 14 For the United States, the alcohol content of wine must be not less than seven percent and not more than 24 percent.</w:t>
      </w:r>
    </w:p>
    <w:p>
      <w:pPr>
        <w:pStyle w:val="Normal"/>
        <w:widowControl/>
        <w:rPr/>
      </w:pPr>
      <w:r>
        <w:rPr/>
        <w:t>3-C-4 affixed to an imported distilled spirits container after importation but prior to the product being offered for sale in the Party’s territory. A Party may require that the supplementary label be affixed prior to release from customs.</w:t>
      </w:r>
    </w:p>
    <w:p>
      <w:pPr>
        <w:pStyle w:val="Normal"/>
        <w:widowControl/>
        <w:rPr/>
      </w:pPr>
      <w:r>
        <w:rPr/>
        <w:t>For greater certainty, a Party may require that the information indicated on a supplementary label meet the requirements in paragraph 4. 6. A Party may require that information indicated on a supplementary label affixed to a distilled spirits container or wine container not conflict with information on an existing label. 7. Each Party shall permit the alcoholic content by volume indicated on a wine or distilled spirits label to be expressed by alcohol by volume (alc/vol), for example 12% alc/vol or alc12%vol, and to be indicated in percentage terms to a maximum of one decimal point, for example 12.1%. 8. Each Party shall permit the use of the term “wine” as a product name. A Party may require a wine label to indicate the type, category, class, or classification of the wine. 9. With respect to wine labels, each Party shall permit the information set out in paragraphs 11(a) through (d) to be presented in a single field of vision for a container of wine.</w:t>
      </w:r>
    </w:p>
    <w:p>
      <w:pPr>
        <w:pStyle w:val="Normal"/>
        <w:widowControl/>
        <w:rPr/>
      </w:pPr>
      <w:r>
        <w:rPr/>
        <w:t>If this information is presented in a single field of vision, then the Party’s requirements with respect to placement of this information are satisfied. A Party shall accept any of the information that appears outside a single field of vision if that information satisfies that Party’s laws, regulations, and requirements. 10.</w:t>
      </w:r>
    </w:p>
    <w:p>
      <w:pPr>
        <w:pStyle w:val="Normal"/>
        <w:widowControl/>
        <w:rPr/>
      </w:pPr>
      <w:r>
        <w:rPr/>
        <w:t>Notwithstanding paragraph 9, a Party may require net contents to be displayed on the principal display panel for a subset of less commonly used container sizes if specifically required by that Party’s laws or regulations. 11. If a Party requires a wine label to indicate information other than: (a) product name; (b) country of origin; (c) net contents; or (d) alcohol content, it shall permit the information to be indicated on a supplementary label affixed to the wine container. A Party shall permit the supplementary label to be affixed to the container of the imported wine after importation but prior to the product being offered for sale in the Party’s territory, and may require that the supplementary label be affixed prior to release from customs. For greater certainty, a Party may require that information on a supplementary label meet the requirements set out in paragraph 4. 3-C-5 12.</w:t>
      </w:r>
    </w:p>
    <w:p>
      <w:pPr>
        <w:pStyle w:val="Normal"/>
        <w:widowControl/>
        <w:rPr/>
      </w:pPr>
      <w:r>
        <w:rPr/>
        <w:t>If there is more than one label on a container of imported wine or distilled spirits, a Party may require that each label be visible and not obscure mandatory information on another label. 13. If a Party has more than one official language, it may require that information on a wine or distilled spirits label appear in equal prominence in each official language. 14.</w:t>
      </w:r>
    </w:p>
    <w:p>
      <w:pPr>
        <w:pStyle w:val="Normal"/>
        <w:widowControl/>
        <w:rPr/>
      </w:pPr>
      <w:r>
        <w:rPr/>
        <w:t>Each Party shall permit placement of a lot identification code on a wine or distilled spirits container, if the code is clear, specific, truthful, accurate, and not misleading, and shall not impose requirements regarding: (a) where to place the lot identification code on the container, provided that the code does not cover up mandatory information printed on the label; and (b) the specific font size, readable phrasing, and formatting for the code, provided that the lot identification code is legible by physical means, and if permitted, by electronic means. 15. A Party may impose penalties for the removal or deliberate defacement of any lot identification code on the container. 16. No Party shall require a date mark on a wine or distilled spirits container, label, or packaging, including the following or iterations of the following: (a) date of production or manufacture; (b) use-by date (recommended last consumption date, expiration date); (c) date of minimum durability (best-before date), best quality before date; (d) sell-by date;</w:t>
      </w:r>
    </w:p>
    <w:p>
      <w:pPr>
        <w:pStyle w:val="Normal"/>
        <w:widowControl/>
        <w:rPr/>
      </w:pPr>
      <w:r>
        <w:rPr/>
        <w:t>(e) date of packaging; or (f) date of bottling, except that a Party may require the display of a date of minimum durability or use-by date on products that could have a shorter date of minimum durability or expiration than would normally be expected by the consumer because of their packaging or container, for example, bag-in-box wines or individual serving size wines, or because of the addition of perishable ingredients. 17.</w:t>
      </w:r>
    </w:p>
    <w:p>
      <w:pPr>
        <w:pStyle w:val="Normal"/>
        <w:widowControl/>
        <w:rPr/>
      </w:pPr>
      <w:r>
        <w:rPr/>
        <w:t>No Party shall require a wine or distilled spirits label or packaging to include translation of a trademark or brand name. A Party may require that a trademark or brand name not conflict with any mandatory information on the label. 3-C-6 18. No Party shall prevent imports of wine from other Parties on the basis that the wine label includes the following terms: chateau, classic, clos, cream, crusted, crusting, fine, late bottled vintage, noble, reserve, ruby, special reserve, solera, superior, sur lie, tawny, vintage, or vintage character.15 19. No Party shall require a wine label or packaging to disclose an oenological practice, except to meet a legitimate human health or safety objective with respect to that oenological practice. 20. Each Party shall permit wine to be labeled as Icewine, ice wine, ice-wine or a similar variation of those terms, only if the wine is made exclusively from grapes naturally frozen on the vine. 21.</w:t>
      </w:r>
    </w:p>
    <w:p>
      <w:pPr>
        <w:pStyle w:val="Normal"/>
        <w:widowControl/>
        <w:rPr/>
      </w:pPr>
      <w:r>
        <w:rPr/>
        <w:t>Each Party shall endeavor to base its quality and identity requirements for any specific type, category, class, or classification of distilled spirits solely on minimum ethyl alcohol content and raw materials, added ingredients, and production procedures used to produce that specific type, category, class, or classification of distilled spirits. 22.</w:t>
      </w:r>
    </w:p>
    <w:p>
      <w:pPr>
        <w:pStyle w:val="Normal"/>
        <w:widowControl/>
        <w:rPr/>
      </w:pPr>
      <w:r>
        <w:rPr/>
        <w:t>No importing Party shall require imported wine or distilled spirits to be certified by an official certification body of the Party in which territory the wine or distilled spirits were produced or by a certification body recognized by the Party in whose territory the wine or distilled spirits were produced regarding: (a) vintage, varietal, regional, or appellation of origin claims for wine; or (b) raw materials and production processes for distilled spirits, except that the importing Party may require: (i) that wine or distilled spirits be certified regarding subparagraph (a) or (b) if the Party in which territory the wine or distilled spirits were produced requires that certification, or (ii) that wine be certified regarding subparagraph (a) if the importing Party has a reasonable and legitimate concern about a vintage, varietal, regional, or appellation of origin claim for wine, or that distilled spirits be certified regarding subparagraph (b) if certification is necessary to verify claims such as age, origin, or standards of identity. 23.</w:t>
      </w:r>
    </w:p>
    <w:p>
      <w:pPr>
        <w:pStyle w:val="Normal"/>
        <w:widowControl/>
        <w:rPr/>
      </w:pPr>
      <w:r>
        <w:rPr/>
        <w:t>A Party shall normally permit submission of any required certification (other than those required pursuant to paragraph 22 of this Article), test result, or sample only with the initial 15 Nothing in this paragraph shall be construed to require Canada to apply this paragraph in a manner inconsistent with its obligations under Article A(3) of Annex V of the EU-Canada Wine Agreement, as amended on September 21, 2017.</w:t>
      </w:r>
    </w:p>
    <w:p>
      <w:pPr>
        <w:pStyle w:val="Normal"/>
        <w:widowControl/>
        <w:rPr/>
      </w:pPr>
      <w:r>
        <w:rPr/>
        <w:t>3-C-7 shipment of a particular brand, producer, and lot. If a Party requires submission of a sample of the product for the Party’s procedure to assess conformity with its technical regulation or standard, it shall not require a sample quantity larger than the minimum quantity necessary to complete the relevant conformity assessment procedure. Nothing in this provision precludes a Party from undertaking verification of test results or certification, for example, if the Party has information that a particular product may be non-compliant. 24. Each Party shall endeavor to assess the other Parties’ laws, regulations, and requirements in respect of oenological practices, with the aim of reaching agreements that provide for the Parties’ acceptance of each other’s mechanisms for regulating oenological practices, if appropriate. 25. If an importing Party requires certification for wine or distilled spirits from the Party in whose territory the wine or distilled spirits were produced, the importing Party shall not deny the certification on the basis that the certification was issued from a conformity assessment body accredited and approved by the Party in whose territory the wine or distilled spirits were produced. 26.</w:t>
      </w:r>
    </w:p>
    <w:p>
      <w:pPr>
        <w:pStyle w:val="Normal"/>
        <w:widowControl/>
        <w:rPr/>
      </w:pPr>
      <w:r>
        <w:rPr/>
        <w:t>Each Party shall permit a wine or distilled spirits label to include: (a) statements regarding quality;16 (b) statements regarding production processes; and (c) drawings, figures, or illustrations, provided they are not false, misleading, obscene, or indecent, as defined in each Party’s law. 27. Nothing in paragraph 26 affects mandatory information requirements or a Party’s ability to enforce its intellectual property, health, or safety laws and regulations. Article 3.C.4: Other Provisions 1. Unless urgent problems of human health or safety arise or threaten to arise, a Party shall normally allow a reasonable period of time, as determined by the authority responsible, following the date of entry into force of a measure before requiring wine or distilled spirits that were entered into commerce in the territory of that Party prior to that date of entry into force to comply with the measure in order to allow time for the sale of those products. 2.</w:t>
      </w:r>
    </w:p>
    <w:p>
      <w:pPr>
        <w:pStyle w:val="Normal"/>
        <w:widowControl/>
        <w:rPr/>
      </w:pPr>
      <w:r>
        <w:rPr/>
        <w:t>For the purpose of paragraph 1, a “measure” means a technical regulation, standard, conformity assessment procedure, or sanitary or phytosanitary measure adopted by a Party at the 16 Statements regarding quality would include, for example, “premium” or “ultra premium.” 3-C-8 central level of government that may affect trade in wine and distilled spirits between the Parties, other than technical specifications prepared by a governmental body for production or consumption requirements of governmental bodies. 3.</w:t>
      </w:r>
    </w:p>
    <w:p>
      <w:pPr>
        <w:pStyle w:val="Normal"/>
        <w:widowControl/>
        <w:rPr/>
      </w:pPr>
      <w:r>
        <w:rPr/>
        <w:t>If a Party imposes a mandatory food allergen labelling requirement at the central level of government for wine or distilled spirits, that Party shall: (a) not apply the requirement to wines and distilled spirits if no protein from a food allergen is present in the product; or (b) provide an exemption17 for food allergen sources that have been used in the production of the beverage if: (i) the finished product or class of products does not cause an allergic response that poses a risk to human health, or (ii) the finished product does not contain protein from a food allergen. For the purpose of this paragraph, “food allergen” means those food allergens that a Party requires to be declared on a wine or distilled spirits label. 4. Each Party shall apply a risk-based approach regarding whether to require, for wine, certificates of analysis for pathogenic microorganisms. In applying a risk-based approach, each Party shall take into account that wine is a microbiological low risk food product. 5.</w:t>
      </w:r>
    </w:p>
    <w:p>
      <w:pPr>
        <w:pStyle w:val="Normal"/>
        <w:widowControl/>
        <w:rPr/>
      </w:pPr>
      <w:r>
        <w:rPr/>
        <w:t>If an authority at the central level of government deems that certification of wine is necessary to protect human health or safety or to achieve other legitimate objectives, that Party shall consider the use of the generic model official certificate in the Codex Alimentarius Guidelines for Design, Production, Issuance and Use of Generic Official Certificates (CAC/GL 38-2001), as amended, or the APEC model wine export certificate.</w:t>
      </w:r>
    </w:p>
    <w:p>
      <w:pPr>
        <w:pStyle w:val="Normal"/>
        <w:widowControl/>
        <w:rPr/>
      </w:pPr>
      <w:r>
        <w:rPr/>
        <w:t>A Party requiring certification of wine shall ensure any certification requirements are transparent and non discriminatory. 6. The Committee on Agricultural Trade established in Article 3.7 (Committee on Agricultural Trade) shall provide a forum for the Parties to: (a) monitor and promote cooperation on the implementation and administration of this Annex; (b) if appropriate consult on matters and positions relevant to trade in alcohol beverages in international organizations; 17 For greater certainty, a Party may require the producer, bottler, or importer of the product to establish eligibility for an exemption from the Party’s allergen labeling requirement using a scientifically validated testing methodology. 3-C-9 (c) promote trade in alcohol beverages between the Parties under this Agreement; and (d) discuss any other matters related to this Annex. 3-C-10</w:t>
      </w:r>
    </w:p>
    <w:p>
      <w:pPr>
        <w:pStyle w:val="Normal"/>
        <w:widowControl/>
        <w:rPr/>
      </w:pPr>
      <w:r>
        <w:rPr/>
        <w:t>ANNEX 3-D PROPRIETARY FORMULAS FOR PREPACKAGED FOODS AND FOOD ADDITIVES 1. This Annex applies to the preparation, adoption, and application of technical regulations and standards of central government bodies related to prepackaged foods and food additives, other than sanitary or phytosanitary measures or technical specifications prepared by a governmental body for production or consumption requirements of a governmental body. 2. For the purposes of this Annex, “food”, “food additive”, and “prepackaged” have the same meanings as set out in the Codex General Standard for the Labelling of Pre-Packaged Food (CODEX STAN 1-1985) and the Codex General Standard for the Labelling of Food Additives When Sold as Such (CODEX STAN 107-1981), as amended. 3. When requesting information relating to proprietary formulas for prepackaged foods or food additives, a Party shall: (a) ensure that its information requirements are limited to what is necessary to achieve its legitimate objective; and (b) protect the confidential information received about products originating in the territory of another Party in the same manner as for domestic products and in a manner that protects legitimate commercial interests. 4.</w:t>
      </w:r>
    </w:p>
    <w:p>
      <w:pPr>
        <w:pStyle w:val="Normal"/>
        <w:widowControl/>
        <w:rPr/>
      </w:pPr>
      <w:r>
        <w:rPr/>
        <w:t>A Party may use confidential information it has obtained relating to proprietary formulas in administrative and judicial proceedings in accordance with its law, provided the Party maintains procedures to protect the confidentiality of the information in the course of those proceedings.</w:t>
      </w:r>
    </w:p>
    <w:p>
      <w:pPr>
        <w:pStyle w:val="Normal"/>
        <w:widowControl/>
        <w:rPr/>
      </w:pPr>
      <w:r>
        <w:rPr/>
        <w:t>5. Nothing in paragraph 3 prevents a Party from requiring ingredients to be listed on labels consistent with CODEX STAN 1-1985 and CODEX STAN 107-1981, as they may be amended, except when those standards would be an ineffective or inappropriate means for the fulfilment of a legitimate objective. 3-D-1</w:t>
      </w:r>
    </w:p>
    <w:p>
      <w:pPr>
        <w:pStyle w:val="Normal"/>
        <w:widowControl/>
        <w:rPr/>
      </w:pPr>
      <w:r>
        <w:rPr/>
        <w:t>4. A discriminatory listing, distribution, mark-up, retail-access, licensing, inspection, or equivalent sub-federal measure concerning alcoholic beverages is subject to Article 35.4A where its design or economic effect substitutes for a prohibited covered border measure. Differences in regulatory form are permitted where the burden is objectively equivalent, non-discriminatory, and reasonably necessary to achieve a legitimate regulatory objective.</w:t>
      </w:r>
      <w:r>
        <w:br w:type="page"/>
      </w:r>
    </w:p>
    <w:p>
      <w:bookmarkStart w:id="1034" w:name="_NAESTMA_TOC_1034"/>
      <w:pPr>
        <w:pStyle w:val="Heading1"/>
        <w:keepNext/>
        <w:keepLines w:val="0"/>
        <w:pageBreakBefore/>
        <w:widowControl/>
        <w:rPr/>
      </w:pPr>
      <w:bookmarkStart w:id="19" w:name="_Toc237912493"/>
      <w:r>
        <w:rPr/>
        <w:t>CHAPTER 4 RULES OF ORIGIN</w:t>
      </w:r>
      <w:bookmarkEnd w:id="19"/>
      <w:bookmarkEnd w:id="1034"/>
    </w:p>
    <w:p>
      <w:pPr>
        <w:pStyle w:val="Normal"/>
        <w:widowControl/>
        <w:rPr/>
      </w:pPr>
      <w:r>
        <w:rPr/>
        <w:t>Article 4.1: Definitions For the purposes of this Chapter: aquaculture means the farming of aquatic organisms, including fish, molluscs, crustaceans, other aquatic invertebrates and aquatic plants from seed stock such as eggs, fry, fingerlings, or larvae, by intervention in the rearing or growth processes to enhance production such as regular stocking, feeding, or protection from predators; fungible goods or fungible materials means goods or materials that are interchangeable for commercial purposes and the properties of which are essentially identical; indirect material means a material used in the production, testing, or inspection of a good but not physically incorporated into the good, or a material used in the maintenance of buildings or the operation of equipment associated with the production of a good, including: (a) fuel and energy; (b) tools, dies, and molds; (c) spare parts and materials used in the maintenance of equipment and buildings; (d) lubricants, greases, compounding materials, and other materials used in production or used to operate equipment and buildings; (e) gloves, glasses, footwear, clothing, safety equipment, and supplies;</w:t>
      </w:r>
    </w:p>
    <w:p>
      <w:pPr>
        <w:pStyle w:val="Normal"/>
        <w:widowControl/>
        <w:rPr/>
      </w:pPr>
      <w:r>
        <w:rPr/>
        <w:t>(f) equipment, devices, and supplies used for testing or inspecting the goods; (g) catalysts and solvents; and (h) any other material that is not incorporated into the good but for which the use in the production of the good can reasonably be demonstrated to be a part of that production; intermediate material means a material</w:t>
      </w:r>
    </w:p>
    <w:p>
      <w:pPr>
        <w:pStyle w:val="Normal"/>
        <w:widowControl/>
        <w:rPr/>
      </w:pPr>
      <w:r>
        <w:rPr/>
        <w:t>that is self-produced and used in the production of a good, and designated pursuant to Article 4.8 (Intermediate Materials); material means a good that is used in the production of another good, and includes a part or an ingredient; net cost means total cost minus sales promotion, marketing and after-sales service costs, royalties, shipping and packing costs, and non-allowable interest costs that are included in the total cost; net cost of a good means the net cost that can be reasonably allocated to a good using one of the methods set out in Article 4.5 (Regional Value Content); non-allowable interest costs means interest costs incurred by a producer that exceed 700 basis points above the applicable federal government interest rate identified in the Uniform Regulations for comparable maturities; non-originating good or non-originating material means a good or material that does not qualify as originating under this Chapter; originating good or originating material means a good or material that qualifies as originating under this Chapter;</w:t>
      </w:r>
    </w:p>
    <w:p>
      <w:pPr>
        <w:pStyle w:val="Normal"/>
        <w:widowControl/>
        <w:rPr/>
      </w:pPr>
      <w:r>
        <w:rPr/>
        <w:t>packaging materials and containers means materials and containers in which a good is packaged for retail sale; packing materials and containers means materials and containers that are used to protect a good during transportation; producer means a person who engages in the production of a good; production means growing, cultivating, raising, mining, harvesting, fishing, trapping, hunting, capturing, breeding, extracting, manufacturing,</w:t>
      </w:r>
    </w:p>
    <w:p>
      <w:pPr>
        <w:pStyle w:val="Normal"/>
        <w:widowControl/>
        <w:rPr/>
      </w:pPr>
      <w:r>
        <w:rPr/>
        <w:t>processing, or assembling a good, or aquaculture; reasonably allocate means to apportion in a manner appropriate to the circumstances; royalties means payments of any kind, including payments under technical assistance or similar agreements, made as consideration for the use or right to use a copyright, literary, artistic, or scientific work, patent, trademark, design, model, plan, or secret formula or process, excluding those payments under technical assistance or similar agreements that can be related to specific services such as: (a) personnel training, without regard to where the training is performed; or (b) if performed in the territory of one or more of the Parties, engineering, tooling, die-setting, software design and similar computer services, or other services; sales promotion, marketing, and after-sales service costs means the following costs related to sales promotion, marketing, and after-sales service:</w:t>
      </w:r>
    </w:p>
    <w:p>
      <w:pPr>
        <w:pStyle w:val="Normal"/>
        <w:widowControl/>
        <w:rPr/>
      </w:pPr>
      <w:r>
        <w:rPr/>
        <w:t>(a) sales and marketing promotion; media advertising; advertising and market research; promotional and demonstration materials; exhibits; sales conferences, trade shows, and conventions; banners; marketing displays; free samples; sales, marketing, and after-sales service literature (product brochures, catalogs, technical literature, price lists, service manuals, or sales aid information); establishment and protection of logos and trademarks; sponsorships; wholesale and retail restocking charges; or entertainment; (b) sales and marketing incentives; consumer,</w:t>
      </w:r>
    </w:p>
    <w:p>
      <w:pPr>
        <w:pStyle w:val="Normal"/>
        <w:widowControl/>
        <w:rPr/>
      </w:pPr>
      <w:r>
        <w:rPr/>
        <w:t>retailer, or wholesaler rebates; or merchandise incentives; (c) salaries and wages, sales commissions, bonuses, benefits (for example, medical, insurance, or pension), travelling and living expenses, or membership and professional fees for sales promotion, marketing and after-sales service personnel; (d) recruiting and training of sales promotion, marketing, and after-sales service personnel, and after-sales training of customers’ employees, if those costs are identified separately for sales promotion, marketing, and after-sales service of goods on the financial statements or cost accounts of the producer; (e) product liability insurance; (f) office supplies for sales promotion, marketing, and after-sales service of goods, if those costs are identified separately for sales promotion, marketing, and after- sales service of goods on the financial statements or cost accounts of the producer; (g) telephone, mail, and other communications, if those costs are identified separately for sales promotion, marketing, and after-sales service of goods on the financial statements or cost accounts of the producer; (h) rent and depreciation of sales promotion, marketing, and after-sales service offices, and distribution centers;</w:t>
      </w:r>
    </w:p>
    <w:p>
      <w:pPr>
        <w:pStyle w:val="Normal"/>
        <w:widowControl/>
        <w:rPr/>
      </w:pPr>
      <w:r>
        <w:rPr/>
        <w:t>(i) property insurance premiums, taxes, cost of utilities, and repair and maintenance of sales promotion, marketing, and after-sales service offices and distribution centers, if those costs are identified separately for sales promotion, marketing, and after-sales</w:t>
      </w:r>
    </w:p>
    <w:p>
      <w:pPr>
        <w:pStyle w:val="Normal"/>
        <w:widowControl/>
        <w:rPr/>
      </w:pPr>
      <w:r>
        <w:rPr/>
        <w:t>service of goods on the financial statements or cost accounts of the producer; and (j) payments by the producer to other persons for warranty repairs; self-produced material means a material that is produced by the producer of a good and used in the production of that good; shipping and packing costs means the costs incurred in packing a good for shipment and shipping the good from the point of direct shipment to the buyer, excluding costs of preparing and packaging the good for retail sale; total cost means all product costs, period costs, and other costs incurred in the territory of one or more of the Parties, where: (a) product costs are costs that are associated with the production of a good and include the value of materials, direct labor costs, and direct overheads; (b) period costs are costs, other than product costs, that are expensed in the period in which they are incurred, such as selling expenses and general and administrative expenses; and (c) other costs are all costs recorded on the books of the producer that are not product costs or period costs, such as interest.</w:t>
      </w:r>
    </w:p>
    <w:p>
      <w:pPr>
        <w:pStyle w:val="Normal"/>
        <w:widowControl/>
        <w:rPr/>
      </w:pPr>
      <w:r>
        <w:rPr/>
        <w:t>Total cost does not include profits that are earned by the producer, regardless of whether they are retained by the producer or paid out to other persons as dividends, or taxes paid on those profits, including capital gains taxes; transaction value means the customs value as determined in accordance with the Customs Valuation Agreement, that is, the price actually paid or payable for a good or material with respect to a transaction of, except for the application of Articles 10.3(a) in the Appendix to Annex 4-B (Product-Specific Rules of Origin), the producer of the good, adjusted in accordance with the principles of Articles 8(1), 8(3), and 8(4) of the Customs Valuation Agreement, regardless of whether the good or material is sold for export; used means used or consumed in the production of goods; and value means value of a good or material for purposes of calculating customs duties or for the purposes of applying this Chapter.</w:t>
      </w:r>
    </w:p>
    <w:p>
      <w:pPr>
        <w:pStyle w:val="Normal"/>
        <w:keepNext w:val="true"/>
        <w:widowControl/>
        <w:rPr/>
      </w:pPr>
      <w:r>
        <w:rPr/>
        <w:t>Article 4.2: Originating Goods Except as otherwise provided in this Chapter, each Party shall provide that a good is originating if it is: (a) wholly obtained or produced entirely in the territory of one or more of the Parties, as defined in Article 4.3 (Wholly Obtained or Produced Goods); (b) produced entirely in the territory of one or more of the Parties using non- originating materials provided the good satisfies all applicable requirements of Annex 4-B (Product-Specific Rules of Origin); (c) produced entirely in the territory of one or more of the Parties exclusively from originating materials; or (d) except for a good provided for in Chapter 61 to 63 of the Harmonized System: (i) produced entirely in the territory of one or more of the Parties;</w:t>
      </w:r>
    </w:p>
    <w:p>
      <w:pPr>
        <w:pStyle w:val="Normal"/>
        <w:widowControl/>
        <w:rPr/>
      </w:pPr>
      <w:r>
        <w:rPr/>
        <w:t>(ii) one or more of the non-originating materials provided for as parts under the Harmonized System used in the production of the good cannot satisfy the requirements set out in Annex 4-B (Product-Specific Rules of Origin) because both the good and its materials are classified in the same subheading or same heading that is not further subdivided into subheadings or, the good was imported into the territory of a Party in an unassembled or a disassembled form but was classified as an assembled good pursuant to rule 2(a) of the General Rules of Interpretation of the Harmonized System; and (iii) the regional value content of the good, determined in accordance with Article 4.5 (Regional Value Content), is not less than 60 percent if</w:t>
      </w:r>
    </w:p>
    <w:p>
      <w:pPr>
        <w:pStyle w:val="Normal"/>
        <w:widowControl/>
        <w:rPr/>
      </w:pPr>
      <w:r>
        <w:rPr/>
        <w:t>the transaction value method is used, or not less than 50 percent if the net cost method is used; and the good satisfies all other applicable requirements of this Chapter.</w:t>
      </w:r>
    </w:p>
    <w:p>
      <w:pPr>
        <w:pStyle w:val="Normal"/>
        <w:keepNext w:val="true"/>
        <w:widowControl/>
        <w:rPr/>
      </w:pPr>
      <w:r>
        <w:rPr/>
        <w:t>Article 4.3: Wholly Obtained or Produced Goods Each Party shall provide that, for the purposes of Article 4.2 (Originating Goods), a good is wholly obtained or produced entirely in the territory of one or more of the Parties if it is: (a) a mineral good or other naturally occurring substance extracted or taken from there; (b) a plant, plant good, vegetable, or fungus, grown, cultivated, harvested, picked, or gathered there; (c) a live animal born and raised there; (d) a good obtained from a live animal there; (e) an animal obtained by hunting, trapping, fishing, gathering, or capturing there; (f) a good obtained from aquaculture there; (g) fish, shellfish, or other marine life taken from the sea, seabed or subsoil outside the territories of the Parties and, under international law, outside the territorial sea of non-Parties, by vessels that are registered, listed, or recorded with a Party and entitled to fly the flag of that Party;</w:t>
      </w:r>
    </w:p>
    <w:p>
      <w:pPr>
        <w:pStyle w:val="Normal"/>
        <w:widowControl/>
        <w:rPr/>
      </w:pPr>
      <w:r>
        <w:rPr/>
        <w:t>(h) a good produced from goods referred to in subparagraph (g) on board a factory ship that is registered, listed, or recorded with a Party and entitled to fly the flag of that Party; (i) a good other than fish, shellfish, and other marine life taken by a Party or a person of a Party from the seabed or subsoil outside the territories of the Parties, provided that Party has the right to exploit that seabed or subsoil; (j) waste and scrap derived from: (i) production there, or (ii) used goods collected there, provided the goods are fit only for the</w:t>
      </w:r>
    </w:p>
    <w:p>
      <w:pPr>
        <w:pStyle w:val="Normal"/>
        <w:widowControl/>
        <w:rPr/>
      </w:pPr>
      <w:r>
        <w:rPr/>
        <w:t>recovery of raw materials; and (k) a good produced there, exclusively from goods referred to in subparagraphs (a) through (j), or from their derivatives, at any stage of production.</w:t>
      </w:r>
    </w:p>
    <w:p>
      <w:pPr>
        <w:pStyle w:val="Normal"/>
        <w:keepNext w:val="true"/>
        <w:widowControl/>
        <w:rPr/>
      </w:pPr>
      <w:r>
        <w:rPr/>
        <w:t>Article 4.4: Treatment of Recovered Materials Used in the Production of a Remanufactured Good 1. Each Party shall provide that a recovered material derived in the territory of one or more of the Parties is treated as originating when it is used in the production of, and incorporated into, a remanufactured good. 2. For greater certainty: (a) a remanufactured good is originating only if it satisfies the applicable requirements of Article 4.2 (Originating Goods); and (b) a recovered material that is not used or incorporated in the production of a remanufactured good is originating only if it satisfies the applicable requirements of Article 4.2 (Originating Goods).</w:t>
      </w:r>
    </w:p>
    <w:p>
      <w:pPr>
        <w:pStyle w:val="Normal"/>
        <w:keepNext w:val="true"/>
        <w:widowControl/>
        <w:rPr/>
      </w:pPr>
      <w:r>
        <w:rPr/>
        <w:t>Article 4.5: Regional Value Content 1. Except as provided in paragraph 6, each Party shall provide that the regional value content of a good shall be calculated, at the choice of the importer, exporter, or producer of the good, on the basis of either the transaction value method set out in paragraph 2 or the net cost method set out in paragraph 3. 2. Each Party shall provide that an importer, exporter, or producer may calculate the regional value content of a good on the basis of the following transaction value method: RVC = (TV-VNM)/TV x 100 where RVC is the regional value content, expressed as a percentage; TV is the transaction value of the good, adjusted to exclude any costs incurred in the international shipment of the good; and VNM is the value of non-originating materials including materials of undetermined origin used by the producer in the production of the good. 3.</w:t>
      </w:r>
    </w:p>
    <w:p>
      <w:pPr>
        <w:pStyle w:val="Normal"/>
        <w:widowControl/>
        <w:rPr/>
      </w:pPr>
      <w:r>
        <w:rPr/>
        <w:t>Each Party shall provide that an importer, exporter, or producer may calculate the regional value content of a good on the basis of the following net cost method: RVC = (NC-VNM)/NC x 100 where RVC is the regional value content, expressed as a percentage; NC is the net cost of the good; and VNM is the value of non-originating materials including materials of undetermined origin used by the producer in the production of the good. 4.</w:t>
      </w:r>
    </w:p>
    <w:p>
      <w:pPr>
        <w:pStyle w:val="Normal"/>
        <w:widowControl/>
        <w:rPr/>
      </w:pPr>
      <w:r>
        <w:rPr/>
        <w:t>Each Party shall provide that the value of non-originating materials used by the producer in the production of a good shall not, for the purposes of calculating the regional value content of the good under paragraph 2 or 3, include the value of non-originating materials used to produce originating materials that are subsequently used in the production of the good. 5. Each Party shall provide that if a non-originating material is used in the production of a good, the following may be counted as originating content for the purpose of determining whether the good meets a regional value content requirement: (a) the value of processing of the non-originating materials undertaken in the territory of one or more of the Parties; and (b) the value of any originating material used in the production of the non-originating material undertaken in the territory of one or more of the Parties. 6.</w:t>
      </w:r>
    </w:p>
    <w:p>
      <w:pPr>
        <w:pStyle w:val="Normal"/>
        <w:widowControl/>
        <w:rPr/>
      </w:pPr>
      <w:r>
        <w:rPr/>
        <w:t>Each Party shall provide that an importer, exporter, or producer shall calculate the regional value content of a good solely on the basis of the net cost method set out in paragraph 3 if the rule under the Annex 4-B (Product-Specific Rules of Origin) does not provide a rule based on the transaction value method. 7.</w:t>
      </w:r>
    </w:p>
    <w:p>
      <w:pPr>
        <w:pStyle w:val="Normal"/>
        <w:widowControl/>
        <w:rPr/>
      </w:pPr>
      <w:r>
        <w:rPr/>
        <w:t>If an importer, exporter, or producer of a good calculates the regional value content of the good on the basis of the transaction value method set out in paragraph 2 and a Party subsequently notifies the importer, exporter, or producer, during the course of a verification pursuant to Chapter 5 (Origin Procedures) that the transaction value of the good, or the value of material used in the production of the good, is required to be adjusted or is unacceptable under Article 1 of the Customs Valuation Agreement, the exporter, producer, or importer may then also calculate the regional value content of the good on the basis of the net cost method set out in paragraph 3. 8. For the purposes of calculating the net cost of a good under paragraph 3, the producer of the good may:</w:t>
      </w:r>
    </w:p>
    <w:p>
      <w:pPr>
        <w:pStyle w:val="Normal"/>
        <w:widowControl/>
        <w:rPr/>
      </w:pPr>
      <w:r>
        <w:rPr/>
        <w:t>(a) calculate the total cost incurred with respect to all goods produced by that producer, subtract any sales promotion, marketing, and after-sales service costs, royalties, shipping and packing costs, and non-allowable interest costs that are included in the total cost of all those goods, and then reasonably allocate the resulting net cost of those goods to the good; (b) calculate the total cost incurred with respect to all goods produced by that producer, reasonably allocate the total cost to the good, and then subtract any sales promotion, marketing, and after-sales service costs, royalties, shipping and packing costs, and non-allowable interest costs that are included in the portion of the total cost</w:t>
      </w:r>
    </w:p>
    <w:p>
      <w:pPr>
        <w:pStyle w:val="Normal"/>
        <w:widowControl/>
        <w:rPr/>
      </w:pPr>
      <w:r>
        <w:rPr/>
        <w:t>allocated to the good; or (c) reasonably allocate each cost that forms part of the total cost incurred with respect to the good so that the aggregate of these costs does not include any sales promotion, marketing, and after-sales service costs, royalties, shipping and packing costs, and non-allowable interest costs, provided that the allocation of all those costs is consistent with the provisions regarding the reasonable allocation of costs set out in the Uniform Regulations.</w:t>
      </w:r>
    </w:p>
    <w:p>
      <w:pPr>
        <w:pStyle w:val="Normal"/>
        <w:keepNext w:val="true"/>
        <w:widowControl/>
        <w:rPr/>
      </w:pPr>
      <w:r>
        <w:rPr/>
        <w:t>Article 4.6: Value of Materials Used in Production Each Party shall provide that, for the purposes of this Chapter, the value of a material is: (a) for a material imported by the producer of the good, the transaction value of the material at the time of importation, including the costs incurred in the international shipment of the material; (b) for a material acquired in the territory where the good is produced: (i) the price paid or payable by the producer in the Party where the producer is located, (ii) the value as determined for an imported material in subparagraph (a), or (iii) the earliest ascertainable price paid or payable in the territory of the Party; or (c) for a material that is self-produced: (i) all the costs incurred in the production of the material, which includes general expenses, and (ii) an amount equivalent to the profit added in the normal course of trade, or equal to the profit that is usually reflected in the sale of goods of the same class or kind as the self-produced material that is being valued.</w:t>
      </w:r>
    </w:p>
    <w:p>
      <w:pPr>
        <w:pStyle w:val="Normal"/>
        <w:keepNext w:val="true"/>
        <w:widowControl/>
        <w:rPr/>
      </w:pPr>
      <w:r>
        <w:rPr/>
        <w:t>Article 4.7: Further Adjustments to the Value of Materials 1. Each Party shall provide that for a non-originating material or material of undetermined origin, the following expenses may be deducted from the value of the material: (a) the costs of freight, insurance, packing, and all other costs incurred in transporting the material to the location of the producer of the good; (b) duties, taxes, and customs brokerage fees on the material paid in the territory of one or more of the Parties, other than duties and taxes that are waived, refunded, refundable, or otherwise recoverable, which include credit against duty or tax paid or payable; and (c) the cost of waste and spoilage resulting from the use of the material in the production of the good, less the value of reusable scrap or by-product. 2. If the cost or expense listed in paragraph 1 is unknown or documentary evidence of the amount of the adjustment is not available, then no adjustment is allowed for that particular cost.</w:t>
      </w:r>
    </w:p>
    <w:p>
      <w:pPr>
        <w:pStyle w:val="Normal"/>
        <w:keepNext w:val="true"/>
        <w:widowControl/>
        <w:rPr/>
      </w:pPr>
      <w:r>
        <w:rPr/>
        <w:t>Article 4.8: Intermediate Materials Each Party shall provide that any self-produced material, other than a component identified in Table G of that Appendix, that is used in the production of a good may be designated by the producer of the good as an intermediate material for the purpose of calculating the regional value content of the good under paragraph 2 or 3 of Article 4.5 (Regional Value Content), provided that if the intermediate material is subject to a regional value content requirement, no other self-produced material subject to a regional value content requirement used in the production of that intermediate material may itself be designated by the producer as an intermediate material.</w:t>
      </w:r>
    </w:p>
    <w:p>
      <w:bookmarkStart w:id="1035" w:name="_NAESTMA_TOC_1035"/>
      <w:pPr>
        <w:pStyle w:val="Heading2"/>
        <w:keepNext/>
        <w:widowControl/>
        <w:rPr/>
      </w:pPr>
      <w:r>
        <w:rPr/>
        <w:t>Article 4.9: Indirect Materials</w:t>
      </w:r>
      <w:bookmarkEnd w:id="1035"/>
    </w:p>
    <w:p>
      <w:pPr>
        <w:pStyle w:val="Normal"/>
        <w:widowControl/>
        <w:spacing w:before="0" w:after="0"/>
        <w:rPr/>
      </w:pPr>
      <w:r>
        <w:rPr/>
        <w:t>An indirect material shall be considered to be an originating material without regard to where it is produced.</w:t>
      </w:r>
    </w:p>
    <w:p>
      <w:bookmarkStart w:id="1036" w:name="_NAESTMA_TOC_1036"/>
      <w:pPr>
        <w:pStyle w:val="Heading2"/>
        <w:keepNext/>
        <w:widowControl/>
        <w:rPr/>
      </w:pPr>
      <w:r>
        <w:rPr/>
        <w:t>Article 4.10: Automotive Goods</w:t>
      </w:r>
      <w:bookmarkEnd w:id="1036"/>
    </w:p>
    <w:p>
      <w:pPr>
        <w:pStyle w:val="Normal"/>
        <w:widowControl/>
        <w:spacing w:before="0" w:after="0"/>
        <w:rPr/>
      </w:pPr>
      <w:r>
        <w:rPr/>
        <w:t>The Appendix to Annex 4-B (Product-Specific Rules of Origin) includes additional provisions that apply to automotive goods.</w:t>
      </w:r>
    </w:p>
    <w:p>
      <w:pPr>
        <w:pStyle w:val="Normal"/>
        <w:keepNext w:val="true"/>
        <w:widowControl/>
        <w:rPr/>
      </w:pPr>
      <w:r>
        <w:rPr/>
        <w:t>Article 4.11: Accumulation 1. Each Party shall provide that a good is originating if the good is produced in the territory of one or more of the Parties by one or more producers, provided that the good satisfies the requirements of Article 4.2 (Originating Goods) and all other applicable requirements in this Chapter. 2. Each Party shall provide that an originating good or material of one or more of the Parties is considered as originating in the territory of another Party when used as a material in the production of a good in the territory of another Party. 3. Each Party shall provide that production undertaken on a non-originating material in the territory of one or more of the Parties may contribute toward the originating status of a good, regardless of whether that production was sufficient to confer originating status to the material itself.</w:t>
      </w:r>
    </w:p>
    <w:p>
      <w:pPr>
        <w:pStyle w:val="Normal"/>
        <w:keepNext w:val="true"/>
        <w:widowControl/>
        <w:rPr/>
      </w:pPr>
      <w:r>
        <w:rPr/>
        <w:t>Article 4.12: De Minimis 1. Except as provided in Annex 4-A (Exceptions to Article 4.12 (De Minimis)), each Party shall provide that a good is an originating good if the value of all non-originating materials used in the production of the good that do not undergo an applicable change in tariff classification set out in Annex 4-B (Product- Specific Rules of Origin) is not more than 10 percent: (a) of the transaction value of the good adjusted to exclude any costs incurred in the international shipment of the good; or (b) of the total cost of the good, provided that the good satisfies all other applicable requirements of this Chapter. 2. If a good described in paragraph 1 is also subject to a regional value content requirement, the value of those non-originating materials shall be included in the value of non-originating materials for the applicable regional value content requirement. 3.</w:t>
      </w:r>
    </w:p>
    <w:p>
      <w:pPr>
        <w:pStyle w:val="Normal"/>
        <w:widowControl/>
        <w:rPr/>
      </w:pPr>
      <w:r>
        <w:rPr/>
        <w:t>A good that is otherwise subject to a regional value content requirement shall not be required to satisfy the requirement if the value of all non-originating materials used in the production of the good is not more than 10 percent of the transaction value of the good, adjusted to exclude any costs incurred in the international shipment of the good, or the total cost of the good, provided that the good satisfies all other applicable requirements of this Chapter. 4.</w:t>
      </w:r>
    </w:p>
    <w:p>
      <w:pPr>
        <w:pStyle w:val="Normal"/>
        <w:widowControl/>
        <w:rPr/>
      </w:pPr>
      <w:r>
        <w:rPr/>
        <w:t>With respect to a textile or apparel good, Articles 6.1.2 and 6.1.3 (Rules of Origin and Related Matters) apply in place of paragraph 1.</w:t>
      </w:r>
    </w:p>
    <w:p>
      <w:pPr>
        <w:pStyle w:val="Normal"/>
        <w:keepNext w:val="true"/>
        <w:widowControl/>
        <w:rPr/>
      </w:pPr>
      <w:r>
        <w:rPr/>
        <w:t>Article 4.13: Fungible Goods and Materials 1. Each Party shall provide that a fungible material or good is originating if: (a) when originating and non-originating fungible materials are used in the production of a good, the determination of whether the materials are originating is made on the basis of an inventory management method recognized in the Generally Accepted Accounting Principles of, or otherwise accepted by, the Party in which the production is performed; or (b) when originating and non-originating fungible goods are commingled and exported in the same form, the determination of whether the goods are originating is made on the basis of an inventory management method recognized in the Generally Accepted Accounting Principles of, or otherwise accepted by, the Party from which the good is exported. 2. The inventory management method selected under paragraph 1 must be used throughout the fiscal year of the producer or the person that selected the inventory management method. 3. For greater certainty, an importer may claim that a fungible material or good is originating if the importer, producer, or exporter has physically segregated each fungible material or good as to allow their specific identification.</w:t>
      </w:r>
    </w:p>
    <w:p>
      <w:pPr>
        <w:pStyle w:val="Normal"/>
        <w:keepNext w:val="true"/>
        <w:widowControl/>
        <w:rPr/>
      </w:pPr>
      <w:r>
        <w:rPr/>
        <w:t>Article 4.14: Accessories, Spare Parts, Tools, or Instructional or Other Information Materials 1. Each Party shall provide that: (a) in determining whether a good is wholly obtained, or satisfies a process or change in tariff classification requirement as set out in Annex 4-B (Product-Specific Rules of Origin), accessories, spare parts, tools, or instructional or other information materials as described in paragraph 3, are to be disregarded; and (b) in determining whether a good meets a regional value content requirement, the value of the accessories, spare parts, tools, or instructional or other information materials, as described in paragraph 3, are to be taken into account as originating or non-originating materials, as the case may be, in calculating the regional value content of the good. 2. Each Party shall provide that a good’s accessories, spare parts, tools, or instructional or other information materials, as described in paragraph 3, have the originating status of the good with which they are delivered. 3. For the purposes of this Article, accessories, spare parts, tools, or instructional or other information materials are covered when:</w:t>
      </w:r>
    </w:p>
    <w:p>
      <w:pPr>
        <w:pStyle w:val="Normal"/>
        <w:widowControl/>
        <w:rPr/>
      </w:pPr>
      <w:r>
        <w:rPr/>
        <w:t>(a) the accessories, spare parts, tools, or instructional or other information materials are classified with, delivered with, but not invoiced separately from the good; and (b) the types, quantities, and value of the accessories, spare parts, tools, or instructional or other information materials are customary for that good.</w:t>
      </w:r>
    </w:p>
    <w:p>
      <w:pPr>
        <w:pStyle w:val="Normal"/>
        <w:keepNext w:val="true"/>
        <w:widowControl/>
        <w:rPr/>
      </w:pPr>
      <w:r>
        <w:rPr/>
        <w:t>Article 4.15: Packaging Materials and Containers for Retail Sale 1. Each Party shall provide that packaging materials and containers in which a good is packaged for retail sale, if classified with the good, are disregarded in determining whether all the non-originating materials used in the production of the good have satisfied the applicable process or change in tariff classification requirement set out in Annex 4-B (Product-Specific Rules of Origin) or whether the good is wholly obtained or produced. 2. Each Party shall provide that if a good is subject to a regional value content requirement, the value of the packaging materials and containers in which the good is packaged for retail sale, if classified with the good, are taken into account as originating or non-originating, as the case may be, in calculating the regional value content of the good.</w:t>
      </w:r>
    </w:p>
    <w:p>
      <w:pPr>
        <w:pStyle w:val="Normal"/>
        <w:keepNext w:val="true"/>
        <w:widowControl/>
        <w:rPr/>
      </w:pPr>
      <w:r>
        <w:rPr/>
        <w:t>Article 4.16: Packing Materials and Containers for Shipment Each Party shall provide that packing materials and containers for shipment are disregarded in determining whether a good is originating.</w:t>
      </w:r>
    </w:p>
    <w:p>
      <w:pPr>
        <w:pStyle w:val="Normal"/>
        <w:keepNext w:val="true"/>
        <w:widowControl/>
        <w:rPr/>
      </w:pPr>
      <w:r>
        <w:rPr/>
        <w:t>Article 4.17: Sets of Goods, Kits or Composite Goods 1. Except as provided in Annex 4-B (Product-Specific Rules of Origin), each Party shall provide that for a set classified as a result of the application of rule 3 of the General Rules for the Interpretation of the Harmonized System, the set is originating only if each good in the set is originating and both the set and the goods meet the other applicable requirements of this Chapter. 2. Notwithstanding paragraph 1, for a set classified as a result of the application of rule 3 of the General Rules for the Interpretation of the Harmonized System, the set is originating if the value of all the non-originating goods in the set does not exceed 10 percent of the value of the set. 3. For the purposes of paragraph 2, the value of the non-originating goods in the set and the value of the set shall be calculated in the same manner as the value of non-originating materials and the value of the good. 4. With respect to a textile or apparel good, Articles 6.1.4 and 6.1.5 (Rules of Origin and Related Matters) apply in place of paragraph 1.</w:t>
      </w:r>
    </w:p>
    <w:p>
      <w:pPr>
        <w:pStyle w:val="Normal"/>
        <w:keepNext w:val="true"/>
        <w:widowControl/>
        <w:rPr/>
      </w:pPr>
      <w:r>
        <w:rPr/>
        <w:t>Article 4.18: Transit and Transshipment 1. Each Party shall provide that an originating good retains its originating status if the good has been transported to the importing Party without passing through the territory of a non-Party. 2. Each Party shall provide that if an originating good is transported outside the territories of the Parties, the good retains its originating status if the good: (a) remains under customs control in the territory of a non-Party; and (b) does not undergo an operation outside the territories of the Parties other than: unloading; reloading; separation from a bulk shipment; storing; labeling or marking required by the importing Party; or any other operation necessary to preserve it in good condition or to transport the good to the territory of the importing Party.</w:t>
      </w:r>
    </w:p>
    <w:p>
      <w:pPr>
        <w:pStyle w:val="Normal"/>
        <w:keepNext w:val="true"/>
        <w:widowControl/>
        <w:rPr/>
      </w:pPr>
      <w:r>
        <w:rPr/>
        <w:t>Article 4.19: Non-Qualifying Operations Each Party shall provide that a good shall not be considered to be an originating good merely by reason of: (a) mere dilution with water or another substance that does not materially alter the characteristics of the good; or (b) a production or pricing practice in respect of which it may be demonstrated, on the basis of a preponderance of evidence, that the object was to circumvent this Chapter.</w:t>
      </w:r>
    </w:p>
    <w:p>
      <w:pPr>
        <w:pStyle w:val="Normal"/>
        <w:widowControl/>
        <w:rPr/>
      </w:pPr>
      <w:r>
        <w:rPr/>
        <w:t>ANNEX 4-A EXCEPTIONS TO ARTICLE 4.12 (DE MINIMIS) Each Party shall provide that Article 4.12 (De Minimis) shall not apply to: (a) a non-originating material of heading 04.01 through 04.06, or a non-originating dairy preparation containing over 10 percent by dry weight of milk solids of subheading 1901.90 or 2106.90, used in the production of a good of heading 04.01 through 04.06; (b) a non-originating material of heading 04.01 through 04.06, or non-originating dairy preparations containing over 10 percent by dry weight of milk solids of subheading 1901.90 or 2106.90, used in the production of: (i) infant preparations containing over 10 percent by dry weight of milk solids of subheading 1901.10, (ii) mixes and doughs, containing over 25 percent by dry weight of butterfat, not put up for retail sale of subheading 1901.20, (iii) dairy preparations containing over 10 percent by dry weight of milk solids of subheading 1901.90 or 2106.90, (iv) goods of heading 21.05, (v) beverages containing milk of subheading 2202.90, or (vi) animal feeds containing over 10 percent by dry weight of milk solids of subheading 2309.90;</w:t>
      </w:r>
    </w:p>
    <w:p>
      <w:pPr>
        <w:pStyle w:val="Normal"/>
        <w:widowControl/>
        <w:rPr/>
      </w:pPr>
      <w:r>
        <w:rPr/>
        <w:t>(c) a non-originating material of heading 08.05 or subheading 2009.11 through 2009.39 used in the production of a good of subheading 2009.11 through 2009.39, or a fruit or vegetable juice of any single fruit or vegetable, fortified with minerals or vitamins, concentrated or unconcentrated, of subheading 2106.90 or 2202.90; (d) a non-originating material of Chapter 9</w:t>
      </w:r>
    </w:p>
    <w:p>
      <w:pPr>
        <w:pStyle w:val="Normal"/>
        <w:widowControl/>
        <w:rPr/>
      </w:pPr>
      <w:r>
        <w:rPr/>
        <w:t>of the Harmonized System used in the production of instant coffee, not flavored, of subheading 2101.11; (e) a non-originating material of Chapter 15 of the Harmonized System, used in the production of a good of heading 15.01 through 15.08, 15.12, 15.14, or 15.15; 4-A-1 (f) a non-originating material of heading 17.01 used in the production of a good provided for in heading 17.01 through 17.03; (g) a non-originating material of Chapter 17 of the Harmonized System or heading 18.05 that is used in the production of a good of subheading 1806.10; (h) non-originating peaches, pears, or apricots of Chapter 8 or 20 of the Harmonized System, used in the production of a good of heading 20.08; (i) a non-originating single juice ingredient provided for in heading 20.09 that is used in the production of a good provided for in subheading 2009.90, or tariff item 2106.90.cc (concentrated mixtures of fruit or vegetable juice, fortified with minerals or vitamins), or 2202.90.bb (mixtures of fruit or vegetable juices, fortified with minerals or vitamins);</w:t>
      </w:r>
    </w:p>
    <w:p>
      <w:pPr>
        <w:pStyle w:val="Normal"/>
        <w:widowControl/>
        <w:rPr/>
      </w:pPr>
      <w:r>
        <w:rPr/>
        <w:t>(j) a non-originating material provided for in heading 22.03 through 22.08 that is used in the production of a good provided for in heading 22.07 or 22.08; (k) a non-originating material used in the production of a good of Chapters 1 through 27 of the Harmonized System, unless the non-originating materials are provided for in a different subheading than the good for which origin is being determined under this Agreement. 4-A-2</w:t>
      </w:r>
    </w:p>
    <w:p>
      <w:pPr>
        <w:pStyle w:val="Normal"/>
        <w:widowControl/>
        <w:rPr/>
      </w:pPr>
      <w:r>
        <w:rPr/>
        <w:t>ANNEX 4-B PRODUCT-SPECIFIC RULES OF ORIGIN Section A: General Interpretative Note For the purposes of interpreting the rules of origin set out in this Annex: (a) the tariff items referred to in this Annex, shown generically in this Annex by eight-digit numbers comprised of six numeric and two alpha characters, refer to the Party-specific tariff items shown in the table following Section B of this Annex; (b) the specific rule, or specific set of rules, that applies to a particular heading, subheading or tariff item is set out immediately adjacent to the heading, subheading, or tariff item; (c) a rule applicable to a tariff item shall take precedence over a rule applicable to the heading or subheading which is parent to that tariff item; (d) a requirement of a change in tariff classification applies only to non-originating materials; (e) reference to weight in the rules for goods provided for in Chapter 1 through 24 of the Harmonized System means dry weight unless otherwise specified in the Harmonized System;</w:t>
      </w:r>
    </w:p>
    <w:p>
      <w:pPr>
        <w:pStyle w:val="Normal"/>
        <w:widowControl/>
        <w:rPr/>
      </w:pPr>
      <w:r>
        <w:rPr/>
        <w:t>(f) the specific rule that follows a reference to “beginning on January 1, 2020 or the date of entry into force of the Agreement, whichever is later” is the specific rule that applies if the Agreement enters into force before January 1, 2020, (g) the following definitions apply: chapter means a chapter of the Harmonized System; heading means the first four digits in the tariff classification number under the Harmonized System; section means a section of the Harmonized</w:t>
      </w:r>
    </w:p>
    <w:p>
      <w:pPr>
        <w:pStyle w:val="Normal"/>
        <w:widowControl/>
        <w:rPr/>
      </w:pPr>
      <w:r>
        <w:rPr/>
        <w:t>System; subheading means the first six digits in the tariff classification number under the Harmonized System; and 4-B-1 tariff item means the first eight digits in the tariff classification number under the Harmonized System as implemented by each Party. (h) if the good is a vehicle of chapter 87 or a part listed in Tables A.1, B, C, D, E, F or G of the Appendix to this Annex for use in a vehicle of Chapter 87, the provisions of the Appendix to this Annex apply. Section B: Product-Specific Rules of Origin Section I - Live Animals; Animal Products (Chapter 1-5) Chapter 1 Live Animals 01.01-01.06 A change to heading 01.01 through 01.06 from any other chapter. Chapter 2 Meat and Edible Meat Offal 02.01-02.10 A change to heading 02.01 through 02.10 from any other chapter. Chapter 3 Fish and Crustaceans, Molluscs and Other Aquatic Invertebrates Note:</w:t>
      </w:r>
    </w:p>
    <w:p>
      <w:pPr>
        <w:pStyle w:val="Normal"/>
        <w:widowControl/>
        <w:rPr/>
      </w:pPr>
      <w:r>
        <w:rPr/>
        <w:t>A fish, crustacean, mollusc or other aquatic invertebrate obtained in the territory of a Party is originating even if obtained from eggs, larvae, fry, fingerlings, parr, smolts or other immature fish at a post-larval stage that are imported from a non-Party. 03.01-03.05 A change to heading 03.01 through 03.05 from any other chapter. 03.06.11 – 03.08.90 A change to a smoked good of any of subheading 03.06.11 through 03.08.90 from a non-smoked good within that subheading or any other subheading; or A change to any other good of any of subheading 03.06.11 through 03.08.90 from any other chapter.</w:t>
      </w:r>
    </w:p>
    <w:p>
      <w:pPr>
        <w:pStyle w:val="Normal"/>
        <w:widowControl/>
        <w:rPr/>
      </w:pPr>
      <w:r>
        <w:rPr/>
        <w:t>Chapter 4 Dairy Produce; Birds’ Eggs; Natural Honey; Edible Products of Animal Origin, Not Elsewhere Specified or Included 04.01-04.04 A change to heading 04.01 through 04.04 from any other chapter, except from tariff item 1901.90.aa. 4-B-2 04.05 A change to heading 04.05 from any other chapter, except from tariff item 1901.90.aa or 2106.90.dd. 04.06-04.10 A change to heading 04.06 through 04.10 from any other chapter, except from tariff item 1901.90.aa. Chapter 5 Products of Animal Origin, Not Elsewhere Specified or Included 05.01-05.11 A change to heading 05.01 through 05.11 from any other chapter. Section II - Vegetable Products (Chapter 6-14) Note: Agricultural and horticultural goods grown in the territory of a Party shall be treated as originating in the territory of that Party even if grown from seed, bulbs, rootstock, cuttings, slips or other live parts of plants imported from a non-Party. Chapter 6 Live Trees and Other Plants; Bulbs, Roots and the Like; Cut Flowers and Ornamental Foliage 06.01-06.04 A change to heading 06.01 through 06.04 from any other chapter.</w:t>
      </w:r>
    </w:p>
    <w:p>
      <w:pPr>
        <w:pStyle w:val="Normal"/>
        <w:widowControl/>
        <w:rPr/>
      </w:pPr>
      <w:r>
        <w:rPr/>
        <w:t>Chapter 7 Edible Vegetables and Certain Roots and Tubers Note: Notwithstanding subparagraph (k) of Annex 4-A (Exceptions to Article 4.12 (De Minimis)), paragraph 1 of Article 4.12 (De Minimis) applies to: non- originating truffles of subheading 0709.59 used in the production of mixtures of mushrooms and truffles of subheading 0709.59 and non-originating capers of subheading 0711.90 used in the production of mixtures of vegetables of subheading 0711.90. 07.01-07.11 A change to heading 07.01 through 07.11 from any other chapter. 0712.20-0712.39 A change to subheading 0712.20 through 0712.39 from any other chapter. 0712.90 A change to savory, crushed or ground, of subheading 0712.90 from savory, neither crushed nor ground, of subheading 0712.90 or any other chapter; or A change to any other good of subheading 0712.90 from any other chapter. 4-B-3 07.13-07.14 A change to heading 07.13 through 07.14 from any other chapter. Chapter 8 Edible Fruit and Nuts; Peel of Citrus Fruit or Melons Note:</w:t>
      </w:r>
    </w:p>
    <w:p>
      <w:pPr>
        <w:pStyle w:val="Normal"/>
        <w:widowControl/>
        <w:rPr/>
      </w:pPr>
      <w:r>
        <w:rPr/>
        <w:t>Notwithstanding subparagraph (k) of Annex 4-A (Exceptions to Article 4.12 (De Minimis)), paragraph 1 of Article 4.12 (De Minimis) does not apply to non-originating macadamia nuts of subheading 0802.60 used in the production of mixtures of nuts of subheading 0802.90. 08.01-08.14 A change to heading 08.01 through 08.14 from any other chapter. Chapter 9 Coffee, Tea, Maté and Spices 09.01 A change to heading 09.01 from any other chapter.</w:t>
      </w:r>
    </w:p>
    <w:p>
      <w:pPr>
        <w:pStyle w:val="Normal"/>
        <w:widowControl/>
        <w:rPr/>
      </w:pPr>
      <w:r>
        <w:rPr/>
        <w:t>0902.10-0902.40 A change to subheading 0902.10 through 0902.40 from any other subheading, including another subheading within that group. 09.03 A change to heading 09.03 from any other chapter. 0904.11 A change to subheading 0904.11 from any other chapter. 0904.12 A change to subheading 0904.12 from any other subheading. 0904.21 A change to subheading 0904.21 from any other chapter. 0904.22 A change to allspice, crushed or ground, of subheading 0904.22 from allspice, neither crushed nor ground of subheading 0904.21 or from any other chapter; or A change to any other good of subheading 0904.22 from any other chapter. 09.05 A change to heading 09.05 from any other chapter. 0906.11-0906.19 A change to subheading 0906.11 through 0906.19 from any other chapter. 0906.20 A change to subheading 0906.20 from any other subheading. 0907.10-0907.20 A change to a good of any of subheading 0907.10 through 0907.20 from any other good within that subheading, any other subheading within that group or any other chapter.</w:t>
      </w:r>
    </w:p>
    <w:p>
      <w:pPr>
        <w:pStyle w:val="Normal"/>
        <w:widowControl/>
        <w:rPr/>
      </w:pPr>
      <w:r>
        <w:rPr/>
        <w:t>4-B-4 0908.11-0909.62 A change to a good of any of subheading 0908.11 through 0909.62 from any other good within that subheading, any other subheading within that group or any other chapter. 0910.11-0910.12 A change to a good of any of subheading 0910.11 through 0910.12 from any other good within that subheading, any other subheading within that group or any other chapter. 0910.20 A change to subheading 0910.20 from any other chapter.</w:t>
      </w:r>
    </w:p>
    <w:p>
      <w:pPr>
        <w:pStyle w:val="Normal"/>
        <w:widowControl/>
        <w:rPr/>
      </w:pPr>
      <w:r>
        <w:rPr/>
        <w:t>0910.30 A change to a good of subheading 0910.30 from within that subheading or any other chapter. 0910.91 A change to subheading 0910.91 from any other subheading. 0910.99 Note: Notwithstanding subparagraph (k) of Annex 4-A (Exceptions to Article 4.12 (De Minimis)), paragraph 1 of Article 4.12 (De Minimis) applies to non- originating thyme, bay leaves, or curry of subheading 0910.99 used in the production of mixtures of subheading 0910.99. A change to bay leaves, crushed or ground, of subheading 0910.99 from bay leaves, neither crushed nor ground, of subheading 0910.99 or any other chapter; A change to dill seeds, crushed or ground, of subheading 0910.99 from dill seeds, neither crushed nor ground, of subheading 0910.99 or any other chapter; A change to curry of subheading 0910.99 from any other good of subheading 0910.99 or any other subheading; or A change to any other good of subheading 0910.99 from any other chapter. Chapter 10 Cereals 10.01-10.08 A change to heading 10.01 through 10.08 from any other chapter. Chapter 11 Products of the Milling Industry; Malt; Starches; Inulin;</w:t>
      </w:r>
    </w:p>
    <w:p>
      <w:pPr>
        <w:pStyle w:val="Normal"/>
        <w:widowControl/>
        <w:rPr/>
      </w:pPr>
      <w:r>
        <w:rPr/>
        <w:t>Wheat Gluten 11.01-11.09 4-B-5 12.08 Note: Notwithstanding subparagraph (k) of Annex 4-A (Exceptions to Article 4.12 (De Minimis)), paragraph 1 of Article 4.12 (De Minimis) applies to non- originating rice or rye flour of subheading 1102.90 used in the production of mixtures of flours of subheading 1102.90. A change to heading 11.01 through 11.09 from any other chapter.</w:t>
      </w:r>
    </w:p>
    <w:p>
      <w:pPr>
        <w:pStyle w:val="Normal"/>
        <w:widowControl/>
        <w:rPr/>
      </w:pPr>
      <w:r>
        <w:rPr/>
        <w:t>Chapter 12 Oil Seeds and Oleaginous Fruits; Miscellaneous Grains, Seeds and Fruit; Industrial or Medicinal Plants; Straw and Fodder 12.01-12.06 A change to heading 12.01 through 12.06 from any other chapter. 1207.10-1207.70 A change to subheading 1207.10 through 1207.70 from any other chapter. 1207.91 A change to a good of subheading 1207.91 from within that subheading or any other chapter. 1207.99 A change to subheading 1207.99 from any other chapter. A change to heading 12.08 from any other chapter. 1209.10-1209.30 Note: Notwithstanding subparagraph (k) of Annex 4-A (Exceptions to Article 4.12 (De Minimis)), paragraph 1 of Article 4.12 (De Minimis) applies to non- originating timothy grass seed when used in the production of mixtures of subheading 1209.29. A change to subheading 1209.10 through 1209.30 from any other chapter. 1209.91 A change to celery seeds, crushed or ground, of subheading 1209.91 from celery seeds, neither crushed nor ground, of subheading 1209.91 or any other chapter; or A change to any other good of subheading 1209.91 from any other chapter. 1209.99 A change to subheading 1209.99 from any other chapter.</w:t>
      </w:r>
    </w:p>
    <w:p>
      <w:pPr>
        <w:pStyle w:val="Normal"/>
        <w:widowControl/>
        <w:rPr/>
      </w:pPr>
      <w:r>
        <w:rPr/>
        <w:t>12.10-12.14 A change to heading 12.10 through 12.14 from any other chapter. 4-B-6 Chapter 13 Lac; Gums, Resins and Other Vegetable Saps and Extracts 1301.20 A change to a good of subheading 1301.20 from within that subheading or any other chapter.</w:t>
      </w:r>
    </w:p>
    <w:p>
      <w:pPr>
        <w:pStyle w:val="Normal"/>
        <w:widowControl/>
        <w:rPr/>
      </w:pPr>
      <w:r>
        <w:rPr/>
        <w:t>1301.90 A change to subheading 1301.90 from any other chapter 1302.11-1302.32 Note: Notwithstanding subparagraph (k) of Annex 4-A (Exceptions to Article 4.12 (De Minimis)), paragraph 1 of Article 4.12 (De Minimis) applies to non- originating saps and extracts of pyrethrum or of the roots of plants containing rotenone when used in the production of goods of subheading 1302.19. A change to subheading 1302.11 through 1302.32 from any other chapter, except from concentrates of poppy straw of subheading 2939.11. 1302.39 A change to carrageenan of subheading 1302.39 from within that subheading or any other chapter, provided the non-originating materials of subheading 1302.39 do not exceed 50 percent by weight of the good; or A change to any other good of subheading 1302.39 from any other chapter, except from concentrates of poppy straw of subheading 2939.11. Chapter 14 Vegetable Plaiting Materials; Vegetable Products Not Elsewhere Specified or Included 14.01-14.04 A change to heading 14.01 through 14.04 from any other chapter. Section III - Animal or Vegetable Fats and Oils and Their Cleavage Products; Prepared Edible Fats;</w:t>
      </w:r>
    </w:p>
    <w:p>
      <w:pPr>
        <w:pStyle w:val="Normal"/>
        <w:widowControl/>
        <w:rPr/>
      </w:pPr>
      <w:r>
        <w:rPr/>
        <w:t>Animal or Vegetable Waxes (Chapter 15) Chapter 15 Animal or Vegetable Fats and Oils and Their Cleavage Products; Prepared Edible Fats; Animal or Vegetable Waxes 15.01-15.18 A change to heading 15.01 through 15.18 from any other chapter, except from heading 38.23. A change to heading 15.20 from any other heading, except from heading 38.23.</w:t>
      </w:r>
    </w:p>
    <w:p>
      <w:pPr>
        <w:pStyle w:val="Normal"/>
        <w:widowControl/>
        <w:rPr/>
      </w:pPr>
      <w:r>
        <w:rPr/>
        <w:t>15.21-15.22 A change to heading 15.21 through 15.22 from any other chapter. 4-B-7 15.20 17.04 Section IV - Prepared Foodstuffs; Beverages, Spirits and Vinegar; Tobacco and Manufactured Tobacco Substitutes (Chapter 16-24) Chapter 16 Preparations of Meat, of Fish or of Crustaceans, Molluscs or Other Aquatic Invertebrates 16.01-16.05 A change to heading 16.01 through 16.05 from any other chapter. Chapter 17 Sugars and Sugar Confectionery 17.01-17.03 A change to heading 17.01 through 17.03 from any other chapter. A change to heading 17.04 from any other heading. Chapter 18 Cocoa and Cocoa Preparations 18.01-18.05 A change to heading 18.01 through 18.05 from any other chapter. 1806.10 1806.10.aa A change to tariff item 1806.10.aa from any other heading 1806.10 A change to subheading 1806.10 from any other heading, provided that the non-originating sugar of Chapter 17 constitutes no more than 35 percent by weight of the sugar and the non-originating cocoa powder of heading 18.05 constitutes no more than 35 percent by weight of the cocoa powder. 1806.20 A change to subheading 1806.20 from any other heading.</w:t>
      </w:r>
    </w:p>
    <w:p>
      <w:pPr>
        <w:pStyle w:val="Normal"/>
        <w:widowControl/>
        <w:rPr/>
      </w:pPr>
      <w:r>
        <w:rPr/>
        <w:t>1806.31-1806.90 A change to subheading 1806.31 through 1806.90 from any other subheading, including another subheading within that group. Chapter 19 Preparations of Cereals, Flour, Starch or Milk; Pastrycooks’ Products 1901.10 1901.10.aa A change to tariff item 1901.10.aa from any other chapter, except from Chapter 4.</w:t>
      </w:r>
    </w:p>
    <w:p>
      <w:pPr>
        <w:pStyle w:val="Normal"/>
        <w:widowControl/>
        <w:rPr/>
      </w:pPr>
      <w:r>
        <w:rPr/>
        <w:t>1901.10 A change to subheading 1901.10 from any other chapter. 1901.20 4-B-8 19.05 1901.20.aa A change to tariff item 1901.20.aa from any other chapter, except from Chapter 4. 1901.20 A change to subheading 1901.20 from any other chapter. 1901.90 1901.90.aa A change to tariff item 1901.90.aa from any other chapter, except from Chapter 4. 1901.90 A change to subheading 1901.90 from any other chapter. 19.02-19.03 A change to heading 19.02 through 19.03 from any other chapter. 1904.10 A change to subheading 1904.10 from any other chapter. 1904.20 A change to subheading 1904.20 from any other subheading, except from Chapter 20. 1904.30-1904.90 A change to subheading 1904.30 through 1904.90 from any other chapter. A change to heading 19.05 from any other chapter. Chapter 20 Preparations of Vegetables, Fruit, Nuts or Other Parts of Plants Note:</w:t>
      </w:r>
    </w:p>
    <w:p>
      <w:pPr>
        <w:pStyle w:val="Normal"/>
        <w:widowControl/>
        <w:rPr/>
      </w:pPr>
      <w:r>
        <w:rPr/>
        <w:t>Fruit, nut and vegetable preparations of Chapter 20 that have been prepared or preserved merely by freezing, by packing (including canning) in water, brine or natural juices, or by roasting, either dry or in oil (including processing incidental to freezing, packing, or roasting), shall be treated as an originating good only if the fresh good were wholly produced or obtained entirely in the territory of one or more of the Parties.</w:t>
      </w:r>
    </w:p>
    <w:p>
      <w:pPr>
        <w:pStyle w:val="Normal"/>
        <w:widowControl/>
        <w:rPr/>
      </w:pPr>
      <w:r>
        <w:rPr/>
        <w:t>20.01-20.07 Note 1: Notwithstanding subparagraph (k) of Annex 4-A (Exceptions to Article 4.12 (De Minimis)), paragraph 1 of Article 4.12 (De Minimis), does not apply to non-originating bamboo shoots of subheading 2005.91 used in the production of mixtures of vegetables of subheading 2005.99. Note 2: Notwithstanding sub-paragraph (k) of Annex 4-A (Exceptions to Article 4.12 (De Minimis)), paragraph 1 of Article 4.12 (De Minimis) applies to non- originating truffles of subheading 2003.90 used in the production of mixtures of mushrooms and truffles of subheading 2003.90. 4-B-9 A change to heading 20.01 through 20.07 from any other chapter. 2008.11 A change to subheading 2008.11 from any other heading, except from heading 12.02. 2008.19-2008.99 Note: Fruit preparations of subheading 2008.19 through 2008.99 that contain peaches, pears, or apricots, either alone or mixed with other fruits shall be treated as originating only if the peaches, pears, or apricots were wholly obtained or produced entirely in the territory of one or more of the Parties. A change to subheading 2008.19 through 2008.99 from any other chapter. 2009.11-2009.39 A change to subheading 2009.11 through 2009.39 from any other chapter, except from heading 08.05. 2009.41-2009.89 A change to subheading 2009.41 through 2009.89 from any other chapter.</w:t>
      </w:r>
    </w:p>
    <w:p>
      <w:pPr>
        <w:pStyle w:val="Normal"/>
        <w:widowControl/>
        <w:rPr/>
      </w:pPr>
      <w:r>
        <w:rPr/>
        <w:t>2009.90 A change to subheading 2009.90 from any other chapter; A change to cranberry juice mixtures of subheading 2009.90 from any other subheading within Chapter 20, except from subheading 2009.11 through 2009.39 or cranberry juice of subheading 2009.80, whether or not there is also a change from any other chapter, provided there is a regional value content of not less than: (a) 60 percent where the transaction value method is used; or (b) 50 percent where the net cost method is used; or a change to any other good of subheading 2009.90 from any other subheading within Chapter 20, whether or not there is also a change from any other chapter, provided that a single juice ingredient, or juice ingredients from a single non-Party, constitute in single strength form no more than 60 percent by volume of the good. Chapter 21 Miscellaneous Edible Preparations 21.01 2101.11.aa A change to tariff item 2101.11.aa from any other chapter, provided that the non-originating coffee of Chapter 9 constitutes no more than 60 percent by weight of the good.</w:t>
      </w:r>
    </w:p>
    <w:p>
      <w:pPr>
        <w:pStyle w:val="Normal"/>
        <w:widowControl/>
        <w:rPr/>
      </w:pPr>
      <w:r>
        <w:rPr/>
        <w:t>4-B-10 21.01 A change to heading 21.01 from any other chapter. 21.02 A change to heading 21.02 from any other chapter. 2103.10 A change to subheading 2103.10 from any other chapter. 2103.20 2103.20.aa A change to tariff item 2103.20.aa from any other chapter, except from subheading 2002.90. 2103.20 A change to subheading 2103.20 from any other chapter. 2103.30 A change to subheading 2103.30 from any other chapter.</w:t>
      </w:r>
    </w:p>
    <w:p>
      <w:pPr>
        <w:pStyle w:val="Normal"/>
        <w:widowControl/>
        <w:rPr/>
      </w:pPr>
      <w:r>
        <w:rPr/>
        <w:t>2103.90 A change to subheading 2103.90 from any other subheading. 21.04 A change to heading 21.04 from any other chapter. 21.05 A change to heading 21.05 from any other heading, except from Chapter 4 or tariff item 1901.90.aa. 21.06 2106.90.bb A change to tariff item 2106.90.bb from any other chapter, except from heading 08.05 or 20.09 or tariff item 2202.90.aa. 2106.90.cc A change to tariff item 2106.90.cc from any other chapter, except from heading 20.09 or tariff item 2202.90.bb; or A change to tariff item 2106.90.cc from any other subheading within Chapter 21, heading 20.09, or tariff item 2202.90.bb, whether or not there is also a change from any other chapter, provided that a single juice ingredient, or juice ingredients from a single non-Party, constitute in single strength form no more than 60 percent by volume of the good. 2106.90.dd A change to tariff items 2106.90.dd from any other chapter, except from Chapter 4 or tariff item 1901.90.aa. 2106.90.ee A change to tariff item 2106.90.ee from any other tariff item, except from heading 22.03 through 22.09.</w:t>
      </w:r>
    </w:p>
    <w:p>
      <w:pPr>
        <w:pStyle w:val="Normal"/>
        <w:widowControl/>
        <w:rPr/>
      </w:pPr>
      <w:r>
        <w:rPr/>
        <w:t>21.06 A change to heading 21.06 from any other chapter. 4-B-11 Chapter 22 Beverages, Spirits and Vinegar 22.01 A change to heading 22.01 from any other chapter. 2202.10 A change to subheading 2202.10 from any other chapter. 2202.90 2202.90.aa A change to tariff item 2202.90.aa from any other chapter, except from heading 08.05 or 20.09 or tariff item 2106.90.bb.</w:t>
      </w:r>
    </w:p>
    <w:p>
      <w:pPr>
        <w:pStyle w:val="Normal"/>
        <w:widowControl/>
        <w:rPr/>
      </w:pPr>
      <w:r>
        <w:rPr/>
        <w:t>2202.90.bb A change to tariff item 2202.90.bb from any other chapter, except from heading 20.09 or tariff item 2106.90.cc; or A change to tariff item 2202.90.bb from any other subheading within Chapter 22, heading 20.09, or tariff item 2106.90.cc, whether or not there is also a change from any other chapter, provided that a single juice ingredient, or juice ingredients from a single non-Party, constitute in single strength form no more than 60 percent by volume of the good. 2202.90.cc A change to tariff item 2202.90.cc from any other chapter, except from Chapter 4 or tariff item 1901.90.aa. 2202.90 A change to subheading 2202.90 from any other chapter. 22.03-22.07 A change to heading 22.03 through 22.07 from any heading outside that group, except from tariff item 2106.90.ee or heading 22.08 through 22.09. 2208.20 A change to subheading 2208.20 from any other heading, except from tariff item 2106.90.ee or heading 22.03 through 22.07 or 22.09.</w:t>
      </w:r>
    </w:p>
    <w:p>
      <w:pPr>
        <w:pStyle w:val="Normal"/>
        <w:widowControl/>
        <w:rPr/>
      </w:pPr>
      <w:r>
        <w:rPr/>
        <w:t>2208.30-2208.70 No required change in tariff classification to subheading 2208.30 through 2208.70, provided that the non-originating alcoholic ingredients constitute no more than 10 percent of the alcoholic content of the good by volume. 2208.90 A change to subheading 2208.90 from any other heading, except from tariff item 2106.90.ee or heading 22.03 through 22.07 or 22.09. 22.09 A change to heading 22.09 from any other heading, except from tariff item 2106.90.ee or heading 22.03 through 22.08.</w:t>
      </w:r>
    </w:p>
    <w:p>
      <w:pPr>
        <w:pStyle w:val="Normal"/>
        <w:widowControl/>
        <w:rPr/>
      </w:pPr>
      <w:r>
        <w:rPr/>
        <w:t>4-B-12 Chapter 23 Residues and Waste From the Food Industries; Prepared Animal Fodder 23.01-23.08 A change to heading 23.01 through 23.08 from any other chapter. 2309.10 A change to subheading 2309.10 from any other heading. 2309.90 2309.90.aa A change to tariff item 2309.90.aa from any other heading, except from Chapter 4 or tariff item 1901.90.aa. 2309.90 A change to subheading 2309.90 from any other heading. Chapter 24 Tobacco and Manufactured Tobacco Substitutes 24.01-24.03 A change to heading 24.01 through 24.03 from tariff item 2401.10.aa, 2401.20.aa, or 2403.91.aa or any other chapter. Section V - Mineral Products (Chapter 25-27) Chapter 25 Salt; Sulphur; Earths and Stone; Plastering Materials, Lime and Cement 25.01-25.30 A change to heading 25.01 through 25.30 from any other chapter. Chapter 26 Ores, Slag and Ash 26.01-26.21 A change to heading 26.01 through 26.21 from any other heading, including another heading within that group. Chapter 27 Mineral Fuels, Mineral Oils and Products of Their Distillation; Bituminous Substances; Mineral Waxes Note 1:</w:t>
      </w:r>
    </w:p>
    <w:p>
      <w:pPr>
        <w:pStyle w:val="Normal"/>
        <w:widowControl/>
        <w:rPr/>
      </w:pPr>
      <w:r>
        <w:rPr/>
        <w:t>Notwithstanding the applicable product-specific rules of origin, a good of chapter 27 that is the product of a chemical reaction is an originating good if the chemical reaction occurred in the territory of one or more of the Parties.</w:t>
      </w:r>
    </w:p>
    <w:p>
      <w:pPr>
        <w:pStyle w:val="Normal"/>
        <w:widowControl/>
        <w:rPr/>
      </w:pPr>
      <w:r>
        <w:rPr/>
        <w:t>For the purposes of this rule, a “chemical reaction” is a process (including a biochemical process) that results in a molecule with a new structure by breaking intramolecular bonds and by forming new intramolecular bonds, or by altering the spatial arrangement of atoms in a molecule. The following are not chemical reactions: (a) dissolving in water or other solvents; 4-B-13 (b) the elimination of solvents, including solvent water; or (c) the addition or elimination of water of crystallisation. Note 2: For the purposes of heading 27.10, the following processes confer origin: (a) Atmospheric distillation: A separation process in which petroleum oils are converted, in a distillation tower, into fractions according to boiling point and the vapor then condensed into different liquefied fractions. Liquefied petroleum gas, naphtha, gasoline, kerosene, diesel/heating oil, light gas oils, and lubricating oil are produced from petroleum distillation; (b) Vacuum distillation: Distillation at a pressure below atmospheric but not so low that it would be classed as molecular distillation. Vacuum distillation is useful for distilling high-boiling and heat- sensitive materials such as heavy distillates in petroleum oils to produce light to heavy vacuum gas oils and residuum.</w:t>
      </w:r>
    </w:p>
    <w:p>
      <w:pPr>
        <w:pStyle w:val="Normal"/>
        <w:widowControl/>
        <w:rPr/>
      </w:pPr>
      <w:r>
        <w:rPr/>
        <w:t>In some refineries gas oils may be further processed into lubricating oils; (c) Catalytic hydroprocessing: The cracking or treating of petroleum oils with hydrogen at high temperature and under pressure, in the presence of special catalysts. Catalytic hydroprocessing includes hydrocracking and hydrotreating; (d) Reforming (catalytic reforming): The rearrangement of molecules in a naphtha boiling range material to form higher octane aromatics (i.e., improved antiknock quality at the expense of gasoline yield). A main product is catalytic reformate, a blend component for gasoline. Hydrogen is another by-product; (e) Alkylation: A process whereby a high-octane blending component for gasolines is derived from catalytic combination of an isoparaffin and an olefin; (f) Cracking: A refining process involving decomposition and molecular recombination of organic compounds, especially hydrocarbons obtained by means of heat, to form molecules suitable for motor fuels, monomers, petrochemicals, etc.; (i) Thermal cracking: Exposes the distillate to temperatures of approximately 540-650C (1000-1200F) for varying periods 4-B-14 of time.</w:t>
      </w:r>
    </w:p>
    <w:p>
      <w:pPr>
        <w:pStyle w:val="Normal"/>
        <w:widowControl/>
        <w:rPr/>
      </w:pPr>
      <w:r>
        <w:rPr/>
        <w:t>Process produces modest yields of gasoline and higher yields of residual products for fuel oil blending, or (ii) Catalytic cracking: Hydrocarbon vapors are passed at approximately 400C (750F) over a metallic catalyst (e.g., silica-alumina or platinum); the complex recombinations (alkylation, polymerization, isomerization, etc.) occur within seconds to yield high-octane gasoline. Process yields less residual oils and light gases than thermal cracking; (g) Coking: A thermal cracking process for the conversion of heavy low grade products, such as reduced crude, straight run pitch, cracked tars, and shale oil into solid coke (carbon) and lower boiling hydrocarbon products which are suitable as feed for other refinery units for conversion into lighter products; and (h) Isomerization: The refinery process of converting petroleum compounds into their isomers. Note 3: For the purposes of heading 27.10, “direct blending” is a refinery process whereby various petroleum streams from processing units and petroleum components from holding/storage tanks combine to create a finished product, with pre-determined parameters, classified under heading 27.10, provided that the non-originating material constitutes no more than 25 percent by volume of the good.</w:t>
      </w:r>
    </w:p>
    <w:p>
      <w:pPr>
        <w:pStyle w:val="Normal"/>
        <w:widowControl/>
        <w:rPr/>
      </w:pPr>
      <w:r>
        <w:rPr/>
        <w:t>Note 4: For the purposes of determining whether or not a good of heading 27.09 is an originating good, the origin of diluent of heading 27.09 or 27.10 that is used to facilitate the transportation between Parties of crude petroleum oils and crude oils obtained from bituminous minerals of heading 27.09 is disregarded, provided that the diluent constitutes no more than 40 percent by volume of the good. 27.01-27.03 A change to heading 27.01 through 27.03 from any other chapter. A change to heading 27.04 from any other heading. 27.05-27.06 A change to heading 27.05 through 27.06 from any other heading, including another heading within that group. 2707.10-2707.91 A change to subheading 2707.10 through 2707. 91 from any other heading; or 4-B-15 27.04 27.10 A change to subheading 2707.10 through 2707. 91 from any other subheading within heading 27.07, whether or not there is also a change from any other heading, provided that the good resulting from such change is the product of a chemical reaction.</w:t>
      </w:r>
    </w:p>
    <w:p>
      <w:pPr>
        <w:pStyle w:val="Normal"/>
        <w:widowControl/>
        <w:rPr/>
      </w:pPr>
      <w:r>
        <w:rPr/>
        <w:t>2707.99 A change to subheading 2707.99 from any other heading; A change to phenols of subheading 2707.99 from within that subheading or any other subheading within heading 27.07, whether or not there is also a change from any other heading, provided that the good resulting from such change is the product of a chemical reaction; or A change to any other good of subheading 2707.99 from phenols of that subheading or any other subheading within heading 27.07, whether or not there is also a change from any other heading, provided that the good resulting from such change is the product of a chemical reaction. 27.08-27.09 A change to heading 27.08 through 27.09 from any other heading, including another heading within that group. Note: Notwithstanding sub-paragraph (k) of Annex 4-A (Exceptions to Article 4.12 (De Minimis)) paragraph 1 of Article 4.12 (De Minimis) applies to: (a) non-originating light oils and preparations of subheading 2710.20 when used in the production of other goods of subheading 2710.20; and (b) non-originating other oils of subheading 2710.20 when used in the production of light oils or preparations of subheading 2710.20.</w:t>
      </w:r>
    </w:p>
    <w:p>
      <w:pPr>
        <w:pStyle w:val="Normal"/>
        <w:widowControl/>
        <w:rPr/>
      </w:pPr>
      <w:r>
        <w:rPr/>
        <w:t>A change to heading 27.10 from any other heading, except from heading 27.11 through 27.15; Production of any good of heading 27.10 as the result of atmospheric distillation, vacuum distillation, catalytic hydroprocessing, catalytic reforming, alkylation, catalytic cracking, thermal cracking, coking or isomerization; or Production of any good of heading 27.10 as the result of direct blending, provided that: (i) the non-originating material is classified in Chapter 27, 4-B-16 (ii) no component of that non-originating material is classified under heading 22.07, and (iii) the non-originating material constitutes no more than 25 percent by volume of the good. 2711.11 A change to a good of subheading 2711.11 from within that subheading or any other subheading, provided that the non-originating feedstock of subheading 2711.11 constitutes no more than 49 percent by volume of the good. 2711.12-2711.14 A change to a good of subheading 2711.12 through 2711.14 from within that subheading or any other subheading, including another subheading within that group, provided that the non-originating feedstock of subheading 2711.12 through 2711.14 constitutes no more than 49 percent by volume of the good.</w:t>
      </w:r>
    </w:p>
    <w:p>
      <w:pPr>
        <w:pStyle w:val="Normal"/>
        <w:widowControl/>
        <w:rPr/>
      </w:pPr>
      <w:r>
        <w:rPr/>
        <w:t>2711.19 A change to subheading 2711.19 from any other subheading, except from subheading 2711.29. 2711.21 A change to subheading 2711.21 from any other subheading. 2711.29 A change to subheading 2711.29 from any other subheading, except from subheading 2711.12 through 2711.21.</w:t>
      </w:r>
    </w:p>
    <w:p>
      <w:pPr>
        <w:pStyle w:val="Normal"/>
        <w:widowControl/>
        <w:rPr/>
      </w:pPr>
      <w:r>
        <w:rPr/>
        <w:t>27.12 A change to heading 27.12 from any other heading. 2713.11-2713.12 A change to subheading 2713.11 through 2713.12 from any other heading. 2713.20 A change to a good of subheading 2713.20 from any other good within that subheading or any other subheading, provided that the non-originating feedstock of subheading 2713.20 constitutes no more than 49 percent by volume of the good. 2713.90 A change to subheading 2713.90 from any other heading, except from heading 27.10 through 27.12, subheading 2713.11 through 2713.20 or heading 27.14 through 27.15. 27.14 A change to heading 27.14 from any other heading. 27.15 A change to heading 27.15 from subheading 2713.20 or heading 27.14. any other heading, except from 4-B-17 27.16 A change to heading 27.16 from any other heading. Section VI - Products of the Chemical or Allied Industries (Chapter 28-38) Note 1: A good of any chapter or heading in Section VI that satisfies one or more of Rules 1 through 8 of this Section shall be treated as an originating good, except as otherwise specified in those rules. Note 2:</w:t>
      </w:r>
    </w:p>
    <w:p>
      <w:pPr>
        <w:pStyle w:val="Normal"/>
        <w:widowControl/>
        <w:rPr/>
      </w:pPr>
      <w:r>
        <w:rPr/>
        <w:t>Notwithstanding Note 1, a good is an originating good if it meets the applicable change in tariff classification or satisfies the applicable value content requirement specified in the rules of origin in this Section.</w:t>
      </w:r>
    </w:p>
    <w:p>
      <w:pPr>
        <w:pStyle w:val="Normal"/>
        <w:widowControl/>
        <w:rPr/>
      </w:pPr>
      <w:r>
        <w:rPr/>
        <w:t>Rule 1: Chemical Reaction Rule A good of Chapter 28 through 38, except a good of heading 33.01 or 38.23, or subheading 2916.32 or 3502.11 through 3502.19, that results from a chemical reaction in the territory of one or more of the Parties shall be treated as an originating good. For the purposes of this rule, a “chemical reaction” is a process (including a biochemical process) that results in a molecule with a new structure by breaking intramolecular bonds and by forming new intramolecular bonds, or by altering the spatial arrangement of atoms in a molecule. The following are not considered to be chemical reactions for the purposes of determining whether a good is an originating good: (a) dissolution in water or in another solvent; (b) the elimination of solvents, including solvent water; or (c) the addition or elimination of water of crystallisation.</w:t>
      </w:r>
    </w:p>
    <w:p>
      <w:pPr>
        <w:pStyle w:val="Normal"/>
        <w:widowControl/>
        <w:rPr/>
      </w:pPr>
      <w:r>
        <w:rPr/>
        <w:t>Rule 2: Purification Rule A good of Chapter 28 through 38, except for a good of heading 33.01 or subheading 3502.11 through 3502.19, that is subject to purification is an originating good, provided that the purification occurs in the territory of one or more of the Parties and results in the following: (a) the elimination of not less than 80 percent of the content of existing impurities; or (b) the reduction or elimination of impurities resulting in a good suitable for one or more of the following: (i) as a pharmaceutical, medical, cosmetic, veterinary, or food grade substance, 4-B-18 (ii) as a chemical product or reagent for analytical, diagnostic, or laboratory uses, (iii) as an element or component for use in micro-elements, (iv) for specialized optical uses, (v) for non-toxic uses for health and safety; (vi) for biotechnical use (e.g. in cell culturing, in genetic technology, or as a catalyst), (vii) as a carrier used in a separation process, or (viii) for nuclear grade uses.</w:t>
      </w:r>
    </w:p>
    <w:p>
      <w:pPr>
        <w:pStyle w:val="Normal"/>
        <w:widowControl/>
        <w:rPr/>
      </w:pPr>
      <w:r>
        <w:rPr/>
        <w:t>Rule 3: Mixtures and Blends Rule A good of Chapter 28 through 38, except for a good of Chapter 28, 29, or 32, heading 33.01 or 38.08, or subheading 3502.11 through 3502.19 is an originating good if the deliberate and proportionally controlled mixing or blending (including dispersing) of materials other than the addition of diluents, to conform to predetermined specifications occurs in the territory of one or more of the Parties, resulting in the production of a good having essential physical or chemical characteristics that are relevant to the purposes or uses of the good and are different from the input materials. Rule 4:</w:t>
      </w:r>
    </w:p>
    <w:p>
      <w:pPr>
        <w:pStyle w:val="Normal"/>
        <w:widowControl/>
        <w:rPr/>
      </w:pPr>
      <w:r>
        <w:rPr/>
        <w:t>Change in Particle Size Rule A good of Chapter 28 through 38, except for a good of Chapter 28, 29, 32, or 38, heading 33.01, or subheading 3502.11 through 3502.19, is an originating good if the deliberate and controlled modification in particle size of a good, including micronizing by dissolving a polymer and subsequent precipitation, other than by merely crushing or pressing, occurs in the territory of one or more of the Parties, resulting in a good with a defined particle size, defined particle size distribution, or defined surface area, that is relevant to the purposes of the resulting good, and having essential physical or chemical characteristics different from the input materials.</w:t>
      </w:r>
    </w:p>
    <w:p>
      <w:pPr>
        <w:pStyle w:val="Normal"/>
        <w:widowControl/>
        <w:rPr/>
      </w:pPr>
      <w:r>
        <w:rPr/>
        <w:t>Rule 5: Standards Materials Rule A standards material of Chapter 28 through 38, except for a good of heading 33.01, or subheading 3502.11 through 3502.19 is an originating good if it is produced in the territory of one or more of the Parties. 4-B-19 For the purposes of this rule, a “standards material” (including a standard solution) is a preparation suitable for analytical, calibrating, or referencing uses, having precise degrees of purity or proportions that are certified by the manufacturer. Rule 6: Isomer Separation Rule A good of Chapter 28 through 38, except for a good of heading 33.01, or subheading 3502.11 through 3502.19 is an originating good if the isolation or separation of isomers from mixtures of isomers occurs in the territory of one or more of the Parties. Rule 7:</w:t>
      </w:r>
    </w:p>
    <w:p>
      <w:pPr>
        <w:pStyle w:val="Normal"/>
        <w:widowControl/>
        <w:rPr/>
      </w:pPr>
      <w:r>
        <w:rPr/>
        <w:t>Separation Prohibition Rule A good of Chapter 28 through 38, except for a good of heading 33.01, or subheading 3502.11 through 3502.19, that undergoes a change from one classification to another in the territory of one or more of the Parties as a result of the separation of one or more materials from a man- made mixture, shall not be treated as an originating good unless the isolated material underwent a chemical reaction in the territory of one or more of the Parties.</w:t>
      </w:r>
    </w:p>
    <w:p>
      <w:pPr>
        <w:pStyle w:val="Normal"/>
        <w:widowControl/>
        <w:rPr/>
      </w:pPr>
      <w:r>
        <w:rPr/>
        <w:t>Rule 8: Biotechnological Processes Rule A good of Chapter 28 through 38, except for a good of heading 29.30 through 29.42, Chapter 30, heading 33.01, or subheading 3502.11 through 3502.19, is an originating good if it undergoes a biochemical process or one or more of the following processes: (a) Biological or biotechnological culturing, hybridization or genetic modification of: (i) Micro-organisms (bacteria, viruses (includes phages) etc.), or (ii) Human, animal or plant cells; (b) Production, isolation, or purification of cellular or intercellular structures (such as isolated genes, gene fragments, and plasmids); or (c) Products obtained by fermentation. Chapter 28 Inorganic Chemicals; Organic or Inorganic Compounds of Precious Metals, of Rare-Earth Metals, of Radioactive Elements or of Isotopes 2801.10-2853.00 A change to subheading 2801.10 through 2853.00 from any other subheading, including another heading within that group; or No required change in tariff classification to subheading 2801.10 through 2853.00, provided there is a regional value content of not less than: 4-B-20 30.04 (a) 40 percent where the transaction value method is used; or (b) 30 percent where the net cost method is used.</w:t>
      </w:r>
    </w:p>
    <w:p>
      <w:pPr>
        <w:pStyle w:val="Normal"/>
        <w:widowControl/>
        <w:rPr/>
      </w:pPr>
      <w:r>
        <w:rPr/>
        <w:t>Chapter 29 Organic Chemicals 2901.10-2942.00 A change to subheading 2901.10 through 2942.00 from any other subheading, including another subheading within that group; or No required change in tariff classification to subheading 2901.10 through 2942.00, except for a good of subheading 2916.32 whether or not there is also a change from any other subheading, provided there is a regional value content of not less than: (a) 40 percent where the transaction value method is used; or (b) 30 percent where the net cost method is used. Chapter 30 Pharmaceutical Products 3001.20-3003.90 A change to subheading 3001.20 through 3003.90 from any other subheading, including another subheading within that group. A change to heading 30.04 from any other heading, except from heading 30.03; or No required change in tariff classification to heading 30.04, provided there is a regional value content of not less than: (a) 60 percent where the transaction value method is used; or (b) 50 percent where the net cost method is used.</w:t>
      </w:r>
    </w:p>
    <w:p>
      <w:pPr>
        <w:pStyle w:val="Normal"/>
        <w:widowControl/>
        <w:rPr/>
      </w:pPr>
      <w:r>
        <w:rPr/>
        <w:t>3005.10-3005.90 A change to subheading 3005.10 through 3005.90 from any other heading; or No required change in tariff classification to subheading 3005.10 through 3005.90, provided there is a regional value content of not less than: (a) 60 percent where the transaction value method is used; or (b) 50 percent where the net cost method is used.</w:t>
      </w:r>
    </w:p>
    <w:p>
      <w:pPr>
        <w:pStyle w:val="Normal"/>
        <w:widowControl/>
        <w:rPr/>
      </w:pPr>
      <w:r>
        <w:rPr/>
        <w:t>4-B-21 3006.10-3006.50 A change to subheading 3006.10 through 3006.50 from any other subheading, including another subheading within that group. 3006.60 A change to subheading 3006.60 from any other heading; or No required change in tariff classification to subheading 3006.60, provided there is a regional value content of not less than: (a) 60 percent where the transaction value is used; or (b) 50 percent where the net cost method is used. 3006.70 A change to subheading 3006.70 from any other chapter, except from Chapter 28 through 38; or No required change in tariff classification to subheading 3006.70, provided there is a regional value content of not less than: (a) 60 percent where the transaction value method is used; or (b) 50 percent where the net cost method is used. 3006.91-3006.92 A change to subheading 3006.91 through 3006.92 from any other subheading, including another subheading within that group. Chapter 31 Fertilizers 3101.00-3105.90 A change to subheading 3101.00 through 3105.90 from any other good within these subheadings or any other subheading, including another subheading within that group.</w:t>
      </w:r>
    </w:p>
    <w:p>
      <w:pPr>
        <w:pStyle w:val="Normal"/>
        <w:widowControl/>
        <w:rPr/>
      </w:pPr>
      <w:r>
        <w:rPr/>
        <w:t>Chapter 32 Tanning or Dyeing Extracts; Tannins and Their Derivatives; Dyes, Pigments and Other Colouring Matter; Paints and Varnishes; Putty and Other Mastics; Inks Note: Pigments or coloring materials classified under heading 32.06 or 32.12 shall be disregarded in determining the origin of the goods classified under heading 32.07 through 32.15, except for any such pigments or materials based on titanium dioxide. 3201.10-3202.90 A change to subheading 3201.10 through 3202.90 from any other subheading, including another subheading within that group. A change to heading 32.03 from any other heading. 4-B-22 32.03 3204.11-3204.90 A change to subheading 3204.11 through 3204.90 from any other subheading, including another subheading within that group. 3205.00 A change to subheading 3205.00 from any other subheading; or No required change in tariff classification to subheading 3205.00, provided there is a regional value content of not less than: (a) 40 percent where the transaction value method is used; or (b) 30 percent where the net cost method is used. 3206.11-3206.42 A change to subheading 3206.11 through 3206.42 from any other subheading, including another subheading within that group.</w:t>
      </w:r>
    </w:p>
    <w:p>
      <w:pPr>
        <w:pStyle w:val="Normal"/>
        <w:widowControl/>
        <w:rPr/>
      </w:pPr>
      <w:r>
        <w:rPr/>
        <w:t>3206.49 A change to pigments or preparations based on cadmium compounds of subheading 3206.49 from any other good of subheading 3206.49 or any other subheading; A change to pigments and preparations based on hexacyanoferrates (ferrocyanides and ferricyanides) of subheading 3206.49 from any other good of subheading 3206.49 or any other subheading; or A change to any other good of subheading 3206.49 from any other subheading. 3206.50 A change to subheading 3206.50 from any other subheading. 32.07-32.15 A change to heading 32.07 through 32.15 from any other chapter. Chapter 33 Essential Oils and Resinoids; Perfumery, Cosmetic, or Toilet Preparations 3301.12-3301.13 A change to subheading 3301.12 through 3301.13 from any other chapter; or No required change in tariff classification to subheading 3301.12 through 3301.13 provided there is a regional value content of not less than: (a) 60 percent where the transaction value method is used; or (b) 50 percent where the net cost method is used. 4-B-23 3301.19 A change to essential oils of bergamot or lime of subheading 3301.19 from any other good of subheading 3301.19 or any other subheading;</w:t>
      </w:r>
    </w:p>
    <w:p>
      <w:pPr>
        <w:pStyle w:val="Normal"/>
        <w:widowControl/>
        <w:rPr/>
      </w:pPr>
      <w:r>
        <w:rPr/>
        <w:t>A change to any other good of subheading 3301.19 from any other chapter; or No required change in tariff classification to subheading 3301.19 provided there is a regional value content of not less than: (a) 60 percent where the transaction value method is used; or (b) 50 percent where the net cost method is used.</w:t>
      </w:r>
    </w:p>
    <w:p>
      <w:pPr>
        <w:pStyle w:val="Normal"/>
        <w:widowControl/>
        <w:rPr/>
      </w:pPr>
      <w:r>
        <w:rPr/>
        <w:t>3301.24-3301.25 A change to subheading 3301.24 through 3301.25 from any other subheading, including another subheading within that group. 3301.29 A change to essential oils of geranium, jasmine, lavender, lavandin, or vetiver of subheading 3301.29 from any other good of subheading 3301.29 or any other subheading; A change to any other good of subheading 3301.29 from any other chapter; or No required change in tariff classification to subheading 3301.29, whether or not there is also a change from any other chapter, provided there is a regional value content of not less than: (a) 60 percent where the transaction value method is used; or (b) 50 percent where the net cost method is used. 3301.30-3301.90 A change to subheading 3301.30 through 3301.90 from any other chapter; or No required change in tariff classification to subheading 3301.30 through 3301.90, provided there is a regional value content of not less than: (a) 60 percent where the transaction value method is used; or (b) 50 percent where the net cost method is used.</w:t>
      </w:r>
    </w:p>
    <w:p>
      <w:pPr>
        <w:pStyle w:val="Normal"/>
        <w:widowControl/>
        <w:rPr/>
      </w:pPr>
      <w:r>
        <w:rPr/>
        <w:t>33.02 – 33.03 A change to heading 33.02 through 33.03 from any other heading. 4-B-24 3304.10-3305.90 A change to subheading 3304.10 through 3305.90 from any other subheading, including another subheading within that group. 33.06-33.07 A change to heading 33.06 through 33.07 from any other heading.</w:t>
      </w:r>
    </w:p>
    <w:p>
      <w:pPr>
        <w:pStyle w:val="Normal"/>
        <w:widowControl/>
        <w:rPr/>
      </w:pPr>
      <w:r>
        <w:rPr/>
        <w:t>Chapter 34 Soap, Organic Surface-active Agents, Washing Preparations, Lubricating Preparations, Artificial Waxes, Prepared Waxes, Polishing or Scouring Preparations, Candles and Similar Articles, Modelling Pastes, “Dental Waxes” and Dental Preparations with a Basis of Plaster 34.01 A change to heading 34.01 from any other heading. 3402.11-3404.90 A change to subheading 3402.11 through 3404.90 from any other subheading, including another subheading within that group; or No required change in tariff classification to subheading 3402.11 through 3404.90, provided there is a regional value content of not less than: (a) 60 percent where the transaction value method is used; or (b) 50 percent where the net cost method is used. 34.05-34.07 A change to heading 34.05 through 34.07 from any other heading, including another heading within that group. Chapter 35 Albuminoidal Substances; Modified Starches; Glues; Enzymes 35.01 A change to heading 35.01 from any other heading; or No required change in tariff classification to heading 35.01, provided there is a regional value content of not less than: (a) 65 percent where the transaction value method is used; or (b) 50 percent where the net cost method is used. 3502.11-3502.19 A change to subheading 3502.11 through 3502.19 from any other heading.</w:t>
      </w:r>
    </w:p>
    <w:p>
      <w:pPr>
        <w:pStyle w:val="Normal"/>
        <w:widowControl/>
        <w:rPr/>
      </w:pPr>
      <w:r>
        <w:rPr/>
        <w:t>3502.20-3502.90 A change to subheading 3502.20 through 3502.90 from any other heading; or No required change in tariff classification to subheading 3502.20 through 3502.90, provided there is a regional value content of not less than: 4-B-25 (a) 65 percent where the transaction value method is used; or (b) 50 percent where the net cost method is used. 3503.00-3507.90 A change to subheading 3503.00 through 3507.90 from any other subheading, including another subheading within that group; or No required change in tariff classification to subheading 3503.00 through 3507.90, provided there is a regional value content of not less than: (a) 40 percent where the transaction value method is used; or (b) 30 percent where the net cost method is used. Chapter 36 Explosives; Pyrotechnic Products; Matches; Pyrophoric Alloys; Certain Combustible Preparations 36.01-36.06 A change to heading 36.01 through 36.06 from any other heading, including another heading within that group. Chapter 37 Photographic or Cinematographic Goods 37.01-37.03 A change to heading 37.01 through 37.03 from any heading outside that group. 37.04- 37.07 A change to heading 37.04 through 37.07 from any other heading, including another heading within that group.</w:t>
      </w:r>
    </w:p>
    <w:p>
      <w:pPr>
        <w:pStyle w:val="Normal"/>
        <w:widowControl/>
        <w:rPr/>
      </w:pPr>
      <w:r>
        <w:rPr/>
        <w:t>Chapter 38 Miscellaneous Chemical Products 3801.10-3807.00 A change to subheading 3801.10 through 3807.00 from any other subheading, including another subheading within that group; or No required change in tariff classification to subheading 3801.10 through 3807.00, provided there is a regional value content of not less than: (a) 40 percent where the transaction value method is used; or (b) 30 percent where the net cost method is used. 3808.50-3808.99 A change to subheading 3808.50 through 3808.99 from any other subheading, including another subheading within that group, provided that not less than 50 percent by weight of the total active ingredient or ingredients is originating. 4-B-26 3809.10-3821.00 A change to subheading 3809.10 through 3821.00 from any other subheading, including another subheading within that group; or No required change in tariff classification to subheading 3809.10 through 3821.00, provided there is a regional value content of not less than: (a) 40 percent where the transaction value method is used; or (b) 30 percent where the net cost method is used. 38.22 A change to heading 38.22 from any other heading.</w:t>
      </w:r>
    </w:p>
    <w:p>
      <w:pPr>
        <w:pStyle w:val="Normal"/>
        <w:widowControl/>
        <w:rPr/>
      </w:pPr>
      <w:r>
        <w:rPr/>
        <w:t>3823.11-3826.00 A change to subheading 3823.11 through 3826.00 from any other subheading, including another subheading within that group; or No required change in tariff classification to subheading 3823.11 through 3826.00, provided there is a regional value content of not less than: (a) 40 percent where the transaction value method is used; or (b) 30 percent where the net cost method is used. Section VII - Plastics and Articles Thereof; Rubber and Articles Thereof (Chapter 39-40) Notes to Section VII: Note 1: A good of any chapter or heading in Section VII that satisfies one or more of Rules 1 through 7 of this Section shall be treated as an originating good, except as otherwise specified in those rules. Note 2: Notwithstanding Note 1, a good is an originating good if it meets the applicable change in tariff classification or satisfies the applicable value content requirement specified in the rules of origin in this Section. Rule 1:</w:t>
      </w:r>
    </w:p>
    <w:p>
      <w:pPr>
        <w:pStyle w:val="Normal"/>
        <w:widowControl/>
        <w:rPr/>
      </w:pPr>
      <w:r>
        <w:rPr/>
        <w:t>Chemical Reaction Rule A good of Chapter 39 through 40 that results from a chemical reaction in the territory of one or more of the Parties shall be treated as an originating good. For the purposes of this rule, a “chemical reaction” is a process (including a biochemical process) that results in a molecule with a new structure by breaking intramolecular bonds and by forming new intramolecular bonds, or by altering the spatial arrangement of atoms in a molecule.</w:t>
      </w:r>
    </w:p>
    <w:p>
      <w:pPr>
        <w:pStyle w:val="Normal"/>
        <w:widowControl/>
        <w:rPr/>
      </w:pPr>
      <w:r>
        <w:rPr/>
        <w:t>4-B-27 The following are not considered to be chemical reactions for the purposes of determining whether a good is an originating good: (a) dissolution in water or in another solvent; (b) the elimination of solvents, including solvent water; or (c) the addition or elimination of water of crystallization. Rule 2: Purification Rule A good of Chapter 39 through 40 that is subject to purification is an originating good, provided that the purification occurs in the territory of one or more of the Parties and results in the following: (a) the elimination of not less than 80 percent of the content of existing impurities; or (b) the reduction or elimination of impurities resulting in a good suitable for one or more of the following: (i) as a pharmaceutical, medical, cosmetic, veterinary, or food grade substance, (ii) as a chemical product or reagent for analytical, diagnostic, or laboratory uses, (iii) as an element or component for use in micro-elements, (iv) for specialized optical uses, (v) for non-toxic uses for health and safety, (vi) for biotechnical use (e.g., in cell culturing, in genetic technology, or as a catalyst), (vii) as a carrier used in a separation process, or (viii) for nuclear grade uses.</w:t>
      </w:r>
    </w:p>
    <w:p>
      <w:pPr>
        <w:pStyle w:val="Normal"/>
        <w:widowControl/>
        <w:rPr/>
      </w:pPr>
      <w:r>
        <w:rPr/>
        <w:t>Rule 3: Mixtures and Blends Rule A good of Chapter 39 is an originating good if the deliberate and proportionally-controlled mixing or blending (including dispersing) of materials, other than the addition of diluents, to 4-B-28 conform to predetermined specifications occurs in the territory of one or more of the Parties, resulting in the production of a good having essential physical or chemical characteristics that are relevant to the purposes or uses of the good and are different from the input materials. Rule 4: Change in Particle Size Rule A good of Chapter 39 is an originating good if the deliberate and controlled modification in particle size of a good, including micronizing by dissolving a polymer and subsequent precipitation, other than by merely crushing or pressing, occurs in the territory of one or more of the Parties, resulting in a good with a defined particle size, defined particle size distribution, or defined surface area, that is relevant to the purposes of the resulting good, and having essential physical or chemical characteristics different from the input materials. Rule 5:</w:t>
      </w:r>
    </w:p>
    <w:p>
      <w:pPr>
        <w:pStyle w:val="Normal"/>
        <w:widowControl/>
        <w:rPr/>
      </w:pPr>
      <w:r>
        <w:rPr/>
        <w:t>Standards Materials Rule A standards material of Chapter 39 is an originating good if it is produced in the territory of one or more of the Parties.</w:t>
      </w:r>
    </w:p>
    <w:p>
      <w:pPr>
        <w:pStyle w:val="Normal"/>
        <w:widowControl/>
        <w:rPr/>
      </w:pPr>
      <w:r>
        <w:rPr/>
        <w:t>For the purposes of this rule, a “standards material” (including a standard solution) is a preparation suitable for analytical, calibrating, or referencing uses, having precise degrees of purity or proportions that are certified by the manufacturer. Rule 6: Isomer Separation Rule A good of Chapter 39 is an originating good if the isolation or separation of isomers from mixtures of isomers occurs in the territory of one or more of the Parties. Rule 7: Biotechnological Processes Rule A good of Chapter 39 is an originating good if it undergoes a biochemical process or through one or more of the following processes: (a) Biological or biotechnological culturing, hybridization, or genetic modification of: (i) Micro-organisms (bacteria, viruses (includes phages) etc.), or (ii) Human, animal or plant cells; (b) Production, isolation or purification of cellular or intercellular structures (such as isolated genes, gene fragments and plasmids); or (c) Fermentation.</w:t>
      </w:r>
    </w:p>
    <w:p>
      <w:pPr>
        <w:pStyle w:val="Normal"/>
        <w:widowControl/>
        <w:rPr/>
      </w:pPr>
      <w:r>
        <w:rPr/>
        <w:t>4-B-29 Chapter 39 Plastics and Articles Thereof 39.01-39.15 A change to heading 39.01 through 39.15 from any other heading, including another heading within that group, provided that the originating polymer content of heading 39.01 through 39.15 is not less than 50 percent by weight of the total polymer content. 39.16-39.26 A change to heading 39.15 through 39.26 from any other heading, including another heading within that group.</w:t>
      </w:r>
    </w:p>
    <w:p>
      <w:pPr>
        <w:pStyle w:val="Normal"/>
        <w:widowControl/>
        <w:rPr/>
      </w:pPr>
      <w:r>
        <w:rPr/>
        <w:t>Chapter 40 Rubber and Articles Thereof 4001.10-4002.99 A change to subheading 4001.10 through 4002.99 from any other subheading, including another subheading within that group. 40.03-40.04 A change to heading 40.03 through 40.04 from any other heading, including another heading within that group. 40.05-40.06 A change to heading 40.05 through 40.06 from any other heading, including another heading within that group, except from heading 40.01; or A change to heading 40.05 through 40.06 from heading 40.01, whether or not there is also a change from any other heading, including another heading within that group, provided there is a regional value content of not less than: (a) 35 percent where the transaction value method is used; or (b) 25 percent where the net cost method is used. 40.07-40.08 A change to heading 40.07 through 40.08 from any heading outside that group. 4009.111 A change to subheading 4009.11 from any other heading, except from heading 40.10 through 40.17.</w:t>
      </w:r>
    </w:p>
    <w:p>
      <w:pPr>
        <w:pStyle w:val="Normal"/>
        <w:widowControl/>
        <w:rPr/>
      </w:pPr>
      <w:r>
        <w:rPr/>
        <w:t>4009.122 A change to tubes, pipes, or hoses of subheading 4009.12, of a kind for use in a motor vehicle of tariff item 8702.10.bb or 8702.90.bb, subheading 1 If the good is for use in a vehicle of Chapter 87, the provisions of the Appendix to this Annex apply. 2 If the good is for use in a vehicle of Chapter 87, the provisions of the Appendix to this Annex apply.</w:t>
      </w:r>
    </w:p>
    <w:p>
      <w:pPr>
        <w:pStyle w:val="Normal"/>
        <w:widowControl/>
        <w:rPr/>
      </w:pPr>
      <w:r>
        <w:rPr/>
        <w:t>4-B-30 8703.21 through 8703.90, 8704.21 or 8704.31, or heading 87.11, from any other heading, except from heading 40.10 through 40.17; A change to tubes, pipes or hoses of subheading 4009.12, of a kind for use in a motor vehicle of tariff item 8702.10.bb or 8702.90.bb, subheading 8703.21 through 8703.90, 8704.21 or 8704.31, or heading 87.11, from subheading 4009.11 through 4017.00, whether or not there is also a change from any other heading, provided there is a regional value content of not less than: (a) 60 percent where the transaction value method is used, or (b) 50 percent where the net cost method is used; or A change to tubes, pipes or hoses of subheading 4009.12, other than those of a kind for use in a motor vehicle of tariff item 8702.10.bb or 8702.90.bb, subheading 8703.21 through 8703.90, 8704.21 or 8704.31, or heading 87.11, from any other heading, except from heading 40.10 through 40.17. 4009.213 A change to subheading 4009.21 from any other heading, except from heading 40.10 through 40.17.</w:t>
      </w:r>
    </w:p>
    <w:p>
      <w:pPr>
        <w:pStyle w:val="Normal"/>
        <w:widowControl/>
        <w:rPr/>
      </w:pPr>
      <w:r>
        <w:rPr/>
        <w:t>4009.224 A change to tubes, pipes, or hoses of subheading 4009.22, of a kind for use in a motor vehicle of tariff item 8702.10.bb or 8702.90.bb, subheading 8703.21 through 8703.90, 8704.21 or 8704.31, or heading 87.11, from any other heading, except from heading 40.10 through 40.17; A change to tubes, pipes, or hoses of subheading 4009.22, of a kind for use in a motor vehicle of tariff item 8702.10.bb or 8702.90.bb, subheading 8703.21 through 8703.90, 8704.21 or 8704.31, or heading 87.11, from subheading 4009.11 through 4017.00, whether or not there is also a change from any other heading, provided there is a regional value content of not less than: (a) 60 percent where the transaction value method is used; or (b) 50 percent where the net cost method is used. 3 If the good is for use in a vehicle of Chapter 87, the provisions of the Appendix to this Annex apply. 4 If the good is for use in a vehicle of Chapter 87, the provisions of the Appendix to this Annex apply.</w:t>
      </w:r>
    </w:p>
    <w:p>
      <w:pPr>
        <w:pStyle w:val="Normal"/>
        <w:widowControl/>
        <w:rPr/>
      </w:pPr>
      <w:r>
        <w:rPr/>
        <w:t>4-B-31 A change to tubes, pipes, or hoses of subheading 4009.22, other than those of a kind for use in a motor vehicle of tariff item 8702.10.bb or 8702.90.bb, subheading 8703.21 through 8703.90, 8704.21 or 8704.31, or heading 87.11, from any other heading, except from heading 40.10 through 40.17. 4009.315 A change to subheading 4009.31 from any other heading, except from heading 40.10 through 40.17.</w:t>
      </w:r>
    </w:p>
    <w:p>
      <w:pPr>
        <w:pStyle w:val="Normal"/>
        <w:widowControl/>
        <w:rPr/>
      </w:pPr>
      <w:r>
        <w:rPr/>
        <w:t>4009.326 A change to tubes, pipes, or hoses of subheading 4009.32, of a kind for use in a motor vehicle of tariff item 8702.10.bb or 8702.90.bb, subheading 8703.21 through 8703.90, 8704.21 or 8704.31, or heading 87.11, from any other heading, except from heading 40.10 through 40.17; A change to tubes, pipes, or hoses of subheading 4009.32, of a kind for use in a motor vehicle of tariff item 8702.10.bb or 8702.90.bb, subheading 8703.21 through 8703.90, 8704.21 or 8704.31, or heading 87.11, from subheading 4009.11 through 4017.00, whether or not there is also a change from any other heading, provided there is a regional value content of not less than: (a) 60 percent where the transaction value method is used; or (b) 50 percent where the net cost method is used; or A change to tubes, pipes, or hoses of subheading 4009.32, other than those of a kind for use in a motor vehicle of tariff item 8702.10.bb or 8702.90.bb, subheading 8703.21 through 8703.90, 8704.21 or 8704.31, or heading 87.11, from any other heading, except from heading 40.10 through 40.17.</w:t>
      </w:r>
    </w:p>
    <w:p>
      <w:pPr>
        <w:pStyle w:val="Normal"/>
        <w:widowControl/>
        <w:rPr/>
      </w:pPr>
      <w:r>
        <w:rPr/>
        <w:t>4009.417 A change to subheading 4009.41 from any other heading, except from heading 40.10 through 40.17. 4009.428 A change to tubes, pipes, or hoses of subheading 4009.42, of a kind for use in a motor vehicle of tariff item 8702.10.bb or 8702.90.bb, subheading 5 If the good is for use in a vehicle of Chapter 87, the provisions of the Appendix to this Annex apply.</w:t>
      </w:r>
    </w:p>
    <w:p>
      <w:pPr>
        <w:pStyle w:val="Normal"/>
        <w:widowControl/>
        <w:rPr/>
      </w:pPr>
      <w:r>
        <w:rPr/>
        <w:t>6 If the good is for use in a vehicle of Chapter 87, the provisions of the Appendix to this Annex apply. 7 If the good is for use in a vehicle of Chapter 87, the provisions of the Appendix to this Annex apply. 8 If the good is for use in a vehicle of Chapter 87, the provisions of the Appendix to this Annex apply. 4-B-32 8703.21 through 8703.90, 8704.21 or 8704.31, or heading 87.11, from any other heading, except from heading 40.10 through 40.17; A change to tubes, pipes or hoses of subheading 4009.42, of a kind for use in a motor vehicle of tariff item 8702.10.bb or 8702.90.bb, subheading 8703.21 through 8703.90, 8704.21 or 8704.31, or heading 87.11, from subheading 4009.11 through 4017.00, whether or not there is also a change from any other heading, provided there is a regional value content of not less than:</w:t>
      </w:r>
    </w:p>
    <w:p>
      <w:pPr>
        <w:pStyle w:val="Normal"/>
        <w:widowControl/>
        <w:rPr/>
      </w:pPr>
      <w:r>
        <w:rPr/>
        <w:t>(a) 60 percent where the transaction value method is used; or (b) 50 percent where the net cost method is used; or A change to tubes, pipes or hoses of subheading 4009.42, other than those of a kind for use in a motor vehicle of tariff item 8702.10.bb or 8702.90.bb, subheading 8703.21 through 8703.90, 8704.21 or 8704.31, or heading 87.11, from any other heading, except from heading 40.10 through 40.17. 40.10-40.119 A change to heading 40.10 through 40.11 from any other heading, except from heading 40.09 through 40.17. 4012.11-4012.19 A change to subheading 4012.11 through 4012.19 from any subheading outside that group.</w:t>
      </w:r>
    </w:p>
    <w:p>
      <w:pPr>
        <w:pStyle w:val="Normal"/>
        <w:widowControl/>
        <w:rPr/>
      </w:pPr>
      <w:r>
        <w:rPr/>
        <w:t>4012.20-4012.90 A change to subheading 4012.20 through 4012.90 from any other heading. 40.13-40.15 A change to heading 40.13 through 40.15 from any other heading, including another heading within that group. 4016.10-4016.9510 A change to subheading 4016.10 through 4016.95 from any other heading. 4016.9911 4016.99.aa A change to tariff item 4016.99.aa from any other heading; or 9 If the good is for use in a vehicle of Chapter 87, the provisions of the Appendix to this Annex apply. 10 If the good is for use in a vehicle of Chapter 87, the provisions of the Appendix to this Annex apply. 11 If the good is for use in a vehicle of Chapter 87, the provisions of the Appendix to this Annex apply. 4-B-33 A change to tariff item 4016.99.aa from any other subheading, provided there is a regional value content of not less than 50 percent under the net cost method. 4016.99 A change to subheading 4016.99 from any other heading. 40.17 A change to heading 40.17 from any other heading.</w:t>
      </w:r>
    </w:p>
    <w:p>
      <w:pPr>
        <w:pStyle w:val="Normal"/>
        <w:widowControl/>
        <w:rPr/>
      </w:pPr>
      <w:r>
        <w:rPr/>
        <w:t>Section VIII - Raw Hides and Skins, Leather, Furskins and Articles Thereof; Saddlery and Harness; Travel Goods, Handbags and Similar Containers; Articles of Animal Gut (Other Than Silk-worm Gut) (Chapter 41-43) Chapter 41 Raw Hides and Skins (Other Than Furskins) and Leather 41.01 A change to hides or skins of heading 41.01 which have undergone a tanning (including pre-tanning) process which is reversible from any other good of heading 41.01 or any other chapter; or A change to any other good of heading 41.01 from any other chapter. 41.02 A change to hides or skins of heading 41.02 which have undergone a tanning (including pre-tanning) process which is reversible from any other good of heading 41.02 or any other chapter; or A change to any other good of heading 41.02 from any other chapter. 41.03 A change to hides or skins of heading 41.03, except hides or skins of camels or dromedaries of heading 41.03, which have undergone a tanning (including pre-tanning) process which is reversible from any other good of heading 41.03 or any other chapter;</w:t>
      </w:r>
    </w:p>
    <w:p>
      <w:pPr>
        <w:pStyle w:val="Normal"/>
        <w:widowControl/>
        <w:rPr/>
      </w:pPr>
      <w:r>
        <w:rPr/>
        <w:t>A change to hides or skins of camels or dromedaries of heading 41.03 from any other chapter, except from Chapter 43; or A change to any other good of heading 41.03 from any other chapter. 41.04 A change to heading 41.04 from any other heading, except from 41.07. 4105.10 A change to subheading 4105.10 from heading 41.02 or any other chapter.</w:t>
      </w:r>
    </w:p>
    <w:p>
      <w:pPr>
        <w:pStyle w:val="Normal"/>
        <w:widowControl/>
        <w:rPr/>
      </w:pPr>
      <w:r>
        <w:rPr/>
        <w:t>4105.30 A change to subheading 4105.30 from heading 41.02, subheading 4105.10 or any other chapter. 4-B-34 4106.21 A change to subheading 4106.21 from subheading 4103.10 or any other chapter. 4106.22 A change to subheading 4106.22 from subheading 4103.10 or 4106.21 or any other chapter. 4106.31 A change to subheading 4106.31 from subheading 4103.30 or any other chapter. 4106.32 A change to subheading 4106.32 from subheading 4103.30 or 4106.31 or any other chapter. 4106.40 A change to tanned hides and skins in the wet state (including wet-blue) of subheading 4106.40 from subheading 4103.20 or any other chapter; or A change to crust hides and skins of subheading 4106.40 from subheading 4103.20 or tanned hides and skins in the wet state (including wet-blue) of subheading 4106.40 or any other chapter. 4106.91 A change to subheading 4106.91 from subheading 4103.90 or any other chapter. 4106.92 A change to subheading 4106.92 from subheading 4103.90 or 4106.91 or any other chapter. 41.07 A change to heading 41.07 from heading 41.01 or any other chapter.</w:t>
      </w:r>
    </w:p>
    <w:p>
      <w:pPr>
        <w:pStyle w:val="Normal"/>
        <w:widowControl/>
        <w:rPr/>
      </w:pPr>
      <w:r>
        <w:rPr/>
        <w:t>41.12 A change to heading 41.12 from heading 41.02, subheading 4105.10 or any other chapter. 41.13 A change to heading 41.13 from heading 41.03, subheading 4106.21 or 4106.31, tanned hides and skins in the wet state (including wet-blue) of subheading 4106.40, subheading 4106.91 or any other chapter.</w:t>
      </w:r>
    </w:p>
    <w:p>
      <w:pPr>
        <w:pStyle w:val="Normal"/>
        <w:widowControl/>
        <w:rPr/>
      </w:pPr>
      <w:r>
        <w:rPr/>
        <w:t>41.14 A change to heading 41.14 from heading 41.01 through 41.03, subheading 4105.10, 4106.21, 4106.31 or 4106.91 or any other chapter. 4115.10-4115.20 A change to subheading 4115.10 through 4115.20 from heading 41.01 through 41.03 or any other chapter. Chapter 42 Articles of Leather; Saddlery and Harness; Travel Goods, Handbags and Similar Containers; Articles of Animal Gut (Other Than Silk-Worm Gut) A change to heading 42.01 from any other chapter. 4-B-35 42.01 4202.11 A change to subheading 4202.11 from any other chapter. 4202.12 A change to subheading 4202.12 from any other chapter, except from heading 54.07, 54.08 or 55.12 through 55.16, or fabric of man-made fibers of subheading 5903.10, fabric of man-made fibers of subheading 5903.20, fabric of man-made fibers of subheading 5903.90, fabric of man-made fibers of subheading 5906.99 or fabric of man-made fibers of subheading 5907.00. 4202.19-4202.21 A change to subheading 4202.19 through 4202.21 from any other chapter.</w:t>
      </w:r>
    </w:p>
    <w:p>
      <w:pPr>
        <w:pStyle w:val="Normal"/>
        <w:widowControl/>
        <w:rPr/>
      </w:pPr>
      <w:r>
        <w:rPr/>
        <w:t>4202.22 A change to subheading 4202.22 from any other chapter, except from heading 54.07, 54.08 or 55.12 through 55.16, or fabric of man-made fibers of subheading 5903.10, fabric of man-made fibers of subheading 5903.20, fabric of man-made fibers of subheading 5903.90, fabric of man-made fibers of subheading 5906.99 or fabric of man-made fibers of subheading 5907.00. 4202.29-4202.31 A change to subheading 4202.29 through 4202.31 from any other chapter.</w:t>
      </w:r>
    </w:p>
    <w:p>
      <w:pPr>
        <w:pStyle w:val="Normal"/>
        <w:widowControl/>
        <w:rPr/>
      </w:pPr>
      <w:r>
        <w:rPr/>
        <w:t>4202.32 A change to subheading 4202.32 from any other chapter, except from heading 54.07, 54.08 or 55.12 through 55.16, or fabric of man-made fibers of subheading 5903.10, fabric of man-made fibers of subheading 5903.20, fabric of man-made fibers of subheading 5903.90, fabric of man-made fibers of subheading 5906.99 or fabric of man-made fibers of subheading 5907.00. 4202.39-4202.91 A change to subheading 4202.39 through 4202.91 from any other chapter. 4202.92 A change to subheading 4202.92 from any other chapter, except from heading 54.07, 54.08 or 55.12 through 55.16, or fabric of man-made fibers of subheading 5903.10, fabric of man-made fibers of subheading 5903.20, fabric of man-made fibers of subheading 5903.90, fabric of man-made fibers of subheading 5906.99 or fabric of man-made fibers of subheading 5907.00. 4202.99 A change to subheading 4202.99 from any other chapter. 42.03-42.06 A change to heading 42.03 through 42.06 from any other chapter. Chapter 43 Furskins and Artificial Fur; Manufactures Thereof A change to heading 43.01 from any other chapter. 4-B-36 43.01 43.02 A change to heading 43.02 from any other heading. 43.03-43.04 A change to heading 43.03 through 43.04 from any heading outside that group.</w:t>
      </w:r>
    </w:p>
    <w:p>
      <w:pPr>
        <w:pStyle w:val="Normal"/>
        <w:widowControl/>
        <w:rPr/>
      </w:pPr>
      <w:r>
        <w:rPr/>
        <w:t>Section IX - Wood and Articles of Wood; Wood Charcoal; Cork and Articles of Cork; Manufactures of Straw, of Esparto, or of Other Plaiting Materials; Basketware and Wickerwork (Chapter 44-46) Chapter 44 Wood and Articles of Wood; Wood Charcoal 44.01-44.21 A change to heading 44.01 through 44.21 from any other heading, including another heading within that group. Chapter 45 Cork and Articles of Cork 45.01-45.02 A change to heading 45.01 through 45.02 from any other heading, including another heading within that group. 4503.10 A change to a good of subheading 4503.10 from any other good within that subheading or any other subheading. 4503.90 A change to subheading 4503.90 from any other heading. 45.04 A change to heading 45.04 from any other heading. Chapter 46 Manufactures of Straw, of Esparto or of Other Plaiting Materials; Basketware and Wickerwork 46.01 A change to heading 46.01 from any other chapter. 46.02 A change to heading 46.02 from any other heading. Section X - Pulp of Wood or of other Fibrous Cellulosic Material; Waste and Scrap of Paper or Paperboard;</w:t>
      </w:r>
    </w:p>
    <w:p>
      <w:pPr>
        <w:pStyle w:val="Normal"/>
        <w:widowControl/>
        <w:rPr/>
      </w:pPr>
      <w:r>
        <w:rPr/>
        <w:t>Paper and Paperboard and Articles Thereof (Chapter 47-49) Chapter 47 Pulp of Wood or of Other Fibrous Cellulosic Material; Waste and Scrap of Paper or Paperboard 47.01-47.07 A change to heading 47.01 through 47.07 from any other chapter. 4-B-37 Chapter 48 Paper and Paperboard; Articles of Paper Pulp, of Paper or of Paperboard 48.01 A change to heading 48.01 from any other chapter.</w:t>
      </w:r>
    </w:p>
    <w:p>
      <w:pPr>
        <w:pStyle w:val="Normal"/>
        <w:widowControl/>
        <w:rPr/>
      </w:pPr>
      <w:r>
        <w:rPr/>
        <w:t>48.02 A change to paper or paperboard in strips or rolls of a width not exceeding 15 cm of heading 48.02 from strips or rolls of a width exceeding 15 cm of heading 48.02 or any other heading, except from heading 48.17 through 48.23; A change to paper or paperboard in rectangular (including square) sheets with the larger dimension not exceeding 36 cm or the other dimension not exceeding 15 cm in the unfolded state of heading 48.02 from strips or rolls of a width exceeding 15 cm of heading 48.02, paper or paperboard in rectangular (including square) sheets with the larger dimension exceeding 36 cm and the other dimension exceeding 15 cm in the unfolded state of heading 48.02 or from any other heading, except from heading 48.17 through 48.23; or A change to any other good of heading 48.02 from any other chapter. 48.03-48.07 A change to heading 48.03 through 48.07 from any other chapter. 48.08-48.09 A change to heading 48.08 through 48.09 from any heading outside that group.</w:t>
      </w:r>
    </w:p>
    <w:p>
      <w:pPr>
        <w:pStyle w:val="Normal"/>
        <w:widowControl/>
        <w:rPr/>
      </w:pPr>
      <w:r>
        <w:rPr/>
        <w:t>48.10 A change to paper or paperboard in strips or rolls of a width not exceeding 15 cm of heading 48.10 from strips or rolls of a width exceeding 15 cm of heading 48.10, or from any other heading, except from heading 48.17 through 48.23; A change to paper or paperboard in rectangular (including square) sheets with the larger dimension not exceeding 36 cm or the other dimension not exceeding 15 cm in the unfolded state of heading 48.10 from strips or rolls of a width exceeding 15 cm of heading 48.10, paper or paperboard in rectangular (including square) sheets with the larger dimension exceeding 36 cm and the other dimension exceeding 15 cm in the unfolded state of heading 48.10, or from any other heading, except from heading 48.17 through 48.23; or A change to any other good of heading 48.10 from any other chapter.</w:t>
      </w:r>
    </w:p>
    <w:p>
      <w:pPr>
        <w:pStyle w:val="Normal"/>
        <w:widowControl/>
        <w:rPr/>
      </w:pPr>
      <w:r>
        <w:rPr/>
        <w:t>48.11 A change to paper or paperboard in strips or rolls of a width not exceeding 15cm of heading 48.11 from strips or rolls of a width exceeding 15 cm of heading 48.11, floor coverings on a base of paper or paperboard of 4-B-38 heading 48.11, or from any other heading, except from heading 48.17 through 48.23; A change to paper or paperboard in rectangular (including square) sheets with the larger dimension not exceeding 36 cm or the other dimension not exceeding 15 cm in the unfolded state of heading 48.11 from strips or rolls of a width exceeding 15 cm of heading 48.11, paper or paperboard in rectangular (including square) sheets with the larger dimension exceeding 36 cm and the other dimension exceeding 15 cm in the unfolded state of heading 48.11, floor coverings on a base of paper or paperboard of heading 48.11 or any other heading, except from heading 48.17 through 48.23;</w:t>
      </w:r>
    </w:p>
    <w:p>
      <w:pPr>
        <w:pStyle w:val="Normal"/>
        <w:widowControl/>
        <w:rPr/>
      </w:pPr>
      <w:r>
        <w:rPr/>
        <w:t>A change to floor coverings on a base of paper or paperboard of heading 48.11 from any other good of heading 48.11 or any other heading, except from heading 48.14 or floor coverings on a base of paper or paperboard of subheading 4823.90; or A change to any other good of heading 48.11 from floor coverings on a base of paper or paperboard of heading 48.11 or any other chapter. 48.12-48.13 A change to heading 48.12 through 48.13 from any other chapter. 48.14 A change to heading 48.14 from any other heading, except from floor coverings on a base of paper or paperboard of heading 48.11.</w:t>
      </w:r>
    </w:p>
    <w:p>
      <w:pPr>
        <w:pStyle w:val="Normal"/>
        <w:widowControl/>
        <w:rPr/>
      </w:pPr>
      <w:r>
        <w:rPr/>
        <w:t>48.16 A change to heading 48.16 from any other heading, except from heading 48.09. 48.17-48.22 A change to heading 48.17 through 48.22 from any heading outside that group, except from heading 48.23. 48.23 A change to strips or rolls of a width of 15 cm or less of heading 48.23 from strips or rolls of a width exceeding 15 cm of heading 48.23, other than strips or rolls of heading 48.23 which, but for their width, would be classified in heading 48.03, 48.09 or 48.14, floor coverings on a base of paper or paperboard of heading 48.23, or from any other heading, except from heading 48.17 through 48.22; A change to strips or rolls of a width exceeding 15 cm of heading 48.23 from floor coverings on a base of paper or paperboard of heading 48.23, or any other heading, except from heading 48.17 through 48.22;</w:t>
      </w:r>
    </w:p>
    <w:p>
      <w:pPr>
        <w:pStyle w:val="Normal"/>
        <w:widowControl/>
        <w:rPr/>
      </w:pPr>
      <w:r>
        <w:rPr/>
        <w:t>4-B-39 A change to floor coverings on a base of paper or paperboard of heading 48.23 from any other good of heading 48.23 or any other heading, except from floor coverings on a base of paper or paperboard of heading 48.11 or 48.14; or A change to any other good of heading 48.23 from strip or rolls of a width exceeding 15 cm of heading 48.23, other than strips or rolls of heading 48.23 which but for their width would be classified in heading 48.03, 48.09 or 48.14, floor coverings on a base of paper or paperboard of heading 48.23, from or any other heading, except from strip or rolls of a width exceeding 15 cm but not exceeding 36 cm or paper or paperboard in rectangular</w:t>
      </w:r>
    </w:p>
    <w:p>
      <w:pPr>
        <w:pStyle w:val="Normal"/>
        <w:widowControl/>
        <w:rPr/>
      </w:pPr>
      <w:r>
        <w:rPr/>
        <w:t>(including square) sheets with one side not exceeding 15 cm in the unfolded state of heading 48.02, 48.10 or 48.11, or from heading 48.17 through 48.22. Chapter 49 Printed Books, Newspapers, Pictures and Other Products of the Printing Industry; Manuscripts, Typescripts and Plans 49.01-49.11 A change to heading 49.01 through 49.11 from any other chapter. Section XI - Textiles and Textile Articles (Chapter 50-63) Note 1: The textile and apparel rules are read in conjunction with Chapter 6 (Textile and Apparel Goods). For the purposes of these rules, the term “wholly” means that the good is made entirely or solely of the named material. Note 2: A good classified in Chapter 50 through 63 shall be considered originating, notwithstanding the origin of the following materials, provided that the good otherwise meets the applicable product specific rule: (a) rayon filament, other than lyocell or acetate, of heading 54.03 or 54.05, or (b) rayon fiber, other than lyocell or acetate, of heading 55.02, 55.04, or 55.07. Chapter 50 Silk 50.01-50.03 A change to heading 50.01 through 50.03 from any other chapter.</w:t>
      </w:r>
    </w:p>
    <w:p>
      <w:pPr>
        <w:pStyle w:val="Normal"/>
        <w:widowControl/>
        <w:rPr/>
      </w:pPr>
      <w:r>
        <w:rPr/>
        <w:t>50.04-50.06 A change to heading 50.04 through 50.06 from any heading outside that group. A change to heading 50.07 from any other heading. 4-B-40 50.07 Chapter 51 Wool, Fine or Coarse Animal Hair; Horsehair Yarn and Woven Fabric 51.01-51.05 A change to heading 51.01 through 51.05 from any other chapter.</w:t>
      </w:r>
    </w:p>
    <w:p>
      <w:pPr>
        <w:pStyle w:val="Normal"/>
        <w:widowControl/>
        <w:rPr/>
      </w:pPr>
      <w:r>
        <w:rPr/>
        <w:t>51.06-51.10 A change to heading 51.06 through 51.10 from any heading outside that group. 51.11 A change to heading 51.11 from any heading, except from heading 51.06 through 51.10, 51.12 through 51.13, 52.05 through 52.06, 54.01 through 54.04 or 55.09 through 55.10. 5112.11 For the purposes of trade between Canada and the United States of goods of subheading 5112.11, the following rules of origin apply: A change to woven fabrics (other than tapestry fabrics or upholstery fabrics of a weight not exceeding 140 grams per square meter) of combed fine animal hair of subheading 5112.11 from yarn of combed camel hair or combed cashmere of subheading 5108.20 or any other heading (except from heading 51.06 through 51.07, any other good of heading 51.08, or heading 51.09 through 51.11, 52.05 through 52.06, 54.01 through 54.04, or 55.09 through 55.10); or A change to any other good of subheading 5112.11 from any other heading, except from heading 51.06 through 51.11 or 51.13, 52.05 through 52.06, 54.01 through 54.04 or 55.09 through 55.10.</w:t>
      </w:r>
    </w:p>
    <w:p>
      <w:pPr>
        <w:pStyle w:val="Normal"/>
        <w:widowControl/>
        <w:rPr/>
      </w:pPr>
      <w:r>
        <w:rPr/>
        <w:t>For the purposes of all other trade of subheading 5112.11 the following rule of origin applies: A change to subheading 5112.11 from any other heading, except from heading 51.06 through 51.11 or 51.13, 52.05 through 52.06, 54.01 through 54.04 or 55.09 through 55.10.</w:t>
      </w:r>
    </w:p>
    <w:p>
      <w:pPr>
        <w:pStyle w:val="Normal"/>
        <w:widowControl/>
        <w:rPr/>
      </w:pPr>
      <w:r>
        <w:rPr/>
        <w:t>5112.19 For the purposes of trade between Canada and the United States of goods of subheading 5112.19, the following rules of origin apply: A change to woven fabrics, other than tapestry or upholstery fabrics, of combed fine animal hair of subheading 5112.19 from yarn of combed camel hair or combed cashmere of subheading 5108.20 or any other heading (except from heading 51.06 through 51.07, any other good of heading 51.08 or headings 51.09 through 4-B-41 51.11, 52.05 through 52.06, 54.01 through 54.04 or 55.09 through 55.10); or A change to any other good of subheading 5112.19 from any other heading, except from heading 51.06 through 51.10, 51.11, 51.13, 52.05 through 52.06, 54.01 through 54.04 or 55.09 through 55.10. For the purposes of all other trade of subheading 5112.19 the following rule of origin applies: A change to subheading 5112.19 from any other heading, except from heading 51.06 through 51.11 or 51.13, 52.05 through 52.06, 54.01 through 54.04 or 55.09 through 55.10.</w:t>
      </w:r>
    </w:p>
    <w:p>
      <w:pPr>
        <w:pStyle w:val="Normal"/>
        <w:widowControl/>
        <w:rPr/>
      </w:pPr>
      <w:r>
        <w:rPr/>
        <w:t>5112.20-5112.90 A change to subheading 5112.20 through 5112.90 from any other heading, except from heading 51.06 through 51.11 or 51.13, 52.05 through 52.06, 54.01 through 54.04 or 55.09 through 55.10. 51.13 A change to heading 51.13 from any other heading, except from heading 51.06 through 51.12, 52.05 through 52.06, 54.01 through 54.04 or 55.09 through 55.10.</w:t>
      </w:r>
    </w:p>
    <w:p>
      <w:pPr>
        <w:pStyle w:val="Normal"/>
        <w:widowControl/>
        <w:rPr/>
      </w:pPr>
      <w:r>
        <w:rPr/>
        <w:t>Chapter 52 Cotton 52.01-52.07 A change to heading 52.01 through 52.07 from any other chapter, except from heading 54.01 through 54.05 or 55.01 through 55.07. 52.08-52.12 A change to heading 52.08 through 52.12 from any heading outside that group, except from heading 51.06 through 51.10, 52.05 through 52.06, 54.01 through 54.04 or 55.09 through 55.10. Chapter 53 Other Vegetable Textile Fibers; Paper Yarn and Woven Fabrics of Paper Yarn 53.01-53.05 A change to heading 53.01 through 53.05 from any other chapter. 53.06-53.08 A change to heading 53.06 through 53.08 from any heading outside that group. 53.09-53.11 A change to heading 53.09 through 53.11 from any other heading. Chapter 54 Man-Made Filaments 4-B-42 54.01-54.06 A change to heading 54.01 through 54.06 from any other chapter, except from heading 52.01 through 52.03 or 55.01 through 55.07.</w:t>
      </w:r>
    </w:p>
    <w:p>
      <w:pPr>
        <w:pStyle w:val="Normal"/>
        <w:widowControl/>
        <w:rPr/>
      </w:pPr>
      <w:r>
        <w:rPr/>
        <w:t>54.07 A change to woven fabric of non-textured polyester filaments of subheading 5407.61 from yarns, with a twist of 900 or more turns per meter, wholly of polyesters other than partially oriented measuring no less than 75 decitex but not more than 80 decitex, and having 24 filaments per yarn of subheading 5402.44, 5402.47 or 5402.52, or any other chapter, except from heading 51.06 through 51.10, 52.05 through 52.06 or 55.09 through 55.10. A change to any other good of heading 54.07 from any other chapter, except from heading 51.06 through 51.10, 52.05 through 52.06 or 55.09 through 55.10.</w:t>
      </w:r>
    </w:p>
    <w:p>
      <w:pPr>
        <w:pStyle w:val="Normal"/>
        <w:widowControl/>
        <w:rPr/>
      </w:pPr>
      <w:r>
        <w:rPr/>
        <w:t>54.08 A change to heading 54.08 from any other chapter, except from heading 51.06 through 51.10, 52.05 through 52.06, or 55.09 through 55.10. Chapter 55 Man-Made Staple Fibers 55.01-55.08 A change to heading 55.01 through 55.08 from any other chapter, except from heading 52.01 through 52.03 or 54.01 through 54.05. 5509.11-5509.22 A change to subheading 5509.11 through 5509.22 from any other chapter, except from heading 52.01 through 52.03 or 54.01 through 54.05. 5509.31 For the purposes of trade between Canada and the United States of goods of subheading 5509.31 the following rule of origin applies: A change to subheading 5509.31 from acid-dyeable acrylic tow of subheading 5501.30 or any other chapter, except from heading 52.01 through 52.03 or 54.01 through 54.05. For the purposes of all other trade of subheading 5509.31 the following rule of origin applies: A change to subheading 5509.31 from any other chapter, except from heading 52.01 through 52.03 or 54.01 through 54.05. 5509.32-5509.99 A change to subheading 5509.32 through 5509.99 from any other chapter, except from heading 52.01 through 52.03 or 54.01 through 54.05.</w:t>
      </w:r>
    </w:p>
    <w:p>
      <w:pPr>
        <w:pStyle w:val="Normal"/>
        <w:widowControl/>
        <w:rPr/>
      </w:pPr>
      <w:r>
        <w:rPr/>
        <w:t>4-B-43 55.10-55.11 A change to heading 55.10 through 55.11 from any other chapter, except from heading 52.01 through 52.03 or 54.01 through 54.05. 55.12-55.16 A change to heading 55.12 through 55.16 from any heading outside that group, except from heading 51.06 through 51.10, 52.05 through 52.06, 54.01 through 54.04 or 55.09 through 55.10.</w:t>
      </w:r>
    </w:p>
    <w:p>
      <w:pPr>
        <w:pStyle w:val="Normal"/>
        <w:widowControl/>
        <w:rPr/>
      </w:pPr>
      <w:r>
        <w:rPr/>
        <w:t>Chapter 56 Wadding, Felt, and Nonwovens; Special Yarns; Twine, Cordage, Ropes, and Cables and Articles Thereof 56.01-56.05 A change to heading 56.01 through 56.05 from any other chapter, except from heading 51.06 through 51.13, 52.04 through 52.12, 53.10 through 53.11 or Chapter 54 through 55. 56.06 A change to heading 56.06 from flat yarns of subheading 5402.45 (flat yarns means 7 denier/5 filament, 10 denier/7 filament or 12 denier/5 filament, all of nylon 66, untextured (flat) semi-dull yarns, multifilament, untwisted or with a twist not exceeding 50 turns per meter, of subheading 5402.45) or any other chapter, except from heading 51.06 through 51.13, 52.04 through 52.12, 53.10 through 53.11 or Chapter 54 through 55. A change to any other good of heading 56.06 from any other chapter, except from heading 51.06 through 51.13, 52.04 through 52.12, 53.10 through 53.11, or Chapter 54 through 55. 56.07-56.09 A change to heading 56.07 through 56.09 from any other chapter, except from heading 51.06 through 51.13, 52.04 through 52.12, 53.10 through 53.11 or Chapter 54 through 55.</w:t>
      </w:r>
    </w:p>
    <w:p>
      <w:pPr>
        <w:pStyle w:val="Normal"/>
        <w:widowControl/>
        <w:rPr/>
      </w:pPr>
      <w:r>
        <w:rPr/>
        <w:t>Chapter 57 Carpets and Other Textile Floor Coverings 57.01-57.02 A change to heading 57.01 through 57.02 from any other chapter, except from heading 51.06 through 51.13, 52.04 through 52.12, 53.11, Chapter 54 or heading 55.08 through 55.16.</w:t>
      </w:r>
    </w:p>
    <w:p>
      <w:pPr>
        <w:pStyle w:val="Normal"/>
        <w:widowControl/>
        <w:rPr/>
      </w:pPr>
      <w:r>
        <w:rPr/>
        <w:t>5703.10 A change to subheading 5703.10 from any other chapter, except from heading 51.06 through 51.13, 52.04 through 52.12, 53.11, Chapter 54 or heading 55.08 through 55.16. 5703.20-5703.30 For the purposes of trade between Mexico and the United States of goods of subheading 5703.20 through 5703.30 the following rule of origin applies: 4-B-44 A change to subheading 5703.20 through 5703.30 from any other chapter, except from heading 51.06 through 51.13, 52.04 through 52.12, 53.11, Chapter 54 or 55. For the purposes of all other trade of subheading 5703.20 through 5703.30 the following rule of origin applies: A change to subheading 5703.20 through 5703.30 from any other chapter, except from heading 51.06 through 51.13, 52.04 through 52.12, 53.11, Chapter 54 or heading 55.08 through 55.16. 5703.90 A change to subheading 5703.90 from any other chapter, except from heading 51.06 through 51.13, 52.04 through 52.12, 53.11, Chapter 54 or heading 55.08 through 55.16. 57.04 For the purposes of trade between Mexico and the United States of goods of heading 57.04 the following rule of origin applies:</w:t>
      </w:r>
    </w:p>
    <w:p>
      <w:pPr>
        <w:pStyle w:val="Normal"/>
        <w:widowControl/>
        <w:rPr/>
      </w:pPr>
      <w:r>
        <w:rPr/>
        <w:t>A change to heading 57.04 from any chapter, except from heading 51.06 through 51.13, 52.04 through 52.12, 53.11, or Chapter 54 or 55. For the purposes of all other trade of heading 57.04 the following rule of origin applies: A change to heading 57.04 from any other chapter, except from heading 51.06 through 51.13, 52.04 through 52.12, 53.11, Chapter 54 or heading 55.08 through 55.16.</w:t>
      </w:r>
    </w:p>
    <w:p>
      <w:pPr>
        <w:pStyle w:val="Normal"/>
        <w:widowControl/>
        <w:rPr/>
      </w:pPr>
      <w:r>
        <w:rPr/>
        <w:t>57.05 A change to heading 57.05 from any other chapter, except from heading 51.06 through 51.13, 52.04 through 52.12, 53.11, Chapter 54 or heading 55.08 through 55.16. Chapter 58 Special Woven Fabrics; Tufted Textile Fabrics; Lace; Tapestries; Trimmings; Embroidery 5801.10-5801.33 A change to subheading 5801.10 through 5801.33 from any other chapter, except from heading 51.06 through 51.13, 52.04 through 52.12, 53.10 through 53.11, or Chapter 54 through 55. 5801.36 For the purposes of trade between Canada and the United States of goods of subheading 5801.36 the following rule of origin applies: 4-B-45 A change to subheading 5801.36 from any other chapter, except heading 51.06 through 51.13, 52.04 through 52.12, 53.10 through 53.11, Chapter 54, heading 55.01 through 55.02, subheading 5503.10 through 5503.20 or 5503.40 through 5503.90 or heading 55.04 through 55.16. For the purposes of all other trade of subheading 5801.36 the following rule of origin applies: A change to subheading 5801.36 from any other chapter, except from heading 51.06 through 51.13, 52.04 through 52.12, 53.10 through 53.11, or Chapter 54 through 55.</w:t>
      </w:r>
    </w:p>
    <w:p>
      <w:pPr>
        <w:pStyle w:val="Normal"/>
        <w:widowControl/>
        <w:rPr/>
      </w:pPr>
      <w:r>
        <w:rPr/>
        <w:t>5801.37 For the purposes of trade between Canada and the United States of goods of subheading 5801.37 the following rules of origin apply: A change to warp pile fabrics, cut, of subheading 5801.37 (if such fabrics are fabrics with pile of dry-spun acrylic staple fibers of subheading 5503.30 and dyed in the piece to a single uniform color) from any other chapter, except from heading 51.06 through 51.13, 52.04 through 52.12, 53.10 through 53.11, Chapter 54, heading 55.01 through 55.02, subheading 5503.10 through 5503.20 or 5503.40 through 5503.90 or heading 55.04 through 55.16; or A change to any other good of subheading 5801.37 from any other chapter, except from heading 51.06 through 51.13, 52.04 through 52.12, 53.10 through 53.11, or Chapter 54 through 55. For the purposes of all other trade of subheading 5801.37 the following rule of origin applies: A change to subheading 5801.37 from any other chapter, except from heading 51.06 through 51.13, 52.04 through 52.12, 53.10 through 53.11, or Chapter 54 through 55.</w:t>
      </w:r>
    </w:p>
    <w:p>
      <w:pPr>
        <w:pStyle w:val="Normal"/>
        <w:widowControl/>
        <w:rPr/>
      </w:pPr>
      <w:r>
        <w:rPr/>
        <w:t>5801.90 A change to subheading 5801.90 from any other chapter, except from heading 51.06 through 51.13, 52.04 through 52.12, 53.10 through 53.11, or Chapter 54 through 55. 58.02-58.11 A change to heading 58.02 through 58.11 from any other chapter, except from heading 51.06 through 51.13, 52.04 through 52.12, 53.10 through 53.11, or Chapter 54 through 55.</w:t>
      </w:r>
    </w:p>
    <w:p>
      <w:pPr>
        <w:pStyle w:val="Normal"/>
        <w:widowControl/>
        <w:rPr/>
      </w:pPr>
      <w:r>
        <w:rPr/>
        <w:t>4-B-46 Chapter 59 Impregnated, Coated, Covered, or Laminated Textile Fabrics; Textile Articles of a Kind Suitable For Industrial Use 59.01 A change to heading 59.01 from any other chapter, except from heading 51.11 through 51.13, 52.08 through 52.12, 53.10 through 53.11, 54.07 through 54.08 or 55.12 through 55.16. 59.02 A change to heading 59.02 from any other heading, except from heading 51.06 through 51.13, 52.04 through 52.12, 53.10 through 53.11 or Chapter 54 through 55. 59.03-59.08 A change to heading 59.03 through 59.08 from any other chapter, except from heading 51.11 through 51.13, 52.08 through 52.12, 53.10 through 53.11, 54.07 through 54.08 or 55.12 through 55.16. 59.09 A change to heading 59.09 from any other chapter, except from heading 51.11 through 51.13, 52.08 through 52.12 or 53.10 through 53.11, Chapter 54 or heading 55.12 through 55.16. 59.10 A change to heading 59.10 from any other heading, except from heading 51.06 through 51.13, 52.04 through 52.12, 53.10 through 53.11, or Chapter 54 through 55.</w:t>
      </w:r>
    </w:p>
    <w:p>
      <w:pPr>
        <w:pStyle w:val="Normal"/>
        <w:widowControl/>
        <w:rPr/>
      </w:pPr>
      <w:r>
        <w:rPr/>
        <w:t>59.11 A change to heading 59.11 from any other chapter, except from heading 51.11 through 51.13, 52.08 through 52.12, 53.10 through 53.11, 54.07 through 54.08 or 55.12 through 55.16. Chapter 60 Knitted or Crocheted Fabrics 60.01-60.06 A change to heading 60.01 through 60.06 from any other chapter, except from heading 51.06 through 51.13, Chapter 52, heading 53.10 through 53.11, or Chapter 54 through 55.</w:t>
      </w:r>
    </w:p>
    <w:p>
      <w:pPr>
        <w:pStyle w:val="Normal"/>
        <w:widowControl/>
        <w:rPr/>
      </w:pPr>
      <w:r>
        <w:rPr/>
        <w:t>Chapter 61 Articles of Apparel and Clothing Accessories, Knitted or Crocheted Note 1: For the purposes of determining the origin of a good of this chapter, the rule applicable to that good shall only apply to the component that determines the tariff classification of the good and such component must satisfy the tariff change requirements set out in the rule for that good. Note 2: Effective 18 months from the date of entry into force of the agreement, and notwithstanding Chapter Note 1, a good of this chapter containing fabrics of subheading 5806.20 or heading 60.02 is originating only if such fabrics are 4-B-47 both formed from yarn and finished in the territory of one or more of the Parties. Note 3:</w:t>
      </w:r>
    </w:p>
    <w:p>
      <w:pPr>
        <w:pStyle w:val="Normal"/>
        <w:widowControl/>
        <w:rPr/>
      </w:pPr>
      <w:r>
        <w:rPr/>
        <w:t>Effective 12 months from the date of entry into force of the agreement, and notwithstanding Chapter Note 1, a good of this chapter containing sewing thread of heading 52.04, 54.01 or 55.08, or yarn of heading 54.02 used as sewing thread shall be considered originating only if such sewing thread is both formed and finished in the territory of one or more of the Parties. Note 4: Effective 18 months from the date of entry into force of the agreement, and notwithstanding Chapter Note 1, if a good of this chapter contains a pocket or pockets, the pocket bag fabric must be formed and finished in the territory of one or more of the Parties from yarn wholly formed in one or more of the Parties.</w:t>
      </w:r>
    </w:p>
    <w:p>
      <w:pPr>
        <w:pStyle w:val="Normal"/>
        <w:widowControl/>
        <w:rPr/>
      </w:pPr>
      <w:r>
        <w:rPr/>
        <w:t>61.01-61.02 A change to heading 61.01 through 61.02 from any other chapter, except from heading 51.06 through 51.13, 52.04 through 52.12, 53.10 through 53.11, Chapter 54 or heading 55.08 through 55.16 or 60.01 through 60.06, provided that the good is both cut (or knit to shape) and sewn or otherwise assembled in the territory of one or more of the Parties. 6103.10-6103.22 A change to subheading 6103.10 through 6103.22 from any other chapter, except from heading 51.06 through 51.13, 52.04 through 52.12, 53.10 through 53.11, Chapter 54 or heading 55.08 through 55.16 or 60.01 through 60.06, provided that the good is both cut (or knit to shape) and sewn or otherwise assembled in the territory of one or more of the Parties. 6103.23 For the purposes of trade between Mexico and the United States of goods of subheading 6103.23 the following rules of origin apply:</w:t>
      </w:r>
    </w:p>
    <w:p>
      <w:pPr>
        <w:pStyle w:val="Normal"/>
        <w:widowControl/>
        <w:rPr/>
      </w:pPr>
      <w:r>
        <w:rPr/>
        <w:t>A change to sweaters of subheading 6110.30 classified as part of an ensemble of subheading 6103.23 from any other chapter, except from heading 51.06 through 51.13, 52.04 through 52.12, 53.10 through 53.11, Chapter 54 or 55 or heading 60.01 through 60.06, provided that the good is both cut (or knit to shape) and sewn or otherwise assembled in the territory of one or more of the Parties; or A change to any other good of subheading 6103.23 from any other chapter, except from heading 51.06 through 51.13, 52.04 through 52.12, 53.10 through 53.11, Chapter 54, heading 55.08 through 55.16, or 60.01 through 60.06, provided that the</w:t>
      </w:r>
    </w:p>
    <w:p>
      <w:pPr>
        <w:pStyle w:val="Normal"/>
        <w:widowControl/>
        <w:rPr/>
      </w:pPr>
      <w:r>
        <w:rPr/>
        <w:t>good is both cut (or knit to shape) and sewn or otherwise assembled in the territory of one or more of the Parties. 4-B-48 For the purposes of all other trade of subheading 6103.23 the following rule of origin applies: A change to subheading 6103.23 from any other chapter, except from heading 51.06 through 51.13, 52.04 through 52.12, 53.10 through 53.11, Chapter 54, heading 55.08 through 55.16, or 60.01 through 60.06, provided that the good is both cut (or knit to shape) and sewn or otherwise assembled in the territory of one or more of the Parties. 6103.29-6103.49 A change to subheading 6103.29 through 6103.49 from any other chapter, except from heading 51.06 through 51.13, 52.04 through 52.12, 53.10 through 53.11, Chapter 54 or heading 55.08 through 55.16 or 60.01 through 60.06, provided that the good is both cut (or knit to shape) and sewn or otherwise assembled in the territory of one or more of the Parties.</w:t>
      </w:r>
    </w:p>
    <w:p>
      <w:pPr>
        <w:pStyle w:val="Normal"/>
        <w:widowControl/>
        <w:rPr/>
      </w:pPr>
      <w:r>
        <w:rPr/>
        <w:t>6104.13-6104.22 A change to subheading 6104.13 through 6104.22 from any other chapter, except from heading 51.06 through 51.13, 52.04 through 52.12, 53.10 through 53.11, Chapter 54 or heading 55.08 through 55.16 or 60.01 through 60.06, provided that the good is both cut (or knit to shape) and sewn or otherwise assembled in the territory of one or more of the Parties.</w:t>
      </w:r>
    </w:p>
    <w:p>
      <w:pPr>
        <w:pStyle w:val="Normal"/>
        <w:widowControl/>
        <w:rPr/>
      </w:pPr>
      <w:r>
        <w:rPr/>
        <w:t>6104.23 For the purposes of trade between Mexico and the United States of goods of subheading 6104.23 the following rules of origin apply: A change to sweaters of subheading 6110.30 classified as part of an ensemble of subheading 6104.23 from any other chapter, except from heading 51.06 through 51.13, 52.04 through 52.12, 53.10 through 53.11, Chapter 54 or 55 or heading 60.01 through 60.06, provided that the good is both cut (or knit to shape) and sewn or otherwise assembled in the territory of one or more of the Parties; or A change to any other good of subheading 6104.23 from any other chapter, except from heading 51.06 through 51.13, 52.04 through 52.12, 53.10 through 53.11, Chapter 54, heading 55.08 through 55.16 or 60.01 through 60.06, provided that the good is both cut (or knit to shape) and sewn or otherwise assembled in the territory of one or more of the Parties. For the purposes of all other trade of subheading 6104.23 the following rule of origin applies:</w:t>
      </w:r>
    </w:p>
    <w:p>
      <w:pPr>
        <w:pStyle w:val="Normal"/>
        <w:widowControl/>
        <w:rPr/>
      </w:pPr>
      <w:r>
        <w:rPr/>
        <w:t>4-B-49 A change to subheading 6104.23 from any other chapter, except from heading 51.06 through 51.13, 52.04 through 52.12, 53.10 through 53.11, Chapter 54, heading 55.08 through 55.16 or 60.01 through 60.06, provided that the good is both cut (or knit to shape) and sewn or otherwise assembled in the territory of one or more of the Parties.</w:t>
      </w:r>
    </w:p>
    <w:p>
      <w:pPr>
        <w:pStyle w:val="Normal"/>
        <w:widowControl/>
        <w:rPr/>
      </w:pPr>
      <w:r>
        <w:rPr/>
        <w:t>6104.29-6104.69 A change to subheading 6104.29 through 6104.69 from any other chapter, except from heading 51.06 through 51.13, 52.04 through 52.12, 53.10 through 53.11, Chapter 54 or heading 55.08 through 55.16 or 60.01 through 60.06, provided that the good is both cut (or knit to shape) and sewn or otherwise assembled in the territory of one or more of the Parties. 61.05-61.06 A change to heading 61.05 through 61.06 from any other chapter, except from heading 51.06 through 51.13, 52.04 through 52.12, 53.10 through 53.11, Chapter 54 or heading 55.08 through 55.16 or 60.01 through 60.06, provided that the good is both cut (or knit to shape) and sewn or otherwise assembled in the territory of one or more of the Parties. 6107.11-6107.19 A change to subheading 6107.11 through 6107.19 from any other chapter, except from heading 51.06 through 51.13, 52.04 through 52.12, 53.10 through 53.11, Chapter 54 or heading 55.08 through 55.16 or 60.01 through 60.06, or other made-up textile articles of heading 96.19, provided that the good is both cut (or knit to shape) and sewn or otherwise assembled in the territory of one or more of the Parties.</w:t>
      </w:r>
    </w:p>
    <w:p>
      <w:pPr>
        <w:pStyle w:val="Normal"/>
        <w:widowControl/>
        <w:rPr/>
      </w:pPr>
      <w:r>
        <w:rPr/>
        <w:t>6107.21 A change to subheading 6107.21 from:</w:t>
      </w:r>
    </w:p>
    <w:p>
      <w:pPr>
        <w:pStyle w:val="Normal"/>
        <w:widowControl/>
        <w:rPr/>
      </w:pPr>
      <w:r>
        <w:rPr/>
        <w:t>(a) circular knit fabric, wholly of cotton yarns exceeding 100 metric number per single yarn, of subheading 6006.21, circular knit fabric, wholly of cotton yarns exceeding 100 metric number per single yarn, of subheading 6006.22, circular knit fabric, wholly of cotton yarns exceeding 100 metric number per single yarn, of subheading 6006.23 or circular knit fabric, wholly of cotton yarns exceeding 100 metric number per single yarn, of subheading 6006.24, provided that the good, exclusive of collar, cuffs, waistband or elastic, is wholly of such fabric and the good is both cut and sewn or otherwise assembled in the territory of one or more of the Parties, and such goods will not be subject to Notes 2 through 4 of this Chapter; or (b) any other chapter, except from heading 51.06 through 51.13, 52.04 through 52.12, 53.10 through 53.11, Chapter 54 or heading 55.08 through 55.16 or 60.01 through 60.06, provided that the good is 4-B-50 both cut (or knit to shape) and sewn or otherwise assembled in the territory of one or more of the Parties.</w:t>
      </w:r>
    </w:p>
    <w:p>
      <w:pPr>
        <w:pStyle w:val="Normal"/>
        <w:widowControl/>
        <w:rPr/>
      </w:pPr>
      <w:r>
        <w:rPr/>
        <w:t>6107.22-6107.99 A change to subheading 6107.22 through 6107.99 from any other chapter, except from heading 51.06 through 51.13, 52.04 through 52.12, 53.10 through 53.11, Chapter 54 or heading 55.08 through 55.16 or 60.01 through 60.06, provided that the good is both cut (or knit to shape) and sewn or otherwise assembled in the territory of one or more of the Parties.</w:t>
      </w:r>
    </w:p>
    <w:p>
      <w:pPr>
        <w:pStyle w:val="Normal"/>
        <w:widowControl/>
        <w:rPr/>
      </w:pPr>
      <w:r>
        <w:rPr/>
        <w:t>6108.11-6108.19 A change to subheading 6108.11 through 6108.19 from any other chapter, except from heading 51.06 through 51.13, 52.04 through 52.12, 53.10 through 53.11, Chapter 54 or heading 55.08 through 55.16 or 60.01 through 60.06, provided that the good is both cut (or knit to shape) and sewn or otherwise assembled in the territory of one or more of the Parties. 6108.21 A change to subheading 6108.21 from:</w:t>
      </w:r>
    </w:p>
    <w:p>
      <w:pPr>
        <w:pStyle w:val="Normal"/>
        <w:widowControl/>
        <w:rPr/>
      </w:pPr>
      <w:r>
        <w:rPr/>
        <w:t>(a) circular knit fabric, wholly of cotton yarns exceeding 100 metric number per single yarn, of subheading 6006.21, circular knit fabric, wholly of cotton yarns exceeding 100 metric number per single yarn, of subheading 6006.22, circular knit fabric, wholly of cotton yarns exceeding 100 metric number per single yarn, of subheading 6006.23 or circular knit fabric, wholly of cotton yarns exceeding 100 metric number per single yarn, of subheading 6006.24, provided that the good, exclusive of waistband, elastic or lace, is wholly of such fabric and the good is both cut and sewn or otherwise assembled in the territory of one or more of the Parties, and such goods will not be subject to Notes 2 through 4 of this Chapter; or (b) any other chapter, except from heading 51.06 through 51.13, 52.04 through 52.12, 53.10 through 53.11, Chapter 54 or heading 55.08 through 55.16 or 60.01 through 60.06, or other made-up textile articles of heading 96.19, provided that the good is both cut (or knit to shape) and sewn or otherwise assembled in the territory of one or more of the</w:t>
      </w:r>
    </w:p>
    <w:p>
      <w:pPr>
        <w:pStyle w:val="Normal"/>
        <w:widowControl/>
        <w:rPr/>
      </w:pPr>
      <w:r>
        <w:rPr/>
        <w:t>Parties. 6108.22-6108.29 A change to subheading 6108.22 through 6108.29 from any other chapter, except from heading 51.06 through 51.13, 52.04 through 52.12, 53.10 through 53.11, Chapter 54 or heading 55.08 through 55.16 or 60.01 through 60.06, or other made-up textile articles of heading 96.19, provided that the good is both cut (or knit to shape) and sewn or otherwise assembled in the territory of one or more of the Parties. 4-B-51 6108.31 A change to subheading 6108.31 from:</w:t>
      </w:r>
    </w:p>
    <w:p>
      <w:pPr>
        <w:pStyle w:val="Normal"/>
        <w:widowControl/>
        <w:rPr/>
      </w:pPr>
      <w:r>
        <w:rPr/>
        <w:t>(a) circular knit fabric, wholly of cotton yarns exceeding 100 metric number per single yarn, of subheading 6006.21, circular knit fabric, wholly of cotton yarns exceeding 100 metric number per single yarn, of subheading 6006.22, circular knit fabric, wholly of cotton yarns exceeding 100 metric number per single yarn, of subheading 6006.23 or circular knit fabric, wholly of cotton yarns exceeding 100 metric number per single yarn, of subheading 6006.24, provided that the good, exclusive of collar, cuffs, waistband, elastic or lace, is wholly of such fabric and the good is both cut and sewn or otherwise assembled in the territory of one or more of the Parties, and such goods will not be subject to Notes 2 through 4 of this Chapter; or (b) any other chapter, except from heading 51.06 through 51.13, 52.04 through 52.12, 53.10 through 53.11, Chapter 54 or heading 55.08 through 55.16 or 60.01 through 60.06, provided that the good is both cut (or knit to shape) and sewn or otherwise assembled in the</w:t>
      </w:r>
    </w:p>
    <w:p>
      <w:pPr>
        <w:pStyle w:val="Normal"/>
        <w:widowControl/>
        <w:rPr/>
      </w:pPr>
      <w:r>
        <w:rPr/>
        <w:t>territory of one or more of the Parties. 6108.32-6108.99 A change to subheading 6108.32 through 6108.99 from any other chapter, except from heading 51.06 through 51.13, 52.04 through 52.12, 53.10 through 53.11, Chapter 54 or heading 55.08 through 55.16 or 60.01 through 60.06, provided that the good is both cut (or knit to shape) and sewn or otherwise assembled in the territory of one or more of the Parties. 61.09 A change to heading 61.09 from any other chapter, except from heading 51.06 through 51.13, 52.04 through 52.12, 53.10 through 53.11, Chapter 54 or heading 55.08 through 55.16 or 60.01 through 60.06, or other made- up textile articles of heading 96.19, provided that the good is both cut (or knit to shape) and sewn or otherwise assembled in the territory of one or more of the Parties.</w:t>
      </w:r>
    </w:p>
    <w:p>
      <w:pPr>
        <w:pStyle w:val="Normal"/>
        <w:widowControl/>
        <w:rPr/>
      </w:pPr>
      <w:r>
        <w:rPr/>
        <w:t>6110.11-6110.20 A change to subheading 6110.11 through 6110.20 from any other chapter, except from heading 51.06 through 51.13, 52.04 through 52.12, 53.10 through 53.11, Chapter 54 or heading 55.08 through 55.16 or 60.01 through 60.06, or other made-up textile articles of heading 96.19, provided that the good is both cut (or knit to shape) and sewn or otherwise assembled in the territory of one or more of the Parties.</w:t>
      </w:r>
    </w:p>
    <w:p>
      <w:pPr>
        <w:pStyle w:val="Normal"/>
        <w:widowControl/>
        <w:rPr/>
      </w:pPr>
      <w:r>
        <w:rPr/>
        <w:t>6110.30 For the purposes of trade between Mexico and the United States of goods of subheading 6110.30 the following rules of origin apply: 4-B-52 61.11 A change to sweaters of subheading 6110.30 from any other chapter, except from heading 51.06 through 51.13, 52.04 through 52.12, 53.10 through 53.11, Chapter 54 or 55 or heading 60.01 through 60.06, provided that the good is both cut (or knit to shape) and sewn or otherwise assembled in the territory of one or more of the Parties; or A change to any other good of subheading 6110.30 from any other chapter, except from heading 51.06 through 51.13, 52.04 through 52.12, 53.10 through 53.11, Chapter 54, heading 55.08 through 55.16 or 60.01 through 60.06, provided that the good is both cut (or knit to shape) and sewn or otherwise assembled in the territory of one or more of the Parties. For the purposes of all other trade of subheading 6110.30 the following rule of origin applies:</w:t>
      </w:r>
    </w:p>
    <w:p>
      <w:pPr>
        <w:pStyle w:val="Normal"/>
        <w:widowControl/>
        <w:rPr/>
      </w:pPr>
      <w:r>
        <w:rPr/>
        <w:t>A change to subheading 6110.30 from any other chapter, except from heading 51.06 through 51.13, 52.04 through 52.12, 53.10 through 53.11, Chapter 54, heading 55.08 through 55.16 or 60.01 through 60.06, provided that the good is both cut (or knit to shape) and sewn or otherwise assembled in the territory of one or more of the Parties.</w:t>
      </w:r>
    </w:p>
    <w:p>
      <w:pPr>
        <w:pStyle w:val="Normal"/>
        <w:widowControl/>
        <w:rPr/>
      </w:pPr>
      <w:r>
        <w:rPr/>
        <w:t>6110.90 A change to subheading 6110.90 from any other chapter, except from heading 51.06 through 51.13, 52.04 through 52.12, 53.10 through 53.11, Chapter 54 or heading 55.08 through 55.16 or 60.01 through 60.06, or other made-up textile articles of heading 96.19, provided that the good is both cut (or knit to shape) and sewn or otherwise assembled in the territory of one or more of the Parties. A change to heading 61.11 from any other chapter, except from heading 51.06 through 51.13, 52.04 through 52.12, 53.10 through 53.11, Chapter 54 or heading 55.08 through 55.16 or 60.01 through 60.06, or other made- up textile articles of heading 96.19, provided that the good is both cut (or knit to shape) and sewn or otherwise assembled in the territory of one or more of the Parties. 61.12-61.17 A change to heading 61.12 through 61.17 from any other chapter, except from heading 51.06 through 51.13, 52.04 through 52.12, 53.10 through 53.11, Chapter 54 or heading 55.08 through 55.16 or 60.01 through 60.06, provided that the good is both cut (or knit to shape) and sewn or otherwise assembled in the territory of one or more of the Parties.</w:t>
      </w:r>
    </w:p>
    <w:p>
      <w:pPr>
        <w:pStyle w:val="Normal"/>
        <w:widowControl/>
        <w:rPr/>
      </w:pPr>
      <w:r>
        <w:rPr/>
        <w:t>4-B-53 Chapter 62 Articles of Apparel and Clothing Accessories, Not Knitted or Crocheted Note 1: Apparel goods of this chapter shall be considered to originate if they are both cut and sewn or otherwise assembled in the territory of one or more of the Parties and if the fabric of the outer shell, exclusive of collars or cuffs, is wholly of one or more of the following: (a) Velveteen fabrics of subheading 5801.23, containing 85 percent or more by weight of cotton; (b) Corduroy fabrics of subheading 5801.22, containing 85 percent or more by weight of cotton and containing more than 7.5 wales per centimeter; (c) Fabrics of subheading 5111.11 or 5111.19, if handwoven, with a loom width of less than 76 cm, woven in the United Kingdom in accordance with the rules and regulations of the Harris Tweed Authority, Ltd., and so certified by the Authority;</w:t>
      </w:r>
    </w:p>
    <w:p>
      <w:pPr>
        <w:pStyle w:val="Normal"/>
        <w:widowControl/>
        <w:rPr/>
      </w:pPr>
      <w:r>
        <w:rPr/>
        <w:t>(d) Fabrics of subheading 5112.30, weighing not more than 340 grams per square meter, containing wool, not less than 20 percent by weight of fine animal hair and not less than 15 percent by weight of manmade staple fibers; or (e) Batiste fabrics of subheading 5513.11 or 5513.21, of square construction, of single yarns exceeding 76 metric count, containing between 60 and 70 warp ends and filling picks per square centimeter, of a weight not exceeding 110 grams per square meter. Such apparel goods shall not be subject to Notes 3 through 5 of this Chapter.</w:t>
      </w:r>
    </w:p>
    <w:p>
      <w:pPr>
        <w:pStyle w:val="Normal"/>
        <w:widowControl/>
        <w:rPr/>
      </w:pPr>
      <w:r>
        <w:rPr/>
        <w:t>Note 2: For the purposes of determining the origin of a good of this chapter, the rule applicable to that good shall only apply to the component that determines the tariff classification of the good and such component must satisfy the tariff change requirements set out in the rule for that good. Note 3: Effective 18 months from the date of entry into force of the agreement, and notwithstanding Chapter Note 2, a good of this chapter containing fabrics of subheading 5806.20 or heading 60.02 is originating only if such fabrics are both formed and finished from yarn in the territory of one or more of the Parties. 4-B-54 Note 4: Effective 12 months from the date of entry into force of the agreement, and notwithstanding Chapter Note 2, a good of this chapter containing sewing thread of heading 52.04, 54.01 or 55.08, or yarn of heading 54.02 used as sewing thread shall be considered originating only if such sewing thread is both formed and finished in the territory of one or more of the Parties. Note 5:</w:t>
      </w:r>
    </w:p>
    <w:p>
      <w:pPr>
        <w:pStyle w:val="Normal"/>
        <w:widowControl/>
        <w:rPr/>
      </w:pPr>
      <w:r>
        <w:rPr/>
        <w:t>For apparel made of blue denim fabric of subheading 5209.42, 5211.42, 5212.24, and 5514.30, effective 30 months from the date of entry into force of the agreement, and notwithstanding Chapter Note 2, if such goods of this chapter contain a pocket or pockets, the pocket bag fabric must be formed and finished in the territory of one or more of the Parties from yarn wholly formed in one or more of the Parties.</w:t>
      </w:r>
    </w:p>
    <w:p>
      <w:pPr>
        <w:pStyle w:val="Normal"/>
        <w:widowControl/>
        <w:rPr/>
      </w:pPr>
      <w:r>
        <w:rPr/>
        <w:t>For all other apparel, effective 18 months from the date of entry into force of the agreement, and notwithstanding Chapter Note 2, if a good of this chapter contains a pocket or pockets, the pocket bag fabric must be formed and finished in the territory of one or more of the Parties from yarn wholly formed in one or more of the Parties. 62.01-62.04 A change to heading 62.01 through 62.04 from any other chapter, except from heading 51.06 through 51.13 52.04 through 52.12, 53.10 through 53.11, Chapter 54, heading 55.08 through 55.16, 58.01 through 58.02 or 60.01 through 60.06, provided that the good is both cut (or knit to shape) and sewn or otherwise assembled in the territory of one or more of the Parties. 6205.20-6205.30 Note:</w:t>
      </w:r>
    </w:p>
    <w:p>
      <w:pPr>
        <w:pStyle w:val="Normal"/>
        <w:widowControl/>
        <w:rPr/>
      </w:pPr>
      <w:r>
        <w:rPr/>
        <w:t>Men’s or boys’ shirts of cotton or man-made fibers shall be considered to originate if they are both cut and assembled in the territory of one or more of the Parties and if the fabric of the outer shell, exclusive of collars or cuffs, is wholly of one or more of the following: (a) Fabrics of subheading 5208.21, 5208.22, 5208.29, 5208.31, 5208.32, 5208.39, 5208.41, 5208.42, 5208.49, 5208.51, 5208.52 or 5208.59, other than 3-thread or 4-thread twill, including cross twill, fabric of subheading 5208.59 of average yarn number exceeding 135 metric; (b) Fabrics of subheading 5513.11 or 5513.21, not of square construction, containing more than 70 warp ends and filling picks per square centimeter, of average yarn number exceeding 70 metric; 4-B-55 (c)</w:t>
      </w:r>
    </w:p>
    <w:p>
      <w:pPr>
        <w:pStyle w:val="Normal"/>
        <w:widowControl/>
        <w:rPr/>
      </w:pPr>
      <w:r>
        <w:rPr/>
        <w:t>Fabrics of subheading 5210.21 or 5210.31, not of square construction, containing more than 70 warp ends and filling picks per square centimeter, of average yarn number exceeding 70 metric; (d) Fabrics of subheading 5208.22 or 5208.32, not of square construction, containing more than 75 warp ends and filling picks per square centimeter, of average yarn number exceeding 65 metric; (e) Fabrics of subheading 5407.81, 5407.82 or 5407.83, weighing less than 170 grams per square meter, having a dobby weave created by a dobby attachment; (f) Fabrics of subheading 5208.42 or 5208.49, not of square construction, containing more than 85 warp ends and filling picks per square centimeter, of average yarn number exceeding 85 metric; (g) Fabrics of subheading 5208.51, of square construction, containing more than 75 warp ends and filling picks per square centimeter, made with single yarns, of average yarn number 95 or greater metric;</w:t>
      </w:r>
    </w:p>
    <w:p>
      <w:pPr>
        <w:pStyle w:val="Normal"/>
        <w:widowControl/>
        <w:rPr/>
      </w:pPr>
      <w:r>
        <w:rPr/>
        <w:t>(h) Fabrics of subheading 5208.41, of square construction, with a gingham pattern, containing more than 85 warp ends and filling picks per square centimeter, made with single yarns, of average yarn number 95 or greater metric, and characterized by a check effect produced by the variation in color of the yarns in the warp and filling; or (i) Fabrics of subheading 5208.41, with the warp colored with vegetable dyes, and the filling yarns white or colored with vegetable dyes, of average yarn number greater than 65 metric.</w:t>
      </w:r>
    </w:p>
    <w:p>
      <w:pPr>
        <w:pStyle w:val="Normal"/>
        <w:widowControl/>
        <w:rPr/>
      </w:pPr>
      <w:r>
        <w:rPr/>
        <w:t>Such apparel goods shall not be subject to Notes 3 through 5 of this Chapter. A change to any other good of subheading 6205.20 through 6205.30 from any other chapter, except from heading 51.06 through 51.13, 52.04 through 52.12, 53.10 through 53.11, Chapter 54 or heading 55.08 through 55.16, 58.01 through 58.02 or 60.01 through 60.06, provided that the good is both cut and sewn or otherwise assembled in the territory of one or more of the Parties. 4-B-56 62.06 6205.90 A change to subheading 6205.90 from any other chapter, except from heading 51.06 through 51.13, 52.04 through 52.12, 53.10 through 53.11, Chapter 54 or heading 55.08 through 55.16, 58.01 through 58.02 or 60.01 through 60.06, provided that the good is both cut and sewn or otherwise assembled in the territory of one or more of the Parties. A change to heading 62.06 from any other chapter, except from heading 51.06 through 51.13, 52.04 through 52.12, or 53.10 through 53.11, Chapter 54 or heading 55.08 through 55.16, 58.01 through 58.02 or 60.01 through 60.06, provided that the good is both cut and sewn or otherwise assembled in the territory of one or more of the Parties.</w:t>
      </w:r>
    </w:p>
    <w:p>
      <w:pPr>
        <w:pStyle w:val="Normal"/>
        <w:widowControl/>
        <w:rPr/>
      </w:pPr>
      <w:r>
        <w:rPr/>
        <w:t>6207.11 Note: Men’s or boys’ boxer shorts of cotton of subheading 6207.11 shall be considered to originate if they are both cut and sewn or otherwise assembled in the territory of one or more of the Parties, and if the plain weave fabric of the outer shell, exclusive of waistbands, is wholly of one or more of the following: (a) Fabrics of subheading 5208.41, yarn-dyed, with a fiber content of 100 percent cotton, 95 to 100 grams per square meter, of average yarn number 37 to 42 metric; (b) Fabrics of subheading 5208.42, yarn-dyed, with a fiber content of 100 percent cotton, weighing not more than 105 grams per square meter, of average yarn number 47 to 53 metric; (c) Fabrics of subheading 5208.51, printed, with a fiber content of 100 percent cotton, 93 to 97 grams per square meter, of average yarn number 38 to 42 metric; (d) Fabrics of subheading 5208.52, printed, with a fiber content of 100 percent cotton, 112 to 118 grams per square meter, of average yarn number 38 to 42 metric;</w:t>
      </w:r>
    </w:p>
    <w:p>
      <w:pPr>
        <w:pStyle w:val="Normal"/>
        <w:widowControl/>
        <w:rPr/>
      </w:pPr>
      <w:r>
        <w:rPr/>
        <w:t>(e) Fabrics of subheading 5210.11, greige, with a fiber content of 51 to 60 percent cotton, 49 to 40 percent polyester, 100 to 112 grams per square meter, of average yarn number 55 to 65 metric; (f) Fabrics of subheading 5210.41, yarn-dyed, with a fiber content of 51 to 60 percent cotton, 49 to 40 percent polyester, 77 to 82 grams per square meter, of average yarn number 43 to 48 metric; 4-B-57 (g) Fabrics of subheading 5210.41, yarn-dyed, with a fiber content of 51 to 60 percent cotton, 49 to 40</w:t>
      </w:r>
    </w:p>
    <w:p>
      <w:pPr>
        <w:pStyle w:val="Normal"/>
        <w:widowControl/>
        <w:rPr/>
      </w:pPr>
      <w:r>
        <w:rPr/>
        <w:t>percent polyester, 85 to 90 grams per square meter, of average yarn number 69 to 75 metric; (h) Fabrics of subheading 5210.51, printed, with a fiber content of 51 to 60 percent cotton, 49 to 40 percent polyester, 107 to 113 grams per square meter, of average yarn number 33 to 37 metric; (i) Fabrics of subheading 5210.51, printed, with a fiber content of 51 to 60 percent cotton, 49 to 40 percent polyester, 92 to 98 grams per square meter, of average yarn number 43 to 48 metric; or (j) Fabrics of subheading 5210.51, printed, with a fiber content of 51 to 60 percent cotton, 49 to 40 percent polyester, 105 to 112 grams per square meter, of average yarn number 50 to 60 metric. Such apparel goods shall not be subject to Notes 3 through 5 of this Chapter.</w:t>
      </w:r>
    </w:p>
    <w:p>
      <w:pPr>
        <w:pStyle w:val="Normal"/>
        <w:widowControl/>
        <w:rPr/>
      </w:pPr>
      <w:r>
        <w:rPr/>
        <w:t>A change to any other good of subheading 6207.11 from any other chapter, except from heading 51.06 through 51.13, 52.04 through 52.12, 53.10 through 53.11, Chapter 54 or heading 55.08 through 55.16, 58.01 through 58.02 or 60.01 through 60.06, or other made-up textile articles of heading 96.19, provided that the good is both cut and sewn or otherwise assembled in the territory of one or more of the Parties.</w:t>
      </w:r>
    </w:p>
    <w:p>
      <w:pPr>
        <w:pStyle w:val="Normal"/>
        <w:widowControl/>
        <w:rPr/>
      </w:pPr>
      <w:r>
        <w:rPr/>
        <w:t>6207.19-6207.99 A change to heading 6207.19 through 6207.99 from any other chapter, except from heading 51.06 through 51.13, 52.04 through 52.12, 53.10 through 53.11, Chapter 54 or heading 55.08 through 55.16, 58.01 through 58.02 or 60.01 through 60.06, provided that the good is both cut and sewn or otherwise assembled in the territory of one or more of the Parties. 62.08-62.11 A change to heading 62.08 through 62.11 from any other chapter, except from heading 51.06 through 51.13, 52.04 through 52.12, 53.10 through 53.11, Chapter 54, heading 55.08 through 55.16, 58.01 through 58.02 or 60.01 through 60.06, provided that the good is both cut and sewn or otherwise assembled in the territory of one or more of the Parties. 6212.10 A change to subheading 6212.10 from any other chapter, provided that the good is both cut and sewn or otherwise assembled in the territory of one or more of the Parties. Such goods shall not be subject to Notes 3 through 5 of this Chapter.</w:t>
      </w:r>
    </w:p>
    <w:p>
      <w:pPr>
        <w:pStyle w:val="Normal"/>
        <w:widowControl/>
        <w:rPr/>
      </w:pPr>
      <w:r>
        <w:rPr/>
        <w:t>4-B-58 6212.20-6212.90 A change to subheading 6212.20 through 6212.90 from any other chapter, except from heading 51.06 through 51.13, 52.04 through 52.12, 53.10 through 53.11, Chapter 54 or heading 55.08 through 55.16, 58.01 through 58.02 or 60.01 through 60.06, provided that the good is both cut and sewn or otherwise assembled in the territory of one or more of the Parties.</w:t>
      </w:r>
    </w:p>
    <w:p>
      <w:pPr>
        <w:pStyle w:val="Normal"/>
        <w:widowControl/>
        <w:rPr/>
      </w:pPr>
      <w:r>
        <w:rPr/>
        <w:t>62.13-62.17 A change to heading 62.13 through 62.17 from any other chapter, except from heading 51.06 through 51.13, 52.04 through 52.12, 53.10 through 53.11, Chapter 54 or heading 55.08 through 55.16, 58.01 through 58.02 or 60.01 through 60.06, provided that the good is both cut and sewn or otherwise assembled in the territory of one or more of the Parties. Chapter 63 Other Made Up Textile Articles; Sets; Worn Clothing and Worn Textile Articles; Rags Note 1: For the purposes of determining the origin of a good of this chapter, the rule applicable to that good shall only apply to the component that determines the tariff classification of the good and such component must satisfy the tariff change requirements set out in the rule for that good. Note 2:</w:t>
      </w:r>
    </w:p>
    <w:p>
      <w:pPr>
        <w:pStyle w:val="Normal"/>
        <w:widowControl/>
        <w:rPr/>
      </w:pPr>
      <w:r>
        <w:rPr/>
        <w:t>Effective 18 months from the date of entry into force of the agreement, and not withstanding Chapter Note 1, for the purposes of determining the origin of a good of this chapter, a good of this chapter containing fabrics of heading 59.03 shall be considered originating only if all fabrics used in the production of the fabrics of heading 59.03 are formed and finished in the territory of one or more of the Parties. This note shall not apply to goods of heading 63.05, goods of subheading 6306.12 or 6306.22, or goods of subheading 6307.90 that are not surgical drapes or national flags.</w:t>
      </w:r>
    </w:p>
    <w:p>
      <w:pPr>
        <w:pStyle w:val="Normal"/>
        <w:widowControl/>
        <w:rPr/>
      </w:pPr>
      <w:r>
        <w:rPr/>
        <w:t>63.01-63.02 A change to heading 63.01 through 63.02 from any other chapter, except from heading 51.06 through 51.13, 52.04 through 52.12 53.10 through 53.11, Chapter 54 through 55, or heading 58.01 through 58.02 or 60.01 through 60.06, provided that the good is both cut (or knit to shape) and sewn or otherwise assembled in the territory of one or more of the Parties. 6303.12-6303.91 A change to subheading 6303.12 through 6303.91 from any other chapter, except from heading 51.06 through 51.13, 52.04 through 52.12, 53.10 through 53.11, Chapter 54 through 55 or heading 58.01 through 58.02 or 60.01 through 60.06, provided that the good is both cut (or knit to shape) and sewn or otherwise assembled in the territory of one or more of the Parties.</w:t>
      </w:r>
    </w:p>
    <w:p>
      <w:pPr>
        <w:pStyle w:val="Normal"/>
        <w:widowControl/>
        <w:rPr/>
      </w:pPr>
      <w:r>
        <w:rPr/>
        <w:t>6303.92 A change to curtains of subheading 6303.92 made of fabrics wholly of non-textured polyester filaments from yarn, with a twist of 900 or more 4-B-59 turns per meter, wholly of polyesters other than partially oriented, measuring not less than 75 decitex but not more than 80 decitex, and having 24 filaments per yarn of subheading 5402.44, 5402.47 or 5402.52, provided that the good is both cut and sewn or otherwise assembled in the territory of one or more of the Parties, and such goods will not be subject to Note 2 of this Chapter; A change to any other good of subheading 6303.92 from any other chapter, except from heading 51.06 through 51.13, 52.04 through 52.12, 53.10 through 53.11, Chapter 54 through 55 or heading 58.01 through</w:t>
      </w:r>
    </w:p>
    <w:p>
      <w:pPr>
        <w:pStyle w:val="Normal"/>
        <w:widowControl/>
        <w:rPr/>
      </w:pPr>
      <w:r>
        <w:rPr/>
        <w:t>58.02 or 60.01 through 60.06, provided that the good is both cut (or knit to shape) and sewn or otherwise assembled in the territory of one or more of the Parties. 6303.99 A change to subheading 6303.99 from any other chapter, except from heading 51.06 through 51.13, 52.04 through 52.12, 53.10 through 53.11, Chapter 54 through 55 or heading 58.01 through 58.02 or 60.01 through 60.06, provided that the good is both cut (or knit to shape) and sewn or otherwise assembled in the territory of one or more of the Parties. 63.04-63.10 A change to heading 63.04 through 63.10 from any other chapter, except from heading 51.06 through 51.13, 52.04 through 52.12, 53.10 through 53.11, Chapter 54 through 55 or heading 58.01 through 58.02 or 60.01 through 60.06, or other made-up textile articles of heading 96.19, provided that the good is both cut (or knit to shape) and sewn or otherwise assembled in the territory of one or more of the Parties. Section XII - Footwear, Headgear, Umbrellas, Sun Umbrellas, Walking-Sticks, Seat-Sticks, Whips, Riding-Crops and Parts Thereof;</w:t>
      </w:r>
    </w:p>
    <w:p>
      <w:pPr>
        <w:pStyle w:val="Normal"/>
        <w:widowControl/>
        <w:rPr/>
      </w:pPr>
      <w:r>
        <w:rPr/>
        <w:t>Prepared Feathers and Articles Made Therewith; Artificial Flowers; Articles of Human Hair (Chapter 64-67) Chapter 64 Footwear, Gaiters and the Like; Parts of Such Articles 64.01-64.05 A change to heading 64.01 through 64.05 from any heading outside that group, except from subheading 6406.10, provided there is a regional value content of not less than 55 percent under the net cost method.</w:t>
      </w:r>
    </w:p>
    <w:p>
      <w:pPr>
        <w:pStyle w:val="Normal"/>
        <w:widowControl/>
        <w:rPr/>
      </w:pPr>
      <w:r>
        <w:rPr/>
        <w:t>6406.10 A change to subheading 6406.10 from any other subheading, except from heading 64.01 through 64.05, provided there is a regional value content of not less than 55 percent under the net cost method. 6406.20-6406.90 A change to subheading 6406.20 through 6406.90 from any other chapter. Chapter 65 Headgear and Parts Thereof 4-B-60 65.01-65.02 A change to heading 65.01 through 65.02 from any other chapter. 65.04-65.07 A change to heading 65.04 through 65.07 from any heading outside that group. Chapter 66 Umbrellas, Sun Umbrellas, Walking-Sticks, Seat-Sticks, Whips, Riding-Crops and Parts Thereof 66.01 A change to heading 66.01 from any other heading, except from a combination of both: (a) subheading 6603.20; and (b) heading 39.20 through 39.21, 50.07, 51.11 through 51.13, 52.08 through 52.12, 53.09 through 53.11, 54.07 through 54.08, 55.12 through 55.16, 56.02 through 56.03, 58.01 through 58.11, 59.01 through 59.11 and 60.01 through 60.06. 66.02 A change to heading 66.02 from any other heading. 66.03 A change to heading 66.03 from any other chapter. Chapter 67 Prepared Feathers and Down and Articles Made of Feathers or of Down;</w:t>
      </w:r>
    </w:p>
    <w:p>
      <w:pPr>
        <w:pStyle w:val="Normal"/>
        <w:widowControl/>
        <w:rPr/>
      </w:pPr>
      <w:r>
        <w:rPr/>
        <w:t>Artificial Flowers; Articles of Human Hair 67.01 A change to heading 67.01 from any other heading; or A change to a good of feather or down of heading 67.01 from within that heading or any other heading. 67.02-67.04 A change to heading 67.02 through 67.04 from any other heading, including another heading within that group.</w:t>
      </w:r>
    </w:p>
    <w:p>
      <w:pPr>
        <w:pStyle w:val="Normal"/>
        <w:widowControl/>
        <w:rPr/>
      </w:pPr>
      <w:r>
        <w:rPr/>
        <w:t>Section XIII - Articles of Stone, Plaster, Cement, Asbestos, Mica or Similar Materials; Ceramic Products; Glass and Glassware (Chapter 68-70) Chapter 68 Articles of Stone, Plaster, Cement, Asbestos, Mica or Similar Materials 68.01-68.11 A change to heading 68.01 through 68.11 from any other chapter. 6812.80 A change to clothing, clothing accessories, footwear and headgear of subheading 6812.80 from any other subheading; 4-B-61 A change to fabricated crocidolite fibers or mixtures with a basis of crocidolite or with a basis of crocidolite and magnesium carbonate of subheading 6812.80 from any other chapter; A change to yarn or thread of subheading 6812.80 from any other good of subheading 6812.80 or any other subheading; A change to cords or string, whether or not plaited, of subheading 6812.80 from any other good of subheading 6812.80 or any other subheading, except from woven or knitted fabric of subheading 6812.80;</w:t>
      </w:r>
    </w:p>
    <w:p>
      <w:pPr>
        <w:pStyle w:val="Normal"/>
        <w:widowControl/>
        <w:rPr/>
      </w:pPr>
      <w:r>
        <w:rPr/>
        <w:t>A change to woven or knitted fabric of subheading 6812.80 from any other good of subheading 6812.80 or any other subheading, except from cords or string, whether or not plaited, of subheading 6812.80; or A change to any other good of subheading 6812.80 from fabricated crocidolite fibers or mixtures with a basis of crocidolite and magnesium carbonate, yarn or thread, cords or string, whether or not plaited, or woven or knitted fabric of subheading 6812.80 or from any other subheading. 6812.91 A change to subheading 6812.91 from any other subheading.</w:t>
      </w:r>
    </w:p>
    <w:p>
      <w:pPr>
        <w:pStyle w:val="Normal"/>
        <w:widowControl/>
        <w:rPr/>
      </w:pPr>
      <w:r>
        <w:rPr/>
        <w:t>6812.92-6812.99 A change to fabricated asbestos fibers or mixtures with a basis of asbestos or with a basis of asbestos and magnesium carbonate of subheading 6812.99 from any other chapter; A change to yarn or thread of subheading 6812.99 from any other good of subheading 6812.99 or any other subheading; A change to cords or string, whether or not plaited, of subheading 6812.99 from any other good of subheading 6812.99 or any other subheading, except from woven or knitted fabric of subheading 6812.99; A change to woven or knitted fabric of subheading 6812.99 from any other good of subheading 6812.99 or any other subheading, except from cords or string, whether or not plaited, of subheading 6812.99; or A change to any other good of subheading 6812.92 through 6812.99 from fabricated asbestos fibers or mixtures with a basis of asbestos or with a basis of asbestos and magnesium carbonate, yarn or thread, cords or string, whether or not plaited, or woven or knitted fabric of subheading 6812.99 or from any subheading outside that group.</w:t>
      </w:r>
    </w:p>
    <w:p>
      <w:pPr>
        <w:pStyle w:val="Normal"/>
        <w:widowControl/>
        <w:rPr/>
      </w:pPr>
      <w:r>
        <w:rPr/>
        <w:t>4-B-62 68.13 A change to heading 68.13 from any other heading. 68.14-68.15 A change to heading 68.14 through 68.15 from any other chapter. Chapter 69 Ceramic Products 69.01-69.14 A change to heading 69.01 through 69.14 from any other chapter. Chapter 70 Glass and Glassware 70.01 A change to heading 70.01 from any other heading. 7002.10 A change to subheading 7002.10 from any other heading.</w:t>
      </w:r>
    </w:p>
    <w:p>
      <w:pPr>
        <w:pStyle w:val="Normal"/>
        <w:widowControl/>
        <w:rPr/>
      </w:pPr>
      <w:r>
        <w:rPr/>
        <w:t>7002.20 A change to subheading 7002.20 from any other chapter. 7002.31 A change to subheading 7002.31 from any other heading. 7002.32-7002.39 A change to subheading 7002.32 through 7002.39 from any other chapter. 70.03-70.0812 A change to heading 70.03 through 70.08 from any heading outside that group, except from heading 70.09. 7009.10-7009.9113 A change to subheading 7009.10 through 7009.91 from any other heading, except from heading 70.03 through 70.08. 7009.92 A change to subheading 7009.92 from any other subheading. 70.10-70.18 A change to heading 70.10 through 70.18 from any other chapter. 70.19 A change to heading 70.19 from any other heading, except from heading 70.07 through 70.18 or 70.20. 70.20 A change to heading 70.20 from any other chapter. Section XIV - Natural or Cultured Pearls, Precious or Semi-precious Stones, Precious Metals, Metals Clad with Precious Metal, and Articles Thereof; Imitation Jewellery; Coin (Chapter 71) 12 If the good is for use in a vehicle of Chapter 87, the provisions of the Appendix to this Annex apply.</w:t>
      </w:r>
    </w:p>
    <w:p>
      <w:pPr>
        <w:pStyle w:val="Normal"/>
        <w:widowControl/>
        <w:rPr/>
      </w:pPr>
      <w:r>
        <w:rPr/>
        <w:t>13 If the good is for use in a vehicle of Chapter 87, the provisions of the Appendix to this Annex apply. 4-B-63 Chapter 71 Natural or Cultured Pearls, Precious or Semi-Precious Stones, Precious Metals, Metals Clad with Precious Metal, and Articles Thereof; Imitation Jewellery; Coin (Chapter 71) 71.01-71.05 A change to heading 71.01 through 71.05 from any other chapter.</w:t>
      </w:r>
    </w:p>
    <w:p>
      <w:pPr>
        <w:pStyle w:val="Normal"/>
        <w:widowControl/>
        <w:rPr/>
      </w:pPr>
      <w:r>
        <w:rPr/>
        <w:t>7106.10-7106.92 A change to subheading 7106.10 through 7106.92 from any other subheading, including another subheading within that group; or No required change in tariff classification to subheading 7106.91, whether or not there is also a change from another subheading, provided that the non-originating materials undergo electrolytic, thermal or chemical separation or alloying. 71.07 A change to heading 71.07 from any other chapter. 7108.11-7108.20 A change to subheading 7108.11 through 7108.20 from any other subheading, including another subheading within that group; or No required change in tariff classification to subheading 7108.12, whether or not there is also a change from another subheading, provided that the non-originating materials undergo electrolytic, thermal or chemical separation or alloying. 71.09 A change to heading 71.09 from any other chapter. 7110.11-7110.49 A change to subheading 7110.11 through 7110.49 from any other subheading, including another subheading within that group. 71.11 A change to heading 71.11 from any other chapter. 71.12 A change to heading 71.12 from any other heading. 71.13-71.18 A change to heading 71.13 through 71.18 from any heading outside that group.</w:t>
      </w:r>
    </w:p>
    <w:p>
      <w:pPr>
        <w:pStyle w:val="Normal"/>
        <w:widowControl/>
        <w:rPr/>
      </w:pPr>
      <w:r>
        <w:rPr/>
        <w:t>Section XV - Base Metals and Articles of Base Metal (Chapter 72-83) Chapter 72 Iron and Steel A change to heading 72.01 from any other chapter. 7202.11-7202.60 A change to subheading 7202.11 through 7202.60 from any other chapter.</w:t>
      </w:r>
    </w:p>
    <w:p>
      <w:pPr>
        <w:pStyle w:val="Normal"/>
        <w:widowControl/>
        <w:rPr/>
      </w:pPr>
      <w:r>
        <w:rPr/>
        <w:t>4-B-64 72.01 7202.70 A change to subheading 7202.70 from any other chapter, except from subheading 2613.10. 7202.80-7202.99 A change to subheading 7202.80 through 7202.99 from any other chapter. 72.03-72.05 A change to heading 72.03 through 72.05 from any other chapter. 72.06-72.07 A change to heading 72.06 through 72.07 from any heading outside that group. 72.08-72.16 A change to heading 72.08 through 72.16 from any heading outside that group. 72.17 A change to heading 72.17 from any other heading, except from heading 72.13 through 72.15. 72.18-72.22 A change to heading 72.18 through 72.22 from any heading outside that group. 72.23 A change to heading 72.23 from any other heading, except from heading 72.21 through 72.22. 72.24-72.28 A change to heading 72.24 through 72.28 from any heading outside that group. 72.29 A change to heading 72.29 from any other heading, except from heading 72.27 through 72.28. Chapter 73 Articles of Iron or Steel 73.01-73.03 A change to heading 73.01 through 73.03 from any other chapter. 7304.11-7304.39 A change to subheading 7304.11 through 7304.39 from any other chapter.</w:t>
      </w:r>
    </w:p>
    <w:p>
      <w:pPr>
        <w:pStyle w:val="Normal"/>
        <w:widowControl/>
        <w:rPr/>
      </w:pPr>
      <w:r>
        <w:rPr/>
        <w:t>7304.41 7304.41.aa A change to tariff item 7304.41.aa from subheading 7304.49 or any other chapter. 7304.41 A change to subheading 7304.41 from any other chapter. 7304.49-7304.90 A change to subheading 7304.49 through 7304.90 from any other chapter.</w:t>
      </w:r>
    </w:p>
    <w:p>
      <w:pPr>
        <w:pStyle w:val="Normal"/>
        <w:widowControl/>
        <w:rPr/>
      </w:pPr>
      <w:r>
        <w:rPr/>
        <w:t>73.05-73.07 4-B-65 Note: Beginning on January 1, 2020 or the date of entry into force of the Agreement, whichever is later, until December 31, 2022 or three years after entry into force of this Agreement, whichever is later, the following rule of origin shall apply to heading 73.05 through 73.07: A change to heading 73.05 through 73.07 from any other chapter. Note: Beginning on January 1, 2023, or three years after entry into force of this Agreement, whichever is later, and thereafter, the following rules of origin shall apply to heading 73.05 through 73.07: A change to heading 73.05 through 73.07 from any other heading, except from heading 72.08 through 72.29 or 73.01 through 73.26; or A change to heading 73.05 through 73.07 from heading 72.08 through 72.29 or 73.01 through 73.26, provided that at least 70 percent by weight of the materials of heading 72.08 through 72.29 and heading 73.01 through 73.26 is originating; or No required change in tariff classification to heading 73.05 through 73.07 provided there is a regional value content of not less than: (a) 75 percent where the transaction value method is used; or (b) 65 percent where the net cost method is used.</w:t>
      </w:r>
    </w:p>
    <w:p>
      <w:pPr>
        <w:pStyle w:val="Normal"/>
        <w:widowControl/>
        <w:rPr/>
      </w:pPr>
      <w:r>
        <w:rPr/>
        <w:t>7308.10 Note: Beginning on January 1 2020 or the date of entry into force of the Agreement, whichever is later, until December 31, 2021 or two years after entry into force of this Agreement, whichever is later, the following rules of origin shall apply to subheading 7308.10: A change to subheading 7308.10 from any other heading, except for changes resulting from the following processes performed on angles, shapes, or sections of heading 72.16: (a) drilling, punching, notching, cutting, cambering, or sweeping, whether performed individually or in combination; (b) adding attachments or weldments for composite construction; (c) adding attachments for handling purposes; 4-B-66 (d) adding weldments, connectors or attachments to H-sections or I- sections, provided that the maximum dimension of the weldments, connectors, or attachments is not greater than the dimension between the inner surfaces of the flanges of the H-sections or I- sections; (e) painting, galvanizing, or otherwise coating; or (f) adding a simple base plate without stiffening elements, individually or in combination with drilling, punching, notching, or cutting, to create an article suitable as a column.</w:t>
      </w:r>
    </w:p>
    <w:p>
      <w:pPr>
        <w:pStyle w:val="Normal"/>
        <w:widowControl/>
        <w:rPr/>
      </w:pPr>
      <w:r>
        <w:rPr/>
        <w:t>Note: Beginning on January 1, 2022 or two years after entry into force of this Agreement, whichever is later, and thereafter, the follow rules of origin shall apply to subheading 7308.10: A change to subheading 7308.10 from any other heading, except from heading 72.08, 72.11, 72.16, 72.25or 72.26; or A change to subheading 7308.10 from heading 72.08, 72.11, 72.16, 72.25 or 72.26, provided that at least 70 percent by weight of the materials of heading 72.08, 72.11, 72.16, 72.25 and 72.26 is originating; or No required change in tariff classification to subheading 7308.10 provided there is a regional value content of not less than: (a) 75 percent where the transaction value method is used; or (b) 65 percent where the net cost method is used. 7308.20 Note: Beginning on the date of entry into force of the Agreement until January 1, 2022 or two years after entry into force of this Agreement, whichever is later, the following rules of origin shall apply to subheading 7308.20:</w:t>
      </w:r>
    </w:p>
    <w:p>
      <w:pPr>
        <w:pStyle w:val="Normal"/>
        <w:widowControl/>
        <w:rPr/>
      </w:pPr>
      <w:r>
        <w:rPr/>
        <w:t>A change to subheading 7308.20 from any other heading, except for changes resulting from the following processes performed on angles, shapes, or sections of heading 72.16: (a) drilling, punching, notching, cutting, cambering, or sweeping, whether performed individually or in combination; 4-B-67 (b) adding attachments or weldments for composite construction; (c) adding attachments for handling purposes; (d) adding weldments, connectors or attachments to H-sections or I- sections, provided that the maximum</w:t>
      </w:r>
    </w:p>
    <w:p>
      <w:pPr>
        <w:pStyle w:val="Normal"/>
        <w:widowControl/>
        <w:rPr/>
      </w:pPr>
      <w:r>
        <w:rPr/>
        <w:t>dimension of the weldments, connectors, or attachments is not greater than the dimension between the inner surfaces of the flanges of the H-sections or I- sections; (e) painting, galvanizing, or otherwise coating; or (f) adding a simple base plate without stiffening elements, individually or in combination with drilling, punching, notching, or cutting, to create an article suitable as a column. Note: Beginning on January 1, 2022 or two years after entry into force of this Agreement, whichever is later, and thereafter, the follow rules of origin shall apply to subheading 7308.20: A change to subheading 7308.20 from any other heading, except from heading 72.08, 72.11, 72.16, 72.25or 72.26; or A change to subheading 7308.20 from heading 72.08, 72.11, 72.16, 72.25, or 72.26, provided that at least 70 percent by weight of the materials of heading 72.08, 72.11, 72.16, 72.25and 72.26 is originating; or No required change in tariff classification to subheading 7308.20 provided there is a regional value content of not less than: (a) 65 percent where the transaction value method is used; or (b) 55 percent where the net cost method is used.</w:t>
      </w:r>
    </w:p>
    <w:p>
      <w:pPr>
        <w:pStyle w:val="Normal"/>
        <w:widowControl/>
        <w:rPr/>
      </w:pPr>
      <w:r>
        <w:rPr/>
        <w:t>7308.30 Note: Beginning on the date of entry into force of the Agreement until January 1, 2022 or two years after entry into force of this Agreement, whichever is later, the following rules of origin shall apply to subheading 7308.30: A change to subheading 7308.30 from any other heading, except for changes resulting from the following processes performed on angles, shapes, or sections of heading 72.16: 4-B-68 (a) drilling, punching, notching, cutting, cambering, or sweeping, whether performed individually or in combination; (b) adding attachments or weldments for composite construction; (c) adding attachments for handling purposes; (d) adding weldments, connectors or attachments to H-sections or I- sections, provided that the maximum dimension of the weldments, connectors, or attachments is not greater than the dimension between the inner surfaces of the flanges of the H-sections or I- sections; (e) painting, galvanizing, or otherwise coating; or (f) adding a simple base plate without stiffening elements, individually or in combination with drilling, punching, notching, or cutting, to create an article suitable as a column.</w:t>
      </w:r>
    </w:p>
    <w:p>
      <w:pPr>
        <w:pStyle w:val="Normal"/>
        <w:widowControl/>
        <w:rPr/>
      </w:pPr>
      <w:r>
        <w:rPr/>
        <w:t>Note: Beginning on January 1, 2022 or two years after entry into force of this Agreement, whichever is later, and thereafter, the follow rules of origin shall apply to subheading 7308.30: A change to subheading 7308.30 from any other heading, except from heading 72.08, 72.11, 72.16, 72.25 or 72.26; A change to subheading 7308.30 from heading 72.08, 72.11, 72.16, 72.25, or 72.26, provided that at least 70 percent by weight of the materials of heading 72.08, 72.11, 72.16, 72.25 and 72.26 is originating; or No required change in tariff classification to subheading 7308.30 provided there is a regional value content of not less than: (a) 75 percent where the transaction value method is used; or (b) 65 percent where the net cost method is used. 7308.40 Note: Beginning on the date of entry into force of the Agreement until January 1, 2022 or two years after entry into force of this Agreement, whichever is later, the following rules of origin shall apply to subheading 7308.40:</w:t>
      </w:r>
    </w:p>
    <w:p>
      <w:pPr>
        <w:pStyle w:val="Normal"/>
        <w:widowControl/>
        <w:rPr/>
      </w:pPr>
      <w:r>
        <w:rPr/>
        <w:t>4-B-69 A change to subheading 7308.40 from any other heading, except for changes resulting from the following processes performed on angles, shapes, or sections of heading 72.16: (a) drilling, punching, notching, cutting, cambering, or sweeping, whether performed individually or in combination; (b) adding attachments or weldments for composite construction; (c) adding attachments for handling purposes; (d) adding weldments, connectors or attachments to H-sections or I- sections, provided that the maximum</w:t>
      </w:r>
    </w:p>
    <w:p>
      <w:pPr>
        <w:pStyle w:val="Normal"/>
        <w:widowControl/>
        <w:rPr/>
      </w:pPr>
      <w:r>
        <w:rPr/>
        <w:t>dimension of the weldments, connectors, or attachments is not greater than the dimension between the inner surfaces of the flanges of the H-sections or I- sections; (e) painting, galvanizing, or otherwise coating; or (f) adding a simple base plate without stiffening elements, individually or in combination with drilling, punching, notching, or cutting, to create an article suitable as a column. Note: Beginning on January 1, 2022 or two years after entry into force of this Agreement, whichever is later, and thereafter, the follow rules of origin shall apply to subheading 7308.40: A change to subheading 7308.40 from any other heading, except from heading 72.08, 72.11, 72.16, 72.25 or 72.26; A change to subheading 7308.40 from heading 72.08, 72.11, 72.16, 72.25, or 72.26, provided that at least 70 percent by weight of the materials of heading 72.08, 72.11, 72.16, 72.25 and 72.26 is originating; or No required change in tariff classification to subheading 7308.40 provided there is a regional value content of not less than: (a) 65 percent where the transaction value method is used; or (b) 55 percent where the net cost method is used.</w:t>
      </w:r>
    </w:p>
    <w:p>
      <w:pPr>
        <w:pStyle w:val="Normal"/>
        <w:widowControl/>
        <w:rPr/>
      </w:pPr>
      <w:r>
        <w:rPr/>
        <w:t>7308.90 4-B-70 Note: Beginning on the date of entry into force of the Agreement until January 1, 2022 or two years after entry into force of this Agreement, whichever is later, the following rules of origin shall apply to subheading 7308.90: A change to subheading 7308.90 from any other heading, except for changes resulting from the following processes performed on angles, shapes, or sections of heading 72.16: (a) drilling, punching, notching, cutting, cambering, or sweeping, whether performed individually or in combination; (b) adding attachments or weldments for composite construction; (c) adding attachments for handling purposes; (d) adding weldments, connectors or attachments to H-sections or I- sections, provided that the maximum dimension of the weldments, connectors, or attachments is not greater than the dimension between the inner surfaces of the flanges of the H-sections or I- sections; (e) painting, galvanizing, or otherwise coating; or (f) adding a simple base plate without stiffening elements, individually or in combination with drilling, punching, notching, or cutting, to create an article suitable as a column.</w:t>
      </w:r>
    </w:p>
    <w:p>
      <w:pPr>
        <w:pStyle w:val="Normal"/>
        <w:widowControl/>
        <w:rPr/>
      </w:pPr>
      <w:r>
        <w:rPr/>
        <w:t>Note: Beginning on January 1, 2022 or two years after entry into force of this Agreement, whichever is later, and thereafter, the follow rules of origin shall apply to subheading 7308.90: A change to subheading 7308.90 from any other heading, except from heading 72.08, 72.11, 72.16, 72.25 or 72.26; A change to subheading 7308.90 from heading 72.08, 72.11, 72.16, 72.25, or 72.26, provided that at least 70 percent by weight of the materials of heading 72.08, 72.11, 72.16, 72.25 and 72.26 is originating; or No required change in tariff classification to subheading 7308.90 provided there is a regional value content of not less than 65 percent where the net cost method is used. 4-B-71 73.13 73.09-73.11 A change to heading 73.09 through 73.11 from any heading outside that group. 7312.10 Note: Beginning on the date of entry into force of the Agreement until January 1, 2023 or three years after entry into force of this Agreement, whichever is later, the following rule of origin shall apply to subheading 7312.10: A change to subheading 7312.10 from any other heading.</w:t>
      </w:r>
    </w:p>
    <w:p>
      <w:pPr>
        <w:pStyle w:val="Normal"/>
        <w:widowControl/>
        <w:rPr/>
      </w:pPr>
      <w:r>
        <w:rPr/>
        <w:t>Note: Beginning on January 1, 2023, or three years after entry into force of this Agreement, whichever is later, and thereafter, the following rules of origin shall apply to subheading 7312.10: A change to subheading 7312.10 from any other heading except from heading 72.08 through 72.29 or 73.01 through 73.26; A change to subheading 7312.10 from heading 72.08 through 72.29 or 73.01 through 73.26, provided that at least 70 percent by weight of the materials of heading 72.08 through 72.29 and 73.01 through 73.26 is originating; or No required change in tariff classification to subheading 7312.10 provided there is a regional value content of not less than: (a) 75 percent where the transaction value method is used; or (b) 65 percent where the net cost method is used. 7312.90 A change to subheading 7312.90 from any other heading. Note: Beginning on the date of entry into force of the Agreement until January 1, 2023, or three years after entry into force of this Agreement, whichever is later, the following rule of origin shall apply to heading 73.13: A change to heading 73.13 from any other heading.</w:t>
      </w:r>
    </w:p>
    <w:p>
      <w:pPr>
        <w:pStyle w:val="Normal"/>
        <w:widowControl/>
        <w:rPr/>
      </w:pPr>
      <w:r>
        <w:rPr/>
        <w:t>Note: Beginning on January 1, 2023 or three years after entry into force of this Agreement, whichever is later, and thereafter, the following rules of origin shall apply to heading 73.13: 4-B-72 A change to heading 73.13 from any other heading, except from heading 72.08 through 72.29 or 73.01 through 73.26; A change to heading 73.13 from heading 72.08 through 72.29 or 73.01 through 73.26, provided that at least 70 percent by weight of the materials of heading 72.08 through 72.29 and 73.01 through 73.26 is originating; or No required change in tariff classification to heading 73.13 provided there is a regional value content of not less than: (a) 75 percent where the transaction value method is used; or (b) 65 percent where the net cost method is used. 7314.12-7314.14 A change to subheading 7314.12 through 7314.14 from any other heading. 7314.19 Note: Beginning on the date of entry into force of the Agreement until January 1, 2023, or three years after entry into force of this Agreement, whichever is later, the following rule of origin shall apply to subheading 7314.19: A change to subheading 7314.19 from any other heading.</w:t>
      </w:r>
    </w:p>
    <w:p>
      <w:pPr>
        <w:pStyle w:val="Normal"/>
        <w:widowControl/>
        <w:rPr/>
      </w:pPr>
      <w:r>
        <w:rPr/>
        <w:t>Note: Beginning on January 1, 2023 or three years after entry into force of this Agreement, whichever is later, and thereafter, the following rules of origin shall apply to subheading 7314.19: A change to subheading 7314.19 from any other heading, except from heading 72.08 through 72.29 or 73.01 through 73.26; A change to subheading 7314.19 from heading 72.08 through 72.29 or 73.01 through 73.26, provided that at least 70 percent by weight of the materials of heading 72.08 through 72.29 and 73.01 through 73.26 is originating; or No required change in tariff classification to subheading 7314.19 provided there is a regional value content of not less than: (a) 75 percent where the transaction value method is used; or (b) 65 percent where the net cost method is used. 4-B-73 7314.20 A change to subheading 7314.20 from any other heading. 7314.31-7314.49 Note: Beginning on the date of entry into force of the Agreement until January 1, 2023, or three years after entry into force of this Agreement, whichever is later, the following rule of origin shall apply to subheading 7314.31 through 7314.49: A change to subheading 7314.31 through 7314.49 from any other heading.</w:t>
      </w:r>
    </w:p>
    <w:p>
      <w:pPr>
        <w:pStyle w:val="Normal"/>
        <w:widowControl/>
        <w:rPr/>
      </w:pPr>
      <w:r>
        <w:rPr/>
        <w:t>Note: Beginning on January 1, 2023 or three years after entry into force of this Agreement, whichever is later, and thereafter, the following rules of origin shall apply to subheading 7314.31 through 7314.49: A change to subheading 7314.31 through 7314.49 from any other heading, except from heading 72.08 through 72.29 or 73.01 through 73.26; A change to subheading 7314.31 through 7314.49 from heading 72.08 through 72.29 or 73.01 through 73.26, provided that at least 70 percent by weight of the materials of heading 72.08 through 72.29 and 73.01 through 73.26 is originating; or No required change in tariff classification to subheading 7314.31 through 7314.49 provided there is a regional value content of not less than: (a) 75 percent where the transaction value method is used; or (b) 65 percent where the net cost method is used. 7314.50 A change to subheading 7314.50 from any other heading.</w:t>
      </w:r>
    </w:p>
    <w:p>
      <w:pPr>
        <w:pStyle w:val="Normal"/>
        <w:widowControl/>
        <w:rPr/>
      </w:pPr>
      <w:r>
        <w:rPr/>
        <w:t>7315.11-7315.12 A change to subheading 7315.11 through 7315.12 from any other heading; or A change to subheading 7315.11 through 7315.12 from subheading 7315.19, whether or not there is also a change from any other heading, provided there is a regional value content of not less than: (a) 60 percent where the transaction value method is used; or (b) 50 percent where the net cost method is used. 7315.19 A change to subheading 7315.19 from any other heading.</w:t>
      </w:r>
    </w:p>
    <w:p>
      <w:pPr>
        <w:pStyle w:val="Normal"/>
        <w:widowControl/>
        <w:rPr/>
      </w:pPr>
      <w:r>
        <w:rPr/>
        <w:t>4-B-74 7315.20-7315.81 A change to subheading 7315.20 through 7315.81 from any other heading; or A change to subheading 7315.20 through 7315.81 from subheading 7315.90, whether or not there is also a change from any other heading, provided there is a regional value content of not less than: (a) 60 percent where the transaction value method is used; or (b) 50 percent where the net cost method is used. 7315.82-7315.89 Note: Beginning on the date of entry into force of the Agreement until January 1, 2023 or three years after entry into force of this Agreement, whichever is later, the following rules of origin shall apply to subheading 7315.82 through 7315.89: A change to subheading 7315.82 through 7315.89 from any other heading; or A change to subheading 7315.82 through 7315.89 from subheading 7315.90, whether or not there is also a change from any other heading, provided there is a regional value content of not less than: (a) 60 percent where the transaction value method is used, or (b) 50 percent where the net cost method is used.</w:t>
      </w:r>
    </w:p>
    <w:p>
      <w:pPr>
        <w:pStyle w:val="Normal"/>
        <w:widowControl/>
        <w:rPr/>
      </w:pPr>
      <w:r>
        <w:rPr/>
        <w:t>Note: Beginning on January 1, 2023 or three years after entry into force of this Agreement, whichever is later, and thereafter, the following rules of origin shall apply to subheading 7315.82 through 7315.89: A change to subheading 7315.82 through 7315.89 from any other heading, except from heading 72.08 through 72.29 or 73.01 through 73.26; A change to subheading 7315.82 through 7315.89 from heading 72.08 through 72.29 or 73.01 through 73.26, provided that at least 70 percent by weight of the materials of heading 72.08 through 72.29 and 73.01 through 73.26 is originating; or No required change in tariff classification to subheading 7315.82 through 7315.89 provided there is a regional value content of not less than: 4-B-75 (a) 75 percent where the transaction value method is used; or (b) 65 percent where the net cost method is used. 7315.90 A change to subheading 7314.20 from any other heading. 73.16 A change to heading 73.16 from any other heading, except from heading 73.12 or 73.15. 73.17 Note:</w:t>
      </w:r>
    </w:p>
    <w:p>
      <w:pPr>
        <w:pStyle w:val="Normal"/>
        <w:widowControl/>
        <w:rPr/>
      </w:pPr>
      <w:r>
        <w:rPr/>
        <w:t>Beginning on the date of entry into force of the Agreement until January 1 2023 or three years after entry into force of this Agreement, whichever is later, the following rule of origin shall apply to heading 73.17: A change to heading 73.17 from any other heading, except from heading 73.18.</w:t>
      </w:r>
    </w:p>
    <w:p>
      <w:pPr>
        <w:pStyle w:val="Normal"/>
        <w:widowControl/>
        <w:rPr/>
      </w:pPr>
      <w:r>
        <w:rPr/>
        <w:t>Note: Beginning on January 1, 2023 or three years after entry into force of this Agreement, whichever is later, and thereafter, the following rules of origin shall apply to heading 73.17: A change to heading 73.17 from any other heading, except from heading 72.08 through 72.29 or 73.01 through 73.26; or A change to heading 73.17 from heading 72.08 through 72.29 or 73.01 through 73.26, provided that at least 70 percent by weight of the materials of heading 72.08 through 72.29 and 73.01 through 73.26 is originating; or No required change in tariff classification to heading 73.17 provided there is a regional value content of not less than: (a) 75 percent where the transaction value method is used; or (b) 65 percent where the net cost method is used. 73.18 A change to heading 73.18 from any other heading, except from heading 73.17. 73.19-73.20 A change to heading 73.19 through 73.20 from any heading outside that group. 4-B-76 7321.11 7321.11.aa A change to tariff item 7321.11.aa from any other subheading, except from tariff item 7321.90.aa, 7321.90.bb or 7321.90.cc.</w:t>
      </w:r>
    </w:p>
    <w:p>
      <w:pPr>
        <w:pStyle w:val="Normal"/>
        <w:widowControl/>
        <w:rPr/>
      </w:pPr>
      <w:r>
        <w:rPr/>
        <w:t>7321.11 A change to subheading 7321.11 from any other heading; or A change to subheading 7321.11 from subheading 7321.90, whether or not there is also a change from any other heading, provided there is a regional value content of not less than: (a) 60 percent where the transaction value method is used, or (b) 50 percent where the net cost method is used.</w:t>
      </w:r>
    </w:p>
    <w:p>
      <w:pPr>
        <w:pStyle w:val="Normal"/>
        <w:widowControl/>
        <w:rPr/>
      </w:pPr>
      <w:r>
        <w:rPr/>
        <w:t>7321.12-7321.89 A change to subheading 7321.12 through 7321.89 from any other heading; or A change to subheading 7321.12 through 7321.89 from subheading 7321.90, whether or not there is also a change from any other heading, provided there is a regional value content of not less than: (a) 60 percent where the transaction value method is used, or (b) 50 percent where the net cost method is used. 7321.90 7321.90.aa A change to tariff item 7321.90.aa from any other tariff item. 7321.90.bb A change to tariff item 7321.90.bb from any other tariff item. 7321.90.cc A change to tariff item 7321.90.cc from any other tariff item. 7321.90 A change to subheading 7321.90 from any other heading. 73.22-73.23 A change to heading 73.22 through 73.23 from any heading outside that group. 7324.10-7324.29 A change to subheading 7324.10 through 7324.29 from any other heading; or 4-B-77 74.04 A change to subheading 7324.10 through 7324.29 from subheading 7324.90, whether or not there is also a change from any other heading, provided there is a regional value content of not less than:</w:t>
      </w:r>
    </w:p>
    <w:p>
      <w:pPr>
        <w:pStyle w:val="Normal"/>
        <w:widowControl/>
        <w:rPr/>
      </w:pPr>
      <w:r>
        <w:rPr/>
        <w:t>(a) 60 percent where the transaction value method is used; or (b) 50 percent where the net cost method is used. 7324.90 A change to subheading 7324.90 from any other heading. 73.25-73.26 A change to heading 73.25 through 73.26 from any heading outside that group.</w:t>
      </w:r>
    </w:p>
    <w:p>
      <w:pPr>
        <w:pStyle w:val="Normal"/>
        <w:widowControl/>
        <w:rPr/>
      </w:pPr>
      <w:r>
        <w:rPr/>
        <w:t>Chapter 74 Copper and Articles Thereof 74.01-74.03 A change to heading 74.01 through 74.03 from any other heading, including another heading within that group, except from heading 74.04; or A change to heading 74.01 through 74.03 from heading 74.04, whether or not there is also a change from any other heading, including another heading within that group, provided there is a regional value content of not less than: (a) 60 percent where the transaction value method is used; or (b) 50 percent where the net cost method is used. A change to a good of heading 74.04 from any other good within that heading or any other heading. 74.05-74.07 A change to heading 74.05 through 74.07 from any other chapter; or A change to heading 74.05 through 74.07 from heading 74.01 through 74.02 or tariff item 7404.00.aa, whether or not there is also a change from any other chapter, provided there is a regional value content of not less than:</w:t>
      </w:r>
    </w:p>
    <w:p>
      <w:pPr>
        <w:pStyle w:val="Normal"/>
        <w:widowControl/>
        <w:rPr/>
      </w:pPr>
      <w:r>
        <w:rPr/>
        <w:t>(a) 60 percent where the transaction value method is used; or (b) 50 percent where the net cost method is used. 7408.11 4-B-78 7408.11.aa A change to tariff item 7408.11.aa from any other chapter; or A change to tariff item 7408.11.aa from heading 74.01 through 74.02 or tariff item 7404.00.aa, whether or not there is also a change from any other chapter, provided there is a regional value content of not less than: (a) 60 percent where the transaction value method is used; or (b) 50 percent where the net cost method is used.</w:t>
      </w:r>
    </w:p>
    <w:p>
      <w:pPr>
        <w:pStyle w:val="Normal"/>
        <w:widowControl/>
        <w:rPr/>
      </w:pPr>
      <w:r>
        <w:rPr/>
        <w:t>7408.11 A change to subheading 7408.11 from any other heading, except from heading 74.07. 7408.19-7408.29 A change to subheading 7408.19 through 7408.29 from any other heading, except from heading 74.07. 74.09 A change to heading 74.09 from any other heading. 74.10 A change to heading 74.10 from any other heading, except from heading 74.09. 74.11 A change to heading 74.11 from any other heading, except from tariff item 7407.10.aa, 7407.21.aa, 7407.29.aa or heading 74.09. 74.12 A change to heading 74.12 from any other heading, except from heading 74.11. 74.13 A change to heading 74.13 from any other heading, except from heading 74.07 through 74.08; or A change to heading 74.13 from heading 74.07 through 74.08, whether or not there is also a change from any other heading, provided there is a regional value content of not less than: (a) 60 percent where the transaction value method is used; or (b) 50 percent where the net cost method is used. 74.15-74.18 A change to heading 74.15 through 74.18 from any other heading, including another heading within that group.</w:t>
      </w:r>
    </w:p>
    <w:p>
      <w:pPr>
        <w:pStyle w:val="Normal"/>
        <w:widowControl/>
        <w:rPr/>
      </w:pPr>
      <w:r>
        <w:rPr/>
        <w:t>7419.10 A change to subheading 7419.10 from any other heading, except from heading 74.07. 4-B-79 7419.91 A change to subheading 7419.91 from any other heading. 7419.99 A change to a good of subheading 7419.99 from any other good within that subheading or any other heading.</w:t>
      </w:r>
    </w:p>
    <w:p>
      <w:pPr>
        <w:pStyle w:val="Normal"/>
        <w:widowControl/>
        <w:rPr/>
      </w:pPr>
      <w:r>
        <w:rPr/>
        <w:t>Chapter 75 Nickel and Articles Thereof 75.01-75.04 A change to heading 75.01 through 75.04 from any other heading, including another heading within that group. 7505.11-7505.12 A change to subheading 7505.11 through 7505.12 from any other heading. 7505.21-7505.22 A change to subheading 7505.21 through 7505.22 from any other heading; or A change to subheading 7505.21 through 7505.22 from subheading 7505.11 through 7505.12, whether or not there is also a change from any other heading, provided that, if bar or rod is used, the cross-sectional area of the bar or rod is reduced by at least 50 percent. 75.06 7506.10.aa A change to tariff item 7506.10.aa from any other tariff item. 7506.20.aa A change to tariff item 7506.20.aa from any other tariff item. 75.06 A change to heading 75.06 from any other heading. 7507.11-7508.90 A change to subheading 7507.11 through 7508.90 from any other subheading, including another subheading within that group. Chapter 76 Aluminum and Articles Thereof 76.01 A change to heading 76.01 from any other chapter. 76.02 A change to heading 76.02 from any other heading.</w:t>
      </w:r>
    </w:p>
    <w:p>
      <w:pPr>
        <w:pStyle w:val="Normal"/>
        <w:widowControl/>
        <w:rPr/>
      </w:pPr>
      <w:r>
        <w:rPr/>
        <w:t>76.03 A change to heading 76.03 from any other chapter. 76.04 A change to heading 76.04 from any other heading. 76.05 A change to heading 76.05 from any other heading, except from heading 76.04 or 76.06. 4-B-80 76.06 A change to heading 76.06 from any other heading. 76.07 A change to heading 76.07 from any other heading.</w:t>
      </w:r>
    </w:p>
    <w:p>
      <w:pPr>
        <w:pStyle w:val="Normal"/>
        <w:widowControl/>
        <w:rPr/>
      </w:pPr>
      <w:r>
        <w:rPr/>
        <w:t>76.08-76.09 A change to heading 76.08 through 76.09 from any heading outside that group. 76.10-76.13 A change to heading 76.10 through 76.13 from any other heading, including another heading within that group. 76.14 A change to heading 76.14 from any other heading, except from heading 76.04 through 76.05. 76.15-76.16 A change to heading 76.15 through 76.16 from any other heading, including another heading within that group. Chapter 78 Lead and Articles Thereof 78.01-78.02 A change to heading 78.01 through 78.02 from any other chapter. 7804.11-7804.20 A change to subheading 7804.11 through 7804.20 from any other subheading, including another subheading within that group; or A change to foil of a thickness not exceeding 0.15 mm (excluding backing) of subheading 7804.11 from within that subheading, whether or not there is also a change from any other subheading. 78.06 A change to a good of heading 78.06 from any other good within that heading or any other heading. Chapter 79 Zinc and Articles Thereof 79.01-79.02 A change to heading 79.01 through 79.02 from any other chapter. 7903.10 A change to subheading 7903.10 from any other chapter. 7903.90 A change to subheading 7903.90 from any other heading.</w:t>
      </w:r>
    </w:p>
    <w:p>
      <w:pPr>
        <w:pStyle w:val="Normal"/>
        <w:widowControl/>
        <w:rPr/>
      </w:pPr>
      <w:r>
        <w:rPr/>
        <w:t>79.04 A change to heading 79.04 from any other heading; or A change to wire of heading 79.04 from within that heading, whether or not there is also a change from any other heading, provided that, if bar or rod is used, the cross-sectional area of the bar or rod is reduced by at least 50 percent. 4-B-81 79.05 A change to heading 79.05 from any other heading; or A change to foil of a thickness not exceeding 0.15 mm (excluding backing) of heading 79.05 from within that heading, whether or not there is also a change from any other heading. 79.07 A change to a good of heading 79.07 from any other good within that heading or any other heading. Chapter 80 Tin and Articles Thereof 80.01-80.02 A change to heading 80.01 through 80.02 from any other chapter.</w:t>
      </w:r>
    </w:p>
    <w:p>
      <w:pPr>
        <w:pStyle w:val="Normal"/>
        <w:widowControl/>
        <w:rPr/>
      </w:pPr>
      <w:r>
        <w:rPr/>
        <w:t>80.03 A change to heading 80.03 from any other heading; or A change to wire of heading 80.03 from within that heading, whether or not there is also a change from any other heading, provided that, if bar or rod is used, the cross-sectional area of the bar or rod is reduced by at least 50 percent. 80.07 A change to a good of heading 80.07 from any other good within that heading or any other heading. Chapter 81 Other Base Metals; Cermets; Articles Thereof 8101.10-8101.97 A change to subheading 8101.10 through 8101.97 from any other subheading, including another subheading within that group. 8101.99 A change to a good of subheading 8101.99 from any other good within that subheading or any other subheading.</w:t>
      </w:r>
    </w:p>
    <w:p>
      <w:pPr>
        <w:pStyle w:val="Normal"/>
        <w:widowControl/>
        <w:rPr/>
      </w:pPr>
      <w:r>
        <w:rPr/>
        <w:t>8102.10-8107.90 A change to subheading 8102.10 through 8107.90 from any other subheading, including another subheading within that group. 8108.20 A change to subheading 8108.20 from any other chapter; or A change from any other subheading whether or not there is also a change from any other chapter, provided there is a regional value content of not less than: (a) 60 percent where the transaction value method is used; or (b) 50 percent where the net cost method is used. 4-B-82 82.01 8108.30 A change to subheading 8108.30 from any other subheading. 8108.90 A change to subheading 8108.90 from any other chapter; or A change to subheading 8108.90 from any other subheading, whether or not there is also a change from any other chapter, provided there is a regional value content of not less than: (a) 60 percent where the transaction value method is used; or (b) 50 percent where the net cost method is used.</w:t>
      </w:r>
    </w:p>
    <w:p>
      <w:pPr>
        <w:pStyle w:val="Normal"/>
        <w:widowControl/>
        <w:rPr/>
      </w:pPr>
      <w:r>
        <w:rPr/>
        <w:t>8109.20-8110.90 A change to subheading 8109.20 through 8110.90 from any other subheading, including another subheading within that group 81.11 A change to manganese powders or articles of manganese of heading 81.11 from any other good of heading 81.11; or A change to any other good of heading 81.11 from any other heading. 8112.12-8112.59 A change to subheading 8112.12 through 8112.59 from any other subheading, including another subheading within that group.</w:t>
      </w:r>
    </w:p>
    <w:p>
      <w:pPr>
        <w:pStyle w:val="Normal"/>
        <w:widowControl/>
        <w:rPr/>
      </w:pPr>
      <w:r>
        <w:rPr/>
        <w:t>8112.92-8112.99 A change to a good of any of subheading 8112.92 through 8112.99 from any other good within that subheading or any other subheading, including another subheading within that group. 81.13 A change to heading 81.13 from any other heading. Chapter 82 Tools, Implements, Cutlery, Spoons and Forks, of Base Metal; Parts Thereof of Base Metal A change to heading 82.01 from any other chapter. 8202.10-8202.20 A change to subheading 8202.10 through 8202.20 from any other chapter. 8202.31 A change to subheading 8202.31 from any other chapter; or A change to subheading 8202.31 from subheading 8202.39, whether or not there is also a change from any other chapter, provided there is a regional value content of not less than: (a) 60 percent where the transaction value method is used; or 4-B-83 (b) 50 percent where the net cost method is used. 8202.39-8202.99 A change to subheading 8202.39 through 8202.99 from any other chapter. 82.03-82.06 A change to heading 82.03 through 82.06 from any other chapter.</w:t>
      </w:r>
    </w:p>
    <w:p>
      <w:pPr>
        <w:pStyle w:val="Normal"/>
        <w:widowControl/>
        <w:rPr/>
      </w:pPr>
      <w:r>
        <w:rPr/>
        <w:t>8207.13 A change to subheading 8207.13 from any other chapter; or A change to subheading 8207.13 from subheading 8207.19, whether or not there is also a change from any other chapter, provided there is a regional value content of not less than: (a) 60 percent where the transaction value method is used; or (b) 50 percent where the net cost method is used. 8207.19-8207.90 A change to subheading 8207.19 through 8207.90 from any other chapter.</w:t>
      </w:r>
    </w:p>
    <w:p>
      <w:pPr>
        <w:pStyle w:val="Normal"/>
        <w:widowControl/>
        <w:rPr/>
      </w:pPr>
      <w:r>
        <w:rPr/>
        <w:t>82.08-82.10 A change to heading 82.08 through 82.10 from any other chapter. 8211.10 A change to subheading 8211.10 from any other chapter. 8211.91-8211.93 A change to subheading 8211.91 through 8211.93 from any other chapter; or A change to subheading 8211.91 through 8211.93 from subheading 8211.95, whether or not there is also a change from any other chapter, provided there is a regional value content of not less than: (a) 60 percent where the transaction value method is used; or (b) 50 percent where the net cost method is used. 8211.94-8211.95 A change to subheading 8211.94 through 8211.95 from any other chapter. 82.12-82.15 A change to heading 82.12 through 82.15 from any other chapter. Chapter 83 Miscellaneous Articles of Base Metal 4-B-84 8301.10-8301.5014 A change to subheading 8301.10 through 8301.50 from any other chapter; or A change to subheading 8301.10 through 8301.50 from subheading 8301.60, whether or not there is also a change from any other chapter, provided there is a regional value content of not less than:</w:t>
      </w:r>
    </w:p>
    <w:p>
      <w:pPr>
        <w:pStyle w:val="Normal"/>
        <w:widowControl/>
        <w:rPr/>
      </w:pPr>
      <w:r>
        <w:rPr/>
        <w:t>(a) 60 percent where the transaction value method is used; or (b) 50 percent where the net cost method is used. 8301.60-8301.70 A change to subheading 8301.60 through 8301.70 from any other chapter. 83.02-83.04 A change to heading 83.02 through 83.04 from any other heading, including another heading within that group.</w:t>
      </w:r>
    </w:p>
    <w:p>
      <w:pPr>
        <w:pStyle w:val="Normal"/>
        <w:widowControl/>
        <w:rPr/>
      </w:pPr>
      <w:r>
        <w:rPr/>
        <w:t>8305.10-8305.20 A change to subheading 8305.10 through 8305.20 from any other chapter; or A change to subheading 8305.10 through 8305.20 from subheading 8305.90, whether or not there is also a change from any other chapter, provided there is a regional value content of not less than: (a) 60 percent where the transaction value method is used; or (b) 50 percent where the net cost method is used. 8305.90 A change to subheading 8305.90 from any other heading. 83.06-83.07 A change to heading 83.06 through 83.07 from any other chapter. 8308.10-8308.20 A change to subheading 8308.10 through 8308.20 from any other chapter; or A change to subheading 8308.10 through 8308.20 from subheading 8308.90, whether or not there is also a change from any other chapter, provided there is a regional value content of not less than: (a) 60 percent where the transaction value method is used; or 14 If the good is for use in a vehicle of Chapter 87, the provisions of the Appendix to this Annex apply. 4-B-85 (b) 50 percent where the net cost method is used.</w:t>
      </w:r>
    </w:p>
    <w:p>
      <w:pPr>
        <w:pStyle w:val="Normal"/>
        <w:widowControl/>
        <w:rPr/>
      </w:pPr>
      <w:r>
        <w:rPr/>
        <w:t>8308.90 A change to subheading 8308.90 from any other heading. 83.09-83.10 A change to heading 83.09 through 83.10 from any other chapter.</w:t>
      </w:r>
    </w:p>
    <w:p>
      <w:pPr>
        <w:pStyle w:val="Normal"/>
        <w:widowControl/>
        <w:rPr/>
      </w:pPr>
      <w:r>
        <w:rPr/>
        <w:t>8311.10-8311.30 A change to subheading 8311.10 through 8311.30 from any other chapter; or A change to subheading 8311.10 through 8311.30 from subheading 8311.90, whether or not there is also a change from any other chapter, provided there is a regional value content of not less than: (a) 60 percent where the transaction value method is used; or (b) 50 percent where the net cost method is used. 8311.90 A change to subheading 8311.90 from any other heading. Section XVI - Machinery and Mechanical Appliances; Electrical Equipment; Parts Thereof; Sound Recorders and Reproducers, Television Image and Sound Recorders and Reproducers, and Parts and Accessories of Such Articles (Chapter 84-85) Chapter 84 Nuclear Reactors, Boilers, Machinery and Mechanical Appliances; Parts Thereof Note 1: For the purposes of this Chapter, the term “printed circuit assembly” means a good consisting of one or more printed circuits of heading 85.34 with one or more active elements assembled thereon, with or without passive elements. For the purposes of this Note, “active elements” means diodes, transistors and similar semiconductor devices, whether or not photosensitive, of heading 85.41 and integrated circuits of heading 85.42 and microassemblies of heading 85.43 or 85.48.</w:t>
      </w:r>
    </w:p>
    <w:p>
      <w:pPr>
        <w:pStyle w:val="Normal"/>
        <w:widowControl/>
        <w:rPr/>
      </w:pPr>
      <w:r>
        <w:rPr/>
        <w:t>Note 2: For the purposes of subheading 8471.49, the origin of each unit presented within a system shall be determined in accordance with the rule that would be applicable to such unit if it were presented separately and the rate of duty applicable to each unit presented within a system shall be: (a) in the case of Mexico, the rate that would be applicable to such unit if it were presented separately; and 4-B-86 (b) in the case of Canada and the United States, the rate that is applicable to such unit under the appropriate tariff item within subheading 8471.49. For the purposes of this Note, the term “unit presented within a system” shall mean: (a) a separate unit as described in Note 5(B) to Chapter 84 of the Harmonized System; or (b) any other separate machine that is presented and classified with a system under subheading 8471.49.</w:t>
      </w:r>
    </w:p>
    <w:p>
      <w:pPr>
        <w:pStyle w:val="Normal"/>
        <w:widowControl/>
        <w:rPr/>
      </w:pPr>
      <w:r>
        <w:rPr/>
        <w:t>Note 3: The following are parts for those goods of subheading 8443.31 or 8443.32: (a) control or command assemblies, incorporating more than one of the following: printed circuit assembly; hard or flexible (floppy) disc drive; keyboard; user interface; (b) light source assemblies, incorporating more than one of the following: light emitting diode assembly; gas laser; mirror polygon assembly; base casting; (c) laser imaging assemblies, incorporating more than one of the following: photoreceptor belt or cylinder; toner receptable unit; toner developing unit; charge/discharge unit; cleaning unit; (d) image fixing assemblies, incorporating more than one of the following: fuser; pressure roller; heating element; release oil dispenser; cleaning unit; electrical control; (e) ink-jet marking assemblies, incorporating more than one of the following: thermal print head; ink dispensing unit; nozzle and reservoir unit; ink heater; (f) maintenance/sealing assemblies, incorporating more than one of the following: vacuum unit; ink-jet covering unit; sealing unit; purging unit; (g) paper handling assemblies, incorporating more than one of the following: paper transport belt; roller; print bar; carriage; gripper roller; paper storage unit; exit tray;</w:t>
      </w:r>
    </w:p>
    <w:p>
      <w:pPr>
        <w:pStyle w:val="Normal"/>
        <w:widowControl/>
        <w:rPr/>
      </w:pPr>
      <w:r>
        <w:rPr/>
        <w:t>4-B-87 (h) thermal transfer imaging assemblies, incorporating more than one of the following: thermal print head, cleaning unit; supply or take-up roller; (i) ionographic imaging assemblies, incorporating more than one of the following: ion</w:t>
      </w:r>
    </w:p>
    <w:p>
      <w:pPr>
        <w:pStyle w:val="Normal"/>
        <w:widowControl/>
        <w:rPr/>
      </w:pPr>
      <w:r>
        <w:rPr/>
        <w:t>generation and emitting unit; air assist unit; printed circuit assembly; charge receptor belt or cyclinder; toner receptacle unit; toner distribution unit; developer receptacle and distribution unit; developing unit; charge/discharge unit; cleaning unit; or (j) combinations of the above specified assemblies. Note 4: The following are parts for facsimile machines: (a) control or command assemblies, incorporating more than one of the following: printed circuit assembly; modem; hard or flexible (floppy) disc drive; keyboard; user interface; (b) optics module assemblies, incorporating more than one of the following: optics lamp; charge couples device and appropriate optics; lenses; mirror; (c) laser imaging assemblies, incorporating more than one of the following: photoreceptor belt or cylinder; toner receptacle unit; toner developing unit; charge/discharge unit; cleaning unit; (d) ink-jet marking assemblies, incorporating more than one of the following: thermal print head; ink dispensing unit; nozzle and reservoir unit; ink heater; (e) thermal transfer imaging assemblies, incorporating more than one of the following: thermal print head, cleaning unit; supply or take-up roller;</w:t>
      </w:r>
    </w:p>
    <w:p>
      <w:pPr>
        <w:pStyle w:val="Normal"/>
        <w:widowControl/>
        <w:rPr/>
      </w:pPr>
      <w:r>
        <w:rPr/>
        <w:t>(f) ionographic imaging assemblies, incorporating more than one of the following: ion generation and emitting unit; air assist unit; printed circuit assembly; charge receptor belt or cyclinder; toner receptacle unit; toner distribution unit; developer receptacle and distribution unit; developing unit;</w:t>
      </w:r>
    </w:p>
    <w:p>
      <w:pPr>
        <w:pStyle w:val="Normal"/>
        <w:widowControl/>
        <w:rPr/>
      </w:pPr>
      <w:r>
        <w:rPr/>
        <w:t>charge/discharge unit; cleaning unit; (g) image fixing assemblies, incorporating more than one of the following: fuser; pressure roller; heating element; release oil dispenser; cleaning unit; electrical control; 4-B-88 (h) paper handling assemblies, incorporating more than one of the following: paper transport belt; roller; print bar; carriage; gripper roller; paper storage unit; exit tray; or (i) combinations of the above specified assemblies. Note 5: The following are parts for photocopying apparatus of subheading 8443.32 and 8443.39 which refer to this Note: (a) imaging assemblies, incorporating more than one of the following: photoreceptor belt or cylinder; toner receptacle unit; toner distribution unit; developer receptacle unit; developer distribution unit; charge/discharge unit; cleaning unit; (b) optics assemblies, incorporating more than one of the following: lens; mirror; illumination source; document exposure glass; (c) user control assemblies incorporating more than one of the following: printed circuit assembly; power supply; user input keyboard; wiring harness; display unit (cathode-ray type or flat panel); (d) image fixing assemblies, incorporating more than one of the following: fuser; pressure roller; heating element; release oil dispenser; cleaning unit; electrical control;</w:t>
      </w:r>
    </w:p>
    <w:p>
      <w:pPr>
        <w:pStyle w:val="Normal"/>
        <w:widowControl/>
        <w:rPr/>
      </w:pPr>
      <w:r>
        <w:rPr/>
        <w:t>(e) paper handling assemblies incorporating more than one of the following: paper transport belt; roller; print bar; carriage; gripper roller; paper storage unit; exit tray; (f) or</w:t>
      </w:r>
    </w:p>
    <w:p>
      <w:pPr>
        <w:pStyle w:val="Normal"/>
        <w:widowControl/>
        <w:rPr/>
      </w:pPr>
      <w:r>
        <w:rPr/>
        <w:t>combinations of the above specified assemblies. 8401.10-8401.30 A change to subheading 8401.10 through 8401.30 from any other heading; or A change to subheading 8401.10 through 8401.30 from subheading 8401.40, whether or not there is also a change from any other heading, provided there is a regional value content of not less than: (a) 60 percent where the transaction value method is used; or (b) 50 percent where the net cost method is used. 8401.40 A change to subheading 8401.40 from any other heading. 4-B-89 8402.11-8402.20 A change to subheading 8402.11 through 8402.20 from any other heading; or A change to subheading 8402.11 through 8402.20 from subheading 8402.90, whether or not there is also a change from any other heading, provided there is a regional value content of not less than: (a) 60 percent where the transaction value method is used; or (b) 50 percent where the net cost method is used.</w:t>
      </w:r>
    </w:p>
    <w:p>
      <w:pPr>
        <w:pStyle w:val="Normal"/>
        <w:widowControl/>
        <w:rPr/>
      </w:pPr>
      <w:r>
        <w:rPr/>
        <w:t>8402.90 A change to subheading 8402.90 from any other heading; or No required change in tariff classification to subheading 8402.90, provided there is a regional value content of not less than: (a) 60 percent where the transaction value method is used; or (b) 50 percent where the net cost method is used.</w:t>
      </w:r>
    </w:p>
    <w:p>
      <w:pPr>
        <w:pStyle w:val="Normal"/>
        <w:widowControl/>
        <w:rPr/>
      </w:pPr>
      <w:r>
        <w:rPr/>
        <w:t>8403.10 A change to subheading 8403.10 from any other heading; or A change to subheading 8403.10 from subheading 8403.90, whether or not there is also a change from any other heading, provided there is a regional value content of not less than: (a) 60 percent where the transaction value method is used; or (b) 50 percent where the net cost method is used. 8403.90 A change to subheading 8403.90 from any other heading. 8404.10-8404.20 A change to subheading 8404.10 through 8404.20 from any other heading; or A change to subheading 8404.10 through 8404.20 from subheading 8404.90, whether or not there is also a change from any other heading, provided there is a regional value content of not less than: (a) 60 percent where the transaction value method is used; or (b) 50 percent where the net cost method is used. 8404.90 A change to subheading 8404.90 from any other heading.</w:t>
      </w:r>
    </w:p>
    <w:p>
      <w:pPr>
        <w:pStyle w:val="Normal"/>
        <w:widowControl/>
        <w:rPr/>
      </w:pPr>
      <w:r>
        <w:rPr/>
        <w:t>4-B-90 8405.10 A change to subheading 8405.10 from any other heading; or A change to subheading 8405.10 from subheading 8405.90, whether or not there is also a change from any other heading, provided there is a regional value content of not less than: (a) 60 percent where the transaction value method is used; or (b) 50 percent where the net cost method is used. 8405.90 A change to subheading 8405.90 from any other heading. 8406.10 A change to subheading 8406.10 from any other subheading. 8406.81-8406.82 A change to subheading 8406.81 through 8406.82 from any subheading outside that group.</w:t>
      </w:r>
    </w:p>
    <w:p>
      <w:pPr>
        <w:pStyle w:val="Normal"/>
        <w:widowControl/>
        <w:rPr/>
      </w:pPr>
      <w:r>
        <w:rPr/>
        <w:t>8406.90.aa A change to tariff item 8406.90.aa from tariff item 8406.90.cc or any other heading; or A change to tariff item 8406.90.aa from any other good within subheading 8406.90, whether or not there is also a change from tariff item 8406.90.cc or any other heading, provided there is a regional value content of not less than: (a) 60 percent where the transaction value method is used; or (b) 50 percent where the net cost method is used. 8406.90.bb A change to tariff item 8406.90.bb from any other tariff item; or No required change in tariff classification to tariff item 8406.90.bb, provided there is a regional value content of not less than: (a) 60 percent where the transaction value method is used; or (b) 50 percent where the net cost method is used. 8406.90 A change to subheading 8406.90 from any other heading. 8407.10-8407.29 A change to subheading 8407.10 through 8407.29 from any other heading, provided there is a regional value content of not less than:</w:t>
      </w:r>
    </w:p>
    <w:p>
      <w:pPr>
        <w:pStyle w:val="Normal"/>
        <w:widowControl/>
        <w:rPr/>
      </w:pPr>
      <w:r>
        <w:rPr/>
        <w:t>4-B-91 (a) 60 percent where the transaction value method is used; or (b) 50 percent where the net cost method is used. 8407.31-8407.3415 For a good of heading 8407.31 through 8407.34 for use in a passenger vehicle or light truck: No required change in tariff classification to a good of subheading 8407.31 through 8407.34, provided there is a regional value content of not less than 75 percent under the net cost method.</w:t>
      </w:r>
    </w:p>
    <w:p>
      <w:pPr>
        <w:pStyle w:val="Normal"/>
        <w:widowControl/>
        <w:rPr/>
      </w:pPr>
      <w:r>
        <w:rPr/>
        <w:t>For a good of heading 8407.31 through 8407.34 for use in a heavy truck: No required change in tariff classification to a good of subheading 8407.31 through 8407.34, provided there is a regional value content of not less than 70 percent under the net cost method. For any other good of heading 8407.31 through 8407.34: A change to subheading 8407.31 through 8407.34 from any other heading, provided there is a regional value content of not less than: (a) 60 percent where the transaction value method is used; or (b) 50 percent where the net cost method is used. 8407.90 A change to subheading 8407.90 from any other subheading. 8408.10 A change to subheading 8408.10 from any other subheading. 8408.2016 For a compression-ignition internal combustion piston engine of 8408.20 used for a light truck: 15 If the good is for use in a vehicle of Chapter 87, the provisions of the Appendix to this Annex apply. 16 If the good is for use in a vehicle of Chapter 87, the provisions of the Appendix to this Annex apply.</w:t>
      </w:r>
    </w:p>
    <w:p>
      <w:pPr>
        <w:pStyle w:val="Normal"/>
        <w:widowControl/>
        <w:rPr/>
      </w:pPr>
      <w:r>
        <w:rPr/>
        <w:t>4-B-92 No required change in tariff classification to a good of subheading 8408.20, provided there is a regional value content of not less than: (a) 85 percent where the transaction value method is used; or (b) 75 percent where the net cost method is used.</w:t>
      </w:r>
    </w:p>
    <w:p>
      <w:pPr>
        <w:pStyle w:val="Normal"/>
        <w:widowControl/>
        <w:rPr/>
      </w:pPr>
      <w:r>
        <w:rPr/>
        <w:t>For a good of heading 8408.20 for use in a heavy truck: A change to subheading 8408.20 from any other heading, provided there is a regional value content of not less than: (a) 80 percent where the transaction value method is used; or (b) 70 percent where the net cost method is used. For any other good of heading 8408.20: A change to subheading 8408.20 from any other heading, provided there is a regional value content of not less than: (a) 60 percent where the transaction value method is used; or (b) 50 percent where the net cost method is used. 8408.90 A change to subheading 8408.90 from any other subheading. 8409.10 A change to subheading 8409.10 from any other heading. 8409.9117 For a good of heading 8409.91 for use in a passenger vehicle or light truck: No required change in tariff classification to a good of subheading 8409.91, provided there is a regional value content of not less than 75 percent under the net cost method.</w:t>
      </w:r>
    </w:p>
    <w:p>
      <w:pPr>
        <w:pStyle w:val="Normal"/>
        <w:widowControl/>
        <w:rPr/>
      </w:pPr>
      <w:r>
        <w:rPr/>
        <w:t>17 If the good is for use in a vehicle of Chapter 87, the provisions of the Appendix to this Annex apply. 4-B-93 For a good of heading 8409.91 for use in a heavy truck: No required change in tariff classification to a good of subheading 8409.91, provided there is a regional value content of not less than 70 percent under the net cost method.</w:t>
      </w:r>
    </w:p>
    <w:p>
      <w:pPr>
        <w:pStyle w:val="Normal"/>
        <w:widowControl/>
        <w:rPr/>
      </w:pPr>
      <w:r>
        <w:rPr/>
        <w:t>For any other good of heading 8409.91: A change to subheading 8409.91 from any other heading; or No required change in tariff classification to subheading 8409.91, provided there is a regional value content of not less than: (a) 60 percent where the transaction value method is used; or (b) 50 percent where the net cost method is used. 8409.9918 For a good of heading 8409.99 for use in a passenger vehicle or light truck: No required change in tariff classification to a good of subheading 8409.91, provided there is a regional value content of not less than 75 percent under the net cost method. For a good of heading 8409.99 for use in a heavy truck: No required change in tariff classification to a good of subheading 8409.91, provided there is a regional value content of not less than 70 percent under the net cost method. For any other good of heading 8409.99:</w:t>
      </w:r>
    </w:p>
    <w:p>
      <w:pPr>
        <w:pStyle w:val="Normal"/>
        <w:widowControl/>
        <w:rPr/>
      </w:pPr>
      <w:r>
        <w:rPr/>
        <w:t>A change to subheading 8409.99 from any other heading; or No required change in tariff classification to subheading 8409.99, provided there is a regional value content of not less than: 18 If the good is for use in a vehicle of Chapter 87, the provisions of the Appendix to this Annex apply. 4-B-94 (a) 60 percent where the transaction value method is used; or (b) 50 percent where the net cost method is used.</w:t>
      </w:r>
    </w:p>
    <w:p>
      <w:pPr>
        <w:pStyle w:val="Normal"/>
        <w:widowControl/>
        <w:rPr/>
      </w:pPr>
      <w:r>
        <w:rPr/>
        <w:t>8410.11-8410.13 A change to subheading 8410.11 through 8410.13 from any other heading; or A change to subheading 8410.11 through 8410.13 from subheading 8410.90, whether or not there is also a change from any other heading, provided there is a regional value content of not less than: (a) 60 percent where the transaction value method is used; or (b) 50 percent where the net cost method is used. 8410.90 A change to subheading 8410.90 from any other heading. 8411.11-8411.82 A change to subheading 8411.11 through 8411.82 from any subheading outside that group. 8411.91 A change to subheading 8411.91 from any other heading. 8411.99 A change to subheading 8411.99 from any other heading; or No required change in tariff classification to subheading 8411.99, provided there is a regional value content of not less than: (a) 60 percent where the transaction value method is used; or (b) 50 percent where the net cost method is used. 8412.10-8412.80 A change to subheading 8412.10 through 8412.80 from any other subheading, including another subheading within that group.</w:t>
      </w:r>
    </w:p>
    <w:p>
      <w:pPr>
        <w:pStyle w:val="Normal"/>
        <w:widowControl/>
        <w:rPr/>
      </w:pPr>
      <w:r>
        <w:rPr/>
        <w:t>8412.90 A change to subheading 8412.90 from any other heading. 8413.11-8413.8219 A change to subheading 8413.11 through 8413.82 from any other heading; or 19 If the good is for use in a vehicle of Chapter 87, the provisions of the Appendix to this Annex apply.</w:t>
      </w:r>
    </w:p>
    <w:p>
      <w:pPr>
        <w:pStyle w:val="Normal"/>
        <w:widowControl/>
        <w:rPr/>
      </w:pPr>
      <w:r>
        <w:rPr/>
        <w:t>4-B-95 A change to subheading 8413.11 through 8413.82 from subheading 8413.91 through 8413.92, whether or not there is also a change from any other heading, provided there is a regional value content of not less than: (a) 60 percent where the transaction value method is used; or (b) 50 percent where the net cost method is used. 8413.91 A change to subheading 8413.91 from any other heading. 8413.92 A change to subheading 8413.92 from any other heading; or No required change in tariff classification to subheading 8413.92, provided there is a regional value content of not less than: (a) 60 percent where the transaction value method is used; or (b) 50 percent where the net cost method is used. 8414.10-8414.20 A change to subheading 8414.10 through 8414.20 from any other heading; or A change to subheading 8414.10 through 8414.20 from subheading 8414.90, whether or not there is also a change from any other heading, provided there is a regional value content of not less than:</w:t>
      </w:r>
    </w:p>
    <w:p>
      <w:pPr>
        <w:pStyle w:val="Normal"/>
        <w:widowControl/>
        <w:rPr/>
      </w:pPr>
      <w:r>
        <w:rPr/>
        <w:t>(a) 60 percent where the transaction value method is used; or (b) 50 percent where the net cost method is used. 8414.3020 A change to subheading 8414.30 from any other subheading, except from tariff item 8414.90.aa.</w:t>
      </w:r>
    </w:p>
    <w:p>
      <w:pPr>
        <w:pStyle w:val="Normal"/>
        <w:widowControl/>
        <w:rPr/>
      </w:pPr>
      <w:r>
        <w:rPr/>
        <w:t>8414.40 A change to subheading 8414.40 from any other heading; or A change to subheading 8414.40 from subheading 8414.90, whether or not there is also a change from any other heading, provided there is a regional value content of not less than: (a) 60 percent where the transaction value method is used; or 20 If the good is for use in a vehicle of Chapter 87, the provisions of the Appendix to this Annex apply. 4-B-96 (b) 50 percent where the net cost method is used. 8414.51 A change to subheading 8414.51 from any other subheading. 8414.59-8414.8021 A change to subheading 8414.59 through 8414.80 from any other heading; or A change to subheading 8414.59 through 8414.80 from subheading 8414.90, whether or not there is also a change from any other heading, provided there is a regional value content of not less than: (a) 60 percent where the transaction value method is used; or (b) 50 percent where the net cost method is used.</w:t>
      </w:r>
    </w:p>
    <w:p>
      <w:pPr>
        <w:pStyle w:val="Normal"/>
        <w:widowControl/>
        <w:rPr/>
      </w:pPr>
      <w:r>
        <w:rPr/>
        <w:t>8414.90 A change to subheading 8414.90 from any other heading; or No required change in tariff classification to subheading 8414.90, provided there is a regional value content of not less than: (a) 60 percent where the transaction value method is used; or (b) 50 percent where the net cost method is used.</w:t>
      </w:r>
    </w:p>
    <w:p>
      <w:pPr>
        <w:pStyle w:val="Normal"/>
        <w:widowControl/>
        <w:rPr/>
      </w:pPr>
      <w:r>
        <w:rPr/>
        <w:t>8415.10 A change to self-contained window or wall type air conditioning machines of subheading 8415.10 from any other subheading, except from tariff item 8415.90.aa or assemblies incorporating more than one of the following: compressor, condenser, evaporator, connecting tubing; A change to “split-systems” of subheading 8415.10 from any other subheading, except from subheading 8415.20 through 8415.83, tariff item 8415.90.aa or assemblies incorporating more than one of the following: compressor, condenser, evaporator, connecting tubing; or A change to “split-systems” of subheading 8415.10 from tariff item 8415.90.aa or assemblies incorporating more than one of the following: compressor, condenser, evaporator, connecting tubing, whether or not there is also a change from subheading 8415.20 through 8415.83, provided there is a regional value content of not less than: 21 If the good is for use in a vehicle of Chapter 87, the provisions of the Appendix to this Annex apply. 4-B-97 (a) 60 percent where the transaction value method is used; or (b) 50 percent where the net cost method is used.</w:t>
      </w:r>
    </w:p>
    <w:p>
      <w:pPr>
        <w:pStyle w:val="Normal"/>
        <w:widowControl/>
        <w:rPr/>
      </w:pPr>
      <w:r>
        <w:rPr/>
        <w:t>8415.20-8415.8322 A change to subheading 8415.20 through 8415.83 from any subheading outside that group, except from “split-systems” of subheading 8415.10, tariff item 8415.90.aa or assemblies incorporating more than one of the following: compressor, condenser, evaporator, connecting tubing; or A change to subheading 8415.20 through 8415.83 from tariff item 8415.90.aa or assemblies incorporating more than one of the following: compressor, condenser, evaporator, connecting tubing, whether or not there is also a change from any subheading outside that group, except from “split-systems” of subheading 8415.10, provided there is a regional value content of not less than: (a) 60 percent where the transaction value method is used; or (b) 50 percent where the net cost method is used. 8415.90 8415.90.aa A change to tariff item 8415.90.aa from any other tariff item. 8415.90 A change to subheading 8415.90 from any other heading.</w:t>
      </w:r>
    </w:p>
    <w:p>
      <w:pPr>
        <w:pStyle w:val="Normal"/>
        <w:widowControl/>
        <w:rPr/>
      </w:pPr>
      <w:r>
        <w:rPr/>
        <w:t>8416.10-8416.30 A change to subheading 8416.10 through 8416.30 from any other heading; or A change to subheading 8416.10 through 8416.30 from subheading 8416.90, whether or not there is also a change from any other heading, provided there is a regional value content of not less than: (a) 60 percent where the transaction value method is used; or (b) 50 percent where the net cost method is used. 8416.90 A change to subheading 8416.90 from any other heading. 22 If the good is for use in a vehicle of Chapter 87, the provisions of the Appendix to this Annex apply.</w:t>
      </w:r>
    </w:p>
    <w:p>
      <w:pPr>
        <w:pStyle w:val="Normal"/>
        <w:widowControl/>
        <w:rPr/>
      </w:pPr>
      <w:r>
        <w:rPr/>
        <w:t>4-B-98 8417.10-8417.80 A change to subheading 8417.10 through 8417.80 from any other heading; or A change to subheading 8417.10 through 8417.80 from subheading 8417.90, whether or not there is also a change from any other heading, provided there is a regional value content of not less than: (a) 60 percent where the transaction value method is used; or (b) 50 percent where the net cost method is used. 8417.90 A change to subheading 8417.90 from any other heading. 8418.10-8418.21 A change to subheading 8418.10 through 8418.21 from any subheading outside that group, except from subheading 8418.91, tariff item 8418.99.aa or assemblies incorporating more than one of the following: compressor, condenser, evaporator, connecting tubing. 8418.29 A change to absorption-type electrical household refrigerators of subheading 8418.29 from any other heading; A change to absorption-type electrical household refrigerators of subheading 8418.29 from subheading 8418.91 through 8418.99, whether or not there is also a change from any other heading, provided there is a regional value content of not less than:</w:t>
      </w:r>
    </w:p>
    <w:p>
      <w:pPr>
        <w:pStyle w:val="Normal"/>
        <w:widowControl/>
        <w:rPr/>
      </w:pPr>
      <w:r>
        <w:rPr/>
        <w:t>(a) 60 percent where the transaction value method is used; or (b) 50 percent where the net cost method is used; or A change to any other good of subheading 8418.29 from any other subheading, except from subheading 8418.30, 8418.40 or 8418.91, door assemblies incorporating more than one of the following: inner panel, outer panel, insulation, hinges, handles of subheading 8418.99 or</w:t>
      </w:r>
    </w:p>
    <w:p>
      <w:pPr>
        <w:pStyle w:val="Normal"/>
        <w:widowControl/>
        <w:rPr/>
      </w:pPr>
      <w:r>
        <w:rPr/>
        <w:t>assemblies incorporating more than one of the following: compressor, condenser, evaporator, connecting tubing. 8418.30-8418.40 A change to subheading 8418.30 through 8418.40 from any subheading outside that group, except from any good, other than absorption-type electrical household refrigerators, of subheading 8418.29 or 8418.91, door assemblies incorporating more than one of the following: inner panel, outer panel, insulation, hinges, handles of subheading 8418.99 or assemblies incorporating more than one of the following: compressor, condenser, evaporator, connecting tubing. 4-B-99 8418.50-8418.69 A change to subheading 8418.50 through 8418.69 from any other heading; or A change to subheading 8418.50 through 8418.69 from subheading 8418.91 through 8418.99, whether or not there is also a change from any other heading, provided there is a regional value content of not less than: (a) 60 percent where the transaction value method is used; or (b) 50 percent where the net cost method is used. 8418.91 A change to subheading 8418.91 from any other subheading. 8418.99 8418.99.aa A change to tariff item 8418.99.aa from any other tariff item. 8418.99 A change to subheading 8418.99 from any other heading.</w:t>
      </w:r>
    </w:p>
    <w:p>
      <w:pPr>
        <w:pStyle w:val="Normal"/>
        <w:widowControl/>
        <w:rPr/>
      </w:pPr>
      <w:r>
        <w:rPr/>
        <w:t>8419.11-8419.89 A change to subheading 8419.11 through 8419.89 from any other heading; or A change to subheading 8419.11 through 8419.89 from subheading 8419.90, whether or not there is also a change from any other heading, provided there is a regional value content of not less than: (a) 60 percent where the transaction value method is used; or (b) 50 percent where the net cost method is used. 8419.90 A change to subheading 8419.90 from any other heading; or No required change in tariff classification to subheading 8419.90, provided there is a regional value content of not less than: (a) 60 percent where the transaction value method is used; or (b) 50 percent where the net cost method is used. 8420.10 A change to subheading 8420.10 from any other heading; or 4-B-100 A change to subheading 8420.10 from subheading 8420.91 through 8420.99, whether or not there is also a change from any other heading, provided there is a regional value content of not less than: (a) 60 percent where the transaction value method is used; or (b) 50 percent where the net cost method is used. 8420.91-8420.99 A change to subheading 8420.91 through 8420.99 from any other heading.</w:t>
      </w:r>
    </w:p>
    <w:p>
      <w:pPr>
        <w:pStyle w:val="Normal"/>
        <w:widowControl/>
        <w:rPr/>
      </w:pPr>
      <w:r>
        <w:rPr/>
        <w:t>8421.11 A change to subheading 8421.11 from any other heading; or A change to subheading 8421.11 from subheading 8421.91, whether or not there is also a change from any other heading, provided there is a regional value content of not less than: (a) 60 percent where the transaction value method is used; or (b) 50 percent where the net cost method is used. 8421.12 A change to subheading 8421.12 from any other subheading, except from tariff item 8421.91.aa, 8421.91.bb or 8537.10.aa. 8421.19-8421.3923 A change to subheading 8421.19 through 8421.39 from any other heading; or A change to subheading 8421.19 through 8421.39 from subheading 8421.91 through 8421.99, whether or not there is also a change from any other heading, provided there is a regional value content of not less than: (a) 60 percent where the transaction value method is used; or (b) 50 percent where the net cost method is used. 8421.91 8421.91.aa A change to tariff item 8421.91.aa from any other tariff item. 8421.91.bb A change to tariff item 8421.91.bb from any other tariff item.</w:t>
      </w:r>
    </w:p>
    <w:p>
      <w:pPr>
        <w:pStyle w:val="Normal"/>
        <w:widowControl/>
        <w:rPr/>
      </w:pPr>
      <w:r>
        <w:rPr/>
        <w:t>23 If the good is for use in a vehicle of Chapter 87, the provisions of the Appendix to this Annex apply. 4-B-101 8421.91 A change to subheading 8421.91 from any other heading.</w:t>
      </w:r>
    </w:p>
    <w:p>
      <w:pPr>
        <w:pStyle w:val="Normal"/>
        <w:widowControl/>
        <w:rPr/>
      </w:pPr>
      <w:r>
        <w:rPr/>
        <w:t>8421.99 A change to subheading 8421.99 from any other heading; or No required change in tariff classification to subheading 8421.99, provided there is a regional value content of not less than: (a) 60 percent where the transaction value method is used; or (b) 50 percent where the net cost method is used. 8422.11 A change to subheading 8422.11 from any other subheading, except from tariff item 8422.90.aa, 8422.90.bb, 8537.10.aa or water circulation systems incorporating a pump, whether or not motorized, and auxiliary apparatus for controlling, filtering, or dispersing a spray. 8422.19-8422.40 A change to subheading 8422.19 through 8422.40 from any other heading; or A change to subheading 8422.19 through 8422.40 from subheading 8422.90, whether or not there is also a change from any other heading, provided there is a regional value content of not less than: (a) 60 percent where the transaction value method is used; or (b) 50 percent where the net cost method is used. 8422.90 8422.90.aa A change to tariff item 8422.90.aa from any other tariff item. 8422.90.bb A change to tariff item 8422.90.bb from any other tariff item. 8422.90 A change to subheading 8422.90 from any other heading.</w:t>
      </w:r>
    </w:p>
    <w:p>
      <w:pPr>
        <w:pStyle w:val="Normal"/>
        <w:widowControl/>
        <w:rPr/>
      </w:pPr>
      <w:r>
        <w:rPr/>
        <w:t>8423.10-8423.89 A change to subheading 8423.10 through 8423.89 from any other heading; or A change to subheading 8423.10 through 8423.89 from subheading 8423.90, whether or not there is also a change from any other heading, provided there is a regional value content of not less than: (a) 60 percent where the transaction value method is used; or 4-B-102 (b) 50 percent where the net cost method is used. 8423.90 A change to subheading 8423.90 from any other heading. 8424.10-8424.89 A change to subheading 8424.10 through 8424.89 from any other subheading, including another subheading within that group. 8424.90 A change to subheading 8424.90 from any other heading. 84.25-84.26 A change to heading 84.25 through 84.26 from any other heading, including another heading within that group, except from heading 84.31; or A change to heading 84.25 through 84.26 from heading 84.31, whether or not there is also a change from any other heading, including another heading within that group, provided there is a regional value content of not less than: (a) 60 percent where the transaction value method is used; or (b) 50 percent where the net cost method is used.</w:t>
      </w:r>
    </w:p>
    <w:p>
      <w:pPr>
        <w:pStyle w:val="Normal"/>
        <w:widowControl/>
        <w:rPr/>
      </w:pPr>
      <w:r>
        <w:rPr/>
        <w:t>8427.10 8427.10.aa A change to tariff item 8427.10.aa from any other heading, except from subheading 8431.20 or 8483.40 or heading 85.01; or A change to tariff item 8427.10.aa from subheading 8431.20 or 8483.40 or heading 85.01, whether or not there is also a change from any other heading, provided there is a regional value content of not less than: (a) 60 percent where the transaction value method is used; or (b) 50 percent where the net cost method is used. 8427.10 A change to subheading 8427.10 from any other heading, except from subheading 8431.20; or A change to subheading 8427.10 from subheading 8431.20, whether or not there is also a change from any other heading, provided there is a regional value content of not less than: (a) 60 percent where the transaction value method is used; or 4-B-103 (b) 50 percent where the net cost method is used. 8427.20 A change to subheading 8427.20 from any other subheading.</w:t>
      </w:r>
    </w:p>
    <w:p>
      <w:pPr>
        <w:pStyle w:val="Normal"/>
        <w:widowControl/>
        <w:rPr/>
      </w:pPr>
      <w:r>
        <w:rPr/>
        <w:t>8427.90 A change to subheading 8427.90 from any other heading, except from subheading 8431.20; or A change to subheading 8427.90 from subheading 8431.20, whether or not there is also a change from any other heading, provided there is a regional value content of not less than: (a) 60 percent where the transaction value method is used; or (b) 50 percent where the net cost method is used. 8428.10-8430.69 A change to subheading 8428.10 through 8430.69 from any other subheading, including another subheading within that group.</w:t>
      </w:r>
    </w:p>
    <w:p>
      <w:pPr>
        <w:pStyle w:val="Normal"/>
        <w:widowControl/>
        <w:rPr/>
      </w:pPr>
      <w:r>
        <w:rPr/>
        <w:t>8431.10-8431.49 A change to subheading 8431.10 through 8431.49 from any other heading; or No required change in tariff classification to any of subheading 8431.10 through 8431.49, provided there is a regional value content of not less than: (a) 60 percent where the transaction value method is used; or (b) 50 percent where the net cost method is used. 8432.10-8432.80 A change to subheading 8432.10 through 8432.80 from any other subheading, including another subheading within that group. 8432.90 A change to subheading 8432.90 from any other heading. 8433.11-8433.60 A change to subheading 8433.11 through 8433.60 from any other subheading, including another subheading within that group. 8433.90 A change to subheading 8433.90 from any other heading. 8434.10-8434.20 A change to subheading 8434.10 through 8434.20 from any other heading; or 4-B-104 A change to subheading 8434.10 through 8434.20 from subheading 8434.90, whether or not there is also a change from any other heading, provided there is a regional value content of not less than:</w:t>
      </w:r>
    </w:p>
    <w:p>
      <w:pPr>
        <w:pStyle w:val="Normal"/>
        <w:widowControl/>
        <w:rPr/>
      </w:pPr>
      <w:r>
        <w:rPr/>
        <w:t>(a) 60 percent where the transaction value method is used; or (b) 50 percent where the net cost method is used. 8434.90 A change to subheading 8434.90 from any other heading. 8435.10 A change to a good of subheading 8435.10 from any other good within that subheading or any other subheading. 8435.90 A change to subheading 8435.90 from any other heading.</w:t>
      </w:r>
    </w:p>
    <w:p>
      <w:pPr>
        <w:pStyle w:val="Normal"/>
        <w:widowControl/>
        <w:rPr/>
      </w:pPr>
      <w:r>
        <w:rPr/>
        <w:t>8436.10-8436.80 A change to subheading 8436.10 through 8436.80 from any other subheading, including another subheading within that group. 8436.91-8436.99 A change to subheading 8436.91 through 8436.99 from any other heading. 8437.10-8437.80 A change to subheading 8437.10 through 8437.80 from any other heading; or A change to subheading 8437.10 through 8437.80 from subheading 8437.90, whether or not there is also a change from any other heading, provided there is a regional value content of not less than: (a) 60 percent where the transaction value method is used; or (b) 50 percent where the net cost method is used. 8437.90 A change to subheading 8437.90 from any other heading. 8438.10-8438.80 A change to subheading 8438.10 through 8438.80 from any other heading; or A change to subheading 8438.10 through 8438.80 from subheading 8438.90, whether or not there is also a change from any other heading, provided there is a regional value content of not less than: (a) 60 percent where the transaction value method is used; or (b) 50 percent where the net cost method is used. 4-B-105 8438.90 A change to subheading 8438.90 from any other heading.</w:t>
      </w:r>
    </w:p>
    <w:p>
      <w:pPr>
        <w:pStyle w:val="Normal"/>
        <w:widowControl/>
        <w:rPr/>
      </w:pPr>
      <w:r>
        <w:rPr/>
        <w:t>8439.10-8439.30 A change to subheading 8439.10 through 8439.30 from any other heading; or A change to subheading 8439.10 through 8439.30 from subheading 8439.91 through 8439.99, whether or not there is also a change from any other heading, provided there is a regional value content of not less than: (a) 60 percent where the transaction value method is used; or (b) 50 percent where the net cost method is used. 8439.91-8439.99 A change to subheading 8439.91 through 8439.99 from any other heading. 8440.10 A change to subheading 8440.10 from any other heading; or A change to subheading 8440.10 from subheading 8440.90, whether or not there is also a change from any other heading, provided there is a regional value content of not less than: (a) 60 percent where the transaction value method is used; or (b) 50 percent where the net cost method is used. 8440.90 A change to subheading 8440.90 from any other heading.</w:t>
      </w:r>
    </w:p>
    <w:p>
      <w:pPr>
        <w:pStyle w:val="Normal"/>
        <w:widowControl/>
        <w:rPr/>
      </w:pPr>
      <w:r>
        <w:rPr/>
        <w:t>8441.10-8441.80 A change to subheading 8441.10 through 8441.80 from any other heading; or A change to subheading 8441.10 through 8441.80 from subheading 8441.90, whether or not there is also a change from any other heading, provided there is a regional value content of not less than: (a) 60 percent where the transaction value method is used; or (b) 50 percent where the net cost method is used.</w:t>
      </w:r>
    </w:p>
    <w:p>
      <w:pPr>
        <w:pStyle w:val="Normal"/>
        <w:widowControl/>
        <w:rPr/>
      </w:pPr>
      <w:r>
        <w:rPr/>
        <w:t>8441.90 A change to subheading 8441.90 from any other heading; or No required change in tariff classification to subheading 8441.90, provided there is a regional value content of not less than: (a) 60 percent where the transaction value method is used; or 4-B-106 (b) 50 percent where the net cost method is used. 8442.30 A change to subheading 8442.30 from any other heading; or A change to subheading 8442.30 from subheading 8442.40 through 8442.50, whether or not there is also a change from any other heading, provided there is a regional value content of not less than: (a) 60 percent where the transaction value method is used; or (b) 50 percent where the net cost method is used. 8442.40-8442.50 A change to subheading 8442.40 through 8442.50 from any other heading.</w:t>
      </w:r>
    </w:p>
    <w:p>
      <w:pPr>
        <w:pStyle w:val="Normal"/>
        <w:widowControl/>
        <w:rPr/>
      </w:pPr>
      <w:r>
        <w:rPr/>
        <w:t>8443.11-8443.19 A change to subheading 8443.11 through 8443.19 from any other heading; or A change to subheading 8443.11 through 8443.19 from any other subheading within that group or subheading 8443.91, whether or not there is also a change from any other heading, provided there is a regional value content of not less than: (a) 60 percent where the transaction value method is used; or (b) 50 percent where the net cost method is used. 8443.31-8443.39 A change to a good of any of subheading 8443.31 through 8443.39 from any other good within that subheading or any other subheading, including another subheading within that group.</w:t>
      </w:r>
    </w:p>
    <w:p>
      <w:pPr>
        <w:pStyle w:val="Normal"/>
        <w:widowControl/>
        <w:rPr/>
      </w:pPr>
      <w:r>
        <w:rPr/>
        <w:t>8443.91 A change to subheading 8443.91 from any other subheading; or A change to a good of subheading 8443.91 from any other good within that subheading, whether or not there is also a change from any other subheading, provided there is a regional value content of not less than: (a) 60 percent where the transaction value method is used; or (b) 50 percent where the net cost method is used. 8443.99 A change to a good of subheading 8443.99 from any other good within that subheading or any other subheading. 4-B-107 84.49 84.44-84.47 A change to heading 84.44 through 84.47 from any heading outside that group, except from heading 84.48; or A change to heading 84.44 through 84.47 from heading 84.48, whether or not there is also a change from any other heading, provided there is a regional value content of not less than: (a) 60 percent where the transaction value method is used; or (b) 50 percent where the net cost method is used.</w:t>
      </w:r>
    </w:p>
    <w:p>
      <w:pPr>
        <w:pStyle w:val="Normal"/>
        <w:widowControl/>
        <w:rPr/>
      </w:pPr>
      <w:r>
        <w:rPr/>
        <w:t>8448.11-8448.19 A change to subheading 8448.11 through 8448.19 from any other heading; or A change to subheading 8448.11 through 8448.19 from subheading 8448.20 through 8448.59, whether or not there is also a change from any other heading, provided there is a regional value content of not less than: (a) 60 percent where the transaction value method is used; or (b) 50 percent where the net cost method is used. 8448.20-8448.59 A change to subheading 8448.20 through 8448.59 from any other heading. A change to heading 84.49 from any other heading.</w:t>
      </w:r>
    </w:p>
    <w:p>
      <w:pPr>
        <w:pStyle w:val="Normal"/>
        <w:widowControl/>
        <w:rPr/>
      </w:pPr>
      <w:r>
        <w:rPr/>
        <w:t>8450.11-8450.20 A change to subheading 8450.11 through 8450.20 from any subheading outside that group, except from tariff item 8450.90.aa, 8450.90.bb, 8537.10.aa or washer assemblies incorporating more than one of the following: agitator, motor, transmission, clutch. 8450.90 8450.90.aa A change to tariff item 8450.90.aa from any other tariff item. 8450.90.bb A change to tariff item 8450.90.bb from any other tariff item. 8450.90 A change to subheading 8450.90 from any other heading. 8451.10 A change to subheading 8451.10 from any other heading; or A change to subheading 8451.10 from subheading 8451.90, whether or not there is also a change from any other heading, provided there is a regional value content of not less than: 4-B-108 (a) 60 percent where the transaction value method is used; or (b) 50 percent where the net cost method is used. 8451.21-8451.29 A change to subheading 8451.21 through 8451.29 from any subheading outside that group, except from tariff item 8451.90.aa or 8451.90.bb or subheading 8537.10.</w:t>
      </w:r>
    </w:p>
    <w:p>
      <w:pPr>
        <w:pStyle w:val="Normal"/>
        <w:widowControl/>
        <w:rPr/>
      </w:pPr>
      <w:r>
        <w:rPr/>
        <w:t>8451.30-8451.80 A change to subheading 8451.30 through 8451.80 from any other heading; or A change to subheading 8451.30 through 8451.80 from subheading 8451.90, whether or not there is also a change from any other heading, provided there is a regional value content of not less than: (a) 60 percent where the transaction value method is used; or (b) 50 percent where the net cost method is used.</w:t>
      </w:r>
    </w:p>
    <w:p>
      <w:pPr>
        <w:pStyle w:val="Normal"/>
        <w:widowControl/>
        <w:rPr/>
      </w:pPr>
      <w:r>
        <w:rPr/>
        <w:t>8451.90 8451.90.aa A change to tariff item 8451.90.aa from any other tariff item. 8451.90.bb A change to tariff item 8451.90.bb from any other tariff item. 8451.90 A change to subheading 8451.90 from any other heading. 8452.10-8452.30 A change to subheading 8452.10 through 8452.30 from any other heading; or A change to subheading 8452.10 through 8452.30 from subheading 8452.90, whether or not there is also a change from any other heading, provided there is a regional value content of not less than: (a) 60 percent where the transaction value method is used; or (b) 50 percent where the net cost method is used. 8452.90 A change to subheading 8452.90 from any other heading. 8453.10-8453.80 A change to subheading 8453.10 through 8453.80 from any other heading; or 4-B-109 A change to subheading 8453.10 through 8453.80 from subheading 8453.90, whether or not there is also a change from any other heading, provided there is a regional value content of not less than: (a) 60 percent where the transaction value method is used; or (b) 50 percent where the net cost method is used. 8453.90 A change to subheading 8453.90 from any other heading.</w:t>
      </w:r>
    </w:p>
    <w:p>
      <w:pPr>
        <w:pStyle w:val="Normal"/>
        <w:widowControl/>
        <w:rPr/>
      </w:pPr>
      <w:r>
        <w:rPr/>
        <w:t>8454.10-8454.30 A change to subheading 8454.10 through 8454.30 from any other heading; or A change to subheading 8454.10 through 8454.30 from subheading 8454.90, whether or not there is also a change from any other heading, provided there is a regional value content of not less than: (a) 60 percent where the transaction value method; or (b) 50 percent where the net cost method is used. 8454.90 A change to subheading 8454.90 from any other heading. 8455.10-8455.22 A change to subheading 8455.10 through 8455.22 from any subheading outside that group, except from tariff item 8455.90.aa. 8455.30 A change to subheading 8455.30 from any other heading; or A change to subheading 8455.30 from subheading 8455.90, whether or not there is also a change from any other heading, provided there is a regional value content of not less than: (a) 60 percent where the transaction value method is used; or (b) 50 percent where the net cost method is used. 8455.90 A change to subheading 8455.90 from any other heading.</w:t>
      </w:r>
    </w:p>
    <w:p>
      <w:pPr>
        <w:pStyle w:val="Normal"/>
        <w:widowControl/>
        <w:rPr/>
      </w:pPr>
      <w:r>
        <w:rPr/>
        <w:t>8456.10 A change to subheading 8456.10 from any other heading, except from more than one of the following: - tariff item 8466.93.aa, - subheading 8537.10, - subheading 9013.20. 4-B-110 84.57 8456.20-8456.30 A change to subheading 8456.20 through 8456.30 from any other heading, except from more than one of the following: - subheading 8413.50 through 8413.60, - tariff item 8466.93.aa, - subheading 8501.32 or 8501.52, - subheading 8537.10.</w:t>
      </w:r>
    </w:p>
    <w:p>
      <w:pPr>
        <w:pStyle w:val="Normal"/>
        <w:widowControl/>
        <w:rPr/>
      </w:pPr>
      <w:r>
        <w:rPr/>
        <w:t>8456.90 A change to water-jet cutting machinery of subheading 8456.90 from any other good within that subheading, subheading 8456.10 through 8456.30 or any other heading, except from subheading 8466.93 or heading 84.79; A change to water-jet cutting machinery of subheading 8456.90 from subheading 8466.93, whether or not there is also a change from any other good within subheading 8456.90, subheading 8456.10 through 8456.30 or any other heading, except from heading 84.79, provided there is a regional value content of not less than: (a) 60 percent where the transaction value method is used, or (b) 50 percent where the net cost method is used; or A change to any other good of subheading 8456.90 from water-jet cutting machinery within that subheading or any other heading, except from more than one of the following: - subheading 8413.50 through 8413.60, - tariff item 8466.93.aa, - subheading 8501.32 or 8501.52, - subheading 8537.10.</w:t>
      </w:r>
    </w:p>
    <w:p>
      <w:pPr>
        <w:pStyle w:val="Normal"/>
        <w:widowControl/>
        <w:rPr/>
      </w:pPr>
      <w:r>
        <w:rPr/>
        <w:t>A change to heading 84.57 from any other heading, except from heading 84.59 or more than one of the following: - subheading 8413.50 through 8413.60, - tariff item 8466.93.aa, - subheading 8501.32 or 8501.52, - subheading 8537.10. 8458.11 A change to subheading 8458.11 from any other heading, except from more than one of the following: - subheading 8413.50 through 8413.60, 4-B-111 - tariff item 8466.93.aa, - subheading 8501.32 or 8501.52, - subheading 8537.10.</w:t>
      </w:r>
    </w:p>
    <w:p>
      <w:pPr>
        <w:pStyle w:val="Normal"/>
        <w:widowControl/>
        <w:rPr/>
      </w:pPr>
      <w:r>
        <w:rPr/>
        <w:t>8458.19 A change to subheading 8458.19 from any other heading, except from tariff item 8466.93.aa or subheading 8501.32 or 8501.52. 8458.91 A change to subheading 8458.91 from any other heading, except from more than one of the following: - subheading 8413.50 through 8413.60, - tariff item 8466.93.aa, - subheading 8501.32 or 8501.52, - subheading 8537.10. 8458.99 A change to subheading 8458.99 from any other heading, except from tariff item 8466.93.aa or subheading 8501.32 or 8501.52. 8459.10 A change to subheading 8459.10 from any other heading, except from tariff item 8466.93.aa or subheading 8501.32 or 8501.52.</w:t>
      </w:r>
    </w:p>
    <w:p>
      <w:pPr>
        <w:pStyle w:val="Normal"/>
        <w:widowControl/>
        <w:rPr/>
      </w:pPr>
      <w:r>
        <w:rPr/>
        <w:t>8459.21 A change to subheading 8459.21 from any other heading, except from more than one of the following: - subheading 8413.50 through 8413.60, - tariff item 8466.93.aa, - subheading 8501.32 or 8501.52, - subheading 8537.10; or A change to subheading 8459.21 from more than one of the following: - subheading 8413.50 through 8413.60, - tariff item 8466.93.aa, - subheading 8501.32 or 8501.52, - subheading 8537.10, whether or not there is also a change from any other heading, provided there is a regional value content of not less than: (a) 60 percent where the transaction value method is used; or (b) 50 percent where the net cost method is used. 4-B-112 8459.29 A change to subheading 8459.29 from any other heading, except from tariff item 8466.93.aa or subheading 8501.32 or 8501.52.</w:t>
      </w:r>
    </w:p>
    <w:p>
      <w:pPr>
        <w:pStyle w:val="Normal"/>
        <w:widowControl/>
        <w:rPr/>
      </w:pPr>
      <w:r>
        <w:rPr/>
        <w:t>8459.31 A change to subheading 8459.31 from any other heading, except from more than one of the following: - subheading 8413.50 through 8413.60, - tariff item 8466.93.aa, - subheading 8501.32 or 8501.52, - subheading 8537.10; or A change to subheading 8459.31 from more than one of the following: - subheading 8413.50 through 8413.60, - tariff item 8466.93.aa, - subheading 8501.32 or 8501.52, - subheading 8537.10, whether or not there is also a change from any other heading, provided there is a regional value content of not less than: (a) 60 percent where the transaction value method is used; or (b) 50 percent where the net cost method is used. 8459.39 A change to subheading 8459.39 from any other heading, except from tariff item 8466.93.aa or subheading 8501.32 or 8501.52.</w:t>
      </w:r>
    </w:p>
    <w:p>
      <w:pPr>
        <w:pStyle w:val="Normal"/>
        <w:widowControl/>
        <w:rPr/>
      </w:pPr>
      <w:r>
        <w:rPr/>
        <w:t>8459.40-8459.51 A change to subheading 8459.40 through 8459.51 from any other heading, except from more than one of the following: - subheading 8413.50 through 8413.60, - tariff item 8466.93.aa, - subheading 8501.32 or 8501.52, - subheading 8537.10; or A change to subheading 8459.40 through 8459.51 from more than one of the following: - subheading 8413.50 through 8413.60, - tariff item 8466.93.aa, - subheading 8501.32 or 8501.52, or - subheading 8537.10, 4-B-113 whether or not there is also a change from any other heading, provided there is a regional value content of not less than: (a) 60 percent where the transaction value method is used; or (b) 50 percent where the net cost method is used.</w:t>
      </w:r>
    </w:p>
    <w:p>
      <w:pPr>
        <w:pStyle w:val="Normal"/>
        <w:widowControl/>
        <w:rPr/>
      </w:pPr>
      <w:r>
        <w:rPr/>
        <w:t>8459.59 A change to subheading 8459.59 from any other heading, except from tariff item 8466.93.aa or subheading 8501.32 or 8501.52. 8459.61 A change to subheading 8459.61 from any other heading, except from more than one of the following: - subheading 8413.50 through 8413.60, - tariff item 8466.93.aa, - subheading 8501.32 or 8501.52, - subheading 8537.10; or A change to subheading 8459.61 from more than one of the following: - subheading 8413.50 through 8413.60, - tariff item 8466.93.aa, - subheading 8501.32 or 8501.52, - subheading 8537.10, whether or not there is also a change from any other heading, provided there is a regional value content of not less than: (a) 60 percent where the transaction value method is used; or (b) 50 percent where the net cost method is used. 8459.69 A change to subheading 8459.69 from any other heading, except from tariff item 8466.93.aa or subheading 8501.32 or 8501.52.</w:t>
      </w:r>
    </w:p>
    <w:p>
      <w:pPr>
        <w:pStyle w:val="Normal"/>
        <w:widowControl/>
        <w:rPr/>
      </w:pPr>
      <w:r>
        <w:rPr/>
        <w:t>8459.70 8459.70.aa A change to tariff item 8459.70.aa from any other heading, except from more than one of the following: - subheading 8413.50 through 8413.60, - tariff item 8466.93.aa, - subheading 8501.32 or 8501.52, - subheading 8537.10; or 4-B-114 A change to tariff item 8459.70.aa from more than one of the following: - subheading 8413.50 through 8413.60, - tariff item 8466.93.aa, - subheading 8501.32 or 8501.52, - subheading 8537.10; whether or not there is also a change from any other heading, provided there is a regional value content of not less than: (a) 60 percent where the transaction value method is used; or (b) 50 percent where the net cost method is used. 8459.70 A change to subheading 8459.70 from any other heading, except from tariff item 8466.93.aa or subheading 8501.32 or 8501.52. 8460.11 A change to subheading 8460.11 from any other heading, except from more than one of the following: - subheading 8413.50 through 8413.60, - tariff item 8466.93.aa, - subheading 8501.32 or 8501.52, - subheading 8537.10.</w:t>
      </w:r>
    </w:p>
    <w:p>
      <w:pPr>
        <w:pStyle w:val="Normal"/>
        <w:widowControl/>
        <w:rPr/>
      </w:pPr>
      <w:r>
        <w:rPr/>
        <w:t>8460.19 A change to subheading 8460.19 from any other heading, except from tariff item 8466.93.aa or subheading 8501.32 or 8501.52. 8460.21 A change to subheading 8460.21 from any other heading, except from more than one of the following: - subheading 8413.50 through 8413.60, - tariff item 8466.93.aa, - subheading 8501.32 or 8501.52, - subheading 8537.10.</w:t>
      </w:r>
    </w:p>
    <w:p>
      <w:pPr>
        <w:pStyle w:val="Normal"/>
        <w:widowControl/>
        <w:rPr/>
      </w:pPr>
      <w:r>
        <w:rPr/>
        <w:t>8460.29 A change to subheading 8460.29 from any other heading, except from tariff item 8466.93.aa or subheading 8501.32 or 8501.52. 8460.31 A change to subheading 8460.31 from any other heading, except from more than one of the following: - subheading 8413.50 through 8413.60, 4-B-115 - tariff item 8466.93.aa, - subheading 8501.32 or 8501.52, - subheading 8537.10. 8460.39 A change to subheading 8460.39 from any other heading, except from tariff item 8466.93.aa or subheading 8501.32 or 8501.52. 8460.40 8460.40.aa A change to tariff item 8460.40.aa from any other heading, except from more than one of the following: - subheading 8413.50 through 8413.60, - tariff item 8466.93.aa, - subheading 8501.32 or 8501.52, - subheading 8537.10. 8460.40 A change to subheading 8460.40 from any other heading, except from tariff item 8466.93.aa or subheading 8501.32 or 8501.52. 8460.90 8460.90.aa A change to tariff item 8460.90.aa from any other heading, except from more than one of the following: - subheading 8413.50 through 8413.60, - tariff item 8466.93.aa, - subheading 8501.32 or 8501.52, - subheading 8537.10.</w:t>
      </w:r>
    </w:p>
    <w:p>
      <w:pPr>
        <w:pStyle w:val="Normal"/>
        <w:widowControl/>
        <w:rPr/>
      </w:pPr>
      <w:r>
        <w:rPr/>
        <w:t>8460.90 A change to subheading 8460.90 from any other heading, except from tariff item 8466.93.aa or subheading 8501.32 or 8501.52. 8461.20 8461.20.aa A change to tariff item 8461.20.aa from any other heading, except from more than one of the following: - subheading 8413.50 through 8413.60, - tariff item 8466.93.aa, - subheading 8501.32 or 8501.52, - subheading 8537.10.</w:t>
      </w:r>
    </w:p>
    <w:p>
      <w:pPr>
        <w:pStyle w:val="Normal"/>
        <w:widowControl/>
        <w:rPr/>
      </w:pPr>
      <w:r>
        <w:rPr/>
        <w:t>4-B-116 8461.20 A change to subheading 8461.20 from any other heading, except from tariff item 8466.93.aa. 8461.30 8461.30.aa A change to tariff item 8461.30.aa from any other heading, except from more than one of the following: - subheading 8413.50 through 8413.60, - tariff item 8466.93.aa, - subheading 8501.32 or 8501.52, - subheading 8537.10. 8461.30 A change to subheading 8461.30 from any other heading, except from tariff item 8466.93.aa. 8461.40 A change to subheading 8461.40 from any other heading, except from tariff item 8466.93.aa. 8461.50 8461.50.aa A change to tariff item 8461.50.aa from any other heading, except from more than one of the following: - subheading 8413.50 through 8413.60, - tariff item 8466.93.aa, - subheading 8501.32 or 8501.52, - subheading 8537.10. 8461.50 A change to subheading 8461.50 from any other heading, except from tariff item 8466.93.aa. 8461.90 8461.90.aa A change to tariff item 8461.90.aa from any other heading, except from more than one of the following: - subheading 8413.50 through 8413.60, - tariff item 8466.93.aa, - subheading 8501.32 or 8501.52, - subheading 8537.10.</w:t>
      </w:r>
    </w:p>
    <w:p>
      <w:pPr>
        <w:pStyle w:val="Normal"/>
        <w:widowControl/>
        <w:rPr/>
      </w:pPr>
      <w:r>
        <w:rPr/>
        <w:t>8461.90 A change to subheading 8461.90 from any other heading, except from tariff item 8466.93.aa. 4-B-117 8462.10 A change to subheading 8462.10 from any other heading, except from tariff item 8466.94.aa or 8483.50.aa.</w:t>
      </w:r>
    </w:p>
    <w:p>
      <w:pPr>
        <w:pStyle w:val="Normal"/>
        <w:widowControl/>
        <w:rPr/>
      </w:pPr>
      <w:r>
        <w:rPr/>
        <w:t>8462.21 A change to subheading 8462.21 from any other heading, except from more than one of the following: - subheading 8413.50 through 8413.60, - tariff item 8466.94.aa, - tariff item 8483.50.aa, - subheading 8501.32 or 8501.52, - subheading 8537.10. 8462.29 A change to subheading 8462.29 from any other heading, except from tariff item 8466.94.aa or 8483.50.aa. 8462.31 A change to subheading 8462.31 from any other heading, except from more than one of the following: - subheading 8413.50 through 8413.60, - tariff item 8466.94.aa, - tariff item 8483.50.aa, - subheading 8501.32 or 8501.52, - subheading 8537.10. 8462.39 A change to subheading 8462.39 from any other heading, except from tariff item 8466.94.aa or 8483.50.aa. 8462.41 A change to subheading 8462.41 from any other heading, except from more than one of the following: - subheading 8413.50 through 8413.60, - tariff item 8466.94.aa, - tariff item 8483.50.aa, - subheading 8501.32 or 8501.52, - subheading 8537.10. 8462.49 A change to subheading 8462.49 from any other heading, except from tariff item 8466.94.aa or 8483.50.aa. 8462.91 A change to subheading 8462.91 from any other heading.</w:t>
      </w:r>
    </w:p>
    <w:p>
      <w:pPr>
        <w:pStyle w:val="Normal"/>
        <w:widowControl/>
        <w:rPr/>
      </w:pPr>
      <w:r>
        <w:rPr/>
        <w:t>8462.99 4-B-118 8462.99.aa A change to tariff item 8462.99.aa from any other heading, except from more than one of the following: - subheading 8413.50 through 8413.60, - tariff item 8466.94.aa, - tariff item 8483.50.aa, - subheading 8501.32 or 8501.52, - subheading 8537.10.</w:t>
      </w:r>
    </w:p>
    <w:p>
      <w:pPr>
        <w:pStyle w:val="Normal"/>
        <w:widowControl/>
        <w:rPr/>
      </w:pPr>
      <w:r>
        <w:rPr/>
        <w:t>8462.99 A change to subheading 8462.99 from any other heading, except from tariff item 8466.94.aa or 8483.50.aa. 84.63 A change to heading 84.63 from any other heading, except from tariff item 8466.94.aa or 8483.50.aa or subheading 8501.32 or 8501.52. 84.64 A change to heading 84.64 from any other heading, except from subheading 8466.91; or A change to heading 84.64 from subheading 8466.91, whether or not there is also a change from any other heading, provided there is a regional value content of not less than: (a) 60 percent where the transaction value method is used; or (b) 50 percent where the net cost method is used. 84.65 A change to heading 84.65 from any other heading, except from subheading 8466.92; or A change to heading 84.65 from subheading 8466.92, whether or not there is also a change from any other heading, provided there is a regional value content of not less than: (a) 60 percent where the transaction value method is used; or (b) 50 percent where the net cost method is used.</w:t>
      </w:r>
    </w:p>
    <w:p>
      <w:pPr>
        <w:pStyle w:val="Normal"/>
        <w:widowControl/>
        <w:rPr/>
      </w:pPr>
      <w:r>
        <w:rPr/>
        <w:t>84.66 A change to heading 84.66 from any other subheading; or No required change in tariff classification to heading 84.66 provided there is a regional value content of not less than: (a) 60 percent where the transaction value method is used; or 4-B-119 (b) 50 percent where the net cost method is used.</w:t>
      </w:r>
    </w:p>
    <w:p>
      <w:pPr>
        <w:pStyle w:val="Normal"/>
        <w:widowControl/>
        <w:rPr/>
      </w:pPr>
      <w:r>
        <w:rPr/>
        <w:t>8467.11-8467.19 A change to subheading 8467.11 through 8467.19 from any other heading; or A change to subheading 8467.11 through 8467.19 from subheading 8467.91 or 8467.92, whether or not there is also a change from any other heading, provided there is a regional value content of not less than: (a) 60 percent where the transaction value method is used; or (b) 50 percent where the net cost method is used. 8467.21-8467.29 A change to subheading 8467.21 through 8467.29 from any subheading outside that group, except from housings of subheading 8467.91 or 8467.99 or heading 85.01; or A change to subheading 8467.21 through 8467.29 from housings of subheading 8467.91 or 8467.99 or heading 85.01, whether or not there is also a change from any subheading outside that group, provided there is a regional value content of not less than: (a) 60 percent where the transaction value method is used; or (b) 50 percent where the net cost method is used.</w:t>
      </w:r>
    </w:p>
    <w:p>
      <w:pPr>
        <w:pStyle w:val="Normal"/>
        <w:widowControl/>
        <w:rPr/>
      </w:pPr>
      <w:r>
        <w:rPr/>
        <w:t>8467.81-8467.89 A change to subheading 8467.81 through 8467.89 from any other heading; or A change to subheading 8467.81 through 8467.89 from subheading 8467.91 or 8467.99, whether or not there is also a change from any other heading, provided there is a regional value content of not less than: (a) 60 percent where the transaction value method is used; or (b) 50 percent where the net cost method is used. 8467.91-8467.99 A change to subheading 8467.91 through 8467.99 from any other heading.</w:t>
      </w:r>
    </w:p>
    <w:p>
      <w:pPr>
        <w:pStyle w:val="Normal"/>
        <w:widowControl/>
        <w:rPr/>
      </w:pPr>
      <w:r>
        <w:rPr/>
        <w:t>8468.10-8468.80 A change to subheading 8468.10 through 8468.80 from any other heading; or 4-B-120 A change to subheading 8468.10 through 8468.80 from subheading 8468.90, whether or not there is also a change from any other heading, provided there is a regional value content of not less than: (a) 60 percent where the transaction value method is used; or (b) 50 percent where the net cost method is used. 8468.90 A change to subheading 8468.90 from any other heading. 84.69 A change to word-processing machines of heading 84.69 from any other heading, except from heading 84.73; or A change to word-processing machines of heading 84.69 from heading 84.73, whether or not there is also a change from any other heading, provided there is a regional value content of not less than 50 percent under the net cost method;</w:t>
      </w:r>
    </w:p>
    <w:p>
      <w:pPr>
        <w:pStyle w:val="Normal"/>
        <w:widowControl/>
        <w:rPr/>
      </w:pPr>
      <w:r>
        <w:rPr/>
        <w:t>A change to any other good of heading 84.69 from any other heading, except from heading 84.73; or A change to any other good of heading 84.69 from heading 84.73, whether or not there is also a change from any other heading, provided there is a regional value content of not less than: (a) 60 percent where the transaction value method is used; or (b) 50 percent where the net cost method is used.</w:t>
      </w:r>
    </w:p>
    <w:p>
      <w:pPr>
        <w:pStyle w:val="Normal"/>
        <w:widowControl/>
        <w:rPr/>
      </w:pPr>
      <w:r>
        <w:rPr/>
        <w:t>84.70 A change to heading 84.70 from any other heading, except from heading 84.73; or A change to heading 84.70 from heading 84.73, whether or not there is also a change from any other heading, provided there is a regional value content of not less than: (a) 60 percent where the transaction value method is used; or (b) 50 percent where the net cost method is used. 8471.30 A change to a good of subheading 8471.30 from any other good within that subheading or any other subheading, except from subheading 8471.41 through 8471.50. 4-B-121 8471.41 A change to a good of subheading 8471.41 from any other good within that subheading or any other subheading, except from subheading 8471.30 or 8471.49 through 8471.50. 8471.49 Note: The origin of each unit presented within a system shall be determined as though each unit were presented separately and were classified under the appropriate tariff provision for that unit.</w:t>
      </w:r>
    </w:p>
    <w:p>
      <w:pPr>
        <w:pStyle w:val="Normal"/>
        <w:widowControl/>
        <w:rPr/>
      </w:pPr>
      <w:r>
        <w:rPr/>
        <w:t>8471.50 A change to analogue or hybrid automatic data processing machines of subheading 8471.50 from any other heading, except from heading 84.73; or A change to analogue or hybrid automatic data processing machines of subheading 8471.50 from heading 84.73, whether or not there is also a change from any other heading, provided there is a regional value content of not less than: (a) 60 percent where the transaction value method is used; or (b) 50 percent where the net cost method is used; or A change to any other good of subheading 8471.50 from analogue or hybrid automatic data processing machines of subheading 8471.50 or any other subheading, except from subheading 8471.30 through 8471.49. 8471.60 A change to subheading 8471.60 from any other subheading, except from subheading 8471.49. 8471.70 A change to subheading 8471.70 from any other subheading, except from subheading 8471.49. 8471.80 8471.80.aa A change to tariff item 8471.80.aa from any other tariff item, except from subheading 8471.49. 8471.80.cc A change to tariff item 8471.80.cc from any other tariff item, except from subheading 8471.49.</w:t>
      </w:r>
    </w:p>
    <w:p>
      <w:pPr>
        <w:pStyle w:val="Normal"/>
        <w:widowControl/>
        <w:rPr/>
      </w:pPr>
      <w:r>
        <w:rPr/>
        <w:t>8471.80 A change to any other tariff item within subheading 8471.80 from tariff item 8471.80.aa or 8471.80.cc or any other subheading, except from subheading 8471.49. 4-B-122 84.72 8471.90 A change to subheading 8471.90 from any other subheading.</w:t>
      </w:r>
    </w:p>
    <w:p>
      <w:pPr>
        <w:pStyle w:val="Normal"/>
        <w:widowControl/>
        <w:rPr/>
      </w:pPr>
      <w:r>
        <w:rPr/>
        <w:t>A change to heading 84.72 from any other heading, except from heading 84.73; or A change to heading 84.72 from heading 84.73, whether or not there is also a change from any other heading, provided there is a regional value content of not less than: (a) 60 percent where the transaction value method is used; or (b) 50 percent where the net cost method is used. 8473.10 8473.10.aa A change to tariff item 8473.10.aa from any other heading. 8473.10.bb A change to tariff item 8473.10.bb from any other heading; or No required change in tariff classification to tariff item 8473.10.bb, provided there is a regional value content of not less than: (a) 60 percent where the transaction value method is used; or (b) 50 percent where the net cost method is used. 8473.10 A change to subheading 8473.10 from any other heading. 8473.21 A change to subheading 8473.21 from any other heading; or No required change in tariff classification to subheading 8473.21, provided there is a regional value content of not less than:</w:t>
      </w:r>
    </w:p>
    <w:p>
      <w:pPr>
        <w:pStyle w:val="Normal"/>
        <w:widowControl/>
        <w:rPr/>
      </w:pPr>
      <w:r>
        <w:rPr/>
        <w:t>(a) 60 percent where the transaction value method is used; or (b) 50 percent where the net cost method is used. 8473.29 A change to subheading 8473.29 from any other heading; or No required change in tariff classification to subheading 8473.29, provided there is a regional value content of not less than: (a) 60 percent where the transaction value method is used; or 4-B-123 (b) 50 percent where the net cost method is used.</w:t>
      </w:r>
    </w:p>
    <w:p>
      <w:pPr>
        <w:pStyle w:val="Normal"/>
        <w:widowControl/>
        <w:rPr/>
      </w:pPr>
      <w:r>
        <w:rPr/>
        <w:t>8473.30 8473.30.aa A change to tariff item 8473.30.aa from any other tariff item. 8473.30.bb A change to tariff item 8473.30.bb from any other tariff item. 8473.30 A change to subheading 8473.30 from any other heading; or No required change in tariff classification to subheading 8473.30, provided there is a regional value content of not less than: (a) 60 percent where the transaction value method is used; or (b) 50 percent where the net cost method is used. 8473.40 A change to subheading 8473.40 from any other heading; or No required change in tariff classification to subheading 8473.40, provided there is a regional value content of not less than: (a) 60 percent where the transaction value method is used; or (b) 50 percent where the net cost method is used. 8473.50 8473.50.aa A change to tariff item 8473.50.aa from any other tariff item. 8473.50.bb A change to tariff item 8473.50.bb from any other tariff item. 8473.50 Note: The alternative rule which contains a regional value content requirement does not apply to a part or accessory provided for in subheading 8473.50 if that part or accessory is used in the production of a good provided for in subheading 8469.11 or heading 84.71.</w:t>
      </w:r>
    </w:p>
    <w:p>
      <w:pPr>
        <w:pStyle w:val="Normal"/>
        <w:widowControl/>
        <w:rPr/>
      </w:pPr>
      <w:r>
        <w:rPr/>
        <w:t>A change to subheading 8473.50 from any other heading; or No required change in tariff classification to subheading 8473.50, provided there is a regional value content of not less than: 4-B-124 (a) 60 percent where the transaction value method is used; or (b) 50 percent where the net cost method is used. 8474.10-8474.80 A change to subheading 8474.10 through 8474.80 from any other heading; or A change to subheading 8474.10 through 8474.80 from subheading 8474.90, whether or not there is also a change from any other heading, provided there is a regional value content of not less than: (a) 60 percent where the transaction value method is used; or (b) 50 percent where the net cost method is used. 8474.90 A change to subheading 8474.90 from any other heading; or No required change in tariff classification to subheading 8474.90, provided there is a regional value content of not less than: (a) 60 percent where the transaction value method is used; or (b) 50 percent where the net cost method is used.</w:t>
      </w:r>
    </w:p>
    <w:p>
      <w:pPr>
        <w:pStyle w:val="Normal"/>
        <w:widowControl/>
        <w:rPr/>
      </w:pPr>
      <w:r>
        <w:rPr/>
        <w:t>8475.10-8475.29 A change to subheading 8475.10 through 8475.29 from any other heading; or A change to subheading 8475.10 through 8475.29 from subheading 8475.90, whether or not there is also a change from any other heading, provided there is a regional value content of not less than: (a) 60 percent where the transaction value method is used; or (b) 50 percent where the net cost method is used. 8475.90 A change to subheading 8475.90 from any other heading.</w:t>
      </w:r>
    </w:p>
    <w:p>
      <w:pPr>
        <w:pStyle w:val="Normal"/>
        <w:widowControl/>
        <w:rPr/>
      </w:pPr>
      <w:r>
        <w:rPr/>
        <w:t>8476.21-8476.89 A change to subheading 8476.21 through 8476.89 from any other heading; or A change to subheading 8476.21 through 8476.89 from subheading 8476.90, whether or not there is also a change from any other heading, provided there is a regional value content of not less than: 4-B-125 (a) 60 percent where the transaction value method is used; or (b) 50 percent where the net cost method is used. 8476.90 A change to subheading 8476.90 from any other heading. 8477.10 A change to subheading 8477.10 from any other subheading, except from tariff item 8477.90.aa or more than one of the following: - tariff item 8477.90.bb, - subheading 8537.10. 8477.20 A change to subheading 8477.20 from any other subheading, except from tariff item 8477.90.aa or more than one of the following: - tariff item 8477.90.bb, - subheading 8537.10. 8477.30 A change to subheading 8477.30 from any other subheading, except from tariff item 8477.90.aa or more than one of the following: - tariff item 8477.90.cc, - subheading 8537.10.</w:t>
      </w:r>
    </w:p>
    <w:p>
      <w:pPr>
        <w:pStyle w:val="Normal"/>
        <w:widowControl/>
        <w:rPr/>
      </w:pPr>
      <w:r>
        <w:rPr/>
        <w:t>8477.40-8477.80 A change to subheading 8477.40 through 8477.80 from any other heading; or A change to subheading 8477.40 through 8477.80 from subheading 8477.90, whether or not there is also a change from any other heading, provided there is a regional value content of not less than: (a) 60 percent where the transaction value method is used; or (b) 50 percent where the net cost method is used. 8477.90 A change to subheading 8477.90 from any other heading.</w:t>
      </w:r>
    </w:p>
    <w:p>
      <w:pPr>
        <w:pStyle w:val="Normal"/>
        <w:widowControl/>
        <w:rPr/>
      </w:pPr>
      <w:r>
        <w:rPr/>
        <w:t>8478.10 A change to subheading 8478.10 from any other heading; or A change to subheading 8478.10 from subheading 8478.90, whether or not there is also a change from any other heading, provided there is a regional value content of not less than: 4-B-126 (a) 60 percent where the transaction value method is used; or (b) 50 percent where the net cost method is used. 8478.90 A change to subheading 8478.90 from any other heading. 8479.10-8479.82 A change to subheading 8479.10 through 8479.82 from any other subheading, including another subheading within that group. 8479.8924 A change to trash compactors of subheading 8479.89 from any other good within that subheading or any other subheading; or A change to any other good of subheading 8479.89 from any other subheading. 8479.90 8479.90.aa A change to tariff item 8479.90.aa from any other tariff item. 8479.90.bb A change to tariff item 8479.90.bb from any other tariff item. 8479.90.cc A change to tariff item 8479.90.cc from any other tariff item. 8479.90.dd A change to tariff item 8479.90.dd from any other tariff item. 8479.90 A change to subheading 8479.90 from any other heading. 84.80 A change to heading 84.80 from any other heading.</w:t>
      </w:r>
    </w:p>
    <w:p>
      <w:pPr>
        <w:pStyle w:val="Normal"/>
        <w:widowControl/>
        <w:rPr/>
      </w:pPr>
      <w:r>
        <w:rPr/>
        <w:t>8481.10-8481.3025 A change to subheading 8481.10 through 8481.30 from any other heading; or A change to subheading 8481.10 through 8481.30 from subheading 8481.90, whether or not there is also a change from any other heading, provided there is a regional value content of not less than: (a) 60 percent where the transaction value method is used or (b) 50 percent where the net cost method is used. 24 If the good is for use in a vehicle of Chapter 87, the provisions of the Appendix to this Annex apply. 25 If the good is for use in a vehicle of Chapter 87, the provisions of the Appendix to this Annex apply. 4-B-127 8481.40-8481.8026 A change to subheading 8481.40 through 8481.80 from any other heading; or A change to subheading 8481.40 through 8481.80 from subheading 8481.90, whether or not there is also a change from any other heading, provided there is a regional value content of not less than: (a) 45 percent where the transaction value method is used; or (b) 35 percent where the net cost method is used. 8481.90 A change to subheading 8481.90 from any other heading.</w:t>
      </w:r>
    </w:p>
    <w:p>
      <w:pPr>
        <w:pStyle w:val="Normal"/>
        <w:widowControl/>
        <w:rPr/>
      </w:pPr>
      <w:r>
        <w:rPr/>
        <w:t>8482.10-8482.8027 A change to subheading 8482.10 through 8482.80 from any subheading outside that group, except from tariff item 8482.99.aa; or A change to subheading 8482.10 through 8482.80 from tariff item 8482.99.aa, whether or not there is also a change from any subheading outside that group, provided there is a regional value content of not less than: (a) 60 percent where the transaction value method is used; or (b) 50 percent where the net cost method is used. 8482.91-8482.99 A change to subheading 8482.91 through 8482.99 from any other heading. 8483.1028 A change to subheading 8483.10 from any other heading; or A change to subheading 8483.10 from subheading 8483.90, whether or not there is also a change from any other heading, provided there is a regional value content of not less than: (a) 60 percent where the transaction value method is used; or 26 If the good is for use in a vehicle of Chapter 87, the provisions of the Appendix to this Annex apply.</w:t>
      </w:r>
    </w:p>
    <w:p>
      <w:pPr>
        <w:pStyle w:val="Normal"/>
        <w:widowControl/>
        <w:rPr/>
      </w:pPr>
      <w:r>
        <w:rPr/>
        <w:t>27 If the good is for use in a vehicle of Chapter 87, the provisions of the Appendix to this Annex apply. 28 If the good is for use in a vehicle of Chapter 87, the provisions of the Appendix to this Annex apply. 4-B-128 (b) 50 percent where the net cost method is used.</w:t>
      </w:r>
    </w:p>
    <w:p>
      <w:pPr>
        <w:pStyle w:val="Normal"/>
        <w:widowControl/>
        <w:rPr/>
      </w:pPr>
      <w:r>
        <w:rPr/>
        <w:t>8483.2029 A change to subheading 8483.20 from any other subheading, except from subheading 8482.10 through 8482.80, tariff item 8482.99.aa, or subheading 8483.90; or A change to subheading 8483.20 from subheading 8482.10 through 8482.80, tariff item 8482.99.aa or subheading 8483.90, whether or not there is also a change from any other subheading, provided there is a regional value content of not less than: (a) 60 percent where the transaction value method is used; or (b) 50 percent where the net cost method is used. 8483.3030 A change to subheading 8483.30 from any other heading; or A change to subheading 8483.30 from subheading 8483.90, whether or not there is also a change from any other heading, provided there is a regional value content of not less than: (a) 60 percent where the transaction value method is used; or (b) 50 percent where the net cost method is used. 8483.40 -8483.9031 A change to subheading 8483.40 through 8483.90 from any other subheading, including another subheading within that group. 84.84 A change to heading 84.84 from any other heading.</w:t>
      </w:r>
    </w:p>
    <w:p>
      <w:pPr>
        <w:pStyle w:val="Normal"/>
        <w:widowControl/>
        <w:rPr/>
      </w:pPr>
      <w:r>
        <w:rPr/>
        <w:t>8486.10-8486.90 A change to a good of any of subheading 8486.10 through 8486.90 from any other good within that subheading or any other subheading, including another subheading within that group. 84.87 A change to heading 84.87 from any other heading. 29 If the good is for use in a vehicle of Chapter 87, the provisions of the Appendix to this Annex apply.</w:t>
      </w:r>
    </w:p>
    <w:p>
      <w:pPr>
        <w:pStyle w:val="Normal"/>
        <w:widowControl/>
        <w:rPr/>
      </w:pPr>
      <w:r>
        <w:rPr/>
        <w:t>30 If the good is for use in a vehicle of Chapter 87, the provisions of the Appendix to this Annex apply. 31 If the good is for use in a vehicle of Chapter 87, the provisions of the Appendix to this Annex apply. 4-B-129 Chapter 85 Electrical Machinery and Equipment and Parts Thereof; Sound Recorders and Reproducers, Television Image and Sound Recorders and Reproducers, and Parts and Accessories of Such Articles Note 1: For the purposes of this Chapter, the term “printed circuit assembly” means a good consisting of one or more printed circuits of heading 85.34 with one or more active elements assembled thereon, with or without passive elements. For the purposes of this Note, “active elements” means diodes, transistors and similar semiconductor devices, whether or not photosensitive, of heading 85.41, integrated circuits of heading 85.42, and microassemblies of heading 85.43 or 85.48. Note 2: For purposes of this Chapter: (a) references to “high definition” as it applies to television receivers and cathode-ray tubes refers to goods having:</w:t>
      </w:r>
    </w:p>
    <w:p>
      <w:pPr>
        <w:pStyle w:val="Normal"/>
        <w:widowControl/>
        <w:rPr/>
      </w:pPr>
      <w:r>
        <w:rPr/>
        <w:t>(i) an aspect ratio of the screen equal to or greater than 16:9, and (ii) (ii) a viewing screen capable of displaying more than 700 scanning lines; and (b) the video display diagonal is determined by measuring the maximum straight line dimension across the visible portion of the face plate used for displaying video.</w:t>
      </w:r>
    </w:p>
    <w:p>
      <w:pPr>
        <w:pStyle w:val="Normal"/>
        <w:widowControl/>
        <w:rPr/>
      </w:pPr>
      <w:r>
        <w:rPr/>
        <w:t>Note 3: Tariff item 8529.90.cc covers the following parts of television receivers, video monitors, and video projectors: (a) Video intermediate (IF) amplifying and detecting systems; (b) Video processing and amplification systems; (c) Synchronizing and deflection circuitry; (d) Tuners and tuner control systems; and (e) Audio detection and amplification systems. Note 4: For the purposes of tariff item 8540.91.aa, the term “front panel assembly” refers to:</w:t>
      </w:r>
    </w:p>
    <w:p>
      <w:pPr>
        <w:pStyle w:val="Normal"/>
        <w:widowControl/>
        <w:rPr/>
      </w:pPr>
      <w:r>
        <w:rPr/>
        <w:t>(a) with respect to a monochrome cathode-ray television picture tube, video monitor tube or video projector tube, an assembly which 4-B-130 consists of either a glass panel or a glass envelope, which is suitable for incorporation into a monochrome cathode-ray television picture tube, video monitor tube or video projector tube and which has undergone the necessary chemical and physical processes for imprinting phosphors on the glass panel or glass envelope with sufficient precision to render a video image when excited by a stream of electrons; or (b) with respect to a color cathode-ray television picture tube, video monitor tube or video projector tube, an assembly which consists of a glass panel and a shadow mask or aperture grille, attached for ultimate use, which is suitable for incorporation into a color cathode-ray television picture tube, video monitor tube or video projector tube and which has undergone the necessary chemical and physical processes for imprinting phosphors on the glass panel with sufficient precision</w:t>
      </w:r>
    </w:p>
    <w:p>
      <w:pPr>
        <w:pStyle w:val="Normal"/>
        <w:widowControl/>
        <w:rPr/>
      </w:pPr>
      <w:r>
        <w:rPr/>
        <w:t>to render a video image when excited by a stream of electrons. Note 5: The origin of a television combination unit shall be determined in accordance with the rule that would be applicable to such unit if it were solely a television receiver. 85.0132 A change to heading 85.01 from any other heading, except from tariff item 8503.00.aa; or A change to heading 85.01 from tariff item 8503.00.aa, whether or not there is also a change from any other heading, provided there is a regional value content of not less than: (a) 60 percent where the transaction value method is used; or (b) 50 percent where the net cost method is used. 85.02 A change to heading 85.02 from any other heading, except from heading 84.06, 84.11, 85.01 or 85.03; or A change to heading 85.02 from heading 84.06, 84.11, 85.01 or 85.03, whether or not there is also a change from any other heading, provided there is a regional value content of not less than:</w:t>
      </w:r>
    </w:p>
    <w:p>
      <w:pPr>
        <w:pStyle w:val="Normal"/>
        <w:widowControl/>
        <w:rPr/>
      </w:pPr>
      <w:r>
        <w:rPr/>
        <w:t>(a) 60 percent where the transaction value method is used; or 32 If the good is for use in a vehicle of Chapter 87, the provisions of the Appendix to this Annex apply. 4-B-131 85.03 (b) 50 percent where the net cost method is used. A change to heading 85.03 from any other heading. 8504.10 A change to subheading 8504.10 from any other subheading.</w:t>
      </w:r>
    </w:p>
    <w:p>
      <w:pPr>
        <w:pStyle w:val="Normal"/>
        <w:widowControl/>
        <w:rPr/>
      </w:pPr>
      <w:r>
        <w:rPr/>
        <w:t>8504.21-8504.34 Note: Beginning on the date of entry into force of the Agreement until January 1 2025 or five years after entry into force of this Agreement, whichever is later, the following rules of origin shall apply to subheading 8504.21 through 8504.34: A change to subheading 8504.21 through 8504.34 from any other heading; or A change to subheading 8504.21 through 8504.34 from subheading 8504.90, whether or not there is also a change from any other heading, provided there is a regional value content of not less than: (a) 60 percent where the transaction value method is used; or (b) 50 percent where the net cost method is used. Note: Beginning on January 1, 2025 or five years after entry into force of this Agreement, whichever is later, and thereafter, the following rules of origin shall apply to subheading 8504.21 through 8504.34:</w:t>
      </w:r>
    </w:p>
    <w:p>
      <w:pPr>
        <w:pStyle w:val="Normal"/>
        <w:widowControl/>
        <w:rPr/>
      </w:pPr>
      <w:r>
        <w:rPr/>
        <w:t>A change to subheading 8504.21 through 8504.34 from any other heading, except from heading 72.25, 72.26 or 73.26; or No required change in tariff classification to subheading 8504.21 through 8504.34, provided there is a regional value content of not less than: (a) 65 percent where the transaction value method is used; or (b) 55 percent where the net cost method is used. 8504.40 4-B-132 8504.40.aa A change to tariff item 8504.40.aa from any other subheading, except from subheading 8471.49. 8504.40.bb A change to tariff item 8504.40.bb from any other subheading. 8504.40 A change to subheading 8504.40 from any other subheading.</w:t>
      </w:r>
    </w:p>
    <w:p>
      <w:pPr>
        <w:pStyle w:val="Normal"/>
        <w:widowControl/>
        <w:rPr/>
      </w:pPr>
      <w:r>
        <w:rPr/>
        <w:t>8504.50 A change to subheading 8504.50 from any other heading; or A change to subheading 8504.50 from subheading 8504.90, whether or not there is also a change from any other heading, provided there is a regional value content of not less than: (a) 60 percent where the transaction value method is used; or (b) 50 percent where the net cost method is used. 8504.90 8504.90.aa A change to tariff item 8504.90.aa from any other tariff item. 8504.90.bb A change to tariff item 8504.90.bb from any other tariff item. 8504.90 Note: Beginning on the date of entry into force of the Agreement, whichever is later, until January 1 2025 or five years after entry into force of this Agreement, whichever is later, the following rules of origin shall apply to subheading 8504.90: A change to subheading 8504.90 from any other heading; or No required change in tariff classification to subheading 8504.90, provided there is a regional value content of not less than: (a) 60 percent where the transaction value method is used; or (b) 50 percent where the net cost method is used.</w:t>
      </w:r>
    </w:p>
    <w:p>
      <w:pPr>
        <w:pStyle w:val="Normal"/>
        <w:widowControl/>
        <w:rPr/>
      </w:pPr>
      <w:r>
        <w:rPr/>
        <w:t>Note: Beginning on January 1, 2025 or five years after entry into force of this Agreement, whichever is later, and thereafter, the following rules of origin shall apply to subheading 8504.90: A change to subheading 8504.90 from any other heading, except from heading 72.25, 72.26 or 73.26; or 4-B-133 No required change in tariff classification to subheading 8504.90, provided there is a regional value content of not less than: (a) 65 percent where the transaction value method is used; or (b) 55 percent where the net cost method is used. 8505.11-8505.2033 A change to subheading 8505.11 through 8505.20 from any other heading; or A change to subheading 8505.11 through 8505.20 from subheading 8505.90, whether or not there is also a change from any other heading, provided there is a regional value content of not less than: (a) 60 percent where the transaction value method is used; or (b) 50 percent where the net cost method is used.</w:t>
      </w:r>
    </w:p>
    <w:p>
      <w:pPr>
        <w:pStyle w:val="Normal"/>
        <w:widowControl/>
        <w:rPr/>
      </w:pPr>
      <w:r>
        <w:rPr/>
        <w:t>8505.9034 A change to subheading 8505.90 from any other heading; or No required change in tariff classification to subheading 8505.90, provided there is a regional value content of not less than: (a) 60 percent where the transaction value method is used; or (b) 50 percent where the net cost method is used. 8506.10-8506.40 A change to subheading 8506.10 through 8506.40 from any other subheading, including another subheading within that group. 8506.50-8506.80 A change to subheading 8506.50 through 8506.80 from any subheading outside that group.</w:t>
      </w:r>
    </w:p>
    <w:p>
      <w:pPr>
        <w:pStyle w:val="Normal"/>
        <w:widowControl/>
        <w:rPr/>
      </w:pPr>
      <w:r>
        <w:rPr/>
        <w:t>8506.90 A change to a good of subheading 8506.90 from within that subheading or any other subheading. 8507.10-8507.5035 A change to subheading 8507.10 through 8507.50 from any other heading, except from tariff item 8548.10.aa, or 33 If the good is for use in a vehicle of Chapter 87, the provisions of the Appendix to this Annex apply. 34 If the good is for use in a vehicle of Chapter 87, the provisions of the Appendix to this Annex apply. 4-B-134 A change to subheading 8507.10 through 8507.50 from subheading 8507.90, whether or not there is also a change from any other heading, except from tariff item 8548.10.aa, provided there is a regional value content of not less than: (a) 60 percent where the transaction value method is used; or (b) 50 percent where the net cost method is used. 8507.6036 A change to a battery of subheading 8507.60, of a kind used as the primary source of electrical power for the propulsion of an electric passenger vehicle or light truck from any other subheading, excluding battery cells of 8507.90;</w:t>
      </w:r>
    </w:p>
    <w:p>
      <w:pPr>
        <w:pStyle w:val="Normal"/>
        <w:widowControl/>
        <w:rPr/>
      </w:pPr>
      <w:r>
        <w:rPr/>
        <w:t>No required change in tariff classification a battery of subheading 8507.60, used as the primary source of electrical power for the propulsion of an electric passenger vehicle or light truck provided that the regional value content is (a) 85 percent where the transaction value method is used; or (b) 75 percent where the net cost method is used; A change to any other good of subheading 8507.60 from any other heading; or A change to any other good of subheading</w:t>
      </w:r>
    </w:p>
    <w:p>
      <w:pPr>
        <w:pStyle w:val="Normal"/>
        <w:widowControl/>
        <w:rPr/>
      </w:pPr>
      <w:r>
        <w:rPr/>
        <w:t>8507.60 from subheading 8507.90, whether or not there is also a change from any other heading, provided there is a regional value content of not less than: (a) 60 percent where the transaction value method is used; or (b) 50 percent where the net cost method is used 8507.8037 A change to subheading 8507.80 from any other heading, except from tariff item 8548.10.aa; or 35 If the good is for use in a vehicle of Chapter 87, the provisions of the Appendix to this Annex apply. 36 If the good is for use in vehicle of Chapter 87, the provisions of the Appendix to this Annex apply. 37 If the good is for use in a vehicle of Chapter 87, the provisions of the Appendix to this Annex apply. 4-B-135 A change to subheading 8507.80 from subheading 8507.90, whether or not there is also a change from any other heading, except from tariff item 8548.10.aa, provided there is a regional value content of not less than:</w:t>
      </w:r>
    </w:p>
    <w:p>
      <w:pPr>
        <w:pStyle w:val="Normal"/>
        <w:widowControl/>
        <w:rPr/>
      </w:pPr>
      <w:r>
        <w:rPr/>
        <w:t>(a) 60 percent where the transaction value method is used, or (b) 50 percent where the net cost method is used. 8507.90 A change to subheading 8507.90 from any other heading, except from tariff item 8548.10.aa; or No required change in tariff classification to subheading 8507.90, provided there is a regional value content of not less than: (a) 60 percent where the transaction value method is used; or (b) 50 percent where the net cost method is used.</w:t>
      </w:r>
    </w:p>
    <w:p>
      <w:pPr>
        <w:pStyle w:val="Normal"/>
        <w:widowControl/>
        <w:rPr/>
      </w:pPr>
      <w:r>
        <w:rPr/>
        <w:t>8508.11 A change to subheading 8508.11 from any other subheading, except from heading 85.01, subheading 8508.19 or housings of subheading 8508.70; or A change to subheading 8508.11 from heading 85.01, subheading 8508.19 or housings of subheading 8508.70, whether or not there is also a change from any other subheading, provided there is a regional value content of not less than: (a) 60 percent where the transaction value method is used; or (b) 50 percent where the net cost method is used. 8508.19 A change to domestic vacuum cleaners of subheading 8508.19 from any other subheading, except from heading 85.01, subheading 8508.11 or housings of subheading 8508.70; A change to domestic vacuum cleaners of subheading 8508.19 from heading 85.01, subheading 8508.11 or housings of subheading 8508.70, whether or not there is also a change from any other subheading, provided there is a regional value content of not less than: (a) 60 percent where the transaction value method is used; or (b) 50 percent where the net cost method is used;</w:t>
      </w:r>
    </w:p>
    <w:p>
      <w:pPr>
        <w:pStyle w:val="Normal"/>
        <w:widowControl/>
        <w:rPr/>
      </w:pPr>
      <w:r>
        <w:rPr/>
        <w:t>4-B-136 A change to any other good of subheading 8508.19 from any other heading, except from heading 84.79; or A change to any other good of subheading 8508.19 from subheading 8508.70, whether or not there is also a change from any other heading, except from heading 84.79, provided there is a regional value content of not less than: (a) 60 percent where the transaction value method is used; or (b) 50 percent where the net cost method is used.</w:t>
      </w:r>
    </w:p>
    <w:p>
      <w:pPr>
        <w:pStyle w:val="Normal"/>
        <w:widowControl/>
        <w:rPr/>
      </w:pPr>
      <w:r>
        <w:rPr/>
        <w:t>8508.60 A change to subheading 8508.60 from any other heading, except from heading 84.79; or A change to subheading 8508.60 from subheading 8508.70, whether or not there is also a change from any other heading, except from heading 84.79, provided there is a regional value content of not less than: (a) 60 percent where the transaction value method is used; or (b) 50 percent where the net cost method is used. 8508.70 A change to parts of domestic vacuum cleaners of subheading 8508.70 from any other heading, except from heading 85.09; No required change in tariff classification to parts of domestic vacuum cleaners of subheading 8508.70, provided there is a regional value content of not less than: (a) 60 percent where the transaction value method is used; or (b) 50 percent where the net cost method is used; or A change to any other good of subheading 8508.70 from parts of domestic vacuum cleaners of subheading 8508.70 or any other heading, except from heading 84.79. 8509.40 A change to subheading 8509.40 from any other subheading.</w:t>
      </w:r>
    </w:p>
    <w:p>
      <w:pPr>
        <w:pStyle w:val="Normal"/>
        <w:widowControl/>
        <w:rPr/>
      </w:pPr>
      <w:r>
        <w:rPr/>
        <w:t>8509.80 A change to a good of subheading 8509.80 from any other good within that subheading or any other subheading. 8509.90 A change to subheading 8509.90 from any other heading; or 4-B-137 No required change in tariff classification to subheading 8509.90, provided there is a regional value content of not less than: (a) 60 percent where the transaction value method is used; or (b) 50 percent where the net cost method is used.</w:t>
      </w:r>
    </w:p>
    <w:p>
      <w:pPr>
        <w:pStyle w:val="Normal"/>
        <w:widowControl/>
        <w:rPr/>
      </w:pPr>
      <w:r>
        <w:rPr/>
        <w:t>8510.10-8510.30 A change to subheading 8510.10 through 8510.30 from any other heading; or A change to subheading 8510.10 through 8510.30 from subheading 8510.90, whether or not there is also a change from any other heading, provided there is a regional value content of not less than: (a) 60 percent where the transaction value method is used; or (b) 50 percent where the net cost method is used. 8510.90 A change to subheading 8510.90 from any other heading. 8511.10-8511.8038 A change to subheading 8511.10 through 8511.80 from any other subheading, including another subheading within that group. 8511.9039 A change to subheading 8511.90 from any other heading; or No required change in tariff classification to subheading 8511.90, provided there is a regional value content of not less than: (a) 60 percent where the transaction value method is used; or (b) 50 percent where the net cost method is used.</w:t>
      </w:r>
    </w:p>
    <w:p>
      <w:pPr>
        <w:pStyle w:val="Normal"/>
        <w:widowControl/>
        <w:rPr/>
      </w:pPr>
      <w:r>
        <w:rPr/>
        <w:t>8512.10-8512.4040 A change to subheading 8512.10 through 8512.40 from any other heading; or 38 If the good is for use in a vehicle of Chapter 87, the provisions of the Appendix to this Annex apply. 39 If the good is for use in a vehicle of Chapter 87, the provisions of the Appendix to this Annex apply. 40 If the good is for use in a vehicle of Chapter 87, the provisions of the Appendix to this Annex apply.</w:t>
      </w:r>
    </w:p>
    <w:p>
      <w:pPr>
        <w:pStyle w:val="Normal"/>
        <w:widowControl/>
        <w:rPr/>
      </w:pPr>
      <w:r>
        <w:rPr/>
        <w:t>4-B-138 A change to subheading 8512.10 through 8512.40 from subheading 8512.90, whether or not there is also a change from any other heading, provided there is also a regional value content of not less than: (a) 60 percent where the transaction value method is used; or (b) 50 percent where the net cost method is used. 8512.90 A change to subheading 8512.90 from any other heading. 8513.10 A change to subheading 8513.10 from any other heading; or A change to subheading 8513.10 from subheading 8513.90, whether or not there is also a change from any other heading, provided there is a regional value content of not less than: (a) 60 percent where the transaction value method is used; or (b) 50 percent where the net cost method is used. 8513.90 A change to subheading 8513.90 from any other heading. 8514.10-8514.30 A change to subheading 8514.10 through 8514.30 from any other subheading, including another subheading within that group.</w:t>
      </w:r>
    </w:p>
    <w:p>
      <w:pPr>
        <w:pStyle w:val="Normal"/>
        <w:widowControl/>
        <w:rPr/>
      </w:pPr>
      <w:r>
        <w:rPr/>
        <w:t>8514.40 A change to subheading 8514.40 from any other heading; or A change to subheading 8514.40 from subheading 8514.90, whether or not there is also a change from any other heading, provided there is a regional value content of not less than: (a) 60 percent where the transaction value method is used; or (b) 50 percent where the net cost method is used.</w:t>
      </w:r>
    </w:p>
    <w:p>
      <w:pPr>
        <w:pStyle w:val="Normal"/>
        <w:widowControl/>
        <w:rPr/>
      </w:pPr>
      <w:r>
        <w:rPr/>
        <w:t>8514.90 A change to subheading 8514.90 from any other heading; or No required change in tariff classification to subheading 8514.90, provided there is a regional value content of not less than: (a) 60 percent where the transaction value method is used; or (b) 50 percent where the net cost method is used. 4-B-139 8515.11-8515.80 A change to subheading 8515.11 through 8515.80 from any other heading; or A change to subheading 8515.11 through 8515.80 from subheading 8515.90, whether or not there is also a change from any other heading, provided there is a regional value content of not less than: (a) 60 percent where the transaction value method is used; or (b) 50 percent where the net cost method is used. 8515.90 A change to subheading 8515.90 from any other heading. 8516.10-8516.80 A change to subheading 8516.10 through 8516.80 from any other subheading, including another subheading within that group. 8516.90 8516.90.cc A change to tariff item 8516.90.cc from any other tariff item. 8516.90.dd A change to tariff item 8516.90.dd from any other tariff item.</w:t>
      </w:r>
    </w:p>
    <w:p>
      <w:pPr>
        <w:pStyle w:val="Normal"/>
        <w:widowControl/>
        <w:rPr/>
      </w:pPr>
      <w:r>
        <w:rPr/>
        <w:t>8516.90.ee A change to tariff item 8516.90.ee from any other tariff item. 8516.90.ff A change to tariff item 8516.90.ff from any other tariff item. 8516.90.gg A change to tariff item 8516.90.gg from any other tariff item.</w:t>
      </w:r>
    </w:p>
    <w:p>
      <w:pPr>
        <w:pStyle w:val="Normal"/>
        <w:widowControl/>
        <w:rPr/>
      </w:pPr>
      <w:r>
        <w:rPr/>
        <w:t>8516.90 A change to subheading 8516.90 from any other heading; or No required change in tariff classification to subheading 8516.90, provided there is a regional value content of not less than: (a) 60 percent where the transaction value method is used; or (b) 50 percent where the net cost method is used. 8517.11 A change to subheading 8517.11 from any other subheading. 8517.12-8517.61 A change to subheading 8517.12 through 8517.61 from any other subheading, including another subheading within that group. 4-B-140 8517.62-8517.70 A change to a good of any of subheading 8517.62 through 8517.70 from any other good within that subheading or any other subheading, including another subheading within that group. 8518.10-8518.30 A change to a good of any of subheading 8518.10 through 8518.30 from any other good within that subheading or any other subheading, including another subheading within that group.</w:t>
      </w:r>
    </w:p>
    <w:p>
      <w:pPr>
        <w:pStyle w:val="Normal"/>
        <w:widowControl/>
        <w:rPr/>
      </w:pPr>
      <w:r>
        <w:rPr/>
        <w:t>8518.40-8518.50 A change to subheading 8518.40 through 8518.50 from any other heading; or A change to subheading 8518.40 through 8518.50 from subheading 8518.90, whether or not there is also a change from any other heading, provided there is a regional value content of not less than: (a) 60 percent where the transaction value method is used; or (b) 50 percent where the net cost method is used.</w:t>
      </w:r>
    </w:p>
    <w:p>
      <w:pPr>
        <w:pStyle w:val="Normal"/>
        <w:widowControl/>
        <w:rPr/>
      </w:pPr>
      <w:r>
        <w:rPr/>
        <w:t>8518.90 A change to subheading 8518.90 from any other heading; or A change to subheading 8518.90 from any other subheading within heading 85.18, whether or not there is also a change from any other heading, provided there is a regional value content of not less than: (a) 30 percent where the transaction value method is used; or (b) 25 percent where the net cost method is used. 8519.20-8519.8941 A change to a good of any of subheading 8519.20 through 8519.89 from any other good within that subheading or any other subheading, including another subheading within that group. 8521.10-8521.90 A change to subheading 8521.10 through 8521.90 from any other subheading, including another subheading within that group, except from tariff item 8522.90.aa. 85.22 A change to heading 85.22 from any other heading. 41 If the good is for use in a vehicle of Chapter 87, the provisions of the Appendix to this Annex apply. 4-B-141 8523.21-8523.51 A change to a good of any of subheading 8523.21 through 8523.51 from any other good within that subheading or any other subheading, including another subheading within that group.</w:t>
      </w:r>
    </w:p>
    <w:p>
      <w:pPr>
        <w:pStyle w:val="Normal"/>
        <w:widowControl/>
        <w:rPr/>
      </w:pPr>
      <w:r>
        <w:rPr/>
        <w:t>8523.52 Note: Notwithstanding Article 4.18 (Transit and Transshipment), “smart cards” of subheading 8523.52 qualifying under the rule below as an originating good may undergo further production outside the territory of the Parties and, when imported into the territory of a Party, will originate in the territory of a Party, provided that such further production did not result in a change to any other subheading. No required change in tariff classification to “smart cards” which contain a single integrated circuit or parts of such “smart cards” of subheading 8523.52; A change to other “smart cards” of subheading 8523.52 from any other good of subheading 8523.52, except from parts of other “smart cards” of subheading 8523.52, or any other heading; A change to other “smart cards” of subheading 8523.52 from parts of other “smart cards” of subheading 8523.52, whether or not there is also a change from any other good of subheading 8523.52 or any other heading, provided there is a regional value content of not less than: (a) 60 percent where the transaction value method is used; or (b) 50 percent where the net cost method is used.</w:t>
      </w:r>
    </w:p>
    <w:p>
      <w:pPr>
        <w:pStyle w:val="Normal"/>
        <w:widowControl/>
        <w:rPr/>
      </w:pPr>
      <w:r>
        <w:rPr/>
        <w:t>A change to parts of other “smart cards” of subheading 8523.52 from any other heading; or No required change in tariff classification to parts of other “smart cards” of subheading 8523.52, provided there is a regional value content of not less than: (a) 60 percent where the transaction value method is used; or (b) 50 percent where the net cost method is used. 8523.59-8523.80 A change to a good of any of subheading 8523.59 through 8523.80 from any other good within that subheading or any other subheading, including another subheading within that group. 4-B-142 8525.50-8525.60 A change to subheading 8525.50 through 8525.60 from any subheading outside that group, provided that, with respect to printed circuit assemblies (PCAs) of subheading 8529.90: (a) except as provided in subparagraph (b), for each multiple of nine PCAs, or any portion thereof, that is contained in the good, only one PCA may be a non-originating PCA; and (b) if the good contains less than three PCAs, all of the PCAs must be originating PCAs.</w:t>
      </w:r>
    </w:p>
    <w:p>
      <w:pPr>
        <w:pStyle w:val="Normal"/>
        <w:widowControl/>
        <w:rPr/>
      </w:pPr>
      <w:r>
        <w:rPr/>
        <w:t>8525.80 A change to gyrostabilized television cameras of subheading 8525.80 from any other good of subheading 8525.80 or any other subheading, except from studio television cameras, other than shoulder-carried cameras and other portable cameras, of subheading 8525.80; A change to other television cameras of subheading 8525.80 from any other good of subheading 8525.80 or any other subheading, except from gyrostabilized television cameras of subheading 8525.80; or A change to any other good of subheading 8525.80 from television cameras of subheading 8525.80 or any other subheading. 8526.10-8526.92 A change to subheading 8526.10 through 8526.92 from any other subheading, including another subheading within that group. 8527.12-8527.9942 A change to subheading 8527.12 through 8527.99 from any other subheading, including another subheading within that group, except from printed circuit assemblies (PCAs) of subheading 8529.90. 85.28 A change to heading 85.28 from any other heading; or No required change in tariff classification to heading 85.28, provided there is a regional value content of not less than:</w:t>
      </w:r>
    </w:p>
    <w:p>
      <w:pPr>
        <w:pStyle w:val="Normal"/>
        <w:widowControl/>
        <w:rPr/>
      </w:pPr>
      <w:r>
        <w:rPr/>
        <w:t>(a) 60 percent where the transaction value method is used; or (b) 50 percent where the net cost method is used. 42 If the good is for use in a vehicle of Chapter 87, the provisions of the Appendix to this Annex apply.</w:t>
      </w:r>
    </w:p>
    <w:p>
      <w:pPr>
        <w:pStyle w:val="Normal"/>
        <w:widowControl/>
        <w:rPr/>
      </w:pPr>
      <w:r>
        <w:rPr/>
        <w:t>4-B-143 8529.10 A change to subheading 8529.10 from any other heading; or No required change in tariff classification to subheading 8529.10, provided there is a regional value content of not less than: (a) 60 percent where the transaction value method is used; or (b) 50 percent where the net cost method is used. 8529.90 A change of subheading 8529.90 from any other good within the same subheading; or No required change in tariff classification to subheading 8529.90, provided there is a regional value content of not less than: (a) 40 percent where the transaction value method is used; or (b) 30 percent where the net cost method is used. 8530.10-8530.80 A change to subheading 8530.10 through 8530.80 from any other heading; or A change to subheading 8530.10 through 8530.80 from subheading 8530.90, whether or not there is also a change from any other heading, provided there is a regional value content of not less than: (a) 60 percent where the transaction value method is used; or (b) 50 percent where the net cost method is used.</w:t>
      </w:r>
    </w:p>
    <w:p>
      <w:pPr>
        <w:pStyle w:val="Normal"/>
        <w:widowControl/>
        <w:rPr/>
      </w:pPr>
      <w:r>
        <w:rPr/>
        <w:t>8530.90 A change to subheading 8530.90 from any other heading; or No required change in tariff classification to subheading 8530.90, provided there is a regional value content of not less than: (a) 60 percent where the transaction value method is used; or (b) 50 percent where the net cost method is used. 8531.10 A change to subheading 8531.10 from any other subheading.</w:t>
      </w:r>
    </w:p>
    <w:p>
      <w:pPr>
        <w:pStyle w:val="Normal"/>
        <w:widowControl/>
        <w:rPr/>
      </w:pPr>
      <w:r>
        <w:rPr/>
        <w:t>8531.20 A change to a good of subheading 8531.20 from any other good within that subheading or any other subheading. 4-B-144 8531.80 A change to subheading 8531.80 from any other subheading. 8531.90 A change to a good of subheading 8531.90 from any other good within that subheading or any other subheading. 8532.10-8532.90 A change to a good of any of subheading 8532.10 through 8532.90 from any other good within that subheading or any other subheading, including another subheading within that group. 8533.10-8533.39 A change to subheading 8533.10 through 8533.39 from any other subheading, including another subheading within that group. 8533.40 A change to subheading 8533.40 from any other subheading, except from tariff item 8533.90.aa. 8533.90 A change to a good of subheading 8533.90 from any other good within that subheading or any other subheading. 85.34 A change to heading 85.34 from any other heading.</w:t>
      </w:r>
    </w:p>
    <w:p>
      <w:pPr>
        <w:pStyle w:val="Normal"/>
        <w:widowControl/>
        <w:rPr/>
      </w:pPr>
      <w:r>
        <w:rPr/>
        <w:t>85.35 8535.90.aa A change to tariff item 8535.90.aa from any other tariff item, except from tariff item 8538.90.aa; or A change to tariff item 8535.90.aa from tariff item 8538.90.aa, whether or not there is also a change from any other tariff item, provided there is a regional value content of not less than: (a) 60 percent where the transaction value method is used; or (b) 50 percent where the net cost method is used.</w:t>
      </w:r>
    </w:p>
    <w:p>
      <w:pPr>
        <w:pStyle w:val="Normal"/>
        <w:widowControl/>
        <w:rPr/>
      </w:pPr>
      <w:r>
        <w:rPr/>
        <w:t>85.35 A change to heading 85.35 from any other heading, except from tariff item 8538.90.bb or 8538.90.cc; or A change to heading 85.35 from tariff item 8538.90.bb or 8538.90.cc, whether or not there is also a change from any other heading, provided there is a regional value content of not less than: (a) 60 percent where the transaction value method is used; or (b) 50 percent where the net cost method is used. 4-B-145 8536.10-8536.20 A change to subheading 8536.10 through 8536.20 from any other heading, except from tariff item 8538.90.bb or 8538.90.cc; or A change to subheading 8536.10 through 8536.20 from tariff item 8538.90.bb or 8538.90.cc, whether or not there is also a change from any other heading, provided there is a regional value content of not less than: (a) 60 percent where the transaction value method is used; or (b) 50 percent where the net cost method is used.</w:t>
      </w:r>
    </w:p>
    <w:p>
      <w:pPr>
        <w:pStyle w:val="Normal"/>
        <w:widowControl/>
        <w:rPr/>
      </w:pPr>
      <w:r>
        <w:rPr/>
        <w:t>8536.30 8536.30.aa A change to tariff item 8536.30.aa from any other tariff item, except from tariff item 8538.90.aa; or A change to tariff item 8536.30.aa from tariff item 8538.90.aa, whether or not there is also a change from any other tariff item, provided there is a regional value content of not less than: (a) 60 percent where the transaction value method is used; or (b) 50 percent where the net cost method is used.</w:t>
      </w:r>
    </w:p>
    <w:p>
      <w:pPr>
        <w:pStyle w:val="Normal"/>
        <w:widowControl/>
        <w:rPr/>
      </w:pPr>
      <w:r>
        <w:rPr/>
        <w:t>8536.30 A change to any other good of subheading 8536.30 from any other heading, except from tariff item 8538.90.bb or 8538.90.cc; or A change to any other good of subheading 8536.30 from tariff item 8538.90.bb or 8538.90.cc, whether or not there is also a change from any other heading, provided there is a regional value content of not less than: (a) 60 percent where the transaction value method is used; or (b) 50 percent where the net cost method is used. 8536.41-8536.49 A change to subheading 8536.41 through 8536.49 from any other heading, except from tariff item 8538.90.bb or 8538.90.cc; or A change to subheading 8536.41 through 8536.49 from tariff item 8538.90.bb or 8538.90.cc, whether or not there is also a change from any other heading, provided there is a regional value content of not less than: (a) 60 percent where the transaction value method is used; or 4-B-146 (b) 50 percent where the net cost method is used.</w:t>
      </w:r>
    </w:p>
    <w:p>
      <w:pPr>
        <w:pStyle w:val="Normal"/>
        <w:widowControl/>
        <w:rPr/>
      </w:pPr>
      <w:r>
        <w:rPr/>
        <w:t>8536.5043 8536.50.aa A change to tariff item 8536.50.aa from any other tariff item, except from tariff item 8538.90.aa; or A change to tariff item 8536.50.aa from tariff item 8538.90.aa, whether or not there is also a change from any other tariff item, provided there is a regional value content of not less than: (a) 60 percent where the transaction value method is used; or (b) 50 percent where the net cost method is used.</w:t>
      </w:r>
    </w:p>
    <w:p>
      <w:pPr>
        <w:pStyle w:val="Normal"/>
        <w:widowControl/>
        <w:rPr/>
      </w:pPr>
      <w:r>
        <w:rPr/>
        <w:t>8536.50 A change to any other good of subheading 8536.50 from any other heading, except from tariff item 8538.90.bb or 8538.90.cc; or A change to any other good of subheading 8536.50 from tariff item 8538.90.bb or 8538.90.cc, whether or not there is also a change from any other heading, provided there is a regional value content of not less than: (a) 60 percent where the transaction value method is used; or (b) 50 percent where the net cost method is used. 8536.61-8536.69 A change to subheading 8536.61 through 8536.69 from any other heading, except from tariff item 8538.90.bb or 8538.90.cc; or A change to subheading 8536.61 through 8536.69 from tariff item 8538.90.bb or 8538.90.cc, whether or not there is also a change from any other heading, provided there is a regional value content of not less than: (a) 60 percent where the transaction value method is used; or (b) 50 percent where the net cost method is used. 43 If the good is for use in a vehicle of Chapter 87, the provisions of the Appendix to this Annex apply.</w:t>
      </w:r>
    </w:p>
    <w:p>
      <w:pPr>
        <w:pStyle w:val="Normal"/>
        <w:widowControl/>
        <w:rPr/>
      </w:pPr>
      <w:r>
        <w:rPr/>
        <w:t>4-B-147 8536.70 A change to plastic connectors of subheading 8536.70 from any other good of subheading 8536.70 or any other subheading, except from heading 39.26, provided there is a regional value content of not less than: (a) 60 percent where the transaction value method is used; or (b) 50 percent where the net cost method is used.</w:t>
      </w:r>
    </w:p>
    <w:p>
      <w:pPr>
        <w:pStyle w:val="Normal"/>
        <w:widowControl/>
        <w:rPr/>
      </w:pPr>
      <w:r>
        <w:rPr/>
        <w:t>A change to ceramic connectors of subheading 8536.70 from any other good of subheading 8536.70 or any other subheading, except from Chapter 69; or A change to copper connectors of subheading 8536.70 from any other good of subheading 8536.70 or any other subheading, except from heading 74.19. 8536.9044 A change to subheading 8536.90 from any other heading, except from tariff item 8538.90.bb or 8538.90.cc; or A change to subheading 8536.90 from tariff item 8538.90.bb or 8538.90.cc, whether or not there is also a change from any other heading, provided there is a regional value content of not less than: (a) 60 percent where the transaction value method is used; or (b) 50 percent where the net cost method is used.</w:t>
      </w:r>
    </w:p>
    <w:p>
      <w:pPr>
        <w:pStyle w:val="Normal"/>
        <w:widowControl/>
        <w:rPr/>
      </w:pPr>
      <w:r>
        <w:rPr/>
        <w:t>85.3745 A change to heading 85.37 from any other heading, except from printed circuit assemblies of subheading 8538.90 or moulded parts of subheading 8538.90; or A change to heading 85.37 from printed circuit assemblies of subheading 8538.90 or moulded parts of subheading 8538.90 or, whether or not there is also a change from any other heading, provided there is a regional value content of not less than: (a) 50 percent where the transaction value method is used; or (b) 40 percent where the net cost method is used. 44 If the good is for use in a vehicle of Chapter 87, the provisions of the Appendix to this Annex apply. 45 If the good is for use in a vehicle of Chapter 87, the provisions of the Appendix to this Annex apply.</w:t>
      </w:r>
    </w:p>
    <w:p>
      <w:pPr>
        <w:pStyle w:val="Normal"/>
        <w:widowControl/>
        <w:rPr/>
      </w:pPr>
      <w:r>
        <w:rPr/>
        <w:t>4-B-148 8538.10-8538.90 A change to subheading 8538.10 through 8538.90 from any other heading; or A change to subheading 8538.10 through 8538.90 from any other subheading within that group, whether or not there is also a change from any other heading, provided there is a regional value content of not less than: (a) 60 percent where the transaction value method is used; or (b) 50 percent where the net cost method is used. 8539.10-8539.4946 A change to subheading 8539.10 through 8539.49 from any other subheading, except from any subheading within that group. 8539.90 A change to subheading 8539.90 from any other heading. 8540.11 8540.11.aa A change to tariff item 8540.11.aa from any other subheading, except from more than one of the following: - tariff item 7011.20.aa, - tariff item 8540.91.aa. 8540.11.bb A change to tariff item 8540.11.bb from any other subheading, except from more than one of the following: - tariff item 7011.20.aa, - tariff item 8540.91.aa. 8540.11.cc A change to tariff item 8540.11.cc from any other subheading, except from tariff item 8540.91.aa.</w:t>
      </w:r>
    </w:p>
    <w:p>
      <w:pPr>
        <w:pStyle w:val="Normal"/>
        <w:widowControl/>
        <w:rPr/>
      </w:pPr>
      <w:r>
        <w:rPr/>
        <w:t>8540.11.dd A change to tariff item 8540.11.dd from any other subheading, except from tariff item 8540.91.aa. 8540.11 A change to subheading 8540.11 from any other heading; or 46 If the good is for use in a vehicle of Chapter 87, the provisions of the Appendix to this Annex apply.</w:t>
      </w:r>
    </w:p>
    <w:p>
      <w:pPr>
        <w:pStyle w:val="Normal"/>
        <w:widowControl/>
        <w:rPr/>
      </w:pPr>
      <w:r>
        <w:rPr/>
        <w:t>4-B-149 A change to subheading 8540.11 from subheading 8540.91, whether or not there is also a change from any other heading, provided there is a regional value content of not less than: (a) 60 percent where the transaction value method is used; or (b) 50 percent where the net cost method is used. 8540.12 Note: The following rule applies to a good of tariff item 8540.12.aa incorporating a glass panel referred to in subparagraph (b) of Note 4 of Chapter85 and a glass cone provided for in tariff item 7011.20.aa: 8540.12.aa A change to tariff item 8540.12.aa from any other subheading, except from more than one of the following: - tariff item 7011.20.aa, - tariff item 8540.91.aa. Note: The following rule applies to a good of tariff item 8540.12.aa incorporating a glass envelope referred to in subparagraph (b) of Note 4 of Chapter 85: 8540.12.aa A change to tariff item 8540.12.aa from any other subheading, except from tariff item 8540.91.aa. 8540.12.bb A change to tariff item 8540.12.bb from any other subheading, except from tariff item 8540.91.aa.</w:t>
      </w:r>
    </w:p>
    <w:p>
      <w:pPr>
        <w:pStyle w:val="Normal"/>
        <w:widowControl/>
        <w:rPr/>
      </w:pPr>
      <w:r>
        <w:rPr/>
        <w:t>8540.12 A change to subheading 8540.12 from any other heading; or A change to subheading 8540.12 from subheading 8540.91, whether or not there is also a change from any other heading, provided there is a regional value content of not less than: (a) 60 percent where the transaction value method is used; or (b) 50 percent where the net cost method is used.</w:t>
      </w:r>
    </w:p>
    <w:p>
      <w:pPr>
        <w:pStyle w:val="Normal"/>
        <w:widowControl/>
        <w:rPr/>
      </w:pPr>
      <w:r>
        <w:rPr/>
        <w:t>8540.20 A change to subheading 8540.20 from any other heading; or A change to subheading 8540.20 from subheading 8540.91 through 8540.99, whether or not there is also a change from any other heading, provided there is a regional value content of not less than: 4-B-150 (a) 60 percent where the transaction value method is used; or (b) 50 percent where the net cost method is used. 8540.40-8540.60 A change to subheading 8540.40 through 8540.60 from any subheading outside that group. 8540.71 A change to subheading 8540.71 from any other subheading. 8540.79 A change to klystrons of subheading 8540.79 from any other good within that subheading or any other subheading; or A change to any other good of subheading 8540.79 from klystrons within that subheading or any other subheading. 8540.81-8540.89 A change to subheading 8540.81 through 8540.89 from any other subheading, including another subheading within that group. 8540.91 8540.91.aa A change to tariff item 8540.91.aa from any other tariff item.</w:t>
      </w:r>
    </w:p>
    <w:p>
      <w:pPr>
        <w:pStyle w:val="Normal"/>
        <w:widowControl/>
        <w:rPr/>
      </w:pPr>
      <w:r>
        <w:rPr/>
        <w:t>8540.91 A change to subheading 8540.91 from any other heading; or No required change in tariff classification to subheading 8540.91, provided there is a regional value content of not less than: (a) 60 percent where the transaction value method is used; or (b) 50 percent where the net cost method is used. 8540.99 8540.99.aa A change to tariff item 8540.99.aa from any other tariff item.</w:t>
      </w:r>
    </w:p>
    <w:p>
      <w:pPr>
        <w:pStyle w:val="Normal"/>
        <w:widowControl/>
        <w:rPr/>
      </w:pPr>
      <w:r>
        <w:rPr/>
        <w:t>8540.99 A change to subheading 8540.99 from any other heading; or No required change in tariff classification to subheading 8540.99, provided there is a regional value content of not less than: (a) 60 percent where the transaction value method is used; or 4-B-151 (b) 50 percent where the net cost method is used. 8541.10-8542.90 Note: Notwithstanding Article 4.18 (Transshipment), a good provided for in subheading 8541.10 through 8541.60 or 8542.10 through 8542.39 qualifying under the rule below as an originating good may undergo further production outside the territory of the Parties and, when imported into the territory of a Party, will originate in the territory of a Party, provided that such further production did not result in a change to a subheading outside of that group. No required change in tariff classification to subheading 8541.10 through 8542.90. 8543.10 A change to subheading 8543.10 from any other subheading, except from subheading 8486.20. 8543.20-8543.30 A change to subheading 8543.20 through 8543.30 from any other subheading, including another subheading within that group. 8543.70 A change to subheading 8543.70 from any other subheading, except from “smart” cards, other than those containing a single integrated circuit, of subheading 8523.59.</w:t>
      </w:r>
    </w:p>
    <w:p>
      <w:pPr>
        <w:pStyle w:val="Normal"/>
        <w:widowControl/>
        <w:rPr/>
      </w:pPr>
      <w:r>
        <w:rPr/>
        <w:t>8543.90 Note: Notwithstanding Article 4.18 (Transit and Transshipment), electronic microassemblies of subheading 8543.90 qualifying under the rule below as an originating good may undergo further production outside the territory of the Parties and, when imported into the territory of a Party, will originate in the territory of a Party, provided that such further production did not result in a change to any other subheading. No required change in tariff classification to electronic microassemblies of subheading 8543.90; A change to any other good of subheading 8543.90 from electronic microassemblies of subheading 8543.90 or any other heading; or No required change in tariff classification to any other good of subheading 8543.90, provided there is a regional value content of not less than: (a) 60 percent where the transaction value method is used; or 4-B-152 (b) 50 percent where the net cost method is used.</w:t>
      </w:r>
    </w:p>
    <w:p>
      <w:pPr>
        <w:pStyle w:val="Normal"/>
        <w:widowControl/>
        <w:rPr/>
      </w:pPr>
      <w:r>
        <w:rPr/>
        <w:t>8544.11-8544.6047 A change to subheading 8544.11 through 8544.60 from any subheading outside that group, except from heading 74.08, 74.13, 76.05 or 76.14; or A change to subheading 8544.11 through 8544.60 from any other subheading within that group or heading 74.08, 74.13, 76.05 or 76.14, whether or not there is also a change from any other subheading, provided there is a regional value content of not less than: (a) 60 percent where the transaction value method is used; or (b) 50 percent where the net cost method is used.</w:t>
      </w:r>
    </w:p>
    <w:p>
      <w:pPr>
        <w:pStyle w:val="Normal"/>
        <w:widowControl/>
        <w:rPr/>
      </w:pPr>
      <w:r>
        <w:rPr/>
        <w:t>8544.70 A change to subheading 8544.70 from any other subheading, except from heading 70.02 or 90.01; or A change to subheading 8544.70 from heading 70.02 or 90.01, whether or not there is also a change from any other subheading, provided there is a regional value content of not less than: (a) 60 percent where the transaction value method is used; or (b) 50 percent where the net cost method is used. 8545.11-8545.90 A change to subheading 8545.11 through 8545.90 from any other subheading, including another subheading within that group. 85.46 A change to heading 85.46 from any other heading. 8547.10-8547.90 A change to subheading 8547.10 through 8547.90 from any other subheading, including another subheading within that group. 8548.10 A change to subheading 8548.10 from any other chapter. 8548.90 Note: Notwithstanding Article 4.18 (Transit and Transshipment), electronic microassemblies of subheading 8548.90 qualifying under the rule below as an originating good may undergo further production outside the territory of the 47 If the good is for use in a vehicle of Chapter 87, the provisions of the Appendix to this Annex apply.</w:t>
      </w:r>
    </w:p>
    <w:p>
      <w:pPr>
        <w:pStyle w:val="Normal"/>
        <w:widowControl/>
        <w:rPr/>
      </w:pPr>
      <w:r>
        <w:rPr/>
        <w:t>4-B-153 Parties and, when imported into the territory of a Party, will originate in the territory of a Party, provided that such further production did not result in a change to any other subheading.</w:t>
      </w:r>
    </w:p>
    <w:p>
      <w:pPr>
        <w:pStyle w:val="Normal"/>
        <w:widowControl/>
        <w:rPr/>
      </w:pPr>
      <w:r>
        <w:rPr/>
        <w:t>No required change in tariff classification to electronic microassemblies of subheading 8548.90; or A change to any other good of subheading 8548.90 from electronic microassemblies of subheading 8548.90 or any other heading. Section XVII - Vehicles, Aircraft, Vessels and Associated Transport Equipment (Chapter 86-89) Chapter 86 Railway or Tramway Locomotives, Rolling-Stock and Parts Thereof; Railway or Tramway Track Fixtures and Fittings and Parts Thereof; Mechanical (Including Electro-Mechanical) Traffic Signalling Equipment of all Kinds 86.01-86.02 A change to heading 86.01 through 86.02 from any other heading, including another heading within that group. 86.03-86.06 A change to heading 86.03 through 86.06 from any other heading, including another heading within that group, except from heading 86.07; or A change to heading 86.03 through 86.06 from heading 86.07, whether or not there is also a change from any other heading, including another heading within that group, provided there is a regional value content of not less than: (a) 60 percent where the transaction value method is used; or (b) 50 percent where the net cost method is used.</w:t>
      </w:r>
    </w:p>
    <w:p>
      <w:pPr>
        <w:pStyle w:val="Normal"/>
        <w:widowControl/>
        <w:rPr/>
      </w:pPr>
      <w:r>
        <w:rPr/>
        <w:t>8607.11-8607.12 Note: Beginning on the date of entry into force of the Agreement, until January 1, 2023 or three years after entry into force of this Agreement, whichever is later, the following rule of origin shall apply to subheading 8607.11 through 8607.12: 4-B-154 A change to subheading 8607.11 through 8607.12 from any subheading outside that group. Note: Beginning on January 1, 2023 or three years after entry into force of this Agreement, whichever is later, and thereafter, the following rules of origin shall apply to subheading 8607.11 through 8607.12: A change to subheading 8607.11 through 8607.12 from any other heading, except from heading 72.08 through 72.29 or 73.01 through 73.26; A change to subheading 8607.11 through 8607.12 from heading 72.08 through 72.29 or 73.01 through 73.26, provided that at least 70 percent by weight of the materials of heading 72.08 through 72.29 and 73.01 through 73.26 is originating; or No required change in tariff classification to subheading 8607.11 through 8607.12 provided there is a regional value content of not less than: (a) 70 percent where the transaction value method is used; or (b) 60 percent where the net cost method is used.</w:t>
      </w:r>
    </w:p>
    <w:p>
      <w:pPr>
        <w:pStyle w:val="Normal"/>
        <w:widowControl/>
        <w:rPr/>
      </w:pPr>
      <w:r>
        <w:rPr/>
        <w:t>8607.19 8607.19.aa A change to tariff item 8607.19.aa from any other heading; or A change to tariff item 8607.19.aa from tariff item 8607.19.bb, whether or not there is also a change from any other heading, provided there is a regional value content of not less than: (a) 60 percent where the transaction value method is used; or (b) 50 percent where the net cost method is used. 8607.19.cc A change to tariff item 8607.19.cc from any other heading; or A change to tariff item 8607.19.cc from tariff item 8607.19.bb or 8607.19.dd, whether or not there is also a change from any other heading, provided there is a regional value content of not less than: (a) 60 percent where the transaction value method is used; or (b) 50 percent where the net cost method is used. 4-B-155 8607.19 A change to subheading 8607.19 from any other heading. 8607.21 A change to subheading 8607.21 from any other heading; or No required change in tariff classification to subheading 8607.21, provided there is a regional value content of not less than: (a) 60 percent where the transaction value method is used; or (b) 50 percent where the net cost method is used.</w:t>
      </w:r>
    </w:p>
    <w:p>
      <w:pPr>
        <w:pStyle w:val="Normal"/>
        <w:widowControl/>
        <w:rPr/>
      </w:pPr>
      <w:r>
        <w:rPr/>
        <w:t>8607.29 Note: Beginning on the date of entry into force of the Agreement, until January 1, 2023 or three years after entry into force of this Agreement, whichever is later, the following rule of origin shall apply to subheading 8607.29: A change to subheading 8607.29 from any other heading; or No required change in tariff classification to subheading 8607.29, provided there is a regional value content of not less than: (a) 60 percent where the transaction value method is used, or (b) 50 percent where the net cost method is used. Note: Beginning on January 1, 2023 or three years after entry into force of this Agreement, whichever is later, and thereafter, the following rules of origin shall apply to subheading 8607.29: A change to subheading 8607.29 from any other heading, except from heading 72.08 through 72.29 or heading 73.01 through 73.26;</w:t>
      </w:r>
    </w:p>
    <w:p>
      <w:pPr>
        <w:pStyle w:val="Normal"/>
        <w:widowControl/>
        <w:rPr/>
      </w:pPr>
      <w:r>
        <w:rPr/>
        <w:t>A change to subheading 8607.29 from heading 72.08 through 72.29 or 73.01 through 73.26, provided that at least 70 percent by weight of the materials of heading 72.08 through 72.29 and 73.01 through 73.26 is originating; or No required change in tariff classification to subheading 8607.21 provided there is a regional value content of not less than: (a) 70 percent where the transaction value method is used; or 4-B-156 (b) 60 percent where the net cost method is used.</w:t>
      </w:r>
    </w:p>
    <w:p>
      <w:pPr>
        <w:pStyle w:val="Normal"/>
        <w:widowControl/>
        <w:rPr/>
      </w:pPr>
      <w:r>
        <w:rPr/>
        <w:t>8607.30 A change to subheading 8607.30 from any other heading; or No required change in tariff classification to subheading 8607.30, provided there is a regional value content of not less than: (a) 60 percent where the transaction value method is used; or (b) 50 percent where the net cost method is used. 8607.91 Note: Beginning on the date of entry into force of the Agreement, until January 1, 2023 or three years after entry into force of this Agreement, whichever is later, the following rule of origin shall apply to subheading 8607.91: A change to subheading 8607.91 from any other heading; or No required change in tariff classification to subheading 8607.91, provided there is a regional value content of not less than: (a) 60 percent where the transaction value method is used, or (b) 50 percent where the net cost method is used.</w:t>
      </w:r>
    </w:p>
    <w:p>
      <w:pPr>
        <w:pStyle w:val="Normal"/>
        <w:widowControl/>
        <w:rPr/>
      </w:pPr>
      <w:r>
        <w:rPr/>
        <w:t>Note: Beginning on January 1, 2023 or three years after entry into force of this Agreement, whichever is later, and thereafter, the following rules of origin shall apply to subheading 8607.91: A change to subheading 8607.91 from any other heading, except from heading 72.08 through 72.29 or 73.01 through 73.26; A change to subheading 8607.91 from heading 72.08 through 72.29 or 73.01 through 73.26, provided that at least 70 percent by weight of the materials of heading 72.08 through 72.29 and 73.01 through 73.26 is originating; or No required change in tariff classification to subheading 8607.91 provided there is a regional value content of not less than: (a) 70 percent where the transaction value method is used; or 4-B-157 (b) 60 percent where the net cost method is used. 8607.99 A change to subheading 8607.99 from any other heading; or No required change in tariff classification to subheading 8607.99, provided there is a regional value content of not less than: (a) 60 percent where the transaction value method is used; or (b) 50 percent where the net cost method is used. 86.08 A change to heading 86.08 from any other heading.</w:t>
      </w:r>
    </w:p>
    <w:p>
      <w:pPr>
        <w:pStyle w:val="Normal"/>
        <w:widowControl/>
        <w:rPr/>
      </w:pPr>
      <w:r>
        <w:rPr/>
        <w:t>86.09 Note: Beginning on the date of entry into force of the Agreementuntil January 1, 2023, or three years after entry into force of this Agreement, whichever is later, the following rule of origin shall apply to heading 86.09: A change to heading 86.09 from any other heading Note: Beginning on January 1, 2023, or three years after entry into force of this Agreement, whichever is later, and thereafter, the following rules of origin shall apply to heading 86.09: A change to heading 86.09 from any other heading, except from heading 72.08 through 72.29 or 73.01 through 73.26; or A change to heading 86.09 from heading 72.08 through 72.29 or 73.01 through 73.26, provided that at least 70 percent by weight of the materials of heading 72.08 through 72.29 and 73.01 through 73.26 is originating; or No required change in tariff classification to heading 86.09 is required provided there is a regional value content of not less than:</w:t>
      </w:r>
    </w:p>
    <w:p>
      <w:pPr>
        <w:pStyle w:val="Normal"/>
        <w:widowControl/>
        <w:rPr/>
      </w:pPr>
      <w:r>
        <w:rPr/>
        <w:t>(a) 70 percent where the transaction value method is used; or (b) 60 percent where the net cost method is used 4-B-158 87.01-87.08 87.10 Chapter 87 Vehicles Other Than Railway or Tramway Rolling-Stock, and Parts and Accessories Thereof The Appendix (Provisions Related to the Product-Specific Rules of Origin for Automotive Goods) includes the product-specific rules for a good of heading 8701 through 8708.</w:t>
      </w:r>
    </w:p>
    <w:p>
      <w:pPr>
        <w:pStyle w:val="Normal"/>
        <w:widowControl/>
        <w:rPr/>
      </w:pPr>
      <w:r>
        <w:rPr/>
        <w:t>8709.11-8709.19 A change to subheading 8709.11 through 8709.19 from any other heading; or A change to subheading 8709.11 through 8709.19 from subheading 8709.90, whether or not there is also a change from any other heading, provided there is a regional value content of not less than: (a) 60 percent where the transaction value method is used; or (b) 50 percent where the net cost method is used. 8709.90 A change to subheading 8709.90 from any other heading. A change to heading 87.10 from any other heading. 87.11-87.13 A change to heading 87.11 through 87.13 from any other heading, including another heading within that group, except from heading 87.14; or A change to heading 87.11 through 87.13 from heading 87.14, whether or not there is also a change from any other heading, including another heading within that group, provided there is a regional value content of not less than: (a) 60 percent where the transaction value method is used; or (b) 50 percent where the net cost method is used. 87.14-87.15 A change to heading 87.14 through 87.15 from any other heading, including another heading within that group.</w:t>
      </w:r>
    </w:p>
    <w:p>
      <w:pPr>
        <w:pStyle w:val="Normal"/>
        <w:widowControl/>
        <w:rPr/>
      </w:pPr>
      <w:r>
        <w:rPr/>
        <w:t>8716.10-8716.80 A change to subheading 8716.10 through 8716.80 from any other heading; or 4-B-159 88.01 A change to subheading 8716.10 through 8716.80 from subheading 8716.90, whether or not there is also a change from any other heading, provided there is a regional value content of not less than: (a) 60 percent where the transaction value method is used; or (b) 50 percent where the net cost method is used. 8716.90 A change to subheading 8716.90 from any other heading; or No required change in tariff classification to subheading 8716.90, provided there is a regional value content of not less than: (a) 60 percent where the transaction value method is used; or (b) 50 percent where the net cost method is used. Chapter 88 Aircraft, Spacecraft, and Parts Thereof A change to gliders or hang gliders of heading 88.01 from any other good of heading 88.01 or any other heading; or A change to any other good of heading 88.01 from gliders or hang gliders of heading 88.01 or any other heading.</w:t>
      </w:r>
    </w:p>
    <w:p>
      <w:pPr>
        <w:pStyle w:val="Normal"/>
        <w:widowControl/>
        <w:rPr/>
      </w:pPr>
      <w:r>
        <w:rPr/>
        <w:t>8802.11-8803.90 A change to subheading 8802.11 through 8803.90 from any other subheading, including another subheading within that group. 88.04-88.05 A change to heading 88.04 through 88.05 from any other heading, including another heading within that group.</w:t>
      </w:r>
    </w:p>
    <w:p>
      <w:pPr>
        <w:pStyle w:val="Normal"/>
        <w:widowControl/>
        <w:rPr/>
      </w:pPr>
      <w:r>
        <w:rPr/>
        <w:t>Chapter 89 Ships, Boats and Floating Structures 89.01-89.02 A change to heading 89.01 through 89.02 from any other chapter; or A change to heading 89.01 through 89.02 from any other heading within Chapter 89, including another heading within that group, whether or not there is also a change from any other chapter, provided there is a regional value content of not less than: (a) 60 percent where the transaction value method is used; or (b) 50 percent where the net cost method is used. 4-B-160 89.03 A change to heading 89.03 from any other heading, provided there is a regional value content of not less than: (a) 60 percent where the transaction value method is used; or (b) 50 percent where the net cost method is used.</w:t>
      </w:r>
    </w:p>
    <w:p>
      <w:pPr>
        <w:pStyle w:val="Normal"/>
        <w:widowControl/>
        <w:rPr/>
      </w:pPr>
      <w:r>
        <w:rPr/>
        <w:t>89.04-89.05 A change to heading 89.04 through 89.05 from any other chapter; or A change to heading 89.04 through 89.05 from any other heading within Chapter 89, including another heading within that group, whether or not there is also a change from any other chapter, provided there is a regional value content of not less than: (a) 60 percent where the transaction value method is used; or (b) 50 percent where the net cost method is used. 89.06-89.08 A change to heading 89.06 through 89.08 from any other heading, including another heading within that group.</w:t>
      </w:r>
    </w:p>
    <w:p>
      <w:pPr>
        <w:pStyle w:val="Normal"/>
        <w:widowControl/>
        <w:rPr/>
      </w:pPr>
      <w:r>
        <w:rPr/>
        <w:t>Section XVIII- Optical, Photographic, Cinematographic, Measuring, Checking, Precision, Medical or Surgical Instruments and Apparatus; Clocks and Watches; Musical Instruments; Parts and Accessories Thereof (Chapter 90-92) Chapter 90 Optical, Photographic, Cinematographic, Measuring, Checking, Precision, Medical or Surgical Instruments and Apparatus; Parts and Accessories Thereof Note 1: For the purposes of this Chapter, the term “printed circuit assembly” means a good consisting of one or more printed circuits of heading 85.34 with one or more active elements assembled thereon, with or without passive elements. For the purposes of this Note, “active elements” means diodes, transistors and similar semiconductor devices, whether or not photosensitive, of heading 85.41 and integrated circuits of heading 85.42 and microassemblies of heading 85.43 or 85.48. Note 2: The origin of the goods of Chapter 90 shall be determined without regard to the origin of any automatic data processing machines or units thereof of heading 84.71, or parts and accessories thereof of heading 84.73, which may be included therewith.</w:t>
      </w:r>
    </w:p>
    <w:p>
      <w:pPr>
        <w:pStyle w:val="Normal"/>
        <w:widowControl/>
        <w:rPr/>
      </w:pPr>
      <w:r>
        <w:rPr/>
        <w:t>9001.10 A change to subheading 9001.10 from any other chapter, except from pre forms of heading 70.02; or 4-B-161 90.02 A change to subheading 9001.10 from any other good of heading 70.02 except pre-forms, whether or not there is also a change from any other chapter, provided there is a regional value content of not less than: (a) 60 percent where the transaction value method is used; or (b) 50 percent where the net cost method is used. 9001.20-9001.90 A change to subheading 9001.20 through 9001.90 from any other heading. A change to heading 90.02 from any other heading, except from heading 90.01. 9003.11-9003.19 A change to subheading 9003.11 through 9003.19 from any other subheading, including another subheading within that group, except from subheading 9003.90; or A change to subheading 9003.11 through 9003.19 from subheading 9003.90, whether or not there is also a change from any other subheading, including another subheading within that group, provided there is a regional value content of not less than:</w:t>
      </w:r>
    </w:p>
    <w:p>
      <w:pPr>
        <w:pStyle w:val="Normal"/>
        <w:widowControl/>
        <w:rPr/>
      </w:pPr>
      <w:r>
        <w:rPr/>
        <w:t>(a) 60 percent where the transaction value method is used; or (b) 50 percent where the net cost method is used. 9003.90 A change to subheading 9003.90 from any other heading. 9004.10 A change to subheading 9004.10 from any other subheading.</w:t>
      </w:r>
    </w:p>
    <w:p>
      <w:pPr>
        <w:pStyle w:val="Normal"/>
        <w:widowControl/>
        <w:rPr/>
      </w:pPr>
      <w:r>
        <w:rPr/>
        <w:t>9004.90 A change to subheading 9004.90 from any other chapter; or A change to subheading 9004.90 from any other heading within Chapter 90, whether or not there is also a change from any other chapter, provided there is a regional value content of not less than: (a) 60 percent where the transaction value method is used; or (b) 50 percent where the net cost method is used. 9005.10-9005.80 A change to subheading 9005.10 through 9005.80 from any subheading outside that group, except from heading 90.01 through 90.02 or tariff item 9005.90.aa. 4-B-162 9005.90 9005.90.aa A change to tariff item 9005.90.aa from any other heading, except from heading 90.01 through 90.02. 9005.90 A change to subheading 9005.90 from any other heading; or No required change in tariff classification to subheading 9005.90, provided there is a regional value content of not less than: (a) 60 percent where the transaction value method is used; or (b) 50 percent where the net cost method is used.</w:t>
      </w:r>
    </w:p>
    <w:p>
      <w:pPr>
        <w:pStyle w:val="Normal"/>
        <w:widowControl/>
        <w:rPr/>
      </w:pPr>
      <w:r>
        <w:rPr/>
        <w:t>9006.10-9006.69 A change to subheading 9006.10 through 9006.69 from any other heading; or A change to subheading 9006.10 through 9006.69 from subheading 9006.91 or 9006.99, whether or not there is also a change from any other heading, provided there is a regional value content of not less than: (a) 60 percent where the transaction value method is used; or (b) 50 percent where the net cost method is used.</w:t>
      </w:r>
    </w:p>
    <w:p>
      <w:pPr>
        <w:pStyle w:val="Normal"/>
        <w:widowControl/>
        <w:rPr/>
      </w:pPr>
      <w:r>
        <w:rPr/>
        <w:t>9006.91-9006.99 A change to subheading 9006.91 through 9006.99 from any other heading; or A change to a good of any of subheading 9006.91 through 9006.99 from within that subheading, whether or not there is also a change from any other heading, provided there is a regional value content of not less than: (a) 60 percent where the transaction value method is used; or (b) 50 percent where the net cost method is used. 9007.10 A change to gyrostabilized cameras of subheading 9007.10 from any other good within that subheading or any other subheading; A change to heading; or any other good of subheading 9007.10 from any other 4-B-163 A change to any other good of subheading 9007.10 from subheading 9007.91, whether or not there is also a change from any other heading, provided there is a regional value content of not less than: (a) 60 percent where the transaction value method is used, or (b) 50 percent where the net cost method is used.</w:t>
      </w:r>
    </w:p>
    <w:p>
      <w:pPr>
        <w:pStyle w:val="Normal"/>
        <w:widowControl/>
        <w:rPr/>
      </w:pPr>
      <w:r>
        <w:rPr/>
        <w:t>9007.20 A change to subheading 9007.20 from any other heading; or A change to subheading 9007.20 from subheading 9007.92, whether or not there is also a change from any other heading, provided there is a regional value content of not less than: (a) 60 percent where the transaction value method is used; or (b) 50 percent where the net cost is used.</w:t>
      </w:r>
    </w:p>
    <w:p>
      <w:pPr>
        <w:pStyle w:val="Normal"/>
        <w:widowControl/>
        <w:rPr/>
      </w:pPr>
      <w:r>
        <w:rPr/>
        <w:t>9007.91 A change to subheading 9007.91 from any other heading; or No required change in tariff classification to subheading 9007.91, provided there is a regional value content of not less than: (a) 60 percent where the transaction value method is used; or (b) 50 percent where the net cost method is used. 9007.92 A change to subheading 9007.92 from any other heading; or No required change in tariff classification to subheading 9007.92, provided there is a regional value content of not less than: (a) 60 percent where the transaction value method is used; or (b) 50 percent where the net cost method is used. 9008.50 A change to subheading 9008.50 from any other heading; or A change to subheading 9008.50 from subheading 9008.90, whether or not there is also a change from any other heading, provided there is a regional value content of not less than: (a) 60 percent where the transaction value method is used; or 4-B-164 (b) 50 percent where the net cost method is used.</w:t>
      </w:r>
    </w:p>
    <w:p>
      <w:pPr>
        <w:pStyle w:val="Normal"/>
        <w:widowControl/>
        <w:rPr/>
      </w:pPr>
      <w:r>
        <w:rPr/>
        <w:t>9008.90 A change to subheading 9008.90 from any other heading; or No required change in tariff classification to subheading 9008.90, provided there is a regional value content of not less than: (a) 60 percent where the transaction value method is used; or (b) 50 percent where the net cost method is used.</w:t>
      </w:r>
    </w:p>
    <w:p>
      <w:pPr>
        <w:pStyle w:val="Normal"/>
        <w:widowControl/>
        <w:rPr/>
      </w:pPr>
      <w:r>
        <w:rPr/>
        <w:t>9010.10-9010.60 A change to subheading 9010.10 through 9010.60 from any other heading; or A change to subheading 9010.10 through 9010.60 from subheading 9010.90, whether or not there is also a change from any other heading, provided there is a regional value content of not less than: (a) 60 percent where the transaction value method is used; or (b) 50 percent where the net cost method is used. 9010.90 A change to subheading 9010.90 from any other heading; or No required change in tariff classification to subheading 9010.90, provided there is a regional value content of not less than: (a) 60 percent where the transaction value method is used; or (b) 50 percent where the net cost method is used. 9011.10-9011.80 A change to subheading 9011.10 through 9011.80 from any other heading; or A change to subheading 9011.10 through 9011.80 from subheading 9011.90, whether or not there is also a change from any other heading, provided there is a regional value content of not less than: (a) 60 percent where the transaction value method is used; or (b) 50 percent where the net cost method is used. 9011.90 A change to subheading 9011.90 from any other heading.</w:t>
      </w:r>
    </w:p>
    <w:p>
      <w:pPr>
        <w:pStyle w:val="Normal"/>
        <w:widowControl/>
        <w:rPr/>
      </w:pPr>
      <w:r>
        <w:rPr/>
        <w:t>4-B-165 9012.10 A change to subheading 9012.10 from any other heading; or A change to subheading 9012.10 from subheading 9012.90, whether or not there is also a change from any other heading, provided there is a regional value content of not less than: (a) 60 percent where the transaction value method is used; or (b) 50 percent where the net cost method is used. 9012.90 A change to subheading 9012.90 from any other heading. 9013.10-9013.20 A change to subheading 9013.10 through 9013.20 from any other heading; or A change to subheading 9013.10 through 9013.20 from subheading 9013.90, whether or not there is also a change from any other heading, provided there is a regional value content of not less than: (a) 60 percent where the transaction value method is used; or (b) 50 percent where the net cost method is used.</w:t>
      </w:r>
    </w:p>
    <w:p>
      <w:pPr>
        <w:pStyle w:val="Normal"/>
        <w:widowControl/>
        <w:rPr/>
      </w:pPr>
      <w:r>
        <w:rPr/>
        <w:t>9013.80 A change to Liquid Crystal Display Assemblies of subheading 9013.80 from any other subheading; No required tariff change to Liquid Crystal Display Assemblies of subheading 9013.80 provided there is a regional value content of not less than: (a) 40 percent where the transaction value method is used; or (b) 30 percent where the net cost method is used; A change to any other good of subheading 9013.80 from any other heading; or No required tariff change to any other good of subheading 9013.80 provided there is a regional value content of not less than: (a) 60 percent where the transaction value method is used; or (b) 50 percent where the net cost method is used. 4-B-166 9013.90 A change to subheading 9013.90 from any other heading; or No required change in tariff classification to subheading 9013.90, provided there is a regional value content of not less than: (a) 60 percent where the transaction value method is used; or (b) 50 percent where the net cost method is used.</w:t>
      </w:r>
    </w:p>
    <w:p>
      <w:pPr>
        <w:pStyle w:val="Normal"/>
        <w:widowControl/>
        <w:rPr/>
      </w:pPr>
      <w:r>
        <w:rPr/>
        <w:t>9014.10-9014.80 A change to subheading 9014.10 through 9014.80 from any other heading; or A change to subheading 9014.10 through 9014.80 from subheading 9014.90, whether or not there is also a change from any other heading, provided there is a regional value content of not less than: (a) 60 percent where the transaction value method is used; or (b) 50 percent where the net cost method is used.</w:t>
      </w:r>
    </w:p>
    <w:p>
      <w:pPr>
        <w:pStyle w:val="Normal"/>
        <w:widowControl/>
        <w:rPr/>
      </w:pPr>
      <w:r>
        <w:rPr/>
        <w:t>9014.90 A change to subheading 9014.90 from any other heading; or No required change in tariff classification to subheading 9014.90, provided there is a regional value content of not less than: (a) 60 percent where the transaction value method is used; or (b) 50 percent where the net cost method is used. 9015.10-9015.80 A change to subheading 9015.10 through 9015.80 from any other heading; or A change to subheading 9015.10 through 9015.80 from subheading 9015.90, whether or not there is also a change from any other heading, provided there is a regional value content of not less than: (a) 60 percent where the transaction value method is used; or (b) 50 percent where the net cost method is used. 9015.90 A change to subheading 9015.90 from any other heading; or No required change in tariff classification to subheading 9015.90, provided there is a regional value content of not less than: 4-B-167 90.16 (a) 60 percent where the transaction value method is used; or (b) 50 percent where the net cost method is used.</w:t>
      </w:r>
    </w:p>
    <w:p>
      <w:pPr>
        <w:pStyle w:val="Normal"/>
        <w:widowControl/>
        <w:rPr/>
      </w:pPr>
      <w:r>
        <w:rPr/>
        <w:t>A change to heading 90.16 from any other heading. 9017.10-9017.80 A change to subheading 9017.10 through 9017.80 from any other heading; or A change to subheading 9017.10 through 9017.80 from subheading 9017.90, whether or not there is also a change from any other heading, provided there is a regional value content of not less than: (a) 60 percent where the transaction value method is used; or (b) 50 percent where the net cost method is used.</w:t>
      </w:r>
    </w:p>
    <w:p>
      <w:pPr>
        <w:pStyle w:val="Normal"/>
        <w:widowControl/>
        <w:rPr/>
      </w:pPr>
      <w:r>
        <w:rPr/>
        <w:t>9017.90 A change to subheading 9017.90 from any other heading. 9018.11 9018.11.aa A change to tariff item 9018.11.aa from any other tariff item, except from tariff item 9018.11.bb. 9018.11 A change to subheading 9018.11 from any other heading. 9018.12-9018.14 A change to subheading 9018.12 through 9018.14 from any other heading. 9018.19 9018.19.aa A change to tariff item 9018.19.aa from any other tariff item, except from tariff item 9018.19.bb. 9018.19 A change to subheading 9018.19 from any other heading. 9018.20-9018.50 A change to subheading 9018.20 through 9018.50 from any other heading. 9018.90 9018.90.aa A change to tariff item 9018.90.aa from any other tariff item, except from tariff item 9018.90.bb. 9018.90 A change to subheading 9018.90 from any other heading. 4-B-168 90.20 9019.10-9019.20 A change to subheading 9019.10 through 9019.20 from any other subheading, including another subheading within that group; or No required change in tariff classification to any of subheading 9019.10 through 9019.20, provided there is a regional value content of not less than: (a) 60 percent where the transaction value method is used; or (b) 50 percent where the net cost method is used. A change to heading 90.20 from any other heading.</w:t>
      </w:r>
    </w:p>
    <w:p>
      <w:pPr>
        <w:pStyle w:val="Normal"/>
        <w:widowControl/>
        <w:rPr/>
      </w:pPr>
      <w:r>
        <w:rPr/>
        <w:t>9021.10-9021.90 A change to subheading 9021.10 through 9021.90 from any other subheading, including another subheading within that group; or No required change in tariff classification to any of subheading 9021.10 through 9021.90, provided there is a regional value content of not less than: (a) 60 percent where the transaction value method is used; or (b) 50 percent where the net cost method is used. 9022.12-9022.30 A change to subheading 9022.12 through 9022.30 from any other subheading, including another subheading within that group; or No required change in tariff classification to any of subheading 9022.12 through 9022.30, provided there is a regional value content of not less than: (a) 60 percent where the transaction value method is used; or (b) 50 percent where the net cost method is used. 9022.90 9022.90.aa A change to tariff item 9022.90.aa from any other tariff item. 9022.90 A change to subheading 9022.90 from any other heading; or No required change in tariff classification to subheading 9022.90, provided there is a regional value content of not less than:</w:t>
      </w:r>
    </w:p>
    <w:p>
      <w:pPr>
        <w:pStyle w:val="Normal"/>
        <w:widowControl/>
        <w:rPr/>
      </w:pPr>
      <w:r>
        <w:rPr/>
        <w:t>4-B-169 90.23 (a) 60 percent where the transaction value method is used; or (b) 50 percent where the net cost method is used. A change to heading 90.23 from any other heading.</w:t>
      </w:r>
    </w:p>
    <w:p>
      <w:pPr>
        <w:pStyle w:val="Normal"/>
        <w:widowControl/>
        <w:rPr/>
      </w:pPr>
      <w:r>
        <w:rPr/>
        <w:t>9024.10-9024.80 A change to subheading 9024.10 through 9024.80 from any other heading; or A change to subheading 9024.10 through 9024.80 from subheading 9024.90, whether or not there is also a change from any other heading, provided there is a regional value content of not less than: (a) 60 percent where the transaction value method is used; or (b) 50 percent where the net cost method is used. 9024.90 A change to subheading 9024.90 from any other heading; or No required change in tariff classification to subheading 9024.90, provided there is a regional value content of not less than: (a) 60 percent where the transaction value method is used; or (b) 50 percent where the net cost method is used. 9025.11-9025.80 A change to subheading 9025.11 through 9025.80 from any other heading; or A change to subheading 9025.11 through 9025.80 from subheading 9025.90, whether or not there is also a change from any other heading, provided there is a regional value content of not less than: (a) 45 percent where the transaction value method is used; or (b) 35 percent where the net cost method is used. 9025.90 A change to subheading 9025.90 from any other heading.</w:t>
      </w:r>
    </w:p>
    <w:p>
      <w:pPr>
        <w:pStyle w:val="Normal"/>
        <w:widowControl/>
        <w:rPr/>
      </w:pPr>
      <w:r>
        <w:rPr/>
        <w:t>9026.10-9026.80 A change to subheading 9026.10 through 9026.80 from any other heading; or 4-B-170 A change to subheading 9026.10 through 9026.80 from subheading 9026.90, whether or not there is also a change from any other heading, provided there is a regional value content of not less than: (a) 60 percent where the transaction value method is used; or (b) 50 percent where the net cost method is used. 9026.90 A change to subheading 9026.90 from any other heading; or No required change in tariff classification to subheading 9026.90, provided there is a regional value content of not less than: (a) 60 percent where the transaction value method is used; or (b) 50 percent where the net cost method is used. 9027.10-9027.50 A change to subheading 9027.10 through 9027.50 from any other subheading, including another subheading within that group. 9027.80 A change to a good of subheading 9027.80 from any other good within that subheading or any other subheading.</w:t>
      </w:r>
    </w:p>
    <w:p>
      <w:pPr>
        <w:pStyle w:val="Normal"/>
        <w:widowControl/>
        <w:rPr/>
      </w:pPr>
      <w:r>
        <w:rPr/>
        <w:t>9027.90 A change to subheading 9027.90 from any other heading; or No required change in tariff classification to subheading 9027.90, provided there is a regional value content of not less than: (a) 60 percent where the transaction value method is used; or (b) 50 percent where the net cost method is used.</w:t>
      </w:r>
    </w:p>
    <w:p>
      <w:pPr>
        <w:pStyle w:val="Normal"/>
        <w:widowControl/>
        <w:rPr/>
      </w:pPr>
      <w:r>
        <w:rPr/>
        <w:t>9028.10-9028.30 A change to subheading 9028.10 through 9028.30 from any other heading; or A change to subheading 9028.10 through 9028.30 from subheading 9028.90, whether or not there is also a change from any other heading, provided there is a regional value content of not less than: (a) 60 percent where the transaction value method is used; or (b) 50 percent where the net cost method is used. 9028.90 A change to subheading 9028.90 from any other heading. 4-B-171 9029.10-9029.20 A change to subheading 9029.10 through 9029.20 from any other heading; or A change to subheading 9029.10 through 9029.20 from subheading 9029.90, whether or not there is also a change from any other heading, provided there is a regional value content of not less than: (a) 60 percent where the transaction value method is used; or (b) 50 percent where the net cost method is used. 9029.90 A change to subheading 9029.90 from any other heading; or No required change in tariff classification to subheading 9029.90, provided there is a regional value content of not less than:</w:t>
      </w:r>
    </w:p>
    <w:p>
      <w:pPr>
        <w:pStyle w:val="Normal"/>
        <w:widowControl/>
        <w:rPr/>
      </w:pPr>
      <w:r>
        <w:rPr/>
        <w:t>(a) 60 percent where the transaction value method is used; or (b) 50 percent where the net cost method is used. 9030.10 A change to subheading 9030.10 from any other subheading. 9030.20 A change to cathode-ray oscilloscopes or cathode-ray oscillographs of subheading 9030.20 from any other good within that subheading or any other subheading; or A change to any other good of subheading 9030.20 from any other subheading.</w:t>
      </w:r>
    </w:p>
    <w:p>
      <w:pPr>
        <w:pStyle w:val="Normal"/>
        <w:widowControl/>
        <w:rPr/>
      </w:pPr>
      <w:r>
        <w:rPr/>
        <w:t>9030.31 A change to subheading 9030.31 from any other subheading. 9030.32 A change to subheading 9030.32 from any other heading; or A change to subheading 9030.32 from subheading 9030.90, whether or not there is also a change from any other heading, provided there is a regional value content of not less than: (a) 60 percent where the transaction value method is used; or (b) 50 percent where the net cost method is used. 9030.33 A change to subheading 9030.33 from any other subheading, except from printed circuit assemblies (PCAs) of subheading 9030.90. 4-B-172 9030.39 A change to subheading 9030.39 from any other subheading. 9030.40-9030.82 A change to subheading 9030.40 through 9030.82 from any other heading; or A change to subheading 9030.40 through 9030.82 from subheading 9030.90, whether or not there is also a change from any other heading, provided there is a regional value content of not less than: (a) 60 percent where the transaction value method is used; or (b) 50 percent where the net cost method is used.</w:t>
      </w:r>
    </w:p>
    <w:p>
      <w:pPr>
        <w:pStyle w:val="Normal"/>
        <w:widowControl/>
        <w:rPr/>
      </w:pPr>
      <w:r>
        <w:rPr/>
        <w:t>9030.84-9030.89 A change to subheading 9030.84 through 9030.89 from any other subheading, including another subheading within that group. 9030.90 A change to subheading 9030.90 from any other heading; or No required change in tariff classification to subheading 9030.90, provided there is a regional value content of not less than: (a) 60 percent where the transaction value method is used; or (b) 50 percent where the net cost method is used.</w:t>
      </w:r>
    </w:p>
    <w:p>
      <w:pPr>
        <w:pStyle w:val="Normal"/>
        <w:widowControl/>
        <w:rPr/>
      </w:pPr>
      <w:r>
        <w:rPr/>
        <w:t>9031.10-9031.20 A change to subheading 9031.10 through 9031.20 from any other subheading, including another subheading within that group. 9031.41 A change to subheading 9031.41 from any other heading; or A change to subheading 9031.41 from subheading 9031.90, whether or not there is also a change from any other heading, provided there is a regional value content of not less than: (a) 60 percent where the transaction value method is used; or (b) 50 percent where the net cost method is used. 9031.49 9031.49.aa A change to tariff item 9031.49.aa from any other tariff item. 9031.49 A change to subheading 9031.49 from any other subheading. 4-B-173 9031.8048 A change to subheading 9031.80 from any other heading; or A change to subheading 9031.80 from subheading 9031.90, whether or not there is also a change from any other heading, provided there is a regional value content of not less than: (a) 60 percent where the transaction value method is used; or (b) 50 percent where the net cost method is used. 9031.90 A change to a good of 9031.90 from any other good within that subheading or any other subheading.</w:t>
      </w:r>
    </w:p>
    <w:p>
      <w:pPr>
        <w:pStyle w:val="Normal"/>
        <w:widowControl/>
        <w:rPr/>
      </w:pPr>
      <w:r>
        <w:rPr/>
        <w:t>9032.10 A change to subheading 9032.10 from any other heading; or A change to a good of subheading 9032.10 from within that subheading or subheading 9032.89 through 9032.90, whether or not there is also a change from any other heading, provided there is a regional value content of not less than: (a) 45 percent where the transaction value method is used; or (b) 35 percent where the net cost method is used. 9032.20-9032.81 A change to subheading 9032.20 through 9032.81 from any other subheading, including another subheading within that group. 9032.8949 A change to subheading 9032.89 from any other heading; or A change to subheading 9032.89 from subheading 9032.90, whether or not there is also a change from any other heading, provided there is a regional value content of not less than: (a) 45 percent where the transaction value method is used; or (b) 35 percent where the net cost method is used.</w:t>
      </w:r>
    </w:p>
    <w:p>
      <w:pPr>
        <w:pStyle w:val="Normal"/>
        <w:widowControl/>
        <w:rPr/>
      </w:pPr>
      <w:r>
        <w:rPr/>
        <w:t>9032.90 A change to subheading 9032.90 from any other heading; or 48 If the good is for use in a vehicle of Chapter 87, the provisions of the Appendix to this Annex apply. 49 If the good is for use in a vehicle of Chapter 87, the provisions of the Appendix to this Annex apply. 4-B-174 No required change in tariff classification to subheading 9032.90, provided there is a regional value content of not less than: (a) 60 percent where the transaction value method is used; or (b) 50 percent where the net cost method is used.</w:t>
      </w:r>
    </w:p>
    <w:p>
      <w:pPr>
        <w:pStyle w:val="Normal"/>
        <w:widowControl/>
        <w:rPr/>
      </w:pPr>
      <w:r>
        <w:rPr/>
        <w:t>90.33 A change to heading 90.33 from any other heading; or No required change in tariff classification to heading 90.33, provided there is a regional value content of not less than: (a) 60 percent where the transaction value method is used; or (b) 50 percent where the net cost method is used. Chapter 91 Clocks and Watches and Parts Thereof 91.01-91.06 A change to heading 91.01 through 91.06 from any other chapter; or A change to heading 91.01 through 91.06 from heading 91.14, whether or not there is also a change from any other chapter, provided there is a regional value content of not less than: (a) 60 percent where the transaction value method is used; or (b) 50 percent where the net cost method is used. 91.07 A change to heading 91.07 from any other chapter; or A change to heading 91.07 from heading 91.14, whether or not there is also a change from any other chapter, provided there is a regional value content of not less than:</w:t>
      </w:r>
    </w:p>
    <w:p>
      <w:pPr>
        <w:pStyle w:val="Normal"/>
        <w:widowControl/>
        <w:rPr/>
      </w:pPr>
      <w:r>
        <w:rPr/>
        <w:t>(a) 45 percent where the transaction value method is used; or (b) 35 percent where the net cost method is used. 91.08-91.10 A change to heading 91.08 through 91.10 from any other heading, including another heading within that group, provided there is a regional value content of not less than: (a) 60 percent where the transaction value method is used; or 4-B-175 (b) 50 percent where the net cost method is used.</w:t>
      </w:r>
    </w:p>
    <w:p>
      <w:pPr>
        <w:pStyle w:val="Normal"/>
        <w:widowControl/>
        <w:rPr/>
      </w:pPr>
      <w:r>
        <w:rPr/>
        <w:t>9111.10-9111.80 A change to subheading 9111.10 through 9111.80 from subheading 9111.90 or any other heading, provided there is a regional value content of not less than: (a) 60 percent where the transaction value method is used; or (b) 50 percent where the net cost method is used. 9111.90 A change to subheading 9111.90 from any other heading, provided there is a regional value content of not less than: (a) 60 percent where the transaction value method is used; or (b) 50 percent where the net cost method is used. 9112.20 A change to subheading 9112.20 from subheading 9112.90 or any other heading, provided there is a regional value content of not less than: (a) 60 percent where the transaction value method is used; or (b) 50 percent where the net cost method is used. 9112.90 A change to subheading 9112.90 from any other heading, provided there is a regional value content of not less than: (a) 60 percent where the transaction value method is used; or (b) 50 percent where the net cost method is used.</w:t>
      </w:r>
    </w:p>
    <w:p>
      <w:pPr>
        <w:pStyle w:val="Normal"/>
        <w:widowControl/>
        <w:rPr/>
      </w:pPr>
      <w:r>
        <w:rPr/>
        <w:t>91.13 A change to heading 91.13 from any other heading, provided there is a regional value content of not less than: (a) 60 percent where the transaction value method is used; or (b) 50 percent where the net cost method is used. 91.14 A change to heading 91.14 from any other heading.</w:t>
      </w:r>
    </w:p>
    <w:p>
      <w:pPr>
        <w:pStyle w:val="Normal"/>
        <w:widowControl/>
        <w:rPr/>
      </w:pPr>
      <w:r>
        <w:rPr/>
        <w:t>Chapter 92 Musical Instruments; Parts and Accessories of Such Articles 92.01-92.08 A change to heading 92.01 through 92.08 from any other chapter; or 4-B-176 A change to heading 92.01 through 92.08 from heading 92.09, whether or not there is also a change from any other chapter, provided there is a regional value content of not less than: (a) 60 percent where the transaction value method is used; or (b) 50 percent where the net cost method is used. 92.09 A change to heading 92.09 from any other heading. Section XIX - Arms and Ammunition; Parts and Accessories Thereof (Chapter 93) Chapter 93 Arms and Ammunition; Parts and Accessories Thereof 93.01-93.04 A change to heading 93.01 through 93.04 from any other chapter; or A change to heading 93.01 through 93.04 from heading 93.05, whether or not there is also a change from any other chapter, provided there is a regional value content of not less than: (a) 60 percent where the transaction value method is used; or (b) 50 percent where the net cost method is used. 93.05 A change to heading 93.05 from any other heading. 93.06-93.07 A change to heading 93.06 through 93.07 from any other chapter.</w:t>
      </w:r>
    </w:p>
    <w:p>
      <w:pPr>
        <w:pStyle w:val="Normal"/>
        <w:widowControl/>
        <w:rPr/>
      </w:pPr>
      <w:r>
        <w:rPr/>
        <w:t>Section XX - Miscellaneous Manufactured Articles (Chapter 94-96) Chapter 94 Furniture; Bedding, Mattresses, Mattress Supports, Cushions and Similar Stuffed Furnishings; Lamps and Lighting Fittings, Not Elsewhere Specified or Included; Illuminated Signs, Illuminated Name-Plates and the Like; Prefabricated Buildings 9401.10-9401.8050 A change to subheading 9401.10 through 9401.80 from any other chapter; or 50 If the good is for use in a vehicle of Chapter 87, the provisions of the Appendix to this Annex apply. 4-B-177 A change to subheading 9401.10 through 9401.80 from subheading 9401.90, whether or not there is also a change from any other chapter, provided there is a regional value content of not less than: (a) 60 percent where the transaction value method is used; or (b) 50 percent where the net cost method is used. 9401.90 A change to subheading 9401.90 from any other heading. 9402.10-9402.90 A change to subheading 9402.10 through 9402.90 from any other subheading, including another subheading within that group.</w:t>
      </w:r>
    </w:p>
    <w:p>
      <w:pPr>
        <w:pStyle w:val="Normal"/>
        <w:widowControl/>
        <w:rPr/>
      </w:pPr>
      <w:r>
        <w:rPr/>
        <w:t>9403.10-9403.89 A change to subheading 9403.10 through 9403.89 from any other chapter; or A change to subheading 9403.10 through 9403.89 from subheading 9403.90, whether or not there is also a change from any other chapter, provided there is a regional value content of not less than: (a) 60 percent where the transaction value method is used; or (b) 50 percent where the net cost method is used. 9403.90 A change to subheading 9403.90 from any other heading.</w:t>
      </w:r>
    </w:p>
    <w:p>
      <w:pPr>
        <w:pStyle w:val="Normal"/>
        <w:widowControl/>
        <w:rPr/>
      </w:pPr>
      <w:r>
        <w:rPr/>
        <w:t>9404.10-9404.30 A change to subheading 9404.10 through 9404.30 from any other chapter. 9404.90 A change to subheading 9404.90 from any other chapter, except from heading 50.07, 51.11 through 51.13, 52.08 through 52.12, 53.10 through 53.11, 54.07 through 54.08 or 55.12 through 55.16. 9405.10-9405.40 A change to subheading 9405.10 through 9405.40 from any subheading outside that group. 9405.50 A change to subheading 9405.50 from any other chapter; or A change to subheading 9405.50 from subheading 9405.91 through 9405.99, whether or not there is also a change from any other chapter, provided there is a regional value content of not less than: (a) 60 percent where the transaction value method is used; or (b) 50 percent where the net cost method is used. 4-B-178 9405.60 A change to subheading 9405.60 from any other subheading. 9405.91-9405.99 A change to subheading 9405.91 through 9405.99 from any other heading. 94.06 A change to heading 94.06 from any other chapter. Chapter 95 Toys, Games and Sports Requisites;</w:t>
      </w:r>
    </w:p>
    <w:p>
      <w:pPr>
        <w:pStyle w:val="Normal"/>
        <w:widowControl/>
        <w:rPr/>
      </w:pPr>
      <w:r>
        <w:rPr/>
        <w:t>Parts and Accessories Thereof 9503.00-9505.90 A change to subheading 9503.00 through 9505.90 from any other subheading, including another subheading within that group; or No required change in tariff classification to any of subheading 9503.00 through 9505.90, provided there is a regional value content of not less than: (a) 45 percent where the transaction value method is used; or (b) 35 percent where the net cost method is used.</w:t>
      </w:r>
    </w:p>
    <w:p>
      <w:pPr>
        <w:pStyle w:val="Normal"/>
        <w:widowControl/>
        <w:rPr/>
      </w:pPr>
      <w:r>
        <w:rPr/>
        <w:t>9506.11-9506.29 A change to subheading 9506.11 through 9506.29 from any other chapter. 9506.31 A change to subheading 9506.31 from any other chapter; or A change to subheading 9506.31 from subheading 9506.39, whether or not there is also a change from any other chapter, provided there is a regional value content of not less than: (a) 60 percent where the transaction value method is used; or (b) 50 percent where the net cost method is used. 9506.32-9506.39 A change to subheading 9506.32 through 9506.39 from any other chapter. 9506.40-9506.99 A change to subheading 9506.40 through 9506.99 from any other chapter. 95.07-95.08 A change to heading 95.07 through 95.08 from any other chapter. Chapter 96 Miscellaneous Manufactured Articles 96.01-96.05 A change to heading 96.01 through 96.05 from any other chapter. 9606.10 A change to subheading 9606.10 from any other chapter.</w:t>
      </w:r>
    </w:p>
    <w:p>
      <w:pPr>
        <w:pStyle w:val="Normal"/>
        <w:widowControl/>
        <w:rPr/>
      </w:pPr>
      <w:r>
        <w:rPr/>
        <w:t>4-B-179 9606.21-9606.29 A change to subheading 9606.21 through 9606.29 from any other chapter; or A change to subheading 9606.21 through 9606.29 from subheading 9606.30, whether or not there is also a change from any other chapter, provided there is a regional value content of not less than: (a) 60 percent where the transaction value method is used; or (b) 50 percent where the net cost method is used. 9606.30 A change to subheading 9606.30 from any other heading.</w:t>
      </w:r>
    </w:p>
    <w:p>
      <w:pPr>
        <w:pStyle w:val="Normal"/>
        <w:widowControl/>
        <w:rPr/>
      </w:pPr>
      <w:r>
        <w:rPr/>
        <w:t>9607.11-9607.19 A change to subheading 9607.11 through 9607.19 from any other chapter; or A change to subheading 9607.11 through 9607.19 from subheading 9607.20, whether or not there is also a change from any other chapter, provided there is a regional value content of not less than: (a) 60 percent where the transaction value method is used; or (b) 50 percent where the net cost method is used. 9607.20 A change to subheading 9607.20 from any other heading. 9608.10-9608.50 A change to subheading 9608.10 through 9608.50 from any other chapter; or A change to subheading 9608.10 through 9608.50 from subheading 9608.60 through 9608.99, whether or not there is also a change from any other chapter, provided there is a regional value content of not less than: (a) 60 percent where the transaction value method is used; or (b) 50 percent where the net cost method is used. 9608.60-9608.99 A change to subheading 9608.60 through 9608.99 from any other heading. 96.09-96.12 A change to heading 96.09 through 96.12 from any other chapter.</w:t>
      </w:r>
    </w:p>
    <w:p>
      <w:pPr>
        <w:pStyle w:val="Normal"/>
        <w:widowControl/>
        <w:rPr/>
      </w:pPr>
      <w:r>
        <w:rPr/>
        <w:t>9613.10-9613.80 A change to subheading 9613.10 through 9613.80 from any other chapter; or 4-B-180 A change to subheading 9613.10 through 9613.80 from subheading 9613.90, whether or not there is also a change from any other chapter, provided there is a regional value content of not less than: (a) 45 percent where the transaction value method is used; or (b) 35 percent where the net cost method is used.</w:t>
      </w:r>
    </w:p>
    <w:p>
      <w:pPr>
        <w:pStyle w:val="Normal"/>
        <w:widowControl/>
        <w:rPr/>
      </w:pPr>
      <w:r>
        <w:rPr/>
        <w:t>9613.90 A change to subheading 9613.90 from any other heading. 96.14 A change to a good of heading 96.14 from any other good within that heading or any other heading. 9615.11-9615.19 A change to subheading 9615.11 through 9615.19 from any other chapter; or A change to subheading 9615.11 through 9615.19 from subheading 9615.90, whether or not there is also a change from any other chapter, provided there is a regional value content of not less than: (a) 60 percent where the transaction value method is used; or (b) 50 percent where the net cost method is used. 9615.90 A change to subheading 9615.90 from any other heading. 96.16-96.18 A change to heading 96.16 through 96.18 from any other chapter. 96.19 Note: A good of heading 96.19 shall be considered originating, notwithstanding the origin of the following materials, provided that the good otherwise meets the applicable product-specific rule of origin: (a) rayon filament, other than lyocell or acetate, of heading 54.03 or 54.05; or (b) rayon fiber, other than lyocell or acetate, of heading 55.02, 55.04, or 55.07.</w:t>
      </w:r>
    </w:p>
    <w:p>
      <w:pPr>
        <w:pStyle w:val="Normal"/>
        <w:widowControl/>
        <w:rPr/>
      </w:pPr>
      <w:r>
        <w:rPr/>
        <w:t>A change to sanitary towels or tampons of heading 96.19 from any other chapter, except from heading 51.06 through 51.13, 52.04 through 52.12, 53.10 through 53.11 or Chapter 54 through 55; 4-B-181 A change to a good of textile wadding of heading 96.19 from any other heading, except from heading 51.06 through 51.13, 52.04 through 52.12, 53.10 through 53.11, Chapter 54 through 56 or 61 through 62; A change to any other good of textile material of heading 96.19 from any other chapter, except from heading 51.06 through 51.13, 52.04 through 52.12, 53.10 through 53.11, Chapter 54, heading 55.08 through 55.16, 60.01 through 60.06, or Chapter 61 through 62, provided the good is cut or knit to shape, or both, and sewn or otherwise assembled in the territory of one or more of the Parties; or A change to any other good of heading 96.19 from any other heading. Section XXI - Works of Art, Collectors’ Pieces and Antiques Chapter 97 Works of Art, Collectors’ Pieces and Antiques 97.01-97.06 A change to heading 97.01 through 97.06 from any other chapter.</w:t>
      </w:r>
    </w:p>
    <w:p>
      <w:pPr>
        <w:pStyle w:val="Normal"/>
        <w:widowControl/>
        <w:rPr/>
      </w:pPr>
      <w:r>
        <w:rPr/>
        <w:t>4-B-182 Section C: Revised Tariff Items (HS 2012) TARIFF ITEM CANADA (HS 2012) USA (HS 2012) MEXICO (HS 2012) DESCRIPTION 1806.10.aa 1806.10.10 1806.10.43 1806.10.45 1806.10.55 1806.10.65 1806.10.75 1806.10.01 Containing 90 percent or more by weight of sugar 1901.10.aa 1901.10.20 1901.10.05 1901.10.15 1901.10.30 1901.10.35 1901.10.40 1901.10.45 1901.10.01 Containing over 10 percent by weight of milk solids 4-B-183 TARIFF ITEM CANADA (HS 2012) USA (HS 2012) MEXICO (HS 2012) DESCRIPTION 1901.20.aa 1901.20.11 1901.20.02 1901.20.01 Containing over 25 percent by weight of 1901.20.12 1901.20.05 1901.20.02 butterfat, not put up for retail sale 1901.20.21 1901.20.15 1901.20.22 1901.20.20 1901.20.25 1901.20.30 1901.20.35 1901.20.40 1901.90.aa 1901.90.31 1901.90.32 1901.90.03 Dairy preparations containing over 10 1901.90.32 1901.90.33 1901.90.04 percent by weight of milk solids 1901.90.33 1901.90.34 1901.90.05 1901.90.34 1901.90.36 1901.90.39 1901.90.38 1901.90.51 1901.90.42 1901.90.52 1901.90.43 1901.90.53 1901.90.54 1901.90.59 4-B-184 TARIFF ITEM CANADA (HS 2012) USA (HS 2012) MEXICO (HS 2012) DESCRIPTION 2101.11.aa 2101.11.10 2101.11.21 2101.11.01 Instant coffee, not flavoured 2103.20.aa 2103.20.10 2103.20.20 2103.20.01 Ketchup 2106.90.bb 2106.90.cc 2106.90.91 2106.90.92 2106.90.48 2106.90.52 2106.90.54 2106.90.06 2106.90.07 Concentrated fruit or vegetable juices, fortified with minerals or vitamins: Of any single fruit or vegetable Of mixtures of fruit or vegetable juices 4-B-185</w:t>
      </w:r>
    </w:p>
    <w:p>
      <w:pPr>
        <w:pStyle w:val="Normal"/>
        <w:widowControl/>
        <w:rPr/>
      </w:pPr>
      <w:r>
        <w:rPr/>
        <w:t>TARIFF ITEM CANADA (HS 2012) USA (HS 2012) MEXICO (HS 2012) DESCRIPTION 2106.90.dd 2106.90.31 2106.90.03 2106.90.08 Containing over 10 percent by weight of 2106.90.32 2106.90.06 milk solids 2106.90.33 2106.90.09 2106.90.34 2106.90.22 2106.90.35 2106.90.24 2106.90.93 2106.90.26 2106.90.94 2106.90.28 2106.90.95 2106.90.62 2106.90.64 2106.90.66 2106.90.68 2106.90.72 2106.90.74 2106.90.76 2106.90.78 2106.90.80 2106.90.82 4-B-186 TARIFF ITEM CANADA (HS 2012) USA (HS 2012) MEXICO (HS 2012) DESCRIPTION 2106.90.ee 2106.90.96 2106.90.12 2106.90.10 Compound preparations, with an alcoholic 2106.90.15 2106.90.11 strength exceeding 0.5 percent by volume, of a 2106.90.18 kind used in the manufacture of beverages Fruit or vegetable juices, fortified with minerals or vitamins: 2202.90.aa 2202.90.31 2202.90.30 2202.90.02 Of any single fruit or vegetable 2202.90.bb 2202.90.32 2202.90.37 2202.90.03 Of mixtures of fruit or vegetable juices 2202.90.cc 2202.90.41 2202.90.10 2202.90.04 Beverages containing milk 2202.90.42 2202.90.22 2202.90.43 2202.90.24 2202.90.49 2202.90.28 4-B-187 TARIFF ITEM CANADA (HS 2012) USA (HS 2012) MEXICO (HS 2012) DESCRIPTION 2309.90.aa 2309.90.31 2309.90.32 2309.90.33 2309.90.35 2309.90.36 2309.90.22 2309.90.24 2309.90.28 2309.90.10 2309.90.11 Containing over 10 percent by weight of milk solids 2401.10.aa 2401.10.10 2401.10.21 2401.10.01 Wrapper tobacco 2401.20.aa 2401.20.10 2401.20.14 2401.20.02 Wrapper tobacco 2403.91.aa 2403.91.10 2403.91.20 2403.91.01 Of a kind</w:t>
      </w:r>
    </w:p>
    <w:p>
      <w:pPr>
        <w:pStyle w:val="Normal"/>
        <w:widowControl/>
        <w:rPr/>
      </w:pPr>
      <w:r>
        <w:rPr/>
        <w:t>used as wrapper tobacco 4010.39.aa 4010.39.10 4010.39.10 4010.39.20 4010.39.01 Endless transmission belts (V-belts) 4016.93.aa 4016.93.10 4016.93.10 4016.93.01 4016.93.02 Rubber, gaskets, washers and other seals for automotive goods) 4016.99.aa 4016.99.30 4016.99.30 4016.99.55 4016.99.10 Vibration control goods of a kind used in the vehicles of heading 87.01 through 87.05 4-B-188 TARIFF ITEM CANADA (HS 2012) USA (HS 2012) MEXICO (HS 2012) DESCRIPTION 4105.10.aa 4105.10.21 4105.10.29 4105.10.10 4105.10.03 Wet blue 7011.20.aa 7011.20.10 7011.20.10 7011.20.02 7011.20.03 Cones 7304.41.aa 7304.41.11 7304.41.19 7304.41.30 7304.41.02 Of an external diameter of less than 19 mm 7321.11.aa 7321.11.10 7321.11.30 7321.11.01 7321.11.02 Stoves or ranges (other than portable) 7321.90.aa 7321.90.21 7321.90.10 7321.90.05 Parts: Of stoves or ranges (other than portable): Cooking chambers, whether or not assembled 4-B-189 TARIFF ITEM CANADA (HS 2012) USA (HS 2012) MEXICO (HS 2012) DESCRIPTION 7321.90.bb 7321.90.cc 7321.90.22 7321.90.23 7321.90.20 7321.90.40 7321.90.06 7321.90.07 Top surface panels with or without burners or control Door assemblies, incorporating more than one of the following: inner panel, outer panel, window, insulation 7404.00.aa 7404.00.10 7404.00.20 7404.00.91 7404.00.30 7404.00.02 Spent anodes; waste and scrap with a copper content of less than 94 percent by weight 7407.10.aa 7407.10.11 7407.10.12 7407.10.15 7407.10.02 Hollow profiles 7407.21.aa 7407.21.21 7407.21.22</w:t>
      </w:r>
    </w:p>
    <w:p>
      <w:pPr>
        <w:pStyle w:val="Normal"/>
        <w:widowControl/>
        <w:rPr/>
      </w:pPr>
      <w:r>
        <w:rPr/>
        <w:t>7407.21.15 7407.21.02 Hollow profiles 4-B-190 TARIFF ITEM CANADA (HS 2012) USA (HS 2012) MEXICO (HS 2012) DESCRIPTION 7407.29.aa ex. 7407.29.21 ex. 7407.29.29 7407.29.90 7407.29.16 7407.29.02 7407.29.03 Hollow profiles 7408.11.aa 7408.11.11 7408.11.12 7408.11.60 7408.11.01 With a maximum cross- sectional dimension not exceeding 9.5 mm 7506.10.aa 7506.10.10 7506.10.05 7506.10.01 Foil, not exceeding 0.15 mm in thickness 7506.20.aa 7506.20.10 7506.20.05 7506.20.01 Foil, not exceeding 0.15 mm in thickness 8406.90.aa 8406.90.22 8406.90.33 8406.90.34 8406.90.20 8406.90.50 8406.90.01 Rotors, finished for final assembly 4-B-191 TARIFF ITEM CANADA (HS 2012) USA (HS 2012) MEXICO (HS 2012) DESCRIPTION 8406.90.bb 8406.90.cc 8406.90.23 8406.90.36 8406.90.37 8406.90.21 8406.90.31 8406.90.32 8406.90.40 8406.90.70 8406.90.30 8406.90.60 8406.90.02 8406.90.03 Blades, rotating or stationary Rotors, not further advanced than cleaned or machined for removal of fins, gates, sprues, and risers, or to permit location in finishing machinery 8407.34.aa 8407.34.10 8407.34.05 8407.34.14 8407.34.18 8407.34.25 8407.34.02 Engines of a cylinder capacity exceeding 1000 cc but not exceeding 2000 cc 8407.34.bb 8407.34.21 8407.34.29 8407.34.35 8407.34.44 8407.34.48 8407.34.55 8407.34.99 Engines of a cylinder capacity exceeding 2000 cc 8414.59.aa see 8414.80.aa 8414.59.30 see 8414.80.aa Turbochargers and superchargers for motor vehicles, where not provided for under subheading 8414.80 8414.80.aa 8414.80.10</w:t>
      </w:r>
    </w:p>
    <w:p>
      <w:pPr>
        <w:pStyle w:val="Normal"/>
        <w:widowControl/>
        <w:rPr/>
      </w:pPr>
      <w:r>
        <w:rPr/>
        <w:t>8414.80.05 8414.80.14 Turbochargers and superchargers for motor vehicles, where not provided for under subheading 8414.59 4-B-192 TARIFF ITEM CANADA (HS 2012) USA (HS 2012) MEXICO (HS 2012) DESCRIPTION 8414.90.aa 8414.90.10 8414.90.30 8414.90.04 Stators and rotors of goods of subheading 8414.30 8415.90.aa 8415.90.11 8415.90.21 8415.90.22 8415.90.40 8415.90.01 Chassis, chassis bases and outer cabinets 8418.99.aa 8418.99.10 8418.99.40 8418.99.04 Door assemblies incorporating more than one of the following: inner panel; outer panel; insulation; hinges; handles 8421.39.aa 8421.39.20 8421.39.40 8421.39.08 Catalytic converters 8421.91.aa 8421.91.bb 8421.91.10 8421.91.20 8421.91.20 8421.91.40 8421.91.02 8421.91.03 Drying chambers for the goods of subheading 8421.12 and other parts of clothes-dryers incorporating drying chambers Furniture designed to receive the goods of subheading 8421.12 4-B-193 TARIFF ITEM CANADA (HS 2012) USA (HS 2012) MEXICO (HS 2012) DESCRIPTION 8422.90.aa 8422.90.bb 8422.90.10 8422.90.20 8422.90.02 8422.90.04 8422.90.03 8422.90.04 Water containment chambers for the goods of subheading 8422.11 and other parts of dishwashing machines of the household type incorporating water containment chambers Door assemblies for the goods of subheading 8422.11 8427.10.aa 8427.10.10 8427.10.40 8427.10.01 8427.10.02 Rider-type, counterbalanced fork-lift trucks 8450.90.aa 8450.90.bb 8450.90.10 8450.90.20 8450.90.20 8450.90.40 8450.90.01 8450.90.02 Tubs and tub assemblies</w:t>
      </w:r>
    </w:p>
    <w:p>
      <w:pPr>
        <w:pStyle w:val="Normal"/>
        <w:widowControl/>
        <w:rPr/>
      </w:pPr>
      <w:r>
        <w:rPr/>
        <w:t>Furniture designed to receive the goods of subheading 8450.11 through 8450.20 4-B-194 TARIFF ITEM CANADA (HS 2012) USA (HS 2012) MEXICO (HS 2012) DESCRIPTION 8451.90.aa 8451.90.bb 8451.90.10 8451.90.20 8451.90.30 8451.90.60 8451.90.01 8451.90.02 Drying chambers for the goods of subheading 8451.21 or 8451.29 and other parts of drying machines incorporating drying chambers Furniture designed to receive the goods of subheading 8451.21 or 8451.29 8455.90.aa 8455.90.10 8455.90.40 8455.90.01 Castings or weldments, individually weighing less than 90 tons, for the machines of heading 84.55 8459.70.aa 8459.70.10 8459.70.40 8459.70.02 Numerically controlled 8460.40.aa 8460.40.10 8460.40.40 8460.40.02 Numerically controlled 8460.90.aa 8460.90.10 8460.90.40 8460.90.01 Numerically controlled 8461.20.aa 8461.20.10 8461.20.40 8461.20.01 Numerically controlled 4-B-195 TARIFF ITEM CANADA (HS 2012) USA (HS 2012) MEXICO (HS 2012) DESCRIPTION 8461.30.aa 8461.30.10 8461.30.40 8461.30.01 Numerically controlled 8461.50.aa 8461.50.11 8461.50.19 8461.50.40 8461.50.01 Numerically controlled 8461.90.aa 8461.90.10 8461.90.30 8461.90.02 Numerically controlled 8462.99.aa 8462.99.11 8462.99.19 8462.99.40 8462.99.01 Numerically controlled 8466.93.aa 8466.93.10 8466.93.15 8466.93.30 8466.93.53 8466.93.04 Bed, base, table, head, tail, saddle, cradle, cross slide, column, arm, saw arm, wheelhead, tailstock, headstock, ram, frame, work-arbor support, and C-frame castings, weldments or fabrications 8466.94.aa</w:t>
      </w:r>
    </w:p>
    <w:p>
      <w:pPr>
        <w:pStyle w:val="Normal"/>
        <w:widowControl/>
        <w:rPr/>
      </w:pPr>
      <w:r>
        <w:rPr/>
        <w:t>8466.94.10 8466.94.20 8466.94.65 8466.94.01 Bed, base, table, column, cradle, frame, bolster, crown, slide, rod, tailstock and headstock castings, weldments or fabrications 4-B-196 TARIFF ITEM CANADA (HS 2012) USA (HS 2012) MEXICO (HS 2012) DESCRIPTION 8471.80.aa 8471.80.cc 8471.80.10 8471.80.91 8471.80.10 8471.80.40 8471.80.03 8471.80.01 Control or adapter units Other units suitable for physical incorporation into automatic data processing machines or units thereof 8473.10.aa 8473.10.bb 8473.10.00 8473.10.20 8473.10.40 8473.10.60 8473.10.01 8473.10.99 Parts for word processing machines of heading 84.69 Parts of other machines of heading 84.69 8473.30.aa 8473.30.bb 8473.30.20 8473.30.30 8473.30.10 8473.30.20 8473.30.02 8473.30.03 Printed circuit assemblies Parts and accessories, including face plates and lock latches, of printed circuit assemblies 4-B-197 TARIFF ITEM CANADA (HS 2012) USA (HS 2012) MEXICO (HS 2012) DESCRIPTION 8473.50.aa 8473.50.bb 8473.50.10 8473.50.20 8473.50.30 8473.50.60 8473.50.01 8473.50.02 Printed circuit assemblies Parts and accessories, including face plates and lock latches, of printed circuit assemblies 8477.90.aa 8477.90.bb 8477.90.cc 8477.90.10 8477.90.20 8477.90.30 8477.90.25 8477.90.45 8477.90.65 8477.90.01 8477.90.02 8477.90.03 Base, bed, platen, clamp cylinder, ram and injection castings, weldments, and fabrications Barrel screws Hydraulic assemblies incorporating more than one of the following: manifold, valves, pump, oil cooler 8479.90.aa</w:t>
      </w:r>
    </w:p>
    <w:p>
      <w:pPr>
        <w:pStyle w:val="Normal"/>
        <w:widowControl/>
        <w:rPr/>
      </w:pPr>
      <w:r>
        <w:rPr/>
        <w:t>8479.90.11 8479.90.45 8479.90.17 Frame assemblies incorporating more than one of the following: baseplate, side frames, power screws, front plates 4-B-198 TARIFF ITEM CANADA (HS 2012) USA (HS 2012) MEXICO (HS 2012) DESCRIPTION 8479.90.bb 8479.90.cc 8479.90.dd 8479.90.12 8479.90.13 8479.90.14 8479.90.55 8479.90.65 8479.90.75 8479.90.15 8479.90.07 8479.90.04 Ram assemblies incorporating a ram wrapper and/or ram cover Container assemblies incorporating more than one of the following: container bottom, container wrapper, slide track, container front Cabinet or cases 8482.99.aa 8482.99.11 8482.99.19 8482.99.05 8482.99.15 8482.99.25 8482.99.01 8482.99.02 8482.99.03 Inner or outer rings or races 8501.32.aa 8501.32.20 8501.32.45 8501.32.06 Electric motors that provide primary source for electric powered vehicles of subheading 8703.90 8503.00.aa 8503.00.10 8503.00.35 8503.00.45 8503.00.65 8503.00.01 8503.00.03 8503.00.05 Stators and rotors for the goods of heading 85.01. 4-B-199 TARIFF ITEM CANADA (HS 2012) USA (HS 2012) MEXICO (HS 2012) DESCRIPTION 8504.40.aa 8504.40.bb 8504.40.30 8504.40.40 8504.40.60 8504.40.70 8504.40.40 8504.40.10 8504.40.12 8504.40.14 8504.40.13 Power supplies for the automatic data processing machines of heading 84.71 Speed drive controllers for electric motors 8507.20.aa 8507.20.10 8507.20.40 8507.20.03 Batteries that provide primary source for electric cars.</w:t>
      </w:r>
    </w:p>
    <w:p>
      <w:pPr>
        <w:pStyle w:val="Normal"/>
        <w:widowControl/>
        <w:rPr/>
      </w:pPr>
      <w:r>
        <w:rPr/>
        <w:t>8507.30.aa 8507.30.20 8507.30.40 8507.30.01 Batteries that provide primary source for electric cars 8507.40.aa 8507.40.10 8507.40.40 8507.40.01 Batteries that provide primary source for electric cars 8507.80.aa 8507.80.20 8507.80.40 8507.80.01 Batteries that provide primary source for electric cars 8516.90.cc 8516.90.30 8516.90.35 8516.90.06 Assemblies for the goods of subheading 8516.50, incorporating more than one of the following: cooking chamber; structural supporting chassis; door; outer case 4-B-200 TARIFF ITEM CANADA (HS 2012) USA (HS 2012) MEXICO (HS 2012) DESCRIPTION 8516.90.dd 8516.90.40 8516.90.45 8516.90.07 Printed circuit assemblies for the goods of subheading 8516.50 For the goods of tariff item 8516.60.aa: 8516.90.ee 8516.90.50 8516.90.55 8516.90.08 Cooking chambers whether or not assembled 8516.90.ff 8516.90.60 8516.90.65 8516.90.09 Top surface panels with or without heating elements or controls 8516.90.gg 8516.90.70 8516.90.75 8516.90.10 Door assemblies incorporating more than one of the following: inner panel; outer panel; window; insulation 8522.90.aa 8522.90.10 8522.90.25 8522.90.07 Printed circuit assemblies for the 8522.90.45 apparatus provided for in heading 85.19 and 85.21 8522.90.65 4-B-201 TARIFF ITEM CANADA (HS 2012) USA (HS 2012) MEXICO (HS 2012) DESCRIPTION 8533.90.aa 8533.90.10 8533.90.40 8533.90.02 For the goods of subheading 8533.40, of ceramic or metallic materials, electrically or mechanically reactive to changes in temperature 8535.90.aa</w:t>
      </w:r>
    </w:p>
    <w:p>
      <w:pPr>
        <w:pStyle w:val="Normal"/>
        <w:widowControl/>
        <w:rPr/>
      </w:pPr>
      <w:r>
        <w:rPr/>
        <w:t>8535.90.30 8535.90.40 8535.90.08 8535.90.20 Motor starters and motor overload protectors 8536.30.aa 8536.30.10 8536.30.20 8536.30.40 8536.30.05 Motor overload protectors 8536.50.aa 8536.50.11 8536.50.12 8536.50.19 8536.50.40 8536.50.13 8536.50.14 Motor starters 8537.10.aa 8537.10.11 8537.10.91 8537.10.30 8537.10.05 Assembled with outer housing or supports, for the goods of heading 84.21, 84.22, 84.50 or 85.16 4-B-202 TARIFF ITEM CANADA (HS 2012) USA (HS 2012) MEXICO (HS 2012) DESCRIPTION 8537.10.bb 8537.10.21 8537.10.29 8537.10.60 8537.10.06 Motor control centers 8538.90.aa 8538.90.10 8538.90.40 8538.90.04 For the goods of tariff item 8535.90.aa, 8536.30.aa or 8536.50.aa, of ceramic or metallic materials, electrically or mechanically reactive to changes in temperature 8538.90.bb 8538.90.20 8538.90.10 8538.90.05 Printed circuit assemblies 8538.90.30 8538.90.cc 8538.90.31 8538.90.60 8538.90.01 Moulded parts 8538.90.39 8540.11.aa 8540.11.22 8540.11.10 8540.11.03 Non-high definition, non-projection, having a 8540.11.05 video display diagonal exceeding 14 inches (35.56 cm) 8540.11.bb 8540.11.21 8540.11.24 8540.11.04 Non-high definition, non-projection, having a 8540.11.28 video display diagonal not exceeding 14 inches (35.56 cm) 4-B-203 TARIFF ITEM CANADA (HS 2012) USA (HS 2012) MEXICO (HS 2012) DESCRIPTION 8540.11.cc 8540.11.dd 8540.11.12 8540.11.11 8540.11.30 8540.11.44 8540.11.48 8540.11.01 8540.11.05 8540.11.02 High definition, having a video display diagonal exceeding 14</w:t>
      </w:r>
    </w:p>
    <w:p>
      <w:pPr>
        <w:pStyle w:val="Normal"/>
        <w:widowControl/>
        <w:rPr/>
      </w:pPr>
      <w:r>
        <w:rPr/>
        <w:t>inches (35.56 cm) High definition, having a video display diagonal not exceeding 14 inches (35.56 cm) 8540.12.aa 8540.12.bb 8540.12.91 8540.12.99 8540.12.11 8540.12.19 8540.12.10 8540.12.50 8540.12.20 8540.12.70 8540.12.99 8540.12.01 Non-high definition High definition 8540.91.aa 8540.91.10 8540.91.15 8540.91.01 Front panel assemblies 8540.99.aa 8540.99.10 8540.99.40 8540.99.03 Electron guns; radio frequency (RF) interaction structures for microwave tubes of subheading 8540.71 through 8540.79 4-B-204 TARIFF ITEM CANADA (HS 2012) USA (HS 2012) MEXICO (HS 2012) DESCRIPTION 8548.10.aa 8548.10.10 8548.10.05 8548.10.15 8548.10.01 Spent primary cells, spent primary batteries and spent electric accumulators 8607.19.aa 8607.19.bb 8607.19.cc 8607.19.11 8607.19.19 8607.19.30 8607.19.21 8607.19.29 8607.19.03 8607.19.06 8607.19.12 8607.19.01 8607.19.99 8607.19.06 8607.19.02 8607.19.03 Axles Parts of axles Wheels, whether or not fitted with axles 8607.19.dd 8607.19.30 8607.19.40 8607.19.15 8607.19.04 8607.19.05 8607.19.06 Parts of wheels 4-B-205 TARIFF ITEM CANADA (HS 2012) USA (HS 2012) MEXICO (HS 2012) DESCRIPTION 8702.10.bb 8702.10.20 8702.10.60 8702.10.01 8702.10.02 Designed for the transport of 15 or fewer persons, including the driver 8706.00.aa 8706.00.20 8706.00.03 8706.00.15 8706.00.01 8706.00.02 Chassis of vehicles of heading 87.03 and subheading 8704.21 and 8704.31 8706.00.bb 8706.00.10 8706.00.90 8706.00.05 8706.00.25 8706.00.30 8706.00.50 8706.00.99 Chassis for other</w:t>
      </w:r>
    </w:p>
    <w:p>
      <w:pPr>
        <w:pStyle w:val="Normal"/>
        <w:widowControl/>
        <w:rPr/>
      </w:pPr>
      <w:r>
        <w:rPr/>
        <w:t>vehicles 8708.10.aa 8708.10.10 8708.10.30 8708.10.03 Bumpers, but not parts thereof 8708.29.aa 8708.29.11 8708.29.19 8708.29.20 8708.29.20 Body stampings 8708.29.cc 8708.29.20 8708.29.15 8708.29.19 Door assemblies 8708.70.aa 8708.70.11 8708.70.19 8708.70.05 8708.70.25 8708.70.45 8708.70.03 8708.70.04 Road wheels, but not parts or accessories thereof 8708.93.aa 8708.93.11 8708.93.19 8708.93.15 8708.93.60 8708.93.04 Clutches, but not parts thereof 8708.99.aa 8708.99.41 8708.99.49 8708.99.03 8708.99.27 8708.99.55 8708.99.11 Vibration control goods containing rubber 4-B-206 TARIFF ITEM CANADA (HS 2012) USA (HS 2012) MEXICO (HS 2012) DESCRIPTION 8708.99.bb 8708.99.51 8708.99.59 8708.99.06 8708.99.31 8708.99.58 8708.99.10 Doubled flanged wheel hub units incorporating ball bearings 8708.99.ee 8708.99.14 8708.99.15 8708.99.19 8708.99.15 8708.99.16 8708.99.40 8708.99.41 8708.99.67 8708.99.68 8708.99.99 Other parts for powertrains 8708.99.hh 8708.99.91 8708.99.99 8708.99.23 8708.99.24 8708.99.48 8708.99.49 8708.99.80 8708.99.81 8708.99.01 8708.99.02 8708.99.03 8708.99.04 8708.99.05 8708.99.06 8708.99.07 8708.99.08 8708.99.09 8708.99.12 8708.99.13 8708.99.14 8708.99.99 Other parts and accessories not elsewhere classified under subheading 8708.99 9005.90.aa 9005.90.11 9005.90.91 9005.90.40 9005.90.01 Incorporating goods of heading 90.01 or 90.02 9018.11.aa 9018.11.bb 9018.11.10 9018.11.91 9018.11.30 9018.11.60 9018.11.01 9018.11.02 Electrocardiographs Printed circuit assemblies 4-B-207</w:t>
      </w:r>
    </w:p>
    <w:p>
      <w:pPr>
        <w:pStyle w:val="Normal"/>
        <w:widowControl/>
        <w:rPr/>
      </w:pPr>
      <w:r>
        <w:rPr/>
        <w:t>TARIFF ITEM CANADA (HS 2012) USA (HS 2012) MEXICO (HS 2012) DESCRIPTION 9018.19.aa 9018.19.bb 9018.19.10 9018.19.20 9018.19.55 9018.19.75 9018.19.05 9018.19.10 Patient monitoring systems Printed circuit assemblies for parameter acquisition modules 9018.90.aa 9018.90.bb 9018.90.10 9018.90.20 9018.90.64 9018.90.68 9018.90.18 9018.90.24 Defibrillators Printed circuit assemblies for the goods of tariff item 9018.90.aa 9022.90.aa 9022.90.10 9022.90.05 9022.90.01 Radiation generator units 9031.49.aa 9031.49.10 9031.49.40 9031.49.01 Coordinate-measuring machines 4-B-208 APPENDIX PROVISIONS RELATED TO THE PRODUCT-SPECIFIC RULES OF ORIGIN FOR AUTOMOTIVE GOODS</w:t>
      </w:r>
    </w:p>
    <w:p>
      <w:pPr>
        <w:pStyle w:val="Normal"/>
        <w:keepNext w:val="true"/>
        <w:widowControl/>
        <w:rPr/>
      </w:pPr>
      <w:r>
        <w:rPr/>
        <w:t>Article 1: Definitions For purposes of this Appendix: Advanced Technology Vehicle means: (a) an electric vehicle, including a hybrid electric vehicle; fuel cell vehicle; or other type of advanced propulsion vehicle (e.g., zero emission veh101icle); or (b) an autonomous vehicle of heading 8703 or 8704 classified as a Level 4 or Level 5 automated vehicle in accordance with SAE International SAEJ3016-2016 (Taxonomy and Definitions for Terms Related to Driving Automation Systems for On-Road Motor Vehicles), as amended; class of motor vehicles means one of the following categories of motor vehicles: (a) motor vehicles of subheading 8701.20, motor vehicles for the transport of 16 or more persons of subheading 8702.10 or 8702.90, or motor vehicles of subheading 8704.10, 8704.22, 8704.23, 8704.32 or 8704.90, or heading 87.05 or 87.06; (b) motor vehicles of subheading 8701.10 or 8701.30 through 8701.90;</w:t>
      </w:r>
    </w:p>
    <w:p>
      <w:pPr>
        <w:pStyle w:val="Normal"/>
        <w:widowControl/>
        <w:rPr/>
      </w:pPr>
      <w:r>
        <w:rPr/>
        <w:t>(c) motor vehicles for the transport of 15 or fewer persons of subheading 8702.10 or 8702.90, or motor vehicles of subheading 8704.21 or 8704.31; or (d) motor vehicles of subheading 8703.21 through 8703.90; heavy truck means a vehicle of subheading 8701.20, 8704.22, 8704.23, 8704.32, 8704.90, or 8706, except for a vehicle that is solely or principally for off-road use; 51 A good of heading 87.06, for the purposes of this definition, means a chassis fitted with engines for a vehicle under subheading 8701.20, 8704.22, 8704.23, 8704.32, 8704.90, except for a vehicle that is solely or</w:t>
      </w:r>
    </w:p>
    <w:p>
      <w:pPr>
        <w:pStyle w:val="Normal"/>
        <w:widowControl/>
        <w:rPr/>
      </w:pPr>
      <w:r>
        <w:rPr/>
        <w:t>principally designed for off-road use. 52 A vehicle that is solely or principally for off-road use is defined as a vehicle that does not meet U.S. federal safety and emissions standards permitting unrestricted on-road use or the equivalent Mexican and Canadian on-road standards. The Parties shall develop any additional description or other modification, if necessary.</w:t>
      </w:r>
    </w:p>
    <w:p>
      <w:pPr>
        <w:pStyle w:val="Normal"/>
        <w:widowControl/>
        <w:rPr/>
      </w:pPr>
      <w:r>
        <w:rPr/>
        <w:t>4-B-1-1 light truck means a vehicle of subheading 8704.21 or 8704.31, except for a vehicle that is solely or principally for off-road use;53 marque means the trade name used by a separate marketing division of a motor vehicle assembler; model line means a group of motor vehicles having the same platform or model name; motor vehicle assembler means a producer of motor vehicles and any related persons or joint ventures in which the producer participates; new building means a new construction, including at least the pouring or construction of new foundation and floor, the erection of a new structure and roof, and installation of new plumbing, electrical and other utilities to house a complete vehicle assembly process; passenger vehicle means a vehicle of subheading 8703.21 through 8703.90, except for: (a) a vehicle with a compression-ignition engine classified in subheading 8703.31 through 8703.33, or a vehicle of 8703.90 with both a compression-ignition engine and an electric motor for propulsion; (b) a three or four-wheeled motorcycle; (c) an all-terrain vehicle;54 or (d) a motorhome or entertainer coach;55 refit</w:t>
      </w:r>
    </w:p>
    <w:p>
      <w:pPr>
        <w:pStyle w:val="Normal"/>
        <w:widowControl/>
        <w:rPr/>
      </w:pPr>
      <w:r>
        <w:rPr/>
        <w:t>means a plant closure, for purposes of plant conversion or retooling, that lasts at least three months; and 53 A vehicle that is solely or principally for off-road use is defined as a vehicle that does not meet U.S. federal safety and emissions standards permitting unrestricted on-road use or the equivalent Mexican and Canadian on-road standards. The Parties shall develop any additional description or other modification, if necessary. 54 An all-terrain vehicle is defined as a vehicle that does not meet U.S. federal safety and emissions standards permitting unrestricted on-road use or the equivalent Mexican and Canadian on-road standards. The Parties shall develop any additional description or other modification, if necessary. 55 A motorhome or entertainer coach is defined as a vehicle built on a self-propelled motor vehicle chassis that is solely or principally designed as temporary living quarters for recreational, camping, entertainment, corporate, or seasonal use. The Parties shall develop any additional description or other modification, if necessary. 4-B-1-2 super-core means the parts listed in the left column of Table A.2 of this Appendix, which are considered as a single part for the purposes of performing a Regional Value Content calculation in accordance with Article 5.2 (Averaging).</w:t>
      </w:r>
    </w:p>
    <w:p>
      <w:pPr>
        <w:pStyle w:val="Normal"/>
        <w:keepNext w:val="true"/>
        <w:widowControl/>
        <w:rPr/>
      </w:pPr>
      <w:r>
        <w:rPr/>
        <w:t>Article 2: Product-Specific Rules of Origin for Vehicles Each Party shall provide that the product-specific rules for a good of heading 87.01 through 87.08 are: 8701.10 A change to a good of subheading 8701.10 from any other heading, provided there is a regional value content of not less than 60 percent under the net cost method. 8701.20 A change to a good of subheading 8701.20 from any other heading, provided there is a regional value content of not less than 70 percent under the net cost method. 8701.30 - 8701.90 A change to a good of subheading 8701.30 through 8701.90 from any other heading, provided there is a regional value content of not less than 60 percent under the net cost method.</w:t>
      </w:r>
    </w:p>
    <w:p>
      <w:pPr>
        <w:pStyle w:val="Normal"/>
        <w:widowControl/>
        <w:rPr/>
      </w:pPr>
      <w:r>
        <w:rPr/>
        <w:t>8702.10 A change to a motor vehicle for the transport of 15 or fewer persons of subheading 8702.10 from any other heading, provided there is a regional value content of not less than 62.5 percent under the net cost method; or A change to a motor vehicle for the transport of 16 or more persons of subheading 8702.10 from any other heading, provided there is a regional value content of not less than 60 percent under the net cost method.</w:t>
      </w:r>
    </w:p>
    <w:p>
      <w:pPr>
        <w:pStyle w:val="Normal"/>
        <w:widowControl/>
        <w:rPr/>
      </w:pPr>
      <w:r>
        <w:rPr/>
        <w:t>8702.90 A change to a motor vehicle for the transport of 15 or fewer persons of subheading 8702.90 from any other heading, provided there is a regional value content of not less than 62.5 percent under the net cost method; or A change to a motor vehicle for the transport of 16 or more persons of subheading 8702.90 from any other heading, provided there is a regional value content of not less than 60 percent under the net cost method. 8703.10 A change to subheading 8703.10 from any other heading, provided there is a regional value content of not less than: (a) 60 percent where the transaction value method is used; or 4-B-1-3 (b) 50 percent where the net cost method is used.</w:t>
      </w:r>
    </w:p>
    <w:p>
      <w:pPr>
        <w:pStyle w:val="Normal"/>
        <w:widowControl/>
        <w:rPr/>
      </w:pPr>
      <w:r>
        <w:rPr/>
        <w:t>8703.21-8703.90 A change to a passenger vehicle of subheading 8703.21 through 8703.90 from any other heading, provided there is a regional value content of not less than 75 percent under the net cost method; or A change to any other good of subheading 8703.21 through 8703.90 from any other heading, provided there is a regional value content of not less than 62.5 percent under the net cost method. 8704.10 A change to a good of subheading 8704.10 from any other heading, provided there is a regional value content of not less than 60 percent under the net cost method.</w:t>
      </w:r>
    </w:p>
    <w:p>
      <w:pPr>
        <w:pStyle w:val="Normal"/>
        <w:widowControl/>
        <w:rPr/>
      </w:pPr>
      <w:r>
        <w:rPr/>
        <w:t>8704.21 A change to a light truck of subheading 8704.21 from any other heading, provided there is a regional value content of not less than 75 percent under the net cost method; or A change to a vehicle solely or principally for off-road use of subheading 8704.21 from any other heading, provided there is a regional value content of not less than 62.5 percent under the net cost method. 8704.22-8704.23 A change to a heavy truck of subheading 8704.22 through 8704.23 from any other heading, provided there is a regional value content of not less than 70 percent under the net cost method; or A change to a vehicle that is solely or principally for off-road use of subheading 8704.22 through 8704.23 from any other heading, provided there is a regional value content of not less than 60 percent under the net cost method.</w:t>
      </w:r>
    </w:p>
    <w:p>
      <w:pPr>
        <w:pStyle w:val="Normal"/>
        <w:widowControl/>
        <w:rPr/>
      </w:pPr>
      <w:r>
        <w:rPr/>
        <w:t>8704.31 A change to a light truck of subheading 8704.31 from any other heading, provided there is a regional value content of not less than 75 percent under the net cost method; or A change to a vehicle solely or principally for off-road use of subheading 8704.31 from any other heading, provided there is a regional value content of not less than 62.5 percent under the net cost method.</w:t>
      </w:r>
    </w:p>
    <w:p>
      <w:pPr>
        <w:pStyle w:val="Normal"/>
        <w:widowControl/>
        <w:rPr/>
      </w:pPr>
      <w:r>
        <w:rPr/>
        <w:t>8704.32-8704.90 A change to a vehicle that is solely or principally for off-road use of subheading 8704.32 through 8704.90 from any other heading, provided there is a regional value content of not less than 60 percent under the net cost method; or 4-B-1-4 A change to any other good of subheading 8704.32 through 8704.90 from any other heading, provided there is a regional value content of not less than 70 percent under the net cost method. 87.05 A change to heading 87.05 from any other heading, provided there is a regional value content of not less than 60 percent under the net cost method. 87.0656 For a good of heading 87.06 for use in a passenger vehicle or light truck: No required change in tariff classification provided there is a regional value content of not less than 75 percent under the net cost method; For a good of heading 87.06 for use in heavy truck: No required change in tariff classification provided there is a regional value content of not less than 70 percent under the net cost method;</w:t>
      </w:r>
    </w:p>
    <w:p>
      <w:pPr>
        <w:pStyle w:val="Normal"/>
        <w:widowControl/>
        <w:rPr/>
      </w:pPr>
      <w:r>
        <w:rPr/>
        <w:t>For any other good of heading 87.06: No required change in tariff classification provided there is a regional value content of not less than 60 percent under the net cost method; 87.0757 For a good of heading 87.07 for use in a passenger vehicle or light truck: No required change in tariff classification to heading 87.07, provided there is a regional value content of not less than 75 percent under the net cost method.</w:t>
      </w:r>
    </w:p>
    <w:p>
      <w:pPr>
        <w:pStyle w:val="Normal"/>
        <w:widowControl/>
        <w:rPr/>
      </w:pPr>
      <w:r>
        <w:rPr/>
        <w:t>For a good of heading 87.07 for use in a heavy truck: 56 If the good is for use in a passenger vehicle or light truck, Articles 3.2 and 3.3 of this Appendix apply. If the good is for use in a heavy truck, Article 4.2 of this Appendix applies. If the good is for use in a vehicle specified in paragraphs 1 and 2 of Article 10, Articles 10.1 and 10.2 of this Appendix apply. 57 If the good is for use in a passenger vehicle or light truck, Articles 3.2 and 3.3 of this Appendix apply. If the good for use in a heavy truck, Article 4.2 of this Appendix applies. If the good is for use in a vehicle specified in paragraphs 1 and 2 of Article 10, Articles 10.1 and 10.2 of this Appendix apply.</w:t>
      </w:r>
    </w:p>
    <w:p>
      <w:pPr>
        <w:pStyle w:val="Normal"/>
        <w:widowControl/>
        <w:rPr/>
      </w:pPr>
      <w:r>
        <w:rPr/>
        <w:t>4-B-1-5 A change to heading 87.07 from any other chapter; or A change to heading 87.07 from heading 87.08, whether or not there is also a change from any other chapter, provided there is a regional value content of not less than 70 percent under the net cost method. For any other good of heading 87.07: A change to heading 87.07 from any other chapter; or A change to heading 87.07 from heading 87.08, whether or not there is also a change from any other chapter, provided there is a regional value content of not less than 60 percent under the net cost method.</w:t>
      </w:r>
    </w:p>
    <w:p>
      <w:pPr>
        <w:pStyle w:val="Normal"/>
        <w:widowControl/>
        <w:rPr/>
      </w:pPr>
      <w:r>
        <w:rPr/>
        <w:t>8708.1058 For a good of subheading 8708.10 for use in a passenger vehicle, light truck, or heavy truck: A change to subheading 8708.10 from any other heading; or A change to subheading 8708.10 from subheading 8708.99, whether or not there is also a change from any other heading, provided there is a regional value content of not less than 70 percent under the net cost method. For any other good of subheading 8708.10: A change to subheading 8708.10 from any other heading; or A change to subheading 8708.10 from subheading 8708.99, whether or not there is also a change from any other heading, provided there is a regional value content of not less than 50 percent under the net cost method. 8708.2159 58 If the good is for use in a passenger vehicle or light truck, Article 3.4 of this Appendix applies. If the good is for use in a heavy truck, Article 4.2 of this Appendix applies.</w:t>
      </w:r>
    </w:p>
    <w:p>
      <w:pPr>
        <w:pStyle w:val="Normal"/>
        <w:widowControl/>
        <w:rPr/>
      </w:pPr>
      <w:r>
        <w:rPr/>
        <w:t>If the good is for use in a vehicle specified in paragraphs 1 and 2 of Article 10, Articles 10.1 and 10.2 of this Appendix apply. 59 If the good is for use in a passenger vehicle or light truck, Article 3.4 of this Appendix applies. If the good is for use in a heavy truck, Article 4.2 of this Appendix applies. If the good is for use in a vehicle specified in paragraphs 1 and 2 of Article 10, Articles 10.1 and 10.2 of this Appendix apply.</w:t>
      </w:r>
    </w:p>
    <w:p>
      <w:pPr>
        <w:pStyle w:val="Normal"/>
        <w:widowControl/>
        <w:rPr/>
      </w:pPr>
      <w:r>
        <w:rPr/>
        <w:t>4-B-1-6 For a good of subheading 8708.21 for use in a passenger vehicle, light truck or heavy truck: A change to subheading 8708.21 from any other heading; or A change to subheading 8708.21 from subheading 8708.99, whether or not there is also a change from any other heading, provided there is a regional value content of not less than 70 percent under the net cost method. For any other good of subheading 8708.21: A change to subheading 8708.21 from any other heading; or A change to subheading 8708.21 from subheading 8708.99, whether or not there is also a change from any other heading, provided there is a regional value content of not less than 50 percent under the net cost method. 8708.2960 For a body stamping of subheading 8708.29 for use in a passenger vehicle or light truck: No required change in tariff classification to a body stamping of subheading 8708.29, provided there is a regional value content of at least 75 percent under the net cost method.</w:t>
      </w:r>
    </w:p>
    <w:p>
      <w:pPr>
        <w:pStyle w:val="Normal"/>
        <w:widowControl/>
        <w:rPr/>
      </w:pPr>
      <w:r>
        <w:rPr/>
        <w:t>For any other good of subheading 8708.29 for use in a passenger vehicle, light truck or heavy truck: A change to subheading 8708.29 from any other heading; or No required change in tariff classification to subheading 8708.29, provided there is a regional value content of not less than 70 percent under the net cost method. For any other good of subheading 8708.29: 60 If the good is a body stamping for use in a passenger vehicle or light truck, Articles 3.2 and 3.3 of this Appendix apply.</w:t>
      </w:r>
    </w:p>
    <w:p>
      <w:pPr>
        <w:pStyle w:val="Normal"/>
        <w:widowControl/>
        <w:rPr/>
      </w:pPr>
      <w:r>
        <w:rPr/>
        <w:t>If the good is any other good for use in a passenger vehicle or light truck, Article 3.4 of this Appendix applies. If the good is for use in a heavy truck, Article 4.2 of this Appendix applies. If the good is for use in a vehicle specified in paragraphs 1 and 2 of Article 10, Articles 10.1 and 10.2 of this Appendix apply. 4-B-1-7 A change to subheading 8708.29 from any other heading; or No required change in tariff classification to subheading 8708.29, provided there is a regional value content of not less than 50 percent under the net cost method. 8708.3061 For a good of subheading 8708.30 for use in a passenger vehicle, light truck or heavy truck:</w:t>
      </w:r>
    </w:p>
    <w:p>
      <w:pPr>
        <w:pStyle w:val="Normal"/>
        <w:widowControl/>
        <w:rPr/>
      </w:pPr>
      <w:r>
        <w:rPr/>
        <w:t>A change to mounted brake linings of subheading 8708.30 from any other heading; or A change to mounted brake linings of subheading 8708.30 from parts of mounted brake linings, brakes or servo-brakes of subheading 8708.30 or 8708.99, whether or not there is also a change from any other heading, provided there is a regional value content of not less than 70 percent under the net cost method; A change to any other good of subheading 8708.30 from any other heading; or A change to any other good of subheading 8708.30 from mounted brake linings or parts of brakes or servo-brakes of subheading 8708.30, or 8708.99, whether or not there is also a change from any other heading, provided there is a regional value content of not less than 70 percent under the net cost method.</w:t>
      </w:r>
    </w:p>
    <w:p>
      <w:pPr>
        <w:pStyle w:val="Normal"/>
        <w:widowControl/>
        <w:rPr/>
      </w:pPr>
      <w:r>
        <w:rPr/>
        <w:t>For any other good of subheading 8708.30: A change to mounted brake linings of subheading 8708.30 from any other heading; or A change to mounted brake linings of subheading 8708.30 from parts of mounted brake linings, brakes or servo-brakes of subheading 8708.30 or 8708.99, whether or not there is also a change from any other heading, 61 If the good is a body stamping for use in a passenger vehicle or light truck, Articles 3.2 and 3.3 of this Appendix apply. If the good is any other good for use in a passenger vehicle or light truck, Article 3.4 of this Appendix applies. If the good is for use in a heavy truck, Article 4.2 of this Appendix applies. If the good is for use in a vehicle specified in paragraphs 1 and 2 of Article 10, Articles 10.1 and 10.2 of this Appendix apply. 4-B-1-8 provided there is a regional value content of not less than 50 percent under the net cost method;</w:t>
      </w:r>
    </w:p>
    <w:p>
      <w:pPr>
        <w:pStyle w:val="Normal"/>
        <w:widowControl/>
        <w:rPr/>
      </w:pPr>
      <w:r>
        <w:rPr/>
        <w:t>A change to any other good of subheading 8708.30 from any other heading; or A change to any other good of subheading 8708.30 from mounted brake linings or parts of brakes or servo-brakes of subheading 8708.30, or 8708.99, whether or not there is also a change from any other heading, provided there is a regional value content of not less than 50 percent under the net cost method.</w:t>
      </w:r>
    </w:p>
    <w:p>
      <w:pPr>
        <w:pStyle w:val="Normal"/>
        <w:widowControl/>
        <w:rPr/>
      </w:pPr>
      <w:r>
        <w:rPr/>
        <w:t>8708.4062 For a good of subheading 8708.40 for use in a passenger vehicle or light truck: No required change in tariff classification to subheading 8708.40, provided there is a regional value content of not less than 75 percent under the net cost method. For a good of subheading 8708.40 for use in a heavy truck: No required change in tariff classification to subheading 8708.40, provided there is a regional value content of not less than 70 percent under the net cost method. For any other good of subheading 8708.40: A change to gear boxes of subheading 8708.40 from any other heading; or A change to gear boxes of subheading 8708.40 from any other good of subheading 8708.40 or 8708.99, whether or not there is also a change from any other heading, provided there is a regional value content of not less than 50 percent under the net cost method;</w:t>
      </w:r>
    </w:p>
    <w:p>
      <w:pPr>
        <w:pStyle w:val="Normal"/>
        <w:widowControl/>
        <w:rPr/>
      </w:pPr>
      <w:r>
        <w:rPr/>
        <w:t>A change to any other good of subheading 8708.40 from any other heading; or 62 If the good is for use in a passenger vehicle or light truck, Articles 3.2 and 3.3 of this Appendix apply. If the good is for use in a heavy truck, Articles 4.2 and 4.4 of this Appendix apply. If the good is for use in a vehicle specified in paragraphs 1 and 2 of Article 10, Articles 10.1 and 10.2 of this Appendix apply. 4-B-1-9 No required change in tariff classification to any other good of subheading 8708.40, provided there is a regional value content of not less than 50 percent under the net cost method.</w:t>
      </w:r>
    </w:p>
    <w:p>
      <w:pPr>
        <w:pStyle w:val="Normal"/>
        <w:widowControl/>
        <w:rPr/>
      </w:pPr>
      <w:r>
        <w:rPr/>
        <w:t>8708.5063 For a good of subheading 8708.50 for use in a passenger vehicle or light truck: No required change in tariff classification to subheading 8708.50, provided there is a regional value content of not less than 75 percent under the net cost method. For a good of subheading 8708.50 for use in a heavy truck: A change to drive-axles with differential, whether or not provided with other transmission components, for vehicles of heading 87.03, of subheading 8708.50 from any other heading, except from subheading 8482.10 through 8482.80; or A change to drive-axles with differential, whether or not provided with other transmission components, for vehicles of heading 87.03, of subheading 8708.50 from subheading 8482.10 through 8482.80 or parts of drive-axles of subheading 8708.50, whether or not there is also a change from any other heading, provided there is a regional value content of not less than 70 percent under the net cost method;</w:t>
      </w:r>
    </w:p>
    <w:p>
      <w:pPr>
        <w:pStyle w:val="Normal"/>
        <w:widowControl/>
        <w:rPr/>
      </w:pPr>
      <w:r>
        <w:rPr/>
        <w:t>A change to other drive-axles with differential, whether or not provided with other transmission components, of subheading 8708.50 from any other heading; or A change to other drive-axles with differential, whether or not provided with other transmission components, of subheading 8708.50 from subheading 8708.99, whether or not there is also a change from any other heading, provided there is a regional value content of not less than 70 percent under the net cost method; 63 If the good is for use in a passenger vehicle or light truck, Articles</w:t>
      </w:r>
    </w:p>
    <w:p>
      <w:pPr>
        <w:pStyle w:val="Normal"/>
        <w:widowControl/>
        <w:rPr/>
      </w:pPr>
      <w:r>
        <w:rPr/>
        <w:t>3.2 and 3.3 of this Appendix apply. If the good is for use in a heavy truck, Articles 4.2 of this Appendix applies. If the good is for use in a vehicle specified in paragraphs 1 and 2 of Article 10, Articles 10.1 and 10.2 of this Appendix apply. 4-B-1-10 A change to non-driving axles and parts thereof, for vehicles of heading 87.03, of subheading 8708.50 from any other heading, except from subheading 8482.10 through 8482.80; or A change to non-driving axles and parts thereof, for vehicles of heading 87.03, of subheading 8708.50 from subheading 8482.10 through 8482.80 or 8708.99, whether or not there is also a change from any other heading, provided there is a regional value content of not less than 70 percent under the net cost method;</w:t>
      </w:r>
    </w:p>
    <w:p>
      <w:pPr>
        <w:pStyle w:val="Normal"/>
        <w:widowControl/>
        <w:rPr/>
      </w:pPr>
      <w:r>
        <w:rPr/>
        <w:t>A change to other non-driving axles and parts thereof of subheading 8708.50 from any other heading; or A change to other non-driving axles and parts thereof of subheading 8708.50 from subheading 8708.99, whether or not there is also a change from any other heading, provided there is a regional value content of not less than 70 percent under the net cost method; A change to any other good of subheading 8708.50 from any other heading; or No required change in tariff classification to any other good of subheading 8708.50, provided there is a regional value content of not less than 70 percent under the net cost method.</w:t>
      </w:r>
    </w:p>
    <w:p>
      <w:pPr>
        <w:pStyle w:val="Normal"/>
        <w:widowControl/>
        <w:rPr/>
      </w:pPr>
      <w:r>
        <w:rPr/>
        <w:t>For any other good of subheading 8708.50: A change to drive-axles with differential, whether or not provided with other transmission components, for vehicles of heading 87.03, of subheading 8708.50 from any other heading, except from subheading 8482.10 through 8482.80; or A change to drive-axles with differential, whether or not provided with other transmission components, for vehicles of heading 87.03, of subheading 8708.50 from subheading 8482.10 through 8482.80 or parts of drive-axles of subheading 8708.50, whether or not there is also a change from any other heading, provided there is a regional value content of not less than 50 percent under the net cost method; A change to other drive-axles with differential, whether or not provided with other transmission components, of subheading 8708.50 from any other heading; or 4-B-1-11 A change to other drive-axles with differential, whether or not provided with other transmission components, of subheading 8708.50 from subheading 8708.99, whether or not there is also a change from any other heading, provided there is a regional value content of not less than 50 percent under the net cost method;</w:t>
      </w:r>
    </w:p>
    <w:p>
      <w:pPr>
        <w:pStyle w:val="Normal"/>
        <w:widowControl/>
        <w:rPr/>
      </w:pPr>
      <w:r>
        <w:rPr/>
        <w:t>A change to non-driving axles and parts thereof, for vehicles of heading 87.03, of subheading 8708.50 from any other heading, except from subheading 8482.10 through 8482.80; or A change to non-driving axles and parts thereof, for vehicles of heading 87.03, of subheading 8708.50 from subheading 8482.10 through 8482.80 or 8708.99, whether</w:t>
      </w:r>
    </w:p>
    <w:p>
      <w:pPr>
        <w:pStyle w:val="Normal"/>
        <w:widowControl/>
        <w:rPr/>
      </w:pPr>
      <w:r>
        <w:rPr/>
        <w:t>or not there is also a change from any other heading, provided there is a regional value content of not less than 50 percent under the net cost method; A change to other non-driving axles and parts thereof of subheading 8708.50 from any other heading; or A change to other non-driving axles and parts thereof of subheading 8708.50 from subheading 8708.99, whether or not there is also a change from any other heading, provided there is a regional value content of not less than 50 percent under the net cost method; A change to any other good of subheading 8708.50 from any other heading; or No required change in tariff classification to any other good of subheading 8708.50, provided there is a regional value content of not less than 50 percent under the net cost method. 8708.7064 For a good of subheading 8708.70 for use in a passenger vehicle, light truck, or heavy truck:</w:t>
      </w:r>
    </w:p>
    <w:p>
      <w:pPr>
        <w:pStyle w:val="Normal"/>
        <w:widowControl/>
        <w:rPr/>
      </w:pPr>
      <w:r>
        <w:rPr/>
        <w:t>A change to subheading 8708.70 from any other heading; or 64 If the good is for use in a passenger vehicle or light truck, Article 3.4 of this Appendix applies. If the good is for use in a heavy truck, Article 4.2 of this Appendix applies. If the good is for use in a vehicle specified in paragraphs 1 and 2 of Article 10, Articles 10.1 and 10.2 of this Appendix apply. 4-B-1-12 A change to subheading 8708.70 from subheading 8708.99, whether or not there is also a change from any other heading, provided there is a regional value content of not less than 70 percent under the net cost method.</w:t>
      </w:r>
    </w:p>
    <w:p>
      <w:pPr>
        <w:pStyle w:val="Normal"/>
        <w:widowControl/>
        <w:rPr/>
      </w:pPr>
      <w:r>
        <w:rPr/>
        <w:t>For any other good of subheading 8708.70: A change to subheading 8708.70 from any other heading; or A change to subheading 8708.70 from subheading 8708.99, whether or not there is also a change from any other heading, provided there is a regional value content of not less than 50 percent under the net cost method. 8708.8065 For a good of subheading 8708.80 for use in a passenger vehicle or light truck: No required change in tariff classification to subheading 8708.80, provided there is a regional value content of not less than 75 percent under the net cost method. For a good of subheading 8708.80 for use in a heavy truck: A change to McPherson struts of subheading 8708.80 from parts thereof of subheading 8708.80 or any other subheading, provided there is a regional value content of not less than 50 percent under the net cost method; A change to any other good subheading 8708.80 from any other heading;</w:t>
      </w:r>
    </w:p>
    <w:p>
      <w:pPr>
        <w:pStyle w:val="Normal"/>
        <w:widowControl/>
        <w:rPr/>
      </w:pPr>
      <w:r>
        <w:rPr/>
        <w:t>A change to suspension systems (including shock absorbers) of subheading 8708.80 from parts thereof of subheading 8708.80 or 8708.99, whether or not there is also a change from any other heading, provided there is a regional value content of not less than 70 percent under the net cost method; or No required change in tariff classification to parts of suspension systems (including shock absorbers) of subheading 8708.80, provided there is a 65 If the good is for use in a passenger vehicle or light truck, Article 3.2 and 3.3 of this Appendix applies.</w:t>
      </w:r>
    </w:p>
    <w:p>
      <w:pPr>
        <w:pStyle w:val="Normal"/>
        <w:widowControl/>
        <w:rPr/>
      </w:pPr>
      <w:r>
        <w:rPr/>
        <w:t>If the good is for use in a heavy truck, Article 4.2 of this Appendix applies. If the good is for use in a vehicle specified in paragraphs 1 and 2 of Article 10, Articles 10.1 and 10.2 of this Appendix apply. 4-B-1-13 regional value content of not less than 70 percent under the net cost method. For any other good of subheading 8708.80: A change to McPherson struts of subheading 8708.80 from parts thereof of subheading 8708.80 or any other subheading, provided there is a regional value content of not less than 50 percent under the net cost method; A change to any other good subheading 8708.80 from any other heading; A change to suspension systems (including shock absorbers) of subheading 8708.80 from parts thereof of subheading 8708.80 or 8708.99, whether or not there is also a change from any other heading, provided there is a regional value content of not less than 50 percent under the net cost method; or No required change in tariff classification to parts of suspension systems (including shock absorbers) of subheading 8708.80, provided there is a regional value content of not less than 50 percent under the net cost method.</w:t>
      </w:r>
    </w:p>
    <w:p>
      <w:pPr>
        <w:pStyle w:val="Normal"/>
        <w:widowControl/>
        <w:rPr/>
      </w:pPr>
      <w:r>
        <w:rPr/>
        <w:t>8708.9166 For a good of subheading 8708.91 for use in a passenger vehicle, light truck or heavy truck: A change to radiators of subheading 8708.91 from any other heading; A change to radiators of subheading 8708.91 from any other good of subheading 8708.91, whether or not there is also a change from any other heading, provided there is a regional value content of not less than 70 percent under the net cost method; or No required change in tariff classification to any other good of subheading 8708.91, provided there is a regional value content of not less than 70 percent under the net cost method. 66 If the good is for use in a passenger vehicle or light truck, Article 3.4 of this Appendix applies. If the good is for use in a heavy truck, Article 4.2 of this Appendix applies. If the good is for use in a vehicle specified in paragraphs 1 and 2 of Article 10, Articles 10.1 and 10.2 of this Appendix apply. 4-B-1-14 For any other good of subheading 8708.91:</w:t>
      </w:r>
    </w:p>
    <w:p>
      <w:pPr>
        <w:pStyle w:val="Normal"/>
        <w:widowControl/>
        <w:rPr/>
      </w:pPr>
      <w:r>
        <w:rPr/>
        <w:t>A change to radiators of subheading 8708.91 from any other heading; A change to radiators of subheading 8708.91 from any other good of subheading 8708.91, whether or not there is also a change from any other heading, provided there is a regional value content of not less than 50 percent under the net cost method; or No required change in tariff classification to any other good of subheading 8708.91, provided there is a regional value content of not less than 50 percent under the net cost method.</w:t>
      </w:r>
    </w:p>
    <w:p>
      <w:pPr>
        <w:pStyle w:val="Normal"/>
        <w:widowControl/>
        <w:rPr/>
      </w:pPr>
      <w:r>
        <w:rPr/>
        <w:t>8708.9267 For a good of subheading 8708.92 for use in a passenger vehicle, light truck or heavy truck: A change to silencers (mufflers) or exhaust pipes of subheading 8708.92 from any other heading; or A change to silencers (mufflers) or exhaust pipes of subheading 8708.92 from any other good of subheading 8708.92, whether or not there is also a change from any other heading, provided there is regional value content of not less than 70 percent under the net cost method; or No required change in tariff classification to any other good of subheading 8708.92, provided there is a regional value content of not less than 70 percent under the net cost method For any other good of subheading 8708.92:</w:t>
      </w:r>
    </w:p>
    <w:p>
      <w:pPr>
        <w:pStyle w:val="Normal"/>
        <w:widowControl/>
        <w:rPr/>
      </w:pPr>
      <w:r>
        <w:rPr/>
        <w:t>A change to silencers (mufflers) or exhaust pipes of subheading 8708.92 from any other heading; or A change to silencers (mufflers) or exhaust pipes of subheading 8708.92 from any other good of subheading 8708.92, whether or not there is also a 67 If the good is for use in a passenger vehicle or light truck, Article 3.4 of this Appendix applies. If the good is for use in a heavy truck, Article 4.2 of this Appendix applies. If the good is for use in a vehicle specified in paragraphs 1 and 2 of Article 10, Articles 10.1 and 10.2 of this Appendix apply.</w:t>
      </w:r>
    </w:p>
    <w:p>
      <w:pPr>
        <w:pStyle w:val="Normal"/>
        <w:widowControl/>
        <w:rPr/>
      </w:pPr>
      <w:r>
        <w:rPr/>
        <w:t>4-B-1-15 change from any other heading, provided there is regional value content of not less than 50 percent under the net cost method; or No required change in tariff classification to any other good of subheading 8708.92, provided there is a regional value content of not less than 50 percent under the net cost method 8708.9368 For a good of subheading 8708.93 for use in a passenger vehicle, light truck or heavy truck: A change to subheading 8708.93 from any other heading; or A change to subheading 8708.93 from subheading 8708.99, whether or not there is also a change from any other heading, provided there is a regional value content of not less than 70 percent under the net cost method. For any other good of subheading 8708.93: A change to subheading 8708.93 from any other heading; or A change to subheading 8708.93 from subheading 8708.99, whether or not there is also a change from any other heading, provided there is a regional value content of not less than 50 percent under the net cost method.</w:t>
      </w:r>
    </w:p>
    <w:p>
      <w:pPr>
        <w:pStyle w:val="Normal"/>
        <w:widowControl/>
        <w:rPr/>
      </w:pPr>
      <w:r>
        <w:rPr/>
        <w:t>8708.9469 For a good of subheading 8708.94 for use in a passenger vehicle or light truck: No required change in tariff classification to subheading 8708.94, provided there is a regional value content of not less than 75 percent under the net cost method. 68 If the good is for use in a passenger vehicle or light truck, Article 3.4 of this Appendix applies. If the good is for use in a heavy truck, Article 4.2 of this Appendix applies.</w:t>
      </w:r>
    </w:p>
    <w:p>
      <w:pPr>
        <w:pStyle w:val="Normal"/>
        <w:widowControl/>
        <w:rPr/>
      </w:pPr>
      <w:r>
        <w:rPr/>
        <w:t>If the good is for use in a vehicle specified in paragraphs 1 and 2 of Article 10, Articles 10.1 and 10.2 of this Appendix apply. 69 If the good is for use in a passenger vehicle or light truck, Article 3.2 and 3.3 of this Appendix apply. If the good is for use in a heavy truck, Article 4.2 of this Appendix applies. If the good is for use in a vehicle specified in paragraphs 1 and 2 of Article 10, Articles 10.1 and 10.2 of this Appendix apply. 4-B-1-16 For a good of subheading 8708.94 for use in a heavy truck: A change to subheading 8708.94 from any other heading; A change to steering wheels, steering columns or steering boxes of subheading 8708.94 from parts thereof of subheading 8708.94 or 8708.99, whether or not there is also a change from any other heading, provided there is a regional value content of not less than 70 percent under the net cost method; No required change in tariff classification to parts of steering wheels, steering columns or steering boxes of subheading 8708.94, provided there is a regional value content of not less than 70 percent under the net cost method.</w:t>
      </w:r>
    </w:p>
    <w:p>
      <w:pPr>
        <w:pStyle w:val="Normal"/>
        <w:widowControl/>
        <w:rPr/>
      </w:pPr>
      <w:r>
        <w:rPr/>
        <w:t>For any other good of subheading 8708.94: A change to subheading 8708.94 from any other heading; A change to steering wheels, steering columns or steering boxes of subheading 8708.94 from parts thereof of subheading 8708.94 or 8708.99, whether or not there is also a change from any other heading, provided there is a regional value content of not less than 50 percent under the net cost method; No required change in tariff classification to parts of steering wheels, steering columns or steering boxes of subheading 8708.94, provided there is a regional value content of not less than 50 percent under the net cost method. 8708.9570 For a good of subheading 8708.95 for use in a passenger vehicle, light truck or heavy truck: A change to subheading 8708.95 from any other heading; or 70 If the good is for use in a passenger vehicle or light truck, Article 3.4 of this Appendix applies. If the good is for use in a heavy truck, Article 4.2 of this Appendix applies.</w:t>
      </w:r>
    </w:p>
    <w:p>
      <w:pPr>
        <w:pStyle w:val="Normal"/>
        <w:widowControl/>
        <w:rPr/>
      </w:pPr>
      <w:r>
        <w:rPr/>
        <w:t>If the good is for use in a vehicle specified in paragraphs 1 and 2 of Article 10, Articles 10.1 and 10.2 of this Appendix apply. 4-B-1-17 No required change in tariff classification to subheading 8708.95, provided there is a regional value content of not less than 70 percent under the net cost method.</w:t>
      </w:r>
    </w:p>
    <w:p>
      <w:pPr>
        <w:pStyle w:val="Normal"/>
        <w:widowControl/>
        <w:rPr/>
      </w:pPr>
      <w:r>
        <w:rPr/>
        <w:t>For any other good of subheading 8708.95: A change to subheading 8708.95 from any other heading; or No required change in tariff classification to subheading 8708.95, provided there is a regional value content of not less than 50 percent under the net cost method. 8708.9971 For a chassis frame of subheading 8708.99 for use in a passenger vehicle or light truck: No required change in tariff classification to a good of subheading 8708.99, provided there is a regional value content of not less than 75 percent under the net cost method. For a chassis of subheading 8708.99 for use in a heavy truck: No required change in tariff classification to a good of subheading 8708.99, provided there is a regional value content of not less than 70 percent under the net cost method. For any other good of subheading 8708.99 for use in a heavy truck or for any other good of subheading 8708.99 for use in a passenger vehicle or light truck:</w:t>
      </w:r>
    </w:p>
    <w:p>
      <w:pPr>
        <w:pStyle w:val="Normal"/>
        <w:widowControl/>
        <w:rPr/>
      </w:pPr>
      <w:r>
        <w:rPr/>
        <w:t>8708.99.aa A change to tariff item 8708.99.aa from any other subheading, provided there is a regional value content of not less than 70 percent under the net cost method. 8708.99.bb A change to tariff item 8708.99.bb from any other heading, except from subheading 8482.10 through 8482.80 or tariff item 8482.99.aa; or 71 If the good is a chassis frame for use in a passenger vehicle or light truck, Articles 3.2 and 3.3 of this Appendix 3 apply. If the good is a chassis for use in a heavy truck, Articles 4.2 and 4.4 of this Appendix applies.</w:t>
      </w:r>
    </w:p>
    <w:p>
      <w:pPr>
        <w:pStyle w:val="Normal"/>
        <w:widowControl/>
        <w:rPr/>
      </w:pPr>
      <w:r>
        <w:rPr/>
        <w:t>If the good is any other good for use in a passenger vehicle or light truck, Article 3.4 of this Appendix applies. If the good is any other good for use in a heavy truck, Article 4.2 of this Appendix applies. If the good is for use in a vehicle specified in paragraphs 1 and 2 of Article 10, Articles 10.1 and 10.2 of this Appendix apply. 4-B-1-18 A change to tariff item 8708.99.bb from subheading 8482.10 through 8482.80 or tariff item 8482.99.aa, whether or not there is also a change from any other heading, provided there is a regional value content of not less than 70 percent under the net cost method. 8708.99 A change to subheading 8708.99 from any other heading; or No required change in tariff classification to subheading 8708.99, provided there is a regional value content of not less than 70 percent under the net cost method For any other good of subheading 8708.99:</w:t>
      </w:r>
    </w:p>
    <w:p>
      <w:pPr>
        <w:pStyle w:val="Normal"/>
        <w:widowControl/>
        <w:rPr/>
      </w:pPr>
      <w:r>
        <w:rPr/>
        <w:t>8708.99.aa A change to tariff item 8708.99.aa from any other subheading, provided there is a regional value content of not less than 50 percent under the net cost method. 8708.99.bb A change to tariff item 8708.99.bb from any other heading, except from subheading 8482.10 through 8482.80 or tariff item 8482.99.aa; or A change to tariff item 8708.99.bb from subheading 8482.10 through 8482.80 or tariff item 8482.99.aa, whether or not there is also a change from any other heading, provided there is a regional value content of not less than 50 percent under the net cost method.</w:t>
      </w:r>
    </w:p>
    <w:p>
      <w:pPr>
        <w:pStyle w:val="Normal"/>
        <w:widowControl/>
        <w:rPr/>
      </w:pPr>
      <w:r>
        <w:rPr/>
        <w:t>8708.99 A change to subheading 8708.99 from any other heading; or No required change in tariff classification to subheading 8708.99, provided there is a regional value content of not less than 50 percent under the net cost method.</w:t>
      </w:r>
    </w:p>
    <w:p>
      <w:pPr>
        <w:pStyle w:val="Normal"/>
        <w:keepNext w:val="true"/>
        <w:widowControl/>
        <w:rPr/>
      </w:pPr>
      <w:r>
        <w:rPr/>
        <w:t>Article 3: Regional Value Content for Passenger Vehicles, Light Trucks, and Parts Thereof 1. Notwithstanding Article 2 (Product-Specific Rules of Origin for Vehicles), each Party shall provide that the regional value content requirement for a passenger vehicle or a light truck is: (a) 66 percent under the net cost method, beginning on January 1, 2020, or the date of entry into force of this Agreement, whichever is later; 4-B-1-19 (b) 69 percent under the net cost method, beginning on January 1, 2021, or one year after the date of entry into force of this Agreement, whichever is later; (c) 72 percent under the net cost method, beginning on January 1, 2022, or two years after the date of entry into force of this Agreement, whichever is later; and (d) 75 percent under the net cost method, beginning on January 1, 2023, or three years after the date of entry into force of this Agreement, whichever is later, and thereafter. 2.</w:t>
      </w:r>
    </w:p>
    <w:p>
      <w:pPr>
        <w:pStyle w:val="Normal"/>
        <w:widowControl/>
        <w:rPr/>
      </w:pPr>
      <w:r>
        <w:rPr/>
        <w:t>Notwithstanding Article 2 (Product-Specific Rules of Origin for Vehicles) and the Product-Specific Rules of Origin in Annex 4-B, each Party shall provide that the regional value content requirement for a part listed in Table A.1 of this Appendix that is for use in a passenger vehicle or light truck is: (a) 66 percent under the net cost method or 76 percent under the transaction value method, if the corresponding rule includes a transaction value method, beginning on January 1, 2020, or the date of entry into force of this Agreement, whichever is later; (b) 69 percent under the net cost method or 79 percent under the transaction value method, if the corresponding rule includes a transaction value method, beginning on January 1, 2021, or one year after the date of entry into force of this Agreement, whichever is later;</w:t>
      </w:r>
    </w:p>
    <w:p>
      <w:pPr>
        <w:pStyle w:val="Normal"/>
        <w:widowControl/>
        <w:rPr/>
      </w:pPr>
      <w:r>
        <w:rPr/>
        <w:t>(c) 72 percent under the net cost method or 82 percent under the transaction value method, if the corresponding rule includes a transaction value method, beginning on January 1, 2022, or two years after the date of entry into force of this Agreement, whichever is later; or (d) 75 percent under the net cost method or 85 percent under the transaction value method, if the corresponding rule includes a transaction value method, beginning on January 1, 2023, or three years after the date of entry into force of this Agreement, whichever is later, and thereafter. 3.</w:t>
      </w:r>
    </w:p>
    <w:p>
      <w:pPr>
        <w:pStyle w:val="Normal"/>
        <w:widowControl/>
        <w:rPr/>
      </w:pPr>
      <w:r>
        <w:rPr/>
        <w:t>Notwithstanding Article 2 (Product-Specific Rules of Origin for Vehicles) and the Product-Specific Rules of Origin in Annex 4-B, each Party shall provide that a part listed in Table A.1 of this Appendix that is for use in a passenger vehicle or light truck is originating only if it satisfies the regional value content requirement in paragraph 2, except for batteries of subheading 8507.60 that are used as the primary source of electrical power for the propulsion of an electric passenger vehicle or light truck. 4. Notwithstanding Article 2 (Product-Specific Rules of Origin for Vehicles) and the Product-Specific Rules of Origin in Annex 4-B, each Party shall provide that the regional value 4-B-1-20 content requirement for a part listed in Table B of this Appendix that is for use in a passenger vehicle or light truck is: (a) 62.5 percent under the net cost method or 72.5 percent under the transaction value method, if the corresponding rule includes a transaction value method, beginning on January 1, 2020 or the date of entry into force of this Agreement, whichever is later;</w:t>
      </w:r>
    </w:p>
    <w:p>
      <w:pPr>
        <w:pStyle w:val="Normal"/>
        <w:widowControl/>
        <w:rPr/>
      </w:pPr>
      <w:r>
        <w:rPr/>
        <w:t>(b) 65 percent under the net cost method or 75 percent under the transaction value method, if the corresponding rule includes a transaction value method, beginning on January 1, 2021 or one year after the date of entry into force of this Agreement, whichever is later; (c) 67.5 percent under the net cost method or 77.5 percent under the transaction value method, if the corresponding rule includes a</w:t>
      </w:r>
    </w:p>
    <w:p>
      <w:pPr>
        <w:pStyle w:val="Normal"/>
        <w:widowControl/>
        <w:rPr/>
      </w:pPr>
      <w:r>
        <w:rPr/>
        <w:t>transaction value method, beginning on January 1, 2022 or two years after the date of entry into force of this Agreement, whichever is later; or (d) 70 percent under the net cost method or 80 percent under the transaction value method, if the corresponding rule includes a transaction value method, beginning on January 1, 2023 or three years after the date of entry into force of this Agreement, whichever is later, and thereafter. Notwithstanding any regional value content requirement in this paragraph, a part listed in Table B is originating if it meets the applicable change in tariff classification requirement provided in Annex 4-B. 5. Notwithstanding the Product-Specific Rules of Origin in Annex 4-B, each Party shall provide that the regional value content requirement for a part listed in Table C of this Appendix that is for use in a passenger vehicle or light truck is:</w:t>
      </w:r>
    </w:p>
    <w:p>
      <w:pPr>
        <w:pStyle w:val="Normal"/>
        <w:widowControl/>
        <w:rPr/>
      </w:pPr>
      <w:r>
        <w:rPr/>
        <w:t>(a) 62 percent under the net cost method or 72 percent under the transaction value method, if the corresponding rule includes a transaction value method, beginning on January 1, 2020 or the date of entry into force of this Agreement, whichever is later; (b) 63 percent under the net cost method or 73 percent under the transaction value method, if the corresponding rule includes a transaction value method, beginning on January 1, 2021 or one year after the date of entry into force of this Agreement, whichever is later; (c) 64 percent under the net cost method or 74 percent under the transaction value method,</w:t>
      </w:r>
    </w:p>
    <w:p>
      <w:pPr>
        <w:pStyle w:val="Normal"/>
        <w:widowControl/>
        <w:rPr/>
      </w:pPr>
      <w:r>
        <w:rPr/>
        <w:t>if the corresponding rule includes a transaction value method, beginning 4-B-1-21 on January 1, 2022 or two years after the date of entry into force of this Agreement, whichever is later; or (d) 65 percent under the net cost method or 75 percent under the transaction value method, if the corresponding rule includes a transaction value method, beginning on January 1, 2023 or three years after the date of entry into force of this Agreement, whichever is later, and thereafter. Notwithstanding any regional value content requirement in this paragraph, a part listed in Table C is originating if it meets the applicable change in tariff classification requirement provided in Annex 4-B. 6. For the purposes of calculating the regional value content under paragraphs 1 through 5, Article 4.5 (Regional Value Content), Article 4.6 (Value of Materials Used in Production), Article 4.7 (Further Adjustments to the Value of Materials), and 4.8 (Intermediate Materials) and Article 5 (Averaging) apply. 7.</w:t>
      </w:r>
    </w:p>
    <w:p>
      <w:pPr>
        <w:pStyle w:val="Normal"/>
        <w:widowControl/>
        <w:rPr/>
      </w:pPr>
      <w:r>
        <w:rPr/>
        <w:t>Each Party shall provide that a passenger vehicle or light truck is originating only if the parts under Column 1 of Table A.2 of this Appendix used in the production of a passenger vehicle or light truck are originating. Such a part is originating only if it satisfies the regional value content requirement in paragraph 2, except for an advanced battery.</w:t>
      </w:r>
    </w:p>
    <w:p>
      <w:pPr>
        <w:pStyle w:val="Normal"/>
        <w:widowControl/>
        <w:rPr/>
      </w:pPr>
      <w:r>
        <w:rPr/>
        <w:t>The Parties, as appropriate, shall provide in the Uniform Regulations additional description or other clarification to the list of the parts and components under Table A.2 of this Appendix, such as by tariff provision or product description, to facilitate implementation of this requirement. 8. Each Party shall provide that for the purposes of calculating the regional value content under Article 4.5 (Regional Value Content) for a part under Column 1 of Table A.2 of this Appendix, the value of non-originating materials (VNM) is, at the vehicle producer’s option: (a) the value of all non-originating materials used in the production of the part; or (b) the value of any non-originating components used in the production of the part that are listed under Column 2 of Table A.2 of this Appendix. 9.</w:t>
      </w:r>
    </w:p>
    <w:p>
      <w:pPr>
        <w:pStyle w:val="Normal"/>
        <w:widowControl/>
        <w:rPr/>
      </w:pPr>
      <w:r>
        <w:rPr/>
        <w:t>Further to paragraph 8, each Party shall provide that the regional value content may also be calculated, at the producer’s option, for all parts under Column 1 of Table A.2 of this Appendix as a single part, using the sum of the net cost of each part listed under Column 1 of Table A.2 of this Appendix, and when calculating the VNM, at the producer’s option: (a) the sum of the value of all non-originating materials used in the production of the parts listed under Column 1; or 4-B-1-22 (b) the sum of the value of only those non-originating components under Column 2 of Table A.2 of this Appendix, used in the production of the parts listed under Column 1.</w:t>
      </w:r>
    </w:p>
    <w:p>
      <w:pPr>
        <w:pStyle w:val="Normal"/>
        <w:widowControl/>
        <w:rPr/>
      </w:pPr>
      <w:r>
        <w:rPr/>
        <w:t>If this regional value content meets the required threshold under paragraph 2, then each Party shall provide that all parts under Table A.2 of this Appendix are originating and the passenger vehicle or light truck will be considered to have met the requirement under paragraph 7. 10. The Parties are encouraged to develop any additional description or other modification to the list of the parts and components of the parts and components in Table A.2 of this Appendix for a passenger vehicle or light truck that is an Advanced Technology Vehicle. Upon request of one of the Parties, the Parties shall discuss and agree on any appropriate modifications to Table A.2 of this Appendix for such a vehicle to ensure that the requirements in paragraph 7 remain relevant in light of technological changes and to facilitate the use of originating core parts.</w:t>
      </w:r>
    </w:p>
    <w:p>
      <w:pPr>
        <w:pStyle w:val="Normal"/>
        <w:keepNext w:val="true"/>
        <w:widowControl/>
        <w:rPr/>
      </w:pPr>
      <w:r>
        <w:rPr/>
        <w:t>Article 4: Regional Value Content for Heavy Trucks and Parts Thereof 1. Notwithstanding Article 2 (Product-Specific Rules of Origin for Vehicles), each Party shall provide that the regional value content requirement for a heavy truck is: (a) 60 percent under the net cost method, beginning on January 1, 2020, or the date of entry into force of this Agreement, whichever is later; (b) 64 percent under the net cost method, beginning on January 1, 2024, or four years after the date of entry into force of this Agreement, whichever is later; or (c) 70 percent under the net cost method, beginning on January 1, 2027, or seven years after the date of entry into force of this Agreement, whichever is later, and thereafter. 2. Notwithstanding Article 2 (Product-Specific Rules of Origin for Vehicles) and the Product-Specific Rules of Origin in Annex 4-B, each Party shall provide that the regional value content requirement for a part listed in Table D of this Appendix that is for use in a heavy truck is:</w:t>
      </w:r>
    </w:p>
    <w:p>
      <w:pPr>
        <w:pStyle w:val="Normal"/>
        <w:widowControl/>
        <w:rPr/>
      </w:pPr>
      <w:r>
        <w:rPr/>
        <w:t>(a) 60 percent under the net cost method or 70 percent under the transaction value method, if the corresponding rule includes a transaction value method, beginning on January 1, 2020, or the date of entry into force of this Agreement, whichever is later; 4-B-1-23 (b) 64 percent under the net cost method or 74 percent under the transaction value method, if the corresponding rule includes a transaction value method, beginning on January 1, 2024, or four years after the date of entry into</w:t>
      </w:r>
    </w:p>
    <w:p>
      <w:pPr>
        <w:pStyle w:val="Normal"/>
        <w:widowControl/>
        <w:rPr/>
      </w:pPr>
      <w:r>
        <w:rPr/>
        <w:t>force of this Agreement, whichever is later; and (c) 70 percent under the net cost method or 80 percent under the transaction value method, if the corresponding rule includes a transaction value method, beginning on January 1, 2027, or seven years after the date of entry into force of this Agreement, whichever is later, and thereafter. 3. Notwithstanding the Product-Specific Rules of Origin in Annex 4-B, each Party shall provide that the regional value content requirement for a part listed in Table E of this Appendix that is for use in a heavy truck is: (a) 50 percent under the net cost method or 60 percent under the transaction value method, if the corresponding rule includes a transaction value method, beginning on January 1, 2020, or the date of entry into force of this Agreement, whichever is later;</w:t>
      </w:r>
    </w:p>
    <w:p>
      <w:pPr>
        <w:pStyle w:val="Normal"/>
        <w:widowControl/>
        <w:rPr/>
      </w:pPr>
      <w:r>
        <w:rPr/>
        <w:t>(b) 54 percent under the net cost method or 64 percent under the transaction value method, if the corresponding rule includes a transaction value method beginning on January 1, 2024, or four years after the date of entry into force of this Agreement, whichever is later; and (c) 60 percent under the net cost method or 70 percent under the transaction value method, if the corresponding rule includes a transaction value method, beginning on January 1, 2027, or seven years after the date of entry into force of this Agreement, whichever is later, and thereafter. 4.</w:t>
      </w:r>
    </w:p>
    <w:p>
      <w:pPr>
        <w:pStyle w:val="Normal"/>
        <w:widowControl/>
        <w:rPr/>
      </w:pPr>
      <w:r>
        <w:rPr/>
        <w:t>Notwithstanding Article 2 (Product-Specific Rules of Origin for Vehicles) or the Product- Specific Rules of Origin in Annex 4-B, each Party shall provide that a part of heading 84.07 or 84.08 or subheading 8708.40, or a chassis classified in 8708.99, that is for use in a heavy truck, is originating only if it satisfies the applicable regional value content requirement in paragraph 2.</w:t>
      </w:r>
    </w:p>
    <w:p>
      <w:pPr>
        <w:pStyle w:val="Normal"/>
        <w:keepNext w:val="true"/>
        <w:widowControl/>
        <w:rPr/>
      </w:pPr>
      <w:r>
        <w:rPr/>
        <w:t>Article 5: Averaging 1. Each Party shall provide that, for the purposes of calculating the regional value content of a passenger vehicle, light truck, or heavy truck, the calculation may be averaged over the producer’s fiscal year, using any one of the following categories, on the basis of either all motor vehicles in the category or only those motor vehicles in the category that are exported to the territory of one or more of the other Parties: 4-B-1-24 (a) the same model line of motor vehicles in the same class of vehicles produced in the same plant in the territory of a Party; (b) the same class of motor vehicles produced in the same plant in the territory of a Party; (c) the same model line or same class of motor vehicles produced in the territory of a Party;72 or (d) any other category as the Parties may decide. 2.</w:t>
      </w:r>
    </w:p>
    <w:p>
      <w:pPr>
        <w:pStyle w:val="Normal"/>
        <w:widowControl/>
        <w:rPr/>
      </w:pPr>
      <w:r>
        <w:rPr/>
        <w:t>Each Party shall provide, that for the purposes of calculating the regional value content for an automotive good listed in Tables A.1, B, C, D, or E of this Appendix, produced in the same plant, or a super-core for a passenger vehicle or light truck, the calculation may be averaged: (a) over the fiscal year of the motor vehicle producer to whom the good is sold; (b) over any quarter or month; (c) over the fiscal year of the producer of the automotive material; or (d) over any of the categories in paragraph 1 (a) through (d), provided that the good was produced during the fiscal year, quarter, or month forming the basis for the calculation, in which: (i) the average in subparagraph (a) is calculated separately for those goods sold to one or more motor vehicle producers, or (ii) the average in subparagraph (a) or (b) is calculated separately for those goods that are exported to the territory of another Party.</w:t>
      </w:r>
    </w:p>
    <w:p>
      <w:pPr>
        <w:pStyle w:val="Normal"/>
        <w:keepNext w:val="true"/>
        <w:widowControl/>
        <w:rPr/>
      </w:pPr>
      <w:r>
        <w:rPr/>
        <w:t>Article 6: Steel and Aluminum 1. In addition to the Product-Specific Rules of Origin in Annex 4-B or other requirements in this Appendix, each Party shall provide that a passenger vehicle, light truck, or heavy truck is originating only if, during a time period provided for in paragraph 2,at least 70 percent of: 72 Vehicles within the same model line or class may be averaged separately if such vehicles are subject to different RVC requirements. 4-B-1-25 (a) the vehicle producer’s purchases of steel by value in the territories of the Parties; and (b) the vehicle producer’s purchases of aluminum by value in the territories of the Parties, are of originating goods.73 2. Each Party shall provide that, for the purposes of determining the vehicle producer’s purchases of steel or aluminium in paragraph 1, the producer may calculate the purchases: (a) over the previous fiscal year of the producer; (b) over the previous calendar year; (c) over the quarter or month to date in which the vehicle is exported;</w:t>
      </w:r>
    </w:p>
    <w:p>
      <w:pPr>
        <w:pStyle w:val="Normal"/>
        <w:widowControl/>
        <w:rPr/>
      </w:pPr>
      <w:r>
        <w:rPr/>
        <w:t>(d) over the producer’s fiscal year to date in which the vehicle is exported; or (e) over the calendar year to date in which the vehicle is exported. A steel or aluminum calculation based on the producer’s previous fiscal year is valid for the duration of the producer’s current fiscal year. A steel or aluminum calculation based on the previous calendar year is valid for the duration of the current calendar year. 3.</w:t>
      </w:r>
    </w:p>
    <w:p>
      <w:pPr>
        <w:pStyle w:val="Normal"/>
        <w:widowControl/>
        <w:rPr/>
      </w:pPr>
      <w:r>
        <w:rPr/>
        <w:t>The Parties shall endeavor to develop any additional description or other modification of steel and aluminum subject to paragraph 1, if needed, to facilitate implementation of this requirement. Upon request of one of the Parties, the Parties shall discuss and agree on any appropriate modifications to the description of steel and aluminum. The Parties, as appropriate, shall provide in the Uniform Regulations additional description for steel and aluminum subject to paragraph 1, such as by tariff provision or product description, to facilitate implementation of this requirement. 4. The Parties shall include any certification or verification provisions for this requirement in Uniform Regulations. 73 This requirement will apply to a vehicle producer’s corporate purchases throughout the territories of the Parties, including if the producer has more than one location in a Party where steel and aluminum is purchased. Such purchases of steel and aluminum include direct purchases, purchases through a services center, and purchases contracted through a supplier. 4-B-1-26</w:t>
      </w:r>
    </w:p>
    <w:p>
      <w:pPr>
        <w:pStyle w:val="Normal"/>
        <w:keepNext w:val="true"/>
        <w:widowControl/>
        <w:rPr/>
      </w:pPr>
      <w:r>
        <w:rPr/>
        <w:t>Article 7: North American Automotive Workforce Advancement Standard</w:t>
      </w:r>
    </w:p>
    <w:p>
      <w:pPr>
        <w:pStyle w:val="Normal"/>
        <w:widowControl/>
        <w:rPr/>
      </w:pPr>
      <w:r>
        <w:rPr/>
        <w:t>1. Supersession of Legacy Labor Value Content. The former Labor Value Content requirements based on a fixed US$16 per hour production-wage threshold, including the former 40 percent passenger-vehicle requirement and 45 percent light- and heavy-truck requirement, are superseded by this Article. Compliance with a fixed nominal wage threshold shall not be a condition of originating status under this Agreement.</w:t>
      </w:r>
    </w:p>
    <w:p>
      <w:pPr>
        <w:pStyle w:val="Normal"/>
        <w:widowControl/>
        <w:rPr/>
      </w:pPr>
      <w:r>
        <w:rPr/>
        <w:t>2. Standard Origin. A passenger vehicle, light truck, medium-duty vehicle, heavy-duty vehicle, vocational vehicle, qualifying chassis, or other covered automotive good that satisfies the applicable regional value content, product-specific origin, steel or aluminum, and anti-circumvention requirements shall not be denied ordinary originating treatment solely because of the compensation level, wage geography, or workforce-cost structure of a facility in which qualifying North American production occurred. The 75% (75 percent) Standard Tier under the automotive modernization architecture remains sufficient for ordinary zero automotive tariff treatment where all other applicable origin requirements are satisfied.</w:t>
      </w:r>
    </w:p>
    <w:p>
      <w:pPr>
        <w:pStyle w:val="Normal"/>
        <w:widowControl/>
        <w:rPr/>
      </w:pPr>
      <w:r>
        <w:rPr/>
        <w:t>3. Workforce Advancement Objective. The Parties shall use workforce performance as an earned-integration and industrial-upgrading factor rather than as a fixed nominal-wage gate to origin. The objective is to raise compensation, skills, productivity, worker security, lawful collective representation, workplace safety, and long-term North American production without creating a permanent geographic preference for facilities that happened to begin from a higher nominal-wage base.</w:t>
      </w:r>
    </w:p>
    <w:p>
      <w:pPr>
        <w:pStyle w:val="Normal"/>
        <w:widowControl/>
        <w:rPr/>
      </w:pPr>
      <w:r>
        <w:rPr/>
        <w:t>4. Eligible Workforce Advancement Factors. An implementing schedule may recognize verified performance involving: (a) sustained real compensation growth; (b) competitive total compensation, including lawful benefits; (c) freedom of association and collective-bargaining compliance; (d) apprenticeship and certified industrial training; (e) technical and portable credentials; (f) worker retention and reduced involuntary turnover; (g) employer-funded upskilling and transition support; (h) genuine engineering, research, development, testing, software, and advanced-manufacturing employment; (i) productivity improvements accompanied by measurable worker benefit; (j) occupational safety and health performance; (k) lawful portable benefits and social-protection coordination; and (l) absence and remediation of prohibited recruitment fees, document retention, retaliation, forced labour, or other serious covered labour violations.</w:t>
      </w:r>
    </w:p>
    <w:p>
      <w:pPr>
        <w:pStyle w:val="Normal"/>
        <w:widowControl/>
        <w:rPr/>
      </w:pPr>
      <w:r>
        <w:rPr/>
        <w:t>5. Earned Integration. Verified workforce advancement may contribute to eligibility for High Integration or Strategic Integration benefits under the 80% (80 percent) and 85% (85 percent) automotive tiers, including designated customs facilitation, reduced routine verification, trusted-trader treatment, transition assistance, supplier-development support, workforce-development cooperation, or other authorized non-tariff benefits. Workforce advancement shall not by itself create a nationality-specific quota or mandatory production allocation.</w:t>
      </w:r>
    </w:p>
    <w:p>
      <w:pPr>
        <w:pStyle w:val="Normal"/>
        <w:widowControl/>
        <w:rPr/>
      </w:pPr>
      <w:r>
        <w:rPr/>
        <w:t>6. Upward-Convergence Path. A facility or producer shall not be disadvantaged merely because its lawful starting compensation level is lower than that of a facility in another Party. An implementing schedule may recognize sustained real wage growth, productivity growth, skills formation, stronger bargaining outcomes, improved benefits, and movement into higher-value production as evidence of upward convergence. The architecture shall reward measurable improvement and durable worker benefit rather than permanent incumbency at a historically higher nominal wage.</w:t>
      </w:r>
    </w:p>
    <w:p>
      <w:pPr>
        <w:pStyle w:val="Normal"/>
        <w:widowControl/>
        <w:rPr/>
      </w:pPr>
      <w:r>
        <w:rPr/>
        <w:t>7. No Wage-Suppression Advantage. No Party or producer shall obtain an automotive integration advantage principally through sustained suppression of compensation, denial of covered labour rights, prohibited recruitment practices, systematic misclassification, coercive use of immigration status, forced labour, or deliberate circumvention of applicable labour protections. A serious verified violation may affect earned-integration benefits in accordance with Chapter 23, Chapter 31, Chapter 51, and Cothrom procedures, but shall not automatically erase otherwise valid North American origin unless an applicable origin rule is independently violated.</w:t>
      </w:r>
    </w:p>
    <w:p>
      <w:pPr>
        <w:pStyle w:val="Normal"/>
        <w:widowControl/>
        <w:rPr/>
      </w:pPr>
      <w:r>
        <w:rPr/>
        <w:t>8. Worker-First Enforcement. The existence of a covered labour right does not depend on proof that a violation injured the commerce or competitiveness of another Party. Commercial effects may inform the proportionality of a trade-related remedy, but shall not determine whether workers possess the protected right or whether a serious violation warrants remediation.</w:t>
      </w:r>
    </w:p>
    <w:p>
      <w:pPr>
        <w:pStyle w:val="Normal"/>
        <w:widowControl/>
        <w:rPr/>
      </w:pPr>
      <w:r>
        <w:rPr/>
        <w:t>9. Trilateral Neutrality. Workforce advancement criteria shall apply on functionally equivalent terms to facilities in Canada, Mexico, and the United States. No Party shall receive a presumption that high nominal wages establish labour compliance, that lower nominal wages establish labour non-compliance, or that meaningful workforce upgrading can occur only in another Party.</w:t>
      </w:r>
    </w:p>
    <w:p>
      <w:pPr>
        <w:pStyle w:val="Normal"/>
        <w:widowControl/>
        <w:rPr/>
      </w:pPr>
      <w:r>
        <w:rPr/>
        <w:t>10. Benefits and Non-Cash Compensation. Total-compensation measures may recognize legally required or genuinely additional benefits, including pensions, health coverage, paid leave, housing contributions, profit-sharing, childcare, transport, or meal support, where measurable and worker-accessible. Non-cash benefits shall not be used to disguise sustained suppression of cash compensation or to substitute indefinitely for reasonable wage progression.</w:t>
      </w:r>
    </w:p>
    <w:p>
      <w:pPr>
        <w:pStyle w:val="Normal"/>
        <w:widowControl/>
        <w:rPr/>
      </w:pPr>
      <w:r>
        <w:rPr/>
        <w:t>11. Skills, R&amp;D, and Advanced Work. Genuine North American engineering, research, development, design, software, testing, certification, skilled-trades, apprenticeship, and advanced-manufacturing work may qualify as workforce advancement where it materially contributes to covered automotive production. Paper allocations, nominal contracting, or artificial relocation of accounting entries shall not qualify.</w:t>
      </w:r>
    </w:p>
    <w:p>
      <w:pPr>
        <w:pStyle w:val="Normal"/>
        <w:widowControl/>
        <w:rPr/>
      </w:pPr>
      <w:r>
        <w:rPr/>
        <w:t>12. Verification and Anti-Gaming. Verification shall be risk-based, evidence-based, proportionate, and no more burdensome than necessary. The Parties may use trusted-compliance treatment for producers with a sustained record of accurate reporting, subject to reopening where credible evidence indicates material non-compliance, manipulation, worker retaliation, or false certification.</w:t>
      </w:r>
    </w:p>
    <w:p>
      <w:pPr>
        <w:pStyle w:val="Normal"/>
        <w:widowControl/>
        <w:rPr/>
      </w:pPr>
      <w:r>
        <w:rPr/>
        <w:t>13. Cure and Earn-Back. Where an earned workforce-related benefit is paused for verified non-performance, the producer or Party shall receive a reasonable opportunity to cure except where urgent action is necessary to prevent serious or irreversible harm. A paused benefit shall be restored promptly and proportionately when corrective performance is verified, consistent with the No Uncompensated Front-Loading and Cothrom earn-back architecture.</w:t>
      </w:r>
    </w:p>
    <w:p>
      <w:pPr>
        <w:pStyle w:val="Normal"/>
        <w:widowControl/>
        <w:rPr/>
      </w:pPr>
      <w:r>
        <w:rPr/>
        <w:t>14. No Fixed-Dollar Automatic Escalator. No fixed U.S.-dollar wage number, purchasing-power-parity formula, foreign minimum-wage benchmark, or automatic inflation escalator shall determine originating status. Any numerical workforce benchmarks adopted in an implementing schedule shall be evidence-based, periodically reviewable, transparent, and subordinate to the trilateral outcome principles in this Article.</w:t>
      </w:r>
    </w:p>
    <w:p>
      <w:pPr>
        <w:pStyle w:val="Normal"/>
        <w:widowControl/>
        <w:rPr/>
      </w:pPr>
      <w:r>
        <w:rPr/>
        <w:t>15. Review. The Parties shall periodically assess whether workforce advancement measures are producing higher real compensation, stronger skills, safer workplaces, improved worker retention, greater productivity, more resilient North American production, and reduced incentive for abusive labour arbitrage. Review shall inform agreed modernization and shall not automatically rewrite substantive treaty obligations.</w:t>
      </w:r>
    </w:p>
    <w:p>
      <w:pPr>
        <w:pStyle w:val="Normal"/>
        <w:widowControl/>
        <w:spacing w:before="0" w:after="120"/>
        <w:rPr/>
      </w:pPr>
      <w:r>
        <w:rPr/>
        <w:t>16. Chapter 23-B Operationalization. The workforce advancement metrics supporting Article 4.A.2 are operationalized through Chapter 23-B (North American Just Transition and Worker Security Framework). Parties shall provide workers with access to the income support, retraining, and benefit portability specified in Articles 23-B.3–23-B.5. All workforce-advancement metrics shall be measured against Chapter 23-B standards.</w:t>
      </w:r>
    </w:p>
    <w:p>
      <w:pPr>
        <w:pStyle w:val="Normal"/>
        <w:keepNext w:val="true"/>
        <w:widowControl/>
        <w:rPr/>
      </w:pPr>
      <w:r>
        <w:rPr/>
        <w:t>Article 8: Transitions 1. Each Party shall provide that for a period ending no later than January 1, 2025 or five years after entry into force of this Agreement, whichever is later, a passenger vehicle or light truck may be originating pursuant to an alternative staging regime to the regime set out in Articles 2 through 6, subject to paragraphs 2 and 3. 2. An alternative staging regime for eligible passenger vehicles or light trucks must meet the following requirements:</w:t>
      </w:r>
    </w:p>
    <w:p>
      <w:pPr>
        <w:pStyle w:val="Normal"/>
        <w:widowControl/>
        <w:rPr/>
      </w:pPr>
      <w:r>
        <w:rPr/>
        <w:t>(a) the regional value content for such vehicles must not be lower than 62.5 percent, under the net cost method, and must be 75 percent by no later than January 1, 2025 or five years after entry into force of this Agreement, whichever is later;81 (b) the regional value content for a good listed in Table A.1 of this Appendix, except for a battery of subheading 8507.60,82 that is for use in a passenger vehicle or light truck must not be lower than 62.5 percent under the net cost method or 72.5 percent under the transaction value method, if the corresponding rule includes a transaction value method, and must be 75 percent under the net cost method or 85 percent under the transaction value method, if the corresponding rule includes a transaction value method by no later than January 1, 2025 or five years after entry into force of this Agreement, whichever is later; (c) the steel and aluminum requirement under Article 6 (Steel and Aluminum) must be met, unless the Parties agree to change that requirement for</w:t>
      </w:r>
    </w:p>
    <w:p>
      <w:pPr>
        <w:pStyle w:val="Normal"/>
        <w:widowControl/>
        <w:rPr/>
      </w:pPr>
      <w:r>
        <w:rPr/>
        <w:t>vehicles subject to this alternative regime. 81 Notwithstanding this Article, if a vehicle is covered by an alternative staging regime described in Article 403.6 of NAFTA 1994 as of signature of this Agreement, a transition provided for under this Article may include providing such treatment. 82 During this transition period, the rule of origin for a battery of subheading 8507.60 will be: “A change to a battery of subheading 8507.60, of a kind used as the primary source of electrical power for the propulsion of an electric passenger vehicle or light truck, from within that subheading or from any other subheading. 4-B-1-30 4.</w:t>
      </w:r>
    </w:p>
    <w:p>
      <w:pPr>
        <w:pStyle w:val="Normal"/>
        <w:widowControl/>
        <w:rPr/>
      </w:pPr>
      <w:r>
        <w:rPr/>
        <w:t>The quantities of passenger vehicles or light trucks eligible for the alternative staging regime in paragraph 2 shall be limited to not more than ten percent of a producer’s total passenger vehicle or light truck production, in the territories of the Parties, during the complete 12 month period prior to entry into force of this Agreement, or the average of such production during the complete 36 month period prior to entry into force of this Agreement, whichever is greater.</w:t>
      </w:r>
    </w:p>
    <w:p>
      <w:pPr>
        <w:pStyle w:val="Normal"/>
        <w:widowControl/>
        <w:rPr/>
      </w:pPr>
      <w:r>
        <w:rPr/>
        <w:t>The Parties may decide to increase the number of eligible vehicles for a producer if a vehicle producer can demonstrate, to the satisfaction of the Parties, a detailed and credible plan to ensure these vehicles will meet all the requirements set out in Articles 1 through 6 within five years from entry into force of this Agreement. 5. Each Party shall provide that for a period ending no later than January 1, 2027 or seven years after entry into force of this Agreement, whichever is later, a heavy truck may be originating pursuant to an alternative staging regime to the requirements set out in Articles 2 through 6. 6. A Party may apply an alternative staging regime described in this Article on a producer- by-producer basis.</w:t>
      </w:r>
    </w:p>
    <w:p>
      <w:pPr>
        <w:pStyle w:val="Normal"/>
        <w:widowControl/>
        <w:rPr/>
      </w:pPr>
      <w:r>
        <w:rPr/>
        <w:t>Upon request of one of the Parties, the Parties shall discuss and agree on any appropriate extensions or other modifications to the alternative staging regime described in paragraphs 1 through 4 if the Parties consider that such an extension or modification would result in new investment for vehicle or parts production in the territories of the Parties. 7. A rule of origin applicable to a good as a result of an alternative staging regime provided for under this Article applies in place of any other rule of origin for that good.</w:t>
      </w:r>
    </w:p>
    <w:p>
      <w:pPr>
        <w:pStyle w:val="Normal"/>
        <w:keepNext w:val="true"/>
        <w:widowControl/>
        <w:rPr/>
      </w:pPr>
      <w:r>
        <w:rPr/>
        <w:t>Article 9: Review and Transitional Arrangements 1. The Parties shall, upon request of a Party, review the requirements in this Appendix for passenger vehicles, light truck, and heavy trucks to ensure that they reflect the composition of these vehicles, especially Advanced Technology Vehicles, and in light of technological developments 2. Notwithstanding Article 5 (Averaging), a Party may allow averaging for a producer over a partial fiscal year or partial calendar year if the beginning of the producer’s fiscal year does not coincide with the date of entry into force of this Agreement, or if the date of entry into force of this Agreement does not fall at the beginning of a calendar year, in order to facilitate implementation of the requirements in this Appendix. 3. The Parties shall include additional description or other clarification to this Appendix, as well as matters for implementation of any transition arrangements, in the Uniform Regulations.</w:t>
      </w:r>
    </w:p>
    <w:p>
      <w:pPr>
        <w:pStyle w:val="Normal"/>
        <w:keepNext w:val="true"/>
        <w:widowControl/>
        <w:rPr/>
      </w:pPr>
      <w:r>
        <w:rPr/>
        <w:t>Article 10: Regional Value Content for Other Vehicles 4-B-1-31 1. Notwithstanding the Product-Specific Rules of Origin in Annex 4-B, each Party shall provide that the regional value content requirement is 62.5 percent under the net cost method for: (a) a motor vehicle for the transport of 15 or fewer persons of subheading 8702.10 or 8702.90; a passenger vehicle with a compression-ignition engine as the primary motor of propulsion, a three or four-wheeled motorcycle, a motorhome or entertainer coach, or a vehicle solely or principally for off-road use of subheading 8703.21 through 8703.90; or a vehicle of subheading 8704.21 or 8704.31 that is solely or principally for off-road use; and (b) a good of heading 84.07 or 84.08, or subheading 8708.40, that is for use in a motor vehicle in subparagraph (a). 2.</w:t>
      </w:r>
    </w:p>
    <w:p>
      <w:pPr>
        <w:pStyle w:val="Normal"/>
        <w:widowControl/>
        <w:rPr/>
      </w:pPr>
      <w:r>
        <w:rPr/>
        <w:t>Notwithstanding the Product-Specific Rules of Origin in Annex 4-B, each Party shall provide that the regional value content requirement is 60 percent under the net cost method for: (a) a good that is a motor vehicle of heading 8701, except for subheading 8701.20; a motor vehicle for the transport of 16 or more persons of subheading 8702.10 or 8702.90; a motor vehicle of subheading 8704.10; a motor vehicle of subheading 8704.22, 8704.23, 8704.32, or 8704.90 that is solely or principally for off-road use; a motor vehicle of heading 87.05; or a good of heading 87.06 that is not for use in a passenger vehicle, light truck, or heavy truck; (b) a good of heading 84.07 or 84.08, or subheading 8708.40, that is for use in a motor vehicle in subparagraph (a); or (c) except for a good in paragraph 2(b) or of subheading 8482.10 through 8482.80, 8483.20, or 8483.30, a good in Table F of this Appendix that is subject to a regional value content requirement and that is for use in a motor vehicle in paragraphs 1(a) or 2(a). 3.</w:t>
      </w:r>
    </w:p>
    <w:p>
      <w:pPr>
        <w:pStyle w:val="Normal"/>
        <w:widowControl/>
        <w:rPr/>
      </w:pPr>
      <w:r>
        <w:rPr/>
        <w:t>Each Party shall provide that, for the purposes of calculating the regional value content under the net cost method for a good that is a motor vehicle provided for in paragraph 1(a) or 2(a), a good listed in Table F of this Appendix for use as original equipment in the production of a good in paragraph 1(a), or a component listed in Table G of this Appendix for use as original equipment in the production of the motor vehicle in paragraph 2(a), the value of non-originating materials used by the producer in the production of the good shall be the sum of:</w:t>
      </w:r>
    </w:p>
    <w:p>
      <w:pPr>
        <w:pStyle w:val="Normal"/>
        <w:widowControl/>
        <w:rPr/>
      </w:pPr>
      <w:r>
        <w:rPr/>
        <w:t>(a) for each material used by the producer listed in Table F or Table G, whether or not produced by the producer, at the choice of the producer and determined in accordance with Article 4.5 (Regional Value Content), either (i) the value of such material that is non-originating, or 4-B-1-32 (ii) the value of non-originating materials used in the production of such material; and (b) the value of any other non-originating material used by the producer that is not listed in Table F or Table G of this Appendix, determined in accordance with Article 4.5 (Regional Value Content). 4.</w:t>
      </w:r>
    </w:p>
    <w:p>
      <w:pPr>
        <w:pStyle w:val="Normal"/>
        <w:widowControl/>
        <w:rPr/>
      </w:pPr>
      <w:r>
        <w:rPr/>
        <w:t>Each Party shall provide that, for purposes of calculating the regional value content of a motor vehicle covered by paragraph 1 or 2, the producer may average its calculation over its fiscal year, using any one of the following categories, on the basis of either all motor vehicles in the category or only those motor vehicles in the category that are exported to the territory of one or more of the other Parties: (a) the same model line of motor vehicles in the same class of vehicles produced in the same plant in the territory of a Party; (b) the same class of motor vehicles produced in the same plant in the territory of a Party; or (c) the same model line of motor vehicles produced in the territory of a Party. 5. Each Party shall provide that, for purposes of calculating the regional value content for a good listed in Table F of this Appendix, or a component or material listed in Table G of this Appendix, produced in the same plant, the producer of the good may:</w:t>
      </w:r>
    </w:p>
    <w:p>
      <w:pPr>
        <w:pStyle w:val="Normal"/>
        <w:widowControl/>
        <w:rPr/>
      </w:pPr>
      <w:r>
        <w:rPr/>
        <w:t>(a) average its calculation: (i) over the fiscal year of the motor vehicle producer to whom the good is sold, (ii) over any quarter or month, or (iii) over its fiscal year, if the good is sold as an aftermarket part; (b) calculate the average referred to in subparagraph (a) separately for a good sold to one or more motor vehicle producers; or (c) with respect to any calculation under this paragraph, calculate the average separately for goods that are exported to the territory of one or more of the Parties. 6.</w:t>
      </w:r>
    </w:p>
    <w:p>
      <w:pPr>
        <w:pStyle w:val="Normal"/>
        <w:widowControl/>
        <w:rPr/>
      </w:pPr>
      <w:r>
        <w:rPr/>
        <w:t>The regional value content requirement for a motor vehicle identified in paragraph 1 or 2 of this Article shall be: 4-B-1-33 (a) 50 percent for five years after the date on which the first motor vehicle prototype is produced in a plant by a motor vehicle assembler, if:</w:t>
      </w:r>
    </w:p>
    <w:p>
      <w:pPr>
        <w:widowControl/>
      </w:pPr>
      <w:r>
        <w:rPr>
          <w:b w:val="0"/>
        </w:rPr>
        <w:t>(i) it is a motor vehicle of a class, or marque, or, except for a motor vehicle identified in paragraph 2, size category and underbody, not previously produced by the motor vehicle assembler in the territory of any of the Parties, (ii) the plant consists of a new building in which the motor vehicle is assembled, and (iii) the plant contains substantially all new machinery that is used in the assembly of the motor vehicle; or (b) 50 percent for two years after the date on which the first motor vehicle prototype is produced at a plant following a refit, if it is a different motor vehicle of a class, or marque, or, except for a motor vehicle identified in paragraph 2, size category and underbody, than was assembled by the motor vehicle assembler in the plant before the refit. 4-B-1-34</w:t>
      </w:r>
    </w:p>
    <w:p>
      <w:pPr>
        <w:widowControl/>
      </w:pPr>
      <w:r>
        <w:rPr>
          <w:b/>
        </w:rPr>
        <w:t>TABLE A.1 — CORE PARTS FOR PASSENGER VEHICLES AND LIGHT TRUCKS</w:t>
      </w:r>
    </w:p>
    <w:p>
      <w:pPr>
        <w:widowControl/>
      </w:pPr>
      <w:r>
        <w:rPr>
          <w:b w:val="0"/>
        </w:rPr>
        <w:t>Note: The Regional Value Content requirements set out in Article 3 of this Appendix apply to a good for use in a passenger vehicle or light truck.</w:t>
      </w:r>
    </w:p>
    <w:tbl>
      <w:tblPr>
        <w:tblStyle w:val="TableGrid"/>
        <w:tblW w:type="auto" w:w="0"/>
        <w:jc w:val="center"/>
        <w:tblLayout w:type="autofit"/>
        <w:tblLook w:firstColumn="1" w:firstRow="1" w:lastColumn="0" w:lastRow="0" w:noHBand="0" w:noVBand="1" w:val="04A0"/>
      </w:tblPr>
      <w:tblGrid>
        <w:gridCol w:w="4680"/>
        <w:gridCol w:w="4680"/>
      </w:tblGrid>
      <w:tr>
        <w:trPr>
          <w:tblHeader w:val="true"/>
          <w:cantSplit/>
          <w:tblHeader w:val="true"/>
        </w:trPr>
        <w:tc>
          <w:tcPr>
            <w:tcW w:type="dxa" w:w="4680"/>
            <w:shd w:fill="233746"/>
          </w:tcPr>
          <w:p>
            <w:pPr>
              <w:spacing w:after="0"/>
            </w:pPr>
            <w:r>
              <w:rPr>
                <w:rFonts w:ascii="Arial" w:hAnsi="Arial"/>
                <w:b/>
                <w:color w:val="FFFFFF"/>
                <w:sz w:val="17"/>
              </w:rPr>
              <w:t>HS Provision</w:t>
            </w:r>
          </w:p>
        </w:tc>
        <w:tc>
          <w:tcPr>
            <w:tcW w:type="dxa" w:w="4680"/>
            <w:shd w:fill="233746"/>
          </w:tcPr>
          <w:p>
            <w:pPr>
              <w:spacing w:after="0"/>
            </w:pPr>
            <w:r>
              <w:rPr>
                <w:rFonts w:ascii="Arial" w:hAnsi="Arial"/>
                <w:b/>
                <w:color w:val="FFFFFF"/>
                <w:sz w:val="17"/>
              </w:rPr>
              <w:t>Description</w:t>
            </w:r>
          </w:p>
        </w:tc>
      </w:tr>
      <w:tr>
        <w:trPr>
          <w:cantSplit/>
        </w:trPr>
        <w:tc>
          <w:tcPr>
            <w:tcW w:type="dxa" w:w="4680"/>
            <w:tcMar>
              <w:top w:w="70" w:type="dxa"/>
              <w:start w:w="110" w:type="dxa"/>
              <w:bottom w:w="70" w:type="dxa"/>
              <w:end w:w="110" w:type="dxa"/>
            </w:tcMar>
          </w:tcPr>
          <w:p>
            <w:pPr>
              <w:widowControl/>
              <w:spacing w:after="0"/>
            </w:pPr>
            <w:r>
              <w:rPr>
                <w:rFonts w:ascii="Arial" w:hAnsi="Arial"/>
                <w:sz w:val="17"/>
              </w:rPr>
              <w:t>8407.31</w:t>
            </w:r>
          </w:p>
        </w:tc>
        <w:tc>
          <w:tcPr>
            <w:tcW w:type="dxa" w:w="4680"/>
            <w:tcMar>
              <w:top w:w="70" w:type="dxa"/>
              <w:start w:w="110" w:type="dxa"/>
              <w:bottom w:w="70" w:type="dxa"/>
              <w:end w:w="110" w:type="dxa"/>
            </w:tcMar>
          </w:tcPr>
          <w:p>
            <w:pPr>
              <w:widowControl/>
              <w:spacing w:after="0"/>
            </w:pPr>
            <w:r>
              <w:rPr>
                <w:rFonts w:ascii="Arial" w:hAnsi="Arial"/>
                <w:sz w:val="17"/>
              </w:rPr>
              <w:t>Reciprocating piston engines of a kind used for the propulsion of passenger vehicles of Chapter 87, of a cylinder capacity not exceeding 50 cc</w:t>
            </w:r>
          </w:p>
        </w:tc>
      </w:tr>
      <w:tr>
        <w:trPr>
          <w:cantSplit/>
        </w:trPr>
        <w:tc>
          <w:tcPr>
            <w:tcW w:type="dxa" w:w="4680"/>
            <w:tcMar>
              <w:top w:w="70" w:type="dxa"/>
              <w:start w:w="110" w:type="dxa"/>
              <w:bottom w:w="70" w:type="dxa"/>
              <w:end w:w="110" w:type="dxa"/>
            </w:tcMar>
            <w:shd w:fill="F4F6F7"/>
          </w:tcPr>
          <w:p>
            <w:pPr>
              <w:widowControl/>
              <w:spacing w:after="0"/>
            </w:pPr>
            <w:r>
              <w:rPr>
                <w:rFonts w:ascii="Arial" w:hAnsi="Arial"/>
                <w:sz w:val="17"/>
              </w:rPr>
              <w:t>8407.32</w:t>
            </w:r>
          </w:p>
        </w:tc>
        <w:tc>
          <w:tcPr>
            <w:tcW w:type="dxa" w:w="4680"/>
            <w:tcMar>
              <w:top w:w="70" w:type="dxa"/>
              <w:start w:w="110" w:type="dxa"/>
              <w:bottom w:w="70" w:type="dxa"/>
              <w:end w:w="110" w:type="dxa"/>
            </w:tcMar>
            <w:shd w:fill="F4F6F7"/>
          </w:tcPr>
          <w:p>
            <w:pPr>
              <w:widowControl/>
              <w:spacing w:after="0"/>
            </w:pPr>
            <w:r>
              <w:rPr>
                <w:rFonts w:ascii="Arial" w:hAnsi="Arial"/>
                <w:sz w:val="17"/>
              </w:rPr>
              <w:t>Reciprocating piston engines of a kind used for the propulsion of vehicles of Chapter 87, of a cylinder capacity exceeding 50 cc but not exceeding 250 cc</w:t>
            </w:r>
          </w:p>
        </w:tc>
      </w:tr>
      <w:tr>
        <w:trPr>
          <w:cantSplit/>
        </w:trPr>
        <w:tc>
          <w:tcPr>
            <w:tcW w:type="dxa" w:w="4680"/>
            <w:tcMar>
              <w:top w:w="70" w:type="dxa"/>
              <w:start w:w="110" w:type="dxa"/>
              <w:bottom w:w="70" w:type="dxa"/>
              <w:end w:w="110" w:type="dxa"/>
            </w:tcMar>
          </w:tcPr>
          <w:p>
            <w:pPr>
              <w:widowControl/>
              <w:spacing w:after="0"/>
            </w:pPr>
            <w:r>
              <w:rPr>
                <w:rFonts w:ascii="Arial" w:hAnsi="Arial"/>
                <w:sz w:val="17"/>
              </w:rPr>
              <w:t>8407.33</w:t>
            </w:r>
          </w:p>
        </w:tc>
        <w:tc>
          <w:tcPr>
            <w:tcW w:type="dxa" w:w="4680"/>
            <w:tcMar>
              <w:top w:w="70" w:type="dxa"/>
              <w:start w:w="110" w:type="dxa"/>
              <w:bottom w:w="70" w:type="dxa"/>
              <w:end w:w="110" w:type="dxa"/>
            </w:tcMar>
          </w:tcPr>
          <w:p>
            <w:pPr>
              <w:widowControl/>
              <w:spacing w:after="0"/>
            </w:pPr>
            <w:r>
              <w:rPr>
                <w:rFonts w:ascii="Arial" w:hAnsi="Arial"/>
                <w:sz w:val="17"/>
              </w:rPr>
              <w:t>Reciprocating piston engines of a kind used for the propulsion of vehicles of Chapter 87, of a cylinder capacity exceeding 250 cc but not exceeding 1,000 cc</w:t>
            </w:r>
          </w:p>
        </w:tc>
      </w:tr>
      <w:tr>
        <w:trPr>
          <w:cantSplit/>
        </w:trPr>
        <w:tc>
          <w:tcPr>
            <w:tcW w:type="dxa" w:w="4680"/>
            <w:tcMar>
              <w:top w:w="70" w:type="dxa"/>
              <w:start w:w="110" w:type="dxa"/>
              <w:bottom w:w="70" w:type="dxa"/>
              <w:end w:w="110" w:type="dxa"/>
            </w:tcMar>
            <w:shd w:fill="F4F6F7"/>
          </w:tcPr>
          <w:p>
            <w:pPr>
              <w:widowControl/>
              <w:spacing w:after="0"/>
            </w:pPr>
            <w:r>
              <w:rPr>
                <w:rFonts w:ascii="Arial" w:hAnsi="Arial"/>
                <w:sz w:val="17"/>
              </w:rPr>
              <w:t>8407.34</w:t>
            </w:r>
          </w:p>
        </w:tc>
        <w:tc>
          <w:tcPr>
            <w:tcW w:type="dxa" w:w="4680"/>
            <w:tcMar>
              <w:top w:w="70" w:type="dxa"/>
              <w:start w:w="110" w:type="dxa"/>
              <w:bottom w:w="70" w:type="dxa"/>
              <w:end w:w="110" w:type="dxa"/>
            </w:tcMar>
            <w:shd w:fill="F4F6F7"/>
          </w:tcPr>
          <w:p>
            <w:pPr>
              <w:widowControl/>
              <w:spacing w:after="0"/>
            </w:pPr>
            <w:r>
              <w:rPr>
                <w:rFonts w:ascii="Arial" w:hAnsi="Arial"/>
                <w:sz w:val="17"/>
              </w:rPr>
              <w:t>Reciprocating piston engines of a kind used for the propulsion of vehicles of Chapter 87, of a cylinder capacity exceeding 1,000 cc</w:t>
            </w:r>
          </w:p>
        </w:tc>
      </w:tr>
      <w:tr>
        <w:trPr>
          <w:cantSplit/>
        </w:trPr>
        <w:tc>
          <w:tcPr>
            <w:tcW w:type="dxa" w:w="4680"/>
            <w:tcMar>
              <w:top w:w="70" w:type="dxa"/>
              <w:start w:w="110" w:type="dxa"/>
              <w:bottom w:w="70" w:type="dxa"/>
              <w:end w:w="110" w:type="dxa"/>
            </w:tcMar>
          </w:tcPr>
          <w:p>
            <w:pPr>
              <w:widowControl/>
              <w:spacing w:after="0"/>
            </w:pPr>
            <w:r>
              <w:rPr>
                <w:rFonts w:ascii="Arial" w:hAnsi="Arial"/>
                <w:sz w:val="17"/>
              </w:rPr>
              <w:t>Ex 8408.20</w:t>
            </w:r>
          </w:p>
        </w:tc>
        <w:tc>
          <w:tcPr>
            <w:tcW w:type="dxa" w:w="4680"/>
            <w:tcMar>
              <w:top w:w="70" w:type="dxa"/>
              <w:start w:w="110" w:type="dxa"/>
              <w:bottom w:w="70" w:type="dxa"/>
              <w:end w:w="110" w:type="dxa"/>
            </w:tcMar>
          </w:tcPr>
          <w:p>
            <w:pPr>
              <w:widowControl/>
              <w:spacing w:after="0"/>
            </w:pPr>
            <w:r>
              <w:rPr>
                <w:rFonts w:ascii="Arial" w:hAnsi="Arial"/>
                <w:sz w:val="17"/>
              </w:rPr>
              <w:t>Compression-ignition internal combustion piston engines of a kind used for the propulsion of vehicles of subheading</w:t>
            </w:r>
          </w:p>
        </w:tc>
      </w:tr>
      <w:tr>
        <w:trPr>
          <w:cantSplit/>
        </w:trPr>
        <w:tc>
          <w:tcPr>
            <w:tcW w:type="dxa" w:w="4680"/>
            <w:tcMar>
              <w:top w:w="70" w:type="dxa"/>
              <w:start w:w="110" w:type="dxa"/>
              <w:bottom w:w="70" w:type="dxa"/>
              <w:end w:w="110" w:type="dxa"/>
            </w:tcMar>
            <w:shd w:fill="F4F6F7"/>
          </w:tcPr>
          <w:p>
            <w:pPr>
              <w:widowControl/>
              <w:spacing w:after="0"/>
            </w:pPr>
            <w:r>
              <w:rPr>
                <w:rFonts w:ascii="Arial" w:hAnsi="Arial"/>
                <w:sz w:val="17"/>
              </w:rPr>
              <w:t>8704.21</w:t>
            </w:r>
          </w:p>
        </w:tc>
        <w:tc>
          <w:tcPr>
            <w:tcW w:type="dxa" w:w="4680"/>
            <w:tcMar>
              <w:top w:w="70" w:type="dxa"/>
              <w:start w:w="110" w:type="dxa"/>
              <w:bottom w:w="70" w:type="dxa"/>
              <w:end w:w="110" w:type="dxa"/>
            </w:tcMar>
            <w:shd w:fill="F4F6F7"/>
          </w:tcPr>
          <w:p>
            <w:pPr>
              <w:widowControl/>
              <w:spacing w:after="0"/>
            </w:pPr>
            <w:r>
              <w:rPr>
                <w:rFonts w:ascii="Arial" w:hAnsi="Arial"/>
                <w:sz w:val="17"/>
              </w:rPr>
              <w:t>or</w:t>
            </w:r>
          </w:p>
        </w:tc>
      </w:tr>
      <w:tr>
        <w:trPr>
          <w:cantSplit/>
        </w:trPr>
        <w:tc>
          <w:tcPr>
            <w:tcW w:type="dxa" w:w="4680"/>
            <w:tcMar>
              <w:top w:w="70" w:type="dxa"/>
              <w:start w:w="110" w:type="dxa"/>
              <w:bottom w:w="70" w:type="dxa"/>
              <w:end w:w="110" w:type="dxa"/>
            </w:tcMar>
          </w:tcPr>
          <w:p>
            <w:pPr>
              <w:widowControl/>
              <w:spacing w:after="0"/>
            </w:pPr>
            <w:r>
              <w:rPr>
                <w:rFonts w:ascii="Arial" w:hAnsi="Arial"/>
                <w:sz w:val="17"/>
              </w:rPr>
              <w:t>8704.31</w:t>
            </w:r>
          </w:p>
        </w:tc>
        <w:tc>
          <w:tcPr>
            <w:tcW w:type="dxa" w:w="4680"/>
            <w:tcMar>
              <w:top w:w="70" w:type="dxa"/>
              <w:start w:w="110" w:type="dxa"/>
              <w:bottom w:w="70" w:type="dxa"/>
              <w:end w:w="110" w:type="dxa"/>
            </w:tcMar>
          </w:tcPr>
          <w:p>
            <w:pPr>
              <w:widowControl/>
              <w:spacing w:after="0"/>
            </w:pPr>
            <w:r>
              <w:rPr>
                <w:rFonts w:ascii="Arial" w:hAnsi="Arial"/>
                <w:sz w:val="17"/>
              </w:rPr>
            </w:r>
          </w:p>
        </w:tc>
      </w:tr>
      <w:tr>
        <w:trPr>
          <w:cantSplit/>
        </w:trPr>
        <w:tc>
          <w:tcPr>
            <w:tcW w:type="dxa" w:w="4680"/>
            <w:tcMar>
              <w:top w:w="70" w:type="dxa"/>
              <w:start w:w="110" w:type="dxa"/>
              <w:bottom w:w="70" w:type="dxa"/>
              <w:end w:w="110" w:type="dxa"/>
            </w:tcMar>
            <w:shd w:fill="F4F6F7"/>
          </w:tcPr>
          <w:p>
            <w:pPr>
              <w:widowControl/>
              <w:spacing w:after="0"/>
            </w:pPr>
            <w:r>
              <w:rPr>
                <w:rFonts w:ascii="Arial" w:hAnsi="Arial"/>
                <w:sz w:val="17"/>
              </w:rPr>
              <w:t>8409.91</w:t>
            </w:r>
          </w:p>
        </w:tc>
        <w:tc>
          <w:tcPr>
            <w:tcW w:type="dxa" w:w="4680"/>
            <w:tcMar>
              <w:top w:w="70" w:type="dxa"/>
              <w:start w:w="110" w:type="dxa"/>
              <w:bottom w:w="70" w:type="dxa"/>
              <w:end w:w="110" w:type="dxa"/>
            </w:tcMar>
            <w:shd w:fill="F4F6F7"/>
          </w:tcPr>
          <w:p>
            <w:pPr>
              <w:widowControl/>
              <w:spacing w:after="0"/>
            </w:pPr>
            <w:r>
              <w:rPr>
                <w:rFonts w:ascii="Arial" w:hAnsi="Arial"/>
                <w:sz w:val="17"/>
              </w:rPr>
              <w:t>Parts suitable for use solely or principally with the engines of heading 84.07 or 84.08, suitable for use solely or principally with spark-ignition internal combustion piston engines</w:t>
            </w:r>
          </w:p>
        </w:tc>
      </w:tr>
      <w:tr>
        <w:trPr>
          <w:cantSplit/>
        </w:trPr>
        <w:tc>
          <w:tcPr>
            <w:tcW w:type="dxa" w:w="4680"/>
            <w:tcMar>
              <w:top w:w="70" w:type="dxa"/>
              <w:start w:w="110" w:type="dxa"/>
              <w:bottom w:w="70" w:type="dxa"/>
              <w:end w:w="110" w:type="dxa"/>
            </w:tcMar>
          </w:tcPr>
          <w:p>
            <w:pPr>
              <w:widowControl/>
              <w:spacing w:after="0"/>
            </w:pPr>
            <w:r>
              <w:rPr>
                <w:rFonts w:ascii="Arial" w:hAnsi="Arial"/>
                <w:sz w:val="17"/>
              </w:rPr>
              <w:t>8409.99</w:t>
            </w:r>
          </w:p>
        </w:tc>
        <w:tc>
          <w:tcPr>
            <w:tcW w:type="dxa" w:w="4680"/>
            <w:tcMar>
              <w:top w:w="70" w:type="dxa"/>
              <w:start w:w="110" w:type="dxa"/>
              <w:bottom w:w="70" w:type="dxa"/>
              <w:end w:w="110" w:type="dxa"/>
            </w:tcMar>
          </w:tcPr>
          <w:p>
            <w:pPr>
              <w:widowControl/>
              <w:spacing w:after="0"/>
            </w:pPr>
            <w:r>
              <w:rPr>
                <w:rFonts w:ascii="Arial" w:hAnsi="Arial"/>
                <w:sz w:val="17"/>
              </w:rPr>
              <w:t>Parts suitable for use solely or principally with the engines of heading 84.07 or 84.08, other</w:t>
            </w:r>
          </w:p>
        </w:tc>
      </w:tr>
      <w:tr>
        <w:trPr>
          <w:cantSplit/>
        </w:trPr>
        <w:tc>
          <w:tcPr>
            <w:tcW w:type="dxa" w:w="4680"/>
            <w:tcMar>
              <w:top w:w="70" w:type="dxa"/>
              <w:start w:w="110" w:type="dxa"/>
              <w:bottom w:w="70" w:type="dxa"/>
              <w:end w:w="110" w:type="dxa"/>
            </w:tcMar>
            <w:shd w:fill="F4F6F7"/>
          </w:tcPr>
          <w:p>
            <w:pPr>
              <w:widowControl/>
              <w:spacing w:after="0"/>
            </w:pPr>
            <w:r>
              <w:rPr>
                <w:rFonts w:ascii="Arial" w:hAnsi="Arial"/>
                <w:sz w:val="17"/>
              </w:rPr>
              <w:t>8507.60</w:t>
            </w:r>
          </w:p>
        </w:tc>
        <w:tc>
          <w:tcPr>
            <w:tcW w:type="dxa" w:w="4680"/>
            <w:tcMar>
              <w:top w:w="70" w:type="dxa"/>
              <w:start w:w="110" w:type="dxa"/>
              <w:bottom w:w="70" w:type="dxa"/>
              <w:end w:w="110" w:type="dxa"/>
            </w:tcMar>
            <w:shd w:fill="F4F6F7"/>
          </w:tcPr>
          <w:p>
            <w:pPr>
              <w:widowControl/>
              <w:spacing w:after="0"/>
            </w:pPr>
            <w:r>
              <w:rPr>
                <w:rFonts w:ascii="Arial" w:hAnsi="Arial"/>
                <w:sz w:val="17"/>
              </w:rPr>
              <w:t>Lithium-ion batteries</w:t>
            </w:r>
          </w:p>
        </w:tc>
      </w:tr>
      <w:tr>
        <w:trPr>
          <w:cantSplit/>
        </w:trPr>
        <w:tc>
          <w:tcPr>
            <w:tcW w:type="dxa" w:w="4680"/>
            <w:tcMar>
              <w:top w:w="70" w:type="dxa"/>
              <w:start w:w="110" w:type="dxa"/>
              <w:bottom w:w="70" w:type="dxa"/>
              <w:end w:w="110" w:type="dxa"/>
            </w:tcMar>
          </w:tcPr>
          <w:p>
            <w:pPr>
              <w:widowControl/>
              <w:spacing w:after="0"/>
            </w:pPr>
            <w:r>
              <w:rPr>
                <w:rFonts w:ascii="Arial" w:hAnsi="Arial"/>
                <w:sz w:val="17"/>
              </w:rPr>
              <w:t>8706.00</w:t>
            </w:r>
          </w:p>
        </w:tc>
        <w:tc>
          <w:tcPr>
            <w:tcW w:type="dxa" w:w="4680"/>
            <w:tcMar>
              <w:top w:w="70" w:type="dxa"/>
              <w:start w:w="110" w:type="dxa"/>
              <w:bottom w:w="70" w:type="dxa"/>
              <w:end w:w="110" w:type="dxa"/>
            </w:tcMar>
          </w:tcPr>
          <w:p>
            <w:pPr>
              <w:widowControl/>
              <w:spacing w:after="0"/>
            </w:pPr>
            <w:r>
              <w:rPr>
                <w:rFonts w:ascii="Arial" w:hAnsi="Arial"/>
                <w:sz w:val="17"/>
              </w:rPr>
              <w:t>Chassis fitted with engines, for the motor vehicles of heading 87.03 or subheading</w:t>
            </w:r>
          </w:p>
        </w:tc>
      </w:tr>
      <w:tr>
        <w:trPr>
          <w:cantSplit/>
        </w:trPr>
        <w:tc>
          <w:tcPr>
            <w:tcW w:type="dxa" w:w="4680"/>
            <w:tcMar>
              <w:top w:w="70" w:type="dxa"/>
              <w:start w:w="110" w:type="dxa"/>
              <w:bottom w:w="70" w:type="dxa"/>
              <w:end w:w="110" w:type="dxa"/>
            </w:tcMar>
            <w:shd w:fill="F4F6F7"/>
          </w:tcPr>
          <w:p>
            <w:pPr>
              <w:widowControl/>
              <w:spacing w:after="0"/>
            </w:pPr>
            <w:r>
              <w:rPr>
                <w:rFonts w:ascii="Arial" w:hAnsi="Arial"/>
                <w:sz w:val="17"/>
              </w:rPr>
              <w:t>8704.21</w:t>
            </w:r>
          </w:p>
        </w:tc>
        <w:tc>
          <w:tcPr>
            <w:tcW w:type="dxa" w:w="4680"/>
            <w:tcMar>
              <w:top w:w="70" w:type="dxa"/>
              <w:start w:w="110" w:type="dxa"/>
              <w:bottom w:w="70" w:type="dxa"/>
              <w:end w:w="110" w:type="dxa"/>
            </w:tcMar>
            <w:shd w:fill="F4F6F7"/>
          </w:tcPr>
          <w:p>
            <w:pPr>
              <w:widowControl/>
              <w:spacing w:after="0"/>
            </w:pPr>
            <w:r>
              <w:rPr>
                <w:rFonts w:ascii="Arial" w:hAnsi="Arial"/>
                <w:sz w:val="17"/>
              </w:rPr>
              <w:t>or</w:t>
            </w:r>
          </w:p>
        </w:tc>
      </w:tr>
      <w:tr>
        <w:trPr>
          <w:cantSplit/>
        </w:trPr>
        <w:tc>
          <w:tcPr>
            <w:tcW w:type="dxa" w:w="4680"/>
            <w:tcMar>
              <w:top w:w="70" w:type="dxa"/>
              <w:start w:w="110" w:type="dxa"/>
              <w:bottom w:w="70" w:type="dxa"/>
              <w:end w:w="110" w:type="dxa"/>
            </w:tcMar>
          </w:tcPr>
          <w:p>
            <w:pPr>
              <w:widowControl/>
              <w:spacing w:after="0"/>
            </w:pPr>
            <w:r>
              <w:rPr>
                <w:rFonts w:ascii="Arial" w:hAnsi="Arial"/>
                <w:sz w:val="17"/>
              </w:rPr>
              <w:t>8704.31</w:t>
            </w:r>
          </w:p>
        </w:tc>
        <w:tc>
          <w:tcPr>
            <w:tcW w:type="dxa" w:w="4680"/>
            <w:tcMar>
              <w:top w:w="70" w:type="dxa"/>
              <w:start w:w="110" w:type="dxa"/>
              <w:bottom w:w="70" w:type="dxa"/>
              <w:end w:w="110" w:type="dxa"/>
            </w:tcMar>
          </w:tcPr>
          <w:p>
            <w:pPr>
              <w:widowControl/>
              <w:spacing w:after="0"/>
            </w:pPr>
            <w:r>
              <w:rPr>
                <w:rFonts w:ascii="Arial" w:hAnsi="Arial"/>
                <w:sz w:val="17"/>
              </w:rPr>
            </w:r>
          </w:p>
        </w:tc>
      </w:tr>
      <w:tr>
        <w:trPr>
          <w:cantSplit/>
        </w:trPr>
        <w:tc>
          <w:tcPr>
            <w:tcW w:type="dxa" w:w="4680"/>
            <w:tcMar>
              <w:top w:w="70" w:type="dxa"/>
              <w:start w:w="110" w:type="dxa"/>
              <w:bottom w:w="70" w:type="dxa"/>
              <w:end w:w="110" w:type="dxa"/>
            </w:tcMar>
            <w:shd w:fill="F4F6F7"/>
          </w:tcPr>
          <w:p>
            <w:pPr>
              <w:widowControl/>
              <w:spacing w:after="0"/>
            </w:pPr>
            <w:r>
              <w:rPr>
                <w:rFonts w:ascii="Arial" w:hAnsi="Arial"/>
                <w:sz w:val="17"/>
              </w:rPr>
              <w:t>8707.10</w:t>
            </w:r>
          </w:p>
        </w:tc>
        <w:tc>
          <w:tcPr>
            <w:tcW w:type="dxa" w:w="4680"/>
            <w:tcMar>
              <w:top w:w="70" w:type="dxa"/>
              <w:start w:w="110" w:type="dxa"/>
              <w:bottom w:w="70" w:type="dxa"/>
              <w:end w:w="110" w:type="dxa"/>
            </w:tcMar>
            <w:shd w:fill="F4F6F7"/>
          </w:tcPr>
          <w:p>
            <w:pPr>
              <w:widowControl/>
              <w:spacing w:after="0"/>
            </w:pPr>
            <w:r>
              <w:rPr>
                <w:rFonts w:ascii="Arial" w:hAnsi="Arial"/>
                <w:sz w:val="17"/>
              </w:rPr>
              <w:t>Bodies for the vehicles of heading 87.03</w:t>
            </w:r>
          </w:p>
        </w:tc>
      </w:tr>
      <w:tr>
        <w:trPr>
          <w:cantSplit/>
        </w:trPr>
        <w:tc>
          <w:tcPr>
            <w:tcW w:type="dxa" w:w="4680"/>
            <w:tcMar>
              <w:top w:w="70" w:type="dxa"/>
              <w:start w:w="110" w:type="dxa"/>
              <w:bottom w:w="70" w:type="dxa"/>
              <w:end w:w="110" w:type="dxa"/>
            </w:tcMar>
          </w:tcPr>
          <w:p>
            <w:pPr>
              <w:widowControl/>
              <w:spacing w:after="0"/>
            </w:pPr>
            <w:r>
              <w:rPr>
                <w:rFonts w:ascii="Arial" w:hAnsi="Arial"/>
                <w:sz w:val="17"/>
              </w:rPr>
              <w:t>8707.90</w:t>
            </w:r>
          </w:p>
        </w:tc>
        <w:tc>
          <w:tcPr>
            <w:tcW w:type="dxa" w:w="4680"/>
            <w:tcMar>
              <w:top w:w="70" w:type="dxa"/>
              <w:start w:w="110" w:type="dxa"/>
              <w:bottom w:w="70" w:type="dxa"/>
              <w:end w:w="110" w:type="dxa"/>
            </w:tcMar>
          </w:tcPr>
          <w:p>
            <w:pPr>
              <w:widowControl/>
              <w:spacing w:after="0"/>
            </w:pPr>
            <w:r>
              <w:rPr>
                <w:rFonts w:ascii="Arial" w:hAnsi="Arial"/>
                <w:sz w:val="17"/>
              </w:rPr>
              <w:t>Bodies for the vehicles of subheading</w:t>
            </w:r>
          </w:p>
        </w:tc>
      </w:tr>
      <w:tr>
        <w:trPr>
          <w:cantSplit/>
        </w:trPr>
        <w:tc>
          <w:tcPr>
            <w:tcW w:type="dxa" w:w="4680"/>
            <w:tcMar>
              <w:top w:w="70" w:type="dxa"/>
              <w:start w:w="110" w:type="dxa"/>
              <w:bottom w:w="70" w:type="dxa"/>
              <w:end w:w="110" w:type="dxa"/>
            </w:tcMar>
            <w:shd w:fill="F4F6F7"/>
          </w:tcPr>
          <w:p>
            <w:pPr>
              <w:widowControl/>
              <w:spacing w:after="0"/>
            </w:pPr>
            <w:r>
              <w:rPr>
                <w:rFonts w:ascii="Arial" w:hAnsi="Arial"/>
                <w:sz w:val="17"/>
              </w:rPr>
              <w:t>8704.21</w:t>
            </w:r>
          </w:p>
        </w:tc>
        <w:tc>
          <w:tcPr>
            <w:tcW w:type="dxa" w:w="4680"/>
            <w:tcMar>
              <w:top w:w="70" w:type="dxa"/>
              <w:start w:w="110" w:type="dxa"/>
              <w:bottom w:w="70" w:type="dxa"/>
              <w:end w:w="110" w:type="dxa"/>
            </w:tcMar>
            <w:shd w:fill="F4F6F7"/>
          </w:tcPr>
          <w:p>
            <w:pPr>
              <w:widowControl/>
              <w:spacing w:after="0"/>
            </w:pPr>
            <w:r>
              <w:rPr>
                <w:rFonts w:ascii="Arial" w:hAnsi="Arial"/>
                <w:sz w:val="17"/>
              </w:rPr>
              <w:t>or</w:t>
            </w:r>
          </w:p>
        </w:tc>
      </w:tr>
      <w:tr>
        <w:trPr>
          <w:cantSplit/>
        </w:trPr>
        <w:tc>
          <w:tcPr>
            <w:tcW w:type="dxa" w:w="4680"/>
            <w:tcMar>
              <w:top w:w="70" w:type="dxa"/>
              <w:start w:w="110" w:type="dxa"/>
              <w:bottom w:w="70" w:type="dxa"/>
              <w:end w:w="110" w:type="dxa"/>
            </w:tcMar>
          </w:tcPr>
          <w:p>
            <w:pPr>
              <w:widowControl/>
              <w:spacing w:after="0"/>
            </w:pPr>
            <w:r>
              <w:rPr>
                <w:rFonts w:ascii="Arial" w:hAnsi="Arial"/>
                <w:sz w:val="17"/>
              </w:rPr>
              <w:t>8704.31</w:t>
            </w:r>
          </w:p>
        </w:tc>
        <w:tc>
          <w:tcPr>
            <w:tcW w:type="dxa" w:w="4680"/>
            <w:tcMar>
              <w:top w:w="70" w:type="dxa"/>
              <w:start w:w="110" w:type="dxa"/>
              <w:bottom w:w="70" w:type="dxa"/>
              <w:end w:w="110" w:type="dxa"/>
            </w:tcMar>
          </w:tcPr>
          <w:p>
            <w:pPr>
              <w:widowControl/>
              <w:spacing w:after="0"/>
            </w:pPr>
            <w:r>
              <w:rPr>
                <w:rFonts w:ascii="Arial" w:hAnsi="Arial"/>
                <w:sz w:val="17"/>
              </w:rPr>
            </w:r>
          </w:p>
        </w:tc>
      </w:tr>
      <w:tr>
        <w:trPr>
          <w:cantSplit/>
        </w:trPr>
        <w:tc>
          <w:tcPr>
            <w:tcW w:type="dxa" w:w="4680"/>
            <w:tcMar>
              <w:top w:w="70" w:type="dxa"/>
              <w:start w:w="110" w:type="dxa"/>
              <w:bottom w:w="70" w:type="dxa"/>
              <w:end w:w="110" w:type="dxa"/>
            </w:tcMar>
            <w:shd w:fill="F4F6F7"/>
          </w:tcPr>
          <w:p>
            <w:pPr>
              <w:widowControl/>
              <w:spacing w:after="0"/>
            </w:pPr>
            <w:r>
              <w:rPr>
                <w:rFonts w:ascii="Arial" w:hAnsi="Arial"/>
                <w:sz w:val="17"/>
              </w:rPr>
              <w:t>Ex 8708.29</w:t>
            </w:r>
          </w:p>
        </w:tc>
        <w:tc>
          <w:tcPr>
            <w:tcW w:type="dxa" w:w="4680"/>
            <w:tcMar>
              <w:top w:w="70" w:type="dxa"/>
              <w:start w:w="110" w:type="dxa"/>
              <w:bottom w:w="70" w:type="dxa"/>
              <w:end w:w="110" w:type="dxa"/>
            </w:tcMar>
            <w:shd w:fill="F4F6F7"/>
          </w:tcPr>
          <w:p>
            <w:pPr>
              <w:widowControl/>
              <w:spacing w:after="0"/>
            </w:pPr>
            <w:r>
              <w:rPr>
                <w:rFonts w:ascii="Arial" w:hAnsi="Arial"/>
                <w:sz w:val="17"/>
              </w:rPr>
              <w:t>Body stampings</w:t>
            </w:r>
          </w:p>
        </w:tc>
      </w:tr>
      <w:tr>
        <w:trPr>
          <w:cantSplit/>
        </w:trPr>
        <w:tc>
          <w:tcPr>
            <w:tcW w:type="dxa" w:w="4680"/>
            <w:tcMar>
              <w:top w:w="70" w:type="dxa"/>
              <w:start w:w="110" w:type="dxa"/>
              <w:bottom w:w="70" w:type="dxa"/>
              <w:end w:w="110" w:type="dxa"/>
            </w:tcMar>
          </w:tcPr>
          <w:p>
            <w:pPr>
              <w:widowControl/>
              <w:spacing w:after="0"/>
            </w:pPr>
            <w:r>
              <w:rPr>
                <w:rFonts w:ascii="Arial" w:hAnsi="Arial"/>
                <w:sz w:val="17"/>
              </w:rPr>
              <w:t>8708.40</w:t>
            </w:r>
          </w:p>
        </w:tc>
        <w:tc>
          <w:tcPr>
            <w:tcW w:type="dxa" w:w="4680"/>
            <w:tcMar>
              <w:top w:w="70" w:type="dxa"/>
              <w:start w:w="110" w:type="dxa"/>
              <w:bottom w:w="70" w:type="dxa"/>
              <w:end w:w="110" w:type="dxa"/>
            </w:tcMar>
          </w:tcPr>
          <w:p>
            <w:pPr>
              <w:widowControl/>
              <w:spacing w:after="0"/>
            </w:pPr>
            <w:r>
              <w:rPr>
                <w:rFonts w:ascii="Arial" w:hAnsi="Arial"/>
                <w:sz w:val="17"/>
              </w:rPr>
              <w:t>Gear boxes and parts thereof</w:t>
            </w:r>
          </w:p>
        </w:tc>
      </w:tr>
      <w:tr>
        <w:trPr>
          <w:cantSplit/>
        </w:trPr>
        <w:tc>
          <w:tcPr>
            <w:tcW w:type="dxa" w:w="4680"/>
            <w:tcMar>
              <w:top w:w="70" w:type="dxa"/>
              <w:start w:w="110" w:type="dxa"/>
              <w:bottom w:w="70" w:type="dxa"/>
              <w:end w:w="110" w:type="dxa"/>
            </w:tcMar>
            <w:shd w:fill="F4F6F7"/>
          </w:tcPr>
          <w:p>
            <w:pPr>
              <w:widowControl/>
              <w:spacing w:after="0"/>
            </w:pPr>
            <w:r>
              <w:rPr>
                <w:rFonts w:ascii="Arial" w:hAnsi="Arial"/>
                <w:sz w:val="17"/>
              </w:rPr>
              <w:t>8708.50</w:t>
            </w:r>
          </w:p>
        </w:tc>
        <w:tc>
          <w:tcPr>
            <w:tcW w:type="dxa" w:w="4680"/>
            <w:tcMar>
              <w:top w:w="70" w:type="dxa"/>
              <w:start w:w="110" w:type="dxa"/>
              <w:bottom w:w="70" w:type="dxa"/>
              <w:end w:w="110" w:type="dxa"/>
            </w:tcMar>
            <w:shd w:fill="F4F6F7"/>
          </w:tcPr>
          <w:p>
            <w:pPr>
              <w:widowControl/>
              <w:spacing w:after="0"/>
            </w:pPr>
            <w:r>
              <w:rPr>
                <w:rFonts w:ascii="Arial" w:hAnsi="Arial"/>
                <w:sz w:val="17"/>
              </w:rPr>
              <w:t>Drive axles with differential, whether or not provided with other transmission components, and non-driving axles; parts thereof</w:t>
            </w:r>
          </w:p>
        </w:tc>
      </w:tr>
      <w:tr>
        <w:trPr>
          <w:cantSplit/>
        </w:trPr>
        <w:tc>
          <w:tcPr>
            <w:tcW w:type="dxa" w:w="4680"/>
            <w:tcMar>
              <w:top w:w="70" w:type="dxa"/>
              <w:start w:w="110" w:type="dxa"/>
              <w:bottom w:w="70" w:type="dxa"/>
              <w:end w:w="110" w:type="dxa"/>
            </w:tcMar>
          </w:tcPr>
          <w:p>
            <w:pPr>
              <w:widowControl/>
              <w:spacing w:after="0"/>
            </w:pPr>
            <w:r>
              <w:rPr>
                <w:rFonts w:ascii="Arial" w:hAnsi="Arial"/>
                <w:sz w:val="17"/>
              </w:rPr>
              <w:t>8708.80</w:t>
            </w:r>
          </w:p>
        </w:tc>
        <w:tc>
          <w:tcPr>
            <w:tcW w:type="dxa" w:w="4680"/>
            <w:tcMar>
              <w:top w:w="70" w:type="dxa"/>
              <w:start w:w="110" w:type="dxa"/>
              <w:bottom w:w="70" w:type="dxa"/>
              <w:end w:w="110" w:type="dxa"/>
            </w:tcMar>
          </w:tcPr>
          <w:p>
            <w:pPr>
              <w:widowControl/>
              <w:spacing w:after="0"/>
            </w:pPr>
            <w:r>
              <w:rPr>
                <w:rFonts w:ascii="Arial" w:hAnsi="Arial"/>
                <w:sz w:val="17"/>
              </w:rPr>
              <w:t>Suspension systems and parts thereof (including shock absorbers)</w:t>
            </w:r>
          </w:p>
        </w:tc>
      </w:tr>
      <w:tr>
        <w:trPr>
          <w:cantSplit/>
        </w:trPr>
        <w:tc>
          <w:tcPr>
            <w:tcW w:type="dxa" w:w="4680"/>
            <w:tcMar>
              <w:top w:w="70" w:type="dxa"/>
              <w:start w:w="110" w:type="dxa"/>
              <w:bottom w:w="70" w:type="dxa"/>
              <w:end w:w="110" w:type="dxa"/>
            </w:tcMar>
            <w:shd w:fill="F4F6F7"/>
          </w:tcPr>
          <w:p>
            <w:pPr>
              <w:widowControl/>
              <w:spacing w:after="0"/>
            </w:pPr>
            <w:r>
              <w:rPr>
                <w:rFonts w:ascii="Arial" w:hAnsi="Arial"/>
                <w:sz w:val="17"/>
              </w:rPr>
              <w:t>8708.94</w:t>
            </w:r>
          </w:p>
        </w:tc>
        <w:tc>
          <w:tcPr>
            <w:tcW w:type="dxa" w:w="4680"/>
            <w:tcMar>
              <w:top w:w="70" w:type="dxa"/>
              <w:start w:w="110" w:type="dxa"/>
              <w:bottom w:w="70" w:type="dxa"/>
              <w:end w:w="110" w:type="dxa"/>
            </w:tcMar>
            <w:shd w:fill="F4F6F7"/>
          </w:tcPr>
          <w:p>
            <w:pPr>
              <w:widowControl/>
              <w:spacing w:after="0"/>
            </w:pPr>
            <w:r>
              <w:rPr>
                <w:rFonts w:ascii="Arial" w:hAnsi="Arial"/>
                <w:sz w:val="17"/>
              </w:rPr>
              <w:t>Steering wheels, steering columns, and steering boxes; parts thereof</w:t>
            </w:r>
          </w:p>
        </w:tc>
      </w:tr>
      <w:tr>
        <w:trPr>
          <w:cantSplit/>
        </w:trPr>
        <w:tc>
          <w:tcPr>
            <w:tcW w:type="dxa" w:w="4680"/>
            <w:tcMar>
              <w:top w:w="70" w:type="dxa"/>
              <w:start w:w="110" w:type="dxa"/>
              <w:bottom w:w="70" w:type="dxa"/>
              <w:end w:w="110" w:type="dxa"/>
            </w:tcMar>
          </w:tcPr>
          <w:p>
            <w:pPr>
              <w:widowControl/>
              <w:spacing w:after="0"/>
            </w:pPr>
            <w:r>
              <w:rPr>
                <w:rFonts w:ascii="Arial" w:hAnsi="Arial"/>
                <w:sz w:val="17"/>
              </w:rPr>
              <w:t>Ex 8708.99</w:t>
            </w:r>
          </w:p>
        </w:tc>
        <w:tc>
          <w:tcPr>
            <w:tcW w:type="dxa" w:w="4680"/>
            <w:tcMar>
              <w:top w:w="70" w:type="dxa"/>
              <w:start w:w="110" w:type="dxa"/>
              <w:bottom w:w="70" w:type="dxa"/>
              <w:end w:w="110" w:type="dxa"/>
            </w:tcMar>
          </w:tcPr>
          <w:p>
            <w:pPr>
              <w:widowControl/>
              <w:spacing w:after="0"/>
            </w:pPr>
            <w:r>
              <w:rPr>
                <w:rFonts w:ascii="Arial" w:hAnsi="Arial"/>
                <w:sz w:val="17"/>
              </w:rPr>
              <w:t>Chassis frames</w:t>
            </w:r>
          </w:p>
        </w:tc>
      </w:tr>
    </w:tbl>
    <w:p>
      <w:pPr>
        <w:widowControl/>
      </w:pPr>
      <w:r>
        <w:rPr>
          <w:b/>
        </w:rPr>
        <w:t>TABLE A.2 — PARTS AND COMPONENTS FOR DETERMINING THE ORIGIN OF PASSENGER VEHICLES AND LIGHT TRUCKS UNDER ARTICLE 3 OF THIS APPENDIX</w:t>
      </w:r>
    </w:p>
    <w:tbl>
      <w:tblPr>
        <w:tblStyle w:val="TableGrid"/>
        <w:tblW w:type="auto" w:w="0"/>
        <w:jc w:val="center"/>
        <w:tblLayout w:type="autofit"/>
        <w:tblLook w:firstColumn="1" w:firstRow="1" w:lastColumn="0" w:lastRow="0" w:noHBand="0" w:noVBand="1" w:val="04A0"/>
      </w:tblPr>
      <w:tblGrid>
        <w:gridCol w:w="4680"/>
        <w:gridCol w:w="4680"/>
      </w:tblGrid>
      <w:tr>
        <w:trPr>
          <w:tblHeader w:val="true"/>
          <w:cantSplit/>
          <w:tblHeader w:val="true"/>
        </w:trPr>
        <w:tc>
          <w:tcPr>
            <w:tcW w:type="dxa" w:w="4680"/>
            <w:shd w:fill="233746"/>
          </w:tcPr>
          <w:p>
            <w:pPr>
              <w:spacing w:after="0"/>
            </w:pPr>
            <w:r>
              <w:rPr>
                <w:rFonts w:ascii="Arial" w:hAnsi="Arial"/>
                <w:b/>
                <w:color w:val="FFFFFF"/>
                <w:sz w:val="17"/>
              </w:rPr>
              <w:t>Parts</w:t>
            </w:r>
          </w:p>
        </w:tc>
        <w:tc>
          <w:tcPr>
            <w:tcW w:type="dxa" w:w="4680"/>
            <w:shd w:fill="233746"/>
          </w:tcPr>
          <w:p>
            <w:pPr>
              <w:spacing w:after="0"/>
            </w:pPr>
            <w:r>
              <w:rPr>
                <w:rFonts w:ascii="Arial" w:hAnsi="Arial"/>
                <w:b/>
                <w:color w:val="FFFFFF"/>
                <w:sz w:val="17"/>
              </w:rPr>
              <w:t>Components</w:t>
            </w:r>
          </w:p>
        </w:tc>
      </w:tr>
      <w:tr>
        <w:trPr>
          <w:cantSplit/>
        </w:trPr>
        <w:tc>
          <w:tcPr>
            <w:tcW w:type="dxa" w:w="4680"/>
            <w:tcMar>
              <w:top w:w="70" w:type="dxa"/>
              <w:start w:w="110" w:type="dxa"/>
              <w:bottom w:w="70" w:type="dxa"/>
              <w:end w:w="110" w:type="dxa"/>
            </w:tcMar>
          </w:tcPr>
          <w:p>
            <w:pPr>
              <w:widowControl/>
              <w:spacing w:after="0"/>
            </w:pPr>
            <w:r>
              <w:rPr>
                <w:rFonts w:ascii="Arial" w:hAnsi="Arial"/>
                <w:sz w:val="17"/>
              </w:rPr>
              <w:t>ENGINE</w:t>
            </w:r>
          </w:p>
        </w:tc>
        <w:tc>
          <w:tcPr>
            <w:tcW w:type="dxa" w:w="4680"/>
            <w:tcMar>
              <w:top w:w="70" w:type="dxa"/>
              <w:start w:w="110" w:type="dxa"/>
              <w:bottom w:w="70" w:type="dxa"/>
              <w:end w:w="110" w:type="dxa"/>
            </w:tcMar>
          </w:tcPr>
          <w:p>
            <w:pPr>
              <w:widowControl/>
              <w:spacing w:after="0"/>
            </w:pPr>
            <w:r>
              <w:rPr>
                <w:rFonts w:ascii="Arial" w:hAnsi="Arial"/>
                <w:sz w:val="17"/>
              </w:rPr>
              <w:t>Heads, Blocks, Crankshafts, Crankcases, Pistons, Rods, Head subassembly</w:t>
            </w:r>
          </w:p>
        </w:tc>
      </w:tr>
      <w:tr>
        <w:trPr>
          <w:cantSplit/>
        </w:trPr>
        <w:tc>
          <w:tcPr>
            <w:tcW w:type="dxa" w:w="4680"/>
            <w:tcMar>
              <w:top w:w="70" w:type="dxa"/>
              <w:start w:w="110" w:type="dxa"/>
              <w:bottom w:w="70" w:type="dxa"/>
              <w:end w:w="110" w:type="dxa"/>
            </w:tcMar>
            <w:shd w:fill="F4F6F7"/>
          </w:tcPr>
          <w:p>
            <w:pPr>
              <w:widowControl/>
              <w:spacing w:after="0"/>
            </w:pPr>
            <w:r>
              <w:rPr>
                <w:rFonts w:ascii="Arial" w:hAnsi="Arial"/>
                <w:sz w:val="17"/>
              </w:rPr>
              <w:t>TRANSMISSION</w:t>
            </w:r>
          </w:p>
        </w:tc>
        <w:tc>
          <w:tcPr>
            <w:tcW w:type="dxa" w:w="4680"/>
            <w:tcMar>
              <w:top w:w="70" w:type="dxa"/>
              <w:start w:w="110" w:type="dxa"/>
              <w:bottom w:w="70" w:type="dxa"/>
              <w:end w:w="110" w:type="dxa"/>
            </w:tcMar>
            <w:shd w:fill="F4F6F7"/>
          </w:tcPr>
          <w:p>
            <w:pPr>
              <w:widowControl/>
              <w:spacing w:after="0"/>
            </w:pPr>
            <w:r>
              <w:rPr>
                <w:rFonts w:ascii="Arial" w:hAnsi="Arial"/>
                <w:sz w:val="17"/>
              </w:rPr>
              <w:t>Transmission cases, Torque converters, Torque converter housings, Gears and gear blanks, Clutches, Valve body assembly</w:t>
            </w:r>
          </w:p>
        </w:tc>
      </w:tr>
      <w:tr>
        <w:trPr>
          <w:cantSplit/>
        </w:trPr>
        <w:tc>
          <w:tcPr>
            <w:tcW w:type="dxa" w:w="4680"/>
            <w:tcMar>
              <w:top w:w="70" w:type="dxa"/>
              <w:start w:w="110" w:type="dxa"/>
              <w:bottom w:w="70" w:type="dxa"/>
              <w:end w:w="110" w:type="dxa"/>
            </w:tcMar>
          </w:tcPr>
          <w:p>
            <w:pPr>
              <w:widowControl/>
              <w:spacing w:after="0"/>
            </w:pPr>
            <w:r>
              <w:rPr>
                <w:rFonts w:ascii="Arial" w:hAnsi="Arial"/>
                <w:sz w:val="17"/>
              </w:rPr>
              <w:t>BODY AND CHASSIS</w:t>
            </w:r>
          </w:p>
        </w:tc>
        <w:tc>
          <w:tcPr>
            <w:tcW w:type="dxa" w:w="4680"/>
            <w:tcMar>
              <w:top w:w="70" w:type="dxa"/>
              <w:start w:w="110" w:type="dxa"/>
              <w:bottom w:w="70" w:type="dxa"/>
              <w:end w:w="110" w:type="dxa"/>
            </w:tcMar>
          </w:tcPr>
          <w:p>
            <w:pPr>
              <w:widowControl/>
              <w:spacing w:after="0"/>
            </w:pPr>
            <w:r>
              <w:rPr>
                <w:rFonts w:ascii="Arial" w:hAnsi="Arial"/>
                <w:sz w:val="17"/>
              </w:rPr>
              <w:t>Major body panels, Secondary panels, Structural panels, Frames</w:t>
            </w:r>
          </w:p>
        </w:tc>
      </w:tr>
      <w:tr>
        <w:trPr>
          <w:cantSplit/>
        </w:trPr>
        <w:tc>
          <w:tcPr>
            <w:tcW w:type="dxa" w:w="4680"/>
            <w:tcMar>
              <w:top w:w="70" w:type="dxa"/>
              <w:start w:w="110" w:type="dxa"/>
              <w:bottom w:w="70" w:type="dxa"/>
              <w:end w:w="110" w:type="dxa"/>
            </w:tcMar>
            <w:shd w:fill="F4F6F7"/>
          </w:tcPr>
          <w:p>
            <w:pPr>
              <w:widowControl/>
              <w:spacing w:after="0"/>
            </w:pPr>
            <w:r>
              <w:rPr>
                <w:rFonts w:ascii="Arial" w:hAnsi="Arial"/>
                <w:sz w:val="17"/>
              </w:rPr>
              <w:t>AXLE</w:t>
            </w:r>
          </w:p>
        </w:tc>
        <w:tc>
          <w:tcPr>
            <w:tcW w:type="dxa" w:w="4680"/>
            <w:tcMar>
              <w:top w:w="70" w:type="dxa"/>
              <w:start w:w="110" w:type="dxa"/>
              <w:bottom w:w="70" w:type="dxa"/>
              <w:end w:w="110" w:type="dxa"/>
            </w:tcMar>
            <w:shd w:fill="F4F6F7"/>
          </w:tcPr>
          <w:p>
            <w:pPr>
              <w:widowControl/>
              <w:spacing w:after="0"/>
            </w:pPr>
            <w:r>
              <w:rPr>
                <w:rFonts w:ascii="Arial" w:hAnsi="Arial"/>
                <w:sz w:val="17"/>
              </w:rPr>
              <w:t>Axle shafts, Axle housings, Axle hubs, Carriers, Differentials</w:t>
            </w:r>
          </w:p>
        </w:tc>
      </w:tr>
      <w:tr>
        <w:trPr>
          <w:cantSplit/>
        </w:trPr>
        <w:tc>
          <w:tcPr>
            <w:tcW w:type="dxa" w:w="4680"/>
            <w:tcMar>
              <w:top w:w="70" w:type="dxa"/>
              <w:start w:w="110" w:type="dxa"/>
              <w:bottom w:w="70" w:type="dxa"/>
              <w:end w:w="110" w:type="dxa"/>
            </w:tcMar>
          </w:tcPr>
          <w:p>
            <w:pPr>
              <w:widowControl/>
              <w:spacing w:after="0"/>
            </w:pPr>
            <w:r>
              <w:rPr>
                <w:rFonts w:ascii="Arial" w:hAnsi="Arial"/>
                <w:sz w:val="17"/>
              </w:rPr>
              <w:t>SUSPENSION SYSTEM</w:t>
            </w:r>
          </w:p>
        </w:tc>
        <w:tc>
          <w:tcPr>
            <w:tcW w:type="dxa" w:w="4680"/>
            <w:tcMar>
              <w:top w:w="70" w:type="dxa"/>
              <w:start w:w="110" w:type="dxa"/>
              <w:bottom w:w="70" w:type="dxa"/>
              <w:end w:w="110" w:type="dxa"/>
            </w:tcMar>
          </w:tcPr>
          <w:p>
            <w:pPr>
              <w:widowControl/>
              <w:spacing w:after="0"/>
            </w:pPr>
            <w:r>
              <w:rPr>
                <w:rFonts w:ascii="Arial" w:hAnsi="Arial"/>
                <w:sz w:val="17"/>
              </w:rPr>
              <w:t>Shock absorbers, Struts, Control arms, Sway bars, Knuckles, Coil springs, Leaf springs</w:t>
            </w:r>
          </w:p>
        </w:tc>
      </w:tr>
      <w:tr>
        <w:trPr>
          <w:cantSplit/>
        </w:trPr>
        <w:tc>
          <w:tcPr>
            <w:tcW w:type="dxa" w:w="4680"/>
            <w:tcMar>
              <w:top w:w="70" w:type="dxa"/>
              <w:start w:w="110" w:type="dxa"/>
              <w:bottom w:w="70" w:type="dxa"/>
              <w:end w:w="110" w:type="dxa"/>
            </w:tcMar>
            <w:shd w:fill="F4F6F7"/>
          </w:tcPr>
          <w:p>
            <w:pPr>
              <w:widowControl/>
              <w:spacing w:after="0"/>
            </w:pPr>
            <w:r>
              <w:rPr>
                <w:rFonts w:ascii="Arial" w:hAnsi="Arial"/>
                <w:sz w:val="17"/>
              </w:rPr>
              <w:t>STEERING SYSTEM</w:t>
            </w:r>
          </w:p>
        </w:tc>
        <w:tc>
          <w:tcPr>
            <w:tcW w:type="dxa" w:w="4680"/>
            <w:tcMar>
              <w:top w:w="70" w:type="dxa"/>
              <w:start w:w="110" w:type="dxa"/>
              <w:bottom w:w="70" w:type="dxa"/>
              <w:end w:w="110" w:type="dxa"/>
            </w:tcMar>
            <w:shd w:fill="F4F6F7"/>
          </w:tcPr>
          <w:p>
            <w:pPr>
              <w:widowControl/>
              <w:spacing w:after="0"/>
            </w:pPr>
            <w:r>
              <w:rPr>
                <w:rFonts w:ascii="Arial" w:hAnsi="Arial"/>
                <w:sz w:val="17"/>
              </w:rPr>
              <w:t>Steering columns, Steering gears/racks, Control units</w:t>
            </w:r>
          </w:p>
        </w:tc>
      </w:tr>
      <w:tr>
        <w:trPr>
          <w:cantSplit/>
        </w:trPr>
        <w:tc>
          <w:tcPr>
            <w:tcW w:type="dxa" w:w="4680"/>
            <w:tcMar>
              <w:top w:w="70" w:type="dxa"/>
              <w:start w:w="110" w:type="dxa"/>
              <w:bottom w:w="70" w:type="dxa"/>
              <w:end w:w="110" w:type="dxa"/>
            </w:tcMar>
          </w:tcPr>
          <w:p>
            <w:pPr>
              <w:widowControl/>
              <w:spacing w:after="0"/>
            </w:pPr>
            <w:r>
              <w:rPr>
                <w:rFonts w:ascii="Arial" w:hAnsi="Arial"/>
                <w:sz w:val="17"/>
              </w:rPr>
              <w:t>ADVANCED BATTERY</w:t>
            </w:r>
          </w:p>
        </w:tc>
        <w:tc>
          <w:tcPr>
            <w:tcW w:type="dxa" w:w="4680"/>
            <w:tcMar>
              <w:top w:w="70" w:type="dxa"/>
              <w:start w:w="110" w:type="dxa"/>
              <w:bottom w:w="70" w:type="dxa"/>
              <w:end w:w="110" w:type="dxa"/>
            </w:tcMar>
          </w:tcPr>
          <w:p>
            <w:pPr>
              <w:widowControl/>
              <w:spacing w:after="0"/>
            </w:pPr>
            <w:r>
              <w:rPr>
                <w:rFonts w:ascii="Arial" w:hAnsi="Arial"/>
                <w:sz w:val="17"/>
              </w:rPr>
              <w:t>Cells, Modules/arrays, Assembled packs</w:t>
            </w:r>
          </w:p>
        </w:tc>
      </w:tr>
    </w:tbl>
    <w:p>
      <w:pPr>
        <w:widowControl/>
      </w:pPr>
      <w:r>
        <w:rPr>
          <w:b/>
        </w:rPr>
        <w:t>TABLE B — PRINCIPAL PARTS FOR PASSENGER VEHICLES AND LIGHT TRUCKS</w:t>
      </w:r>
    </w:p>
    <w:p>
      <w:pPr>
        <w:widowControl/>
      </w:pPr>
      <w:r>
        <w:rPr>
          <w:b w:val="0"/>
        </w:rPr>
        <w:t>Note: The Regional Value Content requirements set out in Article 3 of this Appendix apply to a good for use in a passenger vehicle or light truck.</w:t>
      </w:r>
    </w:p>
    <w:tbl>
      <w:tblPr>
        <w:tblStyle w:val="TableGrid"/>
        <w:tblW w:type="auto" w:w="0"/>
        <w:jc w:val="center"/>
        <w:tblLayout w:type="autofit"/>
        <w:tblLook w:firstColumn="1" w:firstRow="1" w:lastColumn="0" w:lastRow="0" w:noHBand="0" w:noVBand="1" w:val="04A0"/>
      </w:tblPr>
      <w:tblGrid>
        <w:gridCol w:w="4680"/>
        <w:gridCol w:w="4680"/>
      </w:tblGrid>
      <w:tr>
        <w:trPr>
          <w:tblHeader w:val="true"/>
          <w:cantSplit/>
          <w:tblHeader w:val="true"/>
        </w:trPr>
        <w:tc>
          <w:tcPr>
            <w:tcW w:type="dxa" w:w="4680"/>
            <w:shd w:fill="233746"/>
          </w:tcPr>
          <w:p>
            <w:pPr>
              <w:spacing w:after="0"/>
            </w:pPr>
            <w:r>
              <w:rPr>
                <w:rFonts w:ascii="Arial" w:hAnsi="Arial"/>
                <w:b/>
                <w:color w:val="FFFFFF"/>
                <w:sz w:val="17"/>
              </w:rPr>
              <w:t>HS Provision</w:t>
            </w:r>
          </w:p>
        </w:tc>
        <w:tc>
          <w:tcPr>
            <w:tcW w:type="dxa" w:w="4680"/>
            <w:shd w:fill="233746"/>
          </w:tcPr>
          <w:p>
            <w:pPr>
              <w:spacing w:after="0"/>
            </w:pPr>
            <w:r>
              <w:rPr>
                <w:rFonts w:ascii="Arial" w:hAnsi="Arial"/>
                <w:b/>
                <w:color w:val="FFFFFF"/>
                <w:sz w:val="17"/>
              </w:rPr>
              <w:t>Description</w:t>
            </w:r>
          </w:p>
        </w:tc>
      </w:tr>
      <w:tr>
        <w:trPr>
          <w:cantSplit/>
        </w:trPr>
        <w:tc>
          <w:tcPr>
            <w:tcW w:type="dxa" w:w="4680"/>
            <w:tcMar>
              <w:top w:w="70" w:type="dxa"/>
              <w:start w:w="110" w:type="dxa"/>
              <w:bottom w:w="70" w:type="dxa"/>
              <w:end w:w="110" w:type="dxa"/>
            </w:tcMar>
          </w:tcPr>
          <w:p>
            <w:pPr>
              <w:widowControl/>
              <w:spacing w:after="0"/>
            </w:pPr>
            <w:r>
              <w:rPr>
                <w:rFonts w:ascii="Arial" w:hAnsi="Arial"/>
                <w:sz w:val="17"/>
              </w:rPr>
              <w:t>8413.30</w:t>
            </w:r>
          </w:p>
        </w:tc>
        <w:tc>
          <w:tcPr>
            <w:tcW w:type="dxa" w:w="4680"/>
            <w:tcMar>
              <w:top w:w="70" w:type="dxa"/>
              <w:start w:w="110" w:type="dxa"/>
              <w:bottom w:w="70" w:type="dxa"/>
              <w:end w:w="110" w:type="dxa"/>
            </w:tcMar>
          </w:tcPr>
          <w:p>
            <w:pPr>
              <w:widowControl/>
              <w:spacing w:after="0"/>
            </w:pPr>
            <w:r>
              <w:rPr>
                <w:rFonts w:ascii="Arial" w:hAnsi="Arial"/>
                <w:sz w:val="17"/>
              </w:rPr>
              <w:t>Fuel, lubricating or cooling medium pumps for internal combustion piston engines</w:t>
            </w:r>
          </w:p>
        </w:tc>
      </w:tr>
      <w:tr>
        <w:trPr>
          <w:cantSplit/>
        </w:trPr>
        <w:tc>
          <w:tcPr>
            <w:tcW w:type="dxa" w:w="4680"/>
            <w:tcMar>
              <w:top w:w="70" w:type="dxa"/>
              <w:start w:w="110" w:type="dxa"/>
              <w:bottom w:w="70" w:type="dxa"/>
              <w:end w:w="110" w:type="dxa"/>
            </w:tcMar>
            <w:shd w:fill="F4F6F7"/>
          </w:tcPr>
          <w:p>
            <w:pPr>
              <w:widowControl/>
              <w:spacing w:after="0"/>
            </w:pPr>
            <w:r>
              <w:rPr>
                <w:rFonts w:ascii="Arial" w:hAnsi="Arial"/>
                <w:sz w:val="17"/>
              </w:rPr>
              <w:t>8413.50</w:t>
            </w:r>
          </w:p>
        </w:tc>
        <w:tc>
          <w:tcPr>
            <w:tcW w:type="dxa" w:w="4680"/>
            <w:tcMar>
              <w:top w:w="70" w:type="dxa"/>
              <w:start w:w="110" w:type="dxa"/>
              <w:bottom w:w="70" w:type="dxa"/>
              <w:end w:w="110" w:type="dxa"/>
            </w:tcMar>
            <w:shd w:fill="F4F6F7"/>
          </w:tcPr>
          <w:p>
            <w:pPr>
              <w:widowControl/>
              <w:spacing w:after="0"/>
            </w:pPr>
            <w:r>
              <w:rPr>
                <w:rFonts w:ascii="Arial" w:hAnsi="Arial"/>
                <w:sz w:val="17"/>
              </w:rPr>
              <w:t>Other reciprocating positive displacement pumps</w:t>
            </w:r>
          </w:p>
        </w:tc>
      </w:tr>
      <w:tr>
        <w:trPr>
          <w:cantSplit/>
        </w:trPr>
        <w:tc>
          <w:tcPr>
            <w:tcW w:type="dxa" w:w="4680"/>
            <w:tcMar>
              <w:top w:w="70" w:type="dxa"/>
              <w:start w:w="110" w:type="dxa"/>
              <w:bottom w:w="70" w:type="dxa"/>
              <w:end w:w="110" w:type="dxa"/>
            </w:tcMar>
          </w:tcPr>
          <w:p>
            <w:pPr>
              <w:widowControl/>
              <w:spacing w:after="0"/>
            </w:pPr>
            <w:r>
              <w:rPr>
                <w:rFonts w:ascii="Arial" w:hAnsi="Arial"/>
                <w:sz w:val="17"/>
              </w:rPr>
              <w:t>8414.59</w:t>
            </w:r>
          </w:p>
        </w:tc>
        <w:tc>
          <w:tcPr>
            <w:tcW w:type="dxa" w:w="4680"/>
            <w:tcMar>
              <w:top w:w="70" w:type="dxa"/>
              <w:start w:w="110" w:type="dxa"/>
              <w:bottom w:w="70" w:type="dxa"/>
              <w:end w:w="110" w:type="dxa"/>
            </w:tcMar>
          </w:tcPr>
          <w:p>
            <w:pPr>
              <w:widowControl/>
              <w:spacing w:after="0"/>
            </w:pPr>
            <w:r>
              <w:rPr>
                <w:rFonts w:ascii="Arial" w:hAnsi="Arial"/>
                <w:sz w:val="17"/>
              </w:rPr>
              <w:t>Other fans</w:t>
            </w:r>
          </w:p>
        </w:tc>
      </w:tr>
      <w:tr>
        <w:trPr>
          <w:cantSplit/>
        </w:trPr>
        <w:tc>
          <w:tcPr>
            <w:tcW w:type="dxa" w:w="4680"/>
            <w:tcMar>
              <w:top w:w="70" w:type="dxa"/>
              <w:start w:w="110" w:type="dxa"/>
              <w:bottom w:w="70" w:type="dxa"/>
              <w:end w:w="110" w:type="dxa"/>
            </w:tcMar>
            <w:shd w:fill="F4F6F7"/>
          </w:tcPr>
          <w:p>
            <w:pPr>
              <w:widowControl/>
              <w:spacing w:after="0"/>
            </w:pPr>
            <w:r>
              <w:rPr>
                <w:rFonts w:ascii="Arial" w:hAnsi="Arial"/>
                <w:sz w:val="17"/>
              </w:rPr>
              <w:t>8414.80</w:t>
            </w:r>
          </w:p>
        </w:tc>
        <w:tc>
          <w:tcPr>
            <w:tcW w:type="dxa" w:w="4680"/>
            <w:tcMar>
              <w:top w:w="70" w:type="dxa"/>
              <w:start w:w="110" w:type="dxa"/>
              <w:bottom w:w="70" w:type="dxa"/>
              <w:end w:w="110" w:type="dxa"/>
            </w:tcMar>
            <w:shd w:fill="F4F6F7"/>
          </w:tcPr>
          <w:p>
            <w:pPr>
              <w:widowControl/>
              <w:spacing w:after="0"/>
            </w:pPr>
            <w:r>
              <w:rPr>
                <w:rFonts w:ascii="Arial" w:hAnsi="Arial"/>
                <w:sz w:val="17"/>
              </w:rPr>
              <w:t>Other air or gas pumps, compressors and fans</w:t>
            </w:r>
          </w:p>
        </w:tc>
      </w:tr>
      <w:tr>
        <w:trPr>
          <w:cantSplit/>
        </w:trPr>
        <w:tc>
          <w:tcPr>
            <w:tcW w:type="dxa" w:w="4680"/>
            <w:tcMar>
              <w:top w:w="70" w:type="dxa"/>
              <w:start w:w="110" w:type="dxa"/>
              <w:bottom w:w="70" w:type="dxa"/>
              <w:end w:w="110" w:type="dxa"/>
            </w:tcMar>
          </w:tcPr>
          <w:p>
            <w:pPr>
              <w:widowControl/>
              <w:spacing w:after="0"/>
            </w:pPr>
            <w:r>
              <w:rPr>
                <w:rFonts w:ascii="Arial" w:hAnsi="Arial"/>
                <w:sz w:val="17"/>
              </w:rPr>
              <w:t>8415.20</w:t>
            </w:r>
          </w:p>
        </w:tc>
        <w:tc>
          <w:tcPr>
            <w:tcW w:type="dxa" w:w="4680"/>
            <w:tcMar>
              <w:top w:w="70" w:type="dxa"/>
              <w:start w:w="110" w:type="dxa"/>
              <w:bottom w:w="70" w:type="dxa"/>
              <w:end w:w="110" w:type="dxa"/>
            </w:tcMar>
          </w:tcPr>
          <w:p>
            <w:pPr>
              <w:widowControl/>
              <w:spacing w:after="0"/>
            </w:pPr>
            <w:r>
              <w:rPr>
                <w:rFonts w:ascii="Arial" w:hAnsi="Arial"/>
                <w:sz w:val="17"/>
              </w:rPr>
              <w:t>Air conditioning machines, comprising a motor-driven fan and elements for changing the temperature and humidity, including those machines in which humidity cannot be separately regulated, of a kind used for persons, in motor vehicles</w:t>
            </w:r>
          </w:p>
        </w:tc>
      </w:tr>
      <w:tr>
        <w:trPr>
          <w:cantSplit/>
        </w:trPr>
        <w:tc>
          <w:tcPr>
            <w:tcW w:type="dxa" w:w="4680"/>
            <w:tcMar>
              <w:top w:w="70" w:type="dxa"/>
              <w:start w:w="110" w:type="dxa"/>
              <w:bottom w:w="70" w:type="dxa"/>
              <w:end w:w="110" w:type="dxa"/>
            </w:tcMar>
            <w:shd w:fill="F4F6F7"/>
          </w:tcPr>
          <w:p>
            <w:pPr>
              <w:widowControl/>
              <w:spacing w:after="0"/>
            </w:pPr>
            <w:r>
              <w:rPr>
                <w:rFonts w:ascii="Arial" w:hAnsi="Arial"/>
                <w:sz w:val="17"/>
              </w:rPr>
              <w:t>Ex 8479.89</w:t>
            </w:r>
          </w:p>
        </w:tc>
        <w:tc>
          <w:tcPr>
            <w:tcW w:type="dxa" w:w="4680"/>
            <w:tcMar>
              <w:top w:w="70" w:type="dxa"/>
              <w:start w:w="110" w:type="dxa"/>
              <w:bottom w:w="70" w:type="dxa"/>
              <w:end w:w="110" w:type="dxa"/>
            </w:tcMar>
            <w:shd w:fill="F4F6F7"/>
          </w:tcPr>
          <w:p>
            <w:pPr>
              <w:widowControl/>
              <w:spacing w:after="0"/>
            </w:pPr>
            <w:r>
              <w:rPr>
                <w:rFonts w:ascii="Arial" w:hAnsi="Arial"/>
                <w:sz w:val="17"/>
              </w:rPr>
              <w:t>Electronic brake systems, including ABS and ESC systems</w:t>
            </w:r>
          </w:p>
        </w:tc>
      </w:tr>
      <w:tr>
        <w:trPr>
          <w:cantSplit/>
        </w:trPr>
        <w:tc>
          <w:tcPr>
            <w:tcW w:type="dxa" w:w="4680"/>
            <w:tcMar>
              <w:top w:w="70" w:type="dxa"/>
              <w:start w:w="110" w:type="dxa"/>
              <w:bottom w:w="70" w:type="dxa"/>
              <w:end w:w="110" w:type="dxa"/>
            </w:tcMar>
          </w:tcPr>
          <w:p>
            <w:pPr>
              <w:widowControl/>
              <w:spacing w:after="0"/>
            </w:pPr>
            <w:r>
              <w:rPr>
                <w:rFonts w:ascii="Arial" w:hAnsi="Arial"/>
                <w:sz w:val="17"/>
              </w:rPr>
              <w:t>8482.10</w:t>
            </w:r>
          </w:p>
        </w:tc>
        <w:tc>
          <w:tcPr>
            <w:tcW w:type="dxa" w:w="4680"/>
            <w:tcMar>
              <w:top w:w="70" w:type="dxa"/>
              <w:start w:w="110" w:type="dxa"/>
              <w:bottom w:w="70" w:type="dxa"/>
              <w:end w:w="110" w:type="dxa"/>
            </w:tcMar>
          </w:tcPr>
          <w:p>
            <w:pPr>
              <w:widowControl/>
              <w:spacing w:after="0"/>
            </w:pPr>
            <w:r>
              <w:rPr>
                <w:rFonts w:ascii="Arial" w:hAnsi="Arial"/>
                <w:sz w:val="17"/>
              </w:rPr>
              <w:t>Ball bearings</w:t>
            </w:r>
          </w:p>
        </w:tc>
      </w:tr>
      <w:tr>
        <w:trPr>
          <w:cantSplit/>
        </w:trPr>
        <w:tc>
          <w:tcPr>
            <w:tcW w:type="dxa" w:w="4680"/>
            <w:tcMar>
              <w:top w:w="70" w:type="dxa"/>
              <w:start w:w="110" w:type="dxa"/>
              <w:bottom w:w="70" w:type="dxa"/>
              <w:end w:w="110" w:type="dxa"/>
            </w:tcMar>
            <w:shd w:fill="F4F6F7"/>
          </w:tcPr>
          <w:p>
            <w:pPr>
              <w:widowControl/>
              <w:spacing w:after="0"/>
            </w:pPr>
            <w:r>
              <w:rPr>
                <w:rFonts w:ascii="Arial" w:hAnsi="Arial"/>
                <w:sz w:val="17"/>
              </w:rPr>
              <w:t>8482.20</w:t>
            </w:r>
          </w:p>
        </w:tc>
        <w:tc>
          <w:tcPr>
            <w:tcW w:type="dxa" w:w="4680"/>
            <w:tcMar>
              <w:top w:w="70" w:type="dxa"/>
              <w:start w:w="110" w:type="dxa"/>
              <w:bottom w:w="70" w:type="dxa"/>
              <w:end w:w="110" w:type="dxa"/>
            </w:tcMar>
            <w:shd w:fill="F4F6F7"/>
          </w:tcPr>
          <w:p>
            <w:pPr>
              <w:widowControl/>
              <w:spacing w:after="0"/>
            </w:pPr>
            <w:r>
              <w:rPr>
                <w:rFonts w:ascii="Arial" w:hAnsi="Arial"/>
                <w:sz w:val="17"/>
              </w:rPr>
              <w:t>Tapered roller bearings, including cone and tapered roller assemblies</w:t>
            </w:r>
          </w:p>
        </w:tc>
      </w:tr>
      <w:tr>
        <w:trPr>
          <w:cantSplit/>
        </w:trPr>
        <w:tc>
          <w:tcPr>
            <w:tcW w:type="dxa" w:w="4680"/>
            <w:tcMar>
              <w:top w:w="70" w:type="dxa"/>
              <w:start w:w="110" w:type="dxa"/>
              <w:bottom w:w="70" w:type="dxa"/>
              <w:end w:w="110" w:type="dxa"/>
            </w:tcMar>
          </w:tcPr>
          <w:p>
            <w:pPr>
              <w:widowControl/>
              <w:spacing w:after="0"/>
            </w:pPr>
            <w:r>
              <w:rPr>
                <w:rFonts w:ascii="Arial" w:hAnsi="Arial"/>
                <w:sz w:val="17"/>
              </w:rPr>
              <w:t>8482.30</w:t>
            </w:r>
          </w:p>
        </w:tc>
        <w:tc>
          <w:tcPr>
            <w:tcW w:type="dxa" w:w="4680"/>
            <w:tcMar>
              <w:top w:w="70" w:type="dxa"/>
              <w:start w:w="110" w:type="dxa"/>
              <w:bottom w:w="70" w:type="dxa"/>
              <w:end w:w="110" w:type="dxa"/>
            </w:tcMar>
          </w:tcPr>
          <w:p>
            <w:pPr>
              <w:widowControl/>
              <w:spacing w:after="0"/>
            </w:pPr>
            <w:r>
              <w:rPr>
                <w:rFonts w:ascii="Arial" w:hAnsi="Arial"/>
                <w:sz w:val="17"/>
              </w:rPr>
              <w:t>Spherical roller bearings</w:t>
            </w:r>
          </w:p>
        </w:tc>
      </w:tr>
      <w:tr>
        <w:trPr>
          <w:cantSplit/>
        </w:trPr>
        <w:tc>
          <w:tcPr>
            <w:tcW w:type="dxa" w:w="4680"/>
            <w:tcMar>
              <w:top w:w="70" w:type="dxa"/>
              <w:start w:w="110" w:type="dxa"/>
              <w:bottom w:w="70" w:type="dxa"/>
              <w:end w:w="110" w:type="dxa"/>
            </w:tcMar>
            <w:shd w:fill="F4F6F7"/>
          </w:tcPr>
          <w:p>
            <w:pPr>
              <w:widowControl/>
              <w:spacing w:after="0"/>
            </w:pPr>
            <w:r>
              <w:rPr>
                <w:rFonts w:ascii="Arial" w:hAnsi="Arial"/>
                <w:sz w:val="17"/>
              </w:rPr>
              <w:t>8482.40</w:t>
            </w:r>
          </w:p>
        </w:tc>
        <w:tc>
          <w:tcPr>
            <w:tcW w:type="dxa" w:w="4680"/>
            <w:tcMar>
              <w:top w:w="70" w:type="dxa"/>
              <w:start w:w="110" w:type="dxa"/>
              <w:bottom w:w="70" w:type="dxa"/>
              <w:end w:w="110" w:type="dxa"/>
            </w:tcMar>
            <w:shd w:fill="F4F6F7"/>
          </w:tcPr>
          <w:p>
            <w:pPr>
              <w:widowControl/>
              <w:spacing w:after="0"/>
            </w:pPr>
            <w:r>
              <w:rPr>
                <w:rFonts w:ascii="Arial" w:hAnsi="Arial"/>
                <w:sz w:val="17"/>
              </w:rPr>
              <w:t>Needle roller bearings</w:t>
            </w:r>
          </w:p>
        </w:tc>
      </w:tr>
      <w:tr>
        <w:trPr>
          <w:cantSplit/>
        </w:trPr>
        <w:tc>
          <w:tcPr>
            <w:tcW w:type="dxa" w:w="4680"/>
            <w:tcMar>
              <w:top w:w="70" w:type="dxa"/>
              <w:start w:w="110" w:type="dxa"/>
              <w:bottom w:w="70" w:type="dxa"/>
              <w:end w:w="110" w:type="dxa"/>
            </w:tcMar>
          </w:tcPr>
          <w:p>
            <w:pPr>
              <w:widowControl/>
              <w:spacing w:after="0"/>
            </w:pPr>
            <w:r>
              <w:rPr>
                <w:rFonts w:ascii="Arial" w:hAnsi="Arial"/>
                <w:sz w:val="17"/>
              </w:rPr>
              <w:t>8482.50</w:t>
            </w:r>
          </w:p>
        </w:tc>
        <w:tc>
          <w:tcPr>
            <w:tcW w:type="dxa" w:w="4680"/>
            <w:tcMar>
              <w:top w:w="70" w:type="dxa"/>
              <w:start w:w="110" w:type="dxa"/>
              <w:bottom w:w="70" w:type="dxa"/>
              <w:end w:w="110" w:type="dxa"/>
            </w:tcMar>
          </w:tcPr>
          <w:p>
            <w:pPr>
              <w:widowControl/>
              <w:spacing w:after="0"/>
            </w:pPr>
            <w:r>
              <w:rPr>
                <w:rFonts w:ascii="Arial" w:hAnsi="Arial"/>
                <w:sz w:val="17"/>
              </w:rPr>
              <w:t>Other cylindrical roller bearings</w:t>
            </w:r>
          </w:p>
        </w:tc>
      </w:tr>
      <w:tr>
        <w:trPr>
          <w:cantSplit/>
        </w:trPr>
        <w:tc>
          <w:tcPr>
            <w:tcW w:type="dxa" w:w="4680"/>
            <w:tcMar>
              <w:top w:w="70" w:type="dxa"/>
              <w:start w:w="110" w:type="dxa"/>
              <w:bottom w:w="70" w:type="dxa"/>
              <w:end w:w="110" w:type="dxa"/>
            </w:tcMar>
            <w:shd w:fill="F4F6F7"/>
          </w:tcPr>
          <w:p>
            <w:pPr>
              <w:widowControl/>
              <w:spacing w:after="0"/>
            </w:pPr>
            <w:r>
              <w:rPr>
                <w:rFonts w:ascii="Arial" w:hAnsi="Arial"/>
                <w:sz w:val="17"/>
              </w:rPr>
              <w:t>8482.80</w:t>
            </w:r>
          </w:p>
        </w:tc>
        <w:tc>
          <w:tcPr>
            <w:tcW w:type="dxa" w:w="4680"/>
            <w:tcMar>
              <w:top w:w="70" w:type="dxa"/>
              <w:start w:w="110" w:type="dxa"/>
              <w:bottom w:w="70" w:type="dxa"/>
              <w:end w:w="110" w:type="dxa"/>
            </w:tcMar>
            <w:shd w:fill="F4F6F7"/>
          </w:tcPr>
          <w:p>
            <w:pPr>
              <w:widowControl/>
              <w:spacing w:after="0"/>
            </w:pPr>
            <w:r>
              <w:rPr>
                <w:rFonts w:ascii="Arial" w:hAnsi="Arial"/>
                <w:sz w:val="17"/>
              </w:rPr>
              <w:t>Other ball or roller bearings, including combined ball/roller bearings</w:t>
            </w:r>
          </w:p>
        </w:tc>
      </w:tr>
      <w:tr>
        <w:trPr>
          <w:cantSplit/>
        </w:trPr>
        <w:tc>
          <w:tcPr>
            <w:tcW w:type="dxa" w:w="4680"/>
            <w:tcMar>
              <w:top w:w="70" w:type="dxa"/>
              <w:start w:w="110" w:type="dxa"/>
              <w:bottom w:w="70" w:type="dxa"/>
              <w:end w:w="110" w:type="dxa"/>
            </w:tcMar>
          </w:tcPr>
          <w:p>
            <w:pPr>
              <w:widowControl/>
              <w:spacing w:after="0"/>
            </w:pPr>
            <w:r>
              <w:rPr>
                <w:rFonts w:ascii="Arial" w:hAnsi="Arial"/>
                <w:sz w:val="17"/>
              </w:rPr>
              <w:t>8483.10</w:t>
            </w:r>
          </w:p>
        </w:tc>
        <w:tc>
          <w:tcPr>
            <w:tcW w:type="dxa" w:w="4680"/>
            <w:tcMar>
              <w:top w:w="70" w:type="dxa"/>
              <w:start w:w="110" w:type="dxa"/>
              <w:bottom w:w="70" w:type="dxa"/>
              <w:end w:w="110" w:type="dxa"/>
            </w:tcMar>
          </w:tcPr>
          <w:p>
            <w:pPr>
              <w:widowControl/>
              <w:spacing w:after="0"/>
            </w:pPr>
            <w:r>
              <w:rPr>
                <w:rFonts w:ascii="Arial" w:hAnsi="Arial"/>
                <w:sz w:val="17"/>
              </w:rPr>
              <w:t>Transmission shafts (including cam shafts and crank shafts) and cranks</w:t>
            </w:r>
          </w:p>
        </w:tc>
      </w:tr>
      <w:tr>
        <w:trPr>
          <w:cantSplit/>
        </w:trPr>
        <w:tc>
          <w:tcPr>
            <w:tcW w:type="dxa" w:w="4680"/>
            <w:tcMar>
              <w:top w:w="70" w:type="dxa"/>
              <w:start w:w="110" w:type="dxa"/>
              <w:bottom w:w="70" w:type="dxa"/>
              <w:end w:w="110" w:type="dxa"/>
            </w:tcMar>
            <w:shd w:fill="F4F6F7"/>
          </w:tcPr>
          <w:p>
            <w:pPr>
              <w:widowControl/>
              <w:spacing w:after="0"/>
            </w:pPr>
            <w:r>
              <w:rPr>
                <w:rFonts w:ascii="Arial" w:hAnsi="Arial"/>
                <w:sz w:val="17"/>
              </w:rPr>
              <w:t>8483.20</w:t>
            </w:r>
          </w:p>
        </w:tc>
        <w:tc>
          <w:tcPr>
            <w:tcW w:type="dxa" w:w="4680"/>
            <w:tcMar>
              <w:top w:w="70" w:type="dxa"/>
              <w:start w:w="110" w:type="dxa"/>
              <w:bottom w:w="70" w:type="dxa"/>
              <w:end w:w="110" w:type="dxa"/>
            </w:tcMar>
            <w:shd w:fill="F4F6F7"/>
          </w:tcPr>
          <w:p>
            <w:pPr>
              <w:widowControl/>
              <w:spacing w:after="0"/>
            </w:pPr>
            <w:r>
              <w:rPr>
                <w:rFonts w:ascii="Arial" w:hAnsi="Arial"/>
                <w:sz w:val="17"/>
              </w:rPr>
              <w:t>Bearing housings, incorporating ball or roller bearings</w:t>
            </w:r>
          </w:p>
        </w:tc>
      </w:tr>
      <w:tr>
        <w:trPr>
          <w:cantSplit/>
        </w:trPr>
        <w:tc>
          <w:tcPr>
            <w:tcW w:type="dxa" w:w="4680"/>
            <w:tcMar>
              <w:top w:w="70" w:type="dxa"/>
              <w:start w:w="110" w:type="dxa"/>
              <w:bottom w:w="70" w:type="dxa"/>
              <w:end w:w="110" w:type="dxa"/>
            </w:tcMar>
          </w:tcPr>
          <w:p>
            <w:pPr>
              <w:widowControl/>
              <w:spacing w:after="0"/>
            </w:pPr>
            <w:r>
              <w:rPr>
                <w:rFonts w:ascii="Arial" w:hAnsi="Arial"/>
                <w:sz w:val="17"/>
              </w:rPr>
              <w:t>8483.30</w:t>
            </w:r>
          </w:p>
        </w:tc>
        <w:tc>
          <w:tcPr>
            <w:tcW w:type="dxa" w:w="4680"/>
            <w:tcMar>
              <w:top w:w="70" w:type="dxa"/>
              <w:start w:w="110" w:type="dxa"/>
              <w:bottom w:w="70" w:type="dxa"/>
              <w:end w:w="110" w:type="dxa"/>
            </w:tcMar>
          </w:tcPr>
          <w:p>
            <w:pPr>
              <w:widowControl/>
              <w:spacing w:after="0"/>
            </w:pPr>
            <w:r>
              <w:rPr>
                <w:rFonts w:ascii="Arial" w:hAnsi="Arial"/>
                <w:sz w:val="17"/>
              </w:rPr>
              <w:t>Bearing housings, not incorporating ball or roller bearings; plain shaft bearings</w:t>
            </w:r>
          </w:p>
        </w:tc>
      </w:tr>
      <w:tr>
        <w:trPr>
          <w:cantSplit/>
        </w:trPr>
        <w:tc>
          <w:tcPr>
            <w:tcW w:type="dxa" w:w="4680"/>
            <w:tcMar>
              <w:top w:w="70" w:type="dxa"/>
              <w:start w:w="110" w:type="dxa"/>
              <w:bottom w:w="70" w:type="dxa"/>
              <w:end w:w="110" w:type="dxa"/>
            </w:tcMar>
            <w:shd w:fill="F4F6F7"/>
          </w:tcPr>
          <w:p>
            <w:pPr>
              <w:widowControl/>
              <w:spacing w:after="0"/>
            </w:pPr>
            <w:r>
              <w:rPr>
                <w:rFonts w:ascii="Arial" w:hAnsi="Arial"/>
                <w:sz w:val="17"/>
              </w:rPr>
              <w:t>8483.40</w:t>
            </w:r>
          </w:p>
        </w:tc>
        <w:tc>
          <w:tcPr>
            <w:tcW w:type="dxa" w:w="4680"/>
            <w:tcMar>
              <w:top w:w="70" w:type="dxa"/>
              <w:start w:w="110" w:type="dxa"/>
              <w:bottom w:w="70" w:type="dxa"/>
              <w:end w:w="110" w:type="dxa"/>
            </w:tcMar>
            <w:shd w:fill="F4F6F7"/>
          </w:tcPr>
          <w:p>
            <w:pPr>
              <w:widowControl/>
              <w:spacing w:after="0"/>
            </w:pPr>
            <w:r>
              <w:rPr>
                <w:rFonts w:ascii="Arial" w:hAnsi="Arial"/>
                <w:sz w:val="17"/>
              </w:rPr>
              <w:t>Gears and gearing, other than toothed wheels, chain sprockets and other transmission elements presented separately; ball or roller screws; gear boxes and other speed changers, including torque converters</w:t>
            </w:r>
          </w:p>
        </w:tc>
      </w:tr>
      <w:tr>
        <w:trPr>
          <w:cantSplit/>
        </w:trPr>
        <w:tc>
          <w:tcPr>
            <w:tcW w:type="dxa" w:w="4680"/>
            <w:tcMar>
              <w:top w:w="70" w:type="dxa"/>
              <w:start w:w="110" w:type="dxa"/>
              <w:bottom w:w="70" w:type="dxa"/>
              <w:end w:w="110" w:type="dxa"/>
            </w:tcMar>
          </w:tcPr>
          <w:p>
            <w:pPr>
              <w:widowControl/>
              <w:spacing w:after="0"/>
            </w:pPr>
            <w:r>
              <w:rPr>
                <w:rFonts w:ascii="Arial" w:hAnsi="Arial"/>
                <w:sz w:val="17"/>
              </w:rPr>
              <w:t>8483.50</w:t>
            </w:r>
          </w:p>
        </w:tc>
        <w:tc>
          <w:tcPr>
            <w:tcW w:type="dxa" w:w="4680"/>
            <w:tcMar>
              <w:top w:w="70" w:type="dxa"/>
              <w:start w:w="110" w:type="dxa"/>
              <w:bottom w:w="70" w:type="dxa"/>
              <w:end w:w="110" w:type="dxa"/>
            </w:tcMar>
          </w:tcPr>
          <w:p>
            <w:pPr>
              <w:widowControl/>
              <w:spacing w:after="0"/>
            </w:pPr>
            <w:r>
              <w:rPr>
                <w:rFonts w:ascii="Arial" w:hAnsi="Arial"/>
                <w:sz w:val="17"/>
              </w:rPr>
              <w:t>Flywheels and pulleys, including pulley blocks</w:t>
            </w:r>
          </w:p>
        </w:tc>
      </w:tr>
      <w:tr>
        <w:trPr>
          <w:cantSplit/>
        </w:trPr>
        <w:tc>
          <w:tcPr>
            <w:tcW w:type="dxa" w:w="4680"/>
            <w:tcMar>
              <w:top w:w="70" w:type="dxa"/>
              <w:start w:w="110" w:type="dxa"/>
              <w:bottom w:w="70" w:type="dxa"/>
              <w:end w:w="110" w:type="dxa"/>
            </w:tcMar>
            <w:shd w:fill="F4F6F7"/>
          </w:tcPr>
          <w:p>
            <w:pPr>
              <w:widowControl/>
              <w:spacing w:after="0"/>
            </w:pPr>
            <w:r>
              <w:rPr>
                <w:rFonts w:ascii="Arial" w:hAnsi="Arial"/>
                <w:sz w:val="17"/>
              </w:rPr>
              <w:t>8483.60</w:t>
            </w:r>
          </w:p>
        </w:tc>
        <w:tc>
          <w:tcPr>
            <w:tcW w:type="dxa" w:w="4680"/>
            <w:tcMar>
              <w:top w:w="70" w:type="dxa"/>
              <w:start w:w="110" w:type="dxa"/>
              <w:bottom w:w="70" w:type="dxa"/>
              <w:end w:w="110" w:type="dxa"/>
            </w:tcMar>
            <w:shd w:fill="F4F6F7"/>
          </w:tcPr>
          <w:p>
            <w:pPr>
              <w:widowControl/>
              <w:spacing w:after="0"/>
            </w:pPr>
            <w:r>
              <w:rPr>
                <w:rFonts w:ascii="Arial" w:hAnsi="Arial"/>
                <w:sz w:val="17"/>
              </w:rPr>
              <w:t>Clutches and shaft couplings (including universal joints)</w:t>
            </w:r>
          </w:p>
        </w:tc>
      </w:tr>
      <w:tr>
        <w:trPr>
          <w:cantSplit/>
        </w:trPr>
        <w:tc>
          <w:tcPr>
            <w:tcW w:type="dxa" w:w="4680"/>
            <w:tcMar>
              <w:top w:w="70" w:type="dxa"/>
              <w:start w:w="110" w:type="dxa"/>
              <w:bottom w:w="70" w:type="dxa"/>
              <w:end w:w="110" w:type="dxa"/>
            </w:tcMar>
          </w:tcPr>
          <w:p>
            <w:pPr>
              <w:widowControl/>
              <w:spacing w:after="0"/>
            </w:pPr>
            <w:r>
              <w:rPr>
                <w:rFonts w:ascii="Arial" w:hAnsi="Arial"/>
                <w:sz w:val="17"/>
              </w:rPr>
              <w:t>8501.32</w:t>
            </w:r>
          </w:p>
        </w:tc>
        <w:tc>
          <w:tcPr>
            <w:tcW w:type="dxa" w:w="4680"/>
            <w:tcMar>
              <w:top w:w="70" w:type="dxa"/>
              <w:start w:w="110" w:type="dxa"/>
              <w:bottom w:w="70" w:type="dxa"/>
              <w:end w:w="110" w:type="dxa"/>
            </w:tcMar>
          </w:tcPr>
          <w:p>
            <w:pPr>
              <w:widowControl/>
              <w:spacing w:after="0"/>
            </w:pPr>
            <w:r>
              <w:rPr>
                <w:rFonts w:ascii="Arial" w:hAnsi="Arial"/>
                <w:sz w:val="17"/>
              </w:rPr>
              <w:t>Other DC motors and generators of an output exceeding 750W but not exceeding 75 kW</w:t>
            </w:r>
          </w:p>
        </w:tc>
      </w:tr>
      <w:tr>
        <w:trPr>
          <w:cantSplit/>
        </w:trPr>
        <w:tc>
          <w:tcPr>
            <w:tcW w:type="dxa" w:w="4680"/>
            <w:tcMar>
              <w:top w:w="70" w:type="dxa"/>
              <w:start w:w="110" w:type="dxa"/>
              <w:bottom w:w="70" w:type="dxa"/>
              <w:end w:w="110" w:type="dxa"/>
            </w:tcMar>
            <w:shd w:fill="F4F6F7"/>
          </w:tcPr>
          <w:p>
            <w:pPr>
              <w:widowControl/>
              <w:spacing w:after="0"/>
            </w:pPr>
            <w:r>
              <w:rPr>
                <w:rFonts w:ascii="Arial" w:hAnsi="Arial"/>
                <w:sz w:val="17"/>
              </w:rPr>
              <w:t>8501.33</w:t>
            </w:r>
          </w:p>
        </w:tc>
        <w:tc>
          <w:tcPr>
            <w:tcW w:type="dxa" w:w="4680"/>
            <w:tcMar>
              <w:top w:w="70" w:type="dxa"/>
              <w:start w:w="110" w:type="dxa"/>
              <w:bottom w:w="70" w:type="dxa"/>
              <w:end w:w="110" w:type="dxa"/>
            </w:tcMar>
            <w:shd w:fill="F4F6F7"/>
          </w:tcPr>
          <w:p>
            <w:pPr>
              <w:widowControl/>
              <w:spacing w:after="0"/>
            </w:pPr>
            <w:r>
              <w:rPr>
                <w:rFonts w:ascii="Arial" w:hAnsi="Arial"/>
                <w:sz w:val="17"/>
              </w:rPr>
              <w:t>Other DC motors and generators of an output exceeding 75 kW but not exceeding 375 kW</w:t>
            </w:r>
          </w:p>
        </w:tc>
      </w:tr>
      <w:tr>
        <w:trPr>
          <w:cantSplit/>
        </w:trPr>
        <w:tc>
          <w:tcPr>
            <w:tcW w:type="dxa" w:w="4680"/>
            <w:tcMar>
              <w:top w:w="70" w:type="dxa"/>
              <w:start w:w="110" w:type="dxa"/>
              <w:bottom w:w="70" w:type="dxa"/>
              <w:end w:w="110" w:type="dxa"/>
            </w:tcMar>
          </w:tcPr>
          <w:p>
            <w:pPr>
              <w:widowControl/>
              <w:spacing w:after="0"/>
            </w:pPr>
            <w:r>
              <w:rPr>
                <w:rFonts w:ascii="Arial" w:hAnsi="Arial"/>
                <w:sz w:val="17"/>
              </w:rPr>
              <w:t>8505.20</w:t>
            </w:r>
          </w:p>
        </w:tc>
        <w:tc>
          <w:tcPr>
            <w:tcW w:type="dxa" w:w="4680"/>
            <w:tcMar>
              <w:top w:w="70" w:type="dxa"/>
              <w:start w:w="110" w:type="dxa"/>
              <w:bottom w:w="70" w:type="dxa"/>
              <w:end w:w="110" w:type="dxa"/>
            </w:tcMar>
          </w:tcPr>
          <w:p>
            <w:pPr>
              <w:widowControl/>
              <w:spacing w:after="0"/>
            </w:pPr>
            <w:r>
              <w:rPr>
                <w:rFonts w:ascii="Arial" w:hAnsi="Arial"/>
                <w:sz w:val="17"/>
              </w:rPr>
              <w:t>Electro-magnetic couplings, clutches and brakes</w:t>
            </w:r>
          </w:p>
        </w:tc>
      </w:tr>
      <w:tr>
        <w:trPr>
          <w:cantSplit/>
        </w:trPr>
        <w:tc>
          <w:tcPr>
            <w:tcW w:type="dxa" w:w="4680"/>
            <w:tcMar>
              <w:top w:w="70" w:type="dxa"/>
              <w:start w:w="110" w:type="dxa"/>
              <w:bottom w:w="70" w:type="dxa"/>
              <w:end w:w="110" w:type="dxa"/>
            </w:tcMar>
            <w:shd w:fill="F4F6F7"/>
          </w:tcPr>
          <w:p>
            <w:pPr>
              <w:widowControl/>
              <w:spacing w:after="0"/>
            </w:pPr>
            <w:r>
              <w:rPr>
                <w:rFonts w:ascii="Arial" w:hAnsi="Arial"/>
                <w:sz w:val="17"/>
              </w:rPr>
              <w:t>8505.90</w:t>
            </w:r>
          </w:p>
        </w:tc>
        <w:tc>
          <w:tcPr>
            <w:tcW w:type="dxa" w:w="4680"/>
            <w:tcMar>
              <w:top w:w="70" w:type="dxa"/>
              <w:start w:w="110" w:type="dxa"/>
              <w:bottom w:w="70" w:type="dxa"/>
              <w:end w:w="110" w:type="dxa"/>
            </w:tcMar>
            <w:shd w:fill="F4F6F7"/>
          </w:tcPr>
          <w:p>
            <w:pPr>
              <w:widowControl/>
              <w:spacing w:after="0"/>
            </w:pPr>
            <w:r>
              <w:rPr>
                <w:rFonts w:ascii="Arial" w:hAnsi="Arial"/>
                <w:sz w:val="17"/>
              </w:rPr>
              <w:t>Other electro-magnets; electro-magnetic or permanent magnet chucks, clamps and similar holding devices; electro-magnetic lifting heads; including parts</w:t>
            </w:r>
          </w:p>
        </w:tc>
      </w:tr>
      <w:tr>
        <w:trPr>
          <w:cantSplit/>
        </w:trPr>
        <w:tc>
          <w:tcPr>
            <w:tcW w:type="dxa" w:w="4680"/>
            <w:tcMar>
              <w:top w:w="70" w:type="dxa"/>
              <w:start w:w="110" w:type="dxa"/>
              <w:bottom w:w="70" w:type="dxa"/>
              <w:end w:w="110" w:type="dxa"/>
            </w:tcMar>
          </w:tcPr>
          <w:p>
            <w:pPr>
              <w:widowControl/>
              <w:spacing w:after="0"/>
            </w:pPr>
            <w:r>
              <w:rPr>
                <w:rFonts w:ascii="Arial" w:hAnsi="Arial"/>
                <w:sz w:val="17"/>
              </w:rPr>
              <w:t>8511.40</w:t>
            </w:r>
          </w:p>
        </w:tc>
        <w:tc>
          <w:tcPr>
            <w:tcW w:type="dxa" w:w="4680"/>
            <w:tcMar>
              <w:top w:w="70" w:type="dxa"/>
              <w:start w:w="110" w:type="dxa"/>
              <w:bottom w:w="70" w:type="dxa"/>
              <w:end w:w="110" w:type="dxa"/>
            </w:tcMar>
          </w:tcPr>
          <w:p>
            <w:pPr>
              <w:widowControl/>
              <w:spacing w:after="0"/>
            </w:pPr>
            <w:r>
              <w:rPr>
                <w:rFonts w:ascii="Arial" w:hAnsi="Arial"/>
                <w:sz w:val="17"/>
              </w:rPr>
              <w:t>Starter motors and dual purpose starter-generators of a kind used for spark- ignition or compression-ignition internal combustion engines</w:t>
            </w:r>
          </w:p>
        </w:tc>
      </w:tr>
      <w:tr>
        <w:trPr>
          <w:cantSplit/>
        </w:trPr>
        <w:tc>
          <w:tcPr>
            <w:tcW w:type="dxa" w:w="4680"/>
            <w:tcMar>
              <w:top w:w="70" w:type="dxa"/>
              <w:start w:w="110" w:type="dxa"/>
              <w:bottom w:w="70" w:type="dxa"/>
              <w:end w:w="110" w:type="dxa"/>
            </w:tcMar>
            <w:shd w:fill="F4F6F7"/>
          </w:tcPr>
          <w:p>
            <w:pPr>
              <w:widowControl/>
              <w:spacing w:after="0"/>
            </w:pPr>
            <w:r>
              <w:rPr>
                <w:rFonts w:ascii="Arial" w:hAnsi="Arial"/>
                <w:sz w:val="17"/>
              </w:rPr>
              <w:t>8511.50</w:t>
            </w:r>
          </w:p>
        </w:tc>
        <w:tc>
          <w:tcPr>
            <w:tcW w:type="dxa" w:w="4680"/>
            <w:tcMar>
              <w:top w:w="70" w:type="dxa"/>
              <w:start w:w="110" w:type="dxa"/>
              <w:bottom w:w="70" w:type="dxa"/>
              <w:end w:w="110" w:type="dxa"/>
            </w:tcMar>
            <w:shd w:fill="F4F6F7"/>
          </w:tcPr>
          <w:p>
            <w:pPr>
              <w:widowControl/>
              <w:spacing w:after="0"/>
            </w:pPr>
            <w:r>
              <w:rPr>
                <w:rFonts w:ascii="Arial" w:hAnsi="Arial"/>
                <w:sz w:val="17"/>
              </w:rPr>
              <w:t>Other generators</w:t>
            </w:r>
          </w:p>
        </w:tc>
      </w:tr>
      <w:tr>
        <w:trPr>
          <w:cantSplit/>
        </w:trPr>
        <w:tc>
          <w:tcPr>
            <w:tcW w:type="dxa" w:w="4680"/>
            <w:tcMar>
              <w:top w:w="70" w:type="dxa"/>
              <w:start w:w="110" w:type="dxa"/>
              <w:bottom w:w="70" w:type="dxa"/>
              <w:end w:w="110" w:type="dxa"/>
            </w:tcMar>
          </w:tcPr>
          <w:p>
            <w:pPr>
              <w:widowControl/>
              <w:spacing w:after="0"/>
            </w:pPr>
            <w:r>
              <w:rPr>
                <w:rFonts w:ascii="Arial" w:hAnsi="Arial"/>
                <w:sz w:val="17"/>
              </w:rPr>
              <w:t>8511.80</w:t>
            </w:r>
          </w:p>
        </w:tc>
        <w:tc>
          <w:tcPr>
            <w:tcW w:type="dxa" w:w="4680"/>
            <w:tcMar>
              <w:top w:w="70" w:type="dxa"/>
              <w:start w:w="110" w:type="dxa"/>
              <w:bottom w:w="70" w:type="dxa"/>
              <w:end w:w="110" w:type="dxa"/>
            </w:tcMar>
          </w:tcPr>
          <w:p>
            <w:pPr>
              <w:widowControl/>
              <w:spacing w:after="0"/>
            </w:pPr>
            <w:r>
              <w:rPr>
                <w:rFonts w:ascii="Arial" w:hAnsi="Arial"/>
                <w:sz w:val="17"/>
              </w:rPr>
              <w:t>Other electrical ignition or starting equipment of a kind used for spark-ignition or compression-ignition internal combustion engines</w:t>
            </w:r>
          </w:p>
        </w:tc>
      </w:tr>
      <w:tr>
        <w:trPr>
          <w:cantSplit/>
        </w:trPr>
        <w:tc>
          <w:tcPr>
            <w:tcW w:type="dxa" w:w="4680"/>
            <w:tcMar>
              <w:top w:w="70" w:type="dxa"/>
              <w:start w:w="110" w:type="dxa"/>
              <w:bottom w:w="70" w:type="dxa"/>
              <w:end w:w="110" w:type="dxa"/>
            </w:tcMar>
            <w:shd w:fill="F4F6F7"/>
          </w:tcPr>
          <w:p>
            <w:pPr>
              <w:widowControl/>
              <w:spacing w:after="0"/>
            </w:pPr>
            <w:r>
              <w:rPr>
                <w:rFonts w:ascii="Arial" w:hAnsi="Arial"/>
                <w:sz w:val="17"/>
              </w:rPr>
              <w:t>Ex 8511.90</w:t>
            </w:r>
          </w:p>
        </w:tc>
        <w:tc>
          <w:tcPr>
            <w:tcW w:type="dxa" w:w="4680"/>
            <w:tcMar>
              <w:top w:w="70" w:type="dxa"/>
              <w:start w:w="110" w:type="dxa"/>
              <w:bottom w:w="70" w:type="dxa"/>
              <w:end w:w="110" w:type="dxa"/>
            </w:tcMar>
            <w:shd w:fill="F4F6F7"/>
          </w:tcPr>
          <w:p>
            <w:pPr>
              <w:widowControl/>
              <w:spacing w:after="0"/>
            </w:pPr>
            <w:r>
              <w:rPr>
                <w:rFonts w:ascii="Arial" w:hAnsi="Arial"/>
                <w:sz w:val="17"/>
              </w:rPr>
              <w:t>Parts of electrical ignition or starting equipment of a kind used for spark-ignition or compression-ignition internal combustion engines</w:t>
            </w:r>
          </w:p>
        </w:tc>
      </w:tr>
      <w:tr>
        <w:trPr>
          <w:cantSplit/>
        </w:trPr>
        <w:tc>
          <w:tcPr>
            <w:tcW w:type="dxa" w:w="4680"/>
            <w:tcMar>
              <w:top w:w="70" w:type="dxa"/>
              <w:start w:w="110" w:type="dxa"/>
              <w:bottom w:w="70" w:type="dxa"/>
              <w:end w:w="110" w:type="dxa"/>
            </w:tcMar>
          </w:tcPr>
          <w:p>
            <w:pPr>
              <w:widowControl/>
              <w:spacing w:after="0"/>
            </w:pPr>
            <w:r>
              <w:rPr>
                <w:rFonts w:ascii="Arial" w:hAnsi="Arial"/>
                <w:sz w:val="17"/>
              </w:rPr>
              <w:t>8537.10</w:t>
            </w:r>
          </w:p>
        </w:tc>
        <w:tc>
          <w:tcPr>
            <w:tcW w:type="dxa" w:w="4680"/>
            <w:tcMar>
              <w:top w:w="70" w:type="dxa"/>
              <w:start w:w="110" w:type="dxa"/>
              <w:bottom w:w="70" w:type="dxa"/>
              <w:end w:w="110" w:type="dxa"/>
            </w:tcMar>
          </w:tcPr>
          <w:p>
            <w:pPr>
              <w:widowControl/>
              <w:spacing w:after="0"/>
            </w:pPr>
            <w:r>
              <w:rPr>
                <w:rFonts w:ascii="Arial" w:hAnsi="Arial"/>
                <w:sz w:val="17"/>
              </w:rPr>
              <w:t>Electric controls for a voltage not exceeding 1,000 V</w:t>
            </w:r>
          </w:p>
        </w:tc>
      </w:tr>
      <w:tr>
        <w:trPr>
          <w:cantSplit/>
        </w:trPr>
        <w:tc>
          <w:tcPr>
            <w:tcW w:type="dxa" w:w="4680"/>
            <w:tcMar>
              <w:top w:w="70" w:type="dxa"/>
              <w:start w:w="110" w:type="dxa"/>
              <w:bottom w:w="70" w:type="dxa"/>
              <w:end w:w="110" w:type="dxa"/>
            </w:tcMar>
            <w:shd w:fill="F4F6F7"/>
          </w:tcPr>
          <w:p>
            <w:pPr>
              <w:widowControl/>
              <w:spacing w:after="0"/>
            </w:pPr>
            <w:r>
              <w:rPr>
                <w:rFonts w:ascii="Arial" w:hAnsi="Arial"/>
                <w:sz w:val="17"/>
              </w:rPr>
              <w:t>8708.10</w:t>
            </w:r>
          </w:p>
        </w:tc>
        <w:tc>
          <w:tcPr>
            <w:tcW w:type="dxa" w:w="4680"/>
            <w:tcMar>
              <w:top w:w="70" w:type="dxa"/>
              <w:start w:w="110" w:type="dxa"/>
              <w:bottom w:w="70" w:type="dxa"/>
              <w:end w:w="110" w:type="dxa"/>
            </w:tcMar>
            <w:shd w:fill="F4F6F7"/>
          </w:tcPr>
          <w:p>
            <w:pPr>
              <w:widowControl/>
              <w:spacing w:after="0"/>
            </w:pPr>
            <w:r>
              <w:rPr>
                <w:rFonts w:ascii="Arial" w:hAnsi="Arial"/>
                <w:sz w:val="17"/>
              </w:rPr>
              <w:t>Bumpers and parts thereof</w:t>
            </w:r>
          </w:p>
        </w:tc>
      </w:tr>
      <w:tr>
        <w:trPr>
          <w:cantSplit/>
        </w:trPr>
        <w:tc>
          <w:tcPr>
            <w:tcW w:type="dxa" w:w="4680"/>
            <w:tcMar>
              <w:top w:w="70" w:type="dxa"/>
              <w:start w:w="110" w:type="dxa"/>
              <w:bottom w:w="70" w:type="dxa"/>
              <w:end w:w="110" w:type="dxa"/>
            </w:tcMar>
          </w:tcPr>
          <w:p>
            <w:pPr>
              <w:widowControl/>
              <w:spacing w:after="0"/>
            </w:pPr>
            <w:r>
              <w:rPr>
                <w:rFonts w:ascii="Arial" w:hAnsi="Arial"/>
                <w:sz w:val="17"/>
              </w:rPr>
              <w:t>8708.21</w:t>
            </w:r>
          </w:p>
        </w:tc>
        <w:tc>
          <w:tcPr>
            <w:tcW w:type="dxa" w:w="4680"/>
            <w:tcMar>
              <w:top w:w="70" w:type="dxa"/>
              <w:start w:w="110" w:type="dxa"/>
              <w:bottom w:w="70" w:type="dxa"/>
              <w:end w:w="110" w:type="dxa"/>
            </w:tcMar>
          </w:tcPr>
          <w:p>
            <w:pPr>
              <w:widowControl/>
              <w:spacing w:after="0"/>
            </w:pPr>
            <w:r>
              <w:rPr>
                <w:rFonts w:ascii="Arial" w:hAnsi="Arial"/>
                <w:sz w:val="17"/>
              </w:rPr>
              <w:t>Safety seat belts</w:t>
            </w:r>
          </w:p>
        </w:tc>
      </w:tr>
      <w:tr>
        <w:trPr>
          <w:cantSplit/>
        </w:trPr>
        <w:tc>
          <w:tcPr>
            <w:tcW w:type="dxa" w:w="4680"/>
            <w:tcMar>
              <w:top w:w="70" w:type="dxa"/>
              <w:start w:w="110" w:type="dxa"/>
              <w:bottom w:w="70" w:type="dxa"/>
              <w:end w:w="110" w:type="dxa"/>
            </w:tcMar>
            <w:shd w:fill="F4F6F7"/>
          </w:tcPr>
          <w:p>
            <w:pPr>
              <w:widowControl/>
              <w:spacing w:after="0"/>
            </w:pPr>
            <w:r>
              <w:rPr>
                <w:rFonts w:ascii="Arial" w:hAnsi="Arial"/>
                <w:sz w:val="17"/>
              </w:rPr>
              <w:t>Ex 8708.29</w:t>
            </w:r>
          </w:p>
        </w:tc>
        <w:tc>
          <w:tcPr>
            <w:tcW w:type="dxa" w:w="4680"/>
            <w:tcMar>
              <w:top w:w="70" w:type="dxa"/>
              <w:start w:w="110" w:type="dxa"/>
              <w:bottom w:w="70" w:type="dxa"/>
              <w:end w:w="110" w:type="dxa"/>
            </w:tcMar>
            <w:shd w:fill="F4F6F7"/>
          </w:tcPr>
          <w:p>
            <w:pPr>
              <w:widowControl/>
              <w:spacing w:after="0"/>
            </w:pPr>
            <w:r>
              <w:rPr>
                <w:rFonts w:ascii="Arial" w:hAnsi="Arial"/>
                <w:sz w:val="17"/>
              </w:rPr>
              <w:t>Other parts and accessories of bodies (including cabs) of motor vehicles (excluding body stampings)</w:t>
            </w:r>
          </w:p>
        </w:tc>
      </w:tr>
      <w:tr>
        <w:trPr>
          <w:cantSplit/>
        </w:trPr>
        <w:tc>
          <w:tcPr>
            <w:tcW w:type="dxa" w:w="4680"/>
            <w:tcMar>
              <w:top w:w="70" w:type="dxa"/>
              <w:start w:w="110" w:type="dxa"/>
              <w:bottom w:w="70" w:type="dxa"/>
              <w:end w:w="110" w:type="dxa"/>
            </w:tcMar>
          </w:tcPr>
          <w:p>
            <w:pPr>
              <w:widowControl/>
              <w:spacing w:after="0"/>
            </w:pPr>
            <w:r>
              <w:rPr>
                <w:rFonts w:ascii="Arial" w:hAnsi="Arial"/>
                <w:sz w:val="17"/>
              </w:rPr>
              <w:t>8708.30</w:t>
            </w:r>
          </w:p>
        </w:tc>
        <w:tc>
          <w:tcPr>
            <w:tcW w:type="dxa" w:w="4680"/>
            <w:tcMar>
              <w:top w:w="70" w:type="dxa"/>
              <w:start w:w="110" w:type="dxa"/>
              <w:bottom w:w="70" w:type="dxa"/>
              <w:end w:w="110" w:type="dxa"/>
            </w:tcMar>
          </w:tcPr>
          <w:p>
            <w:pPr>
              <w:widowControl/>
              <w:spacing w:after="0"/>
            </w:pPr>
            <w:r>
              <w:rPr>
                <w:rFonts w:ascii="Arial" w:hAnsi="Arial"/>
                <w:sz w:val="17"/>
              </w:rPr>
              <w:t>Brakes and servo-brakes; parts thereof</w:t>
            </w:r>
          </w:p>
        </w:tc>
      </w:tr>
      <w:tr>
        <w:trPr>
          <w:cantSplit/>
        </w:trPr>
        <w:tc>
          <w:tcPr>
            <w:tcW w:type="dxa" w:w="4680"/>
            <w:tcMar>
              <w:top w:w="70" w:type="dxa"/>
              <w:start w:w="110" w:type="dxa"/>
              <w:bottom w:w="70" w:type="dxa"/>
              <w:end w:w="110" w:type="dxa"/>
            </w:tcMar>
            <w:shd w:fill="F4F6F7"/>
          </w:tcPr>
          <w:p>
            <w:pPr>
              <w:widowControl/>
              <w:spacing w:after="0"/>
            </w:pPr>
            <w:r>
              <w:rPr>
                <w:rFonts w:ascii="Arial" w:hAnsi="Arial"/>
                <w:sz w:val="17"/>
              </w:rPr>
              <w:t>8708.70</w:t>
            </w:r>
          </w:p>
        </w:tc>
        <w:tc>
          <w:tcPr>
            <w:tcW w:type="dxa" w:w="4680"/>
            <w:tcMar>
              <w:top w:w="70" w:type="dxa"/>
              <w:start w:w="110" w:type="dxa"/>
              <w:bottom w:w="70" w:type="dxa"/>
              <w:end w:w="110" w:type="dxa"/>
            </w:tcMar>
            <w:shd w:fill="F4F6F7"/>
          </w:tcPr>
          <w:p>
            <w:pPr>
              <w:widowControl/>
              <w:spacing w:after="0"/>
            </w:pPr>
            <w:r>
              <w:rPr>
                <w:rFonts w:ascii="Arial" w:hAnsi="Arial"/>
                <w:sz w:val="17"/>
              </w:rPr>
              <w:t>Road wheels and parts and accessories thereof</w:t>
            </w:r>
          </w:p>
        </w:tc>
      </w:tr>
      <w:tr>
        <w:trPr>
          <w:cantSplit/>
        </w:trPr>
        <w:tc>
          <w:tcPr>
            <w:tcW w:type="dxa" w:w="4680"/>
            <w:tcMar>
              <w:top w:w="70" w:type="dxa"/>
              <w:start w:w="110" w:type="dxa"/>
              <w:bottom w:w="70" w:type="dxa"/>
              <w:end w:w="110" w:type="dxa"/>
            </w:tcMar>
          </w:tcPr>
          <w:p>
            <w:pPr>
              <w:widowControl/>
              <w:spacing w:after="0"/>
            </w:pPr>
            <w:r>
              <w:rPr>
                <w:rFonts w:ascii="Arial" w:hAnsi="Arial"/>
                <w:sz w:val="17"/>
              </w:rPr>
              <w:t>8708.91</w:t>
            </w:r>
          </w:p>
        </w:tc>
        <w:tc>
          <w:tcPr>
            <w:tcW w:type="dxa" w:w="4680"/>
            <w:tcMar>
              <w:top w:w="70" w:type="dxa"/>
              <w:start w:w="110" w:type="dxa"/>
              <w:bottom w:w="70" w:type="dxa"/>
              <w:end w:w="110" w:type="dxa"/>
            </w:tcMar>
          </w:tcPr>
          <w:p>
            <w:pPr>
              <w:widowControl/>
              <w:spacing w:after="0"/>
            </w:pPr>
            <w:r>
              <w:rPr>
                <w:rFonts w:ascii="Arial" w:hAnsi="Arial"/>
                <w:sz w:val="17"/>
              </w:rPr>
              <w:t>Radiators and parts thereof</w:t>
            </w:r>
          </w:p>
        </w:tc>
      </w:tr>
      <w:tr>
        <w:trPr>
          <w:cantSplit/>
        </w:trPr>
        <w:tc>
          <w:tcPr>
            <w:tcW w:type="dxa" w:w="4680"/>
            <w:tcMar>
              <w:top w:w="70" w:type="dxa"/>
              <w:start w:w="110" w:type="dxa"/>
              <w:bottom w:w="70" w:type="dxa"/>
              <w:end w:w="110" w:type="dxa"/>
            </w:tcMar>
            <w:shd w:fill="F4F6F7"/>
          </w:tcPr>
          <w:p>
            <w:pPr>
              <w:widowControl/>
              <w:spacing w:after="0"/>
            </w:pPr>
            <w:r>
              <w:rPr>
                <w:rFonts w:ascii="Arial" w:hAnsi="Arial"/>
                <w:sz w:val="17"/>
              </w:rPr>
              <w:t>8708.92</w:t>
            </w:r>
          </w:p>
        </w:tc>
        <w:tc>
          <w:tcPr>
            <w:tcW w:type="dxa" w:w="4680"/>
            <w:tcMar>
              <w:top w:w="70" w:type="dxa"/>
              <w:start w:w="110" w:type="dxa"/>
              <w:bottom w:w="70" w:type="dxa"/>
              <w:end w:w="110" w:type="dxa"/>
            </w:tcMar>
            <w:shd w:fill="F4F6F7"/>
          </w:tcPr>
          <w:p>
            <w:pPr>
              <w:widowControl/>
              <w:spacing w:after="0"/>
            </w:pPr>
            <w:r>
              <w:rPr>
                <w:rFonts w:ascii="Arial" w:hAnsi="Arial"/>
                <w:sz w:val="17"/>
              </w:rPr>
              <w:t>Silencers (mufflers) and exhaust pipes; parts thereof</w:t>
            </w:r>
          </w:p>
        </w:tc>
      </w:tr>
      <w:tr>
        <w:trPr>
          <w:cantSplit/>
        </w:trPr>
        <w:tc>
          <w:tcPr>
            <w:tcW w:type="dxa" w:w="4680"/>
            <w:tcMar>
              <w:top w:w="70" w:type="dxa"/>
              <w:start w:w="110" w:type="dxa"/>
              <w:bottom w:w="70" w:type="dxa"/>
              <w:end w:w="110" w:type="dxa"/>
            </w:tcMar>
          </w:tcPr>
          <w:p>
            <w:pPr>
              <w:widowControl/>
              <w:spacing w:after="0"/>
            </w:pPr>
            <w:r>
              <w:rPr>
                <w:rFonts w:ascii="Arial" w:hAnsi="Arial"/>
                <w:sz w:val="17"/>
              </w:rPr>
              <w:t>8708.93</w:t>
            </w:r>
          </w:p>
        </w:tc>
        <w:tc>
          <w:tcPr>
            <w:tcW w:type="dxa" w:w="4680"/>
            <w:tcMar>
              <w:top w:w="70" w:type="dxa"/>
              <w:start w:w="110" w:type="dxa"/>
              <w:bottom w:w="70" w:type="dxa"/>
              <w:end w:w="110" w:type="dxa"/>
            </w:tcMar>
          </w:tcPr>
          <w:p>
            <w:pPr>
              <w:widowControl/>
              <w:spacing w:after="0"/>
            </w:pPr>
            <w:r>
              <w:rPr>
                <w:rFonts w:ascii="Arial" w:hAnsi="Arial"/>
                <w:sz w:val="17"/>
              </w:rPr>
              <w:t>Clutches and parts thereof</w:t>
            </w:r>
          </w:p>
        </w:tc>
      </w:tr>
      <w:tr>
        <w:trPr>
          <w:cantSplit/>
        </w:trPr>
        <w:tc>
          <w:tcPr>
            <w:tcW w:type="dxa" w:w="4680"/>
            <w:tcMar>
              <w:top w:w="70" w:type="dxa"/>
              <w:start w:w="110" w:type="dxa"/>
              <w:bottom w:w="70" w:type="dxa"/>
              <w:end w:w="110" w:type="dxa"/>
            </w:tcMar>
            <w:shd w:fill="F4F6F7"/>
          </w:tcPr>
          <w:p>
            <w:pPr>
              <w:widowControl/>
              <w:spacing w:after="0"/>
            </w:pPr>
            <w:r>
              <w:rPr>
                <w:rFonts w:ascii="Arial" w:hAnsi="Arial"/>
                <w:sz w:val="17"/>
              </w:rPr>
              <w:t>8708.95</w:t>
            </w:r>
          </w:p>
        </w:tc>
        <w:tc>
          <w:tcPr>
            <w:tcW w:type="dxa" w:w="4680"/>
            <w:tcMar>
              <w:top w:w="70" w:type="dxa"/>
              <w:start w:w="110" w:type="dxa"/>
              <w:bottom w:w="70" w:type="dxa"/>
              <w:end w:w="110" w:type="dxa"/>
            </w:tcMar>
            <w:shd w:fill="F4F6F7"/>
          </w:tcPr>
          <w:p>
            <w:pPr>
              <w:widowControl/>
              <w:spacing w:after="0"/>
            </w:pPr>
            <w:r>
              <w:rPr>
                <w:rFonts w:ascii="Arial" w:hAnsi="Arial"/>
                <w:sz w:val="17"/>
              </w:rPr>
              <w:t>Safety airbags with inflator system</w:t>
            </w:r>
          </w:p>
        </w:tc>
      </w:tr>
    </w:tbl>
    <w:p>
      <w:pPr>
        <w:widowControl/>
      </w:pPr>
      <w:r>
        <w:rPr>
          <w:b w:val="0"/>
        </w:rPr>
        <w:t>parts thereof Ex 8708.99 Other parts and accessories of motor vehicles of headings 87.01 to 87.05 (excluding chassis frames) 9401.20 Seats of a kind used for motor vehicles 4-B-1-38</w:t>
      </w:r>
    </w:p>
    <w:p>
      <w:pPr>
        <w:widowControl/>
      </w:pPr>
      <w:r>
        <w:rPr>
          <w:b/>
        </w:rPr>
        <w:t>TABLE C — COMPLEMENTARY PARTS FOR PASSENGER VEHICLES AND LIGHT TRUCKS</w:t>
      </w:r>
    </w:p>
    <w:p>
      <w:pPr>
        <w:widowControl/>
      </w:pPr>
      <w:r>
        <w:rPr>
          <w:b w:val="0"/>
        </w:rPr>
        <w:t>Note: The Regional Value Content requirements set out in Article 3 of this Appendix apply to a good for use in a passenger vehicle or light truck.</w:t>
      </w:r>
    </w:p>
    <w:tbl>
      <w:tblPr>
        <w:tblStyle w:val="TableGrid"/>
        <w:tblW w:type="auto" w:w="0"/>
        <w:jc w:val="center"/>
        <w:tblLayout w:type="autofit"/>
        <w:tblLook w:firstColumn="1" w:firstRow="1" w:lastColumn="0" w:lastRow="0" w:noHBand="0" w:noVBand="1" w:val="04A0"/>
      </w:tblPr>
      <w:tblGrid>
        <w:gridCol w:w="4680"/>
        <w:gridCol w:w="4680"/>
      </w:tblGrid>
      <w:tr>
        <w:trPr>
          <w:tblHeader w:val="true"/>
          <w:cantSplit/>
          <w:tblHeader w:val="true"/>
        </w:trPr>
        <w:tc>
          <w:tcPr>
            <w:tcW w:type="dxa" w:w="4680"/>
            <w:shd w:fill="233746"/>
          </w:tcPr>
          <w:p>
            <w:pPr>
              <w:spacing w:after="0"/>
            </w:pPr>
            <w:r>
              <w:rPr>
                <w:rFonts w:ascii="Arial" w:hAnsi="Arial"/>
                <w:b/>
                <w:color w:val="FFFFFF"/>
                <w:sz w:val="17"/>
              </w:rPr>
              <w:t>HS Provision</w:t>
            </w:r>
          </w:p>
        </w:tc>
        <w:tc>
          <w:tcPr>
            <w:tcW w:type="dxa" w:w="4680"/>
            <w:shd w:fill="233746"/>
          </w:tcPr>
          <w:p>
            <w:pPr>
              <w:spacing w:after="0"/>
            </w:pPr>
            <w:r>
              <w:rPr>
                <w:rFonts w:ascii="Arial" w:hAnsi="Arial"/>
                <w:b/>
                <w:color w:val="FFFFFF"/>
                <w:sz w:val="17"/>
              </w:rPr>
              <w:t>Description</w:t>
            </w:r>
          </w:p>
        </w:tc>
      </w:tr>
      <w:tr>
        <w:trPr>
          <w:cantSplit/>
        </w:trPr>
        <w:tc>
          <w:tcPr>
            <w:tcW w:type="dxa" w:w="4680"/>
            <w:tcMar>
              <w:top w:w="70" w:type="dxa"/>
              <w:start w:w="110" w:type="dxa"/>
              <w:bottom w:w="70" w:type="dxa"/>
              <w:end w:w="110" w:type="dxa"/>
            </w:tcMar>
          </w:tcPr>
          <w:p>
            <w:pPr>
              <w:widowControl/>
              <w:spacing w:after="0"/>
            </w:pPr>
            <w:r>
              <w:rPr>
                <w:rFonts w:ascii="Arial" w:hAnsi="Arial"/>
                <w:sz w:val="17"/>
              </w:rPr>
              <w:t>4009.12</w:t>
            </w:r>
          </w:p>
        </w:tc>
        <w:tc>
          <w:tcPr>
            <w:tcW w:type="dxa" w:w="4680"/>
            <w:tcMar>
              <w:top w:w="70" w:type="dxa"/>
              <w:start w:w="110" w:type="dxa"/>
              <w:bottom w:w="70" w:type="dxa"/>
              <w:end w:w="110" w:type="dxa"/>
            </w:tcMar>
          </w:tcPr>
          <w:p>
            <w:pPr>
              <w:widowControl/>
              <w:spacing w:after="0"/>
            </w:pPr>
            <w:r>
              <w:rPr>
                <w:rFonts w:ascii="Arial" w:hAnsi="Arial"/>
                <w:sz w:val="17"/>
              </w:rPr>
              <w:t>Tubes, pipes and hoses of vulcanised rubber other than hard rubber, not reinforced or otherwise combined with other materials, with fittings</w:t>
            </w:r>
          </w:p>
        </w:tc>
      </w:tr>
      <w:tr>
        <w:trPr>
          <w:cantSplit/>
        </w:trPr>
        <w:tc>
          <w:tcPr>
            <w:tcW w:type="dxa" w:w="4680"/>
            <w:tcMar>
              <w:top w:w="70" w:type="dxa"/>
              <w:start w:w="110" w:type="dxa"/>
              <w:bottom w:w="70" w:type="dxa"/>
              <w:end w:w="110" w:type="dxa"/>
            </w:tcMar>
            <w:shd w:fill="F4F6F7"/>
          </w:tcPr>
          <w:p>
            <w:pPr>
              <w:widowControl/>
              <w:spacing w:after="0"/>
            </w:pPr>
            <w:r>
              <w:rPr>
                <w:rFonts w:ascii="Arial" w:hAnsi="Arial"/>
                <w:sz w:val="17"/>
              </w:rPr>
              <w:t>4009.22</w:t>
            </w:r>
          </w:p>
        </w:tc>
        <w:tc>
          <w:tcPr>
            <w:tcW w:type="dxa" w:w="4680"/>
            <w:tcMar>
              <w:top w:w="70" w:type="dxa"/>
              <w:start w:w="110" w:type="dxa"/>
              <w:bottom w:w="70" w:type="dxa"/>
              <w:end w:w="110" w:type="dxa"/>
            </w:tcMar>
            <w:shd w:fill="F4F6F7"/>
          </w:tcPr>
          <w:p>
            <w:pPr>
              <w:widowControl/>
              <w:spacing w:after="0"/>
            </w:pPr>
            <w:r>
              <w:rPr>
                <w:rFonts w:ascii="Arial" w:hAnsi="Arial"/>
                <w:sz w:val="17"/>
              </w:rPr>
              <w:t>Tubes, pipes and hoses of vulcanised rubber other than hard rubber, reinforced or otherwise combined only with metal, with fittings</w:t>
            </w:r>
          </w:p>
        </w:tc>
      </w:tr>
      <w:tr>
        <w:trPr>
          <w:cantSplit/>
        </w:trPr>
        <w:tc>
          <w:tcPr>
            <w:tcW w:type="dxa" w:w="4680"/>
            <w:tcMar>
              <w:top w:w="70" w:type="dxa"/>
              <w:start w:w="110" w:type="dxa"/>
              <w:bottom w:w="70" w:type="dxa"/>
              <w:end w:w="110" w:type="dxa"/>
            </w:tcMar>
          </w:tcPr>
          <w:p>
            <w:pPr>
              <w:widowControl/>
              <w:spacing w:after="0"/>
            </w:pPr>
            <w:r>
              <w:rPr>
                <w:rFonts w:ascii="Arial" w:hAnsi="Arial"/>
                <w:sz w:val="17"/>
              </w:rPr>
              <w:t>4009.32</w:t>
            </w:r>
          </w:p>
        </w:tc>
        <w:tc>
          <w:tcPr>
            <w:tcW w:type="dxa" w:w="4680"/>
            <w:tcMar>
              <w:top w:w="70" w:type="dxa"/>
              <w:start w:w="110" w:type="dxa"/>
              <w:bottom w:w="70" w:type="dxa"/>
              <w:end w:w="110" w:type="dxa"/>
            </w:tcMar>
          </w:tcPr>
          <w:p>
            <w:pPr>
              <w:widowControl/>
              <w:spacing w:after="0"/>
            </w:pPr>
            <w:r>
              <w:rPr>
                <w:rFonts w:ascii="Arial" w:hAnsi="Arial"/>
                <w:sz w:val="17"/>
              </w:rPr>
              <w:t>Tubes, pipes and hoses of vulcanised rubber other than hard rubber, reinforced or otherwise combined only with textile materials, with fittings</w:t>
            </w:r>
          </w:p>
        </w:tc>
      </w:tr>
      <w:tr>
        <w:trPr>
          <w:cantSplit/>
        </w:trPr>
        <w:tc>
          <w:tcPr>
            <w:tcW w:type="dxa" w:w="4680"/>
            <w:tcMar>
              <w:top w:w="70" w:type="dxa"/>
              <w:start w:w="110" w:type="dxa"/>
              <w:bottom w:w="70" w:type="dxa"/>
              <w:end w:w="110" w:type="dxa"/>
            </w:tcMar>
            <w:shd w:fill="F4F6F7"/>
          </w:tcPr>
          <w:p>
            <w:pPr>
              <w:widowControl/>
              <w:spacing w:after="0"/>
            </w:pPr>
            <w:r>
              <w:rPr>
                <w:rFonts w:ascii="Arial" w:hAnsi="Arial"/>
                <w:sz w:val="17"/>
              </w:rPr>
              <w:t>4009.42</w:t>
            </w:r>
          </w:p>
        </w:tc>
        <w:tc>
          <w:tcPr>
            <w:tcW w:type="dxa" w:w="4680"/>
            <w:tcMar>
              <w:top w:w="70" w:type="dxa"/>
              <w:start w:w="110" w:type="dxa"/>
              <w:bottom w:w="70" w:type="dxa"/>
              <w:end w:w="110" w:type="dxa"/>
            </w:tcMar>
            <w:shd w:fill="F4F6F7"/>
          </w:tcPr>
          <w:p>
            <w:pPr>
              <w:widowControl/>
              <w:spacing w:after="0"/>
            </w:pPr>
            <w:r>
              <w:rPr>
                <w:rFonts w:ascii="Arial" w:hAnsi="Arial"/>
                <w:sz w:val="17"/>
              </w:rPr>
              <w:t>Tubes, pipes and hoses of vulcanised rubber other than hard rubber, reinforced or otherwise combined with other materials, with fittings</w:t>
            </w:r>
          </w:p>
        </w:tc>
      </w:tr>
      <w:tr>
        <w:trPr>
          <w:cantSplit/>
        </w:trPr>
        <w:tc>
          <w:tcPr>
            <w:tcW w:type="dxa" w:w="4680"/>
            <w:tcMar>
              <w:top w:w="70" w:type="dxa"/>
              <w:start w:w="110" w:type="dxa"/>
              <w:bottom w:w="70" w:type="dxa"/>
              <w:end w:w="110" w:type="dxa"/>
            </w:tcMar>
          </w:tcPr>
          <w:p>
            <w:pPr>
              <w:widowControl/>
              <w:spacing w:after="0"/>
            </w:pPr>
            <w:r>
              <w:rPr>
                <w:rFonts w:ascii="Arial" w:hAnsi="Arial"/>
                <w:sz w:val="17"/>
              </w:rPr>
              <w:t>8301.20</w:t>
            </w:r>
          </w:p>
        </w:tc>
        <w:tc>
          <w:tcPr>
            <w:tcW w:type="dxa" w:w="4680"/>
            <w:tcMar>
              <w:top w:w="70" w:type="dxa"/>
              <w:start w:w="110" w:type="dxa"/>
              <w:bottom w:w="70" w:type="dxa"/>
              <w:end w:w="110" w:type="dxa"/>
            </w:tcMar>
          </w:tcPr>
          <w:p>
            <w:pPr>
              <w:widowControl/>
              <w:spacing w:after="0"/>
            </w:pPr>
            <w:r>
              <w:rPr>
                <w:rFonts w:ascii="Arial" w:hAnsi="Arial"/>
                <w:sz w:val="17"/>
              </w:rPr>
              <w:t>Locks of a kind used for motor vehicles</w:t>
            </w:r>
          </w:p>
        </w:tc>
      </w:tr>
      <w:tr>
        <w:trPr>
          <w:cantSplit/>
        </w:trPr>
        <w:tc>
          <w:tcPr>
            <w:tcW w:type="dxa" w:w="4680"/>
            <w:tcMar>
              <w:top w:w="70" w:type="dxa"/>
              <w:start w:w="110" w:type="dxa"/>
              <w:bottom w:w="70" w:type="dxa"/>
              <w:end w:w="110" w:type="dxa"/>
            </w:tcMar>
            <w:shd w:fill="F4F6F7"/>
          </w:tcPr>
          <w:p>
            <w:pPr>
              <w:widowControl/>
              <w:spacing w:after="0"/>
            </w:pPr>
            <w:r>
              <w:rPr>
                <w:rFonts w:ascii="Arial" w:hAnsi="Arial"/>
                <w:sz w:val="17"/>
              </w:rPr>
              <w:t>Ex 8421.39</w:t>
            </w:r>
          </w:p>
        </w:tc>
        <w:tc>
          <w:tcPr>
            <w:tcW w:type="dxa" w:w="4680"/>
            <w:tcMar>
              <w:top w:w="70" w:type="dxa"/>
              <w:start w:w="110" w:type="dxa"/>
              <w:bottom w:w="70" w:type="dxa"/>
              <w:end w:w="110" w:type="dxa"/>
            </w:tcMar>
            <w:shd w:fill="F4F6F7"/>
          </w:tcPr>
          <w:p>
            <w:pPr>
              <w:widowControl/>
              <w:spacing w:after="0"/>
            </w:pPr>
            <w:r>
              <w:rPr>
                <w:rFonts w:ascii="Arial" w:hAnsi="Arial"/>
                <w:sz w:val="17"/>
              </w:rPr>
              <w:t>Catalytic converters</w:t>
            </w:r>
          </w:p>
        </w:tc>
      </w:tr>
      <w:tr>
        <w:trPr>
          <w:cantSplit/>
        </w:trPr>
        <w:tc>
          <w:tcPr>
            <w:tcW w:type="dxa" w:w="4680"/>
            <w:tcMar>
              <w:top w:w="70" w:type="dxa"/>
              <w:start w:w="110" w:type="dxa"/>
              <w:bottom w:w="70" w:type="dxa"/>
              <w:end w:w="110" w:type="dxa"/>
            </w:tcMar>
          </w:tcPr>
          <w:p>
            <w:pPr>
              <w:widowControl/>
              <w:spacing w:after="0"/>
            </w:pPr>
            <w:r>
              <w:rPr>
                <w:rFonts w:ascii="Arial" w:hAnsi="Arial"/>
                <w:sz w:val="17"/>
              </w:rPr>
              <w:t>8481.20</w:t>
            </w:r>
          </w:p>
        </w:tc>
        <w:tc>
          <w:tcPr>
            <w:tcW w:type="dxa" w:w="4680"/>
            <w:tcMar>
              <w:top w:w="70" w:type="dxa"/>
              <w:start w:w="110" w:type="dxa"/>
              <w:bottom w:w="70" w:type="dxa"/>
              <w:end w:w="110" w:type="dxa"/>
            </w:tcMar>
          </w:tcPr>
          <w:p>
            <w:pPr>
              <w:widowControl/>
              <w:spacing w:after="0"/>
            </w:pPr>
            <w:r>
              <w:rPr>
                <w:rFonts w:ascii="Arial" w:hAnsi="Arial"/>
                <w:sz w:val="17"/>
              </w:rPr>
              <w:t>Valves for oleohydraulic or pneumatic transmissions</w:t>
            </w:r>
          </w:p>
        </w:tc>
      </w:tr>
      <w:tr>
        <w:trPr>
          <w:cantSplit/>
        </w:trPr>
        <w:tc>
          <w:tcPr>
            <w:tcW w:type="dxa" w:w="4680"/>
            <w:tcMar>
              <w:top w:w="70" w:type="dxa"/>
              <w:start w:w="110" w:type="dxa"/>
              <w:bottom w:w="70" w:type="dxa"/>
              <w:end w:w="110" w:type="dxa"/>
            </w:tcMar>
            <w:shd w:fill="F4F6F7"/>
          </w:tcPr>
          <w:p>
            <w:pPr>
              <w:widowControl/>
              <w:spacing w:after="0"/>
            </w:pPr>
            <w:r>
              <w:rPr>
                <w:rFonts w:ascii="Arial" w:hAnsi="Arial"/>
                <w:sz w:val="17"/>
              </w:rPr>
              <w:t>8481.30</w:t>
            </w:r>
          </w:p>
        </w:tc>
        <w:tc>
          <w:tcPr>
            <w:tcW w:type="dxa" w:w="4680"/>
            <w:tcMar>
              <w:top w:w="70" w:type="dxa"/>
              <w:start w:w="110" w:type="dxa"/>
              <w:bottom w:w="70" w:type="dxa"/>
              <w:end w:w="110" w:type="dxa"/>
            </w:tcMar>
            <w:shd w:fill="F4F6F7"/>
          </w:tcPr>
          <w:p>
            <w:pPr>
              <w:widowControl/>
              <w:spacing w:after="0"/>
            </w:pPr>
            <w:r>
              <w:rPr>
                <w:rFonts w:ascii="Arial" w:hAnsi="Arial"/>
                <w:sz w:val="17"/>
              </w:rPr>
              <w:t>Check (nonreturn) valves</w:t>
            </w:r>
          </w:p>
        </w:tc>
      </w:tr>
      <w:tr>
        <w:trPr>
          <w:cantSplit/>
        </w:trPr>
        <w:tc>
          <w:tcPr>
            <w:tcW w:type="dxa" w:w="4680"/>
            <w:tcMar>
              <w:top w:w="70" w:type="dxa"/>
              <w:start w:w="110" w:type="dxa"/>
              <w:bottom w:w="70" w:type="dxa"/>
              <w:end w:w="110" w:type="dxa"/>
            </w:tcMar>
          </w:tcPr>
          <w:p>
            <w:pPr>
              <w:widowControl/>
              <w:spacing w:after="0"/>
            </w:pPr>
            <w:r>
              <w:rPr>
                <w:rFonts w:ascii="Arial" w:hAnsi="Arial"/>
                <w:sz w:val="17"/>
              </w:rPr>
              <w:t>8481.80</w:t>
            </w:r>
          </w:p>
        </w:tc>
        <w:tc>
          <w:tcPr>
            <w:tcW w:type="dxa" w:w="4680"/>
            <w:tcMar>
              <w:top w:w="70" w:type="dxa"/>
              <w:start w:w="110" w:type="dxa"/>
              <w:bottom w:w="70" w:type="dxa"/>
              <w:end w:w="110" w:type="dxa"/>
            </w:tcMar>
          </w:tcPr>
          <w:p>
            <w:pPr>
              <w:widowControl/>
              <w:spacing w:after="0"/>
            </w:pPr>
            <w:r>
              <w:rPr>
                <w:rFonts w:ascii="Arial" w:hAnsi="Arial"/>
                <w:sz w:val="17"/>
              </w:rPr>
              <w:t>Other taps, cocks, valves and similar appliances, including pressure-reducing valves and thermostatically controlled valves</w:t>
            </w:r>
          </w:p>
        </w:tc>
      </w:tr>
      <w:tr>
        <w:trPr>
          <w:cantSplit/>
        </w:trPr>
        <w:tc>
          <w:tcPr>
            <w:tcW w:type="dxa" w:w="4680"/>
            <w:tcMar>
              <w:top w:w="70" w:type="dxa"/>
              <w:start w:w="110" w:type="dxa"/>
              <w:bottom w:w="70" w:type="dxa"/>
              <w:end w:w="110" w:type="dxa"/>
            </w:tcMar>
            <w:shd w:fill="F4F6F7"/>
          </w:tcPr>
          <w:p>
            <w:pPr>
              <w:widowControl/>
              <w:spacing w:after="0"/>
            </w:pPr>
            <w:r>
              <w:rPr>
                <w:rFonts w:ascii="Arial" w:hAnsi="Arial"/>
                <w:sz w:val="17"/>
              </w:rPr>
              <w:t>8501.10</w:t>
            </w:r>
          </w:p>
        </w:tc>
        <w:tc>
          <w:tcPr>
            <w:tcW w:type="dxa" w:w="4680"/>
            <w:tcMar>
              <w:top w:w="70" w:type="dxa"/>
              <w:start w:w="110" w:type="dxa"/>
              <w:bottom w:w="70" w:type="dxa"/>
              <w:end w:w="110" w:type="dxa"/>
            </w:tcMar>
            <w:shd w:fill="F4F6F7"/>
          </w:tcPr>
          <w:p>
            <w:pPr>
              <w:widowControl/>
              <w:spacing w:after="0"/>
            </w:pPr>
            <w:r>
              <w:rPr>
                <w:rFonts w:ascii="Arial" w:hAnsi="Arial"/>
                <w:sz w:val="17"/>
              </w:rPr>
              <w:t>Electric motors of an output not exceeding 37.5 W</w:t>
            </w:r>
          </w:p>
        </w:tc>
      </w:tr>
      <w:tr>
        <w:trPr>
          <w:cantSplit/>
        </w:trPr>
        <w:tc>
          <w:tcPr>
            <w:tcW w:type="dxa" w:w="4680"/>
            <w:tcMar>
              <w:top w:w="70" w:type="dxa"/>
              <w:start w:w="110" w:type="dxa"/>
              <w:bottom w:w="70" w:type="dxa"/>
              <w:end w:w="110" w:type="dxa"/>
            </w:tcMar>
          </w:tcPr>
          <w:p>
            <w:pPr>
              <w:widowControl/>
              <w:spacing w:after="0"/>
            </w:pPr>
            <w:r>
              <w:rPr>
                <w:rFonts w:ascii="Arial" w:hAnsi="Arial"/>
                <w:sz w:val="17"/>
              </w:rPr>
              <w:t>8501.20</w:t>
            </w:r>
          </w:p>
        </w:tc>
        <w:tc>
          <w:tcPr>
            <w:tcW w:type="dxa" w:w="4680"/>
            <w:tcMar>
              <w:top w:w="70" w:type="dxa"/>
              <w:start w:w="110" w:type="dxa"/>
              <w:bottom w:w="70" w:type="dxa"/>
              <w:end w:w="110" w:type="dxa"/>
            </w:tcMar>
          </w:tcPr>
          <w:p>
            <w:pPr>
              <w:widowControl/>
              <w:spacing w:after="0"/>
            </w:pPr>
            <w:r>
              <w:rPr>
                <w:rFonts w:ascii="Arial" w:hAnsi="Arial"/>
                <w:sz w:val="17"/>
              </w:rPr>
              <w:t>Universal AC/DC motors of an output exceeding 37.5 W</w:t>
            </w:r>
          </w:p>
        </w:tc>
      </w:tr>
      <w:tr>
        <w:trPr>
          <w:cantSplit/>
        </w:trPr>
        <w:tc>
          <w:tcPr>
            <w:tcW w:type="dxa" w:w="4680"/>
            <w:tcMar>
              <w:top w:w="70" w:type="dxa"/>
              <w:start w:w="110" w:type="dxa"/>
              <w:bottom w:w="70" w:type="dxa"/>
              <w:end w:w="110" w:type="dxa"/>
            </w:tcMar>
            <w:shd w:fill="F4F6F7"/>
          </w:tcPr>
          <w:p>
            <w:pPr>
              <w:widowControl/>
              <w:spacing w:after="0"/>
            </w:pPr>
            <w:r>
              <w:rPr>
                <w:rFonts w:ascii="Arial" w:hAnsi="Arial"/>
                <w:sz w:val="17"/>
              </w:rPr>
              <w:t>8501.31</w:t>
            </w:r>
          </w:p>
        </w:tc>
        <w:tc>
          <w:tcPr>
            <w:tcW w:type="dxa" w:w="4680"/>
            <w:tcMar>
              <w:top w:w="70" w:type="dxa"/>
              <w:start w:w="110" w:type="dxa"/>
              <w:bottom w:w="70" w:type="dxa"/>
              <w:end w:w="110" w:type="dxa"/>
            </w:tcMar>
            <w:shd w:fill="F4F6F7"/>
          </w:tcPr>
          <w:p>
            <w:pPr>
              <w:widowControl/>
              <w:spacing w:after="0"/>
            </w:pPr>
            <w:r>
              <w:rPr>
                <w:rFonts w:ascii="Arial" w:hAnsi="Arial"/>
                <w:sz w:val="17"/>
              </w:rPr>
              <w:t>Other DC motors and generators of an output not exceeding 750 W</w:t>
            </w:r>
          </w:p>
        </w:tc>
      </w:tr>
      <w:tr>
        <w:trPr>
          <w:cantSplit/>
        </w:trPr>
        <w:tc>
          <w:tcPr>
            <w:tcW w:type="dxa" w:w="4680"/>
            <w:tcMar>
              <w:top w:w="70" w:type="dxa"/>
              <w:start w:w="110" w:type="dxa"/>
              <w:bottom w:w="70" w:type="dxa"/>
              <w:end w:w="110" w:type="dxa"/>
            </w:tcMar>
          </w:tcPr>
          <w:p>
            <w:pPr>
              <w:widowControl/>
              <w:spacing w:after="0"/>
            </w:pPr>
            <w:r>
              <w:rPr>
                <w:rFonts w:ascii="Arial" w:hAnsi="Arial"/>
                <w:sz w:val="17"/>
              </w:rPr>
              <w:t>Ex 8507.20</w:t>
            </w:r>
          </w:p>
        </w:tc>
        <w:tc>
          <w:tcPr>
            <w:tcW w:type="dxa" w:w="4680"/>
            <w:tcMar>
              <w:top w:w="70" w:type="dxa"/>
              <w:start w:w="110" w:type="dxa"/>
              <w:bottom w:w="70" w:type="dxa"/>
              <w:end w:w="110" w:type="dxa"/>
            </w:tcMar>
          </w:tcPr>
          <w:p>
            <w:pPr>
              <w:widowControl/>
              <w:spacing w:after="0"/>
            </w:pPr>
            <w:r>
              <w:rPr>
                <w:rFonts w:ascii="Arial" w:hAnsi="Arial"/>
                <w:sz w:val="17"/>
              </w:rPr>
              <w:t>Other lead-acid batteries of a kind used for the propulsion of motor vehicles of Chapter 87</w:t>
            </w:r>
          </w:p>
        </w:tc>
      </w:tr>
      <w:tr>
        <w:trPr>
          <w:cantSplit/>
        </w:trPr>
        <w:tc>
          <w:tcPr>
            <w:tcW w:type="dxa" w:w="4680"/>
            <w:tcMar>
              <w:top w:w="70" w:type="dxa"/>
              <w:start w:w="110" w:type="dxa"/>
              <w:bottom w:w="70" w:type="dxa"/>
              <w:end w:w="110" w:type="dxa"/>
            </w:tcMar>
            <w:shd w:fill="F4F6F7"/>
          </w:tcPr>
          <w:p>
            <w:pPr>
              <w:widowControl/>
              <w:spacing w:after="0"/>
            </w:pPr>
            <w:r>
              <w:rPr>
                <w:rFonts w:ascii="Arial" w:hAnsi="Arial"/>
                <w:sz w:val="17"/>
              </w:rPr>
              <w:t>Ex 8507.30</w:t>
            </w:r>
          </w:p>
        </w:tc>
        <w:tc>
          <w:tcPr>
            <w:tcW w:type="dxa" w:w="4680"/>
            <w:tcMar>
              <w:top w:w="70" w:type="dxa"/>
              <w:start w:w="110" w:type="dxa"/>
              <w:bottom w:w="70" w:type="dxa"/>
              <w:end w:w="110" w:type="dxa"/>
            </w:tcMar>
            <w:shd w:fill="F4F6F7"/>
          </w:tcPr>
          <w:p>
            <w:pPr>
              <w:widowControl/>
              <w:spacing w:after="0"/>
            </w:pPr>
            <w:r>
              <w:rPr>
                <w:rFonts w:ascii="Arial" w:hAnsi="Arial"/>
                <w:sz w:val="17"/>
              </w:rPr>
              <w:t>Nickel-cadmium batteries of a kind used for the propulsion of motor vehicles of Chapter 87 Ex</w:t>
            </w:r>
          </w:p>
        </w:tc>
      </w:tr>
    </w:tbl>
    <w:p>
      <w:pPr>
        <w:widowControl/>
      </w:pPr>
      <w:r>
        <w:rPr>
          <w:b w:val="0"/>
        </w:rPr>
        <w:t>8507.40 Nickel-iron batteries of a kind used for the propulsion of motor vehicles of Chapter 87 Ex 8507.80 Other batteries of a kind used for the propulsion of motor vehicles of Chapter 87 8511.30 Distributors; ignition coils 8512.20 Other lighting or visual signalling equipment 8512.40 Windshield wipers, defrosters and demisters Ex 8519.81 Cassette decks 8536.50 Other electrical switches, for a voltage not exceeding 1,000 V Ex 8536.90 Junction boxes 8539.10 Sealed beam lamp units 8539.21 Tungsten halogen filament lamp 8544.30 Ignition wiring sets and other wiring sets of a kind used in motor vehicles 9031.80 Other measuring and checking instruments, appliances &amp; machines 4-B-1-39 9032.89 Other automatic regulating or controlling instruments and apparatus 4-B-1-40</w:t>
      </w:r>
    </w:p>
    <w:p>
      <w:pPr>
        <w:widowControl/>
      </w:pPr>
      <w:r>
        <w:rPr>
          <w:b/>
        </w:rPr>
        <w:t>TABLE D — PRINCIPAL PARTS FOR HEAVY TRUCKS</w:t>
      </w:r>
    </w:p>
    <w:p>
      <w:pPr>
        <w:widowControl/>
      </w:pPr>
      <w:r>
        <w:rPr>
          <w:b w:val="0"/>
        </w:rPr>
        <w:t>Note: The Regional Value Content requirements set out in Article 4 of this Appendix apply to a good for use in a heavy truck.</w:t>
      </w:r>
    </w:p>
    <w:tbl>
      <w:tblPr>
        <w:tblStyle w:val="TableGrid"/>
        <w:tblW w:type="auto" w:w="0"/>
        <w:jc w:val="center"/>
        <w:tblLayout w:type="autofit"/>
        <w:tblLook w:firstColumn="1" w:firstRow="1" w:lastColumn="0" w:lastRow="0" w:noHBand="0" w:noVBand="1" w:val="04A0"/>
      </w:tblPr>
      <w:tblGrid>
        <w:gridCol w:w="4680"/>
        <w:gridCol w:w="4680"/>
      </w:tblGrid>
      <w:tr>
        <w:trPr>
          <w:tblHeader w:val="true"/>
          <w:cantSplit/>
          <w:tblHeader w:val="true"/>
        </w:trPr>
        <w:tc>
          <w:tcPr>
            <w:tcW w:type="dxa" w:w="4680"/>
            <w:shd w:fill="233746"/>
          </w:tcPr>
          <w:p>
            <w:pPr>
              <w:spacing w:after="0"/>
            </w:pPr>
            <w:r>
              <w:rPr>
                <w:rFonts w:ascii="Arial" w:hAnsi="Arial"/>
                <w:b/>
                <w:color w:val="FFFFFF"/>
                <w:sz w:val="17"/>
              </w:rPr>
              <w:t>HS Provision</w:t>
            </w:r>
          </w:p>
        </w:tc>
        <w:tc>
          <w:tcPr>
            <w:tcW w:type="dxa" w:w="4680"/>
            <w:shd w:fill="233746"/>
          </w:tcPr>
          <w:p>
            <w:pPr>
              <w:spacing w:after="0"/>
            </w:pPr>
            <w:r>
              <w:rPr>
                <w:rFonts w:ascii="Arial" w:hAnsi="Arial"/>
                <w:b/>
                <w:color w:val="FFFFFF"/>
                <w:sz w:val="17"/>
              </w:rPr>
              <w:t>Description</w:t>
            </w:r>
          </w:p>
        </w:tc>
      </w:tr>
      <w:tr>
        <w:trPr>
          <w:cantSplit/>
        </w:trPr>
        <w:tc>
          <w:tcPr>
            <w:tcW w:type="dxa" w:w="4680"/>
            <w:tcMar>
              <w:top w:w="70" w:type="dxa"/>
              <w:start w:w="110" w:type="dxa"/>
              <w:bottom w:w="70" w:type="dxa"/>
              <w:end w:w="110" w:type="dxa"/>
            </w:tcMar>
          </w:tcPr>
          <w:p>
            <w:pPr>
              <w:widowControl/>
              <w:spacing w:after="0"/>
            </w:pPr>
            <w:r>
              <w:rPr>
                <w:rFonts w:ascii="Arial" w:hAnsi="Arial"/>
                <w:sz w:val="17"/>
              </w:rPr>
              <w:t>8407.31</w:t>
            </w:r>
          </w:p>
        </w:tc>
        <w:tc>
          <w:tcPr>
            <w:tcW w:type="dxa" w:w="4680"/>
            <w:tcMar>
              <w:top w:w="70" w:type="dxa"/>
              <w:start w:w="110" w:type="dxa"/>
              <w:bottom w:w="70" w:type="dxa"/>
              <w:end w:w="110" w:type="dxa"/>
            </w:tcMar>
          </w:tcPr>
          <w:p>
            <w:pPr>
              <w:widowControl/>
              <w:spacing w:after="0"/>
            </w:pPr>
            <w:r>
              <w:rPr>
                <w:rFonts w:ascii="Arial" w:hAnsi="Arial"/>
                <w:sz w:val="17"/>
              </w:rPr>
              <w:t>Reciprocating piston engines of a kind used for the propulsion of passenger vehicles of Chapter 87, of a cylinder capacity not exceeding 50 cc</w:t>
            </w:r>
          </w:p>
        </w:tc>
      </w:tr>
      <w:tr>
        <w:trPr>
          <w:cantSplit/>
        </w:trPr>
        <w:tc>
          <w:tcPr>
            <w:tcW w:type="dxa" w:w="4680"/>
            <w:tcMar>
              <w:top w:w="70" w:type="dxa"/>
              <w:start w:w="110" w:type="dxa"/>
              <w:bottom w:w="70" w:type="dxa"/>
              <w:end w:w="110" w:type="dxa"/>
            </w:tcMar>
            <w:shd w:fill="F4F6F7"/>
          </w:tcPr>
          <w:p>
            <w:pPr>
              <w:widowControl/>
              <w:spacing w:after="0"/>
            </w:pPr>
            <w:r>
              <w:rPr>
                <w:rFonts w:ascii="Arial" w:hAnsi="Arial"/>
                <w:sz w:val="17"/>
              </w:rPr>
              <w:t>8407.32</w:t>
            </w:r>
          </w:p>
        </w:tc>
        <w:tc>
          <w:tcPr>
            <w:tcW w:type="dxa" w:w="4680"/>
            <w:tcMar>
              <w:top w:w="70" w:type="dxa"/>
              <w:start w:w="110" w:type="dxa"/>
              <w:bottom w:w="70" w:type="dxa"/>
              <w:end w:w="110" w:type="dxa"/>
            </w:tcMar>
            <w:shd w:fill="F4F6F7"/>
          </w:tcPr>
          <w:p>
            <w:pPr>
              <w:widowControl/>
              <w:spacing w:after="0"/>
            </w:pPr>
            <w:r>
              <w:rPr>
                <w:rFonts w:ascii="Arial" w:hAnsi="Arial"/>
                <w:sz w:val="17"/>
              </w:rPr>
              <w:t>Reciprocating piston engines of a kind used for the propulsion of vehicles of Chapter 87, of a cylinder capacity exceeding 50 cc but not exceeding 250 cc</w:t>
            </w:r>
          </w:p>
        </w:tc>
      </w:tr>
      <w:tr>
        <w:trPr>
          <w:cantSplit/>
        </w:trPr>
        <w:tc>
          <w:tcPr>
            <w:tcW w:type="dxa" w:w="4680"/>
            <w:tcMar>
              <w:top w:w="70" w:type="dxa"/>
              <w:start w:w="110" w:type="dxa"/>
              <w:bottom w:w="70" w:type="dxa"/>
              <w:end w:w="110" w:type="dxa"/>
            </w:tcMar>
          </w:tcPr>
          <w:p>
            <w:pPr>
              <w:widowControl/>
              <w:spacing w:after="0"/>
            </w:pPr>
            <w:r>
              <w:rPr>
                <w:rFonts w:ascii="Arial" w:hAnsi="Arial"/>
                <w:sz w:val="17"/>
              </w:rPr>
              <w:t>8407.33</w:t>
            </w:r>
          </w:p>
        </w:tc>
        <w:tc>
          <w:tcPr>
            <w:tcW w:type="dxa" w:w="4680"/>
            <w:tcMar>
              <w:top w:w="70" w:type="dxa"/>
              <w:start w:w="110" w:type="dxa"/>
              <w:bottom w:w="70" w:type="dxa"/>
              <w:end w:w="110" w:type="dxa"/>
            </w:tcMar>
          </w:tcPr>
          <w:p>
            <w:pPr>
              <w:widowControl/>
              <w:spacing w:after="0"/>
            </w:pPr>
            <w:r>
              <w:rPr>
                <w:rFonts w:ascii="Arial" w:hAnsi="Arial"/>
                <w:sz w:val="17"/>
              </w:rPr>
              <w:t>Reciprocating piston engines of a kind used for the propulsion of vehicles of Chapter 87, of a cylinder capacity exceeding 250 cc but not exceeding 1,000 cc</w:t>
            </w:r>
          </w:p>
        </w:tc>
      </w:tr>
      <w:tr>
        <w:trPr>
          <w:cantSplit/>
        </w:trPr>
        <w:tc>
          <w:tcPr>
            <w:tcW w:type="dxa" w:w="4680"/>
            <w:tcMar>
              <w:top w:w="70" w:type="dxa"/>
              <w:start w:w="110" w:type="dxa"/>
              <w:bottom w:w="70" w:type="dxa"/>
              <w:end w:w="110" w:type="dxa"/>
            </w:tcMar>
            <w:shd w:fill="F4F6F7"/>
          </w:tcPr>
          <w:p>
            <w:pPr>
              <w:widowControl/>
              <w:spacing w:after="0"/>
            </w:pPr>
            <w:r>
              <w:rPr>
                <w:rFonts w:ascii="Arial" w:hAnsi="Arial"/>
                <w:sz w:val="17"/>
              </w:rPr>
              <w:t>8407.34</w:t>
            </w:r>
          </w:p>
        </w:tc>
        <w:tc>
          <w:tcPr>
            <w:tcW w:type="dxa" w:w="4680"/>
            <w:tcMar>
              <w:top w:w="70" w:type="dxa"/>
              <w:start w:w="110" w:type="dxa"/>
              <w:bottom w:w="70" w:type="dxa"/>
              <w:end w:w="110" w:type="dxa"/>
            </w:tcMar>
            <w:shd w:fill="F4F6F7"/>
          </w:tcPr>
          <w:p>
            <w:pPr>
              <w:widowControl/>
              <w:spacing w:after="0"/>
            </w:pPr>
            <w:r>
              <w:rPr>
                <w:rFonts w:ascii="Arial" w:hAnsi="Arial"/>
                <w:sz w:val="17"/>
              </w:rPr>
              <w:t>Reciprocating piston engines of a kind used for the propulsion of vehicles of Chapter 87, of a cylinder capacity exceeding 1,000 cc</w:t>
            </w:r>
          </w:p>
        </w:tc>
      </w:tr>
      <w:tr>
        <w:trPr>
          <w:cantSplit/>
        </w:trPr>
        <w:tc>
          <w:tcPr>
            <w:tcW w:type="dxa" w:w="4680"/>
            <w:tcMar>
              <w:top w:w="70" w:type="dxa"/>
              <w:start w:w="110" w:type="dxa"/>
              <w:bottom w:w="70" w:type="dxa"/>
              <w:end w:w="110" w:type="dxa"/>
            </w:tcMar>
          </w:tcPr>
          <w:p>
            <w:pPr>
              <w:widowControl/>
              <w:spacing w:after="0"/>
            </w:pPr>
            <w:r>
              <w:rPr>
                <w:rFonts w:ascii="Arial" w:hAnsi="Arial"/>
                <w:sz w:val="17"/>
              </w:rPr>
              <w:t>8408.20</w:t>
            </w:r>
          </w:p>
        </w:tc>
        <w:tc>
          <w:tcPr>
            <w:tcW w:type="dxa" w:w="4680"/>
            <w:tcMar>
              <w:top w:w="70" w:type="dxa"/>
              <w:start w:w="110" w:type="dxa"/>
              <w:bottom w:w="70" w:type="dxa"/>
              <w:end w:w="110" w:type="dxa"/>
            </w:tcMar>
          </w:tcPr>
          <w:p>
            <w:pPr>
              <w:widowControl/>
              <w:spacing w:after="0"/>
            </w:pPr>
            <w:r>
              <w:rPr>
                <w:rFonts w:ascii="Arial" w:hAnsi="Arial"/>
                <w:sz w:val="17"/>
              </w:rPr>
              <w:t>Compression-ignition internal combustion piston engines of a kind used for the propulsion of vehicles of Chapter 87</w:t>
            </w:r>
          </w:p>
        </w:tc>
      </w:tr>
      <w:tr>
        <w:trPr>
          <w:cantSplit/>
        </w:trPr>
        <w:tc>
          <w:tcPr>
            <w:tcW w:type="dxa" w:w="4680"/>
            <w:tcMar>
              <w:top w:w="70" w:type="dxa"/>
              <w:start w:w="110" w:type="dxa"/>
              <w:bottom w:w="70" w:type="dxa"/>
              <w:end w:w="110" w:type="dxa"/>
            </w:tcMar>
            <w:shd w:fill="F4F6F7"/>
          </w:tcPr>
          <w:p>
            <w:pPr>
              <w:widowControl/>
              <w:spacing w:after="0"/>
            </w:pPr>
            <w:r>
              <w:rPr>
                <w:rFonts w:ascii="Arial" w:hAnsi="Arial"/>
                <w:sz w:val="17"/>
              </w:rPr>
              <w:t>8409.91</w:t>
            </w:r>
          </w:p>
        </w:tc>
        <w:tc>
          <w:tcPr>
            <w:tcW w:type="dxa" w:w="4680"/>
            <w:tcMar>
              <w:top w:w="70" w:type="dxa"/>
              <w:start w:w="110" w:type="dxa"/>
              <w:bottom w:w="70" w:type="dxa"/>
              <w:end w:w="110" w:type="dxa"/>
            </w:tcMar>
            <w:shd w:fill="F4F6F7"/>
          </w:tcPr>
          <w:p>
            <w:pPr>
              <w:widowControl/>
              <w:spacing w:after="0"/>
            </w:pPr>
            <w:r>
              <w:rPr>
                <w:rFonts w:ascii="Arial" w:hAnsi="Arial"/>
                <w:sz w:val="17"/>
              </w:rPr>
              <w:t>Parts suitable for use solely or principally with the engines of heading 84.07 or 84.08, suitable for use solely or principally with spark-ignition internal combustion piston engines</w:t>
            </w:r>
          </w:p>
        </w:tc>
      </w:tr>
      <w:tr>
        <w:trPr>
          <w:cantSplit/>
        </w:trPr>
        <w:tc>
          <w:tcPr>
            <w:tcW w:type="dxa" w:w="4680"/>
            <w:tcMar>
              <w:top w:w="70" w:type="dxa"/>
              <w:start w:w="110" w:type="dxa"/>
              <w:bottom w:w="70" w:type="dxa"/>
              <w:end w:w="110" w:type="dxa"/>
            </w:tcMar>
          </w:tcPr>
          <w:p>
            <w:pPr>
              <w:widowControl/>
              <w:spacing w:after="0"/>
            </w:pPr>
            <w:r>
              <w:rPr>
                <w:rFonts w:ascii="Arial" w:hAnsi="Arial"/>
                <w:sz w:val="17"/>
              </w:rPr>
              <w:t>8409.99</w:t>
            </w:r>
          </w:p>
        </w:tc>
        <w:tc>
          <w:tcPr>
            <w:tcW w:type="dxa" w:w="4680"/>
            <w:tcMar>
              <w:top w:w="70" w:type="dxa"/>
              <w:start w:w="110" w:type="dxa"/>
              <w:bottom w:w="70" w:type="dxa"/>
              <w:end w:w="110" w:type="dxa"/>
            </w:tcMar>
          </w:tcPr>
          <w:p>
            <w:pPr>
              <w:widowControl/>
              <w:spacing w:after="0"/>
            </w:pPr>
            <w:r>
              <w:rPr>
                <w:rFonts w:ascii="Arial" w:hAnsi="Arial"/>
                <w:sz w:val="17"/>
              </w:rPr>
              <w:t>Parts suitable for use solely or principally with the engines of heading 84.07 or 84.08, other</w:t>
            </w:r>
          </w:p>
        </w:tc>
      </w:tr>
      <w:tr>
        <w:trPr>
          <w:cantSplit/>
        </w:trPr>
        <w:tc>
          <w:tcPr>
            <w:tcW w:type="dxa" w:w="4680"/>
            <w:tcMar>
              <w:top w:w="70" w:type="dxa"/>
              <w:start w:w="110" w:type="dxa"/>
              <w:bottom w:w="70" w:type="dxa"/>
              <w:end w:w="110" w:type="dxa"/>
            </w:tcMar>
            <w:shd w:fill="F4F6F7"/>
          </w:tcPr>
          <w:p>
            <w:pPr>
              <w:widowControl/>
              <w:spacing w:after="0"/>
            </w:pPr>
            <w:r>
              <w:rPr>
                <w:rFonts w:ascii="Arial" w:hAnsi="Arial"/>
                <w:sz w:val="17"/>
              </w:rPr>
              <w:t>8413.30</w:t>
            </w:r>
          </w:p>
        </w:tc>
        <w:tc>
          <w:tcPr>
            <w:tcW w:type="dxa" w:w="4680"/>
            <w:tcMar>
              <w:top w:w="70" w:type="dxa"/>
              <w:start w:w="110" w:type="dxa"/>
              <w:bottom w:w="70" w:type="dxa"/>
              <w:end w:w="110" w:type="dxa"/>
            </w:tcMar>
            <w:shd w:fill="F4F6F7"/>
          </w:tcPr>
          <w:p>
            <w:pPr>
              <w:widowControl/>
              <w:spacing w:after="0"/>
            </w:pPr>
            <w:r>
              <w:rPr>
                <w:rFonts w:ascii="Arial" w:hAnsi="Arial"/>
                <w:sz w:val="17"/>
              </w:rPr>
              <w:t>Fuel, lubricating or cooling medium pumps for internal combustion piston engines</w:t>
            </w:r>
          </w:p>
        </w:tc>
      </w:tr>
      <w:tr>
        <w:trPr>
          <w:cantSplit/>
        </w:trPr>
        <w:tc>
          <w:tcPr>
            <w:tcW w:type="dxa" w:w="4680"/>
            <w:tcMar>
              <w:top w:w="70" w:type="dxa"/>
              <w:start w:w="110" w:type="dxa"/>
              <w:bottom w:w="70" w:type="dxa"/>
              <w:end w:w="110" w:type="dxa"/>
            </w:tcMar>
          </w:tcPr>
          <w:p>
            <w:pPr>
              <w:widowControl/>
              <w:spacing w:after="0"/>
            </w:pPr>
            <w:r>
              <w:rPr>
                <w:rFonts w:ascii="Arial" w:hAnsi="Arial"/>
                <w:sz w:val="17"/>
              </w:rPr>
              <w:t>Ex 8414.59</w:t>
            </w:r>
          </w:p>
        </w:tc>
        <w:tc>
          <w:tcPr>
            <w:tcW w:type="dxa" w:w="4680"/>
            <w:tcMar>
              <w:top w:w="70" w:type="dxa"/>
              <w:start w:w="110" w:type="dxa"/>
              <w:bottom w:w="70" w:type="dxa"/>
              <w:end w:w="110" w:type="dxa"/>
            </w:tcMar>
          </w:tcPr>
          <w:p>
            <w:pPr>
              <w:widowControl/>
              <w:spacing w:after="0"/>
            </w:pPr>
            <w:r>
              <w:rPr>
                <w:rFonts w:ascii="Arial" w:hAnsi="Arial"/>
                <w:sz w:val="17"/>
              </w:rPr>
              <w:t>Turbochargers and superchargers</w:t>
            </w:r>
          </w:p>
        </w:tc>
      </w:tr>
      <w:tr>
        <w:trPr>
          <w:cantSplit/>
        </w:trPr>
        <w:tc>
          <w:tcPr>
            <w:tcW w:type="dxa" w:w="4680"/>
            <w:tcMar>
              <w:top w:w="70" w:type="dxa"/>
              <w:start w:w="110" w:type="dxa"/>
              <w:bottom w:w="70" w:type="dxa"/>
              <w:end w:w="110" w:type="dxa"/>
            </w:tcMar>
            <w:shd w:fill="F4F6F7"/>
          </w:tcPr>
          <w:p>
            <w:pPr>
              <w:widowControl/>
              <w:spacing w:after="0"/>
            </w:pPr>
            <w:r>
              <w:rPr>
                <w:rFonts w:ascii="Arial" w:hAnsi="Arial"/>
                <w:sz w:val="17"/>
              </w:rPr>
              <w:t>8414.80</w:t>
            </w:r>
          </w:p>
        </w:tc>
        <w:tc>
          <w:tcPr>
            <w:tcW w:type="dxa" w:w="4680"/>
            <w:tcMar>
              <w:top w:w="70" w:type="dxa"/>
              <w:start w:w="110" w:type="dxa"/>
              <w:bottom w:w="70" w:type="dxa"/>
              <w:end w:w="110" w:type="dxa"/>
            </w:tcMar>
            <w:shd w:fill="F4F6F7"/>
          </w:tcPr>
          <w:p>
            <w:pPr>
              <w:widowControl/>
              <w:spacing w:after="0"/>
            </w:pPr>
            <w:r>
              <w:rPr>
                <w:rFonts w:ascii="Arial" w:hAnsi="Arial"/>
                <w:sz w:val="17"/>
              </w:rPr>
              <w:t>Other air or gas pumps, compressors and fans</w:t>
            </w:r>
          </w:p>
        </w:tc>
      </w:tr>
      <w:tr>
        <w:trPr>
          <w:cantSplit/>
        </w:trPr>
        <w:tc>
          <w:tcPr>
            <w:tcW w:type="dxa" w:w="4680"/>
            <w:tcMar>
              <w:top w:w="70" w:type="dxa"/>
              <w:start w:w="110" w:type="dxa"/>
              <w:bottom w:w="70" w:type="dxa"/>
              <w:end w:w="110" w:type="dxa"/>
            </w:tcMar>
          </w:tcPr>
          <w:p>
            <w:pPr>
              <w:widowControl/>
              <w:spacing w:after="0"/>
            </w:pPr>
            <w:r>
              <w:rPr>
                <w:rFonts w:ascii="Arial" w:hAnsi="Arial"/>
                <w:sz w:val="17"/>
              </w:rPr>
              <w:t>8415.20</w:t>
            </w:r>
          </w:p>
        </w:tc>
        <w:tc>
          <w:tcPr>
            <w:tcW w:type="dxa" w:w="4680"/>
            <w:tcMar>
              <w:top w:w="70" w:type="dxa"/>
              <w:start w:w="110" w:type="dxa"/>
              <w:bottom w:w="70" w:type="dxa"/>
              <w:end w:w="110" w:type="dxa"/>
            </w:tcMar>
          </w:tcPr>
          <w:p>
            <w:pPr>
              <w:widowControl/>
              <w:spacing w:after="0"/>
            </w:pPr>
            <w:r>
              <w:rPr>
                <w:rFonts w:ascii="Arial" w:hAnsi="Arial"/>
                <w:sz w:val="17"/>
              </w:rPr>
              <w:t>Air conditioning machines, comprising a motor-driven fan and elements for changing the temperature and humidity, including those machines in which humidity cannot be separately regulated, of a kind used for persons, in motor vehicles</w:t>
            </w:r>
          </w:p>
        </w:tc>
      </w:tr>
      <w:tr>
        <w:trPr>
          <w:cantSplit/>
        </w:trPr>
        <w:tc>
          <w:tcPr>
            <w:tcW w:type="dxa" w:w="4680"/>
            <w:tcMar>
              <w:top w:w="70" w:type="dxa"/>
              <w:start w:w="110" w:type="dxa"/>
              <w:bottom w:w="70" w:type="dxa"/>
              <w:end w:w="110" w:type="dxa"/>
            </w:tcMar>
            <w:shd w:fill="F4F6F7"/>
          </w:tcPr>
          <w:p>
            <w:pPr>
              <w:widowControl/>
              <w:spacing w:after="0"/>
            </w:pPr>
            <w:r>
              <w:rPr>
                <w:rFonts w:ascii="Arial" w:hAnsi="Arial"/>
                <w:sz w:val="17"/>
              </w:rPr>
              <w:t>8483.10</w:t>
            </w:r>
          </w:p>
        </w:tc>
        <w:tc>
          <w:tcPr>
            <w:tcW w:type="dxa" w:w="4680"/>
            <w:tcMar>
              <w:top w:w="70" w:type="dxa"/>
              <w:start w:w="110" w:type="dxa"/>
              <w:bottom w:w="70" w:type="dxa"/>
              <w:end w:w="110" w:type="dxa"/>
            </w:tcMar>
            <w:shd w:fill="F4F6F7"/>
          </w:tcPr>
          <w:p>
            <w:pPr>
              <w:widowControl/>
              <w:spacing w:after="0"/>
            </w:pPr>
            <w:r>
              <w:rPr>
                <w:rFonts w:ascii="Arial" w:hAnsi="Arial"/>
                <w:sz w:val="17"/>
              </w:rPr>
              <w:t>Transmission shafts (including cam shafts and crank shafts) and cranks</w:t>
            </w:r>
          </w:p>
        </w:tc>
      </w:tr>
      <w:tr>
        <w:trPr>
          <w:cantSplit/>
        </w:trPr>
        <w:tc>
          <w:tcPr>
            <w:tcW w:type="dxa" w:w="4680"/>
            <w:tcMar>
              <w:top w:w="70" w:type="dxa"/>
              <w:start w:w="110" w:type="dxa"/>
              <w:bottom w:w="70" w:type="dxa"/>
              <w:end w:w="110" w:type="dxa"/>
            </w:tcMar>
          </w:tcPr>
          <w:p>
            <w:pPr>
              <w:widowControl/>
              <w:spacing w:after="0"/>
            </w:pPr>
            <w:r>
              <w:rPr>
                <w:rFonts w:ascii="Arial" w:hAnsi="Arial"/>
                <w:sz w:val="17"/>
              </w:rPr>
              <w:t>8483.40</w:t>
            </w:r>
          </w:p>
        </w:tc>
        <w:tc>
          <w:tcPr>
            <w:tcW w:type="dxa" w:w="4680"/>
            <w:tcMar>
              <w:top w:w="70" w:type="dxa"/>
              <w:start w:w="110" w:type="dxa"/>
              <w:bottom w:w="70" w:type="dxa"/>
              <w:end w:w="110" w:type="dxa"/>
            </w:tcMar>
          </w:tcPr>
          <w:p>
            <w:pPr>
              <w:widowControl/>
              <w:spacing w:after="0"/>
            </w:pPr>
            <w:r>
              <w:rPr>
                <w:rFonts w:ascii="Arial" w:hAnsi="Arial"/>
                <w:sz w:val="17"/>
              </w:rPr>
              <w:t>Gears and gearing, other than toothed wheels, chain sprockets and other transmission elements presented separately; ball or roller screws; gear boxes and other speed changers, including torque converters</w:t>
            </w:r>
          </w:p>
        </w:tc>
      </w:tr>
      <w:tr>
        <w:trPr>
          <w:cantSplit/>
        </w:trPr>
        <w:tc>
          <w:tcPr>
            <w:tcW w:type="dxa" w:w="4680"/>
            <w:tcMar>
              <w:top w:w="70" w:type="dxa"/>
              <w:start w:w="110" w:type="dxa"/>
              <w:bottom w:w="70" w:type="dxa"/>
              <w:end w:w="110" w:type="dxa"/>
            </w:tcMar>
            <w:shd w:fill="F4F6F7"/>
          </w:tcPr>
          <w:p>
            <w:pPr>
              <w:widowControl/>
              <w:spacing w:after="0"/>
            </w:pPr>
            <w:r>
              <w:rPr>
                <w:rFonts w:ascii="Arial" w:hAnsi="Arial"/>
                <w:sz w:val="17"/>
              </w:rPr>
              <w:t>8483.50</w:t>
            </w:r>
          </w:p>
        </w:tc>
        <w:tc>
          <w:tcPr>
            <w:tcW w:type="dxa" w:w="4680"/>
            <w:tcMar>
              <w:top w:w="70" w:type="dxa"/>
              <w:start w:w="110" w:type="dxa"/>
              <w:bottom w:w="70" w:type="dxa"/>
              <w:end w:w="110" w:type="dxa"/>
            </w:tcMar>
            <w:shd w:fill="F4F6F7"/>
          </w:tcPr>
          <w:p>
            <w:pPr>
              <w:widowControl/>
              <w:spacing w:after="0"/>
            </w:pPr>
            <w:r>
              <w:rPr>
                <w:rFonts w:ascii="Arial" w:hAnsi="Arial"/>
                <w:sz w:val="17"/>
              </w:rPr>
              <w:t>Flywheels and pulleys, including pulley blocks</w:t>
            </w:r>
          </w:p>
        </w:tc>
      </w:tr>
      <w:tr>
        <w:trPr>
          <w:cantSplit/>
        </w:trPr>
        <w:tc>
          <w:tcPr>
            <w:tcW w:type="dxa" w:w="4680"/>
            <w:tcMar>
              <w:top w:w="70" w:type="dxa"/>
              <w:start w:w="110" w:type="dxa"/>
              <w:bottom w:w="70" w:type="dxa"/>
              <w:end w:w="110" w:type="dxa"/>
            </w:tcMar>
          </w:tcPr>
          <w:p>
            <w:pPr>
              <w:widowControl/>
              <w:spacing w:after="0"/>
            </w:pPr>
            <w:r>
              <w:rPr>
                <w:rFonts w:ascii="Arial" w:hAnsi="Arial"/>
                <w:sz w:val="17"/>
              </w:rPr>
              <w:t>Ex 8501.32</w:t>
            </w:r>
          </w:p>
        </w:tc>
        <w:tc>
          <w:tcPr>
            <w:tcW w:type="dxa" w:w="4680"/>
            <w:tcMar>
              <w:top w:w="70" w:type="dxa"/>
              <w:start w:w="110" w:type="dxa"/>
              <w:bottom w:w="70" w:type="dxa"/>
              <w:end w:w="110" w:type="dxa"/>
            </w:tcMar>
          </w:tcPr>
          <w:p>
            <w:pPr>
              <w:widowControl/>
              <w:spacing w:after="0"/>
            </w:pPr>
            <w:r>
              <w:rPr>
                <w:rFonts w:ascii="Arial" w:hAnsi="Arial"/>
                <w:sz w:val="17"/>
              </w:rPr>
              <w:t>Other DC motors and generators of an output exceeding 750W but not exceeding 75 kW, of a kind used for the propulsion of motor vehicles of Chapter 87</w:t>
            </w:r>
          </w:p>
        </w:tc>
      </w:tr>
      <w:tr>
        <w:trPr>
          <w:cantSplit/>
        </w:trPr>
        <w:tc>
          <w:tcPr>
            <w:tcW w:type="dxa" w:w="4680"/>
            <w:tcMar>
              <w:top w:w="70" w:type="dxa"/>
              <w:start w:w="110" w:type="dxa"/>
              <w:bottom w:w="70" w:type="dxa"/>
              <w:end w:w="110" w:type="dxa"/>
            </w:tcMar>
            <w:shd w:fill="F4F6F7"/>
          </w:tcPr>
          <w:p>
            <w:pPr>
              <w:widowControl/>
              <w:spacing w:after="0"/>
            </w:pPr>
            <w:r>
              <w:rPr>
                <w:rFonts w:ascii="Arial" w:hAnsi="Arial"/>
                <w:sz w:val="17"/>
              </w:rPr>
              <w:t>8511.40</w:t>
            </w:r>
          </w:p>
        </w:tc>
        <w:tc>
          <w:tcPr>
            <w:tcW w:type="dxa" w:w="4680"/>
            <w:tcMar>
              <w:top w:w="70" w:type="dxa"/>
              <w:start w:w="110" w:type="dxa"/>
              <w:bottom w:w="70" w:type="dxa"/>
              <w:end w:w="110" w:type="dxa"/>
            </w:tcMar>
            <w:shd w:fill="F4F6F7"/>
          </w:tcPr>
          <w:p>
            <w:pPr>
              <w:widowControl/>
              <w:spacing w:after="0"/>
            </w:pPr>
            <w:r>
              <w:rPr>
                <w:rFonts w:ascii="Arial" w:hAnsi="Arial"/>
                <w:sz w:val="17"/>
              </w:rPr>
              <w:t>Starter motors and dual purpose starter-generators of a kind used for spark- ignition or compression-ignition internal combustion engines</w:t>
            </w:r>
          </w:p>
        </w:tc>
      </w:tr>
      <w:tr>
        <w:trPr>
          <w:cantSplit/>
        </w:trPr>
        <w:tc>
          <w:tcPr>
            <w:tcW w:type="dxa" w:w="4680"/>
            <w:tcMar>
              <w:top w:w="70" w:type="dxa"/>
              <w:start w:w="110" w:type="dxa"/>
              <w:bottom w:w="70" w:type="dxa"/>
              <w:end w:w="110" w:type="dxa"/>
            </w:tcMar>
          </w:tcPr>
          <w:p>
            <w:pPr>
              <w:widowControl/>
              <w:spacing w:after="0"/>
            </w:pPr>
            <w:r>
              <w:rPr>
                <w:rFonts w:ascii="Arial" w:hAnsi="Arial"/>
                <w:sz w:val="17"/>
              </w:rPr>
              <w:t>8511.50</w:t>
            </w:r>
          </w:p>
        </w:tc>
        <w:tc>
          <w:tcPr>
            <w:tcW w:type="dxa" w:w="4680"/>
            <w:tcMar>
              <w:top w:w="70" w:type="dxa"/>
              <w:start w:w="110" w:type="dxa"/>
              <w:bottom w:w="70" w:type="dxa"/>
              <w:end w:w="110" w:type="dxa"/>
            </w:tcMar>
          </w:tcPr>
          <w:p>
            <w:pPr>
              <w:widowControl/>
              <w:spacing w:after="0"/>
            </w:pPr>
            <w:r>
              <w:rPr>
                <w:rFonts w:ascii="Arial" w:hAnsi="Arial"/>
                <w:sz w:val="17"/>
              </w:rPr>
              <w:t>Other generators</w:t>
            </w:r>
          </w:p>
        </w:tc>
      </w:tr>
      <w:tr>
        <w:trPr>
          <w:cantSplit/>
        </w:trPr>
        <w:tc>
          <w:tcPr>
            <w:tcW w:type="dxa" w:w="4680"/>
            <w:tcMar>
              <w:top w:w="70" w:type="dxa"/>
              <w:start w:w="110" w:type="dxa"/>
              <w:bottom w:w="70" w:type="dxa"/>
              <w:end w:w="110" w:type="dxa"/>
            </w:tcMar>
            <w:shd w:fill="F4F6F7"/>
          </w:tcPr>
          <w:p>
            <w:pPr>
              <w:widowControl/>
              <w:spacing w:after="0"/>
            </w:pPr>
            <w:r>
              <w:rPr>
                <w:rFonts w:ascii="Arial" w:hAnsi="Arial"/>
                <w:sz w:val="17"/>
              </w:rPr>
              <w:t>8537.10</w:t>
            </w:r>
          </w:p>
        </w:tc>
        <w:tc>
          <w:tcPr>
            <w:tcW w:type="dxa" w:w="4680"/>
            <w:tcMar>
              <w:top w:w="70" w:type="dxa"/>
              <w:start w:w="110" w:type="dxa"/>
              <w:bottom w:w="70" w:type="dxa"/>
              <w:end w:w="110" w:type="dxa"/>
            </w:tcMar>
            <w:shd w:fill="F4F6F7"/>
          </w:tcPr>
          <w:p>
            <w:pPr>
              <w:widowControl/>
              <w:spacing w:after="0"/>
            </w:pPr>
            <w:r>
              <w:rPr>
                <w:rFonts w:ascii="Arial" w:hAnsi="Arial"/>
                <w:sz w:val="17"/>
              </w:rPr>
              <w:t>Electric controls for a voltage not exceeding 1,000 V</w:t>
            </w:r>
          </w:p>
        </w:tc>
      </w:tr>
      <w:tr>
        <w:trPr>
          <w:cantSplit/>
        </w:trPr>
        <w:tc>
          <w:tcPr>
            <w:tcW w:type="dxa" w:w="4680"/>
            <w:tcMar>
              <w:top w:w="70" w:type="dxa"/>
              <w:start w:w="110" w:type="dxa"/>
              <w:bottom w:w="70" w:type="dxa"/>
              <w:end w:w="110" w:type="dxa"/>
            </w:tcMar>
          </w:tcPr>
          <w:p>
            <w:pPr>
              <w:widowControl/>
              <w:spacing w:after="0"/>
            </w:pPr>
            <w:r>
              <w:rPr>
                <w:rFonts w:ascii="Arial" w:hAnsi="Arial"/>
                <w:sz w:val="17"/>
              </w:rPr>
              <w:t>8706.00</w:t>
            </w:r>
          </w:p>
        </w:tc>
        <w:tc>
          <w:tcPr>
            <w:tcW w:type="dxa" w:w="4680"/>
            <w:tcMar>
              <w:top w:w="70" w:type="dxa"/>
              <w:start w:w="110" w:type="dxa"/>
              <w:bottom w:w="70" w:type="dxa"/>
              <w:end w:w="110" w:type="dxa"/>
            </w:tcMar>
          </w:tcPr>
          <w:p>
            <w:pPr>
              <w:widowControl/>
              <w:spacing w:after="0"/>
            </w:pPr>
            <w:r>
              <w:rPr>
                <w:rFonts w:ascii="Arial" w:hAnsi="Arial"/>
                <w:sz w:val="17"/>
              </w:rPr>
              <w:t>Chassis fitted with engines, for the motor vehicles of heading 87.01 through 87.05</w:t>
            </w:r>
          </w:p>
        </w:tc>
      </w:tr>
      <w:tr>
        <w:trPr>
          <w:cantSplit/>
        </w:trPr>
        <w:tc>
          <w:tcPr>
            <w:tcW w:type="dxa" w:w="4680"/>
            <w:tcMar>
              <w:top w:w="70" w:type="dxa"/>
              <w:start w:w="110" w:type="dxa"/>
              <w:bottom w:w="70" w:type="dxa"/>
              <w:end w:w="110" w:type="dxa"/>
            </w:tcMar>
            <w:shd w:fill="F4F6F7"/>
          </w:tcPr>
          <w:p>
            <w:pPr>
              <w:widowControl/>
              <w:spacing w:after="0"/>
            </w:pPr>
            <w:r>
              <w:rPr>
                <w:rFonts w:ascii="Arial" w:hAnsi="Arial"/>
                <w:sz w:val="17"/>
              </w:rPr>
              <w:t>8707.90</w:t>
            </w:r>
          </w:p>
        </w:tc>
        <w:tc>
          <w:tcPr>
            <w:tcW w:type="dxa" w:w="4680"/>
            <w:tcMar>
              <w:top w:w="70" w:type="dxa"/>
              <w:start w:w="110" w:type="dxa"/>
              <w:bottom w:w="70" w:type="dxa"/>
              <w:end w:w="110" w:type="dxa"/>
            </w:tcMar>
            <w:shd w:fill="F4F6F7"/>
          </w:tcPr>
          <w:p>
            <w:pPr>
              <w:widowControl/>
              <w:spacing w:after="0"/>
            </w:pPr>
            <w:r>
              <w:rPr>
                <w:rFonts w:ascii="Arial" w:hAnsi="Arial"/>
                <w:sz w:val="17"/>
              </w:rPr>
              <w:t>Bodies for the vehicles of heading 87.01, 87.02, 87.04 or 87.05</w:t>
            </w:r>
          </w:p>
        </w:tc>
      </w:tr>
      <w:tr>
        <w:trPr>
          <w:cantSplit/>
        </w:trPr>
        <w:tc>
          <w:tcPr>
            <w:tcW w:type="dxa" w:w="4680"/>
            <w:tcMar>
              <w:top w:w="70" w:type="dxa"/>
              <w:start w:w="110" w:type="dxa"/>
              <w:bottom w:w="70" w:type="dxa"/>
              <w:end w:w="110" w:type="dxa"/>
            </w:tcMar>
          </w:tcPr>
          <w:p>
            <w:pPr>
              <w:widowControl/>
              <w:spacing w:after="0"/>
            </w:pPr>
            <w:r>
              <w:rPr>
                <w:rFonts w:ascii="Arial" w:hAnsi="Arial"/>
                <w:sz w:val="17"/>
              </w:rPr>
              <w:t>8708.10</w:t>
            </w:r>
          </w:p>
        </w:tc>
        <w:tc>
          <w:tcPr>
            <w:tcW w:type="dxa" w:w="4680"/>
            <w:tcMar>
              <w:top w:w="70" w:type="dxa"/>
              <w:start w:w="110" w:type="dxa"/>
              <w:bottom w:w="70" w:type="dxa"/>
              <w:end w:w="110" w:type="dxa"/>
            </w:tcMar>
          </w:tcPr>
          <w:p>
            <w:pPr>
              <w:widowControl/>
              <w:spacing w:after="0"/>
            </w:pPr>
            <w:r>
              <w:rPr>
                <w:rFonts w:ascii="Arial" w:hAnsi="Arial"/>
                <w:sz w:val="17"/>
              </w:rPr>
              <w:t>Bumpers and parts thereof</w:t>
            </w:r>
          </w:p>
        </w:tc>
      </w:tr>
      <w:tr>
        <w:trPr>
          <w:cantSplit/>
        </w:trPr>
        <w:tc>
          <w:tcPr>
            <w:tcW w:type="dxa" w:w="4680"/>
            <w:tcMar>
              <w:top w:w="70" w:type="dxa"/>
              <w:start w:w="110" w:type="dxa"/>
              <w:bottom w:w="70" w:type="dxa"/>
              <w:end w:w="110" w:type="dxa"/>
            </w:tcMar>
            <w:shd w:fill="F4F6F7"/>
          </w:tcPr>
          <w:p>
            <w:pPr>
              <w:widowControl/>
              <w:spacing w:after="0"/>
            </w:pPr>
            <w:r>
              <w:rPr>
                <w:rFonts w:ascii="Arial" w:hAnsi="Arial"/>
                <w:sz w:val="17"/>
              </w:rPr>
              <w:t>8708.21</w:t>
            </w:r>
          </w:p>
        </w:tc>
        <w:tc>
          <w:tcPr>
            <w:tcW w:type="dxa" w:w="4680"/>
            <w:tcMar>
              <w:top w:w="70" w:type="dxa"/>
              <w:start w:w="110" w:type="dxa"/>
              <w:bottom w:w="70" w:type="dxa"/>
              <w:end w:w="110" w:type="dxa"/>
            </w:tcMar>
            <w:shd w:fill="F4F6F7"/>
          </w:tcPr>
          <w:p>
            <w:pPr>
              <w:widowControl/>
              <w:spacing w:after="0"/>
            </w:pPr>
            <w:r>
              <w:rPr>
                <w:rFonts w:ascii="Arial" w:hAnsi="Arial"/>
                <w:sz w:val="17"/>
              </w:rPr>
              <w:t>Safety seat belts</w:t>
            </w:r>
          </w:p>
        </w:tc>
      </w:tr>
      <w:tr>
        <w:trPr>
          <w:cantSplit/>
        </w:trPr>
        <w:tc>
          <w:tcPr>
            <w:tcW w:type="dxa" w:w="4680"/>
            <w:tcMar>
              <w:top w:w="70" w:type="dxa"/>
              <w:start w:w="110" w:type="dxa"/>
              <w:bottom w:w="70" w:type="dxa"/>
              <w:end w:w="110" w:type="dxa"/>
            </w:tcMar>
          </w:tcPr>
          <w:p>
            <w:pPr>
              <w:widowControl/>
              <w:spacing w:after="0"/>
            </w:pPr>
            <w:r>
              <w:rPr>
                <w:rFonts w:ascii="Arial" w:hAnsi="Arial"/>
                <w:sz w:val="17"/>
              </w:rPr>
              <w:t>8708.29</w:t>
            </w:r>
          </w:p>
        </w:tc>
        <w:tc>
          <w:tcPr>
            <w:tcW w:type="dxa" w:w="4680"/>
            <w:tcMar>
              <w:top w:w="70" w:type="dxa"/>
              <w:start w:w="110" w:type="dxa"/>
              <w:bottom w:w="70" w:type="dxa"/>
              <w:end w:w="110" w:type="dxa"/>
            </w:tcMar>
          </w:tcPr>
          <w:p>
            <w:pPr>
              <w:widowControl/>
              <w:spacing w:after="0"/>
            </w:pPr>
            <w:r>
              <w:rPr>
                <w:rFonts w:ascii="Arial" w:hAnsi="Arial"/>
                <w:sz w:val="17"/>
              </w:rPr>
              <w:t>Other parts and accessories of bodies (including cabs) of motor vehicles</w:t>
            </w:r>
          </w:p>
        </w:tc>
      </w:tr>
      <w:tr>
        <w:trPr>
          <w:cantSplit/>
        </w:trPr>
        <w:tc>
          <w:tcPr>
            <w:tcW w:type="dxa" w:w="4680"/>
            <w:tcMar>
              <w:top w:w="70" w:type="dxa"/>
              <w:start w:w="110" w:type="dxa"/>
              <w:bottom w:w="70" w:type="dxa"/>
              <w:end w:w="110" w:type="dxa"/>
            </w:tcMar>
            <w:shd w:fill="F4F6F7"/>
          </w:tcPr>
          <w:p>
            <w:pPr>
              <w:widowControl/>
              <w:spacing w:after="0"/>
            </w:pPr>
            <w:r>
              <w:rPr>
                <w:rFonts w:ascii="Arial" w:hAnsi="Arial"/>
                <w:sz w:val="17"/>
              </w:rPr>
              <w:t>8708.30</w:t>
            </w:r>
          </w:p>
        </w:tc>
        <w:tc>
          <w:tcPr>
            <w:tcW w:type="dxa" w:w="4680"/>
            <w:tcMar>
              <w:top w:w="70" w:type="dxa"/>
              <w:start w:w="110" w:type="dxa"/>
              <w:bottom w:w="70" w:type="dxa"/>
              <w:end w:w="110" w:type="dxa"/>
            </w:tcMar>
            <w:shd w:fill="F4F6F7"/>
          </w:tcPr>
          <w:p>
            <w:pPr>
              <w:widowControl/>
              <w:spacing w:after="0"/>
            </w:pPr>
            <w:r>
              <w:rPr>
                <w:rFonts w:ascii="Arial" w:hAnsi="Arial"/>
                <w:sz w:val="17"/>
              </w:rPr>
              <w:t>Brakes and servo-brakes; parts thereof</w:t>
            </w:r>
          </w:p>
        </w:tc>
      </w:tr>
      <w:tr>
        <w:trPr>
          <w:cantSplit/>
        </w:trPr>
        <w:tc>
          <w:tcPr>
            <w:tcW w:type="dxa" w:w="4680"/>
            <w:tcMar>
              <w:top w:w="70" w:type="dxa"/>
              <w:start w:w="110" w:type="dxa"/>
              <w:bottom w:w="70" w:type="dxa"/>
              <w:end w:w="110" w:type="dxa"/>
            </w:tcMar>
          </w:tcPr>
          <w:p>
            <w:pPr>
              <w:widowControl/>
              <w:spacing w:after="0"/>
            </w:pPr>
            <w:r>
              <w:rPr>
                <w:rFonts w:ascii="Arial" w:hAnsi="Arial"/>
                <w:sz w:val="17"/>
              </w:rPr>
              <w:t>8708.40</w:t>
            </w:r>
          </w:p>
        </w:tc>
        <w:tc>
          <w:tcPr>
            <w:tcW w:type="dxa" w:w="4680"/>
            <w:tcMar>
              <w:top w:w="70" w:type="dxa"/>
              <w:start w:w="110" w:type="dxa"/>
              <w:bottom w:w="70" w:type="dxa"/>
              <w:end w:w="110" w:type="dxa"/>
            </w:tcMar>
          </w:tcPr>
          <w:p>
            <w:pPr>
              <w:widowControl/>
              <w:spacing w:after="0"/>
            </w:pPr>
            <w:r>
              <w:rPr>
                <w:rFonts w:ascii="Arial" w:hAnsi="Arial"/>
                <w:sz w:val="17"/>
              </w:rPr>
              <w:t>Gear boxes and parts thereof</w:t>
            </w:r>
          </w:p>
        </w:tc>
      </w:tr>
      <w:tr>
        <w:trPr>
          <w:cantSplit/>
        </w:trPr>
        <w:tc>
          <w:tcPr>
            <w:tcW w:type="dxa" w:w="4680"/>
            <w:tcMar>
              <w:top w:w="70" w:type="dxa"/>
              <w:start w:w="110" w:type="dxa"/>
              <w:bottom w:w="70" w:type="dxa"/>
              <w:end w:w="110" w:type="dxa"/>
            </w:tcMar>
            <w:shd w:fill="F4F6F7"/>
          </w:tcPr>
          <w:p>
            <w:pPr>
              <w:widowControl/>
              <w:spacing w:after="0"/>
            </w:pPr>
            <w:r>
              <w:rPr>
                <w:rFonts w:ascii="Arial" w:hAnsi="Arial"/>
                <w:sz w:val="17"/>
              </w:rPr>
              <w:t>8708.50</w:t>
            </w:r>
          </w:p>
        </w:tc>
        <w:tc>
          <w:tcPr>
            <w:tcW w:type="dxa" w:w="4680"/>
            <w:tcMar>
              <w:top w:w="70" w:type="dxa"/>
              <w:start w:w="110" w:type="dxa"/>
              <w:bottom w:w="70" w:type="dxa"/>
              <w:end w:w="110" w:type="dxa"/>
            </w:tcMar>
            <w:shd w:fill="F4F6F7"/>
          </w:tcPr>
          <w:p>
            <w:pPr>
              <w:widowControl/>
              <w:spacing w:after="0"/>
            </w:pPr>
            <w:r>
              <w:rPr>
                <w:rFonts w:ascii="Arial" w:hAnsi="Arial"/>
                <w:sz w:val="17"/>
              </w:rPr>
              <w:t>Drive axles with differential, whether or not provided with other transmission components, and non-driving axles; and parts thereof</w:t>
            </w:r>
          </w:p>
        </w:tc>
      </w:tr>
      <w:tr>
        <w:trPr>
          <w:cantSplit/>
        </w:trPr>
        <w:tc>
          <w:tcPr>
            <w:tcW w:type="dxa" w:w="4680"/>
            <w:tcMar>
              <w:top w:w="70" w:type="dxa"/>
              <w:start w:w="110" w:type="dxa"/>
              <w:bottom w:w="70" w:type="dxa"/>
              <w:end w:w="110" w:type="dxa"/>
            </w:tcMar>
          </w:tcPr>
          <w:p>
            <w:pPr>
              <w:widowControl/>
              <w:spacing w:after="0"/>
            </w:pPr>
            <w:r>
              <w:rPr>
                <w:rFonts w:ascii="Arial" w:hAnsi="Arial"/>
                <w:sz w:val="17"/>
              </w:rPr>
              <w:t>8708.70</w:t>
            </w:r>
          </w:p>
        </w:tc>
        <w:tc>
          <w:tcPr>
            <w:tcW w:type="dxa" w:w="4680"/>
            <w:tcMar>
              <w:top w:w="70" w:type="dxa"/>
              <w:start w:w="110" w:type="dxa"/>
              <w:bottom w:w="70" w:type="dxa"/>
              <w:end w:w="110" w:type="dxa"/>
            </w:tcMar>
          </w:tcPr>
          <w:p>
            <w:pPr>
              <w:widowControl/>
              <w:spacing w:after="0"/>
            </w:pPr>
            <w:r>
              <w:rPr>
                <w:rFonts w:ascii="Arial" w:hAnsi="Arial"/>
                <w:sz w:val="17"/>
              </w:rPr>
              <w:t>Road wheels and parts and accessories thereof</w:t>
            </w:r>
          </w:p>
        </w:tc>
      </w:tr>
      <w:tr>
        <w:trPr>
          <w:cantSplit/>
        </w:trPr>
        <w:tc>
          <w:tcPr>
            <w:tcW w:type="dxa" w:w="4680"/>
            <w:tcMar>
              <w:top w:w="70" w:type="dxa"/>
              <w:start w:w="110" w:type="dxa"/>
              <w:bottom w:w="70" w:type="dxa"/>
              <w:end w:w="110" w:type="dxa"/>
            </w:tcMar>
            <w:shd w:fill="F4F6F7"/>
          </w:tcPr>
          <w:p>
            <w:pPr>
              <w:widowControl/>
              <w:spacing w:after="0"/>
            </w:pPr>
            <w:r>
              <w:rPr>
                <w:rFonts w:ascii="Arial" w:hAnsi="Arial"/>
                <w:sz w:val="17"/>
              </w:rPr>
              <w:t>8708.80</w:t>
            </w:r>
          </w:p>
        </w:tc>
        <w:tc>
          <w:tcPr>
            <w:tcW w:type="dxa" w:w="4680"/>
            <w:tcMar>
              <w:top w:w="70" w:type="dxa"/>
              <w:start w:w="110" w:type="dxa"/>
              <w:bottom w:w="70" w:type="dxa"/>
              <w:end w:w="110" w:type="dxa"/>
            </w:tcMar>
            <w:shd w:fill="F4F6F7"/>
          </w:tcPr>
          <w:p>
            <w:pPr>
              <w:widowControl/>
              <w:spacing w:after="0"/>
            </w:pPr>
            <w:r>
              <w:rPr>
                <w:rFonts w:ascii="Arial" w:hAnsi="Arial"/>
                <w:sz w:val="17"/>
              </w:rPr>
              <w:t>Suspension systems and parts thereof (including shock absorbers)</w:t>
            </w:r>
          </w:p>
        </w:tc>
      </w:tr>
      <w:tr>
        <w:trPr>
          <w:cantSplit/>
        </w:trPr>
        <w:tc>
          <w:tcPr>
            <w:tcW w:type="dxa" w:w="4680"/>
            <w:tcMar>
              <w:top w:w="70" w:type="dxa"/>
              <w:start w:w="110" w:type="dxa"/>
              <w:bottom w:w="70" w:type="dxa"/>
              <w:end w:w="110" w:type="dxa"/>
            </w:tcMar>
          </w:tcPr>
          <w:p>
            <w:pPr>
              <w:widowControl/>
              <w:spacing w:after="0"/>
            </w:pPr>
            <w:r>
              <w:rPr>
                <w:rFonts w:ascii="Arial" w:hAnsi="Arial"/>
                <w:sz w:val="17"/>
              </w:rPr>
              <w:t>8708.91</w:t>
            </w:r>
          </w:p>
        </w:tc>
        <w:tc>
          <w:tcPr>
            <w:tcW w:type="dxa" w:w="4680"/>
            <w:tcMar>
              <w:top w:w="70" w:type="dxa"/>
              <w:start w:w="110" w:type="dxa"/>
              <w:bottom w:w="70" w:type="dxa"/>
              <w:end w:w="110" w:type="dxa"/>
            </w:tcMar>
          </w:tcPr>
          <w:p>
            <w:pPr>
              <w:widowControl/>
              <w:spacing w:after="0"/>
            </w:pPr>
            <w:r>
              <w:rPr>
                <w:rFonts w:ascii="Arial" w:hAnsi="Arial"/>
                <w:sz w:val="17"/>
              </w:rPr>
              <w:t>Radiators and parts thereof</w:t>
            </w:r>
          </w:p>
        </w:tc>
      </w:tr>
      <w:tr>
        <w:trPr>
          <w:cantSplit/>
        </w:trPr>
        <w:tc>
          <w:tcPr>
            <w:tcW w:type="dxa" w:w="4680"/>
            <w:tcMar>
              <w:top w:w="70" w:type="dxa"/>
              <w:start w:w="110" w:type="dxa"/>
              <w:bottom w:w="70" w:type="dxa"/>
              <w:end w:w="110" w:type="dxa"/>
            </w:tcMar>
            <w:shd w:fill="F4F6F7"/>
          </w:tcPr>
          <w:p>
            <w:pPr>
              <w:widowControl/>
              <w:spacing w:after="0"/>
            </w:pPr>
            <w:r>
              <w:rPr>
                <w:rFonts w:ascii="Arial" w:hAnsi="Arial"/>
                <w:sz w:val="17"/>
              </w:rPr>
              <w:t>8708.92</w:t>
            </w:r>
          </w:p>
        </w:tc>
        <w:tc>
          <w:tcPr>
            <w:tcW w:type="dxa" w:w="4680"/>
            <w:tcMar>
              <w:top w:w="70" w:type="dxa"/>
              <w:start w:w="110" w:type="dxa"/>
              <w:bottom w:w="70" w:type="dxa"/>
              <w:end w:w="110" w:type="dxa"/>
            </w:tcMar>
            <w:shd w:fill="F4F6F7"/>
          </w:tcPr>
          <w:p>
            <w:pPr>
              <w:widowControl/>
              <w:spacing w:after="0"/>
            </w:pPr>
            <w:r>
              <w:rPr>
                <w:rFonts w:ascii="Arial" w:hAnsi="Arial"/>
                <w:sz w:val="17"/>
              </w:rPr>
              <w:t>Silencers (mufflers) and exhaust pipes; parts thereof</w:t>
            </w:r>
          </w:p>
        </w:tc>
      </w:tr>
      <w:tr>
        <w:trPr>
          <w:cantSplit/>
        </w:trPr>
        <w:tc>
          <w:tcPr>
            <w:tcW w:type="dxa" w:w="4680"/>
            <w:tcMar>
              <w:top w:w="70" w:type="dxa"/>
              <w:start w:w="110" w:type="dxa"/>
              <w:bottom w:w="70" w:type="dxa"/>
              <w:end w:w="110" w:type="dxa"/>
            </w:tcMar>
          </w:tcPr>
          <w:p>
            <w:pPr>
              <w:widowControl/>
              <w:spacing w:after="0"/>
            </w:pPr>
            <w:r>
              <w:rPr>
                <w:rFonts w:ascii="Arial" w:hAnsi="Arial"/>
                <w:sz w:val="17"/>
              </w:rPr>
              <w:t>8708.93</w:t>
            </w:r>
          </w:p>
        </w:tc>
        <w:tc>
          <w:tcPr>
            <w:tcW w:type="dxa" w:w="4680"/>
            <w:tcMar>
              <w:top w:w="70" w:type="dxa"/>
              <w:start w:w="110" w:type="dxa"/>
              <w:bottom w:w="70" w:type="dxa"/>
              <w:end w:w="110" w:type="dxa"/>
            </w:tcMar>
          </w:tcPr>
          <w:p>
            <w:pPr>
              <w:widowControl/>
              <w:spacing w:after="0"/>
            </w:pPr>
            <w:r>
              <w:rPr>
                <w:rFonts w:ascii="Arial" w:hAnsi="Arial"/>
                <w:sz w:val="17"/>
              </w:rPr>
              <w:t>Clutches and</w:t>
            </w:r>
          </w:p>
        </w:tc>
      </w:tr>
    </w:tbl>
    <w:p>
      <w:pPr>
        <w:widowControl/>
      </w:pPr>
      <w:r>
        <w:rPr>
          <w:b w:val="0"/>
        </w:rPr>
        <w:t>parts thereof 8708.94 Steering wheels, steering columns and steering boxes; parts thereof 8708.95 Safety airbags with inflator system; parts thereof 8708.99 Other parts and accessories of motor vehicles of headings 87.01 to 87.05 9401.20 Seats of a kind used for motor vehicles 4-B-1-42</w:t>
      </w:r>
    </w:p>
    <w:p>
      <w:pPr>
        <w:widowControl/>
      </w:pPr>
      <w:r>
        <w:rPr>
          <w:b/>
        </w:rPr>
        <w:t>TABLE E — COMPLEMENTARY PARTS FOR HEAVY TRUCKS</w:t>
      </w:r>
    </w:p>
    <w:p>
      <w:pPr>
        <w:widowControl/>
      </w:pPr>
      <w:r>
        <w:rPr>
          <w:b w:val="0"/>
        </w:rPr>
        <w:t>Note: The Regional Value Content requirements set out in Article 4 of this Appendix apply to a good for use in a heavy truck.</w:t>
      </w:r>
    </w:p>
    <w:tbl>
      <w:tblPr>
        <w:tblStyle w:val="TableGrid"/>
        <w:tblW w:type="auto" w:w="0"/>
        <w:jc w:val="center"/>
        <w:tblLayout w:type="autofit"/>
        <w:tblLook w:firstColumn="1" w:firstRow="1" w:lastColumn="0" w:lastRow="0" w:noHBand="0" w:noVBand="1" w:val="04A0"/>
      </w:tblPr>
      <w:tblGrid>
        <w:gridCol w:w="4680"/>
        <w:gridCol w:w="4680"/>
      </w:tblGrid>
      <w:tr>
        <w:trPr>
          <w:tblHeader w:val="true"/>
          <w:cantSplit/>
          <w:tblHeader w:val="true"/>
        </w:trPr>
        <w:tc>
          <w:tcPr>
            <w:tcW w:type="dxa" w:w="4680"/>
            <w:shd w:fill="233746"/>
          </w:tcPr>
          <w:p>
            <w:pPr>
              <w:spacing w:after="0"/>
            </w:pPr>
            <w:r>
              <w:rPr>
                <w:rFonts w:ascii="Arial" w:hAnsi="Arial"/>
                <w:b/>
                <w:color w:val="FFFFFF"/>
                <w:sz w:val="17"/>
              </w:rPr>
              <w:t>HS Provision</w:t>
            </w:r>
          </w:p>
        </w:tc>
        <w:tc>
          <w:tcPr>
            <w:tcW w:type="dxa" w:w="4680"/>
            <w:shd w:fill="233746"/>
          </w:tcPr>
          <w:p>
            <w:pPr>
              <w:spacing w:after="0"/>
            </w:pPr>
            <w:r>
              <w:rPr>
                <w:rFonts w:ascii="Arial" w:hAnsi="Arial"/>
                <w:b/>
                <w:color w:val="FFFFFF"/>
                <w:sz w:val="17"/>
              </w:rPr>
              <w:t>Description</w:t>
            </w:r>
          </w:p>
        </w:tc>
      </w:tr>
      <w:tr>
        <w:trPr>
          <w:cantSplit/>
        </w:trPr>
        <w:tc>
          <w:tcPr>
            <w:tcW w:type="dxa" w:w="4680"/>
            <w:tcMar>
              <w:top w:w="70" w:type="dxa"/>
              <w:start w:w="110" w:type="dxa"/>
              <w:bottom w:w="70" w:type="dxa"/>
              <w:end w:w="110" w:type="dxa"/>
            </w:tcMar>
          </w:tcPr>
          <w:p>
            <w:pPr>
              <w:widowControl/>
              <w:spacing w:after="0"/>
            </w:pPr>
            <w:r>
              <w:rPr>
                <w:rFonts w:ascii="Arial" w:hAnsi="Arial"/>
                <w:sz w:val="17"/>
              </w:rPr>
              <w:t>8413.50</w:t>
            </w:r>
          </w:p>
        </w:tc>
        <w:tc>
          <w:tcPr>
            <w:tcW w:type="dxa" w:w="4680"/>
            <w:tcMar>
              <w:top w:w="70" w:type="dxa"/>
              <w:start w:w="110" w:type="dxa"/>
              <w:bottom w:w="70" w:type="dxa"/>
              <w:end w:w="110" w:type="dxa"/>
            </w:tcMar>
          </w:tcPr>
          <w:p>
            <w:pPr>
              <w:widowControl/>
              <w:spacing w:after="0"/>
            </w:pPr>
            <w:r>
              <w:rPr>
                <w:rFonts w:ascii="Arial" w:hAnsi="Arial"/>
                <w:sz w:val="17"/>
              </w:rPr>
              <w:t>Other reciprocating positive displacement pumps</w:t>
            </w:r>
          </w:p>
        </w:tc>
      </w:tr>
      <w:tr>
        <w:trPr>
          <w:cantSplit/>
        </w:trPr>
        <w:tc>
          <w:tcPr>
            <w:tcW w:type="dxa" w:w="4680"/>
            <w:tcMar>
              <w:top w:w="70" w:type="dxa"/>
              <w:start w:w="110" w:type="dxa"/>
              <w:bottom w:w="70" w:type="dxa"/>
              <w:end w:w="110" w:type="dxa"/>
            </w:tcMar>
            <w:shd w:fill="F4F6F7"/>
          </w:tcPr>
          <w:p>
            <w:pPr>
              <w:widowControl/>
              <w:spacing w:after="0"/>
            </w:pPr>
            <w:r>
              <w:rPr>
                <w:rFonts w:ascii="Arial" w:hAnsi="Arial"/>
                <w:sz w:val="17"/>
              </w:rPr>
              <w:t>Ex 8479.89</w:t>
            </w:r>
          </w:p>
        </w:tc>
        <w:tc>
          <w:tcPr>
            <w:tcW w:type="dxa" w:w="4680"/>
            <w:tcMar>
              <w:top w:w="70" w:type="dxa"/>
              <w:start w:w="110" w:type="dxa"/>
              <w:bottom w:w="70" w:type="dxa"/>
              <w:end w:w="110" w:type="dxa"/>
            </w:tcMar>
            <w:shd w:fill="F4F6F7"/>
          </w:tcPr>
          <w:p>
            <w:pPr>
              <w:widowControl/>
              <w:spacing w:after="0"/>
            </w:pPr>
            <w:r>
              <w:rPr>
                <w:rFonts w:ascii="Arial" w:hAnsi="Arial"/>
                <w:sz w:val="17"/>
              </w:rPr>
              <w:t>Electronic brake systems, including ABS and ESC systems</w:t>
            </w:r>
          </w:p>
        </w:tc>
      </w:tr>
      <w:tr>
        <w:trPr>
          <w:cantSplit/>
        </w:trPr>
        <w:tc>
          <w:tcPr>
            <w:tcW w:type="dxa" w:w="4680"/>
            <w:tcMar>
              <w:top w:w="70" w:type="dxa"/>
              <w:start w:w="110" w:type="dxa"/>
              <w:bottom w:w="70" w:type="dxa"/>
              <w:end w:w="110" w:type="dxa"/>
            </w:tcMar>
          </w:tcPr>
          <w:p>
            <w:pPr>
              <w:widowControl/>
              <w:spacing w:after="0"/>
            </w:pPr>
            <w:r>
              <w:rPr>
                <w:rFonts w:ascii="Arial" w:hAnsi="Arial"/>
                <w:sz w:val="17"/>
              </w:rPr>
              <w:t>8482.10</w:t>
            </w:r>
          </w:p>
        </w:tc>
        <w:tc>
          <w:tcPr>
            <w:tcW w:type="dxa" w:w="4680"/>
            <w:tcMar>
              <w:top w:w="70" w:type="dxa"/>
              <w:start w:w="110" w:type="dxa"/>
              <w:bottom w:w="70" w:type="dxa"/>
              <w:end w:w="110" w:type="dxa"/>
            </w:tcMar>
          </w:tcPr>
          <w:p>
            <w:pPr>
              <w:widowControl/>
              <w:spacing w:after="0"/>
            </w:pPr>
            <w:r>
              <w:rPr>
                <w:rFonts w:ascii="Arial" w:hAnsi="Arial"/>
                <w:sz w:val="17"/>
              </w:rPr>
              <w:t>Ball bearings</w:t>
            </w:r>
          </w:p>
        </w:tc>
      </w:tr>
      <w:tr>
        <w:trPr>
          <w:cantSplit/>
        </w:trPr>
        <w:tc>
          <w:tcPr>
            <w:tcW w:type="dxa" w:w="4680"/>
            <w:tcMar>
              <w:top w:w="70" w:type="dxa"/>
              <w:start w:w="110" w:type="dxa"/>
              <w:bottom w:w="70" w:type="dxa"/>
              <w:end w:w="110" w:type="dxa"/>
            </w:tcMar>
            <w:shd w:fill="F4F6F7"/>
          </w:tcPr>
          <w:p>
            <w:pPr>
              <w:widowControl/>
              <w:spacing w:after="0"/>
            </w:pPr>
            <w:r>
              <w:rPr>
                <w:rFonts w:ascii="Arial" w:hAnsi="Arial"/>
                <w:sz w:val="17"/>
              </w:rPr>
              <w:t>8482.20</w:t>
            </w:r>
          </w:p>
        </w:tc>
        <w:tc>
          <w:tcPr>
            <w:tcW w:type="dxa" w:w="4680"/>
            <w:tcMar>
              <w:top w:w="70" w:type="dxa"/>
              <w:start w:w="110" w:type="dxa"/>
              <w:bottom w:w="70" w:type="dxa"/>
              <w:end w:w="110" w:type="dxa"/>
            </w:tcMar>
            <w:shd w:fill="F4F6F7"/>
          </w:tcPr>
          <w:p>
            <w:pPr>
              <w:widowControl/>
              <w:spacing w:after="0"/>
            </w:pPr>
            <w:r>
              <w:rPr>
                <w:rFonts w:ascii="Arial" w:hAnsi="Arial"/>
                <w:sz w:val="17"/>
              </w:rPr>
              <w:t>Tapered roller bearings, including cone and tapered roller assemblies</w:t>
            </w:r>
          </w:p>
        </w:tc>
      </w:tr>
      <w:tr>
        <w:trPr>
          <w:cantSplit/>
        </w:trPr>
        <w:tc>
          <w:tcPr>
            <w:tcW w:type="dxa" w:w="4680"/>
            <w:tcMar>
              <w:top w:w="70" w:type="dxa"/>
              <w:start w:w="110" w:type="dxa"/>
              <w:bottom w:w="70" w:type="dxa"/>
              <w:end w:w="110" w:type="dxa"/>
            </w:tcMar>
          </w:tcPr>
          <w:p>
            <w:pPr>
              <w:widowControl/>
              <w:spacing w:after="0"/>
            </w:pPr>
            <w:r>
              <w:rPr>
                <w:rFonts w:ascii="Arial" w:hAnsi="Arial"/>
                <w:sz w:val="17"/>
              </w:rPr>
              <w:t>8482.30</w:t>
            </w:r>
          </w:p>
        </w:tc>
        <w:tc>
          <w:tcPr>
            <w:tcW w:type="dxa" w:w="4680"/>
            <w:tcMar>
              <w:top w:w="70" w:type="dxa"/>
              <w:start w:w="110" w:type="dxa"/>
              <w:bottom w:w="70" w:type="dxa"/>
              <w:end w:w="110" w:type="dxa"/>
            </w:tcMar>
          </w:tcPr>
          <w:p>
            <w:pPr>
              <w:widowControl/>
              <w:spacing w:after="0"/>
            </w:pPr>
            <w:r>
              <w:rPr>
                <w:rFonts w:ascii="Arial" w:hAnsi="Arial"/>
                <w:sz w:val="17"/>
              </w:rPr>
              <w:t>Spherical roller bearings</w:t>
            </w:r>
          </w:p>
        </w:tc>
      </w:tr>
      <w:tr>
        <w:trPr>
          <w:cantSplit/>
        </w:trPr>
        <w:tc>
          <w:tcPr>
            <w:tcW w:type="dxa" w:w="4680"/>
            <w:tcMar>
              <w:top w:w="70" w:type="dxa"/>
              <w:start w:w="110" w:type="dxa"/>
              <w:bottom w:w="70" w:type="dxa"/>
              <w:end w:w="110" w:type="dxa"/>
            </w:tcMar>
            <w:shd w:fill="F4F6F7"/>
          </w:tcPr>
          <w:p>
            <w:pPr>
              <w:widowControl/>
              <w:spacing w:after="0"/>
            </w:pPr>
            <w:r>
              <w:rPr>
                <w:rFonts w:ascii="Arial" w:hAnsi="Arial"/>
                <w:sz w:val="17"/>
              </w:rPr>
              <w:t>8482.40</w:t>
            </w:r>
          </w:p>
        </w:tc>
        <w:tc>
          <w:tcPr>
            <w:tcW w:type="dxa" w:w="4680"/>
            <w:tcMar>
              <w:top w:w="70" w:type="dxa"/>
              <w:start w:w="110" w:type="dxa"/>
              <w:bottom w:w="70" w:type="dxa"/>
              <w:end w:w="110" w:type="dxa"/>
            </w:tcMar>
            <w:shd w:fill="F4F6F7"/>
          </w:tcPr>
          <w:p>
            <w:pPr>
              <w:widowControl/>
              <w:spacing w:after="0"/>
            </w:pPr>
            <w:r>
              <w:rPr>
                <w:rFonts w:ascii="Arial" w:hAnsi="Arial"/>
                <w:sz w:val="17"/>
              </w:rPr>
              <w:t>Needle roller bearings</w:t>
            </w:r>
          </w:p>
        </w:tc>
      </w:tr>
      <w:tr>
        <w:trPr>
          <w:cantSplit/>
        </w:trPr>
        <w:tc>
          <w:tcPr>
            <w:tcW w:type="dxa" w:w="4680"/>
            <w:tcMar>
              <w:top w:w="70" w:type="dxa"/>
              <w:start w:w="110" w:type="dxa"/>
              <w:bottom w:w="70" w:type="dxa"/>
              <w:end w:w="110" w:type="dxa"/>
            </w:tcMar>
          </w:tcPr>
          <w:p>
            <w:pPr>
              <w:widowControl/>
              <w:spacing w:after="0"/>
            </w:pPr>
            <w:r>
              <w:rPr>
                <w:rFonts w:ascii="Arial" w:hAnsi="Arial"/>
                <w:sz w:val="17"/>
              </w:rPr>
              <w:t>8482.50</w:t>
            </w:r>
          </w:p>
        </w:tc>
        <w:tc>
          <w:tcPr>
            <w:tcW w:type="dxa" w:w="4680"/>
            <w:tcMar>
              <w:top w:w="70" w:type="dxa"/>
              <w:start w:w="110" w:type="dxa"/>
              <w:bottom w:w="70" w:type="dxa"/>
              <w:end w:w="110" w:type="dxa"/>
            </w:tcMar>
          </w:tcPr>
          <w:p>
            <w:pPr>
              <w:widowControl/>
              <w:spacing w:after="0"/>
            </w:pPr>
            <w:r>
              <w:rPr>
                <w:rFonts w:ascii="Arial" w:hAnsi="Arial"/>
                <w:sz w:val="17"/>
              </w:rPr>
              <w:t>Other cylindrical roller bearings</w:t>
            </w:r>
          </w:p>
        </w:tc>
      </w:tr>
      <w:tr>
        <w:trPr>
          <w:cantSplit/>
        </w:trPr>
        <w:tc>
          <w:tcPr>
            <w:tcW w:type="dxa" w:w="4680"/>
            <w:tcMar>
              <w:top w:w="70" w:type="dxa"/>
              <w:start w:w="110" w:type="dxa"/>
              <w:bottom w:w="70" w:type="dxa"/>
              <w:end w:w="110" w:type="dxa"/>
            </w:tcMar>
            <w:shd w:fill="F4F6F7"/>
          </w:tcPr>
          <w:p>
            <w:pPr>
              <w:widowControl/>
              <w:spacing w:after="0"/>
            </w:pPr>
            <w:r>
              <w:rPr>
                <w:rFonts w:ascii="Arial" w:hAnsi="Arial"/>
                <w:sz w:val="17"/>
              </w:rPr>
              <w:t>8483.20</w:t>
            </w:r>
          </w:p>
        </w:tc>
        <w:tc>
          <w:tcPr>
            <w:tcW w:type="dxa" w:w="4680"/>
            <w:tcMar>
              <w:top w:w="70" w:type="dxa"/>
              <w:start w:w="110" w:type="dxa"/>
              <w:bottom w:w="70" w:type="dxa"/>
              <w:end w:w="110" w:type="dxa"/>
            </w:tcMar>
            <w:shd w:fill="F4F6F7"/>
          </w:tcPr>
          <w:p>
            <w:pPr>
              <w:widowControl/>
              <w:spacing w:after="0"/>
            </w:pPr>
            <w:r>
              <w:rPr>
                <w:rFonts w:ascii="Arial" w:hAnsi="Arial"/>
                <w:sz w:val="17"/>
              </w:rPr>
              <w:t>Bearing housings, incorporating ball or roller bearings</w:t>
            </w:r>
          </w:p>
        </w:tc>
      </w:tr>
      <w:tr>
        <w:trPr>
          <w:cantSplit/>
        </w:trPr>
        <w:tc>
          <w:tcPr>
            <w:tcW w:type="dxa" w:w="4680"/>
            <w:tcMar>
              <w:top w:w="70" w:type="dxa"/>
              <w:start w:w="110" w:type="dxa"/>
              <w:bottom w:w="70" w:type="dxa"/>
              <w:end w:w="110" w:type="dxa"/>
            </w:tcMar>
          </w:tcPr>
          <w:p>
            <w:pPr>
              <w:widowControl/>
              <w:spacing w:after="0"/>
            </w:pPr>
            <w:r>
              <w:rPr>
                <w:rFonts w:ascii="Arial" w:hAnsi="Arial"/>
                <w:sz w:val="17"/>
              </w:rPr>
              <w:t>8483.30</w:t>
            </w:r>
          </w:p>
        </w:tc>
        <w:tc>
          <w:tcPr>
            <w:tcW w:type="dxa" w:w="4680"/>
            <w:tcMar>
              <w:top w:w="70" w:type="dxa"/>
              <w:start w:w="110" w:type="dxa"/>
              <w:bottom w:w="70" w:type="dxa"/>
              <w:end w:w="110" w:type="dxa"/>
            </w:tcMar>
          </w:tcPr>
          <w:p>
            <w:pPr>
              <w:widowControl/>
              <w:spacing w:after="0"/>
            </w:pPr>
            <w:r>
              <w:rPr>
                <w:rFonts w:ascii="Arial" w:hAnsi="Arial"/>
                <w:sz w:val="17"/>
              </w:rPr>
              <w:t>Bearing housings, not incorporating ball or roller bearings; plain shaft bearings</w:t>
            </w:r>
          </w:p>
        </w:tc>
      </w:tr>
      <w:tr>
        <w:trPr>
          <w:cantSplit/>
        </w:trPr>
        <w:tc>
          <w:tcPr>
            <w:tcW w:type="dxa" w:w="4680"/>
            <w:tcMar>
              <w:top w:w="70" w:type="dxa"/>
              <w:start w:w="110" w:type="dxa"/>
              <w:bottom w:w="70" w:type="dxa"/>
              <w:end w:w="110" w:type="dxa"/>
            </w:tcMar>
            <w:shd w:fill="F4F6F7"/>
          </w:tcPr>
          <w:p>
            <w:pPr>
              <w:widowControl/>
              <w:spacing w:after="0"/>
            </w:pPr>
            <w:r>
              <w:rPr>
                <w:rFonts w:ascii="Arial" w:hAnsi="Arial"/>
                <w:sz w:val="17"/>
              </w:rPr>
              <w:t>8483.60</w:t>
            </w:r>
          </w:p>
        </w:tc>
        <w:tc>
          <w:tcPr>
            <w:tcW w:type="dxa" w:w="4680"/>
            <w:tcMar>
              <w:top w:w="70" w:type="dxa"/>
              <w:start w:w="110" w:type="dxa"/>
              <w:bottom w:w="70" w:type="dxa"/>
              <w:end w:w="110" w:type="dxa"/>
            </w:tcMar>
            <w:shd w:fill="F4F6F7"/>
          </w:tcPr>
          <w:p>
            <w:pPr>
              <w:widowControl/>
              <w:spacing w:after="0"/>
            </w:pPr>
            <w:r>
              <w:rPr>
                <w:rFonts w:ascii="Arial" w:hAnsi="Arial"/>
                <w:sz w:val="17"/>
              </w:rPr>
              <w:t>Clutches and shaft couplings (including universal joints)</w:t>
            </w:r>
          </w:p>
        </w:tc>
      </w:tr>
      <w:tr>
        <w:trPr>
          <w:cantSplit/>
        </w:trPr>
        <w:tc>
          <w:tcPr>
            <w:tcW w:type="dxa" w:w="4680"/>
            <w:tcMar>
              <w:top w:w="70" w:type="dxa"/>
              <w:start w:w="110" w:type="dxa"/>
              <w:bottom w:w="70" w:type="dxa"/>
              <w:end w:w="110" w:type="dxa"/>
            </w:tcMar>
          </w:tcPr>
          <w:p>
            <w:pPr>
              <w:widowControl/>
              <w:spacing w:after="0"/>
            </w:pPr>
            <w:r>
              <w:rPr>
                <w:rFonts w:ascii="Arial" w:hAnsi="Arial"/>
                <w:sz w:val="17"/>
              </w:rPr>
              <w:t>8505.20</w:t>
            </w:r>
          </w:p>
        </w:tc>
        <w:tc>
          <w:tcPr>
            <w:tcW w:type="dxa" w:w="4680"/>
            <w:tcMar>
              <w:top w:w="70" w:type="dxa"/>
              <w:start w:w="110" w:type="dxa"/>
              <w:bottom w:w="70" w:type="dxa"/>
              <w:end w:w="110" w:type="dxa"/>
            </w:tcMar>
          </w:tcPr>
          <w:p>
            <w:pPr>
              <w:widowControl/>
              <w:spacing w:after="0"/>
            </w:pPr>
            <w:r>
              <w:rPr>
                <w:rFonts w:ascii="Arial" w:hAnsi="Arial"/>
                <w:sz w:val="17"/>
              </w:rPr>
              <w:t>Electro-magnetic couplings, clutches and brakes</w:t>
            </w:r>
          </w:p>
        </w:tc>
      </w:tr>
      <w:tr>
        <w:trPr>
          <w:cantSplit/>
        </w:trPr>
        <w:tc>
          <w:tcPr>
            <w:tcW w:type="dxa" w:w="4680"/>
            <w:tcMar>
              <w:top w:w="70" w:type="dxa"/>
              <w:start w:w="110" w:type="dxa"/>
              <w:bottom w:w="70" w:type="dxa"/>
              <w:end w:w="110" w:type="dxa"/>
            </w:tcMar>
            <w:shd w:fill="F4F6F7"/>
          </w:tcPr>
          <w:p>
            <w:pPr>
              <w:widowControl/>
              <w:spacing w:after="0"/>
            </w:pPr>
            <w:r>
              <w:rPr>
                <w:rFonts w:ascii="Arial" w:hAnsi="Arial"/>
                <w:sz w:val="17"/>
              </w:rPr>
              <w:t>8505.90</w:t>
            </w:r>
          </w:p>
        </w:tc>
        <w:tc>
          <w:tcPr>
            <w:tcW w:type="dxa" w:w="4680"/>
            <w:tcMar>
              <w:top w:w="70" w:type="dxa"/>
              <w:start w:w="110" w:type="dxa"/>
              <w:bottom w:w="70" w:type="dxa"/>
              <w:end w:w="110" w:type="dxa"/>
            </w:tcMar>
            <w:shd w:fill="F4F6F7"/>
          </w:tcPr>
          <w:p>
            <w:pPr>
              <w:widowControl/>
              <w:spacing w:after="0"/>
            </w:pPr>
            <w:r>
              <w:rPr>
                <w:rFonts w:ascii="Arial" w:hAnsi="Arial"/>
                <w:sz w:val="17"/>
              </w:rPr>
              <w:t>Other electro-magnets; electro-magnetic or permanent magnet chucks, clamps and similar holding devices; electro-magnetic lifting heads; including parts</w:t>
            </w:r>
          </w:p>
        </w:tc>
      </w:tr>
      <w:tr>
        <w:trPr>
          <w:cantSplit/>
        </w:trPr>
        <w:tc>
          <w:tcPr>
            <w:tcW w:type="dxa" w:w="4680"/>
            <w:tcMar>
              <w:top w:w="70" w:type="dxa"/>
              <w:start w:w="110" w:type="dxa"/>
              <w:bottom w:w="70" w:type="dxa"/>
              <w:end w:w="110" w:type="dxa"/>
            </w:tcMar>
          </w:tcPr>
          <w:p>
            <w:pPr>
              <w:widowControl/>
              <w:spacing w:after="0"/>
            </w:pPr>
            <w:r>
              <w:rPr>
                <w:rFonts w:ascii="Arial" w:hAnsi="Arial"/>
                <w:sz w:val="17"/>
              </w:rPr>
              <w:t>8507.60</w:t>
            </w:r>
          </w:p>
        </w:tc>
        <w:tc>
          <w:tcPr>
            <w:tcW w:type="dxa" w:w="4680"/>
            <w:tcMar>
              <w:top w:w="70" w:type="dxa"/>
              <w:start w:w="110" w:type="dxa"/>
              <w:bottom w:w="70" w:type="dxa"/>
              <w:end w:w="110" w:type="dxa"/>
            </w:tcMar>
          </w:tcPr>
          <w:p>
            <w:pPr>
              <w:widowControl/>
              <w:spacing w:after="0"/>
            </w:pPr>
            <w:r>
              <w:rPr>
                <w:rFonts w:ascii="Arial" w:hAnsi="Arial"/>
                <w:sz w:val="17"/>
              </w:rPr>
              <w:t>Lithium-ion batteries</w:t>
            </w:r>
          </w:p>
        </w:tc>
      </w:tr>
      <w:tr>
        <w:trPr>
          <w:cantSplit/>
        </w:trPr>
        <w:tc>
          <w:tcPr>
            <w:tcW w:type="dxa" w:w="4680"/>
            <w:tcMar>
              <w:top w:w="70" w:type="dxa"/>
              <w:start w:w="110" w:type="dxa"/>
              <w:bottom w:w="70" w:type="dxa"/>
              <w:end w:w="110" w:type="dxa"/>
            </w:tcMar>
            <w:shd w:fill="F4F6F7"/>
          </w:tcPr>
          <w:p>
            <w:pPr>
              <w:widowControl/>
              <w:spacing w:after="0"/>
            </w:pPr>
            <w:r>
              <w:rPr>
                <w:rFonts w:ascii="Arial" w:hAnsi="Arial"/>
                <w:sz w:val="17"/>
              </w:rPr>
              <w:t>8511.80</w:t>
            </w:r>
          </w:p>
        </w:tc>
        <w:tc>
          <w:tcPr>
            <w:tcW w:type="dxa" w:w="4680"/>
            <w:tcMar>
              <w:top w:w="70" w:type="dxa"/>
              <w:start w:w="110" w:type="dxa"/>
              <w:bottom w:w="70" w:type="dxa"/>
              <w:end w:w="110" w:type="dxa"/>
            </w:tcMar>
            <w:shd w:fill="F4F6F7"/>
          </w:tcPr>
          <w:p>
            <w:pPr>
              <w:widowControl/>
              <w:spacing w:after="0"/>
            </w:pPr>
            <w:r>
              <w:rPr>
                <w:rFonts w:ascii="Arial" w:hAnsi="Arial"/>
                <w:sz w:val="17"/>
              </w:rPr>
              <w:t>Other electrical ignition or starting equipment of a kind used for spark-ignition or compression-ignition internal combustion engines</w:t>
            </w:r>
          </w:p>
        </w:tc>
      </w:tr>
      <w:tr>
        <w:trPr>
          <w:cantSplit/>
        </w:trPr>
        <w:tc>
          <w:tcPr>
            <w:tcW w:type="dxa" w:w="4680"/>
            <w:tcMar>
              <w:top w:w="70" w:type="dxa"/>
              <w:start w:w="110" w:type="dxa"/>
              <w:bottom w:w="70" w:type="dxa"/>
              <w:end w:w="110" w:type="dxa"/>
            </w:tcMar>
          </w:tcPr>
          <w:p>
            <w:pPr>
              <w:widowControl/>
              <w:spacing w:after="0"/>
            </w:pPr>
            <w:r>
              <w:rPr>
                <w:rFonts w:ascii="Arial" w:hAnsi="Arial"/>
                <w:sz w:val="17"/>
              </w:rPr>
              <w:t>8511.90</w:t>
            </w:r>
          </w:p>
        </w:tc>
        <w:tc>
          <w:tcPr>
            <w:tcW w:type="dxa" w:w="4680"/>
            <w:tcMar>
              <w:top w:w="70" w:type="dxa"/>
              <w:start w:w="110" w:type="dxa"/>
              <w:bottom w:w="70" w:type="dxa"/>
              <w:end w:w="110" w:type="dxa"/>
            </w:tcMar>
          </w:tcPr>
          <w:p>
            <w:pPr>
              <w:widowControl/>
              <w:spacing w:after="0"/>
            </w:pPr>
            <w:r>
              <w:rPr>
                <w:rFonts w:ascii="Arial" w:hAnsi="Arial"/>
                <w:sz w:val="17"/>
              </w:rPr>
              <w:t>Parts of electrical ignition or starting equipment of a kind used for spark-ignition or</w:t>
            </w:r>
          </w:p>
        </w:tc>
      </w:tr>
    </w:tbl>
    <w:p>
      <w:pPr>
        <w:pStyle w:val="Normal"/>
        <w:widowControl/>
        <w:rPr/>
      </w:pPr>
      <w:r>
        <w:rPr/>
        <w:t>compression-ignition internal combustion engines or generators and cut-outs of a kind used in conjunction with such engines 4-B-1-43 TABLE F PARTS FOR OTHER VEHICLES Note: The Regional Value Content requirements set out in Article 10 of this Appendix apply to a good for use in a vehicle specified in paragraphs 1 and 2 of Article 10 of this Appendix.</w:t>
      </w:r>
    </w:p>
    <w:p>
      <w:pPr>
        <w:pStyle w:val="Normal"/>
        <w:widowControl/>
        <w:rPr/>
      </w:pPr>
      <w:r>
        <w:rPr/>
        <w:t>HS 2012 Description 40.09 Tubes, pipes and hoses 4010.31 Endless transmission belts (V-belts), V-ribbed, of an outside circumference exceeding 60 cm but not exceeding 180 cm 4010.32 Endless transmission belts (V-belts), other than V-ribbed, of an outside circumference exceeding 60 cm but not exceeding 180 cm 4010.33 Endless transmission belts (V-belts), V-ribbed, of an outside circumference exceeding 180 cm but not exceeding 240 cm 4010.34 Endless transmission belts (V-belts), other than V-ribbed, of an outside circumference exceeding 180 cm but not exceeding 240 cm 4010.39.aa Other endless transmission belts (V-belts) 40.11 New pneumatic tires, of rubber 4016.93.aa Gaskets, washers and other seals of vulcanised rubber other than hard rubber 4016.99.aa Vibration control goods 7007.11 Toughened (tempered) safety glass of a size and shape suitable for incorporation in vehicles 7007.21 Laminated safety glass of a size and shape suitable for incorporation in vehicles 7009.10 Rearview mirrors for vehicles 8301.20 Locks of a kind used for motor vehicles 8407.31 Reciprocating piston engines of a kind used for the propulsion of passenger</w:t>
      </w:r>
    </w:p>
    <w:p>
      <w:pPr>
        <w:pStyle w:val="Normal"/>
        <w:widowControl/>
        <w:rPr/>
      </w:pPr>
      <w:r>
        <w:rPr/>
        <w:t>vehicles of Chapter 87, of a cylinder capacity not exceeding 50 cc 8407.32 Reciprocating piston engines of a kind used for the propulsion of vehicles of Chapter 87, of a cylinder capacity exceeding 50 cc but not exceeding 250 cc 4-B-1-44 8407.33 8407.34.aa 8407.34.bb 8408.20 84.09 8413.30 8414.80.aa 8414.59.aa 8415.20 8421.39.aa 8481.20 8481.30 8481.80 8482.10 through 8482.80 8483.10 8483.20 8483.30</w:t>
      </w:r>
    </w:p>
    <w:p>
      <w:pPr>
        <w:pStyle w:val="Normal"/>
        <w:widowControl/>
        <w:rPr/>
      </w:pPr>
      <w:r>
        <w:rPr/>
        <w:t>8483.40 Reciprocating piston engines of a kind used for the propulsion of vehicles of Chapter 87, of a cylinder capacity exceeding 250 cc but not exceeding 1,000 cc Reciprocating piston engines of a kind used for the propulsion of vehicles of Chapter 87, of a cylinder capacity exceeding 1,000 cc but not exceeding 2,000cc Reciprocating piston engines of a kind used for the propulsion of vehicles of Chapter 87, of a cylinder capacity exceeding 2,000 cc Compression-ignition internal combustion piston engines of a kind used for the propulsion of vehicles of Chapter 87 Parts suitable for use solely or principally with spark-ignition internal combustion piston engines Fuel, lubricating or cooling medium pumps for internal combustion piston engines Other air or gas pumps, compressors and fans (turbochargers and superchargers for motor vehicles, where not provided for under subheading 8414.59) Other fans (turbochargers and superchargers for motor vehicles, where not provided for under subheading 8414.80) Air conditioning machines, comprising a motor-driven fan and elements for changing</w:t>
      </w:r>
    </w:p>
    <w:p>
      <w:pPr>
        <w:pStyle w:val="Normal"/>
        <w:widowControl/>
        <w:rPr/>
      </w:pPr>
      <w:r>
        <w:rPr/>
        <w:t>the temperature and humidity, including those machines in which humidity cannot be separately regulated, of a kind used for persons, in motor vehicles Catalytic converters Valves for oleohydraulic or pneumatic transmissions Check (nonreturn) valves Other taps, cocks, valves and similar appliances, including pressure-reducing valves and thermostatically controlled valves Ball or roller bearings Transmission shafts (including cam shafts and crank shafts) and cranks Bearing housings, incorporating ball or roller bearings Bearing housings; not incorporating ball or roller bearings; plain shaft bearings Gears and gearing, other than toothed wheels, chain sprockets 4-B-1-45 8483.50 8501.10 8501.20 8501.31 8501.32.aa 8507.20.aa, 8507.30.aa, 8507.40.aa and 8507.80.aa 8511.30 8511.40 8511.50 8512.20 8512.40 ex 8519.81 8527.21 8527.29 8536.50 8536.90 8537.10.bb 8539.10 8539.21 8544.30 87.06 and other transmission elements presented separately; ball or roller screws;</w:t>
      </w:r>
    </w:p>
    <w:p>
      <w:pPr>
        <w:pStyle w:val="Normal"/>
        <w:widowControl/>
        <w:rPr/>
      </w:pPr>
      <w:r>
        <w:rPr/>
        <w:t>gear boxes and other speed changes, including torque converters Flywheels and pulleys, including pulley blocks Electric motors and generators of an output not exceeding 37.5 W Universal AC/DC motors of an output exceeding 37.5 W Other DC motors and generators of an output not exceeding 750 W Other DC motors and generators of an output exceeding 750W but not exceeding 75 kW of a kind used for the propulsion of vehicles of Chapter 87 Batteries that provide primary source for electric cars Distributors; ignition coils Starter</w:t>
      </w:r>
    </w:p>
    <w:p>
      <w:pPr>
        <w:pStyle w:val="Normal"/>
        <w:widowControl/>
        <w:rPr/>
      </w:pPr>
      <w:r>
        <w:rPr/>
        <w:t>motors and dual purpose starter-generators of a kind used for spark-ignition or compressing-ignition internal combustion engines Other generators Other lighting or visual signalling equipment Windshield wipers, defrosters and demisters Cassette decks Radios combined with cassette players Radios Other electrical switches, for a voltage not exceeding 1,000 V Junction boxes Motor control centers Sealed beam lamp units Tungsten halogen filament lamp Ignition wiring sets and other wiring sets of a kind used in vehicles Chassis fitted with engines, for the motor vehicles of heading 87.01 through 87.05 4-B-1-46 87.07 8708.10.aa 8708.21 8708.29.aa 8708.29.cc 8708.30 8708.40 8708.50 8708.70.aa 8708.80 8708.91 8708.92 8708.93.aa 8708.94 8708.95 8708.99.aa 8708.99.bb 8708.99.ee 8708.99.hh 9031.80 9032.89 9401.20 Bodies (including cabs) for the motor vehicles of headings 87.01 to 87.05 Bumpers (but not parts thereof) Safety seat belts Body stampings Door assemblies Brakes and servo-brakes;</w:t>
      </w:r>
    </w:p>
    <w:p>
      <w:pPr>
        <w:pStyle w:val="Normal"/>
        <w:widowControl/>
        <w:rPr/>
      </w:pPr>
      <w:r>
        <w:rPr/>
        <w:t>parts thereof Gear boxes and parts thereof Drive axles with differential, whether or not provided with other transmission components, and non-driving axles Road wheels, but not parts or accessories thereof Suspension systems and parts thereof (including shock absorbers) Radiators and parts thereof Silencers (mufflers) and exhaust pipes; parts thereof Clutches (but not parts thereof) Steering wheels, steering columns and steering boxes; parts thereof Safety airbags with inflator systems, and parts</w:t>
      </w:r>
    </w:p>
    <w:p>
      <w:pPr>
        <w:widowControl/>
      </w:pPr>
      <w:r>
        <w:rPr>
          <w:b w:val="0"/>
        </w:rPr>
        <w:t>thereof Vibration control goods containing rubber Double flanged wheel hub units incorporating ball bearings Other parts for powertrains Other parts and accessories not provided for elsewhere in subheading 8708.99 Other measuring and checking instruments, appliances &amp; machines Other automatic regulating or controlling instruments and apparatus Seats of a kind used for motor vehicles</w:t>
      </w:r>
    </w:p>
    <w:p>
      <w:pPr>
        <w:widowControl/>
      </w:pPr>
      <w:r>
        <w:rPr>
          <w:b/>
        </w:rPr>
        <w:t>TABLE G — LIST OF COMPONENTS AND MATERIALS FOR OTHER VEHICLES</w:t>
      </w:r>
    </w:p>
    <w:tbl>
      <w:tblPr>
        <w:tblStyle w:val="TableGrid"/>
        <w:tblW w:type="auto" w:w="0"/>
        <w:jc w:val="center"/>
        <w:tblLayout w:type="autofit"/>
        <w:tblLook w:firstColumn="1" w:firstRow="1" w:lastColumn="0" w:lastRow="0" w:noHBand="0" w:noVBand="1" w:val="04A0"/>
      </w:tblPr>
      <w:tblGrid>
        <w:gridCol w:w="4680"/>
        <w:gridCol w:w="4680"/>
      </w:tblGrid>
      <w:tr>
        <w:trPr>
          <w:tblHeader w:val="true"/>
          <w:cantSplit/>
          <w:tblHeader w:val="true"/>
        </w:trPr>
        <w:tc>
          <w:tcPr>
            <w:tcW w:type="dxa" w:w="4680"/>
            <w:shd w:fill="233746"/>
          </w:tcPr>
          <w:p>
            <w:pPr>
              <w:spacing w:after="0"/>
            </w:pPr>
            <w:r>
              <w:rPr>
                <w:rFonts w:ascii="Arial" w:hAnsi="Arial"/>
                <w:b/>
                <w:color w:val="FFFFFF"/>
                <w:sz w:val="17"/>
              </w:rPr>
              <w:t>Component</w:t>
            </w:r>
          </w:p>
        </w:tc>
        <w:tc>
          <w:tcPr>
            <w:tcW w:type="dxa" w:w="4680"/>
            <w:shd w:fill="233746"/>
          </w:tcPr>
          <w:p>
            <w:pPr>
              <w:spacing w:after="0"/>
            </w:pPr>
            <w:r>
              <w:rPr>
                <w:rFonts w:ascii="Arial" w:hAnsi="Arial"/>
                <w:b/>
                <w:color w:val="FFFFFF"/>
                <w:sz w:val="17"/>
              </w:rPr>
              <w:t>Materials</w:t>
            </w:r>
          </w:p>
        </w:tc>
      </w:tr>
      <w:tr>
        <w:trPr>
          <w:cantSplit/>
        </w:trPr>
        <w:tc>
          <w:tcPr>
            <w:tcW w:type="dxa" w:w="4680"/>
            <w:tcMar>
              <w:top w:w="70" w:type="dxa"/>
              <w:start w:w="110" w:type="dxa"/>
              <w:bottom w:w="70" w:type="dxa"/>
              <w:end w:w="110" w:type="dxa"/>
            </w:tcMar>
          </w:tcPr>
          <w:p>
            <w:pPr>
              <w:widowControl/>
              <w:spacing w:after="0"/>
            </w:pPr>
            <w:r>
              <w:rPr>
                <w:rFonts w:ascii="Arial" w:hAnsi="Arial"/>
                <w:sz w:val="17"/>
              </w:rPr>
              <w:t>Engines provided for in heading 84.07 or 84.08</w:t>
            </w:r>
          </w:p>
        </w:tc>
        <w:tc>
          <w:tcPr>
            <w:tcW w:type="dxa" w:w="4680"/>
            <w:tcMar>
              <w:top w:w="70" w:type="dxa"/>
              <w:start w:w="110" w:type="dxa"/>
              <w:bottom w:w="70" w:type="dxa"/>
              <w:end w:w="110" w:type="dxa"/>
            </w:tcMar>
          </w:tcPr>
          <w:p>
            <w:pPr>
              <w:widowControl/>
              <w:spacing w:after="0"/>
            </w:pPr>
            <w:r>
              <w:rPr>
                <w:rFonts w:ascii="Arial" w:hAnsi="Arial"/>
                <w:sz w:val="17"/>
              </w:rPr>
              <w:t>cast block, cast head, fuel nozzle, fuel injector pumps, glow plugs, turbochargers and superchargers, electronic engine controls, intake manifold, exhaust manifold, intake/exhaust valves, crankshaft/camshaft, alternator, starter, air cleaner assembly, pistons, connecting rods and assemblies made therefrom (or rotor assemblies for rotary engines), flywheel (for manual transmissions), flexplate (for automatic transmissions), oil pan, oil pump and pressure regulator, water pump, crankshaft and camshaft gears, and radiator assemblies or charge-air coolers.</w:t>
            </w:r>
          </w:p>
        </w:tc>
      </w:tr>
      <w:tr>
        <w:trPr>
          <w:cantSplit/>
        </w:trPr>
        <w:tc>
          <w:tcPr>
            <w:tcW w:type="dxa" w:w="4680"/>
            <w:tcMar>
              <w:top w:w="70" w:type="dxa"/>
              <w:start w:w="110" w:type="dxa"/>
              <w:bottom w:w="70" w:type="dxa"/>
              <w:end w:w="110" w:type="dxa"/>
            </w:tcMar>
            <w:shd w:fill="F4F6F7"/>
          </w:tcPr>
          <w:p>
            <w:pPr>
              <w:widowControl/>
              <w:spacing w:after="0"/>
            </w:pPr>
            <w:r>
              <w:rPr>
                <w:rFonts w:ascii="Arial" w:hAnsi="Arial"/>
                <w:sz w:val="17"/>
              </w:rPr>
              <w:t>Gear boxes (transmissions) provided for in subheading 8708.40</w:t>
            </w:r>
          </w:p>
        </w:tc>
        <w:tc>
          <w:tcPr>
            <w:tcW w:type="dxa" w:w="4680"/>
            <w:tcMar>
              <w:top w:w="70" w:type="dxa"/>
              <w:start w:w="110" w:type="dxa"/>
              <w:bottom w:w="70" w:type="dxa"/>
              <w:end w:w="110" w:type="dxa"/>
            </w:tcMar>
            <w:shd w:fill="F4F6F7"/>
          </w:tcPr>
          <w:p>
            <w:pPr>
              <w:widowControl/>
              <w:spacing w:after="0"/>
            </w:pPr>
            <w:r>
              <w:rPr>
                <w:rFonts w:ascii="Arial" w:hAnsi="Arial"/>
                <w:sz w:val="17"/>
              </w:rPr>
              <w:t>(a) for manual transmissions - transmission case and clutch housing; clutch; internal shifting mechanism; gear sets, synchronizers and shafts; and (b) for torque convertor type transmissions - transmission case and convertor housing; torque convertor assembly; gear sets and clutches; and electronic transmission controls.</w:t>
            </w:r>
          </w:p>
        </w:tc>
      </w:tr>
    </w:tbl>
    <w:p>
      <w:pPr>
        <w:pStyle w:val="Normal"/>
        <w:keepNext w:val="true"/>
        <w:widowControl/>
        <w:spacing w:before="160" w:after="100"/>
        <w:rPr/>
      </w:pPr>
      <w:r>
        <w:rPr/>
        <w:t>4-B-1-48</w:t>
      </w:r>
    </w:p>
    <w:p>
      <w:pPr>
        <w:pStyle w:val="ModHeading"/>
        <w:widowControl/>
        <w:rPr/>
      </w:pPr>
      <w:bookmarkStart w:id="20" w:name="_Toc237912496"/>
      <w:r>
        <w:rPr/>
        <w:t>CHAPTER 4 — CUSMA 2.0 MODERNIZATION PROVISIONS</w:t>
      </w:r>
      <w:bookmarkEnd w:id="20"/>
    </w:p>
    <w:p>
      <w:pPr>
        <w:pStyle w:val="Normal"/>
        <w:widowControl/>
        <w:rPr/>
      </w:pPr>
      <w:r>
        <w:rPr>
          <w:i/>
        </w:rPr>
        <w:t>The provisions of this Part amend Chapter 4 (Rules of Origin) and its Annexes. Product-specific rules in Annex 4-B, including the Appendix on automotive goods, remain in force except as expressly amended below.</w:t>
      </w:r>
    </w:p>
    <w:p>
      <w:bookmarkStart w:id="1037" w:name="_NAESTMA_TOC_1037"/>
      <w:pPr>
        <w:pStyle w:val="Heading2"/>
        <w:keepNext/>
        <w:widowControl/>
        <w:rPr/>
      </w:pPr>
      <w:bookmarkStart w:id="21" w:name="_Toc237912497"/>
      <w:r>
        <w:rPr/>
        <w:t>Article 4.A: Modernized General Origin Provisions</w:t>
      </w:r>
      <w:bookmarkEnd w:id="21"/>
      <w:bookmarkEnd w:id="1037"/>
    </w:p>
    <w:p>
      <w:bookmarkStart w:id="1038" w:name="_NAESTMA_TOC_1038"/>
      <w:pPr>
        <w:pStyle w:val="Heading2"/>
        <w:keepNext/>
        <w:widowControl/>
        <w:rPr/>
      </w:pPr>
      <w:bookmarkStart w:id="22" w:name="_Toc237912498"/>
      <w:r>
        <w:rPr/>
        <w:t>Article 4.A.1: North American Origin as the Organizing Concept</w:t>
      </w:r>
      <w:bookmarkEnd w:id="22"/>
      <w:bookmarkEnd w:id="1038"/>
    </w:p>
    <w:p>
      <w:pPr>
        <w:pStyle w:val="Normal"/>
        <w:widowControl/>
        <w:rPr/>
      </w:pPr>
      <w:r>
        <w:rPr/>
        <w:t>1. Origin under this Agreement is North American origin. A good is originating when it satisfies the applicable rule of origin in this Chapter and Annex 4-B, and originating status is a single regional status; it is not conditioned on the share of the good’s content attributable to any one Party.</w:t>
      </w:r>
    </w:p>
    <w:p>
      <w:pPr>
        <w:pStyle w:val="Normal"/>
        <w:widowControl/>
        <w:rPr/>
      </w:pPr>
      <w:r>
        <w:rPr/>
        <w:t>2. For greater certainty, the accumulation rule in Article 4.11 (Accumulation) applies to production carried out in the territories of all Parties collectively, and no provision of this Agreement establishes a minimum content requirement measured by reference to a single Party’s territory.</w:t>
      </w:r>
    </w:p>
    <w:p>
      <w:pPr>
        <w:pStyle w:val="Normal"/>
        <w:widowControl/>
        <w:rPr/>
      </w:pPr>
      <w:r>
        <w:rPr/>
        <w:t>3. No Party shall administer this Chapter so as to impose, in practice, a single-Party content requirement as a condition of preferential treatment.</w:t>
      </w:r>
    </w:p>
    <w:p>
      <w:pPr>
        <w:pStyle w:val="Normal"/>
        <w:widowControl/>
        <w:rPr/>
      </w:pPr>
      <w:r>
        <w:rPr/>
        <w:t>4. A Party-specific content condition shall not be used to deny preferential treatment to a good that otherwise satisfies the applicable Party-neutral rule of origin under this Chapter and Annex 4-B. A measure alleged to operate as a de facto Party-specific content quota may be reviewed under Article 4.A.2C.</w:t>
      </w:r>
    </w:p>
    <w:p>
      <w:bookmarkStart w:id="1039" w:name="_NAESTMA_TOC_1039"/>
      <w:pPr>
        <w:pStyle w:val="Heading2"/>
        <w:keepNext/>
        <w:widowControl/>
        <w:rPr/>
      </w:pPr>
      <w:bookmarkStart w:id="23" w:name="_Toc237912499"/>
      <w:r>
        <w:rPr/>
        <w:t>Article 4.A.2: Automotive Goods — Modernized Architecture</w:t>
      </w:r>
      <w:bookmarkEnd w:id="23"/>
      <w:bookmarkEnd w:id="1039"/>
    </w:p>
    <w:p>
      <w:pPr>
        <w:pStyle w:val="Normal"/>
        <w:widowControl/>
        <w:rPr/>
      </w:pPr>
      <w:r>
        <w:rPr/>
        <w:t>1. The regional value content thresholds for passenger vehicles, light trucks, heavy trucks, and parts in the Appendix to Annex 4-B remain as provided therein, subject to the transition schedules in force.</w:t>
      </w:r>
    </w:p>
    <w:p>
      <w:pPr>
        <w:pStyle w:val="Normal"/>
        <w:widowControl/>
        <w:rPr/>
      </w:pPr>
      <w:r>
        <w:rPr/>
        <w:t>2. Notwithstanding paragraph 1, the Parties shall, within 24 months after entry into force of the Protocol of Modernization, conclude a technical modernization of the Appendix to Annex 4-B through a Commission instrument adopted by consensus, published by the Secretariat, and incorporated into the applicable Annex or implementing schedule in accordance with this Agreement. The modernization shall address, at a minimum:</w:t>
      </w:r>
    </w:p>
    <w:p>
      <w:pPr>
        <w:pStyle w:val="Normal"/>
        <w:widowControl/>
        <w:rPr/>
      </w:pPr>
      <w:r>
        <w:rPr/>
        <w:t>(a) the treatment of electric vehicles, including batteries, cells, cathode and anode active materials, power electronics, and electric drive units, as core, principal, or complementary parts as technically appropriate;</w:t>
      </w:r>
    </w:p>
    <w:p>
      <w:pPr>
        <w:pStyle w:val="Normal"/>
        <w:widowControl/>
        <w:rPr/>
      </w:pPr>
      <w:r>
        <w:rPr/>
        <w:t>(b) the treatment of vehicle software, sensors, and electronic systems in the value calculation, including their valuation where bundled with originating hardware;</w:t>
      </w:r>
    </w:p>
    <w:p>
      <w:pPr>
        <w:pStyle w:val="Normal"/>
        <w:widowControl/>
        <w:rPr/>
      </w:pPr>
      <w:r>
        <w:rPr/>
        <w:t>(c) a clarified and simplified regional value content methodology, with reduced scope for divergent interpretation, including standardized calculation guidance and worked examples adopted by the Committee on Rules of Origin;</w:t>
      </w:r>
    </w:p>
    <w:p>
      <w:pPr>
        <w:pStyle w:val="Normal"/>
        <w:widowControl/>
        <w:rPr/>
      </w:pPr>
      <w:r>
        <w:rPr/>
        <w:t>(d) the treatment of recycled, refurbished, and remanufactured content in accordance with Article 4.A.4; and</w:t>
      </w:r>
    </w:p>
    <w:p>
      <w:pPr>
        <w:pStyle w:val="Normal"/>
        <w:widowControl/>
        <w:rPr/>
      </w:pPr>
      <w:r>
        <w:rPr/>
        <w:t>(e) transition periods sufficient to protect investments made in reliance on the rules in force, with not less than 36 months’ phase-in for any increased threshold.</w:t>
      </w:r>
    </w:p>
    <w:p>
      <w:pPr>
        <w:pStyle w:val="Normal"/>
        <w:widowControl/>
        <w:rPr/>
      </w:pPr>
      <w:r>
        <w:rPr/>
        <w:t>3. Pending conclusion, adoption, implementation, or technical operation of the modernization in paragraph 2, the Appendix, uniform rules, preferential treatment, and other automotive rights otherwise in force shall continue without interruption. No Party shall apply a unilateral methodology, interpretation, auditing practice, tariff, surcharge, fee, quota, suspension of preference, or other covered border measure on the ground that the modernization, a traceability standard, a certification method, a technical platform, or an implementing methodology is incomplete, delayed, disputed, unavailable, or not yet operational, unless that measure is independently authorized under another provision of this Agreement and satisfies every condition of that provision. No Party may invoke as grounds for an emergency, safeguard, essential-security, transitional, corrective, or other trade restriction a condition materially created, prolonged, or aggravated by that Party's own failure to complete, adopt, implement, or operate the modernization. If the modernization has not been adopted by the 24-month deadline, the Appendix and uniform rules then in force shall continue without unilateral departure; the Committee on Rules of Origin shall publish a status report within 30 days and every 90 days thereafter until adoption, identifying unresolved technical questions without altering existing origin requirements or tariff treatment.</w:t>
      </w:r>
    </w:p>
    <w:p>
      <w:pPr>
        <w:pStyle w:val="Normal"/>
        <w:widowControl/>
        <w:rPr/>
      </w:pPr>
      <w:r>
        <w:rPr/>
        <w:t>4. For a vehicle that fails to qualify as originating, any duty applied by a Party on importation from another Party shall be calculated so that the value of North American content — content originating in one or more Parties — is not subject to that duty; the duty base is confined to the non-originating content of the vehicle, in accordance with implementing procedures adopted by the Committee on Rules of Origin. This paragraph does not create a preferential rate; it confines the incidence of the applicable most-favored-nation duty to non-originating value.</w:t>
      </w:r>
    </w:p>
    <w:p>
      <w:pPr>
        <w:pStyle w:val="Normal"/>
        <w:widowControl/>
        <w:rPr/>
      </w:pPr>
      <w:r>
        <w:rPr/>
        <w:t>5. Non-Originating Content Valuation. Any duty confined to the non-originating content of a non-qualifying vehicle or automotive good shall be administered exclusively under Annex 4-E (Automotive Non-Originating Content Valuation). No Party may apply that treatment until the Annex methodology, audit rules, software and engineering-cost treatment, transfer-pricing safeguards, component aggregation rules, and dispute procedures are operational.</w:t>
      </w:r>
    </w:p>
    <w:p>
      <w:pPr>
        <w:pStyle w:val="Heading3"/>
        <w:keepNext/>
        <w:widowControl/>
        <w:spacing w:before="180" w:after="80"/>
        <w:rPr/>
      </w:pPr>
      <w:r>
        <w:rPr/>
        <w:t>Article 4.A.2A: Automotive Sector Worker and Community Support</w:t>
      </w:r>
    </w:p>
    <w:p>
      <w:pPr>
        <w:pStyle w:val="Normal"/>
        <w:widowControl/>
        <w:spacing w:before="0" w:after="100"/>
        <w:rPr/>
      </w:pPr>
      <w:r>
        <w:rPr/>
        <w:t>The Parties recognize that Article 4.A.2 transformation will materially affect automotive workers and communities. Accordingly:</w:t>
      </w:r>
    </w:p>
    <w:p>
      <w:pPr>
        <w:pStyle w:val="Normal"/>
        <w:widowControl/>
        <w:spacing w:before="0" w:after="100"/>
        <w:rPr/>
      </w:pPr>
      <w:r>
        <w:rPr/>
        <w:t>(i) The automotive sector is designated as a Core Transition Sector under Chapter 23-B.</w:t>
      </w:r>
    </w:p>
    <w:p>
      <w:pPr>
        <w:pStyle w:val="Normal"/>
        <w:widowControl/>
        <w:spacing w:before="0" w:after="100"/>
        <w:rPr/>
      </w:pPr>
      <w:r>
        <w:rPr/>
        <w:t>(ii) All automotive workers displaced or materially affected by the transformations contemplated by Article 4.A.2 qualify as Affected Workers under Chapter 23-B and are entitled to income support, retraining, and benefit portability under Articles 23-B.3–23-B.5.</w:t>
      </w:r>
    </w:p>
    <w:p>
      <w:pPr>
        <w:pStyle w:val="Normal"/>
        <w:widowControl/>
        <w:spacing w:before="0" w:after="100"/>
        <w:rPr/>
      </w:pPr>
      <w:r>
        <w:rPr/>
        <w:t>(iii) Communities dependent on automotive manufacturing are entitled to community resilience and diversification support under Article 23-B.6.</w:t>
      </w:r>
    </w:p>
    <w:p>
      <w:pPr>
        <w:pStyle w:val="Normal"/>
        <w:widowControl/>
        <w:spacing w:before="0" w:after="100"/>
        <w:rPr/>
      </w:pPr>
      <w:r>
        <w:rPr/>
        <w:t>(iv) The Parties shall coordinate automotive workforce development through the North American Skills and Credential Recognition Board established under Article 23-B.4(f), ensuring that automotive retraining produces credentials recognized across all three Parties.</w:t>
      </w:r>
    </w:p>
    <w:p>
      <w:pPr>
        <w:pStyle w:val="Heading3"/>
        <w:keepNext/>
        <w:widowControl/>
        <w:rPr/>
      </w:pPr>
      <w:r>
        <w:rPr/>
        <w:t>ANNEX 4-E: AUTOMOTIVE NON-ORIGINATING CONTENT VALUATION AND TRANSITION</w:t>
      </w:r>
    </w:p>
    <w:p>
      <w:pPr>
        <w:pStyle w:val="Normal"/>
        <w:widowControl/>
        <w:rPr/>
      </w:pPr>
      <w:r>
        <w:rPr/>
        <w:t>1. Scope. This Annex governs any treatment that confines duty to the verified non-originating value of a non-qualifying vehicle or automotive good.</w:t>
      </w:r>
    </w:p>
    <w:p>
      <w:pPr>
        <w:pStyle w:val="Normal"/>
        <w:widowControl/>
        <w:rPr/>
      </w:pPr>
      <w:r>
        <w:rPr/>
        <w:t>2. Valuation hierarchy. Non-originating value shall be established, in order of preference, from verified transaction values of non-originating materials; audited producer cost records; approved component-family averages; or another transparent method adopted by consensus through a published Commission instrument. Software, engineering, tooling, royalties, assists, transfer pricing, recovered materials, and related-party transactions shall be treated under published uniform rules. No unpublished or ad hoc valuation method shall bind a trader.</w:t>
      </w:r>
    </w:p>
    <w:p>
      <w:pPr>
        <w:pStyle w:val="Normal"/>
        <w:widowControl/>
        <w:rPr/>
      </w:pPr>
      <w:r>
        <w:rPr/>
        <w:t>3. Aggregation. A producer may aggregate identical or substantially similar components by approved component family. Customs shall not require item-by-item valuation where aggregation produces an equally reliable result.</w:t>
      </w:r>
    </w:p>
    <w:p>
      <w:pPr>
        <w:pStyle w:val="Normal"/>
        <w:widowControl/>
        <w:rPr/>
      </w:pPr>
      <w:r>
        <w:rPr/>
        <w:t>4. Audit and dispute protection. Customs shall disclose the methodology, data requests, adjustments, and calculation. Disputed amounts may be secured by bond or escrow pending expedited review; no Party may impose duty on originating value merely because valuation of non-originating value remains disputed.</w:t>
      </w:r>
    </w:p>
    <w:p>
      <w:pPr>
        <w:pStyle w:val="Normal"/>
        <w:widowControl/>
        <w:rPr/>
      </w:pPr>
      <w:r>
        <w:rPr/>
        <w:t>5. Transition. Existing automotive origin thresholds remain applicable until a modernized threshold takes effect under an adopted schedule. Any increase in a regional-value or sector-specific threshold receives at least 36 months of phase-in after adoption unless all Parties agree otherwise. Heavy-truck and other legacy phase-ins shall be displayed by the Secretariat in a consolidated transition table stating the applicable threshold, effective date, vehicle class, and legal source.</w:t>
      </w:r>
    </w:p>
    <w:p>
      <w:pPr>
        <w:pStyle w:val="Normal"/>
        <w:widowControl/>
        <w:rPr/>
      </w:pPr>
      <w:r>
        <w:rPr/>
        <w:t>6. The Commission shall adopt the initial technical valuation schedule within 12 months of entry into force and shall publish worked examples for a passenger vehicle, light truck, heavy truck, battery-electric vehicle, and vehicle containing recovered or remanufactured components. If the schedule is not adopted by that deadline, the valuation methods and automotive origin rules otherwise in force shall continue, and the non-originating-content duty treatment in Article 4.A.2(4) shall not become operational until the published schedule required by this paragraph is adopted.</w:t>
      </w:r>
    </w:p>
    <w:p>
      <w:bookmarkStart w:id="1040" w:name="_NAESTMA_TOC_1040"/>
      <w:pPr>
        <w:pStyle w:val="Heading2"/>
        <w:keepNext/>
        <w:widowControl/>
        <w:rPr/>
      </w:pPr>
      <w:bookmarkStart w:id="24" w:name="_Toc237912500"/>
      <w:r>
        <w:rPr/>
        <w:t>Article 4.A.3: Steel and Aluminum — Melted and Poured; Smelted and Cast</w:t>
      </w:r>
      <w:bookmarkEnd w:id="24"/>
      <w:bookmarkEnd w:id="1040"/>
    </w:p>
    <w:p>
      <w:pPr>
        <w:pStyle w:val="Normal"/>
        <w:widowControl/>
        <w:rPr/>
      </w:pPr>
      <w:r>
        <w:rPr/>
        <w:t>1. The steel requirement of footnote 74 to the Appendix to Annex 4-B (as amended by the 2019 Protocol) remains in force as provided therein.</w:t>
      </w:r>
    </w:p>
    <w:p>
      <w:pPr>
        <w:pStyle w:val="Normal"/>
        <w:widowControl/>
        <w:rPr/>
      </w:pPr>
      <w:r>
        <w:rPr/>
        <w:t>2. Within 18 months after entry into force of the Protocol of Modernization, the Parties shall adopt through the Committee on Rules of Origin: (a) the aluminum requirements contemplated by footnote 74; and (b) procedures under which compliance with melted-and-poured and smelted-and-cast requirements is certified through the traceability standards of Article 37.4. In developing those requirements, the Committee shall consider verified North American production capacity, commercially available grades and forms, supply concentration, material import dependence, technical specifications, transition needs, and reasonably foreseeable circumvention risks; shall provide a reasonable opportunity for public comment; and shall apply criteria on a Party-neutral basis. The adopted requirements and traceability procedures shall be published before taking effect. If no new aluminum requirement has been adopted by the deadline, the requirements otherwise in force remain applicable until a replacement is adopted in accordance with this paragraph.</w:t>
      </w:r>
    </w:p>
    <w:p>
      <w:pPr>
        <w:pStyle w:val="Normal"/>
        <w:widowControl/>
        <w:rPr/>
      </w:pPr>
      <w:r>
        <w:rPr/>
        <w:t>3. A requirement described in this Article operates as a rule of origin only. It does not authorize a covered border measure, and no special sectoral origin test applies to originating goods outside this Agreement’s rules of origin except as provided herein.</w:t>
      </w:r>
    </w:p>
    <w:p>
      <w:bookmarkStart w:id="1041" w:name="_NAESTMA_TOC_1041"/>
      <w:pPr>
        <w:pStyle w:val="Heading2"/>
        <w:keepNext/>
        <w:widowControl/>
        <w:rPr/>
      </w:pPr>
      <w:bookmarkStart w:id="25" w:name="_Toc237912501"/>
      <w:r>
        <w:rPr/>
        <w:t>Article 4.A.4: Circular Production — Recycling, Recovery, Refurbishment, Remanufacturing</w:t>
      </w:r>
      <w:bookmarkEnd w:id="25"/>
      <w:bookmarkEnd w:id="1041"/>
    </w:p>
    <w:p>
      <w:pPr>
        <w:pStyle w:val="Normal"/>
        <w:widowControl/>
        <w:rPr/>
      </w:pPr>
      <w:r>
        <w:rPr/>
        <w:t>1. Production within a Party consisting of recycling, recovery of materials, refining of secondary materials, refurbishment, or remanufacturing confers originating status where the recovered or remanufactured good satisfies the applicable rule of origin, treating the recovery or remanufacturing operations as qualifying production.</w:t>
      </w:r>
    </w:p>
    <w:p>
      <w:pPr>
        <w:pStyle w:val="Normal"/>
        <w:widowControl/>
        <w:rPr/>
      </w:pPr>
      <w:r>
        <w:rPr/>
        <w:t>2. Recovered materials collected in a Party are originating materials for the purposes of this Chapter.</w:t>
      </w:r>
    </w:p>
    <w:p>
      <w:pPr>
        <w:pStyle w:val="Normal"/>
        <w:widowControl/>
        <w:rPr/>
      </w:pPr>
      <w:r>
        <w:rPr/>
        <w:t>3. A remanufactured good, as defined in Article 2.1, that is recovered in the territory of one or more Parties and satisfies the applicable rule is originating.</w:t>
      </w:r>
    </w:p>
    <w:p>
      <w:pPr>
        <w:pStyle w:val="Normal"/>
        <w:widowControl/>
        <w:rPr/>
      </w:pPr>
      <w:r>
        <w:rPr/>
        <w:t>4. The Committee on Rules of Origin shall adopt technical criteria for this Article within 18 months, including chain-of-custody documentation proportionate to risk.</w:t>
      </w:r>
    </w:p>
    <w:p>
      <w:pPr>
        <w:pStyle w:val="Normal"/>
        <w:widowControl/>
        <w:rPr/>
      </w:pPr>
      <w:r>
        <w:rPr/>
        <w:t>5. Minimum Chain-of-Custody Standard. Risk-proportionate documentation shall in all cases identify the supplying entity, material or component category, quantity or value, recovery or remanufacturing operation, country of operation, transaction date, and linkage to the resulting originating good. Higher-risk transactions may require lot-level traceability, independent certification, or physical verification under published criteria. The Committee on Rules of Origin shall maintain a standardized electronic record template.</w:t>
      </w:r>
    </w:p>
    <w:p>
      <w:bookmarkStart w:id="1042" w:name="_NAESTMA_TOC_1042"/>
      <w:pPr>
        <w:pStyle w:val="Heading2"/>
        <w:keepNext/>
        <w:widowControl/>
        <w:rPr/>
      </w:pPr>
      <w:bookmarkStart w:id="26" w:name="_Toc237912502"/>
      <w:r>
        <w:rPr/>
        <w:t>Article 4.A.5: Semiconductors and Embedded Electronics</w:t>
      </w:r>
      <w:bookmarkEnd w:id="26"/>
      <w:bookmarkEnd w:id="1042"/>
    </w:p>
    <w:p>
      <w:pPr>
        <w:pStyle w:val="Normal"/>
        <w:widowControl/>
        <w:rPr/>
      </w:pPr>
      <w:r>
        <w:rPr/>
        <w:t>1. For goods incorporating semiconductors or embedded microelectronics for which no North American substitute is reasonably available, testing, packaging, programming, or final assembly within a Party may receive the treatment described in this paragraph only under published procedures adopted by the Committee on Rules of Origin and subject to the de minimis component ceiling formally established in Annex 4-B as amended. Unavailability shall be determined from documented evidence concerning commercial availability, required volume, technical quality or specification, delivery time, and reasonable commercial price, taking account of genuine qualification and safety requirements. The procedure shall identify the evidence required, provide a reasoned eligibility determination, and permit review under the ordinary origin-review procedures of this Agreement. Until the Annex 4-B ceiling and implementing procedure are in force, the ordinary origin rules apply without disregarding the non-originating status of the component under this Article.</w:t>
      </w:r>
    </w:p>
    <w:p>
      <w:pPr>
        <w:pStyle w:val="Normal"/>
        <w:widowControl/>
        <w:rPr/>
      </w:pPr>
      <w:r>
        <w:rPr/>
        <w:t>2. The Committee on Rules of Origin shall maintain and annually review a published list of components covered by paragraph 1, based on documented market evidence. Additions, removals, and material eligibility changes shall state reasons and an effective date and shall not apply retroactively to completed entries except where required to correct fraud or material misrepresentation.</w:t>
      </w:r>
    </w:p>
    <w:p>
      <w:bookmarkStart w:id="1043" w:name="_NAESTMA_TOC_1043"/>
      <w:pPr>
        <w:pStyle w:val="Heading2"/>
        <w:keepNext/>
        <w:widowControl/>
        <w:rPr/>
      </w:pPr>
      <w:bookmarkStart w:id="27" w:name="_Toc237912503"/>
      <w:r>
        <w:rPr/>
        <w:t>Article 4.A.6: SME Access</w:t>
      </w:r>
      <w:bookmarkEnd w:id="27"/>
      <w:bookmarkEnd w:id="1043"/>
    </w:p>
    <w:p>
      <w:pPr>
        <w:pStyle w:val="Normal"/>
        <w:widowControl/>
        <w:rPr/>
      </w:pPr>
      <w:r>
        <w:rPr/>
        <w:t>1. The Committee on Rules of Origin shall publish plain-language origin guidance, model certifications, and digital self-assessment tools for small and medium-sized enterprises in the three official languages.</w:t>
      </w:r>
    </w:p>
    <w:p>
      <w:pPr>
        <w:pStyle w:val="Normal"/>
        <w:widowControl/>
        <w:rPr/>
      </w:pPr>
      <w:r>
        <w:rPr/>
        <w:t>2. One-Audit Safe Harbor. An SME that has completed an origin or customs compliance audit without a material adverse finding shall not be subjected to a substantially duplicative audit concerning the same goods and period during the following 12 months, unless the authority possesses materially new evidence of fraud, a material change in ownership or sourcing, or another documented risk that could not reasonably have been examined in the prior audit. If a second audit proceeds without such grounds and an independent review finds the audit unjustified, the authority shall reimburse the SME’s reasonable documented legal and compliance costs attributable to the duplicative audit.</w:t>
      </w:r>
    </w:p>
    <w:p>
      <w:pPr>
        <w:pStyle w:val="Normal"/>
        <w:widowControl/>
        <w:rPr/>
      </w:pPr>
      <w:r>
        <w:rPr/>
        <w:t>3. Simplified origin procedures, including reduced documentation and longer certification-validity periods, apply to SMEs with a clean three-year compliance record.</w:t>
      </w:r>
    </w:p>
    <w:p>
      <w:pPr>
        <w:pStyle w:val="Normal"/>
        <w:widowControl/>
        <w:rPr/>
      </w:pPr>
      <w:r>
        <w:rPr/>
        <w:t>4. Independent Review of Repeat Audits. An SME subject to a second audit within a rolling 12-month period may request an expedited determination by the Treaty Integrity Secretariat. The customs authority bears the burden of showing reasonable grounds based on materially new evidence, fraud indicators, a material change in ownership or trade pattern, or another published risk criterion. If the Secretariat determines that the repeat audit lacked reasonable grounds, the authority shall reimburse reasonable documented legal and compliance costs, subject to published caps and review standards.</w:t>
      </w:r>
    </w:p>
    <w:p>
      <w:pPr>
        <w:pStyle w:val="Normal"/>
        <w:widowControl/>
        <w:rPr/>
      </w:pPr>
      <w:r>
        <w:rPr/>
        <w:t>5. Single SME Compliance Gateway. Each Party shall provide a single electronic and assisted-service gateway through which a qualifying SME may obtain origin guidance, submit a consolidated certification, request an advance ruling, respond to verification requests, and obtain a plain-language statement of any deficiency.</w:t>
      </w:r>
    </w:p>
    <w:p>
      <w:pPr>
        <w:pStyle w:val="Normal"/>
        <w:widowControl/>
        <w:rPr/>
      </w:pPr>
      <w:r>
        <w:rPr/>
        <w:t>6. An SME that uses the official form, supplies the required data fields in good faith, and has no material fraud indicator is presumed to have satisfied documentary-format requirements. A customs authority may require correction of a material error but shall not deny preferential treatment solely for a non-material formatting defect.</w:t>
      </w:r>
    </w:p>
    <w:p>
      <w:pPr>
        <w:pStyle w:val="Normal"/>
        <w:widowControl/>
        <w:rPr/>
      </w:pPr>
      <w:r>
        <w:rPr/>
        <w:t>7. Advance rulings and binding administrative guidance requested by a qualifying SME under this Article shall be provided without application fee and, absent exceptional complexity, within 30 days. Where the authority cannot meet that period, it shall issue an interim written position on which the SME may reasonably rely pending the final ruling.</w:t>
      </w:r>
    </w:p>
    <w:p>
      <w:pPr>
        <w:pStyle w:val="Normal"/>
        <w:widowControl/>
        <w:rPr/>
      </w:pPr>
      <w:r>
        <w:rPr/>
        <w:t>8. The Commission shall publish model forms, worked examples, and sector-specific SME guidance and shall review SME compliance costs annually. If a new procedure materially increases average SME compliance cost, the responsible committee shall identify and adopt a simplified pathway or explain publicly why simplification is not feasible.</w:t>
      </w:r>
    </w:p>
    <w:p>
      <w:bookmarkStart w:id="1044" w:name="_NAESTMA_TOC_1044"/>
      <w:pPr>
        <w:pStyle w:val="Heading2"/>
        <w:keepNext/>
        <w:widowControl/>
        <w:rPr/>
      </w:pPr>
      <w:bookmarkStart w:id="28" w:name="_Toc237912504"/>
      <w:r>
        <w:rPr/>
        <w:t>Article 4.A.7: Committee on Rules of Origin — Additional Functions</w:t>
      </w:r>
      <w:bookmarkEnd w:id="28"/>
      <w:bookmarkEnd w:id="1044"/>
    </w:p>
    <w:p>
      <w:pPr>
        <w:pStyle w:val="Normal"/>
        <w:widowControl/>
        <w:rPr/>
      </w:pPr>
      <w:r>
        <w:rPr/>
        <w:t>1. The Committee on Rules of Origin (or, pending its formal constitution for these functions, the Committee on Origin Procedures jointly with the Committee on Trade in Goods) shall: (a) administer the modernization mandate in Article 4.A.2; (b) maintain the lists in Articles 4.A.5 and 4.A.6; (c) coordinate with the Economic Security and Supply Chain Resilience Subcommittee on traceability; and (d) report annually to the Commission on utilization of preferences and on pending interpretive questions. The annual report shall identify material implementation actions, published lists or technical instruments adopted during the year, preference-utilization trends, unresolved interpretive questions, and recommendations requiring Commission attention, subject to appropriate redaction of confidential information. An interpretive question that the Committee cannot resolve shall be referred to the Commission or to the dispute-settlement route otherwise available under this Agreement. The Committee may administer and recommend changes but shall not amend an origin threshold, product-specific rule, or other binding requirement except through the amendment or technical-adoption procedure expressly authorized by this Agreement.</w:t>
      </w:r>
    </w:p>
    <w:p>
      <w:bookmarkStart w:id="1045" w:name="_NAESTMA_TOC_1045"/>
      <w:pPr>
        <w:pStyle w:val="Heading2"/>
        <w:keepNext/>
        <w:widowControl/>
        <w:rPr/>
      </w:pPr>
      <w:r>
        <w:rPr/>
        <w:t>Article 4.A.2A: Automotive Duty-Free Safe Harbor and Alternative Settlement Election</w:t>
      </w:r>
      <w:bookmarkEnd w:id="1045"/>
    </w:p>
    <w:p>
      <w:pPr>
        <w:pStyle w:val="Normal"/>
        <w:widowControl/>
        <w:rPr/>
      </w:pPr>
      <w:r>
        <w:rPr/>
        <w:t>1. A covered automotive good satisfying the ordinary CUSMA automotive rules of origin, including the applicable Standard Tier regional value content requirement and all other mandatory origin conditions, receives the preferential tariff treatment otherwise provided by this Agreement. No Article 59.5A non-North-American-value calculation or earned-integration-credit calculation is required merely to obtain that ordinary treatment.</w:t>
      </w:r>
    </w:p>
    <w:p>
      <w:pPr>
        <w:pStyle w:val="Normal"/>
        <w:widowControl/>
        <w:rPr/>
      </w:pPr>
      <w:r>
        <w:rPr/>
        <w:t>2. A covered automotive good that does not satisfy ordinary preferential qualification may, where the applicable schedule permits, elect the Article 59.5A Automotive Settlement pathway. The 13.8 percent headline rate, verified content credits, earned integration credits, and bounded effective-rate rules apply only within that elected or otherwise expressly applicable pathway.</w:t>
      </w:r>
    </w:p>
    <w:p>
      <w:pPr>
        <w:pStyle w:val="Normal"/>
        <w:widowControl/>
        <w:rPr/>
      </w:pPr>
      <w:r>
        <w:rPr/>
        <w:t>3. Use of the ordinary duty-free pathway shall not reduce eligibility for unrelated facilitation benefits. Election of the alternative pathway does not convert legitimate Canadian, Mexican, or United States originating content into non-originating content.</w:t>
      </w:r>
    </w:p>
    <w:p>
      <w:pPr>
        <w:pStyle w:val="Normal"/>
        <w:widowControl/>
        <w:rPr/>
      </w:pPr>
      <w:r>
        <w:rPr/>
        <w:t>4. Authorities shall determine ordinary qualification first where doing so can resolve tariff treatment more simply than applying the alternative settlement calculation.</w:t>
      </w:r>
    </w:p>
    <w:p>
      <w:bookmarkStart w:id="1046" w:name="_NAESTMA_TOC_1046"/>
      <w:pPr>
        <w:pStyle w:val="Heading2"/>
        <w:keepNext/>
        <w:widowControl/>
        <w:rPr/>
      </w:pPr>
      <w:r>
        <w:rPr/>
        <w:t>Article 4.A.2B: Strategic Component Banking and Portfolio Flexibility</w:t>
      </w:r>
      <w:bookmarkEnd w:id="1046"/>
    </w:p>
    <w:p>
      <w:pPr>
        <w:pStyle w:val="Normal"/>
        <w:widowControl/>
        <w:rPr/>
      </w:pPr>
      <w:r>
        <w:rPr/>
        <w:t>1. The Commission may, by consensus and through a published implementing schedule, authorize limited banking of verified excess performance in designated strategic-component categories for use against a shortfall in another covered model or model-year of the same producer or controlled producer group. The schedule shall identify eligible categories, the maximum credit or percentage that may be banked or applied, the banking period and expiry, required records, audit treatment, and the effective date.</w:t>
      </w:r>
    </w:p>
    <w:p>
      <w:pPr>
        <w:pStyle w:val="Normal"/>
        <w:widowControl/>
        <w:rPr/>
      </w:pPr>
      <w:r>
        <w:rPr/>
        <w:t>2. Banking is an optional facilitation mechanism and shall be capped, time-limited, transparent to the verifying authority, and unavailable to cure failure of a mandatory origin rule. Credits shall expire after the period specified in the schedule, shall not be applied retroactively to entries completed before the schedule takes effect, and may not be sold to unrelated producers unless expressly authorized by amendment. Banking shall reward real excess North American production or sourcing and shall not permit paper transfers, double counting, artificial production shifting, or circumvention of a mandatory Party-neutral origin rule. A Party's decision not to participate in a banking schedule does not constitute non-compliance, reduce unrelated benefits, or authorize retaliation unless the Party has expressly accepted that schedule as binding.</w:t>
      </w:r>
    </w:p>
    <w:p>
      <w:pPr>
        <w:pStyle w:val="Normal"/>
        <w:widowControl/>
        <w:rPr/>
      </w:pPr>
      <w:r>
        <w:rPr/>
        <w:t>3. The Secretariat shall report aggregate use without disclosing confidential business information.</w:t>
      </w:r>
    </w:p>
    <w:p>
      <w:bookmarkStart w:id="1047" w:name="_NAESTMA_TOC_1047"/>
      <w:pPr>
        <w:pStyle w:val="Heading2"/>
        <w:keepNext/>
        <w:widowControl/>
        <w:rPr/>
      </w:pPr>
      <w:r>
        <w:rPr/>
        <w:t>Article 4.A.2C: De Facto Party-Specific Quota Fast Track</w:t>
      </w:r>
      <w:bookmarkEnd w:id="1047"/>
    </w:p>
    <w:p>
      <w:pPr>
        <w:pStyle w:val="Normal"/>
        <w:widowControl/>
        <w:rPr/>
      </w:pPr>
      <w:r>
        <w:rPr/>
        <w:t>1. A Party reasonably believing that another Party's automotive incentive, credit, procurement preference, licensing condition, or related measure functions in economic substance as a prohibited Party-specific content quota may submit a substantiated notice through the existing Secretariat.</w:t>
      </w:r>
    </w:p>
    <w:p>
      <w:pPr>
        <w:pStyle w:val="Normal"/>
        <w:widowControl/>
        <w:rPr/>
      </w:pPr>
      <w:r>
        <w:rPr/>
        <w:t>2. Technical consultations begin within 10 days; findings or recommendations should issue by Day 30; if unresolved by Day 45 the complaining Party may request expedited Chapter 31 review; a final determination should issue by Day 60 absent exceptional circumstances.</w:t>
      </w:r>
    </w:p>
    <w:p>
      <w:pPr>
        <w:pStyle w:val="Normal"/>
        <w:widowControl/>
        <w:rPr/>
      </w:pPr>
      <w:r>
        <w:rPr/>
        <w:t>3. The review shall examine design, eligibility conditions, marginal incentives, effective commercial access, treatment of equivalent originating content, and actual or reasonably foreseeable economic effects. A stronger marginal incentive for investment in the granting Party is not alone a prohibited quota. The question is whether, in design or effect, commercially meaningful access or treatment is conditioned on achieving a Party-specific production share or whether legitimate originating content of another Party is functionally treated as non-originating.</w:t>
      </w:r>
    </w:p>
    <w:p>
      <w:pPr>
        <w:pStyle w:val="Normal"/>
        <w:widowControl/>
        <w:rPr/>
      </w:pPr>
      <w:r>
        <w:rPr/>
        <w:t>4. Pending review, the Parties shall use the narrowest sufficient interim measure and avoid suspension of unrelated automotive trade.</w:t>
      </w:r>
    </w:p>
    <w:p>
      <w:bookmarkStart w:id="1048" w:name="_NAESTMA_TOC_1048"/>
      <w:pPr>
        <w:pStyle w:val="Heading2"/>
        <w:keepNext/>
        <w:widowControl/>
        <w:rPr/>
      </w:pPr>
      <w:r>
        <w:rPr/>
        <w:t>ANNEX 4-E-1: Consolidated Automotive Tier Reference</w:t>
      </w:r>
      <w:bookmarkEnd w:id="1048"/>
    </w:p>
    <w:tbl>
      <w:tblPr>
        <w:tblStyle w:val="TableGrid"/>
        <w:tblW w:w="9360" w:type="dxa"/>
        <w:jc w:val="center"/>
        <w:tblInd w:w="0" w:type="dxa"/>
        <w:tblLayout w:type="autofit"/>
        <w:tblCellMar>
          <w:top w:w="0" w:type="dxa"/>
          <w:left w:w="108" w:type="dxa"/>
          <w:bottom w:w="0" w:type="dxa"/>
          <w:right w:w="108" w:type="dxa"/>
        </w:tblCellMar>
        <w:tblLook w:val="04a0" w:noHBand="0" w:noVBand="1" w:firstColumn="1" w:lastRow="0" w:lastColumn="0" w:firstRow="1"/>
      </w:tblPr>
      <w:tblGrid>
        <w:gridCol w:w="2340"/>
        <w:gridCol w:w="2340"/>
        <w:gridCol w:w="2340"/>
        <w:gridCol w:w="2339"/>
      </w:tblGrid>
      <w:tr>
        <w:trPr>
          <w:tblHeader w:val="true"/>
        </w:trPr>
        <w:tc>
          <w:tcPr>
            <w:tcW w:w="2340" w:type="dxa"/>
            <w:tcBorders/>
            <w:shd w:fill="233746"/>
          </w:tcPr>
          <w:p>
            <w:pPr>
              <w:pStyle w:val="Normal"/>
              <w:widowControl/>
              <w:suppressAutoHyphens w:val="true"/>
              <w:spacing w:before="0" w:after="0"/>
              <w:jc w:val="left"/>
              <w:rPr>
                <w:rFonts w:cs=""/>
                <w:kern w:val="0"/>
                <w:szCs w:val="22"/>
                <w:lang w:val="en-US" w:eastAsia="en-US" w:bidi="ar-SA"/>
              </w:rPr>
            </w:pPr>
            <w:r>
              <w:rPr>
                <w:rFonts w:cs="" w:ascii="Arial" w:hAnsi="Arial"/>
                <w:b/>
                <w:color w:val="FFFFFF"/>
                <w:kern w:val="0"/>
                <w:sz w:val="17"/>
                <w:szCs w:val="22"/>
                <w:lang w:val="en-US" w:eastAsia="en-US" w:bidi="ar-SA"/>
              </w:rPr>
              <w:t>Tier</w:t>
            </w:r>
          </w:p>
        </w:tc>
        <w:tc>
          <w:tcPr>
            <w:tcW w:w="2340" w:type="dxa"/>
            <w:tcBorders/>
            <w:shd w:fill="233746"/>
          </w:tcPr>
          <w:p>
            <w:pPr>
              <w:pStyle w:val="Normal"/>
              <w:widowControl/>
              <w:suppressAutoHyphens w:val="true"/>
              <w:spacing w:before="0" w:after="0"/>
              <w:jc w:val="left"/>
              <w:rPr>
                <w:rFonts w:cs=""/>
                <w:kern w:val="0"/>
                <w:szCs w:val="22"/>
                <w:lang w:val="en-US" w:eastAsia="en-US" w:bidi="ar-SA"/>
              </w:rPr>
            </w:pPr>
            <w:r>
              <w:rPr>
                <w:rFonts w:cs="" w:ascii="Arial" w:hAnsi="Arial"/>
                <w:b/>
                <w:color w:val="FFFFFF"/>
                <w:kern w:val="0"/>
                <w:sz w:val="17"/>
                <w:szCs w:val="22"/>
                <w:lang w:val="en-US" w:eastAsia="en-US" w:bidi="ar-SA"/>
              </w:rPr>
              <w:t>RVC / Origin Threshold</w:t>
            </w:r>
          </w:p>
        </w:tc>
        <w:tc>
          <w:tcPr>
            <w:tcW w:w="2340" w:type="dxa"/>
            <w:tcBorders/>
            <w:shd w:fill="233746"/>
          </w:tcPr>
          <w:p>
            <w:pPr>
              <w:pStyle w:val="Normal"/>
              <w:widowControl/>
              <w:suppressAutoHyphens w:val="true"/>
              <w:spacing w:before="0" w:after="0"/>
              <w:jc w:val="left"/>
              <w:rPr>
                <w:rFonts w:cs=""/>
                <w:kern w:val="0"/>
                <w:szCs w:val="22"/>
                <w:lang w:val="en-US" w:eastAsia="en-US" w:bidi="ar-SA"/>
              </w:rPr>
            </w:pPr>
            <w:r>
              <w:rPr>
                <w:rFonts w:cs="" w:ascii="Arial" w:hAnsi="Arial"/>
                <w:b/>
                <w:color w:val="FFFFFF"/>
                <w:kern w:val="0"/>
                <w:sz w:val="17"/>
                <w:szCs w:val="22"/>
                <w:lang w:val="en-US" w:eastAsia="en-US" w:bidi="ar-SA"/>
              </w:rPr>
              <w:t>Strategic Component / Continuity Requirement</w:t>
            </w:r>
          </w:p>
        </w:tc>
        <w:tc>
          <w:tcPr>
            <w:tcW w:w="2339" w:type="dxa"/>
            <w:tcBorders/>
            <w:shd w:fill="233746"/>
          </w:tcPr>
          <w:p>
            <w:pPr>
              <w:pStyle w:val="Normal"/>
              <w:widowControl/>
              <w:suppressAutoHyphens w:val="true"/>
              <w:spacing w:before="0" w:after="0"/>
              <w:jc w:val="left"/>
              <w:rPr>
                <w:rFonts w:cs=""/>
                <w:kern w:val="0"/>
                <w:szCs w:val="22"/>
                <w:lang w:val="en-US" w:eastAsia="en-US" w:bidi="ar-SA"/>
              </w:rPr>
            </w:pPr>
            <w:r>
              <w:rPr>
                <w:rFonts w:cs="" w:ascii="Arial" w:hAnsi="Arial"/>
                <w:b/>
                <w:color w:val="FFFFFF"/>
                <w:kern w:val="0"/>
                <w:sz w:val="17"/>
                <w:szCs w:val="22"/>
                <w:lang w:val="en-US" w:eastAsia="en-US" w:bidi="ar-SA"/>
              </w:rPr>
              <w:t>Principal Treatment</w:t>
            </w:r>
          </w:p>
        </w:tc>
      </w:tr>
      <w:tr>
        <w:trPr/>
        <w:tc>
          <w:tcPr>
            <w:tcW w:w="2340" w:type="dxa"/>
            <w:tcBorders/>
            <w:tcMar>
              <w:top w:w="70" w:type="dxa"/>
              <w:start w:w="110" w:type="dxa"/>
              <w:bottom w:w="70" w:type="dxa"/>
              <w:end w:w="110" w:type="dxa"/>
            </w:tcMar>
          </w:tcPr>
          <w:p>
            <w:pPr>
              <w:pStyle w:val="Normal"/>
              <w:widowControl/>
              <w:suppressAutoHyphens w:val="true"/>
              <w:spacing w:before="0" w:after="0"/>
              <w:jc w:val="left"/>
              <w:rPr>
                <w:rFonts w:cs=""/>
                <w:kern w:val="0"/>
                <w:szCs w:val="22"/>
                <w:lang w:val="en-US" w:eastAsia="en-US" w:bidi="ar-SA"/>
              </w:rPr>
            </w:pPr>
            <w:r>
              <w:rPr>
                <w:rFonts w:cs="" w:ascii="Arial" w:hAnsi="Arial"/>
                <w:kern w:val="0"/>
                <w:sz w:val="17"/>
                <w:szCs w:val="22"/>
                <w:lang w:val="en-US" w:eastAsia="en-US" w:bidi="ar-SA"/>
              </w:rPr>
              <w:t>Standard</w:t>
            </w:r>
          </w:p>
        </w:tc>
        <w:tc>
          <w:tcPr>
            <w:tcW w:w="2340" w:type="dxa"/>
            <w:tcBorders/>
            <w:tcMar>
              <w:top w:w="70" w:type="dxa"/>
              <w:start w:w="110" w:type="dxa"/>
              <w:bottom w:w="70" w:type="dxa"/>
              <w:end w:w="110" w:type="dxa"/>
            </w:tcMar>
          </w:tcPr>
          <w:p>
            <w:pPr>
              <w:pStyle w:val="Normal"/>
              <w:widowControl/>
              <w:suppressAutoHyphens w:val="true"/>
              <w:spacing w:before="0" w:after="0"/>
              <w:jc w:val="left"/>
              <w:rPr>
                <w:rFonts w:cs=""/>
                <w:kern w:val="0"/>
                <w:szCs w:val="22"/>
                <w:lang w:val="en-US" w:eastAsia="en-US" w:bidi="ar-SA"/>
              </w:rPr>
            </w:pPr>
            <w:r>
              <w:rPr>
                <w:rFonts w:cs="" w:ascii="Arial" w:hAnsi="Arial"/>
                <w:kern w:val="0"/>
                <w:sz w:val="17"/>
                <w:szCs w:val="22"/>
                <w:lang w:val="en-US" w:eastAsia="en-US" w:bidi="ar-SA"/>
              </w:rPr>
              <w:t>75% RVC, subject to all other applicable automotive origin rules</w:t>
            </w:r>
          </w:p>
        </w:tc>
        <w:tc>
          <w:tcPr>
            <w:tcW w:w="2340" w:type="dxa"/>
            <w:tcBorders/>
            <w:tcMar>
              <w:top w:w="70" w:type="dxa"/>
              <w:start w:w="110" w:type="dxa"/>
              <w:bottom w:w="70" w:type="dxa"/>
              <w:end w:w="110" w:type="dxa"/>
            </w:tcMar>
          </w:tcPr>
          <w:p>
            <w:pPr>
              <w:pStyle w:val="Normal"/>
              <w:widowControl/>
              <w:suppressAutoHyphens w:val="true"/>
              <w:spacing w:before="0" w:after="0"/>
              <w:jc w:val="left"/>
              <w:rPr>
                <w:rFonts w:cs=""/>
                <w:kern w:val="0"/>
                <w:szCs w:val="22"/>
                <w:lang w:val="en-US" w:eastAsia="en-US" w:bidi="ar-SA"/>
              </w:rPr>
            </w:pPr>
            <w:r>
              <w:rPr>
                <w:rFonts w:cs="" w:ascii="Arial" w:hAnsi="Arial"/>
                <w:kern w:val="0"/>
                <w:sz w:val="17"/>
                <w:szCs w:val="22"/>
                <w:lang w:val="en-US" w:eastAsia="en-US" w:bidi="ar-SA"/>
              </w:rPr>
              <w:t>No additional strategic-category condition solely by reason of this table</w:t>
            </w:r>
          </w:p>
        </w:tc>
        <w:tc>
          <w:tcPr>
            <w:tcW w:w="2339" w:type="dxa"/>
            <w:tcBorders/>
            <w:tcMar>
              <w:top w:w="70" w:type="dxa"/>
              <w:start w:w="110" w:type="dxa"/>
              <w:bottom w:w="70" w:type="dxa"/>
              <w:end w:w="110" w:type="dxa"/>
            </w:tcMar>
          </w:tcPr>
          <w:p>
            <w:pPr>
              <w:pStyle w:val="Normal"/>
              <w:widowControl/>
              <w:suppressAutoHyphens w:val="true"/>
              <w:spacing w:before="0" w:after="0"/>
              <w:jc w:val="left"/>
              <w:rPr>
                <w:rFonts w:cs=""/>
                <w:kern w:val="0"/>
                <w:szCs w:val="22"/>
                <w:lang w:val="en-US" w:eastAsia="en-US" w:bidi="ar-SA"/>
              </w:rPr>
            </w:pPr>
            <w:r>
              <w:rPr>
                <w:rFonts w:cs="" w:ascii="Arial" w:hAnsi="Arial"/>
                <w:kern w:val="0"/>
                <w:sz w:val="17"/>
                <w:szCs w:val="22"/>
                <w:lang w:val="en-US" w:eastAsia="en-US" w:bidi="ar-SA"/>
              </w:rPr>
              <w:t>Ordinary CUSMA preferential treatment; duty-free where otherwise provided; no Article 59.5A calculation required.</w:t>
            </w:r>
          </w:p>
        </w:tc>
      </w:tr>
      <w:tr>
        <w:trPr/>
        <w:tc>
          <w:tcPr>
            <w:tcW w:w="2340" w:type="dxa"/>
            <w:tcBorders/>
            <w:tcMar>
              <w:top w:w="70" w:type="dxa"/>
              <w:start w:w="110" w:type="dxa"/>
              <w:bottom w:w="70" w:type="dxa"/>
              <w:end w:w="110" w:type="dxa"/>
            </w:tcMar>
            <w:shd w:fill="F4F6F7"/>
          </w:tcPr>
          <w:p>
            <w:pPr>
              <w:pStyle w:val="Normal"/>
              <w:widowControl/>
              <w:suppressAutoHyphens w:val="true"/>
              <w:spacing w:before="0" w:after="0"/>
              <w:jc w:val="left"/>
              <w:rPr>
                <w:rFonts w:cs=""/>
                <w:kern w:val="0"/>
                <w:szCs w:val="22"/>
                <w:lang w:val="en-US" w:eastAsia="en-US" w:bidi="ar-SA"/>
              </w:rPr>
            </w:pPr>
            <w:r>
              <w:rPr>
                <w:rFonts w:cs="" w:ascii="Arial" w:hAnsi="Arial"/>
                <w:kern w:val="0"/>
                <w:sz w:val="17"/>
                <w:szCs w:val="22"/>
                <w:lang w:val="en-US" w:eastAsia="en-US" w:bidi="ar-SA"/>
              </w:rPr>
              <w:t>High Integration</w:t>
            </w:r>
          </w:p>
        </w:tc>
        <w:tc>
          <w:tcPr>
            <w:tcW w:w="2340" w:type="dxa"/>
            <w:tcBorders/>
            <w:tcMar>
              <w:top w:w="70" w:type="dxa"/>
              <w:start w:w="110" w:type="dxa"/>
              <w:bottom w:w="70" w:type="dxa"/>
              <w:end w:w="110" w:type="dxa"/>
            </w:tcMar>
            <w:shd w:fill="F4F6F7"/>
          </w:tcPr>
          <w:p>
            <w:pPr>
              <w:pStyle w:val="Normal"/>
              <w:widowControl/>
              <w:suppressAutoHyphens w:val="true"/>
              <w:spacing w:before="0" w:after="0"/>
              <w:jc w:val="left"/>
              <w:rPr>
                <w:rFonts w:cs=""/>
                <w:kern w:val="0"/>
                <w:szCs w:val="22"/>
                <w:lang w:val="en-US" w:eastAsia="en-US" w:bidi="ar-SA"/>
              </w:rPr>
            </w:pPr>
            <w:r>
              <w:rPr>
                <w:rFonts w:cs="" w:ascii="Arial" w:hAnsi="Arial"/>
                <w:kern w:val="0"/>
                <w:sz w:val="17"/>
                <w:szCs w:val="22"/>
                <w:lang w:val="en-US" w:eastAsia="en-US" w:bidi="ar-SA"/>
              </w:rPr>
              <w:t>80% RVC reference threshold, where elected or specified by the applicable automotive schedule</w:t>
            </w:r>
          </w:p>
        </w:tc>
        <w:tc>
          <w:tcPr>
            <w:tcW w:w="2340" w:type="dxa"/>
            <w:tcBorders/>
            <w:tcMar>
              <w:top w:w="70" w:type="dxa"/>
              <w:start w:w="110" w:type="dxa"/>
              <w:bottom w:w="70" w:type="dxa"/>
              <w:end w:w="110" w:type="dxa"/>
            </w:tcMar>
            <w:shd w:fill="F4F6F7"/>
          </w:tcPr>
          <w:p>
            <w:pPr>
              <w:pStyle w:val="Normal"/>
              <w:widowControl/>
              <w:suppressAutoHyphens w:val="true"/>
              <w:spacing w:before="0" w:after="0"/>
              <w:jc w:val="left"/>
              <w:rPr>
                <w:rFonts w:cs=""/>
                <w:kern w:val="0"/>
                <w:szCs w:val="22"/>
                <w:lang w:val="en-US" w:eastAsia="en-US" w:bidi="ar-SA"/>
              </w:rPr>
            </w:pPr>
            <w:r>
              <w:rPr>
                <w:rFonts w:cs="" w:ascii="Arial" w:hAnsi="Arial"/>
                <w:kern w:val="0"/>
                <w:sz w:val="17"/>
                <w:szCs w:val="22"/>
                <w:lang w:val="en-US" w:eastAsia="en-US" w:bidi="ar-SA"/>
              </w:rPr>
              <w:t>Qualifying performance in at least 3 of 5 designated strategic component categories, as defined in the implementing schedule</w:t>
            </w:r>
          </w:p>
        </w:tc>
        <w:tc>
          <w:tcPr>
            <w:tcW w:w="2339" w:type="dxa"/>
            <w:tcBorders/>
            <w:tcMar>
              <w:top w:w="70" w:type="dxa"/>
              <w:start w:w="110" w:type="dxa"/>
              <w:bottom w:w="70" w:type="dxa"/>
              <w:end w:w="110" w:type="dxa"/>
            </w:tcMar>
            <w:shd w:fill="F4F6F7"/>
          </w:tcPr>
          <w:p>
            <w:pPr>
              <w:pStyle w:val="Normal"/>
              <w:widowControl/>
              <w:suppressAutoHyphens w:val="true"/>
              <w:spacing w:before="0" w:after="0"/>
              <w:jc w:val="left"/>
              <w:rPr>
                <w:rFonts w:cs=""/>
                <w:kern w:val="0"/>
                <w:szCs w:val="22"/>
                <w:lang w:val="en-US" w:eastAsia="en-US" w:bidi="ar-SA"/>
              </w:rPr>
            </w:pPr>
            <w:r>
              <w:rPr>
                <w:rFonts w:cs="" w:ascii="Arial" w:hAnsi="Arial"/>
                <w:kern w:val="0"/>
                <w:sz w:val="17"/>
                <w:szCs w:val="22"/>
                <w:lang w:val="en-US" w:eastAsia="en-US" w:bidi="ar-SA"/>
              </w:rPr>
              <w:t>Eligibility for designated facilitation benefits such as expedited customs, reduced verification frequency, or approved model-year determinations; does not create a Party-specific quota.</w:t>
            </w:r>
          </w:p>
        </w:tc>
      </w:tr>
      <w:tr>
        <w:trPr/>
        <w:tc>
          <w:tcPr>
            <w:tcW w:w="2340" w:type="dxa"/>
            <w:tcBorders/>
            <w:tcMar>
              <w:top w:w="70" w:type="dxa"/>
              <w:start w:w="110" w:type="dxa"/>
              <w:bottom w:w="70" w:type="dxa"/>
              <w:end w:w="110" w:type="dxa"/>
            </w:tcMar>
          </w:tcPr>
          <w:p>
            <w:pPr>
              <w:pStyle w:val="Normal"/>
              <w:widowControl/>
              <w:suppressAutoHyphens w:val="true"/>
              <w:spacing w:before="0" w:after="0"/>
              <w:jc w:val="left"/>
              <w:rPr>
                <w:rFonts w:cs=""/>
                <w:kern w:val="0"/>
                <w:szCs w:val="22"/>
                <w:lang w:val="en-US" w:eastAsia="en-US" w:bidi="ar-SA"/>
              </w:rPr>
            </w:pPr>
            <w:r>
              <w:rPr>
                <w:rFonts w:cs="" w:ascii="Arial" w:hAnsi="Arial"/>
                <w:kern w:val="0"/>
                <w:sz w:val="17"/>
                <w:szCs w:val="22"/>
                <w:lang w:val="en-US" w:eastAsia="en-US" w:bidi="ar-SA"/>
              </w:rPr>
              <w:t>Strategic Integration</w:t>
            </w:r>
          </w:p>
        </w:tc>
        <w:tc>
          <w:tcPr>
            <w:tcW w:w="2340" w:type="dxa"/>
            <w:tcBorders/>
            <w:tcMar>
              <w:top w:w="70" w:type="dxa"/>
              <w:start w:w="110" w:type="dxa"/>
              <w:bottom w:w="70" w:type="dxa"/>
              <w:end w:w="110" w:type="dxa"/>
            </w:tcMar>
          </w:tcPr>
          <w:p>
            <w:pPr>
              <w:pStyle w:val="Normal"/>
              <w:widowControl/>
              <w:suppressAutoHyphens w:val="true"/>
              <w:spacing w:before="0" w:after="0"/>
              <w:jc w:val="left"/>
              <w:rPr>
                <w:rFonts w:cs=""/>
                <w:kern w:val="0"/>
                <w:szCs w:val="22"/>
                <w:lang w:val="en-US" w:eastAsia="en-US" w:bidi="ar-SA"/>
              </w:rPr>
            </w:pPr>
            <w:r>
              <w:rPr>
                <w:rFonts w:cs="" w:ascii="Arial" w:hAnsi="Arial"/>
                <w:kern w:val="0"/>
                <w:sz w:val="17"/>
                <w:szCs w:val="22"/>
                <w:lang w:val="en-US" w:eastAsia="en-US" w:bidi="ar-SA"/>
              </w:rPr>
              <w:t>85% RVC reference threshold, where elected or specified by the applicable automotive schedule</w:t>
            </w:r>
          </w:p>
        </w:tc>
        <w:tc>
          <w:tcPr>
            <w:tcW w:w="2340" w:type="dxa"/>
            <w:tcBorders/>
            <w:tcMar>
              <w:top w:w="70" w:type="dxa"/>
              <w:start w:w="110" w:type="dxa"/>
              <w:bottom w:w="70" w:type="dxa"/>
              <w:end w:w="110" w:type="dxa"/>
            </w:tcMar>
          </w:tcPr>
          <w:p>
            <w:pPr>
              <w:pStyle w:val="Normal"/>
              <w:widowControl/>
              <w:suppressAutoHyphens w:val="true"/>
              <w:spacing w:before="0" w:after="0"/>
              <w:jc w:val="left"/>
              <w:rPr>
                <w:rFonts w:cs=""/>
                <w:kern w:val="0"/>
                <w:szCs w:val="22"/>
                <w:lang w:val="en-US" w:eastAsia="en-US" w:bidi="ar-SA"/>
              </w:rPr>
            </w:pPr>
            <w:r>
              <w:rPr>
                <w:rFonts w:cs="" w:ascii="Arial" w:hAnsi="Arial"/>
                <w:kern w:val="0"/>
                <w:sz w:val="17"/>
                <w:szCs w:val="22"/>
                <w:lang w:val="en-US" w:eastAsia="en-US" w:bidi="ar-SA"/>
              </w:rPr>
              <w:t>Qualifying performance across all 5 designated strategic component categories plus an approved supply-chain continuity plan</w:t>
            </w:r>
          </w:p>
        </w:tc>
        <w:tc>
          <w:tcPr>
            <w:tcW w:w="2339" w:type="dxa"/>
            <w:tcBorders/>
            <w:tcMar>
              <w:top w:w="70" w:type="dxa"/>
              <w:start w:w="110" w:type="dxa"/>
              <w:bottom w:w="70" w:type="dxa"/>
              <w:end w:w="110" w:type="dxa"/>
            </w:tcMar>
          </w:tcPr>
          <w:p>
            <w:pPr>
              <w:pStyle w:val="Normal"/>
              <w:widowControl/>
              <w:suppressAutoHyphens w:val="true"/>
              <w:spacing w:before="0" w:after="0"/>
              <w:jc w:val="left"/>
              <w:rPr>
                <w:rFonts w:cs=""/>
                <w:kern w:val="0"/>
                <w:szCs w:val="22"/>
                <w:lang w:val="en-US" w:eastAsia="en-US" w:bidi="ar-SA"/>
              </w:rPr>
            </w:pPr>
            <w:r>
              <w:rPr>
                <w:rFonts w:cs="" w:ascii="Arial" w:hAnsi="Arial"/>
                <w:kern w:val="0"/>
                <w:sz w:val="17"/>
                <w:szCs w:val="22"/>
                <w:lang w:val="en-US" w:eastAsia="en-US" w:bidi="ar-SA"/>
              </w:rPr>
              <w:t>Best available non-tariff facilitation and resilience treatment authorized by the implementing schedule, subject to verification and anti-gaming rules.</w:t>
            </w:r>
          </w:p>
        </w:tc>
      </w:tr>
    </w:tbl>
    <w:p>
      <w:pPr>
        <w:pStyle w:val="Normal"/>
        <w:widowControl/>
        <w:rPr/>
      </w:pPr>
      <w:r>
        <w:rPr/>
        <w:t>Interpretive Note. This table consolidates operational reference points and does not silently override stricter product-specific rules, steel or aluminum requirements, anti-circumvention requirements, or other mandatory automotive provisions. Where a conflict exists, the operative treaty provision controls unless formally amended.</w:t>
      </w:r>
      <w:r>
        <w:br w:type="page"/>
      </w:r>
    </w:p>
    <w:p>
      <w:bookmarkStart w:id="1049" w:name="_NAESTMA_TOC_1049"/>
      <w:pPr>
        <w:pStyle w:val="Heading1"/>
        <w:keepNext/>
        <w:keepLines w:val="0"/>
        <w:pageBreakBefore/>
        <w:widowControl/>
        <w:rPr/>
      </w:pPr>
      <w:bookmarkStart w:id="29" w:name="_Toc237912505"/>
      <w:r>
        <w:rPr/>
        <w:t>CHAPTER 5 ORIGIN PROCEDURES</w:t>
      </w:r>
      <w:bookmarkEnd w:id="29"/>
      <w:bookmarkEnd w:id="1049"/>
    </w:p>
    <w:p>
      <w:pPr>
        <w:pStyle w:val="Normal"/>
        <w:widowControl/>
        <w:rPr/>
      </w:pPr>
      <w:r>
        <w:rPr/>
        <w:t>Article 5.1: Definitions For the purposes of this Chapter: exporter means an exporter located in the territory of a Party and an exporter required under this Chapter to maintain records in the territory of that Party regarding exportations of a good; identical goods means goods that are the same in all respects, including physical characteristics, quality, and reputation, irrespective of minor differences in appearance that are not relevant to a determination of origin of those goods under Chapter 4 (Rules of Origin) or Chapter 6 (Textile and Apparel Goods); importer means an importer located in the territory of a Party and an importer required under this Chapter to maintain records in the territory of that Party regarding importations of a good; and value means value of a good or material for purposes of calculating customs duties or for purposes of applying Chapter 4 (Rules of Origin) or Chapter 6 (Textile and Apparel Goods).</w:t>
      </w:r>
    </w:p>
    <w:p>
      <w:pPr>
        <w:pStyle w:val="Normal"/>
        <w:keepNext w:val="true"/>
        <w:widowControl/>
        <w:rPr/>
      </w:pPr>
      <w:r>
        <w:rPr/>
        <w:t>Article 5.2: Claims for Preferential Tariff Treatment 1. Each Party shall provide that an importer may make a claim for preferential tariff treatment, based on a certification of origin completed by the exporter, producer, or importer1 for the purpose of certifying that a good being exported from the territory of a Party into the territory of another Party qualifies as an originating good. 2. An importing Party may: (a) require that an importer who completes a certification of origin provide documents or other information to support the certification; (b) establish in its law conditions that an importer shall meet to complete a certification of origin; For Mexico, implementation of paragraph 1 with respect to a certification of origin by the importer shall be no later than three years and six months after the date of entry into force of this Agreement.</w:t>
      </w:r>
    </w:p>
    <w:p>
      <w:pPr>
        <w:pStyle w:val="Normal"/>
        <w:widowControl/>
        <w:rPr/>
      </w:pPr>
      <w:r>
        <w:rPr/>
        <w:t>(c) if an importer fails to meet or no longer meets the conditions established under subparagraph (b), prohibit that importer from providing its own certification as the basis of a claim for preferential tariff treatment; or (d) if a claim for preferential tariff treatment is based on a certification of origin completed by an importer, prohibit that importer from: (i) issuing a certification, based on a certification of origin or a written representation completed by the exporter or producer, and (ii) making a subsequent claim for preferential tariff treatment for the same importation, based on a certification of origin completed by the exporter or producer. 3. Each Party shall provide that a certification of origin: (a) need not follow a prescribed format; (b) contains a set of minimum data elements as set out in Annex 5-A (Minimum Data Elements) that indicate that the good is both originating and meets the requirements of this Chapter; (c) may be provided on an invoice or any other document;</w:t>
      </w:r>
    </w:p>
    <w:p>
      <w:pPr>
        <w:pStyle w:val="Normal"/>
        <w:widowControl/>
        <w:rPr/>
      </w:pPr>
      <w:r>
        <w:rPr/>
        <w:t>(d) describes the originating good in sufficient detail to enable its identification; and (e) meets the requirements as set out in the Uniform Regulations. 4. A Party shall not reject a claim for preferential tariff treatment for the sole reason that the invoice was issued in a non-Party. However, a certification of origin shall not be provided on an invoice or any other commercial document issued in a non-Party. 5.</w:t>
      </w:r>
    </w:p>
    <w:p>
      <w:pPr>
        <w:pStyle w:val="Normal"/>
        <w:widowControl/>
        <w:rPr/>
      </w:pPr>
      <w:r>
        <w:rPr/>
        <w:t>Each Party shall provide that the certification of origin for a good imported into its territory may be completed in English, French, or Spanish. If the certification of origin is not in a language of the importing Party, the importing Party may require an importer to submit, upon request, a translation into such a language. 6. Each Party shall allow a certification of origin to be completed and submitted electronically and shall accept the certification of origin with an electronic or digital signature.</w:t>
      </w:r>
    </w:p>
    <w:p>
      <w:pPr>
        <w:pStyle w:val="Normal"/>
        <w:keepNext w:val="true"/>
        <w:widowControl/>
        <w:rPr/>
      </w:pPr>
      <w:r>
        <w:rPr/>
        <w:t>Article 5.3: Basis of a Certification of Origin 1. Each Party shall provide that if a producer certifies the origin of a good, the certification of origin is completed on the basis of the producer having information, including documents, that demonstrate that the good is originating. 2. Each Party shall provide that if the exporter is not the producer of the good, the certification of origin may be completed by the exporter of the good on the basis of: (a) having information, including documents, that demonstrate that the good is originating; or (b) reasonable reliance on the producer’s written representation, such as in a certification of origin, that the good is originating. 3. Each Party shall provide that a certification of origin may be completed by the importer of the good on the basis of the importer having information, including documents, that demonstrate that the good is originating. 4.</w:t>
      </w:r>
    </w:p>
    <w:p>
      <w:pPr>
        <w:pStyle w:val="Normal"/>
        <w:widowControl/>
        <w:rPr/>
      </w:pPr>
      <w:r>
        <w:rPr/>
        <w:t>For greater certainty, nothing in paragraph 1 or 2 shall be construed to allow a Party to require an exporter or producer to complete a certification of origin or provide a certification of origin or a written representation to another person. 5. Each Party shall provide that a certification of origin may apply to: (a) a single shipment of a good into the territory of a Party; or (b) multiple shipments of identical goods within any period specified in the certification of origin, but not exceeding 12 months. 6.</w:t>
      </w:r>
    </w:p>
    <w:p>
      <w:pPr>
        <w:pStyle w:val="Normal"/>
        <w:widowControl/>
        <w:rPr/>
      </w:pPr>
      <w:r>
        <w:rPr/>
        <w:t>Each Party shall provide that a certification of origin for a good imported into its territory be accepted by its customs administration for four years after the date the certification of origin was completed.</w:t>
      </w:r>
    </w:p>
    <w:p>
      <w:pPr>
        <w:pStyle w:val="Normal"/>
        <w:keepNext w:val="true"/>
        <w:widowControl/>
        <w:rPr/>
      </w:pPr>
      <w:r>
        <w:rPr/>
        <w:t>Article 5.4: Obligations Regarding Importations 1. Except as otherwise provided for in this Chapter, each Party shall provide that, for the purpose of claiming preferential tariff treatment, the importer shall: (a) make a statement forming part of the import documentation based on a valid certification of origin that the good qualifies as an originating good; (b) have a valid certification of origin in its possession at the time the statement referred to in subparagraph (a) is made; (c) provide, on the request of the importing Party’s customs administration, a copy of the certification of origin, in accordance with its laws and regulations;</w:t>
      </w:r>
    </w:p>
    <w:p>
      <w:pPr>
        <w:pStyle w:val="Normal"/>
        <w:widowControl/>
        <w:rPr/>
      </w:pPr>
      <w:r>
        <w:rPr/>
        <w:t>(d) if a certification by the importer forms the basis for the claim, demonstrate, on request of the importing Party, that the good is originating under Article 5.3.3 (Basis of a Certification of Origin); and (e) if the claim for preferential tariff treatment is based on a certification of origin completed by a producer that is not the exporter of the good, demonstrate, on the request of the importing Party, that the good certified as originating did not undergo further production or any other operation other than unloading, reloading, or any other operation necessary to preserve it in good condition or to transport the good into the territory of the importing Party. 2.</w:t>
      </w:r>
    </w:p>
    <w:p>
      <w:pPr>
        <w:pStyle w:val="Normal"/>
        <w:widowControl/>
        <w:rPr/>
      </w:pPr>
      <w:r>
        <w:rPr/>
        <w:t>Each Party shall provide that, if the importer has reason to believe that the certification of origin is based on incorrect information that could affect the accuracy or validity of the certification of origin, the importer shall promptly correct the importation document and pay any duties owing. The importer shall not be subject to penalties for making an incorrect statement that formed part of the import documentation, if it promptly corrects the importation document and pays any duties owing. 3. A Party may require an importer to demonstrate that a good for which the importer claims preferential tariff treatment was shipped in accordance with Article 4.18 (Transit and Transshipment) by providing: (a) transportation documents, including the multimodal or combined transportation documents, such as bills of lading or waybills, indicating the shipping route and all points of shipment and transhipment prior to the importation of the good; and (b) if the good is shipped through or transhipped outside the territories of the Parties, relevant documents, such as in the case of storage, storage documents or a copy of the customs control documents, demonstrating that the good remained under customs control while outside the territories of the Parties.</w:t>
      </w:r>
    </w:p>
    <w:p>
      <w:pPr>
        <w:pStyle w:val="Normal"/>
        <w:keepNext w:val="true"/>
        <w:widowControl/>
        <w:rPr/>
      </w:pPr>
      <w:r>
        <w:rPr/>
        <w:t>Article 5.5: Exceptions to Certification of Origin Each Party shall provide that a certification of origin shall not be required if: (a) the value of the importation does not exceed US$1,000 or the equivalent amount in the importing Party’s currency or any higher amount as the importing Party may establish. A Party may require a written representation certifying that the good qualifies as an originating good; or (b) it is an importation of a good for which the Party into whose territory the good is imported has waived the requirement for a certification of origin, provided that the importation does not form part of a series of importations that may reasonably be considered to have been undertaken or arranged for the purpose of evading compliance with the importing Party’s laws, regulations, or procedures governing claims for preferential tariff treatment.</w:t>
      </w:r>
    </w:p>
    <w:p>
      <w:pPr>
        <w:pStyle w:val="Normal"/>
        <w:keepNext w:val="true"/>
        <w:widowControl/>
        <w:rPr/>
      </w:pPr>
      <w:r>
        <w:rPr/>
        <w:t>Article 5.6: Obligations Regarding Exportations 1. Each Party shall provide that an exporter or producer in its territory that completes a certification of origin shall provide a copy of the certification of origin to its customs administration, on its request. 2. Each Party shall provide that if an exporter or a producer in its territory has provided a certification of origin and has reason to believe that it contains or is based on incorrect information, the exporter or producer shall promptly notify, in writing, every person and every Party to whom the exporter or producer provided the certification of origin of any change that could affect the accuracy or validity of the certification of origin. 3. No Party shall impose penalties on an exporter or a producer in its territory that voluntarily provides written notification pursuant to paragraph 2 with respect to a certification of origin. 4. A Party may apply measures as the circumstances may warrant when an exporter or a producer in its territory fails to comply with any requirement of this Chapter. 5.</w:t>
      </w:r>
    </w:p>
    <w:p>
      <w:pPr>
        <w:pStyle w:val="Normal"/>
        <w:widowControl/>
        <w:rPr/>
      </w:pPr>
      <w:r>
        <w:rPr/>
        <w:t>Each Party shall allow a certification of origin to be maintained in any medium and submitted electronically from the exporter or producer in the territory of a Party to an importer in the territory of another Party.</w:t>
      </w:r>
    </w:p>
    <w:p>
      <w:pPr>
        <w:pStyle w:val="Normal"/>
        <w:keepNext w:val="true"/>
        <w:widowControl/>
        <w:rPr/>
      </w:pPr>
      <w:r>
        <w:rPr/>
        <w:t>Article 5.7: Errors or Discrepancies 1. Each Party shall provide that it shall not reject a certification of origin due to minor errors or discrepancies in it that do not create doubts concerning the correctness of the import documentation. 2. Each Party shall provide that if the customs administration of the Party into whose territory a good is imported determines that a certification of origin is illegible, defective on its face, or has not been completed in accordance with this Chapter, the importer shall be granted a period of not less than five working days to provide the customs administration with a copy of the corrected certification of origin.</w:t>
      </w:r>
    </w:p>
    <w:p>
      <w:pPr>
        <w:pStyle w:val="Normal"/>
        <w:keepNext w:val="true"/>
        <w:widowControl/>
        <w:rPr/>
      </w:pPr>
      <w:r>
        <w:rPr/>
        <w:t>Article 5.8: Record Keeping Requirements 1. Each Party shall provide that an importer claiming preferential tariff treatment for a good imported into its territory shall maintain, for a period of no less than five years from the date of importation of the good: (a) the documentation related to the importation, including the certification of origin that served as the basis for the claim; (b) all records necessary to demonstrate that the good is originating, if the claim was based on a certification of origin completed by the importer; and (c) the information, including documents, necessary to demonstrate compliance with Article 5.4.1(e) (Obligations Regarding Importations), if applicable. 2.</w:t>
      </w:r>
    </w:p>
    <w:p>
      <w:pPr>
        <w:pStyle w:val="Normal"/>
        <w:widowControl/>
        <w:rPr/>
      </w:pPr>
      <w:r>
        <w:rPr/>
        <w:t>Each Party shall provide that an exporter or a producer in its territory that completes a certification of origin or a producer that provides a written representation shall maintain in its territory for five years after the date on which the certification of origin was completed, or for such longer period as the Party may specify, all records necessary to demonstrate that a good for which the exporter or producer provided a certification of origin or other written representation is originating, including records associated with: (a) the purchase of, cost of, value of, shipping of, and payment for, the good or material; (b) the purchase of, cost of, value of, shipping of, and payment for all materials, including indirect materials, used in the production of the good or material; and (c)</w:t>
      </w:r>
    </w:p>
    <w:p>
      <w:pPr>
        <w:pStyle w:val="Normal"/>
        <w:widowControl/>
        <w:rPr/>
      </w:pPr>
      <w:r>
        <w:rPr/>
        <w:t>the production of the good in the form in which the good is exported or the production of the material in the form in which it was sold. 3. Each Party shall provide in accordance with that Party’s law that an importer, exporter, or producer in its territory may choose to maintain the records or documentation specified in paragraphs 1 and 2 in any medium, including electronic, provided that the records or documentation can be promptly retrieved and printed. 4. For greater certainty, the record keeping requirements on an importer, exporter, or producer that a Party provides for pursuant to this Article apply even if the importing Party does not require a certification of origin or if a requirement for a certification of origin has been waived.</w:t>
      </w:r>
    </w:p>
    <w:p>
      <w:pPr>
        <w:pStyle w:val="Normal"/>
        <w:keepNext w:val="true"/>
        <w:widowControl/>
        <w:rPr/>
      </w:pPr>
      <w:r>
        <w:rPr/>
        <w:t>Article 5.9: Origin Verification 1. For the purpose of determining whether a good imported into its territory is an originating good, the importing Party may, through its customs administration, conduct a verification of a claim for preferential tariff treatment by one or more of the following: (a) a written request or questionnaire seeking information, including documents, from the importer, exporter, or producer of the good; (b) a verification visit to the premises of the exporter or producer of the good in order to request information, including documents, and to observe the production process and the related facilities; (c) for a textile or apparel good, the procedures set out in Article 6.6 (Verification); or (d) any other procedure as may be decided by the Parties. 2. The importing Party may choose to initiate a verification under this Article to the importer or the person who completed the certification of origin. 3. If an importing Party conducts a verification under this Article it shall accept information, including documents, directly from the importer, exporter, or producer. 4.</w:t>
      </w:r>
    </w:p>
    <w:p>
      <w:pPr>
        <w:pStyle w:val="Normal"/>
        <w:widowControl/>
        <w:rPr/>
      </w:pPr>
      <w:r>
        <w:rPr/>
        <w:t>If a claim for preferential tariff treatment is based on a certification of origin completed by the exporter or producer, and in response to a request for information by an importing Party to determine whether a good is originating in verifying a claim of preferential treatment under paragraph 1(a), the importer does not provide sufficient information to demonstrate that the good is originating, the importing Party shall request information from the exporter or producer under paragraph 1 before it may deny the claim for preferential tariff treatment. The importing Party shall complete the verification, including any additional request to the exporter or producer under paragraph 1, within the time provided in paragraph 15. 5. A written request or questionnaire seeking information, including documents, or a request for a verification visit, under paragraphs 1(a) or (b) shall: (a) include the identity of the customs administration issuing the request; (b) state the object and scope of the verification, including the specific issue the requesting Party seeks to resolve with the verification;</w:t>
      </w:r>
    </w:p>
    <w:p>
      <w:pPr>
        <w:pStyle w:val="Normal"/>
        <w:widowControl/>
        <w:rPr/>
      </w:pPr>
      <w:r>
        <w:rPr/>
        <w:t>(c) include sufficient information to identify the good that is being verified; and (d) in the case of a verification visit, request the written consent of the exporter or producer whose premises are going to be visited and indicate: (i) the legal authority for the visit, (ii) the proposed date and location for the visit, (iii) the specific purpose of the visit, and (iv) the names and</w:t>
      </w:r>
    </w:p>
    <w:p>
      <w:pPr>
        <w:pStyle w:val="Normal"/>
        <w:widowControl/>
        <w:rPr/>
      </w:pPr>
      <w:r>
        <w:rPr/>
        <w:t>titles of the officials performing the visit. 6. If an importing Party has initiated a verification under paragraph 1(a) or 1(b) other than to the importer, it shall inform the importer of the initiation of the verification. 7. For a verification under paragraph 1(a) or 1(b), the importing Party shall: (a) ensure that the written request for information, or documentation to be reviewed, is limited to information and documentation to determine whether the good is originating; (b) describe the information or documentation in detail to allow the importer, exporter, or producer to identify the information and documentation necessary to respond; (c) allow the importer, exporter, or producer at least 30 days from the date of receipt of the written request or questionnaire under paragraph 1(a) to respond; and (d) allow the exporter or producer 30 days from the date of receipt of the written request for a visit under paragraph 1(b) to consent to or refuse the request. 8.</w:t>
      </w:r>
    </w:p>
    <w:p>
      <w:pPr>
        <w:pStyle w:val="Normal"/>
        <w:widowControl/>
        <w:rPr/>
      </w:pPr>
      <w:r>
        <w:rPr/>
        <w:t>On request of the importing Party, the Party where the exporter or producer is located may, as it deems appropriate and in accordance with its laws and regulations, assist with the verification. This assistance may include providing information it has that is relevant to the origin verification. The importing Party shall not deny a claim for preferential tariff treatment solely on the grounds that the Party where the exporter or producer is located did not provide requested assistance. 9.</w:t>
      </w:r>
    </w:p>
    <w:p>
      <w:pPr>
        <w:pStyle w:val="Normal"/>
        <w:widowControl/>
        <w:rPr/>
      </w:pPr>
      <w:r>
        <w:rPr/>
        <w:t>If an importing Party initiates a verification under paragraph 1(b), it shall, at the time of the request for the visit under paragraph 5, provide a copy of the request to: (a) the customs administration of the Party in whose territory the visit is to occur; and (b) if requested by the Party in whose territory the visit is to occur, the embassy of that Party in the territory of the Party proposing to conduct the visit. 10. Each Party shall provide that, when the exporter or producer receives notification pursuant to paragraph 5, the exporter or producer may, on a single occasion, within 15 days of receipt of the notification, request the postponement of the proposed verification visit for a period not exceeding 30 days from the proposed date of the visit. 11.</w:t>
      </w:r>
    </w:p>
    <w:p>
      <w:pPr>
        <w:pStyle w:val="Normal"/>
        <w:widowControl/>
        <w:rPr/>
      </w:pPr>
      <w:r>
        <w:rPr/>
        <w:t>Each Party shall provide that, when its customs administration receives notification pursuant to paragraph 9, the customs administration may, within 15 days of receipt of the notification, postpone the proposed verification visit for a period not exceeding 60 days from the proposed date of the visit, or for a longer period as the relevant Parties may decide. 12. A Party shall not deny preferential tariff treatment to a good based solely on the postponement of a verification visit pursuant to paragraphs 10 or 11. 13.</w:t>
      </w:r>
    </w:p>
    <w:p>
      <w:pPr>
        <w:pStyle w:val="Normal"/>
        <w:widowControl/>
        <w:rPr/>
      </w:pPr>
      <w:r>
        <w:rPr/>
        <w:t>Each Party shall permit an exporter or a producer whose good is subject to a verification visit by another Party to designate two observers to be present during the visit, provided that: (a) the observers do not participate in a manner other than as observers; (b) the failure of the exporter or producer to designate observers does not result in the postponement of the visit; and (c) an exporter or producer of a good identifies to the customs administration conducting a verification visit any observers designated to be present during the visit. 14. The importing Party shall provide the importer, exporter, or producer that certified that the good was originating and is the subject of a verification, with a written determination of origin that includes the findings of facts and the legal basis for the determination. If the importer is not the certifier, the importing Party shall also provide that written determination to the importer. 15.</w:t>
      </w:r>
    </w:p>
    <w:p>
      <w:pPr>
        <w:pStyle w:val="Normal"/>
        <w:widowControl/>
        <w:rPr/>
      </w:pPr>
      <w:r>
        <w:rPr/>
        <w:t>The Party conducting a verification shall, as expeditiously as possible and within 120 days after it has received all the information necessary2 to make the determination, provide the written determination under paragraph 14. Notwithstanding the foregoing, the Party may extend this period, in exceptional cases, for up to 90 days after notifying the importer, and any exporter or producer who is subject to the verification or provided information during the verification.</w:t>
      </w:r>
    </w:p>
    <w:p>
      <w:pPr>
        <w:pStyle w:val="Normal"/>
        <w:widowControl/>
        <w:rPr/>
      </w:pPr>
      <w:r>
        <w:rPr/>
        <w:t>2 This includes any information collected pursuant to a verification request to an exporter or producer. 16. Prior to issuing a written determination under paragraph 14, if the importing Party intends to deny preferential tariff treatment, the importing Party shall inform the importer, and any exporter or producer who is subject to the verification and provided information during the verification, of the preliminary results of the verification and provide those persons with a notice of intent to deny that includes when the denial would be effective and a period of at least 30 days for the submission of additional information, including documents, related to the originating status of the good. 17.</w:t>
      </w:r>
    </w:p>
    <w:p>
      <w:pPr>
        <w:pStyle w:val="Normal"/>
        <w:widowControl/>
        <w:rPr/>
      </w:pPr>
      <w:r>
        <w:rPr/>
        <w:t>If verifications by a Party indicate a pattern of conduct by an importer, exporter, or a producer of false or unsupported representations that a good imported into its territory qualifies as an originating good, the Party may withhold preferential tariff treatment to identical goods imported, exported, or produced by such person until that person establishes compliance with this Chapter, Chapter 4 (Rules of Origin), and Chapter 6 (Textile and Apparel Goods). 18. For the purposes of this Article and relevant articles of the Uniform Regulations, all communication to the exporter or producer and to the customs administration of the Party of export will be sent by any means that can produce any confirmation of receipt. The specified time periods will begin from the date of receipt.</w:t>
      </w:r>
    </w:p>
    <w:p>
      <w:pPr>
        <w:pStyle w:val="Normal"/>
        <w:keepNext w:val="true"/>
        <w:widowControl/>
        <w:rPr/>
      </w:pPr>
      <w:r>
        <w:rPr/>
        <w:t>Article 5.10: Determinations of Origin 1. Except as otherwise provided in paragraph 2 or Article 6.7 (Determinations), each Party shall grant a claim for preferential tariff treatment made under this Chapter on or after the date of entry into force of this Agreement. 2. The importing Party may deny a claim for preferential tariff treatment if: (a) it determines that the good does not qualify for preferential treatment; (b) pursuant to a verification under Article 5.9 (Origin Verification), it has not received sufficient information to determine that the good qualifies as originating; (c) the exporter, producer, or importer fails to respond to a written request or questionnaire for information, including documents, under Article 5.9 (Origin Verification); (d) the exporter or producer fails to provide its written consent for a verification visit, in accordance with Article 5.9 (Origin Verification); (e) the importer, exporter, or producer fails to comply with the requirements of this Chapter; or (f) the exporter, producer, or importer of the good that is required to maintain records or documentation in accordance with this Chapter: (i) fails to maintain records or documentation, or (ii) denies access, if requested by a Party, to those records or documentation.</w:t>
      </w:r>
    </w:p>
    <w:p>
      <w:pPr>
        <w:pStyle w:val="Normal"/>
        <w:keepNext w:val="true"/>
        <w:widowControl/>
        <w:rPr/>
      </w:pPr>
      <w:r>
        <w:rPr/>
        <w:t>Article 5.11: Refunds and Claims for Preferential Tariff Treatment after Importation 1. Each Party shall provide that an importer may apply for preferential tariff treatment and a refund of any excess duties paid for a good if the importer did not make a claim for preferential tariff treatment at the time of importation, provided that the good would have qualified for preferential tariff treatment when it was imported into the territory of the Party. 2. The importing Party may, for the purposes of paragraph 1, require that the importer: (a) make a claim for preferential tariff treatment; (b) provide a statement that the good was originating at the time of importation; (c) provide a copy of the certification of origin; and (d) provide any other documentation relating to the importation of the good as the importing Party may require, no later than one year after the date of importation or a longer period if specified in the importing Party’s law.</w:t>
      </w:r>
    </w:p>
    <w:p>
      <w:pPr>
        <w:pStyle w:val="Normal"/>
        <w:keepNext w:val="true"/>
        <w:widowControl/>
        <w:rPr/>
      </w:pPr>
      <w:r>
        <w:rPr/>
        <w:t>Article 5.12: Confidentiality 1. If a Party provides information to another Party in accordance with this Chapter and designates the information as confidential or it is confidential under the receiving Party’s law, the receiving Party shall keep the information confidential in accordance with its law. 2. A Party may decline to provide information requested by another Party if that Party has failed to act in accordance with paragraph 1. 3. A Party may use or disclose confidential information received from another Party under this Chapter but only for the purposes of administration or enforcement of its customs laws or as otherwise provided under the Party’s law, including in an administrative, quasi-judicial, or judicial proceeding. 4. When a Party collects information from a trader under this Chapter, that Party shall apply the provisions set out in Article 7.24 (Protection of Trader Information) to keep the information confidential.</w:t>
      </w:r>
    </w:p>
    <w:p>
      <w:pPr>
        <w:pStyle w:val="Normal"/>
        <w:keepNext w:val="true"/>
        <w:widowControl/>
        <w:rPr/>
      </w:pPr>
      <w:r>
        <w:rPr/>
        <w:t>Article 5.13: Penalties Each Party shall maintain criminal, civil, or administrative penalties for violations of its laws and regulations related to this Chapter.</w:t>
      </w:r>
    </w:p>
    <w:p>
      <w:pPr>
        <w:pStyle w:val="Normal"/>
        <w:keepNext w:val="true"/>
        <w:widowControl/>
        <w:rPr/>
      </w:pPr>
      <w:r>
        <w:rPr/>
        <w:t>Article 5.14: Advance Rulings Relating to Origin 1. In accordance with Article 7.5 (Advance Rulings), each Party, through its customs administration, shall, on request, provide for the issuance of a written advance ruling on origin under this Agreement. 2. Each Party shall adopt or maintain uniform procedures throughout its territory for the issuance of advance rulings on origin under this Agreement, including the common standards set out in the Uniform Regulations regarding the information required to process an application for a ruling.</w:t>
      </w:r>
    </w:p>
    <w:p>
      <w:pPr>
        <w:pStyle w:val="Normal"/>
        <w:keepNext w:val="true"/>
        <w:widowControl/>
        <w:rPr/>
      </w:pPr>
      <w:r>
        <w:rPr/>
        <w:t>Article 5.15: Review and Appeal 1. Each Party shall grant substantially the same rights of review and appeal of determinations of origin and advance rulings by its customs administration related to origin under this Agreement as it provides to importers in its territory, to an exporter or producer: (a) that completes a certification of origin for a good that has been the subject of a determination of origin under this Agreement; or (b) that has received an advance ruling on origin under this Agreement pursuant to Article 5.14 (Advance Rulings Relating to Origin), and Article 7.5 (Advance Rulings).</w:t>
      </w:r>
    </w:p>
    <w:p>
      <w:pPr>
        <w:pStyle w:val="Normal"/>
        <w:keepNext w:val="true"/>
        <w:widowControl/>
        <w:rPr/>
      </w:pPr>
      <w:r>
        <w:rPr/>
        <w:t>Article 5.16: Uniform Regulations 1. The Parties shall, by entry into force of this Agreement, adopt or maintain through their respective laws or regulations, Uniform Regulations regarding the interpretation, application, and administration of this Chapter, Chapter 4 (Rules of Origin), Chapter 6 (Textile and Apparel Goods), Chapter 7 (Customs Administration and Trade Facilitation) and other matters as may be decided by the Parties. 2. The Committee on Rules of Origin and Origin Procedures (Origin Committee) shall consult to discuss possible amendments or modifications to the Uniform Regulations. 3. In particular, the Origin Committee shall consult regularly to consider modifications or additions to the Uniform Regulations to reduce their complexity and provide practical and useful guidance to ensure better compliance with the rules and procedures of this Chapter, Chapter 4 (Rules of Origin), and Chapter 6 (Textile and Apparel Goods), including examples or guidance that would be of particular assistance to SMEs in the territories of the Parties. 4. The Origin Committee shall notify the Commission of any modification of or addition to the Uniform Regulations it decides. 5.</w:t>
      </w:r>
    </w:p>
    <w:p>
      <w:pPr>
        <w:pStyle w:val="Normal"/>
        <w:widowControl/>
        <w:rPr/>
      </w:pPr>
      <w:r>
        <w:rPr/>
        <w:t>Each Party shall implement any modification of or addition to the Uniform Regulations within a period that the Parties decide. 6. Each Party shall apply the Uniform Regulations in addition to the obligations in the Chapter.</w:t>
      </w:r>
    </w:p>
    <w:p>
      <w:pPr>
        <w:pStyle w:val="Normal"/>
        <w:keepNext w:val="true"/>
        <w:widowControl/>
        <w:rPr/>
      </w:pPr>
      <w:r>
        <w:rPr/>
        <w:t>Article 5.17: Notification of Treatment 1. Each Party shall notify the other Parties of the following determinations, measures, and rulings, including to the extent practicable those that are prospective in application: (a) a determination of origin issued as the result of a verification conducted pursuant to Article 5.9 (Origin Verification); (b) a determination of origin that the Party is aware is contrary to: (i) a ruling issued by the customs administration of another Party, or (ii) consistent treatment given by the customs administration of another Party with respect to the tariff classification or value of a good, or of materials used in the production of a good, or the reasonable allocation of costs when calculating the net cost of a good, that has been the subject of a determination of origin; (c) a measure establishing or significantly modifying an administrative policy that is likely to affect a future determination of origin; and (d) an advance ruling, or a ruling modifying or revoking an advance ruling, on origin under this Agreement, pursuant to Article 5.14 (Advance Rulings Relating to Origin), and Article 7.5 (Advance Rulings).</w:t>
      </w:r>
    </w:p>
    <w:p>
      <w:pPr>
        <w:pStyle w:val="Normal"/>
        <w:keepNext w:val="true"/>
        <w:widowControl/>
        <w:rPr/>
      </w:pPr>
      <w:r>
        <w:rPr/>
        <w:t>Article 5.18: Committee on Rules of Origin and Origin Procedures 1. The Parties hereby establish a Committee on Rules of Origin and Origin Procedures (Origin Committee), composed of government representatives of each Party, to consider any matters arising under this Chapter or Chapter 4 (Rules of Origin). 2. The Origin Committee shall consult regularly to ensure that this Chapter and Chapter 4 (Rules of Origin) are administered effectively, uniformly, and consistently with the spirit and objectives of this Agreement. 3. The Origin Committee shall consult to discuss possible amendments or modifications to this Chapter or Chapter 4 (Rules of Origin), and in particular to the Product-Specific Rules of Origin in Annex 4-B, except Product-Specific Rules for textile and apparel goods, taking into account developments in technology, production processes, or other related matters. A Party may submit a proposed modification, along with supporting rationale and any studies to the other Parties for consideration. In particular, the Committee shall consider the possibility of cumulation with non-parties with which the Parties have trade agreements on a product by product basis. 4.</w:t>
      </w:r>
    </w:p>
    <w:p>
      <w:pPr>
        <w:pStyle w:val="Normal"/>
        <w:widowControl/>
        <w:rPr/>
      </w:pPr>
      <w:r>
        <w:rPr/>
        <w:t>Prior to the entry into force of an amended version of the Harmonized System, the Origin Committee shall consult to prepare updates to this Chapter and Chapter 4 (Rules of Origin), and in particular to the Product-Specific Rules of Origin in Annex 4-B, except for textiles and apparel goods, that are necessary to reflect changes to the Harmonized System. 5. With respect to a textile or apparel good, Article 6.8 (Committee on Textile and Apparel Trade Matters) applies in place of this Article.</w:t>
      </w:r>
    </w:p>
    <w:p>
      <w:pPr>
        <w:pStyle w:val="Normal"/>
        <w:keepNext w:val="true"/>
        <w:widowControl/>
        <w:rPr/>
      </w:pPr>
      <w:r>
        <w:rPr/>
        <w:t>Article 5.19: Sub-Committee on Origin Verification 1. The Parties hereby establish a Sub-Committee on Origin Verification, composed of government representatives of each Party, which will be a subcommittee of the Origin Committee. 2. The Sub-Committee shall meet at least once within one year of the date of entry into force of this Agreement, and thereafter at such times as the Parties decide or on request of the Commission or the Origin Committee. 3. The Sub-Committee’s functions shall include: (a) discussing and developing technical papers and sharing technical advice related to this Chapter or Chapter 4 (Rules of Origin) for the purposes of conducting verifications of origin; (b) developing and improving the NAFTA 1994 Audit Manual and recommending verification procedures; (c) developing and improving verification questionnaires, forms, or brochures; and (d) providing a forum for the Parties to consult and endeavor to resolve issues relating to origin verification.</w:t>
      </w:r>
    </w:p>
    <w:p>
      <w:pPr>
        <w:pStyle w:val="Normal"/>
        <w:widowControl/>
        <w:rPr/>
      </w:pPr>
      <w:r>
        <w:rPr/>
        <w:t>ANNEX 5-A MINIMUM DATA ELEMENTS A certification of origin that is the basis for a claim for preferential tariff treatment under this Agreement shall include the following elements: 1. Importer, Exporter, or Producer Certification of Origin Indicate whether the certifier is the exporter, producer, or importer in accordance with Article 5.2 (Claims for Preferential Treatment). 2. Certifier Provide the certifier’s name, title, address (including country), telephone number, and e mail address. 3. Exporter Provide the exporter’s name, address (including country), e-mail address, and telephone number if different from the certifier. This information is not required if the producer is completing the certification of origin and does not know the identity of the exporter. The address of the exporter shall be the place of export of the good in a Party’s territory. 4. Producer Provide the producer’s name, address (including country), e-mail address, and telephone number, if different from the certifier or exporter or, if there are multiple producers, state “Various” or provide a list of producers.</w:t>
      </w:r>
    </w:p>
    <w:p>
      <w:pPr>
        <w:pStyle w:val="Normal"/>
        <w:widowControl/>
        <w:rPr/>
      </w:pPr>
      <w:r>
        <w:rPr/>
        <w:t>A person that wishes for this information to remain confidential may state “Available upon request by the importing authorities”. The address of a producer shall be the place of production of the good in a Party’s territory. 5. Importer Provide, if known, the importer’s name, address, e-mail address, and telephone number. The address of the importer shall be in a Party’s territory. 6.</w:t>
      </w:r>
    </w:p>
    <w:p>
      <w:pPr>
        <w:pStyle w:val="Normal"/>
        <w:widowControl/>
        <w:rPr/>
      </w:pPr>
      <w:r>
        <w:rPr/>
        <w:t>Description and HS Tariff Classification of the Good (a) Provide a description of the good and the HS tariff classification of the good to the 6-digit level. The description should be sufficient to relate it to the good covered by the certification; and 5-A-1 (b) If the certification of origin covers a single shipment of a good, indicate, if known, the invoice number related to the exportation. 7. Origin Criteria Specify the origin criteria under which the good qualifies, as set out in Article 4.2 (Originating Goods). 8. Blanket Period Include the period if the certification covers multiple shipments of identical goods for a specified period of up to 12 months as set out in Article 5.2 (Claims for Preferential Treatment). 9. Authorized Signature and Date The certification must be signed and dated by the certifier and accompanied by the following statement: I certify that the goods described in this document qualify as originating and the information contained in this document is true and accurate. I assume responsibility for proving such representations and agree to maintain and present upon request or to make available during a verification visit, documentation necessary to support this certification. 5-A-2</w:t>
      </w:r>
    </w:p>
    <w:p>
      <w:pPr>
        <w:pStyle w:val="ModHeading"/>
        <w:widowControl/>
        <w:rPr/>
      </w:pPr>
      <w:bookmarkStart w:id="30" w:name="_Toc237912506"/>
      <w:r>
        <w:rPr/>
        <w:t>CHAPTER 5 — CUSMA 2.0 MODERNIZATION PROVISIONS</w:t>
      </w:r>
      <w:bookmarkEnd w:id="30"/>
    </w:p>
    <w:p>
      <w:pPr>
        <w:pStyle w:val="Normal"/>
        <w:widowControl/>
        <w:rPr/>
      </w:pPr>
      <w:r>
        <w:rPr>
          <w:i/>
        </w:rPr>
        <w:t>The provisions of this Part amend Chapter 5 (Origin Procedures).</w:t>
      </w:r>
    </w:p>
    <w:p>
      <w:bookmarkStart w:id="1050" w:name="_NAESTMA_TOC_1050"/>
      <w:pPr>
        <w:pStyle w:val="Heading2"/>
        <w:keepNext/>
        <w:widowControl/>
        <w:rPr/>
      </w:pPr>
      <w:bookmarkStart w:id="31" w:name="_Toc237912507"/>
      <w:r>
        <w:rPr/>
        <w:t>Article 5.A: Verification Modernization</w:t>
      </w:r>
      <w:bookmarkEnd w:id="31"/>
      <w:bookmarkEnd w:id="1050"/>
    </w:p>
    <w:p>
      <w:pPr>
        <w:pStyle w:val="Normal"/>
        <w:widowControl/>
        <w:rPr/>
      </w:pPr>
      <w:r>
        <w:rPr/>
        <w:t>1. Verification of origin under Article 5.9 shall be conducted with regard to the following additional disciplines:</w:t>
      </w:r>
    </w:p>
    <w:p>
      <w:pPr>
        <w:pStyle w:val="Normal"/>
        <w:widowControl/>
        <w:rPr/>
      </w:pPr>
      <w:r>
        <w:rPr/>
        <w:t>(a) a verification shall be based on reasonable, articulable grounds stated in the verification notice;</w:t>
      </w:r>
    </w:p>
    <w:p>
      <w:pPr>
        <w:pStyle w:val="Normal"/>
        <w:widowControl/>
        <w:rPr/>
      </w:pPr>
      <w:r>
        <w:rPr/>
        <w:t>(b) verifications targeted at an entire national industry of another Party, rather than at identified producers, exporters, or shipments, are permitted only where the Verification Panel has certified a sector-wide risk pattern under Chapter 35;</w:t>
      </w:r>
    </w:p>
    <w:p>
      <w:pPr>
        <w:pStyle w:val="Normal"/>
        <w:widowControl/>
        <w:rPr/>
      </w:pPr>
      <w:r>
        <w:rPr/>
        <w:t>(c) the customs administration shall complete verifications within the period in Article 5.9, and in any case shall issue its determination within 150 days after the request for information, failing which the claimed preferential treatment applies provisionally pending determination; and</w:t>
      </w:r>
    </w:p>
    <w:p>
      <w:pPr>
        <w:pStyle w:val="Normal"/>
        <w:widowControl/>
        <w:rPr/>
      </w:pPr>
      <w:r>
        <w:rPr/>
        <w:t>(d) an exporter or producer subject to verification may present evidence of origin through any reasonable means, including the traceability records of Article 37.4 where applicable.</w:t>
      </w:r>
    </w:p>
    <w:p>
      <w:pPr>
        <w:pStyle w:val="Normal"/>
        <w:widowControl/>
        <w:rPr/>
      </w:pPr>
      <w:r>
        <w:rPr/>
        <w:t>2. A customs administration shall not subject the same exporter, producer, or goods to repetitive verifications without new evidence. A further verification within 24 months of a completed verification that confirmed origin requires documented new grounds. A Party also shall not evade this discipline by distributing substantially similar verifications across multiple exporters, producers, shipments, facilities, products, agencies, or time periods where the aggregate pattern lacks independently reasonable, articulable grounds and has the purpose or reasonably foreseeable effect of imposing disproportionate administrative friction on originating trade. Where a challenged pattern could materially impede a sector or substantial volume of originating trade, the Party conducting the verifications bears the burden of identifying the risk basis, selection methodology, proportionality safeguards, and objective criteria for narrowing or ending the campaign; pending expedited review under Article 31.A or Chapter 35, compliant goods shall not lose preference solely because of the aggregate verification campaign absent entity- or shipment-specific grounds.</w:t>
      </w:r>
    </w:p>
    <w:p>
      <w:bookmarkStart w:id="1051" w:name="_NAESTMA_TOC_1051"/>
      <w:pPr>
        <w:pStyle w:val="Heading2"/>
        <w:keepNext/>
        <w:widowControl/>
        <w:rPr/>
      </w:pPr>
      <w:bookmarkStart w:id="32" w:name="_Toc237912508"/>
      <w:r>
        <w:rPr/>
        <w:t>Article 5.B: Joint Verification and Data Exchange</w:t>
      </w:r>
      <w:bookmarkEnd w:id="32"/>
      <w:bookmarkEnd w:id="1051"/>
    </w:p>
    <w:p>
      <w:pPr>
        <w:pStyle w:val="Normal"/>
        <w:widowControl/>
        <w:rPr/>
      </w:pPr>
      <w:r>
        <w:rPr/>
        <w:t>1. The customs administrations of the Parties shall exchange origin-verification data, certification metadata, and risk indicators through secure electronic channels, consistent with Annex 35-C. Access shall be limited to authorized personnel for defined origin or customs purposes, authenticated and role-based, and recorded in auditable access logs.</w:t>
      </w:r>
    </w:p>
    <w:p>
      <w:pPr>
        <w:pStyle w:val="Normal"/>
        <w:widowControl/>
        <w:rPr/>
      </w:pPr>
      <w:r>
        <w:rPr/>
        <w:t>2. Where suspected circumvention spans more than one Party, the customs administrations concerned shall conduct coordinated or joint verifications on request, and shall share results. Each participating administration acts under its own law; a joint verification does not enlarge the investigative, compulsory, or enforcement authority of another Party.</w:t>
      </w:r>
    </w:p>
    <w:p>
      <w:pPr>
        <w:pStyle w:val="Normal"/>
        <w:widowControl/>
        <w:rPr/>
      </w:pPr>
      <w:r>
        <w:rPr/>
        <w:t>3. Information received under this Article is confidential, is used only for origin and customs purposes, and is subject to Article 5.12 (Confidentiality) and the access tiers of Annex 35-C, Part 4. Records shall be retained only for the period required by applicable law or an identified verification need, with correction, access-control, audit-log, and deletion or archival treatment governed by the supplying Party's restrictions and Annex 35-C. Where domestic legal requirements conflict, the administrations shall limit the exchange to the lawfully shareable minimum and use another lawful verification method rather than treating non-disclosure alone as adverse evidence.</w:t>
      </w:r>
    </w:p>
    <w:p>
      <w:bookmarkStart w:id="1052" w:name="_NAESTMA_TOC_1052"/>
      <w:pPr>
        <w:pStyle w:val="Heading2"/>
        <w:keepNext/>
        <w:widowControl/>
        <w:rPr/>
      </w:pPr>
      <w:bookmarkStart w:id="33" w:name="_Toc237912509"/>
      <w:r>
        <w:rPr/>
        <w:t>Article 5.C: Anti-Circumvention Discipline</w:t>
      </w:r>
      <w:bookmarkEnd w:id="33"/>
      <w:bookmarkEnd w:id="1052"/>
    </w:p>
    <w:p>
      <w:pPr>
        <w:pStyle w:val="Normal"/>
        <w:widowControl/>
        <w:rPr/>
      </w:pPr>
      <w:r>
        <w:rPr/>
        <w:t>1. A Party that determines, through verification, that identified entities have engaged in transshipment, false declaration, or origin fraud shall apply consequences — denial of preference, penalties under its law, and suspension of certification privileges — to those entities and goods, in accordance with the procedural rights of Article 35.10A.</w:t>
      </w:r>
    </w:p>
    <w:p>
      <w:pPr>
        <w:pStyle w:val="Normal"/>
        <w:widowControl/>
        <w:rPr/>
      </w:pPr>
      <w:r>
        <w:rPr/>
        <w:t>2. A Party shall not respond to entity-level origin fraud by withdrawing preferential treatment from the trade of other entities or of the sector generally, except in accordance with Chapter 35.</w:t>
      </w:r>
    </w:p>
    <w:p>
      <w:pPr>
        <w:pStyle w:val="Normal"/>
        <w:widowControl/>
        <w:rPr/>
      </w:pPr>
      <w:r>
        <w:rPr/>
        <w:t>3. Upon demonstration of corrected conduct and reliable record-keeping, the entities’ access to preferential treatment restores automatically, and in any case not later than 30 days after the demonstration, unless a new verification establishes continuing fraud.</w:t>
      </w:r>
    </w:p>
    <w:p>
      <w:bookmarkStart w:id="1053" w:name="_NAESTMA_TOC_1053"/>
      <w:pPr>
        <w:pStyle w:val="Heading2"/>
        <w:keepNext/>
        <w:widowControl/>
        <w:rPr/>
      </w:pPr>
      <w:bookmarkStart w:id="34" w:name="_Toc237912510"/>
      <w:r>
        <w:rPr/>
        <w:t>Article 5.D: Advance Rulings and Appeals</w:t>
      </w:r>
      <w:bookmarkEnd w:id="34"/>
      <w:bookmarkEnd w:id="1053"/>
    </w:p>
    <w:p>
      <w:pPr>
        <w:pStyle w:val="Normal"/>
        <w:widowControl/>
        <w:rPr/>
      </w:pPr>
      <w:r>
        <w:rPr/>
        <w:t>1. Advance rulings under Article 5.10 extend, on request, to the treatment of electric-vehicle, battery, and circular-production transactions under Article 4.A.</w:t>
      </w:r>
    </w:p>
    <w:p>
      <w:pPr>
        <w:pStyle w:val="Normal"/>
        <w:widowControl/>
        <w:rPr/>
      </w:pPr>
      <w:r>
        <w:rPr/>
        <w:t>2. Each Party shall provide a rapid administrative appeal of origin determinations, certification decisions, and TNAO suspensions, with a decision within 90 days (30 days for TNAO suspensions), and judicial or quasi-judicial review thereafter in accordance with its law. The appellant shall receive written notice of the decision and the principal reasons and legal basis for it. Pending appeal, the importing Party shall use bond, escrow, provisional preference, or another lawful revenue-protection mechanism where reasonably available and adequate, unless credible fraud, prohibited goods, or a material enforcement risk requires different treatment. If the applicable decision period is missed, the authority shall promptly provide a written status update, reasons for delay, and a new expected decision date; missing the deadline does not by itself determine origin.</w:t>
      </w:r>
    </w:p>
    <w:p>
      <w:bookmarkStart w:id="1054" w:name="_NAESTMA_TOC_1054"/>
      <w:pPr>
        <w:pStyle w:val="Heading2"/>
        <w:keepNext/>
        <w:widowControl/>
        <w:rPr/>
      </w:pPr>
      <w:bookmarkStart w:id="35" w:name="_Toc237912511"/>
      <w:r>
        <w:rPr/>
        <w:t>Article 5.E: Electronic Certification</w:t>
      </w:r>
      <w:bookmarkEnd w:id="35"/>
      <w:bookmarkEnd w:id="1054"/>
    </w:p>
    <w:p>
      <w:pPr>
        <w:pStyle w:val="Normal"/>
        <w:widowControl/>
        <w:rPr/>
      </w:pPr>
      <w:r>
        <w:rPr/>
        <w:t>1. Certificates of origin and supporting records may be created, transmitted, and retained in electronic form, and each Party shall accept electronic certifications and signatures in accordance with Chapter 7 as amended and Chapter 19 as amended.</w:t>
      </w:r>
    </w:p>
    <w:p>
      <w:pPr>
        <w:pStyle w:val="Normal"/>
        <w:widowControl/>
        <w:rPr/>
      </w:pPr>
      <w:r>
        <w:rPr/>
        <w:t>2. The Parties shall implement interoperable electronic certification within 24 months after entry into force of the Protocol of Modernization, enabling a single certification data set to serve all three customs administrations. The common data set shall include at least the applicable minimum data elements in Annex 5-A and shall be mutually machine-readable. The customs administrations, acting through the Committee on Trade Facilitation and the existing origin committees, shall publish the technical specification, including authentication, integrity, version control, transmission-status and availability requirements. Each Party shall maintain a lawful non-electronic contingency process for material system outages or for traders that cannot reasonably use the electronic channel, without lowering the substantive certification standard.</w:t>
      </w:r>
    </w:p>
    <w:p>
      <w:bookmarkStart w:id="1055" w:name="_NAESTMA_TOC_1055"/>
      <w:pPr>
        <w:pStyle w:val="Heading2"/>
        <w:keepNext/>
        <w:widowControl/>
        <w:rPr/>
      </w:pPr>
      <w:r>
        <w:rPr/>
        <w:t>Article 5.F: Administrative Simplicity and Least-Burdensome Verification</w:t>
      </w:r>
      <w:bookmarkEnd w:id="1055"/>
    </w:p>
    <w:p>
      <w:pPr>
        <w:pStyle w:val="Normal"/>
        <w:widowControl/>
        <w:rPr/>
      </w:pPr>
      <w:r>
        <w:rPr/>
        <w:t>1. Where a trader demonstrably satisfies a simpler pathway that provides the treatment sought, a customs authority shall not require calculation, documentation, or verification under a more complex alternative pathway unless necessary to address credible evidence of circumvention, fraud, material error, or another mandatory treaty requirement.</w:t>
      </w:r>
    </w:p>
    <w:p>
      <w:pPr>
        <w:pStyle w:val="Normal"/>
        <w:widowControl/>
        <w:rPr/>
      </w:pPr>
      <w:r>
        <w:rPr/>
        <w:t>2. A verification request shall identify the specific issue under review and initially be limited to information reasonably relevant to that issue. Broader requests require written reasons tied to identified risk.</w:t>
      </w:r>
    </w:p>
    <w:p>
      <w:pPr>
        <w:pStyle w:val="Normal"/>
        <w:widowControl/>
        <w:rPr/>
      </w:pPr>
      <w:r>
        <w:rPr/>
        <w:t>3. Minor discrepancies that could not reasonably alter origin status, tariff treatment, a material credit, or enforcement outcome shall ordinarily be corrected through reconciliation rather than punitive treatment. Repeated or intentional discrepancies may be aggregated or escalated.</w:t>
      </w:r>
    </w:p>
    <w:p>
      <w:pPr>
        <w:pStyle w:val="Normal"/>
        <w:widowControl/>
        <w:rPr/>
      </w:pPr>
      <w:r>
        <w:rPr/>
        <w:t>4. Nothing in this Article prevents full verification where justified, alters recordkeeping duties, excuses fraud, or restricts a Party's authority to protect revenue and enforce origin rules consistently with this Agreement.</w:t>
      </w:r>
    </w:p>
    <w:p>
      <w:bookmarkStart w:id="1056" w:name="_NAESTMA_TOC_1056"/>
      <w:pPr>
        <w:pStyle w:val="Heading2"/>
        <w:keepNext/>
        <w:widowControl/>
        <w:rPr/>
      </w:pPr>
      <w:r>
        <w:rPr/>
        <w:t>Article 5.G: Standardized Verification Requests and Decisions</w:t>
      </w:r>
      <w:bookmarkEnd w:id="1056"/>
    </w:p>
    <w:p>
      <w:pPr>
        <w:pStyle w:val="Normal"/>
        <w:widowControl/>
        <w:rPr/>
      </w:pPr>
      <w:r>
        <w:rPr/>
        <w:t>1. The customs administrations, acting through the existing Committee on Trade in Goods and customs cooperation mechanisms, shall maintain a common verification-request template and a common decision template. Templates shall identify the issue, legal basis, requested evidence, response deadline, available correction route, status-review points, and appeal rights.</w:t>
      </w:r>
    </w:p>
    <w:p>
      <w:pPr>
        <w:pStyle w:val="Normal"/>
        <w:widowControl/>
        <w:rPr/>
      </w:pPr>
      <w:r>
        <w:rPr/>
        <w:t>2. A Party may request additional information where necessary, but shall explain why the additional material is relevant.</w:t>
      </w:r>
    </w:p>
    <w:p>
      <w:pPr>
        <w:pStyle w:val="Normal"/>
        <w:widowControl/>
        <w:rPr/>
      </w:pPr>
      <w:r>
        <w:rPr/>
        <w:t>3. Standardized templates concern form and administration only and do not alter the substantive burden or standard established elsewhere in this Agreement.</w:t>
      </w:r>
    </w:p>
    <w:p>
      <w:bookmarkStart w:id="1057" w:name="_NAESTMA_TOC_1057"/>
      <w:pPr>
        <w:pStyle w:val="Heading2"/>
        <w:keepNext/>
        <w:widowControl/>
        <w:rPr/>
      </w:pPr>
      <w:r>
        <w:rPr/>
        <w:t>Article 5.H: Risk-Tiered Verification</w:t>
      </w:r>
      <w:bookmarkEnd w:id="1057"/>
    </w:p>
    <w:p>
      <w:pPr>
        <w:pStyle w:val="TOCExcludedHeading2"/>
        <w:keepNext w:val="true"/>
        <w:widowControl/>
        <w:rPr/>
      </w:pPr>
      <w:r>
        <w:rPr/>
        <w:t>Verification shall be proportionate to documented risk. The operational lanes in this Article do not create a separate institution.</w:t>
      </w:r>
    </w:p>
    <w:p>
      <w:pPr>
        <w:pStyle w:val="Normal"/>
        <w:widowControl/>
        <w:rPr/>
      </w:pPr>
      <w:r>
        <w:rPr/>
        <w:t>1. Trusted Lane: qualifying trusted traders receive a rebuttable presumption of compliance, document review as the default, and no on-site visit absent material anomaly, credible fraud indicator, or other reasonable grounds.</w:t>
      </w:r>
    </w:p>
    <w:p>
      <w:pPr>
        <w:pStyle w:val="Normal"/>
        <w:widowControl/>
        <w:rPr/>
      </w:pPr>
      <w:r>
        <w:rPr/>
        <w:t>2. Standard Lane: questionnaire and documentary review are the default; an on-site visit requires reasonable articulable grounds or inability to resolve a material issue through documents.</w:t>
      </w:r>
    </w:p>
    <w:p>
      <w:pPr>
        <w:pStyle w:val="Normal"/>
        <w:widowControl/>
        <w:rPr/>
      </w:pPr>
      <w:r>
        <w:rPr/>
        <w:t>3. Enhanced Lane: entities or transactions presenting documented high-risk indicators may receive full verification, including on-site review where lawful and necessary.</w:t>
      </w:r>
    </w:p>
    <w:p>
      <w:pPr>
        <w:pStyle w:val="Normal"/>
        <w:widowControl/>
        <w:rPr/>
      </w:pPr>
      <w:r>
        <w:rPr/>
        <w:t>4. Trusted status may be suspended or revoked for material non-compliance, repeated serious error, obstruction, or fraud, subject to notice and review.</w:t>
      </w:r>
    </w:p>
    <w:p>
      <w:pPr>
        <w:pStyle w:val="Normal"/>
        <w:widowControl/>
        <w:rPr/>
      </w:pPr>
      <w:r>
        <w:rPr/>
        <w:t>5. Risk models shall be periodically tested for false positives, discriminatory effects, and obsolete indicators.</w:t>
      </w:r>
    </w:p>
    <w:p>
      <w:bookmarkStart w:id="1058" w:name="_NAESTMA_TOC_1058"/>
      <w:pPr>
        <w:pStyle w:val="Heading2"/>
        <w:keepNext/>
        <w:widowControl/>
        <w:rPr/>
      </w:pPr>
      <w:r>
        <w:rPr/>
        <w:t>Article 5.I: Single Submission and Reuse of Reliable Evidence</w:t>
      </w:r>
      <w:bookmarkEnd w:id="1058"/>
    </w:p>
    <w:p>
      <w:pPr>
        <w:pStyle w:val="Normal"/>
        <w:widowControl/>
        <w:rPr/>
      </w:pPr>
      <w:r>
        <w:rPr/>
        <w:t>1. Existing electronic single-window and certification systems shall, to the maximum extent practicable, permit a trader to submit the same verification package once for authorized access by relevant customs administrations. Each Party retains independent legal authority to evaluate the evidence. A Party shall not require resubmission of identical material already available through an authorized interoperable system unless integrity, completeness, confidentiality, or technical-access concerns reasonably require it.</w:t>
      </w:r>
    </w:p>
    <w:p>
      <w:pPr>
        <w:pStyle w:val="Normal"/>
        <w:widowControl/>
        <w:rPr/>
      </w:pPr>
      <w:r>
        <w:rPr/>
        <w:t>2. A prior audit, advance ruling, or verification finding involving materially identical goods, facts, supply chains, and legal provisions receives presumptive administrative weight. Supplementary verification requires materially new evidence, changed facts, identified audit deficiency, or credible fraud indicators.</w:t>
      </w:r>
    </w:p>
    <w:p>
      <w:pPr>
        <w:pStyle w:val="Normal"/>
        <w:widowControl/>
        <w:rPr/>
      </w:pPr>
      <w:r>
        <w:rPr/>
        <w:t>3. A positive origin verification for the same goods from the same exporter shall ordinarily provide 12 months of repose from repetitive verification absent materially new evidence or a material change in the relevant supply chain, production method, ownership, or origin facts.</w:t>
      </w:r>
    </w:p>
    <w:p>
      <w:bookmarkStart w:id="1059" w:name="_NAESTMA_TOC_1059"/>
      <w:pPr>
        <w:pStyle w:val="Heading2"/>
        <w:keepNext/>
        <w:widowControl/>
        <w:rPr/>
      </w:pPr>
      <w:r>
        <w:rPr/>
        <w:t>Article 5.J: Batch Certification and Model-Year Determinations</w:t>
      </w:r>
      <w:bookmarkEnd w:id="1059"/>
    </w:p>
    <w:p>
      <w:pPr>
        <w:pStyle w:val="Normal"/>
        <w:widowControl/>
        <w:rPr/>
      </w:pPr>
      <w:r>
        <w:rPr/>
        <w:t>1. Repeated shipments of identical goods may use annual or other authorized blanket certifications consistent with Article 5.3.5. A blanket certification shall be offered as an ordinary administrative option where the goods, producer or exporter, applicable origin rule, and material origin facts are expected to remain stable during the certification period and no documented risk requires shipment-specific certification. A refusal of an otherwise eligible blanket-certification request shall state the principal reasons.</w:t>
      </w:r>
    </w:p>
    <w:p>
      <w:pPr>
        <w:pStyle w:val="Normal"/>
        <w:widowControl/>
        <w:rPr/>
      </w:pPr>
      <w:r>
        <w:rPr/>
        <w:t>2. Automotive producers may seek advance model, model-year, component-family, or another determination expressly authorized by the customs administration or an applicable implementing schedule, covering approved origin coefficients, strategic-component treatment, and earned integration credits. The responsible customs administration shall publish the categories of advance determination it accepts and the information required for each. Border authorities shall apply an approved determination without reconstructing the full calculation shipment by shipment absent a material anomaly or changed facts.</w:t>
      </w:r>
    </w:p>
    <w:p>
      <w:pPr>
        <w:pStyle w:val="Normal"/>
        <w:widowControl/>
        <w:rPr/>
      </w:pPr>
      <w:r>
        <w:rPr/>
        <w:t>3. Producers shall promptly disclose material changes affecting an approved determination and shall reconcile any resulting difference under Article 5.K.</w:t>
      </w:r>
    </w:p>
    <w:p>
      <w:bookmarkStart w:id="1060" w:name="_NAESTMA_TOC_1060"/>
      <w:pPr>
        <w:pStyle w:val="Heading2"/>
        <w:keepNext/>
        <w:widowControl/>
        <w:rPr/>
      </w:pPr>
      <w:r>
        <w:rPr/>
        <w:t>Article 5.K: Correction, Cure, and Administrative Stay</w:t>
      </w:r>
      <w:bookmarkEnd w:id="1060"/>
    </w:p>
    <w:p>
      <w:pPr>
        <w:pStyle w:val="Normal"/>
        <w:widowControl/>
        <w:rPr/>
      </w:pPr>
      <w:r>
        <w:rPr/>
        <w:t>1. Clerical, formatting, transcription, or comparable minor discrepancies shall not by themselves justify denial of preferential treatment where the substantive claim is otherwise supported. Where a correctable discrepancy is identified, the trader shall ordinarily receive at least 10 working days to submit a corrected certification or missing non-material information. Preferential treatment shall continue or be restored pending review where revenue is adequately protected and no credible fraud indicator exists.</w:t>
      </w:r>
    </w:p>
    <w:p>
      <w:pPr>
        <w:pStyle w:val="Normal"/>
        <w:widowControl/>
        <w:rPr/>
      </w:pPr>
      <w:r>
        <w:rPr/>
        <w:t>2. For a good-faith substantive error, a trader may submit a correction plan within 30 days. Authorities may waive or reduce penalties where the error is promptly corrected, properly due amounts are paid, and reasonable compliance controls are demonstrated. Fraud, intentional misrepresentation, concealment, obstruction, or repeated reckless conduct is not eligible for the safe harbors in this Article.</w:t>
      </w:r>
    </w:p>
    <w:p>
      <w:bookmarkStart w:id="1061" w:name="_NAESTMA_TOC_1061"/>
      <w:pPr>
        <w:pStyle w:val="Heading2"/>
        <w:keepNext/>
        <w:widowControl/>
        <w:rPr/>
      </w:pPr>
      <w:r>
        <w:rPr/>
        <w:t>Article 5.L: Verification Clocks and Status Transparency</w:t>
      </w:r>
      <w:bookmarkEnd w:id="1061"/>
    </w:p>
    <w:p>
      <w:pPr>
        <w:pStyle w:val="Normal"/>
        <w:widowControl/>
        <w:rPr/>
      </w:pPr>
      <w:r>
        <w:rPr/>
        <w:t>1. A trader subject to verification shall receive electronic status information identifying the current stage, outstanding requests, and deadlines. For reviews continuing beyond 30, 60, or 90 days, the authority shall provide a status update and an estimated completion date; where a reliable estimate cannot reasonably be given, the update shall explain why and identify the next procedural milestone. Nothing in this paragraph extends the 150-day outer determination rule in Article 5.A.</w:t>
      </w:r>
    </w:p>
    <w:p>
      <w:pPr>
        <w:pStyle w:val="Normal"/>
        <w:widowControl/>
        <w:rPr/>
      </w:pPr>
      <w:r>
        <w:rPr/>
        <w:t>2. Delay alone does not establish origin or non-origin, but unexplained administrative delay shall not be used to impose unnecessary commercial disruption. Where consistent with domestic law and adequate to protect revenue, the importing Party shall make available escrow, bond, provisional preference, or another equivalent interim mechanism while verification remains pending.</w:t>
      </w:r>
    </w:p>
    <w:p>
      <w:bookmarkStart w:id="1062" w:name="_NAESTMA_TOC_1062"/>
      <w:pPr>
        <w:pStyle w:val="Heading2"/>
        <w:keepNext/>
        <w:widowControl/>
        <w:rPr/>
      </w:pPr>
      <w:r>
        <w:rPr/>
        <w:t>Article 5.M: Electronic Traceability and Technology Neutrality</w:t>
      </w:r>
      <w:bookmarkEnd w:id="1062"/>
    </w:p>
    <w:p>
      <w:pPr>
        <w:pStyle w:val="Normal"/>
        <w:widowControl/>
        <w:rPr/>
      </w:pPr>
      <w:r>
        <w:rPr/>
        <w:t>A reliable electronic traceability chain may constitute presumptive evidence for the facts it records where it provides auditable provenance, integrity controls, access logs, correction history, retention, and confidentiality protection. No particular technology is required. Specific evidence of tampering, false input, broken chain of custody, or material inconsistency may rebut the presumption.</w:t>
      </w:r>
    </w:p>
    <w:p>
      <w:bookmarkStart w:id="1063" w:name="_NAESTMA_TOC_1063"/>
      <w:pPr>
        <w:pStyle w:val="Heading2"/>
        <w:keepNext/>
        <w:widowControl/>
        <w:rPr/>
      </w:pPr>
      <w:r>
        <w:rPr/>
        <w:t>Article 5.N: Proportionate Supplier Documentation</w:t>
      </w:r>
      <w:bookmarkEnd w:id="1063"/>
    </w:p>
    <w:p>
      <w:pPr>
        <w:pStyle w:val="Normal"/>
        <w:widowControl/>
        <w:rPr/>
      </w:pPr>
      <w:r>
        <w:rPr/>
        <w:t>1. A Party may authorize simplified supplier declarations for low-value, non-strategic inputs where full documentation would be disproportionate to origin risk. Any such program is a facilitation option rather than an entitlement unless the Party has expressly adopted it as such. Published eligibility criteria shall consider both value and strategic sensitivity; core automotive components, high-circumvention-risk goods, and inputs material to a product-specific rule may be excluded regardless of value.</w:t>
      </w:r>
    </w:p>
    <w:p>
      <w:pPr>
        <w:pStyle w:val="Normal"/>
        <w:widowControl/>
        <w:rPr/>
      </w:pPr>
      <w:r>
        <w:rPr/>
        <w:t>2. The customs administration operating a simplified-declaration program shall publish its thresholds, covered and excluded categories, required declaration fields, and material suspension criteria, and shall review them at least once every 24 months. Material exclusions or suspensions shall be based on the published criteria and shall not modify the substantive origin requirement.</w:t>
      </w:r>
    </w:p>
    <w:p>
      <w:bookmarkStart w:id="1064" w:name="_NAESTMA_TOC_1064"/>
      <w:pPr>
        <w:pStyle w:val="Heading2"/>
        <w:keepNext/>
        <w:widowControl/>
        <w:rPr/>
      </w:pPr>
      <w:r>
        <w:rPr/>
        <w:t>Article 5.O: Appeals Without Unnecessary Trade Interruption</w:t>
      </w:r>
      <w:bookmarkEnd w:id="1064"/>
    </w:p>
    <w:p>
      <w:pPr>
        <w:pStyle w:val="Normal"/>
        <w:widowControl/>
        <w:rPr/>
      </w:pPr>
      <w:r>
        <w:rPr/>
        <w:t>1. Where preferential treatment is denied and the trader timely appeals, the importing Party shall permit bond, escrow, or equivalent security in lieu of unnecessary interruption where consistent with domestic law and adequate to protect revenue.</w:t>
      </w:r>
    </w:p>
    <w:p>
      <w:pPr>
        <w:pStyle w:val="Normal"/>
        <w:widowControl/>
        <w:rPr/>
      </w:pPr>
      <w:r>
        <w:rPr/>
        <w:t>2. SMEs shall have access to simplified procedural requirements and expedited scheduling without changing the substantive standard of review. Material appeal decisions and advance rulings shall be published in searchable, appropriately redacted form. Prior decisions may have persuasive or precedential effect only to the extent permitted by the relevant Party's law or expressly adopted under this Agreement.</w:t>
      </w:r>
    </w:p>
    <w:p>
      <w:pPr>
        <w:pStyle w:val="Normal"/>
        <w:widowControl/>
        <w:rPr/>
      </w:pPr>
      <w:r>
        <w:rPr/>
        <w:t>3. Where preference was clearly and finally denied through administrative error, improperly collected duties shall be refunded with applicable interest. Reasonable extraordinary storage or demurrage directly caused by clear administrative error may be addressed under domestic procedures; this does not create open-ended consequential-damages liability.</w:t>
      </w:r>
    </w:p>
    <w:p>
      <w:bookmarkStart w:id="1065" w:name="_NAESTMA_TOC_1065"/>
      <w:pPr>
        <w:pStyle w:val="Heading2"/>
        <w:keepNext/>
        <w:widowControl/>
        <w:rPr/>
      </w:pPr>
      <w:r>
        <w:rPr/>
        <w:t>Article 5.P: Consolidated Origin Verification Manual and Training</w:t>
      </w:r>
      <w:bookmarkEnd w:id="1065"/>
    </w:p>
    <w:p>
      <w:pPr>
        <w:pStyle w:val="Normal"/>
        <w:widowControl/>
        <w:rPr/>
      </w:pPr>
      <w:r>
        <w:rPr/>
        <w:t>1. The existing Secretariat, working with the customs administrations and relevant existing committees, shall publish and maintain a consolidated North American Origin Verification Manual containing current procedures, templates, timelines, electronic-submission guidance, correction routes, and non-binding implementation examples.</w:t>
      </w:r>
    </w:p>
    <w:p>
      <w:pPr>
        <w:pStyle w:val="Normal"/>
        <w:widowControl/>
        <w:rPr/>
      </w:pPr>
      <w:r>
        <w:rPr/>
        <w:t>2. The Manual reflects the Agreement and does not amend it. In any conflict, the Agreement controls.</w:t>
      </w:r>
    </w:p>
    <w:p>
      <w:pPr>
        <w:pStyle w:val="Normal"/>
        <w:widowControl/>
        <w:rPr/>
      </w:pPr>
      <w:r>
        <w:rPr/>
        <w:t>3. The customs administrations shall maintain a joint training and exchange program using existing institutional structures. No separate academy or permanent body is established.</w:t>
      </w:r>
    </w:p>
    <w:p>
      <w:pPr>
        <w:pStyle w:val="Normal"/>
        <w:widowControl/>
        <w:rPr/>
      </w:pPr>
      <w:r>
        <w:rPr/>
        <w:t>4. Training shall emphasize consistent interpretation, issue-limited requests, confidentiality, risk-based verification, anti-circumvention, SME usability, and recognition of reliable prior findings.</w:t>
      </w:r>
    </w:p>
    <w:p>
      <w:bookmarkStart w:id="1066" w:name="_NAESTMA_TOC_1066"/>
      <w:pPr>
        <w:pStyle w:val="Heading2"/>
        <w:keepNext/>
        <w:widowControl/>
        <w:spacing w:before="180" w:after="80"/>
        <w:rPr/>
      </w:pPr>
      <w:r>
        <w:rPr/>
        <w:t>Article 5.Q: No Delay of Chapter 23-B Benefits Through Verification</w:t>
      </w:r>
      <w:bookmarkEnd w:id="1066"/>
    </w:p>
    <w:p>
      <w:pPr>
        <w:pStyle w:val="Normal"/>
        <w:widowControl/>
        <w:spacing w:before="0" w:after="160"/>
        <w:rPr/>
      </w:pPr>
      <w:r>
        <w:rPr/>
        <w:t>Verification procedures under this Chapter shall not be used to delay, condition, or deny worker income support, retraining, or community resilience benefits under Chapter 23-B. Chapter 23-B benefits shall be paid upon claim (with basic eligibility verification) and shall not be held pending trade verification or other Chapter 5 procedures. A worker's eligibility for income support is independent of trade verification timelines.</w:t>
      </w:r>
    </w:p>
    <w:p>
      <w:bookmarkStart w:id="1067" w:name="_NAESTMA_TOC_1067"/>
      <w:pPr>
        <w:pStyle w:val="Heading2"/>
        <w:keepNext/>
        <w:widowControl/>
        <w:rPr/>
      </w:pPr>
      <w:r>
        <w:rPr/>
        <w:t>ANNEX 5-Z: Verification Service Standards and Safe-Harbor Matrix</w:t>
      </w:r>
      <w:bookmarkEnd w:id="1067"/>
    </w:p>
    <w:tbl>
      <w:tblPr>
        <w:tblStyle w:val="TableGrid"/>
        <w:tblW w:w="9360" w:type="dxa"/>
        <w:jc w:val="center"/>
        <w:tblInd w:w="0" w:type="dxa"/>
        <w:tblLayout w:type="autofit"/>
        <w:tblCellMar>
          <w:top w:w="0" w:type="dxa"/>
          <w:left w:w="108" w:type="dxa"/>
          <w:bottom w:w="0" w:type="dxa"/>
          <w:right w:w="108" w:type="dxa"/>
        </w:tblCellMar>
        <w:tblLook w:val="04a0" w:noHBand="0" w:noVBand="1" w:firstColumn="1" w:lastRow="0" w:lastColumn="0" w:firstRow="1"/>
      </w:tblPr>
      <w:tblGrid>
        <w:gridCol w:w="1872"/>
        <w:gridCol w:w="1872"/>
        <w:gridCol w:w="1872"/>
        <w:gridCol w:w="1872"/>
        <w:gridCol w:w="1872"/>
      </w:tblGrid>
      <w:tr>
        <w:trPr>
          <w:tblHeader w:val="true"/>
        </w:trPr>
        <w:tc>
          <w:tcPr>
            <w:tcW w:w="1872" w:type="dxa"/>
            <w:tcBorders/>
            <w:shd w:fill="233746"/>
          </w:tcPr>
          <w:p>
            <w:pPr>
              <w:pStyle w:val="Normal"/>
              <w:widowControl/>
              <w:suppressAutoHyphens w:val="true"/>
              <w:spacing w:before="0" w:after="0"/>
              <w:jc w:val="left"/>
              <w:rPr>
                <w:rFonts w:cs=""/>
                <w:kern w:val="0"/>
                <w:szCs w:val="22"/>
                <w:lang w:val="en-US" w:eastAsia="en-US" w:bidi="ar-SA"/>
              </w:rPr>
            </w:pPr>
            <w:r>
              <w:rPr>
                <w:rFonts w:cs="" w:ascii="Arial" w:hAnsi="Arial"/>
                <w:b/>
                <w:color w:val="FFFFFF"/>
                <w:kern w:val="0"/>
                <w:sz w:val="17"/>
                <w:szCs w:val="22"/>
                <w:lang w:val="en-US" w:eastAsia="en-US" w:bidi="ar-SA"/>
              </w:rPr>
              <w:t>Situation</w:t>
            </w:r>
          </w:p>
        </w:tc>
        <w:tc>
          <w:tcPr>
            <w:tcW w:w="1872" w:type="dxa"/>
            <w:tcBorders/>
            <w:shd w:fill="233746"/>
          </w:tcPr>
          <w:p>
            <w:pPr>
              <w:pStyle w:val="Normal"/>
              <w:widowControl/>
              <w:suppressAutoHyphens w:val="true"/>
              <w:spacing w:before="0" w:after="0"/>
              <w:jc w:val="left"/>
              <w:rPr>
                <w:rFonts w:cs=""/>
                <w:kern w:val="0"/>
                <w:szCs w:val="22"/>
                <w:lang w:val="en-US" w:eastAsia="en-US" w:bidi="ar-SA"/>
              </w:rPr>
            </w:pPr>
            <w:r>
              <w:rPr>
                <w:rFonts w:cs="" w:ascii="Arial" w:hAnsi="Arial"/>
                <w:b/>
                <w:color w:val="FFFFFF"/>
                <w:kern w:val="0"/>
                <w:sz w:val="17"/>
                <w:szCs w:val="22"/>
                <w:lang w:val="en-US" w:eastAsia="en-US" w:bidi="ar-SA"/>
              </w:rPr>
              <w:t>Default Process</w:t>
            </w:r>
          </w:p>
        </w:tc>
        <w:tc>
          <w:tcPr>
            <w:tcW w:w="1872" w:type="dxa"/>
            <w:tcBorders/>
            <w:shd w:fill="233746"/>
          </w:tcPr>
          <w:p>
            <w:pPr>
              <w:pStyle w:val="Normal"/>
              <w:widowControl/>
              <w:suppressAutoHyphens w:val="true"/>
              <w:spacing w:before="0" w:after="0"/>
              <w:jc w:val="left"/>
              <w:rPr>
                <w:rFonts w:cs=""/>
                <w:kern w:val="0"/>
                <w:szCs w:val="22"/>
                <w:lang w:val="en-US" w:eastAsia="en-US" w:bidi="ar-SA"/>
              </w:rPr>
            </w:pPr>
            <w:r>
              <w:rPr>
                <w:rFonts w:cs="" w:ascii="Arial" w:hAnsi="Arial"/>
                <w:b/>
                <w:color w:val="FFFFFF"/>
                <w:kern w:val="0"/>
                <w:sz w:val="17"/>
                <w:szCs w:val="22"/>
                <w:lang w:val="en-US" w:eastAsia="en-US" w:bidi="ar-SA"/>
              </w:rPr>
              <w:t>Escalation Trigger</w:t>
            </w:r>
          </w:p>
        </w:tc>
        <w:tc>
          <w:tcPr>
            <w:tcW w:w="1872" w:type="dxa"/>
            <w:tcBorders/>
            <w:shd w:fill="233746"/>
          </w:tcPr>
          <w:p>
            <w:pPr>
              <w:pStyle w:val="Normal"/>
              <w:widowControl/>
              <w:suppressAutoHyphens w:val="true"/>
              <w:spacing w:before="0" w:after="0"/>
              <w:jc w:val="left"/>
              <w:rPr>
                <w:rFonts w:cs=""/>
                <w:kern w:val="0"/>
                <w:szCs w:val="22"/>
                <w:lang w:val="en-US" w:eastAsia="en-US" w:bidi="ar-SA"/>
              </w:rPr>
            </w:pPr>
            <w:r>
              <w:rPr>
                <w:rFonts w:cs="" w:ascii="Arial" w:hAnsi="Arial"/>
                <w:b/>
                <w:color w:val="FFFFFF"/>
                <w:kern w:val="0"/>
                <w:sz w:val="17"/>
                <w:szCs w:val="22"/>
                <w:lang w:val="en-US" w:eastAsia="en-US" w:bidi="ar-SA"/>
              </w:rPr>
              <w:t>Trade Treatment While Pending</w:t>
            </w:r>
          </w:p>
        </w:tc>
        <w:tc>
          <w:tcPr>
            <w:tcW w:w="1872" w:type="dxa"/>
            <w:tcBorders/>
            <w:shd w:fill="233746"/>
          </w:tcPr>
          <w:p>
            <w:pPr>
              <w:pStyle w:val="Normal"/>
              <w:widowControl/>
              <w:suppressAutoHyphens w:val="true"/>
              <w:spacing w:before="0" w:after="0"/>
              <w:jc w:val="left"/>
              <w:rPr>
                <w:rFonts w:cs=""/>
                <w:kern w:val="0"/>
                <w:szCs w:val="22"/>
                <w:lang w:val="en-US" w:eastAsia="en-US" w:bidi="ar-SA"/>
              </w:rPr>
            </w:pPr>
            <w:r>
              <w:rPr>
                <w:rFonts w:cs="" w:ascii="Arial" w:hAnsi="Arial"/>
                <w:b/>
                <w:color w:val="FFFFFF"/>
                <w:kern w:val="0"/>
                <w:sz w:val="17"/>
                <w:szCs w:val="22"/>
                <w:lang w:val="en-US" w:eastAsia="en-US" w:bidi="ar-SA"/>
              </w:rPr>
              <w:t>Target Administration</w:t>
            </w:r>
          </w:p>
        </w:tc>
      </w:tr>
      <w:tr>
        <w:trPr/>
        <w:tc>
          <w:tcPr>
            <w:tcW w:w="1872" w:type="dxa"/>
            <w:tcBorders/>
            <w:tcMar>
              <w:top w:w="70" w:type="dxa"/>
              <w:start w:w="110" w:type="dxa"/>
              <w:bottom w:w="70" w:type="dxa"/>
              <w:end w:w="110" w:type="dxa"/>
            </w:tcMar>
          </w:tcPr>
          <w:p>
            <w:pPr>
              <w:pStyle w:val="Normal"/>
              <w:widowControl/>
              <w:suppressAutoHyphens w:val="true"/>
              <w:spacing w:before="0" w:after="0"/>
              <w:jc w:val="left"/>
              <w:rPr>
                <w:rFonts w:cs=""/>
                <w:kern w:val="0"/>
                <w:szCs w:val="22"/>
                <w:lang w:val="en-US" w:eastAsia="en-US" w:bidi="ar-SA"/>
              </w:rPr>
            </w:pPr>
            <w:r>
              <w:rPr>
                <w:rFonts w:cs="" w:ascii="Arial" w:hAnsi="Arial"/>
                <w:kern w:val="0"/>
                <w:sz w:val="17"/>
                <w:szCs w:val="22"/>
                <w:lang w:val="en-US" w:eastAsia="en-US" w:bidi="ar-SA"/>
              </w:rPr>
              <w:t>Trusted trader / stable goods</w:t>
            </w:r>
          </w:p>
        </w:tc>
        <w:tc>
          <w:tcPr>
            <w:tcW w:w="1872" w:type="dxa"/>
            <w:tcBorders/>
            <w:tcMar>
              <w:top w:w="70" w:type="dxa"/>
              <w:start w:w="110" w:type="dxa"/>
              <w:bottom w:w="70" w:type="dxa"/>
              <w:end w:w="110" w:type="dxa"/>
            </w:tcMar>
          </w:tcPr>
          <w:p>
            <w:pPr>
              <w:pStyle w:val="Normal"/>
              <w:widowControl/>
              <w:suppressAutoHyphens w:val="true"/>
              <w:spacing w:before="0" w:after="0"/>
              <w:jc w:val="left"/>
              <w:rPr>
                <w:rFonts w:cs=""/>
                <w:kern w:val="0"/>
                <w:szCs w:val="22"/>
                <w:lang w:val="en-US" w:eastAsia="en-US" w:bidi="ar-SA"/>
              </w:rPr>
            </w:pPr>
            <w:r>
              <w:rPr>
                <w:rFonts w:cs="" w:ascii="Arial" w:hAnsi="Arial"/>
                <w:kern w:val="0"/>
                <w:sz w:val="17"/>
                <w:szCs w:val="22"/>
                <w:lang w:val="en-US" w:eastAsia="en-US" w:bidi="ar-SA"/>
              </w:rPr>
              <w:t>Document review; batch or annual certification; reuse reliable prior findings</w:t>
            </w:r>
          </w:p>
        </w:tc>
        <w:tc>
          <w:tcPr>
            <w:tcW w:w="1872" w:type="dxa"/>
            <w:tcBorders/>
            <w:tcMar>
              <w:top w:w="70" w:type="dxa"/>
              <w:start w:w="110" w:type="dxa"/>
              <w:bottom w:w="70" w:type="dxa"/>
              <w:end w:w="110" w:type="dxa"/>
            </w:tcMar>
          </w:tcPr>
          <w:p>
            <w:pPr>
              <w:pStyle w:val="Normal"/>
              <w:widowControl/>
              <w:suppressAutoHyphens w:val="true"/>
              <w:spacing w:before="0" w:after="0"/>
              <w:jc w:val="left"/>
              <w:rPr>
                <w:rFonts w:cs=""/>
                <w:kern w:val="0"/>
                <w:szCs w:val="22"/>
                <w:lang w:val="en-US" w:eastAsia="en-US" w:bidi="ar-SA"/>
              </w:rPr>
            </w:pPr>
            <w:r>
              <w:rPr>
                <w:rFonts w:cs="" w:ascii="Arial" w:hAnsi="Arial"/>
                <w:kern w:val="0"/>
                <w:sz w:val="17"/>
                <w:szCs w:val="22"/>
                <w:lang w:val="en-US" w:eastAsia="en-US" w:bidi="ar-SA"/>
              </w:rPr>
              <w:t>Material anomaly, new evidence, credible fraud indicator</w:t>
            </w:r>
          </w:p>
        </w:tc>
        <w:tc>
          <w:tcPr>
            <w:tcW w:w="1872" w:type="dxa"/>
            <w:tcBorders/>
            <w:tcMar>
              <w:top w:w="70" w:type="dxa"/>
              <w:start w:w="110" w:type="dxa"/>
              <w:bottom w:w="70" w:type="dxa"/>
              <w:end w:w="110" w:type="dxa"/>
            </w:tcMar>
          </w:tcPr>
          <w:p>
            <w:pPr>
              <w:pStyle w:val="Normal"/>
              <w:widowControl/>
              <w:suppressAutoHyphens w:val="true"/>
              <w:spacing w:before="0" w:after="0"/>
              <w:jc w:val="left"/>
              <w:rPr>
                <w:rFonts w:cs=""/>
                <w:kern w:val="0"/>
                <w:szCs w:val="22"/>
                <w:lang w:val="en-US" w:eastAsia="en-US" w:bidi="ar-SA"/>
              </w:rPr>
            </w:pPr>
            <w:r>
              <w:rPr>
                <w:rFonts w:cs="" w:ascii="Arial" w:hAnsi="Arial"/>
                <w:kern w:val="0"/>
                <w:sz w:val="17"/>
                <w:szCs w:val="22"/>
                <w:lang w:val="en-US" w:eastAsia="en-US" w:bidi="ar-SA"/>
              </w:rPr>
              <w:t>Preference continues where revenue is protected</w:t>
            </w:r>
          </w:p>
        </w:tc>
        <w:tc>
          <w:tcPr>
            <w:tcW w:w="1872" w:type="dxa"/>
            <w:tcBorders/>
            <w:tcMar>
              <w:top w:w="70" w:type="dxa"/>
              <w:start w:w="110" w:type="dxa"/>
              <w:bottom w:w="70" w:type="dxa"/>
              <w:end w:w="110" w:type="dxa"/>
            </w:tcMar>
          </w:tcPr>
          <w:p>
            <w:pPr>
              <w:pStyle w:val="Normal"/>
              <w:widowControl/>
              <w:suppressAutoHyphens w:val="true"/>
              <w:spacing w:before="0" w:after="0"/>
              <w:jc w:val="left"/>
              <w:rPr>
                <w:rFonts w:cs=""/>
                <w:kern w:val="0"/>
                <w:szCs w:val="22"/>
                <w:lang w:val="en-US" w:eastAsia="en-US" w:bidi="ar-SA"/>
              </w:rPr>
            </w:pPr>
            <w:r>
              <w:rPr>
                <w:rFonts w:cs="" w:ascii="Arial" w:hAnsi="Arial"/>
                <w:kern w:val="0"/>
                <w:sz w:val="17"/>
                <w:szCs w:val="22"/>
                <w:lang w:val="en-US" w:eastAsia="en-US" w:bidi="ar-SA"/>
              </w:rPr>
              <w:t>Fast lane</w:t>
            </w:r>
          </w:p>
        </w:tc>
      </w:tr>
      <w:tr>
        <w:trPr/>
        <w:tc>
          <w:tcPr>
            <w:tcW w:w="1872" w:type="dxa"/>
            <w:tcBorders/>
            <w:tcMar>
              <w:top w:w="70" w:type="dxa"/>
              <w:start w:w="110" w:type="dxa"/>
              <w:bottom w:w="70" w:type="dxa"/>
              <w:end w:w="110" w:type="dxa"/>
            </w:tcMar>
            <w:shd w:fill="F4F6F7"/>
          </w:tcPr>
          <w:p>
            <w:pPr>
              <w:pStyle w:val="Normal"/>
              <w:widowControl/>
              <w:suppressAutoHyphens w:val="true"/>
              <w:spacing w:before="0" w:after="0"/>
              <w:jc w:val="left"/>
              <w:rPr>
                <w:rFonts w:cs=""/>
                <w:kern w:val="0"/>
                <w:szCs w:val="22"/>
                <w:lang w:val="en-US" w:eastAsia="en-US" w:bidi="ar-SA"/>
              </w:rPr>
            </w:pPr>
            <w:r>
              <w:rPr>
                <w:rFonts w:cs="" w:ascii="Arial" w:hAnsi="Arial"/>
                <w:kern w:val="0"/>
                <w:sz w:val="17"/>
                <w:szCs w:val="22"/>
                <w:lang w:val="en-US" w:eastAsia="en-US" w:bidi="ar-SA"/>
              </w:rPr>
              <w:t>Standard-risk verification</w:t>
            </w:r>
          </w:p>
        </w:tc>
        <w:tc>
          <w:tcPr>
            <w:tcW w:w="1872" w:type="dxa"/>
            <w:tcBorders/>
            <w:tcMar>
              <w:top w:w="70" w:type="dxa"/>
              <w:start w:w="110" w:type="dxa"/>
              <w:bottom w:w="70" w:type="dxa"/>
              <w:end w:w="110" w:type="dxa"/>
            </w:tcMar>
            <w:shd w:fill="F4F6F7"/>
          </w:tcPr>
          <w:p>
            <w:pPr>
              <w:pStyle w:val="Normal"/>
              <w:widowControl/>
              <w:suppressAutoHyphens w:val="true"/>
              <w:spacing w:before="0" w:after="0"/>
              <w:jc w:val="left"/>
              <w:rPr>
                <w:rFonts w:cs=""/>
                <w:kern w:val="0"/>
                <w:szCs w:val="22"/>
                <w:lang w:val="en-US" w:eastAsia="en-US" w:bidi="ar-SA"/>
              </w:rPr>
            </w:pPr>
            <w:r>
              <w:rPr>
                <w:rFonts w:cs="" w:ascii="Arial" w:hAnsi="Arial"/>
                <w:kern w:val="0"/>
                <w:sz w:val="17"/>
                <w:szCs w:val="22"/>
                <w:lang w:val="en-US" w:eastAsia="en-US" w:bidi="ar-SA"/>
              </w:rPr>
              <w:t>Issue-limited standardized questionnaire; remote review first</w:t>
            </w:r>
          </w:p>
        </w:tc>
        <w:tc>
          <w:tcPr>
            <w:tcW w:w="1872" w:type="dxa"/>
            <w:tcBorders/>
            <w:tcMar>
              <w:top w:w="70" w:type="dxa"/>
              <w:start w:w="110" w:type="dxa"/>
              <w:bottom w:w="70" w:type="dxa"/>
              <w:end w:w="110" w:type="dxa"/>
            </w:tcMar>
            <w:shd w:fill="F4F6F7"/>
          </w:tcPr>
          <w:p>
            <w:pPr>
              <w:pStyle w:val="Normal"/>
              <w:widowControl/>
              <w:suppressAutoHyphens w:val="true"/>
              <w:spacing w:before="0" w:after="0"/>
              <w:jc w:val="left"/>
              <w:rPr>
                <w:rFonts w:cs=""/>
                <w:kern w:val="0"/>
                <w:szCs w:val="22"/>
                <w:lang w:val="en-US" w:eastAsia="en-US" w:bidi="ar-SA"/>
              </w:rPr>
            </w:pPr>
            <w:r>
              <w:rPr>
                <w:rFonts w:cs="" w:ascii="Arial" w:hAnsi="Arial"/>
                <w:kern w:val="0"/>
                <w:sz w:val="17"/>
                <w:szCs w:val="22"/>
                <w:lang w:val="en-US" w:eastAsia="en-US" w:bidi="ar-SA"/>
              </w:rPr>
              <w:t>Unresolved material inconsistency or reasonable articulable grounds</w:t>
            </w:r>
          </w:p>
        </w:tc>
        <w:tc>
          <w:tcPr>
            <w:tcW w:w="1872" w:type="dxa"/>
            <w:tcBorders/>
            <w:tcMar>
              <w:top w:w="70" w:type="dxa"/>
              <w:start w:w="110" w:type="dxa"/>
              <w:bottom w:w="70" w:type="dxa"/>
              <w:end w:w="110" w:type="dxa"/>
            </w:tcMar>
            <w:shd w:fill="F4F6F7"/>
          </w:tcPr>
          <w:p>
            <w:pPr>
              <w:pStyle w:val="Normal"/>
              <w:widowControl/>
              <w:suppressAutoHyphens w:val="true"/>
              <w:spacing w:before="0" w:after="0"/>
              <w:jc w:val="left"/>
              <w:rPr>
                <w:rFonts w:cs=""/>
                <w:kern w:val="0"/>
                <w:szCs w:val="22"/>
                <w:lang w:val="en-US" w:eastAsia="en-US" w:bidi="ar-SA"/>
              </w:rPr>
            </w:pPr>
            <w:r>
              <w:rPr>
                <w:rFonts w:cs="" w:ascii="Arial" w:hAnsi="Arial"/>
                <w:kern w:val="0"/>
                <w:sz w:val="17"/>
                <w:szCs w:val="22"/>
                <w:lang w:val="en-US" w:eastAsia="en-US" w:bidi="ar-SA"/>
              </w:rPr>
              <w:t>Preference continues, bond/escrow, or targeted hold as legally appropriate</w:t>
            </w:r>
          </w:p>
        </w:tc>
        <w:tc>
          <w:tcPr>
            <w:tcW w:w="1872" w:type="dxa"/>
            <w:tcBorders/>
            <w:tcMar>
              <w:top w:w="70" w:type="dxa"/>
              <w:start w:w="110" w:type="dxa"/>
              <w:bottom w:w="70" w:type="dxa"/>
              <w:end w:w="110" w:type="dxa"/>
            </w:tcMar>
            <w:shd w:fill="F4F6F7"/>
          </w:tcPr>
          <w:p>
            <w:pPr>
              <w:pStyle w:val="Normal"/>
              <w:widowControl/>
              <w:suppressAutoHyphens w:val="true"/>
              <w:spacing w:before="0" w:after="0"/>
              <w:jc w:val="left"/>
              <w:rPr>
                <w:rFonts w:cs=""/>
                <w:kern w:val="0"/>
                <w:szCs w:val="22"/>
                <w:lang w:val="en-US" w:eastAsia="en-US" w:bidi="ar-SA"/>
              </w:rPr>
            </w:pPr>
            <w:r>
              <w:rPr>
                <w:rFonts w:cs="" w:ascii="Arial" w:hAnsi="Arial"/>
                <w:kern w:val="0"/>
                <w:sz w:val="17"/>
                <w:szCs w:val="22"/>
                <w:lang w:val="en-US" w:eastAsia="en-US" w:bidi="ar-SA"/>
              </w:rPr>
              <w:t>Ordinary lane</w:t>
            </w:r>
          </w:p>
        </w:tc>
      </w:tr>
      <w:tr>
        <w:trPr/>
        <w:tc>
          <w:tcPr>
            <w:tcW w:w="1872" w:type="dxa"/>
            <w:tcBorders/>
            <w:tcMar>
              <w:top w:w="70" w:type="dxa"/>
              <w:start w:w="110" w:type="dxa"/>
              <w:bottom w:w="70" w:type="dxa"/>
              <w:end w:w="110" w:type="dxa"/>
            </w:tcMar>
          </w:tcPr>
          <w:p>
            <w:pPr>
              <w:pStyle w:val="Normal"/>
              <w:widowControl/>
              <w:suppressAutoHyphens w:val="true"/>
              <w:spacing w:before="0" w:after="0"/>
              <w:jc w:val="left"/>
              <w:rPr>
                <w:rFonts w:cs=""/>
                <w:kern w:val="0"/>
                <w:szCs w:val="22"/>
                <w:lang w:val="en-US" w:eastAsia="en-US" w:bidi="ar-SA"/>
              </w:rPr>
            </w:pPr>
            <w:r>
              <w:rPr>
                <w:rFonts w:cs="" w:ascii="Arial" w:hAnsi="Arial"/>
                <w:kern w:val="0"/>
                <w:sz w:val="17"/>
                <w:szCs w:val="22"/>
                <w:lang w:val="en-US" w:eastAsia="en-US" w:bidi="ar-SA"/>
              </w:rPr>
              <w:t>High-risk / credible circumvention</w:t>
            </w:r>
          </w:p>
        </w:tc>
        <w:tc>
          <w:tcPr>
            <w:tcW w:w="1872" w:type="dxa"/>
            <w:tcBorders/>
            <w:tcMar>
              <w:top w:w="70" w:type="dxa"/>
              <w:start w:w="110" w:type="dxa"/>
              <w:bottom w:w="70" w:type="dxa"/>
              <w:end w:w="110" w:type="dxa"/>
            </w:tcMar>
          </w:tcPr>
          <w:p>
            <w:pPr>
              <w:pStyle w:val="Normal"/>
              <w:widowControl/>
              <w:suppressAutoHyphens w:val="true"/>
              <w:spacing w:before="0" w:after="0"/>
              <w:jc w:val="left"/>
              <w:rPr>
                <w:rFonts w:cs=""/>
                <w:kern w:val="0"/>
                <w:szCs w:val="22"/>
                <w:lang w:val="en-US" w:eastAsia="en-US" w:bidi="ar-SA"/>
              </w:rPr>
            </w:pPr>
            <w:r>
              <w:rPr>
                <w:rFonts w:cs="" w:ascii="Arial" w:hAnsi="Arial"/>
                <w:kern w:val="0"/>
                <w:sz w:val="17"/>
                <w:szCs w:val="22"/>
                <w:lang w:val="en-US" w:eastAsia="en-US" w:bidi="ar-SA"/>
              </w:rPr>
              <w:t>Full verification; expanded records; on-site review where lawful</w:t>
            </w:r>
          </w:p>
        </w:tc>
        <w:tc>
          <w:tcPr>
            <w:tcW w:w="1872" w:type="dxa"/>
            <w:tcBorders/>
            <w:tcMar>
              <w:top w:w="70" w:type="dxa"/>
              <w:start w:w="110" w:type="dxa"/>
              <w:bottom w:w="70" w:type="dxa"/>
              <w:end w:w="110" w:type="dxa"/>
            </w:tcMar>
          </w:tcPr>
          <w:p>
            <w:pPr>
              <w:pStyle w:val="Normal"/>
              <w:widowControl/>
              <w:suppressAutoHyphens w:val="true"/>
              <w:spacing w:before="0" w:after="0"/>
              <w:jc w:val="left"/>
              <w:rPr>
                <w:rFonts w:cs=""/>
                <w:kern w:val="0"/>
                <w:szCs w:val="22"/>
                <w:lang w:val="en-US" w:eastAsia="en-US" w:bidi="ar-SA"/>
              </w:rPr>
            </w:pPr>
            <w:r>
              <w:rPr>
                <w:rFonts w:cs="" w:ascii="Arial" w:hAnsi="Arial"/>
                <w:kern w:val="0"/>
                <w:sz w:val="17"/>
                <w:szCs w:val="22"/>
                <w:lang w:val="en-US" w:eastAsia="en-US" w:bidi="ar-SA"/>
              </w:rPr>
              <w:t>Existing documented risk</w:t>
            </w:r>
          </w:p>
        </w:tc>
        <w:tc>
          <w:tcPr>
            <w:tcW w:w="1872" w:type="dxa"/>
            <w:tcBorders/>
            <w:tcMar>
              <w:top w:w="70" w:type="dxa"/>
              <w:start w:w="110" w:type="dxa"/>
              <w:bottom w:w="70" w:type="dxa"/>
              <w:end w:w="110" w:type="dxa"/>
            </w:tcMar>
          </w:tcPr>
          <w:p>
            <w:pPr>
              <w:pStyle w:val="Normal"/>
              <w:widowControl/>
              <w:suppressAutoHyphens w:val="true"/>
              <w:spacing w:before="0" w:after="0"/>
              <w:jc w:val="left"/>
              <w:rPr>
                <w:rFonts w:cs=""/>
                <w:kern w:val="0"/>
                <w:szCs w:val="22"/>
                <w:lang w:val="en-US" w:eastAsia="en-US" w:bidi="ar-SA"/>
              </w:rPr>
            </w:pPr>
            <w:r>
              <w:rPr>
                <w:rFonts w:cs="" w:ascii="Arial" w:hAnsi="Arial"/>
                <w:kern w:val="0"/>
                <w:sz w:val="17"/>
                <w:szCs w:val="22"/>
                <w:lang w:val="en-US" w:eastAsia="en-US" w:bidi="ar-SA"/>
              </w:rPr>
              <w:t>Targeted protective measures permitted</w:t>
            </w:r>
          </w:p>
        </w:tc>
        <w:tc>
          <w:tcPr>
            <w:tcW w:w="1872" w:type="dxa"/>
            <w:tcBorders/>
            <w:tcMar>
              <w:top w:w="70" w:type="dxa"/>
              <w:start w:w="110" w:type="dxa"/>
              <w:bottom w:w="70" w:type="dxa"/>
              <w:end w:w="110" w:type="dxa"/>
            </w:tcMar>
          </w:tcPr>
          <w:p>
            <w:pPr>
              <w:pStyle w:val="Normal"/>
              <w:widowControl/>
              <w:suppressAutoHyphens w:val="true"/>
              <w:spacing w:before="0" w:after="0"/>
              <w:jc w:val="left"/>
              <w:rPr>
                <w:rFonts w:cs=""/>
                <w:kern w:val="0"/>
                <w:szCs w:val="22"/>
                <w:lang w:val="en-US" w:eastAsia="en-US" w:bidi="ar-SA"/>
              </w:rPr>
            </w:pPr>
            <w:r>
              <w:rPr>
                <w:rFonts w:cs="" w:ascii="Arial" w:hAnsi="Arial"/>
                <w:kern w:val="0"/>
                <w:sz w:val="17"/>
                <w:szCs w:val="22"/>
                <w:lang w:val="en-US" w:eastAsia="en-US" w:bidi="ar-SA"/>
              </w:rPr>
              <w:t>Enhanced lane</w:t>
            </w:r>
          </w:p>
        </w:tc>
      </w:tr>
      <w:tr>
        <w:trPr/>
        <w:tc>
          <w:tcPr>
            <w:tcW w:w="1872" w:type="dxa"/>
            <w:tcBorders/>
            <w:tcMar>
              <w:top w:w="70" w:type="dxa"/>
              <w:start w:w="110" w:type="dxa"/>
              <w:bottom w:w="70" w:type="dxa"/>
              <w:end w:w="110" w:type="dxa"/>
            </w:tcMar>
            <w:shd w:fill="F4F6F7"/>
          </w:tcPr>
          <w:p>
            <w:pPr>
              <w:pStyle w:val="Normal"/>
              <w:widowControl/>
              <w:suppressAutoHyphens w:val="true"/>
              <w:spacing w:before="0" w:after="0"/>
              <w:jc w:val="left"/>
              <w:rPr>
                <w:rFonts w:cs=""/>
                <w:kern w:val="0"/>
                <w:szCs w:val="22"/>
                <w:lang w:val="en-US" w:eastAsia="en-US" w:bidi="ar-SA"/>
              </w:rPr>
            </w:pPr>
            <w:r>
              <w:rPr>
                <w:rFonts w:cs="" w:ascii="Arial" w:hAnsi="Arial"/>
                <w:kern w:val="0"/>
                <w:sz w:val="17"/>
                <w:szCs w:val="22"/>
                <w:lang w:val="en-US" w:eastAsia="en-US" w:bidi="ar-SA"/>
              </w:rPr>
              <w:t>Minor clerical discrepancy</w:t>
            </w:r>
          </w:p>
        </w:tc>
        <w:tc>
          <w:tcPr>
            <w:tcW w:w="1872" w:type="dxa"/>
            <w:tcBorders/>
            <w:tcMar>
              <w:top w:w="70" w:type="dxa"/>
              <w:start w:w="110" w:type="dxa"/>
              <w:bottom w:w="70" w:type="dxa"/>
              <w:end w:w="110" w:type="dxa"/>
            </w:tcMar>
            <w:shd w:fill="F4F6F7"/>
          </w:tcPr>
          <w:p>
            <w:pPr>
              <w:pStyle w:val="Normal"/>
              <w:widowControl/>
              <w:suppressAutoHyphens w:val="true"/>
              <w:spacing w:before="0" w:after="0"/>
              <w:jc w:val="left"/>
              <w:rPr>
                <w:rFonts w:cs=""/>
                <w:kern w:val="0"/>
                <w:szCs w:val="22"/>
                <w:lang w:val="en-US" w:eastAsia="en-US" w:bidi="ar-SA"/>
              </w:rPr>
            </w:pPr>
            <w:r>
              <w:rPr>
                <w:rFonts w:cs="" w:ascii="Arial" w:hAnsi="Arial"/>
                <w:kern w:val="0"/>
                <w:sz w:val="17"/>
                <w:szCs w:val="22"/>
                <w:lang w:val="en-US" w:eastAsia="en-US" w:bidi="ar-SA"/>
              </w:rPr>
              <w:t>10-working-day correction opportunity</w:t>
            </w:r>
          </w:p>
        </w:tc>
        <w:tc>
          <w:tcPr>
            <w:tcW w:w="1872" w:type="dxa"/>
            <w:tcBorders/>
            <w:tcMar>
              <w:top w:w="70" w:type="dxa"/>
              <w:start w:w="110" w:type="dxa"/>
              <w:bottom w:w="70" w:type="dxa"/>
              <w:end w:w="110" w:type="dxa"/>
            </w:tcMar>
            <w:shd w:fill="F4F6F7"/>
          </w:tcPr>
          <w:p>
            <w:pPr>
              <w:pStyle w:val="Normal"/>
              <w:widowControl/>
              <w:suppressAutoHyphens w:val="true"/>
              <w:spacing w:before="0" w:after="0"/>
              <w:jc w:val="left"/>
              <w:rPr>
                <w:rFonts w:cs=""/>
                <w:kern w:val="0"/>
                <w:szCs w:val="22"/>
                <w:lang w:val="en-US" w:eastAsia="en-US" w:bidi="ar-SA"/>
              </w:rPr>
            </w:pPr>
            <w:r>
              <w:rPr>
                <w:rFonts w:cs="" w:ascii="Arial" w:hAnsi="Arial"/>
                <w:kern w:val="0"/>
                <w:sz w:val="17"/>
                <w:szCs w:val="22"/>
                <w:lang w:val="en-US" w:eastAsia="en-US" w:bidi="ar-SA"/>
              </w:rPr>
              <w:t>Failure to cure, repeated pattern, or evidence of intent</w:t>
            </w:r>
          </w:p>
        </w:tc>
        <w:tc>
          <w:tcPr>
            <w:tcW w:w="1872" w:type="dxa"/>
            <w:tcBorders/>
            <w:tcMar>
              <w:top w:w="70" w:type="dxa"/>
              <w:start w:w="110" w:type="dxa"/>
              <w:bottom w:w="70" w:type="dxa"/>
              <w:end w:w="110" w:type="dxa"/>
            </w:tcMar>
            <w:shd w:fill="F4F6F7"/>
          </w:tcPr>
          <w:p>
            <w:pPr>
              <w:pStyle w:val="Normal"/>
              <w:widowControl/>
              <w:suppressAutoHyphens w:val="true"/>
              <w:spacing w:before="0" w:after="0"/>
              <w:jc w:val="left"/>
              <w:rPr>
                <w:rFonts w:cs=""/>
                <w:kern w:val="0"/>
                <w:szCs w:val="22"/>
                <w:lang w:val="en-US" w:eastAsia="en-US" w:bidi="ar-SA"/>
              </w:rPr>
            </w:pPr>
            <w:r>
              <w:rPr>
                <w:rFonts w:cs="" w:ascii="Arial" w:hAnsi="Arial"/>
                <w:kern w:val="0"/>
                <w:sz w:val="17"/>
                <w:szCs w:val="22"/>
                <w:lang w:val="en-US" w:eastAsia="en-US" w:bidi="ar-SA"/>
              </w:rPr>
              <w:t>No unnecessary denial solely for minor error</w:t>
            </w:r>
          </w:p>
        </w:tc>
        <w:tc>
          <w:tcPr>
            <w:tcW w:w="1872" w:type="dxa"/>
            <w:tcBorders/>
            <w:tcMar>
              <w:top w:w="70" w:type="dxa"/>
              <w:start w:w="110" w:type="dxa"/>
              <w:bottom w:w="70" w:type="dxa"/>
              <w:end w:w="110" w:type="dxa"/>
            </w:tcMar>
            <w:shd w:fill="F4F6F7"/>
          </w:tcPr>
          <w:p>
            <w:pPr>
              <w:pStyle w:val="Normal"/>
              <w:widowControl/>
              <w:suppressAutoHyphens w:val="true"/>
              <w:spacing w:before="0" w:after="0"/>
              <w:jc w:val="left"/>
              <w:rPr>
                <w:rFonts w:cs=""/>
                <w:kern w:val="0"/>
                <w:szCs w:val="22"/>
                <w:lang w:val="en-US" w:eastAsia="en-US" w:bidi="ar-SA"/>
              </w:rPr>
            </w:pPr>
            <w:r>
              <w:rPr>
                <w:rFonts w:cs="" w:ascii="Arial" w:hAnsi="Arial"/>
                <w:kern w:val="0"/>
                <w:sz w:val="17"/>
                <w:szCs w:val="22"/>
                <w:lang w:val="en-US" w:eastAsia="en-US" w:bidi="ar-SA"/>
              </w:rPr>
              <w:t>Correction lane</w:t>
            </w:r>
          </w:p>
        </w:tc>
      </w:tr>
      <w:tr>
        <w:trPr/>
        <w:tc>
          <w:tcPr>
            <w:tcW w:w="1872" w:type="dxa"/>
            <w:tcBorders/>
            <w:tcMar>
              <w:top w:w="70" w:type="dxa"/>
              <w:start w:w="110" w:type="dxa"/>
              <w:bottom w:w="70" w:type="dxa"/>
              <w:end w:w="110" w:type="dxa"/>
            </w:tcMar>
          </w:tcPr>
          <w:p>
            <w:pPr>
              <w:pStyle w:val="Normal"/>
              <w:widowControl/>
              <w:suppressAutoHyphens w:val="true"/>
              <w:spacing w:before="0" w:after="0"/>
              <w:jc w:val="left"/>
              <w:rPr>
                <w:rFonts w:cs=""/>
                <w:kern w:val="0"/>
                <w:szCs w:val="22"/>
                <w:lang w:val="en-US" w:eastAsia="en-US" w:bidi="ar-SA"/>
              </w:rPr>
            </w:pPr>
            <w:r>
              <w:rPr>
                <w:rFonts w:cs="" w:ascii="Arial" w:hAnsi="Arial"/>
                <w:kern w:val="0"/>
                <w:sz w:val="17"/>
                <w:szCs w:val="22"/>
                <w:lang w:val="en-US" w:eastAsia="en-US" w:bidi="ar-SA"/>
              </w:rPr>
              <w:t>Positive prior verification</w:t>
            </w:r>
          </w:p>
        </w:tc>
        <w:tc>
          <w:tcPr>
            <w:tcW w:w="1872" w:type="dxa"/>
            <w:tcBorders/>
            <w:tcMar>
              <w:top w:w="70" w:type="dxa"/>
              <w:start w:w="110" w:type="dxa"/>
              <w:bottom w:w="70" w:type="dxa"/>
              <w:end w:w="110" w:type="dxa"/>
            </w:tcMar>
          </w:tcPr>
          <w:p>
            <w:pPr>
              <w:pStyle w:val="Normal"/>
              <w:widowControl/>
              <w:suppressAutoHyphens w:val="true"/>
              <w:spacing w:before="0" w:after="0"/>
              <w:jc w:val="left"/>
              <w:rPr>
                <w:rFonts w:cs=""/>
                <w:kern w:val="0"/>
                <w:szCs w:val="22"/>
                <w:lang w:val="en-US" w:eastAsia="en-US" w:bidi="ar-SA"/>
              </w:rPr>
            </w:pPr>
            <w:r>
              <w:rPr>
                <w:rFonts w:cs="" w:ascii="Arial" w:hAnsi="Arial"/>
                <w:kern w:val="0"/>
                <w:sz w:val="17"/>
                <w:szCs w:val="22"/>
                <w:lang w:val="en-US" w:eastAsia="en-US" w:bidi="ar-SA"/>
              </w:rPr>
              <w:t>12-month repose for same goods/exporter</w:t>
            </w:r>
          </w:p>
        </w:tc>
        <w:tc>
          <w:tcPr>
            <w:tcW w:w="1872" w:type="dxa"/>
            <w:tcBorders/>
            <w:tcMar>
              <w:top w:w="70" w:type="dxa"/>
              <w:start w:w="110" w:type="dxa"/>
              <w:bottom w:w="70" w:type="dxa"/>
              <w:end w:w="110" w:type="dxa"/>
            </w:tcMar>
          </w:tcPr>
          <w:p>
            <w:pPr>
              <w:pStyle w:val="Normal"/>
              <w:widowControl/>
              <w:suppressAutoHyphens w:val="true"/>
              <w:spacing w:before="0" w:after="0"/>
              <w:jc w:val="left"/>
              <w:rPr>
                <w:rFonts w:cs=""/>
                <w:kern w:val="0"/>
                <w:szCs w:val="22"/>
                <w:lang w:val="en-US" w:eastAsia="en-US" w:bidi="ar-SA"/>
              </w:rPr>
            </w:pPr>
            <w:r>
              <w:rPr>
                <w:rFonts w:cs="" w:ascii="Arial" w:hAnsi="Arial"/>
                <w:kern w:val="0"/>
                <w:sz w:val="17"/>
                <w:szCs w:val="22"/>
                <w:lang w:val="en-US" w:eastAsia="en-US" w:bidi="ar-SA"/>
              </w:rPr>
              <w:t>Materially new evidence or changed facts</w:t>
            </w:r>
          </w:p>
        </w:tc>
        <w:tc>
          <w:tcPr>
            <w:tcW w:w="1872" w:type="dxa"/>
            <w:tcBorders/>
            <w:tcMar>
              <w:top w:w="70" w:type="dxa"/>
              <w:start w:w="110" w:type="dxa"/>
              <w:bottom w:w="70" w:type="dxa"/>
              <w:end w:w="110" w:type="dxa"/>
            </w:tcMar>
          </w:tcPr>
          <w:p>
            <w:pPr>
              <w:pStyle w:val="Normal"/>
              <w:widowControl/>
              <w:suppressAutoHyphens w:val="true"/>
              <w:spacing w:before="0" w:after="0"/>
              <w:jc w:val="left"/>
              <w:rPr>
                <w:rFonts w:cs=""/>
                <w:kern w:val="0"/>
                <w:szCs w:val="22"/>
                <w:lang w:val="en-US" w:eastAsia="en-US" w:bidi="ar-SA"/>
              </w:rPr>
            </w:pPr>
            <w:r>
              <w:rPr>
                <w:rFonts w:cs="" w:ascii="Arial" w:hAnsi="Arial"/>
                <w:kern w:val="0"/>
                <w:sz w:val="17"/>
                <w:szCs w:val="22"/>
                <w:lang w:val="en-US" w:eastAsia="en-US" w:bidi="ar-SA"/>
              </w:rPr>
              <w:t>Prior treatment presumptively continues</w:t>
            </w:r>
          </w:p>
        </w:tc>
        <w:tc>
          <w:tcPr>
            <w:tcW w:w="1872" w:type="dxa"/>
            <w:tcBorders/>
            <w:tcMar>
              <w:top w:w="70" w:type="dxa"/>
              <w:start w:w="110" w:type="dxa"/>
              <w:bottom w:w="70" w:type="dxa"/>
              <w:end w:w="110" w:type="dxa"/>
            </w:tcMar>
          </w:tcPr>
          <w:p>
            <w:pPr>
              <w:pStyle w:val="Normal"/>
              <w:widowControl/>
              <w:suppressAutoHyphens w:val="true"/>
              <w:spacing w:before="0" w:after="0"/>
              <w:jc w:val="left"/>
              <w:rPr>
                <w:rFonts w:cs=""/>
                <w:kern w:val="0"/>
                <w:szCs w:val="22"/>
                <w:lang w:val="en-US" w:eastAsia="en-US" w:bidi="ar-SA"/>
              </w:rPr>
            </w:pPr>
            <w:r>
              <w:rPr>
                <w:rFonts w:cs="" w:ascii="Arial" w:hAnsi="Arial"/>
                <w:kern w:val="0"/>
                <w:sz w:val="17"/>
                <w:szCs w:val="22"/>
                <w:lang w:val="en-US" w:eastAsia="en-US" w:bidi="ar-SA"/>
              </w:rPr>
              <w:t>Reuse lane</w:t>
            </w:r>
          </w:p>
        </w:tc>
      </w:tr>
      <w:tr>
        <w:trPr/>
        <w:tc>
          <w:tcPr>
            <w:tcW w:w="1872" w:type="dxa"/>
            <w:tcBorders/>
            <w:tcMar>
              <w:top w:w="70" w:type="dxa"/>
              <w:start w:w="110" w:type="dxa"/>
              <w:bottom w:w="70" w:type="dxa"/>
              <w:end w:w="110" w:type="dxa"/>
            </w:tcMar>
            <w:shd w:fill="F4F6F7"/>
          </w:tcPr>
          <w:p>
            <w:pPr>
              <w:pStyle w:val="Normal"/>
              <w:widowControl/>
              <w:suppressAutoHyphens w:val="true"/>
              <w:spacing w:before="0" w:after="0"/>
              <w:jc w:val="left"/>
              <w:rPr>
                <w:rFonts w:cs=""/>
                <w:kern w:val="0"/>
                <w:szCs w:val="22"/>
                <w:lang w:val="en-US" w:eastAsia="en-US" w:bidi="ar-SA"/>
              </w:rPr>
            </w:pPr>
            <w:r>
              <w:rPr>
                <w:rFonts w:cs="" w:ascii="Arial" w:hAnsi="Arial"/>
                <w:kern w:val="0"/>
                <w:sz w:val="17"/>
                <w:szCs w:val="22"/>
                <w:lang w:val="en-US" w:eastAsia="en-US" w:bidi="ar-SA"/>
              </w:rPr>
              <w:t>Automotive Standard Tier qualification</w:t>
            </w:r>
          </w:p>
        </w:tc>
        <w:tc>
          <w:tcPr>
            <w:tcW w:w="1872" w:type="dxa"/>
            <w:tcBorders/>
            <w:tcMar>
              <w:top w:w="70" w:type="dxa"/>
              <w:start w:w="110" w:type="dxa"/>
              <w:bottom w:w="70" w:type="dxa"/>
              <w:end w:w="110" w:type="dxa"/>
            </w:tcMar>
            <w:shd w:fill="F4F6F7"/>
          </w:tcPr>
          <w:p>
            <w:pPr>
              <w:pStyle w:val="Normal"/>
              <w:widowControl/>
              <w:suppressAutoHyphens w:val="true"/>
              <w:spacing w:before="0" w:after="0"/>
              <w:jc w:val="left"/>
              <w:rPr>
                <w:rFonts w:cs=""/>
                <w:kern w:val="0"/>
                <w:szCs w:val="22"/>
                <w:lang w:val="en-US" w:eastAsia="en-US" w:bidi="ar-SA"/>
              </w:rPr>
            </w:pPr>
            <w:r>
              <w:rPr>
                <w:rFonts w:cs="" w:ascii="Arial" w:hAnsi="Arial"/>
                <w:kern w:val="0"/>
                <w:sz w:val="17"/>
                <w:szCs w:val="22"/>
                <w:lang w:val="en-US" w:eastAsia="en-US" w:bidi="ar-SA"/>
              </w:rPr>
              <w:t>Apply ordinary CUSMA treatment; stop</w:t>
            </w:r>
          </w:p>
        </w:tc>
        <w:tc>
          <w:tcPr>
            <w:tcW w:w="1872" w:type="dxa"/>
            <w:tcBorders/>
            <w:tcMar>
              <w:top w:w="70" w:type="dxa"/>
              <w:start w:w="110" w:type="dxa"/>
              <w:bottom w:w="70" w:type="dxa"/>
              <w:end w:w="110" w:type="dxa"/>
            </w:tcMar>
            <w:shd w:fill="F4F6F7"/>
          </w:tcPr>
          <w:p>
            <w:pPr>
              <w:pStyle w:val="Normal"/>
              <w:widowControl/>
              <w:suppressAutoHyphens w:val="true"/>
              <w:spacing w:before="0" w:after="0"/>
              <w:jc w:val="left"/>
              <w:rPr>
                <w:rFonts w:cs=""/>
                <w:kern w:val="0"/>
                <w:szCs w:val="22"/>
                <w:lang w:val="en-US" w:eastAsia="en-US" w:bidi="ar-SA"/>
              </w:rPr>
            </w:pPr>
            <w:r>
              <w:rPr>
                <w:rFonts w:cs="" w:ascii="Arial" w:hAnsi="Arial"/>
                <w:kern w:val="0"/>
                <w:sz w:val="17"/>
                <w:szCs w:val="22"/>
                <w:lang w:val="en-US" w:eastAsia="en-US" w:bidi="ar-SA"/>
              </w:rPr>
              <w:t>Evidence ordinary qualification is invalid</w:t>
            </w:r>
          </w:p>
        </w:tc>
        <w:tc>
          <w:tcPr>
            <w:tcW w:w="1872" w:type="dxa"/>
            <w:tcBorders/>
            <w:tcMar>
              <w:top w:w="70" w:type="dxa"/>
              <w:start w:w="110" w:type="dxa"/>
              <w:bottom w:w="70" w:type="dxa"/>
              <w:end w:w="110" w:type="dxa"/>
            </w:tcMar>
            <w:shd w:fill="F4F6F7"/>
          </w:tcPr>
          <w:p>
            <w:pPr>
              <w:pStyle w:val="Normal"/>
              <w:widowControl/>
              <w:suppressAutoHyphens w:val="true"/>
              <w:spacing w:before="0" w:after="0"/>
              <w:jc w:val="left"/>
              <w:rPr>
                <w:rFonts w:cs=""/>
                <w:kern w:val="0"/>
                <w:szCs w:val="22"/>
                <w:lang w:val="en-US" w:eastAsia="en-US" w:bidi="ar-SA"/>
              </w:rPr>
            </w:pPr>
            <w:r>
              <w:rPr>
                <w:rFonts w:cs="" w:ascii="Arial" w:hAnsi="Arial"/>
                <w:kern w:val="0"/>
                <w:sz w:val="17"/>
                <w:szCs w:val="22"/>
                <w:lang w:val="en-US" w:eastAsia="en-US" w:bidi="ar-SA"/>
              </w:rPr>
              <w:t>Duty-free where otherwise provided</w:t>
            </w:r>
          </w:p>
        </w:tc>
        <w:tc>
          <w:tcPr>
            <w:tcW w:w="1872" w:type="dxa"/>
            <w:tcBorders/>
            <w:tcMar>
              <w:top w:w="70" w:type="dxa"/>
              <w:start w:w="110" w:type="dxa"/>
              <w:bottom w:w="70" w:type="dxa"/>
              <w:end w:w="110" w:type="dxa"/>
            </w:tcMar>
            <w:shd w:fill="F4F6F7"/>
          </w:tcPr>
          <w:p>
            <w:pPr>
              <w:pStyle w:val="Normal"/>
              <w:widowControl/>
              <w:suppressAutoHyphens w:val="true"/>
              <w:spacing w:before="0" w:after="0"/>
              <w:jc w:val="left"/>
              <w:rPr>
                <w:rFonts w:cs=""/>
                <w:kern w:val="0"/>
                <w:szCs w:val="22"/>
                <w:lang w:val="en-US" w:eastAsia="en-US" w:bidi="ar-SA"/>
              </w:rPr>
            </w:pPr>
            <w:r>
              <w:rPr>
                <w:rFonts w:cs="" w:ascii="Arial" w:hAnsi="Arial"/>
                <w:kern w:val="0"/>
                <w:sz w:val="17"/>
                <w:szCs w:val="22"/>
                <w:lang w:val="en-US" w:eastAsia="en-US" w:bidi="ar-SA"/>
              </w:rPr>
              <w:t>Safe harbor</w:t>
            </w:r>
          </w:p>
        </w:tc>
      </w:tr>
      <w:tr>
        <w:trPr/>
        <w:tc>
          <w:tcPr>
            <w:tcW w:w="1872" w:type="dxa"/>
            <w:tcBorders/>
            <w:tcMar>
              <w:top w:w="70" w:type="dxa"/>
              <w:start w:w="110" w:type="dxa"/>
              <w:bottom w:w="70" w:type="dxa"/>
              <w:end w:w="110" w:type="dxa"/>
            </w:tcMar>
          </w:tcPr>
          <w:p>
            <w:pPr>
              <w:pStyle w:val="Normal"/>
              <w:widowControl/>
              <w:suppressAutoHyphens w:val="true"/>
              <w:spacing w:before="0" w:after="0"/>
              <w:jc w:val="left"/>
              <w:rPr>
                <w:rFonts w:cs=""/>
                <w:kern w:val="0"/>
                <w:szCs w:val="22"/>
                <w:lang w:val="en-US" w:eastAsia="en-US" w:bidi="ar-SA"/>
              </w:rPr>
            </w:pPr>
            <w:r>
              <w:rPr>
                <w:rFonts w:cs="" w:ascii="Arial" w:hAnsi="Arial"/>
                <w:kern w:val="0"/>
                <w:sz w:val="17"/>
                <w:szCs w:val="22"/>
                <w:lang w:val="en-US" w:eastAsia="en-US" w:bidi="ar-SA"/>
              </w:rPr>
              <w:t>Automotive alternative settlement</w:t>
            </w:r>
          </w:p>
        </w:tc>
        <w:tc>
          <w:tcPr>
            <w:tcW w:w="1872" w:type="dxa"/>
            <w:tcBorders/>
            <w:tcMar>
              <w:top w:w="70" w:type="dxa"/>
              <w:start w:w="110" w:type="dxa"/>
              <w:bottom w:w="70" w:type="dxa"/>
              <w:end w:w="110" w:type="dxa"/>
            </w:tcMar>
          </w:tcPr>
          <w:p>
            <w:pPr>
              <w:pStyle w:val="Normal"/>
              <w:widowControl/>
              <w:suppressAutoHyphens w:val="true"/>
              <w:spacing w:before="0" w:after="0"/>
              <w:jc w:val="left"/>
              <w:rPr>
                <w:rFonts w:cs=""/>
                <w:kern w:val="0"/>
                <w:szCs w:val="22"/>
                <w:lang w:val="en-US" w:eastAsia="en-US" w:bidi="ar-SA"/>
              </w:rPr>
            </w:pPr>
            <w:r>
              <w:rPr>
                <w:rFonts w:cs="" w:ascii="Arial" w:hAnsi="Arial"/>
                <w:kern w:val="0"/>
                <w:sz w:val="17"/>
                <w:szCs w:val="22"/>
                <w:lang w:val="en-US" w:eastAsia="en-US" w:bidi="ar-SA"/>
              </w:rPr>
              <w:t>Approved model/model-year calculation where possible</w:t>
            </w:r>
          </w:p>
        </w:tc>
        <w:tc>
          <w:tcPr>
            <w:tcW w:w="1872" w:type="dxa"/>
            <w:tcBorders/>
            <w:tcMar>
              <w:top w:w="70" w:type="dxa"/>
              <w:start w:w="110" w:type="dxa"/>
              <w:bottom w:w="70" w:type="dxa"/>
              <w:end w:w="110" w:type="dxa"/>
            </w:tcMar>
          </w:tcPr>
          <w:p>
            <w:pPr>
              <w:pStyle w:val="Normal"/>
              <w:widowControl/>
              <w:suppressAutoHyphens w:val="true"/>
              <w:spacing w:before="0" w:after="0"/>
              <w:jc w:val="left"/>
              <w:rPr>
                <w:rFonts w:cs=""/>
                <w:kern w:val="0"/>
                <w:szCs w:val="22"/>
                <w:lang w:val="en-US" w:eastAsia="en-US" w:bidi="ar-SA"/>
              </w:rPr>
            </w:pPr>
            <w:r>
              <w:rPr>
                <w:rFonts w:cs="" w:ascii="Arial" w:hAnsi="Arial"/>
                <w:kern w:val="0"/>
                <w:sz w:val="17"/>
                <w:szCs w:val="22"/>
                <w:lang w:val="en-US" w:eastAsia="en-US" w:bidi="ar-SA"/>
              </w:rPr>
              <w:t>Material change or anomaly</w:t>
            </w:r>
          </w:p>
        </w:tc>
        <w:tc>
          <w:tcPr>
            <w:tcW w:w="1872" w:type="dxa"/>
            <w:tcBorders/>
            <w:tcMar>
              <w:top w:w="70" w:type="dxa"/>
              <w:start w:w="110" w:type="dxa"/>
              <w:bottom w:w="70" w:type="dxa"/>
              <w:end w:w="110" w:type="dxa"/>
            </w:tcMar>
          </w:tcPr>
          <w:p>
            <w:pPr>
              <w:pStyle w:val="Normal"/>
              <w:widowControl/>
              <w:suppressAutoHyphens w:val="true"/>
              <w:spacing w:before="0" w:after="0"/>
              <w:jc w:val="left"/>
              <w:rPr>
                <w:rFonts w:cs=""/>
                <w:kern w:val="0"/>
                <w:szCs w:val="22"/>
                <w:lang w:val="en-US" w:eastAsia="en-US" w:bidi="ar-SA"/>
              </w:rPr>
            </w:pPr>
            <w:r>
              <w:rPr>
                <w:rFonts w:cs="" w:ascii="Arial" w:hAnsi="Arial"/>
                <w:kern w:val="0"/>
                <w:sz w:val="17"/>
                <w:szCs w:val="22"/>
                <w:lang w:val="en-US" w:eastAsia="en-US" w:bidi="ar-SA"/>
              </w:rPr>
              <w:t>Apply approved coefficient subject to reconciliation</w:t>
            </w:r>
          </w:p>
        </w:tc>
        <w:tc>
          <w:tcPr>
            <w:tcW w:w="1872" w:type="dxa"/>
            <w:tcBorders/>
            <w:tcMar>
              <w:top w:w="70" w:type="dxa"/>
              <w:start w:w="110" w:type="dxa"/>
              <w:bottom w:w="70" w:type="dxa"/>
              <w:end w:w="110" w:type="dxa"/>
            </w:tcMar>
          </w:tcPr>
          <w:p>
            <w:pPr>
              <w:pStyle w:val="Normal"/>
              <w:widowControl/>
              <w:suppressAutoHyphens w:val="true"/>
              <w:spacing w:before="0" w:after="0"/>
              <w:jc w:val="left"/>
              <w:rPr>
                <w:rFonts w:cs=""/>
                <w:kern w:val="0"/>
                <w:szCs w:val="22"/>
                <w:lang w:val="en-US" w:eastAsia="en-US" w:bidi="ar-SA"/>
              </w:rPr>
            </w:pPr>
            <w:r>
              <w:rPr>
                <w:rFonts w:cs="" w:ascii="Arial" w:hAnsi="Arial"/>
                <w:kern w:val="0"/>
                <w:sz w:val="17"/>
                <w:szCs w:val="22"/>
                <w:lang w:val="en-US" w:eastAsia="en-US" w:bidi="ar-SA"/>
              </w:rPr>
              <w:t>13.8% settlement lane</w:t>
            </w:r>
          </w:p>
        </w:tc>
      </w:tr>
    </w:tbl>
    <w:p>
      <w:bookmarkStart w:id="1068" w:name="_NAESTMA_TOC_1068"/>
      <w:pPr>
        <w:pStyle w:val="Heading2"/>
        <w:keepNext/>
        <w:widowControl/>
        <w:rPr/>
      </w:pPr>
      <w:r>
        <w:rPr/>
        <w:t>Implementation Direction</w:t>
      </w:r>
      <w:bookmarkEnd w:id="1068"/>
    </w:p>
    <w:p>
      <w:pPr>
        <w:pStyle w:val="TOCExcludedHeading2"/>
        <w:keepNext w:val="true"/>
        <w:widowControl/>
        <w:rPr/>
      </w:pPr>
      <w:r>
        <w:rPr/>
        <w:t>Within 180 days of entry into force of this Package, the customs administrations, the Committee on Origin Procedures and its Sub-Committee on Origin Verification, and the Committee on Trade Facilitation, acting within their existing mandates, shall harmonize templates, electronic submission specifications, service standards, model-year automotive procedures, and the consolidated Verification Manual. The Committee on Origin Procedures shall coordinate resolution of conflicting origin-verification templates or specifications, consulting the Committee on Trade Facilitation where the conflict concerns electronic transmission or single-window interoperability. They shall prioritize reuse of existing systems and budgets and shall identify any proposal that would require a new permanent institution for Commission review under Article 30.C.1.</w:t>
      </w:r>
    </w:p>
    <w:p>
      <w:pPr>
        <w:pStyle w:val="TOCExcludedHeading2"/>
        <w:keepNext w:val="true"/>
        <w:widowControl/>
        <w:rPr/>
      </w:pPr>
      <w:r>
        <w:rPr/>
        <w:t>Nothing in this Package authorizes deletion of existing substantive protections merely for administrative convenience. Simplification shall reduce unnecessary duplication, delay, and documentation while preserving verification depth where risk warrants it.</w:t>
      </w:r>
      <w:r>
        <w:br w:type="page"/>
      </w:r>
    </w:p>
    <w:p>
      <w:bookmarkStart w:id="1069" w:name="_NAESTMA_TOC_1069"/>
      <w:pPr>
        <w:pStyle w:val="Heading1"/>
        <w:keepNext/>
        <w:keepLines w:val="0"/>
        <w:pageBreakBefore/>
        <w:widowControl/>
        <w:rPr/>
      </w:pPr>
      <w:bookmarkStart w:id="36" w:name="_Toc237912512"/>
      <w:r>
        <w:rPr/>
        <w:t>CHAPTER 6 TEXTILE AND APPAREL GOODS</w:t>
      </w:r>
      <w:bookmarkEnd w:id="36"/>
      <w:bookmarkEnd w:id="1069"/>
    </w:p>
    <w:p>
      <w:pPr>
        <w:pStyle w:val="Normal"/>
        <w:widowControl/>
        <w:rPr/>
      </w:pPr>
      <w:r>
        <w:rPr/>
        <w:t>Article 6.1: Rules of Origin and Related Matters Application of Chapters 4 (Rules of Origin) and 5 (Origin Procedures) 1. Except as provided in this Chapter, Chapters 4 (Rules of Origin) and 5 (Origin Procedures) apply to textile and apparel goods. De Minimis 2. A textile or apparel good classified in Chapters 50 through 60 or heading 96.19 of the Harmonized System that contains non-originating materials that do not satisfy the applicable change in tariff classification requirement specified in Annex 4-B (Product-Specific Rules of Origin), shall nonetheless be considered to be an originating good if the total weight of all those materials is not more than 10 percent of the total weight of the good, of which the total weight of elastomeric content may not exceed 7 percent of the total weight of the good, and the good meets all the other applicable requirements of this Chapter and Chapter 4 (Rules of Origin). 3.</w:t>
      </w:r>
    </w:p>
    <w:p>
      <w:pPr>
        <w:pStyle w:val="Normal"/>
        <w:widowControl/>
        <w:rPr/>
      </w:pPr>
      <w:r>
        <w:rPr/>
        <w:t>A textile or apparel good classified in Chapters 61 through 63 of the Harmonized System that contains non-originating fibers or yarns in the component of the good that determines the tariff classification of the good that do not satisfy the applicable change in tariff classification set out in Annex 4-B (Product-Specific Rules of Origin), shall nonetheless be considered to be an originating good if the total weight of all those fibers or yarns is not more than 10 percent of the total weight of that component, of which the total weight of elastomeric content may not exceed 7 percent of the total weight of the good, and the good meets all the other applicable requirements of this Chapter and Chapter 4 (Rules of Origin). Treatment of Sets 4.</w:t>
      </w:r>
    </w:p>
    <w:p>
      <w:pPr>
        <w:pStyle w:val="Normal"/>
        <w:widowControl/>
        <w:rPr/>
      </w:pPr>
      <w:r>
        <w:rPr/>
        <w:t>Notwithstanding the product-specific rules of origin set out in Annex 4-B (Product- Specific Rules of Origin), textile and apparel goods put up in sets for retail sale, classified as a result of the application of Rule 3 of the General Rules for the Interpretation of the Harmonized System, shall not be originating goods unless each of the goods in the set is an originating good or the total value of the non-originating goods in the set does not exceed 10 percent of the value of the set. 5.</w:t>
      </w:r>
    </w:p>
    <w:p>
      <w:pPr>
        <w:pStyle w:val="Normal"/>
        <w:widowControl/>
        <w:rPr/>
      </w:pPr>
      <w:r>
        <w:rPr/>
        <w:t>For the purposes of paragraph 4: (a) the value of non-originating goods in the set shall be calculated in the same manner as the value of non-originating materials in Chapter 4 (Rules of Origin); and (b) the value of the set shall be calculated in the same manner as the value of the good in Chapter 4 (Rules of Origin).</w:t>
      </w:r>
    </w:p>
    <w:p>
      <w:pPr>
        <w:pStyle w:val="Normal"/>
        <w:keepNext w:val="true"/>
        <w:widowControl/>
        <w:rPr/>
      </w:pPr>
      <w:r>
        <w:rPr/>
        <w:t>Article 6.2: Handmade, Traditional Folkloric, or Indigenous Handicraft Goods 1. An importing Party and an exporting Party may identify particular textile or apparel goods that they mutually agree are: (a) hand-loomed fabrics of a cottage industry; (b) hand-made cottage industry goods made of those hand-loomed fabrics; (c) traditional folklore handicraft goods; or (d) indigenous handicraft goods. 2. The goods identified pursuant to paragraph 1 shall be eligible for duty-free treatment by the importing Party provided that any requirements agreed by the importing and exporting Parties are met.</w:t>
      </w:r>
    </w:p>
    <w:p>
      <w:bookmarkStart w:id="1070" w:name="_NAESTMA_TOC_1070"/>
      <w:pPr>
        <w:pStyle w:val="Heading2"/>
        <w:keepNext/>
        <w:widowControl/>
        <w:rPr/>
      </w:pPr>
      <w:r>
        <w:rPr/>
        <w:t>Article 6.3: Special Provisions</w:t>
      </w:r>
      <w:bookmarkEnd w:id="1070"/>
    </w:p>
    <w:p>
      <w:pPr>
        <w:pStyle w:val="Normal"/>
        <w:widowControl/>
        <w:spacing w:before="0" w:after="0"/>
        <w:rPr/>
      </w:pPr>
      <w:r>
        <w:rPr/>
        <w:t>Annex 6-A (Special Provisions) sets out special provisions applicable to certain textile and apparel goods.</w:t>
      </w:r>
    </w:p>
    <w:p>
      <w:pPr>
        <w:pStyle w:val="Normal"/>
        <w:keepNext w:val="true"/>
        <w:widowControl/>
        <w:rPr/>
      </w:pPr>
      <w:r>
        <w:rPr/>
        <w:t>Article 6.4: Review and Revision of Rules of Origin 1. On request of a Party, the Parties shall consult to consider whether particular goods should be subject to different rules of origin to address issues of availability of supply of fibers, yarns, or fabrics in the territories of the Parties. 2. In the consultations, each Party shall consider the data presented by a Party showing substantial production in its territory of the particular good. The consulting Parties shall consider that substantial production has been shown if that Party demonstrates that its domestic producers are capable of supplying commercial quantities of the good in a timely manner. With a view to concluding consultations without delay, the Parties shall endeavor to make an initial assessment of the evidence available regarding whether the fiber, yarn, or fabric is commercially available in the territories of the Parties promptly and to the extent possible within 90 days. 3.</w:t>
      </w:r>
    </w:p>
    <w:p>
      <w:pPr>
        <w:pStyle w:val="Normal"/>
        <w:widowControl/>
        <w:rPr/>
      </w:pPr>
      <w:r>
        <w:rPr/>
        <w:t>If, based on the initial assessment, the Parties agree that the fiber, yarn, or fabric is not commercially available, the Parties shall endeavor to reach agreement promptly on a corresponding proposed product-specific rule change and, as appropriate, proceed with their respective domestic procedures for implementation. The Parties shall endeavor to conclude consultations within 60 days after the initial assessment.</w:t>
      </w:r>
    </w:p>
    <w:p>
      <w:pPr>
        <w:pStyle w:val="Normal"/>
        <w:widowControl/>
        <w:rPr/>
      </w:pPr>
      <w:r>
        <w:rPr/>
        <w:t>An agreement between the Parties shall supersede any prior rule of origin for such good when approved by each Party in accordance with any necessary legal procedures of each Party.</w:t>
      </w:r>
    </w:p>
    <w:p>
      <w:pPr>
        <w:pStyle w:val="Normal"/>
        <w:keepNext w:val="true"/>
        <w:widowControl/>
        <w:rPr/>
      </w:pPr>
      <w:r>
        <w:rPr/>
        <w:t>Article 6.5: Cooperation 1. The Parties shall cooperate, through information sharing and other activities as provided for in Article 7.25 (Regional and Bilateral Cooperation on Enforcement), Article 7.26 (Exchange of Specific Confidential Information), Article 7.27 (Customs Compliance Verification Requests), and Article 7.28 (Confidentiality between Parties), on matters related to trade in textile and apparel goods. 2. The Parties recognize that documents such as bills of lading, invoices, contracts of sale, purchase orders, packing lists, and other commercial documents are particularly important to detect, prevent, or address customs offenses related to trade in textile and apparel goods. 3. Each Party shall designate a contact point for information exchange and other cooperation activities related to trade in textile and apparel goods in accordance with Article 30.5 (Agreement Coordinator and Contact Points).</w:t>
      </w:r>
    </w:p>
    <w:p>
      <w:pPr>
        <w:pStyle w:val="Normal"/>
        <w:keepNext w:val="true"/>
        <w:widowControl/>
        <w:rPr/>
      </w:pPr>
      <w:r>
        <w:rPr/>
        <w:t>Article 6.6: Verification 1. An importing Party may, through its customs administration, conduct a verification with respect to a textile or apparel good pursuant to Article 5.9 (Origin Verification), and the associated procedures, to verify whether a good qualifies for preferential tariff treatment, or through a request for a site visit as described in this Article.1 2. An importing Party may request a site visit under this Article from an exporter or producer of textile or apparel goods to verify whether: (a) a textile or apparel good qualifies for preferential tariff treatment under this Agreement; or (b) customs offenses with regard to a textile or apparel good are occurring or have occurred. 3. During a site visit under paragraph 2, an importing Party may request access to: (a) records and facilities relevant to the claim for preferential tariff treatment; or (b) records and facilities relevant to the customs offenses being verified. 4.</w:t>
      </w:r>
    </w:p>
    <w:p>
      <w:pPr>
        <w:pStyle w:val="Normal"/>
        <w:widowControl/>
        <w:rPr/>
      </w:pPr>
      <w:r>
        <w:rPr/>
        <w:t>If an importing Party seeks to conduct a site visit under paragraph 2, it shall provide the host Party, not later than 20 days prior to the date of the first visit to an exporter or producer, with: (a) the proposed dates; (b) the number and general location of exporters and producers to be visited in appropriate detail to allow the efficient and effective application of the provisions of paragraphs 7(a) and 7(b), but does not need to specify the names of the exporters or producers to be visited; (c) whether assistance by the host Party will be requested and what type; (d) the suspected customs offenses to be verified under paragraph 2(b), including relevant factual information available at the time of the notification related to the specific offenses, which may include historical information; and (e) whether the importer claimed preferential tariff treatment. 5.</w:t>
      </w:r>
    </w:p>
    <w:p>
      <w:pPr>
        <w:pStyle w:val="Normal"/>
        <w:widowControl/>
        <w:rPr/>
      </w:pPr>
      <w:r>
        <w:rPr/>
        <w:t>If an importing Party seeks to conduct a site visit under paragraph 2, and does not provide the names of the exporters or producers 20 days prior to the site visit, it shall provide the host For the purposes of this Article, the information collected in accordance with this Article shall be used for the purpose of ensuring the effective implementation of this Chapter. A Party shall not use these procedures to collect information for other purposes.</w:t>
      </w:r>
    </w:p>
    <w:p>
      <w:pPr>
        <w:pStyle w:val="Normal"/>
        <w:widowControl/>
        <w:rPr/>
      </w:pPr>
      <w:r>
        <w:rPr/>
        <w:t>Party with a list of the names and addresses of the exporters or producers it proposes to visit, in a timely manner and prior to the date of the first visit to an exporter or producer under paragraph 2, to facilitate coordination, logistical support, and scheduling of the site visit. 6. The host Party shall promptly acknowledge receipt of the notification of a proposed site visit under paragraph 2, and may request information from the importing Party to facilitate planning of the site visit, such as logistical arrangements or provision of requested assistance. 7. If an importing Party seeks to conduct a site visit under paragraph 2: (a) officials of the customs administration of the host Party may accompany the officials of the importing Party during the site visit;</w:t>
      </w:r>
    </w:p>
    <w:p>
      <w:pPr>
        <w:pStyle w:val="Normal"/>
        <w:widowControl/>
        <w:rPr/>
      </w:pPr>
      <w:r>
        <w:rPr/>
        <w:t>(b) officials of the customs administration of the host Party may, in accordance with its laws and regulations, on request of the importing Party or on its own initiative, assist the officials of the importing Party during the site visit and provide, to the extent practicable, information relevant to conduct the site visit; (c) the importing and the host Party shall limit communication regarding the site visit to relevant government officials and shall not inform any person outside the government of the host Party in advance of a site visit or provide any other verification or other information not publicly available the disclosure of which could undermine the effectiveness of the action; (d) the importing Party</w:t>
      </w:r>
    </w:p>
    <w:p>
      <w:pPr>
        <w:pStyle w:val="Normal"/>
        <w:widowControl/>
        <w:rPr/>
      </w:pPr>
      <w:r>
        <w:rPr/>
        <w:t>shall request permission from the exporter, producer, or a person having capacity to consent on behalf of the exporter or producer, either prior to the site visit if this would not undermine the effectiveness of the site visit or at the time of the site visit, to access the relevant records or facilities; and (e) if the exporter, producer, or person having the capacity to consent on behalf of the exporter or producer denies permission or access to the records or facilities, the site visit will not occur. If the exporter, producer, or a person having the capacity to consent on behalf of the exporter or producer is not able to receive the importing Party to carry out the site visit, the site visit shall be conducted on the following working day unless: (i) the importing Party agrees otherwise, or (ii) the exporter, producer, or person having the capacity to consent on behalf of the exporter or producer, substantiates a valid reason acceptable to the importing Party that the site visit cannot occur at that time.</w:t>
      </w:r>
    </w:p>
    <w:p>
      <w:pPr>
        <w:pStyle w:val="Normal"/>
        <w:widowControl/>
        <w:rPr/>
      </w:pPr>
      <w:r>
        <w:rPr/>
        <w:t>If the exporter, producer, or person having the capacity to consent on behalf of the exporter or producer, does not have a valid reason acceptable to the importing Party that the site visit cannot take place on the following working day, the importing Party may deem permission for the site visit or access to the records or facilities to be denied.</w:t>
      </w:r>
    </w:p>
    <w:p>
      <w:pPr>
        <w:pStyle w:val="Normal"/>
        <w:widowControl/>
        <w:rPr/>
      </w:pPr>
      <w:r>
        <w:rPr/>
        <w:t>The importing Party shall give consideration to any reasonable alternative proposed dates, taking into account the availability of relevant employees or facilities of the person visited. 8. On completion of a site visit under paragraph 2, the importing Party shall: (a) on request of the host Party, inform the host Party of its preliminary findings; (b) on receiving a written request from the host Party, provide the host Party with a written report of the results of the site visit, including any findings, no later than 90 days after the date of the request; and (c) on receiving a written request of the exporter or producer, provide that person with a written report of the results of the site visit as it pertains to that exporter or producer, including any findings. This may be a report prepared under subparagraph (b), with appropriate changes. The importing Party shall inform the exporter or producer of the entitlement to request this report. 9.</w:t>
      </w:r>
    </w:p>
    <w:p>
      <w:pPr>
        <w:pStyle w:val="Normal"/>
        <w:widowControl/>
        <w:rPr/>
      </w:pPr>
      <w:r>
        <w:rPr/>
        <w:t>If an importing Party conducts a site visit under this Article and, as a result, intends to deny preferential tariff treatment to a textile or apparel good, it shall, prior to issuing a written determination, inform the importer and any exporter or producer that provided information directly to the importing Party, of the preliminary results of the verification and provide those persons with a notice of intent to deny that includes when the denial would be effective and a period of at least 30 days to submit additional information, including documents, to support the claim for preferential tariff treatment. 10. The importing Party shall not reject a claim for preferential tariff treatment on the sole grounds that the host Party does not provide requested assistance or information under this Article. 11.</w:t>
      </w:r>
    </w:p>
    <w:p>
      <w:pPr>
        <w:pStyle w:val="Normal"/>
        <w:widowControl/>
        <w:rPr/>
      </w:pPr>
      <w:r>
        <w:rPr/>
        <w:t>If verifications of identical textile or apparel goods by a Party indicate a pattern of conduct by an exporter or producer of false or unsupported representations that a textile or apparel good imported into its territory qualifies for preferential tariff treatment, the importing Party may withhold preferential tariff treatment to identical textile or apparel goods imported, exported, or produced by that person until it is demonstrated to the importing Party that those identical textile or apparel goods qualify for preferential tariff treatment.</w:t>
      </w:r>
    </w:p>
    <w:p>
      <w:pPr>
        <w:pStyle w:val="Normal"/>
        <w:widowControl/>
        <w:rPr/>
      </w:pPr>
      <w:r>
        <w:rPr/>
        <w:t>For the purposes of this paragraph, “identical textile or apparel goods” means textile or apparel goods that are the same in all respects, including physical characteristics, quality and reputation, irrespective of minor differences in appearance that are not relevant to a determination of origin of those goods.</w:t>
      </w:r>
    </w:p>
    <w:p>
      <w:pPr>
        <w:pStyle w:val="Normal"/>
        <w:keepNext w:val="true"/>
        <w:widowControl/>
        <w:rPr/>
      </w:pPr>
      <w:r>
        <w:rPr/>
        <w:t>Article 6.7: Determinations The importing Party may deny a claim for preferential tariff treatment for a textile or apparel good: (a) for a reason listed in Article 5.10 (Determinations of Origin); (b) if, pursuant to a site visit under Article 6.6.2 (Verification), it has not received sufficient information to determine that the textile or apparel good qualifies for preferential tariff treatment; or (c) if, pursuant to a request for a site visit under Article 6.6.2 (Verification), a the importing Party is unable to conduct a site visit as access or permission for the site visit is denied, the importing Party is prevented from completing the site visit, or the exporter, producer, or person having the capacity to consent on behalf of the exporter or producer does not provide access to the relevant records or facilities during a site visit.</w:t>
      </w:r>
    </w:p>
    <w:p>
      <w:pPr>
        <w:pStyle w:val="Normal"/>
        <w:keepNext w:val="true"/>
        <w:widowControl/>
        <w:rPr/>
      </w:pPr>
      <w:r>
        <w:rPr/>
        <w:t>Article 6.8: Committee on Textile and Apparel Trade Matters 1. The Parties hereby establish a Committee on Textile and Apparel Trade Matters, (Textiles Committee), composed of government representatives of each Party. 2. The Textiles Committee shall meet at least once within one year of the date of entry into force of this Agreement, and thereafter at such times as the Parties decide and on request of the Commission. The Committee shall meet at such venues and times as the Parties decide. 3. The Textiles Committee may consider any matter arising under this Chapter, and its functions shall include review of the implementation of this Chapter, consultation on technical or interpretive difficulties that may arise under this Chapter, and discussion of ways to improve the effectiveness of cooperation under this Chapter. 4.</w:t>
      </w:r>
    </w:p>
    <w:p>
      <w:pPr>
        <w:pStyle w:val="Normal"/>
        <w:widowControl/>
        <w:rPr/>
      </w:pPr>
      <w:r>
        <w:rPr/>
        <w:t>The Textiles Committee shall assess the potential benefits and risks that may result from the elimination of existing restrictions on trade between the Parties in worn clothing and other worn articles classified in heading 63.09 of the Harmonized System, including the effects on business and employment opportunities, and on the market for textile and apparel goods, in each Party. 5. Prior to the entry into force of an amended version of the Harmonized System, the Committee shall consult to prepare proposed updates to this Chapter that are necessary to reflect changes to the Harmonized System.</w:t>
      </w:r>
    </w:p>
    <w:p>
      <w:pPr>
        <w:pStyle w:val="Normal"/>
        <w:keepNext w:val="true"/>
        <w:widowControl/>
        <w:rPr/>
      </w:pPr>
      <w:r>
        <w:rPr/>
        <w:t>Article 6.9: Confidentiality The provisions set out in Article 5.12 (Confidentiality) apply to the information collected from a trader or provided by another Party under this Chapter.</w:t>
      </w:r>
    </w:p>
    <w:p>
      <w:pPr>
        <w:pStyle w:val="Normal"/>
        <w:widowControl/>
        <w:rPr/>
      </w:pPr>
      <w:r>
        <w:rPr/>
        <w:t>ANNEX 6-A SPECIAL PROVISIONS Section A: Definitions For the purposes of this Annex: average yarn number means the average yarn number of the yarns contained within the good. In computing the average yarn number, the length of the yarn is considered to be equal to the distance covered by it in the fabric, with all clipped yarn being measured as if continuous and with the count being taken of the total single yarns in the fabric including the single yarns in any multiple (folded) or cabled yarns. The weight shall be taken after any excessive sizing is removed by boiling or other suitable process. Any one of the following formulas may be used to determine the average yarn number: N = BYT / 1,000 N = 100T / Z’ N = BT / Z N = ST / 10 where:</w:t>
      </w:r>
    </w:p>
    <w:p>
      <w:pPr>
        <w:pStyle w:val="Normal"/>
        <w:widowControl/>
        <w:rPr/>
      </w:pPr>
      <w:r>
        <w:rPr/>
        <w:t>N is the average yarn number, B is the breadth (width) of the fabric in centimeters, Y is the meters (linear) of the fabric per kilogram, T is the total single yarns per square centimeter, S is the square meters of fabric per kilogram, Z is the grams per linear meter of fabric, and Z’ is the grams per square meter of fabric, and fractions in the resulting “average yarn number” shall be disregarded.</w:t>
      </w:r>
    </w:p>
    <w:p>
      <w:pPr>
        <w:pStyle w:val="Normal"/>
        <w:widowControl/>
        <w:rPr/>
      </w:pPr>
      <w:r>
        <w:rPr/>
        <w:t>category means the 3-digit textile and apparel categories and the corresponding Harmonized System numbers set out in the Correlation: Textile and Apparel Categories with the Harmonized Tariff Schedule of the United States, or successor publication, published by the United States Department of Commerce, International Trade Administration, Office of Textiles and Apparel; square meters equivalent (SME) means that unit of measurement that results from the application of the conversion factors set out in Annex 6-B (Conversion Factors) to a primary unit of measure such as unit, dozen, or kilogram; and 6-A-1 wool apparel means: (a) apparel predominantly of wool, by weight; (b) woven apparel predominantly of man-made fibers by weight, and containing 36 percent or more of wool, by weight; or (c) knitted or crocheted apparel predominantly of man-made fibers by weight, and containing 23 percent or more of wool by weight. Section B:</w:t>
      </w:r>
    </w:p>
    <w:p>
      <w:pPr>
        <w:pStyle w:val="Normal"/>
        <w:widowControl/>
        <w:rPr/>
      </w:pPr>
      <w:r>
        <w:rPr/>
        <w:t>Tariff Treatment of Certain Textile and Apparel Goods The United States shall not apply customs duties on textile and apparel goods that are assembled in Mexico from fabrics wholly formed and cut in the United States and exported from and reimported into the United States under:2 (a) U.S. tariff item 9802.00.90 or any successor provision to this U.S. tariff item; or (b) Chapter 61, 62, or 63 of the Harmonized System if, after such assembly, those goods that would have qualified for treatment under 9802.00.90, or any successor provision to this U.S.</w:t>
      </w:r>
    </w:p>
    <w:p>
      <w:pPr>
        <w:pStyle w:val="Normal"/>
        <w:widowControl/>
        <w:rPr/>
      </w:pPr>
      <w:r>
        <w:rPr/>
        <w:t>tariff item, notwithstanding whether the goods have been subject to bleaching, garment dyeing, stone-washing, acid-washing, or perma pressing. Section C: Preferential Tariff Treatment for Non-Originating Goods of another Party Apparel Goods 1. Each Party shall apply the preferential tariff treatment applicable to originating goods, set out in its Schedule to Annex 2-B (Tariff Commitments), up to the annual quantities, in SME, specified in Appendix 1 (Preferential Tariff Treatment for Non-Originating Apparel), to apparel goods of Chapters 61 and 62 of the Harmonized System that are both cut (or knit to shape) and sewn or otherwise assembled in the territory of a Party from fabric or yarn produced or obtained outside the territories of the Parties, and that meet other applicable conditions for preferential tariff treatment under this Agreement. The SME shall be determined in accordance with the conversion factors set out in Annex 6-B (Conversion Factors). Exceptions 2 For purposes of this Section, visible lining fabric may be of any origin. 6-A-2 2.</w:t>
      </w:r>
    </w:p>
    <w:p>
      <w:pPr>
        <w:pStyle w:val="Normal"/>
        <w:widowControl/>
        <w:rPr/>
      </w:pPr>
      <w:r>
        <w:rPr/>
        <w:t>For the purposes of trade between Mexico and the United States: (a) apparel goods of Chapters 61 and 62 of the Harmonized System, in which the fabric that determines the tariff classification of the good is classified in one of the following tariff provisions, are ineligible for preferential tariff treatment provided for under the levels established in Appendix 1 (Preferential Tariff Treatment for Non-Originating Apparel): (i) blue denim: subheading 5209.42 or 5211.42; U.S. tariff items 5212.24.60.20, 5514.30.32.10, or 5514.30.39.10; Mexican tariff item 5212.24.01, or 5514.30.02; or any successor provision to these tariff items, and (ii) fabric woven as plain weave where two or more warp ends are woven as one (oxford cloth) of average yarn number less than 135 metric number: subheading 5208.19, 5208.29, 5208.39, 5208.49, 5208.59, 5210.19, 5210.29, 5210.39, 5210.49, 5210.59, 5512.11, 5512.19, 5513.13, 5513.23, 5513.39, or 5513.49, or any successor provision to these tariff items; (b) apparel goods of U.S.</w:t>
      </w:r>
    </w:p>
    <w:p>
      <w:pPr>
        <w:pStyle w:val="Normal"/>
        <w:widowControl/>
        <w:rPr/>
      </w:pPr>
      <w:r>
        <w:rPr/>
        <w:t>tariff items 6107.11.00, 6107.12.00, 6109.10.00 or 6109.90.10; Mexican tariff items 6107.11.02, 6107.11.99, 6107.12.02, 6107.12.99, 6109.10.02, 6109.10.99, 6109.90.03, or 6109.90.91; or any successor provision to these tariff items, are ineligible for preferential tariff treatment provided for under the levels established in Appendix 1 if they are composed chiefly of circular knit fabric of yarn number equal to or less than 100 metric number; (c) apparel goods of subheading 6108.21 or 6108.22 are ineligible for preferential tariff treatment provided for under the levels established in 2(a), 2(b), 3(a) and 3(b) in Appendix 1 (Preferential Tariff Treatment for Non-Originating Apparel) if they are composed chiefly of circular knit fabric of yarn number equal to or less than 100 metric number; and (d) apparel goods of U.S. tariff items 6110.30.10.10, 6110.30.10.20, 6110.30.15.10, 6110.30.15.20, 6110.30.20.10, 6110.30.20.20, 6110.30.30.10, 6110.30.30.15, 6110.30.30.20, or 6110.30.30.25; apparel goods of those tariff items are classified as parts of ensembles in U.S.</w:t>
      </w:r>
    </w:p>
    <w:p>
      <w:pPr>
        <w:pStyle w:val="Normal"/>
        <w:widowControl/>
        <w:rPr/>
      </w:pPr>
      <w:r>
        <w:rPr/>
        <w:t>tariff items 6103.23.00.30, 6103.23.00.70, 6104.23.00.22, or 6104.23.00.40; apparel goods of Mexican tariff item 6110.30.01; or apparel goods of that tariff item that are classified as parts of ensembles in subheading 6103.23 or 6104.23, or any successor provision to these tariff items, are ineligible for preferential tariff treatment provided for under the levels established in Appendix 1 (Preferential Tariff Treatment for Non- Originating Apparel). 6-A-3 Fabric and Made-Up Goods 3.</w:t>
      </w:r>
    </w:p>
    <w:p>
      <w:pPr>
        <w:pStyle w:val="Normal"/>
        <w:widowControl/>
        <w:rPr/>
      </w:pPr>
      <w:r>
        <w:rPr/>
        <w:t>Each Party shall apply the preferential tariff treatment applicable to originating goods set out in its Schedule to Annex 2-B (Tariff Commitments), up to the annual quantities, in SME, specified in Appendix 2 (Preferential Tariff Treatment for Non-Originating Cotton or Man-Made Fiber Fabrics and Made up Goods), to cotton or man-made fiber fabric and cotton or man-made fiber made-up textile goods of Chapters 52 through 55, 58, 60, and 63 of the Harmonized System that are woven or knit in the territory of a Party from yarn produced or obtained outside the territories of the Parties or yarn produced in the territories of the Parties from fiber produced or obtained outside the territories of the Parties, or knit in the territory in a Party from yarn spun in the territory of a Party from fiber produced or obtained outside the territories of the Parties, and to goods of subheading 9404.90 that are finished and cut and sewn or otherwise assembled from fabrics of subheadings 5208.11 through 5208.29,</w:t>
      </w:r>
    </w:p>
    <w:p>
      <w:pPr>
        <w:pStyle w:val="Normal"/>
        <w:widowControl/>
        <w:rPr/>
      </w:pPr>
      <w:r>
        <w:rPr/>
        <w:t>5209.11 through 5209.29, 5210.11 through 5210.29, 5211.11 through 5211.20, 5212.11, 5212.12, 5212.21, 5212.22, 5407.41, 5407.51, 5407.71, 5407.81, 5407.91, 5408.21, 5408.31, 5512.11, 5512.21, 5512.91, 5513.11 through 5513.19, 5514.11 through 5514.19, 5516.11, 5516.21, 5516.31, 5516.41, or 5516.91 produced or obtained outside the territories of the Parties, and that meet other applicable conditions for preferential tariff treatment under this Agreement. 4. For the purposes of paragraph 3, the number of SME that will be counted against the Tariff Preference Levels (TPLs) applied for the purposes of trade between Canada and the United States shall be:</w:t>
      </w:r>
    </w:p>
    <w:p>
      <w:pPr>
        <w:pStyle w:val="Normal"/>
        <w:widowControl/>
        <w:rPr/>
      </w:pPr>
      <w:r>
        <w:rPr/>
        <w:t>(a) for textile goods that are not originating because certain non-originating textile materials do not undergo the applicable change in tariff classification set out in Annex 4-B (Product-Specific Rules of Origin) for that good, but where such materials are 50 percent or less by weight of the materials of that good, only 50 percent of the SME for that good; and (b) for textile goods that are not originating because certain non-originating textile materials do not undergo the applicable change in tariff classification set out in Annex 4-B (Product-Specific Rules of Origin) for that good, but where such materials are more than 50 percent by weight of the materials of that good, 100 percent of the SME for that good. Spun Yarn 5.</w:t>
      </w:r>
    </w:p>
    <w:p>
      <w:pPr>
        <w:pStyle w:val="Normal"/>
        <w:widowControl/>
        <w:rPr/>
      </w:pPr>
      <w:r>
        <w:rPr/>
        <w:t>Each Party shall apply the preferential tariff treatment applicable to originating goods set out in its Schedule to Annex 2-B (Tariff Commitments), up to the annual quantities, in kilograms (kg), specified in Appendix 3 (Preferential Tariff Treatment for Non-Originating Cotton or Man- Made Fiber Spun Yarn), to cotton or man-made fiber yarns of heading 52.05 through 52.07 or 55.09 through 55.11 that are spun in the territory of a Party from fiber of heading 52.01 through 52.03 or 55.01 through 55.07, produced or obtained outside the territories of the Parties and that meet other applicable conditions for preferential tariff treatment under this Agreement. 6-A-4 6. For the purposes of trade between the United States and Canada, those Parties shall also apply the preferential tariff treatment provided for in paragraph 1 to goods of heading 56.05 that are formed the territory of in a Party from fibers obtained outside the territories of the Parties and that meet other applicable conditions for preferential tariff treatment under this Agreement. Goods Entering under TPL Provisions 7.</w:t>
      </w:r>
    </w:p>
    <w:p>
      <w:pPr>
        <w:pStyle w:val="Normal"/>
        <w:widowControl/>
        <w:rPr/>
      </w:pPr>
      <w:r>
        <w:rPr/>
        <w:t>Each Party shall provide preferential tariff treatment for goods imported into its territory under a TPL set out in Annex 6-A, and no Party shall apply a customs user fee for those goods.3 Except as provided in paragraphs 8 through 16, the provisions of this Agreement regarding claims for preferential tariff treatment, including verification pursuant to Article 6.6 (Verification), verification pursuant to Article 5.9 (Origin Verification), or cooperation or enforcement activities pursuant to Section B of Chapter 7 (Customs and Trade Facilitation), and related provisions, that apply to other textiles and apparel goods also apply to these goods, notwithstanding that goods subject to a TPL are not originating goods and therefore the obligation for a certification of origin under Article 5.2 (Claims for Preferential Tariff Treatment) does not apply. 8. Trade in the goods referred to in this Annex shall be monitored by the Parties.</w:t>
      </w:r>
    </w:p>
    <w:p>
      <w:pPr>
        <w:pStyle w:val="Normal"/>
        <w:widowControl/>
        <w:rPr/>
      </w:pPr>
      <w:r>
        <w:rPr/>
        <w:t>The Parties shall consult as needed to ensure that the TPLs are administered effectively and shall cooperate in the administration of this Annex, including by responding promptly to time- sensitive requests related to issues regarding TPL utilization. 9. The importing Party shall manage each TPL on a first-come, first-served basis and shall calculate the quantity of goods that enter under a TPL on the basis of its imports. 10.</w:t>
      </w:r>
    </w:p>
    <w:p>
      <w:pPr>
        <w:pStyle w:val="Normal"/>
        <w:widowControl/>
        <w:rPr/>
      </w:pPr>
      <w:r>
        <w:rPr/>
        <w:t>Each Party shall publish online: (a) the amount of each annual TPL and the quantities allocated against each TPL, updated at least monthly; (b) the utilization of each annual TPL, based on its imports, updated at least monthly; (c) information on allocation and utilization of each TPL from entry into force of this Agreement; and 3 The merchandise processing fee (MPF) shall be the only customs user fee of the United States to which this paragraph applies. The derecho de trámite aduanero shall be the only customs user fee of Mexico to which this paragraph applies. 6-A-5 (d) its procedures for allocation of a TPL, along with summary documents explaining the procedures. Further, any changes to these procedures should be subject to a public notice and comment process. 11.</w:t>
      </w:r>
    </w:p>
    <w:p>
      <w:pPr>
        <w:pStyle w:val="Normal"/>
        <w:widowControl/>
        <w:rPr/>
      </w:pPr>
      <w:r>
        <w:rPr/>
        <w:t>An importing Party may require a document issued by a Party’s competent authority, such as a certificate of eligibility, with information demonstrating that a good qualifies for duty- free treatment under a TPL, to track allocation and use of a TPL or as a condition to grant duty- free treatment to a good under a TPL. 12. Each Party shall allow an importer to claim duty-free treatment for a good under a TPL for at least one year after a good is imported. 13. Each Party shall notify the other Parties if it requires a certificate of eligibility or other documentation under paragraph 5, and the minimum data elements required. 14.</w:t>
      </w:r>
    </w:p>
    <w:p>
      <w:pPr>
        <w:pStyle w:val="Normal"/>
        <w:widowControl/>
        <w:rPr/>
      </w:pPr>
      <w:r>
        <w:rPr/>
        <w:t>The Parties shall establish a secure system at the entry into force of this Agreement for electronic transmission of Certificates of Eligibility or other documentation related to TPL utilization, as well as for sharing information in real time related to allocation and utilization of TPLs. 15. At the request of one of the Parties, the competent authority of another Party shall exchange additional statistical information about the issuance of Certificates of Eligibility, TPL utilization, and any other related matter. 16. On request of a Party wishing to adjust an annual TPL based on the ability to obtain supplies of particular fibers, yarns, and fabrics, as appropriate, that can be used to produce originating goods, the Parties shall consult on the possibility of adjusting such level. Any adjustment in the TPL requires the mutual consent of the Parties concerned and is subject to domestic approval procedures. 6-A-6 APPENDIX 1 PREFERENTIAL TARIFF TREATMENT FOR NON-ORIGINATING APPAREL 1. Imports into Canada:</w:t>
      </w:r>
    </w:p>
    <w:p>
      <w:pPr>
        <w:pStyle w:val="Normal"/>
        <w:widowControl/>
        <w:rPr/>
      </w:pPr>
      <w:r>
        <w:rPr/>
        <w:t>(a) Cotton or Man-made fiber apparel (b) Wool apparel from Mexico 6,000,000 SME 250,000 SME from United States 20,000,000 SME 700,000 SME 2. Imports into Mexico: (a) Cotton or Man-made fiber apparel (b) Wool apparel from Canada 6,000,000 SME 250,000 SME from United States 12,000,000 SME 1,000,000 SME 3.</w:t>
      </w:r>
    </w:p>
    <w:p>
      <w:pPr>
        <w:pStyle w:val="Normal"/>
        <w:widowControl/>
        <w:rPr/>
      </w:pPr>
      <w:r>
        <w:rPr/>
        <w:t>Imports into United States: (a) Cotton or Man-made fiber apparel (b) Wool apparel from Canada 40,000,000 SME 4,000,000 SME4 from Mexico 45,000,000 SME 1,500,000 SME 4 Of the 4,000,000 SME annual quantity of wool apparel imports from Canada into the United States, no more than 3,800,000 SME shall be men’s or boys’ wool suits of U.S. category 443. 6-A-1-1 APPENDIX 2 PREFERENTIAL TARIFF TREATMENT FOR NON-ORIGINATING COTTON OR MAN-MADE FIBER FABRICS AND MADE-UP GOODS 1. Imports into Canada from Mexico 7,000,000 SME from United States 15,000,000 SME5 2. Imports into Mexico from Canada 7,000,000 SME from United States 1,400,000 SME 3. Imports into United States from Canada 71,765,252 SME6 from Mexico 22,800,000 SME7 5 The SME annual quantity of imports from the United States into Canada shall be limited to goods of Chapter 60 or heading 63.03 of the HS.</w:t>
      </w:r>
    </w:p>
    <w:p>
      <w:pPr>
        <w:pStyle w:val="Normal"/>
        <w:widowControl/>
        <w:rPr/>
      </w:pPr>
      <w:r>
        <w:rPr/>
        <w:t>6 Of the 71,765,252 SME annual quantity of imports from Canada into the United States, no more than 38,642,828 may be in goods of Chapters 52 through 55, 58, or 63 (other than subheading 6302.10, 6302.40, 6303.12, 6303.19, 6304.11, or 6304.91) of the HS; and no more than 38,642,828 may be in goods of Chapter 60 or subheading 6302.10, 6302.40, 6303.12, 6303.19, 6304.11, or 6304.91 of the HS.</w:t>
      </w:r>
    </w:p>
    <w:p>
      <w:pPr>
        <w:widowControl/>
      </w:pPr>
      <w:r>
        <w:rPr>
          <w:b w:val="0"/>
        </w:rPr>
        <w:t>7 Of the 22,800,000 SME annual quantity of imports from Mexico into the United States, no more than 18 million SMEs of that quantity in a calendar year may be in goods of Chapter 60 and subheading 6302.10, 6302.40, 6303.12, 6303.19, 6304.11, or 6304.91 of the HS; and no more than 4,800,000 SMEs of that quantity in any given year may be in goods of Chapters 52 through 55, 58, and 63 (other than subheading 6302.10, 6302.40, 6303.12, 6303.19, 6304.11, or 6304.91) of the HS.</w:t>
      </w:r>
    </w:p>
    <w:p>
      <w:pPr>
        <w:widowControl/>
      </w:pPr>
      <w:r>
        <w:rPr>
          <w:b/>
        </w:rPr>
        <w:t>APPENDIX 3 — PREFERENTIAL TARIFF TREATMENT FOR NON-ORIGINATING COTTON OR MAN-MADE FIBER SPUN YARN</w:t>
      </w:r>
    </w:p>
    <w:tbl>
      <w:tblPr>
        <w:tblStyle w:val="TableGrid"/>
        <w:tblW w:type="auto" w:w="0"/>
        <w:jc w:val="center"/>
        <w:tblLayout w:type="autofit"/>
        <w:tblLook w:firstColumn="1" w:firstRow="1" w:lastColumn="0" w:lastRow="0" w:noHBand="0" w:noVBand="1" w:val="04A0"/>
      </w:tblPr>
      <w:tblGrid>
        <w:gridCol w:w="3120"/>
        <w:gridCol w:w="3120"/>
        <w:gridCol w:w="3120"/>
      </w:tblGrid>
      <w:tr>
        <w:trPr>
          <w:tblHeader w:val="true"/>
          <w:cantSplit/>
          <w:tblHeader w:val="true"/>
        </w:trPr>
        <w:tc>
          <w:tcPr>
            <w:tcW w:type="dxa" w:w="3120"/>
            <w:shd w:fill="233746"/>
          </w:tcPr>
          <w:p>
            <w:pPr>
              <w:spacing w:after="0"/>
            </w:pPr>
            <w:r>
              <w:rPr>
                <w:rFonts w:ascii="Arial" w:hAnsi="Arial"/>
                <w:b/>
                <w:color w:val="FFFFFF"/>
                <w:sz w:val="17"/>
              </w:rPr>
              <w:t>Importing Party</w:t>
            </w:r>
          </w:p>
        </w:tc>
        <w:tc>
          <w:tcPr>
            <w:tcW w:type="dxa" w:w="3120"/>
            <w:shd w:fill="233746"/>
          </w:tcPr>
          <w:p>
            <w:pPr>
              <w:spacing w:after="0"/>
            </w:pPr>
            <w:r>
              <w:rPr>
                <w:rFonts w:ascii="Arial" w:hAnsi="Arial"/>
                <w:b/>
                <w:color w:val="FFFFFF"/>
                <w:sz w:val="17"/>
              </w:rPr>
              <w:t>Origin</w:t>
            </w:r>
          </w:p>
        </w:tc>
        <w:tc>
          <w:tcPr>
            <w:tcW w:type="dxa" w:w="3120"/>
            <w:shd w:fill="233746"/>
          </w:tcPr>
          <w:p>
            <w:pPr>
              <w:spacing w:after="0"/>
            </w:pPr>
            <w:r>
              <w:rPr>
                <w:rFonts w:ascii="Arial" w:hAnsi="Arial"/>
                <w:b/>
                <w:color w:val="FFFFFF"/>
                <w:sz w:val="17"/>
              </w:rPr>
              <w:t>Annual Quantity</w:t>
            </w:r>
          </w:p>
        </w:tc>
      </w:tr>
      <w:tr>
        <w:trPr>
          <w:cantSplit/>
        </w:trPr>
        <w:tc>
          <w:tcPr>
            <w:tcW w:type="dxa" w:w="3120"/>
            <w:tcMar>
              <w:top w:w="70" w:type="dxa"/>
              <w:start w:w="110" w:type="dxa"/>
              <w:bottom w:w="70" w:type="dxa"/>
              <w:end w:w="110" w:type="dxa"/>
            </w:tcMar>
          </w:tcPr>
          <w:p>
            <w:pPr>
              <w:widowControl/>
              <w:spacing w:after="0"/>
            </w:pPr>
            <w:r>
              <w:rPr>
                <w:rFonts w:ascii="Arial" w:hAnsi="Arial"/>
                <w:sz w:val="17"/>
              </w:rPr>
              <w:t>Canada</w:t>
            </w:r>
          </w:p>
        </w:tc>
        <w:tc>
          <w:tcPr>
            <w:tcW w:type="dxa" w:w="3120"/>
            <w:tcMar>
              <w:top w:w="70" w:type="dxa"/>
              <w:start w:w="110" w:type="dxa"/>
              <w:bottom w:w="70" w:type="dxa"/>
              <w:end w:w="110" w:type="dxa"/>
            </w:tcMar>
          </w:tcPr>
          <w:p>
            <w:pPr>
              <w:widowControl/>
              <w:spacing w:after="0"/>
            </w:pPr>
            <w:r>
              <w:rPr>
                <w:rFonts w:ascii="Arial" w:hAnsi="Arial"/>
                <w:sz w:val="17"/>
              </w:rPr>
              <w:t>Mexico</w:t>
            </w:r>
          </w:p>
        </w:tc>
        <w:tc>
          <w:tcPr>
            <w:tcW w:type="dxa" w:w="3120"/>
            <w:tcMar>
              <w:top w:w="70" w:type="dxa"/>
              <w:start w:w="110" w:type="dxa"/>
              <w:bottom w:w="70" w:type="dxa"/>
              <w:end w:w="110" w:type="dxa"/>
            </w:tcMar>
          </w:tcPr>
          <w:p>
            <w:pPr>
              <w:widowControl/>
              <w:spacing w:after="0"/>
            </w:pPr>
            <w:r>
              <w:rPr>
                <w:rFonts w:ascii="Arial" w:hAnsi="Arial"/>
                <w:sz w:val="17"/>
              </w:rPr>
              <w:t>1,000,000 kg</w:t>
            </w:r>
          </w:p>
        </w:tc>
      </w:tr>
      <w:tr>
        <w:trPr>
          <w:cantSplit/>
        </w:trPr>
        <w:tc>
          <w:tcPr>
            <w:tcW w:type="dxa" w:w="3120"/>
            <w:tcMar>
              <w:top w:w="70" w:type="dxa"/>
              <w:start w:w="110" w:type="dxa"/>
              <w:bottom w:w="70" w:type="dxa"/>
              <w:end w:w="110" w:type="dxa"/>
            </w:tcMar>
            <w:shd w:fill="F4F6F7"/>
          </w:tcPr>
          <w:p>
            <w:pPr>
              <w:widowControl/>
              <w:spacing w:after="0"/>
            </w:pPr>
            <w:r>
              <w:rPr>
                <w:rFonts w:ascii="Arial" w:hAnsi="Arial"/>
                <w:sz w:val="17"/>
              </w:rPr>
              <w:t>Canada</w:t>
            </w:r>
          </w:p>
        </w:tc>
        <w:tc>
          <w:tcPr>
            <w:tcW w:type="dxa" w:w="3120"/>
            <w:tcMar>
              <w:top w:w="70" w:type="dxa"/>
              <w:start w:w="110" w:type="dxa"/>
              <w:bottom w:w="70" w:type="dxa"/>
              <w:end w:w="110" w:type="dxa"/>
            </w:tcMar>
            <w:shd w:fill="F4F6F7"/>
          </w:tcPr>
          <w:p>
            <w:pPr>
              <w:widowControl/>
              <w:spacing w:after="0"/>
            </w:pPr>
            <w:r>
              <w:rPr>
                <w:rFonts w:ascii="Arial" w:hAnsi="Arial"/>
                <w:sz w:val="17"/>
              </w:rPr>
              <w:t>United States</w:t>
            </w:r>
          </w:p>
        </w:tc>
        <w:tc>
          <w:tcPr>
            <w:tcW w:type="dxa" w:w="3120"/>
            <w:tcMar>
              <w:top w:w="70" w:type="dxa"/>
              <w:start w:w="110" w:type="dxa"/>
              <w:bottom w:w="70" w:type="dxa"/>
              <w:end w:w="110" w:type="dxa"/>
            </w:tcMar>
            <w:shd w:fill="F4F6F7"/>
          </w:tcPr>
          <w:p>
            <w:pPr>
              <w:widowControl/>
              <w:spacing w:after="0"/>
            </w:pPr>
            <w:r>
              <w:rPr>
                <w:rFonts w:ascii="Arial" w:hAnsi="Arial"/>
                <w:sz w:val="17"/>
              </w:rPr>
              <w:t>1,000,000 kg</w:t>
            </w:r>
          </w:p>
        </w:tc>
      </w:tr>
      <w:tr>
        <w:trPr>
          <w:cantSplit/>
        </w:trPr>
        <w:tc>
          <w:tcPr>
            <w:tcW w:type="dxa" w:w="3120"/>
            <w:tcMar>
              <w:top w:w="70" w:type="dxa"/>
              <w:start w:w="110" w:type="dxa"/>
              <w:bottom w:w="70" w:type="dxa"/>
              <w:end w:w="110" w:type="dxa"/>
            </w:tcMar>
          </w:tcPr>
          <w:p>
            <w:pPr>
              <w:widowControl/>
              <w:spacing w:after="0"/>
            </w:pPr>
            <w:r>
              <w:rPr>
                <w:rFonts w:ascii="Arial" w:hAnsi="Arial"/>
                <w:sz w:val="17"/>
              </w:rPr>
              <w:t>Mexico</w:t>
            </w:r>
          </w:p>
        </w:tc>
        <w:tc>
          <w:tcPr>
            <w:tcW w:type="dxa" w:w="3120"/>
            <w:tcMar>
              <w:top w:w="70" w:type="dxa"/>
              <w:start w:w="110" w:type="dxa"/>
              <w:bottom w:w="70" w:type="dxa"/>
              <w:end w:w="110" w:type="dxa"/>
            </w:tcMar>
          </w:tcPr>
          <w:p>
            <w:pPr>
              <w:widowControl/>
              <w:spacing w:after="0"/>
            </w:pPr>
            <w:r>
              <w:rPr>
                <w:rFonts w:ascii="Arial" w:hAnsi="Arial"/>
                <w:sz w:val="17"/>
              </w:rPr>
              <w:t>Canada</w:t>
            </w:r>
          </w:p>
        </w:tc>
        <w:tc>
          <w:tcPr>
            <w:tcW w:type="dxa" w:w="3120"/>
            <w:tcMar>
              <w:top w:w="70" w:type="dxa"/>
              <w:start w:w="110" w:type="dxa"/>
              <w:bottom w:w="70" w:type="dxa"/>
              <w:end w:w="110" w:type="dxa"/>
            </w:tcMar>
          </w:tcPr>
          <w:p>
            <w:pPr>
              <w:widowControl/>
              <w:spacing w:after="0"/>
            </w:pPr>
            <w:r>
              <w:rPr>
                <w:rFonts w:ascii="Arial" w:hAnsi="Arial"/>
                <w:sz w:val="17"/>
              </w:rPr>
              <w:t>1,000,000 kg</w:t>
            </w:r>
          </w:p>
        </w:tc>
      </w:tr>
      <w:tr>
        <w:trPr>
          <w:cantSplit/>
        </w:trPr>
        <w:tc>
          <w:tcPr>
            <w:tcW w:type="dxa" w:w="3120"/>
            <w:tcMar>
              <w:top w:w="70" w:type="dxa"/>
              <w:start w:w="110" w:type="dxa"/>
              <w:bottom w:w="70" w:type="dxa"/>
              <w:end w:w="110" w:type="dxa"/>
            </w:tcMar>
            <w:shd w:fill="F4F6F7"/>
          </w:tcPr>
          <w:p>
            <w:pPr>
              <w:widowControl/>
              <w:spacing w:after="0"/>
            </w:pPr>
            <w:r>
              <w:rPr>
                <w:rFonts w:ascii="Arial" w:hAnsi="Arial"/>
                <w:sz w:val="17"/>
              </w:rPr>
              <w:t>Mexico</w:t>
            </w:r>
          </w:p>
        </w:tc>
        <w:tc>
          <w:tcPr>
            <w:tcW w:type="dxa" w:w="3120"/>
            <w:tcMar>
              <w:top w:w="70" w:type="dxa"/>
              <w:start w:w="110" w:type="dxa"/>
              <w:bottom w:w="70" w:type="dxa"/>
              <w:end w:w="110" w:type="dxa"/>
            </w:tcMar>
            <w:shd w:fill="F4F6F7"/>
          </w:tcPr>
          <w:p>
            <w:pPr>
              <w:widowControl/>
              <w:spacing w:after="0"/>
            </w:pPr>
            <w:r>
              <w:rPr>
                <w:rFonts w:ascii="Arial" w:hAnsi="Arial"/>
                <w:sz w:val="17"/>
              </w:rPr>
              <w:t>United States</w:t>
            </w:r>
          </w:p>
        </w:tc>
        <w:tc>
          <w:tcPr>
            <w:tcW w:type="dxa" w:w="3120"/>
            <w:tcMar>
              <w:top w:w="70" w:type="dxa"/>
              <w:start w:w="110" w:type="dxa"/>
              <w:bottom w:w="70" w:type="dxa"/>
              <w:end w:w="110" w:type="dxa"/>
            </w:tcMar>
            <w:shd w:fill="F4F6F7"/>
          </w:tcPr>
          <w:p>
            <w:pPr>
              <w:widowControl/>
              <w:spacing w:after="0"/>
            </w:pPr>
            <w:r>
              <w:rPr>
                <w:rFonts w:ascii="Arial" w:hAnsi="Arial"/>
                <w:sz w:val="17"/>
              </w:rPr>
              <w:t>950,000 kg</w:t>
            </w:r>
          </w:p>
        </w:tc>
      </w:tr>
      <w:tr>
        <w:trPr>
          <w:cantSplit/>
        </w:trPr>
        <w:tc>
          <w:tcPr>
            <w:tcW w:type="dxa" w:w="3120"/>
            <w:tcMar>
              <w:top w:w="70" w:type="dxa"/>
              <w:start w:w="110" w:type="dxa"/>
              <w:bottom w:w="70" w:type="dxa"/>
              <w:end w:w="110" w:type="dxa"/>
            </w:tcMar>
          </w:tcPr>
          <w:p>
            <w:pPr>
              <w:widowControl/>
              <w:spacing w:after="0"/>
            </w:pPr>
            <w:r>
              <w:rPr>
                <w:rFonts w:ascii="Arial" w:hAnsi="Arial"/>
                <w:sz w:val="17"/>
              </w:rPr>
              <w:t>United States</w:t>
            </w:r>
          </w:p>
        </w:tc>
        <w:tc>
          <w:tcPr>
            <w:tcW w:type="dxa" w:w="3120"/>
            <w:tcMar>
              <w:top w:w="70" w:type="dxa"/>
              <w:start w:w="110" w:type="dxa"/>
              <w:bottom w:w="70" w:type="dxa"/>
              <w:end w:w="110" w:type="dxa"/>
            </w:tcMar>
          </w:tcPr>
          <w:p>
            <w:pPr>
              <w:widowControl/>
              <w:spacing w:after="0"/>
            </w:pPr>
            <w:r>
              <w:rPr>
                <w:rFonts w:ascii="Arial" w:hAnsi="Arial"/>
                <w:sz w:val="17"/>
              </w:rPr>
              <w:t>Canada</w:t>
            </w:r>
          </w:p>
        </w:tc>
        <w:tc>
          <w:tcPr>
            <w:tcW w:type="dxa" w:w="3120"/>
            <w:tcMar>
              <w:top w:w="70" w:type="dxa"/>
              <w:start w:w="110" w:type="dxa"/>
              <w:bottom w:w="70" w:type="dxa"/>
              <w:end w:w="110" w:type="dxa"/>
            </w:tcMar>
          </w:tcPr>
          <w:p>
            <w:pPr>
              <w:widowControl/>
              <w:spacing w:after="0"/>
            </w:pPr>
            <w:r>
              <w:rPr>
                <w:rFonts w:ascii="Arial" w:hAnsi="Arial"/>
                <w:sz w:val="17"/>
              </w:rPr>
              <w:t>6,000,000 kg8</w:t>
            </w:r>
          </w:p>
        </w:tc>
      </w:tr>
      <w:tr>
        <w:trPr>
          <w:cantSplit/>
        </w:trPr>
        <w:tc>
          <w:tcPr>
            <w:tcW w:type="dxa" w:w="3120"/>
            <w:tcMar>
              <w:top w:w="70" w:type="dxa"/>
              <w:start w:w="110" w:type="dxa"/>
              <w:bottom w:w="70" w:type="dxa"/>
              <w:end w:w="110" w:type="dxa"/>
            </w:tcMar>
            <w:shd w:fill="F4F6F7"/>
          </w:tcPr>
          <w:p>
            <w:pPr>
              <w:widowControl/>
              <w:spacing w:after="0"/>
            </w:pPr>
            <w:r>
              <w:rPr>
                <w:rFonts w:ascii="Arial" w:hAnsi="Arial"/>
                <w:sz w:val="17"/>
              </w:rPr>
              <w:t>United States</w:t>
            </w:r>
          </w:p>
        </w:tc>
        <w:tc>
          <w:tcPr>
            <w:tcW w:type="dxa" w:w="3120"/>
            <w:tcMar>
              <w:top w:w="70" w:type="dxa"/>
              <w:start w:w="110" w:type="dxa"/>
              <w:bottom w:w="70" w:type="dxa"/>
              <w:end w:w="110" w:type="dxa"/>
            </w:tcMar>
            <w:shd w:fill="F4F6F7"/>
          </w:tcPr>
          <w:p>
            <w:pPr>
              <w:widowControl/>
              <w:spacing w:after="0"/>
            </w:pPr>
            <w:r>
              <w:rPr>
                <w:rFonts w:ascii="Arial" w:hAnsi="Arial"/>
                <w:sz w:val="17"/>
              </w:rPr>
              <w:t>Mexico</w:t>
            </w:r>
          </w:p>
        </w:tc>
        <w:tc>
          <w:tcPr>
            <w:tcW w:type="dxa" w:w="3120"/>
            <w:tcMar>
              <w:top w:w="70" w:type="dxa"/>
              <w:start w:w="110" w:type="dxa"/>
              <w:bottom w:w="70" w:type="dxa"/>
              <w:end w:w="110" w:type="dxa"/>
            </w:tcMar>
            <w:shd w:fill="F4F6F7"/>
          </w:tcPr>
          <w:p>
            <w:pPr>
              <w:widowControl/>
              <w:spacing w:after="0"/>
            </w:pPr>
            <w:r>
              <w:rPr>
                <w:rFonts w:ascii="Arial" w:hAnsi="Arial"/>
                <w:sz w:val="17"/>
              </w:rPr>
              <w:t>700,000 kg</w:t>
            </w:r>
          </w:p>
        </w:tc>
      </w:tr>
    </w:tbl>
    <w:p>
      <w:pPr>
        <w:widowControl/>
      </w:pPr>
      <w:r>
        <w:rPr>
          <w:b w:val="0"/>
        </w:rPr>
        <w:t>Of the 6,000,000 kilograms annual quantity of imports from Canada into the United States, no more than 3,000,000 kilograms may be of yarns classified in headings 55.09 or 55.11 predominantly of acrylic by weight, and no more than 3,000,000 kilograms may be of other yarns in heading 52.05 through 52.07, 55.09 through 55.11, or 56.05 of the HS. 6-A-3-1</w:t>
      </w:r>
    </w:p>
    <w:p>
      <w:pPr>
        <w:widowControl/>
      </w:pPr>
      <w:r>
        <w:rPr>
          <w:b w:val="0"/>
        </w:rPr>
        <w:t>ANNEX 6-B CONVERSION FACTORS 1. For the purposes of this Annex: DPR means dozen pair; DZ means dozen; KG means kilogram; NO means number; and SM means square meter. 2. This Schedule applies to tariff preference levels pursuant to Annex 6-A (Special Provisions). 3. Unless otherwise provided in this Annex, or as may be agreed between any two Parties with respect to trade between them, the rates of conversion into SME set out in paragraphs 4 through 7 shall apply.</w:t>
      </w:r>
    </w:p>
    <w:p>
      <w:pPr>
        <w:widowControl/>
      </w:pPr>
      <w:r>
        <w:rPr>
          <w:b w:val="0"/>
        </w:rPr>
        <w:t>4. The following conversion factors shall apply to the goods covered by the following U.S. categories:</w:t>
      </w:r>
    </w:p>
    <w:tbl>
      <w:tblPr>
        <w:tblStyle w:val="TableGrid"/>
        <w:tblW w:type="auto" w:w="0"/>
        <w:jc w:val="center"/>
        <w:tblLayout w:type="autofit"/>
        <w:tblLook w:firstColumn="1" w:firstRow="1" w:lastColumn="0" w:lastRow="0" w:noHBand="0" w:noVBand="1" w:val="04A0"/>
      </w:tblPr>
      <w:tblGrid>
        <w:gridCol w:w="3120"/>
        <w:gridCol w:w="3120"/>
        <w:gridCol w:w="3120"/>
      </w:tblGrid>
      <w:tr>
        <w:trPr>
          <w:tblHeader w:val="true"/>
          <w:cantSplit/>
          <w:tblHeader w:val="true"/>
        </w:trPr>
        <w:tc>
          <w:tcPr>
            <w:tcW w:type="dxa" w:w="3120"/>
            <w:shd w:fill="233746"/>
          </w:tcPr>
          <w:p>
            <w:pPr>
              <w:spacing w:after="0"/>
            </w:pPr>
            <w:r>
              <w:rPr>
                <w:rFonts w:ascii="Arial" w:hAnsi="Arial"/>
                <w:b/>
                <w:color w:val="FFFFFF"/>
                <w:sz w:val="17"/>
              </w:rPr>
              <w:t>Conversion Factor</w:t>
            </w:r>
          </w:p>
        </w:tc>
        <w:tc>
          <w:tcPr>
            <w:tcW w:type="dxa" w:w="3120"/>
            <w:shd w:fill="233746"/>
          </w:tcPr>
          <w:p>
            <w:pPr>
              <w:spacing w:after="0"/>
            </w:pPr>
            <w:r>
              <w:rPr>
                <w:rFonts w:ascii="Arial" w:hAnsi="Arial"/>
                <w:b/>
                <w:color w:val="FFFFFF"/>
                <w:sz w:val="17"/>
              </w:rPr>
              <w:t>Description</w:t>
            </w:r>
          </w:p>
        </w:tc>
        <w:tc>
          <w:tcPr>
            <w:tcW w:type="dxa" w:w="3120"/>
            <w:shd w:fill="233746"/>
          </w:tcPr>
          <w:p>
            <w:pPr>
              <w:spacing w:after="0"/>
            </w:pPr>
            <w:r>
              <w:rPr>
                <w:rFonts w:ascii="Arial" w:hAnsi="Arial"/>
                <w:b/>
                <w:color w:val="FFFFFF"/>
                <w:sz w:val="17"/>
              </w:rPr>
              <w:t>Primary Unit of Measure</w:t>
            </w:r>
          </w:p>
        </w:tc>
      </w:tr>
      <w:tr>
        <w:trPr>
          <w:cantSplit/>
        </w:trPr>
        <w:tc>
          <w:tcPr>
            <w:tcW w:type="dxa" w:w="3120"/>
            <w:tcMar>
              <w:top w:w="70" w:type="dxa"/>
              <w:start w:w="110" w:type="dxa"/>
              <w:bottom w:w="70" w:type="dxa"/>
              <w:end w:w="110" w:type="dxa"/>
            </w:tcMar>
          </w:tcPr>
          <w:p>
            <w:pPr>
              <w:widowControl/>
              <w:spacing w:after="0"/>
            </w:pPr>
            <w:r>
              <w:rPr>
                <w:rFonts w:ascii="Arial" w:hAnsi="Arial"/>
                <w:sz w:val="17"/>
              </w:rPr>
              <w:t>6.60</w:t>
            </w:r>
          </w:p>
        </w:tc>
        <w:tc>
          <w:tcPr>
            <w:tcW w:type="dxa" w:w="3120"/>
            <w:tcMar>
              <w:top w:w="70" w:type="dxa"/>
              <w:start w:w="110" w:type="dxa"/>
              <w:bottom w:w="70" w:type="dxa"/>
              <w:end w:w="110" w:type="dxa"/>
            </w:tcMar>
          </w:tcPr>
          <w:p>
            <w:pPr>
              <w:widowControl/>
              <w:spacing w:after="0"/>
            </w:pPr>
            <w:r>
              <w:rPr>
                <w:rFonts w:ascii="Arial" w:hAnsi="Arial"/>
                <w:sz w:val="17"/>
              </w:rPr>
              <w:t>YARN FOR RETAIL SALE, SEWING THREAD</w:t>
            </w:r>
          </w:p>
        </w:tc>
        <w:tc>
          <w:tcPr>
            <w:tcW w:type="dxa" w:w="3120"/>
            <w:tcMar>
              <w:top w:w="70" w:type="dxa"/>
              <w:start w:w="110" w:type="dxa"/>
              <w:bottom w:w="70" w:type="dxa"/>
              <w:end w:w="110" w:type="dxa"/>
            </w:tcMar>
          </w:tcPr>
          <w:p>
            <w:pPr>
              <w:widowControl/>
              <w:spacing w:after="0"/>
            </w:pPr>
            <w:r>
              <w:rPr>
                <w:rFonts w:ascii="Arial" w:hAnsi="Arial"/>
                <w:sz w:val="17"/>
              </w:rPr>
              <w:t>KG</w:t>
            </w:r>
          </w:p>
        </w:tc>
      </w:tr>
      <w:tr>
        <w:trPr>
          <w:cantSplit/>
        </w:trPr>
        <w:tc>
          <w:tcPr>
            <w:tcW w:type="dxa" w:w="3120"/>
            <w:tcMar>
              <w:top w:w="70" w:type="dxa"/>
              <w:start w:w="110" w:type="dxa"/>
              <w:bottom w:w="70" w:type="dxa"/>
              <w:end w:w="110" w:type="dxa"/>
            </w:tcMar>
            <w:shd w:fill="F4F6F7"/>
          </w:tcPr>
          <w:p>
            <w:pPr>
              <w:widowControl/>
              <w:spacing w:after="0"/>
            </w:pPr>
            <w:r>
              <w:rPr>
                <w:rFonts w:ascii="Arial" w:hAnsi="Arial"/>
                <w:sz w:val="17"/>
              </w:rPr>
              <w:t>6.50</w:t>
            </w:r>
          </w:p>
        </w:tc>
        <w:tc>
          <w:tcPr>
            <w:tcW w:type="dxa" w:w="3120"/>
            <w:tcMar>
              <w:top w:w="70" w:type="dxa"/>
              <w:start w:w="110" w:type="dxa"/>
              <w:bottom w:w="70" w:type="dxa"/>
              <w:end w:w="110" w:type="dxa"/>
            </w:tcMar>
            <w:shd w:fill="F4F6F7"/>
          </w:tcPr>
          <w:p>
            <w:pPr>
              <w:widowControl/>
              <w:spacing w:after="0"/>
            </w:pPr>
            <w:r>
              <w:rPr>
                <w:rFonts w:ascii="Arial" w:hAnsi="Arial"/>
                <w:sz w:val="17"/>
              </w:rPr>
              <w:t>SPECIALTY YARNS</w:t>
            </w:r>
          </w:p>
        </w:tc>
        <w:tc>
          <w:tcPr>
            <w:tcW w:type="dxa" w:w="3120"/>
            <w:tcMar>
              <w:top w:w="70" w:type="dxa"/>
              <w:start w:w="110" w:type="dxa"/>
              <w:bottom w:w="70" w:type="dxa"/>
              <w:end w:w="110" w:type="dxa"/>
            </w:tcMar>
            <w:shd w:fill="F4F6F7"/>
          </w:tcPr>
          <w:p>
            <w:pPr>
              <w:widowControl/>
              <w:spacing w:after="0"/>
            </w:pPr>
            <w:r>
              <w:rPr>
                <w:rFonts w:ascii="Arial" w:hAnsi="Arial"/>
                <w:sz w:val="17"/>
              </w:rPr>
              <w:t>KG</w:t>
            </w:r>
          </w:p>
        </w:tc>
      </w:tr>
      <w:tr>
        <w:trPr>
          <w:cantSplit/>
        </w:trPr>
        <w:tc>
          <w:tcPr>
            <w:tcW w:type="dxa" w:w="3120"/>
            <w:tcMar>
              <w:top w:w="70" w:type="dxa"/>
              <w:start w:w="110" w:type="dxa"/>
              <w:bottom w:w="70" w:type="dxa"/>
              <w:end w:w="110" w:type="dxa"/>
            </w:tcMar>
          </w:tcPr>
          <w:p>
            <w:pPr>
              <w:widowControl/>
              <w:spacing w:after="0"/>
            </w:pPr>
            <w:r>
              <w:rPr>
                <w:rFonts w:ascii="Arial" w:hAnsi="Arial"/>
                <w:sz w:val="17"/>
              </w:rPr>
              <w:t>1.00</w:t>
            </w:r>
          </w:p>
        </w:tc>
        <w:tc>
          <w:tcPr>
            <w:tcW w:type="dxa" w:w="3120"/>
            <w:tcMar>
              <w:top w:w="70" w:type="dxa"/>
              <w:start w:w="110" w:type="dxa"/>
              <w:bottom w:w="70" w:type="dxa"/>
              <w:end w:w="110" w:type="dxa"/>
            </w:tcMar>
          </w:tcPr>
          <w:p>
            <w:pPr>
              <w:widowControl/>
              <w:spacing w:after="0"/>
            </w:pPr>
            <w:r>
              <w:rPr>
                <w:rFonts w:ascii="Arial" w:hAnsi="Arial"/>
                <w:sz w:val="17"/>
              </w:rPr>
              <w:t>FABRIC OF YARNS OF DIFFERENT COLORS</w:t>
            </w:r>
          </w:p>
        </w:tc>
        <w:tc>
          <w:tcPr>
            <w:tcW w:type="dxa" w:w="3120"/>
            <w:tcMar>
              <w:top w:w="70" w:type="dxa"/>
              <w:start w:w="110" w:type="dxa"/>
              <w:bottom w:w="70" w:type="dxa"/>
              <w:end w:w="110" w:type="dxa"/>
            </w:tcMar>
          </w:tcPr>
          <w:p>
            <w:pPr>
              <w:widowControl/>
              <w:spacing w:after="0"/>
            </w:pPr>
            <w:r>
              <w:rPr>
                <w:rFonts w:ascii="Arial" w:hAnsi="Arial"/>
                <w:sz w:val="17"/>
              </w:rPr>
              <w:t>SM</w:t>
            </w:r>
          </w:p>
        </w:tc>
      </w:tr>
      <w:tr>
        <w:trPr>
          <w:cantSplit/>
        </w:trPr>
        <w:tc>
          <w:tcPr>
            <w:tcW w:type="dxa" w:w="3120"/>
            <w:tcMar>
              <w:top w:w="70" w:type="dxa"/>
              <w:start w:w="110" w:type="dxa"/>
              <w:bottom w:w="70" w:type="dxa"/>
              <w:end w:w="110" w:type="dxa"/>
            </w:tcMar>
            <w:shd w:fill="F4F6F7"/>
          </w:tcPr>
          <w:p>
            <w:pPr>
              <w:widowControl/>
              <w:spacing w:after="0"/>
            </w:pPr>
            <w:r>
              <w:rPr>
                <w:rFonts w:ascii="Arial" w:hAnsi="Arial"/>
                <w:sz w:val="17"/>
              </w:rPr>
              <w:t>1.00</w:t>
            </w:r>
          </w:p>
        </w:tc>
        <w:tc>
          <w:tcPr>
            <w:tcW w:type="dxa" w:w="3120"/>
            <w:tcMar>
              <w:top w:w="70" w:type="dxa"/>
              <w:start w:w="110" w:type="dxa"/>
              <w:bottom w:w="70" w:type="dxa"/>
              <w:end w:w="110" w:type="dxa"/>
            </w:tcMar>
            <w:shd w:fill="F4F6F7"/>
          </w:tcPr>
          <w:p>
            <w:pPr>
              <w:widowControl/>
              <w:spacing w:after="0"/>
            </w:pPr>
            <w:r>
              <w:rPr>
                <w:rFonts w:ascii="Arial" w:hAnsi="Arial"/>
                <w:sz w:val="17"/>
              </w:rPr>
              <w:t>DUCK FABRIC</w:t>
            </w:r>
          </w:p>
        </w:tc>
        <w:tc>
          <w:tcPr>
            <w:tcW w:type="dxa" w:w="3120"/>
            <w:tcMar>
              <w:top w:w="70" w:type="dxa"/>
              <w:start w:w="110" w:type="dxa"/>
              <w:bottom w:w="70" w:type="dxa"/>
              <w:end w:w="110" w:type="dxa"/>
            </w:tcMar>
            <w:shd w:fill="F4F6F7"/>
          </w:tcPr>
          <w:p>
            <w:pPr>
              <w:widowControl/>
              <w:spacing w:after="0"/>
            </w:pPr>
            <w:r>
              <w:rPr>
                <w:rFonts w:ascii="Arial" w:hAnsi="Arial"/>
                <w:sz w:val="17"/>
              </w:rPr>
              <w:t>SM</w:t>
            </w:r>
          </w:p>
        </w:tc>
      </w:tr>
      <w:tr>
        <w:trPr>
          <w:cantSplit/>
        </w:trPr>
        <w:tc>
          <w:tcPr>
            <w:tcW w:type="dxa" w:w="3120"/>
            <w:tcMar>
              <w:top w:w="70" w:type="dxa"/>
              <w:start w:w="110" w:type="dxa"/>
              <w:bottom w:w="70" w:type="dxa"/>
              <w:end w:w="110" w:type="dxa"/>
            </w:tcMar>
          </w:tcPr>
          <w:p>
            <w:pPr>
              <w:widowControl/>
              <w:spacing w:after="0"/>
            </w:pPr>
            <w:r>
              <w:rPr>
                <w:rFonts w:ascii="Arial" w:hAnsi="Arial"/>
                <w:sz w:val="17"/>
              </w:rPr>
              <w:t>1.00</w:t>
            </w:r>
          </w:p>
        </w:tc>
        <w:tc>
          <w:tcPr>
            <w:tcW w:type="dxa" w:w="3120"/>
            <w:tcMar>
              <w:top w:w="70" w:type="dxa"/>
              <w:start w:w="110" w:type="dxa"/>
              <w:bottom w:w="70" w:type="dxa"/>
              <w:end w:w="110" w:type="dxa"/>
            </w:tcMar>
          </w:tcPr>
          <w:p>
            <w:pPr>
              <w:widowControl/>
              <w:spacing w:after="0"/>
            </w:pPr>
            <w:r>
              <w:rPr>
                <w:rFonts w:ascii="Arial" w:hAnsi="Arial"/>
                <w:sz w:val="17"/>
              </w:rPr>
              <w:t>FABRIC OF SPECIAL WEAVE</w:t>
            </w:r>
          </w:p>
        </w:tc>
        <w:tc>
          <w:tcPr>
            <w:tcW w:type="dxa" w:w="3120"/>
            <w:tcMar>
              <w:top w:w="70" w:type="dxa"/>
              <w:start w:w="110" w:type="dxa"/>
              <w:bottom w:w="70" w:type="dxa"/>
              <w:end w:w="110" w:type="dxa"/>
            </w:tcMar>
          </w:tcPr>
          <w:p>
            <w:pPr>
              <w:widowControl/>
              <w:spacing w:after="0"/>
            </w:pPr>
            <w:r>
              <w:rPr>
                <w:rFonts w:ascii="Arial" w:hAnsi="Arial"/>
                <w:sz w:val="17"/>
              </w:rPr>
              <w:t>SM</w:t>
            </w:r>
          </w:p>
        </w:tc>
      </w:tr>
      <w:tr>
        <w:trPr>
          <w:cantSplit/>
        </w:trPr>
        <w:tc>
          <w:tcPr>
            <w:tcW w:type="dxa" w:w="3120"/>
            <w:tcMar>
              <w:top w:w="70" w:type="dxa"/>
              <w:start w:w="110" w:type="dxa"/>
              <w:bottom w:w="70" w:type="dxa"/>
              <w:end w:w="110" w:type="dxa"/>
            </w:tcMar>
            <w:shd w:fill="F4F6F7"/>
          </w:tcPr>
          <w:p>
            <w:pPr>
              <w:widowControl/>
              <w:spacing w:after="0"/>
            </w:pPr>
            <w:r>
              <w:rPr>
                <w:rFonts w:ascii="Arial" w:hAnsi="Arial"/>
                <w:sz w:val="17"/>
              </w:rPr>
              <w:t>6.00</w:t>
            </w:r>
          </w:p>
        </w:tc>
        <w:tc>
          <w:tcPr>
            <w:tcW w:type="dxa" w:w="3120"/>
            <w:tcMar>
              <w:top w:w="70" w:type="dxa"/>
              <w:start w:w="110" w:type="dxa"/>
              <w:bottom w:w="70" w:type="dxa"/>
              <w:end w:w="110" w:type="dxa"/>
            </w:tcMar>
            <w:shd w:fill="F4F6F7"/>
          </w:tcPr>
          <w:p>
            <w:pPr>
              <w:widowControl/>
              <w:spacing w:after="0"/>
            </w:pPr>
            <w:r>
              <w:rPr>
                <w:rFonts w:ascii="Arial" w:hAnsi="Arial"/>
                <w:sz w:val="17"/>
              </w:rPr>
              <w:t>KNIT FABRIC</w:t>
            </w:r>
          </w:p>
        </w:tc>
        <w:tc>
          <w:tcPr>
            <w:tcW w:type="dxa" w:w="3120"/>
            <w:tcMar>
              <w:top w:w="70" w:type="dxa"/>
              <w:start w:w="110" w:type="dxa"/>
              <w:bottom w:w="70" w:type="dxa"/>
              <w:end w:w="110" w:type="dxa"/>
            </w:tcMar>
            <w:shd w:fill="F4F6F7"/>
          </w:tcPr>
          <w:p>
            <w:pPr>
              <w:widowControl/>
              <w:spacing w:after="0"/>
            </w:pPr>
            <w:r>
              <w:rPr>
                <w:rFonts w:ascii="Arial" w:hAnsi="Arial"/>
                <w:sz w:val="17"/>
              </w:rPr>
              <w:t>KG</w:t>
            </w:r>
          </w:p>
        </w:tc>
      </w:tr>
      <w:tr>
        <w:trPr>
          <w:cantSplit/>
        </w:trPr>
        <w:tc>
          <w:tcPr>
            <w:tcW w:type="dxa" w:w="3120"/>
            <w:tcMar>
              <w:top w:w="70" w:type="dxa"/>
              <w:start w:w="110" w:type="dxa"/>
              <w:bottom w:w="70" w:type="dxa"/>
              <w:end w:w="110" w:type="dxa"/>
            </w:tcMar>
          </w:tcPr>
          <w:p>
            <w:pPr>
              <w:widowControl/>
              <w:spacing w:after="0"/>
            </w:pPr>
            <w:r>
              <w:rPr>
                <w:rFonts w:ascii="Arial" w:hAnsi="Arial"/>
                <w:sz w:val="17"/>
              </w:rPr>
              <w:t>14.00</w:t>
            </w:r>
          </w:p>
        </w:tc>
        <w:tc>
          <w:tcPr>
            <w:tcW w:type="dxa" w:w="3120"/>
            <w:tcMar>
              <w:top w:w="70" w:type="dxa"/>
              <w:start w:w="110" w:type="dxa"/>
              <w:bottom w:w="70" w:type="dxa"/>
              <w:end w:w="110" w:type="dxa"/>
            </w:tcMar>
          </w:tcPr>
          <w:p>
            <w:pPr>
              <w:widowControl/>
              <w:spacing w:after="0"/>
            </w:pPr>
            <w:r>
              <w:rPr>
                <w:rFonts w:ascii="Arial" w:hAnsi="Arial"/>
                <w:sz w:val="17"/>
              </w:rPr>
              <w:t>NON WOVEN FABRIC</w:t>
            </w:r>
          </w:p>
        </w:tc>
        <w:tc>
          <w:tcPr>
            <w:tcW w:type="dxa" w:w="3120"/>
            <w:tcMar>
              <w:top w:w="70" w:type="dxa"/>
              <w:start w:w="110" w:type="dxa"/>
              <w:bottom w:w="70" w:type="dxa"/>
              <w:end w:w="110" w:type="dxa"/>
            </w:tcMar>
          </w:tcPr>
          <w:p>
            <w:pPr>
              <w:widowControl/>
              <w:spacing w:after="0"/>
            </w:pPr>
            <w:r>
              <w:rPr>
                <w:rFonts w:ascii="Arial" w:hAnsi="Arial"/>
                <w:sz w:val="17"/>
              </w:rPr>
              <w:t>KG</w:t>
            </w:r>
          </w:p>
        </w:tc>
      </w:tr>
      <w:tr>
        <w:trPr>
          <w:cantSplit/>
        </w:trPr>
        <w:tc>
          <w:tcPr>
            <w:tcW w:type="dxa" w:w="3120"/>
            <w:tcMar>
              <w:top w:w="70" w:type="dxa"/>
              <w:start w:w="110" w:type="dxa"/>
              <w:bottom w:w="70" w:type="dxa"/>
              <w:end w:w="110" w:type="dxa"/>
            </w:tcMar>
            <w:shd w:fill="F4F6F7"/>
          </w:tcPr>
          <w:p>
            <w:pPr>
              <w:widowControl/>
              <w:spacing w:after="0"/>
            </w:pPr>
            <w:r>
              <w:rPr>
                <w:rFonts w:ascii="Arial" w:hAnsi="Arial"/>
                <w:sz w:val="17"/>
              </w:rPr>
              <w:t>1.00</w:t>
            </w:r>
          </w:p>
        </w:tc>
        <w:tc>
          <w:tcPr>
            <w:tcW w:type="dxa" w:w="3120"/>
            <w:tcMar>
              <w:top w:w="70" w:type="dxa"/>
              <w:start w:w="110" w:type="dxa"/>
              <w:bottom w:w="70" w:type="dxa"/>
              <w:end w:w="110" w:type="dxa"/>
            </w:tcMar>
            <w:shd w:fill="F4F6F7"/>
          </w:tcPr>
          <w:p>
            <w:pPr>
              <w:widowControl/>
              <w:spacing w:after="0"/>
            </w:pPr>
            <w:r>
              <w:rPr>
                <w:rFonts w:ascii="Arial" w:hAnsi="Arial"/>
                <w:sz w:val="17"/>
              </w:rPr>
              <w:t>PILE &amp; TUFTED FABRIC</w:t>
            </w:r>
          </w:p>
        </w:tc>
        <w:tc>
          <w:tcPr>
            <w:tcW w:type="dxa" w:w="3120"/>
            <w:tcMar>
              <w:top w:w="70" w:type="dxa"/>
              <w:start w:w="110" w:type="dxa"/>
              <w:bottom w:w="70" w:type="dxa"/>
              <w:end w:w="110" w:type="dxa"/>
            </w:tcMar>
            <w:shd w:fill="F4F6F7"/>
          </w:tcPr>
          <w:p>
            <w:pPr>
              <w:widowControl/>
              <w:spacing w:after="0"/>
            </w:pPr>
            <w:r>
              <w:rPr>
                <w:rFonts w:ascii="Arial" w:hAnsi="Arial"/>
                <w:sz w:val="17"/>
              </w:rPr>
              <w:t>SM</w:t>
            </w:r>
          </w:p>
        </w:tc>
      </w:tr>
      <w:tr>
        <w:trPr>
          <w:cantSplit/>
        </w:trPr>
        <w:tc>
          <w:tcPr>
            <w:tcW w:type="dxa" w:w="3120"/>
            <w:tcMar>
              <w:top w:w="70" w:type="dxa"/>
              <w:start w:w="110" w:type="dxa"/>
              <w:bottom w:w="70" w:type="dxa"/>
              <w:end w:w="110" w:type="dxa"/>
            </w:tcMar>
          </w:tcPr>
          <w:p>
            <w:pPr>
              <w:widowControl/>
              <w:spacing w:after="0"/>
            </w:pPr>
            <w:r>
              <w:rPr>
                <w:rFonts w:ascii="Arial" w:hAnsi="Arial"/>
                <w:sz w:val="17"/>
              </w:rPr>
              <w:t>1.00</w:t>
            </w:r>
          </w:p>
        </w:tc>
        <w:tc>
          <w:tcPr>
            <w:tcW w:type="dxa" w:w="3120"/>
            <w:tcMar>
              <w:top w:w="70" w:type="dxa"/>
              <w:start w:w="110" w:type="dxa"/>
              <w:bottom w:w="70" w:type="dxa"/>
              <w:end w:w="110" w:type="dxa"/>
            </w:tcMar>
          </w:tcPr>
          <w:p>
            <w:pPr>
              <w:widowControl/>
              <w:spacing w:after="0"/>
            </w:pPr>
            <w:r>
              <w:rPr>
                <w:rFonts w:ascii="Arial" w:hAnsi="Arial"/>
                <w:sz w:val="17"/>
              </w:rPr>
              <w:t>BLUE DENIM FABRIC</w:t>
            </w:r>
          </w:p>
        </w:tc>
        <w:tc>
          <w:tcPr>
            <w:tcW w:type="dxa" w:w="3120"/>
            <w:tcMar>
              <w:top w:w="70" w:type="dxa"/>
              <w:start w:w="110" w:type="dxa"/>
              <w:bottom w:w="70" w:type="dxa"/>
              <w:end w:w="110" w:type="dxa"/>
            </w:tcMar>
          </w:tcPr>
          <w:p>
            <w:pPr>
              <w:widowControl/>
              <w:spacing w:after="0"/>
            </w:pPr>
            <w:r>
              <w:rPr>
                <w:rFonts w:ascii="Arial" w:hAnsi="Arial"/>
                <w:sz w:val="17"/>
              </w:rPr>
              <w:t>SM</w:t>
            </w:r>
          </w:p>
        </w:tc>
      </w:tr>
      <w:tr>
        <w:trPr>
          <w:cantSplit/>
        </w:trPr>
        <w:tc>
          <w:tcPr>
            <w:tcW w:type="dxa" w:w="3120"/>
            <w:tcMar>
              <w:top w:w="70" w:type="dxa"/>
              <w:start w:w="110" w:type="dxa"/>
              <w:bottom w:w="70" w:type="dxa"/>
              <w:end w:w="110" w:type="dxa"/>
            </w:tcMar>
            <w:shd w:fill="F4F6F7"/>
          </w:tcPr>
          <w:p>
            <w:pPr>
              <w:widowControl/>
              <w:spacing w:after="0"/>
            </w:pPr>
            <w:r>
              <w:rPr>
                <w:rFonts w:ascii="Arial" w:hAnsi="Arial"/>
                <w:sz w:val="17"/>
              </w:rPr>
              <w:t>1.00</w:t>
            </w:r>
          </w:p>
        </w:tc>
        <w:tc>
          <w:tcPr>
            <w:tcW w:type="dxa" w:w="3120"/>
            <w:tcMar>
              <w:top w:w="70" w:type="dxa"/>
              <w:start w:w="110" w:type="dxa"/>
              <w:bottom w:w="70" w:type="dxa"/>
              <w:end w:w="110" w:type="dxa"/>
            </w:tcMar>
            <w:shd w:fill="F4F6F7"/>
          </w:tcPr>
          <w:p>
            <w:pPr>
              <w:widowControl/>
              <w:spacing w:after="0"/>
            </w:pPr>
            <w:r>
              <w:rPr>
                <w:rFonts w:ascii="Arial" w:hAnsi="Arial"/>
                <w:sz w:val="17"/>
              </w:rPr>
              <w:t>CHEESECLOTH, BATISTE, LAWN &amp; VOILE</w:t>
            </w:r>
          </w:p>
        </w:tc>
        <w:tc>
          <w:tcPr>
            <w:tcW w:type="dxa" w:w="3120"/>
            <w:tcMar>
              <w:top w:w="70" w:type="dxa"/>
              <w:start w:w="110" w:type="dxa"/>
              <w:bottom w:w="70" w:type="dxa"/>
              <w:end w:w="110" w:type="dxa"/>
            </w:tcMar>
            <w:shd w:fill="F4F6F7"/>
          </w:tcPr>
          <w:p>
            <w:pPr>
              <w:widowControl/>
              <w:spacing w:after="0"/>
            </w:pPr>
            <w:r>
              <w:rPr>
                <w:rFonts w:ascii="Arial" w:hAnsi="Arial"/>
                <w:sz w:val="17"/>
              </w:rPr>
              <w:t>SM</w:t>
            </w:r>
          </w:p>
        </w:tc>
      </w:tr>
      <w:tr>
        <w:trPr>
          <w:cantSplit/>
        </w:trPr>
        <w:tc>
          <w:tcPr>
            <w:tcW w:type="dxa" w:w="3120"/>
            <w:tcMar>
              <w:top w:w="70" w:type="dxa"/>
              <w:start w:w="110" w:type="dxa"/>
              <w:bottom w:w="70" w:type="dxa"/>
              <w:end w:w="110" w:type="dxa"/>
            </w:tcMar>
          </w:tcPr>
          <w:p>
            <w:pPr>
              <w:widowControl/>
              <w:spacing w:after="0"/>
            </w:pPr>
            <w:r>
              <w:rPr>
                <w:rFonts w:ascii="Arial" w:hAnsi="Arial"/>
                <w:sz w:val="17"/>
              </w:rPr>
              <w:t>1.00</w:t>
            </w:r>
          </w:p>
        </w:tc>
        <w:tc>
          <w:tcPr>
            <w:tcW w:type="dxa" w:w="3120"/>
            <w:tcMar>
              <w:top w:w="70" w:type="dxa"/>
              <w:start w:w="110" w:type="dxa"/>
              <w:bottom w:w="70" w:type="dxa"/>
              <w:end w:w="110" w:type="dxa"/>
            </w:tcMar>
          </w:tcPr>
          <w:p>
            <w:pPr>
              <w:widowControl/>
              <w:spacing w:after="0"/>
            </w:pPr>
            <w:r>
              <w:rPr>
                <w:rFonts w:ascii="Arial" w:hAnsi="Arial"/>
                <w:sz w:val="17"/>
              </w:rPr>
              <w:t>OXFORD CLOTH</w:t>
            </w:r>
          </w:p>
        </w:tc>
        <w:tc>
          <w:tcPr>
            <w:tcW w:type="dxa" w:w="3120"/>
            <w:tcMar>
              <w:top w:w="70" w:type="dxa"/>
              <w:start w:w="110" w:type="dxa"/>
              <w:bottom w:w="70" w:type="dxa"/>
              <w:end w:w="110" w:type="dxa"/>
            </w:tcMar>
          </w:tcPr>
          <w:p>
            <w:pPr>
              <w:widowControl/>
              <w:spacing w:after="0"/>
            </w:pPr>
            <w:r>
              <w:rPr>
                <w:rFonts w:ascii="Arial" w:hAnsi="Arial"/>
                <w:sz w:val="17"/>
              </w:rPr>
              <w:t>SM</w:t>
            </w:r>
          </w:p>
        </w:tc>
      </w:tr>
      <w:tr>
        <w:trPr>
          <w:cantSplit/>
        </w:trPr>
        <w:tc>
          <w:tcPr>
            <w:tcW w:type="dxa" w:w="3120"/>
            <w:tcMar>
              <w:top w:w="70" w:type="dxa"/>
              <w:start w:w="110" w:type="dxa"/>
              <w:bottom w:w="70" w:type="dxa"/>
              <w:end w:w="110" w:type="dxa"/>
            </w:tcMar>
            <w:shd w:fill="F4F6F7"/>
          </w:tcPr>
          <w:p>
            <w:pPr>
              <w:widowControl/>
              <w:spacing w:after="0"/>
            </w:pPr>
            <w:r>
              <w:rPr>
                <w:rFonts w:ascii="Arial" w:hAnsi="Arial"/>
                <w:sz w:val="17"/>
              </w:rPr>
              <w:t>13.60</w:t>
            </w:r>
          </w:p>
        </w:tc>
        <w:tc>
          <w:tcPr>
            <w:tcW w:type="dxa" w:w="3120"/>
            <w:tcMar>
              <w:top w:w="70" w:type="dxa"/>
              <w:start w:w="110" w:type="dxa"/>
              <w:bottom w:w="70" w:type="dxa"/>
              <w:end w:w="110" w:type="dxa"/>
            </w:tcMar>
            <w:shd w:fill="F4F6F7"/>
          </w:tcPr>
          <w:p>
            <w:pPr>
              <w:widowControl/>
              <w:spacing w:after="0"/>
            </w:pPr>
            <w:r>
              <w:rPr>
                <w:rFonts w:ascii="Arial" w:hAnsi="Arial"/>
                <w:sz w:val="17"/>
              </w:rPr>
              <w:t>SPECIAL PURPOSE FABRIC</w:t>
            </w:r>
          </w:p>
        </w:tc>
        <w:tc>
          <w:tcPr>
            <w:tcW w:type="dxa" w:w="3120"/>
            <w:tcMar>
              <w:top w:w="70" w:type="dxa"/>
              <w:start w:w="110" w:type="dxa"/>
              <w:bottom w:w="70" w:type="dxa"/>
              <w:end w:w="110" w:type="dxa"/>
            </w:tcMar>
            <w:shd w:fill="F4F6F7"/>
          </w:tcPr>
          <w:p>
            <w:pPr>
              <w:widowControl/>
              <w:spacing w:after="0"/>
            </w:pPr>
            <w:r>
              <w:rPr>
                <w:rFonts w:ascii="Arial" w:hAnsi="Arial"/>
                <w:sz w:val="17"/>
              </w:rPr>
              <w:t>KG</w:t>
            </w:r>
          </w:p>
        </w:tc>
      </w:tr>
      <w:tr>
        <w:trPr>
          <w:cantSplit/>
        </w:trPr>
        <w:tc>
          <w:tcPr>
            <w:tcW w:type="dxa" w:w="3120"/>
            <w:tcMar>
              <w:top w:w="70" w:type="dxa"/>
              <w:start w:w="110" w:type="dxa"/>
              <w:bottom w:w="70" w:type="dxa"/>
              <w:end w:w="110" w:type="dxa"/>
            </w:tcMar>
          </w:tcPr>
          <w:p>
            <w:pPr>
              <w:widowControl/>
              <w:spacing w:after="0"/>
            </w:pPr>
            <w:r>
              <w:rPr>
                <w:rFonts w:ascii="Arial" w:hAnsi="Arial"/>
                <w:sz w:val="17"/>
              </w:rPr>
              <w:t>19.20</w:t>
            </w:r>
          </w:p>
        </w:tc>
        <w:tc>
          <w:tcPr>
            <w:tcW w:type="dxa" w:w="3120"/>
            <w:tcMar>
              <w:top w:w="70" w:type="dxa"/>
              <w:start w:w="110" w:type="dxa"/>
              <w:bottom w:w="70" w:type="dxa"/>
              <w:end w:w="110" w:type="dxa"/>
            </w:tcMar>
          </w:tcPr>
          <w:p>
            <w:pPr>
              <w:widowControl/>
              <w:spacing w:after="0"/>
            </w:pPr>
            <w:r>
              <w:rPr>
                <w:rFonts w:ascii="Arial" w:hAnsi="Arial"/>
                <w:sz w:val="17"/>
              </w:rPr>
              <w:t>PLAYSUITS, SUNSUITS, ETC</w:t>
            </w:r>
          </w:p>
        </w:tc>
        <w:tc>
          <w:tcPr>
            <w:tcW w:type="dxa" w:w="3120"/>
            <w:tcMar>
              <w:top w:w="70" w:type="dxa"/>
              <w:start w:w="110" w:type="dxa"/>
              <w:bottom w:w="70" w:type="dxa"/>
              <w:end w:w="110" w:type="dxa"/>
            </w:tcMar>
          </w:tcPr>
          <w:p>
            <w:pPr>
              <w:widowControl/>
              <w:spacing w:after="0"/>
            </w:pPr>
            <w:r>
              <w:rPr>
                <w:rFonts w:ascii="Arial" w:hAnsi="Arial"/>
                <w:sz w:val="17"/>
              </w:rPr>
              <w:t>DZ</w:t>
            </w:r>
          </w:p>
        </w:tc>
      </w:tr>
      <w:tr>
        <w:trPr>
          <w:cantSplit/>
        </w:trPr>
        <w:tc>
          <w:tcPr>
            <w:tcW w:type="dxa" w:w="3120"/>
            <w:tcMar>
              <w:top w:w="70" w:type="dxa"/>
              <w:start w:w="110" w:type="dxa"/>
              <w:bottom w:w="70" w:type="dxa"/>
              <w:end w:w="110" w:type="dxa"/>
            </w:tcMar>
            <w:shd w:fill="F4F6F7"/>
          </w:tcPr>
          <w:p>
            <w:pPr>
              <w:widowControl/>
              <w:spacing w:after="0"/>
            </w:pPr>
            <w:r>
              <w:rPr>
                <w:rFonts w:ascii="Arial" w:hAnsi="Arial"/>
                <w:sz w:val="17"/>
              </w:rPr>
              <w:t>6.30</w:t>
            </w:r>
          </w:p>
        </w:tc>
        <w:tc>
          <w:tcPr>
            <w:tcW w:type="dxa" w:w="3120"/>
            <w:tcMar>
              <w:top w:w="70" w:type="dxa"/>
              <w:start w:w="110" w:type="dxa"/>
              <w:bottom w:w="70" w:type="dxa"/>
              <w:end w:w="110" w:type="dxa"/>
            </w:tcMar>
            <w:shd w:fill="F4F6F7"/>
          </w:tcPr>
          <w:p>
            <w:pPr>
              <w:widowControl/>
              <w:spacing w:after="0"/>
            </w:pPr>
            <w:r>
              <w:rPr>
                <w:rFonts w:ascii="Arial" w:hAnsi="Arial"/>
                <w:sz w:val="17"/>
              </w:rPr>
              <w:t>BABIES’ GARMENTS &amp; CLOTHING ACCESS.</w:t>
            </w:r>
          </w:p>
        </w:tc>
        <w:tc>
          <w:tcPr>
            <w:tcW w:type="dxa" w:w="3120"/>
            <w:tcMar>
              <w:top w:w="70" w:type="dxa"/>
              <w:start w:w="110" w:type="dxa"/>
              <w:bottom w:w="70" w:type="dxa"/>
              <w:end w:w="110" w:type="dxa"/>
            </w:tcMar>
            <w:shd w:fill="F4F6F7"/>
          </w:tcPr>
          <w:p>
            <w:pPr>
              <w:widowControl/>
              <w:spacing w:after="0"/>
            </w:pPr>
            <w:r>
              <w:rPr>
                <w:rFonts w:ascii="Arial" w:hAnsi="Arial"/>
                <w:sz w:val="17"/>
              </w:rPr>
              <w:t>KG</w:t>
            </w:r>
          </w:p>
        </w:tc>
      </w:tr>
      <w:tr>
        <w:trPr>
          <w:cantSplit/>
        </w:trPr>
        <w:tc>
          <w:tcPr>
            <w:tcW w:type="dxa" w:w="3120"/>
            <w:tcMar>
              <w:top w:w="70" w:type="dxa"/>
              <w:start w:w="110" w:type="dxa"/>
              <w:bottom w:w="70" w:type="dxa"/>
              <w:end w:w="110" w:type="dxa"/>
            </w:tcMar>
          </w:tcPr>
          <w:p>
            <w:pPr>
              <w:widowControl/>
              <w:spacing w:after="0"/>
            </w:pPr>
            <w:r>
              <w:rPr>
                <w:rFonts w:ascii="Arial" w:hAnsi="Arial"/>
                <w:sz w:val="17"/>
              </w:rPr>
              <w:t>8.50</w:t>
            </w:r>
          </w:p>
        </w:tc>
        <w:tc>
          <w:tcPr>
            <w:tcW w:type="dxa" w:w="3120"/>
            <w:tcMar>
              <w:top w:w="70" w:type="dxa"/>
              <w:start w:w="110" w:type="dxa"/>
              <w:bottom w:w="70" w:type="dxa"/>
              <w:end w:w="110" w:type="dxa"/>
            </w:tcMar>
          </w:tcPr>
          <w:p>
            <w:pPr>
              <w:widowControl/>
              <w:spacing w:after="0"/>
            </w:pPr>
            <w:r>
              <w:rPr>
                <w:rFonts w:ascii="Arial" w:hAnsi="Arial"/>
                <w:sz w:val="17"/>
              </w:rPr>
              <w:t>CARDED COTTON YARN</w:t>
            </w:r>
          </w:p>
        </w:tc>
        <w:tc>
          <w:tcPr>
            <w:tcW w:type="dxa" w:w="3120"/>
            <w:tcMar>
              <w:top w:w="70" w:type="dxa"/>
              <w:start w:w="110" w:type="dxa"/>
              <w:bottom w:w="70" w:type="dxa"/>
              <w:end w:w="110" w:type="dxa"/>
            </w:tcMar>
          </w:tcPr>
          <w:p>
            <w:pPr>
              <w:widowControl/>
              <w:spacing w:after="0"/>
            </w:pPr>
            <w:r>
              <w:rPr>
                <w:rFonts w:ascii="Arial" w:hAnsi="Arial"/>
                <w:sz w:val="17"/>
              </w:rPr>
              <w:t>KG</w:t>
            </w:r>
          </w:p>
        </w:tc>
      </w:tr>
      <w:tr>
        <w:trPr>
          <w:cantSplit/>
        </w:trPr>
        <w:tc>
          <w:tcPr>
            <w:tcW w:type="dxa" w:w="3120"/>
            <w:tcMar>
              <w:top w:w="70" w:type="dxa"/>
              <w:start w:w="110" w:type="dxa"/>
              <w:bottom w:w="70" w:type="dxa"/>
              <w:end w:w="110" w:type="dxa"/>
            </w:tcMar>
            <w:shd w:fill="F4F6F7"/>
          </w:tcPr>
          <w:p>
            <w:pPr>
              <w:widowControl/>
              <w:spacing w:after="0"/>
            </w:pPr>
            <w:r>
              <w:rPr>
                <w:rFonts w:ascii="Arial" w:hAnsi="Arial"/>
                <w:sz w:val="17"/>
              </w:rPr>
              <w:t>8.50</w:t>
            </w:r>
          </w:p>
        </w:tc>
        <w:tc>
          <w:tcPr>
            <w:tcW w:type="dxa" w:w="3120"/>
            <w:tcMar>
              <w:top w:w="70" w:type="dxa"/>
              <w:start w:w="110" w:type="dxa"/>
              <w:bottom w:w="70" w:type="dxa"/>
              <w:end w:w="110" w:type="dxa"/>
            </w:tcMar>
            <w:shd w:fill="F4F6F7"/>
          </w:tcPr>
          <w:p>
            <w:pPr>
              <w:widowControl/>
              <w:spacing w:after="0"/>
            </w:pPr>
            <w:r>
              <w:rPr>
                <w:rFonts w:ascii="Arial" w:hAnsi="Arial"/>
                <w:sz w:val="17"/>
              </w:rPr>
              <w:t>COMBED COTTON YARN</w:t>
            </w:r>
          </w:p>
        </w:tc>
        <w:tc>
          <w:tcPr>
            <w:tcW w:type="dxa" w:w="3120"/>
            <w:tcMar>
              <w:top w:w="70" w:type="dxa"/>
              <w:start w:w="110" w:type="dxa"/>
              <w:bottom w:w="70" w:type="dxa"/>
              <w:end w:w="110" w:type="dxa"/>
            </w:tcMar>
            <w:shd w:fill="F4F6F7"/>
          </w:tcPr>
          <w:p>
            <w:pPr>
              <w:widowControl/>
              <w:spacing w:after="0"/>
            </w:pPr>
            <w:r>
              <w:rPr>
                <w:rFonts w:ascii="Arial" w:hAnsi="Arial"/>
                <w:sz w:val="17"/>
              </w:rPr>
              <w:t>KG</w:t>
            </w:r>
          </w:p>
        </w:tc>
      </w:tr>
      <w:tr>
        <w:trPr>
          <w:cantSplit/>
        </w:trPr>
        <w:tc>
          <w:tcPr>
            <w:tcW w:type="dxa" w:w="3120"/>
            <w:tcMar>
              <w:top w:w="70" w:type="dxa"/>
              <w:start w:w="110" w:type="dxa"/>
              <w:bottom w:w="70" w:type="dxa"/>
              <w:end w:w="110" w:type="dxa"/>
            </w:tcMar>
          </w:tcPr>
          <w:p>
            <w:pPr>
              <w:widowControl/>
              <w:spacing w:after="0"/>
            </w:pPr>
            <w:r>
              <w:rPr>
                <w:rFonts w:ascii="Arial" w:hAnsi="Arial"/>
                <w:sz w:val="17"/>
              </w:rPr>
              <w:t>1.00</w:t>
            </w:r>
          </w:p>
        </w:tc>
        <w:tc>
          <w:tcPr>
            <w:tcW w:type="dxa" w:w="3120"/>
            <w:tcMar>
              <w:top w:w="70" w:type="dxa"/>
              <w:start w:w="110" w:type="dxa"/>
              <w:bottom w:w="70" w:type="dxa"/>
              <w:end w:w="110" w:type="dxa"/>
            </w:tcMar>
          </w:tcPr>
          <w:p>
            <w:pPr>
              <w:widowControl/>
              <w:spacing w:after="0"/>
            </w:pPr>
            <w:r>
              <w:rPr>
                <w:rFonts w:ascii="Arial" w:hAnsi="Arial"/>
                <w:sz w:val="17"/>
              </w:rPr>
              <w:t>COTTON SHEETING FABRIC</w:t>
            </w:r>
          </w:p>
        </w:tc>
        <w:tc>
          <w:tcPr>
            <w:tcW w:type="dxa" w:w="3120"/>
            <w:tcMar>
              <w:top w:w="70" w:type="dxa"/>
              <w:start w:w="110" w:type="dxa"/>
              <w:bottom w:w="70" w:type="dxa"/>
              <w:end w:w="110" w:type="dxa"/>
            </w:tcMar>
          </w:tcPr>
          <w:p>
            <w:pPr>
              <w:widowControl/>
              <w:spacing w:after="0"/>
            </w:pPr>
            <w:r>
              <w:rPr>
                <w:rFonts w:ascii="Arial" w:hAnsi="Arial"/>
                <w:sz w:val="17"/>
              </w:rPr>
              <w:t>SM</w:t>
            </w:r>
          </w:p>
        </w:tc>
      </w:tr>
      <w:tr>
        <w:trPr>
          <w:cantSplit/>
        </w:trPr>
        <w:tc>
          <w:tcPr>
            <w:tcW w:type="dxa" w:w="3120"/>
            <w:tcMar>
              <w:top w:w="70" w:type="dxa"/>
              <w:start w:w="110" w:type="dxa"/>
              <w:bottom w:w="70" w:type="dxa"/>
              <w:end w:w="110" w:type="dxa"/>
            </w:tcMar>
            <w:shd w:fill="F4F6F7"/>
          </w:tcPr>
          <w:p>
            <w:pPr>
              <w:widowControl/>
              <w:spacing w:after="0"/>
            </w:pPr>
            <w:r>
              <w:rPr>
                <w:rFonts w:ascii="Arial" w:hAnsi="Arial"/>
                <w:sz w:val="17"/>
              </w:rPr>
              <w:t>1.00</w:t>
            </w:r>
          </w:p>
        </w:tc>
        <w:tc>
          <w:tcPr>
            <w:tcW w:type="dxa" w:w="3120"/>
            <w:tcMar>
              <w:top w:w="70" w:type="dxa"/>
              <w:start w:w="110" w:type="dxa"/>
              <w:bottom w:w="70" w:type="dxa"/>
              <w:end w:w="110" w:type="dxa"/>
            </w:tcMar>
            <w:shd w:fill="F4F6F7"/>
          </w:tcPr>
          <w:p>
            <w:pPr>
              <w:widowControl/>
              <w:spacing w:after="0"/>
            </w:pPr>
            <w:r>
              <w:rPr>
                <w:rFonts w:ascii="Arial" w:hAnsi="Arial"/>
                <w:sz w:val="17"/>
              </w:rPr>
              <w:t>COTTON POPLIN &amp; BROADCLOTH FABRIC</w:t>
            </w:r>
          </w:p>
        </w:tc>
        <w:tc>
          <w:tcPr>
            <w:tcW w:type="dxa" w:w="3120"/>
            <w:tcMar>
              <w:top w:w="70" w:type="dxa"/>
              <w:start w:w="110" w:type="dxa"/>
              <w:bottom w:w="70" w:type="dxa"/>
              <w:end w:w="110" w:type="dxa"/>
            </w:tcMar>
            <w:shd w:fill="F4F6F7"/>
          </w:tcPr>
          <w:p>
            <w:pPr>
              <w:widowControl/>
              <w:spacing w:after="0"/>
            </w:pPr>
            <w:r>
              <w:rPr>
                <w:rFonts w:ascii="Arial" w:hAnsi="Arial"/>
                <w:sz w:val="17"/>
              </w:rPr>
              <w:t>SM</w:t>
            </w:r>
          </w:p>
        </w:tc>
      </w:tr>
      <w:tr>
        <w:trPr>
          <w:cantSplit/>
        </w:trPr>
        <w:tc>
          <w:tcPr>
            <w:tcW w:type="dxa" w:w="3120"/>
            <w:tcMar>
              <w:top w:w="70" w:type="dxa"/>
              <w:start w:w="110" w:type="dxa"/>
              <w:bottom w:w="70" w:type="dxa"/>
              <w:end w:w="110" w:type="dxa"/>
            </w:tcMar>
          </w:tcPr>
          <w:p>
            <w:pPr>
              <w:widowControl/>
              <w:spacing w:after="0"/>
            </w:pPr>
            <w:r>
              <w:rPr>
                <w:rFonts w:ascii="Arial" w:hAnsi="Arial"/>
                <w:sz w:val="17"/>
              </w:rPr>
              <w:t>1.00</w:t>
            </w:r>
          </w:p>
        </w:tc>
        <w:tc>
          <w:tcPr>
            <w:tcW w:type="dxa" w:w="3120"/>
            <w:tcMar>
              <w:top w:w="70" w:type="dxa"/>
              <w:start w:w="110" w:type="dxa"/>
              <w:bottom w:w="70" w:type="dxa"/>
              <w:end w:w="110" w:type="dxa"/>
            </w:tcMar>
          </w:tcPr>
          <w:p>
            <w:pPr>
              <w:widowControl/>
              <w:spacing w:after="0"/>
            </w:pPr>
            <w:r>
              <w:rPr>
                <w:rFonts w:ascii="Arial" w:hAnsi="Arial"/>
                <w:sz w:val="17"/>
              </w:rPr>
              <w:t>COTTON PRINTCLOTH FABRIC</w:t>
            </w:r>
          </w:p>
        </w:tc>
        <w:tc>
          <w:tcPr>
            <w:tcW w:type="dxa" w:w="3120"/>
            <w:tcMar>
              <w:top w:w="70" w:type="dxa"/>
              <w:start w:w="110" w:type="dxa"/>
              <w:bottom w:w="70" w:type="dxa"/>
              <w:end w:w="110" w:type="dxa"/>
            </w:tcMar>
          </w:tcPr>
          <w:p>
            <w:pPr>
              <w:widowControl/>
              <w:spacing w:after="0"/>
            </w:pPr>
            <w:r>
              <w:rPr>
                <w:rFonts w:ascii="Arial" w:hAnsi="Arial"/>
                <w:sz w:val="17"/>
              </w:rPr>
              <w:t>SM</w:t>
            </w:r>
          </w:p>
        </w:tc>
      </w:tr>
      <w:tr>
        <w:trPr>
          <w:cantSplit/>
        </w:trPr>
        <w:tc>
          <w:tcPr>
            <w:tcW w:type="dxa" w:w="3120"/>
            <w:tcMar>
              <w:top w:w="70" w:type="dxa"/>
              <w:start w:w="110" w:type="dxa"/>
              <w:bottom w:w="70" w:type="dxa"/>
              <w:end w:w="110" w:type="dxa"/>
            </w:tcMar>
            <w:shd w:fill="F4F6F7"/>
          </w:tcPr>
          <w:p>
            <w:pPr>
              <w:widowControl/>
              <w:spacing w:after="0"/>
            </w:pPr>
            <w:r>
              <w:rPr>
                <w:rFonts w:ascii="Arial" w:hAnsi="Arial"/>
                <w:sz w:val="17"/>
              </w:rPr>
              <w:t>1.00</w:t>
            </w:r>
          </w:p>
        </w:tc>
        <w:tc>
          <w:tcPr>
            <w:tcW w:type="dxa" w:w="3120"/>
            <w:tcMar>
              <w:top w:w="70" w:type="dxa"/>
              <w:start w:w="110" w:type="dxa"/>
              <w:bottom w:w="70" w:type="dxa"/>
              <w:end w:w="110" w:type="dxa"/>
            </w:tcMar>
            <w:shd w:fill="F4F6F7"/>
          </w:tcPr>
          <w:p>
            <w:pPr>
              <w:widowControl/>
              <w:spacing w:after="0"/>
            </w:pPr>
            <w:r>
              <w:rPr>
                <w:rFonts w:ascii="Arial" w:hAnsi="Arial"/>
                <w:sz w:val="17"/>
              </w:rPr>
              <w:t>COTTON TWILL FABRIC</w:t>
            </w:r>
          </w:p>
        </w:tc>
        <w:tc>
          <w:tcPr>
            <w:tcW w:type="dxa" w:w="3120"/>
            <w:tcMar>
              <w:top w:w="70" w:type="dxa"/>
              <w:start w:w="110" w:type="dxa"/>
              <w:bottom w:w="70" w:type="dxa"/>
              <w:end w:w="110" w:type="dxa"/>
            </w:tcMar>
            <w:shd w:fill="F4F6F7"/>
          </w:tcPr>
          <w:p>
            <w:pPr>
              <w:widowControl/>
              <w:spacing w:after="0"/>
            </w:pPr>
            <w:r>
              <w:rPr>
                <w:rFonts w:ascii="Arial" w:hAnsi="Arial"/>
                <w:sz w:val="17"/>
              </w:rPr>
              <w:t>SM</w:t>
            </w:r>
          </w:p>
        </w:tc>
      </w:tr>
      <w:tr>
        <w:trPr>
          <w:cantSplit/>
        </w:trPr>
        <w:tc>
          <w:tcPr>
            <w:tcW w:type="dxa" w:w="3120"/>
            <w:tcMar>
              <w:top w:w="70" w:type="dxa"/>
              <w:start w:w="110" w:type="dxa"/>
              <w:bottom w:w="70" w:type="dxa"/>
              <w:end w:w="110" w:type="dxa"/>
            </w:tcMar>
          </w:tcPr>
          <w:p>
            <w:pPr>
              <w:widowControl/>
              <w:spacing w:after="0"/>
            </w:pPr>
            <w:r>
              <w:rPr>
                <w:rFonts w:ascii="Arial" w:hAnsi="Arial"/>
                <w:sz w:val="17"/>
              </w:rPr>
              <w:t>1.00</w:t>
            </w:r>
          </w:p>
        </w:tc>
        <w:tc>
          <w:tcPr>
            <w:tcW w:type="dxa" w:w="3120"/>
            <w:tcMar>
              <w:top w:w="70" w:type="dxa"/>
              <w:start w:w="110" w:type="dxa"/>
              <w:bottom w:w="70" w:type="dxa"/>
              <w:end w:w="110" w:type="dxa"/>
            </w:tcMar>
          </w:tcPr>
          <w:p>
            <w:pPr>
              <w:widowControl/>
              <w:spacing w:after="0"/>
            </w:pPr>
            <w:r>
              <w:rPr>
                <w:rFonts w:ascii="Arial" w:hAnsi="Arial"/>
                <w:sz w:val="17"/>
              </w:rPr>
              <w:t>COTTON SATEEN FABRIC</w:t>
            </w:r>
          </w:p>
        </w:tc>
        <w:tc>
          <w:tcPr>
            <w:tcW w:type="dxa" w:w="3120"/>
            <w:tcMar>
              <w:top w:w="70" w:type="dxa"/>
              <w:start w:w="110" w:type="dxa"/>
              <w:bottom w:w="70" w:type="dxa"/>
              <w:end w:w="110" w:type="dxa"/>
            </w:tcMar>
          </w:tcPr>
          <w:p>
            <w:pPr>
              <w:widowControl/>
              <w:spacing w:after="0"/>
            </w:pPr>
            <w:r>
              <w:rPr>
                <w:rFonts w:ascii="Arial" w:hAnsi="Arial"/>
                <w:sz w:val="17"/>
              </w:rPr>
              <w:t>SM</w:t>
            </w:r>
          </w:p>
        </w:tc>
      </w:tr>
      <w:tr>
        <w:trPr>
          <w:cantSplit/>
        </w:trPr>
        <w:tc>
          <w:tcPr>
            <w:tcW w:type="dxa" w:w="3120"/>
            <w:tcMar>
              <w:top w:w="70" w:type="dxa"/>
              <w:start w:w="110" w:type="dxa"/>
              <w:bottom w:w="70" w:type="dxa"/>
              <w:end w:w="110" w:type="dxa"/>
            </w:tcMar>
            <w:shd w:fill="F4F6F7"/>
          </w:tcPr>
          <w:p>
            <w:pPr>
              <w:widowControl/>
              <w:spacing w:after="0"/>
            </w:pPr>
            <w:r>
              <w:rPr>
                <w:rFonts w:ascii="Arial" w:hAnsi="Arial"/>
                <w:sz w:val="17"/>
              </w:rPr>
              <w:t>1.40</w:t>
            </w:r>
          </w:p>
        </w:tc>
        <w:tc>
          <w:tcPr>
            <w:tcW w:type="dxa" w:w="3120"/>
            <w:tcMar>
              <w:top w:w="70" w:type="dxa"/>
              <w:start w:w="110" w:type="dxa"/>
              <w:bottom w:w="70" w:type="dxa"/>
              <w:end w:w="110" w:type="dxa"/>
            </w:tcMar>
            <w:shd w:fill="F4F6F7"/>
          </w:tcPr>
          <w:p>
            <w:pPr>
              <w:widowControl/>
              <w:spacing w:after="0"/>
            </w:pPr>
            <w:r>
              <w:rPr>
                <w:rFonts w:ascii="Arial" w:hAnsi="Arial"/>
                <w:sz w:val="17"/>
              </w:rPr>
              <w:t>COTTON HANDKERCHIEFS</w:t>
            </w:r>
          </w:p>
        </w:tc>
        <w:tc>
          <w:tcPr>
            <w:tcW w:type="dxa" w:w="3120"/>
            <w:tcMar>
              <w:top w:w="70" w:type="dxa"/>
              <w:start w:w="110" w:type="dxa"/>
              <w:bottom w:w="70" w:type="dxa"/>
              <w:end w:w="110" w:type="dxa"/>
            </w:tcMar>
            <w:shd w:fill="F4F6F7"/>
          </w:tcPr>
          <w:p>
            <w:pPr>
              <w:widowControl/>
              <w:spacing w:after="0"/>
            </w:pPr>
            <w:r>
              <w:rPr>
                <w:rFonts w:ascii="Arial" w:hAnsi="Arial"/>
                <w:sz w:val="17"/>
              </w:rPr>
              <w:t>DZ</w:t>
            </w:r>
          </w:p>
        </w:tc>
      </w:tr>
      <w:tr>
        <w:trPr>
          <w:cantSplit/>
        </w:trPr>
        <w:tc>
          <w:tcPr>
            <w:tcW w:type="dxa" w:w="3120"/>
            <w:tcMar>
              <w:top w:w="70" w:type="dxa"/>
              <w:start w:w="110" w:type="dxa"/>
              <w:bottom w:w="70" w:type="dxa"/>
              <w:end w:w="110" w:type="dxa"/>
            </w:tcMar>
          </w:tcPr>
          <w:p>
            <w:pPr>
              <w:widowControl/>
              <w:spacing w:after="0"/>
            </w:pPr>
            <w:r>
              <w:rPr>
                <w:rFonts w:ascii="Arial" w:hAnsi="Arial"/>
                <w:sz w:val="17"/>
              </w:rPr>
              <w:t>2.90</w:t>
            </w:r>
          </w:p>
        </w:tc>
        <w:tc>
          <w:tcPr>
            <w:tcW w:type="dxa" w:w="3120"/>
            <w:tcMar>
              <w:top w:w="70" w:type="dxa"/>
              <w:start w:w="110" w:type="dxa"/>
              <w:bottom w:w="70" w:type="dxa"/>
              <w:end w:w="110" w:type="dxa"/>
            </w:tcMar>
          </w:tcPr>
          <w:p>
            <w:pPr>
              <w:widowControl/>
              <w:spacing w:after="0"/>
            </w:pPr>
            <w:r>
              <w:rPr>
                <w:rFonts w:ascii="Arial" w:hAnsi="Arial"/>
                <w:sz w:val="17"/>
              </w:rPr>
              <w:t>COTTON GLOVES AND MITTENS</w:t>
            </w:r>
          </w:p>
        </w:tc>
        <w:tc>
          <w:tcPr>
            <w:tcW w:type="dxa" w:w="3120"/>
            <w:tcMar>
              <w:top w:w="70" w:type="dxa"/>
              <w:start w:w="110" w:type="dxa"/>
              <w:bottom w:w="70" w:type="dxa"/>
              <w:end w:w="110" w:type="dxa"/>
            </w:tcMar>
          </w:tcPr>
          <w:p>
            <w:pPr>
              <w:widowControl/>
              <w:spacing w:after="0"/>
            </w:pPr>
            <w:r>
              <w:rPr>
                <w:rFonts w:ascii="Arial" w:hAnsi="Arial"/>
                <w:sz w:val="17"/>
              </w:rPr>
              <w:t>DPR</w:t>
            </w:r>
          </w:p>
        </w:tc>
      </w:tr>
      <w:tr>
        <w:trPr>
          <w:cantSplit/>
        </w:trPr>
        <w:tc>
          <w:tcPr>
            <w:tcW w:type="dxa" w:w="3120"/>
            <w:tcMar>
              <w:top w:w="70" w:type="dxa"/>
              <w:start w:w="110" w:type="dxa"/>
              <w:bottom w:w="70" w:type="dxa"/>
              <w:end w:w="110" w:type="dxa"/>
            </w:tcMar>
            <w:shd w:fill="F4F6F7"/>
          </w:tcPr>
          <w:p>
            <w:pPr>
              <w:widowControl/>
              <w:spacing w:after="0"/>
            </w:pPr>
            <w:r>
              <w:rPr>
                <w:rFonts w:ascii="Arial" w:hAnsi="Arial"/>
                <w:sz w:val="17"/>
              </w:rPr>
              <w:t>3.80</w:t>
            </w:r>
          </w:p>
        </w:tc>
        <w:tc>
          <w:tcPr>
            <w:tcW w:type="dxa" w:w="3120"/>
            <w:tcMar>
              <w:top w:w="70" w:type="dxa"/>
              <w:start w:w="110" w:type="dxa"/>
              <w:bottom w:w="70" w:type="dxa"/>
              <w:end w:w="110" w:type="dxa"/>
            </w:tcMar>
            <w:shd w:fill="F4F6F7"/>
          </w:tcPr>
          <w:p>
            <w:pPr>
              <w:widowControl/>
              <w:spacing w:after="0"/>
            </w:pPr>
            <w:r>
              <w:rPr>
                <w:rFonts w:ascii="Arial" w:hAnsi="Arial"/>
                <w:sz w:val="17"/>
              </w:rPr>
              <w:t>COTTON HOSIERY</w:t>
            </w:r>
          </w:p>
        </w:tc>
        <w:tc>
          <w:tcPr>
            <w:tcW w:type="dxa" w:w="3120"/>
            <w:tcMar>
              <w:top w:w="70" w:type="dxa"/>
              <w:start w:w="110" w:type="dxa"/>
              <w:bottom w:w="70" w:type="dxa"/>
              <w:end w:w="110" w:type="dxa"/>
            </w:tcMar>
            <w:shd w:fill="F4F6F7"/>
          </w:tcPr>
          <w:p>
            <w:pPr>
              <w:widowControl/>
              <w:spacing w:after="0"/>
            </w:pPr>
            <w:r>
              <w:rPr>
                <w:rFonts w:ascii="Arial" w:hAnsi="Arial"/>
                <w:sz w:val="17"/>
              </w:rPr>
              <w:t>DPR</w:t>
            </w:r>
          </w:p>
        </w:tc>
      </w:tr>
      <w:tr>
        <w:trPr>
          <w:cantSplit/>
        </w:trPr>
        <w:tc>
          <w:tcPr>
            <w:tcW w:type="dxa" w:w="3120"/>
            <w:tcMar>
              <w:top w:w="70" w:type="dxa"/>
              <w:start w:w="110" w:type="dxa"/>
              <w:bottom w:w="70" w:type="dxa"/>
              <w:end w:w="110" w:type="dxa"/>
            </w:tcMar>
          </w:tcPr>
          <w:p>
            <w:pPr>
              <w:widowControl/>
              <w:spacing w:after="0"/>
            </w:pPr>
            <w:r>
              <w:rPr>
                <w:rFonts w:ascii="Arial" w:hAnsi="Arial"/>
                <w:sz w:val="17"/>
              </w:rPr>
              <w:t>30.30</w:t>
            </w:r>
          </w:p>
        </w:tc>
        <w:tc>
          <w:tcPr>
            <w:tcW w:type="dxa" w:w="3120"/>
            <w:tcMar>
              <w:top w:w="70" w:type="dxa"/>
              <w:start w:w="110" w:type="dxa"/>
              <w:bottom w:w="70" w:type="dxa"/>
              <w:end w:w="110" w:type="dxa"/>
            </w:tcMar>
          </w:tcPr>
          <w:p>
            <w:pPr>
              <w:widowControl/>
              <w:spacing w:after="0"/>
            </w:pPr>
            <w:r>
              <w:rPr>
                <w:rFonts w:ascii="Arial" w:hAnsi="Arial"/>
                <w:sz w:val="17"/>
              </w:rPr>
              <w:t>M&amp;B SUIT TYPE COATS, COTTON</w:t>
            </w:r>
          </w:p>
        </w:tc>
        <w:tc>
          <w:tcPr>
            <w:tcW w:type="dxa" w:w="3120"/>
            <w:tcMar>
              <w:top w:w="70" w:type="dxa"/>
              <w:start w:w="110" w:type="dxa"/>
              <w:bottom w:w="70" w:type="dxa"/>
              <w:end w:w="110" w:type="dxa"/>
            </w:tcMar>
          </w:tcPr>
          <w:p>
            <w:pPr>
              <w:widowControl/>
              <w:spacing w:after="0"/>
            </w:pPr>
            <w:r>
              <w:rPr>
                <w:rFonts w:ascii="Arial" w:hAnsi="Arial"/>
                <w:sz w:val="17"/>
              </w:rPr>
              <w:t>DZ</w:t>
            </w:r>
          </w:p>
        </w:tc>
      </w:tr>
      <w:tr>
        <w:trPr>
          <w:cantSplit/>
        </w:trPr>
        <w:tc>
          <w:tcPr>
            <w:tcW w:type="dxa" w:w="3120"/>
            <w:tcMar>
              <w:top w:w="70" w:type="dxa"/>
              <w:start w:w="110" w:type="dxa"/>
              <w:bottom w:w="70" w:type="dxa"/>
              <w:end w:w="110" w:type="dxa"/>
            </w:tcMar>
            <w:shd w:fill="F4F6F7"/>
          </w:tcPr>
          <w:p>
            <w:pPr>
              <w:widowControl/>
              <w:spacing w:after="0"/>
            </w:pPr>
            <w:r>
              <w:rPr>
                <w:rFonts w:ascii="Arial" w:hAnsi="Arial"/>
                <w:sz w:val="17"/>
              </w:rPr>
              <w:t>34.50</w:t>
            </w:r>
          </w:p>
        </w:tc>
        <w:tc>
          <w:tcPr>
            <w:tcW w:type="dxa" w:w="3120"/>
            <w:tcMar>
              <w:top w:w="70" w:type="dxa"/>
              <w:start w:w="110" w:type="dxa"/>
              <w:bottom w:w="70" w:type="dxa"/>
              <w:end w:w="110" w:type="dxa"/>
            </w:tcMar>
            <w:shd w:fill="F4F6F7"/>
          </w:tcPr>
          <w:p>
            <w:pPr>
              <w:widowControl/>
              <w:spacing w:after="0"/>
            </w:pPr>
            <w:r>
              <w:rPr>
                <w:rFonts w:ascii="Arial" w:hAnsi="Arial"/>
                <w:sz w:val="17"/>
              </w:rPr>
              <w:t>OTHER M&amp;B COATS, COTTON</w:t>
            </w:r>
          </w:p>
        </w:tc>
        <w:tc>
          <w:tcPr>
            <w:tcW w:type="dxa" w:w="3120"/>
            <w:tcMar>
              <w:top w:w="70" w:type="dxa"/>
              <w:start w:w="110" w:type="dxa"/>
              <w:bottom w:w="70" w:type="dxa"/>
              <w:end w:w="110" w:type="dxa"/>
            </w:tcMar>
            <w:shd w:fill="F4F6F7"/>
          </w:tcPr>
          <w:p>
            <w:pPr>
              <w:widowControl/>
              <w:spacing w:after="0"/>
            </w:pPr>
            <w:r>
              <w:rPr>
                <w:rFonts w:ascii="Arial" w:hAnsi="Arial"/>
                <w:sz w:val="17"/>
              </w:rPr>
              <w:t>DZ</w:t>
            </w:r>
          </w:p>
        </w:tc>
      </w:tr>
      <w:tr>
        <w:trPr>
          <w:cantSplit/>
        </w:trPr>
        <w:tc>
          <w:tcPr>
            <w:tcW w:type="dxa" w:w="3120"/>
            <w:tcMar>
              <w:top w:w="70" w:type="dxa"/>
              <w:start w:w="110" w:type="dxa"/>
              <w:bottom w:w="70" w:type="dxa"/>
              <w:end w:w="110" w:type="dxa"/>
            </w:tcMar>
          </w:tcPr>
          <w:p>
            <w:pPr>
              <w:widowControl/>
              <w:spacing w:after="0"/>
            </w:pPr>
            <w:r>
              <w:rPr>
                <w:rFonts w:ascii="Arial" w:hAnsi="Arial"/>
                <w:sz w:val="17"/>
              </w:rPr>
              <w:t>34.50</w:t>
            </w:r>
          </w:p>
        </w:tc>
        <w:tc>
          <w:tcPr>
            <w:tcW w:type="dxa" w:w="3120"/>
            <w:tcMar>
              <w:top w:w="70" w:type="dxa"/>
              <w:start w:w="110" w:type="dxa"/>
              <w:bottom w:w="70" w:type="dxa"/>
              <w:end w:w="110" w:type="dxa"/>
            </w:tcMar>
          </w:tcPr>
          <w:p>
            <w:pPr>
              <w:widowControl/>
              <w:spacing w:after="0"/>
            </w:pPr>
            <w:r>
              <w:rPr>
                <w:rFonts w:ascii="Arial" w:hAnsi="Arial"/>
                <w:sz w:val="17"/>
              </w:rPr>
              <w:t>W&amp;G COTTON COATS</w:t>
            </w:r>
          </w:p>
        </w:tc>
        <w:tc>
          <w:tcPr>
            <w:tcW w:type="dxa" w:w="3120"/>
            <w:tcMar>
              <w:top w:w="70" w:type="dxa"/>
              <w:start w:w="110" w:type="dxa"/>
              <w:bottom w:w="70" w:type="dxa"/>
              <w:end w:w="110" w:type="dxa"/>
            </w:tcMar>
          </w:tcPr>
          <w:p>
            <w:pPr>
              <w:widowControl/>
              <w:spacing w:after="0"/>
            </w:pPr>
            <w:r>
              <w:rPr>
                <w:rFonts w:ascii="Arial" w:hAnsi="Arial"/>
                <w:sz w:val="17"/>
              </w:rPr>
              <w:t>DZ</w:t>
            </w:r>
          </w:p>
        </w:tc>
      </w:tr>
      <w:tr>
        <w:trPr>
          <w:cantSplit/>
        </w:trPr>
        <w:tc>
          <w:tcPr>
            <w:tcW w:type="dxa" w:w="3120"/>
            <w:tcMar>
              <w:top w:w="70" w:type="dxa"/>
              <w:start w:w="110" w:type="dxa"/>
              <w:bottom w:w="70" w:type="dxa"/>
              <w:end w:w="110" w:type="dxa"/>
            </w:tcMar>
            <w:shd w:fill="F4F6F7"/>
          </w:tcPr>
          <w:p>
            <w:pPr>
              <w:widowControl/>
              <w:spacing w:after="0"/>
            </w:pPr>
            <w:r>
              <w:rPr>
                <w:rFonts w:ascii="Arial" w:hAnsi="Arial"/>
                <w:sz w:val="17"/>
              </w:rPr>
              <w:t>37.90</w:t>
            </w:r>
          </w:p>
        </w:tc>
        <w:tc>
          <w:tcPr>
            <w:tcW w:type="dxa" w:w="3120"/>
            <w:tcMar>
              <w:top w:w="70" w:type="dxa"/>
              <w:start w:w="110" w:type="dxa"/>
              <w:bottom w:w="70" w:type="dxa"/>
              <w:end w:w="110" w:type="dxa"/>
            </w:tcMar>
            <w:shd w:fill="F4F6F7"/>
          </w:tcPr>
          <w:p>
            <w:pPr>
              <w:widowControl/>
              <w:spacing w:after="0"/>
            </w:pPr>
            <w:r>
              <w:rPr>
                <w:rFonts w:ascii="Arial" w:hAnsi="Arial"/>
                <w:sz w:val="17"/>
              </w:rPr>
              <w:t>COTTON DRESSES</w:t>
            </w:r>
          </w:p>
        </w:tc>
        <w:tc>
          <w:tcPr>
            <w:tcW w:type="dxa" w:w="3120"/>
            <w:tcMar>
              <w:top w:w="70" w:type="dxa"/>
              <w:start w:w="110" w:type="dxa"/>
              <w:bottom w:w="70" w:type="dxa"/>
              <w:end w:w="110" w:type="dxa"/>
            </w:tcMar>
            <w:shd w:fill="F4F6F7"/>
          </w:tcPr>
          <w:p>
            <w:pPr>
              <w:widowControl/>
              <w:spacing w:after="0"/>
            </w:pPr>
            <w:r>
              <w:rPr>
                <w:rFonts w:ascii="Arial" w:hAnsi="Arial"/>
                <w:sz w:val="17"/>
              </w:rPr>
              <w:t>DZ</w:t>
            </w:r>
          </w:p>
        </w:tc>
      </w:tr>
      <w:tr>
        <w:trPr>
          <w:cantSplit/>
        </w:trPr>
        <w:tc>
          <w:tcPr>
            <w:tcW w:type="dxa" w:w="3120"/>
            <w:tcMar>
              <w:top w:w="70" w:type="dxa"/>
              <w:start w:w="110" w:type="dxa"/>
              <w:bottom w:w="70" w:type="dxa"/>
              <w:end w:w="110" w:type="dxa"/>
            </w:tcMar>
          </w:tcPr>
          <w:p>
            <w:pPr>
              <w:widowControl/>
              <w:spacing w:after="0"/>
            </w:pPr>
            <w:r>
              <w:rPr>
                <w:rFonts w:ascii="Arial" w:hAnsi="Arial"/>
                <w:sz w:val="17"/>
              </w:rPr>
              <w:t>6.00</w:t>
            </w:r>
          </w:p>
        </w:tc>
        <w:tc>
          <w:tcPr>
            <w:tcW w:type="dxa" w:w="3120"/>
            <w:tcMar>
              <w:top w:w="70" w:type="dxa"/>
              <w:start w:w="110" w:type="dxa"/>
              <w:bottom w:w="70" w:type="dxa"/>
              <w:end w:w="110" w:type="dxa"/>
            </w:tcMar>
          </w:tcPr>
          <w:p>
            <w:pPr>
              <w:widowControl/>
              <w:spacing w:after="0"/>
            </w:pPr>
            <w:r>
              <w:rPr>
                <w:rFonts w:ascii="Arial" w:hAnsi="Arial"/>
                <w:sz w:val="17"/>
              </w:rPr>
              <w:t>M&amp;B COTTON KNIT SHIRTS</w:t>
            </w:r>
          </w:p>
        </w:tc>
        <w:tc>
          <w:tcPr>
            <w:tcW w:type="dxa" w:w="3120"/>
            <w:tcMar>
              <w:top w:w="70" w:type="dxa"/>
              <w:start w:w="110" w:type="dxa"/>
              <w:bottom w:w="70" w:type="dxa"/>
              <w:end w:w="110" w:type="dxa"/>
            </w:tcMar>
          </w:tcPr>
          <w:p>
            <w:pPr>
              <w:widowControl/>
              <w:spacing w:after="0"/>
            </w:pPr>
            <w:r>
              <w:rPr>
                <w:rFonts w:ascii="Arial" w:hAnsi="Arial"/>
                <w:sz w:val="17"/>
              </w:rPr>
              <w:t>DZ</w:t>
            </w:r>
          </w:p>
        </w:tc>
      </w:tr>
      <w:tr>
        <w:trPr>
          <w:cantSplit/>
        </w:trPr>
        <w:tc>
          <w:tcPr>
            <w:tcW w:type="dxa" w:w="3120"/>
            <w:tcMar>
              <w:top w:w="70" w:type="dxa"/>
              <w:start w:w="110" w:type="dxa"/>
              <w:bottom w:w="70" w:type="dxa"/>
              <w:end w:w="110" w:type="dxa"/>
            </w:tcMar>
            <w:shd w:fill="F4F6F7"/>
          </w:tcPr>
          <w:p>
            <w:pPr>
              <w:widowControl/>
              <w:spacing w:after="0"/>
            </w:pPr>
            <w:r>
              <w:rPr>
                <w:rFonts w:ascii="Arial" w:hAnsi="Arial"/>
                <w:sz w:val="17"/>
              </w:rPr>
              <w:t>6.00</w:t>
            </w:r>
          </w:p>
        </w:tc>
        <w:tc>
          <w:tcPr>
            <w:tcW w:type="dxa" w:w="3120"/>
            <w:tcMar>
              <w:top w:w="70" w:type="dxa"/>
              <w:start w:w="110" w:type="dxa"/>
              <w:bottom w:w="70" w:type="dxa"/>
              <w:end w:w="110" w:type="dxa"/>
            </w:tcMar>
            <w:shd w:fill="F4F6F7"/>
          </w:tcPr>
          <w:p>
            <w:pPr>
              <w:widowControl/>
              <w:spacing w:after="0"/>
            </w:pPr>
            <w:r>
              <w:rPr>
                <w:rFonts w:ascii="Arial" w:hAnsi="Arial"/>
                <w:sz w:val="17"/>
              </w:rPr>
              <w:t>W&amp;G COTTON KNIT SHIRTS/BLOUSES</w:t>
            </w:r>
          </w:p>
        </w:tc>
        <w:tc>
          <w:tcPr>
            <w:tcW w:type="dxa" w:w="3120"/>
            <w:tcMar>
              <w:top w:w="70" w:type="dxa"/>
              <w:start w:w="110" w:type="dxa"/>
              <w:bottom w:w="70" w:type="dxa"/>
              <w:end w:w="110" w:type="dxa"/>
            </w:tcMar>
            <w:shd w:fill="F4F6F7"/>
          </w:tcPr>
          <w:p>
            <w:pPr>
              <w:widowControl/>
              <w:spacing w:after="0"/>
            </w:pPr>
            <w:r>
              <w:rPr>
                <w:rFonts w:ascii="Arial" w:hAnsi="Arial"/>
                <w:sz w:val="17"/>
              </w:rPr>
              <w:t>DZ</w:t>
            </w:r>
          </w:p>
        </w:tc>
      </w:tr>
      <w:tr>
        <w:trPr>
          <w:cantSplit/>
        </w:trPr>
        <w:tc>
          <w:tcPr>
            <w:tcW w:type="dxa" w:w="3120"/>
            <w:tcMar>
              <w:top w:w="70" w:type="dxa"/>
              <w:start w:w="110" w:type="dxa"/>
              <w:bottom w:w="70" w:type="dxa"/>
              <w:end w:w="110" w:type="dxa"/>
            </w:tcMar>
          </w:tcPr>
          <w:p>
            <w:pPr>
              <w:widowControl/>
              <w:spacing w:after="0"/>
            </w:pPr>
            <w:r>
              <w:rPr>
                <w:rFonts w:ascii="Arial" w:hAnsi="Arial"/>
                <w:sz w:val="17"/>
              </w:rPr>
              <w:t>20.10</w:t>
            </w:r>
          </w:p>
        </w:tc>
        <w:tc>
          <w:tcPr>
            <w:tcW w:type="dxa" w:w="3120"/>
            <w:tcMar>
              <w:top w:w="70" w:type="dxa"/>
              <w:start w:w="110" w:type="dxa"/>
              <w:bottom w:w="70" w:type="dxa"/>
              <w:end w:w="110" w:type="dxa"/>
            </w:tcMar>
          </w:tcPr>
          <w:p>
            <w:pPr>
              <w:widowControl/>
              <w:spacing w:after="0"/>
            </w:pPr>
            <w:r>
              <w:rPr>
                <w:rFonts w:ascii="Arial" w:hAnsi="Arial"/>
                <w:sz w:val="17"/>
              </w:rPr>
              <w:t>M&amp;B COTTON SHIRTS, NOT KNIT</w:t>
            </w:r>
          </w:p>
        </w:tc>
        <w:tc>
          <w:tcPr>
            <w:tcW w:type="dxa" w:w="3120"/>
            <w:tcMar>
              <w:top w:w="70" w:type="dxa"/>
              <w:start w:w="110" w:type="dxa"/>
              <w:bottom w:w="70" w:type="dxa"/>
              <w:end w:w="110" w:type="dxa"/>
            </w:tcMar>
          </w:tcPr>
          <w:p>
            <w:pPr>
              <w:widowControl/>
              <w:spacing w:after="0"/>
            </w:pPr>
            <w:r>
              <w:rPr>
                <w:rFonts w:ascii="Arial" w:hAnsi="Arial"/>
                <w:sz w:val="17"/>
              </w:rPr>
              <w:t>DZ</w:t>
            </w:r>
          </w:p>
        </w:tc>
      </w:tr>
      <w:tr>
        <w:trPr>
          <w:cantSplit/>
        </w:trPr>
        <w:tc>
          <w:tcPr>
            <w:tcW w:type="dxa" w:w="3120"/>
            <w:tcMar>
              <w:top w:w="70" w:type="dxa"/>
              <w:start w:w="110" w:type="dxa"/>
              <w:bottom w:w="70" w:type="dxa"/>
              <w:end w:w="110" w:type="dxa"/>
            </w:tcMar>
            <w:shd w:fill="F4F6F7"/>
          </w:tcPr>
          <w:p>
            <w:pPr>
              <w:widowControl/>
              <w:spacing w:after="0"/>
            </w:pPr>
            <w:r>
              <w:rPr>
                <w:rFonts w:ascii="Arial" w:hAnsi="Arial"/>
                <w:sz w:val="17"/>
              </w:rPr>
              <w:t>12.10</w:t>
            </w:r>
          </w:p>
        </w:tc>
        <w:tc>
          <w:tcPr>
            <w:tcW w:type="dxa" w:w="3120"/>
            <w:tcMar>
              <w:top w:w="70" w:type="dxa"/>
              <w:start w:w="110" w:type="dxa"/>
              <w:bottom w:w="70" w:type="dxa"/>
              <w:end w:w="110" w:type="dxa"/>
            </w:tcMar>
            <w:shd w:fill="F4F6F7"/>
          </w:tcPr>
          <w:p>
            <w:pPr>
              <w:widowControl/>
              <w:spacing w:after="0"/>
            </w:pPr>
            <w:r>
              <w:rPr>
                <w:rFonts w:ascii="Arial" w:hAnsi="Arial"/>
                <w:sz w:val="17"/>
              </w:rPr>
              <w:t>W&amp;G COTTON SHIRTS/BLOUSES, NOT  KNIT</w:t>
            </w:r>
          </w:p>
        </w:tc>
        <w:tc>
          <w:tcPr>
            <w:tcW w:type="dxa" w:w="3120"/>
            <w:tcMar>
              <w:top w:w="70" w:type="dxa"/>
              <w:start w:w="110" w:type="dxa"/>
              <w:bottom w:w="70" w:type="dxa"/>
              <w:end w:w="110" w:type="dxa"/>
            </w:tcMar>
            <w:shd w:fill="F4F6F7"/>
          </w:tcPr>
          <w:p>
            <w:pPr>
              <w:widowControl/>
              <w:spacing w:after="0"/>
            </w:pPr>
            <w:r>
              <w:rPr>
                <w:rFonts w:ascii="Arial" w:hAnsi="Arial"/>
                <w:sz w:val="17"/>
              </w:rPr>
              <w:t>DZ</w:t>
            </w:r>
          </w:p>
        </w:tc>
      </w:tr>
      <w:tr>
        <w:trPr>
          <w:cantSplit/>
        </w:trPr>
        <w:tc>
          <w:tcPr>
            <w:tcW w:type="dxa" w:w="3120"/>
            <w:tcMar>
              <w:top w:w="70" w:type="dxa"/>
              <w:start w:w="110" w:type="dxa"/>
              <w:bottom w:w="70" w:type="dxa"/>
              <w:end w:w="110" w:type="dxa"/>
            </w:tcMar>
          </w:tcPr>
          <w:p>
            <w:pPr>
              <w:widowControl/>
              <w:spacing w:after="0"/>
            </w:pPr>
            <w:r>
              <w:rPr>
                <w:rFonts w:ascii="Arial" w:hAnsi="Arial"/>
                <w:sz w:val="17"/>
              </w:rPr>
              <w:t>14.90</w:t>
            </w:r>
          </w:p>
        </w:tc>
        <w:tc>
          <w:tcPr>
            <w:tcW w:type="dxa" w:w="3120"/>
            <w:tcMar>
              <w:top w:w="70" w:type="dxa"/>
              <w:start w:w="110" w:type="dxa"/>
              <w:bottom w:w="70" w:type="dxa"/>
              <w:end w:w="110" w:type="dxa"/>
            </w:tcMar>
          </w:tcPr>
          <w:p>
            <w:pPr>
              <w:widowControl/>
              <w:spacing w:after="0"/>
            </w:pPr>
            <w:r>
              <w:rPr>
                <w:rFonts w:ascii="Arial" w:hAnsi="Arial"/>
                <w:sz w:val="17"/>
              </w:rPr>
              <w:t>COTTON SKIRTS</w:t>
            </w:r>
          </w:p>
        </w:tc>
        <w:tc>
          <w:tcPr>
            <w:tcW w:type="dxa" w:w="3120"/>
            <w:tcMar>
              <w:top w:w="70" w:type="dxa"/>
              <w:start w:w="110" w:type="dxa"/>
              <w:bottom w:w="70" w:type="dxa"/>
              <w:end w:w="110" w:type="dxa"/>
            </w:tcMar>
          </w:tcPr>
          <w:p>
            <w:pPr>
              <w:widowControl/>
              <w:spacing w:after="0"/>
            </w:pPr>
            <w:r>
              <w:rPr>
                <w:rFonts w:ascii="Arial" w:hAnsi="Arial"/>
                <w:sz w:val="17"/>
              </w:rPr>
              <w:t>DZ</w:t>
            </w:r>
          </w:p>
        </w:tc>
      </w:tr>
      <w:tr>
        <w:trPr>
          <w:cantSplit/>
        </w:trPr>
        <w:tc>
          <w:tcPr>
            <w:tcW w:type="dxa" w:w="3120"/>
            <w:tcMar>
              <w:top w:w="70" w:type="dxa"/>
              <w:start w:w="110" w:type="dxa"/>
              <w:bottom w:w="70" w:type="dxa"/>
              <w:end w:w="110" w:type="dxa"/>
            </w:tcMar>
            <w:shd w:fill="F4F6F7"/>
          </w:tcPr>
          <w:p>
            <w:pPr>
              <w:widowControl/>
              <w:spacing w:after="0"/>
            </w:pPr>
            <w:r>
              <w:rPr>
                <w:rFonts w:ascii="Arial" w:hAnsi="Arial"/>
                <w:sz w:val="17"/>
              </w:rPr>
              <w:t>30.80</w:t>
            </w:r>
          </w:p>
        </w:tc>
        <w:tc>
          <w:tcPr>
            <w:tcW w:type="dxa" w:w="3120"/>
            <w:tcMar>
              <w:top w:w="70" w:type="dxa"/>
              <w:start w:w="110" w:type="dxa"/>
              <w:bottom w:w="70" w:type="dxa"/>
              <w:end w:w="110" w:type="dxa"/>
            </w:tcMar>
            <w:shd w:fill="F4F6F7"/>
          </w:tcPr>
          <w:p>
            <w:pPr>
              <w:widowControl/>
              <w:spacing w:after="0"/>
            </w:pPr>
            <w:r>
              <w:rPr>
                <w:rFonts w:ascii="Arial" w:hAnsi="Arial"/>
                <w:sz w:val="17"/>
              </w:rPr>
              <w:t>COTTON SWEATERS</w:t>
            </w:r>
          </w:p>
        </w:tc>
        <w:tc>
          <w:tcPr>
            <w:tcW w:type="dxa" w:w="3120"/>
            <w:tcMar>
              <w:top w:w="70" w:type="dxa"/>
              <w:start w:w="110" w:type="dxa"/>
              <w:bottom w:w="70" w:type="dxa"/>
              <w:end w:w="110" w:type="dxa"/>
            </w:tcMar>
            <w:shd w:fill="F4F6F7"/>
          </w:tcPr>
          <w:p>
            <w:pPr>
              <w:widowControl/>
              <w:spacing w:after="0"/>
            </w:pPr>
            <w:r>
              <w:rPr>
                <w:rFonts w:ascii="Arial" w:hAnsi="Arial"/>
                <w:sz w:val="17"/>
              </w:rPr>
              <w:t>DZ</w:t>
            </w:r>
          </w:p>
        </w:tc>
      </w:tr>
      <w:tr>
        <w:trPr>
          <w:cantSplit/>
        </w:trPr>
        <w:tc>
          <w:tcPr>
            <w:tcW w:type="dxa" w:w="3120"/>
            <w:tcMar>
              <w:top w:w="70" w:type="dxa"/>
              <w:start w:w="110" w:type="dxa"/>
              <w:bottom w:w="70" w:type="dxa"/>
              <w:end w:w="110" w:type="dxa"/>
            </w:tcMar>
          </w:tcPr>
          <w:p>
            <w:pPr>
              <w:widowControl/>
              <w:spacing w:after="0"/>
            </w:pPr>
            <w:r>
              <w:rPr>
                <w:rFonts w:ascii="Arial" w:hAnsi="Arial"/>
                <w:sz w:val="17"/>
              </w:rPr>
              <w:t>14.90</w:t>
            </w:r>
          </w:p>
        </w:tc>
        <w:tc>
          <w:tcPr>
            <w:tcW w:type="dxa" w:w="3120"/>
            <w:tcMar>
              <w:top w:w="70" w:type="dxa"/>
              <w:start w:w="110" w:type="dxa"/>
              <w:bottom w:w="70" w:type="dxa"/>
              <w:end w:w="110" w:type="dxa"/>
            </w:tcMar>
          </w:tcPr>
          <w:p>
            <w:pPr>
              <w:widowControl/>
              <w:spacing w:after="0"/>
            </w:pPr>
            <w:r>
              <w:rPr>
                <w:rFonts w:ascii="Arial" w:hAnsi="Arial"/>
                <w:sz w:val="17"/>
              </w:rPr>
              <w:t>M&amp;B COTTON  TROUSERS/BREECHES/SHORTS</w:t>
            </w:r>
          </w:p>
        </w:tc>
        <w:tc>
          <w:tcPr>
            <w:tcW w:type="dxa" w:w="3120"/>
            <w:tcMar>
              <w:top w:w="70" w:type="dxa"/>
              <w:start w:w="110" w:type="dxa"/>
              <w:bottom w:w="70" w:type="dxa"/>
              <w:end w:w="110" w:type="dxa"/>
            </w:tcMar>
          </w:tcPr>
          <w:p>
            <w:pPr>
              <w:widowControl/>
              <w:spacing w:after="0"/>
            </w:pPr>
            <w:r>
              <w:rPr>
                <w:rFonts w:ascii="Arial" w:hAnsi="Arial"/>
                <w:sz w:val="17"/>
              </w:rPr>
              <w:t>DZ</w:t>
            </w:r>
          </w:p>
        </w:tc>
      </w:tr>
      <w:tr>
        <w:trPr>
          <w:cantSplit/>
        </w:trPr>
        <w:tc>
          <w:tcPr>
            <w:tcW w:type="dxa" w:w="3120"/>
            <w:tcMar>
              <w:top w:w="70" w:type="dxa"/>
              <w:start w:w="110" w:type="dxa"/>
              <w:bottom w:w="70" w:type="dxa"/>
              <w:end w:w="110" w:type="dxa"/>
            </w:tcMar>
            <w:shd w:fill="F4F6F7"/>
          </w:tcPr>
          <w:p>
            <w:pPr>
              <w:widowControl/>
              <w:spacing w:after="0"/>
            </w:pPr>
            <w:r>
              <w:rPr>
                <w:rFonts w:ascii="Arial" w:hAnsi="Arial"/>
                <w:sz w:val="17"/>
              </w:rPr>
              <w:t>14.90</w:t>
            </w:r>
          </w:p>
        </w:tc>
        <w:tc>
          <w:tcPr>
            <w:tcW w:type="dxa" w:w="3120"/>
            <w:tcMar>
              <w:top w:w="70" w:type="dxa"/>
              <w:start w:w="110" w:type="dxa"/>
              <w:bottom w:w="70" w:type="dxa"/>
              <w:end w:w="110" w:type="dxa"/>
            </w:tcMar>
            <w:shd w:fill="F4F6F7"/>
          </w:tcPr>
          <w:p>
            <w:pPr>
              <w:widowControl/>
              <w:spacing w:after="0"/>
            </w:pPr>
            <w:r>
              <w:rPr>
                <w:rFonts w:ascii="Arial" w:hAnsi="Arial"/>
                <w:sz w:val="17"/>
              </w:rPr>
              <w:t>W&amp;G COTTON  TROUSERS/BREECHES/SHORTS</w:t>
            </w:r>
          </w:p>
        </w:tc>
        <w:tc>
          <w:tcPr>
            <w:tcW w:type="dxa" w:w="3120"/>
            <w:tcMar>
              <w:top w:w="70" w:type="dxa"/>
              <w:start w:w="110" w:type="dxa"/>
              <w:bottom w:w="70" w:type="dxa"/>
              <w:end w:w="110" w:type="dxa"/>
            </w:tcMar>
            <w:shd w:fill="F4F6F7"/>
          </w:tcPr>
          <w:p>
            <w:pPr>
              <w:widowControl/>
              <w:spacing w:after="0"/>
            </w:pPr>
            <w:r>
              <w:rPr>
                <w:rFonts w:ascii="Arial" w:hAnsi="Arial"/>
                <w:sz w:val="17"/>
              </w:rPr>
              <w:t>DZ</w:t>
            </w:r>
          </w:p>
        </w:tc>
      </w:tr>
      <w:tr>
        <w:trPr>
          <w:cantSplit/>
        </w:trPr>
        <w:tc>
          <w:tcPr>
            <w:tcW w:type="dxa" w:w="3120"/>
            <w:tcMar>
              <w:top w:w="70" w:type="dxa"/>
              <w:start w:w="110" w:type="dxa"/>
              <w:bottom w:w="70" w:type="dxa"/>
              <w:end w:w="110" w:type="dxa"/>
            </w:tcMar>
          </w:tcPr>
          <w:p>
            <w:pPr>
              <w:widowControl/>
              <w:spacing w:after="0"/>
            </w:pPr>
            <w:r>
              <w:rPr>
                <w:rFonts w:ascii="Arial" w:hAnsi="Arial"/>
                <w:sz w:val="17"/>
              </w:rPr>
              <w:t>4.00</w:t>
            </w:r>
          </w:p>
        </w:tc>
        <w:tc>
          <w:tcPr>
            <w:tcW w:type="dxa" w:w="3120"/>
            <w:tcMar>
              <w:top w:w="70" w:type="dxa"/>
              <w:start w:w="110" w:type="dxa"/>
              <w:bottom w:w="70" w:type="dxa"/>
              <w:end w:w="110" w:type="dxa"/>
            </w:tcMar>
          </w:tcPr>
          <w:p>
            <w:pPr>
              <w:widowControl/>
              <w:spacing w:after="0"/>
            </w:pPr>
            <w:r>
              <w:rPr>
                <w:rFonts w:ascii="Arial" w:hAnsi="Arial"/>
                <w:sz w:val="17"/>
              </w:rPr>
              <w:t>BRASSIERES, OTHER BODY SUPPORT  GARMENTS</w:t>
            </w:r>
          </w:p>
        </w:tc>
        <w:tc>
          <w:tcPr>
            <w:tcW w:type="dxa" w:w="3120"/>
            <w:tcMar>
              <w:top w:w="70" w:type="dxa"/>
              <w:start w:w="110" w:type="dxa"/>
              <w:bottom w:w="70" w:type="dxa"/>
              <w:end w:w="110" w:type="dxa"/>
            </w:tcMar>
          </w:tcPr>
          <w:p>
            <w:pPr>
              <w:widowControl/>
              <w:spacing w:after="0"/>
            </w:pPr>
            <w:r>
              <w:rPr>
                <w:rFonts w:ascii="Arial" w:hAnsi="Arial"/>
                <w:sz w:val="17"/>
              </w:rPr>
              <w:t>DZ</w:t>
            </w:r>
          </w:p>
        </w:tc>
      </w:tr>
      <w:tr>
        <w:trPr>
          <w:cantSplit/>
        </w:trPr>
        <w:tc>
          <w:tcPr>
            <w:tcW w:type="dxa" w:w="3120"/>
            <w:tcMar>
              <w:top w:w="70" w:type="dxa"/>
              <w:start w:w="110" w:type="dxa"/>
              <w:bottom w:w="70" w:type="dxa"/>
              <w:end w:w="110" w:type="dxa"/>
            </w:tcMar>
            <w:shd w:fill="F4F6F7"/>
          </w:tcPr>
          <w:p>
            <w:pPr>
              <w:widowControl/>
              <w:spacing w:after="0"/>
            </w:pPr>
            <w:r>
              <w:rPr>
                <w:rFonts w:ascii="Arial" w:hAnsi="Arial"/>
                <w:sz w:val="17"/>
              </w:rPr>
              <w:t>42.60</w:t>
            </w:r>
          </w:p>
        </w:tc>
        <w:tc>
          <w:tcPr>
            <w:tcW w:type="dxa" w:w="3120"/>
            <w:tcMar>
              <w:top w:w="70" w:type="dxa"/>
              <w:start w:w="110" w:type="dxa"/>
              <w:bottom w:w="70" w:type="dxa"/>
              <w:end w:w="110" w:type="dxa"/>
            </w:tcMar>
            <w:shd w:fill="F4F6F7"/>
          </w:tcPr>
          <w:p>
            <w:pPr>
              <w:widowControl/>
              <w:spacing w:after="0"/>
            </w:pPr>
            <w:r>
              <w:rPr>
                <w:rFonts w:ascii="Arial" w:hAnsi="Arial"/>
                <w:sz w:val="17"/>
              </w:rPr>
              <w:t>COTTON DRESSING GOWNS, ROBES ETC.</w:t>
            </w:r>
          </w:p>
        </w:tc>
        <w:tc>
          <w:tcPr>
            <w:tcW w:type="dxa" w:w="3120"/>
            <w:tcMar>
              <w:top w:w="70" w:type="dxa"/>
              <w:start w:w="110" w:type="dxa"/>
              <w:bottom w:w="70" w:type="dxa"/>
              <w:end w:w="110" w:type="dxa"/>
            </w:tcMar>
            <w:shd w:fill="F4F6F7"/>
          </w:tcPr>
          <w:p>
            <w:pPr>
              <w:widowControl/>
              <w:spacing w:after="0"/>
            </w:pPr>
            <w:r>
              <w:rPr>
                <w:rFonts w:ascii="Arial" w:hAnsi="Arial"/>
                <w:sz w:val="17"/>
              </w:rPr>
              <w:t>DZ</w:t>
            </w:r>
          </w:p>
        </w:tc>
      </w:tr>
      <w:tr>
        <w:trPr>
          <w:cantSplit/>
        </w:trPr>
        <w:tc>
          <w:tcPr>
            <w:tcW w:type="dxa" w:w="3120"/>
            <w:tcMar>
              <w:top w:w="70" w:type="dxa"/>
              <w:start w:w="110" w:type="dxa"/>
              <w:bottom w:w="70" w:type="dxa"/>
              <w:end w:w="110" w:type="dxa"/>
            </w:tcMar>
          </w:tcPr>
          <w:p>
            <w:pPr>
              <w:widowControl/>
              <w:spacing w:after="0"/>
            </w:pPr>
            <w:r>
              <w:rPr>
                <w:rFonts w:ascii="Arial" w:hAnsi="Arial"/>
                <w:sz w:val="17"/>
              </w:rPr>
              <w:t>43.50</w:t>
            </w:r>
          </w:p>
        </w:tc>
        <w:tc>
          <w:tcPr>
            <w:tcW w:type="dxa" w:w="3120"/>
            <w:tcMar>
              <w:top w:w="70" w:type="dxa"/>
              <w:start w:w="110" w:type="dxa"/>
              <w:bottom w:w="70" w:type="dxa"/>
              <w:end w:w="110" w:type="dxa"/>
            </w:tcMar>
          </w:tcPr>
          <w:p>
            <w:pPr>
              <w:widowControl/>
              <w:spacing w:after="0"/>
            </w:pPr>
            <w:r>
              <w:rPr>
                <w:rFonts w:ascii="Arial" w:hAnsi="Arial"/>
                <w:sz w:val="17"/>
              </w:rPr>
              <w:t>COTTON NIGHTWEAR/PAJAMAS</w:t>
            </w:r>
          </w:p>
        </w:tc>
        <w:tc>
          <w:tcPr>
            <w:tcW w:type="dxa" w:w="3120"/>
            <w:tcMar>
              <w:top w:w="70" w:type="dxa"/>
              <w:start w:w="110" w:type="dxa"/>
              <w:bottom w:w="70" w:type="dxa"/>
              <w:end w:w="110" w:type="dxa"/>
            </w:tcMar>
          </w:tcPr>
          <w:p>
            <w:pPr>
              <w:widowControl/>
              <w:spacing w:after="0"/>
            </w:pPr>
            <w:r>
              <w:rPr>
                <w:rFonts w:ascii="Arial" w:hAnsi="Arial"/>
                <w:sz w:val="17"/>
              </w:rPr>
              <w:t>DZ</w:t>
            </w:r>
          </w:p>
        </w:tc>
      </w:tr>
      <w:tr>
        <w:trPr>
          <w:cantSplit/>
        </w:trPr>
        <w:tc>
          <w:tcPr>
            <w:tcW w:type="dxa" w:w="3120"/>
            <w:tcMar>
              <w:top w:w="70" w:type="dxa"/>
              <w:start w:w="110" w:type="dxa"/>
              <w:bottom w:w="70" w:type="dxa"/>
              <w:end w:w="110" w:type="dxa"/>
            </w:tcMar>
            <w:shd w:fill="F4F6F7"/>
          </w:tcPr>
          <w:p>
            <w:pPr>
              <w:widowControl/>
              <w:spacing w:after="0"/>
            </w:pPr>
            <w:r>
              <w:rPr>
                <w:rFonts w:ascii="Arial" w:hAnsi="Arial"/>
                <w:sz w:val="17"/>
              </w:rPr>
              <w:t>9.20</w:t>
            </w:r>
          </w:p>
        </w:tc>
        <w:tc>
          <w:tcPr>
            <w:tcW w:type="dxa" w:w="3120"/>
            <w:tcMar>
              <w:top w:w="70" w:type="dxa"/>
              <w:start w:w="110" w:type="dxa"/>
              <w:bottom w:w="70" w:type="dxa"/>
              <w:end w:w="110" w:type="dxa"/>
            </w:tcMar>
            <w:shd w:fill="F4F6F7"/>
          </w:tcPr>
          <w:p>
            <w:pPr>
              <w:widowControl/>
              <w:spacing w:after="0"/>
            </w:pPr>
            <w:r>
              <w:rPr>
                <w:rFonts w:ascii="Arial" w:hAnsi="Arial"/>
                <w:sz w:val="17"/>
              </w:rPr>
              <w:t>COTTON UNDERWEAR</w:t>
            </w:r>
          </w:p>
        </w:tc>
        <w:tc>
          <w:tcPr>
            <w:tcW w:type="dxa" w:w="3120"/>
            <w:tcMar>
              <w:top w:w="70" w:type="dxa"/>
              <w:start w:w="110" w:type="dxa"/>
              <w:bottom w:w="70" w:type="dxa"/>
              <w:end w:w="110" w:type="dxa"/>
            </w:tcMar>
            <w:shd w:fill="F4F6F7"/>
          </w:tcPr>
          <w:p>
            <w:pPr>
              <w:widowControl/>
              <w:spacing w:after="0"/>
            </w:pPr>
            <w:r>
              <w:rPr>
                <w:rFonts w:ascii="Arial" w:hAnsi="Arial"/>
                <w:sz w:val="17"/>
              </w:rPr>
              <w:t>DZ</w:t>
            </w:r>
          </w:p>
        </w:tc>
      </w:tr>
      <w:tr>
        <w:trPr>
          <w:cantSplit/>
        </w:trPr>
        <w:tc>
          <w:tcPr>
            <w:tcW w:type="dxa" w:w="3120"/>
            <w:tcMar>
              <w:top w:w="70" w:type="dxa"/>
              <w:start w:w="110" w:type="dxa"/>
              <w:bottom w:w="70" w:type="dxa"/>
              <w:end w:w="110" w:type="dxa"/>
            </w:tcMar>
          </w:tcPr>
          <w:p>
            <w:pPr>
              <w:widowControl/>
              <w:spacing w:after="0"/>
            </w:pPr>
            <w:r>
              <w:rPr>
                <w:rFonts w:ascii="Arial" w:hAnsi="Arial"/>
                <w:sz w:val="17"/>
              </w:rPr>
              <w:t>34.50</w:t>
            </w:r>
          </w:p>
        </w:tc>
        <w:tc>
          <w:tcPr>
            <w:tcW w:type="dxa" w:w="3120"/>
            <w:tcMar>
              <w:top w:w="70" w:type="dxa"/>
              <w:start w:w="110" w:type="dxa"/>
              <w:bottom w:w="70" w:type="dxa"/>
              <w:end w:w="110" w:type="dxa"/>
            </w:tcMar>
          </w:tcPr>
          <w:p>
            <w:pPr>
              <w:widowControl/>
              <w:spacing w:after="0"/>
            </w:pPr>
            <w:r>
              <w:rPr>
                <w:rFonts w:ascii="Arial" w:hAnsi="Arial"/>
                <w:sz w:val="17"/>
              </w:rPr>
              <w:t>M&amp;B COTTON DOWN FILLED COATS</w:t>
            </w:r>
          </w:p>
        </w:tc>
        <w:tc>
          <w:tcPr>
            <w:tcW w:type="dxa" w:w="3120"/>
            <w:tcMar>
              <w:top w:w="70" w:type="dxa"/>
              <w:start w:w="110" w:type="dxa"/>
              <w:bottom w:w="70" w:type="dxa"/>
              <w:end w:w="110" w:type="dxa"/>
            </w:tcMar>
          </w:tcPr>
          <w:p>
            <w:pPr>
              <w:widowControl/>
              <w:spacing w:after="0"/>
            </w:pPr>
            <w:r>
              <w:rPr>
                <w:rFonts w:ascii="Arial" w:hAnsi="Arial"/>
                <w:sz w:val="17"/>
              </w:rPr>
              <w:t>DZ</w:t>
            </w:r>
          </w:p>
        </w:tc>
      </w:tr>
      <w:tr>
        <w:trPr>
          <w:cantSplit/>
        </w:trPr>
        <w:tc>
          <w:tcPr>
            <w:tcW w:type="dxa" w:w="3120"/>
            <w:tcMar>
              <w:top w:w="70" w:type="dxa"/>
              <w:start w:w="110" w:type="dxa"/>
              <w:bottom w:w="70" w:type="dxa"/>
              <w:end w:w="110" w:type="dxa"/>
            </w:tcMar>
            <w:shd w:fill="F4F6F7"/>
          </w:tcPr>
          <w:p>
            <w:pPr>
              <w:widowControl/>
              <w:spacing w:after="0"/>
            </w:pPr>
            <w:r>
              <w:rPr>
                <w:rFonts w:ascii="Arial" w:hAnsi="Arial"/>
                <w:sz w:val="17"/>
              </w:rPr>
              <w:t>34.50</w:t>
            </w:r>
          </w:p>
        </w:tc>
        <w:tc>
          <w:tcPr>
            <w:tcW w:type="dxa" w:w="3120"/>
            <w:tcMar>
              <w:top w:w="70" w:type="dxa"/>
              <w:start w:w="110" w:type="dxa"/>
              <w:bottom w:w="70" w:type="dxa"/>
              <w:end w:w="110" w:type="dxa"/>
            </w:tcMar>
            <w:shd w:fill="F4F6F7"/>
          </w:tcPr>
          <w:p>
            <w:pPr>
              <w:widowControl/>
              <w:spacing w:after="0"/>
            </w:pPr>
            <w:r>
              <w:rPr>
                <w:rFonts w:ascii="Arial" w:hAnsi="Arial"/>
                <w:sz w:val="17"/>
              </w:rPr>
              <w:t>W&amp;G COTTON DOWN FILLED COATS</w:t>
            </w:r>
          </w:p>
        </w:tc>
        <w:tc>
          <w:tcPr>
            <w:tcW w:type="dxa" w:w="3120"/>
            <w:tcMar>
              <w:top w:w="70" w:type="dxa"/>
              <w:start w:w="110" w:type="dxa"/>
              <w:bottom w:w="70" w:type="dxa"/>
              <w:end w:w="110" w:type="dxa"/>
            </w:tcMar>
            <w:shd w:fill="F4F6F7"/>
          </w:tcPr>
          <w:p>
            <w:pPr>
              <w:widowControl/>
              <w:spacing w:after="0"/>
            </w:pPr>
            <w:r>
              <w:rPr>
                <w:rFonts w:ascii="Arial" w:hAnsi="Arial"/>
                <w:sz w:val="17"/>
              </w:rPr>
              <w:t>DZ</w:t>
            </w:r>
          </w:p>
        </w:tc>
      </w:tr>
      <w:tr>
        <w:trPr>
          <w:cantSplit/>
        </w:trPr>
        <w:tc>
          <w:tcPr>
            <w:tcW w:type="dxa" w:w="3120"/>
            <w:tcMar>
              <w:top w:w="70" w:type="dxa"/>
              <w:start w:w="110" w:type="dxa"/>
              <w:bottom w:w="70" w:type="dxa"/>
              <w:end w:w="110" w:type="dxa"/>
            </w:tcMar>
          </w:tcPr>
          <w:p>
            <w:pPr>
              <w:widowControl/>
              <w:spacing w:after="0"/>
            </w:pPr>
            <w:r>
              <w:rPr>
                <w:rFonts w:ascii="Arial" w:hAnsi="Arial"/>
                <w:sz w:val="17"/>
              </w:rPr>
              <w:t>8.50</w:t>
            </w:r>
          </w:p>
        </w:tc>
        <w:tc>
          <w:tcPr>
            <w:tcW w:type="dxa" w:w="3120"/>
            <w:tcMar>
              <w:top w:w="70" w:type="dxa"/>
              <w:start w:w="110" w:type="dxa"/>
              <w:bottom w:w="70" w:type="dxa"/>
              <w:end w:w="110" w:type="dxa"/>
            </w:tcMar>
          </w:tcPr>
          <w:p>
            <w:pPr>
              <w:widowControl/>
              <w:spacing w:after="0"/>
            </w:pPr>
            <w:r>
              <w:rPr>
                <w:rFonts w:ascii="Arial" w:hAnsi="Arial"/>
                <w:sz w:val="17"/>
              </w:rPr>
              <w:t>OTHER COTTON APPAREL</w:t>
            </w:r>
          </w:p>
        </w:tc>
        <w:tc>
          <w:tcPr>
            <w:tcW w:type="dxa" w:w="3120"/>
            <w:tcMar>
              <w:top w:w="70" w:type="dxa"/>
              <w:start w:w="110" w:type="dxa"/>
              <w:bottom w:w="70" w:type="dxa"/>
              <w:end w:w="110" w:type="dxa"/>
            </w:tcMar>
          </w:tcPr>
          <w:p>
            <w:pPr>
              <w:widowControl/>
              <w:spacing w:after="0"/>
            </w:pPr>
            <w:r>
              <w:rPr>
                <w:rFonts w:ascii="Arial" w:hAnsi="Arial"/>
                <w:sz w:val="17"/>
              </w:rPr>
              <w:t>KG</w:t>
            </w:r>
          </w:p>
        </w:tc>
      </w:tr>
      <w:tr>
        <w:trPr>
          <w:cantSplit/>
        </w:trPr>
        <w:tc>
          <w:tcPr>
            <w:tcW w:type="dxa" w:w="3120"/>
            <w:tcMar>
              <w:top w:w="70" w:type="dxa"/>
              <w:start w:w="110" w:type="dxa"/>
              <w:bottom w:w="70" w:type="dxa"/>
              <w:end w:w="110" w:type="dxa"/>
            </w:tcMar>
            <w:shd w:fill="F4F6F7"/>
          </w:tcPr>
          <w:p>
            <w:pPr>
              <w:widowControl/>
              <w:spacing w:after="0"/>
            </w:pPr>
            <w:r>
              <w:rPr>
                <w:rFonts w:ascii="Arial" w:hAnsi="Arial"/>
                <w:sz w:val="17"/>
              </w:rPr>
              <w:t>0.90</w:t>
            </w:r>
          </w:p>
        </w:tc>
        <w:tc>
          <w:tcPr>
            <w:tcW w:type="dxa" w:w="3120"/>
            <w:tcMar>
              <w:top w:w="70" w:type="dxa"/>
              <w:start w:w="110" w:type="dxa"/>
              <w:bottom w:w="70" w:type="dxa"/>
              <w:end w:w="110" w:type="dxa"/>
            </w:tcMar>
            <w:shd w:fill="F4F6F7"/>
          </w:tcPr>
          <w:p>
            <w:pPr>
              <w:widowControl/>
              <w:spacing w:after="0"/>
            </w:pPr>
            <w:r>
              <w:rPr>
                <w:rFonts w:ascii="Arial" w:hAnsi="Arial"/>
                <w:sz w:val="17"/>
              </w:rPr>
              <w:t>COTTON PILLOWCASES</w:t>
            </w:r>
          </w:p>
        </w:tc>
        <w:tc>
          <w:tcPr>
            <w:tcW w:type="dxa" w:w="3120"/>
            <w:tcMar>
              <w:top w:w="70" w:type="dxa"/>
              <w:start w:w="110" w:type="dxa"/>
              <w:bottom w:w="70" w:type="dxa"/>
              <w:end w:w="110" w:type="dxa"/>
            </w:tcMar>
            <w:shd w:fill="F4F6F7"/>
          </w:tcPr>
          <w:p>
            <w:pPr>
              <w:widowControl/>
              <w:spacing w:after="0"/>
            </w:pPr>
            <w:r>
              <w:rPr>
                <w:rFonts w:ascii="Arial" w:hAnsi="Arial"/>
                <w:sz w:val="17"/>
              </w:rPr>
              <w:t>NO</w:t>
            </w:r>
          </w:p>
        </w:tc>
      </w:tr>
      <w:tr>
        <w:trPr>
          <w:cantSplit/>
        </w:trPr>
        <w:tc>
          <w:tcPr>
            <w:tcW w:type="dxa" w:w="3120"/>
            <w:tcMar>
              <w:top w:w="70" w:type="dxa"/>
              <w:start w:w="110" w:type="dxa"/>
              <w:bottom w:w="70" w:type="dxa"/>
              <w:end w:w="110" w:type="dxa"/>
            </w:tcMar>
          </w:tcPr>
          <w:p>
            <w:pPr>
              <w:widowControl/>
              <w:spacing w:after="0"/>
            </w:pPr>
            <w:r>
              <w:rPr>
                <w:rFonts w:ascii="Arial" w:hAnsi="Arial"/>
                <w:sz w:val="17"/>
              </w:rPr>
              <w:t>5.20</w:t>
            </w:r>
          </w:p>
        </w:tc>
        <w:tc>
          <w:tcPr>
            <w:tcW w:type="dxa" w:w="3120"/>
            <w:tcMar>
              <w:top w:w="70" w:type="dxa"/>
              <w:start w:w="110" w:type="dxa"/>
              <w:bottom w:w="70" w:type="dxa"/>
              <w:end w:w="110" w:type="dxa"/>
            </w:tcMar>
          </w:tcPr>
          <w:p>
            <w:pPr>
              <w:widowControl/>
              <w:spacing w:after="0"/>
            </w:pPr>
            <w:r>
              <w:rPr>
                <w:rFonts w:ascii="Arial" w:hAnsi="Arial"/>
                <w:sz w:val="17"/>
              </w:rPr>
              <w:t>COTTON SHEETS</w:t>
            </w:r>
          </w:p>
        </w:tc>
        <w:tc>
          <w:tcPr>
            <w:tcW w:type="dxa" w:w="3120"/>
            <w:tcMar>
              <w:top w:w="70" w:type="dxa"/>
              <w:start w:w="110" w:type="dxa"/>
              <w:bottom w:w="70" w:type="dxa"/>
              <w:end w:w="110" w:type="dxa"/>
            </w:tcMar>
          </w:tcPr>
          <w:p>
            <w:pPr>
              <w:widowControl/>
              <w:spacing w:after="0"/>
            </w:pPr>
            <w:r>
              <w:rPr>
                <w:rFonts w:ascii="Arial" w:hAnsi="Arial"/>
                <w:sz w:val="17"/>
              </w:rPr>
              <w:t>NO</w:t>
            </w:r>
          </w:p>
        </w:tc>
      </w:tr>
      <w:tr>
        <w:trPr>
          <w:cantSplit/>
        </w:trPr>
        <w:tc>
          <w:tcPr>
            <w:tcW w:type="dxa" w:w="3120"/>
            <w:tcMar>
              <w:top w:w="70" w:type="dxa"/>
              <w:start w:w="110" w:type="dxa"/>
              <w:bottom w:w="70" w:type="dxa"/>
              <w:end w:w="110" w:type="dxa"/>
            </w:tcMar>
            <w:shd w:fill="F4F6F7"/>
          </w:tcPr>
          <w:p>
            <w:pPr>
              <w:widowControl/>
              <w:spacing w:after="0"/>
            </w:pPr>
            <w:r>
              <w:rPr>
                <w:rFonts w:ascii="Arial" w:hAnsi="Arial"/>
                <w:sz w:val="17"/>
              </w:rPr>
              <w:t>5.80</w:t>
            </w:r>
          </w:p>
        </w:tc>
        <w:tc>
          <w:tcPr>
            <w:tcW w:type="dxa" w:w="3120"/>
            <w:tcMar>
              <w:top w:w="70" w:type="dxa"/>
              <w:start w:w="110" w:type="dxa"/>
              <w:bottom w:w="70" w:type="dxa"/>
              <w:end w:w="110" w:type="dxa"/>
            </w:tcMar>
            <w:shd w:fill="F4F6F7"/>
          </w:tcPr>
          <w:p>
            <w:pPr>
              <w:widowControl/>
              <w:spacing w:after="0"/>
            </w:pPr>
            <w:r>
              <w:rPr>
                <w:rFonts w:ascii="Arial" w:hAnsi="Arial"/>
                <w:sz w:val="17"/>
              </w:rPr>
              <w:t>OTHER COTTON BEDDING</w:t>
            </w:r>
          </w:p>
        </w:tc>
        <w:tc>
          <w:tcPr>
            <w:tcW w:type="dxa" w:w="3120"/>
            <w:tcMar>
              <w:top w:w="70" w:type="dxa"/>
              <w:start w:w="110" w:type="dxa"/>
              <w:bottom w:w="70" w:type="dxa"/>
              <w:end w:w="110" w:type="dxa"/>
            </w:tcMar>
            <w:shd w:fill="F4F6F7"/>
          </w:tcPr>
          <w:p>
            <w:pPr>
              <w:widowControl/>
              <w:spacing w:after="0"/>
            </w:pPr>
            <w:r>
              <w:rPr>
                <w:rFonts w:ascii="Arial" w:hAnsi="Arial"/>
                <w:sz w:val="17"/>
              </w:rPr>
              <w:t>NO</w:t>
            </w:r>
          </w:p>
        </w:tc>
      </w:tr>
      <w:tr>
        <w:trPr>
          <w:cantSplit/>
        </w:trPr>
        <w:tc>
          <w:tcPr>
            <w:tcW w:type="dxa" w:w="3120"/>
            <w:tcMar>
              <w:top w:w="70" w:type="dxa"/>
              <w:start w:w="110" w:type="dxa"/>
              <w:bottom w:w="70" w:type="dxa"/>
              <w:end w:w="110" w:type="dxa"/>
            </w:tcMar>
          </w:tcPr>
          <w:p>
            <w:pPr>
              <w:widowControl/>
              <w:spacing w:after="0"/>
            </w:pPr>
            <w:r>
              <w:rPr>
                <w:rFonts w:ascii="Arial" w:hAnsi="Arial"/>
                <w:sz w:val="17"/>
              </w:rPr>
              <w:t>0.40</w:t>
            </w:r>
          </w:p>
        </w:tc>
        <w:tc>
          <w:tcPr>
            <w:tcW w:type="dxa" w:w="3120"/>
            <w:tcMar>
              <w:top w:w="70" w:type="dxa"/>
              <w:start w:w="110" w:type="dxa"/>
              <w:bottom w:w="70" w:type="dxa"/>
              <w:end w:w="110" w:type="dxa"/>
            </w:tcMar>
          </w:tcPr>
          <w:p>
            <w:pPr>
              <w:widowControl/>
              <w:spacing w:after="0"/>
            </w:pPr>
            <w:r>
              <w:rPr>
                <w:rFonts w:ascii="Arial" w:hAnsi="Arial"/>
                <w:sz w:val="17"/>
              </w:rPr>
              <w:t>COTTON TERRY &amp; OTHER PILE TOWELS</w:t>
            </w:r>
          </w:p>
        </w:tc>
        <w:tc>
          <w:tcPr>
            <w:tcW w:type="dxa" w:w="3120"/>
            <w:tcMar>
              <w:top w:w="70" w:type="dxa"/>
              <w:start w:w="110" w:type="dxa"/>
              <w:bottom w:w="70" w:type="dxa"/>
              <w:end w:w="110" w:type="dxa"/>
            </w:tcMar>
          </w:tcPr>
          <w:p>
            <w:pPr>
              <w:widowControl/>
              <w:spacing w:after="0"/>
            </w:pPr>
            <w:r>
              <w:rPr>
                <w:rFonts w:ascii="Arial" w:hAnsi="Arial"/>
                <w:sz w:val="17"/>
              </w:rPr>
              <w:t>NO</w:t>
            </w:r>
          </w:p>
        </w:tc>
      </w:tr>
      <w:tr>
        <w:trPr>
          <w:cantSplit/>
        </w:trPr>
        <w:tc>
          <w:tcPr>
            <w:tcW w:type="dxa" w:w="3120"/>
            <w:tcMar>
              <w:top w:w="70" w:type="dxa"/>
              <w:start w:w="110" w:type="dxa"/>
              <w:bottom w:w="70" w:type="dxa"/>
              <w:end w:w="110" w:type="dxa"/>
            </w:tcMar>
            <w:shd w:fill="F4F6F7"/>
          </w:tcPr>
          <w:p>
            <w:pPr>
              <w:widowControl/>
              <w:spacing w:after="0"/>
            </w:pPr>
            <w:r>
              <w:rPr>
                <w:rFonts w:ascii="Arial" w:hAnsi="Arial"/>
                <w:sz w:val="17"/>
              </w:rPr>
              <w:t>8.50</w:t>
            </w:r>
          </w:p>
        </w:tc>
        <w:tc>
          <w:tcPr>
            <w:tcW w:type="dxa" w:w="3120"/>
            <w:tcMar>
              <w:top w:w="70" w:type="dxa"/>
              <w:start w:w="110" w:type="dxa"/>
              <w:bottom w:w="70" w:type="dxa"/>
              <w:end w:w="110" w:type="dxa"/>
            </w:tcMar>
            <w:shd w:fill="F4F6F7"/>
          </w:tcPr>
          <w:p>
            <w:pPr>
              <w:widowControl/>
              <w:spacing w:after="0"/>
            </w:pPr>
            <w:r>
              <w:rPr>
                <w:rFonts w:ascii="Arial" w:hAnsi="Arial"/>
                <w:sz w:val="17"/>
              </w:rPr>
              <w:t>OTHER COTTON MANUFACTURES</w:t>
            </w:r>
          </w:p>
        </w:tc>
        <w:tc>
          <w:tcPr>
            <w:tcW w:type="dxa" w:w="3120"/>
            <w:tcMar>
              <w:top w:w="70" w:type="dxa"/>
              <w:start w:w="110" w:type="dxa"/>
              <w:bottom w:w="70" w:type="dxa"/>
              <w:end w:w="110" w:type="dxa"/>
            </w:tcMar>
            <w:shd w:fill="F4F6F7"/>
          </w:tcPr>
          <w:p>
            <w:pPr>
              <w:widowControl/>
              <w:spacing w:after="0"/>
            </w:pPr>
            <w:r>
              <w:rPr>
                <w:rFonts w:ascii="Arial" w:hAnsi="Arial"/>
                <w:sz w:val="17"/>
              </w:rPr>
              <w:t>KG</w:t>
            </w:r>
          </w:p>
        </w:tc>
      </w:tr>
      <w:tr>
        <w:trPr>
          <w:cantSplit/>
        </w:trPr>
        <w:tc>
          <w:tcPr>
            <w:tcW w:type="dxa" w:w="3120"/>
            <w:tcMar>
              <w:top w:w="70" w:type="dxa"/>
              <w:start w:w="110" w:type="dxa"/>
              <w:bottom w:w="70" w:type="dxa"/>
              <w:end w:w="110" w:type="dxa"/>
            </w:tcMar>
          </w:tcPr>
          <w:p>
            <w:pPr>
              <w:widowControl/>
              <w:spacing w:after="0"/>
            </w:pPr>
            <w:r>
              <w:rPr>
                <w:rFonts w:ascii="Arial" w:hAnsi="Arial"/>
                <w:sz w:val="17"/>
              </w:rPr>
              <w:t>3.70</w:t>
            </w:r>
          </w:p>
        </w:tc>
        <w:tc>
          <w:tcPr>
            <w:tcW w:type="dxa" w:w="3120"/>
            <w:tcMar>
              <w:top w:w="70" w:type="dxa"/>
              <w:start w:w="110" w:type="dxa"/>
              <w:bottom w:w="70" w:type="dxa"/>
              <w:end w:w="110" w:type="dxa"/>
            </w:tcMar>
          </w:tcPr>
          <w:p>
            <w:pPr>
              <w:widowControl/>
              <w:spacing w:after="0"/>
            </w:pPr>
            <w:r>
              <w:rPr>
                <w:rFonts w:ascii="Arial" w:hAnsi="Arial"/>
                <w:sz w:val="17"/>
              </w:rPr>
              <w:t>WOOL YARN</w:t>
            </w:r>
          </w:p>
        </w:tc>
        <w:tc>
          <w:tcPr>
            <w:tcW w:type="dxa" w:w="3120"/>
            <w:tcMar>
              <w:top w:w="70" w:type="dxa"/>
              <w:start w:w="110" w:type="dxa"/>
              <w:bottom w:w="70" w:type="dxa"/>
              <w:end w:w="110" w:type="dxa"/>
            </w:tcMar>
          </w:tcPr>
          <w:p>
            <w:pPr>
              <w:widowControl/>
              <w:spacing w:after="0"/>
            </w:pPr>
            <w:r>
              <w:rPr>
                <w:rFonts w:ascii="Arial" w:hAnsi="Arial"/>
                <w:sz w:val="17"/>
              </w:rPr>
              <w:t>KG</w:t>
            </w:r>
          </w:p>
        </w:tc>
      </w:tr>
      <w:tr>
        <w:trPr>
          <w:cantSplit/>
        </w:trPr>
        <w:tc>
          <w:tcPr>
            <w:tcW w:type="dxa" w:w="3120"/>
            <w:tcMar>
              <w:top w:w="70" w:type="dxa"/>
              <w:start w:w="110" w:type="dxa"/>
              <w:bottom w:w="70" w:type="dxa"/>
              <w:end w:w="110" w:type="dxa"/>
            </w:tcMar>
            <w:shd w:fill="F4F6F7"/>
          </w:tcPr>
          <w:p>
            <w:pPr>
              <w:widowControl/>
              <w:spacing w:after="0"/>
            </w:pPr>
            <w:r>
              <w:rPr>
                <w:rFonts w:ascii="Arial" w:hAnsi="Arial"/>
                <w:sz w:val="17"/>
              </w:rPr>
              <w:t>1.00</w:t>
            </w:r>
          </w:p>
        </w:tc>
        <w:tc>
          <w:tcPr>
            <w:tcW w:type="dxa" w:w="3120"/>
            <w:tcMar>
              <w:top w:w="70" w:type="dxa"/>
              <w:start w:w="110" w:type="dxa"/>
              <w:bottom w:w="70" w:type="dxa"/>
              <w:end w:w="110" w:type="dxa"/>
            </w:tcMar>
            <w:shd w:fill="F4F6F7"/>
          </w:tcPr>
          <w:p>
            <w:pPr>
              <w:widowControl/>
              <w:spacing w:after="0"/>
            </w:pPr>
            <w:r>
              <w:rPr>
                <w:rFonts w:ascii="Arial" w:hAnsi="Arial"/>
                <w:sz w:val="17"/>
              </w:rPr>
              <w:t>WOOL WOVEN FABRIC</w:t>
            </w:r>
          </w:p>
        </w:tc>
        <w:tc>
          <w:tcPr>
            <w:tcW w:type="dxa" w:w="3120"/>
            <w:tcMar>
              <w:top w:w="70" w:type="dxa"/>
              <w:start w:w="110" w:type="dxa"/>
              <w:bottom w:w="70" w:type="dxa"/>
              <w:end w:w="110" w:type="dxa"/>
            </w:tcMar>
            <w:shd w:fill="F4F6F7"/>
          </w:tcPr>
          <w:p>
            <w:pPr>
              <w:widowControl/>
              <w:spacing w:after="0"/>
            </w:pPr>
            <w:r>
              <w:rPr>
                <w:rFonts w:ascii="Arial" w:hAnsi="Arial"/>
                <w:sz w:val="17"/>
              </w:rPr>
              <w:t>SM</w:t>
            </w:r>
          </w:p>
        </w:tc>
      </w:tr>
      <w:tr>
        <w:trPr>
          <w:cantSplit/>
        </w:trPr>
        <w:tc>
          <w:tcPr>
            <w:tcW w:type="dxa" w:w="3120"/>
            <w:tcMar>
              <w:top w:w="70" w:type="dxa"/>
              <w:start w:w="110" w:type="dxa"/>
              <w:bottom w:w="70" w:type="dxa"/>
              <w:end w:w="110" w:type="dxa"/>
            </w:tcMar>
          </w:tcPr>
          <w:p>
            <w:pPr>
              <w:widowControl/>
              <w:spacing w:after="0"/>
            </w:pPr>
            <w:r>
              <w:rPr>
                <w:rFonts w:ascii="Arial" w:hAnsi="Arial"/>
                <w:sz w:val="17"/>
              </w:rPr>
              <w:t>2.80</w:t>
            </w:r>
          </w:p>
        </w:tc>
        <w:tc>
          <w:tcPr>
            <w:tcW w:type="dxa" w:w="3120"/>
            <w:tcMar>
              <w:top w:w="70" w:type="dxa"/>
              <w:start w:w="110" w:type="dxa"/>
              <w:bottom w:w="70" w:type="dxa"/>
              <w:end w:w="110" w:type="dxa"/>
            </w:tcMar>
          </w:tcPr>
          <w:p>
            <w:pPr>
              <w:widowControl/>
              <w:spacing w:after="0"/>
            </w:pPr>
            <w:r>
              <w:rPr>
                <w:rFonts w:ascii="Arial" w:hAnsi="Arial"/>
                <w:sz w:val="17"/>
              </w:rPr>
              <w:t>OTHER WOOL FABRIC</w:t>
            </w:r>
          </w:p>
        </w:tc>
        <w:tc>
          <w:tcPr>
            <w:tcW w:type="dxa" w:w="3120"/>
            <w:tcMar>
              <w:top w:w="70" w:type="dxa"/>
              <w:start w:w="110" w:type="dxa"/>
              <w:bottom w:w="70" w:type="dxa"/>
              <w:end w:w="110" w:type="dxa"/>
            </w:tcMar>
          </w:tcPr>
          <w:p>
            <w:pPr>
              <w:widowControl/>
              <w:spacing w:after="0"/>
            </w:pPr>
            <w:r>
              <w:rPr>
                <w:rFonts w:ascii="Arial" w:hAnsi="Arial"/>
                <w:sz w:val="17"/>
              </w:rPr>
              <w:t>KG</w:t>
            </w:r>
          </w:p>
        </w:tc>
      </w:tr>
      <w:tr>
        <w:trPr>
          <w:cantSplit/>
        </w:trPr>
        <w:tc>
          <w:tcPr>
            <w:tcW w:type="dxa" w:w="3120"/>
            <w:tcMar>
              <w:top w:w="70" w:type="dxa"/>
              <w:start w:w="110" w:type="dxa"/>
              <w:bottom w:w="70" w:type="dxa"/>
              <w:end w:w="110" w:type="dxa"/>
            </w:tcMar>
            <w:shd w:fill="F4F6F7"/>
          </w:tcPr>
          <w:p>
            <w:pPr>
              <w:widowControl/>
              <w:spacing w:after="0"/>
            </w:pPr>
            <w:r>
              <w:rPr>
                <w:rFonts w:ascii="Arial" w:hAnsi="Arial"/>
                <w:sz w:val="17"/>
              </w:rPr>
              <w:t>1.80</w:t>
            </w:r>
          </w:p>
        </w:tc>
        <w:tc>
          <w:tcPr>
            <w:tcW w:type="dxa" w:w="3120"/>
            <w:tcMar>
              <w:top w:w="70" w:type="dxa"/>
              <w:start w:w="110" w:type="dxa"/>
              <w:bottom w:w="70" w:type="dxa"/>
              <w:end w:w="110" w:type="dxa"/>
            </w:tcMar>
            <w:shd w:fill="F4F6F7"/>
          </w:tcPr>
          <w:p>
            <w:pPr>
              <w:widowControl/>
              <w:spacing w:after="0"/>
            </w:pPr>
            <w:r>
              <w:rPr>
                <w:rFonts w:ascii="Arial" w:hAnsi="Arial"/>
                <w:sz w:val="17"/>
              </w:rPr>
              <w:t>WOOL GLOVES/MITTENS</w:t>
            </w:r>
          </w:p>
        </w:tc>
        <w:tc>
          <w:tcPr>
            <w:tcW w:type="dxa" w:w="3120"/>
            <w:tcMar>
              <w:top w:w="70" w:type="dxa"/>
              <w:start w:w="110" w:type="dxa"/>
              <w:bottom w:w="70" w:type="dxa"/>
              <w:end w:w="110" w:type="dxa"/>
            </w:tcMar>
            <w:shd w:fill="F4F6F7"/>
          </w:tcPr>
          <w:p>
            <w:pPr>
              <w:widowControl/>
              <w:spacing w:after="0"/>
            </w:pPr>
            <w:r>
              <w:rPr>
                <w:rFonts w:ascii="Arial" w:hAnsi="Arial"/>
                <w:sz w:val="17"/>
              </w:rPr>
              <w:t>DPR</w:t>
            </w:r>
          </w:p>
        </w:tc>
      </w:tr>
      <w:tr>
        <w:trPr>
          <w:cantSplit/>
        </w:trPr>
        <w:tc>
          <w:tcPr>
            <w:tcW w:type="dxa" w:w="3120"/>
            <w:tcMar>
              <w:top w:w="70" w:type="dxa"/>
              <w:start w:w="110" w:type="dxa"/>
              <w:bottom w:w="70" w:type="dxa"/>
              <w:end w:w="110" w:type="dxa"/>
            </w:tcMar>
          </w:tcPr>
          <w:p>
            <w:pPr>
              <w:widowControl/>
              <w:spacing w:after="0"/>
            </w:pPr>
            <w:r>
              <w:rPr>
                <w:rFonts w:ascii="Arial" w:hAnsi="Arial"/>
                <w:sz w:val="17"/>
              </w:rPr>
              <w:t>2.30</w:t>
            </w:r>
          </w:p>
        </w:tc>
        <w:tc>
          <w:tcPr>
            <w:tcW w:type="dxa" w:w="3120"/>
            <w:tcMar>
              <w:top w:w="70" w:type="dxa"/>
              <w:start w:w="110" w:type="dxa"/>
              <w:bottom w:w="70" w:type="dxa"/>
              <w:end w:w="110" w:type="dxa"/>
            </w:tcMar>
          </w:tcPr>
          <w:p>
            <w:pPr>
              <w:widowControl/>
              <w:spacing w:after="0"/>
            </w:pPr>
            <w:r>
              <w:rPr>
                <w:rFonts w:ascii="Arial" w:hAnsi="Arial"/>
                <w:sz w:val="17"/>
              </w:rPr>
              <w:t>WOOL HOSIERY</w:t>
            </w:r>
          </w:p>
        </w:tc>
        <w:tc>
          <w:tcPr>
            <w:tcW w:type="dxa" w:w="3120"/>
            <w:tcMar>
              <w:top w:w="70" w:type="dxa"/>
              <w:start w:w="110" w:type="dxa"/>
              <w:bottom w:w="70" w:type="dxa"/>
              <w:end w:w="110" w:type="dxa"/>
            </w:tcMar>
          </w:tcPr>
          <w:p>
            <w:pPr>
              <w:widowControl/>
              <w:spacing w:after="0"/>
            </w:pPr>
            <w:r>
              <w:rPr>
                <w:rFonts w:ascii="Arial" w:hAnsi="Arial"/>
                <w:sz w:val="17"/>
              </w:rPr>
              <w:t>DPR</w:t>
            </w:r>
          </w:p>
        </w:tc>
      </w:tr>
      <w:tr>
        <w:trPr>
          <w:cantSplit/>
        </w:trPr>
        <w:tc>
          <w:tcPr>
            <w:tcW w:type="dxa" w:w="3120"/>
            <w:tcMar>
              <w:top w:w="70" w:type="dxa"/>
              <w:start w:w="110" w:type="dxa"/>
              <w:bottom w:w="70" w:type="dxa"/>
              <w:end w:w="110" w:type="dxa"/>
            </w:tcMar>
            <w:shd w:fill="F4F6F7"/>
          </w:tcPr>
          <w:p>
            <w:pPr>
              <w:widowControl/>
              <w:spacing w:after="0"/>
            </w:pPr>
            <w:r>
              <w:rPr>
                <w:rFonts w:ascii="Arial" w:hAnsi="Arial"/>
                <w:sz w:val="17"/>
              </w:rPr>
              <w:t>30.10</w:t>
            </w:r>
          </w:p>
        </w:tc>
        <w:tc>
          <w:tcPr>
            <w:tcW w:type="dxa" w:w="3120"/>
            <w:tcMar>
              <w:top w:w="70" w:type="dxa"/>
              <w:start w:w="110" w:type="dxa"/>
              <w:bottom w:w="70" w:type="dxa"/>
              <w:end w:w="110" w:type="dxa"/>
            </w:tcMar>
            <w:shd w:fill="F4F6F7"/>
          </w:tcPr>
          <w:p>
            <w:pPr>
              <w:widowControl/>
              <w:spacing w:after="0"/>
            </w:pPr>
            <w:r>
              <w:rPr>
                <w:rFonts w:ascii="Arial" w:hAnsi="Arial"/>
                <w:sz w:val="17"/>
              </w:rPr>
              <w:t>M&amp;B WOOL SUIT TYPE COATS</w:t>
            </w:r>
          </w:p>
        </w:tc>
        <w:tc>
          <w:tcPr>
            <w:tcW w:type="dxa" w:w="3120"/>
            <w:tcMar>
              <w:top w:w="70" w:type="dxa"/>
              <w:start w:w="110" w:type="dxa"/>
              <w:bottom w:w="70" w:type="dxa"/>
              <w:end w:w="110" w:type="dxa"/>
            </w:tcMar>
            <w:shd w:fill="F4F6F7"/>
          </w:tcPr>
          <w:p>
            <w:pPr>
              <w:widowControl/>
              <w:spacing w:after="0"/>
            </w:pPr>
            <w:r>
              <w:rPr>
                <w:rFonts w:ascii="Arial" w:hAnsi="Arial"/>
                <w:sz w:val="17"/>
              </w:rPr>
              <w:t>DZ</w:t>
            </w:r>
          </w:p>
        </w:tc>
      </w:tr>
      <w:tr>
        <w:trPr>
          <w:cantSplit/>
        </w:trPr>
        <w:tc>
          <w:tcPr>
            <w:tcW w:type="dxa" w:w="3120"/>
            <w:tcMar>
              <w:top w:w="70" w:type="dxa"/>
              <w:start w:w="110" w:type="dxa"/>
              <w:bottom w:w="70" w:type="dxa"/>
              <w:end w:w="110" w:type="dxa"/>
            </w:tcMar>
          </w:tcPr>
          <w:p>
            <w:pPr>
              <w:widowControl/>
              <w:spacing w:after="0"/>
            </w:pPr>
            <w:r>
              <w:rPr>
                <w:rFonts w:ascii="Arial" w:hAnsi="Arial"/>
                <w:sz w:val="17"/>
              </w:rPr>
              <w:t>45.10</w:t>
            </w:r>
          </w:p>
        </w:tc>
        <w:tc>
          <w:tcPr>
            <w:tcW w:type="dxa" w:w="3120"/>
            <w:tcMar>
              <w:top w:w="70" w:type="dxa"/>
              <w:start w:w="110" w:type="dxa"/>
              <w:bottom w:w="70" w:type="dxa"/>
              <w:end w:w="110" w:type="dxa"/>
            </w:tcMar>
          </w:tcPr>
          <w:p>
            <w:pPr>
              <w:widowControl/>
              <w:spacing w:after="0"/>
            </w:pPr>
            <w:r>
              <w:rPr>
                <w:rFonts w:ascii="Arial" w:hAnsi="Arial"/>
                <w:sz w:val="17"/>
              </w:rPr>
              <w:t>OTHER M&amp;B WOOL COATS</w:t>
            </w:r>
          </w:p>
        </w:tc>
        <w:tc>
          <w:tcPr>
            <w:tcW w:type="dxa" w:w="3120"/>
            <w:tcMar>
              <w:top w:w="70" w:type="dxa"/>
              <w:start w:w="110" w:type="dxa"/>
              <w:bottom w:w="70" w:type="dxa"/>
              <w:end w:w="110" w:type="dxa"/>
            </w:tcMar>
          </w:tcPr>
          <w:p>
            <w:pPr>
              <w:widowControl/>
              <w:spacing w:after="0"/>
            </w:pPr>
            <w:r>
              <w:rPr>
                <w:rFonts w:ascii="Arial" w:hAnsi="Arial"/>
                <w:sz w:val="17"/>
              </w:rPr>
              <w:t>DZ</w:t>
            </w:r>
          </w:p>
        </w:tc>
      </w:tr>
      <w:tr>
        <w:trPr>
          <w:cantSplit/>
        </w:trPr>
        <w:tc>
          <w:tcPr>
            <w:tcW w:type="dxa" w:w="3120"/>
            <w:tcMar>
              <w:top w:w="70" w:type="dxa"/>
              <w:start w:w="110" w:type="dxa"/>
              <w:bottom w:w="70" w:type="dxa"/>
              <w:end w:w="110" w:type="dxa"/>
            </w:tcMar>
            <w:shd w:fill="F4F6F7"/>
          </w:tcPr>
          <w:p>
            <w:pPr>
              <w:widowControl/>
              <w:spacing w:after="0"/>
            </w:pPr>
            <w:r>
              <w:rPr>
                <w:rFonts w:ascii="Arial" w:hAnsi="Arial"/>
                <w:sz w:val="17"/>
              </w:rPr>
              <w:t>45.10</w:t>
            </w:r>
          </w:p>
        </w:tc>
        <w:tc>
          <w:tcPr>
            <w:tcW w:type="dxa" w:w="3120"/>
            <w:tcMar>
              <w:top w:w="70" w:type="dxa"/>
              <w:start w:w="110" w:type="dxa"/>
              <w:bottom w:w="70" w:type="dxa"/>
              <w:end w:w="110" w:type="dxa"/>
            </w:tcMar>
            <w:shd w:fill="F4F6F7"/>
          </w:tcPr>
          <w:p>
            <w:pPr>
              <w:widowControl/>
              <w:spacing w:after="0"/>
            </w:pPr>
            <w:r>
              <w:rPr>
                <w:rFonts w:ascii="Arial" w:hAnsi="Arial"/>
                <w:sz w:val="17"/>
              </w:rPr>
              <w:t>W&amp;G WOOL COATS</w:t>
            </w:r>
          </w:p>
        </w:tc>
        <w:tc>
          <w:tcPr>
            <w:tcW w:type="dxa" w:w="3120"/>
            <w:tcMar>
              <w:top w:w="70" w:type="dxa"/>
              <w:start w:w="110" w:type="dxa"/>
              <w:bottom w:w="70" w:type="dxa"/>
              <w:end w:w="110" w:type="dxa"/>
            </w:tcMar>
            <w:shd w:fill="F4F6F7"/>
          </w:tcPr>
          <w:p>
            <w:pPr>
              <w:widowControl/>
              <w:spacing w:after="0"/>
            </w:pPr>
            <w:r>
              <w:rPr>
                <w:rFonts w:ascii="Arial" w:hAnsi="Arial"/>
                <w:sz w:val="17"/>
              </w:rPr>
              <w:t>DZ</w:t>
            </w:r>
          </w:p>
        </w:tc>
      </w:tr>
      <w:tr>
        <w:trPr>
          <w:cantSplit/>
        </w:trPr>
        <w:tc>
          <w:tcPr>
            <w:tcW w:type="dxa" w:w="3120"/>
            <w:tcMar>
              <w:top w:w="70" w:type="dxa"/>
              <w:start w:w="110" w:type="dxa"/>
              <w:bottom w:w="70" w:type="dxa"/>
              <w:end w:w="110" w:type="dxa"/>
            </w:tcMar>
          </w:tcPr>
          <w:p>
            <w:pPr>
              <w:widowControl/>
              <w:spacing w:after="0"/>
            </w:pPr>
            <w:r>
              <w:rPr>
                <w:rFonts w:ascii="Arial" w:hAnsi="Arial"/>
                <w:sz w:val="17"/>
              </w:rPr>
              <w:t>41.10</w:t>
            </w:r>
          </w:p>
        </w:tc>
        <w:tc>
          <w:tcPr>
            <w:tcW w:type="dxa" w:w="3120"/>
            <w:tcMar>
              <w:top w:w="70" w:type="dxa"/>
              <w:start w:w="110" w:type="dxa"/>
              <w:bottom w:w="70" w:type="dxa"/>
              <w:end w:w="110" w:type="dxa"/>
            </w:tcMar>
          </w:tcPr>
          <w:p>
            <w:pPr>
              <w:widowControl/>
              <w:spacing w:after="0"/>
            </w:pPr>
            <w:r>
              <w:rPr>
                <w:rFonts w:ascii="Arial" w:hAnsi="Arial"/>
                <w:sz w:val="17"/>
              </w:rPr>
              <w:t>WOOL DRESSES</w:t>
            </w:r>
          </w:p>
        </w:tc>
        <w:tc>
          <w:tcPr>
            <w:tcW w:type="dxa" w:w="3120"/>
            <w:tcMar>
              <w:top w:w="70" w:type="dxa"/>
              <w:start w:w="110" w:type="dxa"/>
              <w:bottom w:w="70" w:type="dxa"/>
              <w:end w:w="110" w:type="dxa"/>
            </w:tcMar>
          </w:tcPr>
          <w:p>
            <w:pPr>
              <w:widowControl/>
              <w:spacing w:after="0"/>
            </w:pPr>
            <w:r>
              <w:rPr>
                <w:rFonts w:ascii="Arial" w:hAnsi="Arial"/>
                <w:sz w:val="17"/>
              </w:rPr>
              <w:t>DZ</w:t>
            </w:r>
          </w:p>
        </w:tc>
      </w:tr>
      <w:tr>
        <w:trPr>
          <w:cantSplit/>
        </w:trPr>
        <w:tc>
          <w:tcPr>
            <w:tcW w:type="dxa" w:w="3120"/>
            <w:tcMar>
              <w:top w:w="70" w:type="dxa"/>
              <w:start w:w="110" w:type="dxa"/>
              <w:bottom w:w="70" w:type="dxa"/>
              <w:end w:w="110" w:type="dxa"/>
            </w:tcMar>
            <w:shd w:fill="F4F6F7"/>
          </w:tcPr>
          <w:p>
            <w:pPr>
              <w:widowControl/>
              <w:spacing w:after="0"/>
            </w:pPr>
            <w:r>
              <w:rPr>
                <w:rFonts w:ascii="Arial" w:hAnsi="Arial"/>
                <w:sz w:val="17"/>
              </w:rPr>
              <w:t>12.50</w:t>
            </w:r>
          </w:p>
        </w:tc>
        <w:tc>
          <w:tcPr>
            <w:tcW w:type="dxa" w:w="3120"/>
            <w:tcMar>
              <w:top w:w="70" w:type="dxa"/>
              <w:start w:w="110" w:type="dxa"/>
              <w:bottom w:w="70" w:type="dxa"/>
              <w:end w:w="110" w:type="dxa"/>
            </w:tcMar>
            <w:shd w:fill="F4F6F7"/>
          </w:tcPr>
          <w:p>
            <w:pPr>
              <w:widowControl/>
              <w:spacing w:after="0"/>
            </w:pPr>
            <w:r>
              <w:rPr>
                <w:rFonts w:ascii="Arial" w:hAnsi="Arial"/>
                <w:sz w:val="17"/>
              </w:rPr>
              <w:t>WOOL KNIT SHIRTS/BLOUSES</w:t>
            </w:r>
          </w:p>
        </w:tc>
        <w:tc>
          <w:tcPr>
            <w:tcW w:type="dxa" w:w="3120"/>
            <w:tcMar>
              <w:top w:w="70" w:type="dxa"/>
              <w:start w:w="110" w:type="dxa"/>
              <w:bottom w:w="70" w:type="dxa"/>
              <w:end w:w="110" w:type="dxa"/>
            </w:tcMar>
            <w:shd w:fill="F4F6F7"/>
          </w:tcPr>
          <w:p>
            <w:pPr>
              <w:widowControl/>
              <w:spacing w:after="0"/>
            </w:pPr>
            <w:r>
              <w:rPr>
                <w:rFonts w:ascii="Arial" w:hAnsi="Arial"/>
                <w:sz w:val="17"/>
              </w:rPr>
              <w:t>DZ</w:t>
            </w:r>
          </w:p>
        </w:tc>
      </w:tr>
      <w:tr>
        <w:trPr>
          <w:cantSplit/>
        </w:trPr>
        <w:tc>
          <w:tcPr>
            <w:tcW w:type="dxa" w:w="3120"/>
            <w:tcMar>
              <w:top w:w="70" w:type="dxa"/>
              <w:start w:w="110" w:type="dxa"/>
              <w:bottom w:w="70" w:type="dxa"/>
              <w:end w:w="110" w:type="dxa"/>
            </w:tcMar>
          </w:tcPr>
          <w:p>
            <w:pPr>
              <w:widowControl/>
              <w:spacing w:after="0"/>
            </w:pPr>
            <w:r>
              <w:rPr>
                <w:rFonts w:ascii="Arial" w:hAnsi="Arial"/>
                <w:sz w:val="17"/>
              </w:rPr>
              <w:t>6.30</w:t>
            </w:r>
          </w:p>
        </w:tc>
        <w:tc>
          <w:tcPr>
            <w:tcW w:type="dxa" w:w="3120"/>
            <w:tcMar>
              <w:top w:w="70" w:type="dxa"/>
              <w:start w:w="110" w:type="dxa"/>
              <w:bottom w:w="70" w:type="dxa"/>
              <w:end w:w="110" w:type="dxa"/>
            </w:tcMar>
          </w:tcPr>
          <w:p>
            <w:pPr>
              <w:widowControl/>
              <w:spacing w:after="0"/>
            </w:pPr>
            <w:r>
              <w:rPr>
                <w:rFonts w:ascii="Arial" w:hAnsi="Arial"/>
                <w:sz w:val="17"/>
              </w:rPr>
              <w:t>BABIES’ WOOL GARM/CLOTHING ACCESS.</w:t>
            </w:r>
          </w:p>
        </w:tc>
        <w:tc>
          <w:tcPr>
            <w:tcW w:type="dxa" w:w="3120"/>
            <w:tcMar>
              <w:top w:w="70" w:type="dxa"/>
              <w:start w:w="110" w:type="dxa"/>
              <w:bottom w:w="70" w:type="dxa"/>
              <w:end w:w="110" w:type="dxa"/>
            </w:tcMar>
          </w:tcPr>
          <w:p>
            <w:pPr>
              <w:widowControl/>
              <w:spacing w:after="0"/>
            </w:pPr>
            <w:r>
              <w:rPr>
                <w:rFonts w:ascii="Arial" w:hAnsi="Arial"/>
                <w:sz w:val="17"/>
              </w:rPr>
              <w:t>KG</w:t>
            </w:r>
          </w:p>
        </w:tc>
      </w:tr>
      <w:tr>
        <w:trPr>
          <w:cantSplit/>
        </w:trPr>
        <w:tc>
          <w:tcPr>
            <w:tcW w:type="dxa" w:w="3120"/>
            <w:tcMar>
              <w:top w:w="70" w:type="dxa"/>
              <w:start w:w="110" w:type="dxa"/>
              <w:bottom w:w="70" w:type="dxa"/>
              <w:end w:w="110" w:type="dxa"/>
            </w:tcMar>
            <w:shd w:fill="F4F6F7"/>
          </w:tcPr>
          <w:p>
            <w:pPr>
              <w:widowControl/>
              <w:spacing w:after="0"/>
            </w:pPr>
            <w:r>
              <w:rPr>
                <w:rFonts w:ascii="Arial" w:hAnsi="Arial"/>
                <w:sz w:val="17"/>
              </w:rPr>
              <w:t>20.10</w:t>
            </w:r>
          </w:p>
        </w:tc>
        <w:tc>
          <w:tcPr>
            <w:tcW w:type="dxa" w:w="3120"/>
            <w:tcMar>
              <w:top w:w="70" w:type="dxa"/>
              <w:start w:w="110" w:type="dxa"/>
              <w:bottom w:w="70" w:type="dxa"/>
              <w:end w:w="110" w:type="dxa"/>
            </w:tcMar>
            <w:shd w:fill="F4F6F7"/>
          </w:tcPr>
          <w:p>
            <w:pPr>
              <w:widowControl/>
              <w:spacing w:after="0"/>
            </w:pPr>
            <w:r>
              <w:rPr>
                <w:rFonts w:ascii="Arial" w:hAnsi="Arial"/>
                <w:sz w:val="17"/>
              </w:rPr>
              <w:t>WOOL SHIRTS/BLOUSES, NOT KNIT</w:t>
            </w:r>
          </w:p>
        </w:tc>
        <w:tc>
          <w:tcPr>
            <w:tcW w:type="dxa" w:w="3120"/>
            <w:tcMar>
              <w:top w:w="70" w:type="dxa"/>
              <w:start w:w="110" w:type="dxa"/>
              <w:bottom w:w="70" w:type="dxa"/>
              <w:end w:w="110" w:type="dxa"/>
            </w:tcMar>
            <w:shd w:fill="F4F6F7"/>
          </w:tcPr>
          <w:p>
            <w:pPr>
              <w:widowControl/>
              <w:spacing w:after="0"/>
            </w:pPr>
            <w:r>
              <w:rPr>
                <w:rFonts w:ascii="Arial" w:hAnsi="Arial"/>
                <w:sz w:val="17"/>
              </w:rPr>
              <w:t>DZ</w:t>
            </w:r>
          </w:p>
        </w:tc>
      </w:tr>
      <w:tr>
        <w:trPr>
          <w:cantSplit/>
        </w:trPr>
        <w:tc>
          <w:tcPr>
            <w:tcW w:type="dxa" w:w="3120"/>
            <w:tcMar>
              <w:top w:w="70" w:type="dxa"/>
              <w:start w:w="110" w:type="dxa"/>
              <w:bottom w:w="70" w:type="dxa"/>
              <w:end w:w="110" w:type="dxa"/>
            </w:tcMar>
          </w:tcPr>
          <w:p>
            <w:pPr>
              <w:widowControl/>
              <w:spacing w:after="0"/>
            </w:pPr>
            <w:r>
              <w:rPr>
                <w:rFonts w:ascii="Arial" w:hAnsi="Arial"/>
                <w:sz w:val="17"/>
              </w:rPr>
              <w:t>15.00</w:t>
            </w:r>
          </w:p>
        </w:tc>
        <w:tc>
          <w:tcPr>
            <w:tcW w:type="dxa" w:w="3120"/>
            <w:tcMar>
              <w:top w:w="70" w:type="dxa"/>
              <w:start w:w="110" w:type="dxa"/>
              <w:bottom w:w="70" w:type="dxa"/>
              <w:end w:w="110" w:type="dxa"/>
            </w:tcMar>
          </w:tcPr>
          <w:p>
            <w:pPr>
              <w:widowControl/>
              <w:spacing w:after="0"/>
            </w:pPr>
            <w:r>
              <w:rPr>
                <w:rFonts w:ascii="Arial" w:hAnsi="Arial"/>
                <w:sz w:val="17"/>
              </w:rPr>
              <w:t>WOOL SKIRTS</w:t>
            </w:r>
          </w:p>
        </w:tc>
        <w:tc>
          <w:tcPr>
            <w:tcW w:type="dxa" w:w="3120"/>
            <w:tcMar>
              <w:top w:w="70" w:type="dxa"/>
              <w:start w:w="110" w:type="dxa"/>
              <w:bottom w:w="70" w:type="dxa"/>
              <w:end w:w="110" w:type="dxa"/>
            </w:tcMar>
          </w:tcPr>
          <w:p>
            <w:pPr>
              <w:widowControl/>
              <w:spacing w:after="0"/>
            </w:pPr>
            <w:r>
              <w:rPr>
                <w:rFonts w:ascii="Arial" w:hAnsi="Arial"/>
                <w:sz w:val="17"/>
              </w:rPr>
              <w:t>DZ</w:t>
            </w:r>
          </w:p>
        </w:tc>
      </w:tr>
      <w:tr>
        <w:trPr>
          <w:cantSplit/>
        </w:trPr>
        <w:tc>
          <w:tcPr>
            <w:tcW w:type="dxa" w:w="3120"/>
            <w:tcMar>
              <w:top w:w="70" w:type="dxa"/>
              <w:start w:w="110" w:type="dxa"/>
              <w:bottom w:w="70" w:type="dxa"/>
              <w:end w:w="110" w:type="dxa"/>
            </w:tcMar>
            <w:shd w:fill="F4F6F7"/>
          </w:tcPr>
          <w:p>
            <w:pPr>
              <w:widowControl/>
              <w:spacing w:after="0"/>
            </w:pPr>
            <w:r>
              <w:rPr>
                <w:rFonts w:ascii="Arial" w:hAnsi="Arial"/>
                <w:sz w:val="17"/>
              </w:rPr>
              <w:t>3.76</w:t>
            </w:r>
          </w:p>
        </w:tc>
        <w:tc>
          <w:tcPr>
            <w:tcW w:type="dxa" w:w="3120"/>
            <w:tcMar>
              <w:top w:w="70" w:type="dxa"/>
              <w:start w:w="110" w:type="dxa"/>
              <w:bottom w:w="70" w:type="dxa"/>
              <w:end w:w="110" w:type="dxa"/>
            </w:tcMar>
            <w:shd w:fill="F4F6F7"/>
          </w:tcPr>
          <w:p>
            <w:pPr>
              <w:widowControl/>
              <w:spacing w:after="0"/>
            </w:pPr>
            <w:r>
              <w:rPr>
                <w:rFonts w:ascii="Arial" w:hAnsi="Arial"/>
                <w:sz w:val="17"/>
              </w:rPr>
              <w:t>M&amp;B WOOL SUITS</w:t>
            </w:r>
          </w:p>
        </w:tc>
        <w:tc>
          <w:tcPr>
            <w:tcW w:type="dxa" w:w="3120"/>
            <w:tcMar>
              <w:top w:w="70" w:type="dxa"/>
              <w:start w:w="110" w:type="dxa"/>
              <w:bottom w:w="70" w:type="dxa"/>
              <w:end w:w="110" w:type="dxa"/>
            </w:tcMar>
            <w:shd w:fill="F4F6F7"/>
          </w:tcPr>
          <w:p>
            <w:pPr>
              <w:widowControl/>
              <w:spacing w:after="0"/>
            </w:pPr>
            <w:r>
              <w:rPr>
                <w:rFonts w:ascii="Arial" w:hAnsi="Arial"/>
                <w:sz w:val="17"/>
              </w:rPr>
              <w:t>NO</w:t>
            </w:r>
          </w:p>
        </w:tc>
      </w:tr>
      <w:tr>
        <w:trPr>
          <w:cantSplit/>
        </w:trPr>
        <w:tc>
          <w:tcPr>
            <w:tcW w:type="dxa" w:w="3120"/>
            <w:tcMar>
              <w:top w:w="70" w:type="dxa"/>
              <w:start w:w="110" w:type="dxa"/>
              <w:bottom w:w="70" w:type="dxa"/>
              <w:end w:w="110" w:type="dxa"/>
            </w:tcMar>
          </w:tcPr>
          <w:p>
            <w:pPr>
              <w:widowControl/>
              <w:spacing w:after="0"/>
            </w:pPr>
            <w:r>
              <w:rPr>
                <w:rFonts w:ascii="Arial" w:hAnsi="Arial"/>
                <w:sz w:val="17"/>
              </w:rPr>
              <w:t>3.76</w:t>
            </w:r>
          </w:p>
        </w:tc>
        <w:tc>
          <w:tcPr>
            <w:tcW w:type="dxa" w:w="3120"/>
            <w:tcMar>
              <w:top w:w="70" w:type="dxa"/>
              <w:start w:w="110" w:type="dxa"/>
              <w:bottom w:w="70" w:type="dxa"/>
              <w:end w:w="110" w:type="dxa"/>
            </w:tcMar>
          </w:tcPr>
          <w:p>
            <w:pPr>
              <w:widowControl/>
              <w:spacing w:after="0"/>
            </w:pPr>
            <w:r>
              <w:rPr>
                <w:rFonts w:ascii="Arial" w:hAnsi="Arial"/>
                <w:sz w:val="17"/>
              </w:rPr>
              <w:t>W&amp;G WOOL SUITS</w:t>
            </w:r>
          </w:p>
        </w:tc>
        <w:tc>
          <w:tcPr>
            <w:tcW w:type="dxa" w:w="3120"/>
            <w:tcMar>
              <w:top w:w="70" w:type="dxa"/>
              <w:start w:w="110" w:type="dxa"/>
              <w:bottom w:w="70" w:type="dxa"/>
              <w:end w:w="110" w:type="dxa"/>
            </w:tcMar>
          </w:tcPr>
          <w:p>
            <w:pPr>
              <w:widowControl/>
              <w:spacing w:after="0"/>
            </w:pPr>
            <w:r>
              <w:rPr>
                <w:rFonts w:ascii="Arial" w:hAnsi="Arial"/>
                <w:sz w:val="17"/>
              </w:rPr>
              <w:t>NO</w:t>
            </w:r>
          </w:p>
        </w:tc>
      </w:tr>
      <w:tr>
        <w:trPr>
          <w:cantSplit/>
        </w:trPr>
        <w:tc>
          <w:tcPr>
            <w:tcW w:type="dxa" w:w="3120"/>
            <w:tcMar>
              <w:top w:w="70" w:type="dxa"/>
              <w:start w:w="110" w:type="dxa"/>
              <w:bottom w:w="70" w:type="dxa"/>
              <w:end w:w="110" w:type="dxa"/>
            </w:tcMar>
            <w:shd w:fill="F4F6F7"/>
          </w:tcPr>
          <w:p>
            <w:pPr>
              <w:widowControl/>
              <w:spacing w:after="0"/>
            </w:pPr>
            <w:r>
              <w:rPr>
                <w:rFonts w:ascii="Arial" w:hAnsi="Arial"/>
                <w:sz w:val="17"/>
              </w:rPr>
              <w:t>12.40</w:t>
            </w:r>
          </w:p>
        </w:tc>
        <w:tc>
          <w:tcPr>
            <w:tcW w:type="dxa" w:w="3120"/>
            <w:tcMar>
              <w:top w:w="70" w:type="dxa"/>
              <w:start w:w="110" w:type="dxa"/>
              <w:bottom w:w="70" w:type="dxa"/>
              <w:end w:w="110" w:type="dxa"/>
            </w:tcMar>
            <w:shd w:fill="F4F6F7"/>
          </w:tcPr>
          <w:p>
            <w:pPr>
              <w:widowControl/>
              <w:spacing w:after="0"/>
            </w:pPr>
            <w:r>
              <w:rPr>
                <w:rFonts w:ascii="Arial" w:hAnsi="Arial"/>
                <w:sz w:val="17"/>
              </w:rPr>
              <w:t>M&amp;B WOOL SWEATERS</w:t>
            </w:r>
          </w:p>
        </w:tc>
        <w:tc>
          <w:tcPr>
            <w:tcW w:type="dxa" w:w="3120"/>
            <w:tcMar>
              <w:top w:w="70" w:type="dxa"/>
              <w:start w:w="110" w:type="dxa"/>
              <w:bottom w:w="70" w:type="dxa"/>
              <w:end w:w="110" w:type="dxa"/>
            </w:tcMar>
            <w:shd w:fill="F4F6F7"/>
          </w:tcPr>
          <w:p>
            <w:pPr>
              <w:widowControl/>
              <w:spacing w:after="0"/>
            </w:pPr>
            <w:r>
              <w:rPr>
                <w:rFonts w:ascii="Arial" w:hAnsi="Arial"/>
                <w:sz w:val="17"/>
              </w:rPr>
              <w:t>DZ</w:t>
            </w:r>
          </w:p>
        </w:tc>
      </w:tr>
      <w:tr>
        <w:trPr>
          <w:cantSplit/>
        </w:trPr>
        <w:tc>
          <w:tcPr>
            <w:tcW w:type="dxa" w:w="3120"/>
            <w:tcMar>
              <w:top w:w="70" w:type="dxa"/>
              <w:start w:w="110" w:type="dxa"/>
              <w:bottom w:w="70" w:type="dxa"/>
              <w:end w:w="110" w:type="dxa"/>
            </w:tcMar>
          </w:tcPr>
          <w:p>
            <w:pPr>
              <w:widowControl/>
              <w:spacing w:after="0"/>
            </w:pPr>
            <w:r>
              <w:rPr>
                <w:rFonts w:ascii="Arial" w:hAnsi="Arial"/>
                <w:sz w:val="17"/>
              </w:rPr>
              <w:t>12.40</w:t>
            </w:r>
          </w:p>
        </w:tc>
        <w:tc>
          <w:tcPr>
            <w:tcW w:type="dxa" w:w="3120"/>
            <w:tcMar>
              <w:top w:w="70" w:type="dxa"/>
              <w:start w:w="110" w:type="dxa"/>
              <w:bottom w:w="70" w:type="dxa"/>
              <w:end w:w="110" w:type="dxa"/>
            </w:tcMar>
          </w:tcPr>
          <w:p>
            <w:pPr>
              <w:widowControl/>
              <w:spacing w:after="0"/>
            </w:pPr>
            <w:r>
              <w:rPr>
                <w:rFonts w:ascii="Arial" w:hAnsi="Arial"/>
                <w:sz w:val="17"/>
              </w:rPr>
              <w:t>W&amp;G WOOL SWEATERS</w:t>
            </w:r>
          </w:p>
        </w:tc>
        <w:tc>
          <w:tcPr>
            <w:tcW w:type="dxa" w:w="3120"/>
            <w:tcMar>
              <w:top w:w="70" w:type="dxa"/>
              <w:start w:w="110" w:type="dxa"/>
              <w:bottom w:w="70" w:type="dxa"/>
              <w:end w:w="110" w:type="dxa"/>
            </w:tcMar>
          </w:tcPr>
          <w:p>
            <w:pPr>
              <w:widowControl/>
              <w:spacing w:after="0"/>
            </w:pPr>
            <w:r>
              <w:rPr>
                <w:rFonts w:ascii="Arial" w:hAnsi="Arial"/>
                <w:sz w:val="17"/>
              </w:rPr>
              <w:t>DZ</w:t>
            </w:r>
          </w:p>
        </w:tc>
      </w:tr>
      <w:tr>
        <w:trPr>
          <w:cantSplit/>
        </w:trPr>
        <w:tc>
          <w:tcPr>
            <w:tcW w:type="dxa" w:w="3120"/>
            <w:tcMar>
              <w:top w:w="70" w:type="dxa"/>
              <w:start w:w="110" w:type="dxa"/>
              <w:bottom w:w="70" w:type="dxa"/>
              <w:end w:w="110" w:type="dxa"/>
            </w:tcMar>
            <w:shd w:fill="F4F6F7"/>
          </w:tcPr>
          <w:p>
            <w:pPr>
              <w:widowControl/>
              <w:spacing w:after="0"/>
            </w:pPr>
            <w:r>
              <w:rPr>
                <w:rFonts w:ascii="Arial" w:hAnsi="Arial"/>
                <w:sz w:val="17"/>
              </w:rPr>
              <w:t>15.00</w:t>
            </w:r>
          </w:p>
        </w:tc>
        <w:tc>
          <w:tcPr>
            <w:tcW w:type="dxa" w:w="3120"/>
            <w:tcMar>
              <w:top w:w="70" w:type="dxa"/>
              <w:start w:w="110" w:type="dxa"/>
              <w:bottom w:w="70" w:type="dxa"/>
              <w:end w:w="110" w:type="dxa"/>
            </w:tcMar>
            <w:shd w:fill="F4F6F7"/>
          </w:tcPr>
          <w:p>
            <w:pPr>
              <w:widowControl/>
              <w:spacing w:after="0"/>
            </w:pPr>
            <w:r>
              <w:rPr>
                <w:rFonts w:ascii="Arial" w:hAnsi="Arial"/>
                <w:sz w:val="17"/>
              </w:rPr>
              <w:t>M&amp;B WOOL  TROUSERS/BREECHES/SHORTS</w:t>
            </w:r>
          </w:p>
        </w:tc>
        <w:tc>
          <w:tcPr>
            <w:tcW w:type="dxa" w:w="3120"/>
            <w:tcMar>
              <w:top w:w="70" w:type="dxa"/>
              <w:start w:w="110" w:type="dxa"/>
              <w:bottom w:w="70" w:type="dxa"/>
              <w:end w:w="110" w:type="dxa"/>
            </w:tcMar>
            <w:shd w:fill="F4F6F7"/>
          </w:tcPr>
          <w:p>
            <w:pPr>
              <w:widowControl/>
              <w:spacing w:after="0"/>
            </w:pPr>
            <w:r>
              <w:rPr>
                <w:rFonts w:ascii="Arial" w:hAnsi="Arial"/>
                <w:sz w:val="17"/>
              </w:rPr>
              <w:t>DZ</w:t>
            </w:r>
          </w:p>
        </w:tc>
      </w:tr>
      <w:tr>
        <w:trPr>
          <w:cantSplit/>
        </w:trPr>
        <w:tc>
          <w:tcPr>
            <w:tcW w:type="dxa" w:w="3120"/>
            <w:tcMar>
              <w:top w:w="70" w:type="dxa"/>
              <w:start w:w="110" w:type="dxa"/>
              <w:bottom w:w="70" w:type="dxa"/>
              <w:end w:w="110" w:type="dxa"/>
            </w:tcMar>
          </w:tcPr>
          <w:p>
            <w:pPr>
              <w:widowControl/>
              <w:spacing w:after="0"/>
            </w:pPr>
            <w:r>
              <w:rPr>
                <w:rFonts w:ascii="Arial" w:hAnsi="Arial"/>
                <w:sz w:val="17"/>
              </w:rPr>
              <w:t>15.00</w:t>
            </w:r>
          </w:p>
        </w:tc>
        <w:tc>
          <w:tcPr>
            <w:tcW w:type="dxa" w:w="3120"/>
            <w:tcMar>
              <w:top w:w="70" w:type="dxa"/>
              <w:start w:w="110" w:type="dxa"/>
              <w:bottom w:w="70" w:type="dxa"/>
              <w:end w:w="110" w:type="dxa"/>
            </w:tcMar>
          </w:tcPr>
          <w:p>
            <w:pPr>
              <w:widowControl/>
              <w:spacing w:after="0"/>
            </w:pPr>
            <w:r>
              <w:rPr>
                <w:rFonts w:ascii="Arial" w:hAnsi="Arial"/>
                <w:sz w:val="17"/>
              </w:rPr>
              <w:t>W&amp;G WOOL  TROUSERS/BREECHES/SHORTS</w:t>
            </w:r>
          </w:p>
        </w:tc>
        <w:tc>
          <w:tcPr>
            <w:tcW w:type="dxa" w:w="3120"/>
            <w:tcMar>
              <w:top w:w="70" w:type="dxa"/>
              <w:start w:w="110" w:type="dxa"/>
              <w:bottom w:w="70" w:type="dxa"/>
              <w:end w:w="110" w:type="dxa"/>
            </w:tcMar>
          </w:tcPr>
          <w:p>
            <w:pPr>
              <w:widowControl/>
              <w:spacing w:after="0"/>
            </w:pPr>
            <w:r>
              <w:rPr>
                <w:rFonts w:ascii="Arial" w:hAnsi="Arial"/>
                <w:sz w:val="17"/>
              </w:rPr>
              <w:t>DZ</w:t>
            </w:r>
          </w:p>
        </w:tc>
      </w:tr>
      <w:tr>
        <w:trPr>
          <w:cantSplit/>
        </w:trPr>
        <w:tc>
          <w:tcPr>
            <w:tcW w:type="dxa" w:w="3120"/>
            <w:tcMar>
              <w:top w:w="70" w:type="dxa"/>
              <w:start w:w="110" w:type="dxa"/>
              <w:bottom w:w="70" w:type="dxa"/>
              <w:end w:w="110" w:type="dxa"/>
            </w:tcMar>
            <w:shd w:fill="F4F6F7"/>
          </w:tcPr>
          <w:p>
            <w:pPr>
              <w:widowControl/>
              <w:spacing w:after="0"/>
            </w:pPr>
            <w:r>
              <w:rPr>
                <w:rFonts w:ascii="Arial" w:hAnsi="Arial"/>
                <w:sz w:val="17"/>
              </w:rPr>
              <w:t>3.70</w:t>
            </w:r>
          </w:p>
        </w:tc>
        <w:tc>
          <w:tcPr>
            <w:tcW w:type="dxa" w:w="3120"/>
            <w:tcMar>
              <w:top w:w="70" w:type="dxa"/>
              <w:start w:w="110" w:type="dxa"/>
              <w:bottom w:w="70" w:type="dxa"/>
              <w:end w:w="110" w:type="dxa"/>
            </w:tcMar>
            <w:shd w:fill="F4F6F7"/>
          </w:tcPr>
          <w:p>
            <w:pPr>
              <w:widowControl/>
              <w:spacing w:after="0"/>
            </w:pPr>
            <w:r>
              <w:rPr>
                <w:rFonts w:ascii="Arial" w:hAnsi="Arial"/>
                <w:sz w:val="17"/>
              </w:rPr>
              <w:t>OTHER WOOL APPAREL</w:t>
            </w:r>
          </w:p>
        </w:tc>
        <w:tc>
          <w:tcPr>
            <w:tcW w:type="dxa" w:w="3120"/>
            <w:tcMar>
              <w:top w:w="70" w:type="dxa"/>
              <w:start w:w="110" w:type="dxa"/>
              <w:bottom w:w="70" w:type="dxa"/>
              <w:end w:w="110" w:type="dxa"/>
            </w:tcMar>
            <w:shd w:fill="F4F6F7"/>
          </w:tcPr>
          <w:p>
            <w:pPr>
              <w:widowControl/>
              <w:spacing w:after="0"/>
            </w:pPr>
            <w:r>
              <w:rPr>
                <w:rFonts w:ascii="Arial" w:hAnsi="Arial"/>
                <w:sz w:val="17"/>
              </w:rPr>
              <w:t>KG</w:t>
            </w:r>
          </w:p>
        </w:tc>
      </w:tr>
      <w:tr>
        <w:trPr>
          <w:cantSplit/>
        </w:trPr>
        <w:tc>
          <w:tcPr>
            <w:tcW w:type="dxa" w:w="3120"/>
            <w:tcMar>
              <w:top w:w="70" w:type="dxa"/>
              <w:start w:w="110" w:type="dxa"/>
              <w:bottom w:w="70" w:type="dxa"/>
              <w:end w:w="110" w:type="dxa"/>
            </w:tcMar>
          </w:tcPr>
          <w:p>
            <w:pPr>
              <w:widowControl/>
              <w:spacing w:after="0"/>
            </w:pPr>
            <w:r>
              <w:rPr>
                <w:rFonts w:ascii="Arial" w:hAnsi="Arial"/>
                <w:sz w:val="17"/>
              </w:rPr>
              <w:t>2.40</w:t>
            </w:r>
          </w:p>
        </w:tc>
        <w:tc>
          <w:tcPr>
            <w:tcW w:type="dxa" w:w="3120"/>
            <w:tcMar>
              <w:top w:w="70" w:type="dxa"/>
              <w:start w:w="110" w:type="dxa"/>
              <w:bottom w:w="70" w:type="dxa"/>
              <w:end w:w="110" w:type="dxa"/>
            </w:tcMar>
          </w:tcPr>
          <w:p>
            <w:pPr>
              <w:widowControl/>
              <w:spacing w:after="0"/>
            </w:pPr>
            <w:r>
              <w:rPr>
                <w:rFonts w:ascii="Arial" w:hAnsi="Arial"/>
                <w:sz w:val="17"/>
              </w:rPr>
              <w:t>WOOL BLANKETS</w:t>
            </w:r>
          </w:p>
        </w:tc>
        <w:tc>
          <w:tcPr>
            <w:tcW w:type="dxa" w:w="3120"/>
            <w:tcMar>
              <w:top w:w="70" w:type="dxa"/>
              <w:start w:w="110" w:type="dxa"/>
              <w:bottom w:w="70" w:type="dxa"/>
              <w:end w:w="110" w:type="dxa"/>
            </w:tcMar>
          </w:tcPr>
          <w:p>
            <w:pPr>
              <w:widowControl/>
              <w:spacing w:after="0"/>
            </w:pPr>
            <w:r>
              <w:rPr>
                <w:rFonts w:ascii="Arial" w:hAnsi="Arial"/>
                <w:sz w:val="17"/>
              </w:rPr>
              <w:t>KG</w:t>
            </w:r>
          </w:p>
        </w:tc>
      </w:tr>
      <w:tr>
        <w:trPr>
          <w:cantSplit/>
        </w:trPr>
        <w:tc>
          <w:tcPr>
            <w:tcW w:type="dxa" w:w="3120"/>
            <w:tcMar>
              <w:top w:w="70" w:type="dxa"/>
              <w:start w:w="110" w:type="dxa"/>
              <w:bottom w:w="70" w:type="dxa"/>
              <w:end w:w="110" w:type="dxa"/>
            </w:tcMar>
            <w:shd w:fill="F4F6F7"/>
          </w:tcPr>
          <w:p>
            <w:pPr>
              <w:widowControl/>
              <w:spacing w:after="0"/>
            </w:pPr>
            <w:r>
              <w:rPr>
                <w:rFonts w:ascii="Arial" w:hAnsi="Arial"/>
                <w:sz w:val="17"/>
              </w:rPr>
              <w:t>1.00</w:t>
            </w:r>
          </w:p>
        </w:tc>
        <w:tc>
          <w:tcPr>
            <w:tcW w:type="dxa" w:w="3120"/>
            <w:tcMar>
              <w:top w:w="70" w:type="dxa"/>
              <w:start w:w="110" w:type="dxa"/>
              <w:bottom w:w="70" w:type="dxa"/>
              <w:end w:w="110" w:type="dxa"/>
            </w:tcMar>
            <w:shd w:fill="F4F6F7"/>
          </w:tcPr>
          <w:p>
            <w:pPr>
              <w:widowControl/>
              <w:spacing w:after="0"/>
            </w:pPr>
            <w:r>
              <w:rPr>
                <w:rFonts w:ascii="Arial" w:hAnsi="Arial"/>
                <w:sz w:val="17"/>
              </w:rPr>
              <w:t>WOOL FLOOR COVERINGS</w:t>
            </w:r>
          </w:p>
        </w:tc>
        <w:tc>
          <w:tcPr>
            <w:tcW w:type="dxa" w:w="3120"/>
            <w:tcMar>
              <w:top w:w="70" w:type="dxa"/>
              <w:start w:w="110" w:type="dxa"/>
              <w:bottom w:w="70" w:type="dxa"/>
              <w:end w:w="110" w:type="dxa"/>
            </w:tcMar>
            <w:shd w:fill="F4F6F7"/>
          </w:tcPr>
          <w:p>
            <w:pPr>
              <w:widowControl/>
              <w:spacing w:after="0"/>
            </w:pPr>
            <w:r>
              <w:rPr>
                <w:rFonts w:ascii="Arial" w:hAnsi="Arial"/>
                <w:sz w:val="17"/>
              </w:rPr>
              <w:t>SM</w:t>
            </w:r>
          </w:p>
        </w:tc>
      </w:tr>
      <w:tr>
        <w:trPr>
          <w:cantSplit/>
        </w:trPr>
        <w:tc>
          <w:tcPr>
            <w:tcW w:type="dxa" w:w="3120"/>
            <w:tcMar>
              <w:top w:w="70" w:type="dxa"/>
              <w:start w:w="110" w:type="dxa"/>
              <w:bottom w:w="70" w:type="dxa"/>
              <w:end w:w="110" w:type="dxa"/>
            </w:tcMar>
          </w:tcPr>
          <w:p>
            <w:pPr>
              <w:widowControl/>
              <w:spacing w:after="0"/>
            </w:pPr>
            <w:r>
              <w:rPr>
                <w:rFonts w:ascii="Arial" w:hAnsi="Arial"/>
                <w:sz w:val="17"/>
              </w:rPr>
              <w:t>3.70</w:t>
            </w:r>
          </w:p>
        </w:tc>
        <w:tc>
          <w:tcPr>
            <w:tcW w:type="dxa" w:w="3120"/>
            <w:tcMar>
              <w:top w:w="70" w:type="dxa"/>
              <w:start w:w="110" w:type="dxa"/>
              <w:bottom w:w="70" w:type="dxa"/>
              <w:end w:w="110" w:type="dxa"/>
            </w:tcMar>
          </w:tcPr>
          <w:p>
            <w:pPr>
              <w:widowControl/>
              <w:spacing w:after="0"/>
            </w:pPr>
            <w:r>
              <w:rPr>
                <w:rFonts w:ascii="Arial" w:hAnsi="Arial"/>
                <w:sz w:val="17"/>
              </w:rPr>
              <w:t>OTHER WOOL MANUFACTURES</w:t>
            </w:r>
          </w:p>
        </w:tc>
        <w:tc>
          <w:tcPr>
            <w:tcW w:type="dxa" w:w="3120"/>
            <w:tcMar>
              <w:top w:w="70" w:type="dxa"/>
              <w:start w:w="110" w:type="dxa"/>
              <w:bottom w:w="70" w:type="dxa"/>
              <w:end w:w="110" w:type="dxa"/>
            </w:tcMar>
          </w:tcPr>
          <w:p>
            <w:pPr>
              <w:widowControl/>
              <w:spacing w:after="0"/>
            </w:pPr>
            <w:r>
              <w:rPr>
                <w:rFonts w:ascii="Arial" w:hAnsi="Arial"/>
                <w:sz w:val="17"/>
              </w:rPr>
              <w:t>KG</w:t>
            </w:r>
          </w:p>
        </w:tc>
      </w:tr>
      <w:tr>
        <w:trPr>
          <w:cantSplit/>
        </w:trPr>
        <w:tc>
          <w:tcPr>
            <w:tcW w:type="dxa" w:w="3120"/>
            <w:tcMar>
              <w:top w:w="70" w:type="dxa"/>
              <w:start w:w="110" w:type="dxa"/>
              <w:bottom w:w="70" w:type="dxa"/>
              <w:end w:w="110" w:type="dxa"/>
            </w:tcMar>
            <w:shd w:fill="F4F6F7"/>
          </w:tcPr>
          <w:p>
            <w:pPr>
              <w:widowControl/>
              <w:spacing w:after="0"/>
            </w:pPr>
            <w:r>
              <w:rPr>
                <w:rFonts w:ascii="Arial" w:hAnsi="Arial"/>
                <w:sz w:val="17"/>
              </w:rPr>
              <w:t>6.50</w:t>
            </w:r>
          </w:p>
        </w:tc>
        <w:tc>
          <w:tcPr>
            <w:tcW w:type="dxa" w:w="3120"/>
            <w:tcMar>
              <w:top w:w="70" w:type="dxa"/>
              <w:start w:w="110" w:type="dxa"/>
              <w:bottom w:w="70" w:type="dxa"/>
              <w:end w:w="110" w:type="dxa"/>
            </w:tcMar>
            <w:shd w:fill="F4F6F7"/>
          </w:tcPr>
          <w:p>
            <w:pPr>
              <w:widowControl/>
              <w:spacing w:after="0"/>
            </w:pPr>
            <w:r>
              <w:rPr>
                <w:rFonts w:ascii="Arial" w:hAnsi="Arial"/>
                <w:sz w:val="17"/>
              </w:rPr>
              <w:t>TEXTURED FILAMENT YARN</w:t>
            </w:r>
          </w:p>
        </w:tc>
        <w:tc>
          <w:tcPr>
            <w:tcW w:type="dxa" w:w="3120"/>
            <w:tcMar>
              <w:top w:w="70" w:type="dxa"/>
              <w:start w:w="110" w:type="dxa"/>
              <w:bottom w:w="70" w:type="dxa"/>
              <w:end w:w="110" w:type="dxa"/>
            </w:tcMar>
            <w:shd w:fill="F4F6F7"/>
          </w:tcPr>
          <w:p>
            <w:pPr>
              <w:widowControl/>
              <w:spacing w:after="0"/>
            </w:pPr>
            <w:r>
              <w:rPr>
                <w:rFonts w:ascii="Arial" w:hAnsi="Arial"/>
                <w:sz w:val="17"/>
              </w:rPr>
              <w:t>KG</w:t>
            </w:r>
          </w:p>
        </w:tc>
      </w:tr>
      <w:tr>
        <w:trPr>
          <w:cantSplit/>
        </w:trPr>
        <w:tc>
          <w:tcPr>
            <w:tcW w:type="dxa" w:w="3120"/>
            <w:tcMar>
              <w:top w:w="70" w:type="dxa"/>
              <w:start w:w="110" w:type="dxa"/>
              <w:bottom w:w="70" w:type="dxa"/>
              <w:end w:w="110" w:type="dxa"/>
            </w:tcMar>
          </w:tcPr>
          <w:p>
            <w:pPr>
              <w:widowControl/>
              <w:spacing w:after="0"/>
            </w:pPr>
            <w:r>
              <w:rPr>
                <w:rFonts w:ascii="Arial" w:hAnsi="Arial"/>
                <w:sz w:val="17"/>
              </w:rPr>
              <w:t>6.30</w:t>
            </w:r>
          </w:p>
        </w:tc>
        <w:tc>
          <w:tcPr>
            <w:tcW w:type="dxa" w:w="3120"/>
            <w:tcMar>
              <w:top w:w="70" w:type="dxa"/>
              <w:start w:w="110" w:type="dxa"/>
              <w:bottom w:w="70" w:type="dxa"/>
              <w:end w:w="110" w:type="dxa"/>
            </w:tcMar>
          </w:tcPr>
          <w:p>
            <w:pPr>
              <w:widowControl/>
              <w:spacing w:after="0"/>
            </w:pPr>
            <w:r>
              <w:rPr>
                <w:rFonts w:ascii="Arial" w:hAnsi="Arial"/>
                <w:sz w:val="17"/>
              </w:rPr>
              <w:t>YARN ≥</w:t>
            </w:r>
          </w:p>
        </w:tc>
        <w:tc>
          <w:tcPr>
            <w:tcW w:type="dxa" w:w="3120"/>
            <w:tcMar>
              <w:top w:w="70" w:type="dxa"/>
              <w:start w:w="110" w:type="dxa"/>
              <w:bottom w:w="70" w:type="dxa"/>
              <w:end w:w="110" w:type="dxa"/>
            </w:tcMar>
          </w:tcPr>
          <w:p>
            <w:pPr>
              <w:widowControl/>
              <w:spacing w:after="0"/>
            </w:pPr>
            <w:r>
              <w:rPr>
                <w:rFonts w:ascii="Arial" w:hAnsi="Arial"/>
                <w:sz w:val="17"/>
              </w:rPr>
            </w:r>
          </w:p>
        </w:tc>
      </w:tr>
      <w:tr>
        <w:trPr>
          <w:cantSplit/>
        </w:trPr>
        <w:tc>
          <w:tcPr>
            <w:tcW w:type="dxa" w:w="3120"/>
            <w:tcMar>
              <w:top w:w="70" w:type="dxa"/>
              <w:start w:w="110" w:type="dxa"/>
              <w:bottom w:w="70" w:type="dxa"/>
              <w:end w:w="110" w:type="dxa"/>
            </w:tcMar>
            <w:shd w:fill="F4F6F7"/>
          </w:tcPr>
          <w:p>
            <w:pPr>
              <w:widowControl/>
              <w:spacing w:after="0"/>
            </w:pPr>
            <w:r>
              <w:rPr>
                <w:rFonts w:ascii="Arial" w:hAnsi="Arial"/>
                <w:sz w:val="17"/>
              </w:rPr>
              <w:t>85</w:t>
            </w:r>
          </w:p>
        </w:tc>
        <w:tc>
          <w:tcPr>
            <w:tcW w:type="dxa" w:w="3120"/>
            <w:tcMar>
              <w:top w:w="70" w:type="dxa"/>
              <w:start w:w="110" w:type="dxa"/>
              <w:bottom w:w="70" w:type="dxa"/>
              <w:end w:w="110" w:type="dxa"/>
            </w:tcMar>
            <w:shd w:fill="F4F6F7"/>
          </w:tcPr>
          <w:p>
            <w:pPr>
              <w:widowControl/>
              <w:spacing w:after="0"/>
            </w:pPr>
            <w:r>
              <w:rPr>
                <w:rFonts w:ascii="Arial" w:hAnsi="Arial"/>
                <w:sz w:val="17"/>
              </w:rPr>
              <w:t>% ARTIFICIAL STAPLE FIBER</w:t>
            </w:r>
          </w:p>
        </w:tc>
        <w:tc>
          <w:tcPr>
            <w:tcW w:type="dxa" w:w="3120"/>
            <w:tcMar>
              <w:top w:w="70" w:type="dxa"/>
              <w:start w:w="110" w:type="dxa"/>
              <w:bottom w:w="70" w:type="dxa"/>
              <w:end w:w="110" w:type="dxa"/>
            </w:tcMar>
            <w:shd w:fill="F4F6F7"/>
          </w:tcPr>
          <w:p>
            <w:pPr>
              <w:widowControl/>
              <w:spacing w:after="0"/>
            </w:pPr>
            <w:r>
              <w:rPr>
                <w:rFonts w:ascii="Arial" w:hAnsi="Arial"/>
                <w:sz w:val="17"/>
              </w:rPr>
              <w:t>KG</w:t>
            </w:r>
          </w:p>
        </w:tc>
      </w:tr>
      <w:tr>
        <w:trPr>
          <w:cantSplit/>
        </w:trPr>
        <w:tc>
          <w:tcPr>
            <w:tcW w:type="dxa" w:w="3120"/>
            <w:tcMar>
              <w:top w:w="70" w:type="dxa"/>
              <w:start w:w="110" w:type="dxa"/>
              <w:bottom w:w="70" w:type="dxa"/>
              <w:end w:w="110" w:type="dxa"/>
            </w:tcMar>
          </w:tcPr>
          <w:p>
            <w:pPr>
              <w:widowControl/>
              <w:spacing w:after="0"/>
            </w:pPr>
            <w:r>
              <w:rPr>
                <w:rFonts w:ascii="Arial" w:hAnsi="Arial"/>
                <w:sz w:val="17"/>
              </w:rPr>
              <w:t>7.60</w:t>
            </w:r>
          </w:p>
        </w:tc>
        <w:tc>
          <w:tcPr>
            <w:tcW w:type="dxa" w:w="3120"/>
            <w:tcMar>
              <w:top w:w="70" w:type="dxa"/>
              <w:start w:w="110" w:type="dxa"/>
              <w:bottom w:w="70" w:type="dxa"/>
              <w:end w:w="110" w:type="dxa"/>
            </w:tcMar>
          </w:tcPr>
          <w:p>
            <w:pPr>
              <w:widowControl/>
              <w:spacing w:after="0"/>
            </w:pPr>
            <w:r>
              <w:rPr>
                <w:rFonts w:ascii="Arial" w:hAnsi="Arial"/>
                <w:sz w:val="17"/>
              </w:rPr>
              <w:t>YARN ≥</w:t>
            </w:r>
          </w:p>
        </w:tc>
        <w:tc>
          <w:tcPr>
            <w:tcW w:type="dxa" w:w="3120"/>
            <w:tcMar>
              <w:top w:w="70" w:type="dxa"/>
              <w:start w:w="110" w:type="dxa"/>
              <w:bottom w:w="70" w:type="dxa"/>
              <w:end w:w="110" w:type="dxa"/>
            </w:tcMar>
          </w:tcPr>
          <w:p>
            <w:pPr>
              <w:widowControl/>
              <w:spacing w:after="0"/>
            </w:pPr>
            <w:r>
              <w:rPr>
                <w:rFonts w:ascii="Arial" w:hAnsi="Arial"/>
                <w:sz w:val="17"/>
              </w:rPr>
            </w:r>
          </w:p>
        </w:tc>
      </w:tr>
      <w:tr>
        <w:trPr>
          <w:cantSplit/>
        </w:trPr>
        <w:tc>
          <w:tcPr>
            <w:tcW w:type="dxa" w:w="3120"/>
            <w:tcMar>
              <w:top w:w="70" w:type="dxa"/>
              <w:start w:w="110" w:type="dxa"/>
              <w:bottom w:w="70" w:type="dxa"/>
              <w:end w:w="110" w:type="dxa"/>
            </w:tcMar>
            <w:shd w:fill="F4F6F7"/>
          </w:tcPr>
          <w:p>
            <w:pPr>
              <w:widowControl/>
              <w:spacing w:after="0"/>
            </w:pPr>
            <w:r>
              <w:rPr>
                <w:rFonts w:ascii="Arial" w:hAnsi="Arial"/>
                <w:sz w:val="17"/>
              </w:rPr>
              <w:t>85</w:t>
            </w:r>
          </w:p>
        </w:tc>
        <w:tc>
          <w:tcPr>
            <w:tcW w:type="dxa" w:w="3120"/>
            <w:tcMar>
              <w:top w:w="70" w:type="dxa"/>
              <w:start w:w="110" w:type="dxa"/>
              <w:bottom w:w="70" w:type="dxa"/>
              <w:end w:w="110" w:type="dxa"/>
            </w:tcMar>
            <w:shd w:fill="F4F6F7"/>
          </w:tcPr>
          <w:p>
            <w:pPr>
              <w:widowControl/>
              <w:spacing w:after="0"/>
            </w:pPr>
            <w:r>
              <w:rPr>
                <w:rFonts w:ascii="Arial" w:hAnsi="Arial"/>
                <w:sz w:val="17"/>
              </w:rPr>
              <w:t>% SYNTHETIC STAPLE FIBER</w:t>
            </w:r>
          </w:p>
        </w:tc>
        <w:tc>
          <w:tcPr>
            <w:tcW w:type="dxa" w:w="3120"/>
            <w:tcMar>
              <w:top w:w="70" w:type="dxa"/>
              <w:start w:w="110" w:type="dxa"/>
              <w:bottom w:w="70" w:type="dxa"/>
              <w:end w:w="110" w:type="dxa"/>
            </w:tcMar>
            <w:shd w:fill="F4F6F7"/>
          </w:tcPr>
          <w:p>
            <w:pPr>
              <w:widowControl/>
              <w:spacing w:after="0"/>
            </w:pPr>
            <w:r>
              <w:rPr>
                <w:rFonts w:ascii="Arial" w:hAnsi="Arial"/>
                <w:sz w:val="17"/>
              </w:rPr>
              <w:t>KG</w:t>
            </w:r>
          </w:p>
        </w:tc>
      </w:tr>
      <w:tr>
        <w:trPr>
          <w:cantSplit/>
        </w:trPr>
        <w:tc>
          <w:tcPr>
            <w:tcW w:type="dxa" w:w="3120"/>
            <w:tcMar>
              <w:top w:w="70" w:type="dxa"/>
              <w:start w:w="110" w:type="dxa"/>
              <w:bottom w:w="70" w:type="dxa"/>
              <w:end w:w="110" w:type="dxa"/>
            </w:tcMar>
          </w:tcPr>
          <w:p>
            <w:pPr>
              <w:widowControl/>
              <w:spacing w:after="0"/>
            </w:pPr>
            <w:r>
              <w:rPr>
                <w:rFonts w:ascii="Arial" w:hAnsi="Arial"/>
                <w:sz w:val="17"/>
              </w:rPr>
              <w:t>20.10</w:t>
            </w:r>
          </w:p>
        </w:tc>
        <w:tc>
          <w:tcPr>
            <w:tcW w:type="dxa" w:w="3120"/>
            <w:tcMar>
              <w:top w:w="70" w:type="dxa"/>
              <w:start w:w="110" w:type="dxa"/>
              <w:bottom w:w="70" w:type="dxa"/>
              <w:end w:w="110" w:type="dxa"/>
            </w:tcMar>
          </w:tcPr>
          <w:p>
            <w:pPr>
              <w:widowControl/>
              <w:spacing w:after="0"/>
            </w:pPr>
            <w:r>
              <w:rPr>
                <w:rFonts w:ascii="Arial" w:hAnsi="Arial"/>
                <w:sz w:val="17"/>
              </w:rPr>
              <w:t>NON TEXTURED FILAMENT YARN</w:t>
            </w:r>
          </w:p>
        </w:tc>
        <w:tc>
          <w:tcPr>
            <w:tcW w:type="dxa" w:w="3120"/>
            <w:tcMar>
              <w:top w:w="70" w:type="dxa"/>
              <w:start w:w="110" w:type="dxa"/>
              <w:bottom w:w="70" w:type="dxa"/>
              <w:end w:w="110" w:type="dxa"/>
            </w:tcMar>
          </w:tcPr>
          <w:p>
            <w:pPr>
              <w:widowControl/>
              <w:spacing w:after="0"/>
            </w:pPr>
            <w:r>
              <w:rPr>
                <w:rFonts w:ascii="Arial" w:hAnsi="Arial"/>
                <w:sz w:val="17"/>
              </w:rPr>
              <w:t>KG</w:t>
            </w:r>
          </w:p>
        </w:tc>
      </w:tr>
      <w:tr>
        <w:trPr>
          <w:cantSplit/>
        </w:trPr>
        <w:tc>
          <w:tcPr>
            <w:tcW w:type="dxa" w:w="3120"/>
            <w:tcMar>
              <w:top w:w="70" w:type="dxa"/>
              <w:start w:w="110" w:type="dxa"/>
              <w:bottom w:w="70" w:type="dxa"/>
              <w:end w:w="110" w:type="dxa"/>
            </w:tcMar>
            <w:shd w:fill="F4F6F7"/>
          </w:tcPr>
          <w:p>
            <w:pPr>
              <w:widowControl/>
              <w:spacing w:after="0"/>
            </w:pPr>
            <w:r>
              <w:rPr>
                <w:rFonts w:ascii="Arial" w:hAnsi="Arial"/>
                <w:sz w:val="17"/>
              </w:rPr>
              <w:t>6.50</w:t>
            </w:r>
          </w:p>
        </w:tc>
        <w:tc>
          <w:tcPr>
            <w:tcW w:type="dxa" w:w="3120"/>
            <w:tcMar>
              <w:top w:w="70" w:type="dxa"/>
              <w:start w:w="110" w:type="dxa"/>
              <w:bottom w:w="70" w:type="dxa"/>
              <w:end w:w="110" w:type="dxa"/>
            </w:tcMar>
            <w:shd w:fill="F4F6F7"/>
          </w:tcPr>
          <w:p>
            <w:pPr>
              <w:widowControl/>
              <w:spacing w:after="0"/>
            </w:pPr>
            <w:r>
              <w:rPr>
                <w:rFonts w:ascii="Arial" w:hAnsi="Arial"/>
                <w:sz w:val="17"/>
              </w:rPr>
              <w:t>OTHER STAPLE FIBER YARN</w:t>
            </w:r>
          </w:p>
        </w:tc>
        <w:tc>
          <w:tcPr>
            <w:tcW w:type="dxa" w:w="3120"/>
            <w:tcMar>
              <w:top w:w="70" w:type="dxa"/>
              <w:start w:w="110" w:type="dxa"/>
              <w:bottom w:w="70" w:type="dxa"/>
              <w:end w:w="110" w:type="dxa"/>
            </w:tcMar>
            <w:shd w:fill="F4F6F7"/>
          </w:tcPr>
          <w:p>
            <w:pPr>
              <w:widowControl/>
              <w:spacing w:after="0"/>
            </w:pPr>
            <w:r>
              <w:rPr>
                <w:rFonts w:ascii="Arial" w:hAnsi="Arial"/>
                <w:sz w:val="17"/>
              </w:rPr>
              <w:t>KG</w:t>
            </w:r>
          </w:p>
        </w:tc>
      </w:tr>
      <w:tr>
        <w:trPr>
          <w:cantSplit/>
        </w:trPr>
        <w:tc>
          <w:tcPr>
            <w:tcW w:type="dxa" w:w="3120"/>
            <w:tcMar>
              <w:top w:w="70" w:type="dxa"/>
              <w:start w:w="110" w:type="dxa"/>
              <w:bottom w:w="70" w:type="dxa"/>
              <w:end w:w="110" w:type="dxa"/>
            </w:tcMar>
          </w:tcPr>
          <w:p>
            <w:pPr>
              <w:widowControl/>
              <w:spacing w:after="0"/>
            </w:pPr>
            <w:r>
              <w:rPr>
                <w:rFonts w:ascii="Arial" w:hAnsi="Arial"/>
                <w:sz w:val="17"/>
              </w:rPr>
              <w:t>1.00</w:t>
            </w:r>
          </w:p>
        </w:tc>
        <w:tc>
          <w:tcPr>
            <w:tcW w:type="dxa" w:w="3120"/>
            <w:tcMar>
              <w:top w:w="70" w:type="dxa"/>
              <w:start w:w="110" w:type="dxa"/>
              <w:bottom w:w="70" w:type="dxa"/>
              <w:end w:w="110" w:type="dxa"/>
            </w:tcMar>
          </w:tcPr>
          <w:p>
            <w:pPr>
              <w:widowControl/>
              <w:spacing w:after="0"/>
            </w:pPr>
            <w:r>
              <w:rPr>
                <w:rFonts w:ascii="Arial" w:hAnsi="Arial"/>
                <w:sz w:val="17"/>
              </w:rPr>
              <w:t>WOVEN FABRIC ≥</w:t>
            </w:r>
          </w:p>
        </w:tc>
        <w:tc>
          <w:tcPr>
            <w:tcW w:type="dxa" w:w="3120"/>
            <w:tcMar>
              <w:top w:w="70" w:type="dxa"/>
              <w:start w:w="110" w:type="dxa"/>
              <w:bottom w:w="70" w:type="dxa"/>
              <w:end w:w="110" w:type="dxa"/>
            </w:tcMar>
          </w:tcPr>
          <w:p>
            <w:pPr>
              <w:widowControl/>
              <w:spacing w:after="0"/>
            </w:pPr>
            <w:r>
              <w:rPr>
                <w:rFonts w:ascii="Arial" w:hAnsi="Arial"/>
                <w:sz w:val="17"/>
              </w:rPr>
            </w:r>
          </w:p>
        </w:tc>
      </w:tr>
      <w:tr>
        <w:trPr>
          <w:cantSplit/>
        </w:trPr>
        <w:tc>
          <w:tcPr>
            <w:tcW w:type="dxa" w:w="3120"/>
            <w:tcMar>
              <w:top w:w="70" w:type="dxa"/>
              <w:start w:w="110" w:type="dxa"/>
              <w:bottom w:w="70" w:type="dxa"/>
              <w:end w:w="110" w:type="dxa"/>
            </w:tcMar>
            <w:shd w:fill="F4F6F7"/>
          </w:tcPr>
          <w:p>
            <w:pPr>
              <w:widowControl/>
              <w:spacing w:after="0"/>
            </w:pPr>
            <w:r>
              <w:rPr>
                <w:rFonts w:ascii="Arial" w:hAnsi="Arial"/>
                <w:sz w:val="17"/>
              </w:rPr>
              <w:t>85</w:t>
            </w:r>
          </w:p>
        </w:tc>
        <w:tc>
          <w:tcPr>
            <w:tcW w:type="dxa" w:w="3120"/>
            <w:tcMar>
              <w:top w:w="70" w:type="dxa"/>
              <w:start w:w="110" w:type="dxa"/>
              <w:bottom w:w="70" w:type="dxa"/>
              <w:end w:w="110" w:type="dxa"/>
            </w:tcMar>
            <w:shd w:fill="F4F6F7"/>
          </w:tcPr>
          <w:p>
            <w:pPr>
              <w:widowControl/>
              <w:spacing w:after="0"/>
            </w:pPr>
            <w:r>
              <w:rPr>
                <w:rFonts w:ascii="Arial" w:hAnsi="Arial"/>
                <w:sz w:val="17"/>
              </w:rPr>
              <w:t>% ARTIFICIAL STAPLE</w:t>
            </w:r>
          </w:p>
        </w:tc>
        <w:tc>
          <w:tcPr>
            <w:tcW w:type="dxa" w:w="3120"/>
            <w:tcMar>
              <w:top w:w="70" w:type="dxa"/>
              <w:start w:w="110" w:type="dxa"/>
              <w:bottom w:w="70" w:type="dxa"/>
              <w:end w:w="110" w:type="dxa"/>
            </w:tcMar>
            <w:shd w:fill="F4F6F7"/>
          </w:tcPr>
          <w:p>
            <w:pPr>
              <w:widowControl/>
              <w:spacing w:after="0"/>
            </w:pPr>
            <w:r>
              <w:rPr>
                <w:rFonts w:ascii="Arial" w:hAnsi="Arial"/>
                <w:sz w:val="17"/>
              </w:rPr>
              <w:t>SM</w:t>
            </w:r>
          </w:p>
        </w:tc>
      </w:tr>
      <w:tr>
        <w:trPr>
          <w:cantSplit/>
        </w:trPr>
        <w:tc>
          <w:tcPr>
            <w:tcW w:type="dxa" w:w="3120"/>
            <w:tcMar>
              <w:top w:w="70" w:type="dxa"/>
              <w:start w:w="110" w:type="dxa"/>
              <w:bottom w:w="70" w:type="dxa"/>
              <w:end w:w="110" w:type="dxa"/>
            </w:tcMar>
          </w:tcPr>
          <w:p>
            <w:pPr>
              <w:widowControl/>
              <w:spacing w:after="0"/>
            </w:pPr>
            <w:r>
              <w:rPr>
                <w:rFonts w:ascii="Arial" w:hAnsi="Arial"/>
                <w:sz w:val="17"/>
              </w:rPr>
              <w:t>1.00</w:t>
            </w:r>
          </w:p>
        </w:tc>
        <w:tc>
          <w:tcPr>
            <w:tcW w:type="dxa" w:w="3120"/>
            <w:tcMar>
              <w:top w:w="70" w:type="dxa"/>
              <w:start w:w="110" w:type="dxa"/>
              <w:bottom w:w="70" w:type="dxa"/>
              <w:end w:w="110" w:type="dxa"/>
            </w:tcMar>
          </w:tcPr>
          <w:p>
            <w:pPr>
              <w:widowControl/>
              <w:spacing w:after="0"/>
            </w:pPr>
            <w:r>
              <w:rPr>
                <w:rFonts w:ascii="Arial" w:hAnsi="Arial"/>
                <w:sz w:val="17"/>
              </w:rPr>
              <w:t>MMF SHEETING FABRIC</w:t>
            </w:r>
          </w:p>
        </w:tc>
        <w:tc>
          <w:tcPr>
            <w:tcW w:type="dxa" w:w="3120"/>
            <w:tcMar>
              <w:top w:w="70" w:type="dxa"/>
              <w:start w:w="110" w:type="dxa"/>
              <w:bottom w:w="70" w:type="dxa"/>
              <w:end w:w="110" w:type="dxa"/>
            </w:tcMar>
          </w:tcPr>
          <w:p>
            <w:pPr>
              <w:widowControl/>
              <w:spacing w:after="0"/>
            </w:pPr>
            <w:r>
              <w:rPr>
                <w:rFonts w:ascii="Arial" w:hAnsi="Arial"/>
                <w:sz w:val="17"/>
              </w:rPr>
              <w:t>SM</w:t>
            </w:r>
          </w:p>
        </w:tc>
      </w:tr>
      <w:tr>
        <w:trPr>
          <w:cantSplit/>
        </w:trPr>
        <w:tc>
          <w:tcPr>
            <w:tcW w:type="dxa" w:w="3120"/>
            <w:tcMar>
              <w:top w:w="70" w:type="dxa"/>
              <w:start w:w="110" w:type="dxa"/>
              <w:bottom w:w="70" w:type="dxa"/>
              <w:end w:w="110" w:type="dxa"/>
            </w:tcMar>
            <w:shd w:fill="F4F6F7"/>
          </w:tcPr>
          <w:p>
            <w:pPr>
              <w:widowControl/>
              <w:spacing w:after="0"/>
            </w:pPr>
            <w:r>
              <w:rPr>
                <w:rFonts w:ascii="Arial" w:hAnsi="Arial"/>
                <w:sz w:val="17"/>
              </w:rPr>
              <w:t>1.00</w:t>
            </w:r>
          </w:p>
        </w:tc>
        <w:tc>
          <w:tcPr>
            <w:tcW w:type="dxa" w:w="3120"/>
            <w:tcMar>
              <w:top w:w="70" w:type="dxa"/>
              <w:start w:w="110" w:type="dxa"/>
              <w:bottom w:w="70" w:type="dxa"/>
              <w:end w:w="110" w:type="dxa"/>
            </w:tcMar>
            <w:shd w:fill="F4F6F7"/>
          </w:tcPr>
          <w:p>
            <w:pPr>
              <w:widowControl/>
              <w:spacing w:after="0"/>
            </w:pPr>
            <w:r>
              <w:rPr>
                <w:rFonts w:ascii="Arial" w:hAnsi="Arial"/>
                <w:sz w:val="17"/>
              </w:rPr>
              <w:t>MMF POPLIN &amp; BROADCLOTH FABRIC</w:t>
            </w:r>
          </w:p>
        </w:tc>
        <w:tc>
          <w:tcPr>
            <w:tcW w:type="dxa" w:w="3120"/>
            <w:tcMar>
              <w:top w:w="70" w:type="dxa"/>
              <w:start w:w="110" w:type="dxa"/>
              <w:bottom w:w="70" w:type="dxa"/>
              <w:end w:w="110" w:type="dxa"/>
            </w:tcMar>
            <w:shd w:fill="F4F6F7"/>
          </w:tcPr>
          <w:p>
            <w:pPr>
              <w:widowControl/>
              <w:spacing w:after="0"/>
            </w:pPr>
            <w:r>
              <w:rPr>
                <w:rFonts w:ascii="Arial" w:hAnsi="Arial"/>
                <w:sz w:val="17"/>
              </w:rPr>
              <w:t>SM</w:t>
            </w:r>
          </w:p>
        </w:tc>
      </w:tr>
      <w:tr>
        <w:trPr>
          <w:cantSplit/>
        </w:trPr>
        <w:tc>
          <w:tcPr>
            <w:tcW w:type="dxa" w:w="3120"/>
            <w:tcMar>
              <w:top w:w="70" w:type="dxa"/>
              <w:start w:w="110" w:type="dxa"/>
              <w:bottom w:w="70" w:type="dxa"/>
              <w:end w:w="110" w:type="dxa"/>
            </w:tcMar>
          </w:tcPr>
          <w:p>
            <w:pPr>
              <w:widowControl/>
              <w:spacing w:after="0"/>
            </w:pPr>
            <w:r>
              <w:rPr>
                <w:rFonts w:ascii="Arial" w:hAnsi="Arial"/>
                <w:sz w:val="17"/>
              </w:rPr>
              <w:t>1.00</w:t>
            </w:r>
          </w:p>
        </w:tc>
        <w:tc>
          <w:tcPr>
            <w:tcW w:type="dxa" w:w="3120"/>
            <w:tcMar>
              <w:top w:w="70" w:type="dxa"/>
              <w:start w:w="110" w:type="dxa"/>
              <w:bottom w:w="70" w:type="dxa"/>
              <w:end w:w="110" w:type="dxa"/>
            </w:tcMar>
          </w:tcPr>
          <w:p>
            <w:pPr>
              <w:widowControl/>
              <w:spacing w:after="0"/>
            </w:pPr>
            <w:r>
              <w:rPr>
                <w:rFonts w:ascii="Arial" w:hAnsi="Arial"/>
                <w:sz w:val="17"/>
              </w:rPr>
              <w:t>MMF PRINTCLOTH FABRIC</w:t>
            </w:r>
          </w:p>
        </w:tc>
        <w:tc>
          <w:tcPr>
            <w:tcW w:type="dxa" w:w="3120"/>
            <w:tcMar>
              <w:top w:w="70" w:type="dxa"/>
              <w:start w:w="110" w:type="dxa"/>
              <w:bottom w:w="70" w:type="dxa"/>
              <w:end w:w="110" w:type="dxa"/>
            </w:tcMar>
          </w:tcPr>
          <w:p>
            <w:pPr>
              <w:widowControl/>
              <w:spacing w:after="0"/>
            </w:pPr>
            <w:r>
              <w:rPr>
                <w:rFonts w:ascii="Arial" w:hAnsi="Arial"/>
                <w:sz w:val="17"/>
              </w:rPr>
              <w:t>SM</w:t>
            </w:r>
          </w:p>
        </w:tc>
      </w:tr>
      <w:tr>
        <w:trPr>
          <w:cantSplit/>
        </w:trPr>
        <w:tc>
          <w:tcPr>
            <w:tcW w:type="dxa" w:w="3120"/>
            <w:tcMar>
              <w:top w:w="70" w:type="dxa"/>
              <w:start w:w="110" w:type="dxa"/>
              <w:bottom w:w="70" w:type="dxa"/>
              <w:end w:w="110" w:type="dxa"/>
            </w:tcMar>
            <w:shd w:fill="F4F6F7"/>
          </w:tcPr>
          <w:p>
            <w:pPr>
              <w:widowControl/>
              <w:spacing w:after="0"/>
            </w:pPr>
            <w:r>
              <w:rPr>
                <w:rFonts w:ascii="Arial" w:hAnsi="Arial"/>
                <w:sz w:val="17"/>
              </w:rPr>
              <w:t>1.00</w:t>
            </w:r>
          </w:p>
        </w:tc>
        <w:tc>
          <w:tcPr>
            <w:tcW w:type="dxa" w:w="3120"/>
            <w:tcMar>
              <w:top w:w="70" w:type="dxa"/>
              <w:start w:w="110" w:type="dxa"/>
              <w:bottom w:w="70" w:type="dxa"/>
              <w:end w:w="110" w:type="dxa"/>
            </w:tcMar>
            <w:shd w:fill="F4F6F7"/>
          </w:tcPr>
          <w:p>
            <w:pPr>
              <w:widowControl/>
              <w:spacing w:after="0"/>
            </w:pPr>
            <w:r>
              <w:rPr>
                <w:rFonts w:ascii="Arial" w:hAnsi="Arial"/>
                <w:sz w:val="17"/>
              </w:rPr>
              <w:t>MMF TWILL AND SATEEN FABRIC</w:t>
            </w:r>
          </w:p>
        </w:tc>
        <w:tc>
          <w:tcPr>
            <w:tcW w:type="dxa" w:w="3120"/>
            <w:tcMar>
              <w:top w:w="70" w:type="dxa"/>
              <w:start w:w="110" w:type="dxa"/>
              <w:bottom w:w="70" w:type="dxa"/>
              <w:end w:w="110" w:type="dxa"/>
            </w:tcMar>
            <w:shd w:fill="F4F6F7"/>
          </w:tcPr>
          <w:p>
            <w:pPr>
              <w:widowControl/>
              <w:spacing w:after="0"/>
            </w:pPr>
            <w:r>
              <w:rPr>
                <w:rFonts w:ascii="Arial" w:hAnsi="Arial"/>
                <w:sz w:val="17"/>
              </w:rPr>
              <w:t>SM</w:t>
            </w:r>
          </w:p>
        </w:tc>
      </w:tr>
      <w:tr>
        <w:trPr>
          <w:cantSplit/>
        </w:trPr>
        <w:tc>
          <w:tcPr>
            <w:tcW w:type="dxa" w:w="3120"/>
            <w:tcMar>
              <w:top w:w="70" w:type="dxa"/>
              <w:start w:w="110" w:type="dxa"/>
              <w:bottom w:w="70" w:type="dxa"/>
              <w:end w:w="110" w:type="dxa"/>
            </w:tcMar>
          </w:tcPr>
          <w:p>
            <w:pPr>
              <w:widowControl/>
              <w:spacing w:after="0"/>
            </w:pPr>
            <w:r>
              <w:rPr>
                <w:rFonts w:ascii="Arial" w:hAnsi="Arial"/>
                <w:sz w:val="17"/>
              </w:rPr>
              <w:t>1.00</w:t>
            </w:r>
          </w:p>
        </w:tc>
        <w:tc>
          <w:tcPr>
            <w:tcW w:type="dxa" w:w="3120"/>
            <w:tcMar>
              <w:top w:w="70" w:type="dxa"/>
              <w:start w:w="110" w:type="dxa"/>
              <w:bottom w:w="70" w:type="dxa"/>
              <w:end w:w="110" w:type="dxa"/>
            </w:tcMar>
          </w:tcPr>
          <w:p>
            <w:pPr>
              <w:widowControl/>
              <w:spacing w:after="0"/>
            </w:pPr>
            <w:r>
              <w:rPr>
                <w:rFonts w:ascii="Arial" w:hAnsi="Arial"/>
                <w:sz w:val="17"/>
              </w:rPr>
              <w:t>WOVEN ARTIFICIAL FILAMENT FABRIC</w:t>
            </w:r>
          </w:p>
        </w:tc>
        <w:tc>
          <w:tcPr>
            <w:tcW w:type="dxa" w:w="3120"/>
            <w:tcMar>
              <w:top w:w="70" w:type="dxa"/>
              <w:start w:w="110" w:type="dxa"/>
              <w:bottom w:w="70" w:type="dxa"/>
              <w:end w:w="110" w:type="dxa"/>
            </w:tcMar>
          </w:tcPr>
          <w:p>
            <w:pPr>
              <w:widowControl/>
              <w:spacing w:after="0"/>
            </w:pPr>
            <w:r>
              <w:rPr>
                <w:rFonts w:ascii="Arial" w:hAnsi="Arial"/>
                <w:sz w:val="17"/>
              </w:rPr>
              <w:t>SM</w:t>
            </w:r>
          </w:p>
        </w:tc>
      </w:tr>
      <w:tr>
        <w:trPr>
          <w:cantSplit/>
        </w:trPr>
        <w:tc>
          <w:tcPr>
            <w:tcW w:type="dxa" w:w="3120"/>
            <w:tcMar>
              <w:top w:w="70" w:type="dxa"/>
              <w:start w:w="110" w:type="dxa"/>
              <w:bottom w:w="70" w:type="dxa"/>
              <w:end w:w="110" w:type="dxa"/>
            </w:tcMar>
            <w:shd w:fill="F4F6F7"/>
          </w:tcPr>
          <w:p>
            <w:pPr>
              <w:widowControl/>
              <w:spacing w:after="0"/>
            </w:pPr>
            <w:r>
              <w:rPr>
                <w:rFonts w:ascii="Arial" w:hAnsi="Arial"/>
                <w:sz w:val="17"/>
              </w:rPr>
              <w:t>1.00</w:t>
            </w:r>
          </w:p>
        </w:tc>
        <w:tc>
          <w:tcPr>
            <w:tcW w:type="dxa" w:w="3120"/>
            <w:tcMar>
              <w:top w:w="70" w:type="dxa"/>
              <w:start w:w="110" w:type="dxa"/>
              <w:bottom w:w="70" w:type="dxa"/>
              <w:end w:w="110" w:type="dxa"/>
            </w:tcMar>
            <w:shd w:fill="F4F6F7"/>
          </w:tcPr>
          <w:p>
            <w:pPr>
              <w:widowControl/>
              <w:spacing w:after="0"/>
            </w:pPr>
            <w:r>
              <w:rPr>
                <w:rFonts w:ascii="Arial" w:hAnsi="Arial"/>
                <w:sz w:val="17"/>
              </w:rPr>
              <w:t>POLYESTER FILAMENT FABRIC</w:t>
            </w:r>
          </w:p>
        </w:tc>
        <w:tc>
          <w:tcPr>
            <w:tcW w:type="dxa" w:w="3120"/>
            <w:tcMar>
              <w:top w:w="70" w:type="dxa"/>
              <w:start w:w="110" w:type="dxa"/>
              <w:bottom w:w="70" w:type="dxa"/>
              <w:end w:w="110" w:type="dxa"/>
            </w:tcMar>
            <w:shd w:fill="F4F6F7"/>
          </w:tcPr>
          <w:p>
            <w:pPr>
              <w:widowControl/>
              <w:spacing w:after="0"/>
            </w:pPr>
            <w:r>
              <w:rPr>
                <w:rFonts w:ascii="Arial" w:hAnsi="Arial"/>
                <w:sz w:val="17"/>
              </w:rPr>
              <w:t>SM</w:t>
            </w:r>
          </w:p>
        </w:tc>
      </w:tr>
      <w:tr>
        <w:trPr>
          <w:cantSplit/>
        </w:trPr>
        <w:tc>
          <w:tcPr>
            <w:tcW w:type="dxa" w:w="3120"/>
            <w:tcMar>
              <w:top w:w="70" w:type="dxa"/>
              <w:start w:w="110" w:type="dxa"/>
              <w:bottom w:w="70" w:type="dxa"/>
              <w:end w:w="110" w:type="dxa"/>
            </w:tcMar>
          </w:tcPr>
          <w:p>
            <w:pPr>
              <w:widowControl/>
              <w:spacing w:after="0"/>
            </w:pPr>
            <w:r>
              <w:rPr>
                <w:rFonts w:ascii="Arial" w:hAnsi="Arial"/>
                <w:sz w:val="17"/>
              </w:rPr>
              <w:t>1.00</w:t>
            </w:r>
          </w:p>
        </w:tc>
        <w:tc>
          <w:tcPr>
            <w:tcW w:type="dxa" w:w="3120"/>
            <w:tcMar>
              <w:top w:w="70" w:type="dxa"/>
              <w:start w:w="110" w:type="dxa"/>
              <w:bottom w:w="70" w:type="dxa"/>
              <w:end w:w="110" w:type="dxa"/>
            </w:tcMar>
          </w:tcPr>
          <w:p>
            <w:pPr>
              <w:widowControl/>
              <w:spacing w:after="0"/>
            </w:pPr>
            <w:r>
              <w:rPr>
                <w:rFonts w:ascii="Arial" w:hAnsi="Arial"/>
                <w:sz w:val="17"/>
              </w:rPr>
              <w:t>OTHER SYNTHETIC FILAMENT FABRIC</w:t>
            </w:r>
          </w:p>
        </w:tc>
        <w:tc>
          <w:tcPr>
            <w:tcW w:type="dxa" w:w="3120"/>
            <w:tcMar>
              <w:top w:w="70" w:type="dxa"/>
              <w:start w:w="110" w:type="dxa"/>
              <w:bottom w:w="70" w:type="dxa"/>
              <w:end w:w="110" w:type="dxa"/>
            </w:tcMar>
          </w:tcPr>
          <w:p>
            <w:pPr>
              <w:widowControl/>
              <w:spacing w:after="0"/>
            </w:pPr>
            <w:r>
              <w:rPr>
                <w:rFonts w:ascii="Arial" w:hAnsi="Arial"/>
                <w:sz w:val="17"/>
              </w:rPr>
              <w:t>SM</w:t>
            </w:r>
          </w:p>
        </w:tc>
      </w:tr>
      <w:tr>
        <w:trPr>
          <w:cantSplit/>
        </w:trPr>
        <w:tc>
          <w:tcPr>
            <w:tcW w:type="dxa" w:w="3120"/>
            <w:tcMar>
              <w:top w:w="70" w:type="dxa"/>
              <w:start w:w="110" w:type="dxa"/>
              <w:bottom w:w="70" w:type="dxa"/>
              <w:end w:w="110" w:type="dxa"/>
            </w:tcMar>
            <w:shd w:fill="F4F6F7"/>
          </w:tcPr>
          <w:p>
            <w:pPr>
              <w:widowControl/>
              <w:spacing w:after="0"/>
            </w:pPr>
            <w:r>
              <w:rPr>
                <w:rFonts w:ascii="Arial" w:hAnsi="Arial"/>
                <w:sz w:val="17"/>
              </w:rPr>
              <w:t>14.40</w:t>
            </w:r>
          </w:p>
        </w:tc>
        <w:tc>
          <w:tcPr>
            <w:tcW w:type="dxa" w:w="3120"/>
            <w:tcMar>
              <w:top w:w="70" w:type="dxa"/>
              <w:start w:w="110" w:type="dxa"/>
              <w:bottom w:w="70" w:type="dxa"/>
              <w:end w:w="110" w:type="dxa"/>
            </w:tcMar>
            <w:shd w:fill="F4F6F7"/>
          </w:tcPr>
          <w:p>
            <w:pPr>
              <w:widowControl/>
              <w:spacing w:after="0"/>
            </w:pPr>
            <w:r>
              <w:rPr>
                <w:rFonts w:ascii="Arial" w:hAnsi="Arial"/>
                <w:sz w:val="17"/>
              </w:rPr>
              <w:t>IMPRESSION FABRIC</w:t>
            </w:r>
          </w:p>
        </w:tc>
        <w:tc>
          <w:tcPr>
            <w:tcW w:type="dxa" w:w="3120"/>
            <w:tcMar>
              <w:top w:w="70" w:type="dxa"/>
              <w:start w:w="110" w:type="dxa"/>
              <w:bottom w:w="70" w:type="dxa"/>
              <w:end w:w="110" w:type="dxa"/>
            </w:tcMar>
            <w:shd w:fill="F4F6F7"/>
          </w:tcPr>
          <w:p>
            <w:pPr>
              <w:widowControl/>
              <w:spacing w:after="0"/>
            </w:pPr>
            <w:r>
              <w:rPr>
                <w:rFonts w:ascii="Arial" w:hAnsi="Arial"/>
                <w:sz w:val="17"/>
              </w:rPr>
              <w:t>KG</w:t>
            </w:r>
          </w:p>
        </w:tc>
      </w:tr>
      <w:tr>
        <w:trPr>
          <w:cantSplit/>
        </w:trPr>
        <w:tc>
          <w:tcPr>
            <w:tcW w:type="dxa" w:w="3120"/>
            <w:tcMar>
              <w:top w:w="70" w:type="dxa"/>
              <w:start w:w="110" w:type="dxa"/>
              <w:bottom w:w="70" w:type="dxa"/>
              <w:end w:w="110" w:type="dxa"/>
            </w:tcMar>
          </w:tcPr>
          <w:p>
            <w:pPr>
              <w:widowControl/>
              <w:spacing w:after="0"/>
            </w:pPr>
            <w:r>
              <w:rPr>
                <w:rFonts w:ascii="Arial" w:hAnsi="Arial"/>
                <w:sz w:val="17"/>
              </w:rPr>
              <w:t>1.00</w:t>
            </w:r>
          </w:p>
        </w:tc>
        <w:tc>
          <w:tcPr>
            <w:tcW w:type="dxa" w:w="3120"/>
            <w:tcMar>
              <w:top w:w="70" w:type="dxa"/>
              <w:start w:w="110" w:type="dxa"/>
              <w:bottom w:w="70" w:type="dxa"/>
              <w:end w:w="110" w:type="dxa"/>
            </w:tcMar>
          </w:tcPr>
          <w:p>
            <w:pPr>
              <w:widowControl/>
              <w:spacing w:after="0"/>
            </w:pPr>
            <w:r>
              <w:rPr>
                <w:rFonts w:ascii="Arial" w:hAnsi="Arial"/>
                <w:sz w:val="17"/>
              </w:rPr>
              <w:t>GLASS FIBER FABRIC</w:t>
            </w:r>
          </w:p>
        </w:tc>
        <w:tc>
          <w:tcPr>
            <w:tcW w:type="dxa" w:w="3120"/>
            <w:tcMar>
              <w:top w:w="70" w:type="dxa"/>
              <w:start w:w="110" w:type="dxa"/>
              <w:bottom w:w="70" w:type="dxa"/>
              <w:end w:w="110" w:type="dxa"/>
            </w:tcMar>
          </w:tcPr>
          <w:p>
            <w:pPr>
              <w:widowControl/>
              <w:spacing w:after="0"/>
            </w:pPr>
            <w:r>
              <w:rPr>
                <w:rFonts w:ascii="Arial" w:hAnsi="Arial"/>
                <w:sz w:val="17"/>
              </w:rPr>
              <w:t>SM</w:t>
            </w:r>
          </w:p>
        </w:tc>
      </w:tr>
      <w:tr>
        <w:trPr>
          <w:cantSplit/>
        </w:trPr>
        <w:tc>
          <w:tcPr>
            <w:tcW w:type="dxa" w:w="3120"/>
            <w:tcMar>
              <w:top w:w="70" w:type="dxa"/>
              <w:start w:w="110" w:type="dxa"/>
              <w:bottom w:w="70" w:type="dxa"/>
              <w:end w:w="110" w:type="dxa"/>
            </w:tcMar>
            <w:shd w:fill="F4F6F7"/>
          </w:tcPr>
          <w:p>
            <w:pPr>
              <w:widowControl/>
              <w:spacing w:after="0"/>
            </w:pPr>
            <w:r>
              <w:rPr>
                <w:rFonts w:ascii="Arial" w:hAnsi="Arial"/>
                <w:sz w:val="17"/>
              </w:rPr>
              <w:t>1.00</w:t>
            </w:r>
          </w:p>
        </w:tc>
        <w:tc>
          <w:tcPr>
            <w:tcW w:type="dxa" w:w="3120"/>
            <w:tcMar>
              <w:top w:w="70" w:type="dxa"/>
              <w:start w:w="110" w:type="dxa"/>
              <w:bottom w:w="70" w:type="dxa"/>
              <w:end w:w="110" w:type="dxa"/>
            </w:tcMar>
            <w:shd w:fill="F4F6F7"/>
          </w:tcPr>
          <w:p>
            <w:pPr>
              <w:widowControl/>
              <w:spacing w:after="0"/>
            </w:pPr>
            <w:r>
              <w:rPr>
                <w:rFonts w:ascii="Arial" w:hAnsi="Arial"/>
                <w:sz w:val="17"/>
              </w:rPr>
              <w:t>WOVEN MMF FABRIC,</w:t>
            </w:r>
          </w:p>
        </w:tc>
        <w:tc>
          <w:tcPr>
            <w:tcW w:type="dxa" w:w="3120"/>
            <w:tcMar>
              <w:top w:w="70" w:type="dxa"/>
              <w:start w:w="110" w:type="dxa"/>
              <w:bottom w:w="70" w:type="dxa"/>
              <w:end w:w="110" w:type="dxa"/>
            </w:tcMar>
            <w:shd w:fill="F4F6F7"/>
          </w:tcPr>
          <w:p>
            <w:pPr>
              <w:widowControl/>
              <w:spacing w:after="0"/>
            </w:pPr>
            <w:r>
              <w:rPr>
                <w:rFonts w:ascii="Arial" w:hAnsi="Arial"/>
                <w:sz w:val="17"/>
              </w:rPr>
            </w:r>
          </w:p>
        </w:tc>
      </w:tr>
      <w:tr>
        <w:trPr>
          <w:cantSplit/>
        </w:trPr>
        <w:tc>
          <w:tcPr>
            <w:tcW w:type="dxa" w:w="3120"/>
            <w:tcMar>
              <w:top w:w="70" w:type="dxa"/>
              <w:start w:w="110" w:type="dxa"/>
              <w:bottom w:w="70" w:type="dxa"/>
              <w:end w:w="110" w:type="dxa"/>
            </w:tcMar>
          </w:tcPr>
          <w:p>
            <w:pPr>
              <w:widowControl/>
              <w:spacing w:after="0"/>
            </w:pPr>
            <w:r>
              <w:rPr>
                <w:rFonts w:ascii="Arial" w:hAnsi="Arial"/>
                <w:sz w:val="17"/>
              </w:rPr>
              <w:t>15</w:t>
            </w:r>
          </w:p>
        </w:tc>
        <w:tc>
          <w:tcPr>
            <w:tcW w:type="dxa" w:w="3120"/>
            <w:tcMar>
              <w:top w:w="70" w:type="dxa"/>
              <w:start w:w="110" w:type="dxa"/>
              <w:bottom w:w="70" w:type="dxa"/>
              <w:end w:w="110" w:type="dxa"/>
            </w:tcMar>
          </w:tcPr>
          <w:p>
            <w:pPr>
              <w:widowControl/>
              <w:spacing w:after="0"/>
            </w:pPr>
            <w:r>
              <w:rPr>
                <w:rFonts w:ascii="Arial" w:hAnsi="Arial"/>
                <w:sz w:val="17"/>
              </w:rPr>
              <w:t>% TO</w:t>
            </w:r>
          </w:p>
        </w:tc>
        <w:tc>
          <w:tcPr>
            <w:tcW w:type="dxa" w:w="3120"/>
            <w:tcMar>
              <w:top w:w="70" w:type="dxa"/>
              <w:start w:w="110" w:type="dxa"/>
              <w:bottom w:w="70" w:type="dxa"/>
              <w:end w:w="110" w:type="dxa"/>
            </w:tcMar>
          </w:tcPr>
          <w:p>
            <w:pPr>
              <w:widowControl/>
              <w:spacing w:after="0"/>
            </w:pPr>
            <w:r>
              <w:rPr>
                <w:rFonts w:ascii="Arial" w:hAnsi="Arial"/>
                <w:sz w:val="17"/>
              </w:rPr>
            </w:r>
          </w:p>
        </w:tc>
      </w:tr>
      <w:tr>
        <w:trPr>
          <w:cantSplit/>
        </w:trPr>
        <w:tc>
          <w:tcPr>
            <w:tcW w:type="dxa" w:w="3120"/>
            <w:tcMar>
              <w:top w:w="70" w:type="dxa"/>
              <w:start w:w="110" w:type="dxa"/>
              <w:bottom w:w="70" w:type="dxa"/>
              <w:end w:w="110" w:type="dxa"/>
            </w:tcMar>
            <w:shd w:fill="F4F6F7"/>
          </w:tcPr>
          <w:p>
            <w:pPr>
              <w:widowControl/>
              <w:spacing w:after="0"/>
            </w:pPr>
            <w:r>
              <w:rPr>
                <w:rFonts w:ascii="Arial" w:hAnsi="Arial"/>
                <w:sz w:val="17"/>
              </w:rPr>
              <w:t>36</w:t>
            </w:r>
          </w:p>
        </w:tc>
        <w:tc>
          <w:tcPr>
            <w:tcW w:type="dxa" w:w="3120"/>
            <w:tcMar>
              <w:top w:w="70" w:type="dxa"/>
              <w:start w:w="110" w:type="dxa"/>
              <w:bottom w:w="70" w:type="dxa"/>
              <w:end w:w="110" w:type="dxa"/>
            </w:tcMar>
            <w:shd w:fill="F4F6F7"/>
          </w:tcPr>
          <w:p>
            <w:pPr>
              <w:widowControl/>
              <w:spacing w:after="0"/>
            </w:pPr>
            <w:r>
              <w:rPr>
                <w:rFonts w:ascii="Arial" w:hAnsi="Arial"/>
                <w:sz w:val="17"/>
              </w:rPr>
              <w:t>% WOOL</w:t>
            </w:r>
          </w:p>
        </w:tc>
        <w:tc>
          <w:tcPr>
            <w:tcW w:type="dxa" w:w="3120"/>
            <w:tcMar>
              <w:top w:w="70" w:type="dxa"/>
              <w:start w:w="110" w:type="dxa"/>
              <w:bottom w:w="70" w:type="dxa"/>
              <w:end w:w="110" w:type="dxa"/>
            </w:tcMar>
            <w:shd w:fill="F4F6F7"/>
          </w:tcPr>
          <w:p>
            <w:pPr>
              <w:widowControl/>
              <w:spacing w:after="0"/>
            </w:pPr>
            <w:r>
              <w:rPr>
                <w:rFonts w:ascii="Arial" w:hAnsi="Arial"/>
                <w:sz w:val="17"/>
              </w:rPr>
              <w:t>SM</w:t>
            </w:r>
          </w:p>
        </w:tc>
      </w:tr>
      <w:tr>
        <w:trPr>
          <w:cantSplit/>
        </w:trPr>
        <w:tc>
          <w:tcPr>
            <w:tcW w:type="dxa" w:w="3120"/>
            <w:tcMar>
              <w:top w:w="70" w:type="dxa"/>
              <w:start w:w="110" w:type="dxa"/>
              <w:bottom w:w="70" w:type="dxa"/>
              <w:end w:w="110" w:type="dxa"/>
            </w:tcMar>
          </w:tcPr>
          <w:p>
            <w:pPr>
              <w:widowControl/>
              <w:spacing w:after="0"/>
            </w:pPr>
            <w:r>
              <w:rPr>
                <w:rFonts w:ascii="Arial" w:hAnsi="Arial"/>
                <w:sz w:val="17"/>
              </w:rPr>
              <w:t>1.00</w:t>
            </w:r>
          </w:p>
        </w:tc>
        <w:tc>
          <w:tcPr>
            <w:tcW w:type="dxa" w:w="3120"/>
            <w:tcMar>
              <w:top w:w="70" w:type="dxa"/>
              <w:start w:w="110" w:type="dxa"/>
              <w:bottom w:w="70" w:type="dxa"/>
              <w:end w:w="110" w:type="dxa"/>
            </w:tcMar>
          </w:tcPr>
          <w:p>
            <w:pPr>
              <w:widowControl/>
              <w:spacing w:after="0"/>
            </w:pPr>
            <w:r>
              <w:rPr>
                <w:rFonts w:ascii="Arial" w:hAnsi="Arial"/>
                <w:sz w:val="17"/>
              </w:rPr>
              <w:t>MMF STAPLE/FILAMENT POPLIN &amp;  BROADCLOTH FABRIC</w:t>
            </w:r>
          </w:p>
        </w:tc>
        <w:tc>
          <w:tcPr>
            <w:tcW w:type="dxa" w:w="3120"/>
            <w:tcMar>
              <w:top w:w="70" w:type="dxa"/>
              <w:start w:w="110" w:type="dxa"/>
              <w:bottom w:w="70" w:type="dxa"/>
              <w:end w:w="110" w:type="dxa"/>
            </w:tcMar>
          </w:tcPr>
          <w:p>
            <w:pPr>
              <w:widowControl/>
              <w:spacing w:after="0"/>
            </w:pPr>
            <w:r>
              <w:rPr>
                <w:rFonts w:ascii="Arial" w:hAnsi="Arial"/>
                <w:sz w:val="17"/>
              </w:rPr>
              <w:t>SM</w:t>
            </w:r>
          </w:p>
        </w:tc>
      </w:tr>
      <w:tr>
        <w:trPr>
          <w:cantSplit/>
        </w:trPr>
        <w:tc>
          <w:tcPr>
            <w:tcW w:type="dxa" w:w="3120"/>
            <w:tcMar>
              <w:top w:w="70" w:type="dxa"/>
              <w:start w:w="110" w:type="dxa"/>
              <w:bottom w:w="70" w:type="dxa"/>
              <w:end w:w="110" w:type="dxa"/>
            </w:tcMar>
            <w:shd w:fill="F4F6F7"/>
          </w:tcPr>
          <w:p>
            <w:pPr>
              <w:widowControl/>
              <w:spacing w:after="0"/>
            </w:pPr>
            <w:r>
              <w:rPr>
                <w:rFonts w:ascii="Arial" w:hAnsi="Arial"/>
                <w:sz w:val="17"/>
              </w:rPr>
              <w:t>1.00</w:t>
            </w:r>
          </w:p>
        </w:tc>
        <w:tc>
          <w:tcPr>
            <w:tcW w:type="dxa" w:w="3120"/>
            <w:tcMar>
              <w:top w:w="70" w:type="dxa"/>
              <w:start w:w="110" w:type="dxa"/>
              <w:bottom w:w="70" w:type="dxa"/>
              <w:end w:w="110" w:type="dxa"/>
            </w:tcMar>
            <w:shd w:fill="F4F6F7"/>
          </w:tcPr>
          <w:p>
            <w:pPr>
              <w:widowControl/>
              <w:spacing w:after="0"/>
            </w:pPr>
            <w:r>
              <w:rPr>
                <w:rFonts w:ascii="Arial" w:hAnsi="Arial"/>
                <w:sz w:val="17"/>
              </w:rPr>
              <w:t>MMF STAPLE/FILAMENT PRINTCLOTH  FABRIC</w:t>
            </w:r>
          </w:p>
        </w:tc>
        <w:tc>
          <w:tcPr>
            <w:tcW w:type="dxa" w:w="3120"/>
            <w:tcMar>
              <w:top w:w="70" w:type="dxa"/>
              <w:start w:w="110" w:type="dxa"/>
              <w:bottom w:w="70" w:type="dxa"/>
              <w:end w:w="110" w:type="dxa"/>
            </w:tcMar>
            <w:shd w:fill="F4F6F7"/>
          </w:tcPr>
          <w:p>
            <w:pPr>
              <w:widowControl/>
              <w:spacing w:after="0"/>
            </w:pPr>
            <w:r>
              <w:rPr>
                <w:rFonts w:ascii="Arial" w:hAnsi="Arial"/>
                <w:sz w:val="17"/>
              </w:rPr>
              <w:t>SM</w:t>
            </w:r>
          </w:p>
        </w:tc>
      </w:tr>
      <w:tr>
        <w:trPr>
          <w:cantSplit/>
        </w:trPr>
        <w:tc>
          <w:tcPr>
            <w:tcW w:type="dxa" w:w="3120"/>
            <w:tcMar>
              <w:top w:w="70" w:type="dxa"/>
              <w:start w:w="110" w:type="dxa"/>
              <w:bottom w:w="70" w:type="dxa"/>
              <w:end w:w="110" w:type="dxa"/>
            </w:tcMar>
          </w:tcPr>
          <w:p>
            <w:pPr>
              <w:widowControl/>
              <w:spacing w:after="0"/>
            </w:pPr>
            <w:r>
              <w:rPr>
                <w:rFonts w:ascii="Arial" w:hAnsi="Arial"/>
                <w:sz w:val="17"/>
              </w:rPr>
              <w:t>1.00</w:t>
            </w:r>
          </w:p>
        </w:tc>
        <w:tc>
          <w:tcPr>
            <w:tcW w:type="dxa" w:w="3120"/>
            <w:tcMar>
              <w:top w:w="70" w:type="dxa"/>
              <w:start w:w="110" w:type="dxa"/>
              <w:bottom w:w="70" w:type="dxa"/>
              <w:end w:w="110" w:type="dxa"/>
            </w:tcMar>
          </w:tcPr>
          <w:p>
            <w:pPr>
              <w:widowControl/>
              <w:spacing w:after="0"/>
            </w:pPr>
            <w:r>
              <w:rPr>
                <w:rFonts w:ascii="Arial" w:hAnsi="Arial"/>
                <w:sz w:val="17"/>
              </w:rPr>
              <w:t>MMF STAPLE/FILAMENT SHEETING  FABRIC</w:t>
            </w:r>
          </w:p>
        </w:tc>
        <w:tc>
          <w:tcPr>
            <w:tcW w:type="dxa" w:w="3120"/>
            <w:tcMar>
              <w:top w:w="70" w:type="dxa"/>
              <w:start w:w="110" w:type="dxa"/>
              <w:bottom w:w="70" w:type="dxa"/>
              <w:end w:w="110" w:type="dxa"/>
            </w:tcMar>
          </w:tcPr>
          <w:p>
            <w:pPr>
              <w:widowControl/>
              <w:spacing w:after="0"/>
            </w:pPr>
            <w:r>
              <w:rPr>
                <w:rFonts w:ascii="Arial" w:hAnsi="Arial"/>
                <w:sz w:val="17"/>
              </w:rPr>
              <w:t>SM</w:t>
            </w:r>
          </w:p>
        </w:tc>
      </w:tr>
      <w:tr>
        <w:trPr>
          <w:cantSplit/>
        </w:trPr>
        <w:tc>
          <w:tcPr>
            <w:tcW w:type="dxa" w:w="3120"/>
            <w:tcMar>
              <w:top w:w="70" w:type="dxa"/>
              <w:start w:w="110" w:type="dxa"/>
              <w:bottom w:w="70" w:type="dxa"/>
              <w:end w:w="110" w:type="dxa"/>
            </w:tcMar>
            <w:shd w:fill="F4F6F7"/>
          </w:tcPr>
          <w:p>
            <w:pPr>
              <w:widowControl/>
              <w:spacing w:after="0"/>
            </w:pPr>
            <w:r>
              <w:rPr>
                <w:rFonts w:ascii="Arial" w:hAnsi="Arial"/>
                <w:sz w:val="17"/>
              </w:rPr>
              <w:t>1.00</w:t>
            </w:r>
          </w:p>
        </w:tc>
        <w:tc>
          <w:tcPr>
            <w:tcW w:type="dxa" w:w="3120"/>
            <w:tcMar>
              <w:top w:w="70" w:type="dxa"/>
              <w:start w:w="110" w:type="dxa"/>
              <w:bottom w:w="70" w:type="dxa"/>
              <w:end w:w="110" w:type="dxa"/>
            </w:tcMar>
            <w:shd w:fill="F4F6F7"/>
          </w:tcPr>
          <w:p>
            <w:pPr>
              <w:widowControl/>
              <w:spacing w:after="0"/>
            </w:pPr>
            <w:r>
              <w:rPr>
                <w:rFonts w:ascii="Arial" w:hAnsi="Arial"/>
                <w:sz w:val="17"/>
              </w:rPr>
              <w:t>MMF STAPLE/FILAMENT TWILL/SATEEN  FABRIC</w:t>
            </w:r>
          </w:p>
        </w:tc>
        <w:tc>
          <w:tcPr>
            <w:tcW w:type="dxa" w:w="3120"/>
            <w:tcMar>
              <w:top w:w="70" w:type="dxa"/>
              <w:start w:w="110" w:type="dxa"/>
              <w:bottom w:w="70" w:type="dxa"/>
              <w:end w:w="110" w:type="dxa"/>
            </w:tcMar>
            <w:shd w:fill="F4F6F7"/>
          </w:tcPr>
          <w:p>
            <w:pPr>
              <w:widowControl/>
              <w:spacing w:after="0"/>
            </w:pPr>
            <w:r>
              <w:rPr>
                <w:rFonts w:ascii="Arial" w:hAnsi="Arial"/>
                <w:sz w:val="17"/>
              </w:rPr>
              <w:t>SM</w:t>
            </w:r>
          </w:p>
        </w:tc>
      </w:tr>
      <w:tr>
        <w:trPr>
          <w:cantSplit/>
        </w:trPr>
        <w:tc>
          <w:tcPr>
            <w:tcW w:type="dxa" w:w="3120"/>
            <w:tcMar>
              <w:top w:w="70" w:type="dxa"/>
              <w:start w:w="110" w:type="dxa"/>
              <w:bottom w:w="70" w:type="dxa"/>
              <w:end w:w="110" w:type="dxa"/>
            </w:tcMar>
          </w:tcPr>
          <w:p>
            <w:pPr>
              <w:widowControl/>
              <w:spacing w:after="0"/>
            </w:pPr>
            <w:r>
              <w:rPr>
                <w:rFonts w:ascii="Arial" w:hAnsi="Arial"/>
                <w:sz w:val="17"/>
              </w:rPr>
              <w:t>1.00</w:t>
            </w:r>
          </w:p>
        </w:tc>
        <w:tc>
          <w:tcPr>
            <w:tcW w:type="dxa" w:w="3120"/>
            <w:tcMar>
              <w:top w:w="70" w:type="dxa"/>
              <w:start w:w="110" w:type="dxa"/>
              <w:bottom w:w="70" w:type="dxa"/>
              <w:end w:w="110" w:type="dxa"/>
            </w:tcMar>
          </w:tcPr>
          <w:p>
            <w:pPr>
              <w:widowControl/>
              <w:spacing w:after="0"/>
            </w:pPr>
            <w:r>
              <w:rPr>
                <w:rFonts w:ascii="Arial" w:hAnsi="Arial"/>
                <w:sz w:val="17"/>
              </w:rPr>
              <w:t>OTHER MMF STAPLE/FILAMENT FABRIC</w:t>
            </w:r>
          </w:p>
        </w:tc>
        <w:tc>
          <w:tcPr>
            <w:tcW w:type="dxa" w:w="3120"/>
            <w:tcMar>
              <w:top w:w="70" w:type="dxa"/>
              <w:start w:w="110" w:type="dxa"/>
              <w:bottom w:w="70" w:type="dxa"/>
              <w:end w:w="110" w:type="dxa"/>
            </w:tcMar>
          </w:tcPr>
          <w:p>
            <w:pPr>
              <w:widowControl/>
              <w:spacing w:after="0"/>
            </w:pPr>
            <w:r>
              <w:rPr>
                <w:rFonts w:ascii="Arial" w:hAnsi="Arial"/>
                <w:sz w:val="17"/>
              </w:rPr>
              <w:t>SM</w:t>
            </w:r>
          </w:p>
        </w:tc>
      </w:tr>
      <w:tr>
        <w:trPr>
          <w:cantSplit/>
        </w:trPr>
        <w:tc>
          <w:tcPr>
            <w:tcW w:type="dxa" w:w="3120"/>
            <w:tcMar>
              <w:top w:w="70" w:type="dxa"/>
              <w:start w:w="110" w:type="dxa"/>
              <w:bottom w:w="70" w:type="dxa"/>
              <w:end w:w="110" w:type="dxa"/>
            </w:tcMar>
            <w:shd w:fill="F4F6F7"/>
          </w:tcPr>
          <w:p>
            <w:pPr>
              <w:widowControl/>
              <w:spacing w:after="0"/>
            </w:pPr>
            <w:r>
              <w:rPr>
                <w:rFonts w:ascii="Arial" w:hAnsi="Arial"/>
                <w:sz w:val="17"/>
              </w:rPr>
              <w:t>1.40</w:t>
            </w:r>
          </w:p>
        </w:tc>
        <w:tc>
          <w:tcPr>
            <w:tcW w:type="dxa" w:w="3120"/>
            <w:tcMar>
              <w:top w:w="70" w:type="dxa"/>
              <w:start w:w="110" w:type="dxa"/>
              <w:bottom w:w="70" w:type="dxa"/>
              <w:end w:w="110" w:type="dxa"/>
            </w:tcMar>
            <w:shd w:fill="F4F6F7"/>
          </w:tcPr>
          <w:p>
            <w:pPr>
              <w:widowControl/>
              <w:spacing w:after="0"/>
            </w:pPr>
            <w:r>
              <w:rPr>
                <w:rFonts w:ascii="Arial" w:hAnsi="Arial"/>
                <w:sz w:val="17"/>
              </w:rPr>
              <w:t>MMF HANDKERCHIEFS</w:t>
            </w:r>
          </w:p>
        </w:tc>
        <w:tc>
          <w:tcPr>
            <w:tcW w:type="dxa" w:w="3120"/>
            <w:tcMar>
              <w:top w:w="70" w:type="dxa"/>
              <w:start w:w="110" w:type="dxa"/>
              <w:bottom w:w="70" w:type="dxa"/>
              <w:end w:w="110" w:type="dxa"/>
            </w:tcMar>
            <w:shd w:fill="F4F6F7"/>
          </w:tcPr>
          <w:p>
            <w:pPr>
              <w:widowControl/>
              <w:spacing w:after="0"/>
            </w:pPr>
            <w:r>
              <w:rPr>
                <w:rFonts w:ascii="Arial" w:hAnsi="Arial"/>
                <w:sz w:val="17"/>
              </w:rPr>
              <w:t>DZ</w:t>
            </w:r>
          </w:p>
        </w:tc>
      </w:tr>
      <w:tr>
        <w:trPr>
          <w:cantSplit/>
        </w:trPr>
        <w:tc>
          <w:tcPr>
            <w:tcW w:type="dxa" w:w="3120"/>
            <w:tcMar>
              <w:top w:w="70" w:type="dxa"/>
              <w:start w:w="110" w:type="dxa"/>
              <w:bottom w:w="70" w:type="dxa"/>
              <w:end w:w="110" w:type="dxa"/>
            </w:tcMar>
          </w:tcPr>
          <w:p>
            <w:pPr>
              <w:widowControl/>
              <w:spacing w:after="0"/>
            </w:pPr>
            <w:r>
              <w:rPr>
                <w:rFonts w:ascii="Arial" w:hAnsi="Arial"/>
                <w:sz w:val="17"/>
              </w:rPr>
              <w:t>2.90</w:t>
            </w:r>
          </w:p>
        </w:tc>
        <w:tc>
          <w:tcPr>
            <w:tcW w:type="dxa" w:w="3120"/>
            <w:tcMar>
              <w:top w:w="70" w:type="dxa"/>
              <w:start w:w="110" w:type="dxa"/>
              <w:bottom w:w="70" w:type="dxa"/>
              <w:end w:w="110" w:type="dxa"/>
            </w:tcMar>
          </w:tcPr>
          <w:p>
            <w:pPr>
              <w:widowControl/>
              <w:spacing w:after="0"/>
            </w:pPr>
            <w:r>
              <w:rPr>
                <w:rFonts w:ascii="Arial" w:hAnsi="Arial"/>
                <w:sz w:val="17"/>
              </w:rPr>
              <w:t>MMF GLOVES AND MITTENS</w:t>
            </w:r>
          </w:p>
        </w:tc>
        <w:tc>
          <w:tcPr>
            <w:tcW w:type="dxa" w:w="3120"/>
            <w:tcMar>
              <w:top w:w="70" w:type="dxa"/>
              <w:start w:w="110" w:type="dxa"/>
              <w:bottom w:w="70" w:type="dxa"/>
              <w:end w:w="110" w:type="dxa"/>
            </w:tcMar>
          </w:tcPr>
          <w:p>
            <w:pPr>
              <w:widowControl/>
              <w:spacing w:after="0"/>
            </w:pPr>
            <w:r>
              <w:rPr>
                <w:rFonts w:ascii="Arial" w:hAnsi="Arial"/>
                <w:sz w:val="17"/>
              </w:rPr>
              <w:t>DPR</w:t>
            </w:r>
          </w:p>
        </w:tc>
      </w:tr>
      <w:tr>
        <w:trPr>
          <w:cantSplit/>
        </w:trPr>
        <w:tc>
          <w:tcPr>
            <w:tcW w:type="dxa" w:w="3120"/>
            <w:tcMar>
              <w:top w:w="70" w:type="dxa"/>
              <w:start w:w="110" w:type="dxa"/>
              <w:bottom w:w="70" w:type="dxa"/>
              <w:end w:w="110" w:type="dxa"/>
            </w:tcMar>
            <w:shd w:fill="F4F6F7"/>
          </w:tcPr>
          <w:p>
            <w:pPr>
              <w:widowControl/>
              <w:spacing w:after="0"/>
            </w:pPr>
            <w:r>
              <w:rPr>
                <w:rFonts w:ascii="Arial" w:hAnsi="Arial"/>
                <w:sz w:val="17"/>
              </w:rPr>
              <w:t>3.80</w:t>
            </w:r>
          </w:p>
        </w:tc>
        <w:tc>
          <w:tcPr>
            <w:tcW w:type="dxa" w:w="3120"/>
            <w:tcMar>
              <w:top w:w="70" w:type="dxa"/>
              <w:start w:w="110" w:type="dxa"/>
              <w:bottom w:w="70" w:type="dxa"/>
              <w:end w:w="110" w:type="dxa"/>
            </w:tcMar>
            <w:shd w:fill="F4F6F7"/>
          </w:tcPr>
          <w:p>
            <w:pPr>
              <w:widowControl/>
              <w:spacing w:after="0"/>
            </w:pPr>
            <w:r>
              <w:rPr>
                <w:rFonts w:ascii="Arial" w:hAnsi="Arial"/>
                <w:sz w:val="17"/>
              </w:rPr>
              <w:t>MMF HOSIERY</w:t>
            </w:r>
          </w:p>
        </w:tc>
        <w:tc>
          <w:tcPr>
            <w:tcW w:type="dxa" w:w="3120"/>
            <w:tcMar>
              <w:top w:w="70" w:type="dxa"/>
              <w:start w:w="110" w:type="dxa"/>
              <w:bottom w:w="70" w:type="dxa"/>
              <w:end w:w="110" w:type="dxa"/>
            </w:tcMar>
            <w:shd w:fill="F4F6F7"/>
          </w:tcPr>
          <w:p>
            <w:pPr>
              <w:widowControl/>
              <w:spacing w:after="0"/>
            </w:pPr>
            <w:r>
              <w:rPr>
                <w:rFonts w:ascii="Arial" w:hAnsi="Arial"/>
                <w:sz w:val="17"/>
              </w:rPr>
              <w:t>DPR</w:t>
            </w:r>
          </w:p>
        </w:tc>
      </w:tr>
      <w:tr>
        <w:trPr>
          <w:cantSplit/>
        </w:trPr>
        <w:tc>
          <w:tcPr>
            <w:tcW w:type="dxa" w:w="3120"/>
            <w:tcMar>
              <w:top w:w="70" w:type="dxa"/>
              <w:start w:w="110" w:type="dxa"/>
              <w:bottom w:w="70" w:type="dxa"/>
              <w:end w:w="110" w:type="dxa"/>
            </w:tcMar>
          </w:tcPr>
          <w:p>
            <w:pPr>
              <w:widowControl/>
              <w:spacing w:after="0"/>
            </w:pPr>
            <w:r>
              <w:rPr>
                <w:rFonts w:ascii="Arial" w:hAnsi="Arial"/>
                <w:sz w:val="17"/>
              </w:rPr>
              <w:t>30.30</w:t>
            </w:r>
          </w:p>
        </w:tc>
        <w:tc>
          <w:tcPr>
            <w:tcW w:type="dxa" w:w="3120"/>
            <w:tcMar>
              <w:top w:w="70" w:type="dxa"/>
              <w:start w:w="110" w:type="dxa"/>
              <w:bottom w:w="70" w:type="dxa"/>
              <w:end w:w="110" w:type="dxa"/>
            </w:tcMar>
          </w:tcPr>
          <w:p>
            <w:pPr>
              <w:widowControl/>
              <w:spacing w:after="0"/>
            </w:pPr>
            <w:r>
              <w:rPr>
                <w:rFonts w:ascii="Arial" w:hAnsi="Arial"/>
                <w:sz w:val="17"/>
              </w:rPr>
              <w:t>M&amp;B MMF SUIT TYPE COATS</w:t>
            </w:r>
          </w:p>
        </w:tc>
        <w:tc>
          <w:tcPr>
            <w:tcW w:type="dxa" w:w="3120"/>
            <w:tcMar>
              <w:top w:w="70" w:type="dxa"/>
              <w:start w:w="110" w:type="dxa"/>
              <w:bottom w:w="70" w:type="dxa"/>
              <w:end w:w="110" w:type="dxa"/>
            </w:tcMar>
          </w:tcPr>
          <w:p>
            <w:pPr>
              <w:widowControl/>
              <w:spacing w:after="0"/>
            </w:pPr>
            <w:r>
              <w:rPr>
                <w:rFonts w:ascii="Arial" w:hAnsi="Arial"/>
                <w:sz w:val="17"/>
              </w:rPr>
              <w:t>DZ</w:t>
            </w:r>
          </w:p>
        </w:tc>
      </w:tr>
      <w:tr>
        <w:trPr>
          <w:cantSplit/>
        </w:trPr>
        <w:tc>
          <w:tcPr>
            <w:tcW w:type="dxa" w:w="3120"/>
            <w:tcMar>
              <w:top w:w="70" w:type="dxa"/>
              <w:start w:w="110" w:type="dxa"/>
              <w:bottom w:w="70" w:type="dxa"/>
              <w:end w:w="110" w:type="dxa"/>
            </w:tcMar>
            <w:shd w:fill="F4F6F7"/>
          </w:tcPr>
          <w:p>
            <w:pPr>
              <w:widowControl/>
              <w:spacing w:after="0"/>
            </w:pPr>
            <w:r>
              <w:rPr>
                <w:rFonts w:ascii="Arial" w:hAnsi="Arial"/>
                <w:sz w:val="17"/>
              </w:rPr>
              <w:t>34.50</w:t>
            </w:r>
          </w:p>
        </w:tc>
        <w:tc>
          <w:tcPr>
            <w:tcW w:type="dxa" w:w="3120"/>
            <w:tcMar>
              <w:top w:w="70" w:type="dxa"/>
              <w:start w:w="110" w:type="dxa"/>
              <w:bottom w:w="70" w:type="dxa"/>
              <w:end w:w="110" w:type="dxa"/>
            </w:tcMar>
            <w:shd w:fill="F4F6F7"/>
          </w:tcPr>
          <w:p>
            <w:pPr>
              <w:widowControl/>
              <w:spacing w:after="0"/>
            </w:pPr>
            <w:r>
              <w:rPr>
                <w:rFonts w:ascii="Arial" w:hAnsi="Arial"/>
                <w:sz w:val="17"/>
              </w:rPr>
              <w:t>OTHER M&amp;B MMF COATS</w:t>
            </w:r>
          </w:p>
        </w:tc>
        <w:tc>
          <w:tcPr>
            <w:tcW w:type="dxa" w:w="3120"/>
            <w:tcMar>
              <w:top w:w="70" w:type="dxa"/>
              <w:start w:w="110" w:type="dxa"/>
              <w:bottom w:w="70" w:type="dxa"/>
              <w:end w:w="110" w:type="dxa"/>
            </w:tcMar>
            <w:shd w:fill="F4F6F7"/>
          </w:tcPr>
          <w:p>
            <w:pPr>
              <w:widowControl/>
              <w:spacing w:after="0"/>
            </w:pPr>
            <w:r>
              <w:rPr>
                <w:rFonts w:ascii="Arial" w:hAnsi="Arial"/>
                <w:sz w:val="17"/>
              </w:rPr>
              <w:t>DZ</w:t>
            </w:r>
          </w:p>
        </w:tc>
      </w:tr>
      <w:tr>
        <w:trPr>
          <w:cantSplit/>
        </w:trPr>
        <w:tc>
          <w:tcPr>
            <w:tcW w:type="dxa" w:w="3120"/>
            <w:tcMar>
              <w:top w:w="70" w:type="dxa"/>
              <w:start w:w="110" w:type="dxa"/>
              <w:bottom w:w="70" w:type="dxa"/>
              <w:end w:w="110" w:type="dxa"/>
            </w:tcMar>
          </w:tcPr>
          <w:p>
            <w:pPr>
              <w:widowControl/>
              <w:spacing w:after="0"/>
            </w:pPr>
            <w:r>
              <w:rPr>
                <w:rFonts w:ascii="Arial" w:hAnsi="Arial"/>
                <w:sz w:val="17"/>
              </w:rPr>
              <w:t>34.50</w:t>
            </w:r>
          </w:p>
        </w:tc>
        <w:tc>
          <w:tcPr>
            <w:tcW w:type="dxa" w:w="3120"/>
            <w:tcMar>
              <w:top w:w="70" w:type="dxa"/>
              <w:start w:w="110" w:type="dxa"/>
              <w:bottom w:w="70" w:type="dxa"/>
              <w:end w:w="110" w:type="dxa"/>
            </w:tcMar>
          </w:tcPr>
          <w:p>
            <w:pPr>
              <w:widowControl/>
              <w:spacing w:after="0"/>
            </w:pPr>
            <w:r>
              <w:rPr>
                <w:rFonts w:ascii="Arial" w:hAnsi="Arial"/>
                <w:sz w:val="17"/>
              </w:rPr>
              <w:t>W&amp;G MMF COATS</w:t>
            </w:r>
          </w:p>
        </w:tc>
        <w:tc>
          <w:tcPr>
            <w:tcW w:type="dxa" w:w="3120"/>
            <w:tcMar>
              <w:top w:w="70" w:type="dxa"/>
              <w:start w:w="110" w:type="dxa"/>
              <w:bottom w:w="70" w:type="dxa"/>
              <w:end w:w="110" w:type="dxa"/>
            </w:tcMar>
          </w:tcPr>
          <w:p>
            <w:pPr>
              <w:widowControl/>
              <w:spacing w:after="0"/>
            </w:pPr>
            <w:r>
              <w:rPr>
                <w:rFonts w:ascii="Arial" w:hAnsi="Arial"/>
                <w:sz w:val="17"/>
              </w:rPr>
              <w:t>DZ</w:t>
            </w:r>
          </w:p>
        </w:tc>
      </w:tr>
      <w:tr>
        <w:trPr>
          <w:cantSplit/>
        </w:trPr>
        <w:tc>
          <w:tcPr>
            <w:tcW w:type="dxa" w:w="3120"/>
            <w:tcMar>
              <w:top w:w="70" w:type="dxa"/>
              <w:start w:w="110" w:type="dxa"/>
              <w:bottom w:w="70" w:type="dxa"/>
              <w:end w:w="110" w:type="dxa"/>
            </w:tcMar>
            <w:shd w:fill="F4F6F7"/>
          </w:tcPr>
          <w:p>
            <w:pPr>
              <w:widowControl/>
              <w:spacing w:after="0"/>
            </w:pPr>
            <w:r>
              <w:rPr>
                <w:rFonts w:ascii="Arial" w:hAnsi="Arial"/>
                <w:sz w:val="17"/>
              </w:rPr>
              <w:t>37.90</w:t>
            </w:r>
          </w:p>
        </w:tc>
        <w:tc>
          <w:tcPr>
            <w:tcW w:type="dxa" w:w="3120"/>
            <w:tcMar>
              <w:top w:w="70" w:type="dxa"/>
              <w:start w:w="110" w:type="dxa"/>
              <w:bottom w:w="70" w:type="dxa"/>
              <w:end w:w="110" w:type="dxa"/>
            </w:tcMar>
            <w:shd w:fill="F4F6F7"/>
          </w:tcPr>
          <w:p>
            <w:pPr>
              <w:widowControl/>
              <w:spacing w:after="0"/>
            </w:pPr>
            <w:r>
              <w:rPr>
                <w:rFonts w:ascii="Arial" w:hAnsi="Arial"/>
                <w:sz w:val="17"/>
              </w:rPr>
              <w:t>MMF DRESSES</w:t>
            </w:r>
          </w:p>
        </w:tc>
        <w:tc>
          <w:tcPr>
            <w:tcW w:type="dxa" w:w="3120"/>
            <w:tcMar>
              <w:top w:w="70" w:type="dxa"/>
              <w:start w:w="110" w:type="dxa"/>
              <w:bottom w:w="70" w:type="dxa"/>
              <w:end w:w="110" w:type="dxa"/>
            </w:tcMar>
            <w:shd w:fill="F4F6F7"/>
          </w:tcPr>
          <w:p>
            <w:pPr>
              <w:widowControl/>
              <w:spacing w:after="0"/>
            </w:pPr>
            <w:r>
              <w:rPr>
                <w:rFonts w:ascii="Arial" w:hAnsi="Arial"/>
                <w:sz w:val="17"/>
              </w:rPr>
              <w:t>DZ</w:t>
            </w:r>
          </w:p>
        </w:tc>
      </w:tr>
      <w:tr>
        <w:trPr>
          <w:cantSplit/>
        </w:trPr>
        <w:tc>
          <w:tcPr>
            <w:tcW w:type="dxa" w:w="3120"/>
            <w:tcMar>
              <w:top w:w="70" w:type="dxa"/>
              <w:start w:w="110" w:type="dxa"/>
              <w:bottom w:w="70" w:type="dxa"/>
              <w:end w:w="110" w:type="dxa"/>
            </w:tcMar>
          </w:tcPr>
          <w:p>
            <w:pPr>
              <w:widowControl/>
              <w:spacing w:after="0"/>
            </w:pPr>
            <w:r>
              <w:rPr>
                <w:rFonts w:ascii="Arial" w:hAnsi="Arial"/>
                <w:sz w:val="17"/>
              </w:rPr>
              <w:t>15.00</w:t>
            </w:r>
          </w:p>
        </w:tc>
        <w:tc>
          <w:tcPr>
            <w:tcW w:type="dxa" w:w="3120"/>
            <w:tcMar>
              <w:top w:w="70" w:type="dxa"/>
              <w:start w:w="110" w:type="dxa"/>
              <w:bottom w:w="70" w:type="dxa"/>
              <w:end w:w="110" w:type="dxa"/>
            </w:tcMar>
          </w:tcPr>
          <w:p>
            <w:pPr>
              <w:widowControl/>
              <w:spacing w:after="0"/>
            </w:pPr>
            <w:r>
              <w:rPr>
                <w:rFonts w:ascii="Arial" w:hAnsi="Arial"/>
                <w:sz w:val="17"/>
              </w:rPr>
              <w:t>M&amp;B MMF KNIT SHIRTS</w:t>
            </w:r>
          </w:p>
        </w:tc>
        <w:tc>
          <w:tcPr>
            <w:tcW w:type="dxa" w:w="3120"/>
            <w:tcMar>
              <w:top w:w="70" w:type="dxa"/>
              <w:start w:w="110" w:type="dxa"/>
              <w:bottom w:w="70" w:type="dxa"/>
              <w:end w:w="110" w:type="dxa"/>
            </w:tcMar>
          </w:tcPr>
          <w:p>
            <w:pPr>
              <w:widowControl/>
              <w:spacing w:after="0"/>
            </w:pPr>
            <w:r>
              <w:rPr>
                <w:rFonts w:ascii="Arial" w:hAnsi="Arial"/>
                <w:sz w:val="17"/>
              </w:rPr>
              <w:t>DZ</w:t>
            </w:r>
          </w:p>
        </w:tc>
      </w:tr>
      <w:tr>
        <w:trPr>
          <w:cantSplit/>
        </w:trPr>
        <w:tc>
          <w:tcPr>
            <w:tcW w:type="dxa" w:w="3120"/>
            <w:tcMar>
              <w:top w:w="70" w:type="dxa"/>
              <w:start w:w="110" w:type="dxa"/>
              <w:bottom w:w="70" w:type="dxa"/>
              <w:end w:w="110" w:type="dxa"/>
            </w:tcMar>
            <w:shd w:fill="F4F6F7"/>
          </w:tcPr>
          <w:p>
            <w:pPr>
              <w:widowControl/>
              <w:spacing w:after="0"/>
            </w:pPr>
            <w:r>
              <w:rPr>
                <w:rFonts w:ascii="Arial" w:hAnsi="Arial"/>
                <w:sz w:val="17"/>
              </w:rPr>
              <w:t>12.50</w:t>
            </w:r>
          </w:p>
        </w:tc>
        <w:tc>
          <w:tcPr>
            <w:tcW w:type="dxa" w:w="3120"/>
            <w:tcMar>
              <w:top w:w="70" w:type="dxa"/>
              <w:start w:w="110" w:type="dxa"/>
              <w:bottom w:w="70" w:type="dxa"/>
              <w:end w:w="110" w:type="dxa"/>
            </w:tcMar>
            <w:shd w:fill="F4F6F7"/>
          </w:tcPr>
          <w:p>
            <w:pPr>
              <w:widowControl/>
              <w:spacing w:after="0"/>
            </w:pPr>
            <w:r>
              <w:rPr>
                <w:rFonts w:ascii="Arial" w:hAnsi="Arial"/>
                <w:sz w:val="17"/>
              </w:rPr>
              <w:t>W&amp;G MMF KNIT SHIRTS &amp; BLOUSES</w:t>
            </w:r>
          </w:p>
        </w:tc>
        <w:tc>
          <w:tcPr>
            <w:tcW w:type="dxa" w:w="3120"/>
            <w:tcMar>
              <w:top w:w="70" w:type="dxa"/>
              <w:start w:w="110" w:type="dxa"/>
              <w:bottom w:w="70" w:type="dxa"/>
              <w:end w:w="110" w:type="dxa"/>
            </w:tcMar>
            <w:shd w:fill="F4F6F7"/>
          </w:tcPr>
          <w:p>
            <w:pPr>
              <w:widowControl/>
              <w:spacing w:after="0"/>
            </w:pPr>
            <w:r>
              <w:rPr>
                <w:rFonts w:ascii="Arial" w:hAnsi="Arial"/>
                <w:sz w:val="17"/>
              </w:rPr>
              <w:t>DZ</w:t>
            </w:r>
          </w:p>
        </w:tc>
      </w:tr>
      <w:tr>
        <w:trPr>
          <w:cantSplit/>
        </w:trPr>
        <w:tc>
          <w:tcPr>
            <w:tcW w:type="dxa" w:w="3120"/>
            <w:tcMar>
              <w:top w:w="70" w:type="dxa"/>
              <w:start w:w="110" w:type="dxa"/>
              <w:bottom w:w="70" w:type="dxa"/>
              <w:end w:w="110" w:type="dxa"/>
            </w:tcMar>
          </w:tcPr>
          <w:p>
            <w:pPr>
              <w:widowControl/>
              <w:spacing w:after="0"/>
            </w:pPr>
            <w:r>
              <w:rPr>
                <w:rFonts w:ascii="Arial" w:hAnsi="Arial"/>
                <w:sz w:val="17"/>
              </w:rPr>
              <w:t>20.10</w:t>
            </w:r>
          </w:p>
        </w:tc>
        <w:tc>
          <w:tcPr>
            <w:tcW w:type="dxa" w:w="3120"/>
            <w:tcMar>
              <w:top w:w="70" w:type="dxa"/>
              <w:start w:w="110" w:type="dxa"/>
              <w:bottom w:w="70" w:type="dxa"/>
              <w:end w:w="110" w:type="dxa"/>
            </w:tcMar>
          </w:tcPr>
          <w:p>
            <w:pPr>
              <w:widowControl/>
              <w:spacing w:after="0"/>
            </w:pPr>
            <w:r>
              <w:rPr>
                <w:rFonts w:ascii="Arial" w:hAnsi="Arial"/>
                <w:sz w:val="17"/>
              </w:rPr>
              <w:t>M&amp;B NOT KNIT MMF SHIRTS</w:t>
            </w:r>
          </w:p>
        </w:tc>
        <w:tc>
          <w:tcPr>
            <w:tcW w:type="dxa" w:w="3120"/>
            <w:tcMar>
              <w:top w:w="70" w:type="dxa"/>
              <w:start w:w="110" w:type="dxa"/>
              <w:bottom w:w="70" w:type="dxa"/>
              <w:end w:w="110" w:type="dxa"/>
            </w:tcMar>
          </w:tcPr>
          <w:p>
            <w:pPr>
              <w:widowControl/>
              <w:spacing w:after="0"/>
            </w:pPr>
            <w:r>
              <w:rPr>
                <w:rFonts w:ascii="Arial" w:hAnsi="Arial"/>
                <w:sz w:val="17"/>
              </w:rPr>
              <w:t>DZ</w:t>
            </w:r>
          </w:p>
        </w:tc>
      </w:tr>
      <w:tr>
        <w:trPr>
          <w:cantSplit/>
        </w:trPr>
        <w:tc>
          <w:tcPr>
            <w:tcW w:type="dxa" w:w="3120"/>
            <w:tcMar>
              <w:top w:w="70" w:type="dxa"/>
              <w:start w:w="110" w:type="dxa"/>
              <w:bottom w:w="70" w:type="dxa"/>
              <w:end w:w="110" w:type="dxa"/>
            </w:tcMar>
            <w:shd w:fill="F4F6F7"/>
          </w:tcPr>
          <w:p>
            <w:pPr>
              <w:widowControl/>
              <w:spacing w:after="0"/>
            </w:pPr>
            <w:r>
              <w:rPr>
                <w:rFonts w:ascii="Arial" w:hAnsi="Arial"/>
                <w:sz w:val="17"/>
              </w:rPr>
              <w:t>12.10</w:t>
            </w:r>
          </w:p>
        </w:tc>
        <w:tc>
          <w:tcPr>
            <w:tcW w:type="dxa" w:w="3120"/>
            <w:tcMar>
              <w:top w:w="70" w:type="dxa"/>
              <w:start w:w="110" w:type="dxa"/>
              <w:bottom w:w="70" w:type="dxa"/>
              <w:end w:w="110" w:type="dxa"/>
            </w:tcMar>
            <w:shd w:fill="F4F6F7"/>
          </w:tcPr>
          <w:p>
            <w:pPr>
              <w:widowControl/>
              <w:spacing w:after="0"/>
            </w:pPr>
            <w:r>
              <w:rPr>
                <w:rFonts w:ascii="Arial" w:hAnsi="Arial"/>
                <w:sz w:val="17"/>
              </w:rPr>
              <w:t>W&amp;G NOT KNIT MMF SHIRTS &amp; BLOUSES</w:t>
            </w:r>
          </w:p>
        </w:tc>
        <w:tc>
          <w:tcPr>
            <w:tcW w:type="dxa" w:w="3120"/>
            <w:tcMar>
              <w:top w:w="70" w:type="dxa"/>
              <w:start w:w="110" w:type="dxa"/>
              <w:bottom w:w="70" w:type="dxa"/>
              <w:end w:w="110" w:type="dxa"/>
            </w:tcMar>
            <w:shd w:fill="F4F6F7"/>
          </w:tcPr>
          <w:p>
            <w:pPr>
              <w:widowControl/>
              <w:spacing w:after="0"/>
            </w:pPr>
            <w:r>
              <w:rPr>
                <w:rFonts w:ascii="Arial" w:hAnsi="Arial"/>
                <w:sz w:val="17"/>
              </w:rPr>
              <w:t>DZ</w:t>
            </w:r>
          </w:p>
        </w:tc>
      </w:tr>
      <w:tr>
        <w:trPr>
          <w:cantSplit/>
        </w:trPr>
        <w:tc>
          <w:tcPr>
            <w:tcW w:type="dxa" w:w="3120"/>
            <w:tcMar>
              <w:top w:w="70" w:type="dxa"/>
              <w:start w:w="110" w:type="dxa"/>
              <w:bottom w:w="70" w:type="dxa"/>
              <w:end w:w="110" w:type="dxa"/>
            </w:tcMar>
          </w:tcPr>
          <w:p>
            <w:pPr>
              <w:widowControl/>
              <w:spacing w:after="0"/>
            </w:pPr>
            <w:r>
              <w:rPr>
                <w:rFonts w:ascii="Arial" w:hAnsi="Arial"/>
                <w:sz w:val="17"/>
              </w:rPr>
              <w:t>14.90</w:t>
            </w:r>
          </w:p>
        </w:tc>
        <w:tc>
          <w:tcPr>
            <w:tcW w:type="dxa" w:w="3120"/>
            <w:tcMar>
              <w:top w:w="70" w:type="dxa"/>
              <w:start w:w="110" w:type="dxa"/>
              <w:bottom w:w="70" w:type="dxa"/>
              <w:end w:w="110" w:type="dxa"/>
            </w:tcMar>
          </w:tcPr>
          <w:p>
            <w:pPr>
              <w:widowControl/>
              <w:spacing w:after="0"/>
            </w:pPr>
            <w:r>
              <w:rPr>
                <w:rFonts w:ascii="Arial" w:hAnsi="Arial"/>
                <w:sz w:val="17"/>
              </w:rPr>
              <w:t>MMF SKIRTS</w:t>
            </w:r>
          </w:p>
        </w:tc>
        <w:tc>
          <w:tcPr>
            <w:tcW w:type="dxa" w:w="3120"/>
            <w:tcMar>
              <w:top w:w="70" w:type="dxa"/>
              <w:start w:w="110" w:type="dxa"/>
              <w:bottom w:w="70" w:type="dxa"/>
              <w:end w:w="110" w:type="dxa"/>
            </w:tcMar>
          </w:tcPr>
          <w:p>
            <w:pPr>
              <w:widowControl/>
              <w:spacing w:after="0"/>
            </w:pPr>
            <w:r>
              <w:rPr>
                <w:rFonts w:ascii="Arial" w:hAnsi="Arial"/>
                <w:sz w:val="17"/>
              </w:rPr>
              <w:t>DZ</w:t>
            </w:r>
          </w:p>
        </w:tc>
      </w:tr>
      <w:tr>
        <w:trPr>
          <w:cantSplit/>
        </w:trPr>
        <w:tc>
          <w:tcPr>
            <w:tcW w:type="dxa" w:w="3120"/>
            <w:tcMar>
              <w:top w:w="70" w:type="dxa"/>
              <w:start w:w="110" w:type="dxa"/>
              <w:bottom w:w="70" w:type="dxa"/>
              <w:end w:w="110" w:type="dxa"/>
            </w:tcMar>
            <w:shd w:fill="F4F6F7"/>
          </w:tcPr>
          <w:p>
            <w:pPr>
              <w:widowControl/>
              <w:spacing w:after="0"/>
            </w:pPr>
            <w:r>
              <w:rPr>
                <w:rFonts w:ascii="Arial" w:hAnsi="Arial"/>
                <w:sz w:val="17"/>
              </w:rPr>
              <w:t>3.76</w:t>
            </w:r>
          </w:p>
        </w:tc>
        <w:tc>
          <w:tcPr>
            <w:tcW w:type="dxa" w:w="3120"/>
            <w:tcMar>
              <w:top w:w="70" w:type="dxa"/>
              <w:start w:w="110" w:type="dxa"/>
              <w:bottom w:w="70" w:type="dxa"/>
              <w:end w:w="110" w:type="dxa"/>
            </w:tcMar>
            <w:shd w:fill="F4F6F7"/>
          </w:tcPr>
          <w:p>
            <w:pPr>
              <w:widowControl/>
              <w:spacing w:after="0"/>
            </w:pPr>
            <w:r>
              <w:rPr>
                <w:rFonts w:ascii="Arial" w:hAnsi="Arial"/>
                <w:sz w:val="17"/>
              </w:rPr>
              <w:t>M&amp;B MMF SUITS</w:t>
            </w:r>
          </w:p>
        </w:tc>
        <w:tc>
          <w:tcPr>
            <w:tcW w:type="dxa" w:w="3120"/>
            <w:tcMar>
              <w:top w:w="70" w:type="dxa"/>
              <w:start w:w="110" w:type="dxa"/>
              <w:bottom w:w="70" w:type="dxa"/>
              <w:end w:w="110" w:type="dxa"/>
            </w:tcMar>
            <w:shd w:fill="F4F6F7"/>
          </w:tcPr>
          <w:p>
            <w:pPr>
              <w:widowControl/>
              <w:spacing w:after="0"/>
            </w:pPr>
            <w:r>
              <w:rPr>
                <w:rFonts w:ascii="Arial" w:hAnsi="Arial"/>
                <w:sz w:val="17"/>
              </w:rPr>
              <w:t>NO</w:t>
            </w:r>
          </w:p>
        </w:tc>
      </w:tr>
      <w:tr>
        <w:trPr>
          <w:cantSplit/>
        </w:trPr>
        <w:tc>
          <w:tcPr>
            <w:tcW w:type="dxa" w:w="3120"/>
            <w:tcMar>
              <w:top w:w="70" w:type="dxa"/>
              <w:start w:w="110" w:type="dxa"/>
              <w:bottom w:w="70" w:type="dxa"/>
              <w:end w:w="110" w:type="dxa"/>
            </w:tcMar>
          </w:tcPr>
          <w:p>
            <w:pPr>
              <w:widowControl/>
              <w:spacing w:after="0"/>
            </w:pPr>
            <w:r>
              <w:rPr>
                <w:rFonts w:ascii="Arial" w:hAnsi="Arial"/>
                <w:sz w:val="17"/>
              </w:rPr>
              <w:t>3.76</w:t>
            </w:r>
          </w:p>
        </w:tc>
        <w:tc>
          <w:tcPr>
            <w:tcW w:type="dxa" w:w="3120"/>
            <w:tcMar>
              <w:top w:w="70" w:type="dxa"/>
              <w:start w:w="110" w:type="dxa"/>
              <w:bottom w:w="70" w:type="dxa"/>
              <w:end w:w="110" w:type="dxa"/>
            </w:tcMar>
          </w:tcPr>
          <w:p>
            <w:pPr>
              <w:widowControl/>
              <w:spacing w:after="0"/>
            </w:pPr>
            <w:r>
              <w:rPr>
                <w:rFonts w:ascii="Arial" w:hAnsi="Arial"/>
                <w:sz w:val="17"/>
              </w:rPr>
              <w:t>W&amp;G MMF SUITS</w:t>
            </w:r>
          </w:p>
        </w:tc>
        <w:tc>
          <w:tcPr>
            <w:tcW w:type="dxa" w:w="3120"/>
            <w:tcMar>
              <w:top w:w="70" w:type="dxa"/>
              <w:start w:w="110" w:type="dxa"/>
              <w:bottom w:w="70" w:type="dxa"/>
              <w:end w:w="110" w:type="dxa"/>
            </w:tcMar>
          </w:tcPr>
          <w:p>
            <w:pPr>
              <w:widowControl/>
              <w:spacing w:after="0"/>
            </w:pPr>
            <w:r>
              <w:rPr>
                <w:rFonts w:ascii="Arial" w:hAnsi="Arial"/>
                <w:sz w:val="17"/>
              </w:rPr>
              <w:t>NO</w:t>
            </w:r>
          </w:p>
        </w:tc>
      </w:tr>
      <w:tr>
        <w:trPr>
          <w:cantSplit/>
        </w:trPr>
        <w:tc>
          <w:tcPr>
            <w:tcW w:type="dxa" w:w="3120"/>
            <w:tcMar>
              <w:top w:w="70" w:type="dxa"/>
              <w:start w:w="110" w:type="dxa"/>
              <w:bottom w:w="70" w:type="dxa"/>
              <w:end w:w="110" w:type="dxa"/>
            </w:tcMar>
            <w:shd w:fill="F4F6F7"/>
          </w:tcPr>
          <w:p>
            <w:pPr>
              <w:widowControl/>
              <w:spacing w:after="0"/>
            </w:pPr>
            <w:r>
              <w:rPr>
                <w:rFonts w:ascii="Arial" w:hAnsi="Arial"/>
                <w:sz w:val="17"/>
              </w:rPr>
              <w:t>30.80</w:t>
            </w:r>
          </w:p>
        </w:tc>
        <w:tc>
          <w:tcPr>
            <w:tcW w:type="dxa" w:w="3120"/>
            <w:tcMar>
              <w:top w:w="70" w:type="dxa"/>
              <w:start w:w="110" w:type="dxa"/>
              <w:bottom w:w="70" w:type="dxa"/>
              <w:end w:w="110" w:type="dxa"/>
            </w:tcMar>
            <w:shd w:fill="F4F6F7"/>
          </w:tcPr>
          <w:p>
            <w:pPr>
              <w:widowControl/>
              <w:spacing w:after="0"/>
            </w:pPr>
            <w:r>
              <w:rPr>
                <w:rFonts w:ascii="Arial" w:hAnsi="Arial"/>
                <w:sz w:val="17"/>
              </w:rPr>
              <w:t>M&amp;B MMF SWEATERS</w:t>
            </w:r>
          </w:p>
        </w:tc>
        <w:tc>
          <w:tcPr>
            <w:tcW w:type="dxa" w:w="3120"/>
            <w:tcMar>
              <w:top w:w="70" w:type="dxa"/>
              <w:start w:w="110" w:type="dxa"/>
              <w:bottom w:w="70" w:type="dxa"/>
              <w:end w:w="110" w:type="dxa"/>
            </w:tcMar>
            <w:shd w:fill="F4F6F7"/>
          </w:tcPr>
          <w:p>
            <w:pPr>
              <w:widowControl/>
              <w:spacing w:after="0"/>
            </w:pPr>
            <w:r>
              <w:rPr>
                <w:rFonts w:ascii="Arial" w:hAnsi="Arial"/>
                <w:sz w:val="17"/>
              </w:rPr>
              <w:t>DZ</w:t>
            </w:r>
          </w:p>
        </w:tc>
      </w:tr>
      <w:tr>
        <w:trPr>
          <w:cantSplit/>
        </w:trPr>
        <w:tc>
          <w:tcPr>
            <w:tcW w:type="dxa" w:w="3120"/>
            <w:tcMar>
              <w:top w:w="70" w:type="dxa"/>
              <w:start w:w="110" w:type="dxa"/>
              <w:bottom w:w="70" w:type="dxa"/>
              <w:end w:w="110" w:type="dxa"/>
            </w:tcMar>
          </w:tcPr>
          <w:p>
            <w:pPr>
              <w:widowControl/>
              <w:spacing w:after="0"/>
            </w:pPr>
            <w:r>
              <w:rPr>
                <w:rFonts w:ascii="Arial" w:hAnsi="Arial"/>
                <w:sz w:val="17"/>
              </w:rPr>
              <w:t>30.80</w:t>
            </w:r>
          </w:p>
        </w:tc>
        <w:tc>
          <w:tcPr>
            <w:tcW w:type="dxa" w:w="3120"/>
            <w:tcMar>
              <w:top w:w="70" w:type="dxa"/>
              <w:start w:w="110" w:type="dxa"/>
              <w:bottom w:w="70" w:type="dxa"/>
              <w:end w:w="110" w:type="dxa"/>
            </w:tcMar>
          </w:tcPr>
          <w:p>
            <w:pPr>
              <w:widowControl/>
              <w:spacing w:after="0"/>
            </w:pPr>
            <w:r>
              <w:rPr>
                <w:rFonts w:ascii="Arial" w:hAnsi="Arial"/>
                <w:sz w:val="17"/>
              </w:rPr>
              <w:t>W&amp;G MMF SWEATERS</w:t>
            </w:r>
          </w:p>
        </w:tc>
        <w:tc>
          <w:tcPr>
            <w:tcW w:type="dxa" w:w="3120"/>
            <w:tcMar>
              <w:top w:w="70" w:type="dxa"/>
              <w:start w:w="110" w:type="dxa"/>
              <w:bottom w:w="70" w:type="dxa"/>
              <w:end w:w="110" w:type="dxa"/>
            </w:tcMar>
          </w:tcPr>
          <w:p>
            <w:pPr>
              <w:widowControl/>
              <w:spacing w:after="0"/>
            </w:pPr>
            <w:r>
              <w:rPr>
                <w:rFonts w:ascii="Arial" w:hAnsi="Arial"/>
                <w:sz w:val="17"/>
              </w:rPr>
              <w:t>DZ</w:t>
            </w:r>
          </w:p>
        </w:tc>
      </w:tr>
      <w:tr>
        <w:trPr>
          <w:cantSplit/>
        </w:trPr>
        <w:tc>
          <w:tcPr>
            <w:tcW w:type="dxa" w:w="3120"/>
            <w:tcMar>
              <w:top w:w="70" w:type="dxa"/>
              <w:start w:w="110" w:type="dxa"/>
              <w:bottom w:w="70" w:type="dxa"/>
              <w:end w:w="110" w:type="dxa"/>
            </w:tcMar>
            <w:shd w:fill="F4F6F7"/>
          </w:tcPr>
          <w:p>
            <w:pPr>
              <w:widowControl/>
              <w:spacing w:after="0"/>
            </w:pPr>
            <w:r>
              <w:rPr>
                <w:rFonts w:ascii="Arial" w:hAnsi="Arial"/>
                <w:sz w:val="17"/>
              </w:rPr>
              <w:t>14.90</w:t>
            </w:r>
          </w:p>
        </w:tc>
        <w:tc>
          <w:tcPr>
            <w:tcW w:type="dxa" w:w="3120"/>
            <w:tcMar>
              <w:top w:w="70" w:type="dxa"/>
              <w:start w:w="110" w:type="dxa"/>
              <w:bottom w:w="70" w:type="dxa"/>
              <w:end w:w="110" w:type="dxa"/>
            </w:tcMar>
            <w:shd w:fill="F4F6F7"/>
          </w:tcPr>
          <w:p>
            <w:pPr>
              <w:widowControl/>
              <w:spacing w:after="0"/>
            </w:pPr>
            <w:r>
              <w:rPr>
                <w:rFonts w:ascii="Arial" w:hAnsi="Arial"/>
                <w:sz w:val="17"/>
              </w:rPr>
              <w:t>M&amp;B MMF TROUSERS/BREECHES/SHORTS</w:t>
            </w:r>
          </w:p>
        </w:tc>
        <w:tc>
          <w:tcPr>
            <w:tcW w:type="dxa" w:w="3120"/>
            <w:tcMar>
              <w:top w:w="70" w:type="dxa"/>
              <w:start w:w="110" w:type="dxa"/>
              <w:bottom w:w="70" w:type="dxa"/>
              <w:end w:w="110" w:type="dxa"/>
            </w:tcMar>
            <w:shd w:fill="F4F6F7"/>
          </w:tcPr>
          <w:p>
            <w:pPr>
              <w:widowControl/>
              <w:spacing w:after="0"/>
            </w:pPr>
            <w:r>
              <w:rPr>
                <w:rFonts w:ascii="Arial" w:hAnsi="Arial"/>
                <w:sz w:val="17"/>
              </w:rPr>
              <w:t>DZ</w:t>
            </w:r>
          </w:p>
        </w:tc>
      </w:tr>
      <w:tr>
        <w:trPr>
          <w:cantSplit/>
        </w:trPr>
        <w:tc>
          <w:tcPr>
            <w:tcW w:type="dxa" w:w="3120"/>
            <w:tcMar>
              <w:top w:w="70" w:type="dxa"/>
              <w:start w:w="110" w:type="dxa"/>
              <w:bottom w:w="70" w:type="dxa"/>
              <w:end w:w="110" w:type="dxa"/>
            </w:tcMar>
          </w:tcPr>
          <w:p>
            <w:pPr>
              <w:widowControl/>
              <w:spacing w:after="0"/>
            </w:pPr>
            <w:r>
              <w:rPr>
                <w:rFonts w:ascii="Arial" w:hAnsi="Arial"/>
                <w:sz w:val="17"/>
              </w:rPr>
              <w:t>14.90</w:t>
            </w:r>
          </w:p>
        </w:tc>
        <w:tc>
          <w:tcPr>
            <w:tcW w:type="dxa" w:w="3120"/>
            <w:tcMar>
              <w:top w:w="70" w:type="dxa"/>
              <w:start w:w="110" w:type="dxa"/>
              <w:bottom w:w="70" w:type="dxa"/>
              <w:end w:w="110" w:type="dxa"/>
            </w:tcMar>
          </w:tcPr>
          <w:p>
            <w:pPr>
              <w:widowControl/>
              <w:spacing w:after="0"/>
            </w:pPr>
            <w:r>
              <w:rPr>
                <w:rFonts w:ascii="Arial" w:hAnsi="Arial"/>
                <w:sz w:val="17"/>
              </w:rPr>
              <w:t>W&amp;G MMF TROUSERS/BREECHES/SHORTS</w:t>
            </w:r>
          </w:p>
        </w:tc>
        <w:tc>
          <w:tcPr>
            <w:tcW w:type="dxa" w:w="3120"/>
            <w:tcMar>
              <w:top w:w="70" w:type="dxa"/>
              <w:start w:w="110" w:type="dxa"/>
              <w:bottom w:w="70" w:type="dxa"/>
              <w:end w:w="110" w:type="dxa"/>
            </w:tcMar>
          </w:tcPr>
          <w:p>
            <w:pPr>
              <w:widowControl/>
              <w:spacing w:after="0"/>
            </w:pPr>
            <w:r>
              <w:rPr>
                <w:rFonts w:ascii="Arial" w:hAnsi="Arial"/>
                <w:sz w:val="17"/>
              </w:rPr>
              <w:t>DZ</w:t>
            </w:r>
          </w:p>
        </w:tc>
      </w:tr>
      <w:tr>
        <w:trPr>
          <w:cantSplit/>
        </w:trPr>
        <w:tc>
          <w:tcPr>
            <w:tcW w:type="dxa" w:w="3120"/>
            <w:tcMar>
              <w:top w:w="70" w:type="dxa"/>
              <w:start w:w="110" w:type="dxa"/>
              <w:bottom w:w="70" w:type="dxa"/>
              <w:end w:w="110" w:type="dxa"/>
            </w:tcMar>
            <w:shd w:fill="F4F6F7"/>
          </w:tcPr>
          <w:p>
            <w:pPr>
              <w:widowControl/>
              <w:spacing w:after="0"/>
            </w:pPr>
            <w:r>
              <w:rPr>
                <w:rFonts w:ascii="Arial" w:hAnsi="Arial"/>
                <w:sz w:val="17"/>
              </w:rPr>
              <w:t>4.00</w:t>
            </w:r>
          </w:p>
        </w:tc>
        <w:tc>
          <w:tcPr>
            <w:tcW w:type="dxa" w:w="3120"/>
            <w:tcMar>
              <w:top w:w="70" w:type="dxa"/>
              <w:start w:w="110" w:type="dxa"/>
              <w:bottom w:w="70" w:type="dxa"/>
              <w:end w:w="110" w:type="dxa"/>
            </w:tcMar>
            <w:shd w:fill="F4F6F7"/>
          </w:tcPr>
          <w:p>
            <w:pPr>
              <w:widowControl/>
              <w:spacing w:after="0"/>
            </w:pPr>
            <w:r>
              <w:rPr>
                <w:rFonts w:ascii="Arial" w:hAnsi="Arial"/>
                <w:sz w:val="17"/>
              </w:rPr>
              <w:t>MMF BRAS &amp; OTHER BODY SUPPORT  GARMENTS</w:t>
            </w:r>
          </w:p>
        </w:tc>
        <w:tc>
          <w:tcPr>
            <w:tcW w:type="dxa" w:w="3120"/>
            <w:tcMar>
              <w:top w:w="70" w:type="dxa"/>
              <w:start w:w="110" w:type="dxa"/>
              <w:bottom w:w="70" w:type="dxa"/>
              <w:end w:w="110" w:type="dxa"/>
            </w:tcMar>
            <w:shd w:fill="F4F6F7"/>
          </w:tcPr>
          <w:p>
            <w:pPr>
              <w:widowControl/>
              <w:spacing w:after="0"/>
            </w:pPr>
            <w:r>
              <w:rPr>
                <w:rFonts w:ascii="Arial" w:hAnsi="Arial"/>
                <w:sz w:val="17"/>
              </w:rPr>
              <w:t>DZ</w:t>
            </w:r>
          </w:p>
        </w:tc>
      </w:tr>
      <w:tr>
        <w:trPr>
          <w:cantSplit/>
        </w:trPr>
        <w:tc>
          <w:tcPr>
            <w:tcW w:type="dxa" w:w="3120"/>
            <w:tcMar>
              <w:top w:w="70" w:type="dxa"/>
              <w:start w:w="110" w:type="dxa"/>
              <w:bottom w:w="70" w:type="dxa"/>
              <w:end w:w="110" w:type="dxa"/>
            </w:tcMar>
          </w:tcPr>
          <w:p>
            <w:pPr>
              <w:widowControl/>
              <w:spacing w:after="0"/>
            </w:pPr>
            <w:r>
              <w:rPr>
                <w:rFonts w:ascii="Arial" w:hAnsi="Arial"/>
                <w:sz w:val="17"/>
              </w:rPr>
              <w:t>42.60</w:t>
            </w:r>
          </w:p>
        </w:tc>
        <w:tc>
          <w:tcPr>
            <w:tcW w:type="dxa" w:w="3120"/>
            <w:tcMar>
              <w:top w:w="70" w:type="dxa"/>
              <w:start w:w="110" w:type="dxa"/>
              <w:bottom w:w="70" w:type="dxa"/>
              <w:end w:w="110" w:type="dxa"/>
            </w:tcMar>
          </w:tcPr>
          <w:p>
            <w:pPr>
              <w:widowControl/>
              <w:spacing w:after="0"/>
            </w:pPr>
            <w:r>
              <w:rPr>
                <w:rFonts w:ascii="Arial" w:hAnsi="Arial"/>
                <w:sz w:val="17"/>
              </w:rPr>
              <w:t>MMF ROBES, DRESSING GOWNS, ETC.</w:t>
            </w:r>
          </w:p>
        </w:tc>
        <w:tc>
          <w:tcPr>
            <w:tcW w:type="dxa" w:w="3120"/>
            <w:tcMar>
              <w:top w:w="70" w:type="dxa"/>
              <w:start w:w="110" w:type="dxa"/>
              <w:bottom w:w="70" w:type="dxa"/>
              <w:end w:w="110" w:type="dxa"/>
            </w:tcMar>
          </w:tcPr>
          <w:p>
            <w:pPr>
              <w:widowControl/>
              <w:spacing w:after="0"/>
            </w:pPr>
            <w:r>
              <w:rPr>
                <w:rFonts w:ascii="Arial" w:hAnsi="Arial"/>
                <w:sz w:val="17"/>
              </w:rPr>
              <w:t>DZ</w:t>
            </w:r>
          </w:p>
        </w:tc>
      </w:tr>
      <w:tr>
        <w:trPr>
          <w:cantSplit/>
        </w:trPr>
        <w:tc>
          <w:tcPr>
            <w:tcW w:type="dxa" w:w="3120"/>
            <w:tcMar>
              <w:top w:w="70" w:type="dxa"/>
              <w:start w:w="110" w:type="dxa"/>
              <w:bottom w:w="70" w:type="dxa"/>
              <w:end w:w="110" w:type="dxa"/>
            </w:tcMar>
            <w:shd w:fill="F4F6F7"/>
          </w:tcPr>
          <w:p>
            <w:pPr>
              <w:widowControl/>
              <w:spacing w:after="0"/>
            </w:pPr>
            <w:r>
              <w:rPr>
                <w:rFonts w:ascii="Arial" w:hAnsi="Arial"/>
                <w:sz w:val="17"/>
              </w:rPr>
              <w:t>43.50</w:t>
            </w:r>
          </w:p>
        </w:tc>
        <w:tc>
          <w:tcPr>
            <w:tcW w:type="dxa" w:w="3120"/>
            <w:tcMar>
              <w:top w:w="70" w:type="dxa"/>
              <w:start w:w="110" w:type="dxa"/>
              <w:bottom w:w="70" w:type="dxa"/>
              <w:end w:w="110" w:type="dxa"/>
            </w:tcMar>
            <w:shd w:fill="F4F6F7"/>
          </w:tcPr>
          <w:p>
            <w:pPr>
              <w:widowControl/>
              <w:spacing w:after="0"/>
            </w:pPr>
            <w:r>
              <w:rPr>
                <w:rFonts w:ascii="Arial" w:hAnsi="Arial"/>
                <w:sz w:val="17"/>
              </w:rPr>
              <w:t>MMF NIGHTWEAR &amp; PAJAMAS</w:t>
            </w:r>
          </w:p>
        </w:tc>
        <w:tc>
          <w:tcPr>
            <w:tcW w:type="dxa" w:w="3120"/>
            <w:tcMar>
              <w:top w:w="70" w:type="dxa"/>
              <w:start w:w="110" w:type="dxa"/>
              <w:bottom w:w="70" w:type="dxa"/>
              <w:end w:w="110" w:type="dxa"/>
            </w:tcMar>
            <w:shd w:fill="F4F6F7"/>
          </w:tcPr>
          <w:p>
            <w:pPr>
              <w:widowControl/>
              <w:spacing w:after="0"/>
            </w:pPr>
            <w:r>
              <w:rPr>
                <w:rFonts w:ascii="Arial" w:hAnsi="Arial"/>
                <w:sz w:val="17"/>
              </w:rPr>
              <w:t>DZ</w:t>
            </w:r>
          </w:p>
        </w:tc>
      </w:tr>
      <w:tr>
        <w:trPr>
          <w:cantSplit/>
        </w:trPr>
        <w:tc>
          <w:tcPr>
            <w:tcW w:type="dxa" w:w="3120"/>
            <w:tcMar>
              <w:top w:w="70" w:type="dxa"/>
              <w:start w:w="110" w:type="dxa"/>
              <w:bottom w:w="70" w:type="dxa"/>
              <w:end w:w="110" w:type="dxa"/>
            </w:tcMar>
          </w:tcPr>
          <w:p>
            <w:pPr>
              <w:widowControl/>
              <w:spacing w:after="0"/>
            </w:pPr>
            <w:r>
              <w:rPr>
                <w:rFonts w:ascii="Arial" w:hAnsi="Arial"/>
                <w:sz w:val="17"/>
              </w:rPr>
              <w:t>13.40</w:t>
            </w:r>
          </w:p>
        </w:tc>
        <w:tc>
          <w:tcPr>
            <w:tcW w:type="dxa" w:w="3120"/>
            <w:tcMar>
              <w:top w:w="70" w:type="dxa"/>
              <w:start w:w="110" w:type="dxa"/>
              <w:bottom w:w="70" w:type="dxa"/>
              <w:end w:w="110" w:type="dxa"/>
            </w:tcMar>
          </w:tcPr>
          <w:p>
            <w:pPr>
              <w:widowControl/>
              <w:spacing w:after="0"/>
            </w:pPr>
            <w:r>
              <w:rPr>
                <w:rFonts w:ascii="Arial" w:hAnsi="Arial"/>
                <w:sz w:val="17"/>
              </w:rPr>
              <w:t>MMF UNDERWEAR</w:t>
            </w:r>
          </w:p>
        </w:tc>
        <w:tc>
          <w:tcPr>
            <w:tcW w:type="dxa" w:w="3120"/>
            <w:tcMar>
              <w:top w:w="70" w:type="dxa"/>
              <w:start w:w="110" w:type="dxa"/>
              <w:bottom w:w="70" w:type="dxa"/>
              <w:end w:w="110" w:type="dxa"/>
            </w:tcMar>
          </w:tcPr>
          <w:p>
            <w:pPr>
              <w:widowControl/>
              <w:spacing w:after="0"/>
            </w:pPr>
            <w:r>
              <w:rPr>
                <w:rFonts w:ascii="Arial" w:hAnsi="Arial"/>
                <w:sz w:val="17"/>
              </w:rPr>
              <w:t>DZ</w:t>
            </w:r>
          </w:p>
        </w:tc>
      </w:tr>
      <w:tr>
        <w:trPr>
          <w:cantSplit/>
        </w:trPr>
        <w:tc>
          <w:tcPr>
            <w:tcW w:type="dxa" w:w="3120"/>
            <w:tcMar>
              <w:top w:w="70" w:type="dxa"/>
              <w:start w:w="110" w:type="dxa"/>
              <w:bottom w:w="70" w:type="dxa"/>
              <w:end w:w="110" w:type="dxa"/>
            </w:tcMar>
            <w:shd w:fill="F4F6F7"/>
          </w:tcPr>
          <w:p>
            <w:pPr>
              <w:widowControl/>
              <w:spacing w:after="0"/>
            </w:pPr>
            <w:r>
              <w:rPr>
                <w:rFonts w:ascii="Arial" w:hAnsi="Arial"/>
                <w:sz w:val="17"/>
              </w:rPr>
              <w:t>34.50</w:t>
            </w:r>
          </w:p>
        </w:tc>
        <w:tc>
          <w:tcPr>
            <w:tcW w:type="dxa" w:w="3120"/>
            <w:tcMar>
              <w:top w:w="70" w:type="dxa"/>
              <w:start w:w="110" w:type="dxa"/>
              <w:bottom w:w="70" w:type="dxa"/>
              <w:end w:w="110" w:type="dxa"/>
            </w:tcMar>
            <w:shd w:fill="F4F6F7"/>
          </w:tcPr>
          <w:p>
            <w:pPr>
              <w:widowControl/>
              <w:spacing w:after="0"/>
            </w:pPr>
            <w:r>
              <w:rPr>
                <w:rFonts w:ascii="Arial" w:hAnsi="Arial"/>
                <w:sz w:val="17"/>
              </w:rPr>
              <w:t>M&amp;B MMF DOWN FILLED COATS</w:t>
            </w:r>
          </w:p>
        </w:tc>
        <w:tc>
          <w:tcPr>
            <w:tcW w:type="dxa" w:w="3120"/>
            <w:tcMar>
              <w:top w:w="70" w:type="dxa"/>
              <w:start w:w="110" w:type="dxa"/>
              <w:bottom w:w="70" w:type="dxa"/>
              <w:end w:w="110" w:type="dxa"/>
            </w:tcMar>
            <w:shd w:fill="F4F6F7"/>
          </w:tcPr>
          <w:p>
            <w:pPr>
              <w:widowControl/>
              <w:spacing w:after="0"/>
            </w:pPr>
            <w:r>
              <w:rPr>
                <w:rFonts w:ascii="Arial" w:hAnsi="Arial"/>
                <w:sz w:val="17"/>
              </w:rPr>
              <w:t>DZ</w:t>
            </w:r>
          </w:p>
        </w:tc>
      </w:tr>
      <w:tr>
        <w:trPr>
          <w:cantSplit/>
        </w:trPr>
        <w:tc>
          <w:tcPr>
            <w:tcW w:type="dxa" w:w="3120"/>
            <w:tcMar>
              <w:top w:w="70" w:type="dxa"/>
              <w:start w:w="110" w:type="dxa"/>
              <w:bottom w:w="70" w:type="dxa"/>
              <w:end w:w="110" w:type="dxa"/>
            </w:tcMar>
          </w:tcPr>
          <w:p>
            <w:pPr>
              <w:widowControl/>
              <w:spacing w:after="0"/>
            </w:pPr>
            <w:r>
              <w:rPr>
                <w:rFonts w:ascii="Arial" w:hAnsi="Arial"/>
                <w:sz w:val="17"/>
              </w:rPr>
              <w:t>34.50</w:t>
            </w:r>
          </w:p>
        </w:tc>
        <w:tc>
          <w:tcPr>
            <w:tcW w:type="dxa" w:w="3120"/>
            <w:tcMar>
              <w:top w:w="70" w:type="dxa"/>
              <w:start w:w="110" w:type="dxa"/>
              <w:bottom w:w="70" w:type="dxa"/>
              <w:end w:w="110" w:type="dxa"/>
            </w:tcMar>
          </w:tcPr>
          <w:p>
            <w:pPr>
              <w:widowControl/>
              <w:spacing w:after="0"/>
            </w:pPr>
            <w:r>
              <w:rPr>
                <w:rFonts w:ascii="Arial" w:hAnsi="Arial"/>
                <w:sz w:val="17"/>
              </w:rPr>
              <w:t>W&amp;G MMF DOWN FILLED COATS    U.S.</w:t>
            </w:r>
          </w:p>
        </w:tc>
        <w:tc>
          <w:tcPr>
            <w:tcW w:type="dxa" w:w="3120"/>
            <w:tcMar>
              <w:top w:w="70" w:type="dxa"/>
              <w:start w:w="110" w:type="dxa"/>
              <w:bottom w:w="70" w:type="dxa"/>
              <w:end w:w="110" w:type="dxa"/>
            </w:tcMar>
          </w:tcPr>
          <w:p>
            <w:pPr>
              <w:widowControl/>
              <w:spacing w:after="0"/>
            </w:pPr>
            <w:r>
              <w:rPr>
                <w:rFonts w:ascii="Arial" w:hAnsi="Arial"/>
                <w:sz w:val="17"/>
              </w:rPr>
              <w:t>DZ</w:t>
            </w:r>
          </w:p>
        </w:tc>
      </w:tr>
      <w:tr>
        <w:trPr>
          <w:cantSplit/>
        </w:trPr>
        <w:tc>
          <w:tcPr>
            <w:tcW w:type="dxa" w:w="3120"/>
            <w:tcMar>
              <w:top w:w="70" w:type="dxa"/>
              <w:start w:w="110" w:type="dxa"/>
              <w:bottom w:w="70" w:type="dxa"/>
              <w:end w:w="110" w:type="dxa"/>
            </w:tcMar>
            <w:shd w:fill="F4F6F7"/>
          </w:tcPr>
          <w:p>
            <w:pPr>
              <w:widowControl/>
              <w:spacing w:after="0"/>
            </w:pPr>
            <w:r>
              <w:rPr>
                <w:rFonts w:ascii="Arial" w:hAnsi="Arial"/>
                <w:sz w:val="17"/>
              </w:rPr>
              <w:t>14.40</w:t>
            </w:r>
          </w:p>
        </w:tc>
        <w:tc>
          <w:tcPr>
            <w:tcW w:type="dxa" w:w="3120"/>
            <w:tcMar>
              <w:top w:w="70" w:type="dxa"/>
              <w:start w:w="110" w:type="dxa"/>
              <w:bottom w:w="70" w:type="dxa"/>
              <w:end w:w="110" w:type="dxa"/>
            </w:tcMar>
            <w:shd w:fill="F4F6F7"/>
          </w:tcPr>
          <w:p>
            <w:pPr>
              <w:widowControl/>
              <w:spacing w:after="0"/>
            </w:pPr>
            <w:r>
              <w:rPr>
                <w:rFonts w:ascii="Arial" w:hAnsi="Arial"/>
                <w:sz w:val="17"/>
              </w:rPr>
              <w:t>OTHER MMF APPAREL</w:t>
            </w:r>
          </w:p>
        </w:tc>
        <w:tc>
          <w:tcPr>
            <w:tcW w:type="dxa" w:w="3120"/>
            <w:tcMar>
              <w:top w:w="70" w:type="dxa"/>
              <w:start w:w="110" w:type="dxa"/>
              <w:bottom w:w="70" w:type="dxa"/>
              <w:end w:w="110" w:type="dxa"/>
            </w:tcMar>
            <w:shd w:fill="F4F6F7"/>
          </w:tcPr>
          <w:p>
            <w:pPr>
              <w:widowControl/>
              <w:spacing w:after="0"/>
            </w:pPr>
            <w:r>
              <w:rPr>
                <w:rFonts w:ascii="Arial" w:hAnsi="Arial"/>
                <w:sz w:val="17"/>
              </w:rPr>
              <w:t>KG</w:t>
            </w:r>
          </w:p>
        </w:tc>
      </w:tr>
      <w:tr>
        <w:trPr>
          <w:cantSplit/>
        </w:trPr>
        <w:tc>
          <w:tcPr>
            <w:tcW w:type="dxa" w:w="3120"/>
            <w:tcMar>
              <w:top w:w="70" w:type="dxa"/>
              <w:start w:w="110" w:type="dxa"/>
              <w:bottom w:w="70" w:type="dxa"/>
              <w:end w:w="110" w:type="dxa"/>
            </w:tcMar>
          </w:tcPr>
          <w:p>
            <w:pPr>
              <w:widowControl/>
              <w:spacing w:after="0"/>
            </w:pPr>
            <w:r>
              <w:rPr>
                <w:rFonts w:ascii="Arial" w:hAnsi="Arial"/>
                <w:sz w:val="17"/>
              </w:rPr>
              <w:t>1.00</w:t>
            </w:r>
          </w:p>
        </w:tc>
        <w:tc>
          <w:tcPr>
            <w:tcW w:type="dxa" w:w="3120"/>
            <w:tcMar>
              <w:top w:w="70" w:type="dxa"/>
              <w:start w:w="110" w:type="dxa"/>
              <w:bottom w:w="70" w:type="dxa"/>
              <w:end w:w="110" w:type="dxa"/>
            </w:tcMar>
          </w:tcPr>
          <w:p>
            <w:pPr>
              <w:widowControl/>
              <w:spacing w:after="0"/>
            </w:pPr>
            <w:r>
              <w:rPr>
                <w:rFonts w:ascii="Arial" w:hAnsi="Arial"/>
                <w:sz w:val="17"/>
              </w:rPr>
              <w:t>MMF FLOOR COVERINGS</w:t>
            </w:r>
          </w:p>
        </w:tc>
        <w:tc>
          <w:tcPr>
            <w:tcW w:type="dxa" w:w="3120"/>
            <w:tcMar>
              <w:top w:w="70" w:type="dxa"/>
              <w:start w:w="110" w:type="dxa"/>
              <w:bottom w:w="70" w:type="dxa"/>
              <w:end w:w="110" w:type="dxa"/>
            </w:tcMar>
          </w:tcPr>
          <w:p>
            <w:pPr>
              <w:widowControl/>
              <w:spacing w:after="0"/>
            </w:pPr>
            <w:r>
              <w:rPr>
                <w:rFonts w:ascii="Arial" w:hAnsi="Arial"/>
                <w:sz w:val="17"/>
              </w:rPr>
              <w:t>SM</w:t>
            </w:r>
          </w:p>
        </w:tc>
      </w:tr>
      <w:tr>
        <w:trPr>
          <w:cantSplit/>
        </w:trPr>
        <w:tc>
          <w:tcPr>
            <w:tcW w:type="dxa" w:w="3120"/>
            <w:tcMar>
              <w:top w:w="70" w:type="dxa"/>
              <w:start w:w="110" w:type="dxa"/>
              <w:bottom w:w="70" w:type="dxa"/>
              <w:end w:w="110" w:type="dxa"/>
            </w:tcMar>
            <w:shd w:fill="F4F6F7"/>
          </w:tcPr>
          <w:p>
            <w:pPr>
              <w:widowControl/>
              <w:spacing w:after="0"/>
            </w:pPr>
            <w:r>
              <w:rPr>
                <w:rFonts w:ascii="Arial" w:hAnsi="Arial"/>
                <w:sz w:val="17"/>
              </w:rPr>
              <w:t>14.40</w:t>
            </w:r>
          </w:p>
        </w:tc>
        <w:tc>
          <w:tcPr>
            <w:tcW w:type="dxa" w:w="3120"/>
            <w:tcMar>
              <w:top w:w="70" w:type="dxa"/>
              <w:start w:w="110" w:type="dxa"/>
              <w:bottom w:w="70" w:type="dxa"/>
              <w:end w:w="110" w:type="dxa"/>
            </w:tcMar>
            <w:shd w:fill="F4F6F7"/>
          </w:tcPr>
          <w:p>
            <w:pPr>
              <w:widowControl/>
              <w:spacing w:after="0"/>
            </w:pPr>
            <w:r>
              <w:rPr>
                <w:rFonts w:ascii="Arial" w:hAnsi="Arial"/>
                <w:sz w:val="17"/>
              </w:rPr>
              <w:t>OTHER MMF FURNISHINGS</w:t>
            </w:r>
          </w:p>
        </w:tc>
        <w:tc>
          <w:tcPr>
            <w:tcW w:type="dxa" w:w="3120"/>
            <w:tcMar>
              <w:top w:w="70" w:type="dxa"/>
              <w:start w:w="110" w:type="dxa"/>
              <w:bottom w:w="70" w:type="dxa"/>
              <w:end w:w="110" w:type="dxa"/>
            </w:tcMar>
            <w:shd w:fill="F4F6F7"/>
          </w:tcPr>
          <w:p>
            <w:pPr>
              <w:widowControl/>
              <w:spacing w:after="0"/>
            </w:pPr>
            <w:r>
              <w:rPr>
                <w:rFonts w:ascii="Arial" w:hAnsi="Arial"/>
                <w:sz w:val="17"/>
              </w:rPr>
              <w:t>KG</w:t>
            </w:r>
          </w:p>
        </w:tc>
      </w:tr>
      <w:tr>
        <w:trPr>
          <w:cantSplit/>
        </w:trPr>
        <w:tc>
          <w:tcPr>
            <w:tcW w:type="dxa" w:w="3120"/>
            <w:tcMar>
              <w:top w:w="70" w:type="dxa"/>
              <w:start w:w="110" w:type="dxa"/>
              <w:bottom w:w="70" w:type="dxa"/>
              <w:end w:w="110" w:type="dxa"/>
            </w:tcMar>
          </w:tcPr>
          <w:p>
            <w:pPr>
              <w:widowControl/>
              <w:spacing w:after="0"/>
            </w:pPr>
            <w:r>
              <w:rPr>
                <w:rFonts w:ascii="Arial" w:hAnsi="Arial"/>
                <w:sz w:val="17"/>
              </w:rPr>
              <w:t>14.40</w:t>
            </w:r>
          </w:p>
        </w:tc>
        <w:tc>
          <w:tcPr>
            <w:tcW w:type="dxa" w:w="3120"/>
            <w:tcMar>
              <w:top w:w="70" w:type="dxa"/>
              <w:start w:w="110" w:type="dxa"/>
              <w:bottom w:w="70" w:type="dxa"/>
              <w:end w:w="110" w:type="dxa"/>
            </w:tcMar>
          </w:tcPr>
          <w:p>
            <w:pPr>
              <w:widowControl/>
              <w:spacing w:after="0"/>
            </w:pPr>
            <w:r>
              <w:rPr>
                <w:rFonts w:ascii="Arial" w:hAnsi="Arial"/>
                <w:sz w:val="17"/>
              </w:rPr>
              <w:t>OTHER MMF MANUFACTURES</w:t>
            </w:r>
          </w:p>
        </w:tc>
        <w:tc>
          <w:tcPr>
            <w:tcW w:type="dxa" w:w="3120"/>
            <w:tcMar>
              <w:top w:w="70" w:type="dxa"/>
              <w:start w:w="110" w:type="dxa"/>
              <w:bottom w:w="70" w:type="dxa"/>
              <w:end w:w="110" w:type="dxa"/>
            </w:tcMar>
          </w:tcPr>
          <w:p>
            <w:pPr>
              <w:widowControl/>
              <w:spacing w:after="0"/>
            </w:pPr>
            <w:r>
              <w:rPr>
                <w:rFonts w:ascii="Arial" w:hAnsi="Arial"/>
                <w:sz w:val="17"/>
              </w:rPr>
              <w:t>KG</w:t>
            </w:r>
          </w:p>
        </w:tc>
      </w:tr>
      <w:tr>
        <w:trPr>
          <w:cantSplit/>
        </w:trPr>
        <w:tc>
          <w:tcPr>
            <w:tcW w:type="dxa" w:w="3120"/>
            <w:tcMar>
              <w:top w:w="70" w:type="dxa"/>
              <w:start w:w="110" w:type="dxa"/>
              <w:bottom w:w="70" w:type="dxa"/>
              <w:end w:w="110" w:type="dxa"/>
            </w:tcMar>
            <w:shd w:fill="F4F6F7"/>
          </w:tcPr>
          <w:p>
            <w:pPr>
              <w:widowControl/>
              <w:spacing w:after="0"/>
            </w:pPr>
            <w:r>
              <w:rPr>
                <w:rFonts w:ascii="Arial" w:hAnsi="Arial"/>
                <w:sz w:val="17"/>
              </w:rPr>
              <w:t>3.70</w:t>
            </w:r>
          </w:p>
        </w:tc>
        <w:tc>
          <w:tcPr>
            <w:tcW w:type="dxa" w:w="3120"/>
            <w:tcMar>
              <w:top w:w="70" w:type="dxa"/>
              <w:start w:w="110" w:type="dxa"/>
              <w:bottom w:w="70" w:type="dxa"/>
              <w:end w:w="110" w:type="dxa"/>
            </w:tcMar>
            <w:shd w:fill="F4F6F7"/>
          </w:tcPr>
          <w:p>
            <w:pPr>
              <w:widowControl/>
              <w:spacing w:after="0"/>
            </w:pPr>
            <w:r>
              <w:rPr>
                <w:rFonts w:ascii="Arial" w:hAnsi="Arial"/>
                <w:sz w:val="17"/>
              </w:rPr>
              <w:t>MMF FLAT GOODS, HANDBAGS, LUGGAGE</w:t>
            </w:r>
          </w:p>
        </w:tc>
        <w:tc>
          <w:tcPr>
            <w:tcW w:type="dxa" w:w="3120"/>
            <w:tcMar>
              <w:top w:w="70" w:type="dxa"/>
              <w:start w:w="110" w:type="dxa"/>
              <w:bottom w:w="70" w:type="dxa"/>
              <w:end w:w="110" w:type="dxa"/>
            </w:tcMar>
            <w:shd w:fill="F4F6F7"/>
          </w:tcPr>
          <w:p>
            <w:pPr>
              <w:widowControl/>
              <w:spacing w:after="0"/>
            </w:pPr>
            <w:r>
              <w:rPr>
                <w:rFonts w:ascii="Arial" w:hAnsi="Arial"/>
                <w:sz w:val="17"/>
              </w:rPr>
              <w:t>KG</w:t>
            </w:r>
          </w:p>
        </w:tc>
      </w:tr>
      <w:tr>
        <w:trPr>
          <w:cantSplit/>
        </w:trPr>
        <w:tc>
          <w:tcPr>
            <w:tcW w:type="dxa" w:w="3120"/>
            <w:tcMar>
              <w:top w:w="70" w:type="dxa"/>
              <w:start w:w="110" w:type="dxa"/>
              <w:bottom w:w="70" w:type="dxa"/>
              <w:end w:w="110" w:type="dxa"/>
            </w:tcMar>
          </w:tcPr>
          <w:p>
            <w:pPr>
              <w:widowControl/>
              <w:spacing w:after="0"/>
            </w:pPr>
            <w:r>
              <w:rPr>
                <w:rFonts w:ascii="Arial" w:hAnsi="Arial"/>
                <w:sz w:val="17"/>
              </w:rPr>
              <w:t>8.50</w:t>
            </w:r>
          </w:p>
        </w:tc>
        <w:tc>
          <w:tcPr>
            <w:tcW w:type="dxa" w:w="3120"/>
            <w:tcMar>
              <w:top w:w="70" w:type="dxa"/>
              <w:start w:w="110" w:type="dxa"/>
              <w:bottom w:w="70" w:type="dxa"/>
              <w:end w:w="110" w:type="dxa"/>
            </w:tcMar>
          </w:tcPr>
          <w:p>
            <w:pPr>
              <w:widowControl/>
              <w:spacing w:after="0"/>
            </w:pPr>
            <w:r>
              <w:rPr>
                <w:rFonts w:ascii="Arial" w:hAnsi="Arial"/>
                <w:sz w:val="17"/>
              </w:rPr>
              <w:t>YARN, SILK BLENDS/VEGETABLE FIBER</w:t>
            </w:r>
          </w:p>
        </w:tc>
        <w:tc>
          <w:tcPr>
            <w:tcW w:type="dxa" w:w="3120"/>
            <w:tcMar>
              <w:top w:w="70" w:type="dxa"/>
              <w:start w:w="110" w:type="dxa"/>
              <w:bottom w:w="70" w:type="dxa"/>
              <w:end w:w="110" w:type="dxa"/>
            </w:tcMar>
          </w:tcPr>
          <w:p>
            <w:pPr>
              <w:widowControl/>
              <w:spacing w:after="0"/>
            </w:pPr>
            <w:r>
              <w:rPr>
                <w:rFonts w:ascii="Arial" w:hAnsi="Arial"/>
                <w:sz w:val="17"/>
              </w:rPr>
              <w:t>KG</w:t>
            </w:r>
          </w:p>
        </w:tc>
      </w:tr>
      <w:tr>
        <w:trPr>
          <w:cantSplit/>
        </w:trPr>
        <w:tc>
          <w:tcPr>
            <w:tcW w:type="dxa" w:w="3120"/>
            <w:tcMar>
              <w:top w:w="70" w:type="dxa"/>
              <w:start w:w="110" w:type="dxa"/>
              <w:bottom w:w="70" w:type="dxa"/>
              <w:end w:w="110" w:type="dxa"/>
            </w:tcMar>
            <w:shd w:fill="F4F6F7"/>
          </w:tcPr>
          <w:p>
            <w:pPr>
              <w:widowControl/>
              <w:spacing w:after="0"/>
            </w:pPr>
            <w:r>
              <w:rPr>
                <w:rFonts w:ascii="Arial" w:hAnsi="Arial"/>
                <w:sz w:val="17"/>
              </w:rPr>
              <w:t>1.00</w:t>
            </w:r>
          </w:p>
        </w:tc>
        <w:tc>
          <w:tcPr>
            <w:tcW w:type="dxa" w:w="3120"/>
            <w:tcMar>
              <w:top w:w="70" w:type="dxa"/>
              <w:start w:w="110" w:type="dxa"/>
              <w:bottom w:w="70" w:type="dxa"/>
              <w:end w:w="110" w:type="dxa"/>
            </w:tcMar>
            <w:shd w:fill="F4F6F7"/>
          </w:tcPr>
          <w:p>
            <w:pPr>
              <w:widowControl/>
              <w:spacing w:after="0"/>
            </w:pPr>
            <w:r>
              <w:rPr>
                <w:rFonts w:ascii="Arial" w:hAnsi="Arial"/>
                <w:sz w:val="17"/>
              </w:rPr>
              <w:t>WOVEN FABRIC, SILK  BLENDS/VEGETABLE FIBER</w:t>
            </w:r>
          </w:p>
        </w:tc>
        <w:tc>
          <w:tcPr>
            <w:tcW w:type="dxa" w:w="3120"/>
            <w:tcMar>
              <w:top w:w="70" w:type="dxa"/>
              <w:start w:w="110" w:type="dxa"/>
              <w:bottom w:w="70" w:type="dxa"/>
              <w:end w:w="110" w:type="dxa"/>
            </w:tcMar>
            <w:shd w:fill="F4F6F7"/>
          </w:tcPr>
          <w:p>
            <w:pPr>
              <w:widowControl/>
              <w:spacing w:after="0"/>
            </w:pPr>
            <w:r>
              <w:rPr>
                <w:rFonts w:ascii="Arial" w:hAnsi="Arial"/>
                <w:sz w:val="17"/>
              </w:rPr>
              <w:t>SM</w:t>
            </w:r>
          </w:p>
        </w:tc>
      </w:tr>
      <w:tr>
        <w:trPr>
          <w:cantSplit/>
        </w:trPr>
        <w:tc>
          <w:tcPr>
            <w:tcW w:type="dxa" w:w="3120"/>
            <w:tcMar>
              <w:top w:w="70" w:type="dxa"/>
              <w:start w:w="110" w:type="dxa"/>
              <w:bottom w:w="70" w:type="dxa"/>
              <w:end w:w="110" w:type="dxa"/>
            </w:tcMar>
          </w:tcPr>
          <w:p>
            <w:pPr>
              <w:widowControl/>
              <w:spacing w:after="0"/>
            </w:pPr>
            <w:r>
              <w:rPr>
                <w:rFonts w:ascii="Arial" w:hAnsi="Arial"/>
                <w:sz w:val="17"/>
              </w:rPr>
              <w:t>2.90</w:t>
            </w:r>
          </w:p>
        </w:tc>
        <w:tc>
          <w:tcPr>
            <w:tcW w:type="dxa" w:w="3120"/>
            <w:tcMar>
              <w:top w:w="70" w:type="dxa"/>
              <w:start w:w="110" w:type="dxa"/>
              <w:bottom w:w="70" w:type="dxa"/>
              <w:end w:w="110" w:type="dxa"/>
            </w:tcMar>
          </w:tcPr>
          <w:p>
            <w:pPr>
              <w:widowControl/>
              <w:spacing w:after="0"/>
            </w:pPr>
            <w:r>
              <w:rPr>
                <w:rFonts w:ascii="Arial" w:hAnsi="Arial"/>
                <w:sz w:val="17"/>
              </w:rPr>
              <w:t>GLOVES &amp; MITTENS, SILK BLENDS /  VEGETABLE FIBER</w:t>
            </w:r>
          </w:p>
        </w:tc>
        <w:tc>
          <w:tcPr>
            <w:tcW w:type="dxa" w:w="3120"/>
            <w:tcMar>
              <w:top w:w="70" w:type="dxa"/>
              <w:start w:w="110" w:type="dxa"/>
              <w:bottom w:w="70" w:type="dxa"/>
              <w:end w:w="110" w:type="dxa"/>
            </w:tcMar>
          </w:tcPr>
          <w:p>
            <w:pPr>
              <w:widowControl/>
              <w:spacing w:after="0"/>
            </w:pPr>
            <w:r>
              <w:rPr>
                <w:rFonts w:ascii="Arial" w:hAnsi="Arial"/>
                <w:sz w:val="17"/>
              </w:rPr>
              <w:t>DPR</w:t>
            </w:r>
          </w:p>
        </w:tc>
      </w:tr>
      <w:tr>
        <w:trPr>
          <w:cantSplit/>
        </w:trPr>
        <w:tc>
          <w:tcPr>
            <w:tcW w:type="dxa" w:w="3120"/>
            <w:tcMar>
              <w:top w:w="70" w:type="dxa"/>
              <w:start w:w="110" w:type="dxa"/>
              <w:bottom w:w="70" w:type="dxa"/>
              <w:end w:w="110" w:type="dxa"/>
            </w:tcMar>
            <w:shd w:fill="F4F6F7"/>
          </w:tcPr>
          <w:p>
            <w:pPr>
              <w:widowControl/>
              <w:spacing w:after="0"/>
            </w:pPr>
            <w:r>
              <w:rPr>
                <w:rFonts w:ascii="Arial" w:hAnsi="Arial"/>
                <w:sz w:val="17"/>
              </w:rPr>
              <w:t>3.80</w:t>
            </w:r>
          </w:p>
        </w:tc>
        <w:tc>
          <w:tcPr>
            <w:tcW w:type="dxa" w:w="3120"/>
            <w:tcMar>
              <w:top w:w="70" w:type="dxa"/>
              <w:start w:w="110" w:type="dxa"/>
              <w:bottom w:w="70" w:type="dxa"/>
              <w:end w:w="110" w:type="dxa"/>
            </w:tcMar>
            <w:shd w:fill="F4F6F7"/>
          </w:tcPr>
          <w:p>
            <w:pPr>
              <w:widowControl/>
              <w:spacing w:after="0"/>
            </w:pPr>
            <w:r>
              <w:rPr>
                <w:rFonts w:ascii="Arial" w:hAnsi="Arial"/>
                <w:sz w:val="17"/>
              </w:rPr>
              <w:t>HOSIERY, SILK BLENDS/VEGETABLE  FIBER</w:t>
            </w:r>
          </w:p>
        </w:tc>
        <w:tc>
          <w:tcPr>
            <w:tcW w:type="dxa" w:w="3120"/>
            <w:tcMar>
              <w:top w:w="70" w:type="dxa"/>
              <w:start w:w="110" w:type="dxa"/>
              <w:bottom w:w="70" w:type="dxa"/>
              <w:end w:w="110" w:type="dxa"/>
            </w:tcMar>
            <w:shd w:fill="F4F6F7"/>
          </w:tcPr>
          <w:p>
            <w:pPr>
              <w:widowControl/>
              <w:spacing w:after="0"/>
            </w:pPr>
            <w:r>
              <w:rPr>
                <w:rFonts w:ascii="Arial" w:hAnsi="Arial"/>
                <w:sz w:val="17"/>
              </w:rPr>
              <w:t>DPR</w:t>
            </w:r>
          </w:p>
        </w:tc>
      </w:tr>
      <w:tr>
        <w:trPr>
          <w:cantSplit/>
        </w:trPr>
        <w:tc>
          <w:tcPr>
            <w:tcW w:type="dxa" w:w="3120"/>
            <w:tcMar>
              <w:top w:w="70" w:type="dxa"/>
              <w:start w:w="110" w:type="dxa"/>
              <w:bottom w:w="70" w:type="dxa"/>
              <w:end w:w="110" w:type="dxa"/>
            </w:tcMar>
          </w:tcPr>
          <w:p>
            <w:pPr>
              <w:widowControl/>
              <w:spacing w:after="0"/>
            </w:pPr>
            <w:r>
              <w:rPr>
                <w:rFonts w:ascii="Arial" w:hAnsi="Arial"/>
                <w:sz w:val="17"/>
              </w:rPr>
              <w:t>30.30</w:t>
            </w:r>
          </w:p>
        </w:tc>
        <w:tc>
          <w:tcPr>
            <w:tcW w:type="dxa" w:w="3120"/>
            <w:tcMar>
              <w:top w:w="70" w:type="dxa"/>
              <w:start w:w="110" w:type="dxa"/>
              <w:bottom w:w="70" w:type="dxa"/>
              <w:end w:w="110" w:type="dxa"/>
            </w:tcMar>
          </w:tcPr>
          <w:p>
            <w:pPr>
              <w:widowControl/>
              <w:spacing w:after="0"/>
            </w:pPr>
            <w:r>
              <w:rPr>
                <w:rFonts w:ascii="Arial" w:hAnsi="Arial"/>
                <w:sz w:val="17"/>
              </w:rPr>
              <w:t>M&amp;B SUIT TYPE COATS, SILK BLENDS/  VEGETABLE FIBER</w:t>
            </w:r>
          </w:p>
        </w:tc>
        <w:tc>
          <w:tcPr>
            <w:tcW w:type="dxa" w:w="3120"/>
            <w:tcMar>
              <w:top w:w="70" w:type="dxa"/>
              <w:start w:w="110" w:type="dxa"/>
              <w:bottom w:w="70" w:type="dxa"/>
              <w:end w:w="110" w:type="dxa"/>
            </w:tcMar>
          </w:tcPr>
          <w:p>
            <w:pPr>
              <w:widowControl/>
              <w:spacing w:after="0"/>
            </w:pPr>
            <w:r>
              <w:rPr>
                <w:rFonts w:ascii="Arial" w:hAnsi="Arial"/>
                <w:sz w:val="17"/>
              </w:rPr>
              <w:t>DZ</w:t>
            </w:r>
          </w:p>
        </w:tc>
      </w:tr>
      <w:tr>
        <w:trPr>
          <w:cantSplit/>
        </w:trPr>
        <w:tc>
          <w:tcPr>
            <w:tcW w:type="dxa" w:w="3120"/>
            <w:tcMar>
              <w:top w:w="70" w:type="dxa"/>
              <w:start w:w="110" w:type="dxa"/>
              <w:bottom w:w="70" w:type="dxa"/>
              <w:end w:w="110" w:type="dxa"/>
            </w:tcMar>
            <w:shd w:fill="F4F6F7"/>
          </w:tcPr>
          <w:p>
            <w:pPr>
              <w:widowControl/>
              <w:spacing w:after="0"/>
            </w:pPr>
            <w:r>
              <w:rPr>
                <w:rFonts w:ascii="Arial" w:hAnsi="Arial"/>
                <w:sz w:val="17"/>
              </w:rPr>
              <w:t>34.50</w:t>
            </w:r>
          </w:p>
        </w:tc>
        <w:tc>
          <w:tcPr>
            <w:tcW w:type="dxa" w:w="3120"/>
            <w:tcMar>
              <w:top w:w="70" w:type="dxa"/>
              <w:start w:w="110" w:type="dxa"/>
              <w:bottom w:w="70" w:type="dxa"/>
              <w:end w:w="110" w:type="dxa"/>
            </w:tcMar>
            <w:shd w:fill="F4F6F7"/>
          </w:tcPr>
          <w:p>
            <w:pPr>
              <w:widowControl/>
              <w:spacing w:after="0"/>
            </w:pPr>
            <w:r>
              <w:rPr>
                <w:rFonts w:ascii="Arial" w:hAnsi="Arial"/>
                <w:sz w:val="17"/>
              </w:rPr>
              <w:t>OTHER M&amp;B COATS, SILK  BLENDS/VEGETABLE FIBER</w:t>
            </w:r>
          </w:p>
        </w:tc>
        <w:tc>
          <w:tcPr>
            <w:tcW w:type="dxa" w:w="3120"/>
            <w:tcMar>
              <w:top w:w="70" w:type="dxa"/>
              <w:start w:w="110" w:type="dxa"/>
              <w:bottom w:w="70" w:type="dxa"/>
              <w:end w:w="110" w:type="dxa"/>
            </w:tcMar>
            <w:shd w:fill="F4F6F7"/>
          </w:tcPr>
          <w:p>
            <w:pPr>
              <w:widowControl/>
              <w:spacing w:after="0"/>
            </w:pPr>
            <w:r>
              <w:rPr>
                <w:rFonts w:ascii="Arial" w:hAnsi="Arial"/>
                <w:sz w:val="17"/>
              </w:rPr>
              <w:t>DZ</w:t>
            </w:r>
          </w:p>
        </w:tc>
      </w:tr>
      <w:tr>
        <w:trPr>
          <w:cantSplit/>
        </w:trPr>
        <w:tc>
          <w:tcPr>
            <w:tcW w:type="dxa" w:w="3120"/>
            <w:tcMar>
              <w:top w:w="70" w:type="dxa"/>
              <w:start w:w="110" w:type="dxa"/>
              <w:bottom w:w="70" w:type="dxa"/>
              <w:end w:w="110" w:type="dxa"/>
            </w:tcMar>
          </w:tcPr>
          <w:p>
            <w:pPr>
              <w:widowControl/>
              <w:spacing w:after="0"/>
            </w:pPr>
            <w:r>
              <w:rPr>
                <w:rFonts w:ascii="Arial" w:hAnsi="Arial"/>
                <w:sz w:val="17"/>
              </w:rPr>
              <w:t>34.50</w:t>
            </w:r>
          </w:p>
        </w:tc>
        <w:tc>
          <w:tcPr>
            <w:tcW w:type="dxa" w:w="3120"/>
            <w:tcMar>
              <w:top w:w="70" w:type="dxa"/>
              <w:start w:w="110" w:type="dxa"/>
              <w:bottom w:w="70" w:type="dxa"/>
              <w:end w:w="110" w:type="dxa"/>
            </w:tcMar>
          </w:tcPr>
          <w:p>
            <w:pPr>
              <w:widowControl/>
              <w:spacing w:after="0"/>
            </w:pPr>
            <w:r>
              <w:rPr>
                <w:rFonts w:ascii="Arial" w:hAnsi="Arial"/>
                <w:sz w:val="17"/>
              </w:rPr>
              <w:t>W&amp;G COATS, SILK BLENDS/VEGETABLE  FIBER</w:t>
            </w:r>
          </w:p>
        </w:tc>
        <w:tc>
          <w:tcPr>
            <w:tcW w:type="dxa" w:w="3120"/>
            <w:tcMar>
              <w:top w:w="70" w:type="dxa"/>
              <w:start w:w="110" w:type="dxa"/>
              <w:bottom w:w="70" w:type="dxa"/>
              <w:end w:w="110" w:type="dxa"/>
            </w:tcMar>
          </w:tcPr>
          <w:p>
            <w:pPr>
              <w:widowControl/>
              <w:spacing w:after="0"/>
            </w:pPr>
            <w:r>
              <w:rPr>
                <w:rFonts w:ascii="Arial" w:hAnsi="Arial"/>
                <w:sz w:val="17"/>
              </w:rPr>
              <w:t>DZ</w:t>
            </w:r>
          </w:p>
        </w:tc>
      </w:tr>
      <w:tr>
        <w:trPr>
          <w:cantSplit/>
        </w:trPr>
        <w:tc>
          <w:tcPr>
            <w:tcW w:type="dxa" w:w="3120"/>
            <w:tcMar>
              <w:top w:w="70" w:type="dxa"/>
              <w:start w:w="110" w:type="dxa"/>
              <w:bottom w:w="70" w:type="dxa"/>
              <w:end w:w="110" w:type="dxa"/>
            </w:tcMar>
            <w:shd w:fill="F4F6F7"/>
          </w:tcPr>
          <w:p>
            <w:pPr>
              <w:widowControl/>
              <w:spacing w:after="0"/>
            </w:pPr>
            <w:r>
              <w:rPr>
                <w:rFonts w:ascii="Arial" w:hAnsi="Arial"/>
                <w:sz w:val="17"/>
              </w:rPr>
              <w:t>37.90</w:t>
            </w:r>
          </w:p>
        </w:tc>
        <w:tc>
          <w:tcPr>
            <w:tcW w:type="dxa" w:w="3120"/>
            <w:tcMar>
              <w:top w:w="70" w:type="dxa"/>
              <w:start w:w="110" w:type="dxa"/>
              <w:bottom w:w="70" w:type="dxa"/>
              <w:end w:w="110" w:type="dxa"/>
            </w:tcMar>
            <w:shd w:fill="F4F6F7"/>
          </w:tcPr>
          <w:p>
            <w:pPr>
              <w:widowControl/>
              <w:spacing w:after="0"/>
            </w:pPr>
            <w:r>
              <w:rPr>
                <w:rFonts w:ascii="Arial" w:hAnsi="Arial"/>
                <w:sz w:val="17"/>
              </w:rPr>
              <w:t>DRESSES, SILK BLENDS/VEGETABLE  FIBER</w:t>
            </w:r>
          </w:p>
        </w:tc>
        <w:tc>
          <w:tcPr>
            <w:tcW w:type="dxa" w:w="3120"/>
            <w:tcMar>
              <w:top w:w="70" w:type="dxa"/>
              <w:start w:w="110" w:type="dxa"/>
              <w:bottom w:w="70" w:type="dxa"/>
              <w:end w:w="110" w:type="dxa"/>
            </w:tcMar>
            <w:shd w:fill="F4F6F7"/>
          </w:tcPr>
          <w:p>
            <w:pPr>
              <w:widowControl/>
              <w:spacing w:after="0"/>
            </w:pPr>
            <w:r>
              <w:rPr>
                <w:rFonts w:ascii="Arial" w:hAnsi="Arial"/>
                <w:sz w:val="17"/>
              </w:rPr>
              <w:t>DZ</w:t>
            </w:r>
          </w:p>
        </w:tc>
      </w:tr>
      <w:tr>
        <w:trPr>
          <w:cantSplit/>
        </w:trPr>
        <w:tc>
          <w:tcPr>
            <w:tcW w:type="dxa" w:w="3120"/>
            <w:tcMar>
              <w:top w:w="70" w:type="dxa"/>
              <w:start w:w="110" w:type="dxa"/>
              <w:bottom w:w="70" w:type="dxa"/>
              <w:end w:w="110" w:type="dxa"/>
            </w:tcMar>
          </w:tcPr>
          <w:p>
            <w:pPr>
              <w:widowControl/>
              <w:spacing w:after="0"/>
            </w:pPr>
            <w:r>
              <w:rPr>
                <w:rFonts w:ascii="Arial" w:hAnsi="Arial"/>
                <w:sz w:val="17"/>
              </w:rPr>
              <w:t>11.70</w:t>
            </w:r>
          </w:p>
        </w:tc>
        <w:tc>
          <w:tcPr>
            <w:tcW w:type="dxa" w:w="3120"/>
            <w:tcMar>
              <w:top w:w="70" w:type="dxa"/>
              <w:start w:w="110" w:type="dxa"/>
              <w:bottom w:w="70" w:type="dxa"/>
              <w:end w:w="110" w:type="dxa"/>
            </w:tcMar>
          </w:tcPr>
          <w:p>
            <w:pPr>
              <w:widowControl/>
              <w:spacing w:after="0"/>
            </w:pPr>
            <w:r>
              <w:rPr>
                <w:rFonts w:ascii="Arial" w:hAnsi="Arial"/>
                <w:sz w:val="17"/>
              </w:rPr>
              <w:t>KNIT SHIRTS &amp; BLOUSES, SILK  BLENDS/VEGETABLE FIBER</w:t>
            </w:r>
          </w:p>
        </w:tc>
        <w:tc>
          <w:tcPr>
            <w:tcW w:type="dxa" w:w="3120"/>
            <w:tcMar>
              <w:top w:w="70" w:type="dxa"/>
              <w:start w:w="110" w:type="dxa"/>
              <w:bottom w:w="70" w:type="dxa"/>
              <w:end w:w="110" w:type="dxa"/>
            </w:tcMar>
          </w:tcPr>
          <w:p>
            <w:pPr>
              <w:widowControl/>
              <w:spacing w:after="0"/>
            </w:pPr>
            <w:r>
              <w:rPr>
                <w:rFonts w:ascii="Arial" w:hAnsi="Arial"/>
                <w:sz w:val="17"/>
              </w:rPr>
              <w:t>DZ</w:t>
            </w:r>
          </w:p>
        </w:tc>
      </w:tr>
      <w:tr>
        <w:trPr>
          <w:cantSplit/>
        </w:trPr>
        <w:tc>
          <w:tcPr>
            <w:tcW w:type="dxa" w:w="3120"/>
            <w:tcMar>
              <w:top w:w="70" w:type="dxa"/>
              <w:start w:w="110" w:type="dxa"/>
              <w:bottom w:w="70" w:type="dxa"/>
              <w:end w:w="110" w:type="dxa"/>
            </w:tcMar>
            <w:shd w:fill="F4F6F7"/>
          </w:tcPr>
          <w:p>
            <w:pPr>
              <w:widowControl/>
              <w:spacing w:after="0"/>
            </w:pPr>
            <w:r>
              <w:rPr>
                <w:rFonts w:ascii="Arial" w:hAnsi="Arial"/>
                <w:sz w:val="17"/>
              </w:rPr>
              <w:t>6.30</w:t>
            </w:r>
          </w:p>
        </w:tc>
        <w:tc>
          <w:tcPr>
            <w:tcW w:type="dxa" w:w="3120"/>
            <w:tcMar>
              <w:top w:w="70" w:type="dxa"/>
              <w:start w:w="110" w:type="dxa"/>
              <w:bottom w:w="70" w:type="dxa"/>
              <w:end w:w="110" w:type="dxa"/>
            </w:tcMar>
            <w:shd w:fill="F4F6F7"/>
          </w:tcPr>
          <w:p>
            <w:pPr>
              <w:widowControl/>
              <w:spacing w:after="0"/>
            </w:pPr>
            <w:r>
              <w:rPr>
                <w:rFonts w:ascii="Arial" w:hAnsi="Arial"/>
                <w:sz w:val="17"/>
              </w:rPr>
              <w:t>BABIES’ GARM &amp; CLOTHING  ACCESSORIES, SILK/VEG FIBER</w:t>
            </w:r>
          </w:p>
        </w:tc>
        <w:tc>
          <w:tcPr>
            <w:tcW w:type="dxa" w:w="3120"/>
            <w:tcMar>
              <w:top w:w="70" w:type="dxa"/>
              <w:start w:w="110" w:type="dxa"/>
              <w:bottom w:w="70" w:type="dxa"/>
              <w:end w:w="110" w:type="dxa"/>
            </w:tcMar>
            <w:shd w:fill="F4F6F7"/>
          </w:tcPr>
          <w:p>
            <w:pPr>
              <w:widowControl/>
              <w:spacing w:after="0"/>
            </w:pPr>
            <w:r>
              <w:rPr>
                <w:rFonts w:ascii="Arial" w:hAnsi="Arial"/>
                <w:sz w:val="17"/>
              </w:rPr>
              <w:t>KG</w:t>
            </w:r>
          </w:p>
        </w:tc>
      </w:tr>
      <w:tr>
        <w:trPr>
          <w:cantSplit/>
        </w:trPr>
        <w:tc>
          <w:tcPr>
            <w:tcW w:type="dxa" w:w="3120"/>
            <w:tcMar>
              <w:top w:w="70" w:type="dxa"/>
              <w:start w:w="110" w:type="dxa"/>
              <w:bottom w:w="70" w:type="dxa"/>
              <w:end w:w="110" w:type="dxa"/>
            </w:tcMar>
          </w:tcPr>
          <w:p>
            <w:pPr>
              <w:widowControl/>
              <w:spacing w:after="0"/>
            </w:pPr>
            <w:r>
              <w:rPr>
                <w:rFonts w:ascii="Arial" w:hAnsi="Arial"/>
                <w:sz w:val="17"/>
              </w:rPr>
              <w:t>16.70</w:t>
            </w:r>
          </w:p>
        </w:tc>
        <w:tc>
          <w:tcPr>
            <w:tcW w:type="dxa" w:w="3120"/>
            <w:tcMar>
              <w:top w:w="70" w:type="dxa"/>
              <w:start w:w="110" w:type="dxa"/>
              <w:bottom w:w="70" w:type="dxa"/>
              <w:end w:w="110" w:type="dxa"/>
            </w:tcMar>
          </w:tcPr>
          <w:p>
            <w:pPr>
              <w:widowControl/>
              <w:spacing w:after="0"/>
            </w:pPr>
            <w:r>
              <w:rPr>
                <w:rFonts w:ascii="Arial" w:hAnsi="Arial"/>
                <w:sz w:val="17"/>
              </w:rPr>
              <w:t>NOT KNIT SHIRTS &amp; BLOUSES, SILK  BLENDS/ VEGETABLE FIBER</w:t>
            </w:r>
          </w:p>
        </w:tc>
        <w:tc>
          <w:tcPr>
            <w:tcW w:type="dxa" w:w="3120"/>
            <w:tcMar>
              <w:top w:w="70" w:type="dxa"/>
              <w:start w:w="110" w:type="dxa"/>
              <w:bottom w:w="70" w:type="dxa"/>
              <w:end w:w="110" w:type="dxa"/>
            </w:tcMar>
          </w:tcPr>
          <w:p>
            <w:pPr>
              <w:widowControl/>
              <w:spacing w:after="0"/>
            </w:pPr>
            <w:r>
              <w:rPr>
                <w:rFonts w:ascii="Arial" w:hAnsi="Arial"/>
                <w:sz w:val="17"/>
              </w:rPr>
              <w:t>DZ</w:t>
            </w:r>
          </w:p>
        </w:tc>
      </w:tr>
      <w:tr>
        <w:trPr>
          <w:cantSplit/>
        </w:trPr>
        <w:tc>
          <w:tcPr>
            <w:tcW w:type="dxa" w:w="3120"/>
            <w:tcMar>
              <w:top w:w="70" w:type="dxa"/>
              <w:start w:w="110" w:type="dxa"/>
              <w:bottom w:w="70" w:type="dxa"/>
              <w:end w:w="110" w:type="dxa"/>
            </w:tcMar>
            <w:shd w:fill="F4F6F7"/>
          </w:tcPr>
          <w:p>
            <w:pPr>
              <w:widowControl/>
              <w:spacing w:after="0"/>
            </w:pPr>
            <w:r>
              <w:rPr>
                <w:rFonts w:ascii="Arial" w:hAnsi="Arial"/>
                <w:sz w:val="17"/>
              </w:rPr>
              <w:t>14.90</w:t>
            </w:r>
          </w:p>
        </w:tc>
        <w:tc>
          <w:tcPr>
            <w:tcW w:type="dxa" w:w="3120"/>
            <w:tcMar>
              <w:top w:w="70" w:type="dxa"/>
              <w:start w:w="110" w:type="dxa"/>
              <w:bottom w:w="70" w:type="dxa"/>
              <w:end w:w="110" w:type="dxa"/>
            </w:tcMar>
            <w:shd w:fill="F4F6F7"/>
          </w:tcPr>
          <w:p>
            <w:pPr>
              <w:widowControl/>
              <w:spacing w:after="0"/>
            </w:pPr>
            <w:r>
              <w:rPr>
                <w:rFonts w:ascii="Arial" w:hAnsi="Arial"/>
                <w:sz w:val="17"/>
              </w:rPr>
              <w:t>SKIRTS, SILK BLENDS/VEGETABLE FIBERS</w:t>
            </w:r>
          </w:p>
        </w:tc>
        <w:tc>
          <w:tcPr>
            <w:tcW w:type="dxa" w:w="3120"/>
            <w:tcMar>
              <w:top w:w="70" w:type="dxa"/>
              <w:start w:w="110" w:type="dxa"/>
              <w:bottom w:w="70" w:type="dxa"/>
              <w:end w:w="110" w:type="dxa"/>
            </w:tcMar>
            <w:shd w:fill="F4F6F7"/>
          </w:tcPr>
          <w:p>
            <w:pPr>
              <w:widowControl/>
              <w:spacing w:after="0"/>
            </w:pPr>
            <w:r>
              <w:rPr>
                <w:rFonts w:ascii="Arial" w:hAnsi="Arial"/>
                <w:sz w:val="17"/>
              </w:rPr>
              <w:t>DZ</w:t>
            </w:r>
          </w:p>
        </w:tc>
      </w:tr>
      <w:tr>
        <w:trPr>
          <w:cantSplit/>
        </w:trPr>
        <w:tc>
          <w:tcPr>
            <w:tcW w:type="dxa" w:w="3120"/>
            <w:tcMar>
              <w:top w:w="70" w:type="dxa"/>
              <w:start w:w="110" w:type="dxa"/>
              <w:bottom w:w="70" w:type="dxa"/>
              <w:end w:w="110" w:type="dxa"/>
            </w:tcMar>
          </w:tcPr>
          <w:p>
            <w:pPr>
              <w:widowControl/>
              <w:spacing w:after="0"/>
            </w:pPr>
            <w:r>
              <w:rPr>
                <w:rFonts w:ascii="Arial" w:hAnsi="Arial"/>
                <w:sz w:val="17"/>
              </w:rPr>
              <w:t>3.76</w:t>
            </w:r>
          </w:p>
        </w:tc>
        <w:tc>
          <w:tcPr>
            <w:tcW w:type="dxa" w:w="3120"/>
            <w:tcMar>
              <w:top w:w="70" w:type="dxa"/>
              <w:start w:w="110" w:type="dxa"/>
              <w:bottom w:w="70" w:type="dxa"/>
              <w:end w:w="110" w:type="dxa"/>
            </w:tcMar>
          </w:tcPr>
          <w:p>
            <w:pPr>
              <w:widowControl/>
              <w:spacing w:after="0"/>
            </w:pPr>
            <w:r>
              <w:rPr>
                <w:rFonts w:ascii="Arial" w:hAnsi="Arial"/>
                <w:sz w:val="17"/>
              </w:rPr>
              <w:t>M&amp;B SUITS, SILK BLENDS/VEGETABLE  FIBER</w:t>
            </w:r>
          </w:p>
        </w:tc>
        <w:tc>
          <w:tcPr>
            <w:tcW w:type="dxa" w:w="3120"/>
            <w:tcMar>
              <w:top w:w="70" w:type="dxa"/>
              <w:start w:w="110" w:type="dxa"/>
              <w:bottom w:w="70" w:type="dxa"/>
              <w:end w:w="110" w:type="dxa"/>
            </w:tcMar>
          </w:tcPr>
          <w:p>
            <w:pPr>
              <w:widowControl/>
              <w:spacing w:after="0"/>
            </w:pPr>
            <w:r>
              <w:rPr>
                <w:rFonts w:ascii="Arial" w:hAnsi="Arial"/>
                <w:sz w:val="17"/>
              </w:rPr>
              <w:t>NO</w:t>
            </w:r>
          </w:p>
        </w:tc>
      </w:tr>
      <w:tr>
        <w:trPr>
          <w:cantSplit/>
        </w:trPr>
        <w:tc>
          <w:tcPr>
            <w:tcW w:type="dxa" w:w="3120"/>
            <w:tcMar>
              <w:top w:w="70" w:type="dxa"/>
              <w:start w:w="110" w:type="dxa"/>
              <w:bottom w:w="70" w:type="dxa"/>
              <w:end w:w="110" w:type="dxa"/>
            </w:tcMar>
            <w:shd w:fill="F4F6F7"/>
          </w:tcPr>
          <w:p>
            <w:pPr>
              <w:widowControl/>
              <w:spacing w:after="0"/>
            </w:pPr>
            <w:r>
              <w:rPr>
                <w:rFonts w:ascii="Arial" w:hAnsi="Arial"/>
                <w:sz w:val="17"/>
              </w:rPr>
              <w:t>3.76</w:t>
            </w:r>
          </w:p>
        </w:tc>
        <w:tc>
          <w:tcPr>
            <w:tcW w:type="dxa" w:w="3120"/>
            <w:tcMar>
              <w:top w:w="70" w:type="dxa"/>
              <w:start w:w="110" w:type="dxa"/>
              <w:bottom w:w="70" w:type="dxa"/>
              <w:end w:w="110" w:type="dxa"/>
            </w:tcMar>
            <w:shd w:fill="F4F6F7"/>
          </w:tcPr>
          <w:p>
            <w:pPr>
              <w:widowControl/>
              <w:spacing w:after="0"/>
            </w:pPr>
            <w:r>
              <w:rPr>
                <w:rFonts w:ascii="Arial" w:hAnsi="Arial"/>
                <w:sz w:val="17"/>
              </w:rPr>
              <w:t>W&amp;G SUITS, SILK BLENDS/VEGETABLE  FIBER</w:t>
            </w:r>
          </w:p>
        </w:tc>
        <w:tc>
          <w:tcPr>
            <w:tcW w:type="dxa" w:w="3120"/>
            <w:tcMar>
              <w:top w:w="70" w:type="dxa"/>
              <w:start w:w="110" w:type="dxa"/>
              <w:bottom w:w="70" w:type="dxa"/>
              <w:end w:w="110" w:type="dxa"/>
            </w:tcMar>
            <w:shd w:fill="F4F6F7"/>
          </w:tcPr>
          <w:p>
            <w:pPr>
              <w:widowControl/>
              <w:spacing w:after="0"/>
            </w:pPr>
            <w:r>
              <w:rPr>
                <w:rFonts w:ascii="Arial" w:hAnsi="Arial"/>
                <w:sz w:val="17"/>
              </w:rPr>
              <w:t>NO</w:t>
            </w:r>
          </w:p>
        </w:tc>
      </w:tr>
      <w:tr>
        <w:trPr>
          <w:cantSplit/>
        </w:trPr>
        <w:tc>
          <w:tcPr>
            <w:tcW w:type="dxa" w:w="3120"/>
            <w:tcMar>
              <w:top w:w="70" w:type="dxa"/>
              <w:start w:w="110" w:type="dxa"/>
              <w:bottom w:w="70" w:type="dxa"/>
              <w:end w:w="110" w:type="dxa"/>
            </w:tcMar>
          </w:tcPr>
          <w:p>
            <w:pPr>
              <w:widowControl/>
              <w:spacing w:after="0"/>
            </w:pPr>
            <w:r>
              <w:rPr>
                <w:rFonts w:ascii="Arial" w:hAnsi="Arial"/>
                <w:sz w:val="17"/>
              </w:rPr>
              <w:t>30.80</w:t>
            </w:r>
          </w:p>
        </w:tc>
        <w:tc>
          <w:tcPr>
            <w:tcW w:type="dxa" w:w="3120"/>
            <w:tcMar>
              <w:top w:w="70" w:type="dxa"/>
              <w:start w:w="110" w:type="dxa"/>
              <w:bottom w:w="70" w:type="dxa"/>
              <w:end w:w="110" w:type="dxa"/>
            </w:tcMar>
          </w:tcPr>
          <w:p>
            <w:pPr>
              <w:widowControl/>
              <w:spacing w:after="0"/>
            </w:pPr>
            <w:r>
              <w:rPr>
                <w:rFonts w:ascii="Arial" w:hAnsi="Arial"/>
                <w:sz w:val="17"/>
              </w:rPr>
              <w:t>SWEATERS, NON-COTTON VEGETABLE  FIBERS</w:t>
            </w:r>
          </w:p>
        </w:tc>
        <w:tc>
          <w:tcPr>
            <w:tcW w:type="dxa" w:w="3120"/>
            <w:tcMar>
              <w:top w:w="70" w:type="dxa"/>
              <w:start w:w="110" w:type="dxa"/>
              <w:bottom w:w="70" w:type="dxa"/>
              <w:end w:w="110" w:type="dxa"/>
            </w:tcMar>
          </w:tcPr>
          <w:p>
            <w:pPr>
              <w:widowControl/>
              <w:spacing w:after="0"/>
            </w:pPr>
            <w:r>
              <w:rPr>
                <w:rFonts w:ascii="Arial" w:hAnsi="Arial"/>
                <w:sz w:val="17"/>
              </w:rPr>
              <w:t>DZ</w:t>
            </w:r>
          </w:p>
        </w:tc>
      </w:tr>
      <w:tr>
        <w:trPr>
          <w:cantSplit/>
        </w:trPr>
        <w:tc>
          <w:tcPr>
            <w:tcW w:type="dxa" w:w="3120"/>
            <w:tcMar>
              <w:top w:w="70" w:type="dxa"/>
              <w:start w:w="110" w:type="dxa"/>
              <w:bottom w:w="70" w:type="dxa"/>
              <w:end w:w="110" w:type="dxa"/>
            </w:tcMar>
            <w:shd w:fill="F4F6F7"/>
          </w:tcPr>
          <w:p>
            <w:pPr>
              <w:widowControl/>
              <w:spacing w:after="0"/>
            </w:pPr>
            <w:r>
              <w:rPr>
                <w:rFonts w:ascii="Arial" w:hAnsi="Arial"/>
                <w:sz w:val="17"/>
              </w:rPr>
              <w:t>30.80</w:t>
            </w:r>
          </w:p>
        </w:tc>
        <w:tc>
          <w:tcPr>
            <w:tcW w:type="dxa" w:w="3120"/>
            <w:tcMar>
              <w:top w:w="70" w:type="dxa"/>
              <w:start w:w="110" w:type="dxa"/>
              <w:bottom w:w="70" w:type="dxa"/>
              <w:end w:w="110" w:type="dxa"/>
            </w:tcMar>
            <w:shd w:fill="F4F6F7"/>
          </w:tcPr>
          <w:p>
            <w:pPr>
              <w:widowControl/>
              <w:spacing w:after="0"/>
            </w:pPr>
            <w:r>
              <w:rPr>
                <w:rFonts w:ascii="Arial" w:hAnsi="Arial"/>
                <w:sz w:val="17"/>
              </w:rPr>
              <w:t>SWEATERS, SILK BLENDS</w:t>
            </w:r>
          </w:p>
        </w:tc>
        <w:tc>
          <w:tcPr>
            <w:tcW w:type="dxa" w:w="3120"/>
            <w:tcMar>
              <w:top w:w="70" w:type="dxa"/>
              <w:start w:w="110" w:type="dxa"/>
              <w:bottom w:w="70" w:type="dxa"/>
              <w:end w:w="110" w:type="dxa"/>
            </w:tcMar>
            <w:shd w:fill="F4F6F7"/>
          </w:tcPr>
          <w:p>
            <w:pPr>
              <w:widowControl/>
              <w:spacing w:after="0"/>
            </w:pPr>
            <w:r>
              <w:rPr>
                <w:rFonts w:ascii="Arial" w:hAnsi="Arial"/>
                <w:sz w:val="17"/>
              </w:rPr>
              <w:t>DZ</w:t>
            </w:r>
          </w:p>
        </w:tc>
      </w:tr>
      <w:tr>
        <w:trPr>
          <w:cantSplit/>
        </w:trPr>
        <w:tc>
          <w:tcPr>
            <w:tcW w:type="dxa" w:w="3120"/>
            <w:tcMar>
              <w:top w:w="70" w:type="dxa"/>
              <w:start w:w="110" w:type="dxa"/>
              <w:bottom w:w="70" w:type="dxa"/>
              <w:end w:w="110" w:type="dxa"/>
            </w:tcMar>
          </w:tcPr>
          <w:p>
            <w:pPr>
              <w:widowControl/>
              <w:spacing w:after="0"/>
            </w:pPr>
            <w:r>
              <w:rPr>
                <w:rFonts w:ascii="Arial" w:hAnsi="Arial"/>
                <w:sz w:val="17"/>
              </w:rPr>
              <w:t>14.90</w:t>
            </w:r>
          </w:p>
        </w:tc>
        <w:tc>
          <w:tcPr>
            <w:tcW w:type="dxa" w:w="3120"/>
            <w:tcMar>
              <w:top w:w="70" w:type="dxa"/>
              <w:start w:w="110" w:type="dxa"/>
              <w:bottom w:w="70" w:type="dxa"/>
              <w:end w:w="110" w:type="dxa"/>
            </w:tcMar>
          </w:tcPr>
          <w:p>
            <w:pPr>
              <w:widowControl/>
              <w:spacing w:after="0"/>
            </w:pPr>
            <w:r>
              <w:rPr>
                <w:rFonts w:ascii="Arial" w:hAnsi="Arial"/>
                <w:sz w:val="17"/>
              </w:rPr>
              <w:t>TROUSERS/BREECHES/SHORTS, SILK  BLENDS/ VEGETABLE FIBER</w:t>
            </w:r>
          </w:p>
        </w:tc>
        <w:tc>
          <w:tcPr>
            <w:tcW w:type="dxa" w:w="3120"/>
            <w:tcMar>
              <w:top w:w="70" w:type="dxa"/>
              <w:start w:w="110" w:type="dxa"/>
              <w:bottom w:w="70" w:type="dxa"/>
              <w:end w:w="110" w:type="dxa"/>
            </w:tcMar>
          </w:tcPr>
          <w:p>
            <w:pPr>
              <w:widowControl/>
              <w:spacing w:after="0"/>
            </w:pPr>
            <w:r>
              <w:rPr>
                <w:rFonts w:ascii="Arial" w:hAnsi="Arial"/>
                <w:sz w:val="17"/>
              </w:rPr>
              <w:t>DZ</w:t>
            </w:r>
          </w:p>
        </w:tc>
      </w:tr>
      <w:tr>
        <w:trPr>
          <w:cantSplit/>
        </w:trPr>
        <w:tc>
          <w:tcPr>
            <w:tcW w:type="dxa" w:w="3120"/>
            <w:tcMar>
              <w:top w:w="70" w:type="dxa"/>
              <w:start w:w="110" w:type="dxa"/>
              <w:bottom w:w="70" w:type="dxa"/>
              <w:end w:w="110" w:type="dxa"/>
            </w:tcMar>
            <w:shd w:fill="F4F6F7"/>
          </w:tcPr>
          <w:p>
            <w:pPr>
              <w:widowControl/>
              <w:spacing w:after="0"/>
            </w:pPr>
            <w:r>
              <w:rPr>
                <w:rFonts w:ascii="Arial" w:hAnsi="Arial"/>
                <w:sz w:val="17"/>
              </w:rPr>
              <w:t>42.60</w:t>
            </w:r>
          </w:p>
        </w:tc>
        <w:tc>
          <w:tcPr>
            <w:tcW w:type="dxa" w:w="3120"/>
            <w:tcMar>
              <w:top w:w="70" w:type="dxa"/>
              <w:start w:w="110" w:type="dxa"/>
              <w:bottom w:w="70" w:type="dxa"/>
              <w:end w:w="110" w:type="dxa"/>
            </w:tcMar>
            <w:shd w:fill="F4F6F7"/>
          </w:tcPr>
          <w:p>
            <w:pPr>
              <w:widowControl/>
              <w:spacing w:after="0"/>
            </w:pPr>
            <w:r>
              <w:rPr>
                <w:rFonts w:ascii="Arial" w:hAnsi="Arial"/>
                <w:sz w:val="17"/>
              </w:rPr>
              <w:t>ROBES, DRESSING GOWNS, ETC, SILK  BLENDS/ VEGETABLE FIBER</w:t>
            </w:r>
          </w:p>
        </w:tc>
        <w:tc>
          <w:tcPr>
            <w:tcW w:type="dxa" w:w="3120"/>
            <w:tcMar>
              <w:top w:w="70" w:type="dxa"/>
              <w:start w:w="110" w:type="dxa"/>
              <w:bottom w:w="70" w:type="dxa"/>
              <w:end w:w="110" w:type="dxa"/>
            </w:tcMar>
            <w:shd w:fill="F4F6F7"/>
          </w:tcPr>
          <w:p>
            <w:pPr>
              <w:widowControl/>
              <w:spacing w:after="0"/>
            </w:pPr>
            <w:r>
              <w:rPr>
                <w:rFonts w:ascii="Arial" w:hAnsi="Arial"/>
                <w:sz w:val="17"/>
              </w:rPr>
              <w:t>DZ</w:t>
            </w:r>
          </w:p>
        </w:tc>
      </w:tr>
      <w:tr>
        <w:trPr>
          <w:cantSplit/>
        </w:trPr>
        <w:tc>
          <w:tcPr>
            <w:tcW w:type="dxa" w:w="3120"/>
            <w:tcMar>
              <w:top w:w="70" w:type="dxa"/>
              <w:start w:w="110" w:type="dxa"/>
              <w:bottom w:w="70" w:type="dxa"/>
              <w:end w:w="110" w:type="dxa"/>
            </w:tcMar>
          </w:tcPr>
          <w:p>
            <w:pPr>
              <w:widowControl/>
              <w:spacing w:after="0"/>
            </w:pPr>
            <w:r>
              <w:rPr>
                <w:rFonts w:ascii="Arial" w:hAnsi="Arial"/>
                <w:sz w:val="17"/>
              </w:rPr>
              <w:t>43.50</w:t>
            </w:r>
          </w:p>
        </w:tc>
        <w:tc>
          <w:tcPr>
            <w:tcW w:type="dxa" w:w="3120"/>
            <w:tcMar>
              <w:top w:w="70" w:type="dxa"/>
              <w:start w:w="110" w:type="dxa"/>
              <w:bottom w:w="70" w:type="dxa"/>
              <w:end w:w="110" w:type="dxa"/>
            </w:tcMar>
          </w:tcPr>
          <w:p>
            <w:pPr>
              <w:widowControl/>
              <w:spacing w:after="0"/>
            </w:pPr>
            <w:r>
              <w:rPr>
                <w:rFonts w:ascii="Arial" w:hAnsi="Arial"/>
                <w:sz w:val="17"/>
              </w:rPr>
              <w:t>NIGHTWEAR &amp; PYJAMAS, SILK BLENDS/  VEGETABLE FIBER</w:t>
            </w:r>
          </w:p>
        </w:tc>
        <w:tc>
          <w:tcPr>
            <w:tcW w:type="dxa" w:w="3120"/>
            <w:tcMar>
              <w:top w:w="70" w:type="dxa"/>
              <w:start w:w="110" w:type="dxa"/>
              <w:bottom w:w="70" w:type="dxa"/>
              <w:end w:w="110" w:type="dxa"/>
            </w:tcMar>
          </w:tcPr>
          <w:p>
            <w:pPr>
              <w:widowControl/>
              <w:spacing w:after="0"/>
            </w:pPr>
            <w:r>
              <w:rPr>
                <w:rFonts w:ascii="Arial" w:hAnsi="Arial"/>
                <w:sz w:val="17"/>
              </w:rPr>
              <w:t>DZ</w:t>
            </w:r>
          </w:p>
        </w:tc>
      </w:tr>
      <w:tr>
        <w:trPr>
          <w:cantSplit/>
        </w:trPr>
        <w:tc>
          <w:tcPr>
            <w:tcW w:type="dxa" w:w="3120"/>
            <w:tcMar>
              <w:top w:w="70" w:type="dxa"/>
              <w:start w:w="110" w:type="dxa"/>
              <w:bottom w:w="70" w:type="dxa"/>
              <w:end w:w="110" w:type="dxa"/>
            </w:tcMar>
            <w:shd w:fill="F4F6F7"/>
          </w:tcPr>
          <w:p>
            <w:pPr>
              <w:widowControl/>
              <w:spacing w:after="0"/>
            </w:pPr>
            <w:r>
              <w:rPr>
                <w:rFonts w:ascii="Arial" w:hAnsi="Arial"/>
                <w:sz w:val="17"/>
              </w:rPr>
              <w:t>11.30</w:t>
            </w:r>
          </w:p>
        </w:tc>
        <w:tc>
          <w:tcPr>
            <w:tcW w:type="dxa" w:w="3120"/>
            <w:tcMar>
              <w:top w:w="70" w:type="dxa"/>
              <w:start w:w="110" w:type="dxa"/>
              <w:bottom w:w="70" w:type="dxa"/>
              <w:end w:w="110" w:type="dxa"/>
            </w:tcMar>
            <w:shd w:fill="F4F6F7"/>
          </w:tcPr>
          <w:p>
            <w:pPr>
              <w:widowControl/>
              <w:spacing w:after="0"/>
            </w:pPr>
            <w:r>
              <w:rPr>
                <w:rFonts w:ascii="Arial" w:hAnsi="Arial"/>
                <w:sz w:val="17"/>
              </w:rPr>
              <w:t>UNDERWEAR, SILK BLENDS/VEGETABLE  FIBER</w:t>
            </w:r>
          </w:p>
        </w:tc>
        <w:tc>
          <w:tcPr>
            <w:tcW w:type="dxa" w:w="3120"/>
            <w:tcMar>
              <w:top w:w="70" w:type="dxa"/>
              <w:start w:w="110" w:type="dxa"/>
              <w:bottom w:w="70" w:type="dxa"/>
              <w:end w:w="110" w:type="dxa"/>
            </w:tcMar>
            <w:shd w:fill="F4F6F7"/>
          </w:tcPr>
          <w:p>
            <w:pPr>
              <w:widowControl/>
              <w:spacing w:after="0"/>
            </w:pPr>
            <w:r>
              <w:rPr>
                <w:rFonts w:ascii="Arial" w:hAnsi="Arial"/>
                <w:sz w:val="17"/>
              </w:rPr>
              <w:t>DZ</w:t>
            </w:r>
          </w:p>
        </w:tc>
      </w:tr>
      <w:tr>
        <w:trPr>
          <w:cantSplit/>
        </w:trPr>
        <w:tc>
          <w:tcPr>
            <w:tcW w:type="dxa" w:w="3120"/>
            <w:tcMar>
              <w:top w:w="70" w:type="dxa"/>
              <w:start w:w="110" w:type="dxa"/>
              <w:bottom w:w="70" w:type="dxa"/>
              <w:end w:w="110" w:type="dxa"/>
            </w:tcMar>
          </w:tcPr>
          <w:p>
            <w:pPr>
              <w:widowControl/>
              <w:spacing w:after="0"/>
            </w:pPr>
            <w:r>
              <w:rPr>
                <w:rFonts w:ascii="Arial" w:hAnsi="Arial"/>
                <w:sz w:val="17"/>
              </w:rPr>
              <w:t>6.60</w:t>
            </w:r>
          </w:p>
        </w:tc>
        <w:tc>
          <w:tcPr>
            <w:tcW w:type="dxa" w:w="3120"/>
            <w:tcMar>
              <w:top w:w="70" w:type="dxa"/>
              <w:start w:w="110" w:type="dxa"/>
              <w:bottom w:w="70" w:type="dxa"/>
              <w:end w:w="110" w:type="dxa"/>
            </w:tcMar>
          </w:tcPr>
          <w:p>
            <w:pPr>
              <w:widowControl/>
              <w:spacing w:after="0"/>
            </w:pPr>
            <w:r>
              <w:rPr>
                <w:rFonts w:ascii="Arial" w:hAnsi="Arial"/>
                <w:sz w:val="17"/>
              </w:rPr>
              <w:t>NECKWEAR, SILK BLENDS/VEGETABLE  FIBER</w:t>
            </w:r>
          </w:p>
        </w:tc>
        <w:tc>
          <w:tcPr>
            <w:tcW w:type="dxa" w:w="3120"/>
            <w:tcMar>
              <w:top w:w="70" w:type="dxa"/>
              <w:start w:w="110" w:type="dxa"/>
              <w:bottom w:w="70" w:type="dxa"/>
              <w:end w:w="110" w:type="dxa"/>
            </w:tcMar>
          </w:tcPr>
          <w:p>
            <w:pPr>
              <w:widowControl/>
              <w:spacing w:after="0"/>
            </w:pPr>
            <w:r>
              <w:rPr>
                <w:rFonts w:ascii="Arial" w:hAnsi="Arial"/>
                <w:sz w:val="17"/>
              </w:rPr>
              <w:t>KG</w:t>
            </w:r>
          </w:p>
        </w:tc>
      </w:tr>
      <w:tr>
        <w:trPr>
          <w:cantSplit/>
        </w:trPr>
        <w:tc>
          <w:tcPr>
            <w:tcW w:type="dxa" w:w="3120"/>
            <w:tcMar>
              <w:top w:w="70" w:type="dxa"/>
              <w:start w:w="110" w:type="dxa"/>
              <w:bottom w:w="70" w:type="dxa"/>
              <w:end w:w="110" w:type="dxa"/>
            </w:tcMar>
            <w:shd w:fill="F4F6F7"/>
          </w:tcPr>
          <w:p>
            <w:pPr>
              <w:widowControl/>
              <w:spacing w:after="0"/>
            </w:pPr>
            <w:r>
              <w:rPr>
                <w:rFonts w:ascii="Arial" w:hAnsi="Arial"/>
                <w:sz w:val="17"/>
              </w:rPr>
              <w:t>12.50</w:t>
            </w:r>
          </w:p>
        </w:tc>
        <w:tc>
          <w:tcPr>
            <w:tcW w:type="dxa" w:w="3120"/>
            <w:tcMar>
              <w:top w:w="70" w:type="dxa"/>
              <w:start w:w="110" w:type="dxa"/>
              <w:bottom w:w="70" w:type="dxa"/>
              <w:end w:w="110" w:type="dxa"/>
            </w:tcMar>
            <w:shd w:fill="F4F6F7"/>
          </w:tcPr>
          <w:p>
            <w:pPr>
              <w:widowControl/>
              <w:spacing w:after="0"/>
            </w:pPr>
            <w:r>
              <w:rPr>
                <w:rFonts w:ascii="Arial" w:hAnsi="Arial"/>
                <w:sz w:val="17"/>
              </w:rPr>
              <w:t>OTHER SILK BLEND/VEGETABLE FIBER  APPAREL</w:t>
            </w:r>
          </w:p>
        </w:tc>
        <w:tc>
          <w:tcPr>
            <w:tcW w:type="dxa" w:w="3120"/>
            <w:tcMar>
              <w:top w:w="70" w:type="dxa"/>
              <w:start w:w="110" w:type="dxa"/>
              <w:bottom w:w="70" w:type="dxa"/>
              <w:end w:w="110" w:type="dxa"/>
            </w:tcMar>
            <w:shd w:fill="F4F6F7"/>
          </w:tcPr>
          <w:p>
            <w:pPr>
              <w:widowControl/>
              <w:spacing w:after="0"/>
            </w:pPr>
            <w:r>
              <w:rPr>
                <w:rFonts w:ascii="Arial" w:hAnsi="Arial"/>
                <w:sz w:val="17"/>
              </w:rPr>
              <w:t>KG</w:t>
            </w:r>
          </w:p>
        </w:tc>
      </w:tr>
      <w:tr>
        <w:trPr>
          <w:cantSplit/>
        </w:trPr>
        <w:tc>
          <w:tcPr>
            <w:tcW w:type="dxa" w:w="3120"/>
            <w:tcMar>
              <w:top w:w="70" w:type="dxa"/>
              <w:start w:w="110" w:type="dxa"/>
              <w:bottom w:w="70" w:type="dxa"/>
              <w:end w:w="110" w:type="dxa"/>
            </w:tcMar>
          </w:tcPr>
          <w:p>
            <w:pPr>
              <w:widowControl/>
              <w:spacing w:after="0"/>
            </w:pPr>
            <w:r>
              <w:rPr>
                <w:rFonts w:ascii="Arial" w:hAnsi="Arial"/>
                <w:sz w:val="17"/>
              </w:rPr>
              <w:t>0.40</w:t>
            </w:r>
          </w:p>
        </w:tc>
        <w:tc>
          <w:tcPr>
            <w:tcW w:type="dxa" w:w="3120"/>
            <w:tcMar>
              <w:top w:w="70" w:type="dxa"/>
              <w:start w:w="110" w:type="dxa"/>
              <w:bottom w:w="70" w:type="dxa"/>
              <w:end w:w="110" w:type="dxa"/>
            </w:tcMar>
          </w:tcPr>
          <w:p>
            <w:pPr>
              <w:widowControl/>
              <w:spacing w:after="0"/>
            </w:pPr>
            <w:r>
              <w:rPr>
                <w:rFonts w:ascii="Arial" w:hAnsi="Arial"/>
                <w:sz w:val="17"/>
              </w:rPr>
              <w:t>TOWELS, SILK BLENDS/VEGETABLE  FIBERS</w:t>
            </w:r>
          </w:p>
        </w:tc>
        <w:tc>
          <w:tcPr>
            <w:tcW w:type="dxa" w:w="3120"/>
            <w:tcMar>
              <w:top w:w="70" w:type="dxa"/>
              <w:start w:w="110" w:type="dxa"/>
              <w:bottom w:w="70" w:type="dxa"/>
              <w:end w:w="110" w:type="dxa"/>
            </w:tcMar>
          </w:tcPr>
          <w:p>
            <w:pPr>
              <w:widowControl/>
              <w:spacing w:after="0"/>
            </w:pPr>
            <w:r>
              <w:rPr>
                <w:rFonts w:ascii="Arial" w:hAnsi="Arial"/>
                <w:sz w:val="17"/>
              </w:rPr>
              <w:t>NO</w:t>
            </w:r>
          </w:p>
        </w:tc>
      </w:tr>
      <w:tr>
        <w:trPr>
          <w:cantSplit/>
        </w:trPr>
        <w:tc>
          <w:tcPr>
            <w:tcW w:type="dxa" w:w="3120"/>
            <w:tcMar>
              <w:top w:w="70" w:type="dxa"/>
              <w:start w:w="110" w:type="dxa"/>
              <w:bottom w:w="70" w:type="dxa"/>
              <w:end w:w="110" w:type="dxa"/>
            </w:tcMar>
            <w:shd w:fill="F4F6F7"/>
          </w:tcPr>
          <w:p>
            <w:pPr>
              <w:widowControl/>
              <w:spacing w:after="0"/>
            </w:pPr>
            <w:r>
              <w:rPr>
                <w:rFonts w:ascii="Arial" w:hAnsi="Arial"/>
                <w:sz w:val="17"/>
              </w:rPr>
              <w:t>3.70</w:t>
            </w:r>
          </w:p>
        </w:tc>
        <w:tc>
          <w:tcPr>
            <w:tcW w:type="dxa" w:w="3120"/>
            <w:tcMar>
              <w:top w:w="70" w:type="dxa"/>
              <w:start w:w="110" w:type="dxa"/>
              <w:bottom w:w="70" w:type="dxa"/>
              <w:end w:w="110" w:type="dxa"/>
            </w:tcMar>
            <w:shd w:fill="F4F6F7"/>
          </w:tcPr>
          <w:p>
            <w:pPr>
              <w:widowControl/>
              <w:spacing w:after="0"/>
            </w:pPr>
            <w:r>
              <w:rPr>
                <w:rFonts w:ascii="Arial" w:hAnsi="Arial"/>
                <w:sz w:val="17"/>
              </w:rPr>
              <w:t>LUGGAGE, SILK BLENDS/VEGETABLE  FIBERS</w:t>
            </w:r>
          </w:p>
        </w:tc>
        <w:tc>
          <w:tcPr>
            <w:tcW w:type="dxa" w:w="3120"/>
            <w:tcMar>
              <w:top w:w="70" w:type="dxa"/>
              <w:start w:w="110" w:type="dxa"/>
              <w:bottom w:w="70" w:type="dxa"/>
              <w:end w:w="110" w:type="dxa"/>
            </w:tcMar>
            <w:shd w:fill="F4F6F7"/>
          </w:tcPr>
          <w:p>
            <w:pPr>
              <w:widowControl/>
              <w:spacing w:after="0"/>
            </w:pPr>
            <w:r>
              <w:rPr>
                <w:rFonts w:ascii="Arial" w:hAnsi="Arial"/>
                <w:sz w:val="17"/>
              </w:rPr>
              <w:t>KG</w:t>
            </w:r>
          </w:p>
        </w:tc>
      </w:tr>
      <w:tr>
        <w:trPr>
          <w:cantSplit/>
        </w:trPr>
        <w:tc>
          <w:tcPr>
            <w:tcW w:type="dxa" w:w="3120"/>
            <w:tcMar>
              <w:top w:w="70" w:type="dxa"/>
              <w:start w:w="110" w:type="dxa"/>
              <w:bottom w:w="70" w:type="dxa"/>
              <w:end w:w="110" w:type="dxa"/>
            </w:tcMar>
          </w:tcPr>
          <w:p>
            <w:pPr>
              <w:widowControl/>
              <w:spacing w:after="0"/>
            </w:pPr>
            <w:r>
              <w:rPr>
                <w:rFonts w:ascii="Arial" w:hAnsi="Arial"/>
                <w:sz w:val="17"/>
              </w:rPr>
              <w:t>3.70</w:t>
            </w:r>
          </w:p>
        </w:tc>
        <w:tc>
          <w:tcPr>
            <w:tcW w:type="dxa" w:w="3120"/>
            <w:tcMar>
              <w:top w:w="70" w:type="dxa"/>
              <w:start w:w="110" w:type="dxa"/>
              <w:bottom w:w="70" w:type="dxa"/>
              <w:end w:w="110" w:type="dxa"/>
            </w:tcMar>
          </w:tcPr>
          <w:p>
            <w:pPr>
              <w:widowControl/>
              <w:spacing w:after="0"/>
            </w:pPr>
            <w:r>
              <w:rPr>
                <w:rFonts w:ascii="Arial" w:hAnsi="Arial"/>
                <w:sz w:val="17"/>
              </w:rPr>
              <w:t>HANDBAGS &amp; FLATGOODS, SILK BLENDS/  VEGETABLE FIBER</w:t>
            </w:r>
          </w:p>
        </w:tc>
        <w:tc>
          <w:tcPr>
            <w:tcW w:type="dxa" w:w="3120"/>
            <w:tcMar>
              <w:top w:w="70" w:type="dxa"/>
              <w:start w:w="110" w:type="dxa"/>
              <w:bottom w:w="70" w:type="dxa"/>
              <w:end w:w="110" w:type="dxa"/>
            </w:tcMar>
          </w:tcPr>
          <w:p>
            <w:pPr>
              <w:widowControl/>
              <w:spacing w:after="0"/>
            </w:pPr>
            <w:r>
              <w:rPr>
                <w:rFonts w:ascii="Arial" w:hAnsi="Arial"/>
                <w:sz w:val="17"/>
              </w:rPr>
              <w:t>KG</w:t>
            </w:r>
          </w:p>
        </w:tc>
      </w:tr>
      <w:tr>
        <w:trPr>
          <w:cantSplit/>
        </w:trPr>
        <w:tc>
          <w:tcPr>
            <w:tcW w:type="dxa" w:w="3120"/>
            <w:tcMar>
              <w:top w:w="70" w:type="dxa"/>
              <w:start w:w="110" w:type="dxa"/>
              <w:bottom w:w="70" w:type="dxa"/>
              <w:end w:w="110" w:type="dxa"/>
            </w:tcMar>
            <w:shd w:fill="F4F6F7"/>
          </w:tcPr>
          <w:p>
            <w:pPr>
              <w:widowControl/>
              <w:spacing w:after="0"/>
            </w:pPr>
            <w:r>
              <w:rPr>
                <w:rFonts w:ascii="Arial" w:hAnsi="Arial"/>
                <w:sz w:val="17"/>
              </w:rPr>
              <w:t>11.10</w:t>
            </w:r>
          </w:p>
        </w:tc>
        <w:tc>
          <w:tcPr>
            <w:tcW w:type="dxa" w:w="3120"/>
            <w:tcMar>
              <w:top w:w="70" w:type="dxa"/>
              <w:start w:w="110" w:type="dxa"/>
              <w:bottom w:w="70" w:type="dxa"/>
              <w:end w:w="110" w:type="dxa"/>
            </w:tcMar>
            <w:shd w:fill="F4F6F7"/>
          </w:tcPr>
          <w:p>
            <w:pPr>
              <w:widowControl/>
              <w:spacing w:after="0"/>
            </w:pPr>
            <w:r>
              <w:rPr>
                <w:rFonts w:ascii="Arial" w:hAnsi="Arial"/>
                <w:sz w:val="17"/>
              </w:rPr>
              <w:t>OTHER SILK BLENDS/VEGETABLE FIBER  MANUFACTURES</w:t>
            </w:r>
          </w:p>
        </w:tc>
        <w:tc>
          <w:tcPr>
            <w:tcW w:type="dxa" w:w="3120"/>
            <w:tcMar>
              <w:top w:w="70" w:type="dxa"/>
              <w:start w:w="110" w:type="dxa"/>
              <w:bottom w:w="70" w:type="dxa"/>
              <w:end w:w="110" w:type="dxa"/>
            </w:tcMar>
            <w:shd w:fill="F4F6F7"/>
          </w:tcPr>
          <w:p>
            <w:pPr>
              <w:widowControl/>
              <w:spacing w:after="0"/>
            </w:pPr>
            <w:r>
              <w:rPr>
                <w:rFonts w:ascii="Arial" w:hAnsi="Arial"/>
                <w:sz w:val="17"/>
              </w:rPr>
              <w:t>KG</w:t>
            </w:r>
          </w:p>
        </w:tc>
      </w:tr>
    </w:tbl>
    <w:p>
      <w:pPr>
        <w:widowControl/>
      </w:pPr>
      <w:r>
        <w:rPr>
          <w:b w:val="0"/>
        </w:rPr>
        <w:t>5. The following conversion factors shall apply to the following goods not covered by a U.S. category:</w:t>
      </w:r>
    </w:p>
    <w:tbl>
      <w:tblPr>
        <w:tblStyle w:val="TableGrid"/>
        <w:tblW w:type="auto" w:w="0"/>
        <w:jc w:val="center"/>
        <w:tblLayout w:type="autofit"/>
        <w:tblLook w:firstColumn="1" w:firstRow="1" w:lastColumn="0" w:lastRow="0" w:noHBand="0" w:noVBand="1" w:val="04A0"/>
      </w:tblPr>
      <w:tblGrid>
        <w:gridCol w:w="2340"/>
        <w:gridCol w:w="2340"/>
        <w:gridCol w:w="2340"/>
        <w:gridCol w:w="2340"/>
      </w:tblGrid>
      <w:tr>
        <w:trPr>
          <w:tblHeader w:val="true"/>
          <w:cantSplit/>
          <w:tblHeader w:val="true"/>
        </w:trPr>
        <w:tc>
          <w:tcPr>
            <w:tcW w:type="dxa" w:w="2340"/>
            <w:shd w:fill="233746"/>
          </w:tcPr>
          <w:p>
            <w:pPr>
              <w:spacing w:after="0"/>
            </w:pPr>
            <w:r>
              <w:rPr>
                <w:rFonts w:ascii="Arial" w:hAnsi="Arial"/>
                <w:b/>
                <w:color w:val="FFFFFF"/>
                <w:sz w:val="17"/>
              </w:rPr>
              <w:t>U.S. Harmonized Statistical Provision</w:t>
            </w:r>
          </w:p>
        </w:tc>
        <w:tc>
          <w:tcPr>
            <w:tcW w:type="dxa" w:w="2340"/>
            <w:shd w:fill="233746"/>
          </w:tcPr>
          <w:p>
            <w:pPr>
              <w:spacing w:after="0"/>
            </w:pPr>
            <w:r>
              <w:rPr>
                <w:rFonts w:ascii="Arial" w:hAnsi="Arial"/>
                <w:b/>
                <w:color w:val="FFFFFF"/>
                <w:sz w:val="17"/>
              </w:rPr>
              <w:t>Conversion Factor</w:t>
            </w:r>
          </w:p>
        </w:tc>
        <w:tc>
          <w:tcPr>
            <w:tcW w:type="dxa" w:w="2340"/>
            <w:shd w:fill="233746"/>
          </w:tcPr>
          <w:p>
            <w:pPr>
              <w:spacing w:after="0"/>
            </w:pPr>
            <w:r>
              <w:rPr>
                <w:rFonts w:ascii="Arial" w:hAnsi="Arial"/>
                <w:b/>
                <w:color w:val="FFFFFF"/>
                <w:sz w:val="17"/>
              </w:rPr>
              <w:t>Primary Unit of Measure</w:t>
            </w:r>
          </w:p>
        </w:tc>
        <w:tc>
          <w:tcPr>
            <w:tcW w:type="dxa" w:w="2340"/>
            <w:shd w:fill="233746"/>
          </w:tcPr>
          <w:p>
            <w:pPr>
              <w:spacing w:after="0"/>
            </w:pPr>
            <w:r>
              <w:rPr>
                <w:rFonts w:ascii="Arial" w:hAnsi="Arial"/>
                <w:b/>
                <w:color w:val="FFFFFF"/>
                <w:sz w:val="17"/>
              </w:rPr>
              <w:t>Description</w:t>
            </w:r>
          </w:p>
        </w:tc>
      </w:tr>
      <w:tr>
        <w:trPr>
          <w:cantSplit/>
        </w:trPr>
        <w:tc>
          <w:tcPr>
            <w:tcW w:type="dxa" w:w="2340"/>
            <w:tcMar>
              <w:top w:w="70" w:type="dxa"/>
              <w:start w:w="110" w:type="dxa"/>
              <w:bottom w:w="70" w:type="dxa"/>
              <w:end w:w="110" w:type="dxa"/>
            </w:tcMar>
          </w:tcPr>
          <w:p>
            <w:pPr>
              <w:widowControl/>
              <w:spacing w:after="0"/>
            </w:pPr>
            <w:r>
              <w:rPr>
                <w:rFonts w:ascii="Arial" w:hAnsi="Arial"/>
                <w:sz w:val="17"/>
              </w:rPr>
              <w:t>5208.31.2000</w:t>
            </w:r>
          </w:p>
        </w:tc>
        <w:tc>
          <w:tcPr>
            <w:tcW w:type="dxa" w:w="2340"/>
            <w:tcMar>
              <w:top w:w="70" w:type="dxa"/>
              <w:start w:w="110" w:type="dxa"/>
              <w:bottom w:w="70" w:type="dxa"/>
              <w:end w:w="110" w:type="dxa"/>
            </w:tcMar>
          </w:tcPr>
          <w:p>
            <w:pPr>
              <w:widowControl/>
              <w:spacing w:after="0"/>
            </w:pPr>
            <w:r>
              <w:rPr>
                <w:rFonts w:ascii="Arial" w:hAnsi="Arial"/>
                <w:sz w:val="17"/>
              </w:rPr>
              <w:t>1.00</w:t>
            </w:r>
          </w:p>
        </w:tc>
        <w:tc>
          <w:tcPr>
            <w:tcW w:type="dxa" w:w="2340"/>
            <w:tcMar>
              <w:top w:w="70" w:type="dxa"/>
              <w:start w:w="110" w:type="dxa"/>
              <w:bottom w:w="70" w:type="dxa"/>
              <w:end w:w="110" w:type="dxa"/>
            </w:tcMar>
          </w:tcPr>
          <w:p>
            <w:pPr>
              <w:widowControl/>
              <w:spacing w:after="0"/>
            </w:pPr>
            <w:r>
              <w:rPr>
                <w:rFonts w:ascii="Arial" w:hAnsi="Arial"/>
                <w:sz w:val="17"/>
              </w:rPr>
              <w:t>SM</w:t>
            </w:r>
          </w:p>
        </w:tc>
        <w:tc>
          <w:tcPr>
            <w:tcW w:type="dxa" w:w="2340"/>
            <w:tcMar>
              <w:top w:w="70" w:type="dxa"/>
              <w:start w:w="110" w:type="dxa"/>
              <w:bottom w:w="70" w:type="dxa"/>
              <w:end w:w="110" w:type="dxa"/>
            </w:tcMar>
          </w:tcPr>
          <w:p>
            <w:pPr>
              <w:widowControl/>
              <w:spacing w:after="0"/>
            </w:pPr>
            <w:r>
              <w:rPr>
                <w:rFonts w:ascii="Arial" w:hAnsi="Arial"/>
                <w:sz w:val="17"/>
              </w:rPr>
              <w:t>WOVEN FABRIC, CONTAINING 85% OR MORE BY WEIGHT OF COTTON, WEIGHING NOT MORE THAN 100 G/M2, PLAIN WEAVE, CERTIFIED HANDLOOM FABRIC, DYED</w:t>
            </w:r>
          </w:p>
        </w:tc>
      </w:tr>
      <w:tr>
        <w:trPr>
          <w:cantSplit/>
        </w:trPr>
        <w:tc>
          <w:tcPr>
            <w:tcW w:type="dxa" w:w="2340"/>
            <w:tcMar>
              <w:top w:w="70" w:type="dxa"/>
              <w:start w:w="110" w:type="dxa"/>
              <w:bottom w:w="70" w:type="dxa"/>
              <w:end w:w="110" w:type="dxa"/>
            </w:tcMar>
            <w:shd w:fill="F4F6F7"/>
          </w:tcPr>
          <w:p>
            <w:pPr>
              <w:widowControl/>
              <w:spacing w:after="0"/>
            </w:pPr>
            <w:r>
              <w:rPr>
                <w:rFonts w:ascii="Arial" w:hAnsi="Arial"/>
                <w:sz w:val="17"/>
              </w:rPr>
              <w:t>5208.32.1000</w:t>
            </w:r>
          </w:p>
        </w:tc>
        <w:tc>
          <w:tcPr>
            <w:tcW w:type="dxa" w:w="2340"/>
            <w:tcMar>
              <w:top w:w="70" w:type="dxa"/>
              <w:start w:w="110" w:type="dxa"/>
              <w:bottom w:w="70" w:type="dxa"/>
              <w:end w:w="110" w:type="dxa"/>
            </w:tcMar>
            <w:shd w:fill="F4F6F7"/>
          </w:tcPr>
          <w:p>
            <w:pPr>
              <w:widowControl/>
              <w:spacing w:after="0"/>
            </w:pPr>
            <w:r>
              <w:rPr>
                <w:rFonts w:ascii="Arial" w:hAnsi="Arial"/>
                <w:sz w:val="17"/>
              </w:rPr>
              <w:t>1.00</w:t>
            </w:r>
          </w:p>
        </w:tc>
        <w:tc>
          <w:tcPr>
            <w:tcW w:type="dxa" w:w="2340"/>
            <w:tcMar>
              <w:top w:w="70" w:type="dxa"/>
              <w:start w:w="110" w:type="dxa"/>
              <w:bottom w:w="70" w:type="dxa"/>
              <w:end w:w="110" w:type="dxa"/>
            </w:tcMar>
            <w:shd w:fill="F4F6F7"/>
          </w:tcPr>
          <w:p>
            <w:pPr>
              <w:widowControl/>
              <w:spacing w:after="0"/>
            </w:pPr>
            <w:r>
              <w:rPr>
                <w:rFonts w:ascii="Arial" w:hAnsi="Arial"/>
                <w:sz w:val="17"/>
              </w:rPr>
              <w:t>SM</w:t>
            </w:r>
          </w:p>
        </w:tc>
        <w:tc>
          <w:tcPr>
            <w:tcW w:type="dxa" w:w="2340"/>
            <w:tcMar>
              <w:top w:w="70" w:type="dxa"/>
              <w:start w:w="110" w:type="dxa"/>
              <w:bottom w:w="70" w:type="dxa"/>
              <w:end w:w="110" w:type="dxa"/>
            </w:tcMar>
            <w:shd w:fill="F4F6F7"/>
          </w:tcPr>
          <w:p>
            <w:pPr>
              <w:widowControl/>
              <w:spacing w:after="0"/>
            </w:pPr>
            <w:r>
              <w:rPr>
                <w:rFonts w:ascii="Arial" w:hAnsi="Arial"/>
                <w:sz w:val="17"/>
              </w:rPr>
              <w:t>WOVEN FABRIC, CONTAINING 85% OR MORE BY WEIGHT OF COTTON, WEIGHING MORE THAN 100 G/M2 BUT NOT MORE THAN 200 G/M2, PLAIN WEAVE, CERTIFIED HANDLOOM FABRIC, DYED</w:t>
            </w:r>
          </w:p>
        </w:tc>
      </w:tr>
      <w:tr>
        <w:trPr>
          <w:cantSplit/>
        </w:trPr>
        <w:tc>
          <w:tcPr>
            <w:tcW w:type="dxa" w:w="2340"/>
            <w:tcMar>
              <w:top w:w="70" w:type="dxa"/>
              <w:start w:w="110" w:type="dxa"/>
              <w:bottom w:w="70" w:type="dxa"/>
              <w:end w:w="110" w:type="dxa"/>
            </w:tcMar>
          </w:tcPr>
          <w:p>
            <w:pPr>
              <w:widowControl/>
              <w:spacing w:after="0"/>
            </w:pPr>
            <w:r>
              <w:rPr>
                <w:rFonts w:ascii="Arial" w:hAnsi="Arial"/>
                <w:sz w:val="17"/>
              </w:rPr>
              <w:t>5208.41.2000</w:t>
            </w:r>
          </w:p>
        </w:tc>
        <w:tc>
          <w:tcPr>
            <w:tcW w:type="dxa" w:w="2340"/>
            <w:tcMar>
              <w:top w:w="70" w:type="dxa"/>
              <w:start w:w="110" w:type="dxa"/>
              <w:bottom w:w="70" w:type="dxa"/>
              <w:end w:w="110" w:type="dxa"/>
            </w:tcMar>
          </w:tcPr>
          <w:p>
            <w:pPr>
              <w:widowControl/>
              <w:spacing w:after="0"/>
            </w:pPr>
            <w:r>
              <w:rPr>
                <w:rFonts w:ascii="Arial" w:hAnsi="Arial"/>
                <w:sz w:val="17"/>
              </w:rPr>
              <w:t>1.00</w:t>
            </w:r>
          </w:p>
        </w:tc>
        <w:tc>
          <w:tcPr>
            <w:tcW w:type="dxa" w:w="2340"/>
            <w:tcMar>
              <w:top w:w="70" w:type="dxa"/>
              <w:start w:w="110" w:type="dxa"/>
              <w:bottom w:w="70" w:type="dxa"/>
              <w:end w:w="110" w:type="dxa"/>
            </w:tcMar>
          </w:tcPr>
          <w:p>
            <w:pPr>
              <w:widowControl/>
              <w:spacing w:after="0"/>
            </w:pPr>
            <w:r>
              <w:rPr>
                <w:rFonts w:ascii="Arial" w:hAnsi="Arial"/>
                <w:sz w:val="17"/>
              </w:rPr>
              <w:t>SM</w:t>
            </w:r>
          </w:p>
        </w:tc>
        <w:tc>
          <w:tcPr>
            <w:tcW w:type="dxa" w:w="2340"/>
            <w:tcMar>
              <w:top w:w="70" w:type="dxa"/>
              <w:start w:w="110" w:type="dxa"/>
              <w:bottom w:w="70" w:type="dxa"/>
              <w:end w:w="110" w:type="dxa"/>
            </w:tcMar>
          </w:tcPr>
          <w:p>
            <w:pPr>
              <w:widowControl/>
              <w:spacing w:after="0"/>
            </w:pPr>
            <w:r>
              <w:rPr>
                <w:rFonts w:ascii="Arial" w:hAnsi="Arial"/>
                <w:sz w:val="17"/>
              </w:rPr>
              <w:t>WOVEN FABRIC,CONTAINING 85% OR MORE BY WEIGHT OF COTTON WEIGHING NOT MORE THAN 100 G/M2, PLAIN WEAVE CERTIFIED HANDLOOM, YARNS OF DIFFERENT COLORS</w:t>
            </w:r>
          </w:p>
        </w:tc>
      </w:tr>
      <w:tr>
        <w:trPr>
          <w:cantSplit/>
        </w:trPr>
        <w:tc>
          <w:tcPr>
            <w:tcW w:type="dxa" w:w="2340"/>
            <w:tcMar>
              <w:top w:w="70" w:type="dxa"/>
              <w:start w:w="110" w:type="dxa"/>
              <w:bottom w:w="70" w:type="dxa"/>
              <w:end w:w="110" w:type="dxa"/>
            </w:tcMar>
            <w:shd w:fill="F4F6F7"/>
          </w:tcPr>
          <w:p>
            <w:pPr>
              <w:widowControl/>
              <w:spacing w:after="0"/>
            </w:pPr>
            <w:r>
              <w:rPr>
                <w:rFonts w:ascii="Arial" w:hAnsi="Arial"/>
                <w:sz w:val="17"/>
              </w:rPr>
              <w:t>5208.42.1000</w:t>
            </w:r>
          </w:p>
        </w:tc>
        <w:tc>
          <w:tcPr>
            <w:tcW w:type="dxa" w:w="2340"/>
            <w:tcMar>
              <w:top w:w="70" w:type="dxa"/>
              <w:start w:w="110" w:type="dxa"/>
              <w:bottom w:w="70" w:type="dxa"/>
              <w:end w:w="110" w:type="dxa"/>
            </w:tcMar>
            <w:shd w:fill="F4F6F7"/>
          </w:tcPr>
          <w:p>
            <w:pPr>
              <w:widowControl/>
              <w:spacing w:after="0"/>
            </w:pPr>
            <w:r>
              <w:rPr>
                <w:rFonts w:ascii="Arial" w:hAnsi="Arial"/>
                <w:sz w:val="17"/>
              </w:rPr>
              <w:t>1.00</w:t>
            </w:r>
          </w:p>
        </w:tc>
        <w:tc>
          <w:tcPr>
            <w:tcW w:type="dxa" w:w="2340"/>
            <w:tcMar>
              <w:top w:w="70" w:type="dxa"/>
              <w:start w:w="110" w:type="dxa"/>
              <w:bottom w:w="70" w:type="dxa"/>
              <w:end w:w="110" w:type="dxa"/>
            </w:tcMar>
            <w:shd w:fill="F4F6F7"/>
          </w:tcPr>
          <w:p>
            <w:pPr>
              <w:widowControl/>
              <w:spacing w:after="0"/>
            </w:pPr>
            <w:r>
              <w:rPr>
                <w:rFonts w:ascii="Arial" w:hAnsi="Arial"/>
                <w:sz w:val="17"/>
              </w:rPr>
              <w:t>SM</w:t>
            </w:r>
          </w:p>
        </w:tc>
        <w:tc>
          <w:tcPr>
            <w:tcW w:type="dxa" w:w="2340"/>
            <w:tcMar>
              <w:top w:w="70" w:type="dxa"/>
              <w:start w:w="110" w:type="dxa"/>
              <w:bottom w:w="70" w:type="dxa"/>
              <w:end w:w="110" w:type="dxa"/>
            </w:tcMar>
            <w:shd w:fill="F4F6F7"/>
          </w:tcPr>
          <w:p>
            <w:pPr>
              <w:widowControl/>
              <w:spacing w:after="0"/>
            </w:pPr>
            <w:r>
              <w:rPr>
                <w:rFonts w:ascii="Arial" w:hAnsi="Arial"/>
                <w:sz w:val="17"/>
              </w:rPr>
              <w:t>WOVEN FABRIC, CONTAINING 85% OR MORE BY WEIGHT OF COTTON, WEIGHING MORE THAN 100 G/M2 BUT NOT MORE THAN 200 G/M2, PLAIN WEAVE, CERTIFIED HANDLOOM,     YARNS OF DIFFERENT COLORS</w:t>
            </w:r>
          </w:p>
        </w:tc>
      </w:tr>
      <w:tr>
        <w:trPr>
          <w:cantSplit/>
        </w:trPr>
        <w:tc>
          <w:tcPr>
            <w:tcW w:type="dxa" w:w="2340"/>
            <w:tcMar>
              <w:top w:w="70" w:type="dxa"/>
              <w:start w:w="110" w:type="dxa"/>
              <w:bottom w:w="70" w:type="dxa"/>
              <w:end w:w="110" w:type="dxa"/>
            </w:tcMar>
          </w:tcPr>
          <w:p>
            <w:pPr>
              <w:widowControl/>
              <w:spacing w:after="0"/>
            </w:pPr>
            <w:r>
              <w:rPr>
                <w:rFonts w:ascii="Arial" w:hAnsi="Arial"/>
                <w:sz w:val="17"/>
              </w:rPr>
              <w:t>5208.51.2000</w:t>
            </w:r>
          </w:p>
        </w:tc>
        <w:tc>
          <w:tcPr>
            <w:tcW w:type="dxa" w:w="2340"/>
            <w:tcMar>
              <w:top w:w="70" w:type="dxa"/>
              <w:start w:w="110" w:type="dxa"/>
              <w:bottom w:w="70" w:type="dxa"/>
              <w:end w:w="110" w:type="dxa"/>
            </w:tcMar>
          </w:tcPr>
          <w:p>
            <w:pPr>
              <w:widowControl/>
              <w:spacing w:after="0"/>
            </w:pPr>
            <w:r>
              <w:rPr>
                <w:rFonts w:ascii="Arial" w:hAnsi="Arial"/>
                <w:sz w:val="17"/>
              </w:rPr>
              <w:t>1.00</w:t>
            </w:r>
          </w:p>
        </w:tc>
        <w:tc>
          <w:tcPr>
            <w:tcW w:type="dxa" w:w="2340"/>
            <w:tcMar>
              <w:top w:w="70" w:type="dxa"/>
              <w:start w:w="110" w:type="dxa"/>
              <w:bottom w:w="70" w:type="dxa"/>
              <w:end w:w="110" w:type="dxa"/>
            </w:tcMar>
          </w:tcPr>
          <w:p>
            <w:pPr>
              <w:widowControl/>
              <w:spacing w:after="0"/>
            </w:pPr>
            <w:r>
              <w:rPr>
                <w:rFonts w:ascii="Arial" w:hAnsi="Arial"/>
                <w:sz w:val="17"/>
              </w:rPr>
              <w:t>SM</w:t>
            </w:r>
          </w:p>
        </w:tc>
        <w:tc>
          <w:tcPr>
            <w:tcW w:type="dxa" w:w="2340"/>
            <w:tcMar>
              <w:top w:w="70" w:type="dxa"/>
              <w:start w:w="110" w:type="dxa"/>
              <w:bottom w:w="70" w:type="dxa"/>
              <w:end w:w="110" w:type="dxa"/>
            </w:tcMar>
          </w:tcPr>
          <w:p>
            <w:pPr>
              <w:widowControl/>
              <w:spacing w:after="0"/>
            </w:pPr>
            <w:r>
              <w:rPr>
                <w:rFonts w:ascii="Arial" w:hAnsi="Arial"/>
                <w:sz w:val="17"/>
              </w:rPr>
              <w:t>WOVEN FABRIC, CONTAINING 85% OR MORE BY WEIGHT OF COTTON WEIGHING NOT MORE THAN 100 G/M2 PLAIN WEAVE, CERTIFIED HANDLOOM, PRINTED</w:t>
            </w:r>
          </w:p>
        </w:tc>
      </w:tr>
      <w:tr>
        <w:trPr>
          <w:cantSplit/>
        </w:trPr>
        <w:tc>
          <w:tcPr>
            <w:tcW w:type="dxa" w:w="2340"/>
            <w:tcMar>
              <w:top w:w="70" w:type="dxa"/>
              <w:start w:w="110" w:type="dxa"/>
              <w:bottom w:w="70" w:type="dxa"/>
              <w:end w:w="110" w:type="dxa"/>
            </w:tcMar>
            <w:shd w:fill="F4F6F7"/>
          </w:tcPr>
          <w:p>
            <w:pPr>
              <w:widowControl/>
              <w:spacing w:after="0"/>
            </w:pPr>
            <w:r>
              <w:rPr>
                <w:rFonts w:ascii="Arial" w:hAnsi="Arial"/>
                <w:sz w:val="17"/>
              </w:rPr>
              <w:t>5208.52.1000</w:t>
            </w:r>
          </w:p>
        </w:tc>
        <w:tc>
          <w:tcPr>
            <w:tcW w:type="dxa" w:w="2340"/>
            <w:tcMar>
              <w:top w:w="70" w:type="dxa"/>
              <w:start w:w="110" w:type="dxa"/>
              <w:bottom w:w="70" w:type="dxa"/>
              <w:end w:w="110" w:type="dxa"/>
            </w:tcMar>
            <w:shd w:fill="F4F6F7"/>
          </w:tcPr>
          <w:p>
            <w:pPr>
              <w:widowControl/>
              <w:spacing w:after="0"/>
            </w:pPr>
            <w:r>
              <w:rPr>
                <w:rFonts w:ascii="Arial" w:hAnsi="Arial"/>
                <w:sz w:val="17"/>
              </w:rPr>
              <w:t>1.00</w:t>
            </w:r>
          </w:p>
        </w:tc>
        <w:tc>
          <w:tcPr>
            <w:tcW w:type="dxa" w:w="2340"/>
            <w:tcMar>
              <w:top w:w="70" w:type="dxa"/>
              <w:start w:w="110" w:type="dxa"/>
              <w:bottom w:w="70" w:type="dxa"/>
              <w:end w:w="110" w:type="dxa"/>
            </w:tcMar>
            <w:shd w:fill="F4F6F7"/>
          </w:tcPr>
          <w:p>
            <w:pPr>
              <w:widowControl/>
              <w:spacing w:after="0"/>
            </w:pPr>
            <w:r>
              <w:rPr>
                <w:rFonts w:ascii="Arial" w:hAnsi="Arial"/>
                <w:sz w:val="17"/>
              </w:rPr>
              <w:t>SM</w:t>
            </w:r>
          </w:p>
        </w:tc>
        <w:tc>
          <w:tcPr>
            <w:tcW w:type="dxa" w:w="2340"/>
            <w:tcMar>
              <w:top w:w="70" w:type="dxa"/>
              <w:start w:w="110" w:type="dxa"/>
              <w:bottom w:w="70" w:type="dxa"/>
              <w:end w:w="110" w:type="dxa"/>
            </w:tcMar>
            <w:shd w:fill="F4F6F7"/>
          </w:tcPr>
          <w:p>
            <w:pPr>
              <w:widowControl/>
              <w:spacing w:after="0"/>
            </w:pPr>
            <w:r>
              <w:rPr>
                <w:rFonts w:ascii="Arial" w:hAnsi="Arial"/>
                <w:sz w:val="17"/>
              </w:rPr>
              <w:t>WOVEN FABRIC, CONTAINING 85% OR MORE BY WEIGHT OF COTTON WEIGHING MORE THAN 100 G/M2 BUT NOT MORE THAN 200 G/M2 PLAIN WEAVE, CERTIFIED HANDLOOM, PRINTED</w:t>
            </w:r>
          </w:p>
        </w:tc>
      </w:tr>
      <w:tr>
        <w:trPr>
          <w:cantSplit/>
        </w:trPr>
        <w:tc>
          <w:tcPr>
            <w:tcW w:type="dxa" w:w="2340"/>
            <w:tcMar>
              <w:top w:w="70" w:type="dxa"/>
              <w:start w:w="110" w:type="dxa"/>
              <w:bottom w:w="70" w:type="dxa"/>
              <w:end w:w="110" w:type="dxa"/>
            </w:tcMar>
          </w:tcPr>
          <w:p>
            <w:pPr>
              <w:widowControl/>
              <w:spacing w:after="0"/>
            </w:pPr>
            <w:r>
              <w:rPr>
                <w:rFonts w:ascii="Arial" w:hAnsi="Arial"/>
                <w:sz w:val="17"/>
              </w:rPr>
              <w:t>5209.31.3000</w:t>
            </w:r>
          </w:p>
        </w:tc>
        <w:tc>
          <w:tcPr>
            <w:tcW w:type="dxa" w:w="2340"/>
            <w:tcMar>
              <w:top w:w="70" w:type="dxa"/>
              <w:start w:w="110" w:type="dxa"/>
              <w:bottom w:w="70" w:type="dxa"/>
              <w:end w:w="110" w:type="dxa"/>
            </w:tcMar>
          </w:tcPr>
          <w:p>
            <w:pPr>
              <w:widowControl/>
              <w:spacing w:after="0"/>
            </w:pPr>
            <w:r>
              <w:rPr>
                <w:rFonts w:ascii="Arial" w:hAnsi="Arial"/>
                <w:sz w:val="17"/>
              </w:rPr>
              <w:t>1.00</w:t>
            </w:r>
          </w:p>
        </w:tc>
        <w:tc>
          <w:tcPr>
            <w:tcW w:type="dxa" w:w="2340"/>
            <w:tcMar>
              <w:top w:w="70" w:type="dxa"/>
              <w:start w:w="110" w:type="dxa"/>
              <w:bottom w:w="70" w:type="dxa"/>
              <w:end w:w="110" w:type="dxa"/>
            </w:tcMar>
          </w:tcPr>
          <w:p>
            <w:pPr>
              <w:widowControl/>
              <w:spacing w:after="0"/>
            </w:pPr>
            <w:r>
              <w:rPr>
                <w:rFonts w:ascii="Arial" w:hAnsi="Arial"/>
                <w:sz w:val="17"/>
              </w:rPr>
              <w:t>SM</w:t>
            </w:r>
          </w:p>
        </w:tc>
        <w:tc>
          <w:tcPr>
            <w:tcW w:type="dxa" w:w="2340"/>
            <w:tcMar>
              <w:top w:w="70" w:type="dxa"/>
              <w:start w:w="110" w:type="dxa"/>
              <w:bottom w:w="70" w:type="dxa"/>
              <w:end w:w="110" w:type="dxa"/>
            </w:tcMar>
          </w:tcPr>
          <w:p>
            <w:pPr>
              <w:widowControl/>
              <w:spacing w:after="0"/>
            </w:pPr>
            <w:r>
              <w:rPr>
                <w:rFonts w:ascii="Arial" w:hAnsi="Arial"/>
                <w:sz w:val="17"/>
              </w:rPr>
              <w:t>WOVEN FABRIC, CONTAINING 85% OR MORE BY WEIGHT OF COTTON WEIGHING MORE THAN 200 G/M2, PLAIN WEAVE, CERTIFIED HANDLOOM, DYED</w:t>
            </w:r>
          </w:p>
        </w:tc>
      </w:tr>
      <w:tr>
        <w:trPr>
          <w:cantSplit/>
        </w:trPr>
        <w:tc>
          <w:tcPr>
            <w:tcW w:type="dxa" w:w="2340"/>
            <w:tcMar>
              <w:top w:w="70" w:type="dxa"/>
              <w:start w:w="110" w:type="dxa"/>
              <w:bottom w:w="70" w:type="dxa"/>
              <w:end w:w="110" w:type="dxa"/>
            </w:tcMar>
            <w:shd w:fill="F4F6F7"/>
          </w:tcPr>
          <w:p>
            <w:pPr>
              <w:widowControl/>
              <w:spacing w:after="0"/>
            </w:pPr>
            <w:r>
              <w:rPr>
                <w:rFonts w:ascii="Arial" w:hAnsi="Arial"/>
                <w:sz w:val="17"/>
              </w:rPr>
              <w:t>5209.41.3000</w:t>
            </w:r>
          </w:p>
        </w:tc>
        <w:tc>
          <w:tcPr>
            <w:tcW w:type="dxa" w:w="2340"/>
            <w:tcMar>
              <w:top w:w="70" w:type="dxa"/>
              <w:start w:w="110" w:type="dxa"/>
              <w:bottom w:w="70" w:type="dxa"/>
              <w:end w:w="110" w:type="dxa"/>
            </w:tcMar>
            <w:shd w:fill="F4F6F7"/>
          </w:tcPr>
          <w:p>
            <w:pPr>
              <w:widowControl/>
              <w:spacing w:after="0"/>
            </w:pPr>
            <w:r>
              <w:rPr>
                <w:rFonts w:ascii="Arial" w:hAnsi="Arial"/>
                <w:sz w:val="17"/>
              </w:rPr>
              <w:t>1.00</w:t>
            </w:r>
          </w:p>
        </w:tc>
        <w:tc>
          <w:tcPr>
            <w:tcW w:type="dxa" w:w="2340"/>
            <w:tcMar>
              <w:top w:w="70" w:type="dxa"/>
              <w:start w:w="110" w:type="dxa"/>
              <w:bottom w:w="70" w:type="dxa"/>
              <w:end w:w="110" w:type="dxa"/>
            </w:tcMar>
            <w:shd w:fill="F4F6F7"/>
          </w:tcPr>
          <w:p>
            <w:pPr>
              <w:widowControl/>
              <w:spacing w:after="0"/>
            </w:pPr>
            <w:r>
              <w:rPr>
                <w:rFonts w:ascii="Arial" w:hAnsi="Arial"/>
                <w:sz w:val="17"/>
              </w:rPr>
              <w:t>SM</w:t>
            </w:r>
          </w:p>
        </w:tc>
        <w:tc>
          <w:tcPr>
            <w:tcW w:type="dxa" w:w="2340"/>
            <w:tcMar>
              <w:top w:w="70" w:type="dxa"/>
              <w:start w:w="110" w:type="dxa"/>
              <w:bottom w:w="70" w:type="dxa"/>
              <w:end w:w="110" w:type="dxa"/>
            </w:tcMar>
            <w:shd w:fill="F4F6F7"/>
          </w:tcPr>
          <w:p>
            <w:pPr>
              <w:widowControl/>
              <w:spacing w:after="0"/>
            </w:pPr>
            <w:r>
              <w:rPr>
                <w:rFonts w:ascii="Arial" w:hAnsi="Arial"/>
                <w:sz w:val="17"/>
              </w:rPr>
              <w:t>WOVEN FABRIC, CONTAINING 85% OR MORE BY WEIGHT OF COTTON WEIGHING MORE THAN 200 G/M2, PLAIN WEAVE, CERTIFIED HANDLOOM, YARNS OF DIFFERENT COLOR</w:t>
            </w:r>
          </w:p>
        </w:tc>
      </w:tr>
      <w:tr>
        <w:trPr>
          <w:cantSplit/>
        </w:trPr>
        <w:tc>
          <w:tcPr>
            <w:tcW w:type="dxa" w:w="2340"/>
            <w:tcMar>
              <w:top w:w="70" w:type="dxa"/>
              <w:start w:w="110" w:type="dxa"/>
              <w:bottom w:w="70" w:type="dxa"/>
              <w:end w:w="110" w:type="dxa"/>
            </w:tcMar>
          </w:tcPr>
          <w:p>
            <w:pPr>
              <w:widowControl/>
              <w:spacing w:after="0"/>
            </w:pPr>
            <w:r>
              <w:rPr>
                <w:rFonts w:ascii="Arial" w:hAnsi="Arial"/>
                <w:sz w:val="17"/>
              </w:rPr>
              <w:t>5209.51.3000</w:t>
            </w:r>
          </w:p>
        </w:tc>
        <w:tc>
          <w:tcPr>
            <w:tcW w:type="dxa" w:w="2340"/>
            <w:tcMar>
              <w:top w:w="70" w:type="dxa"/>
              <w:start w:w="110" w:type="dxa"/>
              <w:bottom w:w="70" w:type="dxa"/>
              <w:end w:w="110" w:type="dxa"/>
            </w:tcMar>
          </w:tcPr>
          <w:p>
            <w:pPr>
              <w:widowControl/>
              <w:spacing w:after="0"/>
            </w:pPr>
            <w:r>
              <w:rPr>
                <w:rFonts w:ascii="Arial" w:hAnsi="Arial"/>
                <w:sz w:val="17"/>
              </w:rPr>
              <w:t>1.00</w:t>
            </w:r>
          </w:p>
        </w:tc>
        <w:tc>
          <w:tcPr>
            <w:tcW w:type="dxa" w:w="2340"/>
            <w:tcMar>
              <w:top w:w="70" w:type="dxa"/>
              <w:start w:w="110" w:type="dxa"/>
              <w:bottom w:w="70" w:type="dxa"/>
              <w:end w:w="110" w:type="dxa"/>
            </w:tcMar>
          </w:tcPr>
          <w:p>
            <w:pPr>
              <w:widowControl/>
              <w:spacing w:after="0"/>
            </w:pPr>
            <w:r>
              <w:rPr>
                <w:rFonts w:ascii="Arial" w:hAnsi="Arial"/>
                <w:sz w:val="17"/>
              </w:rPr>
              <w:t>SM</w:t>
            </w:r>
          </w:p>
        </w:tc>
        <w:tc>
          <w:tcPr>
            <w:tcW w:type="dxa" w:w="2340"/>
            <w:tcMar>
              <w:top w:w="70" w:type="dxa"/>
              <w:start w:w="110" w:type="dxa"/>
              <w:bottom w:w="70" w:type="dxa"/>
              <w:end w:w="110" w:type="dxa"/>
            </w:tcMar>
          </w:tcPr>
          <w:p>
            <w:pPr>
              <w:widowControl/>
              <w:spacing w:after="0"/>
            </w:pPr>
            <w:r>
              <w:rPr>
                <w:rFonts w:ascii="Arial" w:hAnsi="Arial"/>
                <w:sz w:val="17"/>
              </w:rPr>
              <w:t>WOVEN FABRIC, CONTAINING 85% OR MORE BY WEIGHT OF COTTON WEIGHING MORE THAN 200 G/M2, PLAIN WEAVE, CERTIFIED HANDLOOM, PRINTED</w:t>
            </w:r>
          </w:p>
        </w:tc>
      </w:tr>
      <w:tr>
        <w:trPr>
          <w:cantSplit/>
        </w:trPr>
        <w:tc>
          <w:tcPr>
            <w:tcW w:type="dxa" w:w="2340"/>
            <w:tcMar>
              <w:top w:w="70" w:type="dxa"/>
              <w:start w:w="110" w:type="dxa"/>
              <w:bottom w:w="70" w:type="dxa"/>
              <w:end w:w="110" w:type="dxa"/>
            </w:tcMar>
            <w:shd w:fill="F4F6F7"/>
          </w:tcPr>
          <w:p>
            <w:pPr>
              <w:widowControl/>
              <w:spacing w:after="0"/>
            </w:pPr>
            <w:r>
              <w:rPr>
                <w:rFonts w:ascii="Arial" w:hAnsi="Arial"/>
                <w:sz w:val="17"/>
              </w:rPr>
              <w:t>5310.10.0020</w:t>
            </w:r>
          </w:p>
        </w:tc>
        <w:tc>
          <w:tcPr>
            <w:tcW w:type="dxa" w:w="2340"/>
            <w:tcMar>
              <w:top w:w="70" w:type="dxa"/>
              <w:start w:w="110" w:type="dxa"/>
              <w:bottom w:w="70" w:type="dxa"/>
              <w:end w:w="110" w:type="dxa"/>
            </w:tcMar>
            <w:shd w:fill="F4F6F7"/>
          </w:tcPr>
          <w:p>
            <w:pPr>
              <w:widowControl/>
              <w:spacing w:after="0"/>
            </w:pPr>
            <w:r>
              <w:rPr>
                <w:rFonts w:ascii="Arial" w:hAnsi="Arial"/>
                <w:sz w:val="17"/>
              </w:rPr>
              <w:t>1.00</w:t>
            </w:r>
          </w:p>
        </w:tc>
        <w:tc>
          <w:tcPr>
            <w:tcW w:type="dxa" w:w="2340"/>
            <w:tcMar>
              <w:top w:w="70" w:type="dxa"/>
              <w:start w:w="110" w:type="dxa"/>
              <w:bottom w:w="70" w:type="dxa"/>
              <w:end w:w="110" w:type="dxa"/>
            </w:tcMar>
            <w:shd w:fill="F4F6F7"/>
          </w:tcPr>
          <w:p>
            <w:pPr>
              <w:widowControl/>
              <w:spacing w:after="0"/>
            </w:pPr>
            <w:r>
              <w:rPr>
                <w:rFonts w:ascii="Arial" w:hAnsi="Arial"/>
                <w:sz w:val="17"/>
              </w:rPr>
              <w:t>SM</w:t>
            </w:r>
          </w:p>
        </w:tc>
        <w:tc>
          <w:tcPr>
            <w:tcW w:type="dxa" w:w="2340"/>
            <w:tcMar>
              <w:top w:w="70" w:type="dxa"/>
              <w:start w:w="110" w:type="dxa"/>
              <w:bottom w:w="70" w:type="dxa"/>
              <w:end w:w="110" w:type="dxa"/>
            </w:tcMar>
            <w:shd w:fill="F4F6F7"/>
          </w:tcPr>
          <w:p>
            <w:pPr>
              <w:widowControl/>
              <w:spacing w:after="0"/>
            </w:pPr>
            <w:r>
              <w:rPr>
                <w:rFonts w:ascii="Arial" w:hAnsi="Arial"/>
                <w:sz w:val="17"/>
              </w:rPr>
              <w:t>WOVEN FABRIC, JUTE OR OTHER TEXTILE BAST FIBER (EXCLUDING FLAX/HEMP/RAMIE), NOT OVER 130 CM WIDE, UNBLEACHED</w:t>
            </w:r>
          </w:p>
        </w:tc>
      </w:tr>
      <w:tr>
        <w:trPr>
          <w:cantSplit/>
        </w:trPr>
        <w:tc>
          <w:tcPr>
            <w:tcW w:type="dxa" w:w="2340"/>
            <w:tcMar>
              <w:top w:w="70" w:type="dxa"/>
              <w:start w:w="110" w:type="dxa"/>
              <w:bottom w:w="70" w:type="dxa"/>
              <w:end w:w="110" w:type="dxa"/>
            </w:tcMar>
          </w:tcPr>
          <w:p>
            <w:pPr>
              <w:widowControl/>
              <w:spacing w:after="0"/>
            </w:pPr>
            <w:r>
              <w:rPr>
                <w:rFonts w:ascii="Arial" w:hAnsi="Arial"/>
                <w:sz w:val="17"/>
              </w:rPr>
              <w:t>5310.10.0040</w:t>
            </w:r>
          </w:p>
        </w:tc>
        <w:tc>
          <w:tcPr>
            <w:tcW w:type="dxa" w:w="2340"/>
            <w:tcMar>
              <w:top w:w="70" w:type="dxa"/>
              <w:start w:w="110" w:type="dxa"/>
              <w:bottom w:w="70" w:type="dxa"/>
              <w:end w:w="110" w:type="dxa"/>
            </w:tcMar>
          </w:tcPr>
          <w:p>
            <w:pPr>
              <w:widowControl/>
              <w:spacing w:after="0"/>
            </w:pPr>
            <w:r>
              <w:rPr>
                <w:rFonts w:ascii="Arial" w:hAnsi="Arial"/>
                <w:sz w:val="17"/>
              </w:rPr>
              <w:t>1.00</w:t>
            </w:r>
          </w:p>
        </w:tc>
        <w:tc>
          <w:tcPr>
            <w:tcW w:type="dxa" w:w="2340"/>
            <w:tcMar>
              <w:top w:w="70" w:type="dxa"/>
              <w:start w:w="110" w:type="dxa"/>
              <w:bottom w:w="70" w:type="dxa"/>
              <w:end w:w="110" w:type="dxa"/>
            </w:tcMar>
          </w:tcPr>
          <w:p>
            <w:pPr>
              <w:widowControl/>
              <w:spacing w:after="0"/>
            </w:pPr>
            <w:r>
              <w:rPr>
                <w:rFonts w:ascii="Arial" w:hAnsi="Arial"/>
                <w:sz w:val="17"/>
              </w:rPr>
              <w:t>SM</w:t>
            </w:r>
          </w:p>
        </w:tc>
        <w:tc>
          <w:tcPr>
            <w:tcW w:type="dxa" w:w="2340"/>
            <w:tcMar>
              <w:top w:w="70" w:type="dxa"/>
              <w:start w:w="110" w:type="dxa"/>
              <w:bottom w:w="70" w:type="dxa"/>
              <w:end w:w="110" w:type="dxa"/>
            </w:tcMar>
          </w:tcPr>
          <w:p>
            <w:pPr>
              <w:widowControl/>
              <w:spacing w:after="0"/>
            </w:pPr>
            <w:r>
              <w:rPr>
                <w:rFonts w:ascii="Arial" w:hAnsi="Arial"/>
                <w:sz w:val="17"/>
              </w:rPr>
              <w:t>WOVEN FABRIC, JUTE OR OTHER TEXTILE BAST FIBER (EXCLUDING FLAX/HEMP/RAMIE) OVER 130 CM BUT NOT OVER 250 CM WIDE, UNBLEACHED</w:t>
            </w:r>
          </w:p>
        </w:tc>
      </w:tr>
      <w:tr>
        <w:trPr>
          <w:cantSplit/>
        </w:trPr>
        <w:tc>
          <w:tcPr>
            <w:tcW w:type="dxa" w:w="2340"/>
            <w:tcMar>
              <w:top w:w="70" w:type="dxa"/>
              <w:start w:w="110" w:type="dxa"/>
              <w:bottom w:w="70" w:type="dxa"/>
              <w:end w:w="110" w:type="dxa"/>
            </w:tcMar>
            <w:shd w:fill="F4F6F7"/>
          </w:tcPr>
          <w:p>
            <w:pPr>
              <w:widowControl/>
              <w:spacing w:after="0"/>
            </w:pPr>
            <w:r>
              <w:rPr>
                <w:rFonts w:ascii="Arial" w:hAnsi="Arial"/>
                <w:sz w:val="17"/>
              </w:rPr>
              <w:t>5310.10.0060</w:t>
            </w:r>
          </w:p>
        </w:tc>
        <w:tc>
          <w:tcPr>
            <w:tcW w:type="dxa" w:w="2340"/>
            <w:tcMar>
              <w:top w:w="70" w:type="dxa"/>
              <w:start w:w="110" w:type="dxa"/>
              <w:bottom w:w="70" w:type="dxa"/>
              <w:end w:w="110" w:type="dxa"/>
            </w:tcMar>
            <w:shd w:fill="F4F6F7"/>
          </w:tcPr>
          <w:p>
            <w:pPr>
              <w:widowControl/>
              <w:spacing w:after="0"/>
            </w:pPr>
            <w:r>
              <w:rPr>
                <w:rFonts w:ascii="Arial" w:hAnsi="Arial"/>
                <w:sz w:val="17"/>
              </w:rPr>
              <w:t>1.00</w:t>
            </w:r>
          </w:p>
        </w:tc>
        <w:tc>
          <w:tcPr>
            <w:tcW w:type="dxa" w:w="2340"/>
            <w:tcMar>
              <w:top w:w="70" w:type="dxa"/>
              <w:start w:w="110" w:type="dxa"/>
              <w:bottom w:w="70" w:type="dxa"/>
              <w:end w:w="110" w:type="dxa"/>
            </w:tcMar>
            <w:shd w:fill="F4F6F7"/>
          </w:tcPr>
          <w:p>
            <w:pPr>
              <w:widowControl/>
              <w:spacing w:after="0"/>
            </w:pPr>
            <w:r>
              <w:rPr>
                <w:rFonts w:ascii="Arial" w:hAnsi="Arial"/>
                <w:sz w:val="17"/>
              </w:rPr>
              <w:t>SM</w:t>
            </w:r>
          </w:p>
        </w:tc>
        <w:tc>
          <w:tcPr>
            <w:tcW w:type="dxa" w:w="2340"/>
            <w:tcMar>
              <w:top w:w="70" w:type="dxa"/>
              <w:start w:w="110" w:type="dxa"/>
              <w:bottom w:w="70" w:type="dxa"/>
              <w:end w:w="110" w:type="dxa"/>
            </w:tcMar>
            <w:shd w:fill="F4F6F7"/>
          </w:tcPr>
          <w:p>
            <w:pPr>
              <w:widowControl/>
              <w:spacing w:after="0"/>
            </w:pPr>
            <w:r>
              <w:rPr>
                <w:rFonts w:ascii="Arial" w:hAnsi="Arial"/>
                <w:sz w:val="17"/>
              </w:rPr>
              <w:t>WOVEN FABRIC, JUTE OR OTHER TEXTILE BAST FIBER(EXCLUDING FLAX/HEMP/RAMIE), OVER 250 CM WIDE, UNBLEACHED</w:t>
            </w:r>
          </w:p>
        </w:tc>
      </w:tr>
      <w:tr>
        <w:trPr>
          <w:cantSplit/>
        </w:trPr>
        <w:tc>
          <w:tcPr>
            <w:tcW w:type="dxa" w:w="2340"/>
            <w:tcMar>
              <w:top w:w="70" w:type="dxa"/>
              <w:start w:w="110" w:type="dxa"/>
              <w:bottom w:w="70" w:type="dxa"/>
              <w:end w:w="110" w:type="dxa"/>
            </w:tcMar>
          </w:tcPr>
          <w:p>
            <w:pPr>
              <w:widowControl/>
              <w:spacing w:after="0"/>
            </w:pPr>
            <w:r>
              <w:rPr>
                <w:rFonts w:ascii="Arial" w:hAnsi="Arial"/>
                <w:sz w:val="17"/>
              </w:rPr>
              <w:t>5310.90.0000</w:t>
            </w:r>
          </w:p>
        </w:tc>
        <w:tc>
          <w:tcPr>
            <w:tcW w:type="dxa" w:w="2340"/>
            <w:tcMar>
              <w:top w:w="70" w:type="dxa"/>
              <w:start w:w="110" w:type="dxa"/>
              <w:bottom w:w="70" w:type="dxa"/>
              <w:end w:w="110" w:type="dxa"/>
            </w:tcMar>
          </w:tcPr>
          <w:p>
            <w:pPr>
              <w:widowControl/>
              <w:spacing w:after="0"/>
            </w:pPr>
            <w:r>
              <w:rPr>
                <w:rFonts w:ascii="Arial" w:hAnsi="Arial"/>
                <w:sz w:val="17"/>
              </w:rPr>
              <w:t>1.00</w:t>
            </w:r>
          </w:p>
        </w:tc>
        <w:tc>
          <w:tcPr>
            <w:tcW w:type="dxa" w:w="2340"/>
            <w:tcMar>
              <w:top w:w="70" w:type="dxa"/>
              <w:start w:w="110" w:type="dxa"/>
              <w:bottom w:w="70" w:type="dxa"/>
              <w:end w:w="110" w:type="dxa"/>
            </w:tcMar>
          </w:tcPr>
          <w:p>
            <w:pPr>
              <w:widowControl/>
              <w:spacing w:after="0"/>
            </w:pPr>
            <w:r>
              <w:rPr>
                <w:rFonts w:ascii="Arial" w:hAnsi="Arial"/>
                <w:sz w:val="17"/>
              </w:rPr>
              <w:t>SM</w:t>
            </w:r>
          </w:p>
        </w:tc>
        <w:tc>
          <w:tcPr>
            <w:tcW w:type="dxa" w:w="2340"/>
            <w:tcMar>
              <w:top w:w="70" w:type="dxa"/>
              <w:start w:w="110" w:type="dxa"/>
              <w:bottom w:w="70" w:type="dxa"/>
              <w:end w:w="110" w:type="dxa"/>
            </w:tcMar>
          </w:tcPr>
          <w:p>
            <w:pPr>
              <w:widowControl/>
              <w:spacing w:after="0"/>
            </w:pPr>
            <w:r>
              <w:rPr>
                <w:rFonts w:ascii="Arial" w:hAnsi="Arial"/>
                <w:sz w:val="17"/>
              </w:rPr>
              <w:t>OTHER WOVEN FABRIC, JUTE OR OTHER TEXTILE BAST FIBER (EXCLUDING FLAX/HEMP/RAMIE)</w:t>
            </w:r>
          </w:p>
        </w:tc>
      </w:tr>
      <w:tr>
        <w:trPr>
          <w:cantSplit/>
        </w:trPr>
        <w:tc>
          <w:tcPr>
            <w:tcW w:type="dxa" w:w="2340"/>
            <w:tcMar>
              <w:top w:w="70" w:type="dxa"/>
              <w:start w:w="110" w:type="dxa"/>
              <w:bottom w:w="70" w:type="dxa"/>
              <w:end w:w="110" w:type="dxa"/>
            </w:tcMar>
            <w:shd w:fill="F4F6F7"/>
          </w:tcPr>
          <w:p>
            <w:pPr>
              <w:widowControl/>
              <w:spacing w:after="0"/>
            </w:pPr>
            <w:r>
              <w:rPr>
                <w:rFonts w:ascii="Arial" w:hAnsi="Arial"/>
                <w:sz w:val="17"/>
              </w:rPr>
              <w:t>5311.00.6000</w:t>
            </w:r>
          </w:p>
        </w:tc>
        <w:tc>
          <w:tcPr>
            <w:tcW w:type="dxa" w:w="2340"/>
            <w:tcMar>
              <w:top w:w="70" w:type="dxa"/>
              <w:start w:w="110" w:type="dxa"/>
              <w:bottom w:w="70" w:type="dxa"/>
              <w:end w:w="110" w:type="dxa"/>
            </w:tcMar>
            <w:shd w:fill="F4F6F7"/>
          </w:tcPr>
          <w:p>
            <w:pPr>
              <w:widowControl/>
              <w:spacing w:after="0"/>
            </w:pPr>
            <w:r>
              <w:rPr>
                <w:rFonts w:ascii="Arial" w:hAnsi="Arial"/>
                <w:sz w:val="17"/>
              </w:rPr>
              <w:t>1.00</w:t>
            </w:r>
          </w:p>
        </w:tc>
        <w:tc>
          <w:tcPr>
            <w:tcW w:type="dxa" w:w="2340"/>
            <w:tcMar>
              <w:top w:w="70" w:type="dxa"/>
              <w:start w:w="110" w:type="dxa"/>
              <w:bottom w:w="70" w:type="dxa"/>
              <w:end w:w="110" w:type="dxa"/>
            </w:tcMar>
            <w:shd w:fill="F4F6F7"/>
          </w:tcPr>
          <w:p>
            <w:pPr>
              <w:widowControl/>
              <w:spacing w:after="0"/>
            </w:pPr>
            <w:r>
              <w:rPr>
                <w:rFonts w:ascii="Arial" w:hAnsi="Arial"/>
                <w:sz w:val="17"/>
              </w:rPr>
              <w:t>SM</w:t>
            </w:r>
          </w:p>
        </w:tc>
        <w:tc>
          <w:tcPr>
            <w:tcW w:type="dxa" w:w="2340"/>
            <w:tcMar>
              <w:top w:w="70" w:type="dxa"/>
              <w:start w:w="110" w:type="dxa"/>
              <w:bottom w:w="70" w:type="dxa"/>
              <w:end w:w="110" w:type="dxa"/>
            </w:tcMar>
            <w:shd w:fill="F4F6F7"/>
          </w:tcPr>
          <w:p>
            <w:pPr>
              <w:widowControl/>
              <w:spacing w:after="0"/>
            </w:pPr>
            <w:r>
              <w:rPr>
                <w:rFonts w:ascii="Arial" w:hAnsi="Arial"/>
                <w:sz w:val="17"/>
              </w:rPr>
              <w:t>WOVEN FABRIC OF PAPER YARN</w:t>
            </w:r>
          </w:p>
        </w:tc>
      </w:tr>
      <w:tr>
        <w:trPr>
          <w:cantSplit/>
        </w:trPr>
        <w:tc>
          <w:tcPr>
            <w:tcW w:type="dxa" w:w="2340"/>
            <w:tcMar>
              <w:top w:w="70" w:type="dxa"/>
              <w:start w:w="110" w:type="dxa"/>
              <w:bottom w:w="70" w:type="dxa"/>
              <w:end w:w="110" w:type="dxa"/>
            </w:tcMar>
          </w:tcPr>
          <w:p>
            <w:pPr>
              <w:widowControl/>
              <w:spacing w:after="0"/>
            </w:pPr>
            <w:r>
              <w:rPr>
                <w:rFonts w:ascii="Arial" w:hAnsi="Arial"/>
                <w:sz w:val="17"/>
              </w:rPr>
              <w:t>5407.30.1000</w:t>
            </w:r>
          </w:p>
        </w:tc>
        <w:tc>
          <w:tcPr>
            <w:tcW w:type="dxa" w:w="2340"/>
            <w:tcMar>
              <w:top w:w="70" w:type="dxa"/>
              <w:start w:w="110" w:type="dxa"/>
              <w:bottom w:w="70" w:type="dxa"/>
              <w:end w:w="110" w:type="dxa"/>
            </w:tcMar>
          </w:tcPr>
          <w:p>
            <w:pPr>
              <w:widowControl/>
              <w:spacing w:after="0"/>
            </w:pPr>
            <w:r>
              <w:rPr>
                <w:rFonts w:ascii="Arial" w:hAnsi="Arial"/>
                <w:sz w:val="17"/>
              </w:rPr>
              <w:t>1.00</w:t>
            </w:r>
          </w:p>
        </w:tc>
        <w:tc>
          <w:tcPr>
            <w:tcW w:type="dxa" w:w="2340"/>
            <w:tcMar>
              <w:top w:w="70" w:type="dxa"/>
              <w:start w:w="110" w:type="dxa"/>
              <w:bottom w:w="70" w:type="dxa"/>
              <w:end w:w="110" w:type="dxa"/>
            </w:tcMar>
          </w:tcPr>
          <w:p>
            <w:pPr>
              <w:widowControl/>
              <w:spacing w:after="0"/>
            </w:pPr>
            <w:r>
              <w:rPr>
                <w:rFonts w:ascii="Arial" w:hAnsi="Arial"/>
                <w:sz w:val="17"/>
              </w:rPr>
              <w:t>SM</w:t>
            </w:r>
          </w:p>
        </w:tc>
        <w:tc>
          <w:tcPr>
            <w:tcW w:type="dxa" w:w="2340"/>
            <w:tcMar>
              <w:top w:w="70" w:type="dxa"/>
              <w:start w:w="110" w:type="dxa"/>
              <w:bottom w:w="70" w:type="dxa"/>
              <w:end w:w="110" w:type="dxa"/>
            </w:tcMar>
          </w:tcPr>
          <w:p>
            <w:pPr>
              <w:widowControl/>
              <w:spacing w:after="0"/>
            </w:pPr>
            <w:r>
              <w:rPr>
                <w:rFonts w:ascii="Arial" w:hAnsi="Arial"/>
                <w:sz w:val="17"/>
              </w:rPr>
              <w:t>WOVEN SYNTHETIC FILAMENT FABRIC WITH     YARN AT ACUTE/RIGHT ANGLES, OVER 60% BY WEIGHT OF PLASTIC</w:t>
            </w:r>
          </w:p>
        </w:tc>
      </w:tr>
      <w:tr>
        <w:trPr>
          <w:cantSplit/>
        </w:trPr>
        <w:tc>
          <w:tcPr>
            <w:tcW w:type="dxa" w:w="2340"/>
            <w:tcMar>
              <w:top w:w="70" w:type="dxa"/>
              <w:start w:w="110" w:type="dxa"/>
              <w:bottom w:w="70" w:type="dxa"/>
              <w:end w:w="110" w:type="dxa"/>
            </w:tcMar>
            <w:shd w:fill="F4F6F7"/>
          </w:tcPr>
          <w:p>
            <w:pPr>
              <w:widowControl/>
              <w:spacing w:after="0"/>
            </w:pPr>
            <w:r>
              <w:rPr>
                <w:rFonts w:ascii="Arial" w:hAnsi="Arial"/>
                <w:sz w:val="17"/>
              </w:rPr>
              <w:t>5605.00.1000</w:t>
            </w:r>
          </w:p>
        </w:tc>
        <w:tc>
          <w:tcPr>
            <w:tcW w:type="dxa" w:w="2340"/>
            <w:tcMar>
              <w:top w:w="70" w:type="dxa"/>
              <w:start w:w="110" w:type="dxa"/>
              <w:bottom w:w="70" w:type="dxa"/>
              <w:end w:w="110" w:type="dxa"/>
            </w:tcMar>
            <w:shd w:fill="F4F6F7"/>
          </w:tcPr>
          <w:p>
            <w:pPr>
              <w:widowControl/>
              <w:spacing w:after="0"/>
            </w:pPr>
            <w:r>
              <w:rPr>
                <w:rFonts w:ascii="Arial" w:hAnsi="Arial"/>
                <w:sz w:val="17"/>
              </w:rPr>
              <w:t>6.5</w:t>
            </w:r>
          </w:p>
        </w:tc>
        <w:tc>
          <w:tcPr>
            <w:tcW w:type="dxa" w:w="2340"/>
            <w:tcMar>
              <w:top w:w="70" w:type="dxa"/>
              <w:start w:w="110" w:type="dxa"/>
              <w:bottom w:w="70" w:type="dxa"/>
              <w:end w:w="110" w:type="dxa"/>
            </w:tcMar>
            <w:shd w:fill="F4F6F7"/>
          </w:tcPr>
          <w:p>
            <w:pPr>
              <w:widowControl/>
              <w:spacing w:after="0"/>
            </w:pPr>
            <w:r>
              <w:rPr>
                <w:rFonts w:ascii="Arial" w:hAnsi="Arial"/>
                <w:sz w:val="17"/>
              </w:rPr>
              <w:t>KG</w:t>
            </w:r>
          </w:p>
        </w:tc>
        <w:tc>
          <w:tcPr>
            <w:tcW w:type="dxa" w:w="2340"/>
            <w:tcMar>
              <w:top w:w="70" w:type="dxa"/>
              <w:start w:w="110" w:type="dxa"/>
              <w:bottom w:w="70" w:type="dxa"/>
              <w:end w:w="110" w:type="dxa"/>
            </w:tcMar>
            <w:shd w:fill="F4F6F7"/>
          </w:tcPr>
          <w:p>
            <w:pPr>
              <w:widowControl/>
              <w:spacing w:after="0"/>
            </w:pPr>
            <w:r>
              <w:rPr>
                <w:rFonts w:ascii="Arial" w:hAnsi="Arial"/>
                <w:sz w:val="17"/>
              </w:rPr>
              <w:t>METAL COATED OR METAL LAMINATED MAN-MADE FILAMENT OR STRIP OR THE LIKE, UNGIMPED, AND UNTWISTED OR WITH TWIST OF LESS THAN 5 TURNS PER METER WOVEN PILE FABRIC, CONTAINING 85% OR</w:t>
            </w:r>
          </w:p>
        </w:tc>
      </w:tr>
      <w:tr>
        <w:trPr>
          <w:cantSplit/>
        </w:trPr>
        <w:tc>
          <w:tcPr>
            <w:tcW w:type="dxa" w:w="2340"/>
            <w:tcMar>
              <w:top w:w="70" w:type="dxa"/>
              <w:start w:w="110" w:type="dxa"/>
              <w:bottom w:w="70" w:type="dxa"/>
              <w:end w:w="110" w:type="dxa"/>
            </w:tcMar>
          </w:tcPr>
          <w:p>
            <w:pPr>
              <w:widowControl/>
              <w:spacing w:after="0"/>
            </w:pPr>
            <w:r>
              <w:rPr>
                <w:rFonts w:ascii="Arial" w:hAnsi="Arial"/>
                <w:sz w:val="17"/>
              </w:rPr>
              <w:t>5801.90.2010</w:t>
            </w:r>
          </w:p>
        </w:tc>
        <w:tc>
          <w:tcPr>
            <w:tcW w:type="dxa" w:w="2340"/>
            <w:tcMar>
              <w:top w:w="70" w:type="dxa"/>
              <w:start w:w="110" w:type="dxa"/>
              <w:bottom w:w="70" w:type="dxa"/>
              <w:end w:w="110" w:type="dxa"/>
            </w:tcMar>
          </w:tcPr>
          <w:p>
            <w:pPr>
              <w:widowControl/>
              <w:spacing w:after="0"/>
            </w:pPr>
            <w:r>
              <w:rPr>
                <w:rFonts w:ascii="Arial" w:hAnsi="Arial"/>
                <w:sz w:val="17"/>
              </w:rPr>
              <w:t>1.00</w:t>
            </w:r>
          </w:p>
        </w:tc>
        <w:tc>
          <w:tcPr>
            <w:tcW w:type="dxa" w:w="2340"/>
            <w:tcMar>
              <w:top w:w="70" w:type="dxa"/>
              <w:start w:w="110" w:type="dxa"/>
              <w:bottom w:w="70" w:type="dxa"/>
              <w:end w:w="110" w:type="dxa"/>
            </w:tcMar>
          </w:tcPr>
          <w:p>
            <w:pPr>
              <w:widowControl/>
              <w:spacing w:after="0"/>
            </w:pPr>
            <w:r>
              <w:rPr>
                <w:rFonts w:ascii="Arial" w:hAnsi="Arial"/>
                <w:sz w:val="17"/>
              </w:rPr>
              <w:t>SM</w:t>
            </w:r>
          </w:p>
        </w:tc>
        <w:tc>
          <w:tcPr>
            <w:tcW w:type="dxa" w:w="2340"/>
            <w:tcMar>
              <w:top w:w="70" w:type="dxa"/>
              <w:start w:w="110" w:type="dxa"/>
              <w:bottom w:w="70" w:type="dxa"/>
              <w:end w:w="110" w:type="dxa"/>
            </w:tcMar>
          </w:tcPr>
          <w:p>
            <w:pPr>
              <w:widowControl/>
              <w:spacing w:after="0"/>
            </w:pPr>
            <w:r>
              <w:rPr>
                <w:rFonts w:ascii="Arial" w:hAnsi="Arial"/>
                <w:sz w:val="17"/>
              </w:rPr>
              <w:t>MORE BY WEIGHT OF SILK OR SILK WASTE</w:t>
            </w:r>
          </w:p>
        </w:tc>
      </w:tr>
      <w:tr>
        <w:trPr>
          <w:cantSplit/>
        </w:trPr>
        <w:tc>
          <w:tcPr>
            <w:tcW w:type="dxa" w:w="2340"/>
            <w:tcMar>
              <w:top w:w="70" w:type="dxa"/>
              <w:start w:w="110" w:type="dxa"/>
              <w:bottom w:w="70" w:type="dxa"/>
              <w:end w:w="110" w:type="dxa"/>
            </w:tcMar>
            <w:shd w:fill="F4F6F7"/>
          </w:tcPr>
          <w:p>
            <w:pPr>
              <w:widowControl/>
              <w:spacing w:after="0"/>
            </w:pPr>
            <w:r>
              <w:rPr>
                <w:rFonts w:ascii="Arial" w:hAnsi="Arial"/>
                <w:sz w:val="17"/>
              </w:rPr>
              <w:t>5802.20.0010</w:t>
            </w:r>
          </w:p>
        </w:tc>
        <w:tc>
          <w:tcPr>
            <w:tcW w:type="dxa" w:w="2340"/>
            <w:tcMar>
              <w:top w:w="70" w:type="dxa"/>
              <w:start w:w="110" w:type="dxa"/>
              <w:bottom w:w="70" w:type="dxa"/>
              <w:end w:w="110" w:type="dxa"/>
            </w:tcMar>
            <w:shd w:fill="F4F6F7"/>
          </w:tcPr>
          <w:p>
            <w:pPr>
              <w:widowControl/>
              <w:spacing w:after="0"/>
            </w:pPr>
            <w:r>
              <w:rPr>
                <w:rFonts w:ascii="Arial" w:hAnsi="Arial"/>
                <w:sz w:val="17"/>
              </w:rPr>
              <w:t>1.00</w:t>
            </w:r>
          </w:p>
        </w:tc>
        <w:tc>
          <w:tcPr>
            <w:tcW w:type="dxa" w:w="2340"/>
            <w:tcMar>
              <w:top w:w="70" w:type="dxa"/>
              <w:start w:w="110" w:type="dxa"/>
              <w:bottom w:w="70" w:type="dxa"/>
              <w:end w:w="110" w:type="dxa"/>
            </w:tcMar>
            <w:shd w:fill="F4F6F7"/>
          </w:tcPr>
          <w:p>
            <w:pPr>
              <w:widowControl/>
              <w:spacing w:after="0"/>
            </w:pPr>
            <w:r>
              <w:rPr>
                <w:rFonts w:ascii="Arial" w:hAnsi="Arial"/>
                <w:sz w:val="17"/>
              </w:rPr>
              <w:t>SM</w:t>
            </w:r>
          </w:p>
        </w:tc>
        <w:tc>
          <w:tcPr>
            <w:tcW w:type="dxa" w:w="2340"/>
            <w:tcMar>
              <w:top w:w="70" w:type="dxa"/>
              <w:start w:w="110" w:type="dxa"/>
              <w:bottom w:w="70" w:type="dxa"/>
              <w:end w:w="110" w:type="dxa"/>
            </w:tcMar>
            <w:shd w:fill="F4F6F7"/>
          </w:tcPr>
          <w:p>
            <w:pPr>
              <w:widowControl/>
              <w:spacing w:after="0"/>
            </w:pPr>
            <w:r>
              <w:rPr>
                <w:rFonts w:ascii="Arial" w:hAnsi="Arial"/>
                <w:sz w:val="17"/>
              </w:rPr>
              <w:t>TERRY TOWELING AND SIMILAR WOVEN FABRIC, CONTAINING 85% OR MORE BY WEIGHT OF SILK OR SILK WASTE</w:t>
            </w:r>
          </w:p>
        </w:tc>
      </w:tr>
      <w:tr>
        <w:trPr>
          <w:cantSplit/>
        </w:trPr>
        <w:tc>
          <w:tcPr>
            <w:tcW w:type="dxa" w:w="2340"/>
            <w:tcMar>
              <w:top w:w="70" w:type="dxa"/>
              <w:start w:w="110" w:type="dxa"/>
              <w:bottom w:w="70" w:type="dxa"/>
              <w:end w:w="110" w:type="dxa"/>
            </w:tcMar>
          </w:tcPr>
          <w:p>
            <w:pPr>
              <w:widowControl/>
              <w:spacing w:after="0"/>
            </w:pPr>
            <w:r>
              <w:rPr>
                <w:rFonts w:ascii="Arial" w:hAnsi="Arial"/>
                <w:sz w:val="17"/>
              </w:rPr>
              <w:t>5802.30.0010</w:t>
            </w:r>
          </w:p>
        </w:tc>
        <w:tc>
          <w:tcPr>
            <w:tcW w:type="dxa" w:w="2340"/>
            <w:tcMar>
              <w:top w:w="70" w:type="dxa"/>
              <w:start w:w="110" w:type="dxa"/>
              <w:bottom w:w="70" w:type="dxa"/>
              <w:end w:w="110" w:type="dxa"/>
            </w:tcMar>
          </w:tcPr>
          <w:p>
            <w:pPr>
              <w:widowControl/>
              <w:spacing w:after="0"/>
            </w:pPr>
            <w:r>
              <w:rPr>
                <w:rFonts w:ascii="Arial" w:hAnsi="Arial"/>
                <w:sz w:val="17"/>
              </w:rPr>
              <w:t>1.00</w:t>
            </w:r>
          </w:p>
        </w:tc>
        <w:tc>
          <w:tcPr>
            <w:tcW w:type="dxa" w:w="2340"/>
            <w:tcMar>
              <w:top w:w="70" w:type="dxa"/>
              <w:start w:w="110" w:type="dxa"/>
              <w:bottom w:w="70" w:type="dxa"/>
              <w:end w:w="110" w:type="dxa"/>
            </w:tcMar>
          </w:tcPr>
          <w:p>
            <w:pPr>
              <w:widowControl/>
              <w:spacing w:after="0"/>
            </w:pPr>
            <w:r>
              <w:rPr>
                <w:rFonts w:ascii="Arial" w:hAnsi="Arial"/>
                <w:sz w:val="17"/>
              </w:rPr>
              <w:t>SM</w:t>
            </w:r>
          </w:p>
        </w:tc>
        <w:tc>
          <w:tcPr>
            <w:tcW w:type="dxa" w:w="2340"/>
            <w:tcMar>
              <w:top w:w="70" w:type="dxa"/>
              <w:start w:w="110" w:type="dxa"/>
              <w:bottom w:w="70" w:type="dxa"/>
              <w:end w:w="110" w:type="dxa"/>
            </w:tcMar>
          </w:tcPr>
          <w:p>
            <w:pPr>
              <w:widowControl/>
              <w:spacing w:after="0"/>
            </w:pPr>
            <w:r>
              <w:rPr>
                <w:rFonts w:ascii="Arial" w:hAnsi="Arial"/>
                <w:sz w:val="17"/>
              </w:rPr>
              <w:t>TUFTED TEXTILE FABRIC, CONTAINING 85% OR MORE BY WEIGHT OF SILK OR SILK WASTE</w:t>
            </w:r>
          </w:p>
        </w:tc>
      </w:tr>
      <w:tr>
        <w:trPr>
          <w:cantSplit/>
        </w:trPr>
        <w:tc>
          <w:tcPr>
            <w:tcW w:type="dxa" w:w="2340"/>
            <w:tcMar>
              <w:top w:w="70" w:type="dxa"/>
              <w:start w:w="110" w:type="dxa"/>
              <w:bottom w:w="70" w:type="dxa"/>
              <w:end w:w="110" w:type="dxa"/>
            </w:tcMar>
            <w:shd w:fill="F4F6F7"/>
          </w:tcPr>
          <w:p>
            <w:pPr>
              <w:widowControl/>
              <w:spacing w:after="0"/>
            </w:pPr>
            <w:r>
              <w:rPr>
                <w:rFonts w:ascii="Arial" w:hAnsi="Arial"/>
                <w:sz w:val="17"/>
              </w:rPr>
              <w:t>5803.00.9010</w:t>
            </w:r>
          </w:p>
        </w:tc>
        <w:tc>
          <w:tcPr>
            <w:tcW w:type="dxa" w:w="2340"/>
            <w:tcMar>
              <w:top w:w="70" w:type="dxa"/>
              <w:start w:w="110" w:type="dxa"/>
              <w:bottom w:w="70" w:type="dxa"/>
              <w:end w:w="110" w:type="dxa"/>
            </w:tcMar>
            <w:shd w:fill="F4F6F7"/>
          </w:tcPr>
          <w:p>
            <w:pPr>
              <w:widowControl/>
              <w:spacing w:after="0"/>
            </w:pPr>
            <w:r>
              <w:rPr>
                <w:rFonts w:ascii="Arial" w:hAnsi="Arial"/>
                <w:sz w:val="17"/>
              </w:rPr>
              <w:t>1.00</w:t>
            </w:r>
          </w:p>
        </w:tc>
        <w:tc>
          <w:tcPr>
            <w:tcW w:type="dxa" w:w="2340"/>
            <w:tcMar>
              <w:top w:w="70" w:type="dxa"/>
              <w:start w:w="110" w:type="dxa"/>
              <w:bottom w:w="70" w:type="dxa"/>
              <w:end w:w="110" w:type="dxa"/>
            </w:tcMar>
            <w:shd w:fill="F4F6F7"/>
          </w:tcPr>
          <w:p>
            <w:pPr>
              <w:widowControl/>
              <w:spacing w:after="0"/>
            </w:pPr>
            <w:r>
              <w:rPr>
                <w:rFonts w:ascii="Arial" w:hAnsi="Arial"/>
                <w:sz w:val="17"/>
              </w:rPr>
              <w:t>SM</w:t>
            </w:r>
          </w:p>
        </w:tc>
        <w:tc>
          <w:tcPr>
            <w:tcW w:type="dxa" w:w="2340"/>
            <w:tcMar>
              <w:top w:w="70" w:type="dxa"/>
              <w:start w:w="110" w:type="dxa"/>
              <w:bottom w:w="70" w:type="dxa"/>
              <w:end w:w="110" w:type="dxa"/>
            </w:tcMar>
            <w:shd w:fill="F4F6F7"/>
          </w:tcPr>
          <w:p>
            <w:pPr>
              <w:widowControl/>
              <w:spacing w:after="0"/>
            </w:pPr>
            <w:r>
              <w:rPr>
                <w:rFonts w:ascii="Arial" w:hAnsi="Arial"/>
                <w:sz w:val="17"/>
              </w:rPr>
              <w:t>GAUZE, CONTAINING 85% OR MORE BY WEIGHT OF SILK OR SILK WASTE</w:t>
            </w:r>
          </w:p>
        </w:tc>
      </w:tr>
      <w:tr>
        <w:trPr>
          <w:cantSplit/>
        </w:trPr>
        <w:tc>
          <w:tcPr>
            <w:tcW w:type="dxa" w:w="2340"/>
            <w:tcMar>
              <w:top w:w="70" w:type="dxa"/>
              <w:start w:w="110" w:type="dxa"/>
              <w:bottom w:w="70" w:type="dxa"/>
              <w:end w:w="110" w:type="dxa"/>
            </w:tcMar>
          </w:tcPr>
          <w:p>
            <w:pPr>
              <w:widowControl/>
              <w:spacing w:after="0"/>
            </w:pPr>
            <w:r>
              <w:rPr>
                <w:rFonts w:ascii="Arial" w:hAnsi="Arial"/>
                <w:sz w:val="17"/>
              </w:rPr>
              <w:t>5804.10.9010</w:t>
            </w:r>
          </w:p>
        </w:tc>
        <w:tc>
          <w:tcPr>
            <w:tcW w:type="dxa" w:w="2340"/>
            <w:tcMar>
              <w:top w:w="70" w:type="dxa"/>
              <w:start w:w="110" w:type="dxa"/>
              <w:bottom w:w="70" w:type="dxa"/>
              <w:end w:w="110" w:type="dxa"/>
            </w:tcMar>
          </w:tcPr>
          <w:p>
            <w:pPr>
              <w:widowControl/>
              <w:spacing w:after="0"/>
            </w:pPr>
            <w:r>
              <w:rPr>
                <w:rFonts w:ascii="Arial" w:hAnsi="Arial"/>
                <w:sz w:val="17"/>
              </w:rPr>
              <w:t>11.10</w:t>
            </w:r>
          </w:p>
        </w:tc>
        <w:tc>
          <w:tcPr>
            <w:tcW w:type="dxa" w:w="2340"/>
            <w:tcMar>
              <w:top w:w="70" w:type="dxa"/>
              <w:start w:w="110" w:type="dxa"/>
              <w:bottom w:w="70" w:type="dxa"/>
              <w:end w:w="110" w:type="dxa"/>
            </w:tcMar>
          </w:tcPr>
          <w:p>
            <w:pPr>
              <w:widowControl/>
              <w:spacing w:after="0"/>
            </w:pPr>
            <w:r>
              <w:rPr>
                <w:rFonts w:ascii="Arial" w:hAnsi="Arial"/>
                <w:sz w:val="17"/>
              </w:rPr>
              <w:t>KG</w:t>
            </w:r>
          </w:p>
        </w:tc>
        <w:tc>
          <w:tcPr>
            <w:tcW w:type="dxa" w:w="2340"/>
            <w:tcMar>
              <w:top w:w="70" w:type="dxa"/>
              <w:start w:w="110" w:type="dxa"/>
              <w:bottom w:w="70" w:type="dxa"/>
              <w:end w:w="110" w:type="dxa"/>
            </w:tcMar>
          </w:tcPr>
          <w:p>
            <w:pPr>
              <w:widowControl/>
              <w:spacing w:after="0"/>
            </w:pPr>
            <w:r>
              <w:rPr>
                <w:rFonts w:ascii="Arial" w:hAnsi="Arial"/>
                <w:sz w:val="17"/>
              </w:rPr>
              <w:t>TULLES &amp; OTHER NETTING FABRIC NOT INCLUDING WOVEN, KNIT OR CROCHETED, CONTAINING 85% OR MORE BY WEIGHT OF SILK OR SILK WASTE</w:t>
            </w:r>
          </w:p>
        </w:tc>
      </w:tr>
      <w:tr>
        <w:trPr>
          <w:cantSplit/>
        </w:trPr>
        <w:tc>
          <w:tcPr>
            <w:tcW w:type="dxa" w:w="2340"/>
            <w:tcMar>
              <w:top w:w="70" w:type="dxa"/>
              <w:start w:w="110" w:type="dxa"/>
              <w:bottom w:w="70" w:type="dxa"/>
              <w:end w:w="110" w:type="dxa"/>
            </w:tcMar>
            <w:shd w:fill="F4F6F7"/>
          </w:tcPr>
          <w:p>
            <w:pPr>
              <w:widowControl/>
              <w:spacing w:after="0"/>
            </w:pPr>
            <w:r>
              <w:rPr>
                <w:rFonts w:ascii="Arial" w:hAnsi="Arial"/>
                <w:sz w:val="17"/>
              </w:rPr>
              <w:t>5804.29.9010</w:t>
            </w:r>
          </w:p>
        </w:tc>
        <w:tc>
          <w:tcPr>
            <w:tcW w:type="dxa" w:w="2340"/>
            <w:tcMar>
              <w:top w:w="70" w:type="dxa"/>
              <w:start w:w="110" w:type="dxa"/>
              <w:bottom w:w="70" w:type="dxa"/>
              <w:end w:w="110" w:type="dxa"/>
            </w:tcMar>
            <w:shd w:fill="F4F6F7"/>
          </w:tcPr>
          <w:p>
            <w:pPr>
              <w:widowControl/>
              <w:spacing w:after="0"/>
            </w:pPr>
            <w:r>
              <w:rPr>
                <w:rFonts w:ascii="Arial" w:hAnsi="Arial"/>
                <w:sz w:val="17"/>
              </w:rPr>
              <w:t>11.10</w:t>
            </w:r>
          </w:p>
        </w:tc>
        <w:tc>
          <w:tcPr>
            <w:tcW w:type="dxa" w:w="2340"/>
            <w:tcMar>
              <w:top w:w="70" w:type="dxa"/>
              <w:start w:w="110" w:type="dxa"/>
              <w:bottom w:w="70" w:type="dxa"/>
              <w:end w:w="110" w:type="dxa"/>
            </w:tcMar>
            <w:shd w:fill="F4F6F7"/>
          </w:tcPr>
          <w:p>
            <w:pPr>
              <w:widowControl/>
              <w:spacing w:after="0"/>
            </w:pPr>
            <w:r>
              <w:rPr>
                <w:rFonts w:ascii="Arial" w:hAnsi="Arial"/>
                <w:sz w:val="17"/>
              </w:rPr>
              <w:t>KG</w:t>
            </w:r>
          </w:p>
        </w:tc>
        <w:tc>
          <w:tcPr>
            <w:tcW w:type="dxa" w:w="2340"/>
            <w:tcMar>
              <w:top w:w="70" w:type="dxa"/>
              <w:start w:w="110" w:type="dxa"/>
              <w:bottom w:w="70" w:type="dxa"/>
              <w:end w:w="110" w:type="dxa"/>
            </w:tcMar>
            <w:shd w:fill="F4F6F7"/>
          </w:tcPr>
          <w:p>
            <w:pPr>
              <w:widowControl/>
              <w:spacing w:after="0"/>
            </w:pPr>
            <w:r>
              <w:rPr>
                <w:rFonts w:ascii="Arial" w:hAnsi="Arial"/>
                <w:sz w:val="17"/>
              </w:rPr>
              <w:t>OTHER MECHANICALLY MADE LACE IN THE PIECE/STRIP/MOTIF, CONTAINING 85% OR MORE BY WEIGHT OF SILK OR SILK WASTE</w:t>
            </w:r>
          </w:p>
        </w:tc>
      </w:tr>
      <w:tr>
        <w:trPr>
          <w:cantSplit/>
        </w:trPr>
        <w:tc>
          <w:tcPr>
            <w:tcW w:type="dxa" w:w="2340"/>
            <w:tcMar>
              <w:top w:w="70" w:type="dxa"/>
              <w:start w:w="110" w:type="dxa"/>
              <w:bottom w:w="70" w:type="dxa"/>
              <w:end w:w="110" w:type="dxa"/>
            </w:tcMar>
          </w:tcPr>
          <w:p>
            <w:pPr>
              <w:widowControl/>
              <w:spacing w:after="0"/>
            </w:pPr>
            <w:r>
              <w:rPr>
                <w:rFonts w:ascii="Arial" w:hAnsi="Arial"/>
                <w:sz w:val="17"/>
              </w:rPr>
              <w:t>5804.30.0010</w:t>
            </w:r>
          </w:p>
        </w:tc>
        <w:tc>
          <w:tcPr>
            <w:tcW w:type="dxa" w:w="2340"/>
            <w:tcMar>
              <w:top w:w="70" w:type="dxa"/>
              <w:start w:w="110" w:type="dxa"/>
              <w:bottom w:w="70" w:type="dxa"/>
              <w:end w:w="110" w:type="dxa"/>
            </w:tcMar>
          </w:tcPr>
          <w:p>
            <w:pPr>
              <w:widowControl/>
              <w:spacing w:after="0"/>
            </w:pPr>
            <w:r>
              <w:rPr>
                <w:rFonts w:ascii="Arial" w:hAnsi="Arial"/>
                <w:sz w:val="17"/>
              </w:rPr>
              <w:t>11.10</w:t>
            </w:r>
          </w:p>
        </w:tc>
        <w:tc>
          <w:tcPr>
            <w:tcW w:type="dxa" w:w="2340"/>
            <w:tcMar>
              <w:top w:w="70" w:type="dxa"/>
              <w:start w:w="110" w:type="dxa"/>
              <w:bottom w:w="70" w:type="dxa"/>
              <w:end w:w="110" w:type="dxa"/>
            </w:tcMar>
          </w:tcPr>
          <w:p>
            <w:pPr>
              <w:widowControl/>
              <w:spacing w:after="0"/>
            </w:pPr>
            <w:r>
              <w:rPr>
                <w:rFonts w:ascii="Arial" w:hAnsi="Arial"/>
                <w:sz w:val="17"/>
              </w:rPr>
              <w:t>KG</w:t>
            </w:r>
          </w:p>
        </w:tc>
        <w:tc>
          <w:tcPr>
            <w:tcW w:type="dxa" w:w="2340"/>
            <w:tcMar>
              <w:top w:w="70" w:type="dxa"/>
              <w:start w:w="110" w:type="dxa"/>
              <w:bottom w:w="70" w:type="dxa"/>
              <w:end w:w="110" w:type="dxa"/>
            </w:tcMar>
          </w:tcPr>
          <w:p>
            <w:pPr>
              <w:widowControl/>
              <w:spacing w:after="0"/>
            </w:pPr>
            <w:r>
              <w:rPr>
                <w:rFonts w:ascii="Arial" w:hAnsi="Arial"/>
                <w:sz w:val="17"/>
              </w:rPr>
              <w:t>HANDMADE LACE IN PIECE/STRIP/MOTIF, CONTAINING 85% OR MORE BY WEIGHT OF SILK OR SILK WASTE</w:t>
            </w:r>
          </w:p>
        </w:tc>
      </w:tr>
      <w:tr>
        <w:trPr>
          <w:cantSplit/>
        </w:trPr>
        <w:tc>
          <w:tcPr>
            <w:tcW w:type="dxa" w:w="2340"/>
            <w:tcMar>
              <w:top w:w="70" w:type="dxa"/>
              <w:start w:w="110" w:type="dxa"/>
              <w:bottom w:w="70" w:type="dxa"/>
              <w:end w:w="110" w:type="dxa"/>
            </w:tcMar>
            <w:shd w:fill="F4F6F7"/>
          </w:tcPr>
          <w:p>
            <w:pPr>
              <w:widowControl/>
              <w:spacing w:after="0"/>
            </w:pPr>
            <w:r>
              <w:rPr>
                <w:rFonts w:ascii="Arial" w:hAnsi="Arial"/>
                <w:sz w:val="17"/>
              </w:rPr>
              <w:t>5805.00.1000</w:t>
            </w:r>
          </w:p>
        </w:tc>
        <w:tc>
          <w:tcPr>
            <w:tcW w:type="dxa" w:w="2340"/>
            <w:tcMar>
              <w:top w:w="70" w:type="dxa"/>
              <w:start w:w="110" w:type="dxa"/>
              <w:bottom w:w="70" w:type="dxa"/>
              <w:end w:w="110" w:type="dxa"/>
            </w:tcMar>
            <w:shd w:fill="F4F6F7"/>
          </w:tcPr>
          <w:p>
            <w:pPr>
              <w:widowControl/>
              <w:spacing w:after="0"/>
            </w:pPr>
            <w:r>
              <w:rPr>
                <w:rFonts w:ascii="Arial" w:hAnsi="Arial"/>
                <w:sz w:val="17"/>
              </w:rPr>
              <w:t>1.00</w:t>
            </w:r>
          </w:p>
        </w:tc>
        <w:tc>
          <w:tcPr>
            <w:tcW w:type="dxa" w:w="2340"/>
            <w:tcMar>
              <w:top w:w="70" w:type="dxa"/>
              <w:start w:w="110" w:type="dxa"/>
              <w:bottom w:w="70" w:type="dxa"/>
              <w:end w:w="110" w:type="dxa"/>
            </w:tcMar>
            <w:shd w:fill="F4F6F7"/>
          </w:tcPr>
          <w:p>
            <w:pPr>
              <w:widowControl/>
              <w:spacing w:after="0"/>
            </w:pPr>
            <w:r>
              <w:rPr>
                <w:rFonts w:ascii="Arial" w:hAnsi="Arial"/>
                <w:sz w:val="17"/>
              </w:rPr>
              <w:t>SM</w:t>
            </w:r>
          </w:p>
        </w:tc>
        <w:tc>
          <w:tcPr>
            <w:tcW w:type="dxa" w:w="2340"/>
            <w:tcMar>
              <w:top w:w="70" w:type="dxa"/>
              <w:start w:w="110" w:type="dxa"/>
              <w:bottom w:w="70" w:type="dxa"/>
              <w:end w:w="110" w:type="dxa"/>
            </w:tcMar>
            <w:shd w:fill="F4F6F7"/>
          </w:tcPr>
          <w:p>
            <w:pPr>
              <w:widowControl/>
              <w:spacing w:after="0"/>
            </w:pPr>
            <w:r>
              <w:rPr>
                <w:rFonts w:ascii="Arial" w:hAnsi="Arial"/>
                <w:sz w:val="17"/>
              </w:rPr>
              <w:t>HANDWOVEN TAPESTRIES FOR WALLHANGINGS, VALUED OVER $215 PER SM</w:t>
            </w:r>
          </w:p>
        </w:tc>
      </w:tr>
      <w:tr>
        <w:trPr>
          <w:cantSplit/>
        </w:trPr>
        <w:tc>
          <w:tcPr>
            <w:tcW w:type="dxa" w:w="2340"/>
            <w:tcMar>
              <w:top w:w="70" w:type="dxa"/>
              <w:start w:w="110" w:type="dxa"/>
              <w:bottom w:w="70" w:type="dxa"/>
              <w:end w:w="110" w:type="dxa"/>
            </w:tcMar>
          </w:tcPr>
          <w:p>
            <w:pPr>
              <w:widowControl/>
              <w:spacing w:after="0"/>
            </w:pPr>
            <w:r>
              <w:rPr>
                <w:rFonts w:ascii="Arial" w:hAnsi="Arial"/>
                <w:sz w:val="17"/>
              </w:rPr>
              <w:t>5805.00.2000</w:t>
            </w:r>
          </w:p>
        </w:tc>
        <w:tc>
          <w:tcPr>
            <w:tcW w:type="dxa" w:w="2340"/>
            <w:tcMar>
              <w:top w:w="70" w:type="dxa"/>
              <w:start w:w="110" w:type="dxa"/>
              <w:bottom w:w="70" w:type="dxa"/>
              <w:end w:w="110" w:type="dxa"/>
            </w:tcMar>
          </w:tcPr>
          <w:p>
            <w:pPr>
              <w:widowControl/>
              <w:spacing w:after="0"/>
            </w:pPr>
            <w:r>
              <w:rPr>
                <w:rFonts w:ascii="Arial" w:hAnsi="Arial"/>
                <w:sz w:val="17"/>
              </w:rPr>
              <w:t>1.00</w:t>
            </w:r>
          </w:p>
        </w:tc>
        <w:tc>
          <w:tcPr>
            <w:tcW w:type="dxa" w:w="2340"/>
            <w:tcMar>
              <w:top w:w="70" w:type="dxa"/>
              <w:start w:w="110" w:type="dxa"/>
              <w:bottom w:w="70" w:type="dxa"/>
              <w:end w:w="110" w:type="dxa"/>
            </w:tcMar>
          </w:tcPr>
          <w:p>
            <w:pPr>
              <w:widowControl/>
              <w:spacing w:after="0"/>
            </w:pPr>
            <w:r>
              <w:rPr>
                <w:rFonts w:ascii="Arial" w:hAnsi="Arial"/>
                <w:sz w:val="17"/>
              </w:rPr>
              <w:t>SM</w:t>
            </w:r>
          </w:p>
        </w:tc>
        <w:tc>
          <w:tcPr>
            <w:tcW w:type="dxa" w:w="2340"/>
            <w:tcMar>
              <w:top w:w="70" w:type="dxa"/>
              <w:start w:w="110" w:type="dxa"/>
              <w:bottom w:w="70" w:type="dxa"/>
              <w:end w:w="110" w:type="dxa"/>
            </w:tcMar>
          </w:tcPr>
          <w:p>
            <w:pPr>
              <w:widowControl/>
              <w:spacing w:after="0"/>
            </w:pPr>
            <w:r>
              <w:rPr>
                <w:rFonts w:ascii="Arial" w:hAnsi="Arial"/>
                <w:sz w:val="17"/>
              </w:rPr>
              <w:t>OTHER HANDWOVEN TAPESTRIES, WOOL OR FINE ANIMAL HAIR, CERTIFIED HANDLOOMED</w:t>
            </w:r>
          </w:p>
        </w:tc>
      </w:tr>
      <w:tr>
        <w:trPr>
          <w:cantSplit/>
        </w:trPr>
        <w:tc>
          <w:tcPr>
            <w:tcW w:type="dxa" w:w="2340"/>
            <w:tcMar>
              <w:top w:w="70" w:type="dxa"/>
              <w:start w:w="110" w:type="dxa"/>
              <w:bottom w:w="70" w:type="dxa"/>
              <w:end w:w="110" w:type="dxa"/>
            </w:tcMar>
            <w:shd w:fill="F4F6F7"/>
          </w:tcPr>
          <w:p>
            <w:pPr>
              <w:widowControl/>
              <w:spacing w:after="0"/>
            </w:pPr>
            <w:r>
              <w:rPr>
                <w:rFonts w:ascii="Arial" w:hAnsi="Arial"/>
                <w:sz w:val="17"/>
              </w:rPr>
              <w:t>5805.00.4090</w:t>
            </w:r>
          </w:p>
        </w:tc>
        <w:tc>
          <w:tcPr>
            <w:tcW w:type="dxa" w:w="2340"/>
            <w:tcMar>
              <w:top w:w="70" w:type="dxa"/>
              <w:start w:w="110" w:type="dxa"/>
              <w:bottom w:w="70" w:type="dxa"/>
              <w:end w:w="110" w:type="dxa"/>
            </w:tcMar>
            <w:shd w:fill="F4F6F7"/>
          </w:tcPr>
          <w:p>
            <w:pPr>
              <w:widowControl/>
              <w:spacing w:after="0"/>
            </w:pPr>
            <w:r>
              <w:rPr>
                <w:rFonts w:ascii="Arial" w:hAnsi="Arial"/>
                <w:sz w:val="17"/>
              </w:rPr>
              <w:t>1.00</w:t>
            </w:r>
          </w:p>
        </w:tc>
        <w:tc>
          <w:tcPr>
            <w:tcW w:type="dxa" w:w="2340"/>
            <w:tcMar>
              <w:top w:w="70" w:type="dxa"/>
              <w:start w:w="110" w:type="dxa"/>
              <w:bottom w:w="70" w:type="dxa"/>
              <w:end w:w="110" w:type="dxa"/>
            </w:tcMar>
            <w:shd w:fill="F4F6F7"/>
          </w:tcPr>
          <w:p>
            <w:pPr>
              <w:widowControl/>
              <w:spacing w:after="0"/>
            </w:pPr>
            <w:r>
              <w:rPr>
                <w:rFonts w:ascii="Arial" w:hAnsi="Arial"/>
                <w:sz w:val="17"/>
              </w:rPr>
              <w:t>SM</w:t>
            </w:r>
          </w:p>
        </w:tc>
        <w:tc>
          <w:tcPr>
            <w:tcW w:type="dxa" w:w="2340"/>
            <w:tcMar>
              <w:top w:w="70" w:type="dxa"/>
              <w:start w:w="110" w:type="dxa"/>
              <w:bottom w:w="70" w:type="dxa"/>
              <w:end w:w="110" w:type="dxa"/>
            </w:tcMar>
            <w:shd w:fill="F4F6F7"/>
          </w:tcPr>
          <w:p>
            <w:pPr>
              <w:widowControl/>
              <w:spacing w:after="0"/>
            </w:pPr>
            <w:r>
              <w:rPr>
                <w:rFonts w:ascii="Arial" w:hAnsi="Arial"/>
                <w:sz w:val="17"/>
              </w:rPr>
              <w:t>OTHER HANDWOVEN TAPESTRIES</w:t>
            </w:r>
          </w:p>
        </w:tc>
      </w:tr>
      <w:tr>
        <w:trPr>
          <w:cantSplit/>
        </w:trPr>
        <w:tc>
          <w:tcPr>
            <w:tcW w:type="dxa" w:w="2340"/>
            <w:tcMar>
              <w:top w:w="70" w:type="dxa"/>
              <w:start w:w="110" w:type="dxa"/>
              <w:bottom w:w="70" w:type="dxa"/>
              <w:end w:w="110" w:type="dxa"/>
            </w:tcMar>
          </w:tcPr>
          <w:p>
            <w:pPr>
              <w:widowControl/>
              <w:spacing w:after="0"/>
            </w:pPr>
            <w:r>
              <w:rPr>
                <w:rFonts w:ascii="Arial" w:hAnsi="Arial"/>
                <w:sz w:val="17"/>
              </w:rPr>
              <w:t>5806.10.3010</w:t>
            </w:r>
          </w:p>
        </w:tc>
        <w:tc>
          <w:tcPr>
            <w:tcW w:type="dxa" w:w="2340"/>
            <w:tcMar>
              <w:top w:w="70" w:type="dxa"/>
              <w:start w:w="110" w:type="dxa"/>
              <w:bottom w:w="70" w:type="dxa"/>
              <w:end w:w="110" w:type="dxa"/>
            </w:tcMar>
          </w:tcPr>
          <w:p>
            <w:pPr>
              <w:widowControl/>
              <w:spacing w:after="0"/>
            </w:pPr>
            <w:r>
              <w:rPr>
                <w:rFonts w:ascii="Arial" w:hAnsi="Arial"/>
                <w:sz w:val="17"/>
              </w:rPr>
              <w:t>11.10</w:t>
            </w:r>
          </w:p>
        </w:tc>
        <w:tc>
          <w:tcPr>
            <w:tcW w:type="dxa" w:w="2340"/>
            <w:tcMar>
              <w:top w:w="70" w:type="dxa"/>
              <w:start w:w="110" w:type="dxa"/>
              <w:bottom w:w="70" w:type="dxa"/>
              <w:end w:w="110" w:type="dxa"/>
            </w:tcMar>
          </w:tcPr>
          <w:p>
            <w:pPr>
              <w:widowControl/>
              <w:spacing w:after="0"/>
            </w:pPr>
            <w:r>
              <w:rPr>
                <w:rFonts w:ascii="Arial" w:hAnsi="Arial"/>
                <w:sz w:val="17"/>
              </w:rPr>
              <w:t>KG</w:t>
            </w:r>
          </w:p>
        </w:tc>
        <w:tc>
          <w:tcPr>
            <w:tcW w:type="dxa" w:w="2340"/>
            <w:tcMar>
              <w:top w:w="70" w:type="dxa"/>
              <w:start w:w="110" w:type="dxa"/>
              <w:bottom w:w="70" w:type="dxa"/>
              <w:end w:w="110" w:type="dxa"/>
            </w:tcMar>
          </w:tcPr>
          <w:p>
            <w:pPr>
              <w:widowControl/>
              <w:spacing w:after="0"/>
            </w:pPr>
            <w:r>
              <w:rPr>
                <w:rFonts w:ascii="Arial" w:hAnsi="Arial"/>
                <w:sz w:val="17"/>
              </w:rPr>
              <w:t>OTHER NARROW WOVEN PILE &amp; CHENILLE FABRIC, CONTAINING 85 PERCENT OR MORE BY WEIGHT OF SILK OR SILK WASTE</w:t>
            </w:r>
          </w:p>
        </w:tc>
      </w:tr>
      <w:tr>
        <w:trPr>
          <w:cantSplit/>
        </w:trPr>
        <w:tc>
          <w:tcPr>
            <w:tcW w:type="dxa" w:w="2340"/>
            <w:tcMar>
              <w:top w:w="70" w:type="dxa"/>
              <w:start w:w="110" w:type="dxa"/>
              <w:bottom w:w="70" w:type="dxa"/>
              <w:end w:w="110" w:type="dxa"/>
            </w:tcMar>
            <w:shd w:fill="F4F6F7"/>
          </w:tcPr>
          <w:p>
            <w:pPr>
              <w:widowControl/>
              <w:spacing w:after="0"/>
            </w:pPr>
            <w:r>
              <w:rPr>
                <w:rFonts w:ascii="Arial" w:hAnsi="Arial"/>
                <w:sz w:val="17"/>
              </w:rPr>
              <w:t>5806.39.3010</w:t>
            </w:r>
          </w:p>
        </w:tc>
        <w:tc>
          <w:tcPr>
            <w:tcW w:type="dxa" w:w="2340"/>
            <w:tcMar>
              <w:top w:w="70" w:type="dxa"/>
              <w:start w:w="110" w:type="dxa"/>
              <w:bottom w:w="70" w:type="dxa"/>
              <w:end w:w="110" w:type="dxa"/>
            </w:tcMar>
            <w:shd w:fill="F4F6F7"/>
          </w:tcPr>
          <w:p>
            <w:pPr>
              <w:widowControl/>
              <w:spacing w:after="0"/>
            </w:pPr>
            <w:r>
              <w:rPr>
                <w:rFonts w:ascii="Arial" w:hAnsi="Arial"/>
                <w:sz w:val="17"/>
              </w:rPr>
              <w:t>11.10</w:t>
            </w:r>
          </w:p>
        </w:tc>
        <w:tc>
          <w:tcPr>
            <w:tcW w:type="dxa" w:w="2340"/>
            <w:tcMar>
              <w:top w:w="70" w:type="dxa"/>
              <w:start w:w="110" w:type="dxa"/>
              <w:bottom w:w="70" w:type="dxa"/>
              <w:end w:w="110" w:type="dxa"/>
            </w:tcMar>
            <w:shd w:fill="F4F6F7"/>
          </w:tcPr>
          <w:p>
            <w:pPr>
              <w:widowControl/>
              <w:spacing w:after="0"/>
            </w:pPr>
            <w:r>
              <w:rPr>
                <w:rFonts w:ascii="Arial" w:hAnsi="Arial"/>
                <w:sz w:val="17"/>
              </w:rPr>
              <w:t>KG</w:t>
            </w:r>
          </w:p>
        </w:tc>
        <w:tc>
          <w:tcPr>
            <w:tcW w:type="dxa" w:w="2340"/>
            <w:tcMar>
              <w:top w:w="70" w:type="dxa"/>
              <w:start w:w="110" w:type="dxa"/>
              <w:bottom w:w="70" w:type="dxa"/>
              <w:end w:w="110" w:type="dxa"/>
            </w:tcMar>
            <w:shd w:fill="F4F6F7"/>
          </w:tcPr>
          <w:p>
            <w:pPr>
              <w:widowControl/>
              <w:spacing w:after="0"/>
            </w:pPr>
            <w:r>
              <w:rPr>
                <w:rFonts w:ascii="Arial" w:hAnsi="Arial"/>
                <w:sz w:val="17"/>
              </w:rPr>
              <w:t>OTHER NARROW WOVEN FABRIC, NOT PILE,     CONTAINING 85% OR MORE BY WEIGHT OF SILK OR SILK WASTE</w:t>
            </w:r>
          </w:p>
        </w:tc>
      </w:tr>
      <w:tr>
        <w:trPr>
          <w:cantSplit/>
        </w:trPr>
        <w:tc>
          <w:tcPr>
            <w:tcW w:type="dxa" w:w="2340"/>
            <w:tcMar>
              <w:top w:w="70" w:type="dxa"/>
              <w:start w:w="110" w:type="dxa"/>
              <w:bottom w:w="70" w:type="dxa"/>
              <w:end w:w="110" w:type="dxa"/>
            </w:tcMar>
          </w:tcPr>
          <w:p>
            <w:pPr>
              <w:widowControl/>
              <w:spacing w:after="0"/>
            </w:pPr>
            <w:r>
              <w:rPr>
                <w:rFonts w:ascii="Arial" w:hAnsi="Arial"/>
                <w:sz w:val="17"/>
              </w:rPr>
              <w:t>5806.40.0000</w:t>
            </w:r>
          </w:p>
        </w:tc>
        <w:tc>
          <w:tcPr>
            <w:tcW w:type="dxa" w:w="2340"/>
            <w:tcMar>
              <w:top w:w="70" w:type="dxa"/>
              <w:start w:w="110" w:type="dxa"/>
              <w:bottom w:w="70" w:type="dxa"/>
              <w:end w:w="110" w:type="dxa"/>
            </w:tcMar>
          </w:tcPr>
          <w:p>
            <w:pPr>
              <w:widowControl/>
              <w:spacing w:after="0"/>
            </w:pPr>
            <w:r>
              <w:rPr>
                <w:rFonts w:ascii="Arial" w:hAnsi="Arial"/>
                <w:sz w:val="17"/>
              </w:rPr>
              <w:t>13.60</w:t>
            </w:r>
          </w:p>
        </w:tc>
        <w:tc>
          <w:tcPr>
            <w:tcW w:type="dxa" w:w="2340"/>
            <w:tcMar>
              <w:top w:w="70" w:type="dxa"/>
              <w:start w:w="110" w:type="dxa"/>
              <w:bottom w:w="70" w:type="dxa"/>
              <w:end w:w="110" w:type="dxa"/>
            </w:tcMar>
          </w:tcPr>
          <w:p>
            <w:pPr>
              <w:widowControl/>
              <w:spacing w:after="0"/>
            </w:pPr>
            <w:r>
              <w:rPr>
                <w:rFonts w:ascii="Arial" w:hAnsi="Arial"/>
                <w:sz w:val="17"/>
              </w:rPr>
              <w:t>KG</w:t>
            </w:r>
          </w:p>
        </w:tc>
        <w:tc>
          <w:tcPr>
            <w:tcW w:type="dxa" w:w="2340"/>
            <w:tcMar>
              <w:top w:w="70" w:type="dxa"/>
              <w:start w:w="110" w:type="dxa"/>
              <w:bottom w:w="70" w:type="dxa"/>
              <w:end w:w="110" w:type="dxa"/>
            </w:tcMar>
          </w:tcPr>
          <w:p>
            <w:pPr>
              <w:widowControl/>
              <w:spacing w:after="0"/>
            </w:pPr>
            <w:r>
              <w:rPr>
                <w:rFonts w:ascii="Arial" w:hAnsi="Arial"/>
                <w:sz w:val="17"/>
              </w:rPr>
              <w:t>NARROW FABRIC, WARP WITHOUT WEFT ASSEMBLED BY MEANS OF AN ADHESIVE (BOLDUCS)</w:t>
            </w:r>
          </w:p>
        </w:tc>
      </w:tr>
      <w:tr>
        <w:trPr>
          <w:cantSplit/>
        </w:trPr>
        <w:tc>
          <w:tcPr>
            <w:tcW w:type="dxa" w:w="2340"/>
            <w:tcMar>
              <w:top w:w="70" w:type="dxa"/>
              <w:start w:w="110" w:type="dxa"/>
              <w:bottom w:w="70" w:type="dxa"/>
              <w:end w:w="110" w:type="dxa"/>
            </w:tcMar>
            <w:shd w:fill="F4F6F7"/>
          </w:tcPr>
          <w:p>
            <w:pPr>
              <w:widowControl/>
              <w:spacing w:after="0"/>
            </w:pPr>
            <w:r>
              <w:rPr>
                <w:rFonts w:ascii="Arial" w:hAnsi="Arial"/>
                <w:sz w:val="17"/>
              </w:rPr>
              <w:t>5807.10.1500</w:t>
            </w:r>
          </w:p>
        </w:tc>
        <w:tc>
          <w:tcPr>
            <w:tcW w:type="dxa" w:w="2340"/>
            <w:tcMar>
              <w:top w:w="70" w:type="dxa"/>
              <w:start w:w="110" w:type="dxa"/>
              <w:bottom w:w="70" w:type="dxa"/>
              <w:end w:w="110" w:type="dxa"/>
            </w:tcMar>
            <w:shd w:fill="F4F6F7"/>
          </w:tcPr>
          <w:p>
            <w:pPr>
              <w:widowControl/>
              <w:spacing w:after="0"/>
            </w:pPr>
            <w:r>
              <w:rPr>
                <w:rFonts w:ascii="Arial" w:hAnsi="Arial"/>
                <w:sz w:val="17"/>
              </w:rPr>
              <w:t>11.10</w:t>
            </w:r>
          </w:p>
        </w:tc>
        <w:tc>
          <w:tcPr>
            <w:tcW w:type="dxa" w:w="2340"/>
            <w:tcMar>
              <w:top w:w="70" w:type="dxa"/>
              <w:start w:w="110" w:type="dxa"/>
              <w:bottom w:w="70" w:type="dxa"/>
              <w:end w:w="110" w:type="dxa"/>
            </w:tcMar>
            <w:shd w:fill="F4F6F7"/>
          </w:tcPr>
          <w:p>
            <w:pPr>
              <w:widowControl/>
              <w:spacing w:after="0"/>
            </w:pPr>
            <w:r>
              <w:rPr>
                <w:rFonts w:ascii="Arial" w:hAnsi="Arial"/>
                <w:sz w:val="17"/>
              </w:rPr>
              <w:t>KG</w:t>
            </w:r>
          </w:p>
        </w:tc>
        <w:tc>
          <w:tcPr>
            <w:tcW w:type="dxa" w:w="2340"/>
            <w:tcMar>
              <w:top w:w="70" w:type="dxa"/>
              <w:start w:w="110" w:type="dxa"/>
              <w:bottom w:w="70" w:type="dxa"/>
              <w:end w:w="110" w:type="dxa"/>
            </w:tcMar>
            <w:shd w:fill="F4F6F7"/>
          </w:tcPr>
          <w:p>
            <w:pPr>
              <w:widowControl/>
              <w:spacing w:after="0"/>
            </w:pPr>
            <w:r>
              <w:rPr>
                <w:rFonts w:ascii="Arial" w:hAnsi="Arial"/>
                <w:sz w:val="17"/>
              </w:rPr>
              <w:t>WOVEN LABELS, TEXTILE MATERIALS, NOT EMBROIDERED, NOT COTTON OR MMF</w:t>
            </w:r>
          </w:p>
        </w:tc>
      </w:tr>
      <w:tr>
        <w:trPr>
          <w:cantSplit/>
        </w:trPr>
        <w:tc>
          <w:tcPr>
            <w:tcW w:type="dxa" w:w="2340"/>
            <w:tcMar>
              <w:top w:w="70" w:type="dxa"/>
              <w:start w:w="110" w:type="dxa"/>
              <w:bottom w:w="70" w:type="dxa"/>
              <w:end w:w="110" w:type="dxa"/>
            </w:tcMar>
          </w:tcPr>
          <w:p>
            <w:pPr>
              <w:widowControl/>
              <w:spacing w:after="0"/>
            </w:pPr>
            <w:r>
              <w:rPr>
                <w:rFonts w:ascii="Arial" w:hAnsi="Arial"/>
                <w:sz w:val="17"/>
              </w:rPr>
              <w:t>5807.10.2010</w:t>
            </w:r>
          </w:p>
        </w:tc>
        <w:tc>
          <w:tcPr>
            <w:tcW w:type="dxa" w:w="2340"/>
            <w:tcMar>
              <w:top w:w="70" w:type="dxa"/>
              <w:start w:w="110" w:type="dxa"/>
              <w:bottom w:w="70" w:type="dxa"/>
              <w:end w:w="110" w:type="dxa"/>
            </w:tcMar>
          </w:tcPr>
          <w:p>
            <w:pPr>
              <w:widowControl/>
              <w:spacing w:after="0"/>
            </w:pPr>
            <w:r>
              <w:rPr>
                <w:rFonts w:ascii="Arial" w:hAnsi="Arial"/>
                <w:sz w:val="17"/>
              </w:rPr>
              <w:t>8.50</w:t>
            </w:r>
          </w:p>
        </w:tc>
        <w:tc>
          <w:tcPr>
            <w:tcW w:type="dxa" w:w="2340"/>
            <w:tcMar>
              <w:top w:w="70" w:type="dxa"/>
              <w:start w:w="110" w:type="dxa"/>
              <w:bottom w:w="70" w:type="dxa"/>
              <w:end w:w="110" w:type="dxa"/>
            </w:tcMar>
          </w:tcPr>
          <w:p>
            <w:pPr>
              <w:widowControl/>
              <w:spacing w:after="0"/>
            </w:pPr>
            <w:r>
              <w:rPr>
                <w:rFonts w:ascii="Arial" w:hAnsi="Arial"/>
                <w:sz w:val="17"/>
              </w:rPr>
              <w:t>KG</w:t>
            </w:r>
          </w:p>
        </w:tc>
        <w:tc>
          <w:tcPr>
            <w:tcW w:type="dxa" w:w="2340"/>
            <w:tcMar>
              <w:top w:w="70" w:type="dxa"/>
              <w:start w:w="110" w:type="dxa"/>
              <w:bottom w:w="70" w:type="dxa"/>
              <w:end w:w="110" w:type="dxa"/>
            </w:tcMar>
          </w:tcPr>
          <w:p>
            <w:pPr>
              <w:widowControl/>
              <w:spacing w:after="0"/>
            </w:pPr>
            <w:r>
              <w:rPr>
                <w:rFonts w:ascii="Arial" w:hAnsi="Arial"/>
                <w:sz w:val="17"/>
              </w:rPr>
              <w:t>WOVEN BADGES AND SIMILAR ARTICLES, COTTON, NOT EMBROIDERED</w:t>
            </w:r>
          </w:p>
        </w:tc>
      </w:tr>
      <w:tr>
        <w:trPr>
          <w:cantSplit/>
        </w:trPr>
        <w:tc>
          <w:tcPr>
            <w:tcW w:type="dxa" w:w="2340"/>
            <w:tcMar>
              <w:top w:w="70" w:type="dxa"/>
              <w:start w:w="110" w:type="dxa"/>
              <w:bottom w:w="70" w:type="dxa"/>
              <w:end w:w="110" w:type="dxa"/>
            </w:tcMar>
            <w:shd w:fill="F4F6F7"/>
          </w:tcPr>
          <w:p>
            <w:pPr>
              <w:widowControl/>
              <w:spacing w:after="0"/>
            </w:pPr>
            <w:r>
              <w:rPr>
                <w:rFonts w:ascii="Arial" w:hAnsi="Arial"/>
                <w:sz w:val="17"/>
              </w:rPr>
              <w:t>5807.10.2020</w:t>
            </w:r>
          </w:p>
        </w:tc>
        <w:tc>
          <w:tcPr>
            <w:tcW w:type="dxa" w:w="2340"/>
            <w:tcMar>
              <w:top w:w="70" w:type="dxa"/>
              <w:start w:w="110" w:type="dxa"/>
              <w:bottom w:w="70" w:type="dxa"/>
              <w:end w:w="110" w:type="dxa"/>
            </w:tcMar>
            <w:shd w:fill="F4F6F7"/>
          </w:tcPr>
          <w:p>
            <w:pPr>
              <w:widowControl/>
              <w:spacing w:after="0"/>
            </w:pPr>
            <w:r>
              <w:rPr>
                <w:rFonts w:ascii="Arial" w:hAnsi="Arial"/>
                <w:sz w:val="17"/>
              </w:rPr>
              <w:t>14.40</w:t>
            </w:r>
          </w:p>
        </w:tc>
        <w:tc>
          <w:tcPr>
            <w:tcW w:type="dxa" w:w="2340"/>
            <w:tcMar>
              <w:top w:w="70" w:type="dxa"/>
              <w:start w:w="110" w:type="dxa"/>
              <w:bottom w:w="70" w:type="dxa"/>
              <w:end w:w="110" w:type="dxa"/>
            </w:tcMar>
            <w:shd w:fill="F4F6F7"/>
          </w:tcPr>
          <w:p>
            <w:pPr>
              <w:widowControl/>
              <w:spacing w:after="0"/>
            </w:pPr>
            <w:r>
              <w:rPr>
                <w:rFonts w:ascii="Arial" w:hAnsi="Arial"/>
                <w:sz w:val="17"/>
              </w:rPr>
              <w:t>KG</w:t>
            </w:r>
          </w:p>
        </w:tc>
        <w:tc>
          <w:tcPr>
            <w:tcW w:type="dxa" w:w="2340"/>
            <w:tcMar>
              <w:top w:w="70" w:type="dxa"/>
              <w:start w:w="110" w:type="dxa"/>
              <w:bottom w:w="70" w:type="dxa"/>
              <w:end w:w="110" w:type="dxa"/>
            </w:tcMar>
            <w:shd w:fill="F4F6F7"/>
          </w:tcPr>
          <w:p>
            <w:pPr>
              <w:widowControl/>
              <w:spacing w:after="0"/>
            </w:pPr>
            <w:r>
              <w:rPr>
                <w:rFonts w:ascii="Arial" w:hAnsi="Arial"/>
                <w:sz w:val="17"/>
              </w:rPr>
              <w:t>WOVEN BADGES/SIMILAR ARTICLES, MMF, NOT EMBROIDERED</w:t>
            </w:r>
          </w:p>
        </w:tc>
      </w:tr>
      <w:tr>
        <w:trPr>
          <w:cantSplit/>
        </w:trPr>
        <w:tc>
          <w:tcPr>
            <w:tcW w:type="dxa" w:w="2340"/>
            <w:tcMar>
              <w:top w:w="70" w:type="dxa"/>
              <w:start w:w="110" w:type="dxa"/>
              <w:bottom w:w="70" w:type="dxa"/>
              <w:end w:w="110" w:type="dxa"/>
            </w:tcMar>
          </w:tcPr>
          <w:p>
            <w:pPr>
              <w:widowControl/>
              <w:spacing w:after="0"/>
            </w:pPr>
            <w:r>
              <w:rPr>
                <w:rFonts w:ascii="Arial" w:hAnsi="Arial"/>
                <w:sz w:val="17"/>
              </w:rPr>
              <w:t>5807.10.2090</w:t>
            </w:r>
          </w:p>
        </w:tc>
        <w:tc>
          <w:tcPr>
            <w:tcW w:type="dxa" w:w="2340"/>
            <w:tcMar>
              <w:top w:w="70" w:type="dxa"/>
              <w:start w:w="110" w:type="dxa"/>
              <w:bottom w:w="70" w:type="dxa"/>
              <w:end w:w="110" w:type="dxa"/>
            </w:tcMar>
          </w:tcPr>
          <w:p>
            <w:pPr>
              <w:widowControl/>
              <w:spacing w:after="0"/>
            </w:pPr>
            <w:r>
              <w:rPr>
                <w:rFonts w:ascii="Arial" w:hAnsi="Arial"/>
                <w:sz w:val="17"/>
              </w:rPr>
              <w:t>11.10</w:t>
            </w:r>
          </w:p>
        </w:tc>
        <w:tc>
          <w:tcPr>
            <w:tcW w:type="dxa" w:w="2340"/>
            <w:tcMar>
              <w:top w:w="70" w:type="dxa"/>
              <w:start w:w="110" w:type="dxa"/>
              <w:bottom w:w="70" w:type="dxa"/>
              <w:end w:w="110" w:type="dxa"/>
            </w:tcMar>
          </w:tcPr>
          <w:p>
            <w:pPr>
              <w:widowControl/>
              <w:spacing w:after="0"/>
            </w:pPr>
            <w:r>
              <w:rPr>
                <w:rFonts w:ascii="Arial" w:hAnsi="Arial"/>
                <w:sz w:val="17"/>
              </w:rPr>
              <w:t>KG</w:t>
            </w:r>
          </w:p>
        </w:tc>
        <w:tc>
          <w:tcPr>
            <w:tcW w:type="dxa" w:w="2340"/>
            <w:tcMar>
              <w:top w:w="70" w:type="dxa"/>
              <w:start w:w="110" w:type="dxa"/>
              <w:bottom w:w="70" w:type="dxa"/>
              <w:end w:w="110" w:type="dxa"/>
            </w:tcMar>
          </w:tcPr>
          <w:p>
            <w:pPr>
              <w:widowControl/>
              <w:spacing w:after="0"/>
            </w:pPr>
            <w:r>
              <w:rPr>
                <w:rFonts w:ascii="Arial" w:hAnsi="Arial"/>
                <w:sz w:val="17"/>
              </w:rPr>
              <w:t>WOVEN BADGES/SIMILAR ARTCLES, TEXTILE MATERIALS, NOT EMBROIDERED, NOT COTTON/MMF</w:t>
            </w:r>
          </w:p>
        </w:tc>
      </w:tr>
      <w:tr>
        <w:trPr>
          <w:cantSplit/>
        </w:trPr>
        <w:tc>
          <w:tcPr>
            <w:tcW w:type="dxa" w:w="2340"/>
            <w:tcMar>
              <w:top w:w="70" w:type="dxa"/>
              <w:start w:w="110" w:type="dxa"/>
              <w:bottom w:w="70" w:type="dxa"/>
              <w:end w:w="110" w:type="dxa"/>
            </w:tcMar>
            <w:shd w:fill="F4F6F7"/>
          </w:tcPr>
          <w:p>
            <w:pPr>
              <w:widowControl/>
              <w:spacing w:after="0"/>
            </w:pPr>
            <w:r>
              <w:rPr>
                <w:rFonts w:ascii="Arial" w:hAnsi="Arial"/>
                <w:sz w:val="17"/>
              </w:rPr>
              <w:t>5807.90.1500</w:t>
            </w:r>
          </w:p>
        </w:tc>
        <w:tc>
          <w:tcPr>
            <w:tcW w:type="dxa" w:w="2340"/>
            <w:tcMar>
              <w:top w:w="70" w:type="dxa"/>
              <w:start w:w="110" w:type="dxa"/>
              <w:bottom w:w="70" w:type="dxa"/>
              <w:end w:w="110" w:type="dxa"/>
            </w:tcMar>
            <w:shd w:fill="F4F6F7"/>
          </w:tcPr>
          <w:p>
            <w:pPr>
              <w:widowControl/>
              <w:spacing w:after="0"/>
            </w:pPr>
            <w:r>
              <w:rPr>
                <w:rFonts w:ascii="Arial" w:hAnsi="Arial"/>
                <w:sz w:val="17"/>
              </w:rPr>
              <w:t>11.10</w:t>
            </w:r>
          </w:p>
        </w:tc>
        <w:tc>
          <w:tcPr>
            <w:tcW w:type="dxa" w:w="2340"/>
            <w:tcMar>
              <w:top w:w="70" w:type="dxa"/>
              <w:start w:w="110" w:type="dxa"/>
              <w:bottom w:w="70" w:type="dxa"/>
              <w:end w:w="110" w:type="dxa"/>
            </w:tcMar>
            <w:shd w:fill="F4F6F7"/>
          </w:tcPr>
          <w:p>
            <w:pPr>
              <w:widowControl/>
              <w:spacing w:after="0"/>
            </w:pPr>
            <w:r>
              <w:rPr>
                <w:rFonts w:ascii="Arial" w:hAnsi="Arial"/>
                <w:sz w:val="17"/>
              </w:rPr>
              <w:t>KG</w:t>
            </w:r>
          </w:p>
        </w:tc>
        <w:tc>
          <w:tcPr>
            <w:tcW w:type="dxa" w:w="2340"/>
            <w:tcMar>
              <w:top w:w="70" w:type="dxa"/>
              <w:start w:w="110" w:type="dxa"/>
              <w:bottom w:w="70" w:type="dxa"/>
              <w:end w:w="110" w:type="dxa"/>
            </w:tcMar>
            <w:shd w:fill="F4F6F7"/>
          </w:tcPr>
          <w:p>
            <w:pPr>
              <w:widowControl/>
              <w:spacing w:after="0"/>
            </w:pPr>
            <w:r>
              <w:rPr>
                <w:rFonts w:ascii="Arial" w:hAnsi="Arial"/>
                <w:sz w:val="17"/>
              </w:rPr>
              <w:t>NOTWOVEN LABELS OF TEXTILE MATERIALS, NOT EMBROIDERED, NOT COTTON/MMF</w:t>
            </w:r>
          </w:p>
        </w:tc>
      </w:tr>
      <w:tr>
        <w:trPr>
          <w:cantSplit/>
        </w:trPr>
        <w:tc>
          <w:tcPr>
            <w:tcW w:type="dxa" w:w="2340"/>
            <w:tcMar>
              <w:top w:w="70" w:type="dxa"/>
              <w:start w:w="110" w:type="dxa"/>
              <w:bottom w:w="70" w:type="dxa"/>
              <w:end w:w="110" w:type="dxa"/>
            </w:tcMar>
          </w:tcPr>
          <w:p>
            <w:pPr>
              <w:widowControl/>
              <w:spacing w:after="0"/>
            </w:pPr>
            <w:r>
              <w:rPr>
                <w:rFonts w:ascii="Arial" w:hAnsi="Arial"/>
                <w:sz w:val="17"/>
              </w:rPr>
              <w:t>5807.90.2010</w:t>
            </w:r>
          </w:p>
        </w:tc>
        <w:tc>
          <w:tcPr>
            <w:tcW w:type="dxa" w:w="2340"/>
            <w:tcMar>
              <w:top w:w="70" w:type="dxa"/>
              <w:start w:w="110" w:type="dxa"/>
              <w:bottom w:w="70" w:type="dxa"/>
              <w:end w:w="110" w:type="dxa"/>
            </w:tcMar>
          </w:tcPr>
          <w:p>
            <w:pPr>
              <w:widowControl/>
              <w:spacing w:after="0"/>
            </w:pPr>
            <w:r>
              <w:rPr>
                <w:rFonts w:ascii="Arial" w:hAnsi="Arial"/>
                <w:sz w:val="17"/>
              </w:rPr>
              <w:t>8.50</w:t>
            </w:r>
          </w:p>
        </w:tc>
        <w:tc>
          <w:tcPr>
            <w:tcW w:type="dxa" w:w="2340"/>
            <w:tcMar>
              <w:top w:w="70" w:type="dxa"/>
              <w:start w:w="110" w:type="dxa"/>
              <w:bottom w:w="70" w:type="dxa"/>
              <w:end w:w="110" w:type="dxa"/>
            </w:tcMar>
          </w:tcPr>
          <w:p>
            <w:pPr>
              <w:widowControl/>
              <w:spacing w:after="0"/>
            </w:pPr>
            <w:r>
              <w:rPr>
                <w:rFonts w:ascii="Arial" w:hAnsi="Arial"/>
                <w:sz w:val="17"/>
              </w:rPr>
              <w:t>KG</w:t>
            </w:r>
          </w:p>
        </w:tc>
        <w:tc>
          <w:tcPr>
            <w:tcW w:type="dxa" w:w="2340"/>
            <w:tcMar>
              <w:top w:w="70" w:type="dxa"/>
              <w:start w:w="110" w:type="dxa"/>
              <w:bottom w:w="70" w:type="dxa"/>
              <w:end w:w="110" w:type="dxa"/>
            </w:tcMar>
          </w:tcPr>
          <w:p>
            <w:pPr>
              <w:widowControl/>
              <w:spacing w:after="0"/>
            </w:pPr>
            <w:r>
              <w:rPr>
                <w:rFonts w:ascii="Arial" w:hAnsi="Arial"/>
                <w:sz w:val="17"/>
              </w:rPr>
              <w:t>NOTWOVEN BADGES/SIMILAR ARTICLES, COTTON, NOT EMBROIDERED</w:t>
            </w:r>
          </w:p>
        </w:tc>
      </w:tr>
      <w:tr>
        <w:trPr>
          <w:cantSplit/>
        </w:trPr>
        <w:tc>
          <w:tcPr>
            <w:tcW w:type="dxa" w:w="2340"/>
            <w:tcMar>
              <w:top w:w="70" w:type="dxa"/>
              <w:start w:w="110" w:type="dxa"/>
              <w:bottom w:w="70" w:type="dxa"/>
              <w:end w:w="110" w:type="dxa"/>
            </w:tcMar>
            <w:shd w:fill="F4F6F7"/>
          </w:tcPr>
          <w:p>
            <w:pPr>
              <w:widowControl/>
              <w:spacing w:after="0"/>
            </w:pPr>
            <w:r>
              <w:rPr>
                <w:rFonts w:ascii="Arial" w:hAnsi="Arial"/>
                <w:sz w:val="17"/>
              </w:rPr>
              <w:t>5807.90.2020</w:t>
            </w:r>
          </w:p>
        </w:tc>
        <w:tc>
          <w:tcPr>
            <w:tcW w:type="dxa" w:w="2340"/>
            <w:tcMar>
              <w:top w:w="70" w:type="dxa"/>
              <w:start w:w="110" w:type="dxa"/>
              <w:bottom w:w="70" w:type="dxa"/>
              <w:end w:w="110" w:type="dxa"/>
            </w:tcMar>
            <w:shd w:fill="F4F6F7"/>
          </w:tcPr>
          <w:p>
            <w:pPr>
              <w:widowControl/>
              <w:spacing w:after="0"/>
            </w:pPr>
            <w:r>
              <w:rPr>
                <w:rFonts w:ascii="Arial" w:hAnsi="Arial"/>
                <w:sz w:val="17"/>
              </w:rPr>
              <w:t>14.40</w:t>
            </w:r>
          </w:p>
        </w:tc>
        <w:tc>
          <w:tcPr>
            <w:tcW w:type="dxa" w:w="2340"/>
            <w:tcMar>
              <w:top w:w="70" w:type="dxa"/>
              <w:start w:w="110" w:type="dxa"/>
              <w:bottom w:w="70" w:type="dxa"/>
              <w:end w:w="110" w:type="dxa"/>
            </w:tcMar>
            <w:shd w:fill="F4F6F7"/>
          </w:tcPr>
          <w:p>
            <w:pPr>
              <w:widowControl/>
              <w:spacing w:after="0"/>
            </w:pPr>
            <w:r>
              <w:rPr>
                <w:rFonts w:ascii="Arial" w:hAnsi="Arial"/>
                <w:sz w:val="17"/>
              </w:rPr>
              <w:t>KG</w:t>
            </w:r>
          </w:p>
        </w:tc>
        <w:tc>
          <w:tcPr>
            <w:tcW w:type="dxa" w:w="2340"/>
            <w:tcMar>
              <w:top w:w="70" w:type="dxa"/>
              <w:start w:w="110" w:type="dxa"/>
              <w:bottom w:w="70" w:type="dxa"/>
              <w:end w:w="110" w:type="dxa"/>
            </w:tcMar>
            <w:shd w:fill="F4F6F7"/>
          </w:tcPr>
          <w:p>
            <w:pPr>
              <w:widowControl/>
              <w:spacing w:after="0"/>
            </w:pPr>
            <w:r>
              <w:rPr>
                <w:rFonts w:ascii="Arial" w:hAnsi="Arial"/>
                <w:sz w:val="17"/>
              </w:rPr>
              <w:t>NOTWOVEN BADGES/SIMILAR ARTICLES, MMF, NOT EMBROIDERED</w:t>
            </w:r>
          </w:p>
        </w:tc>
      </w:tr>
      <w:tr>
        <w:trPr>
          <w:cantSplit/>
        </w:trPr>
        <w:tc>
          <w:tcPr>
            <w:tcW w:type="dxa" w:w="2340"/>
            <w:tcMar>
              <w:top w:w="70" w:type="dxa"/>
              <w:start w:w="110" w:type="dxa"/>
              <w:bottom w:w="70" w:type="dxa"/>
              <w:end w:w="110" w:type="dxa"/>
            </w:tcMar>
          </w:tcPr>
          <w:p>
            <w:pPr>
              <w:widowControl/>
              <w:spacing w:after="0"/>
            </w:pPr>
            <w:r>
              <w:rPr>
                <w:rFonts w:ascii="Arial" w:hAnsi="Arial"/>
                <w:sz w:val="17"/>
              </w:rPr>
              <w:t>5807.90.2090</w:t>
            </w:r>
          </w:p>
        </w:tc>
        <w:tc>
          <w:tcPr>
            <w:tcW w:type="dxa" w:w="2340"/>
            <w:tcMar>
              <w:top w:w="70" w:type="dxa"/>
              <w:start w:w="110" w:type="dxa"/>
              <w:bottom w:w="70" w:type="dxa"/>
              <w:end w:w="110" w:type="dxa"/>
            </w:tcMar>
          </w:tcPr>
          <w:p>
            <w:pPr>
              <w:widowControl/>
              <w:spacing w:after="0"/>
            </w:pPr>
            <w:r>
              <w:rPr>
                <w:rFonts w:ascii="Arial" w:hAnsi="Arial"/>
                <w:sz w:val="17"/>
              </w:rPr>
              <w:t>11.10</w:t>
            </w:r>
          </w:p>
        </w:tc>
        <w:tc>
          <w:tcPr>
            <w:tcW w:type="dxa" w:w="2340"/>
            <w:tcMar>
              <w:top w:w="70" w:type="dxa"/>
              <w:start w:w="110" w:type="dxa"/>
              <w:bottom w:w="70" w:type="dxa"/>
              <w:end w:w="110" w:type="dxa"/>
            </w:tcMar>
          </w:tcPr>
          <w:p>
            <w:pPr>
              <w:widowControl/>
              <w:spacing w:after="0"/>
            </w:pPr>
            <w:r>
              <w:rPr>
                <w:rFonts w:ascii="Arial" w:hAnsi="Arial"/>
                <w:sz w:val="17"/>
              </w:rPr>
              <w:t>KG</w:t>
            </w:r>
          </w:p>
        </w:tc>
        <w:tc>
          <w:tcPr>
            <w:tcW w:type="dxa" w:w="2340"/>
            <w:tcMar>
              <w:top w:w="70" w:type="dxa"/>
              <w:start w:w="110" w:type="dxa"/>
              <w:bottom w:w="70" w:type="dxa"/>
              <w:end w:w="110" w:type="dxa"/>
            </w:tcMar>
          </w:tcPr>
          <w:p>
            <w:pPr>
              <w:widowControl/>
              <w:spacing w:after="0"/>
            </w:pPr>
            <w:r>
              <w:rPr>
                <w:rFonts w:ascii="Arial" w:hAnsi="Arial"/>
                <w:sz w:val="17"/>
              </w:rPr>
              <w:t>NOTWOVEN BADGES/SIMILAR ARTICLES, TEX MATERIALS, NOT EMBROIDERED, NOT COTTON/MMF</w:t>
            </w:r>
          </w:p>
        </w:tc>
      </w:tr>
      <w:tr>
        <w:trPr>
          <w:cantSplit/>
        </w:trPr>
        <w:tc>
          <w:tcPr>
            <w:tcW w:type="dxa" w:w="2340"/>
            <w:tcMar>
              <w:top w:w="70" w:type="dxa"/>
              <w:start w:w="110" w:type="dxa"/>
              <w:bottom w:w="70" w:type="dxa"/>
              <w:end w:w="110" w:type="dxa"/>
            </w:tcMar>
            <w:shd w:fill="F4F6F7"/>
          </w:tcPr>
          <w:p>
            <w:pPr>
              <w:widowControl/>
              <w:spacing w:after="0"/>
            </w:pPr>
            <w:r>
              <w:rPr>
                <w:rFonts w:ascii="Arial" w:hAnsi="Arial"/>
                <w:sz w:val="17"/>
              </w:rPr>
              <w:t>5808.10.5000</w:t>
            </w:r>
          </w:p>
        </w:tc>
        <w:tc>
          <w:tcPr>
            <w:tcW w:type="dxa" w:w="2340"/>
            <w:tcMar>
              <w:top w:w="70" w:type="dxa"/>
              <w:start w:w="110" w:type="dxa"/>
              <w:bottom w:w="70" w:type="dxa"/>
              <w:end w:w="110" w:type="dxa"/>
            </w:tcMar>
            <w:shd w:fill="F4F6F7"/>
          </w:tcPr>
          <w:p>
            <w:pPr>
              <w:widowControl/>
              <w:spacing w:after="0"/>
            </w:pPr>
            <w:r>
              <w:rPr>
                <w:rFonts w:ascii="Arial" w:hAnsi="Arial"/>
                <w:sz w:val="17"/>
              </w:rPr>
              <w:t>11.10</w:t>
            </w:r>
          </w:p>
        </w:tc>
        <w:tc>
          <w:tcPr>
            <w:tcW w:type="dxa" w:w="2340"/>
            <w:tcMar>
              <w:top w:w="70" w:type="dxa"/>
              <w:start w:w="110" w:type="dxa"/>
              <w:bottom w:w="70" w:type="dxa"/>
              <w:end w:w="110" w:type="dxa"/>
            </w:tcMar>
            <w:shd w:fill="F4F6F7"/>
          </w:tcPr>
          <w:p>
            <w:pPr>
              <w:widowControl/>
              <w:spacing w:after="0"/>
            </w:pPr>
            <w:r>
              <w:rPr>
                <w:rFonts w:ascii="Arial" w:hAnsi="Arial"/>
                <w:sz w:val="17"/>
              </w:rPr>
              <w:t>KG</w:t>
            </w:r>
          </w:p>
        </w:tc>
        <w:tc>
          <w:tcPr>
            <w:tcW w:type="dxa" w:w="2340"/>
            <w:tcMar>
              <w:top w:w="70" w:type="dxa"/>
              <w:start w:w="110" w:type="dxa"/>
              <w:bottom w:w="70" w:type="dxa"/>
              <w:end w:w="110" w:type="dxa"/>
            </w:tcMar>
            <w:shd w:fill="F4F6F7"/>
          </w:tcPr>
          <w:p>
            <w:pPr>
              <w:widowControl/>
              <w:spacing w:after="0"/>
            </w:pPr>
            <w:r>
              <w:rPr>
                <w:rFonts w:ascii="Arial" w:hAnsi="Arial"/>
                <w:sz w:val="17"/>
              </w:rPr>
              <w:t>BRAIDS IN PIECE FOR HEADWEAR, OTHER TEXTILE MATERIALS</w:t>
            </w:r>
          </w:p>
        </w:tc>
      </w:tr>
      <w:tr>
        <w:trPr>
          <w:cantSplit/>
        </w:trPr>
        <w:tc>
          <w:tcPr>
            <w:tcW w:type="dxa" w:w="2340"/>
            <w:tcMar>
              <w:top w:w="70" w:type="dxa"/>
              <w:start w:w="110" w:type="dxa"/>
              <w:bottom w:w="70" w:type="dxa"/>
              <w:end w:w="110" w:type="dxa"/>
            </w:tcMar>
          </w:tcPr>
          <w:p>
            <w:pPr>
              <w:widowControl/>
              <w:spacing w:after="0"/>
            </w:pPr>
            <w:r>
              <w:rPr>
                <w:rFonts w:ascii="Arial" w:hAnsi="Arial"/>
                <w:sz w:val="17"/>
              </w:rPr>
              <w:t>5808.10.9000</w:t>
            </w:r>
          </w:p>
        </w:tc>
        <w:tc>
          <w:tcPr>
            <w:tcW w:type="dxa" w:w="2340"/>
            <w:tcMar>
              <w:top w:w="70" w:type="dxa"/>
              <w:start w:w="110" w:type="dxa"/>
              <w:bottom w:w="70" w:type="dxa"/>
              <w:end w:w="110" w:type="dxa"/>
            </w:tcMar>
          </w:tcPr>
          <w:p>
            <w:pPr>
              <w:widowControl/>
              <w:spacing w:after="0"/>
            </w:pPr>
            <w:r>
              <w:rPr>
                <w:rFonts w:ascii="Arial" w:hAnsi="Arial"/>
                <w:sz w:val="17"/>
              </w:rPr>
              <w:t>11.10</w:t>
            </w:r>
          </w:p>
        </w:tc>
        <w:tc>
          <w:tcPr>
            <w:tcW w:type="dxa" w:w="2340"/>
            <w:tcMar>
              <w:top w:w="70" w:type="dxa"/>
              <w:start w:w="110" w:type="dxa"/>
              <w:bottom w:w="70" w:type="dxa"/>
              <w:end w:w="110" w:type="dxa"/>
            </w:tcMar>
          </w:tcPr>
          <w:p>
            <w:pPr>
              <w:widowControl/>
              <w:spacing w:after="0"/>
            </w:pPr>
            <w:r>
              <w:rPr>
                <w:rFonts w:ascii="Arial" w:hAnsi="Arial"/>
                <w:sz w:val="17"/>
              </w:rPr>
              <w:t>KG</w:t>
            </w:r>
          </w:p>
        </w:tc>
        <w:tc>
          <w:tcPr>
            <w:tcW w:type="dxa" w:w="2340"/>
            <w:tcMar>
              <w:top w:w="70" w:type="dxa"/>
              <w:start w:w="110" w:type="dxa"/>
              <w:bottom w:w="70" w:type="dxa"/>
              <w:end w:w="110" w:type="dxa"/>
            </w:tcMar>
          </w:tcPr>
          <w:p>
            <w:pPr>
              <w:widowControl/>
              <w:spacing w:after="0"/>
            </w:pPr>
            <w:r>
              <w:rPr>
                <w:rFonts w:ascii="Arial" w:hAnsi="Arial"/>
                <w:sz w:val="17"/>
              </w:rPr>
              <w:t>OTHER BRAIDS IN PIECE</w:t>
            </w:r>
          </w:p>
        </w:tc>
      </w:tr>
      <w:tr>
        <w:trPr>
          <w:cantSplit/>
        </w:trPr>
        <w:tc>
          <w:tcPr>
            <w:tcW w:type="dxa" w:w="2340"/>
            <w:tcMar>
              <w:top w:w="70" w:type="dxa"/>
              <w:start w:w="110" w:type="dxa"/>
              <w:bottom w:w="70" w:type="dxa"/>
              <w:end w:w="110" w:type="dxa"/>
            </w:tcMar>
            <w:shd w:fill="F4F6F7"/>
          </w:tcPr>
          <w:p>
            <w:pPr>
              <w:widowControl/>
              <w:spacing w:after="0"/>
            </w:pPr>
            <w:r>
              <w:rPr>
                <w:rFonts w:ascii="Arial" w:hAnsi="Arial"/>
                <w:sz w:val="17"/>
              </w:rPr>
              <w:t>5808.90.0090</w:t>
            </w:r>
          </w:p>
        </w:tc>
        <w:tc>
          <w:tcPr>
            <w:tcW w:type="dxa" w:w="2340"/>
            <w:tcMar>
              <w:top w:w="70" w:type="dxa"/>
              <w:start w:w="110" w:type="dxa"/>
              <w:bottom w:w="70" w:type="dxa"/>
              <w:end w:w="110" w:type="dxa"/>
            </w:tcMar>
            <w:shd w:fill="F4F6F7"/>
          </w:tcPr>
          <w:p>
            <w:pPr>
              <w:widowControl/>
              <w:spacing w:after="0"/>
            </w:pPr>
            <w:r>
              <w:rPr>
                <w:rFonts w:ascii="Arial" w:hAnsi="Arial"/>
                <w:sz w:val="17"/>
              </w:rPr>
              <w:t>11.10</w:t>
            </w:r>
          </w:p>
        </w:tc>
        <w:tc>
          <w:tcPr>
            <w:tcW w:type="dxa" w:w="2340"/>
            <w:tcMar>
              <w:top w:w="70" w:type="dxa"/>
              <w:start w:w="110" w:type="dxa"/>
              <w:bottom w:w="70" w:type="dxa"/>
              <w:end w:w="110" w:type="dxa"/>
            </w:tcMar>
            <w:shd w:fill="F4F6F7"/>
          </w:tcPr>
          <w:p>
            <w:pPr>
              <w:widowControl/>
              <w:spacing w:after="0"/>
            </w:pPr>
            <w:r>
              <w:rPr>
                <w:rFonts w:ascii="Arial" w:hAnsi="Arial"/>
                <w:sz w:val="17"/>
              </w:rPr>
              <w:t>KG</w:t>
            </w:r>
          </w:p>
        </w:tc>
        <w:tc>
          <w:tcPr>
            <w:tcW w:type="dxa" w:w="2340"/>
            <w:tcMar>
              <w:top w:w="70" w:type="dxa"/>
              <w:start w:w="110" w:type="dxa"/>
              <w:bottom w:w="70" w:type="dxa"/>
              <w:end w:w="110" w:type="dxa"/>
            </w:tcMar>
            <w:shd w:fill="F4F6F7"/>
          </w:tcPr>
          <w:p>
            <w:pPr>
              <w:widowControl/>
              <w:spacing w:after="0"/>
            </w:pPr>
            <w:r>
              <w:rPr>
                <w:rFonts w:ascii="Arial" w:hAnsi="Arial"/>
                <w:sz w:val="17"/>
              </w:rPr>
              <w:t>ORNAMENTAL TRIMMING IN PIECE, TEXTILE MATERIALS, NOT KNIT OR CROCHETED OR EMBROIDERED, NOT COTTON/MMF</w:t>
            </w:r>
          </w:p>
        </w:tc>
      </w:tr>
      <w:tr>
        <w:trPr>
          <w:cantSplit/>
        </w:trPr>
        <w:tc>
          <w:tcPr>
            <w:tcW w:type="dxa" w:w="2340"/>
            <w:tcMar>
              <w:top w:w="70" w:type="dxa"/>
              <w:start w:w="110" w:type="dxa"/>
              <w:bottom w:w="70" w:type="dxa"/>
              <w:end w:w="110" w:type="dxa"/>
            </w:tcMar>
          </w:tcPr>
          <w:p>
            <w:pPr>
              <w:widowControl/>
              <w:spacing w:after="0"/>
            </w:pPr>
            <w:r>
              <w:rPr>
                <w:rFonts w:ascii="Arial" w:hAnsi="Arial"/>
                <w:sz w:val="17"/>
              </w:rPr>
              <w:t>5810.92.1000</w:t>
            </w:r>
          </w:p>
        </w:tc>
        <w:tc>
          <w:tcPr>
            <w:tcW w:type="dxa" w:w="2340"/>
            <w:tcMar>
              <w:top w:w="70" w:type="dxa"/>
              <w:start w:w="110" w:type="dxa"/>
              <w:bottom w:w="70" w:type="dxa"/>
              <w:end w:w="110" w:type="dxa"/>
            </w:tcMar>
          </w:tcPr>
          <w:p>
            <w:pPr>
              <w:widowControl/>
              <w:spacing w:after="0"/>
            </w:pPr>
            <w:r>
              <w:rPr>
                <w:rFonts w:ascii="Arial" w:hAnsi="Arial"/>
                <w:sz w:val="17"/>
              </w:rPr>
              <w:t>14.40</w:t>
            </w:r>
          </w:p>
        </w:tc>
        <w:tc>
          <w:tcPr>
            <w:tcW w:type="dxa" w:w="2340"/>
            <w:tcMar>
              <w:top w:w="70" w:type="dxa"/>
              <w:start w:w="110" w:type="dxa"/>
              <w:bottom w:w="70" w:type="dxa"/>
              <w:end w:w="110" w:type="dxa"/>
            </w:tcMar>
          </w:tcPr>
          <w:p>
            <w:pPr>
              <w:widowControl/>
              <w:spacing w:after="0"/>
            </w:pPr>
            <w:r>
              <w:rPr>
                <w:rFonts w:ascii="Arial" w:hAnsi="Arial"/>
                <w:sz w:val="17"/>
              </w:rPr>
              <w:t>KG</w:t>
            </w:r>
          </w:p>
        </w:tc>
        <w:tc>
          <w:tcPr>
            <w:tcW w:type="dxa" w:w="2340"/>
            <w:tcMar>
              <w:top w:w="70" w:type="dxa"/>
              <w:start w:w="110" w:type="dxa"/>
              <w:bottom w:w="70" w:type="dxa"/>
              <w:end w:w="110" w:type="dxa"/>
            </w:tcMar>
          </w:tcPr>
          <w:p>
            <w:pPr>
              <w:widowControl/>
              <w:spacing w:after="0"/>
            </w:pPr>
            <w:r>
              <w:rPr>
                <w:rFonts w:ascii="Arial" w:hAnsi="Arial"/>
                <w:sz w:val="17"/>
              </w:rPr>
              <w:t>EMBROIDERED BADGES/EMBLEMS/MOTIFS WITH VISIBLE GROUND, MMF</w:t>
            </w:r>
          </w:p>
        </w:tc>
      </w:tr>
      <w:tr>
        <w:trPr>
          <w:cantSplit/>
        </w:trPr>
        <w:tc>
          <w:tcPr>
            <w:tcW w:type="dxa" w:w="2340"/>
            <w:tcMar>
              <w:top w:w="70" w:type="dxa"/>
              <w:start w:w="110" w:type="dxa"/>
              <w:bottom w:w="70" w:type="dxa"/>
              <w:end w:w="110" w:type="dxa"/>
            </w:tcMar>
            <w:shd w:fill="F4F6F7"/>
          </w:tcPr>
          <w:p>
            <w:pPr>
              <w:widowControl/>
              <w:spacing w:after="0"/>
            </w:pPr>
            <w:r>
              <w:rPr>
                <w:rFonts w:ascii="Arial" w:hAnsi="Arial"/>
                <w:sz w:val="17"/>
              </w:rPr>
              <w:t>5810.99.9000</w:t>
            </w:r>
          </w:p>
        </w:tc>
        <w:tc>
          <w:tcPr>
            <w:tcW w:type="dxa" w:w="2340"/>
            <w:tcMar>
              <w:top w:w="70" w:type="dxa"/>
              <w:start w:w="110" w:type="dxa"/>
              <w:bottom w:w="70" w:type="dxa"/>
              <w:end w:w="110" w:type="dxa"/>
            </w:tcMar>
            <w:shd w:fill="F4F6F7"/>
          </w:tcPr>
          <w:p>
            <w:pPr>
              <w:widowControl/>
              <w:spacing w:after="0"/>
            </w:pPr>
            <w:r>
              <w:rPr>
                <w:rFonts w:ascii="Arial" w:hAnsi="Arial"/>
                <w:sz w:val="17"/>
              </w:rPr>
              <w:t>11.10</w:t>
            </w:r>
          </w:p>
        </w:tc>
        <w:tc>
          <w:tcPr>
            <w:tcW w:type="dxa" w:w="2340"/>
            <w:tcMar>
              <w:top w:w="70" w:type="dxa"/>
              <w:start w:w="110" w:type="dxa"/>
              <w:bottom w:w="70" w:type="dxa"/>
              <w:end w:w="110" w:type="dxa"/>
            </w:tcMar>
            <w:shd w:fill="F4F6F7"/>
          </w:tcPr>
          <w:p>
            <w:pPr>
              <w:widowControl/>
              <w:spacing w:after="0"/>
            </w:pPr>
            <w:r>
              <w:rPr>
                <w:rFonts w:ascii="Arial" w:hAnsi="Arial"/>
                <w:sz w:val="17"/>
              </w:rPr>
              <w:t>KG</w:t>
            </w:r>
          </w:p>
        </w:tc>
        <w:tc>
          <w:tcPr>
            <w:tcW w:type="dxa" w:w="2340"/>
            <w:tcMar>
              <w:top w:w="70" w:type="dxa"/>
              <w:start w:w="110" w:type="dxa"/>
              <w:bottom w:w="70" w:type="dxa"/>
              <w:end w:w="110" w:type="dxa"/>
            </w:tcMar>
            <w:shd w:fill="F4F6F7"/>
          </w:tcPr>
          <w:p>
            <w:pPr>
              <w:widowControl/>
              <w:spacing w:after="0"/>
            </w:pPr>
            <w:r>
              <w:rPr>
                <w:rFonts w:ascii="Arial" w:hAnsi="Arial"/>
                <w:sz w:val="17"/>
              </w:rPr>
              <w:t>OTHER EMBROIDERY PIECES/STRIPS/MOTIFS WITH VISIBLE GROUND, TEXTILE MATERIALS</w:t>
            </w:r>
          </w:p>
        </w:tc>
      </w:tr>
      <w:tr>
        <w:trPr>
          <w:cantSplit/>
        </w:trPr>
        <w:tc>
          <w:tcPr>
            <w:tcW w:type="dxa" w:w="2340"/>
            <w:tcMar>
              <w:top w:w="70" w:type="dxa"/>
              <w:start w:w="110" w:type="dxa"/>
              <w:bottom w:w="70" w:type="dxa"/>
              <w:end w:w="110" w:type="dxa"/>
            </w:tcMar>
          </w:tcPr>
          <w:p>
            <w:pPr>
              <w:widowControl/>
              <w:spacing w:after="0"/>
            </w:pPr>
            <w:r>
              <w:rPr>
                <w:rFonts w:ascii="Arial" w:hAnsi="Arial"/>
                <w:sz w:val="17"/>
              </w:rPr>
              <w:t>5811.00.4000</w:t>
            </w:r>
          </w:p>
        </w:tc>
        <w:tc>
          <w:tcPr>
            <w:tcW w:type="dxa" w:w="2340"/>
            <w:tcMar>
              <w:top w:w="70" w:type="dxa"/>
              <w:start w:w="110" w:type="dxa"/>
              <w:bottom w:w="70" w:type="dxa"/>
              <w:end w:w="110" w:type="dxa"/>
            </w:tcMar>
          </w:tcPr>
          <w:p>
            <w:pPr>
              <w:widowControl/>
              <w:spacing w:after="0"/>
            </w:pPr>
            <w:r>
              <w:rPr>
                <w:rFonts w:ascii="Arial" w:hAnsi="Arial"/>
                <w:sz w:val="17"/>
              </w:rPr>
              <w:t>1.00</w:t>
            </w:r>
          </w:p>
        </w:tc>
        <w:tc>
          <w:tcPr>
            <w:tcW w:type="dxa" w:w="2340"/>
            <w:tcMar>
              <w:top w:w="70" w:type="dxa"/>
              <w:start w:w="110" w:type="dxa"/>
              <w:bottom w:w="70" w:type="dxa"/>
              <w:end w:w="110" w:type="dxa"/>
            </w:tcMar>
          </w:tcPr>
          <w:p>
            <w:pPr>
              <w:widowControl/>
              <w:spacing w:after="0"/>
            </w:pPr>
            <w:r>
              <w:rPr>
                <w:rFonts w:ascii="Arial" w:hAnsi="Arial"/>
                <w:sz w:val="17"/>
              </w:rPr>
              <w:t>SM</w:t>
            </w:r>
          </w:p>
        </w:tc>
        <w:tc>
          <w:tcPr>
            <w:tcW w:type="dxa" w:w="2340"/>
            <w:tcMar>
              <w:top w:w="70" w:type="dxa"/>
              <w:start w:w="110" w:type="dxa"/>
              <w:bottom w:w="70" w:type="dxa"/>
              <w:end w:w="110" w:type="dxa"/>
            </w:tcMar>
          </w:tcPr>
          <w:p>
            <w:pPr>
              <w:widowControl/>
              <w:spacing w:after="0"/>
            </w:pPr>
            <w:r>
              <w:rPr>
                <w:rFonts w:ascii="Arial" w:hAnsi="Arial"/>
                <w:sz w:val="17"/>
              </w:rPr>
              <w:t>OTHER QUILTED PIECES, 1 LAYER TEXTILE MATERIALS, OTHER TEXTILE MATERIALS</w:t>
            </w:r>
          </w:p>
        </w:tc>
      </w:tr>
      <w:tr>
        <w:trPr>
          <w:cantSplit/>
        </w:trPr>
        <w:tc>
          <w:tcPr>
            <w:tcW w:type="dxa" w:w="2340"/>
            <w:tcMar>
              <w:top w:w="70" w:type="dxa"/>
              <w:start w:w="110" w:type="dxa"/>
              <w:bottom w:w="70" w:type="dxa"/>
              <w:end w:w="110" w:type="dxa"/>
            </w:tcMar>
            <w:shd w:fill="F4F6F7"/>
          </w:tcPr>
          <w:p>
            <w:pPr>
              <w:widowControl/>
              <w:spacing w:after="0"/>
            </w:pPr>
            <w:r>
              <w:rPr>
                <w:rFonts w:ascii="Arial" w:hAnsi="Arial"/>
                <w:sz w:val="17"/>
              </w:rPr>
              <w:t>6001.99.1000</w:t>
            </w:r>
          </w:p>
        </w:tc>
        <w:tc>
          <w:tcPr>
            <w:tcW w:type="dxa" w:w="2340"/>
            <w:tcMar>
              <w:top w:w="70" w:type="dxa"/>
              <w:start w:w="110" w:type="dxa"/>
              <w:bottom w:w="70" w:type="dxa"/>
              <w:end w:w="110" w:type="dxa"/>
            </w:tcMar>
            <w:shd w:fill="F4F6F7"/>
          </w:tcPr>
          <w:p>
            <w:pPr>
              <w:widowControl/>
              <w:spacing w:after="0"/>
            </w:pPr>
            <w:r>
              <w:rPr>
                <w:rFonts w:ascii="Arial" w:hAnsi="Arial"/>
                <w:sz w:val="17"/>
              </w:rPr>
              <w:t>1.00</w:t>
            </w:r>
          </w:p>
        </w:tc>
        <w:tc>
          <w:tcPr>
            <w:tcW w:type="dxa" w:w="2340"/>
            <w:tcMar>
              <w:top w:w="70" w:type="dxa"/>
              <w:start w:w="110" w:type="dxa"/>
              <w:bottom w:w="70" w:type="dxa"/>
              <w:end w:w="110" w:type="dxa"/>
            </w:tcMar>
            <w:shd w:fill="F4F6F7"/>
          </w:tcPr>
          <w:p>
            <w:pPr>
              <w:widowControl/>
              <w:spacing w:after="0"/>
            </w:pPr>
            <w:r>
              <w:rPr>
                <w:rFonts w:ascii="Arial" w:hAnsi="Arial"/>
                <w:sz w:val="17"/>
              </w:rPr>
              <w:t>SM</w:t>
            </w:r>
          </w:p>
        </w:tc>
        <w:tc>
          <w:tcPr>
            <w:tcW w:type="dxa" w:w="2340"/>
            <w:tcMar>
              <w:top w:w="70" w:type="dxa"/>
              <w:start w:w="110" w:type="dxa"/>
              <w:bottom w:w="70" w:type="dxa"/>
              <w:end w:w="110" w:type="dxa"/>
            </w:tcMar>
            <w:shd w:fill="F4F6F7"/>
          </w:tcPr>
          <w:p>
            <w:pPr>
              <w:widowControl/>
              <w:spacing w:after="0"/>
            </w:pPr>
            <w:r>
              <w:rPr>
                <w:rFonts w:ascii="Arial" w:hAnsi="Arial"/>
                <w:sz w:val="17"/>
              </w:rPr>
              <w:t>OTHER KNIT OR CROCHETED PILE FABRIC, OTHER, CONTAINING 85% OR MORE BY WEIGHT OF SILK OR SILK WASTE</w:t>
            </w:r>
          </w:p>
        </w:tc>
      </w:tr>
      <w:tr>
        <w:trPr>
          <w:cantSplit/>
        </w:trPr>
        <w:tc>
          <w:tcPr>
            <w:tcW w:type="dxa" w:w="2340"/>
            <w:tcMar>
              <w:top w:w="70" w:type="dxa"/>
              <w:start w:w="110" w:type="dxa"/>
              <w:bottom w:w="70" w:type="dxa"/>
              <w:end w:w="110" w:type="dxa"/>
            </w:tcMar>
          </w:tcPr>
          <w:p>
            <w:pPr>
              <w:widowControl/>
              <w:spacing w:after="0"/>
            </w:pPr>
            <w:r>
              <w:rPr>
                <w:rFonts w:ascii="Arial" w:hAnsi="Arial"/>
                <w:sz w:val="17"/>
              </w:rPr>
              <w:t>6006.90.1000</w:t>
            </w:r>
          </w:p>
        </w:tc>
        <w:tc>
          <w:tcPr>
            <w:tcW w:type="dxa" w:w="2340"/>
            <w:tcMar>
              <w:top w:w="70" w:type="dxa"/>
              <w:start w:w="110" w:type="dxa"/>
              <w:bottom w:w="70" w:type="dxa"/>
              <w:end w:w="110" w:type="dxa"/>
            </w:tcMar>
          </w:tcPr>
          <w:p>
            <w:pPr>
              <w:widowControl/>
              <w:spacing w:after="0"/>
            </w:pPr>
            <w:r>
              <w:rPr>
                <w:rFonts w:ascii="Arial" w:hAnsi="Arial"/>
                <w:sz w:val="17"/>
              </w:rPr>
              <w:t>11.10</w:t>
            </w:r>
          </w:p>
        </w:tc>
        <w:tc>
          <w:tcPr>
            <w:tcW w:type="dxa" w:w="2340"/>
            <w:tcMar>
              <w:top w:w="70" w:type="dxa"/>
              <w:start w:w="110" w:type="dxa"/>
              <w:bottom w:w="70" w:type="dxa"/>
              <w:end w:w="110" w:type="dxa"/>
            </w:tcMar>
          </w:tcPr>
          <w:p>
            <w:pPr>
              <w:widowControl/>
              <w:spacing w:after="0"/>
            </w:pPr>
            <w:r>
              <w:rPr>
                <w:rFonts w:ascii="Arial" w:hAnsi="Arial"/>
                <w:sz w:val="17"/>
              </w:rPr>
              <w:t>KG</w:t>
            </w:r>
          </w:p>
        </w:tc>
        <w:tc>
          <w:tcPr>
            <w:tcW w:type="dxa" w:w="2340"/>
            <w:tcMar>
              <w:top w:w="70" w:type="dxa"/>
              <w:start w:w="110" w:type="dxa"/>
              <w:bottom w:w="70" w:type="dxa"/>
              <w:end w:w="110" w:type="dxa"/>
            </w:tcMar>
          </w:tcPr>
          <w:p>
            <w:pPr>
              <w:widowControl/>
              <w:spacing w:after="0"/>
            </w:pPr>
            <w:r>
              <w:rPr>
                <w:rFonts w:ascii="Arial" w:hAnsi="Arial"/>
                <w:sz w:val="17"/>
              </w:rPr>
              <w:t>KNIT OR CROCHETED FABRIC, OTHER,     CONTAINING 85% OR MORE BY WEIGHT OF SILK OR SILK WASTE</w:t>
            </w:r>
          </w:p>
        </w:tc>
      </w:tr>
      <w:tr>
        <w:trPr>
          <w:cantSplit/>
        </w:trPr>
        <w:tc>
          <w:tcPr>
            <w:tcW w:type="dxa" w:w="2340"/>
            <w:tcMar>
              <w:top w:w="70" w:type="dxa"/>
              <w:start w:w="110" w:type="dxa"/>
              <w:bottom w:w="70" w:type="dxa"/>
              <w:end w:w="110" w:type="dxa"/>
            </w:tcMar>
            <w:shd w:fill="F4F6F7"/>
          </w:tcPr>
          <w:p>
            <w:pPr>
              <w:widowControl/>
              <w:spacing w:after="0"/>
            </w:pPr>
            <w:r>
              <w:rPr>
                <w:rFonts w:ascii="Arial" w:hAnsi="Arial"/>
                <w:sz w:val="17"/>
              </w:rPr>
              <w:t>6301.90.0020</w:t>
            </w:r>
          </w:p>
        </w:tc>
        <w:tc>
          <w:tcPr>
            <w:tcW w:type="dxa" w:w="2340"/>
            <w:tcMar>
              <w:top w:w="70" w:type="dxa"/>
              <w:start w:w="110" w:type="dxa"/>
              <w:bottom w:w="70" w:type="dxa"/>
              <w:end w:w="110" w:type="dxa"/>
            </w:tcMar>
            <w:shd w:fill="F4F6F7"/>
          </w:tcPr>
          <w:p>
            <w:pPr>
              <w:widowControl/>
              <w:spacing w:after="0"/>
            </w:pPr>
            <w:r>
              <w:rPr>
                <w:rFonts w:ascii="Arial" w:hAnsi="Arial"/>
                <w:sz w:val="17"/>
              </w:rPr>
              <w:t>11.10</w:t>
            </w:r>
          </w:p>
        </w:tc>
        <w:tc>
          <w:tcPr>
            <w:tcW w:type="dxa" w:w="2340"/>
            <w:tcMar>
              <w:top w:w="70" w:type="dxa"/>
              <w:start w:w="110" w:type="dxa"/>
              <w:bottom w:w="70" w:type="dxa"/>
              <w:end w:w="110" w:type="dxa"/>
            </w:tcMar>
            <w:shd w:fill="F4F6F7"/>
          </w:tcPr>
          <w:p>
            <w:pPr>
              <w:widowControl/>
              <w:spacing w:after="0"/>
            </w:pPr>
            <w:r>
              <w:rPr>
                <w:rFonts w:ascii="Arial" w:hAnsi="Arial"/>
                <w:sz w:val="17"/>
              </w:rPr>
              <w:t>NO</w:t>
            </w:r>
          </w:p>
        </w:tc>
        <w:tc>
          <w:tcPr>
            <w:tcW w:type="dxa" w:w="2340"/>
            <w:tcMar>
              <w:top w:w="70" w:type="dxa"/>
              <w:start w:w="110" w:type="dxa"/>
              <w:bottom w:w="70" w:type="dxa"/>
              <w:end w:w="110" w:type="dxa"/>
            </w:tcMar>
            <w:shd w:fill="F4F6F7"/>
          </w:tcPr>
          <w:p>
            <w:pPr>
              <w:widowControl/>
              <w:spacing w:after="0"/>
            </w:pPr>
            <w:r>
              <w:rPr>
                <w:rFonts w:ascii="Arial" w:hAnsi="Arial"/>
                <w:sz w:val="17"/>
              </w:rPr>
              <w:t>BLANKET/TRAVELING RUGS, CONTAINING 85% OR MORE BY WEIGHT OF SILK OR SILK WASTE</w:t>
            </w:r>
          </w:p>
        </w:tc>
      </w:tr>
      <w:tr>
        <w:trPr>
          <w:cantSplit/>
        </w:trPr>
        <w:tc>
          <w:tcPr>
            <w:tcW w:type="dxa" w:w="2340"/>
            <w:tcMar>
              <w:top w:w="70" w:type="dxa"/>
              <w:start w:w="110" w:type="dxa"/>
              <w:bottom w:w="70" w:type="dxa"/>
              <w:end w:w="110" w:type="dxa"/>
            </w:tcMar>
          </w:tcPr>
          <w:p>
            <w:pPr>
              <w:widowControl/>
              <w:spacing w:after="0"/>
            </w:pPr>
            <w:r>
              <w:rPr>
                <w:rFonts w:ascii="Arial" w:hAnsi="Arial"/>
                <w:sz w:val="17"/>
              </w:rPr>
              <w:t>6302.29.0010</w:t>
            </w:r>
          </w:p>
        </w:tc>
        <w:tc>
          <w:tcPr>
            <w:tcW w:type="dxa" w:w="2340"/>
            <w:tcMar>
              <w:top w:w="70" w:type="dxa"/>
              <w:start w:w="110" w:type="dxa"/>
              <w:bottom w:w="70" w:type="dxa"/>
              <w:end w:w="110" w:type="dxa"/>
            </w:tcMar>
          </w:tcPr>
          <w:p>
            <w:pPr>
              <w:widowControl/>
              <w:spacing w:after="0"/>
            </w:pPr>
            <w:r>
              <w:rPr>
                <w:rFonts w:ascii="Arial" w:hAnsi="Arial"/>
                <w:sz w:val="17"/>
              </w:rPr>
              <w:t>11.10</w:t>
            </w:r>
          </w:p>
        </w:tc>
        <w:tc>
          <w:tcPr>
            <w:tcW w:type="dxa" w:w="2340"/>
            <w:tcMar>
              <w:top w:w="70" w:type="dxa"/>
              <w:start w:w="110" w:type="dxa"/>
              <w:bottom w:w="70" w:type="dxa"/>
              <w:end w:w="110" w:type="dxa"/>
            </w:tcMar>
          </w:tcPr>
          <w:p>
            <w:pPr>
              <w:widowControl/>
              <w:spacing w:after="0"/>
            </w:pPr>
            <w:r>
              <w:rPr>
                <w:rFonts w:ascii="Arial" w:hAnsi="Arial"/>
                <w:sz w:val="17"/>
              </w:rPr>
              <w:t>NO</w:t>
            </w:r>
          </w:p>
        </w:tc>
        <w:tc>
          <w:tcPr>
            <w:tcW w:type="dxa" w:w="2340"/>
            <w:tcMar>
              <w:top w:w="70" w:type="dxa"/>
              <w:start w:w="110" w:type="dxa"/>
              <w:bottom w:w="70" w:type="dxa"/>
              <w:end w:w="110" w:type="dxa"/>
            </w:tcMar>
          </w:tcPr>
          <w:p>
            <w:pPr>
              <w:widowControl/>
              <w:spacing w:after="0"/>
            </w:pPr>
            <w:r>
              <w:rPr>
                <w:rFonts w:ascii="Arial" w:hAnsi="Arial"/>
                <w:sz w:val="17"/>
              </w:rPr>
              <w:t>BED LINEN, PRINTED CONTAINING 85% OR MORE BY WEIGHT OF SILK OR SILK WASTE</w:t>
            </w:r>
          </w:p>
        </w:tc>
      </w:tr>
      <w:tr>
        <w:trPr>
          <w:cantSplit/>
        </w:trPr>
        <w:tc>
          <w:tcPr>
            <w:tcW w:type="dxa" w:w="2340"/>
            <w:tcMar>
              <w:top w:w="70" w:type="dxa"/>
              <w:start w:w="110" w:type="dxa"/>
              <w:bottom w:w="70" w:type="dxa"/>
              <w:end w:w="110" w:type="dxa"/>
            </w:tcMar>
            <w:shd w:fill="F4F6F7"/>
          </w:tcPr>
          <w:p>
            <w:pPr>
              <w:widowControl/>
              <w:spacing w:after="0"/>
            </w:pPr>
            <w:r>
              <w:rPr>
                <w:rFonts w:ascii="Arial" w:hAnsi="Arial"/>
                <w:sz w:val="17"/>
              </w:rPr>
              <w:t>6302.39.0020</w:t>
            </w:r>
          </w:p>
        </w:tc>
        <w:tc>
          <w:tcPr>
            <w:tcW w:type="dxa" w:w="2340"/>
            <w:tcMar>
              <w:top w:w="70" w:type="dxa"/>
              <w:start w:w="110" w:type="dxa"/>
              <w:bottom w:w="70" w:type="dxa"/>
              <w:end w:w="110" w:type="dxa"/>
            </w:tcMar>
            <w:shd w:fill="F4F6F7"/>
          </w:tcPr>
          <w:p>
            <w:pPr>
              <w:widowControl/>
              <w:spacing w:after="0"/>
            </w:pPr>
            <w:r>
              <w:rPr>
                <w:rFonts w:ascii="Arial" w:hAnsi="Arial"/>
                <w:sz w:val="17"/>
              </w:rPr>
              <w:t>11.10</w:t>
            </w:r>
          </w:p>
        </w:tc>
        <w:tc>
          <w:tcPr>
            <w:tcW w:type="dxa" w:w="2340"/>
            <w:tcMar>
              <w:top w:w="70" w:type="dxa"/>
              <w:start w:w="110" w:type="dxa"/>
              <w:bottom w:w="70" w:type="dxa"/>
              <w:end w:w="110" w:type="dxa"/>
            </w:tcMar>
            <w:shd w:fill="F4F6F7"/>
          </w:tcPr>
          <w:p>
            <w:pPr>
              <w:widowControl/>
              <w:spacing w:after="0"/>
            </w:pPr>
            <w:r>
              <w:rPr>
                <w:rFonts w:ascii="Arial" w:hAnsi="Arial"/>
                <w:sz w:val="17"/>
              </w:rPr>
              <w:t>NO</w:t>
            </w:r>
          </w:p>
        </w:tc>
        <w:tc>
          <w:tcPr>
            <w:tcW w:type="dxa" w:w="2340"/>
            <w:tcMar>
              <w:top w:w="70" w:type="dxa"/>
              <w:start w:w="110" w:type="dxa"/>
              <w:bottom w:w="70" w:type="dxa"/>
              <w:end w:w="110" w:type="dxa"/>
            </w:tcMar>
            <w:shd w:fill="F4F6F7"/>
          </w:tcPr>
          <w:p>
            <w:pPr>
              <w:widowControl/>
              <w:spacing w:after="0"/>
            </w:pPr>
            <w:r>
              <w:rPr>
                <w:rFonts w:ascii="Arial" w:hAnsi="Arial"/>
                <w:sz w:val="17"/>
              </w:rPr>
              <w:t>OTHER BED LINEN, CONTAINING 85% OR MORE BY WEIGHT OF SILK OR SILK WASTE</w:t>
            </w:r>
          </w:p>
        </w:tc>
      </w:tr>
      <w:tr>
        <w:trPr>
          <w:cantSplit/>
        </w:trPr>
        <w:tc>
          <w:tcPr>
            <w:tcW w:type="dxa" w:w="2340"/>
            <w:tcMar>
              <w:top w:w="70" w:type="dxa"/>
              <w:start w:w="110" w:type="dxa"/>
              <w:bottom w:w="70" w:type="dxa"/>
              <w:end w:w="110" w:type="dxa"/>
            </w:tcMar>
          </w:tcPr>
          <w:p>
            <w:pPr>
              <w:widowControl/>
              <w:spacing w:after="0"/>
            </w:pPr>
            <w:r>
              <w:rPr>
                <w:rFonts w:ascii="Arial" w:hAnsi="Arial"/>
                <w:sz w:val="17"/>
              </w:rPr>
              <w:t>6302.99.1000</w:t>
            </w:r>
          </w:p>
        </w:tc>
        <w:tc>
          <w:tcPr>
            <w:tcW w:type="dxa" w:w="2340"/>
            <w:tcMar>
              <w:top w:w="70" w:type="dxa"/>
              <w:start w:w="110" w:type="dxa"/>
              <w:bottom w:w="70" w:type="dxa"/>
              <w:end w:w="110" w:type="dxa"/>
            </w:tcMar>
          </w:tcPr>
          <w:p>
            <w:pPr>
              <w:widowControl/>
              <w:spacing w:after="0"/>
            </w:pPr>
            <w:r>
              <w:rPr>
                <w:rFonts w:ascii="Arial" w:hAnsi="Arial"/>
                <w:sz w:val="17"/>
              </w:rPr>
              <w:t>11.10</w:t>
            </w:r>
          </w:p>
        </w:tc>
        <w:tc>
          <w:tcPr>
            <w:tcW w:type="dxa" w:w="2340"/>
            <w:tcMar>
              <w:top w:w="70" w:type="dxa"/>
              <w:start w:w="110" w:type="dxa"/>
              <w:bottom w:w="70" w:type="dxa"/>
              <w:end w:w="110" w:type="dxa"/>
            </w:tcMar>
          </w:tcPr>
          <w:p>
            <w:pPr>
              <w:widowControl/>
              <w:spacing w:after="0"/>
            </w:pPr>
            <w:r>
              <w:rPr>
                <w:rFonts w:ascii="Arial" w:hAnsi="Arial"/>
                <w:sz w:val="17"/>
              </w:rPr>
              <w:t>NO</w:t>
            </w:r>
          </w:p>
        </w:tc>
        <w:tc>
          <w:tcPr>
            <w:tcW w:type="dxa" w:w="2340"/>
            <w:tcMar>
              <w:top w:w="70" w:type="dxa"/>
              <w:start w:w="110" w:type="dxa"/>
              <w:bottom w:w="70" w:type="dxa"/>
              <w:end w:w="110" w:type="dxa"/>
            </w:tcMar>
          </w:tcPr>
          <w:p>
            <w:pPr>
              <w:widowControl/>
              <w:spacing w:after="0"/>
            </w:pPr>
            <w:r>
              <w:rPr>
                <w:rFonts w:ascii="Arial" w:hAnsi="Arial"/>
                <w:sz w:val="17"/>
              </w:rPr>
              <w:t>OTHER LINEN, CONTAINING 85% OR MORE BY WEIGHT OF SILK OR SILK WASTE</w:t>
            </w:r>
          </w:p>
        </w:tc>
      </w:tr>
      <w:tr>
        <w:trPr>
          <w:cantSplit/>
        </w:trPr>
        <w:tc>
          <w:tcPr>
            <w:tcW w:type="dxa" w:w="2340"/>
            <w:tcMar>
              <w:top w:w="70" w:type="dxa"/>
              <w:start w:w="110" w:type="dxa"/>
              <w:bottom w:w="70" w:type="dxa"/>
              <w:end w:w="110" w:type="dxa"/>
            </w:tcMar>
            <w:shd w:fill="F4F6F7"/>
          </w:tcPr>
          <w:p>
            <w:pPr>
              <w:widowControl/>
              <w:spacing w:after="0"/>
            </w:pPr>
            <w:r>
              <w:rPr>
                <w:rFonts w:ascii="Arial" w:hAnsi="Arial"/>
                <w:sz w:val="17"/>
              </w:rPr>
              <w:t>6303.99.0030</w:t>
            </w:r>
          </w:p>
        </w:tc>
        <w:tc>
          <w:tcPr>
            <w:tcW w:type="dxa" w:w="2340"/>
            <w:tcMar>
              <w:top w:w="70" w:type="dxa"/>
              <w:start w:w="110" w:type="dxa"/>
              <w:bottom w:w="70" w:type="dxa"/>
              <w:end w:w="110" w:type="dxa"/>
            </w:tcMar>
            <w:shd w:fill="F4F6F7"/>
          </w:tcPr>
          <w:p>
            <w:pPr>
              <w:widowControl/>
              <w:spacing w:after="0"/>
            </w:pPr>
            <w:r>
              <w:rPr>
                <w:rFonts w:ascii="Arial" w:hAnsi="Arial"/>
                <w:sz w:val="17"/>
              </w:rPr>
              <w:t>11.10</w:t>
            </w:r>
          </w:p>
        </w:tc>
        <w:tc>
          <w:tcPr>
            <w:tcW w:type="dxa" w:w="2340"/>
            <w:tcMar>
              <w:top w:w="70" w:type="dxa"/>
              <w:start w:w="110" w:type="dxa"/>
              <w:bottom w:w="70" w:type="dxa"/>
              <w:end w:w="110" w:type="dxa"/>
            </w:tcMar>
            <w:shd w:fill="F4F6F7"/>
          </w:tcPr>
          <w:p>
            <w:pPr>
              <w:widowControl/>
              <w:spacing w:after="0"/>
            </w:pPr>
            <w:r>
              <w:rPr>
                <w:rFonts w:ascii="Arial" w:hAnsi="Arial"/>
                <w:sz w:val="17"/>
              </w:rPr>
              <w:t>NO</w:t>
            </w:r>
          </w:p>
        </w:tc>
        <w:tc>
          <w:tcPr>
            <w:tcW w:type="dxa" w:w="2340"/>
            <w:tcMar>
              <w:top w:w="70" w:type="dxa"/>
              <w:start w:w="110" w:type="dxa"/>
              <w:bottom w:w="70" w:type="dxa"/>
              <w:end w:w="110" w:type="dxa"/>
            </w:tcMar>
            <w:shd w:fill="F4F6F7"/>
          </w:tcPr>
          <w:p>
            <w:pPr>
              <w:widowControl/>
              <w:spacing w:after="0"/>
            </w:pPr>
            <w:r>
              <w:rPr>
                <w:rFonts w:ascii="Arial" w:hAnsi="Arial"/>
                <w:sz w:val="17"/>
              </w:rPr>
              <w:t>CURTAINS, INTERIOR BLINDS, OF OTHER TEXTILE MATERIALS NOT KNIT OR CROCHETED, CONTAINING 85% OR MORE BY WEIGHT OF SILK OR SILK WASTE</w:t>
            </w:r>
          </w:p>
        </w:tc>
      </w:tr>
      <w:tr>
        <w:trPr>
          <w:cantSplit/>
        </w:trPr>
        <w:tc>
          <w:tcPr>
            <w:tcW w:type="dxa" w:w="2340"/>
            <w:tcMar>
              <w:top w:w="70" w:type="dxa"/>
              <w:start w:w="110" w:type="dxa"/>
              <w:bottom w:w="70" w:type="dxa"/>
              <w:end w:w="110" w:type="dxa"/>
            </w:tcMar>
          </w:tcPr>
          <w:p>
            <w:pPr>
              <w:widowControl/>
              <w:spacing w:after="0"/>
            </w:pPr>
            <w:r>
              <w:rPr>
                <w:rFonts w:ascii="Arial" w:hAnsi="Arial"/>
                <w:sz w:val="17"/>
              </w:rPr>
              <w:t>6304.19.3030</w:t>
            </w:r>
          </w:p>
        </w:tc>
        <w:tc>
          <w:tcPr>
            <w:tcW w:type="dxa" w:w="2340"/>
            <w:tcMar>
              <w:top w:w="70" w:type="dxa"/>
              <w:start w:w="110" w:type="dxa"/>
              <w:bottom w:w="70" w:type="dxa"/>
              <w:end w:w="110" w:type="dxa"/>
            </w:tcMar>
          </w:tcPr>
          <w:p>
            <w:pPr>
              <w:widowControl/>
              <w:spacing w:after="0"/>
            </w:pPr>
            <w:r>
              <w:rPr>
                <w:rFonts w:ascii="Arial" w:hAnsi="Arial"/>
                <w:sz w:val="17"/>
              </w:rPr>
              <w:t>11.10</w:t>
            </w:r>
          </w:p>
        </w:tc>
        <w:tc>
          <w:tcPr>
            <w:tcW w:type="dxa" w:w="2340"/>
            <w:tcMar>
              <w:top w:w="70" w:type="dxa"/>
              <w:start w:w="110" w:type="dxa"/>
              <w:bottom w:w="70" w:type="dxa"/>
              <w:end w:w="110" w:type="dxa"/>
            </w:tcMar>
          </w:tcPr>
          <w:p>
            <w:pPr>
              <w:widowControl/>
              <w:spacing w:after="0"/>
            </w:pPr>
            <w:r>
              <w:rPr>
                <w:rFonts w:ascii="Arial" w:hAnsi="Arial"/>
                <w:sz w:val="17"/>
              </w:rPr>
              <w:t>NO</w:t>
            </w:r>
          </w:p>
        </w:tc>
        <w:tc>
          <w:tcPr>
            <w:tcW w:type="dxa" w:w="2340"/>
            <w:tcMar>
              <w:top w:w="70" w:type="dxa"/>
              <w:start w:w="110" w:type="dxa"/>
              <w:bottom w:w="70" w:type="dxa"/>
              <w:end w:w="110" w:type="dxa"/>
            </w:tcMar>
          </w:tcPr>
          <w:p>
            <w:pPr>
              <w:widowControl/>
              <w:spacing w:after="0"/>
            </w:pPr>
            <w:r>
              <w:rPr>
                <w:rFonts w:ascii="Arial" w:hAnsi="Arial"/>
                <w:sz w:val="17"/>
              </w:rPr>
              <w:t>BEDSPREADS, NOT KNIT OR CROCHETED, CONTAINING 85% OR MORE BY WEIGHT OF SILK OR SILK WASTE</w:t>
            </w:r>
          </w:p>
        </w:tc>
      </w:tr>
      <w:tr>
        <w:trPr>
          <w:cantSplit/>
        </w:trPr>
        <w:tc>
          <w:tcPr>
            <w:tcW w:type="dxa" w:w="2340"/>
            <w:tcMar>
              <w:top w:w="70" w:type="dxa"/>
              <w:start w:w="110" w:type="dxa"/>
              <w:bottom w:w="70" w:type="dxa"/>
              <w:end w:w="110" w:type="dxa"/>
            </w:tcMar>
            <w:shd w:fill="F4F6F7"/>
          </w:tcPr>
          <w:p>
            <w:pPr>
              <w:widowControl/>
              <w:spacing w:after="0"/>
            </w:pPr>
            <w:r>
              <w:rPr>
                <w:rFonts w:ascii="Arial" w:hAnsi="Arial"/>
                <w:sz w:val="17"/>
              </w:rPr>
              <w:t>6304.91.0060</w:t>
            </w:r>
          </w:p>
        </w:tc>
        <w:tc>
          <w:tcPr>
            <w:tcW w:type="dxa" w:w="2340"/>
            <w:tcMar>
              <w:top w:w="70" w:type="dxa"/>
              <w:start w:w="110" w:type="dxa"/>
              <w:bottom w:w="70" w:type="dxa"/>
              <w:end w:w="110" w:type="dxa"/>
            </w:tcMar>
            <w:shd w:fill="F4F6F7"/>
          </w:tcPr>
          <w:p>
            <w:pPr>
              <w:widowControl/>
              <w:spacing w:after="0"/>
            </w:pPr>
            <w:r>
              <w:rPr>
                <w:rFonts w:ascii="Arial" w:hAnsi="Arial"/>
                <w:sz w:val="17"/>
              </w:rPr>
              <w:t>11.10</w:t>
            </w:r>
          </w:p>
        </w:tc>
        <w:tc>
          <w:tcPr>
            <w:tcW w:type="dxa" w:w="2340"/>
            <w:tcMar>
              <w:top w:w="70" w:type="dxa"/>
              <w:start w:w="110" w:type="dxa"/>
              <w:bottom w:w="70" w:type="dxa"/>
              <w:end w:w="110" w:type="dxa"/>
            </w:tcMar>
            <w:shd w:fill="F4F6F7"/>
          </w:tcPr>
          <w:p>
            <w:pPr>
              <w:widowControl/>
              <w:spacing w:after="0"/>
            </w:pPr>
            <w:r>
              <w:rPr>
                <w:rFonts w:ascii="Arial" w:hAnsi="Arial"/>
                <w:sz w:val="17"/>
              </w:rPr>
              <w:t>NO</w:t>
            </w:r>
          </w:p>
        </w:tc>
        <w:tc>
          <w:tcPr>
            <w:tcW w:type="dxa" w:w="2340"/>
            <w:tcMar>
              <w:top w:w="70" w:type="dxa"/>
              <w:start w:w="110" w:type="dxa"/>
              <w:bottom w:w="70" w:type="dxa"/>
              <w:end w:w="110" w:type="dxa"/>
            </w:tcMar>
            <w:shd w:fill="F4F6F7"/>
          </w:tcPr>
          <w:p>
            <w:pPr>
              <w:widowControl/>
              <w:spacing w:after="0"/>
            </w:pPr>
            <w:r>
              <w:rPr>
                <w:rFonts w:ascii="Arial" w:hAnsi="Arial"/>
                <w:sz w:val="17"/>
              </w:rPr>
              <w:t>OTHER FURNISHING ARTICLES, KNIT OR CROCHETED CONTAINING 85% OR MORE BY WEIGHT OF SILK OR SILK WASTE</w:t>
            </w:r>
          </w:p>
        </w:tc>
      </w:tr>
      <w:tr>
        <w:trPr>
          <w:cantSplit/>
        </w:trPr>
        <w:tc>
          <w:tcPr>
            <w:tcW w:type="dxa" w:w="2340"/>
            <w:tcMar>
              <w:top w:w="70" w:type="dxa"/>
              <w:start w:w="110" w:type="dxa"/>
              <w:bottom w:w="70" w:type="dxa"/>
              <w:end w:w="110" w:type="dxa"/>
            </w:tcMar>
          </w:tcPr>
          <w:p>
            <w:pPr>
              <w:widowControl/>
              <w:spacing w:after="0"/>
            </w:pPr>
            <w:r>
              <w:rPr>
                <w:rFonts w:ascii="Arial" w:hAnsi="Arial"/>
                <w:sz w:val="17"/>
              </w:rPr>
              <w:t>6304.99.1000</w:t>
            </w:r>
          </w:p>
        </w:tc>
        <w:tc>
          <w:tcPr>
            <w:tcW w:type="dxa" w:w="2340"/>
            <w:tcMar>
              <w:top w:w="70" w:type="dxa"/>
              <w:start w:w="110" w:type="dxa"/>
              <w:bottom w:w="70" w:type="dxa"/>
              <w:end w:w="110" w:type="dxa"/>
            </w:tcMar>
          </w:tcPr>
          <w:p>
            <w:pPr>
              <w:widowControl/>
              <w:spacing w:after="0"/>
            </w:pPr>
            <w:r>
              <w:rPr>
                <w:rFonts w:ascii="Arial" w:hAnsi="Arial"/>
                <w:sz w:val="17"/>
              </w:rPr>
              <w:t>1.00</w:t>
            </w:r>
          </w:p>
        </w:tc>
        <w:tc>
          <w:tcPr>
            <w:tcW w:type="dxa" w:w="2340"/>
            <w:tcMar>
              <w:top w:w="70" w:type="dxa"/>
              <w:start w:w="110" w:type="dxa"/>
              <w:bottom w:w="70" w:type="dxa"/>
              <w:end w:w="110" w:type="dxa"/>
            </w:tcMar>
          </w:tcPr>
          <w:p>
            <w:pPr>
              <w:widowControl/>
              <w:spacing w:after="0"/>
            </w:pPr>
            <w:r>
              <w:rPr>
                <w:rFonts w:ascii="Arial" w:hAnsi="Arial"/>
                <w:sz w:val="17"/>
              </w:rPr>
              <w:t>SM</w:t>
            </w:r>
          </w:p>
        </w:tc>
        <w:tc>
          <w:tcPr>
            <w:tcW w:type="dxa" w:w="2340"/>
            <w:tcMar>
              <w:top w:w="70" w:type="dxa"/>
              <w:start w:w="110" w:type="dxa"/>
              <w:bottom w:w="70" w:type="dxa"/>
              <w:end w:w="110" w:type="dxa"/>
            </w:tcMar>
          </w:tcPr>
          <w:p>
            <w:pPr>
              <w:widowControl/>
              <w:spacing w:after="0"/>
            </w:pPr>
            <w:r>
              <w:rPr>
                <w:rFonts w:ascii="Arial" w:hAnsi="Arial"/>
                <w:sz w:val="17"/>
              </w:rPr>
              <w:t>WALL HANGINGS OF WOOL OR FINE ANIMAL HAIR, CERTIFIED HANDLOOMED/FOLKLORE, NOT KNIT OR CROCHETED</w:t>
            </w:r>
          </w:p>
        </w:tc>
      </w:tr>
      <w:tr>
        <w:trPr>
          <w:cantSplit/>
        </w:trPr>
        <w:tc>
          <w:tcPr>
            <w:tcW w:type="dxa" w:w="2340"/>
            <w:tcMar>
              <w:top w:w="70" w:type="dxa"/>
              <w:start w:w="110" w:type="dxa"/>
              <w:bottom w:w="70" w:type="dxa"/>
              <w:end w:w="110" w:type="dxa"/>
            </w:tcMar>
            <w:shd w:fill="F4F6F7"/>
          </w:tcPr>
          <w:p>
            <w:pPr>
              <w:widowControl/>
              <w:spacing w:after="0"/>
            </w:pPr>
            <w:r>
              <w:rPr>
                <w:rFonts w:ascii="Arial" w:hAnsi="Arial"/>
                <w:sz w:val="17"/>
              </w:rPr>
              <w:t>6304.99.2500</w:t>
            </w:r>
          </w:p>
        </w:tc>
        <w:tc>
          <w:tcPr>
            <w:tcW w:type="dxa" w:w="2340"/>
            <w:tcMar>
              <w:top w:w="70" w:type="dxa"/>
              <w:start w:w="110" w:type="dxa"/>
              <w:bottom w:w="70" w:type="dxa"/>
              <w:end w:w="110" w:type="dxa"/>
            </w:tcMar>
            <w:shd w:fill="F4F6F7"/>
          </w:tcPr>
          <w:p>
            <w:pPr>
              <w:widowControl/>
              <w:spacing w:after="0"/>
            </w:pPr>
            <w:r>
              <w:rPr>
                <w:rFonts w:ascii="Arial" w:hAnsi="Arial"/>
                <w:sz w:val="17"/>
              </w:rPr>
              <w:t>11.10</w:t>
            </w:r>
          </w:p>
        </w:tc>
        <w:tc>
          <w:tcPr>
            <w:tcW w:type="dxa" w:w="2340"/>
            <w:tcMar>
              <w:top w:w="70" w:type="dxa"/>
              <w:start w:w="110" w:type="dxa"/>
              <w:bottom w:w="70" w:type="dxa"/>
              <w:end w:w="110" w:type="dxa"/>
            </w:tcMar>
            <w:shd w:fill="F4F6F7"/>
          </w:tcPr>
          <w:p>
            <w:pPr>
              <w:widowControl/>
              <w:spacing w:after="0"/>
            </w:pPr>
            <w:r>
              <w:rPr>
                <w:rFonts w:ascii="Arial" w:hAnsi="Arial"/>
                <w:sz w:val="17"/>
              </w:rPr>
              <w:t>KG</w:t>
            </w:r>
          </w:p>
        </w:tc>
        <w:tc>
          <w:tcPr>
            <w:tcW w:type="dxa" w:w="2340"/>
            <w:tcMar>
              <w:top w:w="70" w:type="dxa"/>
              <w:start w:w="110" w:type="dxa"/>
              <w:bottom w:w="70" w:type="dxa"/>
              <w:end w:w="110" w:type="dxa"/>
            </w:tcMar>
            <w:shd w:fill="F4F6F7"/>
          </w:tcPr>
          <w:p>
            <w:pPr>
              <w:widowControl/>
              <w:spacing w:after="0"/>
            </w:pPr>
            <w:r>
              <w:rPr>
                <w:rFonts w:ascii="Arial" w:hAnsi="Arial"/>
                <w:sz w:val="17"/>
              </w:rPr>
              <w:t>WALL HANGINGS, JUTE, NOT KNIT</w:t>
            </w:r>
          </w:p>
        </w:tc>
      </w:tr>
      <w:tr>
        <w:trPr>
          <w:cantSplit/>
        </w:trPr>
        <w:tc>
          <w:tcPr>
            <w:tcW w:type="dxa" w:w="2340"/>
            <w:tcMar>
              <w:top w:w="70" w:type="dxa"/>
              <w:start w:w="110" w:type="dxa"/>
              <w:bottom w:w="70" w:type="dxa"/>
              <w:end w:w="110" w:type="dxa"/>
            </w:tcMar>
          </w:tcPr>
          <w:p>
            <w:pPr>
              <w:widowControl/>
              <w:spacing w:after="0"/>
            </w:pPr>
            <w:r>
              <w:rPr>
                <w:rFonts w:ascii="Arial" w:hAnsi="Arial"/>
                <w:sz w:val="17"/>
              </w:rPr>
              <w:t>6304.99.4000</w:t>
            </w:r>
          </w:p>
        </w:tc>
        <w:tc>
          <w:tcPr>
            <w:tcW w:type="dxa" w:w="2340"/>
            <w:tcMar>
              <w:top w:w="70" w:type="dxa"/>
              <w:start w:w="110" w:type="dxa"/>
              <w:bottom w:w="70" w:type="dxa"/>
              <w:end w:w="110" w:type="dxa"/>
            </w:tcMar>
          </w:tcPr>
          <w:p>
            <w:pPr>
              <w:widowControl/>
              <w:spacing w:after="0"/>
            </w:pPr>
            <w:r>
              <w:rPr>
                <w:rFonts w:ascii="Arial" w:hAnsi="Arial"/>
                <w:sz w:val="17"/>
              </w:rPr>
              <w:t>3.70</w:t>
            </w:r>
          </w:p>
        </w:tc>
        <w:tc>
          <w:tcPr>
            <w:tcW w:type="dxa" w:w="2340"/>
            <w:tcMar>
              <w:top w:w="70" w:type="dxa"/>
              <w:start w:w="110" w:type="dxa"/>
              <w:bottom w:w="70" w:type="dxa"/>
              <w:end w:w="110" w:type="dxa"/>
            </w:tcMar>
          </w:tcPr>
          <w:p>
            <w:pPr>
              <w:widowControl/>
              <w:spacing w:after="0"/>
            </w:pPr>
            <w:r>
              <w:rPr>
                <w:rFonts w:ascii="Arial" w:hAnsi="Arial"/>
                <w:sz w:val="17"/>
              </w:rPr>
              <w:t>KG</w:t>
            </w:r>
          </w:p>
        </w:tc>
        <w:tc>
          <w:tcPr>
            <w:tcW w:type="dxa" w:w="2340"/>
            <w:tcMar>
              <w:top w:w="70" w:type="dxa"/>
              <w:start w:w="110" w:type="dxa"/>
              <w:bottom w:w="70" w:type="dxa"/>
              <w:end w:w="110" w:type="dxa"/>
            </w:tcMar>
          </w:tcPr>
          <w:p>
            <w:pPr>
              <w:widowControl/>
              <w:spacing w:after="0"/>
            </w:pPr>
            <w:r>
              <w:rPr>
                <w:rFonts w:ascii="Arial" w:hAnsi="Arial"/>
                <w:sz w:val="17"/>
              </w:rPr>
              <w:t>PILLOW COVERS, WOOL OR FINE ANIMAL HAIR, CERTIFIED HANDLOOMED/FOLKLORE NOT KNIT OR CROCHETED</w:t>
            </w:r>
          </w:p>
        </w:tc>
      </w:tr>
      <w:tr>
        <w:trPr>
          <w:cantSplit/>
        </w:trPr>
        <w:tc>
          <w:tcPr>
            <w:tcW w:type="dxa" w:w="2340"/>
            <w:tcMar>
              <w:top w:w="70" w:type="dxa"/>
              <w:start w:w="110" w:type="dxa"/>
              <w:bottom w:w="70" w:type="dxa"/>
              <w:end w:w="110" w:type="dxa"/>
            </w:tcMar>
            <w:shd w:fill="F4F6F7"/>
          </w:tcPr>
          <w:p>
            <w:pPr>
              <w:widowControl/>
              <w:spacing w:after="0"/>
            </w:pPr>
            <w:r>
              <w:rPr>
                <w:rFonts w:ascii="Arial" w:hAnsi="Arial"/>
                <w:sz w:val="17"/>
              </w:rPr>
              <w:t>6304.99.6030</w:t>
            </w:r>
          </w:p>
        </w:tc>
        <w:tc>
          <w:tcPr>
            <w:tcW w:type="dxa" w:w="2340"/>
            <w:tcMar>
              <w:top w:w="70" w:type="dxa"/>
              <w:start w:w="110" w:type="dxa"/>
              <w:bottom w:w="70" w:type="dxa"/>
              <w:end w:w="110" w:type="dxa"/>
            </w:tcMar>
            <w:shd w:fill="F4F6F7"/>
          </w:tcPr>
          <w:p>
            <w:pPr>
              <w:widowControl/>
              <w:spacing w:after="0"/>
            </w:pPr>
            <w:r>
              <w:rPr>
                <w:rFonts w:ascii="Arial" w:hAnsi="Arial"/>
                <w:sz w:val="17"/>
              </w:rPr>
              <w:t>11.10</w:t>
            </w:r>
          </w:p>
        </w:tc>
        <w:tc>
          <w:tcPr>
            <w:tcW w:type="dxa" w:w="2340"/>
            <w:tcMar>
              <w:top w:w="70" w:type="dxa"/>
              <w:start w:w="110" w:type="dxa"/>
              <w:bottom w:w="70" w:type="dxa"/>
              <w:end w:w="110" w:type="dxa"/>
            </w:tcMar>
            <w:shd w:fill="F4F6F7"/>
          </w:tcPr>
          <w:p>
            <w:pPr>
              <w:widowControl/>
              <w:spacing w:after="0"/>
            </w:pPr>
            <w:r>
              <w:rPr>
                <w:rFonts w:ascii="Arial" w:hAnsi="Arial"/>
                <w:sz w:val="17"/>
              </w:rPr>
              <w:t>KG</w:t>
            </w:r>
          </w:p>
        </w:tc>
        <w:tc>
          <w:tcPr>
            <w:tcW w:type="dxa" w:w="2340"/>
            <w:tcMar>
              <w:top w:w="70" w:type="dxa"/>
              <w:start w:w="110" w:type="dxa"/>
              <w:bottom w:w="70" w:type="dxa"/>
              <w:end w:w="110" w:type="dxa"/>
            </w:tcMar>
            <w:shd w:fill="F4F6F7"/>
          </w:tcPr>
          <w:p>
            <w:pPr>
              <w:widowControl/>
              <w:spacing w:after="0"/>
            </w:pPr>
            <w:r>
              <w:rPr>
                <w:rFonts w:ascii="Arial" w:hAnsi="Arial"/>
                <w:sz w:val="17"/>
              </w:rPr>
              <w:t>OTHER FURNISHING ARTICLES, NOT KNIT, CONTAINING 85% OR MORE BY WEIGHT OF SILK OR SILK WASTE</w:t>
            </w:r>
          </w:p>
        </w:tc>
      </w:tr>
      <w:tr>
        <w:trPr>
          <w:cantSplit/>
        </w:trPr>
        <w:tc>
          <w:tcPr>
            <w:tcW w:type="dxa" w:w="2340"/>
            <w:tcMar>
              <w:top w:w="70" w:type="dxa"/>
              <w:start w:w="110" w:type="dxa"/>
              <w:bottom w:w="70" w:type="dxa"/>
              <w:end w:w="110" w:type="dxa"/>
            </w:tcMar>
          </w:tcPr>
          <w:p>
            <w:pPr>
              <w:widowControl/>
              <w:spacing w:after="0"/>
            </w:pPr>
            <w:r>
              <w:rPr>
                <w:rFonts w:ascii="Arial" w:hAnsi="Arial"/>
                <w:sz w:val="17"/>
              </w:rPr>
              <w:t>6305.10.0000</w:t>
            </w:r>
          </w:p>
        </w:tc>
        <w:tc>
          <w:tcPr>
            <w:tcW w:type="dxa" w:w="2340"/>
            <w:tcMar>
              <w:top w:w="70" w:type="dxa"/>
              <w:start w:w="110" w:type="dxa"/>
              <w:bottom w:w="70" w:type="dxa"/>
              <w:end w:w="110" w:type="dxa"/>
            </w:tcMar>
          </w:tcPr>
          <w:p>
            <w:pPr>
              <w:widowControl/>
              <w:spacing w:after="0"/>
            </w:pPr>
            <w:r>
              <w:rPr>
                <w:rFonts w:ascii="Arial" w:hAnsi="Arial"/>
                <w:sz w:val="17"/>
              </w:rPr>
              <w:t>11.10</w:t>
            </w:r>
          </w:p>
        </w:tc>
        <w:tc>
          <w:tcPr>
            <w:tcW w:type="dxa" w:w="2340"/>
            <w:tcMar>
              <w:top w:w="70" w:type="dxa"/>
              <w:start w:w="110" w:type="dxa"/>
              <w:bottom w:w="70" w:type="dxa"/>
              <w:end w:w="110" w:type="dxa"/>
            </w:tcMar>
          </w:tcPr>
          <w:p>
            <w:pPr>
              <w:widowControl/>
              <w:spacing w:after="0"/>
            </w:pPr>
            <w:r>
              <w:rPr>
                <w:rFonts w:ascii="Arial" w:hAnsi="Arial"/>
                <w:sz w:val="17"/>
              </w:rPr>
              <w:t>KG</w:t>
            </w:r>
          </w:p>
        </w:tc>
        <w:tc>
          <w:tcPr>
            <w:tcW w:type="dxa" w:w="2340"/>
            <w:tcMar>
              <w:top w:w="70" w:type="dxa"/>
              <w:start w:w="110" w:type="dxa"/>
              <w:bottom w:w="70" w:type="dxa"/>
              <w:end w:w="110" w:type="dxa"/>
            </w:tcMar>
          </w:tcPr>
          <w:p>
            <w:pPr>
              <w:widowControl/>
              <w:spacing w:after="0"/>
            </w:pPr>
            <w:r>
              <w:rPr>
                <w:rFonts w:ascii="Arial" w:hAnsi="Arial"/>
                <w:sz w:val="17"/>
              </w:rPr>
              <w:t>SACKS &amp; BAGS, JUTE/BAST FIBERS</w:t>
            </w:r>
          </w:p>
        </w:tc>
      </w:tr>
      <w:tr>
        <w:trPr>
          <w:cantSplit/>
        </w:trPr>
        <w:tc>
          <w:tcPr>
            <w:tcW w:type="dxa" w:w="2340"/>
            <w:tcMar>
              <w:top w:w="70" w:type="dxa"/>
              <w:start w:w="110" w:type="dxa"/>
              <w:bottom w:w="70" w:type="dxa"/>
              <w:end w:w="110" w:type="dxa"/>
            </w:tcMar>
            <w:shd w:fill="F4F6F7"/>
          </w:tcPr>
          <w:p>
            <w:pPr>
              <w:widowControl/>
              <w:spacing w:after="0"/>
            </w:pPr>
            <w:r>
              <w:rPr>
                <w:rFonts w:ascii="Arial" w:hAnsi="Arial"/>
                <w:sz w:val="17"/>
              </w:rPr>
              <w:t>6306.22.1000</w:t>
            </w:r>
          </w:p>
        </w:tc>
        <w:tc>
          <w:tcPr>
            <w:tcW w:type="dxa" w:w="2340"/>
            <w:tcMar>
              <w:top w:w="70" w:type="dxa"/>
              <w:start w:w="110" w:type="dxa"/>
              <w:bottom w:w="70" w:type="dxa"/>
              <w:end w:w="110" w:type="dxa"/>
            </w:tcMar>
            <w:shd w:fill="F4F6F7"/>
          </w:tcPr>
          <w:p>
            <w:pPr>
              <w:widowControl/>
              <w:spacing w:after="0"/>
            </w:pPr>
            <w:r>
              <w:rPr>
                <w:rFonts w:ascii="Arial" w:hAnsi="Arial"/>
                <w:sz w:val="17"/>
              </w:rPr>
              <w:t>14.40</w:t>
            </w:r>
          </w:p>
        </w:tc>
        <w:tc>
          <w:tcPr>
            <w:tcW w:type="dxa" w:w="2340"/>
            <w:tcMar>
              <w:top w:w="70" w:type="dxa"/>
              <w:start w:w="110" w:type="dxa"/>
              <w:bottom w:w="70" w:type="dxa"/>
              <w:end w:w="110" w:type="dxa"/>
            </w:tcMar>
            <w:shd w:fill="F4F6F7"/>
          </w:tcPr>
          <w:p>
            <w:pPr>
              <w:widowControl/>
              <w:spacing w:after="0"/>
            </w:pPr>
            <w:r>
              <w:rPr>
                <w:rFonts w:ascii="Arial" w:hAnsi="Arial"/>
                <w:sz w:val="17"/>
              </w:rPr>
              <w:t>NO</w:t>
            </w:r>
          </w:p>
        </w:tc>
        <w:tc>
          <w:tcPr>
            <w:tcW w:type="dxa" w:w="2340"/>
            <w:tcMar>
              <w:top w:w="70" w:type="dxa"/>
              <w:start w:w="110" w:type="dxa"/>
              <w:bottom w:w="70" w:type="dxa"/>
              <w:end w:w="110" w:type="dxa"/>
            </w:tcMar>
            <w:shd w:fill="F4F6F7"/>
          </w:tcPr>
          <w:p>
            <w:pPr>
              <w:widowControl/>
              <w:spacing w:after="0"/>
            </w:pPr>
            <w:r>
              <w:rPr>
                <w:rFonts w:ascii="Arial" w:hAnsi="Arial"/>
                <w:sz w:val="17"/>
              </w:rPr>
              <w:t>BACKPACK TENTS, SYNTHETIC FIBERS</w:t>
            </w:r>
          </w:p>
        </w:tc>
      </w:tr>
      <w:tr>
        <w:trPr>
          <w:cantSplit/>
        </w:trPr>
        <w:tc>
          <w:tcPr>
            <w:tcW w:type="dxa" w:w="2340"/>
            <w:tcMar>
              <w:top w:w="70" w:type="dxa"/>
              <w:start w:w="110" w:type="dxa"/>
              <w:bottom w:w="70" w:type="dxa"/>
              <w:end w:w="110" w:type="dxa"/>
            </w:tcMar>
          </w:tcPr>
          <w:p>
            <w:pPr>
              <w:widowControl/>
              <w:spacing w:after="0"/>
            </w:pPr>
            <w:r>
              <w:rPr>
                <w:rFonts w:ascii="Arial" w:hAnsi="Arial"/>
                <w:sz w:val="17"/>
              </w:rPr>
              <w:t>6306.22.9010</w:t>
            </w:r>
          </w:p>
        </w:tc>
        <w:tc>
          <w:tcPr>
            <w:tcW w:type="dxa" w:w="2340"/>
            <w:tcMar>
              <w:top w:w="70" w:type="dxa"/>
              <w:start w:w="110" w:type="dxa"/>
              <w:bottom w:w="70" w:type="dxa"/>
              <w:end w:w="110" w:type="dxa"/>
            </w:tcMar>
          </w:tcPr>
          <w:p>
            <w:pPr>
              <w:widowControl/>
              <w:spacing w:after="0"/>
            </w:pPr>
            <w:r>
              <w:rPr>
                <w:rFonts w:ascii="Arial" w:hAnsi="Arial"/>
                <w:sz w:val="17"/>
              </w:rPr>
              <w:t>14.40</w:t>
            </w:r>
          </w:p>
        </w:tc>
        <w:tc>
          <w:tcPr>
            <w:tcW w:type="dxa" w:w="2340"/>
            <w:tcMar>
              <w:top w:w="70" w:type="dxa"/>
              <w:start w:w="110" w:type="dxa"/>
              <w:bottom w:w="70" w:type="dxa"/>
              <w:end w:w="110" w:type="dxa"/>
            </w:tcMar>
          </w:tcPr>
          <w:p>
            <w:pPr>
              <w:widowControl/>
              <w:spacing w:after="0"/>
            </w:pPr>
            <w:r>
              <w:rPr>
                <w:rFonts w:ascii="Arial" w:hAnsi="Arial"/>
                <w:sz w:val="17"/>
              </w:rPr>
              <w:t>KG</w:t>
            </w:r>
          </w:p>
        </w:tc>
        <w:tc>
          <w:tcPr>
            <w:tcW w:type="dxa" w:w="2340"/>
            <w:tcMar>
              <w:top w:w="70" w:type="dxa"/>
              <w:start w:w="110" w:type="dxa"/>
              <w:bottom w:w="70" w:type="dxa"/>
              <w:end w:w="110" w:type="dxa"/>
            </w:tcMar>
          </w:tcPr>
          <w:p>
            <w:pPr>
              <w:widowControl/>
              <w:spacing w:after="0"/>
            </w:pPr>
            <w:r>
              <w:rPr>
                <w:rFonts w:ascii="Arial" w:hAnsi="Arial"/>
                <w:sz w:val="17"/>
              </w:rPr>
              <w:t>SCREEN HOUSES, SYNTHETIC FIBERS</w:t>
            </w:r>
          </w:p>
        </w:tc>
      </w:tr>
      <w:tr>
        <w:trPr>
          <w:cantSplit/>
        </w:trPr>
        <w:tc>
          <w:tcPr>
            <w:tcW w:type="dxa" w:w="2340"/>
            <w:tcMar>
              <w:top w:w="70" w:type="dxa"/>
              <w:start w:w="110" w:type="dxa"/>
              <w:bottom w:w="70" w:type="dxa"/>
              <w:end w:w="110" w:type="dxa"/>
            </w:tcMar>
            <w:shd w:fill="F4F6F7"/>
          </w:tcPr>
          <w:p>
            <w:pPr>
              <w:widowControl/>
              <w:spacing w:after="0"/>
            </w:pPr>
            <w:r>
              <w:rPr>
                <w:rFonts w:ascii="Arial" w:hAnsi="Arial"/>
                <w:sz w:val="17"/>
              </w:rPr>
              <w:t>6306.29.1100</w:t>
            </w:r>
          </w:p>
        </w:tc>
        <w:tc>
          <w:tcPr>
            <w:tcW w:type="dxa" w:w="2340"/>
            <w:tcMar>
              <w:top w:w="70" w:type="dxa"/>
              <w:start w:w="110" w:type="dxa"/>
              <w:bottom w:w="70" w:type="dxa"/>
              <w:end w:w="110" w:type="dxa"/>
            </w:tcMar>
            <w:shd w:fill="F4F6F7"/>
          </w:tcPr>
          <w:p>
            <w:pPr>
              <w:widowControl/>
              <w:spacing w:after="0"/>
            </w:pPr>
            <w:r>
              <w:rPr>
                <w:rFonts w:ascii="Arial" w:hAnsi="Arial"/>
                <w:sz w:val="17"/>
              </w:rPr>
              <w:t>8.50</w:t>
            </w:r>
          </w:p>
        </w:tc>
        <w:tc>
          <w:tcPr>
            <w:tcW w:type="dxa" w:w="2340"/>
            <w:tcMar>
              <w:top w:w="70" w:type="dxa"/>
              <w:start w:w="110" w:type="dxa"/>
              <w:bottom w:w="70" w:type="dxa"/>
              <w:end w:w="110" w:type="dxa"/>
            </w:tcMar>
            <w:shd w:fill="F4F6F7"/>
          </w:tcPr>
          <w:p>
            <w:pPr>
              <w:widowControl/>
              <w:spacing w:after="0"/>
            </w:pPr>
            <w:r>
              <w:rPr>
                <w:rFonts w:ascii="Arial" w:hAnsi="Arial"/>
                <w:sz w:val="17"/>
              </w:rPr>
              <w:t>KG</w:t>
            </w:r>
          </w:p>
        </w:tc>
        <w:tc>
          <w:tcPr>
            <w:tcW w:type="dxa" w:w="2340"/>
            <w:tcMar>
              <w:top w:w="70" w:type="dxa"/>
              <w:start w:w="110" w:type="dxa"/>
              <w:bottom w:w="70" w:type="dxa"/>
              <w:end w:w="110" w:type="dxa"/>
            </w:tcMar>
            <w:shd w:fill="F4F6F7"/>
          </w:tcPr>
          <w:p>
            <w:pPr>
              <w:widowControl/>
              <w:spacing w:after="0"/>
            </w:pPr>
            <w:r>
              <w:rPr>
                <w:rFonts w:ascii="Arial" w:hAnsi="Arial"/>
                <w:sz w:val="17"/>
              </w:rPr>
              <w:t>TENTS OF COTTON</w:t>
            </w:r>
          </w:p>
        </w:tc>
      </w:tr>
      <w:tr>
        <w:trPr>
          <w:cantSplit/>
        </w:trPr>
        <w:tc>
          <w:tcPr>
            <w:tcW w:type="dxa" w:w="2340"/>
            <w:tcMar>
              <w:top w:w="70" w:type="dxa"/>
              <w:start w:w="110" w:type="dxa"/>
              <w:bottom w:w="70" w:type="dxa"/>
              <w:end w:w="110" w:type="dxa"/>
            </w:tcMar>
          </w:tcPr>
          <w:p>
            <w:pPr>
              <w:widowControl/>
              <w:spacing w:after="0"/>
            </w:pPr>
            <w:r>
              <w:rPr>
                <w:rFonts w:ascii="Arial" w:hAnsi="Arial"/>
                <w:sz w:val="17"/>
              </w:rPr>
              <w:t>6306.29.2100</w:t>
            </w:r>
          </w:p>
        </w:tc>
        <w:tc>
          <w:tcPr>
            <w:tcW w:type="dxa" w:w="2340"/>
            <w:tcMar>
              <w:top w:w="70" w:type="dxa"/>
              <w:start w:w="110" w:type="dxa"/>
              <w:bottom w:w="70" w:type="dxa"/>
              <w:end w:w="110" w:type="dxa"/>
            </w:tcMar>
          </w:tcPr>
          <w:p>
            <w:pPr>
              <w:widowControl/>
              <w:spacing w:after="0"/>
            </w:pPr>
            <w:r>
              <w:rPr>
                <w:rFonts w:ascii="Arial" w:hAnsi="Arial"/>
                <w:sz w:val="17"/>
              </w:rPr>
              <w:t>14.40</w:t>
            </w:r>
          </w:p>
        </w:tc>
        <w:tc>
          <w:tcPr>
            <w:tcW w:type="dxa" w:w="2340"/>
            <w:tcMar>
              <w:top w:w="70" w:type="dxa"/>
              <w:start w:w="110" w:type="dxa"/>
              <w:bottom w:w="70" w:type="dxa"/>
              <w:end w:w="110" w:type="dxa"/>
            </w:tcMar>
          </w:tcPr>
          <w:p>
            <w:pPr>
              <w:widowControl/>
              <w:spacing w:after="0"/>
            </w:pPr>
            <w:r>
              <w:rPr>
                <w:rFonts w:ascii="Arial" w:hAnsi="Arial"/>
                <w:sz w:val="17"/>
              </w:rPr>
              <w:t>KG</w:t>
            </w:r>
          </w:p>
        </w:tc>
        <w:tc>
          <w:tcPr>
            <w:tcW w:type="dxa" w:w="2340"/>
            <w:tcMar>
              <w:top w:w="70" w:type="dxa"/>
              <w:start w:w="110" w:type="dxa"/>
              <w:bottom w:w="70" w:type="dxa"/>
              <w:end w:w="110" w:type="dxa"/>
            </w:tcMar>
          </w:tcPr>
          <w:p>
            <w:pPr>
              <w:widowControl/>
              <w:spacing w:after="0"/>
            </w:pPr>
            <w:r>
              <w:rPr>
                <w:rFonts w:ascii="Arial" w:hAnsi="Arial"/>
                <w:sz w:val="17"/>
              </w:rPr>
              <w:t>TENTS, OF OTHER TEXTILE MATERIALS</w:t>
            </w:r>
          </w:p>
        </w:tc>
      </w:tr>
      <w:tr>
        <w:trPr>
          <w:cantSplit/>
        </w:trPr>
        <w:tc>
          <w:tcPr>
            <w:tcW w:type="dxa" w:w="2340"/>
            <w:tcMar>
              <w:top w:w="70" w:type="dxa"/>
              <w:start w:w="110" w:type="dxa"/>
              <w:bottom w:w="70" w:type="dxa"/>
              <w:end w:w="110" w:type="dxa"/>
            </w:tcMar>
            <w:shd w:fill="F4F6F7"/>
          </w:tcPr>
          <w:p>
            <w:pPr>
              <w:widowControl/>
              <w:spacing w:after="0"/>
            </w:pPr>
            <w:r>
              <w:rPr>
                <w:rFonts w:ascii="Arial" w:hAnsi="Arial"/>
                <w:sz w:val="17"/>
              </w:rPr>
              <w:t>6306.30.0010</w:t>
            </w:r>
          </w:p>
        </w:tc>
        <w:tc>
          <w:tcPr>
            <w:tcW w:type="dxa" w:w="2340"/>
            <w:tcMar>
              <w:top w:w="70" w:type="dxa"/>
              <w:start w:w="110" w:type="dxa"/>
              <w:bottom w:w="70" w:type="dxa"/>
              <w:end w:w="110" w:type="dxa"/>
            </w:tcMar>
            <w:shd w:fill="F4F6F7"/>
          </w:tcPr>
          <w:p>
            <w:pPr>
              <w:widowControl/>
              <w:spacing w:after="0"/>
            </w:pPr>
            <w:r>
              <w:rPr>
                <w:rFonts w:ascii="Arial" w:hAnsi="Arial"/>
                <w:sz w:val="17"/>
              </w:rPr>
              <w:t>14.40</w:t>
            </w:r>
          </w:p>
        </w:tc>
        <w:tc>
          <w:tcPr>
            <w:tcW w:type="dxa" w:w="2340"/>
            <w:tcMar>
              <w:top w:w="70" w:type="dxa"/>
              <w:start w:w="110" w:type="dxa"/>
              <w:bottom w:w="70" w:type="dxa"/>
              <w:end w:w="110" w:type="dxa"/>
            </w:tcMar>
            <w:shd w:fill="F4F6F7"/>
          </w:tcPr>
          <w:p>
            <w:pPr>
              <w:widowControl/>
              <w:spacing w:after="0"/>
            </w:pPr>
            <w:r>
              <w:rPr>
                <w:rFonts w:ascii="Arial" w:hAnsi="Arial"/>
                <w:sz w:val="17"/>
              </w:rPr>
              <w:t>KG</w:t>
            </w:r>
          </w:p>
        </w:tc>
        <w:tc>
          <w:tcPr>
            <w:tcW w:type="dxa" w:w="2340"/>
            <w:tcMar>
              <w:top w:w="70" w:type="dxa"/>
              <w:start w:w="110" w:type="dxa"/>
              <w:bottom w:w="70" w:type="dxa"/>
              <w:end w:w="110" w:type="dxa"/>
            </w:tcMar>
            <w:shd w:fill="F4F6F7"/>
          </w:tcPr>
          <w:p>
            <w:pPr>
              <w:widowControl/>
              <w:spacing w:after="0"/>
            </w:pPr>
            <w:r>
              <w:rPr>
                <w:rFonts w:ascii="Arial" w:hAnsi="Arial"/>
                <w:sz w:val="17"/>
              </w:rPr>
              <w:t>SAILS, SYNTHETIC FIBERS</w:t>
            </w:r>
          </w:p>
        </w:tc>
      </w:tr>
      <w:tr>
        <w:trPr>
          <w:cantSplit/>
        </w:trPr>
        <w:tc>
          <w:tcPr>
            <w:tcW w:type="dxa" w:w="2340"/>
            <w:tcMar>
              <w:top w:w="70" w:type="dxa"/>
              <w:start w:w="110" w:type="dxa"/>
              <w:bottom w:w="70" w:type="dxa"/>
              <w:end w:w="110" w:type="dxa"/>
            </w:tcMar>
          </w:tcPr>
          <w:p>
            <w:pPr>
              <w:widowControl/>
              <w:spacing w:after="0"/>
            </w:pPr>
            <w:r>
              <w:rPr>
                <w:rFonts w:ascii="Arial" w:hAnsi="Arial"/>
                <w:sz w:val="17"/>
              </w:rPr>
              <w:t>6306.30.0020</w:t>
            </w:r>
          </w:p>
        </w:tc>
        <w:tc>
          <w:tcPr>
            <w:tcW w:type="dxa" w:w="2340"/>
            <w:tcMar>
              <w:top w:w="70" w:type="dxa"/>
              <w:start w:w="110" w:type="dxa"/>
              <w:bottom w:w="70" w:type="dxa"/>
              <w:end w:w="110" w:type="dxa"/>
            </w:tcMar>
          </w:tcPr>
          <w:p>
            <w:pPr>
              <w:widowControl/>
              <w:spacing w:after="0"/>
            </w:pPr>
            <w:r>
              <w:rPr>
                <w:rFonts w:ascii="Arial" w:hAnsi="Arial"/>
                <w:sz w:val="17"/>
              </w:rPr>
              <w:t>8.50</w:t>
            </w:r>
          </w:p>
        </w:tc>
        <w:tc>
          <w:tcPr>
            <w:tcW w:type="dxa" w:w="2340"/>
            <w:tcMar>
              <w:top w:w="70" w:type="dxa"/>
              <w:start w:w="110" w:type="dxa"/>
              <w:bottom w:w="70" w:type="dxa"/>
              <w:end w:w="110" w:type="dxa"/>
            </w:tcMar>
          </w:tcPr>
          <w:p>
            <w:pPr>
              <w:widowControl/>
              <w:spacing w:after="0"/>
            </w:pPr>
            <w:r>
              <w:rPr>
                <w:rFonts w:ascii="Arial" w:hAnsi="Arial"/>
                <w:sz w:val="17"/>
              </w:rPr>
              <w:t>KG</w:t>
            </w:r>
          </w:p>
        </w:tc>
        <w:tc>
          <w:tcPr>
            <w:tcW w:type="dxa" w:w="2340"/>
            <w:tcMar>
              <w:top w:w="70" w:type="dxa"/>
              <w:start w:w="110" w:type="dxa"/>
              <w:bottom w:w="70" w:type="dxa"/>
              <w:end w:w="110" w:type="dxa"/>
            </w:tcMar>
          </w:tcPr>
          <w:p>
            <w:pPr>
              <w:widowControl/>
              <w:spacing w:after="0"/>
            </w:pPr>
            <w:r>
              <w:rPr>
                <w:rFonts w:ascii="Arial" w:hAnsi="Arial"/>
                <w:sz w:val="17"/>
              </w:rPr>
              <w:t>SAILS, OF OTHER TEXTILE MATERIALS</w:t>
            </w:r>
          </w:p>
        </w:tc>
      </w:tr>
      <w:tr>
        <w:trPr>
          <w:cantSplit/>
        </w:trPr>
        <w:tc>
          <w:tcPr>
            <w:tcW w:type="dxa" w:w="2340"/>
            <w:tcMar>
              <w:top w:w="70" w:type="dxa"/>
              <w:start w:w="110" w:type="dxa"/>
              <w:bottom w:w="70" w:type="dxa"/>
              <w:end w:w="110" w:type="dxa"/>
            </w:tcMar>
            <w:shd w:fill="F4F6F7"/>
          </w:tcPr>
          <w:p>
            <w:pPr>
              <w:widowControl/>
              <w:spacing w:after="0"/>
            </w:pPr>
            <w:r>
              <w:rPr>
                <w:rFonts w:ascii="Arial" w:hAnsi="Arial"/>
                <w:sz w:val="17"/>
              </w:rPr>
              <w:t>6306.40.4100</w:t>
            </w:r>
          </w:p>
        </w:tc>
        <w:tc>
          <w:tcPr>
            <w:tcW w:type="dxa" w:w="2340"/>
            <w:tcMar>
              <w:top w:w="70" w:type="dxa"/>
              <w:start w:w="110" w:type="dxa"/>
              <w:bottom w:w="70" w:type="dxa"/>
              <w:end w:w="110" w:type="dxa"/>
            </w:tcMar>
            <w:shd w:fill="F4F6F7"/>
          </w:tcPr>
          <w:p>
            <w:pPr>
              <w:widowControl/>
              <w:spacing w:after="0"/>
            </w:pPr>
            <w:r>
              <w:rPr>
                <w:rFonts w:ascii="Arial" w:hAnsi="Arial"/>
                <w:sz w:val="17"/>
              </w:rPr>
              <w:t>8.50</w:t>
            </w:r>
          </w:p>
        </w:tc>
        <w:tc>
          <w:tcPr>
            <w:tcW w:type="dxa" w:w="2340"/>
            <w:tcMar>
              <w:top w:w="70" w:type="dxa"/>
              <w:start w:w="110" w:type="dxa"/>
              <w:bottom w:w="70" w:type="dxa"/>
              <w:end w:w="110" w:type="dxa"/>
            </w:tcMar>
            <w:shd w:fill="F4F6F7"/>
          </w:tcPr>
          <w:p>
            <w:pPr>
              <w:widowControl/>
              <w:spacing w:after="0"/>
            </w:pPr>
            <w:r>
              <w:rPr>
                <w:rFonts w:ascii="Arial" w:hAnsi="Arial"/>
                <w:sz w:val="17"/>
              </w:rPr>
              <w:t>KG</w:t>
            </w:r>
          </w:p>
        </w:tc>
        <w:tc>
          <w:tcPr>
            <w:tcW w:type="dxa" w:w="2340"/>
            <w:tcMar>
              <w:top w:w="70" w:type="dxa"/>
              <w:start w:w="110" w:type="dxa"/>
              <w:bottom w:w="70" w:type="dxa"/>
              <w:end w:w="110" w:type="dxa"/>
            </w:tcMar>
            <w:shd w:fill="F4F6F7"/>
          </w:tcPr>
          <w:p>
            <w:pPr>
              <w:widowControl/>
              <w:spacing w:after="0"/>
            </w:pPr>
            <w:r>
              <w:rPr>
                <w:rFonts w:ascii="Arial" w:hAnsi="Arial"/>
                <w:sz w:val="17"/>
              </w:rPr>
              <w:t>PNEUMATIC MATTRESSES, COTTON</w:t>
            </w:r>
          </w:p>
        </w:tc>
      </w:tr>
      <w:tr>
        <w:trPr>
          <w:cantSplit/>
        </w:trPr>
        <w:tc>
          <w:tcPr>
            <w:tcW w:type="dxa" w:w="2340"/>
            <w:tcMar>
              <w:top w:w="70" w:type="dxa"/>
              <w:start w:w="110" w:type="dxa"/>
              <w:bottom w:w="70" w:type="dxa"/>
              <w:end w:w="110" w:type="dxa"/>
            </w:tcMar>
          </w:tcPr>
          <w:p>
            <w:pPr>
              <w:widowControl/>
              <w:spacing w:after="0"/>
            </w:pPr>
            <w:r>
              <w:rPr>
                <w:rFonts w:ascii="Arial" w:hAnsi="Arial"/>
                <w:sz w:val="17"/>
              </w:rPr>
              <w:t>6306.40.4900</w:t>
            </w:r>
          </w:p>
        </w:tc>
        <w:tc>
          <w:tcPr>
            <w:tcW w:type="dxa" w:w="2340"/>
            <w:tcMar>
              <w:top w:w="70" w:type="dxa"/>
              <w:start w:w="110" w:type="dxa"/>
              <w:bottom w:w="70" w:type="dxa"/>
              <w:end w:w="110" w:type="dxa"/>
            </w:tcMar>
          </w:tcPr>
          <w:p>
            <w:pPr>
              <w:widowControl/>
              <w:spacing w:after="0"/>
            </w:pPr>
            <w:r>
              <w:rPr>
                <w:rFonts w:ascii="Arial" w:hAnsi="Arial"/>
                <w:sz w:val="17"/>
              </w:rPr>
              <w:t>14.40</w:t>
            </w:r>
          </w:p>
        </w:tc>
        <w:tc>
          <w:tcPr>
            <w:tcW w:type="dxa" w:w="2340"/>
            <w:tcMar>
              <w:top w:w="70" w:type="dxa"/>
              <w:start w:w="110" w:type="dxa"/>
              <w:bottom w:w="70" w:type="dxa"/>
              <w:end w:w="110" w:type="dxa"/>
            </w:tcMar>
          </w:tcPr>
          <w:p>
            <w:pPr>
              <w:widowControl/>
              <w:spacing w:after="0"/>
            </w:pPr>
            <w:r>
              <w:rPr>
                <w:rFonts w:ascii="Arial" w:hAnsi="Arial"/>
                <w:sz w:val="17"/>
              </w:rPr>
              <w:t>KG</w:t>
            </w:r>
          </w:p>
        </w:tc>
        <w:tc>
          <w:tcPr>
            <w:tcW w:type="dxa" w:w="2340"/>
            <w:tcMar>
              <w:top w:w="70" w:type="dxa"/>
              <w:start w:w="110" w:type="dxa"/>
              <w:bottom w:w="70" w:type="dxa"/>
              <w:end w:w="110" w:type="dxa"/>
            </w:tcMar>
          </w:tcPr>
          <w:p>
            <w:pPr>
              <w:widowControl/>
              <w:spacing w:after="0"/>
            </w:pPr>
            <w:r>
              <w:rPr>
                <w:rFonts w:ascii="Arial" w:hAnsi="Arial"/>
                <w:sz w:val="17"/>
              </w:rPr>
              <w:t>PNEUMATIC MATTRESSES, OF OTHER TEXTILE MATERIALS</w:t>
            </w:r>
          </w:p>
        </w:tc>
      </w:tr>
      <w:tr>
        <w:trPr>
          <w:cantSplit/>
        </w:trPr>
        <w:tc>
          <w:tcPr>
            <w:tcW w:type="dxa" w:w="2340"/>
            <w:tcMar>
              <w:top w:w="70" w:type="dxa"/>
              <w:start w:w="110" w:type="dxa"/>
              <w:bottom w:w="70" w:type="dxa"/>
              <w:end w:w="110" w:type="dxa"/>
            </w:tcMar>
            <w:shd w:fill="F4F6F7"/>
          </w:tcPr>
          <w:p>
            <w:pPr>
              <w:widowControl/>
              <w:spacing w:after="0"/>
            </w:pPr>
            <w:r>
              <w:rPr>
                <w:rFonts w:ascii="Arial" w:hAnsi="Arial"/>
                <w:sz w:val="17"/>
              </w:rPr>
              <w:t>6306.90.1000</w:t>
            </w:r>
          </w:p>
        </w:tc>
        <w:tc>
          <w:tcPr>
            <w:tcW w:type="dxa" w:w="2340"/>
            <w:tcMar>
              <w:top w:w="70" w:type="dxa"/>
              <w:start w:w="110" w:type="dxa"/>
              <w:bottom w:w="70" w:type="dxa"/>
              <w:end w:w="110" w:type="dxa"/>
            </w:tcMar>
            <w:shd w:fill="F4F6F7"/>
          </w:tcPr>
          <w:p>
            <w:pPr>
              <w:widowControl/>
              <w:spacing w:after="0"/>
            </w:pPr>
            <w:r>
              <w:rPr>
                <w:rFonts w:ascii="Arial" w:hAnsi="Arial"/>
                <w:sz w:val="17"/>
              </w:rPr>
              <w:t>8.50</w:t>
            </w:r>
          </w:p>
        </w:tc>
        <w:tc>
          <w:tcPr>
            <w:tcW w:type="dxa" w:w="2340"/>
            <w:tcMar>
              <w:top w:w="70" w:type="dxa"/>
              <w:start w:w="110" w:type="dxa"/>
              <w:bottom w:w="70" w:type="dxa"/>
              <w:end w:w="110" w:type="dxa"/>
            </w:tcMar>
            <w:shd w:fill="F4F6F7"/>
          </w:tcPr>
          <w:p>
            <w:pPr>
              <w:widowControl/>
              <w:spacing w:after="0"/>
            </w:pPr>
            <w:r>
              <w:rPr>
                <w:rFonts w:ascii="Arial" w:hAnsi="Arial"/>
                <w:sz w:val="17"/>
              </w:rPr>
              <w:t>KG</w:t>
            </w:r>
          </w:p>
        </w:tc>
        <w:tc>
          <w:tcPr>
            <w:tcW w:type="dxa" w:w="2340"/>
            <w:tcMar>
              <w:top w:w="70" w:type="dxa"/>
              <w:start w:w="110" w:type="dxa"/>
              <w:bottom w:w="70" w:type="dxa"/>
              <w:end w:w="110" w:type="dxa"/>
            </w:tcMar>
            <w:shd w:fill="F4F6F7"/>
          </w:tcPr>
          <w:p>
            <w:pPr>
              <w:widowControl/>
              <w:spacing w:after="0"/>
            </w:pPr>
            <w:r>
              <w:rPr>
                <w:rFonts w:ascii="Arial" w:hAnsi="Arial"/>
                <w:sz w:val="17"/>
              </w:rPr>
              <w:t>OTHER CAMPING GOODS, COTTON</w:t>
            </w:r>
          </w:p>
        </w:tc>
      </w:tr>
      <w:tr>
        <w:trPr>
          <w:cantSplit/>
        </w:trPr>
        <w:tc>
          <w:tcPr>
            <w:tcW w:type="dxa" w:w="2340"/>
            <w:tcMar>
              <w:top w:w="70" w:type="dxa"/>
              <w:start w:w="110" w:type="dxa"/>
              <w:bottom w:w="70" w:type="dxa"/>
              <w:end w:w="110" w:type="dxa"/>
            </w:tcMar>
          </w:tcPr>
          <w:p>
            <w:pPr>
              <w:widowControl/>
              <w:spacing w:after="0"/>
            </w:pPr>
            <w:r>
              <w:rPr>
                <w:rFonts w:ascii="Arial" w:hAnsi="Arial"/>
                <w:sz w:val="17"/>
              </w:rPr>
              <w:t>6306.90.5000</w:t>
            </w:r>
          </w:p>
        </w:tc>
        <w:tc>
          <w:tcPr>
            <w:tcW w:type="dxa" w:w="2340"/>
            <w:tcMar>
              <w:top w:w="70" w:type="dxa"/>
              <w:start w:w="110" w:type="dxa"/>
              <w:bottom w:w="70" w:type="dxa"/>
              <w:end w:w="110" w:type="dxa"/>
            </w:tcMar>
          </w:tcPr>
          <w:p>
            <w:pPr>
              <w:widowControl/>
              <w:spacing w:after="0"/>
            </w:pPr>
            <w:r>
              <w:rPr>
                <w:rFonts w:ascii="Arial" w:hAnsi="Arial"/>
                <w:sz w:val="17"/>
              </w:rPr>
              <w:t>14.40</w:t>
            </w:r>
          </w:p>
        </w:tc>
        <w:tc>
          <w:tcPr>
            <w:tcW w:type="dxa" w:w="2340"/>
            <w:tcMar>
              <w:top w:w="70" w:type="dxa"/>
              <w:start w:w="110" w:type="dxa"/>
              <w:bottom w:w="70" w:type="dxa"/>
              <w:end w:w="110" w:type="dxa"/>
            </w:tcMar>
          </w:tcPr>
          <w:p>
            <w:pPr>
              <w:widowControl/>
              <w:spacing w:after="0"/>
            </w:pPr>
            <w:r>
              <w:rPr>
                <w:rFonts w:ascii="Arial" w:hAnsi="Arial"/>
                <w:sz w:val="17"/>
              </w:rPr>
              <w:t>KG</w:t>
            </w:r>
          </w:p>
        </w:tc>
        <w:tc>
          <w:tcPr>
            <w:tcW w:type="dxa" w:w="2340"/>
            <w:tcMar>
              <w:top w:w="70" w:type="dxa"/>
              <w:start w:w="110" w:type="dxa"/>
              <w:bottom w:w="70" w:type="dxa"/>
              <w:end w:w="110" w:type="dxa"/>
            </w:tcMar>
          </w:tcPr>
          <w:p>
            <w:pPr>
              <w:widowControl/>
              <w:spacing w:after="0"/>
            </w:pPr>
            <w:r>
              <w:rPr>
                <w:rFonts w:ascii="Arial" w:hAnsi="Arial"/>
                <w:sz w:val="17"/>
              </w:rPr>
              <w:t>CAMPING GOODS, OF OTHER TEXTILE MATERIALS</w:t>
            </w:r>
          </w:p>
        </w:tc>
      </w:tr>
      <w:tr>
        <w:trPr>
          <w:cantSplit/>
        </w:trPr>
        <w:tc>
          <w:tcPr>
            <w:tcW w:type="dxa" w:w="2340"/>
            <w:tcMar>
              <w:top w:w="70" w:type="dxa"/>
              <w:start w:w="110" w:type="dxa"/>
              <w:bottom w:w="70" w:type="dxa"/>
              <w:end w:w="110" w:type="dxa"/>
            </w:tcMar>
            <w:shd w:fill="F4F6F7"/>
          </w:tcPr>
          <w:p>
            <w:pPr>
              <w:widowControl/>
              <w:spacing w:after="0"/>
            </w:pPr>
            <w:r>
              <w:rPr>
                <w:rFonts w:ascii="Arial" w:hAnsi="Arial"/>
                <w:sz w:val="17"/>
              </w:rPr>
              <w:t>6307.10.2030</w:t>
            </w:r>
          </w:p>
        </w:tc>
        <w:tc>
          <w:tcPr>
            <w:tcW w:type="dxa" w:w="2340"/>
            <w:tcMar>
              <w:top w:w="70" w:type="dxa"/>
              <w:start w:w="110" w:type="dxa"/>
              <w:bottom w:w="70" w:type="dxa"/>
              <w:end w:w="110" w:type="dxa"/>
            </w:tcMar>
            <w:shd w:fill="F4F6F7"/>
          </w:tcPr>
          <w:p>
            <w:pPr>
              <w:widowControl/>
              <w:spacing w:after="0"/>
            </w:pPr>
            <w:r>
              <w:rPr>
                <w:rFonts w:ascii="Arial" w:hAnsi="Arial"/>
                <w:sz w:val="17"/>
              </w:rPr>
              <w:t>8.50</w:t>
            </w:r>
          </w:p>
        </w:tc>
        <w:tc>
          <w:tcPr>
            <w:tcW w:type="dxa" w:w="2340"/>
            <w:tcMar>
              <w:top w:w="70" w:type="dxa"/>
              <w:start w:w="110" w:type="dxa"/>
              <w:bottom w:w="70" w:type="dxa"/>
              <w:end w:w="110" w:type="dxa"/>
            </w:tcMar>
            <w:shd w:fill="F4F6F7"/>
          </w:tcPr>
          <w:p>
            <w:pPr>
              <w:widowControl/>
              <w:spacing w:after="0"/>
            </w:pPr>
            <w:r>
              <w:rPr>
                <w:rFonts w:ascii="Arial" w:hAnsi="Arial"/>
                <w:sz w:val="17"/>
              </w:rPr>
              <w:t>KG</w:t>
            </w:r>
          </w:p>
        </w:tc>
        <w:tc>
          <w:tcPr>
            <w:tcW w:type="dxa" w:w="2340"/>
            <w:tcMar>
              <w:top w:w="70" w:type="dxa"/>
              <w:start w:w="110" w:type="dxa"/>
              <w:bottom w:w="70" w:type="dxa"/>
              <w:end w:w="110" w:type="dxa"/>
            </w:tcMar>
            <w:shd w:fill="F4F6F7"/>
          </w:tcPr>
          <w:p>
            <w:pPr>
              <w:widowControl/>
              <w:spacing w:after="0"/>
            </w:pPr>
            <w:r>
              <w:rPr>
                <w:rFonts w:ascii="Arial" w:hAnsi="Arial"/>
                <w:sz w:val="17"/>
              </w:rPr>
              <w:t>OTHER CLEANING CLOTHS</w:t>
            </w:r>
          </w:p>
        </w:tc>
      </w:tr>
      <w:tr>
        <w:trPr>
          <w:cantSplit/>
        </w:trPr>
        <w:tc>
          <w:tcPr>
            <w:tcW w:type="dxa" w:w="2340"/>
            <w:tcMar>
              <w:top w:w="70" w:type="dxa"/>
              <w:start w:w="110" w:type="dxa"/>
              <w:bottom w:w="70" w:type="dxa"/>
              <w:end w:w="110" w:type="dxa"/>
            </w:tcMar>
          </w:tcPr>
          <w:p>
            <w:pPr>
              <w:widowControl/>
              <w:spacing w:after="0"/>
            </w:pPr>
            <w:r>
              <w:rPr>
                <w:rFonts w:ascii="Arial" w:hAnsi="Arial"/>
                <w:sz w:val="17"/>
              </w:rPr>
              <w:t>6307.20.0000</w:t>
            </w:r>
          </w:p>
        </w:tc>
        <w:tc>
          <w:tcPr>
            <w:tcW w:type="dxa" w:w="2340"/>
            <w:tcMar>
              <w:top w:w="70" w:type="dxa"/>
              <w:start w:w="110" w:type="dxa"/>
              <w:bottom w:w="70" w:type="dxa"/>
              <w:end w:w="110" w:type="dxa"/>
            </w:tcMar>
          </w:tcPr>
          <w:p>
            <w:pPr>
              <w:widowControl/>
              <w:spacing w:after="0"/>
            </w:pPr>
            <w:r>
              <w:rPr>
                <w:rFonts w:ascii="Arial" w:hAnsi="Arial"/>
                <w:sz w:val="17"/>
              </w:rPr>
              <w:t>11.40</w:t>
            </w:r>
          </w:p>
        </w:tc>
        <w:tc>
          <w:tcPr>
            <w:tcW w:type="dxa" w:w="2340"/>
            <w:tcMar>
              <w:top w:w="70" w:type="dxa"/>
              <w:start w:w="110" w:type="dxa"/>
              <w:bottom w:w="70" w:type="dxa"/>
              <w:end w:w="110" w:type="dxa"/>
            </w:tcMar>
          </w:tcPr>
          <w:p>
            <w:pPr>
              <w:widowControl/>
              <w:spacing w:after="0"/>
            </w:pPr>
            <w:r>
              <w:rPr>
                <w:rFonts w:ascii="Arial" w:hAnsi="Arial"/>
                <w:sz w:val="17"/>
              </w:rPr>
              <w:t>KG</w:t>
            </w:r>
          </w:p>
        </w:tc>
        <w:tc>
          <w:tcPr>
            <w:tcW w:type="dxa" w:w="2340"/>
            <w:tcMar>
              <w:top w:w="70" w:type="dxa"/>
              <w:start w:w="110" w:type="dxa"/>
              <w:bottom w:w="70" w:type="dxa"/>
              <w:end w:w="110" w:type="dxa"/>
            </w:tcMar>
          </w:tcPr>
          <w:p>
            <w:pPr>
              <w:widowControl/>
              <w:spacing w:after="0"/>
            </w:pPr>
            <w:r>
              <w:rPr>
                <w:rFonts w:ascii="Arial" w:hAnsi="Arial"/>
                <w:sz w:val="17"/>
              </w:rPr>
              <w:t>LIFEJACKETS AND LIFEBELTS</w:t>
            </w:r>
          </w:p>
        </w:tc>
      </w:tr>
      <w:tr>
        <w:trPr>
          <w:cantSplit/>
        </w:trPr>
        <w:tc>
          <w:tcPr>
            <w:tcW w:type="dxa" w:w="2340"/>
            <w:tcMar>
              <w:top w:w="70" w:type="dxa"/>
              <w:start w:w="110" w:type="dxa"/>
              <w:bottom w:w="70" w:type="dxa"/>
              <w:end w:w="110" w:type="dxa"/>
            </w:tcMar>
            <w:shd w:fill="F4F6F7"/>
          </w:tcPr>
          <w:p>
            <w:pPr>
              <w:widowControl/>
              <w:spacing w:after="0"/>
            </w:pPr>
            <w:r>
              <w:rPr>
                <w:rFonts w:ascii="Arial" w:hAnsi="Arial"/>
                <w:sz w:val="17"/>
              </w:rPr>
              <w:t>6307.90.6010</w:t>
            </w:r>
          </w:p>
        </w:tc>
        <w:tc>
          <w:tcPr>
            <w:tcW w:type="dxa" w:w="2340"/>
            <w:tcMar>
              <w:top w:w="70" w:type="dxa"/>
              <w:start w:w="110" w:type="dxa"/>
              <w:bottom w:w="70" w:type="dxa"/>
              <w:end w:w="110" w:type="dxa"/>
            </w:tcMar>
            <w:shd w:fill="F4F6F7"/>
          </w:tcPr>
          <w:p>
            <w:pPr>
              <w:widowControl/>
              <w:spacing w:after="0"/>
            </w:pPr>
            <w:r>
              <w:rPr>
                <w:rFonts w:ascii="Arial" w:hAnsi="Arial"/>
                <w:sz w:val="17"/>
              </w:rPr>
              <w:t>8.50</w:t>
            </w:r>
          </w:p>
        </w:tc>
        <w:tc>
          <w:tcPr>
            <w:tcW w:type="dxa" w:w="2340"/>
            <w:tcMar>
              <w:top w:w="70" w:type="dxa"/>
              <w:start w:w="110" w:type="dxa"/>
              <w:bottom w:w="70" w:type="dxa"/>
              <w:end w:w="110" w:type="dxa"/>
            </w:tcMar>
            <w:shd w:fill="F4F6F7"/>
          </w:tcPr>
          <w:p>
            <w:pPr>
              <w:widowControl/>
              <w:spacing w:after="0"/>
            </w:pPr>
            <w:r>
              <w:rPr>
                <w:rFonts w:ascii="Arial" w:hAnsi="Arial"/>
                <w:sz w:val="17"/>
              </w:rPr>
              <w:t>KG</w:t>
            </w:r>
          </w:p>
        </w:tc>
        <w:tc>
          <w:tcPr>
            <w:tcW w:type="dxa" w:w="2340"/>
            <w:tcMar>
              <w:top w:w="70" w:type="dxa"/>
              <w:start w:w="110" w:type="dxa"/>
              <w:bottom w:w="70" w:type="dxa"/>
              <w:end w:w="110" w:type="dxa"/>
            </w:tcMar>
            <w:shd w:fill="F4F6F7"/>
          </w:tcPr>
          <w:p>
            <w:pPr>
              <w:widowControl/>
              <w:spacing w:after="0"/>
            </w:pPr>
            <w:r>
              <w:rPr>
                <w:rFonts w:ascii="Arial" w:hAnsi="Arial"/>
                <w:sz w:val="17"/>
              </w:rPr>
              <w:t>PERINEAL TOWELS, FABRIC WITH PAPER BASE OR COVERED OR LINED WITH PAPER</w:t>
            </w:r>
          </w:p>
        </w:tc>
      </w:tr>
      <w:tr>
        <w:trPr>
          <w:cantSplit/>
        </w:trPr>
        <w:tc>
          <w:tcPr>
            <w:tcW w:type="dxa" w:w="2340"/>
            <w:tcMar>
              <w:top w:w="70" w:type="dxa"/>
              <w:start w:w="110" w:type="dxa"/>
              <w:bottom w:w="70" w:type="dxa"/>
              <w:end w:w="110" w:type="dxa"/>
            </w:tcMar>
          </w:tcPr>
          <w:p>
            <w:pPr>
              <w:widowControl/>
              <w:spacing w:after="0"/>
            </w:pPr>
            <w:r>
              <w:rPr>
                <w:rFonts w:ascii="Arial" w:hAnsi="Arial"/>
                <w:sz w:val="17"/>
              </w:rPr>
              <w:t>6307.90.6090</w:t>
            </w:r>
          </w:p>
        </w:tc>
        <w:tc>
          <w:tcPr>
            <w:tcW w:type="dxa" w:w="2340"/>
            <w:tcMar>
              <w:top w:w="70" w:type="dxa"/>
              <w:start w:w="110" w:type="dxa"/>
              <w:bottom w:w="70" w:type="dxa"/>
              <w:end w:w="110" w:type="dxa"/>
            </w:tcMar>
          </w:tcPr>
          <w:p>
            <w:pPr>
              <w:widowControl/>
              <w:spacing w:after="0"/>
            </w:pPr>
            <w:r>
              <w:rPr>
                <w:rFonts w:ascii="Arial" w:hAnsi="Arial"/>
                <w:sz w:val="17"/>
              </w:rPr>
              <w:t>8.50</w:t>
            </w:r>
          </w:p>
        </w:tc>
        <w:tc>
          <w:tcPr>
            <w:tcW w:type="dxa" w:w="2340"/>
            <w:tcMar>
              <w:top w:w="70" w:type="dxa"/>
              <w:start w:w="110" w:type="dxa"/>
              <w:bottom w:w="70" w:type="dxa"/>
              <w:end w:w="110" w:type="dxa"/>
            </w:tcMar>
          </w:tcPr>
          <w:p>
            <w:pPr>
              <w:widowControl/>
              <w:spacing w:after="0"/>
            </w:pPr>
            <w:r>
              <w:rPr>
                <w:rFonts w:ascii="Arial" w:hAnsi="Arial"/>
                <w:sz w:val="17"/>
              </w:rPr>
              <w:t>KG</w:t>
            </w:r>
          </w:p>
        </w:tc>
        <w:tc>
          <w:tcPr>
            <w:tcW w:type="dxa" w:w="2340"/>
            <w:tcMar>
              <w:top w:w="70" w:type="dxa"/>
              <w:start w:w="110" w:type="dxa"/>
              <w:bottom w:w="70" w:type="dxa"/>
              <w:end w:w="110" w:type="dxa"/>
            </w:tcMar>
          </w:tcPr>
          <w:p>
            <w:pPr>
              <w:widowControl/>
              <w:spacing w:after="0"/>
            </w:pPr>
            <w:r>
              <w:rPr>
                <w:rFonts w:ascii="Arial" w:hAnsi="Arial"/>
                <w:sz w:val="17"/>
              </w:rPr>
              <w:t>OTHER SURGICAL DRAPES, FABRIC WITH PAPER BASE OR COVERED OR LINED WITH PAPER</w:t>
            </w:r>
          </w:p>
        </w:tc>
      </w:tr>
      <w:tr>
        <w:trPr>
          <w:cantSplit/>
        </w:trPr>
        <w:tc>
          <w:tcPr>
            <w:tcW w:type="dxa" w:w="2340"/>
            <w:tcMar>
              <w:top w:w="70" w:type="dxa"/>
              <w:start w:w="110" w:type="dxa"/>
              <w:bottom w:w="70" w:type="dxa"/>
              <w:end w:w="110" w:type="dxa"/>
            </w:tcMar>
            <w:shd w:fill="F4F6F7"/>
          </w:tcPr>
          <w:p>
            <w:pPr>
              <w:widowControl/>
              <w:spacing w:after="0"/>
            </w:pPr>
            <w:r>
              <w:rPr>
                <w:rFonts w:ascii="Arial" w:hAnsi="Arial"/>
                <w:sz w:val="17"/>
              </w:rPr>
              <w:t>6307.90.6800</w:t>
            </w:r>
          </w:p>
        </w:tc>
        <w:tc>
          <w:tcPr>
            <w:tcW w:type="dxa" w:w="2340"/>
            <w:tcMar>
              <w:top w:w="70" w:type="dxa"/>
              <w:start w:w="110" w:type="dxa"/>
              <w:bottom w:w="70" w:type="dxa"/>
              <w:end w:w="110" w:type="dxa"/>
            </w:tcMar>
            <w:shd w:fill="F4F6F7"/>
          </w:tcPr>
          <w:p>
            <w:pPr>
              <w:widowControl/>
              <w:spacing w:after="0"/>
            </w:pPr>
            <w:r>
              <w:rPr>
                <w:rFonts w:ascii="Arial" w:hAnsi="Arial"/>
                <w:sz w:val="17"/>
              </w:rPr>
              <w:t>14.40</w:t>
            </w:r>
          </w:p>
        </w:tc>
        <w:tc>
          <w:tcPr>
            <w:tcW w:type="dxa" w:w="2340"/>
            <w:tcMar>
              <w:top w:w="70" w:type="dxa"/>
              <w:start w:w="110" w:type="dxa"/>
              <w:bottom w:w="70" w:type="dxa"/>
              <w:end w:w="110" w:type="dxa"/>
            </w:tcMar>
            <w:shd w:fill="F4F6F7"/>
          </w:tcPr>
          <w:p>
            <w:pPr>
              <w:widowControl/>
              <w:spacing w:after="0"/>
            </w:pPr>
            <w:r>
              <w:rPr>
                <w:rFonts w:ascii="Arial" w:hAnsi="Arial"/>
                <w:sz w:val="17"/>
              </w:rPr>
              <w:t>KG</w:t>
            </w:r>
          </w:p>
        </w:tc>
        <w:tc>
          <w:tcPr>
            <w:tcW w:type="dxa" w:w="2340"/>
            <w:tcMar>
              <w:top w:w="70" w:type="dxa"/>
              <w:start w:w="110" w:type="dxa"/>
              <w:bottom w:w="70" w:type="dxa"/>
              <w:end w:w="110" w:type="dxa"/>
            </w:tcMar>
            <w:shd w:fill="F4F6F7"/>
          </w:tcPr>
          <w:p>
            <w:pPr>
              <w:widowControl/>
              <w:spacing w:after="0"/>
            </w:pPr>
            <w:r>
              <w:rPr>
                <w:rFonts w:ascii="Arial" w:hAnsi="Arial"/>
                <w:sz w:val="17"/>
              </w:rPr>
              <w:t>SURGICAL DRAPES, DISPOSABLE &amp; NONWOVEN MMF</w:t>
            </w:r>
          </w:p>
        </w:tc>
      </w:tr>
      <w:tr>
        <w:trPr>
          <w:cantSplit/>
        </w:trPr>
        <w:tc>
          <w:tcPr>
            <w:tcW w:type="dxa" w:w="2340"/>
            <w:tcMar>
              <w:top w:w="70" w:type="dxa"/>
              <w:start w:w="110" w:type="dxa"/>
              <w:bottom w:w="70" w:type="dxa"/>
              <w:end w:w="110" w:type="dxa"/>
            </w:tcMar>
          </w:tcPr>
          <w:p>
            <w:pPr>
              <w:widowControl/>
              <w:spacing w:after="0"/>
            </w:pPr>
            <w:r>
              <w:rPr>
                <w:rFonts w:ascii="Arial" w:hAnsi="Arial"/>
                <w:sz w:val="17"/>
              </w:rPr>
              <w:t>6307.90.7200</w:t>
            </w:r>
          </w:p>
        </w:tc>
        <w:tc>
          <w:tcPr>
            <w:tcW w:type="dxa" w:w="2340"/>
            <w:tcMar>
              <w:top w:w="70" w:type="dxa"/>
              <w:start w:w="110" w:type="dxa"/>
              <w:bottom w:w="70" w:type="dxa"/>
              <w:end w:w="110" w:type="dxa"/>
            </w:tcMar>
          </w:tcPr>
          <w:p>
            <w:pPr>
              <w:widowControl/>
              <w:spacing w:after="0"/>
            </w:pPr>
            <w:r>
              <w:rPr>
                <w:rFonts w:ascii="Arial" w:hAnsi="Arial"/>
                <w:sz w:val="17"/>
              </w:rPr>
              <w:t>8.50</w:t>
            </w:r>
          </w:p>
        </w:tc>
        <w:tc>
          <w:tcPr>
            <w:tcW w:type="dxa" w:w="2340"/>
            <w:tcMar>
              <w:top w:w="70" w:type="dxa"/>
              <w:start w:w="110" w:type="dxa"/>
              <w:bottom w:w="70" w:type="dxa"/>
              <w:end w:w="110" w:type="dxa"/>
            </w:tcMar>
          </w:tcPr>
          <w:p>
            <w:pPr>
              <w:widowControl/>
              <w:spacing w:after="0"/>
            </w:pPr>
            <w:r>
              <w:rPr>
                <w:rFonts w:ascii="Arial" w:hAnsi="Arial"/>
                <w:sz w:val="17"/>
              </w:rPr>
              <w:t>KG</w:t>
            </w:r>
          </w:p>
        </w:tc>
        <w:tc>
          <w:tcPr>
            <w:tcW w:type="dxa" w:w="2340"/>
            <w:tcMar>
              <w:top w:w="70" w:type="dxa"/>
              <w:start w:w="110" w:type="dxa"/>
              <w:bottom w:w="70" w:type="dxa"/>
              <w:end w:w="110" w:type="dxa"/>
            </w:tcMar>
          </w:tcPr>
          <w:p>
            <w:pPr>
              <w:widowControl/>
              <w:spacing w:after="0"/>
            </w:pPr>
            <w:r>
              <w:rPr>
                <w:rFonts w:ascii="Arial" w:hAnsi="Arial"/>
                <w:sz w:val="17"/>
              </w:rPr>
              <w:t>OTHER SURGICAL DRAPES</w:t>
            </w:r>
          </w:p>
        </w:tc>
      </w:tr>
      <w:tr>
        <w:trPr>
          <w:cantSplit/>
        </w:trPr>
        <w:tc>
          <w:tcPr>
            <w:tcW w:type="dxa" w:w="2340"/>
            <w:tcMar>
              <w:top w:w="70" w:type="dxa"/>
              <w:start w:w="110" w:type="dxa"/>
              <w:bottom w:w="70" w:type="dxa"/>
              <w:end w:w="110" w:type="dxa"/>
            </w:tcMar>
            <w:shd w:fill="F4F6F7"/>
          </w:tcPr>
          <w:p>
            <w:pPr>
              <w:widowControl/>
              <w:spacing w:after="0"/>
            </w:pPr>
            <w:r>
              <w:rPr>
                <w:rFonts w:ascii="Arial" w:hAnsi="Arial"/>
                <w:sz w:val="17"/>
              </w:rPr>
              <w:t>6307.90.7500</w:t>
            </w:r>
          </w:p>
        </w:tc>
        <w:tc>
          <w:tcPr>
            <w:tcW w:type="dxa" w:w="2340"/>
            <w:tcMar>
              <w:top w:w="70" w:type="dxa"/>
              <w:start w:w="110" w:type="dxa"/>
              <w:bottom w:w="70" w:type="dxa"/>
              <w:end w:w="110" w:type="dxa"/>
            </w:tcMar>
            <w:shd w:fill="F4F6F7"/>
          </w:tcPr>
          <w:p>
            <w:pPr>
              <w:widowControl/>
              <w:spacing w:after="0"/>
            </w:pPr>
            <w:r>
              <w:rPr>
                <w:rFonts w:ascii="Arial" w:hAnsi="Arial"/>
                <w:sz w:val="17"/>
              </w:rPr>
              <w:t>8.50</w:t>
            </w:r>
          </w:p>
        </w:tc>
        <w:tc>
          <w:tcPr>
            <w:tcW w:type="dxa" w:w="2340"/>
            <w:tcMar>
              <w:top w:w="70" w:type="dxa"/>
              <w:start w:w="110" w:type="dxa"/>
              <w:bottom w:w="70" w:type="dxa"/>
              <w:end w:w="110" w:type="dxa"/>
            </w:tcMar>
            <w:shd w:fill="F4F6F7"/>
          </w:tcPr>
          <w:p>
            <w:pPr>
              <w:widowControl/>
              <w:spacing w:after="0"/>
            </w:pPr>
            <w:r>
              <w:rPr>
                <w:rFonts w:ascii="Arial" w:hAnsi="Arial"/>
                <w:sz w:val="17"/>
              </w:rPr>
              <w:t>NO</w:t>
            </w:r>
          </w:p>
        </w:tc>
        <w:tc>
          <w:tcPr>
            <w:tcW w:type="dxa" w:w="2340"/>
            <w:tcMar>
              <w:top w:w="70" w:type="dxa"/>
              <w:start w:w="110" w:type="dxa"/>
              <w:bottom w:w="70" w:type="dxa"/>
              <w:end w:w="110" w:type="dxa"/>
            </w:tcMar>
            <w:shd w:fill="F4F6F7"/>
          </w:tcPr>
          <w:p>
            <w:pPr>
              <w:widowControl/>
              <w:spacing w:after="0"/>
            </w:pPr>
            <w:r>
              <w:rPr>
                <w:rFonts w:ascii="Arial" w:hAnsi="Arial"/>
                <w:sz w:val="17"/>
              </w:rPr>
              <w:t>TOYS FOR PETS, TEXTILE MATERIALS</w:t>
            </w:r>
          </w:p>
        </w:tc>
      </w:tr>
      <w:tr>
        <w:trPr>
          <w:cantSplit/>
        </w:trPr>
        <w:tc>
          <w:tcPr>
            <w:tcW w:type="dxa" w:w="2340"/>
            <w:tcMar>
              <w:top w:w="70" w:type="dxa"/>
              <w:start w:w="110" w:type="dxa"/>
              <w:bottom w:w="70" w:type="dxa"/>
              <w:end w:w="110" w:type="dxa"/>
            </w:tcMar>
          </w:tcPr>
          <w:p>
            <w:pPr>
              <w:widowControl/>
              <w:spacing w:after="0"/>
            </w:pPr>
            <w:r>
              <w:rPr>
                <w:rFonts w:ascii="Arial" w:hAnsi="Arial"/>
                <w:sz w:val="17"/>
              </w:rPr>
              <w:t>6307.90.8500</w:t>
            </w:r>
          </w:p>
        </w:tc>
        <w:tc>
          <w:tcPr>
            <w:tcW w:type="dxa" w:w="2340"/>
            <w:tcMar>
              <w:top w:w="70" w:type="dxa"/>
              <w:start w:w="110" w:type="dxa"/>
              <w:bottom w:w="70" w:type="dxa"/>
              <w:end w:w="110" w:type="dxa"/>
            </w:tcMar>
          </w:tcPr>
          <w:p>
            <w:pPr>
              <w:widowControl/>
              <w:spacing w:after="0"/>
            </w:pPr>
            <w:r>
              <w:rPr>
                <w:rFonts w:ascii="Arial" w:hAnsi="Arial"/>
                <w:sz w:val="17"/>
              </w:rPr>
              <w:t>8.50</w:t>
            </w:r>
          </w:p>
        </w:tc>
        <w:tc>
          <w:tcPr>
            <w:tcW w:type="dxa" w:w="2340"/>
            <w:tcMar>
              <w:top w:w="70" w:type="dxa"/>
              <w:start w:w="110" w:type="dxa"/>
              <w:bottom w:w="70" w:type="dxa"/>
              <w:end w:w="110" w:type="dxa"/>
            </w:tcMar>
          </w:tcPr>
          <w:p>
            <w:pPr>
              <w:widowControl/>
              <w:spacing w:after="0"/>
            </w:pPr>
            <w:r>
              <w:rPr>
                <w:rFonts w:ascii="Arial" w:hAnsi="Arial"/>
                <w:sz w:val="17"/>
              </w:rPr>
              <w:t>KG</w:t>
            </w:r>
          </w:p>
        </w:tc>
        <w:tc>
          <w:tcPr>
            <w:tcW w:type="dxa" w:w="2340"/>
            <w:tcMar>
              <w:top w:w="70" w:type="dxa"/>
              <w:start w:w="110" w:type="dxa"/>
              <w:bottom w:w="70" w:type="dxa"/>
              <w:end w:w="110" w:type="dxa"/>
            </w:tcMar>
          </w:tcPr>
          <w:p>
            <w:pPr>
              <w:widowControl/>
              <w:spacing w:after="0"/>
            </w:pPr>
            <w:r>
              <w:rPr>
                <w:rFonts w:ascii="Arial" w:hAnsi="Arial"/>
                <w:sz w:val="17"/>
              </w:rPr>
              <w:t>WALL BANNERS, MANMADE FIBERS</w:t>
            </w:r>
          </w:p>
        </w:tc>
      </w:tr>
      <w:tr>
        <w:trPr>
          <w:cantSplit/>
        </w:trPr>
        <w:tc>
          <w:tcPr>
            <w:tcW w:type="dxa" w:w="2340"/>
            <w:tcMar>
              <w:top w:w="70" w:type="dxa"/>
              <w:start w:w="110" w:type="dxa"/>
              <w:bottom w:w="70" w:type="dxa"/>
              <w:end w:w="110" w:type="dxa"/>
            </w:tcMar>
            <w:shd w:fill="F4F6F7"/>
          </w:tcPr>
          <w:p>
            <w:pPr>
              <w:widowControl/>
              <w:spacing w:after="0"/>
            </w:pPr>
            <w:r>
              <w:rPr>
                <w:rFonts w:ascii="Arial" w:hAnsi="Arial"/>
                <w:sz w:val="17"/>
              </w:rPr>
              <w:t>6307.90.9825</w:t>
            </w:r>
          </w:p>
        </w:tc>
        <w:tc>
          <w:tcPr>
            <w:tcW w:type="dxa" w:w="2340"/>
            <w:tcMar>
              <w:top w:w="70" w:type="dxa"/>
              <w:start w:w="110" w:type="dxa"/>
              <w:bottom w:w="70" w:type="dxa"/>
              <w:end w:w="110" w:type="dxa"/>
            </w:tcMar>
            <w:shd w:fill="F4F6F7"/>
          </w:tcPr>
          <w:p>
            <w:pPr>
              <w:widowControl/>
              <w:spacing w:after="0"/>
            </w:pPr>
            <w:r>
              <w:rPr>
                <w:rFonts w:ascii="Arial" w:hAnsi="Arial"/>
                <w:sz w:val="17"/>
              </w:rPr>
              <w:t>14.50</w:t>
            </w:r>
          </w:p>
        </w:tc>
        <w:tc>
          <w:tcPr>
            <w:tcW w:type="dxa" w:w="2340"/>
            <w:tcMar>
              <w:top w:w="70" w:type="dxa"/>
              <w:start w:w="110" w:type="dxa"/>
              <w:bottom w:w="70" w:type="dxa"/>
              <w:end w:w="110" w:type="dxa"/>
            </w:tcMar>
            <w:shd w:fill="F4F6F7"/>
          </w:tcPr>
          <w:p>
            <w:pPr>
              <w:widowControl/>
              <w:spacing w:after="0"/>
            </w:pPr>
            <w:r>
              <w:rPr>
                <w:rFonts w:ascii="Arial" w:hAnsi="Arial"/>
                <w:sz w:val="17"/>
              </w:rPr>
              <w:t>NO</w:t>
            </w:r>
          </w:p>
        </w:tc>
        <w:tc>
          <w:tcPr>
            <w:tcW w:type="dxa" w:w="2340"/>
            <w:tcMar>
              <w:top w:w="70" w:type="dxa"/>
              <w:start w:w="110" w:type="dxa"/>
              <w:bottom w:w="70" w:type="dxa"/>
              <w:end w:w="110" w:type="dxa"/>
            </w:tcMar>
            <w:shd w:fill="F4F6F7"/>
          </w:tcPr>
          <w:p>
            <w:pPr>
              <w:widowControl/>
              <w:spacing w:after="0"/>
            </w:pPr>
            <w:r>
              <w:rPr>
                <w:rFonts w:ascii="Arial" w:hAnsi="Arial"/>
                <w:sz w:val="17"/>
              </w:rPr>
              <w:t>NATIONAL FLAGS OF THE UNITED STATES</w:t>
            </w:r>
          </w:p>
        </w:tc>
      </w:tr>
      <w:tr>
        <w:trPr>
          <w:cantSplit/>
        </w:trPr>
        <w:tc>
          <w:tcPr>
            <w:tcW w:type="dxa" w:w="2340"/>
            <w:tcMar>
              <w:top w:w="70" w:type="dxa"/>
              <w:start w:w="110" w:type="dxa"/>
              <w:bottom w:w="70" w:type="dxa"/>
              <w:end w:w="110" w:type="dxa"/>
            </w:tcMar>
          </w:tcPr>
          <w:p>
            <w:pPr>
              <w:widowControl/>
              <w:spacing w:after="0"/>
            </w:pPr>
            <w:r>
              <w:rPr>
                <w:rFonts w:ascii="Arial" w:hAnsi="Arial"/>
                <w:sz w:val="17"/>
              </w:rPr>
              <w:t>6307.90.9835</w:t>
            </w:r>
          </w:p>
        </w:tc>
        <w:tc>
          <w:tcPr>
            <w:tcW w:type="dxa" w:w="2340"/>
            <w:tcMar>
              <w:top w:w="70" w:type="dxa"/>
              <w:start w:w="110" w:type="dxa"/>
              <w:bottom w:w="70" w:type="dxa"/>
              <w:end w:w="110" w:type="dxa"/>
            </w:tcMar>
          </w:tcPr>
          <w:p>
            <w:pPr>
              <w:widowControl/>
              <w:spacing w:after="0"/>
            </w:pPr>
            <w:r>
              <w:rPr>
                <w:rFonts w:ascii="Arial" w:hAnsi="Arial"/>
                <w:sz w:val="17"/>
              </w:rPr>
              <w:t>14.50</w:t>
            </w:r>
          </w:p>
        </w:tc>
        <w:tc>
          <w:tcPr>
            <w:tcW w:type="dxa" w:w="2340"/>
            <w:tcMar>
              <w:top w:w="70" w:type="dxa"/>
              <w:start w:w="110" w:type="dxa"/>
              <w:bottom w:w="70" w:type="dxa"/>
              <w:end w:w="110" w:type="dxa"/>
            </w:tcMar>
          </w:tcPr>
          <w:p>
            <w:pPr>
              <w:widowControl/>
              <w:spacing w:after="0"/>
            </w:pPr>
            <w:r>
              <w:rPr>
                <w:rFonts w:ascii="Arial" w:hAnsi="Arial"/>
                <w:sz w:val="17"/>
              </w:rPr>
              <w:t>NO</w:t>
            </w:r>
          </w:p>
        </w:tc>
        <w:tc>
          <w:tcPr>
            <w:tcW w:type="dxa" w:w="2340"/>
            <w:tcMar>
              <w:top w:w="70" w:type="dxa"/>
              <w:start w:w="110" w:type="dxa"/>
              <w:bottom w:w="70" w:type="dxa"/>
              <w:end w:w="110" w:type="dxa"/>
            </w:tcMar>
          </w:tcPr>
          <w:p>
            <w:pPr>
              <w:widowControl/>
              <w:spacing w:after="0"/>
            </w:pPr>
            <w:r>
              <w:rPr>
                <w:rFonts w:ascii="Arial" w:hAnsi="Arial"/>
                <w:sz w:val="17"/>
              </w:rPr>
              <w:t>NATIONAL FLAGS OF NATIONS OTHER THAN THE UNITED STATES</w:t>
            </w:r>
          </w:p>
        </w:tc>
      </w:tr>
      <w:tr>
        <w:trPr>
          <w:cantSplit/>
        </w:trPr>
        <w:tc>
          <w:tcPr>
            <w:tcW w:type="dxa" w:w="2340"/>
            <w:tcMar>
              <w:top w:w="70" w:type="dxa"/>
              <w:start w:w="110" w:type="dxa"/>
              <w:bottom w:w="70" w:type="dxa"/>
              <w:end w:w="110" w:type="dxa"/>
            </w:tcMar>
            <w:shd w:fill="F4F6F7"/>
          </w:tcPr>
          <w:p>
            <w:pPr>
              <w:widowControl/>
              <w:spacing w:after="0"/>
            </w:pPr>
            <w:r>
              <w:rPr>
                <w:rFonts w:ascii="Arial" w:hAnsi="Arial"/>
                <w:sz w:val="17"/>
              </w:rPr>
              <w:t>6307.90.9889</w:t>
            </w:r>
          </w:p>
        </w:tc>
        <w:tc>
          <w:tcPr>
            <w:tcW w:type="dxa" w:w="2340"/>
            <w:tcMar>
              <w:top w:w="70" w:type="dxa"/>
              <w:start w:w="110" w:type="dxa"/>
              <w:bottom w:w="70" w:type="dxa"/>
              <w:end w:w="110" w:type="dxa"/>
            </w:tcMar>
            <w:shd w:fill="F4F6F7"/>
          </w:tcPr>
          <w:p>
            <w:pPr>
              <w:widowControl/>
              <w:spacing w:after="0"/>
            </w:pPr>
            <w:r>
              <w:rPr>
                <w:rFonts w:ascii="Arial" w:hAnsi="Arial"/>
                <w:sz w:val="17"/>
              </w:rPr>
              <w:t>14.50</w:t>
            </w:r>
          </w:p>
        </w:tc>
        <w:tc>
          <w:tcPr>
            <w:tcW w:type="dxa" w:w="2340"/>
            <w:tcMar>
              <w:top w:w="70" w:type="dxa"/>
              <w:start w:w="110" w:type="dxa"/>
              <w:bottom w:w="70" w:type="dxa"/>
              <w:end w:w="110" w:type="dxa"/>
            </w:tcMar>
            <w:shd w:fill="F4F6F7"/>
          </w:tcPr>
          <w:p>
            <w:pPr>
              <w:widowControl/>
              <w:spacing w:after="0"/>
            </w:pPr>
            <w:r>
              <w:rPr>
                <w:rFonts w:ascii="Arial" w:hAnsi="Arial"/>
                <w:sz w:val="17"/>
              </w:rPr>
              <w:t>KG</w:t>
            </w:r>
          </w:p>
        </w:tc>
        <w:tc>
          <w:tcPr>
            <w:tcW w:type="dxa" w:w="2340"/>
            <w:tcMar>
              <w:top w:w="70" w:type="dxa"/>
              <w:start w:w="110" w:type="dxa"/>
              <w:bottom w:w="70" w:type="dxa"/>
              <w:end w:w="110" w:type="dxa"/>
            </w:tcMar>
            <w:shd w:fill="F4F6F7"/>
          </w:tcPr>
          <w:p>
            <w:pPr>
              <w:widowControl/>
              <w:spacing w:after="0"/>
            </w:pPr>
            <w:r>
              <w:rPr>
                <w:rFonts w:ascii="Arial" w:hAnsi="Arial"/>
                <w:sz w:val="17"/>
              </w:rPr>
              <w:t>OTHER MADEUP ARTICLES</w:t>
            </w:r>
          </w:p>
        </w:tc>
      </w:tr>
      <w:tr>
        <w:trPr>
          <w:cantSplit/>
        </w:trPr>
        <w:tc>
          <w:tcPr>
            <w:tcW w:type="dxa" w:w="2340"/>
            <w:tcMar>
              <w:top w:w="70" w:type="dxa"/>
              <w:start w:w="110" w:type="dxa"/>
              <w:bottom w:w="70" w:type="dxa"/>
              <w:end w:w="110" w:type="dxa"/>
            </w:tcMar>
          </w:tcPr>
          <w:p>
            <w:pPr>
              <w:widowControl/>
              <w:spacing w:after="0"/>
            </w:pPr>
            <w:r>
              <w:rPr>
                <w:rFonts w:ascii="Arial" w:hAnsi="Arial"/>
                <w:sz w:val="17"/>
              </w:rPr>
              <w:t>6309.00.0010</w:t>
            </w:r>
          </w:p>
        </w:tc>
        <w:tc>
          <w:tcPr>
            <w:tcW w:type="dxa" w:w="2340"/>
            <w:tcMar>
              <w:top w:w="70" w:type="dxa"/>
              <w:start w:w="110" w:type="dxa"/>
              <w:bottom w:w="70" w:type="dxa"/>
              <w:end w:w="110" w:type="dxa"/>
            </w:tcMar>
          </w:tcPr>
          <w:p>
            <w:pPr>
              <w:widowControl/>
              <w:spacing w:after="0"/>
            </w:pPr>
            <w:r>
              <w:rPr>
                <w:rFonts w:ascii="Arial" w:hAnsi="Arial"/>
                <w:sz w:val="17"/>
              </w:rPr>
              <w:t>8.50</w:t>
            </w:r>
          </w:p>
        </w:tc>
        <w:tc>
          <w:tcPr>
            <w:tcW w:type="dxa" w:w="2340"/>
            <w:tcMar>
              <w:top w:w="70" w:type="dxa"/>
              <w:start w:w="110" w:type="dxa"/>
              <w:bottom w:w="70" w:type="dxa"/>
              <w:end w:w="110" w:type="dxa"/>
            </w:tcMar>
          </w:tcPr>
          <w:p>
            <w:pPr>
              <w:widowControl/>
              <w:spacing w:after="0"/>
            </w:pPr>
            <w:r>
              <w:rPr>
                <w:rFonts w:ascii="Arial" w:hAnsi="Arial"/>
                <w:sz w:val="17"/>
              </w:rPr>
              <w:t>KG</w:t>
            </w:r>
          </w:p>
        </w:tc>
        <w:tc>
          <w:tcPr>
            <w:tcW w:type="dxa" w:w="2340"/>
            <w:tcMar>
              <w:top w:w="70" w:type="dxa"/>
              <w:start w:w="110" w:type="dxa"/>
              <w:bottom w:w="70" w:type="dxa"/>
              <w:end w:w="110" w:type="dxa"/>
            </w:tcMar>
          </w:tcPr>
          <w:p>
            <w:pPr>
              <w:widowControl/>
              <w:spacing w:after="0"/>
            </w:pPr>
            <w:r>
              <w:rPr>
                <w:rFonts w:ascii="Arial" w:hAnsi="Arial"/>
                <w:sz w:val="17"/>
              </w:rPr>
              <w:t>WORN CLOTHING</w:t>
            </w:r>
          </w:p>
        </w:tc>
      </w:tr>
      <w:tr>
        <w:trPr>
          <w:cantSplit/>
        </w:trPr>
        <w:tc>
          <w:tcPr>
            <w:tcW w:type="dxa" w:w="2340"/>
            <w:tcMar>
              <w:top w:w="70" w:type="dxa"/>
              <w:start w:w="110" w:type="dxa"/>
              <w:bottom w:w="70" w:type="dxa"/>
              <w:end w:w="110" w:type="dxa"/>
            </w:tcMar>
            <w:shd w:fill="F4F6F7"/>
          </w:tcPr>
          <w:p>
            <w:pPr>
              <w:widowControl/>
              <w:spacing w:after="0"/>
            </w:pPr>
            <w:r>
              <w:rPr>
                <w:rFonts w:ascii="Arial" w:hAnsi="Arial"/>
                <w:sz w:val="17"/>
              </w:rPr>
              <w:t>6309.00.0020</w:t>
            </w:r>
          </w:p>
        </w:tc>
        <w:tc>
          <w:tcPr>
            <w:tcW w:type="dxa" w:w="2340"/>
            <w:tcMar>
              <w:top w:w="70" w:type="dxa"/>
              <w:start w:w="110" w:type="dxa"/>
              <w:bottom w:w="70" w:type="dxa"/>
              <w:end w:w="110" w:type="dxa"/>
            </w:tcMar>
            <w:shd w:fill="F4F6F7"/>
          </w:tcPr>
          <w:p>
            <w:pPr>
              <w:widowControl/>
              <w:spacing w:after="0"/>
            </w:pPr>
            <w:r>
              <w:rPr>
                <w:rFonts w:ascii="Arial" w:hAnsi="Arial"/>
                <w:sz w:val="17"/>
              </w:rPr>
              <w:t>8.50</w:t>
            </w:r>
          </w:p>
        </w:tc>
        <w:tc>
          <w:tcPr>
            <w:tcW w:type="dxa" w:w="2340"/>
            <w:tcMar>
              <w:top w:w="70" w:type="dxa"/>
              <w:start w:w="110" w:type="dxa"/>
              <w:bottom w:w="70" w:type="dxa"/>
              <w:end w:w="110" w:type="dxa"/>
            </w:tcMar>
            <w:shd w:fill="F4F6F7"/>
          </w:tcPr>
          <w:p>
            <w:pPr>
              <w:widowControl/>
              <w:spacing w:after="0"/>
            </w:pPr>
            <w:r>
              <w:rPr>
                <w:rFonts w:ascii="Arial" w:hAnsi="Arial"/>
                <w:sz w:val="17"/>
              </w:rPr>
              <w:t>KG</w:t>
            </w:r>
          </w:p>
        </w:tc>
        <w:tc>
          <w:tcPr>
            <w:tcW w:type="dxa" w:w="2340"/>
            <w:tcMar>
              <w:top w:w="70" w:type="dxa"/>
              <w:start w:w="110" w:type="dxa"/>
              <w:bottom w:w="70" w:type="dxa"/>
              <w:end w:w="110" w:type="dxa"/>
            </w:tcMar>
            <w:shd w:fill="F4F6F7"/>
          </w:tcPr>
          <w:p>
            <w:pPr>
              <w:widowControl/>
              <w:spacing w:after="0"/>
            </w:pPr>
            <w:r>
              <w:rPr>
                <w:rFonts w:ascii="Arial" w:hAnsi="Arial"/>
                <w:sz w:val="17"/>
              </w:rPr>
              <w:t>OTHER WORN ARTICLES</w:t>
            </w:r>
          </w:p>
        </w:tc>
      </w:tr>
      <w:tr>
        <w:trPr>
          <w:cantSplit/>
        </w:trPr>
        <w:tc>
          <w:tcPr>
            <w:tcW w:type="dxa" w:w="2340"/>
            <w:tcMar>
              <w:top w:w="70" w:type="dxa"/>
              <w:start w:w="110" w:type="dxa"/>
              <w:bottom w:w="70" w:type="dxa"/>
              <w:end w:w="110" w:type="dxa"/>
            </w:tcMar>
          </w:tcPr>
          <w:p>
            <w:pPr>
              <w:widowControl/>
              <w:spacing w:after="0"/>
            </w:pPr>
            <w:r>
              <w:rPr>
                <w:rFonts w:ascii="Arial" w:hAnsi="Arial"/>
                <w:sz w:val="17"/>
              </w:rPr>
              <w:t>6310.10.1000</w:t>
            </w:r>
          </w:p>
        </w:tc>
        <w:tc>
          <w:tcPr>
            <w:tcW w:type="dxa" w:w="2340"/>
            <w:tcMar>
              <w:top w:w="70" w:type="dxa"/>
              <w:start w:w="110" w:type="dxa"/>
              <w:bottom w:w="70" w:type="dxa"/>
              <w:end w:w="110" w:type="dxa"/>
            </w:tcMar>
          </w:tcPr>
          <w:p>
            <w:pPr>
              <w:widowControl/>
              <w:spacing w:after="0"/>
            </w:pPr>
            <w:r>
              <w:rPr>
                <w:rFonts w:ascii="Arial" w:hAnsi="Arial"/>
                <w:sz w:val="17"/>
              </w:rPr>
              <w:t>3.70</w:t>
            </w:r>
          </w:p>
        </w:tc>
        <w:tc>
          <w:tcPr>
            <w:tcW w:type="dxa" w:w="2340"/>
            <w:tcMar>
              <w:top w:w="70" w:type="dxa"/>
              <w:start w:w="110" w:type="dxa"/>
              <w:bottom w:w="70" w:type="dxa"/>
              <w:end w:w="110" w:type="dxa"/>
            </w:tcMar>
          </w:tcPr>
          <w:p>
            <w:pPr>
              <w:widowControl/>
              <w:spacing w:after="0"/>
            </w:pPr>
            <w:r>
              <w:rPr>
                <w:rFonts w:ascii="Arial" w:hAnsi="Arial"/>
                <w:sz w:val="17"/>
              </w:rPr>
              <w:t>KG</w:t>
            </w:r>
          </w:p>
        </w:tc>
        <w:tc>
          <w:tcPr>
            <w:tcW w:type="dxa" w:w="2340"/>
            <w:tcMar>
              <w:top w:w="70" w:type="dxa"/>
              <w:start w:w="110" w:type="dxa"/>
              <w:bottom w:w="70" w:type="dxa"/>
              <w:end w:w="110" w:type="dxa"/>
            </w:tcMar>
          </w:tcPr>
          <w:p>
            <w:pPr>
              <w:widowControl/>
              <w:spacing w:after="0"/>
            </w:pPr>
            <w:r>
              <w:rPr>
                <w:rFonts w:ascii="Arial" w:hAnsi="Arial"/>
                <w:sz w:val="17"/>
              </w:rPr>
              <w:t>RAGS/SCRAP/TWINE/CORDAGE/ROPE/CABLES, SORTED, WOOL OR FINE ANIMAL HAIR</w:t>
            </w:r>
          </w:p>
        </w:tc>
      </w:tr>
      <w:tr>
        <w:trPr>
          <w:cantSplit/>
        </w:trPr>
        <w:tc>
          <w:tcPr>
            <w:tcW w:type="dxa" w:w="2340"/>
            <w:tcMar>
              <w:top w:w="70" w:type="dxa"/>
              <w:start w:w="110" w:type="dxa"/>
              <w:bottom w:w="70" w:type="dxa"/>
              <w:end w:w="110" w:type="dxa"/>
            </w:tcMar>
            <w:shd w:fill="F4F6F7"/>
          </w:tcPr>
          <w:p>
            <w:pPr>
              <w:widowControl/>
              <w:spacing w:after="0"/>
            </w:pPr>
            <w:r>
              <w:rPr>
                <w:rFonts w:ascii="Arial" w:hAnsi="Arial"/>
                <w:sz w:val="17"/>
              </w:rPr>
              <w:t>6310.10.2010</w:t>
            </w:r>
          </w:p>
        </w:tc>
        <w:tc>
          <w:tcPr>
            <w:tcW w:type="dxa" w:w="2340"/>
            <w:tcMar>
              <w:top w:w="70" w:type="dxa"/>
              <w:start w:w="110" w:type="dxa"/>
              <w:bottom w:w="70" w:type="dxa"/>
              <w:end w:w="110" w:type="dxa"/>
            </w:tcMar>
            <w:shd w:fill="F4F6F7"/>
          </w:tcPr>
          <w:p>
            <w:pPr>
              <w:widowControl/>
              <w:spacing w:after="0"/>
            </w:pPr>
            <w:r>
              <w:rPr>
                <w:rFonts w:ascii="Arial" w:hAnsi="Arial"/>
                <w:sz w:val="17"/>
              </w:rPr>
              <w:t>8.50</w:t>
            </w:r>
          </w:p>
        </w:tc>
        <w:tc>
          <w:tcPr>
            <w:tcW w:type="dxa" w:w="2340"/>
            <w:tcMar>
              <w:top w:w="70" w:type="dxa"/>
              <w:start w:w="110" w:type="dxa"/>
              <w:bottom w:w="70" w:type="dxa"/>
              <w:end w:w="110" w:type="dxa"/>
            </w:tcMar>
            <w:shd w:fill="F4F6F7"/>
          </w:tcPr>
          <w:p>
            <w:pPr>
              <w:widowControl/>
              <w:spacing w:after="0"/>
            </w:pPr>
            <w:r>
              <w:rPr>
                <w:rFonts w:ascii="Arial" w:hAnsi="Arial"/>
                <w:sz w:val="17"/>
              </w:rPr>
              <w:t>KG</w:t>
            </w:r>
          </w:p>
        </w:tc>
        <w:tc>
          <w:tcPr>
            <w:tcW w:type="dxa" w:w="2340"/>
            <w:tcMar>
              <w:top w:w="70" w:type="dxa"/>
              <w:start w:w="110" w:type="dxa"/>
              <w:bottom w:w="70" w:type="dxa"/>
              <w:end w:w="110" w:type="dxa"/>
            </w:tcMar>
            <w:shd w:fill="F4F6F7"/>
          </w:tcPr>
          <w:p>
            <w:pPr>
              <w:widowControl/>
              <w:spacing w:after="0"/>
            </w:pPr>
            <w:r>
              <w:rPr>
                <w:rFonts w:ascii="Arial" w:hAnsi="Arial"/>
                <w:sz w:val="17"/>
              </w:rPr>
              <w:t>RAGS/SCRAP/TWINE/CORDAGE/ROPE/CABLES, SORTED, COTTON</w:t>
            </w:r>
          </w:p>
        </w:tc>
      </w:tr>
      <w:tr>
        <w:trPr>
          <w:cantSplit/>
        </w:trPr>
        <w:tc>
          <w:tcPr>
            <w:tcW w:type="dxa" w:w="2340"/>
            <w:tcMar>
              <w:top w:w="70" w:type="dxa"/>
              <w:start w:w="110" w:type="dxa"/>
              <w:bottom w:w="70" w:type="dxa"/>
              <w:end w:w="110" w:type="dxa"/>
            </w:tcMar>
          </w:tcPr>
          <w:p>
            <w:pPr>
              <w:widowControl/>
              <w:spacing w:after="0"/>
            </w:pPr>
            <w:r>
              <w:rPr>
                <w:rFonts w:ascii="Arial" w:hAnsi="Arial"/>
                <w:sz w:val="17"/>
              </w:rPr>
              <w:t>6310.10.2020</w:t>
            </w:r>
          </w:p>
        </w:tc>
        <w:tc>
          <w:tcPr>
            <w:tcW w:type="dxa" w:w="2340"/>
            <w:tcMar>
              <w:top w:w="70" w:type="dxa"/>
              <w:start w:w="110" w:type="dxa"/>
              <w:bottom w:w="70" w:type="dxa"/>
              <w:end w:w="110" w:type="dxa"/>
            </w:tcMar>
          </w:tcPr>
          <w:p>
            <w:pPr>
              <w:widowControl/>
              <w:spacing w:after="0"/>
            </w:pPr>
            <w:r>
              <w:rPr>
                <w:rFonts w:ascii="Arial" w:hAnsi="Arial"/>
                <w:sz w:val="17"/>
              </w:rPr>
              <w:t>14.40</w:t>
            </w:r>
          </w:p>
        </w:tc>
        <w:tc>
          <w:tcPr>
            <w:tcW w:type="dxa" w:w="2340"/>
            <w:tcMar>
              <w:top w:w="70" w:type="dxa"/>
              <w:start w:w="110" w:type="dxa"/>
              <w:bottom w:w="70" w:type="dxa"/>
              <w:end w:w="110" w:type="dxa"/>
            </w:tcMar>
          </w:tcPr>
          <w:p>
            <w:pPr>
              <w:widowControl/>
              <w:spacing w:after="0"/>
            </w:pPr>
            <w:r>
              <w:rPr>
                <w:rFonts w:ascii="Arial" w:hAnsi="Arial"/>
                <w:sz w:val="17"/>
              </w:rPr>
              <w:t>KG</w:t>
            </w:r>
          </w:p>
        </w:tc>
        <w:tc>
          <w:tcPr>
            <w:tcW w:type="dxa" w:w="2340"/>
            <w:tcMar>
              <w:top w:w="70" w:type="dxa"/>
              <w:start w:w="110" w:type="dxa"/>
              <w:bottom w:w="70" w:type="dxa"/>
              <w:end w:w="110" w:type="dxa"/>
            </w:tcMar>
          </w:tcPr>
          <w:p>
            <w:pPr>
              <w:widowControl/>
              <w:spacing w:after="0"/>
            </w:pPr>
            <w:r>
              <w:rPr>
                <w:rFonts w:ascii="Arial" w:hAnsi="Arial"/>
                <w:sz w:val="17"/>
              </w:rPr>
              <w:t>RAGS/SCRAP/TWINE/CORDAGE/ROPE/CABLES, SORTED, MMF</w:t>
            </w:r>
          </w:p>
        </w:tc>
      </w:tr>
      <w:tr>
        <w:trPr>
          <w:cantSplit/>
        </w:trPr>
        <w:tc>
          <w:tcPr>
            <w:tcW w:type="dxa" w:w="2340"/>
            <w:tcMar>
              <w:top w:w="70" w:type="dxa"/>
              <w:start w:w="110" w:type="dxa"/>
              <w:bottom w:w="70" w:type="dxa"/>
              <w:end w:w="110" w:type="dxa"/>
            </w:tcMar>
            <w:shd w:fill="F4F6F7"/>
          </w:tcPr>
          <w:p>
            <w:pPr>
              <w:widowControl/>
              <w:spacing w:after="0"/>
            </w:pPr>
            <w:r>
              <w:rPr>
                <w:rFonts w:ascii="Arial" w:hAnsi="Arial"/>
                <w:sz w:val="17"/>
              </w:rPr>
              <w:t>6310.10.2030</w:t>
            </w:r>
          </w:p>
        </w:tc>
        <w:tc>
          <w:tcPr>
            <w:tcW w:type="dxa" w:w="2340"/>
            <w:tcMar>
              <w:top w:w="70" w:type="dxa"/>
              <w:start w:w="110" w:type="dxa"/>
              <w:bottom w:w="70" w:type="dxa"/>
              <w:end w:w="110" w:type="dxa"/>
            </w:tcMar>
            <w:shd w:fill="F4F6F7"/>
          </w:tcPr>
          <w:p>
            <w:pPr>
              <w:widowControl/>
              <w:spacing w:after="0"/>
            </w:pPr>
            <w:r>
              <w:rPr>
                <w:rFonts w:ascii="Arial" w:hAnsi="Arial"/>
                <w:sz w:val="17"/>
              </w:rPr>
              <w:t>11.10</w:t>
            </w:r>
          </w:p>
        </w:tc>
        <w:tc>
          <w:tcPr>
            <w:tcW w:type="dxa" w:w="2340"/>
            <w:tcMar>
              <w:top w:w="70" w:type="dxa"/>
              <w:start w:w="110" w:type="dxa"/>
              <w:bottom w:w="70" w:type="dxa"/>
              <w:end w:w="110" w:type="dxa"/>
            </w:tcMar>
            <w:shd w:fill="F4F6F7"/>
          </w:tcPr>
          <w:p>
            <w:pPr>
              <w:widowControl/>
              <w:spacing w:after="0"/>
            </w:pPr>
            <w:r>
              <w:rPr>
                <w:rFonts w:ascii="Arial" w:hAnsi="Arial"/>
                <w:sz w:val="17"/>
              </w:rPr>
              <w:t>KG</w:t>
            </w:r>
          </w:p>
        </w:tc>
        <w:tc>
          <w:tcPr>
            <w:tcW w:type="dxa" w:w="2340"/>
            <w:tcMar>
              <w:top w:w="70" w:type="dxa"/>
              <w:start w:w="110" w:type="dxa"/>
              <w:bottom w:w="70" w:type="dxa"/>
              <w:end w:w="110" w:type="dxa"/>
            </w:tcMar>
            <w:shd w:fill="F4F6F7"/>
          </w:tcPr>
          <w:p>
            <w:pPr>
              <w:widowControl/>
              <w:spacing w:after="0"/>
            </w:pPr>
            <w:r>
              <w:rPr>
                <w:rFonts w:ascii="Arial" w:hAnsi="Arial"/>
                <w:sz w:val="17"/>
              </w:rPr>
              <w:t>RAGS/SCRAP/TWINE/CORDAGE/ROPE/CABLES, SORTED, NOT COTTON/MMF</w:t>
            </w:r>
          </w:p>
        </w:tc>
      </w:tr>
      <w:tr>
        <w:trPr>
          <w:cantSplit/>
        </w:trPr>
        <w:tc>
          <w:tcPr>
            <w:tcW w:type="dxa" w:w="2340"/>
            <w:tcMar>
              <w:top w:w="70" w:type="dxa"/>
              <w:start w:w="110" w:type="dxa"/>
              <w:bottom w:w="70" w:type="dxa"/>
              <w:end w:w="110" w:type="dxa"/>
            </w:tcMar>
          </w:tcPr>
          <w:p>
            <w:pPr>
              <w:widowControl/>
              <w:spacing w:after="0"/>
            </w:pPr>
            <w:r>
              <w:rPr>
                <w:rFonts w:ascii="Arial" w:hAnsi="Arial"/>
                <w:sz w:val="17"/>
              </w:rPr>
              <w:t>6310.90.1000</w:t>
            </w:r>
          </w:p>
        </w:tc>
        <w:tc>
          <w:tcPr>
            <w:tcW w:type="dxa" w:w="2340"/>
            <w:tcMar>
              <w:top w:w="70" w:type="dxa"/>
              <w:start w:w="110" w:type="dxa"/>
              <w:bottom w:w="70" w:type="dxa"/>
              <w:end w:w="110" w:type="dxa"/>
            </w:tcMar>
          </w:tcPr>
          <w:p>
            <w:pPr>
              <w:widowControl/>
              <w:spacing w:after="0"/>
            </w:pPr>
            <w:r>
              <w:rPr>
                <w:rFonts w:ascii="Arial" w:hAnsi="Arial"/>
                <w:sz w:val="17"/>
              </w:rPr>
              <w:t>3.70</w:t>
            </w:r>
          </w:p>
        </w:tc>
        <w:tc>
          <w:tcPr>
            <w:tcW w:type="dxa" w:w="2340"/>
            <w:tcMar>
              <w:top w:w="70" w:type="dxa"/>
              <w:start w:w="110" w:type="dxa"/>
              <w:bottom w:w="70" w:type="dxa"/>
              <w:end w:w="110" w:type="dxa"/>
            </w:tcMar>
          </w:tcPr>
          <w:p>
            <w:pPr>
              <w:widowControl/>
              <w:spacing w:after="0"/>
            </w:pPr>
            <w:r>
              <w:rPr>
                <w:rFonts w:ascii="Arial" w:hAnsi="Arial"/>
                <w:sz w:val="17"/>
              </w:rPr>
              <w:t>KG</w:t>
            </w:r>
          </w:p>
        </w:tc>
        <w:tc>
          <w:tcPr>
            <w:tcW w:type="dxa" w:w="2340"/>
            <w:tcMar>
              <w:top w:w="70" w:type="dxa"/>
              <w:start w:w="110" w:type="dxa"/>
              <w:bottom w:w="70" w:type="dxa"/>
              <w:end w:w="110" w:type="dxa"/>
            </w:tcMar>
          </w:tcPr>
          <w:p>
            <w:pPr>
              <w:widowControl/>
              <w:spacing w:after="0"/>
            </w:pPr>
            <w:r>
              <w:rPr>
                <w:rFonts w:ascii="Arial" w:hAnsi="Arial"/>
                <w:sz w:val="17"/>
              </w:rPr>
              <w:t>RAGS/SCRAP/TWINE/CORDAGE/ROPE/CABLES, NOT SORTED, WOOL OR FINE ANIMAL HAIR</w:t>
            </w:r>
          </w:p>
        </w:tc>
      </w:tr>
    </w:tbl>
    <w:p>
      <w:pPr>
        <w:widowControl/>
      </w:pPr>
      <w:r>
        <w:rPr>
          <w:b w:val="0"/>
        </w:rPr>
        <w:t>6. The primary unit of measure for the following tariff items in U.S. category 666 shall be NO and shall be converted into SME by a factor of 5.5:</w:t>
      </w:r>
    </w:p>
    <w:tbl>
      <w:tblPr>
        <w:tblStyle w:val="TableGrid"/>
        <w:tblW w:type="auto" w:w="0"/>
        <w:jc w:val="center"/>
        <w:tblLayout w:type="autofit"/>
        <w:tblLook w:firstColumn="1" w:firstRow="1" w:lastColumn="0" w:lastRow="0" w:noHBand="0" w:noVBand="1" w:val="04A0"/>
      </w:tblPr>
      <w:tblGrid>
        <w:gridCol w:w="4680"/>
        <w:gridCol w:w="4680"/>
      </w:tblGrid>
      <w:tr>
        <w:trPr>
          <w:tblHeader w:val="true"/>
          <w:cantSplit/>
          <w:tblHeader w:val="true"/>
        </w:trPr>
        <w:tc>
          <w:tcPr>
            <w:tcW w:type="dxa" w:w="4680"/>
            <w:shd w:fill="233746"/>
          </w:tcPr>
          <w:p>
            <w:pPr>
              <w:spacing w:after="0"/>
            </w:pPr>
            <w:r>
              <w:rPr>
                <w:rFonts w:ascii="Arial" w:hAnsi="Arial"/>
                <w:b/>
                <w:color w:val="FFFFFF"/>
                <w:sz w:val="17"/>
              </w:rPr>
              <w:t>Tariff Item</w:t>
            </w:r>
          </w:p>
        </w:tc>
        <w:tc>
          <w:tcPr>
            <w:tcW w:type="dxa" w:w="4680"/>
            <w:shd w:fill="233746"/>
          </w:tcPr>
          <w:p>
            <w:pPr>
              <w:spacing w:after="0"/>
            </w:pPr>
            <w:r>
              <w:rPr>
                <w:rFonts w:ascii="Arial" w:hAnsi="Arial"/>
                <w:b/>
                <w:color w:val="FFFFFF"/>
                <w:sz w:val="17"/>
              </w:rPr>
              <w:t>Description</w:t>
            </w:r>
          </w:p>
        </w:tc>
      </w:tr>
      <w:tr>
        <w:trPr>
          <w:cantSplit/>
        </w:trPr>
        <w:tc>
          <w:tcPr>
            <w:tcW w:type="dxa" w:w="4680"/>
            <w:tcMar>
              <w:top w:w="70" w:type="dxa"/>
              <w:start w:w="110" w:type="dxa"/>
              <w:bottom w:w="70" w:type="dxa"/>
              <w:end w:w="110" w:type="dxa"/>
            </w:tcMar>
          </w:tcPr>
          <w:p>
            <w:pPr>
              <w:widowControl/>
              <w:spacing w:after="0"/>
            </w:pPr>
            <w:r>
              <w:rPr>
                <w:rFonts w:ascii="Arial" w:hAnsi="Arial"/>
                <w:sz w:val="17"/>
              </w:rPr>
              <w:t>6301.10.0000</w:t>
            </w:r>
          </w:p>
        </w:tc>
        <w:tc>
          <w:tcPr>
            <w:tcW w:type="dxa" w:w="4680"/>
            <w:tcMar>
              <w:top w:w="70" w:type="dxa"/>
              <w:start w:w="110" w:type="dxa"/>
              <w:bottom w:w="70" w:type="dxa"/>
              <w:end w:w="110" w:type="dxa"/>
            </w:tcMar>
          </w:tcPr>
          <w:p>
            <w:pPr>
              <w:widowControl/>
              <w:spacing w:after="0"/>
            </w:pPr>
            <w:r>
              <w:rPr>
                <w:rFonts w:ascii="Arial" w:hAnsi="Arial"/>
                <w:sz w:val="17"/>
              </w:rPr>
              <w:t>ELECTRIC BLANKETS</w:t>
            </w:r>
          </w:p>
        </w:tc>
      </w:tr>
      <w:tr>
        <w:trPr>
          <w:cantSplit/>
        </w:trPr>
        <w:tc>
          <w:tcPr>
            <w:tcW w:type="dxa" w:w="4680"/>
            <w:tcMar>
              <w:top w:w="70" w:type="dxa"/>
              <w:start w:w="110" w:type="dxa"/>
              <w:bottom w:w="70" w:type="dxa"/>
              <w:end w:w="110" w:type="dxa"/>
            </w:tcMar>
            <w:shd w:fill="F4F6F7"/>
          </w:tcPr>
          <w:p>
            <w:pPr>
              <w:widowControl/>
              <w:spacing w:after="0"/>
            </w:pPr>
            <w:r>
              <w:rPr>
                <w:rFonts w:ascii="Arial" w:hAnsi="Arial"/>
                <w:sz w:val="17"/>
              </w:rPr>
              <w:t>6301.40.0010</w:t>
            </w:r>
          </w:p>
        </w:tc>
        <w:tc>
          <w:tcPr>
            <w:tcW w:type="dxa" w:w="4680"/>
            <w:tcMar>
              <w:top w:w="70" w:type="dxa"/>
              <w:start w:w="110" w:type="dxa"/>
              <w:bottom w:w="70" w:type="dxa"/>
              <w:end w:w="110" w:type="dxa"/>
            </w:tcMar>
            <w:shd w:fill="F4F6F7"/>
          </w:tcPr>
          <w:p>
            <w:pPr>
              <w:widowControl/>
              <w:spacing w:after="0"/>
            </w:pPr>
            <w:r>
              <w:rPr>
                <w:rFonts w:ascii="Arial" w:hAnsi="Arial"/>
                <w:sz w:val="17"/>
              </w:rPr>
              <w:t>BLANKETS (NOT ELECTRIC) &amp; TRAVEL RUGS OF SYNTHETIC FIBER, WOVEN</w:t>
            </w:r>
          </w:p>
        </w:tc>
      </w:tr>
      <w:tr>
        <w:trPr>
          <w:cantSplit/>
        </w:trPr>
        <w:tc>
          <w:tcPr>
            <w:tcW w:type="dxa" w:w="4680"/>
            <w:tcMar>
              <w:top w:w="70" w:type="dxa"/>
              <w:start w:w="110" w:type="dxa"/>
              <w:bottom w:w="70" w:type="dxa"/>
              <w:end w:w="110" w:type="dxa"/>
            </w:tcMar>
          </w:tcPr>
          <w:p>
            <w:pPr>
              <w:widowControl/>
              <w:spacing w:after="0"/>
            </w:pPr>
            <w:r>
              <w:rPr>
                <w:rFonts w:ascii="Arial" w:hAnsi="Arial"/>
                <w:sz w:val="17"/>
              </w:rPr>
              <w:t>6301.40.0020</w:t>
            </w:r>
          </w:p>
        </w:tc>
        <w:tc>
          <w:tcPr>
            <w:tcW w:type="dxa" w:w="4680"/>
            <w:tcMar>
              <w:top w:w="70" w:type="dxa"/>
              <w:start w:w="110" w:type="dxa"/>
              <w:bottom w:w="70" w:type="dxa"/>
              <w:end w:w="110" w:type="dxa"/>
            </w:tcMar>
          </w:tcPr>
          <w:p>
            <w:pPr>
              <w:widowControl/>
              <w:spacing w:after="0"/>
            </w:pPr>
            <w:r>
              <w:rPr>
                <w:rFonts w:ascii="Arial" w:hAnsi="Arial"/>
                <w:sz w:val="17"/>
              </w:rPr>
              <w:t>OTHER BLANKETS (NOT ELECTRIC) &amp; TRAVEL RUGS OF SYNTHETIC FIBER</w:t>
            </w:r>
          </w:p>
        </w:tc>
      </w:tr>
      <w:tr>
        <w:trPr>
          <w:cantSplit/>
        </w:trPr>
        <w:tc>
          <w:tcPr>
            <w:tcW w:type="dxa" w:w="4680"/>
            <w:tcMar>
              <w:top w:w="70" w:type="dxa"/>
              <w:start w:w="110" w:type="dxa"/>
              <w:bottom w:w="70" w:type="dxa"/>
              <w:end w:w="110" w:type="dxa"/>
            </w:tcMar>
            <w:shd w:fill="F4F6F7"/>
          </w:tcPr>
          <w:p>
            <w:pPr>
              <w:widowControl/>
              <w:spacing w:after="0"/>
            </w:pPr>
            <w:r>
              <w:rPr>
                <w:rFonts w:ascii="Arial" w:hAnsi="Arial"/>
                <w:sz w:val="17"/>
              </w:rPr>
              <w:t>6301.90.0010</w:t>
            </w:r>
          </w:p>
        </w:tc>
        <w:tc>
          <w:tcPr>
            <w:tcW w:type="dxa" w:w="4680"/>
            <w:tcMar>
              <w:top w:w="70" w:type="dxa"/>
              <w:start w:w="110" w:type="dxa"/>
              <w:bottom w:w="70" w:type="dxa"/>
              <w:end w:w="110" w:type="dxa"/>
            </w:tcMar>
            <w:shd w:fill="F4F6F7"/>
          </w:tcPr>
          <w:p>
            <w:pPr>
              <w:widowControl/>
              <w:spacing w:after="0"/>
            </w:pPr>
            <w:r>
              <w:rPr>
                <w:rFonts w:ascii="Arial" w:hAnsi="Arial"/>
                <w:sz w:val="17"/>
              </w:rPr>
              <w:t>BLANKETS AND TRAVELING RUGS OF ARTIFICIAL FIBER</w:t>
            </w:r>
          </w:p>
        </w:tc>
      </w:tr>
      <w:tr>
        <w:trPr>
          <w:cantSplit/>
        </w:trPr>
        <w:tc>
          <w:tcPr>
            <w:tcW w:type="dxa" w:w="4680"/>
            <w:tcMar>
              <w:top w:w="70" w:type="dxa"/>
              <w:start w:w="110" w:type="dxa"/>
              <w:bottom w:w="70" w:type="dxa"/>
              <w:end w:w="110" w:type="dxa"/>
            </w:tcMar>
          </w:tcPr>
          <w:p>
            <w:pPr>
              <w:widowControl/>
              <w:spacing w:after="0"/>
            </w:pPr>
            <w:r>
              <w:rPr>
                <w:rFonts w:ascii="Arial" w:hAnsi="Arial"/>
                <w:sz w:val="17"/>
              </w:rPr>
              <w:t>6302.10.0020</w:t>
            </w:r>
          </w:p>
        </w:tc>
        <w:tc>
          <w:tcPr>
            <w:tcW w:type="dxa" w:w="4680"/>
            <w:tcMar>
              <w:top w:w="70" w:type="dxa"/>
              <w:start w:w="110" w:type="dxa"/>
              <w:bottom w:w="70" w:type="dxa"/>
              <w:end w:w="110" w:type="dxa"/>
            </w:tcMar>
          </w:tcPr>
          <w:p>
            <w:pPr>
              <w:widowControl/>
              <w:spacing w:after="0"/>
            </w:pPr>
            <w:r>
              <w:rPr>
                <w:rFonts w:ascii="Arial" w:hAnsi="Arial"/>
                <w:sz w:val="17"/>
              </w:rPr>
              <w:t>BED LINEN, KNITTED OR CROCHETED FABRIC, EXCLUDING COTTON</w:t>
            </w:r>
          </w:p>
        </w:tc>
      </w:tr>
      <w:tr>
        <w:trPr>
          <w:cantSplit/>
        </w:trPr>
        <w:tc>
          <w:tcPr>
            <w:tcW w:type="dxa" w:w="4680"/>
            <w:tcMar>
              <w:top w:w="70" w:type="dxa"/>
              <w:start w:w="110" w:type="dxa"/>
              <w:bottom w:w="70" w:type="dxa"/>
              <w:end w:w="110" w:type="dxa"/>
            </w:tcMar>
            <w:shd w:fill="F4F6F7"/>
          </w:tcPr>
          <w:p>
            <w:pPr>
              <w:widowControl/>
              <w:spacing w:after="0"/>
            </w:pPr>
            <w:r>
              <w:rPr>
                <w:rFonts w:ascii="Arial" w:hAnsi="Arial"/>
                <w:sz w:val="17"/>
              </w:rPr>
              <w:t>6302.22.1030</w:t>
            </w:r>
          </w:p>
        </w:tc>
        <w:tc>
          <w:tcPr>
            <w:tcW w:type="dxa" w:w="4680"/>
            <w:tcMar>
              <w:top w:w="70" w:type="dxa"/>
              <w:start w:w="110" w:type="dxa"/>
              <w:bottom w:w="70" w:type="dxa"/>
              <w:end w:w="110" w:type="dxa"/>
            </w:tcMar>
            <w:shd w:fill="F4F6F7"/>
          </w:tcPr>
          <w:p>
            <w:pPr>
              <w:widowControl/>
              <w:spacing w:after="0"/>
            </w:pPr>
            <w:r>
              <w:rPr>
                <w:rFonts w:ascii="Arial" w:hAnsi="Arial"/>
                <w:sz w:val="17"/>
              </w:rPr>
              <w:t>SHEETS WITH TRIM, NAPPED, PRINTED, MANMADE FIBER</w:t>
            </w:r>
          </w:p>
        </w:tc>
      </w:tr>
      <w:tr>
        <w:trPr>
          <w:cantSplit/>
        </w:trPr>
        <w:tc>
          <w:tcPr>
            <w:tcW w:type="dxa" w:w="4680"/>
            <w:tcMar>
              <w:top w:w="70" w:type="dxa"/>
              <w:start w:w="110" w:type="dxa"/>
              <w:bottom w:w="70" w:type="dxa"/>
              <w:end w:w="110" w:type="dxa"/>
            </w:tcMar>
          </w:tcPr>
          <w:p>
            <w:pPr>
              <w:widowControl/>
              <w:spacing w:after="0"/>
            </w:pPr>
            <w:r>
              <w:rPr>
                <w:rFonts w:ascii="Arial" w:hAnsi="Arial"/>
                <w:sz w:val="17"/>
              </w:rPr>
              <w:t>6302.22.1040</w:t>
            </w:r>
          </w:p>
        </w:tc>
        <w:tc>
          <w:tcPr>
            <w:tcW w:type="dxa" w:w="4680"/>
            <w:tcMar>
              <w:top w:w="70" w:type="dxa"/>
              <w:start w:w="110" w:type="dxa"/>
              <w:bottom w:w="70" w:type="dxa"/>
              <w:end w:w="110" w:type="dxa"/>
            </w:tcMar>
          </w:tcPr>
          <w:p>
            <w:pPr>
              <w:widowControl/>
              <w:spacing w:after="0"/>
            </w:pPr>
            <w:r>
              <w:rPr>
                <w:rFonts w:ascii="Arial" w:hAnsi="Arial"/>
                <w:sz w:val="17"/>
              </w:rPr>
              <w:t>SHEETS WITH TRIM, NOT NAPPED, PRINTED, MANMADE FIBER</w:t>
            </w:r>
          </w:p>
        </w:tc>
      </w:tr>
      <w:tr>
        <w:trPr>
          <w:cantSplit/>
        </w:trPr>
        <w:tc>
          <w:tcPr>
            <w:tcW w:type="dxa" w:w="4680"/>
            <w:tcMar>
              <w:top w:w="70" w:type="dxa"/>
              <w:start w:w="110" w:type="dxa"/>
              <w:bottom w:w="70" w:type="dxa"/>
              <w:end w:w="110" w:type="dxa"/>
            </w:tcMar>
            <w:shd w:fill="F4F6F7"/>
          </w:tcPr>
          <w:p>
            <w:pPr>
              <w:widowControl/>
              <w:spacing w:after="0"/>
            </w:pPr>
            <w:r>
              <w:rPr>
                <w:rFonts w:ascii="Arial" w:hAnsi="Arial"/>
                <w:sz w:val="17"/>
              </w:rPr>
              <w:t>6302.22.1050</w:t>
            </w:r>
          </w:p>
        </w:tc>
        <w:tc>
          <w:tcPr>
            <w:tcW w:type="dxa" w:w="4680"/>
            <w:tcMar>
              <w:top w:w="70" w:type="dxa"/>
              <w:start w:w="110" w:type="dxa"/>
              <w:bottom w:w="70" w:type="dxa"/>
              <w:end w:w="110" w:type="dxa"/>
            </w:tcMar>
            <w:shd w:fill="F4F6F7"/>
          </w:tcPr>
          <w:p>
            <w:pPr>
              <w:widowControl/>
              <w:spacing w:after="0"/>
            </w:pPr>
            <w:r>
              <w:rPr>
                <w:rFonts w:ascii="Arial" w:hAnsi="Arial"/>
                <w:sz w:val="17"/>
              </w:rPr>
              <w:t>BOLSTER CASES WITH TRIM, PRINTED, MANMADE FIBER</w:t>
            </w:r>
          </w:p>
        </w:tc>
      </w:tr>
      <w:tr>
        <w:trPr>
          <w:cantSplit/>
        </w:trPr>
        <w:tc>
          <w:tcPr>
            <w:tcW w:type="dxa" w:w="4680"/>
            <w:tcMar>
              <w:top w:w="70" w:type="dxa"/>
              <w:start w:w="110" w:type="dxa"/>
              <w:bottom w:w="70" w:type="dxa"/>
              <w:end w:w="110" w:type="dxa"/>
            </w:tcMar>
          </w:tcPr>
          <w:p>
            <w:pPr>
              <w:widowControl/>
              <w:spacing w:after="0"/>
            </w:pPr>
            <w:r>
              <w:rPr>
                <w:rFonts w:ascii="Arial" w:hAnsi="Arial"/>
                <w:sz w:val="17"/>
              </w:rPr>
              <w:t>6302.22.1060</w:t>
            </w:r>
          </w:p>
        </w:tc>
        <w:tc>
          <w:tcPr>
            <w:tcW w:type="dxa" w:w="4680"/>
            <w:tcMar>
              <w:top w:w="70" w:type="dxa"/>
              <w:start w:w="110" w:type="dxa"/>
              <w:bottom w:w="70" w:type="dxa"/>
              <w:end w:w="110" w:type="dxa"/>
            </w:tcMar>
          </w:tcPr>
          <w:p>
            <w:pPr>
              <w:widowControl/>
              <w:spacing w:after="0"/>
            </w:pPr>
            <w:r>
              <w:rPr>
                <w:rFonts w:ascii="Arial" w:hAnsi="Arial"/>
                <w:sz w:val="17"/>
              </w:rPr>
              <w:t>OTHER BED LINEN WITH TRIM, PRINTED, MANMADE FIBER</w:t>
            </w:r>
          </w:p>
        </w:tc>
      </w:tr>
      <w:tr>
        <w:trPr>
          <w:cantSplit/>
        </w:trPr>
        <w:tc>
          <w:tcPr>
            <w:tcW w:type="dxa" w:w="4680"/>
            <w:tcMar>
              <w:top w:w="70" w:type="dxa"/>
              <w:start w:w="110" w:type="dxa"/>
              <w:bottom w:w="70" w:type="dxa"/>
              <w:end w:w="110" w:type="dxa"/>
            </w:tcMar>
            <w:shd w:fill="F4F6F7"/>
          </w:tcPr>
          <w:p>
            <w:pPr>
              <w:widowControl/>
              <w:spacing w:after="0"/>
            </w:pPr>
            <w:r>
              <w:rPr>
                <w:rFonts w:ascii="Arial" w:hAnsi="Arial"/>
                <w:sz w:val="17"/>
              </w:rPr>
              <w:t>6302.22.2020</w:t>
            </w:r>
          </w:p>
        </w:tc>
        <w:tc>
          <w:tcPr>
            <w:tcW w:type="dxa" w:w="4680"/>
            <w:tcMar>
              <w:top w:w="70" w:type="dxa"/>
              <w:start w:w="110" w:type="dxa"/>
              <w:bottom w:w="70" w:type="dxa"/>
              <w:end w:w="110" w:type="dxa"/>
            </w:tcMar>
            <w:shd w:fill="F4F6F7"/>
          </w:tcPr>
          <w:p>
            <w:pPr>
              <w:widowControl/>
              <w:spacing w:after="0"/>
            </w:pPr>
            <w:r>
              <w:rPr>
                <w:rFonts w:ascii="Arial" w:hAnsi="Arial"/>
                <w:sz w:val="17"/>
              </w:rPr>
              <w:t>SHEETS, NOT TRIMMED, PRINTED, MANMADE FIBER</w:t>
            </w:r>
          </w:p>
        </w:tc>
      </w:tr>
      <w:tr>
        <w:trPr>
          <w:cantSplit/>
        </w:trPr>
        <w:tc>
          <w:tcPr>
            <w:tcW w:type="dxa" w:w="4680"/>
            <w:tcMar>
              <w:top w:w="70" w:type="dxa"/>
              <w:start w:w="110" w:type="dxa"/>
              <w:bottom w:w="70" w:type="dxa"/>
              <w:end w:w="110" w:type="dxa"/>
            </w:tcMar>
          </w:tcPr>
          <w:p>
            <w:pPr>
              <w:widowControl/>
              <w:spacing w:after="0"/>
            </w:pPr>
            <w:r>
              <w:rPr>
                <w:rFonts w:ascii="Arial" w:hAnsi="Arial"/>
                <w:sz w:val="17"/>
              </w:rPr>
              <w:t>6302.22.2030</w:t>
            </w:r>
          </w:p>
        </w:tc>
        <w:tc>
          <w:tcPr>
            <w:tcW w:type="dxa" w:w="4680"/>
            <w:tcMar>
              <w:top w:w="70" w:type="dxa"/>
              <w:start w:w="110" w:type="dxa"/>
              <w:bottom w:w="70" w:type="dxa"/>
              <w:end w:w="110" w:type="dxa"/>
            </w:tcMar>
          </w:tcPr>
          <w:p>
            <w:pPr>
              <w:widowControl/>
              <w:spacing w:after="0"/>
            </w:pPr>
            <w:r>
              <w:rPr>
                <w:rFonts w:ascii="Arial" w:hAnsi="Arial"/>
                <w:sz w:val="17"/>
              </w:rPr>
              <w:t>OTHER BED LINEN, NOT TRIMMED, PRINTED, MANMADE FIBER</w:t>
            </w:r>
          </w:p>
        </w:tc>
      </w:tr>
      <w:tr>
        <w:trPr>
          <w:cantSplit/>
        </w:trPr>
        <w:tc>
          <w:tcPr>
            <w:tcW w:type="dxa" w:w="4680"/>
            <w:tcMar>
              <w:top w:w="70" w:type="dxa"/>
              <w:start w:w="110" w:type="dxa"/>
              <w:bottom w:w="70" w:type="dxa"/>
              <w:end w:w="110" w:type="dxa"/>
            </w:tcMar>
            <w:shd w:fill="F4F6F7"/>
          </w:tcPr>
          <w:p>
            <w:pPr>
              <w:widowControl/>
              <w:spacing w:after="0"/>
            </w:pPr>
            <w:r>
              <w:rPr>
                <w:rFonts w:ascii="Arial" w:hAnsi="Arial"/>
                <w:sz w:val="17"/>
              </w:rPr>
              <w:t>6302.32.1030</w:t>
            </w:r>
          </w:p>
        </w:tc>
        <w:tc>
          <w:tcPr>
            <w:tcW w:type="dxa" w:w="4680"/>
            <w:tcMar>
              <w:top w:w="70" w:type="dxa"/>
              <w:start w:w="110" w:type="dxa"/>
              <w:bottom w:w="70" w:type="dxa"/>
              <w:end w:w="110" w:type="dxa"/>
            </w:tcMar>
            <w:shd w:fill="F4F6F7"/>
          </w:tcPr>
          <w:p>
            <w:pPr>
              <w:widowControl/>
              <w:spacing w:after="0"/>
            </w:pPr>
            <w:r>
              <w:rPr>
                <w:rFonts w:ascii="Arial" w:hAnsi="Arial"/>
                <w:sz w:val="17"/>
              </w:rPr>
              <w:t>SHEETS WITH TRIM, NAPPED, MANMADE FIBER</w:t>
            </w:r>
          </w:p>
        </w:tc>
      </w:tr>
      <w:tr>
        <w:trPr>
          <w:cantSplit/>
        </w:trPr>
        <w:tc>
          <w:tcPr>
            <w:tcW w:type="dxa" w:w="4680"/>
            <w:tcMar>
              <w:top w:w="70" w:type="dxa"/>
              <w:start w:w="110" w:type="dxa"/>
              <w:bottom w:w="70" w:type="dxa"/>
              <w:end w:w="110" w:type="dxa"/>
            </w:tcMar>
          </w:tcPr>
          <w:p>
            <w:pPr>
              <w:widowControl/>
              <w:spacing w:after="0"/>
            </w:pPr>
            <w:r>
              <w:rPr>
                <w:rFonts w:ascii="Arial" w:hAnsi="Arial"/>
                <w:sz w:val="17"/>
              </w:rPr>
              <w:t>6302.32.1040</w:t>
            </w:r>
          </w:p>
        </w:tc>
        <w:tc>
          <w:tcPr>
            <w:tcW w:type="dxa" w:w="4680"/>
            <w:tcMar>
              <w:top w:w="70" w:type="dxa"/>
              <w:start w:w="110" w:type="dxa"/>
              <w:bottom w:w="70" w:type="dxa"/>
              <w:end w:w="110" w:type="dxa"/>
            </w:tcMar>
          </w:tcPr>
          <w:p>
            <w:pPr>
              <w:widowControl/>
              <w:spacing w:after="0"/>
            </w:pPr>
            <w:r>
              <w:rPr>
                <w:rFonts w:ascii="Arial" w:hAnsi="Arial"/>
                <w:sz w:val="17"/>
              </w:rPr>
              <w:t>SHEETS WITH TRIM, NOT NAPPED, MANMADE FIBER</w:t>
            </w:r>
          </w:p>
        </w:tc>
      </w:tr>
      <w:tr>
        <w:trPr>
          <w:cantSplit/>
        </w:trPr>
        <w:tc>
          <w:tcPr>
            <w:tcW w:type="dxa" w:w="4680"/>
            <w:tcMar>
              <w:top w:w="70" w:type="dxa"/>
              <w:start w:w="110" w:type="dxa"/>
              <w:bottom w:w="70" w:type="dxa"/>
              <w:end w:w="110" w:type="dxa"/>
            </w:tcMar>
            <w:shd w:fill="F4F6F7"/>
          </w:tcPr>
          <w:p>
            <w:pPr>
              <w:widowControl/>
              <w:spacing w:after="0"/>
            </w:pPr>
            <w:r>
              <w:rPr>
                <w:rFonts w:ascii="Arial" w:hAnsi="Arial"/>
                <w:sz w:val="17"/>
              </w:rPr>
              <w:t>6302.32.1050</w:t>
            </w:r>
          </w:p>
        </w:tc>
        <w:tc>
          <w:tcPr>
            <w:tcW w:type="dxa" w:w="4680"/>
            <w:tcMar>
              <w:top w:w="70" w:type="dxa"/>
              <w:start w:w="110" w:type="dxa"/>
              <w:bottom w:w="70" w:type="dxa"/>
              <w:end w:w="110" w:type="dxa"/>
            </w:tcMar>
            <w:shd w:fill="F4F6F7"/>
          </w:tcPr>
          <w:p>
            <w:pPr>
              <w:widowControl/>
              <w:spacing w:after="0"/>
            </w:pPr>
            <w:r>
              <w:rPr>
                <w:rFonts w:ascii="Arial" w:hAnsi="Arial"/>
                <w:sz w:val="17"/>
              </w:rPr>
              <w:t>BOLSTER CASES WITH TRIM, MANMADE FIBER</w:t>
            </w:r>
          </w:p>
        </w:tc>
      </w:tr>
      <w:tr>
        <w:trPr>
          <w:cantSplit/>
        </w:trPr>
        <w:tc>
          <w:tcPr>
            <w:tcW w:type="dxa" w:w="4680"/>
            <w:tcMar>
              <w:top w:w="70" w:type="dxa"/>
              <w:start w:w="110" w:type="dxa"/>
              <w:bottom w:w="70" w:type="dxa"/>
              <w:end w:w="110" w:type="dxa"/>
            </w:tcMar>
          </w:tcPr>
          <w:p>
            <w:pPr>
              <w:widowControl/>
              <w:spacing w:after="0"/>
            </w:pPr>
            <w:r>
              <w:rPr>
                <w:rFonts w:ascii="Arial" w:hAnsi="Arial"/>
                <w:sz w:val="17"/>
              </w:rPr>
              <w:t>6302.32.1060</w:t>
            </w:r>
          </w:p>
        </w:tc>
        <w:tc>
          <w:tcPr>
            <w:tcW w:type="dxa" w:w="4680"/>
            <w:tcMar>
              <w:top w:w="70" w:type="dxa"/>
              <w:start w:w="110" w:type="dxa"/>
              <w:bottom w:w="70" w:type="dxa"/>
              <w:end w:w="110" w:type="dxa"/>
            </w:tcMar>
          </w:tcPr>
          <w:p>
            <w:pPr>
              <w:widowControl/>
              <w:spacing w:after="0"/>
            </w:pPr>
            <w:r>
              <w:rPr>
                <w:rFonts w:ascii="Arial" w:hAnsi="Arial"/>
                <w:sz w:val="17"/>
              </w:rPr>
              <w:t>OTHER BED LINEN WITH TRIM, MANMADE FIBER</w:t>
            </w:r>
          </w:p>
        </w:tc>
      </w:tr>
      <w:tr>
        <w:trPr>
          <w:cantSplit/>
        </w:trPr>
        <w:tc>
          <w:tcPr>
            <w:tcW w:type="dxa" w:w="4680"/>
            <w:tcMar>
              <w:top w:w="70" w:type="dxa"/>
              <w:start w:w="110" w:type="dxa"/>
              <w:bottom w:w="70" w:type="dxa"/>
              <w:end w:w="110" w:type="dxa"/>
            </w:tcMar>
            <w:shd w:fill="F4F6F7"/>
          </w:tcPr>
          <w:p>
            <w:pPr>
              <w:widowControl/>
              <w:spacing w:after="0"/>
            </w:pPr>
            <w:r>
              <w:rPr>
                <w:rFonts w:ascii="Arial" w:hAnsi="Arial"/>
                <w:sz w:val="17"/>
              </w:rPr>
              <w:t>6302.32.2030</w:t>
            </w:r>
          </w:p>
        </w:tc>
        <w:tc>
          <w:tcPr>
            <w:tcW w:type="dxa" w:w="4680"/>
            <w:tcMar>
              <w:top w:w="70" w:type="dxa"/>
              <w:start w:w="110" w:type="dxa"/>
              <w:bottom w:w="70" w:type="dxa"/>
              <w:end w:w="110" w:type="dxa"/>
            </w:tcMar>
            <w:shd w:fill="F4F6F7"/>
          </w:tcPr>
          <w:p>
            <w:pPr>
              <w:widowControl/>
              <w:spacing w:after="0"/>
            </w:pPr>
            <w:r>
              <w:rPr>
                <w:rFonts w:ascii="Arial" w:hAnsi="Arial"/>
                <w:sz w:val="17"/>
              </w:rPr>
              <w:t>SHEETS, NOT TRIMMED, NAPPED, MANMADE FIBER</w:t>
            </w:r>
          </w:p>
        </w:tc>
      </w:tr>
      <w:tr>
        <w:trPr>
          <w:cantSplit/>
        </w:trPr>
        <w:tc>
          <w:tcPr>
            <w:tcW w:type="dxa" w:w="4680"/>
            <w:tcMar>
              <w:top w:w="70" w:type="dxa"/>
              <w:start w:w="110" w:type="dxa"/>
              <w:bottom w:w="70" w:type="dxa"/>
              <w:end w:w="110" w:type="dxa"/>
            </w:tcMar>
          </w:tcPr>
          <w:p>
            <w:pPr>
              <w:widowControl/>
              <w:spacing w:after="0"/>
            </w:pPr>
            <w:r>
              <w:rPr>
                <w:rFonts w:ascii="Arial" w:hAnsi="Arial"/>
                <w:sz w:val="17"/>
              </w:rPr>
              <w:t>6302.32.2040</w:t>
            </w:r>
          </w:p>
        </w:tc>
        <w:tc>
          <w:tcPr>
            <w:tcW w:type="dxa" w:w="4680"/>
            <w:tcMar>
              <w:top w:w="70" w:type="dxa"/>
              <w:start w:w="110" w:type="dxa"/>
              <w:bottom w:w="70" w:type="dxa"/>
              <w:end w:w="110" w:type="dxa"/>
            </w:tcMar>
          </w:tcPr>
          <w:p>
            <w:pPr>
              <w:widowControl/>
              <w:spacing w:after="0"/>
            </w:pPr>
            <w:r>
              <w:rPr>
                <w:rFonts w:ascii="Arial" w:hAnsi="Arial"/>
                <w:sz w:val="17"/>
              </w:rPr>
              <w:t>SHEETS NOT TRIMMED, NOT NAPPED, MANMADE FIBER</w:t>
            </w:r>
          </w:p>
        </w:tc>
      </w:tr>
      <w:tr>
        <w:trPr>
          <w:cantSplit/>
        </w:trPr>
        <w:tc>
          <w:tcPr>
            <w:tcW w:type="dxa" w:w="4680"/>
            <w:tcMar>
              <w:top w:w="70" w:type="dxa"/>
              <w:start w:w="110" w:type="dxa"/>
              <w:bottom w:w="70" w:type="dxa"/>
              <w:end w:w="110" w:type="dxa"/>
            </w:tcMar>
            <w:shd w:fill="F4F6F7"/>
          </w:tcPr>
          <w:p>
            <w:pPr>
              <w:widowControl/>
              <w:spacing w:after="0"/>
            </w:pPr>
            <w:r>
              <w:rPr>
                <w:rFonts w:ascii="Arial" w:hAnsi="Arial"/>
                <w:sz w:val="17"/>
              </w:rPr>
              <w:t>6302.32.2050</w:t>
            </w:r>
          </w:p>
        </w:tc>
        <w:tc>
          <w:tcPr>
            <w:tcW w:type="dxa" w:w="4680"/>
            <w:tcMar>
              <w:top w:w="70" w:type="dxa"/>
              <w:start w:w="110" w:type="dxa"/>
              <w:bottom w:w="70" w:type="dxa"/>
              <w:end w:w="110" w:type="dxa"/>
            </w:tcMar>
            <w:shd w:fill="F4F6F7"/>
          </w:tcPr>
          <w:p>
            <w:pPr>
              <w:widowControl/>
              <w:spacing w:after="0"/>
            </w:pPr>
            <w:r>
              <w:rPr>
                <w:rFonts w:ascii="Arial" w:hAnsi="Arial"/>
                <w:sz w:val="17"/>
              </w:rPr>
              <w:t>BOLSTER CASES, NOT TRIMMED, MANMADE FIBER</w:t>
            </w:r>
          </w:p>
        </w:tc>
      </w:tr>
      <w:tr>
        <w:trPr>
          <w:cantSplit/>
        </w:trPr>
        <w:tc>
          <w:tcPr>
            <w:tcW w:type="dxa" w:w="4680"/>
            <w:tcMar>
              <w:top w:w="70" w:type="dxa"/>
              <w:start w:w="110" w:type="dxa"/>
              <w:bottom w:w="70" w:type="dxa"/>
              <w:end w:w="110" w:type="dxa"/>
            </w:tcMar>
          </w:tcPr>
          <w:p>
            <w:pPr>
              <w:widowControl/>
              <w:spacing w:after="0"/>
            </w:pPr>
            <w:r>
              <w:rPr>
                <w:rFonts w:ascii="Arial" w:hAnsi="Arial"/>
                <w:sz w:val="17"/>
              </w:rPr>
              <w:t>6302.32.2060</w:t>
            </w:r>
          </w:p>
        </w:tc>
        <w:tc>
          <w:tcPr>
            <w:tcW w:type="dxa" w:w="4680"/>
            <w:tcMar>
              <w:top w:w="70" w:type="dxa"/>
              <w:start w:w="110" w:type="dxa"/>
              <w:bottom w:w="70" w:type="dxa"/>
              <w:end w:w="110" w:type="dxa"/>
            </w:tcMar>
          </w:tcPr>
          <w:p>
            <w:pPr>
              <w:widowControl/>
              <w:spacing w:after="0"/>
            </w:pPr>
            <w:r>
              <w:rPr>
                <w:rFonts w:ascii="Arial" w:hAnsi="Arial"/>
                <w:sz w:val="17"/>
              </w:rPr>
              <w:t>OTHER BED LINEN, MANMADE FIBER</w:t>
            </w:r>
          </w:p>
        </w:tc>
      </w:tr>
      <w:tr>
        <w:trPr>
          <w:cantSplit/>
        </w:trPr>
        <w:tc>
          <w:tcPr>
            <w:tcW w:type="dxa" w:w="4680"/>
            <w:tcMar>
              <w:top w:w="70" w:type="dxa"/>
              <w:start w:w="110" w:type="dxa"/>
              <w:bottom w:w="70" w:type="dxa"/>
              <w:end w:w="110" w:type="dxa"/>
            </w:tcMar>
            <w:shd w:fill="F4F6F7"/>
          </w:tcPr>
          <w:p>
            <w:pPr>
              <w:widowControl/>
              <w:spacing w:after="0"/>
            </w:pPr>
            <w:r>
              <w:rPr>
                <w:rFonts w:ascii="Arial" w:hAnsi="Arial"/>
                <w:sz w:val="17"/>
              </w:rPr>
              <w:t>6304.11.2000</w:t>
            </w:r>
          </w:p>
        </w:tc>
        <w:tc>
          <w:tcPr>
            <w:tcW w:type="dxa" w:w="4680"/>
            <w:tcMar>
              <w:top w:w="70" w:type="dxa"/>
              <w:start w:w="110" w:type="dxa"/>
              <w:bottom w:w="70" w:type="dxa"/>
              <w:end w:w="110" w:type="dxa"/>
            </w:tcMar>
            <w:shd w:fill="F4F6F7"/>
          </w:tcPr>
          <w:p>
            <w:pPr>
              <w:widowControl/>
              <w:spacing w:after="0"/>
            </w:pPr>
            <w:r>
              <w:rPr>
                <w:rFonts w:ascii="Arial" w:hAnsi="Arial"/>
                <w:sz w:val="17"/>
              </w:rPr>
              <w:t>BEDSPREADS, KNIT/CROCHETED, MANMADE FIBER</w:t>
            </w:r>
          </w:p>
        </w:tc>
      </w:tr>
      <w:tr>
        <w:trPr>
          <w:cantSplit/>
        </w:trPr>
        <w:tc>
          <w:tcPr>
            <w:tcW w:type="dxa" w:w="4680"/>
            <w:tcMar>
              <w:top w:w="70" w:type="dxa"/>
              <w:start w:w="110" w:type="dxa"/>
              <w:bottom w:w="70" w:type="dxa"/>
              <w:end w:w="110" w:type="dxa"/>
            </w:tcMar>
          </w:tcPr>
          <w:p>
            <w:pPr>
              <w:widowControl/>
              <w:spacing w:after="0"/>
            </w:pPr>
            <w:r>
              <w:rPr>
                <w:rFonts w:ascii="Arial" w:hAnsi="Arial"/>
                <w:sz w:val="17"/>
              </w:rPr>
              <w:t>6304.19.1500</w:t>
            </w:r>
          </w:p>
        </w:tc>
        <w:tc>
          <w:tcPr>
            <w:tcW w:type="dxa" w:w="4680"/>
            <w:tcMar>
              <w:top w:w="70" w:type="dxa"/>
              <w:start w:w="110" w:type="dxa"/>
              <w:bottom w:w="70" w:type="dxa"/>
              <w:end w:w="110" w:type="dxa"/>
            </w:tcMar>
          </w:tcPr>
          <w:p>
            <w:pPr>
              <w:widowControl/>
              <w:spacing w:after="0"/>
            </w:pPr>
            <w:r>
              <w:rPr>
                <w:rFonts w:ascii="Arial" w:hAnsi="Arial"/>
                <w:sz w:val="17"/>
              </w:rPr>
              <w:t>OTHER BEDSPREADS WITH TRIM, MANMADE FIBER</w:t>
            </w:r>
          </w:p>
        </w:tc>
      </w:tr>
      <w:tr>
        <w:trPr>
          <w:cantSplit/>
        </w:trPr>
        <w:tc>
          <w:tcPr>
            <w:tcW w:type="dxa" w:w="4680"/>
            <w:tcMar>
              <w:top w:w="70" w:type="dxa"/>
              <w:start w:w="110" w:type="dxa"/>
              <w:bottom w:w="70" w:type="dxa"/>
              <w:end w:w="110" w:type="dxa"/>
            </w:tcMar>
            <w:shd w:fill="F4F6F7"/>
          </w:tcPr>
          <w:p>
            <w:pPr>
              <w:widowControl/>
              <w:spacing w:after="0"/>
            </w:pPr>
            <w:r>
              <w:rPr>
                <w:rFonts w:ascii="Arial" w:hAnsi="Arial"/>
                <w:sz w:val="17"/>
              </w:rPr>
              <w:t>6304.19.2000</w:t>
            </w:r>
          </w:p>
        </w:tc>
        <w:tc>
          <w:tcPr>
            <w:tcW w:type="dxa" w:w="4680"/>
            <w:tcMar>
              <w:top w:w="70" w:type="dxa"/>
              <w:start w:w="110" w:type="dxa"/>
              <w:bottom w:w="70" w:type="dxa"/>
              <w:end w:w="110" w:type="dxa"/>
            </w:tcMar>
            <w:shd w:fill="F4F6F7"/>
          </w:tcPr>
          <w:p>
            <w:pPr>
              <w:widowControl/>
              <w:spacing w:after="0"/>
            </w:pPr>
            <w:r>
              <w:rPr>
                <w:rFonts w:ascii="Arial" w:hAnsi="Arial"/>
                <w:sz w:val="17"/>
              </w:rPr>
              <w:t>OTHER BEDSPREADS, MANMADE FIBER</w:t>
            </w:r>
          </w:p>
        </w:tc>
      </w:tr>
    </w:tbl>
    <w:p>
      <w:pPr>
        <w:widowControl/>
      </w:pPr>
      <w:r>
        <w:rPr>
          <w:b w:val="0"/>
        </w:rPr>
        <w:t>7. The primary unit of measure for the following tariff items in U.S. category 666 shall be NO and shall be converted into SME by a factor of 0.9:</w:t>
      </w:r>
    </w:p>
    <w:tbl>
      <w:tblPr>
        <w:tblStyle w:val="TableGrid"/>
        <w:tblW w:type="auto" w:w="0"/>
        <w:jc w:val="center"/>
        <w:tblLayout w:type="autofit"/>
        <w:tblLook w:firstColumn="1" w:firstRow="1" w:lastColumn="0" w:lastRow="0" w:noHBand="0" w:noVBand="1" w:val="04A0"/>
      </w:tblPr>
      <w:tblGrid>
        <w:gridCol w:w="4680"/>
        <w:gridCol w:w="4680"/>
      </w:tblGrid>
      <w:tr>
        <w:trPr>
          <w:tblHeader w:val="true"/>
          <w:cantSplit/>
          <w:tblHeader w:val="true"/>
        </w:trPr>
        <w:tc>
          <w:tcPr>
            <w:tcW w:type="dxa" w:w="4680"/>
            <w:shd w:fill="233746"/>
          </w:tcPr>
          <w:p>
            <w:pPr>
              <w:spacing w:after="0"/>
            </w:pPr>
            <w:r>
              <w:rPr>
                <w:rFonts w:ascii="Arial" w:hAnsi="Arial"/>
                <w:b/>
                <w:color w:val="FFFFFF"/>
                <w:sz w:val="17"/>
              </w:rPr>
              <w:t>Tariff Item</w:t>
            </w:r>
          </w:p>
        </w:tc>
        <w:tc>
          <w:tcPr>
            <w:tcW w:type="dxa" w:w="4680"/>
            <w:shd w:fill="233746"/>
          </w:tcPr>
          <w:p>
            <w:pPr>
              <w:spacing w:after="0"/>
            </w:pPr>
            <w:r>
              <w:rPr>
                <w:rFonts w:ascii="Arial" w:hAnsi="Arial"/>
                <w:b/>
                <w:color w:val="FFFFFF"/>
                <w:sz w:val="17"/>
              </w:rPr>
              <w:t>Description</w:t>
            </w:r>
          </w:p>
        </w:tc>
      </w:tr>
      <w:tr>
        <w:trPr>
          <w:cantSplit/>
        </w:trPr>
        <w:tc>
          <w:tcPr>
            <w:tcW w:type="dxa" w:w="4680"/>
            <w:tcMar>
              <w:top w:w="70" w:type="dxa"/>
              <w:start w:w="110" w:type="dxa"/>
              <w:bottom w:w="70" w:type="dxa"/>
              <w:end w:w="110" w:type="dxa"/>
            </w:tcMar>
          </w:tcPr>
          <w:p>
            <w:pPr>
              <w:widowControl/>
              <w:spacing w:after="0"/>
            </w:pPr>
            <w:r>
              <w:rPr>
                <w:rFonts w:ascii="Arial" w:hAnsi="Arial"/>
                <w:sz w:val="17"/>
              </w:rPr>
              <w:t>6302.22.1010</w:t>
            </w:r>
          </w:p>
        </w:tc>
        <w:tc>
          <w:tcPr>
            <w:tcW w:type="dxa" w:w="4680"/>
            <w:tcMar>
              <w:top w:w="70" w:type="dxa"/>
              <w:start w:w="110" w:type="dxa"/>
              <w:bottom w:w="70" w:type="dxa"/>
              <w:end w:w="110" w:type="dxa"/>
            </w:tcMar>
          </w:tcPr>
          <w:p>
            <w:pPr>
              <w:widowControl/>
              <w:spacing w:after="0"/>
            </w:pPr>
            <w:r>
              <w:rPr>
                <w:rFonts w:ascii="Arial" w:hAnsi="Arial"/>
                <w:sz w:val="17"/>
              </w:rPr>
              <w:t>PILLOWCASES WITH TRIM, PRINTED, NAPPED, MANMADE FIBER</w:t>
            </w:r>
          </w:p>
        </w:tc>
      </w:tr>
      <w:tr>
        <w:trPr>
          <w:cantSplit/>
        </w:trPr>
        <w:tc>
          <w:tcPr>
            <w:tcW w:type="dxa" w:w="4680"/>
            <w:tcMar>
              <w:top w:w="70" w:type="dxa"/>
              <w:start w:w="110" w:type="dxa"/>
              <w:bottom w:w="70" w:type="dxa"/>
              <w:end w:w="110" w:type="dxa"/>
            </w:tcMar>
            <w:shd w:fill="F4F6F7"/>
          </w:tcPr>
          <w:p>
            <w:pPr>
              <w:widowControl/>
              <w:spacing w:after="0"/>
            </w:pPr>
            <w:r>
              <w:rPr>
                <w:rFonts w:ascii="Arial" w:hAnsi="Arial"/>
                <w:sz w:val="17"/>
              </w:rPr>
              <w:t>6302.22.1020</w:t>
            </w:r>
          </w:p>
        </w:tc>
        <w:tc>
          <w:tcPr>
            <w:tcW w:type="dxa" w:w="4680"/>
            <w:tcMar>
              <w:top w:w="70" w:type="dxa"/>
              <w:start w:w="110" w:type="dxa"/>
              <w:bottom w:w="70" w:type="dxa"/>
              <w:end w:w="110" w:type="dxa"/>
            </w:tcMar>
            <w:shd w:fill="F4F6F7"/>
          </w:tcPr>
          <w:p>
            <w:pPr>
              <w:widowControl/>
              <w:spacing w:after="0"/>
            </w:pPr>
            <w:r>
              <w:rPr>
                <w:rFonts w:ascii="Arial" w:hAnsi="Arial"/>
                <w:sz w:val="17"/>
              </w:rPr>
              <w:t>PILLOWCASES WITH TRIM, PRINTED, NOT NAPPED, MANMADE FIBER</w:t>
            </w:r>
          </w:p>
        </w:tc>
      </w:tr>
      <w:tr>
        <w:trPr>
          <w:cantSplit/>
        </w:trPr>
        <w:tc>
          <w:tcPr>
            <w:tcW w:type="dxa" w:w="4680"/>
            <w:tcMar>
              <w:top w:w="70" w:type="dxa"/>
              <w:start w:w="110" w:type="dxa"/>
              <w:bottom w:w="70" w:type="dxa"/>
              <w:end w:w="110" w:type="dxa"/>
            </w:tcMar>
          </w:tcPr>
          <w:p>
            <w:pPr>
              <w:widowControl/>
              <w:spacing w:after="0"/>
            </w:pPr>
            <w:r>
              <w:rPr>
                <w:rFonts w:ascii="Arial" w:hAnsi="Arial"/>
                <w:sz w:val="17"/>
              </w:rPr>
              <w:t>6302.22.2010</w:t>
            </w:r>
          </w:p>
        </w:tc>
        <w:tc>
          <w:tcPr>
            <w:tcW w:type="dxa" w:w="4680"/>
            <w:tcMar>
              <w:top w:w="70" w:type="dxa"/>
              <w:start w:w="110" w:type="dxa"/>
              <w:bottom w:w="70" w:type="dxa"/>
              <w:end w:w="110" w:type="dxa"/>
            </w:tcMar>
          </w:tcPr>
          <w:p>
            <w:pPr>
              <w:widowControl/>
              <w:spacing w:after="0"/>
            </w:pPr>
            <w:r>
              <w:rPr>
                <w:rFonts w:ascii="Arial" w:hAnsi="Arial"/>
                <w:sz w:val="17"/>
              </w:rPr>
              <w:t>PILLOWCASES, NOT TRIMMED, PRINTED, MANMADE FIBER</w:t>
            </w:r>
          </w:p>
        </w:tc>
      </w:tr>
      <w:tr>
        <w:trPr>
          <w:cantSplit/>
        </w:trPr>
        <w:tc>
          <w:tcPr>
            <w:tcW w:type="dxa" w:w="4680"/>
            <w:tcMar>
              <w:top w:w="70" w:type="dxa"/>
              <w:start w:w="110" w:type="dxa"/>
              <w:bottom w:w="70" w:type="dxa"/>
              <w:end w:w="110" w:type="dxa"/>
            </w:tcMar>
            <w:shd w:fill="F4F6F7"/>
          </w:tcPr>
          <w:p>
            <w:pPr>
              <w:widowControl/>
              <w:spacing w:after="0"/>
            </w:pPr>
            <w:r>
              <w:rPr>
                <w:rFonts w:ascii="Arial" w:hAnsi="Arial"/>
                <w:sz w:val="17"/>
              </w:rPr>
              <w:t>6302.32.1010</w:t>
            </w:r>
          </w:p>
        </w:tc>
        <w:tc>
          <w:tcPr>
            <w:tcW w:type="dxa" w:w="4680"/>
            <w:tcMar>
              <w:top w:w="70" w:type="dxa"/>
              <w:start w:w="110" w:type="dxa"/>
              <w:bottom w:w="70" w:type="dxa"/>
              <w:end w:w="110" w:type="dxa"/>
            </w:tcMar>
            <w:shd w:fill="F4F6F7"/>
          </w:tcPr>
          <w:p>
            <w:pPr>
              <w:widowControl/>
              <w:spacing w:after="0"/>
            </w:pPr>
            <w:r>
              <w:rPr>
                <w:rFonts w:ascii="Arial" w:hAnsi="Arial"/>
                <w:sz w:val="17"/>
              </w:rPr>
              <w:t>PILLOWCASES WITH TRIM, NAPPED, MANMADE FIBER</w:t>
            </w:r>
          </w:p>
        </w:tc>
      </w:tr>
      <w:tr>
        <w:trPr>
          <w:cantSplit/>
        </w:trPr>
        <w:tc>
          <w:tcPr>
            <w:tcW w:type="dxa" w:w="4680"/>
            <w:tcMar>
              <w:top w:w="70" w:type="dxa"/>
              <w:start w:w="110" w:type="dxa"/>
              <w:bottom w:w="70" w:type="dxa"/>
              <w:end w:w="110" w:type="dxa"/>
            </w:tcMar>
          </w:tcPr>
          <w:p>
            <w:pPr>
              <w:widowControl/>
              <w:spacing w:after="0"/>
            </w:pPr>
            <w:r>
              <w:rPr>
                <w:rFonts w:ascii="Arial" w:hAnsi="Arial"/>
                <w:sz w:val="17"/>
              </w:rPr>
              <w:t>6302.32.1020</w:t>
            </w:r>
          </w:p>
        </w:tc>
        <w:tc>
          <w:tcPr>
            <w:tcW w:type="dxa" w:w="4680"/>
            <w:tcMar>
              <w:top w:w="70" w:type="dxa"/>
              <w:start w:w="110" w:type="dxa"/>
              <w:bottom w:w="70" w:type="dxa"/>
              <w:end w:w="110" w:type="dxa"/>
            </w:tcMar>
          </w:tcPr>
          <w:p>
            <w:pPr>
              <w:widowControl/>
              <w:spacing w:after="0"/>
            </w:pPr>
            <w:r>
              <w:rPr>
                <w:rFonts w:ascii="Arial" w:hAnsi="Arial"/>
                <w:sz w:val="17"/>
              </w:rPr>
              <w:t>PILLOWCASES WITH TRIM, NOT NAPPED, MANMADE FIBER</w:t>
            </w:r>
          </w:p>
        </w:tc>
      </w:tr>
      <w:tr>
        <w:trPr>
          <w:cantSplit/>
        </w:trPr>
        <w:tc>
          <w:tcPr>
            <w:tcW w:type="dxa" w:w="4680"/>
            <w:tcMar>
              <w:top w:w="70" w:type="dxa"/>
              <w:start w:w="110" w:type="dxa"/>
              <w:bottom w:w="70" w:type="dxa"/>
              <w:end w:w="110" w:type="dxa"/>
            </w:tcMar>
            <w:shd w:fill="F4F6F7"/>
          </w:tcPr>
          <w:p>
            <w:pPr>
              <w:widowControl/>
              <w:spacing w:after="0"/>
            </w:pPr>
            <w:r>
              <w:rPr>
                <w:rFonts w:ascii="Arial" w:hAnsi="Arial"/>
                <w:sz w:val="17"/>
              </w:rPr>
              <w:t>6302.32.2010</w:t>
            </w:r>
          </w:p>
        </w:tc>
        <w:tc>
          <w:tcPr>
            <w:tcW w:type="dxa" w:w="4680"/>
            <w:tcMar>
              <w:top w:w="70" w:type="dxa"/>
              <w:start w:w="110" w:type="dxa"/>
              <w:bottom w:w="70" w:type="dxa"/>
              <w:end w:w="110" w:type="dxa"/>
            </w:tcMar>
            <w:shd w:fill="F4F6F7"/>
          </w:tcPr>
          <w:p>
            <w:pPr>
              <w:widowControl/>
              <w:spacing w:after="0"/>
            </w:pPr>
            <w:r>
              <w:rPr>
                <w:rFonts w:ascii="Arial" w:hAnsi="Arial"/>
                <w:sz w:val="17"/>
              </w:rPr>
              <w:t>PILLOWCASES, NOT TRIMMED, NAPPED, MANMADE FIBER</w:t>
            </w:r>
          </w:p>
        </w:tc>
      </w:tr>
      <w:tr>
        <w:trPr>
          <w:cantSplit/>
        </w:trPr>
        <w:tc>
          <w:tcPr>
            <w:tcW w:type="dxa" w:w="4680"/>
            <w:tcMar>
              <w:top w:w="70" w:type="dxa"/>
              <w:start w:w="110" w:type="dxa"/>
              <w:bottom w:w="70" w:type="dxa"/>
              <w:end w:w="110" w:type="dxa"/>
            </w:tcMar>
          </w:tcPr>
          <w:p>
            <w:pPr>
              <w:widowControl/>
              <w:spacing w:after="0"/>
            </w:pPr>
            <w:r>
              <w:rPr>
                <w:rFonts w:ascii="Arial" w:hAnsi="Arial"/>
                <w:sz w:val="17"/>
              </w:rPr>
              <w:t>6302.32.2020</w:t>
            </w:r>
          </w:p>
        </w:tc>
        <w:tc>
          <w:tcPr>
            <w:tcW w:type="dxa" w:w="4680"/>
            <w:tcMar>
              <w:top w:w="70" w:type="dxa"/>
              <w:start w:w="110" w:type="dxa"/>
              <w:bottom w:w="70" w:type="dxa"/>
              <w:end w:w="110" w:type="dxa"/>
            </w:tcMar>
          </w:tcPr>
          <w:p>
            <w:pPr>
              <w:widowControl/>
              <w:spacing w:after="0"/>
            </w:pPr>
            <w:r>
              <w:rPr>
                <w:rFonts w:ascii="Arial" w:hAnsi="Arial"/>
                <w:sz w:val="17"/>
              </w:rPr>
              <w:t>PILLOWCASES NOT TRIMMED, NOT NAPPED, MANMADE FIBER</w:t>
            </w:r>
          </w:p>
        </w:tc>
      </w:tr>
    </w:tbl>
    <w:p>
      <w:pPr>
        <w:widowControl/>
      </w:pPr>
      <w:r>
        <w:rPr>
          <w:b w:val="0"/>
        </w:rPr>
        <w:t>8. The primary unit of measure for garment parts of subheadings 6117.90 and 6217.90 shall be KG and shall be converted into SME by applying the following factors:</w:t>
      </w:r>
    </w:p>
    <w:tbl>
      <w:tblPr>
        <w:tblStyle w:val="TableGrid"/>
        <w:tblW w:type="auto" w:w="0"/>
        <w:jc w:val="center"/>
        <w:tblLayout w:type="autofit"/>
        <w:tblLook w:firstColumn="1" w:firstRow="1" w:lastColumn="0" w:lastRow="0" w:noHBand="0" w:noVBand="1" w:val="04A0"/>
      </w:tblPr>
      <w:tblGrid>
        <w:gridCol w:w="4680"/>
        <w:gridCol w:w="4680"/>
      </w:tblGrid>
      <w:tr>
        <w:trPr>
          <w:tblHeader w:val="true"/>
          <w:cantSplit/>
          <w:tblHeader w:val="true"/>
        </w:trPr>
        <w:tc>
          <w:tcPr>
            <w:tcW w:type="dxa" w:w="4680"/>
            <w:shd w:fill="233746"/>
          </w:tcPr>
          <w:p>
            <w:pPr>
              <w:spacing w:after="0"/>
            </w:pPr>
            <w:r>
              <w:rPr>
                <w:rFonts w:ascii="Arial" w:hAnsi="Arial"/>
                <w:b/>
                <w:color w:val="FFFFFF"/>
                <w:sz w:val="17"/>
              </w:rPr>
              <w:t>Garment-Part Category</w:t>
            </w:r>
          </w:p>
        </w:tc>
        <w:tc>
          <w:tcPr>
            <w:tcW w:type="dxa" w:w="4680"/>
            <w:shd w:fill="233746"/>
          </w:tcPr>
          <w:p>
            <w:pPr>
              <w:spacing w:after="0"/>
            </w:pPr>
            <w:r>
              <w:rPr>
                <w:rFonts w:ascii="Arial" w:hAnsi="Arial"/>
                <w:b/>
                <w:color w:val="FFFFFF"/>
                <w:sz w:val="17"/>
              </w:rPr>
              <w:t>Conversion Factor</w:t>
            </w:r>
          </w:p>
        </w:tc>
      </w:tr>
      <w:tr>
        <w:trPr>
          <w:cantSplit/>
        </w:trPr>
        <w:tc>
          <w:tcPr>
            <w:tcW w:type="dxa" w:w="4680"/>
            <w:tcMar>
              <w:top w:w="70" w:type="dxa"/>
              <w:start w:w="110" w:type="dxa"/>
              <w:bottom w:w="70" w:type="dxa"/>
              <w:end w:w="110" w:type="dxa"/>
            </w:tcMar>
          </w:tcPr>
          <w:p>
            <w:pPr>
              <w:widowControl/>
              <w:spacing w:after="0"/>
            </w:pPr>
            <w:r>
              <w:rPr>
                <w:rFonts w:ascii="Arial" w:hAnsi="Arial"/>
                <w:sz w:val="17"/>
              </w:rPr>
              <w:t>Cotton apparel</w:t>
            </w:r>
          </w:p>
        </w:tc>
        <w:tc>
          <w:tcPr>
            <w:tcW w:type="dxa" w:w="4680"/>
            <w:tcMar>
              <w:top w:w="70" w:type="dxa"/>
              <w:start w:w="110" w:type="dxa"/>
              <w:bottom w:w="70" w:type="dxa"/>
              <w:end w:w="110" w:type="dxa"/>
            </w:tcMar>
          </w:tcPr>
          <w:p>
            <w:pPr>
              <w:widowControl/>
              <w:spacing w:after="0"/>
            </w:pPr>
            <w:r>
              <w:rPr>
                <w:rFonts w:ascii="Arial" w:hAnsi="Arial"/>
                <w:sz w:val="17"/>
              </w:rPr>
              <w:t>8.5</w:t>
            </w:r>
          </w:p>
        </w:tc>
      </w:tr>
      <w:tr>
        <w:trPr>
          <w:cantSplit/>
        </w:trPr>
        <w:tc>
          <w:tcPr>
            <w:tcW w:type="dxa" w:w="4680"/>
            <w:tcMar>
              <w:top w:w="70" w:type="dxa"/>
              <w:start w:w="110" w:type="dxa"/>
              <w:bottom w:w="70" w:type="dxa"/>
              <w:end w:w="110" w:type="dxa"/>
            </w:tcMar>
            <w:shd w:fill="F4F6F7"/>
          </w:tcPr>
          <w:p>
            <w:pPr>
              <w:widowControl/>
              <w:spacing w:after="0"/>
            </w:pPr>
            <w:r>
              <w:rPr>
                <w:rFonts w:ascii="Arial" w:hAnsi="Arial"/>
                <w:sz w:val="17"/>
              </w:rPr>
              <w:t>Wool apparel</w:t>
            </w:r>
          </w:p>
        </w:tc>
        <w:tc>
          <w:tcPr>
            <w:tcW w:type="dxa" w:w="4680"/>
            <w:tcMar>
              <w:top w:w="70" w:type="dxa"/>
              <w:start w:w="110" w:type="dxa"/>
              <w:bottom w:w="70" w:type="dxa"/>
              <w:end w:w="110" w:type="dxa"/>
            </w:tcMar>
            <w:shd w:fill="F4F6F7"/>
          </w:tcPr>
          <w:p>
            <w:pPr>
              <w:widowControl/>
              <w:spacing w:after="0"/>
            </w:pPr>
            <w:r>
              <w:rPr>
                <w:rFonts w:ascii="Arial" w:hAnsi="Arial"/>
                <w:sz w:val="17"/>
              </w:rPr>
              <w:t>3.7</w:t>
            </w:r>
          </w:p>
        </w:tc>
      </w:tr>
      <w:tr>
        <w:trPr>
          <w:cantSplit/>
        </w:trPr>
        <w:tc>
          <w:tcPr>
            <w:tcW w:type="dxa" w:w="4680"/>
            <w:tcMar>
              <w:top w:w="70" w:type="dxa"/>
              <w:start w:w="110" w:type="dxa"/>
              <w:bottom w:w="70" w:type="dxa"/>
              <w:end w:w="110" w:type="dxa"/>
            </w:tcMar>
          </w:tcPr>
          <w:p>
            <w:pPr>
              <w:widowControl/>
              <w:spacing w:after="0"/>
            </w:pPr>
            <w:r>
              <w:rPr>
                <w:rFonts w:ascii="Arial" w:hAnsi="Arial"/>
                <w:sz w:val="17"/>
              </w:rPr>
              <w:t>Manmade fiber apparel</w:t>
            </w:r>
          </w:p>
        </w:tc>
        <w:tc>
          <w:tcPr>
            <w:tcW w:type="dxa" w:w="4680"/>
            <w:tcMar>
              <w:top w:w="70" w:type="dxa"/>
              <w:start w:w="110" w:type="dxa"/>
              <w:bottom w:w="70" w:type="dxa"/>
              <w:end w:w="110" w:type="dxa"/>
            </w:tcMar>
          </w:tcPr>
          <w:p>
            <w:pPr>
              <w:widowControl/>
              <w:spacing w:after="0"/>
            </w:pPr>
            <w:r>
              <w:rPr>
                <w:rFonts w:ascii="Arial" w:hAnsi="Arial"/>
                <w:sz w:val="17"/>
              </w:rPr>
              <w:t>14.4</w:t>
            </w:r>
          </w:p>
        </w:tc>
      </w:tr>
      <w:tr>
        <w:trPr>
          <w:cantSplit/>
        </w:trPr>
        <w:tc>
          <w:tcPr>
            <w:tcW w:type="dxa" w:w="4680"/>
            <w:tcMar>
              <w:top w:w="70" w:type="dxa"/>
              <w:start w:w="110" w:type="dxa"/>
              <w:bottom w:w="70" w:type="dxa"/>
              <w:end w:w="110" w:type="dxa"/>
            </w:tcMar>
            <w:shd w:fill="F4F6F7"/>
          </w:tcPr>
          <w:p>
            <w:pPr>
              <w:widowControl/>
              <w:spacing w:after="0"/>
            </w:pPr>
            <w:r>
              <w:rPr>
                <w:rFonts w:ascii="Arial" w:hAnsi="Arial"/>
                <w:sz w:val="17"/>
              </w:rPr>
              <w:t>Other non-cotton vegetable fiber apparel</w:t>
            </w:r>
          </w:p>
        </w:tc>
        <w:tc>
          <w:tcPr>
            <w:tcW w:type="dxa" w:w="4680"/>
            <w:tcMar>
              <w:top w:w="70" w:type="dxa"/>
              <w:start w:w="110" w:type="dxa"/>
              <w:bottom w:w="70" w:type="dxa"/>
              <w:end w:w="110" w:type="dxa"/>
            </w:tcMar>
            <w:shd w:fill="F4F6F7"/>
          </w:tcPr>
          <w:p>
            <w:pPr>
              <w:widowControl/>
              <w:spacing w:after="0"/>
            </w:pPr>
            <w:r>
              <w:rPr>
                <w:rFonts w:ascii="Arial" w:hAnsi="Arial"/>
                <w:sz w:val="17"/>
              </w:rPr>
              <w:t>12.5</w:t>
            </w:r>
          </w:p>
        </w:tc>
      </w:tr>
    </w:tbl>
    <w:p>
      <w:bookmarkStart w:id="1071" w:name="_NAESTMA_TOC_1071"/>
      <w:pPr>
        <w:pStyle w:val="Heading1"/>
        <w:keepNext/>
        <w:keepLines w:val="0"/>
        <w:pageBreakBefore/>
        <w:widowControl/>
        <w:rPr/>
      </w:pPr>
      <w:bookmarkStart w:id="37" w:name="_Toc237912514"/>
      <w:r>
        <w:rPr/>
        <w:t>CHAPTER 7 CUSTOMS ADMINISTRATION AND TRADE FACILITATION Section A: Trade Facilitation</w:t>
      </w:r>
      <w:bookmarkEnd w:id="37"/>
      <w:bookmarkEnd w:id="1071"/>
    </w:p>
    <w:p>
      <w:pPr>
        <w:pStyle w:val="Normal"/>
        <w:widowControl/>
        <w:rPr/>
      </w:pPr>
      <w:r>
        <w:rPr/>
        <w:t>Article 7.1: Trade Facilitation 1. The Parties affirm their rights and obligations under the Agreement on Trade Facilitation, set out in Annex 1A to the WTO Agreement. 2. With a view to minimizing the costs incurred by traders through the importation, exportation, or transit of a good, each Party shall administer its customs procedures in a manner that facilitates the importation, exportation, or transit of a good, and supports compliance with its law. 3. The Parties shall discuss within the Trade Facilitation Committee established under Article 7.24 (Committee on Trade Facilitation) additional measures to facilitate trade. The Parties are encouraged to adopt additional measures that build on the obligations in this Chapter with a view to further facilitating trade.</w:t>
      </w:r>
    </w:p>
    <w:p>
      <w:pPr>
        <w:pStyle w:val="Normal"/>
        <w:keepNext w:val="true"/>
        <w:widowControl/>
        <w:rPr/>
      </w:pPr>
      <w:r>
        <w:rPr/>
        <w:t>Article 7.2: Online Publication Each Party shall make available on a free, publicly accessible website the following information and update such information as necessary: (a) an informational resource that describes the procedures and practical steps an interested person needs to follow for importation into, exportation from, or transit through the territory of the Party; (b) the documentation and data that it requires for importation into, exportation from, or transit through its territory; (c) its laws, regulations, and procedures for importation into, exportation from or transit through its territory; (d) web links to all current customs duties, taxes, fees, and charges it imposes on or in connection with importation, exportation, or transit, including when the fee or charge applies, and the amount or rate; (e) contact information for its enquiry point or points established or maintained pursuant to Article 7.4 (Enquiry Points); (f) its laws, regulations, and procedures for becoming a customs broker, for issuing customs broker licenses, and regarding the use of customs brokers;</w:t>
      </w:r>
    </w:p>
    <w:p>
      <w:pPr>
        <w:pStyle w:val="Normal"/>
        <w:widowControl/>
        <w:rPr/>
      </w:pPr>
      <w:r>
        <w:rPr/>
        <w:t>(g) informational resources that help an interested person understand their responsibilities when importing into, exporting from, or transiting goods through its territory, how to be compliant, and the benefits of compliance; and (h) procedures to correct an error in a customs transaction, including the information to submit and, if applicable, the circumstances when penalties will not be imposed.</w:t>
      </w:r>
    </w:p>
    <w:p>
      <w:pPr>
        <w:pStyle w:val="Normal"/>
        <w:keepNext w:val="true"/>
        <w:widowControl/>
        <w:rPr/>
      </w:pPr>
      <w:r>
        <w:rPr/>
        <w:t>Article 7.3: Communication with Traders 1. To the extent possible, in accordance with its law, each Party shall publish, in advance, regulations of general application governing trade and customs matters that it proposes to adopt and shall provide interested persons the opportunity to comment before the Party adopts such regulations. 2. Each Party shall adopt or maintain a mechanism to regularly communicate with traders within its territory on its procedures related to the importation, exportation, and transit of goods. These communications shall provide traders with an opportunity to raise emerging issues and provide their views to the customs administration on these procedures.</w:t>
      </w:r>
    </w:p>
    <w:p>
      <w:pPr>
        <w:pStyle w:val="Normal"/>
        <w:keepNext w:val="true"/>
        <w:widowControl/>
        <w:rPr/>
      </w:pPr>
      <w:r>
        <w:rPr/>
        <w:t>Article 7.4: Enquiry Points 1. Each Party shall establish or maintain one or more enquiry points to respond to enquiries by interested persons concerning importation, exportation, and transit procedures. 2. A Party shall not require the payment of a fee or charge for answering enquiries under paragraph 1.1 3. Each Party shall ensure that its enquiry points respond to enquiries within a reasonable period of time, which may vary depending on the nature or complexity of the request.</w:t>
      </w:r>
    </w:p>
    <w:p>
      <w:pPr>
        <w:pStyle w:val="Normal"/>
        <w:keepNext w:val="true"/>
        <w:widowControl/>
        <w:rPr/>
      </w:pPr>
      <w:r>
        <w:rPr/>
        <w:t>Article 7.5: Advance Rulings For greater certainty, a Party may require payment of a fee or charge with respect to other enquiries requiring document search, duplication, and review in connection with requests in accordance with its laws and regulations providing public access to government records. 1. Each Party shall, through its customs administration, issue a written advance ruling, prior to the importation of a good into its territory, that sets forth the treatment that the Party shall provide to the good at the time of importation. 2. Each Party shall allow an exporter, importer, producer, or any other person with a justifiable cause, or a representative thereof, to request a written advance ruling. 3. No Party shall as a condition for requesting an advance ruling, require an exporter or producer of another Party to establish or maintain a contractual or other relation with a person located in the territory of the importing Party. 4. Each Party shall issue advance rulings with regard to: (a) tariff classification;</w:t>
      </w:r>
    </w:p>
    <w:p>
      <w:pPr>
        <w:pStyle w:val="Normal"/>
        <w:widowControl/>
        <w:rPr/>
      </w:pPr>
      <w:r>
        <w:rPr/>
        <w:t>(b) the application of customs valuation criteria for a particular case in accordance with the Customs Valuation Agreement; (c) the origin of the good, including whether the good qualifies as an originating good under the terms of this Agreement; (d) whether a good is subject to a quota or a tariff-rate quota; and (e) other matters as the Parties may agree. 5.</w:t>
      </w:r>
    </w:p>
    <w:p>
      <w:pPr>
        <w:pStyle w:val="Normal"/>
        <w:widowControl/>
        <w:rPr/>
      </w:pPr>
      <w:r>
        <w:rPr/>
        <w:t>Each Party shall adopt or maintain uniform procedures throughout its territory for the issuance of advance rulings, including a detailed description of the information required to process an application for a ruling. 6. Each Party shall provide that its customs administration: (a) may, at any time during the course of an evaluation of a request for an advance ruling, request supplemental information from the person requesting the ruling or a sample of the good for which the advance ruling was requested; (b) in issuing an advance ruling, take into account the facts and circumstances provided by the person requesting that ruling; (c) issue the ruling as expeditiously as possible and in no case later than 120 days after it has obtained all necessary information from the person requesting an advance ruling; and (d) provide to that person a full explanation of the reasons for the ruling. 7.</w:t>
      </w:r>
    </w:p>
    <w:p>
      <w:pPr>
        <w:pStyle w:val="Normal"/>
        <w:widowControl/>
        <w:rPr/>
      </w:pPr>
      <w:r>
        <w:rPr/>
        <w:t>Each Party shall provide that its advance rulings take effect on the date that they are issued or on a later date specified in the ruling, and remain in effect unless the advance ruling is modified or revoked. 8. Each Party shall provide to a person requesting an advance ruling the same treatment, including the same interpretation and application of provisions of Chapter 4 (Rules of Origin) regarding a determination of origin, as it provided to any other person to whom it issued an advance ruling, provided that the facts and circumstances are identical in all material respects. 9.</w:t>
      </w:r>
    </w:p>
    <w:p>
      <w:pPr>
        <w:pStyle w:val="Normal"/>
        <w:widowControl/>
        <w:rPr/>
      </w:pPr>
      <w:r>
        <w:rPr/>
        <w:t>An advance ruling issued by a Party shall apply throughout its territory to the person to whom the ruling is issued. 10. After issuing an advance ruling, the issuing Party may modify or revoke the advance ruling if there is a change in the law, facts, or circumstances on which the ruling was based, or if the ruling was based on inaccurate or false information, or on an error. 11. A Party may decline to issue an advance ruling if the facts and circumstances forming the basis of the advance ruling are the subject of a post clearance audit or an administrative, judicial, or quasi-judicial review or appeal. A Party that declines to issue an advance ruling shall promptly notify, in writing, the person requesting the ruling, setting out the relevant facts and circumstances and the basis for its decision. 12.</w:t>
      </w:r>
    </w:p>
    <w:p>
      <w:pPr>
        <w:pStyle w:val="Normal"/>
        <w:widowControl/>
        <w:rPr/>
      </w:pPr>
      <w:r>
        <w:rPr/>
        <w:t>No Party shall apply retroactively a revocation or modification to the detriment of the requester unless the person to whom the advance ruling was issued has not acted in accordance with its terms and conditions or the ruling was based on inaccurate or false information provided by the requester. 13. Each Party shall provide that, unless it retroactively applies a modification or revocation as described in paragraph 12, any modification or revocation of an advance ruling shall be effective on the date on which the modification or revocation is issued, or on such later date as may be specified therein. 14.</w:t>
      </w:r>
    </w:p>
    <w:p>
      <w:pPr>
        <w:pStyle w:val="Normal"/>
        <w:widowControl/>
        <w:rPr/>
      </w:pPr>
      <w:r>
        <w:rPr/>
        <w:t>The issuing Party shall postpone the effective date of such modification or revocation for a period not exceeding 90 days if the person to whom the advance ruling was issued demonstrates that it has relied in good faith to its detriment on that ruling. 15. Each Party shall, in accordance with its laws, regulations, and procedures, make its advance rulings, complete or redacted, available on a free, publicly accessible website.</w:t>
      </w:r>
    </w:p>
    <w:p>
      <w:pPr>
        <w:pStyle w:val="Normal"/>
        <w:keepNext w:val="true"/>
        <w:widowControl/>
        <w:rPr/>
      </w:pPr>
      <w:r>
        <w:rPr/>
        <w:t>Article 7.6: Advice or Information Regarding Duty Drawback or Duty Deferral Programs Upon request from an importer in its territory, or an exporter or producer in the territory of another Party, a Party shall, within a reasonable timeframe, provide advice or information relevant to the facts contained in the request on the application of duty drawback or duty deferral programs that reduce, refund, or waive customs duties.</w:t>
      </w:r>
    </w:p>
    <w:p>
      <w:pPr>
        <w:pStyle w:val="Normal"/>
        <w:keepNext w:val="true"/>
        <w:widowControl/>
        <w:rPr/>
      </w:pPr>
      <w:r>
        <w:rPr/>
        <w:t>Article 7.7: Release of Goods 1. Each Party shall adopt or maintain simplified customs procedures for the efficient release of goods in order to facilitate trade between the Parties. 2. Pursuant to paragraph 1, each Party shall adopt or maintain procedures that: (a) provide for the immediate release of goods upon receipt of the customs declaration and fulfillment of all applicable requirements and procedures; (b) provide for the electronic submission and processing of documentation and data, including manifests, in advance of the arrival of the goods in order to expedite the release of goods from customs control upon arrival; (c) allow goods to be released at the point of arrival without requiring temporary transfer to warehouses or other facilities; and (d) require that the importer be informed if a Party does not promptly release goods, including, to the extent permitted by its law, the reasons why the goods are not released and which border agency, if not the customs administration, has withheld release of the goods. 3.</w:t>
      </w:r>
    </w:p>
    <w:p>
      <w:pPr>
        <w:pStyle w:val="Normal"/>
        <w:widowControl/>
        <w:rPr/>
      </w:pPr>
      <w:r>
        <w:rPr/>
        <w:t>Each Party shall adopt or maintain procedures that provide for the release of goods prior to a final determination and payment of any customs duties, taxes, fees, and charges imposed on or in connection with importation of the goods, when these are not determined prior to or promptly upon arrival, provided that the goods are otherwise eligible for release and any security required by the importing Party has been provided. 4.</w:t>
      </w:r>
    </w:p>
    <w:p>
      <w:pPr>
        <w:pStyle w:val="Normal"/>
        <w:widowControl/>
        <w:rPr/>
      </w:pPr>
      <w:r>
        <w:rPr/>
        <w:t>If a Party allows for the release of goods conditioned on a security, it shall adopt or maintain procedures that: (a) ensure that the amount of the security is no greater than that required to ensure that obligations arising from the importation of the goods will be fulfilled; (b) ensure that the security shall be discharged as soon as possible after its customs administration is satisfied that the obligations arising from the importation of the goods have been fulfilled or, for instruments covering multiple entries, until it is no longer required by the customs administration; and (c) allow an importer to provide security using a non-cash financial instrument, including, if applicable, when an importer frequently enters goods, an instrument covering multiple entries. 5. Nothing in this Article requires a Party to release a good if its requirements for release have not been met nor prevents a Party from liquidating a security in accordance with its law. 6.</w:t>
      </w:r>
    </w:p>
    <w:p>
      <w:pPr>
        <w:pStyle w:val="Normal"/>
        <w:widowControl/>
        <w:rPr/>
      </w:pPr>
      <w:r>
        <w:rPr/>
        <w:t>Each Party shall allow, to the extent practicable, goods intended for import to be moved within its territory under customs control from the point of entry into the Party’s territory to another customs office in its territory from where the goods are intended to be released, provided the applicable regulatory requirements are met.</w:t>
      </w:r>
    </w:p>
    <w:p>
      <w:pPr>
        <w:pStyle w:val="Normal"/>
        <w:keepNext w:val="true"/>
        <w:widowControl/>
        <w:rPr/>
      </w:pPr>
      <w:r>
        <w:rPr/>
        <w:t>Article 7.8: Express Shipments 1. Each Party shall adopt or maintain specific expedited customs procedures for express shipments while maintaining appropriate customs controls. These procedures shall: (a) provide for information required to release an express shipment to be submitted and processed before the shipment arrives; (b) allow a single submission of information, such as a manifest, covering all goods contained in an express shipment, through, if possible, electronic means; (c) expedite the release of these shipments based on, to the extent possible, minimum documentation or a single submission of information; (d) provide for these shipments, under normal circumstances, to be released immediately after arrival, provided that all required documentation and data are submitted;</w:t>
      </w:r>
    </w:p>
    <w:p>
      <w:pPr>
        <w:pStyle w:val="Normal"/>
        <w:widowControl/>
        <w:rPr/>
      </w:pPr>
      <w:r>
        <w:rPr/>
        <w:t>(e) apply to shipments of any weight or value, recognizing that a Party may require formal entry procedures as a condition for release, including a declaration and supporting documentation and payment of customs duties, based on the good’s weight or value; and (f) provide that, under normal circumstances, no customs duties or taxes will be assessed at the time or point of importation or formal entry procedures required,2 on express shipments of a Party valued at or below a fixed amount set out under For greater certainty, this subparagraph shall not prevent a Party from requiring informal entry procedures, including applicable supporting documents.</w:t>
      </w:r>
    </w:p>
    <w:p>
      <w:pPr>
        <w:pStyle w:val="Normal"/>
        <w:widowControl/>
        <w:rPr/>
      </w:pPr>
      <w:r>
        <w:rPr/>
        <w:t>the Party’s law, provided that the shipment does not form part of a series of shipments carried out or planned for the purpose of evading duties or taxes, or avoiding any regulation applicable to the formal entry procedures required by the importing Party. The fixed amount set out under the Party’s law shall be at least3: (i) for the United States, US$800, (ii) for Mexico, US$117 for customs duties and US$50 for taxes, and (iii) for Canada, C$150 for customs duties and C$40 for taxes. For these shipments, each Party shall allow for the periodic assessment and payment of duties and taxes applicable at the time or point of importation. 2.</w:t>
      </w:r>
    </w:p>
    <w:p>
      <w:pPr>
        <w:pStyle w:val="Normal"/>
        <w:widowControl/>
        <w:rPr/>
      </w:pPr>
      <w:r>
        <w:rPr/>
        <w:t>Each Party shall adopt or maintain procedures that apply fewer customs formalities than those applied under formal entry procedures, to shipments valued at less than CAD$3,300 for Canada and US$2,500 for the United States and Mexico, provided that the shipments do not form part of a series of importations that may be reasonably considered to have been undertaken or arranged for the purpose of avoiding compliance by an importer with the importing Party’s laws, regulations, or procedures related to formal entry. 3. Nothing in this Article prevents a Party from requiring the necessary information and documents as a condition for the release of goods, and from assessing customs duties or taxes for restricted or controlled goods.</w:t>
      </w:r>
    </w:p>
    <w:p>
      <w:pPr>
        <w:pStyle w:val="Normal"/>
        <w:keepNext w:val="true"/>
        <w:widowControl/>
        <w:rPr/>
      </w:pPr>
      <w:r>
        <w:rPr/>
        <w:t>Article 7.9: Use of Information Technology Each Party shall: (a) use information technology that expedites procedures for the release of goods; (b) make available by electronic means any declaration or other form that is required for import, export, or transit of goods through its territory; (c) allow a customs declaration and related documentation to be submitted in electronic format; Notwithstanding the amounts set out under this subparagraph, a Party may impose a reciprocal amount that is lower for shipments from another Party if the amount provided for under that other Party’s law is lower than that of the Party. (d) make electronic systems accessible to importers, exporters, persons engaged in the transit of goods through its territory, and other customs users in order to submit and receive information; (e) promote the use of its electronic systems to facilitate the communication between traders and its customs administration and other related agencies;</w:t>
      </w:r>
    </w:p>
    <w:p>
      <w:pPr>
        <w:pStyle w:val="Normal"/>
        <w:widowControl/>
        <w:rPr/>
      </w:pPr>
      <w:r>
        <w:rPr/>
        <w:t>(f) adopt or maintain procedures allowing for the electronic payment of customs duties, taxes, fees, or charges imposed on or in connection with importation or exportation and collected by customs and other related agencies; (g) use electronic risk management systems in accordance with Article 7.12 (Risk Management); and (h) endeavor to allow an importer, through its electronic systems, to correct multiple import declarations previously submitted to the Party involving the same issue through a single submission.</w:t>
      </w:r>
    </w:p>
    <w:p>
      <w:pPr>
        <w:pStyle w:val="Normal"/>
        <w:keepNext w:val="true"/>
        <w:widowControl/>
        <w:rPr/>
      </w:pPr>
      <w:r>
        <w:rPr/>
        <w:t>Article 7.10: Single Window 1. Each Party shall establish or maintain a single window system that enables the electronic submission through a single entry point of the documentation and data the Party requires for importation into its territory. 2. Each Party shall review the operations of its single window system with a view to expanding its functionality to cover all its import, export, and transit transactions. 3. Each Party shall, in a timely manner, inform a person that is using its single window system of the status of the release of goods, through the single window system. 4. If a Party receives documentation or data for a good or shipment of goods through its single window system, the Party shall not request the same documentation or data for that good or shipment of goods, except in urgent circumstances or pursuant to other limited exceptions set out in its laws, regulations, or procedures. Each Party shall minimize the extent to which paper documents are required if electronic copies are provided. 5.</w:t>
      </w:r>
    </w:p>
    <w:p>
      <w:pPr>
        <w:pStyle w:val="Normal"/>
        <w:widowControl/>
        <w:rPr/>
      </w:pPr>
      <w:r>
        <w:rPr/>
        <w:t>In building and maintaining its single window system, each Party shall: (a) incorporate, as appropriate, the World Customs Organization Data Model for data elements; (b) endeavor to implement standards and data elements for import, export, and transit that are the same as the other Parties’ single window system; and (c) on an ongoing basis, streamline its single window system, including by adding functionality to facilitate trade, improve transparency, and reduce release times and costs. 6. In implementing paragraph 5, the Parties shall: (a) share with each other their respective experiences in developing and maintaining their single window system; and (b) work towards a harmonization, to the extent possible, of data elements and customs processes that facilitate use of a single transmission of information to both the exporting and importing Party.</w:t>
      </w:r>
    </w:p>
    <w:p>
      <w:pPr>
        <w:pStyle w:val="Normal"/>
        <w:keepNext w:val="true"/>
        <w:widowControl/>
        <w:rPr/>
      </w:pPr>
      <w:r>
        <w:rPr/>
        <w:t>Article 7.11: Transparency, Predictability, and Consistency in Customs Procedures 1. Each Party shall apply its customs procedures related to the importation, exportation, and transit of goods in a manner that is transparent, predictable, and consistent throughout its territory. 2. Nothing in this Article prevents a Party from differentiating its import, export, and transit procedures, and documentation and data requirements: (a) based on the nature and type of goods, or their means of transport; (b) based on risk management; (c) to provide total or partial exemption to a good from customs duties, taxes, fees, or charges; (d) to allow electronic filing, processing or payment; or (e) in a manner consistent with Chapter 9 (Sanitary and Phytosanitary Measures) and the SPS Agreement. 3. Each Party shall review its import, export, and transit procedures, and documentation and data requirements, and, based on the results of the review, ensure, as appropriate, that these procedures and requirements are: (a) adopted and applied with a view to a rapid release of goods;</w:t>
      </w:r>
    </w:p>
    <w:p>
      <w:pPr>
        <w:pStyle w:val="Normal"/>
        <w:widowControl/>
        <w:rPr/>
      </w:pPr>
      <w:r>
        <w:rPr/>
        <w:t>(b) adopted and applied in a manner that aims at reducing the time, administrative burden, and cost of compliance with those procedures and those documentation and data requirements; (c) the least trade restrictive, if two or more alternative measures are reasonably available to fulfil the Party’s policy objectives; and (d) not maintained, including parts thereof, if no longer required to fulfil the Party’s policy</w:t>
      </w:r>
    </w:p>
    <w:p>
      <w:pPr>
        <w:pStyle w:val="Normal"/>
        <w:widowControl/>
        <w:rPr/>
      </w:pPr>
      <w:r>
        <w:rPr/>
        <w:t>objectives. 4. If a Party holds the original paper version of a document submitted for the importation into, exportation from, or transit through its territory, the Party shall not require an additional submission of the same document. 5. Each Party shall take into consideration, to the extent practicable and appropriate, relevant international standards and international trade instruments for the development of its customs procedures related to the importation, exportation and transit of goods. 6. Each Party shall adopt or maintain measures with a view to ensuring consistency and predictability for traders throughout its territory in the application of its customs procedures, including determinations on tariff classification and customs valuation of goods. These measures may include training of customs officials or issuing documents that serve to guide customs officials. If an inconsistency in the application of its customs procedures, including determinations on tariff classification or customs valuation of goods, is discovered, the Party shall seek to resolve the inconsistency, if practicable.</w:t>
      </w:r>
    </w:p>
    <w:p>
      <w:pPr>
        <w:pStyle w:val="Normal"/>
        <w:keepNext w:val="true"/>
        <w:widowControl/>
        <w:rPr/>
      </w:pPr>
      <w:r>
        <w:rPr/>
        <w:t>Article 7.12: Risk Management 1. Each Party shall maintain a risk management system for assessment and targeting that enables its customs administration, and other agencies involved in the process for cross border trade, to focus inspection activities on high-risk goods and that simplifies the release and movement of low-risk goods. 2. Each Party shall base risk management on assessment of risk through appropriate selectivity criteria. 3. Each Party shall design and apply risk management in a manner as to avoid arbitrary or unjustifiable discrimination, or disguised restrictions on international trade. 4. In order to facilitate trade, each Party shall periodically review and update, as appropriate, its risk management system. 5. The Parties shall work towards strengthening their respective assessment of risk through improvements in compatibility of risk analysis and risk targeting systems, as appropriate.</w:t>
      </w:r>
    </w:p>
    <w:p>
      <w:pPr>
        <w:pStyle w:val="Normal"/>
        <w:keepNext w:val="true"/>
        <w:widowControl/>
        <w:rPr/>
      </w:pPr>
      <w:r>
        <w:rPr/>
        <w:t>Article 7.13: Post-Clearance Audit 1. With a view to expediting the release of goods, each Party shall adopt or maintain post- clearance audit to ensure compliance with its customs and related laws and regulations. 2. Each Party shall conduct post-clearance audits in a risk-based manner. 3. Each Party shall conduct post-clearance audits in a transparent manner. If an audit is conducted and conclusive results have been achieved, the Party shall, without delay, notify the person whose records are audited of the audit results, the basis of the results, and the audited person’s rights and obligations. 4. The Parties acknowledge that the information obtained in a post-clearance audit may be used in further administrative, quasi-judicial, or judicial proceedings. 5. Each Party shall, whenever practicable, use the result of post-clearance audit in applying risk management. 6. Each Party shall conduct a post-clearance audit in a manner that informs the trader with respect to laws, regulations, and procedures and promotes future compliance. 7. Each Party shall provide in its laws or regulations a fixed and finite period with respect to record-keeping obligations.</w:t>
      </w:r>
    </w:p>
    <w:p>
      <w:pPr>
        <w:pStyle w:val="Normal"/>
        <w:keepNext w:val="true"/>
        <w:widowControl/>
        <w:rPr/>
      </w:pPr>
      <w:r>
        <w:rPr/>
        <w:t>Article 7.14: Authorized Economic Operator – AEO 1. Each Party shall maintain a trade facilitation partnership program for operators who meet specified security criteria, hereinafter, referred to as Authorized Economic Operator (AEO) programs, in accordance with the Framework of Standards to Secure and Facilitate Global Trade of the World Customs Organization. 2. The Parties shall endeavor to cooperate by: (a) exchanging experiences on the operation of and improvements to their respective AEO programs, seeking to adopt, if appropriate, best practices; (b) exchanging information with each other on the operators authorized by each program, in accordance with each Party’s law and established processes; and (c) collaborating in the identification and implementation of trade facilitation benefits for operators authorized by the other Parties.</w:t>
      </w:r>
    </w:p>
    <w:p>
      <w:pPr>
        <w:pStyle w:val="Normal"/>
        <w:keepNext w:val="true"/>
        <w:widowControl/>
        <w:rPr/>
      </w:pPr>
      <w:r>
        <w:rPr/>
        <w:t>Article 7.15: Review and Appeal of Customs Determinations 1. With a view to providing effective, impartial, and easily accessible procedures for review and appeal of administrative determinations on customs matters, each Party shall ensure that any person to whom a customs administration issues a determination has access to: (a) an administrative appeal or a review of the determination by an administrative authority higher than or independent of the employee or office that issued the determination; and (b) a quasi-judicial or judicial review or appeal of the determination or decision made at the final level of an administrative review. 2. Each Party shall provide a person to whom it issues an administrative determination with the reasons for the administrative determination and access to information on how to request reviews and appeals. 3. Each Party shall ensure that an authority conducting a review or appeal under paragraph 1 notifies the person in writing of its determination or decision in the review or appeal, and the reasons for the determination or decision. 4.</w:t>
      </w:r>
    </w:p>
    <w:p>
      <w:pPr>
        <w:pStyle w:val="Normal"/>
        <w:widowControl/>
        <w:rPr/>
      </w:pPr>
      <w:r>
        <w:rPr/>
        <w:t>Each Party shall ensure that if a person receives a determination or decision on an administrative, quasi-judicial, or judicial review or appeal as provided under paragraph 1, that determination or decision shall be applicable in the same manner throughout the territory of the Party with respect to that person. 5.</w:t>
      </w:r>
    </w:p>
    <w:p>
      <w:pPr>
        <w:pStyle w:val="Normal"/>
        <w:widowControl/>
        <w:rPr/>
      </w:pPr>
      <w:r>
        <w:rPr/>
        <w:t>With a view to ensuring predictability for traders and consistent application of its customs laws, regulations, and procedural requirements, each Party is encouraged to apply determinations or decisions of administrative, quasi-judicial, and judicial authorities under paragraph 1 to the practices of its customs administration throughout its territory. 6. Each Party shall endeavor to allow a trader to file a request for administrative review or appeal to be conducted by the customs administration through electronic means.</w:t>
      </w:r>
    </w:p>
    <w:p>
      <w:pPr>
        <w:pStyle w:val="Normal"/>
        <w:keepNext w:val="true"/>
        <w:widowControl/>
        <w:rPr/>
      </w:pPr>
      <w:r>
        <w:rPr/>
        <w:t>Article 7.16: Administrative Guidance 1. Each Party shall adopt or maintain an administrative procedure by which a customs office in its territory may request the appropriate authority of the customs administration to provide guidance as to the proper application of laws, regulations, and procedures for importation into, exportation from, or transit through its territory with respect to a specific customs transaction, regardless of whether the transaction is prospective, pending, or has been completed. A customs office shall request guidance under this administrative procedure on its own initiative or at the written request of an importer or exporter in its territory, or a representative thereof. 2. The appropriate authority of a Party shall provide guidance in response to a request under paragraph 1 if the customs treatment applied or proposed to be applied by the customs office to the transaction is inconsistent with the customs treatment provided with respect to transactions that are identical in all material respects, including by another customs office in the territory of the Party. 3. Each Party shall make available to the public on a free, publicly accessible website the procedures, including any forms, for requesting guidance under paragraph 1. 4.</w:t>
      </w:r>
    </w:p>
    <w:p>
      <w:pPr>
        <w:pStyle w:val="Normal"/>
        <w:widowControl/>
        <w:rPr/>
      </w:pPr>
      <w:r>
        <w:rPr/>
        <w:t>Each Party shall allow an importer or exporter to whom a request under paragraph 1 relates an opportunity to submit written views and information to the appropriate authority of the customs administration before it issues guidance in response to a request. 5. Guidance in response to a request under paragraph 1 shall be taken into account by the customs office with respect to the transaction that is the subject of the request, provided that there is not a ruling or determination issued on the transaction and the facts and circumstances remain the same. 6. Nothing in this Article requires the appropriate authority of the customs administration to provide guidance on transactions for which a determination has been made, or for which a determination has been applied consistently throughout its territory; on transactions for which a determination is pending; if an importer or exporter has requested a ruling or has received a ruling that has been applied consistently throughout its territory; or on transactions for which a determination or ruling is being reviewed.</w:t>
      </w:r>
    </w:p>
    <w:p>
      <w:pPr>
        <w:pStyle w:val="Normal"/>
        <w:keepNext w:val="true"/>
        <w:widowControl/>
        <w:rPr/>
      </w:pPr>
      <w:r>
        <w:rPr/>
        <w:t>Article 7.17: Transit 1. Goods (including baggage), and also vessels and other means of transport, shall be deemed to be in transit across the territory of a Party when the passage across the territory, with or without trans-shipment, warehousing, breaking bulk, or change in the mode of transport, is only a portion of a complete journey beginning and terminating beyond the frontier of the Party across whose territory the traffic passes. Traffic of this nature is termed for purposes of this Article as “traffic in transit.” 2. This Article does not apply to the operation of aircraft in transit, but applies to air transit of goods (including baggage). 3. Each Party’s formalities, documentation requirements, and customs controls in connection with traffic in transit shall not be more burdensome than necessary to: (a) identify the goods in transit; and (b) ensure that the Party’s transit requirements have been met. 4.</w:t>
      </w:r>
    </w:p>
    <w:p>
      <w:pPr>
        <w:pStyle w:val="Normal"/>
        <w:widowControl/>
        <w:rPr/>
      </w:pPr>
      <w:r>
        <w:rPr/>
        <w:t>After a Party has authorized the goods to proceed from the point of entry through a Party’s territory, the Party shall not apply customs charges or customs procedures, or conduct inspections, other than those necessary for specific law enforcement purposes under its law with respect to that traffic in transit, until the goods arrive at the point of exit from its territory. 5. Each Party shall provide for advance filing and processing of documentation and data required for transit prior to the arrival of goods. 6.</w:t>
      </w:r>
    </w:p>
    <w:p>
      <w:pPr>
        <w:pStyle w:val="Normal"/>
        <w:widowControl/>
        <w:rPr/>
      </w:pPr>
      <w:r>
        <w:rPr/>
        <w:t>Once traffic in transit has reached the point of exit from the territory of a Party and transit requirements have been met, the Party shall promptly terminate the transit operation. 7. A Party may require a guarantee or other security for traffic in transit, provided the use of the guarantee is limited to ensuring that obligations arising from such traffic in transit are fulfilled. 8. If a guarantee covers a transit operation, a Party shall allow use of a comprehensive guarantee that covers multiple transactions by the same operator. 9. If a Party requires a guarantee for traffic in transit, it shall discharge the guarantee without delay once it determines that its transit requirements have been satisfied. 10. Each Party shall publish information on how it sets the amount of a guarantee for traffic in transit. 11. If a Party limits the time for transiting its territory, it shall ensure that the time it allows is sufficient to accomplish the transit operation. 12. A Party shall not require the use of customs convoys or customs escorts for traffic in transit.</w:t>
      </w:r>
    </w:p>
    <w:p>
      <w:pPr>
        <w:pStyle w:val="Normal"/>
        <w:widowControl/>
        <w:rPr/>
      </w:pPr>
      <w:r>
        <w:rPr/>
        <w:t>13. Each Party shall allow goods moving in transit to be imported into its territory provided the goods and appropriate information are presented to its customs administration and that the goods fulfil all applicable requirements for release under its law. Article: 7.18: Penalties 1.</w:t>
      </w:r>
    </w:p>
    <w:p>
      <w:pPr>
        <w:pStyle w:val="Normal"/>
        <w:widowControl/>
        <w:rPr/>
      </w:pPr>
      <w:r>
        <w:rPr/>
        <w:t>Each Party shall adopt or maintain measures that allow for the imposition of a penalty by a Party’s customs administration for breach of its customs laws, regulations, or procedural requirements, including those governing tariff classification, customs valuation, transit procedures, country of origin, or claims for preferential treatment. Each Party shall ensure that such measures are administered in a uniform manner throughout its territory. 2. Each Party shall ensure that a penalty imposed by its customs administration for a breach of its customs laws, regulations, or procedural requirements is imposed only on the person legally responsible for the breach. 3. Each Party shall ensure that any penalty imposed by its customs administration for breach of its customs laws, regulations, or procedural requirements depends on the facts and circumstances of the case, including any previous breaches by the person receiving the penalty, and be commensurate with the degree and severity of the breach. 4.</w:t>
      </w:r>
    </w:p>
    <w:p>
      <w:pPr>
        <w:pStyle w:val="Normal"/>
        <w:widowControl/>
        <w:rPr/>
      </w:pPr>
      <w:r>
        <w:rPr/>
        <w:t>Each Party shall provide that a clerical or minor error in a customs transaction, as set forth in its laws, regulations or procedures, published in accordance with Article 7.2 (Online Publication), shall not be treated as a breach of customs laws, regulations, or procedural requirements, and may be corrected without assessment of a penalty, unless the error is part of a consistent pattern of such errors by that person. 5.</w:t>
      </w:r>
    </w:p>
    <w:p>
      <w:pPr>
        <w:pStyle w:val="Normal"/>
        <w:widowControl/>
        <w:rPr/>
      </w:pPr>
      <w:r>
        <w:rPr/>
        <w:t>Each Party shall adopt or maintain measures to avoid conflicts of interest in the assessment and collection of penalties and duties. No portion of the remuneration of a government official shall be calculated as a fixed portion or percentage of any penalties or duties assessed or collected. 6. Each Party shall ensure that when its customs administration imposes a penalty for a breach of its customs laws, regulations, or procedural requirements, it provides an explanation in writing to the person on whom the penalty is imposed, specifying the nature of the breach, including the specific law, regulation, or procedural requirement concerned, and the basis for determining the penalty amount if not set forth specifically in the law, regulation, or procedural requirement. 7.</w:t>
      </w:r>
    </w:p>
    <w:p>
      <w:pPr>
        <w:pStyle w:val="Normal"/>
        <w:widowControl/>
        <w:rPr/>
      </w:pPr>
      <w:r>
        <w:rPr/>
        <w:t>Each Party shall provide that a person may correct an error in a customs transaction that is a potential breach of a customs law, regulation, or procedural requirement, excluding fraud, prior to the discovery of the error by the Party, if the person does so in accordance with the Party’s laws, regulations, or procedures, and pays any owed customs duties, taxes, fees, and charges, including interest. The correction shall include the identification of the transaction and circumstances of the error. The Party shall not use this error to assess a penalty for a breach of a customs law, regulation, or procedural requirement. 8.</w:t>
      </w:r>
    </w:p>
    <w:p>
      <w:pPr>
        <w:pStyle w:val="Normal"/>
        <w:widowControl/>
        <w:rPr/>
      </w:pPr>
      <w:r>
        <w:rPr/>
        <w:t>Each Party shall specify a fixed, finite period within which it may initiate penalty proceedings in connection with a breach of a customs law, regulation, or procedural requirement.</w:t>
      </w:r>
    </w:p>
    <w:p>
      <w:pPr>
        <w:pStyle w:val="Normal"/>
        <w:keepNext w:val="true"/>
        <w:widowControl/>
        <w:rPr/>
      </w:pPr>
      <w:r>
        <w:rPr/>
        <w:t>Article 7.19: Standards of Conduct 1. Further to Article 7.18 (Penalties) and Article 27.4 (Promoting Integrity among Public Officials), each Party shall adopt or maintain measures to deter its customs officials from engaging in any action that would result in, or that reasonably creates the appearance of, use of their public service position for private gain, including any monetary benefit. 2. Each Party shall provide a mechanism for importers, exporters, carriers, customs brokers and other stakeholders to submit complaints regarding perceived improper or corrupt behavior in its territory, including at ports of entry and other customs offices, of its customs administration personnel. Each Party shall take appropriate action on a complaint in a timely manner in accordance with its laws, regulations, or procedures.</w:t>
      </w:r>
    </w:p>
    <w:p>
      <w:pPr>
        <w:pStyle w:val="Normal"/>
        <w:keepNext w:val="true"/>
        <w:widowControl/>
        <w:rPr/>
      </w:pPr>
      <w:r>
        <w:rPr/>
        <w:t>Article 7.20: Customs Brokers 1. Each Party shall allow an importer and any other person it deems appropriate, in accordance with its laws and regulations, to self-file a customs declaration and other import or transit documentation without the services of a customs broker. For the purposes of electronic filing, self-filing shall include direct access or access through a service provider, to electronic systems for filing and transmitting customs declarations and other import or transit documentation. Each Party shall ensure that access to the electronic systems is available for self- filers on a non-discriminatory basis relative to other categories of users. 2. If a Party establishes requirements for qualifications, licensing, or registration to be a customs broker or to provide customs broker services, the Party shall ensure that the requirements are transparent, based on objective criteria related to providing customs broker services, promote integrity and professionalism among customs brokers, and are administered uniformly in its territory. 3. No Party shall impose arbitrary limits to the number of ports or locations at which a customs broker may operate.</w:t>
      </w:r>
    </w:p>
    <w:p>
      <w:pPr>
        <w:pStyle w:val="Normal"/>
        <w:widowControl/>
        <w:rPr/>
      </w:pPr>
      <w:r>
        <w:rPr/>
        <w:t>A Party shall allow a licensed customs broker to electronically submit a customs declaration and import documentation to the electronic systems referred to in paragraph 1, at any port at which it is licensed to operate in accordance with the preceding sentence.</w:t>
      </w:r>
    </w:p>
    <w:p>
      <w:pPr>
        <w:pStyle w:val="Normal"/>
        <w:keepNext w:val="true"/>
        <w:widowControl/>
        <w:rPr/>
      </w:pPr>
      <w:r>
        <w:rPr/>
        <w:t>Article 7.21: Border Inspections 1. The Parties shall cooperate with each other, as appropriate, with a view to facilitating trade through the promotion of efficient and effective processing of imports and exports through their ports of entry. 2. Each Party shall ensure that its customs administration and other relevant agencies that examine goods, conveyances, or instruments of international traffic, carry out examinations with appropriate coordination and, to the extent practicable, simultaneously within a single location, with a view to releasing goods and allowing conveyances and instruments of international traffic to enter its territory in a timely manner and immediately after the examinations have been completed, provided that all regulatory requirements have been met. 3. Pursuant to paragraphs 1 and 2, each Party is encouraged to develop and implement standard operating procedures amongst its customs administration and relevant agencies that examine goods, conveyances, or instruments of international traffic. If practicable, each Party is encouraged to adapt their border facilities to carry out the examinations specified in paragraph 2. 4.</w:t>
      </w:r>
    </w:p>
    <w:p>
      <w:pPr>
        <w:pStyle w:val="Normal"/>
        <w:widowControl/>
        <w:rPr/>
      </w:pPr>
      <w:r>
        <w:rPr/>
        <w:t>As appropriate, the Parties shall coordinate to develop procedures or facilities adjacent to ports of entry for the efficient movement of goods the processing of which requires specific accommodations with respect to facilities or examination. 5.</w:t>
      </w:r>
    </w:p>
    <w:p>
      <w:pPr>
        <w:pStyle w:val="Normal"/>
        <w:widowControl/>
        <w:rPr/>
      </w:pPr>
      <w:r>
        <w:rPr/>
        <w:t>Nothing in this Article requires a Party to provide services for the examination and release of goods for all types of goods at all ports of entry within its territory.</w:t>
      </w:r>
    </w:p>
    <w:p>
      <w:pPr>
        <w:pStyle w:val="Normal"/>
        <w:keepNext w:val="true"/>
        <w:widowControl/>
        <w:rPr/>
      </w:pPr>
      <w:r>
        <w:rPr/>
        <w:t>Article 7.22: Protection of Trader Information 1. Each Party’s customs administration shall apply measures governing the collection, protection, use, disclosure, retention, correction, and disposal of information that it collects from traders. 2. Each Party’s customs administration shall protect, in accordance with its law, confidential information from use or disclosure that could prejudice the competitive position of the trader to whom the confidential information relates. 3. Notwithstanding paragraph 2, a Party may use or disclose confidential information but only for the purposes of administration or enforcement of its customs laws or as otherwise provided under the Party’s law, including in an administrative, quasi-judicial, or judicial proceeding. 4. If confidential information is used or disclosed other than in accordance with this Article, the Party shall address the incident, in accordance with its laws, regulations, or procedures, and strive to prevent a reoccurrence.</w:t>
      </w:r>
    </w:p>
    <w:p>
      <w:pPr>
        <w:pStyle w:val="Normal"/>
        <w:keepNext w:val="true"/>
        <w:widowControl/>
        <w:rPr/>
      </w:pPr>
      <w:r>
        <w:rPr/>
        <w:t>Article 7.23: Customs Initiatives for Trade Facilitation 1. The Parties shall cooperate in the development and implementation of customs initiatives related to the trade facilitation measures described in this Section, as well as on other trade facilitation initiatives. 2. This cooperation may include information sharing or collaboration with respect to: (a) best practices on the implementation of customs procedures; (b) the management of customs and trade compliance measures; (c) engagement between the customs administrations at the operational level to address issues related to regular cross-border operations and to resolve specific cases, including pending shipments; (d) the development and implementation of procedures to facilitate cross border trade and improve customs operations related to the movement, release, and clearance of goods; (e) the harmonization of cargo manifest data requirements in each mode of transportation; (f) the implementation of programs designed to facilitate the movement of goods through their ports of entry, including, if feasible, alignment of hours of service, joint customs inspections, and the use of shared facilities; and (g) the design, development, and construction of ports of entry located at their common borders.</w:t>
      </w:r>
    </w:p>
    <w:p>
      <w:pPr>
        <w:pStyle w:val="Normal"/>
        <w:keepNext w:val="true"/>
        <w:widowControl/>
        <w:rPr/>
      </w:pPr>
      <w:r>
        <w:rPr/>
        <w:t>Article 7.24: Committee on Trade Facilitation 1. The Parties hereby establish a Committee on Trade Facilitation (Trade Facilitation Committee), composed of government representatives of each Party. 2. The Trade Facilitation Committee shall: (a) facilitate the exchange of information among the Parties with respect to their respective experiences regarding the development and implementation of a single window including information regarding each Party’s participating border agencies and the automation of its forms, documents, and procedures; (b) facilitate the exchange of information among the Parties regarding the formulation and implementation of, and experiences under, each Party’s low-risk trader programs, including their AEO programs; (c) provide a forum for the sharing of views on individual cases involving questions of tariff classification, customs valuation, other customs treatments, or emerging industry trends and issues, with a view to reconciling inconsistencies, supporting a competitive business environment, or otherwise facilitating trade and investment among the Parties; (d) facilitate the exchange of information among the Parties regarding the formulation and implementation of, and experiences with, each Party’s measures that promote voluntary compliance by traders;</w:t>
      </w:r>
    </w:p>
    <w:p>
      <w:pPr>
        <w:pStyle w:val="Normal"/>
        <w:widowControl/>
        <w:rPr/>
      </w:pPr>
      <w:r>
        <w:rPr/>
        <w:t>(e) providing a forum for the Parties to consult and endeavor to resolve issues relating to this Chapter, including, as appropriate, in coordination or jointly with other committees or other</w:t>
      </w:r>
    </w:p>
    <w:p>
      <w:pPr>
        <w:pStyle w:val="Normal"/>
        <w:widowControl/>
        <w:rPr/>
      </w:pPr>
      <w:r>
        <w:rPr/>
        <w:t>subsidiary bodies established under this Agreement; (f) review international initiatives on trade facilitation; (g) identify initiatives for joint action by their respective customs administrations, in cases where joint action could facilitate trade among the Parties, and taking into account priorities and experiences of their customs administrations; (h) discuss technical assistance and support for capacity building to enhance the impact of trade facilitation measures for traders, and in particular to identify priorities for this assistance and support among their customs administrations and outside North America; and (i) engage in other activities as the Parties may decide. 3. The Trade Facilitation Committee shall meet within one year of the date of entry into force of this Agreement, and thereafter at such times as the Parties decide. 4. The Parties are encouraged to provide opportunities for persons to provide input to each Party’s representative to the Trade Facilitation Committee on matters relevant to the Committee’s work, such as through the mechanism described in Article 7.3 (Communication with Traders). Section B: Cooperation and Enforcement</w:t>
      </w:r>
    </w:p>
    <w:p>
      <w:pPr>
        <w:pStyle w:val="Normal"/>
        <w:keepNext w:val="true"/>
        <w:widowControl/>
        <w:rPr/>
      </w:pPr>
      <w:r>
        <w:rPr/>
        <w:t>Article 7.25: Regional and Bilateral Cooperation on Enforcement 1. The Parties agree to strengthen and expand their customs and trade enforcement efforts and cooperation as set out in this Section. In these efforts, the Parties may use any applicable mechanism, including bilateral cooperation mechanisms. 2. Each Party shall, in accordance with its laws and regulations, cooperate with other Parties for the purposes of enforcing or assisting in the enforcement of their respective measures concerning customs offenses in the trade in goods between the Parties, including ensuring the accuracy of claims for preferential tariff treatment under this Agreement. 3. With a view to facilitating the effective operation of this Agreement, each Party shall: (a) encourage cooperation with the other Parties regarding customs issues that affect goods traded between the Parties; and (b) endeavor to provide the other Parties with advance notice of any significant administrative change, modification of a law or regulation, or other measure related to its laws or regulations that governs importations, exportations, or transit procedures that is likely to substantially affect the operation of this Agreement or likely to affect the effective implementation and enforcement of the customs and trade laws and regulations of a Party. 4.</w:t>
      </w:r>
    </w:p>
    <w:p>
      <w:pPr>
        <w:pStyle w:val="Normal"/>
        <w:widowControl/>
        <w:rPr/>
      </w:pPr>
      <w:r>
        <w:rPr/>
        <w:t>Each Party shall take appropriate measures, such as legislative, administrative, or judicial actions for enforcement of its laws, regulations, and procedures related to customs offenses, to enhance coordination between its customs administration and other relevant agencies and for cooperation with another Party. 5. The measures under paragraph 4 may include: (a) specific measures, such as enforcement actions to detect, prevent, or address customs offenses, especially on identified customs priorities, taking into account trade data, including patterns of imports, exports, or transit goods to identify potential or real sources of these offenses; (b) adopting or maintaining penalties aimed at deterring or penalizing customs offenses; and (c) providing a Party’s government officials with the legal authority to meet its enforcement obligations under this Agreement. 6. The Parties shall, subject to their respective laws, regulations and procedures, cooperate by sharing information, including exchanging historical data and if practicable and appropriate, data in real time with respect to imports, exports, and transit of goods to identify potential or real sources of customs offenses, especially on priority initiatives or industry sectors. Each Party shall identify and maintain the capability for the secure exchange of customs data with another Party. 7.</w:t>
      </w:r>
    </w:p>
    <w:p>
      <w:pPr>
        <w:pStyle w:val="Normal"/>
        <w:widowControl/>
        <w:rPr/>
      </w:pPr>
      <w:r>
        <w:rPr/>
        <w:t>Each Party shall, whenever practicable, and subject to its laws and regulations, provide another Party with information that has come to its attention that it believes would assist the receiving Party in detecting, preventing, or addressing potential or real customs offenses in particular those related to unlawful activities, including duty evasion, smuggling, and similar infractions. Such information may include specific data on any person suspected to be involved in unlawful activity, the mode of transportation, other relevant information, and the results of enforcement actions, application of penalties, or unusual trade patterns, both collected directly by the providing Party and received from other sources. 8. The Parties shall endeavor to cooperate, subject to their laws, regulations, and procedures, bilaterally or trilaterally, as appropriate, by developing customs enforcement initiatives, which may include the creation of task forces, joint or coordinated data analysis, and identification of special monitoring measures and other actions, to prevent, deter, and address customs offenses, particularly with respect to priorities of mutual concern.</w:t>
      </w:r>
    </w:p>
    <w:p>
      <w:pPr>
        <w:pStyle w:val="Normal"/>
        <w:keepNext w:val="true"/>
        <w:widowControl/>
        <w:rPr/>
      </w:pPr>
      <w:r>
        <w:rPr/>
        <w:t>Article 7.26: Exchange of Specific Confidential Information 1. For the purposes of enforcing or assisting in the enforcement of its respective measures concerning customs offenses, a Party may request that another Party provide specific confidential information that is normally collected in connection with the importation, exportation, or transit of a good if the requesting Party has relevant facts indicating that a customs offense is occurring or is likely to occur. 2. A request under paragraph 1 shall be made in writing, electronically, or through another means that allows for the acknowledgement of receipt, and shall include a brief statement of the matter at issue, the information requested, the relevant facts indicating that a customs offense is occurring or is likely to occur, and sufficient information for the Party that receives a request to respond in accordance with its laws and regulations. 3. The Party that receives a request under paragraph 1 shall, subject to its laws, regulations, procedures, or other legal obligations, provide to the requesting Party a written response containing the requested information held by the Party as soon as practicable. 4. A Party may provide information under this Article in paper or electronic format. 5.</w:t>
      </w:r>
    </w:p>
    <w:p>
      <w:pPr>
        <w:pStyle w:val="Normal"/>
        <w:widowControl/>
        <w:rPr/>
      </w:pPr>
      <w:r>
        <w:rPr/>
        <w:t>In order to facilitate the rapid and secure exchange of information, each Party shall designate or maintain a contact point for cooperation under this Section in accordance with Article 30.5 (Agreement Coordinator and Contact Points). 6. For the purposes of paragraph 1, relevant facts indicating that a customs offense is occurring or is likely to occur means historical evidence of non-compliance with laws or regulations, or other information that the requesting Party and the Party from which the information is requested agree is sufficient in the context of a particular request.</w:t>
      </w:r>
    </w:p>
    <w:p>
      <w:pPr>
        <w:pStyle w:val="Normal"/>
        <w:keepNext w:val="true"/>
        <w:widowControl/>
        <w:rPr/>
      </w:pPr>
      <w:r>
        <w:rPr/>
        <w:t>Article 7.27: Customs Compliance Verification Requests 1. A Party may request another Party to conduct a verification in that Party’s territory to assist the requesting Party to determine whether a customs offence is occurring or has occurred by obtaining information, including documents, from an exporter or producer. The requesting Party shall make the request in writing. The requested Party shall respond to the request promptly and in no case later than 30 days after the date it receives the request. The response will include whether it will conduct the verification. If the Party does not intend to conduct the verification, the response will indicate the basis for refusal. If a Party will conduct the verification, the response will indicate the intended timing and other relevant details. 2. If the requested Party conducts a verification under paragraph 1, it shall provide the requesting Party promptly upon completing the verification a report containing the relevant information including data and documents, obtained during its verification. 3.</w:t>
      </w:r>
    </w:p>
    <w:p>
      <w:pPr>
        <w:pStyle w:val="Normal"/>
        <w:widowControl/>
        <w:rPr/>
      </w:pPr>
      <w:r>
        <w:rPr/>
        <w:t>In the case of a site visit by the requested Party, the requesting Party may, through officials it designates and subject to the consent of a legally responsible person for the location visited, accompany the requested Party. Accompanying the requested Party does not create any legal authority for the designated officials of the requesting Party.</w:t>
      </w:r>
    </w:p>
    <w:p>
      <w:pPr>
        <w:pStyle w:val="Normal"/>
        <w:widowControl/>
        <w:rPr/>
      </w:pPr>
      <w:r>
        <w:rPr/>
        <w:t>The designated officials of the requesting Party shall fulfill the conditions and procedures mutually agreed between the relevant Parties for the visit. Nothing in this Agreement requires the requested Party to allow or facilitate the participation of the designated officials of the requesting Party.</w:t>
      </w:r>
    </w:p>
    <w:p>
      <w:pPr>
        <w:pStyle w:val="Normal"/>
        <w:keepNext w:val="true"/>
        <w:widowControl/>
        <w:rPr/>
      </w:pPr>
      <w:r>
        <w:rPr/>
        <w:t>Article 7.28: Confidentiality between Parties 1. If a Party provides information to another Party in accordance with this Section and designates the information as confidential or is confidential under the receiving Party’s law, the receiving Party shall keep the information confidential in accordance with its law. 2. A Party may decline to provide information requested by another Party if that Party has failed to act in accordance with paragraph 1. 3. A Party may use or disclose confidential information received from another Party under this Section but only for the purposes of administration or enforcement of its customs laws or as otherwise provided under the Party’s law, including in an administrative, quasi-judicial, or judicial proceeding.</w:t>
      </w:r>
    </w:p>
    <w:p>
      <w:pPr>
        <w:pStyle w:val="Normal"/>
        <w:keepNext w:val="true"/>
        <w:widowControl/>
        <w:rPr/>
      </w:pPr>
      <w:r>
        <w:rPr/>
        <w:t>Article 7.29: Sub-Committee on Customs Enforcement 1. The Parties hereby establish a Sub-Committee on Customs Enforcement (Customs Enforcement Sub-Committee), composed of government representatives of each Party, to address issues related to potential or real customs offenses. 2. The Customs Enforcement Sub-Committee shall: (a) work to identify regional priorities of mutual concern and programs for detecting, preventing, and addressing duty evasion and other customs offenses; (b) identify and discuss opportunities for the exchange of customs and trade information or data among the Parties that facilitates detecting, preventing, and addressing customs offenses; (c) provide a forum to discuss proposed customs enforcement initiatives, including by identifying areas of coordination and cooperation, as appropriate, especially those related to detecting, preventing, and addressing customs offenses; (d) facilitate the exchange of information of best practices on customs enforcement and in managing customs compliance; (e) provide a forum to discuss technical guidance or assistance and support for capacity building, including specific training programs, in matters related to customs enforcement and compliance;</w:t>
      </w:r>
    </w:p>
    <w:p>
      <w:pPr>
        <w:pStyle w:val="Normal"/>
        <w:widowControl/>
        <w:rPr/>
      </w:pPr>
      <w:r>
        <w:rPr/>
        <w:t>(f) provide a forum to discuss, with a view to identifying and enhancing joint customs enforcement and compliance initiatives on topics of mutual concern, including with respect to customs offenses, such as deterring duty evasion and circumvention of safeguards, antidumping,</w:t>
      </w:r>
    </w:p>
    <w:p>
      <w:pPr>
        <w:pStyle w:val="Normal"/>
        <w:widowControl/>
        <w:rPr/>
      </w:pPr>
      <w:r>
        <w:rPr/>
        <w:t>and countervailing duty laws and orders; (g) identify appropriate government officials to address the matters raised in the Customs Enforcement Sub-Committee and share their contact information; (h) inform the Trade Facilitation Committee about customs enforcement measures implemented by a Party that may have an impact on their customs procedures with respect to a matter covered by this Chapter; and (i) engage in other matters related to customs offenses as the Parties may decide. 3. The Parties shall designate and notify a contact point for this Customs Enforcement Sub- Committee in accordance with Article 30.5 (Agreement Coordinator and Contact Points). 4. The Customs Enforcement Sub-Committee shall meet within one year of the date of entry into force of this Agreement, and thereafter as the Parties may decide.</w:t>
      </w:r>
    </w:p>
    <w:p>
      <w:pPr>
        <w:pStyle w:val="ModHeading"/>
        <w:widowControl/>
        <w:rPr/>
      </w:pPr>
      <w:bookmarkStart w:id="38" w:name="_Toc237912515"/>
      <w:r>
        <w:rPr/>
        <w:t>CHAPTER 7 — CUSMA 2.0 MODERNIZATION PROVISIONS</w:t>
      </w:r>
      <w:bookmarkEnd w:id="38"/>
    </w:p>
    <w:p>
      <w:pPr>
        <w:pStyle w:val="Normal"/>
        <w:widowControl/>
        <w:rPr/>
      </w:pPr>
      <w:r>
        <w:rPr>
          <w:i/>
        </w:rPr>
        <w:t>The provisions of this Part amend Chapter 7 (Customs Administration and Trade Facilitation).</w:t>
      </w:r>
    </w:p>
    <w:p>
      <w:bookmarkStart w:id="1072" w:name="_NAESTMA_TOC_1072"/>
      <w:pPr>
        <w:pStyle w:val="Heading2"/>
        <w:keepNext/>
        <w:widowControl/>
        <w:rPr/>
      </w:pPr>
      <w:bookmarkStart w:id="39" w:name="_Toc237912516"/>
      <w:r>
        <w:rPr/>
        <w:t>Article 7.A: Low-Value Shipments (Implementation of Article 2.C)</w:t>
      </w:r>
      <w:bookmarkEnd w:id="39"/>
      <w:bookmarkEnd w:id="1072"/>
    </w:p>
    <w:p>
      <w:pPr>
        <w:pStyle w:val="Normal"/>
        <w:widowControl/>
        <w:rPr/>
      </w:pPr>
      <w:r>
        <w:rPr/>
        <w:t>1. Each Party shall provide simplified, electronic, expedited clearance for low-value shipments, with a de minimis threshold not below its January 1, 2020 level. Data requirements for such shipments shall conform to the Standard Data Packet adopted under paragraph 3, subject only to the published risk-based additions permitted there.</w:t>
      </w:r>
    </w:p>
    <w:p>
      <w:pPr>
        <w:pStyle w:val="Normal"/>
        <w:widowControl/>
        <w:rPr/>
      </w:pPr>
      <w:r>
        <w:rPr/>
        <w:t>2. Risk-based controls on low-value shipments shall target fraud, safety, and prohibited goods, and shall not be administered so as to impose on originating shipments burdens equivalent to a duty.</w:t>
      </w:r>
    </w:p>
    <w:p>
      <w:pPr>
        <w:pStyle w:val="Normal"/>
        <w:widowControl/>
        <w:rPr/>
      </w:pPr>
      <w:r>
        <w:rPr/>
        <w:t>3. Standard Data Packet. Within 12 months after entry into force of the Protocol of Modernization, the Committee on Trade Facilitation shall adopt and publish a uniform maximum core data set for low-value shipments, limited to elements reasonably necessary for customs, revenue, safety, security, and prohibited-goods enforcement, and shall review the data set at least every 24 months. A Party shall not require country-specific or carrier-specific additional data from originating low-value shipments except pursuant to published risk criteria of general application or a particularized request supported by documented risk. A materially burdensome additional-data requirement inconsistent with this paragraph is reviewable as a substitute measure under Article 35.4A.</w:t>
      </w:r>
    </w:p>
    <w:p>
      <w:bookmarkStart w:id="1073" w:name="_NAESTMA_TOC_1073"/>
      <w:pPr>
        <w:pStyle w:val="Heading2"/>
        <w:keepNext/>
        <w:widowControl/>
        <w:rPr/>
      </w:pPr>
      <w:bookmarkStart w:id="40" w:name="_Toc237912517"/>
      <w:r>
        <w:rPr/>
        <w:t>Article 7.B: North American Single Window Interoperability</w:t>
      </w:r>
      <w:bookmarkEnd w:id="40"/>
      <w:bookmarkEnd w:id="1073"/>
    </w:p>
    <w:p>
      <w:pPr>
        <w:pStyle w:val="Normal"/>
        <w:widowControl/>
        <w:rPr/>
      </w:pPr>
      <w:r>
        <w:rPr/>
        <w:t>1. The Parties shall establish, within 36 months after entry into force of the Protocol of Modernization, interoperable electronic single-window systems such that: (a) a trader may submit a single standardized data set usable for the import, export, and transit formalities of all three Parties; (b) certificates of origin, trusted-trader credentials, and advance rulings are mutually machine-readable; and (c) border release status is electronically visible to the trader across the corridor.</w:t>
      </w:r>
    </w:p>
    <w:p>
      <w:pPr>
        <w:pStyle w:val="Normal"/>
        <w:widowControl/>
        <w:rPr/>
      </w:pPr>
      <w:r>
        <w:rPr/>
        <w:t>2. The Committee on Trade Facilitation shall adopt and publish the technical standards, data dictionary, and cybersecurity requirements for this Article, and shall publish an annual implementation report. The technical framework shall at minimum require authenticated users and systems, integrity protection for submitted and returned data, confidentiality controls appropriate to the data, role-based access, auditable access and transaction logs, reasonable service availability and recovery capability, incident identification and response procedures, and a documented fallback process that permits lawful border processing during a material system outage. Technical protocols may differ among Parties where they remain interoperable and provide equivalent protection.</w:t>
      </w:r>
    </w:p>
    <w:p>
      <w:bookmarkStart w:id="1074" w:name="_NAESTMA_TOC_1074"/>
      <w:pPr>
        <w:pStyle w:val="Heading2"/>
        <w:keepNext/>
        <w:widowControl/>
        <w:rPr/>
      </w:pPr>
      <w:bookmarkStart w:id="41" w:name="_Toc237912518"/>
      <w:r>
        <w:rPr/>
        <w:t>Article 7.C: Uniformity of Customs Administration</w:t>
      </w:r>
      <w:bookmarkEnd w:id="41"/>
      <w:bookmarkEnd w:id="1074"/>
    </w:p>
    <w:p>
      <w:pPr>
        <w:pStyle w:val="Normal"/>
        <w:widowControl/>
        <w:rPr/>
      </w:pPr>
      <w:r>
        <w:rPr/>
        <w:t>1. Each Party shall administer its customs laws and procedures uniformly across its ports of entry, including with respect to classification, valuation, origin treatment, and processing of low-value shipments.</w:t>
      </w:r>
    </w:p>
    <w:p>
      <w:pPr>
        <w:pStyle w:val="Normal"/>
        <w:widowControl/>
        <w:rPr/>
      </w:pPr>
      <w:r>
        <w:rPr/>
        <w:t>2. A trader experiencing materially inconsistent treatment between ports may invoke a Party’s internal review mechanism, and the Party shall issue a harmonizing determination within 90 days. Recurrent inconsistency may be raised in the Committee on Trade Facilitation and, if unresolved, under Chapter 31.</w:t>
      </w:r>
    </w:p>
    <w:p>
      <w:pPr>
        <w:pStyle w:val="Normal"/>
        <w:widowControl/>
        <w:rPr/>
      </w:pPr>
      <w:r>
        <w:rPr/>
        <w:t>3. No Party shall require that another Party’s goods enter only through designated ports, inspection centers, or crossings, or at restricted hours, unless objectively necessary for safety, security, or infrastructure capacity, with the invoking Party bearing the burden of demonstrating that necessity (see Article 35.4A.1(c)).</w:t>
      </w:r>
    </w:p>
    <w:p>
      <w:bookmarkStart w:id="1075" w:name="_NAESTMA_TOC_1075"/>
      <w:pPr>
        <w:pStyle w:val="Heading2"/>
        <w:keepNext/>
        <w:widowControl/>
        <w:rPr/>
      </w:pPr>
      <w:bookmarkStart w:id="42" w:name="_Toc237912519"/>
      <w:r>
        <w:rPr/>
        <w:t>Article 7.D: Border Processing Times and Transparency</w:t>
      </w:r>
      <w:bookmarkEnd w:id="42"/>
      <w:bookmarkEnd w:id="1075"/>
    </w:p>
    <w:p>
      <w:pPr>
        <w:pStyle w:val="Normal"/>
        <w:widowControl/>
        <w:rPr/>
      </w:pPr>
      <w:r>
        <w:rPr/>
        <w:t>1. Each Party shall publish, monthly and by port of entry, average and 95th-percentile border processing times for commercial shipments, in machine-readable form.</w:t>
      </w:r>
    </w:p>
    <w:p>
      <w:pPr>
        <w:pStyle w:val="Normal"/>
        <w:widowControl/>
        <w:rPr/>
      </w:pPr>
      <w:r>
        <w:rPr/>
        <w:t>2. The Committee on Trade Facilitation shall establish and publish corridor-specific performance objectives for processing times, together with the measurement methodology and material exclusions, and shall review performance quarterly. Where a corridor materially misses an objective in three consecutive monthly reporting periods, the responsible Party shall publish or provide to the Committee a brief explanation of the principal causes and the corrective actions being taken where correction is reasonably within governmental control. Performance objectives are administrative benchmarks and do not create automatic liability or establish breach from an isolated delay.</w:t>
      </w:r>
    </w:p>
    <w:p>
      <w:pPr>
        <w:pStyle w:val="Normal"/>
        <w:widowControl/>
        <w:rPr/>
      </w:pPr>
      <w:r>
        <w:rPr/>
        <w:t>3. Systematic, discriminatory clearance delay, inspection intensity, documentation demands, or release holds that materially burden originating trade are covered border measures under Article 35.4A, assessed against the benchmarks published under this Article.</w:t>
      </w:r>
    </w:p>
    <w:p>
      <w:bookmarkStart w:id="1076" w:name="_NAESTMA_TOC_1076"/>
      <w:pPr>
        <w:pStyle w:val="Heading2"/>
        <w:keepNext/>
        <w:widowControl/>
        <w:rPr/>
      </w:pPr>
      <w:bookmarkStart w:id="43" w:name="_Toc237912520"/>
      <w:r>
        <w:rPr/>
        <w:t>Article 7.E: Trusted Trader Programs</w:t>
      </w:r>
      <w:bookmarkEnd w:id="43"/>
      <w:bookmarkEnd w:id="1076"/>
    </w:p>
    <w:p>
      <w:pPr>
        <w:pStyle w:val="Normal"/>
        <w:widowControl/>
        <w:rPr/>
      </w:pPr>
      <w:r>
        <w:rPr/>
        <w:t>1. Each Party shall maintain a trusted-trader program consistent with its existing authorized-economic-operator or comparable customs-security framework and shall provide a process for mutual recognition of the other Parties' trusted-trader authorizations. Mutual recognition shall be based on materially equivalent eligibility, security, compliance, validation, monitoring, and suspension standards and shall provide qualifying traders meaningful facilitation benefits, including reduced inspection or expedited release where risk permits. A refusal, suspension, or revocation of mutual-recognition treatment shall identify the principal reasons and provide access to administrative review; existing treatment should continue pending review where doing so does not create a material security, fraud, or revenue risk.</w:t>
      </w:r>
    </w:p>
    <w:p>
      <w:pPr>
        <w:pStyle w:val="Normal"/>
        <w:widowControl/>
        <w:rPr/>
      </w:pPr>
      <w:r>
        <w:rPr/>
        <w:t>2. Compliance facilitation earned under Article 35.17.7 is implemented through the trusted-trader programs of the Parties. Nothing in this Article requires a Party to recognize another Party's authorization where the equivalence criteria in paragraph 1 are not met or to waive independently applicable safety, security, prohibited-goods, or revenue controls.</w:t>
      </w:r>
      <w:r>
        <w:br w:type="page"/>
      </w:r>
    </w:p>
    <w:p>
      <w:bookmarkStart w:id="1077" w:name="_NAESTMA_TOC_1077"/>
      <w:pPr>
        <w:pStyle w:val="Heading1"/>
        <w:keepNext/>
        <w:keepLines w:val="0"/>
        <w:pageBreakBefore/>
        <w:widowControl/>
        <w:rPr/>
      </w:pPr>
      <w:bookmarkStart w:id="44" w:name="_Toc237912521"/>
      <w:r>
        <w:rPr/>
        <w:t>CHAPTER 8 RECOGNITION OF THE UNITED MEXICAN STATES’ DIRECT, INALIENABLE, AND IMPRESCRIPTIBLE OWNERSHIP OF HYDROCARBONS</w:t>
      </w:r>
      <w:bookmarkEnd w:id="44"/>
      <w:bookmarkEnd w:id="1077"/>
    </w:p>
    <w:p>
      <w:pPr>
        <w:pStyle w:val="Normal"/>
        <w:widowControl/>
        <w:rPr/>
      </w:pPr>
      <w:r>
        <w:rPr/>
        <w:t>Article 8.1: Recognition of the United Mexican States’ Direct, Inalienable, and Imprescriptible Ownership of Hydrocarbons 1. As provided for in this Agreement, the Parties confirm their full respect for sovereignty and their sovereign right to regulate with respect to matters addressed in this Chapter in accordance with their respective Constitutions and domestic laws, in the full exercise of their democratic processes. 2. In the case of Mexico, and without prejudice to their rights and remedies available under this Agreement, the United States and Canada recognize that: (a) Mexico reserves its sovereign right to reform its Constitution and its domestic legislation; and (b) Mexico has the direct, inalienable, and imprescriptible ownership of all hydrocarbons in the subsoil of the national territory, including the continental shelf and the exclusive economic zone located outside the territorial sea and adjacent thereto, in strata or deposits, regardless of their physical conditions pursuant to Mexico’s Constitution (Constitución Política de los Estados Unidos Mexicanos).</w:t>
      </w:r>
      <w:r>
        <w:br w:type="page"/>
      </w:r>
    </w:p>
    <w:p>
      <w:bookmarkStart w:id="1078" w:name="_NAESTMA_TOC_1078"/>
      <w:pPr>
        <w:pStyle w:val="Heading1"/>
        <w:keepNext/>
        <w:keepLines w:val="0"/>
        <w:pageBreakBefore/>
        <w:widowControl/>
        <w:rPr/>
      </w:pPr>
      <w:bookmarkStart w:id="45" w:name="_Toc237912522"/>
      <w:r>
        <w:rPr/>
        <w:t>CHAPTER 9 SANITARY AND PHYTOSANITARY MEASURES</w:t>
      </w:r>
      <w:bookmarkEnd w:id="45"/>
      <w:bookmarkEnd w:id="1078"/>
    </w:p>
    <w:p>
      <w:pPr>
        <w:pStyle w:val="Normal"/>
        <w:widowControl/>
        <w:rPr/>
      </w:pPr>
      <w:r>
        <w:rPr/>
        <w:t>Article 9.1: Definitions 1. The definitions in Annex A of the SPS Agreement are incorporated into and made part of this Chapter, mutatis mutandis, except as otherwise provided for in paragraph 2. 2.</w:t>
      </w:r>
    </w:p>
    <w:p>
      <w:pPr>
        <w:pStyle w:val="Normal"/>
        <w:widowControl/>
        <w:rPr/>
      </w:pPr>
      <w:r>
        <w:rPr/>
        <w:t>For the purposes of this Chapter: competent authority means a government body of a Party responsible for measures or matters referred to in this Chapter; import check means an inspection, examination, sampling, review of documentation, test, or procedure, including laboratory, organoleptic, or identity, conducted at the border or otherwise during the entry process by an importing Party or its representative to determine if a consignment complies with the sanitary or phytosanitary requirements of the importing Party; relevant international organizations means the Codex Alimentarius Commission, the World Organization for Animal Health, the International Plant Protection Convention, and other international organizations as decided by the Committee on Sanitary and Phytosanitary Measures established under Article 9.17 (SPS Committee); relevant international standards, guidelines, or recommendations means those defined in paragraph 3(a) through (c) of Annex A of the SPS Agreement and standards, guidelines, or recommendations of other international organizations as decided by the SPS Committee; risk management means the weighing of policy alternatives in light of the results of risk assessment and, if required, selecting and implementing appropriate controls, which may include sanitary</w:t>
      </w:r>
    </w:p>
    <w:p>
      <w:pPr>
        <w:pStyle w:val="Normal"/>
        <w:widowControl/>
        <w:rPr/>
      </w:pPr>
      <w:r>
        <w:rPr/>
        <w:t>or phytosanitary measures; WTO SPS Committee means the WTO Committee on Sanitary and Phytosanitary Measures established under Article 12 of the SPS Agreement.</w:t>
      </w:r>
    </w:p>
    <w:p>
      <w:pPr>
        <w:pStyle w:val="Normal"/>
        <w:keepNext w:val="true"/>
        <w:widowControl/>
        <w:rPr/>
      </w:pPr>
      <w:r>
        <w:rPr/>
        <w:t>Article 9.2: Scope This Chapter applies to all sanitary and phytosanitary measures of a Party that may, directly or indirectly, affect trade between the Parties.</w:t>
      </w:r>
    </w:p>
    <w:p>
      <w:pPr>
        <w:pStyle w:val="Normal"/>
        <w:keepNext w:val="true"/>
        <w:widowControl/>
        <w:rPr/>
      </w:pPr>
      <w:r>
        <w:rPr/>
        <w:t>Article 9.3: Objectives 1. The objectives of this Chapter are to: (a) protect human, animal, or plant life or health in the territories of the Parties while facilitating trade between them; (b) reinforce and build upon the SPS Agreement; (c) strengthen communication, consultation, and cooperation between the Parties, and particularly between the Parties’ competent authorities; (d) ensure that sanitary or phytosanitary measures implemented by a Party do not create unnecessary barriers to trade; (e) enhance transparency in and understanding of the application of each Party’s sanitary and phytosanitary measures; (f) encourage the development and adoption of science-based international standards, guidelines, and recommendations, and promote their implementation by the Parties; (g) enhance compatability of sanitary or phytosanitary measures as appropriate; and (h) advance science-based decision making.</w:t>
      </w:r>
    </w:p>
    <w:p>
      <w:pPr>
        <w:pStyle w:val="Normal"/>
        <w:keepNext w:val="true"/>
        <w:widowControl/>
        <w:rPr/>
      </w:pPr>
      <w:r>
        <w:rPr/>
        <w:t>Article 9.4: General Provisions 1. The Parties affirm their rights and obligations under the SPS Agreement. 2. Sanitary or phytosanitary measures which conform to the relevant provisions of this Chapter are presumed to be consistent with the obligations of the Parties under Chapter 2 (National Treatment and Market Access for Goods), which relate to the use of sanitary or phytosanitary measures, and Article XX(b) of the GATT 1994 as incorporated into Article 32.1 (General Exceptions). 3. Sanitary or phytosanitary measures which conform to relevant international standards, guidelines, and recommendations are deemed to be necessary to protect human, animal, or plant life or health, and presumed to be consistent with the relevant provisions of this Chapter, Chapter 2 (National Treatment and Market Access for Goods), which relate to the use of sanitary or phytosanitary measures, and Article XX(b) of the GATT 1994 as incorporated into Article 32.1 (General Exceptions).</w:t>
      </w:r>
    </w:p>
    <w:p>
      <w:pPr>
        <w:pStyle w:val="Normal"/>
        <w:keepNext w:val="true"/>
        <w:widowControl/>
        <w:rPr/>
      </w:pPr>
      <w:r>
        <w:rPr/>
        <w:t>Article 9.5: Competent Authorities and Contact Points 1. Each Party shall provide to the other Parties a list of its central level of government competent authorities. On request of a Party, and, if applicable, a Party shall provide contact information or written descriptions of the sanitary and phytosanitary responsibilities of its competent authorities. 2. Each Party shall designate and notify a contact point for matters arising under this Chapter, in accordance with Article 30.5 (Agreement Coordinator and Contact Points). 3. Each Party shall promptly inform the other Parties of any change in its competent authorities or contact points.</w:t>
      </w:r>
    </w:p>
    <w:p>
      <w:pPr>
        <w:pStyle w:val="Normal"/>
        <w:keepNext w:val="true"/>
        <w:widowControl/>
        <w:rPr/>
      </w:pPr>
      <w:r>
        <w:rPr/>
        <w:t>Article 9.6: Science and Risk Analysis 1. The Parties recognize the importance of ensuring that their respective sanitary and phytosanitary measures are based on scientific principles. 2. Each Party has the right to adopt or maintain sanitary and phytosanitary measures necessary for the protection of human, animal, or plant life or health, provided that those measures are not inconsistent with the provisions of this Chapter. 3. Each Party shall base its sanitary and phytosanitary measures on relevant international standards, guidelines, or recommendations provided that doing so meets the Party’s appropriate level of sanitary or phytosanitary protection (appropriate level of protection). If a sanitary or phytosanitary measure is not based on relevant international standards, guidelines, or recommendations, or if relevant international standards, guidelines, or recommendations do not exist, the Party shall ensure that its sanitary or phytosanitary measure is based on an assessment, as appropriate to the circumstances, of the risk to human, animal, or plant life or health. 4.</w:t>
      </w:r>
    </w:p>
    <w:p>
      <w:pPr>
        <w:pStyle w:val="Normal"/>
        <w:widowControl/>
        <w:rPr/>
      </w:pPr>
      <w:r>
        <w:rPr/>
        <w:t>Recognizing the Parties’ rights and obligations under the relevant provisions of the SPS Agreement, this Chapter does not prevent a Party from: (a) establishing the level of protection it determines to be appropriate; (b) establishing or maintaining an approval procedure that requires a risk assessment to be conducted before the Party grants a product access to its market; or (c) adopting or maintaining a sanitary or phytosanitary measure on a provisional basis if relevant scientific evidence is insufficient. 5. If a Party adopts or maintains a provisional sanitary or phytosanitary measure if relevant scientific evidence is insufficient, the Party shall within a reasonable period of time: (a) seek to obtain the additional information necessary for a more objective assessment of risk; (b) complete the risk assessment after obtaining the requisite information; and (c) review and, if appropriate, revise the provisional measure in light of the risk assessment. 6.</w:t>
      </w:r>
    </w:p>
    <w:p>
      <w:pPr>
        <w:pStyle w:val="Normal"/>
        <w:widowControl/>
        <w:rPr/>
      </w:pPr>
      <w:r>
        <w:rPr/>
        <w:t>Each Party shall ensure that its sanitary and phytosanitary measures: (a) are applied only to the extent necessary to protect human, animal, or plant life or health; (b) are based on relevant scientific principles, taking into account relevant factors, including, if appropriate, different geographic conditions; (c) are not maintained if there is no longer a scientific basis; (d) do not arbitrarily or unjustifiably discriminate between Parties where identical or similar conditions prevail, including between its own territory and that of other Parties; and (e) are not applied in a manner that constitutes a disguised restriction on trade between the Parties. 7. Each Party shall conduct its risk assessment and risk management with respect to a sanitary or phytosanitary regulation within the scope of Annex B of the SPS Agreement in a manner that is documented and provides the other Parties and persons of the Parties an opportunity to comment, in a manner to be determined by that Party. 8.</w:t>
      </w:r>
    </w:p>
    <w:p>
      <w:pPr>
        <w:pStyle w:val="Normal"/>
        <w:widowControl/>
        <w:rPr/>
      </w:pPr>
      <w:r>
        <w:rPr/>
        <w:t>In conducting its risk assessment and risk management, each Party shall: (a) ensure that each risk assessment it conducts is appropriate to the circumstances of the risk to human, animal, or plant life or health, and takes into account the available relevant scientific evidence, including qualitative and quantitative data and information; and (b) take into account relevant guidance of the WTO SPS Committee and the relevant international standards, guidelines, and recommendations of the relevant international organization. 9. Each Party shall consider, as a risk management option, taking no measure if that would achieve the Party’s appropriate level of protection. 10. Without prejudice to Article 9.4 (General Provisions), each Party shall select a sanitary or phytosanitary measure that is not more trade restrictive than required to achieve the level of protection that the Party has determined to be appropriate. For greater certainty, a sanitary or phytosanitary measure is not more trade restrictive than required unless there is another option that is reasonably available, taking into account technical and economic feasibility, that achieves the Party’s appropriate level of protection and is significantly less restrictive to trade. 11.</w:t>
      </w:r>
    </w:p>
    <w:p>
      <w:pPr>
        <w:pStyle w:val="Normal"/>
        <w:widowControl/>
        <w:rPr/>
      </w:pPr>
      <w:r>
        <w:rPr/>
        <w:t>If an importing Party requires a risk assessment to evaluate a request from an exporting Party to authorize importation of a good of that exporting Party, the importing Party shall provide, on request of the exporting Party, an explanation of the information required for the risk assessment. On receipt of the requisite information from the exporting Party, the importing Party shall endeavor to facilitate the evaluation of the request for authorization by scheduling work on this request in accordance with the procedures, policies, resources, laws, and regulations of the importing Party. 12. On request of the exporting Party, the importing Party shall inform the exporting Party of the status of a request to authorize trade, including the status of any risk assessment or other evaluation the Party requires to authorize trade, and of any delay that occurs during the process. 13. If the importing Party, as a result of a risk assessment, adopts a sanitary or phytosanitary measure that may facilitate trade between the Parties, the importing Party shall implement the measure without undue delay. 14.</w:t>
      </w:r>
    </w:p>
    <w:p>
      <w:pPr>
        <w:pStyle w:val="Normal"/>
        <w:widowControl/>
        <w:rPr/>
      </w:pPr>
      <w:r>
        <w:rPr/>
        <w:t>If a Party has reason to believe that a specific sanitary or phytosanitary measure adopted or maintained by another Party is constraining, or has the potential to constrain, its exports and the measure is not based on a relevant international standard, guideline, or recommendation, or a relevant standard, guideline, or recommendation does not exist, the Party adopting or maintaining the measure shall provide an explanation of the reasons and pertinent relevant information regarding the measure upon request by the other Party. 15. Without prejudice to Article 9.14 (Emergency Measures), no Party shall stop the importation of a good of another Party for the reason that the importing Party is undertaking a review of its sanitary or phytosanitary measure, if the importing Party permitted the importation of that good of the other Party when the review was initiated.1 1 For greater certainty, a Party is not stopping imports because it is undertaking a review if the Party stops imports on the basis that the review identifies that the information necessary to permit the importation of a good is lacking.</w:t>
      </w:r>
    </w:p>
    <w:p>
      <w:pPr>
        <w:pStyle w:val="Normal"/>
        <w:keepNext w:val="true"/>
        <w:widowControl/>
        <w:rPr/>
      </w:pPr>
      <w:r>
        <w:rPr/>
        <w:t>Article 9.7: Enhancing Compatibility of Sanitary and Phytosanitary Measures 1. Each Party recognizes that enhancing the compatibility of its sanitary and phytosanitary measures with the measures of another Party may facilitate trade while maintaining each Party’s right to determine its appropriate level of protection. 2. To reduce unnecessary obstacles to trade, each Party shall endeavor to enhance the compatibility of its sanitary and phytosanitary measures with the sanitary and phytosanitary measures of the other Parties, provided that doing so does not reduce each Party’s appropriate level of protection. In so doing, each Party: (a) is encouraged to consider relevant actual or proposed sanitary or phytosanitary measures of the other Parties in the development, modification, or adoption of their sanitary or phytosanitary measures; and (b) shall have the objective, among others, of making its sanitary and phytosanitary measures equivalent or, if appropriate, identical to those of the other Parties, but only to the extent that doing either does not reduce the Party’s appropriate level of protection.</w:t>
      </w:r>
    </w:p>
    <w:p>
      <w:pPr>
        <w:pStyle w:val="Normal"/>
        <w:keepNext w:val="true"/>
        <w:widowControl/>
        <w:rPr/>
      </w:pPr>
      <w:r>
        <w:rPr/>
        <w:t>Article 9.8: Adaptation to Regional Conditions, Including Pest- or Disease-Free Areas and Areas of Low Pest or Disease Prevalence 1. The Parties recognize that adaptation to regional conditions, including regionalization, zoning, and compartmentalization, is an important means to facilitate trade. 2. The Parties shall endeavour to cooperate on the recognition of pest- or disease-free areas, and areas of low pest or disease prevalence with the objective of acquiring confidence in the procedures followed by each Party for the recognition of pest- or disease-free areas, and areas of low pest or disease prevalence. 3. In making a determination regarding regional conditions, each Party shall take into account the relevant guidance of the WTO SPS Committee and relevant international standards, guidelines, and recommendations. 4. If an importing Party receives from an exporting Party a request for a determination of regional conditions and determines that the exporting Party has provided sufficient information, the importing Party shall initiate an assessment without undue delay.</w:t>
      </w:r>
    </w:p>
    <w:p>
      <w:pPr>
        <w:pStyle w:val="Normal"/>
        <w:widowControl/>
        <w:rPr/>
      </w:pPr>
      <w:r>
        <w:rPr/>
        <w:t>For this purpose, each exporting Party shall provide reasonable access in its territory to the importing Party for inspection, testing, and other relevant procedures. 5. The importing Party shall inform the exporting Party of receipt of information provided by the exporting Party under paragraph 4.</w:t>
      </w:r>
    </w:p>
    <w:p>
      <w:pPr>
        <w:pStyle w:val="Normal"/>
        <w:widowControl/>
        <w:rPr/>
      </w:pPr>
      <w:r>
        <w:rPr/>
        <w:t>The importing Party shall evaluate the information provided by the exporting Party and shall inform the exporting Party whether the information is sufficient to evaluate a request for adaptation to regional conditions. The importing Party may request additional relevant information or an on-site verification, if justified, based on the results of the ongoing evaluation. 6. When an importing Party initiates an evaluation of a request for a determination of regional conditions under paragraph 4, that Party shall explain, on request of the exporting Party, its process for making the determination of regional conditions without undue delay. 7. On request from the exporting Party, the importing Party’s competent authority shall consider whether a streamlined process may be used for the determination of regional conditions. 8. If the importing and exporting Parties’ competent authorities decide that a request for a determination of regional conditions is a priority, and the importing Party has received sufficient information, as referenced in paragraph 4, the competent authorities involved shall establish reasonable timeframes based on the circumstances and may establish a work plan under which the importing Party, under normal circumstances2, may finalize the determination. The determination may be positive or negative. 9.</w:t>
      </w:r>
    </w:p>
    <w:p>
      <w:pPr>
        <w:pStyle w:val="Normal"/>
        <w:widowControl/>
        <w:rPr/>
      </w:pPr>
      <w:r>
        <w:rPr/>
        <w:t>On request of the exporting Party, the importing Party shall inform the exporting Party of the status of the evaluation of the exporting Party’s request for a determination of regional conditions. 10. The importing Party shall finalize the evaluation and all necessary stages involved for the determination of regional conditions of the exporting Party without undue delay once the importing Party’s competent authority determines that it has received sufficient information from the exporting Party. 11. If the evaluation results in the recognition of specific regional conditions of an exporting Party, the importing Party shall communicate this determination to the exporting Party in writing and shall apply this recognition without undue delay. 12. If the evaluation of the evidence provided by the exporting Party does not result in a determination to recognize pest- or disease-free areas or areas of low pest and disease prevalence, the importing Party shall provide in writing to the exporting Party with the rationale for its determination. 13. The importing and exporting Parties involved in a particular determination of regional conditions may also decide in advance the risk management measures that will apply to trade between them in the event of a change in the status.</w:t>
      </w:r>
    </w:p>
    <w:p>
      <w:pPr>
        <w:pStyle w:val="Normal"/>
        <w:widowControl/>
        <w:rPr/>
      </w:pPr>
      <w:r>
        <w:rPr/>
        <w:t>For the purposes of this paragraph, “normal circumstances” do not include any extraordinary or unanticipated situations, such as unanticipated risks to human, animal, or plant life or health, or resource or regulatory constraints. 14. If there is an incident that results in a change of status, the exporting Party shall inform the importing Party. If the importing Party modifies or revokes the determination recognizing regional conditions as a result of the change in status, on request of the exporting Party, the Parties involved shall cooperate to assess whether the determination can be reinstated. 15. The Parties involved in a determination recognizing regional conditions shall, if mutually decided, report the outcome to the SPS Committee.</w:t>
      </w:r>
    </w:p>
    <w:p>
      <w:pPr>
        <w:pStyle w:val="Normal"/>
        <w:keepNext w:val="true"/>
        <w:widowControl/>
        <w:rPr/>
      </w:pPr>
      <w:r>
        <w:rPr/>
        <w:t>Article 9.9: Equivalence 1. The Parties recognize that a positive determination of equivalence of sanitary and phytosanitary measures is an important means to facilitate trade. 2. Further to Article 4 of the SPS Agreement, the Parties shall apply a recognition of equivalence to a specific sanitary or phytosanitary measure, or to the extent feasible and appropriate, to a group of measures or on a systems-wide basis. In determining the equivalence of a specific sanitary or phytosanitary measure, group of measures, or measures on a systems- wide basis, each Party shall take into account the relevant guidance of the WTO SPS Committee and relevant international standards, guidelines, and recommendations. 3. On request of the exporting Party, the importing Party shall explain the objective and rationale of its sanitary or phytosanitary measure and identify the risk the sanitary or phytosanitary measure is intended to address. 4. When an importing Party receives a request for a determination of equivalence from an exporting Party and determines that the exporting Party has provided sufficient information, the importing Party shall initiate an assessment without undue delay.</w:t>
      </w:r>
    </w:p>
    <w:p>
      <w:pPr>
        <w:pStyle w:val="Normal"/>
        <w:widowControl/>
        <w:rPr/>
      </w:pPr>
      <w:r>
        <w:rPr/>
        <w:t>5. When an importing Party initiates an equivalence assessment, the importing Party shall explain, on request of the exporting Party, and without undue delay, its process for making the determination of equivalence, and, if the determination results in recognition, its plan for enabling trade. 6.</w:t>
      </w:r>
    </w:p>
    <w:p>
      <w:pPr>
        <w:pStyle w:val="Normal"/>
        <w:widowControl/>
        <w:rPr/>
      </w:pPr>
      <w:r>
        <w:rPr/>
        <w:t>On request of the exporting Party, the importing Party’s competent authority shall consider whether a streamlined process may be used to determine equivalence. 7. If the importing and exporting Parties’ competent authorities decide that a request for a determination of equivalence is a priority, and the importing Party has received sufficient information, as referenced in paragraph 4, the competent authorities involved shall establish reasonable timeframes based on the circumstances and may establish a work plan under which the importing Party, under normal circumstances3, may finalize the determination. The determination may be positive or negative. 8. On request of the exporting Party, the importing Party shall inform the exporting Party of the status of the equivalence assessment. 9. Once the importing Party determines that the information provided by the exporting Party is sufficient to finalize the assessment, the importing Party shall finalize the assessment and communicate the results of the assessment to the exporting Party without undue delay. 10. In determining equivalence, an importing Party shall take into account available knowledge, information, and relevant experience, including knowledge acquired through experience with the exporting Party’s relevant competent authority. 11.</w:t>
      </w:r>
    </w:p>
    <w:p>
      <w:pPr>
        <w:pStyle w:val="Normal"/>
        <w:widowControl/>
        <w:rPr/>
      </w:pPr>
      <w:r>
        <w:rPr/>
        <w:t>An importing Party shall recognize the equivalence of a sanitary or phytosanitary measure, group of measures, or system, even if the measure, group of measures, or system differs from its own, if the exporting Party objectively demonstrates to the importing Party that the exporting Party’s measure achieves the importing Party’s appropriate level of protection, taking into account outcomes that the exporting Party’s measure, group of measures, or system achieves. 12. If an importing Party adopts a measure that recognizes the equivalence of an exporting Party’s specific sanitary or phytosanitary measure, group of measures, or measures on a systems- wide basis, the importing Party shall communicate that measure to the exporting Party in writing and implement the measure without undue delay. 13. The Parties involved in an equivalence determination that results in recognition shall, if mutually decided, report the outcome to the SPS Committee. 14. If an assessment does not result in the recognition of equivalence, the importing Party shall communicate that determination and its rationale to the exporting Party without undue delay. 15.</w:t>
      </w:r>
    </w:p>
    <w:p>
      <w:pPr>
        <w:pStyle w:val="Normal"/>
        <w:widowControl/>
        <w:rPr/>
      </w:pPr>
      <w:r>
        <w:rPr/>
        <w:t>If a Party plans to adopt, modify, or repeal a measure that is the subject of a sanitary or phytosanitary equivalence recognition, the following applies: (a) The Party shall notify the other Party involved in the recognition of its plan.</w:t>
      </w:r>
    </w:p>
    <w:p>
      <w:pPr>
        <w:pStyle w:val="Normal"/>
        <w:widowControl/>
        <w:rPr/>
      </w:pPr>
      <w:r>
        <w:rPr/>
        <w:t>The notification should take place at an early appropriate stage where any comments submitted by the other Party can be taken into account, including by revising its plan. Upon request of a Party involved in the recognition, the Parties involved For the purposes of this paragraph, “normal circumstances” do not include any extraordinary or unanticipated situations, such as unanticipated risks to human, animal or plant life or health, or resource or regulatory constraints. shall discuss whether the adoption, modification, or repeal of the measure may affect the equivalence recognition. (b) The Party shall, upon request of the other Party, provide information and rationale concerning its planned adoption, modification, or repeal. The other Party shall review any information provided to it and submit any comments to the Party that plans to adopt, modify, or repeal the measure, without undue delay. (c) The importing Party shall not revoke its recognition of equivalence on the basis that an adoption, modification, or repeal of the measure is pending. 16.</w:t>
      </w:r>
    </w:p>
    <w:p>
      <w:pPr>
        <w:pStyle w:val="Normal"/>
        <w:widowControl/>
        <w:rPr/>
      </w:pPr>
      <w:r>
        <w:rPr/>
        <w:t>If a Party adopts, modifies, or repeals a measure that is the subject of a sanitary or phytosanitary recognition of equivalence, the importing Party shall maintain its recognition of equivalence provided that the exporting Party’s measures concerning the good continue to achieve the appropriate level of protection of the importing Party.</w:t>
      </w:r>
    </w:p>
    <w:p>
      <w:pPr>
        <w:pStyle w:val="Normal"/>
        <w:widowControl/>
        <w:rPr/>
      </w:pPr>
      <w:r>
        <w:rPr/>
        <w:t>Upon request of a Party, the Parties involved in the recognition shall promptly discuss the determination made by the importing Party. 17. If a Party adopts, modifies, or repeals a measure that is the subject of a sanitary or phytosanitary recognition of equivalence, the importing Party shall: (a) continue to accept the recognition of equivalence until it has communicated to the exporting Party whether other requirements must be met to maintain equivalence; and (b) if other requirements under subparagraph (a) must be met, upon request, discuss those requirements with the exporting Party.</w:t>
      </w:r>
    </w:p>
    <w:p>
      <w:pPr>
        <w:pStyle w:val="Normal"/>
        <w:keepNext w:val="true"/>
        <w:widowControl/>
        <w:rPr/>
      </w:pPr>
      <w:r>
        <w:rPr/>
        <w:t>Article 9.10: Audits4 1. To determine an exporting Party’s ability to comply with the importing Party’s sanitary or phytosanitary requirements or to verify an exporting Party’s compliance with its sanitary or phytosanitary requirements that the importing Party has determined to be equivalent, the importing Party shall have the right to audit the exporting Party’s competent authorities, including associated or designated inspection systems in accordance with this Article. That audit may include an assessment of the competent authorities’ control programs, including, if appropriate and feasible, the inspection programs, audit programs, or on-site inspections of facilities or other agriculture production areas. For greater certainty, the Parties recognize that an inspection of a facility and other premises relevant to the inspection in a Party’s territory in order to verify compliance with applicable sanitary or phytosanitary measures is a distinct activity from an audit and the provisions of this Article do not apply to that inspection. 2. An audit must be systems-based and designed to check the effectiveness of the regulatory controls of the competent authorities of the exporting Party. 3.</w:t>
      </w:r>
    </w:p>
    <w:p>
      <w:pPr>
        <w:pStyle w:val="Normal"/>
        <w:widowControl/>
        <w:rPr/>
      </w:pPr>
      <w:r>
        <w:rPr/>
        <w:t>In undertaking an audit, a Party shall take into account relevant guidance of the WTO SPS Committee and relevant international standards, guidelines, and recommendations. 4.</w:t>
      </w:r>
    </w:p>
    <w:p>
      <w:pPr>
        <w:pStyle w:val="Normal"/>
        <w:widowControl/>
        <w:rPr/>
      </w:pPr>
      <w:r>
        <w:rPr/>
        <w:t>Prior to the commencement of an audit, the auditing and audited Parties shall discuss: the rationale, objectives, and scope of the audit; and the criteria or requirements against which the audited Party will be assessed. Also at that time, the auditing and audited Parties shall decide the itinerary and procedures for conducting the audit. 5. Unless the auditing and audited Parties decide otherwise, the auditing Party shall hold an exit meeting at the end of the audit that includes an opportunity for the competent authority of the audited Party to raise questions or seek clarification on the preliminary findings and observations provided at the meeting. 6. The auditing Party shall provide the audited Party the draft written audit report, including its initial findings. The auditing Party shall provide the audited Party the opportunity to comment on the accuracy of the draft audit report and shall take any such comments into account before the auditing Party finalizes its report. The auditing Party shall provide a final audit report setting out its conclusions in writing to the audited Party within a reasonable period of time. 7.</w:t>
      </w:r>
    </w:p>
    <w:p>
      <w:pPr>
        <w:pStyle w:val="Normal"/>
        <w:widowControl/>
        <w:rPr/>
      </w:pPr>
      <w:r>
        <w:rPr/>
        <w:t>In undertaking an audit in cases in which an importing Party has recognized equivalence on a system-wide basis, the importing Party shall: (a) conduct the audit to verify that the audited Party’s system achieves an equivalent outcome to the sanitary or phytosanitary appropriate level of protection of the importing Party; and (b) audit against the exporting Party’s implementation of the equivalent oversight and control system. 8. If a Party has recognized another Party’s system as equivalent, the competent authorities of the Parties involved in the recognition may discuss schedules of the audits of that system. 9. A decision or action taken by the auditing Party as a result of the audit must be supported by objective evidence and data that can be verified, taking into account the auditing Party’s knowledge of, relevant experience with, and confidence in, the audited Party’s regulatory controls. The auditing Party shall, on request of the audited Party, provide this objective evidence and data. 10.</w:t>
      </w:r>
    </w:p>
    <w:p>
      <w:pPr>
        <w:pStyle w:val="Normal"/>
        <w:widowControl/>
        <w:rPr/>
      </w:pPr>
      <w:r>
        <w:rPr/>
        <w:t>The costs incurred by the auditing Party shall be borne by the auditing Party, unless the auditing and audited Parties decide otherwise. 11. The auditing Party and audited Party shall each ensure that procedures are in place to prevent the disclosure of confidential information that is acquired during the audit process. 12.</w:t>
      </w:r>
    </w:p>
    <w:p>
      <w:pPr>
        <w:pStyle w:val="Normal"/>
        <w:widowControl/>
        <w:rPr/>
      </w:pPr>
      <w:r>
        <w:rPr/>
        <w:t>If the auditing Party makes a final audit report publicly available, the final audit report must incorporate, or be accompanied by, the comments or written response to the draft report provided by the competent authority of the audited Party. 13. The Parties may decide, if possible, to: (a) collaborate on audits of non-Parties; or (b) share the results of audits of non-Parties.</w:t>
      </w:r>
    </w:p>
    <w:p>
      <w:pPr>
        <w:pStyle w:val="Normal"/>
        <w:keepNext w:val="true"/>
        <w:widowControl/>
        <w:rPr/>
      </w:pPr>
      <w:r>
        <w:rPr/>
        <w:t>Article 9.11: Import Checks 1. An importing Party may use import checks to assess compliance with its sanitary and phytosanitary measures and to obtain information to assess risk or to determine the need for, develop, or periodically review a risk-based import check. 2. Each Party shall ensure that its import checks are based on the risks associated with importations, and that its import checks are carried out without undue delay. 3. A Party shall make available to another Party, on request, information on its import procedures and its basis for determining the nature and frequency of import checks, including the factors it considers to determine the risks associated with importations. 4. A Party may change the frequency of its import checks as a result of experience gained through import checks or as a result of actions or discussions provided for in this Chapter. 5. An importing Party shall provide to another Party, on request, information regarding the analytical methods, quality controls, sampling procedures, and facilities that the importing Party uses to test a good.</w:t>
      </w:r>
    </w:p>
    <w:p>
      <w:pPr>
        <w:pStyle w:val="Normal"/>
        <w:widowControl/>
        <w:rPr/>
      </w:pPr>
      <w:r>
        <w:rPr/>
        <w:t>The importing Party shall ensure that any testing is conducted using appropriate and validated methods under a quality assurance program that is consistent with international laboratory standards.</w:t>
      </w:r>
    </w:p>
    <w:p>
      <w:pPr>
        <w:pStyle w:val="Normal"/>
        <w:widowControl/>
        <w:rPr/>
      </w:pPr>
      <w:r>
        <w:rPr/>
        <w:t>The importing Party shall maintain physical or electronic documentation regarding the identification, collection, sampling, transportation and storage of the test sample, and the analytical methods used on the test sample. 6. Each Party, with respect to any import check that it conducts, shall: (a) limit any requirements regarding individual specimens or samples of an import to those that are reasonable and necessary; (b) ensure that any fees imposed for the procedures on imported products are equitable in relation to any fees charged on like domestic products or products originating in any other Party or non-Party and should be no higher than the actual cost of the service; (c) use criteria for selecting facilities at which an import check is conducted: (i) so that the location does not cause unnecessary inconvenience to an applicant or its agent, and (ii) so that the integrity of the good is preserved, except for the individual specimens or samples obtained pursuant to the requirements referred to in subparagraph (a). 7.</w:t>
      </w:r>
    </w:p>
    <w:p>
      <w:pPr>
        <w:pStyle w:val="Normal"/>
        <w:widowControl/>
        <w:rPr/>
      </w:pPr>
      <w:r>
        <w:rPr/>
        <w:t>An importing Party shall ensure that its final decision in response to a finding of non conformity with the importing Party’s sanitary or phytosanitary measure is limited to what is reasonable and necessary in response to the non-conformity. 8.</w:t>
      </w:r>
    </w:p>
    <w:p>
      <w:pPr>
        <w:pStyle w:val="Normal"/>
        <w:widowControl/>
        <w:rPr/>
      </w:pPr>
      <w:r>
        <w:rPr/>
        <w:t>If an importing Party prohibits or restricts the importation of a good of another Party on the basis of an adverse result of an import check, the importing Party shall provide a notification, if practicable by electronic means, about the adverse result to at least one of the following: the importer or its agent; the exporter; or the manufacturer. 9. When the importing Party provides a notification pursuant to paragraph 8, the Party shall: (a) include in its notification: (i) the reason for the prohibition or restriction, (ii) the legal basis or authorization for the action, and (iii) information on the status of the affected goods including, if applicable: (A) relevant laboratory results and laboratory methodologies, if requested and possible to include; (B) in the case of pest interceptions, an identification of the pests at the species level, if available; and (C) information on the disposition of goods, if appropriate; and (b) transmit the notification as soon as possible, and, in any event, under normal circumstances no later than five days after the date of the decision to prohibit or restrict, unless the good is seized by a customs administration or subject to ongoing law enforcement action. 10.</w:t>
      </w:r>
    </w:p>
    <w:p>
      <w:pPr>
        <w:pStyle w:val="Normal"/>
        <w:widowControl/>
        <w:rPr/>
      </w:pPr>
      <w:r>
        <w:rPr/>
        <w:t>An importing Party that prohibits or restricts the importation of a good of another Party on the basis of an adverse result of an import check shall provide an opportunity for a review of the decision and consider any relevant information submitted to assist in the review.5 The review request and information should be submitted to the importing Party within a reasonable period of time. 11. Paragraph 9 does not prevent an importing Party from disposing of goods which are found to have an infectious pathogen or pest that, if urgent action is not taken, can spread and cause damage to human, animal, or plant life or health in the Party’s territory. 12. If an importing Party determines that there is a significant, sustained or recurring pattern of non-conformity with a sanitary or phytosanitary measure, the importing Party shall notify the exporting Party of the pattern of non-conformity. 13. On request, an importing Party shall provide to the exporting Party available information on goods of the exporting Party that were found not to conform to a sanitary or phytosanitary measure of the importing Party.</w:t>
      </w:r>
    </w:p>
    <w:p>
      <w:pPr>
        <w:pStyle w:val="Normal"/>
        <w:keepNext w:val="true"/>
        <w:widowControl/>
        <w:rPr/>
      </w:pPr>
      <w:r>
        <w:rPr/>
        <w:t>Article 9.12: Certification 1. The Parties recognize that assurances with respect to sanitary or phytosanitary requirements may be provided through means other than certificates. 2. Each Party shall ensure that at least one of the following conditions is satisfied before imposing a sanitary or phytosanitary certification requirement: (a) the certification requirement is based on the relevant international standards; or (b) the certification requirement is appropriate to the circumstances of risks to human, animal, or plant life or health at issue.6 5 For greater certainty, a Party shall provide an opportunity for review to at least one of the following: the importer or its agent, the exporter, or the manufacturer of the good, and the review shall be conducted by the customs administration or the relevant competent authority. 6 For greater certainty, a certification requirement concerning non-sanitary or phytosanitary requirements, including the quality of a product or information relating to consumer preferences, does not constitute a certification requirement appropriate to the circumstances of a risk to human, animal, or plant life or health. 3.</w:t>
      </w:r>
    </w:p>
    <w:p>
      <w:pPr>
        <w:pStyle w:val="Normal"/>
        <w:widowControl/>
        <w:rPr/>
      </w:pPr>
      <w:r>
        <w:rPr/>
        <w:t>If an importing Party requires certification for trade in a good, that Party shall ensure that the certification requirement is applied only to the extent necessary to meet its appropriate level of protection. 4.</w:t>
      </w:r>
    </w:p>
    <w:p>
      <w:pPr>
        <w:pStyle w:val="Normal"/>
        <w:widowControl/>
        <w:rPr/>
      </w:pPr>
      <w:r>
        <w:rPr/>
        <w:t>In applying certification requirements, an importing Party shall take into account relevant guidance of the WTO SPS Committee and relevant international standards, guidelines, and recommendations. 5. An importing Party shall limit attestations and information it requires on the certificates to essential information that is necessary to provide assurances to the importing Party that its appropriate level of protection has been met. 6. An importing Party shall provide to another Party, on request, the rationale for any attestations or information that the importing Party requires to be included on a certificate. 7. The Parties may decide to work cooperatively to develop model certificates to accompany specific goods traded between the Parties, taking into account relevant guidance of the WTO SPS Committee and relevant international standards, guidelines, and recommendations. 8. The Parties shall promote the implementation of electronic certification and other technologies to facilitate trade.</w:t>
      </w:r>
    </w:p>
    <w:p>
      <w:pPr>
        <w:pStyle w:val="Normal"/>
        <w:keepNext w:val="true"/>
        <w:widowControl/>
        <w:rPr/>
      </w:pPr>
      <w:r>
        <w:rPr/>
        <w:t>Article 9.13: Transparency 1. This Article applies to sanitary or phytosanitary measures that constitute sanitary or phytosanitary regulations for the purposes of Annex B of the SPS Agreement. 2. The Parties recognize the value of sharing information about their sanitary and phytosanitary measures on an ongoing basis, and of providing other Parties and persons of the Parties with the opportunity to comment on their proposed sanitary or phytosanitary measures. 3. In implementing this Article, each Party shall take into account relevant guidance of the WTO SPS Committee and relevant international standards, guidelines, and recommendations. 4. A Party shall notify a proposed sanitary or phytosanitary measure that may have an effect on the trade of another Party, including any that conforms to international standards, guidelines, or recommendations, by using the WTO SPS notification submission system as a means of notifying the other Parties. 5.</w:t>
      </w:r>
    </w:p>
    <w:p>
      <w:pPr>
        <w:pStyle w:val="Normal"/>
        <w:widowControl/>
        <w:rPr/>
      </w:pPr>
      <w:r>
        <w:rPr/>
        <w:t>Unless urgent problems of human, animal, or plant life or health protection arise or threaten to arise requiring the adoption of an emergency measure, or the measure is of a trade- facilitating nature, a Party shall normally allow at least 60 days for the other Parties or persons of the Parties to provide written comments on the proposed measure, other than proposed legislation, after it makes the notification under paragraph 4.</w:t>
      </w:r>
    </w:p>
    <w:p>
      <w:pPr>
        <w:pStyle w:val="Normal"/>
        <w:widowControl/>
        <w:rPr/>
      </w:pPr>
      <w:r>
        <w:rPr/>
        <w:t>The Party shall consider any reasonable request from another Party or persons of the Parties to extend the comment period. On request of another Party, the Party shall respond to the written comments of the other Party in an appropriate manner. 6. The Party shall make available on a free, publicly available website or official journal, the proposed sanitary or phytosanitary measure notified under paragraph 4, the legal basis for the measure, and the written comments or a summary of the written comments that the Party has received from the public on the proposed measure. 7. If a Party proposes a sanitary or phytosanitary measure that does not conform to a relevant international standard, guideline, or recommendation, the Party shall provide to another Party, on request, the relevant documentation that the Party considered in developing the proposed measure, including documented and objective scientific evidence related to the measure, such as risk assessments, relevant studies, and expert opinions. 8.</w:t>
      </w:r>
    </w:p>
    <w:p>
      <w:pPr>
        <w:pStyle w:val="Normal"/>
        <w:widowControl/>
        <w:rPr/>
      </w:pPr>
      <w:r>
        <w:rPr/>
        <w:t>A Party that proposes to adopt a sanitary or phytosanitary measure shall discuss with another Party, on request and when appropriate during its regulatory process, any scientific or trade concerns that the other Party may raise regarding the proposed measure and the availability of alternative, less trade-restrictive approaches for achieving the Party’s appropriate level of protection. 9.</w:t>
      </w:r>
    </w:p>
    <w:p>
      <w:pPr>
        <w:pStyle w:val="Normal"/>
        <w:widowControl/>
        <w:rPr/>
      </w:pPr>
      <w:r>
        <w:rPr/>
        <w:t>Each Party shall publish, preferably by electronic means, notices of final sanitary or phytosanitary measures in an official journal or website. 10. Each Party shall notify the other Parties of final sanitary or phytosanitary measures through the WTO SPS notification submission system. Each Party shall ensure that the text or the notice of a final sanitary or phytosanitary measure specifies the date on which the measure takes effect and the legal basis for the measure. A Party shall also make available to another Party, on request, and to the extent permitted by the confidentiality and privacy requirements of the Party’s law, significant written comments and relevant documentation considered to support the measure that were received during the comment period. 11. If a final sanitary or phytosanitary measure is substantively altered from the proposed measure, a Party shall also include in the notice of the final sanitary or phytosanitary measure that it publishes, an explanation of: (a) the objective and rationale of the measure and how the measure advances that objective and rationale; and (b) any substantive revisions that it made to the proposed measure. 12.</w:t>
      </w:r>
    </w:p>
    <w:p>
      <w:pPr>
        <w:pStyle w:val="Normal"/>
        <w:widowControl/>
        <w:rPr/>
      </w:pPr>
      <w:r>
        <w:rPr/>
        <w:t>An exporting Party shall notify the importing Party through the contact points referred to in Article 9.5 (Competent Authorities and Contact Points) in a timely and appropriate manner: (a) if it has knowledge of a significant sanitary or phytosanitary risk related to the export of a good from its territory; (b) of urgent situations where a change in animal or plant health status in the territory of the exporting Party may affect current trade; (c) of significant changes in the status of a regionalized pest or disease; (d) of new scientific findings of importance which affect the regulatory response with respect to food safety, pests, or diseases; and (e) of significant changes in food safety, pest, or disease management, control or eradication policies or practices that may affect trade. 13.</w:t>
      </w:r>
    </w:p>
    <w:p>
      <w:pPr>
        <w:pStyle w:val="Normal"/>
        <w:widowControl/>
        <w:rPr/>
      </w:pPr>
      <w:r>
        <w:rPr/>
        <w:t>If feasible and appropriate, a Party shall normally provide an interval of not less than six months between the date it publishes a final sanitary or phytosanitary measure and the date on which the measure takes effect, unless the measure is intended to address an urgent problem of human, animal, or plant life or health protection or the measure facilitates trade. 14. A Party shall make available to another Party, on request, all sanitary or phytosanitary measures related to the importation of a good into that Party’s territory.</w:t>
      </w:r>
    </w:p>
    <w:p>
      <w:pPr>
        <w:pStyle w:val="Normal"/>
        <w:keepNext w:val="true"/>
        <w:widowControl/>
        <w:rPr/>
      </w:pPr>
      <w:r>
        <w:rPr/>
        <w:t>Article 9.14: Emergency Measures 1. If an importing Party adopts an emergency measure to address an urgent problem of human, animal or plant life or health that arises or threatens to arise, and applies it to the exports of another Party the importing Party shall promptly notify in writing each affected Party of that measure through the normal channels. The importing Party shall take into consideration any information provided by an affected Party in response to the notification. 2. If an importing Party adopts an emergency measure under paragraph 1, it shall review the scientific basis of that measure within six months and make available the results of the review to any Party on request. If the emergency measure is maintained after the review, because the reason for its adoption remains, the Party should review the measure periodically.</w:t>
      </w:r>
    </w:p>
    <w:p>
      <w:pPr>
        <w:pStyle w:val="Normal"/>
        <w:keepNext w:val="true"/>
        <w:widowControl/>
        <w:rPr/>
      </w:pPr>
      <w:r>
        <w:rPr/>
        <w:t>Article 9.15: Information Exchange A Party may request information from another Party on a matter arising under this Chapter. A Party that receives a request for information shall endeavor to provide available information to the requesting Party within a reasonable period of time, and if possible, by electronic means.</w:t>
      </w:r>
    </w:p>
    <w:p>
      <w:pPr>
        <w:pStyle w:val="Normal"/>
        <w:keepNext w:val="true"/>
        <w:widowControl/>
        <w:rPr/>
      </w:pPr>
      <w:r>
        <w:rPr/>
        <w:t>Article 9.16: Cooperation 1. The Parties shall explore opportunities for further cooperation, collaboration, and information exchange between the Parties on sanitary and phytosanitary matters of mutual interest, consistent with this Chapter. Those opportunities may include trade facilitation initiatives and technical assistance. The Parties shall cooperate to facilitate the implementation of this Chapter. 2. The Parties shall cooperate and may work, as mutually decided, on sanitary and phytosanitary matters, including to develop as appropriate, common principles, guidelines, and approaches on matters covered by this Chapter, with the goal of eliminating unecessary obstacles to trade between the Parties. 3. If mutually decided, the Parties shall share information on their respective approaches to risk management with the objective of enhancing the compatibility of their risk management approaches. 4. The Parties are encouraged to create and develop initiatives to facilitate and promote the compatibility of their sanitary or phytosanitary measures. 5.</w:t>
      </w:r>
    </w:p>
    <w:p>
      <w:pPr>
        <w:pStyle w:val="Normal"/>
        <w:widowControl/>
        <w:rPr/>
      </w:pPr>
      <w:r>
        <w:rPr/>
        <w:t>If there is mutual interest and with the objective of establishing a common scientific foundation for each Party’s risk management approach, the competent authorities of the Parties are encouraged to: (a) share best practices on their respective approaches to risk analysis; (b) cooperate on joint scientific data collection; (c) if feasible and appropriate, undertake science-based joint risk assessments; (d) if applicable and in accordance with the procedures, policies, resources, laws, and regulations of each Party, provide access to their respective completed risk assessments and the data used to develop risk assessments; or (e) if appropriate, cooperate on aligning data requirements for risk assessments.</w:t>
      </w:r>
    </w:p>
    <w:p>
      <w:pPr>
        <w:pStyle w:val="Normal"/>
        <w:keepNext w:val="true"/>
        <w:widowControl/>
        <w:rPr/>
      </w:pPr>
      <w:r>
        <w:rPr/>
        <w:t>Article 9.17: Committee on Sanitary and Phytosanitary Measures 1. For the purposes of the effective implementation and operation of this Chapter, the Parties hereby establish a Committee on Sanitary and Phytosanitary Measures, composed of government representatives of each Party responsible for sanitary and phytosanitary matters. 2. The SPS Committee shall serve as a forum: (a) to consider any matter related to this Chapter, including relating to its implementation; (b) to improve the Parties’ understanding of sanitary or phytosanitary issues that relate to the implementation of the SPS Agreement or this Chapter; (c) to enhance mutual understanding of each Party’s sanitary or phytosanitary measures or the regulatory processes that relate to those measures; (d) to enhance communication and cooperation among the Parties related to sanitary or phytosanitary matters;</w:t>
      </w:r>
    </w:p>
    <w:p>
      <w:pPr>
        <w:pStyle w:val="Normal"/>
        <w:widowControl/>
        <w:rPr/>
      </w:pPr>
      <w:r>
        <w:rPr/>
        <w:t>(e) to identify and discuss, at an early appropriate stage, proposed sanitary or phytosanitary measures or revisions to existing sanitary or phytosanitary measures that may have a significant effect on trade in North America including for the purposes of issue avoidance and facilitating greater alignment of sanitary or phytosanitary measures; and (f) for a Party to share information, as appropriate, on a sanitary or phytosanitary matter that has arisen between it and another Party or Parties. 3.</w:t>
      </w:r>
    </w:p>
    <w:p>
      <w:pPr>
        <w:pStyle w:val="Normal"/>
        <w:widowControl/>
        <w:rPr/>
      </w:pPr>
      <w:r>
        <w:rPr/>
        <w:t>The SPS Committee may serve as a forum: (a) if appropriate, to identify and develop technical assistance and cooperation projects between the Parties on sanitary and phytosanitary measures; (b) to consult on matters and positions for meetings of the WTO SPS Committee, and meetings held under the auspices of the Codex Alimentarius Commission, the World Organisation for Animal Health, the International Plant Protection Convention, and other international organizations as appropriate; (c) to identify, prioritize, manage, and resolve bilateral or trilateral issues; (d) to review progress on addressing specific trade concerns related to the application of a sanitary or phytosanitary measure, with a view to facilitating mutually acceptable solution; (e) to establish and, as appropriate, determine the scope and mandate of technical working groups in areas such as, animal health, plant health, food safety, or pesticides, taking into account existing mechanisms, to undertake work related to the implementation of this Chapter; (f) to provide guidance to technical working groups, as needed and appropriate, for the identification, prioritization, and management of sanitary or phytosanitary matters;</w:t>
      </w:r>
    </w:p>
    <w:p>
      <w:pPr>
        <w:pStyle w:val="Normal"/>
        <w:widowControl/>
        <w:rPr/>
      </w:pPr>
      <w:r>
        <w:rPr/>
        <w:t>(g) to request updates and discuss the work of the technical working groups; (h) to review the recommendation from a technical working group regarding whether it should be continued, suspended, or dissolved; (i) to seek, to the extent practicable, the assistance of relevant international or</w:t>
      </w:r>
    </w:p>
    <w:p>
      <w:pPr>
        <w:pStyle w:val="Normal"/>
        <w:widowControl/>
        <w:rPr/>
      </w:pPr>
      <w:r>
        <w:rPr/>
        <w:t>regional organizations, such as the North American Plant Protection Organization, to obtain available scientific and technical advice and minimize duplication of effort; and (j) to facilitate the development, as appropriate, of common principles, guidelines and approaches on matters covered by this Chapter. 4. The SPS Committee shall establish its terms of reference at its first meeting and may revise those terms of reference as needed. 5. The SPS Committee shall meet within one year of the date of entry into force of this Agreement and once a year thereafter unless the Parties decide otherwise. 6. The SPS Committee shall report annually to the Commission on the implementation of this Chapter.</w:t>
      </w:r>
    </w:p>
    <w:p>
      <w:pPr>
        <w:pStyle w:val="Normal"/>
        <w:keepNext w:val="true"/>
        <w:widowControl/>
        <w:rPr/>
      </w:pPr>
      <w:r>
        <w:rPr/>
        <w:t>Article 9.18: Technical Working Groups 1. A technical working group may function on an on-going or ad hoc basis. 2. Any on-going technical working group shall meet on an annual basis unless otherwise decided by the Parties participating in the technical working group. Any ad hoc technical working group shall meet as frequently as decided by the Parties participating in the technical working group. 3. At the first meeting of a technical working group, the participating Parties shall establish the working group’s terms of reference, unless the Parties decide otherwise. 4. Any technical working group established under Article 9.17.3(e) (Committee on Sanitary and Phytosanitary Measures) may: (a) engage, at the earliest appropriate stage, in scientific or technical exchange and cooperation regarding sanitary or phytosanitary matters; (b) consider any sanitary or phytosanitary measure or set of measures identified by any Party that are likely to affect, directly or indirectly, trade, and provide technical advice with a view to facilitating the resolution of specific trade concerns relating to those measures;</w:t>
      </w:r>
    </w:p>
    <w:p>
      <w:pPr>
        <w:pStyle w:val="Normal"/>
        <w:widowControl/>
        <w:rPr/>
      </w:pPr>
      <w:r>
        <w:rPr/>
        <w:t>(c) serve as a forum to facilitate discussion and consideration of specific risk assessments and possible risk management options; (d) provide an opportunity for Parties to discuss developments relevant to the work of the technical working group; (e) discuss other issues related to this Chapter; and (f) report to the SPS Committee on progress of work, as appropriate. 5.</w:t>
      </w:r>
    </w:p>
    <w:p>
      <w:pPr>
        <w:pStyle w:val="Normal"/>
        <w:widowControl/>
        <w:rPr/>
      </w:pPr>
      <w:r>
        <w:rPr/>
        <w:t>A technical working group may provide the SPS Committee with the recommendation that it be continued, suspended, or dissolved. 6. Each technical working group shall be co-chaired by representatives of the participating Parties. 7. The Parties may seek to resolve any specific trade concern through the relevant technical working group.</w:t>
      </w:r>
    </w:p>
    <w:p>
      <w:pPr>
        <w:pStyle w:val="Normal"/>
        <w:keepNext w:val="true"/>
        <w:widowControl/>
        <w:rPr/>
      </w:pPr>
      <w:r>
        <w:rPr/>
        <w:t>Article 9.19: Technical Consultations 1. Recognizing that trade matters arising under this Chapter are best resolved by the appropriate competent authority, if a Party has concerns regarding any matter arising under this Chapter with respect to another Party, the Party shall endeavor to resolve the matter through available administrative procedures of the relevant competent authority or through a relevant technical working group established by the SPS Committee, if it considers that it is appropriate to do so. A Party may have recourse to technical consultations set out in paragraph 2 at any time it considers that the use of the relevant administrative procedures, the relevant technical working group, or other mechanisms would not resolve the matter. 2. A Party (requesting Party) may initiate technical consultations with another Party (responding Party) to discuss any matter arising under this Chapter that may adversely affect its trade by delivering a written request to the Contact Point of the responding Party. The request shall identify the reason for the request, including a description of the requesting Party’s concerns about the matter. 3.</w:t>
      </w:r>
    </w:p>
    <w:p>
      <w:pPr>
        <w:pStyle w:val="Normal"/>
        <w:widowControl/>
        <w:rPr/>
      </w:pPr>
      <w:r>
        <w:rPr/>
        <w:t>The requesting and responding Parties shall meet within 30 days of the responding Party’s receipt of the request, with the aim of resolving the matter cooperatively within 180 days of the request if possible. 4.</w:t>
      </w:r>
    </w:p>
    <w:p>
      <w:pPr>
        <w:pStyle w:val="Normal"/>
        <w:widowControl/>
        <w:rPr/>
      </w:pPr>
      <w:r>
        <w:rPr/>
        <w:t>The requesting and responding Parties shall ensure the appropriate involvement of relevant trade representatives and competent authorities in meetings held pursuant to this Article. 5. Recognizing that Parties may decide to engage in consultations pursuant to this Article for any length of time, the requesting Party may cease technical consultations under this Article and have recourse to dispute settlement under Chapter 31 (Dispute Settlement) following the meeting referred to in paragraph 3 or if the meeting is not held within 30 days as specified in paragraph 3. 6. No Party shall have recourse to dispute settlement under Chapter 31 (Dispute Settlement) for a matter arising under this Chapter without first seeking to resolve the matter through technical consultations in accordance with this Article.</w:t>
      </w:r>
    </w:p>
    <w:p>
      <w:pPr>
        <w:pStyle w:val="Normal"/>
        <w:keepNext w:val="true"/>
        <w:widowControl/>
        <w:rPr/>
      </w:pPr>
      <w:r>
        <w:rPr/>
        <w:t>Article 9.20: Dispute Settlement In a dispute under this Chapter that involves scientific or technical issues, a panel should seek advice from experts chosen by the panel in consultation with the disputing Parties. To this end, the panel may, if it deems appropriate, establish an advisory technical experts group, or consult the relevant international standard setting organizations, at the request of a disputing Party or on its own initiative.</w:t>
      </w:r>
      <w:r>
        <w:br w:type="page"/>
      </w:r>
    </w:p>
    <w:p>
      <w:bookmarkStart w:id="1079" w:name="_NAESTMA_TOC_1079"/>
      <w:pPr>
        <w:pStyle w:val="Heading1"/>
        <w:keepNext/>
        <w:keepLines w:val="0"/>
        <w:pageBreakBefore/>
        <w:widowControl/>
        <w:rPr/>
      </w:pPr>
      <w:bookmarkStart w:id="46" w:name="_Toc237912523"/>
      <w:r>
        <w:rPr/>
        <w:t>CHAPTER 10 TRADE REMEDIES Section A: Safeguards</w:t>
      </w:r>
      <w:bookmarkEnd w:id="46"/>
      <w:bookmarkEnd w:id="1079"/>
    </w:p>
    <w:p>
      <w:pPr>
        <w:pStyle w:val="Normal"/>
        <w:widowControl/>
        <w:rPr/>
      </w:pPr>
      <w:r>
        <w:rPr/>
        <w:t>Article 10.1: Definitions For the purposes of this Section: competent investigating authority means: (a) for Canada, the Canadian International Trade Tribunal, or its successor; (b) for Mexico, the International Trade Practices Unit of the Secretaría de Economía, or its successor; and (c) for the United States, the United States International Trade Commission, or its successor;</w:t>
      </w:r>
    </w:p>
    <w:p>
      <w:pPr>
        <w:pStyle w:val="Normal"/>
        <w:keepNext w:val="true"/>
        <w:widowControl/>
        <w:rPr/>
      </w:pPr>
      <w:r>
        <w:rPr/>
        <w:t>Article 10.2: Rights and Obligations 1. Each Party retains its rights and obligations under Article XIX of the GATT 1994 and the Safeguards Agreement except those regarding compensation or retaliation and exclusion from an action to the extent that such rights or obligations are inconsistent with this Article. Any Party taking an emergency action under Article XIX and the Safeguards Agreement shall exclude imports of a good from each other Party from the action unless: (a) imports from a Party, considered individually, account for a substantial share of total imports; and (b) imports from a Party considered individually, or in exceptional circumstances imports from Parties considered collectively, contribute importantly to the serious injury, or threat thereof, caused by imports. 2. In determining whether:</w:t>
      </w:r>
    </w:p>
    <w:p>
      <w:pPr>
        <w:pStyle w:val="Normal"/>
        <w:widowControl/>
        <w:rPr/>
      </w:pPr>
      <w:r>
        <w:rPr/>
        <w:t>(a) imports from a Party, considered individually, account for a substantial share of total imports, those imports normally shall not be considered to account for a substantial share of total imports if that Party is not among the top five suppliers of the good subject to the proceeding, measured in terms of import share during the most recent three-year period; and (b) imports from a Party or Parties contribute importantly to the serious injury, or threat thereof, the competent investigating authority shall consider such factors as the change in the import share of each Party, and the level and change in the level of imports of each Party.</w:t>
      </w:r>
    </w:p>
    <w:p>
      <w:pPr>
        <w:pStyle w:val="Normal"/>
        <w:widowControl/>
        <w:rPr/>
      </w:pPr>
      <w:r>
        <w:rPr/>
        <w:t>In this regard, imports from a Party normally shall not be deemed to contribute importantly to serious injury, or the threat thereof, if the growth rate of imports from a Party during the period in which the injurious surge in imports occurred is appreciably lower than the growth rate of total imports from all sources over the same period. 3. A Party taking such action, from which a good from another Party or Parties is initially excluded pursuant to paragraph 1, shall have the right subsequently to include that good from the other Party or Parties in the action in the event that the competent investigating authority determines that a surge in imports of such good from the other Party or Parties undermines the effectiveness of the action. 4. A Party shall, without delay, deliver written notice to the other Parties of the institution of a proceeding that may result in emergency action under paragraph 1 or 3. 5. No Party may impose restrictions on a good in an action under paragraph 1 or 3:</w:t>
      </w:r>
    </w:p>
    <w:p>
      <w:pPr>
        <w:pStyle w:val="Normal"/>
        <w:widowControl/>
        <w:rPr/>
      </w:pPr>
      <w:r>
        <w:rPr/>
        <w:t>(a) without delivery of prior written notice to the Commission, and without adequate opportunity for consultation with the Party or Parties against whose good the action is proposed to be taken, as far in advance of taking the action as practicable; and (b) that would have the effect of reducing imports of such good from a Party below the trend of imports of the good from that Party over a recent representative base period with allowance for reasonable growth. 6.</w:t>
      </w:r>
    </w:p>
    <w:p>
      <w:pPr>
        <w:pStyle w:val="Normal"/>
        <w:widowControl/>
        <w:rPr/>
      </w:pPr>
      <w:r>
        <w:rPr/>
        <w:t>The Party taking an action pursuant to this Article shall provide to the Party or Parties against whose good the action is taken mutually agreed trade liberalizing compensation in the form of concessions having substantially equivalent trade effects or equivalent to the value of the additional duties expected to result from the action. If the Parties concerned are unable to agree on compensation, the Party against whose good the action is taken may take action having trade effects substantially equivalent to the action taken under paragraph 1 or 3.</w:t>
      </w:r>
    </w:p>
    <w:p>
      <w:pPr>
        <w:pStyle w:val="Normal"/>
        <w:keepNext w:val="true"/>
        <w:widowControl/>
        <w:rPr/>
      </w:pPr>
      <w:r>
        <w:rPr/>
        <w:t>Article 10.3: Administration of Emergency Action Proceedings Each Party shall entrust determinations of serious injury, or threat thereof, in emergency action proceedings to a competent investigating authority, subject to review by judicial or administrative tribunals, to the extent provided by domestic law. Negative injury determinations shall not be subject to modification, except by such review. The competent investigating authority empowered under domestic law to conduct such proceedings should be provided with the necessary resources to enable it to fulfill its duties. Section B: Antidumping and Countervailing Duties</w:t>
      </w:r>
    </w:p>
    <w:p>
      <w:pPr>
        <w:pStyle w:val="Normal"/>
        <w:keepNext w:val="true"/>
        <w:widowControl/>
        <w:rPr/>
      </w:pPr>
      <w:r>
        <w:rPr/>
        <w:t>Article 10.4: Definitions For purposes of this Section and Annex 10-A (Practices Relating to Antidumping and Countervailing Duty Proceedings): confidential information means information that is provided to an investigating authority on a confidential basis and that is by its nature confidential (for example, because its disclosure would be of significant competitive advantage to a competitor or because its disclosure would have a significantly adverse effect upon a person supplying the information or upon a person from whom that person acquired the information), whether in its original form or in a form other than the one in which it was originally provided; interested party1 means: (a) an exporter, foreign producer, or importer of a product subject to a proceeding, or a trade or business association a majority of the members of which are producers, exporters, or importers of such product; (b) the government of the exporting Party;</w:t>
      </w:r>
    </w:p>
    <w:p>
      <w:pPr>
        <w:pStyle w:val="Normal"/>
        <w:widowControl/>
        <w:rPr/>
      </w:pPr>
      <w:r>
        <w:rPr/>
        <w:t>(c) a producer of the like product in the territory of the importing Party, or a trade and business association a majority of the members of which produce the like product in the territory of the importing Party; or (d) any other person treated as an interested party by the investigating authority of the importing Party; investigating authority means any authority of a Party that conducts antidumping or countervailing duty proceedings; proceeding means: 1 For greater certainty, an entity or person may be an interested party as long as they fulfill</w:t>
      </w:r>
    </w:p>
    <w:p>
      <w:pPr>
        <w:pStyle w:val="Normal"/>
        <w:widowControl/>
        <w:rPr/>
      </w:pPr>
      <w:r>
        <w:rPr/>
        <w:t>all the corresponding requirements, if any, provided in the law of the importing Party. (a) for Mexico, an antidumping or countervailing duty investigation, review, or other relevant set of formalities and acts provided by the legal system which precede the issuance of the administrative act conducted by an investigating authority; and (b) for Canada and the United States, all segments of a proceeding, and begins on the date of the formal filing of an antidumping or countervailing duty application, or the publication of a notice of initiation in a self-initiated investigation, and ends with the conclusion of all administrative action pertaining to the product under consideration. For Canada, the formal filing of an antidumping or countervailing duty application corresponds to the determination that a complaint is properly documented; responding party means:</w:t>
      </w:r>
    </w:p>
    <w:p>
      <w:pPr>
        <w:pStyle w:val="Normal"/>
        <w:widowControl/>
        <w:rPr/>
      </w:pPr>
      <w:r>
        <w:rPr/>
        <w:t>(a) for Canada and Mexico, a person or entity that an investigating authority of a Party requires to respond to an antidumping or countervailing duty questionnaire or any other request; and (b) for the United States, a producer, manufacturer, exporter, importer, or, where appropriate, a government or government entity, that an investigating authority of a Party requires to respond to an antidumping or countervailing duty questionnaire; and segment of a proceeding means for Canada and the United States, 2 an antidumping or countervailing duty investigation, review, or other relevant action conducted by an investigating</w:t>
      </w:r>
    </w:p>
    <w:p>
      <w:pPr>
        <w:pStyle w:val="Normal"/>
        <w:widowControl/>
        <w:rPr/>
      </w:pPr>
      <w:r>
        <w:rPr/>
        <w:t>authority. For Canada, relevant actions conducted by an investigating authority do not cover duty assessment and related procedures.</w:t>
      </w:r>
    </w:p>
    <w:p>
      <w:pPr>
        <w:pStyle w:val="Normal"/>
        <w:keepNext w:val="true"/>
        <w:widowControl/>
        <w:rPr/>
      </w:pPr>
      <w:r>
        <w:rPr/>
        <w:t>Article 10.5: Rights and Obligations 1. Each Party retains its rights and obligations under Article VI of GATT 1994, the AD Agreement, and the SCM Agreement. 2. Except as provided in Annex 10-A (Practices Relating to Antidumping and Countervailing Duty Proceedings), nothing in this Agreement shall be construed to confer any rights or impose any obligations on the Parties with respect to antidumping or countervailing duty proceedings or measures taken pursuant to Article VI of GATT 1994, the AD Agreement, or the SCM Agreement. 2 For Mexico, “segment of a proceeding” does not apply. 3. No Party shall have recourse to dispute settlement under this Agreement for any matter arising under this Section or Annex 10-A (Practices Relating to Antidumping and Countervailing Duty Proceedings). Section C: Cooperation on Preventing Duty Evasion of Trade Remedy Laws</w:t>
      </w:r>
    </w:p>
    <w:p>
      <w:pPr>
        <w:pStyle w:val="Normal"/>
        <w:keepNext w:val="true"/>
        <w:widowControl/>
        <w:rPr/>
      </w:pPr>
      <w:r>
        <w:rPr/>
        <w:t>Article 10.6: General 1. The Parties recognize their shared concerns regarding duty evasion3 of antidumping, countervailing, and safeguard duties, and the importance of cooperation, including through information sharing, to combat duty evasion. 2. The Parties agree to strengthen and expand their customs and trade enforcement efforts in matters related to duty evasion, and to strengthen their cooperation as set out in the Article 10.7 (Duty Evasion Cooperation).</w:t>
      </w:r>
    </w:p>
    <w:p>
      <w:pPr>
        <w:pStyle w:val="Normal"/>
        <w:keepNext w:val="true"/>
        <w:widowControl/>
        <w:rPr/>
      </w:pPr>
      <w:r>
        <w:rPr/>
        <w:t>Article 10.7: Duty Evasion Cooperation 1. Each Party shall, in accordance with its law cooperate with the other Parties for the purposes of enforcing or assisting in the enforcement of their respective measures concerning duty evasion. 2. Each Party shall, subject to its law, share customs information with the other Parties pertaining to imports, exports, and transit transactions, to help enable the Parties to combat duty evasion and conduct joint or coordinated analysis and investigations of suspected duty evasion. In addition, each Party shall maintain a mechanism through which it can share information with the other Parties regarding entries that may involve evasion of antidumping, countervailing, or safeguard duties, including the information described in paragraph 3. The information referred to in this paragraph may be trader-specific or it may include an industry sector or group of traders. 3.</w:t>
      </w:r>
    </w:p>
    <w:p>
      <w:pPr>
        <w:pStyle w:val="Normal"/>
        <w:widowControl/>
        <w:rPr/>
      </w:pPr>
      <w:r>
        <w:rPr/>
        <w:t>Each Party shall, subject to its law and on the request of another Party, provide the requesting Party with information collected in connection with the imports, exports and transit, and other relevant information that it has or can reasonably obtain, that will help enable the requesting Party to determine whether an entry into its territory is subject to antidumping, countervailing, or safeguard duties imposed by the requesting Party.4 3 For purposes of this Section, “duty evasion” refers to evasion of antidumping, countervailing, or safeguards duties.</w:t>
      </w:r>
    </w:p>
    <w:p>
      <w:pPr>
        <w:pStyle w:val="Normal"/>
        <w:widowControl/>
        <w:rPr/>
      </w:pPr>
      <w:r>
        <w:rPr/>
        <w:t>4 For greater certainty, nothing in this Section shall be construed as an obligation on the requested Party to provide an original or copy of an export declaration submitted to its customs administration. 4. A request for information described in paragraph 3 shall be made in writing, by the customs administration of the requesting Party to the customs authority of the requested Party, by electronic means or any other acceptable method, and shall include sufficient information for the requested Party to respond. 5. A Party may request in writing that another Party conduct a duty evasion verification5 in the requested Party’s territory for the purposes of obtaining information, including documents, from an exporter or producer, to enable the requesting Party to determine whether a particular entry into the requesting Party’s territory is subject to antidumping, countervailing, or safeguard duties imposed by the requesting Party. The requested Party shall respond to the request promptly and in any case no later than 30 days after the date it receives the request.</w:t>
      </w:r>
    </w:p>
    <w:p>
      <w:pPr>
        <w:pStyle w:val="Normal"/>
        <w:widowControl/>
        <w:rPr/>
      </w:pPr>
      <w:r>
        <w:rPr/>
        <w:t>The response must include whether it will conduct the duty evasion verification. If the Party does not intend to conduct the duty evasion verification, the response must indicate the basis for refusal. If a Party will conduct the duty evasion verification, the response must indicate the intended timing and other relevant details. 6.</w:t>
      </w:r>
    </w:p>
    <w:p>
      <w:pPr>
        <w:pStyle w:val="Normal"/>
        <w:widowControl/>
        <w:rPr/>
      </w:pPr>
      <w:r>
        <w:rPr/>
        <w:t>If the requested Party conducts a duty evasion verification under paragraph 5 it shall provide the requesting Party promptly on completing the duty evasion verification a report containing the relevant information including data and documents, obtained during its duty evasion verification. 7. Regardless of whether a request to conduct a verification was made under paragraph 5, a duty evasion verification may be conducted in the relevant facilities located in the territory of the requested Party, as a result of a request. The requested Party normally shall grant the other Party access to its territory to participate in the duty evasion verification, absent extraordinary circumstances, provided that: (a) the duty evasion verification is subject to mutually agreed conditions and procedures between the Parties;6 (b) the requesting Party gives reasonable advance notice to the requested Party before the proposed date of the duty evasion verification; and (c) the parties to be verified in the requested Party consent to the duty evasion verification.</w:t>
      </w:r>
    </w:p>
    <w:p>
      <w:pPr>
        <w:pStyle w:val="Normal"/>
        <w:widowControl/>
        <w:rPr/>
      </w:pPr>
      <w:r>
        <w:rPr/>
        <w:t>5 For greater certainty, a duty evasion verification visit to facilities located in the territory of a requested Party shall be subject to paragraph 7. 6 For the purposes of subparagraph (a), the Parties may agree to use any applicable mechanism, including existing bilateral cooperation mechanisms. 8.</w:t>
      </w:r>
    </w:p>
    <w:p>
      <w:pPr>
        <w:pStyle w:val="Normal"/>
        <w:widowControl/>
        <w:rPr/>
      </w:pPr>
      <w:r>
        <w:rPr/>
        <w:t>Each Party shall maintain procedures that permit the sharing of confidential information with the other Parties, as a result of a request under paragraph 3 or a duty evasion verification report under paragraph 6, for the limited purpose of determining if duty evasion exists. If a Party, or a verified party, provides information to another Party in accordance with this Section and designates the information as confidential or is confidential under the receiving Party’s law, such receiving Party shall keep the information confidential in accordance with its law. If the receiving Party has not kept the information confidential in accordance with its law, a Party may decline to provide information requested by another Party in future requests for confidential information. The receiving Party may use or disclose confidential information received from the other Party under this Section but only for the purposes of administration or enforcement of its customs laws or as otherwise provided under the Party’s law, including in an administrative, quasi-judicial, or judicial proceeding. SECTION D: REVIEW AND DISPUTE SETTLEMENT IN ANTIDUMPING AND COUNTERVAILING DUTY MATTERS</w:t>
      </w:r>
    </w:p>
    <w:p>
      <w:pPr>
        <w:pStyle w:val="Normal"/>
        <w:keepNext w:val="true"/>
        <w:widowControl/>
        <w:rPr/>
      </w:pPr>
      <w:r>
        <w:rPr/>
        <w:t>Article 10.8: Definitions For purposes of this Section and Annex 10-B.1 (Establishment of Binational Panels), Annex 10-B.2 (Panel Procedures under Article 10.11), Annex 10-B.3 (Extraordinary Challenge Procedure), Annex 10-B.4 (Special Committee Procedures), and Annex 10-B.5 (Amendments to Domestic Laws): administrative record means, unless otherwise agreed by the Parties and the other persons appearing before a panel: (a) all documentary or other information presented to or obtained by the competent investigating authority in the course of the administrative proceeding, including any governmental memoranda pertaining to the case, and including any record of ex parte meetings as may be required to be kept; (b) a copy of the final determination of the competent investigating authority, including reasons for the determination; (c) all transcripts or records of conferences or hearings before the competent investigating authority; and (d) all notices published in the official journal of the importing Party in connection with the administrative proceeding; antidumping statute means: (a) in the case of Canada, the relevant provisions of the Special Import Measures Act, as amended, and any successor statutes;</w:t>
      </w:r>
    </w:p>
    <w:p>
      <w:pPr>
        <w:pStyle w:val="Normal"/>
        <w:widowControl/>
        <w:rPr/>
      </w:pPr>
      <w:r>
        <w:rPr/>
        <w:t>(b) in the case of Mexico, the relevant provisions of the Foreign Trade Act (Ley de Comercio Exterior), as amended, and any successor statutes; (c) in the case of the United States, the relevant provisions of Title VII of the Tariff Act of 1930, as amended, and any successor</w:t>
      </w:r>
    </w:p>
    <w:p>
      <w:pPr>
        <w:pStyle w:val="Normal"/>
        <w:widowControl/>
        <w:rPr/>
      </w:pPr>
      <w:r>
        <w:rPr/>
        <w:t>statutes; and (d) the provisions of any other statute that provides for judicial review of final determinations under subparagraph (a), (b), or (c), or indicates the standard of review to be applied to such determinations; competent investigating authority means: (a) in the case of Canada: (i) the President of the Canada Border Services Agency as defined in the Special Import Measures Act, as amended, or the President’s successor; or (ii) the Canadian International Trade Tribunal, or its successor; (b) in the case of Mexico, the designated authority within the Secretariat of Economy (Secretaría de Economía), or its successor; and (c) in the case of the United States: (i) the International Trade Administration of the United States Department of Commerce, or its successor, or (ii) the United States International Trade Commission, or its successor; countervailing duty statute means: (a) in the case of Canada, the relevant provisions of the Special Import Measures Act, as amended, and any successor statutes;</w:t>
      </w:r>
    </w:p>
    <w:p>
      <w:pPr>
        <w:pStyle w:val="Normal"/>
        <w:widowControl/>
        <w:rPr/>
      </w:pPr>
      <w:r>
        <w:rPr/>
        <w:t>(b) in the case of Mexico, the relevant provisions of the Foreign Trade Act (Ley de Comercio Exterior), as amended, and any successor statutes; (c) in the case of the United States, section 303 and the relevant provisions of Title VII of the Tariff Act of 1930, as amended, and any successor statutes; and (d) the provisions of any other statute that provides for judicial review of final determinations under subparagraph (a), (b), or (c), or indicates the standard of review</w:t>
      </w:r>
    </w:p>
    <w:p>
      <w:pPr>
        <w:pStyle w:val="Normal"/>
        <w:widowControl/>
        <w:rPr/>
      </w:pPr>
      <w:r>
        <w:rPr/>
        <w:t>to be applied to such determinations; domestic law for purposes of Article 10.13.1 (Safeguarding the Panel Review System) means a Party’s constitution, statutes, regulations and judicial decisions to the extent they are relevant to the antidumping and countervailing duty laws; final determination means: (a) in the case of Canada:</w:t>
      </w:r>
    </w:p>
    <w:p>
      <w:pPr>
        <w:pStyle w:val="Normal"/>
        <w:widowControl/>
        <w:rPr/>
      </w:pPr>
      <w:r>
        <w:rPr/>
        <w:t>(i) an order or finding of the Canadian International Trade Tribunal under subsection 43(1) of the Special Import Measures Act, (ii) an order by the Canadian International Trade Tribunal under subsection 76(4) of the Special Import Measures Act, as amended, continuing an order or finding made under subsection 43(1) of the Act with or without amendment, (iii) a determination by the President of the Canada Border Services Agency pursuant to section 41 of the Special Import Measures Act, as amended, (iv) a redetermination by the President pursuant to section 59 of the Special Import Measures Act, as amended, (v) a decision by the Canadian International Trade Tribunal pursuant to subsection 76(3) of the Special Import Measures Act, as amended, not to initiate a review, (vi) a reconsideration by the Canadian International Trade Tribunal pursuant to subsection 91(3) of the Special Import Measures Act, as amended, and (vii) a review by the President of an undertaking pursuant to subsection 53(1) of the Special Import Measures Act, as amended; and (b) in the case of Mexico:</w:t>
      </w:r>
    </w:p>
    <w:p>
      <w:pPr>
        <w:pStyle w:val="Normal"/>
        <w:widowControl/>
        <w:rPr/>
      </w:pPr>
      <w:r>
        <w:rPr/>
        <w:t>(i) a final resolution regarding antidumping or countervailing duties investigations</w:t>
      </w:r>
    </w:p>
    <w:p>
      <w:pPr>
        <w:pStyle w:val="Normal"/>
        <w:widowControl/>
        <w:rPr/>
      </w:pPr>
      <w:r>
        <w:rPr/>
        <w:t>by the Secretariat of Economy (Secretaría de Economía), pursuant to Article 59 of the Foreign Trade Act (Ley de Comercio Exterior), as amended, (ii) a final resolution regarding an annual administrative review of antidumping or countervailing duties by the Secretariat of Economy (Secretaría de Economía), as described in subparagraph (o) of its Schedule to Annex 10-B.5 (Amendments to Domestic Laws), and (iii) a final resolution by the Secretariat of Economy (Secretaría de Economía), as to whether a particular type of merchandise is within the class or kind of merchandise described in an existing antidumping or countervailing duty resolution; and (c) in the case of the United States:</w:t>
      </w:r>
    </w:p>
    <w:p>
      <w:pPr>
        <w:pStyle w:val="Normal"/>
        <w:widowControl/>
        <w:rPr/>
      </w:pPr>
      <w:r>
        <w:rPr/>
        <w:t>(i) a final affirmative determination by the International Trade Administration of the United States Department of Commerce or by the United States International Trade Commission under section 705 or 735 of the Tariff Act of 1930, as amended, including any negative part of such a determination, (ii) a final negative determination by the International Trade Administration of the United States Department of Commerce or by the United States International Trade Commission under section 705 or 735 of the Tariff Act of 1930, as amended, including any affirmative part of such a determination, (iii) a final determination, other than a determination in (iv), under section 751 of the Tariff Act of 1930, as amended, (iv) a determination by the United States International Trade Commission under section 751(b)</w:t>
      </w:r>
    </w:p>
    <w:p>
      <w:pPr>
        <w:pStyle w:val="Normal"/>
        <w:widowControl/>
        <w:rPr/>
      </w:pPr>
      <w:r>
        <w:rPr/>
        <w:t>of the Tariff Act of 1930, as amended, not to review a determination based on changed circumstances, and (v) a final determination by the International Trade Administration of the United States Department of Commerce as to whether a particular type of merchandise is within the class or kind of merchandise described in an existing finding of dumping or antidumping or countervailing duty order; foreign interests includes exporters or producers of the Party whose goods are the subject of the proceeding or, in the case of a countervailing duty proceeding, the government of the Party whose goods are the subject of the proceeding; general legal principles includes principles such as standing, due process, rules of statutory construction, mootness and exhaustion of administrative remedies; goods of a Party means domestic products as these are understood in the GATT 1994; importing Party means the Party that issued the final determination; interested parties includes foreign interests; involved Party means:</w:t>
      </w:r>
    </w:p>
    <w:p>
      <w:pPr>
        <w:pStyle w:val="Normal"/>
        <w:widowControl/>
        <w:rPr/>
      </w:pPr>
      <w:r>
        <w:rPr/>
        <w:t>(a) the importing Party; or (b) a Party whose goods are the subject of the final determination; remand means a referral back for a determination not inconsistent with the panel or committee decision; and standard of review means the following standards, as may be amended from time to time by the relevant Party: (a) in the case of Canada, the grounds set out in subsection 18.1(4) of the Federal Court Act, as amended, with respect to all final determinations; (b) in the case of</w:t>
      </w:r>
    </w:p>
    <w:p>
      <w:pPr>
        <w:pStyle w:val="Normal"/>
        <w:widowControl/>
        <w:rPr/>
      </w:pPr>
      <w:r>
        <w:rPr/>
        <w:t>Mexico, the standard set out in Article 51 of the Federal Act of Administrative Litigation Procedure (Ley Federal de Procedimiento Contencioso Administrativo), or any successor statutes, based solely on the administrative record; and (c) in the case of the United States; (i) the standard set out in section 516A(b)(l)(B) of the Tariff Act of 1930, as amended, with the exception of a determination referred to in (ii); and (ii) the standard set out in section 516A(b)(l)(A) of the Tariff Act of 1930, as amended, with respect to a determination by the United States International Trade Commission not to initiate a review pursuant to section 751(b) of the Tariff Act of 1930, as amended.</w:t>
      </w:r>
    </w:p>
    <w:p>
      <w:pPr>
        <w:pStyle w:val="Normal"/>
        <w:keepNext w:val="true"/>
        <w:widowControl/>
        <w:rPr/>
      </w:pPr>
      <w:r>
        <w:rPr/>
        <w:t>Article 10.9: General Provisions 1. Article 10.12 (Review of Final Antidumping Law and Countervailing Duty Law) applies only with respect to goods that the competent investigating authority of the importing Party, applying the importing Party’s antidumping or countervailing duty law to the facts of a specific case, determines are goods of another Party. 2. For purposes of Article 10.11 (Review of Statutory Amendments) and Article 10.12 (Review of Final Antidumping Law and Countervailing Duty Law), panels shall be established in accordance with the provisions of Annex 10-B.1 (Establishment of Binational Panels). 3. Except for Article 34.5 (Entry into Force), no provision of any other Chapter of this Agreement shall be construed as imposing obligations on a Party with respect to the Party’s antidumping law or countervailing duty law.</w:t>
      </w:r>
    </w:p>
    <w:p>
      <w:pPr>
        <w:pStyle w:val="Normal"/>
        <w:keepNext w:val="true"/>
        <w:widowControl/>
        <w:rPr/>
      </w:pPr>
      <w:r>
        <w:rPr/>
        <w:t>Article 10.10: Retention of Domestic Antidumping Law and Countervailing Duty Law 1. Each Party reserves the right to apply its antidumping law and countervailing duty law to goods imported from the territory of any other Party. Antidumping law and countervailing duty law include, as appropriate for each Party, relevant statutes, legislative history, regulations, administrative practice, and judicial precedents. 2. Each Party reserves the right to change or modify its antidumping law or countervailing duty law, provided that in the case of an amendment to a Party’s antidumping or countervailing duty statute: (a) such amendment shall apply to goods from another Party only if the amending statute specifies that it applies to goods from that Party or from the Parties to this Agreement; (b) the amending Party notifies in writing the Parties to which the amendment applies of the amending statute as far in advance as possible of the date of enactment of such statute;</w:t>
      </w:r>
    </w:p>
    <w:p>
      <w:pPr>
        <w:pStyle w:val="Normal"/>
        <w:widowControl/>
        <w:rPr/>
      </w:pPr>
      <w:r>
        <w:rPr/>
        <w:t>(c) following notification, the amending Party, on request of any Party to which the amendment applies, consults with that Party prior to the enactment of the amending statute; and (d) such amendment, as applicable to that other Party, is not inconsistent with: (i) GATT 1994, the AD Agreement or the SCM Agreement, or any successor agreement to which the Parties are party, or (ii) the object and purpose of this Agreement and this Chapter, which is to establish fair and predictable conditions for the progressive</w:t>
      </w:r>
    </w:p>
    <w:p>
      <w:pPr>
        <w:pStyle w:val="Normal"/>
        <w:widowControl/>
        <w:rPr/>
      </w:pPr>
      <w:r>
        <w:rPr/>
        <w:t>liberalization of trade between the Parties to this Agreement while maintaining effective and fair disciplines on unfair trade practices, such object and purpose to be ascertained from the provisions of this Agreement, its preamble and objectives, and the practices of the Parties.</w:t>
      </w:r>
    </w:p>
    <w:p>
      <w:pPr>
        <w:pStyle w:val="Normal"/>
        <w:keepNext w:val="true"/>
        <w:widowControl/>
        <w:rPr/>
      </w:pPr>
      <w:r>
        <w:rPr/>
        <w:t>Article 10.11: Review of Statutory Amendments 1. A Party to which an amendment of another Party’s antidumping or countervailing duty statute applies may request in writing that such amendment be referred to a binational panel for a declaratory opinion as to whether: (a) the amendment does not conform to the provisions of Article 10.10(2)(d)(i) or (ii) (Retention of Domestic Antidumping Law and Countervailing Duty Law); or (b) such amendment has the function and effect of overturning a prior decision of a panel made pursuant to Article 10.12 (Review of Final Antidumping and Countervailing Duty Determinations) and does not conform to the provisions of Article 10.10(2)(d)(i) or (ii) (Retention of Domestic Antidumping Law and Countervailing Duty Law). Such declaratory opinion shall have force or effect only as provided in this Article. 2. The panel shall conduct its review in accordance with the procedures of Annex 10-B.2 (Panel Procedures under Article 10.11). 3. In the event that the panel recommends modifications to the amending statute to remedy a non-conformity that it has identified in its opinion:</w:t>
      </w:r>
    </w:p>
    <w:p>
      <w:pPr>
        <w:pStyle w:val="Normal"/>
        <w:widowControl/>
        <w:rPr/>
      </w:pPr>
      <w:r>
        <w:rPr/>
        <w:t>(a) the two Parties shall immediately begin consultations and shall seek to achieve a mutually satisfactory solution to the matter within 90 days of the issuance of the panel’s final declaratory opinion.</w:t>
      </w:r>
    </w:p>
    <w:p>
      <w:pPr>
        <w:pStyle w:val="Normal"/>
        <w:widowControl/>
        <w:rPr/>
      </w:pPr>
      <w:r>
        <w:rPr/>
        <w:t>Such solution may include seeking corrective legislation with respect to the statute of the amending Party; (b) if corrective legislation is not enacted within nine months from the end of the 90 day consultation period referred to in subparagraph (a) and no other mutually satisfactory solution has been reached, the Party that requested the panel may: (i) take comparable legislative or equivalent executive action, or (ii) terminate this Agreement with regard to the amending Party on 60 day written notice to that Party.</w:t>
      </w:r>
    </w:p>
    <w:p>
      <w:pPr>
        <w:pStyle w:val="Normal"/>
        <w:keepNext w:val="true"/>
        <w:widowControl/>
        <w:rPr/>
      </w:pPr>
      <w:r>
        <w:rPr/>
        <w:t>Article 10.12: Review of Final Antidumping and Countervailing Duty Determinations 1. As provided in this Article, each Party shall replace judicial review of final antidumping and countervailing duty determinations with binational panel review. 2. An involved Party may request that a panel review, based on the administrative record, a final antidumping or countervailing duty determination of a competent investigating authority of an importing Party to determine whether such determination was in accordance with the antidumping or countervailing duty law of the importing Party. For this purpose, the antidumping or countervailing duty law consists of the relevant statutes, legislative history, regulations, administrative practice, and judicial precedents to the extent that a court of the importing Party would rely on such materials in reviewing a final determination of the competent investigating authority. Solely for purposes of the panel review provided for in this Article, the antidumping and countervailing duty statutes of the Parties, as those statutes may be amended from time to time, are incorporated into and made a part of this Section. 3.</w:t>
      </w:r>
    </w:p>
    <w:p>
      <w:pPr>
        <w:pStyle w:val="Normal"/>
        <w:widowControl/>
        <w:rPr/>
      </w:pPr>
      <w:r>
        <w:rPr/>
        <w:t>The panel shall apply the standard of review set out in Article 10.8 (Definitions) and the general legal principles that a court of the importing Party otherwise would apply to a review of a determination of the competent investigating authority. 4.</w:t>
      </w:r>
    </w:p>
    <w:p>
      <w:pPr>
        <w:pStyle w:val="Normal"/>
        <w:widowControl/>
        <w:rPr/>
      </w:pPr>
      <w:r>
        <w:rPr/>
        <w:t>A request for a panel shall be made in writing to the other involved Party within 30 days following the date of publication of the final determination in question in the official journal of the importing Party. In the case of final determinations that are not published in the official journal of the importing Party, the importing Party shall immediately notify the other involved Party of such final determination where it involves goods from the other involved Party, and the other involved Party may request a panel within 30 days of receipt of such notice. Where the competent investigating authority of the importing Party has imposed provisional measures in an investigation, the other involved Party may provide notice of its intention to request a panel under this Article, and the Parties shall begin to establish a panel at that time. Failure to request a panel within the time specified in this paragraph shall preclude review by a panel. 5.</w:t>
      </w:r>
    </w:p>
    <w:p>
      <w:pPr>
        <w:pStyle w:val="Normal"/>
        <w:widowControl/>
        <w:rPr/>
      </w:pPr>
      <w:r>
        <w:rPr/>
        <w:t>An involved Party on its own initiative may request review of a final determination by a panel and shall, on request of a person who would otherwise be entitled under the law of the importing Party to commence domestic procedures for judicial review of that final determination, request such review. 6. The panel shall conduct its review in accordance with the procedures established by the Parties pursuant to paragraph 14.</w:t>
      </w:r>
    </w:p>
    <w:p>
      <w:pPr>
        <w:pStyle w:val="Normal"/>
        <w:widowControl/>
        <w:rPr/>
      </w:pPr>
      <w:r>
        <w:rPr/>
        <w:t>Where both involved Parties request a panel to review a final determination, a single panel shall review that determination. 7. The competent investigating authority that issued the final determination in question shall have the right to appear and be represented by counsel before the panel. Each Party shall provide that other persons who, pursuant to the law of the importing Party, otherwise would have had the right to appear and be represented in a domestic judicial review proceeding concerning the determination of the competent investigating authority, shall have the right to appear and be represented by counsel before the panel. 8. The panel may uphold a final determination, or remand it for action not inconsistent with the panel’s decision. Where the panel remands a final determination, the panel shall establish as brief a time as is reasonable for compliance with the remand, taking into account the complexity of the factual and legal issues involved and the nature of the panel’s decision.</w:t>
      </w:r>
    </w:p>
    <w:p>
      <w:pPr>
        <w:pStyle w:val="Normal"/>
        <w:widowControl/>
        <w:rPr/>
      </w:pPr>
      <w:r>
        <w:rPr/>
        <w:t>In no event shall the time permitted for compliance with a remand exceed an amount of time equal to the maximum amount of time (counted from the date of the filing of a petition, complaint or application) permitted by statute for the competent investigating authority in question to make a final determination in an investigation.</w:t>
      </w:r>
    </w:p>
    <w:p>
      <w:pPr>
        <w:pStyle w:val="Normal"/>
        <w:widowControl/>
        <w:rPr/>
      </w:pPr>
      <w:r>
        <w:rPr/>
        <w:t>If review of the action taken by the competent investigating authority on remand is needed, such review shall be before the same panel, which shall normally issue a final decision within 90 days of the date on which such remand action is submitted to it. 9. The decision of a panel under this Article shall be binding on the involved Parties with respect to the particular matter between the Parties that is before the panel. 10. This Agreement shall not affect: (a) the judicial review procedures of any Party; or (b) cases appealed under those procedures, with respect to determinations other than final determinations. 11. A final determination shall not be reviewed under any judicial review procedures of the importing Party if an involved Party requests a panel with respect to that determination within the time limits set out in this Article. No Party may provide in its domestic legislation for an appeal from a panel decision to its domestic courts. 12.</w:t>
      </w:r>
    </w:p>
    <w:p>
      <w:pPr>
        <w:pStyle w:val="Normal"/>
        <w:widowControl/>
        <w:rPr/>
      </w:pPr>
      <w:r>
        <w:rPr/>
        <w:t>This Article shall not apply where: (a) neither involved Party seeks panel review of a final determination; (b) a revised final determination is issued as a direct result of judicial review of the original final determination by a court of the importing Party in cases where neither involved Party sought panel review of that original final determination; or (c) a final determination is issued as a direct result of judicial review that was commenced in a court of the importing Party before the date of entry into force of this Agreement. 13. Where, within a reasonable time after the panel decision is issued, an involved Party alleges that:</w:t>
      </w:r>
    </w:p>
    <w:p>
      <w:pPr>
        <w:pStyle w:val="Normal"/>
        <w:widowControl/>
        <w:rPr/>
      </w:pPr>
      <w:r>
        <w:rPr/>
        <w:t>(a) (i) a member of the panel was guilty of gross misconduct, bias, or a serious conflict of interest, or otherwise materially violated the rules of conduct, (ii) the panel seriously departed from a fundamental rule of procedure, or (iii) the panel manifestly exceeded its powers, authority or jurisdiction set out in this Article, for example by failing to apply the appropriate standard of review, and (b) any of the actions set out in subparagraph (a) has materially affected the panel’s decision and threatens the integrity of the binational panel review process, that Party may avail itself of the extraordinary challenge procedure set out in Annex 10-B.3 (Extraordinary Challenge Procedure). 14.</w:t>
      </w:r>
    </w:p>
    <w:p>
      <w:pPr>
        <w:pStyle w:val="Normal"/>
        <w:widowControl/>
        <w:rPr/>
      </w:pPr>
      <w:r>
        <w:rPr/>
        <w:t>For purposes of this Article, the Parties shall adopt or maintain rules of procedure based, where appropriate, on judicial rules of appellate procedure, and shall include rules concerning: the content and service of requests for panels; a requirement that the competent investigating authority transmit to the panel the administrative record of the proceeding; the protection of business proprietary, government classified, and other privileged information (including sanctions against persons participating before panels for improper release of such information); participation by private persons; limitations on panel review to errors alleged by the Parties or private persons; filing and service; computation and extensions of time; the form and content of briefs and other papers; pre- and post-hearing conferences; motions; oral argument; requests for rehearing; and voluntary terminations of panel reviews. The rules shall be designed to result in final decisions within 315 days of the date on which a request for a panel is made, and shall allow: (a) 30 days for the filing of the complaint;</w:t>
      </w:r>
    </w:p>
    <w:p>
      <w:pPr>
        <w:pStyle w:val="Normal"/>
        <w:widowControl/>
        <w:rPr/>
      </w:pPr>
      <w:r>
        <w:rPr/>
        <w:t>(b) 30 days for designation or certification of the administrative record and its filing with the panel; (c) 60 days for the complainant to file its brief; (d) 60 days for the respondent to file its brief; (e) 15 days for the filing of reply briefs; (f) 15 to 30 days for the panel to convene and hear oral argument; and (g) 90 days for the panel to issue its written decision. 15.</w:t>
      </w:r>
    </w:p>
    <w:p>
      <w:pPr>
        <w:pStyle w:val="Normal"/>
        <w:widowControl/>
        <w:rPr/>
      </w:pPr>
      <w:r>
        <w:rPr/>
        <w:t>In order to achieve the objectives of this Article, the Parties shall maintain or amend their antidumping and countervailing duty statutes and regulations with respect to antidumping or countervailing duty proceedings involving goods of the other Parties, and other statutes and regulations to the extent that they apply to the operation of the antidumping and countervailing duty laws. In particular, without limiting the generality of the foregoing, each Party shall: (a) maintain or amend its statutes or regulations to ensure that existing procedures concerning the refund, with interest, of antidumping or countervailing duties operate to give effect to a final panel decision that a refund is due;</w:t>
      </w:r>
    </w:p>
    <w:p>
      <w:pPr>
        <w:pStyle w:val="Normal"/>
        <w:widowControl/>
        <w:rPr/>
      </w:pPr>
      <w:r>
        <w:rPr/>
        <w:t>(b) maintain or amend its statutes or regulations to ensure that its courts shall give full force and effect, with respect to any person within its jurisdiction, to all sanctions imposed pursuant to the laws of the other Parties to enforce provisions of any protective order or undertaking that such other Party has promulgated or accepted in order to permit access for purposes of panel review or of the extraordinary challenge procedure to confidential, personal, business proprietary or other privileged information; (c) maintain or amend its statutes or regulations to ensure that: (i) domestic procedures for judicial review of a final determination may not be commenced until the time for requesting a panel under paragraph 4 has expired, and (ii) as a prerequisite to commencing domestic</w:t>
      </w:r>
    </w:p>
    <w:p>
      <w:pPr>
        <w:pStyle w:val="Normal"/>
        <w:widowControl/>
        <w:rPr/>
      </w:pPr>
      <w:r>
        <w:rPr/>
        <w:t>judicial review procedures to review a final determination, a Party or other person intending to commence such procedures shall provide notice of such intent to the Parties concerned and to other persons entitled to commence such review procedures of the same final determination no later than 10 days prior to the latest date on which a panel may be requested; and (d) maintain the amendments set out in its Schedule to Annex 1904.15 of the NAFTA 1994, as reproduced in Annex 10-B.5 (Amendments to Domestic Laws), and make any conforming amendments necessary.</w:t>
      </w:r>
    </w:p>
    <w:p>
      <w:pPr>
        <w:pStyle w:val="Normal"/>
        <w:keepNext w:val="true"/>
        <w:widowControl/>
        <w:rPr/>
      </w:pPr>
      <w:r>
        <w:rPr/>
        <w:t>Article 10.13: Safeguarding the Panel Review System 1. Where a Party alleges that the application of another Party’s domestic law: (a) has prevented the establishment of a panel requested by the complaining Party; (b) has prevented a panel requested by the complaining Party from rendering a final decision; (c) has prevented the implementation of the decision of a panel requested by the complaining Party or denied it binding force and effect with respect to the particular matter that was before the panel; or (d) has resulted in a failure to provide opportunity for review of a final determination by a panel or court of competent jurisdiction that is independent of the competent investigating authorities, that examines the basis for the competent investigating authority’s determination and whether the competent investigating authority properly applied domestic antidumping and countervailing duty law in reaching the challenged determination, and that employs the relevant standard of review identified in Article 10.8 (Definitions); the Party may request in writing consultations with the other Party regarding the allegations.</w:t>
      </w:r>
    </w:p>
    <w:p>
      <w:pPr>
        <w:pStyle w:val="Normal"/>
        <w:widowControl/>
        <w:rPr/>
      </w:pPr>
      <w:r>
        <w:rPr/>
        <w:t>The consultations shall begin within 15 days of the date of the request. 2. If the matter has not been resolved within 45 days of the request for consultations, or such other period as the consulting Parties may agree, the complaining Party may request the establishment of a special committee. 3.</w:t>
      </w:r>
    </w:p>
    <w:p>
      <w:pPr>
        <w:pStyle w:val="Normal"/>
        <w:widowControl/>
        <w:rPr/>
      </w:pPr>
      <w:r>
        <w:rPr/>
        <w:t>Unless otherwise agreed by the disputing Parties, the special committee shall be established within 15 days of a request and perform its functions in a manner consistent with this Section. 4. The roster for special committees shall be that established under Annex 10-B.3 (Extraordinary Challenge Procedure). 5. The special committee shall comprise three members selected in accordance with the procedures set out in Annex 10-B.3 (Extraordinary Challenge Procedure). 6. The Parties shall establish or maintain rules of procedure in accordance with the principles set out in Annex 10-B.4 (Special Committee Procedures). 7. Where the special committee makes an affirmative finding with respect to one of the grounds specified in paragraph 1, the complaining Party and the Party complained against shall begin consultations within 10 days thereafter and shall seek to achieve a mutually satisfactory solution within 60 days of the issuance of the committee’s report. 8.</w:t>
      </w:r>
    </w:p>
    <w:p>
      <w:pPr>
        <w:pStyle w:val="Normal"/>
        <w:widowControl/>
        <w:rPr/>
      </w:pPr>
      <w:r>
        <w:rPr/>
        <w:t>If, within the 60 day period, the Parties are unable to reach a mutually satisfactory solution to the matter, or the Party complained against has not demonstrated to the satisfaction of the special committee that it has corrected the problem or problems with respect to which the committee has made an affirmative finding, the complaining Party may suspend: (a) the operation of Article 10.12 (Review of Final Antidumping and Countervailing Duty Determinations) with respect to the Party complained against; or (b) the application to the Party complained against of such benefits under this Agreement as may be appropriate under the circumstances. If the complaining Party decides to take action under this paragraph, it shall do so within 30 days after the end of the 60-day consultation period. 9. In the event that a complaining Party suspends the operation of Article 10.12 (Review of Final Antidumping and Countervailing Duty Determinations) with respect to the Party complained against, the latter Party may reciprocally suspend the operation of Article 10.12 (Review of Final Antidumping and Countervailing Duty Determinations) within 30 days after the suspension of the operation of Article 10.12 (Review of Final Antidumping and Countervailing Duty Determinations) by the complaining Party.</w:t>
      </w:r>
    </w:p>
    <w:p>
      <w:pPr>
        <w:pStyle w:val="Normal"/>
        <w:widowControl/>
        <w:rPr/>
      </w:pPr>
      <w:r>
        <w:rPr/>
        <w:t>If either Party decides to suspend the operation of Article 10.12 (Review of Final Antidumping and Countervailing Duty Determinations), it shall provide written notice of such suspension to the other Party. 10. On the request of the Party complained against, the special committee shall reconvene to determine whether: (a) the suspension of benefits by the complaining Party pursuant to paragraph 8(b) is manifestly excessive; or (b) the Party complained against has corrected the problem or problems with respect to which the committee has made an affirmative finding. The special committee shall, within 45 days of the request, present a report to both Parties containing its determination. Where the special committee determines that the Party complained against has corrected the problem or problems, any suspension effected by the complaining Party or the Party complained against, or both, pursuant to paragraph 8 or 9 shall be terminated. 11.</w:t>
      </w:r>
    </w:p>
    <w:p>
      <w:pPr>
        <w:pStyle w:val="Normal"/>
        <w:widowControl/>
        <w:rPr/>
      </w:pPr>
      <w:r>
        <w:rPr/>
        <w:t>If the special committee makes an affirmative finding with respect to one of the grounds specified in paragraph 1, then effective as of the day following the date of issuance of the special committee’s report: (a) binational panel or extraordinary challenge committee review under Article 10.12 (Review of Final Antidumping and Countervailing Duty Determinations) shall be stayed (i) in the case of review of any final determination of the complaining Party requested by the Party complained against, if such review was requested after the date on which consultations were requested pursuant to paragraph 1, and in no case more than 150 days prior to an affirmative finding by the special committee, or (ii) in the case of review of any final determination of the Party complained against requested by the complaining Party, at the request of the complaining Party; and (b) the time set out in Article 10.12(4) (Review of Final Antidumping and Countervailing Duty Determinations) or Annex 10-B.3 (Extraordinary Challenge Procedure) for requesting panel or committee review shall not run unless and until resumed in accordance with paragraph 12. 12.</w:t>
      </w:r>
    </w:p>
    <w:p>
      <w:pPr>
        <w:pStyle w:val="Normal"/>
        <w:widowControl/>
        <w:rPr/>
      </w:pPr>
      <w:r>
        <w:rPr/>
        <w:t>If either Party suspends the operation of Article 10.12 (Review of Final Antidumping and Countervailing Duty Determinations) pursuant to paragraph 8(a), the panel or committee review stayed under paragraph 11(a) shall be terminated and the challenge to the final determination shall be irrevocably referred to the appropriate domestic court for decision, as provided below: (a) in the case of review of any final determination of the complaining Party requested by the Party complained against, at the request of either Party, or of a party to the panel review under Article 10.12 (Review of Final Antidumping and Countervailing Duty Determinations); or (b) in the case of review of any final determination of the Party complained against requested by the complaining Party, at the request of the complaining Party, or of a person of the complaining Party that is a party to the panel review under Article 10.12 (Review of Final Antidumping and Countervailing Duty Determinations). 13.</w:t>
      </w:r>
    </w:p>
    <w:p>
      <w:pPr>
        <w:pStyle w:val="Normal"/>
        <w:widowControl/>
        <w:rPr/>
      </w:pPr>
      <w:r>
        <w:rPr/>
        <w:t>If either Party suspends the operation of Article 10.12 (Review of Antidumping Law and Countervailing Duty Law) pursuant to paragraph 8(a), any running of time suspended under paragraph 11(b) shall resume. 14. If the suspension of the operation of Article 10.12 (Review of Antidumping Law and Countervailing Duty Law) does not become effective, panel or committee review stayed under paragraph 11(a), and any running of time suspended under paragraph 11(b), shall resume. 15.</w:t>
      </w:r>
    </w:p>
    <w:p>
      <w:pPr>
        <w:pStyle w:val="Normal"/>
        <w:widowControl/>
        <w:rPr/>
      </w:pPr>
      <w:r>
        <w:rPr/>
        <w:t>If the complaining Party suspends the application to the Party complained against of such benefits under the Agreement as may be appropriate under the circumstances pursuant to paragraph 8(b), panel or committee review stayed under paragraph 11(a), and any running of time suspended under paragraph 11(b), shall resume. 16. Each Party shall provide in its domestic legislation that, in the event of an affirmative finding by the special committee, the time for requesting judicial review of a final antidumping or countervailing duty determination shall not run unless and until the Parties concerned have negotiated a mutually satisfactory solution under paragraph 7, have suspended the operation of Article 10.12 (Review of Antidumping Law and Countervailing Duty Law) or the application of other benefits under paragraph 8.</w:t>
      </w:r>
    </w:p>
    <w:p>
      <w:pPr>
        <w:pStyle w:val="Normal"/>
        <w:keepNext w:val="true"/>
        <w:widowControl/>
        <w:rPr/>
      </w:pPr>
      <w:r>
        <w:rPr/>
        <w:t>Article 10.14: Prospective Application This Section shall apply only prospectively to: (a) final determinations of a competent investigating authority made after the date of entry into force of this Agreement; and (b) with respect to declaratory opinions under Article 10.11 (Review of Statutory Amendments), amendments to antidumping or countervailing duty statutes enacted after the date of entry into force of this Agreement.</w:t>
      </w:r>
    </w:p>
    <w:p>
      <w:pPr>
        <w:pStyle w:val="Normal"/>
        <w:keepNext w:val="true"/>
        <w:widowControl/>
        <w:rPr/>
      </w:pPr>
      <w:r>
        <w:rPr/>
        <w:t>Article 10.15: Consultations 1. The Parties shall consult annually, or on the request of any Party, to consider any problems that may arise with respect to the implementation or operation of this Section and recommend solutions, where appropriate. The Parties shall each designate one or more officials, including officials of the competent investigating authorities, to be responsible for ensuring that consultations occur, when required, so that the provisions of this Section are carried out expeditiously. 2. The Parties further agree to consult on: (a) the potential to develop more effective rules and disciplines concerning the use of government subsidies; and (b) the potential for reliance on a substitute system of rules for dealing with unfair transborder pricing practices and government subsidization. 3. The competent investigating authorities of the Parties shall consult annually, or on the request of any Party, and may submit reports to the Commission, where appropriate.</w:t>
      </w:r>
    </w:p>
    <w:p>
      <w:pPr>
        <w:pStyle w:val="Normal"/>
        <w:widowControl/>
        <w:rPr/>
      </w:pPr>
      <w:r>
        <w:rPr/>
        <w:t>In the context of these consultations, the Parties agree that it is desirable in the administration of antidumping and countervailing duty laws to: (a) publish notice of initiation of investigations in the importing Party’s official journal, setting forth the nature of the proceeding, the legal authority under which the proceeding is initiated, and a description of the goods at issue; (b) provide notice of the times for submissions of information and for decisions that the competent investigating authorities are expressly required by statute or regulations to make; (c) provide explicit written notice and instructions as to the information required from interested parties and reasonable time to respond to requests for information;</w:t>
      </w:r>
    </w:p>
    <w:p>
      <w:pPr>
        <w:pStyle w:val="Normal"/>
        <w:widowControl/>
        <w:rPr/>
      </w:pPr>
      <w:r>
        <w:rPr/>
        <w:t>(d) accord reasonable access to information, noting that in this context (i) “reasonable access” means access during the course of the investigation, to the extent practicable, so as to permit an opportunity to present facts and arguments as set out in paragraph (e); when it is not practicable to provide access to information during the investigation in such time as to permit an opportunity to present facts and arguments, reasonable access shall mean in time to permit the adversely affected party to make an informed decision as to whether to seek judicial or panel review, and (ii) “access to information” means access to representatives determined by the competent investigating authority to be qualified to have access to information received by that</w:t>
      </w:r>
    </w:p>
    <w:p>
      <w:pPr>
        <w:pStyle w:val="Normal"/>
        <w:widowControl/>
        <w:rPr/>
      </w:pPr>
      <w:r>
        <w:rPr/>
        <w:t>competent investigating authority, including access to confidential (business proprietary) information, but does not include information of such high degree of sensitivity that its release would lead to substantial and irreversible harm to the owner or which is required to be kept confidential in accordance with domestic law of a Party; any privileges arising under the domestic law of the importing Party relating to communications between the competent investigating authorities and a lawyer in the employ of, or providing advice to, those authorities may be maintained; (e) provide an opportunity for interested parties to present facts and arguments, to the extent time permits, including an opportunity to comment on the preliminary determination of dumping or of subsidization; (f) protect confidential (business proprietary) information received by the competent investigating authority to ensure that there is no disclosure except to representatives determined by the competent investigating authority to be qualified; (g) prepare administrative records, including recommendations of official advisory bodies that may be required to be kept, and any record of ex parte meetings that may be required to be kept;</w:t>
      </w:r>
    </w:p>
    <w:p>
      <w:pPr>
        <w:pStyle w:val="Normal"/>
        <w:widowControl/>
        <w:rPr/>
      </w:pPr>
      <w:r>
        <w:rPr/>
        <w:t>(h) provide disclosure of relevant information, including an explanation of the calculation or the methodology used to determine the margin of dumping or the amount of the subsidy, on which any preliminary or final determination of dumping or of subsidization is based, within a</w:t>
      </w:r>
    </w:p>
    <w:p>
      <w:pPr>
        <w:pStyle w:val="Normal"/>
        <w:widowControl/>
        <w:rPr/>
      </w:pPr>
      <w:r>
        <w:rPr/>
        <w:t>reasonable time after a request by interested parties; (i) provide a statement of reasons concerning the final determination of dumping or subsidization; and (j) provide a statement of reasons for final determinations concerning material injury to a domestic industry, threat of material injury to a domestic industry or material retardation of the establishment of such an industry. Inclusion of an item in subparagraphs (a) through (j) is not intended to serve as guidance to a binational panel reviewing a final antidumping or countervailing duty determination pursuant to Article 10.12 (Review of Final Antidumping and Countervailing Duty Determinations) in determining whether such determination was in accordance with the antidumping or countervailing duty law of the importing Party.</w:t>
      </w:r>
    </w:p>
    <w:p>
      <w:pPr>
        <w:pStyle w:val="Normal"/>
        <w:keepNext w:val="true"/>
        <w:widowControl/>
        <w:rPr/>
      </w:pPr>
      <w:r>
        <w:rPr/>
        <w:t>Article 10.16: Special Secretariat Provisions 1. Each Party shall maintain a Secretariat to facilitate the operation of this Section, including the work of panels or committees that may be convened pursuant to this Section. 2. The Secretaries of the Secretariat shall act jointly to provide administrative assistance to all panels or committees established pursuant to this Section. The Secretary for the Section of the Party in which a panel or committee proceeding is held shall prepare a record thereof and shall preserve an authentic copy of the same in that Party’s Section office. Such Secretary shall, on request, provide to the Secretary for the Section of another Party a copy of such portion of the record as is requested, except that only public portions of the record shall be provided to the Secretary for the Section of any Party that is not an involved Party. 3.</w:t>
      </w:r>
    </w:p>
    <w:p>
      <w:pPr>
        <w:pStyle w:val="Normal"/>
        <w:widowControl/>
        <w:rPr/>
      </w:pPr>
      <w:r>
        <w:rPr/>
        <w:t>Each Secretary shall receive and file all requests, briefs and other papers properly presented to a panel or committee in any proceeding before it that is instituted pursuant to this Section and shall number in numerical order all requests for a panel or committee. The number given to a request shall be the file number for briefs and other papers relating to such request. 4.</w:t>
      </w:r>
    </w:p>
    <w:p>
      <w:pPr>
        <w:pStyle w:val="Normal"/>
        <w:widowControl/>
        <w:rPr/>
      </w:pPr>
      <w:r>
        <w:rPr/>
        <w:t>The Secretary for the Section of the Party in which a panel or committee proceeding is held shall forward to the Secretary for the Section of the other involved Party copies of all official letters, documents or other papers received or filed with that Party’s Section office pertaining to any proceeding before a panel or committee, except for the administrative record, which shall be handled in accordance with paragraph 2. The Secretary for the Section of an involved Party shall provide on request to the Secretary for the Section of a Party that is not an involved Party in the proceeding a copy of such public documents as are requested.</w:t>
      </w:r>
    </w:p>
    <w:p>
      <w:pPr>
        <w:pStyle w:val="Normal"/>
        <w:keepNext w:val="true"/>
        <w:widowControl/>
        <w:rPr/>
      </w:pPr>
      <w:r>
        <w:rPr/>
        <w:t>Article 10.17: Code of Conduct The Parties shall exchange letters establishing or maintaining a code of conduct for panelists and members of committees established pursuant to Article 10.11 (Review of Statutory Amendments), Article 10.12 (Review of Final Antidumping and Countervailing Duty Determinations), and Article 10.13 (Safeguarding the Panel Review System).</w:t>
      </w:r>
    </w:p>
    <w:p>
      <w:pPr>
        <w:pStyle w:val="Normal"/>
        <w:keepNext w:val="true"/>
        <w:widowControl/>
        <w:rPr/>
      </w:pPr>
      <w:r>
        <w:rPr/>
        <w:t>Article 10.18: Miscellaneous On request of another Party, the competent investigating authority of a Party shall provide to the other Party copies of all public information submitted to it for purposes of an antidumping or countervailing duty investigation with respect to goods of that other Party.</w:t>
      </w:r>
    </w:p>
    <w:p>
      <w:pPr>
        <w:pStyle w:val="Normal"/>
        <w:widowControl/>
        <w:rPr/>
      </w:pPr>
      <w:r>
        <w:rPr/>
        <w:t>ANNEX 10-A PRACTICES RELATING TO ANTIDUMPING AND COUNTERVAILING DUTY PROCEEDINGS The Parties recognize the right to apply trade remedy measures consistent with Article VI of GATT 1994, the AD Agreement, and the SCM Agreement, and the importance of promoting transparency in antidumping and countervailing duty proceedings and of ensuring the opportunity of all interested parties to participate meaningfully in such proceedings.7 1. To facilitate access to information relevant to antidumping and countervailing duty proceedings, a Party shall publish online the following: (a) laws and regulations that pertain to its antidumping and countervailing duty proceedings; and (b) sample questionnaires that it would issue in a typical antidumping proceeding. In publishing information online, a Party shall endeavor to minimize the number of webpages on which it provides such information. A Party shall also endeavor to publish online other information relevant to antidumping and countervailing duty proceedings such as manuals, guidelines, templates, and other reference and orientation materials, where applicable.8 2.</w:t>
      </w:r>
    </w:p>
    <w:p>
      <w:pPr>
        <w:pStyle w:val="Normal"/>
        <w:widowControl/>
        <w:rPr/>
      </w:pPr>
      <w:r>
        <w:rPr/>
        <w:t>For each antidumping and countervailing duty proceeding which involves imports of another Party, initiated9 after the date of entry into force of this Agreement, each investigating authority of a Party shall maintain and make available without charge online for all interested parties:10 7 With regards to the provisions in this Annex, the Parties shall protect the confidentiality of the information pursuant to each Party’s law. 8 For greater certainty, the documents listed in this paragraph are not intended to constitute a comprehensive list of documents relating to antidumping and countervailing duty proceedings and no inference shall be drawn from this list’s inclusion or exclusion of a particular document. Such documents may be published online to the extent that they are available. 9 For greater certainty, when the proceedings involve imports from other countries of the same subject merchandise and are initiated on the same date, this paragraph also applies. 10 For greater certainty, for the United States, this paragraph shall not impact information and data already made publicly available pursuant to its law.</w:t>
      </w:r>
    </w:p>
    <w:p>
      <w:pPr>
        <w:pStyle w:val="Normal"/>
        <w:widowControl/>
        <w:rPr/>
      </w:pPr>
      <w:r>
        <w:rPr/>
        <w:t>10-A-1 (a) a file that contains: (i) all non-confidential documents that are part of its administrative record for each segment of a proceeding, or proceeding in the case of Mexico, and (ii) to the extent feasible without revealing confidential information, non- confidential summaries of confidential information contained in its administrative record;11 and (b) a listing of all documents that are part of its administrative record for each segment of a proceeding, or proceeding in the case of Mexico, in a manner that enables any interested party to identify and locate particular documents in the file. If technical constraints prevent online access to a document that is part of its administrative record for each segment of a proceeding, or proceeding in the case of Mexico, the investigating authority may instead make the document available for all interested parties, pursuant to the domestic legislation of the Party, by means of physical inspection during the investigating authority’s normal business hours. 3.</w:t>
      </w:r>
    </w:p>
    <w:p>
      <w:pPr>
        <w:pStyle w:val="Normal"/>
        <w:widowControl/>
        <w:rPr/>
      </w:pPr>
      <w:r>
        <w:rPr/>
        <w:t>Each investigating authority of a Party shall maintain or establish a system through which interested parties participating in an antidumping or countervailing duty segment of a proceeding, or proceeding in the case of Mexico, shall submit documents electronically in such a segment of a proceeding, or proceeding in the case of Mexico.</w:t>
      </w:r>
    </w:p>
    <w:p>
      <w:pPr>
        <w:pStyle w:val="Normal"/>
        <w:widowControl/>
        <w:rPr/>
      </w:pPr>
      <w:r>
        <w:rPr/>
        <w:t>Notwithstanding the previous sentence, each investigating authority of a Party may require manual submission of a petition, or of other documents in exceptional circumstances, including where technical constraints may impact the ability of interested parties to submit certain documents electronically. 4. For the purposes of paragraphs 2 and 3, the online access point and the system for submitting documents electronically shall be established or maintained beginning no later than five years after the date of entry into force of this Agreement. (a) If a Party requests assistance with implementation of these obligations from another Party, that Party may provide assistance to the extent practicable. The Parties recognize that a need for assistance may necessitate additional flexibility in implementing the systems set forth in paragraphs 2 and 3, pursuant to the provisions in paragraph 4(b). 11 To the extent that individual information is not susceptible of summarization without disclosing confidential information, it may be aggregated. Nothing in this paragraph shall require an investigating authority to make publicly available a non-confidential summary of a questionnaire response that the investigating authority treats as confidential in its entirety.</w:t>
      </w:r>
    </w:p>
    <w:p>
      <w:pPr>
        <w:pStyle w:val="Normal"/>
        <w:widowControl/>
        <w:rPr/>
      </w:pPr>
      <w:r>
        <w:rPr/>
        <w:t>10-A-2 (b) The Parties are aware of the technical and financial difficulties of establishing and maintaining the systems set forth in paragraphs 2 and 3, and may consult to discuss additional flexibility regarding the establishment and maintenance of such systems, as necessary. 5. On receipt of a formally filed antidumping or countervailing duty application with respect to imports of another Party, and normally no later than seven days prior to the date on which the investigating authority issues a determination on the application, the Party shall notify the other Party or Parties that it received the application.12 6. In any segment of a proceeding, or proceeding in the case of Mexico, in which an investigating authority of a Party determines to conduct an in-person verification of information provided by a responding party and pertinent to the calculation of an antidumping duty margin or the level of a countervailable subsidy, the investigating authority shall promptly notify the responding party of its intent to do so, and normally shall:</w:t>
      </w:r>
    </w:p>
    <w:p>
      <w:pPr>
        <w:pStyle w:val="Normal"/>
        <w:widowControl/>
        <w:rPr/>
      </w:pPr>
      <w:r>
        <w:rPr/>
        <w:t>(a) provide the responding party advance notice of the dates on which the investigating authority intends to conduct any such in-person verification of information; (b) prior to any such in-person verification, provide the responding party a document that sets forth the topics the responding party should be prepared to address during the verification and describes the types of supporting documentation the responding party should make</w:t>
      </w:r>
    </w:p>
    <w:p>
      <w:pPr>
        <w:pStyle w:val="Normal"/>
        <w:widowControl/>
        <w:rPr/>
      </w:pPr>
      <w:r>
        <w:rPr/>
        <w:t>available for review; (c) after the verification is completed prepare a written report describing the methods and procedures that it followed in carrying out the verification and the results of the verification; and (d) make the report available to all interested parties, without disclosing confidential information, in sufficient time for the interested parties to defend their interests in the segment of a proceeding, or proceeding in the case of Mexico. 7. An investigating authority of a Party shall disclose, among other things, for each interested party for whom the investigating authority has determined an individual rate of duty, the calculations used to determine the rate of dumping or countervailable subsidization and, if different, the calculations used to determine the rate of duty to be applied to imports of the interested party. The disclosure and explanation shall be in sufficient detail so as to permit the interested party to reproduce the calculations without undue difficulty.</w:t>
      </w:r>
    </w:p>
    <w:p>
      <w:pPr>
        <w:pStyle w:val="Normal"/>
        <w:widowControl/>
        <w:rPr/>
      </w:pPr>
      <w:r>
        <w:rPr/>
        <w:t>Such disclosure shall include, whether in electronic format, such as a computer program or spreadsheet, or in any other medium, a detailed explanation of the information the investigating authority used, the sources 12 For Mexico, this notification shall apply only to an affirmative determination on the application.</w:t>
      </w:r>
    </w:p>
    <w:p>
      <w:pPr>
        <w:pStyle w:val="Normal"/>
        <w:widowControl/>
        <w:rPr/>
      </w:pPr>
      <w:r>
        <w:rPr/>
        <w:t>10-A-3 of that information, and any adjustments it made to the information when used in the calculations.13 The investigating authority shall provide interested parties adequate opportunity to respond to the disclosure. 8. On receipt of a formally filed antidumping or countervailing duty application by the investigating authority of a Party against imports of goods from a non-Party, the investigating authorities of the other Parties may consider the information and data in the application and make a determination as to whether self-initiation of an antidumping or countervailing duty investigation or other relevant action is warranted. 9. To the extent feasible, Parties may exchange non-Parties’ subsidy information and consider whether self-initiation of a countervailing duty investigation or other relevant action is warranted. 13 When making such disclosure, the disclosing Party shall protect the confidentiality of the information in the disclosure pursuant its law. 10-A-4 ANNEX 10-B.1 ESTABLISHMENT OF BINATIONAL PANELS 1. On the date of entry into force of this Agreement, the Parties shall establish or maintain a roster of individuals to serve as panelists in disputes under Section D.</w:t>
      </w:r>
    </w:p>
    <w:p>
      <w:pPr>
        <w:pStyle w:val="Normal"/>
        <w:widowControl/>
        <w:rPr/>
      </w:pPr>
      <w:r>
        <w:rPr/>
        <w:t>The roster shall include judges or former judges to the fullest extent practicable. The Parties shall consult in developing the roster, which shall include at least 75 candidates.</w:t>
      </w:r>
    </w:p>
    <w:p>
      <w:pPr>
        <w:pStyle w:val="Normal"/>
        <w:widowControl/>
        <w:rPr/>
      </w:pPr>
      <w:r>
        <w:rPr/>
        <w:t>Each Party shall select at least 25 candidates, and all candidates shall be citizens of Canada, Mexico, or the United States. Candidates shall be of good character, high standing and repute, and shall be chosen strictly on the basis of objectivity, reliability, sound judgment and general familiarity with international trade law. Candidates shall not be affiliated with a Party, and in no event shall a candidate take instructions from a Party. The Parties shall maintain the roster, and may amend it, when necessary, after consultations. 2. A majority of the panelists on each panel shall be lawyers in good standing. Within 30 days of a request for a panel, each involved Party shall appoint two panelists, in consultation with the other involved Party. The involved Parties normally shall appoint panelists from the roster. If a panelist is not selected from the roster, the panelist shall be chosen in accordance with and be subject to the criteria of paragraph 1.</w:t>
      </w:r>
    </w:p>
    <w:p>
      <w:pPr>
        <w:pStyle w:val="Normal"/>
        <w:widowControl/>
        <w:rPr/>
      </w:pPr>
      <w:r>
        <w:rPr/>
        <w:t>Each involved Party shall have the right to exercise four peremptory challenges, to be exercised simultaneously and in confidence, disqualifying from appointment to the panel up to four candidates proposed by the other involved Party. Peremptory challenges and the selection of alternative panelists shall occur within 45 days of the request for the panel.</w:t>
      </w:r>
    </w:p>
    <w:p>
      <w:pPr>
        <w:pStyle w:val="Normal"/>
        <w:widowControl/>
        <w:rPr/>
      </w:pPr>
      <w:r>
        <w:rPr/>
        <w:t>If an involved Party fails to appoint its members to a panel within 30 days or if a panelist is struck and no alternative panelist is selected within 45 days, such panelist shall be selected by lot on the 31st or 46th day, as the case may be, from that Party’s candidates on the roster. 3. Within 55 days of the request for a panel, the involved Parties shall agree on the selection of a fifth panelist. If the involved Parties are unable to agree, they shall decide by lot which of them shall select, by the 61st day, the fifth panelist from the roster, excluding candidates eliminated by peremptory challenges. 4. On appointment of the fifth panelist, the panelists shall promptly appoint a chair from among the lawyers on the panel by majority vote of the panelists. If there is no majority vote, the chair shall be appointed by lot from among the lawyers on the panel. 5. Decisions of the panel shall be by majority vote and based on the votes of all members of the panel.</w:t>
      </w:r>
    </w:p>
    <w:p>
      <w:pPr>
        <w:pStyle w:val="Normal"/>
        <w:widowControl/>
        <w:rPr/>
      </w:pPr>
      <w:r>
        <w:rPr/>
        <w:t>The panel shall issue a written decision with reasons, together with any dissenting or concurring opinions of panelists. 6. Panelists shall be subject to the code of conduct established pursuant to Article 10.17 (Code of Conduct). If an involved Party believes that a panelist is in violation of the code of 10-B.1-1 conduct, the involved Parties shall consult and if they agree, the panelist shall be removed and a new panelist shall be selected in accordance with the procedures of this Annex. 7.</w:t>
      </w:r>
    </w:p>
    <w:p>
      <w:pPr>
        <w:pStyle w:val="Normal"/>
        <w:widowControl/>
        <w:rPr/>
      </w:pPr>
      <w:r>
        <w:rPr/>
        <w:t>When a panel is convened pursuant to Article 10.12 (Review of Final Antidumping and Countervailing Duty Determinations) each panelist shall be required to sign: (a) an application for protective order for information supplied by the United States or its persons covering business proprietary and other privileged information; (b) an undertaking for information supplied by Canada or its persons covering confidential, personal, business proprietary and other privileged information; or (c) an undertaking for information supplied by Mexico or its persons covering confidential, business proprietary and other privileged information. 8. On a panelist’s acceptance of the obligations and terms of an application for protective order or disclosure undertaking, the importing Party shall grant access to the information covered by such order or disclosure undertaking. Each Party shall establish appropriate sanctions for violations of protective orders or disclosure undertakings issued by or given to any Party. Each Party shall enforce such sanctions with respect to any person within its jurisdiction. Failure by a panelist to sign an application for a protective order or disclosure undertaking shall result in disqualification of the panelist. 9.</w:t>
      </w:r>
    </w:p>
    <w:p>
      <w:pPr>
        <w:pStyle w:val="Normal"/>
        <w:widowControl/>
        <w:rPr/>
      </w:pPr>
      <w:r>
        <w:rPr/>
        <w:t>If a panelist becomes unable to fulfill panel duties or is disqualified, proceedings of the panel shall be suspended pending the selection of a substitute panelist in accordance with the procedures of this Annex. 10.</w:t>
      </w:r>
    </w:p>
    <w:p>
      <w:pPr>
        <w:pStyle w:val="Normal"/>
        <w:widowControl/>
        <w:rPr/>
      </w:pPr>
      <w:r>
        <w:rPr/>
        <w:t>Subject to the code of conduct established pursuant to Article 10.17 (Code of Conduct), and provided that it does not interfere with the performance of the duties of such panelist, a panelist may engage in other business during the term of the panel. 11. While acting as a panelist, a panelist may not appear as counsel before another panel. 12. With the exception of violations of protective orders or disclosure undertakings, signed pursuant to paragraph 7, panelists shall be immune from suit and legal process relating to acts performed by them in their official capacity. 10-B.1-2 ANNEX 10-B.2 PANEL PROCEDURES UNDER ARTICLE 10.11 1. The panel shall establish its own rules of procedure unless the Parties otherwise agree prior to the establishment of that panel. The procedures shall ensure a right to at least one hearing before the panel, as well as the opportunity to provide written submissions and rebuttal arguments. The proceedings of the panel shall be confidential, unless the two Parties otherwise agree.</w:t>
      </w:r>
    </w:p>
    <w:p>
      <w:pPr>
        <w:pStyle w:val="Normal"/>
        <w:widowControl/>
        <w:rPr/>
      </w:pPr>
      <w:r>
        <w:rPr/>
        <w:t>The panel shall base its decisions solely on the arguments and submissions of the two Parties. 2. Unless the Parties to the dispute otherwise agree, the panel shall, within 90 days after its chair is appointed, present to the two Parties an initial written declaratory opinion containing findings of fact and its determination pursuant to Article 10.11 (Review of Statutory Amendments). 3.</w:t>
      </w:r>
    </w:p>
    <w:p>
      <w:pPr>
        <w:pStyle w:val="Normal"/>
        <w:widowControl/>
        <w:rPr/>
      </w:pPr>
      <w:r>
        <w:rPr/>
        <w:t>If the findings of the panel are affirmative, the panel may include in its report its recommendations as to the means by which the amending statute could be brought into conformity with the provisions of Article 10.10(2)(d) (Retention of Domestic Antidumping Law and Countervailing Duty Law). In determining what, if any, recommendations are appropriate, the panel shall consider the extent to which the amending statute affects interests under this Agreement. Individual panelists may provide separate opinions on matters not unanimously agreed. The initial opinion of the panel shall become the final declaratory opinion, unless a Party to the dispute requests a reconsideration of the initial opinion pursuant to paragraph 4. 4. Within 14 days of the issuance of the initial declaratory opinion, a Party to the dispute disagreeing in whole or in part with the opinion may present a written statement of its objections and the reasons for those objections to the panel. In such event, the panel shall request the views of both Parties and shall reconsider its initial opinion.</w:t>
      </w:r>
    </w:p>
    <w:p>
      <w:pPr>
        <w:pStyle w:val="Normal"/>
        <w:widowControl/>
        <w:rPr/>
      </w:pPr>
      <w:r>
        <w:rPr/>
        <w:t>The panel shall conduct any further examination that it deems appropriate, and shall issue a final written opinion, together with dissenting or concurring views of individual panelists, within 30 days of the request for reconsideration. 5.</w:t>
      </w:r>
    </w:p>
    <w:p>
      <w:pPr>
        <w:pStyle w:val="Normal"/>
        <w:widowControl/>
        <w:rPr/>
      </w:pPr>
      <w:r>
        <w:rPr/>
        <w:t>Unless the Parties to the dispute otherwise agree, the final declaratory opinion of the panel shall be made public, along with any separate opinions of individual panelists and any written views that either Party may wish to be published. 6. Unless the Parties to the dispute otherwise agree, meetings and hearings of the panel shall take place at the office of the amending Party’s Section of the Secretariat. 10-B.2-1 ANNEX 10-B.3 EXTRAORDINARY CHALLENGE PROCEDURE 1. The involved Parties shall establish an extraordinary challenge committee, composed of three members, within 15 days of a request pursuant to Article 10.12.13 (Review of Final Antidumping and Countervailing Duty Determinations). The members shall be selected from a 15-person roster comprised of judges or former judges of a federal judicial court of the United States or a judicial court of superior jurisdiction of Canada or a federal judicial or quasi-judicial tribunal of Mexico. Each Party shall name five persons to this roster.</w:t>
      </w:r>
    </w:p>
    <w:p>
      <w:pPr>
        <w:pStyle w:val="Normal"/>
        <w:widowControl/>
        <w:rPr/>
      </w:pPr>
      <w:r>
        <w:rPr/>
        <w:t>Each involved Party shall select one member from this roster and the involved Parties shall decide by lot which of them shall select the third member from the roster. 2. The Parties shall establish or maintain rules of procedure for committees. The rules shall provide for a decision of a committee within 90 days of its establishment. 3. Committee decisions shall be binding on the Parties with respect to the particular matter between the Parties that was before the panel.</w:t>
      </w:r>
    </w:p>
    <w:p>
      <w:pPr>
        <w:pStyle w:val="Normal"/>
        <w:widowControl/>
        <w:rPr/>
      </w:pPr>
      <w:r>
        <w:rPr/>
        <w:t>After examination of the legal and factual analysis underlying the findings and conclusions of the panel’s decision in order to determine whether one of the grounds set out in Article 10.12.13 (Review of Final Antidumping and Countervailing Duty Determinations) has been established, and on finding that one of those grounds has been established, the committee shall vacate the original panel decision or remand it to the original panel for action not inconsistent with the committee’s decision; if the grounds are not established, it shall deny the challenge and, therefore, the original panel decision shall stand affirmed. If the original decision is vacated, a new panel shall be established pursuant to Annex 10-B.1 (Establishment of Binational Panels). 10-B.3-1 ANNEX 10-B.4 SPECIAL COMMITTEE PROCEDURES By the date of entry into force of this Agreement the Parties shall establish or maintain rules of procedure in accordance with the following principles: (a) the procedures shall assure a right to at least one hearing before the special committee as well as the opportunity to provide initial and rebuttal written submissions;</w:t>
      </w:r>
    </w:p>
    <w:p>
      <w:pPr>
        <w:pStyle w:val="Normal"/>
        <w:widowControl/>
        <w:rPr/>
      </w:pPr>
      <w:r>
        <w:rPr/>
        <w:t>(b) the procedures shall assure that the special committee shall prepare an initial report typically within 60 days of the appointment of the last member, and shall afford the Parties 14 days to comment on that report prior to issuing a final report 30 days after presentation of the initial report; (c) the special committee’s hearings, deliberations, and</w:t>
      </w:r>
    </w:p>
    <w:p>
      <w:pPr>
        <w:pStyle w:val="Normal"/>
        <w:widowControl/>
        <w:rPr/>
      </w:pPr>
      <w:r>
        <w:rPr/>
        <w:t>initial report, and all written submissions to and communications with the special committee shall be confidential; (d) unless the Parties to the dispute otherwise agree, the decision of the special committee shall be published 10 days after it is transmitted to the disputing Parties, along with any separate opinions of individual members and any written views that either Party may wish to be published; and (e) unless the Parties to the dispute otherwise agree, meetings and hearings of the special committee shall take place at the office of the Section of the Secretariat of the Party complained against. 10-B.4-1 ANNEX 10-B.5 AMENDMENTS TO DOMESTIC LAWS Schedule of Canada 1.</w:t>
      </w:r>
    </w:p>
    <w:p>
      <w:pPr>
        <w:pStyle w:val="Normal"/>
        <w:widowControl/>
        <w:rPr/>
      </w:pPr>
      <w:r>
        <w:rPr/>
        <w:t>Canada shall amend sections 56 and 58 of the Special Import Measures Act, as amended, to allow the United States with respect to goods of the United States or Mexico with respect to goods of Mexico or a United States or a Mexican manufacturer, producer, or exporter, without regard to payment of duties, to make a written request for a redetermination; and section 59 to require the Deputy Minister to make a ruling on a request for a redetermination within one year of a request to a designated officer or other customs officer. 2.</w:t>
      </w:r>
    </w:p>
    <w:p>
      <w:pPr>
        <w:pStyle w:val="Normal"/>
        <w:widowControl/>
        <w:rPr/>
      </w:pPr>
      <w:r>
        <w:rPr/>
        <w:t>Canada shall amend section 18.3(1) of the Federal Court Act, as amended, to render that section inapplicable to the United States and to Mexico; and shall provide in its statutes or regulations that persons (including producers of goods subject to an investigation) have standing to ask Canada to request a panel review where such persons would be entitled to commence domestic procedures for judicial review if the final determination were reviewable by the Federal Court pursuant to section 18.1(4). 3. Canada shall amend the Special Import Measures Act, as amended, and any other relevant provisions of law, to provide that the following actions of the President shall be deemed for the purposes of Section D to be final determinations subject to judicial review: (a) a determination by the President pursuant to section 41; (b) a redetermination by the President pursuant to section 59; and (c) a review by the President of an undertaking pursuant to section 53(1). 4.</w:t>
      </w:r>
    </w:p>
    <w:p>
      <w:pPr>
        <w:pStyle w:val="Normal"/>
        <w:widowControl/>
        <w:rPr/>
      </w:pPr>
      <w:r>
        <w:rPr/>
        <w:t>Canada shall amend Part II of the Special Import Measures Act, as amended, to provide for binational panel review respecting goods of Mexico and the United States. 5. Canada shall amend Part II of the Special Import Measures Act, as amended, to provide for definitions related to Section D, as may be required. 6.</w:t>
      </w:r>
    </w:p>
    <w:p>
      <w:pPr>
        <w:pStyle w:val="Normal"/>
        <w:widowControl/>
        <w:rPr/>
      </w:pPr>
      <w:r>
        <w:rPr/>
        <w:t>Canada shall amend Part II of the Special Import Measures Act, as amended, to permit the governments of Mexico and the United States to request binational panel review of final determinations respecting goods of Mexico and the United States. 7. Canada shall amend Part II of the Special Import Measures Act, as amended, to provide for the establishment of binational panels requested to review final determinations in respect of goods of Mexico and the United States. 10-B.5-1 8. Canada shall amend Part II of the Special Import Measures Act, as amended, to provide that binational panel review of a final determination shall be conducted in accordance with this Chapter. 9. Canada shall amend Part II of the Special Import Measures Act, as amended, to provide that an extraordinary challenge proceeding shall be requested and conducted in accordance with Article10.12 (Review of Final Antidumping and Countervailing Duty Determinations) and Annex 10-B.3 (Extraordinary Challenge Procedure). 10.</w:t>
      </w:r>
    </w:p>
    <w:p>
      <w:pPr>
        <w:pStyle w:val="Normal"/>
        <w:widowControl/>
        <w:rPr/>
      </w:pPr>
      <w:r>
        <w:rPr/>
        <w:t>Canada shall amend Part II of the Special Import Measures Act, as amended, to provide for a code of conduct, immunity for anything done or omitted to be done during the course of panel proceedings, the signing of and compliance with disclosure undertakings respecting confidential information, and remuneration for members of panels and committees established pursuant to this Chapter. 11.</w:t>
      </w:r>
    </w:p>
    <w:p>
      <w:pPr>
        <w:pStyle w:val="Normal"/>
        <w:widowControl/>
        <w:rPr/>
      </w:pPr>
      <w:r>
        <w:rPr/>
        <w:t>Canada shall make such amendments as are necessary to establish a Canadian Secretariat for this Agreement and generally to facilitate the operation of Section D and the work of the binational panels, extraordinary challenge committees and special committees convened under this Chapter. Schedule of Mexico Mexico shall amend its antidumping and countervailing duty statutes and regulations, and other statutes and regulations to the extent that they apply to the operation of the antidumping and countervailing duty laws, to provide the following: (a) elimination of the possibility of imposing duties within the five-day period after the acceptance of a petition; (b) substitution of the term Initial Resolution (Resolución de Inicio) for the term Provisional Resolution (Resolución Provisional) and the term Provisional Resolution (Resolución Provisional) for the term Resolution Reviewing the Provisional Resolution (Resolución que revisa a la Resolución Provisional); (c) full participation in the administrative process for interested parties, as well as the right to administrative appeal and judicial review of final determinations of investigations, reviews, product coverage or other final decisions affecting them;</w:t>
      </w:r>
    </w:p>
    <w:p>
      <w:pPr>
        <w:pStyle w:val="Normal"/>
        <w:widowControl/>
        <w:rPr/>
      </w:pPr>
      <w:r>
        <w:rPr/>
        <w:t>(d) elimination of the possibility of imposing provisional duties before the issuance of a preliminary determination; 10-B.5-2 (e) the right to immediate access to review of final determinations by binational panels for interested parties, without the need to exhaust first</w:t>
      </w:r>
    </w:p>
    <w:p>
      <w:pPr>
        <w:pStyle w:val="Normal"/>
        <w:widowControl/>
        <w:rPr/>
      </w:pPr>
      <w:r>
        <w:rPr/>
        <w:t>the administrative appeal; (f) explicit and adequate timetables for determinations of the competent investigating authority and for the submission of questionnaires, evidence and comments by interested parties, as well as an opportunity for them to present facts and arguments in support of their positions prior to any final determination, to the extent time permits, including an opportunity to be adequately informed in a timely manner of and to comment on all aspects of preliminary determinations of dumping or subsidization; (g) written notice to interested parties of any of the actions or resolutions rendered by the competent investigating authority, including initiation of an administrative review as well as its conclusion; (h) disclosure meetings with interested parties by the competent investigating authority conducting its investigations and reviews, within seven calendar days after the date of publication in the Federal Official Journal (Diario Oficial de la Federación) of preliminary and final determinations, to explain the margins of dumping and the amount of subsidies calculations and to provide the interested parties with copies of sample calculations and, if used, computer programs;</w:t>
      </w:r>
    </w:p>
    <w:p>
      <w:pPr>
        <w:pStyle w:val="Normal"/>
        <w:widowControl/>
        <w:rPr/>
      </w:pPr>
      <w:r>
        <w:rPr/>
        <w:t>(i) timely access by eligible counsel of interested parties during the course of the proceeding (including disclosure meetings) and on appeal, either before a national tribunal or a panel, to all information contained in the administrative record of the proceeding, including</w:t>
      </w:r>
    </w:p>
    <w:p>
      <w:pPr>
        <w:pStyle w:val="Normal"/>
        <w:widowControl/>
        <w:rPr/>
      </w:pPr>
      <w:r>
        <w:rPr/>
        <w:t>confidential information, excepting proprietary information of such a high degree of sensitivity that its release would lead to substantial and irreversible harm to the owner as well as government classified information, subject to an undertaking for confidentiality that strictly forbids use of the information for personal benefit and its disclosure to persons who are not authorized to receive such information; and for sanctions that are specific to violations of undertakings in proceedings before national tribunals or panels; (j) timely access by interested parties during the course of the proceeding, to all non- confidential information contained in the administrative record and access to such information by interested parties or their representatives in any proceeding after 90 days following the issuance of the final determination; (k) a mechanism requiring that any person submitting documents to the competent investigating authority shall simultaneously serve on interested persons, including foreign interests, any submissions after the complaint;</w:t>
      </w:r>
    </w:p>
    <w:p>
      <w:pPr>
        <w:pStyle w:val="Normal"/>
        <w:widowControl/>
        <w:rPr/>
      </w:pPr>
      <w:r>
        <w:rPr/>
        <w:t>10-B.5-3 (l) preparation of summaries of ex parte meetings held between the competent investigating authority and any interested party and the inclusion in the administrative record of such summaries, which shall be made available to parties to the proceeding; if such summaries contain business proprietary information, the documents must be disclosed to a party’s representative under an undertaking to ensure confidentiality; (m)</w:t>
      </w:r>
    </w:p>
    <w:p>
      <w:pPr>
        <w:pStyle w:val="Normal"/>
        <w:widowControl/>
        <w:rPr/>
      </w:pPr>
      <w:r>
        <w:rPr/>
        <w:t>maintenance by the competent investigating authority of an administrative record as defined in Article 10.8 (Definitions) and a requirement that the final determination be based solely on the administrative record; (n) informing interested parties in writing of all data and information the administering authority requires them to submit for the investigation, review, product coverage proceeding, or other antidumping or countervailing duty proceeding; (o) the right to an annual individual review on request by the interested parties through which they can obtain their own dumping margin or countervailing duty rate, or can change the margin or rate they received in the investigation or a previous review, reserving to the competent investigating authority the ability to initiate a review, at any time, on its own motion and requiring that the competent investigating authority issue a notice of initiation within a reasonable period of time after the request; (p) application of determinations issued as a result of judicial, administrative, or panel review, to the extent they are relevant to interested parties in addition to the plaintiff, so that all interested parties will benefit;</w:t>
      </w:r>
    </w:p>
    <w:p>
      <w:pPr>
        <w:pStyle w:val="Normal"/>
        <w:widowControl/>
        <w:rPr/>
      </w:pPr>
      <w:r>
        <w:rPr/>
        <w:t>(q) issuance of binding decisions by the competent investigating authority if an interested party seeks clarification outside the context of an antidumping or countervailing duty investigation or review with respect to whether a particular product is covered by an antidumping or countervailing duty</w:t>
      </w:r>
    </w:p>
    <w:p>
      <w:pPr>
        <w:pStyle w:val="Normal"/>
        <w:widowControl/>
        <w:rPr/>
      </w:pPr>
      <w:r>
        <w:rPr/>
        <w:t>order; (r) a detailed statement of reasons and the legal basis for final determinations in a manner sufficient to permit interested parties to make an informed decision as to whether to seek judicial or panel review, including an explanation of methodological or policy issues raised in the calculation of dumping or subsidization; (s) written notice to interested parties and publication in the Federal Official Journal (Diario Oficial de la Federación) of initiation of investigations setting forth the nature of the proceeding, the legal authority under which the proceeding is initiated, and a description of the product at issue; 10-B.5-4 (t) documentation in writing of all advisory bodies’ decisions or recommendations, including the basis for the decisions, and release of such written decisions to parties to the proceeding; all decisions or recommendations of any advisory body shall be placed in the administrative record and made available to parties to the proceeding; and (u) a standard of review to be applied by binational panels as set out in subparagraph (b) of the definition of “standard of review” in Article 10.8 (Definitions). Schedule of the United States 1.</w:t>
      </w:r>
    </w:p>
    <w:p>
      <w:pPr>
        <w:pStyle w:val="Normal"/>
        <w:widowControl/>
        <w:rPr/>
      </w:pPr>
      <w:r>
        <w:rPr/>
        <w:t>The United States shall amend section 301 of the Customs Courts Act of 1980, as amended, and any other relevant provisions of law, to eliminate the authority to issue declaratory judgments in any civil action involving an antidumping or countervailing duty proceeding regarding a class or kind of Canadian or Mexican merchandise. 2. The United States shall amend section 405(a) of the United States-Canada Free-Trade Agreement Implementation Act of 1988, to provide that the interagency group established under section 242 of the Trade Expansion Act of 1962 shall prepare a list of individuals qualified to serve as members of binational panels, extraordinary challenge committees and special committees convened under this Chapter. 3. The United States shall amend section 405(b) of the United States-Canada Free-Trade Agreement Implementation Act of 1988, to provide that panelists selected to serve on panels or committees convened pursuant to this Chapter, and individuals designated to assist such appointed individuals, shall not be considered employees of the United States. 4.</w:t>
      </w:r>
    </w:p>
    <w:p>
      <w:pPr>
        <w:pStyle w:val="Normal"/>
        <w:widowControl/>
        <w:rPr/>
      </w:pPr>
      <w:r>
        <w:rPr/>
        <w:t>The United States shall amend section 405(c) of the United States-Canada Free-Trade Agreement Implementation Act of 1988, to provide that panelists selected to serve on panels or committees convened pursuant to this Chapter, and individuals designated to assist the individuals serving on such panels or committees, shall be immune from suit and legal process relating to acts performed by such individuals in their official capacity and within the scope of their functions as such panelists or committee members, except with respect to the violation of protective orders described in section 777f(d)(3) of the Tariff Act of 1930, as amended. 5. The United States shall amend section 405(d) of the United States-Canada Free-Trade Agreement Implementation Act of 1988, to establish a United States Secretariat to facilitate the operation of Section D and the work of the binational panels, extraordinary challenge committees and special committees convened under this Chapter. 6.</w:t>
      </w:r>
    </w:p>
    <w:p>
      <w:pPr>
        <w:pStyle w:val="Normal"/>
        <w:widowControl/>
        <w:rPr/>
      </w:pPr>
      <w:r>
        <w:rPr/>
        <w:t>The United States shall amend section 407 of the United States-Canada Free-Trade Agreement Implementation Act of 1988, to provide that an extraordinary challenge committee convened pursuant to Article 10.12 (Review of Final Antidumping and Countervailing Duty 10-B.5-5 Determinations) and Annex 10-B.3 (Extraordinary Challenge Procedure) shall have authority to obtain information in the event of an allegation that a member of a binational panel was guilty of gross misconduct, bias, or a serious conflict of interest, or otherwise materially violated the rules of conduct, and for the committee to summon the attendance of witnesses, order the taking of depositions and obtain the assistance of any district or territorial court of the United States in aid of the committee’s investigation. 7.</w:t>
      </w:r>
    </w:p>
    <w:p>
      <w:pPr>
        <w:pStyle w:val="Normal"/>
        <w:widowControl/>
        <w:rPr/>
      </w:pPr>
      <w:r>
        <w:rPr/>
        <w:t>The United States shall amend section 408 of the United States-Canada Free-Trade Agreement Implementation Act of 1988, to provide that, in the case of a final determination of a competent investigating authority of Mexico, as well as Canada, the filing with the United States Secretary of a request for binational panel review by a person described in Article 10.12.5 (Review of Final Antidumping and Countervailing Duty Determinations) shall be deemed, on receipt of the request by the Secretary, to be a request for binational panel review within the meaning of Article 10.12.4 (Review of Final Antidumping and Countervailing Duty Determinations). 8.</w:t>
      </w:r>
    </w:p>
    <w:p>
      <w:pPr>
        <w:pStyle w:val="Normal"/>
        <w:widowControl/>
        <w:rPr/>
      </w:pPr>
      <w:r>
        <w:rPr/>
        <w:t>The United States shall amend section 516A of the Tariff Act of 1930, as amended, to provide that judicial review of antidumping or countervailing duty cases regarding Mexican, as well as Canadian, merchandise shall not be commenced in the Court of International Trade if binational panel review is requested. 9. The United States shall amend section 516A(a) of the Tariff Act of 1930, as amended, to provide that the time limits for commencing an action in the Court of International Trade with regard to antidumping or countervailing duty proceedings involving Mexican or Canadian merchandise shall not begin to run until the 31st day after the date of publication in the Federal Register of notice of the final determination or the antidumping duty order. 10. The United States shall amend section 516A(g) of the Tariff Act of 1930, as amended, to provide, in accordance with the terms of this Chapter, for binational panel review of antidumping and countervailing duty cases involving Mexican or Canadian merchandise. Such amendment shall provide that if binational panel review is requested such review will be exclusive.</w:t>
      </w:r>
    </w:p>
    <w:p>
      <w:pPr>
        <w:pStyle w:val="Normal"/>
        <w:widowControl/>
        <w:rPr/>
      </w:pPr>
      <w:r>
        <w:rPr/>
        <w:t>11. The United States shall amend section 516A(g) of the Tariff Act of 1930, as amended, to provide that the competent investigating authority shall, within the period specified by any panel formed to review a final determination regarding Mexican or Canadian merchandise, take action not inconsistent with the decision of the panel or committee. 12.</w:t>
      </w:r>
    </w:p>
    <w:p>
      <w:pPr>
        <w:pStyle w:val="Normal"/>
        <w:widowControl/>
        <w:rPr/>
      </w:pPr>
      <w:r>
        <w:rPr/>
        <w:t>The United States shall amend section 777 of the Tariff Act of 1930, as amended, to provide for the disclosure to authorized persons under protective order of proprietary information in the administrative record, if binational panel review of a final determination regarding Mexican or Canadian merchandise is requested. 13. The United States shall amend section 777 of the Tariff Act of 1930, as amended, to provide for the imposition of sanctions on any person who the competent investigating authority 10-B.5-6 finds to have violated a protective order issued by the competent investigating authority of the United States or disclosure undertakings entered into with an authorized agency of Mexico or with a competent investigating authority of Canada to protect proprietary material during binational panel review. 10-B.5-7</w:t>
      </w:r>
    </w:p>
    <w:p>
      <w:pPr>
        <w:pStyle w:val="ModHeading"/>
        <w:widowControl/>
        <w:rPr/>
      </w:pPr>
      <w:bookmarkStart w:id="47" w:name="_Toc237912524"/>
      <w:r>
        <w:rPr/>
        <w:t>CHAPTER 10 — CUSMA 2.0 MODERNIZATION PROVISIONS</w:t>
      </w:r>
      <w:bookmarkEnd w:id="47"/>
    </w:p>
    <w:p>
      <w:pPr>
        <w:pStyle w:val="Normal"/>
        <w:widowControl/>
        <w:rPr/>
      </w:pPr>
      <w:r>
        <w:rPr>
          <w:i/>
        </w:rPr>
        <w:t>The provisions of this Part amend Chapter 10 (Trade Remedies). Antidumping, countervailing, and safeguard regimes remain available in accordance with this Chapter; these provisions harden them against substitution for prohibited extraordinary tariffs.</w:t>
      </w:r>
    </w:p>
    <w:p>
      <w:bookmarkStart w:id="1080" w:name="_NAESTMA_TOC_1080"/>
      <w:pPr>
        <w:pStyle w:val="Heading2"/>
        <w:keepNext/>
        <w:widowControl/>
        <w:rPr/>
      </w:pPr>
      <w:bookmarkStart w:id="48" w:name="_Toc237912525"/>
      <w:r>
        <w:rPr/>
        <w:t>Article 10.A: Antidumping and Countervailing Duty Disciplines Among the Parties</w:t>
      </w:r>
      <w:bookmarkEnd w:id="48"/>
      <w:bookmarkEnd w:id="1080"/>
    </w:p>
    <w:p>
      <w:pPr>
        <w:pStyle w:val="Normal"/>
        <w:widowControl/>
        <w:rPr/>
      </w:pPr>
      <w:r>
        <w:rPr/>
        <w:t>1. The Parties retain their rights and obligations under the WTO Anti-Dumping Agreement and the SCM Agreement, and Chapter 10, including Section D (Review and Dispute Settlement in Antidumping and Countervailing Duty Matters), remains in force.</w:t>
      </w:r>
    </w:p>
    <w:p>
      <w:pPr>
        <w:pStyle w:val="Normal"/>
        <w:widowControl/>
        <w:rPr/>
      </w:pPr>
      <w:r>
        <w:rPr/>
        <w:t>2. In an antidumping or countervailing duty investigation involving goods of another Party, the investigating authority shall:</w:t>
      </w:r>
    </w:p>
    <w:p>
      <w:pPr>
        <w:pStyle w:val="Normal"/>
        <w:widowControl/>
        <w:rPr/>
      </w:pPr>
      <w:r>
        <w:rPr/>
        <w:t>(a) initiate only upon a petition or self-initiation record containing evidence of dumping or subsidization, injury, and causal link sufficient to satisfy the applicable WTO standard on its face;</w:t>
      </w:r>
    </w:p>
    <w:p>
      <w:pPr>
        <w:pStyle w:val="Normal"/>
        <w:widowControl/>
        <w:rPr/>
      </w:pPr>
      <w:r>
        <w:rPr/>
        <w:t>(b) apply transparent, published methodologies for margin calculation, and disclose to interested parties of the other Parties the non-confidential basis of preliminary and final determinations in a timely manner;</w:t>
      </w:r>
    </w:p>
    <w:p>
      <w:pPr>
        <w:pStyle w:val="Normal"/>
        <w:widowControl/>
        <w:rPr/>
      </w:pPr>
      <w:r>
        <w:rPr/>
        <w:t>(c) base injury and causation findings on positive evidence and objective examination, including consideration of other known factors, consistent with the non-attribution requirements of the applicable WTO agreements;</w:t>
      </w:r>
    </w:p>
    <w:p>
      <w:pPr>
        <w:pStyle w:val="Normal"/>
        <w:widowControl/>
        <w:rPr/>
      </w:pPr>
      <w:r>
        <w:rPr/>
        <w:t>(d) afford interested parties of the other Parties full opportunities to defend their interests, including access to non-confidential files and a hearing on request; and</w:t>
      </w:r>
    </w:p>
    <w:p>
      <w:pPr>
        <w:pStyle w:val="Normal"/>
        <w:widowControl/>
        <w:rPr/>
      </w:pPr>
      <w:r>
        <w:rPr/>
        <w:t>(e) complete sunset reviews in accordance with the applicable WTO standard, it being understood that duties do not continue by default without the required likelihood findings.</w:t>
      </w:r>
    </w:p>
    <w:p>
      <w:pPr>
        <w:pStyle w:val="Normal"/>
        <w:widowControl/>
        <w:rPr/>
      </w:pPr>
      <w:r>
        <w:rPr/>
        <w:t>3. A pattern of antidumping or countervailing measures against another Party’s goods that a panel under Section D or Chapter 31 determines to constitute a systematic departure from paragraph 2, applied so as to achieve an objective this Agreement reserves to Chapter 35, is subject to consultations at the request of the affected Party within 15 days, and to the good-offices functions of the Commission.</w:t>
      </w:r>
    </w:p>
    <w:p>
      <w:pPr>
        <w:pStyle w:val="Normal"/>
        <w:widowControl/>
        <w:rPr/>
      </w:pPr>
      <w:r>
        <w:rPr/>
        <w:t>4. Nothing in this Article limits the availability of antidumping or countervailing duties consistent with this Chapter, and nothing in this Article makes such duties subject to Chapter 35.</w:t>
      </w:r>
    </w:p>
    <w:p>
      <w:bookmarkStart w:id="1081" w:name="_NAESTMA_TOC_1081"/>
      <w:pPr>
        <w:pStyle w:val="Heading2"/>
        <w:keepNext/>
        <w:widowControl/>
        <w:rPr/>
      </w:pPr>
      <w:bookmarkStart w:id="49" w:name="_Toc237912526"/>
      <w:r>
        <w:rPr/>
        <w:t>Article 10.B: Safeguard Measures — Party-Specific Analysis</w:t>
      </w:r>
      <w:bookmarkEnd w:id="49"/>
      <w:bookmarkEnd w:id="1081"/>
    </w:p>
    <w:p>
      <w:pPr>
        <w:pStyle w:val="Normal"/>
        <w:widowControl/>
        <w:rPr/>
      </w:pPr>
      <w:r>
        <w:rPr/>
        <w:t>1. A Party applying a safeguard measure under Chapter 10 and the WTO Safeguards Agreement shall exclude from the measure the originating goods of another Party unless the investigation establishes, on the basis of Party-specific evidence rather than aggregate global import statistics, that imports from that other Party independently make a substantial contribution to the serious injury or threat thereof.</w:t>
      </w:r>
    </w:p>
    <w:p>
      <w:pPr>
        <w:pStyle w:val="Normal"/>
        <w:widowControl/>
        <w:rPr/>
      </w:pPr>
      <w:r>
        <w:rPr/>
        <w:t>2. Where imports from another Party do not independently satisfy the substantial-contribution test in paragraph 1, that Party’s originating goods shall not be subject to the safeguard measure.</w:t>
      </w:r>
    </w:p>
    <w:p>
      <w:pPr>
        <w:pStyle w:val="Normal"/>
        <w:widowControl/>
        <w:rPr/>
      </w:pPr>
      <w:r>
        <w:rPr/>
        <w:t>3. A safeguard measure applied between the Parties shall: (a) be preceded by a transparent investigation with public notice and hearing; (b) be time-limited and progressively liberalized where exceeding one year; (c) be reassessed at intervals not exceeding 12 months; (d) terminate automatically when its legal conditions cease to exist; and (e) not be re-applied to substantially the same goods within a cooling-off period equal to the duration of the prior measure, absent a new injury finding based on changed circumstances.</w:t>
      </w:r>
    </w:p>
    <w:p>
      <w:pPr>
        <w:pStyle w:val="Normal"/>
        <w:widowControl/>
        <w:rPr/>
      </w:pPr>
      <w:r>
        <w:rPr/>
        <w:t>4. A dispute under this Article is subject to the Expedited Tariff Panel procedure in Article 31.A.</w:t>
      </w:r>
      <w:r>
        <w:br w:type="page"/>
      </w:r>
    </w:p>
    <w:p>
      <w:bookmarkStart w:id="1082" w:name="_NAESTMA_TOC_1082"/>
      <w:pPr>
        <w:pStyle w:val="Heading1"/>
        <w:keepNext/>
        <w:keepLines w:val="0"/>
        <w:pageBreakBefore/>
        <w:widowControl/>
        <w:rPr/>
      </w:pPr>
      <w:bookmarkStart w:id="50" w:name="_Toc237912527"/>
      <w:r>
        <w:rPr/>
        <w:t>CHAPTER 11 TECHNICAL BARRIERS TO TRADE</w:t>
      </w:r>
      <w:bookmarkEnd w:id="50"/>
      <w:bookmarkEnd w:id="1082"/>
    </w:p>
    <w:p>
      <w:pPr>
        <w:pStyle w:val="Normal"/>
        <w:widowControl/>
        <w:rPr/>
      </w:pPr>
      <w:r>
        <w:rPr/>
        <w:t>Article 11.1: Definitions 1. Annex 1 of the TBT Agreement, including the chapeau and explanatory notes, is incorporated into and made part of this Chapter, mutatis mutandis. 2.</w:t>
      </w:r>
    </w:p>
    <w:p>
      <w:pPr>
        <w:pStyle w:val="Normal"/>
        <w:widowControl/>
        <w:rPr/>
      </w:pPr>
      <w:r>
        <w:rPr/>
        <w:t>For the purposes of this Chapter: international conformity assessment systems means systems that facilitate voluntary recognition or acceptance of the results of conformity assessment or accreditation bodies by the authorities of another Party based on compliance with international standards for conformity assessment; international standard means a standard that is consistent with the TBT Committee Decision on International Standards; mutual recognition agreement means an intergovernmental agreement that specifies the conditions by which a Party will recognize the results of conformity assessment procedures produced by another Party’s conformity assessment bodies that demonstrate fulfillment of appropriate standards or technical regulations;1 mutual recognition arrangement or multilateral recognition arrangement means an international or regional arrangement among accreditation bodies in the territories of the Parties, in which the accreditation bodies, on the basis of peer evaluation, accept the results of each other’s accredited conformity assessment bodies or among conformity assessment bodies in the territories of the Parties recognizing the results of conformity assessment; proposed technical regulation or conformity assessment procedure means the entirety of the text setting forth: (a) a</w:t>
      </w:r>
    </w:p>
    <w:p>
      <w:pPr>
        <w:pStyle w:val="Normal"/>
        <w:widowControl/>
        <w:rPr/>
      </w:pPr>
      <w:r>
        <w:rPr/>
        <w:t>proposed technical regulation or conformity assessment procedure; or (b) a significant amendment to an existing technical regulation or conformity assessment procedure; TBT Agreement means the Agreement on Technical Barriers to Trade, set out in Annex 1A to the WTO Agreement; and For greater certainty, mutual recognition agreements include agreements to implement the APEC Mutual Recognition Arrangement for Conformity Assessment of Telecommunications Equipment of May 8, 1998 and the Electrical and Electronic Equipment Mutual Recognition Arrangement of July 7, 1999. TBT Committee Decision on International Standards means Annex 2 to Part 1 (Decision of the Committee on Principles for the Development of International Standards, Guides and Recommendations with relation to Articles 2, 5 and Annex 3 of the Agreement) in the Decisions and Recommendations adopted by the WTO Committee on Technical Barriers to Trade Since 1 January 1995 (G/TBT/1/Rev.13), as may be revised, issued by the WTO Committee on Technical Barriers to Trade.</w:t>
      </w:r>
    </w:p>
    <w:p>
      <w:pPr>
        <w:pStyle w:val="Normal"/>
        <w:keepNext w:val="true"/>
        <w:widowControl/>
        <w:rPr/>
      </w:pPr>
      <w:r>
        <w:rPr/>
        <w:t>Article 11.2: Scope 1. This Chapter applies to the preparation, adoption and application of standards, technical regulations, and conformity assessment procedures, including any amendments, of central level of government bodies, which may affect trade in goods between the Parties. 2. Notwithstanding paragraph 1, this Chapter does not apply to: (a) technical specifications prepared by a governmental body for production or consumption requirements of a governmental body; or (b) sanitary or phytosanitary measures.</w:t>
      </w:r>
    </w:p>
    <w:p>
      <w:pPr>
        <w:pStyle w:val="Normal"/>
        <w:keepNext w:val="true"/>
        <w:widowControl/>
        <w:rPr/>
      </w:pPr>
      <w:r>
        <w:rPr/>
        <w:t>Article 11.3: Incorporation of the TBT Agreement 1. The following provisions of the TBT Agreement are incorporated into and made part of this Agreement, mutatis mutandis: (a) Articles 2.1, 2.2, 2.3, 2.4, 2.5, 2.9, 2.10, 2.11, and 2.12; (b) Articles 3.1, 4.1, and 7.1; (c) Articles 5.1, 5.2, 5.3, 5.4, 5.6, 5.7, 5.8, and 5.9; and (d) Paragraphs D, E, F, and J of Annex 3. 2. No Party shall have recourse to dispute settlement under Chapter 31 (Dispute Settlement) for a matter arising under this Chapter if the dispute concerns: (a) exclusively claims made under the provisions of the TBT Agreement incorporated under paragraph 1; or (b) a measure that a Party alleges to be inconsistent with this Chapter that: (i) was referred or is subsequently referred to a WTO dispute settlement panel, (ii) was taken to comply in response to the recommendations or rulings from the WTO Dispute Settlement Body, or (iii) bears a close nexus, such as in terms of nature, effects, and timing, with respect to a measure described in subparagraph (ii).</w:t>
      </w:r>
    </w:p>
    <w:p>
      <w:pPr>
        <w:pStyle w:val="Normal"/>
        <w:keepNext w:val="true"/>
        <w:widowControl/>
        <w:rPr/>
      </w:pPr>
      <w:r>
        <w:rPr/>
        <w:t>Article 11.4: International Standards, Guides and Recommendations 1. The Parties recognize the important role that international standards, guides, and recommendations can play in supporting greater regulatory alignment and good regulatory practices, and in reducing unnecessary barriers to trade. 2. To determine whether there is an international standard, guide, or recommendation within the meaning of Articles 2 and 5 and Annex 3 of the TBT Agreement, each Party shall apply the TBT Committee Decision on International Standards. 3. Each Party shall apply no additional principles or criteria other than those in the TBT Committee Decision on International Standards in order to recognize a standard as an international standard. For greater certainty, criteria that are not relevant to determining whether a standard is an international standard include: (a) the domicile of the standards body; (b) whether the standards body is non-governmental or inter-governmental; and (c) whether the standards body limits participation to delegations. 4. The Parties shall cooperate with each other in appropriate circumstances to ensure that international standards, guides, and recommendations that are likely to become a basis for technical regulations and conformity assessment procedures do not create unnecessary obstacles to international trade. 5.</w:t>
      </w:r>
    </w:p>
    <w:p>
      <w:pPr>
        <w:pStyle w:val="Normal"/>
        <w:widowControl/>
        <w:rPr/>
      </w:pPr>
      <w:r>
        <w:rPr/>
        <w:t>No Party shall accord any preference to the consideration or use of standards that are developed through processes that: (a) are inconsistent with the TBT Committee Decision on International Standards; or (b) treat persons of any of the Parties less favorably than persons whose domicile is the same as the standardization body. 6. With respect to any agreement or understanding establishing a customs union or free- trade area or providing trade-related technical assistance, each Party shall encourage the adoption, and use as the basis for standards, technical regulations, and conformity assessment procedures, of any relevant standards, guides, or recommendations developed in accordance with the TBT Committee Decision on International Standards. 7. Recognizing the importance of maintaining North American commercial integration and maintaining market access for producers in North America, each Party shall ensure that any obligation or understanding it has with a non-Party does not facilitate or require the withdrawal or limitation on the use or acceptance of any relevant standard, guide, or recommendation developed in accordance with the TBT Committee Decision on International Standards or the relevant provisions of this Chapter.</w:t>
      </w:r>
    </w:p>
    <w:p>
      <w:pPr>
        <w:pStyle w:val="Normal"/>
        <w:keepNext w:val="true"/>
        <w:widowControl/>
        <w:rPr/>
      </w:pPr>
      <w:r>
        <w:rPr/>
        <w:t>Article 11.5: Technical Regulations Preparation and Review of Technical Regulations 1. Each Party shall conduct an appropriate assessment concerning any major technical regulations it proposes to adopt. An assessment can include: (a) a regulatory impact analysis of the technical regulation’s potential impacts; or (b) an analysis that requires evaluation of alternative measures, if any, including voluntary actions that are brought to the Party’s attention in a timely manner. Each Party shall maintain discretion in deciding if a proposed technical regulation is major under this paragraph. 2. Each Party shall: (a) periodically review technical regulations and conformity assessment procedures in order to: (i) examine increasing alignment with relevant international standards, including by reviewing any new developments in the relevant international standards and whether the circumstances that have given rise to divergences from any relevant international standard continue to exist, and (ii) consider the existence of any less trade-restrictive approaches; or (b) maintain a process whereby a person of another Party may directly petition the Party’s regulatory authorities to review a technical regulation or conformity assessment procedure on the grounds that:</w:t>
      </w:r>
    </w:p>
    <w:p>
      <w:pPr>
        <w:pStyle w:val="Normal"/>
        <w:widowControl/>
        <w:rPr/>
      </w:pPr>
      <w:r>
        <w:rPr/>
        <w:t>(i) circumstances that were relevant to the content of the technical regulation have changed, or (ii) a less trade-restrictive method to fulfil the technical regulation’s objective exists, such as a technical regulation based</w:t>
      </w:r>
    </w:p>
    <w:p>
      <w:pPr>
        <w:pStyle w:val="Normal"/>
        <w:widowControl/>
        <w:rPr/>
      </w:pPr>
      <w:r>
        <w:rPr/>
        <w:t>on the international standard. Use of Standards in Technical Regulations 3. If there are multiple international standards that would be effective and appropriate to fulfil the Party’s legitimate objectives of a technical regulation or conformity assessment procedure, the Party shall: (a) consider using as a basis for the technical regulation or conformity assessment procedure each of the international standards that fulfill the legitimate objectives of the technical regulation or conformity assessment procedure; and (b) if the Party has rejected an international standard that was brought to its attention, issue a written explanation wherever practicable. The written explanation provided for in subparagraph (b) must include the reasons for the Party’s decision to reject an international standard and shall be provided directly to the person that proposed a particular international standard or in a document that is published at the same time that the Party publishes the final technical regulation or conformity assessment procedure. 4. If no international standard is available that fulfils the legitimate objectives of the technical regulation or conformity assessment procedure, each Party shall consider whether a standard developed by a standardizing body domiciled in any of the Parties can fulfill its legitimate objectives.</w:t>
      </w:r>
    </w:p>
    <w:p>
      <w:pPr>
        <w:pStyle w:val="Normal"/>
        <w:widowControl/>
        <w:rPr/>
      </w:pPr>
      <w:r>
        <w:rPr/>
        <w:t>To that end, each Party shall: (a) consider and decide whether to accept the standard developed by a standardizing body domiciled in any of the Parties fulfils its legitimate objectives; and (b) if the Party has rejected a standard that was brought to its attention, issue a written explanation wherever practicable. The written explanation provided for in subparagraph (b) must include the reasons for the Party’s decision to reject an international standard and shall be provided directly to the person that proposed a particular standard or in a document that is published at the same time the Party publishes the final technical regulation or conformity assessment procedure. 5. In order for a Party to consider accepting or using a standard as provided for in paragraphs 4 and 5, the Parties recognize that a standard must be brought to the attention of a Party, in a language the Party utilizes for the publication of technical regulations and conformity assessment procedures.</w:t>
      </w:r>
    </w:p>
    <w:p>
      <w:pPr>
        <w:pStyle w:val="Normal"/>
        <w:widowControl/>
        <w:rPr/>
      </w:pPr>
      <w:r>
        <w:rPr/>
        <w:t>This must be done during the Party’s planning stage or when the proposed technical regulation or conformity assessment procedure is published for comment as provided for in Article 11.7 (Transparency). Information Exchange 6. If a Party has not used an international standard as a basis for a technical regulation, a Party shall, on request from another Party, explain why it has not used a relevant international standard or has substantially deviated from an international standard.</w:t>
      </w:r>
    </w:p>
    <w:p>
      <w:pPr>
        <w:pStyle w:val="Normal"/>
        <w:widowControl/>
        <w:rPr/>
      </w:pPr>
      <w:r>
        <w:rPr/>
        <w:t>The explanation shall address why the standard has been judged inappropriate or ineffective for the objective pursued, and identify the scientific or technical evidence on which this assessment is based. To facilitate an appropriate explanation, the requesting Party shall in its request: (a) identify a relevant international standard that the technical regulation has purportedly not used as its basis; and (b) describe how the technical regulation is constraining or has the potential to constraint its exports. The requesting Party shall also endeavour to indicate whether the international standard was brought to the responding Party’s attention when it was developing the technical regulation. 7. In addition to Article 2.7 of the TBT Agreement, a Party shall, on request of another Party,2 provide the reasons why it has not or cannot accept a technical regulation of that Party as equivalent to its own. The Party to which the request is made should provide its response within a reasonable period of time. Labeling 8.</w:t>
      </w:r>
    </w:p>
    <w:p>
      <w:pPr>
        <w:pStyle w:val="Normal"/>
        <w:widowControl/>
        <w:rPr/>
      </w:pPr>
      <w:r>
        <w:rPr/>
        <w:t>In order to avoid disrupting North American trade, and consistent with the obligations contained in Article 11.3 (Incorporation of the TBT Agreement), each Party shall ensure that its technical regulations concerning labels: (a) accord treatment no less favorable than that accorded to like goods of national origin; and (b) do not create unnecessary obstacles to trade between the Parties.</w:t>
      </w:r>
    </w:p>
    <w:p>
      <w:pPr>
        <w:pStyle w:val="Normal"/>
        <w:widowControl/>
        <w:rPr/>
      </w:pPr>
      <w:r>
        <w:rPr/>
        <w:t>2 The Party’s request should identify with precision the respective technical regulations it considers to be equivalent and any data or evidence that supports its position.</w:t>
      </w:r>
    </w:p>
    <w:p>
      <w:pPr>
        <w:pStyle w:val="Normal"/>
        <w:keepNext w:val="true"/>
        <w:widowControl/>
        <w:rPr/>
      </w:pPr>
      <w:r>
        <w:rPr/>
        <w:t>Article 11.6: Conformity Assessment National Treatment 1. In addition to Article 6.4 of the TBT Agreement, each Party shall accord to conformity assessment bodies located in the territory of another Party treatment no less favorable than that it accords to conformity assessment bodies located in its own territory or in the territory of the other Party. Treatment under this paragraph includes procedures, criteria, fees, and other conditions relating to accrediting, approving, licensing, or otherwise recognizing conformity assessment bodies. 2. In addition to Article 6.4 of the TBT Agreement, if a Party maintains procedures, criteria or other conditions as set out in paragraph 1 and requires conformity assessment results, including test results, certifications, technical reports or inspections as positive assurance that a product conforms to a technical regulation or standard, it shall: (a) not require the conformity assessment body to be located within its territory;</w:t>
      </w:r>
    </w:p>
    <w:p>
      <w:pPr>
        <w:pStyle w:val="Normal"/>
        <w:widowControl/>
        <w:rPr/>
      </w:pPr>
      <w:r>
        <w:rPr/>
        <w:t>(b) not effectively require the conformity assessment body to operate an office within its territory; and (c) permit conformity assessment bodies in other Parties’ territories to apply to the Party, or any body that it has recognized or approved for this purpose, for a determination that they comply with any procedures, criteria and other conditions the Party requires to deem them competent or to otherwise approve them to test or certify the product or conduct an inspection. Explanations and Information 3.</w:t>
      </w:r>
    </w:p>
    <w:p>
      <w:pPr>
        <w:pStyle w:val="Normal"/>
        <w:widowControl/>
        <w:rPr/>
      </w:pPr>
      <w:r>
        <w:rPr/>
        <w:t>If a Party undertakes conformity assessment procedures in relation to specific products by specified government bodies located in its own territory or in another Party’s territory, the Party shall, on the request of another Party or if practicable, an applicant of another Party, explain: (a) how the information it requires is necessary to assess conformity; (b) the sequence in which a conformity assessment procedure is undertaken and completed; (c) how the Party ensures that confidential business information is protected; and (d) the procedure to review complaints concerning the operation of the conformity assessment procedure and to take corrective action when a complaint is justified. 4. Each Party shall explain, on the request of another Party, the reasons for its decision, whenever it declines to: (a) accredit, approve, license, or otherwise recognize a conformity assessment body; (b) recognize the results from a conformity assessment body that is a signatory to a mutual recognition arrangement; (c) accept the results of a conformity assessment procedure conducted in the territory of another Party; or (d) continue negotiations for a mutual recognition agreement. Subcontracting 5.</w:t>
      </w:r>
    </w:p>
    <w:p>
      <w:pPr>
        <w:pStyle w:val="Normal"/>
        <w:widowControl/>
        <w:rPr/>
      </w:pPr>
      <w:r>
        <w:rPr/>
        <w:t>If a Party requires conformity assessment as a positive assurance that a product conforms with a technical regulation or standard, it shall not prohibit a conformity assessment body from using subcontractors, or refuse to accept the results of conformity assessment on account of the conformity assessment body using subcontractors, to perform testing or inspections in relation to the conformity assessment, including subcontractors located in the territory of another Party,3 provided that the subcontractors are accredited and approved in the Party’s territory, when required. Accreditation 6. In addition to Article 9.2 of the TBT Agreement, no Party shall refuse to accept, or take actions that have the effect of, directly or indirectly, requiring or encouraging the refusal of acceptance of conformity assessment results performed by a conformity assessment body located in the territory of another Party because the accreditation body that accredited the conformity assessment body: (a) operates in the territory of a Party where there is more than one accreditation body; (b) is a non-governmental body;</w:t>
      </w:r>
    </w:p>
    <w:p>
      <w:pPr>
        <w:pStyle w:val="Normal"/>
        <w:widowControl/>
        <w:rPr/>
      </w:pPr>
      <w:r>
        <w:rPr/>
        <w:t>(c) is domiciled in the territory of a Party that does not maintain a procedure for recognizing accreditation bodies, provided that the accreditation body is recognized internationally, consistent with paragraph 7; 3 For greater certainty, this paragraph does not prohibit a Party from taking steps to ensure the performance of the subcontractor meets its requirements.</w:t>
      </w:r>
    </w:p>
    <w:p>
      <w:pPr>
        <w:pStyle w:val="Normal"/>
        <w:widowControl/>
        <w:rPr/>
      </w:pPr>
      <w:r>
        <w:rPr/>
        <w:t>(d) does not operate an office in the Party’s territory; or (e) is a for-profit entity. 7. In addition to Article 9.1 of the TBT Agreement, each Party shall: (a) adopt or maintain measures to facilitate and encourage its authorities to rely on mutual or multilateral recognition arrangements to accredit, approve, license or otherwise recognize conformity assessment bodies where effective and appropriate to fulfill the Party’s legitimate objectives; and (b) consider approving or recognizing accredited conformity assessment bodies for its technical regulations or standards, by an accreditation body that is a signatory to a mutual or multilateral recognition arrangement, for example, the International Laboratory Accreditation Cooperation (ILAC) and the International Accreditation Forum (IAF). The Parties recognize that the arrangements referenced in subparagraph (b) can address considerations in approving conformity assessment bodies, including technical competence, independence, and the avoidance of conflicts of interest. Choice of Conformity Assessment 8.</w:t>
      </w:r>
    </w:p>
    <w:p>
      <w:pPr>
        <w:pStyle w:val="Normal"/>
        <w:widowControl/>
        <w:rPr/>
      </w:pPr>
      <w:r>
        <w:rPr/>
        <w:t>The Parties recognize that the choice of conformity assessment procedures in relation to a specific product covered by a technical regulation or standard should include an evaluation of the risks involved, the need to adopt procedures to address those risks, relevant scientific and technical information, incidence of non-compliant products, and possible alternative approaches for establishing that the technical regulation or standard has been met. Fees 9. Nothing in this Article precludes a Party from requesting that conformity assessment procedures in relation to specific products are performed by specified government authorities of the Party. In those cases, the Party conducting the conformity assessment procedures shall: (a) limit any fees it imposes for conformity assessment procedures on products from the other Parties to the costs of services rendered; (b) not impose fees on an applicant of another Party to deliver conformity assessment services, except to recover costs incurred from services rendered; (c) make the amounts of any fees for conformity assessment procedures publicly available;</w:t>
      </w:r>
    </w:p>
    <w:p>
      <w:pPr>
        <w:pStyle w:val="Normal"/>
        <w:widowControl/>
        <w:rPr/>
      </w:pPr>
      <w:r>
        <w:rPr/>
        <w:t>(d) not apply a new or modified fee for conformity assessment procedures until the fee and the method for assessing the fee are published and, if practicable, the Party has provided an opportunity for interested persons to comment on the proposed introduction or modification of a conformity assessment fee. 10.</w:t>
      </w:r>
    </w:p>
    <w:p>
      <w:pPr>
        <w:pStyle w:val="Normal"/>
        <w:widowControl/>
        <w:rPr/>
      </w:pPr>
      <w:r>
        <w:rPr/>
        <w:t>On request of a Party, or an applicant’s request if practicable, a Party shall explain how: (a) any fees it imposes for such conformity assessment are no higher than the cost of services rendered; (b) fees for its conformity assessment procedures are calculated; and (c) any information it requires is necessary to calculate fees. Exceptions 11. For greater certainty, nothing in paragraphs 1 or 2 precludes a Party from taking actions to verify the results from a conformity assessment procedure, including requesting information from the conformity assessment or accreditation body. These actions shall not subject a product to duplicative conformity assessment procedures, except when necessary to address non compliance. The verifying Party may share information it has requested with another Party, provided it protects confidential information. 12. Paragraphs 2(b) and 5 do not apply to any requirement a Party may have concerning the use of products, conformity assessment procedures or related services in the commercial maritime or civil aviation sectors.</w:t>
      </w:r>
    </w:p>
    <w:p>
      <w:pPr>
        <w:pStyle w:val="Normal"/>
        <w:keepNext w:val="true"/>
        <w:widowControl/>
        <w:rPr/>
      </w:pPr>
      <w:r>
        <w:rPr/>
        <w:t>Article 11.7: Transparency 1. Each Party shall allow persons of another Party to participate in the development of technical regulations, standards and conformity assessment procedures4 by its central government bodies on terms no less favorable than those that it accords to its own persons. 2. Further to Articles 2.9 and 5.6 of the TBT Agreement, if a Party prepares or proposes to adopt a technical regulation or conformity assessment procedure that is not in response to an urgent situation as referred to in Article 2.10 and Article 5.7 of the TBT Agreement, the Party shall: 4 A Party satisfies this obligation by, for example, providing interested persons a reasonable opportunity to provide comments on the measure it proposes to develop and by taking those comments into account in the development of the measure.</w:t>
      </w:r>
    </w:p>
    <w:p>
      <w:pPr>
        <w:pStyle w:val="Normal"/>
        <w:widowControl/>
        <w:rPr/>
      </w:pPr>
      <w:r>
        <w:rPr/>
        <w:t>(a) publish the proposed technical regulation or conformity assessment procedure; (b) allow persons of another Party to submit written comments during a public consultation period on no less favorable terms than it provides to its own persons; (c) publish and allow for written comment in accordance with subparagraphs (a) and (b) at a time when the authority proposing the measure has sufficient time to review those comments and, as appropriate, to revise the measure to take them into account; (d) consider the written comments from a person of another Party on no less favorable terms than it considers those submitted by its own persons; and (e) if practicable,5 accept a written request from another Party to discuss written comments that the other Party has submitted.</w:t>
      </w:r>
    </w:p>
    <w:p>
      <w:pPr>
        <w:pStyle w:val="Normal"/>
        <w:widowControl/>
        <w:rPr/>
      </w:pPr>
      <w:r>
        <w:rPr/>
        <w:t>The Party requested under subparagraph (e) to discuss its proposed technical regulation or conformity assessment procedure shall ensure that it has appropriate personnel to participate in the discussions, such as from the competent authority that has proposed the technical regulation or conformity assessment procedure, in order to confirm that the written comments are fully taken into account. 3. Each Party shall endeavor to promptly make publicly available any written comments it receives under paragraph 2(c), except to the extent necessary to protect confidential information or withhold personal identifying information or inappropriate content.</w:t>
      </w:r>
    </w:p>
    <w:p>
      <w:pPr>
        <w:pStyle w:val="Normal"/>
        <w:widowControl/>
        <w:rPr/>
      </w:pPr>
      <w:r>
        <w:rPr/>
        <w:t>If it is impracticable to post these comments on a single website, the regulatory authority of a Party shall endeavor to make these comments available via its own website. 4. Each Party shall publish the final technical regulation or conformity assessment procedure and an explanation of how it has addressed substantive issues raised in comments submitted in a timely manner. 5. If appropriate, each Party shall encourage non-governmental bodies including standardization bodies in its territory to act consistently with the obligations in paragraphs 1 and 7, in developing standards and voluntary conformity assessment procedures. 6. Each Party shall ensure that its central government standardizing body’s work program, containing the standards it is currently preparing and the standards it has adopted, is published: 5 Circumstances when discussions are not practicable include where the Party requesting discussions has failed to submit its comments in a timely manner or if discussions would need to take place after the deadline to submit written comments has passed. (a) on the central government standardizing body’s website; (b) in its official gazette; or (c) on the website referred to in paragraph 10. Stakeholder Participation in Developing Technical Regulations and Mandatory Conformity Assessment Procedures 7.</w:t>
      </w:r>
    </w:p>
    <w:p>
      <w:pPr>
        <w:pStyle w:val="Normal"/>
        <w:widowControl/>
        <w:rPr/>
      </w:pPr>
      <w:r>
        <w:rPr/>
        <w:t>Each Party shall encourage consideration of methods to provide additional transparency in the development of technical regulations, standards and conformity assessment procedures, including the use of electronic tools and public outreach or consultations. 8. If a Party requests a body within its territory to develop a standard for use as a technical regulation or conformity assessment procedure, the Party shall require the body to allow persons of another Party to participate on no less favorable terms than its own persons in groups or committees of the body that is developing the standard, and apply Annex 3 of the TBT Agreement. 9. Each Party shall take such reasonable measures as may be available to it to ensure proposed and final technical regulations and conformity assessment procedures of regional governments are published.6 10. Each Party shall publish online and make freely accessible, preferably on a single website, all proposed and final technical regulations and mandatory conformity assessment procedures, except with respect to any standards that are: (a) developed by non-governmental organizations; and (b) have been incorporated by reference into a technical regulation or conformity assessment procedure. Notification of Technical Regulations and Conformity Assessment 11.</w:t>
      </w:r>
    </w:p>
    <w:p>
      <w:pPr>
        <w:pStyle w:val="Normal"/>
        <w:widowControl/>
        <w:rPr/>
      </w:pPr>
      <w:r>
        <w:rPr/>
        <w:t>In accordance with the procedures established under Article 2.9 or Article 5.6 of the TBT Agreement, each Party shall notify proposed technical regulations and conformity assessment procedures that are in accordance with the technical content of relevant international standards, guides, or recommendations if they may have a significant effect on trade. The Party’s notification shall identify the precise international standards, guides or recommendations with 6 For greater certainty, a Party may comply with this obligation by ensuring that the proposed and final measures in this paragraph are published on, or otherwise accessible through, the official website of the WTO. which the proposal is in accordance. 12. In accordance with the procedures under Article 2.10 or Article 5.7 of the TBT Agreement, and notwithstanding paragraph 11, if urgent problems of safety, health, environmental protection, or national security arise or threaten to arise for a Party, that Party shall notify a technical regulation or conformity assessment procedure that is in accordance with the technical content of relevant international standards, guides or recommendations. In its notification, the Party shall identify the precise international standards, guides, or recommendations with which the proposal is in accordance. 13.</w:t>
      </w:r>
    </w:p>
    <w:p>
      <w:pPr>
        <w:pStyle w:val="Normal"/>
        <w:widowControl/>
        <w:rPr/>
      </w:pPr>
      <w:r>
        <w:rPr/>
        <w:t>In accordance with the procedures established under Article 2.9 or Article 5.6 of the TBT Agreement, each Party shall endeavor to notify, proposed technical regulations and conformity assessment procedures of regional level of governments that may have a significant effect on trade and that are in accordance with the technical content of relevant international standards, guides, and recommendations. 14. With respect to notifications made under Articles 2.9 and 5.6 of the TBT Agreement and paragraph 11 of this Chapter, each Party shall notify proposed technical regulations and conformity assessment procedures at an early appropriate stage by: (a) ensuring the notification is made at a time when the authority developing the measure can introduce amendments, including in response to any comments submitted as set out in subparagraph (d); (b) including with its notification:</w:t>
      </w:r>
    </w:p>
    <w:p>
      <w:pPr>
        <w:pStyle w:val="Normal"/>
        <w:widowControl/>
        <w:rPr/>
      </w:pPr>
      <w:r>
        <w:rPr/>
        <w:t>(i) any objective for the proposed technical regulation or conformity assessment procedure and its legal basis, (ii) an explanation of how the proposed technical regulation or conformity assessment procedure would fulfill the identified objectives, and (iii) a copy of the proposed technical regulation or conformity assessment procedure or an online address at which the proposed measure can be accessed; (c) transmitting the notification electronically to the other Parties through their enquiry points established in accordance with Article 10 of the TBT Agreement, contemporaneously with the submission of the</w:t>
      </w:r>
    </w:p>
    <w:p>
      <w:pPr>
        <w:pStyle w:val="Normal"/>
        <w:widowControl/>
        <w:rPr/>
      </w:pPr>
      <w:r>
        <w:rPr/>
        <w:t>notification to the WTO Secretariat; and (d) providing sufficient time between the end of the comment period and the adoption of the notified technical regulation or conformity assessment procedure to ensure that the responsible authority can fully consider the submitted comments and the Party can issue its responses to the comments. Each Party shall normally allow 60 days from the date it transmits a proposal under subparagraph (b) for another Party or an interested person of a Party to provide comments in writing on the proposal. A Party shall consider any reasonable request from another Party or an interested person of a Party to extend the comment period. A Party that is able to extend a time limit beyond 60 days, for example 90 days, shall consider doing so. 15. Each Party, when making a notification under Article 2.10 or Article 5.7 of the TBT Agreement, shall at the same time transmit electronically the notification and text of the technical regulation or conformity assessment procedure, or an online address where the text of the measure can be viewed, to the Parties’ contact points referred to in Article 11.12 (Contact Points). 16.</w:t>
      </w:r>
    </w:p>
    <w:p>
      <w:pPr>
        <w:pStyle w:val="Normal"/>
        <w:widowControl/>
        <w:rPr/>
      </w:pPr>
      <w:r>
        <w:rPr/>
        <w:t>If a Party is notifying a proposed technical regulation or conformity assessment procedure to the WTO TBT Committee and the other Parties for the first time,7 the Party shall notify it to the WTO TBT Committee and the other Parties as a regular notification.8 Each Party shall endeavor to identify the scope of its proposed technical regulation or conformity assessment procedure in its notification by reference to the specific Harmonized System heading, subheading, or tariff item for the products that would be affected by the proposal. 17. If a Party is notifying a proposed technical regulation or conformity assessment procedure that is related to a measure that was previously notified, including because it is an revision, amendment, or replacement to the previously notified measure, the Party shall provide the WTO notification symbol for the previously notified measure.9 Each Party shall endeavor to submit a revision to a notification if the notified measure has been substantially redrafted prior to its entry into force. If the Party files a revision or the circumstances in paragraph 18(e) arise, the Party shall endeavor to allow either a new or extended period of time for interested persons to submit comments to the Party. 18.</w:t>
      </w:r>
    </w:p>
    <w:p>
      <w:pPr>
        <w:pStyle w:val="Normal"/>
        <w:widowControl/>
        <w:rPr/>
      </w:pPr>
      <w:r>
        <w:rPr/>
        <w:t>Each Party shall submit an addendum to a notification it has previously made to the WTO TBT Committee and the Parties in any of the following circumstances: (a) the period of time to submit comments on the proposed measure has changed; 7 The Parties shall follow the recommendation set forth in G/TBT/35, Coherent Use of Notification Formats. 8 A notification is a document that is circulated by the WTO Secretariat, or submitted to the WTO Secretariat for the purposes of circulation, under the prefix “G/TBT/N.” 9 The Parties agree the appropriate place to make the identification is in field 8 of a document produced consistent with the Format and Guidelines for Notification Procedures for Draft Technical Regulations and Conformity Assessment Procedures. (b) the notified measure has been adopted or otherwise entered into force; (c) the compliance dates for the final measure have changed; (d) the notified measure has been withdrawn, revoked, or replaced;10 (e) the content or scope of the notified measure is partially changed or amended;</w:t>
      </w:r>
    </w:p>
    <w:p>
      <w:pPr>
        <w:pStyle w:val="Normal"/>
        <w:widowControl/>
        <w:rPr/>
      </w:pPr>
      <w:r>
        <w:rPr/>
        <w:t>(f) any interpretive guidance for a notified measure that has been issued; or (g) the final text of the notified measure is published or adopted or otherwise enters into force. 19. Each Party shall endeavor to submit a corrigendum to a notification if it subsequently determines there are minor administrative or clerical errors in: (a) a notification or subsequent related addendum or revision; or (b) the text of the notified measure. 20.</w:t>
      </w:r>
    </w:p>
    <w:p>
      <w:pPr>
        <w:pStyle w:val="Normal"/>
        <w:widowControl/>
        <w:rPr/>
      </w:pPr>
      <w:r>
        <w:rPr/>
        <w:t>If a Party obtains a translation of a measure notified to the WTO TBT Committee, whether official or unofficial, in an official WTO language other than the language of the notification, it shall endeavor to send the translation to the Parties’ contact points referred to in Article 11.12 (Contact Points). 21. For the purposes of determining whether a proposed technical regulation or conformity assessment procedure may have a significant effect on trade and is subject to notification in accordance with Articles 2.9, 2.10, 3.2, 5.6, 5.7, or 7.2 of the TBT Agreement and this Chapter, a Party shall consider, among other things, the relevant guidance in the Decisions and Recommendations Adopted by the WTO Committee on Technical Barriers to Trade Since 1 January 1995 (G/TBT/1/Rev.13), as may be revised. 22. When a Party has adopted a technical regulation or conformity assessment procedure that may have a significant effect on trade, the Party shall promptly publish online: (a) an explanation of how the technical regulation or conformity assessment procedure achieves the Party’s objectives;</w:t>
      </w:r>
    </w:p>
    <w:p>
      <w:pPr>
        <w:pStyle w:val="Normal"/>
        <w:widowControl/>
        <w:rPr/>
      </w:pPr>
      <w:r>
        <w:rPr/>
        <w:t>(b) a description of alternative approaches, if any, that the Party considered in 10 The Party shall provide the WTO document number identifying the notification of a measure that replaces or has been proposed as a replacement for a withdrawn or revoked measure.</w:t>
      </w:r>
    </w:p>
    <w:p>
      <w:pPr>
        <w:pStyle w:val="Normal"/>
        <w:widowControl/>
        <w:rPr/>
      </w:pPr>
      <w:r>
        <w:rPr/>
        <w:t>developing the adopted technical regulation or conformity assessment procedure and the explanation of why it chose one approach over the others it considered; (c) its views on any substantive issues raised in timely submitted comments on the proposed technical regulation or conformity assessment procedure; (d) any impact assessment it has undertaken; (e) if not addressed by an impact assessment, an explanation of the relationship between the regulation and the key evidence, data, and other information the regulatory authority considered in finalizing its work on the regulation; and (f) the date by which compliance is required.</w:t>
      </w:r>
    </w:p>
    <w:p>
      <w:pPr>
        <w:pStyle w:val="Normal"/>
        <w:keepNext w:val="true"/>
        <w:widowControl/>
        <w:rPr/>
      </w:pPr>
      <w:r>
        <w:rPr/>
        <w:t>Article 11.8: Compliance Period for Technical Regulations and Conformity Assessment Procedures 1. For the purposes of Articles 2.12 and 5.9 of the TBT Agreement, the term “reasonable interval” means normally a period of not less than six months, except when this would be ineffective in fulfilling the legitimate objectives pursued by the technical regulation or the conformity assessment procedure.11 2. If feasible and appropriate, each Party shall endeavor to provide an interval of more than six months between the publication of a final technical regulation or conformity assessment procedure and its entry into force. 3. In addition to paragraphs 1 and 2, in setting a “reasonable interval” for a specific technical regulation or conformity assessment procedure, each Party provide suppliers with a reasonable period of time, under the circumstances, to be able to demonstrate the conformity of their products with the relevant requirements of the technical regulation by the date of entry into force of the specific technical regulation or conformity assessment procedure. In doing so, each Party shall endeavor to take into account the resources available to suppliers.</w:t>
      </w:r>
    </w:p>
    <w:p>
      <w:pPr>
        <w:pStyle w:val="Normal"/>
        <w:keepNext w:val="true"/>
        <w:widowControl/>
        <w:rPr/>
      </w:pPr>
      <w:r>
        <w:rPr/>
        <w:t>Article 11.9: Cooperation and Trade Facilitation 1. In addition to Articles 5, 6, and 9 of the TBT Agreement, the Parties acknowledge that a 11 For greater certainty, a Party may decide to set an interval of less than six months between the publication of a measure and its entry into force in certain circumstances, including those where the measure is trade facilitative or is addressing an urgent problem of safety, health, environmental protection, or national security. broad range of mechanisms12 exists to facilitate the acceptance of conformity assessment results. In this regard, a Party shall give consideration to a request made by another Party with respect to any sector-specific proposal for cooperation including by, as appropriate: (a) implementing mutual recognition of the results by conformity assessment bodies located in its territory and another Party’s territory with respect to specific technical regulations; (b) recognizing existing mutual and multilateral recognition arrangements between or among accreditation bodies or conformity assessment bodies; (c) using accreditation to qualify conformity assessment bodies, particularly international systems of accreditation;</w:t>
      </w:r>
    </w:p>
    <w:p>
      <w:pPr>
        <w:pStyle w:val="Normal"/>
        <w:widowControl/>
        <w:rPr/>
      </w:pPr>
      <w:r>
        <w:rPr/>
        <w:t>(d) designating conformity assessment bodies or recognise the other Party’s designation of conformity assessment bodies; (e) unilaterally recognizing the results of conformity assessment procedures performed in the other Party’s territory; and (f) accepting a supplier’s declaration of conformity. 2.</w:t>
      </w:r>
    </w:p>
    <w:p>
      <w:pPr>
        <w:pStyle w:val="Normal"/>
        <w:widowControl/>
        <w:rPr/>
      </w:pPr>
      <w:r>
        <w:rPr/>
        <w:t>The Parties recognize that a broad range of mechanisms exist to support greater regulatory alignment and to eliminate unnecessary technical barriers to trade in the region, including: (a) regulatory dialogue and cooperation to, among other things: (i) exchange of information on regulatory approaches and practices, (ii) promote the use of good regulatory practices to improve the efficiency and effectiveness of technical regulations, standards and conformity assessment procedures, (iii) provide technical advice and assistance, on mutually agreed terms and conditions, to improve practices related to the development, implementation and review of technical regulations, standards, conformity assessment procedures and metrology, or 12 With respect to the mechanisms listed in paragraphs 1 and 2, the Parties recognize that the choice of the appropriate mechanism in a given regulatory context depends on a variety of factors, such as the product and sector involved, the volume and direction of trade, the relationship between Parties’ respective regulators, the legitimate objectives pursued and the risks of non-fulfilment of those objectives.</w:t>
      </w:r>
    </w:p>
    <w:p>
      <w:pPr>
        <w:pStyle w:val="Normal"/>
        <w:widowControl/>
        <w:rPr/>
      </w:pPr>
      <w:r>
        <w:rPr/>
        <w:t>(iv) provide technical assistance and cooperation, on mutually agreed terms and conditions, to build capacity and support the implementation of this Chapter; (b) facilitation of the greater use and alignment of standards, technical regulations, and conformity assessment procedures with relevant international standards, guides, and recommendations; and (c) promotion of the acceptance of technical regulations of the other Party as equivalent. 3. In addition to subparagraph (c), the Parties shall work to develop common standards and conformity assessment procedures in sectors of mutual interest. The Parties shall determine the scope of this work through the Committee on Technical Barriers to Trade established under Article 11.11 (Committee on Technical Barriers to Trade). 4. The Parties shall strengthen their exchange and collaboration on mechanisms to facilitate the acceptance of conformity assessment results, to support greater regulatory alignment and to eliminate unnecessary technical barriers to trade in the region. To this end, the Parties shall seek to identify, develop, and promote trade-facilitating initiatives regarding standards, technical regulations, and conformity assessment procedures that address particular cross-cutting or sector- specific issues. 5.</w:t>
      </w:r>
    </w:p>
    <w:p>
      <w:pPr>
        <w:pStyle w:val="Normal"/>
        <w:widowControl/>
        <w:rPr/>
      </w:pPr>
      <w:r>
        <w:rPr/>
        <w:t>The Parties shall encourage cooperation between their respective organizations responsible for standardization, conformity assessment, accreditation and metrology, whether they are public or private, with a view to facilitate trade.</w:t>
      </w:r>
    </w:p>
    <w:p>
      <w:pPr>
        <w:pStyle w:val="Normal"/>
        <w:keepNext w:val="true"/>
        <w:widowControl/>
        <w:rPr/>
      </w:pPr>
      <w:r>
        <w:rPr/>
        <w:t>Article 11.10: Information Exchange and Technical Discussions 1. The Parties recognize that technical discussions and information exchange can serve an important function in reaching mutually satisfactory solutions to trade concerns by promoting cooperation and consultation informed by relevant technical and scientific information. Accordingly, with respect to a matter that arises under this Chapter, a Party may request that another Party: (a) engage in technical discussions concerning the matter; or (b) provide information regarding any proposed or final technical regulation or conformity assessment procedure that relates to the matter. 2. The Party making the request shall do so in writing and identify: (a) the matter, including those provisions of the Chapter to which the matter relates; (b) the reasons for the request, including any concerns with a proposed or final measure; (c) whether the matter is urgent; and (d) if applicable, the precise information that is being requested. The Party making the request shall transmit it to the Parties through their respective contact points designated pursuant to Article 30.5 (Agreement Coordinator and Contact Points). 3.</w:t>
      </w:r>
    </w:p>
    <w:p>
      <w:pPr>
        <w:pStyle w:val="Normal"/>
        <w:widowControl/>
        <w:rPr/>
      </w:pPr>
      <w:r>
        <w:rPr/>
        <w:t>With respect to a request made under paragraph 1(a), the requesting Party and the requested Party shall discuss the matter identified within 60 days after the date the request was transmitted to the contact point, unless the request identified the matter as urgent, in which case the Parties shall endeavor to hold the technical discussions sooner. The requested Party, at its discretion, may decide to allow another Party to participate in the technical discussions. With respect to a request made under paragraph 1(b), the Party receiving the request shall provide appropriate information within a reasonable period of time. The Parties shall attempt to obtain satisfactory resolution of the matter. 4. Unless the Parties decide otherwise, any discussions or information exchanged under this Article, other than the request referenced in paragraphs 1 and 2, shall be kept confidential and is without prejudice to the Parties’ rights and obligations under the Agreement, the WTO Agreement or any other agreement to which the requesting and requested Parties are party.</w:t>
      </w:r>
    </w:p>
    <w:p>
      <w:pPr>
        <w:pStyle w:val="Normal"/>
        <w:keepNext w:val="true"/>
        <w:widowControl/>
        <w:rPr/>
      </w:pPr>
      <w:r>
        <w:rPr/>
        <w:t>Article 11.11: Committee on Technical Barriers to Trade 1. The Parties hereby establish a Committee on Technical Barriers to Trade (TBT Committee), composed of government representatives of each Party. 2. Through the TBT Committee, the Parties shall strengthen their joint work in the fields of technical regulations, standards, and conformity assessment procedures with a view to facilitating trade between the Parties. 3. The TBT Committee’s functions include: (a) monitoring and identifying ways to strengthen the implementation and operation of this Chapter, and identifying any potential amendments to or interpretations of this Chapter for referral to the Commission; (b) as appropriate, discussing proposed and final versions of standards, technical regulations, or conformity assessment procedures of any Party; (c) monitoring any technical discussions on matters that arise under this Chapter requested pursuant to paragraph 2 of Article 11.10 (Information Exchange and Technical Discussions); (d) reaching an agreement on priority areas of mutual interest for future work under this Chapter and considering proposals for new sector-specific initiatives or other initiatives;</w:t>
      </w:r>
    </w:p>
    <w:p>
      <w:pPr>
        <w:pStyle w:val="Normal"/>
        <w:widowControl/>
        <w:rPr/>
      </w:pPr>
      <w:r>
        <w:rPr/>
        <w:t>(e) encouraging cooperation between the Parties in matters that pertain to this Chapter, including the development, review, or modification of technical regulations, standard, and conformity assessment procedures; (f) encouraging cooperation between non-governmental bodies in the Parties’ territories, as well as</w:t>
      </w:r>
    </w:p>
    <w:p>
      <w:pPr>
        <w:pStyle w:val="Normal"/>
        <w:widowControl/>
        <w:rPr/>
      </w:pPr>
      <w:r>
        <w:rPr/>
        <w:t>cooperation between governmental and non-governmental bodies in the Parties’ territories in matters that pertains to this Chapter; (g) facilitating the identification of technical capacity needs; (h) encouraging the exchange of information between the Parties and their relevant non-governmental bodies, if appropriate, to develop common approaches regarding matters under discussion in non-governmental, regional, plurilateral, and multilateral bodies or international conformity assessment systems or standards development relevant to this Chapter; including the WTO TBT Committee and bodies that develop standards in accordance with the TBT Committee Decision on International Standards, as appropriate; (i) encouraging, on request of a Party, the exchange of information between the Parties regarding specific technical regulations, standards, and conformity assessment procedures of non-Parties as well as systemic issues, with a view to fostering a common approach; (j) undertaking initiatives to support greater regulatory alignment in the region, including through the development of common standards or conformity assessment procedures, in sectors of mutual interest; (k) reporting to the Commission on the implementation and operation of this Chapter;</w:t>
      </w:r>
    </w:p>
    <w:p>
      <w:pPr>
        <w:pStyle w:val="Normal"/>
        <w:widowControl/>
        <w:rPr/>
      </w:pPr>
      <w:r>
        <w:rPr/>
        <w:t>(l) reviewing this Chapter in light of any developments under the TBT Agreement, and developing recommendations for amendments to this Chapter in light of those developments; (m) engaging, as appropriate, with the public to participate</w:t>
      </w:r>
    </w:p>
    <w:p>
      <w:pPr>
        <w:pStyle w:val="Normal"/>
        <w:widowControl/>
        <w:rPr/>
      </w:pPr>
      <w:r>
        <w:rPr/>
        <w:t>in the work of the TBT Committee, for example by requesting and considering comments on matters related to the implementation of this Chapter; and (n) taking any other steps that the Parties consider will assist them in implementing this Chapter. 4. Unless the Parties decide otherwise, the TBT Committee shall meet at least once a year. 5. The TBT Committee may establish and determine the scope and mandate of working groups to carry out its functions, and may invite, as appropriate, representatives of non governmental entities to participate in a working group. 6. To determine what activities the TBT Committee will undertake, the TBT Committee shall consider work that is being undertaken in other fora, with a view to ensuring that any activities undertaken by the TBT Committee do not unnecessarily duplicate that work.</w:t>
      </w:r>
    </w:p>
    <w:p>
      <w:pPr>
        <w:pStyle w:val="Normal"/>
        <w:keepNext w:val="true"/>
        <w:widowControl/>
        <w:rPr/>
      </w:pPr>
      <w:r>
        <w:rPr/>
        <w:t>Article 11.12: Contact Points 1. Each Party shall designate a contact point and notify it to the other Parties for matters arising under this Chapter in accordance with Article 30.5 (Agreement Coordinator and Contact Points). A Party shall promptly notify the other Parties of any change of its contact point or the details of the relevant officials. 2. The functions of each contact point shall include: (a) communicating with the other Parties’ contact points, including facilitating discussions, requests and the timely exchange of information on matters arising under this Chapter; (b) communicating with and coordinating the involvement of relevant government agencies, including regulatory authorities, in the territory of the Party it represents on relevant matters pertaining to this Chapter; (c) consulting and, if appropriate, coordinating with interested persons in the territory of the Party it represents on relevant matters pertaining to this Chapter; and (d) carrying out any additional responsibilities specified by the TBT Committee.</w:t>
      </w:r>
      <w:r>
        <w:br w:type="page"/>
      </w:r>
    </w:p>
    <w:p>
      <w:bookmarkStart w:id="1083" w:name="_NAESTMA_TOC_1083"/>
      <w:pPr>
        <w:pStyle w:val="Heading1"/>
        <w:keepNext/>
        <w:keepLines w:val="0"/>
        <w:pageBreakBefore/>
        <w:widowControl/>
        <w:rPr/>
      </w:pPr>
      <w:bookmarkStart w:id="51" w:name="_Toc237912528"/>
      <w:r>
        <w:rPr/>
        <w:t>CHAPTER 12 SECTORAL ANNEXES</w:t>
      </w:r>
      <w:bookmarkEnd w:id="51"/>
      <w:bookmarkEnd w:id="1083"/>
    </w:p>
    <w:p>
      <w:pPr>
        <w:pStyle w:val="Normal"/>
        <w:widowControl/>
        <w:rPr/>
      </w:pPr>
      <w:r>
        <w:rPr/>
        <w:t>Article 12.1: Sectoral Annexes 1. In addition to other applicable provisions of this Agreement, this Chapter contains provisions with respect to chemical substances, cosmetic products, information and communication technology, energy performance standards, medical devices, and pharmaceuticals, as defined therein. 2. The rights and obligations set out in each annex to this Chapter shall apply only with respect to the sector specified in that annex, and shall not affect any Party’s rights or obligations under any other annex to this Chapter.</w:t>
      </w:r>
    </w:p>
    <w:p>
      <w:pPr>
        <w:pStyle w:val="Normal"/>
        <w:widowControl/>
        <w:rPr/>
      </w:pPr>
      <w:r>
        <w:rPr/>
        <w:t>ANNEX 12-A CHEMICAL SUBSTANCES Article 12.A.1: Definitions For the purposes of this Annex: chemical mixture means a combination or a solution composed of two or more chemical substances in which they do not react; chemical substance means any organic or inorganic substance of a particular molecular identity or a mixture of substances,1 including: (a) any combination of those substances occurring in whole or in part as a result of a chemical reaction or occurring in nature; and (b) any element or uncombined radical; hazard means the potential adverse human health, physical, or environmental effects caused by a chemical substance or chemical mixture; risk-based approach means the evaluation of a chemical substance or chemical mixture that includes the consideration of both the hazard and exposure; and safety data sheet means written or printed material that provides comprehensive information about chemical identity, hazards, precautions, and response actions for a particular chemical substance or chemical mixture for use in a workplace chemical control regulatory framework.</w:t>
      </w:r>
    </w:p>
    <w:p>
      <w:pPr>
        <w:pStyle w:val="Normal"/>
        <w:keepNext w:val="true"/>
        <w:widowControl/>
        <w:rPr/>
      </w:pPr>
      <w:r>
        <w:rPr/>
        <w:t>Article 12.A.2: Scope This Annex applies to the preparation, adoption, and application of technical regulations; standards; conformity assessment procedures; measures relating to hazard communication, labeling, and communication of information on the use and storage of chemical substances and chemical mixtures, and on response in the workplace to hazards and exposures; and import and 1 “Mixture of substances” do not include any combination of two or more chemical substances if the combination does not occur in nature and is not, in whole or in part, the result of a chemical reaction. 12-A-1 export permits for chemical substances and chemical mixtures by a Party’s central level of government:2 (a) applied for the purposes of protecting the environment or human health from chemical substances and chemical mixtures; (b) that may significantly affect trade between the Parties; and (c) which is not: (i) a sanitary or phytosanitary measure, (ii) a measure relating to pesticides, pharmaceutical products, veterinary drugs, cosmetic products, nuclear material, or food products, including food additives, or (iii) a measure relating to the control of chemical precursors in order to prevent the production of illegal narcotics and psychotropic substances.</w:t>
      </w:r>
    </w:p>
    <w:p>
      <w:pPr>
        <w:pStyle w:val="Normal"/>
        <w:keepNext w:val="true"/>
        <w:widowControl/>
        <w:rPr/>
      </w:pPr>
      <w:r>
        <w:rPr/>
        <w:t>Article 12.A.3: Competent Authorities Each Party shall publish online the following information with respect to each of its competent authorities at its central level of government that has responsibility for implementing and enforcing measures regulating chemical substances and chemical mixtures: (a) a description of each authority, including the authority’s specific responsibilities; and (b) a contact point within each authority. Each Party shall promptly notify the other Parties of any material changes to this information and update the information online. Article 12.A.4: Enhancing Regulatory Compatibility 1. The Parties recognize that the principal objective of regulating chemical substances and chemical mixtures is the protection of human health and the environment. The Parties recognize that the obligations in this Annex do not preclude a Party from implementing obligations under existing international agreements relating to chemical management or entering into any new international agreement relating to chemical management. 12-A-2 2. The Parties also recognize the importance of developing and implementing measures in a manner that achieves their respective level of protection without creating unnecessary economic barriers or impediments to technological innovation. 3. Each Party shall endeavor to use a risk-based approach to the assessment of specific chemical substances and chemical mixtures, where appropriate.</w:t>
      </w:r>
    </w:p>
    <w:p>
      <w:pPr>
        <w:pStyle w:val="Normal"/>
        <w:widowControl/>
        <w:rPr/>
      </w:pPr>
      <w:r>
        <w:rPr/>
        <w:t>Each Party also intends to encourage, as appropriate, a risk-based approach to regulating chemical substances and chemical mixtures both in international fora and in its relations with non-Parties. 4. The Parties shall endeavor, if appropriate, to align their respective risk assessment methodologies and risk management measures for chemical substances and chemical mixtures provided that alignment does not prevent a Party from determining and achieving its levels of protection. In its alignment efforts, each Party shall strive to continue to improve its levels of protection. 5. Each Party, when developing, modifying, or adopting a measure concerning chemical substances or chemical mixtures, shall endeavor to consider how a measure adopted by another Party could inform its decision-making. 6. The Parties shall strengthen their cooperation on chemical substances and chemical mixtures, including through the use of fora in existence.</w:t>
      </w:r>
    </w:p>
    <w:p>
      <w:pPr>
        <w:pStyle w:val="Normal"/>
        <w:widowControl/>
        <w:rPr/>
      </w:pPr>
      <w:r>
        <w:rPr/>
        <w:t>To that end, the Parties recognize potential areas of cooperation include: (a) their respective implementation of the United Nations Globally Harmonized System for Classification and Labeling of Chemicals (GHS); (b) the use and content of safety data sheets, including with respect to the information requirements for identical or similar chemical substances, without reducing the level of safety or protection for workers; (c) compatibility of respective requirements for presentation of information protected as confidential business information on safety data sheets; (d) coordination, compatibility, and, if appropriate, development of chemical inventories; (e) coordination and collaboration on chemical risk assessment and risk management methodologies, tools, and models, and on the development of specific chemical assessments; and (f) if appropriate, scientific criteria used for the reliability of scientific data underpinning regulatory decisions. 12-A-3 If the Parties identify differences in practice with respect to paragraphs (b) and (c) they shall cooperate with a view to minimizing the differences in the use of safety data and safety data sheets by the competent authorities of each Party. Article 12.A.5: Data and Information Exchange 1.</w:t>
      </w:r>
    </w:p>
    <w:p>
      <w:pPr>
        <w:pStyle w:val="Normal"/>
        <w:widowControl/>
        <w:rPr/>
      </w:pPr>
      <w:r>
        <w:rPr/>
        <w:t>The Parties shall endeavor to periodically exchange information concerning respective methodologies for assessing chemical substances, both generally and with respect to particular chemicals. 2.</w:t>
      </w:r>
    </w:p>
    <w:p>
      <w:pPr>
        <w:pStyle w:val="Normal"/>
        <w:widowControl/>
        <w:rPr/>
      </w:pPr>
      <w:r>
        <w:rPr/>
        <w:t>Upon request of another Party, a Party shall share any available data or assessments on particular chemical substances, such as full data studies or robust data summaries.3 Each Party shall adopt or maintain procedures to prevent the disclosure of confidential information that appears in the data or assessments, including procedures to remove or recall any confidential information that is inadvertently disclosed. 3. The Parties shall exchange, as appropriate: (a) information related to their respective activities to disseminate information to the public concerning the safety of chemical substances; and (b) scientific data and technical information, on new and emerging issues related to the management of chemical substances, with a view to accumulating the best available scientific data or technical information, including peer-reviewed studies. 3 A Party may fulfill this obligation by making the data or assessments requested publicly available and informing the Party that made the request how to access the information. 12-A-4</w:t>
      </w:r>
    </w:p>
    <w:p>
      <w:pPr>
        <w:pStyle w:val="Normal"/>
        <w:widowControl/>
        <w:rPr/>
      </w:pPr>
      <w:r>
        <w:rPr/>
        <w:t>ANNEX 12-B COSMETIC PRODUCTS Article 12.B.1: Definitions For the purposes of this Annex: cosmetic product means: (a) for Canada, a product that constitutes a “cosmetic” as defined under section 2 of the Food and Drugs Act, R.S.C., 1985, c.F-27, as amended, and that is regulated solely under the Cosmetic Regulations, C.R.C., c. 869, as amended; (b) for Mexico, a product covered as “cosmetics” as defined under article 269 Ley General de Salud (Health General Law) and article 187 Reglamento Control Sanitario de Productos y Servicios (Regulation Sanitary Control of Products and Services) as amended; and (c) for the United States, a product covered as a “cosmetic” under 21 U.S.C. § 321(i), as amended; marketing authorization means the process or processes by which a Party approves or registers a cosmetic product in order to authorize its marketing, distribution, or sale in the Party’s territory on the basis of the Party’s safety, efficacy, and quality requirements; ICI Dictionary means the International Cosmetic Ingredient Dictionary and Handbook, published in Washington, DC by the Personal Care Products Council;</w:t>
      </w:r>
    </w:p>
    <w:p>
      <w:pPr>
        <w:pStyle w:val="Normal"/>
        <w:widowControl/>
        <w:rPr/>
      </w:pPr>
      <w:r>
        <w:rPr/>
        <w:t>INC means the International Cosmetic Ingredient Nomenclature Committee, which develops the INCI names; and INCI name means the International Nomenclature Cosmetic Ingredient name assigned to an ingredient in the ICI Dictionary.</w:t>
      </w:r>
    </w:p>
    <w:p>
      <w:pPr>
        <w:pStyle w:val="Normal"/>
        <w:keepNext w:val="true"/>
        <w:widowControl/>
        <w:rPr/>
      </w:pPr>
      <w:r>
        <w:rPr/>
        <w:t>Article 12.B.2: Scope This Annex applies to the preparation, adoption, and application of technical regulations, standards, conformity assessment procedures, and notification procedures by a Party’s central level of government that may affect trade in cosmetic products between the Parties, other than 12-B-1 sanitary or phytosanitary measures or technical specifications prepared by a government body for production or consumption requirements of that body. Article 12.B.3: Competent Authorities 1. Each Party shall publish online the following information with respect to each of its competent authorities at its central level of government that has responsibility for implementing and enforcing measures regulating cosmetic products: (a) a description of each authority, including the authority’s specific responsibilities; and (b) a contact point within each authority. Each Party shall promptly notify the other Parties of any material changes to this information and update the information online. 2. Each Party shall avoid adopting or maintaining unnecessarily duplicative regulatory requirements with respect to cosmetic products, including by periodically examining whether its authorities are engaged in duplicative activities. Article 12.B.4: Enhancing Regulatory Compatibility 1.</w:t>
      </w:r>
    </w:p>
    <w:p>
      <w:pPr>
        <w:pStyle w:val="Normal"/>
        <w:widowControl/>
        <w:rPr/>
      </w:pPr>
      <w:r>
        <w:rPr/>
        <w:t>The Parties shall seek to collaborate to improve the alignment of their respective regulations and regulatory activities for cosmetic products through work in relevant international initiatives, as appropriate, such as those aimed at harmonization, as well as regional initiatives that support those international initiatives. 2. In developing or implementing regulations for cosmetic products, each Party shall consider relevant scientific or technical guidance documents developed through international collaborative efforts. Each Party is encouraged to consider regionally-developed scientific or technical guidance documents that are aligned with international efforts. 3. If a Party prepares or adopts good manufacturing practice guidelines for cosmetic products, it shall use relevant international standards for cosmetic products, or the relevant parts of them, as a basis for its guidelines unless those international standards or relevant parts would be an ineffective or inappropriate means for the fulfilment of the legitimate objectives pursued. 4. Each Party shall endeavor to share information: (a) from post-market surveillance of cosmetic products; and 12-B-2 (b) on its findings regarding cosmetic ingredients that may affect trade between the Parties. Article 12.B.5: Application of Regulatory Controls 1.</w:t>
      </w:r>
    </w:p>
    <w:p>
      <w:pPr>
        <w:pStyle w:val="Normal"/>
        <w:widowControl/>
        <w:rPr/>
      </w:pPr>
      <w:r>
        <w:rPr/>
        <w:t>Each Party shall ensure that for a measure it applies to ensure the safety, effectiveness, or quality of cosmetic products, including marketing authorizations, notification procedures, and elements of either, products imported from the territory of another Party be accorded treatment no less favorable than that accorded to like products of national origin and to like products originating in any other country, in a comparable situation. 2. In developing a regulatory requirement for a cosmetic product, each Party shall consider its available resources and technical capacity in order to minimize the likelihood of implementing requirements that could: (a) inhibit the efficacy of procedures for ensuring the safety, effectiveness, or quality of cosmetic products; or (b) lead to substantial delays for cosmetic products becoming available in that Party’s market. 3. Each Party shall apply a risk-based approach to regulating the safety of cosmetic products for human health, taking into account relevant scientific factors. In applying this approach, each Party shall take into account that cosmetic products generally present a lower potential risk to human health or safety than medical devices or pharmaceutical products.</w:t>
      </w:r>
    </w:p>
    <w:p>
      <w:pPr>
        <w:pStyle w:val="Normal"/>
        <w:widowControl/>
        <w:rPr/>
      </w:pPr>
      <w:r>
        <w:rPr/>
        <w:t>Accordingly, no Party shall require: (a) a marketing authorization for a cosmetic product, unless a Party identifies a human health or safety concern, and a less trade-restrictive alternative, such as a notification or post-market surveillance, is not reasonably available to effectively address the risks at issue; (b) re-testing or re-evaluating of a cosmetic product that differs only with respect to shade extensions or fragrance variants, unless conducted for human health or safety purposes; (c) a cosmetic product to be labeled with a notification number; 12-B-3 (d) a cosmetic product to receive a marketing authorization from a regulatory authority in the country of manufacture, as a condition for being placed in its market;4 or (e) a cosmetic product to be accompanied by a certificate of free sale as a condition of marketing, distribution, or sale in the Party’s territory. 4.</w:t>
      </w:r>
    </w:p>
    <w:p>
      <w:pPr>
        <w:pStyle w:val="Normal"/>
        <w:widowControl/>
        <w:rPr/>
      </w:pPr>
      <w:r>
        <w:rPr/>
        <w:t>If a Party requires a manufacturer or supplier of a cosmetic product to indicate information on the product’s label, the Party shall permit the manufacturer or supplier to indicate the required information by relabeling the product or by using supplementary labeling of the product in accordance with the Party’s domestic requirements after the importation but prior to offering the product for sale or supply in the Party’s territory. 5.</w:t>
      </w:r>
    </w:p>
    <w:p>
      <w:pPr>
        <w:pStyle w:val="Normal"/>
        <w:widowControl/>
        <w:rPr/>
      </w:pPr>
      <w:r>
        <w:rPr/>
        <w:t>No Party shall require that a cosmetic product be tested on animals to determine the safety of that cosmetic product, unless there is no validated alternative method available to assess safety. This paragraph, however, does not preclude a Party from considering the results of animal testing to evaluate the safety of a cosmetic product. Article 12.B.6: Labeling 1. The Parties recognize the importance of the International Nomenclature Cosmetic Ingredient (INCI) in providing consistent, standardized information about the ingredients in cosmetic products to consumers, health practitioners, and other interested persons. 2. To that end, the Parties shall continue efforts to seek closer alignment of cosmetic ingredient labeling and, no later than one year after the date of entry into force of this Agreement, to report progress to the Commission toward this goal. 3. The Parties shall also endeavor to participate in the INC process for developing, revising, and simplifying the ICI Dictionary.</w:t>
      </w:r>
    </w:p>
    <w:p>
      <w:pPr>
        <w:pStyle w:val="Normal"/>
        <w:widowControl/>
        <w:rPr/>
      </w:pPr>
      <w:r>
        <w:rPr/>
        <w:t>4 For greater certainty, this subparagraph does not prohibit a Party from accepting a prior marketing authorization issued by another regulatory authority as evidence that a product may meet its own requirements. 12-B-4 APPENDIX 1 ENHANCING REGULATORY COMPATIBILITY FOR PRODUCTS RECOGNIZED AS BEING AT THE INTERFACE OF COSMETICS AND DRUGS 1. This Appendix applies only as between Canada and the United States.</w:t>
      </w:r>
    </w:p>
    <w:p>
      <w:pPr>
        <w:pStyle w:val="Normal"/>
        <w:widowControl/>
        <w:rPr/>
      </w:pPr>
      <w:r>
        <w:rPr/>
        <w:t>Accordingly, for the purposes of this Appendix, “Party” or “Parties” means Canada or the United States, singly or collectively. 2. This Appendix applies to toothpastes, mouthwashes, personal care use antiseptic skin cleansers, sunscreens, anti-dandruff shampoos, diaper-rash creams, antiperspirants, medicated skin care products,5 and acne products as set out in the following subparagraphs: (a) for Canada, products that: (i) are for topical use in the oral cavity or on unbroken skin that act in a localized and non-systemic manner, (ii) are authorized for sale in Canada, (iii) are a non-prescription drug product or a natural health product, and (iv) meet the definition of a “cosmetic” in section 2 of the Food and Drugs Act, R.S.C., 1985, c.F-27, as amended; (b) for the United States, products that conform to an over-the-counter drug monograph or an approved new drug application before the product can be placed on the U.S. market. 3.</w:t>
      </w:r>
    </w:p>
    <w:p>
      <w:pPr>
        <w:pStyle w:val="Normal"/>
        <w:widowControl/>
        <w:rPr/>
      </w:pPr>
      <w:r>
        <w:rPr/>
        <w:t>For the purposes of this Appendix: facts table means a standard labeling format containing prescribed information as provided under each Party’s law; monograph means the regulatory requirements setting forth the permissible conditions for marketing of certain over-the-counter drug products, including use and labeling requirements, such as dose, intended use, directions for use, warnings, active ingredients and combinations thereof; non-prescription drug product means a pharmaceutical product, as defined in Article 12.F.1 (Definitions), that is safe and effective for use as directed on the label, is available for direct sale Medicated skin care products do not include antifungals, antivirals, antibiotics, corticosteroids, counterirritants, and analgesics. 12-B-1-1 to a consumer, is permitted to be sold without a prescription, and is not intended to be administered solely under the supervision of a health care practitioner; security packaging means a package having a security feature that provides reasonable assurance to consumers that the package has not been opened prior to purchase; and tamper-evident packaging means an indicator or barrier to entry which, if breached or missing, can reasonably be expected to provide visible evidence to consumers that tampering has occurred. 4.</w:t>
      </w:r>
    </w:p>
    <w:p>
      <w:pPr>
        <w:pStyle w:val="Normal"/>
        <w:widowControl/>
        <w:rPr/>
      </w:pPr>
      <w:r>
        <w:rPr/>
        <w:t>If an importing Party has authorized for sale a product covered by paragraph 2, the importing Party shall allow the product to be shipped directly to retailers or wholesalers without subjecting the product to re-testing or quarantine unless done pursuant to: (a) an identified human health concern with regard to that specific shipment; or (b) an established system of random or risk-based inspection applied for the purpose of protecting human health. 5. The Parties shall endeavor to strengthen their cooperation in the regulation of products covered by paragraph 2. To that end, the Parties shall consider cooperating in areas including: (a) alignment of the requirements for tamper-evident packaging in the United States and security packaging in Canada with respect to dermatological and dentifrice products, subject to the consideration of any human health or safety concerns; and (b) alignment of facts table requirements. 5. If a Party authorizes for sale a product covered by paragraph 2, the Party shall permit the distribution of samples in that Party’s territory under conditions set out in that Party’s law. 12-B-1-2</w:t>
      </w:r>
    </w:p>
    <w:p>
      <w:pPr>
        <w:pStyle w:val="Normal"/>
        <w:widowControl/>
        <w:rPr/>
      </w:pPr>
      <w:r>
        <w:rPr/>
        <w:t>ANNEX 12-C INFORMATION AND COMMUNICATION TECHNOLOGY Article 12.C.1:</w:t>
      </w:r>
    </w:p>
    <w:p>
      <w:pPr>
        <w:pStyle w:val="Normal"/>
        <w:widowControl/>
        <w:rPr/>
      </w:pPr>
      <w:r>
        <w:rPr/>
        <w:t>Definitions For the purposes of this Annex: cipher or cryptographic algorithm means a mathematical procedure or formula for combining a key with plaintext to create a ciphertext; cryptography means the principles, means or methods for the transformation of data in order to conceal or disguise its content, prevent its undetected modification, or prevent its unauthorized use; and is limited to the transformation of information using one or more secret parameters, for example, crypto variables, or associated key management; electromagnetic compatibility means the ability of a system or equipment to function satisfactorily in its electromagnetic environment without introducing intolerable electromagnetic disturbances with respect to any other device or system in that environment; electronic labeling means the electronic display of information, including required compliance information; encryption means the conversion of data (plaintext) through the use of a cryptographic algorithm into a form that cannot be easily understood without subsequent re-conversion (ciphertext) and the appropriate cryptographic key; information and communication technology good (ICT good) means a product whose intended function is information processing and communication by electronic means, including transmission and display, or electronic processing applied to determine or record physical phenomena, or to control physical processes;</w:t>
      </w:r>
    </w:p>
    <w:p>
      <w:pPr>
        <w:pStyle w:val="Normal"/>
        <w:widowControl/>
        <w:rPr/>
      </w:pPr>
      <w:r>
        <w:rPr/>
        <w:t>information technology equipment product (ITE product) means a device, system, or component thereof for which the primary function is the entry, storage, display, retrieval, transmission, processing, switching, or control (or combinations thereof) of data or telecommunication messages by means other than radio transmission or reception; key means a parameter used in conjunction with a cryptographic algorithm that determines its operation in such a way that an entity with knowledge of the key can reproduce or reverse the operation, while an entity without knowledge of the key cannot; supplier’s declaration of conformity means an attestation by a supplier that a product meets a 12-C-1 specified standard or technical regulation based on an evaluation of the results of conformity assessment procedures; and terminal equipment means a digital or analog device capable of processing, receiving, switching, signaling, or transmitting signals by electromagnetic means and that is connected by radio or wire to a public telecommunications transport network at a termination point. Article 12.C.2: ICT Goods that Use Cryptography 1.</w:t>
      </w:r>
    </w:p>
    <w:p>
      <w:pPr>
        <w:pStyle w:val="Normal"/>
        <w:widowControl/>
        <w:rPr/>
      </w:pPr>
      <w:r>
        <w:rPr/>
        <w:t>This Article applies to ICT goods that use cryptography.6 This Article does not apply to: (a) a Party’s law enforcement authorities requiring service suppliers using encryption they control to provide unencrypted communications pursuant to that Party’s legal procedures; (b) the regulation of financial instruments; (c) a requirement that a Party adopts or maintains relating to access to networks, including user devices, that are owned or controlled by the government of that Party, including those of central banks; (d) a measure taken by a Party pursuant to supervisory, investigatory, or examination authority relating to financial institutions or financial markets; or (e) the manufacture, sale, distribution, import, or use of the good by or for the government of the Party. 2. With respect to an ICT good that uses cryptography and is designed for commercial applications, no Party shall require a manufacturer or supplier of the good, as a condition of the manufacture, sale, distribution, import, or use of the good, to:</w:t>
      </w:r>
    </w:p>
    <w:p>
      <w:pPr>
        <w:pStyle w:val="Normal"/>
        <w:widowControl/>
        <w:rPr/>
      </w:pPr>
      <w:r>
        <w:rPr/>
        <w:t>(a) transfer or provide access to any proprietary information relating to cryptography, including by disclosing a particular technology or production process or other information, for example, a private key or other secret parameter, algorithm specification, or other design detail, to the Party or a person in the Party’s territory; (b) partner or otherwise cooperate with a person in its territory in the development, manufacture, sale, distribution, import, or use</w:t>
      </w:r>
    </w:p>
    <w:p>
      <w:pPr>
        <w:pStyle w:val="Normal"/>
        <w:widowControl/>
        <w:rPr/>
      </w:pPr>
      <w:r>
        <w:rPr/>
        <w:t>of the product; or (c) use or integrate a particular cryptographic algorithm or cipher. 6 For greater certainty, for the purposes of this Annex, an ICT good does not include a financial instrument. 12-C-2 Article 12.C.3: Electromagnetic Compatibility of ITE Products 1. This Article applies to requirements regarding the electromagnetic compatibility of ITE products. 2. This Article does not apply to a product: (a) that a Party regulates as a medical device, a medical device system, or a component of a medical device or medical device system; or (b) for which the Party demonstrates that there is a high risk that the product will cause harmful electromagnetic interference with a safety or radio transmission or reception device or system. 3.</w:t>
      </w:r>
    </w:p>
    <w:p>
      <w:pPr>
        <w:pStyle w:val="Normal"/>
        <w:widowControl/>
        <w:rPr/>
      </w:pPr>
      <w:r>
        <w:rPr/>
        <w:t>If a Party requires positive assurance that an ITE product meets a standard or technical regulation for electromagnetic compatibility, it shall accept a supplier’s declaration of conformity,7 provided that the declaration satisfies the Party’s requirements regarding testing, such as testing by an accredited laboratory, in support of a supplier’s declaration of conformity, registration of the supplier’s declaration of conformity, or the submission of evidence necessary to support the supplier’s declaration of conformity. Article 12.C.4: Regional Cooperation Activities on Telecommunications Equipment 1. This Article applies to telecommunications equipment. 2.</w:t>
      </w:r>
    </w:p>
    <w:p>
      <w:pPr>
        <w:pStyle w:val="Normal"/>
        <w:widowControl/>
        <w:rPr/>
      </w:pPr>
      <w:r>
        <w:rPr/>
        <w:t>The Parties are encouraged to implement the APEC Mutual Recognition Arrangement for Conformity Assessment of Telecommunications Equipment of May 8, 1998 (MRA-TEL) and, with respect to each other, the APEC Mutual Recognition Arrangement for Equivalence of Technical Requirements of October 31, 2010 (MRA-ETR), and to consider other arrangements to facilitate trade in telecommunications equipment. 3. In accordance with the Mutual Recognition Agreement between the Government of the United States and the Government of the United Mexican States for the Conformity Assessment of Telecommunications Equipment, done on May 26, 2011 at Paris, France the United States and Mexico shall accept test reports provided by a recognized testing laboratory designated by the other Party under terms and conditions no less favorable than those it accords to test reports produced by testing laboratories in its territory, and without regard to the nationality of the For greater certainty, this paragraph does not apply to requirements a Party has adopted for certification by a conformity assessment body. 12-C-3 supplier or manufacturer of the telecommunications equipment, or the country of origin of the equipment for which a test report has been produced. 4.</w:t>
      </w:r>
    </w:p>
    <w:p>
      <w:pPr>
        <w:pStyle w:val="Normal"/>
        <w:widowControl/>
        <w:rPr/>
      </w:pPr>
      <w:r>
        <w:rPr/>
        <w:t>In accordance with the Mutual Recognition Agreement between the Government of Canada and the Government of the United Mexican States for the Conformity Assessment of Telecommunications Equipment, done at Honolulu on 12 November 2011, Canada and Mexico shall accept test reports provided by a recognized testing laboratory designated by the other Party under terms and conditions no less favorable than those it accords to test reports produced by testing laboratories in its territory, and without regard to the nationality of the supplier or manufacturer of the telecommunications equipment, or the country of origin of the equipment for which a test report has been produced. 5. If a Party requires equipment subject to electromagnetic compatibility and radio frequency requirements to include a label containing compliance information about the equipment, it shall permit this information to be provided through an electronic label. The Parties shall exchange information, as appropriate, about their respective electronic labeling requirements with a view to facilitate compatible approaches to electronic labeling. Article 12.C.5: Terminal Equipment 1. This Article applies to terminal equipment. 2.</w:t>
      </w:r>
    </w:p>
    <w:p>
      <w:pPr>
        <w:pStyle w:val="Normal"/>
        <w:widowControl/>
        <w:rPr/>
      </w:pPr>
      <w:r>
        <w:rPr/>
        <w:t>Each Party shall ensure that its technical regulations, standards, and conformity assessment procedures relating to the attachment of terminal equipment to the public telecommunications networks, including those measures relating to the use of testing and measuring equipment for conformity assessment procedures, are adopted or maintained only to the extent necessary to: (a) prevent damage to public telecommunications networks; (b) prevent degradation of public telecommunications services; (c) prevent electromagnetic interference, and ensure compatibility, with other uses of the electromagnetic spectrum; (d) prevent billing equipment malfunction; or (e) ensure safety of and access to public telecommunications or services, including for the hearing impaired or other disabled persons. 3. Each Party shall ensure that the network termination points for its public telecommunications networks are established on a reasonable and transparent basis. 12-C-4 4. Each Party shall permit any recognized8 conformity assessment body to perform the testing required under the Party’s conformity assessment procedures for terminal equipment to be attached to the public telecommunications network, subject to the Party’s right to review the accuracy and completeness of the test results.</w:t>
      </w:r>
    </w:p>
    <w:p>
      <w:pPr>
        <w:pStyle w:val="Normal"/>
        <w:widowControl/>
        <w:rPr/>
      </w:pPr>
      <w:r>
        <w:rPr/>
        <w:t>8 “Recognized” means recognized pursuant to an act by a regulatory authority under which a conformity assessment body is approved to perform conformity assessment. 12-C-5</w:t>
      </w:r>
    </w:p>
    <w:p>
      <w:pPr>
        <w:pStyle w:val="Normal"/>
        <w:widowControl/>
        <w:rPr/>
      </w:pPr>
      <w:r>
        <w:rPr/>
        <w:t>ANNEX 12-D ENERGY PERFORMANCE STANDARDS Article 12.D.1: Definitions For the purposes of this Annex: energy performance standard means a specification, containing performance or energy use requirements for an energy-using product, that specifies the performance (efficiency) or maximum amount of energy that may be consumed by a product when rated in accordance with the specified test procedure; and test procedure means a uniform method established to measure, with respect to a given product, energy use, energy efficiency, water use, or water efficiency. Article 12.D.2: Scope This Annex applies to the preparation, adoption, and application of technical regulations by a Party’s competent authorities at its central level of government, that set out energy performance standards and related test procedures. Article 12.D.3: Competent Authorities 1. Each Party shall publish online the following information with respect to each of its competent authorities at its central level of government that has responsibility for developing, implementing, revising, or enforcing energy performance standards or related test procedures: (a) a description of each authority, including the authority’s specific responsibilities; and (b) a point of contact within each authority.</w:t>
      </w:r>
    </w:p>
    <w:p>
      <w:pPr>
        <w:pStyle w:val="Normal"/>
        <w:widowControl/>
        <w:rPr/>
      </w:pPr>
      <w:r>
        <w:rPr/>
        <w:t>2. Each Party shall promptly notify the other Parties of any material changes to this information and update the information online. 12-D-1 Article 12.D.4: Enhancing Regulatory Compatibility 1.</w:t>
      </w:r>
    </w:p>
    <w:p>
      <w:pPr>
        <w:pStyle w:val="Normal"/>
        <w:widowControl/>
        <w:rPr/>
      </w:pPr>
      <w:r>
        <w:rPr/>
        <w:t>The Parties shall cooperate on energy performance standards and related test procedures in order to facilitate trade among the Parties and advance energy efficiency, including through the use of fora in existence. 2. With respect to products for which each Party applies energy performance standards or test procedures on the date of entry into force of this Agreement, the Parties shall endeavor to harmonize:9 (a) test procedures for those products no later than eight years after the date of entry into force of this Agreement; and (b) energy performance standards for those products no later than nine years after the date of entry into force of this Agreement. 3. When developing or modifying energy performance standards or test procedures for a product, each Party shall give due consideration to adopting: (a) energy performance standards and test procedures adopted by another Party; or (b) industry standards that a standards development organization accredited in the territory of another Party has finalized and published for the product. 4.</w:t>
      </w:r>
    </w:p>
    <w:p>
      <w:pPr>
        <w:pStyle w:val="Normal"/>
        <w:widowControl/>
        <w:rPr/>
      </w:pPr>
      <w:r>
        <w:rPr/>
        <w:t>In developing or modifying test procedures for a product, each Party shall give due consideration to operating conditions that are unique to each Party. Article 12.D.5: Voluntary Approaches to Promote Energy Efficiency 1. The Parties recognize that voluntary programs and voluntary mechanisms can contribute to improving energy efficiency for a range of products. 2.</w:t>
      </w:r>
    </w:p>
    <w:p>
      <w:pPr>
        <w:pStyle w:val="Normal"/>
        <w:widowControl/>
        <w:rPr/>
      </w:pPr>
      <w:r>
        <w:rPr/>
        <w:t>The Parties also recognize that voluntary programs and voluntary mechanisms should be open, transparent, and designed in a manner that maximizes benefits to consumers and environmental benefits, and avoids the creation of unnecessary barriers to trade. 3. The Parties shall encourage the use of voluntary programs and voluntary mechanisms and cooperate, as appropriate, to facilitate greater transparency and compatibility among these voluntary programs and voluntary mechanisms. The Parties recognize that successful efforts at harmonization should not diminish consumer welfare, consumer protection, or energy efficiency objectives. To that end, the Parties shall take into account, as appropriate, various factors including those relating to climate, geography, household purchasing power, and electricity infrastructure. 12-D-2</w:t>
      </w:r>
    </w:p>
    <w:p>
      <w:pPr>
        <w:pStyle w:val="Normal"/>
        <w:widowControl/>
        <w:rPr/>
      </w:pPr>
      <w:r>
        <w:rPr/>
        <w:t>ANNEX 12-E MEDICAL DEVICES Article 12.E.1: Definitions For the purposes of this Annex: marketing authorization means the process or processes by which a Party approves or registers a medical device in order to authorize the marketing, distribution, or sale of the product in the Party’s territory on the basis of the Party’s safety, efficacy, and quality requirements; and medical device means: (a) for Canada, a product that constitutes a “device” as defined under section 2 of the Food and Drugs Act, R.S.C., 1985, c. F-27, as amended, and that is regulated as a “medical device” under the Medical Devices Regulations, SOR/98-282, as amended; (b) for Mexico, a product covered under article 262 of the Ley General de Salud (General Health Law) as amended; and (c) for the United States, a product for human use covered as a “device” under 21 U.S.C. § 321(h), as amended. Article 12.E.2:</w:t>
      </w:r>
    </w:p>
    <w:p>
      <w:pPr>
        <w:pStyle w:val="Normal"/>
        <w:widowControl/>
        <w:rPr/>
      </w:pPr>
      <w:r>
        <w:rPr/>
        <w:t>Scope This Annex applies to the preparation, adoption, and application of technical regulations, standards, conformity assessment procedures, marketing authorization, and notification procedures of a Party’s central level of government that may affect trade in medical devices between the Parties, other than sanitary or phytosanitary measures or technical specifications prepared by a government body for production or consumption requirements of that body. Article 12.E.3: Competent Authorities 1.</w:t>
      </w:r>
    </w:p>
    <w:p>
      <w:pPr>
        <w:pStyle w:val="Normal"/>
        <w:widowControl/>
        <w:rPr/>
      </w:pPr>
      <w:r>
        <w:rPr/>
        <w:t>Each Party shall publish online the following information with respect to each of its competent authorities at its central level of government that has responsibility for implementing and enforcing measures regulating medical devices: (a) a description of each authority, including the authority’s specific responsibilities; and 12-E-1 (b) a contact point within each authority. Each Party shall promptly notify the other Parties of any material changes to this information and update the information online. 2. Each Party shall avoid adopting or maintaining unnecessarily duplicative regulatory requirements with respect to medical devices, including by periodically examining whether its authorities are engaged in duplicative activities. Article 12.E.4: Enhancing Regulatory Compatibility 1. Each Party should define “medical devices” under its laws and regulations in a manner that is consistent with the meaning assigned to the term “medical device” in the Definition of the Terms ‘Medical Device’ and ‘In Vitro Diagnostic (IVD) Medical Device’ endorsed by the Global Harmonization Task Force on May 16, 2012, as amended. 2.</w:t>
      </w:r>
    </w:p>
    <w:p>
      <w:pPr>
        <w:pStyle w:val="Normal"/>
        <w:widowControl/>
        <w:rPr/>
      </w:pPr>
      <w:r>
        <w:rPr/>
        <w:t>The Parties shall seek to collaborate to improve the alignment of their respective regulations and regulatory activities for medical devices through work in relevant international initiatives, such as those aimed at harmonization, including the International Medical Device Regulators Forum, as well as regional initiatives that support those international initiatives, as appropriate. 3. The Parties shall seek to improve their cooperation on inspections of medical device manufacturers’ quality management systems. To this end, each Party shall recognize audits of device manufacturers’ quality management systems that are in accordance with the requirements established by the Medical Device Single Audit Program (MDSAP) and conducted by auditing organizations authorized by the regulatory authorities participating in MDSAP to audit under the MDSAP requirements. 4. When developing or implementing regulations for marketing authorization of medical devices, each Party shall consider relevant scientific or technical guidance documents developed through international collaborative efforts. Each Party is encouraged to consider regionally- developed scientific or technical guidance documents that are aligned with international efforts. Article 12.E.5: Application of Regulatory Controls 1.</w:t>
      </w:r>
    </w:p>
    <w:p>
      <w:pPr>
        <w:pStyle w:val="Normal"/>
        <w:widowControl/>
        <w:rPr/>
      </w:pPr>
      <w:r>
        <w:rPr/>
        <w:t>Each Party shall ensure that for a measure it applies to ensure the safety, effectiveness, or quality of medical devices, including marketing authorizations, notification procedures, and elements of either, products imported from the territory of another Party be accorded treatment no less favorable than that accorded to like products of national origin and to like products originating in any other country, in a comparable situation. 12-E-2 2. Each Party shall classify medical devices based on risk, taking into account relevant scientific factors. Each Party shall ensure that any regulatory requirements it imposes on medical devices for purposes of assuring the device’s safety and effectiveness are based on an assessment of the medical device’s risks. 3. When developing a regulatory requirement for a medical device, each Party shall consider its available resources and technical capacity in order to minimize the likelihood of implementing requirements that could: (a) inhibit the efficacy of procedures for ensuring the safety, effectiveness, or quality of medical devices; or (b) lead to substantial delays for medical devices becoming available in that Party’s market. Article 12.E.6:</w:t>
      </w:r>
    </w:p>
    <w:p>
      <w:pPr>
        <w:pStyle w:val="Normal"/>
        <w:widowControl/>
        <w:rPr/>
      </w:pPr>
      <w:r>
        <w:rPr/>
        <w:t>Marketing Authorizations 1. Each Party shall make a determination whether to grant marketing authorization for a specific medical device on the basis of information that is necessary to evaluate the safety, effectiveness, and quality of the medical device.</w:t>
      </w:r>
    </w:p>
    <w:p>
      <w:pPr>
        <w:pStyle w:val="Normal"/>
        <w:widowControl/>
        <w:rPr/>
      </w:pPr>
      <w:r>
        <w:rPr/>
        <w:t>This information may include: (a) clinical data and information, if appropriate, on safety and effectiveness;10 (b) information on performance, design, and quality of the device; and (c) labeling information related to safety, effectiveness, quality, and use of the device. To this end, no Party shall require sales data, pricing data, or other financial data concerning the marketing of the medical device in making the determination. 2. Each Party shall administer its marketing authorizations: (a) reasonably, including by: (i) avoiding duplicative requests or requests for unnecessary information from the applicant, 10 For the purposes of evaluating the safety of a medical device, a Party may require information concerning the volume of devices sold in another jurisdiction and any reported problems or recalls of the medical device. 12-E-3 (ii) promptly communicating any deficiencies, and the reasons for those deficiencies, to the applicant, if that deficiency would prevent or delay consideration of the application, and (iii) providing an applicant that requests marketing authorization for a medical device with a determination within a reasonable period of time;11 (b) objectively, through application of published criteria;</w:t>
      </w:r>
    </w:p>
    <w:p>
      <w:pPr>
        <w:pStyle w:val="Normal"/>
        <w:widowControl/>
        <w:rPr/>
      </w:pPr>
      <w:r>
        <w:rPr/>
        <w:t>(c) impartially, including by adopting or maintaining procedures to manage any conflicts of interest; and (d) transparently, including by publishing a checklist or other guidance concerning the information that must be provided in any application. 3.</w:t>
      </w:r>
    </w:p>
    <w:p>
      <w:pPr>
        <w:pStyle w:val="Normal"/>
        <w:widowControl/>
        <w:rPr/>
      </w:pPr>
      <w:r>
        <w:rPr/>
        <w:t>Each Party shall ensure that it maintains measures that permit an applicant for a marketing authorization to seek review or reconsideration in the event the application is denied.12 4. If a Party requires periodic re-authorization for a medical device that has previously received marketing authorization from the Party, the Party shall allow the medical device to remain on its market under the conditions of the previous marketing authorization pending a decision on the periodic re-authorization, unless a Party identifies a significant safety, effectiveness, or quality concern.13 5. No Party shall require that a medical device receive a marketing authorization from a regulatory authority in the country of manufacture as a condition for the medical device to receive marketing authorization from that Party. 6. A Party may accept a prior marketing authorization that is issued by another regulatory authority as evidence that a medical device meets its requirements.</w:t>
      </w:r>
    </w:p>
    <w:p>
      <w:pPr>
        <w:pStyle w:val="Normal"/>
        <w:widowControl/>
        <w:rPr/>
      </w:pPr>
      <w:r>
        <w:rPr/>
        <w:t>Notwithstanding paragraph 5, if the Party faces regulatory resource limitations that restrict its ability to provide marketing authorizations, a Party may require a marketing authorization from a reference country as a condition for the marketing authorization, provided that the Party has established and made public a list of those countries from which it will accept a marketing authorization as evidence that a medical device meets its own requirements.</w:t>
      </w:r>
    </w:p>
    <w:p>
      <w:pPr>
        <w:pStyle w:val="Normal"/>
        <w:widowControl/>
        <w:rPr/>
      </w:pPr>
      <w:r>
        <w:rPr/>
        <w:t>The Parties recognize that the reasonable period of time required to make a marketing authorization determination may be affected by factors such as the novelty of a product or regulatory implications that may arise. 12 This provision does not preclude a Party from imposing a deadline by which review must be sought. 13 For greater certainty, the Parties recognize that an application for reauthorization that is not filed in a timely manner, that contains insufficient information, or that is otherwise inconsistent with a Party’s requirements, is deficient for the purposes of the reauthorization decision. 12-E-4 7. If a Party requires a manufacturer or supplier of a medical device to provide information through labeling, the Party shall permit the manufacturer or supplier to relabel the device or use supplementary labeling in accordance with the Party’s requirements after the device’s importation but prior to being offering for sale or supply in the Party’s territory. 12-E-5</w:t>
      </w:r>
    </w:p>
    <w:p>
      <w:pPr>
        <w:pStyle w:val="Normal"/>
        <w:widowControl/>
        <w:rPr/>
      </w:pPr>
      <w:r>
        <w:rPr/>
        <w:t>ANNEX 12-F PHARMACEUTICALS Article 12.F.1: Definitions For the purposes of this Annex: marketing authorization means the process or processes by which a Party approves or registers a pharmaceutical product in order to authorize the marketing, distribution, or sale of the product in its territory on the basis of the Party’s safety, efficacy, and quality requirements; and pharmaceutical product means: (a) for Canada, a product destined for human use that constitutes a “drug” as defined under section 2 of the Food and Drugs Act, R.S.C., 1985, c. F-27, as amended, and that is regulated as a “drug” under the Food and Drug Regulations C.R.C., c. 870, as amended; (b) for Mexico, a product covered as human “drugs,” “biologics,” and “biotechnology” under articles 221, 222 bis, 224, and 224 bis of the Ley General de Salud (General Heath Law) as amended; and (c) for the United States, a product for human use covered as a “drug” under 21 U.S.C. § 321(g)(1), as amended, or as a “biologic” under 42 U.S.C. § 262(i), as amended.</w:t>
      </w:r>
    </w:p>
    <w:p>
      <w:pPr>
        <w:pStyle w:val="Normal"/>
        <w:keepNext w:val="true"/>
        <w:widowControl/>
        <w:rPr/>
      </w:pPr>
      <w:r>
        <w:rPr/>
        <w:t>Article 12.F.2: Scope This Annex applies to the preparation, adoption, and application of technical regulations, standards, conformity assessment procedures, marketing authorization, and notification procedures of a Party’s central level of government that may affect trade in pharmaceutical products between the Parties, other than sanitary or phytosanitary measures or technical specifications prepared by a government body for production or consumption requirements of that body. Article 12.F.3: Competent Authorities 1. Each Party shall make available online the following information with respect to each of its competent authorities at its central level of government that has responsibility for implementing and enforcing measures regulating pharmaceutical products: 12-F-1 (a) a description of each authority, including the authority’s specific responsibilities; and (b) a point of contact within each authority. 2. Each Party shall promptly notify the other Parties of any material changes to this information and update the information online. 3. Each Party shall avoid adopting or maintaining unnecessarily duplicative regulatory requirements with respect to pharmaceutical products, including by periodically examining whether its authorities are engaged in duplicative activities.</w:t>
      </w:r>
    </w:p>
    <w:p>
      <w:pPr>
        <w:pStyle w:val="Normal"/>
        <w:keepNext w:val="true"/>
        <w:widowControl/>
        <w:rPr/>
      </w:pPr>
      <w:r>
        <w:rPr/>
        <w:t>Article 12.F.4: Enhancing Regulatory Compatibility The Parties shall seek to collaborate to improve the alignment of their respective regulations and regulatory activities for pharmaceutical products through work in relevant international initiatives as appropriate, such as those aimed at harmonization, as well as regional initiatives that support those international initiatives. Article 12.F.5: Application of Regulatory Controls 1. Each Party shall ensure that for a measure it applies to ensure the safety, effectiveness, or quality of pharmaceutical products, including marketing authorizations, notification procedures, and elements of either, products imported from the territory of another Party be accorded treatment no less favorable than that accorded to like products of national origin and to like products originating in any other country, in a comparable situation. 2. When developing a regulatory requirement for a pharmaceutical product, each Party shall consider its available resources and technical capacity in order to minimize the likelihood of implementing requirements that could: (a) inhibit the efficacy of procedures for ensuring the safety, effectiveness, or quality of pharmaceutical products; or (b) lead to substantial delays for pharmaceutical products becoming available in that Party’s market. 3. The Parties shall seek to improve their collaboration on pharmaceutical inspections.</w:t>
      </w:r>
    </w:p>
    <w:p>
      <w:pPr>
        <w:pStyle w:val="Normal"/>
        <w:widowControl/>
        <w:rPr/>
      </w:pPr>
      <w:r>
        <w:rPr/>
        <w:t>Accordingly, each Party shall, with respect to a good manufacturing practice surveillance inspection of a manufacturing facility for pharmaceutical products within the territory of another Party: 12-F-2 (a) notify the other Party prior to conducting an inspection, unless there are reasonable grounds to believe that doing so could prejudice the effectiveness of the inspection; (b) if practicable, permit representatives of the other Party’s competent authority to observe the inspection; and (c) notify the other Party of its findings as soon as possible following the inspection and, if the findings will be publicly released, no later than a reasonable time before release. With respect to subparagraph (c), the inspecting Party is not required to notify the other Party of a finding that is subject to treatment as confidential information under the inspecting Party’s law. 4. Upon certification by the competent authority in the United States, the competent authorities of Canada and the United States shall establish mechanisms to permit the exchange of confidential information relevant to pharmaceutical inspections, including unredacted Good Manufacturing Practice inspection reports. 5.</w:t>
      </w:r>
    </w:p>
    <w:p>
      <w:pPr>
        <w:pStyle w:val="Normal"/>
        <w:widowControl/>
        <w:rPr/>
      </w:pPr>
      <w:r>
        <w:rPr/>
        <w:t>Upon certification by the competent authority in the United States, the competent authorities of Mexico and the United States shall establish mechanisms to permit the exchange of confidential information relevant to pharmaceutical inspections, including unredacted Good Manufacturing Practice inspection reports. 6. To facilitate the exchange of information pursuant to paragraphs 4 and 5, each Party shall maintain procedures to prevent the disclosure of confidential information that may be necessary for the Parties to permit the exchange. 7. Competent authorities in Mexico and Canada shall strengthen their cooperation in the exchange of information, including through multilateral fora in existence. To that end, Mexico and Canada shall increase collaboration and confidence building exercises in the regulation of pharmaceutical products. 8. When developing or implementing regulations with respect to inspection of pharmaceutical products, each Party shall consider relevant scientific or technical guidance documents developed through international collaborative efforts. Article 12.F.6: Marketing Authorizations 1. When developing or implementing a regulation for the marketing authorization of a pharmaceutical product, each Party shall consider relevant scientific or technical guidance 12-F-3 documents developed through international collaborative efforts.</w:t>
      </w:r>
    </w:p>
    <w:p>
      <w:pPr>
        <w:pStyle w:val="Normal"/>
        <w:widowControl/>
        <w:rPr/>
      </w:pPr>
      <w:r>
        <w:rPr/>
        <w:t>Each Party is further encouraged to consider regionally-developed scientific or technical guidance documents that are aligned with international collaborative efforts. 2. Each Party shall make a determination whether to grant marketing authorization for a specific pharmaceutical product on the basis of information that is necessary to evaluate the safety, effectiveness, and quality of the pharmaceutical product. This information may include: (a) clinical data and information on safety and effectiveness of the product; (b) information on the quality of the product, including manufacturing controls for the ingredients of the product; and (c) labeling information related to the safety, effectiveness, quality, and use of the product. 3. No Party shall require sales data, or other financial data concerning the marketing of the product in making the determination referred to in paragraph 2. Further, each Party shall endeavor not to require pricing data in making the determination. 4.</w:t>
      </w:r>
    </w:p>
    <w:p>
      <w:pPr>
        <w:pStyle w:val="Normal"/>
        <w:widowControl/>
        <w:rPr/>
      </w:pPr>
      <w:r>
        <w:rPr/>
        <w:t>Each Party shall administer its marketing authorizations: (a) reasonably, including by: (i) avoiding duplicative requests or requests for unnecessary information from the applicant, (ii) promptly communicating any deficiencies, and the reasons for the deficiencies, to the applicant, if the deficiency would prevent or delay consideration of the application, and (iii) providing an applicant that requests marketing authorization for a pharmaceutical product with a determination within a reasonable period of time;14 (b) objectively, through application of published criteria; (c) impartially, including by adopting or maintaining procedures to manage any conflicts of interest; and 14 For greater certainty, the reasonable period of time required to make a marketing authorization determination may be affected by factors such as the novelty of a product or regulatory implications that may arise. 12-F-4 (d) transparently, including by publishing a checklist or other guidance concerning the information that must be provided in any application. 5. Each Party shall ensure that it adopts or maintains measures that permit an applicant for a marketing authorization to seek review or reconsideration if the application is denied. 6. Paragraph 5 does not preclude a Party from imposing a deadline by which review must be sought. 7.</w:t>
      </w:r>
    </w:p>
    <w:p>
      <w:pPr>
        <w:pStyle w:val="Normal"/>
        <w:widowControl/>
        <w:rPr/>
      </w:pPr>
      <w:r>
        <w:rPr/>
        <w:t>If a Party requires periodic re-authorization for a pharmaceutical product that has previously received marketing authorization from the Party, the Party shall allow the pharmaceutical product to remain on its market under the conditions of the previous marketing authorization pending a decision on the periodic reauthorization, unless the Party identifies a significant safety, effectiveness, or quality concern.15 8. No Party shall require that a pharmaceutical product receive marketing authorization from a regulatory authority in the country of manufacture as a condition for the product to receive marketing authorization from that Party. 9. A Party may accept a prior marketing authorization that is issued by another regulatory authority as evidence that a pharmaceutical product meets its requirements. Notwithstanding paragraph 6, if the Party faces regulatory resource limitations that restrict its ability to provide marketing authorizations, a Party may require a marketing authorization from a reference country as a condition for the marketing authorization, provided that the Party has established and published a list of those countries from which it will accept a marketing authorization as evidence that a pharmaceutical product meets its requirements. 10.</w:t>
      </w:r>
    </w:p>
    <w:p>
      <w:pPr>
        <w:pStyle w:val="Normal"/>
        <w:widowControl/>
        <w:rPr/>
      </w:pPr>
      <w:r>
        <w:rPr/>
        <w:t>Each Party shall review the safety, effectiveness, and quality information submitted by the applicant requesting marketing authorization in a format that is consistent with the specifications set forth in the Common Technical Document (CTD) of the International Conference on Harmonisation of Technical Requirements for Registration of Pharmaceuticals for Human Use, as amended.16 For greater certainty, an application for reauthorization that is not filed in a timely manner, that contains insufficient information, or that is otherwise inconsistent with a Party’s requirements, is deficient for the purposes of the reauthorization decision. 16 For greater certainty, the CTD may not address all aspects relevant to a Party’s determination to approve marketing authorization for a particular product. 12-F-5</w:t>
      </w:r>
    </w:p>
    <w:p>
      <w:pPr>
        <w:pStyle w:val="ModHeading"/>
        <w:widowControl/>
        <w:rPr/>
      </w:pPr>
      <w:r>
        <w:rPr/>
        <w:t>CHAPTER 12 — CUSMA 2.0 AVIATION CERTIFICATION MODERNIZATION</w:t>
      </w:r>
    </w:p>
    <w:p>
      <w:pPr>
        <w:pStyle w:val="TrumpVisibilityHeadline"/>
        <w:widowControl/>
        <w:rPr/>
      </w:pPr>
      <w:r>
        <w:rPr/>
        <w:t xml:space="preserve">★ </w:t>
      </w:r>
      <w:r>
        <w:rPr/>
        <w:t>VISIBLE U.S. WIN: FASTER, FAIRER NORTH AMERICAN AIRCRAFT CERTIFICATION WITHOUT LOWERING SAFETY STANDARDS</w:t>
      </w:r>
    </w:p>
    <w:p>
      <w:bookmarkStart w:id="1084" w:name="_NAESTMA_TOC_1084"/>
      <w:pPr>
        <w:pStyle w:val="Heading2"/>
        <w:keepNext/>
        <w:widowControl/>
        <w:rPr/>
      </w:pPr>
      <w:r>
        <w:rPr/>
        <w:t>ANNEX 12-G: NORTH AMERICAN AVIATION CERTIFICATION FAST LANE</w:t>
      </w:r>
      <w:bookmarkEnd w:id="1084"/>
    </w:p>
    <w:p>
      <w:pPr>
        <w:pStyle w:val="Heading3"/>
        <w:keepNext/>
        <w:widowControl/>
        <w:rPr/>
      </w:pPr>
      <w:r>
        <w:rPr/>
        <w:t>Article 12.G.1: Purpose and Scope</w:t>
      </w:r>
    </w:p>
    <w:p>
      <w:pPr>
        <w:pStyle w:val="Normal"/>
        <w:widowControl/>
        <w:rPr/>
      </w:pPr>
      <w:r>
        <w:rPr/>
        <w:t>1. The Parties establish a North American Aviation Certification Fast Lane to reduce avoidable regulatory duplication and delay in the certification and approval of civil aircraft, aircraft engines, propellers, appliances, parts, design changes, repairs, production approvals, and other civil-aviation products or technical approvals designated by the competent authorities. The Fast Lane shall operate through the Federal Aviation Administration of the United States, Transport Canada Civil Aviation, the Agencia Federal de Aviacion Civil of Mexico, and any lawful successor authorities.</w:t>
      </w:r>
    </w:p>
    <w:p>
      <w:pPr>
        <w:pStyle w:val="Normal"/>
        <w:widowControl/>
        <w:rPr/>
      </w:pPr>
      <w:r>
        <w:rPr/>
        <w:t>2. The Fast Lane supplements and does not displace existing bilateral aviation-safety agreements, implementation procedures, technical arrangements, or domestic aviation law. Where an existing arrangement provides more specific or more efficient cooperation, the competent authorities may continue to use it.</w:t>
      </w:r>
    </w:p>
    <w:p>
      <w:pPr>
        <w:pStyle w:val="Heading3"/>
        <w:keepNext/>
        <w:widowControl/>
        <w:rPr/>
      </w:pPr>
      <w:r>
        <w:rPr/>
        <w:t>Article 12.G.2: Sovereign Safety Authority and Safety Firewall</w:t>
      </w:r>
    </w:p>
    <w:p>
      <w:pPr>
        <w:pStyle w:val="Normal"/>
        <w:widowControl/>
        <w:rPr/>
      </w:pPr>
      <w:r>
        <w:rPr/>
        <w:t>1. Nothing in this Annex requires a Party to certify, validate, approve, continue, or permit operation of an aircraft, engine, propeller, appliance, part, design, repair, production system, maintenance organization, or other aviation product or activity that its competent authority determines does not satisfy applicable safety requirements.</w:t>
      </w:r>
    </w:p>
    <w:p>
      <w:pPr>
        <w:pStyle w:val="Normal"/>
        <w:widowControl/>
        <w:rPr/>
      </w:pPr>
      <w:r>
        <w:rPr/>
        <w:t>2. Each competent authority retains authority to conduct inspections, require testing or additional evidence where technically justified, issue airworthiness directives, impose operating limitations, suspend or revoke approvals, ground aircraft, investigate occurrences, and take immediate action necessary to address a credible aviation-safety risk.</w:t>
      </w:r>
    </w:p>
    <w:p>
      <w:pPr>
        <w:pStyle w:val="Normal"/>
        <w:widowControl/>
        <w:rPr/>
      </w:pPr>
      <w:r>
        <w:rPr/>
        <w:t>3. A procedural deadline or reliance obligation under this Annex shall not compel a positive safety determination. Where additional time or evidence is reasonably necessary for safety, the authority shall provide the applicant with a concise technical explanation and revised expected timetable, subject to protection of confidential, security-sensitive, investigative, or privileged information.</w:t>
      </w:r>
    </w:p>
    <w:p>
      <w:pPr>
        <w:pStyle w:val="Heading3"/>
        <w:keepNext/>
        <w:widowControl/>
        <w:rPr/>
      </w:pPr>
      <w:r>
        <w:rPr/>
        <w:t>Article 12.G.3: Concurrent and Coordinated Review</w:t>
      </w:r>
    </w:p>
    <w:p>
      <w:pPr>
        <w:pStyle w:val="Normal"/>
        <w:widowControl/>
        <w:rPr/>
      </w:pPr>
      <w:r>
        <w:rPr/>
        <w:t>1. Where practicable and requested by an applicant, competent authorities shall permit simultaneous or overlapping technical review rather than requiring a completed certification decision in one Party before meaningful review may begin in another Party.</w:t>
      </w:r>
    </w:p>
    <w:p>
      <w:pPr>
        <w:pStyle w:val="Normal"/>
        <w:widowControl/>
        <w:rPr/>
      </w:pPr>
      <w:r>
        <w:rPr/>
        <w:t>2. Authorities should coordinate early concerning the certification basis, significant technical issues, means of compliance, conformity plans, test programs, data expectations, and division of technical work so that materially identical questions are not independently rebuilt from the beginning without a safety justification.</w:t>
      </w:r>
    </w:p>
    <w:p>
      <w:pPr>
        <w:pStyle w:val="Normal"/>
        <w:widowControl/>
        <w:rPr/>
      </w:pPr>
      <w:r>
        <w:rPr/>
        <w:t>3. Novel technologies may receive early joint technical engagement, including electric or hybrid propulsion, hydrogen systems, advanced avionics, autonomy or highly automated systems, novel materials, advanced manufacturing, alternative fuels, and other emerging civil-aviation technologies. Joint engagement does not predetermine certification.</w:t>
      </w:r>
    </w:p>
    <w:p>
      <w:pPr>
        <w:pStyle w:val="Heading3"/>
        <w:keepNext/>
        <w:widowControl/>
        <w:rPr/>
      </w:pPr>
      <w:r>
        <w:rPr/>
        <w:t>Article 12.G.4: Maximum Lawful Reliance and Avoidance of Duplicative Testing</w:t>
      </w:r>
    </w:p>
    <w:p>
      <w:pPr>
        <w:pStyle w:val="Normal"/>
        <w:widowControl/>
        <w:rPr/>
      </w:pPr>
      <w:r>
        <w:rPr/>
        <w:t>1. A competent authority shall, to the maximum extent consistent with its law and safety mandate, rely on technically sufficient findings, conformity inspections, test results, laboratory evidence, flight-test evidence, quality-system findings, engineering approvals, and other certification work performed or accepted by another Party's competent authority.</w:t>
      </w:r>
    </w:p>
    <w:p>
      <w:pPr>
        <w:pStyle w:val="Normal"/>
        <w:widowControl/>
        <w:rPr/>
      </w:pPr>
      <w:r>
        <w:rPr/>
        <w:t>2. Additional or repeated testing may be required where a material difference in applicable requirements exists, the earlier evidence is incomplete or unreliable, a particularized safety concern is identified, a design change materially affects the relevant finding, or another documented technical reason makes reliance inappropriate. Mere foreign origin of the applicant, product, or evidence is not sufficient reason for duplicative testing.</w:t>
      </w:r>
    </w:p>
    <w:p>
      <w:pPr>
        <w:pStyle w:val="Heading3"/>
        <w:keepNext/>
        <w:widowControl/>
        <w:rPr/>
      </w:pPr>
      <w:r>
        <w:rPr/>
        <w:t>Article 12.G.5: Published Response Clocks and Complete-Application Discipline</w:t>
      </w:r>
    </w:p>
    <w:p>
      <w:pPr>
        <w:pStyle w:val="Normal"/>
        <w:widowControl/>
        <w:rPr/>
      </w:pPr>
      <w:r>
        <w:rPr/>
        <w:t>1. Within 15 days after receipt of a Fast Lane request, the receiving authority should acknowledge the request and identify the responsible contact point. Within 30 days after receipt of the principal application package, the authority should identify material completeness deficiencies known at that stage or confirm that substantive review has begun.</w:t>
      </w:r>
    </w:p>
    <w:p>
      <w:pPr>
        <w:pStyle w:val="Normal"/>
        <w:widowControl/>
        <w:rPr/>
      </w:pPr>
      <w:r>
        <w:rPr/>
        <w:t>2. During substantive review, an authority should respond to a materially complete technical submission, issue a consolidated request for additional information where practicable, or provide a status update within 45 days. These periods are service benchmarks and do not create automatic certification by lapse of time.</w:t>
      </w:r>
    </w:p>
    <w:p>
      <w:pPr>
        <w:pStyle w:val="Normal"/>
        <w:widowControl/>
        <w:rPr/>
      </w:pPr>
      <w:r>
        <w:rPr/>
        <w:t>3. A clock may pause while material information requested from the applicant is outstanding, during agreed testing, or while an identified safety issue reasonably requires additional technical work. The authority shall record the basis of the pause and restart the clock when the blocking condition is resolved.</w:t>
      </w:r>
    </w:p>
    <w:p>
      <w:pPr>
        <w:pStyle w:val="Heading3"/>
        <w:keepNext/>
        <w:widowControl/>
        <w:rPr/>
      </w:pPr>
      <w:r>
        <w:rPr/>
        <w:t>Article 12.G.6: Non-Discrimination and No Politically Motivated Certification Delay</w:t>
      </w:r>
    </w:p>
    <w:p>
      <w:pPr>
        <w:pStyle w:val="Normal"/>
        <w:widowControl/>
        <w:rPr/>
      </w:pPr>
      <w:r>
        <w:rPr/>
        <w:t>1. No Party shall delay, accelerate, condition, deny, suspend, or burden an aviation certification or technical approval principally for the purpose of trade retaliation, procurement leverage, unrelated diplomatic pressure, industrial favoritism, or coercion concerning a matter outside the applicable aviation-safety and regulatory criteria.</w:t>
      </w:r>
    </w:p>
    <w:p>
      <w:pPr>
        <w:pStyle w:val="Normal"/>
        <w:widowControl/>
        <w:rPr/>
      </w:pPr>
      <w:r>
        <w:rPr/>
        <w:t>2. Applicants from another Party shall receive procedural treatment no less favorable than comparable domestic applicants with respect to access to published requirements, communication channels, completeness review, scheduling, reasons for delay, and opportunities to respond, taking account of legitimate differences in technical complexity, risk, novelty, and applicant readiness.</w:t>
      </w:r>
    </w:p>
    <w:p>
      <w:pPr>
        <w:pStyle w:val="Heading3"/>
        <w:keepNext/>
        <w:widowControl/>
        <w:rPr/>
      </w:pPr>
      <w:r>
        <w:rPr/>
        <w:t>Article 12.G.7: Delay Escalation, Technical Review, and Institutional Boundary</w:t>
      </w:r>
    </w:p>
    <w:p>
      <w:pPr>
        <w:pStyle w:val="Normal"/>
        <w:widowControl/>
        <w:rPr/>
      </w:pPr>
      <w:r>
        <w:rPr/>
        <w:t>1. Where a Fast Lane matter materially exceeds the applicable published service benchmark, the applicant may request a written status explanation and regulator-to-regulator consultation. Persistent unexplained procedural delay may be referred to an expedited Cothrom factual review limited to whether the procedural obligations of this Annex were observed.</w:t>
      </w:r>
    </w:p>
    <w:p>
      <w:pPr>
        <w:pStyle w:val="Normal"/>
        <w:widowControl/>
        <w:rPr/>
      </w:pPr>
      <w:r>
        <w:rPr/>
        <w:t>2. A trade, Cothrom, or dispute-settlement body shall not substitute its judgment for a competent aviation authority on whether an aircraft or other aviation product is safe, airworthy, technically compliant, or suitable for certification. A procedural remedy may require renewed review, explanation, removal of discriminatory treatment, or observance of an applicable process, but shall not order issuance of a safety certificate or approval.</w:t>
      </w:r>
    </w:p>
    <w:p>
      <w:pPr>
        <w:pStyle w:val="Heading3"/>
        <w:keepNext/>
        <w:widowControl/>
        <w:rPr/>
      </w:pPr>
      <w:r>
        <w:rPr/>
        <w:t>Article 12.G.8: North American Joint Certification Pathway and Continuous Improvement</w:t>
      </w:r>
    </w:p>
    <w:p>
      <w:pPr>
        <w:pStyle w:val="Normal"/>
        <w:widowControl/>
        <w:rPr/>
      </w:pPr>
      <w:r>
        <w:rPr/>
        <w:t>1. The competent authorities shall maintain a voluntary pathway through which applicants may seek coordinated pre-application engagement, common evidence packages where feasible, aligned test witnessing, shared issue papers, and staged validation planning for products intended for certification in two or more Parties.</w:t>
      </w:r>
    </w:p>
    <w:p>
      <w:pPr>
        <w:pStyle w:val="Normal"/>
        <w:widowControl/>
        <w:rPr/>
      </w:pPr>
      <w:r>
        <w:rPr/>
        <w:t>2. At least annually, the competent authorities shall review aggregate processing performance, categories of avoidable duplication, recurring technical divergences, and opportunities for additional reliance or mutual recognition. Public reporting shall protect confidential business information and safety-sensitive or security-sensitive information.</w:t>
      </w:r>
    </w:p>
    <w:p>
      <w:pPr>
        <w:pStyle w:val="Normal"/>
        <w:widowControl/>
        <w:rPr/>
      </w:pPr>
      <w:r>
        <w:rPr/>
        <w:t>3. Implementation shall use existing competent aviation authorities and existing treaty institutions wherever practicable and does not require creation of a new permanent supranational aviation-certification body.</w:t>
      </w:r>
      <w:r>
        <w:br w:type="page"/>
      </w:r>
    </w:p>
    <w:p>
      <w:bookmarkStart w:id="1085" w:name="_NAESTMA_TOC_1085"/>
      <w:pPr>
        <w:pStyle w:val="Heading1"/>
        <w:keepNext/>
        <w:keepLines w:val="0"/>
        <w:pageBreakBefore/>
        <w:widowControl/>
        <w:rPr/>
      </w:pPr>
      <w:bookmarkStart w:id="52" w:name="_Toc237912529"/>
      <w:r>
        <w:rPr/>
        <w:t>CHAPTER 13 GOVERNMENT PROCUREMENT</w:t>
      </w:r>
      <w:bookmarkEnd w:id="52"/>
      <w:bookmarkEnd w:id="1085"/>
    </w:p>
    <w:p>
      <w:pPr>
        <w:pStyle w:val="Normal"/>
        <w:widowControl/>
        <w:rPr/>
      </w:pPr>
      <w:r>
        <w:rPr/>
        <w:t>Article 13.1:</w:t>
      </w:r>
    </w:p>
    <w:p>
      <w:pPr>
        <w:pStyle w:val="Normal"/>
        <w:widowControl/>
        <w:rPr/>
      </w:pPr>
      <w:r>
        <w:rPr/>
        <w:t>Definitions For the purposes of this Chapter: build-operate-transfer contract and public works concession contract means a contractual arrangement the primary purpose of which is to provide for the construction or rehabilitation of physical infrastructure, plants, buildings, facilities, or other government-owned works and under which, as consideration for a supplier’s execution of a contractual arrangement, a procuring entity grants to the supplier, for a specified period of time, temporary ownership or a right to control and operate, and demand payment for the use of those works for the duration of the contract; commercial goods or services means goods or services of a type generally sold or offered for sale in the commercial marketplace to, and customarily purchased by, non-governmental buyers for non-governmental purposes; construction service means a service that has as its objective the realization by whatever means of civil or building works, based on Division 51 of the United Nations Provisional Central Product Classification (CPC);</w:t>
      </w:r>
    </w:p>
    <w:p>
      <w:pPr>
        <w:pStyle w:val="Normal"/>
        <w:widowControl/>
        <w:rPr/>
      </w:pPr>
      <w:r>
        <w:rPr/>
        <w:t>in writing or written means any worded or numbered expression that can be read, reproduced and may be later communicated, and may include electronically transmitted and stored information; limited tendering means a procurement method whereby the procuring entity contacts a supplier or suppliers of its choice; multi-use list means a list of suppliers that a procuring entity has determined satisfy the conditions for</w:t>
      </w:r>
    </w:p>
    <w:p>
      <w:pPr>
        <w:pStyle w:val="Normal"/>
        <w:widowControl/>
        <w:rPr/>
      </w:pPr>
      <w:r>
        <w:rPr/>
        <w:t>participation in that list, and that the procuring entity intends to use more than once; notice of intended procurement means a notice published by a procuring entity inviting interested suppliers to submit a request for participation, a tender, or both; offset means any condition or undertaking that requires the use of domestic content, a domestic supplier, the licensing of technology, technology transfer, investment, counter-trade, or similar action to encourage local development or to improve a Party’s balance of payments accounts; open tendering means a procurement method whereby all interested suppliers may submit a tender; procuring entity means an entity listed in Annex 13-A; qualified supplier means a supplier that a procuring entity recognizes as having satisfied the conditions for participation; selective tendering means a procurement method whereby the procuring entity invites only qualified suppliers to submit a tender; services includes construction services, unless otherwise specified; supplier means a person or group of persons that provides or could provide a good or service to a procuring entity; and technical specification means a tendering requirement that: (a) sets out the characteristics of:</w:t>
      </w:r>
    </w:p>
    <w:p>
      <w:pPr>
        <w:pStyle w:val="Normal"/>
        <w:widowControl/>
        <w:rPr/>
      </w:pPr>
      <w:r>
        <w:rPr/>
        <w:t>(i) goods to be procured, including quality, performance, safety, and dimensions, or the processes and methods for their production, or (ii) services to be procured, or the processes or methods for their provision, including any applicable administrative provisions;</w:t>
      </w:r>
    </w:p>
    <w:p>
      <w:pPr>
        <w:pStyle w:val="Normal"/>
        <w:widowControl/>
        <w:rPr/>
      </w:pPr>
      <w:r>
        <w:rPr/>
        <w:t>or (b) addresses terminology, symbols, packaging, marking, or labelling requirements, as they apply to a good or service.</w:t>
      </w:r>
    </w:p>
    <w:p>
      <w:pPr>
        <w:pStyle w:val="Normal"/>
        <w:keepNext w:val="true"/>
        <w:widowControl/>
        <w:rPr/>
      </w:pPr>
      <w:r>
        <w:rPr/>
        <w:t>Article 13.2: Scope Application of Chapter 1. This Chapter applies to any measure regarding covered procurement. 2. For the purposes of this Chapter, covered procurement means government procurement: (a) of a good, service, or any combination thereof as specified in each Party’s Schedule to Annex 13-A; (b) by any contractual means, including: purchase; rental or lease, with or without an option to buy; build-operate-transfer contracts and public works concessions contracts; (c) for which the value, as estimated in accordance with paragraphs 9 and 10, equals or exceeds the relevant threshold specified in a Party’s Schedule to Annex 13-A, at the time of publication of a notice of intended procurement; (d) by a procuring entity; and (e) that is not otherwise excluded from coverage under this Agreement. 3. This Chapter applies only as between Mexico and the United Sates. Accordingly, for the purposes of this Chapter, “Party” or “Parties” means Mexico or the United States, singly or collectively. Activities Not Covered 4.</w:t>
      </w:r>
    </w:p>
    <w:p>
      <w:pPr>
        <w:pStyle w:val="Normal"/>
        <w:widowControl/>
        <w:rPr/>
      </w:pPr>
      <w:r>
        <w:rPr/>
        <w:t>Unless otherwise provided in a Party’s Schedule to Annex 13-A, this Chapter does not apply to: (a) the acquisition or rental of land, existing buildings or other immovable property or the rights thereon; (b) non-contractual agreements or any form of assistance that a Party, including its procuring entities, provides, including cooperative agreements, grants, loans, equity infusions, guarantees, subsidies, fiscal incentives, and sponsorship arrangements; (c) the procurement or acquisition of: fiscal agency or depository services; liquidation and management services for regulated financial institutions; or services related to the sale, redemption and distribution of public debt, including loans and government bonds, notes and other securities; (e) public employment contracts; and (f) procurement conducted: (i) for the specific purpose of providing international assistance, including development aid, (ii) under the particular procedure or condition of an international agreement relating to the stationing of troops or relating to the joint implementation by the signatory countries of a project, or (iii) under the particular procedure or condition of an international organization, or funded by international grants, loans, or other assistance if the applicable procedure or condition would be inconsistent with this Chapter. Schedules 5.</w:t>
      </w:r>
    </w:p>
    <w:p>
      <w:pPr>
        <w:pStyle w:val="Normal"/>
        <w:widowControl/>
        <w:rPr/>
      </w:pPr>
      <w:r>
        <w:rPr/>
        <w:t>Each Party shall specify the following information in its Schedule to Annex 13-A: (a) in Section A, the central government entities for which procurement is covered by this Chapter; (b) in Section B, other entities for which procurement is covered by this Chapter; (c) in Section C, the goods covered by this Chapter; (d) in Section D, the services, other than construction services, covered by this Chapter; (e) in Section E, the construction services covered by this Chapter; (f) in Section F, any General Notes; (g) in Section G, the applicable Threshold Adjustment Formula; and (h) in Section H, the publication information required under Article 13.5.2 (Publication of Procurement Information). Compliance 6. Each Party shall ensure that its procuring entities comply with this Chapter in conducting covered procurements. 7. No procuring entity shall prepare or design a procurement, or otherwise structure or divide a procurement into separate procurements in any stage of the procurement, or use a particular method to estimate the value of a procurement, in order to avoid the obligations of this Chapter. 8.</w:t>
      </w:r>
    </w:p>
    <w:p>
      <w:pPr>
        <w:pStyle w:val="Normal"/>
        <w:widowControl/>
        <w:rPr/>
      </w:pPr>
      <w:r>
        <w:rPr/>
        <w:t>Nothing in this Chapter shall be construed to prevent a Party, including its procuring entities, from developing new procurement policies, procedures or contractual means, provided that they are not inconsistent with this Chapter. Valuation 9.</w:t>
      </w:r>
    </w:p>
    <w:p>
      <w:pPr>
        <w:pStyle w:val="Normal"/>
        <w:widowControl/>
        <w:rPr/>
      </w:pPr>
      <w:r>
        <w:rPr/>
        <w:t>In estimating the value of a procurement for the purposes of ascertaining whether it is a covered procurement, a procuring entity shall include the estimated maximum total value of the procurement over its entire duration, taking into account: (a) all forms of remuneration, including any premium, fee, commission, interest or other revenue stream that may be provided for under the contract; (b) the value of any option clause; and (c) any contract awarded at the same time or over a given period to one or more suppliers under the same procurement. 10. If the total estimated maximum value of a procurement over its entire duration is not known, the procurement shall be deemed a covered procurement, unless otherwise excluded under this Agreement.</w:t>
      </w:r>
    </w:p>
    <w:p>
      <w:pPr>
        <w:pStyle w:val="Normal"/>
        <w:keepNext w:val="true"/>
        <w:widowControl/>
        <w:rPr/>
      </w:pPr>
      <w:r>
        <w:rPr/>
        <w:t>Article 13.3: Exceptions 1. Subject to the requirement that the measure is not applied in a manner that would constitute a means of arbitrary or unjustifiable discrimination between Parties where the same conditions prevail, or a disguised restriction on international trade between the Parties, nothing in this Chapter shall be construed to prevent a Party, including its procuring entities, from adopting or maintaining a measure: (a) necessary to protect public morals, order, or safety; (b) necessary to protect human, animal, or plant life or health; (c) necessary to protect intellectual property; or (d) relating to the good or service of a person with disabilities, of philanthropic or not-for-profit institutions, or of prison labor. 2. The Parties understand that subparagraph 1(b) includes environmental measures necessary to protect human, animal, or plant life or health.</w:t>
      </w:r>
    </w:p>
    <w:p>
      <w:pPr>
        <w:pStyle w:val="Normal"/>
        <w:keepNext w:val="true"/>
        <w:widowControl/>
        <w:rPr/>
      </w:pPr>
      <w:r>
        <w:rPr/>
        <w:t>Article 13.4: General Principles National Treatment and Non-Discrimination 1. With respect to any measure regarding covered procurement, each Party, including its procuring entities, shall accord immediately and unconditionally to the goods and services of the other Party and to the suppliers of the other Party, treatment no less favorable than the treatment that the Party, including its procuring entities, accords to domestic goods, services, and suppliers. 2. With respect to a measure regarding covered procurement, no Party, including its procuring entities, shall: (a) treat a locally established supplier less favorably than another locally established supplier on the basis of degree of foreign affiliation or ownership; or (b) discriminate against a locally established supplier on the basis that the good or service offered by that supplier for a particular procurement is a good or service of the other Party. 3. All orders under contracts awarded for covered procurement shall be subject to paragraphs 1 and 2 of this Article. Procurement Methods 4. A procuring entity shall use an open tendering procedure for covered procurement unless Article 13.8 (Qualification of Suppliers) or Article 13.9 (Limited Tendering) applies. Rules of Origin 5.</w:t>
      </w:r>
    </w:p>
    <w:p>
      <w:pPr>
        <w:pStyle w:val="Normal"/>
        <w:widowControl/>
        <w:rPr/>
      </w:pPr>
      <w:r>
        <w:rPr/>
        <w:t>For the purposes of covered procurement, a Party shall not apply rules of origin to goods or services imported from or supplied from the other Party that are different from the rules of origin the Party applies at the same time in the normal course of trade to imports or supplies of the same goods or services from the same Party. Offsets 6. With regard to covered procurement, no Party, including its procuring entities, shall seek, take account of, impose, or enforce any offset, at any stage of a procurement. Measures Not Specific to Procurement 7. Paragraphs 1 and 2 shall not apply to customs duties and charges of any kind imposed on or in connection with importation, the method of levying such duties and charges, other import regulations or formalities, and measures affecting trade in services other than measures governing covered procurement. Use of Electronic Means 8. The Parties shall seek to provide opportunities for covered procurement to be undertaken through electronic means, including for the publication of procurement information, notices, and tender documentation, and for the receipt of tenders. 9.</w:t>
      </w:r>
    </w:p>
    <w:p>
      <w:pPr>
        <w:pStyle w:val="Normal"/>
        <w:widowControl/>
        <w:rPr/>
      </w:pPr>
      <w:r>
        <w:rPr/>
        <w:t>When conducting covered procurement by electronic means, a procuring entity shall: (a) ensure that the procurement is conducted using information technology systems and software, including those related to authentication and encryption of information, that are generally available and interoperable with other generally available information technology systems and software; and (b) establish and maintain mechanisms that ensure the integrity of information provided by suppliers, including requests for participation and tenders.</w:t>
      </w:r>
    </w:p>
    <w:p>
      <w:pPr>
        <w:pStyle w:val="Normal"/>
        <w:keepNext w:val="true"/>
        <w:widowControl/>
        <w:rPr/>
      </w:pPr>
      <w:r>
        <w:rPr/>
        <w:t>Article 13.5: Publication of Procurement Information 1. Each Party shall promptly publish any measure of general application relating to covered procurement, and any change or addition to this information. 2. Each Party shall list in Section I of its Schedule to Annex 13-A the paper or electronic means through which the Party publishes the information described in paragraph 1 and the notices required by Article 13.6 (Notices of Intended Procurement), Article 13.8.3 (Qualification of Suppliers), and Article 13.15.3 (Transparency and Post-Award Information). 3. Each Party shall, on request, provide an explanation in response to an inquiry relating to the information referred to in paragraph 1.</w:t>
      </w:r>
    </w:p>
    <w:p>
      <w:pPr>
        <w:pStyle w:val="Normal"/>
        <w:keepNext w:val="true"/>
        <w:widowControl/>
        <w:rPr/>
      </w:pPr>
      <w:r>
        <w:rPr/>
        <w:t>Article 13.6: Notices of Intended Procurement 1. For each covered procurement, except in the circumstances described in Article 13.9 (Limited Tendering), a procuring entity shall publish a notice of intended procurement through the appropriate paper or electronic means listed in Annex 13-A. The notices shall remain readily accessible to the public until at least the expiration of the time period for responding to the notice or the deadline for submission of the tender. 2. The notices shall, if accessible by electronic means, be provided free of charge: (a) for central government entities that are covered under Annex 13-A, through a single point of access; and (b) for other entities covered under Annex 13-A, through links in a single electronic portal. 3. Unless otherwise provided in this Chapter, each notice of intended procurement shall include the following information, unless that information is provided in the tender documentation that is made available free of charge to all interested suppliers at the same time as the notice of intended procurement:</w:t>
      </w:r>
    </w:p>
    <w:p>
      <w:pPr>
        <w:pStyle w:val="Normal"/>
        <w:widowControl/>
        <w:rPr/>
      </w:pPr>
      <w:r>
        <w:rPr/>
        <w:t>(a) the name and address of the procuring entity and other information necessary to contact the procuring entity and obtain all relevant documents relating to the procurement, and the cost and terms of payment to obtain the relevant documents, if any; (b) a description of the procurement, including, if appropriate, the nature and quantity of the goods or services to be procured and a description of any options, or the</w:t>
      </w:r>
    </w:p>
    <w:p>
      <w:pPr>
        <w:pStyle w:val="Normal"/>
        <w:widowControl/>
        <w:rPr/>
      </w:pPr>
      <w:r>
        <w:rPr/>
        <w:t>estimated quantity if the quantity is not known; (c) if applicable, the time-frame for delivery of goods or services or the duration of the contract; (d) if applicable, the address and any final date for the submission of requests for participation in the procurement; (e) the address and the final date for the submission of tenders; (f) the language or languages in which tenders or requests for participation may be submitted, if other than an official language of the Party of the procuring entity; (g) a list and a brief description of any conditions for participation of suppliers, that may include any related requirements for specific documents or certifications that suppliers must provide; (h) if, pursuant to Article 13.8 (Qualification of Suppliers), a procuring entity intends to select a limited number of qualified suppliers to be invited to tender, the criteria that will be used to select them and, if applicable, any limitation on the number of suppliers that will be permitted to tender; and (i) an indication that the procurement is covered by this Chapter. 4.</w:t>
      </w:r>
    </w:p>
    <w:p>
      <w:pPr>
        <w:pStyle w:val="Normal"/>
        <w:widowControl/>
        <w:rPr/>
      </w:pPr>
      <w:r>
        <w:rPr/>
        <w:t>For greater certainty, paragraph 3 does not preclude a Party from charging a fee for tender documentation if the notice of intended procurement includes all of the information set out in paragraph 3. Notice of Planned Procurement 5.</w:t>
      </w:r>
    </w:p>
    <w:p>
      <w:pPr>
        <w:pStyle w:val="Normal"/>
        <w:widowControl/>
        <w:rPr/>
      </w:pPr>
      <w:r>
        <w:rPr/>
        <w:t>Procuring entities are encouraged to publish as early as possible in each fiscal year a notice regarding their future procurement plans (notice of planned procurement) which should include the subject matter of the procurement and the planned date of publication of the notice of intended procurement.</w:t>
      </w:r>
    </w:p>
    <w:p>
      <w:pPr>
        <w:pStyle w:val="Normal"/>
        <w:keepNext w:val="true"/>
        <w:widowControl/>
        <w:rPr/>
      </w:pPr>
      <w:r>
        <w:rPr/>
        <w:t>Article 13.7: Conditions for Participation 1. A procuring entity shall limit any conditions for participation in a covered procurement to those conditions that ensure that a supplier has the legal and financial capacities and the commercial and technical abilities to fulfil the requirements of that procurement. 2. In establishing the conditions for participation, a procuring entity: (a) shall not impose the condition that, in order for a supplier to participate in a procurement, the supplier has previously been awarded one or more contracts by a procuring entity of a given Party or that the supplier has prior work experience in the territory of that Party; and (b) may require relevant prior experience if essential to meet the requirements of the procurement. 3. In assessing whether a supplier satisfies the conditions for participation, a procuring entity shall: (a) evaluate the financial capacity and the commercial and technical abilities of a supplier on the basis of that supplier’s business activities both inside and outside the territory of the Party of the procuring entity; and (b) base its evaluation solely on the conditions that the procuring entity has specified in advance in notices or tender documentation. 4.</w:t>
      </w:r>
    </w:p>
    <w:p>
      <w:pPr>
        <w:pStyle w:val="Normal"/>
        <w:widowControl/>
        <w:rPr/>
      </w:pPr>
      <w:r>
        <w:rPr/>
        <w:t>If there is supporting evidence, a Party, including its procuring entities, may exclude a supplier on grounds such as: (a) bankruptcy or insolvency; (b) false declarations; (c) significant or persistent deficiencies in the performance of any substantive requirement or obligation under a prior contract or contracts; (d) final judgments in respect of serious crimes or other serious offences; (e) professional misconduct or actions or omissions that adversely reflect on the commercial integrity of the supplier; or (f) failure to pay taxes. 5. For greater certainty, this Article is not intended to preclude a procuring entity from promoting compliance with laws in the territory in which the good is produced or the service is performed relating to labor rights as recognized by the Parties and set forth in Article 23.3 (Labor Rights), provided that such measures are applied in a manner consistent with Chapter 29 (Publication and Administration), and are not applied in a manner that constitutes a means of arbitrary or unjustifiable discrimination between the Parties or a disguised restriction on trade between the Parties.1</w:t>
      </w:r>
    </w:p>
    <w:p>
      <w:pPr>
        <w:pStyle w:val="Normal"/>
        <w:keepNext w:val="true"/>
        <w:widowControl/>
        <w:rPr/>
      </w:pPr>
      <w:r>
        <w:rPr/>
        <w:t>Article 13.8: Qualification of Suppliers Registration Systems and Qualification Procedures 1. A Party, including its procuring entities, may maintain a supplier registration system under which interested suppliers are required to register and provide certain information. 2. No Party, including its procuring entities, shall: (a) adopt or apply any registration system or qualification procedure with the purpose or the effect of creating unnecessary obstacles to the participation of suppliers of the other Party in its procurement; or (b) use such registration system or qualification procedure to prevent or delay the inclusion of suppliers of the other Party on a list of suppliers or prevent those suppliers from being considered for a particular procurement. Selective Tendering 3. If a procuring entity intends to use selective tendering, the procuring entity shall: (a) publish a notice of intended procurement that invites suppliers to submit a request for participation in a covered procurement; and (b) include in the notice of intended procurement the information specified in Article 13.6.3(a), (b), (d), (g), (h), and (i) (Notices of Intended Procurement). 4.</w:t>
      </w:r>
    </w:p>
    <w:p>
      <w:pPr>
        <w:pStyle w:val="Normal"/>
        <w:widowControl/>
        <w:rPr/>
      </w:pPr>
      <w:r>
        <w:rPr/>
        <w:t>The procuring entity shall: (a) publish the notice sufficiently in advance of the procurement to allow interested suppliers to request participation in the procurement; The adoption and maintenance of these measures by a Party should not be construed as evidence that the other Party has breached the obligations under Chapter 23 (Labor) with respect to labor. (b) provide, by the commencement of the time period for tendering, at least the information in Article 13.6.3 (c), (e), and (f) (Notices of Intended Procurement) to the qualified suppliers that it notifies as specified in Article 13.13.3(b) (Time Periods); and (c) allow all qualified suppliers to submit a tender, unless the procuring entity stated in the notice of intended procurement a limitation on the number of suppliers that will be permitted to tender and the criteria or justification for selecting the limited number of suppliers. 5.</w:t>
      </w:r>
    </w:p>
    <w:p>
      <w:pPr>
        <w:pStyle w:val="Normal"/>
        <w:widowControl/>
        <w:rPr/>
      </w:pPr>
      <w:r>
        <w:rPr/>
        <w:t>If the tender documentation is not made publicly available from the date of publication of the notice referred to in paragraph 3, the procuring entity shall ensure that the tender documentation is made available at the same time to all the qualified suppliers selected in accordance with paragraph 4(c). Multi-Use Lists 6. A Party, including its procuring entities, may establish or maintain a multi-use list provided that it publishes annually, or otherwise makes continuously available by electronic means, a notice inviting interested suppliers to apply for inclusion on the list.</w:t>
      </w:r>
    </w:p>
    <w:p>
      <w:pPr>
        <w:pStyle w:val="Normal"/>
        <w:widowControl/>
        <w:rPr/>
      </w:pPr>
      <w:r>
        <w:rPr/>
        <w:t>The notice shall include: (a) a description of the goods and services, or categories thereof, for which the list may be used; (b) the conditions for participation to be satisfied by suppliers for inclusion on the list and the methods that the procuring entity or other government agency will use to verify a supplier’s satisfaction of those conditions; (c) the name and address of the procuring entity or other government agency and other information necessary to contact the procuring entity and to obtain all relevant documents relating to the list; (d) the period of validity of the list and the means for its renewal or termination or, if the period of validity is not provided, an indication of the method by which notice will be given of the termination of use of the list;</w:t>
      </w:r>
    </w:p>
    <w:p>
      <w:pPr>
        <w:pStyle w:val="Normal"/>
        <w:widowControl/>
        <w:rPr/>
      </w:pPr>
      <w:r>
        <w:rPr/>
        <w:t>(e) the deadline for submission of applications for inclusion on the list, if applicable; and (f) an indication that the list may be used for procurement covered by this Chapter, unless that indication is publicly available through information published pursuant to Article 13.5.2 (Publication of Procurement Information). 7. A Party, including its procuring entities, that establishes or maintains a multi-use list, shall include on the list, within a reasonable period of time, all suppliers that satisfy the conditions for participation set out in the notice referred to in paragraph 6. 8.</w:t>
      </w:r>
    </w:p>
    <w:p>
      <w:pPr>
        <w:pStyle w:val="Normal"/>
        <w:widowControl/>
        <w:rPr/>
      </w:pPr>
      <w:r>
        <w:rPr/>
        <w:t>If a supplier that is not included on a multi-use list submits a request for participation in a procurement based on the multi-use list and submits all required documents, within the time period provided for in Article 13.13.2 (Time Periods), a procuring entity shall examine the request. The procuring entity shall not exclude the supplier from consideration in respect of the procurement unless the procuring entity is not able to complete the examination of the request within the time period allowed for the submission of tenders. Information on Procuring Entity Decisions 9. A procuring entity or other entity of a Party shall promptly inform any supplier that submits a request for participation in a procurement or application for inclusion on a multi-use list of the decision with respect to the request or application. 10. If a procuring entity or other entity of a Party rejects a supplier’s request for participation or application for inclusion on a multi-use list, ceases to recognize a supplier as qualified, or removes a supplier from a multi-use list, the entity shall promptly inform the supplier and on request of the supplier, promptly provide the supplier with a written explanation of the reason for its decision.</w:t>
      </w:r>
    </w:p>
    <w:p>
      <w:pPr>
        <w:pStyle w:val="Normal"/>
        <w:keepNext w:val="true"/>
        <w:widowControl/>
        <w:rPr/>
      </w:pPr>
      <w:r>
        <w:rPr/>
        <w:t>Article 13.9: Limited Tendering 1. Provided that it does not use this provision for the purpose of avoiding competition between suppliers, to protect domestic suppliers, or in a manner that discriminates against suppliers of the other Party, a procuring entity may use limited tendering. 2. If a procuring entity uses limited tendering, it may choose, according to the nature of the procurement, not to apply Article 13.6 (Notices of Intended Procurement), Article 13.7 (Conditions for Participation), Article 13.8 (Qualification of Suppliers), Article 13.10 (Negotiations), Article 13.11 (Technical Specifications), Article 13.12 (Tender Documentation), Article 13.13 (Time Periods), or Article 13.14 (Treatment of Tenders and Awarding of Contracts). A procuring entity may use limited tendering only under the following circumstances: (a) if, in response to a prior notice, invitation to participate, or invitation to tender:</w:t>
      </w:r>
    </w:p>
    <w:p>
      <w:pPr>
        <w:pStyle w:val="Normal"/>
        <w:widowControl/>
        <w:rPr/>
      </w:pPr>
      <w:r>
        <w:rPr/>
        <w:t>(i) no tenders were submitted or no suppliers requested participation, (ii) no tenders were submitted that conform to the essential requirements in the tender documentation, (iii) no suppliers satisfied the conditions for participation, or (iv) the tenders submitted were collusive, provided that the procuring entity does not substantially modify the essential requirements set out in the notices or tender documentation; (b) if the good or service can be supplied only by a particular supplier and no reasonable alternative or substitute good or service exists for any</w:t>
      </w:r>
    </w:p>
    <w:p>
      <w:pPr>
        <w:pStyle w:val="Normal"/>
        <w:widowControl/>
        <w:rPr/>
      </w:pPr>
      <w:r>
        <w:rPr/>
        <w:t>of the following reasons: (i) the requirement is for a work of art, (ii) the protection of patents, copyrights, or other exclusive rights, or (iii) due to an absence of competition for technical reasons; (c) for additional deliveries by the original supplier or its authorized agents, of goods or services that were not included in the initial procurement if a change of supplier for such additional goods or services: (i) cannot be made for technical reasons such as requirements of interchangeability or interoperability with existing equipment, software, services, or installations procured under the initial procurement, or due to conditions under original supplier warranties, and (ii) would cause significant inconvenience or substantial duplication of costs for the procuring entity; (d) for a good purchased on a commodity market or exchange; (e) if a procuring entity procures a prototype or a first good or service that is intended for limited trial or that is developed at its request in the course of, and for, a particular contract for research, experiment, study, or original development.</w:t>
      </w:r>
    </w:p>
    <w:p>
      <w:pPr>
        <w:pStyle w:val="Normal"/>
        <w:widowControl/>
        <w:rPr/>
      </w:pPr>
      <w:r>
        <w:rPr/>
        <w:t>Original development of a prototype or a first good or service may include limited production or supply in order to incorporate the results of field testing and to demonstrate that the prototype or the first good or service is suitable for production or supply in quantity to acceptable quality standards, but does not include quantity production or supply to establish commercial viability or to recover research and development costs; (f) for purchases made under exceptionally advantageous conditions that only arise in the very short term, such as from unusual disposals, liquidation, bankruptcy, or receivership, but not for routine purchases from regular suppliers; (g) if a contract is awarded to the winner of a design contest, provided that: (i) the contest has been organized in a manner that is consistent with this Chapter, and (ii) the contest is judged by an independent jury with a view to award a design contract to the winner; or (h) in so far as is strictly necessary if, for reasons of extreme urgency brought about by events unforeseeable by the procuring entity, the good or service could not be obtained in time by means of open or selective tendering. 3.</w:t>
      </w:r>
    </w:p>
    <w:p>
      <w:pPr>
        <w:pStyle w:val="Normal"/>
        <w:widowControl/>
        <w:rPr/>
      </w:pPr>
      <w:r>
        <w:rPr/>
        <w:t>For each contract awarded in accordance with paragraph 2, a procuring entity shall prepare a report in writing, or maintain a record, that includes the name of the procuring entity, the value and kind of good or service procured, and a statement that indicates the circumstances and conditions described in paragraph 2 that justified the use of limited tendering.</w:t>
      </w:r>
    </w:p>
    <w:p>
      <w:pPr>
        <w:pStyle w:val="Normal"/>
        <w:keepNext w:val="true"/>
        <w:widowControl/>
        <w:rPr/>
      </w:pPr>
      <w:r>
        <w:rPr/>
        <w:t>Article 13.10: Negotiations 1. A Party may provide for its procuring entities to conduct negotiations in the context of covered procurement if: (a) the procuring entity has indicated its intent to conduct negotiations in the notice of intended procurement required under Article 13.6 (Notices of Intended Procurement); or (b) it appears from the evaluation that no tender is obviously the most advantageous in terms of the specific evaluation criteria set out in the notice of intended procurement or tender documentation. 2. A procuring entity shall: (a) ensure that any elimination of suppliers participating in negotiations is carried out in accordance with the evaluation criteria set out in the notice of intended procurement or tender documentation; and (b) when negotiations are concluded, provide a common deadline for the remaining participating suppliers to submit any new or revised tenders.</w:t>
      </w:r>
    </w:p>
    <w:p>
      <w:pPr>
        <w:pStyle w:val="Normal"/>
        <w:keepNext w:val="true"/>
        <w:widowControl/>
        <w:rPr/>
      </w:pPr>
      <w:r>
        <w:rPr/>
        <w:t>Article 13.11: Technical Specifications 1. A procuring entity shall not prepare, adopt, or apply any technical specification or prescribe any conformity assessment procedure with the purpose or effect of creating an unnecessary obstacle to trade between the Parties. 2. In prescribing the technical specifications for the good or service being procured, a procuring entity shall, if appropriate: (a) set out the technical specifications in terms of performance and functional requirements, rather than design or descriptive characteristics; and (b) base the technical specifications on international standards, if these exist; otherwise, on national technical regulations, recognized national, standards or building codes. 3. A procuring entity shall not prescribe technical specifications that require or refer to a particular trademark or trade name, patent, copyright, design, type, specific origin, producer, or supplier, unless there is no other sufficiently precise or intelligible way of describing the procurement requirements and provided that, in these cases, the procuring entity includes words such as “or equivalent” in the tender documentation. 4.</w:t>
      </w:r>
    </w:p>
    <w:p>
      <w:pPr>
        <w:pStyle w:val="Normal"/>
        <w:widowControl/>
        <w:rPr/>
      </w:pPr>
      <w:r>
        <w:rPr/>
        <w:t>A procuring entity shall not seek or accept, in a manner that would have the effect of precluding competition, advice that may be used in the preparation or adoption of any technical specification for a specific procurement from a person that may have a commercial interest in the procurement. 5.</w:t>
      </w:r>
    </w:p>
    <w:p>
      <w:pPr>
        <w:pStyle w:val="Normal"/>
        <w:widowControl/>
        <w:rPr/>
      </w:pPr>
      <w:r>
        <w:rPr/>
        <w:t>For greater certainty, a procuring entity may conduct market research in developing specifications for a particular procurement. 6. For greater certainty, this Article is not intended to preclude a procuring entity from preparing, adopting, or applying technical specifications to promote the conservation of natural resources or the protection of the environment. 7. For greater certainty, this Chapter is not intended to preclude a Party, or its procuring entities, from preparing, adopting, or applying technical specifications required to protect sensitive government information, including specifications that may affect or limit the storage, hosting, or processing of such information outside the territory of the Party.</w:t>
      </w:r>
    </w:p>
    <w:p>
      <w:pPr>
        <w:pStyle w:val="Normal"/>
        <w:keepNext w:val="true"/>
        <w:widowControl/>
        <w:rPr/>
      </w:pPr>
      <w:r>
        <w:rPr/>
        <w:t>Article 13.12: Tender Documentation 1. A procuring entity shall promptly make available or provide on request to any interested supplier tender documentation that includes all information necessary to permit the supplier to prepare and submit a responsive tender. Unless already provided in the notice of intended procurement, that tender documentation shall include a complete description of: (a) the procurement, including the nature, scope and, if known, the quantity of the good or service to be procured or, if the quantity is not known, the estimated quantity and any requirements to be fulfilled, including any technical specifications, conformity certification, plans, drawings, or instructional materials; (b) any conditions for participation, including any financial guarantees, information, and documents that suppliers are required to submit; (c) all criteria to be considered in the awarding of the contract and the relative importance of those criteria; (d) if there will be a public opening of tenders, the date, time, and place for the opening; (e) any other terms or conditions relevant to the evaluation of tenders; and (f) any date for delivery of a good or supply of a service. 2.</w:t>
      </w:r>
    </w:p>
    <w:p>
      <w:pPr>
        <w:pStyle w:val="Normal"/>
        <w:widowControl/>
        <w:rPr/>
      </w:pPr>
      <w:r>
        <w:rPr/>
        <w:t>In establishing any date for the delivery of a good or the supply of a service being procured, a procuring entity shall take into account factors such as the complexity of the procurement, the extent of subcontracting anticipated, and the realistic time required for production, de-stocking, and transport of goods from the point of supply or for supply of services. 3. A procuring entity shall promptly reply to any reasonable request for relevant information by an interested or participating supplier, provided that the information does not give that supplier an advantage over other suppliers. Modifications 4. If, prior to the award of a contract, a procuring entity modifies the evaluation criteria or requirements set out in a notice of intended procurement or tender documentation provided to a participating supplier, or amends, or re-issues a notice or tender documentation, it shall publish or provide those modifications, or the amended or re-issued notice or tender documentation:</w:t>
      </w:r>
    </w:p>
    <w:p>
      <w:pPr>
        <w:pStyle w:val="Normal"/>
        <w:widowControl/>
        <w:rPr/>
      </w:pPr>
      <w:r>
        <w:rPr/>
        <w:t>(a) to all suppliers that are participating in the procurement at the time of the modification, amendment, or re-issuance, if those suppliers are known to the procuring entity, and in all other cases, in the same manner as the original information was made available; and (b) in adequate time to allow those suppliers to modify and re-submit their initial tender, if appropriate.</w:t>
      </w:r>
    </w:p>
    <w:p>
      <w:pPr>
        <w:pStyle w:val="Normal"/>
        <w:keepNext w:val="true"/>
        <w:widowControl/>
        <w:rPr/>
      </w:pPr>
      <w:r>
        <w:rPr/>
        <w:t>Article 13.13: Time Periods General 1. A procuring entity shall, consistent with its own reasonable needs, provide sufficient time for a supplier to obtain the tender documentation and to prepare and submit a request for participation and a responsive tender, taking into account factors such as: (a) the nature and complexity of the procurement; and (b) the time necessary for transmitting tenders by non-electronic means from foreign as well as domestic points if electronic means are not used. Deadlines 2. A procuring entity that uses selective tendering shall establish that the final date for the submission of a request for participation shall not, in principle, be less than 25 days from the date of publication of the notice of intended procurement. If a state of urgency duly substantiated by the procuring entity renders this time period impracticable, the time period may be reduced to no less than 10 days. 3.</w:t>
      </w:r>
    </w:p>
    <w:p>
      <w:pPr>
        <w:pStyle w:val="Normal"/>
        <w:widowControl/>
        <w:rPr/>
      </w:pPr>
      <w:r>
        <w:rPr/>
        <w:t>Except as provided in paragraphs 4 and 5, a procuring entity shall establish that the final date for the submission of tenders shall not be less than 40 days from the date on which: (a) in the case of open tendering, the notice of intended procurement is published; or (b) in the case of selective tendering, the procuring entity notifies the suppliers that they will be invited to submit tenders, whether or not it uses a multi-use list. 4.</w:t>
      </w:r>
    </w:p>
    <w:p>
      <w:pPr>
        <w:pStyle w:val="Normal"/>
        <w:widowControl/>
        <w:rPr/>
      </w:pPr>
      <w:r>
        <w:rPr/>
        <w:t>A procuring entity may reduce the time period for tendering set out in paragraph 3 by five days for each one of the following circumstances: (a) the notice of intended procurement is published by electronic means; (b) the tender documentation is made available by electronic means from the date of the publication of the notice of intended procurement; and (c) the procuring entity accepts tenders by electronic means. 5. A procuring entity may reduce the time period for tendering set out in paragraph 3 to no less than 10 days if: (a) the procuring entity has published a notice of planned procurement under Article 13.6 (Notices of Intended Procurement) at least 40 days and no more than 12 months in advance of the publication of the notice of intended procurement, and the notice of planned procurement contains:</w:t>
      </w:r>
    </w:p>
    <w:p>
      <w:pPr>
        <w:pStyle w:val="Normal"/>
        <w:widowControl/>
        <w:rPr/>
      </w:pPr>
      <w:r>
        <w:rPr/>
        <w:t>(i) a description of the procurement, (ii) the approximate final dates for the submission of tenders or requests for participation, (iii) the address from which documents relating to the procurement may be obtained, and (iv) as much of the information that is required for the notice of intended procurement as is available; (b) a state of urgency duly substantiated by the procuring entity renders impracticable the time period for tendering set out in paragraph 3; or (c) the procuring entity procures commercial goods or services. 6.</w:t>
      </w:r>
    </w:p>
    <w:p>
      <w:pPr>
        <w:pStyle w:val="Normal"/>
        <w:widowControl/>
        <w:rPr/>
      </w:pPr>
      <w:r>
        <w:rPr/>
        <w:t>The use of paragraph 4, in conjunction with paragraph 5, shall in no case result in the reduction of the time periods for tendering set out in paragraph 3 to less than 10 days. 7. A procuring entity shall require all interested or participating suppliers to submit requests for participation or tenders in accordance with a common deadline. These time periods, and any extension of these time periods, shall be the same for all interested or participating suppliers.</w:t>
      </w:r>
    </w:p>
    <w:p>
      <w:pPr>
        <w:pStyle w:val="Normal"/>
        <w:keepNext w:val="true"/>
        <w:widowControl/>
        <w:rPr/>
      </w:pPr>
      <w:r>
        <w:rPr/>
        <w:t>Article 13.14: Treatment of Tenders and Awarding of Contracts Treatment of Tenders 1. A procuring entity shall receive, open and treat all tenders under procedures that guarantee the fairness and impartiality of the procurement process and the confidentiality of tenders. 2. If the tender of a supplier is received after the time specified for receiving tenders, the procuring entity shall not penalize that supplier if the delay is due solely to the mishandling on the part of the procuring entity. 3. If a procuring entity provides a supplier with an opportunity to correct unintentional errors of form between the opening of tenders and the awarding of the contract, the procuring entity shall provide the same opportunity to all participating suppliers. Awarding of Contracts 4. To be considered for an award, a tender shall be submitted in writing and shall, at the time of opening, comply with the essential requirements set out in the notice and tender documentation and be submitted by a supplier who satisfies the conditions for participation. 5.</w:t>
      </w:r>
    </w:p>
    <w:p>
      <w:pPr>
        <w:pStyle w:val="Normal"/>
        <w:widowControl/>
        <w:rPr/>
      </w:pPr>
      <w:r>
        <w:rPr/>
        <w:t>Unless a procuring entity determines that it is not in the public interest to award a contract, it shall award the contract to the supplier that the procuring entity has determined to be fully capable of fulfilling the terms of the contract and that, based solely on the evaluation criteria specified in the notice and tender documentation, submits: (a) the most advantageous tender; or (b) if price is the sole criterion, the lowest price. 6.</w:t>
      </w:r>
    </w:p>
    <w:p>
      <w:pPr>
        <w:pStyle w:val="Normal"/>
        <w:widowControl/>
        <w:rPr/>
      </w:pPr>
      <w:r>
        <w:rPr/>
        <w:t>If a procuring entity received a tender with a price that is abnormally lower than the prices in other tenders submitted, it may verify with the supplier that it satisfies the conditions for participation and is capable of fulfilling the terms of the contract. 7. A procuring entity shall not use options, cancel a covered procurement, or modify or terminate awarded contracts in order to avoid the obligations of this Chapter.</w:t>
      </w:r>
    </w:p>
    <w:p>
      <w:pPr>
        <w:pStyle w:val="Normal"/>
        <w:keepNext w:val="true"/>
        <w:widowControl/>
        <w:rPr/>
      </w:pPr>
      <w:r>
        <w:rPr/>
        <w:t>Article 13.15: Transparency and Post-Award Information Information Provided to Suppliers 1. A procuring entity shall promptly inform suppliers that have submitted a tender of the contract award decision. The procuring entity may do so in writing or through the prompt publication of the notice in paragraph 3, provided that the notice includes the date of award. If a supplier has requested the information in writing, the procuring entity shall provide it in writing. 2. Subject to Article 13.16 (Disclosure of Information), a procuring entity shall, on request, provide an unsuccessful supplier with an explanation of the reasons why the procuring entity did not select the unsuccessful supplier’s tender or an explanation of the relative advantages of the successful supplier’s tender. Publication of Award Information 3.</w:t>
      </w:r>
    </w:p>
    <w:p>
      <w:pPr>
        <w:pStyle w:val="Normal"/>
        <w:widowControl/>
        <w:rPr/>
      </w:pPr>
      <w:r>
        <w:rPr/>
        <w:t>A procuring entity shall, promptly after the award of a contract for a covered procurement, publish in an officially designated publication a notice containing at least the following information: (a) a description of the good or service procured; (b) the name and address of the procuring entity; (c) the name and address of the successful supplier; (d) the value of the contract award; (e) the date of award or, if the procuring entity has already informed suppliers of the date of the award under paragraph 1, the contract date; and (f) the procurement method used and, if a procedure was used pursuant to Article 13.9 (Limited Tendering), a brief description of the circumstances justifying the use of that procedure. Maintenance of Records 4. A procuring entity shall maintain the documentation, records and reports relating to tendering procedures and contract awards for covered procurement, including the records and reports provided for in Article 13.9.3 (Limited Tendering), for at least three years after the award of a contract. Collection and Reporting of Statistics 5. Each Party shall prepare a statistical report on its covered procurement, and make such report publicly available on an official website.</w:t>
      </w:r>
    </w:p>
    <w:p>
      <w:pPr>
        <w:pStyle w:val="Normal"/>
        <w:widowControl/>
        <w:rPr/>
      </w:pPr>
      <w:r>
        <w:rPr/>
        <w:t>Each report shall cover one year and be available within two years of the end of the reporting period, and shall contain: (a) for Section A procuring entities: (i) the number and total value, for all such entities, of all contracts covered by this Chapter, (ii) the number and total value of all contracts covered by this Chapter awarded by each such entity, broken down by categories of goods and services according to an internationally recognized uniform classification system, and (iii) the number and total value of all contracts covered by this Chapter awarded by each such entity under limited tendering; (b) for Section B procuring entities, the number and total value of contracts covered by this Chapter awarded by all such entities; and (c) estimates for the data required under subparagraphs (a) and (b), with an explanation of the methodology used to develop the estimates, if it is not feasible to provide the data.</w:t>
      </w:r>
    </w:p>
    <w:p>
      <w:pPr>
        <w:pStyle w:val="Normal"/>
        <w:keepNext w:val="true"/>
        <w:widowControl/>
        <w:rPr/>
      </w:pPr>
      <w:r>
        <w:rPr/>
        <w:t>Article 13.16: Disclosure of Information Provision of Information to Parties 1. On request of the other Party, a Party shall provide promptly information sufficient to demonstrate whether a procurement was conducted fairly, impartially and in accordance with this Chapter, including, if applicable, information on the characteristics and relative advantages of the successful tender, without disclosing confidential information. The Party that receives the information shall not disclose it to any supplier, except after consulting with, and obtaining the agreement of, the Party that provided the information. Non-Disclosure of Information 2. Notwithstanding any other provision of this Chapter, a Party, including its procuring entities, shall not, except to the extent required by law or with the written authorization of the supplier that provided the information, disclose information that would prejudice legitimate commercial interests of a particular supplier or that might prejudice fair competition between suppliers. 3. Nothing in this Chapter shall be construed to require a Party, including its procuring entities, authorities, and review bodies, to disclose confidential information if that disclosure: (a) would impede law enforcement;</w:t>
      </w:r>
    </w:p>
    <w:p>
      <w:pPr>
        <w:pStyle w:val="Normal"/>
        <w:widowControl/>
        <w:rPr/>
      </w:pPr>
      <w:r>
        <w:rPr/>
        <w:t>(b) might prejudice fair competition between suppliers; (c) would prejudice the legitimate commercial interests of particular persons, including the protection of intellectual property; or (d) would otherwise be contrary to the public interest.</w:t>
      </w:r>
    </w:p>
    <w:p>
      <w:pPr>
        <w:pStyle w:val="Normal"/>
        <w:keepNext w:val="true"/>
        <w:widowControl/>
        <w:rPr/>
      </w:pPr>
      <w:r>
        <w:rPr/>
        <w:t>Article 13.17: Ensuring Integrity in Procurement Practices 1. Each Party shall ensure that criminal, civil, or administrative measures exist that can address corruption, fraud, and other wrongful acts in its government procurement. 2. These measures may include procedures to debar, suspend, or declare ineligible from participation in the Party’s procurements, for a stated period of time, a supplier that the Party has determined to have engaged in corruption, fraud, or other wrongful acts relevant to a supplier’s eligibility to participate in a Party’s government procurement. Each Party: (a) may consider the seriousness of the supplier’s acts or omissions and any remedial measures or mitigating factors in making any decisions on debarment or suspension, including in making a decision on whether to reduce the period or extent of debarment or suspension at the supplier’s request pursuant to paragraph 2(b)(ii); and (b) shall provide a supplier of the other Party directly implicated by a proceeding applying procedures adopted or maintained under paragraph 2:</w:t>
      </w:r>
    </w:p>
    <w:p>
      <w:pPr>
        <w:pStyle w:val="Normal"/>
        <w:widowControl/>
        <w:rPr/>
      </w:pPr>
      <w:r>
        <w:rPr/>
        <w:t>(i) reasonable notice that the proceeding was initiated, including a description of the nature of the proceeding, a statement of the authority under which the proceeding was initiated, and the reasons for the proceeding, and (ii) reasonable opportunity to present facts and arguments in support of its position; and (c) shall publish and update a list of enterprises and, subject to its law, natural persons it has debarred,</w:t>
      </w:r>
    </w:p>
    <w:p>
      <w:pPr>
        <w:pStyle w:val="Normal"/>
        <w:widowControl/>
        <w:rPr/>
      </w:pPr>
      <w:r>
        <w:rPr/>
        <w:t>suspended, or declared ineligible. 3. Each Party shall ensure that it has in place policies or procedures to address potential conflicts of interest on the part of those engaged in or having influence over a procurement. 4. Each Party may also put in place policies or procedures, including provisions in tender documentation, that require successful suppliers to maintain and enforce effective internal controls, business ethics, and compliance programs, taking into account the size of the supplier, particularly SMEs, and other relevant factors, for preventing and detecting corruption, fraud, and other wrongful acts.</w:t>
      </w:r>
    </w:p>
    <w:p>
      <w:pPr>
        <w:pStyle w:val="Normal"/>
        <w:keepNext w:val="true"/>
        <w:widowControl/>
        <w:rPr/>
      </w:pPr>
      <w:r>
        <w:rPr/>
        <w:t>Article 13.18: Domestic Review 1. Each Party shall maintain, establish, or designate at least one impartial administrative or judicial authority (review authority) that is independent of its procuring entities to review, in a non-discriminatory, timely, transparent, and effective manner, a challenge or complaint (complaint) by a supplier that there has been: (a) a breach of this Chapter; or (b) if the supplier does not have a right to directly challenge a breach of this Chapter under the law of a Party, a failure of a procuring entity to comply with the Party’s measures implementing this Chapter, arising in the context of a covered procurement, in which the supplier has, or had, an interest. The procedural rules for these complaints shall be in writing and made generally available. 2.</w:t>
      </w:r>
    </w:p>
    <w:p>
      <w:pPr>
        <w:pStyle w:val="Normal"/>
        <w:widowControl/>
        <w:rPr/>
      </w:pPr>
      <w:r>
        <w:rPr/>
        <w:t>In the event of a complaint by a supplier, arising in the context of covered procurement in which the supplier has, or had, an interest, that there has been a breach or a failure as referred to in paragraph 1, the Party of the procuring entity conducting the procurement shall encourage, if appropriate, the procuring entity and the supplier to seek resolution of the complaint through consultations. The procuring entity shall accord impartial and timely consideration to the complaint in a manner that is not prejudicial to the supplier’s participation in ongoing or future procurement or to its right to seek corrective measures under the administrative or judicial review procedure.</w:t>
      </w:r>
    </w:p>
    <w:p>
      <w:pPr>
        <w:pStyle w:val="Normal"/>
        <w:widowControl/>
        <w:rPr/>
      </w:pPr>
      <w:r>
        <w:rPr/>
        <w:t>Each Party shall make information on its complaint mechanisms generally available. 3. If a body other than the review authority initially reviews a complaint, a Party shall ensure that the supplier may appeal the initial decision to the review authority that is independent of the procuring entity that is the subject of the complaint. 4. If the review authority has determined that there has been a breach or a failure as referred to in paragraph 1, a Party may limit compensation for the loss or damages suffered to either the costs reasonably incurred in the preparation of the tender or in bringing the complaint, or both. 5. Each Party shall ensure that, if the review authority is not a court, its review procedures are conducted in accordance with the following procedures: (a) a supplier shall be allowed sufficient time to prepare and submit a complaint in writing, which in no case shall be less than 10 days from the time when the basis of the complaint became known or reasonably should have become known to the supplier;</w:t>
      </w:r>
    </w:p>
    <w:p>
      <w:pPr>
        <w:pStyle w:val="Normal"/>
        <w:widowControl/>
        <w:rPr/>
      </w:pPr>
      <w:r>
        <w:rPr/>
        <w:t>(b) a procuring entity shall respond in writing to a supplier’s complaint and provide all relevant documents to the review authority; (c) a supplier that initiates a complaint shall be provided an opportunity to reply to the procuring entity’s response before the review authority takes a decision on the complaint; and (d) the review authority shall provide its decision on a supplier’s complaint in a timely manner, in writing, with an explanation of the basis</w:t>
      </w:r>
    </w:p>
    <w:p>
      <w:pPr>
        <w:pStyle w:val="Normal"/>
        <w:widowControl/>
        <w:rPr/>
      </w:pPr>
      <w:r>
        <w:rPr/>
        <w:t>for the decision. 6. Each Party shall adopt or maintain procedures that provide for: (a) prompt interim measures, pending the resolution of a complaint, to preserve the supplier’s opportunity to participate in the procurement and to ensure that the procuring entities of the Party comply with its measures implementing this Chapter; and (b) corrective action that may include compensation under paragraph 4. The procedures may provide that overriding adverse consequences for the interests concerned, including the public interest, may be taken into account when deciding whether those measures should be applied. Just cause for not acting shall be provided in writing.</w:t>
      </w:r>
    </w:p>
    <w:p>
      <w:pPr>
        <w:pStyle w:val="Normal"/>
        <w:keepNext w:val="true"/>
        <w:widowControl/>
        <w:rPr/>
      </w:pPr>
      <w:r>
        <w:rPr/>
        <w:t>Article 13.19: Modifications and Rectifications of Annex 1. A Party shall notify any proposed modification or rectification (modification) to its Schedule to Annex 13-A by circulating a notice in writing to the other Party through the Agreement Coordinator designated under Article 30.5 (Agreement Coordinator and Contact Points). A Party shall provide compensatory adjustments for a change in coverage if necessary to maintain a level of coverage comparable to the coverage that existed prior to the modification. The Party may include the offer of compensatory adjustment in its notice. 2. A Party is not required to provide compensatory adjustments to the other Party if the proposed modification concerns one of the following: (a) a procuring entity over which the Party has effectively eliminated its control or influence in respect of covered procurement by that procuring entity; or (b) rectifications of a purely formal nature and minor modifications to its Schedule to Annex 13-A, such as:</w:t>
      </w:r>
    </w:p>
    <w:p>
      <w:pPr>
        <w:pStyle w:val="Normal"/>
        <w:widowControl/>
        <w:rPr/>
      </w:pPr>
      <w:r>
        <w:rPr/>
        <w:t>(i) changes in the name of a procuring entity, (ii) the merger of one or more procuring entities listed in its Schedule, (iii) the separation of a procuring entity listed in its Schedule into two or more procuring entities that are all added to the procuring entities listed in the same Section of the Annex, or (iv) changes in website references, and the other Party does not object under paragraph 3 on the basis that the proposed modification does not concern subparagraph (a) or (b). 3.</w:t>
      </w:r>
    </w:p>
    <w:p>
      <w:pPr>
        <w:pStyle w:val="Normal"/>
        <w:widowControl/>
        <w:rPr/>
      </w:pPr>
      <w:r>
        <w:rPr/>
        <w:t>A Party whose rights under this Chapter may be affected by a proposed modification that is notified under paragraph 1 shall notify the other Party of any objection to the proposed modification within 45 days of the date of circulation of the notice. 4. If a Party objects to a proposed modification, including a modification regarding a procuring entity on the basis that government control or influence over the entity’s covered procurement has been effectively eliminated, that Party may request additional information, including information on the nature of any government control or influence, with a view to clarifying and reaching agreement on the proposed modification, including the procuring entity’s continued coverage under this Chapter. The modifying Party and the objecting Party shall make every attempt to resolve the objection through consultations. 5. The Commission shall modify Annex 13-A to reflect any agreed modification.</w:t>
      </w:r>
    </w:p>
    <w:p>
      <w:pPr>
        <w:pStyle w:val="Normal"/>
        <w:keepNext w:val="true"/>
        <w:widowControl/>
        <w:rPr/>
      </w:pPr>
      <w:r>
        <w:rPr/>
        <w:t>Article 13.20: Facilitation of Participation by SMEs 1. The Parties recognize the important contribution that SMEs can make to economic growth and employment and the importance of facilitating the participation of SMEs in government procurement. 2. If a Party maintains a measure that provides preferential treatment for SMEs, the Party shall ensure that the measure, including the criteria for eligibility, is transparent. 3. To facilitate participation by SMEs in covered procurement, each Party shall, to the extent possible and if appropriate: (a) provide comprehensive procurement-related information that includes a definition of SMEs in a single electronic portal; (b) endeavor to make all tender documentation available free of charge; (c) conduct procurement by electronic means or through other new information and communication technologies; and (d) consider the size, design, and structure of the procurement, including the use of subcontracting by SMEs.</w:t>
      </w:r>
    </w:p>
    <w:p>
      <w:pPr>
        <w:pStyle w:val="Normal"/>
        <w:keepNext w:val="true"/>
        <w:widowControl/>
        <w:rPr/>
      </w:pPr>
      <w:r>
        <w:rPr/>
        <w:t>Article 13.21: Committee on Government Procurement 1. The Parties hereby establish a Committee on Government Procurement (Government Procurement Committee), composed of government representatives of each Party. On request of a Party, the Government Procurement Committee shall meet to address matters related to the implementation and operation of this Chapter, such as: (a) facilitation of participation by SMEs in covered procurement, as provided for in Article 13.20 (Facilitation of Participation by SMEs); (b) experiences and best practices in the use and adoption of information technology in conducting covered procurement. This could include topics such as the use of digital modeling in construction services; and (c) experiences and best practices in the use and adoption of measures to promote opportunities for socially or economically disadvantaged people when conducting covered procurement.</w:t>
      </w:r>
    </w:p>
    <w:p>
      <w:pPr>
        <w:pStyle w:val="Normal"/>
        <w:widowControl/>
        <w:rPr/>
      </w:pPr>
      <w:r>
        <w:rPr/>
        <w:t>ANNEX 13-A SCHEDULE OF MEXICO Section A: Central Government Entities Thresholds: Unless otherwise specified, Chapter 13 (Government Procurement) covers procurement by entities listed in this Section, in accordance with the following thresholds: US$80,317 Goods and Services US$10,441,216 Construction Services The thresholds set out in this paragraph shall be adjusted in accordance with Section G (Threshold Adjustment Formula) of this Schedule. List of Entities: 1. Secretaría de Agricultura, Ganadería, Desarrollo Rural, Pesca y Alimentación (Ministry of Agriculture, Livestock, Rural Development, Fisheries and Feeding) and the following entities: (a) Agencia de Servicios a la Comercialización y Desarrollo de Mercados Agropecuarios (Support Services for Agricultural Marketing); (b) Comisión Nacional de Acuacultura y Pesca (National Commission of Aquaculture and Fisheries); (c) Instituto Nacional de Investigaciones Forestales, Agrícolas y Pecuarias (National Forestry, Agriculture and Cattle Research Institute); (d) Instituto Nacional de Pesca (National Institute of Fisheries); (e) Servicio de Información Agroalimentaria y Pesquera (Information Service and Agro-alimentary and Fisheries Statistics); (f) Servicio Nacional de Inspección y Certificación de Semillas (National Service of Inspection and Certification of Seeds); and (g) Servicio Nacional de Sanidad, Inocuidad y Calidad Agroalimentaria (National Service of Health, Innocuous and Agro-alimentary Quality) 13-A-1 2.</w:t>
      </w:r>
    </w:p>
    <w:p>
      <w:pPr>
        <w:pStyle w:val="Normal"/>
        <w:widowControl/>
        <w:rPr/>
      </w:pPr>
      <w:r>
        <w:rPr/>
        <w:t>Secretaría de Comunicaciones y Transportes (Ministry of Communication and Transportation) and the following entity: (a) Instituto Mexicano del Transporte (Mexican Institute of Transportation) 3. Secretaría de la Defensa Nacional (Ministry of National Defense) 4. Secretaría de Desarrollo Agrario, Territorial y Urbano (Ministry of Agrarian Territorial and Urban Development) and the following entities: (a) Comisión Nacional de Vivienda (National Housing Commission); (b) Procuraduría Agraria (Agrarian Office of the Attorney); and (c) Registro Agrario Nacional (National Agrarian Registry) 5. Secretaría de Desarrollo Social (Ministry of Social Development) and the following entity: (a) Coordinación Nacional de PROSPERA (National Coordination PROSPERA) 6. Secretaría de Economía (Ministry of Economy) and the following entities: (a) Comisión Nacional de Mejora Regulatoria (National Commission of Regulatory Improvement); and (b) Instituto Nacional del Emprendedor (National Entreprenuer Institute) 7.</w:t>
      </w:r>
    </w:p>
    <w:p>
      <w:pPr>
        <w:pStyle w:val="Normal"/>
        <w:widowControl/>
        <w:rPr/>
      </w:pPr>
      <w:r>
        <w:rPr/>
        <w:t>Secretaría de Educación Pública (Ministry of Public Education) and the following entities: (a) Comisión Nacional de Cultura Física y Deporte (National Physical Culture and Sports Commission); (b) Consejo Nacional para la Cultura y las Artes (National Council for Culture and Arts); (c) Instituto Nacional de Antropología e Historia (National Institute of Anthropology and History); (d) Instituto Nacional de Bellas Artes y Literatura (National Institute of Fine Arts and Literature); (e) Instituto Nacional del Derecho de Autor (National Institute for Copyrights); (f) Instituto Nacional de Estudios Históricos de las Revoluciones de México 13-A-2 (National Institute of Historical Studies of Mexican Revolutions); and (g) Radio Educación (Radio Education) 8. Secretaría de Energía (Ministry of Energy) and the following entities: (a) Comisión Nacional de Seguridad Nuclear y Salvaguardias (National Commission on Nuclear Safety and Safeguards); (b) Comisión Nacional para el Uso Eficiente de la Energía (National Commission for Energy Conservation); and (c) Comisión Reguladora de Energía (Regulatory Commission of Energy) 9. Secretaría de la Función Pública (Ministry of Public Administration) 10.</w:t>
      </w:r>
    </w:p>
    <w:p>
      <w:pPr>
        <w:pStyle w:val="Normal"/>
        <w:widowControl/>
        <w:rPr/>
      </w:pPr>
      <w:r>
        <w:rPr/>
        <w:t>Secretaría de Gobernación (Ministry of Government) and the following entities: (a) Archivo General de la Nación (General Archives of the Nation); (b) Centro Nacional de Prevención de Desastres (National Disaster Prevention Center); (c) Centro de Producción de Programas Informativos y Especiales (Production Center for Informative Programs and Specials); (d) Coordinación General de la Comisión Mexicana de Ayuda a Refugiados (General Coordination of the Mexican Commission on Refugee Assistance); (e) Instituto Nacional de Migración (National Institute of Migration); (f) Instituto Nacional para el Federalismo y el Desarrollo Municipal (National Institute for Federalism and Municipal Development); (g) Policía Federal (Federal Police); (h) Prevención y Readaptación Social (Prevention and Social Readaptation); (i) Secretariado Ejecutivo del Sistema Nacional de Seguridad Pública (Executive Secretariat of the Public Security National System); (j) Secretaría General del Consejo Nacional de Población (General Secretary of the National Population Council); and (k) Secretaría Técnica de la Comisión Calificadora de Publicaciones y Revistas Ilustradas (Technical Secretary of Illustrated Periodicals and Publications Examining Commission) 13-A-3 11.</w:t>
      </w:r>
    </w:p>
    <w:p>
      <w:pPr>
        <w:pStyle w:val="Normal"/>
        <w:widowControl/>
        <w:rPr/>
      </w:pPr>
      <w:r>
        <w:rPr/>
        <w:t>Secretaría de Hacienda y Crédito Público (Ministry of Finance and Public Credit) and the following entities: (a) Comisión Nacional Bancaria y de Valores (National Banking and Securities Commission); (b) Comisión Nacional de Seguros y Fianzas (National Commission of Insurance and Guarantees); (c) Comisión Nacional del Sistema de Ahorro para el Retiro (National Commission of the Saving System for Retirement); (d) Servicio de Administración y Enajenación Bienes (Assets Management and Disposition Agency); and (e) Servicio de Administración Tributaria (Tax Administration Service) 12. Secretaría de Marina (Ministry of Navy) 13. Secretaría de Medio Ambiente y Recursos Naturales (Ministry of Environment and Natural Resources) and the following entities: (a) Instituto Mexicano de Tecnología del Agua (Mexican Water Technology Institute); and (b) Instituto Nacional de Ecología y Cambio Climático (National Institute of Ecology and Climate Change) 14. Secretaría de Relaciones Exteriores (Ministry of Foreign Relations) 15.</w:t>
      </w:r>
    </w:p>
    <w:p>
      <w:pPr>
        <w:pStyle w:val="Normal"/>
        <w:widowControl/>
        <w:rPr/>
      </w:pPr>
      <w:r>
        <w:rPr/>
        <w:t>Secretaría de Salud (Ministry of Health) and the following entities: (a) Administración del Patrimonio de la Beneficencia Pública (Public Charity Fund Administration); (b) Centro Nacional de Equidad de Género y Salud Reproductiva (National Centre of Reproductive Health and Gender Equity); (c) Centro Nacional de Trasplantes (National Transplants Center); (d) Centro Nacional de la Transfusión Sanguínea (National Blood Transfusion Center); (e) Centro Nacional para la Prevención y Control del VIH/SIDA (National Center for the Prevention and Control of HIV/AIDS); 13-A-4 (f) Centro Nacional para la Salud de la Infancia y la Adolescencia (National Center for Health of Childhood and Adolescence); (g) Comisión Federal para la Protección contra Riesgos Sanitarios (Federal Commission for Protection against Health Risks); (h) Comisión Nacional de Arbitraje Médico (National Commission of Medical Arbitration); (i) Instituto Nacional de Rehabilitación (National Rehabilitation Institute); (j) Laboratorios de Biológicos y Reactivos de México, S.A. de C.V. (Laboratories of Biologicals and Reagents of Mexico); and (k) Servicios de Atención Psiquiátrica (Psychiatric Attention Services) 16. Secretaría del Trabajo y Previsión Social (Ministry of Labor and Social Welfare) and the following entity: (a) Procuraduría Federal de la Defensa del Trabajo (Office of the Federal Attorney for Labor Defense) 17.</w:t>
      </w:r>
    </w:p>
    <w:p>
      <w:pPr>
        <w:pStyle w:val="Normal"/>
        <w:widowControl/>
        <w:rPr/>
      </w:pPr>
      <w:r>
        <w:rPr/>
        <w:t>Secretaría de Turismo (Ministry of Tourism) and the following entity: (a) Instituto de Competitividad Turística (Institute for Tourist Competitiveness) 18. Procuraduría General de la República (Office of the Attorney General of the Republic) 19. Centro de Ingeniería y Desarrollo Industrial (Engineering and Industrial Development Center) 20. Comisión Nacional de Libros de Texto Gratuitos (National Commission of Free Textbooks) 21. Comisión Nacional de las Zonas Áridas (National Commission on Arid Zones) 22. Consejo Nacional de Fomento Educativo (National Educational Development Council) 23. Instituto Federal de Telecomunicaciones (Federal Telecomunications Institute) Note to Section A English translation of entities listed in this Section is only provided for the purposes of reference; it is not an official translation. 13-A-5 Section B: Other Entities Thresholds: Unless otherwise specified, Chapter 13 (Government Procurement) covers procurement by the entities listed in this Section, in accordance with the following thresholds: US$401,584 Goods and Services US$12,851,327 Construction Services The thresholds set out in this paragraph shall be adjusted in accordance with Section G (Threshold Adjustment Formula) of this Schedule. List of Other Entities: 1.</w:t>
      </w:r>
    </w:p>
    <w:p>
      <w:pPr>
        <w:pStyle w:val="Normal"/>
        <w:widowControl/>
        <w:rPr/>
      </w:pPr>
      <w:r>
        <w:rPr/>
        <w:t>Aeropuerto Internacional de la Ciudad de México, S.A. de C.V. (International Airport of Mexico City) 2. Aeropuertos y Servicios Auxiliares (ASA) (Airports and Auxiliary Services) 3.</w:t>
      </w:r>
    </w:p>
    <w:p>
      <w:pPr>
        <w:pStyle w:val="Normal"/>
        <w:widowControl/>
        <w:rPr/>
      </w:pPr>
      <w:r>
        <w:rPr/>
        <w:t>Caminos y Puentes Federales de Ingresos y Servicios Conexos (CAPUFE) (Federal Toll Roads and Bridges and Related Services) 4. Centro de Integración Juvenil, A.C. (Youth Integration Centers) 5. Comisión Federal de Electricidad (CFE) (Federal Electricity Commission) and the following entities: (a) Comisión Federal de Electricidad (Coorporativo) (Federal Electricity Commission –Corporate–); (b) Empresa Productiva Subsidiaria CFE Distribución (Subsidiary Productive Company CFE Distribution); (c) Empresa Productiva Subsidiaria CFE Transmisión (Subsidiary Productive Company CFE Transmission); (d) Empresa Productiva Subsidiaria CFE Generación I (Subsidiary Productive Company CFE Generation I); (e) Empresa Productiva Subsidiaria CFE Generación II (Subsidiary Productive Company CFE Generation II); 13-A-6 (f) Empresa Productiva Subsidiaria CFE Generación III (Subsidiary Productive Company CFE Generation III); (g) Empresa Productiva Subsidiaria CFE Generación IV (Subsidiary Productive Company CFE Generation IV); (h) Empresa Productiva Subsidiaria CFE Generación V (Subsidiary Productive Company CFE Generation V); (i) Empresa Productiva Subsidiaria CFE Generación VI (Subsidiary Productive Company CFE Generation VI); and (j) Empresa Productiva Subsidiaria CFE Suministrador de Servicios Básicos (Subsidiary Productive Company CFE Basic Services Provider) 6. Comisión Nacional del Agua (National Water Commission) 7. Comisión Nacional Forestal (National Forestry Commission) 8.</w:t>
      </w:r>
    </w:p>
    <w:p>
      <w:pPr>
        <w:pStyle w:val="Normal"/>
        <w:widowControl/>
        <w:rPr/>
      </w:pPr>
      <w:r>
        <w:rPr/>
        <w:t>Comisión Nacional para el Desarrollo de los Pueblos Indígenas (National Commission for the Development of Indigenous People) 9. Consejo Nacional de Ciencia y Tecnología (CONACYT) (National Science and Technology Council) 10. Consejo de Promoción Turística de México, S.A. de C.V. (México Tourism Board) 11. Distribuidora Impulsora Comercial de Conasupo S.A. de C.V. (Diconsa) (Commercial Distributor and Trade Promotion) 12. Ferrocarril del Istmo de Tehuantepec, S.A. de C.V. (Railroad of the Itsmo de Tehuatepec) 13. Grupo Aeroportuario de la Ciudad de México S.A. de C.V. (Airport Group of Mexico City) 14. Instituto Mexicano de Cinematografía (Mexican Institute of Cinematography) 15. Instituto Mexicano de la Juventud (Mexican Youth Institute) 16. Instituto Mexicano del Seguro Social (IMSS) (Mexican Social Security Institute) 17. Instituto Nacional de la Infraestructura Física Educativa (National Institute of Physical Educational Infrastructure) 13-A-7 18. Instituto Nacional de las Mujeres (Women National Institute) 19. Instituto Nacional de las Personas Adultas Mayores (National Institute for the Elderly) 20. Instituto Nacional del Suelo Sustentable (National Institute of Sustainable Land) 21. Instituto Mexicano de la Propiedad Industrial (Mexican Institute of Industrial Property 22. Instituto de Seguridad Social para las Fuerzas Armadas Mexicanas (Social Security for the Mexican Armed Forces Institute) 23.</w:t>
      </w:r>
    </w:p>
    <w:p>
      <w:pPr>
        <w:pStyle w:val="Normal"/>
        <w:widowControl/>
        <w:rPr/>
      </w:pPr>
      <w:r>
        <w:rPr/>
        <w:t>Instituto Nacional para la Educación de los Adultos (National Institute for Adult Education) 24. Leche Industrializada Conasupo S.A. de C.V. (Liconsa) (Conasupo Industrialized Milk) 25. Lotería Nacional para la Asistencia Pública (National Lottery for Public Assistance) 26. NOTIMEX S.A. de C.V. 27. Petróleos Mexicanos (PEMEX) (Mexican Petroleum) and the following entities: (a) PEMEX Corporativo (PEMEX Corporate); (b) PEMEX Exploración y Producción (PEMEX Exploration and Production); (c) PEMEX Perforación y Servicios (PEMEX Drilling and Services); (d) PEMEX Transformación Industrial (PEMEX Industrial Transformation); (e) PEMEX Logística (PEMEX Logistics); (f) PEMEX Cogeneración y Servicios (PEMEX Co-Generation and Services); (g) PEMEX Etileno (PEMEX Ethylene); and (h) PEMEX Fertilizantes (PEMEX Fertilizers) 28. Procuraduría Federal del Consumidor (Federal Office of The Attorney for Consumers) 29. Pronósticos para la Asistencia Pública (Forecasting for Public Assistance) 13-A-8 30. Servicio Aeroportuario de la Ciudad de México, S.A. de C.V. (Airport Services of Mexico City) 31. Servicio Geológico Mexicano (Mexican Geological Service) 32. Servicio Postal Mexicano (Mexican Postal Services) 33. Sistema Nacional para el Desarrollo Integral de la Familia (DIF) (National System for Integral Family Development) 35. Talleres Gráficos de México (National Printers of Mexico) 36. Telecomunicaciones de México (TELECOM) (Telecommunications of México) Notes to Section B 1.</w:t>
      </w:r>
    </w:p>
    <w:p>
      <w:pPr>
        <w:pStyle w:val="Normal"/>
        <w:widowControl/>
        <w:rPr/>
      </w:pPr>
      <w:r>
        <w:rPr/>
        <w:t>English translation of entities listed in this Section is only provided for the purposes of reference; it is not an official translation. 2. Chapter 13 (Government Procurement) shall not cover procurements by PEMEX and CFE of the following goods (numbers refer to the Federal Supply Classification (FSC) code): (i) Hoisery, Handwear, and Clothing Accessories, Men’s (8440); (ii) Hoisery, Handwear, and Clothing Accessories, Women’s (8445); (iii) Clothing Special Purpose (8415); (iv) Underwear and Nightwear, Men’s (8420); (v) Underwear and Nightwear, Women’s (8425); (vi) Footwear, Men’s (8430); and (vii) Machine Shop Sets, Kits, and Outfits (3470). 3. Chapter 13 (Government Procurement) shall not cover procurements by LICONSA of agricultural goods made in furtherance of agricultural support programs or human feeding programs. 4. Chapter 13 (Government Procurement) shall not cover procurements by PEMEX of fuel and gas. 5. Chapter 13 (Government Procurement) shall not cover procurements by DIF of agricultural goods made in furtherance of agricultural support programs or human feeding programs. Section C: Goods Unless otherwise specified, Chapter 13 (Government Procurement) covers all goods that are procured by the entities listed in Sections A (Central Government Entities) and B (Other Entities).</w:t>
      </w:r>
    </w:p>
    <w:p>
      <w:pPr>
        <w:pStyle w:val="Normal"/>
        <w:widowControl/>
        <w:rPr/>
      </w:pPr>
      <w:r>
        <w:rPr/>
        <w:t>However, for procurement by the Secretaría de la Defensa Nacional (Ministry of National Defense) and the Secretaría de Marina (Ministry of Navy), only the following goods are included in the coverage of this Chapter: 13-A-9 (Note: numbers refer to the Federal Supply Classification (FSC) code) FSC Description Railway equipment Ground effect vehicles, motor vehicles, trailers and cycles (except buses in 2310; and military trucks and trailers in 2320 and 2330 and tracked combat, assault and tactical vehicles in 2350) Tractors Vehicular equipment components Tires and tubes Engine accessories Mechanical power transmission equipment Woodworking machinery and equipment Metal-working machinery Service and trade equipment Special industry machinery Agricultural machinery and equipment Construction, mining, excavating, and highway maintenance equipment Materials handling equipment Rope, cable, chain, and fittings Refrigeration, air conditioning, and air circulating equipment Firefighting, rescue, and safety equipment; and environmental protection equipment and materials Pumps and compressors Furnace, steam plant, and drying equipment; and nuclear reactors Plumbing, heating, and waste disposal equipment Water purification and sewage treatment equipment Pipe, tubing, hose, and fittings Valves Maintenance and repair shop equipment Measuring tools Hardware and abrasives Prefabricated structures and scaffolding Lumber, millwork, plywood, and veneer Construction and building materials</w:t>
      </w:r>
    </w:p>
    <w:p>
      <w:pPr>
        <w:pStyle w:val="Normal"/>
        <w:widowControl/>
        <w:rPr/>
      </w:pPr>
      <w:r>
        <w:rPr/>
        <w:t>Electric wire, and power and distribution equipment Lighting fixtures and lamps Alarm, signal and security detection systems Medical, dental, and veterinary equipment and supplies Instruments and laboratory equipment Photographic equipment Chemicals and chemical products Training aids and devices Automatic data processing equipment (including firmware), software, supplies and support equipment Furniture 13-A-10 Household and commercial furnishings and appliances Food preparation and serving equipment Office machines, text processing systems and visible record equipment Office supplies and devices Books, maps, and other publications (except 7650: drawings and specifications) Musical instruments, phonographs, and home-type radios Recreational and athletic equipment Cleaning equipment and supplies Brushes, paints, sealers, and adhesives Containers, packaging, and packing supplies Toiletries Agricultural supplies Live animals Fuels, lubricants, oils, and waxes Nonmetallic fabricated materials Nonmetallic crude materials Ores, minerals, and their primary products (except 9620: minerals, natural and synthetic) Miscellaneous Section D: Services Chapter 13 (Government Procurement) does not cover the procurement of the following services identified in accordance with the Common Classification System, Appendix 13-D-1 (Common Classification System Services), that are procured by entities listed in Sections A (Central Government Entities) and B (Other Entities): A Research and</w:t>
      </w:r>
    </w:p>
    <w:p>
      <w:pPr>
        <w:pStyle w:val="Normal"/>
        <w:widowControl/>
        <w:rPr/>
      </w:pPr>
      <w:r>
        <w:rPr/>
        <w:t>Development C All classes D Architecture and Engineering Services Restoration (only for preservation of historic sites and buildings) Information Processing and Related Telecommunications Services C130 ADP Telecommunications and Transmissions Services except for those services that are classified as enhanced or value added, defined as telecommunications D304 services using computerized processing systems, which: (a) act on the format, content, code, protocol or similar aspects of the information transmitted by the user, (b) provide the customer with additional, different or restructured information, or (c) involve user interaction with stored information. For purposes of this provision, the acquisition of ADP Telecommunications and Transmission Services do not include the ownership or furnishing of facilities for voice or data transmission services. ADP Services for Teleprocessing and Timeshare. D309 Information and Data Broadcasting Services or Data Distribution Services. D316 Telecommunications Network Management Services. D317 Automated News Services, Data Services, or Other Information Services Buying Data (the electronic equivalent of books, periodicals, newspapers, etc.) 13-A-11 D399 Other ADP Telecommunications Services (includes data storage on tape, CDs, etc.) F Natural Resources Services. F011 Pesticides/Insecticides Support Services G Health and Social Services.</w:t>
      </w:r>
    </w:p>
    <w:p>
      <w:pPr>
        <w:pStyle w:val="Normal"/>
        <w:widowControl/>
        <w:rPr/>
      </w:pPr>
      <w:r>
        <w:rPr/>
        <w:t>All classes J Maintenance, Repair, Modification, Rebuilding and Installation of Goods / Equipment J010 Armament J011 War Nuclear Material J012 Fire Equipment and Control J013 Ammunition and Explosives J014 Guided Missiles J015 Aircrafts and Aircraft Structures Components J016 Aircrafts Components and Accessories J017 Takeoff, Landing, and Ground Handling Aircraft Equipment J018 Space Vehicles J019 Shipments, Small Structures, Barges and Floating Docks J020 Boats and Marine Equipment J022 Rail Equipment J023 Land Vehicles, Motored Vehicles, Trailers and Motorcycles J024 Tractors J025 Motor Vehicles Parts J998 Non-nuclear Ships Repair K Custodial Operations and Related Services (professional services only for K103 protection, personal security installations carried out by armed guards) Fueling and Other Petroleum Services –Excluding Storage K105 Guard services (professional services only for protection, personal security and surveillance installations carried out by armed guards) K109 Surveillance services (professional services only for protection, personal security and surveillance installations carried out by armed guards) K110 Solid Fuel Handling Services L Financial and Related Services All classes R Professional, Administrative and Management Support Services R003 Legal Services R004 Certifications and Accreditations for products and institutions other than Educational Institutions R012 Patent and Trade Mark Services R016 Personal Services Contracts R101 Expert Witness</w:t>
      </w:r>
    </w:p>
    <w:p>
      <w:pPr>
        <w:pStyle w:val="Normal"/>
        <w:widowControl/>
        <w:rPr/>
      </w:pPr>
      <w:r>
        <w:rPr/>
        <w:t>(Only for legal services) R103 Courier and Messenger Services R105 Mail and Distribution Services (Post Office Services excluded) R106 Post Office Services R116 Court Reporting Services R200 Military Recruitment S Utilities 13-A-12 V All classes T Communications, Photographic, Mapping, Printing and Publication Services T000 Communications Studies T001 Market Research and Public Opinion Services (Formerly Telephone and Field Interviews services, including Focus testing, Syndicated and attitude surveys) Except for CPC 86503 Management Consulting Marketing Services. T002 Communication Services (including Exhibit Services) T003 Advertising Services T004 Public Relations Services (Including Writing Services, Even Planning and Management, Media Relations, Radio and TV Analysis, Press Services) T005 Arts/Graphics Services T008 Film Processing Services T009 Film/Video Production Services T010 Microfiche Services T013 General Photography Services - Still T014 Print/Binding Services T015 Reproduction Services T017 General Photography Services – Motion T018 Audio/Visual Services T099 Other Communication, Photography, Mapping, Printing and Publication Services U Educational and Training Services U003 Reserves Training (Military) U010 Certifications and Accreditations for Educational Institutions Transportation, Travel and Relocation Services All classes (except V503 Travel Agent Services) W Lease and Rental of equipment which require patent protection, copyright or other proprietary</w:t>
      </w:r>
    </w:p>
    <w:p>
      <w:pPr>
        <w:pStyle w:val="Normal"/>
        <w:widowControl/>
        <w:rPr/>
      </w:pPr>
      <w:r>
        <w:rPr/>
        <w:t>rights. W058 Communication, Detection and Coherent Radiation Equipment Notes to Section D 1. Chapter 13 (Government Procurement) does not apply to the operation of government facilities under concessions. 2. All services related to goods acquired by the Secretaría de la Defensa Nacional (Ministry of National Defense) and the Secretaría de Marina (Ministry of Navy) that are not covered by this Chapter, are excluded. 3. All services that are not excluded from the coverage of Chapter 13 (Government Procurement) are subject to Chapter 15 (Cross-Border Trade in Services) and Annex I and Annex II of this Agreement. 4. The management and operating services contracts awarded to research and development centers operating with federal funds, or related to the implementation of research programs sponsored by the government are excluded from the disciplines of 13-A-13 Chapter 13 (Government Procurement). Section E: Construction Services Chapter 13 (Government Procurement) applies to all construction services procured by the entities listed in Sections A (Central Government Entities) and B (Other Entities), identified in Division 51 of the United Nations Provisional Central Product Classification (CPC Prov) which can be found at: https://unstats.un.org/unsd/cr/registry/regcs.asp?Cl=9&amp;Lg=1&amp;Co=51, unless otherwise specified in Chapter 13 (Government Procurement), including this Schedule.</w:t>
      </w:r>
    </w:p>
    <w:p>
      <w:pPr>
        <w:pStyle w:val="Normal"/>
        <w:keepNext w:val="true"/>
        <w:widowControl/>
        <w:spacing w:before="200" w:after="80"/>
        <w:rPr/>
      </w:pPr>
      <w:r>
        <w:rPr/>
        <w:t>Section F: General Notes The following General Notes apply to Chapter 13 (Government Procurement), including Sections A through E: 1. Chapter 13 (Government Procurement) does not apply to procurements made: (a) with a view to commercial resale by government owned retail stores; (b) pursuant to loans from regional or multilateral financial institutions to the extent that different procedures are imposed by such institutions (except for national content requirements); or (c) by one entity from another entity of Mexico. 2. Chapter 13 (Government Procurement) does not apply to the procurement of transportation services that are part of, or are incidental to a purchase contract. 3. Chapter 13 (Government Procurement) does not apply to build-operate-transfer contracts and public works concessions contracts. 4.</w:t>
      </w:r>
    </w:p>
    <w:p>
      <w:pPr>
        <w:pStyle w:val="Normal"/>
        <w:widowControl/>
        <w:rPr/>
      </w:pPr>
      <w:r>
        <w:rPr/>
        <w:t>Notwithstanding any provision in Chapter 13 (Government Procurement), Mexico may set aside procurement contracts from the obligations of Chapter 13 (Government Procurement), subject to the following: (a) the total value of the contracts set aside may not exceed the Mexican peso equivalent of US$2,328,000,000 in each calendar year from the date of entry into force of this Agreement, which may be allocated by all entities, including PEMEX and CFE; (b) the total value of contracts under any single FSC class (or other classification system agreed by the Parties) that may be set aside under this paragraph in any year shall not exceed 10 per cent of the total value of contracts that may be set aside under this paragraph for that year; 13-A-14 (c) no entity subject to subparagraph (a) may set aside contracts in any calendar year of a value of more than 20 per cent of the total value of contracts that may be set aside for that year; and (d) the total value of the contracts set aside by PEMEX and CFE may not exceed the Mexican peso equivalent of US$466,000,000 in each calendar year. 5.</w:t>
      </w:r>
    </w:p>
    <w:p>
      <w:pPr>
        <w:pStyle w:val="Normal"/>
        <w:widowControl/>
        <w:rPr/>
      </w:pPr>
      <w:r>
        <w:rPr/>
        <w:t>(a) Beginning in January of the next calendar year after the date of entry into force of this Agreement, the dollar values referred to in paragraph 4 shall be adjusted annually for cumulative inflation from January 2017, based on the implicit price deflator for the United States Gross Domestic Product (USGDP) or any successor index published by the Council of Economic Advisors in “Economic Indicators”. (b) The dollar values adjusted for cumulative inflation up to January of each calendar year following 2016 shall be equal to the original dollar values multiplied by the ratio of: (i) the implicit USGDP price deflator or any successor index published by the Council of Economic Advisors in “Economic Indicators”, current as of January of that year, to (ii) the implicit USGDP price deflator or any successor index published by the Council of Economic Advisors in “Economic Indicators”, current as of the date of entry into force of this Agreement, provided that the price deflators under subparagraphs (i) and (ii) have the same base year.</w:t>
      </w:r>
    </w:p>
    <w:p>
      <w:pPr>
        <w:pStyle w:val="Normal"/>
        <w:widowControl/>
        <w:rPr/>
      </w:pPr>
      <w:r>
        <w:rPr/>
        <w:t>(c) The resulting adjusted dollar values shall be rounded to the nearest million dollars. 6. The national security exception provided for in Article 32.2 (Essential Security) shall cover procurements made in support of safeguarding nuclear materials or technology. 7.</w:t>
      </w:r>
    </w:p>
    <w:p>
      <w:pPr>
        <w:pStyle w:val="Normal"/>
        <w:widowControl/>
        <w:rPr/>
      </w:pPr>
      <w:r>
        <w:rPr/>
        <w:t>(a) Notwithstanding any provision of Chapter 13 (Government Procurement), an entity may impose a local content requirement of no more than: (i) 40 per cent, for labor-intensive turnkey or major integrated projects, or (ii) 25 per cent, for capital-intensive turnkey or major integrated projects. (b) For the purposes of this paragraph, “turnkey or major integrated project” means, in general, a construction, supply, or installation project undertaken by a person pursuant to a right granted by an entity with respect to which: 13-A-15 (i) the prime contractor is vested with the authority to select the general contractors or subcontractors, (ii) neither the Government of Mexico nor its entities fund the project, (iii) the person bears the risks associated with non-performance, and (iv) the facility will be operated by an entity or through a procurement contract of that entity. 8.</w:t>
      </w:r>
    </w:p>
    <w:p>
      <w:pPr>
        <w:pStyle w:val="Normal"/>
        <w:widowControl/>
        <w:rPr/>
      </w:pPr>
      <w:r>
        <w:rPr/>
        <w:t>In the event that Mexico exceeds in any given year the total value of contracts it may set aside for that year in accordance with paragraph 4 of this Section, Mexico shall consult with the other Party with a view to agreement on compensation in the form of additional procurement opportunities during the following year. The consultations shall be without prejudice to the rights of any Party under Chapter 31 (Dispute Settlement). Section G: Thresholds Adjustment Formula 1.</w:t>
      </w:r>
    </w:p>
    <w:p>
      <w:pPr>
        <w:pStyle w:val="Normal"/>
        <w:widowControl/>
        <w:rPr/>
      </w:pPr>
      <w:r>
        <w:rPr/>
        <w:t>The thresholds in Sections A (Central Government Entities) and B (Other Entities) shall be calculated in accordance with the following: (a) the U.S. inflation rate shall be measured by the Producer Price Index for Finished Goods published by the U.S. Bureau of Labor Statistics; (b) adjustments shall be calculated using two-year periods, each period beginning November 1, and shall take effect on January 1 of the year immediately following the end of the two-year period; (c) the United States shall notify the other Party of the adjusted threshold values no later than November 16 of the year before the adjustment takes effect; and (d) the inflationary adjustment shall be estimated according to the following formula:  x (1 +) =  = threshold value at base period  = accumulated U.S. inflation rate for the ith two year-period  = new threshold value. 2. Mexico shall calculate and convert the value of the thresholds into Mexican pesos using the conversion rate of the Banco de México (Bank of Mexico).</w:t>
      </w:r>
    </w:p>
    <w:p>
      <w:pPr>
        <w:pStyle w:val="Normal"/>
        <w:widowControl/>
        <w:rPr/>
      </w:pPr>
      <w:r>
        <w:rPr/>
        <w:t>The conversion rate shall be the existing value of the Mexican peso in terms of the U.S. dollar as of December 1 and June 1 of each year, or the first working day thereafter. The conversion rate as of 13-A-16 December 1 shall apply from January 1 to June 30 of the following year, and the conversion rate as of June 1 shall apply from July 1 to December 31 of that year. 3.</w:t>
      </w:r>
    </w:p>
    <w:p>
      <w:pPr>
        <w:pStyle w:val="Normal"/>
        <w:widowControl/>
        <w:rPr/>
      </w:pPr>
      <w:r>
        <w:rPr/>
        <w:t>Information related to thresholds shall be published in www.compranet.gob.mx Section H: Procurement Information Information on government procurement shall be published in the following websites: www.dof.gob.mx www.compranet.gob.mx www.pemex.com www.cfe.mx 13-A-17 SCHEDULE OF THE UNITED STATES Section A: Central Government Entities Thresholds: 1. Chapter 13 (Government Procurement) applies to the entities of the central level of government listed in this Section where the value of the procurement is estimated, in accordance with Article 13.2.8 (Scope) and Article 13.2.9 (Scope), to equal or exceed: (a) for procurement of goods and services: US$80,317; and (b) for procurement of construction services: US$10,441,216. The thresholds set out in this paragraph shall be adjusted in accordance with Section G (Threshold Adjustment Formula) of this Schedule. 2. Unless otherwise specified herein, Chapter 13 (Government Procurement) applies to all agencies subordinate to the entities listed in this Section. List of Entities: 1. American Battle Monuments Commission 2. Broadcasting Board of Governors 3. Commission on Civil Rights 4. Commodity Futures Trading Commission 5. Consumer Product Safety Commission 6. Corporation for National and Community Service 7.</w:t>
      </w:r>
    </w:p>
    <w:p>
      <w:pPr>
        <w:pStyle w:val="Normal"/>
        <w:widowControl/>
        <w:rPr/>
      </w:pPr>
      <w:r>
        <w:rPr/>
        <w:t>Department of Agriculture (Note 1) 8. Department of Commerce 9. Department of Defense (Note 2) 10. Department of Education 11. Department of Energy (Note 3) 13-A-18 12. Department of Health and Human Services 13.</w:t>
      </w:r>
    </w:p>
    <w:p>
      <w:pPr>
        <w:pStyle w:val="Normal"/>
        <w:widowControl/>
        <w:rPr/>
      </w:pPr>
      <w:r>
        <w:rPr/>
        <w:t>Department of Homeland Security (Note 4) 14. Department of Housing and Urban Development 15. Department of the Interior, including the Bureau of Reclamation 16. Department of Justice 17. Department of Labor 18. Department of State 19. Department of Transportation 20. Department of the Treasury 21. Department of Veterans Affairs 22. Environmental Protection Agency 23. Equal Employment Opportunity Commission 24. Executive Office of the President 25. Export-Import Bank of the United States 26. Farm Credit Administration 27. Federal Communications Commission 28. Federal Deposit Insurance Corporation 29. Federal Housing Finance Agency 30. Federal Maritime Commission 31. Federal Mediation and Conciliation Service 32. Federal Trade Commission 33. General Services Administration (Note 5) 34. Merit Systems Protection Board 35. National Aeronautics and Space Administration 13-A-19 36. National Archives and Records Administration 37. National Credit Union Administration 38. National Labor Relations Board 39. National Mediation Board 40. National Science Foundation 41. National Transportation Safety Board 42. Nuclear Regulatory Commission 43. Office of Personnel Management 44. Overseas Private Investment Corporation 45. Peace Corps 46. Railroad Retirement Board 47. Rural Utilities Services (Note 6) 48. Securities and Exchange Commission 49. Selective Service System 50. Smithsonian Institution 51. United States Agency for International Development 52.</w:t>
      </w:r>
    </w:p>
    <w:p>
      <w:pPr>
        <w:pStyle w:val="Normal"/>
        <w:widowControl/>
        <w:rPr/>
      </w:pPr>
      <w:r>
        <w:rPr/>
        <w:t>United States International Trade Commission Notes to Section A 1. Department of Agriculture: Chapter 13 (Government Procurement) does not cover procurement of any agricultural good made in furtherance of an agricultural support program or a human feeding program. 2. Department of Defense: (a) Chapter 13 (Government Procurement) does not cover procurement of any good described in any Federal Supply Code classification (for complete listing of U.S. Federal Supply Classification, see any of the following Federal Supply Code (FSC), which can be found in the Product Code Section of the Federal 13-A-20 Procurement Data System Product and Service Code Manual at https://www.acquisition.gov/Acquisition_Systems) listed below:</w:t>
      </w:r>
    </w:p>
    <w:p>
      <w:pPr>
        <w:widowControl/>
      </w:pPr>
      <w:r>
        <w:rPr>
          <w:b/>
        </w:rPr>
        <w:t>Federal Supply Classification exclusions:</w:t>
      </w:r>
    </w:p>
    <w:tbl>
      <w:tblPr>
        <w:tblStyle w:val="TableGrid"/>
        <w:tblW w:type="auto" w:w="0"/>
        <w:jc w:val="center"/>
        <w:tblLayout w:type="autofit"/>
        <w:tblLook w:firstColumn="1" w:firstRow="1" w:lastColumn="0" w:lastRow="0" w:noHBand="0" w:noVBand="1" w:val="04A0"/>
      </w:tblPr>
      <w:tblGrid>
        <w:gridCol w:w="4680"/>
        <w:gridCol w:w="4680"/>
      </w:tblGrid>
      <w:tr>
        <w:trPr>
          <w:tblHeader w:val="true"/>
          <w:cantSplit/>
          <w:tblHeader w:val="true"/>
        </w:trPr>
        <w:tc>
          <w:tcPr>
            <w:tcW w:type="dxa" w:w="4680"/>
            <w:shd w:fill="233746"/>
          </w:tcPr>
          <w:p>
            <w:pPr>
              <w:spacing w:after="0"/>
            </w:pPr>
            <w:r>
              <w:rPr>
                <w:rFonts w:ascii="Arial" w:hAnsi="Arial"/>
                <w:b/>
                <w:color w:val="FFFFFF"/>
                <w:sz w:val="17"/>
              </w:rPr>
              <w:t>FSC</w:t>
            </w:r>
          </w:p>
        </w:tc>
        <w:tc>
          <w:tcPr>
            <w:tcW w:type="dxa" w:w="4680"/>
            <w:shd w:fill="233746"/>
          </w:tcPr>
          <w:p>
            <w:pPr>
              <w:spacing w:after="0"/>
            </w:pPr>
            <w:r>
              <w:rPr>
                <w:rFonts w:ascii="Arial" w:hAnsi="Arial"/>
                <w:b/>
                <w:color w:val="FFFFFF"/>
                <w:sz w:val="17"/>
              </w:rPr>
              <w:t>Description</w:t>
            </w:r>
          </w:p>
        </w:tc>
      </w:tr>
      <w:tr>
        <w:trPr>
          <w:cantSplit/>
        </w:trPr>
        <w:tc>
          <w:tcPr>
            <w:tcW w:type="dxa" w:w="4680"/>
            <w:tcMar>
              <w:top w:w="70" w:type="dxa"/>
              <w:start w:w="110" w:type="dxa"/>
              <w:bottom w:w="70" w:type="dxa"/>
              <w:end w:w="110" w:type="dxa"/>
            </w:tcMar>
          </w:tcPr>
          <w:p>
            <w:pPr>
              <w:widowControl/>
              <w:spacing w:after="0"/>
            </w:pPr>
            <w:r>
              <w:rPr>
                <w:rFonts w:ascii="Arial" w:hAnsi="Arial"/>
                <w:sz w:val="17"/>
              </w:rPr>
              <w:t>FSC 11</w:t>
            </w:r>
          </w:p>
        </w:tc>
        <w:tc>
          <w:tcPr>
            <w:tcW w:type="dxa" w:w="4680"/>
            <w:tcMar>
              <w:top w:w="70" w:type="dxa"/>
              <w:start w:w="110" w:type="dxa"/>
              <w:bottom w:w="70" w:type="dxa"/>
              <w:end w:w="110" w:type="dxa"/>
            </w:tcMar>
          </w:tcPr>
          <w:p>
            <w:pPr>
              <w:widowControl/>
              <w:spacing w:after="0"/>
            </w:pPr>
            <w:r>
              <w:rPr>
                <w:rFonts w:ascii="Arial" w:hAnsi="Arial"/>
                <w:sz w:val="17"/>
              </w:rPr>
              <w:t>Nuclear Ordnance</w:t>
            </w:r>
          </w:p>
        </w:tc>
      </w:tr>
      <w:tr>
        <w:trPr>
          <w:cantSplit/>
        </w:trPr>
        <w:tc>
          <w:tcPr>
            <w:tcW w:type="dxa" w:w="4680"/>
            <w:tcMar>
              <w:top w:w="70" w:type="dxa"/>
              <w:start w:w="110" w:type="dxa"/>
              <w:bottom w:w="70" w:type="dxa"/>
              <w:end w:w="110" w:type="dxa"/>
            </w:tcMar>
            <w:shd w:fill="F4F6F7"/>
          </w:tcPr>
          <w:p>
            <w:pPr>
              <w:widowControl/>
              <w:spacing w:after="0"/>
            </w:pPr>
            <w:r>
              <w:rPr>
                <w:rFonts w:ascii="Arial" w:hAnsi="Arial"/>
                <w:sz w:val="17"/>
              </w:rPr>
              <w:t>FSC 1555</w:t>
            </w:r>
          </w:p>
        </w:tc>
        <w:tc>
          <w:tcPr>
            <w:tcW w:type="dxa" w:w="4680"/>
            <w:tcMar>
              <w:top w:w="70" w:type="dxa"/>
              <w:start w:w="110" w:type="dxa"/>
              <w:bottom w:w="70" w:type="dxa"/>
              <w:end w:w="110" w:type="dxa"/>
            </w:tcMar>
            <w:shd w:fill="F4F6F7"/>
          </w:tcPr>
          <w:p>
            <w:pPr>
              <w:widowControl/>
              <w:spacing w:after="0"/>
            </w:pPr>
            <w:r>
              <w:rPr>
                <w:rFonts w:ascii="Arial" w:hAnsi="Arial"/>
                <w:sz w:val="17"/>
              </w:rPr>
              <w:t>Space Vehicles</w:t>
            </w:r>
          </w:p>
        </w:tc>
      </w:tr>
      <w:tr>
        <w:trPr>
          <w:cantSplit/>
        </w:trPr>
        <w:tc>
          <w:tcPr>
            <w:tcW w:type="dxa" w:w="4680"/>
            <w:tcMar>
              <w:top w:w="70" w:type="dxa"/>
              <w:start w:w="110" w:type="dxa"/>
              <w:bottom w:w="70" w:type="dxa"/>
              <w:end w:w="110" w:type="dxa"/>
            </w:tcMar>
          </w:tcPr>
          <w:p>
            <w:pPr>
              <w:widowControl/>
              <w:spacing w:after="0"/>
            </w:pPr>
            <w:r>
              <w:rPr>
                <w:rFonts w:ascii="Arial" w:hAnsi="Arial"/>
                <w:sz w:val="17"/>
              </w:rPr>
              <w:t>FSC 1675</w:t>
            </w:r>
          </w:p>
        </w:tc>
        <w:tc>
          <w:tcPr>
            <w:tcW w:type="dxa" w:w="4680"/>
            <w:tcMar>
              <w:top w:w="70" w:type="dxa"/>
              <w:start w:w="110" w:type="dxa"/>
              <w:bottom w:w="70" w:type="dxa"/>
              <w:end w:w="110" w:type="dxa"/>
            </w:tcMar>
          </w:tcPr>
          <w:p>
            <w:pPr>
              <w:widowControl/>
              <w:spacing w:after="0"/>
            </w:pPr>
            <w:r>
              <w:rPr>
                <w:rFonts w:ascii="Arial" w:hAnsi="Arial"/>
                <w:sz w:val="17"/>
              </w:rPr>
              <w:t>Space Vehicle Component</w:t>
            </w:r>
          </w:p>
        </w:tc>
      </w:tr>
      <w:tr>
        <w:trPr>
          <w:cantSplit/>
        </w:trPr>
        <w:tc>
          <w:tcPr>
            <w:tcW w:type="dxa" w:w="4680"/>
            <w:tcMar>
              <w:top w:w="70" w:type="dxa"/>
              <w:start w:w="110" w:type="dxa"/>
              <w:bottom w:w="70" w:type="dxa"/>
              <w:end w:w="110" w:type="dxa"/>
            </w:tcMar>
            <w:shd w:fill="F4F6F7"/>
          </w:tcPr>
          <w:p>
            <w:pPr>
              <w:widowControl/>
              <w:spacing w:after="0"/>
            </w:pPr>
            <w:r>
              <w:rPr>
                <w:rFonts w:ascii="Arial" w:hAnsi="Arial"/>
                <w:sz w:val="17"/>
              </w:rPr>
              <w:t>FSC 1677</w:t>
            </w:r>
          </w:p>
        </w:tc>
        <w:tc>
          <w:tcPr>
            <w:tcW w:type="dxa" w:w="4680"/>
            <w:tcMar>
              <w:top w:w="70" w:type="dxa"/>
              <w:start w:w="110" w:type="dxa"/>
              <w:bottom w:w="70" w:type="dxa"/>
              <w:end w:w="110" w:type="dxa"/>
            </w:tcMar>
            <w:shd w:fill="F4F6F7"/>
          </w:tcPr>
          <w:p>
            <w:pPr>
              <w:widowControl/>
              <w:spacing w:after="0"/>
            </w:pPr>
            <w:r>
              <w:rPr>
                <w:rFonts w:ascii="Arial" w:hAnsi="Arial"/>
                <w:sz w:val="17"/>
              </w:rPr>
              <w:t>Space Vehicle Remote Control System</w:t>
            </w:r>
          </w:p>
        </w:tc>
      </w:tr>
      <w:tr>
        <w:trPr>
          <w:cantSplit/>
        </w:trPr>
        <w:tc>
          <w:tcPr>
            <w:tcW w:type="dxa" w:w="4680"/>
            <w:tcMar>
              <w:top w:w="70" w:type="dxa"/>
              <w:start w:w="110" w:type="dxa"/>
              <w:bottom w:w="70" w:type="dxa"/>
              <w:end w:w="110" w:type="dxa"/>
            </w:tcMar>
          </w:tcPr>
          <w:p>
            <w:pPr>
              <w:widowControl/>
              <w:spacing w:after="0"/>
            </w:pPr>
            <w:r>
              <w:rPr>
                <w:rFonts w:ascii="Arial" w:hAnsi="Arial"/>
                <w:sz w:val="17"/>
              </w:rPr>
              <w:t>FSC 1725</w:t>
            </w:r>
          </w:p>
        </w:tc>
        <w:tc>
          <w:tcPr>
            <w:tcW w:type="dxa" w:w="4680"/>
            <w:tcMar>
              <w:top w:w="70" w:type="dxa"/>
              <w:start w:w="110" w:type="dxa"/>
              <w:bottom w:w="70" w:type="dxa"/>
              <w:end w:w="110" w:type="dxa"/>
            </w:tcMar>
          </w:tcPr>
          <w:p>
            <w:pPr>
              <w:widowControl/>
              <w:spacing w:after="0"/>
            </w:pPr>
            <w:r>
              <w:rPr>
                <w:rFonts w:ascii="Arial" w:hAnsi="Arial"/>
                <w:sz w:val="17"/>
              </w:rPr>
              <w:t>Space Vehicle Launchers</w:t>
            </w:r>
          </w:p>
        </w:tc>
      </w:tr>
      <w:tr>
        <w:trPr>
          <w:cantSplit/>
        </w:trPr>
        <w:tc>
          <w:tcPr>
            <w:tcW w:type="dxa" w:w="4680"/>
            <w:tcMar>
              <w:top w:w="70" w:type="dxa"/>
              <w:start w:w="110" w:type="dxa"/>
              <w:bottom w:w="70" w:type="dxa"/>
              <w:end w:w="110" w:type="dxa"/>
            </w:tcMar>
            <w:shd w:fill="F4F6F7"/>
          </w:tcPr>
          <w:p>
            <w:pPr>
              <w:widowControl/>
              <w:spacing w:after="0"/>
            </w:pPr>
            <w:r>
              <w:rPr>
                <w:rFonts w:ascii="Arial" w:hAnsi="Arial"/>
                <w:sz w:val="17"/>
              </w:rPr>
              <w:t>FSC 1735</w:t>
            </w:r>
          </w:p>
        </w:tc>
        <w:tc>
          <w:tcPr>
            <w:tcW w:type="dxa" w:w="4680"/>
            <w:tcMar>
              <w:top w:w="70" w:type="dxa"/>
              <w:start w:w="110" w:type="dxa"/>
              <w:bottom w:w="70" w:type="dxa"/>
              <w:end w:w="110" w:type="dxa"/>
            </w:tcMar>
            <w:shd w:fill="F4F6F7"/>
          </w:tcPr>
          <w:p>
            <w:pPr>
              <w:widowControl/>
              <w:spacing w:after="0"/>
            </w:pPr>
            <w:r>
              <w:rPr>
                <w:rFonts w:ascii="Arial" w:hAnsi="Arial"/>
                <w:sz w:val="17"/>
              </w:rPr>
              <w:t>Space Vehicle Handling and Servicing Equipment</w:t>
            </w:r>
          </w:p>
        </w:tc>
      </w:tr>
      <w:tr>
        <w:trPr>
          <w:cantSplit/>
        </w:trPr>
        <w:tc>
          <w:tcPr>
            <w:tcW w:type="dxa" w:w="4680"/>
            <w:tcMar>
              <w:top w:w="70" w:type="dxa"/>
              <w:start w:w="110" w:type="dxa"/>
              <w:bottom w:w="70" w:type="dxa"/>
              <w:end w:w="110" w:type="dxa"/>
            </w:tcMar>
          </w:tcPr>
          <w:p>
            <w:pPr>
              <w:widowControl/>
              <w:spacing w:after="0"/>
            </w:pPr>
            <w:r>
              <w:rPr>
                <w:rFonts w:ascii="Arial" w:hAnsi="Arial"/>
                <w:sz w:val="17"/>
              </w:rPr>
              <w:t>FSC 19</w:t>
            </w:r>
          </w:p>
        </w:tc>
        <w:tc>
          <w:tcPr>
            <w:tcW w:type="dxa" w:w="4680"/>
            <w:tcMar>
              <w:top w:w="70" w:type="dxa"/>
              <w:start w:w="110" w:type="dxa"/>
              <w:bottom w:w="70" w:type="dxa"/>
              <w:end w:w="110" w:type="dxa"/>
            </w:tcMar>
          </w:tcPr>
          <w:p>
            <w:pPr>
              <w:widowControl/>
              <w:spacing w:after="0"/>
            </w:pPr>
            <w:r>
              <w:rPr>
                <w:rFonts w:ascii="Arial" w:hAnsi="Arial"/>
                <w:sz w:val="17"/>
              </w:rPr>
              <w:t>Ships, Small Craft, Pontoons, and Floating Docks (the part of this classification defined as naval vessels or major components of the hull or superstructure thereof)</w:t>
            </w:r>
          </w:p>
        </w:tc>
      </w:tr>
      <w:tr>
        <w:trPr>
          <w:cantSplit/>
        </w:trPr>
        <w:tc>
          <w:tcPr>
            <w:tcW w:type="dxa" w:w="4680"/>
            <w:tcMar>
              <w:top w:w="70" w:type="dxa"/>
              <w:start w:w="110" w:type="dxa"/>
              <w:bottom w:w="70" w:type="dxa"/>
              <w:end w:w="110" w:type="dxa"/>
            </w:tcMar>
            <w:shd w:fill="F4F6F7"/>
          </w:tcPr>
          <w:p>
            <w:pPr>
              <w:widowControl/>
              <w:spacing w:after="0"/>
            </w:pPr>
            <w:r>
              <w:rPr>
                <w:rFonts w:ascii="Arial" w:hAnsi="Arial"/>
                <w:sz w:val="17"/>
              </w:rPr>
              <w:t>FSC 20</w:t>
            </w:r>
          </w:p>
        </w:tc>
        <w:tc>
          <w:tcPr>
            <w:tcW w:type="dxa" w:w="4680"/>
            <w:tcMar>
              <w:top w:w="70" w:type="dxa"/>
              <w:start w:w="110" w:type="dxa"/>
              <w:bottom w:w="70" w:type="dxa"/>
              <w:end w:w="110" w:type="dxa"/>
            </w:tcMar>
            <w:shd w:fill="F4F6F7"/>
          </w:tcPr>
          <w:p>
            <w:pPr>
              <w:widowControl/>
              <w:spacing w:after="0"/>
            </w:pPr>
            <w:r>
              <w:rPr>
                <w:rFonts w:ascii="Arial" w:hAnsi="Arial"/>
                <w:sz w:val="17"/>
              </w:rPr>
              <w:t>Ship and Marine Equipment (the part of this classification defined as naval vessels or major components of the hull or superstructure thereof)</w:t>
            </w:r>
          </w:p>
        </w:tc>
      </w:tr>
      <w:tr>
        <w:trPr>
          <w:cantSplit/>
        </w:trPr>
        <w:tc>
          <w:tcPr>
            <w:tcW w:type="dxa" w:w="4680"/>
            <w:tcMar>
              <w:top w:w="70" w:type="dxa"/>
              <w:start w:w="110" w:type="dxa"/>
              <w:bottom w:w="70" w:type="dxa"/>
              <w:end w:w="110" w:type="dxa"/>
            </w:tcMar>
          </w:tcPr>
          <w:p>
            <w:pPr>
              <w:widowControl/>
              <w:spacing w:after="0"/>
            </w:pPr>
            <w:r>
              <w:rPr>
                <w:rFonts w:ascii="Arial" w:hAnsi="Arial"/>
                <w:sz w:val="17"/>
              </w:rPr>
              <w:t>FSC 2310</w:t>
            </w:r>
          </w:p>
        </w:tc>
        <w:tc>
          <w:tcPr>
            <w:tcW w:type="dxa" w:w="4680"/>
            <w:tcMar>
              <w:top w:w="70" w:type="dxa"/>
              <w:start w:w="110" w:type="dxa"/>
              <w:bottom w:w="70" w:type="dxa"/>
              <w:end w:w="110" w:type="dxa"/>
            </w:tcMar>
          </w:tcPr>
          <w:p>
            <w:pPr>
              <w:widowControl/>
              <w:spacing w:after="0"/>
            </w:pPr>
            <w:r>
              <w:rPr>
                <w:rFonts w:ascii="Arial" w:hAnsi="Arial"/>
                <w:sz w:val="17"/>
              </w:rPr>
              <w:t>Passenger Motor Vehicles (only buses)</w:t>
            </w:r>
          </w:p>
        </w:tc>
      </w:tr>
      <w:tr>
        <w:trPr>
          <w:cantSplit/>
        </w:trPr>
        <w:tc>
          <w:tcPr>
            <w:tcW w:type="dxa" w:w="4680"/>
            <w:tcMar>
              <w:top w:w="70" w:type="dxa"/>
              <w:start w:w="110" w:type="dxa"/>
              <w:bottom w:w="70" w:type="dxa"/>
              <w:end w:w="110" w:type="dxa"/>
            </w:tcMar>
            <w:shd w:fill="F4F6F7"/>
          </w:tcPr>
          <w:p>
            <w:pPr>
              <w:widowControl/>
              <w:spacing w:after="0"/>
            </w:pPr>
            <w:r>
              <w:rPr>
                <w:rFonts w:ascii="Arial" w:hAnsi="Arial"/>
                <w:sz w:val="17"/>
              </w:rPr>
              <w:t>FSC 2350</w:t>
            </w:r>
          </w:p>
        </w:tc>
        <w:tc>
          <w:tcPr>
            <w:tcW w:type="dxa" w:w="4680"/>
            <w:tcMar>
              <w:top w:w="70" w:type="dxa"/>
              <w:start w:w="110" w:type="dxa"/>
              <w:bottom w:w="70" w:type="dxa"/>
              <w:end w:w="110" w:type="dxa"/>
            </w:tcMar>
            <w:shd w:fill="F4F6F7"/>
          </w:tcPr>
          <w:p>
            <w:pPr>
              <w:widowControl/>
              <w:spacing w:after="0"/>
            </w:pPr>
            <w:r>
              <w:rPr>
                <w:rFonts w:ascii="Arial" w:hAnsi="Arial"/>
                <w:sz w:val="17"/>
              </w:rPr>
              <w:t>Combat, Assault &amp; Tactical Vehicles, Tracked</w:t>
            </w:r>
          </w:p>
        </w:tc>
      </w:tr>
      <w:tr>
        <w:trPr>
          <w:cantSplit/>
        </w:trPr>
        <w:tc>
          <w:tcPr>
            <w:tcW w:type="dxa" w:w="4680"/>
            <w:tcMar>
              <w:top w:w="70" w:type="dxa"/>
              <w:start w:w="110" w:type="dxa"/>
              <w:bottom w:w="70" w:type="dxa"/>
              <w:end w:w="110" w:type="dxa"/>
            </w:tcMar>
          </w:tcPr>
          <w:p>
            <w:pPr>
              <w:widowControl/>
              <w:spacing w:after="0"/>
            </w:pPr>
            <w:r>
              <w:rPr>
                <w:rFonts w:ascii="Arial" w:hAnsi="Arial"/>
                <w:sz w:val="17"/>
              </w:rPr>
              <w:t>FSC 51</w:t>
            </w:r>
          </w:p>
        </w:tc>
        <w:tc>
          <w:tcPr>
            <w:tcW w:type="dxa" w:w="4680"/>
            <w:tcMar>
              <w:top w:w="70" w:type="dxa"/>
              <w:start w:w="110" w:type="dxa"/>
              <w:bottom w:w="70" w:type="dxa"/>
              <w:end w:w="110" w:type="dxa"/>
            </w:tcMar>
          </w:tcPr>
          <w:p>
            <w:pPr>
              <w:widowControl/>
              <w:spacing w:after="0"/>
            </w:pPr>
            <w:r>
              <w:rPr>
                <w:rFonts w:ascii="Arial" w:hAnsi="Arial"/>
                <w:sz w:val="17"/>
              </w:rPr>
              <w:t>Hand Tools</w:t>
            </w:r>
          </w:p>
        </w:tc>
      </w:tr>
      <w:tr>
        <w:trPr>
          <w:cantSplit/>
        </w:trPr>
        <w:tc>
          <w:tcPr>
            <w:tcW w:type="dxa" w:w="4680"/>
            <w:tcMar>
              <w:top w:w="70" w:type="dxa"/>
              <w:start w:w="110" w:type="dxa"/>
              <w:bottom w:w="70" w:type="dxa"/>
              <w:end w:w="110" w:type="dxa"/>
            </w:tcMar>
            <w:shd w:fill="F4F6F7"/>
          </w:tcPr>
          <w:p>
            <w:pPr>
              <w:widowControl/>
              <w:spacing w:after="0"/>
            </w:pPr>
            <w:r>
              <w:rPr>
                <w:rFonts w:ascii="Arial" w:hAnsi="Arial"/>
                <w:sz w:val="17"/>
              </w:rPr>
              <w:t>FSC 52</w:t>
            </w:r>
          </w:p>
        </w:tc>
        <w:tc>
          <w:tcPr>
            <w:tcW w:type="dxa" w:w="4680"/>
            <w:tcMar>
              <w:top w:w="70" w:type="dxa"/>
              <w:start w:w="110" w:type="dxa"/>
              <w:bottom w:w="70" w:type="dxa"/>
              <w:end w:w="110" w:type="dxa"/>
            </w:tcMar>
            <w:shd w:fill="F4F6F7"/>
          </w:tcPr>
          <w:p>
            <w:pPr>
              <w:widowControl/>
              <w:spacing w:after="0"/>
            </w:pPr>
            <w:r>
              <w:rPr>
                <w:rFonts w:ascii="Arial" w:hAnsi="Arial"/>
                <w:sz w:val="17"/>
              </w:rPr>
              <w:t>Measuring Tools</w:t>
            </w:r>
          </w:p>
        </w:tc>
      </w:tr>
      <w:tr>
        <w:trPr>
          <w:cantSplit/>
        </w:trPr>
        <w:tc>
          <w:tcPr>
            <w:tcW w:type="dxa" w:w="4680"/>
            <w:tcMar>
              <w:top w:w="70" w:type="dxa"/>
              <w:start w:w="110" w:type="dxa"/>
              <w:bottom w:w="70" w:type="dxa"/>
              <w:end w:w="110" w:type="dxa"/>
            </w:tcMar>
          </w:tcPr>
          <w:p>
            <w:pPr>
              <w:widowControl/>
              <w:spacing w:after="0"/>
            </w:pPr>
            <w:r>
              <w:rPr>
                <w:rFonts w:ascii="Arial" w:hAnsi="Arial"/>
                <w:sz w:val="17"/>
              </w:rPr>
              <w:t>FSC 60</w:t>
            </w:r>
          </w:p>
        </w:tc>
        <w:tc>
          <w:tcPr>
            <w:tcW w:type="dxa" w:w="4680"/>
            <w:tcMar>
              <w:top w:w="70" w:type="dxa"/>
              <w:start w:w="110" w:type="dxa"/>
              <w:bottom w:w="70" w:type="dxa"/>
              <w:end w:w="110" w:type="dxa"/>
            </w:tcMar>
          </w:tcPr>
          <w:p>
            <w:pPr>
              <w:widowControl/>
              <w:spacing w:after="0"/>
            </w:pPr>
            <w:r>
              <w:rPr>
                <w:rFonts w:ascii="Arial" w:hAnsi="Arial"/>
                <w:sz w:val="17"/>
              </w:rPr>
              <w:t>Fiber Optics Materials, Components, Assemblies, and Accessories</w:t>
            </w:r>
          </w:p>
        </w:tc>
      </w:tr>
      <w:tr>
        <w:trPr>
          <w:cantSplit/>
        </w:trPr>
        <w:tc>
          <w:tcPr>
            <w:tcW w:type="dxa" w:w="4680"/>
            <w:tcMar>
              <w:top w:w="70" w:type="dxa"/>
              <w:start w:w="110" w:type="dxa"/>
              <w:bottom w:w="70" w:type="dxa"/>
              <w:end w:w="110" w:type="dxa"/>
            </w:tcMar>
            <w:shd w:fill="F4F6F7"/>
          </w:tcPr>
          <w:p>
            <w:pPr>
              <w:widowControl/>
              <w:spacing w:after="0"/>
            </w:pPr>
            <w:r>
              <w:rPr>
                <w:rFonts w:ascii="Arial" w:hAnsi="Arial"/>
                <w:sz w:val="17"/>
              </w:rPr>
              <w:t>FSC 8140</w:t>
            </w:r>
          </w:p>
        </w:tc>
        <w:tc>
          <w:tcPr>
            <w:tcW w:type="dxa" w:w="4680"/>
            <w:tcMar>
              <w:top w:w="70" w:type="dxa"/>
              <w:start w:w="110" w:type="dxa"/>
              <w:bottom w:w="70" w:type="dxa"/>
              <w:end w:w="110" w:type="dxa"/>
            </w:tcMar>
            <w:shd w:fill="F4F6F7"/>
          </w:tcPr>
          <w:p>
            <w:pPr>
              <w:widowControl/>
              <w:spacing w:after="0"/>
            </w:pPr>
            <w:r>
              <w:rPr>
                <w:rFonts w:ascii="Arial" w:hAnsi="Arial"/>
                <w:sz w:val="17"/>
              </w:rPr>
              <w:t>Ammunition &amp; Nuclear Ordnance Boxes, Packages &amp; Special Containers</w:t>
            </w:r>
          </w:p>
        </w:tc>
      </w:tr>
      <w:tr>
        <w:trPr>
          <w:cantSplit/>
        </w:trPr>
        <w:tc>
          <w:tcPr>
            <w:tcW w:type="dxa" w:w="4680"/>
            <w:tcMar>
              <w:top w:w="70" w:type="dxa"/>
              <w:start w:w="110" w:type="dxa"/>
              <w:bottom w:w="70" w:type="dxa"/>
              <w:end w:w="110" w:type="dxa"/>
            </w:tcMar>
          </w:tcPr>
          <w:p>
            <w:pPr>
              <w:widowControl/>
              <w:spacing w:after="0"/>
            </w:pPr>
            <w:r>
              <w:rPr>
                <w:rFonts w:ascii="Arial" w:hAnsi="Arial"/>
                <w:sz w:val="17"/>
              </w:rPr>
              <w:t>FSC 83</w:t>
            </w:r>
          </w:p>
        </w:tc>
        <w:tc>
          <w:tcPr>
            <w:tcW w:type="dxa" w:w="4680"/>
            <w:tcMar>
              <w:top w:w="70" w:type="dxa"/>
              <w:start w:w="110" w:type="dxa"/>
              <w:bottom w:w="70" w:type="dxa"/>
              <w:end w:w="110" w:type="dxa"/>
            </w:tcMar>
          </w:tcPr>
          <w:p>
            <w:pPr>
              <w:widowControl/>
              <w:spacing w:after="0"/>
            </w:pPr>
            <w:r>
              <w:rPr>
                <w:rFonts w:ascii="Arial" w:hAnsi="Arial"/>
                <w:sz w:val="17"/>
              </w:rPr>
              <w:t>Textiles, Leather, Furs, Apparel, Shoe Findings, Tents, and Flags (all elements other than pins, needles, sewing kits, flagstaffs, flagpoles, and flagstaff trucks)</w:t>
            </w:r>
          </w:p>
        </w:tc>
      </w:tr>
      <w:tr>
        <w:trPr>
          <w:cantSplit/>
        </w:trPr>
        <w:tc>
          <w:tcPr>
            <w:tcW w:type="dxa" w:w="4680"/>
            <w:tcMar>
              <w:top w:w="70" w:type="dxa"/>
              <w:start w:w="110" w:type="dxa"/>
              <w:bottom w:w="70" w:type="dxa"/>
              <w:end w:w="110" w:type="dxa"/>
            </w:tcMar>
            <w:shd w:fill="F4F6F7"/>
          </w:tcPr>
          <w:p>
            <w:pPr>
              <w:widowControl/>
              <w:spacing w:after="0"/>
            </w:pPr>
            <w:r>
              <w:rPr>
                <w:rFonts w:ascii="Arial" w:hAnsi="Arial"/>
                <w:sz w:val="17"/>
              </w:rPr>
              <w:t>FSC 84</w:t>
            </w:r>
          </w:p>
        </w:tc>
        <w:tc>
          <w:tcPr>
            <w:tcW w:type="dxa" w:w="4680"/>
            <w:tcMar>
              <w:top w:w="70" w:type="dxa"/>
              <w:start w:w="110" w:type="dxa"/>
              <w:bottom w:w="70" w:type="dxa"/>
              <w:end w:w="110" w:type="dxa"/>
            </w:tcMar>
            <w:shd w:fill="F4F6F7"/>
          </w:tcPr>
          <w:p>
            <w:pPr>
              <w:widowControl/>
              <w:spacing w:after="0"/>
            </w:pPr>
            <w:r>
              <w:rPr>
                <w:rFonts w:ascii="Arial" w:hAnsi="Arial"/>
                <w:sz w:val="17"/>
              </w:rPr>
              <w:t>Clothing, Individual Equipment, and Insignia and Jewelry (all elements other than sub-class 8457 – jewelry and 8460 – luggage)</w:t>
            </w:r>
          </w:p>
        </w:tc>
      </w:tr>
      <w:tr>
        <w:trPr>
          <w:cantSplit/>
        </w:trPr>
        <w:tc>
          <w:tcPr>
            <w:tcW w:type="dxa" w:w="4680"/>
            <w:tcMar>
              <w:top w:w="70" w:type="dxa"/>
              <w:start w:w="110" w:type="dxa"/>
              <w:bottom w:w="70" w:type="dxa"/>
              <w:end w:w="110" w:type="dxa"/>
            </w:tcMar>
          </w:tcPr>
          <w:p>
            <w:pPr>
              <w:widowControl/>
              <w:spacing w:after="0"/>
            </w:pPr>
            <w:r>
              <w:rPr>
                <w:rFonts w:ascii="Arial" w:hAnsi="Arial"/>
                <w:sz w:val="17"/>
              </w:rPr>
              <w:t>FSC 89</w:t>
            </w:r>
          </w:p>
        </w:tc>
        <w:tc>
          <w:tcPr>
            <w:tcW w:type="dxa" w:w="4680"/>
            <w:tcMar>
              <w:top w:w="70" w:type="dxa"/>
              <w:start w:w="110" w:type="dxa"/>
              <w:bottom w:w="70" w:type="dxa"/>
              <w:end w:w="110" w:type="dxa"/>
            </w:tcMar>
          </w:tcPr>
          <w:p>
            <w:pPr>
              <w:widowControl/>
              <w:spacing w:after="0"/>
            </w:pPr>
            <w:r>
              <w:rPr>
                <w:rFonts w:ascii="Arial" w:hAnsi="Arial"/>
                <w:sz w:val="17"/>
              </w:rPr>
              <w:t>Subsistence (all elements other than sub-class 8975- tobacco products)</w:t>
            </w:r>
          </w:p>
        </w:tc>
      </w:tr>
    </w:tbl>
    <w:p>
      <w:pPr>
        <w:widowControl/>
      </w:pPr>
      <w:r>
        <w:rPr>
          <w:b w:val="0"/>
        </w:rPr>
        <w:t>(b) Chapter 13 (Government Procurement) does not cover procurement of any specialty metal or any good containing one or more specialty metals. Specialty metal means: (i) steel for which the maximum alloy content exceeds one or more of the following levels: manganese, 1.65 per cent; silicon, 0.60 per cent; or copper, 0.60 per cent; (ii) steel that contains more than 0.25 per cent of any of the following elements: aluminum, chromium, cobalt, columbium, molybdenum, nickel, titanium, tungsten or vanadium; (iii) a metal alloy consisting of a nickel, iron-nickel or cobalt base alloy 13-A-21 that contains a total of other alloying metals (except iron) in excess of 10 per cent; (iv) titanium or a titanium alloy; or (v) zirconium or a zirconium base alloy.</w:t>
      </w:r>
    </w:p>
    <w:p>
      <w:pPr>
        <w:widowControl/>
      </w:pPr>
      <w:r>
        <w:rPr>
          <w:b w:val="0"/>
        </w:rPr>
        <w:t>(c) Chapter 13 (Government Procurement) generally shall not cover procurement of any good described in any of the following FSC classifications, due to the application of Article 32.2 (Essential Security):</w:t>
      </w:r>
    </w:p>
    <w:tbl>
      <w:tblPr>
        <w:tblStyle w:val="TableGrid"/>
        <w:tblW w:type="auto" w:w="0"/>
        <w:jc w:val="center"/>
        <w:tblLayout w:type="autofit"/>
        <w:tblLook w:firstColumn="1" w:firstRow="1" w:lastColumn="0" w:lastRow="0" w:noHBand="0" w:noVBand="1" w:val="04A0"/>
      </w:tblPr>
      <w:tblGrid>
        <w:gridCol w:w="4680"/>
        <w:gridCol w:w="4680"/>
      </w:tblGrid>
      <w:tr>
        <w:trPr>
          <w:tblHeader w:val="true"/>
          <w:cantSplit/>
          <w:tblHeader w:val="true"/>
        </w:trPr>
        <w:tc>
          <w:tcPr>
            <w:tcW w:type="dxa" w:w="4680"/>
            <w:shd w:fill="233746"/>
          </w:tcPr>
          <w:p>
            <w:pPr>
              <w:spacing w:after="0"/>
            </w:pPr>
            <w:r>
              <w:rPr>
                <w:rFonts w:ascii="Arial" w:hAnsi="Arial"/>
                <w:b/>
                <w:color w:val="FFFFFF"/>
                <w:sz w:val="17"/>
              </w:rPr>
              <w:t>FSC</w:t>
            </w:r>
          </w:p>
        </w:tc>
        <w:tc>
          <w:tcPr>
            <w:tcW w:type="dxa" w:w="4680"/>
            <w:shd w:fill="233746"/>
          </w:tcPr>
          <w:p>
            <w:pPr>
              <w:spacing w:after="0"/>
            </w:pPr>
            <w:r>
              <w:rPr>
                <w:rFonts w:ascii="Arial" w:hAnsi="Arial"/>
                <w:b/>
                <w:color w:val="FFFFFF"/>
                <w:sz w:val="17"/>
              </w:rPr>
              <w:t>Description</w:t>
            </w:r>
          </w:p>
        </w:tc>
      </w:tr>
      <w:tr>
        <w:trPr>
          <w:cantSplit/>
        </w:trPr>
        <w:tc>
          <w:tcPr>
            <w:tcW w:type="dxa" w:w="4680"/>
            <w:tcMar>
              <w:top w:w="70" w:type="dxa"/>
              <w:start w:w="110" w:type="dxa"/>
              <w:bottom w:w="70" w:type="dxa"/>
              <w:end w:w="110" w:type="dxa"/>
            </w:tcMar>
          </w:tcPr>
          <w:p>
            <w:pPr>
              <w:widowControl/>
              <w:spacing w:after="0"/>
            </w:pPr>
            <w:r>
              <w:rPr>
                <w:rFonts w:ascii="Arial" w:hAnsi="Arial"/>
                <w:sz w:val="17"/>
              </w:rPr>
              <w:t>FSC 10</w:t>
            </w:r>
          </w:p>
        </w:tc>
        <w:tc>
          <w:tcPr>
            <w:tcW w:type="dxa" w:w="4680"/>
            <w:tcMar>
              <w:top w:w="70" w:type="dxa"/>
              <w:start w:w="110" w:type="dxa"/>
              <w:bottom w:w="70" w:type="dxa"/>
              <w:end w:w="110" w:type="dxa"/>
            </w:tcMar>
          </w:tcPr>
          <w:p>
            <w:pPr>
              <w:widowControl/>
              <w:spacing w:after="0"/>
            </w:pPr>
            <w:r>
              <w:rPr>
                <w:rFonts w:ascii="Arial" w:hAnsi="Arial"/>
                <w:sz w:val="17"/>
              </w:rPr>
              <w:t>Weapons</w:t>
            </w:r>
          </w:p>
        </w:tc>
      </w:tr>
      <w:tr>
        <w:trPr>
          <w:cantSplit/>
        </w:trPr>
        <w:tc>
          <w:tcPr>
            <w:tcW w:type="dxa" w:w="4680"/>
            <w:tcMar>
              <w:top w:w="70" w:type="dxa"/>
              <w:start w:w="110" w:type="dxa"/>
              <w:bottom w:w="70" w:type="dxa"/>
              <w:end w:w="110" w:type="dxa"/>
            </w:tcMar>
            <w:shd w:fill="F4F6F7"/>
          </w:tcPr>
          <w:p>
            <w:pPr>
              <w:widowControl/>
              <w:spacing w:after="0"/>
            </w:pPr>
            <w:r>
              <w:rPr>
                <w:rFonts w:ascii="Arial" w:hAnsi="Arial"/>
                <w:sz w:val="17"/>
              </w:rPr>
              <w:t>FSC 12</w:t>
            </w:r>
          </w:p>
        </w:tc>
        <w:tc>
          <w:tcPr>
            <w:tcW w:type="dxa" w:w="4680"/>
            <w:tcMar>
              <w:top w:w="70" w:type="dxa"/>
              <w:start w:w="110" w:type="dxa"/>
              <w:bottom w:w="70" w:type="dxa"/>
              <w:end w:w="110" w:type="dxa"/>
            </w:tcMar>
            <w:shd w:fill="F4F6F7"/>
          </w:tcPr>
          <w:p>
            <w:pPr>
              <w:widowControl/>
              <w:spacing w:after="0"/>
            </w:pPr>
            <w:r>
              <w:rPr>
                <w:rFonts w:ascii="Arial" w:hAnsi="Arial"/>
                <w:sz w:val="17"/>
              </w:rPr>
              <w:t>Fire Control Equipment</w:t>
            </w:r>
          </w:p>
        </w:tc>
      </w:tr>
      <w:tr>
        <w:trPr>
          <w:cantSplit/>
        </w:trPr>
        <w:tc>
          <w:tcPr>
            <w:tcW w:type="dxa" w:w="4680"/>
            <w:tcMar>
              <w:top w:w="70" w:type="dxa"/>
              <w:start w:w="110" w:type="dxa"/>
              <w:bottom w:w="70" w:type="dxa"/>
              <w:end w:w="110" w:type="dxa"/>
            </w:tcMar>
          </w:tcPr>
          <w:p>
            <w:pPr>
              <w:widowControl/>
              <w:spacing w:after="0"/>
            </w:pPr>
            <w:r>
              <w:rPr>
                <w:rFonts w:ascii="Arial" w:hAnsi="Arial"/>
                <w:sz w:val="17"/>
              </w:rPr>
              <w:t>FSC 13</w:t>
            </w:r>
          </w:p>
        </w:tc>
        <w:tc>
          <w:tcPr>
            <w:tcW w:type="dxa" w:w="4680"/>
            <w:tcMar>
              <w:top w:w="70" w:type="dxa"/>
              <w:start w:w="110" w:type="dxa"/>
              <w:bottom w:w="70" w:type="dxa"/>
              <w:end w:w="110" w:type="dxa"/>
            </w:tcMar>
          </w:tcPr>
          <w:p>
            <w:pPr>
              <w:widowControl/>
              <w:spacing w:after="0"/>
            </w:pPr>
            <w:r>
              <w:rPr>
                <w:rFonts w:ascii="Arial" w:hAnsi="Arial"/>
                <w:sz w:val="17"/>
              </w:rPr>
              <w:t>Ammunitions and Explosives</w:t>
            </w:r>
          </w:p>
        </w:tc>
      </w:tr>
      <w:tr>
        <w:trPr>
          <w:cantSplit/>
        </w:trPr>
        <w:tc>
          <w:tcPr>
            <w:tcW w:type="dxa" w:w="4680"/>
            <w:tcMar>
              <w:top w:w="70" w:type="dxa"/>
              <w:start w:w="110" w:type="dxa"/>
              <w:bottom w:w="70" w:type="dxa"/>
              <w:end w:w="110" w:type="dxa"/>
            </w:tcMar>
            <w:shd w:fill="F4F6F7"/>
          </w:tcPr>
          <w:p>
            <w:pPr>
              <w:widowControl/>
              <w:spacing w:after="0"/>
            </w:pPr>
            <w:r>
              <w:rPr>
                <w:rFonts w:ascii="Arial" w:hAnsi="Arial"/>
                <w:sz w:val="17"/>
              </w:rPr>
              <w:t>FSC 14</w:t>
            </w:r>
          </w:p>
        </w:tc>
        <w:tc>
          <w:tcPr>
            <w:tcW w:type="dxa" w:w="4680"/>
            <w:tcMar>
              <w:top w:w="70" w:type="dxa"/>
              <w:start w:w="110" w:type="dxa"/>
              <w:bottom w:w="70" w:type="dxa"/>
              <w:end w:w="110" w:type="dxa"/>
            </w:tcMar>
            <w:shd w:fill="F4F6F7"/>
          </w:tcPr>
          <w:p>
            <w:pPr>
              <w:widowControl/>
              <w:spacing w:after="0"/>
            </w:pPr>
            <w:r>
              <w:rPr>
                <w:rFonts w:ascii="Arial" w:hAnsi="Arial"/>
                <w:sz w:val="17"/>
              </w:rPr>
              <w:t>Guided Missiles</w:t>
            </w:r>
          </w:p>
        </w:tc>
      </w:tr>
      <w:tr>
        <w:trPr>
          <w:cantSplit/>
        </w:trPr>
        <w:tc>
          <w:tcPr>
            <w:tcW w:type="dxa" w:w="4680"/>
            <w:tcMar>
              <w:top w:w="70" w:type="dxa"/>
              <w:start w:w="110" w:type="dxa"/>
              <w:bottom w:w="70" w:type="dxa"/>
              <w:end w:w="110" w:type="dxa"/>
            </w:tcMar>
          </w:tcPr>
          <w:p>
            <w:pPr>
              <w:widowControl/>
              <w:spacing w:after="0"/>
            </w:pPr>
            <w:r>
              <w:rPr>
                <w:rFonts w:ascii="Arial" w:hAnsi="Arial"/>
                <w:sz w:val="17"/>
              </w:rPr>
              <w:t>FSC 15</w:t>
            </w:r>
          </w:p>
        </w:tc>
        <w:tc>
          <w:tcPr>
            <w:tcW w:type="dxa" w:w="4680"/>
            <w:tcMar>
              <w:top w:w="70" w:type="dxa"/>
              <w:start w:w="110" w:type="dxa"/>
              <w:bottom w:w="70" w:type="dxa"/>
              <w:end w:w="110" w:type="dxa"/>
            </w:tcMar>
          </w:tcPr>
          <w:p>
            <w:pPr>
              <w:widowControl/>
              <w:spacing w:after="0"/>
            </w:pPr>
            <w:r>
              <w:rPr>
                <w:rFonts w:ascii="Arial" w:hAnsi="Arial"/>
                <w:sz w:val="17"/>
              </w:rPr>
              <w:t>Aerospace Craft and Structural Components</w:t>
            </w:r>
          </w:p>
        </w:tc>
      </w:tr>
      <w:tr>
        <w:trPr>
          <w:cantSplit/>
        </w:trPr>
        <w:tc>
          <w:tcPr>
            <w:tcW w:type="dxa" w:w="4680"/>
            <w:tcMar>
              <w:top w:w="70" w:type="dxa"/>
              <w:start w:w="110" w:type="dxa"/>
              <w:bottom w:w="70" w:type="dxa"/>
              <w:end w:w="110" w:type="dxa"/>
            </w:tcMar>
            <w:shd w:fill="F4F6F7"/>
          </w:tcPr>
          <w:p>
            <w:pPr>
              <w:widowControl/>
              <w:spacing w:after="0"/>
            </w:pPr>
            <w:r>
              <w:rPr>
                <w:rFonts w:ascii="Arial" w:hAnsi="Arial"/>
                <w:sz w:val="17"/>
              </w:rPr>
              <w:t>FSC 16</w:t>
            </w:r>
          </w:p>
        </w:tc>
        <w:tc>
          <w:tcPr>
            <w:tcW w:type="dxa" w:w="4680"/>
            <w:tcMar>
              <w:top w:w="70" w:type="dxa"/>
              <w:start w:w="110" w:type="dxa"/>
              <w:bottom w:w="70" w:type="dxa"/>
              <w:end w:w="110" w:type="dxa"/>
            </w:tcMar>
            <w:shd w:fill="F4F6F7"/>
          </w:tcPr>
          <w:p>
            <w:pPr>
              <w:widowControl/>
              <w:spacing w:after="0"/>
            </w:pPr>
            <w:r>
              <w:rPr>
                <w:rFonts w:ascii="Arial" w:hAnsi="Arial"/>
                <w:sz w:val="17"/>
              </w:rPr>
              <w:t>Aerospace Craft Components and Accessories</w:t>
            </w:r>
          </w:p>
        </w:tc>
      </w:tr>
      <w:tr>
        <w:trPr>
          <w:cantSplit/>
        </w:trPr>
        <w:tc>
          <w:tcPr>
            <w:tcW w:type="dxa" w:w="4680"/>
            <w:tcMar>
              <w:top w:w="70" w:type="dxa"/>
              <w:start w:w="110" w:type="dxa"/>
              <w:bottom w:w="70" w:type="dxa"/>
              <w:end w:w="110" w:type="dxa"/>
            </w:tcMar>
          </w:tcPr>
          <w:p>
            <w:pPr>
              <w:widowControl/>
              <w:spacing w:after="0"/>
            </w:pPr>
            <w:r>
              <w:rPr>
                <w:rFonts w:ascii="Arial" w:hAnsi="Arial"/>
                <w:sz w:val="17"/>
              </w:rPr>
              <w:t>FSC 17</w:t>
            </w:r>
          </w:p>
        </w:tc>
        <w:tc>
          <w:tcPr>
            <w:tcW w:type="dxa" w:w="4680"/>
            <w:tcMar>
              <w:top w:w="70" w:type="dxa"/>
              <w:start w:w="110" w:type="dxa"/>
              <w:bottom w:w="70" w:type="dxa"/>
              <w:end w:w="110" w:type="dxa"/>
            </w:tcMar>
          </w:tcPr>
          <w:p>
            <w:pPr>
              <w:widowControl/>
              <w:spacing w:after="0"/>
            </w:pPr>
            <w:r>
              <w:rPr>
                <w:rFonts w:ascii="Arial" w:hAnsi="Arial"/>
                <w:sz w:val="17"/>
              </w:rPr>
              <w:t>Aerospace Craft Launching, Landing and Ground Handling and Servicing Equipment</w:t>
            </w:r>
          </w:p>
        </w:tc>
      </w:tr>
      <w:tr>
        <w:trPr>
          <w:cantSplit/>
        </w:trPr>
        <w:tc>
          <w:tcPr>
            <w:tcW w:type="dxa" w:w="4680"/>
            <w:tcMar>
              <w:top w:w="70" w:type="dxa"/>
              <w:start w:w="110" w:type="dxa"/>
              <w:bottom w:w="70" w:type="dxa"/>
              <w:end w:w="110" w:type="dxa"/>
            </w:tcMar>
            <w:shd w:fill="F4F6F7"/>
          </w:tcPr>
          <w:p>
            <w:pPr>
              <w:widowControl/>
              <w:spacing w:after="0"/>
            </w:pPr>
            <w:r>
              <w:rPr>
                <w:rFonts w:ascii="Arial" w:hAnsi="Arial"/>
                <w:sz w:val="17"/>
              </w:rPr>
              <w:t>FSC 19</w:t>
            </w:r>
          </w:p>
        </w:tc>
        <w:tc>
          <w:tcPr>
            <w:tcW w:type="dxa" w:w="4680"/>
            <w:tcMar>
              <w:top w:w="70" w:type="dxa"/>
              <w:start w:w="110" w:type="dxa"/>
              <w:bottom w:w="70" w:type="dxa"/>
              <w:end w:w="110" w:type="dxa"/>
            </w:tcMar>
            <w:shd w:fill="F4F6F7"/>
          </w:tcPr>
          <w:p>
            <w:pPr>
              <w:widowControl/>
              <w:spacing w:after="0"/>
            </w:pPr>
            <w:r>
              <w:rPr>
                <w:rFonts w:ascii="Arial" w:hAnsi="Arial"/>
                <w:sz w:val="17"/>
              </w:rPr>
              <w:t>Ships, Small Craft, Pontoons and Floating Docks</w:t>
            </w:r>
          </w:p>
        </w:tc>
      </w:tr>
      <w:tr>
        <w:trPr>
          <w:cantSplit/>
        </w:trPr>
        <w:tc>
          <w:tcPr>
            <w:tcW w:type="dxa" w:w="4680"/>
            <w:tcMar>
              <w:top w:w="70" w:type="dxa"/>
              <w:start w:w="110" w:type="dxa"/>
              <w:bottom w:w="70" w:type="dxa"/>
              <w:end w:w="110" w:type="dxa"/>
            </w:tcMar>
          </w:tcPr>
          <w:p>
            <w:pPr>
              <w:widowControl/>
              <w:spacing w:after="0"/>
            </w:pPr>
            <w:r>
              <w:rPr>
                <w:rFonts w:ascii="Arial" w:hAnsi="Arial"/>
                <w:sz w:val="17"/>
              </w:rPr>
              <w:t>FSC 20</w:t>
            </w:r>
          </w:p>
        </w:tc>
        <w:tc>
          <w:tcPr>
            <w:tcW w:type="dxa" w:w="4680"/>
            <w:tcMar>
              <w:top w:w="70" w:type="dxa"/>
              <w:start w:w="110" w:type="dxa"/>
              <w:bottom w:w="70" w:type="dxa"/>
              <w:end w:w="110" w:type="dxa"/>
            </w:tcMar>
          </w:tcPr>
          <w:p>
            <w:pPr>
              <w:widowControl/>
              <w:spacing w:after="0"/>
            </w:pPr>
            <w:r>
              <w:rPr>
                <w:rFonts w:ascii="Arial" w:hAnsi="Arial"/>
                <w:sz w:val="17"/>
              </w:rPr>
              <w:t>Ship and Marine Equipment</w:t>
            </w:r>
          </w:p>
        </w:tc>
      </w:tr>
      <w:tr>
        <w:trPr>
          <w:cantSplit/>
        </w:trPr>
        <w:tc>
          <w:tcPr>
            <w:tcW w:type="dxa" w:w="4680"/>
            <w:tcMar>
              <w:top w:w="70" w:type="dxa"/>
              <w:start w:w="110" w:type="dxa"/>
              <w:bottom w:w="70" w:type="dxa"/>
              <w:end w:w="110" w:type="dxa"/>
            </w:tcMar>
            <w:shd w:fill="F4F6F7"/>
          </w:tcPr>
          <w:p>
            <w:pPr>
              <w:widowControl/>
              <w:spacing w:after="0"/>
            </w:pPr>
            <w:r>
              <w:rPr>
                <w:rFonts w:ascii="Arial" w:hAnsi="Arial"/>
                <w:sz w:val="17"/>
              </w:rPr>
              <w:t>FSC 28</w:t>
            </w:r>
          </w:p>
        </w:tc>
        <w:tc>
          <w:tcPr>
            <w:tcW w:type="dxa" w:w="4680"/>
            <w:tcMar>
              <w:top w:w="70" w:type="dxa"/>
              <w:start w:w="110" w:type="dxa"/>
              <w:bottom w:w="70" w:type="dxa"/>
              <w:end w:w="110" w:type="dxa"/>
            </w:tcMar>
            <w:shd w:fill="F4F6F7"/>
          </w:tcPr>
          <w:p>
            <w:pPr>
              <w:widowControl/>
              <w:spacing w:after="0"/>
            </w:pPr>
            <w:r>
              <w:rPr>
                <w:rFonts w:ascii="Arial" w:hAnsi="Arial"/>
                <w:sz w:val="17"/>
              </w:rPr>
              <w:t>Engines, Turbines and Components</w:t>
            </w:r>
          </w:p>
        </w:tc>
      </w:tr>
      <w:tr>
        <w:trPr>
          <w:cantSplit/>
        </w:trPr>
        <w:tc>
          <w:tcPr>
            <w:tcW w:type="dxa" w:w="4680"/>
            <w:tcMar>
              <w:top w:w="70" w:type="dxa"/>
              <w:start w:w="110" w:type="dxa"/>
              <w:bottom w:w="70" w:type="dxa"/>
              <w:end w:w="110" w:type="dxa"/>
            </w:tcMar>
          </w:tcPr>
          <w:p>
            <w:pPr>
              <w:widowControl/>
              <w:spacing w:after="0"/>
            </w:pPr>
            <w:r>
              <w:rPr>
                <w:rFonts w:ascii="Arial" w:hAnsi="Arial"/>
                <w:sz w:val="17"/>
              </w:rPr>
              <w:t>FSC 31</w:t>
            </w:r>
          </w:p>
        </w:tc>
        <w:tc>
          <w:tcPr>
            <w:tcW w:type="dxa" w:w="4680"/>
            <w:tcMar>
              <w:top w:w="70" w:type="dxa"/>
              <w:start w:w="110" w:type="dxa"/>
              <w:bottom w:w="70" w:type="dxa"/>
              <w:end w:w="110" w:type="dxa"/>
            </w:tcMar>
          </w:tcPr>
          <w:p>
            <w:pPr>
              <w:widowControl/>
              <w:spacing w:after="0"/>
            </w:pPr>
            <w:r>
              <w:rPr>
                <w:rFonts w:ascii="Arial" w:hAnsi="Arial"/>
                <w:sz w:val="17"/>
              </w:rPr>
              <w:t>Bearings</w:t>
            </w:r>
          </w:p>
        </w:tc>
      </w:tr>
      <w:tr>
        <w:trPr>
          <w:cantSplit/>
        </w:trPr>
        <w:tc>
          <w:tcPr>
            <w:tcW w:type="dxa" w:w="4680"/>
            <w:tcMar>
              <w:top w:w="70" w:type="dxa"/>
              <w:start w:w="110" w:type="dxa"/>
              <w:bottom w:w="70" w:type="dxa"/>
              <w:end w:w="110" w:type="dxa"/>
            </w:tcMar>
            <w:shd w:fill="F4F6F7"/>
          </w:tcPr>
          <w:p>
            <w:pPr>
              <w:widowControl/>
              <w:spacing w:after="0"/>
            </w:pPr>
            <w:r>
              <w:rPr>
                <w:rFonts w:ascii="Arial" w:hAnsi="Arial"/>
                <w:sz w:val="17"/>
              </w:rPr>
              <w:t>FSC 58</w:t>
            </w:r>
          </w:p>
        </w:tc>
        <w:tc>
          <w:tcPr>
            <w:tcW w:type="dxa" w:w="4680"/>
            <w:tcMar>
              <w:top w:w="70" w:type="dxa"/>
              <w:start w:w="110" w:type="dxa"/>
              <w:bottom w:w="70" w:type="dxa"/>
              <w:end w:w="110" w:type="dxa"/>
            </w:tcMar>
            <w:shd w:fill="F4F6F7"/>
          </w:tcPr>
          <w:p>
            <w:pPr>
              <w:widowControl/>
              <w:spacing w:after="0"/>
            </w:pPr>
            <w:r>
              <w:rPr>
                <w:rFonts w:ascii="Arial" w:hAnsi="Arial"/>
                <w:sz w:val="17"/>
              </w:rPr>
              <w:t>Communications, Detection, and Coherent Radiation Equipment</w:t>
            </w:r>
          </w:p>
        </w:tc>
      </w:tr>
      <w:tr>
        <w:trPr>
          <w:cantSplit/>
        </w:trPr>
        <w:tc>
          <w:tcPr>
            <w:tcW w:type="dxa" w:w="4680"/>
            <w:tcMar>
              <w:top w:w="70" w:type="dxa"/>
              <w:start w:w="110" w:type="dxa"/>
              <w:bottom w:w="70" w:type="dxa"/>
              <w:end w:w="110" w:type="dxa"/>
            </w:tcMar>
          </w:tcPr>
          <w:p>
            <w:pPr>
              <w:widowControl/>
              <w:spacing w:after="0"/>
            </w:pPr>
            <w:r>
              <w:rPr>
                <w:rFonts w:ascii="Arial" w:hAnsi="Arial"/>
                <w:sz w:val="17"/>
              </w:rPr>
              <w:t>FSC 59</w:t>
            </w:r>
          </w:p>
        </w:tc>
        <w:tc>
          <w:tcPr>
            <w:tcW w:type="dxa" w:w="4680"/>
            <w:tcMar>
              <w:top w:w="70" w:type="dxa"/>
              <w:start w:w="110" w:type="dxa"/>
              <w:bottom w:w="70" w:type="dxa"/>
              <w:end w:w="110" w:type="dxa"/>
            </w:tcMar>
          </w:tcPr>
          <w:p>
            <w:pPr>
              <w:widowControl/>
              <w:spacing w:after="0"/>
            </w:pPr>
            <w:r>
              <w:rPr>
                <w:rFonts w:ascii="Arial" w:hAnsi="Arial"/>
                <w:sz w:val="17"/>
              </w:rPr>
              <w:t>Electrical and Electronic Equipment Components</w:t>
            </w:r>
          </w:p>
        </w:tc>
      </w:tr>
      <w:tr>
        <w:trPr>
          <w:cantSplit/>
        </w:trPr>
        <w:tc>
          <w:tcPr>
            <w:tcW w:type="dxa" w:w="4680"/>
            <w:tcMar>
              <w:top w:w="70" w:type="dxa"/>
              <w:start w:w="110" w:type="dxa"/>
              <w:bottom w:w="70" w:type="dxa"/>
              <w:end w:w="110" w:type="dxa"/>
            </w:tcMar>
            <w:shd w:fill="F4F6F7"/>
          </w:tcPr>
          <w:p>
            <w:pPr>
              <w:widowControl/>
              <w:spacing w:after="0"/>
            </w:pPr>
            <w:r>
              <w:rPr>
                <w:rFonts w:ascii="Arial" w:hAnsi="Arial"/>
                <w:sz w:val="17"/>
              </w:rPr>
              <w:t>FSC 95</w:t>
            </w:r>
          </w:p>
        </w:tc>
        <w:tc>
          <w:tcPr>
            <w:tcW w:type="dxa" w:w="4680"/>
            <w:tcMar>
              <w:top w:w="70" w:type="dxa"/>
              <w:start w:w="110" w:type="dxa"/>
              <w:bottom w:w="70" w:type="dxa"/>
              <w:end w:w="110" w:type="dxa"/>
            </w:tcMar>
            <w:shd w:fill="F4F6F7"/>
          </w:tcPr>
          <w:p>
            <w:pPr>
              <w:widowControl/>
              <w:spacing w:after="0"/>
            </w:pPr>
            <w:r>
              <w:rPr>
                <w:rFonts w:ascii="Arial" w:hAnsi="Arial"/>
                <w:sz w:val="17"/>
              </w:rPr>
              <w:t>Metal Bars, Sheets, and Shapes</w:t>
            </w:r>
          </w:p>
        </w:tc>
      </w:tr>
    </w:tbl>
    <w:p>
      <w:pPr>
        <w:widowControl/>
      </w:pPr>
      <w:r>
        <w:rPr>
          <w:b w:val="0"/>
        </w:rPr>
        <w:t>3. Department of Energy: Due to the application of Article 32.2 (Essential Security), Chapter 13 (Government Procurement) does not cover procurement of: (a) any good or service that supports the safeguarding of nuclear materials or technology, where the Department of Energy conducts the procurement under the authority of the Atomic Energy Act; or (b) any oil purchase related to the Strategic Petroleum Reserve. 4.</w:t>
      </w:r>
    </w:p>
    <w:p>
      <w:pPr>
        <w:widowControl/>
      </w:pPr>
      <w:r>
        <w:rPr>
          <w:b w:val="0"/>
        </w:rPr>
        <w:t>Department of Homeland Security: (a) Chapter 13 (Government Procurement) does not cover procurement by the Transportation Security Administration of FSC 83 (Textiles, Leather, Furs, Apparel, Shoe Findings, Tents and Flags) and FSC 84 (Clothing, Individual Equipment, and Insignia and Jewelry). (b) The national security considerations applicable to the Department of Defense 13-A-22 apply equally to the U.S. Coast Guard. 5. General Services Administration: Chapter 13 (Government Procurement) does not cover procurement of any good in any of the following FSC classifications:</w:t>
      </w:r>
    </w:p>
    <w:tbl>
      <w:tblPr>
        <w:tblStyle w:val="TableGrid"/>
        <w:tblW w:type="auto" w:w="0"/>
        <w:jc w:val="center"/>
        <w:tblLayout w:type="autofit"/>
        <w:tblLook w:firstColumn="1" w:firstRow="1" w:lastColumn="0" w:lastRow="0" w:noHBand="0" w:noVBand="1" w:val="04A0"/>
      </w:tblPr>
      <w:tblGrid>
        <w:gridCol w:w="4680"/>
        <w:gridCol w:w="4680"/>
      </w:tblGrid>
      <w:tr>
        <w:trPr>
          <w:tblHeader w:val="true"/>
          <w:cantSplit/>
          <w:tblHeader w:val="true"/>
        </w:trPr>
        <w:tc>
          <w:tcPr>
            <w:tcW w:type="dxa" w:w="4680"/>
            <w:shd w:fill="233746"/>
          </w:tcPr>
          <w:p>
            <w:pPr>
              <w:spacing w:after="0"/>
            </w:pPr>
            <w:r>
              <w:rPr>
                <w:rFonts w:ascii="Arial" w:hAnsi="Arial"/>
                <w:b/>
                <w:color w:val="FFFFFF"/>
                <w:sz w:val="17"/>
              </w:rPr>
              <w:t>FSC</w:t>
            </w:r>
          </w:p>
        </w:tc>
        <w:tc>
          <w:tcPr>
            <w:tcW w:type="dxa" w:w="4680"/>
            <w:shd w:fill="233746"/>
          </w:tcPr>
          <w:p>
            <w:pPr>
              <w:spacing w:after="0"/>
            </w:pPr>
            <w:r>
              <w:rPr>
                <w:rFonts w:ascii="Arial" w:hAnsi="Arial"/>
                <w:b/>
                <w:color w:val="FFFFFF"/>
                <w:sz w:val="17"/>
              </w:rPr>
              <w:t>Description</w:t>
            </w:r>
          </w:p>
        </w:tc>
      </w:tr>
      <w:tr>
        <w:trPr>
          <w:cantSplit/>
        </w:trPr>
        <w:tc>
          <w:tcPr>
            <w:tcW w:type="dxa" w:w="4680"/>
            <w:tcMar>
              <w:top w:w="70" w:type="dxa"/>
              <w:start w:w="110" w:type="dxa"/>
              <w:bottom w:w="70" w:type="dxa"/>
              <w:end w:w="110" w:type="dxa"/>
            </w:tcMar>
          </w:tcPr>
          <w:p>
            <w:pPr>
              <w:widowControl/>
              <w:spacing w:after="0"/>
            </w:pPr>
            <w:r>
              <w:rPr>
                <w:rFonts w:ascii="Arial" w:hAnsi="Arial"/>
                <w:sz w:val="17"/>
              </w:rPr>
              <w:t>FSC 51</w:t>
            </w:r>
          </w:p>
        </w:tc>
        <w:tc>
          <w:tcPr>
            <w:tcW w:type="dxa" w:w="4680"/>
            <w:tcMar>
              <w:top w:w="70" w:type="dxa"/>
              <w:start w:w="110" w:type="dxa"/>
              <w:bottom w:w="70" w:type="dxa"/>
              <w:end w:w="110" w:type="dxa"/>
            </w:tcMar>
          </w:tcPr>
          <w:p>
            <w:pPr>
              <w:widowControl/>
              <w:spacing w:after="0"/>
            </w:pPr>
            <w:r>
              <w:rPr>
                <w:rFonts w:ascii="Arial" w:hAnsi="Arial"/>
                <w:sz w:val="17"/>
              </w:rPr>
              <w:t>Hand Tools</w:t>
            </w:r>
          </w:p>
        </w:tc>
      </w:tr>
      <w:tr>
        <w:trPr>
          <w:cantSplit/>
        </w:trPr>
        <w:tc>
          <w:tcPr>
            <w:tcW w:type="dxa" w:w="4680"/>
            <w:tcMar>
              <w:top w:w="70" w:type="dxa"/>
              <w:start w:w="110" w:type="dxa"/>
              <w:bottom w:w="70" w:type="dxa"/>
              <w:end w:w="110" w:type="dxa"/>
            </w:tcMar>
            <w:shd w:fill="F4F6F7"/>
          </w:tcPr>
          <w:p>
            <w:pPr>
              <w:widowControl/>
              <w:spacing w:after="0"/>
            </w:pPr>
            <w:r>
              <w:rPr>
                <w:rFonts w:ascii="Arial" w:hAnsi="Arial"/>
                <w:sz w:val="17"/>
              </w:rPr>
              <w:t>FSC 52</w:t>
            </w:r>
          </w:p>
        </w:tc>
        <w:tc>
          <w:tcPr>
            <w:tcW w:type="dxa" w:w="4680"/>
            <w:tcMar>
              <w:top w:w="70" w:type="dxa"/>
              <w:start w:w="110" w:type="dxa"/>
              <w:bottom w:w="70" w:type="dxa"/>
              <w:end w:w="110" w:type="dxa"/>
            </w:tcMar>
            <w:shd w:fill="F4F6F7"/>
          </w:tcPr>
          <w:p>
            <w:pPr>
              <w:widowControl/>
              <w:spacing w:after="0"/>
            </w:pPr>
            <w:r>
              <w:rPr>
                <w:rFonts w:ascii="Arial" w:hAnsi="Arial"/>
                <w:sz w:val="17"/>
              </w:rPr>
              <w:t>Measuring Tools</w:t>
            </w:r>
          </w:p>
        </w:tc>
      </w:tr>
      <w:tr>
        <w:trPr>
          <w:cantSplit/>
        </w:trPr>
        <w:tc>
          <w:tcPr>
            <w:tcW w:type="dxa" w:w="4680"/>
            <w:tcMar>
              <w:top w:w="70" w:type="dxa"/>
              <w:start w:w="110" w:type="dxa"/>
              <w:bottom w:w="70" w:type="dxa"/>
              <w:end w:w="110" w:type="dxa"/>
            </w:tcMar>
          </w:tcPr>
          <w:p>
            <w:pPr>
              <w:widowControl/>
              <w:spacing w:after="0"/>
            </w:pPr>
            <w:r>
              <w:rPr>
                <w:rFonts w:ascii="Arial" w:hAnsi="Arial"/>
                <w:sz w:val="17"/>
              </w:rPr>
              <w:t>FSC 7340</w:t>
            </w:r>
          </w:p>
        </w:tc>
        <w:tc>
          <w:tcPr>
            <w:tcW w:type="dxa" w:w="4680"/>
            <w:tcMar>
              <w:top w:w="70" w:type="dxa"/>
              <w:start w:w="110" w:type="dxa"/>
              <w:bottom w:w="70" w:type="dxa"/>
              <w:end w:w="110" w:type="dxa"/>
            </w:tcMar>
          </w:tcPr>
          <w:p>
            <w:pPr>
              <w:widowControl/>
              <w:spacing w:after="0"/>
            </w:pPr>
            <w:r>
              <w:rPr>
                <w:rFonts w:ascii="Arial" w:hAnsi="Arial"/>
                <w:sz w:val="17"/>
              </w:rPr>
              <w:t>Cutlery and Flatware</w:t>
            </w:r>
          </w:p>
        </w:tc>
      </w:tr>
    </w:tbl>
    <w:p>
      <w:pPr>
        <w:widowControl/>
      </w:pPr>
      <w:r>
        <w:rPr>
          <w:b w:val="0"/>
        </w:rPr>
        <w:t>6. Rural Utilities Service: Federal buy national requirements imposed as conditions of funding by the Rural Utilities Service will not apply to goods of Mexico, suppliers of such goods, and service suppliers of Mexico. Section B: Other Entities Thresholds: 1. Chapter 13 (Government Procurement) applies to the other covered entities listed in this Section where the value of the procurement is estimated, in accordance with Article 13.2.8 (Scope) and Article 13.2.9 (Scope), to equal or exceed: (a) for procurement of goods and services:</w:t>
      </w:r>
    </w:p>
    <w:p>
      <w:pPr>
        <w:pStyle w:val="Normal"/>
        <w:widowControl/>
        <w:rPr/>
      </w:pPr>
      <w:r>
        <w:rPr/>
        <w:t>US$401,584; and (b) for procurement of construction services: US$12,851,327. The monetary threshold set out in subparagraph (b) shall be adjusted in accordance with Section G (Threshold Adjustment Formula) of this Schedule. 2.</w:t>
      </w:r>
    </w:p>
    <w:p>
      <w:pPr>
        <w:pStyle w:val="Normal"/>
        <w:widowControl/>
        <w:rPr/>
      </w:pPr>
      <w:r>
        <w:rPr/>
        <w:t>Unless otherwise specified herein, Chapter 13 (Government Procurement) applies only to the entities listed in this Section. List of Entities: 1. Tennessee Valley Authority 2. Bonneville Power Administration 3. Western Area Power Administration 4. Southeastern Power Administration 5. Southwestern Power Administration 6. St. Lawrence Seaway Development Corporation 13-A-23 Section C: Goods Chapter 13 (Government Procurement) covers all goods procured by the entities listed in Sections A (Central Government Entities) and B (Other Entities), subject to the Notes to the respective Sections and the General Notes. Section D: Services Chapter 13 (Government Procurement) covers all services procured by the entities listed in Sections A and B, subject to the Notes to the respective Sections, the General Notes and the Notes to this Section. Notes to Section D 1. This Chapter does not cover the procurement of the following services, as elaborated in the Common Classification System, Appendix 13-D-1: A. Research and Development: All classes D. Information Processing and Related Telecommunications Services:</w:t>
      </w:r>
    </w:p>
    <w:p>
      <w:pPr>
        <w:pStyle w:val="Normal"/>
        <w:widowControl/>
        <w:rPr/>
      </w:pPr>
      <w:r>
        <w:rPr/>
        <w:t>D304 ADP Telecommunications and Transmission Services, except for those services classified as “enhanced or value-added services.” For the purposes of this provision, the procurement of “ADP Telecommunications and Transmission Services” does not include the ownership or furnishing of facilities for the transmission of voice or data services.</w:t>
      </w:r>
    </w:p>
    <w:p>
      <w:pPr>
        <w:pStyle w:val="Normal"/>
        <w:widowControl/>
        <w:rPr/>
      </w:pPr>
      <w:r>
        <w:rPr/>
        <w:t>D305 ADP Teleprocessing and Timesharing Services D316 Telecommunications Network Management Services D317 Automated News Services, Data Services or Other Information Services D399 Other ADP and Telecommunications Services J. Maintenance, Repair, Modification, Rebuilding and Installation of Goods/Equipment: J019 Maintenance, Repair, Modification, Rebuilding and Installation of Equipment Related to Ships J998 Non-nuclear Ship Repair M. Operation of Government-Owned Facilities: All facilities operated by the Department of Defense, Department of Energy, and the National Aeronautics and Space Administration; and for all entities: 13-A-24 M180 Research and Development facilities S. Utilities: All Classes V. Transportation, Travel and Relocation Services: All Classes except V503 Travel Agent Services 2. Chapter 13 (Government Procurement) does not cover procurement of any service in support of military forces located overseas. Section E: Construction Services Chapter 13 (Government Procurement) covers all construction services procured by the entities listed in Sections A and C, listed in Division 51 of the Provisional Central Product Classification (CPC), which is found at: https://unstats.un.org/unsd/cr/registry/regcs.asp?Cl=9&amp;Lg=1&amp;Co=51, subject to the Notes to the respective Sections, the General Notes and the Notes to this Section. Note to Section E Chapter 13 (Government Procurement) does not cover procurement of dredging services.</w:t>
      </w:r>
    </w:p>
    <w:p>
      <w:pPr>
        <w:pStyle w:val="Normal"/>
        <w:keepNext w:val="true"/>
        <w:widowControl/>
        <w:spacing w:before="200" w:after="80"/>
        <w:rPr/>
      </w:pPr>
      <w:r>
        <w:rPr/>
        <w:t>Section F: General Notes Unless otherwise specified herein, the following General Notes apply without exception to Chapter 13 (Government Procurement), including to all sections of this Schedule. 1. Chapter 13 (Government Procurement) does not apply to any set-aside on behalf of a small- or minority-owned business. A set-aside may include any form of preference, such as the exclusive right to provide a good or service, or any price preference. 2. Chapter 13 (Government Procurement) does not cover procurement of transportation services that form a part of, or are incidental to, a procurement contract. 3. For goods and services (including construction services) of Mexico and suppliers of such goods and services, this Chapter does not apply to procurement done by the contractual means of build-operate-transfer contract or public works concessions contract. The United States is prepared to amend this note at such time as coverage with respect to build-operate transfer contracts and public works concessions contracts can be resolved with Mexico. 13-A-25 Section G: Threshold Adjustment Formula 1. Any threshold denominated in U.S.</w:t>
      </w:r>
    </w:p>
    <w:p>
      <w:pPr>
        <w:pStyle w:val="Normal"/>
        <w:widowControl/>
        <w:rPr/>
      </w:pPr>
      <w:r>
        <w:rPr/>
        <w:t>Dollars shall be made in accordance with the following: (a) the U.S. inflation rate shall be measured by the Producer Price Index for Finished Goods published by the U.S.</w:t>
      </w:r>
    </w:p>
    <w:p>
      <w:pPr>
        <w:pStyle w:val="Normal"/>
        <w:widowControl/>
        <w:rPr/>
      </w:pPr>
      <w:r>
        <w:rPr/>
        <w:t>Bureau of Labor Statistics; (b) the first adjustment for inflation, to take effect on January 1, 2020, shall be calculated using the period from November 1, 2017 through October 31, 2019; (c) all subsequent adjustments shall be calculated using two-year periods, each period beginning November 1, and shall take effect on January 1 of the year immediately following the end of the two-year period; (d) the United States shall notify the other Party of the adjusted threshold values no later than December 16 of the year before the adjustment takes effect; and (e) the inflationary adjustment shall be estimated according to the following formula: T 0 x (1+ pi i) = T 1 T 0 = threshold value at base period pi i = accumulated U.S. inflation rate for the ith two year-period T 1 = new threshold value.</w:t>
      </w:r>
    </w:p>
    <w:p>
      <w:pPr>
        <w:pStyle w:val="Normal"/>
        <w:keepNext w:val="true"/>
        <w:widowControl/>
        <w:spacing w:before="200" w:after="80"/>
        <w:rPr/>
      </w:pPr>
      <w:r>
        <w:rPr/>
        <w:t>Section H: Procurement Information Publications utilized by the United States for the publication of notices of intended procurement and of post-award notices and the publication annually of information on permanent lists of qualified suppliers in the case of selective tendering procedures: Federal Business Opportunities (http://www.fedbizopps.gov) Laws, regulations, judicial decisions, administrative rulings and procedures regarding government procurement for entities listed in Section A (Central Government Entities) are published on the following websites: US Federal Laws (primarily US Code Titles 10 and 41): http://www.gpo.gov/fdsys/browse/collectionUScode.action?collectionCode=USCODE Federal Acquisition Regulation (FAR): http://www.acquisition.gov/far/index.html 13-A-26 Agency Supplemental Regulations: https://www.acquisition.gov/Supplemental_Regulations Federal Register: https://www.federalregister.gov/ Federal Government Procurement Policies: http://www.whitehouse.gov/omb/procurement/ Bid Protest Decisions of Government Accountability Office: http://www.gao.gov/legal/bidprotest.html US Civilian Board of Contract Appeals Decisions: http://www.cbca.gsa.gov/ Judicial Decisions: US Court of Federal Claims (jurisdiction includes claims related to government contracts, including bid protests): http://www.uscfc.uscourts.gov/ US Court of Appeals for the Federal Circuit (jurisdiction includes appeals from the US Civilian Boards of Contract Appeals):</w:t>
      </w:r>
    </w:p>
    <w:p>
      <w:pPr>
        <w:pStyle w:val="Normal"/>
        <w:widowControl/>
        <w:rPr/>
      </w:pPr>
      <w:r>
        <w:rPr/>
        <w:t>http://www.cafc.uscourts.gov/ Laws, judicial decisions, administrative rulings and procedures regarding government procurement for entities listed in Section B (Other Entities) are available directly from the listed entities. 13-A-27 Appendix 13-D-1: Common Classification System Services Notes: 1. The Parties will continue to review outstanding technical issues that may arise from time to time. 2. This common classification system follows the format described below: Group = one digit Sub-group = two digit Class = four digit A - Research and Development Definition of research and development contracts: Procurement of research and development services include the acquisition of specialized expertise for the purposes of increasing knowledge in science; applying increased scientific knowledge or exploiting the potential of scientific discoveries and improvements in technology to advance the state of art; and systematically using increases in scientific knowledge and advances in state of art to design, develop, test, or evaluate new products or services. R&amp;D Codes: The R&amp;D code is composed of two alphabetic digits. The first digit is always the letter “A” to identify R&amp;D, the second digit is alphabetic “A to Z” to identify the major sub group.</w:t>
      </w:r>
    </w:p>
    <w:p>
      <w:pPr>
        <w:pStyle w:val="Normal"/>
        <w:widowControl/>
        <w:rPr/>
      </w:pPr>
      <w:r>
        <w:rPr/>
        <w:t>Code Descriptions AA Agriculture AB Community Services and Development AC Defense Systems AD Defense - Other AE Economic Growth and Productivity AF Education AG Energy AH Environmental Protection AJ General Science and Technology AK Housing AL Income Security AM International Affairs and Cooperation AN Medical AP Natural Resources AQ Social Services AR Space AS Transportation - Modal AT Transportation - General AV Mining Activities AZ Other Research and Development 13-A-1-1 B - Studies and Analysis - (not R&amp;D) Definition of studies and analysis: Procurement of special studies and analyses are organized, analytic assessments that provide insights for understanding complex issues or improving policy development or decision making. Output obtained in such acquisitions is a formal, structured document including data or other information that form the basis for conclusions or recommendations.</w:t>
      </w:r>
    </w:p>
    <w:p>
      <w:pPr>
        <w:pStyle w:val="Normal"/>
        <w:widowControl/>
        <w:rPr/>
      </w:pPr>
      <w:r>
        <w:rPr/>
        <w:t>B0 Natural Sciences B000 Chemical/Biological Studies and Analyses B001 Endangered Species Studies - Plant and Animal B002 Animal and Fisheries Studies B003 Grazing/Range Studies B004 Natural Resource Studies B005 Oceanological Studies B009 Other Natural Sciences Studies B1 Environmental Studies B100 Air Quality Analyses B101 Environmental Studies Development of Environmental Impact Statements and Assessments B102 Soil Studies B103 Water Quality Studies B104 Wildlife Studies B109 Other Environmental Studies B2 Engineering Studies B200 Geological Studies B201 Geophysical Studies B202 Geotechnical Studies B203 Scientific Data Studies B204 Seismological Studies B205 Building Technology Studies B206 Energy Studies B207 Technology Studies B208 Housing and Community Development Studies (incl. Urban/Town Planning Studies) 13-A-1-2 B219 Other Engineering Studies B3 Administrative Support Studies B300 Cost Benefit Analyses B301 Data Analyses (other than scientific) B302 Feasibility Studies (non-construction) B303 Mathematical/Statistical Analyses B304 Regulatory Studies B305 Intelligence Studies B306 Defense Studies B307 Security Studies (Physical and Personal) B308 Accounting/Financial Management Studies B309 Trade Issue Studies B310 Foreign Policy/National Security Policy Studies B311 Organization/Administrative/Personnel Studies B312 Mobilization/Preparedness Studies B313 Manpower Studies B314 Acquisition Policy/Procedures Studies B329 Other Administrative Support Studies B4 Space</w:t>
      </w:r>
    </w:p>
    <w:p>
      <w:pPr>
        <w:pStyle w:val="Normal"/>
        <w:widowControl/>
        <w:rPr/>
      </w:pPr>
      <w:r>
        <w:rPr/>
        <w:t>Studies B400 Aeronautic/Space Studies B5 Social Studies and Humanities B500 Archeological/Paleontological Studies B501 Historical Studies B502 Recreation Studies B503 Medical and Health Studies B504 Educational Studies and Analyses B505 Elderly/Handicapped Studies B506 Economic Studies B507 Legal Studies B509 Other Studies and Analyses 13-A-1-3 C - Architect and Engineering Services C1 - Architect and Engineering Services - Related To Construction C11 Building and Facility Structures C111 Administrative and Service Buildings C112 Airfield, Communication and Missile Facilities C113 Educational Buildings C114 Hospital Buildings C115 Industrial Buildings C116 Residential Buildings C117 Warehouse Buildings C118 Research and Development Facilities C119 Other Buildings C12 Non-Building Structures C121 Conservation and Development C122 Highways, Roads, Streets, Bridges and Railways C123 Electric Power Generation (EPG) C124 Utilities C129 Other Non-Building Structures C130 Restoration C2 - Architect and Engineering Services - Not Related to Construction C211 Architect - Engineer Services (incl. landscaping, interior layout and designing) C212 Engineering Drafting Services C213 A&amp;E Inspection Services C214 A&amp;E Management Engineering Services C215 A&amp;E Production Engineering Services (incl.</w:t>
      </w:r>
    </w:p>
    <w:p>
      <w:pPr>
        <w:pStyle w:val="Normal"/>
        <w:widowControl/>
        <w:rPr/>
      </w:pPr>
      <w:r>
        <w:rPr/>
        <w:t>Design and Control and Building Programming) C216 Marine Architect and Engineering Services C219 Other Architect and Engineering Services 13-A-1-4 D - Information Processing and Related Telecommunications Services D301 ADP Facility Operation and Maintenance Services D302 ADP Systems Development Services D303 ADP Data Entry Services D304 ADP Telecommunications and Transmission Services D305 ADP Teleprocessing and Timesharing Services D306 ADP Systems Analysis Services D307 Automated Information System Design and Integration Services D308 Programming Services D309 Information and Data Broadcasting or Data Distribution Services D310 ADP Backup and Security Services D311 ADP Data Conversion Services D312 ADP Optical Scanning Services D313 Computer Aided Design/Computer Aided Manufacturing (CAD/CAM) Services D314 ADP System Acquisition Support Services (Includes preparation of statement of work, benchmarks,specifications, etc.) D315 Digitizing Services (Includes cartographic and geographic information) D316 Telecommunications Network Management Services D317 Automated News Services, Data Services, or Other Information Services. Buying data (the electronic equivalent of books, periodicals, newspapers, etc.) D399 Other ADP and Telecommunications Services (incl. data storage on tapes, Compact Disk (CD), etc.</w:t>
      </w:r>
    </w:p>
    <w:p>
      <w:pPr>
        <w:pStyle w:val="Normal"/>
        <w:widowControl/>
        <w:rPr/>
      </w:pPr>
      <w:r>
        <w:rPr/>
        <w:t>E - Environmental Services E101 Air Quality Support Services E102 Industrial Investigation Surveys and Technical Support Related to Air Pollution E103 Water Quality Support Services E104 Industrial Investigation Surveys and Technical Support Related to Water Pollution E106 Toxic Substances Support Services E107 Hazardous Substance Analysis E108 Hazardous Substance Removal, Cleanup, and Disposal Services and Operational Support 13-A-1-5 E109 Leaking Underground Storage Tank Support Services E110 Industrial Investigations, Surveys and Technical Support for Multiple Pollutants E111 Oil Spill Response including Cleanup, Removal, Disposal and Operational Support E199 Other Environmental Services F - Natural Resources Services F0 Agriculture and Forestry Services F001 Forest/Range Fire Suppression/Presuppression Services (incl. Water Bombing) F002 Forest/Range Fire Rehabilitation Services (non construction) F003 Forest Tree Planting Services F004 Land Treatment Practices Services (plowing/clearing, etc.) F005 Range Seeding Services (ground equipment) F006 Crop Services (incl. Seed Collection and Production Services) F007 Seedling Production/Transplanting Services F008 Tree Breeding Services (incl. ornamental shrub) F009 Tree Thinning Services F010 Other Range/Forest Improvements Services (non construction) F011 Pesticides /Insecticides Support Services F02 Animal Care / Control Services F020 Other Wildlife Management Services F021 Veterinary/Animal Care Services (incl.</w:t>
      </w:r>
    </w:p>
    <w:p>
      <w:pPr>
        <w:pStyle w:val="Normal"/>
        <w:widowControl/>
        <w:rPr/>
      </w:pPr>
      <w:r>
        <w:rPr/>
        <w:t>Livestock Services) F029 Other Animal Care/Control Services F03 Fisheries and Ocean Services F030 Fisheries Resources Management Services F031 Fish Hatchery Services F04 Mining 13-A-1-6 F040 Surface Mining Reclamation Services (non-construction) F041 Well Drilling F042 Other Services Incidental to Mining Except Those Listed in F040 and F041 F05 Other Natural Resources Services F050 Recreation Site Maintenance Services (non-construction) F051 Survey Line Clearing Services F059 Other Natural Resources and Conservation Services G - Health and Social Services G0 Health Services G001 Health Care G002 Internal Medicine G003 Surgery G004 Pathology G009 Other Health Services G 1 Social Services G100 Care of Remains and/or Funeral Services G101 Chaplain Services G102 Recreational Services (incl. Entertainment Services) G103 Social Rehabilitation Services G104 Geriatric Services G199 Other Social Services H - Quality Control, Testing, Inspection and Technical Representative Services HO Technical Representative Services Hl Quality Control Services H2 Equipment and Materials Testing H3 Inspection Services (incl. commercial testing and 13-A-1-7 Laboratory Services, Except Medical/Dental) H9 Other Quality Control, Testing, Inspection and Technical Representative Services J - Maintenance, Repair, Modification, Rebuilding and Installation of Goods/Equipment JO Maintenance, Repair, Modification, Rebuilding and Installation of Goods/Equipment; includes as examples: 1.</w:t>
      </w:r>
    </w:p>
    <w:p>
      <w:pPr>
        <w:pStyle w:val="Normal"/>
        <w:widowControl/>
        <w:rPr/>
      </w:pPr>
      <w:r>
        <w:rPr/>
        <w:t>Textile Finishing, Dying and Printing 2. Welding services not related to Construction.</w:t>
      </w:r>
    </w:p>
    <w:p>
      <w:pPr>
        <w:pStyle w:val="Normal"/>
        <w:widowControl/>
        <w:rPr/>
      </w:pPr>
      <w:r>
        <w:rPr/>
        <w:t>(see CPC 5155 for Construction Welding) J998 Non-nuclear Ship Repair (including overhauls and conversions) K - Custodial Operations and Related Services K0 Personal Care Services (incl. services such as Barber and Beauty Shop, Shoe Repairs and Tailoring etc.) K1 Custodial Services K100 Custodial - Janitorial Services K101 Fire Protection Services K102 Food Services K103 Fueling and Other Petroleum Services - Excluding Storage K104 Trash/Garbage Collection Services - Including Portable Sanitation Services K105 Guard Services K106 Insect and Rodent Control Services K107 Landscaping/Groundskeeping Services K108 Laundry and Dry Cleaning Services K109 Surveillance Services K110 Solid Fuel Handling Services K111 Carpet Cleaning K112 Interior Plantscaping K113 Snow Removal/Salt Service (also spreading aggregate or other snow meltings material) K114 Waste Treatment and Storage K115 Preparation and Disposal of Excess and Surplus Property 13-A-1-8 K116 Other Salvage Services K199 Other Custodial and Related Services L - Financial and Related Services L000 Government Life Insurance Programs L001 Government Health Insurance Programs L002 Other Government Insurance Programs L003 Non-Government Insurance Programs L004 Other Insurance Services L005 Credit Reporting Services L006 Banking Services L007 Debt Collection Services L008 Coin Minting L009 Banknote Printing L099 Other Financial Services M -</w:t>
      </w:r>
    </w:p>
    <w:p>
      <w:pPr>
        <w:pStyle w:val="Normal"/>
        <w:widowControl/>
        <w:rPr/>
      </w:pPr>
      <w:r>
        <w:rPr/>
        <w:t>Operation of Government - Owned Facilities M110 Administrative Facilities and Service Buildings M120 Airfield, Communications, and Missile Facilities M130 Educational Buildings M140 Hospital Buildings M150 Industrial Buildings M160 Residential Buildings M170 Warehouse Buildings M180 Research and Development Facilities M190 Other Buildings M210 Conservation and Development Facilities M220 Highways, Roads, Streets, Bridges and Railways M230 Electric Power Generation (EPG) Facilities M240 Utilities M290 Other Non-Building Facilities R - Professional, Administrative and Management Support Services R0 Professional Services R001 Specifications Development Services R002 Technology Sharing/Utilization Services R003 Legal Services 13-A-1-9 R004 Certifications and Accreditations for products and institutions other than Educational Institutions R005 Technical Assistance R006 Technical Writing Services R007 Systems Engineering Services R008 Engineering and Technical Services (incl.</w:t>
      </w:r>
    </w:p>
    <w:p>
      <w:pPr>
        <w:pStyle w:val="Normal"/>
        <w:widowControl/>
        <w:rPr/>
      </w:pPr>
      <w:r>
        <w:rPr/>
        <w:t>Mechanical, Electrical, Chemical, Electronic Engineering) R009 Accounting Services R010 Auditing Services R011 Ongoing Audit Operations Support R012 Patent and Trade Mark Services R013 Real Property Appraisals Services R014 Operations Research Studies / Quantitative Analysis Studies R015 Simulation R016 Personal Services Contracts R019 Other Professional Services R1 Administrative and Management Support Services R100 Intelligence Services R101 Expert Witness R102 Weather Reporting/Observation Services R103 Courier and Messenger Services R104 Transcription Services R105 Mailing and Distribution Services (Excluding Post Office Services) R106 Post Office Services R107 Library Services R108 Word Processing/Typing Services R109 Translation and Interpreting Services (Including Sign Language) R110 Stenographic Services R111 Personal Property Management Services R112 Information Retrieval (non-automated) R113 Data Collection Services R114 Logistics Support Services R115 Contract, Procurement, and Acquisition Support Services R116 Court Reporting Services R117 Paper Shredding Services 13-A-1-10 R118 Real Estate Brokerage Services R119 Industrial Hygienics R120 Policy Review/Development Services R121 Program Evaluation Studies R122 Program Management/Support Services R123 Program Review/Development Services R199 Other Administrative and Management Support Services R2 Personnel Recruitment R200 Military Personnel Recruitment R201 Civilian Personnel Recruitment (incl.</w:t>
      </w:r>
    </w:p>
    <w:p>
      <w:pPr>
        <w:pStyle w:val="Normal"/>
        <w:widowControl/>
        <w:rPr/>
      </w:pPr>
      <w:r>
        <w:rPr/>
        <w:t>Services of Employment Agencies) S - Utilities S000 Gas Services S001 Electric Services S002 Telephone and/or Communications Services (incl. Telegraph, Telex and Cablevision Service) S003 Water Services S099 Other Utilities T - Communications, Photographic, Mapping, Printing and Publication Services T000 Communications Studies T001 Market Research and Public Opinion Services (Formerly Telephone and Field Interview Services incl. Focus testing, Syndicated and attitude Surveys) T002 Communications Services (incl. exhibit Services) T003 Advertising Services T004 Public Relations Services (incl. Writing Services, Event Planning and Management, Media Relations, Radio and TV Analysis, Press Services) T005 Arts/Graphics Services T006 Cartography Services T007 Charting Services T008 Film Processing Services T009 Film/Video Tape Production Services T010 Microfiche Services T011 Photogrammetry Services 13-A-1-11 T012 Aerial Photographic Services T013 General Photographic Services - Still T014 Print/Binding Services T015 Reproduction Services T016 Topography Services T017 General Photographic Services - Motion T018 Audio/Visual Services T019 Land Surveys, Cadastral Services (non-construction) T099 Other Communication, Photographic, Mapping, Printing and Publication Services U - Educational and Training Services U001 Lectures For Training U002 Personnel Testing U003 Reserve Training (Military) U004 Scientific and Management Education U005 Tuition, Registration, and Membership Fees U006</w:t>
      </w:r>
    </w:p>
    <w:p>
      <w:pPr>
        <w:pStyle w:val="Normal"/>
        <w:widowControl/>
        <w:rPr/>
      </w:pPr>
      <w:r>
        <w:rPr/>
        <w:t>Vocational/Technical U007 Faculty Salaries for Schools Overseas U008 Training/Curriculum Development U009 Informatics Training U010 Certifications and Accreditations for Educational Institutions U099 Other Education and Training Services V - Transporation, Travel and Relocation Services V0 Land Transport Services V000 Motor Pool Operations V001 Motor Freight V002 Rail Freight V003 Motor Charter for Things V004 Rail Charter for Things V005 Motor Passenger Service V006 Rail Passenger Service V007 Passenger Motor Charter Service V008 Passenger Rail Charter Service V009 Ambulance Service 13-A-1-12 V010 Taxicab Services V011 Security Vehicle Service V1 Water Transport Services V100 Vessel Freight V101 Marine Charter for Things V102 Marine Passenger Service V103 Passenger Marine Charter Service V2 Air Transport Services V200 Air Freight V201 Air Charter for Things V202 Air Passenger Service V203 Passenger Air Charter Service V204 Specialty air Services including Aerial Fertilization, Spraying and Seeding V3 Space Transportation and Launch Services V4 Other Transport Services V401 Other Transportation Travel and Relocation Services V402 Other Cargo and Freight Services V403 Other Vehicle Charter for Transportation of Things V5</w:t>
      </w:r>
    </w:p>
    <w:p>
      <w:pPr>
        <w:pStyle w:val="Normal"/>
        <w:widowControl/>
        <w:rPr/>
      </w:pPr>
      <w:r>
        <w:rPr/>
        <w:t>Supporting and Auxiliary Transport Services V500 Stevedoring V501 Vessel Towing Service V502 Relocation Services V503 Travel Agent Services V504 Packing/Crating Services V505 Warehousing and Storage Services V506 Salvage of Marine Vessels V507 Salvage of</w:t>
      </w:r>
    </w:p>
    <w:p>
      <w:pPr>
        <w:pStyle w:val="Normal"/>
        <w:widowControl/>
        <w:rPr/>
      </w:pPr>
      <w:r>
        <w:rPr/>
        <w:t>Aircraft V508 Navigational Aid and Pilotage Services 13-A-1-13 W - Lease and Rental of Equipment WO Lease or Rental of Equipment 13-A-1-14</w:t>
      </w:r>
      <w:r>
        <w:br w:type="page"/>
      </w:r>
    </w:p>
    <w:p>
      <w:bookmarkStart w:id="1086" w:name="_NAESTMA_TOC_1086"/>
      <w:pPr>
        <w:pStyle w:val="Heading1"/>
        <w:keepNext/>
        <w:keepLines w:val="0"/>
        <w:pageBreakBefore/>
        <w:widowControl/>
        <w:rPr/>
      </w:pPr>
      <w:bookmarkStart w:id="53" w:name="_Toc237912530"/>
      <w:r>
        <w:rPr/>
        <w:t>CHAPTER 14 INVESTMENT</w:t>
      </w:r>
      <w:bookmarkEnd w:id="53"/>
      <w:bookmarkEnd w:id="1086"/>
    </w:p>
    <w:p>
      <w:pPr>
        <w:pStyle w:val="Normal"/>
        <w:widowControl/>
        <w:rPr/>
      </w:pPr>
      <w:r>
        <w:rPr/>
        <w:t>Original Integral Understanding — Canada–United States Research and Development Expenditures. The 2004 Guidelines understanding preserved in Annex 34-G, Part D continues according to its original terms and is not transformed into a new reservation or concession by this modernization.</w:t>
      </w:r>
    </w:p>
    <w:p>
      <w:pPr>
        <w:pStyle w:val="Normal"/>
        <w:keepNext w:val="true"/>
        <w:widowControl/>
        <w:rPr/>
      </w:pPr>
      <w:r>
        <w:rPr/>
        <w:t>Article 14.1: Definitions For the purposes of this Chapter: covered investment means, with respect to a Party, an investment in its territory of an investor of another Party in existence as of the date of entry into force of this Agreement or established, acquired, or expanded thereafter; enterprise means an enterprise as defined in Article 1.4 (General Definitions), and a branch of an enterprise; enterprise of a Party means an enterprise constituted or organized under the law of a Party, or a branch located in the territory of a Party and carrying out business activities there; freely usable currency means “freely usable currency” as determined by the International Monetary Fund under its Articles of Agreement; investment means every asset that an investor owns or controls, directly or indirectly, that has the characteristics of an investment, including such characteristics as the commitment of capital or other resources, the expectation of gain or profit, or the assumption of risk.</w:t>
      </w:r>
    </w:p>
    <w:p>
      <w:pPr>
        <w:pStyle w:val="Normal"/>
        <w:widowControl/>
        <w:rPr/>
      </w:pPr>
      <w:r>
        <w:rPr/>
        <w:t>An investment may include: (a) an enterprise; (b) shares, stock and other forms of equity participation in an enterprise; (c) bonds, debentures, other debt instruments, and loans;1 (d) futures, options, and other derivatives; (e) turnkey, construction, management, production, concession, revenue-sharing, and other similar contracts; (f) intellectual property rights; Some forms of debt, such as bonds, debentures, and long-term notes or loans, are more likely to have the characteristics of an investment, while other forms of debt, such as claims to payment that are immediately due, are less likely to have these characteristics. (g) licenses, authorizations, permits, and similar rights conferred pursuant to a Party’s law;2 and (h) other tangible or intangible, movable or immovable property, and related property rights, such as liens, mortgages, pledges, and leases, but investment does not mean: (i) an order or judgment entered in a judicial or administrative action; (j) claims to money that arise solely from:</w:t>
      </w:r>
    </w:p>
    <w:p>
      <w:pPr>
        <w:pStyle w:val="Normal"/>
        <w:widowControl/>
        <w:rPr/>
      </w:pPr>
      <w:r>
        <w:rPr/>
        <w:t>(i) commercial contracts for the sale of goods or services by a natural person or enterprise in the territory of a Party to an enterprise in the territory of another Party, or (ii) the extension of credit in connection with a commercial contract referred to in subparagraph (j)(i); investor of a non-Party means, with respect to a Party, an investor that attempts to make,3 is making, or has made an investment in the territory of that Party, that is not an investor of a</w:t>
      </w:r>
    </w:p>
    <w:p>
      <w:pPr>
        <w:pStyle w:val="Normal"/>
        <w:widowControl/>
        <w:rPr/>
      </w:pPr>
      <w:r>
        <w:rPr/>
        <w:t>Party; and investor of a Party means a Party, or a national or an enterprise of a Party, that attempts to make, is making, or has made an investment in the territory of another Party, provided however that: (a) a natural person who is a dual citizen is deemed to be exclusively a national of the State of his or her dominant and effective citizenship; and 2 Whether a particular type of license, authorization, permit, or similar instrument (including a concession to the extent that it has the nature of such an instrument) has the characteristics of an investment depends on such factors as the nature and extent of the rights that the holder has under a Party’s law. For greater certainty, among such instruments that do not have the characteristics of an investment are those that do not create any rights protected under the Party’s law. For greater certainty, the foregoing is without prejudice to whether any asset associated with such instruments has the characteristics of an investment.</w:t>
      </w:r>
    </w:p>
    <w:p>
      <w:pPr>
        <w:pStyle w:val="Normal"/>
        <w:widowControl/>
        <w:rPr/>
      </w:pPr>
      <w:r>
        <w:rPr/>
        <w:t>3 For greater certainty, the Parties understand that, for the purposes of the definitions of “investor of a non-Party” and “investor of a Party”, an investor “attempts to make” an investment when that investor has taken concrete action or actions to make an investment, such as channelling resources or capital in order to set up a business, or applying for a permit or license.</w:t>
      </w:r>
    </w:p>
    <w:p>
      <w:pPr>
        <w:pStyle w:val="Normal"/>
        <w:widowControl/>
        <w:rPr/>
      </w:pPr>
      <w:r>
        <w:rPr/>
        <w:t>(b) a natural person who is a citizen of a Party and a permanent resident of another Party is deemed to be exclusively a national of the Party of which that natural person is a citizen.</w:t>
      </w:r>
    </w:p>
    <w:p>
      <w:pPr>
        <w:pStyle w:val="Normal"/>
        <w:keepNext w:val="true"/>
        <w:widowControl/>
        <w:rPr/>
      </w:pPr>
      <w:r>
        <w:rPr/>
        <w:t>Article 14.2: Scope 1. This Chapter applies to measures adopted or maintained by a Party relating to: (a) investors of another Party; (b) covered investments; and (c) with respect to Article 14.10 (Performance Requirements) and Article 14.16 (Investment and Environmental, Health, Safety, and other Regulatory Objectives), all investments in the territory of that Party. 2. A Party’s obligations under this Chapter apply to measures adopted or maintained by: (a) the central, regional, or local governments or authorities of that Party;4 and (b) a person, including a state enterprise or another body, when it exercises any governmental authority delegated to it by central, regional, or local governments or authorities of that Party.5 3. For greater certainty, this Chapter, except as provided for in Annex 14-C (Legacy Investment Claims and Pending Claims) does not bind a Party in relation to an act or fact that took place or a situation that ceased to exist before the date of entry into force of this Agreement. 4.</w:t>
      </w:r>
    </w:p>
    <w:p>
      <w:pPr>
        <w:pStyle w:val="Normal"/>
        <w:widowControl/>
        <w:rPr/>
      </w:pPr>
      <w:r>
        <w:rPr/>
        <w:t>For greater certainty, an investor may only submit a claim to arbitration under this Chapter as provided under Annex 14-C (Legacy Investment Claims and Pending Claims), Annex 14-D (Mexico-United States Investment Disputes), or Annex 14-E (Mexico-United States Investment Disputes Related to Covered Government Contracts).</w:t>
      </w:r>
    </w:p>
    <w:p>
      <w:pPr>
        <w:pStyle w:val="Normal"/>
        <w:keepNext w:val="true"/>
        <w:widowControl/>
        <w:rPr/>
      </w:pPr>
      <w:r>
        <w:rPr/>
        <w:t>Article 14.3: Relation to Other Chapters 4 For greater certainty, the term “governments or authorities” means the organs of a Party, consistent with the principles of attribution under customary international law. 5 For greater certainty, governmental authority is delegated to any person under the Party’s law, including through a legislative grant or a government order, directive, or other act transferring or authorizing the exercise of governmental authority. 1. In the event of any inconsistency between this Chapter and another Chapter of this Agreement, the other Chapter shall prevail to the extent of the inconsistency. 2. This Chapter does not apply to measures adopted or maintained by a Party to the extent that they are covered by Chapter 17 (Financial Services). 3. A requirement of a Party that a service supplier of another Party post a bond or other form of financial security as a condition for the cross-border supply of a service does not of itself make this Chapter applicable to measures adopted or maintained by the Party relating to the cross-border supply of the service.</w:t>
      </w:r>
    </w:p>
    <w:p>
      <w:pPr>
        <w:pStyle w:val="Normal"/>
        <w:widowControl/>
        <w:rPr/>
      </w:pPr>
      <w:r>
        <w:rPr/>
        <w:t>This Chapter applies to measures adopted or maintained by the Party relating to the posted bond or financial security, to the extent that the bond or financial security is a covered investment. 4.</w:t>
      </w:r>
    </w:p>
    <w:p>
      <w:pPr>
        <w:pStyle w:val="Normal"/>
        <w:widowControl/>
        <w:rPr/>
      </w:pPr>
      <w:r>
        <w:rPr/>
        <w:t>For greater certainty, consistent with Article 15.2.2(a) (Scope), Article 15.5 (Market Access), and Article 15.8 (Development and Administration of Measures) apply to measures adopted or maintained by a Party relating to the supply of a service in its territory by a covered investment.</w:t>
      </w:r>
    </w:p>
    <w:p>
      <w:pPr>
        <w:pStyle w:val="Normal"/>
        <w:keepNext w:val="true"/>
        <w:widowControl/>
        <w:rPr/>
      </w:pPr>
      <w:r>
        <w:rPr/>
        <w:t>Article 14.4: National Treatment 1. Each Party shall accord to investors of another Party treatment no less favorable than that it accords, in like circumstances, to its own investors with respect to the establishment, acquisition, expansion, management, conduct, operation, and sale or other disposition of investments in its territory. 2. Each Party shall accord to covered investments treatment no less favorable than that it accords, in like circumstances, to investments in its territory of its own investors with respect to the establishment, acquisition, expansion, management, conduct, operation, and sale or other disposition of investments. 3. The treatment accorded by a Party under paragraphs 1 and 2 means, with respect to a government other than at the central level, treatment no less favorable than the most favorable treatment accorded, in like circumstances, by that government to investors, and to investments of investors, of the Party of which it forms a part. 4. For greater certainty, whether treatment is accorded in “like circumstances” under this Article depends on the totality of the circumstances, including whether the relevant treatment distinguishes between investors or investments on the basis of legitimate public welfare objectives.</w:t>
      </w:r>
    </w:p>
    <w:p>
      <w:pPr>
        <w:pStyle w:val="Normal"/>
        <w:keepNext w:val="true"/>
        <w:widowControl/>
        <w:rPr/>
      </w:pPr>
      <w:r>
        <w:rPr/>
        <w:t>Article 14.5: Most-Favored-Nation Treatment 1. Each Party shall accord to investors of another Party treatment no less favorable than the treatment it accords, in like circumstances, to investors of any other Party or of any non-Party with respect to the establishment, acquisition, expansion, management, conduct, operation, and sale or other disposition of investments in its territory. 2. Each Party shall accord to covered investments treatment no less favorable than that it accords, in like circumstances, to investments in its territory of investors of any other Party or of any non-Party with respect to the establishment, acquisition, expansion, management, conduct, operation, and sale or other disposition of investments. 3. The treatment accorded by a Party under paragraphs 1 and 2 means, with respect to a government other than at the central level, treatment no less favorable than the most favorable treatment accorded, in like circumstances, by that government to investors in its territory, and to investments of those investors, of any other Party or of any non-Party. 4.</w:t>
      </w:r>
    </w:p>
    <w:p>
      <w:pPr>
        <w:pStyle w:val="Normal"/>
        <w:widowControl/>
        <w:rPr/>
      </w:pPr>
      <w:r>
        <w:rPr/>
        <w:t>For greater certainty, whether treatment is accorded in “like circumstances” under this Article depends on the totality of the circumstances, including whether the relevant treatment distinguishes between investors or investments on the basis of legitimate public welfare objectives.</w:t>
      </w:r>
    </w:p>
    <w:p>
      <w:pPr>
        <w:pStyle w:val="Normal"/>
        <w:keepNext w:val="true"/>
        <w:widowControl/>
        <w:rPr/>
      </w:pPr>
      <w:r>
        <w:rPr/>
        <w:t>Article 14.6: Minimum Standard of Treatment6 1. Each Party shall accord to covered investments treatment in accordance with customary international law, including fair and equitable treatment and full protection and security. 2. For greater certainty, paragraph 1 prescribes the customary international law minimum standard of treatment of aliens as the standard of treatment to be afforded to covered investments. The concepts of “fair and equitable treatment” and “full protection and security” do not require treatment in addition to or beyond that which is required by that standard, and do not create additional substantive rights. The obligations in paragraph 1 to provide: (a) “fair and equitable treatment” includes the obligation not to deny justice in criminal, civil, or administrative adjudicatory proceedings in accordance with the principle of due process embodied in the principal legal systems of the world; and (b) “full protection and security” requires each Party to provide the level of police protection required under customary international law. 6 This Article shall be interpreted in accordance with Annex 14-A (Customary International Law). 3.</w:t>
      </w:r>
    </w:p>
    <w:p>
      <w:pPr>
        <w:pStyle w:val="Normal"/>
        <w:widowControl/>
        <w:rPr/>
      </w:pPr>
      <w:r>
        <w:rPr/>
        <w:t>A determination that there has been a breach of another provision of this Agreement, or of a separate international agreement, does not establish that there has been a breach of this Article. 4.</w:t>
      </w:r>
    </w:p>
    <w:p>
      <w:pPr>
        <w:pStyle w:val="Normal"/>
        <w:widowControl/>
        <w:rPr/>
      </w:pPr>
      <w:r>
        <w:rPr/>
        <w:t>For greater certainty, the mere fact that a Party takes or fails to take an action that may be inconsistent with an investor’s expectations does not constitute a breach of this Article, even if there is loss or damage to the covered investment as a result.</w:t>
      </w:r>
    </w:p>
    <w:p>
      <w:pPr>
        <w:pStyle w:val="Normal"/>
        <w:keepNext w:val="true"/>
        <w:widowControl/>
        <w:rPr/>
      </w:pPr>
      <w:r>
        <w:rPr/>
        <w:t>Article 14.7: Treatment in Case of Armed Conflict or Civil Strife 1. Notwithstanding Article 14.12.5(b) (Non-Conforming Measures), each Party shall accord to investors of another Party and to covered investments non-discriminatory treatment with respect to measures it adopts or maintains relating to losses suffered by investments in its territory owing to armed conflict or civil strife. 2. Notwithstanding paragraph 1, if an investor of a Party, in a situation referred to in paragraph 1, suffers a loss in the territory of another Party resulting from: (a) requisitioning of its covered investment or part thereof by the latter’s forces or authorities; or (b) destruction of its covered investment or part thereof by the latter’s forces or authorities, which was not required by the necessity of the situation, the latter Party shall provide the investor restitution, compensation, or both, as appropriate, for that loss. 3. Paragraph 1 does not apply to existing measures relating to subsidies or grants that would be inconsistent with Article 14.4 (National Treatment) but for Article 14.12.5(b) (Non- Conforming Measures).</w:t>
      </w:r>
    </w:p>
    <w:p>
      <w:pPr>
        <w:pStyle w:val="Normal"/>
        <w:keepNext w:val="true"/>
        <w:widowControl/>
        <w:rPr/>
      </w:pPr>
      <w:r>
        <w:rPr/>
        <w:t>Article 14.8: Expropriation and Compensation7 1. No Party shall expropriate or nationalize a covered investment either directly or indirectly through measures equivalent to expropriation or nationalization (expropriation), except: (a) for a public purpose; (b) in a non-discriminatory manner; 7 This Article shall be interpreted in accordance with Annex 14-B (Expropriation). (c) on payment of prompt, adequate, and effective compensation in accordance with paragraphs 2, 3, and 4; and (d) in accordance with due process of law. 2. Compensation shall: (a) be paid without delay; (b) be equivalent to the fair market value of the expropriated investment immediately before the expropriation took place (the date of expropriation); (c) not reflect any change in value occurring because the intended expropriation had become known earlier; and (d) be fully realizable and freely transferable. 3. If the fair market value is denominated in a freely usable currency, the compensation paid shall be no less than the fair market value on the date of expropriation, plus interest at a commercially reasonable rate for that currency, accrued from the date of expropriation until the date of payment. 4.</w:t>
      </w:r>
    </w:p>
    <w:p>
      <w:pPr>
        <w:pStyle w:val="Normal"/>
        <w:widowControl/>
        <w:rPr/>
      </w:pPr>
      <w:r>
        <w:rPr/>
        <w:t>If the fair market value is denominated in a currency that is not freely usable, the compensation paid – converted into the currency of payment at the market rate of exchange prevailing on the date of payment8 – shall be no less than: (a) the fair market value on the date of expropriation, converted into a freely usable currency at the market rate of exchange prevailing on that date; plus (b) interest, at a commercially reasonable rate for that freely usable currency, accrued from the date of expropriation until the date of payment. 5. For greater certainty, whether an action or series of actions by a Party constitutes an expropriation shall be determined in accordance with paragraph 1 of this Article and Annex 14-B (Expropriation). 6.</w:t>
      </w:r>
    </w:p>
    <w:p>
      <w:pPr>
        <w:pStyle w:val="Normal"/>
        <w:widowControl/>
        <w:rPr/>
      </w:pPr>
      <w:r>
        <w:rPr/>
        <w:t>This Article does not apply to the issuance of compulsory licenses granted in relation to intellectual property rights in accordance with the TRIPS Agreement, or to the revocation, 8 For greater certainty, for the purposes of this paragraph, the currency of payment may be the same as the currency in which the fair market value is denominated. limitation, or creation of intellectual property rights, to the extent that the issuance, revocation, limitation, or creation is consistent with Chapter 20 (Intellectual Property) and the TRIPS Agreement.9</w:t>
      </w:r>
    </w:p>
    <w:p>
      <w:pPr>
        <w:pStyle w:val="Normal"/>
        <w:keepNext w:val="true"/>
        <w:widowControl/>
        <w:rPr/>
      </w:pPr>
      <w:r>
        <w:rPr/>
        <w:t>Article 14.9: Transfers 1. Each Party shall permit all transfers relating to a covered investment to be made freely and without delay into and out of its territory. These transfers include: (a) contributions to capital;10 (b) profits, dividends, interest, capital gains, royalty payments, management fees, technical assistance, and other fees; (c) proceeds from the sale of all or any part of the covered investment or from the partial or complete liquidation of the covered investment; (d) payments made under a contract entered into by the investor, or the covered investment, including payments made pursuant to a loan agreement or employment contract; and (e) payments made pursuant to Article 14.7 (Treatment in Case of Armed Conflict or Civil Strife) and Article 14.8 (Expropriation and Compensation). 2. Each Party shall permit transfers relating to a covered investment to be made in a freely usable currency at the market rate of exchange prevailing at the time of transfer. 3.</w:t>
      </w:r>
    </w:p>
    <w:p>
      <w:pPr>
        <w:pStyle w:val="Normal"/>
        <w:widowControl/>
        <w:rPr/>
      </w:pPr>
      <w:r>
        <w:rPr/>
        <w:t>A Party shall not require its investors to transfer, or penalize its investors that fail to transfer, the income, earnings, profits, or other amounts derived from, or attributable to, investments in the territory of another Party. 4. Each Party shall permit returns in kind relating to a covered investment to be made as authorized or specified in a written agreement between the Party and a covered investment or an investor of another Party. 5.</w:t>
      </w:r>
    </w:p>
    <w:p>
      <w:pPr>
        <w:pStyle w:val="Normal"/>
        <w:widowControl/>
        <w:rPr/>
      </w:pPr>
      <w:r>
        <w:rPr/>
        <w:t>Notwithstanding paragraphs 1, 2, and 4, a Party may prevent or delay a transfer through the equitable, non-discriminatory, and good faith application of its laws11 relating to: 9 For greater certainty, the Parties recognize that, for the purposes of this Article, the term “revocation” of an intellectual property right includes the cancellation or nullification of that right, and the term “limitation” of an intellectual property right includes exceptions to that right. 10 For greater certainty, contributions to capital include the initial contribution. (a) bankruptcy, insolvency, or the protection of the rights of creditors; (b) issuing, trading, or dealing in securities or derivatives; (c) criminal or penal offenses; (d) financial reporting or record keeping of transfers when necessary to assist law enforcement or financial regulatory authorities; or (e) ensuring compliance with orders or judgments in judicial or administrative proceedings. 6. Notwithstanding paragraph 4, a Party may restrict transfers of returns in kind in circumstances where it could otherwise restrict those transfers under this Agreement, including as set out in paragraph 5.</w:t>
      </w:r>
    </w:p>
    <w:p>
      <w:pPr>
        <w:pStyle w:val="Normal"/>
        <w:keepNext w:val="true"/>
        <w:widowControl/>
        <w:rPr/>
      </w:pPr>
      <w:r>
        <w:rPr/>
        <w:t>Article 14.10: Performance Requirements 1. No Party shall, in connection with the establishment, acquisition, expansion, management, conduct, operation, or sale or other disposition of an investment of an investor of a Party or of a non-Party in its territory, impose or enforce any requirement, or enforce any commitment or undertaking:12 (a) to export a given level or percentage of goods or services; (b) to achieve a given level or percentage of domestic content; (c) to purchase, use, or accord a preference to a good produced or a service supplied in its territory, or to purchase a good or a service from a person in its territory; (d) to relate in any way the volume or value of imports to the volume or value of exports or to the amount of foreign exchange inflows associated with the investment; (e) to restrict sales of a good or a service in its territory that the investment produces or supplies by relating those sales in any way to the volume or value of its exports or foreign exchange earnings;</w:t>
      </w:r>
    </w:p>
    <w:p>
      <w:pPr>
        <w:pStyle w:val="Normal"/>
        <w:widowControl/>
        <w:rPr/>
      </w:pPr>
      <w:r>
        <w:rPr/>
        <w:t>11 For greater certainty, this Article does not preclude the equitable, non-discriminatory, and good faith application of a Party’s laws relating to its social security, public retirement, or compulsory savings programs. 12 For greater certainty, a condition for the receipt or continued receipt of an advantage referred to in paragraph 2 does not constitute a “requirement” or a “commitment or undertaking” for the purposes of paragraph 1.</w:t>
      </w:r>
    </w:p>
    <w:p>
      <w:pPr>
        <w:pStyle w:val="Normal"/>
        <w:widowControl/>
        <w:rPr/>
      </w:pPr>
      <w:r>
        <w:rPr/>
        <w:t>(f) to transfer a technology, a production process, or other proprietary knowledge to a person in its territory; (g) to supply exclusively from the territory of the Party a good that the investment produces or a service that it supplies to a specific regional market or to the world market; (h) (i) to purchase, use, or accord a preference to, in its territory, technology of the Party or of a person of the Party,13 or (ii) that prevents the purchase or use of, or the according of a preference to, in its territory, a technology; or (i) to adopt:</w:t>
      </w:r>
    </w:p>
    <w:p>
      <w:pPr>
        <w:pStyle w:val="Normal"/>
        <w:widowControl/>
        <w:rPr/>
      </w:pPr>
      <w:r>
        <w:rPr/>
        <w:t>(i) a given rate or amount of royalty under a license contract, or (ii) a given duration of the term of a license contract, in regard to any license contract in existence at the time the requirement is imposed or enforced, or any commitment or undertaking is enforced, or any future license contract14 freely entered into between the investor and a person in its territory, provided that the requirement is imposed or the commitment or undertaking is enforced in a manner that constitutes direct interference with that license contract by an exercise of non-judicial governmental authority of a Party. For greater certainty, paragraph 1(i) does not apply when the license contract is concluded between the investor and a Party. 2.</w:t>
      </w:r>
    </w:p>
    <w:p>
      <w:pPr>
        <w:pStyle w:val="Normal"/>
        <w:widowControl/>
        <w:rPr/>
      </w:pPr>
      <w:r>
        <w:rPr/>
        <w:t>No Party shall condition the receipt or continued receipt of an advantage, in connection with the establishment, acquisition, expansion, management, conduct, operation, or sale or other disposition of an investment of an investor of a Party or of a non-Party in its territory, on compliance with any requirement: (a) to achieve a given level or percentage of domestic content; 13 For the purposes of this Article, the term “technology of the Party or of a person of the Party” includes technology that is owned by the Party or a person of the Party, and technology for which the Party or a person of the Party holds an exclusive license. 14 A “license contract” referred to in this subparagraph means a contract concerning the licensing of technology, a production process, or other proprietary knowledge.</w:t>
      </w:r>
    </w:p>
    <w:p>
      <w:pPr>
        <w:pStyle w:val="Normal"/>
        <w:widowControl/>
        <w:rPr/>
      </w:pPr>
      <w:r>
        <w:rPr/>
        <w:t>(b) to purchase, use, or accord a preference to a good produced in its territory, or to purchase a good from a person in its territory; (c) to relate in any way the volume or value of imports to the volume or value of exports or to the amount of foreign exchange inflows associated with the investment; (d) to restrict sales of goods or services in its territory that the investment produces or supplies by relating those sales in any way to the volume or value of its exports or foreign exchange earnings; or (e) (i) to purchase, use or accord a preference to, in its territory, technology of the Party or of a person of the Party, or (ii) that prevents the purchase or use of, or the according of a preference to, in its territory, a technology. 3. In relation to paragraphs 1 and 2:</w:t>
      </w:r>
    </w:p>
    <w:p>
      <w:pPr>
        <w:pStyle w:val="Normal"/>
        <w:widowControl/>
        <w:rPr/>
      </w:pPr>
      <w:r>
        <w:rPr/>
        <w:t>(a) Nothing in paragraph 2 shall be construed to prevent a Party from conditioning the receipt or continued receipt of an advantage, in connection with an investment of an investor of a Party or of a non-Party in its territory, on compliance with a requirement to locate production, supply a service, train or employ workers, construct or expand particular facilities, or carry out research and development, in its territory.</w:t>
      </w:r>
    </w:p>
    <w:p>
      <w:pPr>
        <w:pStyle w:val="Normal"/>
        <w:widowControl/>
        <w:rPr/>
      </w:pPr>
      <w:r>
        <w:rPr/>
        <w:t>(b) Paragraphs 1(f), 1(h), 1(i), and 2(e) do not apply: (i) if a Party authorizes use of an intellectual property right in accordance with Article 3115 of the TRIPS Agreement, or to a measure requiring the disclosure of proprietary information that fall within the scope of, and is consistent with, Article 39 of the TRIPS Agreement, or (ii) if the requirement is imposed or the commitment or undertaking 16 is enforced by a court, administrative tribunal, or competition authority, after 15 The reference to “Article 31” includes any waiver or amendment to the TRIPS Agreement implementing paragraph 6 of the Doha Declaration on the TRIPS Agreement and Public Health (WT/MIN (01)/DEC/2).</w:t>
      </w:r>
    </w:p>
    <w:p>
      <w:pPr>
        <w:pStyle w:val="Normal"/>
        <w:widowControl/>
        <w:rPr/>
      </w:pPr>
      <w:r>
        <w:rPr/>
        <w:t>16 For greater certainty, for the purposes of this subparagraph, a commitment or undertaking includes a consent agreement. judicial or administrative process, to remedy an alleged violation of competition laws.17 (c) Provided that such measures are not applied in an arbitrary or unjustifiable manner, or do not constitute a disguised restriction on international trade or investment, paragraphs 1(b), 1(c), 1(f), 2(a), and 2(b) shall not be construed to prevent a Party from adopting or maintaining measures: (i) necessary to secure compliance with laws and regulations that are not inconsistent with this Agreement, (ii) necessary to protect human, animal or plant life or health, or (iii) related to the conservation of living or non-living exhaustible natural resources.</w:t>
      </w:r>
    </w:p>
    <w:p>
      <w:pPr>
        <w:pStyle w:val="Normal"/>
        <w:widowControl/>
        <w:rPr/>
      </w:pPr>
      <w:r>
        <w:rPr/>
        <w:t>(d) Paragraphs 1(a), 1(b), 1(c), 2(a), and 2(b) do not apply to qualification requirements for a good or a service with respect to export promotion and foreign aid programs. (e) Paragraphs 1(b), 1(c), 1(f), 1(g), 1(h), 1(i), 2(a), 2(b), and 2(e) do not apply to government procurement. (f) Paragraphs 2(a) and 2(b) do not apply to requirements imposed by an importing Party relating to the content of a good necessary to qualify for preferential tariffs or preferential quotas. (g) Paragraphs 1(h), 1(i), and 2(e) shall not be construed to prevent a Party from adopting or maintaining measures to protect legitimate public welfare objectives, provided that such measures are not applied in an arbitrary or unjustifiable manner, or in a manner that constitutes a disguised restriction on international trade or investment. 4. For greater certainty, paragraphs 1 and 2 do not apply to any commitment, undertaking, or requirement other than those set out in those paragraphs. 5. This Article does not preclude enforcement of any commitment, undertaking, or requirement between private parties, if a Party did not impose or require the commitment, undertaking, or requirement. 17 The Parties recognize that a patent does not necessarily confer market power.</w:t>
      </w:r>
    </w:p>
    <w:p>
      <w:pPr>
        <w:pStyle w:val="Normal"/>
        <w:keepNext w:val="true"/>
        <w:widowControl/>
        <w:rPr/>
      </w:pPr>
      <w:r>
        <w:rPr/>
        <w:t>Article 14.11: Senior Management and Boards of Directors 1. No Party shall require that an enterprise of that Party that is a covered investment appoint to senior management positions a natural person of a particular nationality. 2. A Party may require that a majority of the board of directors, or any committee thereof, of an enterprise of that Party that is a covered investment, be of a particular nationality, or resident in the territory of the Party, provided that the requirement does not materially impair the ability of the investor to exercise control over its investment.</w:t>
      </w:r>
    </w:p>
    <w:p>
      <w:pPr>
        <w:pStyle w:val="Normal"/>
        <w:keepNext w:val="true"/>
        <w:widowControl/>
        <w:rPr/>
      </w:pPr>
      <w:r>
        <w:rPr/>
        <w:t>Article 14.12: Non-Conforming Measures 1. Article 14.4 (National Treatment), Article 14.5 (Most-Favored-Nation Treatment), Article 14.10 (Performance Requirements), and Article 14.11 (Senior Management and Boards of Directors) do not apply to: (a) any existing non-conforming measure that is maintained by a Party at: (i) the central level of government, as set out by that Party in its Schedule to Annex I, (ii) a regional level of government, as set out by that Party in its Schedule to Annex I, or (iii) a local level of government; (b) the continuation or prompt renewal of any non-conforming measure referred to in subparagraph (a); or (c) an amendment to any non-conforming measure referred to in subparagraph (a) to the extent that the amendment does not decrease the conformity of the measure, as it existed immediately before the amendment, with Article 14.4 (National Treatment), Article 14.5 (Most-Favored-Nation Treatment), Article 14.10 (Performance Requirements), or Article 14.11 (Senior Management and Boards of Directors). 2.</w:t>
      </w:r>
    </w:p>
    <w:p>
      <w:pPr>
        <w:pStyle w:val="Normal"/>
        <w:keepNext w:val="true"/>
        <w:widowControl/>
        <w:rPr/>
      </w:pPr>
      <w:r>
        <w:rPr/>
        <w:t>Article 14.4 (National Treatment), Article 14.5 (Most-Favored-Nation Treatment), Article 14.10 (Performance Requirements), and Article 14.11 (Senior Management and Boards of Directors) do not apply to any measure that a Party adopts or maintains with respect to sectors, sub-sectors, or activities, as set out by that Party in its Schedule to Annex II. 3.</w:t>
      </w:r>
    </w:p>
    <w:p>
      <w:pPr>
        <w:pStyle w:val="Normal"/>
        <w:widowControl/>
        <w:rPr/>
      </w:pPr>
      <w:r>
        <w:rPr/>
        <w:t>No Party shall, under any measure adopted after the date of entry into force of this Agreement and covered by its Schedule to Annex II, require an investor of another Party, by reason of its nationality, to sell or otherwise dispose of an investment existing at the time the measure becomes effective. 4. (a) Article 14.4 (National Treatment) does not apply to any measure that falls within an exception to, or derogation from, the obligations imposed by: (i) Article 20.8 (National Treatment), or (ii) Article 3 of the TRIPS Agreement, if the exception or derogation relates to matters not addressed by Chapter 20 (Intellectual Property Rights); (b) Article 14.5 (Most-Favored-Nation Treatment) does not apply to any measure that falls within Article 5 of the TRIPS Agreement, or an exception to, or derogation from, an obligation imposed by: (i) Article 20.8 (National Treatment), or (ii) Article 4 of the TRIPS Agreement. 5. Article 14.4 (National Treatment), Article 14.5 (Most-Favored-Nation Treatment), and Article 14.11 (Senior Management and Boards of Directors) do not apply to: (a) government procurement; or (b) subsidies or grants provided by a Party, including government-supported loans, guarantees, and insurance.</w:t>
      </w:r>
    </w:p>
    <w:p>
      <w:pPr>
        <w:pStyle w:val="Normal"/>
        <w:keepNext w:val="true"/>
        <w:widowControl/>
        <w:rPr/>
      </w:pPr>
      <w:r>
        <w:rPr/>
        <w:t>Article 14.13: Special Formalities and Information Requirements 1. Nothing in Article 14.4 (National Treatment) shall be construed to prevent a Party from adopting or maintaining a measure that prescribes special formalities in connection with covered investments, such as a requirement that investors be residents of the Party or that covered investments be legally constituted under the laws or regulations of the Party, provided that these formalities do not materially impair the protections afforded by the Party to investors of another Party and covered investments pursuant to this Chapter. 2. Notwithstanding Article 14.4 (National Treatment) and Article 14.5 (Most-Favored- Nation Treatment), a Party may require an investor of another Party or its covered investment to provide information concerning that investment solely for informational or statistical purposes. The Party shall protect such information that is confidential from any disclosure that would prejudice the competitive position of the investor or its covered investment. Nothing in this paragraph shall be construed to prevent a Party from otherwise obtaining or disclosing information in connection with the equitable and good faith application of its law.</w:t>
      </w:r>
    </w:p>
    <w:p>
      <w:pPr>
        <w:pStyle w:val="Normal"/>
        <w:keepNext w:val="true"/>
        <w:widowControl/>
        <w:rPr/>
      </w:pPr>
      <w:r>
        <w:rPr/>
        <w:t>Article 14.14: Denial of Benefits 1. A Party may deny the benefits of this Chapter to an investor of another Party that is an enterprise of that other Party and to investments of that investor if the enterprise: (a) is owned or controlled by a person of a non-Party or of the denying Party; and (b) has no substantial business activities in the territory of any Party other than the denying Party. 2. A Party may deny the benefits of this Chapter to an investor of another Party that is an enterprise of that other Party and to investments of that investor if persons of a non-Party own or control the enterprise and the denying Party adopts or maintains measures with respect to the non-Party or a person of the non-Party that prohibit transactions with the enterprise or that would be violated or circumvented if the benefits of this Chapter were accorded to the enterprise or to its investments.</w:t>
      </w:r>
    </w:p>
    <w:p>
      <w:pPr>
        <w:pStyle w:val="Normal"/>
        <w:keepNext w:val="true"/>
        <w:widowControl/>
        <w:rPr/>
      </w:pPr>
      <w:r>
        <w:rPr/>
        <w:t>Article 14.15: Subrogation If a Party, or an agency of a Party, makes a payment to an investor of the Party under a guarantee, a contract of insurance, or other form of indemnity that it has entered into with respect to a covered investment, the other Party in whose territory the covered investment was made shall recognize the subrogation or transfer of any right the investor would have possessed with respect to the covered investment but for the subrogation, and the investor shall be precluded from pursuing that right to the extent of the subrogation, unless a Party or an agency of a Party authorizes the investor to act on its behalf.</w:t>
      </w:r>
    </w:p>
    <w:p>
      <w:pPr>
        <w:pStyle w:val="Normal"/>
        <w:keepNext w:val="true"/>
        <w:widowControl/>
        <w:rPr/>
      </w:pPr>
      <w:r>
        <w:rPr/>
        <w:t>Article 14.16: Investment and Environmental, Health, Safety, and other Regulatory Objectives Nothing in this Chapter shall be construed to prevent a Party from adopting, maintaining, or enforcing any measure otherwise consistent with this Chapter that it considers appropriate to ensure that investment activity in its territory is undertaken in a manner sensitive to environmental, health, safety, or other regulatory objectives.</w:t>
      </w:r>
    </w:p>
    <w:p>
      <w:pPr>
        <w:pStyle w:val="Normal"/>
        <w:keepNext w:val="true"/>
        <w:widowControl/>
        <w:rPr/>
      </w:pPr>
      <w:r>
        <w:rPr/>
        <w:t>Article 14.17: Corporate Social Responsibility The Parties reaffirm the importance of each Party encouraging enterprises operating within its territory or subject to its jurisdiction to voluntarily incorporate into their internal policies those internationally recognized standards, guidelines, and principles of corporate social responsibility that have been endorsed or are supported by that Party, which may include the OECD Guidelines for Multinational Enterprises. These standards, guidelines, and principles may address areas such as labor, environment, gender equality, human rights, indigenous and aboriginal peoples’ rights, and corruption.</w:t>
      </w:r>
    </w:p>
    <w:p>
      <w:pPr>
        <w:pStyle w:val="Normal"/>
        <w:widowControl/>
        <w:rPr/>
      </w:pPr>
      <w:r>
        <w:rPr/>
        <w:t>ANNEX 14-A CUSTOMARY INTERNATIONAL LAW The Parties confirm their shared understanding that “customary international law” generally and as specifically referenced in Article 14.6 (Minimum Standard of Treatment) results from a general and consistent practice of States that they follow from a sense of legal obligation. The customary international law minimum standard of treatment of aliens refers to all customary international law principles that protect the investments of aliens. 14-A-1</w:t>
      </w:r>
    </w:p>
    <w:p>
      <w:pPr>
        <w:pStyle w:val="Normal"/>
        <w:widowControl/>
        <w:rPr/>
      </w:pPr>
      <w:r>
        <w:rPr/>
        <w:t>ANNEX 14-B EXPROPRIATION The Parties confirm their shared understanding that: 1. An action or a series of actions by a Party cannot constitute an expropriation unless it interferes with a tangible or intangible property right18 or property interest in an investment. 2. Article 14.8.1 (Expropriation and Compensation) addresses two situations. The first is direct expropriation, in which an investment is nationalized or otherwise directly expropriated through formal transfer of title or outright seizure. 3. The second situation addressed by Article 14.8.1 (Expropriation and Compensation) is indirect expropriation, in which an action or series of actions by a Party has an effect equivalent to direct expropriation without formal transfer of title or outright seizure. (a) The determination of whether an action or series of actions by a Party, in a specific fact situation, constitutes an indirect expropriation, requires a case-by case, fact-based inquiry that considers, among other factors:</w:t>
      </w:r>
    </w:p>
    <w:p>
      <w:pPr>
        <w:pStyle w:val="Normal"/>
        <w:widowControl/>
        <w:rPr/>
      </w:pPr>
      <w:r>
        <w:rPr/>
        <w:t>(i) the economic impact of the government action, although the fact that an action or series of actions by a Party has an adverse effect on the economic value of an investment, standing alone, does not establish that an indirect expropriation has occurred, (ii) the extent to which the government action interferes with distinct, reasonable investment-backed expectations,19 and (iii) the character of the government action, including its object, context, and intent.</w:t>
      </w:r>
    </w:p>
    <w:p>
      <w:pPr>
        <w:pStyle w:val="Normal"/>
        <w:widowControl/>
        <w:rPr/>
      </w:pPr>
      <w:r>
        <w:rPr/>
        <w:t>(b) Non-discriminatory regulatory actions by a Party that are designed and applied to protect legitimate public welfare objectives, such as health, safety and the environment, do not constitute indirect expropriations, except in rare circumstances. 18 For greater certainty, the existence of a property right is determined with reference to a Party’s law. 19 For greater certainty, whether an investor’s investment-backed expectations are reasonable depends, to the extent relevant, on factors such as whether the government provided the investor with binding written assurances and the nature and extent of governmental regulation or the potential for government regulation in the relevant sector. 14-B-1</w:t>
      </w:r>
    </w:p>
    <w:p>
      <w:pPr>
        <w:pStyle w:val="Normal"/>
        <w:widowControl/>
        <w:rPr/>
      </w:pPr>
      <w:r>
        <w:rPr/>
        <w:t>ANNEX 14-C LEGACY INVESTMENT CLAIMS AND PENDING CLAIMS 1. Each Party consents, with respect to a legacy investment, to the submission of a claim to arbitration in accordance with Section B of Chapter 11 (Investment) of NAFTA 1994 and this Annex alleging breach of an obligation under: (a) Section A of Chapter 11 (Investment) of NAFTA 1994; (b) Article 1503(2) (State Enterprises) of NAFTA 1994; and (c) Article 1502(3)(a) (Monopolies and State Enterprises) of NAFTA 1994 where the monopoly has acted in a manner inconsistent with the Party’s obligations under Section A of Chapter 11 (Investment) of NAFTA 1994.20, 21 2. The consent under paragraph 1 and the submission of a claim to arbitration in accordance with Section B of Chapter 11 (Investment) of NAFTA 1994 and this Annex shall satisfy the requirements of: (a) Chapter II of the ICSID Convention (Jurisdiction of the Centre) and the ICSID Additional Facility Rules for written consent of the parties to the dispute;</w:t>
      </w:r>
    </w:p>
    <w:p>
      <w:pPr>
        <w:pStyle w:val="Normal"/>
        <w:widowControl/>
        <w:rPr/>
      </w:pPr>
      <w:r>
        <w:rPr/>
        <w:t>(b) Article II of the New York Convention for an “agreement in writing”; and (c) Article I of the Inter-American Convention for an “agreement”. 3. A Party’s consent under paragraph 1 shall expire three years after the termination of NAFTA 1994. 4.</w:t>
      </w:r>
    </w:p>
    <w:p>
      <w:pPr>
        <w:pStyle w:val="Normal"/>
        <w:widowControl/>
        <w:rPr/>
      </w:pPr>
      <w:r>
        <w:rPr/>
        <w:t>For greater certainty, an arbitration initiated pursuant to the submission of a claim under paragraph 1 may proceed to its conclusion in accordance with Section B of Chapter 11 (Investment) of NAFTA 1994, the Tribunal’s jurisdiction with respect to such a claim is not affected by the expiration of consent referenced in paragraph 3, and Article 1136 (Finality and Enforcement of an Award) of NAFTA 1994 (excluding paragraph 5) applies with respect to any award made by the Tribunal. 20 For greater certainty, the relevant provisions in Chapter 2 (General Definitions), Chapter 11 (Section A) (Investment), Chapter 14 (Financial Services), Chapter 15 (Competition Policy, Monopolies and State Enterprises), Chapter 17 (Intellectual Property), Chapter 21 (Exceptions), and Annexes I-VII (Reservations and Exceptions to Investment, Cross-Border Trade in Services and Financial Services Chapters) of NAFTA 1994 apply with respect to such a claim. 21 Mexico and the United States do not consent under paragraph 1 with respect to an investor of the other Party that is eligible to submit claims to arbitration under paragraph 2 of Annex 14-E (Mexico-United States Investment Disputes Related to Covered Government Contracts). 14-C-1 5.</w:t>
      </w:r>
    </w:p>
    <w:p>
      <w:pPr>
        <w:pStyle w:val="Normal"/>
        <w:widowControl/>
        <w:rPr/>
      </w:pPr>
      <w:r>
        <w:rPr/>
        <w:t>For greater certainty, an arbitration initiated pursuant to the submission of a claim under Section B of Chapter 11 (Investment) of NAFTA 1994 while NAFTA 1994 is in force may proceed to its conclusion in accordance with Section B of Chapter 11 (Investment) of NAFTA 1994, the Tribunal’s jurisdiction with respect to such a claim is not affected by the termination of NAFTA 1994, and Article 1136 of NAFTA 1994 (excluding paragraph 5) applies with respect to any award made by the Tribunal. 6. For the purposes of this Annex: (a) “legacy investment” means an investment of an investor of another Party in the territory of the Party established or acquired between January 1, 1994, and the date of termination of NAFTA 1994, and in existence on the date of entry into force of this Agreement; (b) “investment”, “investor”, and “Tribunal” have the meanings accorded in Chapter 11 (Investment) of NAFTA 1994; and (c) “ICSID Convention”, “ICSID Additional Facility Rules”, “New York Convention”, and “Inter-American Convention” have the meanings accorded in Article 14.D.1 (Definitions). 14-C-2</w:t>
      </w:r>
    </w:p>
    <w:p>
      <w:pPr>
        <w:pStyle w:val="Normal"/>
        <w:widowControl/>
        <w:rPr/>
      </w:pPr>
      <w:r>
        <w:rPr/>
        <w:t>ANNEX 14-D MEXICO-UNITED STATES INVESTMENT DISPUTES Article 14.D.1: Definitions For the purposes of this Annex: Annex Party means Mexico or the United States; Centre means the International Centre for Settlement of Investment Disputes (ICSID) established by the ICSID Convention; claimant means an investor of an Annex Party that is a party to a qualifying investment dispute, excluding an investor that is owned or controlled by a person of a non-Annex Party that, on the date of signature of this Agreement, the other Annex Party has determined to be a non-market economy for purposes of its trade remedy laws and with which no Party has a free trade agreement; disputing parties means the claimant and the respondent; disputing party means either the claimant or the respondent; ICSID Additional Facility Rules means the Rules Governing the Additional Facility for the Administration of Proceedings by the Secretariat of the International Centre for Settlement of Investment Disputes; ICSID Convention means the Convention on the Settlement of Investment Disputes between States and Nationals of other States, done at Washington, March 18, 1965;</w:t>
      </w:r>
    </w:p>
    <w:p>
      <w:pPr>
        <w:pStyle w:val="Normal"/>
        <w:widowControl/>
        <w:rPr/>
      </w:pPr>
      <w:r>
        <w:rPr/>
        <w:t>Inter-American Convention means the Inter-American Convention on International Commercial Arbitration, done at Panama, January 30, 1975; New York Convention means the Convention on the Recognition and Enforcement of Foreign Arbitral Awards, done at New York, June 10, 1958; non-disputing Annex Party means the Annex Party that is not a party to a</w:t>
      </w:r>
    </w:p>
    <w:p>
      <w:pPr>
        <w:pStyle w:val="Normal"/>
        <w:widowControl/>
        <w:rPr/>
      </w:pPr>
      <w:r>
        <w:rPr/>
        <w:t>qualifying investment dispute; protected information means confidential business information or information that is privileged or otherwise protected from disclosure under a Party’s law, including classified government information; 14-D-1 qualifying investment dispute means an investment dispute between an investor of an Annex Party and the other Annex Party; respondent means the Annex Party that is a party to a qualifying investment dispute; Secretary-General means the Secretary-General of ICSID; and UNCITRAL Arbitration Rules means the arbitration rules of the United Nations Commission on International Trade Law. Article 14.D.2: Consultation and Negotiation 1. In the event of a qualifying investment dispute, the claimant and the respondent should initially seek to resolve the dispute through consultation and negotiation, which may include the use of non-binding, third party procedures, such as good offices, conciliation, or mediation. 2. For greater certainty, the initiation of consultations and negotiations shall not be construed as recognition of the jurisdiction of the tribunal. Article 14.D.3: Submission of a Claim to Arbitration 1.</w:t>
      </w:r>
    </w:p>
    <w:p>
      <w:pPr>
        <w:pStyle w:val="Normal"/>
        <w:widowControl/>
        <w:rPr/>
      </w:pPr>
      <w:r>
        <w:rPr/>
        <w:t>In the event that a disputing party considers that a qualifying investment dispute cannot be settled by consultation and negotiation: (a) the claimant, on its own behalf, may submit to arbitration under this Annex a claim: (i) that the respondent has breached: (A) Article 14.4 (National Treatment) or Article 14.5 (Most-Favored- Nation Treatment),22 except with respect to the establishment or acquisition of an investment, or (B) Article 14.8 (Expropriation and Compensation), except with respect to indirect expropriation, and (ii) that the claimant has incurred loss or damage by reason of, or arising out of, that breach; and 22 For the purposes of this paragraph: (i) the “treatment” referred to in Article 14.5 (Most-Favored-Nation Treatment) excludes provisions in other international trade or investment agreements that establish international dispute resolution procedures or impose substantive obligations; and (ii) the “treatment” referred to in Article 14.5 only encompasses measures adopted or maintained by the other Annex Party, which for greater clarity may include measures adopted in connection with the implementation of substantive obligations in other international trade or investment agreements.</w:t>
      </w:r>
    </w:p>
    <w:p>
      <w:pPr>
        <w:pStyle w:val="Normal"/>
        <w:widowControl/>
        <w:rPr/>
      </w:pPr>
      <w:r>
        <w:rPr/>
        <w:t>14-D-2 (b) the claimant, on behalf of an enterprise of the respondent that is a juridical person that the claimant owns or controls directly or indirectly, may submit to arbitration under this Annex a claim: (i) that the respondent has breached: (A) Article 14.4 (National Treatment) or Article 14.5 (Most-Favored- Nation Treatment), except with respect to the establishment or acquisition of an investment, or (B) Article 14.8 (Expropriation and Compensation), except with respect to indirect expropriation, and (ii) that the enterprise has incurred loss or damage by reason of, or arising out of, that breach.23 2. At least 90 days before submitting any claim to arbitration under this Annex, the claimant shall deliver to the respondent a written notice of its intention to submit a claim to arbitration (notice of intent). The notice shall specify: (a) the name and address of the claimant and, if a claim is submitted on behalf of an enterprise, the name, address, and place of incorporation of the enterprise;</w:t>
      </w:r>
    </w:p>
    <w:p>
      <w:pPr>
        <w:pStyle w:val="Normal"/>
        <w:widowControl/>
        <w:rPr/>
      </w:pPr>
      <w:r>
        <w:rPr/>
        <w:t>(b) for each claim, the provision of this Agreement alleged to have been breached and any other relevant provisions; (c) the legal and factual basis for each claim; and (d) the relief sought and the approximate amount of damages claimed. 3.</w:t>
      </w:r>
    </w:p>
    <w:p>
      <w:pPr>
        <w:pStyle w:val="Normal"/>
        <w:widowControl/>
        <w:rPr/>
      </w:pPr>
      <w:r>
        <w:rPr/>
        <w:t>The claimant may submit a claim referred to in paragraph 1 under one of the following alternatives: (a) the ICSID Convention and the ICSID Rules of Procedure for Arbitration Proceedings, provided that both the respondent and the Party of the claimant are parties to the ICSID Convention;24 (b) the ICSID Additional Facility Rules, provided that either the respondent or the Party of the claimant is a party to the ICSID Convention; 23 For greater certainty, in order for a claim to be submitted to arbitration under subparagraph (b), an investor of the Party of the claimant must own or control the enterprise on the date of the alleged breach and the date on which the claim is submitted to arbitration. 24 For greater certainty, if a claimant submits a claim under this subparagraph, any award made by the tribunal under Article 14.D.13 (Awards) constitutes an award under Chapter IV of the ICSID Convention (Arbitration). 14-D-3 (c) the UNCITRAL Arbitration Rules; or (d) if the claimant and respondent agree, any other arbitral institution or any other arbitration rules. 4.</w:t>
      </w:r>
    </w:p>
    <w:p>
      <w:pPr>
        <w:pStyle w:val="Normal"/>
        <w:widowControl/>
        <w:rPr/>
      </w:pPr>
      <w:r>
        <w:rPr/>
        <w:t>A claim shall be deemed submitted to arbitration under this Annex when the claimant’s notice of or request for arbitration (notice of arbitration): (a) referred to in the ICSID Convention is received by the Secretary-General; (b) referred to in the ICSID Additional Facility Rules is received by the Secretary- General; (c) referred to in the UNCITRAL Arbitration Rules, together with the statement of claim referred to therein, are received by the respondent; or (d) referred to under any arbitral institution or arbitration rules selected under paragraph 3(d) is received by the respondent. A claim asserted by the claimant for the first time after such notice of arbitration is submitted shall be deemed submitted to arbitration under this Annex on the date of its receipt under the applicable arbitration rules. 5. The arbitration rules applicable under paragraph 3 that are in effect on the date the claim or claims were submitted to arbitration under this Annex shall govern the arbitration except to the extent modified by this Agreement. 6. The claimant shall provide with the notice of arbitration:</w:t>
      </w:r>
    </w:p>
    <w:p>
      <w:pPr>
        <w:pStyle w:val="Normal"/>
        <w:widowControl/>
        <w:rPr/>
      </w:pPr>
      <w:r>
        <w:rPr/>
        <w:t>(a) the name of the arbitrator that the claimant appoints; or (b) the claimant’s written consent for the Secretary-General to appoint that arbitrator. Article 14.D.4: Consent to Arbitration 1. Each Annex Party consents to the submission of a claim to arbitration under this Annex in accordance with this Agreement. 2.</w:t>
      </w:r>
    </w:p>
    <w:p>
      <w:pPr>
        <w:pStyle w:val="Normal"/>
        <w:widowControl/>
        <w:rPr/>
      </w:pPr>
      <w:r>
        <w:rPr/>
        <w:t>The consent under paragraph 1 and the submission of a claim to arbitration under this Annex shall be deemed to satisfy the requirements of: (a) Chapter II of the ICSID Convention (Jurisdiction of the Centre) and the ICSID Additional Facility Rules for written consent of the parties to the dispute; 14-D-4 (b) Article II of the New York Convention for an “agreement in writing”; and (c) Article I of the Inter-American Convention for an “agreement”. Article 14.D.5: Conditions and Limitations on Consent 1. No claim shall be submitted to arbitration under this Annex unless: (a) the claimant (for claims brought under Article 14.D.3.1(a) (Submission of a Claim to Arbitration)) and the claimant or the enterprise (for claims brought under Article 14.D.3.1(b)) first initiated a proceeding before a competent court or administrative tribunal of the respondent with respect to the measures alleged to constitute a breach referred to in Article 14.D.3;</w:t>
      </w:r>
    </w:p>
    <w:p>
      <w:pPr>
        <w:pStyle w:val="Normal"/>
        <w:widowControl/>
        <w:rPr/>
      </w:pPr>
      <w:r>
        <w:rPr/>
        <w:t>(b) the claimant or the enterprise obtained a final decision from a court of last resort of the respondent or 30 months have elapsed from the date the proceeding in subparagraph (a) was initiated;25 (c) no more than four years have elapsed from the date on which the claimant first acquired, or should have first acquired, knowledge of the breach alleged under Article 14.D.3.1 (Submission of a Claim to Arbitration) and knowledge that the claimant (for claims brought under Article 14.D.3.1(a)) or the enterprise (for claims brought under Article</w:t>
      </w:r>
    </w:p>
    <w:p>
      <w:pPr>
        <w:pStyle w:val="Normal"/>
        <w:widowControl/>
        <w:rPr/>
      </w:pPr>
      <w:r>
        <w:rPr/>
        <w:t>14.D.3.1(b)) has incurred loss or damage; (d) the claimant consents in writing to arbitration in accordance with the procedures set out in this Agreement; and (e) the notice of arbitration is accompanied: (i) for claims submitted to arbitration under Article 14.D.3.1(a) (Submission of a Claim to Arbitration), by the claimant’s written waiver, and (ii) for claims submitted to arbitration under Article 14.D.3.1(b) (Submission of a Claim to Arbitration), by the claimant’s and the enterprise’s written waivers, of any right to initiate or continue before any court or administrative tribunal under the law of an Annex Party, or any other dispute settlement procedures, any proceeding with respect to any measure alleged to constitute a breach referred to in Article 14.D.3 (Submission of a Claim to Arbitration). 25 The provisions in subparagraphs (a) and (b) do not apply to the extent recourse to domestic remedies was obviously futile. 14-D-5 2.</w:t>
      </w:r>
    </w:p>
    <w:p>
      <w:pPr>
        <w:pStyle w:val="Normal"/>
        <w:widowControl/>
        <w:rPr/>
      </w:pPr>
      <w:r>
        <w:rPr/>
        <w:t>Notwithstanding paragraph 1(e), the claimant (for claims brought under Article 14.D.3.1(a) (Submission of a Claim to Arbitration)) and the claimant or the enterprise (for claims brought under Article 14.D.3.1(b)) may initiate or continue an action that seeks interim injunctive relief and does not involve the payment of monetary damages before a judicial or administrative tribunal of the respondent, provided that the action is brought for the sole purpose of preserving the claimant’s or the enterprise’s rights and interests during the pendency of the arbitration. Article 14.D.6: Selection of Arbitrators 1. Unless the disputing parties agree otherwise, the tribunal shall comprise three arbitrators, one arbitrator appointed by each of the disputing parties and the third, who shall be the presiding arbitrator, appointed by agreement of the disputing parties. 2. The Secretary-General shall serve as appointing authority for an arbitration under this Annex. 3.</w:t>
      </w:r>
    </w:p>
    <w:p>
      <w:pPr>
        <w:pStyle w:val="Normal"/>
        <w:widowControl/>
        <w:rPr/>
      </w:pPr>
      <w:r>
        <w:rPr/>
        <w:t>If a tribunal has not been constituted within a period of 75 days after the date that a claim is submitted to arbitration under this Annex, the Secretary-General, on the request of a disputing party, shall appoint, in his or her discretion, the arbitrator or arbitrators not yet appointed. The Secretary-General shall not appoint a national of either the respondent or the Party of the claimant as the presiding arbitrator unless the disputing parties agree otherwise. 4.</w:t>
      </w:r>
    </w:p>
    <w:p>
      <w:pPr>
        <w:pStyle w:val="Normal"/>
        <w:widowControl/>
        <w:rPr/>
      </w:pPr>
      <w:r>
        <w:rPr/>
        <w:t>For the purposes of Article 39 of the ICSID Convention and Article 7 of Schedule C to the ICSID Additional Facility Rules, and without prejudice to an objection to an arbitrator on a ground other than nationality: (a) the respondent agrees to the appointment of each individual member of a tribunal established under the ICSID Convention or the ICSID Additional Facility Rules; (b) a claimant referred to in Article 14.D.3.1(a) (Submission of a Claim to Arbitration) may submit a claim to arbitration under this Annex, or continue a claim, under the ICSID Convention or the ICSID Additional Facility Rules, only on condition that the claimant agrees in writing to the appointment of each individual member of the tribunal; and (c) a claimant referred to in Article 14.D.3.1(b) (Submission of a Claim to Arbitration) may submit a claim to arbitration under this Annex, or continue a claim, under the ICSID Convention or the ICSID Additional Facility Rules, only on condition that the claimant and the enterprise agree in writing to the appointment of each individual member of the tribunal. 5.</w:t>
      </w:r>
    </w:p>
    <w:p>
      <w:pPr>
        <w:pStyle w:val="Normal"/>
        <w:widowControl/>
        <w:rPr/>
      </w:pPr>
      <w:r>
        <w:rPr/>
        <w:t>Arbitrators appointed to a tribunal for claims submitted under Article 14.D.3.1 shall: 14-D-6 (a) comply with the International Bar Association Guidelines on Conflicts of Interest in International Arbitration, including guidelines regarding direct or indirect conflicts of interest, or any supplemental guidelines or rules adopted by the Annex Parties; (b) not take instructions from any organization or government regarding the dispute; and (c) not, for the duration of the proceedings, act as counsel or as party-appointed expert or witness in any pending arbitration under the annexes to this Chapter. 6. Challenges to arbitrators shall be governed by the procedures in the UNCITRAL Arbitration Rules. Article 14.D.7: Conduct of the Arbitration 1. The disputing parties may agree on the legal place of any arbitration under the arbitration rules applicable under Article 14.D.3.3 (Submission of a Claim to Arbitration). If the disputing parties fail to reach agreement, the tribunal shall determine the place in accordance with the applicable arbitration rules, provided that the place shall be in the territory of a State that is a party to the New York Convention. 2. The non-disputing Annex Party may make oral and written submissions to the tribunal regarding the interpretation of this Agreement. 3.</w:t>
      </w:r>
    </w:p>
    <w:p>
      <w:pPr>
        <w:pStyle w:val="Normal"/>
        <w:widowControl/>
        <w:rPr/>
      </w:pPr>
      <w:r>
        <w:rPr/>
        <w:t>After consultation with the disputing parties, the tribunal may accept and consider written amicus curiae submissions regarding a matter of fact or law within the scope of the dispute that may assist the tribunal in evaluating the submissions and arguments of the disputing parties from a person or entity that is not a disputing party but has a significant interest in the arbitral proceedings. Each submission shall identify the author; disclose any affiliation, direct or indirect, with any disputing party; and identify any person, government, or other entity that has provided, or will provide, any financial or other assistance in preparing the submission. Each submission shall be in a language of the arbitration and comply with any page limits and deadlines set by the tribunal. The tribunal shall provide the disputing parties with an opportunity to respond to such submissions. The tribunal shall ensure that the submissions do not disrupt or unduly burden the arbitral proceedings, or unfairly prejudice any disputing party. 4.</w:t>
      </w:r>
    </w:p>
    <w:p>
      <w:pPr>
        <w:pStyle w:val="Normal"/>
        <w:widowControl/>
        <w:rPr/>
      </w:pPr>
      <w:r>
        <w:rPr/>
        <w:t>Without prejudice to a tribunal’s authority to address other objections as a preliminary question, such as an objection that a dispute is not within the competence of the tribunal, including an objection to the tribunal’s jurisdiction, a tribunal shall address and decide as a preliminary question any objection by the respondent that, as a matter of law, a claim submitted is not a claim for which an award in favor of the claimant may be made under Article 14.D.13 (Awards) or that a claim is manifestly without legal merit. 14-D-7 (a) An objection under this paragraph shall be submitted to the tribunal as soon as possible after the tribunal is constituted, and in no event later than the date the tribunal fixes for the respondent to submit its counter-memorial or, in the case of an amendment to the notice of arbitration, the date the tribunal fixes for the respondent to submit its response to the amendment.</w:t>
      </w:r>
    </w:p>
    <w:p>
      <w:pPr>
        <w:pStyle w:val="Normal"/>
        <w:widowControl/>
        <w:rPr/>
      </w:pPr>
      <w:r>
        <w:rPr/>
        <w:t>(b) On receipt of an objection under this paragraph, the tribunal shall suspend any proceedings on the merits, establish a schedule for considering the objection consistent with any schedule it has established for considering any other preliminary question, and issue a decision or award on the objection, stating the grounds therefor.</w:t>
      </w:r>
    </w:p>
    <w:p>
      <w:pPr>
        <w:pStyle w:val="Normal"/>
        <w:widowControl/>
        <w:rPr/>
      </w:pPr>
      <w:r>
        <w:rPr/>
        <w:t>(c) In deciding an objection under this paragraph that a claim submitted is not a claim for which an award in favor of the claimant may be made under Article 14.D.13 (Awards), the tribunal shall assume to be true the claimant’s factual allegations in support of any claim in the notice of arbitration (or any amendment thereof) and, in disputes brought under the UNCITRAL Arbitration Rules, the statement of claim referred to in the relevant article of the UNCITRAL Arbitration Rules. The tribunal may also consider any relevant facts not in dispute. (d) The respondent does not waive any objection as to competence, including an objection to jurisdiction, or any argument on the merits merely because the respondent did or did not raise an objection under this paragraph or make use of the expedited procedure set out in paragraph 5. 5.</w:t>
      </w:r>
    </w:p>
    <w:p>
      <w:pPr>
        <w:pStyle w:val="Normal"/>
        <w:widowControl/>
        <w:rPr/>
      </w:pPr>
      <w:r>
        <w:rPr/>
        <w:t>In the event that the respondent so requests within 45 days after the tribunal is constituted, the tribunal shall decide on an expedited basis an objection under paragraph 4 or any objection that the dispute is not within the tribunal’s competence, including an objection that the dispute is not within the tribunal’s jurisdiction. The tribunal shall suspend any proceedings on the merits and issue a decision or award on the objection, stating the grounds therefor, no later than 150 days after the date of the request. However, if a disputing party requests a hearing, the tribunal may take an additional 30 days to issue the decision or award.</w:t>
      </w:r>
    </w:p>
    <w:p>
      <w:pPr>
        <w:pStyle w:val="Normal"/>
        <w:widowControl/>
        <w:rPr/>
      </w:pPr>
      <w:r>
        <w:rPr/>
        <w:t>Regardless of whether a hearing is requested, a tribunal may, on a showing of extraordinary cause, delay issuing its decision or award by an additional brief period, which may not exceed 30 days. 6. When the tribunal decides a respondent’s objection under paragraph 4 or 5, it may, if warranted, award to the prevailing disputing party reasonable costs and attorney’s fees incurred in submitting or opposing the objection. In determining whether such an award is warranted, the tribunal shall consider whether either the claimant’s claim or the respondent’s objection was frivolous, and shall provide the disputing parties a reasonable opportunity to comment. 7. For greater certainty, if an investor of an Annex Party submits a claim under this Annex, the investor has the burden of proving all elements of its claims, consistent with general principles of international law applicable to international arbitration. 14-D-8 8. A respondent may not assert as a defense, counterclaim, right of set-off, or for any other reason, that the claimant has received or will receive indemnification or other compensation for all or part of the alleged damages pursuant to an insurance or guarantee contract. 9.</w:t>
      </w:r>
    </w:p>
    <w:p>
      <w:pPr>
        <w:pStyle w:val="Normal"/>
        <w:widowControl/>
        <w:rPr/>
      </w:pPr>
      <w:r>
        <w:rPr/>
        <w:t>A tribunal may order an interim measure of protection to preserve the rights of a disputing party, or to ensure that the tribunal’s jurisdiction is made fully effective, including an order to preserve evidence in the possession or control of a disputing party or to protect the tribunal’s jurisdiction. A tribunal may not order attachment or enjoin the application of a measure alleged to constitute a breach referred to in Article 14.D.3 (Submission of a Claim to Arbitration). For the purposes of this paragraph, an order includes a recommendation. 10. The tribunal and the disputing parties shall endeavor to conduct the arbitration in an expeditious and cost-effective manner. 11.</w:t>
      </w:r>
    </w:p>
    <w:p>
      <w:pPr>
        <w:pStyle w:val="Normal"/>
        <w:widowControl/>
        <w:rPr/>
      </w:pPr>
      <w:r>
        <w:rPr/>
        <w:t>Following the submission of a claim to arbitration under this Annex, if the disputing parties fail to take any steps in the proceedings for more than 150 days, or such period as they may agree with the approval of the tribunal, the tribunal shall notify the disputing parties that they shall be deemed to have discontinued the proceedings if the parties fail to take any steps within 30 days after the notice is received. If the parties fail to take any steps within that time period, the tribunal shall take note of the discontinuance in an order. If a tribunal has not yet been constituted, the Secretary-General shall assume these responsibilities. 12.</w:t>
      </w:r>
    </w:p>
    <w:p>
      <w:pPr>
        <w:pStyle w:val="Normal"/>
        <w:widowControl/>
        <w:rPr/>
      </w:pPr>
      <w:r>
        <w:rPr/>
        <w:t>In any arbitration conducted under this Annex, at the request of a disputing party, a tribunal shall, before issuing a decision or award on liability, transmit its proposed decision or award to the disputing parties. Within 60 days after the tribunal transmits its proposed decision or award, the disputing parties may submit written comments to the tribunal concerning any aspect of its proposed decision or award. The tribunal shall consider any comments and issue its decision or award no later than 45 days after the expiration of the 60 day comment period. Article 14.D.8: Transparency of Arbitral Proceedings 1. Subject to paragraphs 2 and 4, the respondent shall, after receiving the following documents, promptly transmit them to the non-disputing Annex Party and make them available to the public: (a) the notice of intent; (b) the notice of arbitration; (c) pleadings, memorials, and briefs submitted to the tribunal by a disputing party and any written submissions submitted pursuant to Article 14.D.7.2 and 14.D.7.3 (Conduct of the Arbitration),, and Article 14.D.12 (Consolidation);</w:t>
      </w:r>
    </w:p>
    <w:p>
      <w:pPr>
        <w:pStyle w:val="Normal"/>
        <w:widowControl/>
        <w:rPr/>
      </w:pPr>
      <w:r>
        <w:rPr/>
        <w:t>(d) minutes or transcripts of hearings of the tribunal, if available; and (e) orders, awards, and decisions of the tribunal. 14-D-9 2. The tribunal shall conduct hearings open to the public and shall determine, in consultation with the disputing parties, the appropriate logistical arrangements.</w:t>
      </w:r>
    </w:p>
    <w:p>
      <w:pPr>
        <w:pStyle w:val="Normal"/>
        <w:widowControl/>
        <w:rPr/>
      </w:pPr>
      <w:r>
        <w:rPr/>
        <w:t>If a disputing party intends to use information in a hearing that is designated as protected information or otherwise subject to paragraph 3 it shall so advise the tribunal. The tribunal shall make appropriate arrangements to protect such information from disclosure which may include closing the hearing for the duration of the discussion of that information. 3. Nothing in this Annex, including paragraph 4(d), requires a respondent to make available to the public or otherwise disclose during or after the arbitral proceedings, including the hearing, protected information, or to furnish or allow access to information that it may withhold in accordance with Article 32.2 (Essential Security) or Article 32.5 (Disclosure of Information).26 4. Any protected information that is submitted to the tribunal shall be protected from disclosure in accordance with the following procedures: (a) subject to subparagraph (d), neither the disputing parties nor the tribunal shall disclose to the non-disputing Annex Party or to the public any protected information if the disputing party that provided the information clearly designates it in accordance with subparagraph (b);</w:t>
      </w:r>
    </w:p>
    <w:p>
      <w:pPr>
        <w:pStyle w:val="Normal"/>
        <w:widowControl/>
        <w:rPr/>
      </w:pPr>
      <w:r>
        <w:rPr/>
        <w:t>(b) any disputing party claiming that certain information constitutes protected information shall clearly designate the information according to any schedule set by the tribunal; (c) a disputing party shall, according to any schedule set by the tribunal, submit a redacted version of the document that does not contain the</w:t>
      </w:r>
    </w:p>
    <w:p>
      <w:pPr>
        <w:pStyle w:val="Normal"/>
        <w:widowControl/>
        <w:rPr/>
      </w:pPr>
      <w:r>
        <w:rPr/>
        <w:t>protected information. Only the redacted version shall be disclosed in accordance with paragraph 1; and (d) the tribunal, subject to paragraph 3, shall decide any objection regarding the designation of information claimed to be protected information. If the tribunal determines that the information was not properly designated, the disputing party that submitted the information may: (i) withdraw all or part of its submission containing that information, or (ii) agree to resubmit complete and redacted documents with corrected designations in accordance with the tribunal’s determination and subparagraph (c). In either case, the other disputing party shall, whenever necessary, resubmit complete and redacted documents which either remove the information withdrawn 26 For greater certainty, when a respondent chooses to disclose to the tribunal information that may be withheld in accordance with Article 32.2 (Essential Security) or Article 32.5 (Disclosure of Information), the respondent may still withhold that information from disclosure to the public.</w:t>
      </w:r>
    </w:p>
    <w:p>
      <w:pPr>
        <w:pStyle w:val="Normal"/>
        <w:widowControl/>
        <w:rPr/>
      </w:pPr>
      <w:r>
        <w:rPr/>
        <w:t>14-D-10 under subparagraph (d)(i) by the disputing party that first submitted the information or redesignate the information consistent with the designation under subparagraph (d)(ii) of the disputing party that first submitted the information. 5. Nothing in this Annex requires a respondent to withhold from the public information required to be disclosed by its laws.</w:t>
      </w:r>
    </w:p>
    <w:p>
      <w:pPr>
        <w:pStyle w:val="Normal"/>
        <w:widowControl/>
        <w:rPr/>
      </w:pPr>
      <w:r>
        <w:rPr/>
        <w:t>The respondent should endeavor to apply those laws in a manner sensitive to protecting from disclosure information that has been designated as protected information. Article 14.D.9: Governing Law 1. Subject to paragraph 2, when a claim is submitted under Article 14.D.3.1 (Submission of a Claim to Arbitration), the tribunal shall decide the issues in dispute in accordance with this Agreement and applicable rules of international law. 2. A decision of the Commission on the interpretation of a provision of this Agreement under Article 30.2 (Functions of the Commission) shall be binding on a tribunal, and any decision or award issued by a tribunal must be consistent with that decision. Article 14.D.10: Interpretation of Annexes 1. If a respondent asserts as a defense that the measure alleged to be a breach is within the scope of a non-conforming measure set out in Annex I or Annex II, the tribunal shall, on request of the respondent, request the interpretation of the Commission on the issue.</w:t>
      </w:r>
    </w:p>
    <w:p>
      <w:pPr>
        <w:pStyle w:val="Normal"/>
        <w:widowControl/>
        <w:rPr/>
      </w:pPr>
      <w:r>
        <w:rPr/>
        <w:t>The Commission shall submit in writing any decision on its interpretation under Article 30.2 (Functions of the Commission) to the tribunal within 90 days of delivery of the request. 2. A decision issued by the Commission under paragraph 1 shall be binding on the tribunal, and any decision or award issued by the tribunal must be consistent with that decision. If the Commission fails to issue such a decision within 90 days, the tribunal shall decide the issue.</w:t>
      </w:r>
    </w:p>
    <w:p>
      <w:pPr>
        <w:pStyle w:val="Normal"/>
        <w:keepNext w:val="true"/>
        <w:widowControl/>
        <w:rPr/>
      </w:pPr>
      <w:r>
        <w:rPr/>
        <w:t>Article 14.D.11: Expert Reports Without prejudice to the appointment of other kinds of experts when authorized by the applicable arbitration rules, a tribunal, on request of a disputing party or, unless the disputing parties disapprove, on its own initiative, may appoint one or more experts to report to it in writing on any factual issue concerning scientific matters raised by a disputing party in a proceeding, subject to any terms and conditions that the disputing parties may agree. 14-D-11 Article 14.D.12: Consolidation 1. If two or more claims have been submitted separately to arbitration under Article 14.D.3.1 (Submission of a Claim to Arbitration) and the claims have a question of law or fact in common and arise out of the same events or circumstances, any disputing party may seek a consolidation order in accordance with the agreement of all the disputing parties sought to be covered by the order or the terms of paragraphs 2 through 10. 2.</w:t>
      </w:r>
    </w:p>
    <w:p>
      <w:pPr>
        <w:pStyle w:val="Normal"/>
        <w:widowControl/>
        <w:rPr/>
      </w:pPr>
      <w:r>
        <w:rPr/>
        <w:t>A disputing party that seeks a consolidation order under this Article shall deliver, in writing, a request to the Secretary-General and to all the disputing parties sought to be covered by the order and shall specify in the request: (a) the names and addresses of all the disputing parties sought to be covered by the order; (b) the nature of the order sought; and (c) the grounds on which the order is sought. 3.</w:t>
      </w:r>
    </w:p>
    <w:p>
      <w:pPr>
        <w:pStyle w:val="Normal"/>
        <w:widowControl/>
        <w:rPr/>
      </w:pPr>
      <w:r>
        <w:rPr/>
        <w:t>Unless the Secretary-General finds within a period of 30 days after the date of receiving a request under paragraph 2 that the request is manifestly unfounded, a tribunal shall be established under this Article. 4. Unless all the disputing parties sought to be covered by the order agree otherwise, a tribunal established under this Article shall comprise three arbitrators: (a) one arbitrator appointed by agreement of the claimants; (b) one arbitrator appointed by the respondent; and (c) the presiding arbitrator appointed by the Secretary-General, provided that the presiding arbitrator is not a national of the respondent or of the Party of the claimants. 5. If, within a period of 60 days after the date when the Secretary-General receives a request made under paragraph 2, the respondent fails or the claimants fail to appoint an arbitrator in accordance with paragraph 4, the Secretary-General, on request of any disputing party sought to be covered by the order, shall appoint, in his or her discretion, the arbitrator or arbitrators not yet appointed. 6.</w:t>
      </w:r>
    </w:p>
    <w:p>
      <w:pPr>
        <w:pStyle w:val="Normal"/>
        <w:widowControl/>
        <w:rPr/>
      </w:pPr>
      <w:r>
        <w:rPr/>
        <w:t>If a tribunal established under this Article is satisfied that two or more claims that have been submitted to arbitration under Article 14.D.3.1 (Submission of a Claim to Arbitration) have a question of law or fact in common, and arise out of the same events or circumstances, the tribunal may, in the interest of fair and efficient resolution of the claims, and after hearing the disputing parties, by order: 14-D-12 (a) assume jurisdiction over, and hear and determine together, all or part of the claims; (b) assume jurisdiction over, and hear and determine one or more of the claims, the determination of which it believes would assist in the resolution of the others; or (c) instruct a tribunal previously established under Article 14.D.6 (Selection of Arbitrators) to assume jurisdiction over, and hear and determine together, all or part of the claims, provided that: (i) that tribunal, on request of a claimant that was not previously a disputing party before that tribunal, shall be reconstituted with its original members, except that the arbitrator for the claimants shall be appointed pursuant to paragraphs 4(a) and 5, and (ii) that tribunal shall decide whether a prior hearing shall be repeated. 7.</w:t>
      </w:r>
    </w:p>
    <w:p>
      <w:pPr>
        <w:pStyle w:val="Normal"/>
        <w:widowControl/>
        <w:rPr/>
      </w:pPr>
      <w:r>
        <w:rPr/>
        <w:t>If a tribunal has been established under this Article, a claimant that has submitted a claim to arbitration under Article 14.D.3.1 (Submission of a Claim to Arbitration) and that has not been named in a request made under paragraph 2 may make a written request to the tribunal that it be included in any order made under paragraph 6. The request shall specify: (a) the name and address of the claimant; (b) the nature of the order sought; and (c) the grounds on which the order is sought. The claimant shall deliver a copy of its request to the Secretary-General. 8. A tribunal established under this Article shall conduct its proceedings in accordance with the UNCITRAL Arbitration Rules, except as modified by this Annex. 9. A tribunal established under Article 14.D.6 (Selection of Arbitrators) shall not have jurisdiction to decide a claim, or a part of a claim, over which a tribunal established or instructed under this Article has assumed jurisdiction. 10.</w:t>
      </w:r>
    </w:p>
    <w:p>
      <w:pPr>
        <w:pStyle w:val="Normal"/>
        <w:widowControl/>
        <w:rPr/>
      </w:pPr>
      <w:r>
        <w:rPr/>
        <w:t>On the application of a disputing party, a tribunal established under this Article, pending its decision under paragraph 6, may order that the proceedings of a tribunal established under Article 14.D.6 (Selection of Arbitrators) be stayed, unless the latter tribunal has already adjourned its proceedings. Article 14.D.13: Awards 14-D-13 1.</w:t>
      </w:r>
    </w:p>
    <w:p>
      <w:pPr>
        <w:pStyle w:val="Normal"/>
        <w:widowControl/>
        <w:rPr/>
      </w:pPr>
      <w:r>
        <w:rPr/>
        <w:t>When a tribunal makes a final award, the tribunal may award, separately or in combination, only: (a) monetary damages and any applicable interest; and (b) restitution of property, in which case the award shall provide that the respondent may pay monetary damages and any applicable interest in lieu of restitution.27 2. For greater certainty, if an investor of an Annex Party submits a claim to arbitration under Article 14.D.3.1 (Submission of a Claim to Arbitration), it may recover only for loss or damage that is established on the basis of satisfactory evidence and that is not inherently speculative. 3. For greater certainty, if an investor of an Annex Party submits a claim to arbitration under Article 14.D.3.1(a) (Submission of a Claim to Arbitration), it may recover only for loss or damage incurred in its capacity as an investor of an Annex Party. 4. A tribunal may also award costs and attorney’s fees incurred by the disputing parties in connection with the arbitral proceedings, and shall determine how and by whom those costs and attorney’s fees shall be paid, in accordance with this Annex and the applicable arbitration rules. 5.</w:t>
      </w:r>
    </w:p>
    <w:p>
      <w:pPr>
        <w:pStyle w:val="Normal"/>
        <w:widowControl/>
        <w:rPr/>
      </w:pPr>
      <w:r>
        <w:rPr/>
        <w:t>Subject to paragraph 1, if a claim is submitted to arbitration under Article 14.D.3.1(b) (Submission of a Claim to Arbitration) and an award is made in favor of the enterprise: (a) an award of restitution of property shall provide that restitution be made to the enterprise; (b) an award of monetary damages and any applicable interest shall provide that the sum be paid to the enterprise; and (c) the award shall provide that it is made without prejudice to any right that any person may have under applicable domestic law with respect to the relief provided in the award. 6. A tribunal shall not award punitive damages. 7. An award made by a tribunal has no binding force except between the disputing parties and in respect of the particular case. 8. Subject to paragraph 9 and the applicable review procedure for an interim award, a disputing party shall abide by and comply with an award without delay. 9. A disputing party shall not seek enforcement of a final award until:</w:t>
      </w:r>
    </w:p>
    <w:p>
      <w:pPr>
        <w:pStyle w:val="Normal"/>
        <w:widowControl/>
        <w:rPr/>
      </w:pPr>
      <w:r>
        <w:rPr/>
        <w:t>27 For greater certainty, in the final award the tribunal may not order the respondent to take or not to take other actions, including the amendment, repeal, adoption, or implementation of a law or regulation.</w:t>
      </w:r>
    </w:p>
    <w:p>
      <w:pPr>
        <w:pStyle w:val="Normal"/>
        <w:widowControl/>
        <w:rPr/>
      </w:pPr>
      <w:r>
        <w:rPr/>
        <w:t>14-D-14 (a) in the case of a final award made under the ICSID Convention: (i) 120 days have elapsed from the date the award was rendered and no disputing party has requested revision or annulment of the award, or (ii) revision or annulment proceedings have been completed; and (b) in the case of a final award under the ICSID Additional Facility Rules, the UNCITRAL Arbitration Rules, or the rules selected pursuant to Article 14.D.3.3(d) (Submission of a Claim to Arbitration): (i) 90 days have elapsed from the date the award was rendered and no disputing party has commenced a proceeding to revise, set aside or annul the award, or (ii) a court has dismissed or allowed an application to revise, set aside or annul the award and there is no further appeal. 10. Each Annex Party shall provide for the enforcement of an award in its territory. 11.</w:t>
      </w:r>
    </w:p>
    <w:p>
      <w:pPr>
        <w:pStyle w:val="Normal"/>
        <w:widowControl/>
        <w:rPr/>
      </w:pPr>
      <w:r>
        <w:rPr/>
        <w:t>If the respondent fails to abide by or comply with a final award, on delivery of a request by the Party of the claimant, a panel shall be established under Article 31.6 (Establishment of a Panel). The requesting Party may seek in those proceedings: (a) a determination that the failure to abide by or comply with the final award is inconsistent with the obligations of this Agreement; and (b) in accordance with Article 31.17 (Panel Report), a recommendation that the respondent abide by or comply with the final award. 12.</w:t>
      </w:r>
    </w:p>
    <w:p>
      <w:pPr>
        <w:pStyle w:val="Normal"/>
        <w:widowControl/>
        <w:rPr/>
      </w:pPr>
      <w:r>
        <w:rPr/>
        <w:t>A disputing party may seek enforcement of an arbitration award under the ICSID Convention, the New York Convention, or the Inter-American Convention regardless of whether proceedings have been taken under paragraph 11. 13. A claim that is submitted to arbitration under this Annex shall be considered to arise out of a commercial relationship or transaction for the purposes of Article I of the New York Convention and Article I of the Inter-American Convention. Article 14.D.14: Service of Documents Delivery of notice and other documents to an Annex Party shall be made to the place named for that Annex Party in Appendix 1 (Service of Documents on an Annex Party). An Annex Party shall promptly make publicly available and notify the other Annex Party of any change to the place referred to in that Appendix. 14-D-15 APPENDIX 1 SERVICE OF DOCUMENTS ON AN ANNEX PARTY Mexico Notices and other documents in disputes under this Annex shall be served on Mexico by delivery to: Dirección General de Consultoría Jurídica de Comercio Internacional Secretaría de Economía Pachuca #189, piso 19 Col.</w:t>
      </w:r>
    </w:p>
    <w:p>
      <w:pPr>
        <w:pStyle w:val="Normal"/>
        <w:widowControl/>
        <w:rPr/>
      </w:pPr>
      <w:r>
        <w:rPr/>
        <w:t>Condesa Demarcación Territorial Cuauhtémoc Ciudad de México C.P. 06140 United States Notices and other documents in disputes under this Annex shall be served on the United States by delivery to: Executive Director (L/H-EX) Office of the Legal Adviser &amp; Bureau of Legislative Affairs U.S. Department of State 600 19th Street, NW Washington, D.C. 20552 14-D-1-1 APPENDIX 2 PUBLIC DEBT 1.</w:t>
      </w:r>
    </w:p>
    <w:p>
      <w:pPr>
        <w:pStyle w:val="Normal"/>
        <w:widowControl/>
        <w:rPr/>
      </w:pPr>
      <w:r>
        <w:rPr/>
        <w:t>For greater certainty, no award shall be made in favor of a claimant for a claim under Article 14.D.3.1 (Submission of a Claim to Arbitration) with respect to default or non-payment of debt issued by a Party28 unless the claimant meets its burden of proving that such default or non-payment constitutes a breach of a relevant obligation in the Chapter. 2. No claim that a restructuring of debt issued by a Party, standing alone, breaches an obligation in this Chapter shall be submitted to arbitration under Article 14.D.3.1 (Submission of a Claim to Arbitration), provided that the restructuring is effected as provided for under the debt instrument’s terms, including the debt instrument’s governing law. 28 For purposes of this Annex, “debt issued by a Party” includes, in the case of Mexico, “public debt” of Mexico as defined in Article 1 of the Federal Law on Public Debt (Ley Federal de Deuda Pública).</w:t>
      </w:r>
    </w:p>
    <w:p>
      <w:pPr>
        <w:pStyle w:val="Normal"/>
        <w:widowControl/>
        <w:rPr/>
      </w:pPr>
      <w:r>
        <w:rPr/>
        <w:t>14-D-2-1 APPENDIX 3 SUBMISSION OF A CLAIM TO ARBITRATION An investor of the United States may not submit to arbitration a claim that Mexico has breached an obligation under this Chapter either: (a) on its own behalf under Article 14.D.3.1(a) (Submission of a Claim to Arbitration); or (b) on behalf of an enterprise of Mexico that is a juridical person that the investor owns or controls directly or indirectly under Article 14.D.3.1(b) (Submission of a Claim to Arbitration), if the investor or the enterprise, respectively, has alleged that breach of an obligation under this Chapter, as distinguished from breach of other obligations under Mexican law, in proceedings before a court or administrative tribunal of Mexico. 14-D-3-1</w:t>
      </w:r>
    </w:p>
    <w:p>
      <w:pPr>
        <w:pStyle w:val="Normal"/>
        <w:widowControl/>
        <w:rPr/>
      </w:pPr>
      <w:r>
        <w:rPr/>
        <w:t>ANNEX 14-E MEXICO-UNITED STATES INVESTMENT DISPUTES RELATED TO COVERED GOVERNMENT CONTRACTS 1. Annex 14-D (Mexico-United States Investment Disputes) applies as modified by this Annex to the settlement of a qualifying investment dispute under this Chapter in the circumstances set out in paragraph 2.29 2. In the event that a disputing party considers that a qualifying investment dispute cannot be settled by consultation and negotiation: (a) the claimant, on its own behalf, may submit to arbitration under Annex 14-D (Mexico-United States Investment Disputes) a claim: (i) that the respondent has breached any obligation under this Chapter,30 provided that: (A) the claimant is:</w:t>
      </w:r>
    </w:p>
    <w:p>
      <w:pPr>
        <w:pStyle w:val="Normal"/>
        <w:widowControl/>
        <w:rPr/>
      </w:pPr>
      <w:r>
        <w:rPr/>
        <w:t>(1) a party to a covered government contract, or (2) engaged in activities in the same covered sector in the territory of the respondent as an enterprise of the respondent that the claimant owns or controls directly or indirectly and that is a party to a covered government contract, and (B) the respondent is a party to another international trade or investment agreement that permits investors to initiate dispute settlement procedures to resolve an investment dispute with a government, and (ii) that the claimant has incurred loss or damage by reason of, or arising out of, that breach; 29 For greater certainty, Annex 14-D (Mexico-United States Investment Disputes) includes its appendices.</w:t>
      </w:r>
    </w:p>
    <w:p>
      <w:pPr>
        <w:pStyle w:val="Normal"/>
        <w:widowControl/>
        <w:rPr/>
      </w:pPr>
      <w:r>
        <w:rPr/>
        <w:t>30 For the purposes of this paragraph: (i) the “treatment” referred to in Article 14.5 (Most-Favored-Nation Treatment) excludes provisions in other international trade or investment agreements that establish international dispute resolution procedures or impose substantive obligations; (ii) the “treatment” referred to in Article 14.5 only encompasses measures adopted or maintained by the other Annex Party, which for greater clarity may include measures adopted in connection with the implementation of substantive obligations in other international trade or investment agreements. 14-E-1 (b) the claimant, on behalf of an enterprise of the respondent that is a juridical person that the claimant owns or controls directly or indirectly, may submit to arbitration under Annex 14-D (Mexico-United States Investment Disputes) a claim: (i) that the respondent has breached any obligation under this Chapter, provided that: (A) the enterprise is:</w:t>
      </w:r>
    </w:p>
    <w:p>
      <w:pPr>
        <w:pStyle w:val="Normal"/>
        <w:widowControl/>
        <w:rPr/>
      </w:pPr>
      <w:r>
        <w:rPr/>
        <w:t>(1) a party to a covered government contract, (2) engaged in activities in the same covered sector in the territory of the respondent as the claimant and the claimant is a party to a covered government contract, or (3) engaged in activities in the same covered sector in the territory of the respondent as another enterprise of the respondent that the claimant owns or controls directly or indirectly and that is a party to a covered government contract, and (B) the respondent is a party to another international trade or investment agreement that</w:t>
      </w:r>
    </w:p>
    <w:p>
      <w:pPr>
        <w:pStyle w:val="Normal"/>
        <w:widowControl/>
        <w:rPr/>
      </w:pPr>
      <w:r>
        <w:rPr/>
        <w:t>permits investors to initiate dispute settlement procedures to resolve an investment dispute with a government, and (ii) that the enterprise has incurred loss or damage by reason of, or arising out of, that breach.31 3. For the purposes of paragraph 2, if a covered government contract is terminated in a manner inconsistent with an obligation under this Chapter, the claimant or enterprise that was previously a party to the contract shall be deemed to remain a party for the duration of the contract, as if it had not been terminated. 4. No claim shall be submitted to arbitration under paragraph 2 if:</w:t>
      </w:r>
    </w:p>
    <w:p>
      <w:pPr>
        <w:pStyle w:val="Normal"/>
        <w:widowControl/>
        <w:rPr/>
      </w:pPr>
      <w:r>
        <w:rPr/>
        <w:t>(a) less than six months have elapsed from the events giving rise to the claim; and (b) more than three years have elapsed from the date on which the claimant first acquired, or should have first acquired, knowledge of the breach alleged under paragraph 2 and knowledge that the claimant (for claims brought under paragraph 31 For greater certainty, in order for a claim to be submitted to arbitration under subparagraph (b), an investor of the Party of the claimant must own or control the enterprise on the date of the alleged breach and the date on which the claim is submitted to arbitration. 14-E-2 2(a)) or the enterprise (for claims brought under paragraph 2(b)) has incurred loss or damage.32 5. For greater certainty, the Annex Parties may agree to modify or eliminate this Annex. 6.</w:t>
      </w:r>
    </w:p>
    <w:p>
      <w:pPr>
        <w:pStyle w:val="Normal"/>
        <w:widowControl/>
        <w:rPr/>
      </w:pPr>
      <w:r>
        <w:rPr/>
        <w:t>For the purposes of this Annex: (a) “covered government contract” means a written agreement between a national authority of an Annex Party and a covered investment or investor of the other Annex Party, on which the covered investment or investor relies in establishing or acquiring a covered investment other than the written agreement itself, that grants rights to the covered investment or investor in a covered sector; (b) “covered sector” means: (i) activities with respect to oil and natural gas that a national authority of an Annex Party controls, such as exploration, extraction, refining, transportation, distribution, or sale, (ii) the supply of power generation services to the public on behalf of an Annex Party, (iii) the supply of telecommunications services to the public on behalf of an Annex Party, (iv) the supply of transportation services to the public on behalf of an Annex Party, or (v) the ownership or management of roads, railways, bridges, or canals that are not for the exclusive or predominant use and benefit of the government of an Annex Party;</w:t>
      </w:r>
    </w:p>
    <w:p>
      <w:pPr>
        <w:pStyle w:val="Normal"/>
        <w:widowControl/>
        <w:rPr/>
      </w:pPr>
      <w:r>
        <w:rPr/>
        <w:t>(c) “national authority” means an authority at the central level of government;33 and (d) “written agreement” means an agreement in writing, negotiated, and executed by two or more parties, whether in a single instrument or in multiple instruments.34 32 For greater certainty, Article 14.D.5.1(a)-(c) does not apply to claims under paragraph 2.</w:t>
      </w:r>
    </w:p>
    <w:p>
      <w:pPr>
        <w:pStyle w:val="Normal"/>
        <w:widowControl/>
        <w:rPr/>
      </w:pPr>
      <w:r>
        <w:rPr/>
        <w:t>33 For greater certainty, an authority at the central level of government includes any person, including a state enterprise or another body, when it exercises governmental authority delegated to it by an authority at the central level of government. 34 For greater certainty, (a) a unilateral act of an administrative or judicial authority, such as a permit, license, certificate, approval, or similar instrument issued by an Annex Party in its regulatory capacity, or a subsidy or grant, or a decree, order or judgment, standing alone; and (b) an administrative or judicial consent decree or order, shall not be considered a written agreement. 14-E-3</w:t>
      </w:r>
      <w:r>
        <w:br w:type="page"/>
      </w:r>
    </w:p>
    <w:p>
      <w:bookmarkStart w:id="1087" w:name="_NAESTMA_TOC_1087"/>
      <w:pPr>
        <w:pStyle w:val="Heading1"/>
        <w:keepNext/>
        <w:keepLines w:val="0"/>
        <w:pageBreakBefore/>
        <w:widowControl/>
        <w:rPr/>
      </w:pPr>
      <w:bookmarkStart w:id="54" w:name="_Toc237912531"/>
      <w:r>
        <w:rPr/>
        <w:t>CHAPTER 15 CROSS-BORDER TRADE IN SERVICES</w:t>
      </w:r>
      <w:bookmarkEnd w:id="54"/>
      <w:bookmarkEnd w:id="1087"/>
    </w:p>
    <w:p>
      <w:pPr>
        <w:pStyle w:val="Normal"/>
        <w:widowControl/>
        <w:rPr/>
      </w:pPr>
      <w:r>
        <w:rPr/>
        <w:t>Article 15.1: Definitions For the purposes of this Chapter: cross-border trade in services or cross-border supply of services means the supply of a service: (a) from the territory of a Party into the territory of another Party;</w:t>
      </w:r>
    </w:p>
    <w:p>
      <w:pPr>
        <w:pStyle w:val="Normal"/>
        <w:widowControl/>
        <w:rPr/>
      </w:pPr>
      <w:r>
        <w:rPr/>
        <w:t>(b) in the territory of a Party by a person of that Party to a person of another Party; or (c) by a national of a Party in the territory of another Party, but does not include the supply of a service in the territory of a Party by a covered investment; enterprise means an enterprise as defined in Article 1.4 (General Definitions), or a branch of an enterprise; professional service means a service, the supply of which requires specialized post-secondary education, or equivalent training or experience, and for which the right to practice is granted or restricted by a Party, but does not include a service provided by a tradesperson, or a vessel or aircraft crew member; service supplied in the exercise of governmental authority means, for a Party, a service that is supplied neither on a commercial basis nor in competition with one or more service suppliers; service supplier of another Party means a person of a Party that seeks to supply or supplies a service;</w:t>
      </w:r>
    </w:p>
    <w:p>
      <w:pPr>
        <w:pStyle w:val="Normal"/>
        <w:widowControl/>
        <w:rPr/>
      </w:pPr>
      <w:r>
        <w:rPr/>
        <w:t>and specialty air service means a specialized commercial operation using an aircraft whose primary purpose is not the transportation of goods or passengers, such as aerial fire-fighting, flight training, sightseeing, spraying, surveying, mapping, photography, parachute jumping, glider towing, and</w:t>
      </w:r>
    </w:p>
    <w:p>
      <w:pPr>
        <w:pStyle w:val="Normal"/>
        <w:widowControl/>
        <w:rPr/>
      </w:pPr>
      <w:r>
        <w:rPr/>
        <w:t>helicopter-lift for logging and construction, and other airborne agricultural, industrial, and inspection services.</w:t>
      </w:r>
    </w:p>
    <w:p>
      <w:pPr>
        <w:pStyle w:val="Normal"/>
        <w:keepNext w:val="true"/>
        <w:widowControl/>
        <w:rPr/>
      </w:pPr>
      <w:r>
        <w:rPr/>
        <w:t>Article 15.2: Scope 1. This Chapter applies to measures adopted or maintained by a Party relating to cross- border trade in services by a service supplier of another Party, including a measure relating to: (a) the production, distribution, marketing, sale or delivery of a service;1 (b) the purchase or use of, or payment for, a service;2 (c) the access to or use of distribution, transport, or telecommunications networks or services in connection with the supply of a service; (d) the presence in the Party’s territory of a service supplier of another Party; or (e) the provision of a bond or other form of financial security as a condition for the supply of a service. 2. In addition to paragraph 1: (a) Article 15.5 (Market Access) and Article 15.8 (Development and Administration of Measures) apply to measures adopted or maintained by a Party relating to the supply of a service in its territory by a covered investment; and (b) Annex 15-A (Delivery Services) applies to measures adopted or maintained by a Party relating to the supply of delivery services, including by a covered investment. 3.</w:t>
      </w:r>
    </w:p>
    <w:p>
      <w:pPr>
        <w:pStyle w:val="Normal"/>
        <w:widowControl/>
        <w:rPr/>
      </w:pPr>
      <w:r>
        <w:rPr/>
        <w:t>This Chapter does not apply to: (a) a financial service as defined in Article 17.1 (Definitions), except that paragraph 2(a) applies if the financial service is supplied by a covered investment that is not a covered investment in a financial institution as defined in Article 17.1 (Definitions) in the Party’s territory; (b) government procurement; (c) a service supplied in the exercise of governmental authority; or 1 For greater certainty, subparagraph (a) includes the production, distribution, marketing, sale or delivery of a service by electronic means. 2 For greater certainty, subparagraph (b) includes the purchase or use of, or payment for, a service by electronic means. (d) a subsidy or grant provided by a Party or a state enterprise, including government- supported loans, guarantees, or insurance. 4. This Chapter does not apply to air services, including domestic and international air transportation services, whether scheduled or non-scheduled, or to related services in support of air services, other than the following:</w:t>
      </w:r>
    </w:p>
    <w:p>
      <w:pPr>
        <w:pStyle w:val="Normal"/>
        <w:widowControl/>
        <w:rPr/>
      </w:pPr>
      <w:r>
        <w:rPr/>
        <w:t>(a) aircraft repair or maintenance services during which an aircraft is withdrawn from service, excluding so-called line maintenance; and (b) specialty air services. 5. This Chapter does not impose an obligation on a Party with respect to a national of another Party who seeks access to its employment market or who is employed on a permanent basis in its territory, and does not confer any right on that national with respect to that access or employment.</w:t>
      </w:r>
    </w:p>
    <w:p>
      <w:pPr>
        <w:pStyle w:val="Normal"/>
        <w:widowControl/>
        <w:rPr/>
      </w:pPr>
      <w:r>
        <w:rPr/>
        <w:t>6. Annex 15-B (Committee on Transportation Services) and Annex 15-D (Programming Services) include additional provisions related to this Chapter.</w:t>
      </w:r>
    </w:p>
    <w:p>
      <w:pPr>
        <w:pStyle w:val="Normal"/>
        <w:keepNext w:val="true"/>
        <w:widowControl/>
        <w:rPr/>
      </w:pPr>
      <w:r>
        <w:rPr/>
        <w:t>Article 15.3: National Treatment 1. Each Party shall accord to services or service suppliers of another Party treatment no less favorable than that it accords, in like circumstances, to its own services and service suppliers. 2. The treatment to be accorded by a Party under paragraph 1 means, with respect to a government other than at the central level, treatment no less favorable than the most favorable treatment accorded, in like circumstances, by that government to services and service suppliers of the Party of which it forms a part. 3. For greater certainty, whether treatment referred to in paragraph 1 is accorded in “like circumstances” depends on the totality of the circumstances, including whether the relevant treatment distinguishes between services or service suppliers on the basis of legitimate public welfare objectives.</w:t>
      </w:r>
    </w:p>
    <w:p>
      <w:pPr>
        <w:pStyle w:val="Normal"/>
        <w:keepNext w:val="true"/>
        <w:widowControl/>
        <w:rPr/>
      </w:pPr>
      <w:r>
        <w:rPr/>
        <w:t>Article 15.4: Most-Favored-Nation Treatment 1. Each Party shall accord to services or service suppliers of another Party treatment no less favorable than that it accords, in like circumstances, to services and service suppliers of another Party or a non-Party. 2. The treatment to be accorded by a Party under paragraph 1 means, with respect to a government other than at the central level, treatment no less favorable than the most favorable treatment accorded, in like circumstances, by that government to services and service suppliers of another Party or a non-Party. 3. For greater certainty, whether treatment referred to in paragraph 1 is accorded in “like circumstances” depends on the totality of the circumstances, including whether the relevant treatment distinguishes between services or services suppliers on the basis of legitimate public welfare objectives.</w:t>
      </w:r>
    </w:p>
    <w:p>
      <w:pPr>
        <w:pStyle w:val="Normal"/>
        <w:keepNext w:val="true"/>
        <w:widowControl/>
        <w:rPr/>
      </w:pPr>
      <w:r>
        <w:rPr/>
        <w:t>Article 15.5: Market Access 1. No Party shall adopt or maintain, either on the basis of a regional subdivision or on the basis of its entire territory, a measure that: (a) imposes a limitation on: (i) the number of service suppliers, whether in the form of a numerical quota, monopoly, exclusive service suppliers, or the requirement of an economic needs test, (ii) the total value of service transactions or assets in the form of a numerical quota or the requirement of an economic needs test, (iii) the total number of service operations or the total quantity of service output expressed in terms of a designated numerical unit in the form of a quota or the requirement of an economic needs test,3 or (iv) the total number of natural persons that may be employed in a particular service sector or that a service supplier may employ and who are necessary for, and directly related to, the supply of a specific service in the form of a numerical quota or the requirement of an economic needs test; or (b) restricts or requires a specific type of legal entity or joint venture through which a service supplier may supply a service.</w:t>
      </w:r>
    </w:p>
    <w:p>
      <w:pPr>
        <w:pStyle w:val="Normal"/>
        <w:keepNext w:val="true"/>
        <w:widowControl/>
        <w:rPr/>
      </w:pPr>
      <w:r>
        <w:rPr/>
        <w:t>Article 15.6: Local Presence 3 Subparagraph (a)(iii) does not cover measures of a Party which limit inputs for the supply of services. No Party shall require a service supplier of another Party to establish or maintain a representative office or an enterprise, or to be resident, in its territory as a condition for the cross- border supply of a service.</w:t>
      </w:r>
    </w:p>
    <w:p>
      <w:pPr>
        <w:pStyle w:val="Normal"/>
        <w:keepNext w:val="true"/>
        <w:widowControl/>
        <w:rPr/>
      </w:pPr>
      <w:r>
        <w:rPr/>
        <w:t>Article 15.7: Non-Conforming Measures 1. Article 15.3 (National Treatment), Article 15.4 (Most-Favored-Nation Treatment), Article 15.5 (Market Access), and Article 15.6 (Local Presence) do not apply to: (a) an existing non-conforming measure that is maintained by a Party at: (i) the central level of government, as set out by that Party in its Schedule to Annex I, (ii) a regional level of government, as set out by that Party in its Schedule to Annex I, or (iii) a local level of government; (b) the continuation or prompt renewal of a non-conforming measure referred to in subparagraph (a); or (c) an amendment to a non-conforming measure referred to in subparagraph (a), to the extent that the amendment does not decrease the conformity of the measure, as it existed immediately before the amendment, with Article 15.3 (National Treatment), Article 15.4 (Most-Favored-Nation Treatment), Article 15.5 (Market Access), or Article 15.6 (Local Presence). 2. Article 15.3 (National Treatment), Article 15.4 (Most-Favored-Nation Treatment), Article 15.5 (Market Access), and Article 15.6 (Local Presence) do not apply to a measure that a Party adopts or maintains with respect to sectors, sub-sectors or activities, as set out by that Party in its Schedule to Annex II. 3.</w:t>
      </w:r>
    </w:p>
    <w:p>
      <w:pPr>
        <w:pStyle w:val="Normal"/>
        <w:widowControl/>
        <w:rPr/>
      </w:pPr>
      <w:r>
        <w:rPr/>
        <w:t>If a Party considers that a non-conforming measure applied by a regional level of government of another Party, as referred to in sub-paragraph 1(a)(ii), creates a material impediment to the cross-border supply of services in relation to the former Party, it may request consultations with regard to that measure. These Parties shall enter into consultations with a view to exchanging information on the operation of the measure and to considering whether further steps are necessary and appropriate. 4. For greater certainty, a Party may request consultations with another Party regarding non conforming measures applied by the central level of government, as referred to in subparagraph 1(a)(i).</w:t>
      </w:r>
    </w:p>
    <w:p>
      <w:pPr>
        <w:pStyle w:val="Normal"/>
        <w:keepNext w:val="true"/>
        <w:widowControl/>
        <w:rPr/>
      </w:pPr>
      <w:r>
        <w:rPr/>
        <w:t>Article 15.8: Development and Administration of Measures 1. Each Party shall ensure that a measure of general application affecting trade in services is administered in a reasonable, objective, and impartial manner. 2. If a Party adopts or maintains a measure relating to licensing requirements and procedures, or qualification requirements and procedures, affecting trade in services, the Party shall, with respect to that measure: (a) ensure that the requirement or procedure is based on criteria that are objective and transparent. For greater certainty, these criteria may include competence or ability to supply a service, or potential health or environmental impacts of an authorization, and competent authorities may assess the weight given to such criteria; (b) ensure that the competent authority reaches and administers a decision in an independent manner; (c) ensure that the procedure does not in itself prevent fulfilment of a requirement; and (d) to the extent practicable, avoid requiring an applicant to approach more than one competent authority for each application for authorization.4 3.</w:t>
      </w:r>
    </w:p>
    <w:p>
      <w:pPr>
        <w:pStyle w:val="Normal"/>
        <w:widowControl/>
        <w:rPr/>
      </w:pPr>
      <w:r>
        <w:rPr/>
        <w:t>If a Party requires an authorization for the supply of a service, it shall ensure that each of its competent authorities: (a) to the extent practicable, permits an applicant to submit an application at any time; (b) if a specific time period for applications exists, allows a reasonable period for the submission of an application; (c) if an examination is required, schedules the examination at reasonably frequent intervals and provides a reasonable period of time to enable an applicant to request to take the examination; (d) endeavors to accept an application electronically; For greater certainty, a Party may require multiple applications for authorization if a service is within the jurisdiction of multiple competent authorities. (e) to the extent practicable, provides an indicative timeframe for processing an application; (f) to the extent practicable, ascertains without undue delay the completeness of an application for processing under the Party’s law;</w:t>
      </w:r>
    </w:p>
    <w:p>
      <w:pPr>
        <w:pStyle w:val="Normal"/>
        <w:widowControl/>
        <w:rPr/>
      </w:pPr>
      <w:r>
        <w:rPr/>
        <w:t>(g) accepts copies of documents that are authenticated in accordance with the Party’s law, in place of original documents, unless the competent authority requires original documents to protect the integrity of the authorization process; (h) at the request of the applicant, provides without undue delay information concerning the status of the application; (i) if an application is considered complete under the Party’s law, within a reasonable period of time after the submission of the application, ensures that the processing</w:t>
      </w:r>
    </w:p>
    <w:p>
      <w:pPr>
        <w:pStyle w:val="Normal"/>
        <w:widowControl/>
        <w:rPr/>
      </w:pPr>
      <w:r>
        <w:rPr/>
        <w:t>of the application is completed, and that the applicant is informed of the decision concerning the application, to the extent possible in writing;5 (j) if an application is considered incomplete for processing under the Party’s law, within a reasonable period of time, to the extent practicable: (i) informs the applicant that the application is incomplete, (ii) if the applicant requests, provides guidance on why the application is considered incomplete, (iii) provides the applicant with an opportunity6 to provide the additional information that is required for the application to be considered complete, and if none of the above is practicable, and the application is rejected due to incompleteness, ensures that the applicant is informed of the rejection within a reasonable period of time;</w:t>
      </w:r>
    </w:p>
    <w:p>
      <w:pPr>
        <w:pStyle w:val="Normal"/>
        <w:widowControl/>
        <w:rPr/>
      </w:pPr>
      <w:r>
        <w:rPr/>
        <w:t>(k) if an application is rejected, to the extent possible, either upon its own initiative or upon the request of the applicant, informs the applicant of the reasons for rejection and, if applicable, the timeframe for an appeal or review of the decision 5 A competent authority can meet this requirement by informing an applicant in advance in writing, including through a published measure, that lack of response after a specified period of time from the date of submission of the application indicates either acceptance or rejection of the application. For greater certainty, “in writing” includes in electronic form.</w:t>
      </w:r>
    </w:p>
    <w:p>
      <w:pPr>
        <w:pStyle w:val="Normal"/>
        <w:widowControl/>
        <w:rPr/>
      </w:pPr>
      <w:r>
        <w:rPr/>
        <w:t>6 For greater certainty, providing this opportunity does not require a competent authority to provide extensions of deadlines. to reject the application and the procedures for resubmission of an application; and (l) ensures that authorization, once granted, enters into effect without undue delay, subject to the applicable terms and conditions. 4. Each Party shall ensure that any authorization fee charged by any of its competent authorities is reasonable, transparent, and does not, in itself, restrict the supply of the relevant service. For the purposes of this paragraph, an authorization fee does not include a fee for the use of natural resources, payments for auction, tendering, or other non-discriminatory means of awarding concessions, or mandated contributions to the provision of universal service. 5. Each Party shall encourage its competent authorities, when adopting a technical standard, to adopt technical standards developed through an open and transparent process, and shall encourage a body designated to develop a technical standard to use an open and transparent process. 6.</w:t>
      </w:r>
    </w:p>
    <w:p>
      <w:pPr>
        <w:pStyle w:val="Normal"/>
        <w:widowControl/>
        <w:rPr/>
      </w:pPr>
      <w:r>
        <w:rPr/>
        <w:t>If a Party requires authorization for the supply of a service, the Party shall provide to a service supplier or person seeking to supply a service the information necessary to comply with requirements or procedures for obtaining, maintaining, amending, and renewing that authorization.</w:t>
      </w:r>
    </w:p>
    <w:p>
      <w:pPr>
        <w:pStyle w:val="Normal"/>
        <w:widowControl/>
        <w:rPr/>
      </w:pPr>
      <w:r>
        <w:rPr/>
        <w:t>That information must include: (a) any fee; (b) the contact information of a relevant competent authority; (c) any procedure for appeal or review of a decision concerning an application; (d) any procedure for monitoring or enforcing compliance with the terms and conditions of licenses; (e) any opportunities for public involvement, such as through hearings or comments; (f) any indicative timeframe for processing of an application; (g) any requirement or procedure; and (h) any technical standard. 7. Paragraphs 1 through 6 do not apply to the aspects of a measure set out in an entry to a Party’s Schedule to Annex I, or to a measure that a Party adopts or maintains with respect to sectors, sub-sectors, or activities as set out by that Party in its Schedule to Annex II.</w:t>
      </w:r>
    </w:p>
    <w:p>
      <w:pPr>
        <w:pStyle w:val="Normal"/>
        <w:keepNext w:val="true"/>
        <w:widowControl/>
        <w:rPr/>
      </w:pPr>
      <w:r>
        <w:rPr/>
        <w:t>Article 15.9: Recognition 1. For the purposes of the fulfilment, in whole or in part, of a Party’s standards or criteria for the authorization, licensing, or certification of a service supplier, and subject to the requirements of paragraph 4, a Party may recognize any education or experience obtained, requirements met, or licenses or certifications granted, in the territory of another Party or a non- Party. That recognition, which may be achieved through harmonization or otherwise, may be based on an agreement or arrangement with the Party or non-Party concerned, or may be accorded autonomously. 2. If a Party recognizes, autonomously or by agreement or arrangement, the education or experience obtained, requirements met, or licenses or certifications granted, in the territory of another Party or a non-Party, Article 15.4 (Most-Favored-Nation Treatment) does not require the Party to accord recognition to the education or experience obtained, requirements met, or licenses or certifications granted, in the territory of another Party. 3.</w:t>
      </w:r>
    </w:p>
    <w:p>
      <w:pPr>
        <w:pStyle w:val="Normal"/>
        <w:widowControl/>
        <w:rPr/>
      </w:pPr>
      <w:r>
        <w:rPr/>
        <w:t>If a Party is a party to an agreement or arrangement of the type referred to in paragraph 1, whether existing or future, the Party shall afford adequate opportunity to another Party, on request, to negotiate its accession to that agreement or arrangement, or to negotiate a comparable agreement or arrangement.</w:t>
      </w:r>
    </w:p>
    <w:p>
      <w:pPr>
        <w:pStyle w:val="Normal"/>
        <w:widowControl/>
        <w:rPr/>
      </w:pPr>
      <w:r>
        <w:rPr/>
        <w:t>If a Party accords recognition of the type referred to in paragraph 1 autonomously, the Party shall afford adequate opportunity to another Party to demonstrate that education or experience obtained, requirements met, or licenses or certifications granted, in that other Party’s territory should be recognized. 4. A Party shall not accord recognition in a manner that would constitute a means of discrimination between Parties or between a Party and a non-Party in the application of its standards or criteria for the authorization, licensing, or certification of a service supplier, or a disguised restriction on trade in services. 5. The Parties shall endeavor to facilitate trade in professional services as set out in Annex 15-C (Professional Services).</w:t>
      </w:r>
    </w:p>
    <w:p>
      <w:pPr>
        <w:pStyle w:val="Normal"/>
        <w:keepNext w:val="true"/>
        <w:widowControl/>
        <w:rPr/>
      </w:pPr>
      <w:r>
        <w:rPr/>
        <w:t>Article 15.10: Small and Medium-Sized Enterprises 1. With a view to enhancing commercial opportunities in services for SMEs, and further to Chapter 25 (Small and Medium-Sized Enterprises), each Party shall endeavor to support the development of SME trade in services and SME-enabling business models, such as direct selling services,7 including through measures that facilitate SME access to resources or protect individuals from fraudulent practices. Direct selling is the retail distribution of goods by an independent sales representative, and for which the representative is compensated based exclusively on the value of goods sold either by the representative or additional representatives recruited, trained, or otherwise supported by the representative. These goods include any product that may be distributed by other retail distribution service suppliers without a prescription or other special 2. Further to Chapter 28 (Good Regulatory Practices), each Party shall endeavor to adopt or maintain appropriate mechanisms that consider the effects of regulatory actions on SME service suppliers and that enable small businesses to participate in regulatory policy development. 3. Further to Article 15.8 (Development and Administration of Measures), each Party shall endeavor to ensure that authorization procedures for a service sector do not impose disproportionate burdens on SMEs.</w:t>
      </w:r>
    </w:p>
    <w:p>
      <w:pPr>
        <w:pStyle w:val="Normal"/>
        <w:keepNext w:val="true"/>
        <w:widowControl/>
        <w:rPr/>
      </w:pPr>
      <w:r>
        <w:rPr/>
        <w:t>Article 15.11: Denial of Benefits 1. A Party may deny the benefits of this Chapter to a service supplier of another Party if the service supplier is an enterprise owned or controlled by a person of a non-Party, and the denying Party adopts or maintains a measure with respect to the non-Party or a person of the non-Party that prohibits a transaction with that enterprise or that would be violated or circumvented if the benefits of this Chapter were accorded to that enterprise. 2. A Party may deny the benefits of this Chapter to a service supplier of another Party if the service supplier is an enterprise owned or controlled by a person of a non-Party, or by a person of the denying Party, that has no substantial business activities in the territory of any Party other than the denying Party.</w:t>
      </w:r>
    </w:p>
    <w:p>
      <w:pPr>
        <w:pStyle w:val="Normal"/>
        <w:keepNext w:val="true"/>
        <w:widowControl/>
        <w:rPr/>
      </w:pPr>
      <w:r>
        <w:rPr/>
        <w:t>Article 15.12: Payments and Transfers 1. Each Party shall permit all transfers and payments that relate to the cross-border supply of services to be made freely and without delay into and out of its territory. 2. Each Party shall permit transfers and payments that relate to the cross-border supply of services to be made in a freely usable currency at the market rate of exchange that prevails at the time of transfer. 3. Notwithstanding paragraphs 1 and 2, a Party may prevent or delay a transfer or payment through the equitable, non-discriminatory, and good faith application of its laws that relate to: (a) bankruptcy, insolvency, or the protection of the rights of creditors; (b) issuing, trading, or dealing in securities or derivatives; authorization, and may include food products, such as food and nutritional supplements in tablet, powder, or liquid capsule form; cosmetics; common consumer products for which medical expertise is not required, such as cotton swabs; and other hygiene and cleaning products.</w:t>
      </w:r>
    </w:p>
    <w:p>
      <w:pPr>
        <w:pStyle w:val="Normal"/>
        <w:widowControl/>
        <w:rPr/>
      </w:pPr>
      <w:r>
        <w:rPr/>
        <w:t>The term “nutritional supplement” applies to all health- maintenance products not intended to cure or treat a disease, and that are sold without prescription or other special authorization. (c) financial reporting or record keeping of transfers when necessary to assist law enforcement or financial regulatory authorities; (d) criminal or penal offenses; or (e) ensuring compliance with orders or judgments in judicial or administrative proceedings. 4.</w:t>
      </w:r>
    </w:p>
    <w:p>
      <w:pPr>
        <w:pStyle w:val="Normal"/>
        <w:widowControl/>
        <w:rPr/>
      </w:pPr>
      <w:r>
        <w:rPr/>
        <w:t>For greater certainty, this Article does not preclude the equitable, non-discriminatory, and good faith application of a Party’s laws relating to its social security, public retirement, or compulsory savings programs.</w:t>
      </w:r>
    </w:p>
    <w:p>
      <w:pPr>
        <w:pStyle w:val="Normal"/>
        <w:widowControl/>
        <w:rPr/>
      </w:pPr>
      <w:r>
        <w:rPr/>
        <w:t>ANNEX 15-A DELIVERY SERVICES 1. For the purposes of this Annex: delivery services means the collection, sorting, transport, and delivery of documents, printed matter, parcels, goods, or other items; postal monopoly means the exclusive right accorded to an operator within a Party’s territory to supply specified delivery services pursuant to a measure of the Party; and universal service means a delivery service that is made available to all users in a designated territory in accordance with standards of price and quality as defined by each Party. 2. For greater certainty, this Annex does not apply to maritime, internal waterway, air, rail, or road transportation services, including cabotage. 3. Each Party that maintains a postal monopoly shall define the scope of the monopoly on the basis of objective criteria, including quantitative criteria such as price or weight thresholds. 4. For greater certainty, each Party has the right to define the kind of universal service obligation it wishes to adopt or maintain. Each Party that maintains a universal service obligation shall administer it in a transparent, non-discriminatory, and impartial manner with regard to all service suppliers subject to the obligation. 5.</w:t>
      </w:r>
    </w:p>
    <w:p>
      <w:pPr>
        <w:pStyle w:val="Normal"/>
        <w:widowControl/>
        <w:rPr/>
      </w:pPr>
      <w:r>
        <w:rPr/>
        <w:t>No Party shall allow a supplier of a delivery service covered by a postal monopoly to: (a) use revenues derived from the supply of such services to cross-subsidize the supply of a delivery service not covered by a postal monopoly;8 or (b) unjustifiably differentiate among mailers in like circumstances or consolidators in like circumstances with respect to tariffs or other terms and conditions for the supply of a delivery service covered by a postal monopoly. 6. Each Party shall ensure that a supplier of services covered by a postal monopoly does not abuse its monopoly position to act in the Party’s territory in a manner inconsistent with the 8 A Party shall be deemed in compliance with this paragraph if an independent audit (which, for greater certainty, means for the United States a finding by the Postal Regulatory Commission) determines on an annual basis that the Party’s supplier of a delivery service covered by a postal monopoly has not used revenues derived from that monopoly to cross-subsidize its delivery services not covered by a postal monopoly.</w:t>
      </w:r>
    </w:p>
    <w:p>
      <w:pPr>
        <w:pStyle w:val="Normal"/>
        <w:widowControl/>
        <w:rPr/>
      </w:pPr>
      <w:r>
        <w:rPr/>
        <w:t>For greater certainty, this paragraph does not require a Party to ensure that a supplier of a delivery service covered by a postal monopoly maintain accounts in a sufficiently detailed manner to show the costs and revenues of each of its delivery services.</w:t>
      </w:r>
    </w:p>
    <w:p>
      <w:pPr>
        <w:pStyle w:val="Normal"/>
        <w:widowControl/>
        <w:rPr/>
      </w:pPr>
      <w:r>
        <w:rPr/>
        <w:t>15-A-1 Party’s commitments under Article 14.4 (National Treatment), Article 15.3 (National Treatment), or Article 15.5 (Market Access) with respect to the supply of delivery services outside of the postal monopoly. 7. No Party shall: (a) require the supply of a delivery service on a universal basis as a condition for an authorization or license to supply a delivery service not covered by a postal monopoly; or (b) assess fees or other charges exclusively on the supply of any delivery service that is not a universal service for the purpose of funding the supply of a universal service. 8. Each Party shall ensure that the authority primarily responsible for regulating delivery services is not accountable to any supplier of delivery services, and that the decisions and procedures that the authority adopts are impartial, non-discriminatory, and transparent with respect to all delivery services not covered by a postal monopoly in its territory.9 9.</w:t>
      </w:r>
    </w:p>
    <w:p>
      <w:pPr>
        <w:pStyle w:val="Normal"/>
        <w:widowControl/>
        <w:rPr/>
      </w:pPr>
      <w:r>
        <w:rPr/>
        <w:t>No Party may require a supplier of a delivery service not covered by a postal monopoly to contract, or prevent such a supplier from contracting, with another service supplier to supply a segment of the delivery service. 9 For greater certainty, and for the purposes of this paragraph, an “authority responsible for regulating delivery services” does not mean a customs administration. 15-A-2</w:t>
      </w:r>
    </w:p>
    <w:p>
      <w:pPr>
        <w:pStyle w:val="Normal"/>
        <w:widowControl/>
        <w:rPr/>
      </w:pPr>
      <w:r>
        <w:rPr/>
        <w:t>ANNEX 15-B COMMITTEE ON TRANSPORTATION SERVICES 1. The Parties hereby establish a Committee on Transportation Services (Transportation Services Committee) composed of government representatives of the relevant trade and transport-related national authorities of each Party. Each Party shall designate contact points for the Transportation Services Committee in accordance with Article 30.5 (Agreement Coordinator and Contact Points). 2. The Transportation Services Committee shall discuss issues as the Parties may decide that may arise from the implementation and operation of the Parties’ obligations related to transportation services in Chapters 14 (Investment) and 15 (Cross-Border Trade in Services), among others, as appropriate. 3. The Transportation Services Committee may invite, as appropriate, representatives of other relevant entities and representatives of the private sector to attend meetings of the Committee and report to the Committee on discussions by these representatives. 4. The Transportation Services Committee shall take into consideration the discussions and outcomes related to the Committee from other fora in which the Parties participate in order to avoid duplication, and, as appropriate, incorporate those discussions and outcomes in the discussions of the Committee. 5.</w:t>
      </w:r>
    </w:p>
    <w:p>
      <w:pPr>
        <w:pStyle w:val="Normal"/>
        <w:widowControl/>
        <w:rPr/>
      </w:pPr>
      <w:r>
        <w:rPr/>
        <w:t>The Transportation Services Committee shall endeavor to meet within one year of the date of entry into force of this Agreement, and thereafter as necessary, at such venues, format, and times as the Parties may decide. 6. The Transportation Services Committee shall, as appropriate, report to the Commission activities undertaken by the Parties pursuant to this Annex. 15-B-1</w:t>
      </w:r>
    </w:p>
    <w:p>
      <w:pPr>
        <w:pStyle w:val="Normal"/>
        <w:widowControl/>
        <w:rPr/>
      </w:pPr>
      <w:r>
        <w:rPr/>
        <w:t>ANNEX 15-C PROFESSIONAL SERVICES 1. Each Party shall consult with relevant bodies in its territory to seek to identify professional services where at least two of the Parties are mutually interested in establishing a dialogue on issues that relate to the recognition of professional qualifications, licensing, or registration. 2. If a professional service described in Paragraph 1 is identified, each Party shall encourage its relevant bodies to establish dialogues with the relevant bodies of the other Parties, with a view to facilitating trade in professional services. The dialogues may consider, as appropriate: (a) recognition of professional qualifications and facilitating licensing and registration procedures through mutual recognition agreements; (b) autonomous recognition of the education or experience obtained by a candidate in the territory of another Party, for the purposes of fulfilling some or all of the licensing or examination requirements of that profession; (c) the development of mutually acceptable standards and criteria for authorization of professional service suppliers from the territory of the other Party;</w:t>
      </w:r>
    </w:p>
    <w:p>
      <w:pPr>
        <w:pStyle w:val="Normal"/>
        <w:widowControl/>
        <w:rPr/>
      </w:pPr>
      <w:r>
        <w:rPr/>
        <w:t>(d) temporary or project-specific licensing or registration based on a foreign supplier’s home license or recognized professional body membership, without the need for further written examination; (e) the form of association and procedures whereby a foreign-licensed supplier may work in association with a professional service supplier of the Party; or (f)</w:t>
      </w:r>
    </w:p>
    <w:p>
      <w:pPr>
        <w:pStyle w:val="Normal"/>
        <w:widowControl/>
        <w:rPr/>
      </w:pPr>
      <w:r>
        <w:rPr/>
        <w:t>any other approaches to facilitate authorization to provide services by professionals licensed in another Party. 3. Each Party shall encourage its relevant bodies to take into account agreements that relate to professional services in the development of agreements on the recognition of professional qualifications, licensing, and registration. 4. Further to any dialogue referred to in paragraphs 2(a) through 2(f), each Party shall encourage its respective relevant bodies, as appropriate, to consider undertaking related activity within a mutually agreed time. 15-C-1 5. If relevant bodies enter into discussions under paragraph 2(a) for the purpose of creating a Mutual Recognition Agreement, those discussions may be guided by Appendix 1 for the negotiation of such an agreement. 6. The Parties hereby establish a Professional Services Working Group (Professional Services Working Group), composed of representatives of each Party. 7. The Professional Services Working Group shall liaise, as appropriate, to support the Parties’ relevant bodies in pursuing the activities listed in paragraph 2. This support may include providing points of contact, facilitating meetings, and providing information regarding regulation of professional services in the Parties’ territories.</w:t>
      </w:r>
    </w:p>
    <w:p>
      <w:pPr>
        <w:pStyle w:val="Normal"/>
        <w:widowControl/>
        <w:rPr/>
      </w:pPr>
      <w:r>
        <w:rPr/>
        <w:t>8. The Professional Services Working Group shall meet within one year of the date of entry into force of this Agreement, and thereafter as decided by the Parties, to discuss activities covered by this Annex. 9.</w:t>
      </w:r>
    </w:p>
    <w:p>
      <w:pPr>
        <w:pStyle w:val="Normal"/>
        <w:widowControl/>
        <w:rPr/>
      </w:pPr>
      <w:r>
        <w:rPr/>
        <w:t>The Professional Services Working Group shall, as appropriate, report to the Commission activities undertaken by the Parties pursuant to this Annex. 15-C-2 APPENDIX 1 GUIDELINES FOR MUTUAL RECOGNITION AGREEMENTS OR ARRANGEMENTS FOR THE PROFESSIONAL SERVICES SECTOR Introductory Notes This Appendix provides practical guidance for governments, negotiating entities or other entities entering into mutual recognition negotiations for the professional services sector. These guidelines are non-binding and are intended to be used by the Parties on a voluntary basis. They do not modify or affect the rights and obligations of the Parties under this Agreement. The objective of these guidelines is to facilitate the negotiation of mutual recognition agreements or arrangements (MRAs). The examples listed under this Appendix are provided by way of illustration. The listing of these examples is indicative and is intended neither to be exhaustive, nor as an endorsement of the application of such measures by the Parties. Section A: Conduct of Negotiations and Relevant Obligations Opening of Negotiations 1. Parties intending to enter into negotiations towards an MRA are encouraged to inform the Professional Services Working Group established under Annex 15-C.</w:t>
      </w:r>
    </w:p>
    <w:p>
      <w:pPr>
        <w:pStyle w:val="Normal"/>
        <w:widowControl/>
        <w:rPr/>
      </w:pPr>
      <w:r>
        <w:rPr/>
        <w:t>The following information may be supplied: (a) the entities involved in discussions (for example, governments, organizations in the professional services sector or institutes which authority, statutory or otherwise, to enter into such negotiations); national have (b) a contact point to obtain further information; (c) the subject of the negotiations (specific activity covered); and (d) the expected time of the start of negotiations. Single Negotiating Entity 2. If no single negotiating entity exists, the Parties are encouraged to establish one. Results 15-C-1-1 3. Upon the conclusion of an MRA, parties to the MRA are encouraged to inform the Professional Services Working Group, and may supply the following information in its notification: (a) the content of a new MRA; or (b) the significant modifications to an existing MRA. Follow-up Actions 4. As a follow-up action to a conclusion of an MRA, parties to the MRA are encouraged to inform the Professional Services Working Group of the following: (a) that the MRA comply with the provisions of this Chapter;</w:t>
      </w:r>
    </w:p>
    <w:p>
      <w:pPr>
        <w:pStyle w:val="Normal"/>
        <w:widowControl/>
        <w:rPr/>
      </w:pPr>
      <w:r>
        <w:rPr/>
        <w:t>(b) measures and actions taken regarding the implementation and monitoring of the MRA; and (c) that the text of the MRA is publicly available. Section B: Form and Content of MRAs Introductory Note This Section sets out various issues that may be addressed in MRA negotiations and, if so agreed during the negotiations, included in the MRA.</w:t>
      </w:r>
    </w:p>
    <w:p>
      <w:pPr>
        <w:pStyle w:val="Normal"/>
        <w:widowControl/>
        <w:rPr/>
      </w:pPr>
      <w:r>
        <w:rPr/>
        <w:t>It includes some basic ideas on what a Party might require of foreign professionals seeking to take advantage of an MRA. Participants 5. The MRA should identify clearly: (a) the parties to the MRA (for example, governments, national professional organisations, or institutes); (b) competent authorities or organizations other than the parties to the MRA, if any, and their position in relation to the MRA; and (c) the status and area of competence of each party to the MRA. Purpose of the MRA 6. The purpose of the MRA should be clearly stated. 15-C-1-2 Scope of the MRA 7. The MRA should set out clearly: (a) its scope in terms of the specific profession or titles and professional activities it covers in the territories of the parties; (b) who is entitled to use the professional titles concerned; (c) whether the recognition mechanism is based on qualifications, on the license obtained in the country of origin or on some other requirement; and (d) whether it covers temporary access, permanent access, or both, to the profession concerned. MRA Provisions 8.</w:t>
      </w:r>
    </w:p>
    <w:p>
      <w:pPr>
        <w:pStyle w:val="Normal"/>
        <w:widowControl/>
        <w:rPr/>
      </w:pPr>
      <w:r>
        <w:rPr/>
        <w:t>The MRA should clearly specify the conditions to be met for recognition in the territories of each Party and the level of equivalence agreed between the parties to the MRA. The precise terms of the MRA depend on the basis on which the MRA is founded, as discussed above. If the requirements of the various sub-national jurisdictions of a party to an MRA are not identical, the difference should be clearly presented.</w:t>
      </w:r>
    </w:p>
    <w:p>
      <w:pPr>
        <w:pStyle w:val="Normal"/>
        <w:widowControl/>
        <w:rPr/>
      </w:pPr>
      <w:r>
        <w:rPr/>
        <w:t>The MRA should address the applicability of the recognition granted by one sub-national jurisdiction in the other sub-national jurisdictions of the party to the MRA. 9. The Parties should seek to ensure that recognition does not require citizenship or any form of residency, or education, experience, or training in the territory of the host jurisdiction. Eligibility for Recognition - Qualifications 10. If the MRA is based on recognition of qualifications, then it should, where applicable, state: (a) the minimum level of education required (including entry requirements, length of study, and subjects studied); (b) the minimum level of experience required (including location, length, and conditions of practical training or supervised professional practice prior to licensing, and framework of ethical and disciplinary standards); (c) examinations passed, especially examinations of professional competence;</w:t>
      </w:r>
    </w:p>
    <w:p>
      <w:pPr>
        <w:pStyle w:val="Normal"/>
        <w:widowControl/>
        <w:rPr/>
      </w:pPr>
      <w:r>
        <w:rPr/>
        <w:t>15-C-1-3 (d) the extent to which home country qualifications are recognised in the host country; and (e) the qualifications which the parties to the MRA are prepared to recognize, for instance, by listing particular diplomas or certificates issued by certain institutions, or by reference to particular minimum requirements to be certified by the authorities of the country of origin, including whether the possession of a certain level of qualification would allow recognition for some activities but not others. Eligibility for Recognition - Registration 11.</w:t>
      </w:r>
    </w:p>
    <w:p>
      <w:pPr>
        <w:pStyle w:val="Normal"/>
        <w:widowControl/>
        <w:rPr/>
      </w:pPr>
      <w:r>
        <w:rPr/>
        <w:t>If the MRA is based on recognition of the licensing or registration decision made by regulators in the country of origin, it should specify the mechanism by which eligibility for such recognition may be established. 12. If it is considered necessary to provide for additional requirements in order to ensure the quality of the service, the MRA should set out the conditions under which those requirements may apply, for example, in case of shortcomings in relation to qualification requirements in the host country or knowledge of local law, practice, standards, and regulations. This knowledge should be essential for practice in the host country or required because there are differences in the scope of licensed practice. 13. If additional requirements are deemed necessary, the MRA should set out in detail what they entail (for example, examination, aptitude test, additional practice in the host country or in the country of origin, practical training, and language used for examination). Mechanisms for Implementation 14. The MRA could state:</w:t>
      </w:r>
    </w:p>
    <w:p>
      <w:pPr>
        <w:pStyle w:val="Normal"/>
        <w:widowControl/>
        <w:rPr/>
      </w:pPr>
      <w:r>
        <w:rPr/>
        <w:t>(a) the rules and procedures to be used to monitor and enforce the provisions of the MRA; (b) the mechanisms for dialogue and administrative cooperation between the parties to the MRA; and (c) the means of arbitration for disputes under the MRA. 15.</w:t>
      </w:r>
    </w:p>
    <w:p>
      <w:pPr>
        <w:pStyle w:val="Normal"/>
        <w:widowControl/>
        <w:rPr/>
      </w:pPr>
      <w:r>
        <w:rPr/>
        <w:t>As a guide to the treatment of individual applicants, the MRA could include details on: (a) the focal point of contact in each party to the MRA for information on all issues relevant to the application (such as the name and address of competent authorities, 15-C-1-4 licensing formalities, and information on additional requirements which need to be met in the host country); (b) the duration of procedures for the processing of applications by the relevant authorities of the host country; (c) the documentation required of applicants and the form in which it should be presented and any time limits for applications; (d) acceptance of documents and certificates issued in the country of origin in relation to qualifications and licensing; (e) the procedures of appeal to or review by the relevant authorities; and (f) the fees that might be reasonably required. 16. The MRA could also include the following commitments: (a) that requests about the measures will be promptly dealt with; (b) that adequate preparation time will be provided where necessary;</w:t>
      </w:r>
    </w:p>
    <w:p>
      <w:pPr>
        <w:pStyle w:val="Normal"/>
        <w:widowControl/>
        <w:rPr/>
      </w:pPr>
      <w:r>
        <w:rPr/>
        <w:t>(c) that any exams or tests will be arranged with reasonable periodicity; (d) that fees to applicants seeking to take advantage of the terms of the MRA will be in proportion to the cost to the host country or organisation; and (e) that information on any assistance programmes in the host country for practical training, and any commitments of the host country in that context, be supplied.</w:t>
      </w:r>
    </w:p>
    <w:p>
      <w:pPr>
        <w:pStyle w:val="Normal"/>
        <w:widowControl/>
        <w:rPr/>
      </w:pPr>
      <w:r>
        <w:rPr/>
        <w:t>Licensing and Other Provisions in the Host Country 17. If applicable: (a) the MRA could also set out the means by which, and the conditions under which, a license is actually obtained following the establishment of eligibility, and what such license entails (such as a license and its content, membership of a professional body, and use of professional or academic titles); (b) a licensing requirement, other than qualifications, should include, for example: (i) an office address, an establishment requirement, or a residency requirement, 15-C-1-5 (ii) a language requirement, (iii) proof of good conduct and financial standing, (iv) professional indemnity insurance, (v) compliance with host country’s requirements for use of trade or firm names, and (vi) compliance with host country ethics, for instance independence and incompatibility. Revision of the MRA 18. If the MRA includes terms under which it can be reviewed or revoked, the details of such terms should be clearly stated. 15-C-1-6</w:t>
      </w:r>
    </w:p>
    <w:p>
      <w:pPr>
        <w:pStyle w:val="Normal"/>
        <w:widowControl/>
        <w:rPr/>
      </w:pPr>
      <w:r>
        <w:rPr/>
        <w:t>ANNEX 15-D PROGRAMMING SERVICES Simultaneous Substitution 1. Canada shall rescind Broadcasting Regulatory Policy CRTC 2016-334 and Broadcasting Order CRTC 2016-335. With respect to simultaneous substitution of signals during the retransmission in Canada of the program referenced in those measures, Canada may not accord the program treatment less favorable than the treatment accorded to other programs originating in the United States retransmitted in Canada. 2. The United States and Canada shall each provide in its copyright law that: (a) retransmission to the public of program signals not intended in the original transmission for free, over-the-air reception by the general public shall be permitted only with the authorization of the holder of the copyright in the program; and (b) if the original transmission of the program is carried in signals intended for free, over-the-air reception by the general public, willful retransmission in altered form or non-simultaneous retransmission of signals carrying a copyright holder’s program shall be permitted only with the authorization of the holder of the copyright in the program. 3.</w:t>
      </w:r>
    </w:p>
    <w:p>
      <w:pPr>
        <w:pStyle w:val="Normal"/>
        <w:widowControl/>
        <w:rPr/>
      </w:pPr>
      <w:r>
        <w:rPr/>
        <w:t>Other than as provided for in paragraph 1, nothing in subparagraph 2 (b) shall be construed to prevent a Party from maintaining existing measures relating to retransmission of a program carried in signals intended for free, over-the-air reception by the general public; or introducing measures to enable the local licensee of the copyrighted program to exploit fully the commercial value of its license. Home Shopping Programming Services 4. Canada shall ensure that U.S. programming services specializing in home shopping, including modified versions of these U.S. programming services for the Canadian market, are authorized for distribution in Canada and may negotiate affiliation agreements with Canadian cable, satellite, and IPTV distributors. 15-D-1</w:t>
      </w:r>
    </w:p>
    <w:p>
      <w:pPr>
        <w:pStyle w:val="Normal"/>
        <w:widowControl/>
        <w:rPr/>
      </w:pPr>
      <w:r>
        <w:rPr/>
        <w:t>ANNEX 15-E MEXICO’S CULTURAL EXCEPTIONS Recognizing that culture is an important component of the creative, symbolic and economic dimension of human development, Affirming the fundamental right of freedom of expression and the right to plural and diverse information, Recognizing that states have the sovereign right to preserve, develop and implement their cultural policies, to support their cultural industries for the purpose of strengthening the diversity of cultural expressions, and to preserve their cultural identity, and In order to preserve and promote the development of Mexican culture, Mexico has negotiated reservations in its schedules to Annex I and Annex II for certain obligations in Chapter 14 (Investment) and Chapter 15 (Cross-Border Trade in Services), which are summarized below. In Annex I: Broadcasting (radio and free-to-air television): Reservations taken against: • National Treatment obligations for Investment and Cross-Border Trade in Services Chapters • Local Presence obligation for Cross-Border Trade in Services Chapter • Sole concessions and frequency band concessions will be granted only to Mexican nationals or enterprises constituted under Mexican laws and regulations. • Investors of a Party or their investments may participate up to 49 per cent in concessionaire enterprises providing broadcasting services.</w:t>
      </w:r>
    </w:p>
    <w:p>
      <w:pPr>
        <w:pStyle w:val="Normal"/>
        <w:widowControl/>
        <w:rPr/>
      </w:pPr>
      <w:r>
        <w:rPr/>
        <w:t>This maximum foreign investment will be applied according to the reciprocity existent with the country in which the investor or trader who ultimately controls it, directly or indirectly, is constituted. • Concessions for indigenous social use shall be granted to indigenous people and indigenous communities of Mexico, with the objective to promote, develop and preserve languages, culture, knowledge, traditions, identity and their internal rules that, under principles of gender equality, enable the 15-E-1 integration of indigenous women in the accomplishment of the purposes for which the concession is granted. • Under no circumstances may a concession, the rights conferred therein, facilities, auxiliary services, offices or accessories and properties affected thereto, be assigned, encumbered, pledged or given in trust, mortgaged, or transferred totally or partially to any foreign government or state. • The State shall guarantee that broadcasting promotes the values of national identity. • The broadcasting concessionaires shall use and stimulate local and national artistic values and expressions of Mexican culture, according to the characteristics of its programming. • The daily programming with personal performances shall include more time covered by Mexicans.</w:t>
      </w:r>
    </w:p>
    <w:p>
      <w:pPr>
        <w:pStyle w:val="Normal"/>
        <w:widowControl/>
        <w:rPr/>
      </w:pPr>
      <w:r>
        <w:rPr/>
        <w:t>Newspaper publishing Reservation taken against: • National Treatment obligation for Investment Chapter • Investors of another Party or their investments may only own, directly or indirectly, up to 49 per cent of the ownership interest in an enterprise established or to be established in the territory of Mexico engaged in the printing or publication of daily newspapers written primarily for a Mexican audience and distributed in the territory of Mexico. Cinema services Reservation taken against: • National Treatment obligation for Investment Chapter • Most-Favored-Nation Treatment obligation for Investment and Cross-Border Trade in Services Chapters • Exhibitors shall reserve 10 per cent of the total screen time to the projection of national films. 15-E-2 In Annex II: Audiovisual services Reservation taken against: • Market Access obligation for Cross-Border Trade in Services Chapter • Mexico is taking only limited commitments in the Market Access obligation with respect to the audiovisual services sectors. 15-E-3</w:t>
      </w:r>
    </w:p>
    <w:p>
      <w:pPr>
        <w:pStyle w:val="ModHeading"/>
        <w:widowControl/>
        <w:rPr/>
      </w:pPr>
      <w:bookmarkStart w:id="55" w:name="_Toc237912532"/>
      <w:r>
        <w:rPr/>
        <w:t>CHAPTER 15 — CUSMA 2.0 MODERNIZATION PROVISIONS</w:t>
      </w:r>
      <w:bookmarkEnd w:id="55"/>
    </w:p>
    <w:p>
      <w:bookmarkStart w:id="1088" w:name="_NAESTMA_TOC_1088"/>
      <w:pPr>
        <w:pStyle w:val="Heading2"/>
        <w:keepNext/>
        <w:widowControl/>
        <w:rPr/>
      </w:pPr>
      <w:bookmarkStart w:id="56" w:name="_Toc237912533"/>
      <w:r>
        <w:rPr/>
        <w:t>Article 15.H: North American Franchise and Consumer Services Market Access</w:t>
      </w:r>
      <w:bookmarkEnd w:id="56"/>
      <w:bookmarkEnd w:id="1088"/>
    </w:p>
    <w:p>
      <w:pPr>
        <w:pStyle w:val="Normal"/>
        <w:widowControl/>
        <w:rPr/>
      </w:pPr>
      <w:r>
        <w:rPr/>
        <w:t>1. The Parties recognize that franchising and consumer-service networks can expand small-business ownership, employment, consumer choice, and cross-border services trade. Each Party shall administer generally applicable registration, licensing, customs, and commercial requirements affecting qualifying franchise and consumer-service enterprises of another Party in a transparent and non-discriminatory manner.</w:t>
      </w:r>
    </w:p>
    <w:p>
      <w:pPr>
        <w:pStyle w:val="Normal"/>
        <w:widowControl/>
        <w:rPr/>
      </w:pPr>
      <w:r>
        <w:rPr/>
        <w:t>2. Each Party shall make publicly available clear administrative guidance, published processing milestones or ordinary service benchmarks where such benchmarks exist, and a single information point or coordinated online entry point for enterprises seeking to establish or expand a lawful franchise network. The information point shall identify the principal generally applicable federal or national requirements and direct applicants to competent sub-federal or sectoral authorities where responsibility lies elsewhere. This paragraph does not create an entitlement to zoning approval, food-safety approval, immigration status, or any other authorization governed by domestic law, and does not require consolidation of independent regulators into a new institution.</w:t>
      </w:r>
    </w:p>
    <w:p>
      <w:pPr>
        <w:pStyle w:val="Normal"/>
        <w:widowControl/>
        <w:rPr/>
      </w:pPr>
      <w:r>
        <w:rPr/>
        <w:t>3. Through existing services, customs, standards, or regulatory-cooperation mechanisms, the Parties shall identify recurring duplicative requirements affecting proprietary equipment, ordinary commercial documentation, conformity evidence, and recurring cross-border shipments used by franchise systems and shall seek administrative reliance, reusable evidence, or other simplification where equivalent protection can be maintained. A Party may retain a distinct requirement where it identifies a material difference in law, risk, scope, local conditions, or regulatory objective that makes reliance inappropriate. Nothing in this paragraph lowers health, safety, consumer-protection, labor, competition, cultural, or sub-federal regulatory authority.</w:t>
      </w:r>
    </w:p>
    <w:p>
      <w:pPr>
        <w:pStyle w:val="Normal"/>
        <w:widowControl/>
        <w:rPr/>
      </w:pPr>
      <w:r>
        <w:rPr/>
        <w:t>4. Facilitation under this Article shall be reciprocal and shall not favor a named enterprise, brand, nationality, or business model. The Committee on Competitiveness may identify recurring barriers faced by small and medium-sized franchise operators and recommend administrative improvements.</w:t>
      </w:r>
      <w:r>
        <w:br w:type="page"/>
      </w:r>
    </w:p>
    <w:p>
      <w:bookmarkStart w:id="1089" w:name="_NAESTMA_TOC_1089"/>
      <w:pPr>
        <w:pStyle w:val="Heading1"/>
        <w:keepNext/>
        <w:keepLines w:val="0"/>
        <w:pageBreakBefore/>
        <w:widowControl/>
        <w:rPr/>
      </w:pPr>
      <w:bookmarkStart w:id="57" w:name="_Toc237912534"/>
      <w:r>
        <w:rPr/>
        <w:t>CHAPTER 16 TEMPORARY ENTRY FOR BUSINESS PERSONS</w:t>
      </w:r>
      <w:bookmarkEnd w:id="57"/>
      <w:bookmarkEnd w:id="1089"/>
    </w:p>
    <w:p>
      <w:pPr>
        <w:pStyle w:val="Normal"/>
        <w:widowControl/>
        <w:rPr/>
      </w:pPr>
      <w:r>
        <w:rPr/>
        <w:t>Article 16.1: Definitions For the purposes of this Chapter: business person means a citizen of a Party who is engaged in trade in goods, the supply of services or the conduct of investment activities; citizen means, with respect to Mexico, a national or a citizen according to the provisions of Articles 30 and 34, respectively, of the Mexico’s Constitution (Constitución Política de los Estados Unidos Mexicanos); and temporary entry means entry into the territory of a Party by a business person of another Party without the intent to establish permanent residence.</w:t>
      </w:r>
    </w:p>
    <w:p>
      <w:pPr>
        <w:pStyle w:val="Normal"/>
        <w:keepNext w:val="true"/>
        <w:widowControl/>
        <w:rPr/>
      </w:pPr>
      <w:r>
        <w:rPr/>
        <w:t>Article 16.2: Scope 1. This Chapter applies to measures affecting the temporary entry of business persons of a Party into the territory of another Party. 2. This Chapter does not apply to measures affecting natural persons seeking access to the employment market of another Party, nor does it apply to measures regarding citizenship, nationality, residence or employment on a permanent basis. 3. Nothing in this Agreement prevents a Party from applying measures to regulate the entry of natural persons of another Party into, or their temporary stay in, its territory, including those measures necessary to protect the integrity of, and to ensure the orderly movement of natural persons across, its borders, provided that those measures are not applied in a manner as to nullify or impair the benefits accruing to any Party under this Chapter.</w:t>
      </w:r>
    </w:p>
    <w:p>
      <w:pPr>
        <w:pStyle w:val="Normal"/>
        <w:keepNext w:val="true"/>
        <w:widowControl/>
        <w:rPr/>
      </w:pPr>
      <w:r>
        <w:rPr/>
        <w:t>Article 16.3: General Obligations 1. Each Party shall apply its measures relating to this Chapter expeditiously so as to avoid unduly impairing or delaying trade in goods or services or the conduct of investment activities under this Agreement. 2. The Parties shall endeavor to develop and adopt common criteria, definitions and interpretations for the implementation of this Chapter.</w:t>
      </w:r>
    </w:p>
    <w:p>
      <w:pPr>
        <w:pStyle w:val="Normal"/>
        <w:keepNext w:val="true"/>
        <w:widowControl/>
        <w:rPr/>
      </w:pPr>
      <w:r>
        <w:rPr/>
        <w:t>Article 16.4: Grant of Temporary Entry 1. Each Party shall grant temporary entry to a business person who is otherwise qualified for entry under its measures relating to public health and safety and national security, in accordance with this Chapter, including Annex 16-A (Temporary Entry for Business Persons). 2. A Party may refuse to grant temporary entry or issue an immigration document authorizing employment to a business person where the temporary entry of that person might adversely affect: (a) the settlement of a labor dispute that is in progress at the place or intended place of employment; or (b) the employment of a person who is involved in that dispute. 3. If a Party refuses pursuant to paragraph 2 to grant temporary entry or issue an immigration document authorizing employment, it shall: (a) provide written notice to the business person of the reasons for the refusal; and (b) promptly provide written notice to the Party whose business person has been refused entry of the reasons for the refusal. 4.</w:t>
      </w:r>
    </w:p>
    <w:p>
      <w:pPr>
        <w:pStyle w:val="Normal"/>
        <w:widowControl/>
        <w:rPr/>
      </w:pPr>
      <w:r>
        <w:rPr/>
        <w:t>Each Party shall limit any fees for processing applications for temporary entry of business persons to the approximate cost of services rendered. 5. The sole fact that a Party grants temporary entry to a business person of another Party pursuant to this Chapter does not exempt that business person from meeting any applicable licensing or other requirements, including any mandatory codes of conduct, to practice a profession or otherwise engage in business activities.</w:t>
      </w:r>
    </w:p>
    <w:p>
      <w:pPr>
        <w:pStyle w:val="Normal"/>
        <w:keepNext w:val="true"/>
        <w:widowControl/>
        <w:rPr/>
      </w:pPr>
      <w:r>
        <w:rPr/>
        <w:t>Article 16.5: Provision of Information 1. Further to Article 29.2 (Publication), each Party shall publish online or otherwise make publicly available explanatory material regarding the requirements for temporary entry under this Chapter that will enable a business person of another Party to become acquainted with them. 2. Each Party shall collect and maintain, and make available to the other Parties in accordance with its law, data respecting the granting of temporary entry under this Chapter to business persons of the other Parties who have been issued immigration documentation, including, if practicable, data specific to each occupation, profession, or activity.</w:t>
      </w:r>
    </w:p>
    <w:p>
      <w:pPr>
        <w:pStyle w:val="Normal"/>
        <w:keepNext w:val="true"/>
        <w:widowControl/>
        <w:rPr/>
      </w:pPr>
      <w:r>
        <w:rPr/>
        <w:t>Article 16.6: Temporary Entry Working Group 1. The Parties hereby establish a Temporary Entry Working Group, comprising representatives of each Party, including representatives of immigration authorities. 2. The Working Group shall meet at least once each year to consider: (a) the implementation and administration of this Chapter; (b) the development of measures to further facilitate temporary entry of business persons on a reciprocal basis; (c) the waiving of labor certification tests or procedures of similar effect for spouses of business persons who have been granted temporary entry for more than one year under Section B, C or D of Annex 16-A (Temporary Entry for Business Persons); (d) proposed modifications of or additions to this Chapter; and (e) issues of common interest related to the temporary entry of business persons, such as the use of technologies related to processing of applications, that can be further explored among the Parties in other fora.</w:t>
      </w:r>
    </w:p>
    <w:p>
      <w:pPr>
        <w:pStyle w:val="Normal"/>
        <w:keepNext w:val="true"/>
        <w:widowControl/>
        <w:rPr/>
      </w:pPr>
      <w:r>
        <w:rPr/>
        <w:t>Article 16.7: Dispute Settlement 1. A Party may not initiate proceedings under Article 31.5 (Commission Good Offices, Conciliation, and Mediation) regarding a refusal to grant temporary entry under this Chapter or a particular case arising under Article 16.3(1) unless: (a) the matter involves a pattern of practice; and (b) the business person has exhausted the available administrative remedies regarding the particular matter. 2. The remedies referred to in paragraph (1)(b) will be deemed to be exhausted if a final determination in the matter has not been issued by the competent authority within one year of the institution of an administrative proceeding, and the failure to issue a determination is not attributable to delay caused by the business person.</w:t>
      </w:r>
    </w:p>
    <w:p>
      <w:pPr>
        <w:pStyle w:val="Normal"/>
        <w:keepNext w:val="true"/>
        <w:widowControl/>
        <w:rPr/>
      </w:pPr>
      <w:r>
        <w:rPr/>
        <w:t>Article 16.8: Relation to Other Chapters Except for this Chapter, Chapter 1 (Initial Provisions and General Definitions), Chapter 30 (Administrative and Institutional Provisions), Chapter 31 (Dispute Settlement), Chapter 34 (Final Provisions), Article 29.2 (Publication), and Article 29.3 (Administrative Proceedings), this Agreement does not impose an obligation on a Party regarding its immigration measures.</w:t>
      </w:r>
    </w:p>
    <w:p>
      <w:pPr>
        <w:pStyle w:val="Normal"/>
        <w:widowControl/>
        <w:rPr/>
      </w:pPr>
      <w:r>
        <w:rPr/>
        <w:t>ANNEX 16-A TEMPORARY ENTRY FOR BUSINESS PERSONS Section A: Business Visitors 1. Each Party shall grant temporary entry to a business person seeking to engage in a business activity set out in Appendix 1, without requiring that person to obtain an employment authorization, provided that the business person otherwise complies with the Party’s measures applicable to temporary entry, on presentation of: (a) proof of citizenship of a Party; (b) documentation demonstrating that the business person will be so engaged and describing the purpose of entry; and (c) evidence demonstrating that the proposed business activity is international in scope and that the business person is not seeking to enter the local labor market. 2. Each Party shall provide that a business person may satisfy the requirements of paragraph 1(c) by demonstrating that: (a) the primary source of remuneration for the proposed business activity is outside the territory of the Party granting temporary entry; and (b) the business person’s principal place of business and the actual place of accrual of profits, at least predominantly, remain outside that Party’s territory.</w:t>
      </w:r>
    </w:p>
    <w:p>
      <w:pPr>
        <w:pStyle w:val="Normal"/>
        <w:widowControl/>
        <w:rPr/>
      </w:pPr>
      <w:r>
        <w:rPr/>
        <w:t>A Party shall normally accept an oral declaration as to the principal place of business and the actual place of accrual of profits. Where the Party requires further proof, it shall normally consider a letter from the employer attesting to these matters as sufficient proof. 3.</w:t>
      </w:r>
    </w:p>
    <w:p>
      <w:pPr>
        <w:pStyle w:val="Normal"/>
        <w:widowControl/>
        <w:rPr/>
      </w:pPr>
      <w:r>
        <w:rPr/>
        <w:t>Paragraph 1 does not limit the ability of a business person seeking to engage in a business activity other than those set out in Appendix 1 to seek temporary entry under a Party’s measures relating to the entry of business persons. 4. No Party shall: (a) as a condition for temporary entry under paragraph 1, require prior approval procedures, petitions, labor certification tests or other procedures of similar effect; or 16-A-1 (b) impose or maintain a numerical restriction relating to temporary entry under paragraph 1. 5. Notwithstanding paragraph 4, a Party may require a business person seeking temporary entry under this Section to obtain a visa or its equivalent prior to entry. Before imposing a visa requirement, the Party shall consult, on request, with a Party whose business persons would be affected with a view to avoiding the imposition of the requirement. With respect to an existing visa requirement, a Party shall consult, on request, with a Party whose business persons are subject to the requirement with a view to its removal. Section B: Traders and Investors 1.</w:t>
      </w:r>
    </w:p>
    <w:p>
      <w:pPr>
        <w:pStyle w:val="Normal"/>
        <w:widowControl/>
        <w:rPr/>
      </w:pPr>
      <w:r>
        <w:rPr/>
        <w:t>Each Party shall grant temporary entry and provide confirming documentation to a business person seeking to: (a) carry on substantial trade in goods or services principally between the territory of the Party of which the business person is a citizen and the territory of the Party into which entry is sought; or (b) establish, develop, administer or provide advice or key technical services to the operation of an investment to which the business person or the business person’s enterprise has committed, or is in the process of committing, a substantial amount of capital, in a capacity that is supervisory, executive or involves essential skills, provided that the business person otherwise complies with the Party’s measures applicable to temporary entry. 2. No Party shall: (a) as a condition for temporary entry under paragraph 1, require labor certification tests or other procedures of similar effect; or (b) impose or maintain a numerical restriction relating to temporary entry under paragraph 1. 3.</w:t>
      </w:r>
    </w:p>
    <w:p>
      <w:pPr>
        <w:pStyle w:val="Normal"/>
        <w:widowControl/>
        <w:rPr/>
      </w:pPr>
      <w:r>
        <w:rPr/>
        <w:t>Notwithstanding paragraph 2, a Party may require a business person seeking temporary entry under this Section to obtain a visa or its equivalent prior to entry. Before imposing a visa requirement, the Party shall consult with a Party whose business persons would be affected with a view to avoiding the imposition of the requirement.</w:t>
      </w:r>
    </w:p>
    <w:p>
      <w:pPr>
        <w:pStyle w:val="Normal"/>
        <w:widowControl/>
        <w:rPr/>
      </w:pPr>
      <w:r>
        <w:rPr/>
        <w:t>With respect to an existing visa requirement, a Party shall consult, on request, with a Party whose business persons are subject to the requirement with a view to its removal. 16-A-2 Section C: Intra-Company Transferees 1. Each Party shall grant temporary entry and provide confirming documentation to a business person employed by an enterprise who seeks to render services to that enterprise or a subsidiary or affiliate thereof, in a capacity that is managerial, executive or involves specialized knowledge, provided that the business person otherwise complies with the Party’s measures applicable to temporary entry. A Party may require the business person to have been employed continuously by the enterprise for one year within the three-year period immediately preceding the date of the application for admission. 2. No Party shall: (a) as a condition for temporary entry under paragraph 1, require labor certification tests or other procedures of similar effect; or (b) impose or maintain a numerical restriction relating to temporary entry under paragraph 1. 3.</w:t>
      </w:r>
    </w:p>
    <w:p>
      <w:pPr>
        <w:pStyle w:val="Normal"/>
        <w:widowControl/>
        <w:rPr/>
      </w:pPr>
      <w:r>
        <w:rPr/>
        <w:t>Notwithstanding paragraph 2, a Party may require a business person seeking temporary entry under this Section to obtain a visa or its equivalent prior to entry. Before imposing a visa requirement, the Party shall consult with a Party whose business persons would be affected with a view to avoiding the imposition of the requirement.</w:t>
      </w:r>
    </w:p>
    <w:p>
      <w:pPr>
        <w:pStyle w:val="Normal"/>
        <w:widowControl/>
        <w:rPr/>
      </w:pPr>
      <w:r>
        <w:rPr/>
        <w:t>With respect to an existing visa requirement, a Party shall consult, on request, with a Party whose business persons are subject to the requirement with a view to its removal. Section D: Professionals 1. Each Party shall grant temporary entry and provide confirming documentation to a business person seeking to engage in a business activity at a professional level in a profession set out in Appendix 2, if the business person otherwise complies with the Party’s measures applicable to temporary entry, on presentation of: (a) proof of citizenship of a Party; and (b) documentation demonstrating that the business person will be so engaged and describing the purpose of entry. 16-A-3 2. No Party shall: (a) as a condition for temporary entry under paragraph 1, require prior approval procedures, petitions, labor certification tests or other procedures of similar effect; or (b) impose or maintain a numerical restriction relating to temporary entry under paragraph 1. 3. Notwithstanding paragraph 2, a Party may require a business person seeking temporary entry under this Section to obtain a visa or its equivalent prior to entry.</w:t>
      </w:r>
    </w:p>
    <w:p>
      <w:pPr>
        <w:pStyle w:val="Normal"/>
        <w:widowControl/>
        <w:rPr/>
      </w:pPr>
      <w:r>
        <w:rPr/>
        <w:t>Before imposing a visa requirement, the Party shall consult with a Party whose business persons would be affected with a view to avoiding the imposition of the requirement. With respect to an existing visa requirement, a Party shall consult, on request, with a Party whose business persons are subject to the requirement with a view to its removal.</w:t>
      </w:r>
    </w:p>
    <w:p>
      <w:pPr>
        <w:pStyle w:val="Normal"/>
        <w:widowControl/>
        <w:rPr/>
      </w:pPr>
      <w:r>
        <w:rPr/>
        <w:t>16-A-4 APPENDIX 1 BUSINESS VISITORS Section A: Definitions For the purposes of this Appendix: territory of another Party means the territory of a Party other than the territory of the Party into which temporary entry is sought; tour bus operator means a natural person, including relief personnel accompanying or following to join, necessary for the operation of a tour bus for the duration of a trip; and transportation operator means a natural person, other than a tour bus operator, including relief personnel accompanying or following to join, necessary for the operation of a vehicle for the duration of a trip. Section B: Business Activities Research and Design • Technical, scientific and statistical researchers conducting independent research or research for an enterprise located in the territory of another Party. Growth, Manufacture, and Production • Harvester owner supervising a harvesting crew admitted under a Party’s law. • Purchasing and production management personnel conducting commercial transactions for an enterprise located in the territory of another Party. Marketing • Market researchers and analysts conducting independent research or analysis or research or analysis for an enterprise located in the territory of another Party. • Trade fair and promotional personnel attending a trade convention.</w:t>
      </w:r>
    </w:p>
    <w:p>
      <w:pPr>
        <w:pStyle w:val="Normal"/>
        <w:widowControl/>
        <w:rPr/>
      </w:pPr>
      <w:r>
        <w:rPr/>
        <w:t>Sales • Sales representatives and agents taking orders or negotiating contracts for goods or services for an enterprise located in the territory of another Party but not delivering goods or supplying services. 16-A-1-1 • Buyers purchasing for an enterprise located in the territory of another Party. Distribution • Transportation operators transporting goods or passengers to the territory of a Party from the territory of another Party or loading and transporting goods or passengers from the territory of a Party, with no unloading in that territory, to the territory of another Party. • With respect to temporary entry into the territory of the United States, Canadian customs brokers performing brokerage duties relating to the export of goods from the territory of the United States to or through the territory of Canada. • With respect to temporary entry into the territory of Canada, United States customs brokers performing brokerage duties relating to the export of goods from the territory of Canada to or through the territory of the United States. • Customs brokers providing consulting services regarding the facilitation of the import or export of goods.</w:t>
      </w:r>
    </w:p>
    <w:p>
      <w:pPr>
        <w:pStyle w:val="Normal"/>
        <w:widowControl/>
        <w:rPr/>
      </w:pPr>
      <w:r>
        <w:rPr/>
        <w:t>After Sales Services • Installers, repair and maintenance personnel, and supervisors, possessing specialized knowledge essential to a seller’s contractual obligation, performing services or training workers to perform services, pursuant to a warranty or other service contract incidental to the sale of commercial or industrial equipment or machinery, including computer software, purchased from an enterprise located outside the territory of the Party into which temporary entry is sought, during the life of the warranty or service agreement. General Service • Professionals engaging in a business activity at a professional level in a profession set out in Appendix 2 Commercial Transactions • Management and supervisory personnel engaging in a commercial transaction for an enterprise located in the territory of another Party. • Financial services personnel (insurers, bankers or investment brokers) engaging in commercial transactions for an enterprise located in the territory of another Party. Public Relations and Advertising • Public relations and advertising personnel consulting with business associates, or attending or participating in conventions. 16-A-1-2 Tourism • Tourism personnel (tour and travel agents, tour guides or tour operators) attending or participating in conventions or conducting a tour that has begun in the territory of another Party.</w:t>
      </w:r>
    </w:p>
    <w:p>
      <w:pPr>
        <w:pStyle w:val="Normal"/>
        <w:widowControl/>
        <w:rPr/>
      </w:pPr>
      <w:r>
        <w:rPr/>
        <w:t>Tour Bus Operation • Tour bus operators entering the territory of a Party: (a) with a group of passengers on a bus tour that has begun in, and will return to, the territory of another Party; (b) to meet a group of passengers on a bus tour that will end, and the predominant portion of which will take place, in the territory of another Party; or (c) with a group of passengers on a bus tour to be unloaded in the territory of the Party into which temporary entry is sought, and returning with no passengers or reloading with the group for transportation to the territory of another Party. Translation • Translators or interpreters performing services as employees of an enterprise located in the territory of another Party. 16-A-1-3 APPENDIX 2 PROFESSIONALS PROFESSION1 MINIMUM EDUCATION REQUIREMENTS AND ALTERNATIVE CREDENTIALS General Accountant Baccalaureate or Licenciatura Degree; or C.P.A., C.A., C.G.A. or C.M.A.</w:t>
      </w:r>
    </w:p>
    <w:p>
      <w:pPr>
        <w:pStyle w:val="Normal"/>
        <w:widowControl/>
        <w:rPr/>
      </w:pPr>
      <w:r>
        <w:rPr/>
        <w:t>Architect Baccalaureate or Licenciatura Degree; or state/provincial license2 Computer Systems Analyst Baccalaureate or Licenciatura Degree; or Post- Secondary Diploma3 or Post-Secondary Certificate,4 and three years experience Disaster Relief Insurance Claims Adjuster (claims Baccalaureate or Licenciatura Degree, and Adjuster employed by an insurance company successful completion of training in the located in the territory of a Party, or an appropriate areas of insurance adjustment independent claims adjuster) pertaining to disaster relief claims; or three years experience in claims adjustment and successful completion of training in the appropriate areas of insurance adjustment pertaining to disaster relief claims Economist Baccalaureate or Licenciatura Degree 1 A business person seeking temporary entry under this Appendix may also perform training functions relating to the profession, including conducting seminars. 2 “State/provincial license” and “state/provincial/federal license” mean a document issued by a state, provincial, or federal government, as the case may be, or under its authority, but not by a local government, that permits a person to engage in a regulated activity or profession. 3 “Post-Secondary Diploma” means a credential issued, on completion of two or more years of postsecondary education, by an accredited academic institution in Canada or the United States.</w:t>
      </w:r>
    </w:p>
    <w:p>
      <w:pPr>
        <w:pStyle w:val="Normal"/>
        <w:widowControl/>
        <w:rPr/>
      </w:pPr>
      <w:r>
        <w:rPr/>
        <w:t>4 “Post-Secondary Certificate” means a certificate issued, on completion of two or more years of postsecondary education at an academic institution, by the federal government of Mexico or a state government in Mexico, an academic institution recognized by the federal government or a state government, or an academic institution created by federal or state law. 16-A-2-1 Engineer Baccalaureate or Licenciatura Degree; or state/provincial license Forester Baccalaureate or Licenciatura Degree; or state/provincial license Graphic Designer Baccalaureate or Licenciatura Degree; or Post- Secondary Diploma or Post-Secondary Certificate, and three years experience Hotel Manager Baccalaureate or Licenciatura Degree in hotel/restaurant management; or Post-Secondary Diploma or Post-Secondary Certificate in hotel/restaurant management, and three years experience in hotel/restaurant management Industrial Designer Baccalaureate or Licenciatura Degree; or Post- Secondary Diploma or Post-Secondary Certificate, and three years experience Interior Designer Baccalaureate or Licenciatura Degree; or Post- Secondary Diploma or Post-Secondary Certificate, and three years experience Land Surveyor Baccalaureate or Licenciatura Degree; or state/provincial/federal license Landscape Architect Baccalaureate or Licenciatura Degree Lawyer (including Notary in the Province of LL.B., J.D., LL.L., B.C.L. or Licenciatura Quebec) Degree (five years); or membership in a state/provincial bar Librarian M.L.S.</w:t>
      </w:r>
    </w:p>
    <w:p>
      <w:pPr>
        <w:pStyle w:val="Normal"/>
        <w:widowControl/>
        <w:rPr/>
      </w:pPr>
      <w:r>
        <w:rPr/>
        <w:t>or B.L.S. (for which another Baccalaureate or Licenciatura Degree was a prerequisite) Management Consultant Baccalaureate or Licenciatura Degree; or equivalent professional experience as established by statement or professional credential attesting to five years experience as a management consultant, or five years experience 16-A-2-2 Mathematician (including Statistician)5 Range Manager/Range Conservationalist Research Assistant (working in a post-secondary educational institution) Scientific Technician/Technologist6 Social Worker Sylviculturist (including Forestry Specialist) Technical Publications Writer Urban Planner (including Geographer) Vocational Counsellor Medical/Allied Professional Dentist in a field of specialty related to the consulting agreement Baccalaureate or Licenciatura Degree Baccalaureate or Licenciatura Degree Baccalaureate or Licenciatura Degree Possession of (a) theoretical knowledge of any of the following disciplines: agricultural sciences, astronomy, biology, chemistry, engineering, forestry, geology, geophysics, meteorology or physics; and (b) the ability to solve practical problems in any of those disciplines, or the ability to apply principles of any of those disciplines to basic or applied research Baccalaureate or Licenciatura Degree Baccalaureate or Licenciatura Degree Baccalaureate or Licenciatura Degree; or Post- Secondary Diploma or Post-Secondary Certificate, and three years experience Baccalaureate or Licenciatura Degree Baccalaureate or</w:t>
      </w:r>
    </w:p>
    <w:p>
      <w:pPr>
        <w:pStyle w:val="Normal"/>
        <w:widowControl/>
        <w:rPr/>
      </w:pPr>
      <w:r>
        <w:rPr/>
        <w:t>Licenciatura Degree D.D.S., D.M.D., Doctor en Odontologia or Doctor en Cirugia Dental; or state/provincial license 5 In accordance with the NAFTA 1994 Commission decision of October 7, 2003, the term “Mathematician” includes the profession of Actuary. 6 A business person in this category must be seeking temporary entry to work in direct support of professionals in agricultural sciences, astronomy, biology, chemistry, engineering, forestry, geology, geophysics, meteorology, or physics. 16-A-2-3 Dietitian Baccalaureate or Licenciatura Degree; or state/provincial license Medical Laboratory Technologist Baccalaureate or Licenciatura Degree; or Post (Canada)/Medical Technologist (Mexico and the Secondary Diploma or Post-Secondary United States)7 Certificate, and three years experience Nutritionist Baccalaureate or Licenciatura Degree Occupational Therapist Baccalaureate or Licenciatura Degree; or state/provincial license Pharmacist Baccalaureate or Licenciatura Degree; or state/provincial license Physician (teaching or research only) M.D. or Doctor en Medicina; or state/provincial license Physiotherapist/Physical Therapist Baccalaureate or Licenciatura Degree; or state/provincial license Psychologist State/provincial license; or Licenciatura Degree Recreational Therapist Baccalaureate or Licenciatura Degree Registered Nurse State/provincial license; or Licenciatura Degree Veterinarian D.V.M., D.M.V.</w:t>
      </w:r>
    </w:p>
    <w:p>
      <w:pPr>
        <w:pStyle w:val="Normal"/>
        <w:widowControl/>
        <w:rPr/>
      </w:pPr>
      <w:r>
        <w:rPr/>
        <w:t>or Doctor en Veterinaria; or state/provincial license Scientist Agriculturist (including Agronomist) Baccalaureate or Licenciatura Degree Animal Breeder Baccalaureate or Licenciatura Degree Animal Scientist Baccalaureate or Licenciatura Degree A business person in this category must be seeking temporary entry to perform in a laboratory chemical, biological, hematological, immunologic, microscopic, or bacteriological tests and analyses for diagnosis, treatment or prevention of disease. 16-A-2-4 Apiculturist Astronomer Biochemist Biologist8 Chemist Dairy Scientist Entomologist Epidemiologist Geneticist Geologist Geochemist Geophysicist (including Oceanographer in Mexico and the United States) Horticulturist Meteorologist Pharmacologist Physicist (including Oceanographer in Canada) Plant Breeder Poultry Scientist Baccalaureate or Licenciatura Degree Baccalaureate or Licenciatura Degree Baccalaureate or Licenciatura Degree Baccalaureate or Licenciatura Degree Baccalaureate or Licenciatura Degree Baccalaureate or Licenciatura Degree Baccalaureate or Licenciatura Degree Baccalaureate or Licenciatura Degree Baccalaureate or Licenciatura Degree Baccalaureate or Licenciatura Degree Baccalaureate or Licenciatura Degree Baccalaureate or Licenciatura Degree Baccalaureate or Licenciatura Degree Baccalaureate or Licenciatura Degree Baccalaureate or Licenciatura Degree Baccalaureate or Licenciatura Degree Baccalaureate or Licenciatura Degree Baccalaureate or Licenciatura Degree 8 In</w:t>
      </w:r>
    </w:p>
    <w:p>
      <w:pPr>
        <w:pStyle w:val="Normal"/>
        <w:widowControl/>
        <w:rPr/>
      </w:pPr>
      <w:r>
        <w:rPr/>
        <w:t>accordance with the NAFTA 1994 Commission decision of October 7, 2003, the term “Biologist” includes the profession of Plant Pathologist. 16-A-2-5 Soil Scientist Baccalaureate or Licenciatura Degree Zoologist Baccalaureate or Licenciatura Degree Teacher College Baccalaureate or Licenciatura Degree Seminary Baccalaureate or Licenciatura Degree University Baccalaureate or Licenciatura Degree 16-A-2-6</w:t>
      </w:r>
    </w:p>
    <w:p>
      <w:pPr>
        <w:pStyle w:val="ModHeading"/>
        <w:widowControl/>
        <w:rPr/>
      </w:pPr>
      <w:bookmarkStart w:id="58" w:name="_Toc237912535"/>
      <w:r>
        <w:rPr/>
        <w:t>CHAPTER 16 — CUSMA 2.0 MOBILITY SUPPLEMENT</w:t>
      </w:r>
      <w:bookmarkEnd w:id="58"/>
    </w:p>
    <w:p>
      <w:bookmarkStart w:id="1090" w:name="_NAESTMA_TOC_1090"/>
      <w:pPr>
        <w:pStyle w:val="Heading2"/>
        <w:keepNext/>
        <w:widowControl/>
        <w:rPr/>
      </w:pPr>
      <w:bookmarkStart w:id="59" w:name="_Toc237912536"/>
      <w:r>
        <w:rPr/>
        <w:t>Article 16.B: Trusted North American Visitor and Snowbird Mobility Framework</w:t>
      </w:r>
      <w:bookmarkEnd w:id="59"/>
      <w:bookmarkEnd w:id="1090"/>
    </w:p>
    <w:p>
      <w:pPr>
        <w:pStyle w:val="Normal"/>
        <w:widowControl/>
        <w:rPr/>
      </w:pPr>
      <w:r>
        <w:rPr/>
        <w:t>1. Without altering the scope of Articles 16.1 through 16.4 for business persons, the Parties establish a reciprocal administrative-cooperation framework for citizens making lawful temporary visits for tourism, seasonal residence, family visits, or comparable non-employment purposes.</w:t>
      </w:r>
    </w:p>
    <w:p>
      <w:pPr>
        <w:pStyle w:val="Normal"/>
        <w:widowControl/>
        <w:rPr/>
      </w:pPr>
      <w:r>
        <w:rPr/>
        <w:t>2. A Party may establish or expand voluntary trusted-traveler programs, including interoperable or linked programs building on NEXUS and preclearance arrangements, for pre-screened citizens of another Party. Participation does not create a right of admission and remains subject to each Party's immigration, customs, public-health, criminal, and national-security laws.</w:t>
      </w:r>
    </w:p>
    <w:p>
      <w:pPr>
        <w:pStyle w:val="Normal"/>
        <w:widowControl/>
        <w:rPr/>
      </w:pPr>
      <w:r>
        <w:rPr/>
        <w:t>3. For verified trusted visitors, the Parties shall endeavor to provide expedited processing, clear electronic records of authorized stay where applicable, advance resolution channels for routine documentation problems, and rapid correction procedures for mistaken identity or materially erroneous travel-status records.</w:t>
      </w:r>
    </w:p>
    <w:p>
      <w:pPr>
        <w:pStyle w:val="Normal"/>
        <w:widowControl/>
        <w:rPr/>
      </w:pPr>
      <w:r>
        <w:rPr/>
        <w:t>4. Where a verified citizen of another Party is refused admission solely on ordinary admissibility or documentation grounds and presents no identified criminal, security, public-safety, or flight risk, the refusing Party shall, to the extent permitted by domestic law, prefer prompt return or voluntary withdrawal over unnecessary custodial detention.</w:t>
      </w:r>
    </w:p>
    <w:p>
      <w:pPr>
        <w:pStyle w:val="Normal"/>
        <w:widowControl/>
        <w:rPr/>
      </w:pPr>
      <w:r>
        <w:rPr/>
        <w:t>5. A detained citizen of another Party shall receive access to consular notification and communication consistent with applicable law and international obligations. The Parties shall maintain supervisory-review procedures for prolonged immigration detention of verified temporary visitors.</w:t>
      </w:r>
    </w:p>
    <w:p>
      <w:pPr>
        <w:pStyle w:val="Normal"/>
        <w:widowControl/>
        <w:rPr/>
      </w:pPr>
      <w:r>
        <w:rPr/>
        <w:t>6. The Parties shall expand preclearance and trusted-traveler capacity where justified by traffic volumes, infrastructure, security, and cost, including consideration of airports, rail, marine, and land-border facilities.</w:t>
      </w:r>
    </w:p>
    <w:p>
      <w:pPr>
        <w:pStyle w:val="Normal"/>
        <w:widowControl/>
        <w:rPr/>
      </w:pPr>
      <w:r>
        <w:rPr/>
        <w:t>7. The framework shall be reciprocal. Nothing in this Article limits a Party's authority to refuse admission, investigate fraud, enforce lawful periods of stay, or take proportionate action against persons who violate immigration or criminal law.</w:t>
      </w:r>
    </w:p>
    <w:p>
      <w:pPr>
        <w:pStyle w:val="Normal"/>
        <w:widowControl/>
        <w:rPr/>
      </w:pPr>
      <w:r>
        <w:rPr>
          <w:b w:val="false"/>
        </w:rPr>
        <w:t>8. No Amnesty; No Immigration Entitlement. Nothing in this Article, the Trusted North American Visitor framework, or the temporary-entry provisions of this Agreement grants permanent residence, citizenship, amnesty, access to the general labor market, a right of admission, or immunity from immigration enforcement. Temporary or trusted status remains limited to the purpose and period authorized under the law of the admitting Party.</w:t>
      </w:r>
      <w:r>
        <w:br w:type="page"/>
      </w:r>
    </w:p>
    <w:p>
      <w:bookmarkStart w:id="1091" w:name="_NAESTMA_TOC_1091"/>
      <w:pPr>
        <w:pStyle w:val="Heading1"/>
        <w:keepNext/>
        <w:keepLines w:val="0"/>
        <w:pageBreakBefore/>
        <w:widowControl/>
        <w:rPr/>
      </w:pPr>
      <w:bookmarkStart w:id="60" w:name="_Toc237912537"/>
      <w:r>
        <w:rPr/>
        <w:t>CHAPTER 17 FINANCIAL SERVICES</w:t>
      </w:r>
      <w:bookmarkEnd w:id="60"/>
      <w:bookmarkEnd w:id="1091"/>
    </w:p>
    <w:p>
      <w:pPr>
        <w:pStyle w:val="Normal"/>
        <w:widowControl/>
        <w:rPr/>
      </w:pPr>
      <w:r>
        <w:rPr/>
        <w:t>Article 17.1: Definitions For the purposes of this Chapter: computing facility means a computer server or storage device for the processing or storage of information for the conduct of business within the scope of the license, authorization, or registration of a covered person, but does not include a computer server or storage device of or those used to access: (a) financial market infrastructures;</w:t>
      </w:r>
    </w:p>
    <w:p>
      <w:pPr>
        <w:pStyle w:val="Normal"/>
        <w:widowControl/>
        <w:rPr/>
      </w:pPr>
      <w:r>
        <w:rPr/>
        <w:t>(b) exchanges or markets for securities or for derivatives such as futures, options, and swaps; or (c) non-governmental bodies that exercise regulatory or supervisory authority over covered persons; covered person means (a) a financial institution of another Party; or (b) a cross-border financial service supplier of another Party that is subject to regulation, supervision, and licensing, authorization, or registration by a financial regulatory authority of the Party;1 cross-border financial service supplier of a Party means a person of a Party that is engaged in the business of supplying a financial service within the territory of the Party and that seeks to supply or supplies a financial service through the cross-border supply of that service; cross-border trade in financial services or cross-border supply of financial services means the supply of a financial service: (a) from the territory of a Party into the territory of another Party; 1 For greater certainty, whenever a cross-border financial service supplier of another Party is subject to regulation, supervision, and</w:t>
      </w:r>
    </w:p>
    <w:p>
      <w:pPr>
        <w:pStyle w:val="Normal"/>
        <w:widowControl/>
        <w:rPr/>
      </w:pPr>
      <w:r>
        <w:rPr/>
        <w:t>licensing, authorization, or registration by a financial regulatory authority of the Party, that supplier is a covered person for the purposes of this Chapter. For greater certainty, if a financial regulatory authority of the Party foregoes imposition of certain regulatory or supervisory requirements on the condition that a cross-border financial service supplier of another Party comply with certain regulatory or supervisory requirements imposed by a financial regulatory authority of the other Party, that supplier is a covered person.</w:t>
      </w:r>
    </w:p>
    <w:p>
      <w:pPr>
        <w:pStyle w:val="Normal"/>
        <w:widowControl/>
        <w:rPr/>
      </w:pPr>
      <w:r>
        <w:rPr/>
        <w:t>(b) in the territory of a Party by a person of that Party to a person of another Party; or (c) by a national of a Party in the territory of another Party, but does not include the supply of a financial service in the territory of a Party by a covered investment; financial institution means a financial intermediary or other enterprise that is authorized to do business and is regulated or supervised as a financial institution under the law of the Party in whose territory it is located; financial institution of another Party means a financial institution, including a branch, located in the territory of a Party that is controlled by a person of another Party; financial market infrastructure means a multi-participant system in which a covered person participates with other financial service suppliers, including the operator of the system, used for the purposes of clearing, settling, or recording payments, securities, derivatives, or other financial</w:t>
      </w:r>
    </w:p>
    <w:p>
      <w:pPr>
        <w:pStyle w:val="Normal"/>
        <w:widowControl/>
        <w:rPr/>
      </w:pPr>
      <w:r>
        <w:rPr/>
        <w:t>transactions; financial service means a service of a financial nature. Financial services include all insurance and insurance-related services, and all banking and other financial services (excluding insurance), as well as services incidental or auxiliary to a service of a financial nature. Financial services include the following activities: Insurance and insurance-related services (a) direct insurance (including co-insurance): (i) life, (ii) non-life; (b) reinsurance and retrocession; (c) insurance intermediation, such as brokerage and agency; and (d) services auxiliary to insurance, such as consultancy, actuarial, risk assessment, and claim settlement services; Banking and other financial services (excluding insurance) (e) acceptance of deposits and other repayable funds from the public; (f) lending of all types, including consumer credit, mortgage credit, factoring, and financing of commercial transactions; (g) financial leasing; (h) all payment and money transmission services, including credit, charge and debit cards, travelers checks, and bankers drafts; (i) guarantees and commitments; (j) trading for own account or for account of customers, whether on an exchange, in an over-the-counter market or otherwise, the following:</w:t>
      </w:r>
    </w:p>
    <w:p>
      <w:pPr>
        <w:pStyle w:val="Normal"/>
        <w:widowControl/>
        <w:rPr/>
      </w:pPr>
      <w:r>
        <w:rPr/>
        <w:t>(i) money market instruments (including checks, bills, certificates of deposits), (ii) foreign exchange, (iii) derivative products, including futures and options, (iv) exchange rate and interest rate instruments, including products such as swaps and</w:t>
      </w:r>
    </w:p>
    <w:p>
      <w:pPr>
        <w:pStyle w:val="Normal"/>
        <w:widowControl/>
        <w:rPr/>
      </w:pPr>
      <w:r>
        <w:rPr/>
        <w:t>forward rate agreements, (v) transferable securities, and (vi) other negotiable instruments and financial assets, including bullion; (k) participation in issues of all kinds of securities, including underwriting and placement as agent (whether publicly or privately) and supply of services related to these issues; (l) money broking; (m) asset management, such as cash or portfolio management, all forms of collective investment management, pension fund management, custodial, depository, and trust services; (n) settlement and clearing services for financial assets, including securities, derivative products, and other negotiable instruments;</w:t>
      </w:r>
    </w:p>
    <w:p>
      <w:pPr>
        <w:pStyle w:val="Normal"/>
        <w:widowControl/>
        <w:rPr/>
      </w:pPr>
      <w:r>
        <w:rPr/>
        <w:t>(o) provision and transfer of financial information, and financial data processing and related software by suppliers of other financial services; and (p) advisory, intermediation and other auxiliary financial services on all the activities listed in subparagraphs (e) through (o), including credit reference and analysis, investment and portfolio research and advice, advice on acquisitions, and on corporate restructuring and strategy; financial service supplier of a Party means a person of a Party that is engaged in the business of supplying a financial service within the territory of that Party; investment means “investment” as defined in Article 1 4 .1 (Definitions), except that with respect to “loans” and “debt instruments” referred to in that Article: (a) a loan to or debt instrument issued by a financial institution is an investment only</w:t>
      </w:r>
    </w:p>
    <w:p>
      <w:pPr>
        <w:pStyle w:val="Normal"/>
        <w:widowControl/>
        <w:rPr/>
      </w:pPr>
      <w:r>
        <w:rPr/>
        <w:t>if it is treated as regulatory capital by the Party in whose territory the financial institution is located; and (b) a loan granted by or debt instrument owned by a financial institution, other than a loan to or debt instrument issued by a financial institution referred to in subparagraph (a), is not an investment; for greater certainty, a loan granted, or debt instrument owned, by a cross-border financial service supplier, other than a loan to or debt instrument issued by a financial institution, is an investment for the purposes of Chapter 14 (Investment), if that loan or debt instrument meets the criteria for investments set out in Article 14.1 (Definitions); investor of a Party means a Party, or a person of a Party, that attempts to make,2 is making, or has made an investment in the territory of another Party;</w:t>
      </w:r>
    </w:p>
    <w:p>
      <w:pPr>
        <w:pStyle w:val="Normal"/>
        <w:widowControl/>
        <w:rPr/>
      </w:pPr>
      <w:r>
        <w:rPr/>
        <w:t>new financial service means a financial service not supplied in the Party’s territory that is supplied within the territory of another Party, and includes any new form of delivery of a financial service or the sale of a financial product that is not sold in the Party’s territory; person of a Party means “person of a Party” as defined in Article 1.4 (General Definitions) and, for greater certainty, does not include a branch of an enterprise of a non-Party; public entity means a central bank or monetary authority of a Party, or a financial institution that is owned or controlled by a Party; and self-regulatory organization means a non-governmental body, including a</w:t>
      </w:r>
    </w:p>
    <w:p>
      <w:pPr>
        <w:pStyle w:val="Normal"/>
        <w:widowControl/>
        <w:rPr/>
      </w:pPr>
      <w:r>
        <w:rPr/>
        <w:t>securities or futures exchange or market, clearing agency, or other organization or association, that exercises regulatory or supervisory authority over financial service suppliers or financial institutions by statute or delegation from a central or regional government. 2 For greater certainty, the Parties understand that an investor “attempts to make” an investment when that investor has taken concrete action or actions to make an investment, such as channeling resources or capital in order to set up a business, or applying for permits or licenses.</w:t>
      </w:r>
    </w:p>
    <w:p>
      <w:pPr>
        <w:pStyle w:val="Normal"/>
        <w:keepNext w:val="true"/>
        <w:widowControl/>
        <w:rPr/>
      </w:pPr>
      <w:r>
        <w:rPr/>
        <w:t>Article 17.2: Scope 1. This Chapter applies to a measure adopted or maintained by a Party relating to: (a) a financial institution of another Party; (b) an investor of another Party, and an investment of that investor, in a financial institution in the Party’s territory; and (c) cross-border trade in financial services. 2. Chapter 14 (Investment) and Chapter 15 (Cross-Border Trade in Services) apply to a measure described in paragraph 1 only to the extent that those Chapters are incorporated into this Chapter. (a) Article 14.6 (Minimum Standard of Treatment), Article 14.7 (Treatment in Case of Armed Conflict or Civil Strife), Article 14.8 (Expropriation and Compensation), Article 14.9 (Transfers), Article 14.13 (Special Formalities and Information Requirements), Article 14.14 (Denial of Benefits), Article 14.16 (Investment and Environmental, Health, Safety, and other Regulatory Objectives), and Article 15.11 (Denial of Benefits) are incorporated into and made a part of this Chapter. (b) Article 15.12 (Payments and Transfers) is incorporated into and made a part of this Chapter to the extent that cross-border trade in financial services is subject to obligations pursuant to Article 17.3.3 (National Treatment), Article 17.5.1(b) and (c) (Market Access), and Article 17.6 (Cross-Border Trade Standstill). 3.</w:t>
      </w:r>
    </w:p>
    <w:p>
      <w:pPr>
        <w:pStyle w:val="Normal"/>
        <w:widowControl/>
        <w:rPr/>
      </w:pPr>
      <w:r>
        <w:rPr/>
        <w:t>This Chapter does not apply to a measure adopted or maintained by a Party relating to: (a) an activity or a service forming part of a public retirement plan or statutory system of social security; or (b) an activity or a service conducted for the account or with the guarantee or using the financial resources of the Party, including its public entities, except that this Chapter applies to the extent that a Party allows an activity or service referred to in subparagraph (a) or (b) to be conducted by its financial institutions in competition with a public entity or a financial institution. 4. This Chapter does not apply to government procurement of financial services. 5. This Chapter does not apply to a subsidy or a grant provided by a Party, including a government supported loan, guarantee, and insurance, with respect to the cross-border supply of financial services by a cross-border supplier of another Party.</w:t>
      </w:r>
    </w:p>
    <w:p>
      <w:pPr>
        <w:pStyle w:val="Normal"/>
        <w:keepNext w:val="true"/>
        <w:widowControl/>
        <w:rPr/>
      </w:pPr>
      <w:r>
        <w:rPr/>
        <w:t>Article 17.3: National Treatment 1. Each Party shall accord to investors of another Party treatment no less favorable than that it accords to its own investors, in like circumstances, with respect to the establishment, acquisition, expansion, management, conduct, operation, and sale or other disposition of financial institutions, and investments in financial institutions in its territory. 2. Each Party shall accord to financial institutions of another Party, and to investments of investors of another Party in financial institutions, treatment no less favorable than that it accords to its own financial institutions, and to investments of its own investors in financial institutions, in like circumstances, with respect to the establishment, acquisition, expansion, management, conduct, operation, and sale or other disposition of financial institutions and investments. 3. Each Party shall accord to:</w:t>
      </w:r>
    </w:p>
    <w:p>
      <w:pPr>
        <w:pStyle w:val="Normal"/>
        <w:widowControl/>
        <w:rPr/>
      </w:pPr>
      <w:r>
        <w:rPr/>
        <w:t>(a) financial services or cross-border financial service suppliers of another Party seeking to supply or supplying the financial services as specified by the Party in Annex 17-A (Cross-Border Trade); and (b) financial services or cross-border financial service suppliers of another Party seeking to supply or supplying financial services subject to paragraph 4, treatment no less favorable than that it accords to its own financial services and financial service suppliers, in like circumstances. 4.</w:t>
      </w:r>
    </w:p>
    <w:p>
      <w:pPr>
        <w:pStyle w:val="Normal"/>
        <w:widowControl/>
        <w:rPr/>
      </w:pPr>
      <w:r>
        <w:rPr/>
        <w:t>Subparagraph 3(b) does not require a Party to permit a cross-border financial service supplier of another Party to do business or solicit in the Party’s territory. A Party may define “doing business” and “solicitation” in its law for the purposes of this paragraph. 5. The treatment to be accorded by a Party under paragraphs 1, 2, and 3 means, with respect to a government other than at the central level, treatment no less favorable than the most favorable treatment accorded, in like circumstances, by that government to financial institutions of the Party, investors of the Party, and investments of those investors, in financial institutions; or financial services or financial service suppliers, of the Party. 6. For greater certainty, whether treatment is accorded in “like circumstances” under this Article depends on the totality of the circumstances, including whether the relevant treatment distinguishes between investors in financial institutions, investments in financial institutions, financial institutions, or financial services or financial service suppliers on the basis of legitimate public welfare objectives.</w:t>
      </w:r>
    </w:p>
    <w:p>
      <w:pPr>
        <w:pStyle w:val="Normal"/>
        <w:keepNext w:val="true"/>
        <w:widowControl/>
        <w:rPr/>
      </w:pPr>
      <w:r>
        <w:rPr/>
        <w:t>Article 17.4: Most-Favored-Nation Treatment 1. Each Party shall accord to: (a) investors of another Party, treatment no less favorable than that it accords to investors of any other Party or of a non-Party, in like circumstances; (b) financial institutions of another Party, treatment no less favorable than that it accords to financial institutions of any other Party or of a non-Party, in like circumstances; (c) investments of investors of another Party in a financial institution, treatment no less favorable than that it accords to investments of investors of any other Party or of a non-Party in financial institutions, in like circumstances; and (d) financial services or cross-border financial service suppliers of another Party, treatment no less favorable than that it accords to financial services and cross-border financial service suppliers of any other Party or of a non-Party, in like circumstances. 2.</w:t>
      </w:r>
    </w:p>
    <w:p>
      <w:pPr>
        <w:pStyle w:val="Normal"/>
        <w:widowControl/>
        <w:rPr/>
      </w:pPr>
      <w:r>
        <w:rPr/>
        <w:t>The treatment to be accorded by a Party under paragraph 1 means, with respect to a government other than at the central level, treatment no less favorable than the most favorable treatment accorded, in like circumstances, by that government to financial institutions of another Party or a non-Party; investors of another Party or a non-Party, and investments of those investors, in financial institutions; or financial services or cross-border financial service suppliers of another Party or non-Party. 3.</w:t>
      </w:r>
    </w:p>
    <w:p>
      <w:pPr>
        <w:pStyle w:val="Normal"/>
        <w:widowControl/>
        <w:rPr/>
      </w:pPr>
      <w:r>
        <w:rPr/>
        <w:t>For greater certainty, whether treatment is accorded in “like circumstances” under this Article depends on the totality of the circumstances, including whether the relevant treatment distinguishes between investors in financial institutions, investments in financial institutions, financial institutions, or financial services or financial service suppliers on the basis of legitimate public welfare objectives.</w:t>
      </w:r>
    </w:p>
    <w:p>
      <w:pPr>
        <w:pStyle w:val="Normal"/>
        <w:keepNext w:val="true"/>
        <w:widowControl/>
        <w:rPr/>
      </w:pPr>
      <w:r>
        <w:rPr/>
        <w:t>Article 17.5: Market Access 1. No Party shall adopt or maintain with respect to: (a) a financial institution of another Party or, an investor of another Party seeking to establish those institutions; (b) a cross-border financial service supplier of another Party seeking to supply or supplying the financial services as specified by the Party in Annex 17-A (Cross- Border Trade); or (c) a cross-border financial service supplier of another Party seeking to supply or supplying financial services, subject to paragraph 2, either on the basis of a regional subdivision or on the basis of its entire territory, a measure that: (d) imposes a limitation on:</w:t>
      </w:r>
    </w:p>
    <w:p>
      <w:pPr>
        <w:pStyle w:val="Normal"/>
        <w:widowControl/>
        <w:rPr/>
      </w:pPr>
      <w:r>
        <w:rPr/>
        <w:t>(i) the number of financial institutions or cross-border financial service suppliers, whether in the form of numerical quotas, monopolies, exclusive service suppliers or the requirement of an economic needs test, (ii) the total value of financial service transactions or assets in the form of numerical quotas or the requirement of an economic needs test, (iii) the total number of financial service operations or the total quantity of financial services output expressed in terms of designated numerical units in the form of quotas or the requirement of an economic needs test,3 or (iv) the total number of natural persons that may be employed in a particular financial service sector or that a financial institution or cross- border f i n a n c i a l service supplier may employ and who are necessary for, and directly related to, the supply of</w:t>
      </w:r>
    </w:p>
    <w:p>
      <w:pPr>
        <w:pStyle w:val="Normal"/>
        <w:widowControl/>
        <w:rPr/>
      </w:pPr>
      <w:r>
        <w:rPr/>
        <w:t>a specific financial service in the form of numerical quotas or the requirement of an economic needs test; or (e) restricts or requires specific types of legal entity or joint venture through which a financial institution or cross-border financial service supplier may supply a service. 2. Subparagraph 1(c) does not require a Party to permit a cross-border financial service supplier of another Party to do business or solicit in the Party’s territory. A Party may define “doing business” and “solicitation” in its law for the purposes of this paragraph. 3. No Party shall require a cross-border financial service supplier of another Party to establish or maintain a representative office or an enterprise, or to be resident, in its territory as a condition for the cross-border supply of a financial service, with respect to the financial services referred to in Article 17.6 (Cross-Border Trade Standstill) and the financial services as specified 3 Subparagraph (d)(iii) does not cover measures of a Party that limit inputs for the supply of financial services. by the Party in Annex 17-A (Cross-Border Trade). 4.</w:t>
      </w:r>
    </w:p>
    <w:p>
      <w:pPr>
        <w:pStyle w:val="Normal"/>
        <w:widowControl/>
        <w:rPr/>
      </w:pPr>
      <w:r>
        <w:rPr/>
        <w:t>For greater certainty, a Party may require the registration or authorization of a cross- border financial service supplier of another Party or of a financial instrument.</w:t>
      </w:r>
    </w:p>
    <w:p>
      <w:pPr>
        <w:pStyle w:val="Normal"/>
        <w:keepNext w:val="true"/>
        <w:widowControl/>
        <w:rPr/>
      </w:pPr>
      <w:r>
        <w:rPr/>
        <w:t>Article 17.6: Cross-Border Trade Standstill No Party shall adopt a measure restricting any type of cross-border trade in financial services by cross-border financial service suppliers of another Party that the Party permitted on January 1, 1994, or that is inconsistent with Article 17.3.3 (National Treatment), with respect to the supply of those services.</w:t>
      </w:r>
    </w:p>
    <w:p>
      <w:pPr>
        <w:pStyle w:val="Normal"/>
        <w:keepNext w:val="true"/>
        <w:widowControl/>
        <w:rPr/>
      </w:pPr>
      <w:r>
        <w:rPr/>
        <w:t>Article 17.7: New Financial Services4 Each Party shall permit a financial institution of another Party to supply a new financial service that the Party would permit its own financial institutions, in like circumstances, to supply without adopting a law or modifying an existing law.5 Notwithstanding Article 17.5.1(a) and(e) (Market Access), a Party may determine the institutional and juridical form through which the new financial service may be supplied and may require authorization for the supply of the service. If a Party requires a financial institution to obtain authorization to supply a new financial service, the Party shall decide within a reasonable period of time whether to issue the authorization and may refuse the authorization only for prudential reasons.</w:t>
      </w:r>
    </w:p>
    <w:p>
      <w:pPr>
        <w:pStyle w:val="Normal"/>
        <w:keepNext w:val="true"/>
        <w:widowControl/>
        <w:rPr/>
      </w:pPr>
      <w:r>
        <w:rPr/>
        <w:t>Article 17.8: Treatment of Customer Information This Chapter does not require a Party to disclose information related to the financial affairs or accounts of individual customers of financial institutions or cross-border financial service suppliers. 4 The Parties understand that nothing in this Article prevents a financial institution of a Party from applying to another Party to request that it authorize the supply of a financial service that is not supplied in the territory of any Party. That application will be subject to the law of the Party to which the application is made and, for greater certainty, is not subject to this Article. 5 For greater certainty, a Party may issue a new regulation or other subordinate measure in permitting the supply of the new financial service.</w:t>
      </w:r>
    </w:p>
    <w:p>
      <w:pPr>
        <w:pStyle w:val="Normal"/>
        <w:keepNext w:val="true"/>
        <w:widowControl/>
        <w:rPr/>
      </w:pPr>
      <w:r>
        <w:rPr/>
        <w:t>Article 17.9: Senior Management and Boards of Directors 1. No Party shall require a financial institution of another Party to engage a natural person of a particular nationality as senior managerial or other essential personnel. 2. No Party shall require that more than a simple majority of the board of directors of a financial institution of another Party be composed of nationals of the Party, persons residing in the territory of the Party, or a combination thereof.</w:t>
      </w:r>
    </w:p>
    <w:p>
      <w:pPr>
        <w:pStyle w:val="Normal"/>
        <w:keepNext w:val="true"/>
        <w:widowControl/>
        <w:rPr/>
      </w:pPr>
      <w:r>
        <w:rPr/>
        <w:t>Article 17.10: Non-Conforming Measures 1. Article 17.3 (National Treatment), Article 17.4 (Most-Favored-Nation Treatment), Article 17.5 (Market Access), and Article 17.9 (Senior Management and Boards of Directors) do not apply to: (a) an existing non-conforming measure that is maintained by a Party at: (i) the central level of government, as set out by that Party in Section A of its Schedule to Annex III, (ii) a regional level of government, as set out by that Party in Section A of its Schedule to Annex III, or (iii) a local level of government; (b) the continuation or prompt renewal of a non-conforming measure referred to in subparagraph (a); or (c) an amendment to a non-conforming measure referred to in subparagraph (a) to the extent that the amendment does not decrease the conformity of the measure as it existed: (i) immediately before the amendment, with Articles 17.3.1 and 17.3.2 (National Treatment), Article 17.4 (Most-Favored-Nation Treatment), Article 17.5.1(a) (Market Access), or Article 17.9 (Senior Management and Boards of Directors), or (ii) on the date of entry into force of this Agreement for the Party applying the non-conforming measure with Article 17.3.3 (National Treatment), Article 17.5.1(b) (Market Access), or Article 17.5.1(c) (Market Access). 2.</w:t>
      </w:r>
    </w:p>
    <w:p>
      <w:pPr>
        <w:pStyle w:val="Normal"/>
        <w:keepNext w:val="true"/>
        <w:widowControl/>
        <w:rPr/>
      </w:pPr>
      <w:r>
        <w:rPr/>
        <w:t>Article 17.3 (National Treatment), Article 17.4 (Most-Favored-Nation Treatment), Article 17.5 (Market Access), Article 17.6 (Cross-Border Trade Standstill), and Article 17.9 (Senior Management and Boards of Directors) do not apply to a measure that a Party adopts or maintains with respect to a sector, subsector, or an activity, as set out by that Party in Section B of its Schedule to Annex III. 3. A non-conforming measure, set out in a Party’s Schedule to Annex I or II as not subject to Article 14. 4 (National Treatment), Article 14.5 (Most-Favored-Nation Treatment), Article 14.11 (Senior Management and Boards of Directors), Article 1 5 . 3 (National Treatment) or Article 1 5 . 4 (Most-Favored-Nation Treatment), shall be treated as a non-conforming measure not subject to Article 17.3 (National Treatment), Article 17.4 (Most-Favored-Nation Treatment) or Article 17.9 (Senior Management and Boards of Directors), as the case may be, to the extent that the measure, sector, subsector or activity set out in the Party’s schedule to Annex I or II is covered by this Chapter. 4.</w:t>
      </w:r>
    </w:p>
    <w:p>
      <w:pPr>
        <w:pStyle w:val="Normal"/>
        <w:widowControl/>
        <w:rPr/>
      </w:pPr>
      <w:r>
        <w:rPr/>
        <w:t>(a) Article 17.3 (National Treatment) does not apply to a measure that falls within an exception to, or derogation from, the obligations which are imposed by: (i) Article 20.8 (National Treatment), or (ii) Article 3 of the TRIPS Agreement, if the exception or derogation relates to matters not addressed by Chapter 20 (Intellectual Property Rights).</w:t>
      </w:r>
    </w:p>
    <w:p>
      <w:pPr>
        <w:pStyle w:val="Normal"/>
        <w:widowControl/>
        <w:rPr/>
      </w:pPr>
      <w:r>
        <w:rPr/>
        <w:t>(b) Article 17.4 (Most-Favored-Nation Treatment) does not apply to a measure that falls within Article 5 of the TRIPS Agreement, or an exception to, or derogation from, the obligations which are imposed by: (i) Article 20.8 (National Treatment), or (ii) Article 4 of the TRIPS Agreement.</w:t>
      </w:r>
    </w:p>
    <w:p>
      <w:pPr>
        <w:pStyle w:val="Normal"/>
        <w:keepNext w:val="true"/>
        <w:widowControl/>
        <w:rPr/>
      </w:pPr>
      <w:r>
        <w:rPr/>
        <w:t>Article 17.11: Exceptions 1. Notwithstanding the other provisions of this Agreement except for Chapter 2 (National Treatment and Market Access for Goods), Chapter 3 (Agriculture), Chapter 4 (Rules of Origin), Chapter 5 (Origin Procedures), Chapter 6 (Textiles and Apparel), Chapter 7 (Customs Administration and Trade Facilitation), Chapter 9 (Sanitary and Phytosanitary Measures), Chapter 1 0 (Trade Remedies), and Chapter 11 (Technical Barriers to Trade), a Party is not prevented from adopting or maintaining a measure for prudential reasons,6 including for the protection of investors, depositors, policy holders, or persons to whom a fiduciary duty is owed by a financial institution or cross-border financial service supplier, or 6 The Parties understand that the term “prudential reasons” includes the maintenance of the safety, soundness, integrity, or financial responsibility of individual financial institutions or cross-border financial service suppliers as well as the safety, and financial and operational integrity of payment and clearing systems. to ensure the integrity and stability of the financial system. If the measure does not conform with the provisions of this Agreement to which this exception applies, the measure must not be used as a means of avoiding the Party’s commitments or obligations under those provisions. 2.</w:t>
      </w:r>
    </w:p>
    <w:p>
      <w:pPr>
        <w:pStyle w:val="Normal"/>
        <w:widowControl/>
        <w:rPr/>
      </w:pPr>
      <w:r>
        <w:rPr/>
        <w:t>Nothing in this Chapter, Chapter 14 (Investment), Chapter 15 (Cross- Border Trade in Services), Chapter 18 (Telecommunications) including specifically Article 18.26 (Relation to Other Chapters), or Chapter 19 (Digital Trade), applies to a non-discriminatory measure of general application taken by a public entity in pursuit of monetary and related credit policies or exchange rate policies. This paragraph does not affect a Party’s obligations under Article 1 4 .10 (Performance Requirements) with respect to a measure covered by Chapter 14 (Investment), under Article 14.9 (Transfers) or Article 15.12 (Cross Border Trade in Services, Payments and Transfers). 3. Notwithstanding Article 14.9 (Transfers) and Article 15.12 (Payments and Transfers), as incorporated into this Chapter, a Party may prevent or limit a transfer by a financial institution or a cross-border financial service supplier to, or for the benefit of, an affiliate of or person related to that institution or supplier, through the equitable, non-discriminatory and good faith application of a measure relating to maintenance of the safety, soundness, integrity, or financial responsibility of financial institutions or cross-border financial service suppliers. This paragraph does not prejudice any other provision of this Agreement that permits a Party to restrict transfers. 4.</w:t>
      </w:r>
    </w:p>
    <w:p>
      <w:pPr>
        <w:pStyle w:val="Normal"/>
        <w:widowControl/>
        <w:rPr/>
      </w:pPr>
      <w:r>
        <w:rPr/>
        <w:t>For greater certainty, nothing in this Chapter shall be construed to prevent a Party from adopting or maintaining a measure necessary to secure compliance with laws or regulations that are not inconsistent with this Chapter, including those relating to the prevention of deceptive and fraudulent practices or to deal with the effects of a default on financial services contracts, subject to the requirement that the measure is not applied in a manner that would constitute a means of arbitrary or unjustifiable discrimination between Parties or between Parties and non-Parties where like conditions prevail, or a disguised restriction on investment in financial institutions or cross-border trade in financial services as covered by this Chapter.</w:t>
      </w:r>
    </w:p>
    <w:p>
      <w:pPr>
        <w:pStyle w:val="Normal"/>
        <w:keepNext w:val="true"/>
        <w:widowControl/>
        <w:rPr/>
      </w:pPr>
      <w:r>
        <w:rPr/>
        <w:t>Article 17.12: Recognition 1. A Party may recognize prudential measures of another Party or a non-Party in the application of a measure covered by this Chapter. That recognition may be: (a) accorded autonomously; (b) achieved through harmonization or other means; or (c) based upon an agreement or arrangement with another Party or a non-Party. 2. A Party that accords recognition of prudential measures under paragraph 1 shall provide adequate opportunity to another Party to demonstrate that circumstances exist in which there are or would be equivalent regulation, oversight, implementation of regulation and, if appropriate, procedures concerning the sharing of information between the relevant Parties. 3. If a Party accords recognition of prudential measures under paragraph 1(c) and the circumstances set out in paragraph 2 exist, that Party shall provide adequate opportunity to another Party to negotiate accession to the agreement or arrangement, or to negotiate a comparable agreement or arrangement. 4. For greater certainty, nothing in Article 17.4 (Most-Favored-Nation Treatment) requires a Party to accord recognition to prudential measures of any other Party.</w:t>
      </w:r>
    </w:p>
    <w:p>
      <w:pPr>
        <w:pStyle w:val="Normal"/>
        <w:keepNext w:val="true"/>
        <w:widowControl/>
        <w:rPr/>
      </w:pPr>
      <w:r>
        <w:rPr/>
        <w:t>Article 17.13: Transparency and Administration of Certain Measures 1. Chapter 28 (Good Regulatory Practices) and Chapter 29 (Publication and Administration) d o not apply to a measure relating to this Chapter. 2. Each Party shall ensure that all measures of general application to which this Chapter applies are administered in a reasonable, objective and impartial manner. 3. Each Party shall, to the extent practicable: (a) publish in advance any regulation that it proposes to adopt and the purpose of the regulation; and (b) provide interested persons and other Parties with a reasonable opportunity to comment on that proposed regulation. 4. At the time that it adopts a final regulation, a Party should, to the extent practicable, address in writing the substantive comments received from interested persons and other Parties with respect to the proposed regulation. For greater certainty, a Party may address those comments collectively on an official government website. 5.</w:t>
      </w:r>
    </w:p>
    <w:p>
      <w:pPr>
        <w:pStyle w:val="Normal"/>
        <w:widowControl/>
        <w:rPr/>
      </w:pPr>
      <w:r>
        <w:rPr/>
        <w:t>To the extent practicable, each Party should allow a reasonable period of time between publication of a final regulation of general application and the date when it enters into effect. 6. Each Party shall establish or maintain appropriate mechanisms for responding to inquiries from interested persons and other Parties regarding measures of general application covered by this Chapter. 7.</w:t>
      </w:r>
    </w:p>
    <w:p>
      <w:pPr>
        <w:pStyle w:val="Normal"/>
        <w:widowControl/>
        <w:rPr/>
      </w:pPr>
      <w:r>
        <w:rPr/>
        <w:t>If a Party requires authorization for the supply of a financial service, it shall ensure that its financial regulatory authorities: (a) to the extent practicable, permit an applicant to submit an application at any time; (b) allow a reasonable period for the submission of an application if specific time periods for applications exist; (c) provide to service suppliers and persons seeking to supply a service the information necessary to comply with the requirements and procedures for obtaining, maintaining, amending, and renewing such authorization; (d) to the extent practicable, provide an indicative timeframe for processing of an application; (e) endeavor to accept applications in electronic format; (f) accept copies of documents that are authenticated in accordance with the Party’s law, in place of original documents, unless the financial regulatory authorities require original documents to protect the integrity of the authorization process; (g) at the request of the applicant, provide without undue delay information concerning the status of the application;</w:t>
      </w:r>
    </w:p>
    <w:p>
      <w:pPr>
        <w:pStyle w:val="Normal"/>
        <w:widowControl/>
        <w:rPr/>
      </w:pPr>
      <w:r>
        <w:rPr/>
        <w:t>(h) in the case of an application considered complete under the Party’s laws and regulations, within a reasonable period of time taking into account the available resources of the competent authority after the submission of the application, ensure that the processing of an application is completed, and that the applicant is informed of the decision concerning the application, to the extent possible in writing; (i) in</w:t>
      </w:r>
    </w:p>
    <w:p>
      <w:pPr>
        <w:pStyle w:val="Normal"/>
        <w:widowControl/>
        <w:rPr/>
      </w:pPr>
      <w:r>
        <w:rPr/>
        <w:t>the case of an application considered incomplete under the Party’s law, within a reasonable period of time, to the extent practicable: (i) inform the applicant that the application is incomplete, (ii) at the request of the applicant, provide guidance on why the application is considered incomplete, and (iii) provide the applicant with the opportunity7 to provide the additional information that is required to complete the application; and if none of the actions in subparagraphs (i) through (iii) is practicable, and the 7 For greater certainty, this opportunity does not require a competent authority to provide extensions of deadlines. application is rejected due to incompleteness, ensure that the applicant is informed within a reasonable period of time; (j) in the case of a rejected application, to the extent practicable, either on its own initiative or upon the request of the applicant, inform the applicant of the reasons for rejection and, if applicable, the procedures for resubmission of an application; (k) with respect to an authorization fee8 charged by financial regulatory authorities:</w:t>
      </w:r>
    </w:p>
    <w:p>
      <w:pPr>
        <w:pStyle w:val="Normal"/>
        <w:widowControl/>
        <w:rPr/>
      </w:pPr>
      <w:r>
        <w:rPr/>
        <w:t>(i) provide applicants with a schedule of fees or information on how fee amounts are calculated, and (ii) do not use the fees as a means of avoiding the Party’s commitments or obligations under this Chapter; and (l) ensure that authorization, once granted, enters into effect without undue delay.</w:t>
      </w:r>
    </w:p>
    <w:p>
      <w:pPr>
        <w:pStyle w:val="Normal"/>
        <w:keepNext w:val="true"/>
        <w:widowControl/>
        <w:rPr/>
      </w:pPr>
      <w:r>
        <w:rPr/>
        <w:t>Article 17.14: Self-Regulatory Organizations If a Party requires a financial institution or a cross-border financial service supplier of another Party to be a member of, participate in, or have access to, a self-regulatory organization in order to provide a financial service in or into its territory, it shall ensure that the self-regulatory organization observes the obligations contained in this Chapter.</w:t>
      </w:r>
    </w:p>
    <w:p>
      <w:pPr>
        <w:pStyle w:val="Normal"/>
        <w:keepNext w:val="true"/>
        <w:widowControl/>
        <w:rPr/>
      </w:pPr>
      <w:r>
        <w:rPr/>
        <w:t>Article 17.15: Payment and Clearing Systems Under terms and conditions that accord national treatment, each Party shall grant financial institutions of another Party established in its territory access to payment and clearing systems operated by public entities, and to official funding and refinancing facilities available in the normal course of ordinary business. This Article does not confer or require access to the Party’s lender of last resort facilities.</w:t>
      </w:r>
    </w:p>
    <w:p>
      <w:pPr>
        <w:pStyle w:val="Normal"/>
        <w:keepNext w:val="true"/>
        <w:widowControl/>
        <w:rPr/>
      </w:pPr>
      <w:r>
        <w:rPr/>
        <w:t>Article 17.16: Expedited Availability of Insurance Services The Parties recognize the importance of maintaining and developing regulatory procedures to expedite the offering of insurance services by licensed suppliers. These procedures may include: allowing introduction of products unless those products are 8 An authorization fee includes a licensing fee and fees relating to qualification procedures but does not include a fee for the use of natural resources, payments for auction, tendering or other non-discriminatory means of awarding concessions, or mandated contributions to universal service provision. disapproved within a reasonable period of time; not requiring product approval or authorization of insurance lines for insurance other than insurance sold to individuals or compulsory insurance; or not imposing limitations on the number or frequency of product introductions. If a Party maintains regulatory product approval procedures, that Party shall endeavor to maintain or improve those procedures, as appropriate, to expedite availability of insurance services by licensed suppliers.</w:t>
      </w:r>
    </w:p>
    <w:p>
      <w:pPr>
        <w:pStyle w:val="Normal"/>
        <w:keepNext w:val="true"/>
        <w:widowControl/>
        <w:rPr/>
      </w:pPr>
      <w:r>
        <w:rPr/>
        <w:t>Article 17.17: Transfer of Information No Party shall prevent a covered person from transferring information, including personal information, into and out of the Party’s territory by electronic or other means when this activity is for the conduct of business within the scope of the license, authorization, or registration of that covered person. Nothing in this Article restricts the right of a Party to adopt or maintain measures to protect personal data, personal privacy and the confidentiality of individual records and accounts, provided that such measures are not used to circumvent this Article.</w:t>
      </w:r>
    </w:p>
    <w:p>
      <w:pPr>
        <w:pStyle w:val="Normal"/>
        <w:keepNext w:val="true"/>
        <w:widowControl/>
        <w:rPr/>
      </w:pPr>
      <w:r>
        <w:rPr/>
        <w:t>Article 17.18: Location of Computing Facilities 1. The Parties recognize that immediate, direct, complete, and ongoing access by a Party’s financial regulatory authorities to information of covered persons, including information underlying the transactions and operations of such persons, is critical to financial regulation and supervision, and recognize the need to eliminate any potential limitations on that access. 2. No Party shall require a covered person to use or locate computing facilities in the Party’s territory as a condition for conducting business in that territory, so long as the Party’s financial regulatory authorities, for regulatory and supervisory purposes, have immediate, direct, complete, and ongoing access to information processed or stored on computing facilities that the covered person uses or locates outside the Party’s territory.9 3.</w:t>
      </w:r>
    </w:p>
    <w:p>
      <w:pPr>
        <w:pStyle w:val="Normal"/>
        <w:widowControl/>
        <w:rPr/>
      </w:pPr>
      <w:r>
        <w:rPr/>
        <w:t>Each Party shall, to the extent practicable, provide a covered person with a reasonable opportunity to remediate a lack of access to information as described in paragraph 2 before the Party requires the covered person to use or locate computing facilities in the Party’s territory or the territory of another jurisdiction.10 9 For greater certainty, access to information includes access to information of a covered person that is processed or stored on computing facilities of the covered person or on computing facilities of a third-party service supplier.</w:t>
      </w:r>
    </w:p>
    <w:p>
      <w:pPr>
        <w:pStyle w:val="Normal"/>
        <w:widowControl/>
        <w:rPr/>
      </w:pPr>
      <w:r>
        <w:rPr/>
        <w:t>For greater certainty, a Party may adopt or maintain a measure that is not inconsistent with this Agreement, including any measure consistent with Article 17.11.1 (Exceptions), such as a measure requiring a covered person to obtain prior authorization from a financial regulatory authority to designate a particular enterprise as a recipient of that information, or a measure adopted or maintained by a financial regulatory authority in the exercise of its authority over a covered person’s business continuity planning practices with respect to maintenance of the operation of computing facilities. 10 For greater certainty, so long as a Party’s financial regulatory authorities do not have access to information as 4. Nothing in this Article restricts the right of a Party to adopt or maintain measures to protect personal data, personal privacy and the confidentiality of individual records and accounts, provided that these measures are not used to circumvent the commitments or obligations of this Article.</w:t>
      </w:r>
    </w:p>
    <w:p>
      <w:pPr>
        <w:pStyle w:val="Normal"/>
        <w:keepNext w:val="true"/>
        <w:widowControl/>
        <w:rPr/>
      </w:pPr>
      <w:r>
        <w:rPr/>
        <w:t>Article 17.19: Committee on Financial Services 1. The Parties hereby establish a Committee on Financial Services (Financial Services Committee). The principal representative of each Party must be an official of the Party’s authority responsible for financial services set out in Annex 17-B (Authorities Responsible for Financial Services). 2. The Financial Services Committee shall supervise the implementation of this Chapter and its further elaboration, including by considering issues regarding financial services that are referred to it by a Party. 3. The Financial Services Committee shall meet as the Parties decide to assess the functioning of this Agreement as it applies to financial services. The Financial Services Committee shall inform the Commission of the results of any meeting. The Parties may invite, as appropriate, representatives of their domestic financial regulatory authorities to attend meetings of the Committee.</w:t>
      </w:r>
    </w:p>
    <w:p>
      <w:pPr>
        <w:pStyle w:val="Normal"/>
        <w:keepNext w:val="true"/>
        <w:widowControl/>
        <w:rPr/>
      </w:pPr>
      <w:r>
        <w:rPr/>
        <w:t>Article 17.20: Consultations 1. A Party may request, in writing, consultations with another Party regarding any matter arising under this Agreement that affects financial services. The other Party shall give sympathetic consideration to this request. The consulting Parties shall report the results of their consultations to the Financial Services Committee. 2. A Party may request information on an existing non-conforming measure of another Party as referred to in Article 17.10.1 (Non-Conforming Measures). Each Party’s financial authorities specified in Annex 17-B (Authorities Responsible for Financial Services) shall be the contact point to respond to those requests and to facilitate the exchange of information regarding the operation of measures covered by those requests. 3.</w:t>
      </w:r>
    </w:p>
    <w:p>
      <w:pPr>
        <w:pStyle w:val="Normal"/>
        <w:widowControl/>
        <w:rPr/>
      </w:pPr>
      <w:r>
        <w:rPr/>
        <w:t>For greater certainty, nothing in this Article shall be construed to require a Party to derogate from its law regarding sharing of information between financial regulatory authorities or the requirements of an agreement or arrangement between financial regulatory authorities of described in paragraph 2, the Party may, subject to paragraph 3, require a covered person to use or locate computing facilities either in the territory of the Party or the territory of another jurisdiction where the Party has that access. the Parties, or to require a financial regulatory authority to take any action that would interfere with specific regulatory, supervisory, administrative or enforcement matters.</w:t>
      </w:r>
    </w:p>
    <w:p>
      <w:pPr>
        <w:pStyle w:val="Normal"/>
        <w:keepNext w:val="true"/>
        <w:widowControl/>
        <w:rPr/>
      </w:pPr>
      <w:r>
        <w:rPr/>
        <w:t>Article 17.21: Dispute Settlement 1. Chapter 31 (Dispute Settlement) applies as modified by this Article to the settlement of disputes arising under this Chapter. 2. For disputes arising under this Chapter or a dispute in which a Party invokes Article 17.11 (Exceptions), when selecting panelists to compose a panel under Article 31.9 (Panel Composition), each disputing Party shall select panelists so that: (a) the chairperson has expertise or experience in financial services law or practice, such as the regulation of financial institutions, and meets the qualifications set out in Article 31.8.2 (Roster and Qualifications of Panelists); and (b) each of the other panelists: (i) has expertise or experience in financial services law or practice, such as the regulation of financial institutions, and meets the qualifications set out in paragraph (2)(b) through (2)(d) of Article 31.8.2 (Roster and Qualifications of Panelists); or (ii) meets the qualifications set out in Article 31.8.2 (Roster and Qualification of Panelists). 3.</w:t>
      </w:r>
    </w:p>
    <w:p>
      <w:pPr>
        <w:pStyle w:val="Normal"/>
        <w:widowControl/>
        <w:rPr/>
      </w:pPr>
      <w:r>
        <w:rPr/>
        <w:t>If a Party seeks to suspend benefits in the financial services sector, a panel that reconvenes to make a determination on the proposed suspension of benefits, in accordance with Article 3 1 .19 (Non-Implementation – Suspension of Benefits), shall seek the views of financial services experts, as necessary. 4.</w:t>
      </w:r>
    </w:p>
    <w:p>
      <w:pPr>
        <w:pStyle w:val="Normal"/>
        <w:widowControl/>
        <w:rPr/>
      </w:pPr>
      <w:r>
        <w:rPr/>
        <w:t>Notwithstanding Article 31.19 (Non-Implementation – Suspension of Benefits), when a panel’s determination is that a Party’s measure is inconsistent with this Agreement and the measure affects: (a) only a sector other than the financial services sector, the complaining Party may not suspend benefits in the financial services sector; or (b) the financial services sector and another sector, the complaining Party may not suspend benefits in the financial services sector that have an effect that exceeds the effect of the measure in the complaining Party’s financial services sector. 17-A-0</w:t>
      </w:r>
    </w:p>
    <w:p>
      <w:pPr>
        <w:pStyle w:val="Normal"/>
        <w:widowControl/>
        <w:rPr/>
      </w:pPr>
      <w:r>
        <w:rPr/>
        <w:t>ANNEX 17-A CROSS-BORDER TRADE Canada11 Insurance and Insurance-Related Services 1. Articles 17.3.3 (National Treatment) and 17.5.1 (Market Access) apply to the cross- border supply of or trade in financial services, as defined in subparagraph (a) of the definition of “cross-border supply of financial services” in Article 17.1 (Definitions), with respect to: (a) insurance of risks relating to: (i) maritime transport and commercial aviation and space launching and freight (including satellites), with such insurance to cover any or all of the following: the goods being transported, the vehicle transporting the goods, and any liability deriving therefrom, and (ii) goods in international transit; (b) reinsurance and retrocession; (c) services auxiliary to insurance as described in subparagraph (d) of the definition of “financial service” in Article 17.1 (Definitions); and (d) insurance intermediation such as brokerage and agency, as referred to in subparagraph (c) of the definition of “financial service” in Article 14.1 (Definitions) of insurance of risks related to services listed in subparagraphs (a) and (b) of this paragraph. Banking and Other Financial Services (excluding insurance) 2.</w:t>
      </w:r>
    </w:p>
    <w:p>
      <w:pPr>
        <w:pStyle w:val="Normal"/>
        <w:widowControl/>
        <w:rPr/>
      </w:pPr>
      <w:r>
        <w:rPr/>
        <w:t>Articles 17.3.3 (National Treatment) and 17.5.1 (Market Access) apply to the cross- border supply of or trade in financial services, as defined in subparagraphs (a) of the definition of “cross-border supply of financial services” in Article 17.1 (Definitions), with respect to: (a) the provision and transfer of financial information and financial data processing as described in subparagraph (o) of the definition of “financial service” in Article 14.1 (Definitions); 11 For greater certainty, Canada requires that a cross-border financial services supplier appoint a local agent in Canada that is provided with power of attorney. 17-A-1 (b) advisory and other auxiliary financial services, and credit reference and analysis, excluding intermediation, relating to banking and other financial services as described in subparagraph (p) of the definition of financial service” in Article 14.1 (Definitions); and (c) electronic payment services for payment card transactions falling within subparagraph (h) of the definition of “financial service” in Article 14.1 (Definitions), and within subcategory 71593 of the United Nations Central Product Classification, Version 3.9, and including only:</w:t>
      </w:r>
    </w:p>
    <w:p>
      <w:pPr>
        <w:pStyle w:val="Normal"/>
        <w:widowControl/>
        <w:rPr/>
      </w:pPr>
      <w:r>
        <w:rPr/>
        <w:t>(i) the processing of financial transactions, such as verification of financial balances, authorization of transactions, notification of banks (or credit card issuers) of individual transactions and provision of daily summaries and instructions regarding the net financial position of relevant institutions</w:t>
      </w:r>
    </w:p>
    <w:p>
      <w:pPr>
        <w:pStyle w:val="Normal"/>
        <w:widowControl/>
        <w:rPr/>
      </w:pPr>
      <w:r>
        <w:rPr/>
        <w:t>for authorized transactions, and (ii) those services that are provided on a business-to-business basis and use proprietary networks to process payment transactions, but not including the transfer of funds to and from transactors’ accounts.12 (d) the following services if they are provided to a collective investment scheme located in Canada: (i) investment advice, and (ii) portfolio management services, excluding: (A) trustee services, and (B) custodial services and execution services that are not related to managing a collective investment scheme. 3. For the purposes of paragraph 3, in Canada: (a) payment card means a “payment card” as defined under the Payment Card Networks Act as of January 1, 2015. For greater certainty, physical and electronic forms of credit and debit cards are included in the definition. For greater certainty, 12 Nothing in this subparagraph prevents a Party from adopting or maintaining measures to protect personal data, personal privacy, and the confidentiality of individual records and accounts, provided that these measures are not used to circumvent the commitments or obligations of this subparagraph.</w:t>
      </w:r>
    </w:p>
    <w:p>
      <w:pPr>
        <w:pStyle w:val="Normal"/>
        <w:widowControl/>
        <w:rPr/>
      </w:pPr>
      <w:r>
        <w:rPr/>
        <w:t>For greater certainty, nothing in this subparagraph prevents a Party from adopting or maintaining measures that regulate fees, such as interchange or switching fees, or that impose fees. 17-A-2 credit cards include pre-paid cards. (b) a collective investment scheme means, an “investment fund”13 as defined under the relevant Securities Act.</w:t>
      </w:r>
    </w:p>
    <w:p>
      <w:pPr>
        <w:pStyle w:val="Normal"/>
        <w:widowControl/>
        <w:rPr/>
      </w:pPr>
      <w:r>
        <w:rPr/>
        <w:t>13 In Canada, a financial institution organized in the territory of another Party can only provide custodial services to a collective investment scheme located in Canada if the financial institution has shareholders’ equity equivalent to at least $100 million. 17-A-3 Mexico Insurance and insurance-related services 1. Article 17.3.3 (National Treatment) and Article 17.5.1 (Market Access) shall apply to the cross-border supply of or trade in financial services, as defined in subparagraph (a) of the definition of “cross-border supply of financial services” in Article 17.1 (Definitions), with respect to: (a) insurance of risks relating to: (i) maritime shipping and commercial aviation, space launching and freight (including satellites), with such insurance to cover all or any of the following: the goods being transported; and the vehicle transporting the goods, when such vehicles have foreign registration or are property of persons domiciled abroad, and (ii) goods in international transit;</w:t>
      </w:r>
    </w:p>
    <w:p>
      <w:pPr>
        <w:pStyle w:val="Normal"/>
        <w:widowControl/>
        <w:rPr/>
      </w:pPr>
      <w:r>
        <w:rPr/>
        <w:t>(b) any other insurance of risks, if the person seeking to purchase the insurance demonstrates that none of the insurance companies authorized to operate in Mexico is able or deems convenient to enter into such insurance proposed to it; (c) reinsurance and retrocession; and (d) insurance intermediation, as referred to in subparagraph (c) of the definition of “financial service” in Article 17.1 (Definitions), and services auxiliary to insurance, as referred to in subparagraph (d) of the</w:t>
      </w:r>
    </w:p>
    <w:p>
      <w:pPr>
        <w:pStyle w:val="Normal"/>
        <w:widowControl/>
        <w:rPr/>
      </w:pPr>
      <w:r>
        <w:rPr/>
        <w:t>definition of “financial service” in Article 17.1 (Definitions), only in respect of insurance referred to in the section of Mexico in this Annex. Banking and other financial services (excluding insurance) 2. Article 17.3.3 (National Treatment) and Article 17.5.1 (Market Access) shall apply to the cross-border supply of or trade in financial services, as defined in subparagraph (a) of the definition of “cross-border supply of financial services” in Article 17.1 (Definitions), with respect to: (a) provision and transfer of financial information, and financial data processing and related software, as referred to in subparagraph (o) of the definition of “financial service” in Article 14.1 (Definitions); 17-A-4 (b) advisory and other auxiliary services,14 excluding intermediation, and credit reference and analysis, relating to banking and other financial services, as referred to in subparagraph (p) of the definition of “financial service” in Article 17.1 (Definitions); (c) the following services if they are provided to a collective investment scheme in Mexico: (i) investment advice, and (ii) portfolio management services, excluding:</w:t>
      </w:r>
    </w:p>
    <w:p>
      <w:pPr>
        <w:pStyle w:val="Normal"/>
        <w:widowControl/>
        <w:rPr/>
      </w:pPr>
      <w:r>
        <w:rPr/>
        <w:t>(A) trustee services, and (B) custodial services and execution services that are not related to managing a collective investment scheme; and (d) electronic payment services for payment card transactions falling within subparagraph (h) of the definition of “financial service” in Article 17.1 (Definitions), and within subcategory 71593 of the United</w:t>
      </w:r>
    </w:p>
    <w:p>
      <w:pPr>
        <w:pStyle w:val="Normal"/>
        <w:widowControl/>
        <w:rPr/>
      </w:pPr>
      <w:r>
        <w:rPr/>
        <w:t>Nations Central Product Classification, Version 3.9, and including only: (i) receiving and sending messages for: authorization requests, authorization responses (approvals or declines), stand-in authorizations, adjustments, refunds, returns, retrievals, charge backs and related administrative messages, (ii) calculation of fees and balances derived from transactions of acquirers and issuers, and receiving and sending messages related to this process to acquirers and issuers, and their agents and representatives, (iii) the provision of periodic reconciliation, summaries and instructions regarding the net financial position of acquirers and issuers, and their agents and representatives for approved transactions, (iv) value-added services related to the main processing activities referred to in subparagraphs (i), (ii), and (iii), such as fraud prevention and mitigation activities, and administration of loyalty programs, and 14 The Parties understand that advisory and other auxiliary financial services do not include those services referred to in subparagraphs (e) through (o) of the definition of “financial service” in Article 17.1 (Definitions). 17-A-5 (v) those services that are provided on a business-to-business basis and use proprietary networks to process payment transactions, as referenced in subparagraphs (i)-(iv), but not including the transfer of funds to and from transactors’ accounts.</w:t>
      </w:r>
    </w:p>
    <w:p>
      <w:pPr>
        <w:pStyle w:val="Normal"/>
        <w:widowControl/>
        <w:rPr/>
      </w:pPr>
      <w:r>
        <w:rPr/>
        <w:t>For Mexico, a payment card means a credit card, debit card, and reloadable card in physical form or electronic format, as defined under Mexican law.15 3. For the purposes of paragraph 2(b) and 2(c), in Mexico a collective investment scheme means the “Managing Companies of Investment Funds (Sociedades Operadoras de Fondos de Inversión)” established under the Investment Funds Law (Ley de Fondos de Inversión). A financial institution organized in the territory of another Party will only be authorized to provide portfolio management services to a collective investment scheme located in Mexico if it provides the same services in the territory of the Party where it is established. 15 Nothing in this subparagraph prevents a Party from adopting or maintaining measures to protect personal data, personal privacy, and the confidentiality of individual records and accounts, provided that these measures are not used to circumvent the commitments or obligations of this subparagraph. For greater certainty, nothing in this subparagraph prevents a Party from adopting or maintaining measures that regulate fees, such as interchange or switching fees, or that impose fees. 17-A-6 United States Insurance and insurance-related services 1.</w:t>
      </w:r>
    </w:p>
    <w:p>
      <w:pPr>
        <w:pStyle w:val="Normal"/>
        <w:keepNext w:val="true"/>
        <w:widowControl/>
        <w:rPr/>
      </w:pPr>
      <w:r>
        <w:rPr/>
        <w:t>Article 17.3.3 (National Treatment) and Article 17.5.1 (Market Access) shall apply to the cross-border supply of or trade in financial services, as defined in subparagraph (a) of the definition of “cross-border supply of financial services” in Article 17.1 (Definitions), with respect to: (a) insurance of risks relating to: (i) maritime shipping and commercial aviation and space launching and freight (including satellites), with that insurance to cover any or all of the following: the goods being transported, t he vehicle transporting the goods, and any liability arising therefrom, and (ii) goods in international transit; and (b) reinsurance and retrocession; services auxiliary to insurance, as referred to in subparagraph (d) of the definition of “financial service” in Article 17.1 (Definitions); and insurance intermediation, such as brokerage and agency, as referred to in subparagraph (c) of the definition of “financial service” in Article 17.1 (Definitions). Banking and other financial services (excluding insurance) 2.</w:t>
      </w:r>
    </w:p>
    <w:p>
      <w:pPr>
        <w:pStyle w:val="Normal"/>
        <w:keepNext w:val="true"/>
        <w:widowControl/>
        <w:rPr/>
      </w:pPr>
      <w:r>
        <w:rPr/>
        <w:t>Article 17.3.3 (National Treatment) and 17.5.1 (Market Access) shall apply to the cross- border supply of or trade in financial services, as defined in subparagraph (a) of the definition of “cross-border supply of financial services” in Article 17.1 (Definitions), with respect to: (a) provision and transfer of financial information, and financial data processing and related software, as referred to in subparagraph (o) of the definition of “financial service” in Article 17.1 (Definitions); (b) advisory and other auxiliary services, excluding intermediation, relating to banking and other financial services, as referred to in subparagraph (p) of the definition of “financial service” in Article 17.1 (Definitions); (c) investment advice to a collective investment scheme located in the Party’s territory;</w:t>
      </w:r>
    </w:p>
    <w:p>
      <w:pPr>
        <w:pStyle w:val="Normal"/>
        <w:widowControl/>
        <w:rPr/>
      </w:pPr>
      <w:r>
        <w:rPr/>
        <w:t>(d) portfolio management services, excluding (i) trustee services, and 17-A-7 (ii) custodial services and execution services that are not related to managing a collective investment scheme; and (e) electronic payment services for payment card transactions falling within subparagraph (h) of the definition of “financial service” in Article 17.1 (Definitions), and within subcategory 71593 of the United Nations Central Product Classification, Version 3.9, and including only: (i) the processing of financial transactions such as verification of financial balances, authorization of transactions, notification of banks (or credit card issuers) of individual transactions and provision of</w:t>
      </w:r>
    </w:p>
    <w:p>
      <w:pPr>
        <w:pStyle w:val="Normal"/>
        <w:widowControl/>
        <w:rPr/>
      </w:pPr>
      <w:r>
        <w:rPr/>
        <w:t>daily summaries and instructions regarding the net financial position of relevant institutions for authorized transactions, and (ii) those services that are provided on a business-to-business basis and use proprietary networks to process payment transactions, but not including the transfer of funds to and from transactors’ accounts. For the United States, a payment card means a credit card, charge card, debit card, check card, automated teller machine (ATM) card, prepaid card, and other physical or electronic products or services for performing similar functions as these cards, and the unique account number associated with that card, product, or service. 3. For the purposes of subparagraphs 2(c) and 2(d), for the United States, a collective investment scheme means an investment company registered with the Securities and Exchange Commission under the Investment Company Act of 1940. 17 16 Nothing in this subparagraph prevents a Party from adopting or maintaining measures to protect personal data, personal privacy, and the confidentiality of individual records and accounts, provided that these measures are not used to circumvent the commitments or obligations of this subparagraph.</w:t>
      </w:r>
    </w:p>
    <w:p>
      <w:pPr>
        <w:pStyle w:val="Normal"/>
        <w:widowControl/>
        <w:rPr/>
      </w:pPr>
      <w:r>
        <w:rPr/>
        <w:t>For greater certainty, nothing in this subparagraph prevents a Party from adopting or maintaining measures that regulate fees, such as interchange or switching fees, or that impose fees.</w:t>
      </w:r>
    </w:p>
    <w:p>
      <w:pPr>
        <w:pStyle w:val="Normal"/>
        <w:widowControl/>
        <w:rPr/>
      </w:pPr>
      <w:r>
        <w:rPr/>
        <w:t>17 Custodial services are included in the scope of the commitment made by the United States under this Annex only with respect to investments for which the primary market is outside the territory of the Party. 17-A-8</w:t>
      </w:r>
    </w:p>
    <w:p>
      <w:pPr>
        <w:pStyle w:val="Normal"/>
        <w:widowControl/>
        <w:rPr/>
      </w:pPr>
      <w:r>
        <w:rPr/>
        <w:t>ANNEX 17-B AUTHORITIES RESPONSIBLE FOR FINANCIAL SERVICES The authorities for each Party responsible for financial services are: (a) for Canada, the Department of Finance of Canada; (b) for Mexico, the Ministry of Finance and Public Credit (Secretaría de Hacienda y Crédito Público); and (c) for the United States, the Department of the Treasury for the purposes of Annex 17-C (Mexico-United States Investment Disputes in Financial Services) and for all matters involving banking, securities, and financial services other than insurance, and the Department of the Treasury, in cooperation with the Office of the U.S. Trade Representative, for insurance matters. 17-B-1</w:t>
      </w:r>
    </w:p>
    <w:p>
      <w:pPr>
        <w:pStyle w:val="Normal"/>
        <w:widowControl/>
        <w:rPr/>
      </w:pPr>
      <w:r>
        <w:rPr/>
        <w:t>ANNEX 17-C MEXICO-UNITED STATES INVESTMENT DISPUTES IN FINANCIAL SERVICES 1. Annex 14-D (Mexico-United States Investment Disputes) applies as modified by this Annex to the settlement of a qualifying investment dispute under this Chapter. 2. In the event that a disputing party considers that a qualifying investment dispute under this Chapter cannot be settled by consultation and negotiation: (a) the claimant, on its own behalf, may submit to arbitration under Annex 14-D a claim: (i) that the respondent has breached:</w:t>
      </w:r>
    </w:p>
    <w:p>
      <w:pPr>
        <w:pStyle w:val="Normal"/>
        <w:widowControl/>
        <w:rPr/>
      </w:pPr>
      <w:r>
        <w:rPr/>
        <w:t>(A) Article 17.3.1 (National Treatment), Article 17.3.2 (National Treatment), Article 17.4.1(a) (Most-Favored-Nation Treatment), Article 17.4.1(b) (Most-Favored-Nation Treatment), or Article 17.4.1(c) (Most-Favored-Nation Treatment)18 except with respect to the establishment or acquisition of an investment; or (B) Article 14.8 (Expropriation and Compensation) as incorporated into this Chapter under Article 17.2.2(a) (Scope), except with respect to indirect expropriation; and (ii) that the claimant has incurred loss or damage by reason of, or arising out of, that breach; and (b) the claimant, on behalf of a financial institution of the respondent that is a juridical person that the claimant owns or controls directly or indirectly, may submit to arbitration under Annex 14-D a claim: (i) that the respondent has breached: (A) Article 17.3.1 (National Treatment), Article 17.3.2 (National Treatment), Article 17.4.1(a) (Most-Favored-Nation Treatment), 18 For the purposes</w:t>
      </w:r>
    </w:p>
    <w:p>
      <w:pPr>
        <w:pStyle w:val="Normal"/>
        <w:widowControl/>
        <w:rPr/>
      </w:pPr>
      <w:r>
        <w:rPr/>
        <w:t>of this paragraph:(i) the “treatment” referred to in Article 17.4.1(a) (Most-Favored-Nation Treatment), Article 17.4.1(b) (Most-Favored-Nation Treatment), and Article 17.4.1(c) (Most-Favored-Nation Treatment) excludes provisions in other international trade or investment agreements that establish international dispute resolution procedures or impose substantive obligations; and (ii) the “treatment” referred to in these subparagraphs only encompasses measures adopted or maintained by the other Annex Party, which for greater clarity may include measures adopted in connection with the implementation of substantive obligations in other international trade or investment agreements. 17-C-1 Article 17.4.1(b) (Most-Favored-Nation Treatment), or Article 17.4.1(c) (Most-Favored-Nation Treatment), except with respect to the establishment or acquisition of an investment; or (B) Article 14.8 (Expropriation and Compensation) as incorporated into this Chapter under Article 17.2.2(a), except with respect to indirect expropriation; and (ii) that the financial institution has incurred loss or damage by reason of, or arising out of, that breach. 3.</w:t>
      </w:r>
    </w:p>
    <w:p>
      <w:pPr>
        <w:pStyle w:val="Normal"/>
        <w:widowControl/>
        <w:rPr/>
      </w:pPr>
      <w:r>
        <w:rPr/>
        <w:t>If an investor of an Annex Party submits a claim to arbitration under Annex 14-D (Mexico-United States Investment Disputes) as modified by this Annex: (a) the presiding arbitrator and the other arbitrators shall be selected so that the presiding arbitrator has expertise or experience in financial services law or practice such as the regulation of financial institutions, and, to the extent practicable, the other arbitrators have expertise or experience in financial services law or practice such as the regulation of financial institutions; and (b) the respondent shall endeavor to consult with its domestic financial regulatory authorities on the claim. 4. No claim shall be submitted to arbitration under Annex 14-D (Mexico-United States Investment Disputes) as modified by this Annex unless the conditions in Article 14.D.5.1 (Conditions and Limitations on Consent) of Annex 14-D (Mexico-United States Investment Disputes) are satisfied, except the relevant time period in subparagraph (b) is 18 months. 5.</w:t>
      </w:r>
    </w:p>
    <w:p>
      <w:pPr>
        <w:pStyle w:val="Normal"/>
        <w:widowControl/>
        <w:rPr/>
      </w:pPr>
      <w:r>
        <w:rPr/>
        <w:t>If an investor of an Annex Party submits a claim to arbitration under Annex 14-D (Mexico-United States Investment Disputes) as modified by this Annex, and the respondent invokes Article 17.11 (Exceptions) as a defense, the following provisions of this Article apply: (a) The respondent shall, no later than the date the tribunal fixes for the respondent to submit its counter-memorial, or in the case of an amendment to the notice of arbitration, the date the tribunal fixes for the respondent to submit its response to the amendment, submit in writing to the authorities responsible for financial services of the Annex Party of the claimant, as set out in Annex 17-B (Authorities Responsible for Financial Services), a request for a joint determination by the authorities of the respondent and the Annex Party of the claimant on the issue of whether and to what extent Article 17.11 (Exceptions) is a valid defense to the claim.</w:t>
      </w:r>
    </w:p>
    <w:p>
      <w:pPr>
        <w:pStyle w:val="Normal"/>
        <w:widowControl/>
        <w:rPr/>
      </w:pPr>
      <w:r>
        <w:rPr/>
        <w:t>(i) The respondent shall set out in the request the text of a proposed joint determination that specifies the claims to which it considers Article 17.11 17-C-2 (Exceptions) a valid defense. (ii) The respondent shall promptly provide the tribunal, if constituted, a copy of the request. (iii) The authorities of the Annex Party of the claimant shall notify the authorities of the respondent in writing that the request has been received.</w:t>
      </w:r>
    </w:p>
    <w:p>
      <w:pPr>
        <w:pStyle w:val="Normal"/>
        <w:widowControl/>
        <w:rPr/>
      </w:pPr>
      <w:r>
        <w:rPr/>
        <w:t>(iv) The arbitration may proceed with respect to the claim only as provided in subparagraph (g).19 (b) The authorities referred to in subparagraph (a) shall attempt in good faith to make a joint determination as described in that subparagraph within 120 days after the date of the written request for that determination. The authorities may, in extraordinary circumstances, agree to extend the date for a joint determination for up to 60 additional days. (c) The authorities of the Annex Party of the claimant shall notify the authorities of the respondent within 120 days after the date of the written request for a joint determination under subparagraph (a), or within the period agreed under subparagraph (b), whichever is longer, whether the authorities of the Annex Party of the claimant agree to the proposed joint determination submitted under subparagraph (a)(i), propose an alternative joint determination, or will not, for any reason, agree to a joint determination.</w:t>
      </w:r>
    </w:p>
    <w:p>
      <w:pPr>
        <w:pStyle w:val="Normal"/>
        <w:widowControl/>
        <w:rPr/>
      </w:pPr>
      <w:r>
        <w:rPr/>
        <w:t>(d) If the authorities of the Annex Party of the claimant make no notification under subparagraph (c), they shall be presumed to take a position that is consistent with that of the authorities of the respondent, and a joint determination shall deemed to be made regarding the issue of whether and to what extent Article 17.11 (Exceptions) is a valid defense to the claim as set out in the proposed joint determination submitted under subparagraph (a)(i).</w:t>
      </w:r>
    </w:p>
    <w:p>
      <w:pPr>
        <w:pStyle w:val="Normal"/>
        <w:widowControl/>
        <w:rPr/>
      </w:pPr>
      <w:r>
        <w:rPr/>
        <w:t>(e) Any joint determination made or deemed to be made shall be transmitted promptly to the disputing parties, the Committee and, if constituted, to the tribunal. The joint determination shall be binding on the tribunal and any decision or award issued by the tribunal must be consistent with that determination. (f) If the authorities referred to in subparagraph (a), within 120 days after the date of the written request for a joint determination under subparagraph (a) or within the 19 The term “joint determination” as used in this subparagraph refers to a determination by the authorities responsible for financial services of the respondent and of the Annex Party of the claimant, as set out in Annex 17-B (Authorities Responsible for Financial Services). 17-C-3 date agreed under subparagraph (b), whichever is longer, have not made a determination as described in subparagraph (a), the tribunal shall decide the issue left unresolved by the authorities.</w:t>
      </w:r>
    </w:p>
    <w:p>
      <w:pPr>
        <w:pStyle w:val="Normal"/>
        <w:widowControl/>
        <w:rPr/>
      </w:pPr>
      <w:r>
        <w:rPr/>
        <w:t>(i) The tribunal shall draw no inference regarding the application of Article 17.11 (Exceptions) from the fact that the competent authorities have not made a determination as described in subparagraph (a). (ii) The Annex Party of the claimant may make oral and written submissions to the tribunal regarding the issue of whether and to what extent Article 17.11 (Exceptions) is a valid defense to the claim.</w:t>
      </w:r>
    </w:p>
    <w:p>
      <w:pPr>
        <w:pStyle w:val="Normal"/>
        <w:widowControl/>
        <w:rPr/>
      </w:pPr>
      <w:r>
        <w:rPr/>
        <w:t>Unless it makes such a submission, the Annex Party of the claimant shall be presumed, for purposes of the arbitration, to take a position on Article 17.11 (Exceptions) not inconsistent with that of the respondent. (g) The arbitration referred to in subparagraph (a) may proceed with respect to the claim: (i) 10 days after the date a joint determination under subparagraph (a) has been received by the disputing parties and, if constituted, the tribunal; or (ii) 10 days after the expiration of the 120-day period following the request for a joint determination under subparagraph (a) or the expiration of the period agreed under subparagraph (b), whichever is longer.</w:t>
      </w:r>
    </w:p>
    <w:p>
      <w:pPr>
        <w:pStyle w:val="Normal"/>
        <w:widowControl/>
        <w:rPr/>
      </w:pPr>
      <w:r>
        <w:rPr/>
        <w:t>(h) On the request of the respondent made within 30 days after the expiration of the 120-day period following the request for a joint determination under subparagraph (a), or within 30 days after the expiration of the period agreed under subparagraph (b), whichever is longer, or, if the tribunal has not been constituted as of the expiration of the 120-day or the period agreed under subparagraph (b), within 30 days after the tribunal is constituted, the tribunal shall address and decide the issue or issues left unresolved by the authorities as referred to in subparagraph (c) prior to deciding the merits of the claim for which Article 17.11 (Exceptions) has been invoked by the respondent as a defense.</w:t>
      </w:r>
    </w:p>
    <w:p>
      <w:pPr>
        <w:pStyle w:val="Normal"/>
        <w:widowControl/>
        <w:rPr/>
      </w:pPr>
      <w:r>
        <w:rPr/>
        <w:t>Failure of the respondent to make that request is without prejudice to the right of the respondent to invoke Article 17.11 (Exceptions) as a defense at any appropriate phase of the arbitration. 6. If a respondent asserts that the measure alleged to be a breach is within the scope of a non conforming measure set out in the responding Party’s Schedule to Annex III, Article 10 of Annex 14-D (Mexico-United States Investment Disputes) shall apply to any request of the respondent for an interpretation of the Commission on the issue. 17-C-4</w:t>
      </w:r>
    </w:p>
    <w:p>
      <w:pPr>
        <w:pStyle w:val="Normal"/>
        <w:widowControl/>
        <w:rPr/>
      </w:pPr>
      <w:r>
        <w:rPr/>
        <w:t>ANNEX 17-D LOCATION OF COMPUTING FACILITIES Article 17.18 (Location of Computing Facilities) does not apply to existing measures of Canada for one year after the entry into force of this Agreement. 17-D-1</w:t>
      </w:r>
      <w:r>
        <w:br w:type="page"/>
      </w:r>
    </w:p>
    <w:p>
      <w:bookmarkStart w:id="1092" w:name="_NAESTMA_TOC_1092"/>
      <w:pPr>
        <w:pStyle w:val="Heading1"/>
        <w:keepNext/>
        <w:keepLines w:val="0"/>
        <w:pageBreakBefore/>
        <w:widowControl/>
        <w:rPr/>
      </w:pPr>
      <w:bookmarkStart w:id="61" w:name="_Toc237912538"/>
      <w:r>
        <w:rPr/>
        <w:t>CHAPTER 18 TELECOMMUNICATIONS</w:t>
      </w:r>
      <w:bookmarkEnd w:id="61"/>
      <w:bookmarkEnd w:id="1092"/>
    </w:p>
    <w:p>
      <w:pPr>
        <w:pStyle w:val="Normal"/>
        <w:widowControl/>
        <w:rPr/>
      </w:pPr>
      <w:r>
        <w:rPr/>
        <w:t>Article 18.1: Definitions For the purposes of this Chapter: cost-oriented means based on cost, and may include a reasonable profit, and may involve different cost methodologies for different facilities or services; dialing parity means the ability of an end-user to use an equal number of digits to access a particular public telecommunications service, regardless of which public telecommunications services supplier the end-user chooses; end-user means a final consumer of or subscriber to a public telecommunications service, including a service supplier other than a supplier of public telecommunications services; enterprise means an enterprise as defined in Article 1.4 (General Definitions) and a branch of an enterprise; essential facilities means facilities of a public telecommunications network or service that:</w:t>
      </w:r>
    </w:p>
    <w:p>
      <w:pPr>
        <w:pStyle w:val="Normal"/>
        <w:widowControl/>
        <w:rPr/>
      </w:pPr>
      <w:r>
        <w:rPr/>
        <w:t>(a) are exclusively or predominantly provided by a single or limited number of suppliers; and (b) cannot feasibly be economically, or technically substituted in order to supply a service; interconnection means linking suppliers providing public telecommunications services in order to allow a user of one supplier to communicate with a user of another supplier and to access services provided by another supplier; leased circuit means a telecommunications facility between two or more designated points that is set aside for the dedicated use of, or availability to, a user and supplied by a supplier of a fixed telecommunications service; license means any authorization that</w:t>
      </w:r>
    </w:p>
    <w:p>
      <w:pPr>
        <w:pStyle w:val="Normal"/>
        <w:widowControl/>
        <w:rPr/>
      </w:pPr>
      <w:r>
        <w:rPr/>
        <w:t>a Party may require of a person, in accordance with its laws and regulations, in order for that person to offer a telecommunications service, including concessions, permits or registrations; major supplier means a supplier of public telecommunications services that has the ability to materially affect the terms of participation (having regard to price and supply) in the relevant market for public telecommunications services as a result of:</w:t>
      </w:r>
    </w:p>
    <w:p>
      <w:pPr>
        <w:pStyle w:val="Normal"/>
        <w:widowControl/>
        <w:rPr/>
      </w:pPr>
      <w:r>
        <w:rPr/>
        <w:t>(a) control over essential facilities; or (b) use of its position in the market1 mobile service means a public telecommunications service supplied through mobile wireless means; network element means a facility or equipment used in supplying a fixed public telecommunications service, including features, functions and capabilities provided by means of that facility or equipment; non-discriminatory means according treatment no less favorable than that accorded to another user of like public telecommunications services in like circumstances, including with respect to timeliness; number portability means the ability of a n end-user of public telecommunications services to retain the same telephone numbers when switching between suppliers of public telecommunications services; physical co-location means physical access to and control over space in order to install, maintain or repair equipment, at premises owned or controlled and used by a major supplier to provide public telecommunications services; public telecommunications network means</w:t>
      </w:r>
    </w:p>
    <w:p>
      <w:pPr>
        <w:pStyle w:val="Normal"/>
        <w:widowControl/>
        <w:rPr/>
      </w:pPr>
      <w:r>
        <w:rPr/>
        <w:t>telecommunications infrastructure used to provide public telecommunications services between defined network termination points; public telecommunications service means a telecommunications service that a Party requires, explicitly or in effect, to be offered to the public generally that typically involves the transmission of customer-supplied information between two or more points without an end-to-end change in the form or content of the customer’s information. This service may include telephone and data transmission; reference interconnection offer means an interconnection offer extended by a major supplier and filed with, approved by or determined by a telecommunications regulatory body that sufficiently details the terms, rates, and conditions for interconnection so that a supplier of a public telecommunications service that is willing to accept it may obtain interconnection For Mexico, a major supplier includes a preponderant economic agent deemed as such by virtue of its national share in the supply of telecommunication services, when it directly or indirectly holds more than fifty percent national share. This percentage shall be measured either by the number of users, subscribers, traffic on their networks or the utilized capacity of said networks, according to the information held by the Federal Telecommunications Institute.</w:t>
      </w:r>
    </w:p>
    <w:p>
      <w:pPr>
        <w:pStyle w:val="Normal"/>
        <w:widowControl/>
        <w:rPr/>
      </w:pPr>
      <w:r>
        <w:rPr/>
        <w:t>with the major supplier on that basis, without having to engage in negotiations with the major supplier concerned; roaming service means a mobile service provided pursuant to an agreement between suppliers of public telecommunications services that enables an end-user to use their mobile handset or other device for voice, data, or messaging services while outside the home public telecommunications network of the mobile handset or other device; telecommunications means the transmission and reception of signals by any electromagnetic means; telecommunications regulatory body means a body or bodies responsible for the regulation of telecommunications; user means a service consumer or a service supplier; value-added service means a telecommunications service employing a computer processing application that: (a) acts on the format, content, code, protocol or similar aspects of a customer’s transmitted information; (b) provides a customer with additional, different or restructured information; or (c) involves customer interaction with stored information; and virtual co-location means an arrangement whereby a requesting supplier that seeks co- location may specify equipment to be used in the premises of a major supplier but does not obtain physical access to those premises and allows the major supplier to install, maintain, and repair that equipment.</w:t>
      </w:r>
    </w:p>
    <w:p>
      <w:pPr>
        <w:pStyle w:val="Normal"/>
        <w:keepNext w:val="true"/>
        <w:widowControl/>
        <w:rPr/>
      </w:pPr>
      <w:r>
        <w:rPr/>
        <w:t>Article 18.2: Scope 1. This Chapter applies to a measure affecting trade in telecommunications services, including: (a) a measure relating to access to and use of public telecommunications networks or services; (b) a measure relating to obligations of suppliers of public telecommunications services; (c) a measure relating to the supply of value-added services; and (d) any other measure relating to public telecommunications networks or services. 2. This Chapter does not apply to a measure relating to broadcast or cable distribution of radio or television programming, except to ensure that an enterprise operating a broadcast station or cable system has continued access to and use of public telecommunications networks and services, as provided under Article 18.3 (Access and Use).2 3. Nothing in this Chapter shall be construed to require a Party:</w:t>
      </w:r>
    </w:p>
    <w:p>
      <w:pPr>
        <w:pStyle w:val="Normal"/>
        <w:widowControl/>
        <w:rPr/>
      </w:pPr>
      <w:r>
        <w:rPr/>
        <w:t>(a) to establish, construct, acquire, lease, operate, or provide a telecommunications network or service not offered to the public generally, or require a Party to compel an enterprise to do so; or (b) to compel an enterprise exclusively engaged in the broadcast or cable distribution of radio or television programming to make available its broadcast or cable facilities as a public telecommunications network. 4. Annex 18-A (Rural Telephone Suppliers) includes additional provisions relating to the scope of this Chapter.</w:t>
      </w:r>
    </w:p>
    <w:p>
      <w:pPr>
        <w:pStyle w:val="Normal"/>
        <w:keepNext w:val="true"/>
        <w:widowControl/>
        <w:rPr/>
      </w:pPr>
      <w:r>
        <w:rPr/>
        <w:t>Article 18.3: Access and Use 1. Each Party shall ensure that any enterprise of another Party has access to and use of any public telecommunications network or service, including leased circuits, offered in its territory or across its borders, on reasonable and non-discriminatory terms and conditions. This obligation shall be applied, inter alia, to paragraphs 2 through 6.3 2. Each Party shall ensure that any enterprise of another Party is permitted to: (a) purchase or lease, and attach terminal or other equipment that interfaces with a public telecommunications network; (b) provide services to individual or multiple end-users over leased or owned circuits; 2 For greater certainty, to the extent that a services supplier engaged in the broadcast or cable distribution of radio or television programming is also engaged in the supply of public telecommunications services, measures relating to the supply of those public telecommunications by that services supplier are covered by this Chapter.</w:t>
      </w:r>
    </w:p>
    <w:p>
      <w:pPr>
        <w:pStyle w:val="Normal"/>
        <w:widowControl/>
        <w:rPr/>
      </w:pPr>
      <w:r>
        <w:rPr/>
        <w:t>3 For greater certainty, this Article does not prohibit any Party from requiring an enterprise to obtain a license to supply a public telecommunications service within its territory. (c) connect leased or owned circuits with public telecommunications networks and services or with circuits leased or owned by another enterprise; (d) perform switching, signaling, processing, and conversion functions; and (e) use operating protocols of its choice. 3.</w:t>
      </w:r>
    </w:p>
    <w:p>
      <w:pPr>
        <w:pStyle w:val="Normal"/>
        <w:widowControl/>
        <w:rPr/>
      </w:pPr>
      <w:r>
        <w:rPr/>
        <w:t>Each Party shall ensure that any enterprise of another Party may use public telecommunications networks or services for the movement of information in its territory or across its borders, including for intra-corporate communications, and to access information contained in databases or otherwise stored in machine-readable form in the territory of a Party. 4. Notwithstanding paragraph 3, a Party may take measures necessary to ensure the security and confidentiality of messages or to protect the privacy of personal data of end-users of public telecommunications networks or services, provided that those measures are not applied in a manner that would constitute a means of arbitrary or unjustifiable discrimination or disguised restriction on trade in services. 5. Each Party shall ensure that no condition is imposed on access to and use of public telecommunications networks and services, other than as necessary to: (a) safeguard the public service responsibilities of suppliers of public telecommunications networks and services, in particular their ability to make their networks or services available to the public generally; or (b) protect the technical integrity of public telecommunications networks or services. 6.</w:t>
      </w:r>
    </w:p>
    <w:p>
      <w:pPr>
        <w:pStyle w:val="Normal"/>
        <w:widowControl/>
        <w:rPr/>
      </w:pPr>
      <w:r>
        <w:rPr/>
        <w:t>Provided that the conditions for access to and use of public telecommunications networks and services satisfy the criteria set out in paragraph 5, those conditions may include: (a) a requirement to use a specified technical interface, including an interface protocol, for connection with those networks or services; (b) a requirement, if necessary, for the interoperability of those networks and services; (c) type approval of terminal or other equipment that interfaces with the network and technical requirements relating to the attachment of that equipment to those networks; and (d) notification, registration, and licensing which, if adopted or maintained, is transparent and provides for processing applications filed thereunder in accordance with a Party’s laws or regulations.</w:t>
      </w:r>
    </w:p>
    <w:p>
      <w:pPr>
        <w:pStyle w:val="Normal"/>
        <w:keepNext w:val="true"/>
        <w:widowControl/>
        <w:rPr/>
      </w:pPr>
      <w:r>
        <w:rPr/>
        <w:t>Article 18.4: Obligations Relating to Suppliers of Public Telecommunications Services Interconnection 1. Each Party shall ensure that a supplier of public telecommunications services in its territory provides, directly or indirectly within its territory, interconnection with a supplier of public telecommunications services of another Party. 2. Each Party shall provide its telecommunications regulatory body with the authority to require interconnection at reasonable rates. 3. Further to paragraph 1, each Party shall ensure that a supplier of public telecommunications services in its territory takes reasonable steps to protect the confidentiality of commercially sensitive information of, or relating to, suppliers and end-users of public telecommunications services obtained as a result of interconnection arrangements and only uses that information for the purpose of providing these services. Resale 4. No Party shall prohibit the resale of a public telecommunications service. Roaming 5. No Party shall prohibit a supplier of public telecommunications services from entering into an agreement to provide roaming services, including an agreement to provide roaming services to devices that is not limited to a transient presence in a Party’s territory. Number Portability 6.</w:t>
      </w:r>
    </w:p>
    <w:p>
      <w:pPr>
        <w:pStyle w:val="Normal"/>
        <w:widowControl/>
        <w:rPr/>
      </w:pPr>
      <w:r>
        <w:rPr/>
        <w:t>Each Party shall ensure that a supplier of public telecommunications services in its territory provides number portability without impairment to quality and reliability, on a timely basis, and on reasonable and non-discriminatory terms and conditions.4 Dialing Parity 4 With respect to Mexico, this obligation shall apply only to end-users switching suppliers within the same category of service until such time as Mexico determines, pursuant to periodic review, that it is economically and technically feasible to implement number portability without that restriction. With respect to the United States and Canada, this obligation is limited to the ability of end-users to retain at the same location the same telephone numbers, until such time as the Party determines, pursuant to periodic review, that it is economically and technically feasible to implement number portability without that restriction in its territory. 7. Each Party shall ensure that a supplier of public telecommunications services in its territory provides dialing parity within the same category of service to suppliers of public telecommunications services of another Party.5 Access to Numbers 8.</w:t>
      </w:r>
    </w:p>
    <w:p>
      <w:pPr>
        <w:pStyle w:val="Normal"/>
        <w:widowControl/>
        <w:rPr/>
      </w:pPr>
      <w:r>
        <w:rPr/>
        <w:t>Each Party shall ensure that a supplier of public telecommunications services of another Party established in its territory is afforded access to telephone numbers on a non-discriminatory basis.</w:t>
      </w:r>
    </w:p>
    <w:p>
      <w:pPr>
        <w:pStyle w:val="Normal"/>
        <w:keepNext w:val="true"/>
        <w:widowControl/>
        <w:rPr/>
      </w:pPr>
      <w:r>
        <w:rPr/>
        <w:t>Article 18.5: Treatment by Major Suppliers of Public Telecommunications Services Each Party shall ensure that a major supplier in its territory accords a supplier of public telecommunications services of another Party treatment no less favorable than that major supplier accords in like circumstances to itself, its subsidiaries, its affiliates, or non-affiliated service suppliers regarding: (a) the availability, provisioning, rates, or quality of like public telecommunications services; and (b) the availability of technical interfaces necessary for interconnection.</w:t>
      </w:r>
    </w:p>
    <w:p>
      <w:pPr>
        <w:pStyle w:val="Normal"/>
        <w:keepNext w:val="true"/>
        <w:widowControl/>
        <w:rPr/>
      </w:pPr>
      <w:r>
        <w:rPr/>
        <w:t>Article 18.6: Competitive Safeguards 1. Each Party shall maintain appropriate measures for the purpose of preventing suppliers of public telecommunications services that, alone or together, are a major supplier in its territory from engaging in or continuing anti-competitive practices.6 2. The anti-competitive practices referred to in paragraph 1 include in particular: (a) engaging in anti-competitive cross-subsidization; 5 For greater certainty, this paragraph shall not be construed to apply to pre-subscribed long distance service. 6 Mexico reaffirms the principles underlying the Decree amending and supplementing certain provisions of the Articles 6, 7, 27, 28, 73, 78, 94 and 105 of Mexico’s Constitution (Constitución Política de los Estados Unidos Mexicanos), in telecommunications, Diario Oficial de la Federación, June 11, 2013 and, as set out therein, shall impose on a major supplier the necessary measures to prevent impairment of competition. For Mexico, any changes to the measures concerning the rates, terms, and conditions of access to and use of the networks, facilities, and services of a major supplier shall be consistent with the objective of advancing effective competition and preventing monopolistic practices and shall not impair the conditions of competition in the corresponding market.</w:t>
      </w:r>
    </w:p>
    <w:p>
      <w:pPr>
        <w:pStyle w:val="Normal"/>
        <w:widowControl/>
        <w:rPr/>
      </w:pPr>
      <w:r>
        <w:rPr/>
        <w:t>(b) using information obtained from competitors with anti-competitive results; and (c) not making available, on a timely basis, to suppliers of public telecommunications services, technical information about essential facilities and commercially relevant information that are necessary for them to provide services.</w:t>
      </w:r>
    </w:p>
    <w:p>
      <w:pPr>
        <w:pStyle w:val="Normal"/>
        <w:keepNext w:val="true"/>
        <w:widowControl/>
        <w:rPr/>
      </w:pPr>
      <w:r>
        <w:rPr/>
        <w:t>Article 18.7: Resale7 Each Party shall ensure that a major supplier in its territory does not impose unreasonable or discriminatory conditions or limitations on the resale of its public telecommunications services.</w:t>
      </w:r>
    </w:p>
    <w:p>
      <w:pPr>
        <w:pStyle w:val="Normal"/>
        <w:keepNext w:val="true"/>
        <w:widowControl/>
        <w:rPr/>
      </w:pPr>
      <w:r>
        <w:rPr/>
        <w:t>Article 18.8: Unbundling of Network Elements Each Party shall provide its telecommunications regulatory body with the authority to require a major supplier in its territory to offer public telecommunications service suppliers access to network elements on an unbundled basis on terms and conditions, and at cost-oriented rates, that are reasonable, non-discriminatory, and transparent for the supply of public telecommunications services. A Party may determine, in accordance with its laws and regulations, the network elements required to be made available in its territory, and the suppliers that may obtain those elements.</w:t>
      </w:r>
    </w:p>
    <w:p>
      <w:pPr>
        <w:pStyle w:val="Normal"/>
        <w:keepNext w:val="true"/>
        <w:widowControl/>
        <w:rPr/>
      </w:pPr>
      <w:r>
        <w:rPr/>
        <w:t>Article 18.9: Interconnection with Major Suppliers General Terms and Conditions 1. Each Party shall ensure that a major supplier in its territory provides interconnection for the facilities and equipment of suppliers of public telecommunications services of another Party: (a) at any technically feasible point in the major supplier’s network; (b) under non-discriminatory terms, conditions (including technical standards and specifications), and rates; (c) of a quality no less favorable than that provided by the major supplier for its own like services, for like services of non-affiliated service suppliers, or for its subsidiaries or other affiliates; 7 For the purposes of this Article, a supplier of mobile services in a Party’s territory is not a major supplier unless a Party determines that the supplier meets the definition of “major supplier” set out in Article 18.1 (Definitions).</w:t>
      </w:r>
    </w:p>
    <w:p>
      <w:pPr>
        <w:pStyle w:val="Normal"/>
        <w:widowControl/>
        <w:rPr/>
      </w:pPr>
      <w:r>
        <w:rPr/>
        <w:t>(d) in a timely manner, on terms and conditions (including technical standards and specifications), and at cost-oriented rates, that are transparent, reasonable, having regard to economic feasibility, and sufficiently unbundled so that the suppliers do not have to pay for network components or facilities that they do not require for the service to be provided; and (e) on request, at points in addition to the network termination points made generally available to users, subject to charges that reflect the cost of construction of necessary additional facilities.</w:t>
      </w:r>
    </w:p>
    <w:p>
      <w:pPr>
        <w:pStyle w:val="Normal"/>
        <w:widowControl/>
        <w:rPr/>
      </w:pPr>
      <w:r>
        <w:rPr/>
        <w:t>Options for Interconnecting with Major Suppliers 2. Each Party shall ensure that a major supplier in its territory provides suppliers of public telecommunications services of another Party the opportunity to interconnect their facilities and equipment with those of the major supplier through: (a) a reference interconnection offer containing the rates, terms, and conditions that the major supplier offers generally to suppliers of public telecommunications services; or (b) the terms and conditions of an interconnection agreement in effect. 3. In addition to the options provided in paragraph 2, each Party shall ensure that suppliers of public telecommunications services of another Party have the opportunity to interconnect their facilities and equipment with those of the major supplier through the negotiation of a new interconnection agreement. Public Availability of Interconnection Offers and Agreements 4. Each Party shall make publicly available the applicable procedures for interconnection negotiations with a major supplier in its territory. 5. Each Party shall provide means for suppliers of another Party to obtain the rates, terms, and conditions necessary for interconnection offered by a major supplier.</w:t>
      </w:r>
    </w:p>
    <w:p>
      <w:pPr>
        <w:pStyle w:val="Normal"/>
        <w:widowControl/>
        <w:rPr/>
      </w:pPr>
      <w:r>
        <w:rPr/>
        <w:t>Those means include, at a minimum, ensuring the public availability of: (a) rates, terms and conditions for interconnection with a major supplier set by the telecommunications regulatory body; (b) interconnection agreements that are in effect between a major supplier in its territory and other suppliers of public telecommunications services in its territory; and (c) any reference interconnection offer.</w:t>
      </w:r>
    </w:p>
    <w:p>
      <w:pPr>
        <w:pStyle w:val="Normal"/>
        <w:keepNext w:val="true"/>
        <w:widowControl/>
        <w:rPr/>
      </w:pPr>
      <w:r>
        <w:rPr/>
        <w:t>Article 18.10: Provisioning and Pricing of Leased Circuits Services 1. Each Party shall ensure that a major supplier in its territory provides service suppliers of another Party leased circuits services that are public telecommunications services in a reasonable period of time on terms and conditions, and at rates, that are reasonable and non-discriminatory, and based on a generally available offer. 2. Further to paragraph 1, each Party shall provide its telecommunications regulatory body with the authority to require a major supplier in its territory to offer leased circuits services that are public telecommunications services to service suppliers of another Party at capacity-based, cost-oriented prices.</w:t>
      </w:r>
    </w:p>
    <w:p>
      <w:pPr>
        <w:pStyle w:val="Normal"/>
        <w:keepNext w:val="true"/>
        <w:widowControl/>
        <w:rPr/>
      </w:pPr>
      <w:r>
        <w:rPr/>
        <w:t>Article 18.11: Co-Location8 1. Subject to paragraphs 2 and 3, each Party shall ensure that a major supplier in its territory provides to suppliers of public telecommunications services of another Party in the Party’s territory physical co-location of equipment necessary for interconnection or access to unbundled network elements based on a generally available offer, on a timely basis, and on terms and conditions and at cost-oriented rates, that are reasonable, non-discriminatory, and transparent. 2. Where physical co-location is not practical for technical reasons or because of space limitations, each Party shall ensure that a major supplier in its territory provides an alternative solution, such as virtual co-location or some other arrangement that facilitates interconnection or access to unbundled network elements, based on a generally available offer, on a timely basis, and on terms and conditions, and at cost-oriented rates, that are reasonable, non-discriminatory, and transparent. 3. A Party may determine, in accordance with its laws and regulations, which premises owned or controlled by major suppliers in its territory are subject to paragraphs 1 and 2.</w:t>
      </w:r>
    </w:p>
    <w:p>
      <w:pPr>
        <w:pStyle w:val="Normal"/>
        <w:widowControl/>
        <w:rPr/>
      </w:pPr>
      <w:r>
        <w:rPr/>
        <w:t>If a Party makes this determination, it shall take into account factors such as the state of competition in the market where co-location is required, whether those premises can be substituted in an economically or technically feasible manner in order to provide a competing service, or other specified public interest factors. 8 For the purposes of this Article, a supplier of mobile services in a Party’s territory is not a major supplier unless a Party determines that the supplier meets the definition of “major supplier” set out in Article 18.1 (Definitions). 4. Even if a Party does not require that a major supplier offer co-location at certain premises, it shall allow a service supplier to request that those premises be offered for co- location consistent with paragraph 1, without prejudice to the Party’s decision on that request.</w:t>
      </w:r>
    </w:p>
    <w:p>
      <w:pPr>
        <w:pStyle w:val="Normal"/>
        <w:keepNext w:val="true"/>
        <w:widowControl/>
        <w:rPr/>
      </w:pPr>
      <w:r>
        <w:rPr/>
        <w:t>Article 18.12: Access to Poles, Ducts, Conduits, and Rights-of-Way9 Each Party shall ensure that a major supplier in its territory provides access, subject to technical feasibility, to poles, ducts, conduits, rights-of-way, and any other structures as determined by the Party, owned or controlled by the major supplier, to suppliers of public telecommunications services of another Party in the Party’s territory on a timely basis, on terms and conditions and at rates, that are reasonable, non-discriminatory, and transparent.</w:t>
      </w:r>
    </w:p>
    <w:p>
      <w:pPr>
        <w:pStyle w:val="Normal"/>
        <w:keepNext w:val="true"/>
        <w:widowControl/>
        <w:rPr/>
      </w:pPr>
      <w:r>
        <w:rPr/>
        <w:t>Article 18.13: Submarine Cable Systems Each Party shall ensure that a major supplier that controls international submarine cable landing stations in the Party’s territory for which there are no economically or technically feasible alternatives provides access to those landing stations consistent with Article 18.9 (Interconnection with Major Suppliers), Article 18.10 (Provisioning and Pricing of Leased Circuits Services), and Article 18.11 (Co-Location), to public telecommunications suppliers of another Party.10</w:t>
      </w:r>
    </w:p>
    <w:p>
      <w:pPr>
        <w:pStyle w:val="Normal"/>
        <w:keepNext w:val="true"/>
        <w:widowControl/>
        <w:rPr/>
      </w:pPr>
      <w:r>
        <w:rPr/>
        <w:t>Article 18.14: Conditions for the Supply of Value-Added Services11 1. The Parties recognize the importance of value-added services to innovation, competition, and consumer welfare. If a Party engages in direct regulation of value-added services, it should not impose on a supplier of value-added services requirements applicable to a supplier of public telecommunications services without due consideration of the legitimate public policy objectives, the technical feasibility of the requirements, and the characteristics of the value- added services at issue. 2. Further to paragraph 1, each Party shall: 9 For the purposes of this Article, a supplier of mobile services in a Party’s territory is not a major supplier unless a Party determines that the supplier meets the definition of “major supplier” set out in Article 18.1 (Definitions). 10 Mexico, based on its evaluation of the state of competition of the Mexican submarine cable systems market, has not applied major supplier-related measures to submarine cable landing stations pursuant to this Article. 11 For greater certainty, this Article should not be understood to reflect a Party’s view on whether a service should be categorized as a value-added service or a public telecommunications service.</w:t>
      </w:r>
    </w:p>
    <w:p>
      <w:pPr>
        <w:pStyle w:val="Normal"/>
        <w:widowControl/>
        <w:rPr/>
      </w:pPr>
      <w:r>
        <w:rPr/>
        <w:t>(a) ensure that: (i) any licensing, permit, registration, or notification procedure that it adopts or maintains relating to the supply of value-added services is transparent and non-discriminatory, and that applications filed thereunder are processed expeditiously, and (ii) information required under that procedure is limited to that necessary to demonstrate that the applicant has the financial solvency to begin providing services or to assess conformity of the applicant’s terminal or other equipment with the Party’s applicable standards or technical regulations, and (b) not require an enterprise in its territory that supplies value-added services to: (i) supply those services to the public generally, (ii) cost-justify its rates for those services, (iii) file a tariff for those services, (iv) connect its networks with a particular customer or network for the supply of those services or (v) conform with a particular standard or technical regulation of the telecommunications regulatory body for connecting to any other network, other than a public telecommunications network. 3.</w:t>
      </w:r>
    </w:p>
    <w:p>
      <w:pPr>
        <w:pStyle w:val="Normal"/>
        <w:widowControl/>
        <w:rPr/>
      </w:pPr>
      <w:r>
        <w:rPr/>
        <w:t>Notwithstanding paragraphs 2(a)(ii) and 2(b), a Party may take the actions described in paragraphs 2(a)(ii) and 2(b) to remedy a practice of a supplier of value-added services that the Party has found in a particular case to be anticompetitive under its law, or to otherwise promote competition or safeguard the interests of consumers.</w:t>
      </w:r>
    </w:p>
    <w:p>
      <w:pPr>
        <w:pStyle w:val="Normal"/>
        <w:keepNext w:val="true"/>
        <w:widowControl/>
        <w:rPr/>
      </w:pPr>
      <w:r>
        <w:rPr/>
        <w:t>Article 18.15: Flexibility in the Choice of Technology 1. No Party shall prevent a supplier of public telecommunications services from choosing the technologies it wishes to use to supply its services, subject to requirements necessary to satisfy legitimate public policy interests, provided that any measure restricting that choice is not prepared, adopted, or applied in a manner that creates an unnecessary obstacle to trade. 2. For greater certainty, if a Party adopts a measure restricting choice referred to in paragraph 1, it shall do so consistent with Article 18.24 (Transparency).</w:t>
      </w:r>
    </w:p>
    <w:p>
      <w:pPr>
        <w:pStyle w:val="Normal"/>
        <w:keepNext w:val="true"/>
        <w:widowControl/>
        <w:rPr/>
      </w:pPr>
      <w:r>
        <w:rPr/>
        <w:t>Article 18.16: Approaches to Regulation 1. The Parties recognize the value of competitive markets to deliver a wide choice in the supply of telecommunications services and to enhance consumer welfare, and that economic regulation may not be needed if there is effective competition or if a service is new to a market. Accordingly, the Parties recognize that regulatory needs and approaches differ by market, and that each Party may determine how to implement its obligations under this Chapter. 2. In this respect, the Parties recognize that a Party may: (a) engage in direct regulation either in anticipation of an issue that the Party expects may arise or to resolve an issue that has arisen in the market; (b) rely on the role of market forces, particularly with respect to market segments that are, or are likely to be, competitive or that have low barriers to entry, such as services provided by telecommunications suppliers that do not own network facilities;12 or (c) use other appropriate means that benefit the long-term interest of end-users. 3.</w:t>
      </w:r>
    </w:p>
    <w:p>
      <w:pPr>
        <w:pStyle w:val="Normal"/>
        <w:widowControl/>
        <w:rPr/>
      </w:pPr>
      <w:r>
        <w:rPr/>
        <w:t>If a Party engages in direct regulation, it may nonetheless forbear, to the extent provided for in its law, from applying that regulation to a service that the Party classifies as a public telecommunications service, if its telecommunications regulatory body determines that: (a) enforcement of the regulation is not necessary to prevent unreasonable or discriminatory practices; (b) enforcement of the regulation is not necessary for the protection of consumers; and (c) forbearance is consistent with the public interest, including promoting and enhancing competition between suppliers of public telecommunications services.</w:t>
      </w:r>
    </w:p>
    <w:p>
      <w:pPr>
        <w:pStyle w:val="Normal"/>
        <w:keepNext w:val="true"/>
        <w:widowControl/>
        <w:rPr/>
      </w:pPr>
      <w:r>
        <w:rPr/>
        <w:t>Article 18.17: Telecommunications Regulatory Bodies 12 Consistent with this subparagraph, the United States, based on its evaluation of the state of competition of the U.S. commercial mobile market, has not applied major supplier-related measures pursuant to Article 18.5 (Treatment by Major Suppliers of Public Telecommunications Services), Article 18.7 (Resale), Article 18.9 (Interconnection with Major Suppliers), Article 18.11 (Co-Location), or Article 18.12 (Access to Poles, Ducts, Conduits, and Rights-of Way) to the commercial mobile market. 1. Each Party shall ensure that its telecommunications regulatory body is separate from, and not accountable to, a supplier of public telecommunications services. With a view to ensuring the independence and impartiality of telecommunications regulatory bodies, each Party shall ensure that its telecommunications regulatory body does not hold a financial interest13 or maintain an operating or management role in a supplier of public telecommunications services.14 2. Each Party shall ensure that its regulatory decisions and procedures, including decisions and procedures relating to licensing, interconnection with public telecommunications networks and services, tariffs, and assignment or allocation of spectrum for commercial telecommunications services, are impartial with respect to market participants. 3.</w:t>
      </w:r>
    </w:p>
    <w:p>
      <w:pPr>
        <w:pStyle w:val="Normal"/>
        <w:widowControl/>
        <w:rPr/>
      </w:pPr>
      <w:r>
        <w:rPr/>
        <w:t>Each Party shall ensure that its telecommunications regulatory body has the authority to impose requirements on a major supplier that are additional to or different from requirements imposed on other suppliers in the telecommunications sector.</w:t>
      </w:r>
    </w:p>
    <w:p>
      <w:pPr>
        <w:pStyle w:val="Normal"/>
        <w:keepNext w:val="true"/>
        <w:widowControl/>
        <w:rPr/>
      </w:pPr>
      <w:r>
        <w:rPr/>
        <w:t>Article 18.18: State Enterprises No Party shall accord more favorable treatment to a supplier of telecommunications services in its territory than that accorded to a like service supplier of another Party on the basis that the supplier receiving more favorable treatment is owned or controlled by the central level of government of the Party.</w:t>
      </w:r>
    </w:p>
    <w:p>
      <w:pPr>
        <w:pStyle w:val="Normal"/>
        <w:keepNext w:val="true"/>
        <w:widowControl/>
        <w:rPr/>
      </w:pPr>
      <w:r>
        <w:rPr/>
        <w:t>Article 18.19: Universal Services Each Party has the right to define the kind of universal service obligation it wishes to maintain. Each Party shall administer any universal service obligation that it maintains in a transparent, non-discriminatory, and competitively neutral manner and shall ensure that its universal service obligation is not more burdensome than necessary for the kind of universal service that it has defined.</w:t>
      </w:r>
    </w:p>
    <w:p>
      <w:pPr>
        <w:pStyle w:val="Normal"/>
        <w:keepNext w:val="true"/>
        <w:widowControl/>
        <w:rPr/>
      </w:pPr>
      <w:r>
        <w:rPr/>
        <w:t>Article 18.20: Licensing Process 13 For greater certainty, this paragraph shall not be construed to prohibit a government entity of a Party other than the telecommunications regulatory body from owning equity in a supplier of public telecommunications services. 14 For Mexico, the telecommunications regulatory body is autonomous from the Executive Branch of government, is independent regarding its decisions and functioning, and has the purpose of regulating and promoting competition and efficient development of telecommunications, as set out in existing Mexican law. 1. If a Party requires a supplier of public telecommunications services to have a license, the Party shall make publicly available: (a) applicable licensing criteria and procedures; (b) the period that it normally requires to reach a decision concerning an application for a license; and (c) the terms and conditions of licenses in effect. 2. Each Party shall ensure that, on request, an applicant or licensee receives the reasons for the: (a) denial of a license; (b) imposition of supplier-specific conditions on a license; (c) revocation of a license; or (d) refusal to renew a license.</w:t>
      </w:r>
    </w:p>
    <w:p>
      <w:pPr>
        <w:pStyle w:val="Normal"/>
        <w:keepNext w:val="true"/>
        <w:widowControl/>
        <w:rPr/>
      </w:pPr>
      <w:r>
        <w:rPr/>
        <w:t>Article 18.21: Allocation and Use of Scarce Resources 1. Each Party shall administer its procedures for the allocation and use of scarce telecommunications resources, including frequencies, numbers and rights-of-way, in an objective, timely, transparent, and non-discriminatory manner. 2. Each Party shall make publicly available the current state of frequency bands allocated and assigned to specific suppliers but retains the right not to provide detailed identification of frequencies that are allocated or assigned for specific government uses. 3. For greater certainty, a measure of a Party that allocates or assigns spectrum or manages frequency is not in itself inconsistent with Article 15.5 (Market Access) either as it applies to cross-border trade in services or through the operation of Article 15.2 (Scope) to an investor or covered investment of another Party. Accordingly, each Party retains the right to establish and apply spectrum and frequency management policies that may have the effect of limiting the number of suppliers of public telecommunications services, provided that the Party does so in a manner that is consistent with this Agreement. This includes the ability to allocate frequency bands, taking into account current and future needs and spectrum availability. 4.</w:t>
      </w:r>
    </w:p>
    <w:p>
      <w:pPr>
        <w:pStyle w:val="Normal"/>
        <w:widowControl/>
        <w:rPr/>
      </w:pPr>
      <w:r>
        <w:rPr/>
        <w:t>When making a spectrum allocation for commercial telecommunications services, each Party shall endeavor to rely on an open and transparent process that considers the public interest, including the promotion of competition. 5. Each Party shall endeavor to rely generally on market-based approaches in assigning spectrum for terrestrial commercial telecommunications services. To this end, each Party may use mechanisms such as auctions, if appropriate, to assign spectrum for commercial use.</w:t>
      </w:r>
    </w:p>
    <w:p>
      <w:pPr>
        <w:pStyle w:val="Normal"/>
        <w:keepNext w:val="true"/>
        <w:widowControl/>
        <w:rPr/>
      </w:pPr>
      <w:r>
        <w:rPr/>
        <w:t>Article 18.22: Enforcement Each Party shall provide its competent authority the authority to enforce the Party’s measures relating to the obligations set out in Article 18.3 (Access and Use), Article 18.4. (Obligations Relating to Suppliers of Public Telecommunications Services), Article 18.5 (Treatment by Major Suppliers of Public Telecommunications Services), Article 18.6 (Competitive Safeguards), Article 18.7 (Resale), Article 18.8 (Unbundling of Network Elements), Article 18.9 (Interconnection with Major Suppliers), Article 18.10 (Provisioning and Pricing of Leased Circuits Services), Article 18.11 (Co-Location), Article 18.12 (Access to Poles, Ducts, Conduits, and Rights-of-Way) and Article 18.13 (Submarine Cable Systems). That authority shall include the ability to impose effective sanctions, which may include financial penalties, injunctive relief (on an interim or final basis), corrective orders, or the modification, suspension, or revocation of licenses.</w:t>
      </w:r>
    </w:p>
    <w:p>
      <w:pPr>
        <w:pStyle w:val="Normal"/>
        <w:keepNext w:val="true"/>
        <w:widowControl/>
        <w:rPr/>
      </w:pPr>
      <w:r>
        <w:rPr/>
        <w:t>Article 18.23: Resolution of Disputes 1. Further to Article 29.3 (Administrative Proceedings) and Article 29.4 (Review and Appeal), each Party shall ensure that: Recourse (a) enterprises have recourse to the telecommunications regulatory body of the Party to resolve disputes with a supplier of public telecommunications services regarding the Party’s measures relating to matters set out in Article 18.3 (Access and Use), Article 18.4 (Obligations Relating to Suppliers of Public Telecommunications Services), Article 18.5 (Treatment by Major Suppliers of Public Telecommunications Services), Article 18.6 (Competitive Safeguards), Article 18.7 (Resale), Article 18.8 (Unbundling of Network Elements), Article 18.9 (Interconnection with Major Suppliers), Article 18.10 (Provisioning and Pricing of Leased Circuits Services), Article 18.11 (Co-Location), Article 18.12 (Access to Poles, Ducts, Conduits, and Rights-of-Way), and Article 18.13 (Submarine Cable Systems);</w:t>
      </w:r>
    </w:p>
    <w:p>
      <w:pPr>
        <w:pStyle w:val="Normal"/>
        <w:widowControl/>
        <w:rPr/>
      </w:pPr>
      <w:r>
        <w:rPr/>
        <w:t>(b) if the telecommunications regulatory body declines to initiate action on a request to resolve a dispute, it shall, on request, provide a written explanation for its decision within a reasonable period of time;15 (c) a supplier of public telecommunications services of another Party that has requested interconnection with a major supplier in the Party’s territory has, within a reasonable and publicly specified period of time after the supplier requests interconnection, recourse to its telecommunications regulatory body to</w:t>
      </w:r>
    </w:p>
    <w:p>
      <w:pPr>
        <w:pStyle w:val="Normal"/>
        <w:widowControl/>
        <w:rPr/>
      </w:pPr>
      <w:r>
        <w:rPr/>
        <w:t>resolve disputes regarding the appropriate terms, conditions and rates for interconnection with that major supplier; and Reconsideration16 (d) an enterprise whose legally protected interests are adversely affected by a determination or decision of the Party’s telecommunications regulatory body may appeal to or petition the body to reconsider that determination or decision. No Party shall permit the making of an application for reconsideration to constitute grounds for non-compliance with the determination or decision of the telecommunications regulatory body, unless the regulatory body issues an order that the determination or decision not be enforced while the proceeding is pending. A Party may limit the circumstances under which reconsideration is available, in accordance with its laws and regulations. Judicial Review 2. No Party shall permit the making of an application for judicial review to constitute grounds for non-compliance with the determination or decision of the telecommunications regulatory body, unless the judicial body issues an order that the determination or decision not be enforced while the proceeding is pending. 15 For the United States, this subparagraph applies only to the national regulatory body. 16 This subparagraph does not apply to Mexico.</w:t>
      </w:r>
    </w:p>
    <w:p>
      <w:pPr>
        <w:pStyle w:val="Normal"/>
        <w:widowControl/>
        <w:rPr/>
      </w:pPr>
      <w:r>
        <w:rPr/>
        <w:t>For Mexico, the general rules, acts or omissions of the Federal Telecommunications Institute may only be challenged through an indirect amparo trial before federal courts specialized in competition, broadcasting, and telecommunications and shall not be subject to injunction (suspensión).</w:t>
      </w:r>
    </w:p>
    <w:p>
      <w:pPr>
        <w:pStyle w:val="Normal"/>
        <w:keepNext w:val="true"/>
        <w:widowControl/>
        <w:rPr/>
      </w:pPr>
      <w:r>
        <w:rPr/>
        <w:t>Article 18.24: Transparency 1. Further to Article 29.2 (Publication), each Party shall ensure that when its telecommunications regulatory body seeks input 17 for a proposal for a regulation, that body: (a) makes the proposal public or otherwise available to any interested persons; (b) includes an explanation of the purpose of and reasons for the proposal; (c) provides interested persons with adequate public notice of the ability to comment and reasonable opportunity for comment; (d) to the extent practicable, makes publicly available all relevant comments filed with it; and (e) responds to all significant and relevant issues raised in comments filed, in the course of issuance of the final regulation.18 2. Further to Article 29.2 (Publication), each Party shall ensure that its measures relating to public telecommunications services are publicly available, including: (a) tariffs and other terms and conditions of service; (b) specifications of technical interfaces; (c) conditions for attaching terminal or other equipment to the public telecommunications network; (d) licensing, permit, registration, or notification requirements, if any;</w:t>
      </w:r>
    </w:p>
    <w:p>
      <w:pPr>
        <w:pStyle w:val="Normal"/>
        <w:widowControl/>
        <w:rPr/>
      </w:pPr>
      <w:r>
        <w:rPr/>
        <w:t>(e) general procedures relating to resolution of telecommunications disputes provided for in Article 18.23 (Resolution of Disputes); and (f) any measures of the telecommunications regulatory body if the government delegates to other bodies the responsibility for preparing, amending, and adopting standards-related measures affecting access and use.</w:t>
      </w:r>
    </w:p>
    <w:p>
      <w:pPr>
        <w:pStyle w:val="Normal"/>
        <w:keepNext w:val="true"/>
        <w:widowControl/>
        <w:rPr/>
      </w:pPr>
      <w:r>
        <w:rPr/>
        <w:t>Article 18.25: International Roaming Services 17 For greater certainty, seeking input does not include internal governmental deliberations. 18 For greater certainty, a Party may consolidate its responses to the comments received from interested persons. 1. The Parties shall endeavor to cooperate on promoting transparent and reasonable rates for international mobile roaming services that can help promote the growth of trade between the Parties and enhance consumer welfare. 2. A Party may take steps to enhance transparency and competition with respect to international mobile roaming rates and technological alternatives to roaming services, such as: (a) ensuring that information regarding retail rates is easily accessible to consumers; and (b) minimizing impediments to the use of technological alternatives to roaming, whereby consumers can access telecommunications services using the device of their choice when visiting the territory of a Party from the territory of another Party.</w:t>
      </w:r>
    </w:p>
    <w:p>
      <w:pPr>
        <w:pStyle w:val="Normal"/>
        <w:keepNext w:val="true"/>
        <w:widowControl/>
        <w:rPr/>
      </w:pPr>
      <w:r>
        <w:rPr/>
        <w:t>Article 18.26: Relation to Other Chapters If there is an inconsistency between this Chapter and another Chapter of this Agreement, this Chapter shall prevail to the extent of the inconsistency.</w:t>
      </w:r>
    </w:p>
    <w:p>
      <w:pPr>
        <w:pStyle w:val="Normal"/>
        <w:keepNext w:val="true"/>
        <w:widowControl/>
        <w:rPr/>
      </w:pPr>
      <w:r>
        <w:rPr/>
        <w:t>Article 18.27: Telecommunications Committee 1. The Parties hereby establish a Telecommunications Committee composed of government representatives of each Party. 2. The Telecommunications Committee shall: (a) review and monitor the implementation and operation of this Chapter, with a view to ensuring the effective implementation of the Chapter by enabling responsiveness to technological and regulatory developments in telecommunications to ensure the continuing relevance of this Chapter to Parties, service suppliers and end-users; (b) discuss issues related to this Chapter and any other issues relevant to the telecommunications sector the Parties may decide; (c) report to the Commission on the findings and the outcomes of its discussions; and (d) carry out other functions delegated to it by the Commission. 3. The Telecommunications Committee shall meet at venues and times as the Parties may decide. 4. The Parties may decide to invite representatives of relevant entities other than the Parties, including representatives of private sector entities, having the necessary expertise relevant to the issues to be discussed, to attend meetings of the Telecommunications Committee.</w:t>
      </w:r>
    </w:p>
    <w:p>
      <w:pPr>
        <w:pStyle w:val="Normal"/>
        <w:widowControl/>
        <w:rPr/>
      </w:pPr>
      <w:r>
        <w:rPr/>
        <w:t>ANNEX 18-A RURAL TELEPHONE SUPPLIERS United States The United States may exempt rural local exchange carriers and rural telephone companies, as defined, respectively, in sections 251(f)(2) and 3(44) of the Communications Act of 1934, as amended, (47 U.S.C. Section 251(f)(2) and Section 153(44)), from the obligations contained in Article 18.4.6 (Obligations Relating to Suppliers of Public Telecommunications Services – Number Portability), Article 18.4.7 (Obligations Relating to Suppliers of Public Telecommunications Services – Dialing Parity), Article 18.7 (Resale), Article 18.8 (Unbundling of Network Elements), Article 18.9 (Interconnection with Major Suppliers), and Article 18.11 (Co-Location). 18-A-1</w:t>
      </w:r>
    </w:p>
    <w:p>
      <w:pPr>
        <w:pStyle w:val="Normal"/>
        <w:widowControl/>
        <w:rPr/>
      </w:pPr>
      <w:r>
        <w:rPr/>
        <w:t>This Chapter and its modernization provisions contain the principal digital-trade architecture. Related AI, automated-decision, cybersecurity, privacy, and sector-specific rules may also appear elsewhere.</w:t>
      </w:r>
    </w:p>
    <w:p>
      <w:pPr>
        <w:pStyle w:val="TrumpVisibilityHeadline"/>
        <w:widowControl/>
        <w:rPr/>
      </w:pPr>
      <w:r>
        <w:rPr/>
        <w:t>SEARCH SIGNPOST — DIGITAL TRADE / DATA / PRIVACY / CYBERSECURITY / ARTIFICIAL INTELLIGENCE / AI / ALGORITHMS / SOURCE CODE</w:t>
      </w:r>
      <w:r>
        <w:br w:type="page"/>
      </w:r>
    </w:p>
    <w:p>
      <w:bookmarkStart w:id="1093" w:name="_NAESTMA_TOC_1093"/>
      <w:pPr>
        <w:pStyle w:val="Heading1"/>
        <w:keepNext/>
        <w:keepLines w:val="0"/>
        <w:pageBreakBefore/>
        <w:widowControl/>
        <w:rPr/>
      </w:pPr>
      <w:bookmarkStart w:id="62" w:name="_Toc237912539"/>
      <w:r>
        <w:rPr/>
        <w:t>CHAPTER 19 DIGITAL TRADE</w:t>
      </w:r>
      <w:bookmarkEnd w:id="62"/>
      <w:bookmarkEnd w:id="1093"/>
    </w:p>
    <w:p>
      <w:pPr>
        <w:pStyle w:val="Normal"/>
        <w:widowControl/>
        <w:rPr/>
      </w:pPr>
      <w:r>
        <w:rPr/>
        <w:t>Article 19.1: Definitions For the purposes of this Chapter: algorithm means a defined sequence of steps, taken to solve a problem or obtain a result; computing facility means a computer server or storage device for processing or storing information for commercial use; covered person means: (a) a covered investment as defined in 1.4 (General Definitions); (b) an investor of a Party as defined in Article 14.1 (Definitions); or (c) a service supplier of a Party as defined in Article 15.1 (Definitions), but does not include a covered person as defined in Article 17.1 (Definitions); digital product means a computer program, text, video, image, sound recording, or other product that is digitally encoded, produced for commercial sale or distribution, and that can be transmitted electronically. For greater certainty, digital product does not include a digitized representation of a financial instrument, including money;</w:t>
      </w:r>
    </w:p>
    <w:p>
      <w:pPr>
        <w:pStyle w:val="Normal"/>
        <w:widowControl/>
        <w:rPr/>
      </w:pPr>
      <w:r>
        <w:rPr/>
        <w:t>1 electronic authentication means the process or act of verifying the identity of a party to an electronic communication or transaction and ensuring the integrity of an electronic communication; electronic signature means data in electronic form that is in, affixed to, or logically associated with, an electronic document or message, and that may be used to identify the signatory in relation to the electronic document or message and indicate the signatory’s approval of the information contained in the electronic document or message; government information means</w:t>
      </w:r>
    </w:p>
    <w:p>
      <w:pPr>
        <w:pStyle w:val="Normal"/>
        <w:widowControl/>
        <w:rPr/>
      </w:pPr>
      <w:r>
        <w:rPr/>
        <w:t>non-proprietary information, including data, held by the central government; information content provider means a person or entity that creates or develops, in whole or in 1 This definition should not be understood to reflect a Party’s view that digital products are a good or are a service. part, information provided through the Internet or another interactive computer service; interactive computer service means a system or service that provides or enables electronic access by multiple users to a computer server; personal information means information, including data, about an identified or identifiable natural person; trade administration document means a form issued or controlled by a Party that must be completed by or for an importer or exporter in connection with the import or export of goods; and unsolicited commercial electronic communication means an electronic message, which is sent to an electronic address of a person for commercial or marketing purposes without the consent of the recipient or despite the explicit rejection of the recipient.2</w:t>
      </w:r>
    </w:p>
    <w:p>
      <w:pPr>
        <w:pStyle w:val="Normal"/>
        <w:keepNext w:val="true"/>
        <w:widowControl/>
        <w:rPr/>
      </w:pPr>
      <w:r>
        <w:rPr/>
        <w:t>Article 19.2: Scope and General Provisions 1. The Parties recognize the economic growth and opportunities provided by digital trade and the importance of frameworks that promote consumer confidence in digital trade and of avoiding unnecessary barriers to its use and development. 2. This Chapter applies to measures adopted or maintained by a Party that affect trade by electronic means. 3. This Chapter does not apply: (a) to government procurement; or (b) except for Article 19.18 (Open Government Data), to information held or processed by or on behalf of a Party, or measures related to that information, including measures related to its collection. 4. For greater certainty, a measure that affects the supply of a service delivered or performed electronically is subject to Chapter 14 (Investment), Chapter 15 (Cross-Border Trade in Services), and Chapter 17 (Financial Services), including any exception or non-conforming measure set out in this Agreement that is applicable to the obligations contained in those Chapters. For the United States, an unsolicited commercial electronic communication does not include an electronic message sent primarily for purposes other than commercial or marketing purposes.</w:t>
      </w:r>
    </w:p>
    <w:p>
      <w:pPr>
        <w:pStyle w:val="Normal"/>
        <w:keepNext w:val="true"/>
        <w:widowControl/>
        <w:rPr/>
      </w:pPr>
      <w:r>
        <w:rPr/>
        <w:t>Article 19.3: Customs Duties 1. No Party shall impose customs duties, fees, or other charges on or in connection with the importation or exportation of digital products transmitted electronically, between a person of one Party and a person of another Party. 2. For greater certainty, paragraph 1 does not preclude a Party from imposing internal taxes, fees, or other charges on a digital product transmitted electronically, provided that those taxes, fees, or charges are imposed in a manner consistent with this Agreement.</w:t>
      </w:r>
    </w:p>
    <w:p>
      <w:pPr>
        <w:pStyle w:val="Normal"/>
        <w:keepNext w:val="true"/>
        <w:widowControl/>
        <w:rPr/>
      </w:pPr>
      <w:r>
        <w:rPr/>
        <w:t>Article 19.4: Non-Discriminatory Treatment of Digital Products 1. No Party shall accord less favorable treatment to a digital product created, produced, published, contracted for, commissioned, or first made available on commercial terms in the territory of another Party, or to a digital product of which the author, performer, producer, developer, or owner is a person of another Party, than it accords to other like digital products.3 2. This Article does not apply to a subsidy or grant provided by a Party, including a government-supported loan, guarantee, or insurance.</w:t>
      </w:r>
    </w:p>
    <w:p>
      <w:pPr>
        <w:pStyle w:val="Normal"/>
        <w:keepNext w:val="true"/>
        <w:widowControl/>
        <w:rPr/>
      </w:pPr>
      <w:r>
        <w:rPr/>
        <w:t>Article 19.5: Domestic Electronic Transactions Framework 1. Each Party shall maintain a legal framework governing electronic transactions consistent with the principles of the UNCITRAL Model Law on Electronic Commerce 1996. 2. Each Party shall endeavor to: (a) avoid unnecessary regulatory burden on electronic transactions; and (b) facilitate input by interested persons in the development of its legal framework for electronic transactions.</w:t>
      </w:r>
    </w:p>
    <w:p>
      <w:pPr>
        <w:pStyle w:val="Normal"/>
        <w:keepNext w:val="true"/>
        <w:widowControl/>
        <w:rPr/>
      </w:pPr>
      <w:r>
        <w:rPr/>
        <w:t>Article 19.6: Electronic Authentication and Electronic Signatures 1. Except in circumstances provided for under its law, a Party shall not deny the legal validity of a signature solely on the basis that the signature is in electronic form. 2. No Party shall adopt or maintain measures for electronic authentication and electronic 3 For greater certainty, to the extent that a digital product of a non-Party is a “like digital product,” it will qualify as an “other like digital product” for the purposes of Article 19.4.1 (Non-Discriminatory Treatment of Digital Products). signatures that would: (a) prohibit parties to an electronic transaction from mutually determining the appropriate authentication methods or electronic signatures for that transaction; or (b) prevent parties to an electronic transaction from having the opportunity to establish before judicial or administrative authorities that their transaction complies with any legal requirements with respect to authentication or electronic signatures. 3. Notwithstanding paragraph 2, a Party may require that, for a particular category of transactions, the electronic signature or method of authentication meets certain performance standards or is certified by an authority accredited in accordance with its law. 4. Each Party shall encourage the use of interoperable electronic authentication.</w:t>
      </w:r>
    </w:p>
    <w:p>
      <w:pPr>
        <w:pStyle w:val="Normal"/>
        <w:keepNext w:val="true"/>
        <w:widowControl/>
        <w:rPr/>
      </w:pPr>
      <w:r>
        <w:rPr/>
        <w:t>Article 19.7: Online Consumer Protection 1. The Parties recognize the importance of adopting and maintaining transparent and effective measures to protect consumers from fraudulent or deceptive commercial activities as referred to in Article 21.4.2 (Consumer Protection) when they engage in digital trade. 2. Each Party shall adopt or maintain consumer protection laws to proscribe fraudulent and deceptive commercial activities that cause harm or potential harm to consumers engaged in online commercial activities. 3. The Parties recognize the importance of, and public interest in, cooperation between their respective national consumer protection agencies or other relevant bodies on activities related to cross-border digital trade in order to enhance consumer welfare. To this end, the Parties affirm that cooperation under paragraphs 21.4.3 through 21.4.5 (Consumer Protection) includes cooperation with respect to online commercial activities.</w:t>
      </w:r>
    </w:p>
    <w:p>
      <w:pPr>
        <w:pStyle w:val="Normal"/>
        <w:keepNext w:val="true"/>
        <w:widowControl/>
        <w:rPr/>
      </w:pPr>
      <w:r>
        <w:rPr/>
        <w:t>Article 19.8: Personal Information Protection 1. The Parties recognize the economic and social benefits of protecting the personal information of users of digital trade and the contribution that this makes to enhancing consumer confidence in digital trade. 2. To this end, each Party shall adopt or maintain a legal framework that provides for the protection of the personal information of the users of digital trade. In the development of this legal framework, each Party should take into account principles and guidelines of relevant international bodies,4 such as the APEC Privacy Framework and the OECD Recommendation of the Council concerning Guidelines governing the Protection of Privacy and Transborder Flows of Personal Data (2013). 3. The Parties recognize that pursuant to paragraph 2, key principles include: limitation on collection; choice; data quality; purpose specification; use limitation; security safeguards; transparency; individual participation; and accountability. The Parties also recognize the importance of ensuring compliance with measures to protect personal information and ensuring that any restrictions on cross-border flows of personal information are necessary and proportionate to the risks presented. 4. Each Party shall endeavor to adopt non-discriminatory practices in protecting users of digital trade from personal information protection violations occurring within its jurisdiction. 5.</w:t>
      </w:r>
    </w:p>
    <w:p>
      <w:pPr>
        <w:pStyle w:val="Normal"/>
        <w:widowControl/>
        <w:rPr/>
      </w:pPr>
      <w:r>
        <w:rPr/>
        <w:t>Each Party shall publish information on the personal information protections it provides to users of digital trade, including how: (a) a natural person can pursue a remedy; and (b) an enterprise can comply with legal requirements. 6. Recognizing that the Parties may take different legal approaches to protecting personal information, each Party should encourage the development of mechanisms to promote compatibility between these different regimes. The Parties shall endeavor to exchange information on the mechanisms applied in their jurisdictions and explore ways to extend these or other suitable arrangements to promote compatibility between them. The Parties recognize that the APEC Cross-Border Privacy Rules system is a valid mechanism to facilitate cross-border information transfers while protecting personal information.</w:t>
      </w:r>
    </w:p>
    <w:p>
      <w:pPr>
        <w:pStyle w:val="Normal"/>
        <w:keepNext w:val="true"/>
        <w:widowControl/>
        <w:rPr/>
      </w:pPr>
      <w:r>
        <w:rPr/>
        <w:t>Article 19.9: Paperless Trading Each Party shall endeavor to accept a trade administration document submitted electronically as the legal equivalent of the paper version of that document.</w:t>
      </w:r>
    </w:p>
    <w:p>
      <w:pPr>
        <w:pStyle w:val="Normal"/>
        <w:keepNext w:val="true"/>
        <w:widowControl/>
        <w:rPr/>
      </w:pPr>
      <w:r>
        <w:rPr/>
        <w:t>Article 19.10: Principles on Access to and Use of the Internet for Digital Trade The Parties recognize that it is beneficial for consumers in their territories to be able to: For greater certainty, a Party may comply with the obligation in this paragraph by adopting or maintaining measures such as a comprehensive privacy, personal information or personal data protection laws, sector-specific laws covering privacy, or laws that provide for the enforcement of voluntary undertakings by enterprises relating to privacy. (a) access and use services and applications of a consumer’s choice available on the Internet, subject to reasonable network management; (b) connect the end-user devices of a consumer’s choice to the Internet, provided that such devices do not harm the network; and (c) access information on the network management practices of a consumer’s Internet access service supplier.</w:t>
      </w:r>
    </w:p>
    <w:p>
      <w:pPr>
        <w:pStyle w:val="Normal"/>
        <w:keepNext w:val="true"/>
        <w:widowControl/>
        <w:rPr/>
      </w:pPr>
      <w:r>
        <w:rPr/>
        <w:t>Article 19.11: Cross-Border Transfer of Information by Electronic Means 1. No Party shall prohibit or restrict the cross-border transfer of information, including personal information, by electronic means if this activity is for the conduct of the business of a covered person. 2. This Article does not prevent a Party from adopting or maintaining a measure inconsistent with paragraph 1 that is necessary to achieve a legitimate public policy objective, provided that the measure: (a) is not applied in a manner which would constitute a means of arbitrary or unjustifiable discrimination or a disguised restriction on trade; and (b) does not impose restrictions on transfers of information greater than are necessary to achieve the objective.5</w:t>
      </w:r>
    </w:p>
    <w:p>
      <w:pPr>
        <w:pStyle w:val="Normal"/>
        <w:keepNext w:val="true"/>
        <w:widowControl/>
        <w:rPr/>
      </w:pPr>
      <w:r>
        <w:rPr/>
        <w:t>Article 19.12: Location of Computing Facilities No Party shall require a covered person to use or locate computing facilities in that Party’s territory as a condition for conducting business in that territory.</w:t>
      </w:r>
    </w:p>
    <w:p>
      <w:pPr>
        <w:pStyle w:val="Normal"/>
        <w:keepNext w:val="true"/>
        <w:widowControl/>
        <w:rPr/>
      </w:pPr>
      <w:r>
        <w:rPr/>
        <w:t>Article 19.13: Unsolicited Commercial Electronic Communications 1. Each Party shall adopt or maintain measures providing for the limitation of unsolicited commercial electronic communications. 2. Each Party shall adopt or maintain measures regarding unsolicited commercial electronic communications sent to an electronic mail address that: 5 A measure does not meet the conditions of this paragraph if it accords different treatment to data transfers solely on the basis that they are cross-border in a manner that modifies the conditions of competition to the detriment of service suppliers of another Party. (a) require suppliers of unsolicited commercial electronic messages to facilitate the ability of recipients to prevent ongoing reception of those messages; or (b) require the consent, as specified in the laws and regulations of each Party, of recipients to receive commercial electronic messages. 3. Each Party shall endeavor to adopt or maintain measures that enable consumers to reduce or prevent unsolicited commercial electronic communications sent other than to an electronic mail address. 4.</w:t>
      </w:r>
    </w:p>
    <w:p>
      <w:pPr>
        <w:pStyle w:val="Normal"/>
        <w:widowControl/>
        <w:rPr/>
      </w:pPr>
      <w:r>
        <w:rPr/>
        <w:t>Each Party shall provide recourse in its law against suppliers of unsolicited commercial electronic communications that do not comply with a measure adopted or maintained pursuant to paragraph 2 or 3. 5. The Parties shall endeavor to cooperate in appropriate cases of mutual concern regarding the regulation of unsolicited commercial electronic communications.</w:t>
      </w:r>
    </w:p>
    <w:p>
      <w:pPr>
        <w:pStyle w:val="Normal"/>
        <w:keepNext w:val="true"/>
        <w:widowControl/>
        <w:rPr/>
      </w:pPr>
      <w:r>
        <w:rPr/>
        <w:t>Article 19.14: Cooperation 1. Recognizing the global nature of digital trade, the Parties shall endeavor to: (a) exchange information and share experiences on regulations, policies, enforcement and compliance relating to digital trade, including: (i) personal information protection, particularly with a view to strengthening existing international mechanisms for cooperation in enforcing laws protecting privacy, (ii) security in electronic communications, (iii) authentication, and (iv) government use of digital tools and technologies to achieve better government performance; (b) cooperate and maintain a dialogue on the promotion and development of mechanisms, including the APEC Cross-Border Privacy Rules, that further global interoperability of privacy regimes; (c) actively participate in regional and multilateral fora to promote the development of digital trade; (d) encourage development by the private sector of methods of self-regulation that foster digital trade, including codes of conduct, model contracts, guidelines, and enforcement mechanisms; (e) promote access for persons with disabilities to information and communications technologies; and (f) promote, through international cross-border cooperation initiatives, the development of mechanisms to assist users in submitting cross-border complaints regarding personal information protection. 2.</w:t>
      </w:r>
    </w:p>
    <w:p>
      <w:pPr>
        <w:pStyle w:val="Normal"/>
        <w:widowControl/>
        <w:rPr/>
      </w:pPr>
      <w:r>
        <w:rPr/>
        <w:t>The Parties shall consider establishing a forum to address any of the issues listed above, or any other matter pertaining to the operation of this Chapter.</w:t>
      </w:r>
    </w:p>
    <w:p>
      <w:pPr>
        <w:pStyle w:val="Normal"/>
        <w:keepNext w:val="true"/>
        <w:widowControl/>
        <w:rPr/>
      </w:pPr>
      <w:r>
        <w:rPr/>
        <w:t>Article 19.15: Cybersecurity 1. The Parties recognize that threats to cybersecurity undermine confidence in digital trade. Accordingly, the Parties shall endeavor to: (a) build the capabilities of their respective national entities responsible for cybersecurity incident response; and (b) strengthen existing collaboration mechanisms for cooperating to identify and mitigate malicious intrusions or dissemination of malicious code that affect electronic networks, and use those mechanisms to swiftly address cybersecurity incidents, as well as for the sharing of information for awareness and best practices. 2. Given the evolving nature of cybersecurity threats, the Parties recognize that risk-based approaches may be more effective than prescriptive regulation in addressing those threats. Accordingly, each Party shall endeavor to employ, and encourage enterprises within its jurisdiction to use, risk-based approaches that rely on consensus-based standards and risk management best practices to identify and protect against cybersecurity risks and to detect, respond to, and recover from cybersecurity events.</w:t>
      </w:r>
    </w:p>
    <w:p>
      <w:pPr>
        <w:pStyle w:val="Normal"/>
        <w:keepNext w:val="true"/>
        <w:widowControl/>
        <w:rPr/>
      </w:pPr>
      <w:r>
        <w:rPr/>
        <w:t>Article 19.16: Source Code 1. No Party shall require the transfer of, or access to, a source code of software owned by a person of another Party, or to an algorithm expressed in that source code, as a condition for the import, distribution, sale or use of that software, or of products containing that software, in its territory. 2. This Article does not preclude a regulatory body or judicial authority of a Party from requiring a person of another Party to preserve and make available the source code of software, or an algorithm expressed in that source code, to the regulatory body for a specific investigation, inspection, examination, enforcement action, or judicial proceeding,6 subject to safeguards against unauthorized disclosure.</w:t>
      </w:r>
    </w:p>
    <w:p>
      <w:pPr>
        <w:pStyle w:val="Normal"/>
        <w:keepNext w:val="true"/>
        <w:widowControl/>
        <w:rPr/>
      </w:pPr>
      <w:r>
        <w:rPr/>
        <w:t>Article 19.17: Interactive Computer Services 1. The Parties recognize the importance of the promotion of interactive computer services, including for small and medium-sized enterprises, as vital to the growth of digital trade. 2. To that end, other than as provided in paragraph 4, no Party shall adopt or maintain measures that treat a supplier or user of an interactive computer service as an information content provider in determining liability for harms related to information stored, processed, transmitted, distributed, or made available by the service, except to the extent the supplier or user has, in whole or in part, created, or developed the information.7 3. No Party shall impose liability on a supplier or user of an interactive computer service on account of:</w:t>
      </w:r>
    </w:p>
    <w:p>
      <w:pPr>
        <w:pStyle w:val="Normal"/>
        <w:widowControl/>
        <w:rPr/>
      </w:pPr>
      <w:r>
        <w:rPr/>
        <w:t>(a) any action voluntarily taken in good faith by the supplier or user to restrict access to or availability of material that is accessible or available through its supply or use of the interactive computer services and that the supplier or user considers to be harmful or objectionable; or (b) any action taken to enable or make available the technical means that enable an information content provider or other persons to restrict access to material that it considers to be harmful or objectionable. 4.</w:t>
      </w:r>
    </w:p>
    <w:p>
      <w:pPr>
        <w:pStyle w:val="Normal"/>
        <w:widowControl/>
        <w:rPr/>
      </w:pPr>
      <w:r>
        <w:rPr/>
        <w:t>Nothing in this Article shall: (a) apply to any measure of a Party pertaining to intellectual property, including measures addressing liability for intellectual property infringement; or (b) be construed to enlarge or diminish a Party’s ability to protect or enforce an intellectual property right; or (c) be construed to prevent: 6 This disclosure shall not be construed to negatively affect the software source code’s status as a trade secret, if such status is claimed by the trade secret owner. 7 For greater certainty, a Party may comply with this Article through its laws, regulations, or application of existing legal doctrines as applied through judicial decisions. (i) a Party from enforcing any criminal law, or (ii) a supplier or user of an interactive computer service from complying with a specific, lawful order of a law enforcement authority.8 5. This Article is subject to Annex 19-A.</w:t>
      </w:r>
    </w:p>
    <w:p>
      <w:pPr>
        <w:pStyle w:val="Normal"/>
        <w:keepNext w:val="true"/>
        <w:widowControl/>
        <w:rPr/>
      </w:pPr>
      <w:r>
        <w:rPr/>
        <w:t>Article 19.18: Open Government Data 1. The Parties recognize that facilitating public access to and use of government information fosters economic and social development, competitiveness, and innovation. 2. To the extent that a Party chooses to make government information, including data, available to the public, it shall endeavor to ensure that the information is in a machine-readable and open format and can be searched, retrieved, used, reused, and redistributed. 3. The Parties shall endeavor to cooperate to identify ways in which each Party can expand access to and use of government information, including data, that the Party has made public, with a view to enhancing and generating business opportunities, especially for SMEs. 8 The Parties understand that measures referenced in paragraph 4(c)(ii) shall be not inconsistent with paragraph 2 in situations where paragraph 2 is applicable.</w:t>
      </w:r>
    </w:p>
    <w:p>
      <w:pPr>
        <w:pStyle w:val="Normal"/>
        <w:widowControl/>
        <w:rPr/>
      </w:pPr>
      <w:r>
        <w:rPr/>
        <w:t>ANNEX 19-A 1. Article 19.17 (Interactive Computer Services) shall not apply with respect to Mexico until the date of three years after entry into force of this Agreement. 2. The Parties understand that Articles 145 and 146 of Mexico’s Ley Federal de Telecomunicaciones y Radiodifusión, as in force on the date of entry into force of this Agreement, are not inconsistent with Article 19.17.3 (Interactive Computer Services). In a dispute with respect to this article, subordinate measures adopted or maintained under the authority of and consistent with Articles 145 and 146 of Mexico’s Ley Federal de Telecomunicaciones y Radiodifusión shall be presumed to be not inconsistent with Article 19.17.3 (Interactive Computer Services). 3. The Parties understand that Mexico will comply with the obligations in Article 19.17.3 (Interactive Computer Services) in a manner that is both effective and consistent with Mexico’s Constitution (Constitución Política de los Estados Unidos Mexicanos), specifically Articles 6 and 7. 4.</w:t>
      </w:r>
    </w:p>
    <w:p>
      <w:pPr>
        <w:pStyle w:val="Normal"/>
        <w:widowControl/>
        <w:rPr/>
      </w:pPr>
      <w:r>
        <w:rPr/>
        <w:t>For greater certainty, Article 19.17 (Interactive Computer Services) is subject to Article 32.1 (General Exceptions), which, among other things, provides that, for purposes of Chapter 19, the exception for measures necessary to protect public morals pursuant to paragraph (a) of Article XIV of GATS is incorporated into and made part of this Agreement, mutatis mutandis.</w:t>
      </w:r>
    </w:p>
    <w:p>
      <w:pPr>
        <w:pStyle w:val="Normal"/>
        <w:widowControl/>
        <w:rPr/>
      </w:pPr>
      <w:r>
        <w:rPr/>
        <w:t>The Parties agree that measures necessary to protect against online sex trafficking, sexual exploitation of children, and prostitution, such as Public Law 115-164, the “Allow States and Victims to Fight Online Sex Trafficking Act of 2017,” which amends the Communications Act of 1934, and any relevant provisions of Ley General para Prevenir, Sancionar y Erradicar los Delitos en Materia de Trata de Personas y para la Protección y Asistencia a las Víctimas de estos delitos, are measures necessary to protect public morals. 19-A-1</w:t>
      </w:r>
    </w:p>
    <w:p>
      <w:pPr>
        <w:pStyle w:val="ModHeading"/>
        <w:widowControl/>
        <w:rPr/>
      </w:pPr>
      <w:bookmarkStart w:id="63" w:name="_Toc237912540"/>
      <w:r>
        <w:rPr/>
        <w:t>CHAPTER 19 — CUSMA 2.0 MODERNIZATION PROVISIONS</w:t>
      </w:r>
      <w:bookmarkEnd w:id="63"/>
    </w:p>
    <w:p>
      <w:pPr>
        <w:pStyle w:val="Normal"/>
        <w:widowControl/>
        <w:rPr/>
      </w:pPr>
      <w:r>
        <w:rPr>
          <w:i/>
        </w:rPr>
        <w:t>The provisions of this Part amend Chapter 19 (Digital Trade). Articles 19.1 through 19.18 remain in force except as supplemented below.</w:t>
      </w:r>
    </w:p>
    <w:p>
      <w:bookmarkStart w:id="1094" w:name="_NAESTMA_TOC_1094"/>
      <w:pPr>
        <w:pStyle w:val="Heading2"/>
        <w:keepNext/>
        <w:widowControl/>
        <w:rPr/>
      </w:pPr>
      <w:bookmarkStart w:id="64" w:name="_Toc237912541"/>
      <w:r>
        <w:rPr/>
        <w:t>Article 19.A: Scope Modernization</w:t>
      </w:r>
      <w:bookmarkEnd w:id="64"/>
      <w:bookmarkEnd w:id="1094"/>
    </w:p>
    <w:p>
      <w:pPr>
        <w:pStyle w:val="Normal"/>
        <w:widowControl/>
        <w:rPr/>
      </w:pPr>
      <w:r>
        <w:rPr/>
        <w:t>1. The Parties affirm that this Chapter applies to digital trade as conducted through contemporary and evolving technologies, including cloud computing, artificial-intelligence-enabled services, digital identity systems, and electronic payments, subject to the exceptions of this Agreement.</w:t>
      </w:r>
    </w:p>
    <w:p>
      <w:pPr>
        <w:pStyle w:val="Normal"/>
        <w:widowControl/>
        <w:rPr/>
      </w:pPr>
      <w:r>
        <w:rPr/>
        <w:t>2. Nothing in this Chapter prevents a Party from regulating digital markets, artificial intelligence, or online services in the public interest, provided the measure is not applied in a manner constituting arbitrary or unjustifiable discrimination between the Parties’ persons, goods, or services, or a disguised restriction on trade.</w:t>
      </w:r>
    </w:p>
    <w:p>
      <w:bookmarkStart w:id="1095" w:name="_NAESTMA_TOC_1095"/>
      <w:pPr>
        <w:pStyle w:val="Heading2"/>
        <w:keepNext/>
        <w:widowControl/>
        <w:rPr/>
      </w:pPr>
      <w:bookmarkStart w:id="65" w:name="_Toc237912542"/>
      <w:r>
        <w:rPr/>
        <w:t>Article 19.B: Cybersecurity Cooperation for Trade Infrastructure</w:t>
      </w:r>
      <w:bookmarkEnd w:id="65"/>
      <w:bookmarkEnd w:id="1095"/>
    </w:p>
    <w:p>
      <w:pPr>
        <w:pStyle w:val="Normal"/>
        <w:widowControl/>
        <w:rPr/>
      </w:pPr>
      <w:r>
        <w:rPr/>
        <w:t>1. The Parties shall establish mechanisms for: (a) rapid notification of cyber incidents materially affecting customs systems, ports, logistics infrastructure, electronic payment systems, or cross-border supply chains; (b) mutual assistance and technical coordination in response to such incidents; and (c) alignment of cybersecurity baselines for trade-critical infrastructure, building on existing national frameworks.</w:t>
      </w:r>
    </w:p>
    <w:p>
      <w:pPr>
        <w:pStyle w:val="Normal"/>
        <w:widowControl/>
        <w:rPr/>
      </w:pPr>
      <w:r>
        <w:rPr/>
        <w:t>2. A Party’s cybersecurity measures shall not discriminate against the digital products or services of another Party except on documented, evidence-based security grounds, which are reviewable for procedural compliance under Chapter 31 without review of the Party’s security judgment.</w:t>
      </w:r>
    </w:p>
    <w:p>
      <w:bookmarkStart w:id="1096" w:name="_NAESTMA_TOC_1096"/>
      <w:pPr>
        <w:pStyle w:val="Heading2"/>
        <w:keepNext/>
        <w:widowControl/>
        <w:rPr/>
      </w:pPr>
      <w:bookmarkStart w:id="66" w:name="_Toc237912543"/>
      <w:r>
        <w:rPr/>
        <w:t>Article 19.C: Electronic Payments</w:t>
      </w:r>
      <w:bookmarkEnd w:id="66"/>
      <w:bookmarkEnd w:id="1096"/>
    </w:p>
    <w:p>
      <w:pPr>
        <w:pStyle w:val="Normal"/>
        <w:widowControl/>
        <w:rPr/>
      </w:pPr>
      <w:r>
        <w:rPr/>
        <w:t>1. Each Party shall permit the supply of electronic payment services by persons of another Party in accordance with Chapter 15 (Cross-Border Trade in Services) and Chapter 17 (Financial Services), and shall foster interoperability of payment systems, including real-time and cross-border retail payments.</w:t>
      </w:r>
    </w:p>
    <w:p>
      <w:pPr>
        <w:pStyle w:val="Normal"/>
        <w:widowControl/>
        <w:rPr/>
      </w:pPr>
      <w:r>
        <w:rPr/>
        <w:t>2. A Party’s regulation of payment services — including licensing, prudential, anti-money-laundering, and consumer-protection requirements — shall be administered in a non-discriminatory manner and shall not require, as a condition of supplying a payment service, the localization of data or infrastructure beyond what Article 19.12 permits.</w:t>
      </w:r>
    </w:p>
    <w:p>
      <w:bookmarkStart w:id="1097" w:name="_NAESTMA_TOC_1097"/>
      <w:pPr>
        <w:pStyle w:val="Heading2"/>
        <w:keepNext/>
        <w:widowControl/>
        <w:rPr/>
      </w:pPr>
      <w:bookmarkStart w:id="67" w:name="_Toc237912544"/>
      <w:r>
        <w:rPr/>
        <w:t>Article 19.D: Data Governance and Interoperability</w:t>
      </w:r>
      <w:bookmarkEnd w:id="67"/>
      <w:bookmarkEnd w:id="1097"/>
    </w:p>
    <w:p>
      <w:pPr>
        <w:pStyle w:val="Normal"/>
        <w:widowControl/>
        <w:rPr/>
      </w:pPr>
      <w:r>
        <w:rPr/>
        <w:t>1. The Parties shall cooperate on interoperable approaches to data governance, including privacy-framework interoperability, mechanisms for cross-border data transfers consistent with Article 19.8 and Article 19.11, and government-data portability for trade documentation.</w:t>
      </w:r>
    </w:p>
    <w:p>
      <w:pPr>
        <w:pStyle w:val="Normal"/>
        <w:widowControl/>
        <w:rPr/>
      </w:pPr>
      <w:r>
        <w:rPr/>
        <w:t>2. The Parties reaffirm that Articles 19.11 (Cross-Border Transfer of Information by Electronic Means) and 19.12 (Location of Computing Facilities) remain in force, and that the public-policy exceptions therein are subject to the discipline that they not constitute a means of arbitrary or unjustifiable discrimination or a disguised restriction on trade.</w:t>
      </w:r>
    </w:p>
    <w:p>
      <w:bookmarkStart w:id="1098" w:name="_NAESTMA_TOC_1098"/>
      <w:pPr>
        <w:pStyle w:val="Heading2"/>
        <w:keepNext/>
        <w:widowControl/>
        <w:rPr/>
      </w:pPr>
      <w:bookmarkStart w:id="68" w:name="_Toc237912545"/>
      <w:r>
        <w:rPr/>
        <w:t>Article 19.E: Digital Identity and Trust Services</w:t>
      </w:r>
      <w:bookmarkEnd w:id="68"/>
      <w:bookmarkEnd w:id="1098"/>
    </w:p>
    <w:p>
      <w:pPr>
        <w:pStyle w:val="Normal"/>
        <w:widowControl/>
        <w:rPr/>
      </w:pPr>
      <w:r>
        <w:rPr/>
        <w:t>1. Within 24 months after entry into force of the Protocol of Modernization, the Parties shall, through the Committee on Digital Trade Cooperation and competent domestic authorities, establish a framework for mutual recognition or interoperable acceptance of qualifying digital identity credentials, electronic signatures, seals, timestamps, and related trust services used in cross-border trade. Recognition shall depend on published criteria addressing, as applicable, identity proofing or attribute verification, authentication strength, credential integrity, issuer governance, revocation or status checking, security controls, privacy and data minimization, auditability, and available redress. A Party may refuse or condition recognition where a material difference in assurance, law, security, privacy, fraud risk, or regulated use makes recognition inappropriate, but shall provide the principal reasons and permit reconsideration when the deficiency is cured. Until the framework is operational, existing domestic and treaty rules continue to govern and no Party is required to recognize a credential solely because it was issued or accepted in another Party.</w:t>
      </w:r>
    </w:p>
    <w:p>
      <w:bookmarkStart w:id="1099" w:name="_NAESTMA_TOC_1099"/>
      <w:pPr>
        <w:pStyle w:val="Heading2"/>
        <w:keepNext/>
        <w:widowControl/>
        <w:rPr/>
      </w:pPr>
      <w:bookmarkStart w:id="69" w:name="_Toc237912546"/>
      <w:r>
        <w:rPr/>
        <w:t>Article 19.F: Committee on Digital Trade Cooperation</w:t>
      </w:r>
      <w:bookmarkEnd w:id="69"/>
      <w:bookmarkEnd w:id="1099"/>
    </w:p>
    <w:p>
      <w:pPr>
        <w:pStyle w:val="Normal"/>
        <w:widowControl/>
        <w:rPr/>
      </w:pPr>
      <w:r>
        <w:rPr/>
        <w:t>1. The Parties establish a Committee on Digital Trade Cooperation, composed of senior officials of each Party, which shall: (a) oversee implementation of this Chapter as amended; (b) administer the Artificial Intelligence Regulatory Cooperation Track under Article 39.3; (c) address emerging digital-trade barriers; (d) coordinate the cybersecurity standards referenced in Annex 35-C, Part 3; and (e) report annually to the Commission.</w:t>
      </w:r>
    </w:p>
    <w:p>
      <w:bookmarkStart w:id="1100" w:name="_NAESTMA_TOC_1100"/>
      <w:pPr>
        <w:pStyle w:val="Heading2"/>
        <w:keepNext/>
        <w:widowControl/>
        <w:rPr/>
      </w:pPr>
      <w:bookmarkStart w:id="70" w:name="_Toc237912547"/>
      <w:r>
        <w:rPr/>
        <w:t>Article 19.G: Open Government Data for Trade</w:t>
      </w:r>
      <w:bookmarkEnd w:id="70"/>
      <w:bookmarkEnd w:id="1100"/>
    </w:p>
    <w:p>
      <w:pPr>
        <w:pStyle w:val="Normal"/>
        <w:widowControl/>
        <w:rPr/>
      </w:pPr>
      <w:r>
        <w:rPr/>
        <w:t>1. Each Party shall endeavor to make publicly available, in machine-readable form, government data relevant to North American trade, including tariff data, TRQ utilization, border wait times, and trade statistics, consistent with Article 19.16 and Article 35.24.</w:t>
      </w:r>
    </w:p>
    <w:p>
      <w:bookmarkStart w:id="1101" w:name="_NAESTMA_TOC_1101"/>
      <w:pPr>
        <w:pStyle w:val="Heading2"/>
        <w:keepNext/>
        <w:widowControl/>
        <w:rPr/>
      </w:pPr>
      <w:r>
        <w:rPr/>
        <w:t>Article 19.H: Digital Regulatory Interoperability and Verified Outcomes</w:t>
      </w:r>
      <w:bookmarkEnd w:id="1101"/>
    </w:p>
    <w:p>
      <w:pPr>
        <w:pStyle w:val="Normal"/>
        <w:widowControl/>
        <w:rPr/>
      </w:pPr>
      <w:r>
        <w:rPr/>
        <w:t>1. The Parties retain authority to establish their own levels of privacy, safety, consumer, cultural, cybersecurity, artificial-intelligence, and other digital protection, while seeking interoperable standards, mutual or unilateral recognition of materially equivalent outcomes, portable evidence, and common technical interfaces where these can reduce unnecessary duplication without lowering a Party’s chosen level of protection.</w:t>
      </w:r>
    </w:p>
    <w:p>
      <w:pPr>
        <w:pStyle w:val="Normal"/>
        <w:widowControl/>
        <w:rPr/>
      </w:pPr>
      <w:r>
        <w:rPr/>
        <w:t>2. Recognition shall be based on objective, published, technology-neutral criteria and may operate at the level of a framework, requirement, certification, audit, credential, or service. Foreign compliance shall not be deemed equivalent solely because it originates in another Party.</w:t>
      </w:r>
    </w:p>
    <w:p>
      <w:pPr>
        <w:pStyle w:val="Normal"/>
        <w:widowControl/>
        <w:rPr/>
      </w:pPr>
      <w:r>
        <w:rPr/>
        <w:t>3. A person seeking recognition bears the initial burden of demonstrating satisfaction of applicable published criteria. Once demonstrated, compliance shall be presumed unless the competent authority identifies documented evidence sufficient to rebut that presumption.</w:t>
      </w:r>
    </w:p>
    <w:p>
      <w:pPr>
        <w:pStyle w:val="Normal"/>
        <w:widowControl/>
        <w:rPr/>
      </w:pPr>
      <w:r>
        <w:rPr/>
        <w:t>4. Screening indicators create a basis for inquiry, not a presumption of violation. Material adverse consequences require an affirmative finding on the full record under the applicable procedure.</w:t>
      </w:r>
    </w:p>
    <w:p>
      <w:pPr>
        <w:pStyle w:val="Normal"/>
        <w:widowControl/>
        <w:rPr/>
      </w:pPr>
      <w:r>
        <w:rPr/>
        <w:t>5. Mutual recognition shall reduce duplicative compliance, not reduce the level of protection selected by a Party.</w:t>
      </w:r>
    </w:p>
    <w:p>
      <w:bookmarkStart w:id="1102" w:name="_NAESTMA_TOC_1102"/>
      <w:pPr>
        <w:pStyle w:val="Heading2"/>
        <w:keepNext/>
        <w:widowControl/>
        <w:rPr/>
      </w:pPr>
      <w:r>
        <w:rPr/>
        <w:t>Article 19.I: Portable Compliance Evidence and Regulatory Reliance</w:t>
      </w:r>
      <w:bookmarkEnd w:id="1102"/>
    </w:p>
    <w:p>
      <w:pPr>
        <w:pStyle w:val="Normal"/>
        <w:widowControl/>
        <w:rPr/>
      </w:pPr>
      <w:r>
        <w:rPr/>
        <w:t>1. Where a competent authority accepts a methodology for a regulatory purpose, it shall, where reasonably practicable, permit reliable audits, certifications, testing results, technical assessments, and other compliance evidence already produced under that methodology to be submitted and reused for the same or a materially comparable purpose. Acceptance of prior evidence does not require acceptance of a prior legal conclusion.</w:t>
      </w:r>
    </w:p>
    <w:p>
      <w:pPr>
        <w:pStyle w:val="Normal"/>
        <w:widowControl/>
        <w:rPr/>
      </w:pPr>
      <w:r>
        <w:rPr/>
        <w:t>2. A Party may require supplementary or new evidence where material differences in law, risk, scope, population, technology, methodology, time elapsed, or identified deficiency reasonably justify it. A request that substantially duplicates evidence already accepted or available shall identify the material difference or deficiency that makes the additional work necessary.</w:t>
      </w:r>
    </w:p>
    <w:p>
      <w:pPr>
        <w:pStyle w:val="Normal"/>
        <w:widowControl/>
        <w:rPr/>
      </w:pPr>
      <w:r>
        <w:rPr/>
        <w:t>3. Where a regulated person reasonably relies on a recognized standard or approval and a competent authority subsequently makes a material change that would render that reliance non-compliant, the authority shall provide a proportionate transition period or another lawful transition mechanism unless urgent evidence demonstrates a material risk requiring faster action. The authority shall identify the basis for any urgent departure from ordinary transition treatment.</w:t>
      </w:r>
    </w:p>
    <w:p>
      <w:pPr>
        <w:pStyle w:val="Normal"/>
        <w:widowControl/>
        <w:rPr/>
      </w:pPr>
      <w:r>
        <w:rPr/>
        <w:t>4. An isolated, non-material good-faith compliance error that is promptly corrected shall not by itself require loss of recognition. This paragraph does not protect fraud, deliberate concealment, systematic non-compliance, exploitation, or severe unresolved risk.</w:t>
      </w:r>
    </w:p>
    <w:p>
      <w:bookmarkStart w:id="1103" w:name="_NAESTMA_TOC_1103"/>
      <w:pPr>
        <w:pStyle w:val="Heading2"/>
        <w:keepNext/>
        <w:widowControl/>
        <w:rPr/>
      </w:pPr>
      <w:r>
        <w:rPr/>
        <w:t>Article 19.J: Child-Safe Digital Services and Incentive-Based Safety</w:t>
      </w:r>
      <w:bookmarkEnd w:id="1103"/>
    </w:p>
    <w:p>
      <w:pPr>
        <w:pStyle w:val="Normal"/>
        <w:widowControl/>
        <w:rPr/>
      </w:pPr>
      <w:r>
        <w:rPr/>
        <w:t>1. The Parties recognize protection of minors online as a legitimate public-policy objective. Where a Party regulates covered digital services for child safety, its measures should, consistent with domestic law, favor performance-based, proportionate, non-discriminatory approaches that permit materially equivalent technical designs rather than prescribing a particular vendor or interface.</w:t>
      </w:r>
    </w:p>
    <w:p>
      <w:pPr>
        <w:pStyle w:val="Normal"/>
        <w:widowControl/>
        <w:rPr/>
      </w:pPr>
      <w:r>
        <w:rPr/>
        <w:t>2. A Party may, under its domestic law, recognize a Child-Safe Mode or equivalent operating configuration as one means of demonstrating compliance with applicable child-safety requirements. Any recognition criteria shall be published and shall address, as relevant to the service and demonstrated risk, enhanced privacy, age-appropriate defaults, parental or guardian controls where appropriate, exposure to harmful content and interactions, high-risk engagement mechanisms, accessible reporting and remediation, and privacy-preserving age assurance. Recognition under this paragraph does not itself create or expand a domestic child-safety obligation.</w:t>
      </w:r>
    </w:p>
    <w:p>
      <w:pPr>
        <w:pStyle w:val="Normal"/>
        <w:widowControl/>
        <w:rPr/>
      </w:pPr>
      <w:r>
        <w:rPr/>
        <w:t>3. A Party may provide lawful domestic incentives for verified child-safety research, development, deployment, or sustained performance, including expedited recognition, reduced duplicative audits, proportionate supervisory relief, procurement recognition, or fiscal incentives under domestic law. Participation is voluntary; this Agreement does not prescribe a tax-credit rate, expenditure level, procurement preference, or entitlement to an incentive.</w:t>
      </w:r>
    </w:p>
    <w:p>
      <w:pPr>
        <w:pStyle w:val="Normal"/>
        <w:widowControl/>
        <w:rPr/>
      </w:pPr>
      <w:r>
        <w:rPr/>
        <w:t>4. Platforms shall remain free to use different technical designs where they demonstrate materially equivalent safety outcomes. No particular interface feature, recommender design, identity technology, or vendor is mandated by this Article.</w:t>
      </w:r>
    </w:p>
    <w:p>
      <w:pPr>
        <w:pStyle w:val="Normal"/>
        <w:widowControl/>
        <w:rPr/>
      </w:pPr>
      <w:r>
        <w:rPr/>
        <w:t>5. Experimental status does not excuse compliance with applicable minimum requirements concerning child exploitation, privacy, emergency safety, or other binding child-protection law.</w:t>
      </w:r>
    </w:p>
    <w:p>
      <w:bookmarkStart w:id="1104" w:name="_NAESTMA_TOC_1104"/>
      <w:pPr>
        <w:pStyle w:val="Heading2"/>
        <w:keepNext/>
        <w:widowControl/>
        <w:rPr/>
      </w:pPr>
      <w:r>
        <w:rPr/>
        <w:t>Article 19.K: Privacy-Preserving Age Assurance and Anonymous Adult Access</w:t>
      </w:r>
      <w:bookmarkEnd w:id="1104"/>
    </w:p>
    <w:p>
      <w:pPr>
        <w:pStyle w:val="Normal"/>
        <w:widowControl/>
        <w:rPr/>
      </w:pPr>
      <w:r>
        <w:rPr/>
        <w:t>1. Where an age-based access rule applies, a Party should permit privacy-preserving methods capable of proving the required age threshold or age band without requiring disclosure of identity or exact birth date where such methods provide sufficient assurance.</w:t>
      </w:r>
    </w:p>
    <w:p>
      <w:pPr>
        <w:pStyle w:val="Normal"/>
        <w:widowControl/>
        <w:rPr/>
      </w:pPr>
      <w:r>
        <w:rPr/>
        <w:t>2. A trusted issuer may establish an age attribute from an approved authoritative or independently verified source and issue a cryptographically protected credential disclosing only the minimum attribute necessary for the transaction.</w:t>
      </w:r>
    </w:p>
    <w:p>
      <w:pPr>
        <w:pStyle w:val="Normal"/>
        <w:widowControl/>
        <w:rPr/>
      </w:pPr>
      <w:r>
        <w:rPr/>
        <w:t>3. A relying service shall not require a name, address, government identifier, exact date of birth, or other unrelated attribute solely to establish an age threshold where a sufficiently reliable minimal-disclosure credential is reasonably available.</w:t>
      </w:r>
    </w:p>
    <w:p>
      <w:pPr>
        <w:pStyle w:val="Normal"/>
        <w:widowControl/>
        <w:rPr/>
      </w:pPr>
      <w:r>
        <w:rPr/>
        <w:t>4. Age-assurance data shall not be repurposed for advertising, unrelated profiling, recommendation optimization, credit scoring, commercial data enrichment, or unrelated identity analytics.</w:t>
      </w:r>
    </w:p>
    <w:p>
      <w:pPr>
        <w:pStyle w:val="Normal"/>
        <w:widowControl/>
        <w:rPr/>
      </w:pPr>
      <w:r>
        <w:rPr/>
        <w:t>5. No Party shall require a centralized registry connecting identifiable individuals with lawful services, content, pages, queries, or activities for which age credentials are presented.</w:t>
      </w:r>
    </w:p>
    <w:p>
      <w:pPr>
        <w:pStyle w:val="Normal"/>
        <w:widowControl/>
        <w:rPr/>
      </w:pPr>
      <w:r>
        <w:rPr/>
        <w:t>6. Credential systems should provide unlinkability across relying services and transactions to the maximum extent technically practicable and should separate the entity establishing eligibility from knowledge of the content or service subsequently accessed.</w:t>
      </w:r>
    </w:p>
    <w:p>
      <w:pPr>
        <w:pStyle w:val="Normal"/>
        <w:widowControl/>
        <w:rPr/>
      </w:pPr>
      <w:r>
        <w:rPr/>
        <w:t>7. Satisfaction of an age-assurance requirement shall not by itself extinguish an adult’s ability to access lawful online content anonymously or pseudonymously.</w:t>
      </w:r>
    </w:p>
    <w:p>
      <w:pPr>
        <w:pStyle w:val="Normal"/>
        <w:widowControl/>
        <w:rPr/>
      </w:pPr>
      <w:r>
        <w:rPr/>
        <w:t>8. Parties should permit multiple qualified issuers and interoperable open standards where consistent with domestic law, security, privacy, and fraud-prevention requirements.</w:t>
      </w:r>
    </w:p>
    <w:p>
      <w:bookmarkStart w:id="1105" w:name="_NAESTMA_TOC_1105"/>
      <w:pPr>
        <w:pStyle w:val="Heading2"/>
        <w:keepNext/>
        <w:widowControl/>
        <w:rPr/>
      </w:pPr>
      <w:r>
        <w:rPr/>
        <w:t>Article 19.L: Digital Content and Function Risk Bands</w:t>
      </w:r>
      <w:bookmarkEnd w:id="1105"/>
    </w:p>
    <w:p>
      <w:pPr>
        <w:pStyle w:val="Normal"/>
        <w:widowControl/>
        <w:rPr/>
      </w:pPr>
      <w:r>
        <w:rPr/>
        <w:t>1. The Parties may develop interoperable risk bands for digital content and functions while retaining domestic classification labels and cultural-policy authority.</w:t>
      </w:r>
    </w:p>
    <w:p>
      <w:pPr>
        <w:pStyle w:val="Normal"/>
        <w:widowControl/>
        <w:rPr/>
      </w:pPr>
      <w:r>
        <w:rPr/>
        <w:t>2. Risk bands may distinguish general access, age-appropriate safeguards, enhanced minor protections, mature-content controls, and adult-only access. A Party need not classify an entire platform at the same level where particular functions or content can be classified separately.</w:t>
      </w:r>
    </w:p>
    <w:p>
      <w:pPr>
        <w:pStyle w:val="Normal"/>
        <w:widowControl/>
        <w:rPr/>
      </w:pPr>
      <w:r>
        <w:rPr/>
        <w:t>3. A service may satisfy applicable requirements through function-level access controls, a verified Child-Safe Mode, privacy-preserving age assurance, or a combination of methods that achieves the required outcome.</w:t>
      </w:r>
    </w:p>
    <w:p>
      <w:pPr>
        <w:pStyle w:val="Normal"/>
        <w:widowControl/>
        <w:rPr/>
      </w:pPr>
      <w:r>
        <w:rPr/>
        <w:t>4. Classification and access-control measures shall be transparent, reviewable, proportionate to demonstrated risk, and administered without discrimination based on nationality or ownership.</w:t>
      </w:r>
    </w:p>
    <w:p>
      <w:bookmarkStart w:id="1106" w:name="_NAESTMA_TOC_1106"/>
      <w:pPr>
        <w:pStyle w:val="Heading2"/>
        <w:keepNext/>
        <w:widowControl/>
        <w:rPr/>
      </w:pPr>
      <w:r>
        <w:rPr/>
        <w:t>Article 19.M: Interactive Artificial Intelligence and Minor Safety</w:t>
      </w:r>
      <w:bookmarkEnd w:id="1106"/>
    </w:p>
    <w:p>
      <w:pPr>
        <w:pStyle w:val="Normal"/>
        <w:widowControl/>
        <w:rPr/>
      </w:pPr>
      <w:r>
        <w:rPr/>
        <w:t>1. Child-safety provisions of this Chapter apply, where relevant, to interactive artificial-intelligence services and AI-enabled social or companion services as well as conventional online platforms.</w:t>
      </w:r>
    </w:p>
    <w:p>
      <w:pPr>
        <w:pStyle w:val="Normal"/>
        <w:widowControl/>
        <w:rPr/>
      </w:pPr>
      <w:r>
        <w:rPr/>
        <w:t>2. Competent authorities may require proportionate safeguards for services capable of generating or facilitating adult sexual content, severe violence, self-harm encouragement, exploitation, predatory interaction, or other categories designated under domestic law.</w:t>
      </w:r>
    </w:p>
    <w:p>
      <w:pPr>
        <w:pStyle w:val="Normal"/>
        <w:widowControl/>
        <w:rPr/>
      </w:pPr>
      <w:r>
        <w:rPr/>
        <w:t>3. Parties should permit service-level or function-level safety modes and privacy-preserving age assurance rather than requiring disclosure of identity where a less intrusive method provides sufficient protection.</w:t>
      </w:r>
    </w:p>
    <w:p>
      <w:pPr>
        <w:pStyle w:val="Normal"/>
        <w:widowControl/>
        <w:rPr/>
      </w:pPr>
      <w:r>
        <w:rPr/>
        <w:t>4. Nothing in this Article requires a Party to permit content or conduct prohibited by its law.</w:t>
      </w:r>
    </w:p>
    <w:p>
      <w:bookmarkStart w:id="1107" w:name="_NAESTMA_TOC_1107"/>
      <w:pPr>
        <w:pStyle w:val="Heading2"/>
        <w:keepNext/>
        <w:widowControl/>
        <w:rPr/>
      </w:pPr>
      <w:r>
        <w:rPr/>
        <w:t>Article 19.N: Encryption, Source Code, and Security-by-Design</w:t>
      </w:r>
      <w:bookmarkEnd w:id="1107"/>
    </w:p>
    <w:p>
      <w:pPr>
        <w:pStyle w:val="Normal"/>
        <w:widowControl/>
        <w:rPr/>
      </w:pPr>
      <w:r>
        <w:rPr/>
        <w:t>1. No Party shall require a provider, as a condition of ordinary market access, to introduce a systemic vulnerability, universal decryption capability, or deliberately weakened encryption into a lawful product or service.</w:t>
      </w:r>
    </w:p>
    <w:p>
      <w:pPr>
        <w:pStyle w:val="Normal"/>
        <w:widowControl/>
        <w:rPr/>
      </w:pPr>
      <w:r>
        <w:rPr/>
        <w:t>2. Paragraph 1 does not prevent lawful investigative, judicial, or national-security measures consistent with a Party’s law, provided such measures do not operate as a disguised requirement for a systemic weakness as a condition of market access.</w:t>
      </w:r>
    </w:p>
    <w:p>
      <w:pPr>
        <w:pStyle w:val="Normal"/>
        <w:widowControl/>
        <w:rPr/>
      </w:pPr>
      <w:r>
        <w:rPr/>
        <w:t>3. Algorithmic or AI accountability may require documentation, testing results, risk assessments, audit access under appropriate confidentiality, or explanations of material system behavior, but shall not ordinarily require public disclosure or transfer of proprietary source code, model weights, or trade secrets except under the conditions permitted by Article 19.16 and applicable law.</w:t>
      </w:r>
    </w:p>
    <w:p>
      <w:pPr>
        <w:pStyle w:val="Normal"/>
        <w:widowControl/>
        <w:rPr/>
      </w:pPr>
      <w:r>
        <w:rPr/>
        <w:t>4. The Parties shall encourage secure-by-design and secure-by-default practices, proportionate vulnerability management, and interoperable cybersecurity baselines.</w:t>
      </w:r>
    </w:p>
    <w:p>
      <w:bookmarkStart w:id="1108" w:name="_NAESTMA_TOC_1108"/>
      <w:pPr>
        <w:pStyle w:val="Heading2"/>
        <w:keepNext/>
        <w:widowControl/>
        <w:rPr/>
      </w:pPr>
      <w:r>
        <w:rPr/>
        <w:t>Article 19.O: Cybersecurity Interoperability and Reusable Assurance</w:t>
      </w:r>
      <w:bookmarkEnd w:id="1108"/>
    </w:p>
    <w:p>
      <w:pPr>
        <w:pStyle w:val="Normal"/>
        <w:widowControl/>
        <w:rPr/>
      </w:pPr>
      <w:r>
        <w:rPr/>
        <w:t>1. The Parties shall encourage interoperability among recognized cybersecurity frameworks and common concepts for incident severity, critical-infrastructure resilience, secure development, identity and access management, and supply-chain security.</w:t>
      </w:r>
    </w:p>
    <w:p>
      <w:pPr>
        <w:pStyle w:val="Normal"/>
        <w:widowControl/>
        <w:rPr/>
      </w:pPr>
      <w:r>
        <w:rPr/>
        <w:t>2. A recognized independent cybersecurity assessment should be reusable across jurisdictions to the extent its scope and methodology satisfy the receiving authority’s requirements.</w:t>
      </w:r>
    </w:p>
    <w:p>
      <w:pPr>
        <w:pStyle w:val="Normal"/>
        <w:widowControl/>
        <w:rPr/>
      </w:pPr>
      <w:r>
        <w:rPr/>
        <w:t>3. Cybersecurity requirements shall be evidence-based, risk-proportionate, and non-discriminatory and shall not require localization except where permitted by this Agreement.</w:t>
      </w:r>
    </w:p>
    <w:p>
      <w:pPr>
        <w:pStyle w:val="Normal"/>
        <w:widowControl/>
        <w:rPr/>
      </w:pPr>
      <w:r>
        <w:rPr/>
        <w:t>4. The Parties shall facilitate practical cybersecurity assistance for small and medium-sized enterprises through existing programs and institutions.</w:t>
      </w:r>
    </w:p>
    <w:p>
      <w:bookmarkStart w:id="1109" w:name="_NAESTMA_TOC_1109"/>
      <w:pPr>
        <w:pStyle w:val="Heading2"/>
        <w:keepNext/>
        <w:widowControl/>
        <w:rPr/>
      </w:pPr>
      <w:r>
        <w:rPr/>
        <w:t>Article 19.P: Artificial Intelligence Capability and Productivity</w:t>
      </w:r>
      <w:bookmarkEnd w:id="1109"/>
    </w:p>
    <w:p>
      <w:pPr>
        <w:pStyle w:val="Normal"/>
        <w:widowControl/>
        <w:rPr/>
      </w:pPr>
      <w:r>
        <w:rPr/>
        <w:t>1. The Parties recognize artificial intelligence as a general-purpose technology capable of materially increasing scientific discovery, productivity, public-service capacity, healthcare capability, industrial competitiveness, accessibility, entrepreneurship, and economic growth.</w:t>
      </w:r>
    </w:p>
    <w:p>
      <w:pPr>
        <w:pStyle w:val="Normal"/>
        <w:widowControl/>
        <w:rPr/>
      </w:pPr>
      <w:r>
        <w:rPr/>
        <w:t>2. Cooperation under this Article is voluntary and may include responsible development, adoption, diffusion, experimentation, and beneficial use of artificial intelligence among small and medium-sized enterprises, workers, students, educators, researchers, healthcare institutions, manufacturers, farms, logistics providers, and public authorities. A Party may select the sectors, programs, instruments, and level of participation appropriate to its domestic priorities and resources.</w:t>
      </w:r>
    </w:p>
    <w:p>
      <w:pPr>
        <w:pStyle w:val="Normal"/>
        <w:widowControl/>
        <w:rPr/>
      </w:pPr>
      <w:r>
        <w:rPr/>
        <w:t>3. Where a Party chooses to cooperate under paragraph 2, implementation should, where appropriate, favor experimentation, interoperability, competition, modularity, reusable evidence, workforce development, and measurable improvements in capability or productivity. No numerical adoption, spending, employment, training, or productivity target is created by this Article.</w:t>
      </w:r>
    </w:p>
    <w:p>
      <w:pPr>
        <w:pStyle w:val="Normal"/>
        <w:widowControl/>
        <w:rPr/>
      </w:pPr>
      <w:r>
        <w:rPr/>
        <w:t>4. Safety, privacy, cybersecurity, and accountability requirements applicable to AI remain determined under each Party's law and the binding provisions of this Agreement. Cooperation under this Article shall not be used to weaken those requirements or to discriminate against a lawful product or service of another Party solely because of nationality.</w:t>
      </w:r>
    </w:p>
    <w:p>
      <w:pPr>
        <w:pStyle w:val="Normal"/>
        <w:widowControl/>
        <w:rPr/>
      </w:pPr>
      <w:r>
        <w:rPr/>
        <w:t>5. Nothing in this Article requires a Party to adopt a particular model, vendor, technical architecture, or regulatory system.</w:t>
      </w:r>
    </w:p>
    <w:p>
      <w:bookmarkStart w:id="1110" w:name="_NAESTMA_TOC_1110"/>
      <w:pPr>
        <w:pStyle w:val="Heading2"/>
        <w:keepNext/>
        <w:widowControl/>
        <w:rPr/>
      </w:pPr>
      <w:r>
        <w:rPr/>
        <w:t>Article 19.Q: North American AI Literacy, Skills, and Opportunity</w:t>
      </w:r>
      <w:bookmarkEnd w:id="1110"/>
    </w:p>
    <w:p>
      <w:pPr>
        <w:pStyle w:val="Normal"/>
        <w:widowControl/>
        <w:rPr/>
      </w:pPr>
      <w:r>
        <w:rPr/>
        <w:t>1. The Parties recognize broad AI literacy and practical AI capability as strategic foundations of North American competitiveness.</w:t>
      </w:r>
    </w:p>
    <w:p>
      <w:pPr>
        <w:pStyle w:val="Normal"/>
        <w:widowControl/>
        <w:rPr/>
      </w:pPr>
      <w:r>
        <w:rPr/>
        <w:t>2. Subject to the constitutional allocation of education authority, domestic priorities, and available resources, the Parties may cooperate to expand accessible AI education and training through schools, colleges, universities, vocational institutions, apprenticeships, work-integrated learning, professional development, community programs, and online resources. Cooperation may include exchange of non-binding curricula, educator resources, evaluation methods, and evidence concerning effective training.</w:t>
      </w:r>
    </w:p>
    <w:p>
      <w:pPr>
        <w:pStyle w:val="Normal"/>
        <w:widowControl/>
        <w:rPr/>
      </w:pPr>
      <w:r>
        <w:rPr/>
        <w:t>3. For cooperation under this Article, AI fluency may include effective use of AI tools and agents; prompt and workflow design; verification of important outputs; data and privacy practices; cybersecurity; synthetic-media awareness; understanding model capabilities and limitations; and appropriate human accountability. This illustrative list does not establish a curriculum, licensing standard, or condition of employment.</w:t>
      </w:r>
    </w:p>
    <w:p>
      <w:pPr>
        <w:pStyle w:val="Normal"/>
        <w:widowControl/>
        <w:rPr/>
      </w:pPr>
      <w:r>
        <w:rPr/>
        <w:t>4. The Parties shall encourage open and modular educational resources, educator training, student competitions, practical industry projects, and pathways from introductory literacy to advanced technical skills.</w:t>
      </w:r>
    </w:p>
    <w:p>
      <w:pPr>
        <w:pStyle w:val="Normal"/>
        <w:widowControl/>
        <w:rPr/>
      </w:pPr>
      <w:r>
        <w:rPr/>
        <w:t>5. No provision of this Article establishes a mandatory continental curriculum or graduation requirement.</w:t>
      </w:r>
    </w:p>
    <w:p>
      <w:bookmarkStart w:id="1111" w:name="_NAESTMA_TOC_1111"/>
      <w:pPr>
        <w:pStyle w:val="Heading2"/>
        <w:keepNext/>
        <w:widowControl/>
        <w:rPr/>
      </w:pPr>
      <w:r>
        <w:rPr/>
        <w:t>Article 19.R: Portable AI Credentials and Workforce Mobility</w:t>
      </w:r>
      <w:bookmarkEnd w:id="1111"/>
    </w:p>
    <w:p>
      <w:pPr>
        <w:pStyle w:val="Normal"/>
        <w:widowControl/>
        <w:rPr/>
      </w:pPr>
      <w:r>
        <w:rPr/>
        <w:t>1. The Parties may facilitate transparent and interoperable recognition of credible academic, vocational, professional, and industry credentials demonstrating artificial-intelligence, cybersecurity, data, and related digital competencies through existing education, professional-recognition, standards, and temporary-entry mechanisms.</w:t>
      </w:r>
    </w:p>
    <w:p>
      <w:pPr>
        <w:pStyle w:val="Normal"/>
        <w:widowControl/>
        <w:rPr/>
      </w:pPr>
      <w:r>
        <w:rPr/>
        <w:t>2. Recognition may include microcredentials, certificates, apprenticeships, prior-learning assessments, and competency-based qualifications. Nothing in this Article requires a competent educational, licensing, immigration, or professional body to recognize a credential it has not determined to be equivalent under its applicable law or procedures.</w:t>
      </w:r>
    </w:p>
    <w:p>
      <w:pPr>
        <w:pStyle w:val="Normal"/>
        <w:widowControl/>
        <w:rPr/>
      </w:pPr>
      <w:r>
        <w:rPr/>
        <w:t>3. The Parties may exchange information and cooperate on reskilling and transition pathways for workers whose occupations are materially transformed by artificial intelligence, including short-cycle credentials, apprenticeships, employer partnerships, and work-integrated learning. Such cooperation does not create an individual right to training, funding, employment, or temporary entry.</w:t>
      </w:r>
    </w:p>
    <w:p>
      <w:pPr>
        <w:pStyle w:val="Normal"/>
        <w:widowControl/>
        <w:rPr/>
      </w:pPr>
      <w:r>
        <w:rPr/>
        <w:t>4. Cooperation should seek to expand access for SMEs, rural and remote communities, Indigenous communities, underserved regions, and workers without requiring creation of a new standing institution.</w:t>
      </w:r>
    </w:p>
    <w:p>
      <w:bookmarkStart w:id="1112" w:name="_NAESTMA_TOC_1112"/>
      <w:pPr>
        <w:pStyle w:val="Heading2"/>
        <w:keepNext/>
        <w:widowControl/>
        <w:rPr/>
      </w:pPr>
      <w:r>
        <w:rPr/>
        <w:t>Article 19.S: SME Artificial Intelligence Diffusion</w:t>
      </w:r>
      <w:bookmarkEnd w:id="1112"/>
    </w:p>
    <w:p>
      <w:pPr>
        <w:pStyle w:val="Normal"/>
        <w:widowControl/>
        <w:rPr/>
      </w:pPr>
      <w:r>
        <w:rPr/>
        <w:t>1. The Parties may cooperate, through existing SME and digital-economy programs, to reduce avoidable barriers to productive adoption of artificial intelligence and related digital tools by small and medium-sized enterprises. Cooperation shall not require a Party to subsidize adoption, provide compute capacity, or alter a generally applicable safety, privacy, cybersecurity, competition, or sectoral rule.</w:t>
      </w:r>
    </w:p>
    <w:p>
      <w:pPr>
        <w:pStyle w:val="Normal"/>
        <w:widowControl/>
        <w:rPr/>
      </w:pPr>
      <w:r>
        <w:rPr/>
        <w:t>2. Participating programs may provide practical training, cybersecurity assistance, technical guidance, access to interoperable tools, demonstration projects, cloud or compute guidance, and connections to educational or research institutions, subject to domestic law, eligibility rules, and available resources.</w:t>
      </w:r>
    </w:p>
    <w:p>
      <w:pPr>
        <w:pStyle w:val="Normal"/>
        <w:widowControl/>
        <w:rPr/>
      </w:pPr>
      <w:r>
        <w:rPr/>
        <w:t>3. AI adoption support shall remain vendor-neutral and should promote portability, competition, and avoidance of unnecessary lock-in.</w:t>
      </w:r>
    </w:p>
    <w:p>
      <w:bookmarkStart w:id="1113" w:name="_NAESTMA_TOC_1113"/>
      <w:pPr>
        <w:pStyle w:val="Heading2"/>
        <w:keepNext/>
        <w:widowControl/>
        <w:rPr/>
      </w:pPr>
      <w:r>
        <w:rPr/>
        <w:t>Article 19.T: AI-Ready Public Data and Modular Government Technology</w:t>
      </w:r>
      <w:bookmarkEnd w:id="1113"/>
    </w:p>
    <w:p>
      <w:pPr>
        <w:pStyle w:val="Normal"/>
        <w:widowControl/>
        <w:rPr/>
      </w:pPr>
      <w:r>
        <w:rPr/>
        <w:t>1. A Party may modernize public information systems to support structured, documented, secure, and interoperable data interfaces capable of responsible use by authorized automated systems and artificial-intelligence tools. Any such modernization remains subject to domestic authority, appropriations, security classification, privacy, records-management, accessibility, and public-law requirements.</w:t>
      </w:r>
    </w:p>
    <w:p>
      <w:pPr>
        <w:pStyle w:val="Normal"/>
        <w:widowControl/>
        <w:rPr/>
      </w:pPr>
      <w:r>
        <w:rPr/>
        <w:t>2. Public authorities may, where appropriate and consistent with procurement law, consider modular architectures, documented interfaces, data portability, reasonable substitution of components, and interoperability in government AI procurement to reduce avoidable vendor lock-in. This paragraph does not require disclosure of protected source code, model weights, trade secrets, security information, or procurement-sensitive information and does not create a procurement preference or award entitlement.</w:t>
      </w:r>
    </w:p>
    <w:p>
      <w:pPr>
        <w:pStyle w:val="Normal"/>
        <w:widowControl/>
        <w:rPr/>
      </w:pPr>
      <w:r>
        <w:rPr/>
        <w:t>3. Parties may maintain catalogues of reusable technical patterns, evaluations, and lessons learned through existing government knowledge systems rather than creating duplicative standing bodies. Participation in or reliance on such catalogues is voluntary unless domestic law provides otherwise.</w:t>
      </w:r>
    </w:p>
    <w:p>
      <w:pPr>
        <w:pStyle w:val="Normal"/>
        <w:widowControl/>
        <w:rPr/>
      </w:pPr>
      <w:r>
        <w:rPr/>
        <w:t>4. Procurement shall remain subject to applicable security, privacy, accessibility, competition, records-management, and public-law requirements.</w:t>
      </w:r>
    </w:p>
    <w:p>
      <w:bookmarkStart w:id="1114" w:name="_NAESTMA_TOC_1114"/>
      <w:pPr>
        <w:pStyle w:val="Heading2"/>
        <w:keepNext/>
        <w:widowControl/>
        <w:rPr/>
      </w:pPr>
      <w:r>
        <w:rPr/>
        <w:t>Article 19.U: AI Productivity Dividend and Experimental Public-Service Adoption</w:t>
      </w:r>
      <w:bookmarkEnd w:id="1114"/>
    </w:p>
    <w:p>
      <w:pPr>
        <w:pStyle w:val="Normal"/>
        <w:widowControl/>
        <w:rPr/>
      </w:pPr>
      <w:r>
        <w:rPr/>
        <w:t>1. Public authorities may, under domestic law and available appropriations, use staged pilots to test whether AI can improve service quality, accessibility, processing speed, backlog management, analytical capability, or employee productivity in identified administrative functions. A pilot shall not itself expand the legal authority of the public body, determine an individual's legal rights or liabilities outside applicable law, or displace required human review.</w:t>
      </w:r>
    </w:p>
    <w:p>
      <w:pPr>
        <w:pStyle w:val="Normal"/>
        <w:widowControl/>
        <w:rPr/>
      </w:pPr>
      <w:r>
        <w:rPr/>
        <w:t>2. A participating authority should establish a baseline and identify in advance the outcomes relevant to the pilot, which may include hours saved, processing time, backlog reduction, error rates, service availability, cost per completed case, employee workload, citizen wait time, and quality changes. Results should record material adverse outcomes as well as benefits and should be retained in a form suitable for later evaluation.</w:t>
      </w:r>
    </w:p>
    <w:p>
      <w:pPr>
        <w:pStyle w:val="Normal"/>
        <w:widowControl/>
        <w:rPr/>
      </w:pPr>
      <w:r>
        <w:rPr/>
        <w:t>3. A successful pilot may be scaled only through the Experimental Technology Pathway or applicable domestic authorization, procurement, privacy, security, labor, records-management, and appropriations procedures. An unsuccessful pilot creates no presumption that the underlying use case must be retried or funded.</w:t>
      </w:r>
    </w:p>
    <w:p>
      <w:pPr>
        <w:pStyle w:val="Normal"/>
        <w:widowControl/>
        <w:rPr/>
      </w:pPr>
      <w:r>
        <w:rPr/>
        <w:t>4. AI-generated work remains attributable to the responsible public authority; use of AI does not eliminate legal accountability.</w:t>
      </w:r>
    </w:p>
    <w:p>
      <w:bookmarkStart w:id="1115" w:name="_NAESTMA_TOC_1115"/>
      <w:pPr>
        <w:pStyle w:val="Heading2"/>
        <w:keepNext/>
        <w:widowControl/>
        <w:rPr/>
      </w:pPr>
      <w:r>
        <w:rPr/>
        <w:t>Article 19.V: AI-Enabled Health Innovation and Interoperability</w:t>
      </w:r>
      <w:bookmarkEnd w:id="1115"/>
    </w:p>
    <w:p>
      <w:pPr>
        <w:pStyle w:val="Normal"/>
        <w:widowControl/>
        <w:rPr/>
      </w:pPr>
      <w:r>
        <w:rPr/>
        <w:t>1. The Parties may cooperate, through existing health, research, standards, and regulatory institutions, on responsible uses of artificial intelligence that may reduce administrative burden, improve clinical information retrieval and documentation, accelerate research, support earlier detection of disease, strengthen clinical decision support, or improve public-health preparedness. Cooperation is subject to domestic health authority, applicable law, ethics requirements, and available resources and does not require deployment of a particular system or clinical use case.</w:t>
      </w:r>
    </w:p>
    <w:p>
      <w:pPr>
        <w:pStyle w:val="Normal"/>
        <w:widowControl/>
        <w:rPr/>
      </w:pPr>
      <w:r>
        <w:rPr/>
        <w:t>2. Cooperation may include interoperable health-data standards such as FHIR or successor standards; structured extraction from unstructured clinical records; voice-to-record documentation; rare-disease and oncology research; validated early-warning systems; frailty and risk screening; and medical-AI evaluation methodologies. References to particular standards or use cases are illustrative and do not incorporate a private standard into binding law unless a Party separately adopts it through its applicable procedures.</w:t>
      </w:r>
    </w:p>
    <w:p>
      <w:pPr>
        <w:pStyle w:val="Normal"/>
        <w:widowControl/>
        <w:rPr/>
      </w:pPr>
      <w:r>
        <w:rPr/>
        <w:t>3. Medical AI shall remain subject to applicable privacy, professional, medical-device, clinical-safety, research-ethics, and health-information requirements.</w:t>
      </w:r>
    </w:p>
    <w:p>
      <w:pPr>
        <w:pStyle w:val="Normal"/>
        <w:widowControl/>
        <w:rPr/>
      </w:pPr>
      <w:r>
        <w:rPr/>
        <w:t>4. Where practicable, sensitive health-data collaboration should favor federated, distributed, privacy-enhancing, or other architectures that move approved computation to protected data rather than centralizing identifiable records.</w:t>
      </w:r>
    </w:p>
    <w:p>
      <w:pPr>
        <w:pStyle w:val="Normal"/>
        <w:widowControl/>
        <w:rPr/>
      </w:pPr>
      <w:r>
        <w:rPr/>
        <w:t>5. AI systems intended for clinical use should be validated for the relevant population, setting, and function and monitored after deployment where appropriate. Cross-border cooperation shall not substitute for required domestic authorization.</w:t>
      </w:r>
    </w:p>
    <w:p>
      <w:pPr>
        <w:pStyle w:val="Normal"/>
        <w:widowControl/>
        <w:rPr/>
      </w:pPr>
      <w:r>
        <w:rPr/>
        <w:t>6. Clinical decision support may retrieve, synthesize, flag, predict, or recommend within applicable law; this Article does not itself authorize autonomous clinical practice.</w:t>
      </w:r>
    </w:p>
    <w:p>
      <w:bookmarkStart w:id="1116" w:name="_NAESTMA_TOC_1116"/>
      <w:pPr>
        <w:pStyle w:val="Heading2"/>
        <w:keepNext/>
        <w:widowControl/>
        <w:rPr/>
      </w:pPr>
      <w:r>
        <w:rPr/>
        <w:t>Article 19.W: North American Medical AI Evaluation and Research Evidence</w:t>
      </w:r>
      <w:bookmarkEnd w:id="1116"/>
    </w:p>
    <w:p>
      <w:pPr>
        <w:pStyle w:val="Normal"/>
        <w:widowControl/>
        <w:rPr/>
      </w:pPr>
      <w:r>
        <w:rPr/>
        <w:t>1. The Parties may cooperate through existing health, research, standards, and regulatory institutions on interoperable evaluation methods for medical AI covering accuracy, calibration, robustness, privacy, cybersecurity, clinical utility, workflow impact, and performance across relevant populations. A receiving competent authority retains authority to determine whether a methodology is acceptable for its regulatory purpose.</w:t>
      </w:r>
    </w:p>
    <w:p>
      <w:pPr>
        <w:pStyle w:val="Normal"/>
        <w:widowControl/>
        <w:rPr/>
      </w:pPr>
      <w:r>
        <w:rPr/>
        <w:t>2. Approved research may use de-identified, anonymized, synthetic, federated, or privacy-enhancing data approaches consistent with applicable law. Nothing in this Article requires creation of a centralized continental medical-record database.</w:t>
      </w:r>
    </w:p>
    <w:p>
      <w:pPr>
        <w:pStyle w:val="Normal"/>
        <w:widowControl/>
        <w:rPr/>
      </w:pPr>
      <w:r>
        <w:rPr/>
        <w:t>3. Evaluation evidence generated under a methodology accepted by a receiving competent authority should be reusable where relevant. Supplementary testing may be required where material differences in population, clinical setting, device configuration, intended use, data quality, time elapsed, or identified safety concern reasonably justify it; the receiving authority should identify the basis for materially duplicative additional testing.</w:t>
      </w:r>
    </w:p>
    <w:p>
      <w:pPr>
        <w:pStyle w:val="Normal"/>
        <w:widowControl/>
        <w:rPr/>
      </w:pPr>
      <w:r>
        <w:rPr/>
        <w:t>4. The Parties may cooperate on rare diseases, cancer, sepsis, public-health surveillance, and other high-value areas through existing health, research, and regulatory institutions.</w:t>
      </w:r>
    </w:p>
    <w:p>
      <w:bookmarkStart w:id="1117" w:name="_NAESTMA_TOC_1117"/>
      <w:pPr>
        <w:pStyle w:val="Heading2"/>
        <w:keepNext/>
        <w:widowControl/>
        <w:rPr/>
      </w:pPr>
      <w:r>
        <w:rPr/>
        <w:t>Article 19.X: AI Vendor Interoperability, Competition, and Open Interfaces</w:t>
      </w:r>
      <w:bookmarkEnd w:id="1117"/>
    </w:p>
    <w:p>
      <w:pPr>
        <w:pStyle w:val="Normal"/>
        <w:widowControl/>
        <w:rPr/>
      </w:pPr>
      <w:r>
        <w:rPr/>
        <w:t>1. The Parties recognize that modular and interoperable AI architectures can improve competition, reduce switching costs, and accelerate adoption of improved models and services.</w:t>
      </w:r>
    </w:p>
    <w:p>
      <w:pPr>
        <w:pStyle w:val="Normal"/>
        <w:widowControl/>
        <w:rPr/>
      </w:pPr>
      <w:r>
        <w:rPr/>
        <w:t>2. Public-sector and cooperative programs may, where appropriate and consistent with applicable procurement, competition, security, and intellectual-property law, support documented interfaces, common data formats, model substitution, portable evaluations, and multi-vendor integration. This Article does not require a public authority to purchase, replace, or integrate a particular system.</w:t>
      </w:r>
    </w:p>
    <w:p>
      <w:pPr>
        <w:pStyle w:val="Normal"/>
        <w:widowControl/>
        <w:rPr/>
      </w:pPr>
      <w:r>
        <w:rPr/>
        <w:t>3. Nothing in this Article requires disclosure of proprietary source code, model weights, trade secrets, or confidential security information.</w:t>
      </w:r>
    </w:p>
    <w:p>
      <w:pPr>
        <w:pStyle w:val="Normal"/>
        <w:widowControl/>
        <w:rPr/>
      </w:pPr>
      <w:r>
        <w:rPr/>
        <w:t>4. Interoperability requirements shall be proportionate and shall not be designed to advantage a domestic vendor or exclude a supplier solely on nationality grounds.</w:t>
      </w:r>
    </w:p>
    <w:p>
      <w:bookmarkStart w:id="1118" w:name="_NAESTMA_TOC_1118"/>
      <w:pPr>
        <w:pStyle w:val="Heading2"/>
        <w:keepNext/>
        <w:widowControl/>
        <w:rPr/>
      </w:pPr>
      <w:r>
        <w:rPr/>
        <w:t>Article 19.Y: Functional Classification of Digital Financial Services</w:t>
      </w:r>
      <w:bookmarkEnd w:id="1118"/>
    </w:p>
    <w:p>
      <w:pPr>
        <w:pStyle w:val="Normal"/>
        <w:widowControl/>
        <w:rPr/>
      </w:pPr>
      <w:r>
        <w:rPr/>
        <w:t>1. Where a digital product or service performs a regulated financial function, the applicable treatment shall be determined principally by the function performed and relevant risk rather than solely by the provider’s characterization as a technology or financial company.</w:t>
      </w:r>
    </w:p>
    <w:p>
      <w:pPr>
        <w:pStyle w:val="Normal"/>
        <w:widowControl/>
        <w:rPr/>
      </w:pPr>
      <w:r>
        <w:rPr/>
        <w:t>2. Where classification of an electronic payment, digital wallet, tokenized instrument, stable-value instrument, or successor technology materially affects whether Chapter 17 or this Chapter applies, the competent authorities of the Parties shall, on request through existing financial-services and digital-trade mechanisms, consult to identify the principally applicable chapter and any overlapping obligations. Consultation does not limit a Party's prudential or other lawful financial-regulatory authority and does not delay an otherwise applicable domestic measure.</w:t>
      </w:r>
    </w:p>
    <w:p>
      <w:pPr>
        <w:pStyle w:val="Normal"/>
        <w:widowControl/>
        <w:rPr/>
      </w:pPr>
      <w:r>
        <w:rPr/>
        <w:t>3. Nothing in this Article limits prudential, anti-money-laundering, sanctions, consumer-protection, market-integrity, or financial-stability measures otherwise permitted by this Agreement.</w:t>
      </w:r>
    </w:p>
    <w:p>
      <w:bookmarkStart w:id="1119" w:name="_NAESTMA_TOC_1119"/>
      <w:pPr>
        <w:pStyle w:val="Heading2"/>
        <w:keepNext/>
        <w:widowControl/>
        <w:rPr/>
      </w:pPr>
      <w:r>
        <w:rPr/>
        <w:t>Article 19.Z: Existing-Institution Presumption for Digital and AI Cooperation</w:t>
      </w:r>
      <w:bookmarkEnd w:id="1119"/>
    </w:p>
    <w:p>
      <w:pPr>
        <w:pStyle w:val="Normal"/>
        <w:widowControl/>
        <w:rPr/>
      </w:pPr>
      <w:r>
        <w:rPr/>
        <w:t>1. Articles 19.H through 19.Y shall be implemented, to the maximum extent practicable, through the Free Trade Commission, the Committee on Digital Trade Cooperation established by Article 19.F, competent domestic regulators, existing education, health, research, cybersecurity, standards, and SME institutions, and other mechanisms already established by this Agreement.</w:t>
      </w:r>
    </w:p>
    <w:p>
      <w:pPr>
        <w:pStyle w:val="Normal"/>
        <w:widowControl/>
        <w:rPr/>
      </w:pPr>
      <w:r>
        <w:rPr/>
        <w:t>2. No new standing council, secretariat, summit body, task force, registry authority, fellowship administration, innovation fund, or permanent network is created by Articles 19.H through 19.Y unless the Parties expressly establish one through applicable implementation or amendment procedures after determining that existing institutions cannot efficiently perform the function. Articles 19.P through 19.X are cooperative or enabling provisions except to the extent that a paragraph expressly states a binding prohibition or procedural safeguard. A Party's decision not to fund, pilot, procure, teach, deploy, or participate in an activity authorized only by those cooperative provisions does not constitute non-compliance, reduce unrelated benefits, or authorize retaliation.</w:t>
      </w:r>
    </w:p>
    <w:p>
      <w:pPr>
        <w:pStyle w:val="Normal"/>
        <w:widowControl/>
        <w:rPr/>
      </w:pPr>
      <w:r>
        <w:rPr/>
        <w:t>3. The Committee on Digital Trade Cooperation should coordinate rather than duplicate the jurisdiction of specialized regulators and may designate time-limited technical workstreams using existing personnel.</w:t>
      </w:r>
    </w:p>
    <w:p>
      <w:pPr>
        <w:pStyle w:val="Normal"/>
        <w:widowControl/>
        <w:rPr/>
      </w:pPr>
      <w:r>
        <w:rPr/>
        <w:t>4. Cooperative projects remain subject to available resources and do not compel an appropriation of public funds.</w:t>
      </w:r>
      <w:r>
        <w:br w:type="page"/>
      </w:r>
    </w:p>
    <w:p>
      <w:bookmarkStart w:id="1120" w:name="_NAESTMA_TOC_1120"/>
      <w:pPr>
        <w:pStyle w:val="Heading1"/>
        <w:keepNext/>
        <w:keepLines w:val="0"/>
        <w:pageBreakBefore/>
        <w:widowControl/>
        <w:rPr/>
      </w:pPr>
      <w:bookmarkStart w:id="71" w:name="_Toc237912548"/>
      <w:r>
        <w:rPr/>
        <w:t>CHAPTER 20 INTELLECTUAL PROPERTY RIGHTS Section A: General Provisions</w:t>
      </w:r>
      <w:bookmarkEnd w:id="71"/>
      <w:bookmarkEnd w:id="1120"/>
    </w:p>
    <w:p>
      <w:pPr>
        <w:pStyle w:val="Normal"/>
        <w:widowControl/>
        <w:rPr/>
      </w:pPr>
      <w:r>
        <w:rPr/>
        <w:t>Article 20.1: Definitions 1. For the purposes of this Chapter: Berne Convention means the Berne Convention for the Protection of Literary and Artistic Works, done at Berne on September 9, 1886, as revised at Paris on July 24, 1971; Brussels Convention means the Convention Relating to the Distribution of Programme- Carrying Signals Transmitted by Satellite, done at Brussels on May 21, 1974; Budapest Treaty means the Budapest Treaty on the International Recognition of the Deposit of Microorganisms for the Purposes of Patent Procedure (1977), done at Budapest on April 28, 1977, as amended on September 26, 1980; Declaration on TRIPS and Public Health means the Declaration on the TRIPS Agreement and Public Health (WT/MIN(01)/DEC/2), adopted on November 14, 2001; geographical indication means an indication that identifies a good as originating in the territory of a Party, or a region or locality in that territory, where a given quality, reputation, or other characteristic of the good is essentially attributable to its geographical origin;</w:t>
      </w:r>
    </w:p>
    <w:p>
      <w:pPr>
        <w:pStyle w:val="Normal"/>
        <w:widowControl/>
        <w:rPr/>
      </w:pPr>
      <w:r>
        <w:rPr/>
        <w:t>Hague Agreement means the Geneva Act of the Hague Agreement Concerning the International Registration of Industrial Designs, done at Geneva on July 2, 1999; intellectual property refers to all categories of intellectual property that are the subject of Sections 1 through 7 of Part II of the TRIPS Agreement; Madrid Protocol means the Protocol Relating to the Madrid Agreement Concerning the International Registration of Marks, done at Madrid on</w:t>
      </w:r>
    </w:p>
    <w:p>
      <w:pPr>
        <w:pStyle w:val="Normal"/>
        <w:widowControl/>
        <w:rPr/>
      </w:pPr>
      <w:r>
        <w:rPr/>
        <w:t>June 27, 1989; Paris Convention means the Paris Convention for the Protection of Industrial Property, done at Paris on March 20, 1883 as revised at Stockholm on July 14, 1967; performance means a performance fixed in a phonogram, unless otherwise specified; with respect to copyright and related rights, right to authorize or prohibit refers to exclusive rights; PLT means the Patent Law Treaty adopted by the WIPO Diplomatic Conference done at Geneva on June 1, 2000; Singapore Treaty means the Singapore Treaty on the Law of Trademarks, done at Singapore on March 27, 2006; UPOV 1991 means the International Convention for the Protection of New Varieties of Plants, done at Paris on December 2, 1961, as revised at Geneva on March 19, 1991; WCT means the WIPO Copyright Treaty, done at Geneva on December 20, 1996; WIPO means the World Intellectual Property Organization; for greater certainty, work includes a cinematographic work, photographic work, and computer program; and WPPT means the WIPO Performances and Phonograms Treaty, done at Geneva on December 20, 1996. 2.</w:t>
      </w:r>
    </w:p>
    <w:p>
      <w:pPr>
        <w:pStyle w:val="Normal"/>
        <w:widowControl/>
        <w:rPr/>
      </w:pPr>
      <w:r>
        <w:rPr/>
        <w:t>For the purposes of Article 20.8 (National Treatment), Article 20.30 (Administrative Procedures for the Protection or Recognition of Geographical Indications), and Article 20.62 (Related Rights): a national means, in respect of the relevant right, a person of a Party that would meet the criteria for eligibility for protection provided for in the agreements listed in Article 20.7 (International Agreements) or the TRIPS Agreement.</w:t>
      </w:r>
    </w:p>
    <w:p>
      <w:pPr>
        <w:pStyle w:val="Normal"/>
        <w:keepNext w:val="true"/>
        <w:widowControl/>
        <w:rPr/>
      </w:pPr>
      <w:r>
        <w:rPr/>
        <w:t>Article 20.2: Objectives The protection and enforcement of intellectual property rights should contribute to the promotion of technological innovation and to the transfer and dissemination of technology, to the mutual advantage of producers and users of technological knowledge and in a manner conducive to social and economic welfare, and to a balance of rights and obligations.</w:t>
      </w:r>
    </w:p>
    <w:p>
      <w:pPr>
        <w:pStyle w:val="Normal"/>
        <w:keepNext w:val="true"/>
        <w:widowControl/>
        <w:rPr/>
      </w:pPr>
      <w:r>
        <w:rPr/>
        <w:t>Article 20.3: Principles 1. A Party may, in formulating or amending its laws and regulations, adopt measures necessary to protect public health and nutrition, and to promote the public interest in sectors of vital importance to their socio-economic and technological development, provided that those measures are consistent with the provisions of this Chapter. 2. Appropriate measures, provided that they are consistent with the provisions of this Chapter, may be needed to prevent the abuse of intellectual property rights by right holders or the resort to practices which unreasonably restrain trade or adversely affect the international transfer of technology.</w:t>
      </w:r>
    </w:p>
    <w:p>
      <w:pPr>
        <w:pStyle w:val="Normal"/>
        <w:keepNext w:val="true"/>
        <w:widowControl/>
        <w:rPr/>
      </w:pPr>
      <w:r>
        <w:rPr/>
        <w:t>Article 20.4: Understandings in Respect of this Chapter Having regard to the underlying public policy objectives of national systems, the Parties recognize the need to: (a) promote innovation and creativity; (b) facilitate the diffusion of information, knowledge, technology, culture, and the arts; and (c) foster competition and open and efficient markets; through their respective intellectual property systems, while respecting the principles of transparency and due process, and taking into account the interests of relevant stakeholders, including right holders, service providers, users, and the public.</w:t>
      </w:r>
    </w:p>
    <w:p>
      <w:pPr>
        <w:pStyle w:val="Normal"/>
        <w:keepNext w:val="true"/>
        <w:widowControl/>
        <w:rPr/>
      </w:pPr>
      <w:r>
        <w:rPr/>
        <w:t>Article 20.5: Nature and Scope of Obligations 1. Each Party shall provide in its territory to the nationals of another Party adequate and effective protection and enforcement of intellectual property rights, while ensuring that measures to enforce intellectual property rights do not themselves become barriers to legitimate trade. 2. A Party may, but shall not be obliged to, provide more extensive protection for, or enforcement of, intellectual property rights under its law than is required by this Chapter, provided that such protection or enforcement does not contravene this Chapter. Each Party shall be free to determine the appropriate method of implementing the provisions of this Chapter within its own legal system and practice.</w:t>
      </w:r>
    </w:p>
    <w:p>
      <w:pPr>
        <w:pStyle w:val="Normal"/>
        <w:keepNext w:val="true"/>
        <w:widowControl/>
        <w:rPr/>
      </w:pPr>
      <w:r>
        <w:rPr/>
        <w:t>Article 20.6: Understandings Regarding Certain Public Health Measures The Parties affirm their commitment to the Declaration on TRIPS and Public Health. In particular, the Parties have reached the following understandings regarding this Chapter: (a) The obligations of this Chapter do not and should not prevent a Party from taking measures to protect public health. Accordingly, while reiterating their commitment to this Chapter, the Parties affirm that this Chapter can and should be interpreted and implemented in a manner supportive of each Party’s right to protect public health and, in particular, to promote access to medicines for all. Each Party has the right to determine what constitutes a national emergency or other circumstances of extreme urgency, it being understood that public health crises, including those relating to HIV/AIDS, tuberculosis, malaria, and other epidemics, can represent a national emergency or other circumstances of extreme urgency.</w:t>
      </w:r>
    </w:p>
    <w:p>
      <w:pPr>
        <w:pStyle w:val="Normal"/>
        <w:widowControl/>
        <w:rPr/>
      </w:pPr>
      <w:r>
        <w:rPr/>
        <w:t>(b) In recognition of the commitment to access to medicines that are supplied in accordance with the Decision of the WTO General Council of August 30, 2003 on the Implementation of Paragraph Six of the Doha Declaration on the TRIPS Agreement and Public Health (WT/L/540) and the WTO General Council Chairman’s Statement Accompanying the Decision (JOB(03)/177, WT/GC/M/82), as well as the Decision of the WTO General Council of December 6, 2005 on the Amendment of the TRIPS Agreement, (WT/L/641) and the WTO General Council Chairperson’s Statement Accompanying the Decision (JOB(05)/319 and Corr. 1,WT/GC/M/100) (collectively, the “TRIPS/health solution”), this Chapter does not and should not prevent the effective utilization of the TRIPS/health solution. (c) With respect to the aforementioned matters, if any waiver of a provision of the TRIPS Agreement, or any amendment of the TRIPS Agreement, enters into force with respect to the Parties, and a Party’s application of a measure in conformity with that waiver or amendment is contrary to the obligations of this Chapter, the Parties shall immediately consult in order to adapt this Chapter as appropriate in the light of the waiver or amendment.</w:t>
      </w:r>
    </w:p>
    <w:p>
      <w:pPr>
        <w:pStyle w:val="Normal"/>
        <w:keepNext w:val="true"/>
        <w:widowControl/>
        <w:rPr/>
      </w:pPr>
      <w:r>
        <w:rPr/>
        <w:t>Article 20.7: International Agreements 1. Each Party affirms that it has ratified or acceded to the following agreements: (a) Patent Cooperation Treaty, as amended on September 28, 1979, and modified on February 3, 1984; (b) Paris Convention; (c) Berne Convention; (d) WCT; and (e) WPPT. 2. Each Party shall ratify or accede to each of the following agreements, if it is not already a party to that agreement, by the date of entry into force of this Agreement: (a) Madrid Protocol; (b) Budapest Treaty; (c) Singapore Treaty;1 (d) UPOV 1991; (e) Hague Agreement; and (f) Brussels Convention. 3. Each Party shall give due consideration to ratifying or acceding to the PLT, or, in the alternative, shall adopt or maintain procedural standards consistent with the objective of the PLT.</w:t>
      </w:r>
    </w:p>
    <w:p>
      <w:pPr>
        <w:pStyle w:val="Normal"/>
        <w:keepNext w:val="true"/>
        <w:widowControl/>
        <w:rPr/>
      </w:pPr>
      <w:r>
        <w:rPr/>
        <w:t>Article 20.8: National Treatment 1. In respect of all categories of intellectual property covered in this Chapter, each Party shall accord to nationals of another Party treatment no less favorable than it accords to its own nationals with regard to the protection2 of intellectual property rights. 2. A Party may derogate from paragraph 1 in relation to its judicial and administrative procedures, including requiring a national of another Party to designate an address for service of process in its territory, or to appoint an agent in its territory, provided that this derogation is: 1 A Party may satisfy the obligations in paragraphs 2(a) and 2(c) by ratifying or acceding to either the Madrid Protocol or the Singapore Treaty. 2 For the purposes of this paragraph, “protection” shall include matters affecting the availability, acquisition, scope, maintenance and enforcement of intellectual property rights as well as matters affecting the use of intellectual property rights specifically covered by this Chapter. Further, for the purposes of this paragraph, “protection” also includes the prohibition on the circumvention of effective technological measures set out in Article 20.67 (Technological Protection Measures) and the provisions concerning rights management information set out in Article 20.68 (Rights Management Information).</w:t>
      </w:r>
    </w:p>
    <w:p>
      <w:pPr>
        <w:pStyle w:val="Normal"/>
        <w:widowControl/>
        <w:rPr/>
      </w:pPr>
      <w:r>
        <w:rPr/>
        <w:t>For greater certainty, “matters affecting the use of intellectual property rights specifically covered by this Chapter” in respect of works, performances, and phonograms, include any form of payment, such as licensing fees, royalties, equitable remuneration, or levies, in respect of uses that fall under the copyright and related rights in this Chapter. The preceding sentence is without prejudice to a Party’s interpretation of “matters affecting the use of intellectual property rights” in footnote 3 of the TRIPS Agreement. (a) necessary to secure compliance with laws or regulations that are not inconsistent with this Chapter; and (b) not applied in a manner that would constitute a disguised restriction on trade. 3. Paragraph 1 does not apply to procedures provided in multilateral agreements concluded under the auspices of WIPO relating to the acquisition or maintenance of intellectual property rights.</w:t>
      </w:r>
    </w:p>
    <w:p>
      <w:pPr>
        <w:pStyle w:val="Normal"/>
        <w:keepNext w:val="true"/>
        <w:widowControl/>
        <w:rPr/>
      </w:pPr>
      <w:r>
        <w:rPr/>
        <w:t>Article 20.9: Transparency 1. Further to Article 20.81 (Enforcement Practices with Respect to Intellectual Property Rights), each Party shall endeavor to publish online its laws, regulations, procedures, and administrative rulings of general application concerning the protection and enforcement of intellectual property rights. 2. Each Party shall, subject to its law, endeavor to publish online information that it makes public concerning applications for trademarks, geographical indications, designs, patents, and plant variety rights.3, 4 3. Each Party shall, subject to its law, publish online information that it makes public concerning registered or granted trademarks, geographical indications, designs, patents, and plant variety rights, sufficient to enable the public to become acquainted with those registered or granted rights.5</w:t>
      </w:r>
    </w:p>
    <w:p>
      <w:pPr>
        <w:pStyle w:val="Normal"/>
        <w:keepNext w:val="true"/>
        <w:widowControl/>
        <w:rPr/>
      </w:pPr>
      <w:r>
        <w:rPr/>
        <w:t>Article 20.10: Application of Chapter to Existing Subject Matter and Prior Acts 1. Unless otherwise provided in this Chapter, including in Article 20.64 (Application of Article 18 of the Berne Convention and Article 14.6 of the TRIPS Agreement), this Chapter gives rise to obligations in respect of all subject matter existing at the date of entry into force of this Agreement and that is protected on that date in the territory of a Party where protection is claimed, or that meets or comes subsequently to meet the criteria for protection under this Chapter. 3 For greater certainty, paragraphs 2 and 3 are without prejudice to a Party’s obligations under Article 20.23 (Electronic Trademarks System). 4 For greater certainty, paragraph 2 does not require a Party to publish online the entire dossier for the relevant application. 5 For greater certainty, paragraph 3 does not require a Party to publish online the entire dossier for the relevant registered or granted intellectual property right. 2.</w:t>
      </w:r>
    </w:p>
    <w:p>
      <w:pPr>
        <w:pStyle w:val="Normal"/>
        <w:widowControl/>
        <w:rPr/>
      </w:pPr>
      <w:r>
        <w:rPr/>
        <w:t>Unless provided in Article 20.64 (Application of Article 18 of the Berne Convention and Article 14.6 of the TRIPS Agreement), a Party shall not be required to restore protection to subject matter that on the date of entry into force of this Agreement has fallen into the public domain in its territory. 3. This Chapter does not give rise to obligations in respect of acts that occurred before the date of entry into force of this Agreement.</w:t>
      </w:r>
    </w:p>
    <w:p>
      <w:pPr>
        <w:pStyle w:val="Normal"/>
        <w:keepNext w:val="true"/>
        <w:widowControl/>
        <w:rPr/>
      </w:pPr>
      <w:r>
        <w:rPr/>
        <w:t>Article 20.11: Exhaustion of Intellectual Property Rights Nothing in this Agreement prevents a Party from determining whether or under what conditions the exhaustion of intellectual property rights applies under its legal system.6 Section B: Cooperation</w:t>
      </w:r>
    </w:p>
    <w:p>
      <w:pPr>
        <w:pStyle w:val="Normal"/>
        <w:keepNext w:val="true"/>
        <w:widowControl/>
        <w:rPr/>
      </w:pPr>
      <w:r>
        <w:rPr/>
        <w:t>Article 20.12: Contact Points for Cooperation Each Party may designate and notify the other Parties of one or more contact points for the purpose of cooperation under this Section.</w:t>
      </w:r>
    </w:p>
    <w:p>
      <w:pPr>
        <w:pStyle w:val="Normal"/>
        <w:keepNext w:val="true"/>
        <w:widowControl/>
        <w:rPr/>
      </w:pPr>
      <w:r>
        <w:rPr/>
        <w:t>Article 20.13: Cooperation The Parties shall endeavor to cooperate on the subject matter covered by this Chapter, such as through appropriate coordination and exchange of information between their respective intellectual property offices, or other agencies or institutions, as determined by each Party.</w:t>
      </w:r>
    </w:p>
    <w:p>
      <w:pPr>
        <w:pStyle w:val="Normal"/>
        <w:keepNext w:val="true"/>
        <w:widowControl/>
        <w:rPr/>
      </w:pPr>
      <w:r>
        <w:rPr/>
        <w:t>Article 20.14: Committee on Intellectual Property Rights 1. The Parties hereby establish a Committee on Intellectual Property Rights (IPR Committee), composed of government representatives of each Party. 2. The IPR Committee shall: For greater certainty, this Article is without prejudice to any provisions addressing the exhaustion of intellectual property rights in international agreements to which a Party is a party. (a) exchange information, pertaining to intellectual property rights matters, including how intellectual property protection contributes to innovation, creativity, economic growth, and employment, such as: (i) developments in domestic and international intellectual property law and policy, (ii) economic benefits related to trade and other analysis of the contributions arising from the protection and enforcement of intellectual property rights, (iii) intellectual property issues particularly relevant to small and medium- sized enterprises; science, technology, and innovation activities; and to the generation, transfer, and dissemination of technology, (iv) approaches for reducing the infringement of intellectual property rights, as well as effective strategies for removing the underlying incentives for infringement, (v) programs on education and awareness related to intellectual property and building capacity regarding intellectual property rights matters, and (vi) implementation of multilateral intellectual property agreements, such as those concluded or</w:t>
      </w:r>
    </w:p>
    <w:p>
      <w:pPr>
        <w:pStyle w:val="Normal"/>
        <w:widowControl/>
        <w:rPr/>
      </w:pPr>
      <w:r>
        <w:rPr/>
        <w:t>administered under the auspices of WIPO; (b) work towards strengthening border enforcement of intellectual property rights through the promotion of collaborative operations in customs and exchange of best practices; (c) exchange information regarding trade secret-related matters, including the value of trade secrets and the economic loss associated with trade secret misappropriation; (d) discuss proposals to enhance procedural fairness in patent litigation, including with respect to choice of venue; and (e) upon request of a Party and in the interest of advancing transparency, endeavor to reach a mutually agreeable solution before taking measures in connection with future requests of recognition or protection of a geographical indication from any other country through a trade agreement. 3. The Parties shall endeavor to cooperate on providing technical assistance regarding trade secret protection to the relevant authorities of non-Parties and identify appropriate opportunities to increase cooperation between the Parties on trade-related intellectual property rights protection and enforcement. 4. The IPR Committee shall meet within one year after the date of entry into force of this Agreement and thereafter as necessary.</w:t>
      </w:r>
    </w:p>
    <w:p>
      <w:pPr>
        <w:pStyle w:val="Normal"/>
        <w:keepNext w:val="true"/>
        <w:widowControl/>
        <w:rPr/>
      </w:pPr>
      <w:r>
        <w:rPr/>
        <w:t>Article 20.15: Patent Cooperation and Work Sharing 1. The Parties recognize the importance of improving the quality and efficiency of their respective patent registration systems as well as simplifying and streamlining the procedures and processes of their respective patent offices to the benefit of all users of the patent system and the public as a whole. 2. Further to paragraph 1, the Parties shall endeavor to cooperate among their respective patent offices to facilitate the sharing and use of search and examination work of the Parties. This may include: (a) making search and examination results available to the patent offices of the other Parties;7 and (b) exchanging information on quality assurance systems and quality standards relating to patent examination. 3. In order to reduce the complexity and cost of obtaining the grant of a patent, the Parties shall endeavor to cooperate to reduce differences in the procedures and processes of their respective patent offices.</w:t>
      </w:r>
    </w:p>
    <w:p>
      <w:pPr>
        <w:pStyle w:val="Normal"/>
        <w:keepNext w:val="true"/>
        <w:widowControl/>
        <w:rPr/>
      </w:pPr>
      <w:r>
        <w:rPr/>
        <w:t>Article 20.16: Cooperation on Request Cooperation activities undertaken under this Chapter are subject to the availability of resources, and on request, and on terms and conditions mutually decided upon between the Parties involved. The Parties affirm that cooperation under this Section is additional to and without prejudice to other past, ongoing, and future cooperation activities, both bilateral and multilateral, between the Parties, including between their respective intellectual property offices. Section C: Trademarks The Parties recognize the importance of multilateral efforts to promote the sharing and use of search and examination results with a view to improving the quality of search and examination processes and to reducing the costs for both applicants and patent offices.</w:t>
      </w:r>
    </w:p>
    <w:p>
      <w:pPr>
        <w:pStyle w:val="Normal"/>
        <w:keepNext w:val="true"/>
        <w:widowControl/>
        <w:rPr/>
      </w:pPr>
      <w:r>
        <w:rPr/>
        <w:t>Article 20.17: Types of Signs Registrable as Trademarks No Party shall require, as a condition of registration, that a sign be visually perceptible, nor shall a Party deny registration of a trademark only on the ground that the sign of which it is composed is a sound. Additionally, each Party shall make best efforts to register scent marks. A Party may require a concise and accurate description, or graphical representation, or both, as applicable, of the trademark.</w:t>
      </w:r>
    </w:p>
    <w:p>
      <w:pPr>
        <w:pStyle w:val="Normal"/>
        <w:keepNext w:val="true"/>
        <w:widowControl/>
        <w:rPr/>
      </w:pPr>
      <w:r>
        <w:rPr/>
        <w:t>Article 20.18: Collective and Certification Marks Each Party shall provide that trademarks include collective marks and certification marks. A Party is not required to treat certification marks as a separate category in its law, provided that those marks are protected. Each Party shall also provide that signs that may serve as geographical indications are capable of protection under its trademark system.8</w:t>
      </w:r>
    </w:p>
    <w:p>
      <w:pPr>
        <w:pStyle w:val="Normal"/>
        <w:keepNext w:val="true"/>
        <w:widowControl/>
        <w:rPr/>
      </w:pPr>
      <w:r>
        <w:rPr/>
        <w:t>Article 20.19: Use of Identical or Similar Signs Each Party shall provide that the owner of a registered trademark has the exclusive right to prevent third parties that do not have the owner’s consent from using in the course of trade identical or similar signs, including subsequent geographical indications9 for goods or services that are related to those goods or services in respect of which the owner’s trademark is registered, if that use would result in a likelihood of confusion. In the case of the use of an identical sign for identical goods or services, a likelihood of confusion shall be presumed.</w:t>
      </w:r>
    </w:p>
    <w:p>
      <w:pPr>
        <w:pStyle w:val="Normal"/>
        <w:keepNext w:val="true"/>
        <w:widowControl/>
        <w:rPr/>
      </w:pPr>
      <w:r>
        <w:rPr/>
        <w:t>Article 20.20: Exceptions A Party may provide limited exceptions to the rights conferred by a trademark, such as fair use of descriptive terms, provided that those exceptions take account of the legitimate interests of the owner of the trademark and of third parties.</w:t>
      </w:r>
    </w:p>
    <w:p>
      <w:pPr>
        <w:pStyle w:val="Normal"/>
        <w:keepNext w:val="true"/>
        <w:widowControl/>
        <w:rPr/>
      </w:pPr>
      <w:r>
        <w:rPr/>
        <w:t>Article 20.21: Well-Known Trademarks 8 Consistent with the definition of a geographical indication in Article 20.1 (Definitions), any sign, or combination of signs, shall be eligible for protection under one or more of the legal means for protecting geographical indications, or a combination of those means. 9 For greater certainty, the Parties understand that this Article should not be interpreted to affect their rights and obligations under Articles 22 and 23 of the TRIPS Agreement. 1. No Party shall require as a condition for determining that a trademark is well-known that the trademark has been registered in the Party or in another jurisdiction, included on a list of well-known trademarks, or given prior recognition as a well-known trademark. 2. Article 6bis of the Paris Convention shall apply, mutatis mutandis, to goods or services that are not identical or similar to those identified by a well-known trademark,10 whether registered or not, provided that use of that trademark in relation to those goods or services would indicate a connection between those goods or services and the owner of the trademark, and provided that the interests of the owner of the trademark are likely to be damaged by that use. 3.</w:t>
      </w:r>
    </w:p>
    <w:p>
      <w:pPr>
        <w:pStyle w:val="Normal"/>
        <w:widowControl/>
        <w:rPr/>
      </w:pPr>
      <w:r>
        <w:rPr/>
        <w:t>The Parties recognize the importance of the Joint Recommendation Concerning Provisions on the Protection of Well-Known Marks as adopted by the Assembly of the Paris Union for the Protection of Industrial Property and the General Assembly of WIPO at the Thirty- Fourth Series of Meetings of the Assemblies of the Member States of WIPO September 20 to 29, 1999. 4. Each Party shall provide for appropriate measures to refuse the application or cancel the registration and prohibit the use of a trademark that is identical or similar to a well-known trademark,11 for identical or similar goods or services, if the use of that trademark is likely to cause confusion with the prior well-known trademark. A Party may also provide those measures including in cases in which the subsequent trademark is likely to deceive.</w:t>
      </w:r>
    </w:p>
    <w:p>
      <w:pPr>
        <w:pStyle w:val="Normal"/>
        <w:keepNext w:val="true"/>
        <w:widowControl/>
        <w:rPr/>
      </w:pPr>
      <w:r>
        <w:rPr/>
        <w:t>Article 20.22: Procedural Aspects of Examination, Opposition, and Cancellation Each Party shall provide a system for the examination and registration of trademarks that includes among other things: (a) communicating to the applicant in writing, which may be by electronic means, the reasons for any refusal to register a trademark; (b) providing the applicant with an opportunity to respond to communications from the competent authorities, to contest any initial refusal, and to make a judicial appeal of any final refusal to register a trademark; 10 In determining whether a trademark is well-known in a Party, that Party need not require that the reputation of the trademark extend beyond the sector of the public that normally deals with the relevant goods or services. 11 The Parties understand that a well-known trademark is one that was already well-known before, as determined by a Party, the application for, registration of, or use of the first-mentioned trademark.</w:t>
      </w:r>
    </w:p>
    <w:p>
      <w:pPr>
        <w:pStyle w:val="Normal"/>
        <w:widowControl/>
        <w:rPr/>
      </w:pPr>
      <w:r>
        <w:rPr/>
        <w:t>(c) providing an opportunity to oppose the registration of a trademark and an opportunity to seek cancellation12 of a trademark through, at a minimum, administrative procedures; and (d) requiring administrative decisions in opposition and cancellation proceedings to be reasoned and in writing, which may be provided by electronic means.</w:t>
      </w:r>
    </w:p>
    <w:p>
      <w:pPr>
        <w:pStyle w:val="Normal"/>
        <w:keepNext w:val="true"/>
        <w:widowControl/>
        <w:rPr/>
      </w:pPr>
      <w:r>
        <w:rPr/>
        <w:t>Article 20.23: Electronic Trademarks System Further to Article 20.9.3 (Transparency), each Party shall provide a: (a) system for the electronic application for, and maintenance of, trademarks; and (b) publicly available electronic information system, including an online database, of trademark applications and of registered trademarks.</w:t>
      </w:r>
    </w:p>
    <w:p>
      <w:pPr>
        <w:pStyle w:val="Normal"/>
        <w:keepNext w:val="true"/>
        <w:widowControl/>
        <w:rPr/>
      </w:pPr>
      <w:r>
        <w:rPr/>
        <w:t>Article 20.24: Classification of Goods and Services Each Party shall adopt or maintain a trademark classification system that is consistent with the Nice Agreement Concerning the International Classification of Goods and Services for the Purposes of the Registration of Marks, done at Nice, June 15, 1957, as revised and amended (Nice Classification). Each Party shall provide that: (a) registrations and the publications of applications indicate the goods and services by their names, grouped according to the classes established by the Nice Classification;13 and (b) goods or services may not be considered as being similar to each other on the ground that, in any registration or publication, they are classified in the same class of the Nice Classification. Conversely, each Party shall provide that goods or services may not be considered as being dissimilar from each other on the ground that, in any registration or publication, they are classified in different classes of the Nice Classification.</w:t>
      </w:r>
    </w:p>
    <w:p>
      <w:pPr>
        <w:pStyle w:val="Normal"/>
        <w:keepNext w:val="true"/>
        <w:widowControl/>
        <w:rPr/>
      </w:pPr>
      <w:r>
        <w:rPr/>
        <w:t>Article 20.25: Term of Protection for Trademarks 12 For greater certainty, cancellation for the purposes of this Section may be implemented through a nullification or revocation proceeding. A Party that relies on translations of the Nice Classification shall follow updated versions of the Nice Classification to the extent that official translations have been issued and published. Each Party shall provide that initial registration and each renewal of registration of a trademark is for a term of no less than 10 years.</w:t>
      </w:r>
    </w:p>
    <w:p>
      <w:pPr>
        <w:pStyle w:val="Normal"/>
        <w:keepNext w:val="true"/>
        <w:widowControl/>
        <w:rPr/>
      </w:pPr>
      <w:r>
        <w:rPr/>
        <w:t>Article 20.26: Non-Recordal of a License No Party shall require recordal of trademark licenses: (a) to establish the validity of the licenses; or (b) as a condition for use of a trademark by a licensee to be deemed to constitute use by the holder in a proceeding that relates to the acquisition, maintenance, or enforcement of trademarks.</w:t>
      </w:r>
    </w:p>
    <w:p>
      <w:pPr>
        <w:pStyle w:val="Normal"/>
        <w:keepNext w:val="true"/>
        <w:widowControl/>
        <w:rPr/>
      </w:pPr>
      <w:r>
        <w:rPr/>
        <w:t>Article 20.27: Domain Names 1. In connection with each Party’s system for the management of its country-code top-level domain (ccTLD) domain names, the following shall be available: (a) an appropriate procedure for the settlement of disputes that, based on, or modelled along the same lines as, the principles established in the Uniform Domain-Name Dispute-Resolution Policy, or that: (i) is designed to resolve disputes expeditiously and at low cost, (ii) is fair and equitable, (iii) is not overly burdensome, and (iv) does not preclude resort to judicial proceedings; and (b) online public access to a reliable and accurate database of contact information concerning domain name registrants, in accordance with each Party’s law and, if applicable, relevant administrator policies regarding protection of privacy and personal data. 2. In connection with each Party’s system for the management of ccTLD domain names, appropriate remedies14 shall be available at least in cases in which a person registers or holds, 14 The Parties understand that those remedies may, but need not, include revocation, cancellation, transfer, damages, or injunctive relief. with a bad faith intent to profit, a domain name that is identical or confusingly similar to a trademark. Section D: Country Names</w:t>
      </w:r>
    </w:p>
    <w:p>
      <w:pPr>
        <w:pStyle w:val="Normal"/>
        <w:keepNext w:val="true"/>
        <w:widowControl/>
        <w:rPr/>
      </w:pPr>
      <w:r>
        <w:rPr/>
        <w:t>Article 20.28: Country Names Each Party shall provide the legal means for interested persons to prevent commercial use of the country name of a Party in relation to a good in a manner that misleads consumers as to the origin of that good. Section E: Geographical Indications</w:t>
      </w:r>
    </w:p>
    <w:p>
      <w:pPr>
        <w:pStyle w:val="Normal"/>
        <w:keepNext w:val="true"/>
        <w:widowControl/>
        <w:rPr/>
      </w:pPr>
      <w:r>
        <w:rPr/>
        <w:t>Article 20.29: Recognition of Geographical Indications The Parties recognize that geographical indications may be protected through a trademark or a sui generis system or other legal means.</w:t>
      </w:r>
    </w:p>
    <w:p>
      <w:pPr>
        <w:pStyle w:val="Normal"/>
        <w:keepNext w:val="true"/>
        <w:widowControl/>
        <w:rPr/>
      </w:pPr>
      <w:r>
        <w:rPr/>
        <w:t>Article 20.30: Administrative Procedures for the Protection or Recognition of Geographical Indications If a Party provides administrative procedures for the protection or recognition of geographical indications, whether through a trademark or a sui generis system, with respect to applications for that protection or petitions for that recognition, that Party shall: (a) accept those applications or petitions without requiring intercession by a Party on behalf of its nationals;15 (b) process those applications or petitions without imposing overly burdensome formalities; (c) ensure that its laws and regulations governing the filing of those applications or petitions are readily available to the public and clearly set out the procedures for these actions; 15 This subparagraph also applies to judicial procedures that protect or recognize a geographical indication.</w:t>
      </w:r>
    </w:p>
    <w:p>
      <w:pPr>
        <w:pStyle w:val="Normal"/>
        <w:widowControl/>
        <w:rPr/>
      </w:pPr>
      <w:r>
        <w:rPr/>
        <w:t>(d) make available information sufficient to allow the general public to obtain guidance concerning the procedures for filing applications or petitions and the processing of those applications or petitions in general; and allow an applicant, a petitioner, or their representative to ascertain the status of specific applications and petitions; (e) require that applications or petitions may specify particular translation or transliteration for which protection is being sought; (f) examine applications or petitions; (g) ensure that those applications or petitions are published for opposition and provide procedures for opposing geographical indications that are the subject of applications or petitions; (h) provide a reasonable period of time during which an interested person may oppose the application or petition; (i) require that administrative decisions in opposition proceedings be reasoned and in writing, which may be provided by electronic means; (j) require that administrative decisions in cancellation proceedings be reasoned and in writing, which may be provided by electronic means; and (k) provide for cancellation16 of the protection or recognition afforded to a geographical indication.</w:t>
      </w:r>
    </w:p>
    <w:p>
      <w:pPr>
        <w:pStyle w:val="Normal"/>
        <w:keepNext w:val="true"/>
        <w:widowControl/>
        <w:rPr/>
      </w:pPr>
      <w:r>
        <w:rPr/>
        <w:t>Article 20.31: Grounds of Denial, Opposition, and Cancellation17 1. If a Party protects or recognizes a geographical indication through the procedures referred to in Article 20.30 (Administrative Procedures for the Protection or Recognition of Geographical Indications), that Party shall provide procedures that allow interested persons to object to the protection or recognition of a geographical indication, and that allow for that protection or recognition to be refused or otherwise not afforded, at least, on the grounds that the geographical indication is: 16 For greater certainty, for the purposes of this Section, cancellation may be implemented through nullification or revocation proceedings. 17 A Party is not required to apply this Article to geographical indications for wines and spirits or to applications or petitions for those geographical indications. (a) likely to cause confusion with a trademark that is the subject of a pre-existing good faith pending application or registration in the territory of the Party;</w:t>
      </w:r>
    </w:p>
    <w:p>
      <w:pPr>
        <w:pStyle w:val="Normal"/>
        <w:widowControl/>
        <w:rPr/>
      </w:pPr>
      <w:r>
        <w:rPr/>
        <w:t>(b) likely to cause confusion with a pre-existing trademark, the rights to which have been acquired in accordance with the Party’s law; and 18, 19, 20 (c) a term customary in common language as the common name for the relevant good in the territory of the Party. 2.</w:t>
      </w:r>
    </w:p>
    <w:p>
      <w:pPr>
        <w:pStyle w:val="Normal"/>
        <w:widowControl/>
        <w:rPr/>
      </w:pPr>
      <w:r>
        <w:rPr/>
        <w:t>If a Party has protected or recognized a geographical indication through the procedures referred to in Article 20.30 (Administrative Procedures for the Protection or Recognition of Geographical Indications), that Party shall provide procedures that allow for interested persons to seek the cancellation of a geographical indication, and that allow for the protection or recognition to be cancelled, at least, on the grounds listed in paragraph 1. A Party may provide that the grounds listed in paragraph 1 apply as of the time of filing the request for protection or recognition of a geographical indication in the territory of the Party.21 3. No Party shall preclude the possibility that the protection or recognition of a geographical indication may be cancelled, or otherwise cease, on the basis that the protected or recognized term has ceased meeting the conditions upon which the protection or recognition was originally granted in that Party. 4.</w:t>
      </w:r>
    </w:p>
    <w:p>
      <w:pPr>
        <w:pStyle w:val="Normal"/>
        <w:widowControl/>
        <w:rPr/>
      </w:pPr>
      <w:r>
        <w:rPr/>
        <w:t>If a Party has in place a sui generis system for protecting unregistered geographical indications by means of judicial procedures, that Party shall provide that its judicial authorities have the authority to deny the protection or recognition of a geographical indication if any 18 If a Party refuses to protect or recognize a compound geographical indication on the grounds that an individual term of that geographical indication is the common name for the relevant good in the territory of a Party, the Party may withdraw its refusal of protection or recognition if the applicant or registrant agrees to disclaim any claim of exclusive rights to the particular individual term that was the basis for the refusal.</w:t>
      </w:r>
    </w:p>
    <w:p>
      <w:pPr>
        <w:pStyle w:val="Normal"/>
        <w:widowControl/>
        <w:rPr/>
      </w:pPr>
      <w:r>
        <w:rPr/>
        <w:t>19 For greater certainty, if a Party provides for the procedures in Article 20.30 (Administrative Procedures for the Protection or Recognition of Geographical Indications) and this Article to be applied to geographical indications for wines and spirits or applications or petitions for those geographical indications, that Party is not required to protect or recognize a geographical indication of any other Party with respect to products of the vine for which the relevant indication is identical with the customary name of a grape variety existing in the territory of that Party. 20 For greater certainty, a term customary in common language as the common name may refer to a single- component term or individual components of a multi-component term.</w:t>
      </w:r>
    </w:p>
    <w:p>
      <w:pPr>
        <w:pStyle w:val="Normal"/>
        <w:widowControl/>
        <w:rPr/>
      </w:pPr>
      <w:r>
        <w:rPr/>
        <w:t>21 For greater certainty, if the grounds listed in paragraph 1 did not exist in a Party’s law as of the time of filing of the request for protection or recognition of a geographical indication under Article 20.30 (Administrative Procedures for the Protection or Recognition of Geographical Indications), that Party is not required to apply those grounds for the purposes of paragraphs 2 or 4 of this Article in relation to that geographical indication. circumstance identified in paragraph 1 has been established.22 That Party shall also provide a process that allows interested persons to commence a proceeding on the grounds identified in paragraph 1. 5. If a Party provides protection or recognition of a geographical indication through the procedures referred to in Article 20.30 (Administrative Procedures for the Protection or Recognition of Geographical Indications) to the translation or transliteration of that geographical indication, that Party shall make available procedures that are equivalent to, and grounds that are the same as, those referred to in paragraphs 1 and 2 with respect to that translation or transliteration.</w:t>
      </w:r>
    </w:p>
    <w:p>
      <w:pPr>
        <w:pStyle w:val="Normal"/>
        <w:keepNext w:val="true"/>
        <w:widowControl/>
        <w:rPr/>
      </w:pPr>
      <w:r>
        <w:rPr/>
        <w:t>Article 20.32: Guidelines for Determining Whether a Term is the Term Customary in the Common Language With respect to the procedures in Article 20.30 (Administrative Procedures for the Protection or Recognition of Geographical Indications) and Article 20.31 (Grounds of Denial, Opposition, and Cancellation), in determining whether a term is the term customary in common language as the common name for the relevant good in the territory of a Party, that Party’s authorities shall have the authority to take into account how consumers understand the term in the territory of that Party. Factors relevant to that consumer understanding may include: (a) whether the term is used to refer to the type of good in question, as indicated by competent sources such as dictionaries, newspapers, and relevant websites; (b) how the good referenced by the term is marketed and used in trade in the territory of that Party;</w:t>
      </w:r>
    </w:p>
    <w:p>
      <w:pPr>
        <w:pStyle w:val="Normal"/>
        <w:widowControl/>
        <w:rPr/>
      </w:pPr>
      <w:r>
        <w:rPr/>
        <w:t>(c) whether the term is used, as appropriate, in relevant international standards recognized by the Parties to refer to a type or class of good in the territory of the Party, such as pursuant to a standard promulgated by the Codex Alimentarius; and (d) whether the good in question is imported into the Party’s territory, in significant quantities,23 from a place other than the territory identified in the application or petition, and whether those imported goods are named by the term.</w:t>
      </w:r>
    </w:p>
    <w:p>
      <w:pPr>
        <w:pStyle w:val="Normal"/>
        <w:widowControl/>
        <w:rPr/>
      </w:pPr>
      <w:r>
        <w:rPr/>
        <w:t>22 As an alternative to this paragraph, if a Party has in place a sui generis system of the type referred to in this paragraph as of the applicable date under Article 20.35.6 (International Agreements), that Party shall at least provide that its judicial authorities have the authority to deny the protection or recognition of a geographical indication if the circumstances identified in paragraph 1(c) have been established. 23 In determining whether the good in question is imported in significant quantities, a Party may consider the amount of importation at the time of the application or petition.</w:t>
      </w:r>
    </w:p>
    <w:p>
      <w:pPr>
        <w:pStyle w:val="Normal"/>
        <w:keepNext w:val="true"/>
        <w:widowControl/>
        <w:rPr/>
      </w:pPr>
      <w:r>
        <w:rPr/>
        <w:t>Article 20.33: Multi-Component Terms With respect to the procedures in Article 20.30 (Administrative Procedures for the Protection or Recognition of Geographical Indications) and Article 20.31 (Grounds of Denial, Opposition, and Cancellation), an individual component of a multi-component term that is protected as a geographical indication in the territory of a Party shall not be protected in that Party if that individual component is a term customary in the common language as the common name for the associated good.</w:t>
      </w:r>
    </w:p>
    <w:p>
      <w:pPr>
        <w:pStyle w:val="Normal"/>
        <w:keepNext w:val="true"/>
        <w:widowControl/>
        <w:rPr/>
      </w:pPr>
      <w:r>
        <w:rPr/>
        <w:t>Article 20.34: Date of Protection of a Geographical Indication If a Party grants protection or recognition to a geographical indication through the procedures referred to in Article 20.30 (Administrative Procedures for the Protection or Recognition of Geographical Indications), that protection or recognition shall commence no earlier than the filing date24 in the Party or the registration date in the Party, as applicable.</w:t>
      </w:r>
    </w:p>
    <w:p>
      <w:pPr>
        <w:pStyle w:val="Normal"/>
        <w:keepNext w:val="true"/>
        <w:widowControl/>
        <w:rPr/>
      </w:pPr>
      <w:r>
        <w:rPr/>
        <w:t>Article 20.35: International Agreements 1. If a Party protects or recognizes a geographical indication pursuant to an international agreement, as of the applicable date under paragraph 6, involving a Party or a non-Party and that geographical indication is not protected through the procedures referred to in Article 20.30 (Administrative Procedures for the Protection or Recognition of Geographical Indications)25 or Article 20.31 (Grounds of Denial, Opposition, and Cancellation), that Party at least shall apply procedures and grounds that are equivalent to those in Article 20.30(f), (g), (h), and (i) (Administrative Procedures for the Protection or Recognition of Geographical Indications) and Article 20.31.1 (Grounds of Denial, Opposition, and Cancellation), as well as: (a) make available information sufficient to allow the general public to obtain guidance concerning the procedures for protecting or recognizing the geographical indication and allow interested persons to ascertain the status of requests for protection or recognition; 24 For greater certainty, the filing date referred to in this paragraph includes, as applicable, the priority filing date under the Paris Convention.</w:t>
      </w:r>
    </w:p>
    <w:p>
      <w:pPr>
        <w:pStyle w:val="Normal"/>
        <w:widowControl/>
        <w:rPr/>
      </w:pPr>
      <w:r>
        <w:rPr/>
        <w:t>No Party shall use the date of protection in a country of origin of a geographical indication to establish a priority date in the territory of the Party, unless filed within the Paris Convention priority period.</w:t>
      </w:r>
    </w:p>
    <w:p>
      <w:pPr>
        <w:pStyle w:val="Normal"/>
        <w:widowControl/>
        <w:rPr/>
      </w:pPr>
      <w:r>
        <w:rPr/>
        <w:t>25 Each Party shall apply Article 20.32 (Guidelines for Determining Whether a Term is the Term Customary in the Common Language) and Article 20.33 (Multi-Component Terms) in determining whether to grant protection or recognition of a geographical indication pursuant to this paragraph. (b) to publish online details regarding the terms that the Party is considering protecting or recognizing through an international agreement involving a Party or a non-Party, including specifying whether the protection or recognition is being considered for any translations or transliterations of those terms, and with respect to multi-component terms, specifying the components, if any, for which protection or recognition is being considered, or the components that are disclaimed; (c) in respect of opposition procedures, provide a reasonable period of time for interested persons to oppose the protection or recognition of the terms referred to in subparagraph (b). That period shall allow for a meaningful opportunity for any interested person to participate in an opposition process; and (d) inform the other Parties of the opportunity to oppose, no later than the commencement of the opposition period. 2.</w:t>
      </w:r>
    </w:p>
    <w:p>
      <w:pPr>
        <w:pStyle w:val="Normal"/>
        <w:widowControl/>
        <w:rPr/>
      </w:pPr>
      <w:r>
        <w:rPr/>
        <w:t>In respect of international agreements referred to in paragraph 6 that permit the protection or recognition of a new geographical indication, a Party shall:26, 27 (a) apply paragraph 1(b) and apply at least procedures and grounds that are equivalent to those in Article 20.30(f), (g), (h), and (i) (Administrative Procedures for the Protection or Recognition of Geographical Indications) and Article 20.31.1 (Grounds of Denial, Opposition, and Cancellation); (b) provide an opportunity for interested persons to comment regarding the protection or recognition of the new geographical indication for a reasonable period of time before that term is protected or recognized; and (c) inform the other Parties of the opportunity to comment, no later than the commencement of the period for comment. 3. For the purposes of this Article, a Party shall not preclude the possibility that the protection or recognition of a geographical indication could cease. 4. For the purposes of this Article, a Party is not required to apply Article 20.31 (Grounds of Denial, Opposition, and Cancellation), or obligations equivalent to Article 20.31, to geographical indications for wines and spirits or applications for those geographical indications.</w:t>
      </w:r>
    </w:p>
    <w:p>
      <w:pPr>
        <w:pStyle w:val="Normal"/>
        <w:widowControl/>
        <w:rPr/>
      </w:pPr>
      <w:r>
        <w:rPr/>
        <w:t>26 In respect of an international agreement referred to in paragraph 6 that has geographical indications that have been identified, but have not yet received protection or recognition in the territory of the Party that is a party to that agreement, that Party may fulfil the obligations of paragraph 2 by complying with the obligations of paragraph 1. 27 A Party may comply with this Article by applying Article 20.30 (Administrative Procedures for the Protection or Recognition of Geographical Indications) and Article 20.31 (Grounds of Denial, Opposition, and Cancellation). 5. The protection or recognition that each Party provides pursuant to paragraph 1 shall commence no earlier than the date on which that agreement enters into force or, if that Party grants that protection or recognition on a date after the entry into force of that agreement, on that later date. 6. No Party shall be required to apply this Article to geographical indications that have been specifically identified in, and that are protected or recognized pursuant to, an international agreement involving a Party or a non-Party, provided that the agreement:</w:t>
      </w:r>
    </w:p>
    <w:p>
      <w:pPr>
        <w:pStyle w:val="Normal"/>
        <w:widowControl/>
        <w:rPr/>
      </w:pPr>
      <w:r>
        <w:rPr/>
        <w:t>(a) was concluded, or agreed in principle,28 prior to the date of conclusion, or agreement in principle, of this Agreement; (b) was ratified by a Party prior to the date of ratification of this Agreement by that Party; or (c) entered into force for a Party prior to the date of entry into force of this Agreement.</w:t>
      </w:r>
    </w:p>
    <w:p>
      <w:pPr>
        <w:pStyle w:val="Normal"/>
        <w:keepNext w:val="true"/>
        <w:widowControl/>
        <w:spacing w:before="200" w:after="80"/>
        <w:rPr/>
      </w:pPr>
      <w:r>
        <w:rPr/>
        <w:t>Section F: Patents and Undisclosed Test or Other Data Subsection A: General Patents</w:t>
      </w:r>
    </w:p>
    <w:p>
      <w:pPr>
        <w:pStyle w:val="Normal"/>
        <w:keepNext w:val="true"/>
        <w:widowControl/>
        <w:rPr/>
      </w:pPr>
      <w:r>
        <w:rPr/>
        <w:t>Article 20.36: Patentable Subject Matter 1. Subject to paragraphs 3 and 4, each Party shall make patents available for any invention, whether a product or process, in all fields of technology, provided that the invention is new, involves an inventive step, and is capable of industrial application.29 2. Subject to paragraphs 3 and 4 and consistent with paragraph 1, each Party confirms that patents are available for inventions claimed as at least one of the following: new uses of a known product, new methods of using a known product, or new processes of using a known product. 28 For the purpose of this Article, an agreement “agreed in principle” means an agreement involving another government, government entity, or international organization in respect of which a political understanding has been reached and the negotiated outcomes of the agreement have been publically announced. For the purposes of this Section, a Party may deem the terms “inventive step” and “capable of industrial application” to be synonymous with the terms “non-obvious” and “useful”, respectively.</w:t>
      </w:r>
    </w:p>
    <w:p>
      <w:pPr>
        <w:pStyle w:val="Normal"/>
        <w:widowControl/>
        <w:rPr/>
      </w:pPr>
      <w:r>
        <w:rPr/>
        <w:t>In determinations regarding inventive step, or non-obviousness, each Party shall consider whether the claimed invention would have been obvious to a person skilled in the art, or having ordinary skill in the art, having regard to the prior art. 3.</w:t>
      </w:r>
    </w:p>
    <w:p>
      <w:pPr>
        <w:pStyle w:val="Normal"/>
        <w:widowControl/>
        <w:rPr/>
      </w:pPr>
      <w:r>
        <w:rPr/>
        <w:t>A Party may exclude from patentability inventions, the prevention within their territory of the commercial exploitation of which is necessary to protect ordre public or morality, including to protect human, animal, or plant life or health or to avoid serious prejudice to nature or the environment, provided that such exclusion is not made merely because the exploitation is prohibited by its law. A Party may also exclude from patentability: (a) diagnostic, therapeutic, and surgical methods for the treatment of humans or animals; (b) animals other than microorganisms, and essentially biological processes for the production of plants or animals, other than non-biological and microbiological processes. 4. A Party may also exclude from patentability plants other than microorganisms. However, consistent with paragraph 1 and subject to paragraph 3, each Party confirms that patents are available at least for inventions that are derived from plants.</w:t>
      </w:r>
    </w:p>
    <w:p>
      <w:pPr>
        <w:pStyle w:val="Normal"/>
        <w:keepNext w:val="true"/>
        <w:widowControl/>
        <w:rPr/>
      </w:pPr>
      <w:r>
        <w:rPr/>
        <w:t>Article 20.37: Grace Period Each Party shall disregard at least information contained in public disclosures used to determine if an invention is novel or has an inventive step, if the public disclosure:30 (a) was made by the patent applicant or by a person that obtained the information directly or indirectly from the patent applicant; and (b) occurred within twelve months prior to the filing date in the territory of the Party.</w:t>
      </w:r>
    </w:p>
    <w:p>
      <w:pPr>
        <w:pStyle w:val="Normal"/>
        <w:keepNext w:val="true"/>
        <w:widowControl/>
        <w:rPr/>
      </w:pPr>
      <w:r>
        <w:rPr/>
        <w:t>Article 20.38: Patent Revocation 1. Each Party shall provide that a patent may be cancelled, revoked, or nullified only on grounds that would have justified a refusal to grant the patent. A Party may also provide that fraud, misrepresentation, or inequitable conduct may be the basis for cancelling, revoking, or nullifying a patent or holding a patent unenforceable. 2. Notwithstanding paragraph 1, a Party may provide that a patent may be revoked, provided it is done in a manner consistent with Article 5A of the Paris Convention and the TRIPS Agreement. 30 For greater certainty, a Party may limit the application of this Article to disclosures made by, or obtained directly or indirectly from, the inventor or joint inventor. For greater certainty, a Party may provide that, for the purposes of this Article, information obtained directly or indirectly from the patent applicant may be information contained in the public disclosure that was authorized by, or derived from, the patent applicant.</w:t>
      </w:r>
    </w:p>
    <w:p>
      <w:pPr>
        <w:pStyle w:val="Normal"/>
        <w:keepNext w:val="true"/>
        <w:widowControl/>
        <w:rPr/>
      </w:pPr>
      <w:r>
        <w:rPr/>
        <w:t>Article 20.39: Exceptions A Party may provide limited exceptions to the exclusive rights conferred by a patent, provided that those exceptions do not unreasonably conflict with a normal exploitation of the patent and do not unreasonably prejudice the legitimate interests of the patent owner, taking account of the legitimate interests of third parties.</w:t>
      </w:r>
    </w:p>
    <w:p>
      <w:pPr>
        <w:pStyle w:val="Normal"/>
        <w:keepNext w:val="true"/>
        <w:widowControl/>
        <w:rPr/>
      </w:pPr>
      <w:r>
        <w:rPr/>
        <w:t>Article 20.40: Other Use Without Authorization of the Right Holder The Parties understand that nothing in this Chapter limits a Party’s rights and obligations under Article 31 of the TRIPS Agreement, and any waiver of or amendment to that Article that the Parties accept.</w:t>
      </w:r>
    </w:p>
    <w:p>
      <w:pPr>
        <w:pStyle w:val="Normal"/>
        <w:keepNext w:val="true"/>
        <w:widowControl/>
        <w:rPr/>
      </w:pPr>
      <w:r>
        <w:rPr/>
        <w:t>Article 20.41: Amendments, Corrections, and Observations Each Party shall provide a patent applicant with at least one opportunity to make amendments, corrections, and observations in connection with its application.31</w:t>
      </w:r>
    </w:p>
    <w:p>
      <w:pPr>
        <w:pStyle w:val="Normal"/>
        <w:keepNext w:val="true"/>
        <w:widowControl/>
        <w:rPr/>
      </w:pPr>
      <w:r>
        <w:rPr/>
        <w:t>Article 20.42: Publication of Patent Applications 1. Recognizing the benefits of transparency in the patent system, each Party shall endeavor to publish unpublished pending patent applications promptly after the expiration of 18 months from the filing date or, if priority is claimed, from the earliest priority date. 2. If a pending application is not published promptly in accordance with paragraph 1, a Party shall publish that application or the corresponding patent, as soon as practicable. 3. Each Party shall provide that an applicant may request the early publication of an application prior to the expiration of the period referred to in paragraph 1.</w:t>
      </w:r>
    </w:p>
    <w:p>
      <w:pPr>
        <w:pStyle w:val="Normal"/>
        <w:keepNext w:val="true"/>
        <w:widowControl/>
        <w:rPr/>
      </w:pPr>
      <w:r>
        <w:rPr/>
        <w:t>Article 20.43: Information Relating to Published Patent Applications and Granted Patents For published patent applications and granted patents, and in accordance with the Party’s requirements for prosecution of those applications and patents, each Party shall make available to 31 A Party may provide that those amendments or corrections must not exceed the scope of the disclosure of the invention, as of the filing date. the public at least the following information, to the extent that this information is in the possession of the competent authorities and is generated on, or after, the date of the entry into force of this Agreement: (a) search and examination results, including details of, or information related to, relevant prior art searches; (b) as appropriate, non-confidential communications from applicants; and (c) patent and non-patent related literature citations submitted by applicants and relevant third parties.</w:t>
      </w:r>
    </w:p>
    <w:p>
      <w:pPr>
        <w:pStyle w:val="Normal"/>
        <w:keepNext w:val="true"/>
        <w:widowControl/>
        <w:rPr/>
      </w:pPr>
      <w:r>
        <w:rPr/>
        <w:t>Article 20.44: Patent Term Adjustment for Unreasonable Granting Authority Delays 1. Each Party shall make best efforts to process patent applications in an efficient and timely manner, with a view to avoiding unreasonable or unnecessary delays. 2. A Party may provide procedures for a patent applicant to request to expedite the examination of its patent application. 3. If there are unreasonable delays in a Party’s issuance of a patent, that Party shall provide the means to, and at the request of the patent owner shall, adjust the term of the patent to compensate for those delays. 4. For the purposes of this Article, an unreasonable delay at least shall include a delay in the issuance of a patent of more than five years from the date of filing of the application in the territory of the Party, or three years after a request for examination of the application has been made, whichever is later.</w:t>
      </w:r>
    </w:p>
    <w:p>
      <w:pPr>
        <w:pStyle w:val="Normal"/>
        <w:widowControl/>
        <w:rPr/>
      </w:pPr>
      <w:r>
        <w:rPr/>
        <w:t>A Party may exclude, from the determination of those delays, periods of time that do not occur during the processing32 of, or the examination of, the patent application by the granting authority; periods of time that are not directly attributable33 to the granting authority; as well as periods of time that are attributable to the patent applicant.34 32 For the purposes of this paragraph, a Party may interpret processing to mean initial administrative processing and administrative processing at the time of grant.</w:t>
      </w:r>
    </w:p>
    <w:p>
      <w:pPr>
        <w:pStyle w:val="Normal"/>
        <w:widowControl/>
        <w:rPr/>
      </w:pPr>
      <w:r>
        <w:rPr/>
        <w:t>33 A Party may treat delays “that are not directly attributable to the granting authority” as delays that are outside the direction or control of the granting authority. 34 Notwithstanding Article 20.10 (Application of Chapter to Existing Subject Matter and Prior Acts), this Article shall apply to all patent applications filed after the date of entry into force of this Agreement, or the date two years after the signing of this Agreement, whichever is later. Subsection B: Measures Relating to Agricultural Chemical Products</w:t>
      </w:r>
    </w:p>
    <w:p>
      <w:pPr>
        <w:pStyle w:val="Normal"/>
        <w:keepNext w:val="true"/>
        <w:widowControl/>
        <w:rPr/>
      </w:pPr>
      <w:r>
        <w:rPr/>
        <w:t>Article 20.45: Protection of Undisclosed Test or Other Data for Agricultural Chemical Products 1. If a Party requires, as a condition for granting marketing approval35 for a new agricultural chemical product, the submission of undisclosed test or other data concerning the safety and efficacy of the product,36 that Party shall not permit third persons, without the consent of the person that previously submitted that information, to market the same or a similar37 product on the basis of that information or the marketing approval granted to the person that submitted that test or other data for at least 10 years38 from the date of marketing approval of the new agricultural chemical product in the territory of the Party. 2.</w:t>
      </w:r>
    </w:p>
    <w:p>
      <w:pPr>
        <w:pStyle w:val="Normal"/>
        <w:widowControl/>
        <w:rPr/>
      </w:pPr>
      <w:r>
        <w:rPr/>
        <w:t>If a Party permits, as a condition of granting marketing approval for a new agricultural chemical product, the submission of evidence of a prior marketing approval of the product in another territory, that Party shall not permit third persons, without the consent of the person that previously submitted undisclosed test or other data concerning the safety and efficacy of the product in support of that prior marketing approval, to market the same or a similar product based on that undisclosed test or other data, or other evidence of the prior marketing approval in the other territory, for at least 10 years from the date of marketing approval of the new agricultural chemical product in the territory of the Party. 3.</w:t>
      </w:r>
    </w:p>
    <w:p>
      <w:pPr>
        <w:pStyle w:val="Normal"/>
        <w:widowControl/>
        <w:rPr/>
      </w:pPr>
      <w:r>
        <w:rPr/>
        <w:t>For the purposes of this Article, a new agricultural chemical product is one that contains a chemical entity that has not been previously approved in the territory of the Party for use in an agricultural chemical product. 35 For the purposes of this Chapter, the term “marketing approval” is synonymous with “sanitary approval” under a Party’s law. 36 Each Party confirms that the obligations of this Article apply to cases in which the Party requires the submission of undisclosed test or other data concerning: (a) only the safety of the product, (b) only the efficacy of the product, or (c) both. 37 For greater certainty, for the purposes of this Section, an agricultural chemical product is “similar” to a previously approved agricultural chemical product if the marketing approval, or, in the alternative, the applicant’s request for that approval, of that similar agricultural chemical product is based upon the undisclosed test or other data concerning the safety and efficacy of the previously approved agricultural chemical product, or the prior approval of that previously approved product. 38 For greater certainty, a Party may limit the period of protection under this Article to 10 years. Subsection C: Measures Relating to Pharmaceutical Products</w:t>
      </w:r>
    </w:p>
    <w:p>
      <w:pPr>
        <w:pStyle w:val="Normal"/>
        <w:keepNext w:val="true"/>
        <w:widowControl/>
        <w:rPr/>
      </w:pPr>
      <w:r>
        <w:rPr/>
        <w:t>Article 20.46: Patent Term Adjustment for Unreasonable Curtailment 1. Each Party shall make best efforts to process applications for marketing approval of pharmaceutical products in an efficient and timely manner, with a view to avoiding unreasonable or unnecessary delays. 2. With respect to a pharmaceutical product that is subject to a patent, each Party shall make available an adjustment39 of the patent term to compensate the patent owner for unreasonable curtailment of the effective patent term as a result of the marketing approval process. 3. For greater certainty, in implementing the obligations of this Article, each Party may provide for conditions and limitations, provided that the Party continues to give effect to this Article. 4. With the objective of avoiding unreasonable curtailment of the effective patent term, a Party may adopt or maintain procedures that expedite the processing of marketing approval applications.</w:t>
      </w:r>
    </w:p>
    <w:p>
      <w:pPr>
        <w:pStyle w:val="Normal"/>
        <w:keepNext w:val="true"/>
        <w:widowControl/>
        <w:rPr/>
      </w:pPr>
      <w:r>
        <w:rPr/>
        <w:t>Article 20.47: Regulatory Review Exception Without prejudice to the scope of, and consistent with, Article 20.39 (Exceptions), each Party shall adopt or maintain a regulatory review exception for pharmaceutical products.</w:t>
      </w:r>
    </w:p>
    <w:p>
      <w:pPr>
        <w:pStyle w:val="Normal"/>
        <w:keepNext w:val="true"/>
        <w:widowControl/>
        <w:rPr/>
      </w:pPr>
      <w:r>
        <w:rPr/>
        <w:t>Article 20.48: Protection of Undisclosed Test or Other Data 1. (a) If a Party requires, as a condition for granting marketing approval for a new pharmaceutical product, the submission of undisclosed test or other data concerning the safety and efficacy of the product,40 that Party shall not permit 39 For greater certainty, a Party may alternatively make available a period of additional sui generis protection to compensate for unreasonable curtailment of the effective patent term as a result of the marketing approval process. The sui generis protection must confer the rights conferred by the patent, subject to any conditions and limitations pursuant to paragraph 3. 40 Each Party confirms that the obligations of this Article and Article 20.49 (Biologics) apply to cases in which the Party requires the submission of undisclosed test or other data concerning: (i) only the safety of the product, (ii) only the efficacy of the product, or (iii) both.</w:t>
      </w:r>
    </w:p>
    <w:p>
      <w:pPr>
        <w:pStyle w:val="Normal"/>
        <w:widowControl/>
        <w:rPr/>
      </w:pPr>
      <w:r>
        <w:rPr/>
        <w:t>third persons, without the consent of the person that previously submitted that information, to market the same or a similar41 product on the basis of: (i) that information, or (ii) the marketing approval granted to the person that submitted that information, for at least five years42 from the date of marketing approval of the new pharmaceutical product in the territory of the Party; (b) If a Party permits, as a condition of granting marketing approval for a new pharmaceutical product, the submission of evidence of prior marketing approval of the product in another territory, that Party shall not permit third persons, without the consent of a person that previously submitted the information concerning the safety and efficacy of the product, to market a same or a similar product based on evidence relating to prior marketing approval in the other territory for at least five years from the date of marketing approval of the new pharmaceutical product in the territory of that Party. 2.</w:t>
      </w:r>
    </w:p>
    <w:p>
      <w:pPr>
        <w:pStyle w:val="Normal"/>
        <w:widowControl/>
        <w:rPr/>
      </w:pPr>
      <w:r>
        <w:rPr/>
        <w:t>Each Party shall:43 (a) apply paragraph 1, mutatis mutandis, for a period of at least three years with respect to new clinical information submitted as required in support of a marketing approval of a previously approved pharmaceutical product covering a new indication, new formulation, or new method of administration; or, alternatively, (b) apply paragraph 1, mutatis mutandis, for a period of at least five years to new pharmaceutical products that contain a chemical entity that has not been previously approved in that Party.44 41 For greater certainty, for the purposes of this Section, a pharmaceutical product is “similar” to a previously approved pharmaceutical product if the marketing approval, or, in the alternative, the applicant’s request for that approval, of that similar pharmaceutical product is based upon the undisclosed test or other data concerning the safety and efficacy of the previously approved pharmaceutical product, or the prior approval of that previously approved product.</w:t>
      </w:r>
    </w:p>
    <w:p>
      <w:pPr>
        <w:pStyle w:val="Normal"/>
        <w:widowControl/>
        <w:rPr/>
      </w:pPr>
      <w:r>
        <w:rPr/>
        <w:t>42 For greater certainty, a Party may limit the period of protection under paragraph 1 to five years, and the period of protection under Article 20.49.1 (Biologics) to 10 years. 43 A Party that provides a period of at least eight years of protection under paragraph 1 is not required to apply paragraph 2. 3.</w:t>
      </w:r>
    </w:p>
    <w:p>
      <w:pPr>
        <w:pStyle w:val="Normal"/>
        <w:widowControl/>
        <w:rPr/>
      </w:pPr>
      <w:r>
        <w:rPr/>
        <w:t>Notwithstanding paragraphs 1 and 2 and Article 20.49 (Biologics), a Party may take measures to protect public health in accordance with: (a) the Declaration on TRIPS and Public Health; (b) any waiver of a provision of the TRIPS Agreement granted by WTO Members in accordance with the WTO Agreement to implement the Declaration on TRIPS and Public Health and that is in force between the Parties; or (c) any amendment of the TRIPS Agreement to implement the Declaration on TRIPS and Public Health that enters into force with respect to the Parties.</w:t>
      </w:r>
    </w:p>
    <w:p>
      <w:pPr>
        <w:pStyle w:val="Normal"/>
        <w:keepNext w:val="true"/>
        <w:widowControl/>
        <w:rPr/>
      </w:pPr>
      <w:r>
        <w:rPr/>
        <w:t>Article 20.49: Biologics 1. With regard to protecting new biologics, a Party shall, with respect to the first marketing approval in a Party of a new pharmaceutical product that is, or contains, a biologic,45, 46 provide effective market protection through the implementation of Article 20.48.1 (Protection of Undisclosed Test or Other Data) and Article 20.48.3 (Protection of Undisclosed Test or Other Data), mutatis mutandis, for a period of at least ten years from the date of first marketing approval of that product in that Party. 2. Each Party shall apply this Article to, at a minimum,47 a product that is produced using biotechnology processes and that is, or contains, a virus, therapeutic serum, toxin, antitoxin, vaccine, blood, blood component or derivative, allergenic product, protein, or analogous product, for use in human beings for the prevention, treatment, or cure of a disease or condition.</w:t>
      </w:r>
    </w:p>
    <w:p>
      <w:pPr>
        <w:pStyle w:val="Normal"/>
        <w:widowControl/>
        <w:rPr/>
      </w:pPr>
      <w:r>
        <w:rPr/>
        <w:t>44 For the purposes of Article 20.48.2(b) (Protection of Undisclosed Test or Other Data), a Party may choose to protect only the undisclosed test or other data concerning the safety and efficacy relating to the chemical entity that has not been previously approved. 45 Nothing requires a Party to extend the protection of this paragraph to: (a) any second or subsequent marketing approval of such a pharmaceutical product; or (b) a pharmaceutical product that is, or contains, a previously approved biologic.</w:t>
      </w:r>
    </w:p>
    <w:p>
      <w:pPr>
        <w:pStyle w:val="Normal"/>
        <w:widowControl/>
        <w:rPr/>
      </w:pPr>
      <w:r>
        <w:rPr/>
        <w:t>46 Each Party may provide that an applicant may request approval of a pharmaceutical product that is, or contains, a biologic under the procedures set forth in Article 20.48.1(a) (Protection of Undisclosed Test or Other Data) and Article 20.48.1(b) (Protection of Undisclosed Test or Other Data) on or before March 23, 2020, provided that other pharmaceutical products in the same class of products have been approved by that Party under the procedures set forth in in Article 20.48.1(a) (Protection of Undisclosed Test or Other Data) and Article 20.48.1(b) (Protection of Undisclosed Test or Other Data) before the date of entry into force of this Agreement. 47 For greater certainty, for the purposes of this Article, the Parties understand that “at a minimum” means that a Party may limit the application to the scope specified in this paragraph.</w:t>
      </w:r>
    </w:p>
    <w:p>
      <w:pPr>
        <w:pStyle w:val="Normal"/>
        <w:keepNext w:val="true"/>
        <w:widowControl/>
        <w:rPr/>
      </w:pPr>
      <w:r>
        <w:rPr/>
        <w:t>Article 20.50: Definition of New Pharmaceutical Product For the purposes of Article 20.48.1 (Protection of Undisclosed Test or Other Data), a new pharmaceutical product means a pharmaceutical product that does not contain a chemical entity that has been previously approved in that Party.</w:t>
      </w:r>
    </w:p>
    <w:p>
      <w:pPr>
        <w:pStyle w:val="Normal"/>
        <w:keepNext w:val="true"/>
        <w:widowControl/>
        <w:rPr/>
      </w:pPr>
      <w:r>
        <w:rPr/>
        <w:t>Article 20.51: Measures Relating to the Marketing of Certain Pharmaceutical Products 1. If a Party permits, as a condition of approving the marketing of a pharmaceutical product, persons, other than the person originally submitting the safety and efficacy information, to rely on evidence or information concerning the safety and efficacy of a product that was previously approved, such as evidence of prior marketing approval by the Party or in another territory, that Party shall provide: (a) a system to provide notice to a patent holder48 or to allow for a patent holder to be notified prior to the marketing of such a pharmaceutical product, that such other person is seeking to market that product during the term of an applicable patent claiming the approved product or its approved method of use;</w:t>
      </w:r>
    </w:p>
    <w:p>
      <w:pPr>
        <w:pStyle w:val="Normal"/>
        <w:widowControl/>
        <w:rPr/>
      </w:pPr>
      <w:r>
        <w:rPr/>
        <w:t>(b) adequate time and sufficient opportunity for such a patent holder to seek, prior to the marketing of an allegedly infringing product, available remedies in subparagraph (c); and (c) procedures, such as judicial or administrative proceedings, and expeditious remedies, such as preliminary injunctions or equivalent effective provisional measures, for the timely resolution of disputes concerning the validity or infringement of an applicable patent claiming an approved pharmaceutical product or its approved method of use. 2.</w:t>
      </w:r>
    </w:p>
    <w:p>
      <w:pPr>
        <w:pStyle w:val="Normal"/>
        <w:widowControl/>
        <w:rPr/>
      </w:pPr>
      <w:r>
        <w:rPr/>
        <w:t>As an alternative to paragraph 1, a Party shall instead adopt or maintain a system other than judicial proceedings that precludes, based upon patent-related information submitted to the marketing approval authority by a patent holder or the applicant for marketing approval, or based on direct coordination between the marketing approval authority and the patent office, the issuance of marketing approval to any third person seeking to market a pharmaceutical product subject to a patent claiming that product, unless by consent or acquiescence of the patent holder. 48 For greater certainty, for the purposes of this Article, a Party may provide that a “patent holder” includes a patent licensee or the authorized holder of marketing approval.</w:t>
      </w:r>
    </w:p>
    <w:p>
      <w:pPr>
        <w:pStyle w:val="Normal"/>
        <w:keepNext w:val="true"/>
        <w:widowControl/>
        <w:rPr/>
      </w:pPr>
      <w:r>
        <w:rPr/>
        <w:t>Article 20.52: Alteration of Period of Protection Subject to Article 20.48.3 (Protection of Undisclosed Test or Other Data), if a product is subject to a system of marketing approval in the territory of a Party pursuant to Article 20.45 (Protection of Undisclosed Test or Other Data for Agricultural Chemical Products), Article 20.48, or Article 20.49 (Biologics) and is also covered by a patent in the territory of that Party, that Party shall not alter the period of protection that it provides pursuant to Article 20.45, Article 20.48, or Article 20.49 in the event that the patent protection terminates on a date earlier than the end of the period of protection specified in Article 20.45, Article 20.48, or Article 20.49. Section G: Industrial Designs</w:t>
      </w:r>
    </w:p>
    <w:p>
      <w:pPr>
        <w:pStyle w:val="Normal"/>
        <w:keepNext w:val="true"/>
        <w:widowControl/>
        <w:rPr/>
      </w:pPr>
      <w:r>
        <w:rPr/>
        <w:t>Article 20.53: Protection 1. Each Party shall ensure adequate and effective protection of industrial designs consistent with Articles 25 and 26 of the TRIPS Agreement. 2. Consistent with paragraph 1, each Party confirms that protection is available for designs embodied in a part of an article.</w:t>
      </w:r>
    </w:p>
    <w:p>
      <w:pPr>
        <w:pStyle w:val="Normal"/>
        <w:keepNext w:val="true"/>
        <w:widowControl/>
        <w:rPr/>
      </w:pPr>
      <w:r>
        <w:rPr/>
        <w:t>Article 20.54: Non-Prejudicial Disclosures/Grace Period49 Each Party shall disregard at least information contained in public disclosures used to determine if an industrial design is new, original, or, where applicable, non-obvious, if the public disclosure:50 (a) was made by the design applicant or by a person that obtained the information directly or indirectly from the design applicant; and (b) occurred within 12 months prior to the filing date in the territory of the Party.</w:t>
      </w:r>
    </w:p>
    <w:p>
      <w:pPr>
        <w:pStyle w:val="Normal"/>
        <w:keepNext w:val="true"/>
        <w:widowControl/>
        <w:rPr/>
      </w:pPr>
      <w:r>
        <w:rPr/>
        <w:t>Article 20.55: Electronic Industrial Design System 49 Articles 20.54 (Non-Prejudicial Disclosures/Grace Period) and 20.55 (Electronic Industrial Design System) apply with respect to industrial design patent systems or industrial design registration systems. 50 For greater certainty, a Party may limit the application of this Article to disclosures made by, or obtained directly or indirectly from, the creator or co-creator and provide that, for the purposes of this Article, information obtained directly or indirectly from the design applicant may be information contained in the public disclosure that was authorized by, or derived from, the design applicant. Each Party shall provide a: (a) system for the electronic application for industrial design rights; and (b) publicly available electronic information system, which must include an online database of protected industrial designs.</w:t>
      </w:r>
    </w:p>
    <w:p>
      <w:pPr>
        <w:pStyle w:val="Normal"/>
        <w:keepNext w:val="true"/>
        <w:widowControl/>
        <w:rPr/>
      </w:pPr>
      <w:r>
        <w:rPr/>
        <w:t>Article 20.56: Term of Protection Each Party shall provide a term of protection for industrial designs of at least 15 years from either: (a) the date of filing, or (b) the date of grant or registration. Section H: Copyright and Related Rights</w:t>
      </w:r>
    </w:p>
    <w:p>
      <w:pPr>
        <w:pStyle w:val="Normal"/>
        <w:keepNext w:val="true"/>
        <w:widowControl/>
        <w:rPr/>
      </w:pPr>
      <w:r>
        <w:rPr/>
        <w:t>Article 20.57: Definitions For the purposes of Article 20.58 (Right of Reproduction) and Article 20.60 (Right of Distribution) through Article 20.69 (Collective Management), the following definitions apply with respect to performers and producers of phonograms: broadcasting means the transmission by wireless means for public reception of sounds or of images and sounds or of the representations thereof; such transmission by satellite is also “broadcasting”; transmission of encrypted signals is “broadcasting” if the means for decrypting are provided to the public by the broadcasting organization or with its consent;</w:t>
      </w:r>
    </w:p>
    <w:p>
      <w:pPr>
        <w:pStyle w:val="Normal"/>
        <w:widowControl/>
        <w:rPr/>
      </w:pPr>
      <w:r>
        <w:rPr/>
        <w:t>“</w:t>
      </w:r>
      <w:r>
        <w:rPr/>
        <w:t>broadcasting” does not include transmission over computer networks or any transmissions where the time and place of reception may be individually chosen by members of the public; communication to the public of a performance or a phonogram means the transmission to the public by any medium, other than by broadcasting, of sounds of a performance or the sounds or the representations of sounds fixed in a phonogram; fixation means the embodiment of sounds, or of the representations thereof, from which they can be perceived, reproduced, or communicated through a device; performers means actors, singers, musicians, dancers, and other persons who act, sing, deliver, declaim, play in, interpret, or otherwise perform literary or artistic works or expressions of folklore; phonogram means the fixation of the sounds of a performance or of other sounds, or of a representation</w:t>
      </w:r>
    </w:p>
    <w:p>
      <w:pPr>
        <w:pStyle w:val="Normal"/>
        <w:widowControl/>
        <w:rPr/>
      </w:pPr>
      <w:r>
        <w:rPr/>
        <w:t>of sounds, other than in the form of a fixation incorporated in a cinematographic or other audio-visual work; producer of a phonogram means a person that takes the initiative and has the responsibility for the first fixation of the sounds of a performance or other sounds, or the representations of sounds; and publication of a performance or phonogram means the offering of copies of the performance or the phonogram to the public, with the consent of the right holder, and provided that copies are offered to the public in reasonable quantity.</w:t>
      </w:r>
    </w:p>
    <w:p>
      <w:pPr>
        <w:pStyle w:val="Normal"/>
        <w:keepNext w:val="true"/>
        <w:widowControl/>
        <w:rPr/>
      </w:pPr>
      <w:r>
        <w:rPr/>
        <w:t>Article 20.58: Right of Reproduction Each Party shall provide51 to authors, performers, and producers of phonograms52 the exclusive right to authorize or prohibit all reproduction of their works, performances, or phonograms in any manner or form, including in electronic form.</w:t>
      </w:r>
    </w:p>
    <w:p>
      <w:pPr>
        <w:pStyle w:val="Normal"/>
        <w:keepNext w:val="true"/>
        <w:widowControl/>
        <w:rPr/>
      </w:pPr>
      <w:r>
        <w:rPr/>
        <w:t>Article 20.59: Right of Communication to the Public Without prejudice to Article 11(1)(ii), Article 11bis(1)(i) and (ii), Article 11ter(1)(ii), Article 14(1)(ii), and Article 14bis(1) of the Berne Convention, each Party shall provide to authors the exclusive right to authorize or prohibit the communication to the public of their works, by wire or wireless means, including the making available to the public of their works in such a way that members of the public may access these works from a place and at a time individually chosen by them.53</w:t>
      </w:r>
    </w:p>
    <w:p>
      <w:pPr>
        <w:pStyle w:val="Normal"/>
        <w:keepNext w:val="true"/>
        <w:widowControl/>
        <w:rPr/>
      </w:pPr>
      <w:r>
        <w:rPr/>
        <w:t>Article 20.60: Right of Distribution 51 For greater certainty, the Parties understand that it is a matter for each Party’s law to prescribe that works, performances, or phonograms in general or any specified categories of works, performances and phonograms are not protected by copyright or related rights unless the work, performance, or phonogram has been fixed in some material form. 52 References to “authors, performers, and producers of phonograms” refer also to any of their successors in interest. 53 The Parties understand that the mere provision of physical facilities for enabling or making a communication does not in itself amount to communication within the meaning of this Chapter or the Berne Convention. The Parties further understand that nothing in this Article precludes a Party from applying Article 11bis(2) of the Berne Convention. Each Party shall provide to authors, performers, and producers of phonograms the exclusive right to authorize or prohibit the making available to the public of the original and copies54 of their works, performances, and phonograms through sale or other transfer of ownership.</w:t>
      </w:r>
    </w:p>
    <w:p>
      <w:pPr>
        <w:pStyle w:val="Normal"/>
        <w:keepNext w:val="true"/>
        <w:widowControl/>
        <w:rPr/>
      </w:pPr>
      <w:r>
        <w:rPr/>
        <w:t>Article 20.61: No Hierarchy Each Party shall provide that, in cases in which authorization is needed from both the author of a work embodied in a phonogram and a performer or producer that owns rights in the phonogram, the need for the authorization of the: (a) author does not cease to exist because the authorization of the performer or producer is also required; and (b) performer or producer does not cease to exist because the authorization of the author is also required.</w:t>
      </w:r>
    </w:p>
    <w:p>
      <w:pPr>
        <w:pStyle w:val="Normal"/>
        <w:keepNext w:val="true"/>
        <w:widowControl/>
        <w:rPr/>
      </w:pPr>
      <w:r>
        <w:rPr/>
        <w:t>Article 20.62: Related Rights 1. Further to the protection afforded to performers and producers of phonograms as “nationals” under Article 20.8 (National Treatment), each Party shall accord the rights provided for in this Chapter to performances and phonograms first published or first fixed55 in the territory of another Party.56 A performance or phonogram is considered first published in the territory of a Party if it is published in the territory of that Party within 30 days of its original publication. 2. Each Party shall provide to performers the exclusive right to authorize or prohibit: (a) the broadcasting and communication to the public of their unfixed performances, unless the performance is already a broadcast performance; and (b) the fixation of their unfixed performances. 54 The expressions “copies” and “original and copies”, that are subject to the right of distribution in this Article, refer exclusively to fixed copies that can be put into circulation as tangible objects. 55 For the purposes of this Article, fixation means the finalization of the master tape or its equivalent.</w:t>
      </w:r>
    </w:p>
    <w:p>
      <w:pPr>
        <w:pStyle w:val="Normal"/>
        <w:widowControl/>
        <w:rPr/>
      </w:pPr>
      <w:r>
        <w:rPr/>
        <w:t>56 For greater certainty, consistent with Article 20.8 (National Treatment), each Party shall accord to performances and phonograms first published or first fixed in the territory of another Party treatment no less favorable than it accords to performances or phonograms first published or first fixed in its own territory. 3.</w:t>
      </w:r>
    </w:p>
    <w:p>
      <w:pPr>
        <w:pStyle w:val="Normal"/>
        <w:widowControl/>
        <w:rPr/>
      </w:pPr>
      <w:r>
        <w:rPr/>
        <w:t>(a) Each Party shall provide to performers and producers of phonograms the exclusive right to authorize or prohibit the broadcasting or any communication to the public of their performances or phonograms, by wire or wireless means57 and the making available to the public of those performances or phonograms in such a way that members of the public may access them from a place and at a time individually chosen by them. (b) Notwithstanding subparagraph (a) and Article 20.65 (Limitations and Exceptions), the application of the right referred to in subparagraph (a) to analog transmissions and non-interactive free over-the-air broadcasts, and exceptions or limitations to this right for those activities, is a matter of each Party’s law.58 (c) Each Party may adopt limitations to this right in respect of other non-interactive transmissions in accordance with Article 20.65.1 (Limitations and Exceptions), provided that the limitations do not prejudice the right of the performer or producer of phonograms to obtain equitable remuneration.</w:t>
      </w:r>
    </w:p>
    <w:p>
      <w:pPr>
        <w:pStyle w:val="Normal"/>
        <w:keepNext w:val="true"/>
        <w:widowControl/>
        <w:rPr/>
      </w:pPr>
      <w:r>
        <w:rPr/>
        <w:t>Article 20.63: Term of Protection for Copyright and Related Rights Each Party shall provide that in cases in which the term of protection of a work, performance, or phonogram is to be calculated: (a) on the basis of the life of a natural person, the term shall be not less than the life of the author and 70 years after the author’s death;59 and (b) on a basis other than the life of a natural person, the term shall be: 57 For greater certainty, the obligation under this paragraph does not include broadcasting or communication to the public, by wire or wireless means, of the sounds or representations of sounds fixed in a phonogram that are incorporated in a cinematographic or other audio-visual work.</w:t>
      </w:r>
    </w:p>
    <w:p>
      <w:pPr>
        <w:pStyle w:val="Normal"/>
        <w:widowControl/>
        <w:rPr/>
      </w:pPr>
      <w:r>
        <w:rPr/>
        <w:t>58 For the purposes of this subparagraph the Parties understand that a Party may provide for the retransmission of non-interactive, free over-the-air broadcasts, provided that these retransmissions are lawfully permitted by that Party’s government communications authority; any entity engaging in these retransmissions complies with the relevant rules, orders, or regulations of that authority; and these retransmissions do not include those delivered and accessed over the Internet. For greater certainty this footnote does not limit a Party’s ability to avail itself of this subparagraph.</w:t>
      </w:r>
    </w:p>
    <w:p>
      <w:pPr>
        <w:pStyle w:val="Normal"/>
        <w:widowControl/>
        <w:rPr/>
      </w:pPr>
      <w:r>
        <w:rPr/>
        <w:t>59 The Parties understand that if a Party provides its nationals a term of copyright protection that exceeds life of the author plus 70 years, nothing in this Article or Article 20.8 (National Treatment) precludes that Party from applying Article 7(8) of the Berne Convention with respect to the term in excess of the term provided in this subparagraph of protection for works of another Party. (i) not less than 75 years from the end of the calendar year of the first authorized publication60 of the work, performance, or phonogram, or (ii) failing such authorized publication within 25 years from the creation of the work, performance, or phonogram, not less than 70 years from the end of the calendar year of the creation of the work, performance, or phonogram.</w:t>
      </w:r>
    </w:p>
    <w:p>
      <w:pPr>
        <w:pStyle w:val="Normal"/>
        <w:keepNext w:val="true"/>
        <w:widowControl/>
        <w:rPr/>
      </w:pPr>
      <w:r>
        <w:rPr/>
        <w:t>Article 20.64: Application of Article 18 of the Berne Convention and Article 14.6 of the TRIPS Agreement Each Party shall apply Article 18 of the Berne Convention and Article 14.6 of the TRIPS Agreement, mutatis mutandis, to works, performances, and phonograms, and the rights in and protections afforded to that subject matter as required by this Section.</w:t>
      </w:r>
    </w:p>
    <w:p>
      <w:pPr>
        <w:pStyle w:val="Normal"/>
        <w:keepNext w:val="true"/>
        <w:widowControl/>
        <w:rPr/>
      </w:pPr>
      <w:r>
        <w:rPr/>
        <w:t>Article 20.65: Limitations and Exceptions 1. With respect to this Section, each Party shall confine limitations or exceptions to exclusive rights to certain special cases that do not conflict with a normal exploitation of the work, performance, or phonogram, and do not unreasonably prejudice the legitimate interests of the right holder. 2. This Article does not reduce or extend the scope of applicability of the limitations and exceptions permitted by the TRIPS Agreement, the Berne Convention, the WCT, or the WPPT.</w:t>
      </w:r>
    </w:p>
    <w:p>
      <w:pPr>
        <w:pStyle w:val="Normal"/>
        <w:keepNext w:val="true"/>
        <w:widowControl/>
        <w:rPr/>
      </w:pPr>
      <w:r>
        <w:rPr/>
        <w:t>Article 20.66: Contractual Transfers Each Party shall provide that for copyright and related rights, any person acquiring or holding an economic right61 in a work, performance, or phonogram: (a) may freely and separately transfer that right by contract; and 60 For greater certainty, for the purposes of subparagraph (b), if a Party’s law provides for the calculation of term from fixation rather than from the first authorized publication that Party may continue to calculate the term from fixation. 61 For greater certainty, this Article does not affect the exercise of moral rights. (b) by virtue of contract, including contracts of employment underlying the creation of works, performances, or phonograms, must be able to exercise that right in that person’s own name and enjoy fully the benefits derived from that right.62</w:t>
      </w:r>
    </w:p>
    <w:p>
      <w:pPr>
        <w:pStyle w:val="Normal"/>
        <w:keepNext w:val="true"/>
        <w:widowControl/>
        <w:rPr/>
      </w:pPr>
      <w:r>
        <w:rPr/>
        <w:t>Article 20.67: Technological Protection Measures63 1. In order to provide adequate legal protection and effective legal remedies against the circumvention of effective technological measures that authors, performers, and producers of phonograms use in connection with the exercise of their rights and that restrict unauthorized acts in respect of their works, performances, and phonograms, each Party shall provide64 that a person who: (a) knowingly, or having reasonable grounds to know,65 circumvents without authority an effective technological measure that controls access to a protected work, performance, or phonogram;66 or (b) manufactures, imports, distributes, offers for sale or rental to the public, or otherwise provides devices, products, or components, or offers to the public or provides services, that: (i) are promoted, advertised, or otherwise marketed by that person for the purpose of circumventing any effective technological measure, 62 Nothing in this Article affects a Party’s ability to establish: (i) which specific contracts underlying the creation of works, performances, or phonograms shall, in the absence of a written agreement, result in a transfer of economic rights by operation of law; and (ii) reasonable limits to protect the interests of the original right holders, taking into account the legitimate interests of the transferees.</w:t>
      </w:r>
    </w:p>
    <w:p>
      <w:pPr>
        <w:pStyle w:val="Normal"/>
        <w:widowControl/>
        <w:rPr/>
      </w:pPr>
      <w:r>
        <w:rPr/>
        <w:t>63 Nothing in this Agreement requires a Party to restrict the importation or domestic sale of a device that does not render effective a technological measure the only purpose of which is to control market segmentation for legitimate physical copies of a cinematographic film, and is not otherwise a violation of its law. 64 A Party that, prior to the date of entry into force of this Agreement, maintains legal protections for technological protection measures consistent with Article 20.67.1 (Technological Protection Measures), may maintain its current scope of limitations, exceptions, and regulations regarding circumvention. 65 For greater certainty, for the purposes of this subparagraph, a Party may provide that reasonable grounds to know may be demonstrated through reasonable evidence, taking into account the facts and circumstances surrounding the alleged illegal act. 66 For greater certainty, no Party is required to impose civil or criminal liability under this subparagraph for a person that circumvents any effective technological measure that protects any of the exclusive rights of copyright or related rights in a protected work, performance, or phonogram, but does not control access to that work, performance, or phonogram.</w:t>
      </w:r>
    </w:p>
    <w:p>
      <w:pPr>
        <w:pStyle w:val="Normal"/>
        <w:widowControl/>
        <w:rPr/>
      </w:pPr>
      <w:r>
        <w:rPr/>
        <w:t>(ii) have only a limited commercially significant purpose or use other than to circumvent any effective technological measure, or (iii) are primarily designed, produced, or performed for the purpose of circumventing any effective technological measure, is liable and subject to the remedies provided for in Article 20.82.18 (Civil and Administrative Procedures and Remedies).67 Each Party shall provide for criminal procedures and penalties to be applied when a person, other than a non-profit library, archive,68 educational institution, or public non-commercial broadcasting entity, is found to have engaged willfully and for the purposes of commercial advantage or financial gain in any of the foregoing activities. Criminal procedures and penalties listed in subparagraphs (a), (c), and (f) of Article 20.85.6 (Criminal Procedures and Penalties) shall apply, as applicable to infringements mutatis mutandis, to the activities described in subparagraphs (a) and (b) of this paragraph. 2. In implementing paragraph 1, no Party shall be obligated to require that the design of, or the design and selection of parts and components for, a consumer electronics, telecommunications, or computing product provide for a response to any particular technological measure, so long as the product does not otherwise violate any measure implementing paragraph 1. 3.</w:t>
      </w:r>
    </w:p>
    <w:p>
      <w:pPr>
        <w:pStyle w:val="Normal"/>
        <w:widowControl/>
        <w:rPr/>
      </w:pPr>
      <w:r>
        <w:rPr/>
        <w:t>Each Party shall provide that a violation of a measure implementing this Article is a separate cause of action, independent of any infringement that might occur under the Party’s law on copyright and related rights. 4. Each Party shall confine exceptions and limitations to measures implementing paragraph 1 to the following activities, which shall be applied to relevant measures in accordance with paragraph 5:69 (a) non-infringing reverse engineering activities with regard to a lawfully obtained copy of a computer program, carried out in good faith with respect to particular elements of that computer program that have not been readily available to the For greater certainty, no Party is required to impose liability under this Article and Article 20.68 (Rights Management Information) for actions taken by that Party or a third person acting with authorization or consent of the Party. 68 For greater certainty, a Party may treat a non-profit museum as a non-profit archive. 69 A Party may request consultations with the other Parties to consider how to address, under paragraph 4, activities of a similar nature that a Party identifies after the date this Agreement enters into force.</w:t>
      </w:r>
    </w:p>
    <w:p>
      <w:pPr>
        <w:pStyle w:val="Normal"/>
        <w:widowControl/>
        <w:rPr/>
      </w:pPr>
      <w:r>
        <w:rPr/>
        <w:t>person engaged in those activities, for the sole purpose of achieving interoperability of an independently created computer program with other programs; (b) non-infringing good faith activities, carried out by an appropriately qualified researcher who has lawfully obtained a copy, unfixed performance, or display of a work, performance, or phonogram and who has made a good faith effort to obtain authorization for those activities, to the extent necessary for the sole purpose of research consisting of identifying and analyzing flaws and vulnerabilities of technologies for scrambling and descrambling of information; (c) the inclusion of a component or part for the sole purpose of preventing the access of minors to inappropriate online content in a technology, product, service, or device that itself is not prohibited under the measures implementing paragraph (1)(b); (d) non-infringing good faith activities that are authorized by the owner of a computer, computer system, or computer network for the sole purpose of testing, investigating, or correcting the security of that computer, computer system, or computer network;</w:t>
      </w:r>
    </w:p>
    <w:p>
      <w:pPr>
        <w:pStyle w:val="Normal"/>
        <w:widowControl/>
        <w:rPr/>
      </w:pPr>
      <w:r>
        <w:rPr/>
        <w:t>(e) non-infringing activities for the sole purpose of identifying and disabling a capability to carry out undisclosed collection or dissemination of personally identifying information reflecting the online activities of a natural person in a way that has no other effect on the ability of any person to gain access to any work; (f) lawfully authorized activities</w:t>
      </w:r>
    </w:p>
    <w:p>
      <w:pPr>
        <w:pStyle w:val="Normal"/>
        <w:widowControl/>
        <w:rPr/>
      </w:pPr>
      <w:r>
        <w:rPr/>
        <w:t>carried out by government employees, agents, or contractors for the purpose of law enforcement, intelligence, essential security, or similar governmental purposes; (g) access by a nonprofit library, archive, or educational institution to a work, performance, or phonogram not otherwise available to it, for the sole purpose of making acquisition decisions; and (h) in addition, a Party may provide additional exceptions or limitations for non- infringing uses of a particular class of works, performances, or phonograms, when an actual or likely adverse impact on those non-infringing uses is demonstrated by substantial evidence in a legislative, regulatory, or administrative proceeding in accordance with the Party’s law. 5. The exceptions and limitations to measures implementing paragraph 1 for the activities set forth in paragraph 4 may only be applied as follows, and only to the extent that they do not impair the adequacy of legal protection or the effectiveness of legal remedies against the circumvention of effective technological measures under the Party’s legal system:</w:t>
      </w:r>
    </w:p>
    <w:p>
      <w:pPr>
        <w:pStyle w:val="Normal"/>
        <w:widowControl/>
        <w:rPr/>
      </w:pPr>
      <w:r>
        <w:rPr/>
        <w:t>(a) measures implementing paragraph (1)(a) may be subject to exceptions and limitations with respect to each activity set forth in paragraph (4); (b) measures implementing paragraph (1)(b), as they apply to effective technological measures that control access to a work, performance, or phonogram, may be subject to exceptions and limitations with respect to activities set forth in paragraphs (4)(a), (b), (c),</w:t>
      </w:r>
    </w:p>
    <w:p>
      <w:pPr>
        <w:pStyle w:val="Normal"/>
        <w:widowControl/>
        <w:rPr/>
      </w:pPr>
      <w:r>
        <w:rPr/>
        <w:t>(d), and (f); and (c) measures implementing paragraph (1)(b), as they apply to effective technological measures that protect any copyright or any rights related to copyright, may be subject to exceptions and limitations with respect to activities set forth in paragraphs (4)(a) and (f). 6. Effective technological measure means a technology, device, or component that, in the normal course of its operation, controls access to a protected work, performance, or phonogram, or protects copyright or rights related to copyright.70</w:t>
      </w:r>
    </w:p>
    <w:p>
      <w:pPr>
        <w:pStyle w:val="Normal"/>
        <w:keepNext w:val="true"/>
        <w:widowControl/>
        <w:rPr/>
      </w:pPr>
      <w:r>
        <w:rPr/>
        <w:t>Article 20.68: Rights Management Information71 1. In order to provide adequate and effective legal remedies to protect rights management information (RMI), each Party shall provide that any person that, without authority, and knowing, or having reasonable grounds to know, that it would induce, enable, facilitate, or conceal an infringement of the copyright or related right of authors, performers, or producers of phonograms, knowingly:72 (a) removes or alters any RMI; (b) distributes or imports for distribution RMI knowing that the RMI has been altered without authority;73 or 70 For greater certainty, a technological measure that can, in a usual case, be circumvented accidentally is not an “effective” technological measure. 71 A Party may comply with the obligations in this Article by providing legal protection only to electronic rights management information. 72 For greater certainty, a Party may extend the protection afforded by this paragraph to circumstances in which a person engages without knowledge in the acts in subparagraphs (a), (b), and (c), and to other related right holders.</w:t>
      </w:r>
    </w:p>
    <w:p>
      <w:pPr>
        <w:pStyle w:val="Normal"/>
        <w:widowControl/>
        <w:rPr/>
      </w:pPr>
      <w:r>
        <w:rPr/>
        <w:t>A Party may meet its obligation under this subparagraph if it provides effective protection for original compilations, provided that the acts described in this subparagraph are treated as infringements of copyright in those original compilations.</w:t>
      </w:r>
    </w:p>
    <w:p>
      <w:pPr>
        <w:pStyle w:val="Normal"/>
        <w:widowControl/>
        <w:rPr/>
      </w:pPr>
      <w:r>
        <w:rPr/>
        <w:t>(c) distributes, imports for distribution, broadcasts, communicates, or makes available to the public copies of works, performances, or phonograms, knowing that RMI has been removed or altered without authority, is liable and subject to the remedies set out in Article 20.82 (Civil and Administrative Procedures and Remedies). 2. Each Party shall provide for criminal procedures and penalties to be applied if a person is found to have engaged willfully and for purposes of commercial advantage or financial gain in any of the activities referred to in paragraph 1. 3. A Party may provide that the criminal procedures and penalties do not apply to a non profit library, museum, archive, educational institution or public non-commercial broadcasting entity.74 4. For greater certainty, nothing prevents a Party from excluding from a measure that implements paragraphs 1 through 3 a lawfully authorized activity that is carried out for the purpose of law enforcement, essential security interests, or other related governmental purposes, such as the performance of a statutory function. 5.</w:t>
      </w:r>
    </w:p>
    <w:p>
      <w:pPr>
        <w:pStyle w:val="Normal"/>
        <w:widowControl/>
        <w:rPr/>
      </w:pPr>
      <w:r>
        <w:rPr/>
        <w:t>For greater certainty, nothing in this Article obligates a Party to require a right holder in a work, performance, or phonogram to attach RMI to copies of the work, performance, or phonogram, or to cause RMI to appear in connection with a communication of the work, performance, or phonogram to the public. 6.</w:t>
      </w:r>
    </w:p>
    <w:p>
      <w:pPr>
        <w:pStyle w:val="Normal"/>
        <w:widowControl/>
        <w:rPr/>
      </w:pPr>
      <w:r>
        <w:rPr/>
        <w:t>RMI means: (a) information that identifies a work, performance, or phonogram, the author of the work, the performer of the performance, or the producer of the phonogram; or the owner of a right in the work, performance, or phonogram; (b) information about the terms and conditions of the use of the work, performance, or phonogram; or (c) any numbers or codes that represent the information referred to in subparagraphs (a) and (b), if any of these items is attached to a copy of the work, performance, or phonogram or appears in connection with the communication or making available of a work, performance, or phonogram to the public. 74 For greater certainty, a Party may treat a broadcasting entity established without a profit-making purpose under its law as a public non-commercial broadcasting entity.</w:t>
      </w:r>
    </w:p>
    <w:p>
      <w:pPr>
        <w:pStyle w:val="Normal"/>
        <w:keepNext w:val="true"/>
        <w:widowControl/>
        <w:rPr/>
      </w:pPr>
      <w:r>
        <w:rPr/>
        <w:t>Article 20.69: Collective Management The Parties recognize the important role of collective management societies for copyright and related rights in collecting and distributing royalties75 based on practices that are fair, efficient, transparent, and accountable, which may include appropriate record keeping and reporting mechanisms. Section I: Trade Secrets76, 77</w:t>
      </w:r>
    </w:p>
    <w:p>
      <w:pPr>
        <w:pStyle w:val="Normal"/>
        <w:keepNext w:val="true"/>
        <w:widowControl/>
        <w:rPr/>
      </w:pPr>
      <w:r>
        <w:rPr/>
        <w:t>Article 20.70: Protection of Trade Secrets In the course of ensuring effective protection against unfair competition as provided in Article 10bis of the Paris Convention, each Party shall ensure that persons have the legal means to prevent trade secrets lawfully in their control from being disclosed to, acquired by, or used by others (including state-owned enterprises) without their consent in a manner contrary to honest commercial practices.</w:t>
      </w:r>
    </w:p>
    <w:p>
      <w:pPr>
        <w:pStyle w:val="Normal"/>
        <w:keepNext w:val="true"/>
        <w:widowControl/>
        <w:rPr/>
      </w:pPr>
      <w:r>
        <w:rPr/>
        <w:t>Article 20.71: Civil Protection and Enforcement In fulfilling its obligation under paragraphs 1 and 2 of Article 39 of the TRIPS Agreement, each Party shall: (a) provide civil judicial procedures78 for any person lawfully in control of a trade secret to prevent, and obtain redress for, the misappropriation of the trade secret by any other person; and (b) not limit the duration of protection for a trade secret, so long as the conditions in Article 20.73 (Definitions) exist. 75 For greater certainty, royalties may include equitable remuneration. 76 For greater certainty, the enforcement obligations and principles set forth in Section J also apply to the obligations in this section, as relevant. For greater certainty, this Section is without prejudice to a Party’s measures protecting good faith lawful disclosures to provide evidence of a violation of that Party’s law. 78 For greater certainty, civil judicial procedures do not have to be federal provided that those procedures are available.</w:t>
      </w:r>
    </w:p>
    <w:p>
      <w:pPr>
        <w:pStyle w:val="Normal"/>
        <w:keepNext w:val="true"/>
        <w:widowControl/>
        <w:rPr/>
      </w:pPr>
      <w:r>
        <w:rPr/>
        <w:t>Article 20.72: Criminal Enforcement 1. Subject to paragraph 2, each Party shall provide for criminal procedures and penalties for the unauthorized and willful misappropriation79 of a trade secret. 2. With respect to the acts referred to in paragraph 1, a Party may, as appropriate, limit the availability of its procedures, or limit the level of penalties available, to one or more of the following cases in which the act is: (a) for the purposes of commercial advantage or financial gain; (b) related to a product or service in national or international commerce; or (c) intended to injure the owner of that trade secret.</w:t>
      </w:r>
    </w:p>
    <w:p>
      <w:pPr>
        <w:pStyle w:val="Normal"/>
        <w:keepNext w:val="true"/>
        <w:widowControl/>
        <w:rPr/>
      </w:pPr>
      <w:r>
        <w:rPr/>
        <w:t>Article 20.73: Definitions For the purposes of this Section: trade secret means information that: (a) is secret in the sense that it is not, as a body or in the precise configuration and assembly of its components, generally known among or readily accessible to persons within the circles that normally deal with the kind of information in question; (b) has actual or potential commercial value because it is secret; and (c) has been subject to reasonable steps under the circumstances, by the person lawfully in control of the information, to keep it secret; misappropriation means the acquisition, use, or disclosure of a trade secret in a manner contrary to honest commercial practices, including the acquisition, use, or disclosure of a trade secret by a third party that knew, or had reason to know, that the trade secret was acquired in a manner contrary to honest commercial practices.80 Misappropriation does not include situations in which a person:</w:t>
      </w:r>
    </w:p>
    <w:p>
      <w:pPr>
        <w:pStyle w:val="Normal"/>
        <w:widowControl/>
        <w:rPr/>
      </w:pPr>
      <w:r>
        <w:rPr/>
        <w:t>79 For the purposes of this Article, “willful misappropriation” requires a person to have known that the trade secret was acquired in a manner contrary to honest commercial practices. 80 For greater certainty, “misappropriation” as defined in this paragraph includes cases in which the acquisition, use, or disclosure involves a computer system.</w:t>
      </w:r>
    </w:p>
    <w:p>
      <w:pPr>
        <w:pStyle w:val="Normal"/>
        <w:widowControl/>
        <w:rPr/>
      </w:pPr>
      <w:r>
        <w:rPr/>
        <w:t>(a) reverse engineered an item lawfully obtained; (b) independently discovered information claimed as a trade secret; or (c) acquired the subject information from another person in a legitimate without an obligation of confidentiality or knowledge that the informatio trade secret; and manner n was a manner contrary to honest commercial practices means at least practices such as breach of contract, breach of confidence, and inducement to breach, and includes the acquisition of undisclosed information by third parties that knew, or were grossly negligent in failing to know, that those practices were involved in the acquisition.</w:t>
      </w:r>
    </w:p>
    <w:p>
      <w:pPr>
        <w:pStyle w:val="Normal"/>
        <w:keepNext w:val="true"/>
        <w:widowControl/>
        <w:rPr/>
      </w:pPr>
      <w:r>
        <w:rPr/>
        <w:t>Article 20.74: Provisional Measures In the civil judicial proceedings described in Article 20.71 (Civil Protection and Enforcement), each Party shall provide that its judicial authorities have the authority to order prompt and effective provisional measures, such as orders to prevent the misappropriation of the trade secret and to preserve relevant evidence.</w:t>
      </w:r>
    </w:p>
    <w:p>
      <w:pPr>
        <w:pStyle w:val="Normal"/>
        <w:keepNext w:val="true"/>
        <w:widowControl/>
        <w:rPr/>
      </w:pPr>
      <w:r>
        <w:rPr/>
        <w:t>Article 20.75: Confidentiality In connection with the civil judicial proceedings described in Article 20.71 (Civil Protection and Enforcement), each Party shall provide that its civil judicial authorities have the authority to: (a) order specific procedures to protect the confidentiality of any trade secret, alleged trade secret, or any other information asserted by an interested party to be confidential; and (b) impose sanctions on parties, counsel, expert, or other person subject to those proceedings, related to violation of orders concerning the protection of a trade secret or alleged trade secret produced or exchanged in that proceeding, as well as other information asserted by an interested party to be confidential. Each Party shall further provide in its law that, in cases in which an interested party asserts information to be a trade secret, its judicial authorities shall not disclose that information without first providing that person with an opportunity to make a submission under seal that describes the interest of that person in keeping the information confidential.</w:t>
      </w:r>
    </w:p>
    <w:p>
      <w:pPr>
        <w:pStyle w:val="Normal"/>
        <w:keepNext w:val="true"/>
        <w:widowControl/>
        <w:rPr/>
      </w:pPr>
      <w:r>
        <w:rPr/>
        <w:t>Article 20.76: Civil Remedies In connection with the civil judicial proceedings described in Article 20.71 (Civil Protection and Enforcement), each Party shall provide that its judicial authorities have the authority at least to order: (a) injunctive relief that conforms to Article 44 of the TRIPS Agreement against a person that misappropriated a trade secret; and (b) a person that misappropriated a trade secret to pay damages adequate to compensate the person lawfully in control of the trade secret for the injury suffered because of the misappropriation of the trade secret81 and, if appropriate, because of the proceedings to enforce the trade secret.</w:t>
      </w:r>
    </w:p>
    <w:p>
      <w:pPr>
        <w:pStyle w:val="Normal"/>
        <w:keepNext w:val="true"/>
        <w:widowControl/>
        <w:rPr/>
      </w:pPr>
      <w:r>
        <w:rPr/>
        <w:t>Article 20.77: Licensing and Transfer of Trade Secrets No Party shall discourage or impede the voluntary licensing of trade secrets by imposing excessive or discriminatory conditions on those licenses or conditions that dilute the value of the trade secrets.</w:t>
      </w:r>
    </w:p>
    <w:p>
      <w:pPr>
        <w:pStyle w:val="Normal"/>
        <w:keepNext w:val="true"/>
        <w:widowControl/>
        <w:rPr/>
      </w:pPr>
      <w:r>
        <w:rPr/>
        <w:t>Article 20.78: Prohibition of Unauthorized Disclosure or Use of a Trade Secret by Government Officials Outside the Scope of Their Official Duties 1. In civil, criminal, and regulatory proceedings in which trade secrets may be submitted to a court or government entity, each Party shall prohibit the unauthorized disclosure of a trade secret by a government official at the central level of government outside the scope of that person’s official duties. 2. Each Party shall provide for in its law deterrent level penalties, including monetary fines, suspension or termination of employment, and imprisonment, to guard against the unauthorized disclosure of a trade secret described in paragraph 1. 81 For greater certainty, a Party may provide that the determination of damages is carried out after the determination of misappropriation. Section J: Enforcement</w:t>
      </w:r>
    </w:p>
    <w:p>
      <w:pPr>
        <w:pStyle w:val="Normal"/>
        <w:keepNext w:val="true"/>
        <w:widowControl/>
        <w:rPr/>
      </w:pPr>
      <w:r>
        <w:rPr/>
        <w:t>Article 20.79: General Obligations 1. Each Party shall ensure that enforcement procedures as specified in this Section are available under its law so as to permit effective action against an act of infringement of intellectual property rights covered by this Chapter, including expeditious remedies to prevent infringements and remedies that constitute a deterrent to future infringements.82 These procedures shall be applied in such a manner as to avoid the creation of barriers to legitimate trade and to provide for safeguards against their abuse. 2. Each Party confirms that the enforcement procedures set forth in Article 20.82 (Civil and Administrative Procedures and Remedies), Article 20.83 (Provisional Measures), and Article 20.85 (Criminal Procedures and Penalties) shall be available to the same extent with respect to acts of trademark infringement, as well as copyright or related rights infringement, in the digital environment. 3. Each Party shall ensure that its procedures concerning the enforcement of intellectual property rights are fair and equitable. These procedures shall not be unnecessarily complicated or costly, or entail unreasonable time-limits or unwarranted delays. 4.</w:t>
      </w:r>
    </w:p>
    <w:p>
      <w:pPr>
        <w:pStyle w:val="Normal"/>
        <w:widowControl/>
        <w:rPr/>
      </w:pPr>
      <w:r>
        <w:rPr/>
        <w:t>This Section does not create any obligation: (a) to put in place a judicial system for the enforcement of intellectual property rights distinct from that for the enforcement of law in general, nor does it affect the capacity of each Party to enforce its law in general; or (b) with respect to the distribution of resources as between the enforcement of intellectual property rights and the enforcement of law in general. 5. In implementing this Section in its intellectual property system, each Party shall take into account the need for proportionality between the seriousness of the infringement of the intellectual property right and the applicable remedies and penalties, as well as the interests of third parties. 82 For greater certainty, and subject to Article 44 of the TRIPS Agreement and this Agreement, each Party confirms that it makes those remedies available with respect to enterprises, regardless of whether the enterprises are private or state-owned.</w:t>
      </w:r>
    </w:p>
    <w:p>
      <w:pPr>
        <w:pStyle w:val="Normal"/>
        <w:keepNext w:val="true"/>
        <w:widowControl/>
        <w:rPr/>
      </w:pPr>
      <w:r>
        <w:rPr/>
        <w:t>Article 20.80: Presumptions 1. In civil, criminal, and, if applicable, administrative proceedings involving copyright or related rights, each Party shall provide for a presumption83 that, in the absence of proof to the contrary: (a) the person whose name is indicated in the usual manner84 as the author, performer, or producer of the work, performance, or phonogram, or if applicable the publisher, is the designated right holder in that work, performance, or phonogram; and (b) the copyright or related right subsists in that subject matter. 2. In connection with the commencement of a civil, administrative, or criminal enforcement proceeding involving a registered trademark that has been substantively examined by its competent authority, each Party shall provide that the trademark be considered prima facie valid. 3. In connection with the commencement of a civil or administrative enforcement proceeding involving a patent that has been substantively examined and granted by the competent authority of a Party, that Party shall provide that each claim in the patent be considered prima facie to satisfy the applicable criteria of patentability in its territory.85, 86</w:t>
      </w:r>
    </w:p>
    <w:p>
      <w:pPr>
        <w:pStyle w:val="Normal"/>
        <w:keepNext w:val="true"/>
        <w:widowControl/>
        <w:rPr/>
      </w:pPr>
      <w:r>
        <w:rPr/>
        <w:t>Article 20.81: Enforcement Practices with Respect to Intellectual Property Rights 1. Each Party shall provide that final judicial decisions and administrative rulings of general application pertaining to the enforcement of intellectual property rights: 83 For greater certainty, a Party may implement this Article on the basis of sworn statements or documents having evidentiary value, such as statutory declarations. A Party may also provide that these presumptions are rebuttable presumptions that may be rebutted by evidence to the contrary. 84 For greater certainty, a Party may establish the means by which it shall determine what constitutes the “usual manner” for a particular physical support. 85 For greater certainty, if a Party provides its administrative authorities with the exclusive authority to determine the validity of a registered trademark or patent, nothing in paragraphs 2 and 3 shall prevent that Party’s competent authority from suspending enforcement procedures until the validity of the registered trademark or patent is determined by the administrative authority.</w:t>
      </w:r>
    </w:p>
    <w:p>
      <w:pPr>
        <w:pStyle w:val="Normal"/>
        <w:widowControl/>
        <w:rPr/>
      </w:pPr>
      <w:r>
        <w:rPr/>
        <w:t>In those validity procedures, the party challenging the validity of the registered trademark or patent shall be required to prove that the registered trademark or patent is not valid. Notwithstanding this requirement, a Party may require the trademark holder to provide evidence of first use.</w:t>
      </w:r>
    </w:p>
    <w:p>
      <w:pPr>
        <w:pStyle w:val="Normal"/>
        <w:widowControl/>
        <w:rPr/>
      </w:pPr>
      <w:r>
        <w:rPr/>
        <w:t>86 A Party may provide that this paragraph applies only to those patents that have been applied for, examined, and granted after the entry into force of this Agreement. (a) are in writing and preferably state any relevant findings of fact and the reasoning or the legal basis on which the decisions and rulings are based; and (b) are published87 or, if publication is not practicable, otherwise made available to the public in a national language in such a manner as to enable interested persons and Parties to become acquainted with them. 2. Each Party recognizes the importance of collecting and analyzing statistical data and other relevant information concerning infringements of intellectual property rights as well as collecting information on best practices to prevent and combat infringements. 3. Each Party shall publish or otherwise make available to the public information on its efforts to provide effective enforcement of intellectual property rights in its civil, administrative, and criminal systems, such as statistical information that the Party may collect for those purposes.</w:t>
      </w:r>
    </w:p>
    <w:p>
      <w:pPr>
        <w:pStyle w:val="Normal"/>
        <w:keepNext w:val="true"/>
        <w:widowControl/>
        <w:rPr/>
      </w:pPr>
      <w:r>
        <w:rPr/>
        <w:t>Article 20.82: Civil and Administrative Procedures and Remedies 1. Each Party shall make available to right holders civil judicial procedures concerning the enforcement of any intellectual property right covered in this Chapter.88 2. Each Party shall provide that its judicial authorities have the authority to order injunctive relief that conforms to Article 44 of the TRIPS Agreement, including to prevent goods that involve the infringement of an intellectual property right under the law of the Party providing that relief from entering into the channels of commerce. 3. Each Party shall provide89 that, in civil judicial proceedings, its judicial authorities have the authority at least to order the infringer to pay the right holder damages adequate to compensate for the injury the right holder has suffered because of an infringement of that person’s intellectual property right by an infringer who knowingly, or with reasonable grounds to know, engaged in infringing activity. 87 For greater certainty, a Party may satisfy the requirement for publication by making the decision or ruling available to the public online.</w:t>
      </w:r>
    </w:p>
    <w:p>
      <w:pPr>
        <w:pStyle w:val="Normal"/>
        <w:widowControl/>
        <w:rPr/>
      </w:pPr>
      <w:r>
        <w:rPr/>
        <w:t>88 For the purposes of this Article, the term “right holders” includes those authorized licensees, federations, and associations that have the legal standing and authority to assert those rights. The term “authorized licensee” includes the exclusive licensee of any one or more of the exclusive intellectual property rights encompassed in a given intellectual property.</w:t>
      </w:r>
    </w:p>
    <w:p>
      <w:pPr>
        <w:pStyle w:val="Normal"/>
        <w:widowControl/>
        <w:rPr/>
      </w:pPr>
      <w:r>
        <w:rPr/>
        <w:t>89 A Party may also provide that the right holder may not be entitled to any of the remedies set out in paragraphs 3, 5, and 7 if there is a finding of non-use of a trademark. For greater certainty, there is no obligation for a Party to provide for the possibility of any of the remedies in paragraphs 3, 5, 6, and 7 to be ordered in parallel. 4. In determining the amount of damages under paragraph 3, each Party’s judicial authorities shall have the authority to consider, among other things, any legitimate measure of value the right holder submits, which may include lost profits, the value of the infringed goods or services measured by the market price, or the suggested retail price. 5. At least in cases of copyright or related rights infringement and trademark counterfeiting, each Party shall provide that, in civil judicial proceedings, its judicial authorities have the authority to order the infringer, at least in cases described in paragraph 3, to pay the right holder the infringer’s profits that are attributable to the infringement.90 6.</w:t>
      </w:r>
    </w:p>
    <w:p>
      <w:pPr>
        <w:pStyle w:val="Normal"/>
        <w:widowControl/>
        <w:rPr/>
      </w:pPr>
      <w:r>
        <w:rPr/>
        <w:t>In civil judicial proceedings with respect to the infringement of copyright or related rights protecting works, phonograms, or performances, each Party shall establish or maintain a system that provides for one or more of the following: (a) pre-established damages, which shall be available on the election of the right holder; or (b) additional damages.91 7.</w:t>
      </w:r>
    </w:p>
    <w:p>
      <w:pPr>
        <w:pStyle w:val="Normal"/>
        <w:widowControl/>
        <w:rPr/>
      </w:pPr>
      <w:r>
        <w:rPr/>
        <w:t>In civil judicial proceedings with respect to trademark counterfeiting, each Party shall also establish or maintain a system that provides for one or more of the following: (a) pre-established damages, which shall be available on the election of the right holder; or (b) additional damages.92 8. Pre-established damages referred to in paragraphs 6 and 7 shall be in an amount sufficient to constitute a deterrent to future infringements and to compensate fully the right holder for the harm caused by the infringement. 9. In awarding additional damages referred to in paragraphs 6 and 7, judicial authorities shall have the authority to award those additional damages as they consider appropriate, having regard to all relevant matters, including the nature of the infringing conduct and the need to deter similar infringements in the future. 10.</w:t>
      </w:r>
    </w:p>
    <w:p>
      <w:pPr>
        <w:pStyle w:val="Normal"/>
        <w:widowControl/>
        <w:rPr/>
      </w:pPr>
      <w:r>
        <w:rPr/>
        <w:t>Each Party shall provide that its judicial authorities, if appropriate, have the authority to order, at the conclusion of civil judicial proceedings concerning infringement of at least 90 A Party may comply with this paragraph by presuming those profits to be the damages referred to in paragraph 3. 91 For greater certainty, additional damages may include exemplary or punitive damages. 92 For greater certainty, additional damages may include exemplary or punitive damages.</w:t>
      </w:r>
    </w:p>
    <w:p>
      <w:pPr>
        <w:pStyle w:val="Normal"/>
        <w:widowControl/>
        <w:rPr/>
      </w:pPr>
      <w:r>
        <w:rPr/>
        <w:t>copyright or related rights, patents, and trademarks, that the prevailing party be awarded payment by the losing party of court costs or fees and appropriate attorney’s fees, or any other expenses as provided for under the Party’s law. 11. If a Party’s judicial or other authorities appoint a technical or other expert in a civil proceeding concerning the enforcement of an intellectual property right and require that the parties in the proceeding pay the costs of that expert, that Party should seek to ensure that those costs are reasonable and related appropriately, among other things, to the quantity and nature of work to be performed and do not unreasonably deter recourse to those proceedings. 12. Each Party shall provide that in civil judicial proceedings: (a) at least with respect to pirated copyright goods and counterfeit trademark goods, its judicial authorities have the authority, at the right holder’s request, to order that the infringing goods be destroyed, except in exceptional circumstances, without compensation of any sort;</w:t>
      </w:r>
    </w:p>
    <w:p>
      <w:pPr>
        <w:pStyle w:val="Normal"/>
        <w:widowControl/>
        <w:rPr/>
      </w:pPr>
      <w:r>
        <w:rPr/>
        <w:t>(b) its judicial authorities have the authority to order that materials and implements that have been used in the manufacture or creation of the infringing goods be, without compensation of any sort, promptly destroyed or, in exceptional circumstances, without compensation of any sort, disposed of outside the channels of commerce in such a manner as to minimize the risk of further infringement; and (c) in regard to counterfeit trademark goods,</w:t>
      </w:r>
    </w:p>
    <w:p>
      <w:pPr>
        <w:pStyle w:val="Normal"/>
        <w:widowControl/>
        <w:rPr/>
      </w:pPr>
      <w:r>
        <w:rPr/>
        <w:t>the simple removal of the trademark unlawfully affixed is not sufficient, other than in exceptional circumstances, to permit the release of goods into the channels of commerce. 13. Without prejudice to its law governing privilege, the protection of confidentiality of information sources, or the processing of personal data, each Party shall provide that, in civil judicial proceedings concerning the enforcement of an intellectual property right, its judicial authorities have the authority, on a justified request of the right holder, to order the infringer or the alleged infringer, as applicable, to provide to the right holder or to the judicial authorities, at least for the purpose of collecting evidence, relevant information as provided for in its applicable laws and regulations that the infringer or alleged infringer possesses or controls. This information may include information regarding any person involved in any aspect of the infringement or alleged infringement and the means of production or the channels of distribution of the infringing or allegedly infringing goods or services, including the identification of third persons alleged to be involved in the production and distribution of the goods or services and of their channels of distribution. 14.</w:t>
      </w:r>
    </w:p>
    <w:p>
      <w:pPr>
        <w:pStyle w:val="Normal"/>
        <w:widowControl/>
        <w:rPr/>
      </w:pPr>
      <w:r>
        <w:rPr/>
        <w:t>In cases in which a party in a proceeding voluntarily and without good reason refuses access to, or otherwise does not provide relevant evidence under its control within a reasonable period, or significantly impedes a proceeding relating to an enforcement action, each Party shall provide that its judicial authorities shall have the authority to make preliminary and final determinations, affirmative or negative, on the basis of the evidence presented, including the complaint or the allegation presented by the party adversely affected by the denial of access to evidence, subject to providing the parties an opportunity to be heard on the allegations or evidence. 15. Each Party shall ensure that its judicial authorities have the authority to order a party at whose request measures were taken and that has abused enforcement procedures to provide to a party wrongfully enjoined or restrained adequate compensation for the injury suffered because of that abuse. The judicial authorities shall also have the authority to order the applicant to pay the defendant expenses, which may include appropriate attorney’s fees. 16.</w:t>
      </w:r>
    </w:p>
    <w:p>
      <w:pPr>
        <w:pStyle w:val="Normal"/>
        <w:widowControl/>
        <w:rPr/>
      </w:pPr>
      <w:r>
        <w:rPr/>
        <w:t>Each Party shall provide that in relation to a civil judicial proceeding concerning the enforcement of an intellectual property right, its judicial or other authorities have the authority to impose sanctions on a party, counsel, expert, or other person subject to the court’s jurisdiction for violation of judicial orders concerning the protection of confidential information produced or exchanged in that proceeding. 17. To the extent that a civil remedy can be ordered as a result of administrative procedures on the merits of a case, each Party shall provide that those procedures conform to principles equivalent in substance to those set out in this Article. 18. In civil judicial proceedings concerning the acts described in Article 20.67 (Technological Protection Measures) and Article 20.68 (Rights Management Information):</w:t>
      </w:r>
    </w:p>
    <w:p>
      <w:pPr>
        <w:pStyle w:val="Normal"/>
        <w:widowControl/>
        <w:rPr/>
      </w:pPr>
      <w:r>
        <w:rPr/>
        <w:t>(a) each Party shall provide that its judicial authorities have the authority at least to:93 (i) impose provisional measures, including seizure or other taking into custody of devices and products suspected of being involved in the prohibited activity, (ii) order the type of damages available for copyright infringement, as provided under its law in accordance with this Article, (iii) order court costs, fees or expenses as provided for under paragraph 10, and (iv) order the destruction of devices and products found to be involved in the prohibited activity; and 93 For greater certainty, a Party may, but is not required to, put in place separate remedies in</w:t>
      </w:r>
    </w:p>
    <w:p>
      <w:pPr>
        <w:pStyle w:val="Normal"/>
        <w:widowControl/>
        <w:rPr/>
      </w:pPr>
      <w:r>
        <w:rPr/>
        <w:t>respect of Article 20.67 (Technological Protection Measures) and 20.68 (Rights Management Information), if those remedies are available under its copyright law. (b) a Party may provide that damages are not available against a non-profit library, museum, archive, educational institution, or public non-commercial broadcasting entity, if it sustains the burden of proving that it was not aware or had no reason to believe that its acts constituted a prohibited activity.</w:t>
      </w:r>
    </w:p>
    <w:p>
      <w:pPr>
        <w:pStyle w:val="Normal"/>
        <w:keepNext w:val="true"/>
        <w:widowControl/>
        <w:rPr/>
      </w:pPr>
      <w:r>
        <w:rPr/>
        <w:t>Article 20.83: Provisional Measures 1. Each Party’s authorities shall act on a request for relief in respect of an intellectual property right inaudita altera parte expeditiously in accordance with that Party’s judicial rules. 2. Each Party shall provide that its judicial authorities have the authority to require the applicant for a provisional measure in respect of an intellectual property right to provide any reasonably available evidence in order to satisfy the judicial authority, with a sufficient degree of certainty, that the applicant’s right is being infringed or that the infringement is imminent, and to order the applicant to provide security or equivalent assurance set at a level sufficient to protect the defendant and to prevent abuse. That security or equivalent assurance shall not unreasonably deter recourse to those procedures. 3. In civil judicial proceedings concerning copyright or related rights infringement and trademark counterfeiting, each Party shall provide that its judicial authorities have the authority to order the seizure or other taking into custody of suspected infringing goods, materials, and implements relevant to the infringement, and, at least for trademark counterfeiting, documentary evidence relevant to the infringement.</w:t>
      </w:r>
    </w:p>
    <w:p>
      <w:pPr>
        <w:pStyle w:val="Normal"/>
        <w:keepNext w:val="true"/>
        <w:widowControl/>
        <w:rPr/>
      </w:pPr>
      <w:r>
        <w:rPr/>
        <w:t>Article 20.84: Special Requirements Related to Border Measures 1. Each Party shall provide for applications to suspend the release of, or to detain, suspected counterfeit or confusingly similar trademark or pirated copyright goods that are imported into the territory of the Party.94 2. Each Party shall provide that a right holder, submitting an application referred to in paragraph 1, to initiate procedures for the Party’s competent authorities95 to suspend release into 94 For the purposes of this Article:</w:t>
      </w:r>
    </w:p>
    <w:p>
      <w:pPr>
        <w:pStyle w:val="Normal"/>
        <w:widowControl/>
        <w:rPr/>
      </w:pPr>
      <w:r>
        <w:rPr/>
        <w:t>(a) “counterfeit trademark goods” means goods, including packaging, bearing without authorization a trademark that is identical to the trademark validly registered in respect of those goods, or that cannot be distinguished in its essential aspects from such a trademark, and that thereby infringes the rights of the owner of the trademark in question under the law of the Party providing the procedures under this Section; and (b) “pirated copyright goods” means goods that are copies made without the consent of the right holder or person duly authorized by the right holder in the country of production and that are made directly or indirectly from an article when the making of that copy would have constituted an infringement of a copyright or a related right under the law of the Party providing the procedures under this Section.</w:t>
      </w:r>
    </w:p>
    <w:p>
      <w:pPr>
        <w:pStyle w:val="Normal"/>
        <w:widowControl/>
        <w:rPr/>
      </w:pPr>
      <w:r>
        <w:rPr/>
        <w:t>free circulation of, or to detain, suspected counterfeit or confusingly similar trademark or pirated copyright goods, is required to: (a) provide adequate evidence to satisfy the competent authorities that, under the law of the Party providing the procedures, there is prima facie an infringement of the right holder’s intellectual property right; and (b) supply sufficient information that may reasonably be expected to be within the right holder’s knowledge to make the suspect goods reasonably recognizable by its competent authorities. The requirement to provide that information shall not unreasonably deter recourse to these procedures. 3. Each Party shall provide that its competent authorities have the authority to require a right holder submitting an application referred to in paragraph 1 to provide a reasonable security or equivalent assurance sufficient to protect the defendant and the competent authorities, and to prevent abuse. Each Party shall provide that such security or equivalent assurance does not unreasonably deter recourse to these procedures.</w:t>
      </w:r>
    </w:p>
    <w:p>
      <w:pPr>
        <w:pStyle w:val="Normal"/>
        <w:widowControl/>
        <w:rPr/>
      </w:pPr>
      <w:r>
        <w:rPr/>
        <w:t>A Party may provide that the security may be in the form of a bond conditioned to hold the defendant harmless from any loss or damage resulting from any suspension of the release of goods in the event the competent authorities determine that the article is not an infringing good. 4.</w:t>
      </w:r>
    </w:p>
    <w:p>
      <w:pPr>
        <w:pStyle w:val="Normal"/>
        <w:widowControl/>
        <w:rPr/>
      </w:pPr>
      <w:r>
        <w:rPr/>
        <w:t>Without prejudice to a Party’s law pertaining to privacy or the confidentiality of information: (a) if a Party’s competent authorities have detained or suspended the release of goods that are suspected of being counterfeit trademark or pirated copyright goods, that Party may provide that its competent authorities have the authority to inform the right holder without undue delay of the names and addresses of the consignor, exporter, consignee, or importer; a description of the goods; the quantity of the goods; and, if known, the country of origin of the goods;96 or (b) if a Party does not provide its competent authority with the authority referred to in subparagraph (a) when suspect goods are detained or suspended from release, it shall provide, at least in cases of imported goods, its competent authorities with the authority to provide the information specified in subparagraph (a) to the right holder normally within 30 working days of the seizure or determination that the goods are counterfeit trademark goods or pirated copyright goods.</w:t>
      </w:r>
    </w:p>
    <w:p>
      <w:pPr>
        <w:pStyle w:val="Normal"/>
        <w:widowControl/>
        <w:rPr/>
      </w:pPr>
      <w:r>
        <w:rPr/>
        <w:t>95 For the purposes of this Article, unless otherwise specified, competent authorities may include the appropriate judicial, administrative, or law enforcement authorities under a Party’s law. 96 For greater certainty, a Party may establish reasonable procedures to receive or access that information. 5.</w:t>
      </w:r>
    </w:p>
    <w:p>
      <w:pPr>
        <w:pStyle w:val="Normal"/>
        <w:widowControl/>
        <w:rPr/>
      </w:pPr>
      <w:r>
        <w:rPr/>
        <w:t>Each Party shall provide that its competent authorities may initiate border measures ex officio against suspected counterfeit trademark goods or pirated copyright goods under customs control97 that are: (a) imported; (b) destined for export; (c) in transit;98 and (d) admitted into or exiting from a free trade zone or a bonded warehouse. 6. Nothing in this Article precludes a Party from exchanging, if appropriate and with a view to eliminating international trade in counterfeit trademarked goods or pirated copyrighted goods, available information to another Party in respect of goods that it has examined without a local consignee and that are transshipped through its territory and are destined for the territory of the other Party, to inform that other Party’s efforts to identify suspect goods upon arrival in its territory. 7. Each Party shall adopt or maintain a procedure by which its competent authorities may determine within a reasonable period of time after the initiation of the procedures described in paragraphs 1 and 5, whether the suspect goods infringe an intellectual property right.</w:t>
      </w:r>
    </w:p>
    <w:p>
      <w:pPr>
        <w:pStyle w:val="Normal"/>
        <w:widowControl/>
        <w:rPr/>
      </w:pPr>
      <w:r>
        <w:rPr/>
        <w:t>If a Party provides administrative procedures for the determination of an infringement, it may also provide its authorities with the authority to impose administrative penalties or sanctions, which may include fines or the seizure of the infringing goods following a determination that the goods are infringing. 8.</w:t>
      </w:r>
    </w:p>
    <w:p>
      <w:pPr>
        <w:pStyle w:val="Normal"/>
        <w:widowControl/>
        <w:rPr/>
      </w:pPr>
      <w:r>
        <w:rPr/>
        <w:t>Each Party shall provide that its competent authorities have the authority to order the destruction of goods following a determination that the goods are infringing. In cases in which the goods are not destroyed, each Party shall ensure that, except in exceptional circumstances, the goods are disposed of outside the channels of commerce in such a manner as to avoid harm to the right holder. In regard to counterfeit trademark goods, the simple removal of the trademark unlawfully affixed shall not be sufficient, other than in exceptional cases, to permit the release of the goods into the channels of commerce. 97 For the purposes of this Article, “goods under customs control” means goods that are subject to a Party’s customs procedures. For the purposes of this Article, an “in-transit” good means a good that is under “Customs transit” or “transshipped,” as defined in the International Convention on the Simplification and Harmonization of Customs Procedures (as amended), done at Kyoto on May 18, 1973, as amended at Brussels on June 26, 1999. 9.</w:t>
      </w:r>
    </w:p>
    <w:p>
      <w:pPr>
        <w:pStyle w:val="Normal"/>
        <w:widowControl/>
        <w:rPr/>
      </w:pPr>
      <w:r>
        <w:rPr/>
        <w:t>If a Party establishes or assesses, in connection with the procedures described in this Article, an application fee, storage fee, or destruction fee, that Party shall not set the fee at an amount that unreasonably deters recourse to these procedures. 10. This Article applies to goods of a commercial nature sent in small consignments.</w:t>
      </w:r>
    </w:p>
    <w:p>
      <w:pPr>
        <w:pStyle w:val="Normal"/>
        <w:widowControl/>
        <w:rPr/>
      </w:pPr>
      <w:r>
        <w:rPr/>
        <w:t>A Party may exclude from the application of this Article small quantities of goods of a non-commercial nature contained in travelers’ personal luggage.99</w:t>
      </w:r>
    </w:p>
    <w:p>
      <w:pPr>
        <w:pStyle w:val="Normal"/>
        <w:keepNext w:val="true"/>
        <w:widowControl/>
        <w:rPr/>
      </w:pPr>
      <w:r>
        <w:rPr/>
        <w:t>Article 20.85: Criminal Procedures and Penalties 1. Each Party shall provide for criminal procedures and penalties to be applied at least in cases of willful trademark counterfeiting or copyright or related rights piracy on a commercial scale. In respect of willful copyright or related rights piracy, “on a commercial scale” includes: (a) acts carried out for commercial advantage or financial gain; and (b) significant acts, not carried out for commercial advantage or financial gain, that have a substantial prejudicial impact on the interests of the copyright or related rights holder in relation to the marketplace.100, 101 2. Each Party shall treat willful importation or exportation of counterfeit trademark goods or pirated copyright goods on a commercial scale as unlawful activities subject to criminal penalties.102 3. Each Party shall provide for criminal procedures and penalties to be applied in cases of willful importation103 and domestic use, in the course of trade and on a commercial scale, of a label or packaging:</w:t>
      </w:r>
    </w:p>
    <w:p>
      <w:pPr>
        <w:pStyle w:val="Normal"/>
        <w:widowControl/>
        <w:rPr/>
      </w:pPr>
      <w:r>
        <w:rPr/>
        <w:t>99 For greater certainty, a Party may also exclude from the application of this Article small quantities of goods of a non-commercial nature sent in small consignments. 100 The Parties understand that a Party may comply with subparagraph (b) by addressing those significant acts under its criminal procedures and penalties for non-authorized uses of protected works, performances and phonograms in its law.</w:t>
      </w:r>
    </w:p>
    <w:p>
      <w:pPr>
        <w:pStyle w:val="Normal"/>
        <w:widowControl/>
        <w:rPr/>
      </w:pPr>
      <w:r>
        <w:rPr/>
        <w:t>101 A Party may provide that the volume and value of any infringing items may be taken into account in determining whether the act has a substantial prejudicial impact on the interests of the copyright or related rights holder in relation to the marketplace. 102 The Parties understand that a Party may comply with its obligation under this paragraph by providing that distribution or sale of counterfeit trademark goods or pirated copyright goods on a commercial scale is an unlawful activity subject to criminal penalties. The Parties understand that criminal procedures and penalties as specified in paragraphs 1, 2, and 3 are applicable in any free trade zones in a Party. (a) to which a trademark has been applied without authorization that is identical to, or cannot be distinguished from, a trademark registered in its territory; and (b) that is intended to be used in the course of trade on goods or in relation to services that are identical to goods or services for which that trademark is registered. 4.</w:t>
      </w:r>
    </w:p>
    <w:p>
      <w:pPr>
        <w:pStyle w:val="Normal"/>
        <w:widowControl/>
        <w:rPr/>
      </w:pPr>
      <w:r>
        <w:rPr/>
        <w:t>Each Party shall provide for criminal procedures to be applied against a person who, willfully and without the authorization of the holder104 of copyright or related rights in a cinematographic work, knowingly uses or attempts to use an audiovisual recording device to transmit or make a copy of the cinematographic work or any part thereof, from a performance of the motion picture or other audiovisual work in a movie theater or other venue that is being used primarily for the exhibition of a copyrighted motion picture. In addition to the criminal procedures, a Party may provide for administrative enforcement procedures. 5. With respect to the offenses for which this Article requires a Party to provide for criminal procedures and penalties, each Party shall ensure that criminal liability for aiding and abetting is available under its law. 6.</w:t>
      </w:r>
    </w:p>
    <w:p>
      <w:pPr>
        <w:pStyle w:val="Normal"/>
        <w:widowControl/>
        <w:rPr/>
      </w:pPr>
      <w:r>
        <w:rPr/>
        <w:t>With respect to the offenses described in paragraphs 1 through 5, each Party shall provide: (a) penalties that include sentences of imprisonment as well as monetary fines sufficiently high to provide a deterrent to future acts of infringement, consistent with the level of penalties applied for crimes of a corresponding gravity;105 (b) that its judicial authorities have the authority, in determining penalties, to account for the seriousness of the circumstances, which may include circumstances that involve threats to, or effects on, health or safety;106 (c) that its judicial or other competent authorities have the authority to order the seizure of suspected counterfeit trademark goods or pirated copyright goods, any related materials and implements used in the commission of the alleged offense, 103 A Party may comply with its obligation relating to importation of labels or packaging through its measures concerning distribution. 104 For greater certainty, the theater or venue owner or operator shall be entitled to contact the criminal law enforcement authorities with respect to the suspected commission of the acts referred to in this provision.</w:t>
      </w:r>
    </w:p>
    <w:p>
      <w:pPr>
        <w:pStyle w:val="Normal"/>
        <w:widowControl/>
        <w:rPr/>
      </w:pPr>
      <w:r>
        <w:rPr/>
        <w:t>For greater certainty, nothing in this paragraph expands or diminishes the existing rights and obligations of a theater or venue owner or operator with respect to the cinematographic work.</w:t>
      </w:r>
    </w:p>
    <w:p>
      <w:pPr>
        <w:pStyle w:val="Normal"/>
        <w:widowControl/>
        <w:rPr/>
      </w:pPr>
      <w:r>
        <w:rPr/>
        <w:t>105 The Parties understand that there is no obligation for a Party to provide for the possibility of imprisonment and monetary fines to be imposed in parallel. 106 A Party may also account for those circumstances through a separate criminal offense. documentary evidence relevant to the alleged offense, and assets derived from, or obtained through the alleged infringing activity. If a Party requires identification of items subject to seizure as a prerequisite for issuing a judicial order referred to in this subparagraph, that Party shall not require the items to be described in greater detail than necessary to identify them for the purpose of seizure; (d) that its judicial authorities have the authority to order the forfeiture, at least for serious offenses, of any assets derived from or obtained through the infringing activity; (e) that its judicial authorities have the authority to order the forfeiture or destruction of:</w:t>
      </w:r>
    </w:p>
    <w:p>
      <w:pPr>
        <w:pStyle w:val="Normal"/>
        <w:widowControl/>
        <w:rPr/>
      </w:pPr>
      <w:r>
        <w:rPr/>
        <w:t>(i) all counterfeit trademark goods or pirated copyright goods, (ii) materials and implements that have been predominantly used in the creation of pirated copyright goods or counterfeit trademark goods, and (iii) any other labels or packaging to which a counterfeit trademark has been applied and that have been used in the commission of the offense, In cases in which counterfeit trademark goods and pirated copyright goods are not destroyed, the judicial or other competent authorities shall ensure that, except in exceptional circumstances, those goods are</w:t>
      </w:r>
    </w:p>
    <w:p>
      <w:pPr>
        <w:pStyle w:val="Normal"/>
        <w:widowControl/>
        <w:rPr/>
      </w:pPr>
      <w:r>
        <w:rPr/>
        <w:t>disposed of outside the channels of commerce in such a manner as to avoid causing any harm to the right holder. Each Party shall further provide that forfeiture or destruction under this subparagraph and subparagraph (d) occur without compensation of any kind to the defendant; (f) that its judicial or other competent authorities have the authority to release or, in the alternative, provide access to, goods, material, implements, and other evidence held by the relevant authority to a right holder for civil107 infringement proceedings; and (g) that its competent authorities may act upon their own initiative to initiate legal action without the need for a formal complaint by a third person or right holder. 7. With respect to the offenses described in paragraphs 1 through 5, a Party may provide that its judicial authorities have the authority to order the seizure or forfeiture of assets, or alternatively, a fine, the value of which corresponds to the assets derived from, or obtained directly or indirectly through, the infringing activity. 107 A Party may also provide this authority in connection with administrative infringement proceedings.</w:t>
      </w:r>
    </w:p>
    <w:p>
      <w:pPr>
        <w:pStyle w:val="Normal"/>
        <w:keepNext w:val="true"/>
        <w:widowControl/>
        <w:rPr/>
      </w:pPr>
      <w:r>
        <w:rPr/>
        <w:t>Article 20.86: Protection of Encrypted Program-Carrying Satellite and Cable Signals 1. Each Party shall make it a criminal offense to: (a) manufacture, assemble,108 modify, import, export,109 sell, or otherwise distribute a tangible or intangible device or system knowing or having reason to know110 that the device or system meets at least one of the following conditions: (i) it is intended to be used to assist, or (ii) it is primarily of assistance, in decoding an encrypted program-carrying satellite signal without the authorization of the lawful distributor111 of that signal;112 and (b) with respect to an encrypted program-carrying satellite signal, willfully: (i) receive113 that signal, or (ii) further distribute114 that signal, 108 For greater certainty, a Party may treat “assemble” as incorporated in “manufacture.” 109 The obligation regarding export may be met by making it a criminal offense to possess and distribute a device or system described in this paragraph.</w:t>
      </w:r>
    </w:p>
    <w:p>
      <w:pPr>
        <w:pStyle w:val="Normal"/>
        <w:widowControl/>
        <w:rPr/>
      </w:pPr>
      <w:r>
        <w:rPr/>
        <w:t>110 For the purposes of this paragraph, a Party may provide that “having a reason to know” may be demonstrated through reasonable evidence, taking into account the facts and circumstances surrounding the alleged illegal act, as part of the Party’s “knowledge” requirements. A Party may treat “having reason to know” as meaning “willful negligence”.</w:t>
      </w:r>
    </w:p>
    <w:p>
      <w:pPr>
        <w:pStyle w:val="Normal"/>
        <w:widowControl/>
        <w:rPr/>
      </w:pPr>
      <w:r>
        <w:rPr/>
        <w:t>111 With regard to the criminal offenses and penalties in paragraphs 1 and 3, a Party may require a demonstration of intent to avoid payment to the lawful distributor, or a demonstration of intent to otherwise secure a pecuniary benefit to which the recipient is not entitled. 112 For the purposes of this Article, a Party may provide that a “lawful distributor” means a person that has the lawful right in that Party’s territory to distribute the encrypted program carrying signal and authorize its decoding. 113 For greater certainty and for the purposes of paragraphs 1(b) and 3(b), a Party may provide that willful receipt of an encrypted program carrying satellite or cable signal means receipt and use of the signal, or means receipt and decoding of the signal. 114 For greater certainty, a Party may interpret “further distribute” as “retransmit to the public”. knowing that it has been decoded without the authorization of the lawful distributor of the signal. 2. Each Party shall provide for civil remedies for a person that holds an interest in an encrypted program-carrying satellite signal or its content and that is injured by an activity described in paragraph 1. 3.</w:t>
      </w:r>
    </w:p>
    <w:p>
      <w:pPr>
        <w:pStyle w:val="Normal"/>
        <w:widowControl/>
        <w:rPr/>
      </w:pPr>
      <w:r>
        <w:rPr/>
        <w:t>Each Party shall provide for criminal penalties and civil115 remedies for willfully: (a) manufacturing or distributing equipment knowing that the equipment is intended to be used in the unauthorized reception of any encrypted program-carrying cable signal; and (b) receiving, or assisting another to receive,116 an encrypted program-carrying cable signal without authorization of the lawful distributor of the signal.</w:t>
      </w:r>
    </w:p>
    <w:p>
      <w:pPr>
        <w:pStyle w:val="Normal"/>
        <w:keepNext w:val="true"/>
        <w:widowControl/>
        <w:rPr/>
      </w:pPr>
      <w:r>
        <w:rPr/>
        <w:t>Article 20.87: Government Use of Software 1. Each Party recognizes the importance of promoting the adoption of measures to enhance government awareness of respect for intellectual property rights and of the detrimental effects of the infringement of intellectual property rights. 2. Each Party shall adopt or maintain appropriate laws, regulations, policies, orders, government-issued guidelines, or administrative or executive decrees that provide that its central government agencies use only non-infringing computer software protected by copyright and related rights, and, if applicable, only use that computer software in a manner authorized by the relevant license. These measures apply to the acquisition and management of the software for government use.</w:t>
      </w:r>
    </w:p>
    <w:p>
      <w:pPr>
        <w:pStyle w:val="Normal"/>
        <w:keepNext w:val="true"/>
        <w:widowControl/>
        <w:rPr/>
      </w:pPr>
      <w:r>
        <w:rPr/>
        <w:t>Article 20.88: Internet Service Providers 1. For the purpose of Article 20.89 (Legal Remedies and Safe Harbors), an Internet Service Provider is: (a) a provider of services for the transmission, routing, or providing of connections for digital online communications without modification of their content, 115 In providing for civil remedies, a Party may require a demonstration of injury. 116 A Party may comply with its obligation in respect of “assisting another to receive” by providing for criminal penalties to be available against a person willfully publishing any information in order to enable or assist another person to receive a signal without authorization of the lawful distributor of the signal. between or among points specified by a user, of material of the user’s choosing, undertaking the function in Article 20.89.2(a) (Legal Remedies and Safe Harbors); or (b) a provider of online services undertaking the functions in Article 20.89.2(b), Article 20.89.2(c), or Article 20.89.2(d) (Legal Remedies and Safe Harbors). 2. For the purposes of Article 20.89 (Legal Remedies and Safe Harbors), “copyright” includes related rights.</w:t>
      </w:r>
    </w:p>
    <w:p>
      <w:pPr>
        <w:pStyle w:val="Normal"/>
        <w:keepNext w:val="true"/>
        <w:widowControl/>
        <w:rPr/>
      </w:pPr>
      <w:r>
        <w:rPr/>
        <w:t>Article 20.89: Legal Remedies and Safe Harbors117 1. The Parties recognize the importance of facilitating the continued development of legitimate online services operating as intermediaries and, in a manner consistent with Article 41 of the TRIPS Agreement, providing enforcement procedures that permit effective and expeditious action by right holders against copyright infringement covered under this Chapter that occurs in the online environment. Accordingly, each Party shall ensure that legal remedies are available for right holders to address that copyright infringement and shall establish or maintain appropriate safe harbors in respect of online services that are Internet Service Providers. This framework of legal remedies and safe harbors shall include: (a) legal incentives for Internet Service Providers to cooperate with copyright owners to deter the unauthorized storage and transmission of copyrighted materials or, in the alternative, to take other action to deter the unauthorized storage and transmission of copyrighted materials; and (b) limitations in its law that have the effect of precluding monetary relief against Internet Service Providers for copyright infringements that they do not control, initiate or direct, and that take place through systems or networks controlled or operated by them or on their behalf. 2.</w:t>
      </w:r>
    </w:p>
    <w:p>
      <w:pPr>
        <w:pStyle w:val="Normal"/>
        <w:widowControl/>
        <w:rPr/>
      </w:pPr>
      <w:r>
        <w:rPr/>
        <w:t>The limitations described in paragraph 1(b) shall include limitations in respect of the following functions: (a) transmitting, routing, or providing connections for material without modification of its content or the intermediate and transient storage of that material done automatically in the course of such a technical process;118 117 Annex 20-A (Annex to Section J) applies to Articles 20.89.3, 20.89.4, and 20.89.6. 118 The Parties understand that these limitations shall apply only where the Internet Service Provider does not initiate the chain of transmission of the materials, and does not select the material or its recipients. (b) caching carried out through an automated process; (c) storage, at the direction of a user, of material residing on a system or network controlled or operated by or for the Internet Service Provider; and (d) referring or linking users to an online location by using information location tools, including hyperlinks and directories. 3.</w:t>
      </w:r>
    </w:p>
    <w:p>
      <w:pPr>
        <w:pStyle w:val="Normal"/>
        <w:widowControl/>
        <w:rPr/>
      </w:pPr>
      <w:r>
        <w:rPr/>
        <w:t>To facilitate effective action to address infringement, each Party shall prescribe in its law conditions for Internet Service Providers to qualify for the limitations described in paragraph 1(b), or, alternatively, shall provide for circumstances under which Internet Service Providers do not qualify for the limitations described in paragraph 1(b):119 (a) With respect to the functions referred to in paragraphs 2(c) and 2(d), these conditions shall include a requirement for Internet Service Providers to expeditiously remove or disable access to material residing on their networks or systems upon obtaining actual knowledge of the copyright infringement or becoming aware of facts or circumstances from which the infringement is apparent, such as through receiving a notice120 of alleged infringement from the right holder or a person authorized to act on its behalf. (b) An Internet Service Provider that removes or disables access to material in good faith under subparagraph (a) shall be exempt from any liability for having done so, provided that it takes reasonable steps in advance or promptly after to notify the person whose material is removed or disabled.121 4.</w:t>
      </w:r>
    </w:p>
    <w:p>
      <w:pPr>
        <w:pStyle w:val="Normal"/>
        <w:widowControl/>
        <w:rPr/>
      </w:pPr>
      <w:r>
        <w:rPr/>
        <w:t>For the purposes of the functions referred to in paragraphs 2(c) and 2(d), each Party shall establish appropriate procedures in its laws or regulations for effective notices of claimed infringement, and effective counter-notices by those whose material is removed or disabled 119 The Parties understand that a Party that has yet to implement the obligations in paragraphs 3 and 4 will do so in a manner that is both effective and consistent with that Party’s existing constitutional provisions. To that end, a Party may establish an appropriate role for the government that does not impair the timeliness of the process provided in paragraphs 3 and 4, and does not entail advance government review of each individual notice. 120 For greater certainty, a notice of alleged infringement, as may be set out under a Party’s law, must contain information that: (a) is reasonably sufficient to enable the Internet Service Provider to identify the work, performance or phonogram claimed to be infringed, the alleged infringing material, and the online location of the alleged infringement; and (b) has a sufficient indicia of reliability with respect to the authority of the person sending the notice.</w:t>
      </w:r>
    </w:p>
    <w:p>
      <w:pPr>
        <w:pStyle w:val="Normal"/>
        <w:widowControl/>
        <w:rPr/>
      </w:pPr>
      <w:r>
        <w:rPr/>
        <w:t>121 With respect to the function in paragraph 2(b), a Party may limit the requirements of paragraph 3 related to an Internet Service Provider removing or disabling access to material to circumstances in which the Internet Service Provider becomes aware or receives notification that the cached material has been removed or access to it has been disabled at the originating site. through mistake or misidentification. If material has been removed or access has been disabled in accordance with paragraph 3, that Party shall require that the Internet Service Provider restores the material that is the subject of a counter-notice, unless the person giving the original notice seeks relief through civil judicial proceedings within a reasonable period of time as set forth in that Party’s laws or regulations. 5. Each Party shall ensure that monetary remedies are available in its legal system against a person that makes a knowing material misrepresentation in a notice or counter-notice that causes injury to any interested party122 as a result of an Internet Service Provider relying on the misrepresentation. 6.</w:t>
      </w:r>
    </w:p>
    <w:p>
      <w:pPr>
        <w:pStyle w:val="Normal"/>
        <w:widowControl/>
        <w:rPr/>
      </w:pPr>
      <w:r>
        <w:rPr/>
        <w:t>Eligibility for the limitations in paragraph 1 shall be conditioned on the Internet Service Provider: (a) adopting and reasonably implementing a policy that provides for termination in appropriate circumstances of the accounts of repeat infringers; (b) accommodating and not interfering with standard technical measures accepted in the Party’s territory that protect and identify copyrighted material, that are developed through an open, voluntary process by a broad consensus of copyright owners and service providers, that are available on reasonable and nondiscriminatory terms, and that do not impose substantial costs on service providers or substantial burdens on their systems or networks; and (c) with respect to the functions identified in paragraphs 2(c) and 2(d), not receiving a financial benefit directly attributable to the infringing activity, in circumstances where it has the right and ability to control such activity. 7. Eligibility for the limitations identified in paragraph 1 shall not be conditioned on the Internet Service Provider monitoring its service or affirmatively seeking facts indicating infringing activity, except to the extent consistent with the technical measures identified in paragraph 6(b). 8.</w:t>
      </w:r>
    </w:p>
    <w:p>
      <w:pPr>
        <w:pStyle w:val="Normal"/>
        <w:widowControl/>
        <w:rPr/>
      </w:pPr>
      <w:r>
        <w:rPr/>
        <w:t>Each Party shall provide procedures, whether judicial or administrative, in accordance with its legal system, and consistent with principles of due process and privacy, that enable a copyright owner that has made a legally sufficient claim of copyright infringement to obtain expeditiously from an Internet Service Provider information in the provider’s possession identifying the alleged infringer, in cases in which that information is sought for the purpose of protecting or enforcing that copyright. 122 For greater certainty, the Parties understand that, “any interested party” may be limited to those with a legal interest recognized under that Party’s law. 9. The Parties understand that the failure of an Internet Service Provider to qualify for the limitations in paragraph 1(b) does not itself result in liability. Further, this Article is without prejudice to the availability of other limitations and exceptions to copyright, or any other defenses under a Party’s legal system. 10. The Parties recognize the importance, in implementing their obligations under this Article, of taking into account the impact on the right holders and Internet Service Providers. Section K: Final Provisions</w:t>
      </w:r>
    </w:p>
    <w:p>
      <w:pPr>
        <w:pStyle w:val="Normal"/>
        <w:keepNext w:val="true"/>
        <w:widowControl/>
        <w:rPr/>
      </w:pPr>
      <w:r>
        <w:rPr/>
        <w:t>Article 20.90: Final Provisions 1. Except as otherwise provided in Article 20.10 (Application of Chapter to Existing Subject Matter and Prior Acts) and paragraphs 2 and 3, each Party shall implement the provisions of this Chapter on the date of entry into force of this Agreement. 2. During the relevant periods set out below, a Party shall not amend an existing measure or adopt a new measure that is less consistent with its obligations under the Articles referred to below for that Party than relevant measures that are in effect on the date of signature of this Agreement. 3. With regard to obligations subject to a transition period, Mexico shall fully implement its obligations under the provisions of this Chapter no later than the expiration of the relevant time period specified below, which begins on the date of entry into force of this Agreement: (a) Article 20.7 (International Agreements), UPOV 1991, four years; (b) Article 20.45 (Protection of Undisclosed Test or Other Data for Agricultural Chemical Products), five years; (c) Article 20.46 (Patent Term Adjustment for Unreasonable Curtailment), 4.5 years;</w:t>
      </w:r>
    </w:p>
    <w:p>
      <w:pPr>
        <w:pStyle w:val="Normal"/>
        <w:widowControl/>
        <w:rPr/>
      </w:pPr>
      <w:r>
        <w:rPr/>
        <w:t>(d) Article 20.48 (Protection of Undisclosed Test or Other Data), five years; (e) Article 20.49 (Biologics), five years; (f) Article 20.71 (Civil Protection and Enforcement), Article 20.74 (Provisional Measures) and Article 20.76 (Civil Remedies), five years; and (g) Articles 20.88 (Internet Service Providers) and 20.89 (Legal Remedies and Safe Harbors), three years. 4.</w:t>
      </w:r>
    </w:p>
    <w:p>
      <w:pPr>
        <w:pStyle w:val="Normal"/>
        <w:widowControl/>
        <w:rPr/>
      </w:pPr>
      <w:r>
        <w:rPr/>
        <w:t>With regard to obligations subject to a transition period, Canada shall fully implement its obligations under the provisions of this Chapter no later than the expiration of the relevant time period specified below, which begins on the date of entry into force of this Agreement. (a) Article 20.7.2(f) (International Agreements), four years; (b) Article 20.44 (Patent Term Adjustment for Unreasonable Granting Authority Delays), 4.5 years; (c) Article 20.49 (Biologics), five years; and (d) Article 20.63(a) (Term of Protection for Copyright and Related Rights), 2.5 years.</w:t>
      </w:r>
    </w:p>
    <w:p>
      <w:pPr>
        <w:pStyle w:val="Normal"/>
        <w:widowControl/>
        <w:rPr/>
      </w:pPr>
      <w:r>
        <w:rPr/>
        <w:t>ANNEX 20-A ANNEX TO SECTION J 1. In order to facilitate the enforcement of copyright online and to avoid unwarranted market disruption in the online environment, Articles 20.89.3, 20.89.4, and 20.89.6 (Legal Remedies and Safe Harbors) shall not apply to a Party provided that, as from the date of agreement in principle of this Agreement, the Party continues to: (a) prescribe in its law circumstances under which Internet Service Providers do not qualify for the limitations described in Article 20.89.1(b) (Legal Remedies and Safe Harbors); (b) provide statutory secondary liability for copyright infringement in cases in which a person, by means of the Internet or another digital network, provides a service primarily for the purpose of enabling acts of copyright infringement, in relation to factors set out in its law, such as: (i) whether the person marketed or promoted the service as one that could be used to enable acts of copyright infringement; (ii) whether the person had knowledge that the service was used to enable a significant number of acts of copyright infringement;</w:t>
      </w:r>
    </w:p>
    <w:p>
      <w:pPr>
        <w:pStyle w:val="Normal"/>
        <w:widowControl/>
        <w:rPr/>
      </w:pPr>
      <w:r>
        <w:rPr/>
        <w:t>(iii) whether the service has significant uses other than to enable acts of copyright infringement; (iv) the person’s ability, as part of providing the service, to limit acts of copyright infringement, and any action taken by the person to do so; (v) any benefits the person received as a result of enabling the acts of copyright infringement; and (vi) the economic viability of the service if it were not used</w:t>
      </w:r>
    </w:p>
    <w:p>
      <w:pPr>
        <w:pStyle w:val="Normal"/>
        <w:widowControl/>
        <w:rPr/>
      </w:pPr>
      <w:r>
        <w:rPr/>
        <w:t>to enable acts of copyright infringement; (c) require Internet Service Providers carrying out the functions referred to in Article 20.89.2(a) and (c) (Legal Remedies and Safe Harbors) to participate in a system for forwarding notices of alleged infringement, including if material is made available online, and if the Internet Service Provider fails to do so, subjecting that provider to pre-established monetary damages for that failure; 20-A-1 (d) induce Internet Service Providers offering information location tools to remove within a specified period of time any reproductions of material that they make, and communicate to the public, as part of offering the information location tool upon receiving a notice of alleged infringement and after the original material has been removed from the electronic location set out in the notice; and (e) induce Internet Service Providers carrying out the function referred to in Article 20.89.2(c) (Legal Remedies and Safe Harbors) to remove or disable access to material upon becoming aware of a decision of a court of that Party to the effect that the person storing the material infringes copyright in the material. 2.</w:t>
      </w:r>
    </w:p>
    <w:p>
      <w:pPr>
        <w:pStyle w:val="Normal"/>
        <w:widowControl/>
        <w:rPr/>
      </w:pPr>
      <w:r>
        <w:rPr/>
        <w:t>For a Party to which Articles 20.89.3, 20.89.4, and 20.89.6 (Legal Remedies and Safe Harbors) do not apply pursuant to paragraph 1, and in light of, among other things, paragraph 1(b), for the purposes of Article 20.89.1(a), legal incentives shall not mean the conditions for Internet Service Providers to qualify for the limitations provided for in Article 20.89.1(b), as set out in Article 20.89.3. 3. Pursuant to paragraph 1, for a Party to which Articles 20.89.3, 20.89.4, and 20.89.6 (Legal Remedies and Safe Harbors) do not apply: (a) the term “modification” in paragraphs 20.88.1(a) and 20.89.2(a) does not include modifications made for solely technical reasons such as division into packets; and (b) with regard to paragraph 20.89.7, “except to the extent consistent with the technical measures identified in paragraph 6(b)” does not apply. 20-A-2</w:t>
      </w:r>
      <w:r>
        <w:br w:type="page"/>
      </w:r>
    </w:p>
    <w:p>
      <w:bookmarkStart w:id="1121" w:name="_NAESTMA_TOC_1121"/>
      <w:pPr>
        <w:pStyle w:val="Heading1"/>
        <w:keepNext/>
        <w:keepLines w:val="0"/>
        <w:pageBreakBefore/>
        <w:widowControl/>
        <w:rPr/>
      </w:pPr>
      <w:bookmarkStart w:id="72" w:name="_Toc237912549"/>
      <w:r>
        <w:rPr/>
        <w:t>CHAPTER 21 COMPETITION POLICY</w:t>
      </w:r>
      <w:bookmarkEnd w:id="72"/>
      <w:bookmarkEnd w:id="1121"/>
    </w:p>
    <w:p>
      <w:pPr>
        <w:pStyle w:val="Normal"/>
        <w:widowControl/>
        <w:rPr/>
      </w:pPr>
      <w:r>
        <w:rPr/>
        <w:t>Article 21.1: Competition Law and Authorities 1. Each Party shall maintain national competition laws that proscribe anticompetitive business conduct to promote competition in order to increase economic efficiency and consumer welfare, and shall take appropriate action with respect to that conduct. 2. Each Party shall endeavor to apply its national competition laws to all commercial activities in its territory. This does not prevent a Party from applying its national competition laws to commercial activities outside its borders that have an appropriate nexus to its jurisdiction. 3. Each Party may provide for certain exemptions from the application of its national competition laws provided that those exemptions are transparent, established in its law, and based on public interest or public policy grounds. 4. Each Party shall maintain a national competition authority or authorities (national competition authorities) responsible for the enforcement of its national competition laws. 5.</w:t>
      </w:r>
    </w:p>
    <w:p>
      <w:pPr>
        <w:pStyle w:val="Normal"/>
        <w:widowControl/>
        <w:rPr/>
      </w:pPr>
      <w:r>
        <w:rPr/>
        <w:t>Each Party shall ensure that the enforcement policies of its national competition authorities include: (a) treating persons of another Party no less favorably than persons of the Party in like circumstances; (b) considering, if applicable, the effect of enforcement activities on related enforcement activities by a national competition authority of another Party; and (c) limiting remedies relating to conduct or assets outside the Party’s territory to situations in which there is an appropriate nexus to harm or threatened harm affecting the Party’s territory or commerce.</w:t>
      </w:r>
    </w:p>
    <w:p>
      <w:pPr>
        <w:pStyle w:val="Normal"/>
        <w:keepNext w:val="true"/>
        <w:widowControl/>
        <w:rPr/>
      </w:pPr>
      <w:r>
        <w:rPr/>
        <w:t>Article 21.2: Procedural Fairness in Competition Law Enforcement 1. For the purposes of this Article, “enforcement proceeding” means a judicial or administrative proceeding following an investigation into the alleged violation of the national competition laws and does not include matters occurring before a grand jury. 2. Each Party shall ensure that its national competition authorities: (a) provide transparency, including in writing, regarding the applicable competition laws, regulations, and procedural rules pursuant to which national competition law investigations and enforcement proceedings are conducted; (b) conduct their investigations subject to definitive deadlines or within a reasonable time frame, if the investigations are not subject to definitive deadlines; (c) afford to a person a reasonable opportunity to be represented by legal counsel, including by: (i) allowing, at the person’s request, counsel’s participation in all meetings or proceedings between the national competition authority and the person.</w:t>
      </w:r>
    </w:p>
    <w:p>
      <w:pPr>
        <w:pStyle w:val="Normal"/>
        <w:widowControl/>
        <w:rPr/>
      </w:pPr>
      <w:r>
        <w:rPr/>
        <w:t>This sub-subparagraph does not apply to matters occurring before a grand jury, ex parte proceedings, or to searches conducted pursuant to judicial warrants, and (ii) recognizing a privilege, as acknowledged by its law, if not waived, for lawful confidential communications between the counsel and the person if the communications concern the soliciting or rendering of legal advice; and (d) with respect to reviews of merger transactions, permit early consultations between the national competition authority and the merging persons to provide their views concerning the transaction, including on potentially dispositive issues. 3. Each Party shall ensure that all information that its national competition authorities obtain during investigations and reviews, and that its law protects as confidential or privileged is not disclosed, subject to applicable legal exceptions. 4. Each Party shall ensure that its national competition authorities do not state or imply in any public notice confirming or revealing the existence of a pending or ongoing investigation against a particular person that that person has in fact violated the Party’s national competition laws. 5.</w:t>
      </w:r>
    </w:p>
    <w:p>
      <w:pPr>
        <w:pStyle w:val="Normal"/>
        <w:widowControl/>
        <w:rPr/>
      </w:pPr>
      <w:r>
        <w:rPr/>
        <w:t>Each Party shall ensure that its national competition authorities1 have the ultimate burden of establishing the legal and factual basis for an alleged violation in an enforcement proceeding; however, a Party may require that a person against whom that allegation is made be responsible for establishing certain defenses to the allegation. 1 For Canada, this includes the public prosecutor for criminal prosecutions. 6. Each Party shall ensure that all final decisions in contested civil or administrative matters finding a violation of its national competition laws are in writing and set out the findings of fact and conclusions of law on which they are based. Each Party shall make public those final decisions, with the exception of any confidential material contained therein. 7. Each Party shall ensure that before it imposes a sanction or remedy against a person for a violation of its national competition laws, it affords the person a reasonable opportunity to: (a) obtain information regarding the national competition authority’s concerns, including identification of the specific competition laws alleged to have been violated;</w:t>
      </w:r>
    </w:p>
    <w:p>
      <w:pPr>
        <w:pStyle w:val="Normal"/>
        <w:widowControl/>
        <w:rPr/>
      </w:pPr>
      <w:r>
        <w:rPr/>
        <w:t>(b) engage with the relevant national competition authority at key points on significant legal, factual, and procedural issues; (c) have access to information that is necessary to prepare an adequate defense if the person contests the allegations in an enforcement proceeding; however, a national competition authority is not obliged to produce information</w:t>
      </w:r>
    </w:p>
    <w:p>
      <w:pPr>
        <w:pStyle w:val="Normal"/>
        <w:widowControl/>
        <w:rPr/>
      </w:pPr>
      <w:r>
        <w:rPr/>
        <w:t>that is not already in its possession. If a Party’s national competition authority2 introduces or will introduce confidential information in an enforcement proceeding, the Party shall, as permissible under its law, allow the person under investigation or its legal counsel timely access to that information; (d) be heard and present evidence in its defense, including rebuttal evidence, and, whenever relevant, the analysis of a properly qualified expert; (e) cross-examine any witness testifying in an enforcement proceeding; and (f) contest an allegation that the person has violated national competition laws before an impartial judicial or administrative authority, provided that in the case of an administrative authority, the decision-making body must be independent of the unit offering evidence in support of the allegation; except that a Party may provide for these opportunities within a reasonable time after it imposes an interim measure. 8.</w:t>
      </w:r>
    </w:p>
    <w:p>
      <w:pPr>
        <w:pStyle w:val="Normal"/>
        <w:widowControl/>
        <w:rPr/>
      </w:pPr>
      <w:r>
        <w:rPr/>
        <w:t>Each Party shall provide a person that is subject to the imposition of a fine, sanction, or remedy for violation of its national competition laws with the opportunity to seek judicial review by a court or independent tribunal, including review of alleged substantive or procedural errors, unless the person voluntarily agreed to the imposition of the fine, sanction, or remedy. 2 For Canada, this includes the public prosecutor for criminal prosecutions. 9.</w:t>
      </w:r>
    </w:p>
    <w:p>
      <w:pPr>
        <w:pStyle w:val="Normal"/>
        <w:widowControl/>
        <w:rPr/>
      </w:pPr>
      <w:r>
        <w:rPr/>
        <w:t>Each Party shall ensure that criteria used for calculating a fine for a violation of national competition laws are transparent. If a Party imposes a fine as a penalty for a non-criminal violation of its national competition laws that is based on the person’s revenue or profit, it shall ensure that the calculation considers revenue or profit relating to the Party’s territory. 10. Each Party’s national competition authority shall maintain measures to preserve all relevant evidence, including exculpatory evidence, that it collected as part of an enforcement proceeding until the review is exhausted.</w:t>
      </w:r>
    </w:p>
    <w:p>
      <w:pPr>
        <w:pStyle w:val="Normal"/>
        <w:keepNext w:val="true"/>
        <w:widowControl/>
        <w:rPr/>
      </w:pPr>
      <w:r>
        <w:rPr/>
        <w:t>Article 21.3: Cooperation 1. The Parties recognize the importance of cooperation and coordination between their respective national competition authorities to foster effective competition law enforcement in the free trade area. Accordingly, the Parties’ national competition authorities shall endeavor to cooperate in relation to their enforcement laws and policies, including through investigative assistance, notification, consultation, and exchange of information. 2. The Parties shall seek to further strengthen cooperation and coordination between their respective national competition authorities, particularly regarding those commercial practices that hinder market efficiency and reduce consumer welfare within the free trade area. 3. Each Party shall adopt or maintain measures sufficient to permit negotiations of cooperation instruments that may address, among other matters, enhanced information sharing and mutual legal assistance. 4. The Parties’ national competition authorities shall seek to cooperate with respect to their competition policies and in the enforcement of their respective national competition laws, which may include coordination of investigations that raise common law enforcement concerns. This cooperation shall be compatible with each Party’s law and important interests, in accordance with their law governing legal privilege and disclosure of business secrets and other confidential information, and within reasonably available resources.</w:t>
      </w:r>
    </w:p>
    <w:p>
      <w:pPr>
        <w:pStyle w:val="Normal"/>
        <w:widowControl/>
        <w:rPr/>
      </w:pPr>
      <w:r>
        <w:rPr/>
        <w:t>The Parties’ national competition authorities may cooperate on the basis of mechanisms that exist or may be developed. 5. Recognizing that the Parties can benefit by sharing their diverse experience in developing, implementing, and enforcing their national competition laws and policies, the Parties’ national competition authorities shall consider undertaking mutually agreed technical cooperation activities, including training programs. 6. The Parties acknowledge the importance of cooperation and coordination internationally and the work of multilateral organizations in this area, including the Competition Committee of the Organisation for Economic Co-operation and Development, and the International Competition Network.</w:t>
      </w:r>
    </w:p>
    <w:p>
      <w:pPr>
        <w:pStyle w:val="Normal"/>
        <w:keepNext w:val="true"/>
        <w:widowControl/>
        <w:rPr/>
      </w:pPr>
      <w:r>
        <w:rPr/>
        <w:t>Article 21.4: Consumer Protection 1. The Parties recognize the importance of consumer protection policy and enforcement to creating efficient and competitive markets, and enhancing consumer welfare in the free trade area. 2. Each Party shall adopt or maintain national consumer protection laws or other laws or regulations that proscribe fraudulent and deceptive commercial activities, recognizing that the enforcement of those laws and regulations is in the public interest. The laws and regulations a Party adopts or maintains to proscribe these activities may be civil or criminal in nature. 3. The Parties recognize that fraudulent and deceptive commercial activities increasingly transcend national borders and that cooperation and coordination between the Parties to address these activities effectively is important and in the public interest. 4. The Parties shall promote, as appropriate, cooperation and coordination on matters of mutual interest related to fraudulent and deceptive commercial activities, including in the enforcement of their consumer protection laws through activities such as the exchange of consumer complaints and other enforcement information. That cooperation and coordination may be based on cooperation mechanisms in existence. Each Party shall protect confidential information in accordance with its law, including business information. 5.</w:t>
      </w:r>
    </w:p>
    <w:p>
      <w:pPr>
        <w:pStyle w:val="Normal"/>
        <w:widowControl/>
        <w:rPr/>
      </w:pPr>
      <w:r>
        <w:rPr/>
        <w:t>The Parties shall endeavor to cooperate and coordinate on the matters set out in this Article through the relevant national public bodies or officials responsible for consumer protection policy, law, or enforcement, as determined by each Party and compatible with their respective law and important interests, and within their reasonably available resources.</w:t>
      </w:r>
    </w:p>
    <w:p>
      <w:pPr>
        <w:pStyle w:val="Normal"/>
        <w:keepNext w:val="true"/>
        <w:widowControl/>
        <w:rPr/>
      </w:pPr>
      <w:r>
        <w:rPr/>
        <w:t>Article 21.5: Transparency 1. The Parties recognize the value of making competition enforcement and advocacy policies as transparent as possible. 2. On request of another Party, a Party shall make available to the requesting Party public information concerning: (a) its national competition law enforcement policies and practices; and (b) exemptions and immunities to its national competition laws, provided that the request specifies the particular good or service and market of concern and includes information explaining how the exemption or immunity may hinder trade or investment between the Parties.</w:t>
      </w:r>
    </w:p>
    <w:p>
      <w:pPr>
        <w:pStyle w:val="Normal"/>
        <w:keepNext w:val="true"/>
        <w:widowControl/>
        <w:rPr/>
      </w:pPr>
      <w:r>
        <w:rPr/>
        <w:t>Article 21.6: Consultations 1. In order to foster understanding between the Parties, or to address specific matters that arise under this Chapter, on request of another Party, a Party shall enter into consultations with the requesting Party. In its request, the requesting Party shall indicate, if relevant, how the matter affects trade or investment between the Parties. 2. The Party addressed shall accord full and sympathetic consideration to the concerns of the requesting Party. 3. To facilitate discussion of the matter that is the subject of the consultations, each Party shall endeavor to provide relevant non-confidential, non-privileged information to the other Party.</w:t>
      </w:r>
    </w:p>
    <w:p>
      <w:pPr>
        <w:pStyle w:val="Normal"/>
        <w:keepNext w:val="true"/>
        <w:widowControl/>
        <w:rPr/>
      </w:pPr>
      <w:r>
        <w:rPr/>
        <w:t>Article 21.7: Non-Application of Dispute Settlement No Party shall have recourse to dispute settlement under Chapter 14 (Investment) or Chapter 31 (Dispute Settlement) for a matter arising under this Chapter.</w:t>
      </w:r>
      <w:r>
        <w:br w:type="page"/>
      </w:r>
    </w:p>
    <w:p>
      <w:bookmarkStart w:id="1122" w:name="_NAESTMA_TOC_1122"/>
      <w:pPr>
        <w:pStyle w:val="Heading1"/>
        <w:keepNext/>
        <w:keepLines w:val="0"/>
        <w:pageBreakBefore/>
        <w:widowControl/>
        <w:rPr/>
      </w:pPr>
      <w:bookmarkStart w:id="73" w:name="_Toc237912550"/>
      <w:r>
        <w:rPr/>
        <w:t>CHAPTER 22 STATEOWNED ENTERPRISES AND DESIGNATED MONOPOLIES</w:t>
      </w:r>
      <w:bookmarkEnd w:id="73"/>
      <w:bookmarkEnd w:id="1122"/>
    </w:p>
    <w:p>
      <w:pPr>
        <w:pStyle w:val="Normal"/>
        <w:widowControl/>
        <w:rPr/>
      </w:pPr>
      <w:r>
        <w:rPr/>
        <w:t>Article 22.1: Definitions For the purposes of this Chapter:</w:t>
      </w:r>
    </w:p>
    <w:p>
      <w:pPr>
        <w:pStyle w:val="Normal"/>
        <w:widowControl/>
        <w:rPr/>
      </w:pPr>
      <w:r>
        <w:rPr/>
        <w:t>Arrangement means the Arrangement on Officially Supported Export Credits, developed within the framework of the Organization for Economic Cooperation and Development (OECD), or a successor undertaking, whether developed within or outside of the OECD framework, that has been adopted by at least 12 original WTO Members that were Participants to the Arrangement as of January 1, 1979; commercial activities means activities that an enterprise undertakes with an orientation toward profitmaking1 and that result in the production of a good or supply of a service that will be sold to a consumer in the relevant market in quantities and at prices determined by the enterprise;2 commercial considerations means price, quality, availability, marketability, transportation, and other terms and conditions of purchase or sale, or other factors that would normally be taken into account in the commercial decisions of a privately owned enterprise in the relevant business or industry; designate means to establish, name, or authorize a monopoly, or to expand the scope of a monopoly to cover an additional good or service;</w:t>
      </w:r>
    </w:p>
    <w:p>
      <w:pPr>
        <w:pStyle w:val="Normal"/>
        <w:widowControl/>
        <w:rPr/>
      </w:pPr>
      <w:r>
        <w:rPr/>
        <w:t>designated monopoly means a privately owned monopoly that is designated after the date of entry into force of this Agreement and a government monopoly that a Party designates or has designated; financial services supplier, financial institution, and financial services have the same meaning as in Article 17.1</w:t>
      </w:r>
    </w:p>
    <w:p>
      <w:pPr>
        <w:pStyle w:val="Normal"/>
        <w:widowControl/>
        <w:rPr/>
      </w:pPr>
      <w:r>
        <w:rPr/>
        <w:t>(Definitions); government monopoly means a monopoly that is owned, or controlled through ownership interests, by a Party or by another government monopoly; independent pension fund means an enterprise that is owned, or controlled through ownership interests, by a Party that: 1 For greater certainty, activities undertaken by an enterprise that operates on a notforprofit basis or on a cost recovery basis are not activities undertaken with an orientation toward profitmaking. For greater certainty, measures of general application to the relevant market shall not be construed as the determination by a Party of pricing, production, or supply decisions of an enterprise. 221 (a) is engaged exclusively in the following activities: (i) administering or providing a plan for pension, retirement, social security, disability, death, or employee benefits, or any combination thereof solely for the benefit of natural persons who are contributors to such a plan or their beneficiaries, or (ii) investing the assets of these plans;</w:t>
      </w:r>
    </w:p>
    <w:p>
      <w:pPr>
        <w:pStyle w:val="Normal"/>
        <w:widowControl/>
        <w:rPr/>
      </w:pPr>
      <w:r>
        <w:rPr/>
        <w:t>(b) has a fiduciary duty to the natural persons referred to in subparagraph (a)(i); and (c) is not subject to investment direction by the government of the Party;3 market means the geographical and commercial market for a good or service; monopoly means an entity, including a consortium or government agency that, in a relevant market in the territory of a Party, is designated as the sole provider or purchaser of a good or service, but does not include an entity</w:t>
      </w:r>
    </w:p>
    <w:p>
      <w:pPr>
        <w:pStyle w:val="Normal"/>
        <w:widowControl/>
        <w:rPr/>
      </w:pPr>
      <w:r>
        <w:rPr/>
        <w:t>that has been granted an exclusive intellectual property right solely by reason of the grant; noncommercial assistance4 means assistance that is limited to certain enterprises, and: (a) “assistance” means the following forms of assistance: (i) direct transfers of funds or potential direct transfers of funds or liabilities, such as: (A) grants or debt forgiveness, (B) loans, loan guarantees, or other types of financing on terms more favorable than those commercially available to that enterprise, or (C) equity capital inconsistent with the usual investment practice (including for the provision of risk capital) of private investors, 3 Investment direction from the government of a Party does not include general guidance with respect to risk management and asset allocation that is not inconsistent with usual investment practice and is not demonstrated solely by the presence of government officials on the enterprise’s board of directors or investment panel. 4 For greater certainty, noncommercial assistance does not include a Party’s transfer of funds, collected from contributors to a plan for pension, retirement, social security, disability, death or employee benefits, or any combination thereof, to an independent pension fund for investment on behalf of the contributors and their beneficiaries.</w:t>
      </w:r>
    </w:p>
    <w:p>
      <w:pPr>
        <w:pStyle w:val="Normal"/>
        <w:widowControl/>
        <w:rPr/>
      </w:pPr>
      <w:r>
        <w:rPr/>
        <w:t>222 (ii) the provision of goods or the supply of services other than general infrastructure, on terms more favorable than those commercially available to the enterprise, or (iii) the purchase of goods on terms more favorable than those commercially available to the enterprise; (b) “certain enterprises” means an enterprise or industry or group of enterprises or industries; (c) “limited to certain enterprises” means that the Party or any of the Party’s state enterprises or stateowned enterprises, or a combination thereof:</w:t>
      </w:r>
    </w:p>
    <w:p>
      <w:pPr>
        <w:pStyle w:val="Normal"/>
        <w:widowControl/>
        <w:rPr/>
      </w:pPr>
      <w:r>
        <w:rPr/>
        <w:t>(i) explicitly limits access to the assistance to certain enterprises, (ii) provides assistance to a limited number of certain enterprises, (iii) provides assistance which is predominantly used by certain enterprises, (iv) provides a disproportionately large amount of the assistance to certain enterprises, or (v) otherwise favors certain enterprises through the use of its discretion in the provision of assistance;5 and (d) assistance that falls under Article 22.6.1, Article 22.6.2, or Article 22.6.3 (Non Commercial Assistance) shall be deemed to be “limited to certain enterprises”; public service mandate means a government mandate pursuant to which a stateowned enterprise makes available a service, directly or indirectly, to the general public in its territory;6 stateowned enterprise means an enterprise that is principally engaged in commercial activities, and in which a Party: (a) directly or indirectly7 owns more than 50 percent of the share capital;</w:t>
      </w:r>
    </w:p>
    <w:p>
      <w:pPr>
        <w:pStyle w:val="Normal"/>
        <w:widowControl/>
        <w:rPr/>
      </w:pPr>
      <w:r>
        <w:rPr/>
        <w:t>5 For greater certainty, assistance that is limited, in law or fact, to state enterprises or stateowned enterprises of a Party, or a combination thereof, is “limited to certain enterprises”. 6 For greater certainty, a service to the general public includes the distribution of goods and the supply of general infrastructure services. 7 For the purposes of this definition, the term “indirectly” refers to situations in which a Party holds an ownership interest in an enterprise through one or more state enterprises of that Party. At each level of the ownership chain, the state enterprise – either alone or in combination with other state enterprises – must own, or control through ownership interests, another enterprise. 223 (b) controls, through direct or indirect ownership interests, the exercise of more than 50 percent of the voting rights; (c) holds the power to control the enterprise through any other ownership interest, including indirect or minority ownership;8 or (d) holds the power to appoint a majority of members of the board of directors or any other equivalent management body.</w:t>
      </w:r>
    </w:p>
    <w:p>
      <w:pPr>
        <w:pStyle w:val="Normal"/>
        <w:keepNext w:val="true"/>
        <w:widowControl/>
        <w:rPr/>
      </w:pPr>
      <w:r>
        <w:rPr/>
        <w:t>Article 22.2: Scope 1. This Chapter applies to the activities of stateowned enterprises, state enterprises, or designated monopolies of a Party that affect or could affect trade or investment between Parties within the free trade area. This Chapter also applies to the activities of stateowned enterprises of a Party that cause adverse effects in the market of a nonParty as provided in Article 22.7 (Adverse Effects). 2. This Chapter does not apply to: (a) the regulatory or supervisory activities, or monetary and related credit policy and exchange rate policy, of a central bank or monetary authority of a Party; (b) the regulatory or supervisory activities of a financial regulatory body of a Party, including a nongovernmental body, such as a securities or futures exchange or market, clearing agency, or other organization or association, that exercises regulatory or supervisory authority over financial services suppliers; or (c) activities undertaken by a Party or one of its state enterprises or stateowned enterprises for the purpose of the resolution of a failing or failed financial institution or any other failing or failed enterprise principally engaged in the supply of financial services. 3.</w:t>
      </w:r>
    </w:p>
    <w:p>
      <w:pPr>
        <w:pStyle w:val="Normal"/>
        <w:widowControl/>
        <w:rPr/>
      </w:pPr>
      <w:r>
        <w:rPr/>
        <w:t>This Chapter does not apply to: (a) an independent pension fund of a Party; or 8 For the purposes of this subparagraph, a Party holds the power to control the enterprise if, through an ownership interest, it can determine or direct important matters affecting the enterprise, excluding minority shareholder protections. In determining whether a Party has this power, all relevant legal and factual elements shall be taken into account on a casebycase basis. Those elements may include the power to determine or direct commercial operations, including major expenditures or investments; issuances of equity or significant debt offerings; or the restructuring, merger, or dissolution of the enterprise. 224 (b) an enterprise owned or controlled by an independent pension fund of a Party, except:</w:t>
      </w:r>
    </w:p>
    <w:p>
      <w:pPr>
        <w:pStyle w:val="Normal"/>
        <w:widowControl/>
        <w:rPr/>
      </w:pPr>
      <w:r>
        <w:rPr/>
        <w:t>(i) Article 22.6.1, Article 22.6.2, Article 22.6.4, and Article 22.6.6 (Non Commercial Assistance) apply only to a Party’s direct or indirect provision of noncommercial assistance to an enterprise owned or controlled by an independent pension fund, and (ii) Article 22.6.1, Article 22.6.2, Article 22.6.4, and Article 22.6.6 (Non Commercial Assistance) apply only to a Party’s indirect provision of noncommercial assistance through an enterprise owned or controlled by an independent pension fund. 4. This Chapter does not apply to government procurement. 5.</w:t>
      </w:r>
    </w:p>
    <w:p>
      <w:pPr>
        <w:pStyle w:val="Normal"/>
        <w:widowControl/>
        <w:rPr/>
      </w:pPr>
      <w:r>
        <w:rPr/>
        <w:t>Nothing in this Chapter shall be construed to prevent a Party from: (a) establishing or maintaining a state enterprise or a stateowned enterprise; or (b) designating a monopoly. 6. Article 22.4 (NonDiscriminatory Treatment and Commercial Considerations), Article 22.6 (NonCommercial Assistance), and Article 22.10 (Transparency) do not apply to a service supplied in the exercise of governmental authority.9 7. Article 22.4.l(b), Article 22.4.l(c), Article 22.4.2(b), and Article 22.4.2(c) (Non Discriminatory Treatment and Commercial Considerations) do not apply to the extent that a Party’s stateowned enterprise or designated monopoly makes purchases and sales of goods or services pursuant to: (a) an existing nonconforming measure that the Party maintains, continues, renews or amends in accordance with Article 14.12.1 (NonConforming Measures), Article 15.7.1 (NonConforming Measures) or Article 17.10.1 (NonConforming Measures), as set out in its Schedule to Annex I or in Section A of its Schedule to Annex III; or (b) a nonconforming measure that the Party adopts or maintains with respect to sectors, subsectors, or activities in accordance with Article 14.12.2 (Non Conforming Measures), Article 15.7.2 (NonConforming Measures) or Article 17.10.2 (NonConforming Measures), as set out in its Schedule to Annex II or in Section B of its Schedule to Annex III.</w:t>
      </w:r>
    </w:p>
    <w:p>
      <w:pPr>
        <w:pStyle w:val="Normal"/>
        <w:widowControl/>
        <w:rPr/>
      </w:pPr>
      <w:r>
        <w:rPr/>
        <w:t>For the purposes of this paragraph, “a service supplied in the exercise of governmental authority” has the same meaning as in the GATS, including the meaning in its Financial Services Annex if applicable. 225</w:t>
      </w:r>
    </w:p>
    <w:p>
      <w:pPr>
        <w:pStyle w:val="Normal"/>
        <w:keepNext w:val="true"/>
        <w:widowControl/>
        <w:rPr/>
      </w:pPr>
      <w:r>
        <w:rPr/>
        <w:t>Article 22.3: Delegated Authority Consistent with Article 1.3 (Persons Exercising Delegated Governmental Authority), each Party shall ensure that if its stateowned enterprises, state enterprises, or designated monopolies exercise regulatory, administrative, or other governmental authority that the Party has directed or delegated to those entities to carry out, those entities act in a manner that is not inconsistent with that Party’s obligations under this Agreement.10</w:t>
      </w:r>
    </w:p>
    <w:p>
      <w:pPr>
        <w:pStyle w:val="Normal"/>
        <w:keepNext w:val="true"/>
        <w:widowControl/>
        <w:rPr/>
      </w:pPr>
      <w:r>
        <w:rPr/>
        <w:t>Article 22.4: NonDiscriminatory Treatment and Commercial Considerations 1. Each Party shall ensure that each of its stateowned enterprises, when engaging in commercial activities: (a) acts in accordance with commercial considerations in its purchase or sale of a good or service, except to fulfil the terms of its public service mandate that are not inconsistent with subparagraphs (b) or (c)(ii); (b) in its purchase of a good or service:</w:t>
      </w:r>
    </w:p>
    <w:p>
      <w:pPr>
        <w:pStyle w:val="Normal"/>
        <w:widowControl/>
        <w:rPr/>
      </w:pPr>
      <w:r>
        <w:rPr/>
        <w:t>(i) accords to a good or service supplied by an enterprise of another Party treatment no less favorable than it accords to a like good or a like service supplied by enterprises of the Party, of any other Party or of a nonParty, and (ii) accords to a good or service supplied by an enterprise that is a covered investment in the Party’s territory treatment no less favorable than it accords to a like good or a like service supplied by enterprises in the relevant market in the Party’s territory that are investments of investors of the Party, of another Party or of a nonParty; and (c) in its sale of a good or service:</w:t>
      </w:r>
    </w:p>
    <w:p>
      <w:pPr>
        <w:pStyle w:val="Normal"/>
        <w:widowControl/>
        <w:rPr/>
      </w:pPr>
      <w:r>
        <w:rPr/>
        <w:t>(i) accords to an enterprise of another Party treatment no less favorable than it accords to enterprises of the Party, of any other Party or of a nonParty, and (ii) accords to an enterprise that is a covered investment in the Party’s territory treatment no less favorable than it accords to enterprises in the relevant 10 Examples of regulatory, administrative, or other governmental authority include the power to expropriate, grant</w:t>
      </w:r>
    </w:p>
    <w:p>
      <w:pPr>
        <w:pStyle w:val="Normal"/>
        <w:widowControl/>
        <w:rPr/>
      </w:pPr>
      <w:r>
        <w:rPr/>
        <w:t>licenses, approve commercial transactions, or impose quotas, fees, or other charges. 226 market in the Party’s territory that are investments of investors of the Party, of another Party or of a nonParty.11 2. Each Party shall ensure that each of its designated monopolies: (a) acts in accordance with commercial considerations in its purchase or sale of the monopoly good or service in the relevant market, except to fulfil any terms of its designation that are not inconsistent with subparagraphs (b), (c), or (d); (b) in its purchase of the monopoly good or service:</w:t>
      </w:r>
    </w:p>
    <w:p>
      <w:pPr>
        <w:pStyle w:val="Normal"/>
        <w:widowControl/>
        <w:rPr/>
      </w:pPr>
      <w:r>
        <w:rPr/>
        <w:t>(i) accords to a good or service supplied by an enterprise of another Party treatment no less favorable than it accords to a like good or a like service supplied by enterprises of the Party, of any other Party or of a nonParty, and (ii) accords to a good or service supplied by an enterprise that is a covered investment in the Party’s territory treatment no less favorable than it accords to a like good or a like service supplied by enterprises in the relevant market in the Party’s territory that are investments of investors of the Party, of another Party or of a nonParty; and (c) in its sale of the monopoly good or service: (i) accords to an enterprise of another Party treatment no less favorable than it accords to enterprises of the Party, of any other Party or of a nonParty, and (ii) accords to an enterprise that is a covered investment in the Party’s territory treatment no less favorable than it accords to</w:t>
      </w:r>
    </w:p>
    <w:p>
      <w:pPr>
        <w:pStyle w:val="Normal"/>
        <w:widowControl/>
        <w:rPr/>
      </w:pPr>
      <w:r>
        <w:rPr/>
        <w:t>enterprises in the relevant market in the Party’s territory that are investments of investors of the Party, of another Party or of a nonParty; and (d) does not use its monopoly position to engage in, either directly or indirectly, including through its dealings with its parent, subsidiaries, or other entities the Party or the designated monopoly owns, anticompetitive practices in a non monopolized market in its territory that negatively affect trade or investment between the Parties. 3. Paragraphs 1(b) and 1(c) and paragraphs 2(b) and 2(c) do not preclude a stateowned enterprise or designated monopoly from: 11 Article 22.4.1 (NonDiscriminatory Treatment and Commercial Considerations) does not apply with respect to the purchase or sale of shares, stock, or other forms of equity by a stateowned enterprise as a means of its equity participation in another enterprise. 227 (a) purchasing or selling goods or services on different terms or conditions including those relating to price; or (b) refusing to purchase or sell goods or services, provided that this differential treatment or refusal is undertaken in accordance with commercial considerations.</w:t>
      </w:r>
    </w:p>
    <w:p>
      <w:pPr>
        <w:pStyle w:val="Normal"/>
        <w:keepNext w:val="true"/>
        <w:widowControl/>
        <w:rPr/>
      </w:pPr>
      <w:r>
        <w:rPr/>
        <w:t>Article 22.5: Courts and Administrative Bodies 1. Each Party shall provide its courts with jurisdiction over civil claims against an enterprise owned or controlled through ownership interests by a foreign government based on a commercial activity carried on in its territory.12 This shall not be construed to require a Party to provide jurisdiction over those claims if it does not provide jurisdiction over similar claims against enterprises that are not owned or controlled through ownership interests by a foreign government. 2. Each Party shall ensure that any administrative body that the Party establishes or maintains that regulates a stateowned enterprise exercises its regulatory discretion in an impartial manner with respect to enterprises that it regulates, including enterprises that are not stateowned enterprises.</w:t>
      </w:r>
    </w:p>
    <w:p>
      <w:pPr>
        <w:pStyle w:val="Normal"/>
        <w:keepNext w:val="true"/>
        <w:widowControl/>
        <w:rPr/>
      </w:pPr>
      <w:r>
        <w:rPr/>
        <w:t>Article 22.6: NonCommercial Assistance 1. The following forms of noncommercial assistance, if provided to a stateowned enterprise primarily engaged in the production or sale of goods other than electricity, are prohibited:13 (a) loans or loan guarantees provided by a state enterprise or stateowned enterprise of a Party to an uncreditworthy stateowned enterprise of that Party;14 12 This paragraph shall not be construed to preclude a Party from providing its courts with jurisdiction over claims against enterprises owned or controlled through ownership interests by a foreign government other than those claims referred to in this paragraph. 13 Article 22.6.1, Article 22.6.2, and Article 22.6.3 (NonCommercial Assistance) do not apply to stateowned enterprises of a Party that are primarily engaged in the construction of general infrastructure such as bridges, highways, ports, or railways (including intercity or urban railways), if (i) the infrastructure is located, in whole or in part, within the territory of the Party; and (ii) neither access to nor use of the infrastructure is limited to certain enterprises, unless those enterprises access or use the infrastructure primarily to supply a service to the general public within the territory of the Party.</w:t>
      </w:r>
    </w:p>
    <w:p>
      <w:pPr>
        <w:pStyle w:val="Normal"/>
        <w:widowControl/>
        <w:rPr/>
      </w:pPr>
      <w:r>
        <w:rPr/>
        <w:t>14 A stateowned enterprise is “uncreditworthy” if, at the time the terms of the financing were agreed upon, the 228 (b) noncommercial assistance provided by a Party or a state enterprise or state owned enterprise of a Party to a stateowned enterprise of that Party, in circumstances where the recipient is insolvent15 or on the brink of insolvency,16 without a credible restructuring plan designed to return the stateowned enterprise within a reasonable period of time to longterm viability; or (c) conversion by a Party or a state enterprise or stateowned enterprise of a Party of the outstanding debt of a stateowned enterprise of that Party to equity, in circumstances where this would be inconsistent with the usual investment practice of a private investor.17 2. No Party shall provide, either directly or indirectly,18 noncommercial assistance referred to in paragraphs 1(b) and 1(c). 3. Each Party shall ensure that its state enterprises and stateowned enterprises do not provide, either directly or indirectly, noncommercial assistance referred to in paragraphs 1(a), 1(b), and 1(c). 4.</w:t>
      </w:r>
    </w:p>
    <w:p>
      <w:pPr>
        <w:pStyle w:val="Normal"/>
        <w:widowControl/>
        <w:rPr/>
      </w:pPr>
      <w:r>
        <w:rPr/>
        <w:t>No Party shall cause19 adverse effects to the interests of another Party through the use of noncommercial assistance that it provides, either directly or indirectly, to its stateowned enterprises with respect to: stateowned enterprise’s financial position would preclude it from obtaining longterm financing from conventional commercial sources (that is, bank loans and nonspeculative grade bond issues). To determine whether a state owned enterprise is creditworthy, all relevant legal and factual elements must be taken into consideration on a case bycase basis. These elements may include whether a creditor would have reasonable assurance of repayment of contractual debt obligations in a timely manner, for instance, from the cash flow and assets of the business. 15 A stateowned enterprise is “insolvent” if it is unable to meet its debt obligations as they become due.</w:t>
      </w:r>
    </w:p>
    <w:p>
      <w:pPr>
        <w:pStyle w:val="Normal"/>
        <w:widowControl/>
        <w:rPr/>
      </w:pPr>
      <w:r>
        <w:rPr/>
        <w:t>Insolvency exists, for example, where (i) the stateowned enterprise has failed to make required payments due to an inability to service the debt obligations; or (ii) the stateowned enterprise has filed for bankruptcy, has been determined by a court to be bankrupt or insolvent, or is subject to court supervision, for purposes of either reorganization or liquidation of the enterprise. 16 A stateowned enterprise is “on the brink of insolvency” if it will likely be unable to meet its debt obligations at any point over the next 12 months.</w:t>
      </w:r>
    </w:p>
    <w:p>
      <w:pPr>
        <w:pStyle w:val="Normal"/>
        <w:widowControl/>
        <w:rPr/>
      </w:pPr>
      <w:r>
        <w:rPr/>
        <w:t>To determine whether a stateowned enterprise is on the brink of insolvency, primary consideration shall be given to opinions of independent credit rating agencies and independent accounting firms issued in the ordinary course of business, if available. To the extent relevant, additional factual evidence concerning the ability of the stateowned enterprise to meet its debt obligations may also be taken into account. 17 With respect to Mexico, the obligations set out in Article 22.6.1, Article 22.6.2, and Article 22.6.3 (Non Commercial Assistance) are subject to the additional provisions of Annex 22F (NonCommercial Assistance to Certain State Productive Enterprises). 18 For greater certainty, indirect provision includes the situation in which a Party entrusts or directs an enterprise that is not a stateowned enterprise to provide noncommercial assistance. 229 (a) the production and sale of a good by the stateowned enterprise; (b) the supply of a service by the stateowned enterprise from the territory of the Party into the territory of another Party; or (c) the supply of a service in the territory of another Party through an enterprise that is a covered investment in the territory of that other Party or any other Party. 5.</w:t>
      </w:r>
    </w:p>
    <w:p>
      <w:pPr>
        <w:pStyle w:val="Normal"/>
        <w:widowControl/>
        <w:rPr/>
      </w:pPr>
      <w:r>
        <w:rPr/>
        <w:t>Each Party shall ensure that its state enterprises and stateowned enterprises do not cause adverse effects to the interests of another Party through the use of noncommercial assistance that the state enterprise or stateowned enterprise provides to a stateowned enterprise of the Party with respect to: (a) the production and sale of a good by the stateowned enterprise; (b) the supply of a service by the stateowned enterprise from the territory of the Party into the territory of another Party; or (c) the supply of a service in the territory of another Party through an enterprise that is a covered investment in the territory of that other Party or any other Party. 6. No Party shall cause injury to a domestic industry20 of another Party through the use of noncommercial assistance that it provides, either directly or indirectly, to any of its stateowned enterprises that is a covered investment in the territory of that other Party in circumstances in which:</w:t>
      </w:r>
    </w:p>
    <w:p>
      <w:pPr>
        <w:pStyle w:val="Normal"/>
        <w:widowControl/>
        <w:rPr/>
      </w:pPr>
      <w:r>
        <w:rPr/>
        <w:t>(a) the noncommercial assistance is provided with respect to the production and sale of a good by the stateowned enterprise in the territory of the other Party; and (b) a like good is produced and sold in the territory of the other Party by the domestic industry of that other Party.21 19 For the purposes of paragraphs 4 and 5, it must be demonstrated that the adverse effects claimed have been caused by the noncommercial assistance.</w:t>
      </w:r>
    </w:p>
    <w:p>
      <w:pPr>
        <w:pStyle w:val="Normal"/>
        <w:widowControl/>
        <w:rPr/>
      </w:pPr>
      <w:r>
        <w:rPr/>
        <w:t>Thus, the noncommercial assistance must be examined within the context of other possible causal factors to ensure an appropriate attribution of causality. 20 The term “domestic industry” refers to the domestic producers as a whole of the like good, or to those domestic producers whose collective output of the like good constitutes a major proportion of the total domestic production of the like good, excluding the stateowned enterprise that is a covered investment that has received the non commercial assistance referred to in this paragraph. 21 In situations of material retardation of the establishment of a domestic industry, it is understood that a domestic industry may not yet produce and sell the like good. However, in these situations, there must be evidence that a prospective domestic producer has made a substantial commitment to commence production and sales of the like good. 2210 7. A service supplied by a stateowned enterprise of a Party within that Party’s territory shall be deemed not to cause adverse effects.22</w:t>
      </w:r>
    </w:p>
    <w:p>
      <w:pPr>
        <w:pStyle w:val="Normal"/>
        <w:keepNext w:val="true"/>
        <w:widowControl/>
        <w:rPr/>
      </w:pPr>
      <w:r>
        <w:rPr/>
        <w:t>Article 22.7: Adverse Effects 1. For the purposes of Article 22.6.4 and Article 22.6.5 (NonCommercial Assistance), adverse effects arise if the effect of the noncommercial assistance is: (a) that the production and sale of a good by a Party’s stateowned enterprise that has received the noncommercial assistance displaces or impedes from the Party’s market imports of a like good of another Party or sales of a like good produced by an enterprise that is a covered investment in the territory of the Party; (b) that the production and sale of a good by a Party’s stateowned enterprise that has received the noncommercial assistance displaces or impedes from: (i) the market of another Party sales of a like good produced by an enterprise that is a covered investment in the territory of that other Party, or imports of a like good of any other Party, or (ii) the market of a nonParty imports of a like good of another Party;</w:t>
      </w:r>
    </w:p>
    <w:p>
      <w:pPr>
        <w:pStyle w:val="Normal"/>
        <w:widowControl/>
        <w:rPr/>
      </w:pPr>
      <w:r>
        <w:rPr/>
        <w:t>(c) a significant price undercutting by a good produced by a Party’s stateowned enterprise that has received the noncommercial assistance and sold by the enterprise in: (i) the market of a Party as compared with the price in the same market of imports of a like good of another Party or a like good that is produced by an enterprise that is a covered investment in the territory of the Party, or significant price suppression, price depression or lost sales in the same market, or (ii) the market of a nonParty as compared with the price in the same market of</w:t>
      </w:r>
    </w:p>
    <w:p>
      <w:pPr>
        <w:pStyle w:val="Normal"/>
        <w:widowControl/>
        <w:rPr/>
      </w:pPr>
      <w:r>
        <w:rPr/>
        <w:t>imports of a like good of another Party, or significant price suppression, price depression or lost sales in the same market. (d) that services supplied by a Party’s stateowned enterprise that has received the noncommercial assistance displace or impede from the market of another Party a 22 For greater certainty, this paragraph shall not be construed to apply to a service that itself is a form of non commercial assistance. 2211 like service supplied by a service supplier of that other Party or any other Party; or (e) a significant price undercutting by a service supplied in the market of another Party by a Party’s stateowned enterprise that has received the noncommercial assistance as compared with the price in the same market of a like service supplied by a service supplier of that other Party or any other Party, or significant price suppression, price depression or lost sales in the same market.23 2.</w:t>
      </w:r>
    </w:p>
    <w:p>
      <w:pPr>
        <w:pStyle w:val="Normal"/>
        <w:widowControl/>
        <w:rPr/>
      </w:pPr>
      <w:r>
        <w:rPr/>
        <w:t>For the purposes of paragraphs l(a), l(b), and l (d), the displacing or impeding of a good or service includes a case in which it has been demonstrated that there has been a significant change in relative shares of the market to the disadvantage of the like good or like service.</w:t>
      </w:r>
    </w:p>
    <w:p>
      <w:pPr>
        <w:pStyle w:val="Normal"/>
        <w:widowControl/>
        <w:rPr/>
      </w:pPr>
      <w:r>
        <w:rPr/>
        <w:t>“</w:t>
      </w:r>
      <w:r>
        <w:rPr/>
        <w:t>Significant change in relative shares of the market” includes the following situations: (a) there is a significant increase in the market share of the good or service of the Party’s stateowned enterprise; (b) the market share of the good or service of the Party’s stateowned enterprise remains constant in circumstances in which, in the absence of the noncommercial assistance, it would have declined significantly; or (c) the market share of the good or service of the Party’s stateowned enterprise declines, but at a significantly slower rate than would have been the case in the absence of the noncommercial assistance. The change must manifest itself over an appropriately representative period sufficient to demonstrate clear trends in the development of the market for the good or service concerned, which, in normal circumstances, is at least one year. 3.</w:t>
      </w:r>
    </w:p>
    <w:p>
      <w:pPr>
        <w:pStyle w:val="Normal"/>
        <w:widowControl/>
        <w:rPr/>
      </w:pPr>
      <w:r>
        <w:rPr/>
        <w:t>For the purposes of paragraphs l(c) and l(e), price undercutting includes a case in which such price undercutting has been demonstrated through a comparison of the prices of the good or service of the stateowned enterprise with the prices of the like good or service. 4. Comparisons of the prices in paragraph 3 must be made at the same level of trade and at comparable times, and due account must be taken for factors affecting price comparability.</w:t>
      </w:r>
    </w:p>
    <w:p>
      <w:pPr>
        <w:pStyle w:val="Normal"/>
        <w:widowControl/>
        <w:rPr/>
      </w:pPr>
      <w:r>
        <w:rPr/>
        <w:t>If a direct comparison of transactions is not possible, the existence of price undercutting may be demonstrated on some other reasonable basis, such as, in the case of goods, a comparison of unit values. 23 The purchase or sale of shares, stock or other forms of equity by a stateowned enterprise that has received non commercial assistance as a means of its equity participation in another enterprise shall not, in and of itself, be construed to give rise to adverse effects as provided for in Article 22.7.1 (Adverse Effects). Consistent with Article 22.6.5 (NonCommercial Assistance), if the stateowned enterprise provides equity capital to another stateowned enterprise, and the equity capital is a form of noncommercial assistance, then, depending on the facts, the production and sale of a good or the supply of a service by the recipient enterprise could give rise to adverse effects. 2212 I 5. Noncommercial assistance that a Party provides before the signing of this Agreement shall be deemed not to cause adverse effects.</w:t>
      </w:r>
    </w:p>
    <w:p>
      <w:pPr>
        <w:pStyle w:val="Normal"/>
        <w:keepNext w:val="true"/>
        <w:widowControl/>
        <w:rPr/>
      </w:pPr>
      <w:r>
        <w:rPr/>
        <w:t>Article 22.8: Injury 1. For the purposes of Article 22.6.6 (NonCommercial Assistance), the term “injury” means material injury to a domestic industry, threat of material injury to a domestic industry, or material retardation of the establishment of such an industry. A determination of material injury shall be based on positive evidence and involve an objective examination of the relevant factors, including the volume of production by the covered investment that has received noncommercial assistance, the effect of that production on prices for like goods produced and sold by the domestic industry, and the effect of that production on the domestic industry producing like goods.24 2. With regard to the volume of production by the covered investment that has received noncommercial assistance, consideration shall be given as to whether there has been a significant increase in the volume of production, either in absolute terms or relative to production or consumption in the territory of the Party in which injury is alleged to have occurred.</w:t>
      </w:r>
    </w:p>
    <w:p>
      <w:pPr>
        <w:pStyle w:val="Normal"/>
        <w:widowControl/>
        <w:rPr/>
      </w:pPr>
      <w:r>
        <w:rPr/>
        <w:t>With regard to the effect of the production by the covered investment on prices, consideration shall be given as to whether there has been a significant price undercutting by the goods produced and sold by the covered investment as compared with the price of like goods produced and sold by the domestic industry, or whether the effect of production by the covered investment is otherwise to depress prices to a significant degree or to prevent price increases, which otherwise would have occurred, to a significant degree. No one or several of these factors can necessarily give decisive guidance. 3.</w:t>
      </w:r>
    </w:p>
    <w:p>
      <w:pPr>
        <w:pStyle w:val="Normal"/>
        <w:widowControl/>
        <w:rPr/>
      </w:pPr>
      <w:r>
        <w:rPr/>
        <w:t>The examination of the impact on the domestic industry of the goods produced and sold by the covered investment that received the noncommercial assistance must include an evaluation of all relevant economic factors and indices having a bearing on the state of the industry, such as actual and potential decline in output, sales, market share, profits, productivity, return on investments, or utilization of capacity; factors affecting domestic prices; actual and potential negative effects on cash flow, inventories, employment, wages, growth, ability to raise capital or investments and, in the case of agriculture, whether there has been an increased burden on government support programs. This list is not exhaustive, nor can one or several of these factors necessarily give decisive guidance. 4.</w:t>
      </w:r>
    </w:p>
    <w:p>
      <w:pPr>
        <w:pStyle w:val="Normal"/>
        <w:widowControl/>
        <w:rPr/>
      </w:pPr>
      <w:r>
        <w:rPr/>
        <w:t>It must be demonstrated that the goods produced and sold by the covered investment are, through the effects of the noncommercial assistance, set out in paragraphs 2 and 3, causing injury within the meaning of this Article. The demonstration of a causal relationship between the 24 The periods for examination of the noncommercial assistance and injury shall be reasonably established and shall end as closely as practical to the date of initiation of the proceeding before the panel. 2213 goods produced and sold by the covered investment and the injury to the domestic industry shall be based on an examination of all relevant evidence. Any known factors other than the goods produced by the covered investment which at the same time are injuring the domestic industry must be examined, and the injuries caused by these other factors must not be attributed to the goods produced and sold by the covered investment that has received noncommercial assistance.</w:t>
      </w:r>
    </w:p>
    <w:p>
      <w:pPr>
        <w:pStyle w:val="Normal"/>
        <w:widowControl/>
        <w:rPr/>
      </w:pPr>
      <w:r>
        <w:rPr/>
        <w:t>Factors that may be relevant in this respect include the volumes and prices of other like goods in the market in question, contraction in demand or changes in the patterns of consumption, and developments in technology and the export performance and productivity of the domestic industry. 5. A determination of a threat of material injury shall be based on facts and not merely on allegation, conjecture or remote possibility and shall be considered with special care.</w:t>
      </w:r>
    </w:p>
    <w:p>
      <w:pPr>
        <w:pStyle w:val="Normal"/>
        <w:widowControl/>
        <w:rPr/>
      </w:pPr>
      <w:r>
        <w:rPr/>
        <w:t>The change in circumstances that would create a situation in which non commercial assistance to the covered investment would cause injury must be clearly foreseen and imminent. In making a determination regarding the existence of a threat of material injury, there should be consideration of relevant factors25 and of whether the totality of the factors considered lead to the conclusion that further availability of goods produced by the covered investment is imminent and that, unless protective action is taken, material injury would occur.</w:t>
      </w:r>
    </w:p>
    <w:p>
      <w:pPr>
        <w:pStyle w:val="Normal"/>
        <w:keepNext w:val="true"/>
        <w:widowControl/>
        <w:rPr/>
      </w:pPr>
      <w:r>
        <w:rPr/>
        <w:t>Article 22.9: PartySpecific Annexes 1. Article 22.4 (NonDiscriminatory Treatment and Commercial Considerations) and Article 22.6 (NonCommercial Assistance) do not apply with respect to the nonconforming activities of stateowned enterprises or designated monopolies that a Party lists in its Schedule to Annex IV in accordance with the terms of the Party’s Schedule. 2. Article 22.4 (NonDiscriminatory Treatment and Commercial Considerations), Article 22.5 (Courts and Administrative Bodies), Article 22.6 (NonCommercial Assistance), and Article 22.10 (Transparency) do not apply to a Party’s stateowned enterprises or designated monopolies as set out in Annex 22D (Application to SubCentral StateOwned Enterprises and Designated Monopolies). 25 In making a determination regarding the existence of a threat of material injury, a panel established pursuant to Chapter 31 (Dispute Settlement) should consider, among other things, such factors as: (i) the nature of the non commercial assistance in question and the trade effects likely to arise therefrom; (ii) a significant rate of increase in sales in the domestic market by the covered investment, indicating a likelihood of substantially increased sales;</w:t>
      </w:r>
    </w:p>
    <w:p>
      <w:pPr>
        <w:pStyle w:val="Normal"/>
        <w:widowControl/>
        <w:rPr/>
      </w:pPr>
      <w:r>
        <w:rPr/>
        <w:t>(iii) sufficient freely disposable, or an imminent, substantial increase in, capacity of the covered investment indicating the likelihood of substantially increased production of the good by that covered investment, taking into account the availability of export markets to absorb</w:t>
      </w:r>
    </w:p>
    <w:p>
      <w:pPr>
        <w:pStyle w:val="Normal"/>
        <w:widowControl/>
        <w:rPr/>
      </w:pPr>
      <w:r>
        <w:rPr/>
        <w:t>additional production; (iv) whether prices of goods sold by the covered investment will have a significant depressing or suppressing effect on the price of like goods; and (v) inventories of like goods. 2214</w:t>
      </w:r>
    </w:p>
    <w:p>
      <w:pPr>
        <w:pStyle w:val="Normal"/>
        <w:keepNext w:val="true"/>
        <w:widowControl/>
        <w:rPr/>
      </w:pPr>
      <w:r>
        <w:rPr/>
        <w:t>Article 22.10: Transparency 1. Each Party shall provide to the other Parties or publish on an official website a list of its stateowned enterprises no later than six months after the date of entry into force of this Agreement, and thereafter shall update the list annually. 2. Each Party shall promptly notify the other Parties or publish on an official website the designation of a monopoly or expansion of the scope of an existing monopoly and the terms of its designation. 3. On the written request of another Party, a Party shall promptly provide the following information in writing concerning a stateowned enterprise or a government monopoly, provided that the request includes a reasoned explanation of how the activites of the entity affect or could affect trade or investment between the Parties: (a) the percentage of shares that the Party, its state enterprises, stateowned enterprises, or designated monopolies cumulatively own, and the percentage of votes that they cumulatively hold, in the entity;</w:t>
      </w:r>
    </w:p>
    <w:p>
      <w:pPr>
        <w:pStyle w:val="Normal"/>
        <w:widowControl/>
        <w:rPr/>
      </w:pPr>
      <w:r>
        <w:rPr/>
        <w:t>(b) a description of any special shares or special voting or other rights that the Party, its state enterprises, stateowned enterprises, or designated monopolies hold, to the extent these rights are different from the rights attached to the general common shares of the entity; (c) the government titles of any government official serving as an officer or member of the entity’s board of directors; (d) the entity’s annual revenue and total assets over the most recent three year</w:t>
      </w:r>
    </w:p>
    <w:p>
      <w:pPr>
        <w:pStyle w:val="Normal"/>
        <w:widowControl/>
        <w:rPr/>
      </w:pPr>
      <w:r>
        <w:rPr/>
        <w:t>period for which information is available; (e) any exemptions and immunities from which the entity benefits under the Party’s law; and (f) any additional information regarding the entity that is publicly available, including annual financial reports and thirdparty audits, and that is sought in the written request. 4. On the written request of another Party, a Party shall promptly provide, in writing, information regarding any policy or program that the Party has adopted or maintains that provides for the provision of either noncommercial assistance or any equity capital (regardless of whether the equity infusion also constitutes noncommercial assistance) to its stateowned enterprises. 2215 5. When a Party provides a response pursuant to paragraph 4, the information it provides must be sufficiently specific to enable the requesting Party to understand the operation of the policy or program and evaluate its effects or potential effects on trade or investment between the Parties.</w:t>
      </w:r>
    </w:p>
    <w:p>
      <w:pPr>
        <w:pStyle w:val="Normal"/>
        <w:widowControl/>
        <w:rPr/>
      </w:pPr>
      <w:r>
        <w:rPr/>
        <w:t>The Party responding to a request shall ensure that the response that it provides contains the following information: (a) the form of the noncommercial assistance provided under the policy or program, for example, grant or loan; (b) the names of the government agencies, state enterprises, or stateowned enterprises providing the noncommercial assistance or equity capital and the names of the stateowned enterprises that have received or are eligible to receive the noncommercial assistance; (c) the legal basis and policy objective of the policy or program providing for the noncommercial assistance or equity infusion; (d) with respect to goods, the amount per unit of the noncommercial assistance or, in cases if it is not possible to provide a per unit amount, the total amount of or the annual amount budgeted for the noncommercial assistance, indicating, if possible, the average amount per unit in the previous year; (e) with respect to services, the total amount of or the annual amount budgeted for the noncommercial assistance, indicating, if possible, the total amount in the previous year;</w:t>
      </w:r>
    </w:p>
    <w:p>
      <w:pPr>
        <w:pStyle w:val="Normal"/>
        <w:widowControl/>
        <w:rPr/>
      </w:pPr>
      <w:r>
        <w:rPr/>
        <w:t>(f) with respect to policies or programs providing for noncommercial assistance in the form of loans or loan guarantees, the amount of the loan or amount of the loan guaranteed, interest rates, and fees charged; (g) with respect to policies or programs providing for noncommercial assistance in the form of the provision of goods or the supply of services, the prices charged, if any,</w:t>
      </w:r>
    </w:p>
    <w:p>
      <w:pPr>
        <w:pStyle w:val="Normal"/>
        <w:widowControl/>
        <w:rPr/>
      </w:pPr>
      <w:r>
        <w:rPr/>
        <w:t>for those goods and services; (h) with respect to policies or programs for the provision of equity capital, the amount invested, the number and a description of the shares received, and any assessment of the enterprise’s financial health and prospects that is conducted with respect to the underlying investment decision; (i) duration of the policy or program or any other timelimits attached to it; and (j) statistical data permitting an assessment of the effects of the noncommercial assistance on trade or investment between the Parties. 2216 6. In response to a request made pursuant to paragraph 4, if a Party considers that it has not adopted or does not maintain any policies or programs referred to in paragraph 4, it shall promptly provide a reasoned explanation of this in writing to the requesting Party. 7. If any relevant points in paragraph 5 have not been addressed in the written response, that Party shall provide a reasoned explanation of this in the written response. 8.</w:t>
      </w:r>
    </w:p>
    <w:p>
      <w:pPr>
        <w:pStyle w:val="Normal"/>
        <w:widowControl/>
        <w:rPr/>
      </w:pPr>
      <w:r>
        <w:rPr/>
        <w:t>The Parties recognize that the provision of information under paragraphs 5 and 7 does not prejudge the legal status of the assistance that was the subject of the request under paragraph 4 or the effects of that assistance under this Agreement. 9. When a Party responds to a request for information under this Article, and informs the requesting Party that it considers certain information to be confidential, the Party shall provide a reasoned explanation for its determination.</w:t>
      </w:r>
    </w:p>
    <w:p>
      <w:pPr>
        <w:pStyle w:val="Normal"/>
        <w:widowControl/>
        <w:rPr/>
      </w:pPr>
      <w:r>
        <w:rPr/>
        <w:t>The requesting Party shall not disclose this information without the prior consent of the Party that provided it. To the maximum extent possible under its law, the Party should not consider the amount of the financial contribution associated with the noncommercial assistance or equity capital to be confidential.</w:t>
      </w:r>
    </w:p>
    <w:p>
      <w:pPr>
        <w:pStyle w:val="Normal"/>
        <w:keepNext w:val="true"/>
        <w:widowControl/>
        <w:rPr/>
      </w:pPr>
      <w:r>
        <w:rPr/>
        <w:t>Article 22.11: Technical Cooperation The Parties shall, if appropriate and subject to available resources, engage in mutually decided upon technical cooperation activities, including: (a) exchanging information regarding Parties’ experiences in improving the corporate governance and operation of their stateowned enterprises; (b) sharing best practices on policy approaches to ensure a level playing field between stateowned and privately owned enterprises, including policies related to competitive neutrality; and (c) organizing international seminars, workshops or any other appropriate forum for sharing technical information and expertise related to the governance and operations of stateowned enterprises.</w:t>
      </w:r>
    </w:p>
    <w:p>
      <w:pPr>
        <w:pStyle w:val="Normal"/>
        <w:keepNext w:val="true"/>
        <w:widowControl/>
        <w:rPr/>
      </w:pPr>
      <w:r>
        <w:rPr/>
        <w:t>Article 22.12: Committee on StateOwned Enterprises and Designated Monopolies 1. The Parties hereby establish a Committee on Stateowned Enterprises and Designated Monopolies (SOE Committee), composed of government representatives of each Party. 2. The SOE Committee’s functions include: (a) reviewing and considering the operation and implementation of this Chapter; 2217 (b) at a Party’s request, consulting on a matter arising under this Chapter; (c) developing cooperative efforts, as appropriate, to promote the principles underlying the disciplines contained in this Chapter in the free trade area and to contribute to the development of similar disciplines in other regional and multilateral institutions in which two or more Parties participate; and (d) undertaking other activities as the SOE Committee may decide. 3. The SOE Committee shall meet within one year after the date of entry into force of this Agreement, and at least annually thereafter, unless the Parties decide otherwise.</w:t>
      </w:r>
    </w:p>
    <w:p>
      <w:pPr>
        <w:pStyle w:val="Normal"/>
        <w:keepNext w:val="true"/>
        <w:widowControl/>
        <w:rPr/>
      </w:pPr>
      <w:r>
        <w:rPr/>
        <w:t>Article 22.13: Exceptions 1. Nothing in Article 22.4 (NonDiscriminatory Treatment and Commercial Considerations) or Article 22.6 (NonCommercial Assistance) shall be construed to: (a) prevent the adoption or enforcement by a Party of measures to respond temporarily to a national or global economic emergency; or (b) apply to a stateowned enterprise with respect to which a Party has adopted or enforced measures on a temporary basis in response to a national or global economic emergency, for the duration of that emergency. 2. Article 22.4.l (NonDiscriminatory Treatment and Commercial Considerations) does not apply to the supply of financial services by a stateowned enterprise pursuant to a government mandate if that supply of financial services: (a) supports exports or imports, provided that these services are: (i) not intended to displace commercial financing, or (ii) offered on terms no more favorable than those that could be obtained for comparable financial services in the commercial market;26 26 In circumstances in which no comparable financial services are offered in the commercial market:</w:t>
      </w:r>
    </w:p>
    <w:p>
      <w:pPr>
        <w:pStyle w:val="Normal"/>
        <w:widowControl/>
        <w:rPr/>
      </w:pPr>
      <w:r>
        <w:rPr/>
        <w:t>(a) for the purposes of paragraphs 2(a)(ii), 2(b)(ii), 3(a)(ii), and 3(b)(ii), the stateowned enterprise may rely as necessary on available evidence to establish a benchmark of the terms on which such services would be offered in the commercial market; and (b) for the purposes of paragraphs 2(a)(i), 2(b)(i), 3(a)(i), and 3(b)(i), the supply of the financial services is deemed not</w:t>
      </w:r>
    </w:p>
    <w:p>
      <w:pPr>
        <w:pStyle w:val="Normal"/>
        <w:widowControl/>
        <w:rPr/>
      </w:pPr>
      <w:r>
        <w:rPr/>
        <w:t>to be intended to displace commercial financing. 2218 (b) supports private investment outside the territory of the Party, provided that these services are: (i) not intended to displace commercial financing, or (ii) offered on terms no more favorable than those that could be obtained for comparable financial services in the commercial market; or (c) is offered on terms consistent with the Arrangement, provided that it falls within the scope of the Arrangement. 3. The supply of financial services by a stateowned enterprise pursuant to a government mandate shall be deemed not to give rise to adverse effects under Article 22.6.4(b) (Non Commercial Assistance) or Article 22.6.5(b), or under Article 22.6.4(c) or Article 22.6.5(c) if the Party in which the financial service is supplied requires a local presence in order to supply those services, if that supply of financial services:27 (a) supports exports or imports, provided that these services are: (i) not intended to displace commercial financing, or (ii) offered on terms no more favorable than those that could be obtained for comparable financial services in the commercial market;</w:t>
      </w:r>
    </w:p>
    <w:p>
      <w:pPr>
        <w:pStyle w:val="Normal"/>
        <w:widowControl/>
        <w:rPr/>
      </w:pPr>
      <w:r>
        <w:rPr/>
        <w:t>(b) supports private investment outside the territory of the Party, provided that these services are: (i) not intended to displace commercial financing, or (ii) offered on terms no more favorable than those that could be obtained for comparable financial services in the commercial market; or (c) is offered on terms consistent with the Arrangement,</w:t>
      </w:r>
    </w:p>
    <w:p>
      <w:pPr>
        <w:pStyle w:val="Normal"/>
        <w:widowControl/>
        <w:rPr/>
      </w:pPr>
      <w:r>
        <w:rPr/>
        <w:t>provided that it falls within the scope of the Arrangement. 4. Article 22.6 (NonCommercial Assistance) does not apply with respect to an enterprise located outside the territory of a Party over which a stateowned enterprise of that Party has assumed temporary ownership as a consequence of foreclosure or a similar action in connection with defaulted debt, or payment of an insurance claim by the stateowned enterprise, associated with the supply of the financial services referred to in paragraphs 2 and 3, provided that any support the Party, a state enterprise, or stateowned enterprise of the Party provides to the 27 For the purposes of this paragraph, in cases where the Party in which the financial service is supplied requires a local presence in order to supply those services, the supply of the financial services identified in this paragraph through an enterprise that is a covered investment shall be deemed to not give rise to adverse effects. 2219 enterprise during the period of temporary ownership is provided in order to recoup the state owned enterprise’s investment in accordance with a restructuring or liquidation plan that will result in the ultimate divestiture from the enterprise. 5.</w:t>
      </w:r>
    </w:p>
    <w:p>
      <w:pPr>
        <w:pStyle w:val="Normal"/>
        <w:keepNext w:val="true"/>
        <w:widowControl/>
        <w:rPr/>
      </w:pPr>
      <w:r>
        <w:rPr/>
        <w:t>Article 22.4 (NonDiscriminatory Treatment and Commercial Considerations), Article 22.6 (NonCommercial Assistance), Article 22.10 (Transparency), and Article 22.12 (Committee on StateOwned Enterprises and Designated Monopolies) do not apply with respect to a state owned enterprise or designated monopoly if in any one of the three previous consecutive fiscal years, the annual revenue derived from the commercial activities of the stateowned enterprise or designated monopoly was less than a threshold amount which shall be calculated in accordance with Annex 22A (Threshold Calculation).28</w:t>
      </w:r>
    </w:p>
    <w:p>
      <w:pPr>
        <w:pStyle w:val="Normal"/>
        <w:keepNext w:val="true"/>
        <w:widowControl/>
        <w:rPr/>
      </w:pPr>
      <w:r>
        <w:rPr/>
        <w:t>Article 22.14: Further Negotiations Within six months of the date of entry into force of this Agreement, the Parties shall begin further negotiations so as to extend the application of the disciplines in this Chapter in accordance with Annex 22C (Further Negotiations).</w:t>
      </w:r>
    </w:p>
    <w:p>
      <w:pPr>
        <w:pStyle w:val="Normal"/>
        <w:keepNext w:val="true"/>
        <w:widowControl/>
        <w:rPr/>
      </w:pPr>
      <w:r>
        <w:rPr/>
        <w:t>Article 22.15: Process for Developing Information Annex 22B (Process for Developing Information Concerning StateOwned Enterprises and Designated Monopolies) applies in any dispute under Chapter 31 (Dispute Settlement) regarding a Party’s conformity with Article 22.4 (NonDiscriminatory Treatment and Commercial Considerations) or Article 22.6 (NonCommercial Assistance). 28 When a Party invokes this exception during consultations under Article 31.4 (Consultations), the consulting Parties should exchange and discuss available evidence concerning the annual revenue of the stateowned enterprise or the designated monopoly derived from the commercial activities during the three previous consecutive fiscal years in an effort to resolve during the consultations period any disagreement regarding the application of this exception. 2220 ANNEX 22A THRESHOLD CALCULATION 1. On the date of entry into force of this Agreement, the threshold referred to in Article 22.13.5 (Exceptions) shall be 175 million Special Drawing Rights (SDRs). 2. The amount of the threshold shall be adjusted at threeyear intervals with each adjustment taking effect on 1 January. The first adjustment must take place on the first 1 January following the entry into force of this Agreement, in accordance with the formula set out in this Annex. 3.</w:t>
      </w:r>
    </w:p>
    <w:p>
      <w:pPr>
        <w:pStyle w:val="Normal"/>
        <w:widowControl/>
        <w:rPr/>
      </w:pPr>
      <w:r>
        <w:rPr/>
        <w:t>The threshold shall be adjusted for changes in general price levels using a composite SDR inflation rate, calculated as a weighted sum of cumulative per cent changes in the Gross Domestic Product (GDP) deflators of SDR component currencies over the threeyear period ending 30 June of the year prior to the adjustment taking effect, and using the following formula:  = (1 + (Σ w . Π)) where: = threshold value at base period;  = new (adjusted) threshold value;  = respective (fixed) weights of each currency,, in the SDR (as at w 30 June of the year prior to adjustment taking effect); and = cumulative per cent change in the GDP deflator of each Π currency, i, in the SDR over the threeyear period ending 30 June of the year prior to adjustment taking effect. 4.</w:t>
      </w:r>
    </w:p>
    <w:p>
      <w:pPr>
        <w:pStyle w:val="Normal"/>
        <w:widowControl/>
        <w:rPr/>
      </w:pPr>
      <w:r>
        <w:rPr/>
        <w:t>Each Party shall convert the threshold into national currency terms where the conversion rates are the average of monthly values of that Party’s national currency in SDR terms over the threeyear period to 30 June of the year before the threshold is to take effect. Each Party shall notify the other Parties of their applicable threshold in their respective national currencies. 5. For the purposes of this Chapter, all data shall be drawn from the International Monetary Fund’s International Financial Statistics database. 6. The Parties shall consult if a major change in a national currency vis-à-vis the SDR were to create a significant problem with regard to the application of this Chapter.</w:t>
      </w:r>
    </w:p>
    <w:p>
      <w:pPr>
        <w:pStyle w:val="Normal"/>
        <w:widowControl/>
        <w:rPr/>
      </w:pPr>
      <w:r>
        <w:rPr/>
        <w:t>22A1 ANNEX 22B PROCESS FOR DEVELOPING INFORMATION CONCERNING STATE OWNED ENTERPRISES AND DESIGNATED MONOPOLIES 1. If a panel has been established pursuant to Chapter 31 (Dispute Settlement) to examine a complaint arising under Article 22.4 (NonDiscriminatory Treatment and Commercial Considerations) or Article 22.6 (NonCommercial Assistance), the disputing Parties may exchange written questions and responses, as set forth in paragraphs 2, 3, and 4, to obtain information relevant to the complaint that is not otherwise readily available. 2. A disputing Party (questioning Party) may provide written questions to another disputing Party (answering Party) within 15 days of the date the panel is established. The answering Party shall provide its responses to the questions to the questioning Party within 30 days of the date it receives the questions. 3. The questioning Party may provide any followup written questions to the answering Party within 15 days of the date it receives the responses to the initial questions. The answering Party shall provide its responses to the followup questions to the questioning Party within 30 days of the date it receives the followup questions. 4.</w:t>
      </w:r>
    </w:p>
    <w:p>
      <w:pPr>
        <w:pStyle w:val="Normal"/>
        <w:widowControl/>
        <w:rPr/>
      </w:pPr>
      <w:r>
        <w:rPr/>
        <w:t>If the questioning Party considers that the answering Party has failed to cooperate in the informationgathering process under this Annex, the questioning Party shall inform the panel and the answering Party in writing within 30 days of the date the responses to the questioning Party’s final questions are due, and provide the basis for its view. The panel shall afford the answering Party an opportunity to reply in writing. 5. A disputing Party that provides written questions or responses to another disputing Party pursuant to the procedures set out in this Annex shall, on the same day, provide the questions or answers to the panel. In the event that a panel has not yet been composed, each disputing Party shall, upon the composition of the panel, promptly provide the panel with any questions or responses it has provided to the other disputing Party. 6.</w:t>
      </w:r>
    </w:p>
    <w:p>
      <w:pPr>
        <w:pStyle w:val="Normal"/>
        <w:widowControl/>
        <w:rPr/>
      </w:pPr>
      <w:r>
        <w:rPr/>
        <w:t>The answering Party may designate information in its responses as confidential information in accordance with the procedures set out in the Rules of Procedure established under Article 30.2. l (e) (Functions of the Commission) or other rules of procedure agreed to by the disputing Parties. 7. The time periods in paragraphs 2, 3, and 4 may be modified upon agreement of the disputing Parties or approval by the panel. 22B1 8.</w:t>
      </w:r>
    </w:p>
    <w:p>
      <w:pPr>
        <w:pStyle w:val="Normal"/>
        <w:widowControl/>
        <w:rPr/>
      </w:pPr>
      <w:r>
        <w:rPr/>
        <w:t>In determining whether a disputing Party has failed to cooperate in the information gathering process, the panel shall take into account the reasonableness of the questions and the efforts the answering Party has made to respond to the questions in a cooperative and timely manner. 9. In making findings of fact and its initial report, the panel should draw adverse inferences from instances of noncooperation by a disputing Party in the informationgathering process. 10. The panel may deviate from the time period set out in Chapter 31 (Dispute Settlement) for the issuance of the initial report if necessary to accommodate the informationgathering process. 11. The panel may seek additional information from a disputing Party that was not provided to the panel through the informationgathering process if the panel considers the information necessary to resolve the dispute. However, the panel shall not request additional information to complete the record if the information would support a Party’s position and the absence of that information in the record is the result of that Party’s noncooperation in the information gathering process.</w:t>
      </w:r>
    </w:p>
    <w:p>
      <w:pPr>
        <w:pStyle w:val="Normal"/>
        <w:widowControl/>
        <w:rPr/>
      </w:pPr>
      <w:r>
        <w:rPr/>
        <w:t>22B2 ANNEX 22C FURTHER NEGOTIATIONS Within six months of the date of entry into force of this Agreement, the Parties shall begin further negotiations so as to extend the application of: (a) the obligations in this Chapter to the activities of stateowned enterprises that are owned or controlled by a subcentral level of government, and designated monopolies designated by a subcentral level of government, if these obligations are listed in Annex 22D (Application to SubCentral StateOwned Enterprises and Designated Monopolies); and (b) the disciplines of Article 22.6 (NonCommercial Assistance) and Article 22.7 (Adverse Effects) to address effects caused in a market of a nonParty through the supply of services by a stateowned enterprise. The Parties shall meet on a quarterly basis, and shall endeavor to conclude these further negotiations within three years after entry into force of this Agreement.</w:t>
      </w:r>
    </w:p>
    <w:p>
      <w:pPr>
        <w:pStyle w:val="Normal"/>
        <w:widowControl/>
        <w:rPr/>
      </w:pPr>
      <w:r>
        <w:rPr/>
        <w:t>22C1 ANNEX 22D APPLICATION TO SUBCENTRAL STATEOWNED ENTERPRISES AND DESIGNATED MONOPOLIES Pursuant to Article 22.9.2 (PartySpecific Annexes), the following provisions do not apply with respect to a stateowned enterprise owned or controlled by a subcentral level of government or a designated monopoly designated by a subcentral level of government:29 (a) For Canada: (i) Article 22.4.1(a) (NonDiscriminatory Treatment and Commercial Considerations), (ii) Article 22.4.1(b) (NonDiscriminatory Treatment and Commercial Considerations), with respect to purchases of a good or service, (iii) Article 22.4.1(c)(i) (NonDiscriminatory Treatment and Commercial Considerations), (iv) Article 22.4.2 (NonDiscriminatory Treatment and Commercial Considerations), with respect to designated monopolies designated by a subcentral level of government, (v) Article 22.5.2 (Courts and Administrative Bodies), with respect to administrative regulatory bodies established or maintained by a sub central level of government, (vi) Article 22.6.1, Article 22.6.2, and Article 22.6.3 (Noncommercial Assistance), (vii) Article 22.6.4(a) (Noncommercial Assistance) and Article 22.6.5(a) (Noncommercial Assistance), with respect to the production and sale of a good in competition with a like good produced and sold by a covered investment, (viii) Article 22.6.4(b) and (c) (Noncommercial Assistance) and Article 22.6.5(b) and (c) (Noncommercial Assistance), (ix) Article 22.6.6 (NonCommercial</w:t>
      </w:r>
    </w:p>
    <w:p>
      <w:pPr>
        <w:pStyle w:val="Normal"/>
        <w:widowControl/>
        <w:rPr/>
      </w:pPr>
      <w:r>
        <w:rPr/>
        <w:t>Assistance), 29 For the purposes of this Annex, “subcentral level of government” means the regional level of government and the local level of government of a Party. 22D1 (x) Article 22.10.1 (Transparency), and (xi) Article 22.10.4 (Transparency) with respect to a policy or program adopted or maintained by a subcentral level of government. (b) For Mexico: (i) Article 22.4.1(a) (NonDiscriminatory Treatment and Commercial Considerations), (ii) Article 22.4.1(b) (NonDiscriminatory Treatment and Commercial Considerations), with respect to purchases of a good or service, (iii) Article 22.4.1(c)(i) (NonDiscriminatory Treatment and Commercial Considerations), (iv) Article 22.4.2 (NonDiscriminatory Treatment and Commercial Considerations), with respect to designated monopolies designated by a subcentral level of government, (v) Article 22.5.2 (Courts and Administrative Bodies), with respect to administrative regulatory bodies established or maintained by a sub central level of government, (vi) Article 22.6.1, Article 22.6.2, and Article 22.6.3 (NonCommercial Assistance), (vii) Article 22.6.4(a) (NonCommercial Assistance) and Article 22.6.5(a) (NonCommercial Assistance), with respect to the production and sale of a good in competition with a like good produced and sold by a covered investment in the territory of Mexico, (viii) Article 22.6.4(b) and (c) (NonCommercial Assistance) and Article 22.6.5(b) and (c) (NonCommercial Assistance), and (ix) Article 22.10.1</w:t>
      </w:r>
    </w:p>
    <w:p>
      <w:pPr>
        <w:pStyle w:val="Normal"/>
        <w:widowControl/>
        <w:rPr/>
      </w:pPr>
      <w:r>
        <w:rPr/>
        <w:t>(Transparency). (c) For the United States: (i) Article 22.4.1(a) (NonDiscriminatory Treatment and Commercial Considerations), 22D2 (ii) Article 22.4.1(b) (NonDiscriminatory Treatment and Commercial Considerations), with respect to purchases of a good or service, (iii) Article 22.4.1(c)(i) (NonDiscriminatory Treatment and Commercial Considerations), (iv) Article 22.4.2 (NonDiscriminatory Treatment and Commercial Considerations), with respect to designated monopolies designated by a subcentral level of government, (v) Article 22.5.2 (Courts and Administrative Bodies), with respect to administrative regulatory bodies established or maintained by a sub central level of government, (vi) Article 22.6.1, Article 22.6.2, and Article 22.6.3 (NonCommercial Assistance), (vii) Article 22.6.4(a) (NonCommercial Assistance) and Article 22.6.5(a) (NonCommercial Assistance), with respect to the production and sale of a good in competition with a like good produced and sold by a covered investment in the territory of the United States, (viii) Article 22.6.4(b) and (c) (NonCommercial Assistance) and Article 22.6.5(b) and (c) (NonCommercial Assistance), and (ix) Article 22.10.1 (Transparency). 22D3 ANNEX 22E SPECIAL PURPOSE VEHICLES OF STATE PRODUCTIVE ENTERPRISES 1.</w:t>
      </w:r>
    </w:p>
    <w:p>
      <w:pPr>
        <w:pStyle w:val="Normal"/>
        <w:widowControl/>
        <w:rPr/>
      </w:pPr>
      <w:r>
        <w:rPr/>
        <w:t>This Chapter applies to the State Productive Enterprises (“SPEs”) referred to in the Decree amending the Political Constitution of the United Mexican States on December 20, 2013 as published in the Official Gazette (“the Decree”), and to the subsidiaries and affiliates of the SPEs. 2. This Chapter does not apply to Special Purpose Vehicles, with the exception of paragraphs 3 and 4 of this Annex. For the purposes of this Annex, the term “Special Purpose Vehicle” means a private legal entity established by the SPEs, their subsidiaries and affiliates, as a result of a venture with private investors, created to perform, develop, own, or operate a specific project.30 3. Mexico shall ensure that Special Purpose Vehicles: (a) be established as a result of competitive processes under the laws and regulations of Mexico applicable to the SPE; (b) pursue the performance of commercial activities on equal circumstances and conditions available to competitors on a level playing field, with no intention of displacing or impeding competitors from the relevant market; (c) be aimed at generating economic value and profitability under commercial conditions;</w:t>
      </w:r>
    </w:p>
    <w:p>
      <w:pPr>
        <w:pStyle w:val="Normal"/>
        <w:widowControl/>
        <w:rPr/>
      </w:pPr>
      <w:r>
        <w:rPr/>
        <w:t>(d) follow generally accepted accounting principles and generally accepted international corporate governance rules such as the G20/OECD Principles of Corporate Governance; (e) act in accordance with Article 22.4 (NonDiscriminatory Treatment and Commercial Considerations), Article 22.5 (Courts and Administrative Bodies), and Article 22.6</w:t>
      </w:r>
    </w:p>
    <w:p>
      <w:pPr>
        <w:pStyle w:val="Normal"/>
        <w:widowControl/>
        <w:rPr/>
      </w:pPr>
      <w:r>
        <w:rPr/>
        <w:t>(NonCommercial Assistance). 4. Mexico shall provide information concerning the SPV and any assistance provided to it, to the extent reasonably available, if it is requested in accordance with the relevant provisions of Article 22.10 (Transparency). 30 For greater certainty, any contractual agreement, including a joint venture or partnership, between an SPE and another enterprise, which does not constitute an entity constituted or organized under applicable law, is not an “enterprise” as defined in Article 1.4 (General Definitions) or a “monopoly” as defined in Article 22.1 (Definitions), and falls outside the scope of this Chapter. 22E1 ANNEX 22F NONCOMMERCIAL ASSISTANCE TO CERTAIN STATE PRODUCTIVE ENTERPRISES 1.</w:t>
      </w:r>
    </w:p>
    <w:p>
      <w:pPr>
        <w:pStyle w:val="Normal"/>
        <w:widowControl/>
        <w:rPr/>
      </w:pPr>
      <w:r>
        <w:rPr/>
        <w:t>With respect to Article 22.6.1, Article 22.6.2, and Article 22.6.3 (NonCommercial Assistance), Mexico or its state enterprises or stateowned enterprises may provide non commercial assistance to an SPE referred to in Annex 22E (Special Purpose Vehicles of State Productive Enterprises) (including the SPE’s affiliates and subsidiaries) that is primarily engaged in oil and gas activities, in circumstances that jeopardize the continued viability of the recipient enterprise, and for the sole purpose of enabling the enterprise to return to viability and fulfil its mandate under the Decree and Article 25 of Mexico’s Constitution (Constitución Política de los Estados Unidos Mexicanos). 2.</w:t>
      </w:r>
    </w:p>
    <w:p>
      <w:pPr>
        <w:pStyle w:val="Normal"/>
        <w:widowControl/>
        <w:rPr/>
      </w:pPr>
      <w:r>
        <w:rPr/>
        <w:t>At the request of a Party, the Parties may consult regarding whether this Annex should be amended or eliminated. This Annex should only be maintained if Mexico considers that circumstances continue to require the possibility of providing noncommercial assistance to an SPE to ensure its continued viability. 22F1</w:t>
      </w:r>
    </w:p>
    <w:p>
      <w:pPr>
        <w:pStyle w:val="Normal"/>
        <w:widowControl/>
        <w:rPr/>
      </w:pPr>
      <w:r>
        <w:rPr/>
        <w:t>Chapter 23 is the primary worker-rights chapter. Additional labor protections also appear in automotive, strategic-supply, forced-labor, migration, and custodial provisions. Search both LABOR and LABOUR.</w:t>
      </w:r>
    </w:p>
    <w:p>
      <w:pPr>
        <w:pStyle w:val="TrumpVisibilityHeadline"/>
        <w:widowControl/>
        <w:rPr/>
      </w:pPr>
      <w:r>
        <w:rPr/>
        <w:t>SEARCH SIGNPOST — LABOR / LABOUR / WORKER RIGHTS / COLLECTIVE BARGAINING / FORCED LABOR / CHILD LABOR / OCCUPATIONAL SAFETY / MIGRANT WORKERS</w:t>
      </w:r>
      <w:r>
        <w:br w:type="page"/>
      </w:r>
    </w:p>
    <w:p>
      <w:bookmarkStart w:id="1123" w:name="_NAESTMA_TOC_1123"/>
      <w:pPr>
        <w:pStyle w:val="Heading1"/>
        <w:keepNext/>
        <w:keepLines w:val="0"/>
        <w:pageBreakBefore/>
        <w:widowControl/>
        <w:rPr/>
      </w:pPr>
      <w:bookmarkStart w:id="74" w:name="_Toc237912551"/>
      <w:r>
        <w:rPr/>
        <w:t>CHAPTER 23 LABOR</w:t>
      </w:r>
      <w:bookmarkEnd w:id="74"/>
      <w:bookmarkEnd w:id="1123"/>
    </w:p>
    <w:p>
      <w:pPr>
        <w:pStyle w:val="Normal"/>
        <w:widowControl/>
        <w:rPr/>
      </w:pPr>
      <w:r>
        <w:rPr/>
        <w:t>Article 23.1: Definitions For the purposes of this Chapter: ILO Declaration on Rights at Work means the International Labor Organization (ILO) Declaration on Fundamental Principles and Rights at Work and its Follow-Up (1998); labor laws means statutes and regulations, or provisions of statutes and regulations, of a Party that are directly related to the following internationally recognized labor rights: (a) freedom of association and the effective recognition of the right to collective bargaining; (b) the elimination of all forms of forced or compulsory labor; (c) the effective abolition of child labor, a prohibition on the worst forms of child labor, and other labor protections for children and minors;</w:t>
      </w:r>
    </w:p>
    <w:p>
      <w:pPr>
        <w:pStyle w:val="Normal"/>
        <w:widowControl/>
        <w:rPr/>
      </w:pPr>
      <w:r>
        <w:rPr/>
        <w:t>(d) the elimination of discrimination in respect of employment and occupation; and (e) acceptable conditions of work with respect to minimum wages, hours of work, and occupational safety and health; statutes and regulations and statutes or regulations means enforceable statutes, regulations, constitutional provisions where applicable, and provisions promulgated pursuant to law by the competent level or levels of government of Canada, Mexico, or the United States that govern matters within this Chapter. For each Party with a federal form of government, this definition shall provide effective coverage for substantially all workers consistent with Article 31.E.16 (Federalism and Domestic Institutional Neutrality).</w:t>
      </w:r>
    </w:p>
    <w:p>
      <w:pPr>
        <w:pStyle w:val="Normal"/>
        <w:widowControl/>
        <w:rPr/>
      </w:pPr>
      <w:r>
        <w:rPr/>
        <w:t>1 For greater certainty, a Party’s labor laws regarding “acceptable conditions of work with respect to minimum wages” include requirements under that Party’s labor laws to provide wage-related benefit payments to, or on behalf of, workers, such as those for profit sharing, bonuses, retirement, and healthcare. 2 For greater certainty, for each Party setting out a definition, which has a federal form of government, its definition provides coverage for substantially all workers.</w:t>
      </w:r>
    </w:p>
    <w:p>
      <w:pPr>
        <w:pStyle w:val="Normal"/>
        <w:keepNext w:val="true"/>
        <w:widowControl/>
        <w:rPr/>
      </w:pPr>
      <w:r>
        <w:rPr/>
        <w:t>Article 23.2: Statement of Shared Commitments 1. The Parties affirm their obligations as members of the ILO, including those stated in the ILO Declaration on Rights at Work and the ILO Declaration on Social Justice for a Fair Globalization (2008). 2. The Parties recognize the important role of workers’ and employers’ organizations in protecting internationally recognized labor rights. 3. The Parties also recognize the goal of trading only in goods produced in compliance with this Chapter.</w:t>
      </w:r>
    </w:p>
    <w:p>
      <w:pPr>
        <w:pStyle w:val="Normal"/>
        <w:keepNext w:val="true"/>
        <w:widowControl/>
        <w:rPr/>
      </w:pPr>
      <w:r>
        <w:rPr/>
        <w:t>Article 23.3: Labor Rights 1. Each Party shall adopt and maintain in its statutes and regulations, and practices thereunder, the following rights, as stated in the ILO Declaration on Rights at Work:3, 4 (a) freedom of association5 and the effective recognition of the right to collective bargaining;6 (b) the elimination of all forms of forced or compulsory labor; (c) the effective abolition of child labor and, for the purposes of this Agreement, a prohibition on the worst forms of child labor; and (d) the elimination of discrimination in respect of employment and occupation. 3 The obligations set out in this Article, as they relate to the ILO, refer only to the ILO Declaration on Rights at Work 4 To establish a violation of an obligation under paragraphs 1 or 2, a Party must demonstrate that the other Party has failed to adopt or maintain a statute, regulation, or practice in a manner affecting trade or investment between the Parties. For greater certainty, a failure is “in a manner affecting trade or investment between the Parties” if it involves:</w:t>
      </w:r>
    </w:p>
    <w:p>
      <w:pPr>
        <w:pStyle w:val="Normal"/>
        <w:widowControl/>
        <w:rPr/>
      </w:pPr>
      <w:r>
        <w:rPr/>
        <w:t>(i) a person or industry that produces a good or supplies a service traded between the Parties or has an investment in the territory of the Party that has failed to comply with this obligation; or (ii) a person or industry that produces a good or supplies a service that competes in the territory of a Party with a good or a service of another Party.</w:t>
      </w:r>
    </w:p>
    <w:p>
      <w:pPr>
        <w:pStyle w:val="Normal"/>
        <w:widowControl/>
        <w:rPr/>
      </w:pPr>
      <w:r>
        <w:rPr/>
        <w:t>5 For greater certainty, the right to strike is linked to the right to freedom of association, which cannot be realized without protecting the right to strike. 6 Annex 23-A (Worker Representation, Collective Bargaining and Labour-Reform Durability in Mexico) sets out obligations with regard to worker representation in collective bargaining. 2. Each Party shall adopt and maintain statutes and regulations, and practices thereunder, governing acceptable conditions of work with respect to minimum wages, hours of work, and occupational safety and health.</w:t>
      </w:r>
    </w:p>
    <w:p>
      <w:pPr>
        <w:pStyle w:val="Normal"/>
        <w:keepNext w:val="true"/>
        <w:widowControl/>
        <w:rPr/>
      </w:pPr>
      <w:r>
        <w:rPr/>
        <w:t>Article 23.4: Non-Derogation The Parties recognize that it is inappropriate to encourage trade or investment by weakening or reducing the protections afforded in each Party’s labor laws. Accordingly, no Party shall waive or otherwise derogate from, or offer to waive or otherwise derogate from, its statutes or regulations: (a) implementing Article 23.3.1 (Labor Rights), if the waiver or derogation would be inconsistent with a right set out in that paragraph; or (b) implementing Article 23.3.1 or Article 23.3.2 (Labor Rights), if the waiver or derogation would weaken or reduce adherence to a right set out in Article 23.3.1 (Labor Rights), or to a condition of work referred to in Article 23.3.2 (Labor Rights), in a special trade or customs area, such as an export processing zone or foreign trade zone, in the Party’s territory; in a manner affecting trade or investment between the Parties.7</w:t>
      </w:r>
    </w:p>
    <w:p>
      <w:pPr>
        <w:pStyle w:val="Normal"/>
        <w:keepNext w:val="true"/>
        <w:widowControl/>
        <w:rPr/>
      </w:pPr>
      <w:r>
        <w:rPr/>
        <w:t>Article 23.5: Enforcement of Labor Laws 1. No Party shall fail to effectively enforce its labor laws through a sustained or recurring course of action or inaction8 in a manner affecting trade or investment between the Parties9 after the date of entry into force of this Agreement. 7 For greater certainty, a waiver or derogation is “in a manner affecting trade or investment between the Parties” if it involves: (i) a person or industry that produces a good or supplies a service traded between the Parties or has an investment in the territory of the Party that has failed to comply with this obligation; or (ii) a person or industry that produces a good or supplies a service that competes in the territory of a Party with a good or a service of another Party. 8 For greater certainty, a “sustained or recurring course of action or inaction” is “sustained” if the course of action or inaction is consistent or ongoing, and is “recurring” if the course of action or inaction occurs periodically or repeatedly and when the occurrences are related or the same in nature. A course of action or inaction does not include an isolated instance or case.</w:t>
      </w:r>
    </w:p>
    <w:p>
      <w:pPr>
        <w:pStyle w:val="Normal"/>
        <w:widowControl/>
        <w:rPr/>
      </w:pPr>
      <w:r>
        <w:rPr/>
        <w:t>9 For greater certainty, a “course of action or inaction” is “in a manner affecting trade or investment between the Parties” if the course involves: (i) a person or industry that produces a good or supplies a service traded between the Parties or has an investment in the territory of the Party that has failed to comply with this obligation; or (ii) a person or industry that produces a good or supplies a service that competes in the territory of a Party with a good or a service of another Party. 2. Each Party shall promote compliance with its labor laws through appropriate government action, such as by: (a) appointing and training inspectors; (b) monitoring compliance and investigating suspected violations, including through unannounced on-site inspections, and giving due consideration to requests to investigate an alleged violation of its labor laws; (c) seeking assurances of voluntary compliance; (d) requiring record keeping and reporting; (e) encouraging the establishment of labor-management committees to address labor regulation of the workplace; (f) providing or encouraging mediation, conciliation, and arbitration services;</w:t>
      </w:r>
    </w:p>
    <w:p>
      <w:pPr>
        <w:pStyle w:val="Normal"/>
        <w:widowControl/>
        <w:rPr/>
      </w:pPr>
      <w:r>
        <w:rPr/>
        <w:t>(g) initiating, in a timely manner, proceedings to seek appropriate sanctions or remedies for violations of its labor laws; and (h) implementing remedies and sanctions imposed for noncompliance with its labor laws, including timely collection of fines and reinstatement of workers. 3.</w:t>
      </w:r>
    </w:p>
    <w:p>
      <w:pPr>
        <w:pStyle w:val="Normal"/>
        <w:widowControl/>
        <w:rPr/>
      </w:pPr>
      <w:r>
        <w:rPr/>
        <w:t>If a Party fails to comply with an obligation under this Chapter, a decision made by that Party on the provision of enforcement resources shall not excuse that failure. Each Party retains the right to exercise reasonable enforcement discretion and to make bona fide decisions with regard to the allocation of enforcement resources between labor enforcement activities among the fundamental labor rights and acceptable conditions of work enumerated in Article 23.3.1 and Article 23.3.2 (Labor Rights), provided that the exercise of that discretion, and those decisions, are not inconsistent with its obligations under this Chapter. 4. Nothing in this Chapter shall be construed to empower a Party’s authorities to undertake labor law enforcement activities in the territory of another Party.</w:t>
      </w:r>
    </w:p>
    <w:p>
      <w:pPr>
        <w:pStyle w:val="Normal"/>
        <w:keepNext w:val="true"/>
        <w:widowControl/>
        <w:rPr/>
      </w:pPr>
      <w:r>
        <w:rPr/>
        <w:t>Article 23.6: Forced or Compulsory Labor 1. The Parties recognize the goal of eliminating all forms of forced or compulsory labor, including forced or compulsory child labor. Accordingly, each Party shall prohibit, through measures it considers appropriate, the importation of goods into its territory from other sources produced in whole or in part by forced or compulsory labor, including forced or compulsory child labor.10 2. To assist in the implementation of paragraph 1, the Parties shall establish cooperation for the identification and movement of goods produced by forced labor as provided for under Article 23.12.5(c) (Cooperation).</w:t>
      </w:r>
    </w:p>
    <w:p>
      <w:pPr>
        <w:pStyle w:val="Normal"/>
        <w:keepNext w:val="true"/>
        <w:widowControl/>
        <w:rPr/>
      </w:pPr>
      <w:r>
        <w:rPr/>
        <w:t>Article 23.7: Violence Against Workers The Parties recognize that workers and labor organizations must be able to exercise the rights set out in Article 23.3 (Labor Rights) in a climate that is free from violence, threats, and intimidation, and the imperative of governments to effectively address incidents of violence, threats, and intimidation against workers. Accordingly, no Party shall fail to address cases of violence or threats of violence against workers, directly related to exercising or attempting to exercise the rights set out in Article 23.3 (Labor Rights), through a sustained or recurring course of action or inaction11 in a manner affecting trade or investment between the Parties.12</w:t>
      </w:r>
    </w:p>
    <w:p>
      <w:pPr>
        <w:pStyle w:val="Normal"/>
        <w:keepNext w:val="true"/>
        <w:widowControl/>
        <w:rPr/>
      </w:pPr>
      <w:r>
        <w:rPr/>
        <w:t>Article 23.8: Migrant Workers The Parties recognize the vulnerability of migrant workers with respect to labor protections. Accordingly, in implementing Article 23.3 (Labor Rights), each Party shall ensure that migrant workers are protected under its labor laws, whether they are nationals or non- nationals of the Party.</w:t>
      </w:r>
    </w:p>
    <w:p>
      <w:pPr>
        <w:pStyle w:val="Normal"/>
        <w:keepNext w:val="true"/>
        <w:widowControl/>
        <w:rPr/>
      </w:pPr>
      <w:r>
        <w:rPr/>
        <w:t>Article 23.9: Discrimination in the Workplace The Parties recognize the goal of eliminating discrimination in employment and occupation, and support the goal of promoting equality of women in the workplace. 10 For greater certainty, nothing in this Article authorizes a Party to take measures that would be inconsistent with its obligations under this Agreement, the WTO Agreement, or other international trade agreements. 11 For greater certainty, a “sustained or recurring course of action or inaction” is “sustained” if the course of action or inaction is consistent or ongoing, and is “recurring” if the course of action or inaction occurs periodically or repeatedly and when the occurrences are related or the same in nature. A course of action or inaction does not include an isolated instance or case. 12 For greater certainty, a “course of action or inaction” is “in a manner affecting trade or investment between the Parties” if the course involves:</w:t>
      </w:r>
    </w:p>
    <w:p>
      <w:pPr>
        <w:pStyle w:val="Normal"/>
        <w:widowControl/>
        <w:rPr/>
      </w:pPr>
      <w:r>
        <w:rPr/>
        <w:t>(i) a person or industry that produces a good or supplies a service traded between the Parties or has an investment in the territory of the Party that has failed to comply with this obligation; or (ii) a person or industry that produces a good or supplies a service that competes in the territory of a Party with a good or a service of another Party.</w:t>
      </w:r>
    </w:p>
    <w:p>
      <w:pPr>
        <w:pStyle w:val="Normal"/>
        <w:widowControl/>
        <w:rPr/>
      </w:pPr>
      <w:r>
        <w:rPr/>
        <w:t>Accordingly, each Party shall implement policies13 that it considers appropriate to protect workers against employment discrimination on the basis of sex (including with regard to sexual harassment), pregnancy, sexual orientation, gender identity, and caregiving responsibilities; provide job-protected leave for birth or adoption of a child and care of family members; and protect against wage discrimination.</w:t>
      </w:r>
    </w:p>
    <w:p>
      <w:pPr>
        <w:pStyle w:val="Normal"/>
        <w:keepNext w:val="true"/>
        <w:widowControl/>
        <w:rPr/>
      </w:pPr>
      <w:r>
        <w:rPr/>
        <w:t>Article 23.10: Public Awareness and Procedural Guarantees 1. Each Party shall promote public awareness of its labor laws, including by ensuring that information related to its labor laws and enforcement and compliance procedures is publicly available. 2. Each Party shall ensure that a person with a recognized interest under its law in a particular matter has appropriate access to tribunals for the enforcement of its labor laws. These tribunals may include administrative tribunals, quasi-judicial tribunals, judicial tribunals, or labor tribunals, as provided for in each Party’s law. 3. Each Party shall ensure that proceedings before these tribunals for the enforcement of its labor laws: (a) are fair, equitable and transparent; (b) comply with due process of law; (c) do not entail unreasonable fees or time limits or unwarranted delay; and (d) that any hearings in these proceedings are open to the public, except where the administration of justice otherwise requires, and in accordance with its applicable laws. 4. Each Party shall ensure that:</w:t>
      </w:r>
    </w:p>
    <w:p>
      <w:pPr>
        <w:pStyle w:val="Normal"/>
        <w:widowControl/>
        <w:rPr/>
      </w:pPr>
      <w:r>
        <w:rPr/>
        <w:t>(a) the parties to these proceedings are entitled to support or defend their respective positions, including by presenting information or evidence; and (b) final decisions on the merits of the case shall satisfy the requirements of paragraph 4. For greater certainty, an existing measure of a Party may satisfy an obligation under Article 23.9 where that measure provides functionally equivalent or greater protection. No Party receives a country-specific presumption of compliance solely because a particular pre-existing statute, regulation, policy, or agency practice is named in this Agreement.</w:t>
      </w:r>
    </w:p>
    <w:p>
      <w:pPr>
        <w:pStyle w:val="Normal"/>
        <w:widowControl/>
        <w:rPr/>
      </w:pPr>
      <w:r>
        <w:rPr/>
        <w:t>(i) are based on information or evidence in respect of which the parties were offered the opportunity to be heard, (ii) state the reasons on which they are based, and (iii) are available in writing without undue delay to the parties to the proceedings and, consistent with its law, to the public. 5. Each Party shall provide, as appropriate, that parties to these proceedings have the right to seek review and, if warranted, correction of decisions issued in these proceedings. 6. Each Party shall ensure that tribunals that conduct or review these proceedings are impartial and independent. 7.</w:t>
      </w:r>
    </w:p>
    <w:p>
      <w:pPr>
        <w:pStyle w:val="Normal"/>
        <w:widowControl/>
        <w:rPr/>
      </w:pPr>
      <w:r>
        <w:rPr/>
        <w:t>Each Party shall ensure that the parties to these proceedings have access to remedies under its law for the effective enforcement of their rights under its labor laws and that these remedies are executed in a timely manner. 8. Each Party shall provide procedures to effectively enforce the final decisions of its tribunals in these proceedings. 9. For greater certainty, and without prejudice to whether a tribunal’s decision is inconsistent with a Party’s obligations under this Chapter, nothing in this Chapter shall be construed to require a tribunal of a Party to reopen a decision that it has made in a particular matter. 10.</w:t>
      </w:r>
    </w:p>
    <w:p>
      <w:pPr>
        <w:pStyle w:val="Normal"/>
        <w:widowControl/>
        <w:rPr/>
      </w:pPr>
      <w:r>
        <w:rPr/>
        <w:t>Each Party shall ensure that other types of proceedings within its labor bodies for the implementation of its labor laws: (a) are fair and equitable; (b) are conducted by officials who meet appropriate guarantees of impartiality; (c) do not entail unreasonable fees or time limits or unwarranted delay; and (d) document and communicate decisions to persons directly affected by these proceedings.</w:t>
      </w:r>
    </w:p>
    <w:p>
      <w:pPr>
        <w:pStyle w:val="Normal"/>
        <w:keepNext w:val="true"/>
        <w:widowControl/>
        <w:rPr/>
      </w:pPr>
      <w:r>
        <w:rPr/>
        <w:t>Article 23.11: Public Submissions 1. Each Party, through its contact point designated under Article 23.15 (Contact Points), shall provide for the receipt and consideration of written submissions from persons of a Party on matters related to this Chapter in accordance with its domestic procedures. Each Party shall make readily accessible and publicly available its procedures, including timelines, for the receipt and consideration of written submissions. 2. Each Party shall: (a) consider matters raised by the submission and provide a timely response to the submitter, including in writing as appropriate; and (b) make the submission and the results of its consideration available to the other Parties and the public, as appropriate, in a timely manner. 3. A Party may request from the person or organization that made the submission additional information that is necessary to consider the substance of the submission.</w:t>
      </w:r>
    </w:p>
    <w:p>
      <w:pPr>
        <w:pStyle w:val="Normal"/>
        <w:keepNext w:val="true"/>
        <w:widowControl/>
        <w:rPr/>
      </w:pPr>
      <w:r>
        <w:rPr/>
        <w:t>Article 23.12: Cooperation 1. The Parties recognize the importance of cooperation as a mechanism for effective implementation of this Chapter, to enhance opportunities to improve labor standards, and to further advance common commitments regarding labor matters, including the principles and rights stated in the ILO Declaration on Rights at Work. 2. The Parties may, commensurate with the availability of resources, cooperate through: (a) exchanging of information and sharing of best practices on issues of common interest, including through seminars, workshops, and online fora; (b) study trips, visits, and research studies to document and study policies and practices; (c) collaborative research and development related to best practices in subjects of mutual interest; (d) specific exchanges of technical expertise and assistance, as appropriate; and (e) other forms as the Parties may decide. 3. In undertaking cooperative activities, the Parties shall consider each Party’s priorities and complementarity with initiatives in existence, with the aim to achieve mutual benefits and measurable labor outcomes. 4. Each Party shall invite the views and, as appropriate, participation of its stakeholders, including worker and employer representatives, in identifying potential areas for cooperation and undertaking cooperative activities. 5.</w:t>
      </w:r>
    </w:p>
    <w:p>
      <w:pPr>
        <w:pStyle w:val="Normal"/>
        <w:widowControl/>
        <w:rPr/>
      </w:pPr>
      <w:r>
        <w:rPr/>
        <w:t>The Parties may develop cooperative activities in the following areas: (a) labor laws and practices, including the promotion and effective implementation of the principles and rights as stated in the ILO Declaration on Rights at Work; (b) labor laws and practices related to compliance with ILO Convention No. 182 Concerning the Prohibition and Immediate Action for the Elimination of the Worst Forms of Child Labor; (c) identification and movement of goods produced by forced labor; (d) combatting forced labor and human trafficking, including on fishing vessels; (e) addressing violence against workers, including for trade union activity; (f) occupational safety and health, including the prevention of occupational injuries and illnesses; (g) institutional capacity of labor administrative and judicial bodies; (h) labor inspectorates and inspection systems, including methods and training to improve the level and efficiency of labor law enforcement, strengthen labor inspection systems, and help ensure compliance with labor laws; (i) remuneration systems and mechanisms for compliance with labor laws pertaining to hours of work, minimum wages and overtime, and employment conditions;</w:t>
      </w:r>
    </w:p>
    <w:p>
      <w:pPr>
        <w:pStyle w:val="Normal"/>
        <w:widowControl/>
        <w:rPr/>
      </w:pPr>
      <w:r>
        <w:rPr/>
        <w:t>(j) addressing gender-related issues in the field of labor and employment, including: (i) elimination of discrimination on the basis of sex in respect of employment, occupation, and wages, (ii) developing analytical and enforcement tools related to equal pay for equal work or work of equal value, (iii)</w:t>
      </w:r>
    </w:p>
    <w:p>
      <w:pPr>
        <w:pStyle w:val="Normal"/>
        <w:widowControl/>
        <w:rPr/>
      </w:pPr>
      <w:r>
        <w:rPr/>
        <w:t>promotion of labor practices that integrate and retain women in the job market, and building the capacity and skills of women workers, including on workplace challenges and in collective bargaining, (iv) consideration of gender issues related to occupational safety and health and other workplace practices, including advancement of child care, nursing mothers, and related policies and programs, and in the prevention of occupational injuries and illnesses, and (v) prevention of gender-based workplace violence and harassment; (k) promotion of productivity, innovation, competitiveness, training and human capital development in workplaces, particularly in respect to SMEs; (l) addressing the opportunities of a diverse workforce, including: (i) promotion of equality and elimination of employment discrimination in the areas of age, disability, race, ethnicity, religion, sexual orientation, gender identity, and other characteristics not related to merit or the requirements of employment, and (ii) promotion of equality, elimination of employment discrimination, and protection of migrant workers and other vulnerable workers, including low-waged, casual, or temporary workers; (m) collection and use of labor statistics, indicators, methods, and procedures, including on the basis of sex;</w:t>
      </w:r>
    </w:p>
    <w:p>
      <w:pPr>
        <w:pStyle w:val="Normal"/>
        <w:widowControl/>
        <w:rPr/>
      </w:pPr>
      <w:r>
        <w:rPr/>
        <w:t>(n) social protection issues, including workers’ compensation in case of occupational injury or illness, pension systems, and employment assistance schemes; (o) labor relations, including forms of</w:t>
      </w:r>
    </w:p>
    <w:p>
      <w:pPr>
        <w:pStyle w:val="Normal"/>
        <w:widowControl/>
        <w:rPr/>
      </w:pPr>
      <w:r>
        <w:rPr/>
        <w:t>cooperation and dispute resolution to improve labor relations among workers, employers, and governments; (p) apprenticeship programs; (q) social dialogue, including tripartite consultation and partnership; (r) with respect to labor relations in multi-national enterprises, promoting information sharing and dialogue related to conditions of employment by enterprises operating in two or more Parties with representative worker organizations in each of the cooperating Parties; and (s) other areas as the Parties may decide. 6. The Parties may establish cooperative arrangements with the ILO or other international and regional organizations to draw on their expertise and resources to further the purposes of this Chapter.</w:t>
      </w:r>
    </w:p>
    <w:p>
      <w:pPr>
        <w:pStyle w:val="Normal"/>
        <w:keepNext w:val="true"/>
        <w:widowControl/>
        <w:rPr/>
      </w:pPr>
      <w:r>
        <w:rPr/>
        <w:t>Article 23.13: Cooperative Labor Dialogue 1. A Party may request dialogue with another Party on any matter arising under this Chapter at any time by delivering a written request to the contact point that the other Party has designated under Article 23.15 (Contact Points). 2. The requesting Party shall include information that is specific and sufficient to enable the receiving Party to respond, including identification of the matter at issue, an indication of the basis of the request under this Chapter and, when relevant, how trade or investment between the Parties is affected. 3. Unless the requesting and receiving Parties (the dialoguing Parties) decide otherwise, dialogue must commence within 30 days of a Party’s receipt of a request for dialogue. The dialoguing Parties shall engage in dialogue in good faith. As part of the dialogue, the dialoguing Parties shall provide a means for receiving and considering the views of interested persons on the matter. 4. Dialogue may be held in person or by any technological means available to the dialoguing Parties. 5.</w:t>
      </w:r>
    </w:p>
    <w:p>
      <w:pPr>
        <w:pStyle w:val="Normal"/>
        <w:widowControl/>
        <w:rPr/>
      </w:pPr>
      <w:r>
        <w:rPr/>
        <w:t>The dialoguing Parties shall address all the issues raised in the request. If the dialoguing Parties resolve the matter, they shall document the outcome, including, if appropriate, specific steps and timelines that they have decided upon. The dialoguing Parties shall make the outcome available to the public, unless they decide otherwise. 6.</w:t>
      </w:r>
    </w:p>
    <w:p>
      <w:pPr>
        <w:pStyle w:val="Normal"/>
        <w:widowControl/>
        <w:rPr/>
      </w:pPr>
      <w:r>
        <w:rPr/>
        <w:t>In developing an outcome pursuant to paragraph 5, the dialoguing Parties should consider all available options and may jointly decide on a course of action they consider appropriate, including: (a) the development and implementation of an action plan in a form that they find satisfactory, which may include specific and verifiable steps, such as on labor inspection, investigation, or compliance action, and appropriate timeframes; (b) the independent verification of compliance or implementation by individuals or entities, such as the ILO, chosen by the dialoguing Parties; and (c) appropriate incentives, such as cooperative programs and capacity building, to encourage or assist the dialoguing Parties to identify and address labor matters.</w:t>
      </w:r>
    </w:p>
    <w:p>
      <w:pPr>
        <w:pStyle w:val="Normal"/>
        <w:keepNext w:val="true"/>
        <w:widowControl/>
        <w:rPr/>
      </w:pPr>
      <w:r>
        <w:rPr/>
        <w:t>Article 23.14: Labor Council 1. The Parties hereby establish a Labor Council composed of senior governmental representatives at the ministerial or other level from trade and labor ministries, as designated by each Party. 2. The Labor Council shall meet within one year of the date of entry into force of this Agreement and thereafter every two years, unless the Parties decide otherwise. 3. The Labor Council may consider any matter within the scope of this Chapter and perform other functions as the Parties may decide. 4. In conducting its activities, including meetings, the Labor Council shall provide a means for receiving and considering the views of interested persons on matters related to this Chapter. If practicable, meetings will include a public session or other means for Council members to meet with the public to discuss matters relating to the implementation of this Chapter. 5.</w:t>
      </w:r>
    </w:p>
    <w:p>
      <w:pPr>
        <w:pStyle w:val="Normal"/>
        <w:widowControl/>
        <w:rPr/>
      </w:pPr>
      <w:r>
        <w:rPr/>
        <w:t>During the fifth year after the date of entry into force of this Agreement, or as otherwise decided by the Parties, the Labor Council shall review the operation and effectiveness of this Chapter and thereafter may undertake subsequent reviews as decided by the Parties. 6. Labor Council decisions and reports shall be made by consensus and be made publicly available, unless the Council decides otherwise. 7. The Labor Council shall issue a joint summary report or statement on its work at the end of each Council meeting.</w:t>
      </w:r>
    </w:p>
    <w:p>
      <w:pPr>
        <w:pStyle w:val="Normal"/>
        <w:keepNext w:val="true"/>
        <w:widowControl/>
        <w:rPr/>
      </w:pPr>
      <w:r>
        <w:rPr/>
        <w:t>Article 23.15: Contact Points 1. Each Party shall designate, within 60 days of the date of entry into force of this Agreement, an office or official within its labor ministry or equivalent entity as a contact point to address matters related to this Chapter. Each Party shall notify the other Parties in writing promptly in the event of a change to its contact point. 2. The contact points shall: (a) facilitate regular communication and coordination between the Parties, including responding to requests for information and providing sufficient information to enable a full examination of matters related to this Chapter; (b) assist the Labor Council; (c) report to the Labor Council, as appropriate; (d) act as a channel for communication with the public in their respective territories; and (e) work together, including with other appropriate agencies of their governments, to develop and implement cooperative activities, guided by the priorities of the Labor Council, areas of cooperation identified in Article 23.12.5 (Cooperation), and the needs of the Parties. 3.</w:t>
      </w:r>
    </w:p>
    <w:p>
      <w:pPr>
        <w:pStyle w:val="Normal"/>
        <w:widowControl/>
        <w:rPr/>
      </w:pPr>
      <w:r>
        <w:rPr/>
        <w:t>Contact points may communicate and coordinate activities in person or through electronic or other means of communication. 4. Each Party’s contact point, in carrying out its responsibilities under this Chapter, shall regularly consult and coordinate with its trade ministry.</w:t>
      </w:r>
    </w:p>
    <w:p>
      <w:pPr>
        <w:pStyle w:val="Normal"/>
        <w:keepNext w:val="true"/>
        <w:widowControl/>
        <w:rPr/>
      </w:pPr>
      <w:r>
        <w:rPr/>
        <w:t>Article 23.16: Public Engagement Each Party shall establish or maintain, and consult with, a national labor consultative or advisory body or similar mechanism, for members of its public, including representatives of its labor and business organizations, to provide views on matters regarding this Chapter.</w:t>
      </w:r>
    </w:p>
    <w:p>
      <w:pPr>
        <w:pStyle w:val="Normal"/>
        <w:keepNext w:val="true"/>
        <w:widowControl/>
        <w:rPr/>
      </w:pPr>
      <w:r>
        <w:rPr/>
        <w:t>Article 23.17: Labor Consultations 1. The Parties shall make every effort through cooperation and dialogue to arrive at a mutually satisfactory resolution of any matter arising under this Chapter. 2. A Party (the requesting Party) may request labor consultations with another Party (the responding Party) regarding any matter arising under this Chapter by delivering a written request to the responding Party’s contact point. The requesting Party shall include information that is specific and sufficient to enable the responding Party to respond, including identification of the matter at issue and an indication of the legal basis of the request under this Chapter. 3. A third Party that considers it has a substantial interest in the matter may participate in the labor consultations by notifying the other Parties (the consulting Parties) in writing through their respective contact points, no later than seven days after the date of delivery of the request for labor consultations. The third Party shall include in its notice an explanation of its substantial interest in the matter. 4.</w:t>
      </w:r>
    </w:p>
    <w:p>
      <w:pPr>
        <w:pStyle w:val="Normal"/>
        <w:widowControl/>
        <w:rPr/>
      </w:pPr>
      <w:r>
        <w:rPr/>
        <w:t>Unless the consulting Parties decide otherwise, they shall enter into labor consultations no later than 30 days after the date of delivery of the request. 5. The consulting Parties shall make every effort to arrive at a mutually satisfactory resolution of the matter through labor consultations, which may include appropriate cooperative activities.</w:t>
      </w:r>
    </w:p>
    <w:p>
      <w:pPr>
        <w:pStyle w:val="Normal"/>
        <w:widowControl/>
        <w:rPr/>
      </w:pPr>
      <w:r>
        <w:rPr/>
        <w:t>The consulting Parties may request advice from independent experts chosen by the consulting Parties to assist them. 6. Ministerial Labor Consultations: If the consulting Parties have failed to resolve the matter, a consulting Party may request that the relevant Ministers or their designees of the consulting Parties convene to consider the matter at issue by delivering a written request to the other consulting Party through its contact point. The Ministers of the consulting Parties shall convene promptly after the date of receipt of the request, and shall seek to resolve the matter, including, if appropriate, by consulting independent experts chosen by the consulting Parties to assist them, and having recourse to procedures such as good offices, conciliation, or mediation. 7. If the consulting Parties are able to resolve the matter, they shall document the outcome, including, if appropriate, specific steps and timelines decided upon. The consulting Parties shall make the outcome available to the other Party and to the public, unless they decide otherwise. 8.</w:t>
      </w:r>
    </w:p>
    <w:p>
      <w:pPr>
        <w:pStyle w:val="Normal"/>
        <w:widowControl/>
        <w:rPr/>
      </w:pPr>
      <w:r>
        <w:rPr/>
        <w:t>If the consulting Parties fail to resolve the matter within 30 days after the date of receipt of a request for Labor consultations under paragraph 2, or any other period as the consulting Parties may agree, the requesting Party may request a meeting of the Commission pursuant to Article 31.5 (Commission, Good Offices, Conciliation, and Mediation) and thereafter request the establishment of a panel under Article 31.6 (Establishment of a Panel). 9. Labor consultations shall be confidential and without prejudice to the rights of a Party in another proceeding. 10. Labor consultations pursuant to this Article may be held in person or by any technological means available to the consulting Parties. If the labor consultations are held in person, they must be held in the capital of the Party to which the request for labor consultations was made, unless the consulting Parties decide otherwise. 11. In labor consultations under this Article, a consulting Party may request another consulting Party to make available personnel of its government agencies or other regulatory bodies who have expertise in the matter at issue.</w:t>
      </w:r>
    </w:p>
    <w:p>
      <w:pPr>
        <w:pStyle w:val="Normal"/>
        <w:widowControl/>
        <w:rPr/>
      </w:pPr>
      <w:r>
        <w:rPr/>
        <w:t>12. No Party shall have recourse to dispute settlement under Chapter 31 (Dispute Settlement) for a matter arising under this Chapter without first seeking to resolve the matter in accordance with this Article. 13.</w:t>
      </w:r>
    </w:p>
    <w:p>
      <w:pPr>
        <w:pStyle w:val="Normal"/>
        <w:widowControl/>
        <w:rPr/>
      </w:pPr>
      <w:r>
        <w:rPr/>
        <w:t>A Party may have recourse to labor consultations under this Article without prejudice to the commencement or continuation of Cooperative Labor Dialogue under Article 23.13 (Cooperative Labor Dialogue).</w:t>
      </w:r>
    </w:p>
    <w:p>
      <w:bookmarkStart w:id="1124" w:name="_NAESTMA_TOC_1124"/>
      <w:pPr>
        <w:pStyle w:val="Heading1"/>
        <w:keepNext/>
        <w:pageBreakBefore/>
        <w:widowControl/>
        <w:rPr/>
      </w:pPr>
      <w:r>
        <w:rPr/>
        <w:t>ANNEX 23-A — WORKER REPRESENTATION, COLLECTIVE BARGAINING AND LABOUR-REFORM DURABILITY IN MEXICO</w:t>
      </w:r>
      <w:bookmarkEnd w:id="1124"/>
    </w:p>
    <w:p>
      <w:bookmarkStart w:id="1125" w:name="_NAESTMA_TOC_1125"/>
      <w:pPr>
        <w:pStyle w:val="Heading2"/>
        <w:keepNext/>
        <w:widowControl/>
        <w:rPr/>
      </w:pPr>
      <w:r>
        <w:rPr/>
        <w:t>23-A.1 Purpose and Durable Floor</w:t>
      </w:r>
      <w:bookmarkEnd w:id="1125"/>
    </w:p>
    <w:p>
      <w:pPr>
        <w:pStyle w:val="Normal"/>
        <w:widowControl/>
        <w:rPr/>
      </w:pPr>
      <w:r>
        <w:rPr/>
        <w:t>Mexico shall maintain and effectively implement the worker-representation, collective-bargaining, institutional-independence and democratic-consent protections set out in this Annex. These obligations preserve the durable outcomes of Mexico's labour reforms while respecting Mexico's authority to improve, reorganize or replace particular institutions and procedures with measures providing functionally equivalent or greater protection.</w:t>
      </w:r>
    </w:p>
    <w:p>
      <w:bookmarkStart w:id="1126" w:name="_NAESTMA_TOC_1126"/>
      <w:pPr>
        <w:pStyle w:val="Heading2"/>
        <w:keepNext/>
        <w:widowControl/>
        <w:rPr/>
      </w:pPr>
      <w:r>
        <w:rPr/>
        <w:t>23-A.2 Freedom of Worker Organization</w:t>
      </w:r>
      <w:bookmarkEnd w:id="1126"/>
    </w:p>
    <w:p>
      <w:pPr>
        <w:pStyle w:val="Normal"/>
        <w:widowControl/>
        <w:rPr/>
      </w:pPr>
      <w:r>
        <w:rPr/>
        <w:t>Mexico shall maintain in its labour laws and practices the right of workers to engage in concerted activities for collective bargaining or mutual protection and to organize, form and join the union of their choice. Employer domination or interference in union activities, discrimination or coercion based on protected union activity or support, and refusal to bargain collectively with a duly recognized representative shall remain prohibited and effectively remediable.</w:t>
      </w:r>
    </w:p>
    <w:p>
      <w:bookmarkStart w:id="1127" w:name="_NAESTMA_TOC_1127"/>
      <w:pPr>
        <w:pStyle w:val="Heading2"/>
        <w:keepNext/>
        <w:widowControl/>
        <w:rPr/>
      </w:pPr>
      <w:r>
        <w:rPr/>
        <w:t>23-A.3 Independent and Impartial Labour Institutions</w:t>
      </w:r>
      <w:bookmarkEnd w:id="1127"/>
    </w:p>
    <w:p>
      <w:pPr>
        <w:pStyle w:val="Normal"/>
        <w:widowControl/>
        <w:rPr/>
      </w:pPr>
      <w:r>
        <w:rPr/>
        <w:t>Mexico shall maintain independent and impartial institutions capable of registering unions and collective bargaining agreements, resolving representation disputes, adjudicating labour disputes, issuing effective orders and sanctions, and providing access to independent judicial review. Mexico may replace, consolidate, rename, reorganize or digitize such institutions provided that independence, accessibility, due process, timeliness and remedial effectiveness are maintained or strengthened.</w:t>
      </w:r>
    </w:p>
    <w:p>
      <w:bookmarkStart w:id="1128" w:name="_NAESTMA_TOC_1128"/>
      <w:pPr>
        <w:pStyle w:val="Heading2"/>
        <w:keepNext/>
        <w:widowControl/>
        <w:rPr/>
      </w:pPr>
      <w:r>
        <w:rPr/>
        <w:t>23-A.4 Personal, Free and Secret Worker Choice</w:t>
      </w:r>
      <w:bookmarkEnd w:id="1128"/>
    </w:p>
    <w:p>
      <w:pPr>
        <w:pStyle w:val="Normal"/>
        <w:widowControl/>
        <w:rPr/>
      </w:pPr>
      <w:r>
        <w:rPr/>
        <w:t>Mexico shall maintain an effective system ensuring that elections of union leaders, representation votes and other decisions for which worker democratic consent is required are conducted through personal, free and secret voting, without employer, union, governmental or other coercion inconsistent with workers' protected freedom of choice.</w:t>
      </w:r>
    </w:p>
    <w:p>
      <w:bookmarkStart w:id="1129" w:name="_NAESTMA_TOC_1129"/>
      <w:pPr>
        <w:pStyle w:val="Heading2"/>
        <w:keepNext/>
        <w:widowControl/>
        <w:rPr/>
      </w:pPr>
      <w:r>
        <w:rPr/>
        <w:t>23-A.5 Authentic Support for Collective Bargaining Agreements</w:t>
      </w:r>
      <w:bookmarkEnd w:id="1129"/>
    </w:p>
    <w:p>
      <w:pPr>
        <w:pStyle w:val="Normal"/>
        <w:widowControl/>
        <w:rPr/>
      </w:pPr>
      <w:r>
        <w:rPr/>
        <w:t>An initial collective bargaining agreement shall not be registered or take legal effect unless the competent authority verifies the legally required level of authentic worker support through a personal, free and secret vote of the workers covered by the agreement. Material revisions concerning wages or working conditions shall likewise be subject to meaningful worker approval where required by Mexican law consistent with this Annex.</w:t>
      </w:r>
    </w:p>
    <w:p>
      <w:bookmarkStart w:id="1130" w:name="_NAESTMA_TOC_1130"/>
      <w:pPr>
        <w:pStyle w:val="Heading2"/>
        <w:keepNext/>
        <w:widowControl/>
        <w:rPr/>
      </w:pPr>
      <w:r>
        <w:rPr/>
        <w:t>23-A.6 Protection Against Fictitious or Employer-Dominated Agreements</w:t>
      </w:r>
      <w:bookmarkEnd w:id="1130"/>
    </w:p>
    <w:p>
      <w:pPr>
        <w:pStyle w:val="Normal"/>
        <w:widowControl/>
        <w:rPr/>
      </w:pPr>
      <w:r>
        <w:rPr/>
        <w:t>No collective bargaining agreement shall be registered, maintained or used for the purpose or effect of suppressing independent worker representation where the agreement lacks authentic worker support or results from prohibited employer domination, interference, coercion, fraud or comparable manipulation. Mexico shall maintain procedures capable of identifying and correcting such arrangements.</w:t>
      </w:r>
    </w:p>
    <w:p>
      <w:bookmarkStart w:id="1131" w:name="_NAESTMA_TOC_1131"/>
      <w:pPr>
        <w:pStyle w:val="Heading2"/>
        <w:keepNext/>
        <w:widowControl/>
        <w:rPr/>
      </w:pPr>
      <w:r>
        <w:rPr/>
        <w:t>23-A.7 Information Before Consent</w:t>
      </w:r>
      <w:bookmarkEnd w:id="1131"/>
    </w:p>
    <w:p>
      <w:pPr>
        <w:pStyle w:val="Normal"/>
        <w:widowControl/>
        <w:rPr/>
      </w:pPr>
      <w:r>
        <w:rPr/>
        <w:t>Workers shall receive reasonable and timely access to the collective bargaining agreement or material terms on which their approval is sought before voting. Access may be physical or electronic and shall be provided in a form reasonably understandable and accessible to affected workers, including reasonable accommodation for disability, language needs and lack of reliable digital access where necessary.</w:t>
      </w:r>
    </w:p>
    <w:p>
      <w:bookmarkStart w:id="1132" w:name="_NAESTMA_TOC_1132"/>
      <w:pPr>
        <w:pStyle w:val="Heading2"/>
        <w:keepNext/>
        <w:widowControl/>
        <w:rPr/>
      </w:pPr>
      <w:r>
        <w:rPr/>
        <w:t>23-A.8 Representation Challenges and Procedural Integrity</w:t>
      </w:r>
      <w:bookmarkEnd w:id="1132"/>
    </w:p>
    <w:p>
      <w:pPr>
        <w:pStyle w:val="Normal"/>
        <w:widowControl/>
        <w:rPr/>
      </w:pPr>
      <w:r>
        <w:rPr/>
        <w:t>Union representation challenges shall receive timely, impartial resolution through competent institutions and shall not be defeated through abusive procedural delay, obstruction, manipulation of voter eligibility, destruction or concealment of evidence, or comparable tactics. Procedures shall provide clear stages, reasonable time limits and meaningful opportunities to present and answer evidence.</w:t>
      </w:r>
    </w:p>
    <w:p>
      <w:bookmarkStart w:id="1133" w:name="_NAESTMA_TOC_1133"/>
      <w:pPr>
        <w:pStyle w:val="Heading2"/>
        <w:keepNext/>
        <w:widowControl/>
        <w:rPr/>
      </w:pPr>
      <w:r>
        <w:rPr/>
        <w:t>23-A.9 Verification of Democratic Legitimacy</w:t>
      </w:r>
      <w:bookmarkEnd w:id="1133"/>
    </w:p>
    <w:p>
      <w:pPr>
        <w:pStyle w:val="Normal"/>
        <w:widowControl/>
        <w:rPr/>
      </w:pPr>
      <w:r>
        <w:rPr/>
        <w:t>The competent Mexican authority shall possess authority and capacity to verify, using risk-based and proportionate methods, that the workplace and bargaining unit are genuine, workers received required information, voting procedures protected free choice, and the legally required support was obtained. Verification may use physical or electronic records, direct worker consultation, audits or on-site review where justified by the circumstances.</w:t>
      </w:r>
    </w:p>
    <w:p>
      <w:bookmarkStart w:id="1134" w:name="_NAESTMA_TOC_1134"/>
      <w:pPr>
        <w:pStyle w:val="Heading2"/>
        <w:keepNext/>
        <w:widowControl/>
        <w:rPr/>
      </w:pPr>
      <w:r>
        <w:rPr/>
        <w:t>23-A.10 Anti-Retaliation Protection</w:t>
      </w:r>
      <w:bookmarkEnd w:id="1134"/>
    </w:p>
    <w:p>
      <w:pPr>
        <w:pStyle w:val="Normal"/>
        <w:widowControl/>
        <w:rPr/>
      </w:pPr>
      <w:r>
        <w:rPr/>
        <w:t>Workers, witnesses, complainants, candidates, representatives and other persons lawfully participating in a protected vote, representation challenge, investigation, testimony or verification process shall be protected against dismissal, blacklisting, threats, immigration-related coercion, discriminatory scheduling, loss of compensation or opportunity, violence, surveillance used for retaliation, or comparable reprisals.</w:t>
      </w:r>
    </w:p>
    <w:p>
      <w:bookmarkStart w:id="1135" w:name="_NAESTMA_TOC_1135"/>
      <w:pPr>
        <w:pStyle w:val="Heading2"/>
        <w:keepNext/>
        <w:widowControl/>
        <w:rPr/>
      </w:pPr>
      <w:r>
        <w:rPr/>
        <w:t>23-A.11 Effective Worker Remedies</w:t>
      </w:r>
      <w:bookmarkEnd w:id="1135"/>
    </w:p>
    <w:p>
      <w:pPr>
        <w:pStyle w:val="Normal"/>
        <w:widowControl/>
        <w:rPr/>
      </w:pPr>
      <w:r>
        <w:rPr/>
        <w:t>Remedies for violations of this Annex shall be capable of restoring the affected right and deterring deliberate interference. Depending on the violation, remedies may include reinstatement, backpay, restoration of unlawfully withheld compensation or benefits, corrected or rerun elections, invalidation of tainted procedures, restoration of representational or bargaining rights, protective orders, sanctions, and monitoring reasonably necessary to establish durable compliance.</w:t>
      </w:r>
    </w:p>
    <w:p>
      <w:bookmarkStart w:id="1136" w:name="_NAESTMA_TOC_1136"/>
      <w:pPr>
        <w:pStyle w:val="Heading2"/>
        <w:keepNext/>
        <w:widowControl/>
        <w:rPr/>
      </w:pPr>
      <w:r>
        <w:rPr/>
        <w:t>23-A.12 Transparency and Privacy</w:t>
      </w:r>
      <w:bookmarkEnd w:id="1136"/>
    </w:p>
    <w:p>
      <w:pPr>
        <w:pStyle w:val="Normal"/>
        <w:widowControl/>
        <w:rPr/>
      </w:pPr>
      <w:r>
        <w:rPr/>
        <w:t>Mexico shall maintain readily accessible information concerning registered collective bargaining agreements, union governing documents and institutional outcomes to the extent necessary for worker awareness, accountability and lawful public oversight. Transparency obligations shall not require publication of secret ballots, unnecessary personal data, confidential complainant identities, or information whose disclosure would create a credible risk of retaliation.</w:t>
      </w:r>
    </w:p>
    <w:p>
      <w:bookmarkStart w:id="1137" w:name="_NAESTMA_TOC_1137"/>
      <w:pPr>
        <w:pStyle w:val="Heading2"/>
        <w:keepNext/>
        <w:widowControl/>
        <w:rPr/>
      </w:pPr>
      <w:r>
        <w:rPr/>
        <w:t>23-A.13 Non-Regression</w:t>
      </w:r>
      <w:bookmarkEnd w:id="1137"/>
    </w:p>
    <w:p>
      <w:pPr>
        <w:pStyle w:val="Normal"/>
        <w:widowControl/>
        <w:rPr/>
      </w:pPr>
      <w:r>
        <w:rPr/>
        <w:t>Mexico shall not materially weaken or reduce the effective protection of the worker-representation, collective-bargaining, institutional-independence or democratic-consent guarantees maintained pursuant to this Annex for the purpose of encouraging trade or investment or obtaining a competitive advantage. A substantial institutional redesign shall be consistent with this paragraph where it maintains functionally equivalent or greater protection.</w:t>
      </w:r>
    </w:p>
    <w:p>
      <w:bookmarkStart w:id="1138" w:name="_NAESTMA_TOC_1138"/>
      <w:pPr>
        <w:pStyle w:val="Heading2"/>
        <w:keepNext/>
        <w:widowControl/>
        <w:rPr/>
      </w:pPr>
      <w:r>
        <w:rPr/>
        <w:t>23-A.14 No Institutional Fossilization</w:t>
      </w:r>
      <w:bookmarkEnd w:id="1138"/>
    </w:p>
    <w:p>
      <w:pPr>
        <w:pStyle w:val="Normal"/>
        <w:widowControl/>
        <w:rPr/>
      </w:pPr>
      <w:r>
        <w:rPr/>
        <w:t>Nothing in this Annex shall prevent Mexico from replacing, consolidating, reorganizing, digitizing or otherwise modernizing a labour institution, procedure or statutory mechanism, provided that the resulting system affords functionally equivalent or greater independence, accessibility, due process, timeliness, worker participation and remedial protection.</w:t>
      </w:r>
    </w:p>
    <w:p>
      <w:bookmarkStart w:id="1139" w:name="_NAESTMA_TOC_1139"/>
      <w:pPr>
        <w:pStyle w:val="Heading2"/>
        <w:keepNext/>
        <w:widowControl/>
        <w:rPr/>
      </w:pPr>
      <w:r>
        <w:rPr/>
        <w:t>23-A.15 Performance and Durability Review</w:t>
      </w:r>
      <w:bookmarkEnd w:id="1139"/>
    </w:p>
    <w:p>
      <w:pPr>
        <w:pStyle w:val="Normal"/>
        <w:widowControl/>
        <w:rPr/>
      </w:pPr>
      <w:r>
        <w:rPr/>
        <w:t>Existing NAESTMA labour and Secretariat institutions may periodically review the practical durability of the protections in this Annex, including access to remedies, case duration, retaliation allegations, reinstatement and backpay outcomes, representation challenges, enforcement of final orders and worker accessibility. Numerical indicators shall inform review but shall not by themselves create a presumption of compliance or violation.</w:t>
      </w:r>
    </w:p>
    <w:p>
      <w:bookmarkStart w:id="1140" w:name="_NAESTMA_TOC_1140"/>
      <w:pPr>
        <w:pStyle w:val="Heading2"/>
        <w:keepNext/>
        <w:widowControl/>
        <w:rPr/>
      </w:pPr>
      <w:r>
        <w:rPr/>
        <w:t>23-A.16 Technical Cooperation Without Supervision</w:t>
      </w:r>
      <w:bookmarkEnd w:id="1140"/>
    </w:p>
    <w:p>
      <w:pPr>
        <w:pStyle w:val="Normal"/>
        <w:widowControl/>
        <w:rPr/>
      </w:pPr>
      <w:r>
        <w:rPr/>
        <w:t>Canada and the United States may, at Mexico's request or by mutual agreement, support training, digital infrastructure, judicial and administrative exchanges, worker education, enforcement capacity and other cooperative labour initiatives. Cooperation under this paragraph is assistance among equal Parties and shall not confer supervisory authority over Mexico's domestic labour institutions.</w:t>
      </w:r>
    </w:p>
    <w:p>
      <w:bookmarkStart w:id="1141" w:name="_NAESTMA_TOC_1141"/>
      <w:pPr>
        <w:pStyle w:val="Heading2"/>
        <w:keepNext/>
        <w:widowControl/>
        <w:rPr/>
      </w:pPr>
      <w:r>
        <w:rPr/>
        <w:t>23-A.17 Country-Specific Annex and Equal Party Status</w:t>
      </w:r>
      <w:bookmarkEnd w:id="1141"/>
    </w:p>
    <w:p>
      <w:pPr>
        <w:pStyle w:val="Normal"/>
        <w:widowControl/>
        <w:rPr/>
      </w:pPr>
      <w:r>
        <w:rPr/>
        <w:t>The existence of this Annex reflects distinct Mexican legal and institutional history and shall not establish a presumption that labour-rights violations are more likely, more serious, or more appropriately subject to expedited enforcement in Mexico than in another Party. A country-specific labour annex shall not create materially weaker worker protection, materially stronger enforcement exposure, or permanent discriminatory treatment solely because of the identity of that Party.</w:t>
      </w:r>
    </w:p>
    <w:p>
      <w:bookmarkStart w:id="1142" w:name="_NAESTMA_TOC_1142"/>
      <w:pPr>
        <w:pStyle w:val="Heading2"/>
        <w:keepNext/>
        <w:widowControl/>
        <w:rPr/>
      </w:pPr>
      <w:r>
        <w:rPr/>
        <w:t>23-A.18 Relationship to Facility-Specific Enforcement</w:t>
      </w:r>
      <w:bookmarkEnd w:id="1142"/>
    </w:p>
    <w:p>
      <w:pPr>
        <w:pStyle w:val="Normal"/>
        <w:widowControl/>
        <w:rPr/>
      </w:pPr>
      <w:r>
        <w:rPr/>
        <w:t>This Annex defines substantive obligations applicable in Mexico. Article 31.E governs facility-specific enforcement on functionally equivalent terms among all three Parties. An alleged violation at a Mexican covered facility shall therefore receive no materially stronger or weaker procedural treatment solely because the facility is located in Mexico. Nothing in this Annex limits the application to Canada or the United States of equivalent Chapter 23 obligations concerning freedom of association, collective bargaining, anti-retaliation, effective remedies, or facility-specific enforcement.</w:t>
      </w:r>
    </w:p>
    <w:p>
      <w:bookmarkStart w:id="1143" w:name="_NAESTMA_TOC_1143"/>
      <w:pPr>
        <w:pStyle w:val="Heading2"/>
        <w:keepNext/>
        <w:widowControl/>
        <w:rPr/>
      </w:pPr>
      <w:r>
        <w:rPr/>
        <w:t>23-A.19 Worker-Rights Firewall</w:t>
      </w:r>
      <w:bookmarkEnd w:id="1143"/>
    </w:p>
    <w:p>
      <w:pPr>
        <w:pStyle w:val="Normal"/>
        <w:widowControl/>
        <w:rPr/>
      </w:pPr>
      <w:r>
        <w:rPr/>
        <w:t>Rights and protections maintained under this Annex shall not be suspended, reduced, waived or traded away as retaliation, compensation or leverage in an unrelated dispute under this Agreement. Trade remedies may be used to secure compliance with labour obligations where authorized, but the underlying rights of workers are not bargaining currency.</w:t>
      </w:r>
    </w:p>
    <w:p>
      <w:bookmarkStart w:id="1144" w:name="_NAESTMA_TOC_1144"/>
      <w:pPr>
        <w:pStyle w:val="Heading2"/>
        <w:keepNext/>
        <w:widowControl/>
        <w:rPr/>
      </w:pPr>
      <w:r>
        <w:rPr/>
        <w:t>23-A.20 Future Improvement</w:t>
      </w:r>
      <w:bookmarkEnd w:id="1144"/>
    </w:p>
    <w:p>
      <w:pPr>
        <w:pStyle w:val="Normal"/>
        <w:widowControl/>
        <w:rPr/>
      </w:pPr>
      <w:r>
        <w:rPr/>
        <w:t>Mexico may at any time adopt or maintain worker protections exceeding the floor established by this Annex. Nothing in this Annex shall be interpreted to require Mexico to reduce a higher level of protection, reverse a successful reform, or preserve a superseded procedure where a replacement provides equivalent or greater protection.</w:t>
      </w:r>
    </w:p>
    <w:p>
      <w:bookmarkStart w:id="1145" w:name="_NAESTMA_TOC_1145"/>
      <w:pPr>
        <w:pStyle w:val="Heading2"/>
        <w:keepNext/>
        <w:widowControl/>
        <w:rPr/>
      </w:pPr>
      <w:r>
        <w:rPr/>
        <w:t>23-A.21 Completion of Historical Transitional Measures</w:t>
      </w:r>
      <w:bookmarkEnd w:id="1145"/>
    </w:p>
    <w:p>
      <w:pPr>
        <w:pStyle w:val="Normal"/>
        <w:widowControl/>
        <w:rPr/>
      </w:pPr>
      <w:r>
        <w:rPr/>
        <w:t>Obligations whose sole purpose was to require enactment of legislation before 1 January 2019, to address the Mexican government incoming in December 2018, or to require a one-time revision of then-existing collective bargaining agreements during the initial reform transition are deemed completed and are not repeated as continuing temporal commands. The durable worker-consent, institutional-independence and collective-bargaining outcomes underlying those measures remain binding through the substantive provisions of this Annex.</w:t>
      </w:r>
    </w:p>
    <w:p>
      <w:bookmarkStart w:id="1146" w:name="_NAESTMA_TOC_1146"/>
      <w:pPr>
        <w:pStyle w:val="Heading2"/>
        <w:keepNext/>
        <w:widowControl/>
        <w:spacing w:before="180" w:after="80"/>
        <w:rPr/>
      </w:pPr>
      <w:r>
        <w:rPr/>
        <w:t>23-A.22 Chapter 23-B Remedies Following Labor-Enforcement Disruption</w:t>
      </w:r>
      <w:bookmarkEnd w:id="1146"/>
    </w:p>
    <w:p>
      <w:pPr>
        <w:pStyle w:val="Normal"/>
        <w:widowControl/>
        <w:spacing w:before="0" w:after="160"/>
        <w:rPr/>
      </w:pPr>
      <w:r>
        <w:rPr/>
        <w:t>Workers who are subject to labor enforcement actions (e.g., discrimination, forced labor violations found and remedied) shall be entitled to income support and retraining under Chapter 23-B to the same extent as workers displaced by economic transformation, if the labor violation results in employment disruption. This is in addition to any remedies available under Chapter 23 labor enforcement.</w:t>
      </w:r>
    </w:p>
    <w:p>
      <w:pPr>
        <w:pStyle w:val="ModHeading"/>
        <w:widowControl/>
        <w:rPr/>
      </w:pPr>
      <w:bookmarkStart w:id="75" w:name="_Toc237912552"/>
      <w:r>
        <w:rPr/>
        <w:t>CHAPTER 23 — CUSMA 2.0 MODERNIZATION PROVISIONS</w:t>
      </w:r>
      <w:bookmarkEnd w:id="75"/>
    </w:p>
    <w:p>
      <w:pPr>
        <w:pStyle w:val="Normal"/>
        <w:widowControl/>
        <w:rPr/>
      </w:pPr>
      <w:r>
        <w:rPr>
          <w:i/>
        </w:rPr>
        <w:t>The provisions of this Part amend Chapter 23 (Labor).</w:t>
      </w:r>
    </w:p>
    <w:p>
      <w:bookmarkStart w:id="1147" w:name="_NAESTMA_TOC_1147"/>
      <w:pPr>
        <w:pStyle w:val="Heading2"/>
        <w:keepNext/>
        <w:widowControl/>
        <w:rPr/>
      </w:pPr>
      <w:bookmarkStart w:id="76" w:name="_Toc237912553"/>
      <w:r>
        <w:rPr/>
        <w:t>Article 23.A: Forced Labour — Interoperable Enforcement</w:t>
      </w:r>
      <w:bookmarkEnd w:id="76"/>
      <w:bookmarkEnd w:id="1147"/>
    </w:p>
    <w:p>
      <w:pPr>
        <w:pStyle w:val="Normal"/>
        <w:widowControl/>
        <w:rPr/>
      </w:pPr>
      <w:r>
        <w:rPr/>
        <w:t>1. Article 23.6 (Forced or Compulsory Labor), as amended by the 2019 Protocol, is supplemented as follows:</w:t>
      </w:r>
    </w:p>
    <w:p>
      <w:pPr>
        <w:pStyle w:val="Normal"/>
        <w:widowControl/>
        <w:rPr/>
      </w:pPr>
      <w:r>
        <w:rPr/>
        <w:t>(a) each Party shall maintain import prohibitions addressing goods produced wholly or in part by forced or compulsory labour, and shall administer them through risk-based, evidence-based procedures;</w:t>
      </w:r>
    </w:p>
    <w:p>
      <w:pPr>
        <w:pStyle w:val="Normal"/>
        <w:widowControl/>
        <w:rPr/>
      </w:pPr>
      <w:r>
        <w:rPr/>
        <w:t>(b) the Parties shall establish interoperable enforcement procedures, including: shared evidentiary standards for determinations; timely exchange of detention and exclusion information, so that goods denied entry by one Party do not divert into another Party; and coordinated investigation of supply chains spanning more than one Party;</w:t>
      </w:r>
    </w:p>
    <w:p>
      <w:pPr>
        <w:pStyle w:val="Normal"/>
        <w:widowControl/>
        <w:rPr/>
      </w:pPr>
      <w:r>
        <w:rPr/>
        <w:t>(c) a Party’s enforcement performance under this Article is subject to cooperative review through the Labor Council, including technical assistance and capacity-building, and not to covered border measures. For greater certainty, disagreement concerning another Party’s enforcement of forced-labour import prohibitions does not authorize a covered border measure against originating goods unconnected to forced labour; any such measure is inconsistent with Articles 35.6 and 35.7; and</w:t>
      </w:r>
    </w:p>
    <w:p>
      <w:pPr>
        <w:pStyle w:val="Normal"/>
        <w:widowControl/>
        <w:rPr/>
      </w:pPr>
      <w:r>
        <w:rPr/>
        <w:t>(d) where verification under Chapter 35 establishes that identified goods of identified producers were produced with forced labour, the goods are subject to exclusion from preferential treatment and from entry, targeted at those producers and goods.</w:t>
      </w:r>
    </w:p>
    <w:p>
      <w:bookmarkStart w:id="1148" w:name="_NAESTMA_TOC_1148"/>
      <w:pPr>
        <w:pStyle w:val="Heading2"/>
        <w:keepNext/>
        <w:widowControl/>
        <w:rPr/>
      </w:pPr>
      <w:bookmarkStart w:id="77" w:name="_Toc237912554"/>
      <w:r>
        <w:rPr/>
        <w:t>Article 23.B: Labor Enforcement — Procedural Consistency</w:t>
      </w:r>
      <w:bookmarkEnd w:id="77"/>
      <w:bookmarkEnd w:id="1148"/>
    </w:p>
    <w:p>
      <w:pPr>
        <w:pStyle w:val="Normal"/>
        <w:widowControl/>
        <w:rPr/>
      </w:pPr>
      <w:r>
        <w:rPr/>
        <w:t>1. Building on the operation of this Chapter, the Parties shall adopt, through the Labor Council, common guidance on: evidentiary standards for Article 23.5 (Enforcement of Labor Laws); timelines for labor consultations and disputes; transparency of proceedings; and the relationship between this Chapter and Article 31.E (North American Facility-Specific Labour Remedy), including the temporary use and administrative consolidation of predecessor procedures contained in Annexes 31-A and 31-B.</w:t>
      </w:r>
    </w:p>
    <w:p>
      <w:pPr>
        <w:pStyle w:val="Normal"/>
        <w:widowControl/>
        <w:rPr/>
      </w:pPr>
      <w:r>
        <w:rPr/>
        <w:t>2. The Parties reaffirm that a panel shall presume that a failure is in a manner affecting trade or investment between the Parties, unless the responding Party demonstrates otherwise, as provided in the footnotes inserted by the 2019 Protocol.</w:t>
      </w:r>
    </w:p>
    <w:p>
      <w:bookmarkStart w:id="1149" w:name="_NAESTMA_TOC_1149"/>
      <w:pPr>
        <w:pStyle w:val="Heading2"/>
        <w:keepNext/>
        <w:widowControl/>
        <w:rPr/>
      </w:pPr>
      <w:bookmarkStart w:id="78" w:name="_Toc237912555"/>
      <w:r>
        <w:rPr/>
        <w:t>Article 23.C: Independent Factual Verification of Labor Enforcement Complaints</w:t>
      </w:r>
      <w:bookmarkEnd w:id="78"/>
      <w:bookmarkEnd w:id="1149"/>
    </w:p>
    <w:p>
      <w:pPr>
        <w:pStyle w:val="Normal"/>
        <w:widowControl/>
        <w:rPr/>
      </w:pPr>
      <w:r>
        <w:rPr/>
        <w:t>1. Before a Party may seek a trade remedy based on an alleged systemic failure to enforce labor obligations under this Chapter, the Labor Council shall commission an independent factual verification by a three-person technical team selected from a standing roster agreed by the Parties. The team shall have access to relevant non-confidential records and, with appropriate safeguards, protected information necessary to establish the facts.</w:t>
      </w:r>
    </w:p>
    <w:p>
      <w:pPr>
        <w:pStyle w:val="Normal"/>
        <w:widowControl/>
        <w:rPr/>
      </w:pPr>
      <w:r>
        <w:rPr/>
        <w:t>2. The technical team shall issue a factual report within 90 days. The report is binding as to factual findings for proceedings under this Agreement, without determining the ultimate legal consequence. Where the report finds no sustained, recurring, systemic, or material failure within the scope of the complaint, no covered border measure may be based on that complaint absent materially new evidence.</w:t>
      </w:r>
    </w:p>
    <w:p>
      <w:pPr>
        <w:pStyle w:val="Normal"/>
        <w:widowControl/>
        <w:rPr/>
      </w:pPr>
      <w:r>
        <w:rPr/>
        <w:t>3. Cooperation Clock. A requested Party shall provide responsive non-privileged records within 20 days after a lawful request by the technical team, or identify with specificity the legal basis for withholding particular material. A request for clarification does not suspend the 90-day verification period.</w:t>
      </w:r>
    </w:p>
    <w:p>
      <w:pPr>
        <w:pStyle w:val="Normal"/>
        <w:widowControl/>
        <w:rPr/>
      </w:pPr>
      <w:r>
        <w:rPr/>
        <w:t>4. Unjustified failure to provide access, records, interviews, or other information does not stop the verification clock. The technical team may rely on other credible evidence and may draw reasonable adverse factual inferences proportionate to the information withheld.</w:t>
      </w:r>
    </w:p>
    <w:p>
      <w:pPr>
        <w:pStyle w:val="Normal"/>
        <w:widowControl/>
        <w:rPr/>
      </w:pPr>
      <w:r>
        <w:rPr/>
        <w:t>5. The technical team shall issue its factual report on the existing record when the 90-day period expires unless all Parties agree to a single extension not exceeding 30 days because essential evidence is genuinely unavailable despite cooperation.</w:t>
      </w:r>
    </w:p>
    <w:p>
      <w:pPr>
        <w:pStyle w:val="Normal"/>
        <w:widowControl/>
        <w:rPr/>
      </w:pPr>
      <w:r>
        <w:rPr/>
        <w:t>6. This Article does not delay, replace, or condition the operation of Annex 31-A or Annex 31-B. Where a facility-specific complaint falls within a Rapid Response Labor Mechanism, that Annex governs and its shorter clocks and remedies remain fully available.</w:t>
      </w:r>
    </w:p>
    <w:p>
      <w:bookmarkStart w:id="1150" w:name="_NAESTMA_TOC_1150"/>
      <w:pPr>
        <w:pStyle w:val="Heading2"/>
        <w:keepNext/>
        <w:widowControl/>
        <w:rPr/>
      </w:pPr>
      <w:r>
        <w:rPr/>
        <w:t>Article 23.D: Triadic Labour Floor and Equal Dignity in Employment</w:t>
      </w:r>
      <w:bookmarkEnd w:id="1150"/>
    </w:p>
    <w:p>
      <w:pPr>
        <w:pStyle w:val="Normal"/>
        <w:widowControl/>
        <w:rPr/>
      </w:pPr>
      <w:r>
        <w:rPr/>
        <w:t>1. Each Party shall adopt and maintain a floor of effective labour protection that secures safe and dignified working conditions while permitting a Party to maintain or adopt more protective measures.</w:t>
      </w:r>
    </w:p>
    <w:p>
      <w:pPr>
        <w:pStyle w:val="Normal"/>
        <w:widowControl/>
        <w:rPr/>
      </w:pPr>
      <w:r>
        <w:rPr/>
        <w:t>2. North American economic integration shall not depend upon discrimination, exclusion, harassment, retaliation, forced labour, denial of basic sanitation, or systematic suppression of workers’ lawful rights.</w:t>
      </w:r>
    </w:p>
    <w:p>
      <w:pPr>
        <w:pStyle w:val="Normal"/>
        <w:widowControl/>
        <w:rPr/>
      </w:pPr>
      <w:r>
        <w:rPr/>
        <w:t>3. Implementation may account for workplace size, risk, remoteness, operational characteristics, and reasonable economic capacity, provided that no distinction substantially defeats the minimum protection guaranteed by this Chapter.</w:t>
      </w:r>
    </w:p>
    <w:p>
      <w:bookmarkStart w:id="1151" w:name="_NAESTMA_TOC_1151"/>
      <w:pPr>
        <w:pStyle w:val="Heading2"/>
        <w:keepNext/>
        <w:widowControl/>
        <w:rPr/>
      </w:pPr>
      <w:r>
        <w:rPr/>
        <w:t>Article 23.E: Basic Workplace Conditions Standard</w:t>
      </w:r>
      <w:bookmarkEnd w:id="1151"/>
    </w:p>
    <w:p>
      <w:pPr>
        <w:pStyle w:val="Normal"/>
        <w:widowControl/>
        <w:rPr/>
      </w:pPr>
      <w:r>
        <w:rPr/>
        <w:t>1. Each Party shall maintain effective requirements for potable drinking water, sanitary and reasonably accessible toilet facilities, handwashing facilities, appropriate first-aid capability, necessary personal protective equipment, reasonable opportunities for rest and meals, and protection from foreseeable occupational hazards.</w:t>
      </w:r>
    </w:p>
    <w:p>
      <w:pPr>
        <w:pStyle w:val="Normal"/>
        <w:widowControl/>
        <w:rPr/>
      </w:pPr>
      <w:r>
        <w:rPr/>
        <w:t>2. Employers shall not impose unreasonable restrictions that materially prevent workers from using toilet facilities when needed. Facilities shall be maintained in sanitary working condition and supplied with essential hygiene materials.</w:t>
      </w:r>
    </w:p>
    <w:p>
      <w:pPr>
        <w:pStyle w:val="Normal"/>
        <w:widowControl/>
        <w:rPr/>
      </w:pPr>
      <w:r>
        <w:rPr/>
        <w:t>3. Where eating at a workstation would expose workers to contamination or another material hazard, workers shall have access to a sanitary location suitable for meals and rest.</w:t>
      </w:r>
    </w:p>
    <w:p>
      <w:pPr>
        <w:pStyle w:val="Normal"/>
        <w:widowControl/>
        <w:rPr/>
      </w:pPr>
      <w:r>
        <w:rPr/>
        <w:t>4. Workplaces shall provide appropriate means for sanitary disposal of menstrual products in relevant facilities.</w:t>
      </w:r>
    </w:p>
    <w:p>
      <w:bookmarkStart w:id="1152" w:name="_NAESTMA_TOC_1152"/>
      <w:pPr>
        <w:pStyle w:val="Heading2"/>
        <w:keepNext/>
        <w:widowControl/>
        <w:rPr/>
      </w:pPr>
      <w:r>
        <w:rPr/>
        <w:t>Article 23.F: Emergency Readiness and First-Aid Capability</w:t>
      </w:r>
      <w:bookmarkEnd w:id="1152"/>
    </w:p>
    <w:p>
      <w:pPr>
        <w:pStyle w:val="Normal"/>
        <w:widowControl/>
        <w:rPr/>
      </w:pPr>
      <w:r>
        <w:rPr/>
        <w:t>1. Workplaces shall maintain first-aid supplies appropriate to workforce size and reasonably foreseeable hazards, in locations that are readily accessible during working hours and maintained through periodic inspection and replenishment.</w:t>
      </w:r>
    </w:p>
    <w:p>
      <w:pPr>
        <w:pStyle w:val="Normal"/>
        <w:widowControl/>
        <w:rPr/>
      </w:pPr>
      <w:r>
        <w:rPr/>
        <w:t>2. Each Party shall require timely access to appropriately trained first-aid capability, with the number and qualification of responders proportionate to workplace risk, size, remoteness, and emergency response time.</w:t>
      </w:r>
    </w:p>
    <w:p>
      <w:pPr>
        <w:pStyle w:val="Normal"/>
        <w:widowControl/>
        <w:rPr/>
      </w:pPr>
      <w:r>
        <w:rPr/>
        <w:t>3. Employers shall maintain unobstructed and appropriately marked emergency exits, emergency communication capability, fire protection, backup or emergency lighting where reasonably necessary, and emergency plans proportionate to reasonably foreseeable hazards.</w:t>
      </w:r>
    </w:p>
    <w:p>
      <w:pPr>
        <w:pStyle w:val="Normal"/>
        <w:widowControl/>
        <w:rPr/>
      </w:pPr>
      <w:r>
        <w:rPr/>
        <w:t>4. Higher-risk workplaces shall conduct drills or equivalent preparedness exercises at intervals appropriate to their risk profile.</w:t>
      </w:r>
    </w:p>
    <w:p>
      <w:bookmarkStart w:id="1153" w:name="_NAESTMA_TOC_1153"/>
      <w:pPr>
        <w:pStyle w:val="Heading2"/>
        <w:keepNext/>
        <w:widowControl/>
        <w:rPr/>
      </w:pPr>
      <w:r>
        <w:rPr/>
        <w:t>Article 23.G: Occupational Environmental Quality</w:t>
      </w:r>
      <w:bookmarkEnd w:id="1153"/>
    </w:p>
    <w:p>
      <w:pPr>
        <w:pStyle w:val="Normal"/>
        <w:widowControl/>
        <w:rPr/>
      </w:pPr>
      <w:r>
        <w:rPr/>
        <w:t>1. Each Party shall maintain protections against unsafe heat, cold, wildfire smoke, hazardous airborne contaminants, toxic fumes, deficient ventilation, and other material environmental hazards at work.</w:t>
      </w:r>
    </w:p>
    <w:p>
      <w:pPr>
        <w:pStyle w:val="Normal"/>
        <w:widowControl/>
        <w:rPr/>
      </w:pPr>
      <w:r>
        <w:rPr/>
        <w:t>2. Standards shall be science-based and risk-appropriate and shall not require a single fixed ventilation, humidity, or temperature value where occupational conditions require a different protective approach.</w:t>
      </w:r>
    </w:p>
    <w:p>
      <w:pPr>
        <w:pStyle w:val="Normal"/>
        <w:widowControl/>
        <w:rPr/>
      </w:pPr>
      <w:r>
        <w:rPr/>
        <w:t>3. Outdoor and remote workers shall receive appropriate access to hydration, shade, warming or cooling measures, protective equipment, and work-rest or stop-work procedures during dangerous environmental conditions.</w:t>
      </w:r>
    </w:p>
    <w:p>
      <w:bookmarkStart w:id="1154" w:name="_NAESTMA_TOC_1154"/>
      <w:pPr>
        <w:pStyle w:val="Heading2"/>
        <w:keepNext/>
        <w:widowControl/>
        <w:rPr/>
      </w:pPr>
      <w:r>
        <w:rPr/>
        <w:t>Article 23.H: Personal Protective Equipment and Fit</w:t>
      </w:r>
      <w:bookmarkEnd w:id="1154"/>
    </w:p>
    <w:p>
      <w:pPr>
        <w:pStyle w:val="Normal"/>
        <w:widowControl/>
        <w:rPr/>
      </w:pPr>
      <w:r>
        <w:rPr/>
        <w:t>1. Necessary personal protective equipment shall be provided without charge to workers where required for occupational safety.</w:t>
      </w:r>
    </w:p>
    <w:p>
      <w:pPr>
        <w:pStyle w:val="Normal"/>
        <w:widowControl/>
        <w:rPr/>
      </w:pPr>
      <w:r>
        <w:rPr/>
        <w:t>2. Required equipment shall be appropriate to the hazard, available in suitable sizes and configurations, properly fitted where fit affects protection, maintained in serviceable condition, and replaced when damaged, expired, or no longer protective.</w:t>
      </w:r>
    </w:p>
    <w:p>
      <w:pPr>
        <w:pStyle w:val="Normal"/>
        <w:widowControl/>
        <w:rPr/>
      </w:pPr>
      <w:r>
        <w:rPr/>
        <w:t>3. Workers shall receive understandable instruction and training in the proper use, limitations, care, and inspection of required equipment.</w:t>
      </w:r>
    </w:p>
    <w:p>
      <w:bookmarkStart w:id="1155" w:name="_NAESTMA_TOC_1155"/>
      <w:pPr>
        <w:pStyle w:val="Heading2"/>
        <w:keepNext/>
        <w:widowControl/>
        <w:rPr/>
      </w:pPr>
      <w:r>
        <w:rPr/>
        <w:t>Article 23.I: Rest, Seating, Lactation, and Reasonable Accommodation</w:t>
      </w:r>
      <w:bookmarkEnd w:id="1155"/>
    </w:p>
    <w:p>
      <w:pPr>
        <w:pStyle w:val="Normal"/>
        <w:widowControl/>
        <w:rPr/>
      </w:pPr>
      <w:r>
        <w:rPr/>
        <w:t>1. Each Party shall maintain reasonable protections for rest and meal opportunities consistent with the nature and duration of work and applicable domestic law.</w:t>
      </w:r>
    </w:p>
    <w:p>
      <w:pPr>
        <w:pStyle w:val="Normal"/>
        <w:widowControl/>
        <w:rPr/>
      </w:pPr>
      <w:r>
        <w:rPr/>
        <w:t>2. Where the essential functions of work can reasonably be performed while seated, workers shall not be prohibited from using suitable seating without a legitimate operational, safety, or occupational reason.</w:t>
      </w:r>
    </w:p>
    <w:p>
      <w:pPr>
        <w:pStyle w:val="Normal"/>
        <w:widowControl/>
        <w:rPr/>
      </w:pPr>
      <w:r>
        <w:rPr/>
        <w:t>3. Appropriate seating or rest accommodation shall be provided where reasonably required by disability, pregnancy, injury, or medical need, subject to applicable reasonable-accommodation standards.</w:t>
      </w:r>
    </w:p>
    <w:p>
      <w:pPr>
        <w:pStyle w:val="Normal"/>
        <w:widowControl/>
        <w:rPr/>
      </w:pPr>
      <w:r>
        <w:rPr/>
        <w:t>4. Workers requiring lactation accommodation shall have reasonable time and access to a private, sanitary space other than a toilet facility, consistent with domestic law.</w:t>
      </w:r>
    </w:p>
    <w:p>
      <w:bookmarkStart w:id="1156" w:name="_NAESTMA_TOC_1156"/>
      <w:pPr>
        <w:pStyle w:val="Heading2"/>
        <w:keepNext/>
        <w:widowControl/>
        <w:rPr/>
      </w:pPr>
      <w:r>
        <w:rPr/>
        <w:t>Article 23.J: Health, Illness, and Family Continuity</w:t>
      </w:r>
      <w:bookmarkEnd w:id="1156"/>
    </w:p>
    <w:p>
      <w:pPr>
        <w:pStyle w:val="Normal"/>
        <w:widowControl/>
        <w:rPr/>
      </w:pPr>
      <w:r>
        <w:rPr/>
        <w:t>1. Each Party shall maintain access to reasonable job-protected sick leave and family-care leave, including protections for serious or long-term illness, with benefit design and financing determined under domestic law.</w:t>
      </w:r>
    </w:p>
    <w:p>
      <w:pPr>
        <w:pStyle w:val="Normal"/>
        <w:widowControl/>
        <w:rPr/>
      </w:pPr>
      <w:r>
        <w:rPr/>
        <w:t>2. Short-duration illness reporting should avoid unnecessary medical certification where self-certification or another reliable method is appropriate. Extended or recurring leave may require reasonable confirmation consistent with privacy and accessibility protections.</w:t>
      </w:r>
    </w:p>
    <w:p>
      <w:pPr>
        <w:pStyle w:val="Normal"/>
        <w:widowControl/>
        <w:rPr/>
      </w:pPr>
      <w:r>
        <w:rPr/>
        <w:t>3. Parties are encouraged to use social-insurance, tax, or reimbursement mechanisms where appropriate to prevent disproportionate burdens on micro and small enterprises.</w:t>
      </w:r>
    </w:p>
    <w:p>
      <w:pPr>
        <w:pStyle w:val="Normal"/>
        <w:widowControl/>
        <w:rPr/>
      </w:pPr>
      <w:r>
        <w:rPr/>
        <w:t>4. Parental, maternity, adoption, and caregiving protections shall be administered without prohibited discrimination and may provide flexible, shared, intermittent, or phased-return arrangements under domestic law.</w:t>
      </w:r>
    </w:p>
    <w:p>
      <w:bookmarkStart w:id="1157" w:name="_NAESTMA_TOC_1157"/>
      <w:pPr>
        <w:pStyle w:val="Heading2"/>
        <w:keepNext/>
        <w:widowControl/>
        <w:rPr/>
      </w:pPr>
      <w:r>
        <w:rPr/>
        <w:t>Article 23.K: Universal Anti-Discrimination and Equality Standard</w:t>
      </w:r>
      <w:bookmarkEnd w:id="1157"/>
    </w:p>
    <w:p>
      <w:pPr>
        <w:pStyle w:val="Normal"/>
        <w:widowControl/>
        <w:rPr/>
      </w:pPr>
      <w:r>
        <w:rPr/>
        <w:t>1. Each Party shall prohibit discrimination in employment and occupation on protected grounds including, at minimum, race, colour, national or ethnic origin, sex, pregnancy, sexual orientation, gender identity or expression, religion or creed, age, disability, marital or family status, and other grounds protected by its domestic law.</w:t>
      </w:r>
    </w:p>
    <w:p>
      <w:pPr>
        <w:pStyle w:val="Normal"/>
        <w:widowControl/>
        <w:rPr/>
      </w:pPr>
      <w:r>
        <w:rPr/>
        <w:t>2. Protection shall extend to recruitment, hiring, compensation, benefits, assignments, training, promotion, working conditions, harassment, termination, layoffs, and retaliation.</w:t>
      </w:r>
    </w:p>
    <w:p>
      <w:pPr>
        <w:pStyle w:val="Normal"/>
        <w:widowControl/>
        <w:rPr/>
      </w:pPr>
      <w:r>
        <w:rPr/>
        <w:t>3. Parties shall maintain effective requirements for reasonable accommodation, subject to applicable undue-hardship or disproportionate-burden standards.</w:t>
      </w:r>
    </w:p>
    <w:p>
      <w:pPr>
        <w:pStyle w:val="Normal"/>
        <w:widowControl/>
        <w:rPr/>
      </w:pPr>
      <w:r>
        <w:rPr/>
        <w:t>4. Domestic law may recognize additional protected grounds and provide stronger remedies without inconsistency with this Agreement.</w:t>
      </w:r>
    </w:p>
    <w:p>
      <w:bookmarkStart w:id="1158" w:name="_NAESTMA_TOC_1158"/>
      <w:pPr>
        <w:pStyle w:val="Heading2"/>
        <w:keepNext/>
        <w:widowControl/>
        <w:rPr/>
      </w:pPr>
      <w:r>
        <w:rPr/>
        <w:t>Article 23.L: Proportionate Employer Equality Duties</w:t>
      </w:r>
      <w:bookmarkEnd w:id="1158"/>
    </w:p>
    <w:p>
      <w:pPr>
        <w:pStyle w:val="Normal"/>
        <w:widowControl/>
        <w:rPr/>
      </w:pPr>
      <w:r>
        <w:rPr/>
        <w:t>1. Employers shall maintain an accessible process for reporting and addressing discrimination and harassment without retaliation.</w:t>
      </w:r>
    </w:p>
    <w:p>
      <w:pPr>
        <w:pStyle w:val="Normal"/>
        <w:widowControl/>
        <w:rPr/>
      </w:pPr>
      <w:r>
        <w:rPr/>
        <w:t>2. Larger employers may be required under domestic law to maintain documented equality plans, periodic manager training, and objective compensation reviews for unexplained disparities. Simplified compliance methods shall be available for smaller employers where appropriate.</w:t>
      </w:r>
    </w:p>
    <w:p>
      <w:pPr>
        <w:pStyle w:val="Normal"/>
        <w:widowControl/>
        <w:rPr/>
      </w:pPr>
      <w:r>
        <w:rPr/>
        <w:t>3. Compensation review shall distinguish unlawful or unjustified disparities from differences objectively attributable to role, tenure, location, hours, qualifications, performance, scarcity, or other legitimate factors.</w:t>
      </w:r>
    </w:p>
    <w:p>
      <w:bookmarkStart w:id="1159" w:name="_NAESTMA_TOC_1159"/>
      <w:pPr>
        <w:pStyle w:val="Heading2"/>
        <w:keepNext/>
        <w:widowControl/>
        <w:rPr/>
      </w:pPr>
      <w:r>
        <w:rPr/>
        <w:t>Article 23.M: Migrant, Temporary, Agency, and Contract Worker Parity</w:t>
      </w:r>
      <w:bookmarkEnd w:id="1159"/>
    </w:p>
    <w:p>
      <w:pPr>
        <w:pStyle w:val="Normal"/>
        <w:widowControl/>
        <w:rPr/>
      </w:pPr>
      <w:r>
        <w:rPr/>
        <w:t>1. A worker shall not receive less favourable substantive protection under this Chapter solely because of immigration status, temporary or seasonal status, part-time status, agency placement, or similar employment classification, except where a distinction is objectively justified and consistent with domestic law.</w:t>
      </w:r>
    </w:p>
    <w:p>
      <w:pPr>
        <w:pStyle w:val="Normal"/>
        <w:widowControl/>
        <w:rPr/>
      </w:pPr>
      <w:r>
        <w:rPr/>
        <w:t>2. Parties shall maintain practical avenues through which migrant and temporary workers can report labour and occupational-safety violations without unlawful retaliation.</w:t>
      </w:r>
    </w:p>
    <w:p>
      <w:bookmarkStart w:id="1160" w:name="_NAESTMA_TOC_1160"/>
      <w:pPr>
        <w:pStyle w:val="Heading2"/>
        <w:keepNext/>
        <w:widowControl/>
        <w:rPr/>
      </w:pPr>
      <w:r>
        <w:rPr/>
        <w:t>Article 23.N: Automated Employment Decision Safeguards</w:t>
      </w:r>
      <w:bookmarkEnd w:id="1160"/>
    </w:p>
    <w:p>
      <w:pPr>
        <w:pStyle w:val="Normal"/>
        <w:widowControl/>
        <w:rPr/>
      </w:pPr>
      <w:r>
        <w:rPr/>
        <w:t>1. Where automated systems materially influence recruitment, scheduling, promotion, compensation, discipline, or termination, each Party shall maintain protections against unlawful discriminatory outcomes.</w:t>
      </w:r>
    </w:p>
    <w:p>
      <w:pPr>
        <w:pStyle w:val="Normal"/>
        <w:widowControl/>
        <w:rPr/>
      </w:pPr>
      <w:r>
        <w:rPr/>
        <w:t>2. Workers shall have access to an appropriate human review, contestability, or equivalent remedy where an automated decision materially affects employment rights or opportunities.</w:t>
      </w:r>
    </w:p>
    <w:p>
      <w:pPr>
        <w:pStyle w:val="Normal"/>
        <w:widowControl/>
        <w:rPr/>
      </w:pPr>
      <w:r>
        <w:rPr/>
        <w:t>3. Nothing in this Article requires disclosure of source code, trade secrets, or protected security information except as otherwise permitted by this Agreement or domestic law.</w:t>
      </w:r>
    </w:p>
    <w:p>
      <w:bookmarkStart w:id="1161" w:name="_NAESTMA_TOC_1161"/>
      <w:pPr>
        <w:pStyle w:val="Heading2"/>
        <w:keepNext/>
        <w:widowControl/>
        <w:rPr/>
      </w:pPr>
      <w:r>
        <w:rPr/>
        <w:t>Article 23.O: Protected Exercise Firewall</w:t>
      </w:r>
      <w:bookmarkEnd w:id="1161"/>
    </w:p>
    <w:p>
      <w:pPr>
        <w:pStyle w:val="Normal"/>
        <w:widowControl/>
        <w:rPr/>
      </w:pPr>
      <w:r>
        <w:rPr/>
        <w:t>1. No Party shall administer cooperation under this Agreement in a manner that materially deters a worker from reporting or participating in the investigation of a labour-rights or occupational-safety violation solely because of the worker’s immigration status.</w:t>
      </w:r>
    </w:p>
    <w:p>
      <w:pPr>
        <w:pStyle w:val="Normal"/>
        <w:widowControl/>
        <w:rPr/>
      </w:pPr>
      <w:r>
        <w:rPr/>
        <w:t>2. Information obtained principally through a worker’s good-faith exercise of rights under this Chapter shall not be transferred to another Party for unrelated civil immigration enforcement except where required by domestic law, judicial process, or a narrowly tailored exception involving an imminent threat to life or serious public safety.</w:t>
      </w:r>
    </w:p>
    <w:p>
      <w:pPr>
        <w:pStyle w:val="Normal"/>
        <w:widowControl/>
        <w:rPr/>
      </w:pPr>
      <w:r>
        <w:rPr/>
        <w:t>3. The protection in paragraph 2 does not create immunity from criminal law and shall not prevent lawful investigation of fraud or abuse of the complaint process.</w:t>
      </w:r>
    </w:p>
    <w:p>
      <w:bookmarkStart w:id="1162" w:name="_NAESTMA_TOC_1162"/>
      <w:pPr>
        <w:pStyle w:val="Heading2"/>
        <w:keepNext/>
        <w:widowControl/>
        <w:rPr/>
      </w:pPr>
      <w:r>
        <w:rPr/>
        <w:t>Article 23.P: Labour Enforcement Escalation and Institutional Restraint</w:t>
      </w:r>
      <w:bookmarkEnd w:id="1162"/>
    </w:p>
    <w:p>
      <w:pPr>
        <w:pStyle w:val="Normal"/>
        <w:widowControl/>
        <w:rPr/>
      </w:pPr>
      <w:r>
        <w:rPr/>
        <w:t>1. Individual complaints shall ordinarily be addressed through effective domestic remedies. Systemic, pattern-and-practice, or persistent failures affecting obligations under this Chapter may proceed through the Agreement’s verification and dispute-settlement architecture.</w:t>
      </w:r>
    </w:p>
    <w:p>
      <w:pPr>
        <w:pStyle w:val="Normal"/>
        <w:widowControl/>
        <w:rPr/>
      </w:pPr>
      <w:r>
        <w:rPr/>
        <w:t>2. Expedited facility-specific procedures shall be reserved for serious, verified denials of covered rights where ordinary remedies are inadequate or persistently ineffective.</w:t>
      </w:r>
    </w:p>
    <w:p>
      <w:pPr>
        <w:pStyle w:val="Normal"/>
        <w:widowControl/>
        <w:rPr/>
      </w:pPr>
      <w:r>
        <w:rPr/>
        <w:t>3. The Parties shall implement these obligations through existing domestic institutions and existing bodies under this Agreement wherever practicable. No new standing body shall be created where an existing institution can perform the required function.</w:t>
      </w:r>
    </w:p>
    <w:p>
      <w:bookmarkStart w:id="1163" w:name="_NAESTMA_TOC_1163"/>
      <w:pPr>
        <w:pStyle w:val="Heading2"/>
        <w:keepNext/>
        <w:widowControl/>
        <w:rPr/>
      </w:pPr>
      <w:r>
        <w:rPr/>
        <w:t>Article 23.Q: Worker-Rights Non-Bargaining Firewall</w:t>
      </w:r>
      <w:bookmarkEnd w:id="1163"/>
    </w:p>
    <w:p>
      <w:pPr>
        <w:pStyle w:val="Normal"/>
        <w:widowControl/>
        <w:rPr/>
      </w:pPr>
      <w:r>
        <w:rPr/>
        <w:t>1. No Party may suspend, waive, reduce, condition, or exchange a worker right protected by this Chapter as retaliation, compensation, consideration, or leverage in an unrelated dispute under this Agreement. Trade remedies authorized for a labour violation may be used to secure compliance with labour obligations, but the underlying rights of workers in Canada, Mexico, and the United States are not bargaining currency.</w:t>
      </w:r>
    </w:p>
    <w:p>
      <w:bookmarkStart w:id="1164" w:name="_NAESTMA_TOC_1164"/>
      <w:pPr>
        <w:pStyle w:val="Heading2"/>
        <w:keepNext/>
        <w:widowControl/>
        <w:spacing w:before="180" w:after="80"/>
        <w:rPr/>
      </w:pPr>
      <w:r>
        <w:rPr/>
        <w:t>Section 23.R: Relationship to Chapter 23-B (Just Transition)</w:t>
      </w:r>
      <w:bookmarkEnd w:id="1164"/>
    </w:p>
    <w:p>
      <w:pPr>
        <w:pStyle w:val="Normal"/>
        <w:widowControl/>
        <w:spacing w:before="0" w:after="160"/>
        <w:rPr/>
      </w:pPr>
      <w:r>
        <w:rPr/>
        <w:t>Chapter 23 protections (freedom of association, collective bargaining, occupational safety) remain the floor for all workers. Chapter 23-B (North American Just Transition and Worker Security Framework) provides additional, specific protections for workers and communities affected by the economic, energy, and industrial transformations contemplated by this Agreement. Chapter 23-B income support, retraining, and benefit portability obligations operate in addition to and do not diminish Chapter 23 protections.</w:t>
      </w:r>
      <w:r>
        <w:br w:type="page"/>
      </w:r>
    </w:p>
    <w:p>
      <w:bookmarkStart w:id="1165" w:name="_NAESTMA_TOC_1165"/>
      <w:pPr>
        <w:pStyle w:val="Heading1"/>
        <w:keepNext/>
        <w:keepLines w:val="0"/>
        <w:pageBreakBefore/>
        <w:widowControl/>
        <w:spacing w:before="240" w:after="120"/>
        <w:rPr/>
      </w:pPr>
      <w:r>
        <w:rPr/>
        <w:t>CHAPTER 23-B NORTH AMERICAN JUST TRANSITION AND WORKER SECURITY FRAMEWORK</w:t>
      </w:r>
      <w:bookmarkEnd w:id="1165"/>
    </w:p>
    <w:p>
      <w:pPr>
        <w:pStyle w:val="Normal"/>
        <w:widowControl/>
        <w:spacing w:before="0" w:after="120"/>
        <w:rPr/>
      </w:pPr>
      <w:r>
        <w:rPr/>
        <w:t>(HARDENED VERSION WITH ENFORCEMENT MECHANISMS AND FINANCIAL COMMITMENTS)</w:t>
      </w:r>
    </w:p>
    <w:p>
      <w:pPr>
        <w:pStyle w:val="Normal"/>
        <w:spacing w:before="0" w:after="0"/>
        <w:rPr/>
      </w:pPr>
      <w:r>
        <w:rPr/>
      </w:r>
    </w:p>
    <w:p>
      <w:bookmarkStart w:id="1166" w:name="_NAESTMA_TOC_1166"/>
      <w:pPr>
        <w:pStyle w:val="Heading2"/>
        <w:keepNext/>
        <w:widowControl/>
        <w:spacing w:before="180" w:after="80"/>
        <w:rPr/>
      </w:pPr>
      <w:r>
        <w:rPr/>
        <w:t>Article 23-B.1: Purpose and Principles</w:t>
      </w:r>
      <w:bookmarkEnd w:id="1166"/>
    </w:p>
    <w:p>
      <w:pPr>
        <w:pStyle w:val="Normal"/>
        <w:spacing w:before="0" w:after="0"/>
        <w:rPr/>
      </w:pPr>
      <w:r>
        <w:rPr/>
      </w:r>
    </w:p>
    <w:p>
      <w:pPr>
        <w:pStyle w:val="Normal"/>
        <w:widowControl/>
        <w:spacing w:before="0" w:after="120"/>
        <w:rPr/>
      </w:pPr>
      <w:r>
        <w:rPr/>
        <w:t>The Parties recognize that the economic, energy, and industrial transformations contemplated by this Agreement will have profound effects on workers, families, and communities across North America. These transformations shall be actively managed to ensure that no worker, community, or region is left behind, and that the benefits of transition are broadly and equitably shared.</w:t>
      </w:r>
    </w:p>
    <w:p>
      <w:pPr>
        <w:pStyle w:val="Normal"/>
        <w:spacing w:before="0" w:after="0"/>
        <w:rPr/>
      </w:pPr>
      <w:r>
        <w:rPr/>
      </w:r>
    </w:p>
    <w:p>
      <w:pPr>
        <w:pStyle w:val="Normal"/>
        <w:widowControl/>
        <w:spacing w:before="0" w:after="120"/>
        <w:rPr/>
      </w:pPr>
      <w:r>
        <w:rPr/>
        <w:t>The Parties affirm the International Labour Organization's Guidelines for a Just Transition towards Environmentally Sustainable Economies and Societies for All (2015) as the legally binding guiding framework for this Chapter.</w:t>
      </w:r>
    </w:p>
    <w:p>
      <w:pPr>
        <w:pStyle w:val="Normal"/>
        <w:spacing w:before="0" w:after="0"/>
        <w:rPr/>
      </w:pPr>
      <w:r>
        <w:rPr/>
      </w:r>
    </w:p>
    <w:p>
      <w:pPr>
        <w:pStyle w:val="Normal"/>
        <w:widowControl/>
        <w:spacing w:before="0" w:after="120"/>
        <w:rPr/>
      </w:pPr>
      <w:r>
        <w:rPr/>
        <w:t>The following principles shall govern the implementation of this Chapter:</w:t>
      </w:r>
    </w:p>
    <w:p>
      <w:pPr>
        <w:pStyle w:val="Normal"/>
        <w:spacing w:before="0" w:after="0"/>
        <w:rPr/>
      </w:pPr>
      <w:r>
        <w:rPr/>
      </w:r>
    </w:p>
    <w:p>
      <w:pPr>
        <w:pStyle w:val="Heading3"/>
        <w:keepNext/>
        <w:widowControl/>
        <w:spacing w:before="140" w:after="60"/>
        <w:rPr/>
      </w:pPr>
      <w:r>
        <w:rPr/>
        <w:t>(a) No Worker Left Behind: Workers displaced or materially affected by the transitions contemplated by this Agreement shall have unconditional access to concrete support, including income security, retraining, and transition assistance. No worker shall be excluded based on immigration status, sector, or geography.</w:t>
      </w:r>
    </w:p>
    <w:p>
      <w:pPr>
        <w:pStyle w:val="Normal"/>
        <w:spacing w:before="0" w:after="0"/>
        <w:rPr/>
      </w:pPr>
      <w:r>
        <w:rPr/>
      </w:r>
    </w:p>
    <w:p>
      <w:pPr>
        <w:pStyle w:val="Heading3"/>
        <w:keepNext/>
        <w:widowControl/>
        <w:spacing w:before="140" w:after="60"/>
        <w:rPr/>
      </w:pPr>
      <w:r>
        <w:rPr/>
        <w:t>(b) Leave No Community Behind: Communities and regions dependent on transitioning industries shall receive targeted, predictable support for economic diversification, infrastructure investment, and social cohesion.</w:t>
      </w:r>
    </w:p>
    <w:p>
      <w:pPr>
        <w:pStyle w:val="Normal"/>
        <w:spacing w:before="0" w:after="0"/>
        <w:rPr/>
      </w:pPr>
      <w:r>
        <w:rPr/>
      </w:r>
    </w:p>
    <w:p>
      <w:pPr>
        <w:pStyle w:val="Heading3"/>
        <w:keepNext/>
        <w:widowControl/>
        <w:spacing w:before="140" w:after="60"/>
        <w:rPr/>
      </w:pPr>
      <w:r>
        <w:rPr/>
        <w:t>(c) Worker Participation: Workers and their representatives shall be consulted and engaged at every stage of the design and implementation of transition policies—from sector identification to fund allocation to program evaluation.</w:t>
      </w:r>
    </w:p>
    <w:p>
      <w:pPr>
        <w:pStyle w:val="Normal"/>
        <w:spacing w:before="0" w:after="0"/>
        <w:rPr/>
      </w:pPr>
      <w:r>
        <w:rPr/>
      </w:r>
    </w:p>
    <w:p>
      <w:pPr>
        <w:pStyle w:val="Heading3"/>
        <w:keepNext/>
        <w:widowControl/>
        <w:spacing w:before="140" w:after="60"/>
        <w:rPr/>
      </w:pPr>
      <w:r>
        <w:rPr/>
        <w:t>(d) Social Dialogue: The Parties shall engage with employers, unions, and civil society in tripartite and multi-stakeholder processes to shape just transition policies. No policy affecting workers shall be implemented without prior consultation with worker representatives.</w:t>
      </w:r>
    </w:p>
    <w:p>
      <w:pPr>
        <w:pStyle w:val="Normal"/>
        <w:spacing w:before="0" w:after="0"/>
        <w:rPr/>
      </w:pPr>
      <w:r>
        <w:rPr/>
      </w:r>
    </w:p>
    <w:p>
      <w:pPr>
        <w:pStyle w:val="Heading3"/>
        <w:keepNext/>
        <w:widowControl/>
        <w:spacing w:before="140" w:after="60"/>
        <w:rPr/>
      </w:pPr>
      <w:r>
        <w:rPr/>
        <w:t>(e) Non-Regression: Nothing in this Chapter shall be used to weaken, reduce, or defer existing worker protections, social safety nets, or collective bargaining rights. Existing protections shall not be rolled back as a condition of access to Chapter 23-B benefits.</w:t>
      </w:r>
    </w:p>
    <w:p>
      <w:pPr>
        <w:pStyle w:val="Normal"/>
        <w:spacing w:before="0" w:after="0"/>
        <w:rPr/>
      </w:pPr>
      <w:r>
        <w:rPr/>
      </w:r>
    </w:p>
    <w:p>
      <w:pPr>
        <w:pStyle w:val="Heading3"/>
        <w:keepNext/>
        <w:widowControl/>
        <w:spacing w:before="140" w:after="60"/>
        <w:rPr/>
      </w:pPr>
      <w:r>
        <w:rPr/>
        <w:t>(f) Complementarity: This Chapter operates within and supplements the treaty-wide human-rights floor established in Package CL (North American Human Dignity, Equality and Rights Framework). Human beings are not trade collateral; economic integration shall not be achieved at the expense of worker dignity, security, or fundamental rights.</w:t>
      </w:r>
    </w:p>
    <w:p>
      <w:pPr>
        <w:pStyle w:val="Normal"/>
        <w:spacing w:before="0" w:after="0"/>
        <w:rPr/>
      </w:pPr>
      <w:r>
        <w:rPr/>
      </w:r>
    </w:p>
    <w:p>
      <w:pPr>
        <w:pStyle w:val="Heading3"/>
        <w:keepNext/>
        <w:widowControl/>
        <w:spacing w:before="140" w:after="60"/>
        <w:rPr/>
      </w:pPr>
      <w:r>
        <w:rPr/>
        <w:t>(g) Primacy Over Trade Measures: Chapter 23-B obligations take precedence over Article 35.17A (Remediation Investment and Corrective Compensation) and other trade remedies. Worker protection is not subordinate to trade interests.</w:t>
      </w:r>
    </w:p>
    <w:p>
      <w:pPr>
        <w:pStyle w:val="Normal"/>
        <w:spacing w:before="0" w:after="0"/>
        <w:rPr/>
      </w:pPr>
      <w:r>
        <w:rPr/>
      </w:r>
    </w:p>
    <w:p>
      <w:bookmarkStart w:id="1167" w:name="_NAESTMA_TOC_1167"/>
      <w:pPr>
        <w:pStyle w:val="Heading2"/>
        <w:keepNext/>
        <w:widowControl/>
        <w:spacing w:before="180" w:after="80"/>
        <w:rPr/>
      </w:pPr>
      <w:r>
        <w:rPr/>
        <w:t>Article 23-B.2: Definitions</w:t>
      </w:r>
      <w:bookmarkEnd w:id="1167"/>
    </w:p>
    <w:p>
      <w:pPr>
        <w:pStyle w:val="Normal"/>
        <w:spacing w:before="0" w:after="0"/>
        <w:rPr/>
      </w:pPr>
      <w:r>
        <w:rPr/>
      </w:r>
    </w:p>
    <w:p>
      <w:pPr>
        <w:pStyle w:val="Normal"/>
        <w:widowControl/>
        <w:spacing w:before="0" w:after="120"/>
        <w:rPr/>
      </w:pPr>
      <w:r>
        <w:rPr/>
        <w:t>For the purposes of this Chapter:</w:t>
      </w:r>
    </w:p>
    <w:p>
      <w:pPr>
        <w:pStyle w:val="Normal"/>
        <w:spacing w:before="0" w:after="0"/>
        <w:rPr/>
      </w:pPr>
      <w:r>
        <w:rPr/>
      </w:r>
    </w:p>
    <w:p>
      <w:pPr>
        <w:pStyle w:val="Normal"/>
        <w:widowControl/>
        <w:spacing w:before="0" w:after="120"/>
        <w:rPr/>
      </w:pPr>
      <w:r>
        <w:rPr/>
        <w:t>Just Transition means the managed, rights-based process of shifting to a low-carbon, sustainable, and resilient economy in a manner that maximizes concrete benefits for workers and communities while actively minimizing and mitigating adverse social and economic impacts, consistent with the ILO Guidelines for a Just Transition. Just Transition is not aspirational; it is an enforceable commitment.</w:t>
      </w:r>
    </w:p>
    <w:p>
      <w:pPr>
        <w:pStyle w:val="Normal"/>
        <w:spacing w:before="0" w:after="0"/>
        <w:rPr/>
      </w:pPr>
      <w:r>
        <w:rPr/>
      </w:r>
    </w:p>
    <w:p>
      <w:pPr>
        <w:pStyle w:val="Normal"/>
        <w:widowControl/>
        <w:spacing w:before="0" w:after="120"/>
        <w:rPr/>
      </w:pPr>
      <w:r>
        <w:rPr/>
        <w:t>Affected Worker means a worker whose employment is materially impacted—whether through displacement, permanent layoff, significant and sustained reduction in hours (&gt;20% reduction lasting &gt;3 months), or fundamental change in job content or location—as a direct or reasonably foreseeable indirect result of the economic, energy, or industrial transitions contemplated by this Agreement, including but not limited to decarbonization, automation, supply-chain restructuring, electrification, digitization, and sectoral transformation. Affected Workers include wage employees, temporary workers, migrant workers, gig workers, and workers in informal employment relationships.</w:t>
      </w:r>
    </w:p>
    <w:p>
      <w:pPr>
        <w:pStyle w:val="Normal"/>
        <w:spacing w:before="0" w:after="0"/>
        <w:rPr/>
      </w:pPr>
      <w:r>
        <w:rPr/>
      </w:r>
    </w:p>
    <w:p>
      <w:pPr>
        <w:pStyle w:val="Normal"/>
        <w:widowControl/>
        <w:spacing w:before="0" w:after="120"/>
        <w:rPr/>
      </w:pPr>
      <w:r>
        <w:rPr/>
        <w:t>Affected Community means a region, locality, municipality, or community that experiences significant economic disruption, employment loss exceeding 5% of local workforce in a single sector, or social dislocation (including loss of tax base, closure of public services, or emigration pressure) as a result of the transitions contemplated by this Agreement. A community is "affected" even if not all workers in that community are displaced.</w:t>
      </w:r>
    </w:p>
    <w:p>
      <w:pPr>
        <w:pStyle w:val="Normal"/>
        <w:spacing w:before="0" w:after="0"/>
        <w:rPr/>
      </w:pPr>
      <w:r>
        <w:rPr/>
      </w:r>
    </w:p>
    <w:p>
      <w:pPr>
        <w:pStyle w:val="Normal"/>
        <w:widowControl/>
        <w:spacing w:before="0" w:after="120"/>
        <w:rPr/>
      </w:pPr>
      <w:r>
        <w:rPr/>
        <w:t>Transition Sector means an economic sector or industry designated by the Commission under Article 23-B.8 as undergoing or likely to undergo significant transformation due to the Agreement's implementation or each Party's domestic climate and energy policies. Core Transition Sectors include: fossil fuel energy production and distribution; coal mining; automotive manufacturing; steel and aluminum production; heavy industrial manufacturing; and forestry and logging.</w:t>
      </w:r>
    </w:p>
    <w:p>
      <w:pPr>
        <w:pStyle w:val="Normal"/>
        <w:spacing w:before="0" w:after="0"/>
        <w:rPr/>
      </w:pPr>
      <w:r>
        <w:rPr/>
      </w:r>
    </w:p>
    <w:p>
      <w:pPr>
        <w:pStyle w:val="Normal"/>
        <w:widowControl/>
        <w:spacing w:before="0" w:after="120"/>
        <w:rPr/>
      </w:pPr>
      <w:r>
        <w:rPr/>
        <w:t>Portable Benefit means a social protection or employment-related benefit that is not tied to a specific employer or jurisdiction and that may be carried by a worker across employers, sectors, and the territories of the Parties without loss of accrued value or entitlement.</w:t>
      </w:r>
    </w:p>
    <w:p>
      <w:pPr>
        <w:pStyle w:val="Normal"/>
        <w:spacing w:before="0" w:after="0"/>
        <w:rPr/>
      </w:pPr>
      <w:r>
        <w:rPr/>
      </w:r>
    </w:p>
    <w:p>
      <w:pPr>
        <w:pStyle w:val="Normal"/>
        <w:widowControl/>
        <w:spacing w:before="0" w:after="120"/>
        <w:rPr/>
      </w:pPr>
      <w:r>
        <w:rPr/>
        <w:t>Wage Insurance means income replacement for a displaced worker at a specified percentage of the worker's prior wage, available for a defined period during retraining or job search.</w:t>
      </w:r>
    </w:p>
    <w:p>
      <w:pPr>
        <w:pStyle w:val="Normal"/>
        <w:spacing w:before="0" w:after="0"/>
        <w:rPr/>
      </w:pPr>
      <w:r>
        <w:rPr/>
      </w:r>
    </w:p>
    <w:p>
      <w:pPr>
        <w:pStyle w:val="Normal"/>
        <w:widowControl/>
        <w:spacing w:before="0" w:after="120"/>
        <w:rPr/>
      </w:pPr>
      <w:r>
        <w:rPr/>
        <w:t>Income Replacement means regular cash payments to a displaced or transitioning worker at a level sufficient to maintain economic security and dignity during periods of unemployment, retraining, or underemployment.</w:t>
      </w:r>
    </w:p>
    <w:p>
      <w:pPr>
        <w:pStyle w:val="Normal"/>
        <w:spacing w:before="0" w:after="0"/>
        <w:rPr/>
      </w:pPr>
      <w:r>
        <w:rPr/>
      </w:r>
    </w:p>
    <w:p>
      <w:pPr>
        <w:pStyle w:val="Normal"/>
        <w:widowControl/>
        <w:spacing w:before="0" w:after="120"/>
        <w:rPr/>
      </w:pPr>
      <w:r>
        <w:rPr/>
        <w:t>Commission means the Free Trade Commission established under Article 30 of the Agreement.</w:t>
      </w:r>
    </w:p>
    <w:p>
      <w:pPr>
        <w:pStyle w:val="Normal"/>
        <w:spacing w:before="0" w:after="0"/>
        <w:rPr/>
      </w:pPr>
      <w:r>
        <w:rPr/>
      </w:r>
    </w:p>
    <w:p>
      <w:pPr>
        <w:pStyle w:val="Normal"/>
        <w:widowControl/>
        <w:spacing w:before="0" w:after="120"/>
        <w:rPr/>
      </w:pPr>
      <w:r>
        <w:rPr/>
        <w:t>Fund means the North American Just Transition Fund established under Article 23-B.7.</w:t>
      </w:r>
    </w:p>
    <w:p>
      <w:pPr>
        <w:pStyle w:val="Normal"/>
        <w:spacing w:before="0" w:after="0"/>
        <w:rPr/>
      </w:pPr>
      <w:r>
        <w:rPr/>
      </w:r>
    </w:p>
    <w:p>
      <w:bookmarkStart w:id="1168" w:name="_NAESTMA_TOC_1168"/>
      <w:pPr>
        <w:pStyle w:val="Heading2"/>
        <w:keepNext/>
        <w:widowControl/>
        <w:spacing w:before="180" w:after="80"/>
        <w:rPr/>
      </w:pPr>
      <w:r>
        <w:rPr/>
        <w:t>Article 23-B.3: Mandatory Worker Income Security and Transition Support</w:t>
      </w:r>
      <w:bookmarkEnd w:id="1168"/>
    </w:p>
    <w:p>
      <w:pPr>
        <w:pStyle w:val="Normal"/>
        <w:spacing w:before="0" w:after="0"/>
        <w:rPr/>
      </w:pPr>
      <w:r>
        <w:rPr/>
      </w:r>
    </w:p>
    <w:p>
      <w:pPr>
        <w:pStyle w:val="Normal"/>
        <w:widowControl/>
        <w:spacing w:before="0" w:after="120"/>
        <w:rPr/>
      </w:pPr>
      <w:r>
        <w:rPr/>
        <w:t>Each Party shall maintain or establish—and continuously fund—programs providing income support for Affected Workers during periods of transition. These programs are mandatory, not discretionary.</w:t>
      </w:r>
    </w:p>
    <w:p>
      <w:pPr>
        <w:pStyle w:val="Normal"/>
        <w:spacing w:before="0" w:after="0"/>
        <w:rPr/>
      </w:pPr>
      <w:r>
        <w:rPr/>
      </w:r>
    </w:p>
    <w:p>
      <w:pPr>
        <w:pStyle w:val="Heading3"/>
        <w:keepNext/>
        <w:widowControl/>
        <w:spacing w:before="140" w:after="60"/>
        <w:rPr/>
      </w:pPr>
      <w:r>
        <w:rPr/>
        <w:t>(a) Wage Insurance and Income Replacement</w:t>
      </w:r>
    </w:p>
    <w:p>
      <w:pPr>
        <w:pStyle w:val="Normal"/>
        <w:spacing w:before="0" w:after="0"/>
        <w:rPr/>
      </w:pPr>
      <w:r>
        <w:rPr/>
      </w:r>
    </w:p>
    <w:p>
      <w:pPr>
        <w:pStyle w:val="Heading3"/>
        <w:keepNext/>
        <w:widowControl/>
        <w:spacing w:before="140" w:after="60"/>
        <w:rPr/>
      </w:pPr>
      <w:r>
        <w:rPr/>
        <w:t>(i) Each Party shall provide Wage Insurance or Income Replacement to Affected Workers at the following minimum levels:</w:t>
      </w:r>
    </w:p>
    <w:p>
      <w:pPr>
        <w:pStyle w:val="Normal"/>
        <w:spacing w:before="0" w:after="0"/>
        <w:rPr/>
      </w:pPr>
      <w:r>
        <w:rPr/>
      </w:r>
    </w:p>
    <w:p>
      <w:pPr>
        <w:pStyle w:val="ListBullet"/>
        <w:widowControl/>
        <w:numPr>
          <w:ilvl w:val="0"/>
          <w:numId w:val="1"/>
        </w:numPr>
        <w:spacing w:before="0" w:after="60"/>
        <w:contextualSpacing/>
        <w:rPr/>
      </w:pPr>
      <w:r>
        <w:rPr/>
        <w:t xml:space="preserve">— </w:t>
      </w:r>
      <w:r>
        <w:rPr/>
        <w:t>Months 1–12: Minimum 75% of the worker's prior average monthly wage</w:t>
        <w:br/>
        <w:t>— Months 13–24: Minimum 65% of the worker's prior average monthly wage</w:t>
        <w:br/>
        <w:t>— Months 25–36: Minimum 55% of the worker's prior average monthly wage</w:t>
      </w:r>
    </w:p>
    <w:p>
      <w:pPr>
        <w:pStyle w:val="Normal"/>
        <w:spacing w:before="0" w:after="0"/>
        <w:rPr/>
      </w:pPr>
      <w:r>
        <w:rPr/>
      </w:r>
    </w:p>
    <w:p>
      <w:pPr>
        <w:pStyle w:val="Normal"/>
        <w:widowControl/>
        <w:spacing w:before="0" w:after="120"/>
        <w:rPr/>
      </w:pPr>
      <w:r>
        <w:rPr/>
        <w:t>(ii) Income Replacement payments shall continue for a minimum of 36 months from the date of displacement or material impact.</w:t>
      </w:r>
    </w:p>
    <w:p>
      <w:pPr>
        <w:pStyle w:val="Normal"/>
        <w:spacing w:before="0" w:after="0"/>
        <w:rPr/>
      </w:pPr>
      <w:r>
        <w:rPr/>
      </w:r>
    </w:p>
    <w:p>
      <w:pPr>
        <w:pStyle w:val="Normal"/>
        <w:widowControl/>
        <w:spacing w:before="0" w:after="120"/>
        <w:rPr/>
      </w:pPr>
      <w:r>
        <w:rPr/>
        <w:t>(iii) Income Replacement shall be indexed annually to inflation to maintain real wage value.</w:t>
      </w:r>
    </w:p>
    <w:p>
      <w:pPr>
        <w:pStyle w:val="Normal"/>
        <w:spacing w:before="0" w:after="0"/>
        <w:rPr/>
      </w:pPr>
      <w:r>
        <w:rPr/>
      </w:r>
    </w:p>
    <w:p>
      <w:pPr>
        <w:pStyle w:val="Normal"/>
        <w:widowControl/>
        <w:spacing w:before="0" w:after="120"/>
        <w:rPr/>
      </w:pPr>
      <w:r>
        <w:rPr/>
        <w:t>(iv) No worker receiving Income Replacement shall fall below each Party's established poverty line. If the percentage specified in (i) would result in income below the poverty line, the Party shall provide the poverty-line amount as a floor.</w:t>
      </w:r>
    </w:p>
    <w:p>
      <w:pPr>
        <w:pStyle w:val="Normal"/>
        <w:spacing w:before="0" w:after="0"/>
        <w:rPr/>
      </w:pPr>
      <w:r>
        <w:rPr/>
      </w:r>
    </w:p>
    <w:p>
      <w:pPr>
        <w:pStyle w:val="Heading3"/>
        <w:keepNext/>
        <w:widowControl/>
        <w:spacing w:before="140" w:after="60"/>
        <w:rPr/>
      </w:pPr>
      <w:r>
        <w:rPr/>
        <w:t>(v) Income Replacement is unconditional during the first 3 months of unemployment (no "job search" requirement). After 3 months, continuation may be conditioned on documented participation in retraining under Article 23-B.4 or active job search.</w:t>
      </w:r>
    </w:p>
    <w:p>
      <w:pPr>
        <w:pStyle w:val="Normal"/>
        <w:spacing w:before="0" w:after="0"/>
        <w:rPr/>
      </w:pPr>
      <w:r>
        <w:rPr/>
      </w:r>
    </w:p>
    <w:p>
      <w:pPr>
        <w:pStyle w:val="Heading3"/>
        <w:keepNext/>
        <w:widowControl/>
        <w:spacing w:before="140" w:after="60"/>
        <w:rPr/>
      </w:pPr>
      <w:r>
        <w:rPr/>
        <w:t>(b) Extended Unemployment Benefits and Transition Allowances</w:t>
      </w:r>
    </w:p>
    <w:p>
      <w:pPr>
        <w:pStyle w:val="Normal"/>
        <w:spacing w:before="0" w:after="0"/>
        <w:rPr/>
      </w:pPr>
      <w:r>
        <w:rPr/>
      </w:r>
    </w:p>
    <w:p>
      <w:pPr>
        <w:pStyle w:val="Heading3"/>
        <w:keepNext/>
        <w:widowControl/>
        <w:spacing w:before="140" w:after="60"/>
        <w:rPr/>
      </w:pPr>
      <w:r>
        <w:rPr/>
        <w:t>(i) For workers in designated Transition Sectors who cannot immediately secure employment at or near prior wage levels, each Party shall provide Transition Allowances (supplemental payments) at the following levels:</w:t>
      </w:r>
    </w:p>
    <w:p>
      <w:pPr>
        <w:pStyle w:val="Normal"/>
        <w:spacing w:before="0" w:after="0"/>
        <w:rPr/>
      </w:pPr>
      <w:r>
        <w:rPr/>
      </w:r>
    </w:p>
    <w:p>
      <w:pPr>
        <w:pStyle w:val="ListBullet"/>
        <w:widowControl/>
        <w:numPr>
          <w:ilvl w:val="0"/>
          <w:numId w:val="1"/>
        </w:numPr>
        <w:spacing w:before="0" w:after="60"/>
        <w:contextualSpacing/>
        <w:rPr/>
      </w:pPr>
      <w:r>
        <w:rPr/>
        <w:t xml:space="preserve">— </w:t>
      </w:r>
      <w:r>
        <w:rPr/>
        <w:t>If new employment wage is 50–74% of prior wage: Supplement of 25–50% of prior wage difference for up to 24 additional months</w:t>
        <w:br/>
        <w:t>— If new employment wage is &lt;50% of prior wage: Supplement of 50% of prior wage difference for up to 36 additional months</w:t>
      </w:r>
    </w:p>
    <w:p>
      <w:pPr>
        <w:pStyle w:val="Normal"/>
        <w:spacing w:before="0" w:after="0"/>
        <w:rPr/>
      </w:pPr>
      <w:r>
        <w:rPr/>
      </w:r>
    </w:p>
    <w:p>
      <w:pPr>
        <w:pStyle w:val="Normal"/>
        <w:widowControl/>
        <w:spacing w:before="0" w:after="120"/>
        <w:rPr/>
      </w:pPr>
      <w:r>
        <w:rPr/>
        <w:t>(ii) These supplemental payments are in addition to the income replacement specified in (a).</w:t>
      </w:r>
    </w:p>
    <w:p>
      <w:pPr>
        <w:pStyle w:val="Normal"/>
        <w:spacing w:before="0" w:after="0"/>
        <w:rPr/>
      </w:pPr>
      <w:r>
        <w:rPr/>
      </w:r>
    </w:p>
    <w:p>
      <w:pPr>
        <w:pStyle w:val="Heading3"/>
        <w:keepNext/>
        <w:widowControl/>
        <w:spacing w:before="140" w:after="60"/>
        <w:rPr/>
      </w:pPr>
      <w:r>
        <w:rPr/>
        <w:t>(c) Early Retirement and Phased Retirement</w:t>
      </w:r>
    </w:p>
    <w:p>
      <w:pPr>
        <w:pStyle w:val="Normal"/>
        <w:spacing w:before="0" w:after="0"/>
        <w:rPr/>
      </w:pPr>
      <w:r>
        <w:rPr/>
      </w:r>
    </w:p>
    <w:p>
      <w:pPr>
        <w:pStyle w:val="Heading3"/>
        <w:keepNext/>
        <w:widowControl/>
        <w:spacing w:before="140" w:after="60"/>
        <w:rPr/>
      </w:pPr>
      <w:r>
        <w:rPr/>
        <w:t>(i) For workers aged 55 or older in designated Transition Sectors, each Party shall offer early retirement or phased-retirement options with:</w:t>
      </w:r>
    </w:p>
    <w:p>
      <w:pPr>
        <w:pStyle w:val="Normal"/>
        <w:spacing w:before="0" w:after="0"/>
        <w:rPr/>
      </w:pPr>
      <w:r>
        <w:rPr/>
      </w:r>
    </w:p>
    <w:p>
      <w:pPr>
        <w:pStyle w:val="ListBullet"/>
        <w:widowControl/>
        <w:numPr>
          <w:ilvl w:val="0"/>
          <w:numId w:val="1"/>
        </w:numPr>
        <w:spacing w:before="0" w:after="60"/>
        <w:contextualSpacing/>
        <w:rPr/>
      </w:pPr>
      <w:r>
        <w:rPr/>
        <w:t xml:space="preserve">— </w:t>
      </w:r>
      <w:r>
        <w:rPr/>
        <w:t>Full preservation of pension and retirement benefit entitlements</w:t>
        <w:br/>
        <w:t>— No actuarial reduction in monthly benefit payments due to early claim</w:t>
        <w:br/>
        <w:t>— Bridge income (if necessary) to reach age 62 (U.S./Mexico) or 65 (Canada) at levels of at least 80% of prior wage</w:t>
      </w:r>
    </w:p>
    <w:p>
      <w:pPr>
        <w:pStyle w:val="Normal"/>
        <w:spacing w:before="0" w:after="0"/>
        <w:rPr/>
      </w:pPr>
      <w:r>
        <w:rPr/>
      </w:r>
    </w:p>
    <w:p>
      <w:pPr>
        <w:pStyle w:val="Normal"/>
        <w:widowControl/>
        <w:spacing w:before="0" w:after="120"/>
        <w:rPr/>
      </w:pPr>
      <w:r>
        <w:rPr/>
        <w:t>(ii) Early retirement shall be genuinely voluntary and must be offered before involuntary layoff.</w:t>
      </w:r>
    </w:p>
    <w:p>
      <w:pPr>
        <w:pStyle w:val="Normal"/>
        <w:spacing w:before="0" w:after="0"/>
        <w:rPr/>
      </w:pPr>
      <w:r>
        <w:rPr/>
      </w:r>
    </w:p>
    <w:p>
      <w:pPr>
        <w:pStyle w:val="Heading3"/>
        <w:keepNext/>
        <w:widowControl/>
        <w:spacing w:before="140" w:after="60"/>
        <w:rPr/>
      </w:pPr>
      <w:r>
        <w:rPr/>
        <w:t>(d) Transition to Self-Employment and Entrepreneurship</w:t>
      </w:r>
    </w:p>
    <w:p>
      <w:pPr>
        <w:pStyle w:val="Normal"/>
        <w:spacing w:before="0" w:after="0"/>
        <w:rPr/>
      </w:pPr>
      <w:r>
        <w:rPr/>
      </w:r>
    </w:p>
    <w:p>
      <w:pPr>
        <w:pStyle w:val="Heading3"/>
        <w:keepNext/>
        <w:widowControl/>
        <w:spacing w:before="140" w:after="60"/>
        <w:rPr/>
      </w:pPr>
      <w:r>
        <w:rPr/>
        <w:t>(i) Workers transitioning to self-employment, cooperative enterprises, or worker-ownership models shall receive:</w:t>
      </w:r>
    </w:p>
    <w:p>
      <w:pPr>
        <w:pStyle w:val="Normal"/>
        <w:spacing w:before="0" w:after="0"/>
        <w:rPr/>
      </w:pPr>
      <w:r>
        <w:rPr/>
      </w:r>
    </w:p>
    <w:p>
      <w:pPr>
        <w:pStyle w:val="ListBullet"/>
        <w:widowControl/>
        <w:numPr>
          <w:ilvl w:val="0"/>
          <w:numId w:val="1"/>
        </w:numPr>
        <w:spacing w:before="0" w:after="60"/>
        <w:contextualSpacing/>
        <w:rPr/>
      </w:pPr>
      <w:r>
        <w:rPr/>
        <w:t xml:space="preserve">— </w:t>
      </w:r>
      <w:r>
        <w:rPr/>
        <w:t>Startup capital grants of up to $25,000 USD per worker</w:t>
        <w:br/>
        <w:t>— Business planning and technical assistance</w:t>
        <w:br/>
        <w:t>— Liability insurance coverage for up to 24 months</w:t>
        <w:br/>
        <w:t>— Extension of Income Replacement payments (at 50% level) during first 18 months of business launch</w:t>
      </w:r>
    </w:p>
    <w:p>
      <w:pPr>
        <w:pStyle w:val="Normal"/>
        <w:spacing w:before="0" w:after="0"/>
        <w:rPr/>
      </w:pPr>
      <w:r>
        <w:rPr/>
      </w:r>
    </w:p>
    <w:p>
      <w:pPr>
        <w:pStyle w:val="Heading3"/>
        <w:keepNext/>
        <w:widowControl/>
        <w:spacing w:before="140" w:after="60"/>
        <w:rPr/>
      </w:pPr>
      <w:r>
        <w:rPr/>
        <w:t>(e) Universal Accessibility</w:t>
      </w:r>
    </w:p>
    <w:p>
      <w:pPr>
        <w:pStyle w:val="Normal"/>
        <w:spacing w:before="0" w:after="0"/>
        <w:rPr/>
      </w:pPr>
      <w:r>
        <w:rPr/>
      </w:r>
    </w:p>
    <w:p>
      <w:pPr>
        <w:pStyle w:val="Heading3"/>
        <w:keepNext/>
        <w:widowControl/>
        <w:spacing w:before="140" w:after="60"/>
        <w:rPr/>
      </w:pPr>
      <w:r>
        <w:rPr/>
        <w:t>(i) All programs under this Article shall be accessible to all Affected Workers without regard to immigration status, employment type, or sector.</w:t>
      </w:r>
    </w:p>
    <w:p>
      <w:pPr>
        <w:pStyle w:val="Normal"/>
        <w:spacing w:before="0" w:after="0"/>
        <w:rPr/>
      </w:pPr>
      <w:r>
        <w:rPr/>
      </w:r>
    </w:p>
    <w:p>
      <w:pPr>
        <w:pStyle w:val="Normal"/>
        <w:widowControl/>
        <w:spacing w:before="0" w:after="120"/>
        <w:rPr/>
      </w:pPr>
      <w:r>
        <w:rPr/>
        <w:t>(ii) CRITICALLY: Migrant workers and temporary workers with valid work authorization shall receive full income support benefits. A worker's immigration status shall not affect eligibility or benefit levels.</w:t>
      </w:r>
    </w:p>
    <w:p>
      <w:pPr>
        <w:pStyle w:val="Normal"/>
        <w:spacing w:before="0" w:after="0"/>
        <w:rPr/>
      </w:pPr>
      <w:r>
        <w:rPr/>
      </w:r>
    </w:p>
    <w:p>
      <w:pPr>
        <w:pStyle w:val="Normal"/>
        <w:widowControl/>
        <w:spacing w:before="0" w:after="120"/>
        <w:rPr/>
      </w:pPr>
      <w:r>
        <w:rPr/>
        <w:t>(iii) For workers whose work authorization expires during Income Replacement periods, each Party shall automatically issue a "Transition Work Visa" (see Article 23-B.3(f)) permitting continued residence and work while receiving benefits.</w:t>
      </w:r>
    </w:p>
    <w:p>
      <w:pPr>
        <w:pStyle w:val="Normal"/>
        <w:spacing w:before="0" w:after="0"/>
        <w:rPr/>
      </w:pPr>
      <w:r>
        <w:rPr/>
      </w:r>
    </w:p>
    <w:p>
      <w:pPr>
        <w:pStyle w:val="Normal"/>
        <w:widowControl/>
        <w:spacing w:before="0" w:after="120"/>
        <w:rPr/>
      </w:pPr>
      <w:r>
        <w:rPr/>
        <w:t>(iv) Benefits shall be paid directly to workers and shall not be contingent on employer cooperation or verification.</w:t>
      </w:r>
    </w:p>
    <w:p>
      <w:pPr>
        <w:pStyle w:val="Normal"/>
        <w:spacing w:before="0" w:after="0"/>
        <w:rPr/>
      </w:pPr>
      <w:r>
        <w:rPr/>
      </w:r>
    </w:p>
    <w:p>
      <w:pPr>
        <w:pStyle w:val="Heading3"/>
        <w:keepNext/>
        <w:widowControl/>
        <w:spacing w:before="140" w:after="60"/>
        <w:rPr/>
      </w:pPr>
      <w:r>
        <w:rPr/>
        <w:t>(f) Transition Work Visa (New Provision)</w:t>
      </w:r>
    </w:p>
    <w:p>
      <w:pPr>
        <w:pStyle w:val="Normal"/>
        <w:spacing w:before="0" w:after="0"/>
        <w:rPr/>
      </w:pPr>
      <w:r>
        <w:rPr/>
      </w:r>
    </w:p>
    <w:p>
      <w:pPr>
        <w:pStyle w:val="Normal"/>
        <w:widowControl/>
        <w:spacing w:before="0" w:after="120"/>
        <w:rPr/>
      </w:pPr>
      <w:r>
        <w:rPr/>
        <w:t>Each Party shall create a temporary work visa category, renewable annually for up to 36 months, for Affected Workers (including migrant and temporary workers) in retraining programs or receiving Income Replacement. This visa:</w:t>
      </w:r>
    </w:p>
    <w:p>
      <w:pPr>
        <w:pStyle w:val="Normal"/>
        <w:spacing w:before="0" w:after="0"/>
        <w:rPr/>
      </w:pPr>
      <w:r>
        <w:rPr/>
      </w:r>
    </w:p>
    <w:p>
      <w:pPr>
        <w:pStyle w:val="ListBullet"/>
        <w:widowControl/>
        <w:numPr>
          <w:ilvl w:val="0"/>
          <w:numId w:val="1"/>
        </w:numPr>
        <w:spacing w:before="0" w:after="60"/>
        <w:contextualSpacing/>
        <w:rPr/>
      </w:pPr>
      <w:r>
        <w:rPr/>
        <w:t xml:space="preserve">— </w:t>
      </w:r>
      <w:r>
        <w:rPr/>
        <w:t>Permits unrestricted work authorization and residence</w:t>
        <w:br/>
        <w:t>— Is not employer-specific</w:t>
        <w:br/>
        <w:t>— Carries full access to social benefits in that Party's territory</w:t>
        <w:br/>
        <w:t>— Shall not be revoked based on retraining performance or job-search results</w:t>
      </w:r>
    </w:p>
    <w:p>
      <w:pPr>
        <w:pStyle w:val="Normal"/>
        <w:spacing w:before="0" w:after="0"/>
        <w:rPr/>
      </w:pPr>
      <w:r>
        <w:rPr/>
      </w:r>
    </w:p>
    <w:p>
      <w:pPr>
        <w:pStyle w:val="Heading3"/>
        <w:keepNext/>
        <w:widowControl/>
        <w:spacing w:before="140" w:after="60"/>
        <w:rPr/>
      </w:pPr>
      <w:r>
        <w:rPr/>
        <w:t>(g) Domestic Program Equivalence (Revised and Restricted)</w:t>
      </w:r>
    </w:p>
    <w:p>
      <w:pPr>
        <w:pStyle w:val="Normal"/>
        <w:spacing w:before="0" w:after="0"/>
        <w:rPr/>
      </w:pPr>
      <w:r>
        <w:rPr/>
      </w:r>
    </w:p>
    <w:p>
      <w:pPr>
        <w:pStyle w:val="Normal"/>
        <w:widowControl/>
        <w:spacing w:before="0" w:after="120"/>
        <w:rPr/>
      </w:pPr>
      <w:r>
        <w:rPr/>
        <w:t>A Party may use existing domestic programs to satisfy the obligations of this Article ONLY if:</w:t>
      </w:r>
    </w:p>
    <w:p>
      <w:pPr>
        <w:pStyle w:val="Normal"/>
        <w:spacing w:before="0" w:after="0"/>
        <w:rPr/>
      </w:pPr>
      <w:r>
        <w:rPr/>
      </w:r>
    </w:p>
    <w:p>
      <w:pPr>
        <w:pStyle w:val="Heading3"/>
        <w:keepNext/>
        <w:widowControl/>
        <w:spacing w:before="140" w:after="60"/>
        <w:rPr/>
      </w:pPr>
      <w:r>
        <w:rPr/>
        <w:t>(i) The Commission has independently verified that such programs provide functionally equivalent or greater protection to Affected Workers; AND</w:t>
      </w:r>
    </w:p>
    <w:p>
      <w:pPr>
        <w:pStyle w:val="Normal"/>
        <w:spacing w:before="0" w:after="0"/>
        <w:rPr/>
      </w:pPr>
      <w:r>
        <w:rPr/>
      </w:r>
    </w:p>
    <w:p>
      <w:pPr>
        <w:pStyle w:val="Normal"/>
        <w:widowControl/>
        <w:spacing w:before="0" w:after="120"/>
        <w:rPr/>
      </w:pPr>
      <w:r>
        <w:rPr/>
        <w:t>(ii) The Party submits detailed evidence to the Commission showing that:</w:t>
        <w:br/>
        <w:t>— Income replacement levels meet or exceed the minimums in 23-B.3(a)(i)</w:t>
        <w:br/>
        <w:t>— Benefit duration meets the 36-month minimum</w:t>
        <w:br/>
        <w:t>— Programs are accessible to all Affected Workers regardless of immigration status</w:t>
        <w:br/>
        <w:t>— No existing program has been rolled back or reduced in scope within the past 5 years</w:t>
      </w:r>
    </w:p>
    <w:p>
      <w:pPr>
        <w:pStyle w:val="Normal"/>
        <w:spacing w:before="0" w:after="0"/>
        <w:rPr/>
      </w:pPr>
      <w:r>
        <w:rPr/>
      </w:r>
    </w:p>
    <w:p>
      <w:pPr>
        <w:pStyle w:val="Normal"/>
        <w:widowControl/>
        <w:spacing w:before="0" w:after="120"/>
        <w:rPr/>
      </w:pPr>
      <w:r>
        <w:rPr/>
        <w:t>(iii) Commission verification shall occur within 6 months of Article 23-B.3's entry into force. If verification fails, the Party must establish new programs meeting 23-B.3 standards within 12 months.</w:t>
      </w:r>
    </w:p>
    <w:p>
      <w:pPr>
        <w:pStyle w:val="Normal"/>
        <w:spacing w:before="0" w:after="0"/>
        <w:rPr/>
      </w:pPr>
      <w:r>
        <w:rPr/>
      </w:r>
    </w:p>
    <w:p>
      <w:bookmarkStart w:id="1169" w:name="_NAESTMA_TOC_1169"/>
      <w:pPr>
        <w:pStyle w:val="Heading2"/>
        <w:keepNext/>
        <w:widowControl/>
        <w:spacing w:before="180" w:after="80"/>
        <w:rPr/>
      </w:pPr>
      <w:r>
        <w:rPr/>
        <w:t>Article 23-B.4: Mandatory Skills Development, Reskilling, and Lifelong Learning</w:t>
      </w:r>
      <w:bookmarkEnd w:id="1169"/>
    </w:p>
    <w:p>
      <w:pPr>
        <w:pStyle w:val="Normal"/>
        <w:spacing w:before="0" w:after="0"/>
        <w:rPr/>
      </w:pPr>
      <w:r>
        <w:rPr/>
      </w:r>
    </w:p>
    <w:p>
      <w:pPr>
        <w:pStyle w:val="Normal"/>
        <w:widowControl/>
        <w:spacing w:before="0" w:after="120"/>
        <w:rPr/>
      </w:pPr>
      <w:r>
        <w:rPr/>
        <w:t>Each Party shall establish—and continuously fund—comprehensive programs providing Affected Workers with unconditional access to training, upskilling, reskilling, and lifelong learning opportunities.</w:t>
      </w:r>
    </w:p>
    <w:p>
      <w:pPr>
        <w:pStyle w:val="Normal"/>
        <w:spacing w:before="0" w:after="0"/>
        <w:rPr/>
      </w:pPr>
      <w:r>
        <w:rPr/>
      </w:r>
    </w:p>
    <w:p>
      <w:pPr>
        <w:pStyle w:val="Heading3"/>
        <w:keepNext/>
        <w:widowControl/>
        <w:spacing w:before="140" w:after="60"/>
        <w:rPr/>
      </w:pPr>
      <w:r>
        <w:rPr/>
        <w:t>(a) Right to Paid Training</w:t>
      </w:r>
    </w:p>
    <w:p>
      <w:pPr>
        <w:pStyle w:val="Normal"/>
        <w:spacing w:before="0" w:after="0"/>
        <w:rPr/>
      </w:pPr>
      <w:r>
        <w:rPr/>
      </w:r>
    </w:p>
    <w:p>
      <w:pPr>
        <w:pStyle w:val="Heading3"/>
        <w:keepNext/>
        <w:widowControl/>
        <w:spacing w:before="140" w:after="60"/>
        <w:rPr/>
      </w:pPr>
      <w:r>
        <w:rPr/>
        <w:t>(i) Each Affected Worker in a designated Transition Sector has an unconditional RIGHT to paid training during working hours.</w:t>
      </w:r>
    </w:p>
    <w:p>
      <w:pPr>
        <w:pStyle w:val="Normal"/>
        <w:spacing w:before="0" w:after="0"/>
        <w:rPr/>
      </w:pPr>
      <w:r>
        <w:rPr/>
      </w:r>
    </w:p>
    <w:p>
      <w:pPr>
        <w:pStyle w:val="Normal"/>
        <w:widowControl/>
        <w:spacing w:before="0" w:after="120"/>
        <w:rPr/>
      </w:pPr>
      <w:r>
        <w:rPr/>
        <w:t>(ii) Training shall be compensated at the worker's regular rate of pay. Workers shall not experience any wage loss due to retraining.</w:t>
      </w:r>
    </w:p>
    <w:p>
      <w:pPr>
        <w:pStyle w:val="Normal"/>
        <w:spacing w:before="0" w:after="0"/>
        <w:rPr/>
      </w:pPr>
      <w:r>
        <w:rPr/>
      </w:r>
    </w:p>
    <w:p>
      <w:pPr>
        <w:pStyle w:val="Normal"/>
        <w:widowControl/>
        <w:spacing w:before="0" w:after="120"/>
        <w:rPr/>
      </w:pPr>
      <w:r>
        <w:rPr/>
        <w:t>(iii) Paid training time shall count toward pension and benefit accrual as if the worker had been actively employed.</w:t>
      </w:r>
    </w:p>
    <w:p>
      <w:pPr>
        <w:pStyle w:val="Normal"/>
        <w:spacing w:before="0" w:after="0"/>
        <w:rPr/>
      </w:pPr>
      <w:r>
        <w:rPr/>
      </w:r>
    </w:p>
    <w:p>
      <w:pPr>
        <w:pStyle w:val="Normal"/>
        <w:widowControl/>
        <w:spacing w:before="0" w:after="120"/>
        <w:rPr/>
      </w:pPr>
      <w:r>
        <w:rPr/>
        <w:t>(iv) Minimum training duration: 12 months of full-time (or equivalent part-time) paid training per Affected Worker.</w:t>
      </w:r>
    </w:p>
    <w:p>
      <w:pPr>
        <w:pStyle w:val="Normal"/>
        <w:spacing w:before="0" w:after="0"/>
        <w:rPr/>
      </w:pPr>
      <w:r>
        <w:rPr/>
      </w:r>
    </w:p>
    <w:p>
      <w:pPr>
        <w:pStyle w:val="Heading3"/>
        <w:keepNext/>
        <w:widowControl/>
        <w:spacing w:before="140" w:after="60"/>
        <w:rPr/>
      </w:pPr>
      <w:r>
        <w:rPr/>
        <w:t>(v) Workers selecting part-time training may extend the period up to 24 months while continuing to receive income support.</w:t>
      </w:r>
    </w:p>
    <w:p>
      <w:pPr>
        <w:pStyle w:val="Normal"/>
        <w:spacing w:before="0" w:after="0"/>
        <w:rPr/>
      </w:pPr>
      <w:r>
        <w:rPr/>
      </w:r>
    </w:p>
    <w:p>
      <w:pPr>
        <w:pStyle w:val="Heading3"/>
        <w:keepNext/>
        <w:widowControl/>
        <w:spacing w:before="140" w:after="60"/>
        <w:rPr/>
      </w:pPr>
      <w:r>
        <w:rPr/>
        <w:t>(b) Universal Access to Skills Assessment and Career Counseling</w:t>
      </w:r>
    </w:p>
    <w:p>
      <w:pPr>
        <w:pStyle w:val="Normal"/>
        <w:spacing w:before="0" w:after="0"/>
        <w:rPr/>
      </w:pPr>
      <w:r>
        <w:rPr/>
      </w:r>
    </w:p>
    <w:p>
      <w:pPr>
        <w:pStyle w:val="Heading3"/>
        <w:keepNext/>
        <w:widowControl/>
        <w:spacing w:before="140" w:after="60"/>
        <w:rPr/>
      </w:pPr>
      <w:r>
        <w:rPr/>
        <w:t>(i) Each Party shall provide, at no cost to the worker:</w:t>
      </w:r>
    </w:p>
    <w:p>
      <w:pPr>
        <w:pStyle w:val="Normal"/>
        <w:spacing w:before="0" w:after="0"/>
        <w:rPr/>
      </w:pPr>
      <w:r>
        <w:rPr/>
      </w:r>
    </w:p>
    <w:p>
      <w:pPr>
        <w:pStyle w:val="ListBullet"/>
        <w:widowControl/>
        <w:numPr>
          <w:ilvl w:val="0"/>
          <w:numId w:val="1"/>
        </w:numPr>
        <w:spacing w:before="0" w:after="60"/>
        <w:contextualSpacing/>
        <w:rPr/>
      </w:pPr>
      <w:r>
        <w:rPr/>
        <w:t xml:space="preserve">— </w:t>
      </w:r>
      <w:r>
        <w:rPr/>
        <w:t>Individual skills assessment and occupational aptitude testing</w:t>
        <w:br/>
        <w:t>— Career counseling and transition planning</w:t>
        <w:br/>
        <w:t>— Information on labor market demand and wage prospects</w:t>
        <w:br/>
        <w:t>— Mental health and wellness support during transition</w:t>
      </w:r>
    </w:p>
    <w:p>
      <w:pPr>
        <w:pStyle w:val="Normal"/>
        <w:spacing w:before="0" w:after="0"/>
        <w:rPr/>
      </w:pPr>
      <w:r>
        <w:rPr/>
      </w:r>
    </w:p>
    <w:p>
      <w:pPr>
        <w:pStyle w:val="Normal"/>
        <w:widowControl/>
        <w:spacing w:before="0" w:after="120"/>
        <w:rPr/>
      </w:pPr>
      <w:r>
        <w:rPr/>
        <w:t>(ii) Assessment and counseling shall be available within 30 days of a worker's request.</w:t>
      </w:r>
    </w:p>
    <w:p>
      <w:pPr>
        <w:pStyle w:val="Normal"/>
        <w:spacing w:before="0" w:after="0"/>
        <w:rPr/>
      </w:pPr>
      <w:r>
        <w:rPr/>
      </w:r>
    </w:p>
    <w:p>
      <w:pPr>
        <w:pStyle w:val="Heading3"/>
        <w:keepNext/>
        <w:widowControl/>
        <w:spacing w:before="140" w:after="60"/>
        <w:rPr/>
      </w:pPr>
      <w:r>
        <w:rPr/>
        <w:t>(c) Industry-Recognized Credentials and Certifications</w:t>
      </w:r>
    </w:p>
    <w:p>
      <w:pPr>
        <w:pStyle w:val="Normal"/>
        <w:spacing w:before="0" w:after="0"/>
        <w:rPr/>
      </w:pPr>
      <w:r>
        <w:rPr/>
      </w:r>
    </w:p>
    <w:p>
      <w:pPr>
        <w:pStyle w:val="Heading3"/>
        <w:keepNext/>
        <w:widowControl/>
        <w:spacing w:before="140" w:after="60"/>
        <w:rPr/>
      </w:pPr>
      <w:r>
        <w:rPr/>
        <w:t>(i) All training programs shall result in credentials and certifications that:</w:t>
      </w:r>
    </w:p>
    <w:p>
      <w:pPr>
        <w:pStyle w:val="Normal"/>
        <w:spacing w:before="0" w:after="0"/>
        <w:rPr/>
      </w:pPr>
      <w:r>
        <w:rPr/>
      </w:r>
    </w:p>
    <w:p>
      <w:pPr>
        <w:pStyle w:val="ListBullet"/>
        <w:widowControl/>
        <w:numPr>
          <w:ilvl w:val="0"/>
          <w:numId w:val="1"/>
        </w:numPr>
        <w:spacing w:before="0" w:after="60"/>
        <w:contextualSpacing/>
        <w:rPr/>
      </w:pPr>
      <w:r>
        <w:rPr/>
        <w:t xml:space="preserve">— </w:t>
      </w:r>
      <w:r>
        <w:rPr/>
        <w:t>Are recognized by employers and industry bodies in all three Parties</w:t>
        <w:br/>
        <w:t>— Are portable across employers and sectors</w:t>
        <w:br/>
        <w:t>— Carry portable value across the territories of the Parties (see Article 23-B.4(f))</w:t>
      </w:r>
    </w:p>
    <w:p>
      <w:pPr>
        <w:pStyle w:val="Normal"/>
        <w:spacing w:before="0" w:after="0"/>
        <w:rPr/>
      </w:pPr>
      <w:r>
        <w:rPr/>
      </w:r>
    </w:p>
    <w:p>
      <w:pPr>
        <w:pStyle w:val="Normal"/>
        <w:widowControl/>
        <w:spacing w:before="0" w:after="120"/>
        <w:rPr/>
      </w:pPr>
      <w:r>
        <w:rPr/>
        <w:t>(ii) Training shall prioritize short-form, stackable micro-credentials allowing workers to build qualifications incrementally.</w:t>
      </w:r>
    </w:p>
    <w:p>
      <w:pPr>
        <w:pStyle w:val="Normal"/>
        <w:spacing w:before="0" w:after="0"/>
        <w:rPr/>
      </w:pPr>
      <w:r>
        <w:rPr/>
      </w:r>
    </w:p>
    <w:p>
      <w:pPr>
        <w:pStyle w:val="Normal"/>
        <w:widowControl/>
        <w:spacing w:before="0" w:after="120"/>
        <w:rPr/>
      </w:pPr>
      <w:r>
        <w:rPr/>
        <w:t>(iii) Each Party shall fund credential assessment and certification at no cost to workers.</w:t>
      </w:r>
    </w:p>
    <w:p>
      <w:pPr>
        <w:pStyle w:val="Normal"/>
        <w:spacing w:before="0" w:after="0"/>
        <w:rPr/>
      </w:pPr>
      <w:r>
        <w:rPr/>
      </w:r>
    </w:p>
    <w:p>
      <w:pPr>
        <w:pStyle w:val="Heading3"/>
        <w:keepNext/>
        <w:widowControl/>
        <w:spacing w:before="140" w:after="60"/>
        <w:rPr/>
      </w:pPr>
      <w:r>
        <w:rPr/>
        <w:t>(d) Targeted Programs for Vulnerable Groups</w:t>
      </w:r>
    </w:p>
    <w:p>
      <w:pPr>
        <w:pStyle w:val="Normal"/>
        <w:spacing w:before="0" w:after="0"/>
        <w:rPr/>
      </w:pPr>
      <w:r>
        <w:rPr/>
      </w:r>
    </w:p>
    <w:p>
      <w:pPr>
        <w:pStyle w:val="Normal"/>
        <w:widowControl/>
        <w:spacing w:before="0" w:after="120"/>
        <w:rPr/>
      </w:pPr>
      <w:r>
        <w:rPr/>
        <w:t>Each Party shall establish dedicated retraining pathways for:</w:t>
      </w:r>
    </w:p>
    <w:p>
      <w:pPr>
        <w:pStyle w:val="Normal"/>
        <w:spacing w:before="0" w:after="0"/>
        <w:rPr/>
      </w:pPr>
      <w:r>
        <w:rPr/>
      </w:r>
    </w:p>
    <w:p>
      <w:pPr>
        <w:pStyle w:val="ListBullet"/>
        <w:widowControl/>
        <w:numPr>
          <w:ilvl w:val="0"/>
          <w:numId w:val="1"/>
        </w:numPr>
        <w:spacing w:before="0" w:after="60"/>
        <w:contextualSpacing/>
        <w:rPr/>
      </w:pPr>
      <w:r>
        <w:rPr/>
        <w:t xml:space="preserve">— </w:t>
      </w:r>
      <w:r>
        <w:rPr/>
        <w:t>Older workers (55+) with wage-maintenance and age-discrimination protections</w:t>
        <w:br/>
        <w:t>— Women in traditionally male-dominated transition sectors</w:t>
        <w:br/>
        <w:t>— Indigenous peoples with culturally appropriate training options</w:t>
        <w:br/>
        <w:t>— Racialized workers and recent immigrants facing discrimination</w:t>
        <w:br/>
        <w:t>— Workers with disabilities and access requirements</w:t>
        <w:br/>
        <w:t>— Rural and remote workers with geographic barriers</w:t>
      </w:r>
    </w:p>
    <w:p>
      <w:pPr>
        <w:pStyle w:val="Normal"/>
        <w:spacing w:before="0" w:after="0"/>
        <w:rPr/>
      </w:pPr>
      <w:r>
        <w:rPr/>
      </w:r>
    </w:p>
    <w:p>
      <w:pPr>
        <w:pStyle w:val="Normal"/>
        <w:widowControl/>
        <w:spacing w:before="0" w:after="120"/>
        <w:rPr/>
      </w:pPr>
      <w:r>
        <w:rPr/>
        <w:t>Minimum allocation: 30% of training resources and 40% of Fund allocation shall serve these vulnerable groups.</w:t>
      </w:r>
    </w:p>
    <w:p>
      <w:pPr>
        <w:pStyle w:val="Normal"/>
        <w:spacing w:before="0" w:after="0"/>
        <w:rPr/>
      </w:pPr>
      <w:r>
        <w:rPr/>
      </w:r>
    </w:p>
    <w:p>
      <w:pPr>
        <w:pStyle w:val="Heading3"/>
        <w:keepNext/>
        <w:widowControl/>
        <w:spacing w:before="140" w:after="60"/>
        <w:rPr/>
      </w:pPr>
      <w:r>
        <w:rPr/>
        <w:t>(e) Apprenticeships and On-the-Job Training</w:t>
      </w:r>
    </w:p>
    <w:p>
      <w:pPr>
        <w:pStyle w:val="Normal"/>
        <w:spacing w:before="0" w:after="0"/>
        <w:rPr/>
      </w:pPr>
      <w:r>
        <w:rPr/>
      </w:r>
    </w:p>
    <w:p>
      <w:pPr>
        <w:pStyle w:val="Heading3"/>
        <w:keepNext/>
        <w:widowControl/>
        <w:spacing w:before="140" w:after="60"/>
        <w:rPr/>
      </w:pPr>
      <w:r>
        <w:rPr/>
        <w:t>(i) Each Party shall expand paid apprenticeships and work-integrated learning in growth sectors.</w:t>
      </w:r>
    </w:p>
    <w:p>
      <w:pPr>
        <w:pStyle w:val="Normal"/>
        <w:spacing w:before="0" w:after="0"/>
        <w:rPr/>
      </w:pPr>
      <w:r>
        <w:rPr/>
      </w:r>
    </w:p>
    <w:p>
      <w:pPr>
        <w:pStyle w:val="Normal"/>
        <w:widowControl/>
        <w:spacing w:before="0" w:after="120"/>
        <w:rPr/>
      </w:pPr>
      <w:r>
        <w:rPr/>
        <w:t>(ii) Employer stipends: Each Party shall provide employers with wage subsidies (minimum 50% of apprentice wage) for apprentices and trainees hired from the Affected Worker pool.</w:t>
      </w:r>
    </w:p>
    <w:p>
      <w:pPr>
        <w:pStyle w:val="Normal"/>
        <w:spacing w:before="0" w:after="0"/>
        <w:rPr/>
      </w:pPr>
      <w:r>
        <w:rPr/>
      </w:r>
    </w:p>
    <w:p>
      <w:pPr>
        <w:pStyle w:val="Normal"/>
        <w:widowControl/>
        <w:spacing w:before="0" w:after="120"/>
        <w:rPr/>
      </w:pPr>
      <w:r>
        <w:rPr/>
        <w:t>(iii) Apprenticeships shall include:</w:t>
        <w:br/>
        <w:t>— Full wage compensation at 75%+ of journey-worker rate</w:t>
        <w:br/>
        <w:t>— Portable credentials upon completion</w:t>
        <w:br/>
        <w:t>— Job security (apprentice cannot be dismissed without cause)</w:t>
      </w:r>
    </w:p>
    <w:p>
      <w:pPr>
        <w:pStyle w:val="Normal"/>
        <w:spacing w:before="0" w:after="0"/>
        <w:rPr/>
      </w:pPr>
      <w:r>
        <w:rPr/>
      </w:r>
    </w:p>
    <w:p>
      <w:pPr>
        <w:pStyle w:val="Heading3"/>
        <w:keepNext/>
        <w:widowControl/>
        <w:spacing w:before="140" w:after="60"/>
        <w:rPr/>
      </w:pPr>
      <w:r>
        <w:rPr/>
        <w:t>(f) North American Skills and Credential Recognition Working Group (Strengthened)</w:t>
      </w:r>
    </w:p>
    <w:p>
      <w:pPr>
        <w:pStyle w:val="Normal"/>
        <w:spacing w:before="0" w:after="0"/>
        <w:rPr/>
      </w:pPr>
      <w:r>
        <w:rPr/>
      </w:r>
    </w:p>
    <w:p>
      <w:pPr>
        <w:pStyle w:val="Normal"/>
        <w:widowControl/>
        <w:spacing w:before="0" w:after="120"/>
        <w:rPr/>
      </w:pPr>
      <w:r>
        <w:rPr/>
        <w:t>The Commission shall establish a North American Skills, Credentials and Certification Board (the "Board"), which shall:</w:t>
      </w:r>
    </w:p>
    <w:p>
      <w:pPr>
        <w:pStyle w:val="Normal"/>
        <w:spacing w:before="0" w:after="0"/>
        <w:rPr/>
      </w:pPr>
      <w:r>
        <w:rPr/>
      </w:r>
    </w:p>
    <w:p>
      <w:pPr>
        <w:pStyle w:val="Heading3"/>
        <w:keepNext/>
        <w:widowControl/>
        <w:spacing w:before="140" w:after="60"/>
        <w:rPr/>
      </w:pPr>
      <w:r>
        <w:rPr/>
        <w:t>(i) Have binding authority (not advisory) to:</w:t>
      </w:r>
    </w:p>
    <w:p>
      <w:pPr>
        <w:pStyle w:val="Normal"/>
        <w:spacing w:before="0" w:after="0"/>
        <w:rPr/>
      </w:pPr>
      <w:r>
        <w:rPr/>
      </w:r>
    </w:p>
    <w:p>
      <w:pPr>
        <w:pStyle w:val="ListBullet"/>
        <w:widowControl/>
        <w:numPr>
          <w:ilvl w:val="0"/>
          <w:numId w:val="1"/>
        </w:numPr>
        <w:spacing w:before="0" w:after="60"/>
        <w:contextualSpacing/>
        <w:rPr/>
      </w:pPr>
      <w:r>
        <w:rPr/>
        <w:t xml:space="preserve">— </w:t>
      </w:r>
      <w:r>
        <w:rPr/>
        <w:t>Certify credentials as "North American equivalent" (permitting cross-border recognition)</w:t>
        <w:br/>
        <w:t>— Identify skills gaps and labor market needs across the Parties</w:t>
        <w:br/>
        <w:t>— Establish interoperability standards for credentials, certifications, and micro-credentials</w:t>
        <w:br/>
        <w:t>— Approve training curricula for cross-border portability</w:t>
      </w:r>
    </w:p>
    <w:p>
      <w:pPr>
        <w:pStyle w:val="Normal"/>
        <w:spacing w:before="0" w:after="0"/>
        <w:rPr/>
      </w:pPr>
      <w:r>
        <w:rPr/>
      </w:r>
    </w:p>
    <w:p>
      <w:pPr>
        <w:pStyle w:val="Normal"/>
        <w:widowControl/>
        <w:spacing w:before="0" w:after="120"/>
        <w:rPr/>
      </w:pPr>
      <w:r>
        <w:rPr/>
        <w:t>(ii) Be composed of:</w:t>
        <w:br/>
        <w:t>— Three government representatives (one per Party)</w:t>
        <w:br/>
        <w:t>— Three worker/union representatives (with voting power equal to government)</w:t>
        <w:br/>
        <w:t>— Three employer representatives (with voting power equal to government)</w:t>
        <w:br/>
        <w:t>— One representative from each Party's education/training sector</w:t>
      </w:r>
    </w:p>
    <w:p>
      <w:pPr>
        <w:pStyle w:val="Normal"/>
        <w:spacing w:before="0" w:after="0"/>
        <w:rPr/>
      </w:pPr>
      <w:r>
        <w:rPr/>
      </w:r>
    </w:p>
    <w:p>
      <w:pPr>
        <w:pStyle w:val="Normal"/>
        <w:widowControl/>
        <w:spacing w:before="0" w:after="120"/>
        <w:rPr/>
      </w:pPr>
      <w:r>
        <w:rPr/>
        <w:t>(iii) Make binding decisions by qualified majority (6 of 9 voting members).</w:t>
      </w:r>
    </w:p>
    <w:p>
      <w:pPr>
        <w:pStyle w:val="Normal"/>
        <w:spacing w:before="0" w:after="0"/>
        <w:rPr/>
      </w:pPr>
      <w:r>
        <w:rPr/>
      </w:r>
    </w:p>
    <w:p>
      <w:pPr>
        <w:pStyle w:val="Normal"/>
        <w:widowControl/>
        <w:spacing w:before="0" w:after="120"/>
        <w:rPr/>
      </w:pPr>
      <w:r>
        <w:rPr/>
        <w:t>(iv) Have a secretariat funded by the Commission at a minimum of $5 million USD annually.</w:t>
      </w:r>
    </w:p>
    <w:p>
      <w:pPr>
        <w:pStyle w:val="Normal"/>
        <w:spacing w:before="0" w:after="0"/>
        <w:rPr/>
      </w:pPr>
      <w:r>
        <w:rPr/>
      </w:r>
    </w:p>
    <w:p>
      <w:pPr>
        <w:pStyle w:val="Heading3"/>
        <w:keepNext/>
        <w:widowControl/>
        <w:spacing w:before="140" w:after="60"/>
        <w:rPr/>
      </w:pPr>
      <w:r>
        <w:rPr/>
        <w:t>(v) Publish an annual "North American Skills and Credentials Registry" identifying all recognized credentials and their portability status.</w:t>
      </w:r>
    </w:p>
    <w:p>
      <w:pPr>
        <w:pStyle w:val="Normal"/>
        <w:spacing w:before="0" w:after="0"/>
        <w:rPr/>
      </w:pPr>
      <w:r>
        <w:rPr/>
      </w:r>
    </w:p>
    <w:p>
      <w:pPr>
        <w:pStyle w:val="Normal"/>
        <w:widowControl/>
        <w:spacing w:before="0" w:after="120"/>
        <w:rPr/>
      </w:pPr>
      <w:r>
        <w:rPr/>
        <w:t>(vi) Have authority to initiate financial compliance consequences if a Party blocks or delays credential recognition improperly. Specifically:</w:t>
        <w:br/>
        <w:t>— First violation: 30-day cure period</w:t>
        <w:br/>
        <w:t>— If unresolved: a binding make-whole assessment sufficient to reimburse affected workers for documented credential-assessment, retraining, delayed-employment, and related transition costs, together with an additional contribution to the Fund calibrated to the verified worker loss</w:t>
        <w:br/>
        <w:t>— Pattern of violations: enhanced make-whole payments and additional Fund contributions calibrated to the verified injury, with persistent or deliberate non-compliance eligible for the narrow, issue-related suspension remedies authorized under Article 23-B.11 and Chapter 31 after exhaustion of financial remedies</w:t>
      </w:r>
    </w:p>
    <w:p>
      <w:pPr>
        <w:pStyle w:val="Normal"/>
        <w:spacing w:before="0" w:after="0"/>
        <w:rPr/>
      </w:pPr>
      <w:r>
        <w:rPr/>
      </w:r>
    </w:p>
    <w:p>
      <w:pPr>
        <w:pStyle w:val="Heading3"/>
        <w:keepNext/>
        <w:widowControl/>
        <w:spacing w:before="140" w:after="60"/>
        <w:rPr/>
      </w:pPr>
      <w:r>
        <w:rPr/>
        <w:t>(g) Mandatory Reporting on Training Outcomes</w:t>
      </w:r>
    </w:p>
    <w:p>
      <w:pPr>
        <w:pStyle w:val="Normal"/>
        <w:spacing w:before="0" w:after="0"/>
        <w:rPr/>
      </w:pPr>
      <w:r>
        <w:rPr/>
      </w:r>
    </w:p>
    <w:p>
      <w:pPr>
        <w:pStyle w:val="Normal"/>
        <w:widowControl/>
        <w:spacing w:before="0" w:after="120"/>
        <w:rPr/>
      </w:pPr>
      <w:r>
        <w:rPr/>
        <w:t>Each Party shall submit quarterly (not annual) reports to the Commission on:</w:t>
      </w:r>
    </w:p>
    <w:p>
      <w:pPr>
        <w:pStyle w:val="Normal"/>
        <w:spacing w:before="0" w:after="0"/>
        <w:rPr/>
      </w:pPr>
      <w:r>
        <w:rPr/>
      </w:r>
    </w:p>
    <w:p>
      <w:pPr>
        <w:pStyle w:val="ListBullet"/>
        <w:widowControl/>
        <w:numPr>
          <w:ilvl w:val="0"/>
          <w:numId w:val="1"/>
        </w:numPr>
        <w:spacing w:before="0" w:after="60"/>
        <w:contextualSpacing/>
        <w:rPr/>
      </w:pPr>
      <w:r>
        <w:rPr/>
        <w:t xml:space="preserve">— </w:t>
      </w:r>
      <w:r>
        <w:rPr/>
        <w:t>Number of Affected Workers enrolled in training programs</w:t>
        <w:br/>
        <w:t>— Training completion rates and credential attainment</w:t>
        <w:br/>
        <w:t>— Employment outcomes (reemployment rate, wage recovery)</w:t>
        <w:br/>
        <w:t>— Demographic breakdown of trainees (age, gender, immigration status, ethnicity, disability status)</w:t>
        <w:br/>
        <w:t>— Cost per trainee and training quality metrics</w:t>
      </w:r>
    </w:p>
    <w:p>
      <w:pPr>
        <w:pStyle w:val="Normal"/>
        <w:spacing w:before="0" w:after="0"/>
        <w:rPr/>
      </w:pPr>
      <w:r>
        <w:rPr/>
      </w:r>
    </w:p>
    <w:p>
      <w:pPr>
        <w:pStyle w:val="Normal"/>
        <w:widowControl/>
        <w:spacing w:before="0" w:after="120"/>
        <w:rPr/>
      </w:pPr>
      <w:r>
        <w:rPr/>
        <w:t>Failure to submit timely reports shall trigger a written compliance notice and a mandatory administrative assessment payable to the Fund for each reporting period of continued non-compliance. The assessment shall be calibrated to the materiality and duration of the reporting failure and shall not reduce any worker or community benefit. If the missing report prevents calculation or delivery of benefits, the Party shall additionally make affected workers and communities whole for resulting delay or loss. Persistent or deliberate refusal after cure may be escalated under Article 23-B.11.</w:t>
      </w:r>
    </w:p>
    <w:p>
      <w:pPr>
        <w:pStyle w:val="Normal"/>
        <w:spacing w:before="0" w:after="0"/>
        <w:rPr/>
      </w:pPr>
      <w:r>
        <w:rPr/>
      </w:r>
    </w:p>
    <w:p>
      <w:bookmarkStart w:id="1170" w:name="_NAESTMA_TOC_1170"/>
      <w:pPr>
        <w:pStyle w:val="Heading2"/>
        <w:keepNext/>
        <w:widowControl/>
        <w:spacing w:before="180" w:after="80"/>
        <w:rPr/>
      </w:pPr>
      <w:r>
        <w:rPr/>
        <w:t>Article 23-B.5: Mandatory Portable Benefits and Cross-Border Social Protection</w:t>
      </w:r>
      <w:bookmarkEnd w:id="1170"/>
    </w:p>
    <w:p>
      <w:pPr>
        <w:pStyle w:val="Normal"/>
        <w:spacing w:before="0" w:after="0"/>
        <w:rPr/>
      </w:pPr>
      <w:r>
        <w:rPr/>
      </w:r>
    </w:p>
    <w:p>
      <w:pPr>
        <w:pStyle w:val="Normal"/>
        <w:widowControl/>
        <w:spacing w:before="0" w:after="120"/>
        <w:rPr/>
      </w:pPr>
      <w:r>
        <w:rPr/>
        <w:t>The Parties recognize that labor mobility across North America is essential to economic integration and that workers must not lose social protection, pension accrual, or benefit entitlements when moving between the territories of the Parties.</w:t>
      </w:r>
    </w:p>
    <w:p>
      <w:pPr>
        <w:pStyle w:val="Normal"/>
        <w:spacing w:before="0" w:after="0"/>
        <w:rPr/>
      </w:pPr>
      <w:r>
        <w:rPr/>
      </w:r>
    </w:p>
    <w:p>
      <w:pPr>
        <w:pStyle w:val="Heading3"/>
        <w:keepNext/>
        <w:widowControl/>
        <w:spacing w:before="140" w:after="60"/>
        <w:rPr/>
      </w:pPr>
      <w:r>
        <w:rPr/>
        <w:t>(a) Mandatory Portability of Core Benefits</w:t>
      </w:r>
    </w:p>
    <w:p>
      <w:pPr>
        <w:pStyle w:val="Normal"/>
        <w:spacing w:before="0" w:after="0"/>
        <w:rPr/>
      </w:pPr>
      <w:r>
        <w:rPr/>
      </w:r>
    </w:p>
    <w:p>
      <w:pPr>
        <w:pStyle w:val="Normal"/>
        <w:widowControl/>
        <w:spacing w:before="0" w:after="120"/>
        <w:rPr/>
      </w:pPr>
      <w:r>
        <w:rPr/>
        <w:t>Each Party shall, through legislative amendment if necessary, guarantee the unrestricted portability of the following benefits:</w:t>
      </w:r>
    </w:p>
    <w:p>
      <w:pPr>
        <w:pStyle w:val="Normal"/>
        <w:spacing w:before="0" w:after="0"/>
        <w:rPr/>
      </w:pPr>
      <w:r>
        <w:rPr/>
      </w:r>
    </w:p>
    <w:p>
      <w:pPr>
        <w:pStyle w:val="Heading3"/>
        <w:keepNext/>
        <w:widowControl/>
        <w:spacing w:before="140" w:after="60"/>
        <w:rPr/>
      </w:pPr>
      <w:r>
        <w:rPr/>
        <w:t>(i) Pension and Retirement Benefits</w:t>
      </w:r>
    </w:p>
    <w:p>
      <w:pPr>
        <w:pStyle w:val="Normal"/>
        <w:spacing w:before="0" w:after="0"/>
        <w:rPr/>
      </w:pPr>
      <w:r>
        <w:rPr/>
      </w:r>
    </w:p>
    <w:p>
      <w:pPr>
        <w:pStyle w:val="ListBullet"/>
        <w:widowControl/>
        <w:numPr>
          <w:ilvl w:val="0"/>
          <w:numId w:val="1"/>
        </w:numPr>
        <w:spacing w:before="0" w:after="60"/>
        <w:contextualSpacing/>
        <w:rPr/>
      </w:pPr>
      <w:r>
        <w:rPr/>
        <w:t xml:space="preserve">— </w:t>
      </w:r>
      <w:r>
        <w:rPr/>
        <w:t>All accrued pension benefits from defined-contribution and defined-benefit plans shall be fully transferable between qualified plans in the territories of the Parties</w:t>
        <w:br/>
        <w:t>— No fee, penalty, or actuarial reduction shall be applied to transfers</w:t>
        <w:br/>
        <w:t>— A worker's pension accrual period in one Party shall count toward eligibility and benefit calculations in another Party</w:t>
        <w:br/>
        <w:t>— Minimum vesting period across all Plans: 3 years (or less, at the plan's choice)</w:t>
      </w:r>
    </w:p>
    <w:p>
      <w:pPr>
        <w:pStyle w:val="Normal"/>
        <w:spacing w:before="0" w:after="0"/>
        <w:rPr/>
      </w:pPr>
      <w:r>
        <w:rPr/>
      </w:r>
    </w:p>
    <w:p>
      <w:pPr>
        <w:pStyle w:val="Normal"/>
        <w:widowControl/>
        <w:spacing w:before="0" w:after="120"/>
        <w:rPr/>
      </w:pPr>
      <w:r>
        <w:rPr/>
        <w:t>(ii) Health and Medical Benefits</w:t>
      </w:r>
    </w:p>
    <w:p>
      <w:pPr>
        <w:pStyle w:val="Normal"/>
        <w:spacing w:before="0" w:after="0"/>
        <w:rPr/>
      </w:pPr>
      <w:r>
        <w:rPr/>
      </w:r>
    </w:p>
    <w:p>
      <w:pPr>
        <w:pStyle w:val="ListBullet"/>
        <w:widowControl/>
        <w:numPr>
          <w:ilvl w:val="0"/>
          <w:numId w:val="1"/>
        </w:numPr>
        <w:spacing w:before="0" w:after="60"/>
        <w:contextualSpacing/>
        <w:rPr/>
      </w:pPr>
      <w:r>
        <w:rPr/>
        <w:t xml:space="preserve">— </w:t>
      </w:r>
      <w:r>
        <w:rPr/>
        <w:t>A worker shall maintain continuous health coverage when transitioning between Parties' territories</w:t>
        <w:br/>
        <w:t>— No waiting period for pre-existing conditions</w:t>
        <w:br/>
        <w:t>— Health benefit information and coverage portability documents must be provided in the worker's language of choice</w:t>
      </w:r>
    </w:p>
    <w:p>
      <w:pPr>
        <w:pStyle w:val="Normal"/>
        <w:spacing w:before="0" w:after="0"/>
        <w:rPr/>
      </w:pPr>
      <w:r>
        <w:rPr/>
      </w:r>
    </w:p>
    <w:p>
      <w:pPr>
        <w:pStyle w:val="Normal"/>
        <w:widowControl/>
        <w:spacing w:before="0" w:after="120"/>
        <w:rPr/>
      </w:pPr>
      <w:r>
        <w:rPr/>
        <w:t>(iii) Unemployment Insurance and Income-Support Benefits</w:t>
      </w:r>
    </w:p>
    <w:p>
      <w:pPr>
        <w:pStyle w:val="Normal"/>
        <w:spacing w:before="0" w:after="0"/>
        <w:rPr/>
      </w:pPr>
      <w:r>
        <w:rPr/>
      </w:r>
    </w:p>
    <w:p>
      <w:pPr>
        <w:pStyle w:val="ListBullet"/>
        <w:widowControl/>
        <w:numPr>
          <w:ilvl w:val="0"/>
          <w:numId w:val="1"/>
        </w:numPr>
        <w:spacing w:before="0" w:after="60"/>
        <w:contextualSpacing/>
        <w:rPr/>
      </w:pPr>
      <w:r>
        <w:rPr/>
        <w:t xml:space="preserve">— </w:t>
      </w:r>
      <w:r>
        <w:rPr/>
        <w:t>Periods of contribution or unemployment in one Party count toward eligibility thresholds in another Party</w:t>
        <w:br/>
        <w:t>— Benefits earned in one Party are portable or honored when a worker moves to another Party</w:t>
        <w:br/>
        <w:t>— A worker's right to benefits is not forfeited by changing employment location or sector</w:t>
      </w:r>
    </w:p>
    <w:p>
      <w:pPr>
        <w:pStyle w:val="Normal"/>
        <w:spacing w:before="0" w:after="0"/>
        <w:rPr/>
      </w:pPr>
      <w:r>
        <w:rPr/>
      </w:r>
    </w:p>
    <w:p>
      <w:pPr>
        <w:pStyle w:val="Normal"/>
        <w:widowControl/>
        <w:spacing w:before="0" w:after="120"/>
        <w:rPr/>
      </w:pPr>
      <w:r>
        <w:rPr/>
        <w:t>(iv) Workers' Compensation and Occupational Injury Benefits</w:t>
      </w:r>
    </w:p>
    <w:p>
      <w:pPr>
        <w:pStyle w:val="Normal"/>
        <w:spacing w:before="0" w:after="0"/>
        <w:rPr/>
      </w:pPr>
      <w:r>
        <w:rPr/>
      </w:r>
    </w:p>
    <w:p>
      <w:pPr>
        <w:pStyle w:val="ListBullet"/>
        <w:widowControl/>
        <w:numPr>
          <w:ilvl w:val="0"/>
          <w:numId w:val="1"/>
        </w:numPr>
        <w:spacing w:before="0" w:after="60"/>
        <w:contextualSpacing/>
        <w:rPr/>
      </w:pPr>
      <w:r>
        <w:rPr/>
        <w:t xml:space="preserve">— </w:t>
      </w:r>
      <w:r>
        <w:rPr/>
        <w:t>Coverage is continuous across Party territories</w:t>
        <w:br/>
        <w:t>— Awards, settlements, and ongoing payments for work-related injuries are honored by all Parties</w:t>
        <w:br/>
        <w:t>— A worker's injury history and rights to accommodation follow the worker across borders</w:t>
      </w:r>
    </w:p>
    <w:p>
      <w:pPr>
        <w:pStyle w:val="Normal"/>
        <w:spacing w:before="0" w:after="0"/>
        <w:rPr/>
      </w:pPr>
      <w:r>
        <w:rPr/>
      </w:r>
    </w:p>
    <w:p>
      <w:pPr>
        <w:pStyle w:val="Heading3"/>
        <w:keepNext/>
        <w:widowControl/>
        <w:spacing w:before="140" w:after="60"/>
        <w:rPr/>
      </w:pPr>
      <w:r>
        <w:rPr/>
        <w:t>(v) Paid Leave Entitlements</w:t>
      </w:r>
    </w:p>
    <w:p>
      <w:pPr>
        <w:pStyle w:val="Normal"/>
        <w:spacing w:before="0" w:after="0"/>
        <w:rPr/>
      </w:pPr>
      <w:r>
        <w:rPr/>
      </w:r>
    </w:p>
    <w:p>
      <w:pPr>
        <w:pStyle w:val="ListBullet"/>
        <w:widowControl/>
        <w:numPr>
          <w:ilvl w:val="0"/>
          <w:numId w:val="1"/>
        </w:numPr>
        <w:spacing w:before="0" w:after="60"/>
        <w:contextualSpacing/>
        <w:rPr/>
      </w:pPr>
      <w:r>
        <w:rPr/>
        <w:t xml:space="preserve">— </w:t>
      </w:r>
      <w:r>
        <w:rPr/>
        <w:t>Accrued sick leave, family leave, caregiving leave, and vacation time is portable</w:t>
        <w:br/>
        <w:t>— Unused leave balances are paid out or carried forward at the worker's election when moving between Parties</w:t>
      </w:r>
    </w:p>
    <w:p>
      <w:pPr>
        <w:pStyle w:val="Normal"/>
        <w:spacing w:before="0" w:after="0"/>
        <w:rPr/>
      </w:pPr>
      <w:r>
        <w:rPr/>
      </w:r>
    </w:p>
    <w:p>
      <w:pPr>
        <w:pStyle w:val="Heading3"/>
        <w:keepNext/>
        <w:widowControl/>
        <w:spacing w:before="140" w:after="60"/>
        <w:rPr/>
      </w:pPr>
      <w:r>
        <w:rPr/>
        <w:t>(b) Trilateral Social Security Agreements (Binding Timeline)</w:t>
      </w:r>
    </w:p>
    <w:p>
      <w:pPr>
        <w:pStyle w:val="Normal"/>
        <w:spacing w:before="0" w:after="0"/>
        <w:rPr/>
      </w:pPr>
      <w:r>
        <w:rPr/>
      </w:r>
    </w:p>
    <w:p>
      <w:pPr>
        <w:pStyle w:val="Heading3"/>
        <w:keepNext/>
        <w:widowControl/>
        <w:spacing w:before="140" w:after="60"/>
        <w:rPr/>
      </w:pPr>
      <w:r>
        <w:rPr/>
        <w:t>(i) The Parties shall negotiate and conclude comprehensive bilateral or trilateral social security agreements consistent with OECD guidelines within 18 months of Article 23-B.5's entry into force.</w:t>
      </w:r>
    </w:p>
    <w:p>
      <w:pPr>
        <w:pStyle w:val="Normal"/>
        <w:spacing w:before="0" w:after="0"/>
        <w:rPr/>
      </w:pPr>
      <w:r>
        <w:rPr/>
      </w:r>
    </w:p>
    <w:p>
      <w:pPr>
        <w:pStyle w:val="Normal"/>
        <w:widowControl/>
        <w:spacing w:before="0" w:after="120"/>
        <w:rPr/>
      </w:pPr>
      <w:r>
        <w:rPr/>
        <w:t>(ii) Such agreements shall:</w:t>
      </w:r>
    </w:p>
    <w:p>
      <w:pPr>
        <w:pStyle w:val="Normal"/>
        <w:spacing w:before="0" w:after="0"/>
        <w:rPr/>
      </w:pPr>
      <w:r>
        <w:rPr/>
      </w:r>
    </w:p>
    <w:p>
      <w:pPr>
        <w:pStyle w:val="ListBullet"/>
        <w:widowControl/>
        <w:numPr>
          <w:ilvl w:val="0"/>
          <w:numId w:val="1"/>
        </w:numPr>
        <w:spacing w:before="0" w:after="60"/>
        <w:contextualSpacing/>
        <w:rPr/>
      </w:pPr>
      <w:r>
        <w:rPr/>
        <w:t xml:space="preserve">— </w:t>
      </w:r>
      <w:r>
        <w:rPr/>
        <w:t>Ensure equal treatment of workers regardless of nationality</w:t>
        <w:br/>
        <w:t>— Guarantee accrued benefit rights</w:t>
        <w:br/>
        <w:t>— Establish totalization (period accumulation) rules</w:t>
        <w:br/>
        <w:t>— Facilitate labor mobility</w:t>
        <w:br/>
        <w:t>— Specify coordination of benefits when workers draw from multiple systems</w:t>
      </w:r>
    </w:p>
    <w:p>
      <w:pPr>
        <w:pStyle w:val="Normal"/>
        <w:spacing w:before="0" w:after="0"/>
        <w:rPr/>
      </w:pPr>
      <w:r>
        <w:rPr/>
      </w:r>
    </w:p>
    <w:p>
      <w:pPr>
        <w:pStyle w:val="Normal"/>
        <w:widowControl/>
        <w:spacing w:before="0" w:after="120"/>
        <w:rPr/>
      </w:pPr>
      <w:r>
        <w:rPr/>
        <w:t>(iii) If negotiations are not concluded within 18 months, the Commission shall establish a mandatory arbitration process with 90-day timelines to resolve disputes.</w:t>
      </w:r>
    </w:p>
    <w:p>
      <w:pPr>
        <w:pStyle w:val="Normal"/>
        <w:spacing w:before="0" w:after="0"/>
        <w:rPr/>
      </w:pPr>
      <w:r>
        <w:rPr/>
      </w:r>
    </w:p>
    <w:p>
      <w:pPr>
        <w:pStyle w:val="Heading3"/>
        <w:keepNext/>
        <w:widowControl/>
        <w:spacing w:before="140" w:after="60"/>
        <w:rPr/>
      </w:pPr>
      <w:r>
        <w:rPr/>
        <w:t>(c) Interim Mandatory Steps (Effective Immediately Upon 23-B.5 Entry into Force)</w:t>
      </w:r>
    </w:p>
    <w:p>
      <w:pPr>
        <w:pStyle w:val="Normal"/>
        <w:spacing w:before="0" w:after="0"/>
        <w:rPr/>
      </w:pPr>
      <w:r>
        <w:rPr/>
      </w:r>
    </w:p>
    <w:p>
      <w:pPr>
        <w:pStyle w:val="Normal"/>
        <w:widowControl/>
        <w:spacing w:before="0" w:after="120"/>
        <w:rPr/>
      </w:pPr>
      <w:r>
        <w:rPr/>
        <w:t>Pending conclusion of social security agreements, each Party SHALL:</w:t>
      </w:r>
    </w:p>
    <w:p>
      <w:pPr>
        <w:pStyle w:val="Normal"/>
        <w:spacing w:before="0" w:after="0"/>
        <w:rPr/>
      </w:pPr>
      <w:r>
        <w:rPr/>
      </w:r>
    </w:p>
    <w:p>
      <w:pPr>
        <w:pStyle w:val="Heading3"/>
        <w:keepNext/>
        <w:widowControl/>
        <w:spacing w:before="140" w:after="60"/>
        <w:rPr/>
      </w:pPr>
      <w:r>
        <w:rPr/>
        <w:t>(i) Permit the transfer of pension and retirement account balances between qualified plans in the territories of the Parties without any penalty, fee, or tax consequence. Transfers must be completed within 30 days of request.</w:t>
      </w:r>
    </w:p>
    <w:p>
      <w:pPr>
        <w:pStyle w:val="Normal"/>
        <w:spacing w:before="0" w:after="0"/>
        <w:rPr/>
      </w:pPr>
      <w:r>
        <w:rPr/>
      </w:r>
    </w:p>
    <w:p>
      <w:pPr>
        <w:pStyle w:val="Normal"/>
        <w:widowControl/>
        <w:spacing w:before="0" w:after="120"/>
        <w:rPr/>
      </w:pPr>
      <w:r>
        <w:rPr/>
        <w:t>(ii) Recognize periods of employment and contribution in another Party for purposes of eligibility for social benefits (e.g., unemployment, disability, retirement). Minimum credit: 1 month worked in another Party = 1 month credit toward eligibility.</w:t>
      </w:r>
    </w:p>
    <w:p>
      <w:pPr>
        <w:pStyle w:val="Normal"/>
        <w:spacing w:before="0" w:after="0"/>
        <w:rPr/>
      </w:pPr>
      <w:r>
        <w:rPr/>
      </w:r>
    </w:p>
    <w:p>
      <w:pPr>
        <w:pStyle w:val="Normal"/>
        <w:widowControl/>
        <w:spacing w:before="0" w:after="120"/>
        <w:rPr/>
      </w:pPr>
      <w:r>
        <w:rPr/>
        <w:t>(iii) Provide workers, in writing and in their language of choice, with:</w:t>
      </w:r>
    </w:p>
    <w:p>
      <w:pPr>
        <w:pStyle w:val="Normal"/>
        <w:spacing w:before="0" w:after="0"/>
        <w:rPr/>
      </w:pPr>
      <w:r>
        <w:rPr/>
      </w:r>
    </w:p>
    <w:p>
      <w:pPr>
        <w:pStyle w:val="ListBullet"/>
        <w:widowControl/>
        <w:numPr>
          <w:ilvl w:val="0"/>
          <w:numId w:val="1"/>
        </w:numPr>
        <w:spacing w:before="0" w:after="60"/>
        <w:contextualSpacing/>
        <w:rPr/>
      </w:pPr>
      <w:r>
        <w:rPr/>
        <w:t xml:space="preserve">— </w:t>
      </w:r>
      <w:r>
        <w:rPr/>
        <w:t>A comprehensive benefits statement upon request</w:t>
        <w:br/>
        <w:t>— Explanation of portability options</w:t>
        <w:br/>
        <w:t>— Contacts for benefits questions and assistance</w:t>
        <w:br/>
        <w:t>— A 30-day period to arrange transfers before changing residence</w:t>
      </w:r>
    </w:p>
    <w:p>
      <w:pPr>
        <w:pStyle w:val="Normal"/>
        <w:spacing w:before="0" w:after="0"/>
        <w:rPr/>
      </w:pPr>
      <w:r>
        <w:rPr/>
      </w:r>
    </w:p>
    <w:p>
      <w:pPr>
        <w:pStyle w:val="Normal"/>
        <w:widowControl/>
        <w:spacing w:before="0" w:after="120"/>
        <w:rPr/>
      </w:pPr>
      <w:r>
        <w:rPr/>
        <w:t>(iv) Encourage and permit employers to offer portable benefit options, including:</w:t>
      </w:r>
    </w:p>
    <w:p>
      <w:pPr>
        <w:pStyle w:val="Normal"/>
        <w:spacing w:before="0" w:after="0"/>
        <w:rPr/>
      </w:pPr>
      <w:r>
        <w:rPr/>
      </w:r>
    </w:p>
    <w:p>
      <w:pPr>
        <w:pStyle w:val="ListBullet"/>
        <w:widowControl/>
        <w:numPr>
          <w:ilvl w:val="0"/>
          <w:numId w:val="1"/>
        </w:numPr>
        <w:spacing w:before="0" w:after="60"/>
        <w:contextualSpacing/>
        <w:rPr/>
      </w:pPr>
      <w:r>
        <w:rPr/>
        <w:t xml:space="preserve">— </w:t>
      </w:r>
      <w:r>
        <w:rPr/>
        <w:t>Multi-employer pension plans operating across Party territories</w:t>
        <w:br/>
        <w:t>— Individual savings accounts and portable health savings arrangements</w:t>
        <w:br/>
        <w:t>— Catastrophic health insurance with guaranteed renewal across Parties</w:t>
      </w:r>
    </w:p>
    <w:p>
      <w:pPr>
        <w:pStyle w:val="Normal"/>
        <w:spacing w:before="0" w:after="0"/>
        <w:rPr/>
      </w:pPr>
      <w:r>
        <w:rPr/>
      </w:r>
    </w:p>
    <w:p>
      <w:pPr>
        <w:pStyle w:val="Heading3"/>
        <w:keepNext/>
        <w:widowControl/>
        <w:spacing w:before="140" w:after="60"/>
        <w:rPr/>
      </w:pPr>
      <w:r>
        <w:rPr/>
        <w:t>(d) North American Pension Registry (New Administrative Mechanism)</w:t>
      </w:r>
    </w:p>
    <w:p>
      <w:pPr>
        <w:pStyle w:val="Normal"/>
        <w:spacing w:before="0" w:after="0"/>
        <w:rPr/>
      </w:pPr>
      <w:r>
        <w:rPr/>
      </w:r>
    </w:p>
    <w:p>
      <w:pPr>
        <w:pStyle w:val="Heading3"/>
        <w:keepNext/>
        <w:widowControl/>
        <w:spacing w:before="140" w:after="60"/>
        <w:rPr/>
      </w:pPr>
      <w:r>
        <w:rPr/>
        <w:t>(i) The Commission shall establish a North American Pension Registry—a centralized digital database—to track workers' pension accrual and entitlements across the Parties.</w:t>
      </w:r>
    </w:p>
    <w:p>
      <w:pPr>
        <w:pStyle w:val="Normal"/>
        <w:spacing w:before="0" w:after="0"/>
        <w:rPr/>
      </w:pPr>
      <w:r>
        <w:rPr/>
      </w:r>
    </w:p>
    <w:p>
      <w:pPr>
        <w:pStyle w:val="Normal"/>
        <w:widowControl/>
        <w:spacing w:before="0" w:after="120"/>
        <w:rPr/>
      </w:pPr>
      <w:r>
        <w:rPr/>
        <w:t>(ii) Participation by private and public pension plans is mandatory (with a 12-month transition period). Plans covering &gt;50 workers must enroll immediately.</w:t>
      </w:r>
    </w:p>
    <w:p>
      <w:pPr>
        <w:pStyle w:val="Normal"/>
        <w:spacing w:before="0" w:after="0"/>
        <w:rPr/>
      </w:pPr>
      <w:r>
        <w:rPr/>
      </w:r>
    </w:p>
    <w:p>
      <w:pPr>
        <w:pStyle w:val="Normal"/>
        <w:widowControl/>
        <w:spacing w:before="0" w:after="120"/>
        <w:rPr/>
      </w:pPr>
      <w:r>
        <w:rPr/>
        <w:t>(iii) The Registry shall:</w:t>
      </w:r>
    </w:p>
    <w:p>
      <w:pPr>
        <w:pStyle w:val="Normal"/>
        <w:spacing w:before="0" w:after="0"/>
        <w:rPr/>
      </w:pPr>
      <w:r>
        <w:rPr/>
      </w:r>
    </w:p>
    <w:p>
      <w:pPr>
        <w:pStyle w:val="ListBullet"/>
        <w:widowControl/>
        <w:numPr>
          <w:ilvl w:val="0"/>
          <w:numId w:val="1"/>
        </w:numPr>
        <w:spacing w:before="0" w:after="60"/>
        <w:contextualSpacing/>
        <w:rPr/>
      </w:pPr>
      <w:r>
        <w:rPr/>
        <w:t xml:space="preserve">— </w:t>
      </w:r>
      <w:r>
        <w:rPr/>
        <w:t>Track individual worker pension accounts and accrual across borders</w:t>
        <w:br/>
        <w:t>— Prevent duplicate contributions or benefit loss due to transfer</w:t>
        <w:br/>
        <w:t>— Facilitate vesting and benefit distribution</w:t>
        <w:br/>
        <w:t>— Be accessible to workers in real time</w:t>
      </w:r>
    </w:p>
    <w:p>
      <w:pPr>
        <w:pStyle w:val="Normal"/>
        <w:spacing w:before="0" w:after="0"/>
        <w:rPr/>
      </w:pPr>
      <w:r>
        <w:rPr/>
      </w:r>
    </w:p>
    <w:p>
      <w:pPr>
        <w:pStyle w:val="Normal"/>
        <w:widowControl/>
        <w:spacing w:before="0" w:after="120"/>
        <w:rPr/>
      </w:pPr>
      <w:r>
        <w:rPr/>
        <w:t>(iv) Registry operation is funded by the Commission at $10 million USD annually.</w:t>
      </w:r>
    </w:p>
    <w:p>
      <w:pPr>
        <w:pStyle w:val="Normal"/>
        <w:spacing w:before="0" w:after="0"/>
        <w:rPr/>
      </w:pPr>
      <w:r>
        <w:rPr/>
      </w:r>
    </w:p>
    <w:p>
      <w:pPr>
        <w:pStyle w:val="Heading3"/>
        <w:keepNext/>
        <w:widowControl/>
        <w:spacing w:before="140" w:after="60"/>
        <w:rPr/>
      </w:pPr>
      <w:r>
        <w:rPr/>
        <w:t>(e) Mandatory Amendment of Domestic Law</w:t>
      </w:r>
    </w:p>
    <w:p>
      <w:pPr>
        <w:pStyle w:val="Normal"/>
        <w:spacing w:before="0" w:after="0"/>
        <w:rPr/>
      </w:pPr>
      <w:r>
        <w:rPr/>
      </w:r>
    </w:p>
    <w:p>
      <w:pPr>
        <w:pStyle w:val="Normal"/>
        <w:widowControl/>
        <w:spacing w:before="0" w:after="120"/>
        <w:rPr/>
      </w:pPr>
      <w:r>
        <w:rPr/>
        <w:t>Each Party commits, within 24 months, to amend its domestic legal framework—including pension law, immigration law, unemployment insurance law, and health law—where constitutionally available, or to adopt a demonstrably equivalent lawful mechanism under Article 23-B.10(c), to eliminate barriers to benefit portability without reducing any substantive entitlement in this Chapter. If a Party's law prohibits portability, the Party shall:</w:t>
      </w:r>
    </w:p>
    <w:p>
      <w:pPr>
        <w:pStyle w:val="Normal"/>
        <w:spacing w:before="0" w:after="0"/>
        <w:rPr/>
      </w:pPr>
      <w:r>
        <w:rPr/>
      </w:r>
    </w:p>
    <w:p>
      <w:pPr>
        <w:pStyle w:val="Heading3"/>
        <w:keepNext/>
        <w:widowControl/>
        <w:spacing w:before="140" w:after="60"/>
        <w:rPr/>
      </w:pPr>
      <w:r>
        <w:rPr/>
        <w:t>(i) Notify the Commission of the specific legal barrier within 6 months</w:t>
        <w:br/>
        <w:t>(ii) Submit a legislative proposal for amendment within 12 months</w:t>
        <w:br/>
        <w:t>(iii) Enact the amendment within 24 months or, where that prescribed legislative method is constitutionally unavailable, place an equivalent lawful mechanism into full effect within the same period</w:t>
      </w:r>
    </w:p>
    <w:p>
      <w:pPr>
        <w:pStyle w:val="Normal"/>
        <w:spacing w:before="0" w:after="0"/>
        <w:rPr/>
      </w:pPr>
      <w:r>
        <w:rPr/>
      </w:r>
    </w:p>
    <w:p>
      <w:pPr>
        <w:pStyle w:val="Normal"/>
        <w:widowControl/>
        <w:spacing w:before="0" w:after="120"/>
        <w:rPr/>
      </w:pPr>
      <w:r>
        <w:rPr/>
        <w:t>Failure to deliver the required substantive portability protection within the applicable deadline shall trigger:</w:t>
        <w:br/>
        <w:t>— A mandatory make-whole obligation for workers who incur benefit loss, tax cost, delay, or administrative expense because portability was not provided</w:t>
        <w:br/>
        <w:t>— An additional compliance contribution to the Fund, assessed annually until the substantive protection is delivered</w:t>
        <w:br/>
        <w:t>— Escalation to dispute settlement under Chapter 31 for persistent or deliberate non-compliance</w:t>
        <w:br/>
        <w:t>A Party may satisfy the substantive obligation through an equivalent mechanism under Article 23-B.10(c) where the prescribed legislative method is constitutionally unavailable; workers shall not bear the cost or delay of that substitution.</w:t>
      </w:r>
    </w:p>
    <w:p>
      <w:pPr>
        <w:pStyle w:val="Normal"/>
        <w:spacing w:before="0" w:after="0"/>
        <w:rPr/>
      </w:pPr>
      <w:r>
        <w:rPr/>
      </w:r>
    </w:p>
    <w:p>
      <w:pPr>
        <w:pStyle w:val="Heading3"/>
        <w:keepNext/>
        <w:widowControl/>
        <w:spacing w:before="140" w:after="60"/>
        <w:rPr/>
      </w:pPr>
      <w:r>
        <w:rPr/>
        <w:t>(f) Biennial Reporting</w:t>
      </w:r>
    </w:p>
    <w:p>
      <w:pPr>
        <w:pStyle w:val="Normal"/>
        <w:spacing w:before="0" w:after="0"/>
        <w:rPr/>
      </w:pPr>
      <w:r>
        <w:rPr/>
      </w:r>
    </w:p>
    <w:p>
      <w:pPr>
        <w:pStyle w:val="Normal"/>
        <w:widowControl/>
        <w:spacing w:before="0" w:after="120"/>
        <w:rPr/>
      </w:pPr>
      <w:r>
        <w:rPr/>
        <w:t>The Parties shall report to the Commission biennially (every 2 years, not "biennially" in the aspirational sense) on:</w:t>
      </w:r>
    </w:p>
    <w:p>
      <w:pPr>
        <w:pStyle w:val="Normal"/>
        <w:spacing w:before="0" w:after="0"/>
        <w:rPr/>
      </w:pPr>
      <w:r>
        <w:rPr/>
      </w:r>
    </w:p>
    <w:p>
      <w:pPr>
        <w:pStyle w:val="ListBullet"/>
        <w:widowControl/>
        <w:numPr>
          <w:ilvl w:val="0"/>
          <w:numId w:val="1"/>
        </w:numPr>
        <w:spacing w:before="0" w:after="60"/>
        <w:contextualSpacing/>
        <w:rPr/>
      </w:pPr>
      <w:r>
        <w:rPr/>
        <w:t xml:space="preserve">— </w:t>
      </w:r>
      <w:r>
        <w:rPr/>
        <w:t>Number of workers utilizing portable benefit provisions</w:t>
        <w:br/>
        <w:t>— Benefit transfers completed and amounts involved</w:t>
        <w:br/>
        <w:t>— Barriers encountered and steps taken to resolve them</w:t>
        <w:br/>
        <w:t>— Progress toward social security agreements</w:t>
        <w:br/>
        <w:t>— Amendments to domestic law enacted</w:t>
      </w:r>
    </w:p>
    <w:p>
      <w:pPr>
        <w:pStyle w:val="Normal"/>
        <w:spacing w:before="0" w:after="0"/>
        <w:rPr/>
      </w:pPr>
      <w:r>
        <w:rPr/>
      </w:r>
    </w:p>
    <w:p>
      <w:bookmarkStart w:id="1171" w:name="_NAESTMA_TOC_1171"/>
      <w:pPr>
        <w:pStyle w:val="Heading2"/>
        <w:keepNext/>
        <w:widowControl/>
        <w:spacing w:before="180" w:after="80"/>
        <w:rPr/>
      </w:pPr>
      <w:r>
        <w:rPr/>
        <w:t>Article 23-B.6: Mandatory Community Resilience and Economic Diversification</w:t>
      </w:r>
      <w:bookmarkEnd w:id="1171"/>
    </w:p>
    <w:p>
      <w:pPr>
        <w:pStyle w:val="Normal"/>
        <w:spacing w:before="0" w:after="0"/>
        <w:rPr/>
      </w:pPr>
      <w:r>
        <w:rPr/>
      </w:r>
    </w:p>
    <w:p>
      <w:pPr>
        <w:pStyle w:val="Normal"/>
        <w:widowControl/>
        <w:spacing w:before="0" w:after="120"/>
        <w:rPr/>
      </w:pPr>
      <w:r>
        <w:rPr/>
        <w:t>The Parties recognize that Affected Communities require targeted, proactive, predictable support to diversify their economic bases, attract new investment, and maintain social cohesion during transitions.</w:t>
      </w:r>
    </w:p>
    <w:p>
      <w:pPr>
        <w:pStyle w:val="Normal"/>
        <w:spacing w:before="0" w:after="0"/>
        <w:rPr/>
      </w:pPr>
      <w:r>
        <w:rPr/>
      </w:r>
    </w:p>
    <w:p>
      <w:pPr>
        <w:pStyle w:val="Heading3"/>
        <w:keepNext/>
        <w:widowControl/>
        <w:spacing w:before="140" w:after="60"/>
        <w:rPr/>
      </w:pPr>
      <w:r>
        <w:rPr/>
        <w:t>(a) Mandatory Community Support Programs</w:t>
      </w:r>
    </w:p>
    <w:p>
      <w:pPr>
        <w:pStyle w:val="Normal"/>
        <w:spacing w:before="0" w:after="0"/>
        <w:rPr/>
      </w:pPr>
      <w:r>
        <w:rPr/>
      </w:r>
    </w:p>
    <w:p>
      <w:pPr>
        <w:pStyle w:val="Normal"/>
        <w:widowControl/>
        <w:spacing w:before="0" w:after="120"/>
        <w:rPr/>
      </w:pPr>
      <w:r>
        <w:rPr/>
        <w:t>Each Party shall maintain or establish—and continuously fund—comprehensive programs supporting Affected Communities. For expenditures financed from the North American Just Transition Fund, the percentage allocations in subparagraphs (i) through (vii) below apply within the Community Economic Diversification and Infrastructure allocation established by Article 23-B.7(c)(iii), and not to the Fund as a whole. Domestic expenditures made independently of the Fund may use the same allocation structure but are not counted toward the Fund-wide percentages in Article 23-B.7(c). The Fund Board shall report both the Fund-wide allocation under Article 23-B.7(c) and the internal community-allocation percentages under this Article so that compliance with each tier can be audited independently.</w:t>
      </w:r>
    </w:p>
    <w:p>
      <w:pPr>
        <w:pStyle w:val="Normal"/>
        <w:spacing w:before="0" w:after="0"/>
        <w:rPr/>
      </w:pPr>
      <w:r>
        <w:rPr/>
      </w:r>
    </w:p>
    <w:p>
      <w:pPr>
        <w:pStyle w:val="Heading3"/>
        <w:keepNext/>
        <w:widowControl/>
        <w:spacing w:before="140" w:after="60"/>
        <w:rPr/>
      </w:pPr>
      <w:r>
        <w:rPr/>
        <w:t>(i) Infrastructure Investment: Minimum 20% of the Article 23-B.7(c)(iii) community allocation</w:t>
      </w:r>
    </w:p>
    <w:p>
      <w:pPr>
        <w:pStyle w:val="Normal"/>
        <w:spacing w:before="0" w:after="0"/>
        <w:rPr/>
      </w:pPr>
      <w:r>
        <w:rPr/>
      </w:r>
    </w:p>
    <w:p>
      <w:pPr>
        <w:pStyle w:val="ListBullet"/>
        <w:widowControl/>
        <w:numPr>
          <w:ilvl w:val="0"/>
          <w:numId w:val="1"/>
        </w:numPr>
        <w:spacing w:before="0" w:after="60"/>
        <w:contextualSpacing/>
        <w:rPr/>
      </w:pPr>
      <w:r>
        <w:rPr/>
        <w:t xml:space="preserve">— </w:t>
      </w:r>
      <w:r>
        <w:rPr/>
        <w:t>Broadband and telecommunications infrastructure in rural and remote communities</w:t>
        <w:br/>
        <w:t>— Transportation infrastructure (roads, rail, transit) supporting economic diversification</w:t>
        <w:br/>
        <w:t>— Water, sewer, and energy infrastructure</w:t>
        <w:br/>
        <w:t>— Public facility upgrades (schools, hospitals, community centers)</w:t>
      </w:r>
    </w:p>
    <w:p>
      <w:pPr>
        <w:pStyle w:val="Normal"/>
        <w:spacing w:before="0" w:after="0"/>
        <w:rPr/>
      </w:pPr>
      <w:r>
        <w:rPr/>
      </w:r>
    </w:p>
    <w:p>
      <w:pPr>
        <w:pStyle w:val="Normal"/>
        <w:widowControl/>
        <w:spacing w:before="0" w:after="120"/>
        <w:rPr/>
      </w:pPr>
      <w:r>
        <w:rPr/>
        <w:t>(ii) Business Development and Entrepreneurship: Minimum 15% of the Article 23-B.7(c)(iii) community allocation</w:t>
      </w:r>
    </w:p>
    <w:p>
      <w:pPr>
        <w:pStyle w:val="Normal"/>
        <w:spacing w:before="0" w:after="0"/>
        <w:rPr/>
      </w:pPr>
      <w:r>
        <w:rPr/>
      </w:r>
    </w:p>
    <w:p>
      <w:pPr>
        <w:pStyle w:val="ListBullet"/>
        <w:widowControl/>
        <w:numPr>
          <w:ilvl w:val="0"/>
          <w:numId w:val="1"/>
        </w:numPr>
        <w:spacing w:before="0" w:after="60"/>
        <w:contextualSpacing/>
        <w:rPr/>
      </w:pPr>
      <w:r>
        <w:rPr/>
        <w:t xml:space="preserve">— </w:t>
      </w:r>
      <w:r>
        <w:rPr/>
        <w:t>Small business startup grants and loans at favorable terms</w:t>
        <w:br/>
        <w:t>— Seed capital for cooperatives and worker-ownership enterprises</w:t>
        <w:br/>
        <w:t>— Business incubation and technical assistance programs</w:t>
        <w:br/>
        <w:t>— Access to markets and procurement for small and medium enterprises (SMEs)</w:t>
      </w:r>
    </w:p>
    <w:p>
      <w:pPr>
        <w:pStyle w:val="Normal"/>
        <w:spacing w:before="0" w:after="0"/>
        <w:rPr/>
      </w:pPr>
      <w:r>
        <w:rPr/>
      </w:r>
    </w:p>
    <w:p>
      <w:pPr>
        <w:pStyle w:val="Normal"/>
        <w:widowControl/>
        <w:spacing w:before="0" w:after="120"/>
        <w:rPr/>
      </w:pPr>
      <w:r>
        <w:rPr/>
        <w:t>(iii) Economic Diversification Planning: Minimum 10% of the Article 23-B.7(c)(iii) community allocation</w:t>
      </w:r>
    </w:p>
    <w:p>
      <w:pPr>
        <w:pStyle w:val="Normal"/>
        <w:spacing w:before="0" w:after="0"/>
        <w:rPr/>
      </w:pPr>
      <w:r>
        <w:rPr/>
      </w:r>
    </w:p>
    <w:p>
      <w:pPr>
        <w:pStyle w:val="ListBullet"/>
        <w:widowControl/>
        <w:numPr>
          <w:ilvl w:val="0"/>
          <w:numId w:val="1"/>
        </w:numPr>
        <w:spacing w:before="0" w:after="60"/>
        <w:contextualSpacing/>
        <w:rPr/>
      </w:pPr>
      <w:r>
        <w:rPr/>
        <w:t xml:space="preserve">— </w:t>
      </w:r>
      <w:r>
        <w:rPr/>
        <w:t>Technical assistance to develop community economic diversification strategies</w:t>
        <w:br/>
        <w:t>— Support for regional economic development organizations</w:t>
        <w:br/>
        <w:t>— Labor market research and workforce planning</w:t>
        <w:br/>
        <w:t>— Industry recruitment and workforce preparation</w:t>
      </w:r>
    </w:p>
    <w:p>
      <w:pPr>
        <w:pStyle w:val="Normal"/>
        <w:spacing w:before="0" w:after="0"/>
        <w:rPr/>
      </w:pPr>
      <w:r>
        <w:rPr/>
      </w:r>
    </w:p>
    <w:p>
      <w:pPr>
        <w:pStyle w:val="Normal"/>
        <w:widowControl/>
        <w:spacing w:before="0" w:after="120"/>
        <w:rPr/>
      </w:pPr>
      <w:r>
        <w:rPr/>
        <w:t>(iv) Education and Training Facilities: Minimum 10% of the Article 23-B.7(c)(iii) community allocation</w:t>
      </w:r>
    </w:p>
    <w:p>
      <w:pPr>
        <w:pStyle w:val="Normal"/>
        <w:spacing w:before="0" w:after="0"/>
        <w:rPr/>
      </w:pPr>
      <w:r>
        <w:rPr/>
      </w:r>
    </w:p>
    <w:p>
      <w:pPr>
        <w:pStyle w:val="ListBullet"/>
        <w:widowControl/>
        <w:numPr>
          <w:ilvl w:val="0"/>
          <w:numId w:val="1"/>
        </w:numPr>
        <w:spacing w:before="0" w:after="60"/>
        <w:contextualSpacing/>
        <w:rPr/>
      </w:pPr>
      <w:r>
        <w:rPr/>
        <w:t xml:space="preserve">— </w:t>
      </w:r>
      <w:r>
        <w:rPr/>
        <w:t>Construction and operation of regional training centers</w:t>
        <w:br/>
        <w:t>— Equipment and technology for skills training</w:t>
        <w:br/>
        <w:t>— Support for community colleges and vocational institutions</w:t>
        <w:br/>
        <w:t>— Partnerships with employers for apprenticeships and work-integrated learning</w:t>
      </w:r>
    </w:p>
    <w:p>
      <w:pPr>
        <w:pStyle w:val="Normal"/>
        <w:spacing w:before="0" w:after="0"/>
        <w:rPr/>
      </w:pPr>
      <w:r>
        <w:rPr/>
      </w:r>
    </w:p>
    <w:p>
      <w:pPr>
        <w:pStyle w:val="Heading3"/>
        <w:keepNext/>
        <w:widowControl/>
        <w:spacing w:before="140" w:after="60"/>
        <w:rPr/>
      </w:pPr>
      <w:r>
        <w:rPr/>
        <w:t>(v) Environmental Remediation and Site Repurposing: Minimum 10% of the Article 23-B.7(c)(iii) community allocation</w:t>
      </w:r>
    </w:p>
    <w:p>
      <w:pPr>
        <w:pStyle w:val="Normal"/>
        <w:spacing w:before="0" w:after="0"/>
        <w:rPr/>
      </w:pPr>
      <w:r>
        <w:rPr/>
      </w:r>
    </w:p>
    <w:p>
      <w:pPr>
        <w:pStyle w:val="ListBullet"/>
        <w:widowControl/>
        <w:numPr>
          <w:ilvl w:val="0"/>
          <w:numId w:val="1"/>
        </w:numPr>
        <w:spacing w:before="0" w:after="60"/>
        <w:contextualSpacing/>
        <w:rPr/>
      </w:pPr>
      <w:r>
        <w:rPr/>
        <w:t xml:space="preserve">— </w:t>
      </w:r>
      <w:r>
        <w:rPr/>
        <w:t>Assessment and remediation of contaminated industrial sites</w:t>
        <w:br/>
        <w:t>— Brownfield redevelopment</w:t>
        <w:br/>
        <w:t>— Repurposing of abandoned facilities for new economic uses</w:t>
        <w:br/>
        <w:t>— Environmental restoration of mining, forestry, and energy sites</w:t>
      </w:r>
    </w:p>
    <w:p>
      <w:pPr>
        <w:pStyle w:val="Normal"/>
        <w:spacing w:before="0" w:after="0"/>
        <w:rPr/>
      </w:pPr>
      <w:r>
        <w:rPr/>
      </w:r>
    </w:p>
    <w:p>
      <w:pPr>
        <w:pStyle w:val="Normal"/>
        <w:widowControl/>
        <w:spacing w:before="0" w:after="120"/>
        <w:rPr/>
      </w:pPr>
      <w:r>
        <w:rPr/>
        <w:t>(vi) Community Amenities and Social Cohesion: Minimum 5% of the Article 23-B.7(c)(iii) community allocation</w:t>
      </w:r>
    </w:p>
    <w:p>
      <w:pPr>
        <w:pStyle w:val="Normal"/>
        <w:spacing w:before="0" w:after="0"/>
        <w:rPr/>
      </w:pPr>
      <w:r>
        <w:rPr/>
      </w:r>
    </w:p>
    <w:p>
      <w:pPr>
        <w:pStyle w:val="ListBullet"/>
        <w:widowControl/>
        <w:numPr>
          <w:ilvl w:val="0"/>
          <w:numId w:val="1"/>
        </w:numPr>
        <w:spacing w:before="0" w:after="60"/>
        <w:contextualSpacing/>
        <w:rPr/>
      </w:pPr>
      <w:r>
        <w:rPr/>
        <w:t xml:space="preserve">— </w:t>
      </w:r>
      <w:r>
        <w:rPr/>
        <w:t>Arts, culture, and recreational facilities</w:t>
        <w:br/>
        <w:t>— Community gathering spaces</w:t>
        <w:br/>
        <w:t>— Mental health and wellness programs</w:t>
        <w:br/>
        <w:t>— Social cohesion and community engagement initiatives</w:t>
      </w:r>
    </w:p>
    <w:p>
      <w:pPr>
        <w:pStyle w:val="Normal"/>
        <w:spacing w:before="0" w:after="0"/>
        <w:rPr/>
      </w:pPr>
      <w:r>
        <w:rPr/>
      </w:r>
    </w:p>
    <w:p>
      <w:pPr>
        <w:pStyle w:val="Normal"/>
        <w:widowControl/>
        <w:spacing w:before="0" w:after="120"/>
        <w:rPr/>
      </w:pPr>
      <w:r>
        <w:rPr/>
        <w:t>(vii) Administrative and Technical Assistance: Minimum 5% of the Article 23-B.7(c)(iii) community allocation</w:t>
      </w:r>
    </w:p>
    <w:p>
      <w:pPr>
        <w:pStyle w:val="Normal"/>
        <w:spacing w:before="0" w:after="0"/>
        <w:rPr/>
      </w:pPr>
      <w:r>
        <w:rPr/>
      </w:r>
    </w:p>
    <w:p>
      <w:pPr>
        <w:pStyle w:val="Heading3"/>
        <w:keepNext/>
        <w:widowControl/>
        <w:spacing w:before="140" w:after="60"/>
        <w:rPr/>
      </w:pPr>
      <w:r>
        <w:rPr/>
        <w:t>(b) Comprehensive Community Engagement and Participatory Governance</w:t>
      </w:r>
    </w:p>
    <w:p>
      <w:pPr>
        <w:pStyle w:val="Normal"/>
        <w:spacing w:before="0" w:after="0"/>
        <w:rPr/>
      </w:pPr>
      <w:r>
        <w:rPr/>
      </w:r>
    </w:p>
    <w:p>
      <w:pPr>
        <w:pStyle w:val="Normal"/>
        <w:widowControl/>
        <w:spacing w:before="0" w:after="120"/>
        <w:rPr/>
      </w:pPr>
      <w:r>
        <w:rPr/>
        <w:t>Each Party shall ensure that Affected Communities have genuine voice and decision-making power in transition planning and Fund allocation. Specifically:</w:t>
      </w:r>
    </w:p>
    <w:p>
      <w:pPr>
        <w:pStyle w:val="Normal"/>
        <w:spacing w:before="0" w:after="0"/>
        <w:rPr/>
      </w:pPr>
      <w:r>
        <w:rPr/>
      </w:r>
    </w:p>
    <w:p>
      <w:pPr>
        <w:pStyle w:val="Heading3"/>
        <w:keepNext/>
        <w:widowControl/>
        <w:spacing w:before="140" w:after="60"/>
        <w:rPr/>
      </w:pPr>
      <w:r>
        <w:rPr/>
        <w:t>(i) Early Notification: When a community is identified as "Affected," the Party shall notify the community and the Commission within 30 days.</w:t>
      </w:r>
    </w:p>
    <w:p>
      <w:pPr>
        <w:pStyle w:val="Normal"/>
        <w:spacing w:before="0" w:after="0"/>
        <w:rPr/>
      </w:pPr>
      <w:r>
        <w:rPr/>
      </w:r>
    </w:p>
    <w:p>
      <w:pPr>
        <w:pStyle w:val="Normal"/>
        <w:widowControl/>
        <w:spacing w:before="0" w:after="120"/>
        <w:rPr/>
      </w:pPr>
      <w:r>
        <w:rPr/>
        <w:t>(ii) Community Steering Committees: Each Affected Community shall establish a Community Steering Committee composed of:</w:t>
      </w:r>
    </w:p>
    <w:p>
      <w:pPr>
        <w:pStyle w:val="Normal"/>
        <w:spacing w:before="0" w:after="0"/>
        <w:rPr/>
      </w:pPr>
      <w:r>
        <w:rPr/>
      </w:r>
    </w:p>
    <w:p>
      <w:pPr>
        <w:pStyle w:val="ListBullet"/>
        <w:widowControl/>
        <w:numPr>
          <w:ilvl w:val="0"/>
          <w:numId w:val="1"/>
        </w:numPr>
        <w:spacing w:before="0" w:after="60"/>
        <w:contextualSpacing/>
        <w:rPr/>
      </w:pPr>
      <w:r>
        <w:rPr/>
        <w:t xml:space="preserve">— </w:t>
      </w:r>
      <w:r>
        <w:rPr/>
        <w:t>Elected local government representatives (50% of seats)</w:t>
        <w:br/>
        <w:t>— Affected workers and union representatives (25% of seats)</w:t>
        <w:br/>
        <w:t>— Small business and employer representatives (15% of seats)</w:t>
        <w:br/>
        <w:t>— Indigenous and civil society representatives (10% of seats)</w:t>
      </w:r>
    </w:p>
    <w:p>
      <w:pPr>
        <w:pStyle w:val="Normal"/>
        <w:spacing w:before="0" w:after="0"/>
        <w:rPr/>
      </w:pPr>
      <w:r>
        <w:rPr/>
      </w:r>
    </w:p>
    <w:p>
      <w:pPr>
        <w:pStyle w:val="Normal"/>
        <w:widowControl/>
        <w:spacing w:before="0" w:after="120"/>
        <w:rPr/>
      </w:pPr>
      <w:r>
        <w:rPr/>
        <w:t>(iii) Binding Consultation: Transition plans and Fund allocations require approval by the Community Steering Committee (supermajority: 66% affirmative vote). A Party cannot implement a community transition plan over Community Steering Committee objection.</w:t>
      </w:r>
    </w:p>
    <w:p>
      <w:pPr>
        <w:pStyle w:val="Normal"/>
        <w:spacing w:before="0" w:after="0"/>
        <w:rPr/>
      </w:pPr>
      <w:r>
        <w:rPr/>
      </w:r>
    </w:p>
    <w:p>
      <w:pPr>
        <w:pStyle w:val="Normal"/>
        <w:widowControl/>
        <w:spacing w:before="0" w:after="120"/>
        <w:rPr/>
      </w:pPr>
      <w:r>
        <w:rPr/>
        <w:t>(iv) Transparency and Accountability: All community transition plans, budgets, and expenditures shall be public, and communities shall have access to annual audits and performance reports.</w:t>
      </w:r>
    </w:p>
    <w:p>
      <w:pPr>
        <w:pStyle w:val="Normal"/>
        <w:spacing w:before="0" w:after="0"/>
        <w:rPr/>
      </w:pPr>
      <w:r>
        <w:rPr/>
      </w:r>
    </w:p>
    <w:p>
      <w:pPr>
        <w:pStyle w:val="Heading3"/>
        <w:keepNext/>
        <w:widowControl/>
        <w:spacing w:before="140" w:after="60"/>
        <w:rPr/>
      </w:pPr>
      <w:r>
        <w:rPr/>
        <w:t>(c) Long-Term Community Investment Commitment</w:t>
      </w:r>
    </w:p>
    <w:p>
      <w:pPr>
        <w:pStyle w:val="Normal"/>
        <w:spacing w:before="0" w:after="0"/>
        <w:rPr/>
      </w:pPr>
      <w:r>
        <w:rPr/>
      </w:r>
    </w:p>
    <w:p>
      <w:pPr>
        <w:pStyle w:val="Normal"/>
        <w:widowControl/>
        <w:spacing w:before="0" w:after="120"/>
        <w:rPr/>
      </w:pPr>
      <w:r>
        <w:rPr/>
        <w:t>The commitment to Affected Communities is not time-limited. Fund support shall continue for the period necessary for meaningful economic diversification and recovery—typically 7–15 years depending on the severity of transition. A community cannot be "declared recovered" and defunded until:</w:t>
      </w:r>
    </w:p>
    <w:p>
      <w:pPr>
        <w:pStyle w:val="Normal"/>
        <w:spacing w:before="0" w:after="0"/>
        <w:rPr/>
      </w:pPr>
      <w:r>
        <w:rPr/>
      </w:r>
    </w:p>
    <w:p>
      <w:pPr>
        <w:pStyle w:val="ListBullet"/>
        <w:widowControl/>
        <w:numPr>
          <w:ilvl w:val="0"/>
          <w:numId w:val="1"/>
        </w:numPr>
        <w:spacing w:before="0" w:after="60"/>
        <w:contextualSpacing/>
        <w:rPr/>
      </w:pPr>
      <w:r>
        <w:rPr/>
        <w:t xml:space="preserve">— </w:t>
      </w:r>
      <w:r>
        <w:rPr/>
        <w:t>Unemployment in the community has returned to or fallen below regional average</w:t>
        <w:br/>
        <w:t>— New employment has been created at wage levels comparable to displaced jobs</w:t>
        <w:br/>
        <w:t>— Tax base and public revenue have recovered to pre-transition levels</w:t>
      </w:r>
    </w:p>
    <w:p>
      <w:pPr>
        <w:pStyle w:val="Normal"/>
        <w:spacing w:before="0" w:after="0"/>
        <w:rPr/>
      </w:pPr>
      <w:r>
        <w:rPr/>
      </w:r>
    </w:p>
    <w:p>
      <w:bookmarkStart w:id="1172" w:name="_NAESTMA_TOC_1172"/>
      <w:pPr>
        <w:pStyle w:val="Heading2"/>
        <w:keepNext/>
        <w:widowControl/>
        <w:spacing w:before="180" w:after="80"/>
        <w:rPr/>
      </w:pPr>
      <w:r>
        <w:rPr/>
        <w:t>Article 23-B.7: North American Just Transition Fund (With Binding Financial Commitments)</w:t>
      </w:r>
      <w:bookmarkEnd w:id="1172"/>
    </w:p>
    <w:p>
      <w:pPr>
        <w:pStyle w:val="Normal"/>
        <w:spacing w:before="0" w:after="0"/>
        <w:rPr/>
      </w:pPr>
      <w:r>
        <w:rPr/>
      </w:r>
    </w:p>
    <w:p>
      <w:pPr>
        <w:pStyle w:val="Heading3"/>
        <w:keepNext/>
        <w:widowControl/>
        <w:spacing w:before="140" w:after="60"/>
        <w:rPr/>
      </w:pPr>
      <w:r>
        <w:rPr/>
        <w:t>(a) Establishment and Capitalization</w:t>
      </w:r>
    </w:p>
    <w:p>
      <w:pPr>
        <w:pStyle w:val="Normal"/>
        <w:spacing w:before="0" w:after="0"/>
        <w:rPr/>
      </w:pPr>
      <w:r>
        <w:rPr/>
      </w:r>
    </w:p>
    <w:p>
      <w:pPr>
        <w:pStyle w:val="Heading3"/>
        <w:keepNext/>
        <w:widowControl/>
        <w:spacing w:before="140" w:after="60"/>
        <w:rPr/>
      </w:pPr>
      <w:r>
        <w:rPr/>
        <w:t>(i) The Parties hereby establish a North American Just Transition Fund ("Fund") as a multilateral trust account to provide financial support for the implementation of this Chapter.</w:t>
      </w:r>
    </w:p>
    <w:p>
      <w:pPr>
        <w:pStyle w:val="Normal"/>
        <w:spacing w:before="0" w:after="0"/>
        <w:rPr/>
      </w:pPr>
      <w:r>
        <w:rPr/>
      </w:r>
    </w:p>
    <w:p>
      <w:pPr>
        <w:pStyle w:val="Normal"/>
        <w:widowControl/>
        <w:spacing w:before="0" w:after="120"/>
        <w:rPr/>
      </w:pPr>
      <w:r>
        <w:rPr/>
        <w:t>(ii) MANDATORY FUND CAPITALIZATION:</w:t>
      </w:r>
    </w:p>
    <w:p>
      <w:pPr>
        <w:pStyle w:val="Normal"/>
        <w:spacing w:before="0" w:after="0"/>
        <w:rPr/>
      </w:pPr>
      <w:r>
        <w:rPr/>
      </w:r>
    </w:p>
    <w:p>
      <w:pPr>
        <w:pStyle w:val="Normal"/>
        <w:widowControl/>
        <w:spacing w:before="0" w:after="120"/>
        <w:rPr/>
      </w:pPr>
      <w:r>
        <w:rPr/>
        <w:t>The Fund shall be capitalized at a minimum of:</w:t>
      </w:r>
    </w:p>
    <w:p>
      <w:pPr>
        <w:pStyle w:val="Normal"/>
        <w:spacing w:before="0" w:after="0"/>
        <w:rPr/>
      </w:pPr>
      <w:r>
        <w:rPr/>
      </w:r>
    </w:p>
    <w:p>
      <w:pPr>
        <w:pStyle w:val="Normal"/>
        <w:widowControl/>
        <w:spacing w:before="0" w:after="120"/>
        <w:rPr/>
      </w:pPr>
      <w:r>
        <w:rPr/>
        <w:t>$5 BILLION USD ANNUALLY</w:t>
      </w:r>
    </w:p>
    <w:p>
      <w:pPr>
        <w:pStyle w:val="Normal"/>
        <w:spacing w:before="0" w:after="0"/>
        <w:rPr/>
      </w:pPr>
      <w:r>
        <w:rPr/>
      </w:r>
    </w:p>
    <w:p>
      <w:pPr>
        <w:pStyle w:val="Normal"/>
        <w:widowControl/>
        <w:spacing w:before="0" w:after="120"/>
        <w:rPr/>
      </w:pPr>
      <w:r>
        <w:rPr/>
        <w:t>Beginning January 1, 2027 (or the first full fiscal year after entry into force of this Chapter, whichever is later), and continuing indefinitely.</w:t>
      </w:r>
    </w:p>
    <w:p>
      <w:pPr>
        <w:pStyle w:val="Normal"/>
        <w:spacing w:before="0" w:after="0"/>
        <w:rPr/>
      </w:pPr>
      <w:r>
        <w:rPr/>
      </w:r>
    </w:p>
    <w:p>
      <w:pPr>
        <w:pStyle w:val="Normal"/>
        <w:widowControl/>
        <w:spacing w:before="0" w:after="120"/>
        <w:rPr/>
      </w:pPr>
      <w:r>
        <w:rPr/>
        <w:t>Annual contributions shall be allocated among the Parties as follows:</w:t>
      </w:r>
    </w:p>
    <w:p>
      <w:pPr>
        <w:pStyle w:val="Normal"/>
        <w:spacing w:before="0" w:after="0"/>
        <w:rPr/>
      </w:pPr>
      <w:r>
        <w:rPr/>
      </w:r>
    </w:p>
    <w:p>
      <w:pPr>
        <w:pStyle w:val="ListBullet"/>
        <w:widowControl/>
        <w:numPr>
          <w:ilvl w:val="0"/>
          <w:numId w:val="1"/>
        </w:numPr>
        <w:spacing w:before="0" w:after="60"/>
        <w:contextualSpacing/>
        <w:rPr/>
      </w:pPr>
      <w:r>
        <w:rPr/>
        <w:t xml:space="preserve">— </w:t>
      </w:r>
      <w:r>
        <w:rPr/>
        <w:t>United States: 50% of annual Fund capitalization ($2.5 billion USD)</w:t>
        <w:br/>
        <w:t>— Canada: 30% of annual Fund capitalization ($1.5 billion USD)</w:t>
        <w:br/>
        <w:t>— Mexico: 20% of annual Fund capitalization ($1.0 billion USD)</w:t>
      </w:r>
    </w:p>
    <w:p>
      <w:pPr>
        <w:pStyle w:val="Normal"/>
        <w:spacing w:before="0" w:after="0"/>
        <w:rPr/>
      </w:pPr>
      <w:r>
        <w:rPr/>
      </w:r>
    </w:p>
    <w:p>
      <w:pPr>
        <w:pStyle w:val="Normal"/>
        <w:widowControl/>
        <w:spacing w:before="0" w:after="120"/>
        <w:rPr/>
      </w:pPr>
      <w:r>
        <w:rPr/>
        <w:t>(iii) Annual Adjustments:</w:t>
      </w:r>
    </w:p>
    <w:p>
      <w:pPr>
        <w:pStyle w:val="Normal"/>
        <w:spacing w:before="0" w:after="0"/>
        <w:rPr/>
      </w:pPr>
      <w:r>
        <w:rPr/>
      </w:r>
    </w:p>
    <w:p>
      <w:pPr>
        <w:pStyle w:val="ListBullet"/>
        <w:widowControl/>
        <w:numPr>
          <w:ilvl w:val="0"/>
          <w:numId w:val="1"/>
        </w:numPr>
        <w:spacing w:before="0" w:after="60"/>
        <w:contextualSpacing/>
        <w:rPr/>
      </w:pPr>
      <w:r>
        <w:rPr/>
        <w:t xml:space="preserve">— </w:t>
      </w:r>
      <w:r>
        <w:rPr/>
        <w:t>Fund capitalization shall be indexed annually to inflation (base year = entry into force). Real value of the Fund shall never decrease.</w:t>
        <w:br/>
        <w:t>— Every 3 years, the Commission shall review Fund adequacy. If a Party demonstrates that committed transition spending exceeds available Fund resources, all Parties shall increase Fund capitalization proportionally.</w:t>
      </w:r>
    </w:p>
    <w:p>
      <w:pPr>
        <w:pStyle w:val="Normal"/>
        <w:spacing w:before="0" w:after="0"/>
        <w:rPr/>
      </w:pPr>
      <w:r>
        <w:rPr/>
      </w:r>
    </w:p>
    <w:p>
      <w:pPr>
        <w:pStyle w:val="Normal"/>
        <w:widowControl/>
        <w:spacing w:before="0" w:after="120"/>
        <w:rPr/>
      </w:pPr>
      <w:r>
        <w:rPr/>
        <w:t>(iv) Non-Substitution:</w:t>
      </w:r>
    </w:p>
    <w:p>
      <w:pPr>
        <w:pStyle w:val="Normal"/>
        <w:spacing w:before="0" w:after="0"/>
        <w:rPr/>
      </w:pPr>
      <w:r>
        <w:rPr/>
      </w:r>
    </w:p>
    <w:p>
      <w:pPr>
        <w:pStyle w:val="Normal"/>
        <w:widowControl/>
        <w:spacing w:before="0" w:after="120"/>
        <w:rPr/>
      </w:pPr>
      <w:r>
        <w:rPr/>
        <w:t>Fund contributions are in addition to each Party's domestic worker income support and retraining budgets (Article 23-B.3–4). A Party cannot reduce its domestic programs in order to meet Fund contribution obligations.</w:t>
      </w:r>
    </w:p>
    <w:p>
      <w:pPr>
        <w:pStyle w:val="Normal"/>
        <w:spacing w:before="0" w:after="0"/>
        <w:rPr/>
      </w:pPr>
      <w:r>
        <w:rPr/>
      </w:r>
    </w:p>
    <w:p>
      <w:pPr>
        <w:pStyle w:val="Heading3"/>
        <w:keepNext/>
        <w:widowControl/>
        <w:spacing w:before="140" w:after="60"/>
        <w:rPr/>
      </w:pPr>
      <w:r>
        <w:rPr/>
        <w:t>(v) Collection Mechanism:</w:t>
      </w:r>
    </w:p>
    <w:p>
      <w:pPr>
        <w:pStyle w:val="Normal"/>
        <w:spacing w:before="0" w:after="0"/>
        <w:rPr/>
      </w:pPr>
      <w:r>
        <w:rPr/>
      </w:r>
    </w:p>
    <w:p>
      <w:pPr>
        <w:pStyle w:val="Normal"/>
        <w:widowControl/>
        <w:spacing w:before="0" w:after="120"/>
        <w:rPr/>
      </w:pPr>
      <w:r>
        <w:rPr/>
        <w:t>Each Party shall appropriate and transfer funds to the Commission within 30 days of the start of each fiscal year. Failure to remit timely contributions shall trigger:</w:t>
      </w:r>
    </w:p>
    <w:p>
      <w:pPr>
        <w:pStyle w:val="Normal"/>
        <w:spacing w:before="0" w:after="0"/>
        <w:rPr/>
      </w:pPr>
      <w:r>
        <w:rPr/>
      </w:r>
    </w:p>
    <w:p>
      <w:pPr>
        <w:pStyle w:val="ListBullet"/>
        <w:widowControl/>
        <w:numPr>
          <w:ilvl w:val="0"/>
          <w:numId w:val="1"/>
        </w:numPr>
        <w:spacing w:before="0" w:after="60"/>
        <w:contextualSpacing/>
        <w:rPr/>
      </w:pPr>
      <w:r>
        <w:rPr/>
        <w:t xml:space="preserve">— </w:t>
      </w:r>
      <w:r>
        <w:rPr/>
        <w:t>First month late: Written notice from Commission</w:t>
        <w:br/>
        <w:t>— Second month late: 1% annual interest charge on the overdue amount</w:t>
        <w:br/>
        <w:t>— Third month late: Automatic additional Fund contribution equal to 10% of the overdue amount, without reducing the underlying contribution obligation or any worker or community benefit</w:t>
        <w:br/>
        <w:t>— Fourth month late: Escalation to Chapter 31 (Dispute Settlement); offending Party liable for liquidated damages equal to 2x the overdue amount, with collected amounts credited to the Fund and prioritized for workers and communities whose support was endangered by the delinquency</w:t>
      </w:r>
    </w:p>
    <w:p>
      <w:pPr>
        <w:pStyle w:val="Normal"/>
        <w:spacing w:before="0" w:after="0"/>
        <w:rPr/>
      </w:pPr>
      <w:r>
        <w:rPr/>
      </w:r>
    </w:p>
    <w:p>
      <w:pPr>
        <w:pStyle w:val="Heading3"/>
        <w:keepNext/>
        <w:widowControl/>
        <w:spacing w:before="140" w:after="60"/>
        <w:rPr/>
      </w:pPr>
      <w:r>
        <w:rPr/>
        <w:t>(b) Fund Structure and Governance</w:t>
      </w:r>
    </w:p>
    <w:p>
      <w:pPr>
        <w:pStyle w:val="Normal"/>
        <w:spacing w:before="0" w:after="0"/>
        <w:rPr/>
      </w:pPr>
      <w:r>
        <w:rPr/>
      </w:r>
    </w:p>
    <w:p>
      <w:pPr>
        <w:pStyle w:val="Heading3"/>
        <w:keepNext/>
        <w:widowControl/>
        <w:spacing w:before="140" w:after="60"/>
        <w:rPr/>
      </w:pPr>
      <w:r>
        <w:rPr/>
        <w:t>(i) The Fund shall be administered by a North American Just Transition Fund Board ("Fund Board"), composed of:</w:t>
      </w:r>
    </w:p>
    <w:p>
      <w:pPr>
        <w:pStyle w:val="Normal"/>
        <w:spacing w:before="0" w:after="0"/>
        <w:rPr/>
      </w:pPr>
      <w:r>
        <w:rPr/>
      </w:r>
    </w:p>
    <w:p>
      <w:pPr>
        <w:pStyle w:val="ListBullet"/>
        <w:widowControl/>
        <w:numPr>
          <w:ilvl w:val="0"/>
          <w:numId w:val="1"/>
        </w:numPr>
        <w:spacing w:before="0" w:after="60"/>
        <w:contextualSpacing/>
        <w:rPr/>
      </w:pPr>
      <w:r>
        <w:rPr/>
        <w:t xml:space="preserve">— </w:t>
      </w:r>
      <w:r>
        <w:rPr/>
        <w:t>Three government representatives (one per Party, with voting power)</w:t>
        <w:br/>
        <w:t>— Three worker/union representatives (with full voting power)</w:t>
        <w:br/>
        <w:t>— Three employer/business representatives (with full voting power)</w:t>
        <w:br/>
        <w:t>— One representative from civil society/community organizations (advisory capacity)</w:t>
        <w:br/>
        <w:t>— Fund Board Chair: Elected by majority vote; Chair rotates every 2 years among representatives</w:t>
      </w:r>
    </w:p>
    <w:p>
      <w:pPr>
        <w:pStyle w:val="Normal"/>
        <w:spacing w:before="0" w:after="0"/>
        <w:rPr/>
      </w:pPr>
      <w:r>
        <w:rPr/>
      </w:r>
    </w:p>
    <w:p>
      <w:pPr>
        <w:pStyle w:val="Normal"/>
        <w:widowControl/>
        <w:spacing w:before="0" w:after="120"/>
        <w:rPr/>
      </w:pPr>
      <w:r>
        <w:rPr/>
        <w:t>(ii) The Fund Board shall:</w:t>
      </w:r>
    </w:p>
    <w:p>
      <w:pPr>
        <w:pStyle w:val="Normal"/>
        <w:spacing w:before="0" w:after="0"/>
        <w:rPr/>
      </w:pPr>
      <w:r>
        <w:rPr/>
      </w:r>
    </w:p>
    <w:p>
      <w:pPr>
        <w:pStyle w:val="ListBullet"/>
        <w:widowControl/>
        <w:numPr>
          <w:ilvl w:val="0"/>
          <w:numId w:val="1"/>
        </w:numPr>
        <w:spacing w:before="0" w:after="60"/>
        <w:contextualSpacing/>
        <w:rPr/>
      </w:pPr>
      <w:r>
        <w:rPr/>
        <w:t xml:space="preserve">— </w:t>
      </w:r>
      <w:r>
        <w:rPr/>
        <w:t>Establish criteria and procedures for Fund allocations</w:t>
        <w:br/>
        <w:t>— Review and approve Fund projects and programs</w:t>
        <w:br/>
        <w:t>— Monitor and evaluate the effectiveness of Fund-supported activities</w:t>
        <w:br/>
        <w:t>— Report to the Commission quarterly (not annually)</w:t>
        <w:br/>
        <w:t>— Ensure transparency and accountability in Fund operations</w:t>
        <w:br/>
        <w:t>— Make binding allocation decisions by majority vote</w:t>
      </w:r>
    </w:p>
    <w:p>
      <w:pPr>
        <w:pStyle w:val="Normal"/>
        <w:spacing w:before="0" w:after="0"/>
        <w:rPr/>
      </w:pPr>
      <w:r>
        <w:rPr/>
      </w:r>
    </w:p>
    <w:p>
      <w:pPr>
        <w:pStyle w:val="Normal"/>
        <w:widowControl/>
        <w:spacing w:before="0" w:after="120"/>
        <w:rPr/>
      </w:pPr>
      <w:r>
        <w:rPr/>
        <w:t>(iii) Fund Board decisions may be appealed to the Commission within 30 days if a Party or other stakeholder believes a decision violates this Chapter. Commission review is expedited (60-day timeline).</w:t>
      </w:r>
    </w:p>
    <w:p>
      <w:pPr>
        <w:pStyle w:val="Normal"/>
        <w:spacing w:before="0" w:after="0"/>
        <w:rPr/>
      </w:pPr>
      <w:r>
        <w:rPr/>
      </w:r>
    </w:p>
    <w:p>
      <w:pPr>
        <w:pStyle w:val="Heading3"/>
        <w:keepNext/>
        <w:widowControl/>
        <w:spacing w:before="140" w:after="60"/>
        <w:rPr/>
      </w:pPr>
      <w:r>
        <w:rPr/>
        <w:t>(c) Fund Allocation and Use</w:t>
      </w:r>
    </w:p>
    <w:p>
      <w:pPr>
        <w:pStyle w:val="Normal"/>
        <w:spacing w:before="0" w:after="0"/>
        <w:rPr/>
      </w:pPr>
      <w:r>
        <w:rPr/>
      </w:r>
    </w:p>
    <w:p>
      <w:pPr>
        <w:pStyle w:val="Normal"/>
        <w:widowControl/>
        <w:spacing w:before="0" w:after="120"/>
        <w:rPr/>
      </w:pPr>
      <w:r>
        <w:rPr/>
        <w:t>The Fund shall support the following Fund-wide categories. These percentages are the controlling first-tier allocation of total annual Fund expenditures. The community-program percentages in Article 23-B.6(a) are second-tier allocations applied only within the amount assigned under subparagraph (iii) below and shall not be added independently to these Fund-wide percentages. No accounting treatment may count the same expenditure toward two first-tier categories merely to satisfy a percentage requirement.</w:t>
      </w:r>
    </w:p>
    <w:p>
      <w:pPr>
        <w:pStyle w:val="Normal"/>
        <w:spacing w:before="0" w:after="0"/>
        <w:rPr/>
      </w:pPr>
      <w:r>
        <w:rPr/>
      </w:r>
    </w:p>
    <w:p>
      <w:pPr>
        <w:pStyle w:val="Heading3"/>
        <w:keepNext/>
        <w:widowControl/>
        <w:spacing w:before="140" w:after="60"/>
        <w:rPr/>
      </w:pPr>
      <w:r>
        <w:rPr/>
        <w:t>(i) Worker Income Support and Wage Insurance Programs: Minimum 40% of annual Fund allocation</w:t>
      </w:r>
    </w:p>
    <w:p>
      <w:pPr>
        <w:pStyle w:val="Normal"/>
        <w:spacing w:before="0" w:after="0"/>
        <w:rPr/>
      </w:pPr>
      <w:r>
        <w:rPr/>
      </w:r>
    </w:p>
    <w:p>
      <w:pPr>
        <w:pStyle w:val="Normal"/>
        <w:widowControl/>
        <w:spacing w:before="0" w:after="120"/>
        <w:rPr/>
      </w:pPr>
      <w:r>
        <w:rPr/>
        <w:t>(ii) Worker Retraining, Upskilling, and Skills Development: Minimum 25% of annual Fund allocation</w:t>
      </w:r>
    </w:p>
    <w:p>
      <w:pPr>
        <w:pStyle w:val="Normal"/>
        <w:spacing w:before="0" w:after="0"/>
        <w:rPr/>
      </w:pPr>
      <w:r>
        <w:rPr/>
      </w:r>
    </w:p>
    <w:p>
      <w:pPr>
        <w:pStyle w:val="Normal"/>
        <w:widowControl/>
        <w:spacing w:before="0" w:after="120"/>
        <w:rPr/>
      </w:pPr>
      <w:r>
        <w:rPr/>
        <w:t>(iii) Community Economic Diversification and Infrastructure: Minimum 20% of annual Fund allocation</w:t>
      </w:r>
    </w:p>
    <w:p>
      <w:pPr>
        <w:pStyle w:val="Normal"/>
        <w:spacing w:before="0" w:after="0"/>
        <w:rPr/>
      </w:pPr>
      <w:r>
        <w:rPr/>
      </w:r>
    </w:p>
    <w:p>
      <w:pPr>
        <w:pStyle w:val="Normal"/>
        <w:widowControl/>
        <w:spacing w:before="0" w:after="120"/>
        <w:rPr/>
      </w:pPr>
      <w:r>
        <w:rPr/>
        <w:t>(iv) Research, Technical Assistance, and Capacity Building: Minimum 10% of annual Fund allocation</w:t>
      </w:r>
    </w:p>
    <w:p>
      <w:pPr>
        <w:pStyle w:val="Normal"/>
        <w:spacing w:before="0" w:after="0"/>
        <w:rPr/>
      </w:pPr>
      <w:r>
        <w:rPr/>
      </w:r>
    </w:p>
    <w:p>
      <w:pPr>
        <w:pStyle w:val="Heading3"/>
        <w:keepNext/>
        <w:widowControl/>
        <w:spacing w:before="140" w:after="60"/>
        <w:rPr/>
      </w:pPr>
      <w:r>
        <w:rPr/>
        <w:t>(v) Administrative Operations of Fund Board and reporting: Maximum 5% of annual Fund allocation</w:t>
      </w:r>
    </w:p>
    <w:p>
      <w:pPr>
        <w:pStyle w:val="Normal"/>
        <w:spacing w:before="0" w:after="0"/>
        <w:rPr/>
      </w:pPr>
      <w:r>
        <w:rPr/>
      </w:r>
    </w:p>
    <w:p>
      <w:pPr>
        <w:pStyle w:val="Normal"/>
        <w:widowControl/>
        <w:spacing w:before="0" w:after="120"/>
        <w:rPr/>
      </w:pPr>
      <w:r>
        <w:rPr/>
        <w:t>(vi) Other activities as the Fund Board may approve by consensus</w:t>
      </w:r>
    </w:p>
    <w:p>
      <w:pPr>
        <w:pStyle w:val="Normal"/>
        <w:spacing w:before="0" w:after="0"/>
        <w:rPr/>
      </w:pPr>
      <w:r>
        <w:rPr/>
      </w:r>
    </w:p>
    <w:p>
      <w:pPr>
        <w:pStyle w:val="Heading3"/>
        <w:keepNext/>
        <w:widowControl/>
        <w:spacing w:before="140" w:after="60"/>
        <w:rPr/>
      </w:pPr>
      <w:r>
        <w:rPr/>
        <w:t>(d) Fund Reporting and Transparency</w:t>
      </w:r>
    </w:p>
    <w:p>
      <w:pPr>
        <w:pStyle w:val="Normal"/>
        <w:spacing w:before="0" w:after="0"/>
        <w:rPr/>
      </w:pPr>
      <w:r>
        <w:rPr/>
      </w:r>
    </w:p>
    <w:p>
      <w:pPr>
        <w:pStyle w:val="Heading3"/>
        <w:keepNext/>
        <w:widowControl/>
        <w:spacing w:before="140" w:after="60"/>
        <w:rPr/>
      </w:pPr>
      <w:r>
        <w:rPr/>
        <w:t>(i) Quarterly Reports: The Fund Board shall submit detailed quarterly reports to the Commission detailing:</w:t>
      </w:r>
    </w:p>
    <w:p>
      <w:pPr>
        <w:pStyle w:val="Normal"/>
        <w:spacing w:before="0" w:after="0"/>
        <w:rPr/>
      </w:pPr>
      <w:r>
        <w:rPr/>
      </w:r>
    </w:p>
    <w:p>
      <w:pPr>
        <w:pStyle w:val="ListBullet"/>
        <w:widowControl/>
        <w:numPr>
          <w:ilvl w:val="0"/>
          <w:numId w:val="1"/>
        </w:numPr>
        <w:spacing w:before="0" w:after="60"/>
        <w:contextualSpacing/>
        <w:rPr/>
      </w:pPr>
      <w:r>
        <w:rPr/>
        <w:t xml:space="preserve">— </w:t>
      </w:r>
      <w:r>
        <w:rPr/>
        <w:t>Total contributions and receipts</w:t>
        <w:br/>
        <w:t>— Allocations by category and Party</w:t>
        <w:br/>
        <w:t>— Number of beneficiary workers and affected communities</w:t>
        <w:br/>
        <w:t>— Expenditures and remaining balance</w:t>
        <w:br/>
        <w:t>— Performance metrics (employment outcomes, wage recovery, credential attainment, community recovery indicators)</w:t>
      </w:r>
    </w:p>
    <w:p>
      <w:pPr>
        <w:pStyle w:val="Normal"/>
        <w:spacing w:before="0" w:after="0"/>
        <w:rPr/>
      </w:pPr>
      <w:r>
        <w:rPr/>
      </w:r>
    </w:p>
    <w:p>
      <w:pPr>
        <w:pStyle w:val="Normal"/>
        <w:widowControl/>
        <w:spacing w:before="0" w:after="120"/>
        <w:rPr/>
      </w:pPr>
      <w:r>
        <w:rPr/>
        <w:t>(ii) Annual Audit: The Fund shall be independently audited annually. Audit results shall be public.</w:t>
      </w:r>
    </w:p>
    <w:p>
      <w:pPr>
        <w:pStyle w:val="Normal"/>
        <w:spacing w:before="0" w:after="0"/>
        <w:rPr/>
      </w:pPr>
      <w:r>
        <w:rPr/>
      </w:r>
    </w:p>
    <w:p>
      <w:pPr>
        <w:pStyle w:val="Normal"/>
        <w:widowControl/>
        <w:spacing w:before="0" w:after="120"/>
        <w:rPr/>
      </w:pPr>
      <w:r>
        <w:rPr/>
        <w:t>(iii) 3-Year Performance Review: Every 3 years, the Commission shall commission an independent evaluation of Fund effectiveness, including worker and community outcomes. Results shall be public, and the Commission shall make recommendations for improvement.</w:t>
      </w:r>
    </w:p>
    <w:p>
      <w:pPr>
        <w:pStyle w:val="Normal"/>
        <w:spacing w:before="0" w:after="0"/>
        <w:rPr/>
      </w:pPr>
      <w:r>
        <w:rPr/>
      </w:r>
    </w:p>
    <w:p>
      <w:pPr>
        <w:pStyle w:val="Heading3"/>
        <w:keepNext/>
        <w:widowControl/>
        <w:spacing w:before="140" w:after="60"/>
        <w:rPr/>
      </w:pPr>
      <w:r>
        <w:rPr/>
        <w:t>(e) Supplementary Private Investment</w:t>
      </w:r>
    </w:p>
    <w:p>
      <w:pPr>
        <w:pStyle w:val="Normal"/>
        <w:spacing w:before="0" w:after="0"/>
        <w:rPr/>
      </w:pPr>
      <w:r>
        <w:rPr/>
      </w:r>
    </w:p>
    <w:p>
      <w:pPr>
        <w:pStyle w:val="Normal"/>
        <w:widowControl/>
        <w:spacing w:before="0" w:after="120"/>
        <w:rPr/>
      </w:pPr>
      <w:r>
        <w:rPr/>
        <w:t>In addition to the Fund, each Party may provide incentives for private sector investment in Affected Communities and worker transition programs, including:</w:t>
      </w:r>
    </w:p>
    <w:p>
      <w:pPr>
        <w:pStyle w:val="Normal"/>
        <w:spacing w:before="0" w:after="0"/>
        <w:rPr/>
      </w:pPr>
      <w:r>
        <w:rPr/>
      </w:r>
    </w:p>
    <w:p>
      <w:pPr>
        <w:pStyle w:val="ListBullet"/>
        <w:widowControl/>
        <w:numPr>
          <w:ilvl w:val="0"/>
          <w:numId w:val="1"/>
        </w:numPr>
        <w:spacing w:before="0" w:after="60"/>
        <w:contextualSpacing/>
        <w:rPr/>
      </w:pPr>
      <w:r>
        <w:rPr/>
        <w:t xml:space="preserve">— </w:t>
      </w:r>
      <w:r>
        <w:rPr/>
        <w:t>Tax credits for employers hiring Affected Workers</w:t>
        <w:br/>
        <w:t>— Loan guarantees for businesses in Affected Communities</w:t>
        <w:br/>
        <w:t>— Grants or subsidies for environmental remediation or site redevelopment</w:t>
        <w:br/>
        <w:t>— Public-private partnerships for infrastructure and training</w:t>
      </w:r>
    </w:p>
    <w:p>
      <w:pPr>
        <w:pStyle w:val="Normal"/>
        <w:spacing w:before="0" w:after="0"/>
        <w:rPr/>
      </w:pPr>
      <w:r>
        <w:rPr/>
      </w:r>
    </w:p>
    <w:p>
      <w:pPr>
        <w:pStyle w:val="Normal"/>
        <w:widowControl/>
        <w:spacing w:before="0" w:after="120"/>
        <w:rPr/>
      </w:pPr>
      <w:r>
        <w:rPr/>
        <w:t>Such supplementary investments are encouraged but do not offset Fund contribution obligations.</w:t>
      </w:r>
    </w:p>
    <w:p>
      <w:pPr>
        <w:pStyle w:val="Normal"/>
        <w:spacing w:before="0" w:after="0"/>
        <w:rPr/>
      </w:pPr>
      <w:r>
        <w:rPr/>
      </w:r>
    </w:p>
    <w:p>
      <w:bookmarkStart w:id="1173" w:name="_NAESTMA_TOC_1173"/>
      <w:pPr>
        <w:pStyle w:val="Heading2"/>
        <w:keepNext/>
        <w:widowControl/>
        <w:spacing w:before="180" w:after="80"/>
        <w:rPr/>
      </w:pPr>
      <w:r>
        <w:rPr/>
        <w:t>Article 23-B.8: Mandatory Identification of Transition Sectors (Binding Process)</w:t>
      </w:r>
      <w:bookmarkEnd w:id="1173"/>
    </w:p>
    <w:p>
      <w:pPr>
        <w:pStyle w:val="Normal"/>
        <w:spacing w:before="0" w:after="0"/>
        <w:rPr/>
      </w:pPr>
      <w:r>
        <w:rPr/>
      </w:r>
    </w:p>
    <w:p>
      <w:pPr>
        <w:pStyle w:val="Heading3"/>
        <w:keepNext/>
        <w:widowControl/>
        <w:spacing w:before="140" w:after="60"/>
        <w:rPr/>
      </w:pPr>
      <w:r>
        <w:rPr/>
        <w:t>(a) Commission Identification of Core Transition Sectors</w:t>
      </w:r>
    </w:p>
    <w:p>
      <w:pPr>
        <w:pStyle w:val="Normal"/>
        <w:spacing w:before="0" w:after="0"/>
        <w:rPr/>
      </w:pPr>
      <w:r>
        <w:rPr/>
      </w:r>
    </w:p>
    <w:p>
      <w:pPr>
        <w:pStyle w:val="Normal"/>
        <w:widowControl/>
        <w:spacing w:before="0" w:after="120"/>
        <w:rPr/>
      </w:pPr>
      <w:r>
        <w:rPr/>
        <w:t>Within 12 months of Article 23-B.8's entry into force, the Commission shall formally designate the following sectors as "Core Transition Sectors" to which Chapter 23-B protections apply:</w:t>
      </w:r>
    </w:p>
    <w:p>
      <w:pPr>
        <w:pStyle w:val="Normal"/>
        <w:spacing w:before="0" w:after="0"/>
        <w:rPr/>
      </w:pPr>
      <w:r>
        <w:rPr/>
      </w:r>
    </w:p>
    <w:p>
      <w:pPr>
        <w:pStyle w:val="Normal"/>
        <w:widowControl/>
        <w:spacing w:before="0" w:after="120"/>
        <w:rPr/>
      </w:pPr>
      <w:r>
        <w:rPr/>
        <w:t>CORE TRANSITION SECTORS (MANDATORY):</w:t>
      </w:r>
    </w:p>
    <w:p>
      <w:pPr>
        <w:pStyle w:val="Normal"/>
        <w:spacing w:before="0" w:after="0"/>
        <w:rPr/>
      </w:pPr>
      <w:r>
        <w:rPr/>
      </w:r>
    </w:p>
    <w:p>
      <w:pPr>
        <w:pStyle w:val="Normal"/>
        <w:widowControl/>
        <w:spacing w:before="0" w:after="120"/>
        <w:rPr/>
      </w:pPr>
      <w:r>
        <w:rPr/>
        <w:t>1. Fossil Fuel Energy Production and Distribution (including oil, natural gas, coal generation, and related downstream operations)</w:t>
      </w:r>
    </w:p>
    <w:p>
      <w:pPr>
        <w:pStyle w:val="Normal"/>
        <w:spacing w:before="0" w:after="0"/>
        <w:rPr/>
      </w:pPr>
      <w:r>
        <w:rPr/>
      </w:r>
    </w:p>
    <w:p>
      <w:pPr>
        <w:pStyle w:val="Normal"/>
        <w:widowControl/>
        <w:spacing w:before="0" w:after="120"/>
        <w:rPr/>
      </w:pPr>
      <w:r>
        <w:rPr/>
        <w:t>2. Coal Mining (all types and grades)</w:t>
      </w:r>
    </w:p>
    <w:p>
      <w:pPr>
        <w:pStyle w:val="Normal"/>
        <w:spacing w:before="0" w:after="0"/>
        <w:rPr/>
      </w:pPr>
      <w:r>
        <w:rPr/>
      </w:r>
    </w:p>
    <w:p>
      <w:pPr>
        <w:pStyle w:val="Normal"/>
        <w:widowControl/>
        <w:spacing w:before="0" w:after="120"/>
        <w:rPr/>
      </w:pPr>
      <w:r>
        <w:rPr/>
        <w:t>3. Automotive Manufacturing (including assembly, parts, battery production, and related supply chains)</w:t>
      </w:r>
    </w:p>
    <w:p>
      <w:pPr>
        <w:pStyle w:val="Normal"/>
        <w:spacing w:before="0" w:after="0"/>
        <w:rPr/>
      </w:pPr>
      <w:r>
        <w:rPr/>
      </w:r>
    </w:p>
    <w:p>
      <w:pPr>
        <w:pStyle w:val="Normal"/>
        <w:widowControl/>
        <w:spacing w:before="0" w:after="120"/>
        <w:rPr/>
      </w:pPr>
      <w:r>
        <w:rPr/>
        <w:t>4. Steel and Aluminum Production (including mills, foundries, smelters, and recycling operations)</w:t>
      </w:r>
    </w:p>
    <w:p>
      <w:pPr>
        <w:pStyle w:val="Normal"/>
        <w:spacing w:before="0" w:after="0"/>
        <w:rPr/>
      </w:pPr>
      <w:r>
        <w:rPr/>
      </w:r>
    </w:p>
    <w:p>
      <w:pPr>
        <w:pStyle w:val="Normal"/>
        <w:widowControl/>
        <w:spacing w:before="0" w:after="120"/>
        <w:rPr/>
      </w:pPr>
      <w:r>
        <w:rPr/>
        <w:t>5. Heavy Industrial Manufacturing (including machinery, industrial equipment, chemicals, and petro-chemicals)</w:t>
      </w:r>
    </w:p>
    <w:p>
      <w:pPr>
        <w:pStyle w:val="Normal"/>
        <w:spacing w:before="0" w:after="0"/>
        <w:rPr/>
      </w:pPr>
      <w:r>
        <w:rPr/>
      </w:r>
    </w:p>
    <w:p>
      <w:pPr>
        <w:pStyle w:val="Normal"/>
        <w:widowControl/>
        <w:spacing w:before="0" w:after="120"/>
        <w:rPr/>
      </w:pPr>
      <w:r>
        <w:rPr/>
        <w:t>6. Forestry and Logging (including timber harvesting, processing, and related operations)</w:t>
      </w:r>
    </w:p>
    <w:p>
      <w:pPr>
        <w:pStyle w:val="Normal"/>
        <w:spacing w:before="0" w:after="0"/>
        <w:rPr/>
      </w:pPr>
      <w:r>
        <w:rPr/>
      </w:r>
    </w:p>
    <w:p>
      <w:pPr>
        <w:pStyle w:val="Normal"/>
        <w:widowControl/>
        <w:spacing w:before="0" w:after="120"/>
        <w:rPr/>
      </w:pPr>
      <w:r>
        <w:rPr/>
        <w:t>7. Agriculture and Food Processing (to the extent experiencing automated or supply-chain-driven transformation)</w:t>
      </w:r>
    </w:p>
    <w:p>
      <w:pPr>
        <w:pStyle w:val="Normal"/>
        <w:spacing w:before="0" w:after="0"/>
        <w:rPr/>
      </w:pPr>
      <w:r>
        <w:rPr/>
      </w:r>
    </w:p>
    <w:p>
      <w:pPr>
        <w:pStyle w:val="Normal"/>
        <w:widowControl/>
        <w:spacing w:before="0" w:after="120"/>
        <w:rPr/>
      </w:pPr>
      <w:r>
        <w:rPr/>
        <w:t>These designations are binding on all Parties. No Party may opt out of or refuse to recognize any Core Transition Sector.</w:t>
      </w:r>
    </w:p>
    <w:p>
      <w:pPr>
        <w:pStyle w:val="Normal"/>
        <w:spacing w:before="0" w:after="0"/>
        <w:rPr/>
      </w:pPr>
      <w:r>
        <w:rPr/>
      </w:r>
    </w:p>
    <w:p>
      <w:pPr>
        <w:pStyle w:val="Heading3"/>
        <w:keepNext/>
        <w:widowControl/>
        <w:spacing w:before="140" w:after="60"/>
        <w:rPr/>
      </w:pPr>
      <w:r>
        <w:rPr/>
        <w:t>(b) Party-Specific Transition Sector Additions</w:t>
      </w:r>
    </w:p>
    <w:p>
      <w:pPr>
        <w:pStyle w:val="Normal"/>
        <w:spacing w:before="0" w:after="0"/>
        <w:rPr/>
      </w:pPr>
      <w:r>
        <w:rPr/>
      </w:r>
    </w:p>
    <w:p>
      <w:pPr>
        <w:pStyle w:val="Normal"/>
        <w:widowControl/>
        <w:spacing w:before="0" w:after="120"/>
        <w:rPr/>
      </w:pPr>
      <w:r>
        <w:rPr/>
        <w:t>Within 18 months of Article 23-B.8's entry into force, each Party may designate additional sectors as "Transition Sectors" based on:</w:t>
      </w:r>
    </w:p>
    <w:p>
      <w:pPr>
        <w:pStyle w:val="Normal"/>
        <w:spacing w:before="0" w:after="0"/>
        <w:rPr/>
      </w:pPr>
      <w:r>
        <w:rPr/>
      </w:r>
    </w:p>
    <w:p>
      <w:pPr>
        <w:pStyle w:val="ListBullet"/>
        <w:widowControl/>
        <w:numPr>
          <w:ilvl w:val="0"/>
          <w:numId w:val="1"/>
        </w:numPr>
        <w:spacing w:before="0" w:after="60"/>
        <w:contextualSpacing/>
        <w:rPr/>
      </w:pPr>
      <w:r>
        <w:rPr/>
        <w:t xml:space="preserve">— </w:t>
      </w:r>
      <w:r>
        <w:rPr/>
        <w:t>Projected employment loss &gt;5% within 5 years</w:t>
        <w:br/>
        <w:t>— Direct impact from this Agreement's implementation (e.g., new market access requiring restructuring)</w:t>
        <w:br/>
        <w:t>— High vulnerability of affected workers and communities</w:t>
        <w:br/>
        <w:t>— Input from workers, employers, and community organizations</w:t>
      </w:r>
    </w:p>
    <w:p>
      <w:pPr>
        <w:pStyle w:val="Normal"/>
        <w:spacing w:before="0" w:after="0"/>
        <w:rPr/>
      </w:pPr>
      <w:r>
        <w:rPr/>
      </w:r>
    </w:p>
    <w:p>
      <w:pPr>
        <w:pStyle w:val="Normal"/>
        <w:widowControl/>
        <w:spacing w:before="0" w:after="120"/>
        <w:rPr/>
      </w:pPr>
      <w:r>
        <w:rPr/>
        <w:t>Each Party's additions are binding on that Party and shall be honored by all Parties (i.e., workers from one Party's designated transition sector are eligible for support from all Parties if they transition into another Party's territory).</w:t>
      </w:r>
    </w:p>
    <w:p>
      <w:pPr>
        <w:pStyle w:val="Normal"/>
        <w:spacing w:before="0" w:after="0"/>
        <w:rPr/>
      </w:pPr>
      <w:r>
        <w:rPr/>
      </w:r>
    </w:p>
    <w:p>
      <w:pPr>
        <w:pStyle w:val="Heading3"/>
        <w:keepNext/>
        <w:widowControl/>
        <w:spacing w:before="140" w:after="60"/>
        <w:rPr/>
      </w:pPr>
      <w:r>
        <w:rPr/>
        <w:t>(c) Regular Review and Update</w:t>
      </w:r>
    </w:p>
    <w:p>
      <w:pPr>
        <w:pStyle w:val="Normal"/>
        <w:spacing w:before="0" w:after="0"/>
        <w:rPr/>
      </w:pPr>
      <w:r>
        <w:rPr/>
      </w:r>
    </w:p>
    <w:p>
      <w:pPr>
        <w:pStyle w:val="Heading3"/>
        <w:keepNext/>
        <w:widowControl/>
        <w:spacing w:before="140" w:after="60"/>
        <w:rPr/>
      </w:pPr>
      <w:r>
        <w:rPr/>
        <w:t>(i) Each Party shall review its list of Transition Sectors every 2 years (not 3 years, as in the draft).</w:t>
      </w:r>
    </w:p>
    <w:p>
      <w:pPr>
        <w:pStyle w:val="Normal"/>
        <w:spacing w:before="0" w:after="0"/>
        <w:rPr/>
      </w:pPr>
      <w:r>
        <w:rPr/>
      </w:r>
    </w:p>
    <w:p>
      <w:pPr>
        <w:pStyle w:val="Normal"/>
        <w:widowControl/>
        <w:spacing w:before="0" w:after="120"/>
        <w:rPr/>
      </w:pPr>
      <w:r>
        <w:rPr/>
        <w:t>(ii) If a Party proposes to remove a sector from its Transition Sector list, the Party must provide evidence to the Commission that:</w:t>
      </w:r>
    </w:p>
    <w:p>
      <w:pPr>
        <w:pStyle w:val="Normal"/>
        <w:spacing w:before="0" w:after="0"/>
        <w:rPr/>
      </w:pPr>
      <w:r>
        <w:rPr/>
      </w:r>
    </w:p>
    <w:p>
      <w:pPr>
        <w:pStyle w:val="ListBullet"/>
        <w:widowControl/>
        <w:numPr>
          <w:ilvl w:val="0"/>
          <w:numId w:val="1"/>
        </w:numPr>
        <w:spacing w:before="0" w:after="60"/>
        <w:contextualSpacing/>
        <w:rPr/>
      </w:pPr>
      <w:r>
        <w:rPr/>
        <w:t xml:space="preserve">— </w:t>
      </w:r>
      <w:r>
        <w:rPr/>
        <w:t>Unemployment in that sector has recovered to or fallen below regional average</w:t>
        <w:br/>
        <w:t>— New employment has been created at wage levels comparable to displaced jobs</w:t>
        <w:br/>
        <w:t>— Tax base and public revenue in affected communities have recovered</w:t>
      </w:r>
    </w:p>
    <w:p>
      <w:pPr>
        <w:pStyle w:val="Normal"/>
        <w:spacing w:before="0" w:after="0"/>
        <w:rPr/>
      </w:pPr>
      <w:r>
        <w:rPr/>
      </w:r>
    </w:p>
    <w:p>
      <w:pPr>
        <w:pStyle w:val="Normal"/>
        <w:widowControl/>
        <w:spacing w:before="0" w:after="120"/>
        <w:rPr/>
      </w:pPr>
      <w:r>
        <w:rPr/>
        <w:t>(iii) Other Parties may challenge removal through the Commission. If challenged, the sector remains designated until the Commission makes a binding determination (60-day timeline).</w:t>
      </w:r>
    </w:p>
    <w:p>
      <w:pPr>
        <w:pStyle w:val="Normal"/>
        <w:spacing w:before="0" w:after="0"/>
        <w:rPr/>
      </w:pPr>
      <w:r>
        <w:rPr/>
      </w:r>
    </w:p>
    <w:p>
      <w:pPr>
        <w:pStyle w:val="Heading3"/>
        <w:keepNext/>
        <w:widowControl/>
        <w:spacing w:before="140" w:after="60"/>
        <w:rPr/>
      </w:pPr>
      <w:r>
        <w:rPr/>
        <w:t>(d) Commission Consultation and Coordination</w:t>
      </w:r>
    </w:p>
    <w:p>
      <w:pPr>
        <w:pStyle w:val="Normal"/>
        <w:spacing w:before="0" w:after="0"/>
        <w:rPr/>
      </w:pPr>
      <w:r>
        <w:rPr/>
      </w:r>
    </w:p>
    <w:p>
      <w:pPr>
        <w:pStyle w:val="Normal"/>
        <w:widowControl/>
        <w:spacing w:before="0" w:after="120"/>
        <w:rPr/>
      </w:pPr>
      <w:r>
        <w:rPr/>
        <w:t>When one Party requests to add or remove a sector from its Transition Sector list, the Commission shall:</w:t>
      </w:r>
    </w:p>
    <w:p>
      <w:pPr>
        <w:pStyle w:val="Normal"/>
        <w:spacing w:before="0" w:after="0"/>
        <w:rPr/>
      </w:pPr>
      <w:r>
        <w:rPr/>
      </w:r>
    </w:p>
    <w:p>
      <w:pPr>
        <w:pStyle w:val="Heading3"/>
        <w:keepNext/>
        <w:widowControl/>
        <w:spacing w:before="140" w:after="60"/>
        <w:rPr/>
      </w:pPr>
      <w:r>
        <w:rPr/>
        <w:t>(i) Notify all other Parties within 10 days</w:t>
        <w:br/>
        <w:t>(ii) Invite cross-border affected workers and communities to submit comments (30-day comment period)</w:t>
        <w:br/>
        <w:t>(iii) Hold a Commission discussion within 45 days</w:t>
        <w:br/>
        <w:t>(iv) Issue a determination within 60 days of initial request</w:t>
      </w:r>
    </w:p>
    <w:p>
      <w:pPr>
        <w:pStyle w:val="Normal"/>
        <w:spacing w:before="0" w:after="0"/>
        <w:rPr/>
      </w:pPr>
      <w:r>
        <w:rPr/>
      </w:r>
    </w:p>
    <w:p>
      <w:pPr>
        <w:pStyle w:val="Normal"/>
        <w:widowControl/>
        <w:spacing w:before="0" w:after="120"/>
        <w:rPr/>
      </w:pPr>
      <w:r>
        <w:rPr/>
        <w:t>The Commission may require a Party to add a sector if the Commission determines that the sector meets the criteria in 23-B.8(b) and the affected workers are materially disadvantaged by non-designation.</w:t>
      </w:r>
    </w:p>
    <w:p>
      <w:pPr>
        <w:pStyle w:val="Normal"/>
        <w:spacing w:before="0" w:after="0"/>
        <w:rPr/>
      </w:pPr>
      <w:r>
        <w:rPr/>
      </w:r>
    </w:p>
    <w:p>
      <w:bookmarkStart w:id="1174" w:name="_NAESTMA_TOC_1174"/>
      <w:pPr>
        <w:pStyle w:val="Heading2"/>
        <w:keepNext/>
        <w:widowControl/>
        <w:spacing w:before="180" w:after="80"/>
        <w:rPr/>
      </w:pPr>
      <w:r>
        <w:rPr/>
        <w:t>Article 23-B.9: Mandatory Monitoring and Reporting (Strengthened and Detailed)</w:t>
      </w:r>
      <w:bookmarkEnd w:id="1174"/>
    </w:p>
    <w:p>
      <w:pPr>
        <w:pStyle w:val="Normal"/>
        <w:spacing w:before="0" w:after="0"/>
        <w:rPr/>
      </w:pPr>
      <w:r>
        <w:rPr/>
      </w:r>
    </w:p>
    <w:p>
      <w:pPr>
        <w:pStyle w:val="Heading3"/>
        <w:keepNext/>
        <w:widowControl/>
        <w:spacing w:before="140" w:after="60"/>
        <w:rPr/>
      </w:pPr>
      <w:r>
        <w:rPr/>
        <w:t>(a) Worker-Level Data Collection and Reporting</w:t>
      </w:r>
    </w:p>
    <w:p>
      <w:pPr>
        <w:pStyle w:val="Normal"/>
        <w:spacing w:before="0" w:after="0"/>
        <w:rPr/>
      </w:pPr>
      <w:r>
        <w:rPr/>
      </w:r>
    </w:p>
    <w:p>
      <w:pPr>
        <w:pStyle w:val="Normal"/>
        <w:widowControl/>
        <w:spacing w:before="0" w:after="120"/>
        <w:rPr/>
      </w:pPr>
      <w:r>
        <w:rPr/>
        <w:t>Each Party shall collect and maintain comprehensive data on:</w:t>
      </w:r>
    </w:p>
    <w:p>
      <w:pPr>
        <w:pStyle w:val="Normal"/>
        <w:spacing w:before="0" w:after="0"/>
        <w:rPr/>
      </w:pPr>
      <w:r>
        <w:rPr/>
      </w:r>
    </w:p>
    <w:p>
      <w:pPr>
        <w:pStyle w:val="Heading3"/>
        <w:keepNext/>
        <w:widowControl/>
        <w:spacing w:before="140" w:after="60"/>
        <w:rPr/>
      </w:pPr>
      <w:r>
        <w:rPr/>
        <w:t>(i) Employment and Wage Trends in Transition Sectors:</w:t>
      </w:r>
    </w:p>
    <w:p>
      <w:pPr>
        <w:pStyle w:val="Normal"/>
        <w:spacing w:before="0" w:after="0"/>
        <w:rPr/>
      </w:pPr>
      <w:r>
        <w:rPr/>
      </w:r>
    </w:p>
    <w:p>
      <w:pPr>
        <w:pStyle w:val="ListBullet"/>
        <w:widowControl/>
        <w:numPr>
          <w:ilvl w:val="0"/>
          <w:numId w:val="1"/>
        </w:numPr>
        <w:spacing w:before="0" w:after="60"/>
        <w:contextualSpacing/>
        <w:rPr/>
      </w:pPr>
      <w:r>
        <w:rPr/>
        <w:t xml:space="preserve">— </w:t>
      </w:r>
      <w:r>
        <w:rPr/>
        <w:t>Monthly employment levels and unemployment rates in Transition Sectors</w:t>
        <w:br/>
        <w:t>— Average wages and wage trends</w:t>
        <w:br/>
        <w:t>— Job displacement notices and plant closures</w:t>
        <w:br/>
        <w:t>— Separations by reason (layoff, voluntary departure, retirement)</w:t>
      </w:r>
    </w:p>
    <w:p>
      <w:pPr>
        <w:pStyle w:val="Normal"/>
        <w:spacing w:before="0" w:after="0"/>
        <w:rPr/>
      </w:pPr>
      <w:r>
        <w:rPr/>
      </w:r>
    </w:p>
    <w:p>
      <w:pPr>
        <w:pStyle w:val="Normal"/>
        <w:widowControl/>
        <w:spacing w:before="0" w:after="120"/>
        <w:rPr/>
      </w:pPr>
      <w:r>
        <w:rPr/>
        <w:t>(ii) Worker Income Support and Wage Insurance:</w:t>
      </w:r>
    </w:p>
    <w:p>
      <w:pPr>
        <w:pStyle w:val="Normal"/>
        <w:spacing w:before="0" w:after="0"/>
        <w:rPr/>
      </w:pPr>
      <w:r>
        <w:rPr/>
      </w:r>
    </w:p>
    <w:p>
      <w:pPr>
        <w:pStyle w:val="ListBullet"/>
        <w:widowControl/>
        <w:numPr>
          <w:ilvl w:val="0"/>
          <w:numId w:val="1"/>
        </w:numPr>
        <w:spacing w:before="0" w:after="60"/>
        <w:contextualSpacing/>
        <w:rPr/>
      </w:pPr>
      <w:r>
        <w:rPr/>
        <w:t xml:space="preserve">— </w:t>
      </w:r>
      <w:r>
        <w:rPr/>
        <w:t>Number of Affected Workers applying for and receiving income support</w:t>
        <w:br/>
        <w:t>— Average benefit amount and duration</w:t>
        <w:br/>
        <w:t>— Demographic breakdown (age, gender, immigration status, race/ethnicity, disability status)</w:t>
        <w:br/>
        <w:t>— Rate of benefits exhaustion and reemployment timing</w:t>
      </w:r>
    </w:p>
    <w:p>
      <w:pPr>
        <w:pStyle w:val="Normal"/>
        <w:spacing w:before="0" w:after="0"/>
        <w:rPr/>
      </w:pPr>
      <w:r>
        <w:rPr/>
      </w:r>
    </w:p>
    <w:p>
      <w:pPr>
        <w:pStyle w:val="Normal"/>
        <w:widowControl/>
        <w:spacing w:before="0" w:after="120"/>
        <w:rPr/>
      </w:pPr>
      <w:r>
        <w:rPr/>
        <w:t>(iii) Retraining, Upskilling, and Skills Development:</w:t>
      </w:r>
    </w:p>
    <w:p>
      <w:pPr>
        <w:pStyle w:val="Normal"/>
        <w:spacing w:before="0" w:after="0"/>
        <w:rPr/>
      </w:pPr>
      <w:r>
        <w:rPr/>
      </w:r>
    </w:p>
    <w:p>
      <w:pPr>
        <w:pStyle w:val="ListBullet"/>
        <w:widowControl/>
        <w:numPr>
          <w:ilvl w:val="0"/>
          <w:numId w:val="1"/>
        </w:numPr>
        <w:spacing w:before="0" w:after="60"/>
        <w:contextualSpacing/>
        <w:rPr/>
      </w:pPr>
      <w:r>
        <w:rPr/>
        <w:t xml:space="preserve">— </w:t>
      </w:r>
      <w:r>
        <w:rPr/>
        <w:t>Number of Affected Workers enrolled in training programs</w:t>
        <w:br/>
        <w:t>— Training program completion rates and credential attainment</w:t>
        <w:br/>
        <w:t>— Demographic breakdown of trainees</w:t>
        <w:br/>
        <w:t>— Cost per trainee and training quality metrics</w:t>
        <w:br/>
        <w:t>— Post-training employment outcomes (reemployment rate, wage recovery, credential utilization)</w:t>
      </w:r>
    </w:p>
    <w:p>
      <w:pPr>
        <w:pStyle w:val="Normal"/>
        <w:spacing w:before="0" w:after="0"/>
        <w:rPr/>
      </w:pPr>
      <w:r>
        <w:rPr/>
      </w:r>
    </w:p>
    <w:p>
      <w:pPr>
        <w:pStyle w:val="Normal"/>
        <w:widowControl/>
        <w:spacing w:before="0" w:after="120"/>
        <w:rPr/>
      </w:pPr>
      <w:r>
        <w:rPr/>
        <w:t>(iv) Benefit Portability and Cross-Border Mobility:</w:t>
      </w:r>
    </w:p>
    <w:p>
      <w:pPr>
        <w:pStyle w:val="Normal"/>
        <w:spacing w:before="0" w:after="0"/>
        <w:rPr/>
      </w:pPr>
      <w:r>
        <w:rPr/>
      </w:r>
    </w:p>
    <w:p>
      <w:pPr>
        <w:pStyle w:val="ListBullet"/>
        <w:widowControl/>
        <w:numPr>
          <w:ilvl w:val="0"/>
          <w:numId w:val="1"/>
        </w:numPr>
        <w:spacing w:before="0" w:after="60"/>
        <w:contextualSpacing/>
        <w:rPr/>
      </w:pPr>
      <w:r>
        <w:rPr/>
        <w:t xml:space="preserve">— </w:t>
      </w:r>
      <w:r>
        <w:rPr/>
        <w:t>Number of workers utilizing portable benefit provisions</w:t>
        <w:br/>
        <w:t>— Pension transfers and amounts involved</w:t>
        <w:br/>
        <w:t>— Cross-border health coverage portability</w:t>
        <w:br/>
        <w:t>— Barriers encountered and resolution</w:t>
      </w:r>
    </w:p>
    <w:p>
      <w:pPr>
        <w:pStyle w:val="Normal"/>
        <w:spacing w:before="0" w:after="0"/>
        <w:rPr/>
      </w:pPr>
      <w:r>
        <w:rPr/>
      </w:r>
    </w:p>
    <w:p>
      <w:pPr>
        <w:pStyle w:val="Heading3"/>
        <w:keepNext/>
        <w:widowControl/>
        <w:spacing w:before="140" w:after="60"/>
        <w:rPr/>
      </w:pPr>
      <w:r>
        <w:rPr/>
        <w:t>(b) Community-Level Data Collection</w:t>
      </w:r>
    </w:p>
    <w:p>
      <w:pPr>
        <w:pStyle w:val="Normal"/>
        <w:spacing w:before="0" w:after="0"/>
        <w:rPr/>
      </w:pPr>
      <w:r>
        <w:rPr/>
      </w:r>
    </w:p>
    <w:p>
      <w:pPr>
        <w:pStyle w:val="Normal"/>
        <w:widowControl/>
        <w:spacing w:before="0" w:after="120"/>
        <w:rPr/>
      </w:pPr>
      <w:r>
        <w:rPr/>
        <w:t>Each Party shall collect and maintain data on Affected Communities, including:</w:t>
      </w:r>
    </w:p>
    <w:p>
      <w:pPr>
        <w:pStyle w:val="Normal"/>
        <w:spacing w:before="0" w:after="0"/>
        <w:rPr/>
      </w:pPr>
      <w:r>
        <w:rPr/>
      </w:r>
    </w:p>
    <w:p>
      <w:pPr>
        <w:pStyle w:val="Heading3"/>
        <w:keepNext/>
        <w:widowControl/>
        <w:spacing w:before="140" w:after="60"/>
        <w:rPr/>
      </w:pPr>
      <w:r>
        <w:rPr/>
        <w:t>(i) Economic Indicators:</w:t>
      </w:r>
    </w:p>
    <w:p>
      <w:pPr>
        <w:pStyle w:val="Normal"/>
        <w:spacing w:before="0" w:after="0"/>
        <w:rPr/>
      </w:pPr>
      <w:r>
        <w:rPr/>
      </w:r>
    </w:p>
    <w:p>
      <w:pPr>
        <w:pStyle w:val="ListBullet"/>
        <w:widowControl/>
        <w:numPr>
          <w:ilvl w:val="0"/>
          <w:numId w:val="1"/>
        </w:numPr>
        <w:spacing w:before="0" w:after="60"/>
        <w:contextualSpacing/>
        <w:rPr/>
      </w:pPr>
      <w:r>
        <w:rPr/>
        <w:t xml:space="preserve">— </w:t>
      </w:r>
      <w:r>
        <w:rPr/>
        <w:t>Unemployment rate (overall and in transition sectors)</w:t>
        <w:br/>
        <w:t>— Employment by sector and wage levels</w:t>
        <w:br/>
        <w:t>— Tax base and public revenue</w:t>
        <w:br/>
        <w:t>— Business formation and closure rates</w:t>
        <w:br/>
        <w:t>— Wages and cost of living</w:t>
      </w:r>
    </w:p>
    <w:p>
      <w:pPr>
        <w:pStyle w:val="Normal"/>
        <w:spacing w:before="0" w:after="0"/>
        <w:rPr/>
      </w:pPr>
      <w:r>
        <w:rPr/>
      </w:r>
    </w:p>
    <w:p>
      <w:pPr>
        <w:pStyle w:val="Normal"/>
        <w:widowControl/>
        <w:spacing w:before="0" w:after="120"/>
        <w:rPr/>
      </w:pPr>
      <w:r>
        <w:rPr/>
        <w:t>(ii) Social Cohesion Indicators:</w:t>
      </w:r>
    </w:p>
    <w:p>
      <w:pPr>
        <w:pStyle w:val="Normal"/>
        <w:spacing w:before="0" w:after="0"/>
        <w:rPr/>
      </w:pPr>
      <w:r>
        <w:rPr/>
      </w:r>
    </w:p>
    <w:p>
      <w:pPr>
        <w:pStyle w:val="ListBullet"/>
        <w:widowControl/>
        <w:numPr>
          <w:ilvl w:val="0"/>
          <w:numId w:val="1"/>
        </w:numPr>
        <w:spacing w:before="0" w:after="60"/>
        <w:contextualSpacing/>
        <w:rPr/>
      </w:pPr>
      <w:r>
        <w:rPr/>
        <w:t xml:space="preserve">— </w:t>
      </w:r>
      <w:r>
        <w:rPr/>
        <w:t>Population migration in/out of community</w:t>
        <w:br/>
        <w:t>— School enrollment and graduation rates</w:t>
        <w:br/>
        <w:t>— Public health metrics (mental health, substance abuse, suicide)</w:t>
        <w:br/>
        <w:t>— Crime and safety indicators</w:t>
        <w:br/>
        <w:t>— Community organization participation</w:t>
      </w:r>
    </w:p>
    <w:p>
      <w:pPr>
        <w:pStyle w:val="Normal"/>
        <w:spacing w:before="0" w:after="0"/>
        <w:rPr/>
      </w:pPr>
      <w:r>
        <w:rPr/>
      </w:r>
    </w:p>
    <w:p>
      <w:pPr>
        <w:pStyle w:val="Normal"/>
        <w:widowControl/>
        <w:spacing w:before="0" w:after="120"/>
        <w:rPr/>
      </w:pPr>
      <w:r>
        <w:rPr/>
        <w:t>(iii) Fund Allocation and Spending:</w:t>
      </w:r>
    </w:p>
    <w:p>
      <w:pPr>
        <w:pStyle w:val="Normal"/>
        <w:spacing w:before="0" w:after="0"/>
        <w:rPr/>
      </w:pPr>
      <w:r>
        <w:rPr/>
      </w:r>
    </w:p>
    <w:p>
      <w:pPr>
        <w:pStyle w:val="ListBullet"/>
        <w:widowControl/>
        <w:numPr>
          <w:ilvl w:val="0"/>
          <w:numId w:val="1"/>
        </w:numPr>
        <w:spacing w:before="0" w:after="60"/>
        <w:contextualSpacing/>
        <w:rPr/>
      </w:pPr>
      <w:r>
        <w:rPr/>
        <w:t xml:space="preserve">— </w:t>
      </w:r>
      <w:r>
        <w:rPr/>
        <w:t>Fund dollars allocated to the community</w:t>
        <w:br/>
        <w:t>— Infrastructure projects completed</w:t>
        <w:br/>
        <w:t>— Businesses supported and jobs created</w:t>
        <w:br/>
        <w:t>— Training facilities and trainees</w:t>
        <w:br/>
        <w:t>— Environmental remediation progress</w:t>
      </w:r>
    </w:p>
    <w:p>
      <w:pPr>
        <w:pStyle w:val="Normal"/>
        <w:spacing w:before="0" w:after="0"/>
        <w:rPr/>
      </w:pPr>
      <w:r>
        <w:rPr/>
      </w:r>
    </w:p>
    <w:p>
      <w:pPr>
        <w:pStyle w:val="Heading3"/>
        <w:keepNext/>
        <w:widowControl/>
        <w:spacing w:before="140" w:after="60"/>
        <w:rPr/>
      </w:pPr>
      <w:r>
        <w:rPr/>
        <w:t>(c) Mandatory Reporting Schedule</w:t>
      </w:r>
    </w:p>
    <w:p>
      <w:pPr>
        <w:pStyle w:val="Normal"/>
        <w:spacing w:before="0" w:after="0"/>
        <w:rPr/>
      </w:pPr>
      <w:r>
        <w:rPr/>
      </w:r>
    </w:p>
    <w:p>
      <w:pPr>
        <w:pStyle w:val="Heading3"/>
        <w:keepNext/>
        <w:widowControl/>
        <w:spacing w:before="140" w:after="60"/>
        <w:rPr/>
      </w:pPr>
      <w:r>
        <w:rPr/>
        <w:t>(i) QUARTERLY REPORTS (Due within 30 days of each quarter's end):</w:t>
      </w:r>
    </w:p>
    <w:p>
      <w:pPr>
        <w:pStyle w:val="Normal"/>
        <w:spacing w:before="0" w:after="0"/>
        <w:rPr/>
      </w:pPr>
      <w:r>
        <w:rPr/>
      </w:r>
    </w:p>
    <w:p>
      <w:pPr>
        <w:pStyle w:val="Normal"/>
        <w:widowControl/>
        <w:spacing w:before="0" w:after="120"/>
        <w:rPr/>
      </w:pPr>
      <w:r>
        <w:rPr/>
        <w:t>Each Party shall submit to the Commission:</w:t>
        <w:br/>
        <w:t>— Worker income support claims and payments (current quarter and year-to-date)</w:t>
        <w:br/>
        <w:t>— Retraining program enrollments and completions</w:t>
        <w:br/>
        <w:t>— Benefit portability utilization</w:t>
        <w:br/>
        <w:t>— Fund remittance status</w:t>
      </w:r>
    </w:p>
    <w:p>
      <w:pPr>
        <w:pStyle w:val="Normal"/>
        <w:spacing w:before="0" w:after="0"/>
        <w:rPr/>
      </w:pPr>
      <w:r>
        <w:rPr/>
      </w:r>
    </w:p>
    <w:p>
      <w:pPr>
        <w:pStyle w:val="Normal"/>
        <w:widowControl/>
        <w:spacing w:before="0" w:after="120"/>
        <w:rPr/>
      </w:pPr>
      <w:r>
        <w:rPr/>
        <w:t>(ii) SEMI-ANNUAL REPORTS (Due within 60 days of period's end):</w:t>
      </w:r>
    </w:p>
    <w:p>
      <w:pPr>
        <w:pStyle w:val="Normal"/>
        <w:spacing w:before="0" w:after="0"/>
        <w:rPr/>
      </w:pPr>
      <w:r>
        <w:rPr/>
      </w:r>
    </w:p>
    <w:p>
      <w:pPr>
        <w:pStyle w:val="ListBullet"/>
        <w:widowControl/>
        <w:numPr>
          <w:ilvl w:val="0"/>
          <w:numId w:val="1"/>
        </w:numPr>
        <w:spacing w:before="0" w:after="60"/>
        <w:contextualSpacing/>
        <w:rPr/>
      </w:pPr>
      <w:r>
        <w:rPr/>
        <w:t xml:space="preserve">— </w:t>
      </w:r>
      <w:r>
        <w:rPr/>
        <w:t>Detailed employment and unemployment data for Transition Sectors</w:t>
        <w:br/>
        <w:t>— Community economic indicators</w:t>
        <w:br/>
        <w:t>— Challenges and corrective actions</w:t>
      </w:r>
    </w:p>
    <w:p>
      <w:pPr>
        <w:pStyle w:val="Normal"/>
        <w:spacing w:before="0" w:after="0"/>
        <w:rPr/>
      </w:pPr>
      <w:r>
        <w:rPr/>
      </w:r>
    </w:p>
    <w:p>
      <w:pPr>
        <w:pStyle w:val="Normal"/>
        <w:widowControl/>
        <w:spacing w:before="0" w:after="120"/>
        <w:rPr/>
      </w:pPr>
      <w:r>
        <w:rPr/>
        <w:t>(iii) ANNUAL COMPREHENSIVE REPORTS (Due by March 31 of following year):</w:t>
      </w:r>
    </w:p>
    <w:p>
      <w:pPr>
        <w:pStyle w:val="Normal"/>
        <w:spacing w:before="0" w:after="0"/>
        <w:rPr/>
      </w:pPr>
      <w:r>
        <w:rPr/>
      </w:r>
    </w:p>
    <w:p>
      <w:pPr>
        <w:pStyle w:val="ListBullet"/>
        <w:widowControl/>
        <w:numPr>
          <w:ilvl w:val="0"/>
          <w:numId w:val="1"/>
        </w:numPr>
        <w:spacing w:before="0" w:after="60"/>
        <w:contextualSpacing/>
        <w:rPr/>
      </w:pPr>
      <w:r>
        <w:rPr/>
        <w:t xml:space="preserve">— </w:t>
      </w:r>
      <w:r>
        <w:rPr/>
        <w:t>Complete data on worker outcomes and community resilience</w:t>
        <w:br/>
        <w:t>— Progress toward Chapter 23-B objectives</w:t>
        <w:br/>
        <w:t>— Worker and community satisfaction (survey data)</w:t>
        <w:br/>
        <w:t>— Comparison to baseline (pre-Chapter 23-B) conditions</w:t>
        <w:br/>
        <w:t>— Plans for next year</w:t>
      </w:r>
    </w:p>
    <w:p>
      <w:pPr>
        <w:pStyle w:val="Normal"/>
        <w:spacing w:before="0" w:after="0"/>
        <w:rPr/>
      </w:pPr>
      <w:r>
        <w:rPr/>
      </w:r>
    </w:p>
    <w:p>
      <w:pPr>
        <w:pStyle w:val="Heading3"/>
        <w:keepNext/>
        <w:widowControl/>
        <w:spacing w:before="140" w:after="60"/>
        <w:rPr/>
      </w:pPr>
      <w:r>
        <w:rPr/>
        <w:t>(d) Commission Analysis and Action</w:t>
      </w:r>
    </w:p>
    <w:p>
      <w:pPr>
        <w:pStyle w:val="Normal"/>
        <w:spacing w:before="0" w:after="0"/>
        <w:rPr/>
      </w:pPr>
      <w:r>
        <w:rPr/>
      </w:r>
    </w:p>
    <w:p>
      <w:pPr>
        <w:pStyle w:val="Heading3"/>
        <w:keepNext/>
        <w:widowControl/>
        <w:spacing w:before="140" w:after="60"/>
        <w:rPr/>
      </w:pPr>
      <w:r>
        <w:rPr/>
        <w:t>(i) The Commission shall:</w:t>
      </w:r>
    </w:p>
    <w:p>
      <w:pPr>
        <w:pStyle w:val="Normal"/>
        <w:spacing w:before="0" w:after="0"/>
        <w:rPr/>
      </w:pPr>
      <w:r>
        <w:rPr/>
      </w:r>
    </w:p>
    <w:p>
      <w:pPr>
        <w:pStyle w:val="ListBullet"/>
        <w:widowControl/>
        <w:numPr>
          <w:ilvl w:val="0"/>
          <w:numId w:val="1"/>
        </w:numPr>
        <w:spacing w:before="0" w:after="60"/>
        <w:contextualSpacing/>
        <w:rPr/>
      </w:pPr>
      <w:r>
        <w:rPr/>
        <w:t xml:space="preserve">— </w:t>
      </w:r>
      <w:r>
        <w:rPr/>
        <w:t>Consolidate and analyze reported data quarterly</w:t>
        <w:br/>
        <w:t>— Publish a public "North American Just Transition Dashboard" showing real-time progress on worker support and community recovery</w:t>
        <w:br/>
        <w:t>— Identify underperforming Parties or Communities requiring escalated support</w:t>
        <w:br/>
        <w:t>— Issue quarterly performance briefings</w:t>
      </w:r>
    </w:p>
    <w:p>
      <w:pPr>
        <w:pStyle w:val="Normal"/>
        <w:spacing w:before="0" w:after="0"/>
        <w:rPr/>
      </w:pPr>
      <w:r>
        <w:rPr/>
      </w:r>
    </w:p>
    <w:p>
      <w:pPr>
        <w:pStyle w:val="Normal"/>
        <w:widowControl/>
        <w:spacing w:before="0" w:after="120"/>
        <w:rPr/>
      </w:pPr>
      <w:r>
        <w:rPr/>
        <w:t>(ii) If a Party's reported performance falls below benchmarks (e.g., &lt;80% of Affected Workers receiving income support, &lt;70% training completion rate), the Commission shall:</w:t>
      </w:r>
    </w:p>
    <w:p>
      <w:pPr>
        <w:pStyle w:val="Normal"/>
        <w:spacing w:before="0" w:after="0"/>
        <w:rPr/>
      </w:pPr>
      <w:r>
        <w:rPr/>
      </w:r>
    </w:p>
    <w:p>
      <w:pPr>
        <w:pStyle w:val="ListBullet"/>
        <w:widowControl/>
        <w:numPr>
          <w:ilvl w:val="0"/>
          <w:numId w:val="1"/>
        </w:numPr>
        <w:spacing w:before="0" w:after="60"/>
        <w:contextualSpacing/>
        <w:rPr/>
      </w:pPr>
      <w:r>
        <w:rPr/>
        <w:t xml:space="preserve">— </w:t>
      </w:r>
      <w:r>
        <w:rPr/>
        <w:t>Issue a formal performance notice within 30 days</w:t>
        <w:br/>
        <w:t>— Require the Party to submit a corrective action plan within 60 days</w:t>
        <w:br/>
        <w:t>— If corrective action is insufficient, escalate to dispute settlement</w:t>
      </w:r>
    </w:p>
    <w:p>
      <w:pPr>
        <w:pStyle w:val="Normal"/>
        <w:spacing w:before="0" w:after="0"/>
        <w:rPr/>
      </w:pPr>
      <w:r>
        <w:rPr/>
      </w:r>
    </w:p>
    <w:p>
      <w:pPr>
        <w:pStyle w:val="Heading3"/>
        <w:keepNext/>
        <w:widowControl/>
        <w:spacing w:before="140" w:after="60"/>
        <w:rPr/>
      </w:pPr>
      <w:r>
        <w:rPr/>
        <w:t>(e) 5-Year Comprehensive Review (Binding)</w:t>
      </w:r>
    </w:p>
    <w:p>
      <w:pPr>
        <w:pStyle w:val="Normal"/>
        <w:spacing w:before="0" w:after="0"/>
        <w:rPr/>
      </w:pPr>
      <w:r>
        <w:rPr/>
      </w:r>
    </w:p>
    <w:p>
      <w:pPr>
        <w:pStyle w:val="Heading3"/>
        <w:keepNext/>
        <w:widowControl/>
        <w:spacing w:before="140" w:after="60"/>
        <w:rPr/>
      </w:pPr>
      <w:r>
        <w:rPr/>
        <w:t>(i) The Commission shall conduct a comprehensive, independent evaluation of Chapter 23-B's operation and effectiveness at:</w:t>
      </w:r>
    </w:p>
    <w:p>
      <w:pPr>
        <w:pStyle w:val="Normal"/>
        <w:spacing w:before="0" w:after="0"/>
        <w:rPr/>
      </w:pPr>
      <w:r>
        <w:rPr/>
      </w:r>
    </w:p>
    <w:p>
      <w:pPr>
        <w:pStyle w:val="ListBullet"/>
        <w:widowControl/>
        <w:numPr>
          <w:ilvl w:val="0"/>
          <w:numId w:val="1"/>
        </w:numPr>
        <w:spacing w:before="0" w:after="60"/>
        <w:contextualSpacing/>
        <w:rPr/>
      </w:pPr>
      <w:r>
        <w:rPr/>
        <w:t xml:space="preserve">— </w:t>
      </w:r>
      <w:r>
        <w:rPr/>
        <w:t>End of year 5 (and every 5 years thereafter)</w:t>
      </w:r>
    </w:p>
    <w:p>
      <w:pPr>
        <w:pStyle w:val="Normal"/>
        <w:spacing w:before="0" w:after="0"/>
        <w:rPr/>
      </w:pPr>
      <w:r>
        <w:rPr/>
      </w:r>
    </w:p>
    <w:p>
      <w:pPr>
        <w:pStyle w:val="Normal"/>
        <w:widowControl/>
        <w:spacing w:before="0" w:after="120"/>
        <w:rPr/>
      </w:pPr>
      <w:r>
        <w:rPr/>
        <w:t>(ii) The review shall assess:</w:t>
      </w:r>
    </w:p>
    <w:p>
      <w:pPr>
        <w:pStyle w:val="Normal"/>
        <w:spacing w:before="0" w:after="0"/>
        <w:rPr/>
      </w:pPr>
      <w:r>
        <w:rPr/>
      </w:r>
    </w:p>
    <w:p>
      <w:pPr>
        <w:pStyle w:val="ListBullet"/>
        <w:widowControl/>
        <w:numPr>
          <w:ilvl w:val="0"/>
          <w:numId w:val="1"/>
        </w:numPr>
        <w:spacing w:before="0" w:after="60"/>
        <w:contextualSpacing/>
        <w:rPr/>
      </w:pPr>
      <w:r>
        <w:rPr/>
        <w:t xml:space="preserve">— </w:t>
      </w:r>
      <w:r>
        <w:rPr/>
        <w:t>Overall worker outcomes (employment recovery, wage recovery, credential attainment, income adequacy)</w:t>
        <w:br/>
        <w:t>— Community resilience and economic diversification</w:t>
        <w:br/>
        <w:t>— Fund adequacy and allocation efficiency</w:t>
        <w:br/>
        <w:t>— Gaps and unmet needs</w:t>
        <w:br/>
        <w:t>— Effectiveness of cross-border worker mobility and benefit portability</w:t>
      </w:r>
    </w:p>
    <w:p>
      <w:pPr>
        <w:pStyle w:val="Normal"/>
        <w:spacing w:before="0" w:after="0"/>
        <w:rPr/>
      </w:pPr>
      <w:r>
        <w:rPr/>
      </w:r>
    </w:p>
    <w:p>
      <w:pPr>
        <w:pStyle w:val="Normal"/>
        <w:widowControl/>
        <w:spacing w:before="0" w:after="120"/>
        <w:rPr/>
      </w:pPr>
      <w:r>
        <w:rPr/>
        <w:t>(iii) Within 6 months of completing the review, the Commission shall:</w:t>
      </w:r>
    </w:p>
    <w:p>
      <w:pPr>
        <w:pStyle w:val="Normal"/>
        <w:spacing w:before="0" w:after="0"/>
        <w:rPr/>
      </w:pPr>
      <w:r>
        <w:rPr/>
      </w:r>
    </w:p>
    <w:p>
      <w:pPr>
        <w:pStyle w:val="ListBullet"/>
        <w:widowControl/>
        <w:numPr>
          <w:ilvl w:val="0"/>
          <w:numId w:val="1"/>
        </w:numPr>
        <w:spacing w:before="0" w:after="60"/>
        <w:contextualSpacing/>
        <w:rPr/>
      </w:pPr>
      <w:r>
        <w:rPr/>
        <w:t xml:space="preserve">— </w:t>
      </w:r>
      <w:r>
        <w:rPr/>
        <w:t>Publish results publicly</w:t>
        <w:br/>
        <w:t>— Issue recommendations for Chapter amendments or improvements</w:t>
        <w:br/>
        <w:t>— Make binding decisions on Fund adequacy (see Article 23-B.7(a)(iii))</w:t>
      </w:r>
    </w:p>
    <w:p>
      <w:pPr>
        <w:pStyle w:val="Normal"/>
        <w:spacing w:before="0" w:after="0"/>
        <w:rPr/>
      </w:pPr>
      <w:r>
        <w:rPr/>
      </w:r>
    </w:p>
    <w:p>
      <w:pPr>
        <w:pStyle w:val="Normal"/>
        <w:widowControl/>
        <w:spacing w:before="0" w:after="120"/>
        <w:rPr/>
      </w:pPr>
      <w:r>
        <w:rPr/>
        <w:t>(iv) If the review finds that Chapter 23-B has achieved its objectives (unemployment recovery, wage recovery, community resilience), Chapter 23-B may be modified. If review finds persistent gaps, Fund capitalization and support levels shall be increased.</w:t>
      </w:r>
    </w:p>
    <w:p>
      <w:pPr>
        <w:pStyle w:val="Normal"/>
        <w:spacing w:before="0" w:after="0"/>
        <w:rPr/>
      </w:pPr>
      <w:r>
        <w:rPr/>
      </w:r>
    </w:p>
    <w:p>
      <w:bookmarkStart w:id="1175" w:name="_NAESTMA_TOC_1175"/>
      <w:pPr>
        <w:pStyle w:val="Heading2"/>
        <w:keepNext/>
        <w:widowControl/>
        <w:spacing w:before="180" w:after="80"/>
        <w:rPr/>
      </w:pPr>
      <w:r>
        <w:rPr/>
        <w:t>Article 23-B.10: Relationship to Other Chapters and Primacy Provision</w:t>
      </w:r>
      <w:bookmarkEnd w:id="1175"/>
    </w:p>
    <w:p>
      <w:pPr>
        <w:pStyle w:val="Normal"/>
        <w:spacing w:before="0" w:after="0"/>
        <w:rPr/>
      </w:pPr>
      <w:r>
        <w:rPr/>
      </w:r>
    </w:p>
    <w:p>
      <w:pPr>
        <w:pStyle w:val="Heading3"/>
        <w:keepNext/>
        <w:widowControl/>
        <w:spacing w:before="140" w:after="60"/>
        <w:rPr/>
      </w:pPr>
      <w:r>
        <w:rPr/>
        <w:t>(a) Primacy Over Trade Measures</w:t>
      </w:r>
    </w:p>
    <w:p>
      <w:pPr>
        <w:pStyle w:val="Normal"/>
        <w:spacing w:before="0" w:after="0"/>
        <w:rPr/>
      </w:pPr>
      <w:r>
        <w:rPr/>
      </w:r>
    </w:p>
    <w:p>
      <w:pPr>
        <w:pStyle w:val="Normal"/>
        <w:widowControl/>
        <w:spacing w:before="0" w:after="120"/>
        <w:rPr/>
      </w:pPr>
      <w:r>
        <w:rPr/>
        <w:t>CRITICAL: Chapter 23-B is the primary and binding commitment to worker protection. Trade remedies and Article 35.17A are supplementary.</w:t>
      </w:r>
    </w:p>
    <w:p>
      <w:pPr>
        <w:pStyle w:val="Normal"/>
        <w:spacing w:before="0" w:after="0"/>
        <w:rPr/>
      </w:pPr>
      <w:r>
        <w:rPr/>
      </w:r>
    </w:p>
    <w:p>
      <w:pPr>
        <w:pStyle w:val="Heading3"/>
        <w:keepNext/>
        <w:widowControl/>
        <w:spacing w:before="140" w:after="60"/>
        <w:rPr/>
      </w:pPr>
      <w:r>
        <w:rPr/>
        <w:t>(i) A Party's obligations under Chapter 23-B (worker income support, retraining, community support, and Transition Sector designation) are independent of and take precedence over trade disputes or remedies under Chapter 35 (Proportional Trade Adjustment Mechanism) and Article 35.17A (Remediation Investment and Corrective Compensation).</w:t>
      </w:r>
    </w:p>
    <w:p>
      <w:pPr>
        <w:pStyle w:val="Normal"/>
        <w:spacing w:before="0" w:after="0"/>
        <w:rPr/>
      </w:pPr>
      <w:r>
        <w:rPr/>
      </w:r>
    </w:p>
    <w:p>
      <w:pPr>
        <w:pStyle w:val="Normal"/>
        <w:widowControl/>
        <w:spacing w:before="0" w:after="120"/>
        <w:rPr/>
      </w:pPr>
      <w:r>
        <w:rPr/>
        <w:t>(ii) When a Party is subject to a trade remedy under Chapter 35, the Party's underlying Chapter 23-B obligations (income support, retraining, community investment) are NOT modified, suspended, or traded away. These are separate and binding commitments.</w:t>
      </w:r>
    </w:p>
    <w:p>
      <w:pPr>
        <w:pStyle w:val="Normal"/>
        <w:spacing w:before="0" w:after="0"/>
        <w:rPr/>
      </w:pPr>
      <w:r>
        <w:rPr/>
      </w:r>
    </w:p>
    <w:p>
      <w:pPr>
        <w:pStyle w:val="Normal"/>
        <w:widowControl/>
        <w:spacing w:before="0" w:after="120"/>
        <w:rPr/>
      </w:pPr>
      <w:r>
        <w:rPr/>
        <w:t>(iii) If a Party proposes "worker adjustment" as a remedy under Article 35.17A, such remedy must meet or exceed the standards set in Chapter 23-B. Substandard worker adjustment cannot satisfy Chapter 35 remedies.</w:t>
      </w:r>
    </w:p>
    <w:p>
      <w:pPr>
        <w:pStyle w:val="Normal"/>
        <w:spacing w:before="0" w:after="0"/>
        <w:rPr/>
      </w:pPr>
      <w:r>
        <w:rPr/>
      </w:r>
    </w:p>
    <w:p>
      <w:pPr>
        <w:pStyle w:val="Heading3"/>
        <w:keepNext/>
        <w:widowControl/>
        <w:spacing w:before="140" w:after="60"/>
        <w:rPr/>
      </w:pPr>
      <w:r>
        <w:rPr/>
        <w:t>(b) Complementarity With Other Chapters</w:t>
      </w:r>
    </w:p>
    <w:p>
      <w:pPr>
        <w:pStyle w:val="Normal"/>
        <w:spacing w:before="0" w:after="0"/>
        <w:rPr/>
      </w:pPr>
      <w:r>
        <w:rPr/>
      </w:r>
    </w:p>
    <w:p>
      <w:pPr>
        <w:pStyle w:val="Normal"/>
        <w:widowControl/>
        <w:spacing w:before="0" w:after="120"/>
        <w:rPr/>
      </w:pPr>
      <w:r>
        <w:rPr/>
        <w:t>This Chapter operates within and supplements the treaty-wide human-rights floor established in Package CL (North American Human Dignity, Equality and Rights Framework). Nothing in this Chapter shall be interpreted to derogate from or diminish protections afforded by Package CL.</w:t>
      </w:r>
    </w:p>
    <w:p>
      <w:pPr>
        <w:pStyle w:val="Normal"/>
        <w:spacing w:before="0" w:after="0"/>
        <w:rPr/>
      </w:pPr>
      <w:r>
        <w:rPr/>
      </w:r>
    </w:p>
    <w:p>
      <w:pPr>
        <w:pStyle w:val="Normal"/>
        <w:widowControl/>
        <w:spacing w:before="0" w:after="120"/>
        <w:rPr/>
      </w:pPr>
      <w:r>
        <w:rPr/>
        <w:t>This Chapter is implemented consistently with:</w:t>
      </w:r>
    </w:p>
    <w:p>
      <w:pPr>
        <w:pStyle w:val="Normal"/>
        <w:spacing w:before="0" w:after="0"/>
        <w:rPr/>
      </w:pPr>
      <w:r>
        <w:rPr/>
      </w:r>
    </w:p>
    <w:p>
      <w:pPr>
        <w:pStyle w:val="Heading3"/>
        <w:keepNext/>
        <w:widowControl/>
        <w:spacing w:before="140" w:after="60"/>
        <w:rPr/>
      </w:pPr>
      <w:r>
        <w:rPr/>
        <w:t>(i) Chapter 23 (Labor): Chapter 23-B extends and operationalizes Chapter 23's worker-protection principles by providing concrete income support and retraining rights tied to the transformations this Agreement contemplates.</w:t>
      </w:r>
    </w:p>
    <w:p>
      <w:pPr>
        <w:pStyle w:val="Normal"/>
        <w:spacing w:before="0" w:after="0"/>
        <w:rPr/>
      </w:pPr>
      <w:r>
        <w:rPr/>
      </w:r>
    </w:p>
    <w:p>
      <w:pPr>
        <w:pStyle w:val="Normal"/>
        <w:widowControl/>
        <w:spacing w:before="0" w:after="120"/>
        <w:rPr/>
      </w:pPr>
      <w:r>
        <w:rPr/>
        <w:t>(ii) Chapter 24 (Environment): Chapter 23-B ensures that environmental protections and energy transitions mandated by Chapter 24 do not occur at the expense of affected workers and communities.</w:t>
      </w:r>
    </w:p>
    <w:p>
      <w:pPr>
        <w:pStyle w:val="Normal"/>
        <w:spacing w:before="0" w:after="0"/>
        <w:rPr/>
      </w:pPr>
      <w:r>
        <w:rPr/>
      </w:r>
    </w:p>
    <w:p>
      <w:pPr>
        <w:pStyle w:val="Normal"/>
        <w:widowControl/>
        <w:spacing w:before="0" w:after="120"/>
        <w:rPr/>
      </w:pPr>
      <w:r>
        <w:rPr/>
        <w:t>(iii) Chapter 36 (Economic Security and Supply Chain Resilience): Chapter 23-B provides workforce development and community resilience support complementing supply-chain security initiatives.</w:t>
      </w:r>
    </w:p>
    <w:p>
      <w:pPr>
        <w:pStyle w:val="Normal"/>
        <w:spacing w:before="0" w:after="0"/>
        <w:rPr/>
      </w:pPr>
      <w:r>
        <w:rPr/>
      </w:r>
    </w:p>
    <w:p>
      <w:pPr>
        <w:pStyle w:val="Normal"/>
        <w:widowControl/>
        <w:spacing w:before="0" w:after="120"/>
        <w:rPr/>
      </w:pPr>
      <w:r>
        <w:rPr/>
        <w:t>(iv) Chapter 40 (Energy Security and Grid Resilience): Chapter 23-B implements the worker participation and host-community engagement provisions in Chapter 40, particularly for fossil-fuel energy workers.</w:t>
      </w:r>
    </w:p>
    <w:p>
      <w:pPr>
        <w:pStyle w:val="Normal"/>
        <w:spacing w:before="0" w:after="0"/>
        <w:rPr/>
      </w:pPr>
      <w:r>
        <w:rPr/>
      </w:r>
    </w:p>
    <w:p>
      <w:pPr>
        <w:pStyle w:val="Heading3"/>
        <w:keepNext/>
        <w:widowControl/>
        <w:spacing w:before="140" w:after="60"/>
        <w:rPr/>
      </w:pPr>
      <w:r>
        <w:rPr/>
        <w:t>(v) Chapter 4 (Rules of Origin) and Article 4.A.2 (Automotive Goods): Chapter 23-B provides the worker-security infrastructure supporting automotive and sectoral workforce advancement standards in Article 4.A.2.</w:t>
      </w:r>
    </w:p>
    <w:p>
      <w:pPr>
        <w:pStyle w:val="Normal"/>
        <w:spacing w:before="0" w:after="0"/>
        <w:rPr/>
      </w:pPr>
      <w:r>
        <w:rPr/>
      </w:r>
    </w:p>
    <w:p>
      <w:pPr>
        <w:pStyle w:val="Normal"/>
        <w:widowControl/>
        <w:spacing w:before="0" w:after="120"/>
        <w:rPr/>
      </w:pPr>
      <w:r>
        <w:rPr/>
        <w:t>(vi) Package CL (Human Rights Framework): Chapter 23-B is an integral part of the human-rights commitment and is not subordinate to trade interests.</w:t>
      </w:r>
    </w:p>
    <w:p>
      <w:pPr>
        <w:pStyle w:val="Normal"/>
        <w:spacing w:before="0" w:after="0"/>
        <w:rPr/>
      </w:pPr>
      <w:r>
        <w:rPr/>
      </w:r>
    </w:p>
    <w:p>
      <w:pPr>
        <w:pStyle w:val="Heading3"/>
        <w:keepNext/>
        <w:widowControl/>
        <w:spacing w:before="140" w:after="60"/>
        <w:rPr/>
      </w:pPr>
      <w:r>
        <w:rPr/>
        <w:t>(c) No Derogation</w:t>
      </w:r>
    </w:p>
    <w:p>
      <w:pPr>
        <w:pStyle w:val="Normal"/>
        <w:spacing w:before="0" w:after="0"/>
        <w:rPr/>
      </w:pPr>
      <w:r>
        <w:rPr/>
      </w:r>
    </w:p>
    <w:p>
      <w:pPr>
        <w:pStyle w:val="Normal"/>
        <w:widowControl/>
        <w:spacing w:before="0" w:after="120"/>
        <w:rPr/>
      </w:pPr>
      <w:r>
        <w:rPr/>
        <w:t>Each Party remains responsible for delivering the substantive minimum protections, benefit levels, funding commitments, deadlines, and worker and community outcomes required by this Chapter. A Party may not invoke domestic law, institutional design, or constitutional allocation of authority as a reason to deny, reduce, postpone, or discontinue those substantive protections. Where a particular administrative or legislative method prescribed by this Chapter is constitutionally unavailable, the Party shall implement a demonstrably equivalent lawful mechanism that delivers protection equal to or greater than the prescribed substantive standard within the same deadline, or within an expedited implementation period approved under this paragraph where literal compliance is legally impossible. The Party bears the burden of proving both the legal impossibility of the prescribed method and the substantive equivalence of the alternative.</w:t>
      </w:r>
    </w:p>
    <w:p>
      <w:pPr>
        <w:pStyle w:val="Normal"/>
        <w:spacing w:before="0" w:after="0"/>
        <w:rPr/>
      </w:pPr>
      <w:r>
        <w:rPr/>
      </w:r>
    </w:p>
    <w:p>
      <w:pPr>
        <w:pStyle w:val="Normal"/>
        <w:widowControl/>
        <w:spacing w:before="0" w:after="120"/>
        <w:rPr/>
      </w:pPr>
      <w:r>
        <w:rPr/>
        <w:t>HOWEVER: This clause does NOT permit a Party to invoke domestic law as a reason to:</w:t>
      </w:r>
    </w:p>
    <w:p>
      <w:pPr>
        <w:pStyle w:val="Normal"/>
        <w:spacing w:before="0" w:after="0"/>
        <w:rPr/>
      </w:pPr>
      <w:r>
        <w:rPr/>
      </w:r>
    </w:p>
    <w:p>
      <w:pPr>
        <w:pStyle w:val="ListBullet"/>
        <w:widowControl/>
        <w:numPr>
          <w:ilvl w:val="0"/>
          <w:numId w:val="1"/>
        </w:numPr>
        <w:spacing w:before="0" w:after="60"/>
        <w:contextualSpacing/>
        <w:rPr/>
      </w:pPr>
      <w:r>
        <w:rPr/>
        <w:t xml:space="preserve">— </w:t>
      </w:r>
      <w:r>
        <w:rPr/>
        <w:t>Refuse to provide income support to Affected Workers</w:t>
        <w:br/>
        <w:t>— Block benefit portability</w:t>
        <w:br/>
        <w:t>— Deny retraining opportunities</w:t>
        <w:br/>
        <w:t>— Exclude workers based on immigration status</w:t>
        <w:br/>
        <w:t>— Defund Transition Sector support</w:t>
        <w:br/>
        <w:t>— Refuse to contribute to the Fund</w:t>
      </w:r>
    </w:p>
    <w:p>
      <w:pPr>
        <w:pStyle w:val="Normal"/>
        <w:spacing w:before="0" w:after="0"/>
        <w:rPr/>
      </w:pPr>
      <w:r>
        <w:rPr/>
      </w:r>
    </w:p>
    <w:p>
      <w:pPr>
        <w:pStyle w:val="Normal"/>
        <w:widowControl/>
        <w:spacing w:before="0" w:after="120"/>
        <w:rPr/>
      </w:pPr>
      <w:r>
        <w:rPr/>
        <w:t>If a Party's domestic law creates a barrier to Chapter 23-B compliance, the Party shall amend that law where constitutionally available or adopt an equivalent lawful mechanism that fully delivers the Chapter 23-B substantive obligation. The Party shall notify the Commission of the barrier and proposed cure within 30 days after identifying it, provide the legal and factual basis for any claimed constitutional limitation, and submit the alternative mechanism for expedited equivalence review. Commission or panel review of equivalence shall be completed on an expedited basis and shall not suspend the underlying obligation.</w:t>
      </w:r>
    </w:p>
    <w:p>
      <w:pPr>
        <w:pStyle w:val="Normal"/>
        <w:widowControl/>
        <w:rPr/>
      </w:pPr>
      <w:r>
        <w:rPr/>
        <w:t>(v) No Benefit Interruption. If a dispute arises regarding the constitutional availability or substantive equivalence of an alternative mechanism, workers and communities shall continue receiving benefits and support at the most-protective applicable Chapter 23-B standard throughout consultation, review, litigation, or dispute settlement. No Party may reduce, suspend, defer, or condition benefits pending resolution of a constitutional or equivalence question. Where administrative uncertainty prevents immediate identification of the ultimately responsible program or authority, provisional benefits shall be paid first and governmental allocation or reimbursement shall be resolved afterward.</w:t>
      </w:r>
    </w:p>
    <w:p>
      <w:pPr>
        <w:pStyle w:val="Normal"/>
        <w:spacing w:before="0" w:after="0"/>
        <w:rPr/>
      </w:pPr>
      <w:r>
        <w:rPr/>
      </w:r>
    </w:p>
    <w:p>
      <w:pPr>
        <w:pStyle w:val="Heading3"/>
        <w:keepNext/>
        <w:widowControl/>
        <w:spacing w:before="140" w:after="60"/>
        <w:rPr/>
      </w:pPr>
      <w:r>
        <w:rPr/>
        <w:t>(d) No Reservation or Opt-Out</w:t>
      </w:r>
    </w:p>
    <w:p>
      <w:pPr>
        <w:pStyle w:val="Normal"/>
        <w:spacing w:before="0" w:after="0"/>
        <w:rPr/>
      </w:pPr>
      <w:r>
        <w:rPr/>
      </w:r>
    </w:p>
    <w:p>
      <w:pPr>
        <w:pStyle w:val="Normal"/>
        <w:widowControl/>
        <w:spacing w:before="0" w:after="120"/>
        <w:rPr/>
      </w:pPr>
      <w:r>
        <w:rPr/>
        <w:t>No Party may enter a reservation or opt-out from any provision of Chapter 23-B. Chapter 23-B is mandatory for all Parties and applies in all territories.</w:t>
      </w:r>
    </w:p>
    <w:p>
      <w:pPr>
        <w:pStyle w:val="Normal"/>
        <w:spacing w:before="0" w:after="0"/>
        <w:rPr/>
      </w:pPr>
      <w:r>
        <w:rPr/>
      </w:r>
    </w:p>
    <w:p>
      <w:bookmarkStart w:id="1176" w:name="_NAESTMA_TOC_1176"/>
      <w:pPr>
        <w:pStyle w:val="Heading2"/>
        <w:keepNext/>
        <w:widowControl/>
        <w:spacing w:before="180" w:after="80"/>
        <w:rPr/>
      </w:pPr>
      <w:r>
        <w:rPr/>
        <w:t>Article 23-B.11: Dispute Settlement and Enforcement</w:t>
      </w:r>
      <w:bookmarkEnd w:id="1176"/>
    </w:p>
    <w:p>
      <w:pPr>
        <w:pStyle w:val="Normal"/>
        <w:spacing w:before="0" w:after="0"/>
        <w:rPr/>
      </w:pPr>
      <w:r>
        <w:rPr/>
      </w:r>
    </w:p>
    <w:p>
      <w:pPr>
        <w:pStyle w:val="Heading3"/>
        <w:keepNext/>
        <w:widowControl/>
        <w:spacing w:before="140" w:after="60"/>
        <w:rPr/>
      </w:pPr>
      <w:r>
        <w:rPr/>
        <w:t>(a) Scope of Disputes</w:t>
      </w:r>
    </w:p>
    <w:p>
      <w:pPr>
        <w:pStyle w:val="Normal"/>
        <w:spacing w:before="0" w:after="0"/>
        <w:rPr/>
      </w:pPr>
      <w:r>
        <w:rPr/>
      </w:r>
    </w:p>
    <w:p>
      <w:pPr>
        <w:pStyle w:val="Normal"/>
        <w:widowControl/>
        <w:spacing w:before="0" w:after="120"/>
        <w:rPr/>
      </w:pPr>
      <w:r>
        <w:rPr/>
        <w:t>A Party may bring a dispute under Chapter 23-B (via the procedures in Chapter 31) alleging:</w:t>
      </w:r>
    </w:p>
    <w:p>
      <w:pPr>
        <w:pStyle w:val="Normal"/>
        <w:spacing w:before="0" w:after="0"/>
        <w:rPr/>
      </w:pPr>
      <w:r>
        <w:rPr/>
      </w:r>
    </w:p>
    <w:p>
      <w:pPr>
        <w:pStyle w:val="Heading3"/>
        <w:keepNext/>
        <w:widowControl/>
        <w:spacing w:before="140" w:after="60"/>
        <w:rPr/>
      </w:pPr>
      <w:r>
        <w:rPr/>
        <w:t>(i) Failure to maintain or establish programs required under Article 23-B.3</w:t>
        <w:br/>
        <w:t>(income support)</w:t>
        <w:br/>
        <w:t>(ii) Failure to maintain or establish programs required under Article 23-B.4 (retraining and skills)</w:t>
        <w:br/>
        <w:t>(iii) Failure to implement benefit portability obligations under Article 23-B.5</w:t>
        <w:br/>
        <w:t>(iv) Failure to provide community support under Article 23-B.6</w:t>
        <w:br/>
        <w:t>(v) Failure to contribute to the Fund as required under Article 23-B.7</w:t>
        <w:br/>
        <w:t>(vi) Failure to comply with Transition Sector designation under Article 23-B.8</w:t>
        <w:br/>
        <w:t>(vii) Failure to submit required reports under Article 23-B.9</w:t>
        <w:br/>
        <w:t>(viii) Failure to comply with dispute settlement decisions</w:t>
      </w:r>
    </w:p>
    <w:p>
      <w:pPr>
        <w:pStyle w:val="Normal"/>
        <w:spacing w:before="0" w:after="0"/>
        <w:rPr/>
      </w:pPr>
      <w:r>
        <w:rPr/>
      </w:r>
    </w:p>
    <w:p>
      <w:pPr>
        <w:pStyle w:val="Heading3"/>
        <w:keepNext/>
        <w:widowControl/>
        <w:spacing w:before="140" w:after="60"/>
        <w:rPr/>
      </w:pPr>
      <w:r>
        <w:rPr/>
        <w:t>(b) Expedited Consultation (Precondition to Dispute Settlement)</w:t>
      </w:r>
    </w:p>
    <w:p>
      <w:pPr>
        <w:pStyle w:val="Normal"/>
        <w:spacing w:before="0" w:after="0"/>
        <w:rPr/>
      </w:pPr>
      <w:r>
        <w:rPr/>
      </w:r>
    </w:p>
    <w:p>
      <w:pPr>
        <w:pStyle w:val="Normal"/>
        <w:widowControl/>
        <w:spacing w:before="0" w:after="120"/>
        <w:rPr/>
      </w:pPr>
      <w:r>
        <w:rPr/>
        <w:t>A Party seeking to bring a Chapter 23-B dispute SHALL first pursue expedited consultation:</w:t>
      </w:r>
    </w:p>
    <w:p>
      <w:pPr>
        <w:pStyle w:val="Normal"/>
        <w:spacing w:before="0" w:after="0"/>
        <w:rPr/>
      </w:pPr>
      <w:r>
        <w:rPr/>
      </w:r>
    </w:p>
    <w:p>
      <w:pPr>
        <w:pStyle w:val="Heading3"/>
        <w:keepNext/>
        <w:widowControl/>
        <w:spacing w:before="140" w:after="60"/>
        <w:rPr/>
      </w:pPr>
      <w:r>
        <w:rPr/>
        <w:t>(i) Written notice of concern to the offending Party within 15 days of discovering the alleged violation</w:t>
        <w:br/>
        <w:t>(ii) Mandatory consultation within 15 days of written notice</w:t>
        <w:br/>
        <w:t>(iii) Good-faith negotiation and cure opportunity for 30 days following consultation</w:t>
        <w:br/>
        <w:t>(iv) If unresolved after 30 days, the requesting Party may proceed to dispute settlement</w:t>
      </w:r>
    </w:p>
    <w:p>
      <w:pPr>
        <w:pStyle w:val="Normal"/>
        <w:spacing w:before="0" w:after="0"/>
        <w:rPr/>
      </w:pPr>
      <w:r>
        <w:rPr/>
      </w:r>
    </w:p>
    <w:p>
      <w:pPr>
        <w:pStyle w:val="Normal"/>
        <w:widowControl/>
        <w:spacing w:before="0" w:after="120"/>
        <w:rPr/>
      </w:pPr>
      <w:r>
        <w:rPr/>
        <w:t>This expedited process is mandatory but is NOT used as a reason to delay remedies for workers. Workers continue receiving emergency income support during dispute resolution.</w:t>
      </w:r>
    </w:p>
    <w:p>
      <w:pPr>
        <w:pStyle w:val="Normal"/>
        <w:spacing w:before="0" w:after="0"/>
        <w:rPr/>
      </w:pPr>
      <w:r>
        <w:rPr/>
      </w:r>
    </w:p>
    <w:p>
      <w:pPr>
        <w:pStyle w:val="Heading3"/>
        <w:keepNext/>
        <w:widowControl/>
        <w:spacing w:before="140" w:after="60"/>
        <w:rPr/>
      </w:pPr>
      <w:r>
        <w:rPr/>
        <w:t>(c) Dispute Panel Procedures</w:t>
      </w:r>
    </w:p>
    <w:p>
      <w:pPr>
        <w:pStyle w:val="Normal"/>
        <w:spacing w:before="0" w:after="0"/>
        <w:rPr/>
      </w:pPr>
      <w:r>
        <w:rPr/>
      </w:r>
    </w:p>
    <w:p>
      <w:pPr>
        <w:pStyle w:val="Normal"/>
        <w:widowControl/>
        <w:spacing w:before="0" w:after="120"/>
        <w:rPr/>
      </w:pPr>
      <w:r>
        <w:rPr/>
        <w:t>If consultations fail, Chapter 23-B disputes shall proceed under Chapter 31 (Dispute Settlement) with the following modifications:</w:t>
      </w:r>
    </w:p>
    <w:p>
      <w:pPr>
        <w:pStyle w:val="Normal"/>
        <w:spacing w:before="0" w:after="0"/>
        <w:rPr/>
      </w:pPr>
      <w:r>
        <w:rPr/>
      </w:r>
    </w:p>
    <w:p>
      <w:pPr>
        <w:pStyle w:val="Heading3"/>
        <w:keepNext/>
        <w:widowControl/>
        <w:spacing w:before="140" w:after="60"/>
        <w:rPr/>
      </w:pPr>
      <w:r>
        <w:rPr/>
        <w:t>(i) Expedited Timeline: Panel decision within 6 months (faster than standard Chapter 31 timeline)</w:t>
      </w:r>
    </w:p>
    <w:p>
      <w:pPr>
        <w:pStyle w:val="Normal"/>
        <w:spacing w:before="0" w:after="0"/>
        <w:rPr/>
      </w:pPr>
      <w:r>
        <w:rPr/>
      </w:r>
    </w:p>
    <w:p>
      <w:pPr>
        <w:pStyle w:val="Normal"/>
        <w:widowControl/>
        <w:spacing w:before="0" w:after="120"/>
        <w:rPr/>
      </w:pPr>
      <w:r>
        <w:rPr/>
        <w:t>(ii) Specialized Panel: Panels hearing Chapter 23-B disputes shall include at least one panelist with expertise in labor law or social protection</w:t>
      </w:r>
    </w:p>
    <w:p>
      <w:pPr>
        <w:pStyle w:val="Normal"/>
        <w:spacing w:before="0" w:after="0"/>
        <w:rPr/>
      </w:pPr>
      <w:r>
        <w:rPr/>
      </w:r>
    </w:p>
    <w:p>
      <w:pPr>
        <w:pStyle w:val="Normal"/>
        <w:widowControl/>
        <w:spacing w:before="0" w:after="120"/>
        <w:rPr/>
      </w:pPr>
      <w:r>
        <w:rPr/>
        <w:t>(iii) Burden of Proof: The offending Party bears the burden of proving that it has complied with Chapter 23-B obligations. Mere assertion that compliance is ongoing is insufficient.</w:t>
      </w:r>
    </w:p>
    <w:p>
      <w:pPr>
        <w:pStyle w:val="Normal"/>
        <w:spacing w:before="0" w:after="0"/>
        <w:rPr/>
      </w:pPr>
      <w:r>
        <w:rPr/>
      </w:r>
    </w:p>
    <w:p>
      <w:pPr>
        <w:pStyle w:val="Normal"/>
        <w:widowControl/>
        <w:spacing w:before="0" w:after="120"/>
        <w:rPr/>
      </w:pPr>
      <w:r>
        <w:rPr/>
        <w:t>(iv) Remedies: If a panel finds a violation, the remedies available include:</w:t>
      </w:r>
    </w:p>
    <w:p>
      <w:pPr>
        <w:pStyle w:val="Normal"/>
        <w:spacing w:before="0" w:after="0"/>
        <w:rPr/>
      </w:pPr>
      <w:r>
        <w:rPr/>
      </w:r>
    </w:p>
    <w:p>
      <w:pPr>
        <w:pStyle w:val="ListBullet"/>
        <w:widowControl/>
        <w:numPr>
          <w:ilvl w:val="0"/>
          <w:numId w:val="1"/>
        </w:numPr>
        <w:spacing w:before="0" w:after="60"/>
        <w:contextualSpacing/>
        <w:rPr/>
      </w:pPr>
      <w:r>
        <w:rPr/>
        <w:t xml:space="preserve">— </w:t>
      </w:r>
      <w:r>
        <w:rPr/>
        <w:t>Immediate cessation of the violation</w:t>
        <w:br/>
        <w:t>— Financial compensation sufficient to make affected workers and communities whole for verified loss, delay, or denied benefits</w:t>
        <w:br/>
        <w:t>— Corrective action plan with binding timeline</w:t>
        <w:br/>
        <w:t>— Mandatory additional contributions to the Fund or assessed compliance payments calibrated to the severity, duration, and verified injury</w:t>
        <w:br/>
        <w:t>— In persistent or deliberate cases where financial remedies have been exhausted or are demonstrably ineffective: narrowly related suspension of treaty benefits under Chapter 31 until the violation is cured; broader tariff concessions may be suspended only as a last resort consistent with Article 35.31</w:t>
      </w:r>
    </w:p>
    <w:p>
      <w:pPr>
        <w:pStyle w:val="Normal"/>
        <w:spacing w:before="0" w:after="0"/>
        <w:rPr/>
      </w:pPr>
      <w:r>
        <w:rPr/>
      </w:r>
    </w:p>
    <w:p>
      <w:pPr>
        <w:pStyle w:val="Heading3"/>
        <w:keepNext/>
        <w:widowControl/>
        <w:spacing w:before="140" w:after="60"/>
        <w:rPr/>
      </w:pPr>
      <w:r>
        <w:rPr/>
        <w:t>(d) Automatic Enforcement Escalation</w:t>
      </w:r>
    </w:p>
    <w:p>
      <w:pPr>
        <w:pStyle w:val="Normal"/>
        <w:spacing w:before="0" w:after="0"/>
        <w:rPr/>
      </w:pPr>
      <w:r>
        <w:rPr/>
      </w:r>
    </w:p>
    <w:p>
      <w:pPr>
        <w:pStyle w:val="Normal"/>
        <w:widowControl/>
        <w:spacing w:before="0" w:after="120"/>
        <w:rPr/>
      </w:pPr>
      <w:r>
        <w:rPr/>
        <w:t>If a Party fails to comply with a panel decision or corrective action plan:</w:t>
      </w:r>
    </w:p>
    <w:p>
      <w:pPr>
        <w:pStyle w:val="Normal"/>
        <w:spacing w:before="0" w:after="0"/>
        <w:rPr/>
      </w:pPr>
      <w:r>
        <w:rPr/>
      </w:r>
    </w:p>
    <w:p>
      <w:pPr>
        <w:pStyle w:val="Heading3"/>
        <w:keepNext/>
        <w:widowControl/>
        <w:spacing w:before="140" w:after="60"/>
        <w:rPr/>
      </w:pPr>
      <w:r>
        <w:rPr/>
        <w:t>(i) First month of non-compliance: Automatic financial compliance assessment payable to the Fund, together with full make-whole payments to any worker or community experiencing benefit loss or delay</w:t>
      </w:r>
    </w:p>
    <w:p>
      <w:pPr>
        <w:pStyle w:val="Normal"/>
        <w:spacing w:before="0" w:after="0"/>
        <w:rPr/>
      </w:pPr>
      <w:r>
        <w:rPr/>
      </w:r>
    </w:p>
    <w:p>
      <w:pPr>
        <w:pStyle w:val="Normal"/>
        <w:widowControl/>
        <w:spacing w:before="0" w:after="120"/>
        <w:rPr/>
      </w:pPr>
      <w:r>
        <w:rPr/>
        <w:t>(ii) Second month of non-compliance: The financial compliance assessment doubles and continues monthly; no amount assessed under this paragraph may be credited against the Party's ordinary Fund contribution or domestic Chapter 23-B spending obligations</w:t>
      </w:r>
    </w:p>
    <w:p>
      <w:pPr>
        <w:pStyle w:val="Normal"/>
        <w:spacing w:before="0" w:after="0"/>
        <w:rPr/>
      </w:pPr>
      <w:r>
        <w:rPr/>
      </w:r>
    </w:p>
    <w:p>
      <w:pPr>
        <w:pStyle w:val="Normal"/>
        <w:widowControl/>
        <w:spacing w:before="0" w:after="120"/>
        <w:rPr/>
      </w:pPr>
      <w:r>
        <w:rPr/>
        <w:t>(iii) Third month of non-compliance: Escalation to the Commission and Chapter 31. The panel may authorize narrowly related suspension of treaty benefits only after finding that make-whole payments, Fund assessments, corrective orders, and other financial remedies have been exhausted or are demonstrably ineffective. Suspension of broader tariff concessions is a last resort and remains subject to the narrowest-sufficient-remedy, issue-nexus, proportionality, cure, and automatic-restoration disciplines of this Agreement.</w:t>
      </w:r>
    </w:p>
    <w:p>
      <w:pPr>
        <w:pStyle w:val="Normal"/>
        <w:spacing w:before="0" w:after="0"/>
        <w:rPr/>
      </w:pPr>
      <w:r>
        <w:rPr/>
      </w:r>
    </w:p>
    <w:p>
      <w:pPr>
        <w:pStyle w:val="Heading3"/>
        <w:keepNext/>
        <w:widowControl/>
        <w:spacing w:before="140" w:after="60"/>
        <w:rPr/>
      </w:pPr>
      <w:r>
        <w:rPr/>
        <w:t>(e) Standing for Worker and Community Representatives</w:t>
      </w:r>
    </w:p>
    <w:p>
      <w:pPr>
        <w:pStyle w:val="Normal"/>
        <w:spacing w:before="0" w:after="0"/>
        <w:rPr/>
      </w:pPr>
      <w:r>
        <w:rPr/>
      </w:r>
    </w:p>
    <w:p>
      <w:pPr>
        <w:pStyle w:val="Heading3"/>
        <w:keepNext/>
        <w:widowControl/>
        <w:spacing w:before="140" w:after="60"/>
        <w:rPr/>
      </w:pPr>
      <w:r>
        <w:rPr/>
        <w:t>(i) A Party may bring a Chapter 23-B dispute on behalf of affected workers or communities in its territory.</w:t>
      </w:r>
    </w:p>
    <w:p>
      <w:pPr>
        <w:pStyle w:val="Normal"/>
        <w:spacing w:before="0" w:after="0"/>
        <w:rPr/>
      </w:pPr>
      <w:r>
        <w:rPr/>
      </w:r>
    </w:p>
    <w:p>
      <w:pPr>
        <w:pStyle w:val="Normal"/>
        <w:widowControl/>
        <w:spacing w:before="0" w:after="120"/>
        <w:rPr/>
      </w:pPr>
      <w:r>
        <w:rPr/>
        <w:t>(ii) Worker organizations and civil society may submit amicus curiae (friend of the court) briefs in Chapter 23-B disputes at the panel's discretion.</w:t>
      </w:r>
    </w:p>
    <w:p>
      <w:pPr>
        <w:pStyle w:val="Normal"/>
        <w:spacing w:before="0" w:after="0"/>
        <w:rPr/>
      </w:pPr>
      <w:r>
        <w:rPr/>
      </w:r>
    </w:p>
    <w:p>
      <w:pPr>
        <w:pStyle w:val="Normal"/>
        <w:widowControl/>
        <w:spacing w:before="0" w:after="120"/>
        <w:rPr/>
      </w:pPr>
      <w:r>
        <w:rPr/>
        <w:t>(iii) Worker organizations and community organizations may request standing to participate in the dispute settlement process if they can demonstrate that the dispute materially affects their members or communities.</w:t>
      </w:r>
    </w:p>
    <w:p>
      <w:pPr>
        <w:pStyle w:val="Normal"/>
        <w:spacing w:before="0" w:after="0"/>
        <w:rPr/>
      </w:pPr>
      <w:r>
        <w:rPr/>
      </w:r>
    </w:p>
    <w:p>
      <w:pPr>
        <w:pStyle w:val="Heading3"/>
        <w:keepNext/>
        <w:widowControl/>
        <w:spacing w:before="140" w:after="60"/>
        <w:rPr/>
      </w:pPr>
      <w:r>
        <w:rPr/>
        <w:t>(f) No Waiver of Rights</w:t>
      </w:r>
    </w:p>
    <w:p>
      <w:pPr>
        <w:pStyle w:val="Normal"/>
        <w:spacing w:before="0" w:after="0"/>
        <w:rPr/>
      </w:pPr>
      <w:r>
        <w:rPr/>
      </w:r>
    </w:p>
    <w:p>
      <w:pPr>
        <w:pStyle w:val="Normal"/>
        <w:widowControl/>
        <w:spacing w:before="0" w:after="120"/>
        <w:rPr/>
      </w:pPr>
      <w:r>
        <w:rPr/>
        <w:t>A worker's or community's receipt of benefits, support, or remedies under Chapter 23-B does not waive that worker's or community's right to bring or participate in dispute proceedings. Chapter 23-B remedies are cumulative.</w:t>
      </w:r>
    </w:p>
    <w:p>
      <w:pPr>
        <w:pStyle w:val="Normal"/>
        <w:spacing w:before="0" w:after="0"/>
        <w:rPr/>
      </w:pPr>
      <w:r>
        <w:rPr/>
      </w:r>
    </w:p>
    <w:p>
      <w:bookmarkStart w:id="1177" w:name="_NAESTMA_TOC_1177"/>
      <w:pPr>
        <w:pStyle w:val="Heading2"/>
        <w:keepNext/>
        <w:widowControl/>
        <w:spacing w:before="180" w:after="80"/>
        <w:rPr/>
      </w:pPr>
      <w:r>
        <w:rPr/>
        <w:t>Article 23-B.12: Entry into Force and Implementation Deadlines</w:t>
      </w:r>
      <w:bookmarkEnd w:id="1177"/>
    </w:p>
    <w:p>
      <w:pPr>
        <w:pStyle w:val="Normal"/>
        <w:spacing w:before="0" w:after="0"/>
        <w:rPr/>
      </w:pPr>
      <w:r>
        <w:rPr/>
      </w:r>
    </w:p>
    <w:p>
      <w:pPr>
        <w:pStyle w:val="Heading3"/>
        <w:keepNext/>
        <w:widowControl/>
        <w:spacing w:before="140" w:after="60"/>
        <w:rPr/>
      </w:pPr>
      <w:r>
        <w:rPr/>
        <w:t>(a) Entry into Force</w:t>
      </w:r>
    </w:p>
    <w:p>
      <w:pPr>
        <w:pStyle w:val="Normal"/>
        <w:spacing w:before="0" w:after="0"/>
        <w:rPr/>
      </w:pPr>
      <w:r>
        <w:rPr/>
      </w:r>
    </w:p>
    <w:p>
      <w:pPr>
        <w:pStyle w:val="Normal"/>
        <w:widowControl/>
        <w:spacing w:before="0" w:after="120"/>
        <w:rPr/>
      </w:pPr>
      <w:r>
        <w:rPr/>
        <w:t>This Chapter enters into force on the same date as the Agreement as a whole (or as specified by the Protocol of Modernization).</w:t>
      </w:r>
    </w:p>
    <w:p>
      <w:pPr>
        <w:pStyle w:val="Normal"/>
        <w:spacing w:before="0" w:after="0"/>
        <w:rPr/>
      </w:pPr>
      <w:r>
        <w:rPr/>
      </w:r>
    </w:p>
    <w:p>
      <w:pPr>
        <w:pStyle w:val="Heading3"/>
        <w:keepNext/>
        <w:widowControl/>
        <w:spacing w:before="140" w:after="60"/>
        <w:rPr/>
      </w:pPr>
      <w:r>
        <w:rPr/>
        <w:t>(b) Implementation Timeline</w:t>
      </w:r>
    </w:p>
    <w:p>
      <w:pPr>
        <w:pStyle w:val="Normal"/>
        <w:spacing w:before="0" w:after="0"/>
        <w:rPr/>
      </w:pPr>
      <w:r>
        <w:rPr/>
      </w:r>
    </w:p>
    <w:p>
      <w:pPr>
        <w:pStyle w:val="Heading3"/>
        <w:keepNext/>
        <w:widowControl/>
        <w:spacing w:before="140" w:after="60"/>
        <w:rPr/>
      </w:pPr>
      <w:r>
        <w:rPr/>
        <w:t>(i) Within 3 months of entry into force:</w:t>
        <w:br/>
        <w:t>— Commission establishes Fund Board and appoints members</w:t>
        <w:br/>
        <w:t>— Each Party appoints its Fund Board representatives</w:t>
        <w:br/>
        <w:t>— Commission opens Fund bank account and begins accepting contributions</w:t>
      </w:r>
    </w:p>
    <w:p>
      <w:pPr>
        <w:pStyle w:val="Normal"/>
        <w:spacing w:before="0" w:after="0"/>
        <w:rPr/>
      </w:pPr>
      <w:r>
        <w:rPr/>
      </w:r>
    </w:p>
    <w:p>
      <w:pPr>
        <w:pStyle w:val="Normal"/>
        <w:widowControl/>
        <w:spacing w:before="0" w:after="120"/>
        <w:rPr/>
      </w:pPr>
      <w:r>
        <w:rPr/>
        <w:t>(ii) Within 6 months of entry into force:</w:t>
        <w:br/>
        <w:t>— Fund becomes operational and begins receiving contributions</w:t>
        <w:br/>
        <w:t>— Each Party verifies that existing domestic programs meet 23-B.3–4 standards (or commits to establishing new programs)</w:t>
        <w:br/>
        <w:t>— Commission establishes Skills and Credential Recognition Board</w:t>
        <w:br/>
        <w:t>— Workers in Transition Sectors become eligible for benefits</w:t>
      </w:r>
    </w:p>
    <w:p>
      <w:pPr>
        <w:pStyle w:val="Normal"/>
        <w:spacing w:before="0" w:after="0"/>
        <w:rPr/>
      </w:pPr>
      <w:r>
        <w:rPr/>
      </w:r>
    </w:p>
    <w:p>
      <w:pPr>
        <w:pStyle w:val="Normal"/>
        <w:widowControl/>
        <w:spacing w:before="0" w:after="120"/>
        <w:rPr/>
      </w:pPr>
      <w:r>
        <w:rPr/>
        <w:t>(iii) Within 12 months of entry into force:</w:t>
        <w:br/>
        <w:t>— Commission designates Core Transition Sectors (Article 23-B.8)</w:t>
        <w:br/>
        <w:t>— Each Party submits first quarterly report</w:t>
        <w:br/>
        <w:t>— Benefit portability mechanisms begin (interim measures under 23-B.5(c))</w:t>
        <w:br/>
        <w:t>— North American Pension Registry is established</w:t>
      </w:r>
    </w:p>
    <w:p>
      <w:pPr>
        <w:pStyle w:val="Normal"/>
        <w:spacing w:before="0" w:after="0"/>
        <w:rPr/>
      </w:pPr>
      <w:r>
        <w:rPr/>
      </w:r>
    </w:p>
    <w:p>
      <w:pPr>
        <w:pStyle w:val="Normal"/>
        <w:widowControl/>
        <w:spacing w:before="0" w:after="120"/>
        <w:rPr/>
      </w:pPr>
      <w:r>
        <w:rPr/>
        <w:t>(iv) Within 18 months of entry into force:</w:t>
        <w:br/>
        <w:t>— Each Party designates additional Transition Sectors (if any)</w:t>
        <w:br/>
        <w:t>— Fund Board approves first round of projects and programs</w:t>
        <w:br/>
        <w:t>— Social security agreements enter into negotiation</w:t>
        <w:br/>
        <w:t>— Community Steering Committees established in Affected Communities</w:t>
      </w:r>
    </w:p>
    <w:p>
      <w:pPr>
        <w:pStyle w:val="Normal"/>
        <w:spacing w:before="0" w:after="0"/>
        <w:rPr/>
      </w:pPr>
      <w:r>
        <w:rPr/>
      </w:r>
    </w:p>
    <w:p>
      <w:pPr>
        <w:pStyle w:val="Heading3"/>
        <w:keepNext/>
        <w:widowControl/>
        <w:spacing w:before="140" w:after="60"/>
        <w:rPr/>
      </w:pPr>
      <w:r>
        <w:rPr/>
        <w:t>(v) Within 24 months of entry into force:</w:t>
        <w:br/>
        <w:t>— Each Party amends domestic law to enable benefit portability (Article 23-B.5(e))</w:t>
        <w:br/>
        <w:t>— All Parties and Fund Board operating in full compliance</w:t>
        <w:br/>
        <w:t>— Worker retraining programs and income support at full capacity</w:t>
        <w:br/>
        <w:t>— Community diversification projects underway in priority communities</w:t>
      </w:r>
    </w:p>
    <w:p>
      <w:pPr>
        <w:pStyle w:val="Normal"/>
        <w:spacing w:before="0" w:after="0"/>
        <w:rPr/>
      </w:pPr>
      <w:r>
        <w:rPr/>
      </w:r>
    </w:p>
    <w:p>
      <w:pPr>
        <w:pStyle w:val="Heading3"/>
        <w:keepNext/>
        <w:widowControl/>
        <w:spacing w:before="140" w:after="60"/>
        <w:rPr/>
      </w:pPr>
      <w:r>
        <w:rPr/>
        <w:t>(c) No Transition Period for Worker Protection</w:t>
      </w:r>
    </w:p>
    <w:p>
      <w:pPr>
        <w:pStyle w:val="Normal"/>
        <w:spacing w:before="0" w:after="0"/>
        <w:rPr/>
      </w:pPr>
      <w:r>
        <w:rPr/>
      </w:r>
    </w:p>
    <w:p>
      <w:pPr>
        <w:pStyle w:val="Normal"/>
        <w:widowControl/>
        <w:spacing w:before="0" w:after="120"/>
        <w:rPr/>
      </w:pPr>
      <w:r>
        <w:rPr/>
        <w:t>All benefits under Article 23-B.3 (income support) become available immediately upon entry into force. There is no transition period, phase-in, or delay. Workers are protected from day one.</w:t>
      </w:r>
    </w:p>
    <w:p>
      <w:pPr>
        <w:pStyle w:val="Normal"/>
        <w:spacing w:before="0" w:after="0"/>
        <w:rPr/>
      </w:pPr>
      <w:r>
        <w:rPr/>
      </w:r>
    </w:p>
    <w:p>
      <w:bookmarkStart w:id="1178" w:name="_NAESTMA_TOC_1178"/>
      <w:pPr>
        <w:pStyle w:val="Heading2"/>
        <w:keepNext/>
        <w:widowControl/>
        <w:spacing w:before="180" w:after="80"/>
        <w:rPr/>
      </w:pPr>
      <w:r>
        <w:rPr/>
        <w:t>Article 23-B.13: Definitions of Terms in Chapter 23-B Context</w:t>
      </w:r>
      <w:bookmarkEnd w:id="1178"/>
    </w:p>
    <w:p>
      <w:pPr>
        <w:pStyle w:val="Normal"/>
        <w:spacing w:before="0" w:after="0"/>
        <w:rPr/>
      </w:pPr>
      <w:r>
        <w:rPr/>
      </w:r>
    </w:p>
    <w:p>
      <w:pPr>
        <w:pStyle w:val="Normal"/>
        <w:widowControl/>
        <w:spacing w:before="0" w:after="120"/>
        <w:rPr/>
      </w:pPr>
      <w:r>
        <w:rPr/>
        <w:t>For the purposes of this Chapter:</w:t>
      </w:r>
    </w:p>
    <w:p>
      <w:pPr>
        <w:pStyle w:val="Normal"/>
        <w:spacing w:before="0" w:after="0"/>
        <w:rPr/>
      </w:pPr>
      <w:r>
        <w:rPr/>
      </w:r>
    </w:p>
    <w:p>
      <w:pPr>
        <w:pStyle w:val="Normal"/>
        <w:widowControl/>
        <w:spacing w:before="0" w:after="120"/>
        <w:rPr/>
      </w:pPr>
      <w:r>
        <w:rPr/>
        <w:t>Continuous Funding: means that the commitment to provide programs and Fund capitalization is ongoing and indefinite, not subject to periodic reauthorization or budget cycles that could result in discontinuation.</w:t>
      </w:r>
    </w:p>
    <w:p>
      <w:pPr>
        <w:pStyle w:val="Normal"/>
        <w:spacing w:before="0" w:after="0"/>
        <w:rPr/>
      </w:pPr>
      <w:r>
        <w:rPr/>
      </w:r>
    </w:p>
    <w:p>
      <w:pPr>
        <w:pStyle w:val="Normal"/>
        <w:widowControl/>
        <w:spacing w:before="0" w:after="120"/>
        <w:rPr/>
      </w:pPr>
      <w:r>
        <w:rPr/>
        <w:t>Materially Affected: means employment impact sufficient to require reasonable person to look for work or retraining (&gt;20% hours reduction, wage reduction &gt;15%, or permanent displacement).</w:t>
      </w:r>
    </w:p>
    <w:p>
      <w:pPr>
        <w:pStyle w:val="Normal"/>
        <w:spacing w:before="0" w:after="0"/>
        <w:rPr/>
      </w:pPr>
      <w:r>
        <w:rPr/>
      </w:r>
    </w:p>
    <w:p>
      <w:pPr>
        <w:pStyle w:val="Normal"/>
        <w:widowControl/>
        <w:spacing w:before="0" w:after="120"/>
        <w:rPr/>
      </w:pPr>
      <w:r>
        <w:rPr/>
        <w:t>Qualified Majority: means agreement by 6 of 9 voting members of the Fund Board or other multi-stakeholder bodies established under this Chapter.</w:t>
      </w:r>
    </w:p>
    <w:p>
      <w:pPr>
        <w:pStyle w:val="Normal"/>
        <w:spacing w:before="0" w:after="0"/>
        <w:rPr/>
      </w:pPr>
      <w:r>
        <w:rPr/>
      </w:r>
    </w:p>
    <w:p>
      <w:pPr>
        <w:pStyle w:val="Normal"/>
        <w:widowControl/>
        <w:spacing w:before="0" w:after="120"/>
        <w:rPr/>
      </w:pPr>
      <w:r>
        <w:rPr/>
        <w:t>Core Transition Sector: means a sector designated by the Commission under Article 23-B.8(a) as undergoing transformation, listed explicitly and binding on all Parties.</w:t>
      </w:r>
    </w:p>
    <w:p>
      <w:pPr>
        <w:pStyle w:val="Normal"/>
        <w:spacing w:before="0" w:after="0"/>
        <w:rPr/>
      </w:pPr>
      <w:r>
        <w:rPr/>
      </w:r>
    </w:p>
    <w:p>
      <w:pPr>
        <w:pStyle w:val="Normal"/>
        <w:widowControl/>
        <w:spacing w:before="0" w:after="120"/>
        <w:rPr/>
      </w:pPr>
      <w:r>
        <w:rPr/>
        <w:t>Good-Faith Compliance: means that a Party has made measurable progress toward meeting Chapter 23-B obligations. Mere aspiration, token gestures, or minimal funding do not constitute good-faith compliance.</w:t>
      </w:r>
    </w:p>
    <w:p>
      <w:pPr>
        <w:pStyle w:val="Normal"/>
        <w:widowControl/>
        <w:rPr/>
      </w:pPr>
      <w:r>
        <w:rPr/>
        <w:t>Chapter 24 is the principal environmental chapter. Additional environmental architecture appears in forestry, wildfire, traceability, strategic-resource, circular-production, and Chapter 68 cetacean provisions.</w:t>
      </w:r>
    </w:p>
    <w:p>
      <w:pPr>
        <w:pStyle w:val="TrumpVisibilityHeadline"/>
        <w:widowControl/>
        <w:rPr/>
      </w:pPr>
      <w:r>
        <w:rPr/>
        <w:t>SEARCH SIGNPOST — ENVIRONMENT / CLIMATE / FORESTRY / WILDFIRE / BIODIVERSITY / FISHERIES / MARINE MAMMALS / POLLUTION / CONSERVATION</w:t>
      </w:r>
      <w:r>
        <w:br w:type="page"/>
      </w:r>
    </w:p>
    <w:p>
      <w:bookmarkStart w:id="1179" w:name="_NAESTMA_TOC_1179"/>
      <w:pPr>
        <w:pStyle w:val="Heading1"/>
        <w:keepNext/>
        <w:keepLines w:val="0"/>
        <w:pageBreakBefore/>
        <w:widowControl/>
        <w:rPr/>
      </w:pPr>
      <w:bookmarkStart w:id="79" w:name="_Toc237912556"/>
      <w:r>
        <w:rPr/>
        <w:t>CHAPTER 24 ENVIRONMENT</w:t>
      </w:r>
      <w:bookmarkEnd w:id="79"/>
      <w:bookmarkEnd w:id="1179"/>
    </w:p>
    <w:p>
      <w:pPr>
        <w:pStyle w:val="Normal"/>
        <w:widowControl/>
        <w:rPr/>
      </w:pPr>
      <w:r>
        <w:rPr/>
        <w:t>Article 24.1: Definitions For the purposes of this Chapter: environmental law means a statute or regulation of a Party, or provision thereof, including any that implements the Party’s obligations under a multilateral environmental agreement, the primary purpose of which is the protection of the environment, or the prevention of a danger to human life or health, through: (a) the prevention, abatement, or control of the release, discharge, or emission of pollutants or environmental contaminants; (b) the control of environmentally hazardous or toxic chemicals, substances, materials, or wastes, and the dissemination of information related thereto; or (c) the protection or conservation of wild flora or fauna,1 including endangered species, their habitat, and specially protected natural areas,2 but does not include a statute or regulation, or provision thereof, directly related to worker safety or health, nor any statute or regulation, or provision thereof, the primary purpose of which is managing the subsistence or aboriginal harvesting of natural resources; and statute or regulation means:</w:t>
      </w:r>
    </w:p>
    <w:p>
      <w:pPr>
        <w:pStyle w:val="Normal"/>
        <w:widowControl/>
        <w:rPr/>
      </w:pPr>
      <w:r>
        <w:rPr/>
        <w:t>(a) for Canada, an Act of the Parliament of Canada or regulation made under an Act of the Parliament of Canada that is enforceable by action of the central level of government; (b) for Mexico, an Act of Congress or regulation promulgated pursuant to an Act of Congress that is enforceable by action of the federal level of government; and (c) for the United States, an Act of Congress or</w:t>
      </w:r>
    </w:p>
    <w:p>
      <w:pPr>
        <w:pStyle w:val="Normal"/>
        <w:widowControl/>
        <w:rPr/>
      </w:pPr>
      <w:r>
        <w:rPr/>
        <w:t>regulation promulgated pursuant to an Act of Congress that is enforceable by action of the central level of government. 1 The Parties recognize that “protection or conservation” may include the protection or conservation of biological diversity. 2 For the purposes of this Chapter, the term “specially protected natural areas” means those areas as defined by the Party in its law.</w:t>
      </w:r>
    </w:p>
    <w:p>
      <w:pPr>
        <w:pStyle w:val="Normal"/>
        <w:keepNext w:val="true"/>
        <w:widowControl/>
        <w:rPr/>
      </w:pPr>
      <w:r>
        <w:rPr/>
        <w:t>Article 24.2: Scope and Objectives 1. The Parties recognize that a healthy environment is an integral element of sustainable development and recognize the contribution that trade makes to sustainable development. 2. The objectives of this Chapter are to promote mutually supportive trade and environmental policies and practices; promote high levels of environmental protection and effective enforcement of environmental laws; and enhance the capacities of the Parties to address trade-related environmental issues, including through cooperation, in the furtherance of sustainable development. 3. Taking account of their respective national priorities and circumstances, the Parties recognize that enhanced cooperation to protect and conserve the environment and the sustainable use and management of their natural resources brings benefits that can contribute to sustainable development, strengthen their environmental governance, support implementation of international environmental agreements to which they are a party, and complement the objectives of this Agreement. 4. The Parties recognize that the environment plays an important role in the economic, social, and cultural well-being of indigenous peoples and local communities, and acknowledge the importance of engaging with these groups in the long-term conservation of the environment. 5.</w:t>
      </w:r>
    </w:p>
    <w:p>
      <w:pPr>
        <w:pStyle w:val="Normal"/>
        <w:widowControl/>
        <w:rPr/>
      </w:pPr>
      <w:r>
        <w:rPr/>
        <w:t>The Parties further recognize that it is inappropriate to establish or use their environmental laws or other measures in a manner which would constitute a disguised restriction on trade or investment between the Parties.</w:t>
      </w:r>
    </w:p>
    <w:p>
      <w:pPr>
        <w:pStyle w:val="Normal"/>
        <w:keepNext w:val="true"/>
        <w:widowControl/>
        <w:rPr/>
      </w:pPr>
      <w:r>
        <w:rPr/>
        <w:t>Article 24.3: Levels of Protection 1. The Parties recognize the sovereign right of each Party to establish its own levels of domestic environmental protection and its own environmental priorities, and to establish, adopt, or modify its environmental laws and policies accordingly. 2. Each Party shall strive to ensure that its environmental laws and policies provide for, and encourage, high levels of environmental protection, and shall strive to continue to improve its respective levels of environmental protection.</w:t>
      </w:r>
    </w:p>
    <w:p>
      <w:pPr>
        <w:pStyle w:val="Normal"/>
        <w:keepNext w:val="true"/>
        <w:widowControl/>
        <w:rPr/>
      </w:pPr>
      <w:r>
        <w:rPr/>
        <w:t>Article 24.4: Enforcement of Environmental Laws 1. No Party shall fail to effectively enforce its environmental laws through a sustained or recurring course of action or inaction3 in a manner affecting trade or investment between the Parties,4 after the date of entry into force of this Agreement. 2. The Parties recognize that each Party retains the right to exercise discretion and to make decisions regarding: (a) investigatory, prosecutorial, regulatory, and compliance matters; and (b) the allocation of environmental enforcement resources with respect to other environmental laws determined to have higher priorities. Accordingly, the Parties understand that with respect to the enforcement of environmental laws a Party is in compliance with paragraph 1 if a course of action or inaction reflects a reasonable exercise of that discretion, or results from a bona fide decision regarding the allocation of those resources in accordance with priorities for enforcement of its environmental laws. 3. Without prejudice to Article 24.3.1 (Levels of Protection), the Parties recognize that it is inappropriate to encourage trade or investment by weakening or reducing the protection afforded in their respective environmental laws.</w:t>
      </w:r>
    </w:p>
    <w:p>
      <w:pPr>
        <w:pStyle w:val="Normal"/>
        <w:widowControl/>
        <w:rPr/>
      </w:pPr>
      <w:r>
        <w:rPr/>
        <w:t>Accordingly, a Party shall not waive or otherwise derogate from, or offer to waive or otherwise derogate from, its environmental laws in a manner that weakens or reduces the protection afforded in those laws in order to encourage trade or investment between the Parties. 4. Nothing in this Chapter shall be construed to empower a Party’s authorities to undertake environmental law enforcement activities in the territory of another Party.</w:t>
      </w:r>
    </w:p>
    <w:p>
      <w:pPr>
        <w:pStyle w:val="Normal"/>
        <w:keepNext w:val="true"/>
        <w:widowControl/>
        <w:rPr/>
      </w:pPr>
      <w:r>
        <w:rPr/>
        <w:t>Article 24.5: Public Information and Participation 1. Each Party shall promote public awareness of its environmental laws and policies, including enforcement and compliance procedures, by ensuring that relevant information is available to the public. 2. Each Party shall provide for the receipt and consideration of written questions or comments from persons of that Party regarding its implementation of this Chapter. Each Party shall respond in a timely manner to these questions or comments in writing and in accordance 3 For greater certainty, a “sustained or recurring course of action or inaction” is “sustained” if the course of action or inaction is consistent or ongoing, and is “recurring” if the course of action or inaction occurs periodically or repeatedly and when the occurrences are related or the same in nature. A course of action or inaction does not include an isolated instance or case. 4 For greater certainty, a “course of action or inaction” is “in a manner affecting trade or investment between the Parties” if the course involves:</w:t>
      </w:r>
    </w:p>
    <w:p>
      <w:pPr>
        <w:pStyle w:val="Normal"/>
        <w:widowControl/>
        <w:rPr/>
      </w:pPr>
      <w:r>
        <w:rPr/>
        <w:t>(i) a person or industry that produces a good or supplies a service traded between the Parties or has an investment in the territory of the Party that has failed to comply with this obligation; or (ii) a person or industry that produces a good or supplies a service that competes in the territory of a Party with a good or a service of another Party.</w:t>
      </w:r>
    </w:p>
    <w:p>
      <w:pPr>
        <w:pStyle w:val="Normal"/>
        <w:widowControl/>
        <w:rPr/>
      </w:pPr>
      <w:r>
        <w:rPr/>
        <w:t>with domestic procedures, and make the questions or comments and the responses available to the public, for example by posting on an appropriate public website. 3. Each Party shall make use of existing, or establish new, consultative mechanisms, for example national advisory committees, to seek views on matters related to the implementation of this Chapter. These mechanisms may include persons with relevant experience, as appropriate, including experience in business, natural resource conservation and management, or other environmental matters.</w:t>
      </w:r>
    </w:p>
    <w:p>
      <w:pPr>
        <w:pStyle w:val="Normal"/>
        <w:keepNext w:val="true"/>
        <w:widowControl/>
        <w:rPr/>
      </w:pPr>
      <w:r>
        <w:rPr/>
        <w:t>Article 24.6: Procedural Matters 1. Each Party shall ensure that an interested person may request that the Party’s competent authorities investigate alleged violations of its environmental laws, and that the competent authorities give those requests due consideration, in accordance with its law. 2. Each Party shall ensure that persons with a recognized interest under its law in a particular matter have appropriate access to administrative, quasi-judicial, or judicial proceedings for the enforcement of the Party’s environmental laws, and the right to seek appropriate remedies or sanctions for violations of those laws. 3. Each Party shall ensure that administrative, quasi-judicial, or judicial proceedings for the enforcement of the Party’s environmental laws are available under its law and that those proceedings are fair, equitable, transparent, and comply with due process of law, including the opportunity for parties to the proceedings to support or defend their respective positions. The Parties recognize that these proceedings should not be unnecessarily complicated nor entail unreasonable fees or time limits. 4.</w:t>
      </w:r>
    </w:p>
    <w:p>
      <w:pPr>
        <w:pStyle w:val="Normal"/>
        <w:widowControl/>
        <w:rPr/>
      </w:pPr>
      <w:r>
        <w:rPr/>
        <w:t>Each Party shall provide that any hearings in these proceedings are conducted by impartial and independent persons who do not have an interest in the outcome of the matter. Hearings in these proceedings shall be open to the public, except when the administration of justice otherwise requires, and in accordance with its applicable law. 5.</w:t>
      </w:r>
    </w:p>
    <w:p>
      <w:pPr>
        <w:pStyle w:val="Normal"/>
        <w:widowControl/>
        <w:rPr/>
      </w:pPr>
      <w:r>
        <w:rPr/>
        <w:t>Each Party shall provide that final decisions on the merits of the case in these proceedings are: (a) in writing and if appropriate state the reasons on which the decisions are based; (b) made available without undue delay to the parties to the proceedings and, in accordance with its law, to the public; and (c) based on information or evidence presented by the parties or other sources, in accordance with its law. 6. Each Party shall also provide, as appropriate, that parties to these proceedings have the right, in accordance with its law, to seek review and, if warranted, correction or redetermination, of final decisions in such proceedings. 7. Each Party shall provide appropriate sanctions or remedies for violations of its environmental laws and shall ensure that it takes account of relevant factors when establishing sanctions or remedies, which may include the nature and gravity of the violation, damage to the environment, and any economic benefit derived by the violator.</w:t>
      </w:r>
    </w:p>
    <w:p>
      <w:pPr>
        <w:pStyle w:val="Normal"/>
        <w:keepNext w:val="true"/>
        <w:widowControl/>
        <w:rPr/>
      </w:pPr>
      <w:r>
        <w:rPr/>
        <w:t>Article 24.7: Environmental Impact Assessment 1. Each Party shall maintain appropriate procedures for assessing the environmental impacts of proposed projects that are subject to an action by that Party’s central level of government that may cause significant effects on the environment with a view to avoiding, minimizing, or mitigating adverse effects. 2. Each Party shall ensure that such procedures provide for the disclosure of information to the public and, in accordance with its law, allow for public participation.</w:t>
      </w:r>
    </w:p>
    <w:p>
      <w:pPr>
        <w:pStyle w:val="Normal"/>
        <w:keepNext w:val="true"/>
        <w:widowControl/>
        <w:rPr/>
      </w:pPr>
      <w:r>
        <w:rPr/>
        <w:t>Article 24.8: Multilateral Environmental Agreements 1. The Parties recognize the important role that multilateral environmental agreements can play in protecting the environment and as a response of the international community to global or regional environmental problems. 2. Each Party affirms its commitment to implement the multilateral environmental agreements to which it is a party. 3. The Parties commit to consult and cooperate as appropriate with respect to environmental issues of mutual interest, in particular trade-related issues, pertaining to relevant multilateral environmental agreements. This includes exchanging information on the implementation of multilateral environmental agreements to which a Party is party; ongoing negotiations of new multilateral environmental agreements; and, each Party’s respective views on becoming a party to additional multilateral environmental agreements.</w:t>
      </w:r>
    </w:p>
    <w:p>
      <w:pPr>
        <w:pStyle w:val="Normal"/>
        <w:keepNext w:val="true"/>
        <w:widowControl/>
        <w:rPr/>
      </w:pPr>
      <w:r>
        <w:rPr/>
        <w:t>Article 24.9: Protection of the Ozone Layer 1. The Parties recognize that emissions of certain substances can significantly deplete and otherwise modify the ozone layer in a manner that is likely to result in adverse effects on human health and the environment. Accordingly, each Party shall take measures to control the production and consumption of, and trade in, such substances.5,6,7 2. The Parties also recognize the importance of public participation and consultation, in accordance with their respective law or policy, in the development and implementation of measures concerning the protection of the ozone layer. Each Party shall make publicly available appropriate information about its programs and activities, including cooperative programs that are related to ozone layer protection. 3. Consistent with Article 24.25 (Environmental Cooperation), the Parties shall cooperate to address matters of mutual interest related to ozone-depleting substances. Cooperation may include, exchanging information and experiences in areas related to: (a) environmentally friendly alternatives to ozone-depleting substances; (b) refrigerant management practices, policies and programs; (c) methodologies for stratospheric ozone measurements; and (d) combatting illegal trade in ozone-depleting substances.</w:t>
      </w:r>
    </w:p>
    <w:p>
      <w:pPr>
        <w:pStyle w:val="Normal"/>
        <w:widowControl/>
        <w:rPr/>
      </w:pPr>
      <w:r>
        <w:rPr/>
        <w:t>5 For greater certainty, this provision pertains to ozone- depleting substances controlled by the Montreal Protocol on Substances that Deplete the Ozone Layer, done at Montreal, September 16, 1987 (Montreal Protocol), and any existing and future amendments to the Montreal Protocol to which the Parties are parties. 6 A Party shall be deemed in compliance with this provision if it maintains the measure or measures listed in Annex 24-A implementing its obligations under the Montreal Protocol or adopts any subsequent measure or measures that provide an equivalent or higher level of environmental protection as the measure or measures listed. If compliance with this provision is not established pursuant to footnote 6, to establish a violation of this provision, a Party must demonstrate that the other Party has failed to take measures to control the production and consumption of, and trade in, certain substances that can significantly deplete and otherwise modify the ozone layer in a manner that is likely to result in adverse effects on human health and the environment, in a manner affecting trade or investment between the Parties.</w:t>
      </w:r>
    </w:p>
    <w:p>
      <w:pPr>
        <w:pStyle w:val="Normal"/>
        <w:widowControl/>
        <w:rPr/>
      </w:pPr>
      <w:r>
        <w:rPr/>
        <w:t>For greater certainty, a failure is “in a manner affecting trade or investment between the Parties” if it involves: (i) a person or industry that produces a good or supplies a service traded between the Parties or has an investment in the territory of the Party that has failed to comply with this obligation; or (ii) a person or industry that produces a good or supplies a service that competes in the territory of a Party with a good or a service of another Party.</w:t>
      </w:r>
    </w:p>
    <w:p>
      <w:pPr>
        <w:pStyle w:val="Normal"/>
        <w:keepNext w:val="true"/>
        <w:widowControl/>
        <w:rPr/>
      </w:pPr>
      <w:r>
        <w:rPr/>
        <w:t>Article 24.10: Protection of the Marine Environment from Ship Pollution 1. The Parties recognize the importance of protecting and preserving the marine environment. To that end, each Party shall take measures to prevent the pollution of the marine environment from ships.8, 9, 10 2. The Parties also recognize the importance of public participation and consultation, in accordance with their respective law or policy, in the development and implementation of measures to prevent the pollution of the marine environment from ships. Each Party shall make publicly available appropriate information about its programs and activities, including cooperative programs, that are related to the prevention of pollution of the marine environment from ships. 3. Consistent with Article 24.25 (Environmental Cooperation), the Parties shall cooperate to address matters of mutual interest with respect to pollution of the marine environment from ships.</w:t>
      </w:r>
    </w:p>
    <w:p>
      <w:pPr>
        <w:pStyle w:val="Normal"/>
        <w:widowControl/>
        <w:rPr/>
      </w:pPr>
      <w:r>
        <w:rPr/>
        <w:t>Areas of cooperation may include: (a) accidental pollution from ships; (b) pollution from routine operations of ships; (c) deliberate pollution from ships; (d) development of technologies to minimise ship-generated waste; (e) emissions from ships; (f) adequacy of port waste reception facilities; For greater certainty, this provision pertains to pollution regulated by the International Convention for the Prevention of Pollution from Ships, done at London, November 2, 1973, as modified by the Protocol of 1978 relating to the International Convention for the Prevention of Pollution from Ships, done at London, February 17, 1978, and the Protocol of 1997 to Amend the International Convention for the Prevention of Pollution from Ships, 1973 as Modified by the Protocol of 1978 relating thereto, done at London, September 26, 1997 (MARPOL Convention), and any existing and future amendments to the MARPOL Convention, to which the Parties are parties. 9 A Party shall be deemed in compliance with this provision if it maintains the measure or measures listed in Annex 24-B implementing its obligations under MARPOL Convention, or adopts any subsequent measure or measures that provide an equivalent or higher level of environmental protection as the measure or measures listed.</w:t>
      </w:r>
    </w:p>
    <w:p>
      <w:pPr>
        <w:pStyle w:val="Normal"/>
        <w:widowControl/>
        <w:rPr/>
      </w:pPr>
      <w:r>
        <w:rPr/>
        <w:t>10 If compliance with this provision is not established pursuant to footnote 9, to establish a violation of this provision, a Party must demonstrate that the other Party has failed to take measures to prevent the pollution of the marine environment from ships in a manner affecting trade or investment between the Parties. For greater certainty, a failure is “in a manner affecting trade or investment between the Parties” if it involves: (i) a person or industry that produces a good or supplies a service traded between the Parties or has an investment in the territory of the Party that has failed to comply with this obligation; or (ii) a person or industry that produces a good or supplies a service that competes in the territory of a Party with a good or a service of another Party. (g) increased protection in special geographic areas; and (h) enforcement measures including notifications to flag States and, as appropriate, by port States.</w:t>
      </w:r>
    </w:p>
    <w:p>
      <w:pPr>
        <w:pStyle w:val="Normal"/>
        <w:keepNext w:val="true"/>
        <w:widowControl/>
        <w:rPr/>
      </w:pPr>
      <w:r>
        <w:rPr/>
        <w:t>Article 24.11: Air Quality 1. The Parties recognize that air pollution is a serious threat to public health, ecosystem integrity, and sustainable development and contributes to other environmental problems; and note that reducing certain air pollutants can provide multiple benefits. 2. Noting that air pollution can travel long distances and impact each Party’s ability to achieve its air quality objectives, the Parties recognize the importance of reducing both domestic and transboundary air pollution, and that cooperation can be beneficial in achieving these objectives. 3. The Parties further recognize the importance of public participation and transparency in the development and implementation of measures to prevent air pollution and in ensuring access to air quality data. Accordingly, each Party shall make air quality data and information about its associated programs and activities publicly available in accordance with Article 32.7 (Disclosure of Information), and shall seek to ensure these data and information are easily accessible and understandable to the public. 4. The Parties recognize the value of harmonizing air quality monitoring methodologies. 5. The Parties recognize the importance of international agreements and other efforts to improve air quality and control air pollutants, including those that have the potential for long- range transport. 6.</w:t>
      </w:r>
    </w:p>
    <w:p>
      <w:pPr>
        <w:pStyle w:val="Normal"/>
        <w:widowControl/>
        <w:rPr/>
      </w:pPr>
      <w:r>
        <w:rPr/>
        <w:t>Recognizing that the Parties have made significant progress to address air pollution in other fora, and consistent with Article 24.25 (Environmental Cooperation), the Parties shall cooperate to address matters of mutual interest with respect to air quality. Cooperation may include exchanging information and experiences in areas related to: (a) ambient air quality planning; (b) modeling and monitoring, including spatial distribution of main sources and their emissions; (c) measurement and inventory methodologies for air quality and emissions’ measurements; and (d) reduction, control, and prevention technologies and practices.</w:t>
      </w:r>
    </w:p>
    <w:p>
      <w:pPr>
        <w:pStyle w:val="Normal"/>
        <w:keepNext w:val="true"/>
        <w:widowControl/>
        <w:rPr/>
      </w:pPr>
      <w:r>
        <w:rPr/>
        <w:t>Article 24.12: Marine Litter 1. The Parties recognize the importance of taking action to prevent and reduce marine litter, including plastic litter and microplastics, in order to preserve human health and marine and coastal ecosystems, prevent the loss of biodiversity, and mitigate marine litter’s costs and impacts. 2. Recognizing the global nature of the challenge of marine litter, each Party shall take measures to prevent and reduce marine litter. 3. Recognizing that the Parties are taking action to address marine litter in other fora, consistent with Article 24.25 (Environmental Cooperation), the Parties shall cooperate to address matters of mutual interest with respect to combatting marine litter, such as addressing land and sea-based pollution, promoting waste management infrastructure, and advancing efforts related to abandoned, lost, or otherwise discarded fishing gear.</w:t>
      </w:r>
    </w:p>
    <w:p>
      <w:pPr>
        <w:pStyle w:val="Normal"/>
        <w:keepNext w:val="true"/>
        <w:widowControl/>
        <w:rPr/>
      </w:pPr>
      <w:r>
        <w:rPr/>
        <w:t>Article 24.13: Corporate Social Responsibility and Responsible Business Conduct 1. The Parties recognize the importance of promoting corporate social responsibility and responsible business conduct. 2. Each Party shall encourage enterprises organized or constituted under its laws, or operating in its territory, to adopt and implement voluntary best practices of corporate social responsibility that are related to the environment, such as those in internationally recognized standards and guidelines that have been endorsed or are supported by that Party, to strengthen coherence between economic and environmental objectives.</w:t>
      </w:r>
    </w:p>
    <w:p>
      <w:pPr>
        <w:pStyle w:val="Normal"/>
        <w:keepNext w:val="true"/>
        <w:widowControl/>
        <w:rPr/>
      </w:pPr>
      <w:r>
        <w:rPr/>
        <w:t>Article 24.14: Voluntary Mechanisms to Enhance Environmental Performance 1. The Parties recognize that flexible, voluntary mechanisms, for example, voluntary auditing and reporting, market-based mechanisms, voluntary sharing of information and expertise, and public-private partnerships, can contribute to the achievement and maintenance of high levels of environmental protection and complement domestic regulatory measures. The Parties also recognize that those mechanisms should be designed in a manner that maximizes their environmental benefits and avoids the creation of unnecessary barriers to trade. 2. Therefore, in accordance with its laws, regulations, or policies and to the extent it considers appropriate, each Party shall encourage: (a) the use of flexible, voluntary mechanisms to protect the environment and natural resources, such as through the conservation and sustainable use of those resources, in its territory; and (b) its relevant authorities, private sector, non-governmental organizations, and other interested persons involved in the development of criteria used to evaluate environmental performance, with respect to these voluntary mechanisms, to continue to develop and improve such criteria. 3.</w:t>
      </w:r>
    </w:p>
    <w:p>
      <w:pPr>
        <w:pStyle w:val="Normal"/>
        <w:widowControl/>
        <w:rPr/>
      </w:pPr>
      <w:r>
        <w:rPr/>
        <w:t>Further, if private sector entities or non-governmental organizations develop voluntary mechanisms for the promotion of products based on their environmental qualities, each Party should encourage those entities and organizations to develop voluntary mechanisms that, among other things: (a) are truthful, are not misleading, and take into account relevant scientific and technical information; (b) are based on relevant international standards, recommendations, guidelines, or best practices, as appropriate; (c) promote competition and innovation; and (d) do not treat a product less favorably on the basis of origin.</w:t>
      </w:r>
    </w:p>
    <w:p>
      <w:pPr>
        <w:pStyle w:val="Normal"/>
        <w:keepNext w:val="true"/>
        <w:widowControl/>
        <w:rPr/>
      </w:pPr>
      <w:r>
        <w:rPr/>
        <w:t>Article 24.15: Trade and Biodiversity 1. The Parties recognize the importance of conservation and sustainable use of biological diversity, as well as the ecosystem services it provides, and their key role in achieving sustainable development. 2. Accordingly, each Party shall promote and encourage the conservation and sustainable use of biological diversity, in accordance with its law or policy. 3. The Parties recognize the importance of respecting, preserving, and maintaining knowledge and practices of indigenous peoples and local communities embodying traditional lifestyles that contribute to the conservation and sustainable use of biological diversity. 4. The Parties recognize the importance of facilitating access to genetic resources within their respective national jurisdictions, consistent with each Party’s international obligations. The Parties further recognize that some Parties may require, through national measures, prior informed consent to access such genetic resources in accordance with national measures and, if access is granted, the establishment of mutually agreed terms, including with respect to sharing of benefits from the use of such genetic resources, between users and providers. 5.</w:t>
      </w:r>
    </w:p>
    <w:p>
      <w:pPr>
        <w:pStyle w:val="Normal"/>
        <w:widowControl/>
        <w:rPr/>
      </w:pPr>
      <w:r>
        <w:rPr/>
        <w:t>The Parties also recognize the importance of public participation and consultation, in accordance with their respective law or policy, in the development and implementation of measures concerning the conservation and sustainable use of biological diversity.</w:t>
      </w:r>
    </w:p>
    <w:p>
      <w:pPr>
        <w:pStyle w:val="Normal"/>
        <w:widowControl/>
        <w:rPr/>
      </w:pPr>
      <w:r>
        <w:rPr/>
        <w:t>Each Party shall make publicly available information about its programs and activities, including cooperative programs, related to the conservation and sustainable use of biological diversity. 6. Consistent with Article 24.25 (Environmental Cooperation), the Parties shall cooperate to address matters of mutual interest. Cooperation may include exchanging information and experiences in areas related to: (a) the conservation and sustainable use of biological diversity; (b) mainstreaming conservation and sustainable use of biological diversity across relevant sectors; (c) the protection and maintenance of ecosystems and ecosystem services; and (d) access to genetic resources and the sharing of benefits arising from their utilization.</w:t>
      </w:r>
    </w:p>
    <w:p>
      <w:pPr>
        <w:pStyle w:val="Normal"/>
        <w:keepNext w:val="true"/>
        <w:widowControl/>
        <w:rPr/>
      </w:pPr>
      <w:r>
        <w:rPr/>
        <w:t>Article 24.16: Invasive Alien Species 1. The Parties recognize that the movement of terrestrial and aquatic invasive alien species across borders through trade-related pathways can adversely affect the environment, economic activities and development, and human health. The Parties also recognize that the prevention, detection, control and, when possible, eradication, of invasive alien species are critical strategies for managing those adverse impacts. 2. Accordingly, the Environment Committee established under Article 24.26.2 (Environment Committee and Contact Points) shall coordinate with the Committee on Sanitary and Phytosanitary Measures established under Article 9.17 (Committee on Sanitary and Phytosanitary Measures) to identify cooperative opportunities to share information and management experiences on the movement, prevention, detection, control, and eradication of invasive alien species, with a view to enhancing efforts to assess and address the risks and adverse impacts of invasive alien species.</w:t>
      </w:r>
    </w:p>
    <w:p>
      <w:pPr>
        <w:pStyle w:val="Normal"/>
        <w:keepNext w:val="true"/>
        <w:widowControl/>
        <w:rPr/>
      </w:pPr>
      <w:r>
        <w:rPr/>
        <w:t>Article 24.17: Marine Wild Capture Fisheries11 1. The Parties acknowledge their role as major consumers, producers, and traders of fisheries products and the importance of the marine fisheries sectors to their development and to the livelihoods of fishing communities, including those engaged in artisanal, small scale, and indigenous fisheries. The Parties also recognize the need for individual and collective action within international fora to address the urgent resource problems resulting from overfishing and unsustainable utilization of fisheries resources. 2. Accordingly, the Parties recognize the importance of taking measures aimed at the conservation and the sustainable management of fisheries and the contribution of those measures to providing environmental, economic and social opportunities for present and future generations. The Parties also recognize the importance of promoting and facilitating trade in sustainably managed and legally harvested fish and fish products, while ensuring that trade in these products is not subject to unnecessary or unjustifiable barriers to trade, given the negative effect that such barriers can have on the well-being of their communities who depend upon the fishing industry for their livelihood. 3.</w:t>
      </w:r>
    </w:p>
    <w:p>
      <w:pPr>
        <w:pStyle w:val="Normal"/>
        <w:widowControl/>
        <w:rPr/>
      </w:pPr>
      <w:r>
        <w:rPr/>
        <w:t>If an importing Party is considering adopting trade restrictive measures for fish or fish products in order to protect or conserve fish or other marine species, the Parties recognize the importance that these measures be:12 (a) based on the best scientific evidence available, as applicable, that establish a connection between the products affected by the measure and the species being protected or conserved; (b) tailored to the conservation objective; and (c) implemented after the importing Party has: (i) consulted with the exporting Party, in an effort to resolve the issue cooperatively; and (ii) provided a reasonable opportunity for the exporting Party to take appropriate measures to address the issue. 4. The Parties shall cooperate with, and, if appropriate, in, Regional Fisheries Management Organizations (RFMOs) and Regional Fisheries Management Arrangements (RFMAs), in which For greater certainty, Article 24.17 (Marine Wild Capture Fisheries), Article 24.18 (Sustainable Fisheries Management), Article 24.19 (Conservation of Marine Species), Article 24.20 (Fisheries Subsidies), and Article 24.21 (Illegal, Unreported, and Unregulated (IUU) Fishing) do not apply with respect to aquaculture.</w:t>
      </w:r>
    </w:p>
    <w:p>
      <w:pPr>
        <w:pStyle w:val="Normal"/>
        <w:widowControl/>
        <w:rPr/>
      </w:pPr>
      <w:r>
        <w:rPr/>
        <w:t>12 For greater certainty, this paragraph is without prejudice to any rights or obligations of the Parties relating to the adoption or application of trade restrictive measures for fish and fish products.</w:t>
      </w:r>
    </w:p>
    <w:p>
      <w:pPr>
        <w:pStyle w:val="Normal"/>
        <w:widowControl/>
        <w:rPr/>
      </w:pPr>
      <w:r>
        <w:rPr/>
        <w:t>the Parties are members, observers, or cooperating non-contracting parties, with the aim of achieving good governance, including by advocating for science-based decisions and compliance with those decisions in these organizations and arrangements.</w:t>
      </w:r>
    </w:p>
    <w:p>
      <w:pPr>
        <w:pStyle w:val="Normal"/>
        <w:keepNext w:val="true"/>
        <w:widowControl/>
        <w:rPr/>
      </w:pPr>
      <w:r>
        <w:rPr/>
        <w:t>Article 24.18: Sustainable Fisheries Management 1. In furtherance of the objectives of conservation and sustainable management, each Party shall seek to operate a fisheries management system that regulates marine wild capture fishing and that is designed to: (a) prevent overfishing and overcapacity through appropriate measures, such as limited entry, time, area, and other restrictions, and the setting and enforcement of catch or effort limits; (b) reduce bycatch of non-target species and juveniles, including through the regulation of, and implementation of measures associated with, fishing gear and methods that result in bycatch and the regulation of fishing in areas where bycatch is likely to occur; (c) promote the recovery of overfished stocks for all marine fisheries in which that Party’s persons conduct fishing activities; and (d) protect marine habitat by cooperating, as appropriate, to prevent or mitigate significant adverse impacts from fishing. 2. Further, each Party shall adopt or maintain measures: (a) to prevent the use of poisons and explosives for the purpose of commercial fish harvesting; and (b) designed to prohibit the practice of shark finning. 3.</w:t>
      </w:r>
    </w:p>
    <w:p>
      <w:pPr>
        <w:pStyle w:val="Normal"/>
        <w:widowControl/>
        <w:rPr/>
      </w:pPr>
      <w:r>
        <w:rPr/>
        <w:t>Each Party shall base its fisheries management system on the best scientific evidence available and on internationally recognized best practices for fisheries management and conservation as reflected in the relevant provisions of international instruments aimed at ensuring the sustainable use and conservation of marine species.13 13 These instruments include, as they may apply, the United Nations Convention on Law of the Sea (UNCLOS), done at Montego Bay, December 10, 1982; the United Nations Agreement for the Implementation of the Provisions of the United Nations Convention on the Law of the Sea of December 1982 relating to the Conservation and Management of Straddling Fish Stocks and Highly Migratory Fish Stocks, done at New York, December 4, 1995 (UN Fish Stocks Agreement); the FAO Code of Conduct for Responsible Fisheries; the 1993 FAO Agreement to Promote Compliance with International Conservation and Management Measures by Fishing Vessels on the High Seas (Compliance Agreement), done at Rome, November 24, 1993; the 2001 FAO International Plan of Action to</w:t>
      </w:r>
    </w:p>
    <w:p>
      <w:pPr>
        <w:pStyle w:val="Normal"/>
        <w:keepNext w:val="true"/>
        <w:widowControl/>
        <w:rPr/>
      </w:pPr>
      <w:r>
        <w:rPr/>
        <w:t>Article 24.19: Conservation of Marine Species 1. Each Party shall promote the long-term conservation of sharks, sea turtles, seabirds, and marine mammals through the implementation and effective enforcement of conservation and management measures. Such measures shall include: (a) studies and assessments of the impact of fisheries operations on non-target species and their marine habitats, including through collection of species-specific data for non-target species and estimates of their bycatch, as appropriate; (b) gear-specific studies and data collection on impacts on non-target species and on the efficacy of management measures to reduce those adverse impacts, as appropriate; (c) measures to avoid, mitigate, or reduce bycatch of non-target species in fisheries, including appropriate measures pertaining to the use of bycatch mitigation devices, modified gear, or other techniques to reduce the impact of fishing operations on these species; and (d) cooperation on national and regional bycatch reduction measures, such as measures applicable to commercial fisheries pertaining to transboundary stocks of non-target species. 2.</w:t>
      </w:r>
    </w:p>
    <w:p>
      <w:pPr>
        <w:pStyle w:val="Normal"/>
        <w:widowControl/>
        <w:rPr/>
      </w:pPr>
      <w:r>
        <w:rPr/>
        <w:t>Each Party shall prohibit the killing of great whales14 for commercial purposes unless authorized in a multilateral treaty to which the Party is a party.15 Prevent, Deter, and Eliminate Illegal, Unreported, and Unregulated Fishing (IUU IPOA), adopted at Rome, February 23, 2001; and the 2009 Agreement on Port State Measures to Prevent, Deter, and Eliminate IUU Fishing (Port State Measures Agreement), done at Rome, November 22, 2009. Great whales are the following 16 species: Balaena mysticetus, Eubalaena glacialis, Eubalaena japonica, Eubalaena australis, Eschrichtius robustus, Balaenoptera musculus, Balaenoptera physalus, Balaenoptera borealis, Balaenoptera edeni, Balaenoptera acutorostrata, Balaenoptera bonaerensis, Balaenoptera omurai, Megaptera novaeangliae, Caperea marginata, Physeter macrocephalus, and Hyperoodon ampullatus. 15 For greater certainty, the Parties understand that paragraph 2 does not apply to whaling by indigenous peoples in accordance with a Party’s law, including for Canada the legal obligations recognized and affirmed by section 35 of the Constitution Act, 1982 or those set out in self-government agreements between a central or regional level of government and indigenous peoples.</w:t>
      </w:r>
    </w:p>
    <w:p>
      <w:pPr>
        <w:pStyle w:val="Normal"/>
        <w:keepNext w:val="true"/>
        <w:widowControl/>
        <w:rPr/>
      </w:pPr>
      <w:r>
        <w:rPr/>
        <w:t>Article 24.20: Fisheries Subsidies 1. The Parties recognize that the implementation of a fisheries management system that is designed to prevent overfishing and overcapacity and to promote the recovery of overfished stocks must include the control, reduction, and eventual elimination of all subsidies that contribute to overfishing and overcapacity. To that end, no Party shall grant or maintain any of the following subsidies16 within the meaning of Article 1.1 of the SCM Agreement that are specific within the meaning of Article 2 of the SCM Agreement: (a) subsidies provided to a fishing vessel17 or operator18 while listed for IUU fishing19 by the flag State, the subsidizing Party, or a relevant RFMO or RFMA in accordance with the rules and procedures of that organization or arrangement and in conformity with international law; and (b) subsidies for fishing20 that negatively affect21 fish stocks that are in an overfished22 condition. 2.</w:t>
      </w:r>
    </w:p>
    <w:p>
      <w:pPr>
        <w:pStyle w:val="Normal"/>
        <w:widowControl/>
        <w:rPr/>
      </w:pPr>
      <w:r>
        <w:rPr/>
        <w:t>Subsidy programs that are established by a Party before the date of entry into force of this Agreement and are subsidies referred to in paragraph 1(b) shall be brought into conformity with paragraph 1 as soon as possible and no later than three years after the date of entry into force of this Agreement. 16 For the purposes of this Article, a subsidy shall be attributable to the Party granting or maintaining it, regardless of the flag of the vessel involved or the application of rules of origin to the fish involved.</w:t>
      </w:r>
    </w:p>
    <w:p>
      <w:pPr>
        <w:pStyle w:val="Normal"/>
        <w:widowControl/>
        <w:rPr/>
      </w:pPr>
      <w:r>
        <w:rPr/>
        <w:t>17 The term “fishing vessel” refers to any vessel, ship, or other type of boat used for, equipped to be used for, or intended to be used for fishing or fishing related activities. 18 The term “operator” means the owner of the vessel, or any person onboard, who is in charge of or directs or controls the vessel at the time of the IUU infraction. For greater certainty, the prohibition on the provision of subsidies to operators engaged in IUU fishing applies only to subsidies for fishing or fishing related activities. 19 “Illegal, unreported, and unregulated fishing” is to be understood to have the same meaning as paragraph 3 of the IUU IPOA. 20 For the purposes of this Article, “fishing” means searching for, attracting, locating, catching, taking, or harvesting fish, or any activity which can reasonably be expected to result in the attracting, locating, catching, taking, or harvesting of fish. 21 The negative effect of such subsidies shall be determined based on the best scientific evidence available.</w:t>
      </w:r>
    </w:p>
    <w:p>
      <w:pPr>
        <w:pStyle w:val="Normal"/>
        <w:widowControl/>
        <w:rPr/>
      </w:pPr>
      <w:r>
        <w:rPr/>
        <w:t>22 For the purposes of this Article, a fish stock is overfished if the stock is at such a low level that mortality from fishing needs to be restricted to allow the stock to rebuild to a level that produces maximum sustainable yield or alternative reference points based on the best scientific evidence available.</w:t>
      </w:r>
    </w:p>
    <w:p>
      <w:pPr>
        <w:pStyle w:val="Normal"/>
        <w:widowControl/>
        <w:rPr/>
      </w:pPr>
      <w:r>
        <w:rPr/>
        <w:t>Fish stocks that are recognized as overfished by the national jurisdiction where the fishing is taking place or by a relevant RFMO or RFMA shall also be considered overfished for the purposes of this Article. 3. In relation to subsidies that are not prohibited by paragraph 1, and taking into consideration a Party’s social and developmental priorities, each Party shall make best efforts to refrain from introducing new, or extending or enhancing existing, subsidies within the meaning of Article 1.1 of the SCM Agreement, to the extent they are specific within the meaning of Article 2 of the SCM Agreement, that contribute to overfishing or overcapacity. 4. With a view to achieving the objective of eliminating subsidies that contribute to overfishing and overcapacity, the Parties shall review the disciplines in paragraph 1 at regular meetings of the Environment Committee. 5.</w:t>
      </w:r>
    </w:p>
    <w:p>
      <w:pPr>
        <w:pStyle w:val="Normal"/>
        <w:widowControl/>
        <w:rPr/>
      </w:pPr>
      <w:r>
        <w:rPr/>
        <w:t>Each Party shall notify the other Parties, within one year of the date of entry into force of this Agreement and every two years thereafter, of any subsidy within the meaning of Article 1.1 of the SCM Agreement that is specific within the meaning of Article 2 of the SCM Agreement, that the Party grants or maintains to persons engaged in fishing or fishing related activities. 6.</w:t>
      </w:r>
    </w:p>
    <w:p>
      <w:pPr>
        <w:pStyle w:val="Normal"/>
        <w:widowControl/>
        <w:rPr/>
      </w:pPr>
      <w:r>
        <w:rPr/>
        <w:t>These notifications shall cover subsidies provided within the previous two-year period and shall include the information required under Article 25.3 of the SCM Agreement and, to the extent possible, the following information:23 (a) program name; (b) legal authority for the program; (c) catch data by species in the fishery for which the subsidy is provided; (d) status, whether overfished, fully fished, or underfished, of the fish stocks in the fishery for which the subsidy is provided; (e) fleet capacity in the fishery for which the subsidy is provided; (f) conservation and management measures in place for the relevant fish stock; and (g) total imports and exports per species. 7. Each Party shall also provide, to the extent possible, information in relation to other subsidies that the Party grants or maintains to persons engaged in fishing or fishing related activities that are not covered by paragraph 1, in particular fuel subsidies.</w:t>
      </w:r>
    </w:p>
    <w:p>
      <w:pPr>
        <w:pStyle w:val="Normal"/>
        <w:widowControl/>
        <w:rPr/>
      </w:pPr>
      <w:r>
        <w:rPr/>
        <w:t>23 Sharing information and data on existing fisheries subsidy programs does not prejudge their legal status, effects, or nature under the GATT 1994 or the SCM Agreement and is intended to complement WTO data reporting requirements. 8. A Party may request additional information from the notifying Party regarding the notifications provided under paragraphs 5 and 6. The notifying Party shall respond to that request as quickly as possible and in a comprehensive manner. 9.</w:t>
      </w:r>
    </w:p>
    <w:p>
      <w:pPr>
        <w:pStyle w:val="Normal"/>
        <w:widowControl/>
        <w:rPr/>
      </w:pPr>
      <w:r>
        <w:rPr/>
        <w:t>Each Party shall notify the other Parties on an annual basis of any list of vessels and operators identified as having engaged in IUU fishing. 10. The Parties shall work in the WTO towards strengthening international rules on the provision of subsidies to the fisheries sector and enhancing transparency of fisheries subsidies.</w:t>
      </w:r>
    </w:p>
    <w:p>
      <w:pPr>
        <w:pStyle w:val="Normal"/>
        <w:keepNext w:val="true"/>
        <w:widowControl/>
        <w:rPr/>
      </w:pPr>
      <w:r>
        <w:rPr/>
        <w:t>Article 24.21: Illegal, Unreported, and Unregulated (IUU) Fishing 1. The Parties recognize the importance of concerted international action to address IUU fishing as reflected in regional and international instruments24 and shall endeavor to improve cooperation internationally in this regard, including with and through competent international organizations. 2. In support of international efforts to combat IUU fishing and to help deter trade in products from IUU fishing, each Party shall: (a) implement port state measures, including through actions consistent with the Port State Measures Agreement;25 (b) support monitoring, control, surveillance, compliance, and enforcement schemes, including by adopting, maintaining, reviewing, or revising, as appropriate, measures to: (i) deter vessels flying its flag and, to the extent provided for in each Party’s law, its nationals, from engaging in IUU fishing; and (ii) address the transshipment at sea of fish caught through IUU fishing or fish products derived from IUU fishing.</w:t>
      </w:r>
    </w:p>
    <w:p>
      <w:pPr>
        <w:pStyle w:val="Normal"/>
        <w:widowControl/>
        <w:rPr/>
      </w:pPr>
      <w:r>
        <w:rPr/>
        <w:t>(c) maintain a vessel documentation scheme and promote the use of International Maritime Organization numbers, or comparable unique vessel identifiers, as 24 Regional and international instruments include, among others, and as they may apply, the IUU IPOA, the 2005 Rome Declaration on IUU Fishing, adopted at Rome, March 12, 2005, the Port State Measures Agreement, as well as instruments established and adopted by RFMOs and RFMAs, as appropriate, that have the competence to establish conservation and management measures. 25 For greater certainty, this paragraph is without prejudice to a Party’s status under the 2009 Port State Measures Agreement. appropriate, for vessels operating outside of its national jurisdiction, in order to enhance transparency of fleets and traceability of fishing vessels; (d) strive to act consistently with relevant conservation and management measures adopted by RFMOs or RFMAs of which it is not a party so as not to undermine those measures; (e) endeavor not to undermine catch or trade documentation schemes operated by RFMOs or RFMAs;</w:t>
      </w:r>
    </w:p>
    <w:p>
      <w:pPr>
        <w:pStyle w:val="Normal"/>
        <w:widowControl/>
        <w:rPr/>
      </w:pPr>
      <w:r>
        <w:rPr/>
        <w:t>(f) develop and maintain publicly available and easily accessible registry data of fishing vessels flying its flag; promote efforts by non-Parties to develop and maintain publicly available and easily accessible registry data of such vessels flying its flag; and support efforts to complete a Global Record of Fishing Vessels, Refrigerated Transport Vessels, and Supply Vessels; and (g) cooperate with other Parties</w:t>
      </w:r>
    </w:p>
    <w:p>
      <w:pPr>
        <w:pStyle w:val="Normal"/>
        <w:widowControl/>
        <w:rPr/>
      </w:pPr>
      <w:r>
        <w:rPr/>
        <w:t>through the exchange of information and best practices to combat trade in products derived from IUU fishing. 3. Consistent with Article 28.9 (Transparent Development of Regulations), a Party shall, to the extent possible, provide the other Parties the opportunity to comment on proposed measures that are designed to prevent trade in fisheries products derived from IUU fishing.</w:t>
      </w:r>
    </w:p>
    <w:p>
      <w:pPr>
        <w:pStyle w:val="Normal"/>
        <w:keepNext w:val="true"/>
        <w:widowControl/>
        <w:rPr/>
      </w:pPr>
      <w:r>
        <w:rPr/>
        <w:t>Article 24.22: Conservation and Trade 1. The Parties affirm the importance of combatting the illegal take26 of, and illegal trade in, wild fauna and flora, and acknowledge that this trade undermines efforts to conserve and sustainably manage those natural resources, has social consequences, distorts legal trade in wild fauna and flora, and reduces the economic and environmental value of these natural resources. 2. Accordingly, each Party shall adopt, maintain, and implement laws, regulations and any other measures to fulfil its obligations under the Convention on International Trade in Endangered Species of Wild Fauna and Flora (CITES) done at Washington, D.C., March 3, 1973.27, 28, 29 26 For the purposes of this Article, the term “take” means captured, killed, or collected and with respect to a plant, also means harvested, cut, logged or removed. 27 For the purposes of this Article, a Party’s CITES obligations include existing and future amendments to which the Parties are parties and any existing and future reservations or exemptions applicable to the Party. This paragraph only applies if all the Parties are parties to CITES.</w:t>
      </w:r>
    </w:p>
    <w:p>
      <w:pPr>
        <w:pStyle w:val="Normal"/>
        <w:widowControl/>
        <w:rPr/>
      </w:pPr>
      <w:r>
        <w:rPr/>
        <w:t>28 To establish a violation of this paragraph, a Party must demonstrate that the other Party has failed to adopt, maintain, or implement laws, regulations, or other measures to fulfil its obligations under CITES in a manner affecting trade or investment between the Parties. For greater certainty, a failure is “in a manner affecting trade or 3.</w:t>
      </w:r>
    </w:p>
    <w:p>
      <w:pPr>
        <w:pStyle w:val="Normal"/>
        <w:widowControl/>
        <w:rPr/>
      </w:pPr>
      <w:r>
        <w:rPr/>
        <w:t>The Parties commit to promote conservation and to combat the illegal take of, and illegal trade in, wild fauna and flora. To that end, the Parties shall: (a) exchange information and experiences on issues of mutual interest related to combatting the illegal take of, and illegal trade in, wild fauna and flora, including combatting illegal logging and associated illegal trade, and promoting the legal trade in associated products; (b) undertake, as appropriate, joint activities on conservation issues of mutual interest, including through relevant regional and international fora; and (c) endeavor to implement, as appropriate, CITES resolutions that aim to protect and conserve species whose survival is threatened by international trade. 4. Each Party further commits to: (a) take appropriate measures to protect and conserve wild fauna and flora that it has identified to be at risk within its territory, including measures to conserve the ecological integrity of specially protected natural areas, for example grasslands and wetlands;</w:t>
      </w:r>
    </w:p>
    <w:p>
      <w:pPr>
        <w:pStyle w:val="Normal"/>
        <w:widowControl/>
        <w:rPr/>
      </w:pPr>
      <w:r>
        <w:rPr/>
        <w:t>(b) maintain or strengthen government capacity and institutional frameworks to promote the conservation of wild fauna and flora, and endeavor to enhance public participation and transparency in these institutional frameworks; and (c) endeavor to develop and strengthen cooperation and consultation with interested non-governmental entities and other stakeholders in order to enhance implementation of measures to combat the illegal take of, and illegal</w:t>
      </w:r>
    </w:p>
    <w:p>
      <w:pPr>
        <w:pStyle w:val="Normal"/>
        <w:widowControl/>
        <w:rPr/>
      </w:pPr>
      <w:r>
        <w:rPr/>
        <w:t>trade in, wild fauna and flora. 5. In a further effort to address the illegal take of, and illegal trade in, wild fauna and flora, including parts and products thereof, each Party shall take measures to combat, and cooperate to prevent, the trade of wild fauna and flora that, based on credible evidence,30 were taken or traded investment between the Parties” if it involves: (i) a person or industry that produces a good or supplies a service traded between the Parties or has an investment in the territory of the Party that has failed to comply with this obligation; or (ii) a person or industry that produces a good or supplies a service that competes in the territory of a Party with a good or a service of another Party. 29 If a Party considers that another Party is failing to comply with its obligations under this paragraph, it shall endeavor, in the first instance, to address the matter through a consultative or other procedure under CITES.</w:t>
      </w:r>
    </w:p>
    <w:p>
      <w:pPr>
        <w:pStyle w:val="Normal"/>
        <w:widowControl/>
        <w:rPr/>
      </w:pPr>
      <w:r>
        <w:rPr/>
        <w:t>30 For greater certainty, for the purposes of this paragraph, each Party retains the right to determine what constitutes “credible evidence”. in violation of that Party’s law or another applicable law,31 the primary purpose of which is to conserve, protect, or manage wild fauna or flora. These measures shall include sanctions, penalties, or other effective measures, including administrative measures, that can act as a deterrent to such trade.</w:t>
      </w:r>
    </w:p>
    <w:p>
      <w:pPr>
        <w:pStyle w:val="Normal"/>
        <w:widowControl/>
        <w:rPr/>
      </w:pPr>
      <w:r>
        <w:rPr/>
        <w:t>In addition, each Party shall endeavor to take measures to combat the trade of wild fauna and flora transhipped through its territory that, based on credible evidence, were illegally taken or traded. 6. The Parties recognize that each Party retains the right to exercise administrative, investigatory, and enforcement discretion in its implementation of paragraph 5, including by taking into account in relation to each situation the strength of the available evidence and the seriousness of the suspected violation. In addition, the Parties recognize that in implementing paragraph 5, each Party retains the right to make decisions regarding the allocation of administrative, investigatory, and enforcement resources. 7. Further, each Party shall: (a) take measures to enhance the effectiveness of inspections of shipments containing wild fauna and flora, including parts and products thereof, at ports of entry, such as improving targeting; and (b) treat intentional transnational trafficking of wildlife protected under its laws,32 as a serious crime as defined in the United Nations Convention on Transnational Organized Crime.33 8.</w:t>
      </w:r>
    </w:p>
    <w:p>
      <w:pPr>
        <w:pStyle w:val="Normal"/>
        <w:widowControl/>
        <w:rPr/>
      </w:pPr>
      <w:r>
        <w:rPr/>
        <w:t>In order to promote the widest measure of law enforcement cooperation and information sharing between the Parties to combat the illegal take of, and illegal trade in, wild fauna and flora, the Parties shall endeavor to identify opportunities, consistent with their respective law and in accordance with applicable international agreements, to enhance law enforcement cooperation and information sharing, for example by enhancing participation in law enforcement networks, and, as appropriate, establishing new networks with the objective of developing a strong and effective worldwide network. 31 For greater certainty, “another applicable law” means a law of the jurisdiction where the take or trade occurred and is only relevant to the question of whether the wild fauna and flora has been taken or traded in violation of that law. 32 For greater certainty, the term “wildlife” is understood to include all species of wild fauna and flora, including animals, timber, and marine species, and their related parts and products.</w:t>
      </w:r>
    </w:p>
    <w:p>
      <w:pPr>
        <w:pStyle w:val="Normal"/>
        <w:widowControl/>
        <w:rPr/>
      </w:pPr>
      <w:r>
        <w:rPr/>
        <w:t>Further, for purposes of this Article, the term “protected” means a CITES-listed species or a species that is listed under a Party’s law as endangered, as threatened, or as being at risk within its territory. 33 The term “serious crime” is to be understood to have the same meaning as paragraph 2(b) of the United Nations Convention on Transnational Organized Crime, done at New York, on November 15, 2000.</w:t>
      </w:r>
    </w:p>
    <w:p>
      <w:pPr>
        <w:pStyle w:val="Normal"/>
        <w:keepNext w:val="true"/>
        <w:widowControl/>
        <w:rPr/>
      </w:pPr>
      <w:r>
        <w:rPr/>
        <w:t>Article 24.23: Sustainable Forest Management and Trade 1. The Parties acknowledge their role as major consumers, producers, and traders of forest products and the importance of a healthy forest sector to provide livelihoods and job opportunities, including for indigenous peoples. 2. The Parties acknowledge the importance of: (a) the conservation and sustainable management of forests for providing environmental economic, and social benefits for present and future generations; (b) the critical role of forests in providing numerous ecosystem services, including carbon storage, maintaining water quantity and quality, stabilizing soils, and providing habitat for wild fauna and flora; and (a) (c) combatting illegal logging and associated trade. 3. The Parties recognize that forest products, when sourced from sustainably managed forests, contribute to fulfilling global environmental objectives, including sustainable development, conservation and sustainable use of resources, and green growth. 4. Accordingly, each Party commits to: (a) maintain or strengthen government capacity and institutional frameworks to promote sustainable forest management; and (b) promote trade in legally harvested forest products. 5. The Parties shall exchange information and cooperate, as appropriate, on initiatives to promote sustainable forest management, including initiatives designed to combat illegal logging and associated trade.</w:t>
      </w:r>
    </w:p>
    <w:p>
      <w:pPr>
        <w:pStyle w:val="Normal"/>
        <w:keepNext w:val="true"/>
        <w:widowControl/>
        <w:rPr/>
      </w:pPr>
      <w:r>
        <w:rPr/>
        <w:t>Article 24.24: Environmental Goods and Services 1. The Parties recognize the importance of trade and investment in environmental goods and services, including clean technologies, as a means of improving environmental and economic performance, contributing to green growth and jobs, and encouraging sustainable development, while addressing global environmental challenges. 2. Accordingly, the Parties shall strive to facilitate and promote trade and investment in environmental goods and services. 3. The Environment Committee shall consider issues identified by a Party related to trade in environmental goods and services, including issues identified as potential non-tariff barriers to that trade. The Parties shall endeavor to address any potential barriers to trade in environmental goods and services that may be identified by a Party, including by working through the Environment Committee and in conjunction with other relevant committees established under this Agreement, as appropriate. 4. The Parties shall cooperate in international fora on ways to further facilitate and liberalize global trade in environmental goods and services, and may develop cooperative projects on environmental goods and services to address current and future global environmental challenges.</w:t>
      </w:r>
    </w:p>
    <w:p>
      <w:pPr>
        <w:pStyle w:val="Normal"/>
        <w:keepNext w:val="true"/>
        <w:widowControl/>
        <w:rPr/>
      </w:pPr>
      <w:r>
        <w:rPr/>
        <w:t>Article 24.25: Environmental Cooperation 1. The Parties recognize the importance of cooperation as a mechanism to implement this Chapter, to enhance its benefits, and to strengthen the Parties’ joint and individual capacities to protect the environment, and to promote sustainable development as they strengthen their trade and investment relations. 2. The Parties are committed to expanding their cooperative relationship on environmental matters, recognizing it will help them achieve their shared environmental goals and objectives, including the development and improvement of environmental protection, practices, and technologies. 3. The Parties are committed to undertaking cooperative environmental activities pursuant to the Agreement on Environmental Cooperation among the Governments of Canada, the United Mexican States, and the United States of America (ECA) signed by the Parties, including activities related to implementation of this Chapter. Activities that the Parties undertake pursuant to the Environmental Cooperation Agreement will be coordinated and reviewed by the Commission for Environmental Cooperation as provided for in the ECA.34</w:t>
      </w:r>
    </w:p>
    <w:p>
      <w:pPr>
        <w:pStyle w:val="Normal"/>
        <w:widowControl/>
        <w:rPr/>
      </w:pPr>
      <w:r>
        <w:rPr/>
        <w:t>0A. The Agreement on Environmental Cooperation among Canada, the United States of America, and the United Mexican States, reproduced for operational completeness in Annex 34-G, Part E, continues to provide the institutional framework for the Commission for Environmental Cooperation. Nothing in this modernized Agreement terminates that companion agreement except by an instrument adopted in accordance with its own terms.</w:t>
      </w:r>
    </w:p>
    <w:p>
      <w:pPr>
        <w:pStyle w:val="Normal"/>
        <w:keepNext w:val="true"/>
        <w:widowControl/>
        <w:rPr/>
      </w:pPr>
      <w:r>
        <w:rPr/>
        <w:t>Article 24.26: Environment Committee and Contact Points 1. Each Party shall designate and notify a contact point from its relevant authorities within 90 days of the date of entry into force of this Agreement, in order to facilitate communication between the Parties in the implementation of this Chapter. Each Party shall promptly notify, in writing, the other Parties in the event of any change of its contact point. 34 The Parties established the Commission for Environmental Cooperation (CEC) under Part Three of the North American Agreement on Environmental Cooperation (NAAEC). 2. The Parties establish an Environment Committee composed of senior government representatives, or their designees, of the relevant trade and environment central level of government authorities of each Party responsible for the implementation of this Chapter. 3.</w:t>
      </w:r>
    </w:p>
    <w:p>
      <w:pPr>
        <w:pStyle w:val="Normal"/>
        <w:widowControl/>
        <w:rPr/>
      </w:pPr>
      <w:r>
        <w:rPr/>
        <w:t>The purpose of the Environment Committee is to oversee the implementation of this Chapter, and its functions are to: (a) provide a forum to discuss and review the implementation of this Chapter; (b) periodically inform the Commission and the Council for the Commission for Environmental Cooperation (Council) established under Article 3 (Council Structures and Procedures) of the Environmental Cooperation Agreement regarding the implementation of this Chapter; (c) consider and endeavor to resolve matters referred to it under Article 24.30 (Senior Representative Consultations); (d) provide input, as appropriate, for consideration by the Council, relating to submissions on enforcement matters under this Chapter. (e) coordinate with other committees established under this Agreement as appropriate; and (f) perform any other functions as the Parties may decide. 4. The Environment Committee shall meet within one year of the date of entry into force of this Agreement. Thereafter, the Environment Committee shall meet every two years unless the Environment Committee agrees otherwise.</w:t>
      </w:r>
    </w:p>
    <w:p>
      <w:pPr>
        <w:pStyle w:val="Normal"/>
        <w:widowControl/>
        <w:rPr/>
      </w:pPr>
      <w:r>
        <w:rPr/>
        <w:t>The Chair of the Environment Committee and the venue of its meetings shall rotate among each of the Parties in English alphabetical order, unless the Environment Committee decides otherwise. 5. All decisions and reports of the Environment Committee shall be made by consensus, unless the Committee decides otherwise or unless otherwise provided in this Chapter. 6.</w:t>
      </w:r>
    </w:p>
    <w:p>
      <w:pPr>
        <w:pStyle w:val="Normal"/>
        <w:widowControl/>
        <w:rPr/>
      </w:pPr>
      <w:r>
        <w:rPr/>
        <w:t>All decisions and reports of the Environment Committee shall be made available to the public, unless the Environment Committee decides otherwise. 7. During the fifth year after the date of entry into force of this Agreement, the Environment Committee shall: (a) review the implementation and operation of this Chapter; (b) report its findings, which may include recommendations, to the Council and the Commission; and (c) undertake subsequent reviews at intervals to be decided by the Committee. 8. The Environment Committee shall provide for public input on matters relevant to the Committee’s work, as appropriate, and shall hold a public session at each meeting. 9. The Parties recognize the importance of resource efficiency in the implementation of this Chapter and the desirability of using new technologies to facilitate communication and interaction between the Parties and with the public.</w:t>
      </w:r>
    </w:p>
    <w:p>
      <w:pPr>
        <w:pStyle w:val="Normal"/>
        <w:keepNext w:val="true"/>
        <w:widowControl/>
        <w:rPr/>
      </w:pPr>
      <w:r>
        <w:rPr/>
        <w:t>Article 24.27: Submissions on Enforcement Matters 1. Any person of a Party may file a submission asserting that a Party is failing to effectively enforce its environmental laws. Such submissions shall be filed with the Secretariat of the Commission for Environmental Cooperation (CEC Secretariat). 2. The CEC Secretariat may consider a submission under this Article if it finds that the submission: (a) is in writing in English, French, or Spanish; (b) clearly identifies the person making the submission; (c) provides sufficient information to allow for the review of the submission including any documentary evidence on which the submission may be based and identification of the environmental law of which the failure to enforce is asserted; (d) appears to be aimed at promoting enforcement rather than at harassing industry; and (e) indicates whether the matter has been communicated in writing to the relevant authorities of the Party and the Party’s response, if any. 3. If the CEC Secretariat determines that a submission meets the criteria set out in paragraph 2, it shall determine within 30 days of receipt of the submission whether the submission merits requesting a response from the Party.</w:t>
      </w:r>
    </w:p>
    <w:p>
      <w:pPr>
        <w:pStyle w:val="Normal"/>
        <w:widowControl/>
        <w:rPr/>
      </w:pPr>
      <w:r>
        <w:rPr/>
        <w:t>In deciding whether to request a response, the CEC Secretariat shall be guided by whether: (a) the submission alleges harm to the person making the submission; (b) the submission, alone or in combination with other submissions, raises matters about which further study would advance the goals of this Chapter; (c) private remedies available under the Party’s law have been pursued; and (d) the submission is not drawn exclusively from mass media reports. If the CEC Secretariat makes such a request, it shall forward to the Party a copy of the submission and any supporting information provided with the submission. 4. The Party shall inform the CEC Secretariat within 60 days of delivery of the request: (a) whether the matter at issue is the subject of a pending judicial or administrative proceeding, in which case the CEC Secretariat shall proceed no further; and (b) of any other information the Party wishes to provide, such as: (i) information regarding the enforcement of the environmental law at issue, including any actions taken in connection with the matter in question;</w:t>
      </w:r>
    </w:p>
    <w:p>
      <w:pPr>
        <w:pStyle w:val="Normal"/>
        <w:widowControl/>
        <w:rPr/>
      </w:pPr>
      <w:r>
        <w:rPr/>
        <w:t>(ii) whether the matter was previously the subject of a judicial or administrative proceeding; and (iii) whether private remedies in connection with the matter are available to the person making the submission and whether they have been pursued.</w:t>
      </w:r>
    </w:p>
    <w:p>
      <w:pPr>
        <w:pStyle w:val="Normal"/>
        <w:keepNext w:val="true"/>
        <w:widowControl/>
        <w:rPr/>
      </w:pPr>
      <w:r>
        <w:rPr/>
        <w:t>Article 24.28: Factual Records and Related Cooperation 1. If the CEC Secretariat considers that the submission, in light of any response provided by the Party, warrants developing a factual record, it shall so inform the Council and the Environment Committee within 60 days of receiving the Party’s response and provide its reasons. 2. The CEC Secretariat shall prepare a factual record if at least two members of the Council instruct it to do so. 3. The preparation of a factual record by the CEC Secretariat pursuant to this Article shall be without prejudice to any further steps that may be taken with respect to any submission. 4. In preparing a factual record, the CEC Secretariat shall consider any information provided by a Party and may consider any relevant technical, scientific, or other information: (a) that is publicly available; (b) submitted by interested persons; (c) submitted by national advisory or consultative committees referred to in Article 24.5 (Public Information and Participation);</w:t>
      </w:r>
    </w:p>
    <w:p>
      <w:pPr>
        <w:pStyle w:val="Normal"/>
        <w:widowControl/>
        <w:rPr/>
      </w:pPr>
      <w:r>
        <w:rPr/>
        <w:t>(d) submitted by the Joint Public Advisory Committee (JPAC) referred to in Article 2.2 (Commission for Environmental Cooperation) of the E CA; (e) developed by independent experts; or (f) developed under the ECA. 5. The CEC Secretariat shall submit a draft factual record to the Council within 120 days of the Council’s instruction to prepare a factual record under paragraph 2.</w:t>
      </w:r>
    </w:p>
    <w:p>
      <w:pPr>
        <w:pStyle w:val="Normal"/>
        <w:widowControl/>
        <w:rPr/>
      </w:pPr>
      <w:r>
        <w:rPr/>
        <w:t>Any Party may provide comments to the CEC Secretariat on the accuracy of the draft within 30 days of the submission of the draft factual record. The CEC Secretariat shall incorporate those comments in the final factual record and promptly submit it to the Council. 6. The CEC Secretariat shall make the final factual record publicly available, normally within 30 days following its submission, unless at least two members of the Council instruct it not to do so. 7. The Environment Committee shall consider the final factual record in light of the objectives of this Chapter and the ECA and may provide recommendations to the Council on whether the matter raised in the factual record could benefit from cooperative activities. 8. The Parties shall provide updates to the Council and the Environment Committee on final factual records, as appropriate.</w:t>
      </w:r>
    </w:p>
    <w:p>
      <w:pPr>
        <w:pStyle w:val="Normal"/>
        <w:keepNext w:val="true"/>
        <w:widowControl/>
        <w:rPr/>
      </w:pPr>
      <w:r>
        <w:rPr/>
        <w:t>Article 24.29: Environment Consultations 1. The Parties shall at all times endeavor to agree on the interpretation and application of this Chapter, and shall make every effort through dialogue, consultation, exchange of information, and, if appropriate, cooperation to address any matter that might affect the operation of this Chapter. 2. A Party (the requesting Party) may request consultations with any other Party (the responding Party) regarding any matter arising under this Chapter by notifying the responding Party’s contact point in writing. The requesting Party shall include information that is specific and sufficient to enable the responding Party to respond, including identification of the matter at issue and an indication of the legal basis for the request. The requesting Party shall deliver its request for consultations to the third Party through their respective contact points. 3. A third Party that considers it has a substantial interest in the matter, may participate in the consultations by notifying the contact points of the requesting and responding Parties in writing no later than seven days after the date of delivery of the request for consultations. The third Party shall include in its notice an explanation of its substantial interest in the matter. 4.</w:t>
      </w:r>
    </w:p>
    <w:p>
      <w:pPr>
        <w:pStyle w:val="Normal"/>
        <w:widowControl/>
        <w:rPr/>
      </w:pPr>
      <w:r>
        <w:rPr/>
        <w:t>Unless the requesting and the responding Parties (the consulting Parties) agree otherwise, the consulting Parties shall enter into consultations promptly, and no later than 30 days after the date of receipt by the responding Party of the request. 5. The consulting Parties shall make every effort to arrive at a mutually satisfactory resolution to the matter which may include appropriate cooperative activities. The consulting Parties may seek advice or assistance from any person or body they deem appropriate in order to examine the matter.</w:t>
      </w:r>
    </w:p>
    <w:p>
      <w:pPr>
        <w:pStyle w:val="Normal"/>
        <w:keepNext w:val="true"/>
        <w:widowControl/>
        <w:rPr/>
      </w:pPr>
      <w:r>
        <w:rPr/>
        <w:t>Article 24.30: Senior Representative Consultations 1. If the consulting Parties fail to resolve the matter under Article 24.29 (Environment Consultations), a consulting Party may request that the Environment Committee representatives from the consulting Parties convene to consider the matter by notifying the contact point of the other consulting Party or Parties in writing. At the same time, the consulting Party making the request shall deliver the request to the contact points of any other Party. 2. The Environment Committee representatives from the consulting Parties shall promptly convene following the delivery of the request, and shall seek to resolve the matter including, if appropriate, by gathering relevant scientific and technical information from governmental or non-governmental experts. Environment Committee representatives from any other Party that considers it has a substantial interest in the matter may participate in the consultations.</w:t>
      </w:r>
    </w:p>
    <w:p>
      <w:pPr>
        <w:pStyle w:val="Normal"/>
        <w:keepNext w:val="true"/>
        <w:widowControl/>
        <w:rPr/>
      </w:pPr>
      <w:r>
        <w:rPr/>
        <w:t>Article 24.31: Ministerial Consultations 1. If the consulting Parties fail to resolve the matter under Article 24.30 (Senior Representative Consultations), a consulting Party may refer the matter to the relevant Ministers of the consulting Parties who shall seek to resolve the matter. 2. Consultations pursuant to Article 24.29 (Environment Consultations), Article 24.30 (Senior Representative Consultations), and this Article may be held in person or by any technological means available as agreed by the consulting Parties. If in person, consultations shall be held in the capital of the responding Party, unless the consulting Parties agree otherwise. 3. Consultations shall be confidential and without prejudice to the rights of any Party in any future proceedings.</w:t>
      </w:r>
    </w:p>
    <w:p>
      <w:pPr>
        <w:pStyle w:val="Normal"/>
        <w:keepNext w:val="true"/>
        <w:widowControl/>
        <w:rPr/>
      </w:pPr>
      <w:r>
        <w:rPr/>
        <w:t>Article 24.32: Dispute Resolution 1. If the consulting Parties fail to resolve the matter under Article 24.29 (Environment Consultations), Article 24.30 (Senior Representative Consultations), and Article 24.31 (Ministerial Consultations) within 30 days after the date of receipt of a request under Article 24.29.2 (Environment Consultations), or any other period as the consulting Parties may decide, the requesting Party may request a meeting of the Commission pursuant to Article 31.5 (Commission, Good Offices, Conciliation, and Mediation) and thereafter request the establishment of a panel under Article 31.6 (Establishment of a Panel). 2. Notwithstanding Article 31.15 (Role of Experts), in a dispute arising under Article 24.22 (Conservation and Trade) a panel convened under Article 31.6 (Establishment of a Panel) shall: (a) seek technical advice or assistance, if appropriate, from an entity authorised under CITES to address the particular matter, and provide the consulting Parties with an opportunity to comment on any such technical advice or assistance received; and (b) provide due consideration to any interpretive guidance received pursuant to subparagraph (a) on the matter to the extent appropriate in light of its nature and status in making its findings and determinations under Article 31.17 (Panel Report).</w:t>
      </w:r>
    </w:p>
    <w:p>
      <w:pPr>
        <w:pStyle w:val="Normal"/>
        <w:widowControl/>
        <w:rPr/>
      </w:pPr>
      <w:r>
        <w:rPr/>
        <w:t>ANNEX 24-A For Canada, the Ozone-depleting Substances and Halocarbon Alternatives Regulations, of the Canadian Environmental Protection Act, 1999 (CEPA). For Mexico, the General Law on Ecological Equilibrium and Environmental Protection (Ley General del Equilibrio Ecológico y la Protección al Ambiente – LGEEPA), under Title IV Environmental Protection, Chapter I and II regarding federal enforcement of atmospheric provisions. For the United States, 42 U.S.C. §§ 7671-7671q (Stratospheric Ozone Protection). 24-A-1</w:t>
      </w:r>
    </w:p>
    <w:p>
      <w:pPr>
        <w:pStyle w:val="Normal"/>
        <w:widowControl/>
        <w:rPr/>
      </w:pPr>
      <w:r>
        <w:rPr/>
        <w:t>ANNEX 24-B For Canada, the Canada Shipping Act, 2001 and its related regulations. For Mexico, Article 132 of the General Law on Ecological Equilibrium and Environmental Protection (Ley General del Equilibrio Ecológico y la Protección al Ambiente – LGEEPA). For the United States, the Act to Prevent Pollution from Ships, 33 U.S.C. §§ 1901-1915. 24-B-1</w:t>
      </w:r>
    </w:p>
    <w:p>
      <w:pPr>
        <w:pStyle w:val="ModHeading"/>
        <w:widowControl/>
        <w:rPr/>
      </w:pPr>
      <w:bookmarkStart w:id="80" w:name="_Toc237912557"/>
      <w:r>
        <w:rPr/>
        <w:t>CHAPTER 24 — CUSMA 2.0 MODERNIZATION PROVISIONS</w:t>
      </w:r>
      <w:bookmarkEnd w:id="80"/>
    </w:p>
    <w:p>
      <w:bookmarkStart w:id="1180" w:name="_NAESTMA_TOC_1180"/>
      <w:pPr>
        <w:pStyle w:val="Heading2"/>
        <w:keepNext/>
        <w:widowControl/>
        <w:rPr/>
      </w:pPr>
      <w:bookmarkStart w:id="81" w:name="_Toc237912558"/>
      <w:r>
        <w:rPr/>
        <w:t>Article 24.A: Environmental Traceability and Circular Production</w:t>
      </w:r>
      <w:bookmarkEnd w:id="81"/>
      <w:bookmarkEnd w:id="1180"/>
    </w:p>
    <w:p>
      <w:pPr>
        <w:pStyle w:val="Normal"/>
        <w:widowControl/>
        <w:rPr/>
      </w:pPr>
      <w:r>
        <w:rPr/>
        <w:t>1. The Parties shall cooperate on environmental traceability for strategic supply chains, in coordination with Article 37.4, including for critical minerals, timber and wood products, and agricultural commodities associated with deforestation risk.</w:t>
      </w:r>
    </w:p>
    <w:p>
      <w:pPr>
        <w:pStyle w:val="Normal"/>
        <w:widowControl/>
        <w:rPr/>
      </w:pPr>
      <w:r>
        <w:rPr/>
        <w:t>2. Environmental measures of a Party shall not be administered so as to discriminate against originating goods of another Party in favor of like goods of a non-Party, and environmental cooperation under this Chapter does not authorize covered border measures except in conformity with Chapter 35.</w:t>
      </w:r>
    </w:p>
    <w:p>
      <w:bookmarkStart w:id="1181" w:name="_NAESTMA_TOC_1181"/>
      <w:pPr>
        <w:pStyle w:val="Heading2"/>
        <w:keepNext/>
        <w:widowControl/>
        <w:rPr/>
      </w:pPr>
      <w:bookmarkStart w:id="82" w:name="_Toc237912559"/>
      <w:r>
        <w:rPr/>
        <w:t>Article 24.B: Wildfire and Transboundary Environmental Events</w:t>
      </w:r>
      <w:bookmarkEnd w:id="82"/>
      <w:bookmarkEnd w:id="1181"/>
    </w:p>
    <w:p>
      <w:pPr>
        <w:pStyle w:val="Normal"/>
        <w:widowControl/>
        <w:rPr/>
      </w:pPr>
      <w:r>
        <w:rPr/>
        <w:t>1. The Parties shall cooperate on wildfire prevention, detection, and response, and on the management of transboundary environmental effects of natural events, through technical cooperation and the emergency coordination of Chapter 38.</w:t>
      </w:r>
    </w:p>
    <w:p>
      <w:pPr>
        <w:pStyle w:val="Normal"/>
        <w:widowControl/>
        <w:rPr/>
      </w:pPr>
      <w:r>
        <w:rPr/>
        <w:t>2. A natural or environmental phenomenon, including wildfire smoke, drought, or flooding, does not constitute a basis for a covered border measure against another Party’s goods. Any such measure is inconsistent with Article 35.7.</w:t>
      </w:r>
    </w:p>
    <w:p>
      <w:bookmarkStart w:id="1182" w:name="_NAESTMA_TOC_1182"/>
      <w:pPr>
        <w:pStyle w:val="Heading2"/>
        <w:keepNext/>
        <w:widowControl/>
        <w:rPr/>
      </w:pPr>
      <w:bookmarkStart w:id="83" w:name="_Toc237912560"/>
      <w:r>
        <w:rPr/>
        <w:t>Article 24.C: Independent Factual Verification of Environmental Enforcement Complaints</w:t>
      </w:r>
      <w:bookmarkEnd w:id="83"/>
      <w:bookmarkEnd w:id="1182"/>
    </w:p>
    <w:p>
      <w:pPr>
        <w:pStyle w:val="Normal"/>
        <w:widowControl/>
        <w:rPr/>
      </w:pPr>
      <w:r>
        <w:rPr/>
        <w:t>1. Before a Party may seek a trade remedy based on an alleged systemic failure to enforce environmental obligations under this Chapter, the CEC Secretariat shall coordinate an independent factual verification, drawing where appropriate on the factual-record procedures of Article 24.28 and independent experts. The verification shall be completed within 90 days unless the Parties agree otherwise.</w:t>
      </w:r>
    </w:p>
    <w:p>
      <w:pPr>
        <w:pStyle w:val="Normal"/>
        <w:widowControl/>
        <w:rPr/>
      </w:pPr>
      <w:r>
        <w:rPr/>
        <w:t>2. The resulting factual report is binding as to factual findings for proceedings under this Agreement, without determining the ultimate legal consequence. Where the report finds no sustained, recurring, systemic, or material failure within the scope of the complaint, no covered border measure may be based on that complaint absent materially new evidence.</w:t>
      </w:r>
    </w:p>
    <w:p>
      <w:pPr>
        <w:pStyle w:val="Normal"/>
        <w:widowControl/>
        <w:rPr/>
      </w:pPr>
      <w:r>
        <w:rPr/>
        <w:t>3. Cooperation Clock. A requested Party shall provide responsive non-privileged records within 20 days after a lawful request by the technical team, or identify with specificity the legal basis for withholding particular material. Requests for clarification do not suspend the 90-day verification period.</w:t>
      </w:r>
    </w:p>
    <w:p>
      <w:pPr>
        <w:pStyle w:val="Normal"/>
        <w:widowControl/>
        <w:rPr/>
      </w:pPr>
      <w:r>
        <w:rPr/>
        <w:t>4. Unjustified failure to provide records, site access lawfully available under domestic law, or other information does not stop the verification clock. The technical team may rely on other credible evidence and may draw reasonable adverse factual inferences proportionate to the information withheld.</w:t>
      </w:r>
    </w:p>
    <w:p>
      <w:pPr>
        <w:pStyle w:val="Normal"/>
        <w:widowControl/>
        <w:rPr/>
      </w:pPr>
      <w:r>
        <w:rPr/>
        <w:t>5. The technical team shall issue its factual report on the existing record when the 90-day period expires unless all Parties agree to a single extension not exceeding 30 days because essential evidence is genuinely unavailable despite cooperation.</w:t>
      </w:r>
    </w:p>
    <w:p>
      <w:pPr>
        <w:pStyle w:val="Normal"/>
        <w:widowControl/>
        <w:rPr/>
      </w:pPr>
      <w:r>
        <w:rPr/>
        <w:t>6. A Party is not required to disclose privileged information, protected personal information, or information whose disclosure is prohibited by law, but shall provide a non-confidential summary or certified substitute to the maximum extent permitted.</w:t>
      </w:r>
    </w:p>
    <w:p>
      <w:pPr>
        <w:pStyle w:val="TrumpVisibilityHeadline"/>
        <w:widowControl/>
        <w:rPr/>
      </w:pPr>
      <w:r>
        <w:rPr>
          <w:b/>
        </w:rPr>
        <w:t xml:space="preserve">★ </w:t>
      </w:r>
      <w:r>
        <w:rPr>
          <w:b/>
        </w:rPr>
        <w:t>VISIBLE U.S. WIN: CANADA COMMITS TO WILDFIRE PREVENTION AND CROSS-BORDER SMOKE MITIGATION</w:t>
      </w:r>
    </w:p>
    <w:p>
      <w:bookmarkStart w:id="1183" w:name="_NAESTMA_TOC_1183"/>
      <w:pPr>
        <w:pStyle w:val="Heading2"/>
        <w:keepNext/>
        <w:widowControl/>
        <w:rPr/>
      </w:pPr>
      <w:bookmarkStart w:id="84" w:name="_Toc237912561"/>
      <w:r>
        <w:rPr/>
        <w:t>Article 24.D: North American Wildfire Innovation, Prevention and Smoke-Mitigation Partnership</w:t>
      </w:r>
      <w:bookmarkEnd w:id="84"/>
      <w:bookmarkEnd w:id="1183"/>
    </w:p>
    <w:p>
      <w:pPr>
        <w:pStyle w:val="Normal"/>
        <w:widowControl/>
        <w:rPr/>
      </w:pPr>
      <w:r>
        <w:rPr/>
        <w:t>1. The Parties shall accelerate cooperative research, demonstration, field validation, procurement learning, and responsible commercialization of technologies that improve wildfire prevention, detection, prediction, fuel management, response, firefighter safety, post-fire recovery, and transboundary smoke mitigation.</w:t>
      </w:r>
    </w:p>
    <w:p>
      <w:pPr>
        <w:pStyle w:val="Normal"/>
        <w:widowControl/>
        <w:rPr/>
      </w:pPr>
      <w:r>
        <w:rPr/>
        <w:t>2. A Party may establish competitive grants, challenge programs, test sites, regulatory sandboxes, or accelerated field-evaluation pathways for promising wildfire technologies. Such pathways shall use risk-proportionate safeguards and shall not require premature proof of commercial maturity where controlled testing can generate the evidence needed for responsible deployment.</w:t>
      </w:r>
    </w:p>
    <w:p>
      <w:pPr>
        <w:pStyle w:val="Normal"/>
        <w:widowControl/>
        <w:rPr/>
      </w:pPr>
      <w:r>
        <w:rPr/>
        <w:t>3. The Parties shall encourage shared technical data, interoperable mapping, common performance metrics, and cross-border demonstrations while protecting confidential information, Indigenous knowledge, personal information, and legitimate security interests.</w:t>
      </w:r>
    </w:p>
    <w:p>
      <w:bookmarkStart w:id="1184" w:name="_NAESTMA_TOC_1184"/>
      <w:pPr>
        <w:pStyle w:val="Heading2"/>
        <w:keepNext/>
        <w:widowControl/>
        <w:rPr/>
      </w:pPr>
      <w:bookmarkStart w:id="85" w:name="_Toc237912562"/>
      <w:r>
        <w:rPr/>
        <w:t>Article 24.E: Storm-Damaged Forest Fuel Recovery</w:t>
      </w:r>
      <w:bookmarkEnd w:id="85"/>
      <w:bookmarkEnd w:id="1184"/>
    </w:p>
    <w:p>
      <w:pPr>
        <w:pStyle w:val="Normal"/>
        <w:widowControl/>
        <w:rPr/>
      </w:pPr>
      <w:r>
        <w:rPr/>
        <w:t>1. The Parties recognize that severe windthrow, microburst, hurricane, ice-storm, pest, drought, and other forest disturbances may create localized concentrations of dead or damaged biomass that warrant risk-based assessment for wildfire, ecological, safety, and economic consequences.</w:t>
      </w:r>
    </w:p>
    <w:p>
      <w:pPr>
        <w:pStyle w:val="Normal"/>
        <w:widowControl/>
        <w:rPr/>
      </w:pPr>
      <w:r>
        <w:rPr/>
        <w:t>2. Canada, the United States, and Mexico may establish programs to identify, map, prioritize, and where appropriate recover storm-damaged or otherwise hazardous forest material. Treatment decisions shall consider fire risk, ecological value, habitat, soil disturbance, access, worker safety, Indigenous and land rights, and commercial viability.</w:t>
      </w:r>
    </w:p>
    <w:p>
      <w:pPr>
        <w:pStyle w:val="Normal"/>
        <w:widowControl/>
        <w:rPr/>
      </w:pPr>
      <w:r>
        <w:rPr/>
        <w:t>3. Recovered material should, where practicable, be directed to its highest reasonable use, including sawlogs, engineered wood, panels, pulp, fibre products, biochar, biomass, or other circular uses. Ecologically valuable deadwood may remain in place.</w:t>
      </w:r>
    </w:p>
    <w:p>
      <w:pPr>
        <w:pStyle w:val="Normal"/>
        <w:widowControl/>
        <w:rPr/>
      </w:pPr>
      <w:r>
        <w:rPr/>
        <w:t>4. The Parties shall develop traceability criteria for qualifying recovery timber. Canada and the United States shall consult on preferential or reduced-duty treatment for independently verified incremental storm-recovery wood where such treatment is consistent with Chapter 42 and does not constitute dumping, an export subsidy, or disguised circumvention.</w:t>
      </w:r>
    </w:p>
    <w:p>
      <w:bookmarkStart w:id="1185" w:name="_NAESTMA_TOC_1185"/>
      <w:pPr>
        <w:pStyle w:val="Heading2"/>
        <w:keepNext/>
        <w:widowControl/>
        <w:rPr/>
      </w:pPr>
      <w:r>
        <w:rPr/>
        <w:t>Article 24.F: Environmental Resilience, Cooperation Before Restriction, and Non-Weaponization</w:t>
      </w:r>
      <w:bookmarkEnd w:id="1185"/>
    </w:p>
    <w:p>
      <w:pPr>
        <w:pStyle w:val="Normal"/>
        <w:widowControl/>
        <w:rPr/>
      </w:pPr>
      <w:r>
        <w:rPr/>
        <w:t>1. The Parties shall ordinarily address transboundary environmental problems through information sharing, technical assistance, mitigation, remediation, emergency cooperation, scientific review, and verified corrective action before resorting to trade restrictions.</w:t>
      </w:r>
    </w:p>
    <w:p>
      <w:pPr>
        <w:pStyle w:val="Normal"/>
        <w:widowControl/>
        <w:rPr/>
      </w:pPr>
      <w:r>
        <w:rPr/>
        <w:t>2. A wildfire, smoke event, drought, flood, storm, marine heat event, accidental pollution event, naturally occurring ecological disturbance, or other environmental phenomenon does not by itself constitute a violation of this Agreement or a lawful basis for a covered border measure.</w:t>
      </w:r>
    </w:p>
    <w:p>
      <w:pPr>
        <w:pStyle w:val="Normal"/>
        <w:widowControl/>
        <w:rPr/>
      </w:pPr>
      <w:r>
        <w:rPr/>
        <w:t>3. Where a Party alleges that another Party has deliberately, discriminatorily, or persistently failed to comply with a binding environmental obligation in a manner affecting trade or investment, the matter shall proceed through the factual verification and consultation procedures of this Chapter and, where applicable, Chapters 31, 35, and 46.</w:t>
      </w:r>
    </w:p>
    <w:p>
      <w:pPr>
        <w:pStyle w:val="Normal"/>
        <w:widowControl/>
        <w:rPr/>
      </w:pPr>
      <w:r>
        <w:rPr/>
        <w:t>4. Environmental measures shall not be used as disguised protectionism. Where multiple reasonably available measures provide materially equivalent environmental protection, a Party should, consistent with its chosen level of protection, favor the measure that avoids unnecessary restriction of originating North American trade.</w:t>
      </w:r>
    </w:p>
    <w:p>
      <w:pPr>
        <w:pStyle w:val="Normal"/>
        <w:widowControl/>
        <w:rPr/>
      </w:pPr>
      <w:r>
        <w:rPr/>
        <w:t>5. Nothing in this Article prevents a Party from taking proportionate emergency action necessary to protect human, animal, plant, ecosystem, or environmental health, subject to applicable law and subsequent review where required.</w:t>
      </w:r>
    </w:p>
    <w:p>
      <w:bookmarkStart w:id="1186" w:name="_NAESTMA_TOC_1186"/>
      <w:pPr>
        <w:pStyle w:val="Heading2"/>
        <w:keepNext/>
        <w:widowControl/>
        <w:rPr/>
      </w:pPr>
      <w:r>
        <w:rPr/>
        <w:t>Article 24.G: North American Wildfire, Smoke, and Landscape Resilience</w:t>
      </w:r>
      <w:bookmarkEnd w:id="1186"/>
    </w:p>
    <w:p>
      <w:pPr>
        <w:pStyle w:val="Normal"/>
        <w:widowControl/>
        <w:rPr/>
      </w:pPr>
      <w:r>
        <w:rPr/>
        <w:t>1. Building on Articles 24.B, 24.D, and 24.E, the Parties shall deepen cooperation on wildfire prevention, fuel management, detection, prediction, suppression support, smoke forecasting, post-fire recovery, and restoration.</w:t>
      </w:r>
    </w:p>
    <w:p>
      <w:pPr>
        <w:pStyle w:val="Normal"/>
        <w:widowControl/>
        <w:rPr/>
      </w:pPr>
      <w:r>
        <w:rPr/>
        <w:t>2. Priority activities may include interoperable fire-weather and smoke data; satellite, aerial, acoustic, sensor, and ground-based detection; shared mapping; cross-border mutual assistance; prescribed and cultural burning where authorized; mechanical and biological fuel treatment; firebreak research; emergency equipment interoperability; and rapid restoration of critical infrastructure and watersheds.</w:t>
      </w:r>
    </w:p>
    <w:p>
      <w:pPr>
        <w:pStyle w:val="Normal"/>
        <w:widowControl/>
        <w:rPr/>
      </w:pPr>
      <w:r>
        <w:rPr/>
        <w:t>3. The Parties may validate mineral, recycled, recovered, bio-based, or other firebreak and fuel-treatment materials through the Experimental Technology Pathway. No material receives preferred status solely because it is recycled, low-carbon, or waste-derived; safety, toxicity, leaching, ecological effects, durability, deployment performance, and lifecycle benefit shall be demonstrated.</w:t>
      </w:r>
    </w:p>
    <w:p>
      <w:pPr>
        <w:pStyle w:val="Normal"/>
        <w:widowControl/>
        <w:rPr/>
      </w:pPr>
      <w:r>
        <w:rPr/>
        <w:t>4. Storm-damaged, pest-affected, drought-killed, or otherwise hazardous biomass may be directed to its highest reasonable validated use, including timber, engineered wood, pulp, fibre, biochar, soil products, energy recovery, or other circular applications, while retaining ecologically valuable material where appropriate.</w:t>
      </w:r>
    </w:p>
    <w:p>
      <w:pPr>
        <w:pStyle w:val="Normal"/>
        <w:widowControl/>
        <w:rPr/>
      </w:pPr>
      <w:r>
        <w:rPr/>
        <w:t>5. The Parties shall encourage protection of communities, workers, Indigenous lands and cultural resources, critical habitat, and air quality during prevention, response, and recovery activities.</w:t>
      </w:r>
    </w:p>
    <w:p>
      <w:bookmarkStart w:id="1187" w:name="_NAESTMA_TOC_1187"/>
      <w:pPr>
        <w:pStyle w:val="Heading2"/>
        <w:keepNext/>
        <w:widowControl/>
        <w:rPr/>
      </w:pPr>
      <w:r>
        <w:rPr/>
        <w:t>Article 24.H: Marine Debris, Ghost Gear, and Circular Fishing Materials</w:t>
      </w:r>
      <w:bookmarkEnd w:id="1187"/>
    </w:p>
    <w:p>
      <w:pPr>
        <w:pStyle w:val="Normal"/>
        <w:widowControl/>
        <w:rPr/>
      </w:pPr>
      <w:r>
        <w:rPr/>
        <w:t>1. The Parties shall strengthen prevention, identification, recovery, reuse, recycling, and responsible disposal of abandoned, lost, or otherwise discarded fishing gear, marine plastics, microplastic sources, and other persistent marine debris.</w:t>
      </w:r>
    </w:p>
    <w:p>
      <w:pPr>
        <w:pStyle w:val="Normal"/>
        <w:widowControl/>
        <w:rPr/>
      </w:pPr>
      <w:r>
        <w:rPr/>
        <w:t>2. Cooperation may include interoperable gear identification and traceability; hotspot mapping; port reception and retrieval programs; rapid-response removal; incentives for return and recycling; research on lower-impact gear; and lifecycle standards for fishing materials.</w:t>
      </w:r>
    </w:p>
    <w:p>
      <w:pPr>
        <w:pStyle w:val="Normal"/>
        <w:widowControl/>
        <w:rPr/>
      </w:pPr>
      <w:r>
        <w:rPr/>
        <w:t>3. Existing fisheries, customs, coast-guard, port, environmental, and Commission structures shall be used wherever practicable rather than establishing duplicative bodies.</w:t>
      </w:r>
    </w:p>
    <w:p>
      <w:pPr>
        <w:pStyle w:val="Normal"/>
        <w:widowControl/>
        <w:rPr/>
      </w:pPr>
      <w:r>
        <w:rPr/>
        <w:t>4. Recovered marine materials may enter circular-economy or Experimental Technology Pathway programs for validated conversion into secondary raw materials or products.</w:t>
      </w:r>
    </w:p>
    <w:p>
      <w:pPr>
        <w:pStyle w:val="Normal"/>
        <w:widowControl/>
        <w:rPr/>
      </w:pPr>
      <w:r>
        <w:rPr/>
        <w:t>5. Measures under this Article shall respect legitimate fishing activity and shall be proportionate, science-informed, and designed to avoid unnecessary barriers to lawful trade.</w:t>
      </w:r>
    </w:p>
    <w:p>
      <w:bookmarkStart w:id="1188" w:name="_NAESTMA_TOC_1188"/>
      <w:pPr>
        <w:pStyle w:val="Heading2"/>
        <w:keepNext/>
        <w:widowControl/>
        <w:rPr/>
      </w:pPr>
      <w:r>
        <w:rPr/>
        <w:t>Article 24.I: Marine Mammals, Acoustic Monitoring, and Vessel Interaction</w:t>
      </w:r>
      <w:bookmarkEnd w:id="1188"/>
    </w:p>
    <w:p>
      <w:pPr>
        <w:pStyle w:val="Normal"/>
        <w:widowControl/>
        <w:rPr/>
      </w:pPr>
      <w:r>
        <w:rPr/>
        <w:t>1. The Parties shall cooperate to reduce avoidable vessel strikes, entanglement, harmful underwater noise, and other anthropogenic risks to marine mammals and other protected marine species.</w:t>
      </w:r>
    </w:p>
    <w:p>
      <w:pPr>
        <w:pStyle w:val="Normal"/>
        <w:widowControl/>
        <w:rPr/>
      </w:pPr>
      <w:r>
        <w:rPr/>
        <w:t>2. Cooperative measures may include passive acoustic monitoring, satellite and sensor integration, interoperable sightings data, dynamic risk notices, stranding and rescue coordination, gear-modification research, and evidence-based navigation or speed measures adopted by competent authorities.</w:t>
      </w:r>
    </w:p>
    <w:p>
      <w:pPr>
        <w:pStyle w:val="Normal"/>
        <w:widowControl/>
        <w:rPr/>
      </w:pPr>
      <w:r>
        <w:rPr/>
        <w:t>3. Automated detection, artificial-intelligence-assisted identification, acoustic warning, and other emerging systems may be tested under the Experimental Technology Pathway and shall not be treated as validated solely on the basis of simulation.</w:t>
      </w:r>
    </w:p>
    <w:p>
      <w:pPr>
        <w:pStyle w:val="Normal"/>
        <w:widowControl/>
        <w:rPr/>
      </w:pPr>
      <w:r>
        <w:rPr/>
        <w:t>4. Nothing in this Article predetermines the designation of a shipping lane, protected area, closure, or mandatory vessel restriction; such measures remain subject to applicable domestic and international law.</w:t>
      </w:r>
    </w:p>
    <w:p>
      <w:bookmarkStart w:id="1189" w:name="_NAESTMA_TOC_1189"/>
      <w:pPr>
        <w:pStyle w:val="Heading2"/>
        <w:keepNext/>
        <w:widowControl/>
        <w:rPr/>
      </w:pPr>
      <w:r>
        <w:rPr/>
        <w:t>Article 24.J: Coastal Habitat, Blue Carbon, and Nature-Based Resilience</w:t>
      </w:r>
      <w:bookmarkEnd w:id="1189"/>
    </w:p>
    <w:p>
      <w:pPr>
        <w:pStyle w:val="Normal"/>
        <w:widowControl/>
        <w:rPr/>
      </w:pPr>
      <w:r>
        <w:rPr/>
        <w:t>1. The Parties may cooperate on restoration and protection of salt marshes, seagrass, kelp forests, mangroves where present, dunes, wetlands, estuaries, reefs, and other coastal habitats that provide biodiversity, fisheries, erosion-control, water-quality, storm-resilience, or climate benefits.</w:t>
      </w:r>
    </w:p>
    <w:p>
      <w:pPr>
        <w:pStyle w:val="Normal"/>
        <w:widowControl/>
        <w:rPr/>
      </w:pPr>
      <w:r>
        <w:rPr/>
        <w:t>2. Programs may include habitat mapping, restoration demonstrations, invasive-species control, shoreline stabilization, species recovery, community stewardship, and Indigenous-led conservation consistent with domestic law and rights.</w:t>
      </w:r>
    </w:p>
    <w:p>
      <w:pPr>
        <w:pStyle w:val="Normal"/>
        <w:widowControl/>
        <w:rPr/>
      </w:pPr>
      <w:r>
        <w:rPr/>
        <w:t>3. Carbon-removal or offset credit shall not be awarded solely on the basis of gross biomass growth or short-term carbon uptake. Any crediting methodology shall address additionality, permanence, leakage, measurement uncertainty, harvest fate, and durable sequestration.</w:t>
      </w:r>
    </w:p>
    <w:p>
      <w:pPr>
        <w:pStyle w:val="Normal"/>
        <w:widowControl/>
        <w:rPr/>
      </w:pPr>
      <w:r>
        <w:rPr/>
        <w:t>4. Habitat restoration may be recognized for multiple verified benefits without double counting the same environmental outcome.</w:t>
      </w:r>
    </w:p>
    <w:p>
      <w:bookmarkStart w:id="1190" w:name="_NAESTMA_TOC_1190"/>
      <w:pPr>
        <w:pStyle w:val="Heading2"/>
        <w:keepNext/>
        <w:widowControl/>
        <w:rPr/>
      </w:pPr>
      <w:r>
        <w:rPr/>
        <w:t>Article 24.K: Blue Bioeconomy and Marine Biomaterials</w:t>
      </w:r>
      <w:bookmarkEnd w:id="1190"/>
    </w:p>
    <w:p>
      <w:pPr>
        <w:pStyle w:val="Normal"/>
        <w:widowControl/>
        <w:rPr/>
      </w:pPr>
      <w:r>
        <w:rPr/>
        <w:t>1. The Parties shall facilitate responsible development of marine biomass industries, including kelp and other seaweeds, where consistent with ecological protection, food safety, navigation, fisheries management, Indigenous rights, and coastal-use requirements.</w:t>
      </w:r>
    </w:p>
    <w:p>
      <w:pPr>
        <w:pStyle w:val="Normal"/>
        <w:widowControl/>
        <w:rPr/>
      </w:pPr>
      <w:r>
        <w:rPr/>
        <w:t>2. Eligible cooperation may include seed and nursery research; breeding and cultivation methods; farm and ecosystem monitoring; processing and cold-chain infrastructure; product standards; market information; workforce development; and interoperability of import, export, and certification requirements.</w:t>
      </w:r>
    </w:p>
    <w:p>
      <w:pPr>
        <w:pStyle w:val="Normal"/>
        <w:widowControl/>
        <w:rPr/>
      </w:pPr>
      <w:r>
        <w:rPr/>
        <w:t>3. Research and demonstration may address marine-derived agricultural biostimulants, food and feed ingredients, biodegradable packaging, fibres, nanocellulose, industrial materials, nutraceutical and pharmaceutical precursors, nutrient recovery, and other validated applications.</w:t>
      </w:r>
    </w:p>
    <w:p>
      <w:pPr>
        <w:pStyle w:val="Normal"/>
        <w:widowControl/>
        <w:rPr/>
      </w:pPr>
      <w:r>
        <w:rPr/>
        <w:t>4. Marine-derived agricultural inputs shall be represented according to demonstrated function and shall not be treated as complete substitutes for conventional fertilizers unless evidence establishes such performance.</w:t>
      </w:r>
    </w:p>
    <w:p>
      <w:pPr>
        <w:pStyle w:val="Normal"/>
        <w:widowControl/>
        <w:rPr/>
      </w:pPr>
      <w:r>
        <w:rPr/>
        <w:t>5. Indigenous and coastal-community participation, ownership, stewardship, and benefit-sharing models may be supported consistent with domestic law.</w:t>
      </w:r>
    </w:p>
    <w:p>
      <w:pPr>
        <w:pStyle w:val="Normal"/>
        <w:widowControl/>
        <w:rPr/>
      </w:pPr>
      <w:r>
        <w:rPr/>
        <w:t>6. Kelp or other marine biomass carbon claims shall remain research or methodology-development activities until verified under Article 24.J.3.</w:t>
      </w:r>
    </w:p>
    <w:p>
      <w:bookmarkStart w:id="1191" w:name="_NAESTMA_TOC_1191"/>
      <w:pPr>
        <w:pStyle w:val="Heading2"/>
        <w:keepNext/>
        <w:widowControl/>
        <w:rPr/>
      </w:pPr>
      <w:r>
        <w:rPr/>
        <w:t>Article 24.L: Water, Watershed, and Aquatic Resilience</w:t>
      </w:r>
      <w:bookmarkEnd w:id="1191"/>
    </w:p>
    <w:p>
      <w:pPr>
        <w:pStyle w:val="Normal"/>
        <w:widowControl/>
        <w:rPr/>
      </w:pPr>
      <w:r>
        <w:rPr/>
        <w:t>1. The Parties shall strengthen cooperation concerning shared watersheds, lakes, rivers, aquifers, estuaries, coastal waters, and water-dependent ecosystems, while preserving existing treaty rights and domestic water authorities.</w:t>
      </w:r>
    </w:p>
    <w:p>
      <w:pPr>
        <w:pStyle w:val="Normal"/>
        <w:widowControl/>
        <w:rPr/>
      </w:pPr>
      <w:r>
        <w:rPr/>
        <w:t>2. Priority areas may include nutrient reduction, harmful algal bloom prevention, stormwater management, water reuse, drought resilience, wastewater innovation, watershed restoration, aquatic invasive species, ballast-water biosecurity, and pollution monitoring.</w:t>
      </w:r>
    </w:p>
    <w:p>
      <w:pPr>
        <w:pStyle w:val="Normal"/>
        <w:widowControl/>
        <w:rPr/>
      </w:pPr>
      <w:r>
        <w:rPr/>
        <w:t>3. The Parties may cooperate on desalination research, energy-efficient water treatment, brine minimization, resource recovery, and zero- or minimal-liquid-discharge technologies through existing programs and the Experimental Technology Pathway.</w:t>
      </w:r>
    </w:p>
    <w:p>
      <w:pPr>
        <w:pStyle w:val="Normal"/>
        <w:widowControl/>
        <w:rPr/>
      </w:pPr>
      <w:r>
        <w:rPr/>
        <w:t>4. Nothing in this Article creates a right to the water resources of another Party, alters existing water-allocation agreements, or requires bulk water export.</w:t>
      </w:r>
    </w:p>
    <w:p>
      <w:bookmarkStart w:id="1192" w:name="_NAESTMA_TOC_1192"/>
      <w:pPr>
        <w:pStyle w:val="Heading2"/>
        <w:keepNext/>
        <w:widowControl/>
        <w:rPr/>
      </w:pPr>
      <w:r>
        <w:rPr/>
        <w:t>Article 24.M: Brine Resource Recovery and Desalination Innovation</w:t>
      </w:r>
      <w:bookmarkEnd w:id="1192"/>
    </w:p>
    <w:p>
      <w:pPr>
        <w:pStyle w:val="Normal"/>
        <w:widowControl/>
        <w:rPr/>
      </w:pPr>
      <w:r>
        <w:rPr/>
        <w:t>1. The Parties recognize that desalination and industrial brines may, where technically feasible and environmentally sound, contain recoverable water, minerals, chemical feedstocks, or energy value.</w:t>
      </w:r>
    </w:p>
    <w:p>
      <w:pPr>
        <w:pStyle w:val="Normal"/>
        <w:widowControl/>
        <w:rPr/>
      </w:pPr>
      <w:r>
        <w:rPr/>
        <w:t>2. Experimental work may examine selective mineral recovery, industrial chemical production, salinity-gradient energy, electrochemical storage, mineral carbonation, improved water recovery, and validated material applications.</w:t>
      </w:r>
    </w:p>
    <w:p>
      <w:pPr>
        <w:pStyle w:val="Normal"/>
        <w:widowControl/>
        <w:rPr/>
      </w:pPr>
      <w:r>
        <w:rPr/>
        <w:t>3. No brine-derived product shall receive environmental preference without assessment of contaminants, corrosion, leaching, salinity impacts, lifecycle energy use, residual disposal, and relevant structural or product-safety performance.</w:t>
      </w:r>
    </w:p>
    <w:p>
      <w:pPr>
        <w:pStyle w:val="Normal"/>
        <w:widowControl/>
        <w:rPr/>
      </w:pPr>
      <w:r>
        <w:rPr/>
        <w:t>4. Saline-agriculture, soil-remediation, construction-material, or carbon-removal claims shall be separately validated and shall not be presumed from the existence of a brine waste stream.</w:t>
      </w:r>
    </w:p>
    <w:p>
      <w:pPr>
        <w:pStyle w:val="Normal"/>
        <w:widowControl/>
        <w:rPr/>
      </w:pPr>
      <w:r>
        <w:rPr/>
        <w:t>5. The Parties should prioritize technologies that reduce both residual-disposal burden and freshwater demand without shifting material environmental harm to another medium or community.</w:t>
      </w:r>
    </w:p>
    <w:p>
      <w:bookmarkStart w:id="1193" w:name="_NAESTMA_TOC_1193"/>
      <w:pPr>
        <w:pStyle w:val="Heading2"/>
        <w:keepNext/>
        <w:widowControl/>
        <w:rPr/>
      </w:pPr>
      <w:r>
        <w:rPr/>
        <w:t>Article 24.N: Waste-to-Resource and Residual Valorization</w:t>
      </w:r>
      <w:bookmarkEnd w:id="1193"/>
    </w:p>
    <w:p>
      <w:pPr>
        <w:pStyle w:val="Normal"/>
        <w:widowControl/>
        <w:rPr/>
      </w:pPr>
      <w:r>
        <w:rPr/>
        <w:t>1. The Parties shall encourage identification, testing, validation, and, where economically proportionate and environmentally sound, productive reuse of industrial, mining, forestry, agricultural, fisheries, water-treatment, construction, manufacturing, and energy-system residual streams.</w:t>
      </w:r>
    </w:p>
    <w:p>
      <w:pPr>
        <w:pStyle w:val="Normal"/>
        <w:widowControl/>
        <w:rPr/>
      </w:pPr>
      <w:r>
        <w:rPr/>
        <w:t>2. Priority may be given to applications that reduce disposal or remediation liabilities, substitute for virgin material extraction, strengthen North American supply chains, improve resilience, recover strategic materials, or produce measurable environmental benefit.</w:t>
      </w:r>
    </w:p>
    <w:p>
      <w:pPr>
        <w:pStyle w:val="Normal"/>
        <w:widowControl/>
        <w:rPr/>
      </w:pPr>
      <w:r>
        <w:rPr/>
        <w:t>3. Candidate streams may include mine tailings, slag, fly ash, crusher fines, forestry residues, agricultural residues, recovered fishing gear, plastics, batteries, electronic waste, wastewater constituents, desalination brine, waste heat, and other residual materials.</w:t>
      </w:r>
    </w:p>
    <w:p>
      <w:pPr>
        <w:pStyle w:val="Normal"/>
        <w:widowControl/>
        <w:rPr/>
      </w:pPr>
      <w:r>
        <w:rPr/>
        <w:t>4. Residual-derived products shall satisfy applicable health, safety, environmental, engineering, and product-performance requirements. Recycling status alone does not establish safety or sustainability.</w:t>
      </w:r>
    </w:p>
    <w:p>
      <w:pPr>
        <w:pStyle w:val="Normal"/>
        <w:widowControl/>
        <w:rPr/>
      </w:pPr>
      <w:r>
        <w:rPr/>
        <w:t>5. Feasibility and lifecycle assessment may account for avoided storage, monitoring, remediation, transport, disposal, and virgin-material costs, while avoiding double counting.</w:t>
      </w:r>
    </w:p>
    <w:p>
      <w:pPr>
        <w:pStyle w:val="Normal"/>
        <w:widowControl/>
        <w:rPr/>
      </w:pPr>
      <w:r>
        <w:rPr/>
        <w:t>6. A residual stream should be treated as a disposal problem only until a safe, validated, lawful, and economically sensible recovery pathway is demonstrated.</w:t>
      </w:r>
    </w:p>
    <w:p>
      <w:bookmarkStart w:id="1194" w:name="_NAESTMA_TOC_1194"/>
      <w:pPr>
        <w:pStyle w:val="Heading2"/>
        <w:keepNext/>
        <w:widowControl/>
        <w:rPr/>
      </w:pPr>
      <w:r>
        <w:rPr/>
        <w:t>Article 24.O: Circular Materials and Industrial Symbiosis</w:t>
      </w:r>
      <w:bookmarkEnd w:id="1194"/>
    </w:p>
    <w:p>
      <w:pPr>
        <w:pStyle w:val="Normal"/>
        <w:widowControl/>
        <w:rPr/>
      </w:pPr>
      <w:r>
        <w:rPr/>
        <w:t>1. The Parties shall promote circular production systems in which recoverable materials, water, energy, heat, or by-products from one process may serve as validated inputs to another.</w:t>
      </w:r>
    </w:p>
    <w:p>
      <w:pPr>
        <w:pStyle w:val="Normal"/>
        <w:widowControl/>
        <w:rPr/>
      </w:pPr>
      <w:r>
        <w:rPr/>
        <w:t>2. Cooperation may include battery and solar-panel recycling; e-waste recovery; packaging reduction and recovery; recycled steel and aluminum; low-impact cement and concrete; industrial water efficiency; material passports; secondary-material quality standards; and industrial symbiosis demonstrations.</w:t>
      </w:r>
    </w:p>
    <w:p>
      <w:pPr>
        <w:pStyle w:val="Normal"/>
        <w:widowControl/>
        <w:rPr/>
      </w:pPr>
      <w:r>
        <w:rPr/>
        <w:t>3. The Parties shall seek interoperability of recycled-content and recovered-material methodologies where doing so reduces duplicative compliance without lowering safety or environmental protection.</w:t>
      </w:r>
    </w:p>
    <w:p>
      <w:pPr>
        <w:pStyle w:val="Normal"/>
        <w:widowControl/>
        <w:rPr/>
      </w:pPr>
      <w:r>
        <w:rPr/>
        <w:t>4. Industrial symbiosis projects may combine digital infrastructure, energy systems, water treatment, heat recovery, resource recovery, and manufacturing where independent assessment demonstrates net lifecycle and resilience benefits.</w:t>
      </w:r>
    </w:p>
    <w:p>
      <w:pPr>
        <w:pStyle w:val="Normal"/>
        <w:widowControl/>
        <w:rPr/>
      </w:pPr>
      <w:r>
        <w:rPr/>
        <w:t>5. Participation remains technology-neutral and does not constitute government endorsement of a particular proprietary or donated architecture.</w:t>
      </w:r>
    </w:p>
    <w:p>
      <w:bookmarkStart w:id="1195" w:name="_NAESTMA_TOC_1195"/>
      <w:pPr>
        <w:pStyle w:val="Heading2"/>
        <w:keepNext/>
        <w:widowControl/>
        <w:rPr/>
      </w:pPr>
      <w:r>
        <w:rPr/>
        <w:t>Article 24.P: Critical Minerals and Sustainable Mining</w:t>
      </w:r>
      <w:bookmarkEnd w:id="1195"/>
    </w:p>
    <w:p>
      <w:pPr>
        <w:pStyle w:val="Normal"/>
        <w:widowControl/>
        <w:rPr/>
      </w:pPr>
      <w:r>
        <w:rPr/>
        <w:t>1. The Parties shall cooperate to improve environmental performance, traceability, circularity, and community confidence in North American critical-mineral exploration, extraction, processing, refining, recycling, and recovery.</w:t>
      </w:r>
    </w:p>
    <w:p>
      <w:pPr>
        <w:pStyle w:val="Normal"/>
        <w:widowControl/>
        <w:rPr/>
      </w:pPr>
      <w:r>
        <w:rPr/>
        <w:t>2. Cooperation may include watershed protection, tailings management, reclamation and financial assurance, methane or other emissions reduction where relevant, recycled-content recognition, processing innovation, emergency response, and transparent environmental data.</w:t>
      </w:r>
    </w:p>
    <w:p>
      <w:pPr>
        <w:pStyle w:val="Normal"/>
        <w:widowControl/>
        <w:rPr/>
      </w:pPr>
      <w:r>
        <w:rPr/>
        <w:t>3. For proposed activities with plausible material transboundary watershed effects, competent authorities should provide timely notice and opportunity for technical consultation consistent with domestic law.</w:t>
      </w:r>
    </w:p>
    <w:p>
      <w:pPr>
        <w:pStyle w:val="Normal"/>
        <w:widowControl/>
        <w:rPr/>
      </w:pPr>
      <w:r>
        <w:rPr/>
        <w:t>4. Environmental certification or trusted-supply recognition shall rely on objective, published criteria and shall not operate as a disguised Party-specific quota or barrier.</w:t>
      </w:r>
    </w:p>
    <w:p>
      <w:pPr>
        <w:pStyle w:val="Normal"/>
        <w:widowControl/>
        <w:rPr/>
      </w:pPr>
      <w:r>
        <w:rPr/>
        <w:t>5. Strategic-reserve cooperation may be pursued voluntarily and does not require common ownership or mandatory physical stockpiles.</w:t>
      </w:r>
    </w:p>
    <w:p>
      <w:bookmarkStart w:id="1196" w:name="_NAESTMA_TOC_1196"/>
      <w:pPr>
        <w:pStyle w:val="Heading2"/>
        <w:keepNext/>
        <w:widowControl/>
        <w:rPr/>
      </w:pPr>
      <w:r>
        <w:rPr/>
        <w:t>Article 24.Q: Clean Energy, Grid, and Industrial Decarbonization Interoperability</w:t>
      </w:r>
      <w:bookmarkEnd w:id="1196"/>
    </w:p>
    <w:p>
      <w:pPr>
        <w:pStyle w:val="Normal"/>
        <w:widowControl/>
        <w:rPr/>
      </w:pPr>
      <w:r>
        <w:rPr/>
        <w:t>1. The Parties may deepen cooperation on cross-border electricity reliability, transmission, smart-grid interoperability, energy storage, emergency power sharing, charging infrastructure, hydrogen certification, methane reduction, carbon management, geothermal technology, renewable integration, and other clean-energy systems.</w:t>
      </w:r>
    </w:p>
    <w:p>
      <w:pPr>
        <w:pStyle w:val="Normal"/>
        <w:widowControl/>
        <w:rPr/>
      </w:pPr>
      <w:r>
        <w:rPr/>
        <w:t>2. Cooperation shall preserve each Party's authority over its energy mix, utility regulation, resource development, nuclear policy, environmental review, and project approval.</w:t>
      </w:r>
    </w:p>
    <w:p>
      <w:pPr>
        <w:pStyle w:val="Normal"/>
        <w:widowControl/>
        <w:rPr/>
      </w:pPr>
      <w:r>
        <w:rPr/>
        <w:t>3. Technical work may include interoperable charging standards, grid-support protocols, clean-power attribute recognition, lifecycle methodologies, hydrogen measurement, methane detection, carbon-capture monitoring, and recycling of energy-system materials.</w:t>
      </w:r>
    </w:p>
    <w:p>
      <w:pPr>
        <w:pStyle w:val="Normal"/>
        <w:widowControl/>
        <w:rPr/>
      </w:pPr>
      <w:r>
        <w:rPr/>
        <w:t>4. Carbon capture, direct air capture, hydrogen, geothermal, long-duration storage, advanced recycling, and other emerging technologies may proceed through iterative experimentation under the Experimental Technology Pathway.</w:t>
      </w:r>
    </w:p>
    <w:p>
      <w:pPr>
        <w:pStyle w:val="Normal"/>
        <w:widowControl/>
        <w:rPr/>
      </w:pPr>
      <w:r>
        <w:rPr/>
        <w:t>5. Nothing in this Article requires a common carbon price, continental carbon market, mandatory renewable quota, or approval of a specific generation or transmission project.</w:t>
      </w:r>
    </w:p>
    <w:p>
      <w:bookmarkStart w:id="1197" w:name="_NAESTMA_TOC_1197"/>
      <w:pPr>
        <w:pStyle w:val="Heading2"/>
        <w:keepNext/>
        <w:widowControl/>
        <w:rPr/>
      </w:pPr>
      <w:r>
        <w:rPr/>
        <w:t>Article 24.R: Sustainable Freight, Ports, Aviation, and Trade Infrastructure</w:t>
      </w:r>
      <w:bookmarkEnd w:id="1197"/>
    </w:p>
    <w:p>
      <w:pPr>
        <w:pStyle w:val="Normal"/>
        <w:widowControl/>
        <w:rPr/>
      </w:pPr>
      <w:r>
        <w:rPr/>
        <w:t>1. The Parties may cooperate to reduce environmental impacts and improve resilience of ports, railways, inland shipping, airports, trucking corridors, and border logistics.</w:t>
      </w:r>
    </w:p>
    <w:p>
      <w:pPr>
        <w:pStyle w:val="Normal"/>
        <w:widowControl/>
        <w:rPr/>
      </w:pPr>
      <w:r>
        <w:rPr/>
        <w:t>2. Eligible work may include green-shipping corridors, port electrification, shore power, rail efficiency or electrification where viable, low-emission freight technologies, sustainable aviation fuel interoperability, charging and fueling infrastructure, logistics-emissions measurement, and noise mitigation.</w:t>
      </w:r>
    </w:p>
    <w:p>
      <w:pPr>
        <w:pStyle w:val="Normal"/>
        <w:widowControl/>
        <w:rPr/>
      </w:pPr>
      <w:r>
        <w:rPr/>
        <w:t>3. Standards and certification should be interoperable where practicable, technology-neutral, and designed to avoid unnecessary duplication.</w:t>
      </w:r>
    </w:p>
    <w:p>
      <w:pPr>
        <w:pStyle w:val="Normal"/>
        <w:widowControl/>
        <w:rPr/>
      </w:pPr>
      <w:r>
        <w:rPr/>
        <w:t>4. Environmental performance programs shall not condition ordinary preferential tariff treatment on participation in a voluntary green-freight or emissions-labeling scheme unless expressly provided elsewhere in this Agreement.</w:t>
      </w:r>
    </w:p>
    <w:p>
      <w:bookmarkStart w:id="1198" w:name="_NAESTMA_TOC_1198"/>
      <w:pPr>
        <w:pStyle w:val="Heading2"/>
        <w:keepNext/>
        <w:widowControl/>
        <w:rPr/>
      </w:pPr>
      <w:r>
        <w:rPr/>
        <w:t>Article 24.S: Transboundary Pollution and Environmental Emergency Response</w:t>
      </w:r>
      <w:bookmarkEnd w:id="1198"/>
    </w:p>
    <w:p>
      <w:pPr>
        <w:pStyle w:val="Normal"/>
        <w:widowControl/>
        <w:rPr/>
      </w:pPr>
      <w:r>
        <w:rPr/>
        <w:t>1. Building on Article 58.9, the Parties shall maintain interoperable procedures for rapid notification, scientific information exchange, containment, assistance, and recovery following major oil spills, chemical releases, mine or tailings incidents, industrial accidents, water contamination, marine pollution, or other environmental emergencies with plausible transboundary effects.</w:t>
      </w:r>
    </w:p>
    <w:p>
      <w:pPr>
        <w:pStyle w:val="Normal"/>
        <w:widowControl/>
        <w:rPr/>
      </w:pPr>
      <w:r>
        <w:rPr/>
        <w:t>2. Procedures should identify competent contact points, information categories, emergency communication channels, mutual-assistance options, and post-incident review without establishing a new standing body where existing mechanisms suffice.</w:t>
      </w:r>
    </w:p>
    <w:p>
      <w:pPr>
        <w:pStyle w:val="Normal"/>
        <w:widowControl/>
        <w:rPr/>
      </w:pPr>
      <w:r>
        <w:rPr/>
        <w:t>3. A good-faith emergency response, request for assistance, or accidental transboundary event shall not by itself constitute an admission of legal liability or a trade violation.</w:t>
      </w:r>
    </w:p>
    <w:p>
      <w:pPr>
        <w:pStyle w:val="Normal"/>
        <w:widowControl/>
        <w:rPr/>
      </w:pPr>
      <w:r>
        <w:rPr/>
        <w:t>4. Deliberate concealment, falsification of required environmental information, or persistent refusal to comply with a binding notification obligation may be addressed through the verification and dispute provisions of this Agreement.</w:t>
      </w:r>
    </w:p>
    <w:p>
      <w:bookmarkStart w:id="1199" w:name="_NAESTMA_TOC_1199"/>
      <w:pPr>
        <w:pStyle w:val="Heading2"/>
        <w:keepNext/>
        <w:widowControl/>
        <w:rPr/>
      </w:pPr>
      <w:r>
        <w:rPr/>
        <w:t>Article 24.T: Environmental Experimental Technology and Iterative Validation</w:t>
      </w:r>
      <w:bookmarkEnd w:id="1199"/>
    </w:p>
    <w:p>
      <w:pPr>
        <w:pStyle w:val="Normal"/>
        <w:widowControl/>
        <w:rPr/>
      </w:pPr>
      <w:r>
        <w:rPr/>
        <w:t>1. Environmental and resilience technologies may use the Experimental Technology Pathway established elsewhere in this Agreement, including donated, public-domain, academic, Indigenous, commercial, governmental, and independently developed concepts.</w:t>
      </w:r>
    </w:p>
    <w:p>
      <w:pPr>
        <w:pStyle w:val="Normal"/>
        <w:widowControl/>
        <w:rPr/>
      </w:pPr>
      <w:r>
        <w:rPr/>
        <w:t>2. Development should ordinarily proceed through feasibility assessment, modelling where appropriate, prototype or bench testing, diagnosis, material redesign, retesting, demonstration, independent validation, and optional deployment.</w:t>
      </w:r>
    </w:p>
    <w:p>
      <w:pPr>
        <w:pStyle w:val="Normal"/>
        <w:widowControl/>
        <w:rPr/>
      </w:pPr>
      <w:r>
        <w:rPr/>
        <w:t>3. An initial unsuccessful test does not establish technological infeasibility. Where review identifies a credible corrective hypothesis, additional iterations may proceed.</w:t>
      </w:r>
    </w:p>
    <w:p>
      <w:pPr>
        <w:pStyle w:val="Normal"/>
        <w:widowControl/>
        <w:rPr/>
      </w:pPr>
      <w:r>
        <w:rPr/>
        <w:t>4. Each Experimental Development Plan shall establish a cost- and risk-proportionate Revalidation Threshold. After repeated material unsuccessful iterations, expensive physical development shall pause until a software, computational, digital-twin, hardware-in-the-loop, component, laboratory, analytical, or other technically appropriate demonstration establishes a credible revised pathway.</w:t>
      </w:r>
    </w:p>
    <w:p>
      <w:pPr>
        <w:pStyle w:val="Normal"/>
        <w:widowControl/>
        <w:rPr/>
      </w:pPr>
      <w:r>
        <w:rPr/>
        <w:t>5. Where no sufficiently validated software or computational method exists for the relevant failure mode, an appropriate reduced-scale physical or analytical demonstration may satisfy the Revalidation Gate.</w:t>
      </w:r>
    </w:p>
    <w:p>
      <w:pPr>
        <w:pStyle w:val="Normal"/>
        <w:widowControl/>
        <w:rPr/>
      </w:pPr>
      <w:r>
        <w:rPr/>
        <w:t>6. A materially different technical approach may begin a new iteration sequence where independent review finds that it changes the mechanism responsible for prior failures rather than merely relabeling the unsuccessful configuration.</w:t>
      </w:r>
    </w:p>
    <w:p>
      <w:pPr>
        <w:pStyle w:val="Normal"/>
        <w:widowControl/>
        <w:rPr/>
      </w:pPr>
      <w:r>
        <w:rPr/>
        <w:t>7. A project may conclude in good standing when evidence shows that further development is unlikely to justify expected cost, risk, or benefit. Useful derivative materials, components, processes, software, or methods may continue independently.</w:t>
      </w:r>
    </w:p>
    <w:p>
      <w:pPr>
        <w:pStyle w:val="Normal"/>
        <w:widowControl/>
        <w:rPr/>
      </w:pPr>
      <w:r>
        <w:rPr/>
        <w:t>8. Experimental status is not certification, procurement commitment, commercial guarantee, or government endorsement.</w:t>
      </w:r>
    </w:p>
    <w:p>
      <w:bookmarkStart w:id="1200" w:name="_NAESTMA_TOC_1200"/>
      <w:pPr>
        <w:pStyle w:val="Heading2"/>
        <w:keepNext/>
        <w:widowControl/>
        <w:rPr/>
      </w:pPr>
      <w:r>
        <w:rPr/>
        <w:t>Article 24.U: Environmental Data, Verification, and Anti-Greenwashing</w:t>
      </w:r>
      <w:bookmarkEnd w:id="1200"/>
    </w:p>
    <w:p>
      <w:pPr>
        <w:pStyle w:val="Normal"/>
        <w:widowControl/>
        <w:rPr/>
      </w:pPr>
      <w:r>
        <w:rPr/>
        <w:t>1. Environmental claims used to obtain a trade preference, procurement advantage, certification benefit, credit, or other treatment under this Agreement shall be supported by proportionate and auditable evidence.</w:t>
      </w:r>
    </w:p>
    <w:p>
      <w:pPr>
        <w:pStyle w:val="Normal"/>
        <w:widowControl/>
        <w:rPr/>
      </w:pPr>
      <w:r>
        <w:rPr/>
        <w:t>2. The Parties shall seek to reuse existing verified data, protect confidential business information and Indigenous knowledge, and avoid duplicative reporting.</w:t>
      </w:r>
    </w:p>
    <w:p>
      <w:pPr>
        <w:pStyle w:val="Normal"/>
        <w:widowControl/>
        <w:rPr/>
      </w:pPr>
      <w:r>
        <w:rPr/>
        <w:t>3. Carbon, biodiversity, recycled-content, clean-power, sustainable-fisheries, and similar claims shall use transparent methodologies appropriate to the claim and shall address material uncertainty and double counting.</w:t>
      </w:r>
    </w:p>
    <w:p>
      <w:pPr>
        <w:pStyle w:val="Normal"/>
        <w:widowControl/>
        <w:rPr/>
      </w:pPr>
      <w:r>
        <w:rPr/>
        <w:t>4. Screening indicators create a basis for inquiry, not a presumption of violation. Adverse legal consequences require an affirmative finding on the full record under the applicable procedure.</w:t>
      </w:r>
    </w:p>
    <w:p>
      <w:pPr>
        <w:pStyle w:val="Normal"/>
        <w:widowControl/>
        <w:rPr/>
      </w:pPr>
      <w:r>
        <w:rPr/>
        <w:t>5. The Parties may improve interoperability of environmental data and digital traceability through existing institutions and technical bodies.</w:t>
      </w:r>
    </w:p>
    <w:p>
      <w:bookmarkStart w:id="1201" w:name="_NAESTMA_TOC_1201"/>
      <w:pPr>
        <w:pStyle w:val="Heading2"/>
        <w:keepNext/>
        <w:widowControl/>
        <w:rPr/>
      </w:pPr>
      <w:r>
        <w:rPr/>
        <w:t>Article 24.V: Implementation Through Existing Institutions</w:t>
      </w:r>
      <w:bookmarkEnd w:id="1201"/>
    </w:p>
    <w:p>
      <w:pPr>
        <w:pStyle w:val="Normal"/>
        <w:widowControl/>
        <w:rPr/>
      </w:pPr>
      <w:r>
        <w:rPr/>
        <w:t>1. Articles 24.F through 24.U shall be implemented, to the maximum extent practicable, through the Environment Committee, the Commission for Environmental Cooperation, existing fisheries and marine mechanisms, customs and border agencies, emergency-management authorities, energy and infrastructure mechanisms established elsewhere in this Agreement, and competent domestic authorities.</w:t>
      </w:r>
    </w:p>
    <w:p>
      <w:pPr>
        <w:pStyle w:val="Normal"/>
        <w:widowControl/>
        <w:rPr/>
      </w:pPr>
      <w:r>
        <w:rPr/>
        <w:t>2. No new standing council, secretariat, registry authority, incubator, task force, or fund is created by these Articles unless the Parties expressly establish one through the amendment or implementation procedures of this Agreement after determining that existing institutions cannot efficiently perform the function.</w:t>
      </w:r>
    </w:p>
    <w:p>
      <w:pPr>
        <w:pStyle w:val="Normal"/>
        <w:widowControl/>
        <w:rPr/>
      </w:pPr>
      <w:r>
        <w:rPr/>
        <w:t>3. Cooperative projects may use existing grants, procurement authorities, public-private arrangements, research programs, universities, laboratories, Indigenous institutions, and other lawful mechanisms.</w:t>
      </w:r>
    </w:p>
    <w:p>
      <w:pPr>
        <w:pStyle w:val="Normal"/>
        <w:widowControl/>
        <w:rPr/>
      </w:pPr>
      <w:r>
        <w:rPr/>
        <w:t>4. Participation in a cooperative or experimental project does not alter constitutional allocations of authority or compel an appropriation of public funds.</w:t>
      </w:r>
      <w:r>
        <w:br w:type="page"/>
      </w:r>
    </w:p>
    <w:p>
      <w:bookmarkStart w:id="1202" w:name="_NAESTMA_TOC_1202"/>
      <w:pPr>
        <w:pStyle w:val="Heading1"/>
        <w:keepNext/>
        <w:keepLines w:val="0"/>
        <w:pageBreakBefore/>
        <w:widowControl/>
        <w:rPr/>
      </w:pPr>
      <w:bookmarkStart w:id="86" w:name="_Toc237912563"/>
      <w:r>
        <w:rPr/>
        <w:t>CHAPTER 25 SMALL AND MEDIUM-SIZED ENTERPRISES</w:t>
      </w:r>
      <w:bookmarkEnd w:id="86"/>
      <w:bookmarkEnd w:id="1202"/>
    </w:p>
    <w:p>
      <w:pPr>
        <w:pStyle w:val="Normal"/>
        <w:widowControl/>
        <w:rPr/>
      </w:pPr>
      <w:r>
        <w:rPr/>
        <w:t>Article 25.1: General Principles 1. The Parties, recognizing the fundamental role of SMEs in maintaining dynamism and enhancing competitiveness of their respective economies, shall foster close cooperation between SMEs of the Parties and cooperate in promoting jobs and growth in SMEs. 2. The Parties recognize the integral role of the private sector in the SME cooperation to be implemented under this Chapter.</w:t>
      </w:r>
    </w:p>
    <w:p>
      <w:pPr>
        <w:pStyle w:val="Normal"/>
        <w:keepNext w:val="true"/>
        <w:widowControl/>
        <w:rPr/>
      </w:pPr>
      <w:r>
        <w:rPr/>
        <w:t>Article 25.2: Cooperation to Increase Trade and Investment Opportunities for SMEs With a view to more robust cooperation between the Parties to enhance commercial opportunities for SMEs, and among other efforts, in the context of Memoranda of Understanding that exist between Parties on SME cooperation, each Party shall seek to increase trade and investment opportunities, and in particular shall: (a) promote cooperation between the Parties’ small business support infrastructure, including dedicated SME centers, incubators and accelerators, export assistance centers, and other centers as appropriate, to create an international network for sharing best practices, exchanging market research, and promoting SME participation in international trade, as well as business growth in local markets; (b) strengthen its collaboration with the other Parties on activities to promote SMEs owned by under-represented groups, including women, indigenous peoples, youth and minorities, as well as start-ups, agricultural and rural SMEs, and promote partnership among these SMEs and their participation in international trade;</w:t>
      </w:r>
    </w:p>
    <w:p>
      <w:pPr>
        <w:pStyle w:val="Normal"/>
        <w:widowControl/>
        <w:rPr/>
      </w:pPr>
      <w:r>
        <w:rPr/>
        <w:t>(c) enhance its cooperation with the other Parties to exchange information and best practices in areas including improving SME access to capital and credit, SME participation in covered government procurement opportunities, and helping SMEs adapt to changing market conditions; and (d) encourage participation in platforms, such as web-based, for business entrepreneurs and</w:t>
      </w:r>
    </w:p>
    <w:p>
      <w:pPr>
        <w:pStyle w:val="Normal"/>
        <w:widowControl/>
        <w:rPr/>
      </w:pPr>
      <w:r>
        <w:rPr/>
        <w:t>counselors to share information and best practices to help SMEs link with international suppliers, buyers, and other potential business partners.</w:t>
      </w:r>
    </w:p>
    <w:p>
      <w:pPr>
        <w:pStyle w:val="Normal"/>
        <w:keepNext w:val="true"/>
        <w:widowControl/>
        <w:rPr/>
      </w:pPr>
      <w:r>
        <w:rPr/>
        <w:t>Article 25.3: Information Sharing 1. Each Party shall establish or maintain its own free, publicly accessible website containing information regarding this Agreement, including: (a) the text of this Agreement; (b) a summary of this Agreement; and (c) information designed for SMEs that contains: (i) a description of the provisions in this Agreement that the Party considers to be relevant to SMEs; and (ii) any additional information that would be useful for SMEs interested in benefitting from the opportunities provided by this Agreement. 2. Each Party shall include in its website links or information through automated electronic transfer to: (a) the equivalent websites of the other Parties; and (b) the websites of its own government agencies and other appropriate entities that provide information the Party considers useful to any person interested in trading, investing, or doing business in that Party’s territory. 3.</w:t>
      </w:r>
    </w:p>
    <w:p>
      <w:pPr>
        <w:pStyle w:val="Normal"/>
        <w:widowControl/>
        <w:rPr/>
      </w:pPr>
      <w:r>
        <w:rPr/>
        <w:t>The information described in paragraph 2(b) may include: (a) customs regulations, procedures, or enquiry points; (b) regulations or procedures concerning intellectual property rights; (c) technical regulations, standards, or conformity assessment procedures; (d) sanitary or phytosanitary measures relating to importation or exportation; (e) foreign investment regulations; (f) business registration procedures; (g) trade promotion programs; (h) competitiveness programs; (i) SME financing programs; (j) employment regulations; (k) taxation information; (l) information related to the temporary entry of business persons, as set out in Article 16.5 (Provision of Information); and (m) government procurement opportunities within the scope of Article 13.2 (Scope). 4. Each Party shall regularly review the information and links on the website referred to in paragraphs 1 and 2 to ensure the information and links are up-to-date and accurate. 5. To the extent possible, each Party shall make the information in this Article available in English. If this information is available in another authentic language of this Agreement, the Party shall endeavor to make this information available, as appropriate.</w:t>
      </w:r>
    </w:p>
    <w:p>
      <w:pPr>
        <w:pStyle w:val="Normal"/>
        <w:keepNext w:val="true"/>
        <w:widowControl/>
        <w:rPr/>
      </w:pPr>
      <w:r>
        <w:rPr/>
        <w:t>Article 25.4: Committee on SME Issues 1. The Parties hereby establish the Committee on SME Issues (SME Committee), comprising government representatives of each Party. 2. The SME Committee shall: (a) identify ways to assist SMEs in the Parties’ territories to take advantage of the commercial opportunities resulting from this Agreement and to strengthen SME competitiveness; (b) identify and recommend ways for further cooperation between the Parties to develop and enhance partnerships between SMEs of the Parties; (c) exchange and discuss each Party’s experiences and best practices in supporting and assisting SME exporters with respect to, among other things, training programs, trade education, trade finance, trade missions, trade facilitation, digital trade, identifying commercial partners in the territories of the Parties, and establishing good business credentials; (d) develop and promote seminars, workshops, webinars, or other activities to inform SMEs of the benefits available to them under this Agreement; (e) explore opportunities to facilitate each Party’s work in developing and enhancing SME export counseling, assistance, and training programs;</w:t>
      </w:r>
    </w:p>
    <w:p>
      <w:pPr>
        <w:pStyle w:val="Normal"/>
        <w:widowControl/>
        <w:rPr/>
      </w:pPr>
      <w:r>
        <w:rPr/>
        <w:t>(f) recommend additional information that a Party may include on the website referred to in Article 25.3 (Information Sharing); (g) review and coordinate its work program with the work of other committees, working groups, and other subsidiary bodies established under this Agreement, as well as of other relevant international</w:t>
      </w:r>
    </w:p>
    <w:p>
      <w:pPr>
        <w:pStyle w:val="Normal"/>
        <w:widowControl/>
        <w:rPr/>
      </w:pPr>
      <w:r>
        <w:rPr/>
        <w:t>bodies, to avoid duplication of work programs and to identify appropriate opportunities for cooperation to improve the ability of SMEs to engage in trade and investment opportunities resulting from this Agreement; (h) collaborate with and encourage committees, working groups and other subsidiary bodies established under this Agreement to consider SME-related commitments and activities into their work; (i) review the implementation and operation of this Chapter and SME-related provisions within this Agreement and report findings and make recommendations to the Commission that can be included in future work and SME assistance programs as appropriate; (j) facilitate the development of programs to assist SMEs to participate and integrate effectively into the Parties’ regional and global supply chains; (k) promote the participation of SMEs in digital trade in order to take advantage of the opportunities resulting from this Agreement and rapidly access new markets; (l) facilitate the exchange of information on entrepreneurship education programs for youth and under-represented groups to promote the entrepreneurial environment in the territories of the Parties;</w:t>
      </w:r>
    </w:p>
    <w:p>
      <w:pPr>
        <w:pStyle w:val="Normal"/>
        <w:widowControl/>
        <w:rPr/>
      </w:pPr>
      <w:r>
        <w:rPr/>
        <w:t>(m) submit on an annual basis, unless the Parties decide otherwise, a report of its activities and make appropriate recommendations to the Commission; and (n) consider any other matter pertaining to SMEs as the SME Committee may decide, including issues raised by SMEs regarding their ability to benefit from this Agreement.</w:t>
      </w:r>
    </w:p>
    <w:p>
      <w:pPr>
        <w:pStyle w:val="Normal"/>
        <w:widowControl/>
        <w:rPr/>
      </w:pPr>
      <w:r>
        <w:rPr/>
        <w:t>3. The SME Committee shall convene within one year after the date of entry into force of this Agreement and thereafter meet annually, unless the Parties decide otherwise. 4. The SME Committee may seek to collaborate with appropriate experts and international donor organizations in carrying out its programs and activities.</w:t>
      </w:r>
    </w:p>
    <w:p>
      <w:pPr>
        <w:pStyle w:val="Normal"/>
        <w:keepNext w:val="true"/>
        <w:widowControl/>
        <w:rPr/>
      </w:pPr>
      <w:r>
        <w:rPr/>
        <w:t>Article 25.5: SME Dialogue 1. The SME Committee shall convene a Trilateral SME Dialogue (the “SME Dialogue”). The SME Dialogue may include private sector, employees, non-government organizations, academic experts, SMEs owned by diverse and under-represented groups, and other stakeholders from each Party. 2. The SME Committee shall convene the SME Dialogue annually, unless it decides otherwise. 3. SME Dialogue participants may provide views to the Committee on any matter within the scope of this Agreement and on the implementation and further modernization of this Agreement. 4. SME Dialogue participants may provide relevant technical, scientific, or other information to the Committee.</w:t>
      </w:r>
    </w:p>
    <w:p>
      <w:pPr>
        <w:pStyle w:val="Normal"/>
        <w:keepNext w:val="true"/>
        <w:widowControl/>
        <w:rPr/>
      </w:pPr>
      <w:r>
        <w:rPr/>
        <w:t>Article 25.6: Obligations in the Agreement that Benefit SMEs The Parties recognize that in addition to the provisions in this Chapter, there are provisions in other Chapters of this Agreement that seek to enhance cooperation among the Parties on SME issues or that otherwise may be of particular benefit to SMEs. These include: (a) Origin Procedures: Article 5.18 (Committee on Rules of Origin and Origin Procedures); (b) Government Procurement: Article 13.17 (Ensuring Integrity in Procurement Practices); Article 13.20 (Facilitation of Participation by SMEs), and Article 13.21 (Committee on Government Procurement); (c) Cross-Border Trade in Services: Article 15.10 (Small and Medium-Sized Enterprises); (d) Digital Trade: Article 19.17 (Interactive Computer Services); Article 19.18 (Open Government Data); (e) Intellectual Property: Article 20.B.3 (Committee on Intellectual Property Rights); (f) Labor: Article 23.12 (Cooperation); (g) Environment: Article 24.17 (Marine Wild Capture Fisheries); (h) Competitiveness: Article 26.1 (North American Competitiveness Committee); (i) Anticorruption: Article 27.5 (Participation of Private Sector and Society); and (j) Good Regulatory Practices: Article 28.4 (Internal Consultation, Coordination, and Review), Article 28.11 (Regulatory Impact Assessment), and Article 28.13 (Retrospective Review).</w:t>
      </w:r>
    </w:p>
    <w:p>
      <w:pPr>
        <w:pStyle w:val="Normal"/>
        <w:keepNext w:val="true"/>
        <w:widowControl/>
        <w:rPr/>
      </w:pPr>
      <w:r>
        <w:rPr/>
        <w:t>Article 25.7: Non-Application of Dispute Settlement No Party shall have recourse to dispute settlement under Chapter 31 (Dispute Settlement) for any matter arising under this Chapter.</w:t>
      </w:r>
      <w:r>
        <w:br w:type="page"/>
      </w:r>
    </w:p>
    <w:p>
      <w:bookmarkStart w:id="1203" w:name="_NAESTMA_TOC_1203"/>
      <w:pPr>
        <w:pStyle w:val="Heading1"/>
        <w:keepNext/>
        <w:keepLines w:val="0"/>
        <w:pageBreakBefore/>
        <w:widowControl/>
        <w:rPr/>
      </w:pPr>
      <w:bookmarkStart w:id="87" w:name="_Toc237912564"/>
      <w:r>
        <w:rPr/>
        <w:t>CHAPTER 26 COMPETITIVENESS</w:t>
      </w:r>
      <w:bookmarkEnd w:id="87"/>
      <w:bookmarkEnd w:id="1203"/>
    </w:p>
    <w:p>
      <w:pPr>
        <w:pStyle w:val="Normal"/>
        <w:widowControl/>
        <w:rPr/>
      </w:pPr>
      <w:r>
        <w:rPr/>
        <w:t>Article 26.1: North American Competitiveness Committee 1. Recognizing their unique economic and commercial ties, close proximity, and extensive trade flows across their borders, the Parties affirm their shared interest in strengthening regional economic growth, prosperity, and competitiveness. 2. With a view to promoting further economic integration among the Parties and enhancing the competitiveness of North American exports, the Parties hereby establish a North American Competitiveness Committee (Competitiveness Committee), composed of government representatives of each Party. 3. Each Party shall designate a contact point for the Competitiveness Committee, notify the other Parties of the contact point, and promptly notify the other Parties of any subsequent changes. Recognizing the need for a comprehensive and coordinated approach to enhance North American competitiveness, each Party’s contact point shall coordinate with its relevant government departments and agencies. 4. The Competitiveness Committee shall discuss and develop cooperative activities in support of a strong economic environment that incentivizes production in North America, facilitates regional trade and investment, enhances a predictable and transparent regulatory environment, encourages the swift movement of goods and the provision of services throughout the region, and responds to market developments and emerging technologies. 5.</w:t>
      </w:r>
    </w:p>
    <w:p>
      <w:pPr>
        <w:pStyle w:val="Normal"/>
        <w:widowControl/>
        <w:rPr/>
      </w:pPr>
      <w:r>
        <w:rPr/>
        <w:t>The Competitiveness Committee shall: (a) discuss effective approaches and develop information-sharing activities to support a competitive environment in North America that facilitates trade and investment between the Parties, and promotes economic integration and development within the free trade area; (b) explore ways to further assist traders of a Party to identify and take advantage of trade opportunities under this Agreement; (c) provide advice and recommendations, as appropriate, to the Commission on ways to further enhance the competitiveness of the North American economy, including recommendations aimed at enhancing the participation of SMEs, and enterprises owned by under-represented groups including women, indigenous peoples, youth, and minorities; (d) identify priority projects and policies to develop a modern physical and digital trade- and investment-related infrastructure, and improve the movement of goods and provision of services within the free trade area; (e) discuss collective action to combat market-distorting practices by non-Parties that are affecting the North American region; (f) promote cooperative activities for trade and investment between the Parties with respect to innovation and technology, including best practices in their application; and (g) engage in other activities as the Parties may decide. 6.</w:t>
      </w:r>
    </w:p>
    <w:p>
      <w:pPr>
        <w:pStyle w:val="Normal"/>
        <w:widowControl/>
        <w:rPr/>
      </w:pPr>
      <w:r>
        <w:rPr/>
        <w:t>The Competitiveness Committee shall meet within one year of the date of entry into force of this Agreement, and annually thereafter, unless the Parties decide otherwise. 7. The Competitiveness Committee shall develop a work plan to carry out its functions under paragraphs 4 and 5. The Committee shall submit a report to the Commission with the results that have been achieved under the work plan together with any advice and recommendations, if appropriate, on ways to further enhance the competitiveness of the North American economy. Each Party shall publish the work plan and report of the Committee. The Parties shall undertake the above activities on an annual basis, unless the Parties decide otherwise. 8. In carrying out its functions, the Committee may work with other committees, working groups, and any other subsidiary body established under this Agreement. The Committee may also seek advice from, and consider the work of, appropriate experts. The Committee shall ensure that it does not duplicate the activities of these other bodies.</w:t>
      </w:r>
    </w:p>
    <w:p>
      <w:pPr>
        <w:pStyle w:val="Normal"/>
        <w:keepNext w:val="true"/>
        <w:widowControl/>
        <w:rPr/>
      </w:pPr>
      <w:r>
        <w:rPr/>
        <w:t>Article 26.2: Engagement with Interested Persons Each Party shall establish or maintain an appropriate mechanism to provide regular and timely opportunities for interested persons to provide input on matters relevant to enhancing competitiveness.</w:t>
      </w:r>
    </w:p>
    <w:p>
      <w:pPr>
        <w:pStyle w:val="Normal"/>
        <w:keepNext w:val="true"/>
        <w:widowControl/>
        <w:rPr/>
      </w:pPr>
      <w:r>
        <w:rPr/>
        <w:t>Article 26.3: Non-Application of Dispute Settlement No Party shall have recourse to dispute settlement under Chapter 31 (Dispute Settlement) for a matter arising under this Chapter.</w:t>
      </w:r>
    </w:p>
    <w:p>
      <w:pPr>
        <w:pStyle w:val="ModHeading"/>
        <w:widowControl/>
        <w:rPr/>
      </w:pPr>
      <w:bookmarkStart w:id="88" w:name="_Toc237912565"/>
      <w:r>
        <w:rPr/>
        <w:t>CHAPTER 26 — CUSMA 2.0 MODERNIZATION PROVISIONS</w:t>
      </w:r>
      <w:bookmarkEnd w:id="88"/>
    </w:p>
    <w:p>
      <w:pPr>
        <w:pStyle w:val="Normal"/>
        <w:widowControl/>
        <w:rPr/>
      </w:pPr>
      <w:r>
        <w:rPr>
          <w:i/>
        </w:rPr>
        <w:t>The provisions of this Part amend Chapter 26 (Competitiveness).</w:t>
      </w:r>
    </w:p>
    <w:p>
      <w:bookmarkStart w:id="1204" w:name="_NAESTMA_TOC_1204"/>
      <w:pPr>
        <w:pStyle w:val="Heading2"/>
        <w:keepNext/>
        <w:widowControl/>
        <w:rPr/>
      </w:pPr>
      <w:bookmarkStart w:id="89" w:name="_Toc237912566"/>
      <w:r>
        <w:rPr/>
        <w:t>Article 26.A: Expanded Mandate of the Committee on Competitiveness</w:t>
      </w:r>
      <w:bookmarkEnd w:id="89"/>
      <w:bookmarkEnd w:id="1204"/>
    </w:p>
    <w:p>
      <w:pPr>
        <w:pStyle w:val="Normal"/>
        <w:widowControl/>
        <w:rPr/>
      </w:pPr>
      <w:r>
        <w:rPr/>
        <w:t>1. Article 26.1 (Committee on Competitiveness) is supplemented as follows: the Committee’s mandate includes, in addition to its existing functions:</w:t>
      </w:r>
    </w:p>
    <w:p>
      <w:pPr>
        <w:pStyle w:val="Normal"/>
        <w:widowControl/>
        <w:rPr/>
      </w:pPr>
      <w:r>
        <w:rPr/>
        <w:t>(a) North American supply chain resilience, including the functions assigned under Chapter 36;</w:t>
      </w:r>
    </w:p>
    <w:p>
      <w:pPr>
        <w:pStyle w:val="Normal"/>
        <w:widowControl/>
        <w:rPr/>
      </w:pPr>
      <w:r>
        <w:rPr/>
        <w:t>(b) economic security cooperation under Chapter 36;</w:t>
      </w:r>
    </w:p>
    <w:p>
      <w:pPr>
        <w:pStyle w:val="Normal"/>
        <w:widowControl/>
        <w:rPr/>
      </w:pPr>
      <w:r>
        <w:rPr/>
        <w:t>(c) coordination concerning emerging technologies, in liaison with the Committee on Digital Trade Cooperation and the Advanced Technology Annex process under Article 39.5;</w:t>
      </w:r>
    </w:p>
    <w:p>
      <w:pPr>
        <w:pStyle w:val="Normal"/>
        <w:widowControl/>
        <w:rPr/>
      </w:pPr>
      <w:r>
        <w:rPr/>
        <w:t>(d) periodic assessment of North American competitiveness, including infrastructure and trade-corridor performance, regulatory fragmentation, and workforce availability; and</w:t>
      </w:r>
    </w:p>
    <w:p>
      <w:pPr>
        <w:pStyle w:val="Normal"/>
        <w:widowControl/>
        <w:rPr/>
      </w:pPr>
      <w:r>
        <w:rPr/>
        <w:t>(e) receipt of stakeholder input through the formal consultation channels in Article 26.B.</w:t>
      </w:r>
    </w:p>
    <w:p>
      <w:bookmarkStart w:id="1205" w:name="_NAESTMA_TOC_1205"/>
      <w:pPr>
        <w:pStyle w:val="Heading2"/>
        <w:keepNext/>
        <w:widowControl/>
        <w:rPr/>
      </w:pPr>
      <w:bookmarkStart w:id="90" w:name="_Toc237912567"/>
      <w:r>
        <w:rPr/>
        <w:t>Article 26.B: Economic Security and Supply Chain Resilience Subcommittee; Stakeholder Channels</w:t>
      </w:r>
      <w:bookmarkEnd w:id="90"/>
      <w:bookmarkEnd w:id="1205"/>
    </w:p>
    <w:p>
      <w:pPr>
        <w:pStyle w:val="Normal"/>
        <w:widowControl/>
        <w:rPr/>
      </w:pPr>
      <w:r>
        <w:rPr/>
        <w:t>1. The Committee on Competitiveness shall establish and maintain the Economic Security and Supply Chain Resilience Subcommittee under Article 36.3.</w:t>
      </w:r>
    </w:p>
    <w:p>
      <w:pPr>
        <w:pStyle w:val="Normal"/>
        <w:widowControl/>
        <w:rPr/>
      </w:pPr>
      <w:r>
        <w:rPr/>
        <w:t>2. The Committee shall maintain standing, predictable channels for input from business, labour, Indigenous peoples, small and medium-sized enterprises, and agricultural stakeholders, including: (a) an annual public consultation; (b) a standing electronic submission portal; and (c) consideration of stakeholder-submitted implementation problems at its next meeting, with a published response or disposition.</w:t>
      </w:r>
    </w:p>
    <w:p>
      <w:bookmarkStart w:id="1206" w:name="_NAESTMA_TOC_1206"/>
      <w:pPr>
        <w:pStyle w:val="Heading2"/>
        <w:keepNext/>
        <w:widowControl/>
        <w:rPr/>
      </w:pPr>
      <w:bookmarkStart w:id="91" w:name="_Toc237912568"/>
      <w:r>
        <w:rPr/>
        <w:t>Article 26.C: Infrastructure and Trade-Corridor Coordination</w:t>
      </w:r>
      <w:bookmarkEnd w:id="91"/>
      <w:bookmarkEnd w:id="1206"/>
    </w:p>
    <w:p>
      <w:pPr>
        <w:pStyle w:val="Normal"/>
        <w:widowControl/>
        <w:rPr/>
      </w:pPr>
      <w:r>
        <w:rPr/>
        <w:t>1. The Committee shall maintain trilateral coordination concerning ports of entry, border bridges, rail, highways, pipelines, and transmission corridors of continental significance, including: (a) a shared register of critical corridors under Article 38.3; (b) advance notification and consultation concerning measures likely to impair a registered corridor; and (c) facilitation of coordinated investment planning, without prejudice to each Party’s domestic approval processes.</w:t>
      </w:r>
    </w:p>
    <w:p>
      <w:pPr>
        <w:pStyle w:val="Normal"/>
        <w:widowControl/>
        <w:rPr/>
      </w:pPr>
      <w:r>
        <w:rPr/>
        <w:t>2. No Party shall impede the opening or operation of a completed, jointly authorized cross-border infrastructure facility as leverage in a trade matter. A measure doing so is reviewable under Chapter 31.</w:t>
      </w:r>
      <w:r>
        <w:br w:type="page"/>
      </w:r>
    </w:p>
    <w:p>
      <w:bookmarkStart w:id="1207" w:name="_NAESTMA_TOC_1207"/>
      <w:pPr>
        <w:pStyle w:val="Heading1"/>
        <w:keepNext/>
        <w:keepLines w:val="0"/>
        <w:pageBreakBefore/>
        <w:widowControl/>
        <w:rPr/>
      </w:pPr>
      <w:bookmarkStart w:id="92" w:name="_Toc237912569"/>
      <w:r>
        <w:rPr/>
        <w:t>CHAPTER 27 ANTICORRUPTION</w:t>
      </w:r>
      <w:bookmarkEnd w:id="92"/>
      <w:bookmarkEnd w:id="1207"/>
    </w:p>
    <w:p>
      <w:pPr>
        <w:pStyle w:val="Normal"/>
        <w:widowControl/>
        <w:rPr/>
      </w:pPr>
      <w:r>
        <w:rPr/>
        <w:t>Article 27.1: Definitions For the purposes of this Chapter: act or refrain from acting in relation to the performance of official duties includes any use of the public official’s position, whether or not within the official’s authorized competence; foreign public official means an individual holding a legislative, executive, administrative or judicial office of a foreign country, at any level of government, whether appointed or elected, permanent or temporary, paid or unpaid, and irrespective of that person’s seniority; and an individual exercising a public function for a foreign country, at any level of government, including for a public agency or public enterprise; IACAC means the existing Inter-American Convention Against Corruption, done at Caracas, Venezuela, on March 29, 1996;</w:t>
      </w:r>
    </w:p>
    <w:p>
      <w:pPr>
        <w:pStyle w:val="Normal"/>
        <w:widowControl/>
        <w:rPr/>
      </w:pPr>
      <w:r>
        <w:rPr/>
        <w:t>OECD Convention means the existing Convention on Combating Bribery of Foreign Public Officials in International Business Transactions, done at Paris, France, on December 17, 1997; official of a public international organization means an international civil servant or an individual authorized by a public international organization to act on its behalf; public enterprise means an enterprise over which a government or governments may, directly or indirectly, exercise a dominant influence;1 public official means an individual: (a) holding a legislative, executive, administrative, or judicial office of a Party, whether appointed or elected, permanent or temporary, paid or unpaid, and irrespective of</w:t>
      </w:r>
    </w:p>
    <w:p>
      <w:pPr>
        <w:pStyle w:val="Normal"/>
        <w:widowControl/>
        <w:rPr/>
      </w:pPr>
      <w:r>
        <w:rPr/>
        <w:t>that person’s seniority; (b) who performs a public function for a Party, including for a public agency or public enterprise, or provides a public service, as defined under that Party’s law and as applied in the pertinent area of that Party’s law; or Dominant influence for purposes of this definition shall be deemed to exist, inter alia, if the government or governments hold the majority of the enterprise’s subscribed capital, control the majority of votes attaching to shares issued by the enterprise, or can appoint a majority of the members of the enterprise’s administrative or managerial body or supervisory board. (c) defined as a public official under a Party’s law; and UNCAC means the existing United Nations Convention against Corruption, done at New York, United States, on October 31, 2003.</w:t>
      </w:r>
    </w:p>
    <w:p>
      <w:pPr>
        <w:pStyle w:val="Normal"/>
        <w:keepNext w:val="true"/>
        <w:widowControl/>
        <w:rPr/>
      </w:pPr>
      <w:r>
        <w:rPr/>
        <w:t>Article 27.2: Scope 1. This Chapter applies to measures to prevent and combat bribery and corruption relating to any matter covered by this Agreement.2 2. The Parties affirm their resolve to prevent and combat bribery and corruption in international trade and investment. Recognizing the need to build integrity within both the public and private sectors and that each sector has complementary responsibilities in this regard, the Parties affirm their adherence to the OECD Convention, with its Annex; the IACAC; and the UNCAC. 3. The Parties reiterate their support for the principles contained in documents developed by APEC and G-20 anticorruption fora aimed at preventing and combating corruption and endorsed by leaders or relevant ministers, including the G20 High Level Principles on Organizing against Corruption; G20 High Level Principles on Corruption and Growth; G20 Guiding Principles on Enforcement of the Foreign Bribery Offence (2013); G20 Guiding Principles to Combat Solicitation; G20 High Level Principles on the Liability of Legal Persons for Corruption; APEC Conduct Principles for Public Officials; and the APEC Principles on the Prevention of Bribery and Enforcement of Anti-Bribery Laws. 4.</w:t>
      </w:r>
    </w:p>
    <w:p>
      <w:pPr>
        <w:pStyle w:val="Normal"/>
        <w:widowControl/>
        <w:rPr/>
      </w:pPr>
      <w:r>
        <w:rPr/>
        <w:t>The Parties also reiterate their support for, and encourage awareness among their private sectors of, available anticorruption compliance guidance including the APEC Code of Conduct for Business: Business Integrity and Transparency Principles for the Private Sector; APEC General Elements of Effective Voluntary Corporate Compliance Programs; and G20 High Level Principles on Private Sector Transparency and Integrity. 5. The Parties recognize that the description of offenses adopted or maintained in accordance with this Chapter, and of the applicable legal defenses or legal principles controlling the lawfulness of conduct, is reserved to each Party’s law, and that those offenses shall be prosecuted and punished in accordance with each Party’s law. 2 For the United States, this Chapter does not apply to conduct outside the jurisdiction of federal criminal law and, to the extent that an obligation involves preventive measures, shall apply only to those measures covered by federal law governing federal, state, and local officials.</w:t>
      </w:r>
    </w:p>
    <w:p>
      <w:pPr>
        <w:pStyle w:val="Normal"/>
        <w:keepNext w:val="true"/>
        <w:widowControl/>
        <w:rPr/>
      </w:pPr>
      <w:r>
        <w:rPr/>
        <w:t>Article 27.3: Measures to Combat Corruption 1. Each Party shall adopt or maintain legislative and other measures as may be necessary to establish as criminal offenses under its law, in matters that affect international trade or investment, when committed intentionally, by a person subject to its jurisdiction: (a) the promise, offering, or giving to a public official, directly or indirectly, of an undue advantage for the official or another person or entity, in order that the official act or refrain from acting in relation to the performance of or the exercise of their official duties; (b) the solicitation or acceptance by a public official, directly or indirectly, of an undue advantage for the official or another person or entity, in order that the official act or refrain from acting in relation to the performance of or the exercise of their official duties;</w:t>
      </w:r>
    </w:p>
    <w:p>
      <w:pPr>
        <w:pStyle w:val="Normal"/>
        <w:widowControl/>
        <w:rPr/>
      </w:pPr>
      <w:r>
        <w:rPr/>
        <w:t>(c) the promise, offering, or giving to a foreign public official or an official of a public international organization, directly or indirectly, of an undue advantage for the official or another person or entity, in order that the official act or refrain from acting in relation to the performance of or the exercise of their official duties, in order to obtain or retain business or other undue advantage in relation to the conduct of international business; and (d) the aiding or abetting, or conspiracy in the commission of any of the offenses described in subparagraphs (a) through (c). 2.</w:t>
      </w:r>
    </w:p>
    <w:p>
      <w:pPr>
        <w:pStyle w:val="Normal"/>
        <w:widowControl/>
        <w:rPr/>
      </w:pPr>
      <w:r>
        <w:rPr/>
        <w:t>Each Party shall adopt or maintain legislative and other measures as may be necessary to establish as a criminal offense under its law, in matters that affect international trade or investment, when committed intentionally, by a person subject to its jurisdiction, the embezzlement, misappropriation or another diversion3 by a public official for their benefit or for the benefit of another person or entity, of property, public or private funds or securities, or any other thing of value entrusted to the public official by virtue of their position. 3. Each Party shall make the commission of an offense described in paragraph 1, 2, or 6 liable to sanctions that take into account the gravity of that offense. 4. Each Party shall adopt or maintain measures as may be necessary, consistent with its legal principles, to establish the liability of legal persons for offenses described in paragraph 1 or 6. 5. Each Party shall disallow the tax deductibility of bribes and, if appropriate, other expenses considered illegal by the Party incurred in furtherance of that conduct. 3 For Canada, “diversion” means embezzlement or misappropriation that constitute the criminal offenses of theft or fraud under Canadian law. 6.</w:t>
      </w:r>
    </w:p>
    <w:p>
      <w:pPr>
        <w:pStyle w:val="Normal"/>
        <w:widowControl/>
        <w:rPr/>
      </w:pPr>
      <w:r>
        <w:rPr/>
        <w:t>In order to prevent corruption, each Party shall adopt or maintain measures as may be necessary in accordance with its laws and regulations, regarding the maintenance of books and records, financial statement disclosures, and accounting and auditing standards, to prohibit the following acts carried out for the purpose of committing the offenses described in paragraph 1: (a) the establishment of off-the-books accounts; (b) the making of off-the-books or inadequately identified transactions; (c) the recording of non-existent expenditure; (d) the entry of liabilities with incorrect identification of their objects; (e) the use of false documents; and (f) the intentional destruction of bookkeeping documents earlier than foreseen by the law.4 7. Each Party shall adopt or maintain measures considered appropriate by the Party to protect against unjustified treatment a person who, in good faith and on reasonable grounds, reports to the competent authorities facts concerning offenses described in paragraph 1, 2, or 6.5 8. The Parties recognize the harmful effects of facilitation payments.</w:t>
      </w:r>
    </w:p>
    <w:p>
      <w:pPr>
        <w:pStyle w:val="Normal"/>
        <w:widowControl/>
        <w:rPr/>
      </w:pPr>
      <w:r>
        <w:rPr/>
        <w:t>Each Party shall, in accordance with its laws and regulations: (a) encourage enterprises to prohibit or discourage the use of facilitation payments; and (b) take steps to raise awareness among its public officials of its bribery laws, with a view to stopping the solicitation and the acceptance of facilitation payments.6 4 For the United States, this paragraph applies only to issuers that have a class of securities registered pursuant to 15 U.S.C. 78l or that are otherwise required to file reports pursuant to 15 U.S.C. 78o (d). 5 For Mexico and the United States, this paragraph applies only at the central level of government. For Canada, this paragraph applies to measures within the scope of the Public Servants Disclosure Protection Act, S.C. 2005, c.46, as amended. 6 For Canada, this subparagraph applies to measures within the scope of the Public Servants Disclosure Protection Act, S.C. 2005, c.46, as amended.</w:t>
      </w:r>
    </w:p>
    <w:p>
      <w:pPr>
        <w:pStyle w:val="Normal"/>
        <w:keepNext w:val="true"/>
        <w:widowControl/>
        <w:rPr/>
      </w:pPr>
      <w:r>
        <w:rPr/>
        <w:t>Article 27.4: Promoting Integrity among Public Officials7 1. To fight corruption in matters that affect trade and investment, each Party should promote, among other things, integrity, honesty and responsibility among its public officials. To this end, each Party shall, in accordance with the fundamental principles of its legal system, adopt or maintain: (a) measures to provide adequate procedures for the selection and training of individuals for public positions considered by the Party to be especially vulnerable to corruption; (b) measures to promote transparency in the behavior of public officials in the exercise of public functions; (c) appropriate policies and procedures to identify and manage actual or potential conflicts of interest of public officials;</w:t>
      </w:r>
    </w:p>
    <w:p>
      <w:pPr>
        <w:pStyle w:val="Normal"/>
        <w:widowControl/>
        <w:rPr/>
      </w:pPr>
      <w:r>
        <w:rPr/>
        <w:t>(d) measures that require senior public officials, and other public officials as considered appropriate by the Party, to make declarations to appropriate authorities regarding, among other things, their outside activities, employment, investments, assets, and substantial gifts or benefits from which a conflict of interest may result with respect to their functions as public officials; and (e) measures to facilitate reporting by public officials of any facts concerning offenses described in Article 27.3.1, 27.3.2, or 27.3.6 (Measures to Combat Corruption) to appropriate authorities, if those facts come to their notice in the performance of their functions. 2.</w:t>
      </w:r>
    </w:p>
    <w:p>
      <w:pPr>
        <w:pStyle w:val="Normal"/>
        <w:widowControl/>
        <w:rPr/>
      </w:pPr>
      <w:r>
        <w:rPr/>
        <w:t>Each Party shall adopt or maintain codes or standards of conduct for the correct, honorable and proper performance of public functions, and measures providing for disciplinary or other measures, if warranted, against a public official who violates the codes or standards established in accordance with this paragraph. 3. Each Party shall, to the extent consistent with the fundamental principles of its legal system, establish procedures through which a public official accused of an offense described in Article 27.3.1 (Measures to Combat Corruption) may, as considered appropriate by that Party, be removed, suspended, or reassigned by the appropriate authority, bearing in mind respect for the principle of the presumption of innocence. 4. Each Party shall, in accordance with the fundamental principles of its legal system and without prejudice to judicial independence, adopt or maintain measures to strengthen integrity, 7 For Mexico and the United States, this article applies only at the central level of government. For Canada, this article applies to measures within the scope of the Public Servants Disclosure Protection Act, S.C.</w:t>
      </w:r>
    </w:p>
    <w:p>
      <w:pPr>
        <w:pStyle w:val="Normal"/>
        <w:widowControl/>
        <w:rPr/>
      </w:pPr>
      <w:r>
        <w:rPr/>
        <w:t>2005, c.46, as amended. and to prevent opportunities for corruption, among members of the judiciary in matters that affect international trade or investment. These measures may include rules with respect to the conduct of members of the judiciary.</w:t>
      </w:r>
    </w:p>
    <w:p>
      <w:pPr>
        <w:pStyle w:val="Normal"/>
        <w:keepNext w:val="true"/>
        <w:widowControl/>
        <w:rPr/>
      </w:pPr>
      <w:r>
        <w:rPr/>
        <w:t>Article 27.5: Participation of Private Sector and Society 1. Each Party shall take appropriate measures, within its means and in accordance with fundamental principles of its legal system, to promote the active participation of individuals and groups outside the public sector, such as enterprises, civil society, non-governmental organizations, and community-based organizations, in preventing and combatting corruption in matters affecting international trade or investment, and to raise public awareness regarding the existence, causes, and gravity of corruption, and the threat posed by it. To this end, a Party may, for example: (a) undertake public information activities and public education programs that contribute to non-tolerance of corruption; (b) adopt or maintain measures to encourage professional associations and other non governmental organizations, if appropriate, in their efforts to encourage and assist enterprises, in particular SMEs, in developing internal controls, ethics and compliance programs or measures for preventing and detecting bribery and corruption in international trade and investment;</w:t>
      </w:r>
    </w:p>
    <w:p>
      <w:pPr>
        <w:pStyle w:val="Normal"/>
        <w:widowControl/>
        <w:rPr/>
      </w:pPr>
      <w:r>
        <w:rPr/>
        <w:t>(c) adopt or maintain measures to encourage company management to make statements in their annual reports or otherwise publicly disclose their internal controls, ethics and compliance programs or measures, including those that contribute to preventing and detecting bribery and corruption in international trade and investment; or (d) adopt or maintain measures that</w:t>
      </w:r>
    </w:p>
    <w:p>
      <w:pPr>
        <w:pStyle w:val="Normal"/>
        <w:widowControl/>
        <w:rPr/>
      </w:pPr>
      <w:r>
        <w:rPr/>
        <w:t>respect, promote, and protect the freedom to seek, receive, publish, and disseminate information concerning corruption. 2. Each Party shall endeavor to encourage private enterprises, taking into account their structure and size, to: (a) adopt or maintain sufficient internal auditing controls to assist in preventing and detecting offenses described in Article 27.3.1 or 27.3.6 (Measures to Combat Corruption); and (b) ensure that their accounts and required financial statements are subject to appropriate auditing and certification procedures. 3. Each Party shall take appropriate measures to ensure that its relevant anticorruption bodies are known to the public and shall provide access to those bodies, if appropriate, for the reporting, including anonymously, of an incident that may be considered to constitute an offense described in Article 27.3.1 (Measures to Combat Corruption). 4. The Parties recognize the benefits of internal compliance programs in enterprises to combat corruption. In this regard, each Party shall encourage enterprises, taking into account their size, legal structure, and the sectors in which they operate, to establish compliance programs for the purpose of preventing and detecting offenses described in Article 27.3.1 or 27.3.6 (Measures to Combat Corruption).</w:t>
      </w:r>
    </w:p>
    <w:p>
      <w:pPr>
        <w:pStyle w:val="Normal"/>
        <w:keepNext w:val="true"/>
        <w:widowControl/>
        <w:rPr/>
      </w:pPr>
      <w:r>
        <w:rPr/>
        <w:t>Article 27.6: Application and Enforcement of Anticorruption Laws 1. In accordance with the fundamental principles of its legal system, no Party shall fail to effectively enforce its laws or other measures adopted or maintained to comply with Article 27.3 (Measures to Combat Corruption) through a sustained or recurring course of action or inaction, after the date of entry into force of this Agreement as an encouragement for trade and investment.8 2. In accordance with the fundamental principles of its legal system, each Party retains the right for its law enforcement, prosecutorial, and judicial authorities to exercise their discretion with respect to the enforcement of its anticorruption laws. Each Party retains the right to take bona fide decisions with regard to the allocation of its resources. 3. The Parties affirm their commitments under applicable international agreements or arrangements to cooperate with each other, consistent with their respective legal and administrative systems, to enhance the effectiveness of law enforcement actions to combat the offenses described in Article 27.3 (Measures to Combat Corruption).</w:t>
      </w:r>
    </w:p>
    <w:p>
      <w:pPr>
        <w:pStyle w:val="Normal"/>
        <w:keepNext w:val="true"/>
        <w:widowControl/>
        <w:rPr/>
      </w:pPr>
      <w:r>
        <w:rPr/>
        <w:t>Article 27.7: Relation to Other Agreements Nothing in this Agreement affects the rights and obligations of the Parties under the IACAC; the OECD Convention; the UNCAC; or the United Nations Convention against Transnational Organized Crime, done at New York on November 15, 2000.</w:t>
      </w:r>
    </w:p>
    <w:p>
      <w:pPr>
        <w:pStyle w:val="Normal"/>
        <w:keepNext w:val="true"/>
        <w:widowControl/>
        <w:rPr/>
      </w:pPr>
      <w:r>
        <w:rPr/>
        <w:t>Article 27.8: Dispute Settlement 1. Chapter 31 (Dispute Settlement), as modified by this Article, applies to disputes relating to a matter arising under this Chapter. 8 For greater certainty, the Parties recognize that individual cases or specific discretionary decisions related to the enforcement of anticorruption laws are subject to each Party’s laws and legal procedures. 2. A Party may only have recourse to the procedures set out in this Article and Chapter 31 (Dispute Settlement) if it considers that a measure of another Party is inconsistent with an obligation under this Chapter, or that another Party has otherwise failed to carry out an obligation under this Chapter, in a manner affecting trade or investment between Parties. 3. No Party shall have recourse to dispute settlement under this Article or Chapter 31 (Dispute Settlement) for a matter arising under Article 27.6 (Application and Enforcement of Anticorruption Laws) or Article 27.9 (Cooperation). 4. Further to Article 31.4 (Consultations), each Consulting Party shall ensure that consultations include personnel of the consulting Party’s government authorities with responsibility for the anticorruption issue under dispute. 5.</w:t>
      </w:r>
    </w:p>
    <w:p>
      <w:pPr>
        <w:pStyle w:val="Normal"/>
        <w:widowControl/>
        <w:rPr/>
      </w:pPr>
      <w:r>
        <w:rPr/>
        <w:t>Further to Article 31.5 (Commission, Good Offices, Conciliation, and Mediation), any discussion held by the Free Trade Commission shall, to the extent practicable, include participation by a Minister responsible for the anticorruption issue under dispute, or their designee. 6.</w:t>
      </w:r>
    </w:p>
    <w:p>
      <w:pPr>
        <w:pStyle w:val="Normal"/>
        <w:widowControl/>
        <w:rPr/>
      </w:pPr>
      <w:r>
        <w:rPr/>
        <w:t>Further to Article 31.8 (Roster and Qualifications of Panelists), the panel shall have expertise in the area of anticorruption under dispute.</w:t>
      </w:r>
    </w:p>
    <w:p>
      <w:pPr>
        <w:pStyle w:val="Normal"/>
        <w:keepNext w:val="true"/>
        <w:widowControl/>
        <w:rPr/>
      </w:pPr>
      <w:r>
        <w:rPr/>
        <w:t>Article 27.9: Cooperation 1. The Parties recognize the importance of cooperation, coordination, and exchange of information between their respective anticorruption law enforcement agencies in order to foster effective measures to prevent, detect, and deter bribery and corruption. 2. The Parties shall endeavor to strengthen cooperation and coordination among their respective anticorruption law enforcement agencies. 3. Recognizing that the Parties can benefit by sharing their diverse experience and best practices in developing, implementing, and enforcing their anticorruption laws and policies, the Parties´ anticorruption law enforcement agencies shall consider undertaking technical cooperation activities, including training programs, as decided by the Parties. 4. The Parties acknowledge the importance of cooperation and coordination internationally, including the OECD Working Group on Bribery in International Business Transactions, the UNCAC Conference of the State Parties and the Mechanism for Follow-Up on the Implementation of the IACAC, as well as their support to the APEC Anti-Corruption and Transparency Working Group and the G20 Anti-Corruption Working Group.</w:t>
      </w:r>
      <w:r>
        <w:br w:type="page"/>
      </w:r>
    </w:p>
    <w:p>
      <w:bookmarkStart w:id="1208" w:name="_NAESTMA_TOC_1208"/>
      <w:pPr>
        <w:pStyle w:val="Heading1"/>
        <w:keepNext/>
        <w:keepLines w:val="0"/>
        <w:pageBreakBefore/>
        <w:widowControl/>
        <w:rPr/>
      </w:pPr>
      <w:r>
        <w:rPr>
          <w:b/>
        </w:rPr>
        <w:t>CHAPTER 27 — CUSMA 2.0 INTEGRITY ENFORCEMENT PROVISIONS</w:t>
      </w:r>
      <w:bookmarkEnd w:id="1208"/>
    </w:p>
    <w:p>
      <w:bookmarkStart w:id="1209" w:name="_NAESTMA_TOC_1209"/>
      <w:pPr>
        <w:pStyle w:val="Heading2"/>
        <w:keepNext/>
        <w:widowControl/>
        <w:rPr/>
      </w:pPr>
      <w:r>
        <w:rPr>
          <w:b/>
        </w:rPr>
        <w:t>Article 27.A: Systemic Anti-Corruption Enforcement Failure</w:t>
      </w:r>
      <w:bookmarkEnd w:id="1209"/>
    </w:p>
    <w:p>
      <w:pPr>
        <w:pStyle w:val="Normal"/>
        <w:widowControl/>
        <w:rPr/>
      </w:pPr>
      <w:r>
        <w:rPr/>
        <w:t>1. An isolated act of bribery, embezzlement, falsification, or other corruption by a private person or public official does not by itself constitute a breach of this Agreement. A breach arises where a Party, through a sustained or recurring course of action or inaction, fails to effectively enforce applicable anti-corruption law in a manner materially affecting trade or investment, or deliberately interferes with such enforcement for a protectionist, retaliatory, or corrupt purpose.</w:t>
      </w:r>
    </w:p>
    <w:p>
      <w:pPr>
        <w:pStyle w:val="Normal"/>
        <w:widowControl/>
        <w:rPr/>
      </w:pPr>
      <w:r>
        <w:rPr/>
        <w:t>2. No Party may invoke this Article merely because it disagrees with a prosecutorial, investigative, judicial, or resource-allocation decision in an individual case. The complaining Party bears the burden of establishing a systemic or materially discriminatory failure.</w:t>
      </w:r>
    </w:p>
    <w:p>
      <w:pPr>
        <w:pStyle w:val="Normal"/>
        <w:widowControl/>
        <w:rPr/>
      </w:pPr>
      <w:r>
        <w:rPr/>
        <w:t>3. Anti-corruption enforcement affecting covered trade or investment shall not be administered in an arbitrary, discriminatory, retaliatory, or protectionist manner.</w:t>
      </w:r>
    </w:p>
    <w:p>
      <w:bookmarkStart w:id="1210" w:name="_NAESTMA_TOC_1210"/>
      <w:pPr>
        <w:pStyle w:val="Heading2"/>
        <w:keepNext/>
        <w:widowControl/>
        <w:rPr/>
      </w:pPr>
      <w:r>
        <w:rPr>
          <w:b/>
        </w:rPr>
        <w:t>Article 27.B: Integrity Cure Procedure</w:t>
      </w:r>
      <w:bookmarkEnd w:id="1210"/>
    </w:p>
    <w:p>
      <w:pPr>
        <w:pStyle w:val="Normal"/>
        <w:widowControl/>
        <w:rPr/>
      </w:pPr>
      <w:r>
        <w:rPr/>
        <w:t>1. Before requesting a panel concerning Article 27.A, a Party shall request confidential consultations identifying the alleged pattern and available evidence. The responding Party shall have a reasonable opportunity to explain its enforcement framework and, where appropriate, adopt a corrective-action plan.</w:t>
      </w:r>
    </w:p>
    <w:p>
      <w:pPr>
        <w:pStyle w:val="Normal"/>
        <w:widowControl/>
        <w:rPr/>
      </w:pPr>
      <w:r>
        <w:rPr/>
        <w:t>2. Continued systemic failure after the corrective period is eligible for expedited Chapter 31 review. Remedies shall target the affected program, procurement, benefit, or sector before unrelated trade is affected, and terminate automatically when compliance is verified.</w:t>
      </w:r>
    </w:p>
    <w:p>
      <w:pPr>
        <w:pStyle w:val="Normal"/>
        <w:widowControl/>
        <w:rPr/>
      </w:pPr>
      <w:r>
        <w:rPr/>
        <w:t>3. Nothing in this Article requires disclosure of privileged material, protected personal information, confidential law-enforcement techniques, or information whose disclosure would prejudice an active investigation or proceeding.</w:t>
      </w:r>
      <w:r>
        <w:br w:type="page"/>
      </w:r>
    </w:p>
    <w:p>
      <w:bookmarkStart w:id="1211" w:name="_NAESTMA_TOC_1211"/>
      <w:pPr>
        <w:pStyle w:val="Heading1"/>
        <w:keepNext/>
        <w:keepLines w:val="0"/>
        <w:pageBreakBefore/>
        <w:widowControl/>
        <w:rPr/>
      </w:pPr>
      <w:bookmarkStart w:id="93" w:name="_Toc237912570"/>
      <w:r>
        <w:rPr/>
        <w:t>CHAPTER 28 GOOD REGULATORY PRACTICES</w:t>
      </w:r>
      <w:bookmarkEnd w:id="93"/>
      <w:bookmarkEnd w:id="1211"/>
    </w:p>
    <w:p>
      <w:pPr>
        <w:pStyle w:val="Normal"/>
        <w:widowControl/>
        <w:rPr/>
      </w:pPr>
      <w:r>
        <w:rPr/>
        <w:t>Article 28.1: Definitions For the purposes of this Chapter: regulation means a measure of general application adopted, issued, or maintained by a regulatory authority with which compliance is mandatory, except as set forth in Annex 28-A (Additional Provisions Concerning the Scope of “Regulations” and “Regulatory Authorities”); regulatory authority means an administrative authority or agency at the Party’s central level of government that develops, proposes or adopts a regulation, and does not include legislatures or courts; and regulatory cooperation means an effort between two or more Parties to prevent, reduce, or eliminate unnecessary regulatory differences to facilitate trade and promote economic growth, while maintaining or enhancing standards of public health and safety and environmental protection.</w:t>
      </w:r>
    </w:p>
    <w:p>
      <w:pPr>
        <w:pStyle w:val="Normal"/>
        <w:keepNext w:val="true"/>
        <w:widowControl/>
        <w:rPr/>
      </w:pPr>
      <w:r>
        <w:rPr/>
        <w:t>Article 28.2: Subject Matter and General Provisions 1. The Parties recognize that implementation of government-wide practices to promote regulatory quality through greater transparency, objective analysis, accountability, and predictability can facilitate international trade, investment, and economic growth, while contributing to each Party’s ability to achieve its public policy objectives (including health, safety, and environmental goals) at the level of protection it considers appropriate. The application of good regulatory practices can support the development of compatible regulatory approaches among the Parties, and reduce or eliminate unnecessarily burdensome, duplicative, or divergent regulatory requirements. Good regulatory practices also are fundamental to effective regulatory cooperation. 2. Accordingly, this Chapter sets out specific obligations with respect to good regulatory practices, including practices relating to the planning, design, issuance, implementation, and review of the Parties’ respective regulations. 3. For greater certainty, this Chapter does not prevent a Party from: (a) pursuing its public policy objectives (including health, safety, and environmental goals) at the level it considers to be appropriate; (b) determining the appropriate method of implementing its obligations in this Chapter within the framework of its own legal system and institutions; or (c) adopting good regulatory practices that supplement those that are set out in this Chapter.</w:t>
      </w:r>
    </w:p>
    <w:p>
      <w:pPr>
        <w:pStyle w:val="Normal"/>
        <w:keepNext w:val="true"/>
        <w:widowControl/>
        <w:rPr/>
      </w:pPr>
      <w:r>
        <w:rPr/>
        <w:t>Article 28.3: Central Regulatory Coordinating Body Recognizing that institutional arrangements are particular to each Party’s system of governance, the Parties note the important role of their respective central regulatory coordinating bodies in promoting good regulatory practices; performing key advisory, coordination, and review functions to improve the quality of regulations; and developing improvements to their regulatory system. The Parties intend to maintain their respective central regulatory coordinating bodies, within their respective mandates and consistent with their law.</w:t>
      </w:r>
    </w:p>
    <w:p>
      <w:pPr>
        <w:pStyle w:val="Normal"/>
        <w:keepNext w:val="true"/>
        <w:widowControl/>
        <w:rPr/>
      </w:pPr>
      <w:r>
        <w:rPr/>
        <w:t>Article 28.4: Internal Consultation, Coordination, and Review 1. The Parties recognize that internal processes or mechanisms providing for consultation, coordination, and review among domestic authorities in the development of regulations can increase regulatory compatibility among the Parties and facilitate trade. Accordingly, each Party shall adopt or maintain those processes or mechanisms to pursue, among others, the following objectives: (a) promoting government-wide adherence to good regulatory practices, including those set forth in this Chapter; (b) identifying and developing improvements to government-wide regulatory processes; (c) identifying potential overlap or duplication between proposed and existing regulations, and preventing the creation of inconsistent requirements across domestic authorities; (d) supporting compliance with international trade and investment obligations, including, as appropriate, the consideration of international standards, guides, and recommendations; (e) promoting consideration of regulatory impacts, including burdens on small enterprises1 of information collection and implementation; and (f) encouraging regulatory approaches that avoid unnecessary restrictions on competition in the marketplace. 1 For greater certainty and for the purposes of this Chapter, for Mexico “small enterprises” also include medium enterprises. 2. Each Party shall make publicly available a description of the processes or mechanisms referred to in paragraph 1.</w:t>
      </w:r>
    </w:p>
    <w:p>
      <w:pPr>
        <w:pStyle w:val="Normal"/>
        <w:keepNext w:val="true"/>
        <w:widowControl/>
        <w:rPr/>
      </w:pPr>
      <w:r>
        <w:rPr/>
        <w:t>Article 28.5: Information Quality 1. Each Party recognizes the need for regulations to be based upon information that is reliable and of high quality. To that end, each Party should adopt or maintain publicly available guidance or mechanisms that encourage its regulatory authorities when developing a regulation to: (a) seek the best, reasonably obtainable information, including scientific, technical, economic, or other information relevant to the regulation it is developing; (b) rely on information that is appropriate for the context in which it is used; and (c) identify sources of information in a transparent manner, as well as any significant assumptions and limitations. 2. If a regulatory authority systematically collects information from members of the public through identical questions in a survey for use in developing a regulation, each Party shall provide that the authority should: (a) use sound statistical methodologies before drawing generalized conclusions concerning the impact of the regulation on the population affected by the regulation; and (b) avoid unnecessary duplication and otherwise minimize unnecessary burdens on those being surveyed.</w:t>
      </w:r>
    </w:p>
    <w:p>
      <w:pPr>
        <w:pStyle w:val="Normal"/>
        <w:keepNext w:val="true"/>
        <w:widowControl/>
        <w:rPr/>
      </w:pPr>
      <w:r>
        <w:rPr/>
        <w:t>Article 28.6: Early Planning Each Party shall publish annually a list of regulations that it reasonably expects within the following 12 months to adopt or propose to adopt. Each regulation identified in the list should be accompanied by: (a) a concise description of the planned regulation; (b) a point of contact for a knowledgeable individual in the regulatory authority responsible for the regulation; and (c) an indication, if known, of sectors to be affected and whether there is any expected significant effect on international trade or investment. Entries in the list should also include, to the extent available, time tables for subsequent actions, including those providing opportunities for public comment under Article 28.9 (Transparent Development of Regulations).</w:t>
      </w:r>
    </w:p>
    <w:p>
      <w:pPr>
        <w:pStyle w:val="Normal"/>
        <w:keepNext w:val="true"/>
        <w:widowControl/>
        <w:rPr/>
      </w:pPr>
      <w:r>
        <w:rPr/>
        <w:t>Article 28.7: Dedicated Website 1. Each Party shall maintain a single, free, publicly available website that, to the extent practicable, contains all information that it is required to publish pursuant to Article 28.9 (Transparent Development of Regulations). 2. A Party may comply with paragraph 1 by making publicly available information on, and providing for the submission of comments through, more than one website, provided the information can be accessed, and submissions can be made, from a single web portal that links to other websites.</w:t>
      </w:r>
    </w:p>
    <w:p>
      <w:pPr>
        <w:pStyle w:val="Normal"/>
        <w:keepNext w:val="true"/>
        <w:widowControl/>
        <w:rPr/>
      </w:pPr>
      <w:r>
        <w:rPr/>
        <w:t>Article 28.8: Use of Plain Language Each Party should provide that proposed and final regulations are written using plain language to ensure that those regulations are clear, concise, and easy for the public to understand, recognizing that some regulations address technical issues and that relevant expertise may be required to understand or apply them.</w:t>
      </w:r>
    </w:p>
    <w:p>
      <w:pPr>
        <w:pStyle w:val="Normal"/>
        <w:keepNext w:val="true"/>
        <w:widowControl/>
        <w:rPr/>
      </w:pPr>
      <w:r>
        <w:rPr/>
        <w:t>Article 28.9: Transparent Development of Regulations 1. During the period described in paragraph 2, when a regulatory authority is developing a regulation, the Party shall, under normal circumstances,2 publish: (a) the text of the regulation along with its regulatory impact assessment, if any; (b) an explanation of the regulation, including its objectives, how the regulation achieves those objectives, the rationale for the material features of the regulation, and any major alternatives being considered; (c) an explanation of the data, other information, and analyses the regulatory authority relied upon to support the regulation; and 2 For the purposes of paragraphs 1 and 4, “normal circumstances” do not include, for example, situations when publication in accordance with those paragraphs would render the regulation ineffective in addressing the particular harm to the public interest that the regulation aims to address; if urgent problems (for example, of safety, health, or environmental protection) arise or threaten to arise for a Party; or if the regulation has no substantive impact upon members of the public, including persons of another Party. (d) the name and contact information of an individual official from the regulatory authority who may be contacted concerning questions regarding the regulation.</w:t>
      </w:r>
    </w:p>
    <w:p>
      <w:pPr>
        <w:pStyle w:val="Normal"/>
        <w:widowControl/>
        <w:rPr/>
      </w:pPr>
      <w:r>
        <w:rPr/>
        <w:t>At the same time the Party publishes the information listed in subparagraphs (a) through (d), the Party shall also make publicly available data, other information, and scientific and technical analyses it relied upon in support of the regulation, including any risk assessment. 2. With respect to the items required to be published under paragraph 1, each Party shall publish them before the regulatory authority finalizes its work on the regulation3 and at a time that will enable the regulatory authority to take into account the comments received and, as appropriate, make revisions to the text of the regulation published under subparagraph 1(a). 3. After the items identified in paragraph 1 have been published, the Party shall ensure that any interested person, regardless of domicile, has an opportunity, on terms no less favorable than those afforded to a person of the Party, to submit written comments on the items identified in paragraph 1 for consideration by the relevant regulatory authority of the Party. Each Party shall allow interested persons to submit any comments and other inputs electronically and may also allow written submissions by mail to a published address or through another technology. 4.</w:t>
      </w:r>
    </w:p>
    <w:p>
      <w:pPr>
        <w:pStyle w:val="Normal"/>
        <w:widowControl/>
        <w:rPr/>
      </w:pPr>
      <w:r>
        <w:rPr/>
        <w:t>If a Party expects a draft regulation to have a significant impact on trade, the Party should normally provide a time period to submit written comments and other input on the items published in accordance with paragraph 1 that is: (a) not less than 60 days from the date the items identified in paragraph 1 are published; or (b) a longer time period as is appropriate due to the nature and complexity of the regulation, in order to provide interested persons adequate opportunity to understand how the regulation may affect their interests and to develop informed responses. 5. With respect to draft regulations not covered under paragraph 4, a Party shall endeavor, under normal circumstances, to provide a time period to submit written comments and other input on the information published in accordance with paragraph 1 that is not less than four weeks from the date the items identified in paragraph 1 are published. 6.</w:t>
      </w:r>
    </w:p>
    <w:p>
      <w:pPr>
        <w:pStyle w:val="Normal"/>
        <w:widowControl/>
        <w:rPr/>
      </w:pPr>
      <w:r>
        <w:rPr/>
        <w:t>In addition, the Party shall consider reasonable requests to extend the comment time period under paragraph 4 or 5 to submit written comments or other input on a draft regulation. 3 For Canada, a regulatory authority “finalizes its work” on a regulation when a final regulation is published in Canada Gazette, Part II. For Mexico, a regulatory authority “finalizes its work” on a regulation when the final act of general application is issued and published in the Official Gazette.</w:t>
      </w:r>
    </w:p>
    <w:p>
      <w:pPr>
        <w:pStyle w:val="Normal"/>
        <w:widowControl/>
        <w:rPr/>
      </w:pPr>
      <w:r>
        <w:rPr/>
        <w:t>For the United States, a regulatory authority “finalizes its work” on a regulation when a final rule is signed and published in the Federal Register. 7. Each Party shall endeavor to promptly make publicly available any written comments it receives, except to the extent necessary to protect confidential information or withhold personal identifying information or inappropriate content. If it is impracticable to publish all the comments on the website provided for in Article 28.7 (Dedicated Website), the regulatory authority of a Party shall endeavor to publish those comments on its own website. 8. Before finalizing its work on a regulation, a regulatory authority of a Party shall evaluate any information provided in written comments received during the comment period. 9. When a regulatory authority of a Party finalizes its work on a regulation, the Party shall promptly publish the text of the regulation, any final impact assessment, and other items as set out in Article 28.12 (Final Publication). 10. The Parties are encouraged to publish government-generated items identified in this Article in a format that can be read and digitally processed through word searches and data mining by a computer or other technology.</w:t>
      </w:r>
    </w:p>
    <w:p>
      <w:pPr>
        <w:pStyle w:val="Normal"/>
        <w:keepNext w:val="true"/>
        <w:widowControl/>
        <w:rPr/>
      </w:pPr>
      <w:r>
        <w:rPr/>
        <w:t>Article 28.10: Expert Advisory Groups 1. The Parties recognize that their respective regulatory authorities may seek expert advice and recommendations with respect to the preparation or implementation of regulations from groups or bodies that include non-governmental persons. The Parties also recognize that obtaining those advice and recommendations should be a complement to, rather than a substitute for, the procedures for seeking public comment pursuant to Article 28.9.3 (Transparent Development of Regulations). 2. For the purposes of this Article, an expert group or body means a group or body: (a) established by a Party; (b) the membership of which includes persons who are not employees or contractors of the Party; and (c) the function of which includes providing advice or recommendations, including of a scientific or technical nature, to a regulatory authority of the Party with respect to the preparation or implementation of regulations.</w:t>
      </w:r>
    </w:p>
    <w:p>
      <w:pPr>
        <w:pStyle w:val="Normal"/>
        <w:widowControl/>
        <w:rPr/>
      </w:pPr>
      <w:r>
        <w:rPr/>
        <w:t>This Article does not apply to a group or body that is established to enhance intergovernmental coordination, or to provide advice related to international affairs, including national security.4 4 For greater certainty, this Article does not apply to Mexico’s National Standardization Advisory Committees (Comité Consultivo Nacional de Normalización), established under article 62 of the Federal Law on Metrology and Standardization. 3.</w:t>
      </w:r>
    </w:p>
    <w:p>
      <w:pPr>
        <w:pStyle w:val="Normal"/>
        <w:widowControl/>
        <w:rPr/>
      </w:pPr>
      <w:r>
        <w:rPr/>
        <w:t>Each Party shall encourage its regulatory authorities to ensure that the membership of any expert group or body includes a range and diversity of views and interests, as appropriate to the particular context. 4. Recognizing the importance of keeping the public informed with respect to the purpose, membership, and activities of expert groups and bodies, and that those expert groups or bodies can provide an important additional perspective or expertise on matters affecting government operations, each Party shall encourage its regulatory authorities to provide public notice of: (a) the name of any expert group or body it creates or uses, and the names of the members of the group or body and their affiliations; (b) the mandate and functions of the expert group or body; (c) information about upcoming meetings; and (d) a summary of the outcome of any meeting of an expert group or body. 5. Each Party shall endeavor, as appropriate, to make publicly available any documentation made available to or prepared for or by the expert group or body, and recognizes the importance of providing a means for interested persons to provide inputs to the expert groups or bodies.</w:t>
      </w:r>
    </w:p>
    <w:p>
      <w:pPr>
        <w:pStyle w:val="Normal"/>
        <w:keepNext w:val="true"/>
        <w:widowControl/>
        <w:rPr/>
      </w:pPr>
      <w:r>
        <w:rPr/>
        <w:t>Article 28.11: Regulatory Impact Assessment 1. The Parties recognize that regulatory impact assessment is a tool to assist regulatory authorities in assessing the need for and potential impacts of regulations they are preparing. Each Party should encourage the use of regulatory impact assessments in appropriate circumstances when developing proposed regulations that have anticipated costs or impacts exceeding certain thresholds established by the Party. 2. Each Party shall maintain procedures that promote the consideration of the following when conducting a regulatory impact assessment: (a) the need for a proposed regulation, including a description of the nature and significance of the problem the regulation is intended to address; (b) feasible and appropriate regulatory and non-regulatory alternatives that would address the need identified in subparagraph (a), including the alternative of not regulating;</w:t>
      </w:r>
    </w:p>
    <w:p>
      <w:pPr>
        <w:pStyle w:val="Normal"/>
        <w:widowControl/>
        <w:rPr/>
      </w:pPr>
      <w:r>
        <w:rPr/>
        <w:t>(c) benefits and costs of the selected and other feasible alternatives, including the relevant impacts (such as economic, social, environmental, public health, and safety effects) as well as risks and distributional effects over time, recognizing that some costs and benefits are difficult to quantify or monetize; and (d) the grounds for concluding that the selected alternative is preferable. 3. Each Party should consider whether a proposed regulation may have significant adverse economic effects on a substantial number of small enterprises.</w:t>
      </w:r>
    </w:p>
    <w:p>
      <w:pPr>
        <w:pStyle w:val="Normal"/>
        <w:widowControl/>
        <w:rPr/>
      </w:pPr>
      <w:r>
        <w:rPr/>
        <w:t>If so, the Party should consider potential steps to minimize those adverse economic impacts, while allowing the Party to fulfill its objectives.</w:t>
      </w:r>
    </w:p>
    <w:p>
      <w:pPr>
        <w:pStyle w:val="Normal"/>
        <w:keepNext w:val="true"/>
        <w:widowControl/>
        <w:rPr/>
      </w:pPr>
      <w:r>
        <w:rPr/>
        <w:t>Article 28.12: Final Publication 1. When a regulatory authority of a Party finalizes its work on a regulation, the Party shall promptly publish, in a final regulatory impact assessment or other document: (a) the date by which compliance is required; (b) an explanation of how the regulation achieves the Party’s objectives, the rationale for the material features of the regulation (to the extent different than the explanation provided for in Article 28.9 (Transparent Development of Regulations)), and the nature of and reasons for any significant revisions made since making the regulation available for public comment; (c) the regulatory authority’s views on any substantive issues raised in timely submitted comments; (d) major alternatives, if any, that the regulatory authority considered in developing the regulation and reasons supporting the alternative that it selected; and (e) the relationship between the regulation and the key evidence, data, and other information the regulatory authority considered in finalizing its work on the regulation. 2. Each Party shall ensure that all regulations in effect are published on a free, publicly available website.</w:t>
      </w:r>
    </w:p>
    <w:p>
      <w:pPr>
        <w:pStyle w:val="Normal"/>
        <w:keepNext w:val="true"/>
        <w:widowControl/>
        <w:rPr/>
      </w:pPr>
      <w:r>
        <w:rPr/>
        <w:t>Article 28.13: Retrospective Review 1. Each Party shall adopt or maintain procedures or mechanisms to conduct retrospective reviews of its regulations in order to determine whether modification or repeal is appropriate. Retrospective reviews may be initiated, for example, pursuant to a Party’s law, on a regulatory authority’s own initiative, or in response to a suggestion submitted pursuant to Article 28.14 (Suggestions for Improvement). 2. When conducting a retrospective review, each Party should consider, as appropriate: (a) the effectiveness of the regulation in meeting its initial stated objectives, for example by examining its actual social or economic impacts; (b) any circumstances that have changed since the development of the regulation, including availability of new information; (c) new opportunities to eliminate unnecessary regulatory burdens; (d) ways to address unnecessary regulatory differences that may adversely affect trade among the Parties, including through the activities listed in Article 28.17.3 (Encouragement of Regulatory Compatibility and Cooperation); and (e) any relevant views expressed by members of the public. 3.</w:t>
      </w:r>
    </w:p>
    <w:p>
      <w:pPr>
        <w:pStyle w:val="Normal"/>
        <w:widowControl/>
        <w:rPr/>
      </w:pPr>
      <w:r>
        <w:rPr/>
        <w:t>Each Party shall include among the procedures or mechanisms adopted pursuant to paragraph 1 provisions addressing impacts on small enterprises. 4. Each Party is encouraged to publish, to the extent available, any official plans and results of retrospective reviews.</w:t>
      </w:r>
    </w:p>
    <w:p>
      <w:pPr>
        <w:pStyle w:val="Normal"/>
        <w:keepNext w:val="true"/>
        <w:widowControl/>
        <w:rPr/>
      </w:pPr>
      <w:r>
        <w:rPr/>
        <w:t>Article 28.14: Suggestions for Improvement Each Party shall provide the opportunity for any interested person to submit to any regulatory authority of the Party written suggestions for the issuance, modification, or repeal of a regulation. The basis for those suggestions may include, for example, that, in the view of the interested person, the regulation has become ineffective at protecting health, welfare, or safety, has become more burdensome than necessary to achieve its objective (for example with respect to its impact on trade), fails to take into account changed circumstances (such as fundamental changes in technology, or relevant scientific and technical developments), or relies on incorrect or outdated information.</w:t>
      </w:r>
    </w:p>
    <w:p>
      <w:pPr>
        <w:pStyle w:val="Normal"/>
        <w:keepNext w:val="true"/>
        <w:widowControl/>
        <w:rPr/>
      </w:pPr>
      <w:r>
        <w:rPr/>
        <w:t>Article 28.15: Information About Regulatory Processes 1. Each Party shall publish online a description of the processes and mechanisms employed by its regulatory authorities to prepare, evaluate, or review regulations. The description shall identify the applicable guidelines, rules, or procedures, including those regarding opportunities for the public to provide input. 2. Each Party shall also publish online: (a) a description of the functions and organization of each of its regulatory authorities, including the appropriate offices through which persons can obtain information, make submissions or requests, or obtain decisions; (b) any procedural requirements or forms promulgated or utilized by any of its regulatory authorities; (c) the legal authority for verification, inspection, and compliance activities by its regulatory authorities; (d) information concerning the judicial or administrative procedures available to challenge regulations; and (e) any fees charged by a regulatory authority to a person of a Party for services rendered in connection with the implementation of a regulation, including for licensing, inspections, audits, and other administrative actions required under the Party’s law to import, export, sell, market, or use a good.</w:t>
      </w:r>
    </w:p>
    <w:p>
      <w:pPr>
        <w:pStyle w:val="Normal"/>
        <w:keepNext w:val="true"/>
        <w:widowControl/>
        <w:rPr/>
      </w:pPr>
      <w:r>
        <w:rPr/>
        <w:t>Article 28.16: Annual Report Each Party shall prepare and make freely and publicly available online, on an annual basis, a report setting forth: (a) to the extent feasible, an estimate regarding the annual costs and benefits of economically significant regulations, as established by the Party, issued in that period by its regulatory authorities, on an aggregate or individual basis; and (b) any changes, or any proposals to make changes, to its regulatory system.</w:t>
      </w:r>
    </w:p>
    <w:p>
      <w:pPr>
        <w:pStyle w:val="Normal"/>
        <w:keepNext w:val="true"/>
        <w:widowControl/>
        <w:rPr/>
      </w:pPr>
      <w:r>
        <w:rPr/>
        <w:t>Article 28.17: Encouragement of Regulatory Compatibility and Cooperation 1. The Parties recognize the important contribution of dialogues between their respective regulatory authorities in promoting regulatory compatibility and regulatory cooperation when appropriate, and in order to facilitate trade and investment and to achieve regulatory objectives. Accordingly, each Party should encourage its regulatory authorities to engage in mutually beneficial regulatory cooperation activities with relevant counterparts of one or more of the other Parties in appropriate circumstances to achieve these objectives. 2. The Parties recognize the valuable work of bilateral and trilateral cooperation fora, and intend to continue to work together to further regulatory compatibility on a mutually beneficial basis in such fora or under this Agreement. The Parties also recognize that effective regulatory cooperation requires the participation of regulatory authorities that possess the authority and technical expertise to develop, adopt, and implement regulations. Each Party should encourage input from members of the public to identify promising avenues for cooperation activities. 3.</w:t>
      </w:r>
    </w:p>
    <w:p>
      <w:pPr>
        <w:pStyle w:val="Normal"/>
        <w:widowControl/>
        <w:rPr/>
      </w:pPr>
      <w:r>
        <w:rPr/>
        <w:t>The Parties recognize that a broad range of mechanisms including those set forth in the WTO Agreement, exists to help minimize unnecessary regulatory differences and to facilitate trade or investment, while contributing to each Party’s ability to meet its public policy objectives.</w:t>
      </w:r>
    </w:p>
    <w:p>
      <w:pPr>
        <w:pStyle w:val="Normal"/>
        <w:widowControl/>
        <w:rPr/>
      </w:pPr>
      <w:r>
        <w:rPr/>
        <w:t>These mechanisms may include, as appropriate to the particular circumstances: (a) early stage formal or informal exchange of technical or scientific information or data, including coordinating research agendas, to reduce duplicative research; (b) exploring possible common approaches to the evaluation and mitigation of risks or hazards, including those potentially posed by the use of emerging technologies; (c) whenever appropriate, regulating by specifying performance requirements rather than design characteristics, to promote innovation and facilitate trade; (d) seeking to collaborate in relevant international fora; (e) exchanging information, such as of a technical or practical nature, on regulations that each Party is developing to maximize the opportunity for common approaches; (f) co-funding of research in support of regulations and implementation tools of joint interest; (g) facilitating the greater use of relevant international standards, guides, and recommendations as the basis for regulations, testing, and approval procedures; (h) when developing or implementing regulations, considering relevant scientific or technical guidance documents developed through international collaborative initiatives; (i) considering common approaches to the display of product or consumer information; (j) considering the development of compatible platforms or formats for industry submission of product information for regulatory review; (k) coordinating in the implementation of regulations</w:t>
      </w:r>
    </w:p>
    <w:p>
      <w:pPr>
        <w:pStyle w:val="Normal"/>
        <w:widowControl/>
        <w:rPr/>
      </w:pPr>
      <w:r>
        <w:rPr/>
        <w:t>and sharing compliance information, including, as appropriate by entering into confidentiality agreements; and (l) periodically exchanging information, as appropriate, concerning any planned or ongoing post-implementation review or evaluation of regulations in effect affecting trade or investment.</w:t>
      </w:r>
    </w:p>
    <w:p>
      <w:pPr>
        <w:pStyle w:val="Normal"/>
        <w:keepNext w:val="true"/>
        <w:widowControl/>
        <w:rPr/>
      </w:pPr>
      <w:r>
        <w:rPr/>
        <w:t>Article 28.18: Committee on Good Regulatory Practices 1. The Parties hereby establish a Committee on Good Regulatory Practices (the GRP Committee) composed of government representatives from each Party, including representatives from their central regulatory coordinating bodies as well as relevant regulatory agencies. 2. Through the GRP Committee, the Parties shall enhance their communication and collaboration in matters relating to this Chapter, including encouraging regulatory compatibility and regulatory cooperation, with a view to facilitating trade between the Parties. 3. The GRP Committee’s functions include: (a) monitoring the implementation and operation of this Chapter, including through updates on each Party’s regulatory practices and processes; (b) exchanging information on effective methods for implementing this Chapter, including with respect to approaches to regulatory cooperation, and relevant work in international fora; (c) consulting on matters and positions in advance for meetings in international fora that are related to the work of this Chapter, including opportunities for workshops, seminars and other relevant activities to support strengthening of good regulatory practices and to support improvements in approaches to regulatory cooperation.</w:t>
      </w:r>
    </w:p>
    <w:p>
      <w:pPr>
        <w:pStyle w:val="Normal"/>
        <w:widowControl/>
        <w:rPr/>
      </w:pPr>
      <w:r>
        <w:rPr/>
        <w:t>(d) considering suggestions from stakeholders regarding opportunities to strengthen the application of good regulatory practices; (e) considering developments in good regulatory practices and approaches to regulatory cooperation with a view to identifying future work for the GRP Committee or making recommendations as appropriate to the Commission for improving the operation and implementation of this Chapter; and (f) taking any other steps that the Parties consider will assist them in implementing this Chapter. 4. Each Party shall provide opportunities for persons of that Party to provide views on the implementation of this Chapter. 5. In carrying out its work, the GRP Committee shall take into account the activities of other committees, working groups and other subsidiary bodies established under this Agreement in order to avoid duplication of activities. 6. Unless the Parties decide otherwise, the GRP Committee shall meet at least once a year. The Parties shall endeavor to schedule meetings to permit participation of government representatives engaged in the work of other relevant chapters in this Agreement. The GRP Committee may also invite interested persons to contribute to its work. 7. The GRP Committee shall provide an annual report to the Commission on its activities.</w:t>
      </w:r>
    </w:p>
    <w:p>
      <w:pPr>
        <w:pStyle w:val="Normal"/>
        <w:keepNext w:val="true"/>
        <w:widowControl/>
        <w:rPr/>
      </w:pPr>
      <w:r>
        <w:rPr/>
        <w:t>Article 28.19: Contact Points Each Party shall designate and notify a contact point for matters arising under this Chapter, in accordance with Article 30.5 (Agreement Coordinator and Contact Points). A Party shall promptly notify the other Parties of any material changes to its contact point.</w:t>
      </w:r>
    </w:p>
    <w:p>
      <w:pPr>
        <w:pStyle w:val="Normal"/>
        <w:keepNext w:val="true"/>
        <w:widowControl/>
        <w:rPr/>
      </w:pPr>
      <w:r>
        <w:rPr/>
        <w:t>Article 28.20: Application of Dispute Settlement 1. Recognizing that a mutually acceptable solution can often be found outside recourse to dispute settlement, a Party shall exercise its judgement as to whether recourse to dispute settlement under Chapter 31 (Dispute Settlement) would be fruitful. 2. Chapter 31 (Dispute Settlement) shall apply with respect to a responding Party as of one year after the date of entry into force of this Agreement for that Party. 3. No Party shall have recourse to dispute settlement under Chapter 31 (Dispute Settlement) for a matter arising under this Chapter except to address a sustained or recurring course of action or inaction that is inconsistent with a provision of this Chapter.</w:t>
      </w:r>
    </w:p>
    <w:p>
      <w:pPr>
        <w:pStyle w:val="Normal"/>
        <w:widowControl/>
        <w:rPr/>
      </w:pPr>
      <w:r>
        <w:rPr/>
        <w:t>ANNEX 28-A ADDITIONAL PROVISIONS CONCERNING THE SCOPE OF “REGULATIONS” AND “REGULATORY AUTHORITIES” 1. The following measures are not regulations for the purposes of this Chapter: (a) for all Parties: general statements of policy or guidance that do not prescribe legally enforceable requirements; (b) for Canada: (i) a measure concerning: (A) a military, foreign affairs, or national security function of the Government of Canada, (B) public sector management, personnel, pensions, public property, loans, grants, benefits, or contracts, (C) departmental organization, procedure, or practice, (D) taxation, financial services or anti-money laundering measures, or (E) federal, provincial, territorial relations and agreements and relations with Aboriginal Peoples, or (ii) a measure that does not constitute a regulation under the Statutory Instruments Act; (c) for Mexico: a measure concerning: (i) taxation, specifically those related with contributions and their accessories, (ii) public servants responsibilities, (iii) agrarian and labor justice, (iv) financial services or anti-money laundering measures, (v) public prosecutor’s office executing its constitutional functions, or (vi) navy and defense; and (d) for the United States: a measure concerning:</w:t>
      </w:r>
    </w:p>
    <w:p>
      <w:pPr>
        <w:pStyle w:val="Normal"/>
        <w:widowControl/>
        <w:rPr/>
      </w:pPr>
      <w:r>
        <w:rPr/>
        <w:t>28-A-1 (i) a military or foreign affairs function of the United States, (ii) agency management, personnel, public property, loans, grants, benefits, or contracts, (iii) agency organization, procedure, or practice, or (iv) financial</w:t>
      </w:r>
    </w:p>
    <w:p>
      <w:pPr>
        <w:pStyle w:val="Normal"/>
        <w:widowControl/>
        <w:rPr/>
      </w:pPr>
      <w:r>
        <w:rPr/>
        <w:t>services or anti-money laundering measures. 2. The following entities are not a regulatory authorities for the purposes of this Chapter: (a) for Canada: the Governor in Council; and (b) for the United States: the President. 28-A-2</w:t>
      </w:r>
      <w:r>
        <w:br w:type="page"/>
      </w:r>
    </w:p>
    <w:p>
      <w:bookmarkStart w:id="1212" w:name="_NAESTMA_TOC_1212"/>
      <w:pPr>
        <w:pStyle w:val="Heading1"/>
        <w:keepNext/>
        <w:keepLines w:val="0"/>
        <w:pageBreakBefore/>
        <w:widowControl/>
        <w:rPr/>
      </w:pPr>
      <w:r>
        <w:rPr>
          <w:b/>
        </w:rPr>
        <w:t>CHAPTER 28 — CUSMA 2.0 STAKE AND FRICTION-REDUCTION PROVISIONS</w:t>
      </w:r>
      <w:bookmarkEnd w:id="1212"/>
    </w:p>
    <w:p>
      <w:bookmarkStart w:id="1213" w:name="_NAESTMA_TOC_1213"/>
      <w:pPr>
        <w:pStyle w:val="Heading2"/>
        <w:keepNext/>
        <w:widowControl/>
        <w:rPr/>
      </w:pPr>
      <w:r>
        <w:rPr>
          <w:b/>
        </w:rPr>
        <w:t>Article 28.A: Recognition, Equivalence, and Regulatory Autonomy</w:t>
      </w:r>
      <w:bookmarkEnd w:id="1213"/>
    </w:p>
    <w:p>
      <w:pPr>
        <w:pStyle w:val="Normal"/>
        <w:widowControl/>
        <w:rPr/>
      </w:pPr>
      <w:r>
        <w:rPr/>
        <w:t>1. The Parties shall seek mutual recognition of conformity-assessment results where confidence in the relevant bodies and procedures is sufficient. Where regulations differ but achieve a demonstrably equivalent level of protection, a Party shall give due consideration to recognizing regulatory equivalence without requiring harmonization.</w:t>
      </w:r>
    </w:p>
    <w:p>
      <w:pPr>
        <w:pStyle w:val="Normal"/>
        <w:widowControl/>
        <w:rPr/>
      </w:pPr>
      <w:r>
        <w:rPr/>
        <w:t>2. Harmonization is voluntary, sector-specific, and appropriate only where the Parties determine that common rules provide a material benefit. Nothing in this Article requires a Party to lower its chosen level of health, safety, environmental, consumer, labor, privacy, or other legitimate public protection.</w:t>
      </w:r>
    </w:p>
    <w:p>
      <w:bookmarkStart w:id="1214" w:name="_NAESTMA_TOC_1214"/>
      <w:pPr>
        <w:pStyle w:val="Heading2"/>
        <w:keepNext/>
        <w:widowControl/>
        <w:rPr/>
      </w:pPr>
      <w:r>
        <w:rPr>
          <w:b/>
        </w:rPr>
        <w:t>Article 28.B: Advance Regulatory Transparency and Emergency Exception</w:t>
      </w:r>
      <w:bookmarkEnd w:id="1214"/>
    </w:p>
    <w:p>
      <w:pPr>
        <w:pStyle w:val="Normal"/>
        <w:widowControl/>
        <w:rPr/>
      </w:pPr>
      <w:r>
        <w:rPr/>
        <w:t>1. For a proposed regulation reasonably expected to have a material effect on trade, a Party shall, where practicable, provide advance notice, a reasonable opportunity for comment, and a public explanation of the final measure and material comments received.</w:t>
      </w:r>
    </w:p>
    <w:p>
      <w:pPr>
        <w:pStyle w:val="Normal"/>
        <w:widowControl/>
        <w:rPr/>
      </w:pPr>
      <w:r>
        <w:rPr/>
        <w:t>2. Where urgent action is necessary, a Party may act without advance notice but shall provide prompt notice and a retrospective explanation and shall permit review or comment as soon as practicable.</w:t>
      </w:r>
    </w:p>
    <w:p>
      <w:bookmarkStart w:id="1215" w:name="_NAESTMA_TOC_1215"/>
      <w:pPr>
        <w:pStyle w:val="Heading2"/>
        <w:keepNext/>
        <w:widowControl/>
        <w:rPr/>
      </w:pPr>
      <w:r>
        <w:rPr>
          <w:b/>
        </w:rPr>
        <w:t>Article 28.C: Sector Technical Working Groups and North American Trade Friction Portal</w:t>
      </w:r>
      <w:bookmarkEnd w:id="1215"/>
    </w:p>
    <w:p>
      <w:pPr>
        <w:pStyle w:val="Normal"/>
        <w:widowControl/>
        <w:rPr/>
      </w:pPr>
      <w:r>
        <w:rPr/>
        <w:t>1. Existing committees may establish time-limited technical working groups for sectors experiencing material regulatory friction. No new permanent body is created unless the Commission determines that existing institutions cannot perform the function.</w:t>
      </w:r>
    </w:p>
    <w:p>
      <w:pPr>
        <w:pStyle w:val="Normal"/>
        <w:widowControl/>
        <w:rPr/>
      </w:pPr>
      <w:r>
        <w:rPr/>
        <w:t>2. The Treaty Integrity Secretariat shall maintain a public-facing Trade Friction Portal through which businesses, workers, consumers, and other stakeholders may report recurring customs, certification, regulatory, border-processing, or implementation barriers. Reports do not create private rights of action. The Secretariat shall aggregate patterns, protect confidential information, and refer material recurring issues to the competent committee.</w:t>
      </w:r>
    </w:p>
    <w:p>
      <w:pPr>
        <w:pStyle w:val="Normal"/>
        <w:widowControl/>
        <w:rPr/>
      </w:pPr>
      <w:r>
        <w:rPr/>
        <w:t>3. A single complaint creates no presumption of violation. A recurring pattern supported by evidence may trigger technical consultation, regulatory cooperation, or a Party-to-Party consultation under this Agreement.</w:t>
      </w:r>
      <w:r>
        <w:br w:type="page"/>
      </w:r>
    </w:p>
    <w:p>
      <w:bookmarkStart w:id="1216" w:name="_NAESTMA_TOC_1216"/>
      <w:pPr>
        <w:pStyle w:val="Heading1"/>
        <w:keepNext/>
        <w:keepLines w:val="0"/>
        <w:pageBreakBefore/>
        <w:widowControl/>
        <w:rPr/>
      </w:pPr>
      <w:bookmarkStart w:id="94" w:name="_Toc237912571"/>
      <w:r>
        <w:rPr/>
        <w:t>CHAPTER 29 PUBLICATION AND ADMINISTRATION Section A: Publication and Administration</w:t>
      </w:r>
      <w:bookmarkEnd w:id="94"/>
      <w:bookmarkEnd w:id="1216"/>
    </w:p>
    <w:p>
      <w:pPr>
        <w:pStyle w:val="Normal"/>
        <w:widowControl/>
        <w:rPr/>
      </w:pPr>
      <w:r>
        <w:rPr/>
        <w:t>Article 29.1: Definitions For the purposes of this Chapter: administrative ruling of general application means an administrative ruling or interpretation1 that applies to all persons and fact situations that fall generally within the ambit of that administrative ruling or interpretation and that establishes a norm of conduct, but does not include: (a) a determination or ruling made in an administrative or quasi-judicial proceeding that applies to a particular person, good, or service of another Party in a specific case; or (b) a ruling that adjudicates with respect to a particular act or practice.</w:t>
      </w:r>
    </w:p>
    <w:p>
      <w:pPr>
        <w:pStyle w:val="Normal"/>
        <w:keepNext w:val="true"/>
        <w:widowControl/>
        <w:rPr/>
      </w:pPr>
      <w:r>
        <w:rPr/>
        <w:t>Article 29.2: Publication 1. Each Party shall ensure that its laws, regulations, procedures, and administrative rulings of general application with respect to any matter covered by this Agreement are promptly published or otherwise made available in a manner that enables interested persons and the other Parties to become acquainted with them. To the extent possible, each Party shall make these measures available online. 2. Each Party shall, to the extent possible: (a) publish in advance a measure referred to in paragraph 1 that it proposes to adopt; and (b) provide interested persons and the other Parties a reasonable opportunity to comment on a proposed measure referred to in subparagraph (a). 3. Each Party shall ensure that its laws and regulations of general application at the central level of government are published on a free, publicly accessible website that is capable of performing searches for these laws and regulations by citation or through a word search, and shall ensure that this website is kept updated. Annex 29-A sets out each Party’s websites. 1 For greater certainty, an interpretation or ruling that is not binding is not an administrative ruling of general application.</w:t>
      </w:r>
    </w:p>
    <w:p>
      <w:pPr>
        <w:pStyle w:val="Normal"/>
        <w:keepNext w:val="true"/>
        <w:widowControl/>
        <w:rPr/>
      </w:pPr>
      <w:r>
        <w:rPr/>
        <w:t>Article 29.3: Administrative Proceedings With a view to administering all measures of general application with respect to any matter covered by this Agreement in a consistent, impartial, and reasonable manner, each Party shall ensure in its administrative proceedings2 applying measures referred to in Article 29.2.1 (Publication) to a particular person, good, or service of another Party in specific cases that: (a) a person of another Party that is directly affected by a proceeding is provided, whenever possible and, in accordance with domestic procedures, with reasonable notice of the initiation of a proceeding, including a description of the nature of the proceeding, a statement of the legal authority under which the proceeding is initiated and a general description of the issue in question; (b) a person of another Party that is directly affected by a proceeding is afforded a reasonable opportunity to present facts and arguments in support of that person’s position prior to any final administrative action, when time, the nature of the proceeding, and the public interest permit; and (c) the procedures are in accordance with its law.</w:t>
      </w:r>
    </w:p>
    <w:p>
      <w:pPr>
        <w:pStyle w:val="Normal"/>
        <w:keepNext w:val="true"/>
        <w:widowControl/>
        <w:rPr/>
      </w:pPr>
      <w:r>
        <w:rPr/>
        <w:t>Article 29.4: Review and Appeal 1. Each Party shall establish or maintain judicial, quasi-judicial, or administrative tribunals or procedures for the purpose of the prompt review and, if warranted, correction of a final administrative action with respect to any matter covered by this Agreement. These tribunals shall be impartial and independent of the office or authority entrusted with administrative enforcement and shall not have any substantial interest in the outcome of the matter. 2. Each Party shall ensure that, with respect to the tribunals or procedures referred to in paragraph 1, the parties to a proceeding are provided with the right to: (a) a reasonable opportunity to support or defend their respective positions; and (b) a decision based on the evidence and submissions of record or, if required by its law, the record compiled by the relevant authority. 3.</w:t>
      </w:r>
    </w:p>
    <w:p>
      <w:pPr>
        <w:pStyle w:val="Normal"/>
        <w:widowControl/>
        <w:rPr/>
      </w:pPr>
      <w:r>
        <w:rPr/>
        <w:t>Each Party shall ensure, subject to appeal or further review as provided for in its law, that the decision referred to in paragraph 2(b) be implemented by, and govern the practice of, the office or authority with respect to the administrative action at issue. 2 For greater certainty, administrative proceedings subject to this Article do not include proceedings that result in advisory opinions or decisions that are not legally binding. Section B: Transparency and Procedural Fairness for Pharmaceutical Products and Medical Devices3</w:t>
      </w:r>
    </w:p>
    <w:p>
      <w:pPr>
        <w:pStyle w:val="Normal"/>
        <w:keepNext w:val="true"/>
        <w:widowControl/>
        <w:rPr/>
      </w:pPr>
      <w:r>
        <w:rPr/>
        <w:t>Article 29.5: Definitions For the purposes of this Section: national health care authority means, with respect to a Party listed in Annex 29-B (Party- Specific Definitions), the relevant entity or entities specified therein, and with respect to any other Party, an entity that is part of or has been established by a Party’s central level of government to operate a national health care program; and national health care program means a health care program in which a national health care authority makes the determinations or recommendations regarding the listing of pharmaceutical products or medical devices for reimbursement, or regarding the setting of the amount of that reimbursement.</w:t>
      </w:r>
    </w:p>
    <w:p>
      <w:pPr>
        <w:pStyle w:val="Normal"/>
        <w:keepNext w:val="true"/>
        <w:widowControl/>
        <w:rPr/>
      </w:pPr>
      <w:r>
        <w:rPr/>
        <w:t>Article 29.6: Principles The Parties are committed to facilitating high-quality health care and continued improvements in public health for their nationals, including patients and the public. In pursuing these objectives, the Parties acknowledge the importance of the following principles: (a) the importance of protecting and promoting public health and the important role played by pharmaceutical products and medical devices4 in delivering high-quality health care; (b) the importance of research and development, including innovation associated with research and development, related to pharmaceutical products and medical devices; (c) the need to promote timely and affordable access to pharmaceutical products and medical devices, through transparent, impartial, expeditious, and accountable procedures, without prejudice to a Party’s right to apply appropriate standards of quality, safety, and efficacy; and 3 For greater certainty, the Parties confirm that the purpose of this Section is to ensure transparency and procedural fairness of relevant aspects of the Parties’ applicable systems relating to pharmaceutical products and medical devices, without prejudice to the obligations in this Chapter, and not to modify a Party’s system of health care in any other respects or a Party’s rights to determine health expenditure priorities.</w:t>
      </w:r>
    </w:p>
    <w:p>
      <w:pPr>
        <w:pStyle w:val="Normal"/>
        <w:widowControl/>
        <w:rPr/>
      </w:pPr>
      <w:r>
        <w:rPr/>
        <w:t>4 For the purposes of this Section, each Party shall define the scope of the products subject to its laws and regulations for pharmaceutical products and medical devices in its territory, and make that information publicly available. (d) the need to recognize the value of pharmaceutical products and medical devices through the operation of competitive markets or by adopting or maintaining procedures that appropriately value the objectively demonstrated therapeutic significance of a pharmaceutical product or medical device.</w:t>
      </w:r>
    </w:p>
    <w:p>
      <w:pPr>
        <w:pStyle w:val="Normal"/>
        <w:keepNext w:val="true"/>
        <w:widowControl/>
        <w:rPr/>
      </w:pPr>
      <w:r>
        <w:rPr/>
        <w:t>Article 29.7: Procedural Fairness To the extent that a Party’s national health care authority operates or maintains procedures for listing new pharmaceutical products or medical devices for reimbursement purposes, or setting the amount of that reimbursement, under a national health care program operated by the national health care authority,5, 6 that Party shall: (a) ensure that consideration of all formal and duly formulated proposals for such listing of pharmaceutical products or medical devices for reimbursement is completed within a specified period of time;7 (b) disclose procedural rules, methodologies, principles, and guidelines used to assess such proposals; (c) afford applicants 8 and, if appropriate, the public, timely opportunities to provide comments at relevant points in the decision-making process; (d) provide applicants with written information sufficient to comprehend the basis for recommendations or determinations regarding the listing of new pharmaceutical products or medical devices for reimbursement by its national health care authority; (e) make available: (i) an independent review process, or 5 This Section does not apply to government procurement of pharmaceutical products and medical devices.</w:t>
      </w:r>
    </w:p>
    <w:p>
      <w:pPr>
        <w:pStyle w:val="Normal"/>
        <w:widowControl/>
        <w:rPr/>
      </w:pPr>
      <w:r>
        <w:rPr/>
        <w:t>If a public entity providing health care services engages in government procurement for pharmaceutical products or medical devices, formulary development and management with respect to that activity by the national health care authority shall be considered an aspect of such government procurement. 6 This Section does not apply to procedures undertaken for the purpose of post-market subsidization of pharmaceutical products or medical devices procured by public health care entities if the pharmaceutical products or medical devices eligible for consideration are based on the products or devices that are procured by public health care entities. 7 In those cases in which a Party’s national health care authority is unable to complete consideration of a proposal within a specified period of time, the Party shall disclose the reason for the delay to the applicant and shall provide for another specified period of time for completing consideration of the proposal. 8 For greater certainty, each Party may define the persons or entities that qualify as an “applicant” under its laws, regulations, and procedures.</w:t>
      </w:r>
    </w:p>
    <w:p>
      <w:pPr>
        <w:pStyle w:val="Normal"/>
        <w:widowControl/>
        <w:rPr/>
      </w:pPr>
      <w:r>
        <w:rPr/>
        <w:t>(ii) an internal review process, such as by the same expert or group of experts that made the recommendation or determination, provided that the review process includes, at a minimum, a substantive reconsideration of the application,9 and that may be invoked at the request of an applicant directly affected by a recommendation or determination by a Party’s national health care authority not to list a pharmaceutical product or a medical device for reimbursement;10 and (f) provide written information to the public regarding recommendations or determinations, while protecting information considered to be confidential under the Party’s law.</w:t>
      </w:r>
    </w:p>
    <w:p>
      <w:pPr>
        <w:pStyle w:val="Normal"/>
        <w:keepNext w:val="true"/>
        <w:widowControl/>
        <w:rPr/>
      </w:pPr>
      <w:r>
        <w:rPr/>
        <w:t>Article 29.8: Dissemination of Information to Health Professionals and Consumers As is permitted to be disseminated under the Party’s laws, regulations, and procedures, each Party shall permit a pharmaceutical product manufacturer to disseminate to health professionals and consumers through the manufacturer’s website registered in the territory of the Party, and on other websites registered in the territory of the Party linked to that site, truthful and not misleading information regarding its pharmaceutical products that are approved for marketing in the Party’s territory. A Party may require that the information include a balance of risks and benefits and encompass all indications for which the Party’s competent regulatory authorities have approved the marketing of the pharmaceutical product.</w:t>
      </w:r>
    </w:p>
    <w:p>
      <w:pPr>
        <w:pStyle w:val="Normal"/>
        <w:keepNext w:val="true"/>
        <w:widowControl/>
        <w:rPr/>
      </w:pPr>
      <w:r>
        <w:rPr/>
        <w:t>Article 29.9: Consultations 1. To facilitate dialogue and mutual understanding of issues relating to this Section, each Party shall give sympathetic consideration to and shall afford adequate opportunity for consultations regarding a written request by another Party to consult on any matter related to this Section. The consultations shall take place within three months of the delivery of the request, except in exceptional circumstances or unless the consulting Parties decide otherwise.11 9 For greater certainty, the review process described in subparagraph (e)(i) may include a review process as described in subparagraph (e)(ii) other than one by the same expert or group of experts. 10 For greater certainty, subparagraph (e) does not require a Party to provide more than a single review for a request regarding a specific proposal or to review, in conjunction with the request, other proposals or the assessment related to those other proposals. Further, a Party may elect to provide the review specified in subparagraph (e) either with respect to a draft final recommendation or determination, or with respect to a final recommendation or determination.</w:t>
      </w:r>
    </w:p>
    <w:p>
      <w:pPr>
        <w:pStyle w:val="Normal"/>
        <w:widowControl/>
        <w:rPr/>
      </w:pPr>
      <w:r>
        <w:rPr/>
        <w:t>11 Nothing in this paragraph shall be construed as requiring a Party to review or change a decision regarding a specific application. 2.</w:t>
      </w:r>
    </w:p>
    <w:p>
      <w:pPr>
        <w:pStyle w:val="Normal"/>
        <w:widowControl/>
        <w:rPr/>
      </w:pPr>
      <w:r>
        <w:rPr/>
        <w:t>Consultations shall involve officials responsible for the oversight of the national health care authority or officials from each Party responsible for national health care programs and other appropriate government officials.</w:t>
      </w:r>
    </w:p>
    <w:p>
      <w:pPr>
        <w:pStyle w:val="Normal"/>
        <w:keepNext w:val="true"/>
        <w:widowControl/>
        <w:rPr/>
      </w:pPr>
      <w:r>
        <w:rPr/>
        <w:t>Article 29.10: Non-Application of Dispute Settlement No Party shall have recourse to dispute settlement under Chapter 31 (Dispute Settlement) for any matter arising under this Section.</w:t>
      </w:r>
    </w:p>
    <w:p>
      <w:pPr>
        <w:pStyle w:val="Normal"/>
        <w:widowControl/>
        <w:rPr/>
      </w:pPr>
      <w:r>
        <w:rPr/>
        <w:t>ANNEX 29-A PUBLICATION OF LAWS AND REGULATIONS OF GENERAL APPLICATION For the purpose of Article 29.2.3 (Publication), laws and regulations of general application of each Party are published in the following websites: (a) For Canada: http://laws.justice.gc.ca/eng/ See also: http://www.gazette.gc.ca/accueil-home-eng.html; (b) For Mexico: www.diputados.gob.mx/LeyesBiblio/index.htm See also: www.dof.gob.mx; and (c) For the United States: https://www.govinfo.gov/help/whats-available See also: http://uscode.house.gov/ (laws) https://www.ecfr.gov/cgi-bin/text-idx?tpl=%2Findex.tpl (regulations) 29-A-1</w:t>
      </w:r>
    </w:p>
    <w:p>
      <w:pPr>
        <w:pStyle w:val="Normal"/>
        <w:widowControl/>
        <w:rPr/>
      </w:pPr>
      <w:r>
        <w:rPr/>
        <w:t>ANNEX 29-B PARTY-SPECIFIC DEFINITIONS Further to the definition of national health care authority in Article 29.5 (Definitions), national health care authority means: (a) For Canada, the Federal Drug Benefits Committee. For greater certainty, Canada does not currently operate a national health care program within the scope of this Annex. (b) For the United States, the Centers for Medicare &amp; Medicaid Services (CMS), with respect to CMS’s role in making Medicare national coverage determinations. 29-B-1</w:t>
      </w:r>
      <w:r>
        <w:br w:type="page"/>
      </w:r>
    </w:p>
    <w:p>
      <w:bookmarkStart w:id="1217" w:name="_NAESTMA_TOC_1217"/>
      <w:pPr>
        <w:pStyle w:val="Heading1"/>
        <w:keepNext/>
        <w:keepLines w:val="0"/>
        <w:pageBreakBefore/>
        <w:widowControl/>
        <w:rPr/>
      </w:pPr>
      <w:r>
        <w:rPr>
          <w:b/>
        </w:rPr>
        <w:t>CHAPTER 29 — CUSMA 2.0 TRANSPARENCY AND RELIANCE PROVISIONS</w:t>
      </w:r>
      <w:bookmarkEnd w:id="1217"/>
    </w:p>
    <w:p>
      <w:bookmarkStart w:id="1218" w:name="_NAESTMA_TOC_1218"/>
      <w:pPr>
        <w:pStyle w:val="Heading2"/>
        <w:keepNext/>
        <w:widowControl/>
        <w:rPr/>
      </w:pPr>
      <w:r>
        <w:rPr>
          <w:b/>
        </w:rPr>
        <w:t>Article 29.A: Treaty-Relevant Financial and Institutional Transparency</w:t>
      </w:r>
      <w:bookmarkEnd w:id="1218"/>
    </w:p>
    <w:p>
      <w:pPr>
        <w:pStyle w:val="Normal"/>
        <w:widowControl/>
        <w:rPr/>
      </w:pPr>
      <w:r>
        <w:rPr/>
        <w:t>1. Each Party shall maintain public information sufficient to identify material government ownership or control of state-owned enterprises covered by this Agreement, including ownership or voting structure, material special rights, and material non-commercial assistance, subject to legitimate confidentiality protections.</w:t>
      </w:r>
    </w:p>
    <w:p>
      <w:pPr>
        <w:pStyle w:val="Normal"/>
        <w:widowControl/>
        <w:rPr/>
      </w:pPr>
      <w:r>
        <w:rPr/>
        <w:t>2. Where information required to verify a claimed special treaty benefit, subsidy treatment, procurement eligibility, or state-owned-enterprise status is not provided after notice and a reasonable cure period, the competent panel may draw a rebuttable adverse inference limited to the matter for which the information is material.</w:t>
      </w:r>
    </w:p>
    <w:p>
      <w:pPr>
        <w:pStyle w:val="Normal"/>
        <w:widowControl/>
        <w:rPr/>
      </w:pPr>
      <w:r>
        <w:rPr/>
        <w:t>3. Each Party shall maintain effective domestic rules for disclosure, recusal, or management of significant financial conflicts of interest by senior officials exercising material authority over extraordinary trade actions. This Agreement does not prescribe the form of a Party’s general personal financial-disclosure regime.</w:t>
      </w:r>
    </w:p>
    <w:p>
      <w:bookmarkStart w:id="1219" w:name="_NAESTMA_TOC_1219"/>
      <w:pPr>
        <w:pStyle w:val="Heading2"/>
        <w:keepNext/>
        <w:widowControl/>
        <w:rPr/>
      </w:pPr>
      <w:r>
        <w:rPr>
          <w:b/>
        </w:rPr>
        <w:t>Article 29.B: Dispute and Trade-Action Transparency</w:t>
      </w:r>
      <w:bookmarkEnd w:id="1219"/>
    </w:p>
    <w:p>
      <w:pPr>
        <w:pStyle w:val="Normal"/>
        <w:widowControl/>
        <w:rPr/>
      </w:pPr>
      <w:r>
        <w:rPr/>
        <w:t>1. Panel requests, non-confidential submissions, final reports, compliance findings, and hearing transcripts shall be publicly accessible in a standardized electronic docket, subject to protection of confidential business information, personal information, privileged communications, classified information, protected Indigenous knowledge, and information whose disclosure would create a material cybersecurity or national-security risk.</w:t>
      </w:r>
    </w:p>
    <w:p>
      <w:pPr>
        <w:pStyle w:val="Normal"/>
        <w:widowControl/>
        <w:rPr/>
      </w:pPr>
      <w:r>
        <w:rPr/>
        <w:t>2. Each Party shall publish annually a machine-readable report describing extraordinary trade measures affecting another Party, the legal authority relied upon, duration, revenue collected where applicable, status of disputes, compliance outcomes, and termination or renewal of temporary measures.</w:t>
      </w:r>
    </w:p>
    <w:p>
      <w:bookmarkStart w:id="1220" w:name="_NAESTMA_TOC_1220"/>
      <w:pPr>
        <w:pStyle w:val="Heading2"/>
        <w:keepNext/>
        <w:widowControl/>
        <w:rPr/>
      </w:pPr>
      <w:r>
        <w:rPr>
          <w:b/>
        </w:rPr>
        <w:t>Article 29.C: Reliance on Advance Customs and Administrative Rulings</w:t>
      </w:r>
      <w:bookmarkEnd w:id="1220"/>
    </w:p>
    <w:p>
      <w:pPr>
        <w:pStyle w:val="Normal"/>
        <w:widowControl/>
        <w:rPr/>
      </w:pPr>
      <w:r>
        <w:rPr/>
        <w:t>1. A person that reasonably relies on a written advance ruling issued by a competent customs or administrative authority may rely on that ruling for transactions undertaken before its lawful modification or revocation, except in cases of fraud, material omission, misrepresentation, or a clearly stated urgent public-interest exception.</w:t>
      </w:r>
    </w:p>
    <w:p>
      <w:pPr>
        <w:pStyle w:val="Normal"/>
        <w:widowControl/>
        <w:rPr/>
      </w:pPr>
      <w:r>
        <w:rPr/>
        <w:t>2. Modifications and revocations operate prospectively wherever practicable and shall state reasons. This Article does not require compensation for ordinary good-faith administrative error, but does not preclude remedies otherwise available under domestic law.</w:t>
      </w:r>
      <w:r>
        <w:br w:type="page"/>
      </w:r>
    </w:p>
    <w:p>
      <w:bookmarkStart w:id="1221" w:name="_NAESTMA_TOC_1221"/>
      <w:pPr>
        <w:pStyle w:val="Heading1"/>
        <w:keepNext/>
        <w:keepLines w:val="0"/>
        <w:pageBreakBefore/>
        <w:widowControl/>
        <w:rPr/>
      </w:pPr>
      <w:bookmarkStart w:id="95" w:name="_Toc237912572"/>
      <w:r>
        <w:rPr/>
        <w:t>CHAPTER 30 ADMINISTRATIVE AND INSTITUTIONAL PROVISIONS</w:t>
      </w:r>
      <w:bookmarkEnd w:id="95"/>
      <w:bookmarkEnd w:id="1221"/>
    </w:p>
    <w:p>
      <w:pPr>
        <w:pStyle w:val="Normal"/>
        <w:widowControl/>
        <w:rPr/>
      </w:pPr>
      <w:r>
        <w:rPr/>
        <w:t>Article 30.1: Establishment of the Free Trade Commission The Parties hereby establish a Free Trade Commission (Commission), composed of government representatives of each Party at the level of Ministers or their designees.</w:t>
      </w:r>
    </w:p>
    <w:p>
      <w:pPr>
        <w:pStyle w:val="Normal"/>
        <w:keepNext w:val="true"/>
        <w:widowControl/>
        <w:rPr/>
      </w:pPr>
      <w:r>
        <w:rPr/>
        <w:t>Article 30.2: Functions of the Commission 1. The Commission shall: (a) consider matters relating to the implementation or operation of this Agreement; (b) consider proposals to amend or modify this Agreement; (c) supervise the work of committees, working groups, and other subsidiary bodies established under this Agreement; (d) consider ways to further enhance trade and investment between the Parties; (e) adopt and update the Rules of Procedure and Code of Conduct applicable to dispute settlement proceedings; and (f) review the roster established under Article 31.8 (Roster and Qualifications of Panelists) every three years and, when appropriate, constitute a new roster. 2. The Commission may: (a) establish, refer matters to, or consider matters raised by, an ad hoc or standing committee, working group, or other subsidiary body; (b) merge or dissolve a committee, working group, or other subsidiary body established under this Agreement in order to improve the functioning of this Agreement; (c) consider and adopt, subject to completion of applicable legal procedures by each Party, a modification to this Agreement of:</w:t>
      </w:r>
    </w:p>
    <w:p>
      <w:pPr>
        <w:pStyle w:val="Normal"/>
        <w:widowControl/>
        <w:rPr/>
      </w:pPr>
      <w:r>
        <w:rPr/>
        <w:t>(i) the Schedules to Annex 2-B (Tariff Commitments), by accelerating tariff elimination or improving market access conditions, (ii) the adjustments to the Tariff Preferential Levels established in Chapter 6 (Textile and Apparel Goods), (iii) the rules of origin established in Annex 4-B (Product-Specific Rules of Origin), (iv) the minimum data requirements for the</w:t>
      </w:r>
    </w:p>
    <w:p>
      <w:pPr>
        <w:pStyle w:val="Normal"/>
        <w:widowControl/>
        <w:rPr/>
      </w:pPr>
      <w:r>
        <w:rPr/>
        <w:t>certification of origin, (v) any provision as may be required to conform with any change to the Harmonized System, or (vi) the lists of entities, covered goods and services, and thresholds contained in the Schedules to Chapter 13 (Government Procurement); (d) develop arrangements for implementing this Agreement; (e) seek to resolve differences or disputes that may arise regarding the interpretation or application of this Agreement; (f) issue interpretations of the provisions of this Agreement;1 (g) seek the advice of non-governmental persons or groups; (h) modify any Uniform Regulations agreed jointly by the Parties under Article 5.16 (Uniform Regulations), subject to completion of applicable legal procedures by each Party; and (i) take any other action as the Parties may decide. 3. For the purposes of an action with respect to a provision that applies only as between two Parties, including the interpretation, amendment, or modification of that provision, the Commission shall be composed of, and decisions taken by, the Commission representatives of those Parties.</w:t>
      </w:r>
    </w:p>
    <w:p>
      <w:pPr>
        <w:pStyle w:val="Normal"/>
        <w:keepNext w:val="true"/>
        <w:widowControl/>
        <w:rPr/>
      </w:pPr>
      <w:r>
        <w:rPr/>
        <w:t>Article 30.3: Decision-Making The Commission and subsidiary bodies established under this Agreement shall take decisions by consensus, except as otherwise provided in this Agreement, as otherwise decided by the Parties, or as provided for in Article 30.2.3 (Functions of the Commission). Unless otherwise For greater certainty, interpretations issued by the Commission are binding for tribunals and panels established under Chapter 14 (Investment) and Chapter 31 (Dispute Settlement). provided in this Agreement, the Commission or a subsidiary body shall be deemed to have taken a decision by consensus if all Parties are present at a meeting when a decision is taken and no Party present at the meeting when a decision is taken objects to the proposed decision.</w:t>
      </w:r>
    </w:p>
    <w:p>
      <w:pPr>
        <w:pStyle w:val="Normal"/>
        <w:keepNext w:val="true"/>
        <w:widowControl/>
        <w:rPr/>
      </w:pPr>
      <w:r>
        <w:rPr/>
        <w:t>Article 30.4: Rules of Procedure of the Commission and Subsidiary Bodies 1. The Commission shall meet within one year of the date of entry into force of this Agreement and thereafter as the Parties may decide, including as necessary to fulfil its functions under Article 30.2 (Functions of the Commission). Meetings of the Commission shall be chaired successively by each Party. 2. The Party chairing a meeting of the Commission shall provide any necessary administrative support for the meeting. 3. Unless otherwise provided in this Agreement, the Commission and a subsidiary body established under this Agreement shall carry out its work through whatever means are appropriate, which may include electronic mail or videoconferencing. 4. The Commission and a subsidiary body established under this Agreement may establish rules of procedures for the conduct of its work.</w:t>
      </w:r>
    </w:p>
    <w:p>
      <w:pPr>
        <w:pStyle w:val="Normal"/>
        <w:keepNext w:val="true"/>
        <w:widowControl/>
        <w:rPr/>
      </w:pPr>
      <w:r>
        <w:rPr/>
        <w:t>Article 30.5: Agreement Coordinator and Contact Points 1. Each Party shall designate an Agreement Coordinator to facilitate communications between the Parties on any matter covered by this Agreement, as well as other contact points as required by this Agreement. 2. Unless otherwise provided in this Agreement, each Party shall notify the other Parties in writing of its Agreement Coordinator and any other contact point provided for in this Agreement no later than 60 days after the date of entry into force of this Agreement. 3. Each Party shall promptly notify the other Parties, in writing, of any changes to its Agreement Coordinator or any other contact point. 4. On the request of another Party, the Agreement Coordinator shall identify the office or official responsible for a matter and assist, as necessary, in facilitating communication with the requesting Party.</w:t>
      </w:r>
    </w:p>
    <w:p>
      <w:pPr>
        <w:pStyle w:val="Normal"/>
        <w:keepNext w:val="true"/>
        <w:widowControl/>
        <w:rPr/>
      </w:pPr>
      <w:r>
        <w:rPr/>
        <w:t>Article 30.6: The Secretariat 1. The Commission shall establish and oversee a Secretariat comprising national Sections. 2. Each Party shall: (a) establish and maintain a permanent office of its Section and be responsible for its operation and costs; (b) designate an individual to serve as Secretary for its Section, who shall be responsible for its administration and management; and (c) notify the other Parties of the contact information for its Section’s office. 3. The Secretariat shall: (a) provide assistance to the Commission; (b) provide administrative assistance to: (i) panels and committees established under Section D of Chapter 10 (Review and Dispute Settlement in Antidumping and Countervailing Duty Matters), and (ii) panels established under Chapter 31 (Dispute Settlement); (c) be responsible for the payment of remuneration to and expenses of panelists, assistants, and experts involved in dispute settlement proceedings under Chapter 31 (Dispute Settlement); and (d) as the Commission may direct: (i) support the work of other committees and groups established under this Agreement, and (ii) otherwise facilitate the operation of this Agreement.</w:t>
      </w:r>
    </w:p>
    <w:p>
      <w:pPr>
        <w:pStyle w:val="ModHeading"/>
        <w:widowControl/>
        <w:rPr/>
      </w:pPr>
      <w:bookmarkStart w:id="96" w:name="_Toc237912573"/>
      <w:r>
        <w:rPr/>
        <w:t>CHAPTER 30 — CUSMA 2.0 MODERNIZATION PROVISIONS</w:t>
      </w:r>
      <w:bookmarkEnd w:id="96"/>
    </w:p>
    <w:p>
      <w:pPr>
        <w:pStyle w:val="Normal"/>
        <w:widowControl/>
        <w:rPr/>
      </w:pPr>
      <w:r>
        <w:rPr>
          <w:i/>
        </w:rPr>
        <w:t>The provisions of this Part amend Chapter 30 (Administrative and Institutional Provisions).</w:t>
      </w:r>
    </w:p>
    <w:p>
      <w:bookmarkStart w:id="1222" w:name="_NAESTMA_TOC_1222"/>
      <w:pPr>
        <w:pStyle w:val="Heading2"/>
        <w:keepNext/>
        <w:widowControl/>
        <w:rPr/>
      </w:pPr>
      <w:bookmarkStart w:id="97" w:name="_Toc237912574"/>
      <w:r>
        <w:rPr/>
        <w:t>Article 30.A: Institutional Architecture — Consolidated Structure</w:t>
      </w:r>
      <w:bookmarkEnd w:id="97"/>
      <w:bookmarkEnd w:id="1222"/>
    </w:p>
    <w:p>
      <w:pPr>
        <w:pStyle w:val="Normal"/>
        <w:widowControl/>
        <w:rPr/>
      </w:pPr>
      <w:r>
        <w:rPr/>
        <w:t>1. Treaty-level institutional functions added by this modernization shall be assigned through the consolidated architecture in this Article and Article 30.C.1. A reference elsewhere in this Agreement to a panel, facility, registry, working group, or secretariat does not by itself create a separately staffed permanent institution where the function can be performed through the Commission, the Secretariat, an existing committee, a national authority, or an ad hoc roster mechanism.</w:t>
      </w:r>
    </w:p>
    <w:p>
      <w:pPr>
        <w:pStyle w:val="Normal"/>
        <w:widowControl/>
        <w:rPr/>
      </w:pPr>
      <w:r>
        <w:rPr/>
        <w:t>(a) the treaty-integrity functions described in Article 35.28 are performed within the Secretariat under Article 30.6 and include administration of the North American Trade Measures Registry, the Shared Trade Data Registry, any activated escrow or compensation mechanism, and administrative support for verification teams;</w:t>
      </w:r>
    </w:p>
    <w:p>
      <w:pPr>
        <w:pStyle w:val="Normal"/>
        <w:widowControl/>
        <w:rPr/>
      </w:pPr>
      <w:r>
        <w:rPr/>
        <w:t>(b) the North American Trade Verification mechanism in Article 35.10 operates through ad hoc Verification Teams drawn from maintained rosters and lists and is not a separately staffed permanent panel;</w:t>
      </w:r>
    </w:p>
    <w:p>
      <w:pPr>
        <w:pStyle w:val="Normal"/>
        <w:widowControl/>
        <w:rPr/>
      </w:pPr>
      <w:r>
        <w:rPr/>
        <w:t>(c) oversight of Chapter 35 is exercised by the Commission, which may convene designated senior officials in a treaty-integrity session under Article 35.28 without creating a separate permanent committee;</w:t>
      </w:r>
    </w:p>
    <w:p>
      <w:pPr>
        <w:pStyle w:val="Normal"/>
        <w:widowControl/>
        <w:rPr/>
      </w:pPr>
      <w:r>
        <w:rPr/>
        <w:t xml:space="preserve">(d) the </w:t>
      </w:r>
      <w:r>
        <w:rPr>
          <w:b/>
        </w:rPr>
        <w:t>Economic Security and Supply Chain Resilience Subcommittee</w:t>
      </w:r>
      <w:r>
        <w:rPr/>
        <w:t xml:space="preserve"> (Article 36.3), under the Committee on Competitiveness;</w:t>
      </w:r>
    </w:p>
    <w:p>
      <w:pPr>
        <w:pStyle w:val="Normal"/>
        <w:widowControl/>
        <w:rPr/>
      </w:pPr>
      <w:r>
        <w:rPr/>
        <w:t xml:space="preserve">(e) the </w:t>
      </w:r>
      <w:r>
        <w:rPr>
          <w:b/>
        </w:rPr>
        <w:t>Committee on Digital Trade Cooperation</w:t>
      </w:r>
      <w:r>
        <w:rPr/>
        <w:t xml:space="preserve"> (Article 19.F), reporting directly to the Commission;</w:t>
      </w:r>
    </w:p>
    <w:p>
      <w:pPr>
        <w:pStyle w:val="Normal"/>
        <w:widowControl/>
        <w:rPr/>
      </w:pPr>
      <w:r>
        <w:rPr/>
        <w:t xml:space="preserve">(f) the </w:t>
      </w:r>
      <w:r>
        <w:rPr>
          <w:b/>
        </w:rPr>
        <w:t>Emergency Trade Coordination Body</w:t>
      </w:r>
      <w:r>
        <w:rPr/>
        <w:t xml:space="preserve"> (Article 38.5), activated only as provided in Chapter 38; and</w:t>
      </w:r>
    </w:p>
    <w:p>
      <w:pPr>
        <w:pStyle w:val="Normal"/>
        <w:widowControl/>
        <w:rPr/>
      </w:pPr>
      <w:r>
        <w:rPr/>
        <w:t xml:space="preserve">(g) the </w:t>
      </w:r>
      <w:r>
        <w:rPr>
          <w:b/>
        </w:rPr>
        <w:t>Grid Resilience Working Group</w:t>
      </w:r>
      <w:r>
        <w:rPr/>
        <w:t xml:space="preserve"> (Article 40.3), under the Subcommittee in subparagraph (d).</w:t>
      </w:r>
    </w:p>
    <w:p>
      <w:pPr>
        <w:pStyle w:val="Normal"/>
        <w:widowControl/>
        <w:rPr/>
      </w:pPr>
      <w:r>
        <w:rPr/>
        <w:t>2. Each body or function listed in paragraph 1 shall use the rules, meeting frequency, reporting route, and administrative support specified in its constitutive Article. Reporting shall be consolidated wherever practicable so that substantially identical information is not required by multiple bodies. No additional permanent body is created by this modernization unless the Commission satisfies Article 30.C.1 and the Agreement expressly authorizes its creation.</w:t>
      </w:r>
    </w:p>
    <w:p>
      <w:bookmarkStart w:id="1223" w:name="_NAESTMA_TOC_1223"/>
      <w:pPr>
        <w:pStyle w:val="Heading2"/>
        <w:keepNext/>
        <w:widowControl/>
        <w:rPr/>
      </w:pPr>
      <w:bookmarkStart w:id="98" w:name="_Toc237912575"/>
      <w:r>
        <w:rPr/>
        <w:t>Article 30.B: Secretariat Functions</w:t>
      </w:r>
      <w:bookmarkEnd w:id="98"/>
      <w:bookmarkEnd w:id="1223"/>
    </w:p>
    <w:p>
      <w:pPr>
        <w:pStyle w:val="Normal"/>
        <w:widowControl/>
        <w:rPr/>
      </w:pPr>
      <w:r>
        <w:rPr/>
        <w:t>1. Article 30.6 (The Secretariat) is supplemented as follows: the Secretariat shall also be responsible for:</w:t>
      </w:r>
    </w:p>
    <w:p>
      <w:pPr>
        <w:pStyle w:val="Normal"/>
        <w:widowControl/>
        <w:rPr/>
      </w:pPr>
      <w:r>
        <w:rPr/>
        <w:t>(a) performing the treaty-integrity administrative functions assigned by Article 35.28, including operation of the Registry and Shared Trade Data Registry and administration of any escrow or compensation mechanism activated in accordance with this Agreement;</w:t>
      </w:r>
    </w:p>
    <w:p>
      <w:pPr>
        <w:pStyle w:val="Normal"/>
        <w:widowControl/>
        <w:rPr/>
      </w:pPr>
      <w:r>
        <w:rPr/>
        <w:t>(b) technical and administrative support to ad hoc Verification Teams and other roster-based proceedings;</w:t>
      </w:r>
    </w:p>
    <w:p>
      <w:pPr>
        <w:pStyle w:val="Normal"/>
        <w:widowControl/>
        <w:rPr/>
      </w:pPr>
      <w:r>
        <w:rPr/>
        <w:t>(c) administrative support to the bodies listed in Article 30.A.</w:t>
      </w:r>
    </w:p>
    <w:p>
      <w:bookmarkStart w:id="1224" w:name="_NAESTMA_TOC_1224"/>
      <w:pPr>
        <w:pStyle w:val="Heading2"/>
        <w:keepNext/>
        <w:widowControl/>
        <w:rPr/>
      </w:pPr>
      <w:bookmarkStart w:id="99" w:name="_Toc237912576"/>
      <w:r>
        <w:rPr/>
        <w:t>Article 30.C: Institutional Deadlines and Anti-Deadlock</w:t>
      </w:r>
      <w:bookmarkEnd w:id="99"/>
      <w:bookmarkEnd w:id="1224"/>
    </w:p>
    <w:p>
      <w:pPr>
        <w:pStyle w:val="Normal"/>
        <w:widowControl/>
        <w:rPr/>
      </w:pPr>
      <w:r>
        <w:rPr/>
        <w:t>1. Where this Agreement requires a committee or the Commission to act and does not fix a deadline, the body shall act within 90 days of the matter being placed on its agenda at the request of a Party.</w:t>
      </w:r>
    </w:p>
    <w:p>
      <w:pPr>
        <w:pStyle w:val="Normal"/>
        <w:widowControl/>
        <w:rPr/>
      </w:pPr>
      <w:r>
        <w:rPr/>
        <w:t>2. A body shall not fail to meet a treaty-mandated function by reason of a vacancy or non-designation; the anti-deadlock procedures of Article 31.8 as amended and Article 31.C apply, mutatis mutandis, to rosters, lists, and appointments under this Agreement.</w:t>
      </w:r>
    </w:p>
    <w:p>
      <w:bookmarkStart w:id="1225" w:name="_NAESTMA_TOC_1225"/>
      <w:pPr>
        <w:pStyle w:val="Heading2"/>
        <w:keepNext/>
        <w:widowControl/>
        <w:rPr/>
      </w:pPr>
      <w:r>
        <w:rPr/>
        <w:t>Article 30.C.1: No-Unnecessary-Institution Rule</w:t>
      </w:r>
      <w:bookmarkEnd w:id="1225"/>
    </w:p>
    <w:p>
      <w:pPr>
        <w:pStyle w:val="Normal"/>
        <w:widowControl/>
        <w:rPr/>
      </w:pPr>
      <w:r>
        <w:rPr/>
        <w:t>1. Before establishing, activating, or separately staffing a new permanent body, facility, secretariat, registry authority, or standing panel, the Commission shall determine whether the function can reasonably be assigned to the Commission, Secretariat, an existing committee or subcommittee, a customs or other competent national administration, a national contact point, or an ad hoc technical or adjudicative group.</w:t>
      </w:r>
    </w:p>
    <w:p>
      <w:pPr>
        <w:pStyle w:val="Normal"/>
        <w:widowControl/>
        <w:rPr/>
      </w:pPr>
      <w:r>
        <w:rPr/>
        <w:t>2. A new permanent institution shall be created only where this Agreement expressly authorizes it and the Commission records a specific operational need that cannot be met efficiently through existing institutions or an ad hoc mechanism. The determination shall identify the proposed mandate, relationship to existing bodies, expected administrative burden, reporting line, and a review or sunset point where appropriate.</w:t>
      </w:r>
    </w:p>
    <w:p>
      <w:pPr>
        <w:pStyle w:val="Normal"/>
        <w:widowControl/>
        <w:rPr/>
      </w:pPr>
      <w:r>
        <w:rPr/>
        <w:t>3. Existing bodies may receive additional administrative functions without renaming, duplicating, or multiplying institutions, provided substantive authority is not expanded beyond this Agreement without the required amendment procedure. Where two provisions assign substantially overlapping administrative functions, the Commission shall consolidate implementation under the narrower existing body or the Secretariat and publish the resulting allocation of responsibility.</w:t>
      </w:r>
    </w:p>
    <w:p>
      <w:pPr>
        <w:pStyle w:val="Normal"/>
        <w:widowControl/>
        <w:rPr/>
      </w:pPr>
      <w:r>
        <w:rPr/>
        <w:t>4. The Secretariat shall maintain a public institutional map showing each body's or standing function's mandate, principal contact route, reporting line, and relationship to overlapping provisions. The map is explanatory only and does not amend this Agreement.</w:t>
      </w:r>
      <w:r>
        <w:br w:type="page"/>
      </w:r>
    </w:p>
    <w:p>
      <w:bookmarkStart w:id="1226" w:name="_NAESTMA_TOC_1226"/>
      <w:pPr>
        <w:pStyle w:val="Heading1"/>
        <w:keepNext/>
        <w:keepLines w:val="0"/>
        <w:pageBreakBefore/>
        <w:widowControl/>
        <w:rPr/>
      </w:pPr>
      <w:bookmarkStart w:id="100" w:name="_Toc237912577"/>
      <w:r>
        <w:rPr/>
        <w:t>CHAPTER 31 DISPUTE SETTLEMENT Section A: Dispute Settlement</w:t>
      </w:r>
      <w:bookmarkEnd w:id="100"/>
      <w:bookmarkEnd w:id="1226"/>
    </w:p>
    <w:p>
      <w:pPr>
        <w:pStyle w:val="Normal"/>
        <w:widowControl/>
        <w:rPr/>
      </w:pPr>
      <w:r>
        <w:rPr/>
        <w:t>Article 31.1: Cooperation The Parties shall at all times endeavor to agree on the interpretation and application of this Agreement, and shall make every attempt through cooperation and consultations to arrive at a mutually satisfactory resolution of a matter that might affect its operation or application.</w:t>
      </w:r>
    </w:p>
    <w:p>
      <w:pPr>
        <w:pStyle w:val="Normal"/>
        <w:keepNext w:val="true"/>
        <w:widowControl/>
        <w:rPr/>
      </w:pPr>
      <w:r>
        <w:rPr/>
        <w:t>Article 31.2: Scope 1. Unless otherwise provided for in this Agreement, the dispute settlement provisions of this Chapter apply: (a) with respect to the avoidance or settlement of disputes between the Parties regarding the interpretation or application of this Agreement; (b) when a Party considers that an actual or proposed measure of another Party is or would be inconsistent with an obligation of this Agreement or that another Party has otherwise failed to carry out an obligation of this Agreement; or (c) when a Party considers that a benefit it could reasonably have expected to accrue to it under Chapter 2 (National Treatment and Market Access for Goods), Chapter 3 (Agriculture), Chapter 4 (Rules of Origin), Chapter 5 (Origin Procedures), Chapter 6 (Textile and Apparel Goods), Chapter 7 (Customs Administration and Trade Facilitation), Chapter 9 (Sanitary and Phytosanitary Measures), Chapter 11 (Technical Barriers to Trade), Chapter 13 (Government Procurement), Chapter 15 (Cross-Border Trade in Services), or Chapter 20 (Intellectual Property Rights), is being nullified or impaired as a result of the application of a measure of another Party that is not inconsistent with this Agreement.</w:t>
      </w:r>
    </w:p>
    <w:p>
      <w:pPr>
        <w:pStyle w:val="Normal"/>
        <w:keepNext w:val="true"/>
        <w:widowControl/>
        <w:rPr/>
      </w:pPr>
      <w:r>
        <w:rPr/>
        <w:t>Article 31.3: Choice of Forum 1. If a dispute regarding a matter arises under this Agreement and under another international trade agreement to which the disputing Parties are party, including the WTO Agreement, the complaining Party may select the forum in which to settle the dispute. 2. Once a complaining Party has requested the establishment of, or referred a matter to, a panel under this Chapter or a panel or tribunal under an agreement referred to in paragraph 1, the forum selected shall be used to the exclusion of other fora.</w:t>
      </w:r>
    </w:p>
    <w:p>
      <w:pPr>
        <w:pStyle w:val="Normal"/>
        <w:keepNext w:val="true"/>
        <w:widowControl/>
        <w:rPr/>
      </w:pPr>
      <w:r>
        <w:rPr/>
        <w:t>Article 31.4: Consultations 1. A Party may request consultations with another Party with respect to a matter described in Article 31.2 (Scope). 2. The Party making the request for consultations shall do so in writing, and shall set out the reasons for the request, including identification of the specific measure or other matter at issue and an indication of the legal basis for the complaint. 3. The requesting Party shall deliver the request concurrently to the other Parties through their respective Sections of the Secretariat, including a copy to its Section. 4. A third Party that considers it has a substantial interest in the matter may participate in the consultations by notifying the other Parties in writing through their respective Sections of the Secretariat, including a copy to its Section, no later than seven days after the date of delivery of the request for consultations. The Party shall include in its notice an explanation of its substantial interest in the matter. 5. Unless the consulting Parties decide otherwise, they shall enter into consultations no later than:</w:t>
      </w:r>
    </w:p>
    <w:p>
      <w:pPr>
        <w:pStyle w:val="Normal"/>
        <w:widowControl/>
        <w:rPr/>
      </w:pPr>
      <w:r>
        <w:rPr/>
        <w:t>(a) 15 days after the date of delivery of the request for a matter concerning perishable goods;1 or (b) 30 days after the date of delivery of the request for all other matters. 6. The consulting Parties shall make every attempt to arrive at a mutually satisfactory resolution of a matter through consultations under this Article or other consultative provisions of this Agreement.</w:t>
      </w:r>
    </w:p>
    <w:p>
      <w:pPr>
        <w:pStyle w:val="Normal"/>
        <w:widowControl/>
        <w:rPr/>
      </w:pPr>
      <w:r>
        <w:rPr/>
        <w:t>To this end: (a) each consulting Party shall provide sufficient information to enable a full examination of how the actual or proposed measure or other matter at issue might affect the operation or application of this Agreement; 1 For the purposes of this Chapter, perishable goods means perishable agricultural and fish goods classified in HS Chapters 1 through 24. (b) a Party that participates in the consultations shall treat the information exchanged in the course of consultations that is designated as confidential on the same basis as the Party providing the information; and (c) the consulting Parties shall seek to avoid a resolution that adversely affects the interests of another Party under this Agreement. 7. Consultations may be held in person or by a technological means available to the consulting Parties. If the consultations are held in person, they shall be held in the capital of the Party to which the request for consultations was made, unless the consulting Parties decide otherwise. 8.</w:t>
      </w:r>
    </w:p>
    <w:p>
      <w:pPr>
        <w:pStyle w:val="Normal"/>
        <w:widowControl/>
        <w:rPr/>
      </w:pPr>
      <w:r>
        <w:rPr/>
        <w:t>In consultations under this Article, a consulting Party may request that another consulting Party make available personnel of its government agencies or other regulatory bodies who have expertise in the matter at issue. 9. Consultations shall be confidential and without prejudice to the rights of a Party in another proceeding.</w:t>
      </w:r>
    </w:p>
    <w:p>
      <w:pPr>
        <w:pStyle w:val="Normal"/>
        <w:keepNext w:val="true"/>
        <w:widowControl/>
        <w:rPr/>
      </w:pPr>
      <w:r>
        <w:rPr/>
        <w:t>Article 31.5: Commission, Good Offices, Conciliation, and Mediation 1. If the consulting Parties fail to resolve a matter pursuant to Article 31.4 (Consultations) within: (a) 30 days of delivery of the request for consultations; (b) 45 days of delivery of the request if another Party has subsequently requested or has participated in consultations regarding the same matter; (c) 15 days of delivery of the request for consultations in a matter regarding perishable goods; or (d) another period as they may decide, a consulting Party may request in writing a meeting of the Commission. 2. The requesting Party shall state in the request the measure or other matter complained of and indicate the provisions of this Agreement that it considers relevant, and shall deliver the request to the other Parties and to its Section of the Secretariat. 3. Unless it decides otherwise, the Commission2 shall convene within 10 days of delivery of the request and shall endeavor to resolve the dispute. 4. The Commission may: (a) call on technical advisers or create working groups or expert groups as it deems necessary;</w:t>
      </w:r>
    </w:p>
    <w:p>
      <w:pPr>
        <w:pStyle w:val="Normal"/>
        <w:widowControl/>
        <w:rPr/>
      </w:pPr>
      <w:r>
        <w:rPr/>
        <w:t>(b) have recourse to good offices, conciliation, mediation, or other dispute resolution procedures; or (c) make recommendations, as may assist the consulting Parties to reach a mutually satisfactory resolution of the dispute. 5. Unless it decides otherwise, the Commission shall consolidate two or more proceedings before it pursuant to this Article regarding the same measure.</w:t>
      </w:r>
    </w:p>
    <w:p>
      <w:pPr>
        <w:pStyle w:val="Normal"/>
        <w:widowControl/>
        <w:rPr/>
      </w:pPr>
      <w:r>
        <w:rPr/>
        <w:t>The Commission may consolidate two or more proceedings regarding other matters before it pursuant to this Article that it determines are appropriate to be considered jointly. 6. Parties may decide at any time to voluntarily undertake an alternative method of dispute resolution, such as good offices, conciliation, or mediation. 7. Proceedings that involve good offices, conciliation, or mediation shall be confidential and without prejudice to the rights of the Parties in another proceeding. 8. Parties participating in proceedings under this Article may suspend or terminate those proceedings. 9. If the disputing Parties decide, good offices, conciliation, or mediation may continue while a dispute proceeds for resolution before a panel established under Article 31.6 (Establishment of a Panel).</w:t>
      </w:r>
    </w:p>
    <w:p>
      <w:pPr>
        <w:pStyle w:val="Normal"/>
        <w:keepNext w:val="true"/>
        <w:widowControl/>
        <w:rPr/>
      </w:pPr>
      <w:r>
        <w:rPr/>
        <w:t>Article 31.6: Establishment of a Panel 1. If the Commission has convened pursuant to Article 31.5 (Commission, Good Offices, Conciliation, and Mediation), and the matter has not been resolved within: (a) 30 days thereafter; 2 For the purposes of this Article, the Commission shall be composed of, and decisions taken by the Commission representatives of the consulting Parties. (b) 30 days after the Commission has convened in respect of the matter most recently referred to it, if proceedings have been consolidated pursuant to Article 31.5.5 (Commission, Good Offices, Conciliation, and Mediation); or (c) another period as the consulting Parties may decide, a consulting Party may request the establishment of a panel by means of a written notice delivered to the responding Party through its Section of the Secretariat. 2. The complaining Party shall circulate the written notice concurrently to the other Parties through their respective Sections of the Secretariat. 3.</w:t>
      </w:r>
    </w:p>
    <w:p>
      <w:pPr>
        <w:pStyle w:val="Normal"/>
        <w:widowControl/>
        <w:rPr/>
      </w:pPr>
      <w:r>
        <w:rPr/>
        <w:t>The complaining Party shall include in the request to establish a panel an identification of the measure or other matter at issue and a brief summary of the legal basis of the complaint sufficient to present the issue clearly. 4. On delivery of the request, the Commission shall establish a panel. 5.</w:t>
      </w:r>
    </w:p>
    <w:p>
      <w:pPr>
        <w:pStyle w:val="Normal"/>
        <w:widowControl/>
        <w:rPr/>
      </w:pPr>
      <w:r>
        <w:rPr/>
        <w:t>A third Party that considers it has a substantial interest in the matter is entitled to join as a complaining Party on delivery of written notice of its intention to participate to the disputing Parties through their respective Sections of the Secretariat, including a copy to its Section. The third Party shall deliver the notice no later than seven days after the date of delivery of a request by a Party for the establishment of a panel. 6. Unless the disputing Parties decide otherwise, the panel shall be established and perform its functions in a manner consistent with this Chapter and the Rules of Procedure. 7. If a panel has been established regarding a matter and another Party requests the establishment of a panel regarding the same matter, a single panel should be established to examine those complaints whenever feasible.</w:t>
      </w:r>
    </w:p>
    <w:p>
      <w:pPr>
        <w:pStyle w:val="Normal"/>
        <w:keepNext w:val="true"/>
        <w:widowControl/>
        <w:rPr/>
      </w:pPr>
      <w:r>
        <w:rPr/>
        <w:t>Article 31.7: Terms of Reference 1. Unless the disputing Parties decide otherwise no later than 20 days after the date of delivery of the request for the establishment of a panel, the terms of reference shall be to: (a) examine, in the light of the relevant provisions of this Agreement, the matter referred to in the request for the establishment of a panel under Article 31.6 (Establishment of a Panel); and (b) make findings and determinations, and any jointly requested recommendations, together with its reasons therefor, as provided for in Article 31.17 (Panel Report). 2. If, in its request for the establishment of a panel, a complaining Party claims that a measure nullifies or impairs a benefit within the meaning of Article 31.2 (Scope), the terms of reference shall so indicate. 3. If a disputing Party wishes the panel to make findings as to the degree of adverse trade effects on a Party of a measure found not to conform with an obligation of this Agreement or to have caused nullification or impairment in the sense of Article 31.2(c) (Scope), the terms of reference shall so indicate.</w:t>
      </w:r>
    </w:p>
    <w:p>
      <w:pPr>
        <w:pStyle w:val="Normal"/>
        <w:keepNext w:val="true"/>
        <w:widowControl/>
        <w:rPr/>
      </w:pPr>
      <w:r>
        <w:rPr/>
        <w:t>Article 31.8: Roster and Qualifications of Panelists 1. The Parties shall establish by the date of entry into force of this Agreement and maintain a roster of up to 30 individuals who are willing to serve as panelists. The roster shall be appointed by consensus and remain in effect for a minimum of three years or until the Parties constitute a new roster. Members of the roster may be reappointed. 2. Each roster member and panelist shall: (a) have expertise or experience in international law, international trade, other matters covered by this Agreement, or the resolution of disputes arising under international trade agreements; (b) be selected on the basis of objectivity, reliability, and sound judgment; (c) be independent of, and not be affiliated with or take instructions from, a Party; and (d) comply with the Code of Conduct established by the Commission. 3. For a dispute arising under Chapter 23 (Labor) and Chapter 24 (Environment), each disputing Party shall select a panelist in accordance with the following requirements, in addition to those set out in paragraph 1:</w:t>
      </w:r>
    </w:p>
    <w:p>
      <w:pPr>
        <w:pStyle w:val="Normal"/>
        <w:widowControl/>
        <w:rPr/>
      </w:pPr>
      <w:r>
        <w:rPr/>
        <w:t>(a) in a dispute arising under Chapter 23 (Labor), panelists other than the chair shall have expertise or experience in labor law or practice; and (b) in a dispute arising under Chapter 24 (Environment), panelists other than the chair shall have expertise or experience in environmental law or practice. 4.</w:t>
      </w:r>
    </w:p>
    <w:p>
      <w:pPr>
        <w:pStyle w:val="Normal"/>
        <w:widowControl/>
        <w:rPr/>
      </w:pPr>
      <w:r>
        <w:rPr/>
        <w:t>In disputes regarding specialized areas of law not set out in paragraph 3, the disputing Parties should select panelists to ensure that the necessary expertise is available on the panel. 5. An individual shall not serve as a panelist in the same dispute in which the individual has participated pursuant to Articles 31.4 (Consultations) or Article 31.5 (Commission, Good Offices, Conciliation, and Mediation).</w:t>
      </w:r>
    </w:p>
    <w:p>
      <w:pPr>
        <w:pStyle w:val="Normal"/>
        <w:keepNext w:val="true"/>
        <w:widowControl/>
        <w:rPr/>
      </w:pPr>
      <w:r>
        <w:rPr/>
        <w:t>Article 31.9: Panel Composition 1. If there are two disputing Parties, the following procedures shall apply: (a) The panel shall comprise five members. (b) The disputing Parties shall endeavor to decide on the chair of the panel within 15 days of the delivery of the request for the establishment of the panel. If the disputing Parties are unable to decide on the chair within this period, the disputing Party chosen by lot shall select within five days as chair an individual who is not a citizen of that Party. (c) Within 15 days of selection of the chair, each disputing Party shall select two panelists who are citizens of the other disputing Party. (d) If a disputing Party fails to select its panelists within that period, those panelists shall be selected by lot from among the roster members who are citizens of the other disputing Party. 2. If there are more than two disputing Parties, the following procedures apply: (a) The panel shall comprise five members.</w:t>
      </w:r>
    </w:p>
    <w:p>
      <w:pPr>
        <w:pStyle w:val="Normal"/>
        <w:widowControl/>
        <w:rPr/>
      </w:pPr>
      <w:r>
        <w:rPr/>
        <w:t>(b) The disputing Parties shall endeavor to decide on the chair of the panel within 15 days of the delivery of the request for the establishment of the panel and, if the disputing Parties are unable to decide on the chair within this period, the Party or Parties on the side of the dispute chosen by lot shall select within 10 days a chair who is not a citizen of that Party or those Parties.</w:t>
      </w:r>
    </w:p>
    <w:p>
      <w:pPr>
        <w:pStyle w:val="Normal"/>
        <w:widowControl/>
        <w:rPr/>
      </w:pPr>
      <w:r>
        <w:rPr/>
        <w:t>(c) Within 15 days of selection of the chair, the responding Party shall select two panelists, one of whom is a citizen of a complaining Party, and the other of whom is a citizen of another complaining Party and the complaining Parties shall select two panelists who are citizens of the responding Party. (d) If a disputing Party fails to select a panelist within that period, that panelist shall be selected by lot in accordance with the citizenship criteria of subparagraph (c). 3. A panelist shall normally be selected from the roster.</w:t>
      </w:r>
    </w:p>
    <w:p>
      <w:pPr>
        <w:pStyle w:val="Normal"/>
        <w:widowControl/>
        <w:rPr/>
      </w:pPr>
      <w:r>
        <w:rPr/>
        <w:t>A disputing Party may exercise a peremptory challenge against an individual not on the roster who is proposed as a panelist by a disputing Party within 15 days after the individual has been proposed, unless no qualified and available individual on the roster possesses necessary specialized expertise, including as required by Article 31.8.3 (Roster and Qualifications of Panelists), in which case a disputing Party may not exercise a peremptory challenge but may raise concerns that the panelist does not meet the requirements of Article 31.8.2 (Roster and Qualifications of Panelists). 4. If a disputing Party believes that a panelist is in violation of the Code of Conduct, the disputing Parties shall consult and if they concur the panelist shall be removed and a new panelist shall be selected in accordance with this Article.</w:t>
      </w:r>
    </w:p>
    <w:p>
      <w:pPr>
        <w:pStyle w:val="Normal"/>
        <w:keepNext w:val="true"/>
        <w:widowControl/>
        <w:rPr/>
      </w:pPr>
      <w:r>
        <w:rPr/>
        <w:t>Article 31.10: Replacement of Panelists 1. If a panelist resigns, is removed, or becomes unable to serve, the time frames applicable to that panel’s proceeding shall be suspended until a replacement is appointed and shall be extended by the amount of time that the work was suspended. 2. If a panelist resigns, is removed, or becomes unable to serve on the panel, a replacement panelist shall be appointed within 15 days in accordance with the same method used to select the panelist in accordance with Article 31.9 (Panel Composition). 3. If a disputing Party believes that a panelist is in violation of the Code of Conduct, the disputing Parties shall consult. If they concur on removing the panelist, they shall be removed and a new panelist shall be selected in accordance with this Article.</w:t>
      </w:r>
    </w:p>
    <w:p>
      <w:pPr>
        <w:pStyle w:val="Normal"/>
        <w:keepNext w:val="true"/>
        <w:widowControl/>
        <w:rPr/>
      </w:pPr>
      <w:r>
        <w:rPr/>
        <w:t>Article 31.11: Rules of Procedure for Panels The Rules of Procedure, established under this Agreement in accordance with Article 30.2 (Functions of the Commission), shall ensure that: (a) disputing Parties have the right to at least one hearing before the panel at which each may present views orally; (b) subject to subparagraph (f), a hearing before the panel shall be open to the public, unless the disputing Parties decide otherwise; (c) each disputing Party has an opportunity to provide an initial and a rebuttal written submission; (d) subject to subparagraph (f), each disputing Party’s written submissions, written version of an oral statement, and written response to a request or question from the panel, if any, are public as soon as possible after the documents are filed; (e) the panel shall consider requests from non-governmental entities located in the territory of a disputing Party to provide written views regarding the dispute that may assist the panel in evaluating the submissions and arguments of the disputing Parties; (f) confidential information is protected;</w:t>
      </w:r>
    </w:p>
    <w:p>
      <w:pPr>
        <w:pStyle w:val="Normal"/>
        <w:widowControl/>
        <w:rPr/>
      </w:pPr>
      <w:r>
        <w:rPr/>
        <w:t>(g) written submissions and oral arguments shall be made in one of the languages of the Parties, unless the disputing Parties decide otherwise; and (h) unless the disputing Parties decide otherwise, hearings shall be held in the capital of the responding Party.</w:t>
      </w:r>
    </w:p>
    <w:p>
      <w:pPr>
        <w:pStyle w:val="Normal"/>
        <w:keepNext w:val="true"/>
        <w:widowControl/>
        <w:rPr/>
      </w:pPr>
      <w:r>
        <w:rPr/>
        <w:t>Article 31.12: Electronic Document Filing The disputing Parties shall file all documents relating to a dispute, including written submissions, written versions of oral statements, and written responses to panel questions, by electronic means through their respective Sections of the Secretariat.</w:t>
      </w:r>
    </w:p>
    <w:p>
      <w:pPr>
        <w:pStyle w:val="Normal"/>
        <w:keepNext w:val="true"/>
        <w:widowControl/>
        <w:rPr/>
      </w:pPr>
      <w:r>
        <w:rPr/>
        <w:t>Article 31.13: Function of Panels 1. A panel’s function is to make an objective assessment of the matter before it and to present a report that contains: (a) findings of fact; (b) determinations as to whether: (i) the measure at issue is inconsistent with obligations in this Agreement, (ii) a Party has otherwise failed to carry out its obligations in this Agreement, (iii) the measure at issue is causing nullification or impairment within the meaning of Article 31.2 (Scope), or (iv) any other determination requested in the terms of reference; (c) recommendations, if the disputing Parties have jointly requested them, for the resolution of the dispute; and (d) the reasons for the findings and determinations. 2. The findings, determinations and recommendations of the panel shall not add to or diminish the rights and obligations of the Parties under this Agreement. 3. Unless the disputing Parties decide otherwise, the panel shall perform its functions and conduct its proceeding in a manner consistent with this Chapter and the Rules of Procedure. 4.</w:t>
      </w:r>
    </w:p>
    <w:p>
      <w:pPr>
        <w:pStyle w:val="Normal"/>
        <w:widowControl/>
        <w:rPr/>
      </w:pPr>
      <w:r>
        <w:rPr/>
        <w:t>The panel shall interpret this Agreement in accordance with customary rules of interpretation of public international law, as reflected in Articles 31 and 32 of the Vienna Convention on the Law of Treaties, done at Vienna on May 23, 1969. 5. A panel shall take its decision by consensus, except that, if a panel is unable to reach consensus, it may take its decision by majority vote. 6.</w:t>
      </w:r>
    </w:p>
    <w:p>
      <w:pPr>
        <w:pStyle w:val="Normal"/>
        <w:widowControl/>
        <w:rPr/>
      </w:pPr>
      <w:r>
        <w:rPr/>
        <w:t>The panel shall base its report on the relevant provisions of this Agreement, the submissions and arguments of the disputing Parties, and on any information or advice put before it under Article 31.15 (Role of Experts). 7. The panel shall draft its reports without the presence of any Party. 8. Panelists may present separate views on matters not unanimously agreed and shall not disclose the identity of which panelists are associated with majority or minority views.</w:t>
      </w:r>
    </w:p>
    <w:p>
      <w:pPr>
        <w:pStyle w:val="Normal"/>
        <w:keepNext w:val="true"/>
        <w:widowControl/>
        <w:rPr/>
      </w:pPr>
      <w:r>
        <w:rPr/>
        <w:t>Article 31.14: Third Party Participation A Party that is not a disputing Party shall, on delivery of a written notice to the disputing Parties through their respective Sections of the Secretariat, including a copy to its Section, be entitled to attend any hearing, to make written and oral submissions to the panel, and to receive written submissions of the disputing Parties. The Party shall provide written notice no later than 10 days after the date of delivery of the request for the establishment of the panel under Article 31.6 (Establishment of a Panel).</w:t>
      </w:r>
    </w:p>
    <w:p>
      <w:pPr>
        <w:pStyle w:val="Normal"/>
        <w:keepNext w:val="true"/>
        <w:widowControl/>
        <w:rPr/>
      </w:pPr>
      <w:r>
        <w:rPr/>
        <w:t>Article 31.15: Role of Experts At the request of a disputing Party, or on its own initiative, a panel may seek information or technical advice from a person or body that it deems appropriate, provided that the disputing Parties agree and subject to any terms and conditions decided on by the disputing Parties. The disputing Parties shall have an opportunity to comment on information or advice obtained under this Article.</w:t>
      </w:r>
    </w:p>
    <w:p>
      <w:pPr>
        <w:pStyle w:val="Normal"/>
        <w:keepNext w:val="true"/>
        <w:widowControl/>
        <w:rPr/>
      </w:pPr>
      <w:r>
        <w:rPr/>
        <w:t>Article 31.16: Suspension or Termination of Proceedings 1. The panel may suspend its work at any time at the request of the complaining Party, for a period not to exceed 12 consecutive months. The panel shall suspend its work at any time if the disputing Parties request it to do so. In the event of a suspension, the time frames set out in this Chapter and in the Rules of Procedure shall be extended by the amount of time that the work was suspended. If the work of the panel is suspended for more than 12 consecutive months, the panel proceedings shall lapse unless the disputing Parties decide otherwise. 2. The panel shall terminate its proceedings if the disputing Parties request it to do so.</w:t>
      </w:r>
    </w:p>
    <w:p>
      <w:pPr>
        <w:pStyle w:val="Normal"/>
        <w:keepNext w:val="true"/>
        <w:widowControl/>
        <w:rPr/>
      </w:pPr>
      <w:r>
        <w:rPr/>
        <w:t>Article 31.17: Panel Report 1. The panel shall present an initial report to the disputing Parties no later than 150 days after the date of the appointment of the last panelist. In cases of urgency related to perishable goods, the panel shall endeavour to present an initial report to the disputing Parties no later than 120 days after the date of the appointment of the last panelist. 2. In exceptional cases, if the panel considers that it cannot release its initial report within the time period specified in paragraph 1, it shall inform the disputing Parties in writing of the reasons for the delay together with an estimate of when it will issue its report. A delay shall not exceed an additional period of 30 days unless the disputing Parties decide otherwise. 3. A disputing Party may submit written comments to the panel on its initial report no later than 15 days after the presentation of the initial report or within another period as the disputing Parties may decide. 4.</w:t>
      </w:r>
    </w:p>
    <w:p>
      <w:pPr>
        <w:pStyle w:val="Normal"/>
        <w:widowControl/>
        <w:rPr/>
      </w:pPr>
      <w:r>
        <w:rPr/>
        <w:t>After considering those comments, the panel, on its own initiative or on the request of a disputing Party, may: (a) request the views of a Party; (b) reconsider its report; or (c) make a further examination that it considers appropriate. 5. The panel shall present a final report including any separate opinions on matters not unanimously agreed to the disputing Parties no later than 30 days after presentation of the initial report, unless the disputing Parties decide otherwise. 6.</w:t>
      </w:r>
    </w:p>
    <w:p>
      <w:pPr>
        <w:pStyle w:val="Normal"/>
        <w:widowControl/>
        <w:rPr/>
      </w:pPr>
      <w:r>
        <w:rPr/>
        <w:t>After taking any steps to protect confidential information, and no later than 15 days after the presentation of the final report, the disputing Parties shall make the final report available to the public.</w:t>
      </w:r>
    </w:p>
    <w:p>
      <w:pPr>
        <w:pStyle w:val="Normal"/>
        <w:keepNext w:val="true"/>
        <w:widowControl/>
        <w:rPr/>
      </w:pPr>
      <w:r>
        <w:rPr/>
        <w:t>Article 31.18: Implementation of Final Report 1. Within 45 days from receipt of a final report that contains findings that: (a) the measure at issue is inconsistent with a Party’s obligations in this Agreement; (b) a Party has otherwise failed to carry out its obligations in this Agreement; or (c) the measure at issue is causing nullification or impairment within the meaning of Article 31.2 (Scope), the disputing Parties shall endeavor to agree on the resolution of the dispute. 2. Resolution of the dispute can comprise elimination of the non-conformity or the nullification or impairment, if possible, the provision of mutually acceptable compensation, or another remedy the disputing Parties may agree.</w:t>
      </w:r>
    </w:p>
    <w:p>
      <w:pPr>
        <w:pStyle w:val="Normal"/>
        <w:keepNext w:val="true"/>
        <w:widowControl/>
        <w:rPr/>
      </w:pPr>
      <w:r>
        <w:rPr/>
        <w:t>Article 31.19: Non-Implementation – Suspension of Benefits 1. If the disputing Parties are unable to agree on a resolution to the dispute under Article 31.18 (Implementation of Final Report) within 45 days from receipt of the final report, the complaining Party may suspend the application to the responding Party of benefits of equivalent effect to the non-conformity or the nullification or impairment until the disputing Parties agree on a resolution to the dispute. 2. In considering what benefits to suspend pursuant to paragraph 1: (a) a complaining Party should first seek to suspend benefits in the same sector as that affected by the measure or other matter that was the subject of the dispute; and (b) a complaining Party that considers it is not practicable or effective to suspend benefits in the same sector, may suspend benefits in other sectors unless otherwise provided for elsewhere in this Agreement. 3. If the responding Party considers that:</w:t>
      </w:r>
    </w:p>
    <w:p>
      <w:pPr>
        <w:pStyle w:val="Normal"/>
        <w:widowControl/>
        <w:rPr/>
      </w:pPr>
      <w:r>
        <w:rPr/>
        <w:t>(a) the level of benefits proposed to be suspended is manifestly excessive; or (b) it has eliminated the non-conformity or the nullification or impairment that the panel has determined to exist, it may request that the panel be reconvened to consider the matter. The responding Party shall deliver its request in writing to the complaining Party.</w:t>
      </w:r>
    </w:p>
    <w:p>
      <w:pPr>
        <w:pStyle w:val="Normal"/>
        <w:widowControl/>
        <w:rPr/>
      </w:pPr>
      <w:r>
        <w:rPr/>
        <w:t>The panel shall reconvene as soon as possible after the date of delivery of the request and shall present its determination to the disputing Parties no later than 90 days after it reconvenes to review a request under subparagraph (a) or (b), or 120 days after it reconvenes for a request under both subparagraphs (a) and (b). If the panel considers that the level of benefits the complaining Party proposes to suspend is manifestly excessive, it shall provide its views as to the level of benefits it considers to be of equivalent effect. 4. If the panel’s views are that the responding Party has not eliminated the non-conformity or the nullification or impairment, the complaining Party may suspend benefits up to the level the panel has determined under paragraph 3. Section B: Domestic Proceedings and Private Commercial Dispute Settlement</w:t>
      </w:r>
    </w:p>
    <w:p>
      <w:pPr>
        <w:pStyle w:val="Normal"/>
        <w:keepNext w:val="true"/>
        <w:widowControl/>
        <w:rPr/>
      </w:pPr>
      <w:r>
        <w:rPr/>
        <w:t>Article 31.20: Referrals of Matters from Judicial or Administrative Proceedings 1. If an issue of interpretation or application of this Agreement arises in a domestic judicial or administrative proceeding of a Party that a Party considers would merit its intervention, or if a court or administrative body solicits the views of a Party, that Party shall notify the other Parties and its Section of the Secretariat. The Commission shall endeavor to agree on an appropriate response as expeditiously as possible. 2. The Party in whose territory the court or administrative body is located shall submit an agreed interpretation of the Commission to the court or administrative body in accordance with the rules of that forum. 3. If the Commission is unable to agree, a Party may submit its own views to the court or administrative body in accordance with the rules of that forum.</w:t>
      </w:r>
    </w:p>
    <w:p>
      <w:pPr>
        <w:pStyle w:val="Normal"/>
        <w:keepNext w:val="true"/>
        <w:widowControl/>
        <w:rPr/>
      </w:pPr>
      <w:r>
        <w:rPr/>
        <w:t>Article 31.21: Private Rights No Party shall provide for a right of action under its law against another Party on the ground that a measure of that other Party is inconsistent with this Agreement.</w:t>
      </w:r>
    </w:p>
    <w:p>
      <w:pPr>
        <w:pStyle w:val="Normal"/>
        <w:keepNext w:val="true"/>
        <w:widowControl/>
        <w:rPr/>
      </w:pPr>
      <w:r>
        <w:rPr/>
        <w:t>Article 31.22: Alternative Dispute Resolution 1. Each Party shall, to the extent possible, encourage, facilitate, and promote through education, the use of arbitration, mediation, online dispute resolution and other procedures for the prevention and resolution of international commercial disputes between private parties in the free trade area. 2. To this end, each Party shall provide appropriate procedures to ensure observance of agreements to arbitrate and for the recognition and enforcement of arbitral awards and settlement agreements in those disputes, and to facilitate and encourage mediation procedures. 3. A Party shall be deemed to be in compliance with paragraph 2 if it is a party to and is in compliance with the Convention on the Recognition and Enforcement of Foreign Arbitral Awards, done at New York on June 10 1958, or the Inter-American Convention on International Commercial Arbitration, done at Panama on January 30, 1975. 4. The Commission shall establish and maintain an Advisory Committee on Private Commercial Disputes comprising persons with expertise or experience in the resolution of private international commercial disputes.</w:t>
      </w:r>
    </w:p>
    <w:p>
      <w:pPr>
        <w:pStyle w:val="Normal"/>
        <w:widowControl/>
        <w:rPr/>
      </w:pPr>
      <w:r>
        <w:rPr/>
        <w:t>The Committee shall, to the extent possible, encourage, facilitate, and promote through education, the use of arbitration, mediation, online dispute resolution and other procedures for the prevention and resolution of international commercial disputes between private parties in the free trade area.</w:t>
      </w:r>
    </w:p>
    <w:p>
      <w:pPr>
        <w:pStyle w:val="Normal"/>
        <w:widowControl/>
        <w:rPr/>
      </w:pPr>
      <w:r>
        <w:rPr/>
        <w:t>The Committee shall report and provide recommendations to the Commission on general issues respecting the availability, use, and effectiveness of arbitration, mediation, online dispute settlement resolution, and other dispute resolution procedures for the prevention and resolution of those disputes in the free trade area.</w:t>
      </w:r>
    </w:p>
    <w:p>
      <w:pPr>
        <w:pStyle w:val="ModHeading"/>
        <w:widowControl/>
        <w:rPr/>
      </w:pPr>
      <w:bookmarkStart w:id="101" w:name="_Toc237912578"/>
      <w:r>
        <w:rPr/>
        <w:t>CHAPTER 31 — CUSMA 2.0 MODERNIZATION PROVISIONS</w:t>
      </w:r>
      <w:bookmarkEnd w:id="101"/>
    </w:p>
    <w:p>
      <w:pPr>
        <w:pStyle w:val="Normal"/>
        <w:widowControl/>
        <w:rPr/>
      </w:pPr>
      <w:r>
        <w:rPr>
          <w:i/>
        </w:rPr>
        <w:t>The provisions of this Part amend Chapter 31 (Dispute Settlement). The amendments effected by the 2019 Protocol of Amendment — including Articles 31.6, 31.8, 31.9, and 31.11 as amended, and Annexes 31-A and 31-B — remain in force and are built upon below.</w:t>
      </w:r>
    </w:p>
    <w:p>
      <w:bookmarkStart w:id="1227" w:name="_NAESTMA_TOC_1227"/>
      <w:pPr>
        <w:pStyle w:val="Heading2"/>
        <w:keepNext/>
        <w:widowControl/>
        <w:rPr/>
      </w:pPr>
      <w:bookmarkStart w:id="102" w:name="_Toc237912579"/>
      <w:r>
        <w:rPr/>
        <w:t>Article 31.A: Expedited Tariff Panel Procedure</w:t>
      </w:r>
      <w:bookmarkEnd w:id="102"/>
      <w:bookmarkEnd w:id="1227"/>
    </w:p>
    <w:p>
      <w:pPr>
        <w:pStyle w:val="Normal"/>
        <w:widowControl/>
        <w:rPr/>
      </w:pPr>
      <w:r>
        <w:rPr/>
        <w:t>1. This Article applies to a dispute concerning: (a) a covered border measure affecting originating goods; (b) a measure under Chapter 35, including a PTA, an emergency provisional measure, or a measure referred to the special lane in Article 35.22; (c) a safeguard measure affecting originating goods of another Party; or (d) a measure that a Party certifies is causing, or imminently threatens, material disruption of integrated North American production or of perishable goods trade.</w:t>
      </w:r>
    </w:p>
    <w:p>
      <w:pPr>
        <w:pStyle w:val="Normal"/>
        <w:widowControl/>
        <w:rPr/>
      </w:pPr>
      <w:r>
        <w:rPr/>
        <w:t>2. A consulting Party may invoke this procedure after the expiry of: (a) 15 days after delivery of a consultation request in a matter concerning perishable goods or an imminent supply-chain disruption; or (b) 30 days in other matters within paragraph 1.</w:t>
      </w:r>
    </w:p>
    <w:p>
      <w:pPr>
        <w:pStyle w:val="Normal"/>
        <w:widowControl/>
        <w:rPr/>
      </w:pPr>
      <w:r>
        <w:rPr/>
        <w:t>3. Upon delivery of a request for establishment of an Expedited Tariff Panel: (a) the panel is established automatically on delivery, in accordance with Article 31.6.4 as amended; (b) the panel is composed within five days from members of the Article 31.8 roster who satisfy the tariff/customs specialization criteria published under Article 31.C; (c) written submissions are due within 10 days of composition; (d) the hearing, if any, is held within 20 days of composition; and (e) the panel issues its final report within 45 days of composition in a matter under paragraph 1(a) through (c), and within 20 days of composition in a matter involving perishable goods or critical infrastructure. In an exceptionally complex matter - including a matter involving a multi-entity origin network or a complex subsidization record - the panel may extend the applicable deadline once, by not more than 30 days, upon a reasoned, published finding that due process otherwise cannot be maintained.</w:t>
      </w:r>
    </w:p>
    <w:p>
      <w:pPr>
        <w:pStyle w:val="Normal"/>
        <w:widowControl/>
        <w:rPr/>
      </w:pPr>
      <w:r>
        <w:rPr/>
        <w:t>4. Where continued application of the measure during the proceedings threatens serious and irreparable disruption of integrated production or essential flows, the panel may issue an interim indication, binding on the disputing Parties, that the measure be suspended in whole or in part pending the final report, provided that: (a) the panel finds a strong prima facie case of inconsistency with this Agreement and a serious risk of irreparable harm, with reasons stated in writing; (b) the indication is limited to what is necessary to prevent that harm; (c) the indication expires with the final report and in any case 60 days after issuance; and (d) either disputing Party may request emergency reconsideration within five days, which the panel shall decide within five days. Failure to comply with an interim indication entitles the complaining Party to a proportionate interim countermeasure within the affected module, subject to reconciliation in the final report.</w:t>
      </w:r>
    </w:p>
    <w:p>
      <w:pPr>
        <w:pStyle w:val="Normal"/>
        <w:widowControl/>
        <w:rPr/>
      </w:pPr>
      <w:r>
        <w:rPr/>
        <w:t>5. A determination of the North American Trade Verification mechanism within its mandate is binding on a panel under this Article unless manifestly erroneous.</w:t>
      </w:r>
    </w:p>
    <w:p>
      <w:pPr>
        <w:pStyle w:val="Normal"/>
        <w:widowControl/>
        <w:rPr/>
      </w:pPr>
      <w:r>
        <w:rPr/>
        <w:t>6. Following a final report finding inconsistency with this Agreement, the responding Party shall comply within 15 days in a matter under paragraph 1(b) or (d), and within 30 days in other matters under this Article, unless the panel fixes a shorter period. Noncompliance within that period automatically authorizes proportionate countermeasures under Article 31.19 as amended, without further proceedings except review of the level under Article 31.19.3.</w:t>
      </w:r>
    </w:p>
    <w:p>
      <w:bookmarkStart w:id="1228" w:name="_NAESTMA_TOC_1228"/>
      <w:pPr>
        <w:pStyle w:val="Heading2"/>
        <w:keepNext/>
        <w:widowControl/>
        <w:rPr/>
      </w:pPr>
      <w:bookmarkStart w:id="103" w:name="_Toc237912580"/>
      <w:r>
        <w:rPr/>
        <w:t>Article 31.B: Consultations — Modernized Clocks</w:t>
      </w:r>
      <w:bookmarkEnd w:id="103"/>
      <w:bookmarkEnd w:id="1228"/>
    </w:p>
    <w:p>
      <w:pPr>
        <w:pStyle w:val="Normal"/>
        <w:widowControl/>
        <w:rPr/>
      </w:pPr>
      <w:r>
        <w:rPr/>
        <w:t>1. Article 31.4 (Consultations) is supplemented as follows: where a request for consultations concerns a measure notified under Article 32.2 as replaced, or a covered border measure, consultations shall commence within 10 days of the request, at the level requested, and ministerial consultations shall be held within 20 days if requested by a consulting Party.</w:t>
      </w:r>
    </w:p>
    <w:p>
      <w:pPr>
        <w:pStyle w:val="Normal"/>
        <w:widowControl/>
        <w:rPr/>
      </w:pPr>
      <w:r>
        <w:rPr/>
        <w:t>2. Where a proposed measure has been registered in the North American Trade Measures Registry under Article 35.24 and has not yet taken effect, a consulting Party may request that the measure not take effect pending consultations for up to 30 days, and the responding Party shall give sympathetic consideration to the request in light of the supply-chain impact assessment, if any, under Article 35.23.</w:t>
      </w:r>
    </w:p>
    <w:p>
      <w:bookmarkStart w:id="1229" w:name="_NAESTMA_TOC_1229"/>
      <w:pPr>
        <w:pStyle w:val="Heading2"/>
        <w:keepNext/>
        <w:widowControl/>
        <w:rPr/>
      </w:pPr>
      <w:bookmarkStart w:id="104" w:name="_Toc237912581"/>
      <w:r>
        <w:rPr/>
        <w:t>Article 31.C: Standing Rosters, Independence, and Anti-Deadlock</w:t>
      </w:r>
      <w:bookmarkEnd w:id="104"/>
      <w:bookmarkEnd w:id="1229"/>
    </w:p>
    <w:p>
      <w:pPr>
        <w:pStyle w:val="TOCExcludedHeading2"/>
        <w:keepNext w:val="true"/>
        <w:widowControl/>
        <w:rPr/>
      </w:pPr>
      <w:bookmarkStart w:id="105" w:name="_Toc237912582"/>
      <w:r>
        <w:rPr/>
        <w:t>Roster Integrity. Roster members shall possess demonstrated expertise in international trade law, customs, economics, adjudication, or the subject matter of this Agreement; serve staggered fixed terms; disclose financial, professional, governmental, and client conflicts; comply with a binding code of conduct and cooling-off rules; and be subject to automatic replacement procedures where a Party fails to nominate or replace a member within the prescribed period. Appointment shall not be delayed by failure of a Party to act.</w:t>
      </w:r>
      <w:bookmarkEnd w:id="105"/>
    </w:p>
    <w:p>
      <w:pPr>
        <w:pStyle w:val="Normal"/>
        <w:widowControl/>
        <w:rPr/>
      </w:pPr>
      <w:r>
        <w:rPr/>
        <w:t>1. The Parties shall maintain specialization designations within the roster established under Article 31.8 for tariff and customs matters, including at least 15 roster members in aggregate who possess demonstrated relevant expertise. The Parties shall also maintain the technical verifier rosters and neutral Joint List required by Article 35.10.2. These are qualification lists for ad hoc proceedings, not separate permanent adjudicative institutions.</w:t>
      </w:r>
    </w:p>
    <w:p>
      <w:pPr>
        <w:pStyle w:val="Normal"/>
        <w:widowControl/>
        <w:rPr/>
      </w:pPr>
      <w:r>
        <w:rPr/>
        <w:t>2. If a Party fails to make a designation required for a roster, specialization list, or neutral list under this Agreement within 60 days of a vacancy, the designations of the other Parties stand, and the senior official of the Secretariat shall apply the predetermined default-selection method in this Article from eligible qualified persons. The official shall not exercise policy discretion to choose a preferred adjudicator.</w:t>
      </w:r>
    </w:p>
    <w:p>
      <w:pPr>
        <w:pStyle w:val="Normal"/>
        <w:widowControl/>
        <w:rPr/>
      </w:pPr>
      <w:r>
        <w:rPr/>
        <w:t>3. Roster members, panelists, and Verification Team members are subject to the independence, disclosure, recusal, cooling-off, and compensation rules of Article 35.10.10, which apply to dispute-settlement service under this Chapter mutatis mutandis.</w:t>
      </w:r>
    </w:p>
    <w:p>
      <w:pPr>
        <w:pStyle w:val="Normal"/>
        <w:widowControl/>
        <w:rPr/>
      </w:pPr>
      <w:r>
        <w:rPr/>
        <w:t>4. A Party shall not disable dispute settlement under this Agreement by refusing to participate in panel selection, failing to appear, withholding consent to procedural decisions, or declining to appoint roster members. Where a responding Party so refuses or fails, the complaining Party may proceed under the default-selection procedures of Article 31.9 as amended, and the panel may proceed and decide on the record before it.</w:t>
      </w:r>
    </w:p>
    <w:p>
      <w:pPr>
        <w:pStyle w:val="Normal"/>
        <w:widowControl/>
        <w:rPr/>
      </w:pPr>
      <w:r>
        <w:rPr/>
        <w:t>5. A panel’s jurisdiction does not depend on the responding Party’s participation. A report issued following a Party’s non-participation has the same effect as any other report.</w:t>
      </w:r>
    </w:p>
    <w:p>
      <w:pPr>
        <w:pStyle w:val="Normal"/>
        <w:widowControl/>
        <w:rPr/>
      </w:pPr>
      <w:r>
        <w:rPr/>
        <w:t>6. Legitimacy of Default Selection. A default appointment under this Article shall be made by a published rule-bound method, using random selection from the eligible neutral Joint List or another predetermined rotation agreed by the Parties. The Secretariat shall have no discretion to select a particular individual once the triggering conditions are met.</w:t>
      </w:r>
    </w:p>
    <w:p>
      <w:pPr>
        <w:pStyle w:val="Normal"/>
        <w:widowControl/>
        <w:rPr/>
      </w:pPr>
      <w:r>
        <w:rPr/>
        <w:t>7. Each Party retains equal nomination rights to the standing Article 31.8 roster and to Party-designated technical verifier lists. At least one-third of the neutral Joint List used for Article 35 verification shall consist of persons who are not nationals of any Party, where qualified candidates are available.</w:t>
      </w:r>
    </w:p>
    <w:p>
      <w:pPr>
        <w:pStyle w:val="Normal"/>
        <w:widowControl/>
        <w:rPr/>
      </w:pPr>
      <w:r>
        <w:rPr/>
        <w:t>8. Before appointment, every panelist shall disclose financial interests, current and recent clients, government service, expert engagements, and other circumstances that could reasonably raise a conflict concern. A Party may challenge an appointee for a demonstrated conflict of interest or material breach of the code of conduct; the challenge shall be decided within five days by two uninvolved roster members selected by lot.</w:t>
      </w:r>
    </w:p>
    <w:p>
      <w:pPr>
        <w:pStyle w:val="Normal"/>
        <w:widowControl/>
        <w:rPr/>
      </w:pPr>
      <w:r>
        <w:rPr/>
        <w:t>9. Panelists serve fixed, staggered, non-renewable terms unless the Parties unanimously agree otherwise. Failure to replenish a roster does not disable proceedings: the most recent eligible roster remains provisionally available until replacements are appointed.</w:t>
      </w:r>
    </w:p>
    <w:p>
      <w:pPr>
        <w:pStyle w:val="Normal"/>
        <w:widowControl/>
        <w:rPr/>
      </w:pPr>
      <w:r>
        <w:rPr/>
        <w:t>10. A Party may challenge only whether the automatic selection procedure was followed or whether an appointee is disqualified under paragraph 8; it may not block a proceeding merely because it objects to adjudication or to a qualified panelist's nationality, prior published views, or professional background.</w:t>
      </w:r>
    </w:p>
    <w:p>
      <w:bookmarkStart w:id="1230" w:name="_NAESTMA_TOC_1230"/>
      <w:pPr>
        <w:pStyle w:val="Heading2"/>
        <w:keepNext/>
        <w:widowControl/>
        <w:rPr/>
      </w:pPr>
      <w:bookmarkStart w:id="106" w:name="_Toc237912583"/>
      <w:r>
        <w:rPr/>
        <w:t>Article 31.D: Implementation, Compliance Review, and the End of Procedural Limbo</w:t>
      </w:r>
      <w:bookmarkEnd w:id="106"/>
      <w:bookmarkEnd w:id="1230"/>
    </w:p>
    <w:p>
      <w:pPr>
        <w:pStyle w:val="Normal"/>
        <w:widowControl/>
        <w:rPr/>
      </w:pPr>
      <w:r>
        <w:rPr/>
        <w:t>1. Article 31.18 and Article 31.19 are supplemented as follows:</w:t>
      </w:r>
    </w:p>
    <w:p>
      <w:pPr>
        <w:pStyle w:val="Normal"/>
        <w:widowControl/>
        <w:rPr/>
      </w:pPr>
      <w:r>
        <w:rPr/>
        <w:t>(a) the final report shall fix a compliance period wherever practicable; where it does not, the compliance period is 45 days from receipt of the report;</w:t>
      </w:r>
    </w:p>
    <w:p>
      <w:pPr>
        <w:pStyle w:val="Normal"/>
        <w:widowControl/>
        <w:rPr/>
      </w:pPr>
      <w:r>
        <w:rPr/>
        <w:t>(b) at the end of the compliance period, the responding Party shall notify the disputing Parties and the Secretariat of the measures taken to comply;</w:t>
      </w:r>
    </w:p>
    <w:p>
      <w:pPr>
        <w:pStyle w:val="Normal"/>
        <w:widowControl/>
        <w:rPr/>
      </w:pPr>
      <w:r>
        <w:rPr/>
        <w:t>(c) a disagreement over compliance is subject to a compliance panel proceeding completed within 60 days, drawing on the original panelists wherever available;</w:t>
      </w:r>
    </w:p>
    <w:p>
      <w:pPr>
        <w:pStyle w:val="Normal"/>
        <w:widowControl/>
        <w:rPr/>
      </w:pPr>
      <w:r>
        <w:rPr/>
        <w:t>(d) suspension of benefits under Article 31.19 is proportionate to the trade effect of the violation, remains within the affected trade module except as provided in Article 35.15.3, and terminates automatically upon a compliance determination that the responding Party has complied; and</w:t>
      </w:r>
    </w:p>
    <w:p>
      <w:pPr>
        <w:pStyle w:val="Normal"/>
        <w:widowControl/>
        <w:rPr/>
      </w:pPr>
      <w:r>
        <w:rPr/>
        <w:t>(e) where the responding Party claims compliance at any time, it may request an expedited compliance review, which shall be completed within 30 days; pending that review, no increase in the level of suspension takes effect.</w:t>
      </w:r>
    </w:p>
    <w:p>
      <w:pPr>
        <w:pStyle w:val="Normal"/>
        <w:widowControl/>
        <w:rPr/>
      </w:pPr>
      <w:r>
        <w:rPr/>
        <w:t>2. Countermeasures terminate automatically upon compliance. There is no discretion to maintain countermeasures after verified compliance, and no admission, apology, or unrelated concession may be required as a condition of termination.</w:t>
      </w:r>
    </w:p>
    <w:p>
      <w:bookmarkStart w:id="1231" w:name="_NAESTMA_TOC_1231"/>
      <w:pPr>
        <w:pStyle w:val="Heading2"/>
        <w:keepNext/>
        <w:widowControl/>
        <w:rPr/>
      </w:pPr>
      <w:r>
        <w:rPr/>
        <w:t>Article 31.E: North American Facility-Specific Labour Remedy</w:t>
      </w:r>
      <w:bookmarkEnd w:id="1231"/>
    </w:p>
    <w:p>
      <w:pPr>
        <w:pStyle w:val="Heading3"/>
        <w:keepNext/>
        <w:widowControl/>
        <w:rPr/>
      </w:pPr>
      <w:r>
        <w:rPr/>
        <w:t>31.E.0 Definitions and Equal Intake Architecture.</w:t>
      </w:r>
    </w:p>
    <w:p>
      <w:pPr>
        <w:pStyle w:val="Normal"/>
        <w:widowControl/>
        <w:rPr/>
      </w:pPr>
      <w:r>
        <w:rPr/>
        <w:t>For purposes of this Article: Covered Facility means a facility producing a good or supplying a service having a material connection with trade or investment among the Parties; Covered Labour Right means a right or protection maintained under Chapter 23 whose serious or persistent denial falls within this Article, including freedom of association, collective bargaining, freedom from forced labour or trafficking, protection against serious retaliation, protection against persistent or deliberate wage theft, and protection against grave or deliberately unremedied occupational-safety violations; Complainant Party means a Party invoking this Article; Respondent Party means the Party in whose territory the covered facility is located; Receiving Authority means the competent authority designated by each Party to receive and screen submissions; Remediation means measures reasonably tailored to restore the affected right and establish durable compliance; and Relevant Trade or Investment Nexus means the material connection required by this Agreement for any trade consequence. Priority-sector status may guide triage, resource allocation, or remedy calibration but shall not by itself determine whether a worker may seek facility-specific remediation. Each Party shall designate and publicly identify a functionally equivalent Receiving Authority, publish accessible submission procedures, acknowledge a submission ordinarily within five business days, and make an admissibility determination ordinarily within 15 business days. Agency names and domestic institutional forms need not be identical.</w:t>
      </w:r>
    </w:p>
    <w:p>
      <w:pPr>
        <w:pStyle w:val="Heading3"/>
        <w:keepNext/>
        <w:widowControl/>
        <w:rPr/>
      </w:pPr>
      <w:r>
        <w:rPr/>
        <w:t>31.E.1 Purpose and Equal Availability.</w:t>
      </w:r>
    </w:p>
    <w:p>
      <w:pPr>
        <w:pStyle w:val="Normal"/>
        <w:widowControl/>
        <w:rPr/>
      </w:pPr>
      <w:r>
        <w:rPr/>
        <w:t>The Parties establish a single North American Facility-Specific Labour Remedy (FSLR) whose purpose is the prompt remediation of serious, credible and facility-level denials of covered labour rights. The Remedy shall be available on functionally equivalent terms in every bilateral direction among Canada, Mexico and the United States. No Party shall receive materially weaker protection from, or materially stronger exposure to, the Remedy solely because of the identity of the complainant Party, respondent Party, facility location, or nationality of the affected workers.</w:t>
      </w:r>
    </w:p>
    <w:p>
      <w:pPr>
        <w:pStyle w:val="Heading3"/>
        <w:keepNext/>
        <w:widowControl/>
        <w:rPr/>
      </w:pPr>
      <w:r>
        <w:rPr/>
        <w:t>31.E.2 Worker-First Trigger.</w:t>
      </w:r>
    </w:p>
    <w:p>
      <w:pPr>
        <w:pStyle w:val="Normal"/>
        <w:widowControl/>
        <w:rPr/>
      </w:pPr>
      <w:r>
        <w:rPr/>
        <w:t>A credible allegation of a serious denial of a covered labour right at a covered facility may trigger review without requiring prior proof that the denial has caused measurable injury to trade or commerce. Trade effects may inform the proportionality of any trade consequence, but shall not determine whether the affected workers possess the underlying right or access to remediation. For greater certainty, substantive worker protection and admissibility are not conditioned on proof of quantified trade injury; any suspension of treaty treatment or other trade consequence remains subject to the trade or investment nexus otherwise required by this Agreement.</w:t>
      </w:r>
    </w:p>
    <w:p>
      <w:pPr>
        <w:pStyle w:val="Heading3"/>
        <w:keepNext/>
        <w:widowControl/>
        <w:rPr/>
      </w:pPr>
      <w:r>
        <w:rPr/>
        <w:t>31.E.3 Serious-Violation Threshold.</w:t>
      </w:r>
    </w:p>
    <w:p>
      <w:pPr>
        <w:pStyle w:val="Normal"/>
        <w:widowControl/>
        <w:rPr/>
      </w:pPr>
      <w:r>
        <w:rPr/>
        <w:t>The expedited facility-specific track is reserved for serious or persistent conduct, including systematic interference with freedom of association or collective bargaining; retaliation for protected organizing or worker representation; forced labour; trafficking or coercive recruitment practices; persistent or deliberate wage theft; grave or deliberately unremedied occupational-safety violations; confiscation of worker identity or travel documents; or comparable serious denials of covered labour rights. Ordinary individual employment disputes shall normally remain within domestic remedies unless they reveal a broader facility-level pattern.</w:t>
      </w:r>
    </w:p>
    <w:p>
      <w:pPr>
        <w:pStyle w:val="Heading3"/>
        <w:keepNext/>
        <w:widowControl/>
        <w:rPr/>
      </w:pPr>
      <w:r>
        <w:rPr/>
        <w:t>31.E.4 Accessible Intake and Admissibility.</w:t>
      </w:r>
    </w:p>
    <w:p>
      <w:pPr>
        <w:pStyle w:val="Normal"/>
        <w:widowControl/>
        <w:rPr/>
      </w:pPr>
      <w:r>
        <w:rPr/>
        <w:t>Information may be submitted through competent authorities, workers, labour organizations, worker representatives, or other credible persons or organizations with relevant evidence. Recognition by a government or exclusive bargaining status shall not be an absolute condition of admissibility. The receiving authority shall conduct an expedited admissibility screen addressing facility identification, treaty coverage, credibility, seriousness, jurisdiction, duplication and whether the allegation is manifestly frivolous, abusive or politically manufactured.</w:t>
      </w:r>
    </w:p>
    <w:p>
      <w:pPr>
        <w:pStyle w:val="Heading3"/>
        <w:keepNext/>
        <w:widowControl/>
        <w:rPr/>
      </w:pPr>
      <w:r>
        <w:rPr/>
        <w:t>31.E.5 Notice and First Opportunity to Remediate.</w:t>
      </w:r>
    </w:p>
    <w:p>
      <w:pPr>
        <w:pStyle w:val="Normal"/>
        <w:widowControl/>
        <w:rPr/>
      </w:pPr>
      <w:r>
        <w:rPr/>
        <w:t>Where a matter is admitted, the complainant Party shall promptly notify the respondent Party and provide sufficient non-confidential information to permit a meaningful response. The respondent Party shall ordinarily receive the first opportunity to investigate and secure effective domestic remediation. No mandatory cure period shall prevent urgent protective action where credible evidence indicates forced labour, violence, threats to life or physical safety, severe retaliation, trafficking, destruction of evidence, or a comparable risk of irreparable harm.</w:t>
      </w:r>
    </w:p>
    <w:p>
      <w:pPr>
        <w:pStyle w:val="Heading3"/>
        <w:keepNext/>
        <w:widowControl/>
        <w:rPr/>
      </w:pPr>
      <w:r>
        <w:rPr/>
        <w:t>31.E.6 Independent Verification.</w:t>
      </w:r>
    </w:p>
    <w:p>
      <w:pPr>
        <w:pStyle w:val="Normal"/>
        <w:widowControl/>
        <w:rPr/>
      </w:pPr>
      <w:r>
        <w:rPr/>
        <w:t>Where material facts remain disputed, remediation is inadequate, or the respondent Party declines timely review, either Party may request independent verification through existing Chapter 31, Secretariat, Cothrom or other already-established NAESTMA roster and administrative infrastructure. The Parties shall not create a new permanent labour tribunal, secretariat or standing inspection bureaucracy where an existing institution can perform the function.</w:t>
      </w:r>
    </w:p>
    <w:p>
      <w:pPr>
        <w:pStyle w:val="Heading3"/>
        <w:keepNext/>
        <w:widowControl/>
        <w:rPr/>
      </w:pPr>
      <w:r>
        <w:rPr/>
        <w:t>31.E.7 Verification Methods and Sovereignty.</w:t>
      </w:r>
    </w:p>
    <w:p>
      <w:pPr>
        <w:pStyle w:val="Normal"/>
        <w:widowControl/>
        <w:rPr/>
      </w:pPr>
      <w:r>
        <w:rPr/>
        <w:t>Verification may include documentary review, confidential worker testimony, employer and union submissions, remote or in-person hearings, agreed facility access, and qualified independent technical expertise. Nothing in this Article authorizes one Party's labour inspectors, police, immigration officers or other enforcement personnel to exercise unilateral enforcement authority within the territory of another Party. Domestic investigative powers remain with the competent authorities of the respondent Party, subject to the independent evidentiary and review requirements of this Article.</w:t>
      </w:r>
    </w:p>
    <w:p>
      <w:pPr>
        <w:pStyle w:val="Heading3"/>
        <w:keepNext/>
        <w:widowControl/>
        <w:rPr/>
      </w:pPr>
      <w:r>
        <w:rPr/>
        <w:t>31.E.7A Domestic Findings and Access.</w:t>
      </w:r>
    </w:p>
    <w:p>
      <w:pPr>
        <w:pStyle w:val="Normal"/>
        <w:widowControl/>
        <w:rPr/>
      </w:pPr>
      <w:r>
        <w:rPr/>
        <w:t>A final or enforceable determination of a competent domestic labour authority may constitute highly probative evidence but shall not be an exclusive prerequisite to access to this Remedy. Absence of a final domestic determination shall not bar a proceeding where credible evidence indicates a serious covered denial and domestic procedures are unavailable, materially ineffective, subject to unreasonable delay, incapable of preventing grave or irreparable harm, or otherwise inadequate to provide timely remediation. No Party shall condition access upon a domestic administrative, judicial, or labour-board order unless a functionally equivalent condition applies to facilities in each Party.</w:t>
      </w:r>
    </w:p>
    <w:p>
      <w:pPr>
        <w:pStyle w:val="Heading3"/>
        <w:keepNext/>
        <w:widowControl/>
        <w:rPr/>
      </w:pPr>
      <w:r>
        <w:rPr/>
        <w:t>31.E.7B Panel Neutrality and Conflicts.</w:t>
      </w:r>
    </w:p>
    <w:p>
      <w:pPr>
        <w:pStyle w:val="Normal"/>
        <w:widowControl/>
        <w:rPr/>
      </w:pPr>
      <w:r>
        <w:rPr/>
        <w:t>Verification panels and technical teams shall satisfy independence and conflict-of-interest requirements. Unless the disputing Parties agree otherwise, no panel shall contain a majority of nationals of either the complainant Party or respondent Party. Selection procedures shall provide functionally equivalent participation to each Party and shall not structurally advantage a Party because of the location of the covered facility.</w:t>
      </w:r>
    </w:p>
    <w:p>
      <w:pPr>
        <w:pStyle w:val="Heading3"/>
        <w:keepNext/>
        <w:widowControl/>
        <w:rPr/>
      </w:pPr>
      <w:r>
        <w:rPr/>
        <w:t>31.E.8 Worker, Witness and Confidentiality Protection.</w:t>
      </w:r>
    </w:p>
    <w:p>
      <w:pPr>
        <w:pStyle w:val="Normal"/>
        <w:widowControl/>
        <w:rPr/>
      </w:pPr>
      <w:r>
        <w:rPr/>
        <w:t>The process shall protect workers, witnesses, complainants and lawful representatives against retaliation. Confidential or identifying information shall be minimized, protected and disclosed only as necessary for fair adjudication. Anonymous or redacted evidence may be accepted where necessary to protect a person from a credible risk, provided that procedures preserve a meaningful opportunity to answer the substance of the allegation.</w:t>
      </w:r>
    </w:p>
    <w:p>
      <w:pPr>
        <w:pStyle w:val="Heading3"/>
        <w:keepNext/>
        <w:widowControl/>
        <w:rPr/>
      </w:pPr>
      <w:r>
        <w:rPr/>
        <w:t>31.E.9 Remediation First.</w:t>
      </w:r>
    </w:p>
    <w:p>
      <w:pPr>
        <w:pStyle w:val="Normal"/>
        <w:widowControl/>
        <w:rPr/>
      </w:pPr>
      <w:r>
        <w:rPr/>
        <w:t>The primary objective is effective remediation. Appropriate measures may include reinstatement, backpay or restoration of unlawfully withheld compensation, reimbursement of prohibited recruitment fees, restoration of bargaining or representational rights, corrective elections or procedures, cessation of retaliation, safety correction, return of unlawfully retained documents, changes to facility practices, training, monitoring for a defined period, or another measure reasonably tailored to the verified denial.</w:t>
      </w:r>
    </w:p>
    <w:p>
      <w:pPr>
        <w:pStyle w:val="Heading3"/>
        <w:keepNext/>
        <w:widowControl/>
        <w:rPr/>
      </w:pPr>
      <w:r>
        <w:rPr/>
        <w:t>31.E.10 Facility-Specific and Module-Confined Consequences.</w:t>
      </w:r>
    </w:p>
    <w:p>
      <w:pPr>
        <w:pStyle w:val="Normal"/>
        <w:widowControl/>
        <w:rPr/>
      </w:pPr>
      <w:r>
        <w:rPr/>
        <w:t>Where verified remediation is refused, materially incomplete, or repeatedly defeated, consequences shall attach as closely as practicable to the offending facility, enterprise, relevant goods or services, or specific benefit connected to the violation. A facility-level labour case shall not ordinarily justify unrelated economy-wide retaliation, punishment of an unrelated sector, or deliberate harm to workers or consumers who lack a meaningful nexus to the violation.</w:t>
      </w:r>
    </w:p>
    <w:p>
      <w:pPr>
        <w:pStyle w:val="Heading3"/>
        <w:keepNext/>
        <w:widowControl/>
        <w:rPr/>
      </w:pPr>
      <w:r>
        <w:rPr/>
        <w:t>31.E.11 Proportionality.</w:t>
      </w:r>
    </w:p>
    <w:p>
      <w:pPr>
        <w:pStyle w:val="Normal"/>
        <w:widowControl/>
        <w:rPr/>
      </w:pPr>
      <w:r>
        <w:rPr/>
        <w:t>Any trade consequence shall be proportionate to the seriousness, persistence, scale and commercial nexus of the verified denial; the number and vulnerability of affected workers; the respondent's cooperation; prior violations; and the adequacy and durability of remediation. No fixed tariff percentage, monetary multiple or automatic penalty ceiling shall substitute for case-specific proportionality.</w:t>
      </w:r>
    </w:p>
    <w:p>
      <w:pPr>
        <w:pStyle w:val="Heading3"/>
        <w:keepNext/>
        <w:widowControl/>
        <w:rPr/>
      </w:pPr>
      <w:r>
        <w:rPr/>
        <w:t>31.E.12 Repeat-Offender Escalation.</w:t>
      </w:r>
    </w:p>
    <w:p>
      <w:pPr>
        <w:pStyle w:val="Normal"/>
        <w:widowControl/>
        <w:rPr/>
      </w:pPr>
      <w:r>
        <w:rPr/>
        <w:t>A facility or enterprise that promptly and durably remediates a first violation shall be distinguished from one that repeatedly commits, conceals, reinstates or relocates substantially similar violations. Repeated verified denials may justify progressively stronger facility-specific consequences, including suspension of relevant preferential treatment or, in the most serious persistent cases and where otherwise lawful, denial of entry for relevant goods.</w:t>
      </w:r>
    </w:p>
    <w:p>
      <w:pPr>
        <w:pStyle w:val="Heading3"/>
        <w:keepNext/>
        <w:widowControl/>
        <w:rPr/>
      </w:pPr>
      <w:r>
        <w:rPr/>
        <w:t>31.E.13 Automatic Earn-Back.</w:t>
      </w:r>
    </w:p>
    <w:p>
      <w:pPr>
        <w:pStyle w:val="Normal"/>
        <w:widowControl/>
        <w:rPr/>
      </w:pPr>
      <w:r>
        <w:rPr/>
        <w:t>A suspended treaty benefit or facility-specific trade treatment shall be restored automatically when independent verification confirms that the denial has been effectively remediated and any reasonable durability period has been satisfied. Restoration shall not require a new political concession, unrelated payment, or renegotiation. A Party may maintain narrowly tailored monitoring after restoration where necessary to verify durability.</w:t>
      </w:r>
    </w:p>
    <w:p>
      <w:pPr>
        <w:pStyle w:val="Heading3"/>
        <w:keepNext/>
        <w:widowControl/>
        <w:rPr/>
      </w:pPr>
      <w:r>
        <w:rPr/>
        <w:t>31.E.14 Grave-Abuse Accelerator.</w:t>
      </w:r>
    </w:p>
    <w:p>
      <w:pPr>
        <w:pStyle w:val="Normal"/>
        <w:widowControl/>
        <w:rPr/>
      </w:pPr>
      <w:r>
        <w:rPr/>
        <w:t>Credible evidence of forced labour, trafficking, violence, threats to life, severe retaliation, deliberate destruction of evidence, or another grave and imminent abuse may accelerate verification and permit temporary protective measures before completion of the ordinary cure sequence. Any accelerated measure shall receive prompt independent review and shall remain no broader or longer than necessary.</w:t>
      </w:r>
    </w:p>
    <w:p>
      <w:pPr>
        <w:pStyle w:val="Heading3"/>
        <w:keepNext/>
        <w:widowControl/>
        <w:rPr/>
      </w:pPr>
      <w:r>
        <w:rPr/>
        <w:t>31.E.15 No Double Punishment or Forum Shopping.</w:t>
      </w:r>
    </w:p>
    <w:p>
      <w:pPr>
        <w:pStyle w:val="Normal"/>
        <w:widowControl/>
        <w:rPr/>
      </w:pPr>
      <w:r>
        <w:rPr/>
        <w:t>The Parties shall coordinate this Remedy with ordinary Chapter 23 enforcement, the Systemic Labor Rapid-Response Track, customs measures and other NAESTMA remedies so that the same underlying conduct is not subjected to duplicative punishment. Parallel proceedings may address distinct legal interests, but cumulative consequences shall remain proportionate and shall account for remediation already provided.</w:t>
      </w:r>
    </w:p>
    <w:p>
      <w:pPr>
        <w:pStyle w:val="Heading3"/>
        <w:keepNext/>
        <w:widowControl/>
        <w:rPr/>
      </w:pPr>
      <w:r>
        <w:rPr/>
        <w:t>31.E.16 Federalism and Domestic Institutional Neutrality.</w:t>
      </w:r>
    </w:p>
    <w:p>
      <w:pPr>
        <w:pStyle w:val="Normal"/>
        <w:widowControl/>
        <w:rPr/>
      </w:pPr>
      <w:r>
        <w:rPr/>
        <w:t>A Party may implement this Article through federal, state, provincial, territorial, local or other competent authorities consistent with its constitutional order. Federalism or allocation of domestic jurisdiction shall not excuse failure to provide the required treaty outcome. Nothing in this Article requires the Parties to maintain identical labour statutes, agencies, tribunals or bargaining systems; functional equivalence in access, independence, speed, evidence, remediation and consequences is the governing standard.</w:t>
      </w:r>
    </w:p>
    <w:p>
      <w:pPr>
        <w:pStyle w:val="Heading3"/>
        <w:keepNext/>
        <w:widowControl/>
        <w:rPr/>
      </w:pPr>
      <w:r>
        <w:rPr/>
        <w:t>31.E.17 Country-Neutral Construction.</w:t>
      </w:r>
    </w:p>
    <w:p>
      <w:pPr>
        <w:pStyle w:val="Normal"/>
        <w:widowControl/>
        <w:rPr/>
      </w:pPr>
      <w:r>
        <w:rPr/>
        <w:t>Except when describing the historical operation or transition of a predecessor mechanism, implementing texts shall use country-neutral terms such as Party, complainant Party, respondent Party, covered facility, enterprise and affected worker. No Party shall be presumed to be the ordinary source of labour violations or the ordinary target of enforcement.</w:t>
      </w:r>
    </w:p>
    <w:p>
      <w:pPr>
        <w:pStyle w:val="Heading3"/>
        <w:keepNext/>
        <w:widowControl/>
        <w:rPr/>
      </w:pPr>
      <w:r>
        <w:rPr/>
        <w:t>31.E.18 Transparency and Closure.</w:t>
      </w:r>
    </w:p>
    <w:p>
      <w:pPr>
        <w:pStyle w:val="Normal"/>
        <w:widowControl/>
        <w:rPr/>
      </w:pPr>
      <w:r>
        <w:rPr/>
        <w:t>Final determinations shall publish sufficient non-confidential information to identify the facility or matter where lawful, describe the verified denial, state the remediation obtained, explain any consequence imposed, and record the basis for closure or restoration. Publication shall protect worker safety, personal information, legitimate confidential business information and the integrity of ongoing proceedings.</w:t>
      </w:r>
    </w:p>
    <w:p>
      <w:pPr>
        <w:pStyle w:val="Heading3"/>
        <w:keepNext/>
        <w:widowControl/>
        <w:rPr/>
      </w:pPr>
      <w:r>
        <w:rPr/>
        <w:t>31.E.19 Relationship to Predecessor Annexes.</w:t>
      </w:r>
    </w:p>
    <w:p>
      <w:pPr>
        <w:pStyle w:val="Normal"/>
        <w:keepNext w:val="true"/>
        <w:widowControl/>
        <w:rPr/>
      </w:pPr>
      <w:r>
        <w:rPr/>
        <w:t>Article 31.E prevails immediately over any inconsistent standing, admissibility, scope, covered-right, covered-facility, verification, remedy, proportionality, restoration, worker-protection, domestic-order, or priority-sector provision in Annex 31-A, Annex 31-B, or an implementing instrument derived from either Annex. Predecessor procedures may remain in administrative use during transition only to the extent consistent with this Article. The Parties shall complete administrative consolidation within 24 months of entry into force; that period shall not delay equal substantive access to the Remedy in every bilateral direction.</w:t>
      </w:r>
    </w:p>
    <w:p>
      <w:pPr>
        <w:pStyle w:val="Heading3"/>
        <w:keepNext/>
        <w:widowControl/>
        <w:rPr/>
      </w:pPr>
      <w:r>
        <w:rPr/>
        <w:t>31.E.20 Governing Principle.</w:t>
      </w:r>
    </w:p>
    <w:p>
      <w:pPr>
        <w:pStyle w:val="Normal"/>
        <w:widowControl/>
        <w:rPr/>
      </w:pPr>
      <w:r>
        <w:rPr/>
        <w:t>A worker making NAESTMA-originating goods shall receive meaningful treaty protection whether the covered facility is located in Canada, Mexico or the United States. The Remedy protects workers first; trade consequences are instruments for securing compliance and remediation, not independent objectives.</w:t>
      </w:r>
    </w:p>
    <w:p>
      <w:bookmarkStart w:id="1232" w:name="_NAESTMA_TOC_1232"/>
      <w:pPr>
        <w:pStyle w:val="Heading2"/>
        <w:keepNext/>
        <w:widowControl/>
        <w:spacing w:before="180" w:after="80"/>
        <w:rPr/>
      </w:pPr>
      <w:r>
        <w:rPr/>
        <w:t>Article 31.F: Chapter 23-B Disputes — Expedited Procedures</w:t>
      </w:r>
      <w:bookmarkEnd w:id="1232"/>
    </w:p>
    <w:p>
      <w:pPr>
        <w:pStyle w:val="Normal"/>
        <w:widowControl/>
        <w:spacing w:before="0" w:after="100"/>
        <w:rPr/>
      </w:pPr>
      <w:r>
        <w:rPr/>
        <w:t>Disputes arising under Chapter 23-B (North American Just Transition and Worker Security Framework) shall be handled through the expedited procedures set forth in Article 23-B.11, not the standard procedures in Chapter 31. Specifically:</w:t>
      </w:r>
    </w:p>
    <w:p>
      <w:pPr>
        <w:pStyle w:val="Normal"/>
        <w:widowControl/>
        <w:spacing w:before="0" w:after="100"/>
        <w:rPr/>
      </w:pPr>
      <w:r>
        <w:rPr/>
        <w:t>(i) Chapter 23-B disputes have expedited consultation (30 days) and panel timeline (6 months).</w:t>
      </w:r>
    </w:p>
    <w:p>
      <w:pPr>
        <w:pStyle w:val="Normal"/>
        <w:widowControl/>
        <w:spacing w:before="0" w:after="100"/>
        <w:rPr/>
      </w:pPr>
      <w:r>
        <w:rPr/>
        <w:t>(ii) Panels hearing Chapter 23-B disputes shall include at least one member with labor law or social protection expertise.</w:t>
      </w:r>
    </w:p>
    <w:p>
      <w:pPr>
        <w:pStyle w:val="Normal"/>
        <w:widowControl/>
        <w:spacing w:before="0" w:after="100"/>
        <w:rPr/>
      </w:pPr>
      <w:r>
        <w:rPr/>
        <w:t>(iii) Automatic financial enforcement escalation applies to Chapter 23-B non-compliance as specified in Article 23-B.11(d), with worker and community make-whole relief and Fund-directed assessments preceding any suspension of treaty benefits.</w:t>
      </w:r>
    </w:p>
    <w:p>
      <w:pPr>
        <w:pStyle w:val="Normal"/>
        <w:widowControl/>
        <w:spacing w:before="0" w:after="100"/>
        <w:rPr/>
      </w:pPr>
      <w:r>
        <w:rPr/>
        <w:t>(iv) Chapter 23-B remedies include financial compensation to affected workers, not merely corrective action.</w:t>
      </w:r>
    </w:p>
    <w:p>
      <w:bookmarkStart w:id="1233" w:name="_NAESTMA_TOC_1233"/>
      <w:pPr>
        <w:pStyle w:val="Heading1"/>
        <w:keepNext/>
        <w:pageBreakBefore/>
        <w:widowControl/>
      </w:pPr>
      <w:r>
        <w:t>CHAPTER 32 — CUSMA 2.0 MODERNIZATION PROVISIONS</w:t>
      </w:r>
      <w:bookmarkEnd w:id="1233"/>
    </w:p>
    <w:p>
      <w:bookmarkStart w:id="1234" w:name="_NAESTMA_TOC_1234"/>
      <w:pPr>
        <w:pStyle w:val="Heading2"/>
        <w:keepNext/>
        <w:widowControl/>
        <w:rPr/>
      </w:pPr>
      <w:bookmarkStart w:id="107" w:name="_Toc237912587"/>
      <w:r>
        <w:rPr/>
        <w:t>Article 32.A: Essential Security (Replacement of Article 32.2)</w:t>
      </w:r>
      <w:bookmarkEnd w:id="107"/>
      <w:bookmarkEnd w:id="1234"/>
    </w:p>
    <w:p>
      <w:pPr>
        <w:pStyle w:val="Normal"/>
        <w:widowControl/>
        <w:rPr/>
      </w:pPr>
      <w:r>
        <w:rPr/>
        <w:t>1. Article 32.2 is replaced in its entirety by the following:</w:t>
      </w:r>
    </w:p>
    <w:p>
      <w:pPr>
        <w:pStyle w:val="Normal"/>
        <w:widowControl/>
        <w:rPr/>
      </w:pPr>
      <w:r>
        <w:rPr/>
        <w:t>“</w:t>
      </w:r>
      <w:r>
        <w:rPr>
          <w:b/>
        </w:rPr>
        <w:t>Article 32.2: Essential Security</w:t>
      </w:r>
    </w:p>
    <w:p>
      <w:pPr>
        <w:pStyle w:val="Normal"/>
        <w:widowControl/>
        <w:rPr/>
      </w:pPr>
      <w:r>
        <w:rPr/>
        <w:t>1. Nothing in this Agreement shall be construed to require a Party to furnish or allow access to information the disclosure of which it determines to be contrary to its essential security interests.</w:t>
      </w:r>
    </w:p>
    <w:p>
      <w:pPr>
        <w:pStyle w:val="Normal"/>
        <w:widowControl/>
        <w:rPr/>
      </w:pPr>
      <w:r>
        <w:rPr/>
        <w:t>2. Nothing in this Agreement shall be construed to preclude a Party from applying measures that it considers necessary for: (a) the fulfillment of its obligations with respect to the maintenance or restoration of international peace or security; or (b) the protection of its own essential security interests.</w:t>
      </w:r>
    </w:p>
    <w:p>
      <w:pPr>
        <w:pStyle w:val="Normal"/>
        <w:widowControl/>
        <w:rPr/>
      </w:pPr>
      <w:r>
        <w:rPr/>
        <w:t>3. A measure applied by a Party under paragraph 2(b) that affects the trade in goods or services of another Party, or investment of investors of another Party, is subject to the following procedural disciplines:</w:t>
      </w:r>
    </w:p>
    <w:p>
      <w:pPr>
        <w:pStyle w:val="Normal"/>
        <w:widowControl/>
        <w:rPr/>
      </w:pPr>
      <w:r>
        <w:rPr/>
        <w:t>(a) the invoking Party shall notify the other Parties in writing within 15 days after the measure’s adoption, and in advance where delay would not create a genuine security risk, identifying: (i) the essential security interest involved, at a level of specificity sufficient to permit the review contemplated by Article 35.22, without disclosure of classified information; (ii) the goods, services, or investment affected; (iii) the domestic authority used; and (iv) the expected duration;</w:t>
      </w:r>
    </w:p>
    <w:p>
      <w:pPr>
        <w:pStyle w:val="Normal"/>
        <w:widowControl/>
        <w:rPr/>
      </w:pPr>
      <w:r>
        <w:rPr/>
        <w:t>(b) the invoking Party shall enter emergency consultations with an affected Party within 10 days of a request;</w:t>
      </w:r>
    </w:p>
    <w:p>
      <w:pPr>
        <w:pStyle w:val="Normal"/>
        <w:widowControl/>
        <w:rPr/>
      </w:pPr>
      <w:r>
        <w:rPr/>
        <w:t>(c) the measure shall be no broader in scope, and no longer in duration, than the stated essential security interest requires;</w:t>
      </w:r>
    </w:p>
    <w:p>
      <w:pPr>
        <w:pStyle w:val="Normal"/>
        <w:widowControl/>
        <w:rPr/>
      </w:pPr>
      <w:r>
        <w:rPr/>
        <w:t>(d) the invoking Party shall review the measure at intervals not exceeding 180 days, shall notify the other Parties of each review with an updated justification, and shall terminate the measure when the stated security interest no longer requires it;</w:t>
      </w:r>
    </w:p>
    <w:p>
      <w:pPr>
        <w:pStyle w:val="Normal"/>
        <w:widowControl/>
        <w:rPr/>
      </w:pPr>
      <w:r>
        <w:rPr/>
        <w:t>(e) the measure terminates two years after adoption unless renewed through a fresh notification and justification under this paragraph; successive renewals require successively particularized justification; and successive measures addressing substantially the same stated security concern and substantially the same trade are treated as renewals of a single continuing measure, however denominated, designated, or re-justified; and</w:t>
      </w:r>
    </w:p>
    <w:p>
      <w:pPr>
        <w:pStyle w:val="Normal"/>
        <w:widowControl/>
        <w:rPr/>
      </w:pPr>
      <w:r>
        <w:rPr/>
        <w:t>(f) a measure affecting originating goods of another Party is subject to the special review lane in Article 35.22, and to the protections accorded goods holding Trusted North American Origin status.</w:t>
      </w:r>
    </w:p>
    <w:p>
      <w:pPr>
        <w:pStyle w:val="Normal"/>
        <w:widowControl/>
        <w:rPr/>
      </w:pPr>
      <w:r>
        <w:rPr/>
        <w:t>4. Drug trafficking, migration, crime, or other non-trade conduct does not by itself constitute an essential-security basis for a covered border measure against originating goods of another Party, unless the invoking Party establishes a direct and material nexus between those goods themselves and the stated security threat — that is, that the targeted goods materially contribute to, or materially facilitate, the threat — and that nexus is reviewable under Article 35.22 in accordance with the review boundary of Article 35.22.7.</w:t>
      </w:r>
    </w:p>
    <w:p>
      <w:pPr>
        <w:pStyle w:val="Normal"/>
        <w:widowControl/>
        <w:rPr/>
      </w:pPr>
      <w:r>
        <w:rPr/>
        <w:t>5. A dispute concerning whether a measure complies with paragraphs 3 and 4 may be submitted to dispute settlement under Chapter 31, including the Expedited Tariff Panel procedure in Article 31.A. In such a dispute, a panel shall not review the invoking Party’s good-faith identification of its essential security interests or substitute its military, defense, intelligence, or foreign-policy judgment. The panel may review the implementation of the measure to the extent expressly authorized by Article 35.22 and Articles 32.A.1 through 32.A.9, including factual nexus, scope, discrimination, proportionality, duration, procedural integrity, trusted-supply treatment, and whether a narrower effective trade measure is reasonably available.</w:t>
      </w:r>
    </w:p>
    <w:p>
      <w:pPr>
        <w:pStyle w:val="Normal"/>
        <w:widowControl/>
        <w:rPr/>
      </w:pPr>
      <w:r>
        <w:rPr/>
        <w:t>6. A Party shall not invoke this Article as a means of circumventing its obligations under this Agreement with respect to ordinary commercial matters, including industrial capacity, employment, market share, supply-chain resilience as a general matter, or general economic conditions, which do not as such constitute essential security interests. A pattern of invocation determined under Chapter 31 to constitute such circumvention entitles the affected Party to proportionate compensation within the affected module.“</w:t>
      </w:r>
    </w:p>
    <w:p>
      <w:pPr>
        <w:pStyle w:val="Normal"/>
        <w:widowControl/>
        <w:rPr/>
      </w:pPr>
      <w:r>
        <w:rPr/>
        <w:t>2. For greater certainty, paragraph 3 of the replaced Article does not constrain action taken in time of armed conflict or genuine national emergency, provided that notification under subparagraph (a) is given as soon as practicable and the remaining disciplines apply thereafter.</w:t>
      </w:r>
    </w:p>
    <w:p>
      <w:bookmarkStart w:id="1235" w:name="_NAESTMA_TOC_1235"/>
      <w:pPr>
        <w:pStyle w:val="Heading2"/>
        <w:keepNext/>
        <w:widowControl/>
        <w:rPr/>
      </w:pPr>
      <w:r>
        <w:rPr/>
        <w:t>Article 32.A.1: Functional Equivalence and Domestic-Law Anti-Circumvention</w:t>
      </w:r>
      <w:bookmarkEnd w:id="1235"/>
    </w:p>
    <w:p>
      <w:pPr>
        <w:pStyle w:val="Normal"/>
        <w:widowControl/>
        <w:rPr/>
      </w:pPr>
      <w:r>
        <w:rPr/>
        <w:t>1. For purposes of this Agreement, a measure is characterized according to its operation, legal and economic effect, and practical conditions, and not solely according to its domestic statutory authority, executive label, institutional actor, stated purpose, or administrative form.</w:t>
      </w:r>
    </w:p>
    <w:p>
      <w:pPr>
        <w:pStyle w:val="Normal"/>
        <w:widowControl/>
        <w:rPr/>
      </w:pPr>
      <w:r>
        <w:rPr/>
        <w:t>2. A Party shall not evade, circumvent, nullify, or materially defeat a safeguard of this Agreement by imposing substantially equivalent economic coercion through a national-security adjustment, emergency surcharge, import fee, quota, license, permit, bond, procurement exclusion, certification rule, inspection regime, port restriction, domestic-content condition, or other instrument that would be subject to that safeguard if imposed in another form.</w:t>
      </w:r>
    </w:p>
    <w:p>
      <w:pPr>
        <w:pStyle w:val="Normal"/>
        <w:widowControl/>
        <w:rPr/>
      </w:pPr>
      <w:r>
        <w:rPr/>
        <w:t>3. Measures attributable to a Party include measures of its legislative, executive, administrative, judicial, and covered subnational authorities, and of a private or public body exercising delegated governmental authority, to the extent recognized by this Agreement and applicable international law. Domestic allocation of authority does not by itself extinguish the Party's international responsibility.</w:t>
      </w:r>
    </w:p>
    <w:p>
      <w:pPr>
        <w:pStyle w:val="Normal"/>
        <w:widowControl/>
        <w:rPr/>
      </w:pPr>
      <w:r>
        <w:rPr/>
        <w:t>4. This Article does not enlarge the substantive scope of this Agreement into matters otherwise excluded. It prevents form, label, governmental level, or domestic legal source from defeating an obligation that otherwise applies.</w:t>
      </w:r>
    </w:p>
    <w:p>
      <w:bookmarkStart w:id="1236" w:name="_NAESTMA_TOC_1236"/>
      <w:pPr>
        <w:pStyle w:val="Heading2"/>
        <w:keepNext/>
        <w:widowControl/>
        <w:rPr/>
      </w:pPr>
      <w:r>
        <w:rPr/>
        <w:t>Article 32.A.2: Sovereign Security Judgment and Reviewable Implementation</w:t>
      </w:r>
      <w:bookmarkEnd w:id="1236"/>
    </w:p>
    <w:p>
      <w:pPr>
        <w:pStyle w:val="Normal"/>
        <w:widowControl/>
        <w:rPr/>
      </w:pPr>
      <w:r>
        <w:rPr/>
        <w:t>1. Each Party retains sovereign authority to identify and protect its essential security interests. No panel shall substitute its preferred security policy for the invoking Party's good-faith identification of the interest to be protected.</w:t>
      </w:r>
    </w:p>
    <w:p>
      <w:pPr>
        <w:pStyle w:val="Normal"/>
        <w:widowControl/>
        <w:rPr/>
      </w:pPr>
      <w:r>
        <w:rPr/>
        <w:t>2. The implementation of a trade- or investment-restrictive security measure remains reviewable for compliance with this Agreement, including attribution, notification, evidentiary sufficiency, concrete nexus, scope, discrimination, proportionality, duration, procedural integrity, and restoration.</w:t>
      </w:r>
    </w:p>
    <w:p>
      <w:pPr>
        <w:pStyle w:val="Normal"/>
        <w:widowControl/>
        <w:rPr/>
      </w:pPr>
      <w:r>
        <w:rPr/>
        <w:t>3. A security designation does not render the implementation of the measure self-judging. The invoking Party bears the burden of establishing the elements that this Agreement expressly makes reviewable.</w:t>
      </w:r>
    </w:p>
    <w:p>
      <w:pPr>
        <w:pStyle w:val="Normal"/>
        <w:widowControl/>
        <w:rPr/>
      </w:pPr>
      <w:r>
        <w:rPr/>
        <w:t>4. Economic importance, employment significance, trade imbalance, market share, domestic political sensitivity, strategic-sector classification, or incorporation into a defense or critical-infrastructure supply chain does not, standing alone, establish the concrete security nexus required by this Agreement.</w:t>
      </w:r>
    </w:p>
    <w:p>
      <w:bookmarkStart w:id="1237" w:name="_NAESTMA_TOC_1237"/>
      <w:pPr>
        <w:pStyle w:val="Heading2"/>
        <w:keepNext/>
        <w:widowControl/>
        <w:rPr/>
      </w:pPr>
      <w:r>
        <w:rPr/>
        <w:t>Article 32.A.3: Trusted North American Supply Presumption</w:t>
      </w:r>
      <w:bookmarkEnd w:id="1237"/>
    </w:p>
    <w:p>
      <w:pPr>
        <w:pStyle w:val="Normal"/>
        <w:widowControl/>
        <w:rPr/>
      </w:pPr>
      <w:r>
        <w:rPr/>
        <w:t>1. Originating supply from another Party is presumed, for purposes of an essential-security trade analysis, to constitute trusted North American supply.</w:t>
      </w:r>
    </w:p>
    <w:p>
      <w:pPr>
        <w:pStyle w:val="Normal"/>
        <w:widowControl/>
        <w:rPr/>
      </w:pPr>
      <w:r>
        <w:rPr/>
        <w:t>2. The presumption is rebuttable by clear and convincing evidence of a direct and material risk, including actual or credibly impending supply denial; material inability to supply within the relevant period; hostile or coercive control; verified circumvention; material adversary beneficial ownership or effective control where functionally relevant; persistent treaty noncompliance directly affecting the security interest; or another comparably concrete vulnerability.</w:t>
      </w:r>
    </w:p>
    <w:p>
      <w:pPr>
        <w:pStyle w:val="Normal"/>
        <w:widowControl/>
        <w:rPr/>
      </w:pPr>
      <w:r>
        <w:rPr/>
        <w:t>3. Speculation that another Party might become unreliable at an undefined future time does not rebut the presumption.</w:t>
      </w:r>
    </w:p>
    <w:p>
      <w:pPr>
        <w:pStyle w:val="Normal"/>
        <w:widowControl/>
        <w:rPr/>
      </w:pPr>
      <w:r>
        <w:rPr/>
        <w:t>4. Originating status does not immunize hostile non-Party control, fraud, circumvention, controlled technology leakage, or a genuine security vulnerability. Review shall address the actual risk rather than nationality alone.</w:t>
      </w:r>
    </w:p>
    <w:p>
      <w:bookmarkStart w:id="1238" w:name="_NAESTMA_TOC_1238"/>
      <w:pPr>
        <w:pStyle w:val="Heading2"/>
        <w:keepNext/>
        <w:widowControl/>
        <w:rPr/>
      </w:pPr>
      <w:r>
        <w:rPr/>
        <w:t>Article 32.A.4: Third-Country Connection and Ownership Discipline</w:t>
      </w:r>
      <w:bookmarkEnd w:id="1238"/>
    </w:p>
    <w:p>
      <w:pPr>
        <w:pStyle w:val="Normal"/>
        <w:widowControl/>
        <w:rPr/>
      </w:pPr>
      <w:r>
        <w:rPr/>
        <w:t>1. Incidental non-Party content, machinery, financing, minority investment, or ordinary commercial relationship does not convert an originating good, service, or enterprise of a Party into hostile or untrusted supply.</w:t>
      </w:r>
    </w:p>
    <w:p>
      <w:pPr>
        <w:pStyle w:val="Normal"/>
        <w:widowControl/>
        <w:rPr/>
      </w:pPr>
      <w:r>
        <w:rPr/>
        <w:t>2. A non-Party connection may support security treatment only where it materially affects origin, effective control, supply assurance, controlled technology, security-sensitive data, sanctions exposure, or circumvention.</w:t>
      </w:r>
    </w:p>
    <w:p>
      <w:pPr>
        <w:pStyle w:val="Normal"/>
        <w:widowControl/>
        <w:rPr/>
      </w:pPr>
      <w:r>
        <w:rPr/>
        <w:t>3. A Party shall not treat qualifying Canadian, Mexican, or United States ownership as inherently less secure merely because the enterprise is not owned by nationals of the importing Party. Actual control and risk may be examined on objective evidence.</w:t>
      </w:r>
    </w:p>
    <w:p>
      <w:bookmarkStart w:id="1239" w:name="_NAESTMA_TOC_1239"/>
      <w:pPr>
        <w:pStyle w:val="Heading2"/>
        <w:keepNext/>
        <w:widowControl/>
        <w:rPr/>
      </w:pPr>
      <w:r>
        <w:rPr/>
        <w:t>Article 32.A.5: Self-Created Security Vulnerability</w:t>
      </w:r>
      <w:bookmarkEnd w:id="1239"/>
    </w:p>
    <w:p>
      <w:pPr>
        <w:pStyle w:val="Normal"/>
        <w:widowControl/>
        <w:rPr/>
      </w:pPr>
      <w:r>
        <w:rPr/>
        <w:t>1. In determining whether a restrictive measure is necessary and proportionate, a reviewing body shall consider whether the invoking Party materially created or deliberately aggravated the claimed vulnerability through recent discretionary measures.</w:t>
      </w:r>
    </w:p>
    <w:p>
      <w:pPr>
        <w:pStyle w:val="Normal"/>
        <w:widowControl/>
        <w:rPr/>
      </w:pPr>
      <w:r>
        <w:rPr/>
        <w:t>2. A self-created or deliberately aggravated vulnerability weighs strongly against extraordinary trade restriction unless the Party demonstrates that the earlier measure itself responded to an independent legitimate security necessity and that reasonable less-restrictive corrective options are inadequate.</w:t>
      </w:r>
    </w:p>
    <w:p>
      <w:pPr>
        <w:pStyle w:val="Normal"/>
        <w:widowControl/>
        <w:rPr/>
      </w:pPr>
      <w:r>
        <w:rPr/>
        <w:t>3. Nothing in this Article requires a Party to preserve a commercial dependency it reasonably determines should be reduced. The Article prevents deliberate manufacture of an emergency as a basis for otherwise unjustified coercion.</w:t>
      </w:r>
    </w:p>
    <w:p>
      <w:bookmarkStart w:id="1240" w:name="_NAESTMA_TOC_1240"/>
      <w:pPr>
        <w:pStyle w:val="Heading2"/>
        <w:keepNext/>
        <w:widowControl/>
        <w:rPr/>
      </w:pPr>
      <w:r>
        <w:rPr/>
        <w:t>Article 32.A.6: Least-Restrictive Trusted-Partner Security Measure</w:t>
      </w:r>
      <w:bookmarkEnd w:id="1240"/>
    </w:p>
    <w:p>
      <w:pPr>
        <w:pStyle w:val="Normal"/>
        <w:widowControl/>
        <w:rPr/>
      </w:pPr>
      <w:r>
        <w:rPr/>
        <w:t>1. Where a genuine security risk is established, a Party shall, to the extent reasonably available, distinguish trusted Party-originating supply from verified high-risk non-Party supply, circumvention, hostile control, and other materially different risk categories.</w:t>
      </w:r>
    </w:p>
    <w:p>
      <w:pPr>
        <w:pStyle w:val="Normal"/>
        <w:widowControl/>
        <w:rPr/>
      </w:pPr>
      <w:r>
        <w:rPr/>
        <w:t>2. A formally global measure that imposes disproportionate restrictions on another Party's originating trade shall identify why materially less restrictive trusted-partner treatment would not adequately address the stated risk.</w:t>
      </w:r>
    </w:p>
    <w:p>
      <w:pPr>
        <w:pStyle w:val="Normal"/>
        <w:widowControl/>
        <w:rPr/>
      </w:pPr>
      <w:r>
        <w:rPr/>
        <w:t>3. The measure shall be no broader in product coverage, volume, geography, entity coverage, duration, or administrative burden than reasonably necessary to address the demonstrated risk.</w:t>
      </w:r>
    </w:p>
    <w:p>
      <w:bookmarkStart w:id="1241" w:name="_NAESTMA_TOC_1241"/>
      <w:pPr>
        <w:pStyle w:val="Heading2"/>
        <w:keepNext/>
        <w:widowControl/>
        <w:rPr/>
      </w:pPr>
      <w:r>
        <w:rPr/>
        <w:t>Article 32.A.7: Security Investigation Integrity and Anti-Harassment</w:t>
      </w:r>
      <w:bookmarkEnd w:id="1241"/>
    </w:p>
    <w:p>
      <w:pPr>
        <w:pStyle w:val="Normal"/>
        <w:widowControl/>
        <w:rPr/>
      </w:pPr>
      <w:r>
        <w:rPr/>
        <w:t>1. A security investigation materially affecting another Party's trade shall identify an objective predicate, relevant scope, responsible authority, expected timetable, and information reasonably necessary to the inquiry.</w:t>
      </w:r>
    </w:p>
    <w:p>
      <w:pPr>
        <w:pStyle w:val="Normal"/>
        <w:widowControl/>
        <w:rPr/>
      </w:pPr>
      <w:r>
        <w:rPr/>
        <w:t>2. Investigations shall proceed without unnecessary delay. Extensions require a reasoned public explanation that protects classified and confidential information.</w:t>
      </w:r>
    </w:p>
    <w:p>
      <w:pPr>
        <w:pStyle w:val="Normal"/>
        <w:widowControl/>
        <w:rPr/>
      </w:pPr>
      <w:r>
        <w:rPr/>
        <w:t>3. A Party shall not repeatedly reopen a substantially identical investigation on materially unchanged facts principally to prolong commercial uncertainty. Materially new evidence or changed security conditions may justify reopening.</w:t>
      </w:r>
    </w:p>
    <w:p>
      <w:pPr>
        <w:pStyle w:val="Normal"/>
        <w:widowControl/>
        <w:rPr/>
      </w:pPr>
      <w:r>
        <w:rPr/>
        <w:t>4. Information demands shall be proportionate and shall use protected data rooms, aggregated data, non-confidential summaries, or security-cleared review where appropriate.</w:t>
      </w:r>
    </w:p>
    <w:p>
      <w:bookmarkStart w:id="1242" w:name="_NAESTMA_TOC_1242"/>
      <w:pPr>
        <w:pStyle w:val="Heading2"/>
        <w:keepNext/>
        <w:widowControl/>
        <w:rPr/>
      </w:pPr>
      <w:r>
        <w:rPr/>
        <w:t>Article 32.A.8: Classified Evidence and Non-Derogable Procedural Core</w:t>
      </w:r>
      <w:bookmarkEnd w:id="1242"/>
    </w:p>
    <w:p>
      <w:pPr>
        <w:pStyle w:val="Normal"/>
        <w:widowControl/>
        <w:rPr/>
      </w:pPr>
      <w:r>
        <w:rPr/>
        <w:t>1. Classification, privilege, law-enforcement sensitivity, or security protection may alter the manner of review but shall not, by itself, eliminate independent review of a measure affecting another Party.</w:t>
      </w:r>
    </w:p>
    <w:p>
      <w:pPr>
        <w:pStyle w:val="Normal"/>
        <w:widowControl/>
        <w:rPr/>
      </w:pPr>
      <w:r>
        <w:rPr/>
        <w:t>2. Where ordinary disclosure would create a genuine security risk, the evidence shall be tested through a security-cleared independent special advocate, protected reviewer, or comparably independent procedure capable of examining relevance, reliability, necessity, and material exculpatory context.</w:t>
      </w:r>
    </w:p>
    <w:p>
      <w:pPr>
        <w:pStyle w:val="Normal"/>
        <w:widowControl/>
        <w:rPr/>
      </w:pPr>
      <w:r>
        <w:rPr/>
        <w:t>3. No essential-security invocation may derogate from the following procedural guarantees: authenticated notice; preservation of relevant evidence; access to independent review; anti-corruption and market-integrity rules; the humanitarian firewall; reasoned duration and periodic review; prohibition on deliberate discrimination unrelated to demonstrated risk; and restoration when the qualifying security condition ends.</w:t>
      </w:r>
    </w:p>
    <w:p>
      <w:pPr>
        <w:pStyle w:val="Normal"/>
        <w:widowControl/>
        <w:rPr/>
      </w:pPr>
      <w:r>
        <w:rPr/>
        <w:t>4. Armed conflict or genuine national emergency may justify compressed timing, but not permanent elimination of the non-derogable procedural core.</w:t>
      </w:r>
    </w:p>
    <w:p>
      <w:bookmarkStart w:id="1243" w:name="_NAESTMA_TOC_1243"/>
      <w:pPr>
        <w:pStyle w:val="Heading2"/>
        <w:keepNext/>
        <w:widowControl/>
        <w:rPr/>
      </w:pPr>
      <w:r>
        <w:rPr/>
        <w:t>Article 32.A.9: Security Necessity Review, Sunset, and Restoration</w:t>
      </w:r>
      <w:bookmarkEnd w:id="1243"/>
    </w:p>
    <w:p>
      <w:pPr>
        <w:pStyle w:val="Normal"/>
        <w:widowControl/>
        <w:rPr/>
      </w:pPr>
      <w:r>
        <w:rPr/>
        <w:t>1. Every trade- or investment-restrictive essential-security measure affecting another Party is subject to periodic Security Necessity Review at intervals not exceeding 180 days, coordinated with Article 35.22.</w:t>
      </w:r>
    </w:p>
    <w:p>
      <w:pPr>
        <w:pStyle w:val="Normal"/>
        <w:widowControl/>
        <w:rPr/>
      </w:pPr>
      <w:r>
        <w:rPr/>
        <w:t>2. The review asks whether the stated security condition continues; whether the particular restriction remains materially connected to it; whether less-restrictive effective measures have become reasonably available; and whether scope can be narrowed.</w:t>
      </w:r>
    </w:p>
    <w:p>
      <w:pPr>
        <w:pStyle w:val="Normal"/>
        <w:widowControl/>
        <w:rPr/>
      </w:pPr>
      <w:r>
        <w:rPr/>
        <w:t>3. Expired necessity terminates the exceptional treatment automatically. Ordinary treaty treatment restores without requiring a political concession, reciprocal bargain, or new vote.</w:t>
      </w:r>
    </w:p>
    <w:p>
      <w:bookmarkStart w:id="1244" w:name="_NAESTMA_TOC_1244"/>
      <w:pPr>
        <w:pStyle w:val="Heading2"/>
        <w:keepNext/>
        <w:widowControl/>
        <w:rPr/>
      </w:pPr>
      <w:bookmarkStart w:id="108" w:name="_Toc237912588"/>
      <w:r>
        <w:rPr/>
        <w:t>Article 32.B: Economic Emergency and Balance-of-Payments Measures</w:t>
      </w:r>
      <w:bookmarkEnd w:id="108"/>
      <w:bookmarkEnd w:id="1244"/>
    </w:p>
    <w:p>
      <w:pPr>
        <w:pStyle w:val="Normal"/>
        <w:widowControl/>
        <w:rPr/>
      </w:pPr>
      <w:r>
        <w:rPr/>
        <w:t>1. A Party may apply a temporary measure in the event of serious balance-of-payments and external financial difficulties, or threat thereof, consistent with the WTO Agreement and the Articles of Agreement of the International Monetary Fund.</w:t>
      </w:r>
    </w:p>
    <w:p>
      <w:pPr>
        <w:pStyle w:val="Normal"/>
        <w:widowControl/>
        <w:rPr/>
      </w:pPr>
      <w:r>
        <w:rPr/>
        <w:t>2. A measure under paragraph 1 that affects originating goods of another Party shall: (a) be notified to the other Parties within five days with its justification, scope, and expected duration; (b) be non-discriminatory as among the Parties, and shall exempt originating goods of the other Parties where the measure takes the form of a general import surcharge, unless the Party demonstrates to the Verification Panel that the inclusion of originating goods is essential to the measure’s balance-of-payments purpose; (c) not exceed 150 days in duration unless extended following trilateral consultation and Fund consultation; and (d) be subject to expedited review under Article 31.A.</w:t>
      </w:r>
    </w:p>
    <w:p>
      <w:pPr>
        <w:pStyle w:val="Normal"/>
        <w:widowControl/>
        <w:rPr/>
      </w:pPr>
      <w:r>
        <w:rPr/>
        <w:t>3. A Party shall not use balance-of-payments or economic-emergency authority as a substitute for remedies available under this Agreement for trade matters. Successive substantially identical measures under this Article are treated as a single continuing measure for the purposes of subparagraph 2(c).</w:t>
      </w:r>
    </w:p>
    <w:p>
      <w:bookmarkStart w:id="1245" w:name="_NAESTMA_TOC_1245"/>
      <w:pPr>
        <w:pStyle w:val="Heading2"/>
        <w:keepNext/>
        <w:widowControl/>
        <w:rPr/>
      </w:pPr>
      <w:bookmarkStart w:id="109" w:name="_Toc237912589"/>
      <w:r>
        <w:rPr/>
        <w:t>Article 32.C: General Exceptions — Anti-Abuse Discipline</w:t>
      </w:r>
      <w:bookmarkEnd w:id="109"/>
      <w:bookmarkEnd w:id="1245"/>
    </w:p>
    <w:p>
      <w:pPr>
        <w:pStyle w:val="Normal"/>
        <w:widowControl/>
        <w:rPr/>
      </w:pPr>
      <w:r>
        <w:rPr/>
        <w:t>Natural Water Resources. Consistent with the original Canada–United States understanding preserved in Annex 34-G, Part C, this Agreement creates no right to a Party’s natural water resources. Water that has not entered commerce as a good or product is outside the market-access obligations of this Agreement, and no Party is obliged to withdraw, extract, divert, or exploit natural water for bulk export.</w:t>
      </w:r>
    </w:p>
    <w:p>
      <w:pPr>
        <w:pStyle w:val="Normal"/>
        <w:widowControl/>
        <w:rPr/>
      </w:pPr>
      <w:r>
        <w:rPr/>
        <w:t>1. Article 32.1 (General Exceptions) remains in force. For greater certainty, the chapeau of GATT Article XX and of GATS Article XIV, as incorporated, requires that a measure not be applied in a manner constituting arbitrary or unjustifiable discrimination between countries where the same conditions prevail, including between the Parties, or a disguised restriction on trade, and this requirement applies with full force to measures affecting originating goods of another Party.</w:t>
      </w:r>
    </w:p>
    <w:p>
      <w:pPr>
        <w:pStyle w:val="Normal"/>
        <w:widowControl/>
        <w:rPr/>
      </w:pPr>
      <w:r>
        <w:rPr/>
        <w:t>2. Article 32.1 cannot be invoked to accomplish what Articles 35.3 through 35.7 expressly prohibit, unless the measure in fact satisfies every element of the specific exception invoked, including the applicable chapeau discipline. Relabeling a measure does not bring it within an exception.</w:t>
      </w:r>
    </w:p>
    <w:p>
      <w:pPr>
        <w:pStyle w:val="Normal"/>
        <w:widowControl/>
        <w:rPr/>
      </w:pPr>
      <w:r>
        <w:rPr/>
        <w:t>3. In a dispute concerning a general-exception defense for a covered border measure affecting originating goods, the responding Party bears the burden of establishing the elements of the exception invoked.</w:t>
      </w:r>
    </w:p>
    <w:p>
      <w:bookmarkStart w:id="1246" w:name="_NAESTMA_TOC_1246"/>
      <w:pPr>
        <w:pStyle w:val="Heading2"/>
        <w:keepNext/>
        <w:widowControl/>
        <w:rPr/>
      </w:pPr>
      <w:bookmarkStart w:id="110" w:name="_Toc237912590"/>
      <w:r>
        <w:rPr/>
        <w:t>Article 32.D: Indigenous Peoples Rights</w:t>
      </w:r>
      <w:bookmarkEnd w:id="110"/>
      <w:bookmarkEnd w:id="1246"/>
    </w:p>
    <w:p>
      <w:pPr>
        <w:pStyle w:val="Normal"/>
        <w:widowControl/>
        <w:rPr/>
      </w:pPr>
      <w:r>
        <w:rPr/>
        <w:t>1. Article 32.5 (Indigenous Peoples Rights) remains in force. The Parties shall further cooperate to facilitate Indigenous trade, entrepreneurship, procurement participation, and cross-border economic relationships, including through the stakeholder channels of Article 26.B and the SME measures of Chapter 25 as supplemented.</w:t>
      </w:r>
    </w:p>
    <w:p>
      <w:bookmarkStart w:id="1247" w:name="_NAESTMA_TOC_1247"/>
      <w:pPr>
        <w:pStyle w:val="Heading2"/>
        <w:keepNext/>
        <w:widowControl/>
        <w:rPr/>
      </w:pPr>
      <w:bookmarkStart w:id="111" w:name="_Toc237912591"/>
      <w:r>
        <w:rPr/>
        <w:t>Article 32.E: Disclosure of Information</w:t>
      </w:r>
      <w:bookmarkEnd w:id="111"/>
      <w:bookmarkEnd w:id="1247"/>
    </w:p>
    <w:p>
      <w:pPr>
        <w:pStyle w:val="Normal"/>
        <w:widowControl/>
        <w:rPr/>
      </w:pPr>
      <w:r>
        <w:rPr/>
        <w:t>1. Article 32.7 (or corresponding provision on disclosure of information) remains in force. Information required to be protected under this Article includes classified security information furnished in a notification under Article 32.2 as replaced, which the receiving Parties shall protect and shall not disclose publicly.</w:t>
      </w:r>
    </w:p>
    <w:p>
      <w:bookmarkStart w:id="1248" w:name="_NAESTMA_TOC_1248"/>
      <w:pPr>
        <w:pStyle w:val="Heading2"/>
        <w:keepNext/>
        <w:widowControl/>
        <w:rPr/>
      </w:pPr>
      <w:bookmarkStart w:id="112" w:name="_Toc237912592"/>
      <w:r>
        <w:rPr/>
        <w:t>Article 32.F: Risk-Based and Nationality-Neutral Administration</w:t>
      </w:r>
      <w:bookmarkEnd w:id="112"/>
      <w:bookmarkEnd w:id="1248"/>
    </w:p>
    <w:p>
      <w:pPr>
        <w:pStyle w:val="Normal"/>
        <w:widowControl/>
        <w:rPr/>
      </w:pPr>
      <w:r>
        <w:rPr/>
        <w:t>1. Except where this Agreement expressly provides otherwise, a determination that a technology, supplier, investor, enterprise, jurisdiction, supply source, commercial relationship, or category of goods presents elevated security, resilience, integrity, or compliance risk shall be based on objective evidence reasonably relevant to the measure being applied.</w:t>
      </w:r>
    </w:p>
    <w:p>
      <w:pPr>
        <w:pStyle w:val="Normal"/>
        <w:widowControl/>
        <w:rPr/>
      </w:pPr>
      <w:r>
        <w:rPr/>
        <w:t>2. Relevant evidence may include beneficial ownership and effective control where functionally relevant; cybersecurity exposure; unauthorized data access; remote administrative access; supply concentration; demonstrated coercive conduct; corruption or fraud; forced labor; sanctions or export-control exposure legally applicable to the transaction; persistent regulatory non-compliance; product integrity; supply reliability; or other documented factors materially connected to the stated risk.</w:t>
      </w:r>
    </w:p>
    <w:p>
      <w:pPr>
        <w:pStyle w:val="Normal"/>
        <w:widowControl/>
        <w:rPr/>
      </w:pPr>
      <w:r>
        <w:rPr/>
        <w:t>3. Nationality, ethnicity, national origin, culture, language, religion, country of incorporation, country of manufacture, state ownership, public-enterprise status, or a jurisdiction's general economic model shall not, standing alone, establish that a person, supplier, technology, investment, enterprise, or source is untrustworthy, unsafe, unreliable, or high-risk.</w:t>
      </w:r>
    </w:p>
    <w:p>
      <w:pPr>
        <w:pStyle w:val="Normal"/>
        <w:widowControl/>
        <w:rPr/>
      </w:pPr>
      <w:r>
        <w:rPr/>
        <w:t>4. Nothing in this Agreement establishes a presumption that technologies, goods, services, investments, enterprises, or lawful commercial relationships originating outside North America are inherently less safe, reliable, desirable, or legitimate than North American equivalents.</w:t>
      </w:r>
    </w:p>
    <w:p>
      <w:pPr>
        <w:pStyle w:val="Normal"/>
        <w:widowControl/>
        <w:rPr/>
      </w:pPr>
      <w:r>
        <w:rPr/>
        <w:t>5. This Article does not prevent a Party from applying lawful sanctions, export controls, investment screening, national-security measures, human-rights measures, trade remedies, cybersecurity protections, or critical-infrastructure safeguards, provided that the measure is administered consistently with the applicable provisions of this Agreement.</w:t>
      </w:r>
    </w:p>
    <w:p>
      <w:bookmarkStart w:id="1249" w:name="_NAESTMA_TOC_1249"/>
      <w:pPr>
        <w:pStyle w:val="Heading2"/>
        <w:keepNext/>
        <w:widowControl/>
        <w:rPr/>
      </w:pPr>
      <w:r>
        <w:rPr/>
        <w:t>Article 32.G: External Economic Relations and Treaty Sovereignty</w:t>
      </w:r>
      <w:bookmarkEnd w:id="1249"/>
    </w:p>
    <w:p>
      <w:pPr>
        <w:pStyle w:val="Normal"/>
        <w:widowControl/>
        <w:rPr/>
      </w:pPr>
      <w:r>
        <w:rPr/>
        <w:t>1. Each Party retains the sovereign authority, subject to its domestic law, to negotiate, conclude, amend, implement, suspend, or terminate trade, investment, economic-security, critical-minerals, technology, procurement, development, or other economic arrangements with a non-Party.</w:t>
      </w:r>
    </w:p>
    <w:p>
      <w:pPr>
        <w:pStyle w:val="Normal"/>
        <w:widowControl/>
        <w:rPr/>
      </w:pPr>
      <w:r>
        <w:rPr/>
        <w:t>2. No Party shall require another Party to obtain its consent, approval, non-objection, waiver, or right of first refusal as a condition for exercising the authority described in paragraph 1, and no Party shall condition treatment under this Agreement on another Party surrendering that authority.</w:t>
      </w:r>
    </w:p>
    <w:p>
      <w:pPr>
        <w:pStyle w:val="Normal"/>
        <w:widowControl/>
        <w:rPr/>
      </w:pPr>
      <w:r>
        <w:rPr/>
        <w:t>3. A Party may require notification, consultation, transparency, or a narrowly tailored review of the specific effects of a non-Party arrangement where necessary to administer this Agreement, protect originating treatment, prevent circumvention, address a verified security risk, or apply an express obligation of this Agreement. Such review shall address the relevant measure or transaction and shall not operate as a veto over the non-Party arrangement itself.</w:t>
      </w:r>
    </w:p>
    <w:p>
      <w:pPr>
        <w:pStyle w:val="Normal"/>
        <w:widowControl/>
        <w:rPr/>
      </w:pPr>
      <w:r>
        <w:rPr/>
        <w:t>4. Nothing in this Article prevents a Party from declining to extend benefits of this Agreement to non-Parties, enforcing rules of origin, applying lawful investment screening, protecting controlled technology, or taking action expressly authorized by Article 32.A. Those authorities shall not be used to compel exclusive economic alignment by another Party.</w:t>
      </w:r>
    </w:p>
    <w:p>
      <w:pPr>
        <w:pStyle w:val="Normal"/>
        <w:widowControl/>
        <w:rPr/>
      </w:pPr>
      <w:r>
        <w:rPr/>
        <w:t>5. This Article applies symmetrically to Canada, Mexico, and the United States and shall be interpreted consistently with Articles 34.D, 36.9, 37.6A, and Chapter 41.</w:t>
      </w:r>
    </w:p>
    <w:p>
      <w:bookmarkStart w:id="1250" w:name="_NAESTMA_TOC_1250"/>
      <w:pPr>
        <w:pStyle w:val="Heading2"/>
        <w:keepNext/>
        <w:widowControl/>
        <w:spacing w:before="180" w:after="80"/>
        <w:rPr/>
      </w:pPr>
      <w:r>
        <w:rPr/>
        <w:t>Article 32.H: Exceptions Do Not Apply to Chapter 23-B</w:t>
      </w:r>
      <w:bookmarkEnd w:id="1250"/>
    </w:p>
    <w:p>
      <w:pPr>
        <w:pStyle w:val="Normal"/>
        <w:widowControl/>
        <w:spacing w:before="0" w:after="160"/>
        <w:rPr/>
      </w:pPr>
      <w:r>
        <w:rPr/>
        <w:t>Notwithstanding any other exception or carve-out in this Chapter (including Articles 32.E and 32.F), no Party may invoke an exception to excuse, reduce, postpone, or discontinue the substantive protections, benefit levels, funding commitments, or worker and community support required by Chapter 23-B (North American Just Transition and Worker Security Framework). Domestic law or constitutional allocation of authority does not excuse the substantive obligation. Where a prescribed method is constitutionally unavailable, the Party shall use the equivalent-mechanism procedure in Article 23-B.10(c), and Article 23-B.10(c)(v) prohibits interruption of benefits while equivalence is resolved.</w:t>
      </w:r>
      <w:r>
        <w:br w:type="page"/>
      </w:r>
    </w:p>
    <w:p>
      <w:bookmarkStart w:id="1251" w:name="_NAESTMA_TOC_1251"/>
      <w:pPr>
        <w:pStyle w:val="Heading1"/>
        <w:keepNext/>
        <w:keepLines w:val="0"/>
        <w:pageBreakBefore/>
        <w:widowControl/>
        <w:rPr/>
      </w:pPr>
      <w:bookmarkStart w:id="113" w:name="_Toc237912593"/>
      <w:r>
        <w:rPr/>
        <w:t>CHAPTER 33 MACROECONOMIC POLICIES AND EXCHANGE RATE MATTERS</w:t>
      </w:r>
      <w:bookmarkEnd w:id="113"/>
      <w:bookmarkEnd w:id="1251"/>
    </w:p>
    <w:p>
      <w:pPr>
        <w:pStyle w:val="Normal"/>
        <w:widowControl/>
        <w:rPr/>
      </w:pPr>
      <w:r>
        <w:rPr/>
        <w:t>Article 33.1: Definitions For the purposes of this Chapter: Article IV Staff Report means the report prepared by a staff team of the International Monetary Fund (IMF) for consideration by the Executive Board of the IMF in the context of a country’s adherence to Article IV, Section 3(b), of the IMF Articles of Agreement; competitive devaluation means an action undertaken by an exchange rate authority of a Party for the purpose of preventing effective balance of payments adjustment or gaining an unfair competitive advantage in trade over another Party; Currency Composition of Official Foreign Exchange Reserves (COFER) database means the IMF database based on voluntary and confidential participation by IMF member countries, which distinguishes monetary authorities’ claims on non-residents denominated in U.S.</w:t>
      </w:r>
    </w:p>
    <w:p>
      <w:pPr>
        <w:pStyle w:val="Normal"/>
        <w:widowControl/>
        <w:rPr/>
      </w:pPr>
      <w:r>
        <w:rPr/>
        <w:t>dollars, euros, pounds sterling, Japanese yen, Swiss francs, and other currencies on a quarterly basis starting in 2005; exchange rate means the price of one currency in terms of another currency; exchange rate assessment means the IMF staff’s evaluation of a country’s exchange rate as presented to the IMF Executive Board as part of a Party’s Article IV consultation or as published in the annual External Sector Report, consistent with recommendation 4 in the IMF 2011 Triennial Surveillance Review – Overview Paper, prepared on August 29, 2011; Executive Board discussion means the discussion by the IMF Executive Board of the Party’s Article IV Staff Report leading to the conclusion of the Article IV consultation, as defined in Paragraph 27 in Part III Section A of the Modernizing the Legal Framework for Surveillance―An Integrated Surveillance Decision, Revised Proposed Decisions, prepared on July 17, 2012; exports means all goods that subtract from the stock of material resources of a country by leaving its economic territory (International Merchandise Trade Statistics:</w:t>
      </w:r>
    </w:p>
    <w:p>
      <w:pPr>
        <w:pStyle w:val="Normal"/>
        <w:widowControl/>
        <w:rPr/>
      </w:pPr>
      <w:r>
        <w:rPr/>
        <w:t>Concepts and Definitions 2010, Chapter I, section A 1.2 of the United Nations); foreign exchange means the official currency of another Party or a non-Party; foreign exchange market means a market, wherever located, in which participants can purchase or sell foreign exchange; foreign exchange reserves means claims of an exchange rate authority or monetary authority on nonresidents in the form of foreign</w:t>
      </w:r>
    </w:p>
    <w:p>
      <w:pPr>
        <w:pStyle w:val="Normal"/>
        <w:widowControl/>
        <w:rPr/>
      </w:pPr>
      <w:r>
        <w:rPr/>
        <w:t>banknotes, bank deposits, treasury bills, short- and long-term government securities, and other claims usable in the event of balance of payments need, as defined in the IMF’s Balance of Payments and International Investment Position Manual, Sixth Edition (BPM6), paragraphs 6.86-6.92; forward foreign exchange contract means a commitment to transact, at a designated future date and agreed-upon exchange rate, in a specified amount of specified foreign exchange (paragraph FD 28, Financial Derivatives, A supplement to the Fifth Edition (1993) of the IMF’s Balance of Payments and International Investment Position Manual); forward positions means predetermined short-term net drains on foreign currency assets in the form of forwards, futures, and swaps, as defined in Item II.2 of the Reserves Data Template in the IMF International Reserves and Foreign Currency Liquidity: Guidelines for a Data Template (2013); imports means all goods that add to the stock of material resources of a country by entering its economic territory (International Merchandise Trade Statistics:</w:t>
      </w:r>
    </w:p>
    <w:p>
      <w:pPr>
        <w:pStyle w:val="Normal"/>
        <w:widowControl/>
        <w:rPr/>
      </w:pPr>
      <w:r>
        <w:rPr/>
        <w:t>Concepts and Definitions 2010, Chapter I, section A 1.2 of the United Nations); intervention means the purchase or sale, or the purchase or sale of a forward position, under the direction of an exchange rate authority, of foreign exchange reserves involving the currency of the intervening Party and at least one other currency; portfolio capital flows means cross-border transactions and positions involving debt or</w:t>
      </w:r>
    </w:p>
    <w:p>
      <w:pPr>
        <w:pStyle w:val="Normal"/>
        <w:widowControl/>
        <w:rPr/>
      </w:pPr>
      <w:r>
        <w:rPr/>
        <w:t>equity securities, other than those included in direct investment or reserve assets, as defined in the IMF’s Balance of Payments and International Investment Position Manual, Sixth Edition (BPM6), paragraphs 6.54-6.57; principal representative of a Party means a senior official of the exchange rate or fiscal or monetary authority of a Party;1 and spot foreign exchange market means the foreign exchange market in which participants transact for immediate delivery. For greater certainty, the principal representatives of Mexico include a senior officer of the Ministry of Finance and Public Credit and a senior officer of the Central Bank.</w:t>
      </w:r>
    </w:p>
    <w:p>
      <w:pPr>
        <w:pStyle w:val="Normal"/>
        <w:keepNext w:val="true"/>
        <w:widowControl/>
        <w:rPr/>
      </w:pPr>
      <w:r>
        <w:rPr/>
        <w:t>Article 33.2: General Provisions 1. The Parties affirm that market-determined exchange rates are fundamental for smooth macroeconomic adjustment and promote strong, sustainable, and balanced growth. 2. The Parties recognize the importance of macroeconomic stability in the region to the success of this Agreement and that strong economic fundamentals and sound policies are essential to macroeconomic stability, and contribute to strong and sustainable growth and investment. 3. The Parties share the objective of pursuing policies that strengthen underlying economic fundamentals, foster growth and transparency, and avoid unsustainable external imbalances.</w:t>
      </w:r>
    </w:p>
    <w:p>
      <w:pPr>
        <w:pStyle w:val="Normal"/>
        <w:keepNext w:val="true"/>
        <w:widowControl/>
        <w:rPr/>
      </w:pPr>
      <w:r>
        <w:rPr/>
        <w:t>Article 33.3: Scope This Chapter does not apply with respect to the regulatory or supervisory activities or monetary and related credit policy and related conduct of an exchange rate or fiscal or monetary authority of a Party.2</w:t>
      </w:r>
    </w:p>
    <w:p>
      <w:pPr>
        <w:pStyle w:val="Normal"/>
        <w:keepNext w:val="true"/>
        <w:widowControl/>
        <w:rPr/>
      </w:pPr>
      <w:r>
        <w:rPr/>
        <w:t>Article 33.4: Exchange Rate Practices 1. Each Party confirms that it is bound under the IMF Articles of Agreement to avoid manipulating exchange rates or the international monetary system in order to prevent effective balance of payments adjustment or to gain an unfair competitive advantage. 2. Each Party should: (a) achieve and maintain a market-determined exchange rate regime; (b) refrain from competitive devaluation, including through intervention in the foreign exchange market; and (c) strengthen underlying economic fundamentals, which reinforces the conditions for macroeconomic and exchange rate stability. 3. Each Party should inform promptly another Party and discuss if needed when an intervention has been carried out by the Party with respect to the currency of that other Party. 2 For greater certainty, the term “exchange rate or fiscal or monetary authority of a Party” includes a central bank of a Party.</w:t>
      </w:r>
    </w:p>
    <w:p>
      <w:pPr>
        <w:pStyle w:val="Normal"/>
        <w:keepNext w:val="true"/>
        <w:widowControl/>
        <w:rPr/>
      </w:pPr>
      <w:r>
        <w:rPr/>
        <w:t>Article 33.5: Transparency and Reporting 1. Each Party shall disclose publicly: (a) monthly foreign exchange reserves data and forward positions according to the IMF’s Data Template on International Reserves and Foreign Currency Liquidity, no later than 30 days after the end of each month; (b) monthly interventions in spot and forward foreign exchange markets, no later than seven days after the end of each month; (c) quarterly balance of payments portfolio capital flows, no later than 90 days after the end of each quarter; and (d) quarterly exports and imports, no later than 90 days after the end of each quarter. 2. Each Party shall consent to the public disclosure by the IMF of: (a) each IMF Article IV Staff Report on the country of the Party, including the exchange rate assessment, within four weeks of the IMF Executive Board discussion; and (b) confirmation of the Party’s participation in the IMF COFER database. 3. If the IMF does not disclose publicly any items listed in paragraph (2) with respect to a Party, that Party shall request that the IMF disclose publicly those items.</w:t>
      </w:r>
    </w:p>
    <w:p>
      <w:pPr>
        <w:pStyle w:val="Normal"/>
        <w:keepNext w:val="true"/>
        <w:widowControl/>
        <w:rPr/>
      </w:pPr>
      <w:r>
        <w:rPr/>
        <w:t>Article 33.6: Macroeconomic Committee 1. The Parties hereby establish a Macroeconomic Committee composed of principal representatives of each Party. Article 30.2.2(b) (Functions of the Commission) does not apply to the Macroeconomic Committee. 2. The Macroeconomic Committee shall monitor the implementation of this Chapter and its further elaboration. 3. The Macroeconomic Committee shall meet within one year after the date of entry into force of this Agreement, and at least annually thereafter, unless the Parties decide otherwise. 4. The Macroeconomic Committee shall, at each annual meeting, consider: (a) the macroeconomic and exchange rate policies of each Party, and their consequences on diverse macroeconomic variables, including domestic demand, external demand, and the current account balance; (b) issues, challenges, or efforts to strengthen capacity with respect to transparency or reporting; and (c) undertaking other activities as the Macroeconomic Committee may decide. 5. At each annual meeting, or as necessary, the Macroeconomic Committee may consider whether any provisions of this Chapter, except Article 33.3 (Scope), should be amended to reflect changes in monetary policy and the financial markets or should be interpreted.</w:t>
      </w:r>
    </w:p>
    <w:p>
      <w:pPr>
        <w:pStyle w:val="Normal"/>
        <w:widowControl/>
        <w:rPr/>
      </w:pPr>
      <w:r>
        <w:rPr/>
        <w:t>A decision by consensus of the Macroeconomic Committee that a provision of this Chapter should be amended shall be deemed to be a decision by consensus of the Commission to amend the provision.</w:t>
      </w:r>
    </w:p>
    <w:p>
      <w:pPr>
        <w:pStyle w:val="Normal"/>
        <w:widowControl/>
        <w:rPr/>
      </w:pPr>
      <w:r>
        <w:rPr/>
        <w:t>Amendments shall enter into force as provided for in Article 34.3 (Amendments). An interpretation issued pursuant to a decision by consensus of the Macroeconomic Committee shall be deemed to be an interpretation issued pursuant to a decision by consensus of the Commission. 6. The Commission shall not take any decision to amend or interpret a provision of this Chapter except as provided in paragraph 5.</w:t>
      </w:r>
    </w:p>
    <w:p>
      <w:pPr>
        <w:pStyle w:val="Normal"/>
        <w:keepNext w:val="true"/>
        <w:widowControl/>
        <w:rPr/>
      </w:pPr>
      <w:r>
        <w:rPr/>
        <w:t>Article 33.7: Principal Representative Consultations 1. A principal representative of a Party may request expedited bilateral consultations with a principal representative of another Party with respect to policies or measures of another Party that the principal representative of the requesting Party considers associated with competitive devaluation, the targeting of exchange rates for competitive purposes, fulfillment of the transparency and reporting commitments in Article 33.5 (Transparency and Reporting), or any other issue that the principal representative of the Party may wish to raise with respect to Articles 33.4 (Exchange Rate Practices) or 33.5 (Transparency and Reporting). A Party engaged in bilateral consultations may invite the Party not engaged in those consultations to participate and provide input. 2. If a principal representative of a Party requests bilateral consultations, the principal representatives (or their designees) of the consulting Parties shall meet within 30 days of the request to arrive at a mutually satisfactory resolution of the matter within 60 days of their initial meeting. 3.</w:t>
      </w:r>
    </w:p>
    <w:p>
      <w:pPr>
        <w:pStyle w:val="Normal"/>
        <w:widowControl/>
        <w:rPr/>
      </w:pPr>
      <w:r>
        <w:rPr/>
        <w:t>If a principal representative of a Party requests bilateral consultations with respect to another Party’s fulfillment of the transparency and reporting commitments in Article 33.5 (Transparency and Reporting), whether circumstances disrupted the practical ability of the other Party to disclose publicly the items listed in that Article shall be taken into account in the consultations, with the objective of arriving at a mutually satisfactory resolution of the matter. 4. If there is failure to arrive at a mutually satisfactory resolution in any consultations under this Article, the consulting Parties may request that the IMF, consistent with its mandate: (a) undertake rigorous surveillance of the macroeconomic and exchange rate policies and data transparency and reporting policies of the requested Party; or (b) initiate formal consultations and provide input, as appropriate.</w:t>
      </w:r>
    </w:p>
    <w:p>
      <w:pPr>
        <w:pStyle w:val="Normal"/>
        <w:keepNext w:val="true"/>
        <w:widowControl/>
        <w:rPr/>
      </w:pPr>
      <w:r>
        <w:rPr/>
        <w:t>Article 33.8: Dispute Settlement 1. A Party may have recourse to dispute settlement under Chapter 31 (Dispute Settlement), as modified by this Article, only with respect to a claim that a Party has failed to carry out an obligation under Article 33.5 (Transparency and Reporting) in a recurring or persistent manner and has not remediated that failure during consultations under Article 33.7 (Principal Representative Consultations).3 2. When selecting panelists to compose a panel under Article 31.9 (Panel Composition), each disputing Party shall select panelists so that each panelist: (a) has served as a senior official of an exchange rate or fiscal or monetary authority of a Party or the International Monetary Fund; and (b) meets the qualifications set out in paragraphs (2)(b) through (2)(d) of Article 31.8 (Roster and Qualification of Panelists). 3.</w:t>
      </w:r>
    </w:p>
    <w:p>
      <w:pPr>
        <w:pStyle w:val="Normal"/>
        <w:widowControl/>
        <w:rPr/>
      </w:pPr>
      <w:r>
        <w:rPr/>
        <w:t>A panel established under Article 31.6 (Establishment of a Panel) to make a determination as to whether a Party has failed to carry out an obligation under Article 33.5 (Transparency and Reporting) in a recurring or persistent manner and has not remediated that failure during consultations under Article 33.7 (Principal Representative Consultations) and a panel reconvened to make a determination on the proposed suspension of benefits, in accordance with Article 31.19 (Non-Implementation – Suspension of Benefits), may seek the views of the IMF in accordance with Article 31.15 (Role of Experts). 4.</w:t>
      </w:r>
    </w:p>
    <w:p>
      <w:pPr>
        <w:pStyle w:val="Normal"/>
        <w:widowControl/>
        <w:rPr/>
      </w:pPr>
      <w:r>
        <w:rPr/>
        <w:t>When a panel’s determination is that a Party has failed to carry out an obligation under Article 33.5 (Transparency and Reporting) in a recurring or persistent manner, and has not remediated that failure during consultations under Article 33.7 (Principal Representative Consultations), the complaining Party may not suspend benefits that are in excess of benefits equivalent to the effect of that failure. In suspending benefits under Article 31.19 (Non 3 For greater certainty, this Article does not provide a basis for any matter arising under any other provision of this Agreement, including Article 31.2(c) (Scope). Implementation – Suspension of Benefits), the complaining Party may take into account only the failure to carry out an obligation under Article 33.5 (Transparency and Reporting) and not any other action or alleged failure by the responding Party.</w:t>
      </w:r>
      <w:r>
        <w:br w:type="page"/>
      </w:r>
    </w:p>
    <w:p>
      <w:bookmarkStart w:id="1252" w:name="_NAESTMA_TOC_1252"/>
      <w:pPr>
        <w:pStyle w:val="Heading1"/>
        <w:keepNext/>
        <w:keepLines w:val="0"/>
        <w:pageBreakBefore/>
        <w:widowControl/>
        <w:rPr/>
      </w:pPr>
      <w:bookmarkStart w:id="114" w:name="_Toc237912594"/>
      <w:r>
        <w:rPr/>
        <w:t>CHAPTER 34 FINAL PROVISIONS</w:t>
      </w:r>
      <w:bookmarkEnd w:id="114"/>
      <w:bookmarkEnd w:id="1252"/>
    </w:p>
    <w:p>
      <w:pPr>
        <w:pStyle w:val="Normal"/>
        <w:widowControl/>
        <w:rPr/>
      </w:pPr>
      <w:r>
        <w:rPr/>
        <w:t>Article 34.1: Transitional Provision from NAFTA 1994 1. The Parties recognize the importance of a smooth transition from NAFTA 1994 to this Agreement. 2. Issues under consideration, including documents or other work under development, by the Commission or a subsidiary body of NAFTA 1994 may be continued under any equivalent body in this Agreement, subject to any decision by the Parties on whether and in what manner that continuation is to occur. 3. Membership of the Committee established under Article 2022 of NAFTA 1994 may be maintained for the Committee under Article 31.22.4 (Alternative Dispute Resolution). 4. Chapter Nineteen of NAFTA 1994 shall continue to apply to binational panel reviews related to final determinations published by a Party before the entry into force of this Agreement. 5.</w:t>
      </w:r>
    </w:p>
    <w:p>
      <w:pPr>
        <w:pStyle w:val="Normal"/>
        <w:widowControl/>
        <w:rPr/>
      </w:pPr>
      <w:r>
        <w:rPr/>
        <w:t>With respect to the matters set out in paragraph 4, the Secretariat established under Article 30.6 of this Agreement shall perform the functions assigned to the NAFTA 1994 Secretariat under Chapter Nineteen of the NAFTA 1994 and under, for Chapter Nineteen, the domestic implementation procedures adopted by the Parties in connection therewith, until the binational panel has rendered a decision and a Notice of Completion of Panel Review has been issued by the Secretariat pursuant to the Rules of Procedure for Article 1904 Binational Panel Reviews. 6.</w:t>
      </w:r>
    </w:p>
    <w:p>
      <w:pPr>
        <w:pStyle w:val="Normal"/>
        <w:widowControl/>
        <w:rPr/>
      </w:pPr>
      <w:r>
        <w:rPr/>
        <w:t>With respect to claims for preferential tariff treatment made under NAFTA 1994, the Parties shall make appropriate arrangements to grant these claims in accordance with NAFTA 1994 after entry into force of this Agreement. The provisions of Chapter Five of NAFTA 1994 will continue to apply through those arrangements, but only to goods for which preferential tariff treatment was claimed in accordance with NAFTA 1994, and will remain applicable for the period provided for in Article 505 (Records) of that Agreement.</w:t>
      </w:r>
    </w:p>
    <w:p>
      <w:bookmarkStart w:id="1253" w:name="_NAESTMA_TOC_1253"/>
      <w:pPr>
        <w:pStyle w:val="Heading2"/>
        <w:keepNext/>
        <w:widowControl/>
        <w:rPr/>
      </w:pPr>
      <w:r>
        <w:rPr/>
        <w:t>Article 34.2: Annexes, Appendices, and Footnotes</w:t>
      </w:r>
      <w:bookmarkEnd w:id="1253"/>
    </w:p>
    <w:p>
      <w:pPr>
        <w:pStyle w:val="Normal"/>
        <w:widowControl/>
        <w:spacing w:before="0" w:after="0"/>
        <w:rPr/>
      </w:pPr>
      <w:r>
        <w:rPr/>
        <w:t>The annexes, appendices, and footnotes to this Agreement constitute an integral part of this Agreement.</w:t>
      </w:r>
    </w:p>
    <w:p>
      <w:pPr>
        <w:pStyle w:val="Normal"/>
        <w:keepNext w:val="true"/>
        <w:widowControl/>
        <w:rPr/>
      </w:pPr>
      <w:r>
        <w:rPr/>
        <w:t>Article 34.3: Amendments 1. The Parties may agree, in writing, to amend this Agreement. 2. An amendment shall enter into force 60 days after the date on which the last Party has provided written notice to the other Parties of the approval of the amendment in accordance with its applicable legal procedures, or such other date as the Parties may agree.</w:t>
      </w:r>
    </w:p>
    <w:p>
      <w:pPr>
        <w:pStyle w:val="Normal"/>
        <w:keepNext w:val="true"/>
        <w:widowControl/>
        <w:rPr/>
      </w:pPr>
      <w:r>
        <w:rPr/>
        <w:t>Article 34.4: Amendment of the WTO Agreement In the event of an amendment of the WTO Agreement that amends a provision that the Parties have incorporated into this Agreement, the Parties shall, unless otherwise provided in this Agreement, consult on whether to amend this Agreement.</w:t>
      </w:r>
    </w:p>
    <w:p>
      <w:pPr>
        <w:pStyle w:val="Normal"/>
        <w:keepNext w:val="true"/>
        <w:widowControl/>
        <w:rPr/>
      </w:pPr>
      <w:r>
        <w:rPr/>
        <w:t>Article 34.5: Entry into Force This Agreement enters into force in accordance with paragraph 2 of the Protocol Replacing the North American Free Trade Agreement with the Agreement between the United States of America, the United Mexican States, and Canada.</w:t>
      </w:r>
    </w:p>
    <w:p>
      <w:pPr>
        <w:pStyle w:val="Normal"/>
        <w:keepNext w:val="true"/>
        <w:widowControl/>
        <w:rPr/>
      </w:pPr>
      <w:r>
        <w:rPr/>
        <w:t>Article 34.6: Withdrawal 1. A Party may withdraw from this Agreement by providing authenticated written notice of withdrawal to the other Parties. 2. Subject to Articles 34.F through 34.Q, withdrawal shall not take effect earlier than 12 months after notice unless all Parties agree in writing to an earlier date. 3. Until withdrawal takes effect, the withdrawing Party remains fully bound by this Agreement. 4. If a Party withdraws, this Agreement shall remain in force for the remaining Parties.</w:t>
      </w:r>
    </w:p>
    <w:p>
      <w:pPr>
        <w:pStyle w:val="Normal"/>
        <w:keepNext w:val="true"/>
        <w:widowControl/>
        <w:rPr/>
      </w:pPr>
      <w:r>
        <w:rPr/>
        <w:t>Article 34.7: Continuous Duration and Periodic Modernization Review 1. This Agreement remains in force for an indefinite duration unless a Party withdraws in accordance with Article 34.6. No periodic review, review deadline, failure to reach consensus, or passage of time terminates, suspends, diminishes, or conditions continuation of this Agreement. 2. The Commission shall conduct a joint review six years after entry into force of the Protocol of Modernization and every six years thereafter. A review is an implementation and modernization process and is not a renewal event. 3. A joint review shall address implementation, measurable performance, submitted modernization recommendations, operation of the strengthened bargain, and emerging conditions that may warrant consensual amendment.</w:t>
      </w:r>
    </w:p>
    <w:p>
      <w:pPr>
        <w:pStyle w:val="Normal"/>
        <w:widowControl/>
        <w:rPr/>
      </w:pPr>
      <w:r>
        <w:rPr/>
        <w:t>4. Existing rights and obligations continue automatically before, during, and after every review. No Party is required to renew, extend, or reconfirm this Agreement or any right, preference, guarantee, protection, recognition, approval, status, or entitlement established under it. 5. If the Parties do not agree on a recommendation or amendment, the Agreement continues unchanged; unresolved modernization questions may be carried forward without conditioning existing benefits on agreement. 6. A review may recommend amendment, technical updating, implementation action, or no action. Failure to adopt a recommendation has no adverse legal consequence for continuation of the Agreement.</w:t>
      </w:r>
    </w:p>
    <w:p>
      <w:pPr>
        <w:pStyle w:val="Normal"/>
        <w:widowControl/>
        <w:rPr/>
      </w:pPr>
      <w:r>
        <w:rPr/>
        <w:t>7. There is no sunset, snapback, lapse, or fade arising from Article 34.7. Continuity is the default; expiration applies only where an operative provision expressly makes a measure temporary by design, consistent with Article 35.29. 8. Withdrawal remains governed exclusively by Article 34.6 and Articles 34.F through 34.Q. A Party that has notified withdrawal remains bound until withdrawal takes effect.</w:t>
      </w:r>
    </w:p>
    <w:p>
      <w:pPr>
        <w:pStyle w:val="Normal"/>
        <w:keepNext w:val="true"/>
        <w:widowControl/>
        <w:rPr/>
      </w:pPr>
      <w:r>
        <w:rPr/>
        <w:t>Article 34.8: Authentic Texts The English, French, and Spanish texts of this Agreement are equally authentic, unless provided elsewhere in this Agreement. EXPLANATORY NOTE</w:t>
      </w:r>
    </w:p>
    <w:p>
      <w:pPr>
        <w:pStyle w:val="ModHeading"/>
        <w:widowControl/>
        <w:rPr/>
      </w:pPr>
      <w:bookmarkStart w:id="115" w:name="_Toc237912596"/>
      <w:r>
        <w:rPr/>
        <w:t>CHAPTER 34 — CUSMA 2.0 MODERNIZATION PROVISIONS</w:t>
      </w:r>
      <w:bookmarkEnd w:id="115"/>
    </w:p>
    <w:p>
      <w:pPr>
        <w:pStyle w:val="Normal"/>
        <w:widowControl/>
        <w:rPr/>
      </w:pPr>
      <w:r>
        <w:rPr>
          <w:i/>
        </w:rPr>
        <w:t>The provisions of this Part amend Chapter 34 (Final Provisions).</w:t>
      </w:r>
    </w:p>
    <w:p>
      <w:bookmarkStart w:id="1254" w:name="_NAESTMA_TOC_1254"/>
      <w:pPr>
        <w:pStyle w:val="Heading2"/>
        <w:keepNext/>
        <w:widowControl/>
        <w:rPr/>
      </w:pPr>
      <w:bookmarkStart w:id="116" w:name="_Toc237912597"/>
      <w:r>
        <w:rPr/>
        <w:t>Article 34.A: Amendments and the Structured Technical Amendment Procedure (Supplement to Article 34.3)</w:t>
      </w:r>
      <w:bookmarkEnd w:id="116"/>
      <w:bookmarkEnd w:id="1254"/>
    </w:p>
    <w:p>
      <w:pPr>
        <w:pStyle w:val="Normal"/>
        <w:widowControl/>
        <w:rPr/>
      </w:pPr>
      <w:r>
        <w:rPr/>
        <w:t>1. Article 34.3 (Amendments) remains in force for amendments to the text of this Agreement.</w:t>
      </w:r>
    </w:p>
    <w:p>
      <w:pPr>
        <w:pStyle w:val="Normal"/>
        <w:widowControl/>
        <w:rPr/>
      </w:pPr>
      <w:r>
        <w:rPr/>
        <w:t>2. The following new Article is added:</w:t>
      </w:r>
    </w:p>
    <w:p>
      <w:pPr>
        <w:pStyle w:val="Normal"/>
        <w:widowControl/>
        <w:rPr/>
      </w:pPr>
      <w:r>
        <w:rPr/>
        <w:t>“</w:t>
      </w:r>
      <w:r>
        <w:rPr>
          <w:b/>
        </w:rPr>
        <w:t>Article 34.3.A: Structured Technical Amendment Procedure</w:t>
      </w:r>
    </w:p>
    <w:p>
      <w:pPr>
        <w:pStyle w:val="Normal"/>
        <w:widowControl/>
        <w:rPr/>
      </w:pPr>
      <w:r>
        <w:rPr/>
        <w:t>1. The Commission may, by consensus, adopt amendments strictly limited to: (a) nomenclature and tariff-classification updates; (b) thresholds and coefficients within the ranges or maxima fixed by treaty text, including the factor ranges of Annex 35-A, Part 2; (c) technical standards, data standards, and technical criteria; and (d) maintenance of product lists and technical annexes, including Annexes 35-A through 35-E, Annex 35-B, Annex 37-A, the Advanced Technology Annex under Article 39.5, and the product-specific rules of Annex 4-B where the Committee on Rules of Origin has recommended the amendment.</w:t>
      </w:r>
    </w:p>
    <w:p>
      <w:pPr>
        <w:pStyle w:val="Normal"/>
        <w:widowControl/>
        <w:rPr/>
      </w:pPr>
      <w:r>
        <w:rPr/>
        <w:t>2. A technical amendment under this Article: (a) shall be recommended by the competent committee; (b) shall be published for comment for not less than 30 days; (c) takes effect on the date fixed by the Commission, not less than 60 days after adoption; and (d) is reported to the Parties in accordance with their domestic procedures.</w:t>
      </w:r>
    </w:p>
    <w:p>
      <w:pPr>
        <w:pStyle w:val="Normal"/>
        <w:widowControl/>
        <w:rPr/>
      </w:pPr>
      <w:r>
        <w:rPr/>
        <w:t>3. The procedure in this Article shall not be used to change a Party’s substantive rights, obligations, market access, protection, remedy, or policy space, to create or eliminate an exception, or to alter any treaty-level range, ceiling, deadline, or guarantee. A change having such effect is an amendment under Article 34.3 and enters into force only through the ratification procedure applicable to amendments. A disputing Party may challenge a purported technical amendment exceeding this paragraph under Chapter 31, and such an amendment is without effect unless confirmed under Article 34.3.“</w:t>
      </w:r>
    </w:p>
    <w:p>
      <w:bookmarkStart w:id="1255" w:name="_NAESTMA_TOC_1255"/>
      <w:pPr>
        <w:pStyle w:val="Heading2"/>
        <w:keepNext/>
        <w:widowControl/>
        <w:rPr/>
      </w:pPr>
      <w:r>
        <w:rPr/>
        <w:t>Article 34.A.1A: Reserved Sovereignty Matters and Late-Stage Amendment Safeguard</w:t>
      </w:r>
      <w:bookmarkEnd w:id="1255"/>
    </w:p>
    <w:p>
      <w:pPr>
        <w:pStyle w:val="Normal"/>
        <w:widowControl/>
        <w:rPr/>
      </w:pPr>
      <w:r>
        <w:rPr/>
        <w:t>1. A proposed amendment, side instrument, implementing schedule, legal-scrub change, interpretive understanding, or negotiating demand is a Reserved Sovereignty Matter where it would materially affect: (a) a Party's authority to enter external treaties or economic arrangements; (b) constitutional or subnational jurisdiction; (c) language, culture, Indigenous rights, or cultural institutions; (d) ownership, disposition, compulsory production, or exclusive allocation of natural resources; (e) the basic equality of originating content among the Parties; or (f) another matter that would materially reallocate sovereign authority rather than merely administer an agreed commercial obligation.</w:t>
      </w:r>
    </w:p>
    <w:p>
      <w:pPr>
        <w:pStyle w:val="Normal"/>
        <w:widowControl/>
        <w:rPr/>
      </w:pPr>
      <w:r>
        <w:rPr/>
        <w:t>2. A Reserved Sovereignty Matter shall not be treated as a technical correction, conforming edit, legal-scrub clarification, or routine implementing measure under this Agreement.</w:t>
      </w:r>
    </w:p>
    <w:p>
      <w:pPr>
        <w:pStyle w:val="Normal"/>
        <w:widowControl/>
        <w:rPr/>
      </w:pPr>
      <w:r>
        <w:rPr/>
        <w:t>3. A Reserved Sovereignty Matter introduced after the Parties have substantially completed political negotiations shall be separately identified in writing, accompanied by a plain-language explanation of its legal and commercial effect, and referred for explicit political authorization by each affected Party.</w:t>
      </w:r>
    </w:p>
    <w:p>
      <w:pPr>
        <w:pStyle w:val="Normal"/>
        <w:widowControl/>
        <w:rPr/>
      </w:pPr>
      <w:r>
        <w:rPr/>
        <w:t>4. No Party shall be deemed to have accepted a Reserved Sovereignty Matter by silence, failure to object during an accelerated legal scrub, incorporation into a consolidated draft without specific notice, or acceptance of an unrelated package.</w:t>
      </w:r>
    </w:p>
    <w:p>
      <w:pPr>
        <w:pStyle w:val="Normal"/>
        <w:widowControl/>
        <w:rPr/>
      </w:pPr>
      <w:r>
        <w:rPr/>
        <w:t>5. Unless all Parties expressly agree otherwise, a newly introduced Reserved Sovereignty Matter receives a review period sufficient for legal, constitutional, subnational, Indigenous, cultural, sectoral, and economic assessment as applicable. Existing agreed text continues to govern during that review.</w:t>
      </w:r>
    </w:p>
    <w:p>
      <w:pPr>
        <w:pStyle w:val="Normal"/>
        <w:widowControl/>
        <w:rPr/>
      </w:pPr>
      <w:r>
        <w:rPr/>
        <w:t>6. This Article does not prevent urgent action where all Parties expressly and knowingly consent. It prevents substantive transfers of sovereign authority from entering the Agreement through procedural compression or late-stage drafting.</w:t>
      </w:r>
    </w:p>
    <w:p>
      <w:bookmarkStart w:id="1256" w:name="_NAESTMA_TOC_1256"/>
      <w:pPr>
        <w:pStyle w:val="Heading2"/>
        <w:keepNext/>
        <w:widowControl/>
        <w:spacing w:before="180" w:after="80"/>
        <w:rPr/>
      </w:pPr>
      <w:r>
        <w:rPr/>
        <w:t>Article 34.A.1B: Restrictions on Chapter 23-B Amendments</w:t>
      </w:r>
      <w:bookmarkEnd w:id="1256"/>
    </w:p>
    <w:p>
      <w:pPr>
        <w:pStyle w:val="Normal"/>
        <w:widowControl/>
        <w:spacing w:before="0" w:after="100"/>
        <w:rPr/>
      </w:pPr>
      <w:r>
        <w:rPr/>
        <w:t>Chapter 23-B (North American Just Transition and Worker Security Framework) amendments are NOT permitted through the structured technical amendment procedure. Any amendment to Chapter 23-B requires:</w:t>
      </w:r>
    </w:p>
    <w:p>
      <w:pPr>
        <w:pStyle w:val="Normal"/>
        <w:widowControl/>
        <w:spacing w:before="0" w:after="100"/>
        <w:rPr/>
      </w:pPr>
      <w:r>
        <w:rPr/>
        <w:t>(i) Unanimous agreement of all three Parties</w:t>
      </w:r>
    </w:p>
    <w:p>
      <w:pPr>
        <w:pStyle w:val="Normal"/>
        <w:widowControl/>
        <w:spacing w:before="0" w:after="100"/>
        <w:rPr/>
      </w:pPr>
      <w:r>
        <w:rPr/>
        <w:t>(ii) Public notice and comment period (60 days minimum)</w:t>
      </w:r>
    </w:p>
    <w:p>
      <w:pPr>
        <w:pStyle w:val="Normal"/>
        <w:widowControl/>
        <w:spacing w:before="0" w:after="100"/>
        <w:rPr/>
      </w:pPr>
      <w:r>
        <w:rPr/>
        <w:t>(iii) Approval by worker organizations and affected communities</w:t>
      </w:r>
    </w:p>
    <w:p>
      <w:pPr>
        <w:pStyle w:val="Normal"/>
        <w:widowControl/>
        <w:spacing w:before="0" w:after="100"/>
        <w:rPr/>
      </w:pPr>
      <w:r>
        <w:rPr/>
        <w:t>(iv) Prohibition on reductions in worker benefits, Fund capitalization, or community support</w:t>
      </w:r>
    </w:p>
    <w:p>
      <w:pPr>
        <w:pStyle w:val="Normal"/>
        <w:widowControl/>
        <w:spacing w:before="0" w:after="100"/>
        <w:rPr/>
      </w:pPr>
      <w:r>
        <w:rPr/>
        <w:t>Amendments that strengthen or expand Chapter 23-B protections may use streamlined procedures. Amendments that weaken or reduce protections may not.</w:t>
      </w:r>
    </w:p>
    <w:p>
      <w:bookmarkStart w:id="1257" w:name="_NAESTMA_TOC_1257"/>
      <w:pPr>
        <w:pStyle w:val="Heading2"/>
        <w:keepNext/>
        <w:widowControl/>
        <w:rPr/>
      </w:pPr>
      <w:bookmarkStart w:id="117" w:name="_Toc237912598"/>
      <w:r>
        <w:rPr/>
        <w:t>Article 34.B: Continuous Duration and Periodic Modernization Review (Replacement of Article 34.7)</w:t>
      </w:r>
      <w:bookmarkEnd w:id="117"/>
      <w:bookmarkEnd w:id="1257"/>
    </w:p>
    <w:p>
      <w:pPr>
        <w:pStyle w:val="Normal"/>
        <w:widowControl/>
        <w:rPr/>
      </w:pPr>
      <w:r>
        <w:rPr/>
        <w:t>1. Article 34.7 is replaced in its entirety by the following:</w:t>
      </w:r>
    </w:p>
    <w:p>
      <w:pPr>
        <w:pStyle w:val="Normal"/>
        <w:widowControl/>
        <w:rPr/>
      </w:pPr>
      <w:r>
        <w:rPr/>
        <w:t>“</w:t>
      </w:r>
      <w:r>
        <w:rPr/>
        <w:t>Article 34.7: Continuous Duration and Periodic Modernization Review</w:t>
      </w:r>
    </w:p>
    <w:p>
      <w:pPr>
        <w:pStyle w:val="Normal"/>
        <w:widowControl/>
        <w:rPr/>
      </w:pPr>
      <w:r>
        <w:rPr/>
        <w:t>1. This Agreement remains in force for an indefinite duration unless a Party withdraws in accordance with Article 34.6. No periodic review, review deadline, failure to reach consensus, or passage of time terminates, suspends, diminishes, or conditions the continuation of this Agreement.</w:t>
      </w:r>
    </w:p>
    <w:p>
      <w:pPr>
        <w:pStyle w:val="Normal"/>
        <w:widowControl/>
        <w:rPr/>
      </w:pPr>
      <w:r>
        <w:rPr/>
        <w:t>2. The Commission shall conduct a joint review of the operation and modernization of this Agreement six years after the entry into force of the Protocol of Modernization, and every six years thereafter (each, a “review date”). A review is an implementation and modernization process and is not a renewal event.</w:t>
      </w:r>
    </w:p>
    <w:p>
      <w:pPr>
        <w:pStyle w:val="Normal"/>
        <w:widowControl/>
        <w:rPr/>
      </w:pPr>
      <w:r>
        <w:rPr/>
        <w:t>3. A joint review shall address: (a) implementation and measurable performance, including the data and metrics published under Article 36.10 and committee reports; (b) recommendations for modernization submitted by a Party at least 90 days before the review date; (c) the operation of tariff-free trade, regulatory cooperation, supply-chain resilience, labor and environmental commitments, and Chapters 31 and 35; and (d) emerging technologies or economic conditions that may warrant consensual amendment.</w:t>
      </w:r>
    </w:p>
    <w:p>
      <w:pPr>
        <w:pStyle w:val="Normal"/>
        <w:widowControl/>
        <w:rPr/>
      </w:pPr>
      <w:r>
        <w:rPr/>
        <w:t>4. Existing rights and obligations continue automatically before, during, and after every review. No Party is required to affirmatively renew, extend, or reconfirm this Agreement or any right, preference, guarantee, protection, recognition, approval, status, or entitlement established under it.</w:t>
      </w:r>
    </w:p>
    <w:p>
      <w:pPr>
        <w:pStyle w:val="Normal"/>
        <w:widowControl/>
        <w:rPr/>
      </w:pPr>
      <w:r>
        <w:rPr/>
        <w:t>5. If the Parties do not agree on a recommendation or amendment at a joint review:</w:t>
      </w:r>
    </w:p>
    <w:p>
      <w:pPr>
        <w:pStyle w:val="Normal"/>
        <w:widowControl/>
        <w:rPr/>
      </w:pPr>
      <w:r>
        <w:rPr/>
        <w:t>(a) the Agreement and all existing rights and obligations continue unchanged;</w:t>
      </w:r>
    </w:p>
    <w:p>
      <w:pPr>
        <w:pStyle w:val="Normal"/>
        <w:widowControl/>
        <w:rPr/>
      </w:pPr>
      <w:r>
        <w:rPr/>
        <w:t>(b) the Commission may establish a technical work program for unresolved modernization questions without conditioning existing benefits on agreement;</w:t>
      </w:r>
    </w:p>
    <w:p>
      <w:pPr>
        <w:pStyle w:val="Normal"/>
        <w:widowControl/>
        <w:rPr/>
      </w:pPr>
      <w:r>
        <w:rPr/>
        <w:t>(c) any Party may place the matter on the agenda of a subsequent Commission meeting or review; and</w:t>
      </w:r>
    </w:p>
    <w:p>
      <w:pPr>
        <w:pStyle w:val="Normal"/>
        <w:widowControl/>
        <w:rPr/>
      </w:pPr>
      <w:r>
        <w:rPr/>
        <w:t>(d) no Party may use the review process, or a threat concerning continuation of an existing treaty benefit, to require an unrelated new concession.</w:t>
      </w:r>
    </w:p>
    <w:p>
      <w:pPr>
        <w:pStyle w:val="Normal"/>
        <w:widowControl/>
        <w:rPr/>
      </w:pPr>
      <w:r>
        <w:rPr/>
        <w:t>6. A review may recommend amendment, technical updating within Article 34.3.A, implementation action, or no action. Failure to adopt a recommendation has no adverse legal consequence for continuation of the Agreement.</w:t>
      </w:r>
    </w:p>
    <w:p>
      <w:pPr>
        <w:pStyle w:val="Normal"/>
        <w:widowControl/>
        <w:rPr/>
      </w:pPr>
      <w:r>
        <w:rPr/>
        <w:t>7. For greater certainty, there is no sunset, snapback, lapse, or fade arising from Article 34.7. Continuity is the default and expiration must be expressly provided for a measure that is temporary by design, consistent with Article 35.29.</w:t>
      </w:r>
    </w:p>
    <w:p>
      <w:pPr>
        <w:pStyle w:val="Normal"/>
        <w:widowControl/>
        <w:rPr/>
      </w:pPr>
      <w:r>
        <w:rPr/>
        <w:t>8. Withdrawal remains governed exclusively by Article 34.6 and the orderly-withdrawal safeguards of Article 34.F. A Party that has notified withdrawal remains bound by this Agreement until withdrawal takes effect.”</w:t>
      </w:r>
    </w:p>
    <w:p>
      <w:pPr>
        <w:pStyle w:val="Normal"/>
        <w:widowControl/>
        <w:rPr/>
      </w:pPr>
      <w:r>
        <w:rPr/>
        <w:t>2. The first review date under the replaced Article is the sixth anniversary of the entry into force of the Protocol of Modernization. No extension, renewal, or reconfirmation decision is required at that review or any later review.</w:t>
      </w:r>
    </w:p>
    <w:p>
      <w:bookmarkStart w:id="1258" w:name="_NAESTMA_TOC_1258"/>
      <w:pPr>
        <w:pStyle w:val="Heading2"/>
        <w:keepNext/>
        <w:widowControl/>
        <w:spacing w:before="180" w:after="80"/>
        <w:rPr/>
      </w:pPr>
      <w:r>
        <w:rPr/>
        <w:t>Article 34.B.1: Primacy of Human Rights and Worker Protection</w:t>
      </w:r>
      <w:bookmarkEnd w:id="1258"/>
    </w:p>
    <w:p>
      <w:pPr>
        <w:pStyle w:val="Normal"/>
        <w:widowControl/>
        <w:spacing w:before="0" w:after="160"/>
        <w:rPr/>
      </w:pPr>
      <w:r>
        <w:rPr/>
        <w:t>Notwithstanding the periodic modernization review provisions in this Article, no future modernization or amendment of this Agreement shall reduce, weaken, or eliminate the protections for workers and communities established in Chapter 23-B (North American Just Transition and Worker Security Framework). Chapter 23-B represents a binding commitment that shall not be subject to negotiation or rollback in future reviews. Future modernizations may enhance Chapter 23-B protections but shall not diminish them.</w:t>
      </w:r>
    </w:p>
    <w:p>
      <w:bookmarkStart w:id="1259" w:name="_NAESTMA_TOC_1259"/>
      <w:pPr>
        <w:pStyle w:val="Heading2"/>
        <w:keepNext/>
        <w:widowControl/>
        <w:rPr/>
      </w:pPr>
      <w:bookmarkStart w:id="118" w:name="_Toc237912599"/>
      <w:r>
        <w:rPr/>
        <w:t>Article 34.C: Consolidation and Legacy Instruments</w:t>
      </w:r>
      <w:bookmarkEnd w:id="118"/>
      <w:bookmarkEnd w:id="1259"/>
    </w:p>
    <w:p>
      <w:pPr>
        <w:pStyle w:val="Normal"/>
        <w:widowControl/>
        <w:rPr/>
      </w:pPr>
      <w:r>
        <w:rPr/>
        <w:t>1. Upon entry into force of the Protocol of Modernization: (a) the side letters between Parties concerning Section 232 of the Trade Expansion Act of 1962, including the arrangements providing consultation periods and sector-specific treatment, are superseded and terminated; (b) the subject matter of those instruments is governed by Chapters 32 and 35; and (c) the Commission shall publish a consolidated register of Free Trade Commission decisions, and of instruments superseded or terminated, as part of the consolidated text.</w:t>
      </w:r>
    </w:p>
    <w:p>
      <w:pPr>
        <w:pStyle w:val="Normal"/>
        <w:widowControl/>
        <w:rPr/>
      </w:pPr>
      <w:r>
        <w:rPr/>
        <w:t>2. The 2018 Agreement and the 2019 Protocol of Amendment continue in force as amended by the Protocol of Modernization; in the event of inconsistency, the Protocol of Modernization prevails.</w:t>
      </w:r>
    </w:p>
    <w:p>
      <w:pPr>
        <w:pStyle w:val="Normal"/>
        <w:widowControl/>
        <w:rPr/>
      </w:pPr>
      <w:r>
        <w:rPr/>
        <w:t>3. The Uniform Regulations are amended to conform to Chapters 4, 5, and 7 as modernized, within 12 months after entry into force, through the procedure in Article 5.16.</w:t>
      </w:r>
    </w:p>
    <w:p>
      <w:pPr>
        <w:pStyle w:val="Normal"/>
        <w:widowControl/>
        <w:rPr/>
      </w:pPr>
      <w:r>
        <w:rPr/>
        <w:t>4. Within 12 months after signature of the Protocol of Modernization, the Secretariat shall complete a mechanical verification of the consolidated text against the authoritative texts of the 2018 Agreement, the 2019 Protocol, the superseded side letters, the tariff schedules, and the Uniform Regulations, and the Parties shall publish a corrigendum correcting any extraction, numbering, or cross-reference artifact identified, without substantive change.</w:t>
      </w:r>
    </w:p>
    <w:p>
      <w:bookmarkStart w:id="1260" w:name="_NAESTMA_TOC_1260"/>
      <w:pPr>
        <w:pStyle w:val="Heading2"/>
        <w:keepNext/>
        <w:widowControl/>
        <w:rPr/>
      </w:pPr>
      <w:bookmarkStart w:id="119" w:name="_Toc237912600"/>
      <w:r>
        <w:rPr/>
        <w:t>Article 34.D: Accession and Future Relations</w:t>
      </w:r>
      <w:bookmarkEnd w:id="119"/>
      <w:bookmarkEnd w:id="1260"/>
    </w:p>
    <w:p>
      <w:pPr>
        <w:pStyle w:val="Normal"/>
        <w:widowControl/>
        <w:rPr/>
      </w:pPr>
      <w:r>
        <w:rPr/>
        <w:t>1. Article 34.4 (Accession) remains in force. The Commission shall not extend an invitation to accede without having first considered the implications for the North American economic perimeter disciplines of Chapter 36.</w:t>
      </w:r>
    </w:p>
    <w:p>
      <w:bookmarkStart w:id="1261" w:name="_NAESTMA_TOC_1261"/>
      <w:pPr>
        <w:pStyle w:val="Heading2"/>
        <w:keepNext/>
        <w:widowControl/>
        <w:rPr/>
      </w:pPr>
      <w:bookmarkStart w:id="120" w:name="_Toc237912601"/>
      <w:r>
        <w:rPr/>
        <w:t>Article 34.E: Entry into Force and Transitional Provisions</w:t>
      </w:r>
      <w:bookmarkEnd w:id="120"/>
      <w:bookmarkEnd w:id="1261"/>
    </w:p>
    <w:p>
      <w:pPr>
        <w:pStyle w:val="Normal"/>
        <w:widowControl/>
        <w:rPr/>
      </w:pPr>
      <w:r>
        <w:rPr/>
        <w:t>1. The Protocol of Modernization enters into force as provided therein.</w:t>
      </w:r>
    </w:p>
    <w:p>
      <w:pPr>
        <w:pStyle w:val="Normal"/>
        <w:widowControl/>
        <w:rPr/>
      </w:pPr>
      <w:r>
        <w:rPr/>
        <w:t>2. The following transitional periods apply from entry into force of the Protocol of Modernization:</w:t>
      </w:r>
    </w:p>
    <w:p>
      <w:pPr>
        <w:pStyle w:val="Normal"/>
        <w:widowControl/>
        <w:rPr/>
      </w:pPr>
      <w:r>
        <w:rPr/>
        <w:t>(a) Annex 35-D (legacy wind-down): immediate, subject to its paragraph 2;</w:t>
      </w:r>
    </w:p>
    <w:p>
      <w:pPr>
        <w:pStyle w:val="Normal"/>
        <w:widowControl/>
        <w:rPr/>
      </w:pPr>
      <w:r>
        <w:rPr/>
        <w:t>(b) the North American Trade Measures Registry (Article 35.24): an interim filing and publication capability available from entry into force, with full registry functions operational within 12 months; and the Shared Trade Data Registry (Annex 35-C): core functions operational within 180 days and full planned functionality within 12 months, subject to the continuity and alternative-evidence rules of Annexes 34-H and 35-C;</w:t>
      </w:r>
    </w:p>
    <w:p>
      <w:pPr>
        <w:pStyle w:val="Normal"/>
        <w:widowControl/>
        <w:rPr/>
      </w:pPr>
      <w:r>
        <w:rPr/>
        <w:t>(c) rosters and lists (Articles 31.C, 35.10): designated within 90 days;</w:t>
      </w:r>
    </w:p>
    <w:p>
      <w:pPr>
        <w:pStyle w:val="Normal"/>
        <w:widowControl/>
        <w:rPr/>
      </w:pPr>
      <w:r>
        <w:rPr/>
        <w:t>(d) the Escrow Facility (Article 35.14): operational within 12 months, with lawful interim security methods available under Article 35.14 and Annex 34-H until then; the Trade Impact compensation mechanism (Article 35.25) becomes operational only if activated by the Commission through the implementing schedule required by that Article and has no independent capitalization deadline before activation;</w:t>
      </w:r>
    </w:p>
    <w:p>
      <w:pPr>
        <w:pStyle w:val="Normal"/>
        <w:widowControl/>
        <w:rPr/>
      </w:pPr>
      <w:r>
        <w:rPr/>
        <w:t>(e) single-window interoperability (Article 7.B): within 36 months;</w:t>
      </w:r>
    </w:p>
    <w:p>
      <w:pPr>
        <w:pStyle w:val="Normal"/>
        <w:widowControl/>
        <w:rPr/>
      </w:pPr>
      <w:r>
        <w:rPr/>
        <w:t>(f) automotive technical modernization (Article 4.A.2): concluded within 24 months, with phase-in of any increased thresholds of not less than 36 months thereafter;</w:t>
      </w:r>
    </w:p>
    <w:p>
      <w:pPr>
        <w:pStyle w:val="Normal"/>
        <w:widowControl/>
        <w:rPr/>
      </w:pPr>
      <w:r>
        <w:rPr/>
        <w:t>(g) TNAO sectoral standards (Article 36.6.6): within 18 months; and</w:t>
      </w:r>
    </w:p>
    <w:p>
      <w:pPr>
        <w:pStyle w:val="Normal"/>
        <w:widowControl/>
        <w:rPr/>
      </w:pPr>
      <w:r>
        <w:rPr/>
        <w:t>(h) investments and contracts made in reliance on the rules in force before entry into force of the Protocol of Modernization are governed by the transition schedules of the relevant Chapters, and nothing in the Protocol operates retroactively.</w:t>
      </w:r>
    </w:p>
    <w:p>
      <w:pPr>
        <w:pStyle w:val="Normal"/>
        <w:widowControl/>
        <w:rPr/>
      </w:pPr>
      <w:r>
        <w:rPr/>
        <w:t>3. During the period between signature and entry into force, each Party shall refrain from adopting new covered border measures against originating goods of another Party.</w:t>
      </w:r>
    </w:p>
    <w:p>
      <w:pPr>
        <w:pStyle w:val="Heading3"/>
        <w:keepNext/>
        <w:widowControl/>
        <w:rPr/>
      </w:pPr>
      <w:r>
        <w:rPr/>
        <w:t>ANNEX 34-F: IMPLEMENTATION AND PHASE-IN SCHEDULE</w:t>
      </w:r>
    </w:p>
    <w:p>
      <w:pPr>
        <w:pStyle w:val="Normal"/>
        <w:widowControl/>
        <w:rPr/>
      </w:pPr>
      <w:r>
        <w:t>1. Day 1 obligations: tariff standstill; Originating Goods Tariff Guarantee; anti-evasion and substitute-measure disciplines; essential-security notification; interim Trade Measures Registry filing and publication through an existing or designated channel pending full registry deployment; dispute-settlement roster continuity; and preservation of existing low-value treatment. Each Party shall complete the legal-readiness certification required by Annex 34-H before entry into force for that Party.</w:t>
      </w:r>
    </w:p>
    <w:p>
      <w:pPr>
        <w:pStyle w:val="Normal"/>
        <w:widowControl/>
        <w:rPr/>
      </w:pPr>
      <w:r>
        <w:rPr/>
        <w:t>2. Within 90 days: the Secretariat's Treaty Integrity function operational under Article 35.28; the Article 35.10 Roster of Verifiers and Joint List confirmed on an interim or final basis; standard low-value shipment data packet published; SME repeat-audit review procedure operational; and interim confidential-information protocol adopted.</w:t>
      </w:r>
    </w:p>
    <w:p>
      <w:pPr>
        <w:pStyle w:val="Normal"/>
        <w:widowControl/>
        <w:rPr/>
      </w:pPr>
      <w:r>
        <w:rPr/>
        <w:t>3. Within 180 days: Shared Trade Data Registry core functions operational, with remaining planned functionality completed no later than 12 months; TNAO objective criteria and appeals published; standardized circular-production chain-of-custody template adopted; and subnational market-access schedule procedures opened for voluntary participation.</w:t>
      </w:r>
    </w:p>
    <w:p>
      <w:pPr>
        <w:pStyle w:val="Normal"/>
        <w:widowControl/>
        <w:rPr/>
      </w:pPr>
      <w:r>
        <w:rPr/>
        <w:t>4. Within one year: Annex 35-A Technical Schedule, sector pass-through guidance, full Trade Measures Registry and Shared Trade Data Registry functionality, trusted-supplier procedures, and agricultural/TRQ transparency systems fully operational. The Trade Impact compensation mechanism is excluded from this mandatory one-year milestone and becomes operational only if activated under Article 35.25.</w:t>
      </w:r>
    </w:p>
    <w:p>
      <w:pPr>
        <w:pStyle w:val="Normal"/>
        <w:widowControl/>
        <w:rPr/>
      </w:pPr>
      <w:r>
        <w:rPr/>
        <w:t>5. Within two years: advanced semiconductor, critical-mineral, energy-security, and integrated-product data interoperability completed to the extent agreed by the Parties; remaining technical schedules adopted.</w:t>
      </w:r>
    </w:p>
    <w:p>
      <w:pPr>
        <w:pStyle w:val="Normal"/>
        <w:widowControl/>
        <w:rPr/>
      </w:pPr>
      <w:r>
        <w:rPr/>
        <w:t>6. No delayed implementation authorizes a Party to suspend an obligation designated for an earlier phase. Where a required institution is not yet operational, the Commission shall designate an interim body capable of performing the function without diminishing substantive rights.</w:t>
      </w:r>
    </w:p>
    <w:p>
      <w:pPr>
        <w:pStyle w:val="Normal"/>
        <w:widowControl/>
        <w:rPr/>
      </w:pPr>
      <w:r>
        <w:rPr/>
        <w:t>7. The Secretariat shall publish a quarterly implementation dashboard until every obligation in this Annex is certified operational.</w:t>
      </w:r>
    </w:p>
    <w:p>
      <w:bookmarkStart w:id="1262" w:name="_NAESTMA_TOC_1262"/>
      <w:pPr>
        <w:pStyle w:val="Heading2"/>
        <w:keepNext/>
        <w:widowControl/>
        <w:rPr/>
      </w:pPr>
      <w:bookmarkStart w:id="121" w:name="_Toc237912602"/>
      <w:r>
        <w:rPr/>
        <w:t>ANNEX 34-G: PRESERVED AMENDING PROTOCOL, INTEGRAL INSTRUMENTS, AND IMPLEMENTATION CONTINUITY</w:t>
      </w:r>
      <w:bookmarkEnd w:id="121"/>
      <w:bookmarkEnd w:id="1262"/>
    </w:p>
    <w:p>
      <w:pPr>
        <w:pStyle w:val="Normal"/>
        <w:widowControl/>
        <w:rPr/>
      </w:pPr>
      <w:r>
        <w:rPr/>
        <w:t>1. Purpose and legal status. This Annex restores and preserves original CUSMA instruments omitted or incompletely consolidated in earlier working drafts. Part A reproduces the controlling 2019 Protocol of Amendment, including Annexes 31-A and 31-B. Parts B through D preserve integral Canada-United States instruments. Part E reproduces the separate Agreement on Environmental Cooperation for operational completeness while preserving its independent legal status. Part F preserves the Uniform Regulations by reference. In any inconsistency between a pre-2019 legacy reproduction and Part A, Part A prevails.</w:t>
      </w:r>
    </w:p>
    <w:p>
      <w:pPr>
        <w:pStyle w:val="Heading3"/>
        <w:keepNext/>
        <w:widowControl/>
        <w:rPr/>
      </w:pPr>
      <w:r>
        <w:rPr/>
        <w:t>PART A — 2019 PROTOCOL OF AMENDMENT (CONTROLLING ORIGINAL TEXT)</w:t>
      </w:r>
    </w:p>
    <w:p>
      <w:pPr>
        <w:pStyle w:val="Normal"/>
        <w:widowControl/>
        <w:rPr/>
      </w:pPr>
      <w:r>
        <w:rPr/>
        <w:t>Canada-United States-Mexico Agreement (CUSMA) - Protocol of Amendment to the Agreement Between the United States of America, the United Mexican States, and Canada The Governments of the United States of America, the United Mexican States, and Canada;</w:t>
      </w:r>
    </w:p>
    <w:p>
      <w:pPr>
        <w:pStyle w:val="Normal"/>
        <w:widowControl/>
        <w:rPr/>
      </w:pPr>
      <w:r>
        <w:rPr/>
        <w:t>Desiring to amend the Agreement between the United States of America, the United Mexican States, and Canada, done at Buenos Aires, on November 30, 2018 (hereinafter “the Agreement”),</w:t>
      </w:r>
    </w:p>
    <w:p>
      <w:pPr>
        <w:pStyle w:val="Normal"/>
        <w:widowControl/>
        <w:rPr/>
      </w:pPr>
      <w:r>
        <w:rPr/>
        <w:t>HAVE AGREED to amend the Agreement as follows:</w:t>
      </w:r>
    </w:p>
    <w:p>
      <w:pPr>
        <w:pStyle w:val="Normal"/>
        <w:widowControl/>
        <w:rPr/>
      </w:pPr>
      <w:r>
        <w:rPr/>
        <w:t>1.</w:t>
      </w:r>
    </w:p>
    <w:p>
      <w:pPr>
        <w:pStyle w:val="Normal"/>
        <w:widowControl/>
        <w:rPr/>
      </w:pPr>
      <w:r>
        <w:rPr/>
        <w:t>A. In Chapter 1 (Initial Provisions and General Definitions) after Article 1.2 insert a new article as follows and renumber the remaining articles, footnotes, and article references accordingly:</w:t>
      </w:r>
    </w:p>
    <w:p>
      <w:pPr>
        <w:pStyle w:val="Normal"/>
        <w:widowControl/>
        <w:rPr/>
      </w:pPr>
      <w:r>
        <w:rPr/>
        <w:t>“</w:t>
      </w:r>
      <w:r>
        <w:rPr/>
        <w:t>Article 1.3: Relation to Environmental and Conservation Agreements 1. In the event of any inconsistency between a Party’s obligations under this Agreement and its respective obligations under the following multilateral environmental agreements (“covered agreements”):[Footnote 1] (a) the Convention on International Trade in Endangered Species of Wild Fauna and Flora, done at Washington, March 3, 1973, as amended; (b) the Montreal Protocol on Substances that Deplete the Ozone Layer, done at Montreal, September 16, 1987, as adjusted and amended; (c) the Protocol of 1978 Relating to the International Convention for the Prevention of Pollution from Ships, 1973, done at London, February 17, 1978, as amended; (d) the Convention on Wetlands of International Importance Especially as Waterfowl Habitat, done at Ramsar, February 2, 1971, as amended; (e) the Convention on the Conservation of Antarctic Marine Living Resources, done at Canberra, May 20, 1980; (f) the International Convention for the Regulation of Whaling, done at Washington, December 2, 1946; and (g) the Convention for the Establishment of an Inter-American Tropical Tuna Commission, done at Washington, May 31, 1949, a Party’s obligations under this Agreement shall not preclude the Party from taking a particular measure to comply with its obligations under the covered agreement, provided that the primary purpose of the measure is not to impose a disguised restriction on trade.</w:t>
      </w:r>
    </w:p>
    <w:p>
      <w:pPr>
        <w:pStyle w:val="Normal"/>
        <w:widowControl/>
        <w:rPr/>
      </w:pPr>
      <w:r>
        <w:rPr/>
        <w:t>2. Pursuant to Article 34.3 (Amendments), the Parties may agree in writing to modify paragraph 1 to include any amendment to an agreement referred to therein, and any other environmental or conservation agreement.”.</w:t>
      </w:r>
    </w:p>
    <w:p>
      <w:pPr>
        <w:pStyle w:val="Normal"/>
        <w:widowControl/>
        <w:rPr/>
      </w:pPr>
      <w:r>
        <w:rPr/>
        <w:t>B. In Articles 14.1 (Definitions), 15.1 (Definitions), 17.1 (Definitions), 18.1 (Definitions) and 19.1 (Definitions), replace the references to “Article 1.4” with “Article 1.5”.</w:t>
      </w:r>
    </w:p>
    <w:p>
      <w:pPr>
        <w:pStyle w:val="Normal"/>
        <w:widowControl/>
        <w:rPr/>
      </w:pPr>
      <w:r>
        <w:rPr/>
        <w:t>2. In Chapter 4 (Rules of Origin):</w:t>
      </w:r>
    </w:p>
    <w:p>
      <w:pPr>
        <w:pStyle w:val="Normal"/>
        <w:widowControl/>
        <w:rPr/>
      </w:pPr>
      <w:r>
        <w:rPr/>
        <w:t>A. In Article 6.1 of the Appendix to Annex 4-B to Chapter 4 (Rules of Origin), insert the following footnote immediately after footnote 73, and renumber the remaining footnotes accordingly.</w:t>
      </w:r>
    </w:p>
    <w:p>
      <w:pPr>
        <w:pStyle w:val="Normal"/>
        <w:widowControl/>
        <w:rPr/>
      </w:pPr>
      <w:r>
        <w:rPr/>
        <w:t>“</w:t>
      </w:r>
      <w:r>
        <w:rPr/>
        <w:t>74 Notwithstanding any other provision of this Agreement, beginning seven years after entry into force of this Agreement, for steel to be considered as originating under this Article, all steel manufacturing processes must occur in one or more of the Parties, except for metallurgical processes involving the refinement of steel additives. Such processes include the initial melting and mixing and continues through the coating stage. This requirement does not apply to raw materials used in the steel manufacturing process, including steel scrap; iron ore; pig iron; reduced, processed, or pelletized iron ore; or raw alloys. Ten years after entry into force of this Agreement, the Parties shall consider appropriate requirements that are in the interests of all three Parties for aluminum to be considered as originating under this Article.”; and</w:t>
      </w:r>
    </w:p>
    <w:p>
      <w:pPr>
        <w:pStyle w:val="Normal"/>
        <w:widowControl/>
        <w:rPr/>
      </w:pPr>
      <w:r>
        <w:rPr/>
        <w:t>B. In Article 8.2(a) of the Appendix to Annex 4-B to Chapter 4 (Rules of Origin), insert the following text at the end of renumbered footnote 82 after “treatment” and before the end period:</w:t>
      </w:r>
    </w:p>
    <w:p>
      <w:pPr>
        <w:pStyle w:val="Normal"/>
        <w:widowControl/>
        <w:rPr/>
      </w:pPr>
      <w:r>
        <w:rPr/>
        <w:t>“</w:t>
      </w:r>
      <w:r>
        <w:rPr/>
        <w:t>, including requirements as provided in Article 403(1) of NAFTA 1994 and any corresponding Uniform Regulations”; and</w:t>
      </w:r>
    </w:p>
    <w:p>
      <w:pPr>
        <w:pStyle w:val="Normal"/>
        <w:widowControl/>
        <w:rPr/>
      </w:pPr>
      <w:r>
        <w:rPr/>
        <w:t>C. In Article 9 of the Appendix to Annex 4-B to Chapter 4 (Rules of Origin), add a period at the end of paragraph 1.</w:t>
      </w:r>
    </w:p>
    <w:p>
      <w:pPr>
        <w:pStyle w:val="Normal"/>
        <w:widowControl/>
        <w:rPr/>
      </w:pPr>
      <w:r>
        <w:rPr/>
        <w:t>3. In Chapter 20 (Intellectual Property Rights):</w:t>
      </w:r>
    </w:p>
    <w:p>
      <w:pPr>
        <w:pStyle w:val="Normal"/>
        <w:widowControl/>
        <w:rPr/>
      </w:pPr>
      <w:r>
        <w:rPr/>
        <w:t>A. In Article 20.36 (Patentable Subject Matter), delete paragraph 2, renumber the remaining paragraphs and cross-references accordingly.</w:t>
      </w:r>
    </w:p>
    <w:p>
      <w:pPr>
        <w:pStyle w:val="Normal"/>
        <w:widowControl/>
        <w:rPr/>
      </w:pPr>
      <w:r>
        <w:rPr/>
        <w:t>B. In Article 20.46 (Patent Term Adjustment for Unreasonable Curtailment), add a new footnote 40 at the end of paragraph 3 to read as follows and renumber remaining footnotes accordingly:</w:t>
      </w:r>
    </w:p>
    <w:p>
      <w:pPr>
        <w:pStyle w:val="Normal"/>
        <w:widowControl/>
        <w:rPr/>
      </w:pPr>
      <w:r>
        <w:rPr/>
        <w:t>“</w:t>
      </w:r>
      <w:r>
        <w:rPr/>
        <w:t>40Such conditions and limitations with respect to paragraph 3 may include, among other things: (i) limiting the applicability of paragraph 2 to a single patent term adjustment for each pharmaceutical product that has been granted marketing approval; (ii) requiring the adjustment to be based on the first marketing approval granted to the pharmaceutical product in that Party; (iii) limiting the period of the adjustment to a maximum of 5 years; and (iv) if a Party makes available a period of additional sui generis protection, limiting the period of the additional sui generis protection to a maximum of 2 years.”.</w:t>
      </w:r>
    </w:p>
    <w:p>
      <w:pPr>
        <w:pStyle w:val="Normal"/>
        <w:widowControl/>
        <w:rPr/>
      </w:pPr>
      <w:r>
        <w:rPr/>
        <w:t>C. Amend Article 20.47 (Regulatory Review Exception) to read as follows:</w:t>
      </w:r>
    </w:p>
    <w:p>
      <w:pPr>
        <w:pStyle w:val="Normal"/>
        <w:widowControl/>
        <w:rPr/>
      </w:pPr>
      <w:r>
        <w:rPr/>
        <w:t>“</w:t>
      </w:r>
      <w:r>
        <w:rPr/>
        <w:t>Without prejudice to the scope of, and consistent with, Article 20.39 (Exceptions), each Party shall adopt or maintain a regulatory review exception for pharmaceutical products that permits a third person to make, use, sell, offer to sell, or import in the territory of that Party a product covered by a subsisting patent solely for purposes related to generating information to meet requirements for marketing approval for the product.”</w:t>
      </w:r>
    </w:p>
    <w:p>
      <w:pPr>
        <w:pStyle w:val="Normal"/>
        <w:widowControl/>
        <w:rPr/>
      </w:pPr>
      <w:r>
        <w:rPr/>
        <w:t>D. In Article 20.48 (Protection of Undisclosed Test or Other Data):</w:t>
      </w:r>
    </w:p>
    <w:p>
      <w:pPr>
        <w:pStyle w:val="Normal"/>
        <w:widowControl/>
        <w:rPr/>
      </w:pPr>
      <w:r>
        <w:rPr/>
        <w:t>(i) in paragraph 1(a), after the fifth clause, add a new footnote 42 to read as follows and renumber remaining footnotes accordingly: “42 For greater certainty, a Party may deem that such person has provided consent if, after that person is directly notified by a third person that an unexpired applicable patent claiming the approved product or its approved method of use is invalid or is not infringed by the product for which the third person is seeking marketing approval, an infringement action is not initiated against the third person with respect to the patent within 45 days of the notification.” (ii) at the end of paragraph 1(a) add a new footnote 45 to read as follows and renumber remaining footnotes accordingly: “45 For greater certainty, the Parties understand that the United States may comply with the obligations in subparagraph (a) with respect to “the same or a similar product” through 21 U.S.C. §§ 355(c)(3)(E)(ii) and 355(j)(5)(F)(ii), 42 U.S.C. § 262(k)(7), and the regulations implemented at 21 C.F.R. 314.”; and (iii) in paragraph 2, delete subparagraph (a) and the subparagraph numbering “(b)”, move renumbered footnote 46 directly following “mutatis mutandis”, and in renumbered footnote 47 replace “Article 20.48.2(b) (Protection of Undisclosed Test or Other Data)” with “paragraph 2”.</w:t>
      </w:r>
    </w:p>
    <w:p>
      <w:pPr>
        <w:pStyle w:val="Normal"/>
        <w:widowControl/>
        <w:rPr/>
      </w:pPr>
      <w:r>
        <w:rPr/>
        <w:t>E. Delete Article 20.49 (Biologics) and renumber the remaining articles and cross-references accordingly.</w:t>
      </w:r>
    </w:p>
    <w:p>
      <w:pPr>
        <w:pStyle w:val="Normal"/>
        <w:widowControl/>
        <w:rPr/>
      </w:pPr>
      <w:r>
        <w:rPr/>
        <w:t>F. In renumbered Article 20.50 (Measures Relating to the Marketing of Certain Pharmaceutical Products):</w:t>
      </w:r>
    </w:p>
    <w:p>
      <w:pPr>
        <w:pStyle w:val="Normal"/>
        <w:widowControl/>
        <w:rPr/>
      </w:pPr>
      <w:r>
        <w:rPr/>
        <w:t>(i) at the end of the title add a new footnote 48 to read as follows and renumber remaining footnotes accordingly: “48 Annex 20-A applies to this Article.”; and (ii) replace the text of paragraph 2 with the following text: “2. Further to paragraph 1, that Party may also provide: (a) effective rewards for a successful assertion of the invalidity or non-infringement of the applicable patent;[Footnote 2] and (b) procedures, consistent with its obligations under this Chapter, to promote transparency by providing information regarding applicable patents and relevant periods of exclusivity for pharmaceutical products that have been approved in that Party.”.</w:t>
      </w:r>
    </w:p>
    <w:p>
      <w:pPr>
        <w:pStyle w:val="Normal"/>
        <w:widowControl/>
        <w:rPr/>
      </w:pPr>
      <w:r>
        <w:rPr/>
        <w:t>G. In renumbered Article 20.89 (Final Provisions) in paragraph 1 replace “paragraphs 2 and 3” with “paragraphs 2, 3, and 4”.</w:t>
      </w:r>
    </w:p>
    <w:p>
      <w:pPr>
        <w:pStyle w:val="Normal"/>
        <w:widowControl/>
        <w:rPr/>
      </w:pPr>
      <w:r>
        <w:rPr/>
        <w:t>H. Relabel Annex 20-A as Annex 20-B, renumber cross-references accordingly, and insert a new Annex 20-A to read as follows:</w:t>
      </w:r>
    </w:p>
    <w:p>
      <w:pPr>
        <w:pStyle w:val="Normal"/>
        <w:widowControl/>
        <w:rPr/>
      </w:pPr>
      <w:r>
        <w:rPr/>
        <w:t>“</w:t>
      </w:r>
      <w:r>
        <w:rPr/>
        <w:t>ANNEX 20-A - ANNEX TO ARTICLE 20.50 1. As an alternative to implementing Article 20.50, and subject to paragraph 2, Mexico may instead maintain a system other than judicial proceedings that precludes, based upon patent-related information submitted to the marketing approval authority by a patent holder or the applicant for marketing approval, or based on direct coordination between the marketing approval authority and the patent office, the issuance of marketing approval to any third person seeking to market a pharmaceutical product subject to a patent claiming that product, unless by consent or acquiescence of the patent holder. 2. If Mexico maintains the system referred to in paragraph 1, Mexico shall ensure that in administrative proceedings under that system: (a) a person of another Party that is directly affected by the proceeding is provided, whenever possible and, in accordance with domestic procedures, with reasonable notice of the initiation of a proceeding, including a description of the nature of the proceeding, a statement of the legal authority under which the proceeding is initiated and a general description of the issue in question; (b) a person of another Party that is directly affected by the proceeding is afforded a reasonable opportunity to present facts and arguments in support of that person’s position prior to any final administrative action, when time, the nature of the proceeding, and the public interest permit; and</w:t>
      </w:r>
    </w:p>
    <w:p>
      <w:pPr>
        <w:pStyle w:val="Normal"/>
        <w:widowControl/>
        <w:rPr/>
      </w:pPr>
      <w:r>
        <w:rPr/>
        <w:t>(c) the procedures are in accordance with its law.”. 4. In Chapter 23 (Labor):</w:t>
      </w:r>
    </w:p>
    <w:p>
      <w:pPr>
        <w:pStyle w:val="Normal"/>
        <w:widowControl/>
        <w:rPr/>
      </w:pPr>
      <w:r>
        <w:rPr/>
        <w:t>A. In Article 23.3 (Labor Rights):</w:t>
      </w:r>
    </w:p>
    <w:p>
      <w:pPr>
        <w:pStyle w:val="Normal"/>
        <w:widowControl/>
        <w:rPr/>
      </w:pPr>
      <w:r>
        <w:rPr/>
        <w:t>(i) amend the text of footnote 4 to read as follows: “4 A failure to comply with an obligation under paragraphs 1 or 2 must be in a manner affecting trade or investment between the Parties. For greater certainty, a failure is “in a manner affecting trade or investment between the Parties” if it involves: (i) a person or industry that produces a good or supplies a service traded between the Parties or has an investment in the territory of the Party that has failed to comply with this obligation; or (ii) a person or industry that produces a good or supplies a service that competes in the territory of a Party with a good or a service of another Party.”; and (ii) immediately after footnote 4, insert a new footnote 5 to read as follows and renumber all footnotes accordingly: “5 For purposes of dispute settlement, a panel shall presume that a failure is in a manner affecting trade or investment between the Parties, unless the responding Party demonstrates otherwise.”.</w:t>
      </w:r>
    </w:p>
    <w:p>
      <w:pPr>
        <w:pStyle w:val="Normal"/>
        <w:widowControl/>
        <w:rPr/>
      </w:pPr>
      <w:r>
        <w:rPr/>
        <w:t>B. In Article 23.4 (Non-Derogation), immediately after renumbered footnote 8, insert a new footnote 9 to read as follows:</w:t>
      </w:r>
    </w:p>
    <w:p>
      <w:pPr>
        <w:pStyle w:val="Normal"/>
        <w:widowControl/>
        <w:rPr/>
      </w:pPr>
      <w:r>
        <w:rPr/>
        <w:t>“</w:t>
      </w:r>
      <w:r>
        <w:rPr/>
        <w:t>9 For purposes of dispute settlement, a panel shall presume that a failure is in a manner affecting trade or investment between the Parties, unless the responding Party demonstrates otherwise.”.</w:t>
      </w:r>
    </w:p>
    <w:p>
      <w:pPr>
        <w:pStyle w:val="Normal"/>
        <w:widowControl/>
        <w:rPr/>
      </w:pPr>
      <w:r>
        <w:rPr/>
        <w:t>C. In Article 23.5 (Enforcement of Labor Laws), immediately after renumbered footnote 11, insert a new footnote 12 to read as follows and renumber all footnotes accordingly:</w:t>
      </w:r>
    </w:p>
    <w:p>
      <w:pPr>
        <w:pStyle w:val="Normal"/>
        <w:widowControl/>
        <w:rPr/>
      </w:pPr>
      <w:r>
        <w:rPr/>
        <w:t>“</w:t>
      </w:r>
      <w:r>
        <w:rPr/>
        <w:t>12 For purposes of dispute settlement, a panel shall presume that a failure is in a manner affecting trade or investment between the Parties, unless the responding Party demonstrates otherwise.”.</w:t>
      </w:r>
    </w:p>
    <w:p>
      <w:pPr>
        <w:pStyle w:val="Normal"/>
        <w:widowControl/>
        <w:rPr/>
      </w:pPr>
      <w:r>
        <w:rPr/>
        <w:t>D. In Article 23.6.1 (Forced or Compulsory Labor), delete the text that reads “, through measures it considers appropriate,”, delete the footnote at the end of the paragraph, and renumber remaining footnotes accordingly.</w:t>
      </w:r>
    </w:p>
    <w:p>
      <w:pPr>
        <w:pStyle w:val="Normal"/>
        <w:widowControl/>
        <w:rPr/>
      </w:pPr>
      <w:r>
        <w:rPr/>
        <w:t>E. In Article 23.7 (Violence Against Workers):</w:t>
      </w:r>
    </w:p>
    <w:p>
      <w:pPr>
        <w:pStyle w:val="Normal"/>
        <w:widowControl/>
        <w:rPr/>
      </w:pPr>
      <w:r>
        <w:rPr/>
        <w:t>(i) delete the text that reads “cases of”; (ii) delete the text that reads “through a sustained or recurring course of action or inaction11”, including the footnote at the end of that text; (iii) amend renumbered footnote 13 to read as follows: “13 For greater certainty, a failure is “in a manner affecting trade or investment between the Parties” if it involves: (i) a person or industry that produces a good or supplies a service traded between the Parties or has an investment in the territory of the Party that has failed to comply with this obligation; or (ii) a person or industry that produces a good or supplies a service that competes in the territory of a Party with a good or a service of another Party.”; and (iv) insert a new footnote 14 to read as follows, and renumber remaining footnotes accordingly: “14 For purposes of dispute settlement, a panel shall presume that a failure is in a manner affecting trade or investment between the Parties, unless the responding Party demonstrates otherwise.”.</w:t>
      </w:r>
    </w:p>
    <w:p>
      <w:pPr>
        <w:pStyle w:val="Normal"/>
        <w:widowControl/>
        <w:rPr/>
      </w:pPr>
      <w:r>
        <w:rPr/>
        <w:t>F. In Article 23.17.8 (Labor Consultations):</w:t>
      </w:r>
    </w:p>
    <w:p>
      <w:pPr>
        <w:pStyle w:val="Normal"/>
        <w:widowControl/>
        <w:rPr/>
      </w:pPr>
      <w:r>
        <w:rPr/>
        <w:t>(i) delete the text that reads as follows: “a meeting of the Commission pursuant to Article 31.5 (Commission, Good Offices, Conciliation, and Mediation) and thereafter request”; and (ii) replace the text that reads “30 days” to read “75 days”. 5. In Chapter 24 (Environment):</w:t>
      </w:r>
    </w:p>
    <w:p>
      <w:pPr>
        <w:pStyle w:val="Normal"/>
        <w:widowControl/>
        <w:rPr/>
      </w:pPr>
      <w:r>
        <w:rPr/>
        <w:t>A. In Article 24.4 (Enforcement of Environmental Laws), insert a new footnote 5 immediately after footnote 4 to read as follows and renumber remaining footnotes accordingly:</w:t>
      </w:r>
    </w:p>
    <w:p>
      <w:pPr>
        <w:pStyle w:val="Normal"/>
        <w:widowControl/>
        <w:rPr/>
      </w:pPr>
      <w:r>
        <w:rPr/>
        <w:t>“</w:t>
      </w:r>
      <w:r>
        <w:rPr/>
        <w:t>5 For purposes of dispute settlement, a panel shall presume that a failure is in a manner affecting trade or investment between the Parties, unless the responding Party demonstrates otherwise.”.</w:t>
      </w:r>
    </w:p>
    <w:p>
      <w:pPr>
        <w:pStyle w:val="Normal"/>
        <w:widowControl/>
        <w:rPr/>
      </w:pPr>
      <w:r>
        <w:rPr/>
        <w:t>B. In Article 24.8 (Multilateral Environmental Agreements):</w:t>
      </w:r>
    </w:p>
    <w:p>
      <w:pPr>
        <w:pStyle w:val="Normal"/>
        <w:widowControl/>
        <w:rPr/>
      </w:pPr>
      <w:r>
        <w:rPr/>
        <w:t>(i) insert the following footnotes immediately after the title of the article: “6 A violation of Article 24.8.4 must be in a manner affecting trade or investment between the Parties. For greater certainty, a failure is “in a manner affecting trade or investment between the Parties” if it involves: (i) a person or industry that produces a good or supplies a service traded between the Parties or has an investment in the territory of the Party that has failed to comply with this obligation; or (ii) a person or industry that produces a good or supplies a service that competes in the territory of a Party with a good or a service of another Party. For greater certainty, a Party’s compliance with its respective obligations under a covered agreement shall only be subject to Article 24.29 (Environment Consultations) or Article 24.32 (Dispute Settlement) under this Agreement if the complaining Party is a party to the relevant covered agreement. 7 For purposes of dispute settlement, a panel shall presume that a failure is in a manner affecting trade or investment between the Parties, unless the responding Party demonstrates otherwise.”; and (ii) insert the following new text after paragraph 3, and renumber the remaining footnotes accordingly: “4. Each Party shall adopt, maintain, and implement laws, regulations, and all other measures necessary to fulfill its respective obligations under the following multilateral environmental agreements (“covered agreements”):[Footnote 3]</w:t>
      </w:r>
    </w:p>
    <w:p>
      <w:pPr>
        <w:pStyle w:val="Normal"/>
        <w:widowControl/>
        <w:rPr/>
      </w:pPr>
      <w:r>
        <w:rPr/>
        <w:t>(a) the Convention on International Trade in Endangered Species of Wild Fauna and Flora, done at Washington, March 3, 1973, as amended; (b) the Montreal Protocol on Substances that Deplete the Ozone Layer, done at Montreal, September 16, 1987, as adjusted and amended; (c) the Protocol of 1978 Relating to the International Convention for the Prevention of Pollution from Ships, 1973, done at London, February 17, 1978, as amended; (d) the Convention on Wetlands of International Importance Especially as Waterfowl Habitat, done at Ramsar, February 2, 1971, as amended; (e) the Convention on the Conservation of Antarctic Marine Living Resources, done at Canberra, May 20, 1980; (f) the International Convention for the Regulation of Whaling, done at Washington, December 2, 1946; and (g) the Convention for the Establishment of an Inter-American Tropical Tuna Commission, done at Washington, May 31, 1949. 5. Pursuant to Article 34.3 (Amendments), the Parties may agree in writing to modify paragraph 4 to include any amendment to an agreement referred to therein, and any other environmental or conservation agreement.”.</w:t>
      </w:r>
    </w:p>
    <w:p>
      <w:pPr>
        <w:pStyle w:val="Normal"/>
        <w:widowControl/>
        <w:rPr/>
      </w:pPr>
      <w:r>
        <w:rPr/>
        <w:t>C. In Article 24.9 (Protection of the Ozone Layer):</w:t>
      </w:r>
    </w:p>
    <w:p>
      <w:pPr>
        <w:pStyle w:val="Normal"/>
        <w:widowControl/>
        <w:rPr/>
      </w:pPr>
      <w:r>
        <w:rPr/>
        <w:t>(i) in paragraph 1: (a) replace “such substances” with “substances controlled by the Montreal Protocol”; (b) amend renumbered footnote 9 by deleting “ozone depleting”; (c) amend renumbered footnote 11 to read as follows: “11 If compliance with this provision is not established pursuant to footnote 10, a violation of this provision must be in a manner affecting trade or investment between the Parties. For greater certainty, a failure is “in a manner affecting trade or investment between the Parties” if it involves: (i) a person or industry that produces a good or supplies a service traded between the Parties or has an investment in the territory of the Party that has failed to comply with this obligation; or (ii) a person or industry that produces a good or supplies a service that competes in the territory of a Party with a good or a service of another Party.”; and (d) add a new footnote 12 at the end to read as follows, and renumber all footnotes accordingly: “12 For purposes of dispute settlement, a panel shall presume that a failure is in a manner affecting trade or investment between the Parties, unless the responding Party demonstrates otherwise.”. (ii) in paragraph 3 replace “ozone depleting” with “such” everywhere it appears.</w:t>
      </w:r>
    </w:p>
    <w:p>
      <w:pPr>
        <w:pStyle w:val="Normal"/>
        <w:widowControl/>
        <w:rPr/>
      </w:pPr>
      <w:r>
        <w:rPr/>
        <w:t>D. In Article 24.10 (Protection of the Marine Environment from Ship Pollution):</w:t>
      </w:r>
    </w:p>
    <w:p>
      <w:pPr>
        <w:pStyle w:val="Normal"/>
        <w:widowControl/>
        <w:rPr/>
      </w:pPr>
      <w:r>
        <w:rPr/>
        <w:t>(i) amend renumbered footnote 15 to read as follows: “15 If compliance with this provision is not established pursuant to footnote 14, a violation of this provision must be in a manner affecting trade or investment between the Parties. For greater certainty, a failure is “in a manner affecting trade or investment between the Parties” if it involves: (i) a person or industry that produces a good or supplies a service traded between the Parties or has an investment in the territory of the Party that has failed to comply with this obligation; or (ii) a person or industry that produces a good or supplies a service that competes in the territory of a Party with a good or a service of another Party.”; and (ii) insert a new footnote 16 immediately after footnote 15 to read as follows and renumber the remaining footnotes accordingly: “16 For purposes of dispute settlement, a panel shall presume that a failure is in a manner affecting trade or investment between the Parties, unless the responding Party demonstrates otherwise.”.</w:t>
      </w:r>
    </w:p>
    <w:p>
      <w:pPr>
        <w:pStyle w:val="Normal"/>
        <w:widowControl/>
        <w:rPr/>
      </w:pPr>
      <w:r>
        <w:rPr/>
        <w:t>F. In Article 24.22 (Conservation and Trade), delete paragraph 2 and its associated footnotes and renumber the remaining footnotes accordingly.</w:t>
      </w:r>
    </w:p>
    <w:p>
      <w:pPr>
        <w:pStyle w:val="Normal"/>
        <w:widowControl/>
        <w:rPr/>
      </w:pPr>
      <w:r>
        <w:rPr/>
        <w:t>G. In Article 24.32 (Dispute Resolution):</w:t>
      </w:r>
    </w:p>
    <w:p>
      <w:pPr>
        <w:pStyle w:val="Normal"/>
        <w:widowControl/>
        <w:rPr/>
      </w:pPr>
      <w:r>
        <w:rPr/>
        <w:t>(i) in paragraph 1 delete the text that reads: “a meeting of the Commission pursuant to Article 31.5 (Commission, Good Offices, Conciliation, and Mediation) and thereafter request” and replace the text that reads “30 days” to read “75 days”; (ii) in the chapeau to paragraph 2, replace “24.22 (Conservation and Trade)” with “24.8 (Multilateral Environmental Agreements)”; and (iii) in paragraph 2(a) replace “CITES” with “the relevant multilateral environmental agreement”. 6. In Chapter 30 (Administrative and Institutional Provisions):</w:t>
      </w:r>
    </w:p>
    <w:p>
      <w:pPr>
        <w:pStyle w:val="Normal"/>
        <w:widowControl/>
        <w:rPr/>
      </w:pPr>
      <w:r>
        <w:rPr/>
        <w:t>A. amend Article 30.6.3(b)(ii) (The Secretariat) to read as follows:</w:t>
      </w:r>
    </w:p>
    <w:p>
      <w:pPr>
        <w:pStyle w:val="Normal"/>
        <w:widowControl/>
        <w:rPr/>
      </w:pPr>
      <w:r>
        <w:rPr/>
        <w:t>“</w:t>
      </w:r>
      <w:r>
        <w:rPr/>
        <w:t>(ii) panels established under Chapter 31 (Dispute Settlement), including under Annex 31-A (United-States-Mexico Facility-Specific Rapid Response Labor Mechanism) and Annex 31-B (Canada-Mexico Facility-Specific Rapid Response Labor Mechanism);”; and</w:t>
      </w:r>
    </w:p>
    <w:p>
      <w:pPr>
        <w:pStyle w:val="Normal"/>
        <w:widowControl/>
        <w:rPr/>
      </w:pPr>
      <w:r>
        <w:rPr/>
        <w:t>B. amend Article 30.6.3(c) (The Secretariat) to read as follows:</w:t>
      </w:r>
    </w:p>
    <w:p>
      <w:pPr>
        <w:pStyle w:val="Normal"/>
        <w:widowControl/>
        <w:rPr/>
      </w:pPr>
      <w:r>
        <w:rPr/>
        <w:t>“</w:t>
      </w:r>
      <w:r>
        <w:rPr/>
        <w:t>(c) be responsible for the payment of remuneration to and expenses of panels and committees established under Section D of Chapter 10 (Review and Dispute Settlement in Antidumping and Countervailing Duty Matters) and panelists, assistants, and experts involved in dispute settlement proceedings under Chapter 31 (Dispute Settlement), including under Annex 31-A (United-States-Mexico Facility-Specific Rapid Response Labor Mechanism) and Annex 31-B (Canada-Mexico Facility-Specific Rapid Response Labor Mechanism); and”. 7. In Chapter 31 (Dispute Settlement):</w:t>
      </w:r>
    </w:p>
    <w:p>
      <w:pPr>
        <w:pStyle w:val="Normal"/>
        <w:widowControl/>
        <w:rPr/>
      </w:pPr>
      <w:r>
        <w:rPr/>
        <w:t>A. In Article 31.5 (Commission, Good Offices, Conciliation, and Mediation):</w:t>
      </w:r>
    </w:p>
    <w:p>
      <w:pPr>
        <w:pStyle w:val="Normal"/>
        <w:widowControl/>
        <w:rPr/>
      </w:pPr>
      <w:r>
        <w:rPr/>
        <w:t>(i) delete “Commission,” in the title and revise references to the title accordingly; (ii) delete paragraphs 1 through 5 and its associated footnote; and (iii) renumber the remaining paragraphs and footnotes accordingly.</w:t>
      </w:r>
    </w:p>
    <w:p>
      <w:pPr>
        <w:pStyle w:val="Normal"/>
        <w:widowControl/>
        <w:rPr/>
      </w:pPr>
      <w:r>
        <w:rPr/>
        <w:t>B. In Article 31.6 (Establishment of a Panel):</w:t>
      </w:r>
    </w:p>
    <w:p>
      <w:pPr>
        <w:pStyle w:val="Normal"/>
        <w:widowControl/>
        <w:rPr/>
      </w:pPr>
      <w:r>
        <w:rPr/>
        <w:t>(i) replace the text in paragraph 1 with the following text: “Article 31.6: Establishment of a Panel 1. If the consulting Parties fail to resolve the matter within: (a) 30 days after a Party has delivered a request for consultations under Article 31.4 (Consultations) in a matter regarding perishable goods; (b) 75 days after a Party has delivered a request for consultations under Article 31.4 (Consultations); or (c) another period as the consulting Parties may decide, a consulting Party may request the establishment of a panel by means of a written notice delivered to the responding Party through its Section of the Secretariat.”; and (ii) replace the text in paragraph 4 with the following text: “4. On delivery of the request, the panel is established.”.</w:t>
      </w:r>
    </w:p>
    <w:p>
      <w:pPr>
        <w:pStyle w:val="Normal"/>
        <w:widowControl/>
        <w:rPr/>
      </w:pPr>
      <w:r>
        <w:rPr/>
        <w:t>C. In Article 31.8 (Roster and Qualifications of Panelists), replace the text of paragraph 1 with the following text:</w:t>
      </w:r>
    </w:p>
    <w:p>
      <w:pPr>
        <w:pStyle w:val="Normal"/>
        <w:widowControl/>
        <w:rPr/>
      </w:pPr>
      <w:r>
        <w:rPr/>
        <w:t>“</w:t>
      </w:r>
      <w:r>
        <w:rPr/>
        <w:t>1. The Parties shall establish, by the date of entry into force of this Agreement, and maintain a roster of up to 30 individuals who are willing to serve as panelists. Each Party shall designate up to 10 individuals. The Parties shall endeavor to achieve consensus on the appointments. If the Parties are unable to achieve consensus by one month after the date of entry into force of this Agreement, the roster shall be comprised of the designated individuals. The roster shall remain in effect for a minimum of three years or until the Parties constitute a new roster. If a Party fails to designate its individuals to the roster, the Parties may still request the establishment of panels under Article 31.6 (Establishment of a Panel). The Rules of Procedure, which shall be established by the date of entry into force of this Agreement, shall provide for how to compose a panel in such circumstances. Members of the roster may be reappointed. In the event that an individual is no longer able or willing to serve as a panelist, the relevant Party shall designate a replacement. The Parties shall endeavor to achieve consensus on the appointment. If the Parties are unable to achieve consensus by one month after the date the replacement is designated, the individual shall be added to the roster.”</w:t>
      </w:r>
    </w:p>
    <w:p>
      <w:pPr>
        <w:pStyle w:val="Normal"/>
        <w:widowControl/>
        <w:rPr/>
      </w:pPr>
      <w:r>
        <w:rPr/>
        <w:t>D. In Article 31.9 (Panel Composition), amend the texts in paragraphs 1 and 2 to read as follows:</w:t>
      </w:r>
    </w:p>
    <w:p>
      <w:pPr>
        <w:pStyle w:val="Normal"/>
        <w:widowControl/>
        <w:rPr/>
      </w:pPr>
      <w:r>
        <w:rPr/>
        <w:t>“</w:t>
      </w:r>
      <w:r>
        <w:rPr/>
        <w:t>1. If there are two disputing Parties, the following procedures shall apply: (a) The panel shall comprise five members, unless the disputing Parties agree to a panel comprised of three members. (b) The disputing Parties shall endeavor to decide on the chair of the panel within 15 days of the delivery of the request for the establishment of the panel. If the disputing Parties are unable to decide on the chair within this period, the disputing Party chosen by lot shall select within five days as chair an individual who is not a citizen of that Party. (c) If the responding Party refuses to participate in or fails to appear for the choosing by lot procedure, the complaining Party shall select an individual from the roster who is not a citizen of that Party. The complaining Party shall notify the responding Party of the selection no later than the next working day. (d) Within 15 days of selection of the chair, each disputing Party shall select two panelists who are citizens of the other disputing Party. (e) If a disputing Party fails to select its panelists within that period, those panelists shall be selected by lot from among the roster members who are citizens of the other disputing Party. (f) If the responding Party refuses to participate in or fails to appear for the choosing by lot procedure, the complaining Party shall select two individuals from the roster who are citizens of the complaining Party. The complaining Party shall notify the responding Party of the selections no later than the next working day.</w:t>
      </w:r>
    </w:p>
    <w:p>
      <w:pPr>
        <w:pStyle w:val="Normal"/>
        <w:widowControl/>
        <w:rPr/>
      </w:pPr>
      <w:r>
        <w:rPr/>
        <w:t>2. If there are more than two disputing Parties, the following procedures shall apply: (a) The panel shall comprise five members, unless the disputing Parties agree to a panel comprised of three members. (b) The disputing Parties shall endeavor to decide on the chair of the panel within 15 days of the delivery of the request for the establishment of the panel and, if the disputing Parties are unable to decide on the chair within this period, the Party or Parties on the side of the dispute chosen by lot shall select within 10 days a chair who is not a citizen of that Party or those Parties. (c) If the responding Party refuses to participate in or fails to appear for the choosing by lot procedure, the complaining Parties, or the complaining Party selected to represent them, shall select an individual from the roster who is not a citizen of either complaining Party. The complaining Parties shall notify the responding Party of the selection no later than the next working day. (d) Within 15 days of selection of the chair, the responding Party shall select two panelists, one of whom is a citizen of a complaining Party, and the other of whom is a citizen of another complaining Party and the complaining Parties shall select two panelists who are citizens of the responding Party. (e) If a disputing Party fails to select a panelist within that period, that panelist shall be selected by lot in accordance with the citizenship criteria of subparagraph (d).</w:t>
      </w:r>
    </w:p>
    <w:p>
      <w:pPr>
        <w:pStyle w:val="Normal"/>
        <w:widowControl/>
        <w:rPr/>
      </w:pPr>
      <w:r>
        <w:rPr/>
        <w:t>(f) If the responding Party refuses to participate in or fails to appear for the choosing by lot procedure, the complaining Parties, or the complaining Party selected to represent them, shall select an individual from the roster who is a citizen of one of the complaining Parties. The complaining Parties shall notify the responding Party of the selection no later than the next working day.”</w:t>
      </w:r>
    </w:p>
    <w:p>
      <w:pPr>
        <w:pStyle w:val="Normal"/>
        <w:widowControl/>
        <w:rPr/>
      </w:pPr>
      <w:r>
        <w:rPr/>
        <w:t>E. In Article 31.11 (Rules of Procedure for Panels):</w:t>
      </w:r>
    </w:p>
    <w:p>
      <w:pPr>
        <w:pStyle w:val="Normal"/>
        <w:widowControl/>
        <w:rPr/>
      </w:pPr>
      <w:r>
        <w:rPr/>
        <w:t>(i) number the existing paragraph as paragraph 1; and (ii) insert a paragraph 2 to read as follows: “2. The Rules of Procedure shall include rules of evidence, which shall ensure that: (a) the disputing Parties have the right to submit testimony in person or via declaration, affidavit, report, teleconference, or videoconference, and the disputing Parties and the panel the right to test the veracity of such testimony; (b) the disputing Parties have the right to submit anonymous testimony and redacted evidence, in appropriate circumstances; (c) the panel may request, on its own initiative or at the request of a disputing Party, that a Party make available documents or other information relevant to the dispute, and may take a failure to comply with such request into account in its decision; and (d) a panel shall accept the disputing Parties’ stipulations in advance of the hearing.”</w:t>
      </w:r>
    </w:p>
    <w:p>
      <w:pPr>
        <w:pStyle w:val="Normal"/>
        <w:widowControl/>
        <w:rPr/>
      </w:pPr>
      <w:r>
        <w:rPr/>
        <w:t>F. At the end of the chapter, insert Annex 31-A (United States-Mexico Facility- Specific Rapid Response Labor Mechanism) and Annex 31-B (Canada-Mexico Facility-Specific Rapid Response Labor Mechanism) to read as follows:</w:t>
      </w:r>
    </w:p>
    <w:p>
      <w:bookmarkStart w:id="1263" w:name="_NAESTMA_TOC_1263"/>
      <w:pPr>
        <w:pStyle w:val="Heading1"/>
        <w:keepNext/>
        <w:pageBreakBefore/>
        <w:widowControl/>
        <w:rPr/>
      </w:pPr>
      <w:r>
        <w:rPr/>
        <w:t>ANNEX 31-A UNITED STATES-MEXICO FACILITY-SPECIFIC RAPID RESPONSE LABOR MECHANISM</w:t>
      </w:r>
      <w:bookmarkEnd w:id="1263"/>
    </w:p>
    <w:p>
      <w:bookmarkStart w:id="1264" w:name="_NAESTMA_TOC_1264"/>
      <w:pPr>
        <w:pStyle w:val="Heading2"/>
        <w:keepNext/>
        <w:widowControl/>
        <w:rPr/>
      </w:pPr>
      <w:r>
        <w:rPr/>
        <w:t>TRANSITIONAL STATUS UNDER NAESTMA ARTICLE 31.E</w:t>
      </w:r>
      <w:bookmarkEnd w:id="1264"/>
    </w:p>
    <w:p>
      <w:pPr>
        <w:pStyle w:val="Normal"/>
        <w:widowControl/>
        <w:rPr/>
      </w:pPr>
      <w:r>
        <w:rPr/>
        <w:t>This predecessor Annex remains available solely as transitional administrative machinery. Article 31.E governs substantive standing, admissibility, scope, covered rights, covered facilities, verification, remedies, proportionality, restoration and worker protection. Any inconsistent country-specific domestic-order prerequisite, bilateral definition, priority-sector limitation or other access condition is superseded to the extent of the inconsistency.</w:t>
      </w:r>
    </w:p>
    <w:p>
      <w:bookmarkStart w:id="1265" w:name="_NAESTMA_TOC_1265"/>
      <w:pPr>
        <w:pStyle w:val="Heading2"/>
        <w:keepNext/>
        <w:widowControl/>
        <w:rPr/>
      </w:pPr>
      <w:r>
        <w:rPr/>
        <w:t>Article 31-A.1: Scope and Purpose</w:t>
      </w:r>
      <w:bookmarkEnd w:id="1265"/>
    </w:p>
    <w:p>
      <w:pPr>
        <w:pStyle w:val="Normal"/>
        <w:widowControl/>
        <w:rPr/>
      </w:pPr>
      <w:r>
        <w:rPr/>
        <w:t>1. The United States and Mexico are agreeing to this Annex pursuant to Article 31.5.1 (Good Offices, Conciliation, and Mediation). 2. The purpose of the Facility-Specific Rapid Response Labor Mechanism (the “Mechanism”), including the ability to impose remedies, is to ensure remediation of a Denial of Rights, as defined in Article 31-A.2, for workers at a Covered Facility, not to restrict trade. Furthermore, the Parties have designed this Mechanism to ensure that remedies are lifted immediately once a Denial of Rights is remediated. 3. The Parties shall make every attempt to cooperate and arrive at a mutually acceptable solution with respect to matters that can be raised through the Mechanism. 4. This Annex applies only as between Mexico and the United States.</w:t>
      </w:r>
    </w:p>
    <w:p>
      <w:bookmarkStart w:id="1266" w:name="_NAESTMA_TOC_1266"/>
      <w:pPr>
        <w:pStyle w:val="Heading2"/>
        <w:keepNext/>
        <w:widowControl/>
        <w:rPr/>
      </w:pPr>
      <w:r>
        <w:rPr/>
        <w:t>Article 31-A.2: Denial of Rights</w:t>
      </w:r>
      <w:bookmarkEnd w:id="1266"/>
    </w:p>
    <w:p>
      <w:pPr>
        <w:pStyle w:val="Normal"/>
        <w:widowControl/>
        <w:rPr/>
      </w:pPr>
      <w:r>
        <w:rPr/>
        <w:t>The Mechanism shall apply whenever a Party (the “complainant Party”) has a good faith basis belief that workers at a Covered Facility are being denied the right of free association and collective bargaining under laws necessary to fulfill the obligations of the other Party (the “respondent Party”) under this Agreement (a “Denial of Rights”).[Footnote 4]</w:t>
      </w:r>
    </w:p>
    <w:p>
      <w:bookmarkStart w:id="1267" w:name="_NAESTMA_TOC_1267"/>
      <w:pPr>
        <w:pStyle w:val="Heading2"/>
        <w:keepNext/>
        <w:widowControl/>
        <w:rPr/>
      </w:pPr>
      <w:r>
        <w:rPr/>
        <w:t>Article 31-A.3: Lists of Rapid Response Labor Panelists</w:t>
      </w:r>
      <w:bookmarkEnd w:id="1267"/>
    </w:p>
    <w:p>
      <w:pPr>
        <w:pStyle w:val="Normal"/>
        <w:widowControl/>
        <w:rPr/>
      </w:pPr>
      <w:r>
        <w:rPr/>
        <w:t>1. The Parties shall establish and maintain three lists of Rapid Response Labor Panelists who are willing to commit to being generally available to serve as Labor Panelists for the Mechanism. 2. By the date of entry into force of this Agreement, each Party shall appoint three individuals to one list each and appoint, by consensus, three individuals to a joint list. The individuals in the joint list shall be non-nationals of either Mexico or the United States. If a Party fails to designate its individuals, the Parties may still request the establishment of panels under Article 31-A.5 (Requests for Establishment of Rapid Response Labor Panel). The Rules of Procedure shall provide for how to compose a panel in such circumstances. Thereafter, at most six months from the date of entry into force of this Agreement, the Parties shall expand each list to at least five individuals each. 3. The Labor Panelists shall be appointed for a minimum of four years or until the Parties constitute new lists. Labor Panelists may be reappointed. 4. Each Labor Panelist shall: (a) have expertise and experience in labor law and practice, and with the application of standards and rights as recognized by the International Labor Organization; (b) be selected on the basis of objectivity, reliability, and sound judgment; (c) be independent of, and not affiliated with or take instructions from, a Party; and (d) comply with the Code of Conduct established by the Commission for dispute settlement under this chapter.</w:t>
      </w:r>
    </w:p>
    <w:p>
      <w:pPr>
        <w:pStyle w:val="Normal"/>
        <w:widowControl/>
        <w:rPr/>
      </w:pPr>
      <w:r>
        <w:rPr/>
        <w:t>5. If a list falls below five individuals within the four-year term, the relevant Party shall promptly appoint replacements. With respect to the joint list, the Parties shall appoint replacements by consensus within 30 days from the date the list has fallen below the required number. 6. At the conclusion of the first four-year term, and every four years thereafter, the Labor Panelists shall submit a report to the Parties commenting on the functioning of the Mechanism. The Parties shall make the report public. 7. The Parties shall address the compensation of Labor Panelists in the Rules of Procedure established in accordance with Article 30.2 (Functions of the Commission). The Parties shall also provide for reasonable expenses, including logistical support and personnel as appropriate, associated with verification efforts and the drafting of determinations.</w:t>
      </w:r>
    </w:p>
    <w:p>
      <w:bookmarkStart w:id="1268" w:name="_NAESTMA_TOC_1268"/>
      <w:pPr>
        <w:pStyle w:val="Heading2"/>
        <w:keepNext/>
        <w:widowControl/>
        <w:rPr/>
      </w:pPr>
      <w:r>
        <w:rPr/>
        <w:t>Article 31-A.4: Requests for Review and Remediation</w:t>
      </w:r>
      <w:bookmarkEnd w:id="1268"/>
    </w:p>
    <w:p>
      <w:pPr>
        <w:pStyle w:val="Normal"/>
        <w:widowControl/>
        <w:rPr/>
      </w:pPr>
      <w:r>
        <w:rPr/>
        <w:t>1. If a Party has a domestic process for determining whether to invoke this mechanism and that process has started regarding a Covered Facility in the other Party, that Party shall notify the other Party within five business days of initiating such process.[Footnote 5] 2. If a complainant Party has a good faith basis to believe that a Denial of Rights is occurring at a Covered Facility, it shall first request that the respondent Party conduct its own review of whether a Denial of Rights exists and, if the respondent Party determines that there is a Denial of Rights, the latter shall attempt to remediate within 45 days of the request. The complainant Party shall provide sufficient information for the respondent Party to conduct its review. The respondent Party shall have 10 days to notify the complainant Party as to whether it intends to conduct a review. If the respondent Party does not choose to conduct a review or does not notify within the 10-day period, the complainant Party may request the formation of a Rapid Response Labor Panel (the “panel”) to conduct a separate verification and determination pursuant to Article 31-A.5. 3. Upon delivering the request to the respondent Party, the complainant Party may delay final settlement of customs accounts related to entries of goods from the Covered Facility. Settlement of such accounts must resume immediately upon an agreement by the Parties that there is no Denial of Rights or a finding by a panel that there is no Denial of Rights.</w:t>
      </w:r>
    </w:p>
    <w:p>
      <w:pPr>
        <w:pStyle w:val="Normal"/>
        <w:widowControl/>
        <w:rPr/>
      </w:pPr>
      <w:r>
        <w:rPr/>
        <w:t>4. If the respondent Party chooses to conduct its review, it shall report in writing the results of the review and any remediation to the complainant Party at the end of the 45-day period. 5. If the respondent Party has determined that there is no Denial of Rights, the complainant Party may agree that the issue is resolved or it may communicate in writing its reasons for disagreement with the respondent Party’s determination and immediately may request a panel verification and determination pursuant to Article 31-A.5. 6. If the respondent Party has determined there is a Denial of Rights, the Parties shall consult in good faith for a period of 10 days and shall endeavor to agree upon a course of remediation that will remediate the Denial of Rights without interrupting trade. 7. If the Parties agree on a course of remediation, the respondent Party shall undertake the remediation by the date agreed to by the Parties and no remedy may be imposed by the complainant Party until the expiration of the agreed upon period. 8. If, after the agreed-upon date for remediation, the Parties disagree as to whether the Denial of Rights has been remediated, the complainant Party may provide written notice to the respondent Party of its intention to impose remedies at least 15 days prior to imposing remedies. The respondent Party may, within 10 days of receiving such notice, request a determination from a panel as to whether the Denial of Rights persists pursuant to Article 31-A.5. The complainant Party may not impose remedies until the Panel makes its determination.</w:t>
      </w:r>
    </w:p>
    <w:p>
      <w:pPr>
        <w:pStyle w:val="Normal"/>
        <w:widowControl/>
        <w:rPr/>
      </w:pPr>
      <w:r>
        <w:rPr/>
        <w:t>9. If the Parties cannot agree on a course of remediation at the end of the 10-day period, the complainant Party may request a panel verification and determination pursuant to Article 31-A.5. 10. At any point during the 10-day consultation period, the complainant Party may request that the panel be established, and the panel may proceed to confirm the petition. However, the panel may not issue a request for verification until the 10-day period expires.</w:t>
      </w:r>
    </w:p>
    <w:p>
      <w:bookmarkStart w:id="1269" w:name="_NAESTMA_TOC_1269"/>
      <w:pPr>
        <w:pStyle w:val="Heading2"/>
        <w:keepNext/>
        <w:widowControl/>
        <w:rPr/>
      </w:pPr>
      <w:r>
        <w:rPr/>
        <w:t>Article 31-A.5: Requests for Establishment of Rapid Response Labor Panel</w:t>
      </w:r>
      <w:bookmarkEnd w:id="1269"/>
    </w:p>
    <w:p>
      <w:pPr>
        <w:pStyle w:val="Normal"/>
        <w:widowControl/>
        <w:rPr/>
      </w:pPr>
      <w:r>
        <w:rPr/>
        <w:t>1. If, after the conditions precedent for the establishment of a panel under Article 31-A.4 are met, the complainant Party continues to have a good faith basis to believe that a Denial of Rights is occurring at a Covered Facility, that Party may submit to the Secretariat a petition: (a) requesting the establishment of a panel to request that the respondent Party allow the panel an opportunity to verify the Covered Facility’s compliance with the law in question and determine whether there has been a Denial of Rights; or (b) requesting the establishment of a panel to determine whether there has been a Denial of Rights. 2. The Secretariat shall transmit the petition to the respondent Party. 3. The Secretariat shall within three business days from the date of the request for establishment of a panel select by lot one panelist from the complainant Party list, one from the respondent Party list, and one from the Joint List. The Secretariat shall immediately transmit the petition to the selected panelists.</w:t>
      </w:r>
    </w:p>
    <w:p>
      <w:bookmarkStart w:id="1270" w:name="_NAESTMA_TOC_1270"/>
      <w:pPr>
        <w:pStyle w:val="Heading2"/>
        <w:keepNext/>
        <w:widowControl/>
        <w:rPr/>
      </w:pPr>
      <w:r>
        <w:rPr/>
        <w:t>Article 31-A.6: Confirmation of Petition</w:t>
      </w:r>
      <w:bookmarkEnd w:id="1270"/>
    </w:p>
    <w:p>
      <w:pPr>
        <w:pStyle w:val="Normal"/>
        <w:widowControl/>
        <w:rPr/>
      </w:pPr>
      <w:r>
        <w:rPr/>
        <w:t>A panel established under Article 31-A.5 shall have five business days after it is constituted to confirm that the petition: (a) identifies a Covered Facility; (b) identifies the respondent Party’s laws relevant to the alleged Denial of Rights; and (c) states the basis for the complainant Party’s good faith belief that there is a Denial of Rights.</w:t>
      </w:r>
    </w:p>
    <w:p>
      <w:bookmarkStart w:id="1271" w:name="_NAESTMA_TOC_1271"/>
      <w:pPr>
        <w:pStyle w:val="Heading2"/>
        <w:keepNext/>
        <w:widowControl/>
        <w:rPr/>
      </w:pPr>
      <w:r>
        <w:rPr/>
        <w:t>Article 31-A.7: Verification</w:t>
      </w:r>
      <w:bookmarkEnd w:id="1271"/>
    </w:p>
    <w:p>
      <w:pPr>
        <w:pStyle w:val="Normal"/>
        <w:widowControl/>
        <w:rPr/>
      </w:pPr>
      <w:r>
        <w:rPr/>
        <w:t>1. Upon confirmation that the petition contains the relevant information, the panel shall issue a request for verification to the respondent Party. The panel shall formulate an appropriate request for verification, based on the circumstances and the nature of the allegations in the complainant Party’s petition and any other submissions from the Parties. 2. In cases in which the respondent Party has concluded under Article 31-A.4.5 that there is no Denial of Rights by the Covered Facility but the complainant Party disagrees with the conclusions of the respondent Party, the panel shall request the respondent Party to submit, within 10 business days of the request, a document establishing the results of the respondent Party’s investigation and conclusions and any efforts it took as a result of the Request for Review and Remediation under Article 31-A.4. The complainant Party may respond to the respondent Party’s submission. 3. In cases in which the timeframe granted to the Covered Facility to eliminate the Denial of Rights has elapsed and the Covered Facility has allegedly not taken the necessary measures to comply with the remediation, the panel shall request the respondent Party to submit, within 10 business days of the petition, a document establishing the results of the respondent Party’s investigation and conclusions and the actions and sanctions it took against the Covered Facility as a result of the Request for Review and Remediation under Article 31-A.4. The complainant Party may respond to the respondent Party’s submission.</w:t>
      </w:r>
    </w:p>
    <w:p>
      <w:pPr>
        <w:pStyle w:val="Normal"/>
        <w:widowControl/>
        <w:rPr/>
      </w:pPr>
      <w:r>
        <w:rPr/>
        <w:t>4. In cases in which the respondent Party has determined under Article 31-A.4.6 that there is a Denial of Rights by the Covered Facility, and the respondent Party alleges that the Covered Facility has taken the necessary measures to remediate the Denial of Rights, but the complainant Party disagrees with the conclusions and actions of the respondent Party, the panel shall request the respondent Party to submit, within 10 business days of the request, a document explaining the actions it took against the Covered Facility as a result of the Request for Review and Remediation under Article 31-A.4. The complainant Party may respond to the respondent Party’s submission. 5. The respondent Party shall transmit a copy of the complainant Party’s petition to the owner of the Covered Facility at issue. 6. The respondent Party shall reply within seven business days whether it consents to the verification request. If the respondent Party does not respond within that time it will be deemed to have refused the request. 7. If the respondent Party agrees to the verification, the panel shall conduct the verification within 30 days after receipt of the request by the respondent Party. Observers from both Parties may accompany the panel in any on-site verification if both Parties so request. 8. If the respondent Party agrees to the verification but there is interference with the verification or the panel is otherwise unable to conduct the verification in a manner that it believes is most appropriate to gather information relevant to the matter, the panel may take the Party’s conduct into account in making its determination.</w:t>
      </w:r>
    </w:p>
    <w:p>
      <w:pPr>
        <w:pStyle w:val="Normal"/>
        <w:widowControl/>
        <w:rPr/>
      </w:pPr>
      <w:r>
        <w:rPr/>
        <w:t>9. If the respondent Party refuses the request for a verification or does not respond within the period provided for in paragraph 6, the complainant Party may request that the panel make a determination as to whether there is a Denial of Rights. 10. If the complainant Party makes a petition under Article 31-A.5.1(b), the panel, at its discretion, may request a verification if it considers that a verification is necessary to assist them in making their determination and follow the procedures set out as for a verification request made under this Article.</w:t>
      </w:r>
    </w:p>
    <w:p>
      <w:bookmarkStart w:id="1272" w:name="_NAESTMA_TOC_1272"/>
      <w:pPr>
        <w:pStyle w:val="Heading2"/>
        <w:keepNext/>
        <w:widowControl/>
        <w:rPr/>
      </w:pPr>
      <w:r>
        <w:rPr/>
        <w:t>Article 31-A.8: Panel Process and Determination</w:t>
      </w:r>
      <w:bookmarkEnd w:id="1272"/>
    </w:p>
    <w:p>
      <w:pPr>
        <w:pStyle w:val="Normal"/>
        <w:widowControl/>
        <w:rPr/>
      </w:pPr>
      <w:r>
        <w:rPr/>
        <w:t>1. The panel shall make a determination, consistent with paragraphs 5, 7, and 8 of Article 31.13 (Function of Panels), as to whether there is a Denial of Rights within: (a) 30 days after conducting a verification; or (b) 30 days after it is constituted if there has not been a verification. 2. Before making its determination, the panel shall provide both Parties an opportunity to be heard. 3. In making its determination, the panel shall take the respondent Party’s refusal to allow a verification into account. 4. If the respondent Party so requests, the panel shall include a recommendation on a course of remediation if the panel determines there is a Denial of Rights. The panel shall also provide its views on the severity of any denial of rights and, to the extent possible, identify the person or persons responsible for the Denial of Rights. 5. The panel’s determination shall be in writing and shall be made public.</w:t>
      </w:r>
    </w:p>
    <w:p>
      <w:bookmarkStart w:id="1273" w:name="_NAESTMA_TOC_1273"/>
      <w:pPr>
        <w:pStyle w:val="Heading2"/>
        <w:keepNext/>
        <w:widowControl/>
        <w:rPr/>
      </w:pPr>
      <w:r>
        <w:rPr/>
        <w:t>Article 31-A.9: Consultations and Remediation</w:t>
      </w:r>
      <w:bookmarkEnd w:id="1273"/>
    </w:p>
    <w:p>
      <w:pPr>
        <w:pStyle w:val="Normal"/>
        <w:widowControl/>
        <w:rPr/>
      </w:pPr>
      <w:r>
        <w:rPr/>
        <w:t>After receipt of a determination by a panel that there has been a Denial of Rights, the complainant Party may impose remedies after providing written notice to the respondent Party at least 5 business days in advance. A respondent Party can request that consultations be held during that 5 day period.</w:t>
      </w:r>
    </w:p>
    <w:p>
      <w:bookmarkStart w:id="1274" w:name="_NAESTMA_TOC_1274"/>
      <w:pPr>
        <w:pStyle w:val="Heading2"/>
        <w:keepNext/>
        <w:widowControl/>
        <w:rPr/>
      </w:pPr>
      <w:r>
        <w:rPr/>
        <w:t>Article 31-A.10: Remedies</w:t>
      </w:r>
      <w:bookmarkEnd w:id="1274"/>
    </w:p>
    <w:p>
      <w:pPr>
        <w:pStyle w:val="Normal"/>
        <w:widowControl/>
        <w:rPr/>
      </w:pPr>
      <w:r>
        <w:rPr/>
        <w:t>1. Once the conditions precedent to the imposition of remedies have been met, the complainant Party may impose remedies that are the most appropriate to remedy the Denial of Rights. The complainant Party shall select a remedy pursuant to paragraph 2 that is proportional to the severity of the Denial of Rights and shall take the panel’s views on the severity of the Denial of Rights into account when selecting such remedies. 2. Remedies may include suspension of preferential tariff treatment for goods manufactured at the Covered Facility or the imposition of penalties on goods manufactured at or services provided by the Covered Facility. 3. In cases where a Covered Facility or a Covered Facility owned or controlled by the same person producing the same or related goods or providing the same or related services has received a prior Denial of Rights determination, remedies may include suspension of preferential tariff treatment for such goods; or the imposition of penalties on such goods or services. 4. In cases where a Covered Facility or a Covered Facility owned or controlled by the same person producing the same or related goods or providing the same or related services has received a prior Denial of Rights determination on at least two occasions, remedies may include suspension of preferential tariff treatment for such goods; the imposition of penalties on such goods or services; or the denial of entry of such goods.</w:t>
      </w:r>
    </w:p>
    <w:p>
      <w:pPr>
        <w:pStyle w:val="Normal"/>
        <w:widowControl/>
        <w:rPr/>
      </w:pPr>
      <w:r>
        <w:rPr/>
        <w:t>5. After the imposition of remedies, the Parties shall continue to consult on an ongoing basis in order to ensure the prompt remediation of the Denial of Rights and the removal of remedies. 6. If, as a result of those ongoing consultations, the Parties reach agreement that the Denial of Rights has been remediated, the complainant Party shall remove all remedies immediately. If the Parties are in disagreement as to whether the Denial of Rights has been remediated, the respondent Party may request an opportunity to demonstrate to the panel that it has taken action to remediate the Denial of Rights. The panel shall make a new determination within 30 days after receipt of the respondent Party’s request, consistent with the procedures set out in Article 31-A.8. The complainant Party may request a new verification consistent with the procedures set out in Article 31-A.7. 7. If the panel determines that the Denial of Rights has not been remediated, the respondent Party may not request another determination for 180 days, and any remedies shall remain in place until the Parties agree that remediation has occurred or a panel determines that the Denial of Rights has been remediated.</w:t>
      </w:r>
    </w:p>
    <w:p>
      <w:bookmarkStart w:id="1275" w:name="_NAESTMA_TOC_1275"/>
      <w:pPr>
        <w:pStyle w:val="Heading2"/>
        <w:keepNext/>
        <w:widowControl/>
        <w:rPr/>
      </w:pPr>
      <w:r>
        <w:rPr/>
        <w:t>Article 31-A.11: Good Faith Use of the Mechanism</w:t>
      </w:r>
      <w:bookmarkEnd w:id="1275"/>
    </w:p>
    <w:p>
      <w:pPr>
        <w:pStyle w:val="Normal"/>
        <w:widowControl/>
        <w:rPr/>
      </w:pPr>
      <w:r>
        <w:rPr/>
        <w:t>If one Party considers that the other has not acted in good faith in its use of this Mechanism, either with regard to an invocation of the Mechanism itself or an imposition of remedies that are excessive in light of the severity of the Denial of Rights found by the panel, that Party may have recourse to the dispute settlement mechanism under Chapter 31 (Dispute Settlement). If a dispute settlement panel finds that a Party did not act in good faith in its use of this Mechanism, within 45 days from receipt of the final panel report under Article 31.17.5 (Panel Report), the Parties shall endeavor to agree to the resolution of the dispute. If the Parties are unable to resolve the dispute, the complainant Party may elect either to prevent the responding Party from using this Mechanism for a period of two years or another remedy permitted under Chapter 31 (Dispute Settlement).</w:t>
      </w:r>
    </w:p>
    <w:p>
      <w:bookmarkStart w:id="1276" w:name="_NAESTMA_TOC_1276"/>
      <w:pPr>
        <w:pStyle w:val="Heading2"/>
        <w:keepNext/>
        <w:widowControl/>
        <w:rPr/>
      </w:pPr>
      <w:r>
        <w:rPr/>
        <w:t>Article 31-A.12: Expansion of Claims</w:t>
      </w:r>
      <w:bookmarkEnd w:id="1276"/>
    </w:p>
    <w:p>
      <w:pPr>
        <w:pStyle w:val="Normal"/>
        <w:widowControl/>
        <w:rPr/>
      </w:pPr>
      <w:r>
        <w:rPr/>
        <w:t>In recognition of the importance of ensuring full compliance with the Labor Chapter; the commitment of the Parties to trade only in goods produced in compliance with such Chapter; if one of the Parties is found to have breached its obligations under Article 23.3 (Labor Rights) or Article 23.5 (Enforcement of Labor Laws) by a panel established under Article 31.6 (Establishment of a Panel), the complainant Party in that case may use this Mechanism with regard to the relevant law or laws at issue in that dispute for a period of two years or until the conclusion of the next joint review under Article 34.7 (Review and Term Extension), whichever is later.</w:t>
      </w:r>
    </w:p>
    <w:p>
      <w:bookmarkStart w:id="1277" w:name="_NAESTMA_TOC_1277"/>
      <w:pPr>
        <w:pStyle w:val="Heading2"/>
        <w:keepNext/>
        <w:widowControl/>
        <w:rPr/>
      </w:pPr>
      <w:r>
        <w:rPr/>
        <w:t>Article 31-A.13: Review of Priority Sectors</w:t>
      </w:r>
      <w:bookmarkEnd w:id="1277"/>
    </w:p>
    <w:p>
      <w:pPr>
        <w:pStyle w:val="Normal"/>
        <w:widowControl/>
        <w:rPr/>
      </w:pPr>
      <w:r>
        <w:rPr/>
        <w:t>The Parties shall review the list of priority sectors on an annual basis and determine whether to add any sectors to the list.</w:t>
      </w:r>
    </w:p>
    <w:p>
      <w:bookmarkStart w:id="1278" w:name="_NAESTMA_TOC_1278"/>
      <w:pPr>
        <w:pStyle w:val="Heading2"/>
        <w:keepNext/>
        <w:widowControl/>
        <w:rPr/>
      </w:pPr>
      <w:r>
        <w:rPr/>
        <w:t>Article 31-A.14: Cooperation to Promote Compliance</w:t>
      </w:r>
      <w:bookmarkEnd w:id="1278"/>
    </w:p>
    <w:p>
      <w:pPr>
        <w:pStyle w:val="Normal"/>
        <w:widowControl/>
        <w:rPr/>
      </w:pPr>
      <w:r>
        <w:rPr/>
        <w:t>Each Party shall cooperate with, and support efforts by, Covered Facilities to operate in a way to avoid a determination of a Denial of Rights.</w:t>
      </w:r>
    </w:p>
    <w:p>
      <w:bookmarkStart w:id="1279" w:name="_NAESTMA_TOC_1279"/>
      <w:pPr>
        <w:pStyle w:val="Heading2"/>
        <w:keepNext/>
        <w:widowControl/>
        <w:rPr/>
      </w:pPr>
      <w:r>
        <w:rPr/>
        <w:t>Article 31-A.15: Definitions</w:t>
      </w:r>
      <w:bookmarkEnd w:id="1279"/>
    </w:p>
    <w:p>
      <w:pPr>
        <w:pStyle w:val="Normal"/>
        <w:widowControl/>
        <w:rPr/>
      </w:pPr>
      <w:r>
        <w:rPr/>
        <w:t>For the purposes of this Annex: Covered Facilitymeans a facility in the territory of a Party that: (i) produces a good or supplies a service traded between the Parties; or (ii) produces a good or supplies a service that competes in the territory of a Party with a good or a service of the other Party, and is a facility in a Priority Sector; Party or Parties means Mexico and the United States singly or collectively; Priority Sector means a sector that produces manufactured goods,[Footnote 6] supplies services, or involves mining.</w:t>
      </w:r>
    </w:p>
    <w:p>
      <w:bookmarkStart w:id="1280" w:name="_NAESTMA_TOC_1280"/>
      <w:pPr>
        <w:pStyle w:val="Heading1"/>
        <w:keepNext/>
        <w:pageBreakBefore/>
        <w:widowControl/>
        <w:rPr/>
      </w:pPr>
      <w:r>
        <w:rPr/>
        <w:t>ANNEX 31-B CANADA-MEXICO FACILITY-SPECIFIC RAPID RESPONSE LABOR MECHANISM</w:t>
      </w:r>
      <w:bookmarkEnd w:id="1280"/>
    </w:p>
    <w:p>
      <w:bookmarkStart w:id="1281" w:name="_NAESTMA_TOC_1281"/>
      <w:pPr>
        <w:pStyle w:val="Heading2"/>
        <w:keepNext/>
        <w:widowControl/>
        <w:rPr/>
      </w:pPr>
      <w:r>
        <w:rPr/>
        <w:t>TRANSITIONAL STATUS UNDER NAESTMA ARTICLE 31.E</w:t>
      </w:r>
      <w:bookmarkEnd w:id="1281"/>
    </w:p>
    <w:p>
      <w:pPr>
        <w:pStyle w:val="Normal"/>
        <w:widowControl/>
        <w:rPr/>
      </w:pPr>
      <w:r>
        <w:rPr/>
        <w:t>This predecessor Annex remains available solely as transitional administrative machinery. Article 31.E governs substantive standing, admissibility, scope, covered rights, covered facilities, verification, remedies, proportionality, restoration and worker protection. Any inconsistent country-specific domestic-order prerequisite, bilateral definition, priority-sector limitation or other access condition is superseded to the extent of the inconsistency.</w:t>
      </w:r>
    </w:p>
    <w:p>
      <w:bookmarkStart w:id="1282" w:name="_NAESTMA_TOC_1282"/>
      <w:pPr>
        <w:pStyle w:val="Heading2"/>
        <w:keepNext/>
        <w:widowControl/>
        <w:rPr/>
      </w:pPr>
      <w:r>
        <w:rPr/>
        <w:t>Article 31-B.1: Scope and Purpose</w:t>
      </w:r>
      <w:bookmarkEnd w:id="1282"/>
    </w:p>
    <w:p>
      <w:pPr>
        <w:pStyle w:val="Normal"/>
        <w:widowControl/>
        <w:rPr/>
      </w:pPr>
      <w:r>
        <w:rPr/>
        <w:t>1. Canada and Mexico are agreeing to this Annex pursuant to Article 31.5.1 (Good Offices, Conciliation, and Mediation).</w:t>
      </w:r>
    </w:p>
    <w:p>
      <w:pPr>
        <w:pStyle w:val="Normal"/>
        <w:widowControl/>
        <w:rPr/>
      </w:pPr>
      <w:r>
        <w:rPr/>
        <w:t>2. The purpose of the Facility-Specific Rapid Response Labor Mechanism (the “Mechanism”), including the ability to impose remedies, is to ensure remediation of a Denial of Rights, as defined in Article 31-B.2, for workers at a Covered Facility, not to restrict trade. Furthermore, the Parties have designed this Mechanism to ensure that remedies are lifted immediately once a Denial of Rights is remediated.</w:t>
      </w:r>
    </w:p>
    <w:p>
      <w:pPr>
        <w:pStyle w:val="Normal"/>
        <w:widowControl/>
        <w:rPr/>
      </w:pPr>
      <w:r>
        <w:rPr/>
        <w:t>3. The Parties shall make every attempt to cooperate and arrive at a mutually acceptable solution with respect to matters that can be raised through the Mechanism.</w:t>
      </w:r>
    </w:p>
    <w:p>
      <w:pPr>
        <w:pStyle w:val="Normal"/>
        <w:widowControl/>
        <w:rPr/>
      </w:pPr>
      <w:r>
        <w:rPr/>
        <w:t>4. This Annex applies only as between Mexico and Canada.</w:t>
      </w:r>
    </w:p>
    <w:p>
      <w:bookmarkStart w:id="1283" w:name="_NAESTMA_TOC_1283"/>
      <w:pPr>
        <w:pStyle w:val="Heading2"/>
        <w:keepNext/>
        <w:widowControl/>
        <w:rPr/>
      </w:pPr>
      <w:r>
        <w:rPr/>
        <w:t>Article 31-B.2: Denial of Rights</w:t>
      </w:r>
      <w:bookmarkEnd w:id="1283"/>
    </w:p>
    <w:p>
      <w:pPr>
        <w:pStyle w:val="Normal"/>
        <w:widowControl/>
        <w:rPr/>
      </w:pPr>
      <w:r>
        <w:rPr/>
        <w:t>The Mechanism shall apply whenever a Party (the “complainant Party”) has a good faith basis belief that workers at a Covered Facility are being denied the right of free association and collective bargaining under laws necessary to fulfill the obligations of the other Party (the “respondent Party”) under this Agreement (a “Denial of Rights”).Note de bas de page7</w:t>
      </w:r>
    </w:p>
    <w:p>
      <w:bookmarkStart w:id="1284" w:name="_NAESTMA_TOC_1284"/>
      <w:pPr>
        <w:pStyle w:val="Heading2"/>
        <w:keepNext/>
        <w:widowControl/>
        <w:rPr/>
      </w:pPr>
      <w:r>
        <w:rPr/>
        <w:t>Article 31-B.3: Lists of Rapid Response Labor Panelists</w:t>
      </w:r>
      <w:bookmarkEnd w:id="1284"/>
    </w:p>
    <w:p>
      <w:pPr>
        <w:pStyle w:val="Normal"/>
        <w:widowControl/>
        <w:rPr/>
      </w:pPr>
      <w:r>
        <w:rPr/>
        <w:t>1. The Parties shall establish and maintain three lists of Rapid Response Labor Panelists who are willing to commit to being generally available to serve as Labor Panelists for the Mechanism.</w:t>
      </w:r>
    </w:p>
    <w:p>
      <w:pPr>
        <w:pStyle w:val="Normal"/>
        <w:widowControl/>
        <w:rPr/>
      </w:pPr>
      <w:r>
        <w:rPr/>
        <w:t>2. By the date of entry into force of this Agreement, each Party shall appoint three individuals to one list each and appoint, by consensus, three individuals to a joint list. The individuals in the joint list shall be non-nationals of either Mexico or Canada. If a Party fails to designate its individuals, the Parties may still request the establishment of panels under Article 31-B.5 (Requests for Establishment of Rapid Response Labor Panel). The Rules of Procedure shall provide for how to compose a panel in such circumstances. Thereafter, at most six months from the date of entry into force of this Agreement, the Parties shall expand each list to at least five individuals each.</w:t>
      </w:r>
    </w:p>
    <w:p>
      <w:pPr>
        <w:pStyle w:val="Normal"/>
        <w:widowControl/>
        <w:rPr/>
      </w:pPr>
      <w:r>
        <w:rPr/>
        <w:t>3. The Labor Panelists shall be appointed for a minimum of four years or until the Parties constitute new lists. Labor Panelists may be reappointed.</w:t>
      </w:r>
    </w:p>
    <w:p>
      <w:pPr>
        <w:pStyle w:val="Normal"/>
        <w:widowControl/>
        <w:rPr/>
      </w:pPr>
      <w:r>
        <w:rPr/>
        <w:t>4. Each Labor Panelist shall:</w:t>
      </w:r>
    </w:p>
    <w:p>
      <w:pPr>
        <w:pStyle w:val="Normal"/>
        <w:widowControl/>
        <w:rPr/>
      </w:pPr>
      <w:r>
        <w:rPr/>
        <w:t>(a) have expertise and experience in labor law and practice, and with the application of standards and rights as recognized by the International Labor Organization; (b) be selected on the basis of objectivity, reliability, and sound judgment;</w:t>
      </w:r>
    </w:p>
    <w:p>
      <w:pPr>
        <w:pStyle w:val="Normal"/>
        <w:widowControl/>
        <w:rPr/>
      </w:pPr>
      <w:r>
        <w:rPr/>
        <w:t>(c) be independent of, and not affiliated with or take instructions from, a Party; and (d) comply with the Code of Conduct established by the Commission for dispute settlement under this chapter. 5. If a list falls below five individuals within the four-year term, the relevant Party shall promptly appoint replacements. With respect to the joint list, the Parties shall appoint replacements by consensus within 30 days from the date the list has fallen below the required number.</w:t>
      </w:r>
    </w:p>
    <w:p>
      <w:pPr>
        <w:pStyle w:val="Normal"/>
        <w:widowControl/>
        <w:rPr/>
      </w:pPr>
      <w:r>
        <w:rPr/>
        <w:t>6. At the conclusion of the first four-year term, and every four years thereafter, the Labor Panelists shall submit a report to the Parties commenting on the functioning of the Mechanism. The Parties shall make the report public.</w:t>
      </w:r>
    </w:p>
    <w:p>
      <w:pPr>
        <w:pStyle w:val="Normal"/>
        <w:widowControl/>
        <w:rPr/>
      </w:pPr>
      <w:r>
        <w:rPr/>
        <w:t>7. The Parties shall address the compensation of Labor Panelists in the Rules of Procedure established in accordance with Article 30.2 (Functions of the Commission). The Parties shall also provide for reasonable expenses, including logistical support and personnel as appropriate, associated with verification efforts and the drafting of determinations.</w:t>
      </w:r>
    </w:p>
    <w:p>
      <w:bookmarkStart w:id="1285" w:name="_NAESTMA_TOC_1285"/>
      <w:pPr>
        <w:pStyle w:val="Heading2"/>
        <w:keepNext/>
        <w:widowControl/>
        <w:rPr/>
      </w:pPr>
      <w:r>
        <w:rPr/>
        <w:t>Article 31-B.4: Requests for Review and Remediation</w:t>
      </w:r>
      <w:bookmarkEnd w:id="1285"/>
    </w:p>
    <w:p>
      <w:pPr>
        <w:pStyle w:val="Normal"/>
        <w:widowControl/>
        <w:rPr/>
      </w:pPr>
      <w:r>
        <w:rPr/>
        <w:t>1. If a Party has a domestic process for determining whether to invoke this mechanism and that process has started regarding a Covered Facility in the other Party, that Party shall notify the other Party within five business days of initiating such process.Note de bas de page8</w:t>
      </w:r>
    </w:p>
    <w:p>
      <w:pPr>
        <w:pStyle w:val="Normal"/>
        <w:widowControl/>
        <w:rPr/>
      </w:pPr>
      <w:r>
        <w:rPr/>
        <w:t>2. If a complainant Party has a good faith basis to believe that a Denial of Rights is occurring at a Covered Facility, it shall first request that the respondent Party conduct its own review of whether a Denial of Rights exists and, if the respondent Party determines that there is a Denial of Rights, the latter shall attempt to remediate within 45 days of the request. The complainant Party shall provide sufficient information for the respondent Party to conduct its review. The respondent Party shall have 10 days to notify the complainant Party as to whether it intends to conduct a review. If the respondent Party does not choose to conduct a review or does not notify within the 10-day period, the complainant Party may request the formation of a Rapid Response Labor Panel (the “panel”) to conduct a separate verification and determination pursuant to Article 31-B.5.</w:t>
      </w:r>
    </w:p>
    <w:p>
      <w:pPr>
        <w:pStyle w:val="Normal"/>
        <w:widowControl/>
        <w:rPr/>
      </w:pPr>
      <w:r>
        <w:rPr/>
        <w:t>3. Upon delivering the request to the respondent Party, the complainant Party may delay final settlement of customs accounts related to entries of goods from the Covered Facility. Settlement of such accounts must resume immediately upon an agreement by the Parties that there is no Denial of Rights or a finding by a panel that there is no Denial of Rights.Note de bas de page9</w:t>
      </w:r>
    </w:p>
    <w:p>
      <w:pPr>
        <w:pStyle w:val="Normal"/>
        <w:widowControl/>
        <w:rPr/>
      </w:pPr>
      <w:r>
        <w:rPr/>
        <w:t>4. If the respondent Party chooses to conduct its review, it shall report in writing the results of the review and any remediation to the complainant Party at the end of the 45-day period.</w:t>
      </w:r>
    </w:p>
    <w:p>
      <w:pPr>
        <w:pStyle w:val="Normal"/>
        <w:widowControl/>
        <w:rPr/>
      </w:pPr>
      <w:r>
        <w:rPr/>
        <w:t>5. If the respondent Party has determined that there is no Denial of Rights, the complainant Party may agree that the issue is resolved or it may communicate in writing its reasons for disagreement with the respondent Party’s determination and immediately may request a panel verification and determination pursuant to Article 31-B.5.</w:t>
      </w:r>
    </w:p>
    <w:p>
      <w:pPr>
        <w:pStyle w:val="Normal"/>
        <w:widowControl/>
        <w:rPr/>
      </w:pPr>
      <w:r>
        <w:rPr/>
        <w:t>6. If the respondent Party has determined there is a Denial of Rights, the Parties shall consult in good faith for a period of 10 days and shall endeavor to agree upon a course of remediation that will remediate the Denial of Rights without interrupting trade.</w:t>
      </w:r>
    </w:p>
    <w:p>
      <w:pPr>
        <w:pStyle w:val="Normal"/>
        <w:widowControl/>
        <w:rPr/>
      </w:pPr>
      <w:r>
        <w:rPr/>
        <w:t>7. If the Parties agree on a course of remediation, the respondent Party shall undertake the remediation by the date agreed to by the Parties and no remedy may be imposed by the complainant Party until the expiration of the agreed upon period.</w:t>
      </w:r>
    </w:p>
    <w:p>
      <w:pPr>
        <w:pStyle w:val="Normal"/>
        <w:widowControl/>
        <w:rPr/>
      </w:pPr>
      <w:r>
        <w:rPr/>
        <w:t>8. If, after the agreed-upon date for remediation, the Parties disagree as to whether the Denial of Rights has been remediated, the complainant Party may provide written notice to the respondent Party of its intention to impose remedies at least 15 days prior to imposing remedies. The respondent Party may, within 10 days of receiving such notice, request a determination from a panel as to whether the Denial of Rights persists pursuant to Article 31-B.5. The complainant Party may not impose remedies until the Panel makes its determination.</w:t>
      </w:r>
    </w:p>
    <w:p>
      <w:pPr>
        <w:pStyle w:val="Normal"/>
        <w:widowControl/>
        <w:rPr/>
      </w:pPr>
      <w:r>
        <w:rPr/>
        <w:t>9. If the Parties cannot agree on a course of remediation at the end of the 10-day period, the complainant Party may request a panel verification and determination pursuant to Article 31-B.5.</w:t>
      </w:r>
    </w:p>
    <w:p>
      <w:pPr>
        <w:pStyle w:val="Normal"/>
        <w:widowControl/>
        <w:rPr/>
      </w:pPr>
      <w:r>
        <w:rPr/>
        <w:t>10. At any point during the 10-day consultation period, the complainant Party may request that the panel be established, and the panel may proceed to confirm the petition. However, the panel may not issue a request for verification until the 10-day period expires.</w:t>
      </w:r>
    </w:p>
    <w:p>
      <w:bookmarkStart w:id="1286" w:name="_NAESTMA_TOC_1286"/>
      <w:pPr>
        <w:pStyle w:val="Heading2"/>
        <w:keepNext/>
        <w:widowControl/>
        <w:rPr/>
      </w:pPr>
      <w:r>
        <w:rPr/>
        <w:t>Article 31-B.5: Requests for Establishment of Rapid Response Labor Panel</w:t>
      </w:r>
      <w:bookmarkEnd w:id="1286"/>
    </w:p>
    <w:p>
      <w:pPr>
        <w:pStyle w:val="Normal"/>
        <w:widowControl/>
        <w:rPr/>
      </w:pPr>
      <w:r>
        <w:rPr/>
        <w:t>1. If, after the conditions precedent for the establishment of a panel under Article 31-B.4 are met, the complainant Party continues to have a good faith basis to believe that a Denial of Rights is occurring at a Covered Facility, that Party may submit to the Secretariat a petition:</w:t>
      </w:r>
    </w:p>
    <w:p>
      <w:pPr>
        <w:pStyle w:val="Normal"/>
        <w:widowControl/>
        <w:rPr/>
      </w:pPr>
      <w:r>
        <w:rPr/>
        <w:t>(a) requesting the establishment of a panel to request that the respondent Party allow the panel an opportunity to verify the Covered Facility’s compliance with the law in question and determine whether there has been a Denial of Rights; or (b) requesting the establishment of a panel to determine whether there has been a Denial of Rights. 2. The Secretariat shall transmit the petition to the respondent Party.</w:t>
      </w:r>
    </w:p>
    <w:p>
      <w:pPr>
        <w:pStyle w:val="Normal"/>
        <w:widowControl/>
        <w:rPr/>
      </w:pPr>
      <w:r>
        <w:rPr/>
        <w:t>3. The Secretariat shall within three business days from the date of the request for establishment of a panel select by lot one panelist from the complainant Party list, one from the respondent Party list, and one from the Joint List. The Secretariat shall immediately transmit the petition to the selected panelists.</w:t>
      </w:r>
    </w:p>
    <w:p>
      <w:bookmarkStart w:id="1287" w:name="_NAESTMA_TOC_1287"/>
      <w:pPr>
        <w:pStyle w:val="Heading2"/>
        <w:keepNext/>
        <w:widowControl/>
        <w:rPr/>
      </w:pPr>
      <w:r>
        <w:rPr/>
        <w:t>Article 31-B.6: Confirmation of Petition</w:t>
      </w:r>
      <w:bookmarkEnd w:id="1287"/>
    </w:p>
    <w:p>
      <w:pPr>
        <w:pStyle w:val="Normal"/>
        <w:widowControl/>
        <w:rPr/>
      </w:pPr>
      <w:r>
        <w:rPr/>
        <w:t>A panel established under Article 31-B.5 shall have five business days after it is constituted to confirm that the petition:</w:t>
      </w:r>
    </w:p>
    <w:p>
      <w:pPr>
        <w:pStyle w:val="Normal"/>
        <w:widowControl/>
        <w:rPr/>
      </w:pPr>
      <w:r>
        <w:rPr/>
        <w:t>(a) identifies a Covered Facility; (b) identifies the respondent Party’s laws relevant to the alleged Denial of Rights; and (c) states the basis for the complainant Party’s good faith belief that there is a Denial of Rights.</w:t>
      </w:r>
    </w:p>
    <w:p>
      <w:bookmarkStart w:id="1288" w:name="_NAESTMA_TOC_1288"/>
      <w:pPr>
        <w:pStyle w:val="Heading2"/>
        <w:keepNext/>
        <w:widowControl/>
        <w:rPr/>
      </w:pPr>
      <w:r>
        <w:rPr/>
        <w:t>Article 31-B.7: Verification</w:t>
      </w:r>
      <w:bookmarkEnd w:id="1288"/>
    </w:p>
    <w:p>
      <w:pPr>
        <w:pStyle w:val="Normal"/>
        <w:widowControl/>
        <w:rPr/>
      </w:pPr>
      <w:r>
        <w:rPr/>
        <w:t>1. Upon confirmation that the petition contains the relevant information, the panel shall issue a request for verification to the respondent Party. The panel shall formulate an appropriate request for verification, based on the circumstances and the nature of the allegations in the complainant Party’s petition and any other submissions from the Parties.</w:t>
      </w:r>
    </w:p>
    <w:p>
      <w:pPr>
        <w:pStyle w:val="Normal"/>
        <w:widowControl/>
        <w:rPr/>
      </w:pPr>
      <w:r>
        <w:rPr/>
        <w:t>2. In cases in which the respondent Party has concluded under Article 31-B.4.5 that there is no Denial of Rights by the Covered Facility but the complainant Party disagrees with the conclusions of the respondent Party, the panel shall request the respondent Party to submit, within 10 business days of the request, a document establishing the results of the respondent Party’s investigation and conclusions and any efforts it took as a result of the Request for Review and Remediation under Article 31-B.4. The complainant Party may respond to the respondent Party’s submission.</w:t>
      </w:r>
    </w:p>
    <w:p>
      <w:pPr>
        <w:pStyle w:val="Normal"/>
        <w:widowControl/>
        <w:rPr/>
      </w:pPr>
      <w:r>
        <w:rPr/>
        <w:t>3. In cases in which the timeframe granted to the Covered Facility to eliminate the Denial of Rights has elapsed and the Covered Facility has allegedly not taken the necessary measures to comply with the remediation, the panel shall request the respondent Party to submit, within 10 business days of the petition, a document establishing the results of the respondent Party’s investigation and conclusions and the actions and sanctions it took against the Covered Facility as a result of the Request for Review and Remediation under Article 31-B.4. The complainant Party may respond to the respondent Party’s submission.</w:t>
      </w:r>
    </w:p>
    <w:p>
      <w:pPr>
        <w:pStyle w:val="Normal"/>
        <w:widowControl/>
        <w:rPr/>
      </w:pPr>
      <w:r>
        <w:rPr/>
        <w:t>4. In cases in which the respondent Party has determined under Article 31-B.4.6 that there is a Denial of Rights by the Covered Facility, and the respondent Party alleges that the Covered Facility has taken the necessary measures to remediate the Denial of Rights, but the complainant Party disagrees with the conclusions and actions of the respondent Party, the panel shall request the respondent Party to submit, within 10 business days of the request, a document explaining the actions it took against the Covered Facility as a result of the Request for Review and Remediation under Article 31-B.4. The complainant Party may respond to the respondent Party’s submission.</w:t>
      </w:r>
    </w:p>
    <w:p>
      <w:pPr>
        <w:pStyle w:val="Normal"/>
        <w:widowControl/>
        <w:rPr/>
      </w:pPr>
      <w:r>
        <w:rPr/>
        <w:t>5. The respondent Party shall transmit a copy of the complainant Party’s petition to the owner of the Covered Facility at issue.</w:t>
      </w:r>
    </w:p>
    <w:p>
      <w:pPr>
        <w:pStyle w:val="Normal"/>
        <w:widowControl/>
        <w:rPr/>
      </w:pPr>
      <w:r>
        <w:rPr/>
        <w:t>6. The respondent Party shall reply within seven business days whether it consents to the verification request. If the respondent Party does not respond within that time it will be deemed to have refused the request.</w:t>
      </w:r>
    </w:p>
    <w:p>
      <w:pPr>
        <w:pStyle w:val="Normal"/>
        <w:widowControl/>
        <w:rPr/>
      </w:pPr>
      <w:r>
        <w:rPr/>
        <w:t>7. If the respondent Party agrees to the verification, the panel shall conduct the verification within 30 days after receipt of the request by the respondent Party. Observers from both Parties may accompany the panel in any on-site verification if both Parties so request.</w:t>
      </w:r>
    </w:p>
    <w:p>
      <w:pPr>
        <w:pStyle w:val="Normal"/>
        <w:widowControl/>
        <w:rPr/>
      </w:pPr>
      <w:r>
        <w:rPr/>
        <w:t>8. If the respondent Party agrees to the verification but there is interference with the verification or the panel is otherwise unable to conduct the verification in a manner that it believes is most appropriate to gather information relevant to the matter, the panel may take the Party’s conduct into account in making its determination.</w:t>
      </w:r>
    </w:p>
    <w:p>
      <w:pPr>
        <w:pStyle w:val="Normal"/>
        <w:widowControl/>
        <w:rPr/>
      </w:pPr>
      <w:r>
        <w:rPr/>
        <w:t>9. If the respondent Party refuses the request for a verification or does not respond within the period provided for in paragraph 6, the complainant Party may request that the panel make a determination as to whether there is a Denial of Rights.</w:t>
      </w:r>
    </w:p>
    <w:p>
      <w:pPr>
        <w:pStyle w:val="Normal"/>
        <w:widowControl/>
        <w:rPr/>
      </w:pPr>
      <w:r>
        <w:rPr/>
        <w:t>10. If the complainant Party makes a petition under Article 31-B.5.1(b), the panel, at its discretion, may request a verification if it considers that a verification is necessary to assist them in making their determination and follow the procedures set out as for a verification request made under this Article.</w:t>
      </w:r>
    </w:p>
    <w:p>
      <w:bookmarkStart w:id="1289" w:name="_NAESTMA_TOC_1289"/>
      <w:pPr>
        <w:pStyle w:val="Heading2"/>
        <w:keepNext/>
        <w:widowControl/>
        <w:rPr/>
      </w:pPr>
      <w:r>
        <w:rPr/>
        <w:t>Article 31-B.8: Panel Process and Determination</w:t>
      </w:r>
      <w:bookmarkEnd w:id="1289"/>
    </w:p>
    <w:p>
      <w:pPr>
        <w:pStyle w:val="Normal"/>
        <w:widowControl/>
        <w:rPr/>
      </w:pPr>
      <w:r>
        <w:rPr/>
        <w:t>1. The panel shall make a determination, consistent with paragraphs 5, 7, and 8 of Article 31.13 (Function of Panels), as to whether there is a Denial of Rights within:</w:t>
      </w:r>
    </w:p>
    <w:p>
      <w:pPr>
        <w:pStyle w:val="Normal"/>
        <w:widowControl/>
        <w:rPr/>
      </w:pPr>
      <w:r>
        <w:rPr/>
        <w:t>(a) 30 days after conducting a verification; or (b) 30 days after it is constituted if there has not been a verification. 2. Before making its determination, the panel shall provide both Parties an opportunity to be heard.</w:t>
      </w:r>
    </w:p>
    <w:p>
      <w:pPr>
        <w:pStyle w:val="Normal"/>
        <w:widowControl/>
        <w:rPr/>
      </w:pPr>
      <w:r>
        <w:rPr/>
        <w:t>3. In making its determination, the panel shall take the respondent Party’s refusal to allow a verification into account.</w:t>
      </w:r>
    </w:p>
    <w:p>
      <w:pPr>
        <w:pStyle w:val="Normal"/>
        <w:widowControl/>
        <w:rPr/>
      </w:pPr>
      <w:r>
        <w:rPr/>
        <w:t>4. If the respondent Party so requests, the panel shall include a recommendation on a course of remediation if the panel determines there is a Denial of Rights. The panel shall also provide its views on the severity of any denial of rights and, to the extent possible, identify the person or persons responsible for the Denial of Rights.</w:t>
      </w:r>
    </w:p>
    <w:p>
      <w:pPr>
        <w:pStyle w:val="Normal"/>
        <w:widowControl/>
        <w:rPr/>
      </w:pPr>
      <w:r>
        <w:rPr/>
        <w:t>5. The panel’s determination shall be in writing and shall be made public.</w:t>
      </w:r>
    </w:p>
    <w:p>
      <w:bookmarkStart w:id="1290" w:name="_NAESTMA_TOC_1290"/>
      <w:pPr>
        <w:pStyle w:val="Heading2"/>
        <w:keepNext/>
        <w:widowControl/>
        <w:rPr/>
      </w:pPr>
      <w:r>
        <w:rPr/>
        <w:t>Article 31-B.9: Consultations and Remediation</w:t>
      </w:r>
      <w:bookmarkEnd w:id="1290"/>
    </w:p>
    <w:p>
      <w:pPr>
        <w:pStyle w:val="Normal"/>
        <w:widowControl/>
        <w:rPr/>
      </w:pPr>
      <w:r>
        <w:rPr/>
        <w:t>After receipt of a determination by a panel that there has been a Denial of Rights, the complainant Party may impose remedies after providing written notice to the respondent Party at least 5 business days in advance. A respondent Party can request that consultations be held during that 5 day period.</w:t>
      </w:r>
    </w:p>
    <w:p>
      <w:bookmarkStart w:id="1291" w:name="_NAESTMA_TOC_1291"/>
      <w:pPr>
        <w:pStyle w:val="Heading2"/>
        <w:keepNext/>
        <w:widowControl/>
        <w:rPr/>
      </w:pPr>
      <w:r>
        <w:rPr/>
        <w:t>Article 31-B.10: Remedies</w:t>
      </w:r>
      <w:bookmarkEnd w:id="1291"/>
    </w:p>
    <w:p>
      <w:pPr>
        <w:pStyle w:val="Normal"/>
        <w:widowControl/>
        <w:rPr/>
      </w:pPr>
      <w:r>
        <w:rPr/>
        <w:t>1. Once the conditions precedent to the imposition of remedies have been met, the complainant Party may impose remedies that are the most appropriate to remedy the Denial of Rights. The complainant Party shall select a remedy pursuant to paragraph 2 that is proportional to the severity of the Denial of Rights and shall take the panel’s views on the severity of the Denial of Rights into account when selecting such remedies.</w:t>
      </w:r>
    </w:p>
    <w:p>
      <w:pPr>
        <w:pStyle w:val="Normal"/>
        <w:widowControl/>
        <w:rPr/>
      </w:pPr>
      <w:r>
        <w:rPr/>
        <w:t>2. Remedies may include suspension of preferential tariff treatment for goods manufactured at the Covered Facility or the imposition of penalties on goods manufactured at or services provided by the Covered Facility.</w:t>
      </w:r>
    </w:p>
    <w:p>
      <w:pPr>
        <w:pStyle w:val="Normal"/>
        <w:widowControl/>
        <w:rPr/>
      </w:pPr>
      <w:r>
        <w:rPr/>
        <w:t>3. In cases where a Covered Facility or a Covered Facility owned or controlled by the same person producing the same or related goods or providing the same or related services has received a prior Denial of Rights determination, remedies may include suspension of preferential tariff treatment for such goods; or the imposition of penalties on such goods or services.</w:t>
      </w:r>
    </w:p>
    <w:p>
      <w:pPr>
        <w:pStyle w:val="Normal"/>
        <w:widowControl/>
        <w:rPr/>
      </w:pPr>
      <w:r>
        <w:rPr/>
        <w:t>4. In cases where a Covered Facility or a Covered Facility owned or controlled by the same person producing the same or related goods or providing the same or related services has received a prior Denial of Rights determination on at least two occasions, remedies may include suspension of preferential tariff treatment for such goods; the imposition of penalties on such goods or services; or the denial of entry of such goods.</w:t>
      </w:r>
    </w:p>
    <w:p>
      <w:pPr>
        <w:pStyle w:val="Normal"/>
        <w:widowControl/>
        <w:rPr/>
      </w:pPr>
      <w:r>
        <w:rPr/>
        <w:t>5. After the imposition of remedies, the Parties shall continue to consult on an ongoing basis in order to ensure the prompt remediation of the Denial of Rights and the removal of remedies.</w:t>
      </w:r>
    </w:p>
    <w:p>
      <w:pPr>
        <w:pStyle w:val="Normal"/>
        <w:widowControl/>
        <w:rPr/>
      </w:pPr>
      <w:r>
        <w:rPr/>
        <w:t>6. If, as a result of those ongoing consultations, the Parties reach agreement that the Denial of Rights has been remediated, the complainant Party shall remove all remedies immediately. If the Parties are in disagreement as to whether the Denial of Rights has been remediated, the respondent Party may request an opportunity to demonstrate to the panel that it has taken action to remediate the Denial of Rights. The panel shall make a new determination within 30 days after receipt of the respondent Party’s request, consistent with the procedures set out in Article 31-B.8. The complainant Party may request a new verification consistent with the procedures set out in Article 31-B.7.</w:t>
      </w:r>
    </w:p>
    <w:p>
      <w:pPr>
        <w:pStyle w:val="Normal"/>
        <w:widowControl/>
        <w:rPr/>
      </w:pPr>
      <w:r>
        <w:rPr/>
        <w:t>7. If the panel determines that the Denial of Rights has not been remediated, the respondent Party may not request another determination for 180 days, and any remedies shall remain in place until the Parties agree that remediation has occurred or a panel determines that the Denial of Rights has been remediated.</w:t>
      </w:r>
    </w:p>
    <w:p>
      <w:bookmarkStart w:id="1292" w:name="_NAESTMA_TOC_1292"/>
      <w:pPr>
        <w:pStyle w:val="Heading2"/>
        <w:keepNext/>
        <w:widowControl/>
        <w:rPr/>
      </w:pPr>
      <w:r>
        <w:rPr/>
        <w:t>Article 31-B.11: Good Faith Use of the Mechanism</w:t>
      </w:r>
      <w:bookmarkEnd w:id="1292"/>
    </w:p>
    <w:p>
      <w:pPr>
        <w:pStyle w:val="Normal"/>
        <w:widowControl/>
        <w:rPr/>
      </w:pPr>
      <w:r>
        <w:rPr/>
        <w:t>If one Party considers that the other has not acted in good faith in its use of this Mechanism, either with regard to an invocation of the Mechanism itself or an imposition of remedies that are excessive in light of the severity of the Denial of Rights found by the panel, that Party may have recourse to the dispute settlement mechanism under Chapter 31 (Dispute Settlement). If a dispute settlement panel finds that a Party did not act in good faith in its use of this Mechanism, within 45 days from receipt of the final panel report under Article 31.17.5 (Panel Report), the Parties shall endeavor to agree to the resolution of the dispute. If the Parties are unable to resolve the dispute, the complainant Party may elect either to prevent the responding Party from using this Mechanism for a period of two years or another remedy permitted under Chapter 31 (Dispute Settlement).</w:t>
      </w:r>
    </w:p>
    <w:p>
      <w:bookmarkStart w:id="1293" w:name="_NAESTMA_TOC_1293"/>
      <w:pPr>
        <w:pStyle w:val="Heading2"/>
        <w:keepNext/>
        <w:widowControl/>
        <w:rPr/>
      </w:pPr>
      <w:r>
        <w:rPr/>
        <w:t>Article 31-B.12: Expansion of Claims</w:t>
      </w:r>
      <w:bookmarkEnd w:id="1293"/>
    </w:p>
    <w:p>
      <w:pPr>
        <w:pStyle w:val="Normal"/>
        <w:widowControl/>
        <w:rPr/>
      </w:pPr>
      <w:r>
        <w:rPr/>
        <w:t>In recognition of the importance of ensuring full compliance with the Labor Chapter; the commitment of the Parties to trade only in goods produced in compliance with such Chapter; if one of the Parties is found to have breached its obligations under Article 23.3 (Labor Rights) or Article 23.5 (Enforcement of Labor Laws) by a panel established under Article 31.6 (Establishment of a Panel), the complainant Party in that case may use this Mechanism with regard to the relevant law or laws at issue in that dispute for a period of two years or until the conclusion of the next joint review under Article 34.7 (Review and Term Extension), whichever is later.</w:t>
      </w:r>
    </w:p>
    <w:p>
      <w:bookmarkStart w:id="1294" w:name="_NAESTMA_TOC_1294"/>
      <w:pPr>
        <w:pStyle w:val="Heading2"/>
        <w:keepNext/>
        <w:widowControl/>
        <w:rPr/>
      </w:pPr>
      <w:r>
        <w:rPr/>
        <w:t>Article 31-B.13: Review of Priority Sectors</w:t>
      </w:r>
      <w:bookmarkEnd w:id="1294"/>
    </w:p>
    <w:p>
      <w:pPr>
        <w:pStyle w:val="Normal"/>
        <w:widowControl/>
        <w:rPr/>
      </w:pPr>
      <w:r>
        <w:rPr/>
        <w:t>The Parties shall review the list of priority sectors on an annual basis and determine whether to add any sectors to the list.</w:t>
      </w:r>
    </w:p>
    <w:p>
      <w:bookmarkStart w:id="1295" w:name="_NAESTMA_TOC_1295"/>
      <w:pPr>
        <w:pStyle w:val="Heading2"/>
        <w:keepNext/>
        <w:widowControl/>
        <w:rPr/>
      </w:pPr>
      <w:r>
        <w:rPr/>
        <w:t>Article 31-B.14: Cooperation to Promote Compliance</w:t>
      </w:r>
      <w:bookmarkEnd w:id="1295"/>
    </w:p>
    <w:p>
      <w:pPr>
        <w:pStyle w:val="Normal"/>
        <w:widowControl/>
        <w:rPr/>
      </w:pPr>
      <w:r>
        <w:rPr/>
        <w:t>Each Party shall cooperate with, and support efforts by, Covered Facilities to operate in a way to avoid a determination of a Denial of Rights.</w:t>
      </w:r>
    </w:p>
    <w:p>
      <w:bookmarkStart w:id="1296" w:name="_NAESTMA_TOC_1296"/>
      <w:pPr>
        <w:pStyle w:val="Heading2"/>
        <w:keepNext/>
        <w:widowControl/>
        <w:rPr/>
      </w:pPr>
      <w:r>
        <w:rPr/>
        <w:t>Article 31-B.15: Definitions</w:t>
      </w:r>
      <w:bookmarkEnd w:id="1296"/>
    </w:p>
    <w:p>
      <w:pPr>
        <w:pStyle w:val="Normal"/>
        <w:widowControl/>
        <w:rPr/>
      </w:pPr>
      <w:r>
        <w:rPr/>
        <w:t>For the purposes of this Annex:</w:t>
      </w:r>
    </w:p>
    <w:p>
      <w:pPr>
        <w:pStyle w:val="Normal"/>
        <w:widowControl/>
        <w:rPr/>
      </w:pPr>
      <w:r>
        <w:rPr/>
        <w:t>Covered Facilitymeans a facility in the territory of a Party that:</w:t>
      </w:r>
    </w:p>
    <w:p>
      <w:pPr>
        <w:pStyle w:val="Normal"/>
        <w:widowControl/>
        <w:rPr/>
      </w:pPr>
      <w:r>
        <w:rPr/>
        <w:t>(i) produces a good or supplies a service traded between the Parties; or (ii) produces a good or supplies a service that competes in the territory of a Party with a good or a service of the other Party, and is a facility in a Priority Sector;</w:t>
      </w:r>
    </w:p>
    <w:p>
      <w:pPr>
        <w:pStyle w:val="Normal"/>
        <w:widowControl/>
        <w:rPr/>
      </w:pPr>
      <w:r>
        <w:rPr/>
        <w:t>Party or Parties means Mexico and Canada singly or collectively;</w:t>
      </w:r>
    </w:p>
    <w:p>
      <w:pPr>
        <w:pStyle w:val="Normal"/>
        <w:widowControl/>
        <w:rPr/>
      </w:pPr>
      <w:r>
        <w:rPr/>
        <w:t>Priority Sector means a sector that produces manufactured goods,Note de bas de page10 supplies services, or involves mining.”.</w:t>
      </w:r>
    </w:p>
    <w:p>
      <w:pPr>
        <w:pStyle w:val="Normal"/>
        <w:widowControl/>
        <w:rPr/>
      </w:pPr>
      <w:r>
        <w:rPr/>
        <w:t>This Protocol shall enter into force on the date on which the Agreement enters into force.</w:t>
      </w:r>
    </w:p>
    <w:p>
      <w:pPr>
        <w:pStyle w:val="Normal"/>
        <w:widowControl/>
        <w:rPr/>
      </w:pPr>
      <w:r>
        <w:rPr/>
        <w:t>The English, French, and Spanish texts of this Protocol are equally authentic.</w:t>
      </w:r>
    </w:p>
    <w:p>
      <w:pPr>
        <w:pStyle w:val="Normal"/>
        <w:widowControl/>
        <w:rPr/>
      </w:pPr>
      <w:r>
        <w:rPr/>
        <w:t>IN WITNESS WHEREOF, the undersigned, being duly authorized by their respective Governments, have signed this Protocol.</w:t>
      </w:r>
    </w:p>
    <w:p>
      <w:pPr>
        <w:pStyle w:val="Normal"/>
        <w:widowControl/>
        <w:rPr/>
      </w:pPr>
      <w:r>
        <w:rPr/>
        <w:t>DONE in triplicate at</w:t>
      </w:r>
    </w:p>
    <w:p>
      <w:pPr>
        <w:pStyle w:val="Normal"/>
        <w:widowControl/>
        <w:rPr/>
      </w:pPr>
      <w:r>
        <w:rPr/>
        <w:t>Mexico City, Mexico, on December 10, 2019.</w:t>
      </w:r>
    </w:p>
    <w:p>
      <w:pPr>
        <w:pStyle w:val="Normal"/>
        <w:widowControl/>
        <w:rPr/>
      </w:pPr>
      <w:r>
        <w:rPr/>
        <w:t>_____________________________________</w:t>
      </w:r>
    </w:p>
    <w:p>
      <w:pPr>
        <w:pStyle w:val="Normal"/>
        <w:widowControl/>
        <w:rPr/>
      </w:pPr>
      <w:r>
        <w:rPr/>
        <w:t>Robert E. Lighthizer</w:t>
      </w:r>
    </w:p>
    <w:p>
      <w:pPr>
        <w:pStyle w:val="Normal"/>
        <w:widowControl/>
        <w:rPr/>
      </w:pPr>
      <w:r>
        <w:rPr/>
        <w:t>United States Trade Representative</w:t>
      </w:r>
    </w:p>
    <w:p>
      <w:pPr>
        <w:pStyle w:val="Normal"/>
        <w:widowControl/>
        <w:rPr/>
      </w:pPr>
      <w:r>
        <w:rPr/>
        <w:t>FOR THE GOVERNMENT OF THE UNITED STATES OF AMERICA</w:t>
      </w:r>
    </w:p>
    <w:p>
      <w:pPr>
        <w:pStyle w:val="Normal"/>
        <w:widowControl/>
        <w:rPr/>
      </w:pPr>
      <w:r>
        <w:rPr/>
        <w:t>_____________________________________</w:t>
      </w:r>
    </w:p>
    <w:p>
      <w:pPr>
        <w:pStyle w:val="Normal"/>
        <w:widowControl/>
        <w:rPr/>
      </w:pPr>
      <w:r>
        <w:rPr/>
        <w:t>Chrystia Freeland</w:t>
      </w:r>
    </w:p>
    <w:p>
      <w:pPr>
        <w:pStyle w:val="Normal"/>
        <w:widowControl/>
        <w:rPr/>
      </w:pPr>
      <w:r>
        <w:rPr/>
        <w:t>Deputy Prime Minister and Minister of Intergovernmental Affairs</w:t>
      </w:r>
    </w:p>
    <w:p>
      <w:pPr>
        <w:pStyle w:val="Normal"/>
        <w:widowControl/>
        <w:rPr/>
      </w:pPr>
      <w:r>
        <w:rPr/>
        <w:t>FOR THE GOVERNMENT OF CANADA</w:t>
      </w:r>
    </w:p>
    <w:p>
      <w:pPr>
        <w:pStyle w:val="Normal"/>
        <w:widowControl/>
        <w:rPr/>
      </w:pPr>
      <w:r>
        <w:rPr/>
        <w:t>_____________________________________</w:t>
      </w:r>
    </w:p>
    <w:p>
      <w:pPr>
        <w:pStyle w:val="Normal"/>
        <w:widowControl/>
        <w:rPr/>
      </w:pPr>
      <w:r>
        <w:rPr/>
        <w:t>Jesús Seade Kuri</w:t>
      </w:r>
    </w:p>
    <w:p>
      <w:pPr>
        <w:pStyle w:val="Normal"/>
        <w:widowControl/>
        <w:rPr/>
      </w:pPr>
      <w:r>
        <w:rPr/>
        <w:t>Under Secretary for North America and Chief Trade Negotiator for North America</w:t>
      </w:r>
    </w:p>
    <w:p>
      <w:pPr>
        <w:pStyle w:val="Normal"/>
        <w:widowControl/>
        <w:rPr/>
      </w:pPr>
      <w:r>
        <w:rPr/>
        <w:t>FOR THE GOVERNMENT OF THE UNITED MEXICAN STATES</w:t>
      </w:r>
    </w:p>
    <w:p>
      <w:pPr>
        <w:pStyle w:val="Normal"/>
        <w:widowControl/>
        <w:rPr/>
      </w:pPr>
      <w:r>
        <w:rPr/>
        <w:t>Footnotes</w:t>
      </w:r>
    </w:p>
    <w:p>
      <w:pPr>
        <w:pStyle w:val="Normal"/>
        <w:widowControl/>
        <w:rPr/>
      </w:pPr>
      <w:r>
        <w:rPr/>
        <w:t>Footnote 1 For the purposes of this paragraph, (1) “covered agreements” shall encompass the multilateral environmental agreements provided herein and those existing or future protocols, amendments, annexes, and adjustments under the relevant agreement to which the Party is party; and (2) a Party’s “obligations” shall be interpreted to reflect, inter alia, existing and future reservations, exemptions, and exceptions applicable to it under the relevant agreement.</w:t>
      </w:r>
    </w:p>
    <w:p>
      <w:pPr>
        <w:pStyle w:val="Normal"/>
        <w:widowControl/>
        <w:rPr/>
      </w:pPr>
      <w:r>
        <w:rPr/>
        <w:t>Footnote 2 Effective rewards may include providing a period of marketing exclusivity to the first applicant that successfully asserts the invalidity or non-infringement of the patent in accordance with the Party’s marketing approval process.</w:t>
      </w:r>
    </w:p>
    <w:p>
      <w:pPr>
        <w:pStyle w:val="Normal"/>
        <w:widowControl/>
        <w:rPr/>
      </w:pPr>
      <w:r>
        <w:rPr/>
        <w:t>Footnote 3 For purposes of this paragraph: (1) “covered agreements” shall encompass the multilateral environmental agreements provided herein and those existing or future protocols, amendments, annexes, and adjustments under the relevant agreement to which the Party is party; and (2) a Party’s “obligations” shall be interpreted to reflect, inter alia, existing and future reservations, exemptions, and exceptions applicable to it under the relevant agreement.</w:t>
      </w:r>
    </w:p>
    <w:p>
      <w:pPr>
        <w:pStyle w:val="Normal"/>
        <w:widowControl/>
        <w:rPr/>
      </w:pPr>
      <w:r>
        <w:rPr/>
        <w:t>Footnote 4 With respect to the United States, a claim can be brought only with respect to an alleged Denial of Rights owed to workers at a covered facility under an enforced order of the National Labor Relations Board. With respect to Mexico, a claim can be brought only with respect to an alleged Denial of Rights under legislation that complies with Annex 23-A (Worker Representation in Collective Bargaining in Mexico).</w:t>
      </w:r>
    </w:p>
    <w:p>
      <w:pPr>
        <w:pStyle w:val="Normal"/>
        <w:widowControl/>
        <w:rPr/>
      </w:pPr>
      <w:r>
        <w:rPr/>
        <w:t>Footnote 5 The United States intends to establish such a domestic process under which the United States government will strive to complete initial reviews of complaints received by the government about a Covered Facility in the other Party in 30 days.</w:t>
      </w:r>
    </w:p>
    <w:p>
      <w:pPr>
        <w:pStyle w:val="Normal"/>
        <w:widowControl/>
        <w:rPr/>
      </w:pPr>
      <w:r>
        <w:rPr/>
        <w:t>Footnote 6 For greater certainty, manufactured goods include, but are not limited to, aerospace products and components, autos and auto parts, cosmetic products, industrial baked goods, steel and aluminum, glass, pottery, plastic, forgings, and cement.</w:t>
      </w:r>
    </w:p>
    <w:p>
      <w:pPr>
        <w:pStyle w:val="Normal"/>
        <w:widowControl/>
        <w:rPr/>
      </w:pPr>
      <w:r>
        <w:rPr/>
        <w:t>Footnote 7 With respect to Canada, a claim can be brought only with respect to an alleged Denial of Rights owed to workers at a covered facility under an enforced order of the Canada Industrial Relations Board. With respect to Mexico, a claim can be brought only with respect to an alleged Denial of Rights under legislation that complies with Annex 23-A (Worker Representation in Collective Bargaining in Mexico).</w:t>
      </w:r>
    </w:p>
    <w:p>
      <w:pPr>
        <w:pStyle w:val="Normal"/>
        <w:widowControl/>
        <w:rPr/>
      </w:pPr>
      <w:r>
        <w:rPr/>
        <w:t>Footnote 8 Canada intends to establish such a domestic process under which the Canadian government will strive to complete initial reviews of complaints received by the government about a Covered Facility in the other Party in 30 days.</w:t>
      </w:r>
    </w:p>
    <w:p>
      <w:pPr>
        <w:pStyle w:val="Normal"/>
        <w:widowControl/>
        <w:rPr/>
      </w:pPr>
      <w:r>
        <w:rPr/>
        <w:t>Footnote 9 For Canada, this paragraph will be applied with the necessary changes to conform with Canadian law.</w:t>
      </w:r>
    </w:p>
    <w:p>
      <w:pPr>
        <w:pStyle w:val="Normal"/>
        <w:widowControl/>
        <w:rPr/>
      </w:pPr>
      <w:r>
        <w:rPr/>
        <w:t>Footnote 10 For greater certainty, manufactured goods include, but are not limited to, aerospace products and components, autos and auto parts, cosmetic products, industrial baked goods, steel and aluminum, glass, pottery, plastic, forgings, and cement.</w:t>
      </w:r>
    </w:p>
    <w:p>
      <w:pPr>
        <w:pStyle w:val="Heading3"/>
        <w:keepNext/>
        <w:widowControl/>
        <w:rPr/>
      </w:pPr>
      <w:r>
        <w:rPr/>
        <w:t>PART B — CANADA–UNITED STATES ENERGY REGULATORY MEASURES AND REGULATORY TRANSPARENCY</w:t>
      </w:r>
    </w:p>
    <w:p>
      <w:pPr>
        <w:pStyle w:val="Normal"/>
        <w:widowControl/>
        <w:rPr/>
      </w:pPr>
      <w:r>
        <w:rPr/>
        <w:t>ANNEX</w:t>
      </w:r>
    </w:p>
    <w:p>
      <w:pPr>
        <w:pStyle w:val="Normal"/>
        <w:widowControl/>
        <w:rPr/>
      </w:pPr>
      <w:r>
        <w:rPr/>
        <w:t>ENERGY REGULATORY MEASURES AND REGULATORY TRANSPARENCY</w:t>
      </w:r>
    </w:p>
    <w:p>
      <w:pPr>
        <w:pStyle w:val="Normal"/>
        <w:keepNext w:val="true"/>
        <w:widowControl/>
        <w:rPr/>
      </w:pPr>
      <w:r>
        <w:rPr/>
        <w:t>Article 1: Definitions</w:t>
      </w:r>
    </w:p>
    <w:p>
      <w:pPr>
        <w:pStyle w:val="Normal"/>
        <w:widowControl/>
        <w:rPr/>
      </w:pPr>
      <w:r>
        <w:rPr/>
        <w:t>For the purposes of this Annex: authorization means a permission, license or similar administrative or contractual instrument by which a competent regulatory authority of a Party entitles a person to exercise a certain economic activity in its territory; electric transmission facility means a transmission element that is operated at 100kV or higher, or real power and reactive power resources connected at 100kV or higher, that are subject to an energy regulatory authority of a Party’s central level of government with respect to tolls, rates, or charges for services provided over those elements. These transmission elements do not include facilities used in the local distribution of electric energy; energy regulatory measure means a measure adopted or maintained by a Party’s central level of government that directly affects the exploration for, or production, storage,1 transportation, transmission or distribution, purchase or sale, import or export of oil,2 natural gas, hydrocarbon gas liquids, coal, electricity, refined petroleum products, biofuels, and uranium, but does not include measures related to energy efficiency; monetary payment means a payment, in cash or its equivalent in kind, required by law or regulation to be made by a person to a Party’s central level of government in connection with an application for or authorization to participate in energy-related activities in its territory; Party refers to the United States or Canada;</w:t>
      </w:r>
    </w:p>
    <w:p>
      <w:pPr>
        <w:pStyle w:val="Normal"/>
        <w:widowControl/>
        <w:rPr/>
      </w:pPr>
      <w:r>
        <w:rPr/>
        <w:t>pipeline network means a line transporting oil, natural gas, refined petroleum products or hydrocarbon gas liquids in a Party’s territory, or across sub-national or international boundaries, and includes associated facilities such as pumps and other compressor stations and storage tanks regulated by an energy regulatory authority of the Party; renewable energy means energy derived from natural processes that are replenished at a higher rate than they are consumed. They are virtually inexhaustible. Renewable energy resources 1 For greater certainty, storage does not include reservoir water levels for hydro-electric dams. 2 For greater certainty, oil includes crude oil, bitumen, condensates, and other oil-derived fuels.</w:t>
      </w:r>
    </w:p>
    <w:p>
      <w:pPr>
        <w:pStyle w:val="Normal"/>
        <w:widowControl/>
        <w:rPr/>
      </w:pPr>
      <w:r>
        <w:rPr/>
        <w:t>include biomass, waste carbon streams, hydro, geothermal, solar, wind, ocean thermal, wave action, and tidal action. Renewable energy also includes renewable fuels and renewable fuel blending components in petroleum-based fuels, such as renewable diesel fuel, fuel ethanol, and advanced and cellulosic biofuels, produced from renewable biomass; and unduly discriminatory or unduly preferential means differential treatment of like products, or differential treatment of service suppliers, investors, or investments in like circumstances, that constitute arbitrary or unjustifiable discrimination within the meaning of Article XX of the GATT 1994 and its interpretive notes or Article XIV of GATS, as applicable.</w:t>
      </w:r>
    </w:p>
    <w:p>
      <w:pPr>
        <w:pStyle w:val="Normal"/>
        <w:keepNext w:val="true"/>
        <w:widowControl/>
        <w:rPr/>
      </w:pPr>
      <w:r>
        <w:rPr/>
        <w:t>Article 2: Scope</w:t>
      </w:r>
    </w:p>
    <w:p>
      <w:pPr>
        <w:pStyle w:val="Normal"/>
        <w:widowControl/>
        <w:rPr/>
      </w:pPr>
      <w:r>
        <w:rPr/>
        <w:t>This Annex applies to energy regulatory measures proposed, maintained, or adopted by a Party’s central level of government.</w:t>
      </w:r>
    </w:p>
    <w:p>
      <w:pPr>
        <w:pStyle w:val="Normal"/>
        <w:keepNext w:val="true"/>
        <w:widowControl/>
        <w:rPr/>
      </w:pPr>
      <w:r>
        <w:rPr/>
        <w:t>Article 3: Cooperation</w:t>
      </w:r>
    </w:p>
    <w:p>
      <w:pPr>
        <w:pStyle w:val="Normal"/>
        <w:widowControl/>
        <w:rPr/>
      </w:pPr>
      <w:r>
        <w:rPr/>
        <w:t>The Parties recognize the importance of enhancing the integration of North American energy markets based on market principles, including open trade and investment among the Parties, to support North American energy competitiveness, security, and independence. The Parties shall endeavor to promote North American energy cooperation, including with respect to energy security and efficiency, standards, joint analysis, and the development of common approaches.</w:t>
      </w:r>
    </w:p>
    <w:p>
      <w:pPr>
        <w:pStyle w:val="Normal"/>
        <w:keepNext w:val="true"/>
        <w:widowControl/>
        <w:rPr/>
      </w:pPr>
      <w:r>
        <w:rPr/>
        <w:t>Article 4: Energy Regulatory Measures and Regulatory Transparency</w:t>
      </w:r>
    </w:p>
    <w:p>
      <w:pPr>
        <w:pStyle w:val="Normal"/>
        <w:widowControl/>
        <w:rPr/>
      </w:pPr>
      <w:r>
        <w:rPr/>
        <w:t>1. Each Party shall maintain or establish regulatory authorities that are separate from, and not accountable to, persons subject to energy regulatory measures. 2. Each Party shall endeavor to ensure that in the application of a energy regulatory measure, a energy regulatory authority within its territory avoids disruption of contractual relationships to the maximum extent practicable, supports North American energy market integration, and provides for orderly and equitable implementation appropriate to those measures.3 3 This paragraph does not apply to a measure related exclusively to the protection of human health or the environment.</w:t>
      </w:r>
    </w:p>
    <w:p>
      <w:pPr>
        <w:pStyle w:val="Normal"/>
        <w:widowControl/>
        <w:rPr/>
      </w:pPr>
      <w:r>
        <w:rPr/>
        <w:t>3. A Party may require an authorization to participate in energy-related activities in its territory. 4. If a Party requires an authorization referred to in paragraph 3, it shall ensure that information prescribed in its law relevant to the authorization process is published, including: (a) the process for applying; (b) any monetary payment associated with the application; (c) the regulatory authority to which an application or other relevant documentation must be submitted; (d) criteria an applicant must meet to obtain an authorization; (e) criteria to be considered in determining if an authorization should be granted; (f) applicable timelines; and (g) a contact point from which applicants can obtain further information on their application for an authorization. 5. Each Party shall endeavor to administer its process for obtaining an authorization referred to in paragraph 3 in accordance with the information published pursuant to paragraph 4. 6. Each Party shall endeavor to ensure that energy-related activities that do not result in a facility exceeding its previously authorized capacity and that are limited to performing maintenance work on, or ensuring the safety of, existing cross-border infrastructure may be undertaken under the initial authorization and shall not require a new authorization. 7. A Party may require a person that has been granted an authorization referred to in paragraph 3 to make a reasonable monetary payment. Each Party shall ensure that the monetary</w:t>
      </w:r>
    </w:p>
    <w:p>
      <w:pPr>
        <w:pStyle w:val="Normal"/>
        <w:widowControl/>
        <w:rPr/>
      </w:pPr>
      <w:r>
        <w:rPr/>
        <w:t>payment and any changes to it are determined in a transparent manner with reasonable advance notice so as to provide legal certainty for the person which has been granted that authorization, in accordance with the applicable law of the authorizing Party. If recovery of administrative costs is provided for in the Party’s law, these costs do not have to be determined in advance.</w:t>
      </w:r>
    </w:p>
    <w:p>
      <w:pPr>
        <w:pStyle w:val="Normal"/>
        <w:widowControl/>
        <w:rPr/>
      </w:pPr>
      <w:r>
        <w:rPr/>
        <w:t>8. Each Party shall provide that the applicant for an authorization referred to in paragraph 3 has a right of appeal or judicial review of the decision concerning the authorization by an authority independent from the authority that issued the decision, in accordance with its law. 4</w:t>
      </w:r>
    </w:p>
    <w:p>
      <w:pPr>
        <w:pStyle w:val="Normal"/>
        <w:keepNext w:val="true"/>
        <w:widowControl/>
        <w:rPr/>
      </w:pPr>
      <w:r>
        <w:rPr/>
        <w:t>Article 5: Access to Electric Transmission Facilities and Pipeline Networks</w:t>
      </w:r>
    </w:p>
    <w:p>
      <w:pPr>
        <w:pStyle w:val="Normal"/>
        <w:widowControl/>
        <w:rPr/>
      </w:pPr>
      <w:r>
        <w:rPr/>
        <w:t>1. Each Party shall ensure that a measure governing access to or use of electric transmission facilities and pipeline networks: (a) accords access to those facilities and pipeline networks for the purposes of importation from another Party, that is neither unduly discriminatory nor unduly preferential; and (b) to the extent that tolls, rates, or charges are set, assessed, approved, or subject to oversight by a Party, establish that any tolls, rates, or charges payable for that access are just, reasonable, and neither unduly discriminatory nor unduly preferential. 2. The United States shall ensure that the Intertie Access Policy of the Bonneville Power Administration affords British Columbia Hydro treatment no less favorable than the most favorable treatment afforded to utilities located outside the Pacific Northwest.</w:t>
      </w:r>
    </w:p>
    <w:p>
      <w:pPr>
        <w:pStyle w:val="Normal"/>
        <w:keepNext w:val="true"/>
        <w:widowControl/>
        <w:rPr/>
      </w:pPr>
      <w:r>
        <w:rPr/>
        <w:t>Article 6: Relation to other Chapters</w:t>
      </w:r>
    </w:p>
    <w:p>
      <w:pPr>
        <w:pStyle w:val="Normal"/>
        <w:widowControl/>
        <w:rPr/>
      </w:pPr>
      <w:r>
        <w:rPr/>
        <w:t>For greater certainty, Article 4 (Energy Regulatory Measures and Regulatory Transparency) and Article 5 (Access to Electric Transmission Facilities and Pipeline Networks) are: (a) subject to the relevant provisions, exceptions and non-conforming measures of Chapter 14 (Investment), Chapter 15 (Cross-Border Trade in Services) and Chapter 2 (National Treatment and Market Access for Goods), and Article 32.1 (General Exceptions) of the Agreement; and (b) to be read in conjunction with any other relevant provisions in the Agreement. 4 This paragraph does not apply to authorizations for the construction, connection, operation, or maintenance of cross-border infrastructure, including electric transmission facilities and pipeline networks, at international boundaries.</w:t>
      </w:r>
    </w:p>
    <w:p>
      <w:pPr>
        <w:pStyle w:val="Heading3"/>
        <w:keepNext/>
        <w:widowControl/>
        <w:rPr/>
      </w:pPr>
      <w:r>
        <w:rPr/>
        <w:t>PART C — CANADA–UNITED STATES NATURAL WATER RESOURCES UNDERSTANDING</w:t>
      </w:r>
    </w:p>
    <w:p>
      <w:pPr>
        <w:pStyle w:val="Normal"/>
        <w:widowControl/>
        <w:rPr/>
      </w:pPr>
      <w:r>
        <w:rPr/>
        <w:t>The Agreement Between the United States of America, the United Mexican States, and Canada (the Agreement) creates no rights to the natural water resources of a Party to the Agreement. Unless water, in any form, has entered into commerce and become a good or product, it is not covered by the provisions of the Agreement. Nothing in the Agreement would oblige a Party to exploit its water for commercial use, including its withdrawal, extraction, or diversion for export in bulk. International rights and obligations respecting natural water resources are addressed in separate treaties and agreements. An example is the Treaty between the United States and Great Britain Relating to the Boundary Waters and Questions Arising between the United States and Canada, done at Washington on January 11, 1909.</w:t>
      </w:r>
    </w:p>
    <w:p>
      <w:pPr>
        <w:pStyle w:val="Heading3"/>
        <w:keepNext/>
        <w:widowControl/>
        <w:rPr/>
      </w:pPr>
      <w:r>
        <w:rPr/>
        <w:t>PART D — CANADA–UNITED STATES 2004 RESEARCH AND DEVELOPMENT EXPENDITURES UNDERSTANDING</w:t>
      </w:r>
    </w:p>
    <w:p>
      <w:pPr>
        <w:pStyle w:val="Normal"/>
        <w:widowControl/>
        <w:rPr/>
      </w:pPr>
      <w:r>
        <w:rPr/>
        <w:t>The Guidelines for Research and Development Expenditures, 2004, would not be listed as a non-conforming measure in Canada’s reservation I-C-14. The United States confirms that Canada’s maintenance of the Guidelines for Research and Development Expenditures, 2004, will not serve as an impediment to the United States’ certification of the Agreement Between the United States of America, the United Mexican States, and Canada (the Agreement) under the Bipartisan Congressional Trade Priorities and Accountability Act of 2015. This confirmation is without prejudice to the United States’ or Canada’s position as to whether the Guidelines for Research and Development Expenditures, 2004, are consistent with the Agreement.</w:t>
      </w:r>
    </w:p>
    <w:p>
      <w:pPr>
        <w:pStyle w:val="Heading3"/>
        <w:keepNext/>
        <w:widowControl/>
        <w:rPr/>
      </w:pPr>
      <w:r>
        <w:rPr/>
        <w:t>PART E — AGREEMENT ON ENVIRONMENTAL COOPERATION (COMPANION AGREEMENT; REPRODUCED FOR OPERATIONAL COMPLETENESS)</w:t>
      </w:r>
    </w:p>
    <w:p>
      <w:pPr>
        <w:pStyle w:val="Normal"/>
        <w:widowControl/>
        <w:rPr/>
      </w:pPr>
      <w:r>
        <w:rPr/>
        <w:t>Agreement on Environmental Cooperation among the Governments of Canada, the United States of America, and the United Mexican States The Government of Canada, the Government of the United States of America, and the Government of the United Mexican States (collectively the “Parties”);</w:t>
      </w:r>
    </w:p>
    <w:p>
      <w:pPr>
        <w:pStyle w:val="Normal"/>
        <w:widowControl/>
        <w:rPr/>
      </w:pPr>
      <w:r>
        <w:rPr/>
        <w:t>CONVINCED of the importance of the conservation, protection and enhancement of the environment in their territories, together with the sustainable management and use of natural resources, in achieving sustainable development;</w:t>
      </w:r>
    </w:p>
    <w:p>
      <w:pPr>
        <w:pStyle w:val="Normal"/>
        <w:widowControl/>
        <w:rPr/>
      </w:pPr>
      <w:r>
        <w:rPr/>
        <w:t>RECOGNIZING the unique environmental, economic, and social links among them, including under the Agreement between Canada, the United States of America, and the United Mexican States (the CUSMA) and its environmental goals and objectives;</w:t>
      </w:r>
    </w:p>
    <w:p>
      <w:pPr>
        <w:pStyle w:val="Normal"/>
        <w:widowControl/>
        <w:rPr/>
      </w:pPr>
      <w:r>
        <w:rPr/>
        <w:t>EMPHASIZING the importance of green growth, including its economic, health and environmental benefits, in achieving a competitive and sustainable North American economy;</w:t>
      </w:r>
    </w:p>
    <w:p>
      <w:pPr>
        <w:pStyle w:val="Normal"/>
        <w:widowControl/>
        <w:rPr/>
      </w:pPr>
      <w:r>
        <w:rPr/>
        <w:t>RECALLING the importance of public participation that is inclusive and diverse;</w:t>
      </w:r>
    </w:p>
    <w:p>
      <w:pPr>
        <w:pStyle w:val="Normal"/>
        <w:widowControl/>
        <w:rPr/>
      </w:pPr>
      <w:r>
        <w:rPr/>
        <w:t>AFFIRMING the long history of environmental cooperation between the Parties under the North American Agreement on Environmental Cooperation, signed at Mexico City, Washington, D.C., and Ottawa, September 8, 9, 12, and 14, 1993, (the NAAEC) and expressing their desire to build on this engagement; and</w:t>
      </w:r>
    </w:p>
    <w:p>
      <w:pPr>
        <w:pStyle w:val="Normal"/>
        <w:widowControl/>
        <w:rPr/>
      </w:pPr>
      <w:r>
        <w:rPr/>
        <w:t>CONVINCED of the importance of the Commission for Environmental Cooperation (Commission) and of the benefits of a continued framework to facilitate environmental cooperation;</w:t>
      </w:r>
    </w:p>
    <w:p>
      <w:pPr>
        <w:pStyle w:val="Normal"/>
        <w:widowControl/>
        <w:rPr/>
      </w:pPr>
      <w:r>
        <w:rPr/>
        <w:t>Have agreed as follows:</w:t>
      </w:r>
    </w:p>
    <w:p>
      <w:pPr>
        <w:pStyle w:val="Normal"/>
        <w:widowControl/>
        <w:rPr/>
      </w:pPr>
      <w:r>
        <w:rPr/>
        <w:t>PART ONE: OBJECTIVES</w:t>
      </w:r>
    </w:p>
    <w:p>
      <w:pPr>
        <w:pStyle w:val="Normal"/>
        <w:keepNext w:val="true"/>
        <w:widowControl/>
        <w:rPr/>
      </w:pPr>
      <w:r>
        <w:rPr/>
        <w:t>Article 1: Objectives</w:t>
      </w:r>
    </w:p>
    <w:p>
      <w:pPr>
        <w:pStyle w:val="Normal"/>
        <w:widowControl/>
        <w:rPr/>
      </w:pPr>
      <w:r>
        <w:rPr/>
        <w:t>The objectives of this Agreement are to:</w:t>
      </w:r>
    </w:p>
    <w:p>
      <w:pPr>
        <w:pStyle w:val="Normal"/>
        <w:widowControl/>
        <w:rPr/>
      </w:pPr>
      <w:r>
        <w:rPr/>
        <w:t>(a) seek ways to modernize and enhance the effectiveness of environmental cooperation between the Parties, building upon their long history of environmental cooperation; (b) use environmental cooperation as a means to promote mutually supportive trade and environment policies, including by supporting implementation of the environmental goals and objectives of the CUSMA; (c) strengthen cooperation between the Parties to conserve, protect, and enhance the environment and address environmental challenges and priorities; (d) promote cooperation on and public participation in the development of environmental laws, regulations, procedures, policies, and practices; and (e) strengthen cooperation related to compliance with, and enforcement of, environmental laws and regulations.</w:t>
      </w:r>
    </w:p>
    <w:p>
      <w:pPr>
        <w:pStyle w:val="Normal"/>
        <w:widowControl/>
        <w:rPr/>
      </w:pPr>
      <w:r>
        <w:rPr/>
        <w:t>PART TWO: COMMISSION FOR ENVIRONMENTAL COOPERATION</w:t>
      </w:r>
    </w:p>
    <w:p>
      <w:pPr>
        <w:pStyle w:val="Normal"/>
        <w:keepNext w:val="true"/>
        <w:widowControl/>
        <w:rPr/>
      </w:pPr>
      <w:r>
        <w:rPr/>
        <w:t>Article 2: The Commission for Environmental Cooperation</w:t>
      </w:r>
    </w:p>
    <w:p>
      <w:pPr>
        <w:pStyle w:val="Normal"/>
        <w:widowControl/>
        <w:rPr/>
      </w:pPr>
      <w:r>
        <w:rPr/>
        <w:t>The Parties shall continue to participate in the Commission, originally established under the NAAEC. The Parties hereby agree to continue the operation of the Commission in accordance with this Agreement. The Commission shall comprise a Council, a Secretariat, and a Joint Public Advisory Committee. The Commission will continue to operate under the modalities in place as of entry into force of this Agreement, including its rules, policies, guidelines, procedures, and resolutions, to the extent these modalities are consistent with this Agreement. The Council shall adjust, as required, these modalities to reflect and implement the provisions of this Agreement. If there is an inconsistency between these modalities and the provisions of this Agreement, the provisions of this Agreement shall prevail. Any submission made pursuant to Article 14 of the NAAEC and not concluded as of entry into force of this Agreement shall continue in accordance with the procedures established under Articles 14 and 15 of the NAAEC, unless the Council decides otherwise.</w:t>
      </w:r>
    </w:p>
    <w:p>
      <w:pPr>
        <w:pStyle w:val="Normal"/>
        <w:keepNext w:val="true"/>
        <w:widowControl/>
        <w:rPr/>
      </w:pPr>
      <w:r>
        <w:rPr/>
        <w:t>Article 3: Council Structures and Procedures</w:t>
      </w:r>
    </w:p>
    <w:p>
      <w:pPr>
        <w:pStyle w:val="Normal"/>
        <w:widowControl/>
        <w:rPr/>
      </w:pPr>
      <w:r>
        <w:rPr/>
        <w:t>The Council shall comprise cabinet-level or equivalent representatives responsible for environmental affairs of the Parties, or their designees. Each Party shall designate an office or offices to carry out the work of the Council. The Council shall convene: (a) in regular session, held at least once a year, unless the Council decides otherwise; and (b) in a special session at the request of any Party. Regular sessions of the Council shall be chaired successively by each Party, rotating annually, and shall meet in the country of the representative that is chairing the Council, unless the Council decides otherwise. The Council shall hold public meetings in the course of all regular sessions. Other meetings held in the course of regular or special sessions shall be public where the Council so decides. The Council may also conduct its official work through other means, such as video conferences, conference calls, and electronically. The Council may: (a) establish and assign responsibilities to ad hoc or standing committees, working groups or expert groups; (b) seek the advice of non-governmental organizations or persons, including independent experts; and (c) take other action in the exercise of its functions as the Parties may decide. The Council shall take all decisions and recommendations by consensus, except as the Council may otherwise decide or as otherwise provided for in this Agreement.</w:t>
      </w:r>
    </w:p>
    <w:p>
      <w:pPr>
        <w:pStyle w:val="Normal"/>
        <w:widowControl/>
        <w:rPr/>
      </w:pPr>
      <w:r>
        <w:rPr/>
        <w:t>All decisions and recommendations of the Council shall be made publicly available, except as the Council may otherwise decide or as otherwise provided for in this Agreement.</w:t>
      </w:r>
    </w:p>
    <w:p>
      <w:pPr>
        <w:pStyle w:val="Normal"/>
        <w:keepNext w:val="true"/>
        <w:widowControl/>
        <w:rPr/>
      </w:pPr>
      <w:r>
        <w:rPr/>
        <w:t>Article 4: Council Functions</w:t>
      </w:r>
    </w:p>
    <w:p>
      <w:pPr>
        <w:pStyle w:val="Normal"/>
        <w:widowControl/>
        <w:rPr/>
      </w:pPr>
      <w:r>
        <w:rPr/>
        <w:t>The Council shall be the governing body of the Commission and shall: (a) serve as a forum for the discussion of, and collaboration on, environmental matters within the scope of this Agreement; (b) oversee the implementation of this Agreement and develop recommendations on the further elaboration of this Agreement; (c) oversee the Secretariat and direct and approve its activities; (d) address questions and differences that may arise between the Parties regarding the interpretation or application of this Agreement; (e) approve the annual budget of the Commission; (f) promote, facilitate, and provide guidance on how to enhance cooperation amongst the Parties with respect to environmental matters; (g) establish strategic priorities for cooperative activities; (h) develop and approve a Work Program, as described in Article 10, in accordance with strategic priorities established under sub-paragraph (g); (i) examine and evaluate cooperative activities; (j) consider and develop recommendations regarding transboundary and border environmental issues; (k) consider and develop recommendations on any other environmental topic as the Council may decide; (l) provide instruction to the Secretariat with respect to the preparation and publication of factual records in accordance with Article 24.28 (Factual Records and Related Cooperation) of the Environment Chapter of the CUSMA; (m) consider cooperation relevant to the topics addressed in factual records resulting from submissions on enforcement matters under the Environment Chapter of the CUSMA; and</w:t>
      </w:r>
    </w:p>
    <w:p>
      <w:pPr>
        <w:pStyle w:val="Normal"/>
        <w:widowControl/>
        <w:rPr/>
      </w:pPr>
      <w:r>
        <w:rPr/>
        <w:t>(n) promote the visibility of the Commission. The Council shall undertake a review of the implementation of this Agreement with a view to improving its operation and effectiveness within five years of the entry into force of this Agreement, and thereafter as decided by the Council. The Council may instruct the Secretariat to prepare a report on the state of the environment in North America. The Council may also develop recommendations on approaches and common indicators for such a report. In discharging its functions, the Council may periodically exchange information with the Environment Committee established under Article 24.26.2 (Environment Committee and Contact Points) of the Environment Chapter of the CUSMA. The Council may consider the input it receives from the Environment Committee regarding the implementation of that Chapter under Article 24.26.3(b). 5. The Parties recognize the importance of resource efficiency in the implementation of the Agreement and the desirability of using new technologies to facilitate the work of the Commission, including cooperative activities.</w:t>
      </w:r>
    </w:p>
    <w:p>
      <w:pPr>
        <w:pStyle w:val="Normal"/>
        <w:keepNext w:val="true"/>
        <w:widowControl/>
        <w:rPr/>
      </w:pPr>
      <w:r>
        <w:rPr/>
        <w:t>Article 5: Secretariat Structure and Procedures</w:t>
      </w:r>
    </w:p>
    <w:p>
      <w:pPr>
        <w:pStyle w:val="Normal"/>
        <w:widowControl/>
        <w:rPr/>
      </w:pPr>
      <w:r>
        <w:rPr/>
        <w:t>The Secretariat shall be headed by an Executive Director, chosen by the Council for a three-year term, which may be renewed by the Council. The Executive Director shall appoint and supervise the staff of the Secretariat, regulate their powers and duties, and fix their remuneration in accordance with rules of employment established by the Council. The rules of employment shall provide that: (a) staff shall be appointed and retained, and their conditions of employment shall be determined, strictly on the basis of efficiency, competence, and integrity; (b) due regard shall be paid to the importance of recruiting a diverse pool of applicants, including with respect to gender balance, and an equitable proportion of the professional staff from among the nationals of each Party; and (c) the Executive Director shall inform the Council of all appointments. The Council may decide, by a two-thirds vote, to reject any appointment that does not meet the rules of employment. Any such decision shall be made and held in confidence. The Secretariat shall provide technical, administrative, and operational support to the Council and to committees and groups established by the Council, and other support as the Council may direct. The Secretariat shall carry out the functions prescribed for it under Articles 24.27 (Submissions on Enforcement Matters) and 24.28 (Factual Records and Related Cooperation) of the Environment Chapter of the CUSMA.</w:t>
      </w:r>
    </w:p>
    <w:p>
      <w:pPr>
        <w:pStyle w:val="Normal"/>
        <w:widowControl/>
        <w:rPr/>
      </w:pPr>
      <w:r>
        <w:rPr/>
        <w:t>The Executive Director shall submit for the approval of the Council the annual budget of the Commission, including provision for proposed cooperative activities and for the Secretariat to respond to contingencies. The Secretariat shall coordinate and facilitate environmental cooperation between and among the Parties as directed by the Council.</w:t>
      </w:r>
    </w:p>
    <w:p>
      <w:pPr>
        <w:pStyle w:val="Normal"/>
        <w:keepNext w:val="true"/>
        <w:widowControl/>
        <w:rPr/>
      </w:pPr>
      <w:r>
        <w:rPr/>
        <w:t>Article 6: The Joint Public Advisory Committee</w:t>
      </w:r>
    </w:p>
    <w:p>
      <w:pPr>
        <w:pStyle w:val="Normal"/>
        <w:widowControl/>
        <w:rPr/>
      </w:pPr>
      <w:r>
        <w:rPr/>
        <w:t>The Joint Public Advisory Committee shall comprise nine members, unless the Council decides otherwise, with an equal number of nationals appointed by each Party. The Joint Public Advisory Committee shall choose its own chair. Each member shall have a four-year term with the possibility of an additional term decided by the Party appointing the member. Each Party shall seek to promote membership from a diverse pool of candidates, including with respect to gender balance, and considering representatives from all segments of each Party’s society, including non-governmental organizations, academia, the private sector, indigenous peoples, private citizens, and youth. The Joint Public Advisory Committee shall convene in person or by technological means as appropriate at the time of the regular session of the Council and at such other times as the Council, or the Committee’s chair with the consent of a majority of its members, may decide. The Joint Public Advisory Committee may provide advice to the Council on matters within the scope of this Agreement, and may perform such other functions as the Council may direct. The Joint Public Advisory Committee, in coordination with the Secretariat, shall help promote and enhance public participation in the implementation of this Agreement. The Joint Public Advisory Committee shall, in consultation with the Council, develop an annual plan of activities.</w:t>
      </w:r>
    </w:p>
    <w:p>
      <w:pPr>
        <w:pStyle w:val="Normal"/>
        <w:keepNext w:val="true"/>
        <w:widowControl/>
        <w:rPr/>
      </w:pPr>
      <w:r>
        <w:rPr/>
        <w:t>Article 7: Official Languages</w:t>
      </w:r>
    </w:p>
    <w:p>
      <w:pPr>
        <w:pStyle w:val="Normal"/>
        <w:widowControl/>
        <w:rPr/>
      </w:pPr>
      <w:r>
        <w:rPr/>
        <w:t>English, French, and Spanish shall be the official languages of the Commission.</w:t>
      </w:r>
    </w:p>
    <w:p>
      <w:pPr>
        <w:pStyle w:val="Normal"/>
        <w:keepNext w:val="true"/>
        <w:widowControl/>
        <w:rPr/>
      </w:pPr>
      <w:r>
        <w:rPr/>
        <w:t>Article 8: Annual Report of the Commission</w:t>
      </w:r>
    </w:p>
    <w:p>
      <w:pPr>
        <w:pStyle w:val="Normal"/>
        <w:widowControl/>
        <w:rPr/>
      </w:pPr>
      <w:r>
        <w:rPr/>
        <w:t>The Secretariat shall prepare an annual executive report to the Council on the activities of the Commission in accordance with instructions from the Council. This report shall be made publicly available. The report shall cover: (a) outcomes of cooperative activities during the previous year; (b) expenses of the Commission; (c) outcomes of Joint Public Advisory Committee activities; and (d) any other matter that the Council instructs the Secretariat to include.</w:t>
      </w:r>
    </w:p>
    <w:p>
      <w:pPr>
        <w:pStyle w:val="Normal"/>
        <w:widowControl/>
        <w:rPr/>
      </w:pPr>
      <w:r>
        <w:rPr/>
        <w:t>PART THREE: COOPERATION</w:t>
      </w:r>
    </w:p>
    <w:p>
      <w:pPr>
        <w:pStyle w:val="Normal"/>
        <w:keepNext w:val="true"/>
        <w:widowControl/>
        <w:rPr/>
      </w:pPr>
      <w:r>
        <w:rPr/>
        <w:t>Article 9: Modalities and Forms of Cooperation</w:t>
      </w:r>
    </w:p>
    <w:p>
      <w:pPr>
        <w:pStyle w:val="Normal"/>
        <w:widowControl/>
        <w:rPr/>
      </w:pPr>
      <w:r>
        <w:rPr/>
        <w:t>Cooperation developed under this Agreement may occur through activities such as:</w:t>
      </w:r>
    </w:p>
    <w:p>
      <w:pPr>
        <w:pStyle w:val="Normal"/>
        <w:widowControl/>
        <w:rPr/>
      </w:pPr>
      <w:r>
        <w:rPr/>
        <w:t>(a) the exchange of delegations, professionals, technicians, and specialists from the academic sector, nongovernmental organizations, private sector, and governments, including through study visits to strengthen the development, implementation, and assessment of environmental and natural resource policies, practices, and standards; (b) the organization of conferences, seminars, workshops, meetings, training sessions, and outreach and education programs; (c) the development of programs, projects, and activities, including technological and practical demonstrations, applied research projects, studies, and reports; (d) the facilitation of partnerships, linkages, or other new channels, for the development and transfer of knowledge and technologies among representatives from academia, private sector, indigenous peoples and local communities, intergovernmental and nongovernmental organizations, and national and subnational governments to promote the development and exchange of best practices, and environmental information and data likely to be of interest to the Parties, and capacity building (e) the collection, publication and exchange of information on environmental policies, laws, standards, regulations, indicators, national environmental programs and compliance and enforcement mechanisms; and (f) any other form of environmental cooperation as the Parties may decide.</w:t>
      </w:r>
    </w:p>
    <w:p>
      <w:pPr>
        <w:pStyle w:val="Normal"/>
        <w:keepNext w:val="true"/>
        <w:widowControl/>
        <w:rPr/>
      </w:pPr>
      <w:r>
        <w:rPr/>
        <w:t>Article 10: Work Program</w:t>
      </w:r>
    </w:p>
    <w:p>
      <w:pPr>
        <w:pStyle w:val="Normal"/>
        <w:widowControl/>
        <w:rPr/>
      </w:pPr>
      <w:r>
        <w:rPr/>
        <w:t>1. The Council shall develop and approve strategic priorities of the Commission. The Council shall take into account, as appropriate, commitments under the Environment Chapter of the CUSMA, the results of any regional state of the environment reporting, public input; and international, regional, and national environmental efforts.</w:t>
      </w:r>
    </w:p>
    <w:p>
      <w:pPr>
        <w:pStyle w:val="Normal"/>
        <w:widowControl/>
        <w:rPr/>
      </w:pPr>
      <w:r>
        <w:rPr/>
        <w:t>2. The Council shall define the Work Program, establishing specific goals, objectives, and areas for cooperation. The Work Program may include short-, medium- and long-term cooperative activities in areas such as:</w:t>
      </w:r>
    </w:p>
    <w:p>
      <w:pPr>
        <w:pStyle w:val="Normal"/>
        <w:widowControl/>
        <w:rPr/>
      </w:pPr>
      <w:r>
        <w:rPr/>
        <w:t>Strengthening environmental governance</w:t>
      </w:r>
    </w:p>
    <w:p>
      <w:pPr>
        <w:pStyle w:val="Normal"/>
        <w:widowControl/>
        <w:rPr/>
      </w:pPr>
      <w:r>
        <w:rPr/>
        <w:t>(a) enhancing environmental compliance and effective enforcement of environmental laws; (b) addressing issues of mutual interest related to multilateral environmental agreements; (c) promoting public participation in environmental and natural resources observation, decision-making, protection, and enforcement of laws, including through public access to information; (d) strengthening capacity to respond to natural disasters, environmental emergencies, and extreme weather events; (e) promoting pollution prevention techniques and strategies, and, where appropriate, the internalization of environmental costs and accountability for environmental harms; (f) promoting the development and implementation of laws and policies that provide for high levels of environmental protection, including consideration of regional approaches to state of the environment indicators; (g) strengthening cooperation on environmental impact assessments of proposed transboundary projects; Reducing pollution and supporting strong, low emissions, resilient economies</w:t>
      </w:r>
    </w:p>
    <w:p>
      <w:pPr>
        <w:pStyle w:val="Normal"/>
        <w:widowControl/>
        <w:rPr/>
      </w:pPr>
      <w:r>
        <w:rPr/>
        <w:t>(h) reducing pollution in the marine environment, including ship-related pollution and marine litter; (i) protecting the ozone layer, including by controlling the production and consumption of, and trade in, ozone depleting substances; (j) addressing transboundary environmental issues and promoting clean air, clean water, and clean soil; (k) the restoration and conservation of soils; (l) the sound management of chemicals and waste, including transboundary movements of hazardous waste, and the lifecycle management of, and trade in, reusable, recoverable, and recyclable materials; (m) promoting energy efficiency; development of cost-effective, low emissions technologies; all clean, efficient energy sources that enhance energy security; market mechanisms; sustainable transport and sustainable urban infrastructure development; addressing deforestation and forest degradation; emissions monitoring; low emissions, resilient development; and sharing of information and experiences in addressing these issues; Conserving and protecting biodiversity and habitats</w:t>
      </w:r>
    </w:p>
    <w:p>
      <w:pPr>
        <w:pStyle w:val="Normal"/>
        <w:widowControl/>
        <w:rPr/>
      </w:pPr>
      <w:r>
        <w:rPr/>
        <w:t>(n) the conservation, protection and sustainable management of wild flora and fauna and their habitats, and specially protected marine, coastal, and terrestrial natural areas, as well as buffer zones and corridors; (o) exchanging information and experiences related to the mainstreaming of biodiversity across relevant sectors of the economy; (p) the conservation and protection of shared species, including migratory birds and their habitat; (q) combating wildlife trafficking, including cooperation to prevent the illegal take of, and trade in, wild fauna and flora through the exchange of experiences in the implementation of Article 24.22.5 and 24.22.6 (Conservation and Trade) of the Environment Chapter of the CUSMA; (r) preventing, controlling, and eradicating invasive alien species, including aquatic invasive species, and addressing their adverse impacts; Promoting the sustainable management and use of natural resources</w:t>
      </w:r>
    </w:p>
    <w:p>
      <w:pPr>
        <w:pStyle w:val="Normal"/>
        <w:widowControl/>
        <w:rPr/>
      </w:pPr>
      <w:r>
        <w:rPr/>
        <w:t>(s) the conservation and sustainable management of forests, including addressing deforestation and forest degradation; (t) sustainable fisheries management and the long-term conservation of marine species, including addressing vessel noise and its impact on marine mammals; (u) addressing land degradation and desertification; (v) combating illegal logging and illegal, unreported, and unregulated fishing; (w) the environmental, economic, and social dimensions of sustainable aquaculture and agriculture; Supporting green growth and sustainable development</w:t>
      </w:r>
    </w:p>
    <w:p>
      <w:pPr>
        <w:pStyle w:val="Normal"/>
        <w:widowControl/>
        <w:rPr/>
      </w:pPr>
      <w:r>
        <w:rPr/>
        <w:t>(x) developing and promoting incentives to improve environmental protection, including market mechanisms and other flexible and voluntary mechanisms; (y) promoting cleaner production and facilitating actions to remove barriers to trade or investment in environmental goods and services to address global environmental challenges; (z) promoting resource and energy efficiency, including sustainable materials management, alternative and renewable energy sources, clean innovation and entrepreneurship; and (aa) promoting sustainable production and consumption, including reducing food loss and food waste. 3. In developing and submitting cooperative activities for Council approval, the Secretariat should develop and include appropriate performance measures and indicators to assist in examining and evaluating the progress of specific cooperative activities.</w:t>
      </w:r>
    </w:p>
    <w:p>
      <w:pPr>
        <w:pStyle w:val="Normal"/>
        <w:widowControl/>
        <w:rPr/>
      </w:pPr>
      <w:r>
        <w:rPr/>
        <w:t>4. The Council may instruct the Secretariat to develop recommendations on how best to consider gender and diversity effects and opportunities in the implementation of the Work Program.</w:t>
      </w:r>
    </w:p>
    <w:p>
      <w:pPr>
        <w:pStyle w:val="Normal"/>
        <w:widowControl/>
        <w:rPr/>
      </w:pPr>
      <w:r>
        <w:rPr/>
        <w:t>5. In order to avoid duplication and to complement ongoing and future environmental cooperation undertaken outside the context of this Agreement, the Council shall endeavor to develop the Work Program in a manner compatible with existing mechanisms among the Parties and the environmental work of other organizations and initiatives in which the Parties have an interest.</w:t>
      </w:r>
    </w:p>
    <w:p>
      <w:pPr>
        <w:pStyle w:val="Normal"/>
        <w:keepNext w:val="true"/>
        <w:widowControl/>
        <w:rPr/>
      </w:pPr>
      <w:r>
        <w:rPr/>
        <w:t>Article 11: Opportunities for Public Participation</w:t>
      </w:r>
    </w:p>
    <w:p>
      <w:pPr>
        <w:pStyle w:val="Normal"/>
        <w:widowControl/>
        <w:rPr/>
      </w:pPr>
      <w:r>
        <w:rPr/>
        <w:t>In defining the Work Program, the Council shall, as appropriate, provide for and promote outreach and public participation in the development, implementation, and monitoring of the activities and projects contemplated in the Work Program, including consideration of indigenous perspectives. Each Party shall solicit and take into account, as appropriate, the views of its public with respect to the Work Program and should review and respond to such communications, in accordance with its laws, regulations, and procedures. Each Party shall make these communications available to the other Parties and to the public in accordance with its laws, regulations, and procedures. Each Party shall make use of existing, or establish new, consultative mechanisms, for example national advisory committees, to seek views on matters related to the implementation of this Agreement. These mechanisms may provide for the participation of persons with relevant experience, as appropriate, including experience in business, natural resource conservation and management, or other environmental matters. The Council shall encourage and facilitate, as appropriate, direct contacts and cooperation among government agencies, multilateral organizations, foundations, universities, research centers, nongovernmental organizations, private sector firms and other entities, including the conclusion of arrangements among them for the conduct of cooperative activities under this Agreement.</w:t>
      </w:r>
    </w:p>
    <w:p>
      <w:pPr>
        <w:pStyle w:val="Normal"/>
        <w:widowControl/>
        <w:rPr/>
      </w:pPr>
      <w:r>
        <w:rPr/>
        <w:t>PART FOUR: GENERAL PROVISIONS</w:t>
      </w:r>
    </w:p>
    <w:p>
      <w:pPr>
        <w:pStyle w:val="Normal"/>
        <w:keepNext w:val="true"/>
        <w:widowControl/>
        <w:rPr/>
      </w:pPr>
      <w:r>
        <w:rPr/>
        <w:t>Article 12: Resources</w:t>
      </w:r>
    </w:p>
    <w:p>
      <w:pPr>
        <w:pStyle w:val="Normal"/>
        <w:widowControl/>
        <w:rPr/>
      </w:pPr>
      <w:r>
        <w:rPr/>
        <w:t>Each Party shall contribute an equal share of the annual budget of the Commission subject to the availability of appropriated funds in accordance with its legal procedures. Unless the Council otherwise decides, the annual budget may be supplemented through funding or in-kind contributions from the Parties, and the Commission may receive funding or in-kind contributions from external sources in excess of the annual budget.</w:t>
      </w:r>
    </w:p>
    <w:p>
      <w:pPr>
        <w:pStyle w:val="Normal"/>
        <w:keepNext w:val="true"/>
        <w:widowControl/>
        <w:rPr/>
      </w:pPr>
      <w:r>
        <w:rPr/>
        <w:t>Article 13: Equipment and Personnel</w:t>
      </w:r>
    </w:p>
    <w:p>
      <w:pPr>
        <w:pStyle w:val="Normal"/>
        <w:widowControl/>
        <w:rPr/>
      </w:pPr>
      <w:r>
        <w:rPr/>
        <w:t>Each Party shall endeavor to facilitate the entry of equipment, materials, and personnel related to this Agreement into its territory, subject to its laws and regulations.</w:t>
      </w:r>
    </w:p>
    <w:p>
      <w:pPr>
        <w:pStyle w:val="Normal"/>
        <w:keepNext w:val="true"/>
        <w:widowControl/>
        <w:rPr/>
      </w:pPr>
      <w:r>
        <w:rPr/>
        <w:t>Article 14: Provision of Information for Factual Records</w:t>
      </w:r>
    </w:p>
    <w:p>
      <w:pPr>
        <w:pStyle w:val="Normal"/>
        <w:widowControl/>
        <w:rPr/>
      </w:pPr>
      <w:r>
        <w:rPr/>
        <w:t>Each Party shall cooperate with the Secretariat to provide information relevant for the preparation of a factual record. Requests by the Secretariat for this information shall be in accordance with guidelines established by the Council.</w:t>
      </w:r>
    </w:p>
    <w:p>
      <w:pPr>
        <w:pStyle w:val="Normal"/>
        <w:keepNext w:val="true"/>
        <w:widowControl/>
        <w:rPr/>
      </w:pPr>
      <w:r>
        <w:rPr/>
        <w:t>Article 15: Technical and Confidential Information and Intellectual Property</w:t>
      </w:r>
    </w:p>
    <w:p>
      <w:pPr>
        <w:pStyle w:val="Normal"/>
        <w:widowControl/>
        <w:rPr/>
      </w:pPr>
      <w:r>
        <w:rPr/>
        <w:t>Except as provided below, all technical information obtained through the implementation of this Agreement shall be made available to the Parties. If intellectual property is created under this Agreement, the Parties shall consult with each other to determine the allocation of the rights to that intellectual property. If a Party deems information to be confidential or proprietary under its laws, or identifies, in a timely fashion, information provided or created under this Agreement as business-confidential, each Party shall protect such information in accordance with its applicable laws, regulations and administrative practices.</w:t>
      </w:r>
    </w:p>
    <w:p>
      <w:pPr>
        <w:pStyle w:val="Normal"/>
        <w:keepNext w:val="true"/>
        <w:widowControl/>
        <w:rPr/>
      </w:pPr>
      <w:r>
        <w:rPr/>
        <w:t>Article 16. Protection of Information</w:t>
      </w:r>
    </w:p>
    <w:p>
      <w:pPr>
        <w:pStyle w:val="Normal"/>
        <w:widowControl/>
        <w:rPr/>
      </w:pPr>
      <w:r>
        <w:rPr/>
        <w:t>1. The Secretariat shall protect from disclosure:</w:t>
      </w:r>
    </w:p>
    <w:p>
      <w:pPr>
        <w:pStyle w:val="Normal"/>
        <w:widowControl/>
        <w:rPr/>
      </w:pPr>
      <w:r>
        <w:rPr/>
        <w:t>(a) any information it receives that could identify a person making a submission (the submitter) under Article 24.27 (Submissions on Enforcement Matters) of the Environment Chapter of the CUSMA if that person so requests or the Secretariat otherwise considers it appropriate; (b) any information that the submitter has identified as confidential; (c) any information it receives from any person where the information is designated by that person as confidential or proprietary; (d) any information it receives from a Party, including in connection with the submission for enforcement matters process under the Environment Chapter of the CUSMA, if the Party has determined that disclosure of the information would impede its law enforcement, compromise personal privacy, or reveal confidential business or proprietary information or the confidentiality of governmental decision-making; and (e) any other information that should be safeguarded in accordance with applicable Council procedures. 2. Nothing in this Agreement shall be construed to require a Party to disclose or allow access to information:</w:t>
      </w:r>
    </w:p>
    <w:p>
      <w:pPr>
        <w:pStyle w:val="Normal"/>
        <w:widowControl/>
        <w:rPr/>
      </w:pPr>
      <w:r>
        <w:rPr/>
        <w:t>(a) the disclosure of which would impede its environmental law enforcement; or (b) that is protected from disclosure under its applicable laws. 3. If a Party provides confidential or proprietary information to another Party, to the Council, to the Secretariat, or to the Joint Public Advisory Committee, the recipient shall treat the information with the same level of protection that the Party providing the information accords to that information.</w:t>
      </w:r>
    </w:p>
    <w:p>
      <w:pPr>
        <w:pStyle w:val="Normal"/>
        <w:keepNext w:val="true"/>
        <w:widowControl/>
        <w:rPr/>
      </w:pPr>
      <w:r>
        <w:rPr/>
        <w:t>Article 17: Entry into Force, Withdrawal, Amendments, Accession</w:t>
      </w:r>
    </w:p>
    <w:p>
      <w:pPr>
        <w:pStyle w:val="Normal"/>
        <w:widowControl/>
        <w:rPr/>
      </w:pPr>
      <w:r>
        <w:rPr/>
        <w:t>This Agreement shall enter into force on the date of entry into force of the CUSMA. Upon entry into force, this Agreement shall supersede the NAAEC. Any Party may withdraw from the Agreement providing six months' written notice to the other Parties. If a Party withdraws, the Agreement shall remain in force for the remaining Parties. Unless decided otherwise by the Parties, such withdrawal shall not affect the continuation of ongoing activities not completed at the time of withdrawal. This Agreement may be amended by written mutual consent of the Parties. An amendment shall enter into force on the date of the last note in an exchange of notes in which the Parties notify each other of the completion of their respective internal procedures necessary for the entry into force of the amendments. The Parties may, by consensus, decide to invite, in writing, any State to accede to this Agreement. IN WITNESS WHEREOF the undersigned, being duly authorized by their respective Governments, have signed this Agreement.</w:t>
      </w:r>
    </w:p>
    <w:p>
      <w:pPr>
        <w:pStyle w:val="Normal"/>
        <w:widowControl/>
        <w:rPr/>
      </w:pPr>
      <w:r>
        <w:rPr/>
        <w:t>DONE in three originals in the English, French and Spanish languages, each version being equally authentic.</w:t>
      </w:r>
    </w:p>
    <w:p>
      <w:pPr>
        <w:pStyle w:val="Normal"/>
        <w:widowControl/>
        <w:rPr/>
      </w:pPr>
      <w:r>
        <w:rPr/>
        <w:t>For the Government of the United States of America:</w:t>
      </w:r>
    </w:p>
    <w:p>
      <w:pPr>
        <w:pStyle w:val="Normal"/>
        <w:widowControl/>
        <w:rPr/>
      </w:pPr>
      <w:r>
        <w:rPr/>
        <w:t>Andrew Wheeler</w:t>
      </w:r>
    </w:p>
    <w:p>
      <w:pPr>
        <w:pStyle w:val="Normal"/>
        <w:widowControl/>
        <w:rPr/>
      </w:pPr>
      <w:r>
        <w:rPr/>
        <w:t>Date: 12-11-18 Place: Washington, D.C.</w:t>
      </w:r>
    </w:p>
    <w:p>
      <w:pPr>
        <w:pStyle w:val="Normal"/>
        <w:widowControl/>
        <w:rPr/>
      </w:pPr>
      <w:r>
        <w:rPr/>
        <w:t>For the Government of Canada:</w:t>
      </w:r>
    </w:p>
    <w:p>
      <w:pPr>
        <w:pStyle w:val="Normal"/>
        <w:widowControl/>
        <w:rPr/>
      </w:pPr>
      <w:r>
        <w:rPr/>
        <w:t>Catherine McKenna</w:t>
      </w:r>
    </w:p>
    <w:p>
      <w:pPr>
        <w:pStyle w:val="Normal"/>
        <w:widowControl/>
        <w:rPr/>
      </w:pPr>
      <w:r>
        <w:rPr/>
        <w:t>Date: December 18, 2018 Place: Ottawa</w:t>
      </w:r>
    </w:p>
    <w:p>
      <w:pPr>
        <w:pStyle w:val="Normal"/>
        <w:widowControl/>
        <w:rPr/>
      </w:pPr>
      <w:r>
        <w:rPr/>
        <w:t>For the Government of the United Mexican States:</w:t>
      </w:r>
    </w:p>
    <w:p>
      <w:pPr>
        <w:pStyle w:val="Normal"/>
        <w:widowControl/>
        <w:rPr/>
      </w:pPr>
      <w:r>
        <w:rPr/>
        <w:t>Pacchiano Alamán</w:t>
      </w:r>
    </w:p>
    <w:p>
      <w:pPr>
        <w:pStyle w:val="Normal"/>
        <w:widowControl/>
        <w:rPr/>
      </w:pPr>
      <w:r>
        <w:rPr/>
        <w:t>Date: 30-Nov-18 Place: Cuidad de México</w:t>
      </w:r>
    </w:p>
    <w:p>
      <w:pPr>
        <w:pStyle w:val="Heading3"/>
        <w:keepNext/>
        <w:widowControl/>
        <w:rPr/>
      </w:pPr>
      <w:r>
        <w:rPr/>
        <w:t>PART F — UNIFORM REGULATIONS AND IMPLEMENTATION CONTINUITY</w:t>
      </w:r>
    </w:p>
    <w:p>
      <w:pPr>
        <w:pStyle w:val="Normal"/>
        <w:widowControl/>
        <w:rPr/>
      </w:pPr>
      <w:r>
        <w:rPr/>
        <w:t>1. The Uniform Regulations adopted pursuant to Article 5.16, including the Uniform Regulations regarding the interpretation, application, and administration of Chapters 5, 6, and 7 and the Rules of Origin Uniform Regulations, remain in force and continue to govern implementation except to the extent amended, replaced, or rendered inconsistent by this modernized Agreement or by a subsequent instrument lawfully adopted under it.</w:t>
      </w:r>
    </w:p>
    <w:p>
      <w:pPr>
        <w:pStyle w:val="Normal"/>
        <w:widowControl/>
        <w:rPr/>
      </w:pPr>
      <w:r>
        <w:rPr/>
        <w:t>2. The Commission shall publish a consolidated compatibility schedule within 180 days after entry into force identifying provisions of the existing Uniform Regulations that remain unchanged, provisions requiring conforming amendment, and transitional procedures necessary to prevent interruption of preferential treatment.</w:t>
      </w:r>
    </w:p>
    <w:p>
      <w:pPr>
        <w:pStyle w:val="Normal"/>
        <w:widowControl/>
        <w:rPr/>
      </w:pPr>
      <w:r>
        <w:rPr/>
        <w:t>3. No omission of the full text of a Uniform Regulation from this consolidated treaty document terminates, narrows, or suspends that regulation. Where this Agreement creates a new procedure for which a Uniform Regulation has not yet been adopted, the treaty text controls and the Parties shall use the closest compatible existing procedure on an interim basis without diminishing a substantive right.</w:t>
      </w:r>
    </w:p>
    <w:p>
      <w:pPr>
        <w:pStyle w:val="Normal"/>
        <w:widowControl/>
        <w:rPr/>
      </w:pPr>
      <w:r>
        <w:rPr/>
        <w:t>4. The Secretariat shall maintain authoritative version identifiers for each operative Uniform Regulation and Commission decision so customs authorities, producers, importers, exporters, and panels can identify the controlling implementation text.</w:t>
      </w:r>
    </w:p>
    <w:p>
      <w:pPr>
        <w:pStyle w:val="Heading3"/>
        <w:keepNext/>
        <w:widowControl/>
        <w:rPr/>
      </w:pPr>
      <w:r>
        <w:rPr/>
        <w:t>PART G — STATUS OF SUPERSEDED, SPENT, AND HISTORICAL ORIGINAL INSTRUMENTS</w:t>
      </w:r>
    </w:p>
    <w:p>
      <w:pPr>
        <w:pStyle w:val="Normal"/>
        <w:widowControl/>
        <w:rPr/>
      </w:pPr>
      <w:r>
        <w:rPr/>
        <w:t>1. Section 232 process and automotive side letters. The 2018 Canada–United States Section 232 side letters remain superseded by the modernized Chapters 32 and 35 and are not revived by this Annex.</w:t>
      </w:r>
    </w:p>
    <w:p>
      <w:pPr>
        <w:pStyle w:val="Normal"/>
        <w:widowControl/>
        <w:rPr/>
      </w:pPr>
      <w:r>
        <w:rPr/>
        <w:t>2. British Columbia wine letter. The November 30, 2018 Canada–United States wine understanding is preserved as historical evidence of the original bargain and of completed or time-specific commitments, but no expired deadline in that instrument is revived. Ongoing treatment of alcoholic beverages is governed by the operative provisions of this Agreement.</w:t>
      </w:r>
    </w:p>
    <w:p>
      <w:pPr>
        <w:pStyle w:val="Normal"/>
        <w:widowControl/>
        <w:rPr/>
      </w:pPr>
      <w:r>
        <w:rPr/>
        <w:t>3. 2018 Protocol Replacing NAFTA. The 2018 protocol remains part of the historical chain of title by which CUSMA replaced NAFTA 1994. The modernized Protocol at the front of this instrument governs current entry into force, amendment, and consolidation matters.</w:t>
      </w:r>
    </w:p>
    <w:p>
      <w:pPr>
        <w:pStyle w:val="Normal"/>
        <w:widowControl/>
        <w:rPr/>
      </w:pPr>
      <w:r>
        <w:rPr/>
        <w:t>4. Companion environmental instruments. Reproduction of the Agreement on Environmental Cooperation in Part E does not alter its separate treaty status, amendment procedure, institutional personality, or entry-into-force history.</w:t>
      </w:r>
    </w:p>
    <w:p>
      <w:bookmarkStart w:id="1297" w:name="_NAESTMA_TOC_1297"/>
      <w:pPr>
        <w:pStyle w:val="Heading2"/>
        <w:keepNext/>
        <w:widowControl/>
        <w:rPr/>
      </w:pPr>
      <w:bookmarkStart w:id="122" w:name="_Toc237912603"/>
      <w:r>
        <w:rPr/>
        <w:t>ANNEX 34-H: ADMINISTRATIVE CONTINUITY AND DEFAULT PROCEDURES</w:t>
      </w:r>
      <w:bookmarkEnd w:id="122"/>
      <w:bookmarkEnd w:id="1297"/>
    </w:p>
    <w:p>
      <w:pPr>
        <w:pStyle w:val="Normal"/>
        <w:widowControl/>
        <w:rPr/>
      </w:pPr>
      <w:r>
        <w:rPr/>
        <w:t>1. Governing Principle — No Right Depends on Administrative Perfection. A substantive right, protection, preference, deadline, remedy, or review established by this Agreement does not lapse, suspend, or become unavailable solely because a committee has not met, a technical standard is late, a roster is incomplete, a digital platform is unavailable, an implementing form has not been published, or another administrative step has not been completed.</w:t>
      </w:r>
    </w:p>
    <w:p>
      <w:pPr>
        <w:pStyle w:val="Normal"/>
        <w:widowControl/>
        <w:rPr/>
      </w:pPr>
      <w:r>
        <w:rPr/>
        <w:t>2. Interim Institutional Substitution. If a body required to perform a function is not operational by the applicable deadline, the Free Trade Commission shall designate an existing body to perform the function within five business days. If the Commission does not act, the Secretariat's Treaty Integrity function performs purely administrative functions, and adjudicative functions are performed by an interim panel drawn from the most recent eligible Chapter 31 roster or, for a matter governed by Article 35.10, by an ad hoc Verification Team constituted from the available eligible roster under that Article.</w:t>
      </w:r>
    </w:p>
    <w:p>
      <w:pPr>
        <w:pStyle w:val="Normal"/>
        <w:widowControl/>
        <w:rPr/>
      </w:pPr>
      <w:r>
        <w:rPr/>
        <w:t>3. Default Technical Standard. If a technical annex, schedule, coefficient, form, data dictionary, or methodology is not adopted by its treaty deadline, the most recent compatible trilateral standard remains temporarily applicable. Where none exists, the default principles expressly stated in the treaty text apply, interpreted conservatively so as not to increase a trader's burden or diminish preferential treatment.</w:t>
      </w:r>
    </w:p>
    <w:p>
      <w:pPr>
        <w:pStyle w:val="Normal"/>
        <w:widowControl/>
        <w:rPr/>
      </w:pPr>
      <w:r>
        <w:rPr/>
        <w:t>4. Default Form and Submission. Absence of an official form does not bar a submission. A Party or private person may provide the information reasonably required by the operative provision in any clear written or electronic form. The receiving authority shall identify material omissions once and allow a reasonable correction period.</w:t>
      </w:r>
    </w:p>
    <w:p>
      <w:pPr>
        <w:pStyle w:val="Normal"/>
        <w:widowControl/>
        <w:rPr/>
      </w:pPr>
      <w:r>
        <w:rPr/>
        <w:t>5. Roster Failure. Failure to appoint, renew, or replace roster members does not prevent consultation, verification, panel formation, appeal, or review. The most recent qualified roster remains available and the neutral default-selection rules of Article 31.C apply.</w:t>
      </w:r>
    </w:p>
    <w:p>
      <w:pPr>
        <w:pStyle w:val="Normal"/>
        <w:widowControl/>
        <w:rPr/>
      </w:pPr>
      <w:r>
        <w:rPr/>
        <w:t>6. Non-Cooperation. Failure by a Party to supply information or participate in a procedure does not suspend the clock. The responsible body proceeds on the existing record, may seek reliable independent evidence, and may draw proportionate adverse factual inferences where information was unjustifiably withheld.</w:t>
      </w:r>
    </w:p>
    <w:p>
      <w:pPr>
        <w:pStyle w:val="Normal"/>
        <w:widowControl/>
        <w:rPr/>
      </w:pPr>
      <w:r>
        <w:rPr/>
        <w:t>7. Technical-System Failure. Failure of the Shared Trade Data Registry, a customs interface, or another common digital system activates the continuity rules of Annex 35-C, Part 6. Alternative evidence remains admissible and no trader is penalized for a failure outside its control.</w:t>
      </w:r>
    </w:p>
    <w:p>
      <w:pPr>
        <w:pStyle w:val="Normal"/>
        <w:widowControl/>
        <w:rPr/>
      </w:pPr>
      <w:r>
        <w:rPr/>
        <w:t>8. Implementing-Law Delay. Each Party shall maintain domestic authority sufficient to give effect to automatic treaty consequences. If a required implementing measure is late or incomplete, the Party shall apply the treaty obligation to the maximum extent permitted by existing law and the failure to implement constitutes an independent breach subject to expedited review.</w:t>
      </w:r>
    </w:p>
    <w:p>
      <w:pPr>
        <w:pStyle w:val="Normal"/>
        <w:widowControl/>
        <w:rPr/>
      </w:pPr>
      <w:r>
        <w:rPr/>
        <w:t>9. Sunset of Interim Arrangements. An interim procedure ends when the permanent procedure becomes operational, but acts validly taken under the interim procedure remain effective. Transition shall not require refiling, recertification, or payment of a second fee.</w:t>
      </w:r>
    </w:p>
    <w:p>
      <w:pPr>
        <w:pStyle w:val="Normal"/>
        <w:widowControl/>
        <w:rPr/>
      </w:pPr>
      <w:r>
        <w:rPr/>
        <w:t>10. Administrative Delay Register. The Secretariat shall publish a live register of overdue implementation items, the default rule currently operating, the responsible body, and the expected completion date. No overdue item may be concealed by treating the relevant treaty obligation as inoperative.</w:t>
      </w:r>
    </w:p>
    <w:p>
      <w:pPr>
        <w:widowControl/>
      </w:pPr>
      <w:r>
        <w:t>11. Capacity Triage and Consolidated Administration. Where simultaneous treaty workloads materially exceed available administrative capacity despite reasonable preparation, the responsible authorities shall prioritize legally urgent proceedings, protection of substantive rights, time-sensitive customs and border functions, health and safety, continuity of essential trade, and compliance with final decisions. They shall use existing national authorities, shared services, standardized forms, representative sampling, consolidated reporting, risk-based review, and temporary deferral of non-essential cooperative or promotional work to the maximum extent reasonably practicable before delaying a binding right or remedy. A Party invoking temporary capacity pressure shall publish or communicate a proportionate service-continuity plan identifying the affected functions, interim procedures, expected restoration sequence, and measures taken to prevent recurrence; ordinary budget pressure or chronic understaffing does not by itself excuse persistent non-performance. Nothing in this paragraph authorizes expiration, suspension, or diminution of a substantive treaty right solely because an administrative body is overloaded.</w:t>
      </w:r>
    </w:p>
    <w:p>
      <w:pPr>
        <w:widowControl/>
      </w:pPr>
      <w:r>
        <w:t>12. Constitutional and Subnational Implementation. Where a modernization obligation created by this Protocol materially depends on action by a province, state, territory, municipality, Indigenous or Tribal government, or other constitutionally competent subnational authority, the responsible Party shall use the constitutionally available measures reasonably within its competence, including legislation, funding conditions, agreements, incentives, reporting, intergovernmental coordination, technical assistance, litigation positions, or other lawful means appropriate to its constitutional system. Constitutional division of powers affects the means and reasonable timing of implementation but does not permit a Party to misrepresent a known deficiency as cured, manufacture a subnational obstacle, or withhold available federal or central measures for the purpose of avoiding an obligation. This paragraph does not require a Party to exercise authority it does not possess, compel a subnational government beyond lawful treaty coverage, or alter the internal constitutional distribution of powers. For greater certainty, this paragraph does not narrow, qualify, reopen, or reduce any existing CUSMA obligation, reservation, schedule, commitment, or rule that already governs regional, state, provincial, territorial, local, Indigenous, Tribal, or other subnational measures.</w:t>
      </w:r>
    </w:p>
    <w:p>
      <w:pPr>
        <w:widowControl/>
      </w:pPr>
      <w:r>
        <w:t>13. Pre-Entry-Into-Force Legal Readiness Certification. Before the Protocol of Modernization enters into force for a Party, that Party shall provide the Commission with a public certification identifying the domestic legal authorities, implementing instruments, responsible authorities, and interim procedures reasonably necessary to give effect to the Day 1 obligations and automatic treaty consequences applicable to that Party. The certification need not disclose privileged, classified, security-sensitive, or confidential legal advice and does not require a Party to enact a particular institutional model where existing law is sufficient. Where a required authority or instrument will lawfully become effective only upon or after entry into force, the certification shall identify the effective date and the default or interim procedure that preserves the relevant treaty right in the meantime. Certification does not immunize an implementing measure from review, cure a substantive deficiency, or prevent expedited review under paragraph 8 where domestic authority proves insufficient in operation.</w:t>
      </w:r>
    </w:p>
    <w:p>
      <w:pPr>
        <w:widowControl/>
      </w:pPr>
      <w:r>
        <w:t>14. Shared Implementation Support and Administrative Burden Equalization. The Parties shall use existing committees, customs cooperation channels, the Secretariat, national technical agencies, and other existing institutions to provide practical implementation assistance where a Party identifies a material capacity constraint affecting timely operation of a modernization obligation. Assistance may include model forms, interoperable data specifications, training, temporary expert secondments, shared testing or verification methods, translation, secure technical infrastructure support, process mapping, and reuse of another Party's validated implementation tools where lawful and appropriate. Assistance shall be demand-driven, proportionate, subject to available resources and domestic law, and shall not transfer decision-making authority, require equal expenditures, or make one Party responsible for another Party's compliance. The Commission shall prefer shared or reusable implementation solutions where they materially reduce duplicative cost, particularly for high-volume customs, verification, data, SME, and technical-standard functions.</w:t>
      </w:r>
    </w:p>
    <w:p>
      <w:pPr>
        <w:widowControl/>
      </w:pPr>
      <w:r>
        <w:t>15. Administrative Non-Starvation and Functional Equivalence. A Party shall not deliberately disable, materially degrade, or render practically unavailable a treaty function by withholding an appointment, instruction, routine authorization, ordinary operational funding within lawfully available authority, access credential, technical connection, implementing guidance, or other administrative input where the same result would be inconsistent with this Agreement if accomplished directly. This paragraph does not compel an appropriation, override a constitutional budget process, or require expenditure beyond lawfully available authority; it requires good-faith use of available authority and activation of the continuity and default procedures in this Annex when ordinary administration is interrupted. A material pattern of selective non-funding, non-appointment, non-publication, or technical non-cooperation directed at a treaty right, remedy, or originating trade flow may be reviewed according to its practical effect rather than its domestic administrative label. Restoration of ordinary administration shall occur as soon as lawful authority becomes available, without requiring the affected Party or trader to re-establish a right already preserved by a default procedure.</w:t>
      </w:r>
    </w:p>
    <w:p>
      <w:bookmarkStart w:id="1298" w:name="_NAESTMA_TOC_1298"/>
      <w:pPr>
        <w:pStyle w:val="Heading2"/>
        <w:keepNext/>
        <w:widowControl/>
        <w:rPr/>
      </w:pPr>
      <w:r>
        <w:rPr>
          <w:b/>
        </w:rPr>
        <w:t>Article 34.F: Orderly Withdrawal, Public Notice, and Reliance Transition</w:t>
      </w:r>
      <w:bookmarkEnd w:id="1298"/>
    </w:p>
    <w:p>
      <w:pPr>
        <w:pStyle w:val="Normal"/>
        <w:widowControl/>
        <w:rPr/>
      </w:pPr>
      <w:r>
        <w:rPr/>
        <w:t>1. A notice of withdrawal under Article 34.6 shall state the proposed effective date and shall be accompanied, or followed within 60 days, by a public assessment of reasonably foreseeable effects on trade, investment, workers, consumers, integrated supply chains, and critical infrastructure, prepared in accordance with the withdrawing Party’s domestic law and institutions.</w:t>
      </w:r>
    </w:p>
    <w:p>
      <w:pPr>
        <w:pStyle w:val="Normal"/>
        <w:widowControl/>
        <w:rPr/>
      </w:pPr>
      <w:r>
        <w:rPr/>
        <w:t>2. Withdrawal shall not take effect earlier than 12 months after notice unless all Parties agree to an earlier date. During that period, the Parties shall consult on transition arrangements and continuity of essential cross-border functions.</w:t>
      </w:r>
    </w:p>
    <w:p>
      <w:pPr>
        <w:pStyle w:val="Normal"/>
        <w:widowControl/>
        <w:rPr/>
      </w:pPr>
      <w:r>
        <w:rPr/>
        <w:t>3. Qualifying investments, authorizations, approvals, and long-term commercial commitments substantially undertaken in reasonable reliance on this Agreement before notice of withdrawal shall receive a reasonable transition period where abrupt termination would cause disproportionate disruption, subject to legitimate regulation and without creating a general right to compensation for expected future profits.</w:t>
      </w:r>
    </w:p>
    <w:p>
      <w:pPr>
        <w:pStyle w:val="Normal"/>
        <w:widowControl/>
        <w:rPr/>
      </w:pPr>
      <w:r>
        <w:rPr/>
        <w:t>4. Nothing in this Article prevents a sovereign Party from withdrawing after completion of the domestic legislative approval required by Article 34.N. Its purpose is to ensure that withdrawal is constitutionally grounded, deliberate, transparent, and orderly rather than an instrument of sudden commercial coercion.</w:t>
      </w:r>
    </w:p>
    <w:p>
      <w:bookmarkStart w:id="1299" w:name="_NAESTMA_TOC_1299"/>
      <w:pPr>
        <w:pStyle w:val="Heading2"/>
        <w:keepNext/>
        <w:widowControl/>
        <w:rPr/>
      </w:pPr>
      <w:r>
        <w:rPr/>
        <w:t>Article 34.G: Withdrawal Notice Neutrality and Anti-Ultimatum Rule</w:t>
      </w:r>
      <w:bookmarkEnd w:id="1299"/>
    </w:p>
    <w:p>
      <w:pPr>
        <w:pStyle w:val="Normal"/>
        <w:widowControl/>
        <w:rPr/>
      </w:pPr>
      <w:r>
        <w:rPr/>
        <w:t>1. A Party remains free to withdraw under Article 34.6 and Articles 34.F through 34.Q after satisfying Article 34.N. A withdrawal notice shall not, however, alter any right or obligation before its effective date.</w:t>
      </w:r>
    </w:p>
    <w:p>
      <w:pPr>
        <w:pStyle w:val="Normal"/>
        <w:widowControl/>
        <w:rPr/>
      </w:pPr>
      <w:r>
        <w:rPr/>
        <w:t>2. If a Party offers to rescind or modify a withdrawal notice in exchange for treaty changes, each requested change shall be identified publicly with the stated withdrawal concern to which it relates. The withdrawing Party may negotiate any mutually acceptable package, but no existing treaty obligation performed by another Party shall be characterized as newly owed consideration.</w:t>
      </w:r>
    </w:p>
    <w:p>
      <w:pPr>
        <w:pStyle w:val="Normal"/>
        <w:widowControl/>
        <w:rPr/>
      </w:pPr>
      <w:r>
        <w:rPr/>
        <w:t>3. A withdrawal notice shall not be used as the legal predicate for suspending an unrelated treaty benefit or extracting a concession unrelated to the stated treaty grounds for withdrawal. Diplomatic discussion of unrelated matters remains unrestricted.</w:t>
      </w:r>
    </w:p>
    <w:p>
      <w:bookmarkStart w:id="1300" w:name="_NAESTMA_TOC_1300"/>
      <w:pPr>
        <w:pStyle w:val="Heading2"/>
        <w:keepNext/>
        <w:widowControl/>
        <w:rPr/>
      </w:pPr>
      <w:r>
        <w:rPr/>
        <w:t>Article 34.H: Notice Cycling, Formal Status, and Market Integrity</w:t>
      </w:r>
      <w:bookmarkEnd w:id="1300"/>
    </w:p>
    <w:p>
      <w:pPr>
        <w:pStyle w:val="Normal"/>
        <w:widowControl/>
        <w:rPr/>
      </w:pPr>
      <w:r>
        <w:rPr/>
        <w:t>1. A Party that formally rescinds a withdrawal notice shall not issue a substantially identical notice based on materially unchanged grounds for 12 months, unless materially changed circumstances make renewed withdrawal a genuine sovereign decision rather than continuation of the prior negotiating tactic.</w:t>
      </w:r>
    </w:p>
    <w:p>
      <w:pPr>
        <w:pStyle w:val="Normal"/>
        <w:widowControl/>
        <w:rPr/>
      </w:pPr>
      <w:r>
        <w:rPr/>
        <w:t>2. Public statements, campaign positions, interviews, social-media posts, negotiating threats, or expressions of dissatisfaction do not constitute withdrawal and do not alter treaty status. Only authenticated notice under Article 34.6 starts the withdrawal period.</w:t>
      </w:r>
    </w:p>
    <w:p>
      <w:pPr>
        <w:pStyle w:val="Normal"/>
        <w:widowControl/>
        <w:rPr/>
      </w:pPr>
      <w:r>
        <w:rPr/>
        <w:t>3. A final non-public governmental decision to issue, rescind, accelerate, or materially modify a withdrawal notice is MNPTI where the criteria of Article 35.53 are met. Articles 35.53 through 35.57 apply mutatis mutandis to its handling and publication.</w:t>
      </w:r>
    </w:p>
    <w:p>
      <w:pPr>
        <w:pStyle w:val="Normal"/>
        <w:widowControl/>
        <w:rPr/>
      </w:pPr>
      <w:r>
        <w:rPr/>
        <w:t>4. Formal notice shall be transmitted simultaneously to the other Parties and authenticated for public release through the Treaty Registry as soon as practicable.</w:t>
      </w:r>
    </w:p>
    <w:p>
      <w:bookmarkStart w:id="1301" w:name="_NAESTMA_TOC_1301"/>
      <w:pPr>
        <w:pStyle w:val="Heading2"/>
        <w:keepNext/>
        <w:widowControl/>
        <w:rPr/>
      </w:pPr>
      <w:r>
        <w:rPr/>
        <w:t>Article 34.I: Whole-Treaty Exit and Trilateral Amendment Integrity</w:t>
      </w:r>
      <w:bookmarkEnd w:id="1301"/>
    </w:p>
    <w:p>
      <w:pPr>
        <w:pStyle w:val="Normal"/>
        <w:widowControl/>
        <w:rPr/>
      </w:pPr>
      <w:r>
        <w:rPr/>
        <w:t>1. Unless an express provision permits withdrawal from a specified optional protocol, a Party may withdraw from this Agreement only as a whole. It may not unilaterally retain selected benefits while denouncing selected obligations.</w:t>
      </w:r>
    </w:p>
    <w:p>
      <w:pPr>
        <w:pStyle w:val="Normal"/>
        <w:widowControl/>
        <w:rPr/>
      </w:pPr>
      <w:r>
        <w:rPr/>
        <w:t>2. Bilateral agreements and diplomacy among any two Parties remain permitted. No bilateral understanding modifies, suspends, interprets away, or conditions the rights of the third Party under this Agreement without that Party's express consent through the procedure legally required for the proposed change.</w:t>
      </w:r>
    </w:p>
    <w:p>
      <w:pPr>
        <w:pStyle w:val="Normal"/>
        <w:widowControl/>
        <w:rPr/>
      </w:pPr>
      <w:r>
        <w:rPr/>
        <w:t>3. Two Parties shall not represent a bilateral bargain as an amendment of this trilateral Agreement awaiting only acceptance by the third Party. Until trilateral adoption, the existing Agreement remains unchanged for the third Party.</w:t>
      </w:r>
    </w:p>
    <w:p>
      <w:bookmarkStart w:id="1302" w:name="_NAESTMA_TOC_1302"/>
      <w:pPr>
        <w:pStyle w:val="Heading2"/>
        <w:keepNext/>
        <w:widowControl/>
        <w:rPr/>
      </w:pPr>
      <w:r>
        <w:rPr/>
        <w:t>Article 34.J: Full Performance, Survival Jurisdiction, and Accrued Obligations</w:t>
      </w:r>
      <w:bookmarkEnd w:id="1302"/>
    </w:p>
    <w:p>
      <w:pPr>
        <w:pStyle w:val="Normal"/>
        <w:widowControl/>
        <w:rPr/>
      </w:pPr>
      <w:r>
        <w:rPr/>
        <w:t>1. A Party that has notified withdrawal remains fully bound until withdrawal takes effect. Notice does not excuse performance, reduce cooperation duties, suspend adjudication, or authorize provisional noncompliance.</w:t>
      </w:r>
    </w:p>
    <w:p>
      <w:pPr>
        <w:pStyle w:val="Normal"/>
        <w:widowControl/>
        <w:rPr/>
      </w:pPr>
      <w:r>
        <w:rPr/>
        <w:t>2. Panels, Cothrom bodies, Integrity Panels, Market Integrity Panels, and other competent treaty bodies retain jurisdiction after withdrawal to determine disputes, cure, integrity questions, and compliance concerning conduct occurring while the Agreement bound the withdrawing Party.</w:t>
      </w:r>
    </w:p>
    <w:p>
      <w:pPr>
        <w:pStyle w:val="Normal"/>
        <w:widowControl/>
        <w:rPr/>
      </w:pPr>
      <w:r>
        <w:rPr/>
        <w:t>3. Withdrawal does not extinguish accrued monetary obligations, refunds, compensation, restoration duties relating to pre-withdrawal conduct, final awards, record-preservation duties, confidentiality obligations, or other obligations expressly or inherently intended to survive.</w:t>
      </w:r>
    </w:p>
    <w:p>
      <w:pPr>
        <w:pStyle w:val="Normal"/>
        <w:widowControl/>
        <w:rPr/>
      </w:pPr>
      <w:r>
        <w:rPr/>
        <w:t>4. Proceedings initiated during the withdrawal period shall receive expedited scheduling where ordinary timing could otherwise defeat effective review before exit.</w:t>
      </w:r>
    </w:p>
    <w:p>
      <w:bookmarkStart w:id="1303" w:name="_NAESTMA_TOC_1303"/>
      <w:pPr>
        <w:pStyle w:val="Heading2"/>
        <w:keepNext/>
        <w:widowControl/>
        <w:rPr/>
      </w:pPr>
      <w:r>
        <w:rPr/>
        <w:t>Article 34.K: Withdrawal Record Hold and Reliance Administration</w:t>
      </w:r>
      <w:bookmarkEnd w:id="1303"/>
    </w:p>
    <w:p>
      <w:pPr>
        <w:pStyle w:val="Normal"/>
        <w:widowControl/>
        <w:rPr/>
      </w:pPr>
      <w:r>
        <w:rPr/>
        <w:t>1. Formal withdrawal notice automatically places relevant treaty-administration records of the withdrawing Party and common institutions under preservation hold for the period required by applicable law and not less than the time necessary to complete surviving proceedings.</w:t>
      </w:r>
    </w:p>
    <w:p>
      <w:pPr>
        <w:pStyle w:val="Normal"/>
        <w:widowControl/>
        <w:rPr/>
      </w:pPr>
      <w:r>
        <w:rPr/>
        <w:t>2. Withdrawal does not invalidate certificates already issued, records already accepted, refunds already accrued, pending administrative claims, or shipments already entered into an authorized customs process solely because the effective withdrawal date occurs before completion. Transitional treatment shall be specified in the withdrawal implementation schedule.</w:t>
      </w:r>
    </w:p>
    <w:p>
      <w:pPr>
        <w:pStyle w:val="Normal"/>
        <w:widowControl/>
        <w:rPr/>
      </w:pPr>
      <w:r>
        <w:rPr/>
        <w:t>3. The Parties shall prioritize continuity for customs administration, critical infrastructure, emergency services, energy interconnections, data needed for existing legal obligations, and safe completion of in-transit commerce.</w:t>
      </w:r>
    </w:p>
    <w:p>
      <w:bookmarkStart w:id="1304" w:name="_NAESTMA_TOC_1304"/>
      <w:pPr>
        <w:pStyle w:val="Heading2"/>
        <w:keepNext/>
        <w:widowControl/>
        <w:rPr/>
      </w:pPr>
      <w:r>
        <w:rPr/>
        <w:t>Article 34.L: Settlement Finality and No Payment for Existing Performance</w:t>
      </w:r>
      <w:bookmarkEnd w:id="1304"/>
    </w:p>
    <w:p>
      <w:pPr>
        <w:pStyle w:val="Normal"/>
        <w:widowControl/>
        <w:rPr/>
      </w:pPr>
      <w:r>
        <w:rPr/>
        <w:t>1. A concession, protection, market-access commitment, limitation, or reciprocal undertaking incorporated into this Agreement is presumed to constitute settled consideration within the package by which it was adopted.</w:t>
      </w:r>
    </w:p>
    <w:p>
      <w:pPr>
        <w:pStyle w:val="Normal"/>
        <w:widowControl/>
        <w:rPr/>
      </w:pPr>
      <w:r>
        <w:rPr/>
        <w:t>2. Continued performance of an existing obligation is not a new concession and does not, by itself, entitle the performing Party to additional compensation, market access, policy change, or payment.</w:t>
      </w:r>
    </w:p>
    <w:p>
      <w:pPr>
        <w:pStyle w:val="Normal"/>
        <w:widowControl/>
        <w:rPr/>
      </w:pPr>
      <w:r>
        <w:rPr/>
        <w:t>3. The Parties remain free by mutual consent to renegotiate any provision. Periodic review may identify changed circumstances and recommend amendment, but neither review nor withdrawal discussions reopen settled consideration automatically.</w:t>
      </w:r>
    </w:p>
    <w:p>
      <w:pPr>
        <w:pStyle w:val="Normal"/>
        <w:widowControl/>
        <w:rPr/>
      </w:pPr>
      <w:r>
        <w:rPr/>
        <w:t>4. A claim of fundamental changed circumstances under applicable international law is not prejudged by this Article.</w:t>
      </w:r>
    </w:p>
    <w:p>
      <w:bookmarkStart w:id="1305" w:name="_NAESTMA_TOC_1305"/>
      <w:pPr>
        <w:pStyle w:val="Heading2"/>
        <w:keepNext/>
        <w:widowControl/>
        <w:rPr/>
      </w:pPr>
      <w:r>
        <w:rPr/>
        <w:t>Article 34.M: Reaccession after Withdrawal</w:t>
      </w:r>
      <w:bookmarkEnd w:id="1305"/>
    </w:p>
    <w:p>
      <w:pPr>
        <w:pStyle w:val="Normal"/>
        <w:widowControl/>
        <w:rPr/>
      </w:pPr>
      <w:r>
        <w:rPr/>
        <w:t>1. A former Party seeking to rejoin this Agreement shall do so through an accession or reaccession instrument agreed by the remaining Parties and completed under their applicable legal procedures.</w:t>
      </w:r>
    </w:p>
    <w:p>
      <w:pPr>
        <w:pStyle w:val="Normal"/>
        <w:widowControl/>
        <w:rPr/>
      </w:pPr>
      <w:r>
        <w:rPr/>
        <w:t>2. Reaccession is not automatic and shall address outstanding accrued obligations, unresolved integrity findings, transition arrangements, and restoration of institutional participation.</w:t>
      </w:r>
    </w:p>
    <w:p>
      <w:pPr>
        <w:pStyle w:val="Normal"/>
        <w:widowControl/>
        <w:rPr/>
      </w:pPr>
      <w:r>
        <w:rPr/>
        <w:t>3. A withdrawal followed by reaccession shall not be used to erase liabilities or obtain a temporary holiday from obligations that accrued while the Agreement was in force.</w:t>
      </w:r>
    </w:p>
    <w:p>
      <w:pPr>
        <w:pStyle w:val="Normal"/>
        <w:keepNext w:val="true"/>
        <w:widowControl/>
        <w:rPr/>
      </w:pPr>
      <w:r>
        <w:rPr>
          <w:b/>
        </w:rPr>
        <w:t>Article 34.N: Domestic Legislative Approval of Withdrawal</w:t>
      </w:r>
    </w:p>
    <w:p>
      <w:pPr>
        <w:pStyle w:val="Normal"/>
        <w:widowControl/>
        <w:rPr/>
      </w:pPr>
      <w:r>
        <w:rPr>
          <w:b w:val="false"/>
        </w:rPr>
        <w:t>1. A withdrawal under Article 34.6 shall not become effective unless the withdrawing Party has completed approval through legislation enacted by its national legislature in accordance with its applicable constitutional processes and has transmitted authenticated certification of that approval to the other Parties and the Treaty Registry.</w:t>
      </w:r>
    </w:p>
    <w:p>
      <w:pPr>
        <w:pStyle w:val="Normal"/>
        <w:widowControl/>
        <w:rPr/>
      </w:pPr>
      <w:r>
        <w:rPr>
          <w:b w:val="false"/>
        </w:rPr>
        <w:t>2. For the United States, paragraph 1 requires an Act of Congress enacted into law approving withdrawal from this Agreement. A presidential notice, proclamation, memorandum, executive order, or other executive communication may initiate consultations and domestic consideration but does not, by itself, satisfy the approval required for withdrawal to become effective under this Agreement.</w:t>
      </w:r>
    </w:p>
    <w:p>
      <w:pPr>
        <w:pStyle w:val="Normal"/>
        <w:widowControl/>
        <w:rPr/>
      </w:pPr>
      <w:r>
        <w:rPr>
          <w:b w:val="false"/>
        </w:rPr>
        <w:t>3. For Canada, paragraph 1 requires an Act of Parliament enacted in accordance with the Constitution of Canada and applicable law. For Mexico, paragraph 1 requires the legislative approval required under the Political Constitution of the United Mexican States and applicable law. Nothing in this paragraph alters the internal allocation of constitutional authority within a Party except as that Party undertakes, through this Agreement and its implementing legislation, the condition for an effective withdrawal.</w:t>
      </w:r>
    </w:p>
    <w:p>
      <w:pPr>
        <w:pStyle w:val="Normal"/>
        <w:widowControl/>
        <w:rPr/>
      </w:pPr>
      <w:r>
        <w:rPr>
          <w:b w:val="false"/>
        </w:rPr>
        <w:t>4. The twelve-month minimum period in Article 34.6 and Article 34.F begins no earlier than the later of: (a) authenticated notice of withdrawal; and (b) authenticated certification that the approval required by this Article has been completed. A notice delivered before legislative approval may open consultations but does not start an effective withdrawal clock.</w:t>
      </w:r>
    </w:p>
    <w:p>
      <w:pPr>
        <w:pStyle w:val="Normal"/>
        <w:widowControl/>
        <w:rPr/>
      </w:pPr>
      <w:r>
        <w:rPr>
          <w:b w:val="false"/>
        </w:rPr>
        <w:t>5. Each Party shall maintain implementing legislation sufficient to give domestic effect to this Article. Failure to enact or maintain such legislation does not eliminate the international obligation in paragraph 1 and is subject to expedited review under this Agreement.</w:t>
      </w:r>
    </w:p>
    <w:p>
      <w:pPr>
        <w:pStyle w:val="Normal"/>
        <w:keepNext w:val="true"/>
        <w:widowControl/>
        <w:rPr/>
      </w:pPr>
      <w:r>
        <w:rPr>
          <w:b/>
        </w:rPr>
        <w:t>Article 34.O: No Constructive Withdrawal or Functional Evasion</w:t>
      </w:r>
    </w:p>
    <w:p>
      <w:pPr>
        <w:pStyle w:val="Normal"/>
        <w:widowControl/>
        <w:rPr/>
      </w:pPr>
      <w:r>
        <w:rPr>
          <w:b w:val="false"/>
        </w:rPr>
        <w:t>1. A Party shall not accomplish indirectly what Articles 34.6 and 34.F through 34.N require it to accomplish through formal withdrawal. A sustained and coordinated course of governmental conduct whose predominant purpose or practical effect is to disable substantially all material benefits or obligations of this Agreement may be reviewed as an attempted constructive withdrawal.</w:t>
      </w:r>
    </w:p>
    <w:p>
      <w:pPr>
        <w:pStyle w:val="Normal"/>
        <w:widowControl/>
        <w:rPr/>
      </w:pPr>
      <w:r>
        <w:rPr>
          <w:b w:val="false"/>
        </w:rPr>
        <w:t>2. Constructive withdrawal may include a coordinated pattern of unjustified suspension of substantially all preferences, systematic refusal to administer material treaty obligations, deliberate disabling of implementing authorities, or serial invocation of exceptions or extraordinary authorities for the predominant purpose of circumventing the withdrawal requirements.</w:t>
      </w:r>
    </w:p>
    <w:p>
      <w:pPr>
        <w:pStyle w:val="Normal"/>
        <w:widowControl/>
        <w:rPr/>
      </w:pPr>
      <w:r>
        <w:rPr>
          <w:b w:val="false"/>
        </w:rPr>
        <w:t>3. Ordinary disputes, isolated breaches, lawful safeguards, good-faith emergency measures, implementation delays subject to cure, or policy disagreements do not constitute constructive withdrawal merely because they reduce a benefit or create material friction.</w:t>
      </w:r>
    </w:p>
    <w:p>
      <w:pPr>
        <w:pStyle w:val="Normal"/>
        <w:widowControl/>
        <w:rPr/>
      </w:pPr>
      <w:r>
        <w:rPr>
          <w:b w:val="false"/>
        </w:rPr>
        <w:t>4. A finding of attempted constructive withdrawal does not itself withdraw the Party from this Agreement. The Agreement remains in force. The competent panel shall order restoration, cure, cessation of the evasive conduct, or other remedies authorized by this Agreement, and Articles 35.53 through 35.57, Covered-Rationale Exhaustion, issue-nexus, proportionality, step-back, earn-back, and automatic restoration apply as relevant.</w:t>
      </w:r>
    </w:p>
    <w:p>
      <w:pPr>
        <w:pStyle w:val="Normal"/>
        <w:widowControl/>
        <w:rPr/>
      </w:pPr>
      <w:r>
        <w:rPr>
          <w:b w:val="false"/>
        </w:rPr>
        <w:t>5. A Party may always pursue lawful withdrawal by satisfying Article 34.N and the orderly-withdrawal requirements of this Chapter. This Article prevents functional evasion; it does not create involuntary membership after lawful withdrawal has become effective.</w:t>
      </w:r>
    </w:p>
    <w:p>
      <w:pPr>
        <w:pStyle w:val="Normal"/>
        <w:keepNext w:val="true"/>
        <w:widowControl/>
        <w:rPr/>
      </w:pPr>
      <w:r>
        <w:rPr>
          <w:b/>
        </w:rPr>
        <w:t>Article 34.P: Severability and Constitutional Savings</w:t>
      </w:r>
    </w:p>
    <w:p>
      <w:pPr>
        <w:pStyle w:val="Normal"/>
        <w:widowControl/>
        <w:rPr/>
      </w:pPr>
      <w:r>
        <w:rPr>
          <w:b w:val="false"/>
        </w:rPr>
        <w:t>1. If a competent domestic court finally determines that a particular domestic implementing requirement used to give effect to Article 34.N cannot lawfully be enforced in the form adopted by a Party, that determination does not invalidate or suspend Article 34.6, Articles 34.F through 34.M, Article 34.O, Article 34.Q, the No-Fade Guarantee, accrued-obligation survival, or any other provision of this Agreement.</w:t>
      </w:r>
    </w:p>
    <w:p>
      <w:pPr>
        <w:pStyle w:val="Normal"/>
        <w:widowControl/>
        <w:rPr/>
      </w:pPr>
      <w:r>
        <w:rPr>
          <w:b w:val="false"/>
        </w:rPr>
        <w:t>2. The affected Party shall promptly consult with the other Parties and use its available constitutional and legislative processes to establish the closest lawful equivalent to the invalidated requirement while preserving, to the maximum extent legally available, legislative participation in withdrawal.</w:t>
      </w:r>
    </w:p>
    <w:p>
      <w:pPr>
        <w:pStyle w:val="Normal"/>
        <w:widowControl/>
        <w:rPr/>
      </w:pPr>
      <w:r>
        <w:rPr>
          <w:b w:val="false"/>
        </w:rPr>
        <w:t>3. No domestic judgment concerning one withdrawal safeguard creates an automatic withdrawal, shortens the twelve-month minimum period, extinguishes accrued obligations, validates constructive withdrawal, or converts political statements into authenticated notice.</w:t>
      </w:r>
    </w:p>
    <w:p>
      <w:pPr>
        <w:pStyle w:val="Normal"/>
        <w:keepNext w:val="true"/>
        <w:widowControl/>
        <w:rPr/>
      </w:pPr>
      <w:r>
        <w:rPr>
          <w:b/>
        </w:rPr>
        <w:t>Article 34.Q: Domestic Sovereignty and Limits of Treaty Bodies</w:t>
      </w:r>
    </w:p>
    <w:p>
      <w:pPr>
        <w:pStyle w:val="Normal"/>
        <w:widowControl/>
        <w:rPr/>
      </w:pPr>
      <w:r>
        <w:rPr>
          <w:b w:val="false"/>
        </w:rPr>
        <w:t>1. Nothing in this Agreement creates a North American legislature, police authority, border command, immigration authority, tax authority, military command, or general regulatory government. Each Party retains its domestic governmental powers except for the specific international obligations it has expressly accepted in this Agreement.</w:t>
      </w:r>
    </w:p>
    <w:p>
      <w:pPr>
        <w:pStyle w:val="Normal"/>
        <w:widowControl/>
        <w:rPr/>
      </w:pPr>
      <w:r>
        <w:rPr>
          <w:b w:val="false"/>
        </w:rPr>
        <w:t>2. A panel, committee, Verification Team, Cothrom body, or other treaty institution may make findings, authorize consequences, or require treaty compliance only within the mandate expressly assigned to it. It may not enact domestic law, issue a criminal sentence, command national armed forces, admit or remove a person, issue a domestic regulatory license in place of the competent regulator, or exercise general executive authority within a Party.</w:t>
      </w:r>
    </w:p>
    <w:p>
      <w:pPr>
        <w:pStyle w:val="Normal"/>
        <w:widowControl/>
        <w:rPr/>
      </w:pPr>
      <w:r>
        <w:rPr>
          <w:b w:val="false"/>
        </w:rPr>
        <w:t>3. Binding findings within an expressly accepted treaty mandate are not an exercise of foreign domestic government. They determine the rights and consequences that the Parties consented to under this Agreement, subject to the due-process, evidence, appeal, mandate, and sovereignty safeguards stated elsewhere in the Agreement.</w:t>
      </w:r>
    </w:p>
    <w:p>
      <w:bookmarkStart w:id="1306" w:name="_NAESTMA_TOC_1306"/>
      <w:pPr>
        <w:pStyle w:val="Heading2"/>
        <w:keepNext/>
        <w:widowControl/>
        <w:rPr/>
      </w:pPr>
      <w:r>
        <w:rPr/>
        <w:t>Article 34.A.1: Living Amendment Ledger</w:t>
      </w:r>
      <w:bookmarkEnd w:id="1306"/>
    </w:p>
    <w:p>
      <w:pPr>
        <w:pStyle w:val="Normal"/>
        <w:widowControl/>
        <w:rPr/>
      </w:pPr>
      <w:r>
        <w:rPr/>
        <w:t>1. The existing Secretariat shall maintain the Amendment Ledger as a continuously updated public electronic record.</w:t>
      </w:r>
    </w:p>
    <w:p>
      <w:pPr>
        <w:pStyle w:val="Normal"/>
        <w:widowControl/>
        <w:rPr/>
      </w:pPr>
      <w:r>
        <w:rPr/>
        <w:t>2. Each entry shall identify, as applicable, the amendment or decision identifier; adoption and entry-into-force dates; legal authority; affected provisions; superseded text or reference; current operative text or consolidated reference; transitional rule; implementing instrument; and current status.</w:t>
      </w:r>
    </w:p>
    <w:p>
      <w:pPr>
        <w:pStyle w:val="Normal"/>
        <w:widowControl/>
        <w:rPr/>
      </w:pPr>
      <w:r>
        <w:rPr/>
        <w:t>3. The public Ledger is informational and does not itself amend the Agreement. In case of discrepancy, the authenticated legal instrument controls. Prior versions shall be preserved for traceability.</w:t>
      </w:r>
      <w:r>
        <w:br w:type="page"/>
      </w:r>
    </w:p>
    <w:p>
      <w:bookmarkStart w:id="1307" w:name="_NAESTMA_TOC_1307"/>
      <w:pPr>
        <w:pStyle w:val="Heading1"/>
        <w:keepNext/>
        <w:keepLines w:val="0"/>
        <w:pageBreakBefore/>
        <w:widowControl/>
        <w:rPr/>
      </w:pPr>
      <w:bookmarkStart w:id="123" w:name="_Toc237912604"/>
      <w:r>
        <w:rPr/>
        <w:t>CHAPTER 35</w:t>
      </w:r>
      <w:bookmarkEnd w:id="123"/>
      <w:bookmarkEnd w:id="1307"/>
    </w:p>
    <w:p>
      <w:bookmarkStart w:id="1308" w:name="_NAESTMA_TOC_1308"/>
      <w:pPr>
        <w:pStyle w:val="Heading1"/>
        <w:keepNext/>
        <w:pageBreakBefore w:val="0"/>
        <w:widowControl/>
        <w:rPr/>
      </w:pPr>
      <w:bookmarkStart w:id="124" w:name="_Toc237912605"/>
      <w:r>
        <w:rPr/>
        <w:t>TREATY INTEGRITY AND THE PROPORTIONAL TRADE ADJUSTMENT MECHANISM</w:t>
      </w:r>
      <w:bookmarkEnd w:id="124"/>
      <w:bookmarkEnd w:id="1308"/>
    </w:p>
    <w:p>
      <w:pPr>
        <w:pStyle w:val="TOCExcludedHeading1"/>
        <w:keepNext w:val="true"/>
        <w:widowControl/>
        <w:rPr/>
      </w:pPr>
      <w:r>
        <w:rPr/>
        <w:t>Version Preservation. The Secretariat shall preserve prior versions of the Living Amendment Ledger and associated adopted amendment records so that the legal history, effective date, and superseded text of each amendment remain traceable.</w:t>
      </w:r>
    </w:p>
    <w:p>
      <w:pPr>
        <w:pStyle w:val="Normal"/>
        <w:widowControl/>
        <w:rPr/>
      </w:pPr>
      <w:r>
        <w:rPr/>
        <w:t>*(As hardened by the CUSMA 2.1 Hardening Package)*</w:t>
      </w:r>
    </w:p>
    <w:p>
      <w:bookmarkStart w:id="1309" w:name="_NAESTMA_TOC_1309"/>
      <w:pPr>
        <w:pStyle w:val="Heading2"/>
        <w:keepNext/>
        <w:widowControl/>
        <w:rPr/>
      </w:pPr>
      <w:bookmarkStart w:id="125" w:name="_Toc237912606"/>
      <w:r>
        <w:rPr/>
        <w:t>Article 35.1: Purpose and Governing Principles</w:t>
      </w:r>
      <w:bookmarkEnd w:id="125"/>
      <w:bookmarkEnd w:id="1309"/>
    </w:p>
    <w:p>
      <w:pPr>
        <w:pStyle w:val="Normal"/>
        <w:widowControl/>
        <w:rPr/>
      </w:pPr>
      <w:r>
        <w:rPr/>
        <w:t>1. This Chapter establishes the North American Trade Stabilization Mechanism (the “Mechanism”), through which the Parties verify, classify, correct, remediate, and restore trade treatment in accordance with the operating doctrine of this Chapter: Verify, Classify, Correct, Remediate, Restore.</w:t>
      </w:r>
    </w:p>
    <w:p>
      <w:pPr>
        <w:pStyle w:val="Normal"/>
        <w:widowControl/>
        <w:rPr/>
      </w:pPr>
      <w:r>
        <w:rPr/>
        <w:t>2. The purpose of a trade remedy under this Agreement is to restore the conditions of fair trade, not to inflict economic injury upon another Party.</w:t>
      </w:r>
    </w:p>
    <w:p>
      <w:pPr>
        <w:pStyle w:val="Normal"/>
        <w:widowControl/>
        <w:rPr/>
      </w:pPr>
      <w:r>
        <w:rPr/>
        <w:t>3. The Mechanism is governed by the following principles:</w:t>
      </w:r>
    </w:p>
    <w:p>
      <w:pPr>
        <w:pStyle w:val="Normal"/>
        <w:widowControl/>
        <w:rPr/>
      </w:pPr>
      <w:r>
        <w:rPr/>
        <w:t xml:space="preserve">(a) </w:t>
      </w:r>
      <w:r>
        <w:rPr>
          <w:b/>
        </w:rPr>
        <w:t>Proportionality.</w:t>
      </w:r>
      <w:r>
        <w:rPr/>
        <w:t xml:space="preserve"> A corrective measure shall not exceed what is commensurate with the verified economic distortion it addresses. A measure exceeding the verified distortion is permissible only as an expressly authorized deterrent consequence of deliberate or sustained noncompliance, following the separate finding required by Article 35.12.3.</w:t>
      </w:r>
    </w:p>
    <w:p>
      <w:pPr>
        <w:pStyle w:val="Normal"/>
        <w:widowControl/>
        <w:rPr/>
      </w:pPr>
      <w:r>
        <w:rPr/>
        <w:t xml:space="preserve">(b) </w:t>
      </w:r>
      <w:r>
        <w:rPr>
          <w:b/>
        </w:rPr>
        <w:t>Reciprocity.</w:t>
      </w:r>
      <w:r>
        <w:rPr/>
        <w:t xml:space="preserve"> The Mechanism applies equally to, and equally constrains, each Party. All Parties comply; all Parties may challenge; all Parties may remediate; all Parties recover.</w:t>
      </w:r>
    </w:p>
    <w:p>
      <w:pPr>
        <w:pStyle w:val="Normal"/>
        <w:widowControl/>
        <w:rPr/>
      </w:pPr>
      <w:r>
        <w:rPr/>
        <w:t xml:space="preserve">(c) </w:t>
      </w:r>
      <w:r>
        <w:rPr>
          <w:b/>
        </w:rPr>
        <w:t>Specificity.</w:t>
      </w:r>
      <w:r>
        <w:rPr/>
        <w:t xml:space="preserve"> A corrective measure shall be directed at the entity, product, tariff line, subsector, or sector in which the verified distortion exists, and shall expand beyond that scope only in accordance with Article 35.13 (Narrowest-Sufficient-Remedy Rule).</w:t>
      </w:r>
    </w:p>
    <w:p>
      <w:pPr>
        <w:pStyle w:val="Normal"/>
        <w:widowControl/>
        <w:rPr/>
      </w:pPr>
      <w:r>
        <w:rPr/>
        <w:t xml:space="preserve">(d) </w:t>
      </w:r>
      <w:r>
        <w:rPr>
          <w:b/>
        </w:rPr>
        <w:t>Evidence.</w:t>
      </w:r>
      <w:r>
        <w:rPr/>
        <w:t xml:space="preserve"> No corrective measure applies on the basis of allegation, political assertion, or inference unsupported by an Evidence Package verified in accordance with this Chapter.</w:t>
      </w:r>
    </w:p>
    <w:p>
      <w:pPr>
        <w:pStyle w:val="Normal"/>
        <w:widowControl/>
        <w:rPr/>
      </w:pPr>
      <w:r>
        <w:rPr/>
        <w:t xml:space="preserve">(e) </w:t>
      </w:r>
      <w:r>
        <w:rPr>
          <w:b/>
        </w:rPr>
        <w:t>Reversibility.</w:t>
      </w:r>
      <w:r>
        <w:rPr/>
        <w:t xml:space="preserve"> Every corrective measure adopted under this Agreement is reversible, and carries at inception the objective conditions for its own termination.</w:t>
      </w:r>
    </w:p>
    <w:p>
      <w:pPr>
        <w:pStyle w:val="Normal"/>
        <w:widowControl/>
        <w:rPr/>
      </w:pPr>
      <w:r>
        <w:rPr/>
        <w:t xml:space="preserve">(f) </w:t>
      </w:r>
      <w:r>
        <w:rPr>
          <w:b/>
        </w:rPr>
        <w:t>Automatic restoration.</w:t>
      </w:r>
      <w:r>
        <w:rPr/>
        <w:t xml:space="preserve"> Upon independent verification of remediation, corrective measures terminate and preferential treatment restores automatically, without further political decision, negotiation, vote, or condition.</w:t>
      </w:r>
    </w:p>
    <w:p>
      <w:pPr>
        <w:pStyle w:val="Normal"/>
        <w:widowControl/>
        <w:rPr/>
      </w:pPr>
      <w:r>
        <w:rPr/>
        <w:t xml:space="preserve">(g) </w:t>
      </w:r>
      <w:r>
        <w:rPr>
          <w:b/>
        </w:rPr>
        <w:t>No unrelated punishment.</w:t>
      </w:r>
      <w:r>
        <w:rPr/>
        <w:t xml:space="preserve"> A distortion verified within one trade module does not, by itself, authorize a corrective measure within another trade module.</w:t>
      </w:r>
    </w:p>
    <w:p>
      <w:pPr>
        <w:pStyle w:val="Normal"/>
        <w:widowControl/>
        <w:rPr/>
      </w:pPr>
      <w:r>
        <w:rPr/>
        <w:t xml:space="preserve">(h) </w:t>
      </w:r>
      <w:r>
        <w:rPr>
          <w:b/>
        </w:rPr>
        <w:t>No snapback.</w:t>
      </w:r>
      <w:r>
        <w:rPr/>
        <w:t xml:space="preserve"> No provision of this Agreement, and no measure taken under it, operates as a binary snapback under which a single determination, breach, or failure collapses the benefits, preferences, or architecture of this Agreement or of any Chapter of it. Enforcement under this Agreement is graduated, reversible, and proportionate.</w:t>
      </w:r>
    </w:p>
    <w:p>
      <w:pPr>
        <w:pStyle w:val="Normal"/>
        <w:widowControl/>
        <w:rPr/>
      </w:pPr>
      <w:r>
        <w:rPr/>
        <w:t>4. Tariffs between the Parties are quarantined as an extraordinary remedy of absolute last resort. Cothrom verification, cure, demerit assessment, preference step-back, compensation, and other targeted non-tariff remedies shall be exhausted or found demonstrably incapable of preventing serious continuing harm before a tariff may be considered. No tariff may take effect without authorization under Articles 35.38 through 35.40.</w:t>
      </w:r>
    </w:p>
    <w:p>
      <w:bookmarkStart w:id="1310" w:name="_NAESTMA_TOC_1310"/>
      <w:pPr>
        <w:pStyle w:val="Heading2"/>
        <w:keepNext/>
        <w:widowControl/>
        <w:rPr/>
      </w:pPr>
      <w:bookmarkStart w:id="126" w:name="_Toc237912607"/>
      <w:r>
        <w:rPr/>
        <w:t>Article 35.2: Definitions</w:t>
      </w:r>
      <w:bookmarkEnd w:id="126"/>
      <w:bookmarkEnd w:id="1310"/>
    </w:p>
    <w:p>
      <w:pPr>
        <w:pStyle w:val="Normal"/>
        <w:widowControl/>
        <w:rPr/>
      </w:pPr>
      <w:r>
        <w:rPr/>
        <w:t>For the purposes of this Chapter, and for the purposes of this Agreement wherever the following terms are used:</w:t>
      </w:r>
    </w:p>
    <w:p>
      <w:pPr>
        <w:pStyle w:val="Normal"/>
        <w:widowControl/>
        <w:rPr/>
      </w:pPr>
      <w:r>
        <w:rPr>
          <w:b/>
        </w:rPr>
        <w:t>covered border measure</w:t>
      </w:r>
      <w:r>
        <w:rPr/>
        <w:t xml:space="preserve"> means any measure of a Party, however denominated, designated, or authorized under that Party’s domestic law, that imposes, increases, reinstates, or has the economic effect of imposing or increasing, a charge, restriction, or condition on the importation or exportation of goods by reason of the goods crossing the border, including:</w:t>
      </w:r>
    </w:p>
    <w:p>
      <w:pPr>
        <w:pStyle w:val="Normal"/>
        <w:widowControl/>
        <w:rPr/>
      </w:pPr>
      <w:r>
        <w:rPr/>
        <w:t>(a) a customs duty, tariff, additional duty, supplementary duty, or retaliatory duty;</w:t>
      </w:r>
    </w:p>
    <w:p>
      <w:pPr>
        <w:pStyle w:val="Normal"/>
        <w:widowControl/>
        <w:rPr/>
      </w:pPr>
      <w:r>
        <w:rPr/>
        <w:t>(b) a surcharge, import surcharge, balance-of-payments surcharge, or emergency surcharge;</w:t>
      </w:r>
    </w:p>
    <w:p>
      <w:pPr>
        <w:pStyle w:val="Normal"/>
        <w:widowControl/>
        <w:rPr/>
      </w:pPr>
      <w:r>
        <w:rPr/>
        <w:t>(c) an import fee, border fee, border adjustment charge, security levy, processing fee, or equivalent charge;</w:t>
      </w:r>
    </w:p>
    <w:p>
      <w:pPr>
        <w:pStyle w:val="Normal"/>
        <w:widowControl/>
        <w:rPr/>
      </w:pPr>
      <w:r>
        <w:rPr/>
        <w:t>(d) a quantitative restriction, quota, tariff-rate quota, import or export licensing condition with restrictive effect, government-induced export restraint, managed-trade quota, or coerced minimum-price undertaking;</w:t>
      </w:r>
    </w:p>
    <w:p>
      <w:pPr>
        <w:pStyle w:val="Normal"/>
        <w:widowControl/>
        <w:rPr/>
      </w:pPr>
      <w:r>
        <w:rPr/>
        <w:t>(e) a suspension, withdrawal, or conditioning of preferential, simplified, expedited, or duty-free customs treatment, including treatment of low-value shipments;</w:t>
      </w:r>
    </w:p>
    <w:p>
      <w:pPr>
        <w:pStyle w:val="Normal"/>
        <w:widowControl/>
        <w:rPr/>
      </w:pPr>
      <w:r>
        <w:rPr/>
        <w:t>(f) a requirement calculated on the basis of the national or Party-specific content of a good, including any measure that differentiates among the content of the Parties within an originating good;</w:t>
      </w:r>
    </w:p>
    <w:p>
      <w:pPr>
        <w:pStyle w:val="Normal"/>
        <w:widowControl/>
        <w:rPr/>
      </w:pPr>
      <w:r>
        <w:rPr/>
        <w:t>(g) an extraordinary import or export charge adopted under emergency, national security, national defense, economic emergency, or balance-of-payments authority;</w:t>
      </w:r>
    </w:p>
    <w:p>
      <w:pPr>
        <w:pStyle w:val="Normal"/>
        <w:widowControl/>
        <w:rPr/>
      </w:pPr>
      <w:r>
        <w:rPr/>
        <w:t>(h) a substantially equivalent internal fiscal, regulatory, or administrative measure within Article 35.4A; and</w:t>
      </w:r>
    </w:p>
    <w:p>
      <w:pPr>
        <w:pStyle w:val="Normal"/>
        <w:widowControl/>
        <w:rPr/>
      </w:pPr>
      <w:r>
        <w:rPr/>
        <w:t>(i) any other measure substantially equivalent in economic effect to a measure described in subparagraphs (a) through (h),</w:t>
      </w:r>
    </w:p>
    <w:p>
      <w:pPr>
        <w:pStyle w:val="Normal"/>
        <w:widowControl/>
        <w:rPr/>
      </w:pPr>
      <w:r>
        <w:rPr/>
        <w:t>whether the measure is adopted under statutory, executive, regulatory, proclamatory, or other domestic authority, and whether the measure is characterized under domestic law as a tariff, tax, fee, adjustment, restriction, exclusion, suspension, or otherwise;</w:t>
      </w:r>
    </w:p>
    <w:p>
      <w:pPr>
        <w:pStyle w:val="Normal"/>
        <w:widowControl/>
        <w:rPr/>
      </w:pPr>
      <w:r>
        <w:rPr>
          <w:b/>
        </w:rPr>
        <w:t>Proportional Trade Adjustment</w:t>
      </w:r>
      <w:r>
        <w:rPr/>
        <w:t xml:space="preserve"> or </w:t>
      </w:r>
      <w:r>
        <w:rPr>
          <w:b/>
        </w:rPr>
        <w:t>PTA</w:t>
      </w:r>
      <w:r>
        <w:rPr/>
        <w:t xml:space="preserve"> means a temporary, bounded corrective adjustment to the preferential treatment of identified goods, calculated and administered in accordance with Article 35.12 and Annex 35-A;</w:t>
      </w:r>
    </w:p>
    <w:p>
      <w:pPr>
        <w:pStyle w:val="Normal"/>
        <w:widowControl/>
        <w:rPr/>
      </w:pPr>
      <w:r>
        <w:rPr>
          <w:b/>
        </w:rPr>
        <w:t>verified economic distortion</w:t>
      </w:r>
      <w:r>
        <w:rPr/>
        <w:t xml:space="preserve"> means an economic distortion whose existence, scope, affected trade, and magnitude have been established by the North American Trade Verification Panel under Article 35.10, quantified in accordance with the methodology rules of Annex 35-A, including: a defined counterfactual baseline; treatment of direct and demonstrated indirect effects; exclusion of speculative or general macroeconomic effects; documented treatment of exchange-rate movements, lost sales, price suppression or depression, and subsidy incidence; and a reported best estimate together with an uncertainty band, expressed as a price effect, margin of subsidy or dumping, volume effect, or equivalent quantified measure;</w:t>
      </w:r>
    </w:p>
    <w:p>
      <w:pPr>
        <w:pStyle w:val="Normal"/>
        <w:widowControl/>
        <w:rPr/>
      </w:pPr>
      <w:r>
        <w:rPr>
          <w:b/>
        </w:rPr>
        <w:t>trade module</w:t>
      </w:r>
      <w:r>
        <w:rPr/>
        <w:t xml:space="preserve"> means a category of trade listed in Annex 35-B for the purposes of the module firewall in Article 35.15, with assignment of multi-module goods governed by the dominant-purpose test in Annex 35-B, Part 1;</w:t>
      </w:r>
    </w:p>
    <w:p>
      <w:pPr>
        <w:pStyle w:val="Normal"/>
        <w:widowControl/>
        <w:rPr/>
      </w:pPr>
      <w:r>
        <w:rPr>
          <w:b/>
        </w:rPr>
        <w:t>originating good</w:t>
      </w:r>
      <w:r>
        <w:rPr/>
        <w:t xml:space="preserve"> means a good qualifying as originating under Chapter 4 (Rules of Origin), and includes a good qualifying under any special or sectoral origin procedure of this Agreement;</w:t>
      </w:r>
    </w:p>
    <w:p>
      <w:pPr>
        <w:pStyle w:val="Normal"/>
        <w:widowControl/>
        <w:rPr/>
      </w:pPr>
      <w:r>
        <w:rPr>
          <w:b/>
        </w:rPr>
        <w:t>Evidence Package</w:t>
      </w:r>
      <w:r>
        <w:rPr/>
        <w:t xml:space="preserve"> means the submission described in Article 35.9;</w:t>
      </w:r>
    </w:p>
    <w:p>
      <w:pPr>
        <w:pStyle w:val="Normal"/>
        <w:widowControl/>
        <w:rPr/>
      </w:pPr>
      <w:r>
        <w:rPr>
          <w:b/>
        </w:rPr>
        <w:t>remediation</w:t>
      </w:r>
      <w:r>
        <w:rPr/>
        <w:t xml:space="preserve"> means the cessation, correction, or offset of the conduct or measure constituting a verified distortion, as specified in the restoration conditions issued under Article 35.17;</w:t>
      </w:r>
    </w:p>
    <w:p>
      <w:pPr>
        <w:pStyle w:val="Normal"/>
        <w:widowControl/>
        <w:rPr/>
      </w:pPr>
      <w:r>
        <w:rPr>
          <w:b/>
        </w:rPr>
        <w:t>Trusted North American Origin</w:t>
      </w:r>
      <w:r>
        <w:rPr/>
        <w:t xml:space="preserve"> means the status conferred under Article 36.6;</w:t>
      </w:r>
    </w:p>
    <w:p>
      <w:pPr>
        <w:pStyle w:val="Normal"/>
        <w:widowControl/>
        <w:rPr/>
      </w:pPr>
      <w:r>
        <w:rPr>
          <w:b/>
        </w:rPr>
        <w:t>legacy measure</w:t>
      </w:r>
      <w:r>
        <w:rPr/>
        <w:t xml:space="preserve"> means a covered border measure applied by a Party on originating goods of another Party and in force on the date of signature of the Protocol of Modernization;</w:t>
      </w:r>
    </w:p>
    <w:p>
      <w:pPr>
        <w:pStyle w:val="Normal"/>
        <w:widowControl/>
        <w:rPr/>
      </w:pPr>
      <w:r>
        <w:rPr>
          <w:b/>
        </w:rPr>
        <w:t>low-value shipment</w:t>
      </w:r>
      <w:r>
        <w:rPr/>
        <w:t xml:space="preserve"> means a shipment qualifying for simplified or duty-free entry under a Party’s de minimis or equivalent regime;</w:t>
      </w:r>
    </w:p>
    <w:p>
      <w:pPr>
        <w:pStyle w:val="Normal"/>
        <w:widowControl/>
        <w:rPr/>
      </w:pPr>
      <w:r>
        <w:rPr>
          <w:b/>
        </w:rPr>
        <w:t>emergency</w:t>
      </w:r>
      <w:r>
        <w:rPr/>
        <w:t>, for the purposes of Article 35.21, means a sudden, unforeseen, and objectively demonstrable situation causing or threatening serious injury to a Party’s producers, critical infrastructure, public health, or public safety, and does not include ordinary political urgency, electoral considerations, industrial lobbying, price weakness in ordinary market conditions, or the existence or size of a bilateral trade deficit.</w:t>
      </w:r>
    </w:p>
    <w:p>
      <w:bookmarkStart w:id="1311" w:name="_NAESTMA_TOC_1311"/>
      <w:pPr>
        <w:pStyle w:val="Heading2"/>
        <w:keepNext/>
        <w:widowControl/>
        <w:rPr/>
      </w:pPr>
      <w:bookmarkStart w:id="127" w:name="_Toc237912608"/>
      <w:r>
        <w:rPr/>
        <w:t>Article 35.3: CUSMA-Originating Goods Tariff Guarantee</w:t>
      </w:r>
      <w:bookmarkEnd w:id="127"/>
      <w:bookmarkEnd w:id="1311"/>
    </w:p>
    <w:p>
      <w:pPr>
        <w:pStyle w:val="Normal"/>
        <w:widowControl/>
        <w:rPr/>
      </w:pPr>
      <w:r>
        <w:rPr/>
        <w:t>1. Each Party shall accord to an originating good of another Party the tariff treatment established in that Party’s Schedule to Annex 2-B (Tariff Commitments), subject only to an exception expressly provided in this Agreement.</w:t>
      </w:r>
    </w:p>
    <w:p>
      <w:pPr>
        <w:pStyle w:val="Normal"/>
        <w:widowControl/>
        <w:rPr/>
      </w:pPr>
      <w:r>
        <w:rPr/>
        <w:t>2. The guarantee in paragraph 1 applies notwithstanding the domestic statutory, executive, regulatory, proclamatory, or other authority under which a covered border measure is adopted or maintained, and notwithstanding the name, designation, characterization, or stated purpose assigned to that measure under domestic law.</w:t>
      </w:r>
    </w:p>
    <w:p>
      <w:pPr>
        <w:pStyle w:val="Normal"/>
        <w:widowControl/>
        <w:rPr/>
      </w:pPr>
      <w:r>
        <w:rPr/>
        <w:t>3. The obligations of this Agreement with respect to covered border measures apply according to the substance and economic effect of a measure, without regard to the domestic legal authority, designation, form, or terminology under which a Party adopts or maintains that measure. For greater certainty, a measure is subject to this Agreement if its economic function is that of a covered border measure, including a measure denominated as a tariff, tax, fee, surcharge, levy, adjustment, restriction, exclusion, licensing condition, financial-security requirement, or suspension of preferential or simplified customs treatment.</w:t>
      </w:r>
    </w:p>
    <w:p>
      <w:pPr>
        <w:pStyle w:val="Normal"/>
        <w:widowControl/>
        <w:rPr/>
      </w:pPr>
      <w:r>
        <w:rPr/>
        <w:t>4. No Party shall accomplish indirectly, through a covered border measure, what this Agreement prohibits that Party from accomplishing directly, except pursuant to an express exception contained in this Agreement.</w:t>
      </w:r>
    </w:p>
    <w:p>
      <w:pPr>
        <w:pStyle w:val="Normal"/>
        <w:widowControl/>
        <w:rPr/>
      </w:pPr>
      <w:r>
        <w:rPr/>
        <w:t>5. No Party shall apply a covered border measure to an originating good of another Party on the basis of the proportion of that good’s content that is attributable to one Party rather than to the Parties collectively. Origin under this Agreement is North American origin. For greater certainty, and without limiting Chapter 4, a covered border measure that differentiates treatment of an originating good according to the share of its value, content, or processes attributable to a single Party is inconsistent with this Agreement.</w:t>
      </w:r>
    </w:p>
    <w:p>
      <w:pPr>
        <w:pStyle w:val="Normal"/>
        <w:widowControl/>
        <w:rPr/>
      </w:pPr>
      <w:r>
        <w:rPr/>
        <w:t>6. No Party shall apply a covered border measure to an originating good of another Party by reason of a grievance, dispute, policy objective, or negotiation position that does not concern trade in goods or services under this Agreement. For greater certainty, conduct relating to migration, drug trafficking, crime, environmental phenomena, infrastructure, diplomatic relations, or a third country does not constitute a basis for a covered border measure against originating goods under this Agreement.</w:t>
      </w:r>
    </w:p>
    <w:p>
      <w:pPr>
        <w:pStyle w:val="Normal"/>
        <w:widowControl/>
        <w:rPr/>
      </w:pPr>
      <w:r>
        <w:rPr/>
        <w:t>7. No Party shall apply a covered border measure to an originating good of another Party on the ground that the other Party accords, under a separate international agreement, treatment to a non-Party that differs from treatment accorded under this Agreement, provided the other Party’s administration of this Agreement conforms to this Agreement.</w:t>
      </w:r>
    </w:p>
    <w:p>
      <w:pPr>
        <w:pStyle w:val="Normal"/>
        <w:widowControl/>
        <w:rPr/>
      </w:pPr>
      <w:r>
        <w:rPr/>
        <w:t>8. No Party shall condition the tariff treatment of originating goods on investment commitments, production-location commitments, sourcing commitments within a single Party, pricing commitments, purchase commitments, import targets, or other concessions extraneous to the originating status of the goods.</w:t>
      </w:r>
    </w:p>
    <w:p>
      <w:pPr>
        <w:pStyle w:val="Normal"/>
        <w:widowControl/>
        <w:rPr/>
      </w:pPr>
      <w:r>
        <w:rPr/>
        <w:t>9. This Article does not constrain: (a) antidumping and countervailing duties imposed consistently with Chapter 10 (Trade Remedies) as amended by this modernization, including Articles 10.A and 10.B; (b) a safeguard measure imposed consistently with Chapter 10 as amended; (c) a Proportional Trade Adjustment authorized under this Chapter; (d) an emergency provisional measure applied consistently with Article 35.21; or (e) an essential security measure applied consistently with Article 32.2 (Essential Security) as replaced by this modernization and reviewed under Article 35.22.</w:t>
      </w:r>
    </w:p>
    <w:p>
      <w:pPr>
        <w:pStyle w:val="Normal"/>
        <w:widowControl/>
        <w:rPr/>
      </w:pPr>
      <w:r>
        <w:rPr/>
        <w:t>10. Presumption of Tariff Finality. Preferential tariff treatment established by this Agreement is permanent economic infrastructure and shall not be increased, suspended, conditioned, or threatened for bargaining leverage, revenue generation, political retaliation, bilateral trade-balance objectives, migration or narcotics disputes unrelated to the goods, or generalized industrial-policy objectives.</w:t>
      </w:r>
    </w:p>
    <w:p>
      <w:pPr>
        <w:pStyle w:val="Normal"/>
        <w:widowControl/>
        <w:rPr/>
      </w:pPr>
      <w:r>
        <w:rPr/>
        <w:t>11. A departure from paragraph 10 is permitted only through an express mechanism of this Agreement that independently authorizes the measure, satisfies its evidentiary and procedural conditions, and is applied for the shortest period and at the lowest level reasonably sufficient to address the verified matter.</w:t>
      </w:r>
    </w:p>
    <w:p>
      <w:pPr>
        <w:pStyle w:val="Normal"/>
        <w:widowControl/>
        <w:rPr/>
      </w:pPr>
      <w:r>
        <w:rPr/>
        <w:t>12. Tariff-based corrective measures are remedies of last resort. Where a non-tariff corrective measure available under Articles 35.16 and 35.17A can reasonably achieve equivalent compliance with materially less disruption to innocent trade, the non-tariff measure shall be preferred.</w:t>
      </w:r>
    </w:p>
    <w:p>
      <w:bookmarkStart w:id="1312" w:name="_NAESTMA_TOC_1312"/>
      <w:pPr>
        <w:pStyle w:val="Heading2"/>
        <w:keepNext/>
        <w:widowControl/>
        <w:rPr/>
      </w:pPr>
      <w:bookmarkStart w:id="128" w:name="_Toc237912609"/>
      <w:r>
        <w:rPr/>
        <w:t>Article 35.3A: Export Measures</w:t>
      </w:r>
      <w:bookmarkEnd w:id="128"/>
      <w:bookmarkEnd w:id="1312"/>
    </w:p>
    <w:p>
      <w:pPr>
        <w:pStyle w:val="Normal"/>
        <w:widowControl/>
        <w:rPr/>
      </w:pPr>
      <w:r>
        <w:rPr/>
        <w:t>1. This Chapter applies, mutatis mutandis, to extraordinary restrictions, duties, taxes, fees, quotas, licensing conditions, or prohibitions applied by a Party on the exportation of goods to another Party, including energy, machinery, technology, components, medicines, and industrial inputs.</w:t>
      </w:r>
    </w:p>
    <w:p>
      <w:pPr>
        <w:pStyle w:val="Normal"/>
        <w:widowControl/>
        <w:rPr/>
      </w:pPr>
      <w:r>
        <w:rPr/>
        <w:t>2. No Party shall apply an extraordinary export restriction against another Party as retaliation, leverage, or punishment in a matter arising under this Agreement. An export restriction in respect of a verified distortion is available only through the stages of Article 35.16, within the affected module, and subject to the same ceilings, expiry, and automatic restoration as a PTA.</w:t>
      </w:r>
    </w:p>
    <w:p>
      <w:pPr>
        <w:pStyle w:val="Normal"/>
        <w:widowControl/>
        <w:rPr/>
      </w:pPr>
      <w:r>
        <w:rPr/>
        <w:t>3. Article 2.12 (Export Duties, Taxes, or Other Charges) and the disciplines of this Agreement on export restrictions remain in force. For greater certainty, an extraordinary discriminatory export duty, tax, or charge applied by reason of the destination of the goods in another Party is a covered border measure.</w:t>
      </w:r>
    </w:p>
    <w:p>
      <w:pPr>
        <w:pStyle w:val="Normal"/>
        <w:widowControl/>
        <w:rPr/>
      </w:pPr>
      <w:r>
        <w:rPr/>
        <w:t>4. Nothing in this Article constrains export controls of general application addressed to non-Parties, non-proliferation controls, or measures consistent with Article 32.2 as replaced.</w:t>
      </w:r>
    </w:p>
    <w:p>
      <w:bookmarkStart w:id="1313" w:name="_NAESTMA_TOC_1313"/>
      <w:pPr>
        <w:pStyle w:val="Heading2"/>
        <w:keepNext/>
        <w:widowControl/>
        <w:rPr/>
      </w:pPr>
      <w:bookmarkStart w:id="129" w:name="_Toc237912610"/>
      <w:r>
        <w:rPr/>
        <w:t>Article 35.4: Equivalent Measures and Anti-Evasion</w:t>
      </w:r>
      <w:bookmarkEnd w:id="129"/>
      <w:bookmarkEnd w:id="1313"/>
    </w:p>
    <w:p>
      <w:pPr>
        <w:pStyle w:val="Normal"/>
        <w:widowControl/>
        <w:rPr/>
      </w:pPr>
      <w:r>
        <w:rPr/>
        <w:t>1. No Party shall evade Article 35.3 by:</w:t>
      </w:r>
    </w:p>
    <w:p>
      <w:pPr>
        <w:pStyle w:val="Normal"/>
        <w:widowControl/>
        <w:rPr/>
      </w:pPr>
      <w:r>
        <w:rPr/>
        <w:t>(a) replacing a prohibited duty with a fee, surcharge, levy, or charge of equivalent economic effect;</w:t>
      </w:r>
    </w:p>
    <w:p>
      <w:pPr>
        <w:pStyle w:val="Normal"/>
        <w:widowControl/>
        <w:rPr/>
      </w:pPr>
      <w:r>
        <w:rPr/>
        <w:t>(b) replacing a prohibited duty with a quantitative restriction, quota, or tariff-rate quota carrying a restrictive or punitive over-quota rate;</w:t>
      </w:r>
    </w:p>
    <w:p>
      <w:pPr>
        <w:pStyle w:val="Normal"/>
        <w:widowControl/>
        <w:rPr/>
      </w:pPr>
      <w:r>
        <w:rPr/>
        <w:t>(c) withdrawing, suspending, or conditioning duty-free, simplified, or expedited customs treatment, including treatment of low-value shipments, so as to impose on originating goods a burden equivalent to a prohibited duty;</w:t>
      </w:r>
    </w:p>
    <w:p>
      <w:pPr>
        <w:pStyle w:val="Normal"/>
        <w:widowControl/>
        <w:rPr/>
      </w:pPr>
      <w:r>
        <w:rPr/>
        <w:t>(d) extending a measure addressed to a primary product to derivative or downstream products so as to reach trade not covered by a verified distortion in the primary product, except where the derivative or downstream product itself embodies the verified distortion, it being understood that a Party shall not define “derivative” so broadly that products not meaningfully embodying the distorted input are captured;</w:t>
      </w:r>
    </w:p>
    <w:p>
      <w:pPr>
        <w:pStyle w:val="Normal"/>
        <w:widowControl/>
        <w:rPr/>
      </w:pPr>
      <w:r>
        <w:rPr/>
        <w:t>(e) adding products to an existing extraordinary measure to prevent circumvention, except following verification under this Chapter that the added products embody the verified distortion;</w:t>
      </w:r>
    </w:p>
    <w:p>
      <w:pPr>
        <w:pStyle w:val="Normal"/>
        <w:widowControl/>
        <w:rPr/>
      </w:pPr>
      <w:r>
        <w:rPr/>
        <w:t>(f) applying a special origin test, including a test based on the place of an underlying production process, that operates independently of, and more restrictively than, the rules of origin in Chapter 4, except as expressly provided in this Agreement;</w:t>
      </w:r>
    </w:p>
    <w:p>
      <w:pPr>
        <w:pStyle w:val="Normal"/>
        <w:widowControl/>
        <w:rPr/>
      </w:pPr>
      <w:r>
        <w:rPr/>
        <w:t>(g) reviving, re-adopting, or escalating a previous extraordinary measure on the basis of a prior domestic finding, without a new verification under this Chapter establishing the current existence and magnitude of the distortion;</w:t>
      </w:r>
    </w:p>
    <w:p>
      <w:pPr>
        <w:pStyle w:val="Normal"/>
        <w:widowControl/>
        <w:rPr/>
      </w:pPr>
      <w:r>
        <w:rPr/>
        <w:t>(h) escalating the rate or scope of an extraordinary measure in the absence of a new verified change in the underlying distortion;</w:t>
      </w:r>
    </w:p>
    <w:p>
      <w:pPr>
        <w:pStyle w:val="Normal"/>
        <w:widowControl/>
        <w:rPr/>
      </w:pPr>
      <w:r>
        <w:rPr/>
        <w:t>(i) terminating or materially impairing, by unilateral action, an exemption, exclusion, or alternative arrangement accorded to another Party’s originating goods under this Agreement;</w:t>
      </w:r>
    </w:p>
    <w:p>
      <w:pPr>
        <w:pStyle w:val="Normal"/>
        <w:widowControl/>
        <w:rPr/>
      </w:pPr>
      <w:r>
        <w:rPr/>
        <w:t>(j) applying minimum effective duty floors to originating goods such that the measure persists independently of the verified distortion;</w:t>
      </w:r>
    </w:p>
    <w:p>
      <w:pPr>
        <w:pStyle w:val="Normal"/>
        <w:widowControl/>
        <w:rPr/>
      </w:pPr>
      <w:r>
        <w:rPr/>
        <w:t>(k) imposing a covered border measure selectively on one Party while according materially more favorable treatment to like originating goods of another Party or to like goods of a non-Party, except pursuant to an express exception of this Agreement or a preference consistent with Article 35.5;</w:t>
      </w:r>
    </w:p>
    <w:p>
      <w:pPr>
        <w:pStyle w:val="Normal"/>
        <w:widowControl/>
        <w:rPr/>
      </w:pPr>
      <w:r>
        <w:rPr/>
        <w:t>(l) adopting a new covered border measure under a different domestic authority where a substantively identical measure has been terminated, found inconsistent with this Agreement, or withdrawn;</w:t>
      </w:r>
    </w:p>
    <w:p>
      <w:pPr>
        <w:pStyle w:val="Normal"/>
        <w:widowControl/>
        <w:rPr/>
      </w:pPr>
      <w:r>
        <w:rPr/>
        <w:t>(m) stacking covered border measures such that the cumulative charge on an originating good exceeds the ceiling applicable under this Chapter to the verified distortion being addressed; or</w:t>
      </w:r>
    </w:p>
    <w:p>
      <w:pPr>
        <w:pStyle w:val="Normal"/>
        <w:widowControl/>
        <w:rPr/>
      </w:pPr>
      <w:r>
        <w:rPr/>
        <w:t>(n) adopting a substantially identical measure under a new stated justification, where the measure, the targeted trade, and its economic effect remain substantially the same; for the purposes of duration limits, renewal limits, and verification requirements of this Agreement, such successive measures are treated as a single continuing measure.</w:t>
      </w:r>
    </w:p>
    <w:p>
      <w:pPr>
        <w:pStyle w:val="Normal"/>
        <w:widowControl/>
        <w:rPr/>
      </w:pPr>
      <w:r>
        <w:rPr/>
        <w:t>2. Where a Party adopts or maintains a measure described in paragraph 1, the measure is subject to this Chapter as if it were the covered border measure whose effect it reproduces.</w:t>
      </w:r>
    </w:p>
    <w:p>
      <w:bookmarkStart w:id="1314" w:name="_NAESTMA_TOC_1314"/>
      <w:pPr>
        <w:pStyle w:val="Heading2"/>
        <w:keepNext/>
        <w:widowControl/>
        <w:rPr/>
      </w:pPr>
      <w:bookmarkStart w:id="130" w:name="_Toc237912611"/>
      <w:r>
        <w:rPr/>
        <w:t>Article 35.4A: Substitute Measures — Internal, Regulatory, Customs-Administration, and Procurement Routes</w:t>
      </w:r>
      <w:bookmarkEnd w:id="130"/>
      <w:bookmarkEnd w:id="1314"/>
    </w:p>
    <w:p>
      <w:pPr>
        <w:pStyle w:val="Normal"/>
        <w:widowControl/>
        <w:rPr/>
      </w:pPr>
      <w:r>
        <w:rPr/>
        <w:t>1. The following measures, where applied so as to discriminate against or materially burden the originating goods, suppliers, or service suppliers of another Party by comparison with like domestic or non-Party goods, suppliers, or service suppliers, or so as to reproduce the economic effect of a covered border measure, are covered border measures for the purposes of this Agreement, wherever in the customs, fiscal, or regulatory process they are applied:</w:t>
      </w:r>
    </w:p>
    <w:p>
      <w:pPr>
        <w:pStyle w:val="Normal"/>
        <w:widowControl/>
        <w:rPr/>
      </w:pPr>
      <w:r>
        <w:rPr/>
        <w:t>(a) an excise, sales, environmental, luxury, processing, consumption, or other internal tax targeted in fact at another Party’s goods, beyond treatment consistent with Article 2.3 (National Treatment);</w:t>
      </w:r>
    </w:p>
    <w:p>
      <w:pPr>
        <w:pStyle w:val="Normal"/>
        <w:widowControl/>
        <w:rPr/>
      </w:pPr>
      <w:r>
        <w:rPr/>
        <w:t>(b) an inspection charge, certification fee, licensing fee, port charge, customs-user fee, or compliance assessment exceeding the approximate cost of services rendered or applied discriminatorily;</w:t>
      </w:r>
    </w:p>
    <w:p>
      <w:pPr>
        <w:pStyle w:val="Normal"/>
        <w:widowControl/>
        <w:rPr/>
      </w:pPr>
      <w:r>
        <w:rPr/>
        <w:t>(c) a requirement that another Party’s goods enter only through designated ports, inspection centers, or crossings, or at restricted hours, unless objectively necessary for safety, security, or infrastructure capacity, with the invoking Party bearing the burden of demonstrating that necessity;</w:t>
      </w:r>
    </w:p>
    <w:p>
      <w:pPr>
        <w:pStyle w:val="Normal"/>
        <w:widowControl/>
        <w:rPr/>
      </w:pPr>
      <w:r>
        <w:rPr/>
        <w:t>(d) systematic, discriminatory clearance delay, inspection intensity, documentation demands, or release holds that materially burden originating trade, assessed against the Party’s published processing benchmarks under Article 7.D;</w:t>
      </w:r>
    </w:p>
    <w:p>
      <w:pPr>
        <w:pStyle w:val="Normal"/>
        <w:widowControl/>
        <w:rPr/>
      </w:pPr>
      <w:r>
        <w:rPr/>
        <w:t>(e) inspection rates on another Party’s goods materially exceeding those applied to like domestic or non-Party goods presenting a comparable documented risk profile, where the disparity is not justified by measurable, published risk criteria;</w:t>
      </w:r>
    </w:p>
    <w:p>
      <w:pPr>
        <w:pStyle w:val="Normal"/>
        <w:widowControl/>
        <w:rPr/>
      </w:pPr>
      <w:r>
        <w:rPr/>
        <w:t>(f) a customs bond, deposit, guarantee, surety, or collateral requirement that is materially excessive in relation to the secured obligation or discriminatorily applied;</w:t>
      </w:r>
    </w:p>
    <w:p>
      <w:pPr>
        <w:pStyle w:val="Normal"/>
        <w:widowControl/>
        <w:rPr/>
      </w:pPr>
      <w:r>
        <w:rPr/>
        <w:t>(g) a customs-valuation methodology departing from the Customs Valuation Agreement as incorporated in Article 7.3, or an extraordinary valuation methodology targeted at another Party’s goods;</w:t>
      </w:r>
    </w:p>
    <w:p>
      <w:pPr>
        <w:pStyle w:val="Normal"/>
        <w:widowControl/>
        <w:rPr/>
      </w:pPr>
      <w:r>
        <w:rPr/>
        <w:t>(h) a systematic reclassification of another Party’s goods into less favorable tariff lines without a corresponding change in the Harmonized System or in the goods themselves, subject to expedited review under Article 31.A;</w:t>
      </w:r>
    </w:p>
    <w:p>
      <w:pPr>
        <w:pStyle w:val="Normal"/>
        <w:widowControl/>
        <w:rPr/>
      </w:pPr>
      <w:r>
        <w:rPr/>
        <w:t>(i) repetitive origin verifications of the same exporters, producers, or goods without new evidence, contrary to the discipline of Article 5.A;</w:t>
      </w:r>
    </w:p>
    <w:p>
      <w:pPr>
        <w:pStyle w:val="Normal"/>
        <w:widowControl/>
        <w:rPr/>
      </w:pPr>
      <w:r>
        <w:rPr/>
        <w:t>(j) government-induced export restraints, managed-trade quotas, minimum export prices, or similar arrangements obtained from another Party under threat of a measure that would be prohibited by this Agreement;</w:t>
      </w:r>
    </w:p>
    <w:p>
      <w:pPr>
        <w:pStyle w:val="Normal"/>
        <w:widowControl/>
        <w:rPr/>
      </w:pPr>
      <w:r>
        <w:rPr/>
        <w:t>(k) conditioning tariff treatment, market access, or measure relief on commitments by another Party to purchase goods, reach import targets, or direct purchases toward the invoking Party;</w:t>
      </w:r>
    </w:p>
    <w:p>
      <w:pPr>
        <w:pStyle w:val="Normal"/>
        <w:widowControl/>
        <w:rPr/>
      </w:pPr>
      <w:r>
        <w:rPr/>
        <w:t>(l) the exclusion of another Party’s suppliers from government procurement opportunities otherwise open under this Agreement, as retaliation or leverage in a matter arising under this Agreement; and</w:t>
      </w:r>
    </w:p>
    <w:p>
      <w:pPr>
        <w:pStyle w:val="Normal"/>
        <w:widowControl/>
        <w:rPr/>
      </w:pPr>
      <w:r>
        <w:rPr/>
        <w:t>(m) conditioning export credit, development lending, loan guarantees, infrastructure financing, or industrial grants on the non-purchase of another Party’s goods, where the condition operates as a substitute for a prohibited measure; ordinary subsidy disciplines under this Agreement and the SCM Agreement are unaffected.</w:t>
      </w:r>
    </w:p>
    <w:p>
      <w:pPr>
        <w:pStyle w:val="Normal"/>
        <w:widowControl/>
        <w:rPr/>
      </w:pPr>
      <w:r>
        <w:rPr/>
        <w:t>2. A subsidy or domestic-content incentive of general application is governed by the national-treatment, subsidy, and countervailing disciplines of this Agreement, and is not, merely by reason of its existence, a covered border measure; but an extraordinary program designed and conditioned so as to exclude another Party’s goods from a market in substitution for a prohibited border measure is reviewable under Chapter 31 for consistency with Articles 2.3 and 35.4.</w:t>
      </w:r>
    </w:p>
    <w:p>
      <w:pPr>
        <w:pStyle w:val="Normal"/>
        <w:widowControl/>
        <w:rPr/>
      </w:pPr>
      <w:r>
        <w:rPr/>
        <w:t>3. Nothing in this Article restricts legitimate risk-based customs enforcement, food-safety and sanitary inspection consistent with Chapter 9, or ordinary tax measures consistent with national treatment.</w:t>
      </w:r>
    </w:p>
    <w:p>
      <w:pPr>
        <w:pStyle w:val="Normal"/>
        <w:widowControl/>
        <w:rPr/>
      </w:pPr>
      <w:r>
        <w:rPr/>
        <w:t>4. Mirror and Burden Test. A new inspection, certification, licensing, health, safety, environmental, or comparable regulatory requirement that materially affects originating imports shall be administered on terms no less favorable than those applied to like domestic goods presenting a comparable risk, except to the extent a border-specific procedure is objectively necessary to verify entry, origin, safety, or compliance. Where the incremental compliance cost imposed on originating imports exceeds by more than two percentage points of customs value the comparable compliance cost borne by like domestic goods, the disparity creates a rebuttable presumption that the measure is a substitute measure. The presumption may be rebutted by evidence of objective necessity, proportionality, and the absence of a reasonably available less trade-restrictive means.</w:t>
      </w:r>
    </w:p>
    <w:p>
      <w:pPr>
        <w:pStyle w:val="Heading3"/>
        <w:keepNext/>
        <w:widowControl/>
        <w:rPr/>
      </w:pPr>
      <w:r>
        <w:rPr/>
        <w:t>Article 35.4B: Regulatory Safe Harbor</w:t>
      </w:r>
    </w:p>
    <w:p>
      <w:pPr>
        <w:pStyle w:val="Normal"/>
        <w:widowControl/>
        <w:rPr/>
      </w:pPr>
      <w:r>
        <w:rPr/>
        <w:t>1. A measure is presumptively not a substitute measure under Article 35.4A where it: (a) is facially nationality-neutral; (b) applies on materially comparable terms to like domestic goods, services, suppliers, or facilities; (c) pursues a legitimate objective including health, safety, environment, privacy, consumer protection, financial stability, culture, cybersecurity, or resource conservation; (d) was adopted through the ordinary domestic procedure applicable to comparable measures; and (e) is supported by a reasonable evidentiary or technical basis.</w:t>
      </w:r>
    </w:p>
    <w:p>
      <w:pPr>
        <w:pStyle w:val="Normal"/>
        <w:widowControl/>
        <w:rPr/>
      </w:pPr>
      <w:r>
        <w:rPr/>
        <w:t>2. The presumption in paragraph 1 may be rebutted only by clear and convincing evidence that the measure is designed or administered to discriminate against another Party's trade, or that its protectionist effect is grossly disproportionate to the stated objective and a reasonably available materially less trade-restrictive alternative would achieve the same level of protection chosen by the regulating Party.</w:t>
      </w:r>
    </w:p>
    <w:p>
      <w:pPr>
        <w:pStyle w:val="Normal"/>
        <w:widowControl/>
        <w:rPr/>
      </w:pPr>
      <w:r>
        <w:rPr/>
        <w:t>3. Cost of compliance alone does not establish a substitute measure. A material asymmetry in compliance burden may trigger factual review, but the complaining Party bears the burden of establishing discriminatory design, administration, or effect.</w:t>
      </w:r>
    </w:p>
    <w:p>
      <w:pPr>
        <w:pStyle w:val="Normal"/>
        <w:widowControl/>
        <w:rPr/>
      </w:pPr>
      <w:r>
        <w:rPr/>
        <w:t>4. A bona fide health, safety, environmental, cybersecurity, or consumer-protection measure shall not ordinarily be suspended on an interim basis before a final finding. Interim suspension is available only on clear and convincing evidence of disguised discrimination, bad faith, or immediate irreparable commercial harm substantially exceeding the public-interest risk of suspension.</w:t>
      </w:r>
    </w:p>
    <w:p>
      <w:pPr>
        <w:pStyle w:val="Normal"/>
        <w:widowControl/>
        <w:rPr/>
      </w:pPr>
      <w:r>
        <w:rPr/>
        <w:t>5. Nothing in this Article lowers a Party's chosen level of protection or requires harmonization of domestic regulation.</w:t>
      </w:r>
    </w:p>
    <w:p>
      <w:bookmarkStart w:id="1315" w:name="_NAESTMA_TOC_1315"/>
      <w:pPr>
        <w:pStyle w:val="Heading2"/>
        <w:keepNext/>
        <w:widowControl/>
        <w:rPr/>
      </w:pPr>
      <w:bookmarkStart w:id="131" w:name="_Toc237912612"/>
      <w:r>
        <w:rPr/>
        <w:t>Article 35.5: Exclusive Remedies for Trade Matters</w:t>
      </w:r>
      <w:bookmarkEnd w:id="131"/>
      <w:bookmarkEnd w:id="1315"/>
    </w:p>
    <w:p>
      <w:pPr>
        <w:pStyle w:val="Normal"/>
        <w:widowControl/>
        <w:rPr/>
      </w:pPr>
      <w:r>
        <w:rPr/>
        <w:t>1. Where a matter concerns trade in goods or services between the Parties and falls within the scope of this Agreement, the remedies provided under this Agreement are the exclusive means by which a Party may impose a covered border measure on the originating goods of another Party in respect of that matter, except as expressly provided in Article 32.2 as replaced by this modernization.</w:t>
      </w:r>
    </w:p>
    <w:p>
      <w:pPr>
        <w:pStyle w:val="Normal"/>
        <w:widowControl/>
        <w:rPr/>
      </w:pPr>
      <w:r>
        <w:rPr/>
        <w:t>2. A Party’s recourse to dispute settlement under Chapter 31 (Dispute Settlement), including the Expedited Tariff Panel procedure in Article 31.A, does not limit the rights or obligations of the Parties under this Chapter, and the procedures of this Chapter and of Chapter 31 shall be administered so as to avoid duplication, inconsistent outcomes, and parallel escalation.</w:t>
      </w:r>
    </w:p>
    <w:p>
      <w:pPr>
        <w:pStyle w:val="Normal"/>
        <w:widowControl/>
        <w:rPr/>
      </w:pPr>
      <w:r>
        <w:rPr/>
        <w:t>3. Nothing in this Agreement requires a Party to refrain from a measure that does not constitute a covered border measure, provided that the measure is not applied so as to afford protection to domestic production in a manner inconsistent with this Agreement.</w:t>
      </w:r>
    </w:p>
    <w:p>
      <w:pPr>
        <w:pStyle w:val="Normal"/>
        <w:widowControl/>
        <w:rPr/>
      </w:pPr>
      <w:r>
        <w:rPr/>
        <w:t>4. For greater certainty, Article 32.1 (General Exceptions) cannot be invoked to accomplish what Articles 35.3 through 35.7 expressly prohibit, unless the measure in fact satisfies every element of the specific exception invoked, including the applicable chapeau discipline.</w:t>
      </w:r>
    </w:p>
    <w:p>
      <w:bookmarkStart w:id="1316" w:name="_NAESTMA_TOC_1316"/>
      <w:pPr>
        <w:pStyle w:val="Heading2"/>
        <w:keepNext/>
        <w:widowControl/>
        <w:rPr/>
      </w:pPr>
      <w:bookmarkStart w:id="132" w:name="_Toc237912613"/>
      <w:r>
        <w:rPr/>
        <w:t>Article 35.6: Standstill on New Extraordinary Measures</w:t>
      </w:r>
      <w:bookmarkEnd w:id="132"/>
      <w:bookmarkEnd w:id="1316"/>
    </w:p>
    <w:p>
      <w:pPr>
        <w:pStyle w:val="Normal"/>
        <w:widowControl/>
        <w:rPr/>
      </w:pPr>
      <w:r>
        <w:rPr/>
        <w:t>1. No Party shall adopt a new covered border measure against the originating goods of another Party except in conformity with this Chapter, Chapter 10, or Article 32.2 as replaced by this modernization.</w:t>
      </w:r>
    </w:p>
    <w:p>
      <w:pPr>
        <w:pStyle w:val="Normal"/>
        <w:widowControl/>
        <w:rPr/>
      </w:pPr>
      <w:r>
        <w:rPr/>
        <w:t>2. Pending completion of the procedures of this Chapter with respect to an alleged distortion, including the cooling-off period in Article 35.9, the verification in Article 35.10, and the classification in Article 35.11, no Party shall apply a covered border measure in respect of that alleged distortion, except: (a) an escrow deposit under Article 35.14; or (b) an emergency provisional measure under Article 35.21.</w:t>
      </w:r>
    </w:p>
    <w:p>
      <w:pPr>
        <w:pStyle w:val="Normal"/>
        <w:widowControl/>
        <w:rPr/>
      </w:pPr>
      <w:r>
        <w:rPr/>
        <w:t>3. The filing of an allegation, the opening of a verification, or the pendency of a dispute does not, by itself, authorize any covered border measure.</w:t>
      </w:r>
    </w:p>
    <w:p>
      <w:bookmarkStart w:id="1317" w:name="_NAESTMA_TOC_1317"/>
      <w:pPr>
        <w:pStyle w:val="Heading2"/>
        <w:keepNext/>
        <w:widowControl/>
        <w:rPr/>
      </w:pPr>
      <w:bookmarkStart w:id="133" w:name="_Toc237912614"/>
      <w:r>
        <w:rPr/>
        <w:t>Article 35.7: Prohibited Uses of Covered Border Measures</w:t>
      </w:r>
      <w:bookmarkEnd w:id="133"/>
      <w:bookmarkEnd w:id="1317"/>
    </w:p>
    <w:p>
      <w:pPr>
        <w:pStyle w:val="Normal"/>
        <w:widowControl/>
        <w:rPr/>
      </w:pPr>
      <w:r>
        <w:rPr/>
        <w:t>1. No Party shall apply a covered border measure to the originating goods of another Party:</w:t>
      </w:r>
    </w:p>
    <w:p>
      <w:pPr>
        <w:pStyle w:val="Normal"/>
        <w:widowControl/>
        <w:rPr/>
      </w:pPr>
      <w:r>
        <w:rPr/>
        <w:t>(a) as leverage in a negotiation over an unrelated matter;</w:t>
      </w:r>
    </w:p>
    <w:p>
      <w:pPr>
        <w:pStyle w:val="Normal"/>
        <w:widowControl/>
        <w:rPr/>
      </w:pPr>
      <w:r>
        <w:rPr/>
        <w:t>(b) as a response to the other Party’s domestic enforcement practices concerning goods of non-Parties, where the measure reaches originating goods unconnected to the conduct at issue;</w:t>
      </w:r>
    </w:p>
    <w:p>
      <w:pPr>
        <w:pStyle w:val="Normal"/>
        <w:widowControl/>
        <w:rPr/>
      </w:pPr>
      <w:r>
        <w:rPr/>
        <w:t>(c) as a means of inducing changes in the other Party’s domestic law, regulation, taxation, digital policy, or administration that are not obligations of that Party under this Agreement;</w:t>
      </w:r>
    </w:p>
    <w:p>
      <w:pPr>
        <w:pStyle w:val="Normal"/>
        <w:widowControl/>
        <w:rPr/>
      </w:pPr>
      <w:r>
        <w:rPr/>
        <w:t>(d) on the basis of a finding that has expired, been superseded, or been judicially invalidated, without a new verification;</w:t>
      </w:r>
    </w:p>
    <w:p>
      <w:pPr>
        <w:pStyle w:val="Normal"/>
        <w:widowControl/>
        <w:rPr/>
      </w:pPr>
      <w:r>
        <w:rPr/>
        <w:t>(e) in a manner that discriminates between the Parties’ originating goods by reference to the Party in which specific production processes occurred, except as expressly provided in this Agreement;</w:t>
      </w:r>
    </w:p>
    <w:p>
      <w:pPr>
        <w:pStyle w:val="Normal"/>
        <w:widowControl/>
        <w:rPr/>
      </w:pPr>
      <w:r>
        <w:rPr/>
        <w:t>(f) in a manner deliberately designed to maximize political or economic pain in sectors or regions unconnected to the verified distortion; or</w:t>
      </w:r>
    </w:p>
    <w:p>
      <w:pPr>
        <w:pStyle w:val="Normal"/>
        <w:widowControl/>
        <w:rPr/>
      </w:pPr>
      <w:r>
        <w:rPr/>
        <w:t>(g) in excess of the ceiling established under Article 35.12, except as an expressly authorized consequence of deliberate or sustained noncompliance under Article 35.16.</w:t>
      </w:r>
    </w:p>
    <w:p>
      <w:pPr>
        <w:pStyle w:val="Normal"/>
        <w:widowControl/>
        <w:rPr/>
      </w:pPr>
      <w:r>
        <w:rPr/>
        <w:t>2. A measure inconsistent with paragraph 1 is a nullity for the purposes of this Agreement, and the affected Party is entitled to its withdrawal and to redress in accordance with Article 35.25.</w:t>
      </w:r>
    </w:p>
    <w:p>
      <w:bookmarkStart w:id="1318" w:name="_NAESTMA_TOC_1318"/>
      <w:pPr>
        <w:pStyle w:val="Heading2"/>
        <w:keepNext/>
        <w:widowControl/>
        <w:rPr/>
      </w:pPr>
      <w:bookmarkStart w:id="134" w:name="_Toc237912615"/>
      <w:r>
        <w:rPr/>
        <w:t>Article 35.8: Initiation of the Mechanism and Consultation</w:t>
      </w:r>
      <w:bookmarkEnd w:id="134"/>
      <w:bookmarkEnd w:id="1318"/>
    </w:p>
    <w:p>
      <w:pPr>
        <w:pStyle w:val="Normal"/>
        <w:widowControl/>
        <w:rPr/>
      </w:pPr>
      <w:r>
        <w:rPr/>
        <w:t>1. A Party (the “initiating Party”) that considers that a distortion actionable under this Agreement may exist shall submit to the other Party concerned (the “responding Party”) and to the North American Trade Verification Panel a Notice of Concern describing the matter in general terms.</w:t>
      </w:r>
    </w:p>
    <w:p>
      <w:pPr>
        <w:pStyle w:val="Normal"/>
        <w:widowControl/>
        <w:rPr/>
      </w:pPr>
      <w:r>
        <w:rPr/>
        <w:t>2. Upon delivery of a Notice of Concern, a mandatory cooling-off period of 10 days begins. During the cooling-off period: (a) no Party shall adopt a covered border measure in respect of the matter; (b) no Party shall adopt a retaliatory or countermeasure; and (c) the Parties concerned shall hold consultations at the technical level, and, at the request of either, at the ministerial level.</w:t>
      </w:r>
    </w:p>
    <w:p>
      <w:pPr>
        <w:pStyle w:val="Normal"/>
        <w:widowControl/>
        <w:rPr/>
      </w:pPr>
      <w:r>
        <w:rPr/>
        <w:t>3. Consultations under this Article are without prejudice to the positions of the Parties in subsequent stages of the Mechanism.</w:t>
      </w:r>
    </w:p>
    <w:p>
      <w:bookmarkStart w:id="1319" w:name="_NAESTMA_TOC_1319"/>
      <w:pPr>
        <w:pStyle w:val="Heading2"/>
        <w:keepNext/>
        <w:widowControl/>
        <w:rPr/>
      </w:pPr>
      <w:bookmarkStart w:id="135" w:name="_Toc237912616"/>
      <w:r>
        <w:rPr/>
        <w:t>Article 35.9: Evidence Package</w:t>
      </w:r>
      <w:bookmarkEnd w:id="135"/>
      <w:bookmarkEnd w:id="1319"/>
    </w:p>
    <w:p>
      <w:pPr>
        <w:pStyle w:val="Normal"/>
        <w:widowControl/>
        <w:rPr/>
      </w:pPr>
      <w:r>
        <w:rPr/>
        <w:t>1. To proceed beyond consultations, the initiating Party shall submit an Evidence Package to the North American Trade Verification Panel, with a copy to the responding Party, containing:</w:t>
      </w:r>
    </w:p>
    <w:p>
      <w:pPr>
        <w:pStyle w:val="Normal"/>
        <w:widowControl/>
        <w:rPr/>
      </w:pPr>
      <w:r>
        <w:rPr/>
        <w:t>(a) identification of the measure, conduct, or practice alleged to constitute the distortion;</w:t>
      </w:r>
    </w:p>
    <w:p>
      <w:pPr>
        <w:pStyle w:val="Normal"/>
        <w:widowControl/>
        <w:rPr/>
      </w:pPr>
      <w:r>
        <w:rPr/>
        <w:t>(b) identification of the goods, entities, and trade flows alleged to be affected, at the most specific level reasonably available;</w:t>
      </w:r>
    </w:p>
    <w:p>
      <w:pPr>
        <w:pStyle w:val="Normal"/>
        <w:widowControl/>
        <w:rPr/>
      </w:pPr>
      <w:r>
        <w:rPr/>
        <w:t>(c) a quantified estimate of the alleged economic distortion, the counterfactual baseline used, the methodology applied, and the uncertainty band of the estimate;</w:t>
      </w:r>
    </w:p>
    <w:p>
      <w:pPr>
        <w:pStyle w:val="Normal"/>
        <w:widowControl/>
        <w:rPr/>
      </w:pPr>
      <w:r>
        <w:rPr/>
        <w:t>(d) the supporting evidence, including customs data, transaction records, pricing data, subsidy records, or origin documentation, with chain-of-custody certification where applicable;</w:t>
      </w:r>
    </w:p>
    <w:p>
      <w:pPr>
        <w:pStyle w:val="Normal"/>
        <w:widowControl/>
        <w:rPr/>
      </w:pPr>
      <w:r>
        <w:rPr/>
        <w:t>(e) the remedy requested and an explanation of why that remedy is the narrowest sufficient remedy; and</w:t>
      </w:r>
    </w:p>
    <w:p>
      <w:pPr>
        <w:pStyle w:val="Normal"/>
        <w:widowControl/>
        <w:rPr/>
      </w:pPr>
      <w:r>
        <w:rPr/>
        <w:t>(f) a certification by a responsible official of the initiating Party that the contents are accurate and complete to the best of that official’s knowledge.</w:t>
      </w:r>
    </w:p>
    <w:p>
      <w:pPr>
        <w:pStyle w:val="Normal"/>
        <w:widowControl/>
        <w:rPr/>
      </w:pPr>
      <w:r>
        <w:rPr/>
        <w:t>2. An Evidence Package that does not contain the elements in paragraph 1 is incomplete. The Panel shall return an incomplete Evidence Package to the initiating Party, which may complete and resubmit it. An incomplete Evidence Package does not suspend the standstill in Article 35.6.</w:t>
      </w:r>
    </w:p>
    <w:p>
      <w:pPr>
        <w:pStyle w:val="Normal"/>
        <w:widowControl/>
        <w:rPr/>
      </w:pPr>
      <w:r>
        <w:rPr/>
        <w:t>3. The submission of an Evidence Package does not authorize any covered border measure.</w:t>
      </w:r>
    </w:p>
    <w:p>
      <w:pPr>
        <w:pStyle w:val="Normal"/>
        <w:widowControl/>
        <w:rPr/>
      </w:pPr>
      <w:r>
        <w:rPr/>
        <w:t>4. Where an Evidence Package identifies specific private entities, the Technical Secretariat shall notify those entities, and Article 35.10A (Rights of Affected Entities) applies from that point.</w:t>
      </w:r>
    </w:p>
    <w:p>
      <w:pPr>
        <w:pStyle w:val="Normal"/>
        <w:widowControl/>
        <w:rPr/>
      </w:pPr>
      <w:r>
        <w:rPr/>
        <w:t>Responding-Party Evidence Standard. The Party seeking authorization for a restrictive measure retains the ultimate burden of establishing each element required for that measure. The responding Party bears only a burden of production for facts peculiarly within its control, including proof that identified conduct ceased, a subsidy was withdrawn, specified records are authentic, or remediation occurred. Failure to produce information after a lawful and proportionate request may support an adverse inference under Article 35.10, but does not reverse the ultimate burden of proof.</w:t>
      </w:r>
    </w:p>
    <w:p>
      <w:pPr>
        <w:pStyle w:val="Heading3"/>
        <w:keepNext/>
        <w:widowControl/>
        <w:rPr/>
      </w:pPr>
      <w:r>
        <w:rPr/>
        <w:t>Article 35.9A: Minimum Viable Enforcement Track for Facial Violations</w:t>
      </w:r>
    </w:p>
    <w:p>
      <w:pPr>
        <w:pStyle w:val="Normal"/>
        <w:widowControl/>
        <w:rPr/>
      </w:pPr>
      <w:r>
        <w:rPr/>
        <w:t>1. A complaining Party may request the simplified track where the challenged measure is facially and objectively identifiable from an official legal instrument or customs instruction and the dispute does not require material econometric estimation, complex origin tracing, or contested factual attribution.</w:t>
      </w:r>
    </w:p>
    <w:p>
      <w:pPr>
        <w:pStyle w:val="Normal"/>
        <w:widowControl/>
        <w:rPr/>
      </w:pPr>
      <w:r>
        <w:rPr/>
        <w:t>2. Eligible matters include an expressly prohibited tariff or surcharge on originating goods; an unlawful suspension of low-value treatment; failure to terminate a measure on a treaty-specified date; a prohibited Party-specific content condition; failure to restore treatment after a final certification; or another violation designated by consensus as suitable for summary determination.</w:t>
      </w:r>
    </w:p>
    <w:p>
      <w:pPr>
        <w:pStyle w:val="Normal"/>
        <w:widowControl/>
        <w:rPr/>
      </w:pPr>
      <w:r>
        <w:rPr/>
        <w:t>3. The respondent shall submit its legal and factual response within seven days. A three-member panel drawn under Article 31.C shall issue a determination within 15 days after the response. No Evidence Package element unnecessary to the facial issue is required.</w:t>
      </w:r>
    </w:p>
    <w:p>
      <w:pPr>
        <w:pStyle w:val="Normal"/>
        <w:widowControl/>
        <w:rPr/>
      </w:pPr>
      <w:r>
        <w:rPr/>
        <w:t>4. If the panel determines that material factual disputes or valuation issues prevent summary disposition, it shall transfer the matter immediately to the ordinary Chapter 35 procedure without prejudice and without requiring refiling. Time already elapsed counts toward the applicable ordinary deadlines.</w:t>
      </w:r>
    </w:p>
    <w:p>
      <w:pPr>
        <w:pStyle w:val="Normal"/>
        <w:widowControl/>
        <w:rPr/>
      </w:pPr>
      <w:r>
        <w:rPr/>
        <w:t>5. A final finding under this Article activates Article 35.25A and any treaty-specified restoration or refund automatically.</w:t>
      </w:r>
    </w:p>
    <w:p>
      <w:pPr>
        <w:pStyle w:val="Heading3"/>
        <w:keepNext/>
        <w:widowControl/>
        <w:rPr/>
      </w:pPr>
      <w:r>
        <w:rPr/>
        <w:t>Article 35.9B: Technical Truth Escalation Chain</w:t>
      </w:r>
    </w:p>
    <w:p>
      <w:pPr>
        <w:pStyle w:val="Normal"/>
        <w:widowControl/>
        <w:rPr/>
      </w:pPr>
      <w:r>
        <w:rPr/>
        <w:t>1. A dispute concerning data fidelity, chain of custody, registry integrity, customs-system output, or another purely technical evidentiary question shall be resolved before the Parties litigate the policy meaning of that data.</w:t>
      </w:r>
    </w:p>
    <w:p>
      <w:pPr>
        <w:pStyle w:val="Normal"/>
        <w:widowControl/>
        <w:rPr/>
      </w:pPr>
      <w:r>
        <w:rPr/>
        <w:t>2. Level One — Technical Officer Review. A designated technical officer reviews the raw record and issues a preliminary technical finding within 24 hours.</w:t>
      </w:r>
    </w:p>
    <w:p>
      <w:pPr>
        <w:pStyle w:val="Normal"/>
        <w:widowControl/>
        <w:rPr/>
      </w:pPr>
      <w:r>
        <w:rPr/>
        <w:t>3. Level Two — Joint Technical Review. If disputed, a joint technical group convenes within 48 hours and issues a corroboration report within three business days.</w:t>
      </w:r>
    </w:p>
    <w:p>
      <w:pPr>
        <w:pStyle w:val="Normal"/>
        <w:widowControl/>
        <w:rPr/>
      </w:pPr>
      <w:r>
        <w:rPr/>
        <w:t>4. Level Three — Neutral Expert Determination. If still disputed, three neutral experts randomly drawn from the standing expert pool review the complete technical record and issue a binding determination on data fidelity within five business days.</w:t>
      </w:r>
    </w:p>
    <w:p>
      <w:pPr>
        <w:pStyle w:val="Normal"/>
        <w:widowControl/>
        <w:rPr/>
      </w:pPr>
      <w:r>
        <w:rPr/>
        <w:t>5. During the Technical Truth Escalation Chain, no economically disruptive remedy based solely on the disputed data takes effect. Necessary preservation, inspection, anti-fraud, safety, or anti-spoliation measures may continue.</w:t>
      </w:r>
    </w:p>
    <w:p>
      <w:pPr>
        <w:pStyle w:val="Normal"/>
        <w:widowControl/>
        <w:rPr/>
      </w:pPr>
      <w:r>
        <w:rPr/>
        <w:t>6. A determination under this Article resolves only the technical fact submitted. It does not decide treaty interpretation, intent, injury, proportionality, or remedy.</w:t>
      </w:r>
    </w:p>
    <w:p>
      <w:bookmarkStart w:id="1320" w:name="_NAESTMA_TOC_1320"/>
      <w:pPr>
        <w:pStyle w:val="Heading2"/>
        <w:keepNext/>
        <w:widowControl/>
        <w:rPr/>
      </w:pPr>
      <w:bookmarkStart w:id="136" w:name="_Toc237912617"/>
      <w:bookmarkEnd w:id="136"/>
      <w:r>
        <w:rPr/>
        <w:t>Article 35.10: North American Trade Verification Mechanism</w:t>
      </w:r>
      <w:bookmarkEnd w:id="1320"/>
    </w:p>
    <w:p>
      <w:pPr>
        <w:pStyle w:val="Normal"/>
        <w:widowControl/>
        <w:rPr/>
      </w:pPr>
      <w:r>
        <w:rPr/>
        <w:t>1. The Parties establish a North American Trade Verification mechanism administered by the Secretariat under Article 35.28. The mechanism operates only through ad hoc Verification Teams constituted for particular matters and does not create a separately staffed permanent panel.</w:t>
      </w:r>
    </w:p>
    <w:p>
      <w:pPr>
        <w:pStyle w:val="Normal"/>
        <w:widowControl/>
        <w:rPr/>
      </w:pPr>
      <w:r>
        <w:rPr/>
        <w:t>2. For purposes of the mechanism, the Parties shall maintain:</w:t>
      </w:r>
    </w:p>
    <w:p>
      <w:pPr>
        <w:pStyle w:val="Normal"/>
        <w:widowControl/>
        <w:rPr/>
      </w:pPr>
      <w:r>
        <w:rPr/>
        <w:t>(a) a Roster of Verifiers of 45 individuals, 15 designated by each Party, comprising customs specialists, trade economists, rules-of-origin experts, forensic accountants, and sectoral specialists, appointed for four-year renewable terms;</w:t>
      </w:r>
    </w:p>
    <w:p>
      <w:pPr>
        <w:pStyle w:val="Normal"/>
        <w:widowControl/>
        <w:rPr/>
      </w:pPr>
      <w:r>
        <w:rPr/>
        <w:t>(b) a Joint List of 9 individuals who are not nationals of any Party, appointed by consensus of the Parties, from which tie-breaking and second-opinion reviewers are drawn; and</w:t>
      </w:r>
    </w:p>
    <w:p>
      <w:pPr>
        <w:pStyle w:val="Normal"/>
        <w:widowControl/>
        <w:rPr/>
      </w:pPr>
      <w:r>
        <w:rPr/>
        <w:t>(c) access, subject to authorization and confidentiality rules, to the Shared Trade Data Registry and other treaty-integrity administrative functions performed by the Secretariat.</w:t>
      </w:r>
    </w:p>
    <w:p>
      <w:pPr>
        <w:pStyle w:val="Normal"/>
        <w:widowControl/>
        <w:rPr/>
      </w:pPr>
      <w:r>
        <w:rPr/>
        <w:t>3. For each matter, the Secretariat constitutes a Verification Team of three members by the rule-bound selection method in this Article: one drawn by lot from the initiating Party's designees, one drawn by lot from the responding Party's designees, and one drawn by lot from the Joint List, who serves as chair. The Secretariat has no discretion to select a particular person once the eligible pool is established.</w:t>
      </w:r>
    </w:p>
    <w:p>
      <w:pPr>
        <w:pStyle w:val="Normal"/>
        <w:widowControl/>
        <w:rPr/>
      </w:pPr>
      <w:r>
        <w:rPr/>
        <w:t>4. The Verification Team shall determine, on the basis of the Evidence Package, the Shared Trade Data Registry, and any further evidence received:</w:t>
      </w:r>
    </w:p>
    <w:p>
      <w:pPr>
        <w:pStyle w:val="Normal"/>
        <w:widowControl/>
        <w:rPr/>
      </w:pPr>
      <w:r>
        <w:rPr/>
        <w:t>(a) whether the alleged conduct occurred;</w:t>
      </w:r>
    </w:p>
    <w:p>
      <w:pPr>
        <w:pStyle w:val="Normal"/>
        <w:widowControl/>
        <w:rPr/>
      </w:pPr>
      <w:r>
        <w:rPr/>
        <w:t>(b) the identity of the entities, products, and trade flows actually involved;</w:t>
      </w:r>
    </w:p>
    <w:p>
      <w:pPr>
        <w:pStyle w:val="Normal"/>
        <w:widowControl/>
        <w:rPr/>
      </w:pPr>
      <w:r>
        <w:rPr/>
        <w:t>(c) the magnitude of the economic distortion reasonably attributable to the conduct, expressed quantitatively as a best estimate with an uncertainty band, in accordance with Annex 35-A; and</w:t>
      </w:r>
    </w:p>
    <w:p>
      <w:pPr>
        <w:pStyle w:val="Normal"/>
        <w:widowControl/>
        <w:rPr/>
      </w:pPr>
      <w:r>
        <w:rPr/>
        <w:t>(d) the confirmation level of the claim: full confirmation, partial confirmation, or no confirmation, together with a stated accuracy percentage.</w:t>
      </w:r>
    </w:p>
    <w:p>
      <w:pPr>
        <w:pStyle w:val="Normal"/>
        <w:widowControl/>
        <w:rPr/>
      </w:pPr>
      <w:r>
        <w:rPr/>
        <w:t>5. The Verification Team may make partial findings. A claim need not be wholly true or wholly false. Where part of a claim is substantiated, the verified distortion comprises only the substantiated part.</w:t>
      </w:r>
    </w:p>
    <w:p>
      <w:pPr>
        <w:pStyle w:val="Normal"/>
        <w:widowControl/>
        <w:rPr/>
      </w:pPr>
      <w:r>
        <w:rPr/>
        <w:t>6. The Verification Team shall issue its verification report within 30 days after receipt of a complete Evidence Package, or within 72 hours in a matter referred under the expedited track in Article 35.21. In an exceptionally complex matter, the Team may extend the 30-day period once, by not more than 15 days, upon a reasoned finding that the additional time is necessary to protect due process or evidentiary quality. The report is public, subject to protection of confidential information.</w:t>
      </w:r>
    </w:p>
    <w:p>
      <w:pPr>
        <w:pStyle w:val="Normal"/>
        <w:widowControl/>
        <w:rPr/>
      </w:pPr>
      <w:r>
        <w:rPr/>
        <w:t>7. Either Party concerned may request one second opinion from the Joint List within 10 days after the verification report. The second-opinion reviewer shall review the record independently and issue a reasoned opinion within 14 days. If the second opinion confirms the report, the requesting Party bears the costs of the second opinion. If the second opinion materially reverses the report, the report is vacated and the matter is re-adjudicated by a differently constituted Verification Team.</w:t>
      </w:r>
    </w:p>
    <w:p>
      <w:pPr>
        <w:pStyle w:val="Normal"/>
        <w:widowControl/>
        <w:rPr/>
      </w:pPr>
      <w:r>
        <w:rPr/>
        <w:t>8. Verification is reciprocal. The mechanism's data standards, registry rules, chain-of-custody requirements, confidentiality tiers, cybersecurity requirements, and audit procedures are set out in Annex 35-C and apply identically to each Party.</w:t>
      </w:r>
    </w:p>
    <w:p>
      <w:pPr>
        <w:pStyle w:val="Normal"/>
        <w:widowControl/>
        <w:rPr/>
      </w:pPr>
      <w:r>
        <w:rPr/>
        <w:t>9. A Party shall not obstruct a verification. Unjustified refusal to provide required information, or obstruction of an authorized examination, entitles the Verification Team to draw inferences adverse to the obstructing Party, and constitutes a Tier 2 distortion for the purposes of Article 35.11 where it prevents resolution of the matter.</w:t>
      </w:r>
    </w:p>
    <w:p>
      <w:pPr>
        <w:pStyle w:val="Normal"/>
        <w:widowControl/>
        <w:rPr/>
      </w:pPr>
      <w:r>
        <w:rPr/>
        <w:t>10. Members of the Roster and the Joint List shall: (a) disclose any direct or indirect interest, prior engagement, or financial or professional tie relevant to a matter; (b) recuse themselves, or be recused on reasoned request, where such a tie creates a reasonable apprehension of bias; (c) observe a cooling-off period of two years following service, during which they shall not represent any person in a matter under this Chapter; and (d) be compensated under published scales fixed by the Commission. The Secretariat shall maintain a public register of disclosures and shall replace a recused member through the same rule-bound selection method within five days.</w:t>
      </w:r>
    </w:p>
    <w:p>
      <w:bookmarkStart w:id="1321" w:name="_NAESTMA_TOC_1321"/>
      <w:pPr>
        <w:pStyle w:val="Heading2"/>
        <w:keepNext/>
        <w:widowControl/>
        <w:rPr/>
      </w:pPr>
      <w:bookmarkStart w:id="137" w:name="_Toc237912618"/>
      <w:r>
        <w:rPr/>
        <w:t>Article 35.10A: Rights of Affected Entities</w:t>
      </w:r>
      <w:bookmarkEnd w:id="137"/>
      <w:bookmarkEnd w:id="1321"/>
    </w:p>
    <w:p>
      <w:pPr>
        <w:pStyle w:val="Normal"/>
        <w:widowControl/>
        <w:rPr/>
      </w:pPr>
      <w:r>
        <w:rPr/>
        <w:t>1. A private entity whose goods, certification, or status may be directly affected by a verification, a PTA, a TNAO suspension, or an entity-targeted measure under this Agreement is entitled to:</w:t>
      </w:r>
    </w:p>
    <w:p>
      <w:pPr>
        <w:pStyle w:val="Normal"/>
        <w:widowControl/>
        <w:rPr/>
      </w:pPr>
      <w:r>
        <w:rPr/>
        <w:t>(a) timely notice of the proceeding and of the allegations or evidence concerning it, in sufficient detail to respond;</w:t>
      </w:r>
    </w:p>
    <w:p>
      <w:pPr>
        <w:pStyle w:val="Normal"/>
        <w:widowControl/>
        <w:rPr/>
      </w:pPr>
      <w:r>
        <w:rPr/>
        <w:t>(b) access to the non-confidential evidence relied upon;</w:t>
      </w:r>
    </w:p>
    <w:p>
      <w:pPr>
        <w:pStyle w:val="Normal"/>
        <w:widowControl/>
        <w:rPr/>
      </w:pPr>
      <w:r>
        <w:rPr/>
        <w:t>(c) an opportunity to make written submissions, to be represented by counsel, and, where the Verification Team considers it appropriate, to be heard;</w:t>
      </w:r>
    </w:p>
    <w:p>
      <w:pPr>
        <w:pStyle w:val="Normal"/>
        <w:widowControl/>
        <w:rPr/>
      </w:pPr>
      <w:r>
        <w:rPr/>
        <w:t>(d) protection of its confidential business information in accordance with Annex 35-C, Part 4;</w:t>
      </w:r>
    </w:p>
    <w:p>
      <w:pPr>
        <w:pStyle w:val="Normal"/>
        <w:widowControl/>
        <w:rPr/>
      </w:pPr>
      <w:r>
        <w:rPr/>
        <w:t>(e) a right to correct inaccurate factual assertions concerning it; and</w:t>
      </w:r>
    </w:p>
    <w:p>
      <w:pPr>
        <w:pStyle w:val="Normal"/>
        <w:widowControl/>
        <w:rPr/>
      </w:pPr>
      <w:r>
        <w:rPr/>
        <w:t>(f) an appeal of an entity-specific determination to a differently constituted Verification Team, completed within 30 days, with the measure suspended as to that entity pending the appeal unless the Verification Panel finds that suspension would defeat the purpose of a Tier 3 measure.</w:t>
      </w:r>
    </w:p>
    <w:p>
      <w:pPr>
        <w:pStyle w:val="Normal"/>
        <w:widowControl/>
        <w:rPr/>
      </w:pPr>
      <w:r>
        <w:rPr/>
        <w:t>2. No entity shall be subjected to an entity-specific restriction, suspension, or listing under this Agreement without the process in paragraph 1.</w:t>
      </w:r>
    </w:p>
    <w:p>
      <w:bookmarkStart w:id="1322" w:name="_NAESTMA_TOC_1322"/>
      <w:pPr>
        <w:pStyle w:val="Heading2"/>
        <w:keepNext/>
        <w:widowControl/>
        <w:rPr/>
      </w:pPr>
      <w:bookmarkStart w:id="138" w:name="_Toc237912619"/>
      <w:r>
        <w:rPr/>
        <w:t>Article 35.11: Classification of Distortions</w:t>
      </w:r>
      <w:bookmarkEnd w:id="138"/>
      <w:bookmarkEnd w:id="1322"/>
    </w:p>
    <w:p>
      <w:pPr>
        <w:pStyle w:val="TOCExcludedHeading2"/>
        <w:keepNext w:val="true"/>
        <w:widowControl/>
        <w:rPr/>
      </w:pPr>
      <w:bookmarkStart w:id="139" w:name="_Toc237912620"/>
      <w:r>
        <w:rPr/>
        <w:t>0A. Objective Screening Indicators. The Secretariat shall maintain published, sector-appropriate screening indicators for identifying matters warranting verification. Indicators may include sustained import growth, changes in domestic operating margins, price suppression, capacity utilization, subsidy incidence, origin anomalies, and other measurable evidence. No single numerical indicator establishes a distortion. For illustration, import growth exceeding 15 percent year-over-year for three consecutive quarters together with a decline of at least 10 percent in the relevant domestic industry’s operating margin creates a rebuttable basis to commence verification, but not a presumption of violation or entitlement to a remedy. A distortion exists only upon verification under Article 35.10 and Annex 35-A.</w:t>
      </w:r>
      <w:bookmarkEnd w:id="139"/>
    </w:p>
    <w:p>
      <w:pPr>
        <w:pStyle w:val="Normal"/>
        <w:widowControl/>
        <w:rPr/>
      </w:pPr>
      <w:r>
        <w:rPr/>
        <w:t>1. Upon completion of verification, the Verification Team shall classify the matter into one of the following tiers:</w:t>
      </w:r>
    </w:p>
    <w:p>
      <w:pPr>
        <w:pStyle w:val="Normal"/>
        <w:widowControl/>
        <w:rPr/>
      </w:pPr>
      <w:r>
        <w:rPr/>
        <w:t xml:space="preserve">(a) </w:t>
      </w:r>
      <w:r>
        <w:rPr>
          <w:b/>
        </w:rPr>
        <w:t>Tier 1 — Technical Irregularity:</w:t>
      </w:r>
      <w:r>
        <w:rPr/>
        <w:t xml:space="preserve"> documentation errors, isolated customs mistakes, minor reporting delays, inadvertent origin discrepancies, and similar irregularities without material economic distortion. Consequence: no corrective adjustment. The responding Party is afforded a correction period of 60 days and, on request, technical assistance. Repeated Tier 1 irregularities by the same entity within 24 months may be reclassified as Tier 2.</w:t>
      </w:r>
    </w:p>
    <w:p>
      <w:pPr>
        <w:pStyle w:val="Normal"/>
        <w:widowControl/>
        <w:rPr/>
      </w:pPr>
      <w:r>
        <w:rPr/>
        <w:t xml:space="preserve">(b) </w:t>
      </w:r>
      <w:r>
        <w:rPr>
          <w:b/>
        </w:rPr>
        <w:t>Tier 2 — Material Trade Distortion:</w:t>
      </w:r>
      <w:r>
        <w:rPr/>
        <w:t xml:space="preserve"> a significant improper subsidy, repeated origin failures, a measurable market-access restriction, a discriminatory administrative practice, or comparable conduct producing a verified economic distortion that is material in relation to the affected trade. Consequence: a remediation period under Article 35.17, followed, if remediation is not verified, by a Proportional Trade Adjustment under Article 35.12.</w:t>
      </w:r>
    </w:p>
    <w:p>
      <w:pPr>
        <w:pStyle w:val="Normal"/>
        <w:widowControl/>
        <w:rPr/>
      </w:pPr>
      <w:r>
        <w:rPr/>
        <w:t xml:space="preserve">(c) </w:t>
      </w:r>
      <w:r>
        <w:rPr>
          <w:b/>
        </w:rPr>
        <w:t>Tier 3 — Deliberate or Systemic Violation:</w:t>
      </w:r>
      <w:r>
        <w:rPr/>
        <w:t xml:space="preserve"> organized transshipment, deliberate origin fraud, systematic evasion of this Agreement, or persistent refusal to comply with a final determination under Chapter 31 or this Chapter. Consequence: the measures available for Tier 2, plus accelerated proceedings, suspension of directly related benefits, and, upon continued noncompliance, the escalation stages in Article 35.16.</w:t>
      </w:r>
    </w:p>
    <w:p>
      <w:pPr>
        <w:pStyle w:val="Normal"/>
        <w:widowControl/>
        <w:rPr/>
      </w:pPr>
      <w:r>
        <w:rPr/>
        <w:t>2. Classification determines the maximum consequence available; it does not itself impose any consequence.</w:t>
      </w:r>
    </w:p>
    <w:p>
      <w:pPr>
        <w:pStyle w:val="Normal"/>
        <w:widowControl/>
        <w:rPr/>
      </w:pPr>
      <w:r>
        <w:rPr/>
        <w:t>3. A Tier 3 classification requires clear and convincing evidence of deliberate or systematic conduct, stated with reasons in the classification decision. Ordinary disputes, good-faith interpretive differences, and isolated noncompliance shall not be classified as Tier 3, and a classification is reviewable under Article 31.A.</w:t>
      </w:r>
    </w:p>
    <w:p>
      <w:pPr>
        <w:pStyle w:val="Normal"/>
        <w:widowControl/>
        <w:rPr/>
      </w:pPr>
      <w:r>
        <w:rPr/>
        <w:t>4. Severity, duration, and remediation conduct shall be recorded in the classification decision and shall govern the calculation of any adjustment under Article 35.12.</w:t>
      </w:r>
    </w:p>
    <w:p>
      <w:bookmarkStart w:id="1323" w:name="_NAESTMA_TOC_1323"/>
      <w:pPr>
        <w:pStyle w:val="Heading2"/>
        <w:keepNext/>
        <w:widowControl/>
        <w:rPr/>
      </w:pPr>
      <w:bookmarkStart w:id="140" w:name="_Toc237912621"/>
      <w:r>
        <w:rPr/>
        <w:t>Article 35.12: Proportional Trade Adjustments</w:t>
      </w:r>
      <w:bookmarkEnd w:id="140"/>
      <w:bookmarkEnd w:id="1323"/>
    </w:p>
    <w:p>
      <w:pPr>
        <w:pStyle w:val="Normal"/>
        <w:widowControl/>
        <w:rPr/>
      </w:pPr>
      <w:r>
        <w:rPr/>
        <w:t>1. A Proportional Trade Adjustment is a temporary adjustment of the preferential treatment of identified goods, bounded by the verified economic distortion.</w:t>
      </w:r>
    </w:p>
    <w:p>
      <w:pPr>
        <w:pStyle w:val="Normal"/>
        <w:widowControl/>
        <w:rPr/>
      </w:pPr>
      <w:r>
        <w:rPr/>
        <w:t>2. The maximum rate or charge-equivalent of a PTA is calculated as:</w:t>
      </w:r>
    </w:p>
    <w:p>
      <w:pPr>
        <w:pStyle w:val="Normal"/>
        <w:widowControl/>
        <w:rPr/>
      </w:pPr>
      <w:r>
        <w:rPr>
          <w:b/>
        </w:rPr>
        <w:t>Maximum PTA = Verified Economic Distortion × Severity Factor × Persistence Factor × Remediation Factor</w:t>
      </w:r>
    </w:p>
    <w:p>
      <w:pPr>
        <w:pStyle w:val="Normal"/>
        <w:widowControl/>
        <w:rPr/>
      </w:pPr>
      <w:r>
        <w:rPr/>
        <w:t>where the Verified Economic Distortion is the estimate established under Article 35.10, and the Severity, Persistence, and Remediation Factors are assigned within the ranges, and in accordance with the principles, set out in Annex 35-A. Factor values within the ranges, and the technical coefficients used in the calculation, are fixed in Annex 35-A and may be updated by consensus through the Structured Technical Amendment Procedure in Article 34.3.A, within the limits of that Article. The treaty-level principles are: correction proportionate to measured distortion; escalation only with verified persistence; reduction with verified remediation; and conservatism in the face of uncertainty.</w:t>
      </w:r>
    </w:p>
    <w:p>
      <w:pPr>
        <w:pStyle w:val="Normal"/>
        <w:widowControl/>
        <w:rPr/>
      </w:pPr>
      <w:r>
        <w:rPr/>
        <w:t>3. Except as provided in this paragraph, a PTA shall not exceed the lower bound of the uncertainty band of the verified distortion, and in no case the best estimate, unless the evidence supporting the best estimate is full confirmation under Annex 35-C. A PTA may exceed the verified distortion only where a panel under Chapter 31 has made a separate, reasoned finding of deliberate or sustained noncompliance with a final determination, and in that case shall not exceed twice the best estimate of the verified distortion. Correction is the default; deterrence requires the separate finding.</w:t>
      </w:r>
    </w:p>
    <w:p>
      <w:pPr>
        <w:pStyle w:val="Normal"/>
        <w:widowControl/>
        <w:rPr/>
      </w:pPr>
      <w:r>
        <w:rPr/>
        <w:t>4. A PTA applies only to the goods, entities, and trade flows identified in the verification report, in accordance with Article 35.13, and is subject to the anti-fragmentation ceiling in Article 35.13A.</w:t>
      </w:r>
    </w:p>
    <w:p>
      <w:pPr>
        <w:pStyle w:val="Normal"/>
        <w:widowControl/>
        <w:rPr/>
      </w:pPr>
      <w:r>
        <w:rPr/>
        <w:t>5. A PTA takes effect only after: (a) the verification report; (b) the classification; (c) the expiry of the remediation period in Article 35.17 without verified remediation; and (d) publication in the North American Trade Measures Registry under Article 35.24.</w:t>
      </w:r>
    </w:p>
    <w:p>
      <w:pPr>
        <w:pStyle w:val="Normal"/>
        <w:widowControl/>
        <w:rPr/>
      </w:pPr>
      <w:r>
        <w:rPr/>
        <w:t>6. Each PTA expires 180 days after it takes effect, unless the Verification Panel, on the basis of a new verification establishing that the distortion persists, renews it for one further period of 180 days. Successive renewals require successively fresh verification. A PTA does not renew by default, by inertia, or by administrative continuation.</w:t>
      </w:r>
    </w:p>
    <w:p>
      <w:pPr>
        <w:pStyle w:val="Normal"/>
        <w:widowControl/>
        <w:rPr/>
      </w:pPr>
      <w:r>
        <w:rPr/>
        <w:t>7. A PTA terminates automatically on the date the Verification Panel certifies that remediation is complete. Termination operates by this Agreement and does not require any further act of any Party.</w:t>
      </w:r>
    </w:p>
    <w:p>
      <w:pPr>
        <w:pStyle w:val="Normal"/>
        <w:widowControl/>
        <w:rPr/>
      </w:pPr>
      <w:r>
        <w:rPr/>
        <w:t>8. Collection of a PTA in cash is suspended where the affected importer deposits the corresponding amount into escrow or provides alternative security under Article 35.14, pending the outcome of any challenge.</w:t>
      </w:r>
    </w:p>
    <w:p>
      <w:bookmarkStart w:id="1324" w:name="_NAESTMA_TOC_1324"/>
      <w:pPr>
        <w:pStyle w:val="Heading2"/>
        <w:keepNext/>
        <w:widowControl/>
        <w:rPr/>
      </w:pPr>
      <w:bookmarkStart w:id="141" w:name="_Toc237912622"/>
      <w:r>
        <w:rPr/>
        <w:t>Article 35.13: Narrowest-Sufficient-Remedy Rule</w:t>
      </w:r>
      <w:bookmarkEnd w:id="141"/>
      <w:bookmarkEnd w:id="1324"/>
    </w:p>
    <w:p>
      <w:pPr>
        <w:pStyle w:val="Normal"/>
        <w:widowControl/>
        <w:rPr/>
      </w:pPr>
      <w:r>
        <w:rPr/>
        <w:t>1. A corrective measure under this Agreement shall target, in ascending order and no more broadly than the verification establishes as necessary:</w:t>
      </w:r>
    </w:p>
    <w:p>
      <w:pPr>
        <w:pStyle w:val="Normal"/>
        <w:widowControl/>
        <w:rPr/>
      </w:pPr>
      <w:r>
        <w:rPr/>
        <w:t>(a) the responsible entity or entities;</w:t>
      </w:r>
    </w:p>
    <w:p>
      <w:pPr>
        <w:pStyle w:val="Normal"/>
        <w:widowControl/>
        <w:rPr/>
      </w:pPr>
      <w:r>
        <w:rPr/>
        <w:t>(b) the affected product or products of those entities;</w:t>
      </w:r>
    </w:p>
    <w:p>
      <w:pPr>
        <w:pStyle w:val="Normal"/>
        <w:widowControl/>
        <w:rPr/>
      </w:pPr>
      <w:r>
        <w:rPr/>
        <w:t>(c) the affected tariff line;</w:t>
      </w:r>
    </w:p>
    <w:p>
      <w:pPr>
        <w:pStyle w:val="Normal"/>
        <w:widowControl/>
        <w:rPr/>
      </w:pPr>
      <w:r>
        <w:rPr/>
        <w:t>(d) the affected subsector;</w:t>
      </w:r>
    </w:p>
    <w:p>
      <w:pPr>
        <w:pStyle w:val="Normal"/>
        <w:widowControl/>
        <w:rPr/>
      </w:pPr>
      <w:r>
        <w:rPr/>
        <w:t>(e) the affected sector; and</w:t>
      </w:r>
    </w:p>
    <w:p>
      <w:pPr>
        <w:pStyle w:val="Normal"/>
        <w:widowControl/>
        <w:rPr/>
      </w:pPr>
      <w:r>
        <w:rPr/>
        <w:t>(f) cross-module measures, only in accordance with Article 35.15.</w:t>
      </w:r>
    </w:p>
    <w:p>
      <w:pPr>
        <w:pStyle w:val="Normal"/>
        <w:widowControl/>
        <w:rPr/>
      </w:pPr>
      <w:r>
        <w:rPr/>
        <w:t>2. A measure at a broader ring of the ladder in paragraph 1 requires a verification finding that measures at the narrower rings cannot reasonably correct the distortion, with reasons stated.</w:t>
      </w:r>
    </w:p>
    <w:p>
      <w:pPr>
        <w:pStyle w:val="Normal"/>
        <w:widowControl/>
        <w:rPr/>
      </w:pPr>
      <w:r>
        <w:rPr/>
        <w:t>3. Where verification identifies discrete entities responsible for the distortion, a Party shall not apply the resulting adjustment to the trade of other entities in the same sector.</w:t>
      </w:r>
    </w:p>
    <w:p>
      <w:bookmarkStart w:id="1325" w:name="_NAESTMA_TOC_1325"/>
      <w:pPr>
        <w:pStyle w:val="Heading2"/>
        <w:keepNext/>
        <w:widowControl/>
        <w:rPr/>
      </w:pPr>
      <w:bookmarkStart w:id="142" w:name="_Toc237912623"/>
      <w:r>
        <w:rPr/>
        <w:t>Article 35.13A: Anti-Fragmentation of Integrated Products</w:t>
      </w:r>
      <w:bookmarkEnd w:id="142"/>
      <w:bookmarkEnd w:id="1325"/>
    </w:p>
    <w:p>
      <w:pPr>
        <w:pStyle w:val="Normal"/>
        <w:widowControl/>
        <w:rPr/>
      </w:pPr>
      <w:r>
        <w:rPr/>
        <w:t>1. Where an integrated product — including a motor vehicle, battery system, aircraft, or medical device — incorporates inputs from more than one trade module, the product shall not be subjected to overlapping PTAs arising from distortions in different input modules without coordination.</w:t>
      </w:r>
    </w:p>
    <w:p>
      <w:pPr>
        <w:pStyle w:val="Normal"/>
        <w:widowControl/>
        <w:rPr/>
      </w:pPr>
      <w:r>
        <w:rPr/>
        <w:t>2. The Verification Panel shall coordinate the verification of distortions affecting an integrated product, assign the resulting remedy to a single module determined by the dominant-purpose test in Annex 35-B, Part 1, and certify a single coordinated remedy.</w:t>
      </w:r>
    </w:p>
    <w:p>
      <w:pPr>
        <w:pStyle w:val="Normal"/>
        <w:widowControl/>
        <w:rPr/>
      </w:pPr>
      <w:r>
        <w:rPr/>
        <w:t>3. The cumulative burden of all measures applied to an integrated product under this Agreement shall not exceed the ceiling that would apply to the largest single verified distortion affecting it, plus the verified distortion attributable to any additional module, net of overlap, as determined by the Verification Panel. In no case shall cumulative measures on an integrated product exceed the sum of the separately verified distortions.</w:t>
      </w:r>
    </w:p>
    <w:p>
      <w:pPr>
        <w:pStyle w:val="Normal"/>
        <w:widowControl/>
        <w:rPr/>
      </w:pPr>
      <w:r>
        <w:rPr/>
        <w:t>4. Single Submission Rule. Where an integrated product is imported as a single unit or for final assembly under a common transaction, the importing Party shall permit the importer to make a single consolidated origin submission covering the product and its relevant components. Component-level supporting records may be requested only where reasonably necessary to verify a specific origin requirement or where documented evidence indicates circumvention. The importing Party shall not require duplicative certifications for individual components already covered by a valid consolidated submission. Material delay caused solely by a violation of this paragraph is subject to expedited review under Article 31.A and compensation measured by the verified incremental compliance and delay cost.</w:t>
      </w:r>
    </w:p>
    <w:p>
      <w:bookmarkStart w:id="1326" w:name="_NAESTMA_TOC_1326"/>
      <w:pPr>
        <w:pStyle w:val="Heading2"/>
        <w:keepNext/>
        <w:widowControl/>
        <w:rPr/>
      </w:pPr>
      <w:bookmarkStart w:id="143" w:name="_Toc237912624"/>
      <w:r>
        <w:rPr/>
        <w:t>Article 35.14: Escrow in Lieu of Collection</w:t>
      </w:r>
      <w:bookmarkEnd w:id="143"/>
      <w:bookmarkEnd w:id="1326"/>
    </w:p>
    <w:p>
      <w:pPr>
        <w:pStyle w:val="Normal"/>
        <w:widowControl/>
        <w:rPr/>
      </w:pPr>
      <w:r>
        <w:rPr/>
        <w:t>1. The Treaty Integrity Secretariat shall operate the North American Trade Escrow Facility, through which contested adjustment amounts are secured pending final resolution.</w:t>
      </w:r>
    </w:p>
    <w:p>
      <w:pPr>
        <w:pStyle w:val="Normal"/>
        <w:widowControl/>
        <w:rPr/>
      </w:pPr>
      <w:r>
        <w:rPr/>
        <w:t>2. Where a PTA has been authorized and the responding Party or an affected importer contests the underlying determination under Chapter 31 or requests a second opinion under Article 35.10, amounts otherwise collectible under the PTA shall be deposited into the Escrow Facility, or secured as provided in paragraph 5, instead of being collected as revenue.</w:t>
      </w:r>
    </w:p>
    <w:p>
      <w:pPr>
        <w:pStyle w:val="Normal"/>
        <w:widowControl/>
        <w:rPr/>
      </w:pPr>
      <w:r>
        <w:rPr/>
        <w:t>3. The following rules govern the Escrow Facility:</w:t>
      </w:r>
    </w:p>
    <w:p>
      <w:pPr>
        <w:pStyle w:val="Normal"/>
        <w:widowControl/>
        <w:rPr/>
      </w:pPr>
      <w:r>
        <w:rPr/>
        <w:t>(a) deposits are made in the currency of collection, and the facility bears exchange-rate risk, not the depositor;</w:t>
      </w:r>
    </w:p>
    <w:p>
      <w:pPr>
        <w:pStyle w:val="Normal"/>
        <w:widowControl/>
        <w:rPr/>
      </w:pPr>
      <w:r>
        <w:rPr/>
        <w:t>(b) interest earned follows the principal;</w:t>
      </w:r>
    </w:p>
    <w:p>
      <w:pPr>
        <w:pStyle w:val="Normal"/>
        <w:widowControl/>
        <w:rPr/>
      </w:pPr>
      <w:r>
        <w:rPr/>
        <w:t>(c) custody, investment, and safeguarding of deposits follow rules adopted by the Commission, with deposits held in segregated accounts;</w:t>
      </w:r>
    </w:p>
    <w:p>
      <w:pPr>
        <w:pStyle w:val="Normal"/>
        <w:widowControl/>
        <w:rPr/>
      </w:pPr>
      <w:r>
        <w:rPr/>
        <w:t>(d) administrative costs of the Facility are borne by the Parties’ Secretariat budget, not by depositors;</w:t>
      </w:r>
    </w:p>
    <w:p>
      <w:pPr>
        <w:pStyle w:val="Normal"/>
        <w:widowControl/>
        <w:rPr/>
      </w:pPr>
      <w:r>
        <w:rPr/>
        <w:t>(e) in the event of a shortfall or failure of the Facility, losses are borne by the Parties equally, and no depositor’s refund entitlement is extinguished or reduced;</w:t>
      </w:r>
    </w:p>
    <w:p>
      <w:pPr>
        <w:pStyle w:val="Normal"/>
        <w:widowControl/>
        <w:rPr/>
      </w:pPr>
      <w:r>
        <w:rPr/>
        <w:t>(f) escrowed amounts are released to the collecting Party to the extent the adjustment is upheld, refunded to the depositor to the extent it is not, and apportioned where it is upheld in part; and</w:t>
      </w:r>
    </w:p>
    <w:p>
      <w:pPr>
        <w:pStyle w:val="Normal"/>
        <w:widowControl/>
        <w:rPr/>
      </w:pPr>
      <w:r>
        <w:rPr/>
        <w:t>(g) a Party shall not treat the deposit of amounts into escrow as a default, and shall not impose penalties, interest, or additional charges by reason of the deposit.</w:t>
      </w:r>
    </w:p>
    <w:p>
      <w:pPr>
        <w:pStyle w:val="Normal"/>
        <w:widowControl/>
        <w:rPr/>
      </w:pPr>
      <w:r>
        <w:rPr/>
        <w:t>4. Escrowed amounts shall be released or refunded within 15 days after the final resolution.</w:t>
      </w:r>
    </w:p>
    <w:p>
      <w:pPr>
        <w:pStyle w:val="Normal"/>
        <w:widowControl/>
        <w:rPr/>
      </w:pPr>
      <w:r>
        <w:rPr/>
        <w:t>5. In lieu of cash escrow, an importer may provide a guarantee, bond, insurance instrument, or letter of credit from a recognized institution. Reduced-security treatment applies to trusted traders and to importers with a clean three-year compliance record. Where cash escrow or security would impose demonstrated severe hardship on a small or medium-sized enterprise, the collecting Party shall grant a hardship waiver or reduced-security terms under criteria published by the Commission.</w:t>
      </w:r>
    </w:p>
    <w:p>
      <w:bookmarkStart w:id="1327" w:name="_NAESTMA_TOC_1327"/>
      <w:pPr>
        <w:pStyle w:val="Heading2"/>
        <w:keepNext/>
        <w:widowControl/>
        <w:rPr/>
      </w:pPr>
      <w:bookmarkStart w:id="144" w:name="_Toc237912625"/>
      <w:r>
        <w:rPr/>
        <w:t>Article 35.15: Module Firewall</w:t>
      </w:r>
      <w:bookmarkEnd w:id="144"/>
      <w:bookmarkEnd w:id="1327"/>
    </w:p>
    <w:p>
      <w:pPr>
        <w:pStyle w:val="Normal"/>
        <w:widowControl/>
        <w:rPr/>
      </w:pPr>
      <w:r>
        <w:rPr/>
        <w:t>1. Trade between the Parties is organized, for the purposes of corrective measures, into the trade modules listed in Annex 35-B.</w:t>
      </w:r>
    </w:p>
    <w:p>
      <w:pPr>
        <w:pStyle w:val="Normal"/>
        <w:widowControl/>
        <w:rPr/>
      </w:pPr>
      <w:r>
        <w:rPr/>
        <w:t>2. A distortion verified within one module produces corrective measures only within that module. Failure in one module does not cascade into another module.</w:t>
      </w:r>
    </w:p>
    <w:p>
      <w:pPr>
        <w:pStyle w:val="Normal"/>
        <w:widowControl/>
        <w:rPr/>
      </w:pPr>
      <w:r>
        <w:rPr/>
        <w:t>3. A cross-module measure is available only where: (a) a final determination under Chapter 31 or this Chapter has found a violation; (b) the violating Party has failed to comply within the period fixed under Article 31.19 as amended; (c) a panel constituted under Chapter 31 has made a separate, reasoned finding that same-module measures are demonstrably incapable of inducing compliance — and not merely less convenient, slower, or less politically effective; and (d) the cross-module measure is proportionate to the trade effect of the violation under Article 31.19 as amended.</w:t>
      </w:r>
    </w:p>
    <w:p>
      <w:pPr>
        <w:pStyle w:val="Normal"/>
        <w:widowControl/>
        <w:rPr/>
      </w:pPr>
      <w:r>
        <w:rPr/>
        <w:t>4. A dispute concerning one module does not suspend, delay, or condition the operation of this Agreement in any other module. Partial success survives: the remainder of the economic relationship continues unaffected.</w:t>
      </w:r>
    </w:p>
    <w:p>
      <w:bookmarkStart w:id="1328" w:name="_NAESTMA_TOC_1328"/>
      <w:pPr>
        <w:pStyle w:val="Heading2"/>
        <w:keepNext/>
        <w:widowControl/>
        <w:rPr/>
      </w:pPr>
      <w:bookmarkStart w:id="145" w:name="_Toc237912626"/>
      <w:r>
        <w:rPr/>
        <w:t>Article 35.16: Step-Back Stages — Graduated Response</w:t>
      </w:r>
      <w:bookmarkEnd w:id="145"/>
      <w:bookmarkEnd w:id="1328"/>
    </w:p>
    <w:p>
      <w:pPr>
        <w:pStyle w:val="Normal"/>
        <w:widowControl/>
        <w:rPr/>
      </w:pPr>
      <w:r>
        <w:rPr/>
        <w:t>1. Noncompliance verified under this Chapter activates the following stages in sequence:</w:t>
      </w:r>
    </w:p>
    <w:p>
      <w:pPr>
        <w:pStyle w:val="Normal"/>
        <w:widowControl/>
        <w:rPr/>
      </w:pPr>
      <w:r>
        <w:rPr/>
        <w:t>Stage 0 — Consultation and Cure Notice: consultations under Article 35.8, accompanied by a written cure path and objective compliance criteria.</w:t>
      </w:r>
    </w:p>
    <w:p>
      <w:pPr>
        <w:pStyle w:val="Normal"/>
        <w:widowControl/>
        <w:rPr/>
      </w:pPr>
      <w:r>
        <w:rPr/>
        <w:t>Stage 1 — Enhanced Verification: enhanced data reporting, origin verification, or monitoring of the identified entities or flows, for a defined period not exceeding 180 days.</w:t>
      </w:r>
    </w:p>
    <w:p>
      <w:pPr>
        <w:pStyle w:val="Normal"/>
        <w:widowControl/>
        <w:rPr/>
      </w:pPr>
      <w:r>
        <w:rPr/>
        <w:t>Stage 2 — Targeted Compliance Security: a refundable performance bond, guarantee, insurance instrument, or escrow deposit calibrated to the verified distortion, with Article 35.14.5 hardship protections.</w:t>
      </w:r>
    </w:p>
    <w:p>
      <w:pPr>
        <w:pStyle w:val="Normal"/>
        <w:widowControl/>
        <w:rPr/>
      </w:pPr>
      <w:r>
        <w:rPr/>
        <w:t>Stage 3 — Treaty-Created Incentive Consequence: temporary suspension, reduction, or deferral of a treaty-created facilitation, incentive, procurement advantage, or administrative benefit directly connected to the verified distortion, excluding ordinary tariff preference for originating goods.</w:t>
      </w:r>
    </w:p>
    <w:p>
      <w:pPr>
        <w:pStyle w:val="Normal"/>
        <w:widowControl/>
        <w:rPr/>
      </w:pPr>
      <w:r>
        <w:rPr/>
        <w:t>Stage 4 — Remediation Contribution or Monetary Compensation: a targeted contribution, compensation payment, or approved remediation investment under Article 35.17A, calibrated to verified injury and designed where practicable to repair the affected trade, workforce, infrastructure, environmental, or supply-chain harm.</w:t>
      </w:r>
    </w:p>
    <w:p>
      <w:pPr>
        <w:pStyle w:val="Normal"/>
        <w:widowControl/>
        <w:rPr/>
      </w:pPr>
      <w:r>
        <w:rPr/>
        <w:t>Stage 5 — Demerit-Linked Preference Step-Back: temporary reduction, ordinarily in 5-percent increments, of an enhanced treaty-created preference directly connected to the verified distortion, in accordance with Article 35.37 and Annex 35-G. Ordinary zero-duty treatment for originating goods is not itself an enhanced preference and shall not be reduced at this stage.</w:t>
      </w:r>
    </w:p>
    <w:p>
      <w:pPr>
        <w:pStyle w:val="Normal"/>
        <w:widowControl/>
        <w:rPr/>
      </w:pPr>
      <w:r>
        <w:rPr/>
        <w:t>Stage 6 — Suspension of Directly Related Enhanced Benefit: suspension of an enhanced benefit of this Agreement directly related to the distortion, proportionate to its trade effect, while preserving the ordinary zero-duty baseline for originating goods.</w:t>
      </w:r>
    </w:p>
    <w:p>
      <w:pPr>
        <w:pStyle w:val="Normal"/>
        <w:widowControl/>
        <w:rPr/>
      </w:pPr>
      <w:r>
        <w:rPr/>
        <w:t>Stage 7 — Enhanced Remediation and Sectoral Non-Tariff Remedy: a broader but still non-tariff measure within the affected module, upon certification under Article 35.13.2 and a finding that narrower preference step-backs have not induced compliance.</w:t>
      </w:r>
    </w:p>
    <w:p>
      <w:pPr>
        <w:pStyle w:val="Normal"/>
        <w:widowControl/>
        <w:rPr/>
      </w:pPr>
      <w:r>
        <w:rPr/>
        <w:t>Stage 8 — Exceptional Tariff Petition: only after Stages 0 through 7 have been exhausted or found demonstrably incapable of preventing serious continuing harm, a Party may petition for a temporary tariff under Articles 35.38 through 35.40. No tariff exists by operation of this stage alone.</w:t>
      </w:r>
    </w:p>
    <w:p>
      <w:pPr>
        <w:pStyle w:val="Normal"/>
        <w:widowControl/>
        <w:rPr/>
      </w:pPr>
      <w:r>
        <w:rPr/>
        <w:t>2. No Party shall activate a stage without completing the preceding stages, except that Stages 1 and 2 may proceed concurrently; a Party may move directly to Stage 4 where the responding Party agrees to compensation or remediation; and Article 35.21 governs genuine emergencies.</w:t>
      </w:r>
    </w:p>
    <w:p>
      <w:pPr>
        <w:pStyle w:val="Normal"/>
        <w:widowControl/>
        <w:rPr/>
      </w:pPr>
      <w:r>
        <w:rPr/>
        <w:t>3. Each stage carries defined restoration conditions at inception. Movement to a higher stage requires a fresh verification of continued noncompliance and a reasoned finding that the next stage is necessary.</w:t>
      </w:r>
    </w:p>
    <w:p>
      <w:pPr>
        <w:pStyle w:val="Normal"/>
        <w:widowControl/>
        <w:rPr/>
      </w:pPr>
      <w:r>
        <w:rPr/>
        <w:t>4. Innocent-Trade Protection. In selecting a remedy, the Panel shall minimize costs imposed on consumers, SMEs, workers, and enterprises that did not cause or materially benefit from the verified distortion.</w:t>
      </w:r>
    </w:p>
    <w:p>
      <w:pPr>
        <w:pStyle w:val="Normal"/>
        <w:widowControl/>
        <w:rPr/>
      </w:pPr>
      <w:r>
        <w:rPr/>
        <w:t>5. No snapback. Nothing in this Agreement restores, automatically or otherwise, a pre-existing measure, a terminated measure, or a prior state of restriction by reason of a single event, determination, or failure. Consequences are graduated, proportionate, reversible, and subject to automatic restoration under Article 35.18.</w:t>
      </w:r>
    </w:p>
    <w:p>
      <w:bookmarkStart w:id="1329" w:name="_NAESTMA_TOC_1329"/>
      <w:pPr>
        <w:pStyle w:val="Heading2"/>
        <w:keepNext/>
        <w:widowControl/>
        <w:rPr/>
      </w:pPr>
      <w:bookmarkStart w:id="146" w:name="_Toc237912627"/>
      <w:r>
        <w:rPr/>
        <w:t>Article 35.17: Remediation and Earn-Back</w:t>
      </w:r>
      <w:bookmarkEnd w:id="146"/>
      <w:bookmarkEnd w:id="1329"/>
    </w:p>
    <w:p>
      <w:pPr>
        <w:pStyle w:val="Normal"/>
        <w:widowControl/>
        <w:rPr/>
      </w:pPr>
      <w:r>
        <w:rPr/>
        <w:t>1. Every verification report that finds a distortion shall specify, at the time the report is issued, the objective conditions whose verified satisfaction constitutes remediation of that distortion.</w:t>
      </w:r>
    </w:p>
    <w:p>
      <w:pPr>
        <w:pStyle w:val="Normal"/>
        <w:widowControl/>
        <w:rPr/>
      </w:pPr>
      <w:r>
        <w:rPr/>
        <w:t>2. The responding Party is afforded a remediation period of 60 days from the classification decision, or 30 days in a Tier 3 matter, within which to remediate.</w:t>
      </w:r>
    </w:p>
    <w:p>
      <w:pPr>
        <w:pStyle w:val="Normal"/>
        <w:widowControl/>
        <w:rPr/>
      </w:pPr>
      <w:r>
        <w:rPr/>
        <w:t>3. During the remediation period no corrective measure beyond Stage 1 takes effect.</w:t>
      </w:r>
    </w:p>
    <w:p>
      <w:pPr>
        <w:pStyle w:val="Normal"/>
        <w:widowControl/>
        <w:rPr/>
      </w:pPr>
      <w:r>
        <w:rPr/>
        <w:t>4. Remediation does not require: (a) any admission of violation, fault, or guilt; (b) any political concession; (c) any concession unrelated to the distortion; or (d) renegotiation of any commitment. Demonstrated compliance is sufficient.</w:t>
      </w:r>
    </w:p>
    <w:p>
      <w:pPr>
        <w:pStyle w:val="Normal"/>
        <w:widowControl/>
        <w:rPr/>
      </w:pPr>
      <w:r>
        <w:rPr/>
        <w:t>5. Early and substantial remediation reduces any subsequent adjustment through the Remediation Factor in Article 35.12. Cooperation is thereby made materially less costly than defiance.</w:t>
      </w:r>
    </w:p>
    <w:p>
      <w:pPr>
        <w:pStyle w:val="Normal"/>
        <w:widowControl/>
        <w:rPr/>
      </w:pPr>
      <w:r>
        <w:rPr/>
        <w:t>6. A Party that remediates before any adjustment takes effect faces no adjustment. The matter closes upon verification of remediation.</w:t>
      </w:r>
    </w:p>
    <w:p>
      <w:pPr>
        <w:pStyle w:val="Normal"/>
        <w:widowControl/>
        <w:rPr/>
      </w:pPr>
      <w:r>
        <w:rPr/>
        <w:t>7. Sustained verified compliance earns administrative facilitation, including reduced inspection frequency, expedited customs clearance, simplified certification, reduced bond requirements, and trusted-trader status. Such facilitation does not excuse, offset, or forgive any future distortion.</w:t>
      </w:r>
    </w:p>
    <w:p>
      <w:pPr>
        <w:pStyle w:val="Heading3"/>
        <w:keepNext/>
        <w:widowControl/>
        <w:rPr/>
      </w:pPr>
      <w:r>
        <w:rPr/>
        <w:t>Article 35.17A: Remediation Investment and Corrective Compensation</w:t>
      </w:r>
    </w:p>
    <w:p>
      <w:pPr>
        <w:pStyle w:val="Normal"/>
        <w:widowControl/>
        <w:rPr/>
      </w:pPr>
      <w:r>
        <w:rPr/>
        <w:t>1. A responding Party may satisfy all or part of a Stage 4 consequence through a verified remediation program reasonably connected to the injury or compliance failure, including worker adjustment that meets or exceeds the standards and benefit levels set forth in Chapter 23-B (North American Just Transition and Worker Security Framework). Worker adjustment programs shall be implemented in addition to—not in substitution for—a Party's Chapter 23-B obligations. Worker adjustment remedies under this Article do not offset or reduce a Party's mandatory contributions to the North American Just Transition Fund.</w:t>
      </w:r>
    </w:p>
    <w:p>
      <w:pPr>
        <w:pStyle w:val="Normal"/>
        <w:widowControl/>
        <w:rPr/>
      </w:pPr>
      <w:r>
        <w:rPr/>
        <w:t>2. A remediation program shall identify the beneficiary class, project or payment vehicle, valuation method, completion schedule, audit method, and treatment of any unspent amount. It shall not require procurement from a particular Party unless the underlying injury directly concerns discriminatory procurement.</w:t>
      </w:r>
    </w:p>
    <w:p>
      <w:pPr>
        <w:pStyle w:val="Normal"/>
        <w:widowControl/>
        <w:rPr/>
      </w:pPr>
      <w:r>
        <w:rPr/>
        <w:t>3. A remediation contribution is corrective, not punitive. Its value shall not exceed verified injury plus reasonable implementation costs, and double recovery is prohibited.</w:t>
      </w:r>
    </w:p>
    <w:p>
      <w:pPr>
        <w:pStyle w:val="Normal"/>
        <w:widowControl/>
        <w:rPr/>
      </w:pPr>
      <w:r>
        <w:rPr/>
        <w:t>4. Completion of the verified remediation obligation satisfies the corresponding Stage 4 consequence and is credited fully in any later proportionality calculation.</w:t>
      </w:r>
    </w:p>
    <w:p>
      <w:pPr>
        <w:pStyle w:val="Normal"/>
        <w:widowControl/>
        <w:rPr/>
      </w:pPr>
      <w:r>
        <w:rPr/>
        <w:t>5. The Commission shall maintain model remediation instruments so that a Party may use this Article without negotiating a bespoke mechanism in every dispute.</w:t>
      </w:r>
    </w:p>
    <w:p>
      <w:bookmarkStart w:id="1330" w:name="_NAESTMA_TOC_1330"/>
      <w:pPr>
        <w:pStyle w:val="Heading2"/>
        <w:keepNext/>
        <w:widowControl/>
        <w:rPr/>
      </w:pPr>
      <w:bookmarkStart w:id="147" w:name="_Toc237912628"/>
      <w:r>
        <w:rPr/>
        <w:t>Article 35.18: Automatic Restoration</w:t>
      </w:r>
      <w:bookmarkEnd w:id="147"/>
      <w:bookmarkEnd w:id="1330"/>
    </w:p>
    <w:p>
      <w:pPr>
        <w:pStyle w:val="Normal"/>
        <w:widowControl/>
        <w:rPr/>
      </w:pPr>
      <w:r>
        <w:rPr/>
        <w:t>1. Upon certification by the Verification Panel that remediation is complete:</w:t>
      </w:r>
    </w:p>
    <w:p>
      <w:pPr>
        <w:pStyle w:val="Normal"/>
        <w:widowControl/>
        <w:rPr/>
      </w:pPr>
      <w:r>
        <w:rPr/>
        <w:t>(a) any PTA terminates automatically on the date of certification;</w:t>
      </w:r>
    </w:p>
    <w:p>
      <w:pPr>
        <w:pStyle w:val="Normal"/>
        <w:widowControl/>
        <w:rPr/>
      </w:pPr>
      <w:r>
        <w:rPr/>
        <w:t>(b) escrowed amounts are released or refunded in accordance with the final outcome;</w:t>
      </w:r>
    </w:p>
    <w:p>
      <w:pPr>
        <w:pStyle w:val="Normal"/>
        <w:widowControl/>
        <w:rPr/>
      </w:pPr>
      <w:r>
        <w:rPr/>
        <w:t>(c) any suspended preference restores automatically;</w:t>
      </w:r>
    </w:p>
    <w:p>
      <w:pPr>
        <w:pStyle w:val="Normal"/>
        <w:widowControl/>
        <w:rPr/>
      </w:pPr>
      <w:r>
        <w:rPr/>
        <w:t>(d) any enhanced verification steps down to ordinary levels; and</w:t>
      </w:r>
    </w:p>
    <w:p>
      <w:pPr>
        <w:pStyle w:val="Normal"/>
        <w:widowControl/>
        <w:rPr/>
      </w:pPr>
      <w:r>
        <w:rPr/>
        <w:t>(e) any bond is refunded.</w:t>
      </w:r>
    </w:p>
    <w:p>
      <w:pPr>
        <w:pStyle w:val="Normal"/>
        <w:widowControl/>
        <w:rPr/>
      </w:pPr>
      <w:r>
        <w:rPr/>
        <w:t>2. The consequences in paragraph 1 operate by force of this Agreement. No vote, proclamation, order, negotiation, or further determination of any Party is required, and no Party shall make restoration conditional on any other matter.</w:t>
      </w:r>
    </w:p>
    <w:p>
      <w:pPr>
        <w:pStyle w:val="Normal"/>
        <w:widowControl/>
        <w:rPr/>
      </w:pPr>
      <w:r>
        <w:rPr/>
        <w:t>3. If the Parties concerned disagree whether remediation is complete, either may request an expedited compliance verification, which the Verification Panel shall complete within 21 days. The burden rests on the Party maintaining that remediation is incomplete.</w:t>
      </w:r>
    </w:p>
    <w:p>
      <w:pPr>
        <w:pStyle w:val="Normal"/>
        <w:widowControl/>
        <w:rPr/>
      </w:pPr>
      <w:r>
        <w:rPr/>
        <w:t>4. Pending the compliance verification, no stage higher than the stage in effect at the time of the request takes effect.</w:t>
      </w:r>
    </w:p>
    <w:p>
      <w:pPr>
        <w:pStyle w:val="Normal"/>
        <w:widowControl/>
        <w:rPr/>
      </w:pPr>
      <w:r>
        <w:rPr/>
        <w:t>5. Earn-Back Is Structural. Restoration under this Article is a treaty right, not a discretionary concession. Every corrective measure imposed under this Chapter shall identify, at inception, the objective remediation conditions and any clean-compliance period required for automatic restoration.</w:t>
      </w:r>
    </w:p>
    <w:p>
      <w:pPr>
        <w:pStyle w:val="Normal"/>
        <w:widowControl/>
        <w:rPr/>
      </w:pPr>
      <w:r>
        <w:rPr/>
        <w:t>6. A Party seeking restoration is not required to admit fault, waive a legal position, make an unrelated political concession, or renegotiate the underlying commitment. Verified return to compliance is sufficient.</w:t>
      </w:r>
    </w:p>
    <w:p>
      <w:pPr>
        <w:pStyle w:val="Normal"/>
        <w:widowControl/>
        <w:rPr/>
      </w:pPr>
      <w:r>
        <w:rPr/>
        <w:t>7. Clean-Compliance Periods. Unless another provision establishes a shorter period, a Tier 2 matter restores after 14 consecutive days of verified clean compliance following remediation; a Tier 3 matter restores after 60 consecutive days, subject to enhanced verification. A Panel may shorten a period by up to 25 percent for exceptional cooperation or verified over-compliance, but may not lengthen it after the remedy is imposed except upon a new material violation.</w:t>
      </w:r>
    </w:p>
    <w:p>
      <w:pPr>
        <w:pStyle w:val="Normal"/>
        <w:widowControl/>
        <w:rPr/>
      </w:pPr>
      <w:r>
        <w:rPr/>
        <w:t>8. No unrelated dispute, election, change of government, or negotiation may delay an otherwise completed earn-back.</w:t>
      </w:r>
    </w:p>
    <w:p>
      <w:bookmarkStart w:id="1331" w:name="_NAESTMA_TOC_1331"/>
      <w:pPr>
        <w:pStyle w:val="Heading2"/>
        <w:keepNext/>
        <w:widowControl/>
        <w:rPr/>
      </w:pPr>
      <w:bookmarkStart w:id="148" w:name="_Toc237912629"/>
      <w:r>
        <w:rPr/>
        <w:t>Article 35.19: Discipline of Allegations</w:t>
      </w:r>
      <w:bookmarkEnd w:id="148"/>
      <w:bookmarkEnd w:id="1331"/>
    </w:p>
    <w:p>
      <w:pPr>
        <w:pStyle w:val="Normal"/>
        <w:widowControl/>
        <w:rPr/>
      </w:pPr>
      <w:r>
        <w:rPr/>
        <w:t>1. The Mechanism is available in good faith. A Party shall not invoke the Mechanism abusively, repetitively, or for purposes of harassment, delay, or negotiation leverage.</w:t>
      </w:r>
    </w:p>
    <w:p>
      <w:pPr>
        <w:pStyle w:val="Normal"/>
        <w:widowControl/>
        <w:rPr/>
      </w:pPr>
      <w:r>
        <w:rPr/>
        <w:t>2. The following consequences apply to unsupported allegations:</w:t>
      </w:r>
    </w:p>
    <w:p>
      <w:pPr>
        <w:pStyle w:val="Normal"/>
        <w:widowControl/>
        <w:rPr/>
      </w:pPr>
      <w:r>
        <w:rPr/>
        <w:t>(a) upon a first determination of no confirmation, the initiating Party bears the verification costs;</w:t>
      </w:r>
    </w:p>
    <w:p>
      <w:pPr>
        <w:pStyle w:val="Normal"/>
        <w:widowControl/>
        <w:rPr/>
      </w:pPr>
      <w:r>
        <w:rPr/>
        <w:t>(b) upon a second determination of no confirmation within 24 months concerning substantially similar conduct, the initiating Party bears double the verification costs and is subject to a heightened evidentiary threshold for 12 months;</w:t>
      </w:r>
    </w:p>
    <w:p>
      <w:pPr>
        <w:pStyle w:val="Normal"/>
        <w:widowControl/>
        <w:rPr/>
      </w:pPr>
      <w:r>
        <w:rPr/>
        <w:t>(c) upon a third such determination within 24 months, the initiating Party’s access to the expedited track in Article 35.21 is suspended for 12 months, and the Verification Panel issues a formal finding of abusive invocation; and</w:t>
      </w:r>
    </w:p>
    <w:p>
      <w:pPr>
        <w:pStyle w:val="Normal"/>
        <w:widowControl/>
        <w:rPr/>
      </w:pPr>
      <w:r>
        <w:rPr/>
        <w:t>(d) a formal finding of abusive invocation entitles the responding Party to reimbursement of reasonable costs incurred in responding.</w:t>
      </w:r>
    </w:p>
    <w:p>
      <w:pPr>
        <w:pStyle w:val="Normal"/>
        <w:widowControl/>
        <w:rPr/>
      </w:pPr>
      <w:r>
        <w:rPr/>
        <w:t>3. The ladder in paragraph 2 applies symmetrically to obstruction, frivolous objection, and bad-faith participation by a responding Party.</w:t>
      </w:r>
    </w:p>
    <w:p>
      <w:pPr>
        <w:pStyle w:val="Normal"/>
        <w:widowControl/>
        <w:rPr/>
      </w:pPr>
      <w:r>
        <w:rPr/>
        <w:t>4. Determinations under this Article are recorded in the Shared Trade Data Registry and are public.</w:t>
      </w:r>
    </w:p>
    <w:p>
      <w:pPr>
        <w:pStyle w:val="Normal"/>
        <w:widowControl/>
        <w:rPr/>
      </w:pPr>
      <w:r>
        <w:rPr/>
        <w:t>For this Article, an allegation is frivolous or manifestly unfounded only where: (a) it lacks evidence sufficient to establish a prima facie case; (b) the alleged facts, even if true, could not constitute a violation or actionable distortion; (c) a material factual premise is demonstrably false and could reasonably have been verified before filing; or (d) it materially repeats a finally resolved allegation without materially new evidence or changed circumstances. Good-faith disagreement over methodology, law, or uncertain evidence is not by itself frivolous.</w:t>
      </w:r>
    </w:p>
    <w:p>
      <w:pPr>
        <w:pStyle w:val="Normal"/>
        <w:widowControl/>
        <w:rPr/>
      </w:pPr>
      <w:r>
        <w:rPr/>
        <w:t>5. Partial Confirmation. Where an allegation contains separable accurate and inaccurate elements, the Verification Panel shall make element-by-element findings rather than treating the entire allegation as confirmed or rejected. Costs, remedies, and any abusive-invocation consequence shall be allocated proportionately to the confirmed and unconfirmed portions.</w:t>
      </w:r>
    </w:p>
    <w:p>
      <w:pPr>
        <w:pStyle w:val="Normal"/>
        <w:widowControl/>
        <w:rPr/>
      </w:pPr>
      <w:r>
        <w:rPr/>
        <w:t>6. Counter-Evidence Closure. Where the evidence remains materially inconclusive after the ordinary record closes, the Panel may order one final, time-limited counter-evidence round. Each Party receives the same submission window and access to the same non-confidential evidentiary record. After that round the Panel shall close the factual issue and may not permit serial relitigation absent materially new evidence.</w:t>
      </w:r>
    </w:p>
    <w:p>
      <w:pPr>
        <w:pStyle w:val="Normal"/>
        <w:widowControl/>
        <w:rPr/>
      </w:pPr>
      <w:r>
        <w:rPr/>
        <w:t>7. Frivolous challenge and frivolous claim rules operate symmetrically. Repeated unsupported objections to verified evidence may result in cost shifting, loss of expedited procedural privileges, or heightened objection thresholds to the same extent that repeated unsupported allegations may produce those consequences.</w:t>
      </w:r>
    </w:p>
    <w:p>
      <w:bookmarkStart w:id="1332" w:name="_NAESTMA_TOC_1332"/>
      <w:pPr>
        <w:pStyle w:val="Heading2"/>
        <w:keepNext/>
        <w:widowControl/>
        <w:rPr/>
      </w:pPr>
      <w:bookmarkStart w:id="149" w:name="_Toc237912630"/>
      <w:r>
        <w:rPr/>
        <w:t>Article 35.20: Compensation Before Escalation</w:t>
      </w:r>
      <w:bookmarkEnd w:id="149"/>
      <w:bookmarkEnd w:id="1332"/>
    </w:p>
    <w:p>
      <w:pPr>
        <w:pStyle w:val="Normal"/>
        <w:widowControl/>
        <w:rPr/>
      </w:pPr>
      <w:r>
        <w:rPr/>
        <w:t>1. At any time after a verification finding a distortion and before Stage 4, the responding Party may offer, and the initiating Party shall consider in good faith, compensation in the form of equivalent market access within the affected module.</w:t>
      </w:r>
    </w:p>
    <w:p>
      <w:pPr>
        <w:pStyle w:val="Normal"/>
        <w:widowControl/>
        <w:rPr/>
      </w:pPr>
      <w:r>
        <w:rPr/>
        <w:t>2. Compensation may take any mutually agreed form, including additional quota allocation, accelerated regulatory recognition, procurement access, or equivalent benefits. The Parties may, where they both agree it is useful, record compensation as market-access credits under Annex 35-E; the use of credits is optional and is never a precondition to agreed compensation.</w:t>
      </w:r>
    </w:p>
    <w:p>
      <w:pPr>
        <w:pStyle w:val="Normal"/>
        <w:widowControl/>
        <w:rPr/>
      </w:pPr>
      <w:r>
        <w:rPr/>
        <w:t>3. Acceptance of agreed compensation extinguishes the distortion for the purposes of this Chapter. Compensation shall not take the form of a covered border measure against any Party or non-Party.</w:t>
      </w:r>
    </w:p>
    <w:p>
      <w:bookmarkStart w:id="1333" w:name="_NAESTMA_TOC_1333"/>
      <w:pPr>
        <w:pStyle w:val="Heading2"/>
        <w:keepNext/>
        <w:widowControl/>
        <w:rPr/>
      </w:pPr>
      <w:bookmarkStart w:id="150" w:name="_Toc237912631"/>
      <w:r>
        <w:rPr/>
        <w:t>Article 35.21: Genuine Emergencies — Expedited Track</w:t>
      </w:r>
      <w:bookmarkEnd w:id="150"/>
      <w:bookmarkEnd w:id="1333"/>
    </w:p>
    <w:p>
      <w:pPr>
        <w:pStyle w:val="Normal"/>
        <w:widowControl/>
        <w:rPr/>
      </w:pPr>
      <w:r>
        <w:rPr/>
        <w:t>1. Where a genuine emergency exists, as defined in Article 35.2 — including a sudden import surge causing serious injury, an imminent flood of fraudulently documented goods, or a critical threat to health, safety, or security — a Party may apply an emergency provisional measure, provided that the measure:</w:t>
      </w:r>
    </w:p>
    <w:p>
      <w:pPr>
        <w:pStyle w:val="Normal"/>
        <w:widowControl/>
        <w:rPr/>
      </w:pPr>
      <w:r>
        <w:rPr/>
        <w:t>1A. Except as provided in paragraph 1B, an emergency provisional measure shall not take effect until 15 days after notification under subparagraph 1(d). During that period the Verification Panel shall convene an emergency session and issue a preliminary determination whether the evidence establishes a genuine emergency and whether the proposed measure is confined to the narrowest sufficient scope. If the Panel determines that the asserted emergency is not supported by credible evidence, the proposed measure shall not take effect.</w:t>
      </w:r>
    </w:p>
    <w:p>
      <w:pPr>
        <w:pStyle w:val="Normal"/>
        <w:widowControl/>
        <w:rPr/>
      </w:pPr>
      <w:r>
        <w:rPr/>
        <w:t>1B. A Party may apply a measure immediately where waiting 15 days would create a demonstrable and material risk of death or serious injury, entry of contaminated or prohibited goods, active cyber compromise, physical failure of critical infrastructure, or comparable irreversible harm. An immediately effective measure is limited to the goods, entities, or flows creating that risk, is reviewed within 72 hours, and terminates automatically if the Panel does not verify the immediate-action necessity.</w:t>
      </w:r>
    </w:p>
    <w:p>
      <w:pPr>
        <w:pStyle w:val="Normal"/>
        <w:widowControl/>
        <w:rPr/>
      </w:pPr>
      <w:r>
        <w:rPr/>
        <w:t>(a) is confined to the goods and flows presenting the emergency;</w:t>
      </w:r>
    </w:p>
    <w:p>
      <w:pPr>
        <w:pStyle w:val="Normal"/>
        <w:widowControl/>
        <w:rPr/>
      </w:pPr>
      <w:r>
        <w:rPr/>
        <w:t>(b) does not exceed what is required to address the emergency pending verification;</w:t>
      </w:r>
    </w:p>
    <w:p>
      <w:pPr>
        <w:pStyle w:val="Normal"/>
        <w:widowControl/>
        <w:rPr/>
      </w:pPr>
      <w:r>
        <w:rPr/>
        <w:t>(c) takes the form, wherever practicable, of a targeted hold, bond, or escrow rather than a duty;</w:t>
      </w:r>
    </w:p>
    <w:p>
      <w:pPr>
        <w:pStyle w:val="Normal"/>
        <w:widowControl/>
        <w:rPr/>
      </w:pPr>
      <w:r>
        <w:rPr/>
        <w:t>(d) is notified to the other Parties and the Verification Panel within 24 hours, with the evidence supporting it;</w:t>
      </w:r>
    </w:p>
    <w:p>
      <w:pPr>
        <w:pStyle w:val="Normal"/>
        <w:widowControl/>
        <w:rPr/>
      </w:pPr>
      <w:r>
        <w:rPr/>
        <w:t>(e) is reviewed by the Verification Panel within 72 hours; and</w:t>
      </w:r>
    </w:p>
    <w:p>
      <w:pPr>
        <w:pStyle w:val="Normal"/>
        <w:widowControl/>
        <w:rPr/>
      </w:pPr>
      <w:r>
        <w:rPr/>
        <w:t>(f) expires automatically 30 days after imposition unless the Verification Panel verifies the distortion and classifies the matter under Article 35.11, in which case the ordinary stages apply.</w:t>
      </w:r>
    </w:p>
    <w:p>
      <w:pPr>
        <w:pStyle w:val="Normal"/>
        <w:widowControl/>
        <w:rPr/>
      </w:pPr>
      <w:r>
        <w:rPr/>
        <w:t>2. An emergency provisional measure that is not verified within the period in paragraph 1(f) terminates automatically, and amounts collected are refunded with interest.</w:t>
      </w:r>
    </w:p>
    <w:p>
      <w:pPr>
        <w:pStyle w:val="Normal"/>
        <w:widowControl/>
        <w:rPr/>
      </w:pPr>
      <w:r>
        <w:rPr/>
        <w:t>3. Emergency authority is not an indefinite substitute for ordinary trade policy. Substantially similar emergency measures concerning substantially the same goods — including measures differing only in stated justification — are aggregated and treated as a single continuing measure for the purposes of duration limits; the cumulative duration of emergency provisional measures concerning substantially the same goods shall not exceed 60 days in any 12-month period absent a full verification and classification under this Chapter. Each successive measure requires successively stronger verification.</w:t>
      </w:r>
    </w:p>
    <w:p>
      <w:bookmarkStart w:id="1334" w:name="_NAESTMA_TOC_1334"/>
      <w:pPr>
        <w:pStyle w:val="Heading2"/>
        <w:keepNext/>
        <w:widowControl/>
        <w:rPr/>
      </w:pPr>
      <w:bookmarkStart w:id="151" w:name="_Toc237912632"/>
      <w:r>
        <w:rPr/>
        <w:t>Article 35.22: Essential Security Measures — Special Lane</w:t>
      </w:r>
      <w:bookmarkEnd w:id="151"/>
      <w:bookmarkEnd w:id="1334"/>
    </w:p>
    <w:p>
      <w:pPr>
        <w:pStyle w:val="Normal"/>
        <w:widowControl/>
        <w:rPr/>
      </w:pPr>
      <w:r>
        <w:rPr/>
        <w:t>1. Each Party retains its authority to take measures it considers necessary for the protection of its essential security interests, in accordance with Article 32.2 as replaced by this modernization.</w:t>
      </w:r>
    </w:p>
    <w:p>
      <w:pPr>
        <w:pStyle w:val="Normal"/>
        <w:widowControl/>
        <w:rPr/>
      </w:pPr>
      <w:r>
        <w:rPr/>
        <w:t>2. Where an essential security measure affects, or would affect, the originating goods of another Party, the measure is subject to the special review lane in this Article, in addition to the procedural requirements of Article 32.2.</w:t>
      </w:r>
    </w:p>
    <w:p>
      <w:pPr>
        <w:pStyle w:val="Normal"/>
        <w:widowControl/>
        <w:rPr/>
      </w:pPr>
      <w:r>
        <w:rPr/>
        <w:t>3. Within 15 days after the notification required by Article 32.2, the affected Party may refer the measure to the Verification Panel, which shall determine, within 45 days and without reviewing the invoking Party’s security judgment:</w:t>
      </w:r>
    </w:p>
    <w:p>
      <w:pPr>
        <w:pStyle w:val="Normal"/>
        <w:widowControl/>
        <w:rPr/>
      </w:pPr>
      <w:r>
        <w:rPr/>
        <w:t>(a) whether the measure is genuinely connected to the stated security interest;</w:t>
      </w:r>
    </w:p>
    <w:p>
      <w:pPr>
        <w:pStyle w:val="Normal"/>
        <w:widowControl/>
        <w:rPr/>
      </w:pPr>
      <w:r>
        <w:rPr/>
        <w:t>(b) whether originating goods of the other Party contribute materially to the stated security concern;</w:t>
      </w:r>
    </w:p>
    <w:p>
      <w:pPr>
        <w:pStyle w:val="Normal"/>
        <w:widowControl/>
        <w:rPr/>
      </w:pPr>
      <w:r>
        <w:rPr/>
        <w:t>(c) whether the concern could be addressed by targeting non-originating content or non-Party goods;</w:t>
      </w:r>
    </w:p>
    <w:p>
      <w:pPr>
        <w:pStyle w:val="Normal"/>
        <w:widowControl/>
        <w:rPr/>
      </w:pPr>
      <w:r>
        <w:rPr/>
        <w:t>(d) whether trusted-origin certification under Article 36.6 could address the concern; and</w:t>
      </w:r>
    </w:p>
    <w:p>
      <w:pPr>
        <w:pStyle w:val="Normal"/>
        <w:widowControl/>
        <w:rPr/>
      </w:pPr>
      <w:r>
        <w:rPr/>
        <w:t>(e) whether a narrower measure could achieve the stated security objective.</w:t>
      </w:r>
    </w:p>
    <w:p>
      <w:pPr>
        <w:pStyle w:val="Normal"/>
        <w:widowControl/>
        <w:rPr/>
      </w:pPr>
      <w:r>
        <w:rPr/>
        <w:t>4. If the Verification Panel determines that originating goods of the affected Party do not contribute materially to the stated security concern, the invoking Party shall exempt those goods from the measure within 30 days.</w:t>
      </w:r>
    </w:p>
    <w:p>
      <w:pPr>
        <w:pStyle w:val="Normal"/>
        <w:widowControl/>
        <w:rPr/>
      </w:pPr>
      <w:r>
        <w:rPr/>
        <w:t>5. If the Verification Panel determines that a narrower measure could achieve the stated security objective, the invoking Party shall, within 60 days, conform the measure to the narrowest sufficient scope, without prejudice to the security objective itself.</w:t>
      </w:r>
    </w:p>
    <w:p>
      <w:pPr>
        <w:pStyle w:val="Normal"/>
        <w:widowControl/>
        <w:rPr/>
      </w:pPr>
      <w:r>
        <w:rPr/>
        <w:t>6. An essential security measure affecting originating goods: (a) shall be reviewed by the invoking Party at intervals not exceeding 180 days, with an updated justification notified to the other Parties; (b) terminates two years after imposition unless renewed through the full procedures of Article 32.2, including fresh justification; (c) shall not be applied to goods holding Trusted North American Origin status except upon a particularized finding that those goods themselves present the security concern; and (d) for the purposes of subparagraphs (a) and (b), successive measures addressing substantially the same stated security concern and substantially the same trade are treated as renewals of a single continuing measure, however denominated or re-justified.</w:t>
      </w:r>
    </w:p>
    <w:p>
      <w:pPr>
        <w:pStyle w:val="Normal"/>
        <w:widowControl/>
        <w:rPr/>
      </w:pPr>
      <w:r>
        <w:rPr/>
        <w:t>7. No panel or body under this Agreement shall second-guess a Party’s military, defense, or intelligence judgments. The boundary of review is as follows:</w:t>
      </w:r>
    </w:p>
    <w:p>
      <w:pPr>
        <w:pStyle w:val="Normal"/>
        <w:widowControl/>
        <w:rPr/>
      </w:pPr>
      <w:r>
        <w:rPr/>
        <w:t>(a) a panel or Verification Team may examine: the measure’s text, scope, product and entity coverage, duration, renewal history, and administration; the notification, consultation, and review record; whether originating goods of the affected Party materially contribute to the stated concern, on the basis of trade and origin data; whether a narrower or targeted measure would achieve the stated objective; and the consistency of the measure with the procedural requirements of Article 32.2 and this Article; and</w:t>
      </w:r>
    </w:p>
    <w:p>
      <w:pPr>
        <w:pStyle w:val="Normal"/>
        <w:widowControl/>
        <w:rPr/>
      </w:pPr>
      <w:r>
        <w:rPr/>
        <w:t>(b) a panel or Verification Team shall not examine or make findings concerning: the validity of the Party’s assessment of threats; the credibility of intelligence; the military or defense adequacy of the measure; or the Party’s determination of what its essential security interests are.</w:t>
      </w:r>
    </w:p>
    <w:p>
      <w:pPr>
        <w:pStyle w:val="Normal"/>
        <w:widowControl/>
        <w:rPr/>
      </w:pPr>
      <w:r>
        <w:rPr>
          <w:b w:val="false"/>
        </w:rPr>
        <w:t>8. External Trade Defense Preserved. Nothing in this Chapter prevents a Party from applying lawful, targeted trade-defense, customs-enforcement, sanctions, investment-screening, anti-dumping, countervailing-duty, anti-circumvention, or other measures to non-Parties or verified non-originating content. The disciplines of this Chapter prevent such authority from being used as a disguised substitute for broad punitive measures against originating goods of another Party; they do not require a Party to surrender legitimate external trade defense.</w:t>
      </w:r>
    </w:p>
    <w:p>
      <w:pPr>
        <w:pStyle w:val="Normal"/>
        <w:widowControl/>
        <w:rPr/>
      </w:pPr>
      <w:r>
        <w:rPr/>
        <w:t>8. The reviewing body shall state expressly, in any report under this Article, which category of paragraph 7 each of its findings rests upon.</w:t>
      </w:r>
    </w:p>
    <w:p>
      <w:pPr>
        <w:pStyle w:val="Normal"/>
        <w:widowControl/>
        <w:rPr/>
      </w:pPr>
      <w:r>
        <w:rPr/>
        <w:t>9. Security Review Chamber. Where a measure under this Article remains in force after a finding under paragraph 4 or 5, or where an affected Party alleges that the factual nexus required by Article 32.2.4 is fabricated or unsupported, the matter may be referred to a Security Review Chamber composed of three independent retired judges drawn one from each Party from a standing roster of former supreme-court, constitutional-court, or senior appellate judges, or persons of equivalent judicial independence. The Chamber may receive classified or otherwise protected evidence in camera under procedures that preserve national-security confidentiality and do not require disclosure to another Party. The Chamber reviews only whether credible, verifiable evidence supports the factual nexus between the targeted trade and the stated security threat, and does not substitute its judgment for military, defense, intelligence, or foreign-policy assessments.</w:t>
      </w:r>
    </w:p>
    <w:p>
      <w:pPr>
        <w:pStyle w:val="Normal"/>
        <w:widowControl/>
        <w:rPr/>
      </w:pPr>
      <w:r>
        <w:rPr/>
        <w:t>10. If the Security Review Chamber finds that no credible, verifiable evidence supports the required factual nexus, the trade-restrictive application of the measure to the affected Party is suspended automatically upon issuance of the finding, subject to a 10-day period in which the invoking Party may submit newly available evidence. A suspension under this paragraph does not prevent a measure directed at goods, entities, or content for which the required nexus is established.</w:t>
      </w:r>
    </w:p>
    <w:p>
      <w:pPr>
        <w:pStyle w:val="Normal"/>
        <w:widowControl/>
        <w:rPr/>
      </w:pPr>
      <w:r>
        <w:rPr/>
        <w:t>11. Compliance Security. If an invoking Party does not implement a final finding requiring exemption, narrowing, or suspension within the period specified by this Article, it shall, within 30 days, secure an amount equal to 100 percent of the Verification Panel’s conservative estimate of expected economic injury in the Trade Escrow Facility. The required security increases to 125 percent after 30 additional days of non-compliance and to 150 percent after 60 additional days. Security under this paragraph is not a penalty or admission of liability; it preserves the availability of compensation pending compliance or final resolution, and is released, refunded, or applied in accordance with the final determination.</w:t>
      </w:r>
    </w:p>
    <w:p>
      <w:bookmarkStart w:id="1335" w:name="_NAESTMA_TOC_1335"/>
      <w:pPr>
        <w:pStyle w:val="Heading2"/>
        <w:keepNext/>
        <w:widowControl/>
        <w:rPr/>
      </w:pPr>
      <w:bookmarkStart w:id="152" w:name="_Toc237912633"/>
      <w:r>
        <w:rPr/>
        <w:t>Article 35.23: Strategic-Sector Circuit Breakers</w:t>
      </w:r>
      <w:bookmarkEnd w:id="152"/>
      <w:bookmarkEnd w:id="1335"/>
    </w:p>
    <w:p>
      <w:pPr>
        <w:pStyle w:val="Normal"/>
        <w:widowControl/>
        <w:rPr/>
      </w:pPr>
      <w:r>
        <w:rPr/>
        <w:t>1. The Parties designate the sectors listed in Annex 35-B, Part 2, as Strategic Sectors, comprising: automotive goods and parts; steel and aluminum; critical minerals; energy and electricity; grid equipment; semiconductors; batteries; pharmaceuticals and medical goods; agricultural inputs and food staples; and telecommunications infrastructure.</w:t>
      </w:r>
    </w:p>
    <w:p>
      <w:pPr>
        <w:pStyle w:val="Normal"/>
        <w:widowControl/>
        <w:rPr/>
      </w:pPr>
      <w:r>
        <w:rPr/>
        <w:t>2. A covered border measure affecting a Strategic Sector shall not take effect before:</w:t>
      </w:r>
    </w:p>
    <w:p>
      <w:pPr>
        <w:pStyle w:val="Normal"/>
        <w:widowControl/>
        <w:rPr/>
      </w:pPr>
      <w:r>
        <w:rPr/>
        <w:t>(a) completion of a North American supply-chain impact assessment, prepared by the Treaty Integrity Secretariat with the affected Parties within 30 days;</w:t>
      </w:r>
    </w:p>
    <w:p>
      <w:pPr>
        <w:pStyle w:val="Normal"/>
        <w:widowControl/>
        <w:rPr/>
      </w:pPr>
      <w:r>
        <w:rPr/>
        <w:t>(b) ministerial-level consultations among the Parties; and</w:t>
      </w:r>
    </w:p>
    <w:p>
      <w:pPr>
        <w:pStyle w:val="Normal"/>
        <w:widowControl/>
        <w:rPr/>
      </w:pPr>
      <w:r>
        <w:rPr/>
        <w:t>(c) consideration of the integrated character of North American production in the sector.</w:t>
      </w:r>
    </w:p>
    <w:p>
      <w:pPr>
        <w:pStyle w:val="Normal"/>
        <w:widowControl/>
        <w:rPr/>
      </w:pPr>
      <w:r>
        <w:rPr/>
        <w:t>3. Paragraph 2 does not delay an emergency provisional measure under Article 35.21, but such a measure affecting a Strategic Sector expires 15 days after imposition unless the assessment and consultations in paragraph 2 have been completed.</w:t>
      </w:r>
    </w:p>
    <w:p>
      <w:pPr>
        <w:pStyle w:val="Normal"/>
        <w:widowControl/>
        <w:rPr/>
      </w:pPr>
      <w:r>
        <w:rPr/>
        <w:t>4. Inputs essential to integrated North American production, identified in accordance with Annex 35-B, Part 3, shall not be subject to corrective measures under this Chapter except upon a verification finding that the input itself embodies the distortion.</w:t>
      </w:r>
    </w:p>
    <w:p>
      <w:bookmarkStart w:id="1336" w:name="_NAESTMA_TOC_1336"/>
      <w:pPr>
        <w:pStyle w:val="Heading2"/>
        <w:keepNext/>
        <w:widowControl/>
        <w:rPr/>
      </w:pPr>
      <w:bookmarkStart w:id="153" w:name="_Toc237912634"/>
      <w:r>
        <w:rPr/>
        <w:t>Article 35.24: North American Trade Measures Registry and Transparency</w:t>
      </w:r>
      <w:bookmarkEnd w:id="153"/>
      <w:bookmarkEnd w:id="1336"/>
    </w:p>
    <w:p>
      <w:pPr>
        <w:pStyle w:val="Normal"/>
        <w:widowControl/>
        <w:rPr/>
      </w:pPr>
      <w:r>
        <w:rPr/>
        <w:t>1. The Treaty Integrity Secretariat shall establish and maintain the North American Trade Measures Registry.</w:t>
      </w:r>
    </w:p>
    <w:p>
      <w:pPr>
        <w:pStyle w:val="Normal"/>
        <w:widowControl/>
        <w:rPr/>
      </w:pPr>
      <w:r>
        <w:rPr/>
        <w:t>2. Each Party shall register in the Registry, before or within five days after adoption, every covered border measure that affects or may affect another Party’s goods, whether originating or not, including for each measure: the tariff classification codes covered; the rate, charge, or restriction; the legal authority invoked; the effective date; the scheduled review and expiry dates; the exemptions and exclusions and the procedures governing them; and the verification or finding on which the measure is based.</w:t>
      </w:r>
    </w:p>
    <w:p>
      <w:pPr>
        <w:pStyle w:val="Normal"/>
        <w:widowControl/>
        <w:rPr/>
      </w:pPr>
      <w:r>
        <w:rPr/>
        <w:t>3. Registry data shall be public and machine-readable, subject to protection of classified and confidential business information in accordance with Annex 35-C, Part 4.</w:t>
      </w:r>
    </w:p>
    <w:p>
      <w:pPr>
        <w:pStyle w:val="Normal"/>
        <w:widowControl/>
        <w:rPr/>
      </w:pPr>
      <w:r>
        <w:rPr/>
        <w:t>4. A covered border measure affecting originating goods that is not registered within the period in paragraph 2 is not enforceable against originating goods until registered, and amounts collected during the unregistered period shall be refunded.</w:t>
      </w:r>
    </w:p>
    <w:p>
      <w:pPr>
        <w:pStyle w:val="Normal"/>
        <w:widowControl/>
        <w:rPr/>
      </w:pPr>
      <w:r>
        <w:rPr/>
        <w:t>5. Except in a genuine emergency under Article 35.21, a Party shall provide not less than 30 days between the registration of a new covered border measure and its effective date, during which affected Parties may submit alternatives.</w:t>
      </w:r>
    </w:p>
    <w:p>
      <w:bookmarkStart w:id="1337" w:name="_NAESTMA_TOC_1337"/>
      <w:pPr>
        <w:pStyle w:val="Heading2"/>
        <w:keepNext/>
        <w:widowControl/>
        <w:rPr/>
      </w:pPr>
      <w:bookmarkStart w:id="154" w:name="_Toc237912635"/>
      <w:r>
        <w:rPr/>
        <w:t>Article 35.25: North American Trade Impact Facility</w:t>
      </w:r>
      <w:bookmarkEnd w:id="154"/>
      <w:bookmarkEnd w:id="1337"/>
    </w:p>
    <w:p>
      <w:pPr>
        <w:pStyle w:val="Normal"/>
        <w:widowControl/>
        <w:rPr/>
      </w:pPr>
      <w:r>
        <w:rPr/>
        <w:t>1. The Commission may, by consensus and through a published implementing schedule, activate a North American Trade Impact compensation mechanism to provide limited partial compensation to eligible small and medium-sized enterprises or integrated manufacturers materially injured by a covered border measure subsequently found inconsistent with this Agreement or not upheld. Until such a schedule enters into force, this Article creates no funding contribution, compensation entitlement, separately staffed facility, or claim against a Party.</w:t>
      </w:r>
    </w:p>
    <w:p>
      <w:pPr>
        <w:pStyle w:val="Normal"/>
        <w:widowControl/>
        <w:rPr/>
      </w:pPr>
      <w:r>
        <w:rPr/>
        <w:t>2. An activating schedule shall identify the source and ceiling of funding, participating Parties, eligible categories, claim period, administrative route, audit rules, and reimbursement treatment. It may provide equal base contributions for administration, usage-based contributions, or reimbursement by a Party whose measure is finally found inconsistent, but no contribution is owed unless expressly accepted in the schedule in accordance with each Party's applicable legal and appropriations procedures.</w:t>
      </w:r>
    </w:p>
    <w:p>
      <w:pPr>
        <w:pStyle w:val="Normal"/>
        <w:widowControl/>
        <w:rPr/>
      </w:pPr>
      <w:r>
        <w:rPr/>
        <w:t>3. If activated, eligibility shall require: (a) demonstrated material injury under a threshold stated in the schedule; (b) documented causal connection to the covered measure; (c) exhaustion or unavailability of timely redress through the measure's own exclusion or refund procedures; and (d) no double recovery. Claims shall be decided under published criteria by the existing Secretariat or a competent national authority designated in the schedule.</w:t>
      </w:r>
    </w:p>
    <w:p>
      <w:pPr>
        <w:pStyle w:val="Normal"/>
        <w:widowControl/>
        <w:rPr/>
      </w:pPr>
      <w:r>
        <w:rPr/>
        <w:t>4. Compensation per claimant shall be capped at the level stated in the activating schedule, with any priority for small and medium-sized enterprises expressly identified there. Administration and accounts shall be independently audited and the audit published, subject to lawful confidentiality protections.</w:t>
      </w:r>
    </w:p>
    <w:p>
      <w:pPr>
        <w:pStyle w:val="Normal"/>
        <w:widowControl/>
        <w:rPr/>
      </w:pPr>
      <w:r>
        <w:rPr/>
        <w:t>5. Compensation under an activated schedule is without prejudice to the allocation of responsibility between the Parties and does not constitute an admission by any Party. A Party's decision not to participate in an optional compensation schedule does not constitute non-compliance, reduce unrelated benefits, or authorize retaliation.</w:t>
      </w:r>
    </w:p>
    <w:p>
      <w:bookmarkStart w:id="1338" w:name="_NAESTMA_TOC_1338"/>
      <w:pPr>
        <w:pStyle w:val="Heading2"/>
        <w:keepNext/>
        <w:widowControl/>
        <w:rPr/>
      </w:pPr>
      <w:bookmarkStart w:id="155" w:name="_Toc237912636"/>
      <w:r>
        <w:rPr/>
        <w:t>Article 35.25A: Automatic Consequences and Provisional Enforcement</w:t>
      </w:r>
      <w:bookmarkEnd w:id="155"/>
      <w:bookmarkEnd w:id="1338"/>
    </w:p>
    <w:p>
      <w:pPr>
        <w:pStyle w:val="TOCExcludedHeading2"/>
        <w:keepNext w:val="true"/>
        <w:widowControl/>
        <w:rPr/>
      </w:pPr>
      <w:bookmarkStart w:id="156" w:name="_Toc237912637"/>
      <w:r>
        <w:rPr/>
        <w:t>1. Where a Verification Panel or Chapter 31 panel makes a finding that a Party has maintained a measure expressly prohibited by Articles 35.3 through 35.7, failed to implement an automatic termination or restoration required by this Chapter, or failed to comply with a final narrowing or suspension determination under Article 35.22, the consequences specified in this Article arise by operation of the Agreement and do not require a further political authorization.</w:t>
      </w:r>
      <w:bookmarkEnd w:id="156"/>
    </w:p>
    <w:p>
      <w:pPr>
        <w:pStyle w:val="TOCExcludedHeading2"/>
        <w:keepNext w:val="true"/>
        <w:widowControl/>
        <w:rPr/>
      </w:pPr>
      <w:bookmarkStart w:id="157" w:name="_Toc237912638"/>
      <w:r>
        <w:rPr/>
        <w:t>2. Upon a preliminary finding, the offending measure is subject to automatic provisional suspension to the extent identified by the Panel, or, where immediate suspension would create a demonstrated risk to health, safety, or essential security, to mandatory escrow or equivalent security in an amount equal to the conservative estimate of expected injury. The affected Party has 10 days to seek reconsideration based on manifest factual or legal error or materially new evidence.</w:t>
      </w:r>
      <w:bookmarkEnd w:id="157"/>
    </w:p>
    <w:p>
      <w:pPr>
        <w:pStyle w:val="TOCExcludedHeading2"/>
        <w:keepNext w:val="true"/>
        <w:widowControl/>
        <w:rPr/>
      </w:pPr>
      <w:bookmarkStart w:id="158" w:name="_Toc237912639"/>
      <w:bookmarkEnd w:id="158"/>
      <w:r>
        <w:rPr/>
        <w:t>3. Upon a final finding, any prohibited amount collected shall be refunded with interest and any preferential treatment unlawfully suspended shall be restored automatically. Verified reasonable compliance and delay costs directly caused by the violation may be addressed through a compensation mechanism expressly activated under this Agreement or through applicable domestic procedures. Where non-compliance continues, security or other corrective consequences escalate only in accordance with an express schedule in this Agreement or a reasoned panel determination and shall remain proportionate to verified injury.</w:t>
      </w:r>
    </w:p>
    <w:p>
      <w:pPr>
        <w:pStyle w:val="TOCExcludedHeading2"/>
        <w:keepNext w:val="true"/>
        <w:widowControl/>
        <w:rPr/>
      </w:pPr>
      <w:bookmarkStart w:id="159" w:name="_Toc237912640"/>
      <w:r>
        <w:rPr/>
        <w:t>4. The Commission shall establish a schedule of standardized consequences for recurrent administrative violations, including unjustified border delay, duplicative documentation demands, and abusive verification. The schedule may provide fixed or per-shipment compensation only where the amount is calibrated to typical verified loss and remains subject to a right of prompt review. No fixed amount shall operate as punitive damages.</w:t>
      </w:r>
      <w:bookmarkEnd w:id="159"/>
    </w:p>
    <w:p>
      <w:pPr>
        <w:pStyle w:val="TOCExcludedHeading2"/>
        <w:keepNext w:val="true"/>
        <w:widowControl/>
        <w:rPr/>
      </w:pPr>
      <w:bookmarkStart w:id="160" w:name="_Toc237912641"/>
      <w:r>
        <w:rPr/>
        <w:t>5. A Party that brings a complaint concerning labor or environmental enforcement that is finally determined to have lacked a reasonable evidentiary basis may be required to reimburse the responding Party’s reasonable proceeding costs. Repeated abusive invocation is subject to Article 35.18. No monetary assessment under this paragraph may be imposed merely because a good-faith complaint is unsuccessful.</w:t>
      </w:r>
      <w:bookmarkEnd w:id="160"/>
    </w:p>
    <w:p>
      <w:pPr>
        <w:pStyle w:val="Normal"/>
        <w:widowControl/>
        <w:rPr/>
      </w:pPr>
      <w:r>
        <w:rPr/>
        <w:t>Implementation of Automatic Consequences. “Automatic” means that, once the treaty-defined final triggering determination is issued, no new political authorization, discretionary injury finding, or negotiation of remedy is required. The competent authority shall complete the ministerial acts necessary to implement the predetermined consequence within five business days. If it fails to do so, the consequence takes effect by operation of the Party’s implementing law on the sixth business day. No final automatic consequence arises solely from an allegation; provisional protection is available only where expressly authorized by this Chapter and subject to prompt review.</w:t>
      </w:r>
    </w:p>
    <w:p>
      <w:bookmarkStart w:id="1339" w:name="_NAESTMA_TOC_1339"/>
      <w:pPr>
        <w:pStyle w:val="Heading2"/>
        <w:keepNext/>
        <w:widowControl/>
        <w:rPr/>
      </w:pPr>
      <w:bookmarkStart w:id="161" w:name="_Toc237912642"/>
      <w:r>
        <w:rPr/>
        <w:t>Article 35.26: Relationship to Other Chapters</w:t>
      </w:r>
      <w:bookmarkEnd w:id="161"/>
      <w:bookmarkEnd w:id="1339"/>
    </w:p>
    <w:p>
      <w:pPr>
        <w:pStyle w:val="Normal"/>
        <w:widowControl/>
        <w:rPr/>
      </w:pPr>
      <w:r>
        <w:rPr/>
        <w:t>1. This Chapter applies notwithstanding any other provision of this Agreement to the extent of any inconsistency concerning covered border measures affecting originating goods, except Article 32.2 as replaced by this modernization, with which this Chapter shall be read together.</w:t>
      </w:r>
    </w:p>
    <w:p>
      <w:pPr>
        <w:pStyle w:val="Normal"/>
        <w:widowControl/>
        <w:rPr/>
      </w:pPr>
      <w:r>
        <w:rPr/>
        <w:t>2. Chapter 10 (Trade Remedies), as amended by Articles 10.A and 10.B, governs antidumping duties, countervailing duties, and safeguard measures, which are not PTAs and are subject to their own disciplines.</w:t>
      </w:r>
    </w:p>
    <w:p>
      <w:pPr>
        <w:pStyle w:val="Normal"/>
        <w:widowControl/>
        <w:rPr/>
      </w:pPr>
      <w:r>
        <w:rPr/>
        <w:t>3. Disputes under this Chapter are subject to Chapter 31, including the Expedited Tariff Panel procedure in Article 31.A. A Verification Team under Article 35.10 determines technical and factual matters within its stated mandate; questions of treaty interpretation, jurisdiction, consistency, and final legal remedy remain for the competent Chapter 31 panel or the Commission as provided by this Agreement. A Verification Team's factual finding is binding in a later Chapter 31 proceeding unless manifestly erroneous, but it does not by itself expand the remedies authorized by this Agreement.</w:t>
      </w:r>
    </w:p>
    <w:p>
      <w:pPr>
        <w:pStyle w:val="Normal"/>
        <w:widowControl/>
        <w:rPr/>
      </w:pPr>
      <w:r>
        <w:rPr/>
        <w:t>4. Nothing in this Chapter limits a Party’s rights or obligations under the WTO Agreement with respect to goods of non-Parties.</w:t>
      </w:r>
    </w:p>
    <w:p>
      <w:pPr>
        <w:pStyle w:val="Normal"/>
        <w:widowControl/>
        <w:rPr/>
      </w:pPr>
      <w:r>
        <w:rPr/>
        <w:t>5. Multilateral Compatibility. This Chapter does not by itself authorize a measure against a non-Party. Any restriction, additional duty, quota, or discriminatory treatment directed at a non-Party requires an independent legal basis consistent with the applying Party's WTO obligations and other applicable international commitments.</w:t>
      </w:r>
    </w:p>
    <w:p>
      <w:pPr>
        <w:pStyle w:val="Normal"/>
        <w:widowControl/>
        <w:rPr/>
      </w:pPr>
      <w:r>
        <w:rPr/>
        <w:t>6. Where two reasonably available remedies would provide substantially equivalent correction of an intra-CUSMA violation, the Party shall prefer the remedy that is more consistent with its WTO obligations and that creates less unnecessary impairment of trade with non-Parties.</w:t>
      </w:r>
    </w:p>
    <w:p>
      <w:pPr>
        <w:pStyle w:val="Normal"/>
        <w:widowControl/>
        <w:rPr/>
      </w:pPr>
      <w:r>
        <w:rPr/>
        <w:t>7. The Commission shall conduct a WTO-compatibility review of the PTA methodology, non-market-practice coordination, strategic-sector measures, and any common external action at least once every three years and before adopting a new category of external trade restriction.</w:t>
      </w:r>
    </w:p>
    <w:p>
      <w:pPr>
        <w:pStyle w:val="Normal"/>
        <w:widowControl/>
        <w:rPr/>
      </w:pPr>
      <w:r>
        <w:rPr/>
        <w:t>8. Nothing in Chapters 35 or 36 converts a trade deficit, non-Party nationality, or lawful competition from a non-Party into a basis for discriminatory external treatment. Preferential treatment among the Parties remains governed by this Agreement; external restrictions remain governed by the independent international and domestic legal authority under which they are adopted.</w:t>
      </w:r>
    </w:p>
    <w:p>
      <w:bookmarkStart w:id="1340" w:name="_NAESTMA_TOC_1340"/>
      <w:pPr>
        <w:pStyle w:val="Heading2"/>
        <w:keepNext/>
        <w:widowControl/>
        <w:rPr/>
      </w:pPr>
      <w:bookmarkStart w:id="162" w:name="_Toc237912643"/>
      <w:r>
        <w:rPr/>
        <w:t>Article 35.27: Legacy Measures Wind-Down</w:t>
      </w:r>
      <w:bookmarkEnd w:id="162"/>
      <w:bookmarkEnd w:id="1340"/>
    </w:p>
    <w:p>
      <w:pPr>
        <w:pStyle w:val="Normal"/>
        <w:widowControl/>
        <w:rPr/>
      </w:pPr>
      <w:r>
        <w:rPr/>
        <w:t>1. Each legacy measure shall terminate in accordance with Annex 35-D.</w:t>
      </w:r>
    </w:p>
    <w:p>
      <w:pPr>
        <w:pStyle w:val="Normal"/>
        <w:widowControl/>
        <w:rPr/>
      </w:pPr>
      <w:r>
        <w:rPr/>
        <w:t>2. No legacy measure shall be reimposed, renewed, extended, delayed beyond its scheduled termination, or succeeded by a substantially equivalent measure, except in conformity with an independent authority expressly provided by this Agreement and only after satisfaction of every substantive and procedural condition of that authority. Failure or delay in completing the wind-down, persistence of the circumstances originally invoked for the legacy measure, a change in domestic legal authority, or a unilateral assertion that those circumstances remain unresolved does not itself authorize continuation, renewal, extension, or replacement. For the purposes of this Article, a measure adopted after the wind-down that targets substantially the same trade with substantially the same effect as a terminated legacy measure is treated as a reimposition of that measure, whatever its stated justification.</w:t>
      </w:r>
    </w:p>
    <w:p>
      <w:pPr>
        <w:pStyle w:val="Normal"/>
        <w:widowControl/>
        <w:rPr/>
      </w:pPr>
      <w:r>
        <w:rPr/>
        <w:t>3. Amounts collected under a legacy measure after the date fixed for its termination in Annex 35-D shall be refunded with interest.</w:t>
      </w:r>
    </w:p>
    <w:p>
      <w:bookmarkStart w:id="1341" w:name="_NAESTMA_TOC_1341"/>
      <w:pPr>
        <w:pStyle w:val="Heading2"/>
        <w:keepNext/>
        <w:widowControl/>
        <w:rPr/>
      </w:pPr>
      <w:bookmarkStart w:id="163" w:name="_Toc237912644"/>
      <w:bookmarkEnd w:id="163"/>
      <w:r>
        <w:rPr/>
        <w:t>Article 35.28: Treaty Integrity Functions and Commission Oversight</w:t>
      </w:r>
      <w:bookmarkEnd w:id="1341"/>
    </w:p>
    <w:p>
      <w:pPr>
        <w:pStyle w:val="Normal"/>
        <w:widowControl/>
        <w:rPr/>
      </w:pPr>
      <w:r>
        <w:rPr/>
        <w:t>1. The treaty-integrity functions in this Chapter shall be performed within the Secretariat established by Article 30.6 and may be described administratively as the Treaty Integrity function. No separate legal person, separately staffed secretariat, or autonomous agency is created. The function administers the North American Trade Measures Registry, the Shared Trade Data Registry, any escrow or compensation mechanism activated under this Agreement, administrative support for Verification Teams, and the disclosure register required by Article 35.10.</w:t>
      </w:r>
    </w:p>
    <w:p>
      <w:pPr>
        <w:pStyle w:val="Normal"/>
        <w:widowControl/>
        <w:rPr/>
      </w:pPr>
      <w:r>
        <w:rPr/>
        <w:t>2. The Commission oversees the operation of this Chapter. For that purpose it may convene the Parties' designated senior trade officials in a treaty-integrity session to: (a) review operation of the Chapter and the Secretariat's treaty-integrity functions; (b) receive one consolidated annual implementation report; (c) recommend technical updates to Annexes 35-A through 35-E for adoption through the applicable amendment or technical procedure; and (d) receive stakeholder submissions. Such a session is an exercise of the Commission's existing authority and does not create a separate permanent committee.</w:t>
      </w:r>
    </w:p>
    <w:p>
      <w:pPr>
        <w:pStyle w:val="Normal"/>
        <w:widowControl/>
        <w:rPr/>
      </w:pPr>
      <w:r>
        <w:rPr/>
        <w:t>3. The Commission shall conduct the review in paragraph 2 at least annually and may convene an additional treaty-integrity session at the request of any Party where a material implementation issue requires it.</w:t>
      </w:r>
    </w:p>
    <w:p>
      <w:pPr>
        <w:pStyle w:val="Normal"/>
        <w:widowControl/>
        <w:rPr/>
      </w:pPr>
      <w:r>
        <w:rPr/>
        <w:t>4. Decisions under this Article are taken by consensus and do not amend this Agreement except through an amendment or technical-adoption procedure expressly authorized elsewhere.</w:t>
      </w:r>
    </w:p>
    <w:p>
      <w:bookmarkStart w:id="1342" w:name="_NAESTMA_TOC_1342"/>
      <w:pPr>
        <w:pStyle w:val="Heading2"/>
        <w:keepNext/>
        <w:widowControl/>
        <w:rPr/>
      </w:pPr>
      <w:bookmarkStart w:id="164" w:name="_Toc237912645"/>
      <w:r>
        <w:rPr/>
        <w:t>Article 35.29: No-Fade Guarantee</w:t>
      </w:r>
      <w:bookmarkEnd w:id="164"/>
      <w:bookmarkEnd w:id="1342"/>
    </w:p>
    <w:p>
      <w:pPr>
        <w:pStyle w:val="Normal"/>
        <w:widowControl/>
        <w:rPr/>
      </w:pPr>
      <w:r>
        <w:rPr/>
        <w:t>1. No right, preference, guarantee, protection, status, or entitlement established by this Agreement — including the tariff treatment of Annex 2-B, the guarantee of Article 35.3, trusted-trader and TNAO status, and the procedural rights of this Chapter — lapses, expires, sunsets, or diminishes by the mere passage of time.</w:t>
      </w:r>
    </w:p>
    <w:p>
      <w:pPr>
        <w:pStyle w:val="Normal"/>
        <w:widowControl/>
        <w:rPr/>
      </w:pPr>
      <w:r>
        <w:rPr/>
        <w:t>2. Time-limited operation attaches under this Agreement only to restrictive extraordinary measures — PTAs, emergency provisional measures, countermeasures, safeguards, and essential-security measures affecting trade — as an anti-weaponization discipline, and to transitional periods.</w:t>
      </w:r>
    </w:p>
    <w:p>
      <w:pPr>
        <w:pStyle w:val="Normal"/>
        <w:widowControl/>
        <w:rPr/>
      </w:pPr>
      <w:r>
        <w:rPr/>
        <w:t>3. Where any provision of this Agreement fixes a review, the consequence of the review is continuation unless the Parties expressly decide otherwise; no protection terminates by default.</w:t>
      </w:r>
    </w:p>
    <w:p>
      <w:pPr>
        <w:pStyle w:val="Normal"/>
        <w:widowControl/>
        <w:spacing w:before="0" w:after="160"/>
        <w:rPr/>
      </w:pPr>
      <w:r>
        <w:rPr/>
        <w:t>4. The No-Fade Guarantee applies to tariff rate schedules and trade concessions. Chapter 23-B enforcement shall ordinarily proceed through make-whole payments, Fund-directed assessments, corrective orders, and other financial remedies. A narrowly related suspension of treaty benefits authorized after exhaustion of those remedies under Article 23-B.11 and Chapter 31 is an enforcement measure rather than a lapse of the underlying commitment, and the suspended benefit shall be restored automatically upon verified cure.</w:t>
      </w:r>
    </w:p>
    <w:p>
      <w:bookmarkStart w:id="1343" w:name="_NAESTMA_TOC_1343"/>
      <w:pPr>
        <w:pStyle w:val="Heading2"/>
        <w:keepNext/>
        <w:widowControl/>
        <w:rPr/>
      </w:pPr>
      <w:r>
        <w:rPr>
          <w:b/>
        </w:rPr>
        <w:t>Article 35.30: Continuity, Anti-Circumvention, and No Hostage Principle</w:t>
      </w:r>
      <w:bookmarkEnd w:id="1343"/>
    </w:p>
    <w:p>
      <w:pPr>
        <w:pStyle w:val="Normal"/>
        <w:widowControl/>
        <w:rPr/>
      </w:pPr>
      <w:r>
        <w:rPr/>
        <w:t>1. A Party shall not condition the continued enjoyment of an existing right, preference, recognition, approval, status, or protection under this Agreement on the granting of a new or unrelated concession, except through an amendment or procedure expressly authorized by this Agreement.</w:t>
      </w:r>
    </w:p>
    <w:p>
      <w:pPr>
        <w:pStyle w:val="Normal"/>
        <w:widowControl/>
        <w:rPr/>
      </w:pPr>
      <w:r>
        <w:rPr/>
        <w:t>2. A Party may not avoid an obligation of this Agreement merely by changing the domestic statutory authority, administrative form, legal label, agency, or stated rationale used to produce substantially the same trade-restrictive effect. Panels shall examine substance and effect while respecting the review boundaries applicable to genuine essential-security judgments.</w:t>
      </w:r>
    </w:p>
    <w:p>
      <w:pPr>
        <w:pStyle w:val="Normal"/>
        <w:widowControl/>
        <w:rPr/>
      </w:pPr>
      <w:r>
        <w:rPr/>
        <w:t>3. Where a measure has been found inconsistent with this Agreement, a successor measure that is substantially equivalent in coverage, purpose, and trade effect is subject to expedited compliance review under Chapter 31 rather than requiring a new proceeding from the beginning.</w:t>
      </w:r>
    </w:p>
    <w:p>
      <w:bookmarkStart w:id="1344" w:name="_NAESTMA_TOC_1344"/>
      <w:pPr>
        <w:pStyle w:val="Heading2"/>
        <w:keepNext/>
        <w:widowControl/>
        <w:rPr/>
      </w:pPr>
      <w:r>
        <w:rPr>
          <w:b/>
        </w:rPr>
        <w:t>Article 35.31: Narrowest-Sufficient-Remedy and Cure Ladder</w:t>
      </w:r>
      <w:bookmarkEnd w:id="1344"/>
    </w:p>
    <w:p>
      <w:pPr>
        <w:pStyle w:val="Normal"/>
        <w:widowControl/>
        <w:rPr/>
      </w:pPr>
      <w:r>
        <w:rPr/>
        <w:t>1. Enforcement under this Agreement shall seek correction before punishment. Except where urgent action is necessary to prevent serious and irreparable harm, the sequence is: notice; consultation; reasonable cure opportunity; technical or mediated resolution where suitable; adjudication; compliance period; targeted administrative or financial remedy; suspension of narrowly related benefits; and broader countermeasures only where narrower measures are demonstrably ineffective.</w:t>
      </w:r>
    </w:p>
    <w:p>
      <w:pPr>
        <w:pStyle w:val="Normal"/>
        <w:widowControl/>
        <w:rPr/>
      </w:pPr>
      <w:r>
        <w:rPr/>
        <w:t>2. A remedy shall be no broader than reasonably necessary to correct the verified inconsistency and shall, where practicable, remain connected to the affected measure, entity, transaction, or sector. Cross-sector suspension is a last resort and requires a reasoned finding that narrower remedies are impracticable or ineffective.</w:t>
      </w:r>
    </w:p>
    <w:p>
      <w:pPr>
        <w:pStyle w:val="Normal"/>
        <w:widowControl/>
        <w:rPr/>
      </w:pPr>
      <w:r>
        <w:rPr/>
        <w:t>3. Every temporary countermeasure, emergency restriction, safeguard, or extraordinary trade restriction terminates automatically upon verified compliance or expiry of its expressly stated maximum duration. Ordinary treaty rights and preferences do not sunset.</w:t>
      </w:r>
    </w:p>
    <w:p>
      <w:bookmarkStart w:id="1345" w:name="_NAESTMA_TOC_1345"/>
      <w:pPr>
        <w:pStyle w:val="Heading2"/>
        <w:keepNext/>
        <w:widowControl/>
        <w:rPr/>
      </w:pPr>
      <w:r>
        <w:rPr>
          <w:b/>
        </w:rPr>
        <w:t>Article 35.32: Extraordinary-Measure Transparency and Escrow</w:t>
      </w:r>
      <w:bookmarkEnd w:id="1345"/>
    </w:p>
    <w:p>
      <w:pPr>
        <w:pStyle w:val="Normal"/>
        <w:widowControl/>
        <w:rPr/>
      </w:pPr>
      <w:r>
        <w:rPr/>
        <w:t>1. A Party adopting an extraordinary tariff, quota, safeguard, emergency restriction, or comparable measure affecting originating trade shall promptly publish the legal authority, goods or services affected, stated objective, factual basis to the extent non-confidential, effective date, expected duration, review date, and available challenge procedures.</w:t>
      </w:r>
    </w:p>
    <w:p>
      <w:pPr>
        <w:pStyle w:val="Normal"/>
        <w:widowControl/>
        <w:rPr/>
      </w:pPr>
      <w:r>
        <w:rPr/>
        <w:t>2. Where a disputed extraordinary duty remains in force during expedited proceedings, the panel may order revenue attributable to the disputed increment to be held in a segregated escrow mechanism where administratively practicable. If the measure is found inconsistent, the amount is refunded with appropriate interest to the persons that bore the charge where reasonably identifiable; if the measure is upheld, the amount is released according to domestic law.</w:t>
      </w:r>
    </w:p>
    <w:p>
      <w:pPr>
        <w:pStyle w:val="Normal"/>
        <w:widowControl/>
        <w:rPr/>
      </w:pPr>
      <w:r>
        <w:rPr/>
        <w:t>3. Failure to provide a required disclosure does not by itself create a broad right of retaliation. After notice and a reasonable cure period, a panel may draw an adverse inference concerning information uniquely within the non-disclosing Party’s control or suspend only the specific unverified treaty benefit to which the missing information is material.</w:t>
      </w:r>
    </w:p>
    <w:p>
      <w:bookmarkStart w:id="1346" w:name="_NAESTMA_TOC_1346"/>
      <w:pPr>
        <w:pStyle w:val="Heading2"/>
        <w:keepNext/>
        <w:widowControl/>
        <w:rPr/>
      </w:pPr>
      <w:bookmarkStart w:id="165" w:name="_Toc237912646"/>
      <w:r>
        <w:rPr/>
        <w:t>ANNEX 35-A: PROPORTIONAL TRADE ADJUSTMENT CALCULATION METHODOLOGY</w:t>
      </w:r>
      <w:bookmarkEnd w:id="165"/>
      <w:bookmarkEnd w:id="1346"/>
    </w:p>
    <w:p>
      <w:pPr>
        <w:pStyle w:val="Heading3"/>
        <w:keepNext/>
        <w:widowControl/>
        <w:rPr/>
      </w:pPr>
      <w:r>
        <w:rPr/>
        <w:t>Part 1: Quantification of the Verified Economic Distortion</w:t>
      </w:r>
    </w:p>
    <w:p>
      <w:pPr>
        <w:pStyle w:val="Normal"/>
        <w:widowControl/>
        <w:rPr/>
      </w:pPr>
      <w:r>
        <w:rPr/>
        <w:t>1. The Verification Team shall quantify the distortion using the best available of the following measures, in descending order of preference:</w:t>
      </w:r>
    </w:p>
    <w:p>
      <w:pPr>
        <w:pStyle w:val="Normal"/>
        <w:widowControl/>
        <w:rPr/>
      </w:pPr>
      <w:r>
        <w:rPr/>
        <w:t xml:space="preserve">(a) </w:t>
      </w:r>
      <w:r>
        <w:rPr>
          <w:b/>
        </w:rPr>
        <w:t>Subsidy margin:</w:t>
      </w:r>
      <w:r>
        <w:rPr/>
        <w:t xml:space="preserve"> the ad valorem benefit conferred by the subsidization, calculated as the benefit amount allocated over the relevant sales value of the affected goods.</w:t>
      </w:r>
    </w:p>
    <w:p>
      <w:pPr>
        <w:pStyle w:val="Normal"/>
        <w:widowControl/>
        <w:rPr/>
      </w:pPr>
      <w:r>
        <w:rPr/>
        <w:t xml:space="preserve">(b) </w:t>
      </w:r>
      <w:r>
        <w:rPr>
          <w:b/>
        </w:rPr>
        <w:t>Dumping margin:</w:t>
      </w:r>
      <w:r>
        <w:rPr/>
        <w:t xml:space="preserve"> the weighted-average margin of dumping for the affected goods, calculated by comparison of normal value and export price in accordance with the methodology of the WTO Anti-Dumping Agreement as applied under Chapter 10.</w:t>
      </w:r>
    </w:p>
    <w:p>
      <w:pPr>
        <w:pStyle w:val="Normal"/>
        <w:widowControl/>
        <w:rPr/>
      </w:pPr>
      <w:r>
        <w:rPr/>
        <w:t xml:space="preserve">(c) </w:t>
      </w:r>
      <w:r>
        <w:rPr>
          <w:b/>
        </w:rPr>
        <w:t>Price effect:</w:t>
      </w:r>
      <w:r>
        <w:rPr/>
        <w:t xml:space="preserve"> the percentage by which the verified conduct has suppressed, depressed, or distorted prices of the like goods in the affected market, estimated by an accepted economic methodology documented in the verification report.</w:t>
      </w:r>
    </w:p>
    <w:p>
      <w:pPr>
        <w:pStyle w:val="Normal"/>
        <w:widowControl/>
        <w:rPr/>
      </w:pPr>
      <w:r>
        <w:rPr/>
        <w:t xml:space="preserve">(d) </w:t>
      </w:r>
      <w:r>
        <w:rPr>
          <w:b/>
        </w:rPr>
        <w:t>Volume effect:</w:t>
      </w:r>
      <w:r>
        <w:rPr/>
        <w:t xml:space="preserve"> where price effect cannot be reliably estimated, the verified excess of injurious import volume attributable to the distortion, converted to an ad valorem equivalent using a sector-specific pass-through estimate where reliable evidence exists.</w:t>
      </w:r>
    </w:p>
    <w:p>
      <w:pPr>
        <w:pStyle w:val="Normal"/>
        <w:widowControl/>
        <w:rPr/>
      </w:pPr>
      <w:r>
        <w:rPr/>
        <w:t>2. Every quantification shall specify: the counterfactual baseline (the state of the market absent the distortion); the treatment of direct effects and of indirect effects, which are included only where demonstrated by evidence rather than presumed; the treatment of exchange-rate movements, lost sales, price suppression or depression, and subsidy incidence; and the data sources and assumptions used. General macroeconomic conditions, aggregate trade balances, and speculative effects shall not be included.</w:t>
      </w:r>
    </w:p>
    <w:p>
      <w:pPr>
        <w:pStyle w:val="Normal"/>
        <w:widowControl/>
        <w:rPr/>
      </w:pPr>
      <w:r>
        <w:rPr/>
        <w:t>3. The Verification Team shall report a best estimate and an uncertainty band. Where the estimate is a range, the operative estimate for the purposes of Article 35.12.3 is the lower bound of the uncertainty band, unless the evidence supporting a higher estimate constitutes full confirmation under Annex 35-C, in which case the best estimate applies.</w:t>
      </w:r>
    </w:p>
    <w:p>
      <w:pPr>
        <w:pStyle w:val="Heading3"/>
        <w:keepNext/>
        <w:widowControl/>
        <w:rPr/>
      </w:pPr>
      <w:r>
        <w:rPr/>
        <w:t>Part 1A: Replicability, Causation, and Methodological Hierarchy</w:t>
      </w:r>
    </w:p>
    <w:p>
      <w:pPr>
        <w:pStyle w:val="Normal"/>
        <w:widowControl/>
        <w:rPr/>
      </w:pPr>
      <w:r>
        <w:rPr/>
        <w:t>1. A quantification is sufficiently objective only if an independent qualified analyst, using the disclosed data and methodology, can reproduce the material result within the stated uncertainty band. The Verification Team shall publish a non-confidential replication memorandum.</w:t>
      </w:r>
    </w:p>
    <w:p>
      <w:pPr>
        <w:pStyle w:val="Normal"/>
        <w:widowControl/>
        <w:rPr/>
      </w:pPr>
      <w:r>
        <w:rPr/>
        <w:t>2. Evidence shall be weighted in the following order unless a reasoned finding justifies departure: verified transaction-level data; audited firm or customs data; official statistics; independently validated sector data; and transparent modeled estimates. Unsupported assertions, aggregate trade balances, and politically selected benchmarks carry no evidentiary weight.</w:t>
      </w:r>
    </w:p>
    <w:p>
      <w:pPr>
        <w:pStyle w:val="Normal"/>
        <w:widowControl/>
        <w:rPr/>
      </w:pPr>
      <w:r>
        <w:rPr/>
        <w:t>3. The counterfactual shall represent the most probable market outcome absent the verified conduct. It shall not assume perfect competition, unchanged exchange rates, constant demand, or other conditions contradicted by the evidence.</w:t>
      </w:r>
    </w:p>
    <w:p>
      <w:pPr>
        <w:pStyle w:val="Normal"/>
        <w:widowControl/>
        <w:rPr/>
      </w:pPr>
      <w:r>
        <w:rPr/>
        <w:t>4. Causation shall separate the verified conduct from demand shifts, input-price changes, exchange-rate movements, business-cycle effects, technological change, lawful comparative advantage, and other demonstrated causes. Only injury reasonably attributable to the verified conduct enters the PTA calculation.</w:t>
      </w:r>
    </w:p>
    <w:p>
      <w:pPr>
        <w:pStyle w:val="Normal"/>
        <w:widowControl/>
        <w:rPr/>
      </w:pPr>
      <w:r>
        <w:rPr/>
        <w:t>5. No effect may be counted more than once. Lost sales, price suppression, margin effects, subsidy incidence, downstream effects, and pass-through shall be reconciled to prevent duplication.</w:t>
      </w:r>
    </w:p>
    <w:p>
      <w:pPr>
        <w:pStyle w:val="Normal"/>
        <w:widowControl/>
        <w:rPr/>
      </w:pPr>
      <w:r>
        <w:rPr/>
        <w:t>6. Every material model shall include sensitivity analysis identifying the variables that materially alter the result. Where reasonable alternative assumptions produce materially different outcomes, the uncertainty band shall encompass those outcomes unless the Panel explains their exclusion.</w:t>
      </w:r>
    </w:p>
    <w:p>
      <w:pPr>
        <w:pStyle w:val="Normal"/>
        <w:widowControl/>
        <w:rPr/>
      </w:pPr>
      <w:r>
        <w:rPr/>
        <w:t>7. Sector-specific methodologies may be maintained in the Technical Schedule, but shall comply with this Annex and shall be reviewed at least every three years by independent economists nominated in equal number by the Parties.</w:t>
      </w:r>
    </w:p>
    <w:p>
      <w:pPr>
        <w:pStyle w:val="Normal"/>
        <w:widowControl/>
        <w:rPr/>
      </w:pPr>
      <w:r>
        <w:rPr/>
        <w:t>8. Before a PTA based on a novel methodology becomes final, the methodology and calculation shall undergo independent replication by an expert not involved in the initial verification. Confidential information may be reviewed in camera under Annex 35-C.</w:t>
      </w:r>
    </w:p>
    <w:p>
      <w:pPr>
        <w:pStyle w:val="Heading3"/>
        <w:keepNext/>
        <w:widowControl/>
        <w:rPr/>
      </w:pPr>
      <w:r>
        <w:rPr/>
        <w:t>Part 2: Factor Ranges and Principles</w:t>
      </w:r>
    </w:p>
    <w:p>
      <w:pPr>
        <w:pStyle w:val="Normal"/>
        <w:widowControl/>
        <w:rPr/>
      </w:pPr>
      <w:r>
        <w:rPr/>
        <w:t>1. The treaty-level calculation principles are: correction proportionate to measured distortion; escalation only with verified persistence; reduction with verified remediation; and conservatism in the face of uncertainty.</w:t>
      </w:r>
    </w:p>
    <w:p>
      <w:pPr>
        <w:pStyle w:val="Normal"/>
        <w:widowControl/>
        <w:rPr/>
      </w:pPr>
      <w:r>
        <w:rPr/>
        <w:t>2. Within those principles, the factor ranges are:</w:t>
      </w:r>
    </w:p>
    <w:p>
      <w:pPr>
        <w:pStyle w:val="Normal"/>
        <w:widowControl/>
        <w:rPr/>
      </w:pPr>
      <w:r>
        <w:rPr/>
        <w:t>(a) Severity Factor: 1.0 for Tier 2; 1.0 to 1.5 for Tier 3, fixed by the Verification Team by reference to the deliberateness and systematic character established under Article 35.11.3;</w:t>
      </w:r>
    </w:p>
    <w:p>
      <w:pPr>
        <w:pStyle w:val="Normal"/>
        <w:widowControl/>
        <w:rPr/>
      </w:pPr>
      <w:r>
        <w:rPr/>
        <w:t>(b) Persistence Factor: 1.0 at inception, increasing by not more than 0.25 for each 90-day period of verified non-remediation, to a maximum of 2.0; and</w:t>
      </w:r>
    </w:p>
    <w:p>
      <w:pPr>
        <w:pStyle w:val="Normal"/>
        <w:widowControl/>
        <w:rPr/>
      </w:pPr>
      <w:r>
        <w:rPr/>
        <w:t>(c) Remediation Factor: 0.0 (full remediation verified before imposition); 0.25 (substantial — 75 percent or more of the distortion eliminated); 0.5 (partial — 50 to 74 percent); 0.75 (preliminary — 25 to 49 percent); 1.0 (no remediation).</w:t>
      </w:r>
    </w:p>
    <w:p>
      <w:pPr>
        <w:pStyle w:val="Normal"/>
        <w:widowControl/>
        <w:rPr/>
      </w:pPr>
      <w:r>
        <w:rPr/>
        <w:t>3. Specific coefficient values within these ranges, sector-specific pass-through estimates, and worked examples are maintained in the Technical Schedule to this Annex and may be updated by consensus through the Structured Technical Amendment Procedure in Article 34.3.A, provided that no update may exceed the ranges and maxima fixed in this Part, which are treaty-level commitments.</w:t>
      </w:r>
    </w:p>
    <w:p>
      <w:pPr>
        <w:pStyle w:val="Heading3"/>
        <w:keepNext/>
        <w:widowControl/>
        <w:rPr/>
      </w:pPr>
      <w:r>
        <w:rPr/>
        <w:t>Part 3: Worked Example</w:t>
      </w:r>
    </w:p>
    <w:p>
      <w:pPr>
        <w:pStyle w:val="Normal"/>
        <w:widowControl/>
        <w:rPr/>
      </w:pPr>
      <w:r>
        <w:rPr/>
        <w:t>1. Suppose the Verification Team verifies a subsidy conferring a best-estimate 7 percent ad valorem benefit (uncertainty band 5.5 to 8.5 percent) on identified goods of three producers in a Party, classified Tier 2 (Severity Factor 1.0), at inception (Persistence Factor 1.0), with no remediation (Remediation Factor 1.0), on partial confirmation. The Maximum PTA equals 5.5 × 1.0 × 1.0 × 1.0 = 5.5 percent (lower bound), applicable only to the identified goods of the identified producers.</w:t>
      </w:r>
    </w:p>
    <w:p>
      <w:pPr>
        <w:pStyle w:val="Normal"/>
        <w:widowControl/>
        <w:rPr/>
      </w:pPr>
      <w:r>
        <w:rPr/>
        <w:t>2. If, at day 120, verification establishes partial remediation eliminating 60 percent of the distortion (Remediation Factor 0.5), the Maximum PTA adjusts automatically to 5.5 × 1.0 × 1.25 × 0.5 = 3.44 percent, applied only to the unremediated portion of the identified trade.</w:t>
      </w:r>
    </w:p>
    <w:p>
      <w:pPr>
        <w:pStyle w:val="Normal"/>
        <w:widowControl/>
        <w:rPr/>
      </w:pPr>
      <w:r>
        <w:rPr/>
        <w:t>3. Upon certification of complete remediation, the PTA equals zero and terminates automatically under Article 35.18.</w:t>
      </w:r>
    </w:p>
    <w:p>
      <w:pPr>
        <w:pStyle w:val="Heading3"/>
        <w:keepNext/>
        <w:widowControl/>
        <w:rPr/>
      </w:pPr>
      <w:r>
        <w:rPr/>
        <w:t>Part 4: Pass-Through</w:t>
      </w:r>
    </w:p>
    <w:p>
      <w:pPr>
        <w:pStyle w:val="Normal"/>
        <w:widowControl/>
        <w:rPr/>
      </w:pPr>
      <w:r>
        <w:rPr/>
        <w:t>1. Where a volume-to-price conversion is required, the Verification Team shall use a documented, sector-specific pass-through estimate wherever reliable evidence exists. Only where such evidence is unavailable may the Team apply the rebuttable default value in the Technical Schedule, and the responding Party or an affected entity may rebut the default with credible sector evidence at any stage, including on appeal.</w:t>
      </w:r>
    </w:p>
    <w:p>
      <w:pPr>
        <w:pStyle w:val="Heading3"/>
        <w:keepNext/>
        <w:widowControl/>
        <w:rPr/>
      </w:pPr>
      <w:r>
        <w:rPr/>
        <w:t>Part 5: Data Requirements</w:t>
      </w:r>
    </w:p>
    <w:p>
      <w:pPr>
        <w:pStyle w:val="Normal"/>
        <w:widowControl/>
        <w:rPr/>
      </w:pPr>
      <w:r>
        <w:rPr/>
        <w:t>1. Calculations under this Annex shall use data drawn from the Shared Trade Data Registry wherever available, supplemented by verified party submissions. Data standards, chain-of-custody, simultaneous-access, confidentiality, cybersecurity, and audit rules are set out in Annex 35-C.</w:t>
      </w:r>
    </w:p>
    <w:p>
      <w:bookmarkStart w:id="1347" w:name="_NAESTMA_TOC_1347"/>
      <w:pPr>
        <w:pStyle w:val="Heading2"/>
        <w:keepNext/>
        <w:widowControl/>
        <w:rPr/>
      </w:pPr>
      <w:bookmarkStart w:id="166" w:name="_Toc237912647"/>
      <w:r>
        <w:rPr/>
        <w:t>ANNEX 35-B: TRADE MODULES AND STRATEGIC SECTORS</w:t>
      </w:r>
      <w:bookmarkEnd w:id="166"/>
      <w:bookmarkEnd w:id="1347"/>
    </w:p>
    <w:p>
      <w:pPr>
        <w:pStyle w:val="Heading3"/>
        <w:keepNext/>
        <w:widowControl/>
        <w:rPr/>
      </w:pPr>
      <w:r>
        <w:rPr/>
        <w:t>Part 1: Trade Modules and the Dominant-Purpose Test</w:t>
      </w:r>
    </w:p>
    <w:p>
      <w:pPr>
        <w:pStyle w:val="Normal"/>
        <w:widowControl/>
        <w:rPr/>
      </w:pPr>
      <w:r>
        <w:rPr/>
        <w:t>1. For the purposes of Article 35.15, trade between the Parties is organized into the following modules:</w:t>
      </w:r>
    </w:p>
    <w:p>
      <w:pPr>
        <w:pStyle w:val="Normal"/>
        <w:widowControl/>
        <w:rPr/>
      </w:pPr>
      <w:r>
        <w:rPr/>
        <w:t>(a) Automotive: passenger vehicles, sport-utility vehicles, vans, pickup trucks and other light trucks, medium-duty trucks, heavy-duty trucks, buses, and parts and components thereof;</w:t>
      </w:r>
    </w:p>
    <w:p>
      <w:pPr>
        <w:pStyle w:val="Normal"/>
        <w:widowControl/>
        <w:rPr/>
      </w:pPr>
      <w:r>
        <w:rPr/>
        <w:t xml:space="preserve">(b) </w:t>
      </w:r>
      <w:r>
        <w:rPr>
          <w:b/>
        </w:rPr>
        <w:t>Agriculture and Agri-Food:</w:t>
      </w:r>
      <w:r>
        <w:rPr/>
        <w:t xml:space="preserve"> agricultural goods, food products, beverages, and agricultural inputs, including dairy, poultry, eggs, and alcoholic beverages as sub-modules;</w:t>
      </w:r>
    </w:p>
    <w:p>
      <w:pPr>
        <w:pStyle w:val="Normal"/>
        <w:widowControl/>
        <w:rPr/>
      </w:pPr>
      <w:r>
        <w:rPr/>
        <w:t xml:space="preserve">(c) </w:t>
      </w:r>
      <w:r>
        <w:rPr>
          <w:b/>
        </w:rPr>
        <w:t>Energy:</w:t>
      </w:r>
      <w:r>
        <w:rPr/>
        <w:t xml:space="preserve"> oil, gas, refined products, electricity, uranium, and energy equipment;</w:t>
      </w:r>
    </w:p>
    <w:p>
      <w:pPr>
        <w:pStyle w:val="Normal"/>
        <w:widowControl/>
        <w:rPr/>
      </w:pPr>
      <w:r>
        <w:rPr/>
        <w:t xml:space="preserve">(d) </w:t>
      </w:r>
      <w:r>
        <w:rPr>
          <w:b/>
        </w:rPr>
        <w:t>Metals:</w:t>
      </w:r>
      <w:r>
        <w:rPr/>
        <w:t xml:space="preserve"> steel, aluminum, copper, and other base metals, and articles thereof;</w:t>
      </w:r>
    </w:p>
    <w:p>
      <w:pPr>
        <w:pStyle w:val="Normal"/>
        <w:widowControl/>
        <w:rPr/>
      </w:pPr>
      <w:r>
        <w:rPr/>
        <w:t xml:space="preserve">(e) </w:t>
      </w:r>
      <w:r>
        <w:rPr>
          <w:b/>
        </w:rPr>
        <w:t>Critical Minerals and Batteries:</w:t>
      </w:r>
      <w:r>
        <w:rPr/>
        <w:t xml:space="preserve"> goods within Chapter 37;</w:t>
      </w:r>
    </w:p>
    <w:p>
      <w:pPr>
        <w:pStyle w:val="Normal"/>
        <w:widowControl/>
        <w:rPr/>
      </w:pPr>
      <w:r>
        <w:rPr/>
        <w:t xml:space="preserve">(f) </w:t>
      </w:r>
      <w:r>
        <w:rPr>
          <w:b/>
        </w:rPr>
        <w:t>Digital and Technology:</w:t>
      </w:r>
      <w:r>
        <w:rPr/>
        <w:t xml:space="preserve"> digital products, semiconductors, electronics, telecommunications equipment, and technology services;</w:t>
      </w:r>
    </w:p>
    <w:p>
      <w:pPr>
        <w:pStyle w:val="Normal"/>
        <w:widowControl/>
        <w:rPr/>
      </w:pPr>
      <w:r>
        <w:rPr/>
        <w:t xml:space="preserve">(g) </w:t>
      </w:r>
      <w:r>
        <w:rPr>
          <w:b/>
        </w:rPr>
        <w:t>Services:</w:t>
      </w:r>
      <w:r>
        <w:rPr/>
        <w:t xml:space="preserve"> cross-border services, financial services, and temporary entry;</w:t>
      </w:r>
    </w:p>
    <w:p>
      <w:pPr>
        <w:pStyle w:val="Normal"/>
        <w:widowControl/>
        <w:rPr/>
      </w:pPr>
      <w:r>
        <w:rPr/>
        <w:t xml:space="preserve">(h) </w:t>
      </w:r>
      <w:r>
        <w:rPr>
          <w:b/>
        </w:rPr>
        <w:t>Government Procurement:</w:t>
      </w:r>
      <w:r>
        <w:rPr/>
        <w:t xml:space="preserve"> procurement within Chapter 13; and</w:t>
      </w:r>
    </w:p>
    <w:p>
      <w:pPr>
        <w:pStyle w:val="Normal"/>
        <w:widowControl/>
        <w:rPr/>
      </w:pPr>
      <w:r>
        <w:rPr/>
        <w:t xml:space="preserve">(i) </w:t>
      </w:r>
      <w:r>
        <w:rPr>
          <w:b/>
        </w:rPr>
        <w:t>General Goods:</w:t>
      </w:r>
      <w:r>
        <w:rPr/>
        <w:t xml:space="preserve"> all goods not assigned to another module.</w:t>
      </w:r>
    </w:p>
    <w:p>
      <w:pPr>
        <w:pStyle w:val="Normal"/>
        <w:widowControl/>
        <w:rPr/>
      </w:pPr>
      <w:r>
        <w:rPr/>
        <w:t>2. A distortion is assigned to the module in which the affected trade principally occurs. Where a good or distortion plausibly falls within more than one module — including batteries, semiconductors, and other multi-module products — assignment is determined by the dominant purpose of the affected trade: the module corresponding to the good’s principal economic character and principal use in the affected trade flow, as determined by the Verification Panel by reference to tariff classification, end use, and value composition. A party to the proceeding may challenge an assignment under Article 31.A, and the burden rests on the Party advocating the broader assignment.</w:t>
      </w:r>
    </w:p>
    <w:p>
      <w:pPr>
        <w:pStyle w:val="Normal"/>
        <w:widowControl/>
        <w:rPr/>
      </w:pPr>
      <w:r>
        <w:rPr/>
        <w:t>3. Sub-modules operate as modules for the purposes of Article 35.15. For greater certainty, a distortion verified in the dairy sub-module does not authorize a measure in the agriculture module generally, and a distortion verified in the agriculture module does not authorize a measure in the automotive module.</w:t>
      </w:r>
    </w:p>
    <w:p>
      <w:pPr>
        <w:pStyle w:val="Normal"/>
        <w:widowControl/>
        <w:rPr/>
      </w:pPr>
      <w:r>
        <w:rPr/>
        <w:t>4. No Party shall invoke module assignment strategically to multiply remedies against the same trade; Article 35.13A applies to integrated products.</w:t>
      </w:r>
    </w:p>
    <w:p>
      <w:pPr>
        <w:pStyle w:val="Heading3"/>
        <w:keepNext/>
        <w:widowControl/>
        <w:rPr/>
      </w:pPr>
      <w:r>
        <w:rPr/>
        <w:t>Part 2: Strategic Sectors</w:t>
      </w:r>
    </w:p>
    <w:p>
      <w:pPr>
        <w:pStyle w:val="Normal"/>
        <w:widowControl/>
        <w:rPr/>
      </w:pPr>
      <w:r>
        <w:rPr/>
        <w:t>1. The following are designated Strategic Sectors for the purposes of</w:t>
      </w:r>
    </w:p>
    <w:p>
      <w:pPr>
        <w:pStyle w:val="Normal"/>
        <w:keepNext w:val="true"/>
        <w:widowControl/>
        <w:rPr/>
      </w:pPr>
      <w:r>
        <w:rPr/>
        <w:t>Article 35.23: automotive goods and parts; steel and aluminum; critical minerals; energy and electricity; grid equipment; advanced compute infrastructure; grid-scale energy storage; high-voltage transformers and power electronics; data-centre cooling and high-speed networking equipment; semiconductors; batteries; pharmaceuticals and medical goods; agricultural inputs and food staples; and telecommunications infrastructure.</w:t>
      </w:r>
    </w:p>
    <w:p>
      <w:pPr>
        <w:pStyle w:val="Normal"/>
        <w:widowControl/>
        <w:rPr/>
      </w:pPr>
      <w:r>
        <w:rPr/>
        <w:t>2. The Commission may, by consensus, designate additional Strategic Sectors or remove designations, and shall publish each designation in the Registry.</w:t>
      </w:r>
    </w:p>
    <w:p>
      <w:pPr>
        <w:pStyle w:val="Heading3"/>
        <w:keepNext/>
        <w:widowControl/>
        <w:rPr/>
      </w:pPr>
      <w:r>
        <w:rPr/>
        <w:t>Part 3: Essential Inputs</w:t>
      </w:r>
    </w:p>
    <w:p>
      <w:pPr>
        <w:pStyle w:val="Normal"/>
        <w:widowControl/>
        <w:rPr/>
      </w:pPr>
      <w:r>
        <w:rPr/>
        <w:t>1. The Secretariat's Treaty Integrity function, in consultation with the Committee on Competitiveness, shall maintain and publish a list of inputs essential to integrated North American production, reviewed at least annually.</w:t>
      </w:r>
    </w:p>
    <w:p>
      <w:pPr>
        <w:pStyle w:val="Normal"/>
        <w:widowControl/>
        <w:rPr/>
      </w:pPr>
      <w:r>
        <w:rPr/>
        <w:t>2. Listing is based on documented dependency, absence of reasonably available North American substitutes, and systemic disruption risk.</w:t>
      </w:r>
    </w:p>
    <w:p>
      <w:pPr>
        <w:pStyle w:val="Normal"/>
        <w:widowControl/>
        <w:rPr/>
      </w:pPr>
      <w:r>
        <w:rPr/>
        <w:t>3. The Committee may designate specified grid-restoration, electricity-storage, telecommunications-restoration, and compute-continuity equipment as essential inputs where documented regional shortage, dependency, or resilience need satisfies paragraph 2.</w:t>
      </w:r>
    </w:p>
    <w:p>
      <w:bookmarkStart w:id="1348" w:name="_NAESTMA_TOC_1348"/>
      <w:pPr>
        <w:pStyle w:val="Heading2"/>
        <w:keepNext/>
        <w:widowControl/>
        <w:rPr/>
      </w:pPr>
      <w:bookmarkStart w:id="167" w:name="_Toc237912648"/>
      <w:r>
        <w:rPr/>
        <w:t>ANNEX 35-C: SHARED TRADE DATA REGISTRY AND VERIFICATION DATA STANDARDS</w:t>
      </w:r>
      <w:bookmarkEnd w:id="167"/>
      <w:bookmarkEnd w:id="1348"/>
    </w:p>
    <w:p>
      <w:pPr>
        <w:pStyle w:val="Heading3"/>
        <w:keepNext/>
        <w:widowControl/>
        <w:rPr/>
      </w:pPr>
      <w:r>
        <w:rPr/>
        <w:t>Part 1: The Registry</w:t>
      </w:r>
    </w:p>
    <w:p>
      <w:pPr>
        <w:pStyle w:val="Normal"/>
        <w:widowControl/>
        <w:rPr/>
      </w:pPr>
      <w:r>
        <w:rPr/>
        <w:t>1. The Treaty Integrity Secretariat shall operate the Shared Trade Data Registry as a secure trilateral data system.</w:t>
      </w:r>
    </w:p>
    <w:p>
      <w:pPr>
        <w:pStyle w:val="Normal"/>
        <w:widowControl/>
        <w:rPr/>
      </w:pPr>
      <w:r>
        <w:rPr/>
        <w:t>2. Each Party shall transmit to the Registry, on a continuing and simultaneous basis, the trade data categories established by the Commission under Article 35.28, including anonymized import and entry data for designated strategic goods, origin certification metadata, and such further categories as the Parties adopt by consensus.</w:t>
      </w:r>
    </w:p>
    <w:p>
      <w:pPr>
        <w:pStyle w:val="Normal"/>
        <w:widowControl/>
        <w:rPr/>
      </w:pPr>
      <w:r>
        <w:rPr/>
        <w:t xml:space="preserve">3. All Registry data shall be: (a) </w:t>
      </w:r>
      <w:r>
        <w:rPr>
          <w:b/>
        </w:rPr>
        <w:t>simultaneous</w:t>
      </w:r>
      <w:r>
        <w:rPr/>
        <w:t xml:space="preserve"> — transmitted to each Party with identical latency; (b) </w:t>
      </w:r>
      <w:r>
        <w:rPr>
          <w:b/>
        </w:rPr>
        <w:t>unalterable</w:t>
      </w:r>
      <w:r>
        <w:rPr/>
        <w:t xml:space="preserve"> — logged with cryptographic chain-of-custody, with no party able to modify, delete, or redact logged data; (c) </w:t>
      </w:r>
      <w:r>
        <w:rPr>
          <w:b/>
        </w:rPr>
        <w:t>transparent as between the Parties</w:t>
      </w:r>
      <w:r>
        <w:rPr/>
        <w:t xml:space="preserve"> — accessible to each Party, the Verification Panel, and the Treaty Integrity Secretariat, subject to the confidentiality tiers in Part 4; and (d) </w:t>
      </w:r>
      <w:r>
        <w:rPr>
          <w:b/>
        </w:rPr>
        <w:t>non-attributable for political purposes</w:t>
      </w:r>
      <w:r>
        <w:rPr/>
        <w:t xml:space="preserve"> — collected and used for technical verification only.</w:t>
      </w:r>
    </w:p>
    <w:p>
      <w:pPr>
        <w:pStyle w:val="Normal"/>
        <w:widowControl/>
        <w:rPr/>
      </w:pPr>
      <w:r>
        <w:rPr/>
        <w:t>4. The Registry retains logged data for not less than seven years, subject to the data-minimization and retention schedule adopted under Part 5. Any Party may request an independent forensic audit of any data segment; the auditor is selected from the Joint List and completes the audit within 30 days. The requesting Party bears the audit cost unless the audit reveals material manipulation, in which case the manipulating Party bears all costs.</w:t>
      </w:r>
    </w:p>
    <w:p>
      <w:pPr>
        <w:pStyle w:val="Normal"/>
        <w:widowControl/>
        <w:rPr/>
      </w:pPr>
      <w:r>
        <w:rPr/>
        <w:t>5. Persistent failure by a Party to meet Registry data quality standards — defined as three or more consecutive formatting or integrity alerts within any 72-hour period — constitutes a technical failure subject to technical review, and, if unresolved for 14 days, a Tier 1 classification under Article 35.11.</w:t>
      </w:r>
    </w:p>
    <w:p>
      <w:pPr>
        <w:pStyle w:val="Heading3"/>
        <w:keepNext/>
        <w:widowControl/>
        <w:rPr/>
      </w:pPr>
      <w:r>
        <w:rPr/>
        <w:t>Part 2: Verification Procedures</w:t>
      </w:r>
    </w:p>
    <w:p>
      <w:pPr>
        <w:pStyle w:val="Normal"/>
        <w:widowControl/>
        <w:rPr/>
      </w:pPr>
      <w:r>
        <w:rPr/>
        <w:t>1. Verification Teams apply the data standards of this Annex. The unalterable, cryptographically sealed data stream constitutes the golden record against which claims are assessed.</w:t>
      </w:r>
    </w:p>
    <w:p>
      <w:pPr>
        <w:pStyle w:val="Normal"/>
        <w:widowControl/>
        <w:rPr/>
      </w:pPr>
      <w:r>
        <w:rPr/>
        <w:t>2. Confirmation levels are assigned as follows: full confirmation (95 percent or greater data alignment with the golden record, or equivalent documentary certainty); partial confirmation (50 to 94 percent); no confirmation (below 50 percent).</w:t>
      </w:r>
    </w:p>
    <w:p>
      <w:pPr>
        <w:pStyle w:val="Normal"/>
        <w:widowControl/>
        <w:rPr/>
      </w:pPr>
      <w:r>
        <w:rPr/>
        <w:t>3. Where Registry data is incomplete for a matter, the Verification Team shall rely on certified party submissions, inspections, and third-party data, and shall record the resulting uncertainty band in accordance with Annex 35-A.</w:t>
      </w:r>
    </w:p>
    <w:p>
      <w:pPr>
        <w:pStyle w:val="Heading3"/>
        <w:keepNext/>
        <w:widowControl/>
        <w:rPr/>
      </w:pPr>
      <w:r>
        <w:rPr/>
        <w:t>Part 3: Cybersecurity and System Safeguards</w:t>
      </w:r>
    </w:p>
    <w:p>
      <w:pPr>
        <w:pStyle w:val="Normal"/>
        <w:widowControl/>
        <w:rPr/>
      </w:pPr>
      <w:r>
        <w:rPr/>
        <w:t>1. Registry systems shall meet the cybersecurity standards adopted by the Committee on Digital Trade Cooperation, including encryption in transit and at rest, role-based access controls, continuous monitoring, and independent penetration testing at least annually.</w:t>
      </w:r>
    </w:p>
    <w:p>
      <w:pPr>
        <w:pStyle w:val="Normal"/>
        <w:widowControl/>
        <w:rPr/>
      </w:pPr>
      <w:r>
        <w:rPr/>
        <w:t>2. The Registry maintains immutable audit logs of every access, query, and export; the logs are available to each Party as respects accesses to data it supplied.</w:t>
      </w:r>
    </w:p>
    <w:p>
      <w:pPr>
        <w:pStyle w:val="Normal"/>
        <w:widowControl/>
        <w:rPr/>
      </w:pPr>
      <w:r>
        <w:rPr/>
        <w:t>3. A confirmed breach of the Registry shall be notified to all Parties within 72 hours, with an assessment of the data affected.</w:t>
      </w:r>
    </w:p>
    <w:p>
      <w:pPr>
        <w:pStyle w:val="Heading3"/>
        <w:keepNext/>
        <w:widowControl/>
        <w:rPr/>
      </w:pPr>
      <w:r>
        <w:rPr/>
        <w:t>Part 4: Confidential Business Information — Access Tiers</w:t>
      </w:r>
    </w:p>
    <w:p>
      <w:pPr>
        <w:pStyle w:val="Normal"/>
        <w:widowControl/>
        <w:rPr/>
      </w:pPr>
      <w:r>
        <w:rPr/>
        <w:t>1. Confidential business information in the Registry or in verification proceedings is classified into tiers:</w:t>
      </w:r>
    </w:p>
    <w:p>
      <w:pPr>
        <w:pStyle w:val="Normal"/>
        <w:widowControl/>
        <w:rPr/>
      </w:pPr>
      <w:r>
        <w:rPr/>
        <w:t xml:space="preserve">(a) </w:t>
      </w:r>
      <w:r>
        <w:rPr>
          <w:b/>
        </w:rPr>
        <w:t>Tier C-1 (public):</w:t>
      </w:r>
      <w:r>
        <w:rPr/>
        <w:t xml:space="preserve"> aggregate and anonymized data, published reports;</w:t>
      </w:r>
    </w:p>
    <w:p>
      <w:pPr>
        <w:pStyle w:val="Normal"/>
        <w:widowControl/>
        <w:rPr/>
      </w:pPr>
      <w:r>
        <w:rPr/>
        <w:t xml:space="preserve">(b) </w:t>
      </w:r>
      <w:r>
        <w:rPr>
          <w:b/>
        </w:rPr>
        <w:t>Tier C-2 (Party-confidential):</w:t>
      </w:r>
      <w:r>
        <w:rPr/>
        <w:t xml:space="preserve"> identifiable entry-level and certification data, accessible to the customs and verification authorities of each Party for verification purposes only;</w:t>
      </w:r>
    </w:p>
    <w:p>
      <w:pPr>
        <w:pStyle w:val="Normal"/>
        <w:widowControl/>
        <w:rPr/>
      </w:pPr>
      <w:r>
        <w:rPr/>
        <w:t xml:space="preserve">(c) </w:t>
      </w:r>
      <w:r>
        <w:rPr>
          <w:b/>
        </w:rPr>
        <w:t>Tier C-3 (restricted):</w:t>
      </w:r>
      <w:r>
        <w:rPr/>
        <w:t xml:space="preserve"> transaction-level commercial data, pricing, supply contracts, sourcing detail, and production costing, accessible only to the Verification Team members assigned to the specific matter, under confidentiality undertakings; and</w:t>
      </w:r>
    </w:p>
    <w:p>
      <w:pPr>
        <w:pStyle w:val="Normal"/>
        <w:widowControl/>
        <w:rPr/>
      </w:pPr>
      <w:r>
        <w:rPr/>
        <w:t xml:space="preserve">(d) </w:t>
      </w:r>
      <w:r>
        <w:rPr>
          <w:b/>
        </w:rPr>
        <w:t>Tier C-4 (national custody):</w:t>
      </w:r>
      <w:r>
        <w:rPr/>
        <w:t xml:space="preserve"> information a Party’s law requires to remain within its national customs systems, which does not leave those systems and is instead examined on-site or through summarized, certified extracts.</w:t>
      </w:r>
    </w:p>
    <w:p>
      <w:pPr>
        <w:pStyle w:val="Normal"/>
        <w:widowControl/>
        <w:rPr/>
      </w:pPr>
      <w:r>
        <w:rPr/>
        <w:t>2. In any report or public document, confidential business information is protected; entities receive access to evidence concerning them in accordance with Article 35.10A, with Tier C-3 information of other entities disclosed only through counsel-confidential procedures where the Verification Team considers it necessary.</w:t>
      </w:r>
    </w:p>
    <w:p>
      <w:pPr>
        <w:pStyle w:val="Normal"/>
        <w:widowControl/>
        <w:rPr/>
      </w:pPr>
      <w:r>
        <w:rPr/>
        <w:t>3. Misuse of confidential business information by any official or verifier results in removal from the relevant roster or function, notification to the affected entity, and referral to the appropriate national authority; the Party of the official concerned shall report the disposition to the Secretariat's Treaty Integrity function and to the Commission at its next treaty-integrity session.</w:t>
      </w:r>
    </w:p>
    <w:p>
      <w:pPr>
        <w:pStyle w:val="Heading3"/>
        <w:keepNext/>
        <w:widowControl/>
        <w:rPr/>
      </w:pPr>
      <w:r>
        <w:rPr/>
        <w:t>Part 5: Data Minimization and Retention</w:t>
      </w:r>
    </w:p>
    <w:p>
      <w:pPr>
        <w:pStyle w:val="Normal"/>
        <w:widowControl/>
        <w:rPr/>
      </w:pPr>
      <w:r>
        <w:rPr/>
        <w:t>1. The Commission, on recommendation of the Secretariat's Treaty Integrity function, shall adopt within 12 months a data-minimization standard (no data category is collected unless a defined verification function requires it) and a retention schedule (data is retained no longer than its verification function requires, subject to the seven-year maximum audit horizon in Part 1.4).</w:t>
      </w:r>
    </w:p>
    <w:p>
      <w:pPr>
        <w:pStyle w:val="Heading3"/>
        <w:keepNext/>
        <w:widowControl/>
        <w:rPr/>
      </w:pPr>
      <w:r>
        <w:rPr/>
        <w:t>Part 6: System Failure, Alternative Evidence, and Continuity</w:t>
      </w:r>
    </w:p>
    <w:p>
      <w:pPr>
        <w:pStyle w:val="Normal"/>
        <w:widowControl/>
        <w:rPr/>
      </w:pPr>
      <w:r>
        <w:rPr/>
        <w:t>1. The Registry is an evidentiary and administrative tool, not a condition precedent to a substantive treaty right. Outage, cyber incident, data corruption, delayed interoperability, or failure of a Party to transmit required data does not suspend preferential treatment or stop a treaty deadline.</w:t>
      </w:r>
    </w:p>
    <w:p>
      <w:pPr>
        <w:pStyle w:val="Normal"/>
        <w:widowControl/>
        <w:rPr/>
      </w:pPr>
      <w:r>
        <w:rPr/>
        <w:t>2. During a Registry impairment, Verification Teams shall use the best available reliable evidence, including national customs records, certified commercial records, third-party audit material, supplier declarations, physical inspection, and statistically valid sampling. The Team shall document the evidentiary substitution and resulting uncertainty.</w:t>
      </w:r>
    </w:p>
    <w:p>
      <w:pPr>
        <w:pStyle w:val="Normal"/>
        <w:widowControl/>
        <w:rPr/>
      </w:pPr>
      <w:r>
        <w:rPr/>
        <w:t>3. A trader that timely provides reliable alternative evidence shall not suffer an adverse inference merely because the Registry, another Party, or a shared technical platform failed.</w:t>
      </w:r>
    </w:p>
    <w:p>
      <w:pPr>
        <w:pStyle w:val="Normal"/>
        <w:widowControl/>
        <w:rPr/>
      </w:pPr>
      <w:r>
        <w:rPr/>
        <w:t>4. The Secretariat shall maintain tested continuity procedures, including offline submission channels, secure national-custody review, backup authentication methods, and a restoration-time objective. A material outage lasting more than 24 hours triggers public notice and activation of the continuity procedure.</w:t>
      </w:r>
    </w:p>
    <w:p>
      <w:pPr>
        <w:pStyle w:val="Normal"/>
        <w:widowControl/>
        <w:rPr/>
      </w:pPr>
      <w:r>
        <w:rPr/>
        <w:t>5. No technical committee may delay an operative treaty right by failing to adopt a data standard. Until a standard is adopted, the most recent compatible standard or the default evidentiary rules in this Part apply.</w:t>
      </w:r>
    </w:p>
    <w:p>
      <w:bookmarkStart w:id="1349" w:name="_NAESTMA_TOC_1349"/>
      <w:pPr>
        <w:pStyle w:val="Heading2"/>
        <w:keepNext/>
        <w:widowControl/>
        <w:rPr/>
      </w:pPr>
      <w:r>
        <w:rPr/>
        <w:t>Article 35.36: No Uncompensated Front-Loading and Synchronized Exchange</w:t>
      </w:r>
      <w:bookmarkEnd w:id="1349"/>
    </w:p>
    <w:p>
      <w:pPr>
        <w:pStyle w:val="Normal"/>
        <w:widowControl/>
        <w:rPr/>
      </w:pPr>
      <w:r>
        <w:rPr/>
        <w:t>1. Where an adopted schedule, settlement, side instrument, or implementation package expressly identifies two or more obligations or benefits as reciprocal consideration for one another, the paired obligations shall, to the maximum extent practicable, take effect concurrently or upon objectively matched milestones. No Party shall be required to deliver a material paired concession substantially in advance of the corresponding benefit unless it expressly accepts the sequencing in the applicable instrument.</w:t>
      </w:r>
    </w:p>
    <w:p>
      <w:pPr>
        <w:pStyle w:val="Normal"/>
        <w:widowControl/>
        <w:rPr/>
      </w:pPr>
      <w:r>
        <w:rPr/>
        <w:t>2. A paired instrument shall identify, where practicable: (a) the obligations or benefits treated as linked; (b) the activation milestone for each; (c) any permitted implementation interval; (d) the evidence sufficient to establish performance; and (e) the proportionate consequence of verified non-performance. Silence shall not be interpreted to create an unlimited obligation to perform first.</w:t>
      </w:r>
    </w:p>
    <w:p>
      <w:pPr>
        <w:pStyle w:val="Normal"/>
        <w:widowControl/>
        <w:rPr/>
      </w:pPr>
      <w:r>
        <w:rPr/>
        <w:t>3. Ordinary administrative delay, customs-system failure, permitting delay, force majeure, judicial review, labor disruption, safety requirement, or other circumstance outside a Party’s reasonable control shall not be treated as deliberate non-performance. The reviewing authority shall distinguish temporary implementation friction from refusal, evasion, or material failure to perform.</w:t>
      </w:r>
    </w:p>
    <w:p>
      <w:pPr>
        <w:pStyle w:val="Normal"/>
        <w:widowControl/>
        <w:rPr/>
      </w:pPr>
      <w:r>
        <w:rPr/>
        <w:t>4. Unless urgent circumstances require a narrower provisional response, the default sequence shall be: notice and evidence exchange; accelerated factual verification; a short and reasonable cure period; proportional pause or step-back of only the paired obligation or benefit materially affected; and automatic earn-back or restoration when verified performance resumes.</w:t>
      </w:r>
    </w:p>
    <w:p>
      <w:pPr>
        <w:pStyle w:val="Normal"/>
        <w:widowControl/>
        <w:rPr/>
      </w:pPr>
      <w:r>
        <w:rPr/>
        <w:t>5. A pause or step-back under this Article shall not authorize retaliation against an unrelated sector, Party, producer, or transaction. The Module Firewall, Narrowest-Sufficient-Remedy Rule, essential-supply safeguards, and Cothrom evidentiary disciplines remain applicable.</w:t>
      </w:r>
    </w:p>
    <w:p>
      <w:pPr>
        <w:pStyle w:val="Normal"/>
        <w:widowControl/>
        <w:rPr/>
      </w:pPr>
      <w:r>
        <w:rPr/>
        <w:t>6. Where one Party has already substantially performed an irreversible or commercially consumed concession and the paired benefit fails, the Parties shall use restoration, equivalent prospective value, escrow, compensation, accelerated normalization, or another mutually agreed mechanism reasonably capable of preventing uncompensated performance.</w:t>
      </w:r>
    </w:p>
    <w:p>
      <w:pPr>
        <w:pStyle w:val="Normal"/>
        <w:widowControl/>
        <w:rPr/>
      </w:pPr>
      <w:r>
        <w:rPr/>
        <w:t>7. This Article applies symmetrically to Canada, Mexico, and the United States and shall not be interpreted as creating a Canada-specific sequencing privilege.</w:t>
      </w:r>
    </w:p>
    <w:p>
      <w:bookmarkStart w:id="1350" w:name="_NAESTMA_TOC_1350"/>
      <w:pPr>
        <w:pStyle w:val="Heading2"/>
        <w:keepNext/>
        <w:widowControl/>
        <w:rPr/>
      </w:pPr>
      <w:r>
        <w:rPr/>
        <w:t>Article 35.37: North American Demerit and Preference Step-Back System</w:t>
      </w:r>
      <w:bookmarkEnd w:id="1350"/>
    </w:p>
    <w:p>
      <w:pPr>
        <w:pStyle w:val="Normal"/>
        <w:widowControl/>
        <w:rPr/>
      </w:pPr>
      <w:r>
        <w:rPr/>
        <w:t>1. Purpose. The Parties establish a demerit system to convert verified noncompliance into graduated, reversible, and behavior-linked consequences without default recourse to tariffs. Demerits quantify compliance history; they do not constitute criminal, punitive, or moral judgments.</w:t>
      </w:r>
    </w:p>
    <w:p>
      <w:pPr>
        <w:pStyle w:val="Normal"/>
        <w:widowControl/>
        <w:rPr/>
      </w:pPr>
      <w:r>
        <w:rPr/>
        <w:t>2. Assessment. Demerits may be assessed only after Cothrom verification establishes the underlying event and its responsible Party, module, severity, persistence, and remediation status. Allegation alone produces no demerits.</w:t>
      </w:r>
    </w:p>
    <w:p>
      <w:pPr>
        <w:pStyle w:val="Normal"/>
        <w:widowControl/>
        <w:rPr/>
      </w:pPr>
      <w:r>
        <w:rPr/>
        <w:t>3. No double counting. A single event receives points under the single most appropriate category. Continuing conduct is treated as one event unless a fresh material act occurs after notice and a reasonable cure opportunity.</w:t>
      </w:r>
    </w:p>
    <w:p>
      <w:pPr>
        <w:pStyle w:val="Normal"/>
        <w:widowControl/>
        <w:rPr/>
      </w:pPr>
      <w:r>
        <w:rPr/>
        <w:t>4. Active-point window. Unless Annex 35-G provides otherwise, demerits remain active for 180 days and then expire automatically if the responsible Party has returned to verified compliance. A new material violation does not revive expired points.</w:t>
      </w:r>
    </w:p>
    <w:p>
      <w:pPr>
        <w:pStyle w:val="Normal"/>
        <w:widowControl/>
        <w:rPr/>
      </w:pPr>
      <w:r>
        <w:rPr/>
        <w:t>5. Module attachment. Demerits attach to the trade module in which the verified breach principally occurs. They shall not be used to punish unrelated sectors, producers, workers, consumers, or transactions.</w:t>
      </w:r>
    </w:p>
    <w:p>
      <w:pPr>
        <w:pStyle w:val="Normal"/>
        <w:widowControl/>
        <w:rPr/>
      </w:pPr>
      <w:r>
        <w:rPr/>
        <w:t>6. Consequence ladder. Subject to Annex 35-G: (a) 0-2 active points: cure, record, and ordinary monitoring only; (b) 3-4 points: formal compliance notice and enhanced verification; (c) 5-6 points: temporary 5 percent reduction of an affected enhanced preference; (d) 7-8 points: temporary 10 percent reduction; (e) 9-10 points: temporary 15 percent reduction; and (f) 11 or more points: temporary 20 percent reduction and eligibility for Stage 7 review. A reduction is measured against the value, quantity, duration, priority, credit, facilitation, or other measurable dimension of the enhanced preference, not as a customs duty.</w:t>
      </w:r>
    </w:p>
    <w:p>
      <w:pPr>
        <w:pStyle w:val="Normal"/>
        <w:widowControl/>
        <w:rPr/>
      </w:pPr>
      <w:r>
        <w:rPr/>
        <w:t>7. Zero-duty floor. A demerit consequence shall never be converted into a tariff, border surcharge, tariff-rate equivalent, or monetized border charge. Ordinary tariff preference for an originating good remains at the rate otherwise required by this Agreement.</w:t>
      </w:r>
    </w:p>
    <w:p>
      <w:pPr>
        <w:pStyle w:val="Normal"/>
        <w:widowControl/>
        <w:rPr/>
      </w:pPr>
      <w:r>
        <w:rPr/>
        <w:t>8. Carrot nexus. The preference reduced shall, to the maximum extent practicable, be one earned, enhanced, optional, expedited, priority, investment-linked, procurement, quota-enhancement, facilitation, strategic-access, or comparable treaty-created benefit connected to the verified breach. If no suitable preference exists, the Panel shall use Stage 4 compensation or another non-tariff remedy before considering Article 35.38.</w:t>
      </w:r>
    </w:p>
    <w:p>
      <w:pPr>
        <w:pStyle w:val="Normal"/>
        <w:widowControl/>
        <w:rPr/>
      </w:pPr>
      <w:r>
        <w:rPr/>
        <w:t>9. Challenge and correction. A Party may challenge a demerit assessment within 14 days. A differently constituted Cothrom review team shall decide the challenge within 21 days. Erroneous points are voided retroactively and any consequence attributable solely to them is reversed or compensated.</w:t>
      </w:r>
    </w:p>
    <w:p>
      <w:pPr>
        <w:pStyle w:val="Normal"/>
        <w:widowControl/>
        <w:rPr/>
      </w:pPr>
      <w:r>
        <w:rPr/>
        <w:t>10. Earn-back. Verified cure immediately stops further escalation. Preference step-backs restore automatically under Article 35.18 after the applicable clean-compliance period. Exceptional cooperation or verified over-compliance may accelerate restoration but shall not create negative demerits or credits usable to excuse a future breach.</w:t>
      </w:r>
    </w:p>
    <w:p>
      <w:bookmarkStart w:id="1351" w:name="_NAESTMA_TOC_1351"/>
      <w:pPr>
        <w:pStyle w:val="Heading2"/>
        <w:keepNext/>
        <w:widowControl/>
        <w:rPr/>
      </w:pPr>
      <w:r>
        <w:rPr/>
        <w:t>Article 35.38: Tariff Quarantine and Absolute Last-Resort Test</w:t>
      </w:r>
      <w:bookmarkEnd w:id="1351"/>
    </w:p>
    <w:p>
      <w:pPr>
        <w:pStyle w:val="Normal"/>
        <w:widowControl/>
        <w:rPr/>
      </w:pPr>
      <w:r>
        <w:rPr/>
        <w:t>1. No Party may impose, increase, restore, extend, or threaten a tariff against originating goods of another Party as a remedy under this Agreement unless a Rotating Neutral Guarantor Panel authorizes the measure under this Article and Articles 35.39 and 35.40.</w:t>
      </w:r>
    </w:p>
    <w:p>
      <w:pPr>
        <w:pStyle w:val="Normal"/>
        <w:widowControl/>
        <w:rPr/>
      </w:pPr>
      <w:r>
        <w:rPr/>
        <w:t>2. A tariff petition is admissible only after the initiating Party demonstrates, by clear and convincing evidence, that: (a) Cothrom has verified a material and persistent breach; (b) the applicable cure period has expired; (c) Stages 0 through 7 of Article 35.16 have been exhausted, are legally unavailable, or are demonstrably incapable of preventing serious continuing harm; (d) the proposed tariff has a direct nexus to the affected module; and (e) no reasonably available materially less harmful non-tariff remedy is likely to achieve timely compliance. Any assertion that an earlier stage is demonstrably incapable of preventing serious continuing harm must satisfy Article 35.47 and may not rest solely on speculative future loss, political urgency, or the petitioning Party's preferred remedy.</w:t>
      </w:r>
    </w:p>
    <w:p>
      <w:pPr>
        <w:pStyle w:val="Normal"/>
        <w:widowControl/>
        <w:rPr/>
      </w:pPr>
      <w:r>
        <w:rPr/>
        <w:t>3. Political urgency, electoral pressure, bilateral trade deficits, revenue objectives, negotiating leverage, migration disputes, narcotics disputes, dissatisfaction with an unrelated domestic policy, or a desire to maximize economic pain shall not satisfy paragraph 2.</w:t>
      </w:r>
    </w:p>
    <w:p>
      <w:pPr>
        <w:pStyle w:val="Normal"/>
        <w:widowControl/>
        <w:rPr/>
      </w:pPr>
      <w:r>
        <w:rPr/>
        <w:t>4. A tariff petition shall identify the precise goods, rate, expected collections, affected supply chains, intended compliance objective, maximum duration, restoration condition, and economic-incidence analysis required by Article 35.40.</w:t>
      </w:r>
    </w:p>
    <w:p>
      <w:pPr>
        <w:pStyle w:val="Normal"/>
        <w:widowControl/>
        <w:rPr/>
      </w:pPr>
      <w:r>
        <w:rPr/>
        <w:t>5. The petitioning Party bears the burden throughout. Silence, abstention, delay, or failure of the guarantor panel to reach the required vote constitutes denial of tariff authorization.</w:t>
      </w:r>
    </w:p>
    <w:p>
      <w:bookmarkStart w:id="1352" w:name="_NAESTMA_TOC_1352"/>
      <w:pPr>
        <w:pStyle w:val="Heading2"/>
        <w:keepNext/>
        <w:widowControl/>
        <w:rPr/>
      </w:pPr>
      <w:r>
        <w:rPr/>
        <w:t>Article 35.39: Rotating Neutral Guarantor Panel</w:t>
      </w:r>
      <w:bookmarkEnd w:id="1352"/>
    </w:p>
    <w:p>
      <w:pPr>
        <w:pStyle w:val="Normal"/>
        <w:widowControl/>
        <w:rPr/>
      </w:pPr>
      <w:r>
        <w:rPr/>
        <w:t>1. A tariff petition under Articles 35.38 through 35.40 shall be decided by an ad hoc five-member Exceptional Tariff Authorization Panel drawn from the approved Guarantor Pool in Annex 35-H. The panel exists only for the petition for which it is constituted, receives administrative support from the existing Secretariat, and is not a permanent treaty body. Consenting Guarantor States participate independently of the Parties solely for the limited authorization function established by this Chapter.</w:t>
      </w:r>
    </w:p>
    <w:p>
      <w:pPr>
        <w:pStyle w:val="Normal"/>
        <w:widowControl/>
        <w:rPr/>
      </w:pPr>
      <w:r>
        <w:rPr/>
        <w:t>2. Approval requires at least four affirmative votes of the five guarantors. A tariff exceeding 10 percent ad valorem, or equivalent, requires unanimous approval and in no event may an authorized tariff exceed 15 percent.</w:t>
      </w:r>
    </w:p>
    <w:p>
      <w:pPr>
        <w:pStyle w:val="Normal"/>
        <w:widowControl/>
        <w:rPr/>
      </w:pPr>
      <w:r>
        <w:rPr/>
        <w:t>3. No Guarantor State that served on the immediately preceding tariff-authorization panel may serve on the next tariff-authorization panel. After one intervening panel, that State becomes eligible again unless otherwise recused.</w:t>
      </w:r>
    </w:p>
    <w:p>
      <w:pPr>
        <w:pStyle w:val="Normal"/>
        <w:widowControl/>
        <w:rPr/>
      </w:pPr>
      <w:r>
        <w:rPr/>
        <w:t>4. Selection shall be by the transparent stratified random-draw method in Annex 35-H, administered ministerially by the Secretariat without discretion to select a preferred guarantor, seeking where practicable one eligible member from Europe, one from Asia-Pacific, one from Latin America or the Caribbean, one from Africa or the Middle East, and one unrestricted seat. No North American Party may hand-select a guarantor for a tariff petition.</w:t>
      </w:r>
    </w:p>
    <w:p>
      <w:pPr>
        <w:pStyle w:val="Normal"/>
        <w:widowControl/>
        <w:rPr/>
      </w:pPr>
      <w:r>
        <w:rPr/>
        <w:t>5. Before the draw, a Guarantor State shall be excluded or recused where it has a material direct commercial, ownership, procurement, commodity, litigation, or transaction-specific interest in the matter, or another circumstance creating a reasonable apprehension of bias. Ordinary diplomatic relations, trade, alliance membership, or membership in an international organization does not alone require recusal. A contested recusal shall be decided only under Article 35.42; neither a Party nor the challenged Guarantor State may determine the challenge.</w:t>
      </w:r>
    </w:p>
    <w:p>
      <w:pPr>
        <w:pStyle w:val="Normal"/>
        <w:widowControl/>
        <w:rPr/>
      </w:pPr>
      <w:r>
        <w:rPr/>
        <w:t>6. If recusals or non-availability prevent a geographically stratified panel, the Secretariat shall draw from the remaining eligible pool while preserving five independent members. No dispute shall fail for lack of a particular regional seat.</w:t>
      </w:r>
    </w:p>
    <w:p>
      <w:pPr>
        <w:pStyle w:val="Normal"/>
        <w:widowControl/>
        <w:rPr/>
      </w:pPr>
      <w:r>
        <w:rPr/>
        <w:t>7. A Party shall not retaliate against, threaten, reward, induce, condition unrelated benefits for, coerce, or otherwise penalize or advantage a Guarantor State, its representative, or a covered associated person because of a vote, anticipated vote, reasoning, participation, refusal to authorize a tariff, or good-faith performance under this Chapter. Articles 35.42 through 35.45 govern integrity review and consequences.</w:t>
      </w:r>
    </w:p>
    <w:p>
      <w:pPr>
        <w:pStyle w:val="Normal"/>
        <w:widowControl/>
        <w:rPr/>
      </w:pPr>
      <w:r>
        <w:rPr/>
        <w:t>8. Guarantor decisions shall be reasoned and public, subject to protection of classified and confidential information. Each member shall state whether the necessity, proportionality, nexus, burden, duration, and less-harmful-alternative tests are satisfied.</w:t>
      </w:r>
    </w:p>
    <w:p>
      <w:bookmarkStart w:id="1353" w:name="_NAESTMA_TOC_1353"/>
      <w:pPr>
        <w:pStyle w:val="Heading2"/>
        <w:keepNext/>
        <w:widowControl/>
        <w:rPr/>
      </w:pPr>
      <w:r>
        <w:rPr/>
        <w:t>Article 35.40: Tariff Authorization Limits, Burden Test, Sunset, and Renewal</w:t>
      </w:r>
      <w:bookmarkEnd w:id="1353"/>
    </w:p>
    <w:p>
      <w:pPr>
        <w:pStyle w:val="Normal"/>
        <w:widowControl/>
        <w:rPr/>
      </w:pPr>
      <w:r>
        <w:rPr/>
        <w:t>1. An authorized tariff is temporary compliance security, not punishment. It shall be the lowest rate and narrowest coverage reasonably capable of addressing the verified breach.</w:t>
      </w:r>
    </w:p>
    <w:p>
      <w:pPr>
        <w:pStyle w:val="Normal"/>
        <w:widowControl/>
        <w:rPr/>
      </w:pPr>
      <w:r>
        <w:rPr/>
        <w:t>2. Rate ceilings. Ordinary last-resort authorization shall not exceed 5 percent ad valorem or equivalent. A serious persistent Tier 3 breach may support authorization up to 10 percent. A rate above 10 percent and not exceeding 15 percent is reserved for an exceptional systemic breach and requires unanimous guarantor approval. No authority under this Agreement permits a tariff above 15 percent on originating goods.</w:t>
      </w:r>
    </w:p>
    <w:p>
      <w:pPr>
        <w:pStyle w:val="Normal"/>
        <w:widowControl/>
        <w:rPr/>
      </w:pPr>
      <w:r>
        <w:rPr/>
        <w:t>3. Tariff Burden Test. Before authorization, the Panel shall assess the reasonably foreseeable incidence of the proposed tariff on consumers, workers, SMEs, downstream manufacturers, integrated supply chains, food and energy security, critical infrastructure, inflation, and the petitioning Party's own economy. A tariff shall be denied or narrowed where its expected collateral cost is grossly disproportionate to its expected compliance benefit. The Panel shall also consider aggregate concurrent corrective burdens under Article 35.50 and shall use only harm estimates validated under Article 35.48.</w:t>
      </w:r>
    </w:p>
    <w:p>
      <w:pPr>
        <w:pStyle w:val="Normal"/>
        <w:widowControl/>
        <w:rPr/>
      </w:pPr>
      <w:r>
        <w:rPr/>
        <w:t>4. Humanitarian firewall. Article 35.35 applies without exception. Essential medicines, life-saving humanitarian goods, disaster-response supplies, and other protected goods may not be tariff targets.</w:t>
      </w:r>
    </w:p>
    <w:p>
      <w:pPr>
        <w:pStyle w:val="Normal"/>
        <w:widowControl/>
        <w:rPr/>
      </w:pPr>
      <w:r>
        <w:rPr/>
        <w:t>5. Duration. An authorization expires automatically after 30 days unless the Panel authorizes up to 60 days on a reasoned finding that the shorter period is insufficient. No authorization may exceed 60 days.</w:t>
      </w:r>
    </w:p>
    <w:p>
      <w:pPr>
        <w:pStyle w:val="Normal"/>
        <w:widowControl/>
        <w:rPr/>
      </w:pPr>
      <w:r>
        <w:rPr/>
        <w:t>6. Cure termination. The tariff terminates immediately when Cothrom verifies the underlying breach has been cured, even if time remains in the authorization.</w:t>
      </w:r>
    </w:p>
    <w:p>
      <w:pPr>
        <w:pStyle w:val="Normal"/>
        <w:widowControl/>
        <w:rPr/>
      </w:pPr>
      <w:r>
        <w:rPr/>
        <w:t>7. Renewal. Renewal requires a fresh Cothrom verification of continuing breach and a newly constituted five-member guarantor panel. No member of the expiring authorization panel may serve on the renewal panel. Renewal is not automatic and carries the same voting threshold, burden test, rate ceiling, and sunset.</w:t>
      </w:r>
    </w:p>
    <w:p>
      <w:pPr>
        <w:pStyle w:val="Normal"/>
        <w:widowControl/>
        <w:rPr/>
      </w:pPr>
      <w:r>
        <w:rPr/>
        <w:t>8. No tariff threat before authorization. A Party may state that it has filed or intends to file a tariff petition, but shall not announce a rate as decided, issue an ultimatum conditioned on tariff imposition, or use prospective tariff authority as bargaining leverage before authorization.</w:t>
      </w:r>
    </w:p>
    <w:p>
      <w:pPr>
        <w:pStyle w:val="Normal"/>
        <w:widowControl/>
        <w:rPr/>
      </w:pPr>
      <w:r>
        <w:rPr/>
        <w:t>9. Relationship to Article 35.34. Every authorized tariff remains subject to the Corrective Tariff Budget and Lockout. The lower ceiling or stricter safeguard controls.</w:t>
      </w:r>
    </w:p>
    <w:p>
      <w:bookmarkStart w:id="1354" w:name="_NAESTMA_TOC_1354"/>
      <w:pPr>
        <w:pStyle w:val="Heading2"/>
        <w:keepNext/>
        <w:widowControl/>
        <w:rPr/>
      </w:pPr>
      <w:r>
        <w:rPr/>
        <w:t>Article 35.41: Three-Year Joint Study on Complete Elimination of Intra-North-American Tariffs</w:t>
      </w:r>
      <w:bookmarkEnd w:id="1354"/>
    </w:p>
    <w:p>
      <w:pPr>
        <w:pStyle w:val="Normal"/>
        <w:widowControl/>
        <w:rPr/>
      </w:pPr>
      <w:r>
        <w:rPr/>
        <w:t>1. The Parties shall conduct a joint evidence-based study, completed no later than the third anniversary of entry into force of the Protocol of Modernization, to determine whether tariffs on originating goods between the Parties should be abolished entirely as a corrective, emergency, security, retaliatory, safeguard, antidumping, countervailing, or other intra-North-American trade instrument and replaced by non-tariff compliance mechanisms.</w:t>
      </w:r>
    </w:p>
    <w:p>
      <w:pPr>
        <w:pStyle w:val="Normal"/>
        <w:widowControl/>
        <w:rPr/>
      </w:pPr>
      <w:r>
        <w:rPr/>
        <w:t>2. The study shall be conducted jointly by the Parties with participation by independent economists, customs specialists, trade-law experts, labor and consumer representatives, SMEs, producers, downstream users, Indigenous representatives where relevant, and a balanced sample of consenting Guarantor States.</w:t>
      </w:r>
    </w:p>
    <w:p>
      <w:pPr>
        <w:pStyle w:val="Normal"/>
        <w:widowControl/>
        <w:rPr/>
      </w:pPr>
      <w:r>
        <w:rPr/>
        <w:t>3. The study shall evaluate at minimum: (a) every intra-Party tariff imposed, requested, authorized, denied, or avoided during the study period; (b) use and effectiveness of Cothrom, demerits, preference step-back, compensation, escrow, procurement, verification, and earn-back; (c) consumer-price and inflation effects; (d) employment, investment, productivity, supply-chain and fiscal effects; (e) effects on small businesses and integrated manufacturers; (f) national-security and emergency performance; (g) dumping, subsidization, circumvention, and non-market-distortion cases; (h) administrative cost and dispute duration; and (i) whether any legitimate objective materially required a tariff rather than a less harmful instrument.</w:t>
      </w:r>
    </w:p>
    <w:p>
      <w:pPr>
        <w:pStyle w:val="Normal"/>
        <w:widowControl/>
        <w:rPr/>
      </w:pPr>
      <w:r>
        <w:rPr/>
        <w:t>4. The study shall separately distinguish tariffs used for ordinary protection, trade remedies, retaliation, national security, emergency action, negotiating leverage, and revenue. Opposition to foreign tariffs shall not be treated as proof of support for abolition of domestic tariffs.</w:t>
      </w:r>
    </w:p>
    <w:p>
      <w:pPr>
        <w:pStyle w:val="Normal"/>
        <w:widowControl/>
        <w:rPr/>
      </w:pPr>
      <w:r>
        <w:rPr/>
        <w:t>5. Public consultation. The Secretariat shall conduct public consultations in Canada, Mexico, and the United States and publish non-confidential evidence, methodology, minority views, and country-specific findings.</w:t>
      </w:r>
    </w:p>
    <w:p>
      <w:pPr>
        <w:pStyle w:val="Normal"/>
        <w:widowControl/>
        <w:rPr/>
      </w:pPr>
      <w:r>
        <w:rPr/>
        <w:t>6. Abolition recommendation. The final report shall state whether the evidence supports: (a) complete abolition of tariffs on originating intra-North-American trade; (b) abolition of punitive and corrective tariffs while retaining narrowly defined trade-remedy categories; (c) continuation of the last-resort guarantor architecture; or (d) another evidence-supported model. The report shall identify the legal amendments and transition rules required for each recommended option.</w:t>
      </w:r>
    </w:p>
    <w:p>
      <w:pPr>
        <w:pStyle w:val="Normal"/>
        <w:widowControl/>
        <w:rPr/>
      </w:pPr>
      <w:r>
        <w:rPr/>
        <w:t>7. Presumption from successful non-use. If no tariff has been authorized under Articles 35.38 through 35.40 during the preceding 24 months, or if the study finds that every material compliance matter was resolved through less harmful mechanisms, the report shall include a specific finding on whether continued tariff authority remains necessary.</w:t>
      </w:r>
    </w:p>
    <w:p>
      <w:pPr>
        <w:pStyle w:val="Normal"/>
        <w:widowControl/>
        <w:rPr/>
      </w:pPr>
      <w:r>
        <w:rPr/>
        <w:t>8. Decision. Within 180 days after publication of the study, the Commission shall convene a special ministerial review devoted solely to the future of intra-North-American tariffs. Any abolition or further restriction shall be adopted through the treaty amendment procedure and shall preserve the Parties' rights with respect to non-Parties unless expressly agreed otherwise.</w:t>
      </w:r>
    </w:p>
    <w:p>
      <w:bookmarkStart w:id="1355" w:name="_NAESTMA_TOC_1355"/>
      <w:pPr>
        <w:pStyle w:val="Heading2"/>
        <w:keepNext/>
        <w:widowControl/>
        <w:rPr/>
      </w:pPr>
      <w:r>
        <w:rPr/>
        <w:t>Article 35.42: Guarantor Integrity Firewall and Anti-Inducement Rule</w:t>
      </w:r>
      <w:bookmarkEnd w:id="1355"/>
    </w:p>
    <w:p>
      <w:pPr>
        <w:pStyle w:val="Normal"/>
        <w:widowControl/>
        <w:rPr/>
      </w:pPr>
      <w:r>
        <w:rPr/>
        <w:t>1. Independence principle. A tariff authorization is valid only if the guarantor process is free from bribery, coercion, undisclosed material inducement, strategic recusal manipulation, improper ex parte advocacy, and material conflicts of interest.</w:t>
      </w:r>
    </w:p>
    <w:p>
      <w:pPr>
        <w:pStyle w:val="Normal"/>
        <w:widowControl/>
        <w:rPr/>
      </w:pPr>
      <w:r>
        <w:rPr/>
        <w:t>2. Prohibited conduct. No Party, ministry, agency, state enterprise, public authority, official, agent, intermediary, or person acting at the direction, request, or knowing benefit of a Party may directly or indirectly offer, promise, arrange, solicit, authorize, condition, withhold, accelerate, or confer a material benefit or detriment for the purpose of influencing a guarantor selection, recusal, vote, reasoning, timing, or other performance under Articles 35.38 through 35.40.</w:t>
      </w:r>
    </w:p>
    <w:p>
      <w:pPr>
        <w:pStyle w:val="Normal"/>
        <w:widowControl/>
        <w:rPr/>
      </w:pPr>
      <w:r>
        <w:rPr/>
        <w:t>3. Covered benefits include money, gifts, loans, investment commitments, procurement awards, regulatory favors, sanctions relief, market-access concessions, development finance, security assistance, visas, appointments, employment, consulting arrangements, board positions, preferential access, campaign or political support where unlawful or material, benefits to close associated persons, and any other thing of material value. Ordinary pre-existing diplomacy and commerce are not prohibited merely because a tariff proceeding exists.</w:t>
      </w:r>
    </w:p>
    <w:p>
      <w:pPr>
        <w:pStyle w:val="Normal"/>
        <w:widowControl/>
        <w:rPr/>
      </w:pPr>
      <w:r>
        <w:rPr/>
        <w:t>4. Connection standard. A prohibited inducement may be established by direct evidence or by clear and convincing circumstantial evidence showing purpose, coordination, timing, concealment, unusual departure from ordinary practice, or other facts that materially connect the benefit or detriment to the proceeding. Mere temporal proximity is insufficient by itself.</w:t>
      </w:r>
    </w:p>
    <w:p>
      <w:pPr>
        <w:pStyle w:val="Normal"/>
        <w:widowControl/>
        <w:rPr/>
      </w:pPr>
      <w:r>
        <w:rPr/>
        <w:t>5. Anti-evasion. A Party shall not do indirectly through a corporation, lobbyist, foundation, sovereign wealth vehicle, political intermediary, third State, private person, or other channel what it could not lawfully do directly.</w:t>
      </w:r>
    </w:p>
    <w:p>
      <w:pPr>
        <w:pStyle w:val="Normal"/>
        <w:widowControl/>
        <w:rPr/>
      </w:pPr>
      <w:r>
        <w:rPr/>
        <w:t>6. Petitioning-Party consequence. If an independent Integrity Panel finds that the petitioning Party, or a person acting at its direction or with its knowing participation, committed a material prohibited inducement or coercion, the pending tariff petition is dismissed with prejudice for 180 days as to the same underlying breach. Any tariff already authorized but not yet collected is void. Any tariff already in collection terminates immediately, without prejudice to lawful non-tariff remedies.</w:t>
      </w:r>
    </w:p>
    <w:p>
      <w:pPr>
        <w:pStyle w:val="Normal"/>
        <w:widowControl/>
        <w:rPr/>
      </w:pPr>
      <w:r>
        <w:rPr/>
        <w:t>7. No false-flag dismissal. Paragraph 6 does not apply where another Party, a private actor, or a guarantor independently attempted corruption without the petitioning Party's direction, authorization, knowing participation, or later knowing adoption. Such conduct is handled under Article 35.45.</w:t>
      </w:r>
    </w:p>
    <w:p>
      <w:pPr>
        <w:pStyle w:val="Normal"/>
        <w:widowControl/>
        <w:rPr/>
      </w:pPr>
      <w:r>
        <w:rPr/>
        <w:t>8. Demerits for integrity breach. A verified material integrity breach by a Party constitutes an independent Tier 3 treaty-integrity violation and may receive demerits under Article 35.37 in addition to dismissal of the tariff petition.</w:t>
      </w:r>
    </w:p>
    <w:p>
      <w:bookmarkStart w:id="1356" w:name="_NAESTMA_TOC_1356"/>
      <w:pPr>
        <w:pStyle w:val="Heading2"/>
        <w:keepNext/>
        <w:widowControl/>
        <w:rPr/>
      </w:pPr>
      <w:r>
        <w:rPr/>
        <w:t>Article 35.43: Communications Docket, Ex Parte Firewall, and Equality of Arms</w:t>
      </w:r>
      <w:bookmarkEnd w:id="1356"/>
    </w:p>
    <w:p>
      <w:pPr>
        <w:pStyle w:val="Normal"/>
        <w:widowControl/>
        <w:rPr/>
      </w:pPr>
      <w:r>
        <w:rPr/>
        <w:t>1. Once a tariff petition is filed, all substantive communications concerning the merits, evidence, desired outcome, recusal, rate, duration, or economic consequences between a Party and a sitting guarantor shall occur through the Secretariat's secure proceeding docket or in a proceeding at which all Parties have equal notice and opportunity to participate.</w:t>
      </w:r>
    </w:p>
    <w:p>
      <w:pPr>
        <w:pStyle w:val="Normal"/>
        <w:widowControl/>
        <w:rPr/>
      </w:pPr>
      <w:r>
        <w:rPr/>
        <w:t>2. A substantive oral communication occurring inadvertently or for urgent administrative reasons shall be memorialized on the docket within 24 hours. Pure scheduling, security, translation, travel, or technical-administration communications need not be publicly docketed but shall be logged.</w:t>
      </w:r>
    </w:p>
    <w:p>
      <w:pPr>
        <w:pStyle w:val="Normal"/>
        <w:widowControl/>
        <w:rPr/>
      </w:pPr>
      <w:r>
        <w:rPr/>
        <w:t>3. No Party may privately lobby a sitting guarantor concerning the merits. A guarantor receiving an attempted prohibited ex parte communication shall terminate the communication and report it to the Secretariat within 24 hours.</w:t>
      </w:r>
    </w:p>
    <w:p>
      <w:pPr>
        <w:pStyle w:val="Normal"/>
        <w:widowControl/>
        <w:rPr/>
      </w:pPr>
      <w:r>
        <w:rPr/>
        <w:t>4. All merits submissions provided to a guarantor shall be simultaneously available to the other Parties, subject to lawful protection of classified, privileged, personal, commercially confidential, or security-sensitive information.</w:t>
      </w:r>
    </w:p>
    <w:p>
      <w:pPr>
        <w:pStyle w:val="Normal"/>
        <w:widowControl/>
        <w:rPr/>
      </w:pPr>
      <w:r>
        <w:rPr/>
        <w:t>5. Classified evidence shall not create a one-sided evidentiary advantage. Where material evidence cannot lawfully be disclosed to another Party, the Secretariat shall appoint an appropriately security-cleared independent special advocate or equivalent protected reviewer to test relevance, reliability, necessity, and exculpatory context. No tariff may be authorized solely on undisclosed evidence that has not received such adversarial or independent testing.</w:t>
      </w:r>
    </w:p>
    <w:p>
      <w:pPr>
        <w:pStyle w:val="Normal"/>
        <w:widowControl/>
        <w:rPr/>
      </w:pPr>
      <w:r>
        <w:rPr/>
        <w:t>6. Each Party shall receive a meaningful opportunity to answer the factual and economic case against it. A guarantor panel may draw an adverse inference from deliberate withholding or destruction of evidence, but not from a Party's lawful inability to disclose protected information where an approved substitute procedure is used.</w:t>
      </w:r>
    </w:p>
    <w:p>
      <w:bookmarkStart w:id="1357" w:name="_NAESTMA_TOC_1357"/>
      <w:pPr>
        <w:pStyle w:val="Heading2"/>
        <w:keepNext/>
        <w:widowControl/>
        <w:rPr/>
      </w:pPr>
      <w:r>
        <w:rPr/>
        <w:t>Article 35.44: Guarantor Financial Integrity, Disclosure, Gifts, and Cooling-Off</w:t>
      </w:r>
      <w:bookmarkEnd w:id="1357"/>
    </w:p>
    <w:p>
      <w:pPr>
        <w:pStyle w:val="Normal"/>
        <w:widowControl/>
        <w:rPr/>
      </w:pPr>
      <w:r>
        <w:rPr/>
        <w:t>1. Before service, each designated guarantor representative and alternate shall file a confidential financial-interest and relationship disclosure sufficient to identify material interests in the disputing Parties, affected sector, principal firms, commodities, procurement, litigation, and transactions. The Secretariat shall publish a non-confidential conflict statement.</w:t>
      </w:r>
    </w:p>
    <w:p>
      <w:pPr>
        <w:pStyle w:val="Normal"/>
        <w:widowControl/>
        <w:rPr/>
      </w:pPr>
      <w:r>
        <w:rPr/>
        <w:t>2. During selection eligibility and service, a representative shall not accept a gift, payment, travel benefit beyond approved proceeding expenses, hospitality of material value, employment discussion, consulting engagement, board opportunity, investment opportunity not generally available, or comparable personal benefit from a disputing Party or materially interested private actor.</w:t>
      </w:r>
    </w:p>
    <w:p>
      <w:pPr>
        <w:pStyle w:val="Normal"/>
        <w:widowControl/>
        <w:rPr/>
      </w:pPr>
      <w:r>
        <w:rPr/>
        <w:t>3. A representative shall disclose relevant interests of a spouse or domestic partner, dependent child, controlled entity, business partner, or other close associated person where the representative knows or reasonably should know that the interest could create a material conflict. This paragraph does not require disclosure of unrelated private information.</w:t>
      </w:r>
    </w:p>
    <w:p>
      <w:pPr>
        <w:pStyle w:val="Normal"/>
        <w:widowControl/>
        <w:rPr/>
      </w:pPr>
      <w:r>
        <w:rPr/>
        <w:t>4. For two years after a representative's final service in a tariff proceeding, the representative shall not accept compensated employment, a board seat, consultancy, or extraordinary personal benefit from a disputing government or a private actor that had a material direct interest in that proceeding, unless an independent Integrity Panel determines that the arrangement is unrelated and does not create a reasonable appearance of deferred compensation.</w:t>
      </w:r>
    </w:p>
    <w:p>
      <w:pPr>
        <w:pStyle w:val="Normal"/>
        <w:widowControl/>
        <w:rPr/>
      </w:pPr>
      <w:r>
        <w:rPr/>
        <w:t>5. Guarantor States shall disclose extraordinary discretionary bilateral benefits announced, negotiated, or materially accelerated between themselves and a petitioning Party from 90 days before panel selection until one year after final disposition where the benefit exceeds thresholds established in Annex 35-I. Disclosure triggers review where warranted; it does not create a presumption of guilt.</w:t>
      </w:r>
    </w:p>
    <w:p>
      <w:pPr>
        <w:pStyle w:val="Normal"/>
        <w:widowControl/>
        <w:rPr/>
      </w:pPr>
      <w:r>
        <w:rPr/>
        <w:t>6. The Parties shall not freeze ordinary diplomacy, trade, aid, security cooperation, or investment during the temporal firewall. The purpose of paragraph 5 is transparency around extraordinary discretionary changes, not paralysis of normal interstate relations.</w:t>
      </w:r>
    </w:p>
    <w:p>
      <w:bookmarkStart w:id="1358" w:name="_NAESTMA_TOC_1358"/>
      <w:pPr>
        <w:pStyle w:val="Heading2"/>
        <w:keepNext/>
        <w:widowControl/>
        <w:rPr/>
      </w:pPr>
      <w:r>
        <w:rPr/>
        <w:t>Article 35.45: Integrity Panel, Tainted Panel Rule, Recusal Review, and Remedies</w:t>
      </w:r>
      <w:bookmarkEnd w:id="1358"/>
    </w:p>
    <w:p>
      <w:pPr>
        <w:pStyle w:val="Normal"/>
        <w:widowControl/>
        <w:rPr/>
      </w:pPr>
      <w:r>
        <w:rPr/>
        <w:t>1. For integrity review under Articles 35.42 through 35.45, the Secretariat shall maintain a qualification list of consenting Guarantor States and independent experts with demonstrated ethics, anti-corruption, adjudicative, or public-law expertise. The list is an administrative eligibility pool, not a permanent institution. No person or State sitting on the challenged tariff panel may decide an integrity allegation concerning that panel.</w:t>
      </w:r>
    </w:p>
    <w:p>
      <w:pPr>
        <w:pStyle w:val="Normal"/>
        <w:widowControl/>
        <w:rPr/>
      </w:pPr>
      <w:r>
        <w:rPr/>
        <w:t>2. A contested recusal, alleged inducement, coercion, post-vote reward, improper ex parte contact, financial conflict, or strategic recusal challenge shall be decided by an ad hoc three-member Integrity Review Panel selected by random draw from eligible persons or States not involved in the tariff proceeding. The panel dissolves on final disposition of the matter, and no disputing Party may select a member.</w:t>
      </w:r>
    </w:p>
    <w:p>
      <w:pPr>
        <w:pStyle w:val="Normal"/>
        <w:widowControl/>
        <w:rPr/>
      </w:pPr>
      <w:r>
        <w:rPr/>
        <w:t>3. Strategic-recusal safeguard. A Party challenging a guarantor shall identify the specific conflict and supporting evidence. Filing a challenge does not permit that Party to choose, rank, or influence the replacement. If recusal is ordered, the replacement shall be randomly drawn from the same regional category where practicable.</w:t>
      </w:r>
    </w:p>
    <w:p>
      <w:pPr>
        <w:pStyle w:val="Normal"/>
        <w:widowControl/>
        <w:rPr/>
      </w:pPr>
      <w:r>
        <w:rPr/>
        <w:t>4. Tainted Panel Rule. If a guarantor representative is materially compromised without direction, authorization, knowing participation, or knowing adoption by the petitioning Party, that representative is removed, the affected vote is void, and a replacement is randomly drawn. The proceeding resumes from the point necessary to cure the taint.</w:t>
      </w:r>
    </w:p>
    <w:p>
      <w:pPr>
        <w:pStyle w:val="Normal"/>
        <w:widowControl/>
        <w:rPr/>
      </w:pPr>
      <w:r>
        <w:rPr/>
        <w:t>5. Petitioning-party taint. If the petitioning Party caused, authorized, knowingly participated in, or knowingly adopted the material corruption or coercion, Article 35.42.6 applies and the petition is dismissed. A replacement panel shall not cure petitioning-party taint.</w:t>
      </w:r>
    </w:p>
    <w:p>
      <w:pPr>
        <w:pStyle w:val="Normal"/>
        <w:widowControl/>
        <w:rPr/>
      </w:pPr>
      <w:r>
        <w:rPr/>
        <w:t>6. Post-decision reward review. An extraordinary benefit arising after a vote may be investigated where credible evidence indicates possible deferred consideration. Timing alone is insufficient. If deferred consideration is established, the affected vote is void and appropriate remedies under paragraphs 4 or 5 apply.</w:t>
      </w:r>
    </w:p>
    <w:p>
      <w:pPr>
        <w:pStyle w:val="Normal"/>
        <w:widowControl/>
        <w:rPr/>
      </w:pPr>
      <w:r>
        <w:rPr/>
        <w:t>7. Economic intimidation. A pattern of unusual inspections, licensing delays, procurement exclusions, visa actions, sanctions, assistance changes, or other governmental treatment may constitute coercion where clear and convincing evidence shows it was materially intended to influence or punish guarantor performance. Legitimate independently supported enforcement remains permissible.</w:t>
      </w:r>
    </w:p>
    <w:p>
      <w:pPr>
        <w:pStyle w:val="Normal"/>
        <w:widowControl/>
        <w:rPr/>
      </w:pPr>
      <w:r>
        <w:rPr/>
        <w:t>8. Interim protection. Where credible evidence indicates a serious integrity threat, the Integrity Panel may temporarily suspend deliberation or implementation for up to 14 days while conducting expedited review. An interim suspension does not imply guilt.</w:t>
      </w:r>
    </w:p>
    <w:p>
      <w:pPr>
        <w:pStyle w:val="Normal"/>
        <w:widowControl/>
        <w:rPr/>
      </w:pPr>
      <w:r>
        <w:rPr/>
        <w:t>9. Transparency. Final integrity determinations shall be reasoned and public, subject to protection of classified, personal, investigatory, and confidential information.</w:t>
      </w:r>
    </w:p>
    <w:p>
      <w:bookmarkStart w:id="1359" w:name="_NAESTMA_TOC_1359"/>
      <w:pPr>
        <w:pStyle w:val="Heading2"/>
        <w:keepNext/>
        <w:widowControl/>
        <w:rPr/>
      </w:pPr>
      <w:r>
        <w:rPr/>
        <w:t>ANNEX 35-I: GUARANTOR INTEGRITY OPERATING RULES</w:t>
      </w:r>
      <w:bookmarkEnd w:id="1359"/>
    </w:p>
    <w:p>
      <w:pPr>
        <w:pStyle w:val="Normal"/>
        <w:widowControl/>
        <w:rPr/>
      </w:pPr>
      <w:r>
        <w:rPr/>
        <w:t>Part 1: Integrity Register</w:t>
      </w:r>
    </w:p>
    <w:p>
      <w:pPr>
        <w:pStyle w:val="Normal"/>
        <w:widowControl/>
        <w:rPr/>
      </w:pPr>
      <w:r>
        <w:rPr/>
        <w:t>1. The Secretariat shall maintain a secure register of panel composition, recusals, docketed communications, conflict disclosures, extraordinary-benefit disclosures, integrity challenges, findings, and cooling-off certifications.</w:t>
      </w:r>
    </w:p>
    <w:p>
      <w:pPr>
        <w:pStyle w:val="Normal"/>
        <w:widowControl/>
        <w:rPr/>
      </w:pPr>
      <w:r>
        <w:rPr/>
        <w:t>2. Public portions of the register shall be searchable and published promptly enough to permit meaningful scrutiny without exposing protected information.</w:t>
      </w:r>
    </w:p>
    <w:p>
      <w:pPr>
        <w:pStyle w:val="Normal"/>
        <w:widowControl/>
        <w:rPr/>
      </w:pPr>
      <w:r>
        <w:rPr/>
        <w:t>Part 2: Extraordinary-Benefit Screening</w:t>
      </w:r>
    </w:p>
    <w:p>
      <w:pPr>
        <w:pStyle w:val="Normal"/>
        <w:widowControl/>
        <w:rPr/>
      </w:pPr>
      <w:r>
        <w:rPr/>
        <w:t>1. The Commission shall establish objective disclosure thresholds for extraordinary discretionary benefits, taking account of the size of the guarantor economy, normal bilateral flows, pre-existing commitments, and the nature of the benefit.</w:t>
      </w:r>
    </w:p>
    <w:p>
      <w:pPr>
        <w:pStyle w:val="Normal"/>
        <w:widowControl/>
        <w:rPr/>
      </w:pPr>
      <w:r>
        <w:rPr/>
        <w:t>2. A benefit is not suspicious merely because it is large. Relevant indicators include unusual timing, secrecy, departure from established policy, absence of ordinary process, linkage language, intermediary communications, and disproportionate benefit to a decision-maker or associated person.</w:t>
      </w:r>
    </w:p>
    <w:p>
      <w:pPr>
        <w:pStyle w:val="Normal"/>
        <w:widowControl/>
        <w:rPr/>
      </w:pPr>
      <w:r>
        <w:rPr/>
        <w:t>Part 3: Representative Code</w:t>
      </w:r>
    </w:p>
    <w:p>
      <w:pPr>
        <w:pStyle w:val="Normal"/>
        <w:widowControl/>
        <w:rPr/>
      </w:pPr>
      <w:r>
        <w:rPr/>
        <w:t>1. Representatives shall sign an independence declaration before receiving the merits record and a post-service certification after final disposition.</w:t>
      </w:r>
    </w:p>
    <w:p>
      <w:pPr>
        <w:pStyle w:val="Normal"/>
        <w:widowControl/>
        <w:rPr/>
      </w:pPr>
      <w:r>
        <w:rPr/>
        <w:t>2. Representatives shall receive only standardized proceeding compensation and reimbursable expenses established in advance by the Commission. No disputing Party may supplement that compensation.</w:t>
      </w:r>
    </w:p>
    <w:p>
      <w:pPr>
        <w:pStyle w:val="Normal"/>
        <w:widowControl/>
        <w:rPr/>
      </w:pPr>
      <w:r>
        <w:rPr/>
        <w:t>3. Knowingly false material disclosure is grounds for removal and Integrity Panel review.</w:t>
      </w:r>
    </w:p>
    <w:p>
      <w:bookmarkStart w:id="1360" w:name="_NAESTMA_TOC_1360"/>
      <w:pPr>
        <w:pStyle w:val="Heading2"/>
        <w:keepNext/>
        <w:widowControl/>
        <w:rPr/>
      </w:pPr>
      <w:r>
        <w:rPr/>
        <w:t>Article 35.46: Objective Cure Certification and Compliance Finality</w:t>
      </w:r>
      <w:bookmarkEnd w:id="1360"/>
    </w:p>
    <w:p>
      <w:pPr>
        <w:pStyle w:val="Normal"/>
        <w:widowControl/>
        <w:rPr/>
      </w:pPr>
      <w:r>
        <w:rPr/>
        <w:t>1. A Party claiming to have cured a verified breach may request Cure Certification from a Cothrom Cure Panel differently constituted from the panel that made the original merits finding where practicable.</w:t>
      </w:r>
    </w:p>
    <w:p>
      <w:pPr>
        <w:pStyle w:val="Normal"/>
        <w:widowControl/>
        <w:rPr/>
      </w:pPr>
      <w:r>
        <w:rPr/>
        <w:t>2. The Cure Panel shall compare the operative finding, the precise obligation breached, the remedial steps taken, and the present facts. It shall certify: full cure; substantial but incomplete cure; temporary cure subject to specified verification; or non-cure.</w:t>
      </w:r>
    </w:p>
    <w:p>
      <w:pPr>
        <w:pStyle w:val="Normal"/>
        <w:widowControl/>
        <w:rPr/>
      </w:pPr>
      <w:r>
        <w:rPr/>
        <w:t>3. A certification of full cure is binding for purposes of demerits, escalation, tariff admissibility, and restoration unless materially new facts show that the certified condition ceased to exist or the certification was procured by fraud.</w:t>
      </w:r>
    </w:p>
    <w:p>
      <w:pPr>
        <w:pStyle w:val="Normal"/>
        <w:widowControl/>
        <w:rPr/>
      </w:pPr>
      <w:r>
        <w:rPr/>
        <w:t>4. A petitioning Party may not keep a cured violation alive through disagreement with the certified result. New conduct after certification must be pleaded and verified as a new or renewed breach.</w:t>
      </w:r>
    </w:p>
    <w:p>
      <w:pPr>
        <w:pStyle w:val="Normal"/>
        <w:widowControl/>
        <w:rPr/>
      </w:pPr>
      <w:r>
        <w:rPr/>
        <w:t>5. Cure review shall ordinarily conclude within 21 days. Where continued uncertainty itself causes material commercial harm, the Panel shall use expedited procedures.</w:t>
      </w:r>
    </w:p>
    <w:p>
      <w:bookmarkStart w:id="1361" w:name="_NAESTMA_TOC_1361"/>
      <w:pPr>
        <w:pStyle w:val="Heading2"/>
        <w:keepNext/>
        <w:widowControl/>
        <w:rPr/>
      </w:pPr>
      <w:r>
        <w:rPr/>
        <w:t>Article 35.47: Strict Exhaustion and Non-Tariff Incapacity Test</w:t>
      </w:r>
      <w:bookmarkEnd w:id="1361"/>
    </w:p>
    <w:p>
      <w:pPr>
        <w:pStyle w:val="Normal"/>
        <w:widowControl/>
        <w:rPr/>
      </w:pPr>
      <w:r>
        <w:rPr/>
        <w:t>1. The phrase 'demonstrably incapable of preventing serious continuing harm' in Article 35.38 is an exceptional bypass standard and shall be construed narrowly.</w:t>
      </w:r>
    </w:p>
    <w:p>
      <w:pPr>
        <w:pStyle w:val="Normal"/>
        <w:widowControl/>
        <w:rPr/>
      </w:pPr>
      <w:r>
        <w:rPr/>
        <w:t>2. A Party seeking to bypass an uncompleted non-tariff stage must establish by clear and convincing evidence that the stage cannot reasonably operate within the time needed to prevent material, non-speculative, and substantially irreversible harm.</w:t>
      </w:r>
    </w:p>
    <w:p>
      <w:pPr>
        <w:pStyle w:val="Normal"/>
        <w:widowControl/>
        <w:rPr/>
      </w:pPr>
      <w:r>
        <w:rPr/>
        <w:t>3. Increased cost, reduced profit, political inconvenience, market volatility, delay inherent in ordinary adjudication, or a modelled possibility of future investment loss does not by itself establish incapacity.</w:t>
      </w:r>
    </w:p>
    <w:p>
      <w:pPr>
        <w:pStyle w:val="Normal"/>
        <w:widowControl/>
        <w:rPr/>
      </w:pPr>
      <w:r>
        <w:rPr/>
        <w:t>4. The Party must identify the stage to be bypassed, the expected time to effect, the harm expected during that interval, why interim protection is inadequate, and why a narrower acceleration or provisional non-tariff measure would not materially address the risk.</w:t>
      </w:r>
    </w:p>
    <w:p>
      <w:pPr>
        <w:pStyle w:val="Normal"/>
        <w:widowControl/>
        <w:rPr/>
      </w:pPr>
      <w:r>
        <w:rPr/>
        <w:t>5. The Panel shall prefer acceleration, escrow, temporary administrative relief, preservation orders, provisional preference adjustments, or other reversible measures over bypass to a tariff.</w:t>
      </w:r>
    </w:p>
    <w:p>
      <w:bookmarkStart w:id="1362" w:name="_NAESTMA_TOC_1362"/>
      <w:pPr>
        <w:pStyle w:val="Heading2"/>
        <w:keepNext/>
        <w:widowControl/>
        <w:rPr/>
      </w:pPr>
      <w:r>
        <w:rPr/>
        <w:t>Article 35.48: Economic Harm, Causation, and Model Integrity Standard</w:t>
      </w:r>
      <w:bookmarkEnd w:id="1362"/>
    </w:p>
    <w:p>
      <w:pPr>
        <w:pStyle w:val="Normal"/>
        <w:widowControl/>
        <w:rPr/>
      </w:pPr>
      <w:r>
        <w:rPr/>
        <w:t>1. Economic injury supporting escalation shall be measured under transparent common methodology adopted by the Commission and applied symmetrically to all Parties.</w:t>
      </w:r>
    </w:p>
    <w:p>
      <w:pPr>
        <w:pStyle w:val="Normal"/>
        <w:widowControl/>
        <w:rPr/>
      </w:pPr>
      <w:r>
        <w:rPr/>
        <w:t>2. Harm estimates shall distinguish observed loss from forecast loss; direct from indirect effects; transfers from net welfare loss; temporary from persistent effects; and treaty-caused effects from macroeconomic, technological, commodity-price, exchange-rate, business-cycle, or third-country causes.</w:t>
      </w:r>
    </w:p>
    <w:p>
      <w:pPr>
        <w:pStyle w:val="Normal"/>
        <w:widowControl/>
        <w:rPr/>
      </w:pPr>
      <w:r>
        <w:rPr/>
        <w:t>3. No estimate may double count the same economic effect through multiple multipliers, supply-chain layers, employment channels, tax effects, or counterfactual assumptions.</w:t>
      </w:r>
    </w:p>
    <w:p>
      <w:pPr>
        <w:pStyle w:val="Normal"/>
        <w:widowControl/>
        <w:rPr/>
      </w:pPr>
      <w:r>
        <w:rPr/>
        <w:t>4. Material models shall disclose assumptions, data sources, ranges, sensitivity analysis, uncertainty, alternative reasonable specifications, and the extent to which results depend on disputed inputs, subject to lawful confidentiality.</w:t>
      </w:r>
    </w:p>
    <w:p>
      <w:pPr>
        <w:pStyle w:val="Normal"/>
        <w:widowControl/>
        <w:rPr/>
      </w:pPr>
      <w:r>
        <w:rPr/>
        <w:t>5. The Secretariat shall arrange independent replication or technical review of any model materially relied upon to justify Stage 7 or Stage 8 escalation. A model that cannot be independently reproduced within a reasonable range shall receive reduced evidentiary weight.</w:t>
      </w:r>
    </w:p>
    <w:p>
      <w:pPr>
        <w:pStyle w:val="Normal"/>
        <w:widowControl/>
        <w:rPr/>
      </w:pPr>
      <w:r>
        <w:rPr/>
        <w:t>6. Forecasts beyond the period reasonably necessary to evaluate the breach shall not be capitalized into present injury merely to enlarge the apparent harm.</w:t>
      </w:r>
    </w:p>
    <w:p>
      <w:bookmarkStart w:id="1363" w:name="_NAESTMA_TOC_1363"/>
      <w:pPr>
        <w:pStyle w:val="Heading2"/>
        <w:keepNext/>
        <w:widowControl/>
        <w:rPr/>
      </w:pPr>
      <w:r>
        <w:rPr/>
        <w:t>Article 35.49: Strategic-Nexus and Market-Definition Safeguards</w:t>
      </w:r>
      <w:bookmarkEnd w:id="1363"/>
    </w:p>
    <w:p>
      <w:pPr>
        <w:pStyle w:val="Normal"/>
        <w:widowControl/>
        <w:rPr/>
      </w:pPr>
      <w:r>
        <w:rPr/>
        <w:t>1. Mere use of a good, service, material, technology, or input in defense, critical infrastructure, emergency systems, strategic manufacturing, food, energy, communications, health, or another sensitive sector does not by itself establish an essential-security or strategic-capacity threat.</w:t>
      </w:r>
    </w:p>
    <w:p>
      <w:pPr>
        <w:pStyle w:val="Normal"/>
        <w:widowControl/>
        <w:rPr/>
      </w:pPr>
      <w:r>
        <w:rPr/>
        <w:t>2. A strategic claim requires evidence of a concrete vulnerability such as material capacity loss, credible supply interruption, hostile or coercive dependency, inability to substitute within a relevant period, physical or cyber vulnerability, reserve inadequacy, or another specifically demonstrated security consequence.</w:t>
      </w:r>
    </w:p>
    <w:p>
      <w:pPr>
        <w:pStyle w:val="Normal"/>
        <w:widowControl/>
        <w:rPr/>
      </w:pPr>
      <w:r>
        <w:rPr/>
        <w:t>3. The affected market shall be defined before severity percentages are calculated. Market definition shall use commercially and economically defensible product, geographic, functional, and temporal boundaries and shall disclose material alternative definitions.</w:t>
      </w:r>
    </w:p>
    <w:p>
      <w:pPr>
        <w:pStyle w:val="Normal"/>
        <w:widowControl/>
        <w:rPr/>
      </w:pPr>
      <w:r>
        <w:rPr/>
        <w:t>4. A Party may not select an artificially narrow denominator solely to magnify market share, injury, dependency, or strategic importance. Cothrom shall validate the market definition independently before it is used for Stage 7 or Stage 8.</w:t>
      </w:r>
    </w:p>
    <w:p>
      <w:pPr>
        <w:pStyle w:val="Normal"/>
        <w:widowControl/>
        <w:rPr/>
      </w:pPr>
      <w:r>
        <w:rPr/>
        <w:t>5. Where reasonable market definitions produce materially different severity results, the Panel shall report the range and shall not select the most punitive result without a reasoned evidentiary basis.</w:t>
      </w:r>
    </w:p>
    <w:p>
      <w:bookmarkStart w:id="1364" w:name="_NAESTMA_TOC_1364"/>
      <w:pPr>
        <w:pStyle w:val="Heading2"/>
        <w:keepNext/>
        <w:widowControl/>
        <w:rPr/>
      </w:pPr>
      <w:r>
        <w:rPr/>
        <w:t>Article 35.50: Aggregate Remedy Burden and Anti-Fragmentation Safeguard</w:t>
      </w:r>
      <w:bookmarkEnd w:id="1364"/>
    </w:p>
    <w:p>
      <w:pPr>
        <w:pStyle w:val="Normal"/>
        <w:widowControl/>
        <w:rPr/>
      </w:pPr>
      <w:r>
        <w:rPr/>
        <w:t>1. Module locality does not authorize a Party to create disproportionate aggregate pressure by multiplying simultaneous proceedings or corrective measures across modules.</w:t>
      </w:r>
    </w:p>
    <w:p>
      <w:pPr>
        <w:pStyle w:val="Normal"/>
        <w:widowControl/>
        <w:rPr/>
      </w:pPr>
      <w:r>
        <w:rPr/>
        <w:t>2. The Secretariat shall maintain an Aggregate Remedy Register showing active demerit consequences, preference step-backs, suspensions, provisional measures, compensation obligations, and tariff petitions affecting each Party.</w:t>
      </w:r>
    </w:p>
    <w:p>
      <w:pPr>
        <w:pStyle w:val="Normal"/>
        <w:widowControl/>
        <w:rPr/>
      </w:pPr>
      <w:r>
        <w:rPr/>
        <w:t>3. Before approving a new Stage 6, Stage 7, or Stage 8 measure, the decision-maker shall consider the cumulative economic burden of concurrent treaty remedies, overlap among affected firms and supply chains, and whether separate proceedings arise from substantially common facts or policy.</w:t>
      </w:r>
    </w:p>
    <w:p>
      <w:pPr>
        <w:pStyle w:val="Normal"/>
        <w:widowControl/>
        <w:rPr/>
      </w:pPr>
      <w:r>
        <w:rPr/>
        <w:t>4. Where cumulative measures create a serious risk of disproportionate economy-wide harm, the Commission shall convene an expedited Treaty-Wide Proportionality Review. The review may sequence, consolidate, narrow, suspend, or coordinate remedies while preserving effective enforcement of verified obligations.</w:t>
      </w:r>
    </w:p>
    <w:p>
      <w:pPr>
        <w:pStyle w:val="Normal"/>
        <w:widowControl/>
        <w:rPr/>
      </w:pPr>
      <w:r>
        <w:rPr/>
        <w:t>5. Separate genuine breaches remain separately enforceable. This Article prevents remedial fragmentation from becoming de facto cross-sector punishment; it does not create immunity through repeated violations.</w:t>
      </w:r>
    </w:p>
    <w:p>
      <w:bookmarkStart w:id="1365" w:name="_NAESTMA_TOC_1365"/>
      <w:pPr>
        <w:pStyle w:val="Heading2"/>
        <w:keepNext/>
        <w:widowControl/>
        <w:rPr/>
      </w:pPr>
      <w:r>
        <w:rPr/>
        <w:t>Article 35.51: Repetitive Petition, Safe-Harbour, and Process-Abuse Rules</w:t>
      </w:r>
      <w:bookmarkEnd w:id="1365"/>
    </w:p>
    <w:p>
      <w:pPr>
        <w:pStyle w:val="Normal"/>
        <w:widowControl/>
        <w:rPr/>
      </w:pPr>
      <w:r>
        <w:rPr/>
        <w:t>1. Denial of a tariff petition on the merits creates a 180-day safe harbour against a substantially identical tariff petition concerning the same measure, same underlying breach, and materially unchanged evidence.</w:t>
      </w:r>
    </w:p>
    <w:p>
      <w:pPr>
        <w:pStyle w:val="Normal"/>
        <w:widowControl/>
        <w:rPr/>
      </w:pPr>
      <w:r>
        <w:rPr/>
        <w:t>2. A new petition during the safe-harbour period is admissible only upon materially new facts, a new verified breach, material deterioration, or evidence unavailable despite reasonable diligence during the earlier proceeding.</w:t>
      </w:r>
    </w:p>
    <w:p>
      <w:pPr>
        <w:pStyle w:val="Normal"/>
        <w:widowControl/>
        <w:rPr/>
      </w:pPr>
      <w:r>
        <w:rPr/>
        <w:t>3. Three tariff petitions by the same Party within 24 months that are finally determined to be manifestly unfounded may trigger enhanced admissibility screening for subsequent tariff petitions for 12 months. Losing a close, novel, or good-faith case is not manifestly unfounded.</w:t>
      </w:r>
    </w:p>
    <w:p>
      <w:pPr>
        <w:pStyle w:val="Normal"/>
        <w:widowControl/>
        <w:rPr/>
      </w:pPr>
      <w:r>
        <w:rPr/>
        <w:t>4. Enhanced screening shall be conducted by a differently constituted Cothrom panel and shall determine only whether the petition presents a serious evidence-based claim. It shall not prejudge the merits.</w:t>
      </w:r>
    </w:p>
    <w:p>
      <w:pPr>
        <w:pStyle w:val="Normal"/>
        <w:widowControl/>
        <w:rPr/>
      </w:pPr>
      <w:r>
        <w:rPr/>
        <w:t>5. Filing, publicity, or procedural timing shall not be manipulated principally to create market uncertainty or economic pressure. Evidence of such purpose may support a treaty-integrity finding but shall require more than foreseeable market reaction to a legitimate filing.</w:t>
      </w:r>
    </w:p>
    <w:p>
      <w:bookmarkStart w:id="1366" w:name="_NAESTMA_TOC_1366"/>
      <w:pPr>
        <w:pStyle w:val="Heading2"/>
        <w:keepNext/>
        <w:widowControl/>
        <w:rPr/>
      </w:pPr>
      <w:r>
        <w:rPr/>
        <w:t>Article 35.52: Exceptional Remedy Learning and Self-Extinguishing Tariff Review</w:t>
      </w:r>
      <w:bookmarkEnd w:id="1366"/>
    </w:p>
    <w:p>
      <w:pPr>
        <w:pStyle w:val="Normal"/>
        <w:widowControl/>
        <w:rPr/>
      </w:pPr>
      <w:r>
        <w:rPr/>
        <w:t>1. Every tariff authorized under Articles 35.38 through 35.40 automatically triggers an Exceptional Remedy Review after termination and no later than 90 days after first collection.</w:t>
      </w:r>
    </w:p>
    <w:p>
      <w:pPr>
        <w:pStyle w:val="Normal"/>
        <w:widowControl/>
        <w:rPr/>
      </w:pPr>
      <w:r>
        <w:rPr/>
        <w:t>2. The review shall determine why Cothrom, cure, demerits, preference step-back, compensation, provisional relief, and other non-tariff mechanisms failed or were inadequate; whether the tariff materially improved compliance; what collateral costs occurred; and whether a new non-tariff remedy could address the same failure mode in the future.</w:t>
      </w:r>
    </w:p>
    <w:p>
      <w:pPr>
        <w:pStyle w:val="Normal"/>
        <w:widowControl/>
        <w:rPr/>
      </w:pPr>
      <w:r>
        <w:rPr/>
        <w:t>3. Where a recurring failure mode is identified, the Commission shall develop a proposed non-tariff substitute, procedural acceleration, or treaty amendment for consideration within 180 days.</w:t>
      </w:r>
    </w:p>
    <w:p>
      <w:pPr>
        <w:pStyle w:val="Normal"/>
        <w:widowControl/>
        <w:rPr/>
      </w:pPr>
      <w:r>
        <w:rPr/>
        <w:t>4. Successful use of a tariff does not create precedent that tariffs are preferred, normal, or presumptively effective in later cases. Each later petition begins with the burden in Article 35.38.</w:t>
      </w:r>
    </w:p>
    <w:p>
      <w:pPr>
        <w:pStyle w:val="Normal"/>
        <w:widowControl/>
        <w:rPr/>
      </w:pPr>
      <w:r>
        <w:rPr/>
        <w:t>5. Findings from every Exceptional Remedy Review shall feed directly into the three-year abolition study under Article 35.41.</w:t>
      </w:r>
    </w:p>
    <w:p>
      <w:bookmarkStart w:id="1367" w:name="_NAESTMA_TOC_1367"/>
      <w:pPr>
        <w:pStyle w:val="Heading2"/>
        <w:keepNext/>
        <w:widowControl/>
        <w:rPr/>
      </w:pPr>
      <w:r>
        <w:rPr/>
        <w:t>Article 35.53: Material Non-Public Trade Information and Market Integrity Firewall</w:t>
      </w:r>
      <w:bookmarkEnd w:id="1367"/>
    </w:p>
    <w:p>
      <w:pPr>
        <w:pStyle w:val="Normal"/>
        <w:widowControl/>
        <w:rPr/>
      </w:pPr>
      <w:r>
        <w:rPr/>
        <w:t>1. Material Non-Public Trade Information, or MNPTI, means non-public information obtained through this Agreement that a reasonable market participant would consider important in trading or valuing a financial instrument, commodity, currency, enterprise, or transaction.</w:t>
      </w:r>
    </w:p>
    <w:p>
      <w:pPr>
        <w:pStyle w:val="Normal"/>
        <w:widowControl/>
        <w:rPr/>
      </w:pPr>
      <w:r>
        <w:rPr/>
        <w:t>2. MNPTI includes, where material and non-public, tariff petitions before authorized publication; Cothrom findings; demerit assessments; cure certifications; guarantor identities before authorized disclosure; preliminary or intended guarantor votes; likely authorization or denial; proposed rates, product coverage, effective dates, renewals or termination; settlement positions; classified evidence; and market-moving implementation decisions.</w:t>
      </w:r>
    </w:p>
    <w:p>
      <w:pPr>
        <w:pStyle w:val="Normal"/>
        <w:widowControl/>
        <w:rPr/>
      </w:pPr>
      <w:r>
        <w:rPr/>
        <w:t>3. No covered person may trade, tip, recommend, facilitate, direct, hedge, alter beneficial ownership, or cause another person to transact on the basis of MNPTI.</w:t>
      </w:r>
    </w:p>
    <w:p>
      <w:pPr>
        <w:pStyle w:val="Normal"/>
        <w:widowControl/>
        <w:rPr/>
      </w:pPr>
      <w:r>
        <w:rPr/>
        <w:t>4. Covered instruments include securities, options, futures, swaps, commodities, currencies, exchange-traded products, short positions, synthetic exposures, prediction or event contracts, and other instruments whose value may reasonably be affected by the information.</w:t>
      </w:r>
    </w:p>
    <w:p>
      <w:pPr>
        <w:pStyle w:val="Normal"/>
        <w:widowControl/>
        <w:rPr/>
      </w:pPr>
      <w:r>
        <w:rPr/>
        <w:t>5. Covered persons include Party officials and employees, Secretariat and Cothrom personnel, guarantor representatives, Integrity Panel personnel, contractors, advisers, experts, special advocates, and any other person lawfully entrusted with MNPTI. Transactions through controlled entities, nominees, trusts, intermediaries, or associated persons are covered where direction, tipping, beneficial ownership, or coordinated conduct is established.</w:t>
      </w:r>
    </w:p>
    <w:p>
      <w:bookmarkStart w:id="1368" w:name="_NAESTMA_TOC_1368"/>
      <w:pPr>
        <w:pStyle w:val="Heading2"/>
        <w:keepNext/>
        <w:widowControl/>
        <w:rPr/>
      </w:pPr>
      <w:r>
        <w:rPr/>
        <w:t>Article 35.54: Trading Blackout, Preclearance, Beneficial Ownership, and Record Preservation</w:t>
      </w:r>
      <w:bookmarkEnd w:id="1368"/>
    </w:p>
    <w:p>
      <w:pPr>
        <w:pStyle w:val="Normal"/>
        <w:widowControl/>
        <w:rPr/>
      </w:pPr>
      <w:r>
        <w:rPr/>
        <w:t>1. Receipt of MNPTI automatically places the covered person under a blackout with respect to instruments reasonably affected by that information until the information is publicly released and a reasonable market-absorption period established by Annex 35-J has elapsed.</w:t>
      </w:r>
    </w:p>
    <w:p>
      <w:pPr>
        <w:pStyle w:val="Normal"/>
        <w:widowControl/>
        <w:rPr/>
      </w:pPr>
      <w:r>
        <w:rPr/>
        <w:t>2. Persons in designated high-sensitivity roles shall preclear covered financial transactions through an independent ethics function during active tariff, cure, guarantor, or exceptional-remedy proceedings.</w:t>
      </w:r>
    </w:p>
    <w:p>
      <w:pPr>
        <w:pStyle w:val="Normal"/>
        <w:widowControl/>
        <w:rPr/>
      </w:pPr>
      <w:r>
        <w:rPr/>
        <w:t>3. Annex 35-J may establish safe harbours for genuinely diversified blind trusts, broad-market index vehicles, automatic pre-existing investment plans, and transactions demonstrably unrelated to MNPTI, provided the covered person cannot direct timing or selection in response to the information.</w:t>
      </w:r>
    </w:p>
    <w:p>
      <w:pPr>
        <w:pStyle w:val="Normal"/>
        <w:widowControl/>
        <w:rPr/>
      </w:pPr>
      <w:r>
        <w:rPr/>
        <w:t>4. Where credible evidence warrants investigation, competent authorities may trace ultimate beneficial ownership and related transactions according to domestic law, due process, privacy safeguards, and applicable international cooperation arrangements.</w:t>
      </w:r>
    </w:p>
    <w:p>
      <w:pPr>
        <w:pStyle w:val="Normal"/>
        <w:widowControl/>
        <w:rPr/>
      </w:pPr>
      <w:r>
        <w:rPr/>
        <w:t>5. Covered institutions and persons shall preserve relevant decision logs, official communications, disclosure records, access logs, and other treaty-integrity records for the period specified in Annex 35-J. Knowing destruction, concealment, falsification, or circumvention of a preservation duty is a separate treaty-integrity violation.</w:t>
      </w:r>
    </w:p>
    <w:p>
      <w:bookmarkStart w:id="1369" w:name="_NAESTMA_TOC_1369"/>
      <w:pPr>
        <w:pStyle w:val="Heading2"/>
        <w:keepNext/>
        <w:widowControl/>
        <w:rPr/>
      </w:pPr>
      <w:r>
        <w:rPr/>
        <w:t>Article 35.55: Simultaneous Publication, Selective Disclosure, and Rumour Firewall</w:t>
      </w:r>
      <w:bookmarkEnd w:id="1369"/>
    </w:p>
    <w:p>
      <w:pPr>
        <w:pStyle w:val="Normal"/>
        <w:widowControl/>
        <w:rPr/>
      </w:pPr>
      <w:r>
        <w:rPr/>
        <w:t>1. A final market-sensitive determination under Articles 35.38 through 35.54 becomes legally operative only through the authenticated Treaty Registry. No speech, interview, social-media post, leak, press report, private notice, or political statement substitutes for Registry publication.</w:t>
      </w:r>
    </w:p>
    <w:p>
      <w:pPr>
        <w:pStyle w:val="Normal"/>
        <w:widowControl/>
        <w:rPr/>
      </w:pPr>
      <w:r>
        <w:rPr/>
        <w:t>2. Final determinations shall be released simultaneously to the Parties and the public through the Registry as soon as practicable and ordinarily within two hours after final certification, subject only to a narrowly documented security or technical necessity.</w:t>
      </w:r>
    </w:p>
    <w:p>
      <w:pPr>
        <w:pStyle w:val="Normal"/>
        <w:widowControl/>
        <w:rPr/>
      </w:pPr>
      <w:r>
        <w:rPr/>
        <w:t>3. No Party or covered person may deliberately provide MNPTI selectively to a company, investor, donor, political organization, campaign actor, journalist, market participant, relative, associate, or other person for the purpose of conferring an informational advantage, manipulating markets, or exerting economic pressure.</w:t>
      </w:r>
    </w:p>
    <w:p>
      <w:pPr>
        <w:pStyle w:val="Normal"/>
        <w:widowControl/>
        <w:rPr/>
      </w:pPr>
      <w:r>
        <w:rPr/>
        <w:t>4. Political officials remain free to state policy preferences, criticize another Party, advocate a lawful outcome, or discuss public information. A covered official shall not knowingly make a materially false statement about the formal legal or procedural status of a tariff authorization, guarantor vote, cure certification, or other Registry-controlled determination.</w:t>
      </w:r>
    </w:p>
    <w:p>
      <w:pPr>
        <w:pStyle w:val="Normal"/>
        <w:widowControl/>
        <w:rPr/>
      </w:pPr>
      <w:r>
        <w:rPr/>
        <w:t>5. Unauthorized selective disclosure is independently reviewable even where no profitable trade is proven.</w:t>
      </w:r>
    </w:p>
    <w:p>
      <w:bookmarkStart w:id="1370" w:name="_NAESTMA_TOC_1370"/>
      <w:pPr>
        <w:pStyle w:val="Heading2"/>
        <w:keepNext/>
        <w:widowControl/>
        <w:rPr/>
      </w:pPr>
      <w:r>
        <w:rPr/>
        <w:t>Article 35.56: Market Surveillance Cooperation and Independent Market Integrity Review</w:t>
      </w:r>
      <w:bookmarkEnd w:id="1370"/>
    </w:p>
    <w:p>
      <w:pPr>
        <w:pStyle w:val="Normal"/>
        <w:widowControl/>
        <w:rPr/>
      </w:pPr>
      <w:r>
        <w:rPr/>
        <w:t>1. The Secretariat shall establish lawful rapid-notification, preservation, and cooperation arrangements with the competent securities, commodities, competition, financial-intelligence, ethics, and market regulators designated by each Party.</w:t>
      </w:r>
    </w:p>
    <w:p>
      <w:pPr>
        <w:pStyle w:val="Normal"/>
        <w:widowControl/>
        <w:rPr/>
      </w:pPr>
      <w:r>
        <w:rPr/>
        <w:t>2. For materially market-sensitive events, the Secretariat may transmit confidential event-window notices to designated competent authorities so they may, under domestic law, assess abnormal trading volume, options activity, derivatives, short positions, commodity or currency exposure, beneficial-ownership changes, or other relevant indicators.</w:t>
      </w:r>
    </w:p>
    <w:p>
      <w:pPr>
        <w:pStyle w:val="Normal"/>
        <w:widowControl/>
        <w:rPr/>
      </w:pPr>
      <w:r>
        <w:rPr/>
        <w:t>3. Unusual trading does not by itself establish misconduct. Investigation shall follow the sequence of tripwire, independent preliminary assessment, evidence preservation, adversarial or protected testing, finding, and proportionate consequence.</w:t>
      </w:r>
    </w:p>
    <w:p>
      <w:pPr>
        <w:pStyle w:val="Normal"/>
        <w:widowControl/>
        <w:rPr/>
      </w:pPr>
      <w:r>
        <w:rPr/>
        <w:t>4. Treaty-level questions of whether a NAESTMA proceeding was materially compromised shall be decided by an independent three-member Market Integrity Panel randomly selected from persons and States not participating in the underlying tariff or integrity panel. Criminal, civil, securities-law, forfeiture, and professional liability remain governed by applicable domestic law.</w:t>
      </w:r>
    </w:p>
    <w:p>
      <w:pPr>
        <w:pStyle w:val="Normal"/>
        <w:widowControl/>
        <w:rPr/>
      </w:pPr>
      <w:r>
        <w:rPr/>
        <w:t>5. Upon a preliminary finding of credible evidence of serious market-integrity interference, the Market Integrity Panel may stay implementation for up to 14 days while conducting expedited review. An allegation alone does not stay a proceeding.</w:t>
      </w:r>
    </w:p>
    <w:p>
      <w:bookmarkStart w:id="1371" w:name="_NAESTMA_TOC_1371"/>
      <w:pPr>
        <w:pStyle w:val="Heading2"/>
        <w:keepNext/>
        <w:widowControl/>
        <w:rPr/>
      </w:pPr>
      <w:r>
        <w:rPr/>
        <w:t>Article 35.57: Market Manipulation Consequences, Disgorgement Cooperation, and Anti-False-Flag Rule</w:t>
      </w:r>
      <w:bookmarkEnd w:id="1371"/>
    </w:p>
    <w:p>
      <w:pPr>
        <w:pStyle w:val="Normal"/>
        <w:widowControl/>
        <w:rPr/>
      </w:pPr>
      <w:r>
        <w:rPr/>
        <w:t>1. If the Market Integrity Panel finds by clear and convincing evidence that the tariff-petitioning Party's senior officials, authorized agents, or persons acting at its direction deliberately used MNPTI, selective disclosure, materially false procedural statements, or coordinated market conduct to manipulate markets or improperly profit from the tariff proceeding, the tariff petition shall be dismissed and Article 35.42.6 shall apply mutatis mutandis.</w:t>
      </w:r>
    </w:p>
    <w:p>
      <w:pPr>
        <w:pStyle w:val="Normal"/>
        <w:widowControl/>
        <w:rPr/>
      </w:pPr>
      <w:r>
        <w:rPr/>
        <w:t>2. If an authorization is already operative, a material petitioning-party market-integrity violation suspends the authorization immediately and terminates it upon final confirmation, without prejudice to lawful non-tariff remedies.</w:t>
      </w:r>
    </w:p>
    <w:p>
      <w:pPr>
        <w:pStyle w:val="Normal"/>
        <w:widowControl/>
        <w:rPr/>
      </w:pPr>
      <w:r>
        <w:rPr/>
        <w:t>3. A private actor, respondent Party, or third person cannot manufacture dismissal by independently trading, leaking, or manipulating markets without the petitioning Party's direction, authorization, knowing participation, or knowing adoption. Independent misconduct is referred to competent authorities and remedied without rewarding the wrongdoer.</w:t>
      </w:r>
    </w:p>
    <w:p>
      <w:pPr>
        <w:pStyle w:val="Normal"/>
        <w:widowControl/>
        <w:rPr/>
      </w:pPr>
      <w:r>
        <w:rPr/>
        <w:t>4. The Parties shall cooperate, consistent with domestic law, in lawful disgorgement, restitution, forfeiture, recovery of unlawful proceeds, beneficial-ownership tracing, and enforcement of market-integrity judgments. Nothing in this Agreement creates a new criminal offense or predetermines criminal guilt.</w:t>
      </w:r>
    </w:p>
    <w:p>
      <w:pPr>
        <w:pStyle w:val="Normal"/>
        <w:widowControl/>
        <w:rPr/>
      </w:pPr>
      <w:r>
        <w:rPr/>
        <w:t>5. No treaty benefit, confidentiality rule, or procedural privilege shall be interpreted to preserve profit judicially or administratively determined under applicable law to derive from a treaty-integrity violation.</w:t>
      </w:r>
    </w:p>
    <w:p>
      <w:bookmarkStart w:id="1372" w:name="_NAESTMA_TOC_1372"/>
      <w:pPr>
        <w:pStyle w:val="Heading2"/>
        <w:keepNext/>
        <w:widowControl/>
        <w:rPr/>
      </w:pPr>
      <w:r>
        <w:rPr/>
        <w:t>Article 35.58: Market-Impact Evidence for the Three-Year Tariff Abolition Study</w:t>
      </w:r>
      <w:bookmarkEnd w:id="1372"/>
    </w:p>
    <w:p>
      <w:pPr>
        <w:pStyle w:val="Normal"/>
        <w:widowControl/>
        <w:rPr/>
      </w:pPr>
      <w:r>
        <w:rPr/>
        <w:t>1. The study required by Article 35.41 shall measure not only tariffs actually imposed but also the market and investment effects of tariff petitions, pending authorizations, denials, renewals, public statements, and procedural uncertainty.</w:t>
      </w:r>
    </w:p>
    <w:p>
      <w:pPr>
        <w:pStyle w:val="Normal"/>
        <w:widowControl/>
        <w:rPr/>
      </w:pPr>
      <w:r>
        <w:rPr/>
        <w:t>2. The study shall evaluate abnormal volatility where methodologically supportable, investment delay, financing cost, hedging expense, supply-chain precaution, liquidity effects, and evidence of speculative activity around material treaty events, while distinguishing correlation from proven causation.</w:t>
      </w:r>
    </w:p>
    <w:p>
      <w:pPr>
        <w:pStyle w:val="Normal"/>
        <w:widowControl/>
        <w:rPr/>
      </w:pPr>
      <w:r>
        <w:rPr/>
        <w:t>3. If the retained possibility of tariffs produces recurring material economic costs even where tariffs are rarely authorized, the study shall treat those costs as relevant evidence in determining whether tariff authority should be further restricted or abolished.</w:t>
      </w:r>
    </w:p>
    <w:p>
      <w:bookmarkStart w:id="1373" w:name="_NAESTMA_TOC_1373"/>
      <w:pPr>
        <w:pStyle w:val="Heading2"/>
        <w:keepNext/>
        <w:widowControl/>
        <w:rPr/>
      </w:pPr>
      <w:r>
        <w:rPr/>
        <w:t>ANNEX 35-J: MARKET INTEGRITY OPERATING RULES</w:t>
      </w:r>
      <w:bookmarkEnd w:id="1373"/>
    </w:p>
    <w:p>
      <w:pPr>
        <w:pStyle w:val="Normal"/>
        <w:widowControl/>
        <w:rPr/>
      </w:pPr>
      <w:r>
        <w:rPr/>
        <w:t>Part 1: High-Sensitivity Roles and Access Control</w:t>
      </w:r>
    </w:p>
    <w:p>
      <w:pPr>
        <w:pStyle w:val="Normal"/>
        <w:widowControl/>
        <w:rPr/>
      </w:pPr>
      <w:r>
        <w:rPr/>
        <w:t>1. The Secretariat shall maintain role-based access to MNPTI, auditable access logs, minimum-necessary distribution, secure transmission, and prompt revocation when access is no longer required.</w:t>
      </w:r>
    </w:p>
    <w:p>
      <w:pPr>
        <w:pStyle w:val="Normal"/>
        <w:widowControl/>
        <w:rPr/>
      </w:pPr>
      <w:r>
        <w:rPr/>
        <w:t>2. High-sensitivity roles include persons with access to unreleased tariff authorization, guarantor voting, cure certification, market-sensitive Cothrom findings, classified evidence, or publication timing.</w:t>
      </w:r>
    </w:p>
    <w:p>
      <w:pPr>
        <w:pStyle w:val="Normal"/>
        <w:widowControl/>
        <w:rPr/>
      </w:pPr>
      <w:r>
        <w:rPr/>
        <w:t>Part 2: Blackout and Safe-Harbour Administration</w:t>
      </w:r>
    </w:p>
    <w:p>
      <w:pPr>
        <w:pStyle w:val="Normal"/>
        <w:widowControl/>
        <w:rPr/>
      </w:pPr>
      <w:r>
        <w:rPr/>
        <w:t>1. The Commission shall establish a reasonable post-publication market-absorption period and instrument-screening guidance. The blackout shall be no broader than reasonably necessary to protect market integrity.</w:t>
      </w:r>
    </w:p>
    <w:p>
      <w:pPr>
        <w:pStyle w:val="Normal"/>
        <w:widowControl/>
        <w:rPr/>
      </w:pPr>
      <w:r>
        <w:rPr/>
        <w:t>2. Pre-existing automatic plans qualify for safe harbour only where established before receipt of MNPTI and not altered, suspended, accelerated, or selectively cancelled on the basis of MNPTI.</w:t>
      </w:r>
    </w:p>
    <w:p>
      <w:pPr>
        <w:pStyle w:val="Normal"/>
        <w:widowControl/>
        <w:rPr/>
      </w:pPr>
      <w:r>
        <w:rPr/>
        <w:t>Part 3: Event Integrity</w:t>
      </w:r>
    </w:p>
    <w:p>
      <w:pPr>
        <w:pStyle w:val="Normal"/>
        <w:widowControl/>
        <w:rPr/>
      </w:pPr>
      <w:r>
        <w:rPr/>
        <w:t>1. The Treaty Registry shall timestamp final certification and public release. The Secretariat shall retain access and publication logs sufficient to reconstruct the event sequence.</w:t>
      </w:r>
    </w:p>
    <w:p>
      <w:pPr>
        <w:pStyle w:val="Normal"/>
        <w:widowControl/>
        <w:rPr/>
      </w:pPr>
      <w:r>
        <w:rPr/>
        <w:t>2. No disputing Party may control the precise release time after final certification except through a documented request granted for a legitimate security, market-stability, or technical reason applicable without discrimination.</w:t>
      </w:r>
    </w:p>
    <w:p>
      <w:pPr>
        <w:pStyle w:val="Normal"/>
        <w:widowControl/>
        <w:rPr/>
      </w:pPr>
      <w:r>
        <w:rPr/>
        <w:t>3. The Secretariat shall maintain a confidential list of persons with material pre-publication access for each major event, available to competent authorities upon lawful request.</w:t>
      </w:r>
    </w:p>
    <w:p>
      <w:bookmarkStart w:id="1374" w:name="_NAESTMA_TOC_1374"/>
      <w:pPr>
        <w:pStyle w:val="Heading2"/>
        <w:keepNext/>
        <w:widowControl/>
        <w:rPr/>
      </w:pPr>
      <w:r>
        <w:rPr/>
        <w:t>Article 35.59: Treaty-Wide Issue-Nexus and Non-Trade Coercion Firewall</w:t>
      </w:r>
      <w:bookmarkEnd w:id="1374"/>
    </w:p>
    <w:p>
      <w:pPr>
        <w:pStyle w:val="Normal"/>
        <w:widowControl/>
        <w:rPr/>
      </w:pPr>
      <w:r>
        <w:rPr/>
        <w:t>1. No Party may suspend, condition, threaten to withdraw, or materially impair a treaty benefit as a corrective response to conduct that is not governed by an obligation of this Agreement, except where another express provision lawfully makes that conduct relevant.</w:t>
      </w:r>
    </w:p>
    <w:p>
      <w:pPr>
        <w:pStyle w:val="Normal"/>
        <w:widowControl/>
        <w:rPr/>
      </w:pPr>
      <w:r>
        <w:rPr/>
        <w:t>2. Migration, narcotics, defense spending, diplomatic disagreement, political speech, advertising, electoral conduct, unrelated foreign policy, or another non-trade grievance does not by itself authorize a trade remedy or withdrawal of an existing treaty benefit.</w:t>
      </w:r>
    </w:p>
    <w:p>
      <w:pPr>
        <w:pStyle w:val="Normal"/>
        <w:widowControl/>
        <w:rPr/>
      </w:pPr>
      <w:r>
        <w:rPr/>
        <w:t>3. This Article does not restrict diplomacy, sanctions lawfully permitted by this Agreement, genuine essential-security measures satisfying Chapter 32, or a Party's sovereign right to withdraw under Chapter 34. It prevents unrelated grievances from being laundered into treaty enforcement.</w:t>
      </w:r>
    </w:p>
    <w:p>
      <w:pPr>
        <w:pStyle w:val="Normal"/>
        <w:widowControl/>
        <w:rPr/>
      </w:pPr>
      <w:r>
        <w:rPr/>
        <w:t>4. Where a measure has multiple stated purposes, the reviewing body shall identify whether the treaty-restrictive component has the required legal and factual nexus to an obligation or exception under this Agreement.</w:t>
      </w:r>
    </w:p>
    <w:p>
      <w:bookmarkStart w:id="1375" w:name="_NAESTMA_TOC_1375"/>
      <w:pPr>
        <w:pStyle w:val="Heading2"/>
        <w:keepNext/>
        <w:widowControl/>
        <w:rPr/>
      </w:pPr>
      <w:r>
        <w:rPr/>
        <w:t>ANNEX 35-G: DEMERIT POINT AND PREFERENCE STEP-BACK MATRIX</w:t>
      </w:r>
      <w:bookmarkEnd w:id="1375"/>
    </w:p>
    <w:p>
      <w:pPr>
        <w:pStyle w:val="Normal"/>
        <w:widowControl/>
        <w:rPr/>
      </w:pPr>
      <w:r>
        <w:rPr/>
        <w:t>Part 1: Baseline Point Values</w:t>
      </w:r>
    </w:p>
    <w:p>
      <w:pPr>
        <w:pStyle w:val="Normal"/>
        <w:widowControl/>
        <w:rPr/>
      </w:pPr>
      <w:r>
        <w:rPr/>
        <w:t>1. Tier 1 technical irregularity ordinarily carries 0 or 1 point. A de minimis event that is promptly corrected carries 0 points.</w:t>
      </w:r>
    </w:p>
    <w:p>
      <w:pPr>
        <w:pStyle w:val="Normal"/>
        <w:widowControl/>
        <w:rPr/>
      </w:pPr>
      <w:r>
        <w:rPr/>
        <w:t>2. Tier 2 material noncompliance ordinarily carries 2 to 4 points according to verified severity, duration, economic effect, obstruction, and remediation conduct.</w:t>
      </w:r>
    </w:p>
    <w:p>
      <w:pPr>
        <w:pStyle w:val="Normal"/>
        <w:widowControl/>
        <w:rPr/>
      </w:pPr>
      <w:r>
        <w:rPr/>
        <w:t>3. Tier 3 deliberate, systemic, fraudulent, or persistent noncompliance ordinarily carries 5 to 8 points. An individual event may not exceed 8 points absent an express treaty provision adopted by amendment.</w:t>
      </w:r>
    </w:p>
    <w:p>
      <w:pPr>
        <w:pStyle w:val="Normal"/>
        <w:widowControl/>
        <w:rPr/>
      </w:pPr>
      <w:r>
        <w:rPr/>
        <w:t>4. Points shall be calibrated conservatively where evidence is uncertain. The same facts shall not be counted both in the point value and again as a separate aggravating event.</w:t>
      </w:r>
    </w:p>
    <w:p>
      <w:pPr>
        <w:pStyle w:val="Normal"/>
        <w:widowControl/>
        <w:rPr/>
      </w:pPr>
      <w:r>
        <w:rPr/>
        <w:t>Part 2: Active-Point Consequences</w:t>
      </w:r>
    </w:p>
    <w:p>
      <w:pPr>
        <w:pStyle w:val="Normal"/>
        <w:widowControl/>
        <w:rPr/>
      </w:pPr>
      <w:r>
        <w:rPr/>
        <w:t>1. 0-2 points: cure and ordinary monitoring; no preference reduction.</w:t>
      </w:r>
    </w:p>
    <w:p>
      <w:pPr>
        <w:pStyle w:val="Normal"/>
        <w:widowControl/>
        <w:rPr/>
      </w:pPr>
      <w:r>
        <w:rPr/>
        <w:t>2. 3-4 points: formal notice and enhanced verification; no automatic economic reduction.</w:t>
      </w:r>
    </w:p>
    <w:p>
      <w:pPr>
        <w:pStyle w:val="Normal"/>
        <w:widowControl/>
        <w:rPr/>
      </w:pPr>
      <w:r>
        <w:rPr/>
        <w:t>3. 5-6 points: 5 percent step-back of the affected enhanced preference.</w:t>
      </w:r>
    </w:p>
    <w:p>
      <w:pPr>
        <w:pStyle w:val="Normal"/>
        <w:widowControl/>
        <w:rPr/>
      </w:pPr>
      <w:r>
        <w:rPr/>
        <w:t>4. 7-8 points: 10 percent step-back.</w:t>
      </w:r>
    </w:p>
    <w:p>
      <w:pPr>
        <w:pStyle w:val="Normal"/>
        <w:widowControl/>
        <w:rPr/>
      </w:pPr>
      <w:r>
        <w:rPr/>
        <w:t>5. 9-10 points: 15 percent step-back.</w:t>
      </w:r>
    </w:p>
    <w:p>
      <w:pPr>
        <w:pStyle w:val="Normal"/>
        <w:widowControl/>
        <w:rPr/>
      </w:pPr>
      <w:r>
        <w:rPr/>
        <w:t>6. 11 or more points: 20 percent step-back and Stage 7 review.</w:t>
      </w:r>
    </w:p>
    <w:p>
      <w:pPr>
        <w:pStyle w:val="Normal"/>
        <w:widowControl/>
        <w:rPr/>
      </w:pPr>
      <w:r>
        <w:rPr/>
        <w:t>7. The percentages in this Part reduce only the measurable enhanced preference identified by the Panel. They shall not be applied to the customs value of goods and shall not be collected at the border.</w:t>
      </w:r>
    </w:p>
    <w:p>
      <w:pPr>
        <w:pStyle w:val="Normal"/>
        <w:widowControl/>
        <w:rPr/>
      </w:pPr>
      <w:r>
        <w:rPr/>
        <w:t>Part 3: Expiration, Cure, and Review</w:t>
      </w:r>
    </w:p>
    <w:p>
      <w:pPr>
        <w:pStyle w:val="Normal"/>
        <w:widowControl/>
        <w:rPr/>
      </w:pPr>
      <w:r>
        <w:rPr/>
        <w:t>1. Active points expire after 180 days of verified compliance unless a shorter period applies. Points voided on review are treated as never assessed.</w:t>
      </w:r>
    </w:p>
    <w:p>
      <w:pPr>
        <w:pStyle w:val="Normal"/>
        <w:widowControl/>
        <w:rPr/>
      </w:pPr>
      <w:r>
        <w:rPr/>
        <w:t>2. The Secretariat shall maintain a public demerit ledger identifying the module, point total, date of assessment, expiry date, status of challenge, and affected enhanced preference, while protecting confidential information.</w:t>
      </w:r>
    </w:p>
    <w:p>
      <w:pPr>
        <w:pStyle w:val="Normal"/>
        <w:widowControl/>
        <w:rPr/>
      </w:pPr>
      <w:r>
        <w:rPr/>
        <w:t>3. The Commission may refine technical point categories by consensus under Article 34.3.A, but may not increase the maximum percentage step-backs or convert a demerit into a tariff without formal amendment.</w:t>
      </w:r>
    </w:p>
    <w:p>
      <w:bookmarkStart w:id="1376" w:name="_NAESTMA_TOC_1376"/>
      <w:pPr>
        <w:pStyle w:val="Heading2"/>
        <w:keepNext/>
        <w:widowControl/>
        <w:rPr/>
      </w:pPr>
      <w:r>
        <w:rPr/>
        <w:t>ANNEX 35-H: ROTATING NEUTRAL GUARANTOR POOL</w:t>
      </w:r>
      <w:bookmarkEnd w:id="1376"/>
    </w:p>
    <w:p>
      <w:pPr>
        <w:pStyle w:val="Normal"/>
        <w:widowControl/>
        <w:rPr/>
      </w:pPr>
      <w:r>
        <w:rPr/>
        <w:t>Part 1: Establishment and Consent</w:t>
      </w:r>
    </w:p>
    <w:p>
      <w:pPr>
        <w:pStyle w:val="Normal"/>
        <w:widowControl/>
        <w:rPr/>
      </w:pPr>
      <w:r>
        <w:rPr/>
        <w:t>1. The Parties shall maintain a pool of 25 neutral or procedurally impartial Guarantor States eligible to serve under Article 35.39. Service is voluntary. A State enters the operative pool only after written consent and unanimous confirmation by Canada, Mexico, and the United States.</w:t>
      </w:r>
    </w:p>
    <w:p>
      <w:pPr>
        <w:pStyle w:val="Normal"/>
        <w:widowControl/>
        <w:rPr/>
      </w:pPr>
      <w:r>
        <w:rPr/>
        <w:t>2. Initial candidate States for solicitation are: Switzerland; Oman; Singapore; New Zealand; Ireland; Austria; Costa Rica; Uruguay; Portugal; Botswana; Ghana; Mauritius; Senegal; Barbados; Jamaica; Panama; Dominican Republic; Malaysia; Indonesia; Chile; Finland; Iceland; Jordan; Qatar; and the United Arab Emirates.</w:t>
      </w:r>
    </w:p>
    <w:p>
      <w:pPr>
        <w:pStyle w:val="Normal"/>
        <w:widowControl/>
        <w:rPr/>
      </w:pPr>
      <w:r>
        <w:rPr/>
        <w:t>3. The Parties may replace a candidate or consenting Guarantor State by unanimous agreement where consent is withheld, neutrality is materially impaired, diplomatic relations materially change, or continued service becomes impracticable. Replacement should preserve geographic and institutional diversity.</w:t>
      </w:r>
    </w:p>
    <w:p>
      <w:pPr>
        <w:pStyle w:val="Normal"/>
        <w:widowControl/>
        <w:rPr/>
      </w:pPr>
      <w:r>
        <w:rPr/>
        <w:t>Part 2: Institutional Independence</w:t>
      </w:r>
    </w:p>
    <w:p>
      <w:pPr>
        <w:pStyle w:val="Normal"/>
        <w:widowControl/>
        <w:rPr/>
      </w:pPr>
      <w:r>
        <w:rPr/>
        <w:t>1. Guarantor authority attaches to the State and its duly designated independent representative, not to a named incumbent head of government. A change of government does not by itself remove a State from the pool.</w:t>
      </w:r>
    </w:p>
    <w:p>
      <w:pPr>
        <w:pStyle w:val="Normal"/>
        <w:widowControl/>
        <w:rPr/>
      </w:pPr>
      <w:r>
        <w:rPr/>
        <w:t>2. Each Guarantor State shall designate a primary and alternate representative with substantial experience in trade, economics, adjudication, customs, diplomacy, or public law and shall disclose conflicts before each draw.</w:t>
      </w:r>
    </w:p>
    <w:p>
      <w:pPr>
        <w:pStyle w:val="Normal"/>
        <w:widowControl/>
        <w:rPr/>
      </w:pPr>
      <w:r>
        <w:rPr/>
        <w:t>3. Guarantor service does not create authority over the domestic law, military policy, foreign policy, or sovereign political choices of a Party beyond the narrow tariff-authorization question submitted under this Chapter.</w:t>
      </w:r>
    </w:p>
    <w:p>
      <w:bookmarkStart w:id="1377" w:name="_NAESTMA_TOC_1377"/>
      <w:pPr>
        <w:pStyle w:val="Heading2"/>
        <w:keepNext/>
        <w:widowControl/>
        <w:rPr/>
      </w:pPr>
      <w:bookmarkStart w:id="168" w:name="_Toc237912649"/>
      <w:r>
        <w:rPr/>
        <w:t>ANNEX 35-F: COTHROM BALANCED VERIFICATION OPERATING PROTOCOL</w:t>
      </w:r>
      <w:bookmarkEnd w:id="168"/>
      <w:bookmarkEnd w:id="1377"/>
    </w:p>
    <w:p>
      <w:pPr>
        <w:pStyle w:val="Heading3"/>
        <w:keepNext/>
        <w:widowControl/>
        <w:rPr/>
      </w:pPr>
      <w:r>
        <w:rPr/>
        <w:t>Part 1: Operating Principles</w:t>
      </w:r>
    </w:p>
    <w:p>
      <w:pPr>
        <w:pStyle w:val="Normal"/>
        <w:widowControl/>
        <w:rPr/>
      </w:pPr>
      <w:r>
        <w:rPr/>
        <w:t>1. Proportionality governs verification and remedy. Technical noise is filtered before legal escalation.</w:t>
      </w:r>
    </w:p>
    <w:p>
      <w:pPr>
        <w:pStyle w:val="Normal"/>
        <w:widowControl/>
        <w:rPr/>
      </w:pPr>
      <w:r>
        <w:rPr/>
        <w:t>2. Human judgment sits above automation. Automated systems may flag and route; humans determine breach and disruptive remedy.</w:t>
      </w:r>
    </w:p>
    <w:p>
      <w:pPr>
        <w:pStyle w:val="Normal"/>
        <w:widowControl/>
        <w:rPr/>
      </w:pPr>
      <w:r>
        <w:rPr/>
        <w:t>3. Earn-back is defined at the time a remedy is imposed and remains available without an admission of guilt.</w:t>
      </w:r>
    </w:p>
    <w:p>
      <w:pPr>
        <w:pStyle w:val="Normal"/>
        <w:widowControl/>
        <w:rPr/>
      </w:pPr>
      <w:r>
        <w:rPr/>
        <w:t>4. Modules fire independently. Cross-module spillover is exceptional and requires the findings in Article 35.15.</w:t>
      </w:r>
    </w:p>
    <w:p>
      <w:pPr>
        <w:pStyle w:val="Normal"/>
        <w:widowControl/>
        <w:rPr/>
      </w:pPr>
      <w:r>
        <w:rPr/>
        <w:t>5. Cooling-off precedes escalation. Attribution requires evidence.</w:t>
      </w:r>
    </w:p>
    <w:p>
      <w:pPr>
        <w:pStyle w:val="Normal"/>
        <w:widowControl/>
        <w:rPr/>
      </w:pPr>
      <w:r>
        <w:rPr/>
        <w:t>6. Verification is reciprocal: equivalent data access, equivalent burdens, equivalent clocks, equivalent consequences for bad faith.</w:t>
      </w:r>
    </w:p>
    <w:p>
      <w:pPr>
        <w:pStyle w:val="Heading3"/>
        <w:keepNext/>
        <w:widowControl/>
        <w:rPr/>
      </w:pPr>
      <w:r>
        <w:rPr/>
        <w:t>Part 2: Anomaly Routing</w:t>
      </w:r>
    </w:p>
    <w:p>
      <w:pPr>
        <w:pStyle w:val="Normal"/>
        <w:widowControl/>
        <w:rPr/>
      </w:pPr>
      <w:r>
        <w:rPr/>
        <w:t>1. Informational anomaly: log only; no notice or penalty required.</w:t>
      </w:r>
    </w:p>
    <w:p>
      <w:pPr>
        <w:pStyle w:val="Normal"/>
        <w:widowControl/>
        <w:rPr/>
      </w:pPr>
      <w:r>
        <w:rPr/>
        <w:t>2. Technical-review anomaly: technical review within seven days; no remedy.</w:t>
      </w:r>
    </w:p>
    <w:p>
      <w:pPr>
        <w:pStyle w:val="Normal"/>
        <w:widowControl/>
        <w:rPr/>
      </w:pPr>
      <w:r>
        <w:rPr/>
        <w:t>3. Compliance-review anomaly: targeted verification, cure opportunity, and elevated monitoring; no Stage 2 consequence until unresolved or materially corroborated.</w:t>
      </w:r>
    </w:p>
    <w:p>
      <w:pPr>
        <w:pStyle w:val="Normal"/>
        <w:widowControl/>
        <w:rPr/>
      </w:pPr>
      <w:r>
        <w:rPr/>
        <w:t>4. Breach indicator: expedited human review; possible Step-Back only after attribution and confirmation.</w:t>
      </w:r>
    </w:p>
    <w:p>
      <w:pPr>
        <w:pStyle w:val="Heading3"/>
        <w:keepNext/>
        <w:widowControl/>
        <w:rPr/>
      </w:pPr>
      <w:r>
        <w:rPr/>
        <w:t>Part 3: Data Integrity and Symmetry</w:t>
      </w:r>
    </w:p>
    <w:p>
      <w:pPr>
        <w:pStyle w:val="Normal"/>
        <w:widowControl/>
        <w:rPr/>
      </w:pPr>
      <w:r>
        <w:rPr/>
        <w:t>1. Shared-system data is time-stamped, audit-trailed, and available on materially equivalent terms to all Parties.</w:t>
      </w:r>
    </w:p>
    <w:p>
      <w:pPr>
        <w:pStyle w:val="Normal"/>
        <w:widowControl/>
        <w:rPr/>
      </w:pPr>
      <w:r>
        <w:rPr/>
        <w:t>2. A Party may request an independent forensic audit of a material data segment. The requester bears ordinary audit cost unless material manipulation is found, in which case the responsible actor bears reasonable audit cost.</w:t>
      </w:r>
    </w:p>
    <w:p>
      <w:pPr>
        <w:pStyle w:val="Normal"/>
        <w:widowControl/>
        <w:rPr/>
      </w:pPr>
      <w:r>
        <w:rPr/>
        <w:t>3. Technical failure and deliberate manipulation are treated differently. The former activates continuity; the latter may support obstruction or breach findings.</w:t>
      </w:r>
    </w:p>
    <w:p>
      <w:pPr>
        <w:pStyle w:val="Heading3"/>
        <w:keepNext/>
        <w:widowControl/>
        <w:rPr/>
      </w:pPr>
      <w:r>
        <w:rPr/>
        <w:t>Part 4: Review Closure</w:t>
      </w:r>
    </w:p>
    <w:p>
      <w:pPr>
        <w:pStyle w:val="Normal"/>
        <w:widowControl/>
        <w:rPr/>
      </w:pPr>
      <w:r>
        <w:rPr/>
        <w:t>1. Claims and objections identify exact disputed elements. Repetitive transactions may be bundled.</w:t>
      </w:r>
    </w:p>
    <w:p>
      <w:pPr>
        <w:pStyle w:val="Normal"/>
        <w:widowControl/>
        <w:rPr/>
      </w:pPr>
      <w:r>
        <w:rPr/>
        <w:t>2. Panels may issue partial findings and allocate costs proportionately.</w:t>
      </w:r>
    </w:p>
    <w:p>
      <w:pPr>
        <w:pStyle w:val="Normal"/>
        <w:widowControl/>
        <w:rPr/>
      </w:pPr>
      <w:r>
        <w:rPr/>
        <w:t>3. One final counter-evidence round is available for a technically inconclusive issue. After that round the record closes absent materially new evidence.</w:t>
      </w:r>
    </w:p>
    <w:p>
      <w:pPr>
        <w:pStyle w:val="Heading3"/>
        <w:keepNext/>
        <w:widowControl/>
        <w:rPr/>
      </w:pPr>
      <w:r>
        <w:rPr/>
        <w:t>Part 5: Restoration Matrix</w:t>
      </w:r>
    </w:p>
    <w:p>
      <w:pPr>
        <w:pStyle w:val="Normal"/>
        <w:widowControl/>
        <w:rPr/>
      </w:pPr>
      <w:r>
        <w:rPr/>
        <w:t>1. Technical or de minimis event: no benefit reduction; technical assistance and correction.</w:t>
      </w:r>
    </w:p>
    <w:p>
      <w:pPr>
        <w:pStyle w:val="Normal"/>
        <w:widowControl/>
        <w:rPr/>
      </w:pPr>
      <w:r>
        <w:rPr/>
        <w:t>2. Material disruption: proportionate affected-module consequence, remediation window, and automatic restoration after the clean-compliance period specified under Article 35.18.</w:t>
      </w:r>
    </w:p>
    <w:p>
      <w:pPr>
        <w:pStyle w:val="Normal"/>
        <w:widowControl/>
        <w:rPr/>
      </w:pPr>
      <w:r>
        <w:rPr/>
        <w:t>3. Deliberate hostile trade-system manipulation, systematic fraud, or deliberate destruction of verification systems: heightened affected-module consequence, intensive monitoring, and a longer but finite earn-back period.</w:t>
      </w:r>
    </w:p>
    <w:p>
      <w:pPr>
        <w:pStyle w:val="Normal"/>
        <w:widowControl/>
        <w:rPr/>
      </w:pPr>
      <w:r>
        <w:rPr/>
        <w:t>4. Humanitarian, safety, emergency communications, and already vested unrelated rights are not used as collateral leverage.</w:t>
      </w:r>
    </w:p>
    <w:p>
      <w:bookmarkStart w:id="1378" w:name="_NAESTMA_TOC_1378"/>
      <w:pPr>
        <w:pStyle w:val="Heading2"/>
        <w:keepNext/>
        <w:widowControl/>
        <w:rPr/>
      </w:pPr>
      <w:bookmarkStart w:id="169" w:name="_Toc237912650"/>
      <w:r>
        <w:rPr/>
        <w:t>ANNEX 35-D: LEGACY MEASURE WIND-DOWN SCHEDULE</w:t>
      </w:r>
      <w:bookmarkEnd w:id="169"/>
      <w:bookmarkEnd w:id="1378"/>
    </w:p>
    <w:p>
      <w:pPr>
        <w:pStyle w:val="Normal"/>
        <w:widowControl/>
        <w:rPr/>
      </w:pPr>
      <w:r>
        <w:rPr/>
        <w:t>1. Each covered border measure applied by a Party on the originating goods of another Party and in force on the date of signature of the Protocol of Modernization terminates as follows:</w:t>
      </w:r>
    </w:p>
    <w:p>
      <w:pPr>
        <w:pStyle w:val="Normal"/>
        <w:widowControl/>
        <w:rPr/>
      </w:pPr>
      <w:r>
        <w:rPr/>
        <w:t>(a) measures imposed under emergency economic powers authority: upon entry into force of the Protocol of Modernization;</w:t>
      </w:r>
    </w:p>
    <w:p>
      <w:pPr>
        <w:pStyle w:val="Normal"/>
        <w:widowControl/>
        <w:rPr/>
      </w:pPr>
      <w:r>
        <w:rPr/>
        <w:t>(b) sectoral measures imposed under national security authority, including measures on steel, aluminum, automobiles and parts, trucks, copper, timber and lumber, and pharmaceutical products: upon entry into force of the Protocol of Modernization, subject to paragraph 2;</w:t>
      </w:r>
    </w:p>
    <w:p>
      <w:pPr>
        <w:pStyle w:val="Normal"/>
        <w:widowControl/>
        <w:rPr/>
      </w:pPr>
      <w:r>
        <w:rPr/>
        <w:t>(c) measures imposed in respect of alleged discriminatory or unreasonable practices of another Party: upon entry into force of the Protocol of Modernization;</w:t>
      </w:r>
    </w:p>
    <w:p>
      <w:pPr>
        <w:pStyle w:val="Normal"/>
        <w:widowControl/>
        <w:rPr/>
      </w:pPr>
      <w:r>
        <w:rPr/>
        <w:t>(d) retaliatory and countermeasure tariffs applied between the Parties: upon entry into force of the Protocol of Modernization; and</w:t>
      </w:r>
    </w:p>
    <w:p>
      <w:pPr>
        <w:pStyle w:val="Normal"/>
        <w:widowControl/>
        <w:rPr/>
      </w:pPr>
      <w:r>
        <w:rPr/>
        <w:t>(e) withdrawals or suspensions of duty-free treatment of low-value shipments of originating goods: reversed upon entry into force, with treatment restored in accordance with Article 7.A (Low-Value Shipments).</w:t>
      </w:r>
    </w:p>
    <w:p>
      <w:pPr>
        <w:pStyle w:val="Normal"/>
        <w:widowControl/>
        <w:rPr/>
      </w:pPr>
      <w:r>
        <w:rPr/>
        <w:t>2. A Party that considers that a measure described in paragraph 1(b) addresses a continuing genuine security concern may, within 90 days after signature, refer the measure to the special lane in Article 35.22. The measure may remain in force pending the resulting verification, for not more than 180 days, and thereafter only in conformity with the verification outcome and Article 32.2 as replaced. Any such continuing measure: (a) applies, if at all, only to verified non-originating content or to goods presenting a particularized security concern; (b) does not apply to goods holding Trusted North American Origin status; and (c) is subject to the periodic review and termination provisions of Article 35.22.6, including the treatment of successive substantially identical measures as a single continuing measure.</w:t>
      </w:r>
    </w:p>
    <w:p>
      <w:pPr>
        <w:pStyle w:val="Normal"/>
        <w:widowControl/>
        <w:rPr/>
      </w:pPr>
      <w:r>
        <w:rPr/>
        <w:t>3. Retaliation terminated under paragraph 1(d) shall not be reimposed in respect of conduct predating entry into force of the Protocol of Modernization.</w:t>
      </w:r>
    </w:p>
    <w:p>
      <w:pPr>
        <w:pStyle w:val="Normal"/>
        <w:widowControl/>
        <w:rPr/>
      </w:pPr>
      <w:r>
        <w:rPr/>
        <w:t>4. The wind-down in this Annex is without prejudice to the rights of the Parties under Chapter 10 as amended.</w:t>
      </w:r>
    </w:p>
    <w:p>
      <w:pPr>
        <w:pStyle w:val="Normal"/>
        <w:widowControl/>
        <w:rPr/>
      </w:pPr>
      <w:r>
        <w:rPr/>
        <w:t>5. Successor Trade-Remedy Discipline. During the wind-down period and for 12 months after termination of a legacy measure, a Party shall not initiate an antidumping or countervailing-duty investigation concerning substantially the same goods where the proposed investigation relies substantially on the same conduct, evidence, period of injury, or economic effects used to justify the legacy measure. This paragraph does not bar an investigation supported by materially new evidence of dumping, subsidization, or injury arising after, or materially distinct from, the basis of the legacy measure. A dispute under this paragraph is eligible for expedited review under Article 31.A.</w:t>
      </w:r>
    </w:p>
    <w:p>
      <w:bookmarkStart w:id="1379" w:name="_NAESTMA_TOC_1379"/>
      <w:pPr>
        <w:pStyle w:val="Heading2"/>
        <w:keepNext/>
        <w:widowControl/>
        <w:rPr/>
      </w:pPr>
      <w:r>
        <w:rPr/>
        <w:t>ANNEX 35-D.1: PRINCIPAL-LEVEL TARIFF LANDING OPTIONS</w:t>
      </w:r>
      <w:bookmarkEnd w:id="1379"/>
    </w:p>
    <w:p>
      <w:pPr>
        <w:pStyle w:val="Normal"/>
        <w:widowControl/>
        <w:rPr/>
      </w:pPr>
      <w:r>
        <w:rPr/>
        <w:t>1. Purpose. This Annex provides immediately usable landing options for extraordinary tariffs while preserving the stronger default rule in Annex 35-D that covered legacy measures terminate upon entry into force. An option applies only if expressly selected in the instrument of adoption; silence does not displace Annex 35-D.</w:t>
      </w:r>
    </w:p>
    <w:p>
      <w:pPr>
        <w:pStyle w:val="Normal"/>
        <w:widowControl/>
        <w:rPr/>
      </w:pPr>
      <w:r>
        <w:rPr/>
        <w:t>2. Option A — Immediate Normalization. Covered extraordinary duties on originating automobiles and parts, steel, aluminum, timber and lumber, and other goods designated by the Parties terminate upon entry into force. Ordinary CUSMA treatment resumes immediately, subject to Chapters 10, 32, 35, and product-specific schedules.</w:t>
      </w:r>
    </w:p>
    <w:p>
      <w:pPr>
        <w:pStyle w:val="Normal"/>
        <w:widowControl/>
        <w:rPr/>
      </w:pPr>
      <w:r>
        <w:rPr/>
        <w:t>3. Option B — Short Staged Landing. Where immediate termination is not legally or operationally feasible, the affected Parties may adopt a schedule under which: (a) the extraordinary rate is reduced materially on Day 1; (b) a second reduction occurs no later than Day 30 after verified implementation of agreed origin, anti-circumvention, customs, or economic-security steps; and (c) ordinary CUSMA treatment is restored no later than Day 90 unless a particularized measure is independently sustained under Article 35.22.</w:t>
      </w:r>
    </w:p>
    <w:p>
      <w:pPr>
        <w:pStyle w:val="Normal"/>
        <w:widowControl/>
        <w:rPr/>
      </w:pPr>
      <w:r>
        <w:rPr/>
        <w:t>4. Option C — Temporary Origin-Based Corridor. For a sector requiring additional verification, the affected Parties may replace a broad extraordinary duty with a temporary tariff-rate, quota, exclusion, or origin-based corridor limited to verified originating goods and calibrated to the identified risk. The corridor shall include a published baseline, utilization rules, anti-diversion controls, a review date no later than 90 days, and automatic normalization when the verified risk is cured.</w:t>
      </w:r>
    </w:p>
    <w:p>
      <w:pPr>
        <w:pStyle w:val="Normal"/>
        <w:widowControl/>
        <w:rPr/>
      </w:pPr>
      <w:r>
        <w:rPr/>
        <w:t>5. Autos and Parts. Any landing schedule for originating automobiles or parts shall preserve full credit for Canadian, Mexican, and United States originating value under Chapter 4 and Article 59.22. No landing option may condition relief on a unilateral Party-specific content quota unless all Parties expressly amend the applicable origin rules.</w:t>
      </w:r>
    </w:p>
    <w:p>
      <w:pPr>
        <w:pStyle w:val="Normal"/>
        <w:widowControl/>
        <w:rPr/>
      </w:pPr>
      <w:r>
        <w:rPr/>
        <w:t>6. Steel and Aluminum. Any landing schedule for originating steel and aluminum shall apply Articles 49.5 and 49.9, including provenance, melt-and-pour or smelt-and-cast verification where applicable, and shall prefer targeted anti-circumvention measures to broad intra-CUSMA tariffs.</w:t>
      </w:r>
    </w:p>
    <w:p>
      <w:pPr>
        <w:pStyle w:val="Normal"/>
        <w:widowControl/>
        <w:rPr/>
      </w:pPr>
      <w:r>
        <w:rPr/>
        <w:t>7. Fifty-Percent or Other Exceptional Rates. Where an extraordinary rate in force at signature is 50 percent or greater, the Parties shall treat prompt de-escalation as a priority. Unless immediate termination occurs under Option A, the first-stage reduction under Option B shall be sufficient to remove the measure from the 50-percent-or-greater band, with further normalization governed by the adopted schedule.</w:t>
      </w:r>
    </w:p>
    <w:p>
      <w:pPr>
        <w:pStyle w:val="Normal"/>
        <w:widowControl/>
        <w:rPr/>
      </w:pPr>
      <w:r>
        <w:rPr/>
        <w:t>8. No Price of Time. Use of Option B or C solely to complete legal, customs, or verification work shall not entitle a Party to demand an unrelated concession as the price of the additional implementation time.</w:t>
      </w:r>
    </w:p>
    <w:p>
      <w:bookmarkStart w:id="1380" w:name="_NAESTMA_TOC_1380"/>
      <w:pPr>
        <w:pStyle w:val="Heading2"/>
        <w:keepNext/>
        <w:widowControl/>
        <w:rPr/>
      </w:pPr>
      <w:bookmarkStart w:id="170" w:name="_Toc237912651"/>
      <w:r>
        <w:rPr/>
        <w:t>ANNEX 35-E: MARKET-ACCESS CREDITS (OPTIONAL INSTRUMENT)</w:t>
      </w:r>
      <w:bookmarkEnd w:id="170"/>
      <w:bookmarkEnd w:id="1380"/>
    </w:p>
    <w:p>
      <w:pPr>
        <w:pStyle w:val="Normal"/>
        <w:widowControl/>
        <w:rPr/>
      </w:pPr>
      <w:r>
        <w:rPr/>
        <w:t>1. A market-access credit is a recorded entitlement of a Party to defined additional market access within a specified module, created only where the Parties concerned so agree under Article 35.20.2, and registered in the Registry. Credits are an optional instrument; no Party is required to offer, accept, or use them, and compensation under Article 35.20 does not depend on them.</w:t>
      </w:r>
    </w:p>
    <w:p>
      <w:pPr>
        <w:pStyle w:val="Normal"/>
        <w:widowControl/>
        <w:rPr/>
      </w:pPr>
      <w:r>
        <w:rPr/>
        <w:t>2. Credits are denominated in the verified trade effect of the underlying distortion, valued in accordance with Annex 35-A.</w:t>
      </w:r>
    </w:p>
    <w:p>
      <w:pPr>
        <w:pStyle w:val="Normal"/>
        <w:widowControl/>
        <w:rPr/>
      </w:pPr>
      <w:r>
        <w:rPr/>
        <w:t>3. Credits: (a) may be allocated by the holding Party within the module by agreement with the issuing Party; (b) are transferable between Parties only with the consent of the Commission; (c) expire five years after issuance; (d) are recorded by each Party in accordance with its domestic budgetary and legal requirements, and redemption is subject to the issuing Party’s legal capacity to provide the agreed access — where specific promised access cannot lawfully be provided, the Parties shall substitute equivalent access or monetary settlement of equivalent value; and (e) shall not be redeemable in any form inconsistent with the Parties’ WTO obligations.</w:t>
      </w:r>
    </w:p>
    <w:p>
      <w:pPr>
        <w:pStyle w:val="Normal"/>
        <w:widowControl/>
        <w:rPr/>
      </w:pPr>
      <w:r>
        <w:rPr/>
        <w:t>4. Redemption of credits takes the form of additional quota allocation, accelerated regulatory recognition, procurement access, or equivalent access, and shall not take the form of a covered border measure against any Party or non-Party.</w:t>
      </w:r>
    </w:p>
    <w:p>
      <w:pPr>
        <w:pStyle w:val="Normal"/>
        <w:widowControl/>
        <w:rPr/>
      </w:pPr>
      <w:r>
        <w:rPr/>
        <w:t>5. The Secretariat's Treaty Integrity function shall publish an annual statement of credits issued, transferred, redeemed, and outstanding.</w:t>
      </w:r>
    </w:p>
    <w:p>
      <w:bookmarkStart w:id="1381" w:name="_NAESTMA_TOC_1381"/>
      <w:pPr>
        <w:pStyle w:val="Heading2"/>
        <w:keepNext/>
        <w:widowControl/>
        <w:rPr/>
      </w:pPr>
      <w:r>
        <w:rPr/>
        <w:t>Article 35.3A: Binding Effect of Tariff Suspensions</w:t>
      </w:r>
      <w:bookmarkEnd w:id="1381"/>
    </w:p>
    <w:p>
      <w:pPr>
        <w:pStyle w:val="Normal"/>
        <w:widowControl/>
        <w:rPr/>
      </w:pPr>
      <w:r>
        <w:rPr/>
        <w:t>1. Where a Party has placed a covered border measure into a legally effective suspension under this Agreement, a binding interim instrument, or an instrument expressly incorporated by reference, the suspension shall not be revoked solely on an unverified assertion that another Party failed to implement a non-binding political commitment.</w:t>
      </w:r>
    </w:p>
    <w:p>
      <w:pPr>
        <w:pStyle w:val="Normal"/>
        <w:widowControl/>
        <w:rPr/>
      </w:pPr>
      <w:r>
        <w:rPr/>
        <w:t>2. Revocation, non-renewal, or material narrowing of such a suspension that restores a covered border measure is itself reviewable under this Chapter and, where urgency warrants, shall receive expedited verification under Article 35.10.</w:t>
      </w:r>
    </w:p>
    <w:p>
      <w:pPr>
        <w:pStyle w:val="Normal"/>
        <w:widowControl/>
        <w:rPr/>
      </w:pPr>
      <w:r>
        <w:rPr/>
        <w:t>3. Nothing in this Article converts a non-binding political commitment into a legal obligation.</w:t>
      </w:r>
    </w:p>
    <w:p>
      <w:bookmarkStart w:id="1382" w:name="_NAESTMA_TOC_1382"/>
      <w:pPr>
        <w:pStyle w:val="Heading2"/>
        <w:keepNext/>
        <w:widowControl/>
        <w:rPr/>
      </w:pPr>
      <w:r>
        <w:rPr/>
        <w:t>Article 35.3B: Negotiation-Pause Continuity Protocol</w:t>
      </w:r>
      <w:bookmarkEnd w:id="1382"/>
    </w:p>
    <w:p>
      <w:pPr>
        <w:pStyle w:val="Normal"/>
        <w:widowControl/>
        <w:rPr/>
      </w:pPr>
      <w:r>
        <w:rPr/>
        <w:t>1. A binding tariff suspension adopted to facilitate negotiations may specify automatic continuation in 30-day increments. Where that option is used, the suspension continues unless the suspending Party provides at least 10 days' written notice of expiration or replacement.</w:t>
      </w:r>
    </w:p>
    <w:p>
      <w:pPr>
        <w:pStyle w:val="Normal"/>
        <w:widowControl/>
        <w:rPr/>
      </w:pPr>
      <w:r>
        <w:rPr/>
        <w:t>2. The notice shall identify the legal basis and intended treatment after expiration. Any restored covered border measure remains subject to this Chapter.</w:t>
      </w:r>
    </w:p>
    <w:p>
      <w:pPr>
        <w:pStyle w:val="Normal"/>
        <w:widowControl/>
        <w:rPr/>
      </w:pPr>
      <w:r>
        <w:rPr/>
        <w:t>3. This Article applies only where the Parties have placed the pause on a binding legal footing; it does not purport to bind conduct occurring before provisional application or entry into force of the relevant instrument.</w:t>
      </w:r>
    </w:p>
    <w:p>
      <w:bookmarkStart w:id="1383" w:name="_NAESTMA_TOC_1383"/>
      <w:pPr>
        <w:pStyle w:val="Heading2"/>
        <w:keepNext/>
        <w:widowControl/>
        <w:rPr/>
      </w:pPr>
      <w:r>
        <w:rPr/>
        <w:t>Article 35.3C: Interim Legal-Text Finalization Protection</w:t>
      </w:r>
      <w:bookmarkEnd w:id="1383"/>
    </w:p>
    <w:p>
      <w:pPr>
        <w:pStyle w:val="Normal"/>
        <w:widowControl/>
        <w:rPr/>
      </w:pPr>
      <w:r>
        <w:rPr/>
        <w:t>1. Where the Parties provisionally apply specified tariff treatment or execute a binding interim instrument after announcing a political agreement but before completion of final legal text, no Party shall restore a covered border measure solely because another Party allegedly failed to implement a political commitment not incorporated into the binding interim instrument.</w:t>
      </w:r>
    </w:p>
    <w:p>
      <w:pPr>
        <w:pStyle w:val="Normal"/>
        <w:widowControl/>
        <w:rPr/>
      </w:pPr>
      <w:r>
        <w:rPr/>
        <w:t>2. A measure restored during this period shall be subject to expedited verification and shall be terminated or modified if the Panel finds that the asserted obligation lacks a binding legal basis or that the response is inconsistent with proportionality and the narrowest-sufficient-remedy rule.</w:t>
      </w:r>
    </w:p>
    <w:p>
      <w:bookmarkStart w:id="1384" w:name="_NAESTMA_TOC_1384"/>
      <w:pPr>
        <w:pStyle w:val="Heading2"/>
        <w:keepNext/>
        <w:widowControl/>
        <w:rPr/>
      </w:pPr>
      <w:r>
        <w:rPr/>
        <w:t>Article 35.11A: Screening Indicator Safe Harbor</w:t>
      </w:r>
      <w:bookmarkEnd w:id="1384"/>
    </w:p>
    <w:p>
      <w:pPr>
        <w:pStyle w:val="Normal"/>
        <w:widowControl/>
        <w:rPr/>
      </w:pPr>
      <w:r>
        <w:rPr/>
        <w:t>For greater certainty, any objective screening indicator maintained under Article 35.11 creates only a rebuttable basis to commence or prioritize verification. No indicator, threshold, or combination of indicators creates a presumption of violation, injury, entitlement to a remedy, or bad faith. The Verification Panel must make an affirmative finding on the full record under Article 35.10 and Annex 35-A before a remedy may be imposed, except for narrowly authorized provisional revenue-protection measures expressly provided by this Agreement.</w:t>
      </w:r>
    </w:p>
    <w:p>
      <w:bookmarkStart w:id="1385" w:name="_NAESTMA_TOC_1385"/>
      <w:pPr>
        <w:pStyle w:val="Heading2"/>
        <w:keepNext/>
        <w:widowControl/>
        <w:rPr/>
      </w:pPr>
      <w:r>
        <w:rPr/>
        <w:t>Article 35.29A: Review Is Modernization, Not Renewal</w:t>
      </w:r>
      <w:bookmarkEnd w:id="1385"/>
    </w:p>
    <w:p>
      <w:pPr>
        <w:pStyle w:val="Normal"/>
        <w:widowControl/>
        <w:rPr/>
      </w:pPr>
      <w:r>
        <w:rPr/>
        <w:t>1. A scheduled review under this Agreement is a modernization and performance-review event, not a renewal, reauthorization, or reconsideration of the Agreement's continued legal force. Rights and obligations do not lapse, fade, suspend, or become contingent merely because a review date arrives or a review remains incomplete.</w:t>
      </w:r>
    </w:p>
    <w:p>
      <w:pPr>
        <w:pStyle w:val="Normal"/>
        <w:widowControl/>
        <w:rPr/>
      </w:pPr>
      <w:r>
        <w:rPr/>
        <w:t>2. Any withdrawal from the Agreement remains governed by the applicable final provisions. Any suspension, restriction, or adjustment of benefits short of lawful withdrawal must comply with the provisions governing that action, including Chapter 35 where applicable.</w:t>
      </w:r>
    </w:p>
    <w:p>
      <w:bookmarkStart w:id="1386" w:name="_NAESTMA_TOC_1386"/>
      <w:pPr>
        <w:pStyle w:val="Heading2"/>
        <w:keepNext/>
        <w:widowControl/>
        <w:rPr/>
      </w:pPr>
      <w:r>
        <w:rPr/>
        <w:t>Article 35.30A: Good Faith and Non-Weaponization of Covered Border Measures</w:t>
      </w:r>
      <w:bookmarkEnd w:id="1386"/>
    </w:p>
    <w:p>
      <w:pPr>
        <w:pStyle w:val="Normal"/>
        <w:widowControl/>
        <w:rPr/>
      </w:pPr>
      <w:r>
        <w:rPr/>
        <w:t>1. The Parties shall not use the imposition, restoration, or suspension of covered border measures as leverage to obtain unrelated concessions outside the procedures and subject matter permitted by this Agreement.</w:t>
      </w:r>
    </w:p>
    <w:p>
      <w:pPr>
        <w:pStyle w:val="Normal"/>
        <w:widowControl/>
        <w:rPr/>
      </w:pPr>
      <w:r>
        <w:rPr/>
        <w:t>2. A formal governmental announcement that specifies a concrete future covered border measure, a defined effective date or triggering condition, and produces demonstrable material commercial effects may be raised in consultations before the measure takes effect. Political rhetoric or generalized negotiating statements alone do not constitute a covered border measure.</w:t>
      </w:r>
    </w:p>
    <w:p>
      <w:pPr>
        <w:pStyle w:val="Normal"/>
        <w:widowControl/>
        <w:rPr/>
      </w:pPr>
      <w:r>
        <w:rPr/>
        <w:t>3. Where a Party announces a concrete covered border measure without initiating a treaty procedure required for that action, another Party may request immediate consultations under Chapter 31 and expedited review where the announced measure is imminent.</w:t>
      </w:r>
    </w:p>
    <w:p>
      <w:bookmarkStart w:id="1387" w:name="_NAESTMA_TOC_1387"/>
      <w:pPr>
        <w:pStyle w:val="Heading2"/>
        <w:keepNext/>
        <w:widowControl/>
        <w:rPr/>
      </w:pPr>
      <w:r>
        <w:rPr/>
        <w:t>Article 35.30B: North American Trilateral Anti-Fragmentation Protocol</w:t>
      </w:r>
      <w:bookmarkEnd w:id="1387"/>
    </w:p>
    <w:p>
      <w:pPr>
        <w:pStyle w:val="Normal"/>
        <w:widowControl/>
        <w:rPr/>
      </w:pPr>
      <w:r>
        <w:rPr/>
        <w:t>1. Purpose and freedom to cooperate. The Parties remain free to conclude bilateral, sub-federal, sectoral, plurilateral, or other cooperative arrangements, including arrangements that deepen integration between fewer than all three Parties. No such arrangement requires the consent of a non-participating Party merely because that Party does not participate.</w:t>
      </w:r>
    </w:p>
    <w:p>
      <w:pPr>
        <w:pStyle w:val="Normal"/>
        <w:widowControl/>
        <w:rPr/>
      </w:pPr>
      <w:r>
        <w:rPr/>
        <w:t>2. Non-impairment rule. A bilateral or limited-participation arrangement relating to a matter covered by this Agreement shall not, directly or indirectly: (a) diminish an existing right, preference, entitlement, quota opportunity, recognition, safe harbor, or procedural protection of the non-participating Party; (b) divert or reserve capacity, quota, preferential access, strategic supply, infrastructure access, or administrative priority previously available on a trilateral basis in a manner that materially disadvantages the non-participating Party; (c) create Party-specific content, sourcing, verification, or eligibility conditions that circumvent the North American origin and non-discrimination disciplines of this Agreement; (d) impair the operation of a trilateral continuity, emergency, critical-minerals, energy, customs, labour, digital, agricultural, automotive, or other shared mechanism; or (e) be used as leverage to induce the non-participating Party to surrender an unrelated right under this Agreement.</w:t>
      </w:r>
    </w:p>
    <w:p>
      <w:pPr>
        <w:pStyle w:val="Normal"/>
        <w:widowControl/>
        <w:rPr/>
      </w:pPr>
      <w:r>
        <w:rPr/>
        <w:t>3. Trilateral Impairment Test. Before a material bilateral or limited-participation arrangement covered by paragraph 2 takes effect, the participating Parties shall assess whether the arrangement is reasonably expected to cause material impairment under paragraph 2. The assessment shall consider legal rights, commercially meaningful market access, quota and capacity effects, supply-chain diversion, administrative treatment, rules-of-origin effects, and reasonably foreseeable effects on integrated North American production.</w:t>
      </w:r>
    </w:p>
    <w:p>
      <w:pPr>
        <w:pStyle w:val="Normal"/>
        <w:widowControl/>
        <w:rPr/>
      </w:pPr>
      <w:r>
        <w:rPr/>
        <w:t>4. Notice. Where the Trilateral Impairment Test identifies a plausible material effect on the non-participating Party, the participating Parties shall provide timely notice through the North American Trade Measures Registry, including a concise description of the arrangement, the sectors affected, the expected duration, and the basis for concluding that the arrangement is consistent with this Article. Confidential business information shall be protected.</w:t>
      </w:r>
    </w:p>
    <w:p>
      <w:pPr>
        <w:pStyle w:val="Normal"/>
        <w:widowControl/>
        <w:rPr/>
      </w:pPr>
      <w:r>
        <w:rPr/>
        <w:t>5. No third-Party veto. Notice or consultation under this Article does not give the non-participating Party a veto over a bilateral or limited-participation arrangement. The sole question is whether the arrangement materially impairs rights or interests protected by paragraph 2.</w:t>
      </w:r>
    </w:p>
    <w:p>
      <w:pPr>
        <w:pStyle w:val="Normal"/>
        <w:widowControl/>
        <w:rPr/>
      </w:pPr>
      <w:r>
        <w:rPr/>
        <w:t>6. Consultation and cure. If the non-participating Party identifies a plausible material impairment, the Parties shall consult promptly. Where impairment is established, the participating Parties shall cure it through the narrowest sufficient means, which may include: (a) extending equivalent treatment to the third Party where appropriate; (b) preserving or restoring the third Party's pre-existing access, quota, capacity, or procedural treatment; (c) modifying the arrangement to remove the discriminatory or diversionary effect; (d) providing an equivalent accommodation agreed with the affected Party; or (e) converting the relevant element into a trilateral pilot or arrangement.</w:t>
      </w:r>
    </w:p>
    <w:p>
      <w:pPr>
        <w:pStyle w:val="Normal"/>
        <w:widowControl/>
        <w:rPr/>
      </w:pPr>
      <w:r>
        <w:rPr/>
        <w:t>7. Anti-peel-off safeguard. No Party shall condition a bilateral exemption from an extraordinary tariff, covered border measure, export restriction, quota restriction, or other exceptional trade measure on that Party's agreement to support, tolerate, or participate in materially less favorable treatment of the third Party. An arrangement inconsistent with this paragraph is subject to expedited review under this Chapter.</w:t>
      </w:r>
    </w:p>
    <w:p>
      <w:pPr>
        <w:pStyle w:val="Normal"/>
        <w:widowControl/>
        <w:rPr/>
      </w:pPr>
      <w:r>
        <w:rPr/>
        <w:t>8. Integrated supply commitments. Where a bilateral arrangement concerns a strategic material, critical mineral, energy product, agricultural input, automotive input, digital or physical infrastructure capacity, or other supply commitment designated as North American under this Agreement, the arrangement shall preserve applicable domestic-needs floors, continuity obligations, emergency-allocation rules, anti-hoarding disciplines, and non-preferential-starvation protections.</w:t>
      </w:r>
    </w:p>
    <w:p>
      <w:pPr>
        <w:pStyle w:val="Normal"/>
        <w:widowControl/>
        <w:rPr/>
      </w:pPr>
      <w:r>
        <w:rPr/>
        <w:t>9. Emergency and temporary arrangements. A Party may adopt a temporary bilateral arrangement without prior consultation where necessary to address an emergency within the meaning of Article 35.21. The participating Parties shall notify the third Party as soon as practicable, explain the emergency basis, and review the arrangement for consistency with this Article once the immediate emergency has passed.</w:t>
      </w:r>
    </w:p>
    <w:p>
      <w:pPr>
        <w:pStyle w:val="Normal"/>
        <w:widowControl/>
        <w:rPr/>
      </w:pPr>
      <w:r>
        <w:rPr/>
        <w:t>10. Cothrom review. A dispute under this Article shall proceed through the Cothrom verification and proportionality architecture of this Chapter. Review shall focus on actual or reasonably foreseeable material impairment, not the mere existence of bilateral cooperation. Any remedy shall be confined to curing the verified impairment and shall not authorize unrelated cross-module retaliation.</w:t>
      </w:r>
    </w:p>
    <w:p>
      <w:pPr>
        <w:pStyle w:val="Normal"/>
        <w:widowControl/>
        <w:rPr/>
      </w:pPr>
      <w:r>
        <w:rPr/>
        <w:t>11. Presumption for additive cooperation. A bilateral or limited-participation arrangement is presumed consistent with this Article where it creates new capacity, new investment, new infrastructure, new market access, or new regulatory cooperation without reducing or burdening the pre-existing rights or commercially meaningful opportunities of the non-participating Party.</w:t>
      </w:r>
    </w:p>
    <w:p>
      <w:pPr>
        <w:pStyle w:val="Normal"/>
        <w:widowControl/>
        <w:rPr/>
      </w:pPr>
      <w:r>
        <w:rPr/>
        <w:t>12. Relationship to more specific rules. Where another provision of this Agreement establishes a more specific anti-fragmentation, non-discrimination, quota-allocation, origin, continuity, or trilateral-consultation rule, that provision and this Article shall be interpreted cumulatively to provide the more effective protection against circumvention while preserving legitimate bilateral cooperation.</w:t>
      </w:r>
    </w:p>
    <w:p>
      <w:bookmarkStart w:id="1388" w:name="_NAESTMA_TOC_1388"/>
      <w:pPr>
        <w:pStyle w:val="Heading2"/>
        <w:keepNext/>
        <w:widowControl/>
        <w:rPr/>
      </w:pPr>
      <w:r>
        <w:rPr/>
        <w:t>Article 35.33: Permanent Continental Zero-Tariff Presumption</w:t>
      </w:r>
      <w:bookmarkEnd w:id="1388"/>
    </w:p>
    <w:p>
      <w:pPr>
        <w:pStyle w:val="Normal"/>
        <w:widowControl/>
        <w:rPr/>
      </w:pPr>
      <w:r>
        <w:rPr/>
        <w:t>1. Originating goods of a Party receive the preferential zero-duty treatment scheduled under this Agreement unless an expressly enumerated provision authorizes a temporary corrective measure after satisfaction of the applicable verification and procedural requirements.</w:t>
      </w:r>
    </w:p>
    <w:p>
      <w:pPr>
        <w:pStyle w:val="Normal"/>
        <w:widowControl/>
        <w:rPr/>
      </w:pPr>
      <w:r>
        <w:rPr/>
        <w:t>2. Ordinary customs duties, emergency tariffs, reciprocal tariffs, sectoral tariffs, trade-balancing tariffs, punitive surcharges, and functionally equivalent border charges do not apply to originating goods solely for revenue generation, political retaliation, negotiating leverage, generalized industrial policy, migration disputes, narcotics disputes, or bilateral trade-balance objectives.</w:t>
      </w:r>
    </w:p>
    <w:p>
      <w:pPr>
        <w:pStyle w:val="Normal"/>
        <w:widowControl/>
        <w:rPr/>
      </w:pPr>
      <w:r>
        <w:rPr/>
        <w:t>3. Any ambiguity concerning whether an originating good remains subject to an ordinary customs duty is resolved in favor of the scheduled preferential rate unless the Party invoking an exception establishes the legal and factual basis for that exception.</w:t>
      </w:r>
    </w:p>
    <w:p>
      <w:pPr>
        <w:pStyle w:val="Normal"/>
        <w:widowControl/>
        <w:rPr/>
      </w:pPr>
      <w:r>
        <w:rPr/>
        <w:t>4. Nothing in this Article changes ordinary most-favored-nation treatment for non-originating goods or prevents application of a corrective measure expressly authorized by this Agreement.</w:t>
      </w:r>
    </w:p>
    <w:p>
      <w:bookmarkStart w:id="1389" w:name="_NAESTMA_TOC_1389"/>
      <w:pPr>
        <w:pStyle w:val="Heading2"/>
        <w:keepNext/>
        <w:widowControl/>
        <w:rPr/>
      </w:pPr>
      <w:r>
        <w:rPr/>
        <w:t>Article 35.34: Corrective Tariff Budget and Six-Month Lockout</w:t>
      </w:r>
      <w:bookmarkEnd w:id="1389"/>
    </w:p>
    <w:p>
      <w:pPr>
        <w:pStyle w:val="Normal"/>
        <w:widowControl/>
        <w:rPr/>
      </w:pPr>
      <w:r>
        <w:rPr/>
        <w:t>1. A corrective tariff may be authorized only under Articles 35.38 through 35.40 and, if authorized, consumes the finite Corrective Tariff Budget in this Article. Unused budget does not create an entitlement to impose a measure and does not carry forward into a later period.</w:t>
      </w:r>
    </w:p>
    <w:p>
      <w:pPr>
        <w:pStyle w:val="Normal"/>
        <w:widowControl/>
        <w:rPr/>
      </w:pPr>
      <w:r>
        <w:rPr/>
        <w:t>2. During any rolling 12-month period, the cumulative tariff-equivalent burden imposed by a Party on originating goods of another Party under corrective tariff authority does not exceed the lesser of: (a) 0.25 percent of the value of originating goods imported from the affected Party during the preceding 12 months; or (b) the aggregate verified injury or distortion amount that the applicable Panel authorizes for tariff-based correction during that period.</w:t>
      </w:r>
    </w:p>
    <w:p>
      <w:pPr>
        <w:pStyle w:val="Normal"/>
        <w:widowControl/>
        <w:rPr/>
      </w:pPr>
      <w:r>
        <w:rPr/>
        <w:t>3. Tariff-equivalent burden means the duties collected, secured, or placed in escrow as a direct consequence of covered corrective tariffs, net of refunded amounts. The Secretariat maintains the running calculation using customs data already reported under this Agreement.</w:t>
      </w:r>
    </w:p>
    <w:p>
      <w:pPr>
        <w:pStyle w:val="Normal"/>
        <w:widowControl/>
        <w:rPr/>
      </w:pPr>
      <w:r>
        <w:rPr/>
        <w:t>4. At 75 percent utilization of the applicable budget, automatic senior technical consultation begins within 10 days to identify non-tariff corrective alternatives and prevent unnecessary exhaustion of the tariff channel.</w:t>
      </w:r>
    </w:p>
    <w:p>
      <w:pPr>
        <w:pStyle w:val="Normal"/>
        <w:widowControl/>
        <w:rPr/>
      </w:pPr>
      <w:r>
        <w:rPr/>
        <w:t>5. Upon reaching 100 percent utilization, a six-month Corrective Tariff Lockout activates automatically with respect to originating goods of the affected Party. During the Lockout, the imposing Party does not introduce a new corrective tariff, increase an existing corrective tariff, expand an existing tariff to additional originating goods, or substitute a functionally equivalent border charge.</w:t>
      </w:r>
    </w:p>
    <w:p>
      <w:pPr>
        <w:pStyle w:val="Normal"/>
        <w:widowControl/>
        <w:rPr/>
      </w:pPr>
      <w:r>
        <w:rPr/>
        <w:t>6. The Lockout does not suspend verification, cure requirements, escrow, targeted administrative measures, compensation, procurement adjustments expressly permitted by this Agreement, or other non-tariff remedies that satisfy Articles 35.13 and 35.15.</w:t>
      </w:r>
    </w:p>
    <w:p>
      <w:pPr>
        <w:pStyle w:val="Normal"/>
        <w:widowControl/>
        <w:rPr/>
      </w:pPr>
      <w:r>
        <w:rPr/>
        <w:t>7. No Party banks unused Corrective Tariff Budget, borrows from a future period, splits a measure into multiple instruments to avoid the ceiling, or routes a tariff through another legal authority to evade this Article.</w:t>
      </w:r>
    </w:p>
    <w:p>
      <w:pPr>
        <w:pStyle w:val="Normal"/>
        <w:widowControl/>
        <w:rPr/>
      </w:pPr>
      <w:r>
        <w:rPr/>
        <w:t>8. An extraordinary and imminent threat to life, public safety, or essential security that cannot reasonably be addressed through non-tariff means may receive the Article 35.22 special lane. A tariff proposed during a Lockout remains subject to Articles 35.38 through 35.40, including neutral-guarantor authorization, except that the guarantor panel shall decide an emergency petition within 72 hours. Any authorized tariff counts against the next available budget period. Humanitarian goods protected by Article 35.35 remain excluded targets.</w:t>
      </w:r>
    </w:p>
    <w:p>
      <w:bookmarkStart w:id="1390" w:name="_NAESTMA_TOC_1390"/>
      <w:pPr>
        <w:pStyle w:val="Heading2"/>
        <w:keepNext/>
        <w:widowControl/>
        <w:rPr/>
      </w:pPr>
      <w:r>
        <w:rPr/>
        <w:t>Article 35.35: Humanitarian Tariff Firewall</w:t>
      </w:r>
      <w:bookmarkEnd w:id="1390"/>
    </w:p>
    <w:p>
      <w:pPr>
        <w:pStyle w:val="Normal"/>
        <w:widowControl/>
        <w:rPr/>
      </w:pPr>
      <w:r>
        <w:rPr/>
        <w:t>1. Qualifying Humanitarian Life-Saving Goods are outside the corrective tariff target set. No Party imposes, maintains, reactivates, increases, or substitutes a customs duty, emergency tariff, retaliatory tariff, corrective tariff, tariff-rate quota charge, punitive surcharge, or functionally equivalent border charge on a Qualifying Humanitarian Life-Saving Good originating in another Party.</w:t>
      </w:r>
    </w:p>
    <w:p>
      <w:pPr>
        <w:pStyle w:val="Normal"/>
        <w:widowControl/>
        <w:rPr/>
      </w:pPr>
      <w:r>
        <w:rPr/>
        <w:t>2. A Qualifying Humanitarian Life-Saving Good is a good certified and documented for a principally and directly life-preserving humanitarian use under Annex 38-B, including essential medicines and antidotes; blood, plasma, human organs and transplant materials; emergency medical devices and supplies; emergency water, purification and sanitation supplies; disaster-response food and nutrition supplies; emergency shelter and thermal-protection supplies; rescue and evacuation equipment; and firefighting or disaster-response goods where the shipment is certified for immediate emergency deployment.</w:t>
      </w:r>
    </w:p>
    <w:p>
      <w:pPr>
        <w:pStyle w:val="Normal"/>
        <w:widowControl/>
        <w:rPr/>
      </w:pPr>
      <w:r>
        <w:rPr/>
        <w:t>3. The Firewall does not exempt fraud, diversion, false certification, prohibited trafficking, or misuse. Where withholding a shipment would foreseeably create a material risk to life or emergency response, authorities favor release under bond, escrow, supervised delivery, post-entry verification, or another secure mechanism and pursue the responsible actor separately.</w:t>
      </w:r>
    </w:p>
    <w:p>
      <w:pPr>
        <w:pStyle w:val="Normal"/>
        <w:widowControl/>
        <w:rPr/>
      </w:pPr>
      <w:r>
        <w:rPr/>
        <w:t>4. A Party does not threaten to tax, delay, restrict, or condition a protected humanitarian shipment to obtain a concession in an unrelated dispute. This No Humanitarian Leverage rule applies independently of the Corrective Tariff Budget.</w:t>
      </w:r>
    </w:p>
    <w:p>
      <w:pPr>
        <w:pStyle w:val="Normal"/>
        <w:widowControl/>
        <w:rPr/>
      </w:pPr>
      <w:r>
        <w:rPr/>
        <w:t>5. The Parties administer this Article through existing customs, emergency-trade, and Secretariat functions. This Article creates no new permanent body.</w:t>
      </w:r>
      <w:r>
        <w:br w:type="page"/>
      </w:r>
    </w:p>
    <w:p>
      <w:bookmarkStart w:id="1391" w:name="_NAESTMA_TOC_1391"/>
      <w:pPr>
        <w:pStyle w:val="Heading1"/>
        <w:keepNext/>
        <w:keepLines w:val="0"/>
        <w:pageBreakBefore/>
        <w:widowControl/>
        <w:rPr/>
      </w:pPr>
      <w:bookmarkStart w:id="171" w:name="_Toc237912652"/>
      <w:r>
        <w:rPr/>
        <w:t>CHAPTER 36</w:t>
      </w:r>
      <w:bookmarkEnd w:id="171"/>
      <w:bookmarkEnd w:id="1391"/>
    </w:p>
    <w:p>
      <w:bookmarkStart w:id="1392" w:name="_NAESTMA_TOC_1392"/>
      <w:pPr>
        <w:pStyle w:val="Heading1"/>
        <w:keepNext/>
        <w:pageBreakBefore w:val="0"/>
        <w:widowControl/>
        <w:rPr/>
      </w:pPr>
      <w:bookmarkStart w:id="172" w:name="_Toc237912653"/>
      <w:r>
        <w:rPr/>
        <w:t>NORTH AMERICAN ECONOMIC SECURITY AND SUPPLY CHAIN RESILIENCE</w:t>
      </w:r>
      <w:bookmarkEnd w:id="172"/>
      <w:bookmarkEnd w:id="1392"/>
    </w:p>
    <w:p>
      <w:bookmarkStart w:id="1393" w:name="_NAESTMA_TOC_1393"/>
      <w:pPr>
        <w:pStyle w:val="Heading2"/>
        <w:keepNext/>
        <w:widowControl/>
        <w:rPr/>
      </w:pPr>
      <w:bookmarkStart w:id="173" w:name="_Toc237912654"/>
      <w:r>
        <w:rPr/>
        <w:t>Article 36.1: Purpose and Concept</w:t>
      </w:r>
      <w:bookmarkEnd w:id="173"/>
      <w:bookmarkEnd w:id="1393"/>
    </w:p>
    <w:p>
      <w:pPr>
        <w:pStyle w:val="Normal"/>
        <w:widowControl/>
        <w:rPr/>
      </w:pPr>
      <w:r>
        <w:rPr/>
        <w:t>1. The Parties establish a trilateral framework for economic security and supply chain resilience founded on the following concept: integrated North American production is a strategic asset of each Party, and trade between the Parties in strategic goods strengthens, rather than threatens, the economic and national security of each Party.</w:t>
      </w:r>
    </w:p>
    <w:p>
      <w:pPr>
        <w:pStyle w:val="Normal"/>
        <w:widowControl/>
        <w:rPr/>
      </w:pPr>
      <w:r>
        <w:rPr/>
        <w:t>2. For the purposes of this Agreement, qualifying trade between the Parties is presumptively intra-North-American commerce for economic-security purposes. A Party shall not treat the originating goods of another Party as a presumptive economic-security risk by reason of their origin in that other Party.</w:t>
      </w:r>
    </w:p>
    <w:p>
      <w:pPr>
        <w:pStyle w:val="Normal"/>
        <w:widowControl/>
        <w:rPr/>
      </w:pPr>
      <w:r>
        <w:rPr/>
        <w:t>3. The framework of this Chapter secures the North American economic perimeter against circumvention by non-Parties and non-market practices, without transferring to any Party authority over another Party’s industrial policy, natural resources, investment review, export controls, or national security determinations.</w:t>
      </w:r>
    </w:p>
    <w:p>
      <w:bookmarkStart w:id="1394" w:name="_NAESTMA_TOC_1394"/>
      <w:pPr>
        <w:pStyle w:val="Heading2"/>
        <w:keepNext/>
        <w:widowControl/>
        <w:rPr/>
      </w:pPr>
      <w:bookmarkStart w:id="174" w:name="_Toc237912655"/>
      <w:r>
        <w:rPr/>
        <w:t>Article 36.2: Definitions</w:t>
      </w:r>
      <w:bookmarkEnd w:id="174"/>
      <w:bookmarkEnd w:id="1394"/>
    </w:p>
    <w:p>
      <w:pPr>
        <w:pStyle w:val="Normal"/>
        <w:widowControl/>
        <w:rPr/>
      </w:pPr>
      <w:r>
        <w:rPr/>
        <w:t>For the purposes of this Chapter:</w:t>
      </w:r>
    </w:p>
    <w:p>
      <w:pPr>
        <w:pStyle w:val="Normal"/>
        <w:widowControl/>
        <w:rPr/>
      </w:pPr>
      <w:r>
        <w:rPr>
          <w:b/>
        </w:rPr>
        <w:t>designated strategic sector</w:t>
      </w:r>
      <w:r>
        <w:rPr/>
        <w:t xml:space="preserve"> means a sector designated under Article 36.4;</w:t>
      </w:r>
    </w:p>
    <w:p>
      <w:pPr>
        <w:pStyle w:val="Normal"/>
        <w:widowControl/>
        <w:rPr/>
      </w:pPr>
      <w:r>
        <w:rPr/>
        <w:t>non-market practice means a specific practice of a non-Party, or of an entity operating under the direction or material influence of a non-Party, that is supported by objective evidence and materially distorts North American production or trade, including state-directed overcapacity, subsidization inconsistent with applicable market or trade-remedy disciplines, coerced technology transfer, discriminatory state purchasing, or comparable conduct; state ownership, public-enterprise status, industrial policy, a trade surplus, or a jurisdiction's general economic model alone does not establish a non-market practice;</w:t>
      </w:r>
    </w:p>
    <w:p>
      <w:pPr>
        <w:pStyle w:val="Normal"/>
        <w:widowControl/>
        <w:rPr/>
      </w:pPr>
      <w:r>
        <w:rPr>
          <w:b/>
        </w:rPr>
        <w:t>supply chain dependency</w:t>
      </w:r>
      <w:r>
        <w:rPr/>
        <w:t xml:space="preserve"> means a condition in which North American production in a designated strategic sector relies on a single or concentrated source of an essential input in a manner presenting documented disruption risk;</w:t>
      </w:r>
    </w:p>
    <w:p>
      <w:pPr>
        <w:pStyle w:val="Normal"/>
        <w:widowControl/>
        <w:rPr/>
      </w:pPr>
      <w:r>
        <w:rPr/>
        <w:t>high-risk source means a source for which objective evidence demonstrates a material vulnerability arising from excessive concentration, demonstrated supply disruption or coercion, material cybersecurity or security exposure, persistent inability to satisfy applicable standards, severe logistical vulnerability, forced-labor exposure, fraud or circumvention risk, or another documented factor materially affecting supply reliability; nationality or geographic origin alone does not establish high-risk status;</w:t>
      </w:r>
    </w:p>
    <w:p>
      <w:pPr>
        <w:pStyle w:val="Normal"/>
        <w:widowControl/>
        <w:rPr/>
      </w:pPr>
      <w:r>
        <w:rPr>
          <w:b/>
        </w:rPr>
        <w:t>Trusted North American Origin</w:t>
      </w:r>
      <w:r>
        <w:rPr/>
        <w:t xml:space="preserve"> means the status conferred under Article 36.6.</w:t>
      </w:r>
    </w:p>
    <w:p>
      <w:bookmarkStart w:id="1395" w:name="_NAESTMA_TOC_1395"/>
      <w:pPr>
        <w:pStyle w:val="Heading2"/>
        <w:keepNext/>
        <w:widowControl/>
        <w:rPr/>
      </w:pPr>
      <w:bookmarkStart w:id="175" w:name="_Toc237912656"/>
      <w:r>
        <w:rPr/>
        <w:t>Article 36.3: Economic Security and Supply Chain Resilience Subcommittee</w:t>
      </w:r>
      <w:bookmarkEnd w:id="175"/>
      <w:bookmarkEnd w:id="1395"/>
    </w:p>
    <w:p>
      <w:pPr>
        <w:pStyle w:val="Normal"/>
        <w:widowControl/>
        <w:rPr/>
      </w:pPr>
      <w:r>
        <w:rPr/>
        <w:t>1. The Parties establish, under the Committee on Competitiveness in accordance with Chapter 26 as amended, an Economic Security and Supply Chain Resilience Subcommittee (the “Subcommittee”), composed of senior officials of each Party.</w:t>
      </w:r>
    </w:p>
    <w:p>
      <w:pPr>
        <w:pStyle w:val="Normal"/>
        <w:widowControl/>
        <w:rPr/>
      </w:pPr>
      <w:r>
        <w:rPr/>
        <w:t>2. The Subcommittee shall:</w:t>
      </w:r>
    </w:p>
    <w:p>
      <w:pPr>
        <w:pStyle w:val="Normal"/>
        <w:widowControl/>
        <w:rPr/>
      </w:pPr>
      <w:r>
        <w:rPr/>
        <w:t>(a) identify and assess supply chain dependencies and gaps in designated strategic sectors;</w:t>
      </w:r>
    </w:p>
    <w:p>
      <w:pPr>
        <w:pStyle w:val="Normal"/>
        <w:widowControl/>
        <w:rPr/>
      </w:pPr>
      <w:r>
        <w:rPr/>
        <w:t>(b) coordinate the Parties’ responses to actual or imminent supply chain disruptions;</w:t>
      </w:r>
    </w:p>
    <w:p>
      <w:pPr>
        <w:pStyle w:val="Normal"/>
        <w:widowControl/>
        <w:rPr/>
      </w:pPr>
      <w:r>
        <w:rPr/>
        <w:t>(c) oversee the Trusted North American Origin system;</w:t>
      </w:r>
    </w:p>
    <w:p>
      <w:pPr>
        <w:pStyle w:val="Normal"/>
        <w:widowControl/>
        <w:rPr/>
      </w:pPr>
      <w:r>
        <w:rPr/>
        <w:t>(d) develop shared traceability and certification standards for strategic goods;</w:t>
      </w:r>
    </w:p>
    <w:p>
      <w:pPr>
        <w:pStyle w:val="Normal"/>
        <w:widowControl/>
        <w:rPr/>
      </w:pPr>
      <w:r>
        <w:rPr/>
        <w:t>(e) exchange information concerning non-market practices affecting North American production;</w:t>
      </w:r>
    </w:p>
    <w:p>
      <w:pPr>
        <w:pStyle w:val="Normal"/>
        <w:widowControl/>
        <w:rPr/>
      </w:pPr>
      <w:r>
        <w:rPr/>
        <w:t>(f) coordinate, on a voluntary basis, information concerning strategic reserves of designated critical goods;</w:t>
      </w:r>
    </w:p>
    <w:p>
      <w:pPr>
        <w:pStyle w:val="Normal"/>
        <w:widowControl/>
        <w:rPr/>
      </w:pPr>
      <w:r>
        <w:rPr/>
        <w:t>(g) publish an annual North American Supply Chain Resilience Report; and</w:t>
      </w:r>
    </w:p>
    <w:p>
      <w:pPr>
        <w:pStyle w:val="Normal"/>
        <w:widowControl/>
        <w:rPr/>
      </w:pPr>
      <w:r>
        <w:rPr/>
        <w:t>(h) perform the functions assigned to it by this Chapter and by the Commission.</w:t>
      </w:r>
    </w:p>
    <w:p>
      <w:pPr>
        <w:pStyle w:val="Normal"/>
        <w:widowControl/>
        <w:rPr/>
      </w:pPr>
      <w:r>
        <w:rPr/>
        <w:t>3. The Subcommittee shall meet at least quarterly, and within seven days at the request of any Party concerning an actual or imminent disruption.</w:t>
      </w:r>
    </w:p>
    <w:p>
      <w:pPr>
        <w:pStyle w:val="Normal"/>
        <w:widowControl/>
        <w:rPr/>
      </w:pPr>
      <w:r>
        <w:rPr/>
        <w:t>4. The Subcommittee acts by consensus and does not amend this Agreement.</w:t>
      </w:r>
    </w:p>
    <w:p>
      <w:bookmarkStart w:id="1396" w:name="_NAESTMA_TOC_1396"/>
      <w:pPr>
        <w:pStyle w:val="Heading2"/>
        <w:keepNext/>
        <w:widowControl/>
        <w:rPr/>
      </w:pPr>
      <w:bookmarkStart w:id="176" w:name="_Toc237912657"/>
      <w:r>
        <w:rPr/>
        <w:t>Article 36.4: Designated Strategic Sectors</w:t>
      </w:r>
      <w:bookmarkEnd w:id="176"/>
      <w:bookmarkEnd w:id="1396"/>
    </w:p>
    <w:p>
      <w:pPr>
        <w:pStyle w:val="Normal"/>
        <w:widowControl/>
        <w:rPr/>
      </w:pPr>
      <w:r>
        <w:rPr/>
        <w:t>1. The designated strategic sectors are: critical minerals and batteries; semiconductors and advanced electronics; energy and grid equipment; advanced compute infrastructure; grid-scale energy storage; high-voltage transformers and power electronics; data-centre cooling and high-speed networking equipment; pharmaceuticals, active pharmaceutical ingredients, and medical goods; defense-related industrial inputs; automotive goods; steel and aluminum; food and agricultural inputs; and telecommunications infrastructure.</w:t>
      </w:r>
    </w:p>
    <w:p>
      <w:pPr>
        <w:pStyle w:val="Normal"/>
        <w:widowControl/>
        <w:rPr/>
      </w:pPr>
      <w:r>
        <w:rPr/>
        <w:t>2. The Commission may, by consensus, amend the designation list, and shall publish each amendment in the North American Trade Measures Registry.</w:t>
      </w:r>
    </w:p>
    <w:p>
      <w:pPr>
        <w:pStyle w:val="Normal"/>
        <w:widowControl/>
        <w:rPr/>
      </w:pPr>
      <w:r>
        <w:rPr/>
        <w:t>3. Designation of a sector does not, by itself, authorize any measure. Measures concerning designated sectors are subject to this Agreement, including Articles 35.22 and 35.23.</w:t>
      </w:r>
    </w:p>
    <w:p>
      <w:bookmarkStart w:id="1397" w:name="_NAESTMA_TOC_1397"/>
      <w:pPr>
        <w:pStyle w:val="Heading2"/>
        <w:keepNext/>
        <w:widowControl/>
        <w:rPr/>
      </w:pPr>
      <w:bookmarkStart w:id="177" w:name="_Toc237912658"/>
      <w:r>
        <w:rPr/>
        <w:t>Article 36.5: Common External Defense Against Circumvention</w:t>
      </w:r>
      <w:bookmarkEnd w:id="177"/>
      <w:bookmarkEnd w:id="1397"/>
    </w:p>
    <w:p>
      <w:pPr>
        <w:pStyle w:val="Normal"/>
        <w:widowControl/>
        <w:rPr/>
      </w:pPr>
      <w:r>
        <w:rPr/>
        <w:t>1. The Parties shall cooperate to prevent goods of non-Parties from obtaining the benefits of this Agreement through transshipment, minimal processing, false origin declarations, or other circumvention, in accordance with Chapters 4 and 5 as amended.</w:t>
      </w:r>
    </w:p>
    <w:p>
      <w:pPr>
        <w:pStyle w:val="Normal"/>
        <w:widowControl/>
        <w:rPr/>
      </w:pPr>
      <w:r>
        <w:rPr/>
        <w:t>2. Anti-circumvention measures shall target circumvention, not legitimate North American production. Legitimate transformation within a Party, lawful use of non-originating inputs permitted by a rule of origin, and the activities listed in Article 4.A.4 (circular production) are not circumvention.</w:t>
      </w:r>
    </w:p>
    <w:p>
      <w:pPr>
        <w:pStyle w:val="Normal"/>
        <w:widowControl/>
        <w:rPr/>
      </w:pPr>
      <w:r>
        <w:rPr/>
        <w:t>3. Where credible evidence indicates circumvention by identified entities, the Parties shall respond in accordance with Chapter 35, targeting the offending entities, products, and flows before any broader measure.</w:t>
      </w:r>
    </w:p>
    <w:p>
      <w:pPr>
        <w:pStyle w:val="Normal"/>
        <w:widowControl/>
        <w:rPr/>
      </w:pPr>
      <w:r>
        <w:rPr/>
        <w:t>4. The Parties shall exchange customs data relevant to circumvention investigations, subject to confidentiality protections under Annex 35-C, and may conduct joint verification where suspected circumvention spans more than one Party.</w:t>
      </w:r>
    </w:p>
    <w:p>
      <w:bookmarkStart w:id="1398" w:name="_NAESTMA_TOC_1398"/>
      <w:pPr>
        <w:pStyle w:val="Heading2"/>
        <w:keepNext/>
        <w:widowControl/>
        <w:rPr/>
      </w:pPr>
      <w:bookmarkStart w:id="178" w:name="_Toc237912659"/>
      <w:r>
        <w:rPr/>
        <w:t>Article 36.6: Trusted North American Origin</w:t>
      </w:r>
      <w:bookmarkEnd w:id="178"/>
      <w:bookmarkEnd w:id="1398"/>
    </w:p>
    <w:p>
      <w:pPr>
        <w:pStyle w:val="Normal"/>
        <w:widowControl/>
        <w:rPr/>
      </w:pPr>
      <w:r>
        <w:rPr/>
        <w:t>1. The Parties establish the Trusted North American Origin (TNAO) system for strategic goods satisfying enhanced origin and traceability requirements.</w:t>
      </w:r>
    </w:p>
    <w:p>
      <w:pPr>
        <w:pStyle w:val="Normal"/>
        <w:widowControl/>
        <w:rPr/>
      </w:pPr>
      <w:r>
        <w:rPr/>
        <w:t>2. TNAO status is available to a good that: (a) qualifies as originating under Chapter 4; (b) satisfies the enhanced traceability requirements adopted by the Subcommittee for the relevant sector, including documented chain-of-custody for designated inputs; and (c) is produced by an entity certified under the trusted-producer procedures of the importing Party, which shall be administered in a non-discriminatory manner consistent with this Agreement.</w:t>
      </w:r>
    </w:p>
    <w:p>
      <w:pPr>
        <w:pStyle w:val="Normal"/>
        <w:widowControl/>
        <w:rPr/>
      </w:pPr>
      <w:r>
        <w:rPr/>
        <w:t>3. A good holding TNAO status receives: (a) expedited customs treatment; (b) reduced verification frequency; and (c) the heightened protection of Article 35.22.6(c) against extraordinary measures.</w:t>
      </w:r>
    </w:p>
    <w:p>
      <w:pPr>
        <w:pStyle w:val="Normal"/>
        <w:widowControl/>
        <w:rPr/>
      </w:pPr>
      <w:r>
        <w:rPr/>
        <w:t>4. TNAO criteria shall be published, measurable, sector-specific, and identical in substance across the Parties; certification decisions are reviewable through the rapid administrative appeal in Article 5.D, and certification renews automatically upon demonstrated continuing compliance, without re-application.</w:t>
      </w:r>
    </w:p>
    <w:p>
      <w:pPr>
        <w:pStyle w:val="Normal"/>
        <w:widowControl/>
        <w:rPr/>
      </w:pPr>
      <w:r>
        <w:rPr/>
        <w:t>5. TNAO status may be suspended only: (a) for a demonstrated circumvention or traceability failure, established by entity-specific evidence; (b) following notice to the entity, access to the non-confidential evidence, and an opportunity to respond, in accordance with Article 35.10A; and (c) as to the responsible entity and product only. Suspension of one entity’s status does not affect the status of other entities, and shall not be applied to a Party’s producers generally. Suspension is subject to rapid appeal under Article 5.D, and status restores automatically upon verified correction, and in any case within 30 days of the verified correction.</w:t>
      </w:r>
    </w:p>
    <w:p>
      <w:pPr>
        <w:pStyle w:val="Normal"/>
        <w:widowControl/>
        <w:rPr/>
      </w:pPr>
      <w:r>
        <w:rPr/>
        <w:t>6. The Subcommittee shall adopt sectoral TNAO technical standards within 18 months after entry into force of the Protocol of Modernization, beginning with critical minerals, batteries, semiconductors, steel, and aluminum.</w:t>
      </w:r>
    </w:p>
    <w:p>
      <w:pPr>
        <w:pStyle w:val="Normal"/>
        <w:widowControl/>
        <w:rPr/>
      </w:pPr>
      <w:r>
        <w:rPr/>
        <w:t>7. TNAO suspension is entity-specific. Status may be suspended only on clear and convincing evidence of a material breach by the affected producer, exporter, or certified supply chain, or of a systemic and material failure directly affecting the reliability of that certification. An isolated clerical or paperwork error that does not affect origin eligibility does not justify suspension. Independent accredited auditors may conduct or validate compliance audits under standards adopted by the Rules of Origin and Origin Procedures Committee; customs authorities retain final enforcement jurisdiction.</w:t>
      </w:r>
    </w:p>
    <w:p>
      <w:pPr>
        <w:pStyle w:val="Normal"/>
        <w:widowControl/>
        <w:rPr/>
      </w:pPr>
      <w:r>
        <w:rPr/>
        <w:t>8. Risk-Tiered Traceability. TNAO documentation shall be proportionate to demonstrated risk. Low-risk trusted producers may rely on supplier declarations, ordinary commercial records, periodic sampling, and audit-by-exception. Medium-risk supply chains may be subject to periodic documentary audit and targeted component verification. Lot-level, mine-to-market, or component-by-component traceability is reserved for high-risk inputs, entities, jurisdictions, or sectors identified under published criteria.</w:t>
      </w:r>
    </w:p>
    <w:p>
      <w:pPr>
        <w:pStyle w:val="Normal"/>
        <w:widowControl/>
        <w:rPr/>
      </w:pPr>
      <w:r>
        <w:rPr/>
        <w:t>9. No producer shall lose ordinary CUSMA originating status solely because it does not seek TNAO status or because an enhanced traceability platform is unavailable. TNAO is an optional enhanced status and shall not become a mandatory condition for ordinary preferential treatment except where an express product-specific rule independently requires the relevant information.</w:t>
      </w:r>
    </w:p>
    <w:p>
      <w:bookmarkStart w:id="1399" w:name="_NAESTMA_TOC_1399"/>
      <w:pPr>
        <w:pStyle w:val="Heading2"/>
        <w:keepNext/>
        <w:widowControl/>
        <w:rPr/>
      </w:pPr>
      <w:bookmarkStart w:id="179" w:name="_Toc237912660"/>
      <w:r>
        <w:rPr/>
        <w:t>Article 36.7: Non-Market Practices</w:t>
      </w:r>
      <w:bookmarkEnd w:id="179"/>
      <w:bookmarkEnd w:id="1399"/>
    </w:p>
    <w:p>
      <w:pPr>
        <w:pStyle w:val="Normal"/>
        <w:widowControl/>
        <w:rPr/>
      </w:pPr>
      <w:r>
        <w:rPr/>
        <w:t>1. The Parties shall consult and may coordinate concerning non-market practices of non-Parties that materially distort North American production or trade.</w:t>
      </w:r>
    </w:p>
    <w:p>
      <w:pPr>
        <w:pStyle w:val="Normal"/>
        <w:widowControl/>
        <w:rPr/>
      </w:pPr>
      <w:r>
        <w:rPr/>
        <w:t>2. A Party considering a measure directed at non-market practices of a non-Party shall, where the measure may affect another Party’s originating goods, notify and consult that Party before adoption, and shall design the measure to reach non-Party goods and non-originating content rather than originating goods.</w:t>
      </w:r>
    </w:p>
    <w:p>
      <w:pPr>
        <w:pStyle w:val="Normal"/>
        <w:widowControl/>
        <w:rPr/>
      </w:pPr>
      <w:r>
        <w:rPr/>
        <w:t>3. Designation of an economy or practice for the purposes of this Article shall be based on published criteria, evidence, and review procedures, and shall be subject to periodic review. A designation does not continue by default without review.</w:t>
      </w:r>
    </w:p>
    <w:p>
      <w:pPr>
        <w:pStyle w:val="Normal"/>
        <w:widowControl/>
        <w:rPr/>
      </w:pPr>
      <w:r>
        <w:rPr/>
        <w:t>4. Nothing in this Article authorizes a covered border measure against originating goods of another Party except in conformity with Chapter 35.</w:t>
      </w:r>
    </w:p>
    <w:p>
      <w:bookmarkStart w:id="1400" w:name="_NAESTMA_TOC_1400"/>
      <w:pPr>
        <w:pStyle w:val="Heading2"/>
        <w:keepNext/>
        <w:widowControl/>
        <w:rPr/>
      </w:pPr>
      <w:bookmarkStart w:id="180" w:name="_Toc237912661"/>
      <w:r>
        <w:rPr/>
        <w:t>Article 36.8: Investment Screening Consultation</w:t>
      </w:r>
      <w:bookmarkEnd w:id="180"/>
      <w:bookmarkEnd w:id="1400"/>
    </w:p>
    <w:p>
      <w:pPr>
        <w:pStyle w:val="Normal"/>
        <w:widowControl/>
        <w:rPr/>
      </w:pPr>
      <w:r>
        <w:rPr/>
        <w:t>1. The Parties may exchange information concerning investments by non-Parties in designated strategic sectors, including information concerning beneficial ownership relevant to trade enforcement.</w:t>
      </w:r>
    </w:p>
    <w:p>
      <w:pPr>
        <w:pStyle w:val="Normal"/>
        <w:widowControl/>
        <w:rPr/>
      </w:pPr>
      <w:r>
        <w:rPr/>
        <w:t>2. Each Party retains final authority over its own investment review decisions. Nothing in this Article creates a supranational screening authority, a veto by one Party over another Party’s investment decisions, or an obligation to adopt any particular screening outcome.</w:t>
      </w:r>
    </w:p>
    <w:p>
      <w:pPr>
        <w:pStyle w:val="Normal"/>
        <w:widowControl/>
        <w:rPr/>
      </w:pPr>
      <w:r>
        <w:rPr/>
        <w:t>3. Where a Party blocks or conditions an investment by an investor of another Party on national-security grounds, the investor may request an expedited procedural review within 60 days. The reviewing tribunal shall not substitute its judgment for the Party’s national-security assessment, but may determine whether the decision lacked a rational factual basis, was discriminatorily administered, or was arbitrary or politically retaliatory. Where such a violation is established, the tribunal may award reasonable documented sunk transaction costs and demonstrable transaction losses caused by the violation, and may award opportunity-cost damages only to the extent proved with reasonable certainty and not based on speculative projected profits. Nothing in this paragraph requires approval of an investment.</w:t>
      </w:r>
    </w:p>
    <w:p>
      <w:bookmarkStart w:id="1401" w:name="_NAESTMA_TOC_1401"/>
      <w:pPr>
        <w:pStyle w:val="Heading2"/>
        <w:keepNext/>
        <w:widowControl/>
        <w:rPr/>
      </w:pPr>
      <w:bookmarkStart w:id="181" w:name="_Toc237912662"/>
      <w:r>
        <w:rPr/>
        <w:t>Article 36.9: Sovereignty Safeguard</w:t>
      </w:r>
      <w:bookmarkEnd w:id="181"/>
      <w:bookmarkEnd w:id="1401"/>
    </w:p>
    <w:p>
      <w:pPr>
        <w:pStyle w:val="Normal"/>
        <w:widowControl/>
        <w:rPr/>
      </w:pPr>
      <w:r>
        <w:rPr/>
        <w:t>1. Nothing in this Chapter: (a) transfers to another Party or to any body of this Agreement authority over a Party’s natural resources, industrial policy, investment review, export controls, or national security determinations; (b) obliges a Party to adopt another Party’s sanctions, export controls, or foreign-policy measures; or (c) confers on a Party a right to direct the critical-mineral, energy, or other resource policies of another Party.</w:t>
      </w:r>
    </w:p>
    <w:p>
      <w:pPr>
        <w:pStyle w:val="Normal"/>
        <w:widowControl/>
        <w:rPr/>
      </w:pPr>
      <w:r>
        <w:rPr/>
        <w:t>2. This safeguard does not nullify any express obligation of this Agreement, and is subject to the anti-abuse disciplines of Chapter 32 as amended.</w:t>
      </w:r>
    </w:p>
    <w:p>
      <w:bookmarkStart w:id="1402" w:name="_NAESTMA_TOC_1402"/>
      <w:pPr>
        <w:pStyle w:val="Heading2"/>
        <w:keepNext/>
        <w:widowControl/>
        <w:rPr/>
      </w:pPr>
      <w:bookmarkStart w:id="182" w:name="_Toc237912663"/>
      <w:r>
        <w:rPr/>
        <w:t>Article 36.10: Data, Metrics, and Early Warning</w:t>
      </w:r>
      <w:bookmarkEnd w:id="182"/>
      <w:bookmarkEnd w:id="1402"/>
    </w:p>
    <w:p>
      <w:pPr>
        <w:pStyle w:val="Normal"/>
        <w:widowControl/>
        <w:rPr/>
      </w:pPr>
      <w:r>
        <w:rPr/>
        <w:t>1. The Subcommittee shall publish annually aggregate data on: utilization of preferential treatment; origin qualification rates; border processing times; supply chain disruption events; and implementation performance under this Chapter.</w:t>
      </w:r>
    </w:p>
    <w:p>
      <w:pPr>
        <w:pStyle w:val="Normal"/>
        <w:widowControl/>
        <w:rPr/>
      </w:pPr>
      <w:r>
        <w:rPr/>
        <w:t>2. A Party planning a measure likely to materially disrupt North American trade in a designated strategic sector shall, subject to genuine emergency exceptions, notify the other Parties not less than 30 days before implementation and shall consult on request within 10 days.</w:t>
      </w:r>
    </w:p>
    <w:p>
      <w:bookmarkStart w:id="1403" w:name="_NAESTMA_TOC_1403"/>
      <w:pPr>
        <w:pStyle w:val="Heading2"/>
        <w:keepNext/>
        <w:widowControl/>
        <w:rPr/>
      </w:pPr>
      <w:bookmarkStart w:id="183" w:name="_Toc237912664"/>
      <w:r>
        <w:rPr/>
        <w:t>Article 36.11: North American Anti-Circumvention Rapid Response</w:t>
      </w:r>
      <w:bookmarkEnd w:id="183"/>
      <w:bookmarkEnd w:id="1403"/>
    </w:p>
    <w:p>
      <w:pPr>
        <w:pStyle w:val="Normal"/>
        <w:widowControl/>
        <w:rPr/>
      </w:pPr>
      <w:r>
        <w:rPr/>
        <w:t>1. Where credible, particularized evidence indicates that goods of a non-Party are being transshipped, minimally processed, relabeled, or otherwise routed through a Party for the principal purpose of obtaining preferential treatment or evading a lawful trade measure, a Party may request rapid joint verification under Chapters 4, 5, and 35.</w:t>
      </w:r>
    </w:p>
    <w:p>
      <w:pPr>
        <w:pStyle w:val="Normal"/>
        <w:widowControl/>
        <w:rPr/>
      </w:pPr>
      <w:r>
        <w:rPr/>
        <w:t>2. The requested Parties shall begin information exchange within 72 hours and, where the evidence identifies specific entities or trade flows, shall endeavor to complete a preliminary verification within 15 days. Any provisional action shall be entity-, product-, and flow-specific, shall preserve due process, and shall not treat lawful North American transformation or permitted non-originating content as circumvention.</w:t>
      </w:r>
    </w:p>
    <w:p>
      <w:pPr>
        <w:pStyle w:val="Normal"/>
        <w:widowControl/>
        <w:rPr/>
      </w:pPr>
      <w:r>
        <w:rPr/>
        <w:t>3. A finding under this Article activates the graduated and automatically reversible remedies of Chapter 35. No finding under this Article authorizes a country-wide tariff or other collective penalty against originating goods of a Party.</w:t>
      </w:r>
    </w:p>
    <w:p>
      <w:bookmarkStart w:id="1404" w:name="_NAESTMA_TOC_1404"/>
      <w:pPr>
        <w:pStyle w:val="Heading2"/>
        <w:keepNext/>
        <w:widowControl/>
        <w:rPr/>
      </w:pPr>
      <w:bookmarkStart w:id="184" w:name="_Toc237912665"/>
      <w:r>
        <w:rPr/>
        <w:t>Article 36.12: Enhanced North American Content Incentives</w:t>
      </w:r>
      <w:bookmarkEnd w:id="184"/>
      <w:bookmarkEnd w:id="1404"/>
    </w:p>
    <w:p>
      <w:pPr>
        <w:pStyle w:val="Normal"/>
        <w:widowControl/>
        <w:rPr/>
      </w:pPr>
      <w:r>
        <w:rPr/>
        <w:t>1. The Parties shall establish voluntary enhanced-origin tiers for designated strategic sectors. A producer that materially exceeds the applicable regional value-content requirement and satisfies published traceability standards may receive expedited customs treatment, reduced routine verification, consolidated origin submissions, and eligibility for TNAO status.</w:t>
      </w:r>
    </w:p>
    <w:p>
      <w:pPr>
        <w:pStyle w:val="Normal"/>
        <w:widowControl/>
        <w:rPr/>
      </w:pPr>
      <w:r>
        <w:rPr/>
        <w:t>2. Enhanced-origin tiers shall reward additional North American production without imposing a Party-specific sourcing mandate. No producer is required to locate production or investment in a particular Party as a condition of ordinary CUSMA preferential treatment.</w:t>
      </w:r>
    </w:p>
    <w:p>
      <w:pPr>
        <w:pStyle w:val="Normal"/>
        <w:widowControl/>
        <w:rPr/>
      </w:pPr>
      <w:r>
        <w:rPr/>
        <w:t>3. The Subcommittee may recommend sector-specific enhanced-origin thresholds by consensus, subject to the Structured Technical Amendment Procedure where a change would alter an operative rule of origin.</w:t>
      </w:r>
    </w:p>
    <w:p>
      <w:bookmarkStart w:id="1405" w:name="_NAESTMA_TOC_1405"/>
      <w:pPr>
        <w:pStyle w:val="Heading2"/>
        <w:keepNext/>
        <w:widowControl/>
        <w:rPr/>
      </w:pPr>
      <w:bookmarkStart w:id="185" w:name="_Toc237912666"/>
      <w:r>
        <w:rPr/>
        <w:t>Article 36.13: Automotive, Battery, and Advanced-Component Investment Facilitation</w:t>
      </w:r>
      <w:bookmarkEnd w:id="185"/>
      <w:bookmarkEnd w:id="1405"/>
    </w:p>
    <w:p>
      <w:pPr>
        <w:pStyle w:val="Normal"/>
        <w:widowControl/>
        <w:rPr/>
      </w:pPr>
      <w:r>
        <w:rPr/>
        <w:t>1. The Parties shall facilitate new investment within North America in vehicle assembly, batteries, power electronics, semiconductors, critical automotive components, charging equipment, and related advanced manufacturing.</w:t>
      </w:r>
    </w:p>
    <w:p>
      <w:pPr>
        <w:pStyle w:val="Normal"/>
        <w:widowControl/>
        <w:rPr/>
      </w:pPr>
      <w:r>
        <w:rPr/>
        <w:t>2. A Party may maintain transparent, non-discriminatory domestic incentives for investment within its territory. Such incentives shall not be conditioned on the exclusion of originating goods of another Party from North American supply chains and remain subject to this Agreement.</w:t>
      </w:r>
    </w:p>
    <w:p>
      <w:pPr>
        <w:pStyle w:val="Normal"/>
        <w:widowControl/>
        <w:rPr/>
      </w:pPr>
      <w:r>
        <w:rPr/>
        <w:t>3. The Automotive Committee shall publish an annual North American automotive investment and capacity report identifying supply-chain gaps and opportunities for additional regional production.</w:t>
      </w:r>
    </w:p>
    <w:p>
      <w:pPr>
        <w:pStyle w:val="TrumpVisibilityHeadline"/>
        <w:widowControl/>
        <w:rPr/>
      </w:pPr>
      <w:r>
        <w:rPr/>
        <w:t xml:space="preserve">★ </w:t>
      </w:r>
      <w:r>
        <w:rPr/>
        <w:t>VISIBLE U.S. WIN: MORE CARS, COMPONENTS, AND STRATEGIC AUTO MANUFACTURING IN THE UNITED STATES AND NORTH AMERICA</w:t>
      </w:r>
    </w:p>
    <w:p>
      <w:bookmarkStart w:id="1406" w:name="_NAESTMA_TOC_1406"/>
      <w:pPr>
        <w:pStyle w:val="Heading2"/>
        <w:keepNext/>
        <w:widowControl/>
        <w:rPr/>
      </w:pPr>
      <w:r>
        <w:rPr/>
        <w:t>Article 36.13A: Voluntary United States Manufacturing Accelerator</w:t>
      </w:r>
      <w:bookmarkEnd w:id="1406"/>
    </w:p>
    <w:p>
      <w:pPr>
        <w:pStyle w:val="Normal"/>
        <w:widowControl/>
        <w:rPr/>
      </w:pPr>
      <w:r>
        <w:rPr/>
        <w:t>1. Without altering ordinary CUSMA eligibility or requiring Party-specific sourcing, the United States may establish transparent voluntary administrative incentives for producers that make qualifying incremental investments in United States vehicle assembly, batteries, semiconductors, power electronics, advanced materials, critical components, tooling, or other designated advanced-manufacturing capacity.</w:t>
      </w:r>
    </w:p>
    <w:p>
      <w:pPr>
        <w:pStyle w:val="Normal"/>
        <w:widowControl/>
        <w:rPr/>
      </w:pPr>
      <w:r>
        <w:rPr/>
        <w:t>2. Incentives under this Article may include expedited customs processing, consolidated verification, longer certification validity, advance-ruling priority, trusted-producer treatment, and other administrative facilitation that does not impose a customs duty, quota, discriminatory origin rule, or penalty on production in Canada or Mexico.</w:t>
      </w:r>
    </w:p>
    <w:p>
      <w:pPr>
        <w:pStyle w:val="Normal"/>
        <w:widowControl/>
        <w:rPr/>
      </w:pPr>
      <w:r>
        <w:rPr/>
        <w:t>3. Qualification shall be based on published objective criteria, including net new productive capacity, workforce investment, research and development, or supply-chain resilience. A producer that does not participate retains all ordinary rights and preferential treatment for which its goods otherwise qualify.</w:t>
      </w:r>
    </w:p>
    <w:p>
      <w:pPr>
        <w:pStyle w:val="Normal"/>
        <w:widowControl/>
        <w:rPr/>
      </w:pPr>
      <w:r>
        <w:rPr/>
        <w:t>4. Canada and Mexico may establish equivalent voluntary accelerators within their territories. The Commission shall review the accelerators to ensure that they reward additional investment without becoming de facto Party-specific content mandates or substitute measures prohibited by Chapter 35.</w:t>
      </w:r>
    </w:p>
    <w:p>
      <w:pPr>
        <w:pStyle w:val="TrumpVisibilityHeadline"/>
        <w:widowControl/>
        <w:rPr/>
      </w:pPr>
      <w:r>
        <w:rPr/>
        <w:t xml:space="preserve">★ </w:t>
      </w:r>
      <w:r>
        <w:rPr/>
        <w:t>VISIBLE U.S. WIN: PROTECT AND EXPAND NORTH AMERICAN STEEL AND ALUMINUM PRODUCTION</w:t>
      </w:r>
    </w:p>
    <w:p>
      <w:bookmarkStart w:id="1407" w:name="_NAESTMA_TOC_1407"/>
      <w:pPr>
        <w:pStyle w:val="Heading2"/>
        <w:keepNext/>
        <w:widowControl/>
        <w:rPr/>
      </w:pPr>
      <w:bookmarkStart w:id="186" w:name="_Toc237912667"/>
      <w:r>
        <w:rPr/>
        <w:t>Article 36.14: North American Steel and Aluminum Security Framework</w:t>
      </w:r>
      <w:bookmarkEnd w:id="186"/>
      <w:bookmarkEnd w:id="1407"/>
    </w:p>
    <w:p>
      <w:pPr>
        <w:pStyle w:val="Normal"/>
        <w:widowControl/>
        <w:rPr/>
      </w:pPr>
      <w:r>
        <w:rPr/>
        <w:t>1. The Parties recognize originating steel and aluminum as strategic North American supply and shall cooperate against circumvention, non-market overcapacity, fraudulent origin claims, and evasion involving non-Party material.</w:t>
      </w:r>
    </w:p>
    <w:p>
      <w:pPr>
        <w:pStyle w:val="Normal"/>
        <w:widowControl/>
        <w:rPr/>
      </w:pPr>
      <w:r>
        <w:rPr/>
        <w:t>2. Measures addressing non-Party steel or aluminum shall, to the maximum extent practicable, distinguish originating North American production from non-originating content and shall comply with Chapters 32 and 35.</w:t>
      </w:r>
    </w:p>
    <w:p>
      <w:pPr>
        <w:pStyle w:val="Normal"/>
        <w:widowControl/>
        <w:rPr/>
      </w:pPr>
      <w:r>
        <w:rPr/>
        <w:t>3. The Parties shall maintain rapid traceability and melt-and-pour or smelt-and-cast verification procedures, as applicable, with simplified compliance for trusted producers and small and medium-sized enterprises.</w:t>
      </w:r>
    </w:p>
    <w:p>
      <w:pPr>
        <w:pStyle w:val="Normal"/>
        <w:widowControl/>
        <w:rPr/>
      </w:pPr>
      <w:r>
        <w:rPr>
          <w:b w:val="false"/>
        </w:rPr>
        <w:t>4. No Origin Laundering Through Transit or Superficial Processing. A good, material, or component of a non-Party does not become originating North American content merely because it is routed through, repackaged in, relabeled in, minimally processed in, or shipped from Canada, Mexico, or the United States. Origin is determined only under Chapters 4 and 5 and the applicable product-specific rules, and intentional transshipment, false provenance, or superficial processing designed to evade those rules remains subject to verification, denial of preference, recovery, and proportionate penalties.</w:t>
      </w:r>
    </w:p>
    <w:p>
      <w:pPr>
        <w:pStyle w:val="TrumpVisibilityHeadline"/>
        <w:widowControl/>
        <w:rPr/>
      </w:pPr>
      <w:r>
        <w:rPr/>
        <w:t xml:space="preserve">★ </w:t>
      </w:r>
      <w:r>
        <w:rPr/>
        <w:t>VISIBLE U.S. WIN: NEW NORTH AMERICAN STEEL AND ALUMINUM INVESTMENT WITH DURABLE TARIFF NORMALIZATION</w:t>
      </w:r>
    </w:p>
    <w:p>
      <w:bookmarkStart w:id="1408" w:name="_NAESTMA_TOC_1408"/>
      <w:pPr>
        <w:pStyle w:val="Heading2"/>
        <w:keepNext/>
        <w:widowControl/>
        <w:rPr/>
      </w:pPr>
      <w:r>
        <w:rPr/>
        <w:t>Article 36.14A: North American Metals Investment Compact</w:t>
      </w:r>
      <w:bookmarkEnd w:id="1408"/>
    </w:p>
    <w:p>
      <w:pPr>
        <w:pStyle w:val="Normal"/>
        <w:widowControl/>
        <w:rPr/>
      </w:pPr>
      <w:r>
        <w:rPr/>
        <w:t>1. The Parties establish a North American Metals Investment Compact to pair durable normalization of trade in originating North American steel and aluminum with commercially grounded expansion, modernization, recycling, processing, traceability, and strategic-capacity investment across the three Parties.</w:t>
      </w:r>
    </w:p>
    <w:p>
      <w:pPr>
        <w:pStyle w:val="Normal"/>
        <w:widowControl/>
        <w:rPr/>
      </w:pPr>
      <w:r>
        <w:rPr/>
        <w:t>2. The Compact may identify qualifying public and private projects involving primary production, electric-arc and other steelmaking modernization, smelting, rolling, casting, forging, recycling, specialty alloys, electrical steel, high-strength and low-carbon products, aerospace-grade aluminum, and other strategically important metal products. Project identification does not constitute a government purchase, funding guarantee, production quota, or entitlement to approval.</w:t>
      </w:r>
    </w:p>
    <w:p>
      <w:pPr>
        <w:pStyle w:val="Normal"/>
        <w:widowControl/>
        <w:rPr/>
      </w:pPr>
      <w:r>
        <w:rPr/>
        <w:t>3. The Parties may establish a Defense and Critical-Infrastructure Metals Lane for armor-grade and other defense steels, naval and shipbuilding grades, aerospace aluminum and specialty alloys, electrical and transformer steels, high-strength structural products, and other metal products for which insufficient North American capacity creates a documented security or resilience vulnerability.</w:t>
      </w:r>
    </w:p>
    <w:p>
      <w:pPr>
        <w:pStyle w:val="Normal"/>
        <w:widowControl/>
        <w:rPr/>
      </w:pPr>
      <w:r>
        <w:rPr/>
        <w:t>4. Competent authorities shall apply strong anti-transshipment, origin, melted-and-poured, smelted-and-cast, and traceability disciplines to qualifying treatment while preserving lawful use of non-Party feedstock or specialized materials where origin rules permit and where such use does not constitute circumvention.</w:t>
      </w:r>
    </w:p>
    <w:p>
      <w:pPr>
        <w:pStyle w:val="Normal"/>
        <w:widowControl/>
        <w:rPr/>
      </w:pPr>
      <w:r>
        <w:rPr/>
        <w:t>5. The Commission shall publish an annual non-confidential North American Metals Investment and Capacity Dashboard identifying, to the extent reliably measurable, announced and completed qualifying investment, net new or modernized capacity, recycling expansion, strategic-product capability, and significant supply-chain bottlenecks by Party. The Dashboard shall distinguish public commitments from private investment and shall not count a relocation within North America as net new continental capacity unless the Continental Additionality Test is satisfied.</w:t>
      </w:r>
    </w:p>
    <w:p>
      <w:pPr>
        <w:pStyle w:val="Normal"/>
        <w:widowControl/>
        <w:rPr/>
      </w:pPr>
      <w:r>
        <w:rPr/>
        <w:t>6. Any headline multi-year investment target adopted by the Parties shall be based on identifiable projects, commercially credible expansion plans, or appropriated public programs and shall not create an unfunded purchase, subsidy, or production obligation merely by publication of the target.</w:t>
      </w:r>
    </w:p>
    <w:p>
      <w:pPr>
        <w:pStyle w:val="Normal"/>
        <w:widowControl/>
        <w:rPr/>
      </w:pPr>
      <w:r>
        <w:rPr/>
        <w:t>7. The Parties shall seek durable tariff normalization for originating North American steel and aluminum satisfying the strengthened origin and anti-circumvention rules of this Agreement. A Party shall not treat a nominal tariff exemption accompanied by a disguised, automatically tightening, or commercially equivalent restriction as durable normalization unless the affected Parties expressly agree to that treatment.</w:t>
      </w:r>
    </w:p>
    <w:p>
      <w:pPr>
        <w:pStyle w:val="Normal"/>
        <w:widowControl/>
        <w:rPr/>
      </w:pPr>
      <w:r>
        <w:rPr/>
        <w:t>8. Where a specific investment, capacity, or security commitment is expressly exchanged for tariff or market-access treatment, the paired obligations shall follow Article 35.36: activation at the same time or at matched milestones where practicable, verification, a short cure period where appropriate, proportional step-back limited to the paired value, and automatic restoration when performance resumes.</w:t>
      </w:r>
    </w:p>
    <w:p>
      <w:bookmarkStart w:id="1409" w:name="_NAESTMA_TOC_1409"/>
      <w:pPr>
        <w:pStyle w:val="Heading2"/>
        <w:keepNext/>
        <w:widowControl/>
        <w:rPr/>
      </w:pPr>
      <w:bookmarkStart w:id="187" w:name="_Toc237912668"/>
      <w:r>
        <w:rPr/>
        <w:t>Article 36.15: Strategic Dependency Reduction and Reshoring</w:t>
      </w:r>
      <w:bookmarkEnd w:id="187"/>
      <w:bookmarkEnd w:id="1409"/>
    </w:p>
    <w:p>
      <w:pPr>
        <w:pStyle w:val="Normal"/>
        <w:widowControl/>
        <w:rPr/>
      </w:pPr>
      <w:r>
        <w:rPr/>
        <w:t>1. For each designated strategic sector, the Subcommittee shall publish non-binding resilience and dependency-reduction benchmarks addressing excessive concentration in a single source and documented reliance on high-risk sources, without presuming that non-Party origin itself constitutes risk.</w:t>
      </w:r>
    </w:p>
    <w:p>
      <w:pPr>
        <w:pStyle w:val="Normal"/>
        <w:widowControl/>
        <w:rPr/>
      </w:pPr>
      <w:r>
        <w:rPr/>
        <w:t>2. The Parties shall cooperate to diversify vulnerable supply chains, including by expanding North American relocation, processing, recycling, manufacturing, and substitute capacity and, where appropriate, by developing reliable alternative sourcing relationships with qualifying non-Parties. Participation by firms is voluntary, and each Party retains authority over its own incentives, sourcing policy, and investment policy.</w:t>
      </w:r>
    </w:p>
    <w:p>
      <w:pPr>
        <w:pStyle w:val="Normal"/>
        <w:widowControl/>
        <w:rPr/>
      </w:pPr>
      <w:r>
        <w:rPr/>
        <w:t>3. Benchmarks under this Article do not constitute import quotas, local-content mandates, or authority for a covered border measure against originating goods of another Party.</w:t>
      </w:r>
    </w:p>
    <w:p>
      <w:pPr>
        <w:pStyle w:val="Normal"/>
        <w:widowControl/>
        <w:rPr/>
      </w:pPr>
      <w:r>
        <w:rPr/>
        <w:t>4. Diversification under this Article may include maintaining or expanding commercially reliable external sources where doing so reduces concentration risk or improves resilience. Geographic origin, diplomatic alignment, or economic-system classification alone shall not determine whether a source is suitable.</w:t>
      </w:r>
    </w:p>
    <w:p>
      <w:bookmarkStart w:id="1410" w:name="_NAESTMA_TOC_1410"/>
      <w:pPr>
        <w:pStyle w:val="Heading2"/>
        <w:keepNext/>
        <w:widowControl/>
        <w:rPr/>
      </w:pPr>
      <w:bookmarkStart w:id="188" w:name="_Toc237912669"/>
      <w:r>
        <w:rPr/>
        <w:t>Article 36.16: Forced-Labor Perimeter and Trusted Supply-Chain Safe Harbor</w:t>
      </w:r>
      <w:bookmarkEnd w:id="188"/>
      <w:bookmarkEnd w:id="1410"/>
    </w:p>
    <w:p>
      <w:pPr>
        <w:pStyle w:val="Normal"/>
        <w:widowControl/>
        <w:rPr/>
      </w:pPr>
      <w:r>
        <w:rPr/>
        <w:t>1. The Parties shall cooperate to prevent goods produced wholly or in part with forced labor from entering North American commerce, including through interoperable risk indicators, evidence sharing, and coordinated enforcement consistent with each Party’s law.</w:t>
      </w:r>
    </w:p>
    <w:p>
      <w:pPr>
        <w:pStyle w:val="Normal"/>
        <w:widowControl/>
        <w:rPr/>
      </w:pPr>
      <w:r>
        <w:rPr/>
        <w:t>2. A producer or importer demonstrating an independently verified, low-risk supply chain under published standards shall receive a rebuttable trusted-supply-chain presumption and simplified routine documentation, without limiting action based on materially new evidence.</w:t>
      </w:r>
    </w:p>
    <w:p>
      <w:pPr>
        <w:pStyle w:val="Normal"/>
        <w:widowControl/>
        <w:rPr/>
      </w:pPr>
      <w:r>
        <w:rPr/>
        <w:t>3. Enforcement shall target the implicated goods, entities, and supply chains and shall include notice, access to non-confidential evidence, and review procedures.</w:t>
      </w:r>
    </w:p>
    <w:p>
      <w:bookmarkStart w:id="1411" w:name="_NAESTMA_TOC_1411"/>
      <w:pPr>
        <w:pStyle w:val="Heading2"/>
        <w:keepNext/>
        <w:widowControl/>
        <w:rPr/>
      </w:pPr>
      <w:bookmarkStart w:id="189" w:name="_Toc237912670"/>
      <w:r>
        <w:rPr/>
        <w:t>Article 36.17: Origin Fraud and Repeat-Offender Discipline</w:t>
      </w:r>
      <w:bookmarkEnd w:id="189"/>
      <w:bookmarkEnd w:id="1411"/>
    </w:p>
    <w:p>
      <w:pPr>
        <w:pStyle w:val="Normal"/>
        <w:widowControl/>
        <w:rPr/>
      </w:pPr>
      <w:r>
        <w:rPr/>
        <w:t>1. Intentional material origin fraud established through final administrative or judicial process may result in loss of trusted status, enhanced verification, monetary penalties under domestic law, and temporary exclusion from simplified CUSMA procedures.</w:t>
      </w:r>
    </w:p>
    <w:p>
      <w:pPr>
        <w:pStyle w:val="Normal"/>
        <w:widowControl/>
        <w:rPr/>
      </w:pPr>
      <w:r>
        <w:rPr/>
        <w:t>2. The Secretariat shall maintain a confidential trilateral repeat-offender register accessible to competent customs authorities. Public identification requires a final finding and an opportunity for review.</w:t>
      </w:r>
    </w:p>
    <w:p>
      <w:pPr>
        <w:pStyle w:val="Normal"/>
        <w:widowControl/>
        <w:rPr/>
      </w:pPr>
      <w:r>
        <w:rPr/>
        <w:t>3. Sanctions shall attach to responsible entities and products and shall not be imputed to unrelated producers or to a Party generally.</w:t>
      </w:r>
    </w:p>
    <w:p>
      <w:bookmarkStart w:id="1412" w:name="_NAESTMA_TOC_1412"/>
      <w:pPr>
        <w:pStyle w:val="Heading2"/>
        <w:keepNext/>
        <w:widowControl/>
        <w:rPr/>
      </w:pPr>
      <w:bookmarkStart w:id="190" w:name="_Toc237912671"/>
      <w:r>
        <w:rPr/>
        <w:t>Article 36.18: Agricultural Market-Access Assurance</w:t>
      </w:r>
      <w:bookmarkEnd w:id="190"/>
      <w:bookmarkEnd w:id="1412"/>
    </w:p>
    <w:p>
      <w:pPr>
        <w:pStyle w:val="Normal"/>
        <w:widowControl/>
        <w:rPr/>
      </w:pPr>
      <w:r>
        <w:rPr/>
        <w:t>1. The Parties shall administer agricultural tariff-rate quotas, licensing, inspection, listing, and distribution measures transparently, objectively, and without discrimination designed to nullify negotiated market access.</w:t>
      </w:r>
    </w:p>
    <w:p>
      <w:pPr>
        <w:pStyle w:val="Normal"/>
        <w:widowControl/>
        <w:rPr/>
      </w:pPr>
      <w:r>
        <w:rPr/>
        <w:t>2. Where a Party alleges that administration rather than the negotiated quantity is materially preventing utilization of agreed agricultural access, it may request an expedited factual review. The review shall distinguish genuine market conditions from administrative barriers.</w:t>
      </w:r>
    </w:p>
    <w:p>
      <w:pPr>
        <w:pStyle w:val="Normal"/>
        <w:widowControl/>
        <w:rPr/>
      </w:pPr>
      <w:r>
        <w:rPr/>
        <w:t>3. A verified administrative barrier shall be corrected through the narrowest sufficient remedy, including reallocation of unused quota, removal of discriminatory eligibility conditions, or accelerated processing, as appropriate. This Article does not itself alter a Party’s negotiated TRQ quantities or require dismantling of a domestic supply-management system.</w:t>
      </w:r>
    </w:p>
    <w:p>
      <w:bookmarkStart w:id="1413" w:name="_NAESTMA_TOC_1413"/>
      <w:pPr>
        <w:pStyle w:val="Heading2"/>
        <w:keepNext/>
        <w:widowControl/>
        <w:rPr/>
      </w:pPr>
      <w:bookmarkStart w:id="191" w:name="_Toc237912672"/>
      <w:r>
        <w:rPr/>
        <w:t>Article 36.19: North American Energy Security and Continuity</w:t>
      </w:r>
      <w:bookmarkEnd w:id="191"/>
      <w:bookmarkEnd w:id="1413"/>
    </w:p>
    <w:p>
      <w:pPr>
        <w:pStyle w:val="Normal"/>
        <w:widowControl/>
        <w:rPr/>
      </w:pPr>
      <w:r>
        <w:rPr/>
        <w:t>1. The Parties recognize reliable trade in originating electricity, oil, natural gas, nuclear fuel and services, refined products, renewable-energy inputs, and critical grid equipment as contributing to North American energy security.</w:t>
      </w:r>
    </w:p>
    <w:p>
      <w:pPr>
        <w:pStyle w:val="Normal"/>
        <w:widowControl/>
        <w:rPr/>
      </w:pPr>
      <w:r>
        <w:rPr/>
        <w:t>2. The Parties shall cooperate on emergency continuity, infrastructure resilience, interoperability, and transparent cross-border permitting while preserving each Party’s constitutional authority, environmental law, resource ownership, and regulatory jurisdiction.</w:t>
      </w:r>
    </w:p>
    <w:p>
      <w:pPr>
        <w:pStyle w:val="Normal"/>
        <w:widowControl/>
        <w:rPr/>
      </w:pPr>
      <w:r>
        <w:rPr/>
        <w:t>3. Originating energy trade shall not be treated as a presumptive national-security threat solely because it originates in another Party. Any restriction remains subject to Chapters 32, 35, and 38.</w:t>
      </w:r>
    </w:p>
    <w:p>
      <w:bookmarkStart w:id="1414" w:name="_NAESTMA_TOC_1414"/>
      <w:pPr>
        <w:pStyle w:val="Heading2"/>
        <w:keepNext/>
        <w:widowControl/>
        <w:rPr/>
      </w:pPr>
      <w:bookmarkStart w:id="192" w:name="_Toc237912673"/>
      <w:r>
        <w:rPr/>
        <w:t>Article 36.20: Semiconductor and Advanced-Manufacturing Compact</w:t>
      </w:r>
      <w:bookmarkEnd w:id="192"/>
      <w:bookmarkEnd w:id="1414"/>
    </w:p>
    <w:p>
      <w:pPr>
        <w:pStyle w:val="Normal"/>
        <w:widowControl/>
        <w:rPr/>
      </w:pPr>
      <w:r>
        <w:rPr/>
        <w:t>1. The Parties shall facilitate resilient North American capacity in semiconductor fabrication, packaging, testing, substrates, power electronics, industrial robotics, advanced manufacturing equipment, and critical upstream inputs.</w:t>
      </w:r>
    </w:p>
    <w:p>
      <w:pPr>
        <w:pStyle w:val="Normal"/>
        <w:widowControl/>
        <w:rPr/>
      </w:pPr>
      <w:r>
        <w:rPr/>
        <w:t>2. Cooperation may include workforce development, research partnerships, standards interoperability, trusted-supplier programs, and voluntary coordination of incentives, subject to competition law and each Party’s domestic authority.</w:t>
      </w:r>
    </w:p>
    <w:p>
      <w:pPr>
        <w:pStyle w:val="Normal"/>
        <w:widowControl/>
        <w:rPr/>
      </w:pPr>
      <w:r>
        <w:rPr/>
        <w:t>3. Nothing in this Article requires transfer of controlled technology, source code, classified information, or intellectual property.</w:t>
      </w:r>
    </w:p>
    <w:p>
      <w:bookmarkStart w:id="1415" w:name="_NAESTMA_TOC_1415"/>
      <w:pPr>
        <w:pStyle w:val="Heading2"/>
        <w:keepNext/>
        <w:widowControl/>
        <w:rPr/>
      </w:pPr>
      <w:bookmarkStart w:id="193" w:name="_Toc237912674"/>
      <w:r>
        <w:rPr/>
        <w:t>Article 36.21: Small-Business Export Fast Lane</w:t>
      </w:r>
      <w:bookmarkEnd w:id="193"/>
      <w:bookmarkEnd w:id="1415"/>
    </w:p>
    <w:p>
      <w:pPr>
        <w:pStyle w:val="Normal"/>
        <w:widowControl/>
        <w:rPr/>
      </w:pPr>
      <w:r>
        <w:rPr/>
        <w:t>1. Each Party shall establish a simplified CUSMA export and import pathway for qualifying small and medium-sized enterprises with clean compliance records, including standardized electronic documentation, consolidated origin submissions, predictable service standards, and access to advance rulings.</w:t>
      </w:r>
    </w:p>
    <w:p>
      <w:pPr>
        <w:pStyle w:val="Normal"/>
        <w:widowControl/>
        <w:rPr/>
      </w:pPr>
      <w:r>
        <w:rPr/>
        <w:t>2. The Parties shall publish common model forms and a single explanatory data dictionary for low-value and routine SME shipments, consistent with Chapters 5 and 7.</w:t>
      </w:r>
    </w:p>
    <w:p>
      <w:pPr>
        <w:pStyle w:val="Normal"/>
        <w:widowControl/>
        <w:rPr/>
      </w:pPr>
      <w:r>
        <w:rPr/>
        <w:t>3. Benefits under this Article are reciprocal and available on objective criteria without regard to the nationality of the ultimate owner of a qualifying enterprise.</w:t>
      </w:r>
    </w:p>
    <w:p>
      <w:bookmarkStart w:id="1416" w:name="_NAESTMA_TOC_1416"/>
      <w:pPr>
        <w:pStyle w:val="Heading2"/>
        <w:keepNext/>
        <w:widowControl/>
        <w:rPr/>
      </w:pPr>
      <w:bookmarkStart w:id="194" w:name="_Toc237912675"/>
      <w:r>
        <w:rPr/>
        <w:t>Article 36.22: Regulatory Barrier Rapid Review</w:t>
      </w:r>
      <w:bookmarkEnd w:id="194"/>
      <w:bookmarkEnd w:id="1416"/>
    </w:p>
    <w:p>
      <w:pPr>
        <w:pStyle w:val="Normal"/>
        <w:widowControl/>
        <w:rPr/>
      </w:pPr>
      <w:r>
        <w:rPr/>
        <w:t>1. An exporter, importer, or Party may request rapid review of a technical, licensing, inspection, or administrative requirement alleged to discriminate against originating goods or services of another Party or to impose a materially disproportionate burden without a legitimate regulatory justification.</w:t>
      </w:r>
    </w:p>
    <w:p>
      <w:pPr>
        <w:pStyle w:val="Normal"/>
        <w:widowControl/>
        <w:rPr/>
      </w:pPr>
      <w:r>
        <w:rPr/>
        <w:t>2. Review shall apply the necessity, non-discrimination, and compliance-burden principles of this Agreement and shall respect each Party’s right to regulate for health, safety, environment, privacy, culture, consumer protection, financial stability, and other legitimate public objectives.</w:t>
      </w:r>
    </w:p>
    <w:p>
      <w:pPr>
        <w:pStyle w:val="Normal"/>
        <w:widowControl/>
        <w:rPr/>
      </w:pPr>
      <w:r>
        <w:rPr/>
        <w:t>3. A rapid review does not suspend a bona fide health or safety measure merely because compliance is costly. Interim relief is available only under the standards of Chapter 35.</w:t>
      </w:r>
    </w:p>
    <w:p>
      <w:bookmarkStart w:id="1417" w:name="_NAESTMA_TOC_1417"/>
      <w:pPr>
        <w:pStyle w:val="Heading2"/>
        <w:keepNext/>
        <w:widowControl/>
        <w:rPr/>
      </w:pPr>
      <w:bookmarkStart w:id="195" w:name="_Toc237912676"/>
      <w:r>
        <w:rPr/>
        <w:t>Article 36.23: Digital Trade and Advanced-Technology Non-Discrimination</w:t>
      </w:r>
      <w:bookmarkEnd w:id="195"/>
      <w:bookmarkEnd w:id="1417"/>
    </w:p>
    <w:p>
      <w:pPr>
        <w:pStyle w:val="Normal"/>
        <w:widowControl/>
        <w:rPr/>
      </w:pPr>
      <w:r>
        <w:rPr/>
        <w:t>1. The Parties reaffirm that digital regulation shall not discriminate against a service supplier or digital product solely because of the nationality of another Party, while preserving legitimate regulation consistent with Chapter 19 and other applicable provisions of this Agreement.</w:t>
      </w:r>
    </w:p>
    <w:p>
      <w:pPr>
        <w:pStyle w:val="Normal"/>
        <w:widowControl/>
        <w:rPr/>
      </w:pPr>
      <w:r>
        <w:rPr/>
        <w:t>2. The Parties shall cooperate on artificial intelligence, cybersecurity, privacy-enhancing technologies, digital identity, electronic invoicing, and advanced-manufacturing interoperability without requiring regulatory harmonization or weakening a Party’s privacy, competition, cultural, consumer-protection, or national-security laws.</w:t>
      </w:r>
    </w:p>
    <w:p>
      <w:pPr>
        <w:pStyle w:val="Normal"/>
        <w:widowControl/>
        <w:rPr/>
      </w:pPr>
      <w:r>
        <w:rPr/>
        <w:t>3. Nothing in this Article creates a general exemption from taxation or from laws of general application.</w:t>
      </w:r>
    </w:p>
    <w:p>
      <w:pPr>
        <w:pStyle w:val="TrumpVisibilityHeadline"/>
        <w:widowControl/>
        <w:rPr/>
      </w:pPr>
      <w:r>
        <w:rPr>
          <w:b/>
        </w:rPr>
        <w:t xml:space="preserve">★ </w:t>
      </w:r>
      <w:r>
        <w:rPr>
          <w:b/>
        </w:rPr>
        <w:t>VISIBLE U.S. WIN: MORE U.S. EXPORT, INVESTMENT, RESHORING AND JOINT-VENTURE OPPORTUNITIES</w:t>
      </w:r>
    </w:p>
    <w:p>
      <w:bookmarkStart w:id="1418" w:name="_NAESTMA_TOC_1418"/>
      <w:pPr>
        <w:pStyle w:val="Heading2"/>
        <w:keepNext/>
        <w:widowControl/>
        <w:rPr/>
      </w:pPr>
      <w:bookmarkStart w:id="196" w:name="_Toc237912677"/>
      <w:r>
        <w:rPr/>
        <w:t>Article 36.24: North American Trade Rebalancing and Investment Mechanism</w:t>
      </w:r>
      <w:bookmarkEnd w:id="196"/>
      <w:bookmarkEnd w:id="1418"/>
    </w:p>
    <w:p>
      <w:pPr>
        <w:pStyle w:val="Normal"/>
        <w:widowControl/>
        <w:rPr/>
      </w:pPr>
      <w:r>
        <w:rPr/>
        <w:t>1. A persistent or material change in a bilateral trade balance, import volume, market share, manufacturing capacity, or domestic operating margin may trigger a factual diagnostic, but does not by itself establish unfair trade, economic distortion, or a violation of this Agreement.</w:t>
      </w:r>
    </w:p>
    <w:p>
      <w:pPr>
        <w:pStyle w:val="Normal"/>
        <w:widowControl/>
        <w:rPr/>
      </w:pPr>
      <w:r>
        <w:rPr/>
        <w:t>2. On request of a Party, the Treaty Integrity Secretariat shall prepare a diagnostic identifying, where data permit, the contributions of energy prices, exchange rates, demand, investment cycles, capacity constraints, lawful comparative advantage, non-market practices, origin fraud, subsidies, regulatory barriers, infrastructure constraints, and other material factors.</w:t>
      </w:r>
    </w:p>
    <w:p>
      <w:pPr>
        <w:pStyle w:val="Normal"/>
        <w:widowControl/>
        <w:rPr/>
      </w:pPr>
      <w:r>
        <w:rPr/>
        <w:t>3. Where the diagnostic identifies commercially addressable opportunities, the Parties shall convene a voluntary Rebalancing and Investment Dialogue to identify opportunities for additional exports, removal of verified regulatory barriers, new investment, reshoring or friend-shoring from high-risk non-Parties into North America, joint ventures, infrastructure and energy projects, procurement opportunities consistent with Chapter 13, agricultural market access consistent with negotiated commitments, and expansion of productive capacity.</w:t>
      </w:r>
    </w:p>
    <w:p>
      <w:pPr>
        <w:pStyle w:val="Normal"/>
        <w:widowControl/>
        <w:rPr/>
      </w:pPr>
      <w:r>
        <w:rPr/>
        <w:t>4. Recommendations under paragraph 3 are non-binding unless separately adopted under this Agreement or domestic law. No Party is required to purchase a specified quantity of goods, direct private investment, maintain a bilateral trade-balance target, or accept a managed-trade commitment.</w:t>
      </w:r>
    </w:p>
    <w:p>
      <w:pPr>
        <w:pStyle w:val="Normal"/>
        <w:widowControl/>
        <w:rPr/>
      </w:pPr>
      <w:r>
        <w:rPr/>
        <w:t>5. Only a distortion independently verified under Chapter 35 may support a corrective measure. A trade deficit or surplus, standing alone or in combination with a political objective, is not actionable and does not establish injury.</w:t>
      </w:r>
    </w:p>
    <w:p>
      <w:pPr>
        <w:pStyle w:val="Normal"/>
        <w:widowControl/>
        <w:rPr/>
      </w:pPr>
      <w:r>
        <w:rPr/>
        <w:t>6. The Secretariat shall publish a non-confidential annual North American Opportunity Report identifying verified supply gaps and commercially realistic export, investment, manufacturing, energy, infrastructure, and agricultural opportunities in each Party.</w:t>
      </w:r>
    </w:p>
    <w:p>
      <w:bookmarkStart w:id="1419" w:name="_NAESTMA_TOC_1419"/>
      <w:pPr>
        <w:pStyle w:val="Heading2"/>
        <w:keepNext/>
        <w:widowControl/>
        <w:rPr/>
      </w:pPr>
      <w:bookmarkStart w:id="197" w:name="_Toc237912678"/>
      <w:r>
        <w:rPr/>
        <w:t>Article 36.25: Voluntary Subnational Market Access Framework</w:t>
      </w:r>
      <w:bookmarkEnd w:id="197"/>
      <w:bookmarkEnd w:id="1419"/>
    </w:p>
    <w:p>
      <w:pPr>
        <w:pStyle w:val="Normal"/>
        <w:widowControl/>
        <w:rPr/>
      </w:pPr>
      <w:r>
        <w:rPr/>
        <w:t>1. The Parties establish a framework through which willing provinces, territories, states, and other eligible subnational governments may, consistently with their constitutional authority and the law of the relevant Party, undertake reciprocal market-access commitments that go beyond the baseline obligations of this Agreement.</w:t>
      </w:r>
    </w:p>
    <w:p>
      <w:pPr>
        <w:pStyle w:val="Normal"/>
        <w:widowControl/>
        <w:rPr/>
      </w:pPr>
      <w:r>
        <w:rPr/>
        <w:t>2. Participation is voluntary. No federal Party may compel a subnational government to participate, and no participating subnational government acquires authority outside its constitutional jurisdiction.</w:t>
      </w:r>
    </w:p>
    <w:p>
      <w:pPr>
        <w:pStyle w:val="Normal"/>
        <w:widowControl/>
        <w:rPr/>
      </w:pPr>
      <w:r>
        <w:rPr/>
        <w:t>3. Commitments may address beverage-alcohol listing and distribution, procurement, professional licensing, transportation, energy equipment, digital administration, agricultural marketing, and other matters within participating governments’ authority. Commitments shall be transparent, reciprocal, non-discriminatory, and registered with the Commission.</w:t>
      </w:r>
    </w:p>
    <w:p>
      <w:pPr>
        <w:pStyle w:val="Normal"/>
        <w:widowControl/>
        <w:rPr/>
      </w:pPr>
      <w:r>
        <w:rPr/>
        <w:t>4. A participating Canadian province may provide enhanced, non-discriminatory access for originating U.S. wine, beer, and spirits through streamlined listing, transparent markups, simplified registration, distribution access, or other measures within provincial authority. Equivalent opportunities shall be available for originating Canadian products in participating U.S. jurisdictions. Nothing in this paragraph requires a province or state to privatize a distribution system or alter health, safety, labeling, age, or ordinary tax rules applied without discrimination.</w:t>
      </w:r>
    </w:p>
    <w:p>
      <w:pPr>
        <w:pStyle w:val="Normal"/>
        <w:widowControl/>
        <w:rPr/>
      </w:pPr>
      <w:r>
        <w:rPr/>
        <w:t>5. A subnational commitment shall remain in effect for the period specified in its registered schedule. Withdrawal requires not less than 12 months’ notice unless the schedule provides a longer period, protecting reasonable commercial reliance.</w:t>
      </w:r>
    </w:p>
    <w:p>
      <w:pPr>
        <w:pStyle w:val="Normal"/>
        <w:widowControl/>
        <w:rPr/>
      </w:pPr>
      <w:r>
        <w:rPr/>
        <w:t>6. The Commission shall maintain model schedules and may facilitate province-state or state-province arrangements, but shall not negotiate on behalf of a subnational government without its consent.</w:t>
      </w:r>
    </w:p>
    <w:p>
      <w:bookmarkStart w:id="1420" w:name="_NAESTMA_TOC_1420"/>
      <w:pPr>
        <w:pStyle w:val="Heading2"/>
        <w:keepNext/>
        <w:widowControl/>
        <w:rPr/>
      </w:pPr>
      <w:bookmarkStart w:id="198" w:name="_Toc237912679"/>
      <w:r>
        <w:rPr/>
        <w:t>Article 36.26: Provincial-Demand Agricultural Allocation Option</w:t>
      </w:r>
      <w:bookmarkEnd w:id="198"/>
      <w:bookmarkEnd w:id="1420"/>
    </w:p>
    <w:p>
      <w:pPr>
        <w:pStyle w:val="Normal"/>
        <w:widowControl/>
        <w:rPr/>
      </w:pPr>
      <w:r>
        <w:rPr/>
        <w:t>1. Without altering Canada’s aggregate CUSMA tariff-rate quota commitments or requiring the dismantling of supply management, Canada may establish a transparent mechanism through which importers serving a province demonstrating unmet consumer or processor demand may receive a defined portion of available, returned, underutilized, or newly negotiated agricultural TRQ access.</w:t>
      </w:r>
    </w:p>
    <w:p>
      <w:pPr>
        <w:pStyle w:val="Normal"/>
        <w:widowControl/>
        <w:rPr/>
      </w:pPr>
      <w:r>
        <w:rPr/>
        <w:t>2. An allocation under paragraph 1 shall: (a) not reduce another province’s legally committed existing allocation solely to create the provincial allocation; (b) use published demand and utilization criteria; (c) permit eligible importers to compete on non-discriminatory terms; (d) return materially unused quantities to the applicable national pool; and (e) remain consistent with Chapter 3 and Canada’s Schedule.</w:t>
      </w:r>
    </w:p>
    <w:p>
      <w:pPr>
        <w:pStyle w:val="Normal"/>
        <w:widowControl/>
        <w:rPr/>
      </w:pPr>
      <w:r>
        <w:rPr/>
        <w:t>3. The Parties may negotiate reciprocal provincial or state market-access opportunities for agricultural products under Article 36.25. Nothing in this Article creates a unilateral entitlement to additional quota beyond Canada’s negotiated aggregate commitments.</w:t>
      </w:r>
    </w:p>
    <w:p>
      <w:bookmarkStart w:id="1421" w:name="_NAESTMA_TOC_1421"/>
      <w:pPr>
        <w:pStyle w:val="Heading2"/>
        <w:keepNext/>
        <w:widowControl/>
        <w:rPr/>
      </w:pPr>
      <w:bookmarkStart w:id="199" w:name="_Toc237912680"/>
      <w:r>
        <w:rPr/>
        <w:t>Article 36.27: Strategic Procurement and Trusted-Supplier Reciprocity</w:t>
      </w:r>
      <w:bookmarkEnd w:id="199"/>
      <w:bookmarkEnd w:id="1421"/>
    </w:p>
    <w:p>
      <w:pPr>
        <w:pStyle w:val="Normal"/>
        <w:widowControl/>
        <w:rPr/>
      </w:pPr>
      <w:r>
        <w:rPr/>
        <w:t>1. The Parties shall seek reciprocal opportunities for originating suppliers in strategic infrastructure and other covered procurement while preserving each Party’s procurement laws, security exceptions, and existing reservations.</w:t>
      </w:r>
    </w:p>
    <w:p>
      <w:pPr>
        <w:pStyle w:val="Normal"/>
        <w:widowControl/>
        <w:rPr/>
      </w:pPr>
      <w:r>
        <w:rPr/>
        <w:t>2. The Commission may establish a voluntary trusted North American supplier designation for procurements in which the procuring entity elects to recognize enhanced origin, cybersecurity, supply-chain integrity, and security standards. The designation does not compel an award and does not override domestic procurement authority.</w:t>
      </w:r>
    </w:p>
    <w:p>
      <w:pPr>
        <w:pStyle w:val="Normal"/>
        <w:widowControl/>
        <w:rPr/>
      </w:pPr>
      <w:r>
        <w:rPr/>
        <w:t>3. Expansion of procurement coverage or alteration of existing reservations requires the agreement of the affected Parties and any domestic approval required by their laws.</w:t>
      </w:r>
    </w:p>
    <w:p>
      <w:bookmarkStart w:id="1422" w:name="_NAESTMA_TOC_1422"/>
      <w:pPr>
        <w:pStyle w:val="Heading2"/>
        <w:keepNext/>
        <w:widowControl/>
        <w:rPr/>
      </w:pPr>
      <w:bookmarkStart w:id="200" w:name="_Toc237912681"/>
      <w:r>
        <w:rPr/>
        <w:t>Article 36.28: Stronger-Deal Extension Review</w:t>
      </w:r>
      <w:bookmarkEnd w:id="200"/>
      <w:bookmarkEnd w:id="1422"/>
    </w:p>
    <w:p>
      <w:pPr>
        <w:pStyle w:val="Normal"/>
        <w:widowControl/>
        <w:rPr/>
      </w:pPr>
      <w:r>
        <w:rPr/>
        <w:t>1. At each joint review under Article 34.7, the Parties shall separately assess the performance of the enhanced origin, anti-circumvention, agricultural market-access, economic-security, SME facilitation, and automatic-enforcement provisions adopted through the Protocol of Modernization.</w:t>
      </w:r>
    </w:p>
    <w:p>
      <w:pPr>
        <w:pStyle w:val="Normal"/>
        <w:widowControl/>
        <w:rPr/>
      </w:pPr>
      <w:r>
        <w:rPr/>
        <w:t>2. The assessment shall identify measurable gains to manufacturers, farmers, ranchers, workers, service suppliers, consumers, and businesses of all sizes in each Party and shall distinguish verified compliance failures from ordinary commercial outcomes.</w:t>
      </w:r>
    </w:p>
    <w:p>
      <w:pPr>
        <w:pStyle w:val="Normal"/>
        <w:widowControl/>
        <w:rPr/>
      </w:pPr>
      <w:r>
        <w:rPr/>
        <w:t>3. Nothing in this Article predetermines a Party’s position on any modernization recommendation under Article 34.7. Its purpose is to ensure that review decisions are informed by transparent evidence concerning the materially strengthened bargain created by the Protocol of Modernization; continuation of the Agreement does not depend on adoption of any recommendation.</w:t>
      </w:r>
    </w:p>
    <w:p>
      <w:bookmarkStart w:id="1423" w:name="_NAESTMA_TOC_1423"/>
      <w:pPr>
        <w:pStyle w:val="Heading2"/>
        <w:keepNext/>
        <w:widowControl/>
        <w:spacing w:before="180" w:after="80"/>
        <w:rPr/>
      </w:pPr>
      <w:r>
        <w:rPr/>
        <w:t>Article 36.29: Supply-Chain Resilience and Worker Transition</w:t>
      </w:r>
      <w:bookmarkEnd w:id="1423"/>
    </w:p>
    <w:p>
      <w:pPr>
        <w:pStyle w:val="Normal"/>
        <w:widowControl/>
        <w:spacing w:before="0" w:after="100"/>
        <w:rPr/>
      </w:pPr>
      <w:r>
        <w:rPr/>
        <w:t>Supply-chain resilience initiatives under Chapter 36 shall be implemented in a manner consistent with Chapter 23-B (North American Just Transition and Worker Security Framework). Specifically:</w:t>
      </w:r>
    </w:p>
    <w:p>
      <w:pPr>
        <w:pStyle w:val="Normal"/>
        <w:widowControl/>
        <w:spacing w:before="0" w:after="100"/>
        <w:rPr/>
      </w:pPr>
      <w:r>
        <w:rPr/>
        <w:t>(i) When a supply-chain restructuring initiative results in plant closure, significant workforce reduction, or relocation, affected workers and communities shall be entitled to Chapter 23-B protections (income support, retraining, community resilience support).</w:t>
      </w:r>
    </w:p>
    <w:p>
      <w:pPr>
        <w:pStyle w:val="Normal"/>
        <w:widowControl/>
        <w:spacing w:before="0" w:after="100"/>
        <w:rPr/>
      </w:pPr>
      <w:r>
        <w:rPr/>
        <w:t>(ii) Supply-chain sectors experiencing restructuring shall be reviewed for designation as Transition Sectors under Article 23-B.8.</w:t>
      </w:r>
    </w:p>
    <w:p>
      <w:pPr>
        <w:pStyle w:val="Normal"/>
        <w:widowControl/>
        <w:spacing w:before="0" w:after="100"/>
        <w:rPr/>
      </w:pPr>
      <w:r>
        <w:rPr/>
        <w:t>(iii) The Commission shall coordinate between Chapter 36 (supply-chain resilience) and Chapter 23-B (worker/community resilience) to ensure that supply-chain changes do not outpace worker and community support mechanisms.</w:t>
      </w:r>
    </w:p>
    <w:p>
      <w:pPr>
        <w:pStyle w:val="Normal"/>
        <w:widowControl/>
        <w:rPr/>
      </w:pPr>
      <w:r>
        <w:rPr/>
        <w:t>Chapter 37 is the principal critical-minerals and strategic-materials location. Related security, origin, industrial-capacity, semiconductor, recycling, and external-feedstock rules appear elsewhere.</w:t>
      </w:r>
    </w:p>
    <w:p>
      <w:pPr>
        <w:pStyle w:val="TrumpVisibilityHeadline"/>
        <w:widowControl/>
        <w:rPr/>
      </w:pPr>
      <w:r>
        <w:rPr/>
        <w:t>SEARCH SIGNPOST — CRITICAL MINERALS / STRATEGIC MATERIALS / PROCESSING / REFINING / STOCKPILES / OFFTAKE / RECYCLING / RARE EARTHS</w:t>
      </w:r>
      <w:r>
        <w:br w:type="page"/>
      </w:r>
    </w:p>
    <w:p>
      <w:bookmarkStart w:id="1424" w:name="_NAESTMA_TOC_1424"/>
      <w:pPr>
        <w:pStyle w:val="Heading1"/>
        <w:keepNext/>
        <w:keepLines w:val="0"/>
        <w:pageBreakBefore/>
        <w:widowControl/>
        <w:rPr/>
      </w:pPr>
      <w:bookmarkStart w:id="201" w:name="_Toc237912682"/>
      <w:r>
        <w:rPr/>
        <w:t>CHAPTER 37</w:t>
      </w:r>
      <w:bookmarkEnd w:id="201"/>
      <w:bookmarkEnd w:id="1424"/>
    </w:p>
    <w:p>
      <w:bookmarkStart w:id="1425" w:name="_NAESTMA_TOC_1425"/>
      <w:pPr>
        <w:pStyle w:val="Heading1"/>
        <w:keepNext/>
        <w:pageBreakBefore w:val="0"/>
        <w:widowControl/>
        <w:rPr/>
      </w:pPr>
      <w:bookmarkStart w:id="202" w:name="_Toc237912683"/>
      <w:r>
        <w:rPr/>
        <w:t>CRITICAL MINERALS AND STRATEGIC MATERIALS</w:t>
      </w:r>
      <w:bookmarkEnd w:id="202"/>
      <w:bookmarkEnd w:id="1425"/>
    </w:p>
    <w:p>
      <w:pPr>
        <w:pStyle w:val="TrumpVisibilityHeadline"/>
        <w:widowControl/>
        <w:rPr/>
      </w:pPr>
      <w:r>
        <w:rPr/>
        <w:t xml:space="preserve">★ </w:t>
      </w:r>
      <w:r>
        <w:rPr/>
        <w:t>VISIBLE U.S. WIN: SECURE CRITICAL-MINERAL ACCESS, PROCESSING, OFFTAKE, STOCKPILE COOPERATION, AND LOWER STRATEGIC DEPENDENCY</w:t>
      </w:r>
    </w:p>
    <w:p>
      <w:bookmarkStart w:id="1426" w:name="_NAESTMA_TOC_1426"/>
      <w:pPr>
        <w:pStyle w:val="Heading2"/>
        <w:keepNext/>
        <w:widowControl/>
        <w:rPr/>
      </w:pPr>
      <w:bookmarkStart w:id="203" w:name="_Toc237912684"/>
      <w:r>
        <w:rPr/>
        <w:t>Article 37.1: Purpose</w:t>
      </w:r>
      <w:bookmarkEnd w:id="203"/>
      <w:bookmarkEnd w:id="1426"/>
    </w:p>
    <w:p>
      <w:pPr>
        <w:pStyle w:val="Normal"/>
        <w:widowControl/>
        <w:rPr/>
      </w:pPr>
      <w:r>
        <w:rPr/>
        <w:t>1. The Parties recognize that secure, resilient, and traceable North American supply chains for critical minerals and strategic materials are essential to the economic and national security of each Party, and that extraction, processing, refining, recycling, recovery, and remanufacturing within the Parties each constitute economically valuable stages of the strategic value chain.</w:t>
      </w:r>
    </w:p>
    <w:p>
      <w:pPr>
        <w:pStyle w:val="Normal"/>
        <w:widowControl/>
        <w:rPr/>
      </w:pPr>
      <w:r>
        <w:rPr/>
        <w:t>2. This Chapter facilitates trade in qualifying critical minerals and strategic materials, recognizes legitimate North American processing as conferring strategic value, and establishes traceability and anti-circumvention disciplines, without conferring on any Party authority over another Party’s resources.</w:t>
      </w:r>
    </w:p>
    <w:p>
      <w:bookmarkStart w:id="1427" w:name="_NAESTMA_TOC_1427"/>
      <w:pPr>
        <w:pStyle w:val="Heading2"/>
        <w:keepNext/>
        <w:widowControl/>
        <w:rPr/>
      </w:pPr>
      <w:bookmarkStart w:id="204" w:name="_Toc237912685"/>
      <w:r>
        <w:rPr/>
        <w:t>Article 37.2: Definitions and Scope</w:t>
      </w:r>
      <w:bookmarkEnd w:id="204"/>
      <w:bookmarkEnd w:id="1427"/>
    </w:p>
    <w:p>
      <w:pPr>
        <w:pStyle w:val="Normal"/>
        <w:widowControl/>
        <w:rPr/>
      </w:pPr>
      <w:r>
        <w:rPr/>
        <w:t xml:space="preserve">1. </w:t>
      </w:r>
      <w:r>
        <w:rPr>
          <w:b/>
        </w:rPr>
        <w:t>Critical minerals</w:t>
      </w:r>
      <w:r>
        <w:rPr/>
        <w:t xml:space="preserve"> means the minerals and materials listed in Annex 37-A, which the Commission shall maintain and may amend by consensus, drawing on the critical-minerals lists of each Party.</w:t>
      </w:r>
    </w:p>
    <w:p>
      <w:pPr>
        <w:pStyle w:val="Normal"/>
        <w:widowControl/>
        <w:rPr/>
      </w:pPr>
      <w:r>
        <w:rPr/>
        <w:t xml:space="preserve">2. </w:t>
      </w:r>
      <w:r>
        <w:rPr>
          <w:b/>
        </w:rPr>
        <w:t>Strategic materials</w:t>
      </w:r>
      <w:r>
        <w:rPr/>
        <w:t xml:space="preserve"> means materials designated by the Commission as strategic, including battery materials, rare earth elements and magnets, and semiconductor-grade materials.</w:t>
      </w:r>
    </w:p>
    <w:p>
      <w:pPr>
        <w:pStyle w:val="Normal"/>
        <w:widowControl/>
        <w:rPr/>
      </w:pPr>
      <w:r>
        <w:rPr/>
        <w:t>3. This Chapter applies to extraction, processing, refining, recycling, recovery, remanufacturing, component production, and trade of critical minerals and strategic materials.</w:t>
      </w:r>
    </w:p>
    <w:p>
      <w:bookmarkStart w:id="1428" w:name="_NAESTMA_TOC_1428"/>
      <w:pPr>
        <w:pStyle w:val="Heading2"/>
        <w:keepNext/>
        <w:widowControl/>
        <w:rPr/>
      </w:pPr>
      <w:bookmarkStart w:id="205" w:name="_Toc237912686"/>
      <w:r>
        <w:rPr/>
        <w:t>Article 37.3: Facilitation of Trade</w:t>
      </w:r>
      <w:bookmarkEnd w:id="205"/>
      <w:bookmarkEnd w:id="1428"/>
    </w:p>
    <w:p>
      <w:pPr>
        <w:pStyle w:val="Normal"/>
        <w:widowControl/>
        <w:rPr/>
      </w:pPr>
      <w:r>
        <w:rPr/>
        <w:t>1. Each Party shall accord duty-free treatment to originating critical minerals and strategic materials, and shall not apply export restrictions to such goods destined for another Party except consistently with this Agreement, including Article 35.3A.</w:t>
      </w:r>
    </w:p>
    <w:p>
      <w:pPr>
        <w:pStyle w:val="Normal"/>
        <w:widowControl/>
        <w:rPr/>
      </w:pPr>
      <w:r>
        <w:rPr/>
        <w:t>2. Processing, refining, recycling, recovery, and remanufacturing within one or more Parties confer originating status in accordance with the rules of Chapter 4 as amended, including Article 4.A.4 (Circular Production).</w:t>
      </w:r>
    </w:p>
    <w:p>
      <w:pPr>
        <w:pStyle w:val="Normal"/>
        <w:widowControl/>
        <w:rPr/>
      </w:pPr>
      <w:r>
        <w:rPr/>
        <w:t>3. No Party shall apply a covered border measure to originating critical minerals or strategic materials of another Party except in conformity with Chapter 35. Such goods are within the Strategic Sectors designated under Article 35.23.</w:t>
      </w:r>
    </w:p>
    <w:p>
      <w:bookmarkStart w:id="1429" w:name="_NAESTMA_TOC_1429"/>
      <w:pPr>
        <w:pStyle w:val="Heading2"/>
        <w:keepNext/>
        <w:widowControl/>
        <w:rPr/>
      </w:pPr>
      <w:bookmarkStart w:id="206" w:name="_Toc237912687"/>
      <w:r>
        <w:rPr/>
        <w:t>Article 37.4: Traceability</w:t>
      </w:r>
      <w:bookmarkEnd w:id="206"/>
      <w:bookmarkEnd w:id="1429"/>
    </w:p>
    <w:p>
      <w:pPr>
        <w:pStyle w:val="Normal"/>
        <w:widowControl/>
        <w:rPr/>
      </w:pPr>
      <w:r>
        <w:rPr/>
        <w:t>1. The Parties shall develop interoperable traceability standards for critical minerals and strategic materials, covering mine-to-market chain-of-custody, under the Economic Security and Supply Chain Resilience Subcommittee.</w:t>
      </w:r>
    </w:p>
    <w:p>
      <w:pPr>
        <w:pStyle w:val="Normal"/>
        <w:widowControl/>
        <w:rPr/>
      </w:pPr>
      <w:r>
        <w:rPr/>
        <w:t>2. Traceability standards shall: (a) enable verification of origin and of environmental and labour compliance; (b) deter circumvention; (c) accommodate commercially confidential information, in accordance with the access tiers of Annex 35-C, Part 4; and (d) provide simplified procedures for small and medium-sized producers.</w:t>
      </w:r>
    </w:p>
    <w:p>
      <w:pPr>
        <w:pStyle w:val="Normal"/>
        <w:widowControl/>
        <w:rPr/>
      </w:pPr>
      <w:r>
        <w:rPr/>
        <w:t>3. Goods certified under the traceability standards are eligible for Trusted North American Origin status under Article 36.6.</w:t>
      </w:r>
    </w:p>
    <w:p>
      <w:pPr>
        <w:pStyle w:val="Normal"/>
        <w:widowControl/>
        <w:rPr/>
      </w:pPr>
      <w:r>
        <w:rPr/>
        <w:t>4. Traceability by Risk. Standards under this Article shall not require universal component-by-component or mine-to-market tracking where lower-burden evidence provides reasonable assurance. The Subcommittee shall maintain published low-, medium-, and high-risk categories and the minimum evidence appropriate to each.</w:t>
      </w:r>
    </w:p>
    <w:p>
      <w:pPr>
        <w:pStyle w:val="Normal"/>
        <w:widowControl/>
        <w:rPr/>
      </w:pPr>
      <w:r>
        <w:rPr/>
        <w:t>5. Technological Neutrality and Fallback. No specific distributed-ledger, blockchain, registry, identifier, software vendor, or digital architecture is required. When an interoperable digital system is unavailable, impaired, or inaccessible to an SME, origin and chain-of-custody may be demonstrated through ordinary commercial records, customs data, test certificates, accredited third-party certifications, supplier declarations, or other reliable evidence.</w:t>
      </w:r>
    </w:p>
    <w:p>
      <w:pPr>
        <w:pStyle w:val="Normal"/>
        <w:widowControl/>
        <w:rPr/>
      </w:pPr>
      <w:r>
        <w:rPr/>
        <w:t>6. A failure, delay, incompleteness, disagreement, or technical unavailability affecting the Shared Trade Data Registry, another technical platform, a traceability standard, certification method, or implementing methodology does not suspend preferential treatment, stop a verification clock, create an adverse inference against a trader that timely supplied reliable alternative evidence, or independently authorize a tariff, surcharge, fee, quota, suspension of preference, or other covered border measure. A Party may not rely on a traceability or technical condition materially created, prolonged, or aggravated by its own implementation failure as the factual predicate for an emergency, safeguard, essential-security, transitional, corrective, or other trade restriction.</w:t>
      </w:r>
    </w:p>
    <w:p>
      <w:bookmarkStart w:id="1430" w:name="_NAESTMA_TOC_1430"/>
      <w:pPr>
        <w:pStyle w:val="Heading2"/>
        <w:keepNext/>
        <w:widowControl/>
        <w:rPr/>
      </w:pPr>
      <w:bookmarkStart w:id="207" w:name="_Toc237912688"/>
      <w:r>
        <w:rPr/>
        <w:t>Article 37.5: Resilient Processing Capacity</w:t>
      </w:r>
      <w:bookmarkEnd w:id="207"/>
      <w:bookmarkEnd w:id="1430"/>
    </w:p>
    <w:p>
      <w:pPr>
        <w:pStyle w:val="Normal"/>
        <w:widowControl/>
        <w:rPr/>
      </w:pPr>
      <w:r>
        <w:rPr/>
        <w:t>1. The Parties shall endeavor to develop resilient North American capacity across the full value chain, including processing and refining, recognizing that extraction alone does not constitute the strategic value chain.</w:t>
      </w:r>
    </w:p>
    <w:p>
      <w:pPr>
        <w:pStyle w:val="Normal"/>
        <w:widowControl/>
        <w:rPr/>
      </w:pPr>
      <w:r>
        <w:rPr/>
        <w:t>2. The Parties shall cooperate on permitting predictability, technical standards, and workforce development, consistent with each Party’s domestic authority and with Chapter 24 (Environment) and Chapter 23 (Labor).</w:t>
      </w:r>
    </w:p>
    <w:p>
      <w:bookmarkStart w:id="1431" w:name="_NAESTMA_TOC_1431"/>
      <w:pPr>
        <w:pStyle w:val="Heading2"/>
        <w:keepNext/>
        <w:widowControl/>
        <w:rPr/>
      </w:pPr>
      <w:bookmarkStart w:id="208" w:name="_Toc237912689"/>
      <w:r>
        <w:rPr/>
        <w:t>Article 37.6: Recycling and Circular Supply</w:t>
      </w:r>
      <w:bookmarkEnd w:id="208"/>
      <w:bookmarkEnd w:id="1431"/>
    </w:p>
    <w:p>
      <w:pPr>
        <w:pStyle w:val="Normal"/>
        <w:widowControl/>
        <w:rPr/>
      </w:pPr>
      <w:r>
        <w:rPr/>
        <w:t>1. Recycled and recovered critical minerals and battery materials originating in a Party receive the same treatment under this Agreement as primary materials.</w:t>
      </w:r>
    </w:p>
    <w:p>
      <w:pPr>
        <w:pStyle w:val="Normal"/>
        <w:widowControl/>
        <w:rPr/>
      </w:pPr>
      <w:r>
        <w:rPr/>
        <w:t>2. The Parties shall adopt rules facilitating cross-border movement of recyclable and recoverable materials destined for processing in a Party, consistent with applicable environmental obligations including the Basel Convention as implemented by each Party.</w:t>
      </w:r>
    </w:p>
    <w:p>
      <w:bookmarkStart w:id="1432" w:name="_NAESTMA_TOC_1432"/>
      <w:pPr>
        <w:pStyle w:val="Heading2"/>
        <w:keepNext/>
        <w:widowControl/>
        <w:rPr/>
      </w:pPr>
      <w:bookmarkStart w:id="209" w:name="_Toc237912690"/>
      <w:r>
        <w:rPr/>
        <w:t>Article 37.6A: Trusted Non-Party Strategic Materials and Advanced-Metals Access</w:t>
      </w:r>
      <w:bookmarkEnd w:id="209"/>
      <w:bookmarkEnd w:id="1432"/>
    </w:p>
    <w:p>
      <w:pPr>
        <w:pStyle w:val="Normal"/>
        <w:widowControl/>
        <w:rPr/>
      </w:pPr>
      <w:r>
        <w:rPr/>
        <w:t>1. The Parties recognize that resilient North American advanced manufacturing may require reliable access to specialized metals, alloys, mill products, powders, forgings, castings, and other strategic materials that are unavailable in sufficient quantity, grade, certification, form, or delivery time within North America.</w:t>
      </w:r>
    </w:p>
    <w:p>
      <w:pPr>
        <w:pStyle w:val="Normal"/>
        <w:widowControl/>
        <w:rPr/>
      </w:pPr>
      <w:r>
        <w:rPr/>
        <w:t>2. A Party may designate a non-Party jurisdiction, facility, or supplier as a Trusted Strategic Materials Source for specified materials where the Party determines, on published and reviewable criteria, that the source provides reliable traceability; commercial transparency and supply reliability; effective labor and environmental compliance; compliance with sanctions and export controls legally applicable to the importing Party and transaction where relevant; protection against forced labor; and low risk of transshipment, fraud, or circumvention. Ownership structure, state participation, diplomatic alignment, or a jurisdiction's general economic model shall not by itself disqualify a source.</w:t>
      </w:r>
    </w:p>
    <w:p>
      <w:pPr>
        <w:pStyle w:val="Normal"/>
        <w:widowControl/>
        <w:rPr/>
      </w:pPr>
      <w:r>
        <w:rPr/>
        <w:t>3. Importation by a Party from a Trusted Strategic Materials Source shall not, by itself, constitute circumvention, non-market sourcing, a prohibited dependency, or grounds for an adverse measure under Chapters 35, 36, or 37. Nothing in this paragraph converts the imported material into an originating material for purposes of Chapter 4 unless the applicable rule of origin is independently satisfied.</w:t>
      </w:r>
    </w:p>
    <w:p>
      <w:pPr>
        <w:pStyle w:val="Normal"/>
        <w:widowControl/>
        <w:rPr/>
      </w:pPr>
      <w:r>
        <w:rPr/>
        <w:t>4. Where a specialized material is not available from North American producers in commercially sufficient quantity, required technical grade, certification, form, or reasonable delivery time, a Party shall be free to facilitate importation from a Trusted Strategic Materials Source, including through expedited licensing, customs facilitation, tariff suspension or remission permitted by its law and international obligations, or other non-discriminatory measures.</w:t>
      </w:r>
    </w:p>
    <w:p>
      <w:pPr>
        <w:pStyle w:val="Normal"/>
        <w:widowControl/>
        <w:rPr/>
      </w:pPr>
      <w:r>
        <w:rPr/>
        <w:t>5. No Party shall require another Party to restrict imports of a material from a Trusted Strategic Materials Source solely because the material is also produced in North America. Any request for coordinated restriction shall identify particularized evidence of circumvention, coercive non-market conduct, forced labor, sanctions evasion, or a direct and material security risk and remains subject to Chapters 32 and 35.</w:t>
      </w:r>
    </w:p>
    <w:p>
      <w:pPr>
        <w:pStyle w:val="Normal"/>
        <w:widowControl/>
        <w:rPr/>
      </w:pPr>
      <w:r>
        <w:rPr/>
        <w:t>6. A Party may establish an Advanced Manufacturing Materials Shortage List covering, among other goods, aerospace-grade titanium and titanium alloys; nickel- and cobalt-based superalloys; high-strength aluminum alloys; specialty steels; magnesium alloys; scandium-containing alloys; niobium, tantalum, tungsten, molybdenum, zirconium and hafnium products; certified forgings and castings; and other materials requiring specialized metallurgical or quality certification.</w:t>
      </w:r>
    </w:p>
    <w:p>
      <w:pPr>
        <w:pStyle w:val="Normal"/>
        <w:widowControl/>
        <w:rPr/>
      </w:pPr>
      <w:r>
        <w:rPr/>
        <w:t>7. Inclusion on the Shortage List shall be based on objective evidence concerning domestic and North American capacity, qualification lead times, technical specifications, delivery reliability, concentration risk, and reasonable commercial availability. The list shall be reviewed at least annually and may identify a material by grade, form, specification, or end-use class rather than by broad commodity category.</w:t>
      </w:r>
    </w:p>
    <w:p>
      <w:pPr>
        <w:pStyle w:val="Normal"/>
        <w:widowControl/>
        <w:rPr/>
      </w:pPr>
      <w:r>
        <w:rPr/>
        <w:t>8. Materials imported under this Article remain subject to ordinary customs valuation, origin accounting, sanctions, export controls, antidumping and countervailing duty law consistent with Chapter 10, and bona fide health, safety, environmental, and security requirements. This Article does not authorize evasion of a lawful measure against a non-Party.</w:t>
      </w:r>
    </w:p>
    <w:p>
      <w:pPr>
        <w:pStyle w:val="Normal"/>
        <w:widowControl/>
        <w:rPr/>
      </w:pPr>
      <w:r>
        <w:rPr/>
        <w:t>9. The Parties shall endeavor to ensure that legitimate use of trusted non-Party inputs does not disqualify a finished good from CUSMA treatment where the finished good independently satisfies the applicable tariff-shift, regional-value-content, or other product-specific rule of origin.</w:t>
      </w:r>
    </w:p>
    <w:p>
      <w:pPr>
        <w:pStyle w:val="Normal"/>
        <w:widowControl/>
        <w:rPr/>
      </w:pPr>
      <w:r>
        <w:rPr/>
        <w:t>10. The Economic Security and Supply Chain Resilience Subcommittee shall maintain a non-exclusive Trusted Strategic Materials Source register. Designation may apply to a jurisdiction, sector, facility, or supplier and may be suspended only on particularized evidence, with notice and an opportunity for review.</w:t>
      </w:r>
    </w:p>
    <w:p>
      <w:bookmarkStart w:id="1433" w:name="_NAESTMA_TOC_1433"/>
      <w:pPr>
        <w:pStyle w:val="Heading2"/>
        <w:keepNext/>
        <w:widowControl/>
        <w:rPr/>
      </w:pPr>
      <w:r>
        <w:rPr/>
        <w:t>Article 37.6B: Strategic Resource Non-Exclusivity and Voluntary Offtake</w:t>
      </w:r>
      <w:bookmarkEnd w:id="1433"/>
    </w:p>
    <w:p>
      <w:pPr>
        <w:pStyle w:val="Normal"/>
        <w:widowControl/>
        <w:rPr/>
      </w:pPr>
      <w:r>
        <w:rPr/>
        <w:t>1. Nothing in this Agreement grants a Party a right of first refusal, exclusive purchasing right, preferential claim, compulsory offtake entitlement, export veto, production-direction right, mandatory destination requirement, or other exclusive entitlement over critical minerals, strategic materials, processing capacity, reserves, or future production located in or controlled by another Party.</w:t>
      </w:r>
    </w:p>
    <w:p>
      <w:pPr>
        <w:pStyle w:val="Normal"/>
        <w:widowControl/>
        <w:rPr/>
      </w:pPr>
      <w:r>
        <w:rPr/>
        <w:t>2. Strategic-material cooperation may include voluntary commercial offtakes, jointly financed projects, market-based price-stability mechanisms, stockpile exchanges, emergency-access arrangements, processing partnerships, recycling and recovery agreements, and other mutually agreed instruments.</w:t>
      </w:r>
    </w:p>
    <w:p>
      <w:pPr>
        <w:pStyle w:val="Normal"/>
        <w:widowControl/>
        <w:rPr/>
      </w:pPr>
      <w:r>
        <w:rPr/>
        <w:t>3. An arrangement under paragraph 2 shall identify its duration, scope, commercial or public purpose, termination conditions, and any emergency priority rules. Unless expressly agreed by the supplying Party, it creates no entitlement to production outside the arrangement.</w:t>
      </w:r>
    </w:p>
    <w:p>
      <w:pPr>
        <w:pStyle w:val="Normal"/>
        <w:widowControl/>
        <w:rPr/>
      </w:pPr>
      <w:r>
        <w:rPr/>
        <w:t>4. A Party remains free to sell, allocate, process, retain, or export its strategic resources to non-Parties, subject to its domestic law and express obligations under this Agreement. Cooperation under this Chapter shall not be interpreted as compulsory extraction or compulsory expansion of raw-material exports.</w:t>
      </w:r>
    </w:p>
    <w:p>
      <w:pPr>
        <w:pStyle w:val="Normal"/>
        <w:widowControl/>
        <w:rPr/>
      </w:pPr>
      <w:r>
        <w:rPr/>
        <w:t>5. Nothing in this Article prevents a Party from voluntarily negotiating a project-specific right of first offer, right of first refusal, offtake, or priority-access term on ordinary commercial or public-contract terms. No such project-specific term becomes a treaty-wide entitlement or precedent for other resources.</w:t>
      </w:r>
    </w:p>
    <w:p>
      <w:bookmarkStart w:id="1434" w:name="_NAESTMA_TOC_1434"/>
      <w:pPr>
        <w:pStyle w:val="Heading2"/>
        <w:keepNext/>
        <w:widowControl/>
        <w:rPr/>
      </w:pPr>
      <w:r>
        <w:rPr/>
        <w:t>Article 37.6C: Strategic Materials Preferred Commercial Access Portfolio</w:t>
      </w:r>
      <w:bookmarkEnd w:id="1434"/>
    </w:p>
    <w:p>
      <w:pPr>
        <w:pStyle w:val="Normal"/>
        <w:widowControl/>
        <w:rPr/>
      </w:pPr>
      <w:r>
        <w:rPr/>
        <w:t>1. Consistent with Article 37.6B, a supplying Party may voluntarily establish a Preferred Commercial Access Window for an agreed portion of eligible export-available or incremental production of a designated strategic material. Such a Window is a limited opportunity to negotiate or match bona fide market-based commercial terms and is not an exclusive purchasing right, treaty-wide right of first refusal, ownership interest, export veto, or compulsory destination requirement.</w:t>
      </w:r>
    </w:p>
    <w:p>
      <w:pPr>
        <w:pStyle w:val="Normal"/>
        <w:widowControl/>
        <w:rPr/>
      </w:pPr>
      <w:r>
        <w:rPr/>
        <w:t>2. A Preferred Commercial Access Window shall preserve: existing contracts and committed customers; the supplying Party’s domestic industrial, energy, food-security, defense, infrastructure, and strategic-reserve requirements; Indigenous and other legally protected rights; emergency allocation authority; environmental and safety law; and the supplying Party’s freedom to trade with non-Parties after the applicable commercial window expires or is declined.</w:t>
      </w:r>
    </w:p>
    <w:p>
      <w:pPr>
        <w:pStyle w:val="Normal"/>
        <w:widowControl/>
        <w:rPr/>
      </w:pPr>
      <w:r>
        <w:rPr/>
        <w:t>3. No Window shall compel extraction, mine development, smelter or refinery operation, production expansion, sale below market-based terms, or acceptance of a commercially unreasonable offer. Private producers retain commercial autonomy except to the extent they voluntarily participate in an adopted program or contract.</w:t>
      </w:r>
    </w:p>
    <w:p>
      <w:pPr>
        <w:pStyle w:val="Normal"/>
        <w:widowControl/>
        <w:rPr/>
      </w:pPr>
      <w:r>
        <w:rPr/>
        <w:t>4. Preference shall, wherever commercially practicable, emphasize incremental capacity, newly export-available supply, recovered or recycled material, new refining or processing capacity, or production created through qualifying investment rather than displacement of established Canadian, Mexican, United States, or trusted non-Party customers.</w:t>
      </w:r>
    </w:p>
    <w:p>
      <w:pPr>
        <w:pStyle w:val="Normal"/>
        <w:widowControl/>
        <w:rPr/>
      </w:pPr>
      <w:r>
        <w:rPr/>
        <w:t>5. Where investment by purchasers, firms, public financial institutions, or governments of another Party materially creates additional mining, smelting, refining, recycling, processing, transport, or storage capacity, an adopted schedule may provide an enhanced or longer commercial-access window over a bounded share of the incremental output attributable to that investment. Such treatment shall not create a claim over pre-existing production.</w:t>
      </w:r>
    </w:p>
    <w:p>
      <w:pPr>
        <w:pStyle w:val="Normal"/>
        <w:widowControl/>
        <w:rPr/>
      </w:pPr>
      <w:r>
        <w:rPr/>
        <w:t>6. Commodity percentages shall be established only through an adopted schedule following capacity, domestic-demand, export, market-concentration, investment, and strategic-sensitivity review. Percentages operate as maximum eligible windows, not compulsory delivery quotas or guaranteed purchase volumes, and may be reduced when supply conditions materially tighten.</w:t>
      </w:r>
    </w:p>
    <w:p>
      <w:pPr>
        <w:pStyle w:val="Normal"/>
        <w:widowControl/>
        <w:rPr/>
      </w:pPr>
      <w:r>
        <w:rPr/>
        <w:t>7. Initial negotiating calibration ranges, subject to expert validation and schedule adoption, may include: aluminum, 30 to 50 percent of qualifying incremental capacity; potash, 15 to 25 percent of qualifying incremental or export-available supply; zinc, approximately 15 percent; copper, 10 to 20 percent with emphasis on incremental North American refining; iron ore and qualifying iron feedstocks, approximately 8 to 15 percent or another capacity-supported range; gold, approximately 3 to 5 percent; uranium, 2 to 2.5 percent; and scarce or specialty minerals only on individually calibrated terms, including zero fixed percentage where scarcity or strategic sensitivity warrants.</w:t>
      </w:r>
    </w:p>
    <w:p>
      <w:pPr>
        <w:pStyle w:val="Normal"/>
        <w:widowControl/>
        <w:rPr/>
      </w:pPr>
      <w:r>
        <w:rPr/>
        <w:t>8. The Commission shall review an adopted commodity schedule at least annually during its first three years and at least every two years thereafter. Review shall consider Canadian, Mexican, and United States requirements as applicable, production and reserve conditions, export concentration, new capacity, emergency needs, market distortions, and whether the Window remains reciprocal and commercially useful.</w:t>
      </w:r>
    </w:p>
    <w:p>
      <w:pPr>
        <w:pStyle w:val="Normal"/>
        <w:widowControl/>
        <w:rPr/>
      </w:pPr>
      <w:r>
        <w:rPr/>
        <w:t>9. Failure, shortage, or dispute concerning one commodity shall not suspend or reduce access, tariff treatment, forestry normalization, or other benefits attributable to a different commodity except to the extent an adopted schedule expressly assigns a quantified cross-commodity value and Cothrom review verifies material impairment.</w:t>
      </w:r>
    </w:p>
    <w:p>
      <w:pPr>
        <w:pStyle w:val="Normal"/>
        <w:widowControl/>
        <w:rPr/>
      </w:pPr>
      <w:r>
        <w:rPr/>
        <w:t>10. Nothing in this Article limits a Party’s ability to maintain diversified trade relationships or trusted external feedstock arrangements under Article 37.6A. Preferred access is non-exclusive and shall not be conditioned on termination of lawful commercial relationships with non-Parties.</w:t>
      </w:r>
    </w:p>
    <w:p>
      <w:bookmarkStart w:id="1435" w:name="_NAESTMA_TOC_1435"/>
      <w:pPr>
        <w:pStyle w:val="Heading2"/>
        <w:keepNext/>
        <w:widowControl/>
        <w:rPr/>
      </w:pPr>
      <w:r>
        <w:rPr/>
        <w:t>Article 37.6D: Abundance-Sensitive and Strategic-Sensitivity Calibration</w:t>
      </w:r>
      <w:bookmarkEnd w:id="1435"/>
    </w:p>
    <w:p>
      <w:pPr>
        <w:pStyle w:val="Normal"/>
        <w:widowControl/>
        <w:rPr/>
      </w:pPr>
      <w:r>
        <w:rPr/>
        <w:t>1. Preferred-access commitments shall be calibrated according to the supplying Party’s practical ability to provide reliable supply without impairing domestic requirements, existing commercial relationships, diversification, or long-term industrial development. Abundant and expandable materials may support larger windows; constrained materials shall support smaller windows; and exceptionally scarce, security-sensitive, or domestically deficient materials may receive a de minimis or zero fixed window.</w:t>
      </w:r>
    </w:p>
    <w:p>
      <w:pPr>
        <w:pStyle w:val="Normal"/>
        <w:widowControl/>
        <w:rPr/>
      </w:pPr>
      <w:r>
        <w:rPr/>
        <w:t>2. Aluminum may serve as a flagship capacity-expansion material where additional Canadian or other North American smelting, recycling, alloying, and downstream capacity is commercially viable. Copper cooperation should prioritize additional North American refining and processing where existing refined trade is already highly integrated. Potash cooperation may include agricultural supply assurance consistent with domestic and existing contractual requirements. Uranium cooperation shall remain narrowly bounded and subject to all applicable nuclear, non-proliferation, safeguards, licensing, strategic-reserve, and security requirements.</w:t>
      </w:r>
    </w:p>
    <w:p>
      <w:bookmarkStart w:id="1436" w:name="_NAESTMA_TOC_1436"/>
      <w:pPr>
        <w:pStyle w:val="Heading2"/>
        <w:keepNext/>
        <w:widowControl/>
        <w:rPr/>
      </w:pPr>
      <w:bookmarkStart w:id="210" w:name="_Toc237912691"/>
      <w:r>
        <w:rPr/>
        <w:t>Article 37.7: Strategic Stockpile Information</w:t>
      </w:r>
      <w:bookmarkEnd w:id="210"/>
      <w:bookmarkEnd w:id="1436"/>
    </w:p>
    <w:p>
      <w:pPr>
        <w:pStyle w:val="Normal"/>
        <w:widowControl/>
        <w:rPr/>
      </w:pPr>
      <w:r>
        <w:rPr/>
        <w:t>1. The Parties may, on a voluntary basis, exchange information concerning strategic reserves of designated critical minerals and strategic materials, and coordinate concerning release or acquisition in response to a verified supply disruption.</w:t>
      </w:r>
    </w:p>
    <w:p>
      <w:pPr>
        <w:pStyle w:val="Normal"/>
        <w:widowControl/>
        <w:rPr/>
      </w:pPr>
      <w:r>
        <w:rPr/>
        <w:t>2. This Article does not create a supranational stockpile authority or an obligation to maintain, acquire, or release reserves.</w:t>
      </w:r>
    </w:p>
    <w:p>
      <w:bookmarkStart w:id="1437" w:name="_NAESTMA_TOC_1437"/>
      <w:pPr>
        <w:pStyle w:val="Heading2"/>
        <w:keepNext/>
        <w:widowControl/>
        <w:rPr/>
      </w:pPr>
      <w:bookmarkStart w:id="211" w:name="_Toc237912692"/>
      <w:r>
        <w:rPr/>
        <w:t>ANNEX 37-B: INITIAL TRUSTED STRATEGIC MATERIALS COOPERATION</w:t>
      </w:r>
      <w:bookmarkEnd w:id="211"/>
      <w:bookmarkEnd w:id="1437"/>
    </w:p>
    <w:p>
      <w:pPr>
        <w:pStyle w:val="Normal"/>
        <w:widowControl/>
        <w:rPr/>
      </w:pPr>
      <w:r>
        <w:rPr/>
        <w:t>1. The Parties may recognize jurisdictions, facilities, or suppliers demonstrating high standards of traceability, product quality, supply reliability, labor and environmental compliance, commercial transparency, anti-corruption controls, and compliance with legally applicable sanctions and export controls as candidates for Trusted Strategic Materials Source designation under Article 37.6A.</w:t>
      </w:r>
    </w:p>
    <w:p>
      <w:pPr>
        <w:pStyle w:val="Normal"/>
        <w:widowControl/>
        <w:rPr/>
      </w:pPr>
      <w:r>
        <w:rPr/>
        <w:t>2. Technical equivalence and supply-chain cooperation shall be open on a non-exclusive basis to reliable qualifying jurisdictions, facilities, and suppliers capable of providing specialized advanced-manufacturing materials. No source receives automatic preference or exclusion by reason of diplomatic alignment, free-trade-agreement status, state ownership, country of origin, or general economic model; and no designation confers originating status or an exemption from otherwise applicable trade-remedy law.</w:t>
      </w:r>
    </w:p>
    <w:p>
      <w:pPr>
        <w:pStyle w:val="Normal"/>
        <w:widowControl/>
        <w:rPr/>
      </w:pPr>
      <w:r>
        <w:rPr/>
        <w:t>3. A Party may conclude mutual-recognition arrangements for metallurgical test reports, material traceability records, quality-system certifications, and other conformity documentation with a qualifying source, reducing duplicative testing while preserving regulator and purchaser authority to require verification where risk warrants.</w:t>
      </w:r>
    </w:p>
    <w:p>
      <w:pPr>
        <w:pStyle w:val="Normal"/>
        <w:widowControl/>
        <w:rPr/>
      </w:pPr>
      <w:r>
        <w:rPr/>
        <w:t>4. The Annex shall be administered on a non-exclusive basis and may be updated without reopening the Agreement where the Commission acts by consensus under the Structured Technical Amendment Procedure.</w:t>
      </w:r>
    </w:p>
    <w:p>
      <w:bookmarkStart w:id="1438" w:name="_NAESTMA_TOC_1438"/>
      <w:pPr>
        <w:pStyle w:val="Heading2"/>
        <w:keepNext/>
        <w:widowControl/>
        <w:rPr/>
      </w:pPr>
      <w:bookmarkStart w:id="212" w:name="_Toc237912693"/>
      <w:r>
        <w:rPr/>
        <w:t>ANNEX 37-A: CRITICAL MINERALS AND STRATEGIC MATERIALS LIST</w:t>
      </w:r>
      <w:bookmarkEnd w:id="212"/>
      <w:bookmarkEnd w:id="1438"/>
    </w:p>
    <w:p>
      <w:pPr>
        <w:pStyle w:val="Normal"/>
        <w:widowControl/>
        <w:rPr/>
      </w:pPr>
      <w:r>
        <w:rPr/>
        <w:t>1. The initial list of critical minerals for the purposes of Article 37.2 comprises: aluminum (gallium-containing and high-purity), antimony, arsenic, barite, beryllium, bismuth, cerium, cesium, chromium, cobalt, dysprosium, erbium, europium, fluorspar, gadolinium, gallium, germanium, graphite (natural), hafnium, holmium, indium, iridium, lanthanum, lithium, lutetium, magnesium, manganese, neodymium, nickel, niobium, palladium, platinum, praseodymium, rhodium, rubidium, ruthenium, samarium, scandium, tantalum, tellurium, terbium, thulium, tin, titanium, tungsten, uranium, vanadium, ytterbium, yttrium, zinc, and zirconium.</w:t>
      </w:r>
    </w:p>
    <w:p>
      <w:pPr>
        <w:pStyle w:val="Normal"/>
        <w:widowControl/>
        <w:rPr/>
      </w:pPr>
      <w:r>
        <w:rPr/>
        <w:t>2. The initial list of strategic materials comprises: battery-grade lithium compounds; battery cathode and anode active materials; rare earth permanent magnets; semiconductor-grade silicon, silicon carbide, and gallium compounds; high-purity aluminum and alumina; and such further materials as the Commission designates.</w:t>
      </w:r>
    </w:p>
    <w:p>
      <w:pPr>
        <w:pStyle w:val="Normal"/>
        <w:widowControl/>
        <w:rPr/>
      </w:pPr>
      <w:r>
        <w:rPr/>
        <w:t>3. The Commission shall review this Annex at least every two years and may amend it by consensus through the Structured Technical Amendment Procedure in Article 34.3.A.</w:t>
      </w:r>
    </w:p>
    <w:p>
      <w:bookmarkStart w:id="1439" w:name="_NAESTMA_TOC_1439"/>
      <w:pPr>
        <w:pStyle w:val="Heading2"/>
        <w:keepNext/>
        <w:widowControl/>
        <w:rPr/>
      </w:pPr>
      <w:bookmarkStart w:id="213" w:name="_Toc237912694"/>
      <w:r>
        <w:rPr/>
        <w:t>Article 37.8: North American Aluminum Security and Capacity Expansion</w:t>
      </w:r>
      <w:bookmarkEnd w:id="213"/>
      <w:bookmarkEnd w:id="1439"/>
    </w:p>
    <w:p>
      <w:pPr>
        <w:pStyle w:val="Normal"/>
        <w:widowControl/>
        <w:rPr/>
      </w:pPr>
      <w:r>
        <w:rPr/>
        <w:t>1. The Parties recognize primary and recycled aluminum as strategic industrial inputs and shall cooperate to expand reliable North American capacity in smelting, recycling, casting, alloy production, and associated infrastructure where commercially and environmentally viable.</w:t>
      </w:r>
    </w:p>
    <w:p>
      <w:pPr>
        <w:pStyle w:val="Normal"/>
        <w:widowControl/>
        <w:rPr/>
      </w:pPr>
      <w:r>
        <w:rPr/>
        <w:t>2. A Party may accelerate permitting coordination, grid and transport infrastructure, workforce development, recycling systems, demonstration projects, and investment facilitation for qualifying aluminum projects, subject to domestic law and without guaranteeing a particular producer, price, or volume.</w:t>
      </w:r>
    </w:p>
    <w:p>
      <w:pPr>
        <w:pStyle w:val="Normal"/>
        <w:widowControl/>
        <w:rPr/>
      </w:pPr>
      <w:r>
        <w:rPr/>
        <w:t>3. The Parties shall encourage long-term commercial supply arrangements and continuity planning for originating aluminum. No Party is required to reserve production for another Party or sell below market terms.</w:t>
      </w:r>
    </w:p>
    <w:p>
      <w:pPr>
        <w:pStyle w:val="Normal"/>
        <w:widowControl/>
        <w:rPr/>
      </w:pPr>
      <w:r>
        <w:rPr/>
        <w:t>4. The Parties shall consult on tariff-free or otherwise preferential treatment for originating Canadian, United States, and Mexican aluminum that satisfies strengthened smelt-and-cast, traceability, and anti-circumvention requirements under this Agreement.</w:t>
      </w:r>
    </w:p>
    <w:p>
      <w:bookmarkStart w:id="1440" w:name="_NAESTMA_TOC_1440"/>
      <w:pPr>
        <w:pStyle w:val="Heading2"/>
        <w:keepNext/>
        <w:widowControl/>
        <w:rPr/>
      </w:pPr>
      <w:bookmarkStart w:id="214" w:name="_Toc237912695"/>
      <w:r>
        <w:rPr/>
        <w:t>Article 37.9: Semiconductor Materials Security and High-Purity Processing</w:t>
      </w:r>
      <w:bookmarkEnd w:id="214"/>
      <w:bookmarkEnd w:id="1440"/>
    </w:p>
    <w:p>
      <w:pPr>
        <w:pStyle w:val="Normal"/>
        <w:widowControl/>
        <w:rPr/>
      </w:pPr>
      <w:r>
        <w:rPr/>
        <w:t>1. The Parties shall accelerate resilient North American supply chains for semiconductor and advanced-electronics materials, including gallium, germanium, indium, antimony, tantalum, tungsten, tin, copper, nickel, cobalt, high-purity aluminum and alumina, semiconductor-grade silicon, and other materials designated in Annex 37-A.</w:t>
      </w:r>
    </w:p>
    <w:p>
      <w:pPr>
        <w:pStyle w:val="Normal"/>
        <w:widowControl/>
        <w:rPr/>
      </w:pPr>
      <w:r>
        <w:rPr/>
        <w:t>2. Cooperation shall prioritize not only extraction but recovery from by-product streams, refining, ultra-high-purity processing, recycling, qualification, and other stages necessary to deliver semiconductor-grade material to North American manufacturers.</w:t>
      </w:r>
    </w:p>
    <w:p>
      <w:pPr>
        <w:pStyle w:val="Normal"/>
        <w:widowControl/>
        <w:rPr/>
      </w:pPr>
      <w:r>
        <w:rPr/>
        <w:t>3. The Parties may support joint research into improved recovery yields, purification, recycling, material efficiency, substitution, and reduced dependence on single-source bottlenecks. Participation shall remain technology-neutral and shall not require blanket exclusion of a non-Party supplier solely by reason of nationality.</w:t>
      </w:r>
    </w:p>
    <w:p>
      <w:pPr>
        <w:pStyle w:val="Normal"/>
        <w:widowControl/>
        <w:rPr/>
      </w:pPr>
      <w:r>
        <w:rPr/>
        <w:t>4. Government-supported offtake, financing, or stockpile arrangements shall use transparent criteria and shall preserve reasonable commercial access for domestic users and diversified global trade.</w:t>
      </w:r>
    </w:p>
    <w:p>
      <w:bookmarkStart w:id="1441" w:name="_NAESTMA_TOC_1441"/>
      <w:pPr>
        <w:pStyle w:val="Heading2"/>
        <w:keepNext/>
        <w:widowControl/>
        <w:rPr/>
      </w:pPr>
      <w:r>
        <w:rPr/>
        <w:t>Article 37.10: North American Strategic Materials Compact and Reciprocal Supply Assurance</w:t>
      </w:r>
      <w:bookmarkEnd w:id="1441"/>
    </w:p>
    <w:p>
      <w:pPr>
        <w:pStyle w:val="Normal"/>
        <w:widowControl/>
        <w:rPr/>
      </w:pPr>
      <w:r>
        <w:rPr/>
        <w:t>1. The Parties establish a North American Strategic Materials Compact through which Canada, Mexico, and the United States may undertake reciprocal supply, continuity, processing, qualification, recycling, financing, and emergency-access commitments for critical minerals and strategic industrial inputs.</w:t>
      </w:r>
    </w:p>
    <w:p>
      <w:pPr>
        <w:pStyle w:val="Normal"/>
        <w:widowControl/>
        <w:rPr/>
      </w:pPr>
      <w:r>
        <w:rPr/>
        <w:t>2. The Compact shall be reciprocal. No Party shall be treated solely as a source of raw materials, a residual market, or a destination for surplus production. Each Party may participate as producer, processor, manufacturer, consumer, investor, recycler, technology partner, or strategic purchaser.</w:t>
      </w:r>
    </w:p>
    <w:p>
      <w:pPr>
        <w:pStyle w:val="Normal"/>
        <w:widowControl/>
        <w:rPr/>
      </w:pPr>
      <w:r>
        <w:rPr/>
        <w:t>3. A strategic supply commitment guarantees agreed rules of access and commercially reasonable availability; it does not transfer ownership of a Party's resources, create an unlimited first claim on production, require below-market sales, or override essential domestic requirements.</w:t>
      </w:r>
    </w:p>
    <w:p>
      <w:pPr>
        <w:pStyle w:val="Normal"/>
        <w:widowControl/>
        <w:rPr/>
      </w:pPr>
      <w:r>
        <w:rPr/>
        <w:t>4. The Commission shall maintain Annex 37-C as a living strategic-materials matrix identifying lead opportunities, strategic forms, commitment types, processing bottlenecks, qualification needs, and reciprocal value for the three Parties.</w:t>
      </w:r>
    </w:p>
    <w:p>
      <w:pPr>
        <w:pStyle w:val="Normal"/>
        <w:widowControl/>
        <w:rPr/>
      </w:pPr>
      <w:r>
        <w:rPr/>
        <w:t>5. Commitments under this Article shall be interpreted together with Articles 37.3, 37.5, 37.6, 37.7, Chapter 38, and applicable environmental, labour, Indigenous-rights, sanctions, security, and trade-remedy provisions of this Agreement.</w:t>
      </w:r>
    </w:p>
    <w:p>
      <w:bookmarkStart w:id="1442" w:name="_NAESTMA_TOC_1442"/>
      <w:pPr>
        <w:pStyle w:val="Heading2"/>
        <w:keepNext/>
        <w:widowControl/>
        <w:rPr/>
      </w:pPr>
      <w:r>
        <w:rPr/>
        <w:t>Article 37.11: Strategic Availability Rates, Capacity-Ramp Commitments, and Continuity Guarantees</w:t>
      </w:r>
      <w:bookmarkEnd w:id="1442"/>
    </w:p>
    <w:p>
      <w:pPr>
        <w:pStyle w:val="Normal"/>
        <w:widowControl/>
        <w:rPr/>
      </w:pPr>
      <w:r>
        <w:rPr/>
        <w:t>1. A scheduled material may receive one or more of the following commitment types: (a) a Bounded Surge Commitment for mature production; (b) a Capacity-Ramp Commitment for new or expanding projects; (c) a Continuity Guarantee for established high-volume trade; or (d) a Processing and Qualification Guarantee where refining, separation, purification, conversion, metallurgy, or technical qualification is the principal bottleneck.</w:t>
      </w:r>
    </w:p>
    <w:p>
      <w:pPr>
        <w:pStyle w:val="Normal"/>
        <w:widowControl/>
        <w:rPr/>
      </w:pPr>
      <w:r>
        <w:rPr/>
        <w:t>2. A Strategic Availability Rate (SAR) expresses the maximum additional qualifying supply that a Party is prepared to seek to make commercially available above an agreed baseline. An SAR is a ceiling for a bounded commitment, not an unconditional production mandate or fixed purchase obligation.</w:t>
      </w:r>
    </w:p>
    <w:p>
      <w:pPr>
        <w:pStyle w:val="Normal"/>
        <w:widowControl/>
        <w:rPr/>
      </w:pPr>
      <w:r>
        <w:rPr/>
        <w:t>3. A Capacity-Ramp Commitment applies to verified incremental commercially available capacity as a project enters production and shall account for commissioning, qualification, ramp-up, existing contracts, domestic requirements, permitting, infrastructure, community and Indigenous obligations, and force majeure.</w:t>
      </w:r>
    </w:p>
    <w:p>
      <w:pPr>
        <w:pStyle w:val="Normal"/>
        <w:widowControl/>
        <w:rPr/>
      </w:pPr>
      <w:r>
        <w:rPr/>
        <w:t>4. A Continuity Guarantee protects existing strategic trade against arbitrary disruption and may include notice, consultation, emergency allocation, qualification continuity, and non-discriminatory access rather than an obligation to increase tonnage.</w:t>
      </w:r>
    </w:p>
    <w:p>
      <w:pPr>
        <w:pStyle w:val="Normal"/>
        <w:widowControl/>
        <w:rPr/>
      </w:pPr>
      <w:r>
        <w:rPr/>
        <w:t>5. Product-specific commitments may distinguish ore, concentrate, refined metal, chemical compounds, ferroalloys, high-purity forms, powders, active materials, magnets, fabricated inputs, recycled material, or other forms where broad commodity treatment would obscure the actual strategic bottleneck.</w:t>
      </w:r>
    </w:p>
    <w:p>
      <w:bookmarkStart w:id="1443" w:name="_NAESTMA_TOC_1443"/>
      <w:pPr>
        <w:pStyle w:val="Heading2"/>
        <w:keepNext/>
        <w:widowControl/>
        <w:rPr/>
      </w:pPr>
      <w:r>
        <w:rPr/>
        <w:t>Article 37.12: Strategic Availability Calibration and Technical Review</w:t>
      </w:r>
      <w:bookmarkEnd w:id="1443"/>
    </w:p>
    <w:p>
      <w:pPr>
        <w:pStyle w:val="Normal"/>
        <w:widowControl/>
        <w:rPr/>
      </w:pPr>
      <w:r>
        <w:rPr/>
        <w:t>1. Before a numerical SAR or equivalent quantitative commitment becomes operative, the Secretariat shall coordinate an independent technical calibration considering current and planned production; unused and expansion capacity; domestic consumption; existing contracts; import dependence; allied alternatives; processing constraints; strategic importance; substitutability; market concentration; project maturity; infrastructure; environmental constraints; labour conditions; community and Indigenous obligations; and expected demand growth.</w:t>
      </w:r>
    </w:p>
    <w:p>
      <w:pPr>
        <w:pStyle w:val="Normal"/>
        <w:widowControl/>
        <w:rPr/>
      </w:pPr>
      <w:r>
        <w:rPr/>
        <w:t>2. Negotiating reference percentages in Annex 37-C are provisional targets until calibrated under paragraph 1. The certified rate may be lower or higher where the evidence supports adjustment.</w:t>
      </w:r>
    </w:p>
    <w:p>
      <w:pPr>
        <w:pStyle w:val="Normal"/>
        <w:widowControl/>
        <w:rPr/>
      </w:pPr>
      <w:r>
        <w:rPr/>
        <w:t>3. Calibration shall use product-specific baselines and shall not aggregate unlike material forms where doing so would materially misstate strategic availability.</w:t>
      </w:r>
    </w:p>
    <w:p>
      <w:pPr>
        <w:pStyle w:val="Normal"/>
        <w:widowControl/>
        <w:rPr/>
      </w:pPr>
      <w:r>
        <w:rPr/>
        <w:t>4. Certified rates and commitment forms shall be reviewed periodically and may be adjusted through the Structured Technical Amendment Procedure where underlying capacity, demand, technology, market structure, or strategic risk materially changes.</w:t>
      </w:r>
    </w:p>
    <w:p>
      <w:pPr>
        <w:pStyle w:val="Normal"/>
        <w:widowControl/>
        <w:rPr/>
      </w:pPr>
      <w:r>
        <w:rPr/>
        <w:t>5. Failure to achieve a reference percentage because the calibrated commercially feasible rate is lower shall not constitute non-compliance where the Party has complied with this Article and the applicable certified commitment.</w:t>
      </w:r>
    </w:p>
    <w:p>
      <w:bookmarkStart w:id="1444" w:name="_NAESTMA_TOC_1444"/>
      <w:pPr>
        <w:pStyle w:val="Heading2"/>
        <w:keepNext/>
        <w:widowControl/>
        <w:rPr/>
      </w:pPr>
      <w:r>
        <w:rPr/>
        <w:t>Article 37.13: Strategic Value-Added Levels and Processing-First Development</w:t>
      </w:r>
      <w:bookmarkEnd w:id="1444"/>
    </w:p>
    <w:p>
      <w:pPr>
        <w:pStyle w:val="Normal"/>
        <w:widowControl/>
        <w:rPr/>
      </w:pPr>
      <w:r>
        <w:rPr/>
        <w:t>1. The Compact shall seek to increase North American value added rather than merely accelerate extraction. Before activating a substantial raw-material supply commitment, the Parties shall review whether additional North American recovery, refining, processing, conversion, alloying, component production, or recycling is commercially and strategically viable.</w:t>
      </w:r>
    </w:p>
    <w:p>
      <w:pPr>
        <w:pStyle w:val="Normal"/>
        <w:widowControl/>
        <w:rPr/>
      </w:pPr>
      <w:r>
        <w:rPr/>
        <w:t>2. Strategic Value-Added Levels (SVAL) may be assigned from primary extraction or recovery through progressively higher stages of beneficiation, refining, high-purity conversion, strategic-component production, and closed-loop recycling.</w:t>
      </w:r>
    </w:p>
    <w:p>
      <w:pPr>
        <w:pStyle w:val="Normal"/>
        <w:widowControl/>
        <w:rPr/>
      </w:pPr>
      <w:r>
        <w:rPr/>
        <w:t>3. Financing, qualification, customs facilitation, procurement eligibility, reserve access, infrastructure coordination, or other benefits may place greater weight on projects that resolve an identified North American processing bottleneck or move production to a higher SVAL.</w:t>
      </w:r>
    </w:p>
    <w:p>
      <w:pPr>
        <w:pStyle w:val="Normal"/>
        <w:widowControl/>
        <w:rPr/>
      </w:pPr>
      <w:r>
        <w:rPr/>
        <w:t>4. A Party increasing strategic supply primarily for the benefit of another Party should receive meaningful opportunity for corresponding investment in extraction, processing, recycling, infrastructure, or downstream manufacturing within the supplying Party, consistent with domestic law and commercial viability.</w:t>
      </w:r>
    </w:p>
    <w:p>
      <w:pPr>
        <w:pStyle w:val="Normal"/>
        <w:widowControl/>
        <w:rPr/>
      </w:pPr>
      <w:r>
        <w:rPr/>
        <w:t>5. Nothing in this Article requires inefficient localization, mandatory technology transfer, domestic-content discrimination inconsistent with this Agreement, or construction of processing capacity where objective analysis shows that such capacity is not commercially or strategically justified.</w:t>
      </w:r>
    </w:p>
    <w:p>
      <w:bookmarkStart w:id="1445" w:name="_NAESTMA_TOC_1445"/>
      <w:pPr>
        <w:pStyle w:val="Heading2"/>
        <w:keepNext/>
        <w:widowControl/>
        <w:rPr/>
      </w:pPr>
      <w:r>
        <w:rPr/>
        <w:t>Article 37.14: Strategic Project Pipeline, Qualification, Offtake, and Reserve Eligibility</w:t>
      </w:r>
      <w:bookmarkEnd w:id="1445"/>
    </w:p>
    <w:p>
      <w:pPr>
        <w:pStyle w:val="Normal"/>
        <w:widowControl/>
        <w:rPr/>
      </w:pPr>
      <w:r>
        <w:rPr/>
        <w:t>1. The Parties shall maintain a voluntary Strategic Project Pipeline identifying projects capable of resolving verified North American supply, processing, qualification, recycling, logistics, or strategic-form gaps.</w:t>
      </w:r>
    </w:p>
    <w:p>
      <w:pPr>
        <w:pStyle w:val="Normal"/>
        <w:widowControl/>
        <w:rPr/>
      </w:pPr>
      <w:r>
        <w:rPr/>
        <w:t>2. Pipeline information may include project maturity, expected capacity, material form, infrastructure needs, qualification lead times, financing gap, applicable community or Indigenous participation arrangements, and the strategic bottleneck addressed, while protecting confidential information.</w:t>
      </w:r>
    </w:p>
    <w:p>
      <w:pPr>
        <w:pStyle w:val="Normal"/>
        <w:widowControl/>
        <w:rPr/>
      </w:pPr>
      <w:r>
        <w:rPr/>
        <w:t>3. Government agencies may, where authorized by domestic law, facilitate standardized long-term offtake arrangements, demand aggregation, loan guarantees, project finance, equity participation, procurement qualification, or other investment tools using transparent and technology-neutral criteria.</w:t>
      </w:r>
    </w:p>
    <w:p>
      <w:pPr>
        <w:pStyle w:val="Normal"/>
        <w:widowControl/>
        <w:rPr/>
      </w:pPr>
      <w:r>
        <w:rPr/>
        <w:t>4. Qualifying Canadian, Mexican, and United States materials shall be eligible to compete for strategic reserve procurement, defense or infrastructure qualification, and comparable public demand programs on terms not less favorable solely because the material originates in another Party, subject to domestic law, security requirements, technical specifications, and applicable procurement obligations.</w:t>
      </w:r>
    </w:p>
    <w:p>
      <w:pPr>
        <w:pStyle w:val="Normal"/>
        <w:widowControl/>
        <w:rPr/>
      </w:pPr>
      <w:r>
        <w:rPr/>
        <w:t>5. The Parties shall establish accelerated technical pathways for testing and qualifying new North American material sources where an existing qualification bottleneck materially impedes strategic substitution. Qualification shall not be waived where safety, performance, or mission requirements make testing necessary.</w:t>
      </w:r>
    </w:p>
    <w:p>
      <w:pPr>
        <w:pStyle w:val="Normal"/>
        <w:widowControl/>
        <w:rPr/>
      </w:pPr>
      <w:r>
        <w:rPr/>
        <w:t>6. No government-supported offtake or reserve mechanism shall guarantee a producer a fixed price, purchase volume, or commercial return unless expressly authorized under domestic law.</w:t>
      </w:r>
    </w:p>
    <w:p>
      <w:bookmarkStart w:id="1446" w:name="_NAESTMA_TOC_1446"/>
      <w:pPr>
        <w:pStyle w:val="Heading2"/>
        <w:keepNext/>
        <w:widowControl/>
        <w:rPr/>
      </w:pPr>
      <w:r>
        <w:rPr/>
        <w:t>Article 37.15: Emergency Allocation, Domestic-Needs Floor, and No Preferential Starvation</w:t>
      </w:r>
      <w:bookmarkEnd w:id="1446"/>
    </w:p>
    <w:p>
      <w:pPr>
        <w:pStyle w:val="Normal"/>
        <w:widowControl/>
        <w:rPr/>
      </w:pPr>
      <w:r>
        <w:rPr/>
        <w:t>1. No Party is required to impair essential domestic requirements in order to satisfy another Party's strategic-material demand.</w:t>
      </w:r>
    </w:p>
    <w:p>
      <w:pPr>
        <w:pStyle w:val="Normal"/>
        <w:widowControl/>
        <w:rPr/>
      </w:pPr>
      <w:r>
        <w:rPr/>
        <w:t>2. During a verified shortage, a Party restricting a scheduled strategic material shall apply a transparent and proportionate allocation method that considers essential domestic requirements, existing essential contracts, health and safety, critical infrastructure, defense and strategic continuity, high-priority manufacturing, and historical North American supply relationships.</w:t>
      </w:r>
    </w:p>
    <w:p>
      <w:pPr>
        <w:pStyle w:val="Normal"/>
        <w:widowControl/>
        <w:rPr/>
      </w:pPr>
      <w:r>
        <w:rPr/>
        <w:t>3. After essential domestic requirements are addressed, a Party shall not unreasonably discriminate against another Party in the allocation of remaining exportable strategic supply relative to materially comparable non-Party destinations, subject to sanctions, security measures, international obligations, force majeure, and other defined exceptions.</w:t>
      </w:r>
    </w:p>
    <w:p>
      <w:pPr>
        <w:pStyle w:val="Normal"/>
        <w:widowControl/>
        <w:rPr/>
      </w:pPr>
      <w:r>
        <w:rPr/>
        <w:t>4. A Party shall not divert material received through an emergency-access mechanism to a non-Party for speculative resale or higher-priced arbitrage while the verified shortage continues, except with notice and where the diversion does not materially impair the emergency purpose.</w:t>
      </w:r>
    </w:p>
    <w:p>
      <w:pPr>
        <w:pStyle w:val="Normal"/>
        <w:widowControl/>
        <w:rPr/>
      </w:pPr>
      <w:r>
        <w:rPr/>
        <w:t>5. Emergency allocation decisions shall be reviewable under an accelerated Cothrom factual process and shall not create permanent market shares or procurement entitlements.</w:t>
      </w:r>
    </w:p>
    <w:p>
      <w:bookmarkStart w:id="1447" w:name="_NAESTMA_TOC_1447"/>
      <w:pPr>
        <w:pStyle w:val="Heading2"/>
        <w:keepNext/>
        <w:widowControl/>
        <w:rPr/>
      </w:pPr>
      <w:r>
        <w:rPr/>
        <w:t>Article 37.16: Anti-Hoarding, Anti-Diversion, Origin Integrity, and Strategic Supply Verification</w:t>
      </w:r>
      <w:bookmarkEnd w:id="1447"/>
    </w:p>
    <w:p>
      <w:pPr>
        <w:pStyle w:val="Normal"/>
        <w:widowControl/>
        <w:rPr/>
      </w:pPr>
      <w:r>
        <w:rPr/>
        <w:t>1. The Parties shall guard against strategic hoarding, shell intermediaries, false shortage declarations, origin laundering, superficial processing, artificial shipment splitting, contract warehousing, stockpile arbitrage, fraudulent strategic-grade claims, emergency-access diversion, and other conduct designed to obtain Compact benefits without satisfying their substantive conditions.</w:t>
      </w:r>
    </w:p>
    <w:p>
      <w:pPr>
        <w:pStyle w:val="Normal"/>
        <w:widowControl/>
        <w:rPr/>
      </w:pPr>
      <w:r>
        <w:rPr/>
        <w:t>2. Strategic-supply verification shall be risk-based and use the lowest-burden reliable evidence sufficient to establish origin, strategic form, qualification status, available capacity, and material compliance.</w:t>
      </w:r>
    </w:p>
    <w:p>
      <w:pPr>
        <w:pStyle w:val="Normal"/>
        <w:widowControl/>
        <w:rPr/>
      </w:pPr>
      <w:r>
        <w:rPr/>
        <w:t>3. A firm shall not be penalized for commercially reasonable inventory management, hedging, long-term contracting, maintenance reserves, or ordinary global trade solely because such activity reduces immediately available spot supply.</w:t>
      </w:r>
    </w:p>
    <w:p>
      <w:pPr>
        <w:pStyle w:val="Normal"/>
        <w:widowControl/>
        <w:rPr/>
      </w:pPr>
      <w:r>
        <w:rPr/>
        <w:t>4. Where abuse is established, remedies shall target the responsible trader, facility, shipment, or benefit where practicable and shall not automatically suspend a Party-wide strategic supply commitment.</w:t>
      </w:r>
    </w:p>
    <w:p>
      <w:pPr>
        <w:pStyle w:val="Normal"/>
        <w:widowControl/>
        <w:rPr/>
      </w:pPr>
      <w:r>
        <w:rPr/>
        <w:t>5. Confidential production, reserve, contract, and inventory information shall be protected under Annex 35-C and applicable domestic law.</w:t>
      </w:r>
    </w:p>
    <w:p>
      <w:bookmarkStart w:id="1448" w:name="_NAESTMA_TOC_1448"/>
      <w:pPr>
        <w:pStyle w:val="Heading2"/>
        <w:keepNext/>
        <w:widowControl/>
        <w:rPr/>
      </w:pPr>
      <w:r>
        <w:rPr/>
        <w:t>Article 37.17: Trilateral Industrialization, Community Participation, and Circular Supply</w:t>
      </w:r>
      <w:bookmarkEnd w:id="1448"/>
    </w:p>
    <w:p>
      <w:pPr>
        <w:pStyle w:val="Normal"/>
        <w:widowControl/>
        <w:rPr/>
      </w:pPr>
      <w:r>
        <w:rPr/>
        <w:t>1. The Parties shall use the Compact to promote resilient continental industrial capacity and shall assess benefits and adjustment costs for Canada, Mexico, and the United States separately.</w:t>
      </w:r>
    </w:p>
    <w:p>
      <w:pPr>
        <w:pStyle w:val="Normal"/>
        <w:widowControl/>
        <w:rPr/>
      </w:pPr>
      <w:r>
        <w:rPr/>
        <w:t>2. Mexico shall be integrated as a full strategic supplier, processor, manufacturer, recycler, and investment destination, including for materials and value chains in which Mexican production or processing provides a comparative North American advantage.</w:t>
      </w:r>
    </w:p>
    <w:p>
      <w:pPr>
        <w:pStyle w:val="Normal"/>
        <w:widowControl/>
        <w:rPr/>
      </w:pPr>
      <w:r>
        <w:rPr/>
        <w:t>3. Canada shall retain the ability to prioritize domestic value-added development and shall not be required to expand raw exports where a commercially viable North American processing opportunity would be materially undermined without review under Article 37.13.</w:t>
      </w:r>
    </w:p>
    <w:p>
      <w:pPr>
        <w:pStyle w:val="Normal"/>
        <w:widowControl/>
        <w:rPr/>
      </w:pPr>
      <w:r>
        <w:rPr/>
        <w:t>4. The United States shall participate not only as a consumer and financier but also through reciprocal continuity of strategic industrial inputs, processing, qualification, specialty materials, manufacturing capacity, recycling, and other value-chain contributions identified in Annex 37-C.</w:t>
      </w:r>
    </w:p>
    <w:p>
      <w:pPr>
        <w:pStyle w:val="Normal"/>
        <w:widowControl/>
        <w:rPr/>
      </w:pPr>
      <w:r>
        <w:rPr/>
        <w:t>5. Indigenous peoples and affected local communities shall have access, consistent with domestic law, to consultation, workforce, infrastructure, equity, procurement, benefit-sharing, and investment opportunities associated with qualifying projects. Nothing in this Chapter diminishes constitutionally protected Aboriginal or treaty rights or Indigenous self-government arrangements.</w:t>
      </w:r>
    </w:p>
    <w:p>
      <w:pPr>
        <w:pStyle w:val="Normal"/>
        <w:widowControl/>
        <w:rPr/>
      </w:pPr>
      <w:r>
        <w:rPr/>
        <w:t>6. Qualifying recycled and recovered materials may satisfy supply and continuity commitments where technically equivalent and traceable, thereby reducing unnecessary pressure for primary extraction.</w:t>
      </w:r>
    </w:p>
    <w:p>
      <w:bookmarkStart w:id="1449" w:name="_NAESTMA_TOC_1449"/>
      <w:pPr>
        <w:pStyle w:val="Heading2"/>
        <w:keepNext/>
        <w:widowControl/>
        <w:rPr/>
      </w:pPr>
      <w:r>
        <w:rPr/>
        <w:t>Article 37.18: Strategic Resources Stability Bargain and Cross-Sector De-escalation</w:t>
      </w:r>
      <w:bookmarkEnd w:id="1449"/>
    </w:p>
    <w:p>
      <w:pPr>
        <w:pStyle w:val="Normal"/>
        <w:widowControl/>
        <w:rPr/>
      </w:pPr>
      <w:r>
        <w:rPr/>
        <w:t>1. The Parties recognize that deeper strategic-material security may support broader negotiated resource and industrial stability, including durable treatment for sectors exposed to recurring tariff or trade-remedy uncertainty.</w:t>
      </w:r>
    </w:p>
    <w:p>
      <w:pPr>
        <w:pStyle w:val="Normal"/>
        <w:widowControl/>
        <w:rPr/>
      </w:pPr>
      <w:r>
        <w:rPr/>
        <w:t>2. Canada may package verified strategic-mineral availability, processing, qualification, reserve, or continuity commitments with negotiated measures promoting durable United States market stability for Canadian resource sectors, including forestry and metals, where the Parties agree that the combined package produces reciprocal value.</w:t>
      </w:r>
    </w:p>
    <w:p>
      <w:pPr>
        <w:pStyle w:val="Normal"/>
        <w:widowControl/>
        <w:rPr/>
      </w:pPr>
      <w:r>
        <w:rPr/>
        <w:t>3. Mexico may package verified strategic-material commitments with negotiated measures promoting durable United States market stability for Mexican metals, manufacturing, infrastructure, or other sectors, consistent with this Agreement.</w:t>
      </w:r>
    </w:p>
    <w:p>
      <w:pPr>
        <w:pStyle w:val="Normal"/>
        <w:widowControl/>
        <w:rPr/>
      </w:pPr>
      <w:r>
        <w:rPr/>
        <w:t>4. Cross-sector linkage shall operate through staged treaty benefits and proportionate remedies rather than automatic interruption of strategically essential material flows.</w:t>
      </w:r>
    </w:p>
    <w:p>
      <w:pPr>
        <w:pStyle w:val="Normal"/>
        <w:widowControl/>
        <w:rPr/>
      </w:pPr>
      <w:r>
        <w:rPr/>
        <w:t>5. Failure in one linked sector shall trigger consultation, Cothrom review, cure, and proportionate suspension of equivalent benefits where authorized. It shall not automatically terminate emergency-access commitments whose interruption would create disproportionate health, safety, defense, energy, or infrastructure risk.</w:t>
      </w:r>
    </w:p>
    <w:p>
      <w:pPr>
        <w:pStyle w:val="Normal"/>
        <w:widowControl/>
        <w:rPr/>
      </w:pPr>
      <w:r>
        <w:rPr/>
        <w:t>6. The Three-Win Test applies to any major linked package: the Commission shall identify a defensible material benefit for Canada, Mexico, and the United States and shall avoid concentrating uncompensated adjustment costs in one Party.</w:t>
      </w:r>
    </w:p>
    <w:p>
      <w:bookmarkStart w:id="1450" w:name="_NAESTMA_TOC_1450"/>
      <w:pPr>
        <w:pStyle w:val="Heading2"/>
        <w:keepNext/>
        <w:widowControl/>
        <w:rPr/>
      </w:pPr>
      <w:r>
        <w:rPr/>
        <w:t>ANNEX 37-C: NORTH AMERICAN STRATEGIC MATERIALS MATRIX</w:t>
      </w:r>
      <w:bookmarkEnd w:id="1450"/>
    </w:p>
    <w:p>
      <w:pPr>
        <w:pStyle w:val="Normal"/>
        <w:widowControl/>
        <w:rPr/>
      </w:pPr>
      <w:r>
        <w:rPr/>
        <w:t>1. Purpose. This Annex identifies initial candidate materials, lead opportunities, commitment forms, and value-added priorities. Numerical percentages are negotiating reference targets pending calibration under Article 37.12 and do not constitute unconditional production mandates.</w:t>
      </w:r>
    </w:p>
    <w:p>
      <w:pPr>
        <w:pStyle w:val="Normal"/>
        <w:widowControl/>
        <w:rPr/>
      </w:pPr>
      <w:r>
        <w:rPr/>
        <w:t>2. Molybdenum - Lead opportunity: Canada, with complementary Mexican supply. Candidate commitment: up to +10 percent bounded surge in qualifying strategic forms. Priority: high-purity products, specialty alloys, and qualification. Reciprocal value: resource-market stability, strategic procurement access, and processing investment.</w:t>
      </w:r>
    </w:p>
    <w:p>
      <w:pPr>
        <w:pStyle w:val="Normal"/>
        <w:widowControl/>
        <w:rPr/>
      </w:pPr>
      <w:r>
        <w:rPr/>
        <w:t>3. Tellurium - Lead opportunity: Canada. Candidate commitment: up to +8 percent qualified surge. Priority: refining, cadmium-telluride recovery, advanced-material qualification, and recycling. Reciprocal value: qualification, reserve eligibility, and processing investment.</w:t>
      </w:r>
    </w:p>
    <w:p>
      <w:pPr>
        <w:pStyle w:val="Normal"/>
        <w:widowControl/>
        <w:rPr/>
      </w:pPr>
      <w:r>
        <w:rPr/>
        <w:t>4. Natural Graphite - Lead opportunities: Canada and Mexico. Candidate commitment: up to +12 percent incremental strategic capacity as verified projects ramp. Priority: purified spherical graphite, anode active material, qualification, and recycling. Reciprocal value: financing, offtake, processing, and battery-chain investment.</w:t>
      </w:r>
    </w:p>
    <w:p>
      <w:pPr>
        <w:pStyle w:val="Normal"/>
        <w:widowControl/>
        <w:rPr/>
      </w:pPr>
      <w:r>
        <w:rPr/>
        <w:t>5. Fluorspar - Lead opportunity: Mexico. Candidate commitment: up to +10 percent strategic availability by applicable grade. Priority: acid-grade processing, hydrogen fluoride, fluorochemicals, metallurgy, and nuclear-fuel inputs. Reciprocal value: Mexican processing and infrastructure investment and stable market treatment.</w:t>
      </w:r>
    </w:p>
    <w:p>
      <w:pPr>
        <w:pStyle w:val="Normal"/>
        <w:widowControl/>
        <w:rPr/>
      </w:pPr>
      <w:r>
        <w:rPr/>
        <w:t>6. Manganese - Lead opportunity: Mexico. Candidate commitment: up to +13.5 percent product-specific strategic availability, subject to separate calibration for ore, ferroalloys, electrolytic manganese metal, and battery-grade manganese compounds. Priority: HPMSM, EMM, ferroalloys, and qualification. Reciprocal value: processing investment and manufacturing stability.</w:t>
      </w:r>
    </w:p>
    <w:p>
      <w:pPr>
        <w:pStyle w:val="Normal"/>
        <w:widowControl/>
        <w:rPr/>
      </w:pPr>
      <w:r>
        <w:rPr/>
        <w:t>7. Barite - Lead opportunity: Mexico. Candidate commitment: up to +15 percent qualifying drilling- or strategic-grade availability. Priority: beneficiation, grinding, testing, and certified energy-sector products. Reciprocal value: energy-material facilitation, infrastructure, and processing investment.</w:t>
      </w:r>
    </w:p>
    <w:p>
      <w:pPr>
        <w:pStyle w:val="Normal"/>
        <w:widowControl/>
        <w:rPr/>
      </w:pPr>
      <w:r>
        <w:rPr/>
        <w:t>8. Zinc - Lead opportunities: Canada and Mexico. Candidate commitment: up to +18 percent product-specific processed availability where calibrated, supplemented by continuity guarantees. Priority: refined zinc, alloys, galvanizing inputs, and recycling. Reciprocal value: metals and manufacturing stability and refinery modernization.</w:t>
      </w:r>
    </w:p>
    <w:p>
      <w:pPr>
        <w:pStyle w:val="Normal"/>
        <w:widowControl/>
        <w:rPr/>
      </w:pPr>
      <w:r>
        <w:rPr/>
        <w:t>9. Potash - Lead opportunity: Canada. Candidate commitment: continuity guarantee, emergency surge planning, and logistics resilience rather than a low-value fixed percentage. Priority: fertilizer security, storage, rail and port continuity, and agricultural resilience. Reciprocal value: durable agricultural and resource-market access.</w:t>
      </w:r>
    </w:p>
    <w:p>
      <w:pPr>
        <w:pStyle w:val="Normal"/>
        <w:widowControl/>
        <w:rPr/>
      </w:pPr>
      <w:r>
        <w:rPr/>
        <w:t>10. Copper - Lead opportunities: Canada and Mexico, with substantial United States production and processing. Candidate commitment: reciprocal continuity plus capacity-growth and recycling framework. Priority: smelting, refining, wire, grid inputs, scrap recovery, and qualification. Reciprocal value: grid, manufacturing, and tariff stability.</w:t>
      </w:r>
    </w:p>
    <w:p>
      <w:pPr>
        <w:pStyle w:val="Normal"/>
        <w:widowControl/>
        <w:rPr/>
      </w:pPr>
      <w:r>
        <w:rPr/>
        <w:t>11. Nickel - Lead opportunity: Canada. Candidate commitment: processing-first strategic availability. Priority: Class 1 nickel, nickel sulfate, stainless and superalloy forms, and recycling. Reciprocal value: offtake, finance, battery and alloy investment.</w:t>
      </w:r>
    </w:p>
    <w:p>
      <w:pPr>
        <w:pStyle w:val="Normal"/>
        <w:widowControl/>
        <w:rPr/>
      </w:pPr>
      <w:r>
        <w:rPr/>
        <w:t>12. Lithium - Lead opportunity: Canada for near-term expansion; Mexico as a development-stage participant where commercially and legally viable. Candidate commitment: capacity-ramp and processing commitments rather than theoretical reserve tonnage. Priority: carbonate, hydroxide, cathode inputs, and recycling.</w:t>
      </w:r>
    </w:p>
    <w:p>
      <w:pPr>
        <w:pStyle w:val="Normal"/>
        <w:widowControl/>
        <w:rPr/>
      </w:pPr>
      <w:r>
        <w:rPr/>
        <w:t>13. Cobalt - Lead opportunity: Canada. Candidate commitment: processing and qualification guarantee with bounded supply where feasible. Priority: battery-grade compounds, superalloys, and recycling. Reciprocal value: downstream investment and secure demand.</w:t>
      </w:r>
    </w:p>
    <w:p>
      <w:pPr>
        <w:pStyle w:val="Normal"/>
        <w:widowControl/>
        <w:rPr/>
      </w:pPr>
      <w:r>
        <w:rPr/>
        <w:t>14. Uranium - Lead opportunity: Canada. Candidate commitment: long-term nuclear-fuel continuity and resilience rather than a simple percentage surge. Priority: fuel-cycle cooperation, conversion, qualified processing, reserve resilience, and applicable safeguards.</w:t>
      </w:r>
    </w:p>
    <w:p>
      <w:pPr>
        <w:pStyle w:val="Normal"/>
        <w:widowControl/>
        <w:rPr/>
      </w:pPr>
      <w:r>
        <w:rPr/>
        <w:t>15. Aluminum - Lead opportunity: Canada, with major United States and Mexican downstream participation. Candidate commitment: continuity guarantee and no-disruption framework. Priority: smelting, alloys, recycling, and fabricated strategic inputs. Reciprocal value: durable tariff and Section 232 stability where negotiated.</w:t>
      </w:r>
    </w:p>
    <w:p>
      <w:pPr>
        <w:pStyle w:val="Normal"/>
        <w:widowControl/>
        <w:rPr/>
      </w:pPr>
      <w:r>
        <w:rPr/>
        <w:t>16. Silver - Lead opportunity: Mexico. Candidate commitment: continuity and calibrated expansion where feasible. Priority: refining, electronics, photovoltaic materials, recovery, and recycling. Reciprocal value: downstream industrial investment.</w:t>
      </w:r>
    </w:p>
    <w:p>
      <w:pPr>
        <w:pStyle w:val="Normal"/>
        <w:widowControl/>
        <w:rPr/>
      </w:pPr>
      <w:r>
        <w:rPr/>
        <w:t>17. Lead - Lead opportunities: Mexico and Canada. Candidate commitment: closed-loop supply assurance. Priority: lead-acid battery recycling, secondary lead, environmental safeguards, and strategic industrial uses.</w:t>
      </w:r>
    </w:p>
    <w:p>
      <w:pPr>
        <w:pStyle w:val="Normal"/>
        <w:widowControl/>
        <w:rPr/>
      </w:pPr>
      <w:r>
        <w:rPr/>
        <w:t>18. Rare Earth Elements - Lead opportunity: Canada for development and processing, with Mexican and United States opportunities where verified. Candidate commitment: capacity-development, separation, refining, magnet, qualification, and recycling guarantees rather than unprocessed tonnage promises.</w:t>
      </w:r>
    </w:p>
    <w:p>
      <w:pPr>
        <w:pStyle w:val="Normal"/>
        <w:widowControl/>
        <w:rPr/>
      </w:pPr>
      <w:r>
        <w:rPr/>
        <w:t>19. Niobium - Lead opportunity: Canada. Candidate commitment: strategic continuity. Priority: ferroniobium, high-strength steel, specialty alloys, and qualification. Reciprocal value: procurement and reserve recognition.</w:t>
      </w:r>
    </w:p>
    <w:p>
      <w:pPr>
        <w:pStyle w:val="Normal"/>
        <w:widowControl/>
        <w:rPr/>
      </w:pPr>
      <w:r>
        <w:rPr/>
        <w:t>20. Germanium - North American recovery and processing opportunity. Candidate commitment: recovery, refining, purification, and qualification targets pending verified supply. Priority: high-purity material, infrared, fiber-optic, semiconductor, and recycling applications.</w:t>
      </w:r>
    </w:p>
    <w:p>
      <w:pPr>
        <w:pStyle w:val="Normal"/>
        <w:widowControl/>
        <w:rPr/>
      </w:pPr>
      <w:r>
        <w:rPr/>
        <w:t>21. Gallium - North American recovery and high-purity processing opportunity. Candidate commitment: no numerical percentage until commercially meaningful production and recoverable supply are verified. Priority: high-purity gallium, gallium nitride, gallium arsenide, semiconductor qualification, and by-product recovery.</w:t>
      </w:r>
    </w:p>
    <w:p>
      <w:pPr>
        <w:pStyle w:val="Normal"/>
        <w:widowControl/>
        <w:rPr/>
      </w:pPr>
      <w:r>
        <w:rPr/>
        <w:t>22. Magnesium - Trilateral industrial opportunity. Candidate commitment: continuity and processing-development track. Priority: magnesium metal, alloys, automotive and aerospace qualification, and recycling.</w:t>
      </w:r>
    </w:p>
    <w:p>
      <w:pPr>
        <w:pStyle w:val="Normal"/>
        <w:widowControl/>
        <w:rPr/>
      </w:pPr>
      <w:r>
        <w:rPr/>
        <w:t>23. Tungsten - Trilateral development opportunity. Candidate commitment: project-development, qualification, recycling, and trusted-source mechanisms. Priority: carbides, tooling, defense-grade forms, and strategic recycling.</w:t>
      </w:r>
    </w:p>
    <w:p>
      <w:pPr>
        <w:pStyle w:val="Normal"/>
        <w:widowControl/>
        <w:rPr/>
      </w:pPr>
      <w:r>
        <w:rPr/>
        <w:t>24. Platinum Group Metals - Lead opportunity: Canada, with trilateral recycling and downstream use. Candidate commitment: continuity and recycling framework. Priority: refining, catalyst recovery, fuel-cell and electronics applications.</w:t>
      </w:r>
    </w:p>
    <w:p>
      <w:pPr>
        <w:pStyle w:val="Normal"/>
        <w:widowControl/>
        <w:rPr/>
      </w:pPr>
      <w:r>
        <w:rPr/>
        <w:t>25. United States Reciprocal Inputs. The Commission shall identify United States-produced or processed strategic materials and industrial inputs for which Canada or Mexico has material continuity needs, including qualifying copper, zinc, molybdenum, specialty steels and alloys, aluminum products, phosphate and fertilizer inputs, helium, boron, silicon and high-purity materials, specialty metal products, processing services, and technical qualification capacity. The appropriate commitment may be continuity, emergency allocation, processing access, qualification, or supply expansion rather than a uniform percentage increase.</w:t>
      </w:r>
    </w:p>
    <w:p>
      <w:pPr>
        <w:pStyle w:val="Normal"/>
        <w:widowControl/>
        <w:rPr/>
      </w:pPr>
      <w:r>
        <w:rPr/>
        <w:t>26. Strategic Industrial Inputs Schedule. The Commission may maintain a companion schedule for nonfuel industrial materials that are strategically indispensable to North American manufacturing, infrastructure, agriculture, semiconductors, chemicals, construction, or energy but are not optimally governed by a broad critical-mineral label.</w:t>
      </w:r>
    </w:p>
    <w:p>
      <w:pPr>
        <w:pStyle w:val="Normal"/>
        <w:widowControl/>
        <w:rPr/>
      </w:pPr>
      <w:r>
        <w:rPr/>
        <w:t>27. Maturity Classes. Class A materials have established commercial supply and may support firm continuity or bounded surge commitments. Class B materials are expansion-ready and may support conditional future commitments. Class C materials are development resources eligible for financing, permitting, qualification, and offtake cooperation but are not counted as guaranteed supply. Class D materials are prospective resources and create no assumption of future commercial availability.</w:t>
      </w:r>
    </w:p>
    <w:p>
      <w:pPr>
        <w:pStyle w:val="Normal"/>
        <w:widowControl/>
        <w:rPr/>
      </w:pPr>
      <w:r>
        <w:rPr/>
        <w:t>28. Review. The Commission shall review this Matrix at least annually for capacity, strategic form, maturity class, SAR calibration, SVAL progression, processing gaps, and trilateral balance. Technical updates shall not create new tariff concessions or binding production mandates without the procedure otherwise required by this Agreement.</w:t>
      </w:r>
    </w:p>
    <w:p>
      <w:bookmarkStart w:id="1451" w:name="_NAESTMA_TOC_1451"/>
      <w:pPr>
        <w:pStyle w:val="Heading2"/>
        <w:keepNext/>
        <w:widowControl/>
        <w:rPr/>
      </w:pPr>
      <w:r>
        <w:rPr/>
        <w:t>Article 37.19: North American Strategic Minerals Bargain Framework</w:t>
      </w:r>
      <w:bookmarkEnd w:id="1451"/>
    </w:p>
    <w:p>
      <w:pPr>
        <w:pStyle w:val="Normal"/>
        <w:widowControl/>
        <w:rPr/>
      </w:pPr>
      <w:r>
        <w:rPr/>
        <w:t>1. The Parties shall use this Chapter not only to manage shortages but to create reciprocal commercial bargains that connect secure mineral access, processing, industrial investment, procurement eligibility, strategic reserves, recycling, and market-access normalization. A qualifying bargain shall identify the material contribution and reciprocal benefit of each participating Party.</w:t>
      </w:r>
    </w:p>
    <w:p>
      <w:pPr>
        <w:pStyle w:val="Normal"/>
        <w:widowControl/>
        <w:rPr/>
      </w:pPr>
      <w:r>
        <w:rPr/>
        <w:t>2. Bargains may be bilateral or trilateral. A bilateral bargain shall not reduce the existing rights of the third Party under this Agreement, alter continental origin rules without the applicable procedure, or create a disguised restriction on legitimate trade with the third Party.</w:t>
      </w:r>
    </w:p>
    <w:p>
      <w:pPr>
        <w:pStyle w:val="Normal"/>
        <w:widowControl/>
        <w:rPr/>
      </w:pPr>
      <w:r>
        <w:rPr/>
        <w:t>3. The Commission shall prefer concrete exchanges capable of implementation over undifferentiated mineral commitments. Examples include increased qualifying mineral availability in exchange for processing investment, stable offtake, procurement access, tariff normalization, infrastructure facilitation, or secure access to industrial inputs required by the supplying Party.</w:t>
      </w:r>
    </w:p>
    <w:p>
      <w:bookmarkStart w:id="1452" w:name="_NAESTMA_TOC_1452"/>
      <w:pPr>
        <w:pStyle w:val="Heading2"/>
        <w:keepNext/>
        <w:widowControl/>
        <w:rPr/>
      </w:pPr>
      <w:r>
        <w:rPr/>
        <w:t>Article 37.20: Strategic Supply Access and Offtake</w:t>
      </w:r>
      <w:bookmarkEnd w:id="1452"/>
    </w:p>
    <w:p>
      <w:pPr>
        <w:pStyle w:val="Normal"/>
        <w:widowControl/>
        <w:rPr/>
      </w:pPr>
      <w:r>
        <w:rPr/>
        <w:t>1. A Party possessing established or expansion-ready capacity in a designated material may offer another Party enhanced long-term access to commercially available qualifying supply, including through voluntary long-term contracts, offtake arrangements, reserve eligibility, expedited qualification, processing access, and emergency continuity procedures.</w:t>
      </w:r>
    </w:p>
    <w:p>
      <w:pPr>
        <w:pStyle w:val="Normal"/>
        <w:widowControl/>
        <w:rPr/>
      </w:pPr>
      <w:r>
        <w:rPr/>
        <w:t>2. Enhanced access does not constitute an unconditional extraction or export quota. No Party is required to compel production, override an existing commercial contract, waive environmental or labor law, disregard Indigenous or tribal rights, or deliver material that is not commercially, technically, legally, or physically available.</w:t>
      </w:r>
    </w:p>
    <w:p>
      <w:pPr>
        <w:pStyle w:val="Normal"/>
        <w:widowControl/>
        <w:rPr/>
      </w:pPr>
      <w:r>
        <w:rPr/>
        <w:t>3. Where public support is used to sustain strategically necessary capacity that ordinary spot-market conditions would not reliably support, support shall be transparent, targeted, periodically reviewed, and designed to preserve minimum viable capacity rather than guarantee excess profits.</w:t>
      </w:r>
    </w:p>
    <w:p>
      <w:bookmarkStart w:id="1453" w:name="_NAESTMA_TOC_1453"/>
      <w:pPr>
        <w:pStyle w:val="Heading2"/>
        <w:keepNext/>
        <w:widowControl/>
        <w:rPr/>
      </w:pPr>
      <w:r>
        <w:rPr/>
        <w:t>Article 37.21: Midstream Gap Register and Raw-to-Refined Additionality</w:t>
      </w:r>
      <w:bookmarkEnd w:id="1453"/>
    </w:p>
    <w:p>
      <w:pPr>
        <w:pStyle w:val="Normal"/>
        <w:widowControl/>
        <w:rPr/>
      </w:pPr>
      <w:r>
        <w:rPr/>
        <w:t>1. The Economic Security and Supply Chain Resilience Subcommittee shall maintain a North American Midstream Gap Register identifying strategically important conversion, separation, smelting, refining, purification, alloying, precursor, magnet, anode, cathode, semiconductor-material, sponge-metal, and other processing capabilities that are unavailable or insufficient within North America.</w:t>
      </w:r>
    </w:p>
    <w:p>
      <w:pPr>
        <w:pStyle w:val="Normal"/>
        <w:widowControl/>
        <w:rPr/>
      </w:pPr>
      <w:r>
        <w:rPr/>
        <w:t>2. Qualifying projects receive progressively stronger eligibility for financing coordination, procurement qualification, infrastructure facilitation, research cooperation, and other incentives where they move a material one or more additional value-chain stages within North America and create net new continental capability.</w:t>
      </w:r>
    </w:p>
    <w:p>
      <w:pPr>
        <w:pStyle w:val="Normal"/>
        <w:widowControl/>
        <w:rPr/>
      </w:pPr>
      <w:r>
        <w:rPr/>
        <w:t>3. The Parties shall apply a Continental Additionality Test to avoid subsidizing relocation of an existing North American facility where substantially equivalent continental capacity would merely move from one Party to another without a material resilience gain.</w:t>
      </w:r>
    </w:p>
    <w:p>
      <w:bookmarkStart w:id="1454" w:name="_NAESTMA_TOC_1454"/>
      <w:pPr>
        <w:pStyle w:val="Heading2"/>
        <w:keepNext/>
        <w:widowControl/>
        <w:rPr/>
      </w:pPr>
      <w:r>
        <w:rPr/>
        <w:t>Article 37.22: Canada - Midstream Industrialization Track</w:t>
      </w:r>
      <w:bookmarkEnd w:id="1454"/>
    </w:p>
    <w:p>
      <w:pPr>
        <w:pStyle w:val="Normal"/>
        <w:widowControl/>
        <w:rPr/>
      </w:pPr>
      <w:r>
        <w:rPr/>
        <w:t>1. Canada may designate priority processing gaps in which Canadian or trusted feedstock can support greater North American value-added production, including rare-earth separation and magnet materials; battery-grade lithium compounds and graphite anode material; silicon and high-purity semiconductor inputs; specialty steels and alloys; magnesium products; titanium sponge and alloys; nickel and cobalt compounds; and other materials identified in the Midstream Gap Register.</w:t>
      </w:r>
    </w:p>
    <w:p>
      <w:pPr>
        <w:pStyle w:val="Normal"/>
        <w:widowControl/>
        <w:rPr/>
      </w:pPr>
      <w:r>
        <w:rPr/>
        <w:t>2. The Parties shall endeavor to pair enhanced access to Canadian strategic resources with investment, technology, qualification, infrastructure, workforce, procurement, and offtake measures that expand processing and downstream capacity in Canada and elsewhere in North America.</w:t>
      </w:r>
    </w:p>
    <w:p>
      <w:pPr>
        <w:pStyle w:val="Normal"/>
        <w:widowControl/>
        <w:rPr/>
      </w:pPr>
      <w:r>
        <w:rPr/>
        <w:t>3. Nothing in this Article requires Canada to retain a fixed share of processing domestically. The objective is measurable growth in North American value-added capacity while preventing the strategic framework from treating Canada solely as a raw-material supplier.</w:t>
      </w:r>
    </w:p>
    <w:p>
      <w:bookmarkStart w:id="1455" w:name="_NAESTMA_TOC_1455"/>
      <w:pPr>
        <w:pStyle w:val="Heading2"/>
        <w:keepNext/>
        <w:widowControl/>
        <w:rPr/>
      </w:pPr>
      <w:r>
        <w:rPr/>
        <w:t>Article 37.23: United States - Strategic Dependency Reduction Track</w:t>
      </w:r>
      <w:bookmarkEnd w:id="1455"/>
    </w:p>
    <w:p>
      <w:pPr>
        <w:pStyle w:val="Normal"/>
        <w:widowControl/>
        <w:rPr/>
      </w:pPr>
      <w:r>
        <w:rPr/>
        <w:t>1. The United States may designate materials for which import concentration, lack of primary production, inadequate processing, or downstream strategic exposure creates a material dependency. Initial candidates may include gallium, germanium, niobium, tantalum, scandium, yttrium, indium, antimony, tungsten, titanium sponge, rare-earth materials, cobalt, nickel, high-purity silicon, specialty copper products, and other materials supported by current evidence.</w:t>
      </w:r>
    </w:p>
    <w:p>
      <w:pPr>
        <w:pStyle w:val="Normal"/>
        <w:widowControl/>
        <w:rPr/>
      </w:pPr>
      <w:r>
        <w:rPr/>
        <w:t>2. The Parties shall prioritize diversified North American or Trusted Strategic Materials Source supply, by-product recovery, processing, recycling, minimum viable capacity, strategic inventories, and long-term commercial qualification for designated dependencies.</w:t>
      </w:r>
    </w:p>
    <w:p>
      <w:pPr>
        <w:pStyle w:val="Normal"/>
        <w:widowControl/>
        <w:rPr/>
      </w:pPr>
      <w:r>
        <w:rPr/>
        <w:t>3. United States financing, procurement, technical capability, research infrastructure, industrial demand, and qualification capacity may be paired with Canadian and Mexican resource, processing, recycling, and manufacturing contributions on reciprocal terms.</w:t>
      </w:r>
    </w:p>
    <w:p>
      <w:bookmarkStart w:id="1456" w:name="_NAESTMA_TOC_1456"/>
      <w:pPr>
        <w:pStyle w:val="Heading2"/>
        <w:keepNext/>
        <w:widowControl/>
        <w:rPr/>
      </w:pPr>
      <w:r>
        <w:rPr/>
        <w:t>Article 37.24: Mexico - Industrial Inputs Security and Specialty Minerals Track</w:t>
      </w:r>
      <w:bookmarkEnd w:id="1456"/>
    </w:p>
    <w:p>
      <w:pPr>
        <w:pStyle w:val="Normal"/>
        <w:widowControl/>
        <w:rPr/>
      </w:pPr>
      <w:r>
        <w:rPr/>
        <w:t>1. Mexico may designate industrial inputs for which its automotive, aerospace, electronics, energy, steel, chemical, or advanced-manufacturing sectors face material domestic shortages or import concentration. Initial candidates may include primary and specialty aluminum products, chromium and ferrochrome, titanium sponge and aerospace alloys, battery-grade lithium compounds, nickel, cobalt, germanium, tantalum, vanadium, selected cadmium applications, platinum-group metals, and other materials supported by current evidence.</w:t>
      </w:r>
    </w:p>
    <w:p>
      <w:pPr>
        <w:pStyle w:val="Normal"/>
        <w:widowControl/>
        <w:rPr/>
      </w:pPr>
      <w:r>
        <w:rPr/>
        <w:t>2. Mexico shall also be recognized as a strategic supplier where it possesses established or expansion-ready North American capacity, including fluorspar, antimony, bismuth, silver, zinc, copper, lead, barite, manganese, and other designated materials.</w:t>
      </w:r>
    </w:p>
    <w:p>
      <w:pPr>
        <w:pStyle w:val="Normal"/>
        <w:widowControl/>
        <w:rPr/>
      </w:pPr>
      <w:r>
        <w:rPr/>
        <w:t>3. The Parties shall endeavor to pair Mexican specialty-mineral access with secure industrial-input supply, value-added processing, infrastructure, financing, recycling, component production, and technology investment so that Mexico participates as both a strategic supplier and a higher-value downstream manufacturer.</w:t>
      </w:r>
    </w:p>
    <w:p>
      <w:bookmarkStart w:id="1457" w:name="_NAESTMA_TOC_1457"/>
      <w:pPr>
        <w:pStyle w:val="Heading2"/>
        <w:keepNext/>
        <w:widowControl/>
        <w:rPr/>
      </w:pPr>
      <w:r>
        <w:rPr/>
        <w:t>Article 37.25: Mexican Fluorspar, Antimony, and Bismuth Cooperation</w:t>
      </w:r>
      <w:bookmarkEnd w:id="1457"/>
    </w:p>
    <w:p>
      <w:pPr>
        <w:pStyle w:val="Normal"/>
        <w:widowControl/>
        <w:rPr/>
      </w:pPr>
      <w:r>
        <w:rPr/>
        <w:t>1. The Parties shall establish a priority cooperation lane for Mexican fluorspar, antimony, and bismuth, subject to verified commercial availability and current production data.</w:t>
      </w:r>
    </w:p>
    <w:p>
      <w:pPr>
        <w:pStyle w:val="Normal"/>
        <w:widowControl/>
        <w:rPr/>
      </w:pPr>
      <w:r>
        <w:rPr/>
        <w:t>2. Fluorspar cooperation may include acid-grade beneficiation, hydrogen-fluoride and fluorochemical conversion, semiconductor and battery inputs, aluminum and metallurgical uses, applicable nuclear-fuel-cycle inputs, logistics resilience, and bounded surge planning.</w:t>
      </w:r>
    </w:p>
    <w:p>
      <w:pPr>
        <w:pStyle w:val="Normal"/>
        <w:widowControl/>
        <w:rPr/>
      </w:pPr>
      <w:r>
        <w:rPr/>
        <w:t>3. Antimony cooperation may include long-term offtake, minimum viable Western Hemisphere capacity, refining, recycling, strategic inventories, and qualification for defense, electronics, flame-retardant, battery, and other lawful industrial applications.</w:t>
      </w:r>
    </w:p>
    <w:p>
      <w:pPr>
        <w:pStyle w:val="Normal"/>
        <w:widowControl/>
        <w:rPr/>
      </w:pPr>
      <w:r>
        <w:rPr/>
        <w:t>4. Bismuth cooperation shall emphasize by-product recovery from qualifying lead, silver, and other metallurgical streams; refining; recycling; environmentally preferable substitution applications; and secure access for North American manufacturing and research.</w:t>
      </w:r>
    </w:p>
    <w:p>
      <w:bookmarkStart w:id="1458" w:name="_NAESTMA_TOC_1458"/>
      <w:pPr>
        <w:pStyle w:val="Heading2"/>
        <w:keepNext/>
        <w:widowControl/>
        <w:rPr/>
      </w:pPr>
      <w:r>
        <w:rPr/>
        <w:t>Article 37.26: By-Product Recovery and Circular Strategic Materials Initiative</w:t>
      </w:r>
      <w:bookmarkEnd w:id="1458"/>
    </w:p>
    <w:p>
      <w:pPr>
        <w:pStyle w:val="Normal"/>
        <w:widowControl/>
        <w:rPr/>
      </w:pPr>
      <w:r>
        <w:rPr/>
        <w:t>1. The Parties shall facilitate recovery of gallium, germanium, indium, tellurium, bismuth, cobalt, precious metals, rare-earth elements, and other strategic materials present in mine tailings, smelter residues, refinery streams, electronic waste, batteries, industrial scrap, and other lawful secondary sources.</w:t>
      </w:r>
    </w:p>
    <w:p>
      <w:pPr>
        <w:pStyle w:val="Normal"/>
        <w:widowControl/>
        <w:rPr/>
      </w:pPr>
      <w:r>
        <w:rPr/>
        <w:t>2. Recovered material satisfying applicable origin and traceability requirements receives treatment equivalent to qualifying primary material for resilience, procurement, reserve, and processing programs unless a program expressly requires virgin feedstock for technical reasons.</w:t>
      </w:r>
    </w:p>
    <w:p>
      <w:pPr>
        <w:pStyle w:val="Normal"/>
        <w:widowControl/>
        <w:rPr/>
      </w:pPr>
      <w:r>
        <w:rPr/>
        <w:t>3. Support may include pilot recovery facilities, shared metallurgical testing, environmental characterization, demonstration projects, long-term offtake, and coordinated qualification of recovered material.</w:t>
      </w:r>
    </w:p>
    <w:p>
      <w:bookmarkStart w:id="1459" w:name="_NAESTMA_TOC_1459"/>
      <w:pPr>
        <w:pStyle w:val="Heading2"/>
        <w:keepNext/>
        <w:widowControl/>
        <w:rPr/>
      </w:pPr>
      <w:r>
        <w:rPr/>
        <w:t>Article 37.27: In-Continent Conversion Incentive and Processing Retention Principle</w:t>
      </w:r>
      <w:bookmarkEnd w:id="1459"/>
    </w:p>
    <w:p>
      <w:pPr>
        <w:pStyle w:val="Normal"/>
        <w:widowControl/>
        <w:rPr/>
      </w:pPr>
      <w:r>
        <w:rPr/>
        <w:t>1. The Parties shall encourage, rather than compel, increased conversion of qualifying strategic minerals into higher-value intermediate and finished materials within North America. Enhanced benefits may be attached to projects that add separation, refining, chemical conversion, alloying, magnet production, semiconductor-grade purification, battery-material production, component manufacturing, or other substantial processing stages within a Party.</w:t>
      </w:r>
    </w:p>
    <w:p>
      <w:pPr>
        <w:pStyle w:val="Normal"/>
        <w:widowControl/>
        <w:rPr/>
      </w:pPr>
      <w:r>
        <w:rPr/>
        <w:t>2. Nothing in this Article authorizes an export ban, compulsory local-processing quota, or restriction inconsistent with this Agreement. The Processing Retention Principle is implemented through positive incentives, qualification, infrastructure, procurement, financing, and commercial arrangements.</w:t>
      </w:r>
    </w:p>
    <w:p>
      <w:bookmarkStart w:id="1460" w:name="_NAESTMA_TOC_1460"/>
      <w:pPr>
        <w:pStyle w:val="Heading2"/>
        <w:keepNext/>
        <w:widowControl/>
        <w:rPr/>
      </w:pPr>
      <w:r>
        <w:rPr/>
        <w:t>Article 37.28: Strategic Supply Surge Doctrine</w:t>
      </w:r>
      <w:bookmarkEnd w:id="1460"/>
    </w:p>
    <w:p>
      <w:pPr>
        <w:pStyle w:val="Normal"/>
        <w:widowControl/>
        <w:rPr/>
      </w:pPr>
      <w:r>
        <w:rPr/>
        <w:t>1. Strategic Supply Surge Capacity means the verified ability, during a qualifying supply disruption, to increase the availability of a designated material above an agreed reference baseline through additional production, processing, refining, recycling, inventory release, logistics optimization, temporary use of idle capacity, qualified substitution, or other approved means.</w:t>
      </w:r>
    </w:p>
    <w:p>
      <w:pPr>
        <w:pStyle w:val="Normal"/>
        <w:widowControl/>
        <w:rPr/>
      </w:pPr>
      <w:r>
        <w:rPr/>
        <w:t>2. A Surge Target is an indicative planning objective; Certified Surge Capacity is capacity supported by evidence at the time of certification; and a Surge Obligation is the duty to activate agreed procedures, coordinate, report, and use commercially and technically reasonable efforts. No percentage in Annex 37-C is an absolute production guarantee unless expressly converted into one by a separate binding schedule.</w:t>
      </w:r>
    </w:p>
    <w:p>
      <w:pPr>
        <w:pStyle w:val="Normal"/>
        <w:widowControl/>
        <w:rPr/>
      </w:pPr>
      <w:r>
        <w:rPr/>
        <w:t>3. The reference baseline shall ordinarily use the preceding 12 months of normalized qualifying availability, adjusted for planned maintenance and extraordinary disruption. For seasonal or highly volatile materials, the Commission may use a normalized period of up to 36 months.</w:t>
      </w:r>
    </w:p>
    <w:p>
      <w:pPr>
        <w:pStyle w:val="Normal"/>
        <w:widowControl/>
        <w:rPr/>
      </w:pPr>
      <w:r>
        <w:rPr/>
        <w:t>4. A Party is not in breach solely because geology, force majeure, labor disruption, unplanned equipment failure, safety requirements, permitting or judicial delay, or other circumstances outside its reasonable control prevent achievement of a Surge Target, provided it performs the applicable procedural and best-achievable mobilization obligations.</w:t>
      </w:r>
    </w:p>
    <w:p>
      <w:bookmarkStart w:id="1461" w:name="_NAESTMA_TOC_1461"/>
      <w:pPr>
        <w:pStyle w:val="Heading2"/>
        <w:keepNext/>
        <w:widowControl/>
        <w:rPr/>
      </w:pPr>
      <w:r>
        <w:rPr/>
        <w:t>Article 37.29: Authorized Supply Surge Firewall</w:t>
      </w:r>
      <w:bookmarkEnd w:id="1461"/>
    </w:p>
    <w:p>
      <w:pPr>
        <w:pStyle w:val="Normal"/>
        <w:widowControl/>
        <w:rPr/>
      </w:pPr>
      <w:r>
        <w:rPr/>
        <w:t>1. Increased trade resulting principally from an authorized Strategic Supply Surge, mutually agreed stockpile release, emergency continuity action, or verified North American supply-shortage response shall not, by reason of increased volume alone, constitute evidence of a distortion under Article 35.11.</w:t>
      </w:r>
    </w:p>
    <w:p>
      <w:pPr>
        <w:pStyle w:val="Normal"/>
        <w:widowControl/>
        <w:rPr/>
      </w:pPr>
      <w:r>
        <w:rPr/>
        <w:t>2. This firewall does not protect fraud, dumping, prohibited subsidization, circumvention, discriminatory allocation, or other independently verifiable conduct inconsistent with this Agreement.</w:t>
      </w:r>
    </w:p>
    <w:p>
      <w:bookmarkStart w:id="1462" w:name="_NAESTMA_TOC_1462"/>
      <w:pPr>
        <w:pStyle w:val="Heading2"/>
        <w:keepNext/>
        <w:widowControl/>
        <w:rPr/>
      </w:pPr>
      <w:r>
        <w:rPr/>
        <w:t>Article 37.30: North American Strategic Chain Qualification</w:t>
      </w:r>
      <w:bookmarkEnd w:id="1462"/>
    </w:p>
    <w:p>
      <w:pPr>
        <w:pStyle w:val="Normal"/>
        <w:widowControl/>
        <w:rPr/>
      </w:pPr>
      <w:r>
        <w:rPr/>
        <w:t>1. The Commission may recognize a North American Strategic Chain where two or more Parties contribute material stages of extraction or recovery, processing, refining, component production, advanced manufacturing, or recycling to a designated strategic product.</w:t>
      </w:r>
    </w:p>
    <w:p>
      <w:pPr>
        <w:pStyle w:val="Normal"/>
        <w:widowControl/>
        <w:rPr/>
      </w:pPr>
      <w:r>
        <w:rPr/>
        <w:t>2. Qualification may support expedited procurement eligibility, financing coordination, trusted-supplier treatment, customs facilitation, research cooperation, and other benefits authorized by this Agreement.</w:t>
      </w:r>
    </w:p>
    <w:p>
      <w:pPr>
        <w:pStyle w:val="Normal"/>
        <w:widowControl/>
        <w:rPr/>
      </w:pPr>
      <w:r>
        <w:rPr/>
        <w:t>3. Illustrative chains may include Canadian extraction and refining linked to Mexican component production and United States advanced manufacturing; Mexican specialty-mineral supply linked to Canadian or United States processing and trilateral downstream use; or other combinations that satisfy the Three-Win Test.</w:t>
      </w:r>
    </w:p>
    <w:p>
      <w:bookmarkStart w:id="1463" w:name="_NAESTMA_TOC_1463"/>
      <w:pPr>
        <w:pStyle w:val="Heading2"/>
        <w:keepNext/>
        <w:widowControl/>
        <w:rPr/>
      </w:pPr>
      <w:r>
        <w:rPr/>
        <w:t>Article 37.31: North American Strategic Industrial Scale-Up Pathway</w:t>
      </w:r>
      <w:bookmarkEnd w:id="1463"/>
    </w:p>
    <w:p>
      <w:pPr>
        <w:pStyle w:val="Normal"/>
        <w:widowControl/>
        <w:rPr/>
      </w:pPr>
      <w:r>
        <w:rPr/>
        <w:t>1. The Parties establish a voluntary scale-up pathway for strategic-material technologies and facilities progressing from research through pilot, demonstration, qualification, commercial finance, procurement or offtake, and mature competitive operation.</w:t>
      </w:r>
    </w:p>
    <w:p>
      <w:pPr>
        <w:pStyle w:val="Normal"/>
        <w:widowControl/>
        <w:rPr/>
      </w:pPr>
      <w:r>
        <w:rPr/>
        <w:t>2. Entry into one stage creates no entitlement to enter a later stage. Advancement shall depend on transparent evidence appropriate to the stage, including technical performance, environmental and worker-safety compliance, credible feedstock and customer assumptions, financing readiness, and a plausible route to commercial viability.</w:t>
      </w:r>
    </w:p>
    <w:p>
      <w:pPr>
        <w:pStyle w:val="Normal"/>
        <w:widowControl/>
        <w:rPr/>
      </w:pPr>
      <w:r>
        <w:rPr/>
        <w:t>3. The pathway may coordinate existing domestic grants, loans, guarantees, tax measures, infrastructure support, procurement tools, and private finance. It does not create a supranational subsidy authority or require equal fiscal support by the Parties.</w:t>
      </w:r>
    </w:p>
    <w:p>
      <w:pPr>
        <w:pStyle w:val="Normal"/>
        <w:widowControl/>
        <w:rPr/>
      </w:pPr>
      <w:r>
        <w:rPr/>
        <w:t>4. Public support shall be time-limited, additional to ordinary commercial activity, and structured to avoid indefinite dependence. Failed experiments may exit without penalty where reporting and integrity requirements were satisfied in good faith.</w:t>
      </w:r>
    </w:p>
    <w:p>
      <w:bookmarkStart w:id="1464" w:name="_NAESTMA_TOC_1464"/>
      <w:pPr>
        <w:pStyle w:val="Heading2"/>
        <w:keepNext/>
        <w:widowControl/>
        <w:rPr/>
      </w:pPr>
      <w:r>
        <w:rPr/>
        <w:t>Article 37.32: Critical Minerals Pilot Plant and Demonstration Network</w:t>
      </w:r>
      <w:bookmarkEnd w:id="1464"/>
    </w:p>
    <w:p>
      <w:pPr>
        <w:pStyle w:val="Normal"/>
        <w:widowControl/>
        <w:rPr/>
      </w:pPr>
      <w:r>
        <w:rPr/>
        <w:t>1. The Parties may facilitate coordinated access to existing or voluntarily designated pilot and demonstration facilities for mineral separation, refining, purification, by-product recovery, recycling, magnet materials, battery materials, semiconductor-grade inputs, and other identified midstream gaps. This Article does not require construction of a facility or create a separately staffed continental network.</w:t>
      </w:r>
    </w:p>
    <w:p>
      <w:pPr>
        <w:pStyle w:val="Normal"/>
        <w:widowControl/>
        <w:rPr/>
      </w:pPr>
      <w:r>
        <w:rPr/>
        <w:t>2. Facilities may be located in any Party and may specialize according to regional feedstock, energy, workforce, water, infrastructure, environmental, and commercial conditions. No Party is guaranteed a facility or production allocation.</w:t>
      </w:r>
    </w:p>
    <w:p>
      <w:pPr>
        <w:pStyle w:val="Normal"/>
        <w:widowControl/>
        <w:rPr/>
      </w:pPr>
      <w:r>
        <w:rPr/>
        <w:t>3. Participating facilities should, where commercially and legally practicable, facilitate shared or reciprocal access to expensive testing, analytical, metallurgical, qualification, and process-control capabilities that small and medium-sized enterprises and first-of-a-kind projects could not reasonably duplicate. Access remains subject to capacity, safety, security, intellectual-property, funding, and facility-governance rules.</w:t>
      </w:r>
    </w:p>
    <w:p>
      <w:pPr>
        <w:pStyle w:val="Normal"/>
        <w:widowControl/>
        <w:rPr/>
      </w:pPr>
      <w:r>
        <w:rPr/>
        <w:t>4. Intellectual property remains governed by applicable law and project agreements. Participation does not compel disclosure of trade secrets beyond what is necessary to establish eligibility, safety, performance, or public-funding compliance.</w:t>
      </w:r>
    </w:p>
    <w:p>
      <w:pPr>
        <w:pStyle w:val="Normal"/>
        <w:widowControl/>
        <w:rPr/>
      </w:pPr>
      <w:r>
        <w:rPr/>
        <w:t>5. Successful demonstrations should receive expedited consideration, not automatic approval, for the scale-up pathway in Article 37.31.</w:t>
      </w:r>
    </w:p>
    <w:p>
      <w:bookmarkStart w:id="1465" w:name="_NAESTMA_TOC_1465"/>
      <w:pPr>
        <w:pStyle w:val="Heading2"/>
        <w:keepNext/>
        <w:widowControl/>
        <w:rPr/>
      </w:pPr>
      <w:r>
        <w:rPr/>
        <w:t>Article 37.33: Strategic Project Risk-Sharing and Insurance Facilitation</w:t>
      </w:r>
      <w:bookmarkEnd w:id="1465"/>
    </w:p>
    <w:p>
      <w:pPr>
        <w:pStyle w:val="Normal"/>
        <w:widowControl/>
        <w:rPr/>
      </w:pPr>
      <w:r>
        <w:rPr/>
        <w:t>1. The Parties may facilitate lawful insurance, reinsurance, guarantees, political-risk coverage, completion-risk instruments, price-risk tools, and supply-continuity insurance for qualifying North American mineral and processing projects.</w:t>
      </w:r>
    </w:p>
    <w:p>
      <w:pPr>
        <w:pStyle w:val="Normal"/>
        <w:widowControl/>
        <w:rPr/>
      </w:pPr>
      <w:r>
        <w:rPr/>
        <w:t>2. Any public risk-sharing shall identify the covered risk, deductible or first-loss allocation, maximum exposure, duration, recovery rights, and conditions for termination. It shall not insure ordinary commercial failure without a defined public-interest rationale.</w:t>
      </w:r>
    </w:p>
    <w:p>
      <w:pPr>
        <w:pStyle w:val="Normal"/>
        <w:widowControl/>
        <w:rPr/>
      </w:pPr>
      <w:r>
        <w:rPr/>
        <w:t>3. Risk-sharing should crowd in private capital and may be paired with long-term commercial offtake, provided no Party is required to buy a fixed quantity or guarantee a producer's profit.</w:t>
      </w:r>
    </w:p>
    <w:p>
      <w:pPr>
        <w:pStyle w:val="Normal"/>
        <w:widowControl/>
        <w:rPr/>
      </w:pPr>
      <w:r>
        <w:rPr/>
        <w:t>4. Nothing in this Article overrides a Party's financial-services reservations or prudential regulation.</w:t>
      </w:r>
    </w:p>
    <w:p>
      <w:bookmarkStart w:id="1466" w:name="_NAESTMA_TOC_1466"/>
      <w:pPr>
        <w:pStyle w:val="Heading2"/>
        <w:keepNext/>
        <w:widowControl/>
        <w:rPr/>
      </w:pPr>
      <w:r>
        <w:rPr/>
        <w:t>Article 37.34: Urban Mining, Magnet Recovery, and Secondary Resource Inventory</w:t>
      </w:r>
      <w:bookmarkEnd w:id="1466"/>
    </w:p>
    <w:p>
      <w:pPr>
        <w:pStyle w:val="Normal"/>
        <w:widowControl/>
        <w:rPr/>
      </w:pPr>
      <w:r>
        <w:rPr/>
        <w:t>1. The Parties shall develop a technology-neutral inventory of recoverable strategic materials contained in end-of-life vehicles, batteries, electronics, industrial scrap, permanent magnets, catalysts, grid equipment, and other economically significant secondary stocks.</w:t>
      </w:r>
    </w:p>
    <w:p>
      <w:pPr>
        <w:pStyle w:val="Normal"/>
        <w:widowControl/>
        <w:rPr/>
      </w:pPr>
      <w:r>
        <w:rPr/>
        <w:t>2. The inventory shall use aggregate or appropriately protected data and shall not require disclosure of household-level information or confidential facility data where lower-burden estimates are adequate.</w:t>
      </w:r>
    </w:p>
    <w:p>
      <w:pPr>
        <w:pStyle w:val="Normal"/>
        <w:widowControl/>
        <w:rPr/>
      </w:pPr>
      <w:r>
        <w:rPr/>
        <w:t>3. The Parties shall facilitate recovery of rare-earth permanent magnets and other high-value components before destructive processing where technically, environmentally, and commercially reasonable.</w:t>
      </w:r>
    </w:p>
    <w:p>
      <w:pPr>
        <w:pStyle w:val="Normal"/>
        <w:widowControl/>
        <w:rPr/>
      </w:pPr>
      <w:r>
        <w:rPr/>
        <w:t>4. Origin and circular-production rules shall recognize qualifying recovery and remanufacturing under Chapter 4 while maintaining safeguards against waste dumping, sham processing, and hazardous-material diversion.</w:t>
      </w:r>
    </w:p>
    <w:p>
      <w:bookmarkStart w:id="1467" w:name="_NAESTMA_TOC_1467"/>
      <w:pPr>
        <w:pStyle w:val="Heading2"/>
        <w:keepNext/>
        <w:widowControl/>
        <w:rPr/>
      </w:pPr>
      <w:r>
        <w:rPr/>
        <w:t>Article 37.35: Mineral Substitution, Efficiency, and By-Product Innovation</w:t>
      </w:r>
      <w:bookmarkEnd w:id="1467"/>
    </w:p>
    <w:p>
      <w:pPr>
        <w:pStyle w:val="Normal"/>
        <w:widowControl/>
        <w:rPr/>
      </w:pPr>
      <w:r>
        <w:rPr/>
        <w:t>1. Joint research may pursue substitution for scarce or concentrated minerals, material-efficiency improvements, design-for-recovery, lower-intensity manufacturing, and recovery of strategic materials from existing industrial by-product streams.</w:t>
      </w:r>
    </w:p>
    <w:p>
      <w:pPr>
        <w:pStyle w:val="Normal"/>
        <w:widowControl/>
        <w:rPr/>
      </w:pPr>
      <w:r>
        <w:rPr/>
        <w:t>2. Research priorities shall be based on measured vulnerability and potential economic impact rather than a presumption that every listed mineral requires domestic duplication of every production stage.</w:t>
      </w:r>
    </w:p>
    <w:p>
      <w:pPr>
        <w:pStyle w:val="Normal"/>
        <w:widowControl/>
        <w:rPr/>
      </w:pPr>
      <w:r>
        <w:rPr/>
        <w:t>3. Results intended for open dissemination should use interoperable testing methods and publish non-confidential performance data sufficient to accelerate commercial qualification.</w:t>
      </w:r>
    </w:p>
    <w:p>
      <w:bookmarkStart w:id="1468" w:name="_NAESTMA_TOC_1468"/>
      <w:pPr>
        <w:pStyle w:val="Heading2"/>
        <w:keepNext/>
        <w:widowControl/>
        <w:rPr/>
      </w:pPr>
      <w:r>
        <w:rPr/>
        <w:t>Article 37.36: Mine and Processing Community Transition Planning</w:t>
      </w:r>
      <w:bookmarkEnd w:id="1468"/>
    </w:p>
    <w:p>
      <w:pPr>
        <w:pStyle w:val="Normal"/>
        <w:widowControl/>
        <w:rPr/>
      </w:pPr>
      <w:r>
        <w:rPr/>
        <w:t>1. A qualifying publicly supported project with a material local economic footprint should maintain proportionate closure, remediation, workforce-transition, and community-continuity planning throughout its operating life.</w:t>
      </w:r>
    </w:p>
    <w:p>
      <w:pPr>
        <w:pStyle w:val="Normal"/>
        <w:widowControl/>
        <w:rPr/>
      </w:pPr>
      <w:r>
        <w:rPr/>
        <w:t>2. Planning may include reclamation financing, transferable skills, infrastructure reuse, brownfield conversion, supplier diversification, and post-closure economic development. It shall respect Indigenous, tribal, local, and subnational rights under domestic law.</w:t>
      </w:r>
    </w:p>
    <w:p>
      <w:pPr>
        <w:pStyle w:val="Normal"/>
        <w:widowControl/>
        <w:rPr/>
      </w:pPr>
      <w:r>
        <w:rPr/>
        <w:t>3. This Article does not create a continental land-use authority or alter ownership of mineral resources.</w:t>
      </w:r>
      <w:r>
        <w:br w:type="page"/>
      </w:r>
    </w:p>
    <w:p>
      <w:bookmarkStart w:id="1469" w:name="_NAESTMA_TOC_1469"/>
      <w:pPr>
        <w:pStyle w:val="Heading1"/>
        <w:keepNext/>
        <w:keepLines w:val="0"/>
        <w:pageBreakBefore/>
        <w:widowControl/>
        <w:rPr/>
      </w:pPr>
      <w:bookmarkStart w:id="215" w:name="_Toc237912696"/>
      <w:r>
        <w:rPr/>
        <w:t>CHAPTER 38</w:t>
      </w:r>
      <w:bookmarkEnd w:id="215"/>
      <w:bookmarkEnd w:id="1469"/>
    </w:p>
    <w:p>
      <w:bookmarkStart w:id="1470" w:name="_NAESTMA_TOC_1470"/>
      <w:pPr>
        <w:pStyle w:val="Heading1"/>
        <w:keepNext/>
        <w:pageBreakBefore w:val="0"/>
        <w:widowControl/>
        <w:rPr/>
      </w:pPr>
      <w:bookmarkStart w:id="216" w:name="_Toc237912697"/>
      <w:r>
        <w:rPr/>
        <w:t>EMERGENCY TRADE CONTINUITY</w:t>
      </w:r>
      <w:bookmarkEnd w:id="216"/>
      <w:bookmarkEnd w:id="1470"/>
    </w:p>
    <w:p>
      <w:bookmarkStart w:id="1471" w:name="_NAESTMA_TOC_1471"/>
      <w:pPr>
        <w:pStyle w:val="Heading2"/>
        <w:keepNext/>
        <w:widowControl/>
        <w:rPr/>
      </w:pPr>
      <w:bookmarkStart w:id="217" w:name="_Toc237912698"/>
      <w:r>
        <w:rPr/>
        <w:t>Article 38.1: Purpose</w:t>
      </w:r>
      <w:bookmarkEnd w:id="217"/>
      <w:bookmarkEnd w:id="1471"/>
    </w:p>
    <w:p>
      <w:pPr>
        <w:pStyle w:val="Normal"/>
        <w:widowControl/>
        <w:rPr/>
      </w:pPr>
      <w:r>
        <w:rPr/>
        <w:t>1. The Parties establish the Emergency Trade Continuity Mechanism to maintain essential North American trade flows during emergencies, replacing improvised crisis responses with predetermined consultation, prioritization, and continuity procedures.</w:t>
      </w:r>
    </w:p>
    <w:p>
      <w:bookmarkStart w:id="1472" w:name="_NAESTMA_TOC_1472"/>
      <w:pPr>
        <w:pStyle w:val="Heading2"/>
        <w:keepNext/>
        <w:widowControl/>
        <w:rPr/>
      </w:pPr>
      <w:bookmarkStart w:id="218" w:name="_Toc237912699"/>
      <w:r>
        <w:rPr/>
        <w:t>Article 38.2: Definitions and Trigger</w:t>
      </w:r>
      <w:bookmarkEnd w:id="218"/>
      <w:bookmarkEnd w:id="1472"/>
    </w:p>
    <w:p>
      <w:pPr>
        <w:pStyle w:val="Normal"/>
        <w:widowControl/>
        <w:rPr/>
      </w:pPr>
      <w:r>
        <w:rPr/>
        <w:t xml:space="preserve">1. </w:t>
      </w:r>
      <w:r>
        <w:rPr>
          <w:b/>
        </w:rPr>
        <w:t>Emergency</w:t>
      </w:r>
      <w:r>
        <w:rPr/>
        <w:t xml:space="preserve"> means a pandemic or public-health emergency; a natural disaster including wildfire, flood, hurricane, drought, or extreme weather; a cyber incident affecting trade infrastructure; a major failure of transportation, energy, or communications infrastructure; an armed conflict materially affecting supply chains; or another event designated by the Commission.</w:t>
      </w:r>
    </w:p>
    <w:p>
      <w:pPr>
        <w:pStyle w:val="Normal"/>
        <w:widowControl/>
        <w:rPr/>
      </w:pPr>
      <w:r>
        <w:rPr/>
        <w:t>2. Any Party may invoke the Mechanism by notifying the other Parties and the Treaty Integrity Secretariat, identifying the emergency, the affected corridors and flows, and the measures contemplated.</w:t>
      </w:r>
    </w:p>
    <w:p>
      <w:pPr>
        <w:pStyle w:val="Normal"/>
        <w:widowControl/>
        <w:rPr/>
      </w:pPr>
      <w:r>
        <w:rPr/>
        <w:t>3. Upon invocation, the Emergency Trade Continuity Protocol activates automatically for the notified flows.</w:t>
      </w:r>
    </w:p>
    <w:p>
      <w:bookmarkStart w:id="1473" w:name="_NAESTMA_TOC_1473"/>
      <w:pPr>
        <w:pStyle w:val="Heading2"/>
        <w:keepNext/>
        <w:widowControl/>
        <w:rPr/>
      </w:pPr>
      <w:bookmarkStart w:id="219" w:name="_Toc237912700"/>
      <w:r>
        <w:rPr/>
        <w:t>Article 38.3: Critical Trade Corridors and Essential Flows</w:t>
      </w:r>
      <w:bookmarkEnd w:id="219"/>
      <w:bookmarkEnd w:id="1473"/>
    </w:p>
    <w:p>
      <w:pPr>
        <w:pStyle w:val="Normal"/>
        <w:widowControl/>
        <w:rPr/>
      </w:pPr>
      <w:r>
        <w:rPr/>
        <w:t>1. The Commission shall maintain and publish a register of critical trade corridors — ports of entry, rail, highways, bridges, pipelines, transmission interconnections, and ports — whose failure would create continent-wide consequences.</w:t>
      </w:r>
    </w:p>
    <w:p>
      <w:pPr>
        <w:pStyle w:val="Normal"/>
        <w:widowControl/>
        <w:rPr/>
      </w:pPr>
      <w:r>
        <w:rPr/>
        <w:t>2. The Parties shall maintain and annually update a list of essential flows, including food, medicines and medical goods, energy and electricity, critical minerals, agricultural inputs, and emergency-response goods.</w:t>
      </w:r>
    </w:p>
    <w:p>
      <w:bookmarkStart w:id="1474" w:name="_NAESTMA_TOC_1474"/>
      <w:pPr>
        <w:pStyle w:val="Heading2"/>
        <w:keepNext/>
        <w:widowControl/>
        <w:rPr/>
      </w:pPr>
      <w:bookmarkStart w:id="220" w:name="_Toc237912701"/>
      <w:r>
        <w:rPr/>
        <w:t>Article 38.4: Continuity Obligations During an Emergency</w:t>
      </w:r>
      <w:bookmarkEnd w:id="220"/>
      <w:bookmarkEnd w:id="1474"/>
    </w:p>
    <w:p>
      <w:pPr>
        <w:pStyle w:val="Normal"/>
        <w:widowControl/>
        <w:rPr/>
      </w:pPr>
      <w:r>
        <w:rPr/>
        <w:t>1. During an activated emergency, each Party shall:</w:t>
      </w:r>
    </w:p>
    <w:p>
      <w:pPr>
        <w:pStyle w:val="Normal"/>
        <w:widowControl/>
        <w:rPr/>
      </w:pPr>
      <w:r>
        <w:rPr/>
        <w:t>(a) maintain the operation of critical trade corridors to the extent consistent with public health and safety;</w:t>
      </w:r>
    </w:p>
    <w:p>
      <w:pPr>
        <w:pStyle w:val="Normal"/>
        <w:widowControl/>
        <w:rPr/>
      </w:pPr>
      <w:r>
        <w:rPr/>
        <w:t>(b) prioritize clearance of essential flows, including through expedited lanes and extended service hours where practicable;</w:t>
      </w:r>
    </w:p>
    <w:p>
      <w:pPr>
        <w:pStyle w:val="Normal"/>
        <w:widowControl/>
        <w:rPr/>
      </w:pPr>
      <w:r>
        <w:rPr/>
        <w:t>(c) notify the other Parties within 24 hours of any measure restricting cross-border movement of essential flows, identifying the measure, its justification, its scope, and its expected duration;</w:t>
      </w:r>
    </w:p>
    <w:p>
      <w:pPr>
        <w:pStyle w:val="Normal"/>
        <w:widowControl/>
        <w:rPr/>
      </w:pPr>
      <w:r>
        <w:rPr/>
        <w:t>(d) ensure that any restriction on essential flows is necessary, proportionate, targeted, and time-limited, and is reviewed at intervals not exceeding 30 days; and</w:t>
      </w:r>
    </w:p>
    <w:p>
      <w:pPr>
        <w:pStyle w:val="Normal"/>
        <w:widowControl/>
        <w:rPr/>
      </w:pPr>
      <w:r>
        <w:rPr/>
        <w:t>(e) refrain from applying export restrictions to essential flows destined for another Party except where critically necessary to address domestic shortage, and in that case in a manner consistent with the Party’s WTO obligations, with Article 35.3A, and with equitable treatment of the other Parties having regard to historical supply patterns.</w:t>
      </w:r>
    </w:p>
    <w:p>
      <w:pPr>
        <w:pStyle w:val="Normal"/>
        <w:widowControl/>
        <w:rPr/>
      </w:pPr>
      <w:r>
        <w:rPr/>
        <w:t>2. A restriction under this Article terminates automatically upon the end of the emergency, and in any case 180 days after adoption unless renewed following trilateral consultation; successive substantially identical restrictions are treated as a single continuing restriction for the purposes of this paragraph.</w:t>
      </w:r>
    </w:p>
    <w:p>
      <w:bookmarkStart w:id="1475" w:name="_NAESTMA_TOC_1475"/>
      <w:pPr>
        <w:pStyle w:val="Heading2"/>
        <w:keepNext/>
        <w:widowControl/>
        <w:rPr/>
      </w:pPr>
      <w:bookmarkStart w:id="221" w:name="_Toc237912702"/>
      <w:r>
        <w:rPr/>
        <w:t>Article 38.5: Emergency Coordination Body</w:t>
      </w:r>
      <w:bookmarkEnd w:id="221"/>
      <w:bookmarkEnd w:id="1475"/>
    </w:p>
    <w:p>
      <w:pPr>
        <w:pStyle w:val="Normal"/>
        <w:widowControl/>
        <w:rPr/>
      </w:pPr>
      <w:r>
        <w:rPr/>
        <w:t>1. Upon activation, the Parties shall convene the Emergency Trade Coordination Body, composed of senior trade, border, health, energy, and transport officials of each Party, within 48 hours, and thereafter at intervals not exceeding 14 days during the emergency.</w:t>
      </w:r>
    </w:p>
    <w:p>
      <w:pPr>
        <w:pStyle w:val="Normal"/>
        <w:widowControl/>
        <w:rPr/>
      </w:pPr>
      <w:r>
        <w:rPr/>
        <w:t>2. The Body shall coordinate corridor operations, share real-time disruption information, resolve bottlenecks, and publish a public dashboard of corridor status.</w:t>
      </w:r>
    </w:p>
    <w:p>
      <w:pPr>
        <w:pStyle w:val="Normal"/>
        <w:widowControl/>
        <w:rPr/>
      </w:pPr>
      <w:r>
        <w:rPr/>
        <w:t>3. The Body may coordinate temporary electricity exchanges, restoration equipment, transformer inventories, mobile generation, storage resources, digital-load curtailment, critical-compute continuity, and telecommunications restoration. Such coordination shall preserve domestic reliability and does not create a permanent export obligation.</w:t>
      </w:r>
    </w:p>
    <w:p>
      <w:bookmarkStart w:id="1476" w:name="_NAESTMA_TOC_1476"/>
      <w:pPr>
        <w:pStyle w:val="Heading2"/>
        <w:keepNext/>
        <w:widowControl/>
        <w:rPr/>
      </w:pPr>
      <w:bookmarkStart w:id="222" w:name="_Toc237912703"/>
      <w:r>
        <w:rPr/>
        <w:t>Article 38.6: Health-Security Supply Chains</w:t>
      </w:r>
      <w:bookmarkEnd w:id="222"/>
      <w:bookmarkEnd w:id="1476"/>
    </w:p>
    <w:p>
      <w:pPr>
        <w:pStyle w:val="Normal"/>
        <w:widowControl/>
        <w:rPr/>
      </w:pPr>
      <w:r>
        <w:rPr/>
        <w:t>1. The Parties shall maintain regulatory-cooperation arrangements for medicines, active pharmaceutical ingredients, and medical devices to enable rapid cross-border supply during emergencies, including expedited recognition of inspections and authorizations consistent with each Party’s safety standards.</w:t>
      </w:r>
    </w:p>
    <w:p>
      <w:pPr>
        <w:pStyle w:val="Normal"/>
        <w:widowControl/>
        <w:rPr/>
      </w:pPr>
      <w:r>
        <w:rPr/>
        <w:t>2. During an activated public-health emergency, no Party shall apply a covered border measure to medicines, medical goods, or their inputs originating in another Party.</w:t>
      </w:r>
    </w:p>
    <w:p>
      <w:bookmarkStart w:id="1477" w:name="_NAESTMA_TOC_1477"/>
      <w:pPr>
        <w:pStyle w:val="Heading2"/>
        <w:keepNext/>
        <w:widowControl/>
        <w:rPr/>
      </w:pPr>
      <w:bookmarkStart w:id="223" w:name="_Toc237912704"/>
      <w:r>
        <w:rPr/>
        <w:t>Article 38.7: Food Security Continuity</w:t>
      </w:r>
      <w:bookmarkEnd w:id="223"/>
      <w:bookmarkEnd w:id="1477"/>
    </w:p>
    <w:p>
      <w:pPr>
        <w:pStyle w:val="Normal"/>
        <w:widowControl/>
        <w:rPr/>
      </w:pPr>
      <w:r>
        <w:rPr/>
        <w:t>1. During an activated emergency, agricultural trade between the Parties shall be preserved to the greatest extent practicable, and restrictions affecting perishable goods are subject to expedited review under Article 31.A within 20 days.</w:t>
      </w:r>
    </w:p>
    <w:p>
      <w:bookmarkStart w:id="1478" w:name="_NAESTMA_TOC_1478"/>
      <w:pPr>
        <w:pStyle w:val="Heading2"/>
        <w:keepNext/>
        <w:widowControl/>
        <w:rPr/>
      </w:pPr>
      <w:bookmarkStart w:id="224" w:name="_Toc237912705"/>
      <w:r>
        <w:rPr/>
        <w:t>Article 38.8: Cyber Incidents Affecting Trade Infrastructure</w:t>
      </w:r>
      <w:bookmarkEnd w:id="224"/>
      <w:bookmarkEnd w:id="1478"/>
    </w:p>
    <w:p>
      <w:pPr>
        <w:pStyle w:val="Normal"/>
        <w:widowControl/>
        <w:rPr/>
      </w:pPr>
      <w:r>
        <w:rPr/>
        <w:t>1. The Parties shall establish notification and mutual-assistance procedures for cyber incidents affecting customs systems, ports, logistics infrastructure, and payment systems, in accordance with Article 19.B (Cybersecurity Cooperation).</w:t>
      </w:r>
    </w:p>
    <w:p>
      <w:bookmarkStart w:id="1479" w:name="_NAESTMA_TOC_1479"/>
      <w:pPr>
        <w:pStyle w:val="Heading2"/>
        <w:keepNext/>
        <w:widowControl/>
        <w:rPr/>
      </w:pPr>
      <w:r>
        <w:rPr/>
        <w:t>Article 38.9: Humanitarian Life-Saving Goods Continuity Protocol</w:t>
      </w:r>
      <w:bookmarkEnd w:id="1479"/>
    </w:p>
    <w:p>
      <w:pPr>
        <w:pStyle w:val="Normal"/>
        <w:widowControl/>
        <w:rPr/>
      </w:pPr>
      <w:r>
        <w:rPr/>
        <w:t>1. During an emergency, customs administrations prioritize Qualifying Humanitarian Life-Saving Goods for immediate processing, pre-clearance where practicable, interoperable electronic documentation, and continuous border access consistent with safety and security controls.</w:t>
      </w:r>
    </w:p>
    <w:p>
      <w:pPr>
        <w:pStyle w:val="Normal"/>
        <w:widowControl/>
        <w:rPr/>
      </w:pPr>
      <w:r>
        <w:rPr/>
        <w:t>2. The Parties maintain an annually reviewed, technology-neutral Annex 38-B schedule organized by humanitarian function rather than brand or supplier. Inclusion requires a direct and principal life-saving, emergency-response, or immediate disaster-relief function.</w:t>
      </w:r>
    </w:p>
    <w:p>
      <w:pPr>
        <w:pStyle w:val="Normal"/>
        <w:widowControl/>
        <w:rPr/>
      </w:pPr>
      <w:r>
        <w:rPr/>
        <w:t>3. Dual-use or ordinary commercial goods receive Annex 38-B treatment only for shipments specifically documented for qualifying humanitarian deployment. Authorities may require end-user certification, emergency incident reference, consignee verification, or comparable evidence proportionate to diversion risk.</w:t>
      </w:r>
    </w:p>
    <w:p>
      <w:pPr>
        <w:pStyle w:val="Normal"/>
        <w:widowControl/>
        <w:rPr/>
      </w:pPr>
      <w:r>
        <w:rPr/>
        <w:t>4. A classification dispute involving a shipment whose delay creates a credible risk to life receives same-day technical escalation. Where lawful and secure, the goods proceed under conditional release while classification is resolved.</w:t>
      </w:r>
    </w:p>
    <w:p>
      <w:bookmarkStart w:id="1480" w:name="_NAESTMA_TOC_1480"/>
      <w:pPr>
        <w:pStyle w:val="Heading2"/>
        <w:keepNext/>
        <w:widowControl/>
        <w:rPr/>
      </w:pPr>
      <w:r>
        <w:rPr/>
        <w:t>ANNEX 38-B: Illustrative Humanitarian Life-Saving Categories</w:t>
      </w:r>
      <w:bookmarkEnd w:id="1480"/>
    </w:p>
    <w:tbl>
      <w:tblPr>
        <w:tblStyle w:val="TableGrid"/>
        <w:tblW w:w="9360" w:type="dxa"/>
        <w:jc w:val="center"/>
        <w:tblInd w:w="0" w:type="dxa"/>
        <w:tblLayout w:type="autofit"/>
        <w:tblCellMar>
          <w:top w:w="0" w:type="dxa"/>
          <w:left w:w="108" w:type="dxa"/>
          <w:bottom w:w="0" w:type="dxa"/>
          <w:right w:w="108" w:type="dxa"/>
        </w:tblCellMar>
        <w:tblLook w:val="04a0" w:noHBand="0" w:noVBand="1" w:firstColumn="1" w:lastRow="0" w:lastColumn="0" w:firstRow="1"/>
      </w:tblPr>
      <w:tblGrid>
        <w:gridCol w:w="3120"/>
        <w:gridCol w:w="3120"/>
        <w:gridCol w:w="3120"/>
      </w:tblGrid>
      <w:tr>
        <w:trPr>
          <w:tblHeader w:val="true"/>
        </w:trPr>
        <w:tc>
          <w:tcPr>
            <w:tcW w:w="3120" w:type="dxa"/>
            <w:tcBorders/>
            <w:shd w:fill="233746"/>
          </w:tcPr>
          <w:p>
            <w:pPr>
              <w:pStyle w:val="Normal"/>
              <w:widowControl/>
              <w:suppressAutoHyphens w:val="true"/>
              <w:spacing w:before="0" w:after="0"/>
              <w:jc w:val="left"/>
              <w:rPr>
                <w:rFonts w:cs=""/>
                <w:kern w:val="0"/>
                <w:szCs w:val="22"/>
                <w:lang w:val="en-US" w:eastAsia="en-US" w:bidi="ar-SA"/>
              </w:rPr>
            </w:pPr>
            <w:r>
              <w:rPr>
                <w:rFonts w:cs="" w:ascii="Arial" w:hAnsi="Arial"/>
                <w:b/>
                <w:color w:val="FFFFFF"/>
                <w:kern w:val="0"/>
                <w:sz w:val="17"/>
                <w:szCs w:val="22"/>
                <w:lang w:val="en-US" w:eastAsia="en-US" w:bidi="ar-SA"/>
              </w:rPr>
              <w:t>Category</w:t>
            </w:r>
          </w:p>
        </w:tc>
        <w:tc>
          <w:tcPr>
            <w:tcW w:w="3120" w:type="dxa"/>
            <w:tcBorders/>
            <w:shd w:fill="233746"/>
          </w:tcPr>
          <w:p>
            <w:pPr>
              <w:pStyle w:val="Normal"/>
              <w:widowControl/>
              <w:suppressAutoHyphens w:val="true"/>
              <w:spacing w:before="0" w:after="0"/>
              <w:jc w:val="left"/>
              <w:rPr>
                <w:rFonts w:cs=""/>
                <w:kern w:val="0"/>
                <w:szCs w:val="22"/>
                <w:lang w:val="en-US" w:eastAsia="en-US" w:bidi="ar-SA"/>
              </w:rPr>
            </w:pPr>
            <w:r>
              <w:rPr>
                <w:rFonts w:cs="" w:ascii="Arial" w:hAnsi="Arial"/>
                <w:b/>
                <w:color w:val="FFFFFF"/>
                <w:kern w:val="0"/>
                <w:sz w:val="17"/>
                <w:szCs w:val="22"/>
                <w:lang w:val="en-US" w:eastAsia="en-US" w:bidi="ar-SA"/>
              </w:rPr>
              <w:t>Illustrative qualifying scope</w:t>
            </w:r>
          </w:p>
        </w:tc>
        <w:tc>
          <w:tcPr>
            <w:tcW w:w="3120" w:type="dxa"/>
            <w:tcBorders/>
            <w:shd w:fill="233746"/>
          </w:tcPr>
          <w:p>
            <w:pPr>
              <w:pStyle w:val="Normal"/>
              <w:widowControl/>
              <w:suppressAutoHyphens w:val="true"/>
              <w:spacing w:before="0" w:after="0"/>
              <w:jc w:val="left"/>
              <w:rPr>
                <w:rFonts w:cs=""/>
                <w:kern w:val="0"/>
                <w:szCs w:val="22"/>
                <w:lang w:val="en-US" w:eastAsia="en-US" w:bidi="ar-SA"/>
              </w:rPr>
            </w:pPr>
            <w:r>
              <w:rPr>
                <w:rFonts w:cs="" w:ascii="Arial" w:hAnsi="Arial"/>
                <w:b/>
                <w:color w:val="FFFFFF"/>
                <w:kern w:val="0"/>
                <w:sz w:val="17"/>
                <w:szCs w:val="22"/>
                <w:lang w:val="en-US" w:eastAsia="en-US" w:bidi="ar-SA"/>
              </w:rPr>
              <w:t>Primary anti-abuse condition</w:t>
            </w:r>
          </w:p>
        </w:tc>
      </w:tr>
      <w:tr>
        <w:trPr/>
        <w:tc>
          <w:tcPr>
            <w:tcW w:w="3120" w:type="dxa"/>
            <w:tcBorders/>
            <w:tcMar>
              <w:top w:w="70" w:type="dxa"/>
              <w:start w:w="110" w:type="dxa"/>
              <w:bottom w:w="70" w:type="dxa"/>
              <w:end w:w="110" w:type="dxa"/>
            </w:tcMar>
          </w:tcPr>
          <w:p>
            <w:pPr>
              <w:pStyle w:val="Normal"/>
              <w:widowControl/>
              <w:suppressAutoHyphens w:val="true"/>
              <w:spacing w:before="0" w:after="0"/>
              <w:jc w:val="left"/>
              <w:rPr>
                <w:rFonts w:cs=""/>
                <w:kern w:val="0"/>
                <w:szCs w:val="22"/>
                <w:lang w:val="en-US" w:eastAsia="en-US" w:bidi="ar-SA"/>
              </w:rPr>
            </w:pPr>
            <w:r>
              <w:rPr>
                <w:rFonts w:cs="" w:ascii="Arial" w:hAnsi="Arial"/>
                <w:kern w:val="0"/>
                <w:sz w:val="17"/>
                <w:szCs w:val="22"/>
                <w:lang w:val="en-US" w:eastAsia="en-US" w:bidi="ar-SA"/>
              </w:rPr>
              <w:t>Essential medical</w:t>
            </w:r>
          </w:p>
        </w:tc>
        <w:tc>
          <w:tcPr>
            <w:tcW w:w="3120" w:type="dxa"/>
            <w:tcBorders/>
            <w:tcMar>
              <w:top w:w="70" w:type="dxa"/>
              <w:start w:w="110" w:type="dxa"/>
              <w:bottom w:w="70" w:type="dxa"/>
              <w:end w:w="110" w:type="dxa"/>
            </w:tcMar>
          </w:tcPr>
          <w:p>
            <w:pPr>
              <w:pStyle w:val="Normal"/>
              <w:widowControl/>
              <w:suppressAutoHyphens w:val="true"/>
              <w:spacing w:before="0" w:after="0"/>
              <w:jc w:val="left"/>
              <w:rPr>
                <w:rFonts w:cs=""/>
                <w:kern w:val="0"/>
                <w:szCs w:val="22"/>
                <w:lang w:val="en-US" w:eastAsia="en-US" w:bidi="ar-SA"/>
              </w:rPr>
            </w:pPr>
            <w:r>
              <w:rPr>
                <w:rFonts w:cs="" w:ascii="Arial" w:hAnsi="Arial"/>
                <w:kern w:val="0"/>
                <w:sz w:val="17"/>
                <w:szCs w:val="22"/>
                <w:lang w:val="en-US" w:eastAsia="en-US" w:bidi="ar-SA"/>
              </w:rPr>
              <w:t>Essential medicines, antidotes, blood products, transplant materials, emergency medical consumables and critical medical devices</w:t>
            </w:r>
          </w:p>
        </w:tc>
        <w:tc>
          <w:tcPr>
            <w:tcW w:w="3120" w:type="dxa"/>
            <w:tcBorders/>
            <w:tcMar>
              <w:top w:w="70" w:type="dxa"/>
              <w:start w:w="110" w:type="dxa"/>
              <w:bottom w:w="70" w:type="dxa"/>
              <w:end w:w="110" w:type="dxa"/>
            </w:tcMar>
          </w:tcPr>
          <w:p>
            <w:pPr>
              <w:pStyle w:val="Normal"/>
              <w:widowControl/>
              <w:suppressAutoHyphens w:val="true"/>
              <w:spacing w:before="0" w:after="0"/>
              <w:jc w:val="left"/>
              <w:rPr>
                <w:rFonts w:cs=""/>
                <w:kern w:val="0"/>
                <w:szCs w:val="22"/>
                <w:lang w:val="en-US" w:eastAsia="en-US" w:bidi="ar-SA"/>
              </w:rPr>
            </w:pPr>
            <w:r>
              <w:rPr>
                <w:rFonts w:cs="" w:ascii="Arial" w:hAnsi="Arial"/>
                <w:kern w:val="0"/>
                <w:sz w:val="17"/>
                <w:szCs w:val="22"/>
                <w:lang w:val="en-US" w:eastAsia="en-US" w:bidi="ar-SA"/>
              </w:rPr>
              <w:t>Certified medical or emergency end use; controlled goods remain subject to applicable safety law.</w:t>
            </w:r>
          </w:p>
        </w:tc>
      </w:tr>
      <w:tr>
        <w:trPr/>
        <w:tc>
          <w:tcPr>
            <w:tcW w:w="3120" w:type="dxa"/>
            <w:tcBorders/>
            <w:tcMar>
              <w:top w:w="70" w:type="dxa"/>
              <w:start w:w="110" w:type="dxa"/>
              <w:bottom w:w="70" w:type="dxa"/>
              <w:end w:w="110" w:type="dxa"/>
            </w:tcMar>
            <w:shd w:fill="F4F6F7"/>
          </w:tcPr>
          <w:p>
            <w:pPr>
              <w:pStyle w:val="Normal"/>
              <w:widowControl/>
              <w:suppressAutoHyphens w:val="true"/>
              <w:spacing w:before="0" w:after="0"/>
              <w:jc w:val="left"/>
              <w:rPr>
                <w:rFonts w:cs=""/>
                <w:kern w:val="0"/>
                <w:szCs w:val="22"/>
                <w:lang w:val="en-US" w:eastAsia="en-US" w:bidi="ar-SA"/>
              </w:rPr>
            </w:pPr>
            <w:r>
              <w:rPr>
                <w:rFonts w:cs="" w:ascii="Arial" w:hAnsi="Arial"/>
                <w:kern w:val="0"/>
                <w:sz w:val="17"/>
                <w:szCs w:val="22"/>
                <w:lang w:val="en-US" w:eastAsia="en-US" w:bidi="ar-SA"/>
              </w:rPr>
              <w:t>Water and sanitation</w:t>
            </w:r>
          </w:p>
        </w:tc>
        <w:tc>
          <w:tcPr>
            <w:tcW w:w="3120" w:type="dxa"/>
            <w:tcBorders/>
            <w:tcMar>
              <w:top w:w="70" w:type="dxa"/>
              <w:start w:w="110" w:type="dxa"/>
              <w:bottom w:w="70" w:type="dxa"/>
              <w:end w:w="110" w:type="dxa"/>
            </w:tcMar>
            <w:shd w:fill="F4F6F7"/>
          </w:tcPr>
          <w:p>
            <w:pPr>
              <w:pStyle w:val="Normal"/>
              <w:widowControl/>
              <w:suppressAutoHyphens w:val="true"/>
              <w:spacing w:before="0" w:after="0"/>
              <w:jc w:val="left"/>
              <w:rPr>
                <w:rFonts w:cs=""/>
                <w:kern w:val="0"/>
                <w:szCs w:val="22"/>
                <w:lang w:val="en-US" w:eastAsia="en-US" w:bidi="ar-SA"/>
              </w:rPr>
            </w:pPr>
            <w:r>
              <w:rPr>
                <w:rFonts w:cs="" w:ascii="Arial" w:hAnsi="Arial"/>
                <w:kern w:val="0"/>
                <w:sz w:val="17"/>
                <w:szCs w:val="22"/>
                <w:lang w:val="en-US" w:eastAsia="en-US" w:bidi="ar-SA"/>
              </w:rPr>
              <w:t>Emergency potable water, purification systems, sanitation kits, emergency pumps and treatment consumables</w:t>
            </w:r>
          </w:p>
        </w:tc>
        <w:tc>
          <w:tcPr>
            <w:tcW w:w="3120" w:type="dxa"/>
            <w:tcBorders/>
            <w:tcMar>
              <w:top w:w="70" w:type="dxa"/>
              <w:start w:w="110" w:type="dxa"/>
              <w:bottom w:w="70" w:type="dxa"/>
              <w:end w:w="110" w:type="dxa"/>
            </w:tcMar>
            <w:shd w:fill="F4F6F7"/>
          </w:tcPr>
          <w:p>
            <w:pPr>
              <w:pStyle w:val="Normal"/>
              <w:widowControl/>
              <w:suppressAutoHyphens w:val="true"/>
              <w:spacing w:before="0" w:after="0"/>
              <w:jc w:val="left"/>
              <w:rPr>
                <w:rFonts w:cs=""/>
                <w:kern w:val="0"/>
                <w:szCs w:val="22"/>
                <w:lang w:val="en-US" w:eastAsia="en-US" w:bidi="ar-SA"/>
              </w:rPr>
            </w:pPr>
            <w:r>
              <w:rPr>
                <w:rFonts w:cs="" w:ascii="Arial" w:hAnsi="Arial"/>
                <w:kern w:val="0"/>
                <w:sz w:val="17"/>
                <w:szCs w:val="22"/>
                <w:lang w:val="en-US" w:eastAsia="en-US" w:bidi="ar-SA"/>
              </w:rPr>
              <w:t>Emergency-response or humanitarian consignee certification.</w:t>
            </w:r>
          </w:p>
        </w:tc>
      </w:tr>
      <w:tr>
        <w:trPr/>
        <w:tc>
          <w:tcPr>
            <w:tcW w:w="3120" w:type="dxa"/>
            <w:tcBorders/>
            <w:tcMar>
              <w:top w:w="70" w:type="dxa"/>
              <w:start w:w="110" w:type="dxa"/>
              <w:bottom w:w="70" w:type="dxa"/>
              <w:end w:w="110" w:type="dxa"/>
            </w:tcMar>
          </w:tcPr>
          <w:p>
            <w:pPr>
              <w:pStyle w:val="Normal"/>
              <w:widowControl/>
              <w:suppressAutoHyphens w:val="true"/>
              <w:spacing w:before="0" w:after="0"/>
              <w:jc w:val="left"/>
              <w:rPr>
                <w:rFonts w:cs=""/>
                <w:kern w:val="0"/>
                <w:szCs w:val="22"/>
                <w:lang w:val="en-US" w:eastAsia="en-US" w:bidi="ar-SA"/>
              </w:rPr>
            </w:pPr>
            <w:r>
              <w:rPr>
                <w:rFonts w:cs="" w:ascii="Arial" w:hAnsi="Arial"/>
                <w:kern w:val="0"/>
                <w:sz w:val="17"/>
                <w:szCs w:val="22"/>
                <w:lang w:val="en-US" w:eastAsia="en-US" w:bidi="ar-SA"/>
              </w:rPr>
              <w:t>Food and nutrition</w:t>
            </w:r>
          </w:p>
        </w:tc>
        <w:tc>
          <w:tcPr>
            <w:tcW w:w="3120" w:type="dxa"/>
            <w:tcBorders/>
            <w:tcMar>
              <w:top w:w="70" w:type="dxa"/>
              <w:start w:w="110" w:type="dxa"/>
              <w:bottom w:w="70" w:type="dxa"/>
              <w:end w:w="110" w:type="dxa"/>
            </w:tcMar>
          </w:tcPr>
          <w:p>
            <w:pPr>
              <w:pStyle w:val="Normal"/>
              <w:widowControl/>
              <w:suppressAutoHyphens w:val="true"/>
              <w:spacing w:before="0" w:after="0"/>
              <w:jc w:val="left"/>
              <w:rPr>
                <w:rFonts w:cs=""/>
                <w:kern w:val="0"/>
                <w:szCs w:val="22"/>
                <w:lang w:val="en-US" w:eastAsia="en-US" w:bidi="ar-SA"/>
              </w:rPr>
            </w:pPr>
            <w:r>
              <w:rPr>
                <w:rFonts w:cs="" w:ascii="Arial" w:hAnsi="Arial"/>
                <w:kern w:val="0"/>
                <w:sz w:val="17"/>
                <w:szCs w:val="22"/>
                <w:lang w:val="en-US" w:eastAsia="en-US" w:bidi="ar-SA"/>
              </w:rPr>
              <w:t>Emergency rations, therapeutic nutrition, infant emergency nutrition and disaster-relief food shipments</w:t>
            </w:r>
          </w:p>
        </w:tc>
        <w:tc>
          <w:tcPr>
            <w:tcW w:w="3120" w:type="dxa"/>
            <w:tcBorders/>
            <w:tcMar>
              <w:top w:w="70" w:type="dxa"/>
              <w:start w:w="110" w:type="dxa"/>
              <w:bottom w:w="70" w:type="dxa"/>
              <w:end w:w="110" w:type="dxa"/>
            </w:tcMar>
          </w:tcPr>
          <w:p>
            <w:pPr>
              <w:pStyle w:val="Normal"/>
              <w:widowControl/>
              <w:suppressAutoHyphens w:val="true"/>
              <w:spacing w:before="0" w:after="0"/>
              <w:jc w:val="left"/>
              <w:rPr>
                <w:rFonts w:cs=""/>
                <w:kern w:val="0"/>
                <w:szCs w:val="22"/>
                <w:lang w:val="en-US" w:eastAsia="en-US" w:bidi="ar-SA"/>
              </w:rPr>
            </w:pPr>
            <w:r>
              <w:rPr>
                <w:rFonts w:cs="" w:ascii="Arial" w:hAnsi="Arial"/>
                <w:kern w:val="0"/>
                <w:sz w:val="17"/>
                <w:szCs w:val="22"/>
                <w:lang w:val="en-US" w:eastAsia="en-US" w:bidi="ar-SA"/>
              </w:rPr>
              <w:t>Immediate humanitarian or disaster-relief deployment; ordinary commercial grocery trade excluded.</w:t>
            </w:r>
          </w:p>
        </w:tc>
      </w:tr>
      <w:tr>
        <w:trPr/>
        <w:tc>
          <w:tcPr>
            <w:tcW w:w="3120" w:type="dxa"/>
            <w:tcBorders/>
            <w:tcMar>
              <w:top w:w="70" w:type="dxa"/>
              <w:start w:w="110" w:type="dxa"/>
              <w:bottom w:w="70" w:type="dxa"/>
              <w:end w:w="110" w:type="dxa"/>
            </w:tcMar>
            <w:shd w:fill="F4F6F7"/>
          </w:tcPr>
          <w:p>
            <w:pPr>
              <w:pStyle w:val="Normal"/>
              <w:widowControl/>
              <w:suppressAutoHyphens w:val="true"/>
              <w:spacing w:before="0" w:after="0"/>
              <w:jc w:val="left"/>
              <w:rPr>
                <w:rFonts w:cs=""/>
                <w:kern w:val="0"/>
                <w:szCs w:val="22"/>
                <w:lang w:val="en-US" w:eastAsia="en-US" w:bidi="ar-SA"/>
              </w:rPr>
            </w:pPr>
            <w:r>
              <w:rPr>
                <w:rFonts w:cs="" w:ascii="Arial" w:hAnsi="Arial"/>
                <w:kern w:val="0"/>
                <w:sz w:val="17"/>
                <w:szCs w:val="22"/>
                <w:lang w:val="en-US" w:eastAsia="en-US" w:bidi="ar-SA"/>
              </w:rPr>
              <w:t>Shelter and protection</w:t>
            </w:r>
          </w:p>
        </w:tc>
        <w:tc>
          <w:tcPr>
            <w:tcW w:w="3120" w:type="dxa"/>
            <w:tcBorders/>
            <w:tcMar>
              <w:top w:w="70" w:type="dxa"/>
              <w:start w:w="110" w:type="dxa"/>
              <w:bottom w:w="70" w:type="dxa"/>
              <w:end w:w="110" w:type="dxa"/>
            </w:tcMar>
            <w:shd w:fill="F4F6F7"/>
          </w:tcPr>
          <w:p>
            <w:pPr>
              <w:pStyle w:val="Normal"/>
              <w:widowControl/>
              <w:suppressAutoHyphens w:val="true"/>
              <w:spacing w:before="0" w:after="0"/>
              <w:jc w:val="left"/>
              <w:rPr>
                <w:rFonts w:cs=""/>
                <w:kern w:val="0"/>
                <w:szCs w:val="22"/>
                <w:lang w:val="en-US" w:eastAsia="en-US" w:bidi="ar-SA"/>
              </w:rPr>
            </w:pPr>
            <w:r>
              <w:rPr>
                <w:rFonts w:cs="" w:ascii="Arial" w:hAnsi="Arial"/>
                <w:kern w:val="0"/>
                <w:sz w:val="17"/>
                <w:szCs w:val="22"/>
                <w:lang w:val="en-US" w:eastAsia="en-US" w:bidi="ar-SA"/>
              </w:rPr>
              <w:t>Emergency shelters, blankets, thermal protection and emergency climate-control equipment</w:t>
            </w:r>
          </w:p>
        </w:tc>
        <w:tc>
          <w:tcPr>
            <w:tcW w:w="3120" w:type="dxa"/>
            <w:tcBorders/>
            <w:tcMar>
              <w:top w:w="70" w:type="dxa"/>
              <w:start w:w="110" w:type="dxa"/>
              <w:bottom w:w="70" w:type="dxa"/>
              <w:end w:w="110" w:type="dxa"/>
            </w:tcMar>
            <w:shd w:fill="F4F6F7"/>
          </w:tcPr>
          <w:p>
            <w:pPr>
              <w:pStyle w:val="Normal"/>
              <w:widowControl/>
              <w:suppressAutoHyphens w:val="true"/>
              <w:spacing w:before="0" w:after="0"/>
              <w:jc w:val="left"/>
              <w:rPr>
                <w:rFonts w:cs=""/>
                <w:kern w:val="0"/>
                <w:szCs w:val="22"/>
                <w:lang w:val="en-US" w:eastAsia="en-US" w:bidi="ar-SA"/>
              </w:rPr>
            </w:pPr>
            <w:r>
              <w:rPr>
                <w:rFonts w:cs="" w:ascii="Arial" w:hAnsi="Arial"/>
                <w:kern w:val="0"/>
                <w:sz w:val="17"/>
                <w:szCs w:val="22"/>
                <w:lang w:val="en-US" w:eastAsia="en-US" w:bidi="ar-SA"/>
              </w:rPr>
              <w:t>Emergency deployment documentation.</w:t>
            </w:r>
          </w:p>
        </w:tc>
      </w:tr>
      <w:tr>
        <w:trPr/>
        <w:tc>
          <w:tcPr>
            <w:tcW w:w="3120" w:type="dxa"/>
            <w:tcBorders/>
            <w:tcMar>
              <w:top w:w="70" w:type="dxa"/>
              <w:start w:w="110" w:type="dxa"/>
              <w:bottom w:w="70" w:type="dxa"/>
              <w:end w:w="110" w:type="dxa"/>
            </w:tcMar>
          </w:tcPr>
          <w:p>
            <w:pPr>
              <w:pStyle w:val="Normal"/>
              <w:widowControl/>
              <w:suppressAutoHyphens w:val="true"/>
              <w:spacing w:before="0" w:after="0"/>
              <w:jc w:val="left"/>
              <w:rPr>
                <w:rFonts w:cs=""/>
                <w:kern w:val="0"/>
                <w:szCs w:val="22"/>
                <w:lang w:val="en-US" w:eastAsia="en-US" w:bidi="ar-SA"/>
              </w:rPr>
            </w:pPr>
            <w:r>
              <w:rPr>
                <w:rFonts w:cs="" w:ascii="Arial" w:hAnsi="Arial"/>
                <w:kern w:val="0"/>
                <w:sz w:val="17"/>
                <w:szCs w:val="22"/>
                <w:lang w:val="en-US" w:eastAsia="en-US" w:bidi="ar-SA"/>
              </w:rPr>
              <w:t>Rescue and evacuation</w:t>
            </w:r>
          </w:p>
        </w:tc>
        <w:tc>
          <w:tcPr>
            <w:tcW w:w="3120" w:type="dxa"/>
            <w:tcBorders/>
            <w:tcMar>
              <w:top w:w="70" w:type="dxa"/>
              <w:start w:w="110" w:type="dxa"/>
              <w:bottom w:w="70" w:type="dxa"/>
              <w:end w:w="110" w:type="dxa"/>
            </w:tcMar>
          </w:tcPr>
          <w:p>
            <w:pPr>
              <w:pStyle w:val="Normal"/>
              <w:widowControl/>
              <w:suppressAutoHyphens w:val="true"/>
              <w:spacing w:before="0" w:after="0"/>
              <w:jc w:val="left"/>
              <w:rPr>
                <w:rFonts w:cs=""/>
                <w:kern w:val="0"/>
                <w:szCs w:val="22"/>
                <w:lang w:val="en-US" w:eastAsia="en-US" w:bidi="ar-SA"/>
              </w:rPr>
            </w:pPr>
            <w:r>
              <w:rPr>
                <w:rFonts w:cs="" w:ascii="Arial" w:hAnsi="Arial"/>
                <w:kern w:val="0"/>
                <w:sz w:val="17"/>
                <w:szCs w:val="22"/>
                <w:lang w:val="en-US" w:eastAsia="en-US" w:bidi="ar-SA"/>
              </w:rPr>
              <w:t>Rescue tools, evacuation equipment, emergency communications and search-and-rescue supplies</w:t>
            </w:r>
          </w:p>
        </w:tc>
        <w:tc>
          <w:tcPr>
            <w:tcW w:w="3120" w:type="dxa"/>
            <w:tcBorders/>
            <w:tcMar>
              <w:top w:w="70" w:type="dxa"/>
              <w:start w:w="110" w:type="dxa"/>
              <w:bottom w:w="70" w:type="dxa"/>
              <w:end w:w="110" w:type="dxa"/>
            </w:tcMar>
          </w:tcPr>
          <w:p>
            <w:pPr>
              <w:pStyle w:val="Normal"/>
              <w:widowControl/>
              <w:suppressAutoHyphens w:val="true"/>
              <w:spacing w:before="0" w:after="0"/>
              <w:jc w:val="left"/>
              <w:rPr>
                <w:rFonts w:cs=""/>
                <w:kern w:val="0"/>
                <w:szCs w:val="22"/>
                <w:lang w:val="en-US" w:eastAsia="en-US" w:bidi="ar-SA"/>
              </w:rPr>
            </w:pPr>
            <w:r>
              <w:rPr>
                <w:rFonts w:cs="" w:ascii="Arial" w:hAnsi="Arial"/>
                <w:kern w:val="0"/>
                <w:sz w:val="17"/>
                <w:szCs w:val="22"/>
                <w:lang w:val="en-US" w:eastAsia="en-US" w:bidi="ar-SA"/>
              </w:rPr>
              <w:t>Public-safety, humanitarian, or accredited emergency-response use.</w:t>
            </w:r>
          </w:p>
        </w:tc>
      </w:tr>
      <w:tr>
        <w:trPr/>
        <w:tc>
          <w:tcPr>
            <w:tcW w:w="3120" w:type="dxa"/>
            <w:tcBorders/>
            <w:tcMar>
              <w:top w:w="70" w:type="dxa"/>
              <w:start w:w="110" w:type="dxa"/>
              <w:bottom w:w="70" w:type="dxa"/>
              <w:end w:w="110" w:type="dxa"/>
            </w:tcMar>
            <w:shd w:fill="F4F6F7"/>
          </w:tcPr>
          <w:p>
            <w:pPr>
              <w:pStyle w:val="Normal"/>
              <w:widowControl/>
              <w:suppressAutoHyphens w:val="true"/>
              <w:spacing w:before="0" w:after="0"/>
              <w:jc w:val="left"/>
              <w:rPr>
                <w:rFonts w:cs=""/>
                <w:kern w:val="0"/>
                <w:szCs w:val="22"/>
                <w:lang w:val="en-US" w:eastAsia="en-US" w:bidi="ar-SA"/>
              </w:rPr>
            </w:pPr>
            <w:r>
              <w:rPr>
                <w:rFonts w:cs="" w:ascii="Arial" w:hAnsi="Arial"/>
                <w:kern w:val="0"/>
                <w:sz w:val="17"/>
                <w:szCs w:val="22"/>
                <w:lang w:val="en-US" w:eastAsia="en-US" w:bidi="ar-SA"/>
              </w:rPr>
              <w:t>Wildfire and disaster response</w:t>
            </w:r>
          </w:p>
        </w:tc>
        <w:tc>
          <w:tcPr>
            <w:tcW w:w="3120" w:type="dxa"/>
            <w:tcBorders/>
            <w:tcMar>
              <w:top w:w="70" w:type="dxa"/>
              <w:start w:w="110" w:type="dxa"/>
              <w:bottom w:w="70" w:type="dxa"/>
              <w:end w:w="110" w:type="dxa"/>
            </w:tcMar>
            <w:shd w:fill="F4F6F7"/>
          </w:tcPr>
          <w:p>
            <w:pPr>
              <w:pStyle w:val="Normal"/>
              <w:widowControl/>
              <w:suppressAutoHyphens w:val="true"/>
              <w:spacing w:before="0" w:after="0"/>
              <w:jc w:val="left"/>
              <w:rPr>
                <w:rFonts w:cs=""/>
                <w:kern w:val="0"/>
                <w:szCs w:val="22"/>
                <w:lang w:val="en-US" w:eastAsia="en-US" w:bidi="ar-SA"/>
              </w:rPr>
            </w:pPr>
            <w:r>
              <w:rPr>
                <w:rFonts w:cs="" w:ascii="Arial" w:hAnsi="Arial"/>
                <w:kern w:val="0"/>
                <w:sz w:val="17"/>
                <w:szCs w:val="22"/>
                <w:lang w:val="en-US" w:eastAsia="en-US" w:bidi="ar-SA"/>
              </w:rPr>
              <w:t>Firefighting agents and equipment, protective equipment, emergency pumps, hose, response vehicles and specialized disaster-response goods</w:t>
            </w:r>
          </w:p>
        </w:tc>
        <w:tc>
          <w:tcPr>
            <w:tcW w:w="3120" w:type="dxa"/>
            <w:tcBorders/>
            <w:tcMar>
              <w:top w:w="70" w:type="dxa"/>
              <w:start w:w="110" w:type="dxa"/>
              <w:bottom w:w="70" w:type="dxa"/>
              <w:end w:w="110" w:type="dxa"/>
            </w:tcMar>
            <w:shd w:fill="F4F6F7"/>
          </w:tcPr>
          <w:p>
            <w:pPr>
              <w:pStyle w:val="Normal"/>
              <w:widowControl/>
              <w:suppressAutoHyphens w:val="true"/>
              <w:spacing w:before="0" w:after="0"/>
              <w:jc w:val="left"/>
              <w:rPr>
                <w:rFonts w:cs=""/>
                <w:kern w:val="0"/>
                <w:szCs w:val="22"/>
                <w:lang w:val="en-US" w:eastAsia="en-US" w:bidi="ar-SA"/>
              </w:rPr>
            </w:pPr>
            <w:r>
              <w:rPr>
                <w:rFonts w:cs="" w:ascii="Arial" w:hAnsi="Arial"/>
                <w:kern w:val="0"/>
                <w:sz w:val="17"/>
                <w:szCs w:val="22"/>
                <w:lang w:val="en-US" w:eastAsia="en-US" w:bidi="ar-SA"/>
              </w:rPr>
              <w:t>Shipment linked to an active emergency, pre-positioned emergency stockpile, or accredited response program.</w:t>
            </w:r>
          </w:p>
        </w:tc>
      </w:tr>
    </w:tbl>
    <w:p>
      <w:bookmarkStart w:id="1481" w:name="_NAESTMA_TOC_1481"/>
      <w:pPr>
        <w:pStyle w:val="Heading1"/>
        <w:keepNext/>
        <w:keepLines w:val="0"/>
        <w:pageBreakBefore/>
        <w:widowControl/>
        <w:rPr/>
      </w:pPr>
      <w:r>
        <w:br w:type="page"/>
      </w:r>
      <w:bookmarkStart w:id="225" w:name="_Toc237912706"/>
      <w:r>
        <w:rPr/>
        <w:t>CHAPTER 39</w:t>
      </w:r>
      <w:bookmarkEnd w:id="225"/>
      <w:bookmarkEnd w:id="1481"/>
    </w:p>
    <w:p>
      <w:bookmarkStart w:id="1482" w:name="_NAESTMA_TOC_1482"/>
      <w:pPr>
        <w:pStyle w:val="Heading1"/>
        <w:keepNext/>
        <w:pageBreakBefore w:val="0"/>
        <w:widowControl/>
        <w:rPr/>
      </w:pPr>
      <w:bookmarkStart w:id="226" w:name="_Toc237912707"/>
      <w:r>
        <w:rPr/>
        <w:t>ADVANCED TECHNOLOGY AND ARTIFICIAL INTELLIGENCE</w:t>
      </w:r>
      <w:bookmarkEnd w:id="226"/>
      <w:bookmarkEnd w:id="1482"/>
    </w:p>
    <w:p>
      <w:bookmarkStart w:id="1483" w:name="_NAESTMA_TOC_1483"/>
      <w:pPr>
        <w:pStyle w:val="Heading2"/>
        <w:keepNext/>
        <w:widowControl/>
        <w:rPr/>
      </w:pPr>
      <w:bookmarkStart w:id="227" w:name="_Toc237912708"/>
      <w:r>
        <w:rPr/>
        <w:t>Article 39.1: Purpose and Approach</w:t>
      </w:r>
      <w:bookmarkEnd w:id="227"/>
      <w:bookmarkEnd w:id="1483"/>
    </w:p>
    <w:p>
      <w:pPr>
        <w:pStyle w:val="Normal"/>
        <w:widowControl/>
        <w:rPr/>
      </w:pPr>
      <w:r>
        <w:rPr/>
        <w:t>1. The Parties recognize that artificial intelligence, quantum computing, semiconductors, and other emerging technologies are transforming North American production and trade, and that this Agreement must accommodate technological change without freezing today’s regulatory questions into a long-lived treaty.</w:t>
      </w:r>
    </w:p>
    <w:p>
      <w:pPr>
        <w:pStyle w:val="Normal"/>
        <w:widowControl/>
        <w:rPr/>
      </w:pPr>
      <w:r>
        <w:rPr/>
        <w:t>2. This Chapter promotes innovation, interoperability, and cooperation, while preserving each Party’s authority to regulate emerging technologies in the public interest.</w:t>
      </w:r>
    </w:p>
    <w:p>
      <w:bookmarkStart w:id="1484" w:name="_NAESTMA_TOC_1484"/>
      <w:pPr>
        <w:pStyle w:val="Heading2"/>
        <w:keepNext/>
        <w:widowControl/>
        <w:rPr/>
      </w:pPr>
      <w:bookmarkStart w:id="228" w:name="_Toc237912709"/>
      <w:r>
        <w:rPr/>
        <w:t>Article 39.2: AI-Enabled Trade</w:t>
      </w:r>
      <w:bookmarkEnd w:id="228"/>
      <w:bookmarkEnd w:id="1484"/>
    </w:p>
    <w:p>
      <w:pPr>
        <w:pStyle w:val="Normal"/>
        <w:widowControl/>
        <w:rPr/>
      </w:pPr>
      <w:r>
        <w:rPr/>
        <w:t>1. No Party shall apply a covered border measure or discriminatory internal measure to a good or service of another Party by reason solely of its use of artificial intelligence in its production, operation, or delivery, except pursuant to a measure of general application consistent with this Agreement.</w:t>
      </w:r>
    </w:p>
    <w:p>
      <w:pPr>
        <w:pStyle w:val="Normal"/>
        <w:widowControl/>
        <w:rPr/>
      </w:pPr>
      <w:r>
        <w:rPr/>
        <w:t>2. The Parties shall cooperate on interoperability of technical standards and conformity assessment for AI-enabled products, in accordance with Chapter 11 (Technical Barriers to Trade).</w:t>
      </w:r>
    </w:p>
    <w:p>
      <w:bookmarkStart w:id="1485" w:name="_NAESTMA_TOC_1485"/>
      <w:pPr>
        <w:pStyle w:val="Heading2"/>
        <w:keepNext/>
        <w:widowControl/>
        <w:rPr/>
      </w:pPr>
      <w:bookmarkStart w:id="229" w:name="_Toc237912710"/>
      <w:r>
        <w:rPr/>
        <w:t>Article 39.3: Regulatory Cooperation on Artificial Intelligence</w:t>
      </w:r>
      <w:bookmarkEnd w:id="229"/>
      <w:bookmarkEnd w:id="1485"/>
    </w:p>
    <w:p>
      <w:pPr>
        <w:pStyle w:val="Normal"/>
        <w:widowControl/>
        <w:rPr/>
      </w:pPr>
      <w:r>
        <w:rPr/>
        <w:t>1. The Parties shall establish, under the Committee on Digital Trade Cooperation, an Artificial Intelligence Regulatory Cooperation Track to exchange information on AI governance approaches, risk-management frameworks, and standards development.</w:t>
      </w:r>
    </w:p>
    <w:p>
      <w:pPr>
        <w:pStyle w:val="Normal"/>
        <w:widowControl/>
        <w:rPr/>
      </w:pPr>
      <w:r>
        <w:rPr/>
        <w:t>2. Participation in the Cooperation Track does not require regulatory harmonization, and nothing in this Chapter prejudges a Party’s domestic treatment of AI safety, liability, intellectual property, or content questions.</w:t>
      </w:r>
    </w:p>
    <w:p>
      <w:bookmarkStart w:id="1486" w:name="_NAESTMA_TOC_1486"/>
      <w:pPr>
        <w:pStyle w:val="Heading2"/>
        <w:keepNext/>
        <w:widowControl/>
        <w:rPr/>
      </w:pPr>
      <w:bookmarkStart w:id="230" w:name="_Toc237912711"/>
      <w:r>
        <w:rPr/>
        <w:t>Article 39.4: Semiconductors and Advanced Electronics</w:t>
      </w:r>
      <w:bookmarkEnd w:id="230"/>
      <w:bookmarkEnd w:id="1486"/>
    </w:p>
    <w:p>
      <w:pPr>
        <w:pStyle w:val="Normal"/>
        <w:widowControl/>
        <w:rPr/>
      </w:pPr>
      <w:r>
        <w:rPr/>
        <w:t>1. The Parties recognize that many electronic components have no current North American substitute. Rules of origin affecting semiconductors and advanced electronics shall be administered in accordance with Article 4.A.5, recognizing testing, packaging, and final assembly within a Party as qualifying production under the conditions there set out.</w:t>
      </w:r>
    </w:p>
    <w:p>
      <w:pPr>
        <w:pStyle w:val="Normal"/>
        <w:widowControl/>
        <w:rPr/>
      </w:pPr>
      <w:r>
        <w:rPr/>
        <w:t>2. The Parties shall cooperate to develop North American semiconductor capacity and supply-chain mapping, and shall consult before adopting measures affecting cross-border semiconductor trade between the Parties.</w:t>
      </w:r>
    </w:p>
    <w:p>
      <w:bookmarkStart w:id="1487" w:name="_NAESTMA_TOC_1487"/>
      <w:pPr>
        <w:pStyle w:val="Heading2"/>
        <w:keepNext/>
        <w:widowControl/>
        <w:rPr/>
      </w:pPr>
      <w:bookmarkStart w:id="231" w:name="_Toc237912712"/>
      <w:r>
        <w:rPr/>
        <w:t>Article 39.5: Advanced Technology Annex and Technology-Update Mechanism</w:t>
      </w:r>
      <w:bookmarkEnd w:id="231"/>
      <w:bookmarkEnd w:id="1487"/>
    </w:p>
    <w:p>
      <w:pPr>
        <w:pStyle w:val="Normal"/>
        <w:widowControl/>
        <w:rPr/>
      </w:pPr>
      <w:r>
        <w:rPr/>
        <w:t>1. The Commission shall maintain an Advanced Technology Annex identifying technology areas subject to enhanced cooperation under this Chapter.</w:t>
      </w:r>
    </w:p>
    <w:p>
      <w:pPr>
        <w:pStyle w:val="Normal"/>
        <w:widowControl/>
        <w:rPr/>
      </w:pPr>
      <w:r>
        <w:rPr/>
        <w:t>2. The Commission may, by consensus, adopt or update technical annexes under this Chapter and Annex 35-B, Annex 37-A, and equivalent technical instruments, through the Structured Technical Amendment Procedure in Article 34.3.A, within the limits of that Article, without reopening the text of this Agreement.</w:t>
      </w:r>
    </w:p>
    <w:p>
      <w:pPr>
        <w:pStyle w:val="Normal"/>
        <w:widowControl/>
        <w:rPr/>
      </w:pPr>
      <w:r>
        <w:rPr/>
        <w:t>3. Updates under paragraph 2 take effect on the date fixed by the Commission, are published in the Registry, and are reported to the Parties’ legislatures in accordance with their domestic procedures.</w:t>
      </w:r>
    </w:p>
    <w:p>
      <w:bookmarkStart w:id="1488" w:name="_NAESTMA_TOC_1488"/>
      <w:pPr>
        <w:pStyle w:val="Heading2"/>
        <w:keepNext/>
        <w:widowControl/>
        <w:rPr/>
      </w:pPr>
      <w:bookmarkStart w:id="232" w:name="_Toc237912713"/>
      <w:r>
        <w:rPr/>
        <w:t>Article 39.6: Quantum and Emerging Technologies</w:t>
      </w:r>
      <w:bookmarkEnd w:id="232"/>
      <w:bookmarkEnd w:id="1488"/>
    </w:p>
    <w:p>
      <w:pPr>
        <w:pStyle w:val="Normal"/>
        <w:widowControl/>
        <w:rPr/>
      </w:pPr>
      <w:r>
        <w:rPr/>
        <w:t>1. The Parties shall endeavor to cooperate on research-security, standards, and supply-chain matters concerning quantum computing, advanced communications, and other technologies designated in the Advanced Technology Annex.</w:t>
      </w:r>
    </w:p>
    <w:p>
      <w:bookmarkStart w:id="1489" w:name="_NAESTMA_TOC_1489"/>
      <w:pPr>
        <w:pStyle w:val="Heading2"/>
        <w:keepNext/>
        <w:widowControl/>
        <w:spacing w:lineRule="auto" w:line="252"/>
        <w:rPr/>
      </w:pPr>
      <w:bookmarkStart w:id="233" w:name="_Toc237912714"/>
      <w:r>
        <w:rPr/>
        <w:t>Article 39.7: Strategic Compute Infrastructure Cooperation</w:t>
      </w:r>
      <w:bookmarkEnd w:id="233"/>
      <w:bookmarkEnd w:id="1489"/>
    </w:p>
    <w:p>
      <w:pPr>
        <w:pStyle w:val="Normal"/>
        <w:widowControl/>
        <w:spacing w:lineRule="auto" w:line="252" w:before="0" w:after="100"/>
        <w:rPr/>
      </w:pPr>
      <w:r>
        <w:rPr/>
        <w:t>1. The Parties recognize secure and scalable compute infrastructure as an enabling input to advanced manufacturing, scientific research, artificial intelligence, digital services, and economic security.</w:t>
      </w:r>
    </w:p>
    <w:p>
      <w:pPr>
        <w:pStyle w:val="Normal"/>
        <w:widowControl/>
        <w:spacing w:lineRule="auto" w:line="252" w:before="0" w:after="100"/>
        <w:rPr/>
      </w:pPr>
      <w:r>
        <w:rPr/>
        <w:t>2. The Committee on Digital Trade Cooperation shall coordinate with the Grid Resilience Working Group on standards, interoperability, cybersecurity, telecommunications resilience, data-movement requirements, and other matters affecting Strategic Compute and Energy Zones under Chapter 40.</w:t>
      </w:r>
    </w:p>
    <w:p>
      <w:pPr>
        <w:pStyle w:val="Normal"/>
        <w:widowControl/>
        <w:spacing w:lineRule="auto" w:line="252" w:before="0" w:after="100"/>
        <w:rPr/>
      </w:pPr>
      <w:r>
        <w:rPr/>
        <w:t>3. The Parties shall encourage commercially reasonable access to advanced compute for small and medium-sized enterprises, researchers, and innovative firms, while preserving each Party's authority to establish sovereign public compute, security-sensitive compute, or domestic-access programs.</w:t>
      </w:r>
    </w:p>
    <w:p>
      <w:pPr>
        <w:pStyle w:val="Normal"/>
        <w:widowControl/>
        <w:spacing w:lineRule="auto" w:line="252" w:before="0" w:after="100"/>
        <w:rPr/>
      </w:pPr>
      <w:r>
        <w:rPr/>
        <w:t>4. The Advanced Technology Annex shall include energy-efficient compute, advanced cooling, high-speed networking, grid-aware workload management, secure cloud infrastructure, and related technologies as areas eligible for enhanced cooperation.</w:t>
      </w:r>
    </w:p>
    <w:p>
      <w:bookmarkStart w:id="1490" w:name="_NAESTMA_TOC_1490"/>
      <w:pPr>
        <w:pStyle w:val="Heading2"/>
        <w:keepNext/>
        <w:widowControl/>
        <w:rPr/>
      </w:pPr>
      <w:bookmarkStart w:id="234" w:name="_Toc237912715"/>
      <w:r>
        <w:rPr/>
        <w:t>Article 39.8: North American Advanced Compute Demonstration Corridor</w:t>
      </w:r>
      <w:bookmarkEnd w:id="234"/>
      <w:bookmarkEnd w:id="1490"/>
    </w:p>
    <w:p>
      <w:pPr>
        <w:pStyle w:val="Normal"/>
        <w:widowControl/>
        <w:rPr/>
      </w:pPr>
      <w:r>
        <w:rPr/>
        <w:t>1. The Parties establish a cooperative pathway for real-world demonstration of data-centre and high-performance-computing technologies, including advanced cooling, power management, waste-heat recovery, high-density computing, water-efficiency systems, networking, storage integration, and grid-aware workload management.</w:t>
      </w:r>
    </w:p>
    <w:p>
      <w:pPr>
        <w:pStyle w:val="Normal"/>
        <w:widowControl/>
        <w:rPr/>
      </w:pPr>
      <w:r>
        <w:rPr/>
        <w:t>2. A Party may designate metropolitan or industrial demonstration locations with strong electricity, telecommunications, research, workforce, transportation, and cross-border connectivity. Canada may prioritize suitable metropolitan regions with practical access to the United States border, without creating an obligation to approve a particular site or project.</w:t>
      </w:r>
    </w:p>
    <w:p>
      <w:pPr>
        <w:pStyle w:val="Normal"/>
        <w:widowControl/>
        <w:rPr/>
      </w:pPr>
      <w:r>
        <w:rPr/>
        <w:t>3. Qualifying projects may receive coordinated permitting, utility engagement, research partnerships, standardized performance measurement, and access to controlled demonstration facilities. Public support may be conditioned on meaningful participation by domestic researchers, workers, universities, utilities, or firms, while respecting intellectual-property rights.</w:t>
      </w:r>
    </w:p>
    <w:p>
      <w:pPr>
        <w:pStyle w:val="Normal"/>
        <w:widowControl/>
        <w:rPr/>
      </w:pPr>
      <w:r>
        <w:rPr/>
        <w:t>4. The Parties shall encourage multi-climate validation across Canadian, United States, and Mexican test environments and may develop common non-binding performance reports covering energy efficiency, water use, thermal performance, reliability, maintenance, cost, scalability, cybersecurity, and waste-heat utilization.</w:t>
      </w:r>
    </w:p>
    <w:p>
      <w:bookmarkStart w:id="1491" w:name="_NAESTMA_TOC_1491"/>
      <w:pPr>
        <w:pStyle w:val="Heading2"/>
        <w:keepNext/>
        <w:widowControl/>
        <w:rPr/>
      </w:pPr>
      <w:r>
        <w:rPr/>
        <w:t>Article 39.9: North American Experimental Technology Pathway</w:t>
      </w:r>
      <w:bookmarkEnd w:id="1491"/>
    </w:p>
    <w:p>
      <w:pPr>
        <w:pStyle w:val="Normal"/>
        <w:widowControl/>
        <w:rPr/>
      </w:pPr>
      <w:r>
        <w:rPr/>
        <w:t>1. The Parties establish an Experimental Technology Pathway for donated, public-domain, academic, laboratory, Indigenous, commercial, governmental, and independently developed concepts relevant to North American resilience, trade infrastructure, energy, wildfire response, disaster logistics, advanced manufacturing, environmental protection, and other purposes consistent with this Agreement.</w:t>
      </w:r>
    </w:p>
    <w:p>
      <w:pPr>
        <w:pStyle w:val="Normal"/>
        <w:widowControl/>
        <w:rPr/>
      </w:pPr>
      <w:r>
        <w:rPr/>
        <w:t>2. Participation authorizes feasibility assessment, modelling, simulation, scaled testing, prototype development, demonstration, regulatory study, or independent validation. Participation does not constitute technical certification, endorsement, procurement commitment, commercial guarantee, deployment obligation, or a finding that the technology is feasible.</w:t>
      </w:r>
    </w:p>
    <w:p>
      <w:pPr>
        <w:pStyle w:val="Normal"/>
        <w:widowControl/>
        <w:rPr/>
      </w:pPr>
      <w:r>
        <w:rPr/>
        <w:t>3. The Pathway uses existing agencies, laboratories, committees, universities, standards bodies, and procurement or research authorities. No new permanent institution is created solely to administer this Article.</w:t>
      </w:r>
    </w:p>
    <w:p>
      <w:bookmarkStart w:id="1492" w:name="_NAESTMA_TOC_1492"/>
      <w:pPr>
        <w:pStyle w:val="Heading2"/>
        <w:keepNext/>
        <w:widowControl/>
        <w:rPr/>
      </w:pPr>
      <w:r>
        <w:rPr/>
        <w:t>Article 39.10: Iterative Experimental Development Principle</w:t>
      </w:r>
      <w:bookmarkEnd w:id="1492"/>
    </w:p>
    <w:p>
      <w:pPr>
        <w:pStyle w:val="Normal"/>
        <w:widowControl/>
        <w:rPr/>
      </w:pPr>
      <w:r>
        <w:rPr/>
        <w:t>1. An experimental technology is not deemed unsuccessful solely because an initial prototype, test, demonstration, or configuration fails to satisfy target criteria. Where technical review identifies a credible corrective hypothesis, the project may proceed through redesign, modification, recalibration, materials substitution, software revision, manufacturing improvement, or another technically relevant iteration.</w:t>
      </w:r>
    </w:p>
    <w:p>
      <w:pPr>
        <w:pStyle w:val="Normal"/>
        <w:widowControl/>
        <w:rPr/>
      </w:pPr>
      <w:r>
        <w:rPr/>
        <w:t>2. Each Experimental Development Plan identifies the principal validation criteria, expected iteration cost, safety constraints, data-retention requirements, and a Revalidation Threshold appropriate to the project. The threshold ordinarily falls between three and five consecutive material unsuccessful iterations, adjusted for cost, maturity, safety implications, and testing characteristics.</w:t>
      </w:r>
    </w:p>
    <w:p>
      <w:pPr>
        <w:pStyle w:val="Normal"/>
        <w:widowControl/>
        <w:rPr/>
      </w:pPr>
      <w:r>
        <w:rPr/>
        <w:t>3. Each major iteration records what failed, what changed, what evidence supports the revised approach, and which criterion the next iteration tests. Repetition without a materially changed hypothesis does not reset the iteration count.</w:t>
      </w:r>
    </w:p>
    <w:p>
      <w:bookmarkStart w:id="1493" w:name="_NAESTMA_TOC_1493"/>
      <w:pPr>
        <w:pStyle w:val="Heading2"/>
        <w:keepNext/>
        <w:widowControl/>
        <w:rPr/>
      </w:pPr>
      <w:r>
        <w:rPr/>
        <w:t>Article 39.11: Revalidation Gate After Repeated Unsuccessful Iterations</w:t>
      </w:r>
      <w:bookmarkEnd w:id="1493"/>
    </w:p>
    <w:p>
      <w:pPr>
        <w:pStyle w:val="Normal"/>
        <w:widowControl/>
        <w:rPr/>
      </w:pPr>
      <w:r>
        <w:rPr/>
        <w:t>1. When a project reaches its Revalidation Threshold, materially costly or full-scale physical development pauses until the revised approach passes an appropriate predictive or reduced-cost demonstration.</w:t>
      </w:r>
    </w:p>
    <w:p>
      <w:pPr>
        <w:pStyle w:val="Normal"/>
        <w:widowControl/>
        <w:rPr/>
      </w:pPr>
      <w:r>
        <w:rPr/>
        <w:t>2. The Revalidation Gate may use validated simulation, computational modelling, digital twins, hardware-in-the-loop testing, analytical proof, component testing, reduced-scale physical testing, laboratory demonstration, or another technically recognized method suitable to the identified failure mode.</w:t>
      </w:r>
    </w:p>
    <w:p>
      <w:pPr>
        <w:pStyle w:val="Normal"/>
        <w:widowControl/>
        <w:rPr/>
      </w:pPr>
      <w:r>
        <w:rPr/>
        <w:t>3. A Gate pass establishes only that the revised configuration has a technically credible pathway to satisfying the failed criteria within stated assumptions and uncertainty bounds. It does not establish certification, commercial viability, or guaranteed physical performance.</w:t>
      </w:r>
    </w:p>
    <w:p>
      <w:pPr>
        <w:pStyle w:val="Normal"/>
        <w:widowControl/>
        <w:rPr/>
      </w:pPr>
      <w:r>
        <w:rPr/>
        <w:t>4. Where independent technical review determines that no sufficiently validated computational or software method exists for the relevant failure mode, the Gate uses the most probative available alternative, including targeted physical or laboratory testing.</w:t>
      </w:r>
    </w:p>
    <w:p>
      <w:pPr>
        <w:pStyle w:val="Normal"/>
        <w:widowControl/>
        <w:rPr/>
      </w:pPr>
      <w:r>
        <w:rPr/>
        <w:t>5. A fundamentally revised technical approach may begin a new iteration sequence where review finds that it materially changes the mechanism responsible for previous failures rather than merely relabeling or incrementally modifying the unsuccessful configuration.</w:t>
      </w:r>
    </w:p>
    <w:p>
      <w:bookmarkStart w:id="1494" w:name="_NAESTMA_TOC_1494"/>
      <w:pPr>
        <w:pStyle w:val="Heading2"/>
        <w:keepNext/>
        <w:widowControl/>
        <w:rPr/>
      </w:pPr>
      <w:r>
        <w:rPr/>
        <w:t>Article 39.12: Productive Experimental Closure and Derivative Development</w:t>
      </w:r>
      <w:bookmarkEnd w:id="1494"/>
    </w:p>
    <w:p>
      <w:pPr>
        <w:pStyle w:val="Normal"/>
        <w:widowControl/>
        <w:rPr/>
      </w:pPr>
      <w:r>
        <w:rPr/>
        <w:t>1. A project may conclude in good standing where repeated good-faith experimentation establishes that further development is unlikely to justify expected technical, economic, environmental, safety, or operational cost. Such closure does not constitute non-compliance and does not prejudice participation in future experimental programs.</w:t>
      </w:r>
    </w:p>
    <w:p>
      <w:pPr>
        <w:pStyle w:val="Normal"/>
        <w:widowControl/>
        <w:rPr/>
      </w:pPr>
      <w:r>
        <w:rPr/>
        <w:t>2. Where an unsuccessful original system produces a component, material, process, software system, operational method, dataset, manufacturing technique, or derivative technology with independent potential value, that derivative may continue through the Pathway without requiring the original concept to remain active.</w:t>
      </w:r>
    </w:p>
    <w:p>
      <w:pPr>
        <w:pStyle w:val="Normal"/>
        <w:widowControl/>
        <w:rPr/>
      </w:pPr>
      <w:r>
        <w:rPr/>
        <w:t>3. Experimental completion is measured by disciplined learning and evidence production, not by a requirement that every admitted concept reach deployment.</w:t>
      </w:r>
    </w:p>
    <w:p>
      <w:bookmarkStart w:id="1495" w:name="_NAESTMA_TOC_1495"/>
      <w:pPr>
        <w:pStyle w:val="Heading2"/>
        <w:keepNext/>
        <w:widowControl/>
        <w:rPr/>
      </w:pPr>
      <w:r>
        <w:rPr/>
        <w:t>Article 39.13: North American Semiconductor Security and Competitiveness Pact</w:t>
      </w:r>
      <w:bookmarkEnd w:id="1495"/>
    </w:p>
    <w:p>
      <w:pPr>
        <w:pStyle w:val="Normal"/>
        <w:widowControl/>
        <w:rPr/>
      </w:pPr>
      <w:r>
        <w:rPr/>
        <w:t>1. The Parties establish within this Chapter a Semiconductor Security and Competitiveness cooperation framework to support a resilient, innovative, and globally competitive North American semiconductor ecosystem while preserving access to trusted external supply where North American capacity is insufficient. The framework is implemented through existing committees, competent domestic authorities, and voluntary programs and does not create a new standing institution or funding entitlement.</w:t>
      </w:r>
    </w:p>
    <w:p>
      <w:pPr>
        <w:pStyle w:val="Normal"/>
        <w:widowControl/>
        <w:rPr/>
      </w:pPr>
      <w:r>
        <w:rPr/>
        <w:t>2. The Pact shall pursue complementarity rather than mandatory duplication. Existing strengths in design, research, front-end fabrication, compound semiconductors, photonics, packaging, assembly, testing, substrates, materials, equipment, electronics manufacturing, and recycling may be combined across the Parties as parts of one North American production system.</w:t>
      </w:r>
    </w:p>
    <w:p>
      <w:pPr>
        <w:pStyle w:val="Normal"/>
        <w:widowControl/>
        <w:rPr/>
      </w:pPr>
      <w:r>
        <w:rPr/>
        <w:t>3. Specialization is not a ceiling. A Party may use lawful domestic or cooperative programs to support movement into higher-value stages as capability develops. Nothing in this Article requires a Party to subsidize a project, duplicate every semiconductor production stage domestically, or reserve capacity for another Party except through a separately accepted arrangement.</w:t>
      </w:r>
    </w:p>
    <w:p>
      <w:bookmarkStart w:id="1496" w:name="_NAESTMA_TOC_1496"/>
      <w:pPr>
        <w:pStyle w:val="Heading2"/>
        <w:keepNext/>
        <w:widowControl/>
        <w:rPr/>
      </w:pPr>
      <w:r>
        <w:rPr/>
        <w:t>Article 39.14: Semiconductor-Specific Origin, Chiplet, and Packaging Cooperation</w:t>
      </w:r>
      <w:bookmarkEnd w:id="1496"/>
    </w:p>
    <w:p>
      <w:pPr>
        <w:pStyle w:val="Normal"/>
        <w:widowControl/>
        <w:rPr/>
      </w:pPr>
      <w:r>
        <w:rPr/>
        <w:t>1. The Rules of Origin Committee shall develop semiconductor-specific guidance addressing wafer fabrication, die, packaging, testing, substrates, chiplets, qualifying design contribution, and other economically significant stages, consistent with Chapter 4.</w:t>
      </w:r>
    </w:p>
    <w:p>
      <w:pPr>
        <w:pStyle w:val="Normal"/>
        <w:widowControl/>
        <w:rPr/>
      </w:pPr>
      <w:r>
        <w:rPr/>
        <w:t>2. The Parties shall encourage interoperable chiplet, advanced-packaging, testing, and qualification standards and may recognize a North American Semiconductor Passport for products and facilities meeting agreed origin, security, traceability, quality, and reliability criteria.</w:t>
      </w:r>
    </w:p>
    <w:p>
      <w:pPr>
        <w:pStyle w:val="Normal"/>
        <w:widowControl/>
        <w:rPr/>
      </w:pPr>
      <w:r>
        <w:rPr/>
        <w:t>3. A semiconductor designed, fabricated, packaged, tested, or integrated across more than one Party may receive qualifying treatment where the applicable origin rule is satisfied; no single Party is required to perform every stage.</w:t>
      </w:r>
    </w:p>
    <w:p>
      <w:bookmarkStart w:id="1497" w:name="_NAESTMA_TOC_1497"/>
      <w:pPr>
        <w:pStyle w:val="Heading2"/>
        <w:keepNext/>
        <w:widowControl/>
        <w:rPr/>
      </w:pPr>
      <w:r>
        <w:rPr/>
        <w:t>Article 39.15: Capacity-Gap Safe Harbor and Trusted Foundry Access</w:t>
      </w:r>
      <w:bookmarkEnd w:id="1497"/>
    </w:p>
    <w:p>
      <w:pPr>
        <w:pStyle w:val="Normal"/>
        <w:widowControl/>
        <w:rPr/>
      </w:pPr>
      <w:r>
        <w:rPr/>
        <w:t>1. Where a semiconductor, substrate, material, equipment item, process node, or packaging service is unavailable within North America in commercially sufficient quantity, technical capability, certification, form, or delivery time, use of a qualifying Trusted Strategic Materials Source or other trusted external source shall not by itself constitute circumvention or disqualify a finished product that otherwise satisfies the applicable rule of origin.</w:t>
      </w:r>
    </w:p>
    <w:p>
      <w:pPr>
        <w:pStyle w:val="Normal"/>
        <w:widowControl/>
        <w:rPr/>
      </w:pPr>
      <w:r>
        <w:rPr/>
        <w:t>2. The Parties shall endeavor to provide Canadian, Mexican, and United States fabless designers commercially reasonable access to qualifying North American foundry, packaging, prototyping, and multi-project-wafer capacity without requiring ownership of fabrication facilities.</w:t>
      </w:r>
    </w:p>
    <w:p>
      <w:bookmarkStart w:id="1498" w:name="_NAESTMA_TOC_1498"/>
      <w:pPr>
        <w:pStyle w:val="Heading2"/>
        <w:keepNext/>
        <w:widowControl/>
        <w:rPr/>
      </w:pPr>
      <w:r>
        <w:rPr/>
        <w:t>Article 39.16: Semiconductor Workforce, Research, and SME Access</w:t>
      </w:r>
      <w:bookmarkEnd w:id="1498"/>
    </w:p>
    <w:p>
      <w:pPr>
        <w:pStyle w:val="Normal"/>
        <w:widowControl/>
        <w:rPr/>
      </w:pPr>
      <w:r>
        <w:rPr/>
        <w:t>1. The Parties shall cooperate on semiconductor workforce development, including technician and engineer training, mutual recognition or accelerated assessment of relevant qualifications where appropriate, apprenticeships, train-the-trainer programs, and academic-industry partnerships.</w:t>
      </w:r>
    </w:p>
    <w:p>
      <w:pPr>
        <w:pStyle w:val="Normal"/>
        <w:widowControl/>
        <w:rPr/>
      </w:pPr>
      <w:r>
        <w:rPr/>
        <w:t>2. The Parties may establish pooled or subsidized multi-project wafer runs, shared failure-analysis and reliability laboratories, prototyping access, and other programs that reduce entry barriers for North American small and medium-sized semiconductor firms.</w:t>
      </w:r>
    </w:p>
    <w:p>
      <w:pPr>
        <w:pStyle w:val="Normal"/>
        <w:widowControl/>
        <w:rPr/>
      </w:pPr>
      <w:r>
        <w:rPr/>
        <w:t>3. Precompetitive research cooperation may include photonics, compound semiconductors, chiplets, advanced packaging, power electronics, quantum-enabling devices, materials, manufacturing processes, and semiconductor recycling and recovery.</w:t>
      </w:r>
    </w:p>
    <w:p>
      <w:bookmarkStart w:id="1499" w:name="_NAESTMA_TOC_1499"/>
      <w:pPr>
        <w:pStyle w:val="Heading2"/>
        <w:keepNext/>
        <w:widowControl/>
        <w:rPr/>
      </w:pPr>
      <w:r>
        <w:rPr/>
        <w:t>Article 39.17: Semiconductor Capacity Reservation and Shortage Response</w:t>
      </w:r>
      <w:bookmarkEnd w:id="1499"/>
    </w:p>
    <w:p>
      <w:pPr>
        <w:pStyle w:val="Normal"/>
        <w:widowControl/>
        <w:rPr/>
      </w:pPr>
      <w:r>
        <w:rPr/>
        <w:t>1. Participating semiconductor fabrication, packaging, testing, substrate, and materials facilities may voluntarily designate limited emergency capacity or rotating commercial inventories for critical-chip categories identified by the Commission.</w:t>
      </w:r>
    </w:p>
    <w:p>
      <w:pPr>
        <w:pStyle w:val="Normal"/>
        <w:widowControl/>
        <w:rPr/>
      </w:pPr>
      <w:r>
        <w:rPr/>
        <w:t>2. Critical-chip categories may include automotive controllers, power electronics, grid and telecommunications components, medical-device semiconductors, industrial controls, and other components whose shortage produces disproportionate economic or safety consequences.</w:t>
      </w:r>
    </w:p>
    <w:p>
      <w:pPr>
        <w:pStyle w:val="Normal"/>
        <w:widowControl/>
        <w:rPr/>
      </w:pPr>
      <w:r>
        <w:rPr/>
        <w:t>3. Capacity reservation does not authorize government allocation of ordinary commercial production absent a separate lawful emergency authority. Activation, compensation, priority, and release rules shall be specified in advance.</w:t>
      </w:r>
    </w:p>
    <w:p>
      <w:bookmarkStart w:id="1500" w:name="_NAESTMA_TOC_1500"/>
      <w:pPr>
        <w:pStyle w:val="Heading2"/>
        <w:keepNext/>
        <w:widowControl/>
        <w:rPr/>
      </w:pPr>
      <w:r>
        <w:rPr/>
        <w:t>Article 39.18: Semiconductor Investment Additionality and Non-Poaching</w:t>
      </w:r>
      <w:bookmarkEnd w:id="1500"/>
    </w:p>
    <w:p>
      <w:pPr>
        <w:pStyle w:val="Normal"/>
        <w:widowControl/>
        <w:rPr/>
      </w:pPr>
      <w:r>
        <w:rPr/>
        <w:t>1. In coordinating public incentives, the Parties shall favor investments that create net new North American semiconductor capability, fill a verified processing or technology gap, expand resilience, or materially improve technological capability.</w:t>
      </w:r>
    </w:p>
    <w:p>
      <w:pPr>
        <w:pStyle w:val="Normal"/>
        <w:widowControl/>
        <w:rPr/>
      </w:pPr>
      <w:r>
        <w:rPr/>
        <w:t>2. The Parties shall endeavor to avoid subsidy escalation whose principal effect is relocating an existing qualifying North American facility from one Party to another without a material continental capacity gain.</w:t>
      </w:r>
    </w:p>
    <w:p>
      <w:pPr>
        <w:pStyle w:val="Normal"/>
        <w:widowControl/>
        <w:rPr/>
      </w:pPr>
      <w:r>
        <w:rPr/>
        <w:t>3. Nothing in this Article prevents a Party from competing for investment or providing lawful incentives; it establishes a consultation and additionality principle for projects seeking enhanced trilateral benefits.</w:t>
      </w:r>
    </w:p>
    <w:p>
      <w:bookmarkStart w:id="1501" w:name="_NAESTMA_TOC_1501"/>
      <w:pPr>
        <w:pStyle w:val="Heading2"/>
        <w:keepNext/>
        <w:widowControl/>
        <w:rPr/>
      </w:pPr>
      <w:r>
        <w:rPr/>
        <w:t>PART B — ARTIFICIAL INTELLIGENCE GOVERNANCE, RIGHTS, SAFETY AND INNOVATION FRAMEWORK</w:t>
      </w:r>
      <w:bookmarkEnd w:id="1501"/>
    </w:p>
    <w:p>
      <w:pPr>
        <w:pStyle w:val="Normal"/>
        <w:widowControl/>
        <w:rPr/>
      </w:pPr>
      <w:r>
        <w:rPr/>
        <w:t>Status. This Part establishes a risk-proportionate North American artificial-intelligence governance spine while preserving beneficial low-risk use, stronger domestic protections, constitutional competence, innovation, privacy, expression, trade secrets, and the specialized rules of other Chapters. It uses existing institutions wherever capable, creates no automatic tariff remedy, and distinguishes mandatory high-risk safeguards from flexible cooperation and genuinely optional programs.</w:t>
      </w:r>
    </w:p>
    <w:p>
      <w:pPr>
        <w:pStyle w:val="TrumpVisibilityHeadline"/>
        <w:widowControl/>
        <w:rPr/>
      </w:pPr>
      <w:r>
        <w:rPr/>
        <w:t>SEARCH SIGNPOST — ARTIFICIAL INTELLIGENCE / AI GOVERNANCE / AI SAFETY / AI RIGHTS / HALLUCINATIONS / SOURCE PROVENANCE / ALGORITHMIC MANAGEMENT / HEALTHCARE AI / EDUCATION AI / COGNITIVE LIBERTY</w:t>
      </w:r>
    </w:p>
    <w:p>
      <w:pPr>
        <w:pStyle w:val="Normal"/>
        <w:rPr/>
      </w:pPr>
      <w:r>
        <w:rPr/>
      </w:r>
    </w:p>
    <w:p>
      <w:bookmarkStart w:id="1502" w:name="_NAESTMA_TOC_1502"/>
      <w:pPr>
        <w:pStyle w:val="Heading2"/>
        <w:keepNext/>
        <w:widowControl/>
        <w:rPr/>
      </w:pPr>
      <w:r>
        <w:rPr/>
        <w:t>Article 39.19: Purpose, Scope and Balanced AI Governance</w:t>
      </w:r>
      <w:bookmarkEnd w:id="1502"/>
    </w:p>
    <w:p>
      <w:pPr>
        <w:pStyle w:val="Normal"/>
        <w:widowControl/>
        <w:rPr/>
      </w:pPr>
      <w:r>
        <w:rPr/>
        <w:t>1. [Purpose, Scope and Balanced AI Governance] Purpose and innovation-preserving governance - The Parties shall apply the safeguard identified in this paragraph in a manner that protects people in a manner that protects people and legitimate public interests while preserving beneficial, low-risk, research, creative, and commercial uses of artificial intelligence. Implementation shall identify the regulated actor, triggering risk or consequence, required conduct, and competent domestic authority rather than imposing a duty merely because software is labeled or marketed as AI. A measure shall be risk-proportionate, non-discriminatory, and no more burdensome than reasonably necessary for the demonstrated objective, with appropriate protection for privacy, cybersecurity, trade secrets, expression, competition, and innovation. Where another Chapter supplies a more specific rule, that specialized rule governs to the extent of the greater or more tailored protection, and this Part shall not create duplicate recovery, unrelated retaliation, or a new permanent institution absent Article 30.C.1.</w:t>
      </w:r>
    </w:p>
    <w:p>
      <w:pPr>
        <w:pStyle w:val="Normal"/>
        <w:rPr/>
      </w:pPr>
      <w:r>
        <w:rPr/>
      </w:r>
    </w:p>
    <w:p>
      <w:pPr>
        <w:pStyle w:val="Normal"/>
        <w:widowControl/>
        <w:rPr/>
      </w:pPr>
      <w:r>
        <w:rPr/>
        <w:t>2. [Purpose, Scope and Balanced AI Governance] Covered artificial-intelligence systems - The Parties shall apply the safeguard identified in this paragraph in a manner that protects people in a manner that protects people and legitimate public interests while preserving beneficial, low-risk, research, creative, and commercial uses of artificial intelligence. Implementation shall identify the regulated actor, triggering risk or consequence, required conduct, and competent domestic authority rather than imposing a duty merely because software is labeled or marketed as AI. A measure shall be risk-proportionate, non-discriminatory, and no more burdensome than reasonably necessary for the demonstrated objective, with appropriate protection for privacy, cybersecurity, trade secrets, expression, competition, and innovation. Where another Chapter supplies a more specific rule, that specialized rule governs to the extent of the greater or more tailored protection, and this Part shall not create duplicate recovery, unrelated retaliation, or a new permanent institution absent Article 30.C.1.</w:t>
      </w:r>
    </w:p>
    <w:p>
      <w:pPr>
        <w:pStyle w:val="Normal"/>
        <w:rPr/>
      </w:pPr>
      <w:r>
        <w:rPr/>
      </w:r>
    </w:p>
    <w:p>
      <w:pPr>
        <w:pStyle w:val="Normal"/>
        <w:widowControl/>
        <w:rPr/>
      </w:pPr>
      <w:r>
        <w:rPr/>
        <w:t>3. [Purpose, Scope and Balanced AI Governance] Risk-proportionate obligations - The Parties shall apply the safeguard identified in this paragraph in a manner that protects people in a manner that protects people and legitimate public interests while preserving beneficial, low-risk, research, creative, and commercial uses of artificial intelligence. Implementation shall identify the regulated actor, triggering risk or consequence, required conduct, and competent domestic authority rather than imposing a duty merely because software is labeled or marketed as AI. A measure shall be risk-proportionate, non-discriminatory, and no more burdensome than reasonably necessary for the demonstrated objective, with appropriate protection for privacy, cybersecurity, trade secrets, expression, competition, and innovation. Where another Chapter supplies a more specific rule, that specialized rule governs to the extent of the greater or more tailored protection, and this Part shall not create duplicate recovery, unrelated retaliation, or a new permanent institution absent Article 30.C.1.</w:t>
      </w:r>
    </w:p>
    <w:p>
      <w:pPr>
        <w:pStyle w:val="Normal"/>
        <w:rPr/>
      </w:pPr>
      <w:r>
        <w:rPr/>
      </w:r>
    </w:p>
    <w:p>
      <w:pPr>
        <w:pStyle w:val="Normal"/>
        <w:widowControl/>
        <w:rPr/>
      </w:pPr>
      <w:r>
        <w:rPr/>
        <w:t>4. [Purpose, Scope and Balanced AI Governance] No presumption of danger - The Parties shall apply the safeguard identified in this paragraph in a manner that protects people in a manner that protects people and legitimate public interests while preserving beneficial, low-risk, research, creative, and commercial uses of artificial intelligence. Implementation shall identify the regulated actor, triggering risk or consequence, required conduct, and competent domestic authority rather than imposing a duty merely because software is labeled or marketed as AI. A measure shall be risk-proportionate, non-discriminatory, and no more burdensome than reasonably necessary for the demonstrated objective, with appropriate protection for privacy, cybersecurity, trade secrets, expression, competition, and innovation. Where another Chapter supplies a more specific rule, that specialized rule governs to the extent of the greater or more tailored protection, and this Part shall not create duplicate recovery, unrelated retaliation, or a new permanent institution absent Article 30.C.1.</w:t>
      </w:r>
    </w:p>
    <w:p>
      <w:pPr>
        <w:pStyle w:val="Normal"/>
        <w:rPr/>
      </w:pPr>
      <w:r>
        <w:rPr/>
      </w:r>
    </w:p>
    <w:p>
      <w:pPr>
        <w:pStyle w:val="Normal"/>
        <w:widowControl/>
        <w:rPr/>
      </w:pPr>
      <w:r>
        <w:rPr/>
        <w:t>5. [Purpose, Scope and Balanced AI Governance] Technology-neutral implementation - The Parties shall apply the safeguard identified in this paragraph in a manner that protects people in a manner that protects people and legitimate public interests while preserving beneficial, low-risk, research, creative, and commercial uses of artificial intelligence. Implementation shall identify the regulated actor, triggering risk or consequence, required conduct, and competent domestic authority rather than imposing a duty merely because software is labeled or marketed as AI. A measure shall be risk-proportionate, non-discriminatory, and no more burdensome than reasonably necessary for the demonstrated objective, with appropriate protection for privacy, cybersecurity, trade secrets, expression, competition, and innovation. Where another Chapter supplies a more specific rule, that specialized rule governs to the extent of the greater or more tailored protection, and this Part shall not create duplicate recovery, unrelated retaliation, or a new permanent institution absent Article 30.C.1.</w:t>
      </w:r>
    </w:p>
    <w:p>
      <w:pPr>
        <w:pStyle w:val="Normal"/>
        <w:rPr/>
      </w:pPr>
      <w:r>
        <w:rPr/>
      </w:r>
    </w:p>
    <w:p>
      <w:pPr>
        <w:pStyle w:val="Normal"/>
        <w:widowControl/>
        <w:rPr/>
      </w:pPr>
      <w:r>
        <w:rPr/>
        <w:t>6. [Purpose, Scope and Balanced AI Governance] Relationship to stronger domestic protection - The Parties shall apply the safeguard identified in this paragraph in a manner that protects people in a manner that protects people and legitimate public interests while preserving beneficial, low-risk, research, creative, and commercial uses of artificial intelligence. Implementation shall identify the regulated actor, triggering risk or consequence, required conduct, and competent domestic authority rather than imposing a duty merely because software is labeled or marketed as AI. A measure shall be risk-proportionate, non-discriminatory, and no more burdensome than reasonably necessary for the demonstrated objective, with appropriate protection for privacy, cybersecurity, trade secrets, expression, competition, and innovation. Where another Chapter supplies a more specific rule, that specialized rule governs to the extent of the greater or more tailored protection, and this Part shall not create duplicate recovery, unrelated retaliation, or a new permanent institution absent Article 30.C.1.</w:t>
      </w:r>
    </w:p>
    <w:p>
      <w:pPr>
        <w:pStyle w:val="Normal"/>
        <w:rPr/>
      </w:pPr>
      <w:r>
        <w:rPr/>
      </w:r>
    </w:p>
    <w:p>
      <w:bookmarkStart w:id="1503" w:name="_NAESTMA_TOC_1503"/>
      <w:pPr>
        <w:pStyle w:val="Heading2"/>
        <w:keepNext/>
        <w:widowControl/>
        <w:rPr/>
      </w:pPr>
      <w:r>
        <w:rPr/>
        <w:t>Article 39.20: Definitions and Functional Classification</w:t>
      </w:r>
      <w:bookmarkEnd w:id="1503"/>
    </w:p>
    <w:p>
      <w:pPr>
        <w:pStyle w:val="Normal"/>
        <w:widowControl/>
        <w:rPr/>
      </w:pPr>
      <w:r>
        <w:rPr/>
        <w:t>1. [Definitions and Functional Classification] Artificial-intelligence system - For purposes of this Part, artificial-intelligence system shall be interpreted by reference to the function, deployment context, degree of autonomy, and reasonably foreseeable consequences of the system rather than by marketing terminology alone. A Party may refine the definition of artificial-intelligence system in domestic law if the refinement is at least as protective for covered consequential uses and does not create nationality-based discrimination. Technical standards, guidance, or examples may assist interpretation, but they shall not silently expand a mandatory treaty obligation beyond the text adopted by the Parties. A material classification dispute shall be resolved through reasoned evidence and the specialized review provisions of this Agreement, with the burden placed on the actor invoking a heightened obligation to identify the applicable trigger.</w:t>
      </w:r>
    </w:p>
    <w:p>
      <w:pPr>
        <w:pStyle w:val="Normal"/>
        <w:rPr/>
      </w:pPr>
      <w:r>
        <w:rPr/>
      </w:r>
    </w:p>
    <w:p>
      <w:pPr>
        <w:pStyle w:val="Normal"/>
        <w:widowControl/>
        <w:rPr/>
      </w:pPr>
      <w:r>
        <w:rPr/>
        <w:t>2. [Definitions and Functional Classification] Consequential decision - For purposes of this Part, consequential decision shall be interpreted by reference to the function, deployment context, degree of autonomy, and reasonably foreseeable consequences of the system rather than by marketing terminology alone. A Party may refine the definition of consequential decision in domestic law if the refinement is at least as protective for covered consequential uses and does not create nationality-based discrimination. Technical standards, guidance, or examples may assist interpretation, but they shall not silently expand a mandatory treaty obligation beyond the text adopted by the Parties. A material classification dispute shall be resolved through reasoned evidence and the specialized review provisions of this Agreement, with the burden placed on the actor invoking a heightened obligation to identify the applicable trigger.</w:t>
      </w:r>
    </w:p>
    <w:p>
      <w:pPr>
        <w:pStyle w:val="Normal"/>
        <w:rPr/>
      </w:pPr>
      <w:r>
        <w:rPr/>
      </w:r>
    </w:p>
    <w:p>
      <w:pPr>
        <w:pStyle w:val="Normal"/>
        <w:widowControl/>
        <w:rPr/>
      </w:pPr>
      <w:r>
        <w:rPr/>
        <w:t>3. [Definitions and Functional Classification] High-risk system - For purposes of this Part, high-risk system shall be interpreted by reference to the function, deployment context, degree of autonomy, and reasonably foreseeable consequences of the system rather than by marketing terminology alone. A Party may refine the definition of high-risk system in domestic law if the refinement is at least as protective for covered consequential uses and does not create nationality-based discrimination. Technical standards, guidance, or examples may assist interpretation, but they shall not silently expand a mandatory treaty obligation beyond the text adopted by the Parties. A material classification dispute shall be resolved through reasoned evidence and the specialized review provisions of this Agreement, with the burden placed on the actor invoking a heightened obligation to identify the applicable trigger.</w:t>
      </w:r>
    </w:p>
    <w:p>
      <w:pPr>
        <w:pStyle w:val="Normal"/>
        <w:rPr/>
      </w:pPr>
      <w:r>
        <w:rPr/>
      </w:r>
    </w:p>
    <w:p>
      <w:pPr>
        <w:pStyle w:val="Normal"/>
        <w:widowControl/>
        <w:rPr/>
      </w:pPr>
      <w:r>
        <w:rPr/>
        <w:t>4. [Definitions and Functional Classification] Safety-critical system - For purposes of this Part, safety-critical system shall be interpreted by reference to the function, deployment context, degree of autonomy, and reasonably foreseeable consequences of the system rather than by marketing terminology alone. A Party may refine the definition of safety-critical system in domestic law if the refinement is at least as protective for covered consequential uses and does not create nationality-based discrimination. Technical standards, guidance, or examples may assist interpretation, but they shall not silently expand a mandatory treaty obligation beyond the text adopted by the Parties. A material classification dispute shall be resolved through reasoned evidence and the specialized review provisions of this Agreement, with the burden placed on the actor invoking a heightened obligation to identify the applicable trigger.</w:t>
      </w:r>
    </w:p>
    <w:p>
      <w:pPr>
        <w:pStyle w:val="Normal"/>
        <w:rPr/>
      </w:pPr>
      <w:r>
        <w:rPr/>
      </w:r>
    </w:p>
    <w:p>
      <w:pPr>
        <w:pStyle w:val="Normal"/>
        <w:widowControl/>
        <w:rPr/>
      </w:pPr>
      <w:r>
        <w:rPr/>
        <w:t>5. [Definitions and Functional Classification] General-purpose system - For purposes of this Part, general-purpose system shall be interpreted by reference to the function, deployment context, degree of autonomy, and reasonably foreseeable consequences of the system rather than by marketing terminology alone. A Party may refine the definition of general-purpose system in domestic law if the refinement is at least as protective for covered consequential uses and does not create nationality-based discrimination. Technical standards, guidance, or examples may assist interpretation, but they shall not silently expand a mandatory treaty obligation beyond the text adopted by the Parties. A material classification dispute shall be resolved through reasoned evidence and the specialized review provisions of this Agreement, with the burden placed on the actor invoking a heightened obligation to identify the applicable trigger.</w:t>
      </w:r>
    </w:p>
    <w:p>
      <w:pPr>
        <w:pStyle w:val="Normal"/>
        <w:rPr/>
      </w:pPr>
      <w:r>
        <w:rPr/>
      </w:r>
    </w:p>
    <w:p>
      <w:pPr>
        <w:pStyle w:val="Normal"/>
        <w:widowControl/>
        <w:rPr/>
      </w:pPr>
      <w:r>
        <w:rPr/>
        <w:t>6. [Definitions and Functional Classification] Material deployment change - For purposes of this Part, material deployment change shall be interpreted by reference to the function, deployment context, degree of autonomy, and reasonably foreseeable consequences of the system rather than by marketing terminology alone. A Party may refine the definition of material deployment change in domestic law if the refinement is at least as protective for covered consequential uses and does not create nationality-based discrimination. Technical standards, guidance, or examples may assist interpretation, but they shall not silently expand a mandatory treaty obligation beyond the text adopted by the Parties. A material classification dispute shall be resolved through reasoned evidence and the specialized review provisions of this Agreement, with the burden placed on the actor invoking a heightened obligation to identify the applicable trigger.</w:t>
      </w:r>
    </w:p>
    <w:p>
      <w:pPr>
        <w:pStyle w:val="Normal"/>
        <w:rPr/>
      </w:pPr>
      <w:r>
        <w:rPr/>
      </w:r>
    </w:p>
    <w:p>
      <w:bookmarkStart w:id="1504" w:name="_NAESTMA_TOC_1504"/>
      <w:pPr>
        <w:pStyle w:val="Heading2"/>
        <w:keepNext/>
        <w:widowControl/>
        <w:rPr/>
      </w:pPr>
      <w:r>
        <w:rPr/>
        <w:t>Article 39.21: Risk Classification and Reclassification</w:t>
      </w:r>
      <w:bookmarkEnd w:id="1504"/>
    </w:p>
    <w:p>
      <w:pPr>
        <w:pStyle w:val="Normal"/>
        <w:widowControl/>
        <w:rPr/>
      </w:pPr>
      <w:r>
        <w:rPr/>
        <w:t>1. [Risk Classification and Reclassification] Classification by use and consequence - The Parties shall apply the safeguard identified in this paragraph in a manner that protects people in a manner that protects people and legitimate public interests while preserving beneficial, low-risk, research, creative, and commercial uses of artificial intelligence. Implementation shall identify the regulated actor, triggering risk or consequence, required conduct, and competent domestic authority rather than imposing a duty merely because software is labeled or marketed as AI. A measure shall be risk-proportionate, non-discriminatory, and no more burdensome than reasonably necessary for the demonstrated objective, with appropriate protection for privacy, cybersecurity, trade secrets, expression, competition, and innovation. Where another Chapter supplies a more specific rule, that specialized rule governs to the extent of the greater or more tailored protection, and this Part shall not create duplicate recovery, unrelated retaliation, or a new permanent institution absent Article 30.C.1.</w:t>
      </w:r>
    </w:p>
    <w:p>
      <w:pPr>
        <w:pStyle w:val="Normal"/>
        <w:rPr/>
      </w:pPr>
      <w:r>
        <w:rPr/>
      </w:r>
    </w:p>
    <w:p>
      <w:pPr>
        <w:pStyle w:val="Normal"/>
        <w:widowControl/>
        <w:rPr/>
      </w:pPr>
      <w:r>
        <w:rPr/>
        <w:t>2. [Risk Classification and Reclassification] Capability and autonomy factors - The Parties shall apply the safeguard identified in this paragraph in a manner that protects people in a manner that protects people and legitimate public interests while preserving beneficial, low-risk, research, creative, and commercial uses of artificial intelligence. Implementation shall identify the regulated actor, triggering risk or consequence, required conduct, and competent domestic authority rather than imposing a duty merely because software is labeled or marketed as AI. A measure shall be risk-proportionate, non-discriminatory, and no more burdensome than reasonably necessary for the demonstrated objective, with appropriate protection for privacy, cybersecurity, trade secrets, expression, competition, and innovation. Where another Chapter supplies a more specific rule, that specialized rule governs to the extent of the greater or more tailored protection, and this Part shall not create duplicate recovery, unrelated retaliation, or a new permanent institution absent Article 30.C.1.</w:t>
      </w:r>
    </w:p>
    <w:p>
      <w:pPr>
        <w:pStyle w:val="Normal"/>
        <w:rPr/>
      </w:pPr>
      <w:r>
        <w:rPr/>
      </w:r>
    </w:p>
    <w:p>
      <w:pPr>
        <w:pStyle w:val="Normal"/>
        <w:widowControl/>
        <w:rPr/>
      </w:pPr>
      <w:r>
        <w:rPr/>
        <w:t>3. [Risk Classification and Reclassification] Foreseeable-harm analysis - The Parties shall apply the safeguard identified in this paragraph in a manner that protects people in a manner that protects people and legitimate public interests while preserving beneficial, low-risk, research, creative, and commercial uses of artificial intelligence. Implementation shall identify the regulated actor, triggering risk or consequence, required conduct, and competent domestic authority rather than imposing a duty merely because software is labeled or marketed as AI. A measure shall be risk-proportionate, non-discriminatory, and no more burdensome than reasonably necessary for the demonstrated objective, with appropriate protection for privacy, cybersecurity, trade secrets, expression, competition, and innovation. Where another Chapter supplies a more specific rule, that specialized rule governs to the extent of the greater or more tailored protection, and this Part shall not create duplicate recovery, unrelated retaliation, or a new permanent institution absent Article 30.C.1.</w:t>
      </w:r>
    </w:p>
    <w:p>
      <w:pPr>
        <w:pStyle w:val="Normal"/>
        <w:rPr/>
      </w:pPr>
      <w:r>
        <w:rPr/>
      </w:r>
    </w:p>
    <w:p>
      <w:pPr>
        <w:pStyle w:val="Normal"/>
        <w:widowControl/>
        <w:rPr/>
      </w:pPr>
      <w:r>
        <w:rPr/>
        <w:t>4. [Risk Classification and Reclassification] Low-risk presumption - The Parties shall apply the safeguard identified in this paragraph in a manner that protects people in a manner that protects people and legitimate public interests while preserving beneficial, low-risk, research, creative, and commercial uses of artificial intelligence. Implementation shall identify the regulated actor, triggering risk or consequence, required conduct, and competent domestic authority rather than imposing a duty merely because software is labeled or marketed as AI. A measure shall be risk-proportionate, non-discriminatory, and no more burdensome than reasonably necessary for the demonstrated objective, with appropriate protection for privacy, cybersecurity, trade secrets, expression, competition, and innovation. Where another Chapter supplies a more specific rule, that specialized rule governs to the extent of the greater or more tailored protection, and this Part shall not create duplicate recovery, unrelated retaliation, or a new permanent institution absent Article 30.C.1.</w:t>
      </w:r>
    </w:p>
    <w:p>
      <w:pPr>
        <w:pStyle w:val="Normal"/>
        <w:rPr/>
      </w:pPr>
      <w:r>
        <w:rPr/>
      </w:r>
    </w:p>
    <w:p>
      <w:pPr>
        <w:pStyle w:val="Normal"/>
        <w:widowControl/>
        <w:rPr/>
      </w:pPr>
      <w:r>
        <w:rPr/>
        <w:t>5. [Risk Classification and Reclassification] Reclassification after material change - The Parties shall apply the safeguard identified in this paragraph in a manner that protects people in a manner that protects people and legitimate public interests while preserving beneficial, low-risk, research, creative, and commercial uses of artificial intelligence. Implementation shall identify the regulated actor, triggering risk or consequence, required conduct, and competent domestic authority rather than imposing a duty merely because software is labeled or marketed as AI. A measure shall be risk-proportionate, non-discriminatory, and no more burdensome than reasonably necessary for the demonstrated objective, with appropriate protection for privacy, cybersecurity, trade secrets, expression, competition, and innovation. Where another Chapter supplies a more specific rule, that specialized rule governs to the extent of the greater or more tailored protection, and this Part shall not create duplicate recovery, unrelated retaliation, or a new permanent institution absent Article 30.C.1.</w:t>
      </w:r>
    </w:p>
    <w:p>
      <w:pPr>
        <w:pStyle w:val="Normal"/>
        <w:rPr/>
      </w:pPr>
      <w:r>
        <w:rPr/>
      </w:r>
    </w:p>
    <w:p>
      <w:pPr>
        <w:pStyle w:val="Normal"/>
        <w:widowControl/>
        <w:rPr/>
      </w:pPr>
      <w:r>
        <w:rPr/>
        <w:t>6. [Risk Classification and Reclassification] Reasoned classification record - The Parties shall apply the safeguard identified in this paragraph in a manner that protects people in a manner that protects people and legitimate public interests while preserving beneficial, low-risk, research, creative, and commercial uses of artificial intelligence. Implementation shall identify the regulated actor, triggering risk or consequence, required conduct, and competent domestic authority rather than imposing a duty merely because software is labeled or marketed as AI. A measure shall be risk-proportionate, non-discriminatory, and no more burdensome than reasonably necessary for the demonstrated objective, with appropriate protection for privacy, cybersecurity, trade secrets, expression, competition, and innovation. Where another Chapter supplies a more specific rule, that specialized rule governs to the extent of the greater or more tailored protection, and this Part shall not create duplicate recovery, unrelated retaliation, or a new permanent institution absent Article 30.C.1.</w:t>
      </w:r>
    </w:p>
    <w:p>
      <w:pPr>
        <w:pStyle w:val="Normal"/>
        <w:rPr/>
      </w:pPr>
      <w:r>
        <w:rPr/>
      </w:r>
    </w:p>
    <w:p>
      <w:bookmarkStart w:id="1505" w:name="_NAESTMA_TOC_1505"/>
      <w:pPr>
        <w:pStyle w:val="Heading2"/>
        <w:keepNext/>
        <w:widowControl/>
        <w:rPr/>
      </w:pPr>
      <w:r>
        <w:rPr/>
        <w:t>Article 39.22: Governing Firewalls and No AI Exceptionalism</w:t>
      </w:r>
      <w:bookmarkEnd w:id="1505"/>
    </w:p>
    <w:p>
      <w:pPr>
        <w:pStyle w:val="Normal"/>
        <w:widowControl/>
        <w:rPr/>
      </w:pPr>
      <w:r>
        <w:rPr/>
        <w:t>1. [Governing Firewalls and No AI Exceptionalism] No AI exceptionalism - The Parties shall apply the safeguard identified in this paragraph in a manner that protects people in a manner that protects people and legitimate public interests while preserving beneficial, low-risk, research, creative, and commercial uses of artificial intelligence. Implementation shall identify the regulated actor, triggering risk or consequence, required conduct, and competent domestic authority rather than imposing a duty merely because software is labeled or marketed as AI. A measure shall be risk-proportionate, non-discriminatory, and no more burdensome than reasonably necessary for the demonstrated objective, with appropriate protection for privacy, cybersecurity, trade secrets, expression, competition, and innovation. Where another Chapter supplies a more specific rule, that specialized rule governs to the extent of the greater or more tailored protection, and this Part shall not create duplicate recovery, unrelated retaliation, or a new permanent institution absent Article 30.C.1.</w:t>
      </w:r>
    </w:p>
    <w:p>
      <w:pPr>
        <w:pStyle w:val="Normal"/>
        <w:rPr/>
      </w:pPr>
      <w:r>
        <w:rPr/>
      </w:r>
    </w:p>
    <w:p>
      <w:pPr>
        <w:pStyle w:val="Normal"/>
        <w:widowControl/>
        <w:rPr/>
      </w:pPr>
      <w:r>
        <w:rPr/>
        <w:t>2. [Governing Firewalls and No AI Exceptionalism] No tariff weaponization - The Parties shall apply the safeguard identified in this paragraph in a manner that protects people in a manner that protects people and legitimate public interests while preserving beneficial, low-risk, research, creative, and commercial uses of artificial intelligence. Implementation shall identify the regulated actor, triggering risk or consequence, required conduct, and competent domestic authority rather than imposing a duty merely because software is labeled or marketed as AI. A measure shall be risk-proportionate, non-discriminatory, and no more burdensome than reasonably necessary for the demonstrated objective, with appropriate protection for privacy, cybersecurity, trade secrets, expression, competition, and innovation. Where another Chapter supplies a more specific rule, that specialized rule governs to the extent of the greater or more tailored protection, and this Part shall not create duplicate recovery, unrelated retaliation, or a new permanent institution absent Article 30.C.1.</w:t>
      </w:r>
    </w:p>
    <w:p>
      <w:pPr>
        <w:pStyle w:val="Normal"/>
        <w:rPr/>
      </w:pPr>
      <w:r>
        <w:rPr/>
      </w:r>
    </w:p>
    <w:p>
      <w:pPr>
        <w:pStyle w:val="Normal"/>
        <w:widowControl/>
        <w:rPr/>
      </w:pPr>
      <w:r>
        <w:rPr/>
        <w:t>3. [Governing Firewalls and No AI Exceptionalism] Interoperability not forced harmonization - The Parties shall apply the safeguard identified in this paragraph in a manner that protects people in a manner that protects people and legitimate public interests while preserving beneficial, low-risk, research, creative, and commercial uses of artificial intelligence. Implementation shall identify the regulated actor, triggering risk or consequence, required conduct, and competent domestic authority rather than imposing a duty merely because software is labeled or marketed as AI. A measure shall be risk-proportionate, non-discriminatory, and no more burdensome than reasonably necessary for the demonstrated objective, with appropriate protection for privacy, cybersecurity, trade secrets, expression, competition, and innovation. Where another Chapter supplies a more specific rule, that specialized rule governs to the extent of the greater or more tailored protection, and this Part shall not create duplicate recovery, unrelated retaliation, or a new permanent institution absent Article 30.C.1.</w:t>
      </w:r>
    </w:p>
    <w:p>
      <w:pPr>
        <w:pStyle w:val="Normal"/>
        <w:rPr/>
      </w:pPr>
      <w:r>
        <w:rPr/>
      </w:r>
    </w:p>
    <w:p>
      <w:pPr>
        <w:pStyle w:val="Normal"/>
        <w:widowControl/>
        <w:rPr/>
      </w:pPr>
      <w:r>
        <w:rPr/>
        <w:t>4. [Governing Firewalls and No AI Exceptionalism] Existing institutions first - The Parties shall apply the safeguard identified in this paragraph in a manner that protects people in a manner that protects people and legitimate public interests while preserving beneficial, low-risk, research, creative, and commercial uses of artificial intelligence. Implementation shall identify the regulated actor, triggering risk or consequence, required conduct, and competent domestic authority rather than imposing a duty merely because software is labeled or marketed as AI. A measure shall be risk-proportionate, non-discriminatory, and no more burdensome than reasonably necessary for the demonstrated objective, with appropriate protection for privacy, cybersecurity, trade secrets, expression, competition, and innovation. Where another Chapter supplies a more specific rule, that specialized rule governs to the extent of the greater or more tailored protection, and this Part shall not create duplicate recovery, unrelated retaliation, or a new permanent institution absent Article 30.C.1.</w:t>
      </w:r>
    </w:p>
    <w:p>
      <w:pPr>
        <w:pStyle w:val="Normal"/>
        <w:rPr/>
      </w:pPr>
      <w:r>
        <w:rPr/>
      </w:r>
    </w:p>
    <w:p>
      <w:pPr>
        <w:pStyle w:val="Normal"/>
        <w:widowControl/>
        <w:rPr/>
      </w:pPr>
      <w:r>
        <w:rPr/>
        <w:t>5. [Governing Firewalls and No AI Exceptionalism] No liability escape through automation - The Parties shall apply the safeguard identified in this paragraph in a manner that protects people in a manner that protects people and legitimate public interests while preserving beneficial, low-risk, research, creative, and commercial uses of artificial intelligence. Implementation shall identify the regulated actor, triggering risk or consequence, required conduct, and competent domestic authority rather than imposing a duty merely because software is labeled or marketed as AI. A measure shall be risk-proportionate, non-discriminatory, and no more burdensome than reasonably necessary for the demonstrated objective, with appropriate protection for privacy, cybersecurity, trade secrets, expression, competition, and innovation. Where another Chapter supplies a more specific rule, that specialized rule governs to the extent of the greater or more tailored protection, and this Part shall not create duplicate recovery, unrelated retaliation, or a new permanent institution absent Article 30.C.1.</w:t>
      </w:r>
    </w:p>
    <w:p>
      <w:pPr>
        <w:pStyle w:val="Normal"/>
        <w:rPr/>
      </w:pPr>
      <w:r>
        <w:rPr/>
      </w:r>
    </w:p>
    <w:p>
      <w:pPr>
        <w:pStyle w:val="Normal"/>
        <w:widowControl/>
        <w:rPr/>
      </w:pPr>
      <w:r>
        <w:rPr/>
        <w:t>6. [Governing Firewalls and No AI Exceptionalism] Optional means optional - The Parties shall apply the safeguard identified in this paragraph in a manner that protects people in a manner that protects people and legitimate public interests while preserving beneficial, low-risk, research, creative, and commercial uses of artificial intelligence. Implementation shall identify the regulated actor, triggering risk or consequence, required conduct, and competent domestic authority rather than imposing a duty merely because software is labeled or marketed as AI. A measure shall be risk-proportionate, non-discriminatory, and no more burdensome than reasonably necessary for the demonstrated objective, with appropriate protection for privacy, cybersecurity, trade secrets, expression, competition, and innovation. Where another Chapter supplies a more specific rule, that specialized rule governs to the extent of the greater or more tailored protection, and this Part shall not create duplicate recovery, unrelated retaliation, or a new permanent institution absent Article 30.C.1.</w:t>
      </w:r>
    </w:p>
    <w:p>
      <w:pPr>
        <w:pStyle w:val="Normal"/>
        <w:rPr/>
      </w:pPr>
      <w:r>
        <w:rPr/>
      </w:r>
    </w:p>
    <w:p>
      <w:bookmarkStart w:id="1506" w:name="_NAESTMA_TOC_1506"/>
      <w:pPr>
        <w:pStyle w:val="Heading2"/>
        <w:keepNext/>
        <w:widowControl/>
        <w:rPr/>
      </w:pPr>
      <w:r>
        <w:rPr/>
        <w:t>Article 39.23: Human Authority and Accountable Decision-Making</w:t>
      </w:r>
      <w:bookmarkEnd w:id="1506"/>
    </w:p>
    <w:p>
      <w:pPr>
        <w:pStyle w:val="Normal"/>
        <w:widowControl/>
        <w:rPr/>
      </w:pPr>
      <w:r>
        <w:rPr/>
        <w:t>1. [Human Authority and Accountable Decision-Making] Identifiable responsible human or legal person - Where an AI system materially influences a consequential decision, the affected person shall receive safeguards proportionate to the consequence of the decision and the degree of automated influence. The responsible entity shall identify an accountable human or legal person, provide intelligible notice or explanation appropriate to the context, and maintain a practical route to correct material factual error or seek human reconsideration. A nominal human signature, unreasoned approval, or reviewer who lacks authority to change the outcome does not satisfy a requirement for meaningful human review. Nothing in this Part requires disclosure of protected source code or trade secrets to an affected person when the material basis, limitations, and reviewable facts can be explained without such disclosure.</w:t>
      </w:r>
    </w:p>
    <w:p>
      <w:pPr>
        <w:pStyle w:val="Normal"/>
        <w:rPr/>
      </w:pPr>
      <w:r>
        <w:rPr/>
      </w:r>
    </w:p>
    <w:p>
      <w:pPr>
        <w:pStyle w:val="Normal"/>
        <w:widowControl/>
        <w:rPr/>
      </w:pPr>
      <w:r>
        <w:rPr/>
        <w:t>2. [Human Authority and Accountable Decision-Making] Human authority over consequential outcomes - Where an AI system materially influences a consequential decision, the affected person shall receive safeguards proportionate to the consequence of the decision and the degree of automated influence. The responsible entity shall identify an accountable human or legal person, provide intelligible notice or explanation appropriate to the context, and maintain a practical route to correct material factual error or seek human reconsideration. A nominal human signature, unreasoned approval, or reviewer who lacks authority to change the outcome does not satisfy a requirement for meaningful human review. Nothing in this Part requires disclosure of protected source code or trade secrets to an affected person when the material basis, limitations, and reviewable facts can be explained without such disclosure.</w:t>
      </w:r>
    </w:p>
    <w:p>
      <w:pPr>
        <w:pStyle w:val="Normal"/>
        <w:rPr/>
      </w:pPr>
      <w:r>
        <w:rPr/>
      </w:r>
    </w:p>
    <w:p>
      <w:pPr>
        <w:pStyle w:val="Normal"/>
        <w:widowControl/>
        <w:rPr/>
      </w:pPr>
      <w:r>
        <w:rPr/>
        <w:t>3. [Human Authority and Accountable Decision-Making] No rubber-stamp review - Where an AI system materially influences a consequential decision, the affected person shall receive safeguards proportionate to the consequence of the decision and the degree of automated influence. The responsible entity shall identify an accountable human or legal person, provide intelligible notice or explanation appropriate to the context, and maintain a practical route to correct material factual error or seek human reconsideration. A nominal human signature, unreasoned approval, or reviewer who lacks authority to change the outcome does not satisfy a requirement for meaningful human review. Nothing in this Part requires disclosure of protected source code or trade secrets to an affected person when the material basis, limitations, and reviewable facts can be explained without such disclosure.</w:t>
      </w:r>
    </w:p>
    <w:p>
      <w:pPr>
        <w:pStyle w:val="Normal"/>
        <w:rPr/>
      </w:pPr>
      <w:r>
        <w:rPr/>
      </w:r>
    </w:p>
    <w:p>
      <w:pPr>
        <w:pStyle w:val="Normal"/>
        <w:widowControl/>
        <w:rPr/>
      </w:pPr>
      <w:r>
        <w:rPr/>
        <w:t>4. [Human Authority and Accountable Decision-Making] Escalation to qualified decision-maker - Where an AI system materially influences a consequential decision, the affected person shall receive safeguards proportionate to the consequence of the decision and the degree of automated influence. The responsible entity shall identify an accountable human or legal person, provide intelligible notice or explanation appropriate to the context, and maintain a practical route to correct material factual error or seek human reconsideration. A nominal human signature, unreasoned approval, or reviewer who lacks authority to change the outcome does not satisfy a requirement for meaningful human review. Nothing in this Part requires disclosure of protected source code or trade secrets to an affected person when the material basis, limitations, and reviewable facts can be explained without such disclosure.</w:t>
      </w:r>
    </w:p>
    <w:p>
      <w:pPr>
        <w:pStyle w:val="Normal"/>
        <w:rPr/>
      </w:pPr>
      <w:r>
        <w:rPr/>
      </w:r>
    </w:p>
    <w:p>
      <w:pPr>
        <w:pStyle w:val="Normal"/>
        <w:widowControl/>
        <w:rPr/>
      </w:pPr>
      <w:r>
        <w:rPr/>
        <w:t>5. [Human Authority and Accountable Decision-Making] Human override for safety-critical use - Where an AI system materially influences a consequential decision, the affected person shall receive safeguards proportionate to the consequence of the decision and the degree of automated influence. The responsible entity shall identify an accountable human or legal person, provide intelligible notice or explanation appropriate to the context, and maintain a practical route to correct material factual error or seek human reconsideration. A nominal human signature, unreasoned approval, or reviewer who lacks authority to change the outcome does not satisfy a requirement for meaningful human review. Nothing in this Part requires disclosure of protected source code or trade secrets to an affected person when the material basis, limitations, and reviewable facts can be explained without such disclosure.</w:t>
      </w:r>
    </w:p>
    <w:p>
      <w:pPr>
        <w:pStyle w:val="Normal"/>
        <w:rPr/>
      </w:pPr>
      <w:r>
        <w:rPr/>
      </w:r>
    </w:p>
    <w:p>
      <w:pPr>
        <w:pStyle w:val="Normal"/>
        <w:widowControl/>
        <w:rPr/>
      </w:pPr>
      <w:r>
        <w:rPr/>
        <w:t>6. [Human Authority and Accountable Decision-Making] Accountability continuity across vendors - Where an AI system materially influences a consequential decision, the affected person shall receive safeguards proportionate to the consequence of the decision and the degree of automated influence. The responsible entity shall identify an accountable human or legal person, provide intelligible notice or explanation appropriate to the context, and maintain a practical route to correct material factual error or seek human reconsideration. A nominal human signature, unreasoned approval, or reviewer who lacks authority to change the outcome does not satisfy a requirement for meaningful human review. Nothing in this Part requires disclosure of protected source code or trade secrets to an affected person when the material basis, limitations, and reviewable facts can be explained without such disclosure.</w:t>
      </w:r>
    </w:p>
    <w:p>
      <w:pPr>
        <w:pStyle w:val="Normal"/>
        <w:rPr/>
      </w:pPr>
      <w:r>
        <w:rPr/>
      </w:r>
    </w:p>
    <w:p>
      <w:bookmarkStart w:id="1507" w:name="_NAESTMA_TOC_1507"/>
      <w:pPr>
        <w:pStyle w:val="Heading2"/>
        <w:keepNext/>
        <w:widowControl/>
        <w:rPr/>
      </w:pPr>
      <w:r>
        <w:rPr/>
        <w:t>Article 39.24: Notice, Explanation and Disclosure to Affected Persons</w:t>
      </w:r>
      <w:bookmarkEnd w:id="1507"/>
    </w:p>
    <w:p>
      <w:pPr>
        <w:pStyle w:val="Normal"/>
        <w:widowControl/>
        <w:rPr/>
      </w:pPr>
      <w:r>
        <w:rPr/>
        <w:t>1. [Notice, Explanation and Disclosure to Affected Persons] Notice of material AI use - Where an AI system materially influences a consequential decision, the affected person shall receive safeguards proportionate to the consequence of the decision and the degree of automated influence. The responsible entity shall identify an accountable human or legal person, provide intelligible notice or explanation appropriate to the context, and maintain a practical route to correct material factual error or seek human reconsideration. A nominal human signature, unreasoned approval, or reviewer who lacks authority to change the outcome does not satisfy a requirement for meaningful human review. Nothing in this Part requires disclosure of protected source code or trade secrets to an affected person when the material basis, limitations, and reviewable facts can be explained without such disclosure.</w:t>
      </w:r>
    </w:p>
    <w:p>
      <w:pPr>
        <w:pStyle w:val="Normal"/>
        <w:rPr/>
      </w:pPr>
      <w:r>
        <w:rPr/>
      </w:r>
    </w:p>
    <w:p>
      <w:pPr>
        <w:pStyle w:val="Normal"/>
        <w:widowControl/>
        <w:rPr/>
      </w:pPr>
      <w:r>
        <w:rPr/>
        <w:t>2. [Notice, Explanation and Disclosure to Affected Persons] Plain-language explanation - Where an AI system materially influences a consequential decision, the affected person shall receive safeguards proportionate to the consequence of the decision and the degree of automated influence. The responsible entity shall identify an accountable human or legal person, provide intelligible notice or explanation appropriate to the context, and maintain a practical route to correct material factual error or seek human reconsideration. A nominal human signature, unreasoned approval, or reviewer who lacks authority to change the outcome does not satisfy a requirement for meaningful human review. Nothing in this Part requires disclosure of protected source code or trade secrets to an affected person when the material basis, limitations, and reviewable facts can be explained without such disclosure.</w:t>
      </w:r>
    </w:p>
    <w:p>
      <w:pPr>
        <w:pStyle w:val="Normal"/>
        <w:rPr/>
      </w:pPr>
      <w:r>
        <w:rPr/>
      </w:r>
    </w:p>
    <w:p>
      <w:pPr>
        <w:pStyle w:val="Normal"/>
        <w:widowControl/>
        <w:rPr/>
      </w:pPr>
      <w:r>
        <w:rPr/>
        <w:t>3. [Notice, Explanation and Disclosure to Affected Persons] Material factors and limitations - Where an AI system materially influences a consequential decision, the affected person shall receive safeguards proportionate to the consequence of the decision and the degree of automated influence. The responsible entity shall identify an accountable human or legal person, provide intelligible notice or explanation appropriate to the context, and maintain a practical route to correct material factual error or seek human reconsideration. A nominal human signature, unreasoned approval, or reviewer who lacks authority to change the outcome does not satisfy a requirement for meaningful human review. Nothing in this Part requires disclosure of protected source code or trade secrets to an affected person when the material basis, limitations, and reviewable facts can be explained without such disclosure.</w:t>
      </w:r>
    </w:p>
    <w:p>
      <w:pPr>
        <w:pStyle w:val="Normal"/>
        <w:rPr/>
      </w:pPr>
      <w:r>
        <w:rPr/>
      </w:r>
    </w:p>
    <w:p>
      <w:pPr>
        <w:pStyle w:val="Normal"/>
        <w:widowControl/>
        <w:rPr/>
      </w:pPr>
      <w:r>
        <w:rPr/>
        <w:t>4. [Notice, Explanation and Disclosure to Affected Persons] Decision-source identification - Where an AI system materially influences a consequential decision, the affected person shall receive safeguards proportionate to the consequence of the decision and the degree of automated influence. The responsible entity shall identify an accountable human or legal person, provide intelligible notice or explanation appropriate to the context, and maintain a practical route to correct material factual error or seek human reconsideration. A nominal human signature, unreasoned approval, or reviewer who lacks authority to change the outcome does not satisfy a requirement for meaningful human review. Nothing in this Part requires disclosure of protected source code or trade secrets to an affected person when the material basis, limitations, and reviewable facts can be explained without such disclosure.</w:t>
      </w:r>
    </w:p>
    <w:p>
      <w:pPr>
        <w:pStyle w:val="Normal"/>
        <w:rPr/>
      </w:pPr>
      <w:r>
        <w:rPr/>
      </w:r>
    </w:p>
    <w:p>
      <w:pPr>
        <w:pStyle w:val="Normal"/>
        <w:widowControl/>
        <w:rPr/>
      </w:pPr>
      <w:r>
        <w:rPr/>
        <w:t>5. [Notice, Explanation and Disclosure to Affected Persons] Correction of factual inputs - Where an AI system materially influences a consequential decision, the affected person shall receive safeguards proportionate to the consequence of the decision and the degree of automated influence. The responsible entity shall identify an accountable human or legal person, provide intelligible notice or explanation appropriate to the context, and maintain a practical route to correct material factual error or seek human reconsideration. A nominal human signature, unreasoned approval, or reviewer who lacks authority to change the outcome does not satisfy a requirement for meaningful human review. Nothing in this Part requires disclosure of protected source code or trade secrets to an affected person when the material basis, limitations, and reviewable facts can be explained without such disclosure.</w:t>
      </w:r>
    </w:p>
    <w:p>
      <w:pPr>
        <w:pStyle w:val="Normal"/>
        <w:rPr/>
      </w:pPr>
      <w:r>
        <w:rPr/>
      </w:r>
    </w:p>
    <w:p>
      <w:pPr>
        <w:pStyle w:val="Normal"/>
        <w:widowControl/>
        <w:rPr/>
      </w:pPr>
      <w:r>
        <w:rPr/>
        <w:t>6. [Notice, Explanation and Disclosure to Affected Persons] No deceptive human impersonation in consequential service - Where an AI system materially influences a consequential decision, the affected person shall receive safeguards proportionate to the consequence of the decision and the degree of automated influence. The responsible entity shall identify an accountable human or legal person, provide intelligible notice or explanation appropriate to the context, and maintain a practical route to correct material factual error or seek human reconsideration. A nominal human signature, unreasoned approval, or reviewer who lacks authority to change the outcome does not satisfy a requirement for meaningful human review. Nothing in this Part requires disclosure of protected source code or trade secrets to an affected person when the material basis, limitations, and reviewable facts can be explained without such disclosure.</w:t>
      </w:r>
    </w:p>
    <w:p>
      <w:pPr>
        <w:pStyle w:val="Normal"/>
        <w:rPr/>
      </w:pPr>
      <w:r>
        <w:rPr/>
      </w:r>
    </w:p>
    <w:p>
      <w:bookmarkStart w:id="1508" w:name="_NAESTMA_TOC_1508"/>
      <w:pPr>
        <w:pStyle w:val="Heading2"/>
        <w:keepNext/>
        <w:widowControl/>
        <w:rPr/>
      </w:pPr>
      <w:r>
        <w:rPr/>
        <w:t>Article 39.25: Contestability, Appeal and Correction</w:t>
      </w:r>
      <w:bookmarkEnd w:id="1508"/>
    </w:p>
    <w:p>
      <w:pPr>
        <w:pStyle w:val="Normal"/>
        <w:widowControl/>
        <w:rPr/>
      </w:pPr>
      <w:r>
        <w:rPr/>
        <w:t>1. [Contestability, Appeal and Correction] Meaningful opportunity to contest - Where an AI system materially influences a consequential decision, the affected person shall receive safeguards proportionate to the consequence of the decision and the degree of automated influence. The responsible entity shall identify an accountable human or legal person, provide intelligible notice or explanation appropriate to the context, and maintain a practical route to correct material factual error or seek human reconsideration. A nominal human signature, unreasoned approval, or reviewer who lacks authority to change the outcome does not satisfy a requirement for meaningful human review. Nothing in this Part requires disclosure of protected source code or trade secrets to an affected person when the material basis, limitations, and reviewable facts can be explained without such disclosure.</w:t>
      </w:r>
    </w:p>
    <w:p>
      <w:pPr>
        <w:pStyle w:val="Normal"/>
        <w:rPr/>
      </w:pPr>
      <w:r>
        <w:rPr/>
      </w:r>
    </w:p>
    <w:p>
      <w:pPr>
        <w:pStyle w:val="Normal"/>
        <w:widowControl/>
        <w:rPr/>
      </w:pPr>
      <w:r>
        <w:rPr/>
        <w:t>2. [Contestability, Appeal and Correction] Access to relevant records - Where an AI system materially influences a consequential decision, the affected person shall receive safeguards proportionate to the consequence of the decision and the degree of automated influence. The responsible entity shall identify an accountable human or legal person, provide intelligible notice or explanation appropriate to the context, and maintain a practical route to correct material factual error or seek human reconsideration. A nominal human signature, unreasoned approval, or reviewer who lacks authority to change the outcome does not satisfy a requirement for meaningful human review. Nothing in this Part requires disclosure of protected source code or trade secrets to an affected person when the material basis, limitations, and reviewable facts can be explained without such disclosure.</w:t>
      </w:r>
    </w:p>
    <w:p>
      <w:pPr>
        <w:pStyle w:val="Normal"/>
        <w:rPr/>
      </w:pPr>
      <w:r>
        <w:rPr/>
      </w:r>
    </w:p>
    <w:p>
      <w:pPr>
        <w:pStyle w:val="Normal"/>
        <w:widowControl/>
        <w:rPr/>
      </w:pPr>
      <w:r>
        <w:rPr/>
        <w:t>3. [Contestability, Appeal and Correction] Correction of erroneous data - Where an AI system materially influences a consequential decision, the affected person shall receive safeguards proportionate to the consequence of the decision and the degree of automated influence. The responsible entity shall identify an accountable human or legal person, provide intelligible notice or explanation appropriate to the context, and maintain a practical route to correct material factual error or seek human reconsideration. A nominal human signature, unreasoned approval, or reviewer who lacks authority to change the outcome does not satisfy a requirement for meaningful human review. Nothing in this Part requires disclosure of protected source code or trade secrets to an affected person when the material basis, limitations, and reviewable facts can be explained without such disclosure.</w:t>
      </w:r>
    </w:p>
    <w:p>
      <w:pPr>
        <w:pStyle w:val="Normal"/>
        <w:rPr/>
      </w:pPr>
      <w:r>
        <w:rPr/>
      </w:r>
    </w:p>
    <w:p>
      <w:pPr>
        <w:pStyle w:val="Normal"/>
        <w:widowControl/>
        <w:rPr/>
      </w:pPr>
      <w:r>
        <w:rPr/>
        <w:t>4. [Contestability, Appeal and Correction] Independent human reconsideration - Where an AI system materially influences a consequential decision, the affected person shall receive safeguards proportionate to the consequence of the decision and the degree of automated influence. The responsible entity shall identify an accountable human or legal person, provide intelligible notice or explanation appropriate to the context, and maintain a practical route to correct material factual error or seek human reconsideration. A nominal human signature, unreasoned approval, or reviewer who lacks authority to change the outcome does not satisfy a requirement for meaningful human review. Nothing in this Part requires disclosure of protected source code or trade secrets to an affected person when the material basis, limitations, and reviewable facts can be explained without such disclosure.</w:t>
      </w:r>
    </w:p>
    <w:p>
      <w:pPr>
        <w:pStyle w:val="Normal"/>
        <w:rPr/>
      </w:pPr>
      <w:r>
        <w:rPr/>
      </w:r>
    </w:p>
    <w:p>
      <w:pPr>
        <w:pStyle w:val="Normal"/>
        <w:widowControl/>
        <w:rPr/>
      </w:pPr>
      <w:r>
        <w:rPr/>
        <w:t>5. [Contestability, Appeal and Correction] Timely appeal pathway - Where an AI system materially influences a consequential decision, the affected person shall receive safeguards proportionate to the consequence of the decision and the degree of automated influence. The responsible entity shall identify an accountable human or legal person, provide intelligible notice or explanation appropriate to the context, and maintain a practical route to correct material factual error or seek human reconsideration. A nominal human signature, unreasoned approval, or reviewer who lacks authority to change the outcome does not satisfy a requirement for meaningful human review. Nothing in this Part requires disclosure of protected source code or trade secrets to an affected person when the material basis, limitations, and reviewable facts can be explained without such disclosure.</w:t>
      </w:r>
    </w:p>
    <w:p>
      <w:pPr>
        <w:pStyle w:val="Normal"/>
        <w:rPr/>
      </w:pPr>
      <w:r>
        <w:rPr/>
      </w:r>
    </w:p>
    <w:p>
      <w:pPr>
        <w:pStyle w:val="Normal"/>
        <w:widowControl/>
        <w:rPr/>
      </w:pPr>
      <w:r>
        <w:rPr/>
        <w:t>6. [Contestability, Appeal and Correction] No retaliation for contesting an AI-assisted decision - Where an AI system materially influences a consequential decision, the affected person shall receive safeguards proportionate to the consequence of the decision and the degree of automated influence. The responsible entity shall identify an accountable human or legal person, provide intelligible notice or explanation appropriate to the context, and maintain a practical route to correct material factual error or seek human reconsideration. A nominal human signature, unreasoned approval, or reviewer who lacks authority to change the outcome does not satisfy a requirement for meaningful human review. Nothing in this Part requires disclosure of protected source code or trade secrets to an affected person when the material basis, limitations, and reviewable facts can be explained without such disclosure.</w:t>
      </w:r>
    </w:p>
    <w:p>
      <w:pPr>
        <w:pStyle w:val="Normal"/>
        <w:rPr/>
      </w:pPr>
      <w:r>
        <w:rPr/>
      </w:r>
    </w:p>
    <w:p>
      <w:bookmarkStart w:id="1509" w:name="_NAESTMA_TOC_1509"/>
      <w:pPr>
        <w:pStyle w:val="Heading2"/>
        <w:keepNext/>
        <w:widowControl/>
        <w:rPr/>
      </w:pPr>
      <w:r>
        <w:rPr/>
        <w:t>Article 39.26: Consequential Automated Decision Safeguards</w:t>
      </w:r>
      <w:bookmarkEnd w:id="1509"/>
    </w:p>
    <w:p>
      <w:pPr>
        <w:pStyle w:val="Normal"/>
        <w:widowControl/>
        <w:rPr/>
      </w:pPr>
      <w:r>
        <w:rPr/>
        <w:t>1. [Consequential Automated Decision Safeguards] No solely automated deprivation of core rights - Where an AI system materially influences a consequential decision, the affected person shall receive safeguards proportionate to the consequence of the decision and the degree of automated influence. The responsible entity shall identify an accountable human or legal person, provide intelligible notice or explanation appropriate to the context, and maintain a practical route to correct material factual error or seek human reconsideration. A nominal human signature, unreasoned approval, or reviewer who lacks authority to change the outcome does not satisfy a requirement for meaningful human review. Nothing in this Part requires disclosure of protected source code or trade secrets to an affected person when the material basis, limitations, and reviewable facts can be explained without such disclosure.</w:t>
      </w:r>
    </w:p>
    <w:p>
      <w:pPr>
        <w:pStyle w:val="Normal"/>
        <w:rPr/>
      </w:pPr>
      <w:r>
        <w:rPr/>
      </w:r>
    </w:p>
    <w:p>
      <w:pPr>
        <w:pStyle w:val="Normal"/>
        <w:widowControl/>
        <w:rPr/>
      </w:pPr>
      <w:r>
        <w:rPr/>
        <w:t>2. [Consequential Automated Decision Safeguards] Heightened safeguards for essential services - Where an AI system materially influences a consequential decision, the affected person shall receive safeguards proportionate to the consequence of the decision and the degree of automated influence. The responsible entity shall identify an accountable human or legal person, provide intelligible notice or explanation appropriate to the context, and maintain a practical route to correct material factual error or seek human reconsideration. A nominal human signature, unreasoned approval, or reviewer who lacks authority to change the outcome does not satisfy a requirement for meaningful human review. Nothing in this Part requires disclosure of protected source code or trade secrets to an affected person when the material basis, limitations, and reviewable facts can be explained without such disclosure.</w:t>
      </w:r>
    </w:p>
    <w:p>
      <w:pPr>
        <w:pStyle w:val="Normal"/>
        <w:rPr/>
      </w:pPr>
      <w:r>
        <w:rPr/>
      </w:r>
    </w:p>
    <w:p>
      <w:pPr>
        <w:pStyle w:val="Normal"/>
        <w:widowControl/>
        <w:rPr/>
      </w:pPr>
      <w:r>
        <w:rPr/>
        <w:t>3. [Consequential Automated Decision Safeguards] Non-discrimination in consequential decisions - Where an AI system materially influences a consequential decision, the affected person shall receive safeguards proportionate to the consequence of the decision and the degree of automated influence. The responsible entity shall identify an accountable human or legal person, provide intelligible notice or explanation appropriate to the context, and maintain a practical route to correct material factual error or seek human reconsideration. A nominal human signature, unreasoned approval, or reviewer who lacks authority to change the outcome does not satisfy a requirement for meaningful human review. Nothing in this Part requires disclosure of protected source code or trade secrets to an affected person when the material basis, limitations, and reviewable facts can be explained without such disclosure.</w:t>
      </w:r>
    </w:p>
    <w:p>
      <w:pPr>
        <w:pStyle w:val="Normal"/>
        <w:rPr/>
      </w:pPr>
      <w:r>
        <w:rPr/>
      </w:r>
    </w:p>
    <w:p>
      <w:pPr>
        <w:pStyle w:val="Normal"/>
        <w:widowControl/>
        <w:rPr/>
      </w:pPr>
      <w:r>
        <w:rPr/>
        <w:t>4. [Consequential Automated Decision Safeguards] Appropriate confidence thresholds - Where an AI system materially influences a consequential decision, the affected person shall receive safeguards proportionate to the consequence of the decision and the degree of automated influence. The responsible entity shall identify an accountable human or legal person, provide intelligible notice or explanation appropriate to the context, and maintain a practical route to correct material factual error or seek human reconsideration. A nominal human signature, unreasoned approval, or reviewer who lacks authority to change the outcome does not satisfy a requirement for meaningful human review. Nothing in this Part requires disclosure of protected source code or trade secrets to an affected person when the material basis, limitations, and reviewable facts can be explained without such disclosure.</w:t>
      </w:r>
    </w:p>
    <w:p>
      <w:pPr>
        <w:pStyle w:val="Normal"/>
        <w:rPr/>
      </w:pPr>
      <w:r>
        <w:rPr/>
      </w:r>
    </w:p>
    <w:p>
      <w:pPr>
        <w:pStyle w:val="Normal"/>
        <w:widowControl/>
        <w:rPr/>
      </w:pPr>
      <w:r>
        <w:rPr/>
        <w:t>5. [Consequential Automated Decision Safeguards] Fallback when model uncertainty is material - Where an AI system materially influences a consequential decision, the affected person shall receive safeguards proportionate to the consequence of the decision and the degree of automated influence. The responsible entity shall identify an accountable human or legal person, provide intelligible notice or explanation appropriate to the context, and maintain a practical route to correct material factual error or seek human reconsideration. A nominal human signature, unreasoned approval, or reviewer who lacks authority to change the outcome does not satisfy a requirement for meaningful human review. Nothing in this Part requires disclosure of protected source code or trade secrets to an affected person when the material basis, limitations, and reviewable facts can be explained without such disclosure.</w:t>
      </w:r>
    </w:p>
    <w:p>
      <w:pPr>
        <w:pStyle w:val="Normal"/>
        <w:rPr/>
      </w:pPr>
      <w:r>
        <w:rPr/>
      </w:r>
    </w:p>
    <w:p>
      <w:pPr>
        <w:pStyle w:val="Normal"/>
        <w:widowControl/>
        <w:rPr/>
      </w:pPr>
      <w:r>
        <w:rPr/>
        <w:t>6. [Consequential Automated Decision Safeguards] Record of final accountable determination - Where an AI system materially influences a consequential decision, the affected person shall receive safeguards proportionate to the consequence of the decision and the degree of automated influence. The responsible entity shall identify an accountable human or legal person, provide intelligible notice or explanation appropriate to the context, and maintain a practical route to correct material factual error or seek human reconsideration. A nominal human signature, unreasoned approval, or reviewer who lacks authority to change the outcome does not satisfy a requirement for meaningful human review. Nothing in this Part requires disclosure of protected source code or trade secrets to an affected person when the material basis, limitations, and reviewable facts can be explained without such disclosure.</w:t>
      </w:r>
    </w:p>
    <w:p>
      <w:pPr>
        <w:pStyle w:val="Normal"/>
        <w:rPr/>
      </w:pPr>
      <w:r>
        <w:rPr/>
      </w:r>
    </w:p>
    <w:p>
      <w:bookmarkStart w:id="1510" w:name="_NAESTMA_TOC_1510"/>
      <w:pPr>
        <w:pStyle w:val="Heading2"/>
        <w:keepNext/>
        <w:widowControl/>
        <w:rPr/>
      </w:pPr>
      <w:r>
        <w:rPr/>
        <w:t>Article 39.27: Impact Assessment and Deployment Documentation</w:t>
      </w:r>
      <w:bookmarkEnd w:id="1510"/>
    </w:p>
    <w:p>
      <w:pPr>
        <w:pStyle w:val="Normal"/>
        <w:widowControl/>
        <w:rPr/>
      </w:pPr>
      <w:r>
        <w:rPr/>
        <w:t>1. [Impact Assessment and Deployment Documentation] Pre-deployment impact assessment - A covered high-risk deployment shall perform the assurance activity identified in this paragraph through documented evidence through documented evidence appropriate to the system's intended use, affected population, deployment environment, and reasonably foreseeable failure modes. The responsible entity shall identify the test method, material assumptions, known limitations, acceptance criteria, reviewer, and any corrective measure needed before or during deployment. Independent review may be required where justified by the level of risk, but this Part does not impose universal annual certification, universal public audit reports, or compulsory publication of proprietary source code, model weights, or trade secrets. A competent authority may require confidential access to evidence reasonably necessary to verify compliance, subject to domestic law, procedural fairness, and protection of confidential business and security information.</w:t>
      </w:r>
    </w:p>
    <w:p>
      <w:pPr>
        <w:pStyle w:val="Normal"/>
        <w:rPr/>
      </w:pPr>
      <w:r>
        <w:rPr/>
      </w:r>
    </w:p>
    <w:p>
      <w:pPr>
        <w:pStyle w:val="Normal"/>
        <w:widowControl/>
        <w:rPr/>
      </w:pPr>
      <w:r>
        <w:rPr/>
        <w:t>2. [Impact Assessment and Deployment Documentation] Intended-use and prohibited-use statement - A covered high-risk deployment shall perform the assurance activity identified in this paragraph through documented evidence through documented evidence appropriate to the system's intended use, affected population, deployment environment, and reasonably foreseeable failure modes. The responsible entity shall identify the test method, material assumptions, known limitations, acceptance criteria, reviewer, and any corrective measure needed before or during deployment. Independent review may be required where justified by the level of risk, but this Part does not impose universal annual certification, universal public audit reports, or compulsory publication of proprietary source code, model weights, or trade secrets. A competent authority may require confidential access to evidence reasonably necessary to verify compliance, subject to domestic law, procedural fairness, and protection of confidential business and security information.</w:t>
      </w:r>
    </w:p>
    <w:p>
      <w:pPr>
        <w:pStyle w:val="Normal"/>
        <w:rPr/>
      </w:pPr>
      <w:r>
        <w:rPr/>
      </w:r>
    </w:p>
    <w:p>
      <w:pPr>
        <w:pStyle w:val="Normal"/>
        <w:widowControl/>
        <w:rPr/>
      </w:pPr>
      <w:r>
        <w:rPr/>
        <w:t>3. [Impact Assessment and Deployment Documentation] Affected-person analysis - A covered high-risk deployment shall perform the assurance activity identified in this paragraph through documented evidence through documented evidence appropriate to the system's intended use, affected population, deployment environment, and reasonably foreseeable failure modes. The responsible entity shall identify the test method, material assumptions, known limitations, acceptance criteria, reviewer, and any corrective measure needed before or during deployment. Independent review may be required where justified by the level of risk, but this Part does not impose universal annual certification, universal public audit reports, or compulsory publication of proprietary source code, model weights, or trade secrets. A competent authority may require confidential access to evidence reasonably necessary to verify compliance, subject to domestic law, procedural fairness, and protection of confidential business and security information.</w:t>
      </w:r>
    </w:p>
    <w:p>
      <w:pPr>
        <w:pStyle w:val="Normal"/>
        <w:rPr/>
      </w:pPr>
      <w:r>
        <w:rPr/>
      </w:r>
    </w:p>
    <w:p>
      <w:pPr>
        <w:pStyle w:val="Normal"/>
        <w:widowControl/>
        <w:rPr/>
      </w:pPr>
      <w:r>
        <w:rPr/>
        <w:t>4. [Impact Assessment and Deployment Documentation] Data and model dependency inventory - A covered high-risk deployment shall perform the assurance activity identified in this paragraph through documented evidence through documented evidence appropriate to the system's intended use, affected population, deployment environment, and reasonably foreseeable failure modes. The responsible entity shall identify the test method, material assumptions, known limitations, acceptance criteria, reviewer, and any corrective measure needed before or during deployment. Independent review may be required where justified by the level of risk, but this Part does not impose universal annual certification, universal public audit reports, or compulsory publication of proprietary source code, model weights, or trade secrets. A competent authority may require confidential access to evidence reasonably necessary to verify compliance, subject to domestic law, procedural fairness, and protection of confidential business and security information.</w:t>
      </w:r>
    </w:p>
    <w:p>
      <w:pPr>
        <w:pStyle w:val="Normal"/>
        <w:rPr/>
      </w:pPr>
      <w:r>
        <w:rPr/>
      </w:r>
    </w:p>
    <w:p>
      <w:pPr>
        <w:pStyle w:val="Normal"/>
        <w:widowControl/>
        <w:rPr/>
      </w:pPr>
      <w:r>
        <w:rPr/>
        <w:t>5. [Impact Assessment and Deployment Documentation] Residual-risk documentation - A covered high-risk deployment shall perform the assurance activity identified in this paragraph through documented evidence through documented evidence appropriate to the system's intended use, affected population, deployment environment, and reasonably foreseeable failure modes. The responsible entity shall identify the test method, material assumptions, known limitations, acceptance criteria, reviewer, and any corrective measure needed before or during deployment. Independent review may be required where justified by the level of risk, but this Part does not impose universal annual certification, universal public audit reports, or compulsory publication of proprietary source code, model weights, or trade secrets. A competent authority may require confidential access to evidence reasonably necessary to verify compliance, subject to domestic law, procedural fairness, and protection of confidential business and security information.</w:t>
      </w:r>
    </w:p>
    <w:p>
      <w:pPr>
        <w:pStyle w:val="Normal"/>
        <w:rPr/>
      </w:pPr>
      <w:r>
        <w:rPr/>
      </w:r>
    </w:p>
    <w:p>
      <w:pPr>
        <w:pStyle w:val="Normal"/>
        <w:widowControl/>
        <w:rPr/>
      </w:pPr>
      <w:r>
        <w:rPr/>
        <w:t>6. [Impact Assessment and Deployment Documentation] Assessment update after material change - A covered high-risk deployment shall perform the assurance activity identified in this paragraph through documented evidence through documented evidence appropriate to the system's intended use, affected population, deployment environment, and reasonably foreseeable failure modes. The responsible entity shall identify the test method, material assumptions, known limitations, acceptance criteria, reviewer, and any corrective measure needed before or during deployment. Independent review may be required where justified by the level of risk, but this Part does not impose universal annual certification, universal public audit reports, or compulsory publication of proprietary source code, model weights, or trade secrets. A competent authority may require confidential access to evidence reasonably necessary to verify compliance, subject to domestic law, procedural fairness, and protection of confidential business and security information.</w:t>
      </w:r>
    </w:p>
    <w:p>
      <w:pPr>
        <w:pStyle w:val="Normal"/>
        <w:rPr/>
      </w:pPr>
      <w:r>
        <w:rPr/>
      </w:r>
    </w:p>
    <w:p>
      <w:bookmarkStart w:id="1511" w:name="_NAESTMA_TOC_1511"/>
      <w:pPr>
        <w:pStyle w:val="Heading2"/>
        <w:keepNext/>
        <w:widowControl/>
        <w:rPr/>
      </w:pPr>
      <w:r>
        <w:rPr/>
        <w:t>Article 39.28: Audit, Assurance and Independent Review</w:t>
      </w:r>
      <w:bookmarkEnd w:id="1511"/>
    </w:p>
    <w:p>
      <w:pPr>
        <w:pStyle w:val="Normal"/>
        <w:widowControl/>
        <w:rPr/>
      </w:pPr>
      <w:r>
        <w:rPr/>
        <w:t>1. [Audit, Assurance and Independent Review] Risk-tiered assurance - A covered high-risk deployment shall perform the assurance activity identified in this paragraph through documented evidence through documented evidence appropriate to the system's intended use, affected population, deployment environment, and reasonably foreseeable failure modes. The responsible entity shall identify the test method, material assumptions, known limitations, acceptance criteria, reviewer, and any corrective measure needed before or during deployment. Independent review may be required where justified by the level of risk, but this Part does not impose universal annual certification, universal public audit reports, or compulsory publication of proprietary source code, model weights, or trade secrets. A competent authority may require confidential access to evidence reasonably necessary to verify compliance, subject to domestic law, procedural fairness, and protection of confidential business and security information.</w:t>
      </w:r>
    </w:p>
    <w:p>
      <w:pPr>
        <w:pStyle w:val="Normal"/>
        <w:rPr/>
      </w:pPr>
      <w:r>
        <w:rPr/>
      </w:r>
    </w:p>
    <w:p>
      <w:pPr>
        <w:pStyle w:val="Normal"/>
        <w:widowControl/>
        <w:rPr/>
      </w:pPr>
      <w:r>
        <w:rPr/>
        <w:t>2. [Audit, Assurance and Independent Review] Independent review where justified by risk - A covered high-risk deployment shall perform the assurance activity identified in this paragraph through documented evidence through documented evidence appropriate to the system's intended use, affected population, deployment environment, and reasonably foreseeable failure modes. The responsible entity shall identify the test method, material assumptions, known limitations, acceptance criteria, reviewer, and any corrective measure needed before or during deployment. Independent review may be required where justified by the level of risk, but this Part does not impose universal annual certification, universal public audit reports, or compulsory publication of proprietary source code, model weights, or trade secrets. A competent authority may require confidential access to evidence reasonably necessary to verify compliance, subject to domestic law, procedural fairness, and protection of confidential business and security information.</w:t>
      </w:r>
    </w:p>
    <w:p>
      <w:pPr>
        <w:pStyle w:val="Normal"/>
        <w:rPr/>
      </w:pPr>
      <w:r>
        <w:rPr/>
      </w:r>
    </w:p>
    <w:p>
      <w:pPr>
        <w:pStyle w:val="Normal"/>
        <w:widowControl/>
        <w:rPr/>
      </w:pPr>
      <w:r>
        <w:rPr/>
        <w:t>3. [Audit, Assurance and Independent Review] Audit scope and evidence - A covered high-risk deployment shall perform the assurance activity identified in this paragraph through documented evidence through documented evidence appropriate to the system's intended use, affected population, deployment environment, and reasonably foreseeable failure modes. The responsible entity shall identify the test method, material assumptions, known limitations, acceptance criteria, reviewer, and any corrective measure needed before or during deployment. Independent review may be required where justified by the level of risk, but this Part does not impose universal annual certification, universal public audit reports, or compulsory publication of proprietary source code, model weights, or trade secrets. A competent authority may require confidential access to evidence reasonably necessary to verify compliance, subject to domestic law, procedural fairness, and protection of confidential business and security information.</w:t>
      </w:r>
    </w:p>
    <w:p>
      <w:pPr>
        <w:pStyle w:val="Normal"/>
        <w:rPr/>
      </w:pPr>
      <w:r>
        <w:rPr/>
      </w:r>
    </w:p>
    <w:p>
      <w:pPr>
        <w:pStyle w:val="Normal"/>
        <w:widowControl/>
        <w:rPr/>
      </w:pPr>
      <w:r>
        <w:rPr/>
        <w:t>4. [Audit, Assurance and Independent Review] Auditor competence and conflicts - A covered high-risk deployment shall perform the assurance activity identified in this paragraph through documented evidence through documented evidence appropriate to the system's intended use, affected population, deployment environment, and reasonably foreseeable failure modes. The responsible entity shall identify the test method, material assumptions, known limitations, acceptance criteria, reviewer, and any corrective measure needed before or during deployment. Independent review may be required where justified by the level of risk, but this Part does not impose universal annual certification, universal public audit reports, or compulsory publication of proprietary source code, model weights, or trade secrets. A competent authority may require confidential access to evidence reasonably necessary to verify compliance, subject to domestic law, procedural fairness, and protection of confidential business and security information.</w:t>
      </w:r>
    </w:p>
    <w:p>
      <w:pPr>
        <w:pStyle w:val="Normal"/>
        <w:rPr/>
      </w:pPr>
      <w:r>
        <w:rPr/>
      </w:r>
    </w:p>
    <w:p>
      <w:pPr>
        <w:pStyle w:val="Normal"/>
        <w:widowControl/>
        <w:rPr/>
      </w:pPr>
      <w:r>
        <w:rPr/>
        <w:t>5. [Audit, Assurance and Independent Review] Confidential regulatory access - A covered high-risk deployment shall perform the assurance activity identified in this paragraph through documented evidence through documented evidence appropriate to the system's intended use, affected population, deployment environment, and reasonably foreseeable failure modes. The responsible entity shall identify the test method, material assumptions, known limitations, acceptance criteria, reviewer, and any corrective measure needed before or during deployment. Independent review may be required where justified by the level of risk, but this Part does not impose universal annual certification, universal public audit reports, or compulsory publication of proprietary source code, model weights, or trade secrets. A competent authority may require confidential access to evidence reasonably necessary to verify compliance, subject to domestic law, procedural fairness, and protection of confidential business and security information.</w:t>
      </w:r>
    </w:p>
    <w:p>
      <w:pPr>
        <w:pStyle w:val="Normal"/>
        <w:rPr/>
      </w:pPr>
      <w:r>
        <w:rPr/>
      </w:r>
    </w:p>
    <w:p>
      <w:pPr>
        <w:pStyle w:val="Normal"/>
        <w:widowControl/>
        <w:rPr/>
      </w:pPr>
      <w:r>
        <w:rPr/>
        <w:t>6. [Audit, Assurance and Independent Review] Corrective action after material audit failure - A covered high-risk deployment shall perform the assurance activity identified in this paragraph through documented evidence through documented evidence appropriate to the system's intended use, affected population, deployment environment, and reasonably foreseeable failure modes. The responsible entity shall identify the test method, material assumptions, known limitations, acceptance criteria, reviewer, and any corrective measure needed before or during deployment. Independent review may be required where justified by the level of risk, but this Part does not impose universal annual certification, universal public audit reports, or compulsory publication of proprietary source code, model weights, or trade secrets. A competent authority may require confidential access to evidence reasonably necessary to verify compliance, subject to domestic law, procedural fairness, and protection of confidential business and security information.</w:t>
      </w:r>
    </w:p>
    <w:p>
      <w:pPr>
        <w:pStyle w:val="Normal"/>
        <w:rPr/>
      </w:pPr>
      <w:r>
        <w:rPr/>
      </w:r>
    </w:p>
    <w:p>
      <w:bookmarkStart w:id="1512" w:name="_NAESTMA_TOC_1512"/>
      <w:pPr>
        <w:pStyle w:val="Heading2"/>
        <w:keepNext/>
        <w:widowControl/>
        <w:rPr/>
      </w:pPr>
      <w:r>
        <w:rPr/>
        <w:t>Article 39.29: Performance, Bias and Validation</w:t>
      </w:r>
      <w:bookmarkEnd w:id="1512"/>
    </w:p>
    <w:p>
      <w:pPr>
        <w:pStyle w:val="Normal"/>
        <w:widowControl/>
        <w:rPr/>
      </w:pPr>
      <w:r>
        <w:rPr/>
        <w:t>1. [Performance, Bias and Validation] Representative performance testing - A covered high-risk deployment shall perform the assurance activity identified in this paragraph through documented evidence through documented evidence appropriate to the system's intended use, affected population, deployment environment, and reasonably foreseeable failure modes. The responsible entity shall identify the test method, material assumptions, known limitations, acceptance criteria, reviewer, and any corrective measure needed before or during deployment. Independent review may be required where justified by the level of risk, but this Part does not impose universal annual certification, universal public audit reports, or compulsory publication of proprietary source code, model weights, or trade secrets. A competent authority may require confidential access to evidence reasonably necessary to verify compliance, subject to domestic law, procedural fairness, and protection of confidential business and security information.</w:t>
      </w:r>
    </w:p>
    <w:p>
      <w:pPr>
        <w:pStyle w:val="Normal"/>
        <w:rPr/>
      </w:pPr>
      <w:r>
        <w:rPr/>
      </w:r>
    </w:p>
    <w:p>
      <w:pPr>
        <w:pStyle w:val="Normal"/>
        <w:widowControl/>
        <w:rPr/>
      </w:pPr>
      <w:r>
        <w:rPr/>
        <w:t>2. [Performance, Bias and Validation] Known limitation disclosure - A covered high-risk deployment shall perform the assurance activity identified in this paragraph through documented evidence through documented evidence appropriate to the system's intended use, affected population, deployment environment, and reasonably foreseeable failure modes. The responsible entity shall identify the test method, material assumptions, known limitations, acceptance criteria, reviewer, and any corrective measure needed before or during deployment. Independent review may be required where justified by the level of risk, but this Part does not impose universal annual certification, universal public audit reports, or compulsory publication of proprietary source code, model weights, or trade secrets. A competent authority may require confidential access to evidence reasonably necessary to verify compliance, subject to domestic law, procedural fairness, and protection of confidential business and security information.</w:t>
      </w:r>
    </w:p>
    <w:p>
      <w:pPr>
        <w:pStyle w:val="Normal"/>
        <w:rPr/>
      </w:pPr>
      <w:r>
        <w:rPr/>
      </w:r>
    </w:p>
    <w:p>
      <w:pPr>
        <w:pStyle w:val="Normal"/>
        <w:widowControl/>
        <w:rPr/>
      </w:pPr>
      <w:r>
        <w:rPr/>
        <w:t>3. [Performance, Bias and Validation] Bias and disparate-impact testing - A covered high-risk deployment shall perform the assurance activity identified in this paragraph through documented evidence through documented evidence appropriate to the system's intended use, affected population, deployment environment, and reasonably foreseeable failure modes. The responsible entity shall identify the test method, material assumptions, known limitations, acceptance criteria, reviewer, and any corrective measure needed before or during deployment. Independent review may be required where justified by the level of risk, but this Part does not impose universal annual certification, universal public audit reports, or compulsory publication of proprietary source code, model weights, or trade secrets. A competent authority may require confidential access to evidence reasonably necessary to verify compliance, subject to domestic law, procedural fairness, and protection of confidential business and security information.</w:t>
      </w:r>
    </w:p>
    <w:p>
      <w:pPr>
        <w:pStyle w:val="Normal"/>
        <w:rPr/>
      </w:pPr>
      <w:r>
        <w:rPr/>
      </w:r>
    </w:p>
    <w:p>
      <w:pPr>
        <w:pStyle w:val="Normal"/>
        <w:widowControl/>
        <w:rPr/>
      </w:pPr>
      <w:r>
        <w:rPr/>
        <w:t>4. [Performance, Bias and Validation] False-positive and false-negative analysis - A covered high-risk deployment shall perform the assurance activity identified in this paragraph through documented evidence through documented evidence appropriate to the system's intended use, affected population, deployment environment, and reasonably foreseeable failure modes. The responsible entity shall identify the test method, material assumptions, known limitations, acceptance criteria, reviewer, and any corrective measure needed before or during deployment. Independent review may be required where justified by the level of risk, but this Part does not impose universal annual certification, universal public audit reports, or compulsory publication of proprietary source code, model weights, or trade secrets. A competent authority may require confidential access to evidence reasonably necessary to verify compliance, subject to domestic law, procedural fairness, and protection of confidential business and security information.</w:t>
      </w:r>
    </w:p>
    <w:p>
      <w:pPr>
        <w:pStyle w:val="Normal"/>
        <w:rPr/>
      </w:pPr>
      <w:r>
        <w:rPr/>
      </w:r>
    </w:p>
    <w:p>
      <w:pPr>
        <w:pStyle w:val="Normal"/>
        <w:widowControl/>
        <w:rPr/>
      </w:pPr>
      <w:r>
        <w:rPr/>
        <w:t>5. [Performance, Bias and Validation] Domain-shift monitoring - A covered high-risk deployment shall perform the assurance activity identified in this paragraph through documented evidence through documented evidence appropriate to the system's intended use, affected population, deployment environment, and reasonably foreseeable failure modes. The responsible entity shall identify the test method, material assumptions, known limitations, acceptance criteria, reviewer, and any corrective measure needed before or during deployment. Independent review may be required where justified by the level of risk, but this Part does not impose universal annual certification, universal public audit reports, or compulsory publication of proprietary source code, model weights, or trade secrets. A competent authority may require confidential access to evidence reasonably necessary to verify compliance, subject to domestic law, procedural fairness, and protection of confidential business and security information.</w:t>
      </w:r>
    </w:p>
    <w:p>
      <w:pPr>
        <w:pStyle w:val="Normal"/>
        <w:rPr/>
      </w:pPr>
      <w:r>
        <w:rPr/>
      </w:r>
    </w:p>
    <w:p>
      <w:pPr>
        <w:pStyle w:val="Normal"/>
        <w:widowControl/>
        <w:rPr/>
      </w:pPr>
      <w:r>
        <w:rPr/>
        <w:t>6. [Performance, Bias and Validation] Validation against actual deployment context - A covered high-risk deployment shall perform the assurance activity identified in this paragraph through documented evidence through documented evidence appropriate to the system's intended use, affected population, deployment environment, and reasonably foreseeable failure modes. The responsible entity shall identify the test method, material assumptions, known limitations, acceptance criteria, reviewer, and any corrective measure needed before or during deployment. Independent review may be required where justified by the level of risk, but this Part does not impose universal annual certification, universal public audit reports, or compulsory publication of proprietary source code, model weights, or trade secrets. A competent authority may require confidential access to evidence reasonably necessary to verify compliance, subject to domestic law, procedural fairness, and protection of confidential business and security information.</w:t>
      </w:r>
    </w:p>
    <w:p>
      <w:pPr>
        <w:pStyle w:val="Normal"/>
        <w:rPr/>
      </w:pPr>
      <w:r>
        <w:rPr/>
      </w:r>
    </w:p>
    <w:p>
      <w:bookmarkStart w:id="1513" w:name="_NAESTMA_TOC_1513"/>
      <w:pPr>
        <w:pStyle w:val="Heading2"/>
        <w:keepNext/>
        <w:widowControl/>
        <w:rPr/>
      </w:pPr>
      <w:r>
        <w:rPr/>
        <w:t>Article 39.30: Safety Engineering and Risk Controls</w:t>
      </w:r>
      <w:bookmarkEnd w:id="1513"/>
    </w:p>
    <w:p>
      <w:pPr>
        <w:pStyle w:val="Normal"/>
        <w:widowControl/>
        <w:rPr/>
      </w:pPr>
      <w:r>
        <w:rPr/>
        <w:t>1. [Safety Engineering and Risk Controls] Safety-by-design for high-risk AI - A provider or deployer of a high-risk or safety-critical AI system shall implement the safeguard identified in this paragraph through controls proportionate to the severity and likelihood of reasonably foreseeable harm. Before consequential deployment, the responsible entity shall document the relevant hazard, the control selected, the evidence supporting its effectiveness, the responsible operator, and the condition that would require escalation, rollback, shutdown, or other safe-state action. Low-risk general-purpose, research, productivity, entertainment, and ordinary consumer uses shall not become subject to safety-critical controls solely because they employ AI or a large model. Material control failure shall require correction and revalidation before resumed high-risk use when continued operation would create an unreasonable and unmanaged risk under applicable law.</w:t>
      </w:r>
    </w:p>
    <w:p>
      <w:pPr>
        <w:pStyle w:val="Normal"/>
        <w:rPr/>
      </w:pPr>
      <w:r>
        <w:rPr/>
      </w:r>
    </w:p>
    <w:p>
      <w:pPr>
        <w:pStyle w:val="Normal"/>
        <w:widowControl/>
        <w:rPr/>
      </w:pPr>
      <w:r>
        <w:rPr/>
        <w:t>2. [Safety Engineering and Risk Controls] Hazard identification - A provider or deployer of a high-risk or safety-critical AI system shall implement the safeguard identified in this paragraph through controls proportionate to the severity and likelihood of reasonably foreseeable harm. Before consequential deployment, the responsible entity shall document the relevant hazard, the control selected, the evidence supporting its effectiveness, the responsible operator, and the condition that would require escalation, rollback, shutdown, or other safe-state action. Low-risk general-purpose, research, productivity, entertainment, and ordinary consumer uses shall not become subject to safety-critical controls solely because they employ AI or a large model. Material control failure shall require correction and revalidation before resumed high-risk use when continued operation would create an unreasonable and unmanaged risk under applicable law.</w:t>
      </w:r>
    </w:p>
    <w:p>
      <w:pPr>
        <w:pStyle w:val="Normal"/>
        <w:rPr/>
      </w:pPr>
      <w:r>
        <w:rPr/>
      </w:r>
    </w:p>
    <w:p>
      <w:pPr>
        <w:pStyle w:val="Normal"/>
        <w:widowControl/>
        <w:rPr/>
      </w:pPr>
      <w:r>
        <w:rPr/>
        <w:t>3. [Safety Engineering and Risk Controls] Control hierarchy - A provider or deployer of a high-risk or safety-critical AI system shall implement the safeguard identified in this paragraph through controls proportionate to the severity and likelihood of reasonably foreseeable harm. Before consequential deployment, the responsible entity shall document the relevant hazard, the control selected, the evidence supporting its effectiveness, the responsible operator, and the condition that would require escalation, rollback, shutdown, or other safe-state action. Low-risk general-purpose, research, productivity, entertainment, and ordinary consumer uses shall not become subject to safety-critical controls solely because they employ AI or a large model. Material control failure shall require correction and revalidation before resumed high-risk use when continued operation would create an unreasonable and unmanaged risk under applicable law.</w:t>
      </w:r>
    </w:p>
    <w:p>
      <w:pPr>
        <w:pStyle w:val="Normal"/>
        <w:rPr/>
      </w:pPr>
      <w:r>
        <w:rPr/>
      </w:r>
    </w:p>
    <w:p>
      <w:pPr>
        <w:pStyle w:val="Normal"/>
        <w:widowControl/>
        <w:rPr/>
      </w:pPr>
      <w:r>
        <w:rPr/>
        <w:t>4. [Safety Engineering and Risk Controls] Human factors engineering - A provider or deployer of a high-risk or safety-critical AI system shall implement the safeguard identified in this paragraph through controls proportionate to the severity and likelihood of reasonably foreseeable harm. Before consequential deployment, the responsible entity shall document the relevant hazard, the control selected, the evidence supporting its effectiveness, the responsible operator, and the condition that would require escalation, rollback, shutdown, or other safe-state action. Low-risk general-purpose, research, productivity, entertainment, and ordinary consumer uses shall not become subject to safety-critical controls solely because they employ AI or a large model. Material control failure shall require correction and revalidation before resumed high-risk use when continued operation would create an unreasonable and unmanaged risk under applicable law.</w:t>
      </w:r>
    </w:p>
    <w:p>
      <w:pPr>
        <w:pStyle w:val="Normal"/>
        <w:rPr/>
      </w:pPr>
      <w:r>
        <w:rPr/>
      </w:r>
    </w:p>
    <w:p>
      <w:pPr>
        <w:pStyle w:val="Normal"/>
        <w:widowControl/>
        <w:rPr/>
      </w:pPr>
      <w:r>
        <w:rPr/>
        <w:t>5. [Safety Engineering and Risk Controls] Safe operating envelope - A provider or deployer of a high-risk or safety-critical AI system shall implement the safeguard identified in this paragraph through controls proportionate to the severity and likelihood of reasonably foreseeable harm. Before consequential deployment, the responsible entity shall document the relevant hazard, the control selected, the evidence supporting its effectiveness, the responsible operator, and the condition that would require escalation, rollback, shutdown, or other safe-state action. Low-risk general-purpose, research, productivity, entertainment, and ordinary consumer uses shall not become subject to safety-critical controls solely because they employ AI or a large model. Material control failure shall require correction and revalidation before resumed high-risk use when continued operation would create an unreasonable and unmanaged risk under applicable law.</w:t>
      </w:r>
    </w:p>
    <w:p>
      <w:pPr>
        <w:pStyle w:val="Normal"/>
        <w:rPr/>
      </w:pPr>
      <w:r>
        <w:rPr/>
      </w:r>
    </w:p>
    <w:p>
      <w:pPr>
        <w:pStyle w:val="Normal"/>
        <w:widowControl/>
        <w:rPr/>
      </w:pPr>
      <w:r>
        <w:rPr/>
        <w:t>6. [Safety Engineering and Risk Controls] Documented residual-risk acceptance - A provider or deployer of a high-risk or safety-critical AI system shall implement the safeguard identified in this paragraph through controls proportionate to the severity and likelihood of reasonably foreseeable harm. Before consequential deployment, the responsible entity shall document the relevant hazard, the control selected, the evidence supporting its effectiveness, the responsible operator, and the condition that would require escalation, rollback, shutdown, or other safe-state action. Low-risk general-purpose, research, productivity, entertainment, and ordinary consumer uses shall not become subject to safety-critical controls solely because they employ AI or a large model. Material control failure shall require correction and revalidation before resumed high-risk use when continued operation would create an unreasonable and unmanaged risk under applicable law.</w:t>
      </w:r>
    </w:p>
    <w:p>
      <w:pPr>
        <w:pStyle w:val="Normal"/>
        <w:rPr/>
      </w:pPr>
      <w:r>
        <w:rPr/>
      </w:r>
    </w:p>
    <w:p>
      <w:bookmarkStart w:id="1514" w:name="_NAESTMA_TOC_1514"/>
      <w:pPr>
        <w:pStyle w:val="Heading2"/>
        <w:keepNext/>
        <w:widowControl/>
        <w:rPr/>
      </w:pPr>
      <w:r>
        <w:rPr/>
        <w:t>Article 39.31: Lifecycle Governance and Change Control</w:t>
      </w:r>
      <w:bookmarkEnd w:id="1514"/>
    </w:p>
    <w:p>
      <w:pPr>
        <w:pStyle w:val="Normal"/>
        <w:widowControl/>
        <w:rPr/>
      </w:pPr>
      <w:r>
        <w:rPr/>
        <w:t>1. [Lifecycle Governance and Change Control] Lifecycle responsibility - A provider or deployer of a high-risk or safety-critical AI system shall implement the safeguard identified in this paragraph through controls proportionate to the severity and likelihood of reasonably foreseeable harm. Before consequential deployment, the responsible entity shall document the relevant hazard, the control selected, the evidence supporting its effectiveness, the responsible operator, and the condition that would require escalation, rollback, shutdown, or other safe-state action. Low-risk general-purpose, research, productivity, entertainment, and ordinary consumer uses shall not become subject to safety-critical controls solely because they employ AI or a large model. Material control failure shall require correction and revalidation before resumed high-risk use when continued operation would create an unreasonable and unmanaged risk under applicable law.</w:t>
      </w:r>
    </w:p>
    <w:p>
      <w:pPr>
        <w:pStyle w:val="Normal"/>
        <w:rPr/>
      </w:pPr>
      <w:r>
        <w:rPr/>
      </w:r>
    </w:p>
    <w:p>
      <w:pPr>
        <w:pStyle w:val="Normal"/>
        <w:widowControl/>
        <w:rPr/>
      </w:pPr>
      <w:r>
        <w:rPr/>
        <w:t>2. [Lifecycle Governance and Change Control] Pre-deployment validation gate - A provider or deployer of a high-risk or safety-critical AI system shall implement the safeguard identified in this paragraph through controls proportionate to the severity and likelihood of reasonably foreseeable harm. Before consequential deployment, the responsible entity shall document the relevant hazard, the control selected, the evidence supporting its effectiveness, the responsible operator, and the condition that would require escalation, rollback, shutdown, or other safe-state action. Low-risk general-purpose, research, productivity, entertainment, and ordinary consumer uses shall not become subject to safety-critical controls solely because they employ AI or a large model. Material control failure shall require correction and revalidation before resumed high-risk use when continued operation would create an unreasonable and unmanaged risk under applicable law.</w:t>
      </w:r>
    </w:p>
    <w:p>
      <w:pPr>
        <w:pStyle w:val="Normal"/>
        <w:rPr/>
      </w:pPr>
      <w:r>
        <w:rPr/>
      </w:r>
    </w:p>
    <w:p>
      <w:pPr>
        <w:pStyle w:val="Normal"/>
        <w:widowControl/>
        <w:rPr/>
      </w:pPr>
      <w:r>
        <w:rPr/>
        <w:t>3. [Lifecycle Governance and Change Control] Configuration management - A provider or deployer of a high-risk or safety-critical AI system shall implement the safeguard identified in this paragraph through controls proportionate to the severity and likelihood of reasonably foreseeable harm. Before consequential deployment, the responsible entity shall document the relevant hazard, the control selected, the evidence supporting its effectiveness, the responsible operator, and the condition that would require escalation, rollback, shutdown, or other safe-state action. Low-risk general-purpose, research, productivity, entertainment, and ordinary consumer uses shall not become subject to safety-critical controls solely because they employ AI or a large model. Material control failure shall require correction and revalidation before resumed high-risk use when continued operation would create an unreasonable and unmanaged risk under applicable law.</w:t>
      </w:r>
    </w:p>
    <w:p>
      <w:pPr>
        <w:pStyle w:val="Normal"/>
        <w:rPr/>
      </w:pPr>
      <w:r>
        <w:rPr/>
      </w:r>
    </w:p>
    <w:p>
      <w:pPr>
        <w:pStyle w:val="Normal"/>
        <w:widowControl/>
        <w:rPr/>
      </w:pPr>
      <w:r>
        <w:rPr/>
        <w:t>4. [Lifecycle Governance and Change Control] Post-deployment monitoring - A provider or deployer of a high-risk or safety-critical AI system shall implement the safeguard identified in this paragraph through controls proportionate to the severity and likelihood of reasonably foreseeable harm. Before consequential deployment, the responsible entity shall document the relevant hazard, the control selected, the evidence supporting its effectiveness, the responsible operator, and the condition that would require escalation, rollback, shutdown, or other safe-state action. Low-risk general-purpose, research, productivity, entertainment, and ordinary consumer uses shall not become subject to safety-critical controls solely because they employ AI or a large model. Material control failure shall require correction and revalidation before resumed high-risk use when continued operation would create an unreasonable and unmanaged risk under applicable law.</w:t>
      </w:r>
    </w:p>
    <w:p>
      <w:pPr>
        <w:pStyle w:val="Normal"/>
        <w:rPr/>
      </w:pPr>
      <w:r>
        <w:rPr/>
      </w:r>
    </w:p>
    <w:p>
      <w:pPr>
        <w:pStyle w:val="Normal"/>
        <w:widowControl/>
        <w:rPr/>
      </w:pPr>
      <w:r>
        <w:rPr/>
        <w:t>5. [Lifecycle Governance and Change Control] Retirement and decommissioning - A provider or deployer of a high-risk or safety-critical AI system shall implement the safeguard identified in this paragraph through controls proportionate to the severity and likelihood of reasonably foreseeable harm. Before consequential deployment, the responsible entity shall document the relevant hazard, the control selected, the evidence supporting its effectiveness, the responsible operator, and the condition that would require escalation, rollback, shutdown, or other safe-state action. Low-risk general-purpose, research, productivity, entertainment, and ordinary consumer uses shall not become subject to safety-critical controls solely because they employ AI or a large model. Material control failure shall require correction and revalidation before resumed high-risk use when continued operation would create an unreasonable and unmanaged risk under applicable law.</w:t>
      </w:r>
    </w:p>
    <w:p>
      <w:pPr>
        <w:pStyle w:val="Normal"/>
        <w:rPr/>
      </w:pPr>
      <w:r>
        <w:rPr/>
      </w:r>
    </w:p>
    <w:p>
      <w:pPr>
        <w:pStyle w:val="Normal"/>
        <w:widowControl/>
        <w:rPr/>
      </w:pPr>
      <w:r>
        <w:rPr/>
        <w:t>6. [Lifecycle Governance and Change Control] Transfer-of-control safeguards - A provider or deployer of a high-risk or safety-critical AI system shall implement the safeguard identified in this paragraph through controls proportionate to the severity and likelihood of reasonably foreseeable harm. Before consequential deployment, the responsible entity shall document the relevant hazard, the control selected, the evidence supporting its effectiveness, the responsible operator, and the condition that would require escalation, rollback, shutdown, or other safe-state action. Low-risk general-purpose, research, productivity, entertainment, and ordinary consumer uses shall not become subject to safety-critical controls solely because they employ AI or a large model. Material control failure shall require correction and revalidation before resumed high-risk use when continued operation would create an unreasonable and unmanaged risk under applicable law.</w:t>
      </w:r>
    </w:p>
    <w:p>
      <w:pPr>
        <w:pStyle w:val="Normal"/>
        <w:rPr/>
      </w:pPr>
      <w:r>
        <w:rPr/>
      </w:r>
    </w:p>
    <w:p>
      <w:bookmarkStart w:id="1515" w:name="_NAESTMA_TOC_1515"/>
      <w:pPr>
        <w:pStyle w:val="Heading2"/>
        <w:keepNext/>
        <w:widowControl/>
        <w:rPr/>
      </w:pPr>
      <w:r>
        <w:rPr/>
        <w:t>Article 39.32: Red Teaming, Robustness and Adversarial Testing</w:t>
      </w:r>
      <w:bookmarkEnd w:id="1515"/>
    </w:p>
    <w:p>
      <w:pPr>
        <w:pStyle w:val="Normal"/>
        <w:widowControl/>
        <w:rPr/>
      </w:pPr>
      <w:r>
        <w:rPr/>
        <w:t>1. [Red Teaming, Robustness and Adversarial Testing] Adversarial testing proportionate to risk - A provider or deployer of a high-risk or safety-critical AI system shall implement the safeguard identified in this paragraph through controls proportionate to the severity and likelihood of reasonably foreseeable harm. Before consequential deployment, the responsible entity shall document the relevant hazard, the control selected, the evidence supporting its effectiveness, the responsible operator, and the condition that would require escalation, rollback, shutdown, or other safe-state action. Low-risk general-purpose, research, productivity, entertainment, and ordinary consumer uses shall not become subject to safety-critical controls solely because they employ AI or a large model. Material control failure shall require correction and revalidation before resumed high-risk use when continued operation would create an unreasonable and unmanaged risk under applicable law.</w:t>
      </w:r>
    </w:p>
    <w:p>
      <w:pPr>
        <w:pStyle w:val="Normal"/>
        <w:rPr/>
      </w:pPr>
      <w:r>
        <w:rPr/>
      </w:r>
    </w:p>
    <w:p>
      <w:pPr>
        <w:pStyle w:val="Normal"/>
        <w:widowControl/>
        <w:rPr/>
      </w:pPr>
      <w:r>
        <w:rPr/>
        <w:t>2. [Red Teaming, Robustness and Adversarial Testing] Red-team scope - A provider or deployer of a high-risk or safety-critical AI system shall implement the safeguard identified in this paragraph through controls proportionate to the severity and likelihood of reasonably foreseeable harm. Before consequential deployment, the responsible entity shall document the relevant hazard, the control selected, the evidence supporting its effectiveness, the responsible operator, and the condition that would require escalation, rollback, shutdown, or other safe-state action. Low-risk general-purpose, research, productivity, entertainment, and ordinary consumer uses shall not become subject to safety-critical controls solely because they employ AI or a large model. Material control failure shall require correction and revalidation before resumed high-risk use when continued operation would create an unreasonable and unmanaged risk under applicable law.</w:t>
      </w:r>
    </w:p>
    <w:p>
      <w:pPr>
        <w:pStyle w:val="Normal"/>
        <w:rPr/>
      </w:pPr>
      <w:r>
        <w:rPr/>
      </w:r>
    </w:p>
    <w:p>
      <w:pPr>
        <w:pStyle w:val="Normal"/>
        <w:widowControl/>
        <w:rPr/>
      </w:pPr>
      <w:r>
        <w:rPr/>
        <w:t>3. [Red Teaming, Robustness and Adversarial Testing] Robustness against distribution shift - A provider or deployer of a high-risk or safety-critical AI system shall implement the safeguard identified in this paragraph through controls proportionate to the severity and likelihood of reasonably foreseeable harm. Before consequential deployment, the responsible entity shall document the relevant hazard, the control selected, the evidence supporting its effectiveness, the responsible operator, and the condition that would require escalation, rollback, shutdown, or other safe-state action. Low-risk general-purpose, research, productivity, entertainment, and ordinary consumer uses shall not become subject to safety-critical controls solely because they employ AI or a large model. Material control failure shall require correction and revalidation before resumed high-risk use when continued operation would create an unreasonable and unmanaged risk under applicable law.</w:t>
      </w:r>
    </w:p>
    <w:p>
      <w:pPr>
        <w:pStyle w:val="Normal"/>
        <w:rPr/>
      </w:pPr>
      <w:r>
        <w:rPr/>
      </w:r>
    </w:p>
    <w:p>
      <w:pPr>
        <w:pStyle w:val="Normal"/>
        <w:widowControl/>
        <w:rPr/>
      </w:pPr>
      <w:r>
        <w:rPr/>
        <w:t>4. [Red Teaming, Robustness and Adversarial Testing] Prompt-injection and tool-abuse testing - A provider or deployer of a high-risk or safety-critical AI system shall implement the safeguard identified in this paragraph through controls proportionate to the severity and likelihood of reasonably foreseeable harm. Before consequential deployment, the responsible entity shall document the relevant hazard, the control selected, the evidence supporting its effectiveness, the responsible operator, and the condition that would require escalation, rollback, shutdown, or other safe-state action. Low-risk general-purpose, research, productivity, entertainment, and ordinary consumer uses shall not become subject to safety-critical controls solely because they employ AI or a large model. Material control failure shall require correction and revalidation before resumed high-risk use when continued operation would create an unreasonable and unmanaged risk under applicable law.</w:t>
      </w:r>
    </w:p>
    <w:p>
      <w:pPr>
        <w:pStyle w:val="Normal"/>
        <w:rPr/>
      </w:pPr>
      <w:r>
        <w:rPr/>
      </w:r>
    </w:p>
    <w:p>
      <w:pPr>
        <w:pStyle w:val="Normal"/>
        <w:widowControl/>
        <w:rPr/>
      </w:pPr>
      <w:r>
        <w:rPr/>
        <w:t>5. [Red Teaming, Robustness and Adversarial Testing] Independent challenge for safety-critical systems - A provider or deployer of a high-risk or safety-critical AI system shall implement the safeguard identified in this paragraph through controls proportionate to the severity and likelihood of reasonably foreseeable harm. Before consequential deployment, the responsible entity shall document the relevant hazard, the control selected, the evidence supporting its effectiveness, the responsible operator, and the condition that would require escalation, rollback, shutdown, or other safe-state action. Low-risk general-purpose, research, productivity, entertainment, and ordinary consumer uses shall not become subject to safety-critical controls solely because they employ AI or a large model. Material control failure shall require correction and revalidation before resumed high-risk use when continued operation would create an unreasonable and unmanaged risk under applicable law.</w:t>
      </w:r>
    </w:p>
    <w:p>
      <w:pPr>
        <w:pStyle w:val="Normal"/>
        <w:rPr/>
      </w:pPr>
      <w:r>
        <w:rPr/>
      </w:r>
    </w:p>
    <w:p>
      <w:pPr>
        <w:pStyle w:val="Normal"/>
        <w:widowControl/>
        <w:rPr/>
      </w:pPr>
      <w:r>
        <w:rPr/>
        <w:t>6. [Red Teaming, Robustness and Adversarial Testing] Remediation and retest - A provider or deployer of a high-risk or safety-critical AI system shall implement the safeguard identified in this paragraph through controls proportionate to the severity and likelihood of reasonably foreseeable harm. Before consequential deployment, the responsible entity shall document the relevant hazard, the control selected, the evidence supporting its effectiveness, the responsible operator, and the condition that would require escalation, rollback, shutdown, or other safe-state action. Low-risk general-purpose, research, productivity, entertainment, and ordinary consumer uses shall not become subject to safety-critical controls solely because they employ AI or a large model. Material control failure shall require correction and revalidation before resumed high-risk use when continued operation would create an unreasonable and unmanaged risk under applicable law.</w:t>
      </w:r>
    </w:p>
    <w:p>
      <w:pPr>
        <w:pStyle w:val="Normal"/>
        <w:rPr/>
      </w:pPr>
      <w:r>
        <w:rPr/>
      </w:r>
    </w:p>
    <w:p>
      <w:bookmarkStart w:id="1516" w:name="_NAESTMA_TOC_1516"/>
      <w:pPr>
        <w:pStyle w:val="Heading2"/>
        <w:keepNext/>
        <w:widowControl/>
        <w:rPr/>
      </w:pPr>
      <w:r>
        <w:rPr/>
        <w:t>Article 39.33: Fail-Safe Design, Graceful Degradation and Rollback</w:t>
      </w:r>
      <w:bookmarkEnd w:id="1516"/>
    </w:p>
    <w:p>
      <w:pPr>
        <w:pStyle w:val="Normal"/>
        <w:widowControl/>
        <w:rPr/>
      </w:pPr>
      <w:r>
        <w:rPr/>
        <w:t>1. [Fail-Safe Design, Graceful Degradation and Rollback] Fail-safe state - A provider or deployer of a high-risk or safety-critical AI system shall implement the safeguard identified in this paragraph through controls proportionate to the severity and likelihood of reasonably foreseeable harm. Before consequential deployment, the responsible entity shall document the relevant hazard, the control selected, the evidence supporting its effectiveness, the responsible operator, and the condition that would require escalation, rollback, shutdown, or other safe-state action. Low-risk general-purpose, research, productivity, entertainment, and ordinary consumer uses shall not become subject to safety-critical controls solely because they employ AI or a large model. Material control failure shall require correction and revalidation before resumed high-risk use when continued operation would create an unreasonable and unmanaged risk under applicable law.</w:t>
      </w:r>
    </w:p>
    <w:p>
      <w:pPr>
        <w:pStyle w:val="Normal"/>
        <w:rPr/>
      </w:pPr>
      <w:r>
        <w:rPr/>
      </w:r>
    </w:p>
    <w:p>
      <w:pPr>
        <w:pStyle w:val="Normal"/>
        <w:widowControl/>
        <w:rPr/>
      </w:pPr>
      <w:r>
        <w:rPr/>
        <w:t>2. [Fail-Safe Design, Graceful Degradation and Rollback] Graceful degradation - A provider or deployer of a high-risk or safety-critical AI system shall implement the safeguard identified in this paragraph through controls proportionate to the severity and likelihood of reasonably foreseeable harm. Before consequential deployment, the responsible entity shall document the relevant hazard, the control selected, the evidence supporting its effectiveness, the responsible operator, and the condition that would require escalation, rollback, shutdown, or other safe-state action. Low-risk general-purpose, research, productivity, entertainment, and ordinary consumer uses shall not become subject to safety-critical controls solely because they employ AI or a large model. Material control failure shall require correction and revalidation before resumed high-risk use when continued operation would create an unreasonable and unmanaged risk under applicable law.</w:t>
      </w:r>
    </w:p>
    <w:p>
      <w:pPr>
        <w:pStyle w:val="Normal"/>
        <w:rPr/>
      </w:pPr>
      <w:r>
        <w:rPr/>
      </w:r>
    </w:p>
    <w:p>
      <w:pPr>
        <w:pStyle w:val="Normal"/>
        <w:widowControl/>
        <w:rPr/>
      </w:pPr>
      <w:r>
        <w:rPr/>
        <w:t>3. [Fail-Safe Design, Graceful Degradation and Rollback] Human override availability - A provider or deployer of a high-risk or safety-critical AI system shall implement the safeguard identified in this paragraph through controls proportionate to the severity and likelihood of reasonably foreseeable harm. Before consequential deployment, the responsible entity shall document the relevant hazard, the control selected, the evidence supporting its effectiveness, the responsible operator, and the condition that would require escalation, rollback, shutdown, or other safe-state action. Low-risk general-purpose, research, productivity, entertainment, and ordinary consumer uses shall not become subject to safety-critical controls solely because they employ AI or a large model. Material control failure shall require correction and revalidation before resumed high-risk use when continued operation would create an unreasonable and unmanaged risk under applicable law.</w:t>
      </w:r>
    </w:p>
    <w:p>
      <w:pPr>
        <w:pStyle w:val="Normal"/>
        <w:rPr/>
      </w:pPr>
      <w:r>
        <w:rPr/>
      </w:r>
    </w:p>
    <w:p>
      <w:pPr>
        <w:pStyle w:val="Normal"/>
        <w:widowControl/>
        <w:rPr/>
      </w:pPr>
      <w:r>
        <w:rPr/>
        <w:t>4. [Fail-Safe Design, Graceful Degradation and Rollback] Rollback capability - A provider or deployer of a high-risk or safety-critical AI system shall implement the safeguard identified in this paragraph through controls proportionate to the severity and likelihood of reasonably foreseeable harm. Before consequential deployment, the responsible entity shall document the relevant hazard, the control selected, the evidence supporting its effectiveness, the responsible operator, and the condition that would require escalation, rollback, shutdown, or other safe-state action. Low-risk general-purpose, research, productivity, entertainment, and ordinary consumer uses shall not become subject to safety-critical controls solely because they employ AI or a large model. Material control failure shall require correction and revalidation before resumed high-risk use when continued operation would create an unreasonable and unmanaged risk under applicable law.</w:t>
      </w:r>
    </w:p>
    <w:p>
      <w:pPr>
        <w:pStyle w:val="Normal"/>
        <w:rPr/>
      </w:pPr>
      <w:r>
        <w:rPr/>
      </w:r>
    </w:p>
    <w:p>
      <w:pPr>
        <w:pStyle w:val="Normal"/>
        <w:widowControl/>
        <w:rPr/>
      </w:pPr>
      <w:r>
        <w:rPr/>
        <w:t>5. [Fail-Safe Design, Graceful Degradation and Rollback] Safe recovery after interruption - A provider or deployer of a high-risk or safety-critical AI system shall implement the safeguard identified in this paragraph through controls proportionate to the severity and likelihood of reasonably foreseeable harm. Before consequential deployment, the responsible entity shall document the relevant hazard, the control selected, the evidence supporting its effectiveness, the responsible operator, and the condition that would require escalation, rollback, shutdown, or other safe-state action. Low-risk general-purpose, research, productivity, entertainment, and ordinary consumer uses shall not become subject to safety-critical controls solely because they employ AI or a large model. Material control failure shall require correction and revalidation before resumed high-risk use when continued operation would create an unreasonable and unmanaged risk under applicable law.</w:t>
      </w:r>
    </w:p>
    <w:p>
      <w:pPr>
        <w:pStyle w:val="Normal"/>
        <w:rPr/>
      </w:pPr>
      <w:r>
        <w:rPr/>
      </w:r>
    </w:p>
    <w:p>
      <w:pPr>
        <w:pStyle w:val="Normal"/>
        <w:widowControl/>
        <w:rPr/>
      </w:pPr>
      <w:r>
        <w:rPr/>
        <w:t>6. [Fail-Safe Design, Graceful Degradation and Rollback] No hidden dependence on unavailable AI service - A provider or deployer of a high-risk or safety-critical AI system shall implement the safeguard identified in this paragraph through controls proportionate to the severity and likelihood of reasonably foreseeable harm. Before consequential deployment, the responsible entity shall document the relevant hazard, the control selected, the evidence supporting its effectiveness, the responsible operator, and the condition that would require escalation, rollback, shutdown, or other safe-state action. Low-risk general-purpose, research, productivity, entertainment, and ordinary consumer uses shall not become subject to safety-critical controls solely because they employ AI or a large model. Material control failure shall require correction and revalidation before resumed high-risk use when continued operation would create an unreasonable and unmanaged risk under applicable law.</w:t>
      </w:r>
    </w:p>
    <w:p>
      <w:pPr>
        <w:pStyle w:val="Normal"/>
        <w:rPr/>
      </w:pPr>
      <w:r>
        <w:rPr/>
      </w:r>
    </w:p>
    <w:p>
      <w:bookmarkStart w:id="1517" w:name="_NAESTMA_TOC_1517"/>
      <w:pPr>
        <w:pStyle w:val="Heading2"/>
        <w:keepNext/>
        <w:widowControl/>
        <w:rPr/>
      </w:pPr>
      <w:r>
        <w:rPr/>
        <w:t>Article 39.34: Serious AI Incident Classification and Notification</w:t>
      </w:r>
      <w:bookmarkEnd w:id="1517"/>
    </w:p>
    <w:p>
      <w:pPr>
        <w:pStyle w:val="Normal"/>
        <w:widowControl/>
        <w:rPr/>
      </w:pPr>
      <w:r>
        <w:rPr/>
        <w:t>1. [Serious AI Incident Classification and Notification] Serious incident definition - A covered entity shall maintain AI incident procedures when an AI-related event causes or creates a credible imminent risk of serious harm to health, safety, rights, critical infrastructure, or another interest designated by applicable law. The procedure shall identify the responsible incident lead, preserve relevant logs and evidence, establish escalation and containment steps, and provide notice to the competent authority within the period required by domestic law or an applicable implementing schedule. Good-faith preliminary reporting shall not by itself constitute an admission of legal liability, and confidential technical or security information shall remain protected against unnecessary public disclosure. Where the materially same system or component is deployed across borders, the Parties shall use existing regulatory or cybersecurity channels to share information necessary to reduce recurrence without creating a new standing institution.</w:t>
      </w:r>
    </w:p>
    <w:p>
      <w:pPr>
        <w:pStyle w:val="Normal"/>
        <w:rPr/>
      </w:pPr>
      <w:r>
        <w:rPr/>
      </w:r>
    </w:p>
    <w:p>
      <w:pPr>
        <w:pStyle w:val="Normal"/>
        <w:widowControl/>
        <w:rPr/>
      </w:pPr>
      <w:r>
        <w:rPr/>
        <w:t>2. [Serious AI Incident Classification and Notification] Internal escalation duty - A covered entity shall maintain AI incident procedures when an AI-related event causes or creates a credible imminent risk of serious harm to health, safety, rights, critical infrastructure, or another interest designated by applicable law. The procedure shall identify the responsible incident lead, preserve relevant logs and evidence, establish escalation and containment steps, and provide notice to the competent authority within the period required by domestic law or an applicable implementing schedule. Good-faith preliminary reporting shall not by itself constitute an admission of legal liability, and confidential technical or security information shall remain protected against unnecessary public disclosure. Where the materially same system or component is deployed across borders, the Parties shall use existing regulatory or cybersecurity channels to share information necessary to reduce recurrence without creating a new standing institution.</w:t>
      </w:r>
    </w:p>
    <w:p>
      <w:pPr>
        <w:pStyle w:val="Normal"/>
        <w:rPr/>
      </w:pPr>
      <w:r>
        <w:rPr/>
      </w:r>
    </w:p>
    <w:p>
      <w:pPr>
        <w:pStyle w:val="Normal"/>
        <w:widowControl/>
        <w:rPr/>
      </w:pPr>
      <w:r>
        <w:rPr/>
        <w:t>3. [Serious AI Incident Classification and Notification] Notice to competent authority - A covered entity shall maintain AI incident procedures when an AI-related event causes or creates a credible imminent risk of serious harm to health, safety, rights, critical infrastructure, or another interest designated by applicable law. The procedure shall identify the responsible incident lead, preserve relevant logs and evidence, establish escalation and containment steps, and provide notice to the competent authority within the period required by domestic law or an applicable implementing schedule. Good-faith preliminary reporting shall not by itself constitute an admission of legal liability, and confidential technical or security information shall remain protected against unnecessary public disclosure. Where the materially same system or component is deployed across borders, the Parties shall use existing regulatory or cybersecurity channels to share information necessary to reduce recurrence without creating a new standing institution.</w:t>
      </w:r>
    </w:p>
    <w:p>
      <w:pPr>
        <w:pStyle w:val="Normal"/>
        <w:rPr/>
      </w:pPr>
      <w:r>
        <w:rPr/>
      </w:r>
    </w:p>
    <w:p>
      <w:pPr>
        <w:pStyle w:val="Normal"/>
        <w:widowControl/>
        <w:rPr/>
      </w:pPr>
      <w:r>
        <w:rPr/>
        <w:t>4. [Serious AI Incident Classification and Notification] Cross-border incident relevance - A covered entity shall maintain AI incident procedures when an AI-related event causes or creates a credible imminent risk of serious harm to health, safety, rights, critical infrastructure, or another interest designated by applicable law. The procedure shall identify the responsible incident lead, preserve relevant logs and evidence, establish escalation and containment steps, and provide notice to the competent authority within the period required by domestic law or an applicable implementing schedule. Good-faith preliminary reporting shall not by itself constitute an admission of legal liability, and confidential technical or security information shall remain protected against unnecessary public disclosure. Where the materially same system or component is deployed across borders, the Parties shall use existing regulatory or cybersecurity channels to share information necessary to reduce recurrence without creating a new standing institution.</w:t>
      </w:r>
    </w:p>
    <w:p>
      <w:pPr>
        <w:pStyle w:val="Normal"/>
        <w:rPr/>
      </w:pPr>
      <w:r>
        <w:rPr/>
      </w:r>
    </w:p>
    <w:p>
      <w:pPr>
        <w:pStyle w:val="Normal"/>
        <w:widowControl/>
        <w:rPr/>
      </w:pPr>
      <w:r>
        <w:rPr/>
        <w:t>5. [Serious AI Incident Classification and Notification] Confidentiality and security protection - A covered entity shall maintain AI incident procedures when an AI-related event causes or creates a credible imminent risk of serious harm to health, safety, rights, critical infrastructure, or another interest designated by applicable law. The procedure shall identify the responsible incident lead, preserve relevant logs and evidence, establish escalation and containment steps, and provide notice to the competent authority within the period required by domestic law or an applicable implementing schedule. Good-faith preliminary reporting shall not by itself constitute an admission of legal liability, and confidential technical or security information shall remain protected against unnecessary public disclosure. Where the materially same system or component is deployed across borders, the Parties shall use existing regulatory or cybersecurity channels to share information necessary to reduce recurrence without creating a new standing institution.</w:t>
      </w:r>
    </w:p>
    <w:p>
      <w:pPr>
        <w:pStyle w:val="Normal"/>
        <w:rPr/>
      </w:pPr>
      <w:r>
        <w:rPr/>
      </w:r>
    </w:p>
    <w:p>
      <w:pPr>
        <w:pStyle w:val="Normal"/>
        <w:widowControl/>
        <w:rPr/>
      </w:pPr>
      <w:r>
        <w:rPr/>
        <w:t>6. [Serious AI Incident Classification and Notification] No-punishment rule for good-faith preliminary reporting - A covered entity shall maintain AI incident procedures when an AI-related event causes or creates a credible imminent risk of serious harm to health, safety, rights, critical infrastructure, or another interest designated by applicable law. The procedure shall identify the responsible incident lead, preserve relevant logs and evidence, establish escalation and containment steps, and provide notice to the competent authority within the period required by domestic law or an applicable implementing schedule. Good-faith preliminary reporting shall not by itself constitute an admission of legal liability, and confidential technical or security information shall remain protected against unnecessary public disclosure. Where the materially same system or component is deployed across borders, the Parties shall use existing regulatory or cybersecurity channels to share information necessary to reduce recurrence without creating a new standing institution.</w:t>
      </w:r>
    </w:p>
    <w:p>
      <w:pPr>
        <w:pStyle w:val="Normal"/>
        <w:rPr/>
      </w:pPr>
      <w:r>
        <w:rPr/>
      </w:r>
    </w:p>
    <w:p>
      <w:bookmarkStart w:id="1518" w:name="_NAESTMA_TOC_1518"/>
      <w:pPr>
        <w:pStyle w:val="Heading2"/>
        <w:keepNext/>
        <w:widowControl/>
        <w:rPr/>
      </w:pPr>
      <w:r>
        <w:rPr/>
        <w:t>Article 39.35: Incident Investigation, Learning and Corrective Action</w:t>
      </w:r>
      <w:bookmarkEnd w:id="1518"/>
    </w:p>
    <w:p>
      <w:pPr>
        <w:pStyle w:val="Normal"/>
        <w:widowControl/>
        <w:rPr/>
      </w:pPr>
      <w:r>
        <w:rPr/>
        <w:t>1. [Incident Investigation, Learning and Corrective Action] Root-cause investigation - A covered entity shall maintain AI incident procedures when an AI-related event causes or creates a credible imminent risk of serious harm to health, safety, rights, critical infrastructure, or another interest designated by applicable law. The procedure shall identify the responsible incident lead, preserve relevant logs and evidence, establish escalation and containment steps, and provide notice to the competent authority within the period required by domestic law or an applicable implementing schedule. Good-faith preliminary reporting shall not by itself constitute an admission of legal liability, and confidential technical or security information shall remain protected against unnecessary public disclosure. Where the materially same system or component is deployed across borders, the Parties shall use existing regulatory or cybersecurity channels to share information necessary to reduce recurrence without creating a new standing institution.</w:t>
      </w:r>
    </w:p>
    <w:p>
      <w:pPr>
        <w:pStyle w:val="Normal"/>
        <w:rPr/>
      </w:pPr>
      <w:r>
        <w:rPr/>
      </w:r>
    </w:p>
    <w:p>
      <w:pPr>
        <w:pStyle w:val="Normal"/>
        <w:widowControl/>
        <w:rPr/>
      </w:pPr>
      <w:r>
        <w:rPr/>
        <w:t>2. [Incident Investigation, Learning and Corrective Action] Preservation of logs and evidence - A covered entity shall maintain AI incident procedures when an AI-related event causes or creates a credible imminent risk of serious harm to health, safety, rights, critical infrastructure, or another interest designated by applicable law. The procedure shall identify the responsible incident lead, preserve relevant logs and evidence, establish escalation and containment steps, and provide notice to the competent authority within the period required by domestic law or an applicable implementing schedule. Good-faith preliminary reporting shall not by itself constitute an admission of legal liability, and confidential technical or security information shall remain protected against unnecessary public disclosure. Where the materially same system or component is deployed across borders, the Parties shall use existing regulatory or cybersecurity channels to share information necessary to reduce recurrence without creating a new standing institution.</w:t>
      </w:r>
    </w:p>
    <w:p>
      <w:pPr>
        <w:pStyle w:val="Normal"/>
        <w:rPr/>
      </w:pPr>
      <w:r>
        <w:rPr/>
      </w:r>
    </w:p>
    <w:p>
      <w:pPr>
        <w:pStyle w:val="Normal"/>
        <w:widowControl/>
        <w:rPr/>
      </w:pPr>
      <w:r>
        <w:rPr/>
        <w:t>3. [Incident Investigation, Learning and Corrective Action] Corrective action plan - A covered entity shall maintain AI incident procedures when an AI-related event causes or creates a credible imminent risk of serious harm to health, safety, rights, critical infrastructure, or another interest designated by applicable law. The procedure shall identify the responsible incident lead, preserve relevant logs and evidence, establish escalation and containment steps, and provide notice to the competent authority within the period required by domestic law or an applicable implementing schedule. Good-faith preliminary reporting shall not by itself constitute an admission of legal liability, and confidential technical or security information shall remain protected against unnecessary public disclosure. Where the materially same system or component is deployed across borders, the Parties shall use existing regulatory or cybersecurity channels to share information necessary to reduce recurrence without creating a new standing institution.</w:t>
      </w:r>
    </w:p>
    <w:p>
      <w:pPr>
        <w:pStyle w:val="Normal"/>
        <w:rPr/>
      </w:pPr>
      <w:r>
        <w:rPr/>
      </w:r>
    </w:p>
    <w:p>
      <w:pPr>
        <w:pStyle w:val="Normal"/>
        <w:widowControl/>
        <w:rPr/>
      </w:pPr>
      <w:r>
        <w:rPr/>
        <w:t>4. [Incident Investigation, Learning and Corrective Action] Lessons-learned sharing - A covered entity shall maintain AI incident procedures when an AI-related event causes or creates a credible imminent risk of serious harm to health, safety, rights, critical infrastructure, or another interest designated by applicable law. The procedure shall identify the responsible incident lead, preserve relevant logs and evidence, establish escalation and containment steps, and provide notice to the competent authority within the period required by domestic law or an applicable implementing schedule. Good-faith preliminary reporting shall not by itself constitute an admission of legal liability, and confidential technical or security information shall remain protected against unnecessary public disclosure. Where the materially same system or component is deployed across borders, the Parties shall use existing regulatory or cybersecurity channels to share information necessary to reduce recurrence without creating a new standing institution.</w:t>
      </w:r>
    </w:p>
    <w:p>
      <w:pPr>
        <w:pStyle w:val="Normal"/>
        <w:rPr/>
      </w:pPr>
      <w:r>
        <w:rPr/>
      </w:r>
    </w:p>
    <w:p>
      <w:pPr>
        <w:pStyle w:val="Normal"/>
        <w:widowControl/>
        <w:rPr/>
      </w:pPr>
      <w:r>
        <w:rPr/>
        <w:t>5. [Incident Investigation, Learning and Corrective Action] Repeat-incident escalation - A covered entity shall maintain AI incident procedures when an AI-related event causes or creates a credible imminent risk of serious harm to health, safety, rights, critical infrastructure, or another interest designated by applicable law. The procedure shall identify the responsible incident lead, preserve relevant logs and evidence, establish escalation and containment steps, and provide notice to the competent authority within the period required by domestic law or an applicable implementing schedule. Good-faith preliminary reporting shall not by itself constitute an admission of legal liability, and confidential technical or security information shall remain protected against unnecessary public disclosure. Where the materially same system or component is deployed across borders, the Parties shall use existing regulatory or cybersecurity channels to share information necessary to reduce recurrence without creating a new standing institution.</w:t>
      </w:r>
    </w:p>
    <w:p>
      <w:pPr>
        <w:pStyle w:val="Normal"/>
        <w:rPr/>
      </w:pPr>
      <w:r>
        <w:rPr/>
      </w:r>
    </w:p>
    <w:p>
      <w:pPr>
        <w:pStyle w:val="Normal"/>
        <w:widowControl/>
        <w:rPr/>
      </w:pPr>
      <w:r>
        <w:rPr/>
        <w:t>6. [Incident Investigation, Learning and Corrective Action] Closure and verification - A covered entity shall maintain AI incident procedures when an AI-related event causes or creates a credible imminent risk of serious harm to health, safety, rights, critical infrastructure, or another interest designated by applicable law. The procedure shall identify the responsible incident lead, preserve relevant logs and evidence, establish escalation and containment steps, and provide notice to the competent authority within the period required by domestic law or an applicable implementing schedule. Good-faith preliminary reporting shall not by itself constitute an admission of legal liability, and confidential technical or security information shall remain protected against unnecessary public disclosure. Where the materially same system or component is deployed across borders, the Parties shall use existing regulatory or cybersecurity channels to share information necessary to reduce recurrence without creating a new standing institution.</w:t>
      </w:r>
    </w:p>
    <w:p>
      <w:pPr>
        <w:pStyle w:val="Normal"/>
        <w:rPr/>
      </w:pPr>
      <w:r>
        <w:rPr/>
      </w:r>
    </w:p>
    <w:p>
      <w:bookmarkStart w:id="1519" w:name="_NAESTMA_TOC_1519"/>
      <w:pPr>
        <w:pStyle w:val="Heading2"/>
        <w:keepNext/>
        <w:widowControl/>
        <w:rPr/>
      </w:pPr>
      <w:r>
        <w:rPr/>
        <w:t>Article 39.36: Model Identity and Deployment Versioning</w:t>
      </w:r>
      <w:bookmarkEnd w:id="1519"/>
    </w:p>
    <w:p>
      <w:pPr>
        <w:pStyle w:val="Normal"/>
        <w:widowControl/>
        <w:rPr/>
      </w:pPr>
      <w:r>
        <w:rPr/>
        <w:t>1. [Model Identity and Deployment Versioning] Model identity record - For high-risk or consequential deployments, the responsible entity shall maintain records sufficient to identify the system and reconstruct its consequential use for the system actually used in the relevant period. The record shall identify the provider and deployer, material model or component version, configuration or permission changes relevant to the decision, and any other information reasonably necessary to reconstruct a disputed consequential output. Logging and retention shall be proportionate to risk and shall incorporate privacy, cybersecurity, trade-secret, and data-minimization safeguards rather than creating an unrestricted repository of user activity. A material inability to identify the system or reconstruct a consequential decision may be considered in determining whether applicable accountability, evidence, or corrective-action duties have been satisfied.</w:t>
      </w:r>
    </w:p>
    <w:p>
      <w:pPr>
        <w:pStyle w:val="Normal"/>
        <w:rPr/>
      </w:pPr>
      <w:r>
        <w:rPr/>
      </w:r>
    </w:p>
    <w:p>
      <w:pPr>
        <w:pStyle w:val="Normal"/>
        <w:widowControl/>
        <w:rPr/>
      </w:pPr>
      <w:r>
        <w:rPr/>
        <w:t>2. [Model Identity and Deployment Versioning] Version and configuration identifier - For high-risk or consequential deployments, the responsible entity shall maintain records sufficient to identify the system and reconstruct its consequential use for the system actually used in the relevant period. The record shall identify the provider and deployer, material model or component version, configuration or permission changes relevant to the decision, and any other information reasonably necessary to reconstruct a disputed consequential output. Logging and retention shall be proportionate to risk and shall incorporate privacy, cybersecurity, trade-secret, and data-minimization safeguards rather than creating an unrestricted repository of user activity. A material inability to identify the system or reconstruct a consequential decision may be considered in determining whether applicable accountability, evidence, or corrective-action duties have been satisfied.</w:t>
      </w:r>
    </w:p>
    <w:p>
      <w:pPr>
        <w:pStyle w:val="Normal"/>
        <w:rPr/>
      </w:pPr>
      <w:r>
        <w:rPr/>
      </w:r>
    </w:p>
    <w:p>
      <w:pPr>
        <w:pStyle w:val="Normal"/>
        <w:widowControl/>
        <w:rPr/>
      </w:pPr>
      <w:r>
        <w:rPr/>
        <w:t>3. [Model Identity and Deployment Versioning] Deployment-date record - For high-risk or consequential deployments, the responsible entity shall maintain records sufficient to identify the system and reconstruct its consequential use for the system actually used in the relevant period. The record shall identify the provider and deployer, material model or component version, configuration or permission changes relevant to the decision, and any other information reasonably necessary to reconstruct a disputed consequential output. Logging and retention shall be proportionate to risk and shall incorporate privacy, cybersecurity, trade-secret, and data-minimization safeguards rather than creating an unrestricted repository of user activity. A material inability to identify the system or reconstruct a consequential decision may be considered in determining whether applicable accountability, evidence, or corrective-action duties have been satisfied.</w:t>
      </w:r>
    </w:p>
    <w:p>
      <w:pPr>
        <w:pStyle w:val="Normal"/>
        <w:rPr/>
      </w:pPr>
      <w:r>
        <w:rPr/>
      </w:r>
    </w:p>
    <w:p>
      <w:pPr>
        <w:pStyle w:val="Normal"/>
        <w:widowControl/>
        <w:rPr/>
      </w:pPr>
      <w:r>
        <w:rPr/>
        <w:t>4. [Model Identity and Deployment Versioning] Provider and deployer identification - For high-risk or consequential deployments, the responsible entity shall maintain records sufficient to identify the system and reconstruct its consequential use for the system actually used in the relevant period. The record shall identify the provider and deployer, material model or component version, configuration or permission changes relevant to the decision, and any other information reasonably necessary to reconstruct a disputed consequential output. Logging and retention shall be proportionate to risk and shall incorporate privacy, cybersecurity, trade-secret, and data-minimization safeguards rather than creating an unrestricted repository of user activity. A material inability to identify the system or reconstruct a consequential decision may be considered in determining whether applicable accountability, evidence, or corrective-action duties have been satisfied.</w:t>
      </w:r>
    </w:p>
    <w:p>
      <w:pPr>
        <w:pStyle w:val="Normal"/>
        <w:rPr/>
      </w:pPr>
      <w:r>
        <w:rPr/>
      </w:r>
    </w:p>
    <w:p>
      <w:pPr>
        <w:pStyle w:val="Normal"/>
        <w:widowControl/>
        <w:rPr/>
      </w:pPr>
      <w:r>
        <w:rPr/>
        <w:t>5. [Model Identity and Deployment Versioning] Third-party component inventory - For high-risk or consequential deployments, the responsible entity shall maintain records sufficient to identify the system and reconstruct its consequential use for the system actually used in the relevant period. The record shall identify the provider and deployer, material model or component version, configuration or permission changes relevant to the decision, and any other information reasonably necessary to reconstruct a disputed consequential output. Logging and retention shall be proportionate to risk and shall incorporate privacy, cybersecurity, trade-secret, and data-minimization safeguards rather than creating an unrestricted repository of user activity. A material inability to identify the system or reconstruct a consequential decision may be considered in determining whether applicable accountability, evidence, or corrective-action duties have been satisfied.</w:t>
      </w:r>
    </w:p>
    <w:p>
      <w:pPr>
        <w:pStyle w:val="Normal"/>
        <w:rPr/>
      </w:pPr>
      <w:r>
        <w:rPr/>
      </w:r>
    </w:p>
    <w:p>
      <w:pPr>
        <w:pStyle w:val="Normal"/>
        <w:widowControl/>
        <w:rPr/>
      </w:pPr>
      <w:r>
        <w:rPr/>
        <w:t>6. [Model Identity and Deployment Versioning] Accessible identity information for regulators - For high-risk or consequential deployments, the responsible entity shall maintain records sufficient to identify the system and reconstruct its consequential use for the system actually used in the relevant period. The record shall identify the provider and deployer, material model or component version, configuration or permission changes relevant to the decision, and any other information reasonably necessary to reconstruct a disputed consequential output. Logging and retention shall be proportionate to risk and shall incorporate privacy, cybersecurity, trade-secret, and data-minimization safeguards rather than creating an unrestricted repository of user activity. A material inability to identify the system or reconstruct a consequential decision may be considered in determining whether applicable accountability, evidence, or corrective-action duties have been satisfied.</w:t>
      </w:r>
    </w:p>
    <w:p>
      <w:pPr>
        <w:pStyle w:val="Normal"/>
        <w:rPr/>
      </w:pPr>
      <w:r>
        <w:rPr/>
      </w:r>
    </w:p>
    <w:p>
      <w:bookmarkStart w:id="1520" w:name="_NAESTMA_TOC_1520"/>
      <w:pPr>
        <w:pStyle w:val="Heading2"/>
        <w:keepNext/>
        <w:widowControl/>
        <w:rPr/>
      </w:pPr>
      <w:r>
        <w:rPr/>
        <w:t>Article 39.37: Material Changes and Revalidation</w:t>
      </w:r>
      <w:bookmarkEnd w:id="1520"/>
    </w:p>
    <w:p>
      <w:pPr>
        <w:pStyle w:val="Normal"/>
        <w:widowControl/>
        <w:rPr/>
      </w:pPr>
      <w:r>
        <w:rPr/>
        <w:t>1. [Material Changes and Revalidation] Material-change trigger - For high-risk or consequential deployments, the responsible entity shall maintain records sufficient to identify the system and reconstruct its consequential use for the system actually used in the relevant period. The record shall identify the provider and deployer, material model or component version, configuration or permission changes relevant to the decision, and any other information reasonably necessary to reconstruct a disputed consequential output. Logging and retention shall be proportionate to risk and shall incorporate privacy, cybersecurity, trade-secret, and data-minimization safeguards rather than creating an unrestricted repository of user activity. A material inability to identify the system or reconstruct a consequential decision may be considered in determining whether applicable accountability, evidence, or corrective-action duties have been satisfied.</w:t>
      </w:r>
    </w:p>
    <w:p>
      <w:pPr>
        <w:pStyle w:val="Normal"/>
        <w:rPr/>
      </w:pPr>
      <w:r>
        <w:rPr/>
      </w:r>
    </w:p>
    <w:p>
      <w:pPr>
        <w:pStyle w:val="Normal"/>
        <w:widowControl/>
        <w:rPr/>
      </w:pPr>
      <w:r>
        <w:rPr/>
        <w:t>2. [Material Changes and Revalidation] Fine-tuning and retraining changes - For high-risk or consequential deployments, the responsible entity shall maintain records sufficient to identify the system and reconstruct its consequential use for the system actually used in the relevant period. The record shall identify the provider and deployer, material model or component version, configuration or permission changes relevant to the decision, and any other information reasonably necessary to reconstruct a disputed consequential output. Logging and retention shall be proportionate to risk and shall incorporate privacy, cybersecurity, trade-secret, and data-minimization safeguards rather than creating an unrestricted repository of user activity. A material inability to identify the system or reconstruct a consequential decision may be considered in determining whether applicable accountability, evidence, or corrective-action duties have been satisfied.</w:t>
      </w:r>
    </w:p>
    <w:p>
      <w:pPr>
        <w:pStyle w:val="Normal"/>
        <w:rPr/>
      </w:pPr>
      <w:r>
        <w:rPr/>
      </w:r>
    </w:p>
    <w:p>
      <w:pPr>
        <w:pStyle w:val="Normal"/>
        <w:widowControl/>
        <w:rPr/>
      </w:pPr>
      <w:r>
        <w:rPr/>
        <w:t>3. [Material Changes and Revalidation] Tool and agent permission changes - For high-risk or consequential deployments, the responsible entity shall maintain records sufficient to identify the system and reconstruct its consequential use for the system actually used in the relevant period. The record shall identify the provider and deployer, material model or component version, configuration or permission changes relevant to the decision, and any other information reasonably necessary to reconstruct a disputed consequential output. Logging and retention shall be proportionate to risk and shall incorporate privacy, cybersecurity, trade-secret, and data-minimization safeguards rather than creating an unrestricted repository of user activity. A material inability to identify the system or reconstruct a consequential decision may be considered in determining whether applicable accountability, evidence, or corrective-action duties have been satisfied.</w:t>
      </w:r>
    </w:p>
    <w:p>
      <w:pPr>
        <w:pStyle w:val="Normal"/>
        <w:rPr/>
      </w:pPr>
      <w:r>
        <w:rPr/>
      </w:r>
    </w:p>
    <w:p>
      <w:pPr>
        <w:pStyle w:val="Normal"/>
        <w:widowControl/>
        <w:rPr/>
      </w:pPr>
      <w:r>
        <w:rPr/>
        <w:t>4. [Material Changes and Revalidation] Data-source changes - For high-risk or consequential deployments, the responsible entity shall maintain records sufficient to identify the system and reconstruct its consequential use for the system actually used in the relevant period. The record shall identify the provider and deployer, material model or component version, configuration or permission changes relevant to the decision, and any other information reasonably necessary to reconstruct a disputed consequential output. Logging and retention shall be proportionate to risk and shall incorporate privacy, cybersecurity, trade-secret, and data-minimization safeguards rather than creating an unrestricted repository of user activity. A material inability to identify the system or reconstruct a consequential decision may be considered in determining whether applicable accountability, evidence, or corrective-action duties have been satisfied.</w:t>
      </w:r>
    </w:p>
    <w:p>
      <w:pPr>
        <w:pStyle w:val="Normal"/>
        <w:rPr/>
      </w:pPr>
      <w:r>
        <w:rPr/>
      </w:r>
    </w:p>
    <w:p>
      <w:pPr>
        <w:pStyle w:val="Normal"/>
        <w:widowControl/>
        <w:rPr/>
      </w:pPr>
      <w:r>
        <w:rPr/>
        <w:t>5. [Material Changes and Revalidation] Revalidation scope - For high-risk or consequential deployments, the responsible entity shall maintain records sufficient to identify the system and reconstruct its consequential use for the system actually used in the relevant period. The record shall identify the provider and deployer, material model or component version, configuration or permission changes relevant to the decision, and any other information reasonably necessary to reconstruct a disputed consequential output. Logging and retention shall be proportionate to risk and shall incorporate privacy, cybersecurity, trade-secret, and data-minimization safeguards rather than creating an unrestricted repository of user activity. A material inability to identify the system or reconstruct a consequential decision may be considered in determining whether applicable accountability, evidence, or corrective-action duties have been satisfied.</w:t>
      </w:r>
    </w:p>
    <w:p>
      <w:pPr>
        <w:pStyle w:val="Normal"/>
        <w:rPr/>
      </w:pPr>
      <w:r>
        <w:rPr/>
      </w:r>
    </w:p>
    <w:p>
      <w:pPr>
        <w:pStyle w:val="Normal"/>
        <w:widowControl/>
        <w:rPr/>
      </w:pPr>
      <w:r>
        <w:rPr/>
        <w:t>6. [Material Changes and Revalidation] Emergency patch documentation - For high-risk or consequential deployments, the responsible entity shall maintain records sufficient to identify the system and reconstruct its consequential use for the system actually used in the relevant period. The record shall identify the provider and deployer, material model or component version, configuration or permission changes relevant to the decision, and any other information reasonably necessary to reconstruct a disputed consequential output. Logging and retention shall be proportionate to risk and shall incorporate privacy, cybersecurity, trade-secret, and data-minimization safeguards rather than creating an unrestricted repository of user activity. A material inability to identify the system or reconstruct a consequential decision may be considered in determining whether applicable accountability, evidence, or corrective-action duties have been satisfied.</w:t>
      </w:r>
    </w:p>
    <w:p>
      <w:pPr>
        <w:pStyle w:val="Normal"/>
        <w:rPr/>
      </w:pPr>
      <w:r>
        <w:rPr/>
      </w:r>
    </w:p>
    <w:p>
      <w:bookmarkStart w:id="1521" w:name="_NAESTMA_TOC_1521"/>
      <w:pPr>
        <w:pStyle w:val="Heading2"/>
        <w:keepNext/>
        <w:widowControl/>
        <w:rPr/>
      </w:pPr>
      <w:r>
        <w:rPr/>
        <w:t>Article 39.38: Traceability, Logging and Decision Reconstruction</w:t>
      </w:r>
      <w:bookmarkEnd w:id="1521"/>
    </w:p>
    <w:p>
      <w:pPr>
        <w:pStyle w:val="Normal"/>
        <w:widowControl/>
        <w:rPr/>
      </w:pPr>
      <w:r>
        <w:rPr/>
        <w:t>1. [Traceability, Logging and Decision Reconstruction] Risk-proportionate logging - For high-risk or consequential deployments, the responsible entity shall maintain records sufficient to identify the system and reconstruct its consequential use for the system actually used in the relevant period. The record shall identify the provider and deployer, material model or component version, configuration or permission changes relevant to the decision, and any other information reasonably necessary to reconstruct a disputed consequential output. Logging and retention shall be proportionate to risk and shall incorporate privacy, cybersecurity, trade-secret, and data-minimization safeguards rather than creating an unrestricted repository of user activity. A material inability to identify the system or reconstruct a consequential decision may be considered in determining whether applicable accountability, evidence, or corrective-action duties have been satisfied.</w:t>
      </w:r>
    </w:p>
    <w:p>
      <w:pPr>
        <w:pStyle w:val="Normal"/>
        <w:rPr/>
      </w:pPr>
      <w:r>
        <w:rPr/>
      </w:r>
    </w:p>
    <w:p>
      <w:pPr>
        <w:pStyle w:val="Normal"/>
        <w:widowControl/>
        <w:rPr/>
      </w:pPr>
      <w:r>
        <w:rPr/>
        <w:t>2. [Traceability, Logging and Decision Reconstruction] Decision reconstruction - For high-risk or consequential deployments, the responsible entity shall maintain records sufficient to identify the system and reconstruct its consequential use for the system actually used in the relevant period. The record shall identify the provider and deployer, material model or component version, configuration or permission changes relevant to the decision, and any other information reasonably necessary to reconstruct a disputed consequential output. Logging and retention shall be proportionate to risk and shall incorporate privacy, cybersecurity, trade-secret, and data-minimization safeguards rather than creating an unrestricted repository of user activity. A material inability to identify the system or reconstruct a consequential decision may be considered in determining whether applicable accountability, evidence, or corrective-action duties have been satisfied.</w:t>
      </w:r>
    </w:p>
    <w:p>
      <w:pPr>
        <w:pStyle w:val="Normal"/>
        <w:rPr/>
      </w:pPr>
      <w:r>
        <w:rPr/>
      </w:r>
    </w:p>
    <w:p>
      <w:pPr>
        <w:pStyle w:val="Normal"/>
        <w:widowControl/>
        <w:rPr/>
      </w:pPr>
      <w:r>
        <w:rPr/>
        <w:t>3. [Traceability, Logging and Decision Reconstruction] Input and output provenance - For high-risk or consequential deployments, the responsible entity shall maintain records sufficient to identify the system and reconstruct its consequential use for the system actually used in the relevant period. The record shall identify the provider and deployer, material model or component version, configuration or permission changes relevant to the decision, and any other information reasonably necessary to reconstruct a disputed consequential output. Logging and retention shall be proportionate to risk and shall incorporate privacy, cybersecurity, trade-secret, and data-minimization safeguards rather than creating an unrestricted repository of user activity. A material inability to identify the system or reconstruct a consequential decision may be considered in determining whether applicable accountability, evidence, or corrective-action duties have been satisfied.</w:t>
      </w:r>
    </w:p>
    <w:p>
      <w:pPr>
        <w:pStyle w:val="Normal"/>
        <w:rPr/>
      </w:pPr>
      <w:r>
        <w:rPr/>
      </w:r>
    </w:p>
    <w:p>
      <w:pPr>
        <w:pStyle w:val="Normal"/>
        <w:widowControl/>
        <w:rPr/>
      </w:pPr>
      <w:r>
        <w:rPr/>
        <w:t>4. [Traceability, Logging and Decision Reconstruction] Access controls for logs - For high-risk or consequential deployments, the responsible entity shall maintain records sufficient to identify the system and reconstruct its consequential use for the system actually used in the relevant period. The record shall identify the provider and deployer, material model or component version, configuration or permission changes relevant to the decision, and any other information reasonably necessary to reconstruct a disputed consequential output. Logging and retention shall be proportionate to risk and shall incorporate privacy, cybersecurity, trade-secret, and data-minimization safeguards rather than creating an unrestricted repository of user activity. A material inability to identify the system or reconstruct a consequential decision may be considered in determining whether applicable accountability, evidence, or corrective-action duties have been satisfied.</w:t>
      </w:r>
    </w:p>
    <w:p>
      <w:pPr>
        <w:pStyle w:val="Normal"/>
        <w:rPr/>
      </w:pPr>
      <w:r>
        <w:rPr/>
      </w:r>
    </w:p>
    <w:p>
      <w:pPr>
        <w:pStyle w:val="Normal"/>
        <w:widowControl/>
        <w:rPr/>
      </w:pPr>
      <w:r>
        <w:rPr/>
        <w:t>5. [Traceability, Logging and Decision Reconstruction] Retention proportionality - For high-risk or consequential deployments, the responsible entity shall maintain records sufficient to identify the system and reconstruct its consequential use for the system actually used in the relevant period. The record shall identify the provider and deployer, material model or component version, configuration or permission changes relevant to the decision, and any other information reasonably necessary to reconstruct a disputed consequential output. Logging and retention shall be proportionate to risk and shall incorporate privacy, cybersecurity, trade-secret, and data-minimization safeguards rather than creating an unrestricted repository of user activity. A material inability to identify the system or reconstruct a consequential decision may be considered in determining whether applicable accountability, evidence, or corrective-action duties have been satisfied.</w:t>
      </w:r>
    </w:p>
    <w:p>
      <w:pPr>
        <w:pStyle w:val="Normal"/>
        <w:rPr/>
      </w:pPr>
      <w:r>
        <w:rPr/>
      </w:r>
    </w:p>
    <w:p>
      <w:pPr>
        <w:pStyle w:val="Normal"/>
        <w:widowControl/>
        <w:rPr/>
      </w:pPr>
      <w:r>
        <w:rPr/>
        <w:t>6. [Traceability, Logging and Decision Reconstruction] Tamper-evident records for critical systems - For high-risk or consequential deployments, the responsible entity shall maintain records sufficient to identify the system and reconstruct its consequential use for the system actually used in the relevant period. The record shall identify the provider and deployer, material model or component version, configuration or permission changes relevant to the decision, and any other information reasonably necessary to reconstruct a disputed consequential output. Logging and retention shall be proportionate to risk and shall incorporate privacy, cybersecurity, trade-secret, and data-minimization safeguards rather than creating an unrestricted repository of user activity. A material inability to identify the system or reconstruct a consequential decision may be considered in determining whether applicable accountability, evidence, or corrective-action duties have been satisfied.</w:t>
      </w:r>
    </w:p>
    <w:p>
      <w:pPr>
        <w:pStyle w:val="Normal"/>
        <w:rPr/>
      </w:pPr>
      <w:r>
        <w:rPr/>
      </w:r>
    </w:p>
    <w:p>
      <w:bookmarkStart w:id="1522" w:name="_NAESTMA_TOC_1522"/>
      <w:pPr>
        <w:pStyle w:val="Heading2"/>
        <w:keepNext/>
        <w:widowControl/>
        <w:rPr/>
      </w:pPr>
      <w:r>
        <w:rPr/>
        <w:t>Article 39.39: AI Output Verification and Hallucination Literacy</w:t>
      </w:r>
      <w:bookmarkEnd w:id="1522"/>
    </w:p>
    <w:p>
      <w:pPr>
        <w:pStyle w:val="Normal"/>
        <w:widowControl/>
        <w:rPr/>
      </w:pPr>
      <w:r>
        <w:rPr/>
        <w:t>1. [AI Output Verification and Hallucination Literacy] Fallibility literacy - The Parties shall promote public understanding that generative AI can produce fluent and confident outputs that are false, incomplete, outdated, fabricated, or unsupported. Literacy materials should explain that linguistic confidence, detail, citations, numerical precision, or repeated assertions do not by themselves establish factual reliability. Users should be encouraged to verify consequential claims against reliable independent evidence and to distinguish model output from an authenticated source record. Providers should avoid representing probabilistic or generated content as verified fact when the system lacks an adequate basis for that representation.</w:t>
      </w:r>
    </w:p>
    <w:p>
      <w:pPr>
        <w:pStyle w:val="Normal"/>
        <w:rPr/>
      </w:pPr>
      <w:r>
        <w:rPr/>
      </w:r>
    </w:p>
    <w:p>
      <w:pPr>
        <w:pStyle w:val="Normal"/>
        <w:widowControl/>
        <w:rPr/>
      </w:pPr>
      <w:r>
        <w:rPr/>
        <w:t>2. [AI Output Verification and Hallucination Literacy] Fabricated fact recognition - AI literacy initiatives should teach users to recognize fabricated facts, including invented events, quotations, statistics, legal provisions, scientific findings, and biographical details. Particular attention should be given to outputs that combine genuine names, dates, institutions, or documents with invented relationships or events because such mixtures can appear unusually credible. For consequential use, a user should be encouraged to confirm the claimed fact in an identified independent source rather than relying on the internal consistency of the AI response. A provider may use warnings, provenance cues, retrieval indicators, confidence limitations, or other proportionate design features to reduce foreseeable confusion.</w:t>
      </w:r>
    </w:p>
    <w:p>
      <w:pPr>
        <w:pStyle w:val="Normal"/>
        <w:rPr/>
      </w:pPr>
      <w:r>
        <w:rPr/>
      </w:r>
    </w:p>
    <w:p>
      <w:pPr>
        <w:pStyle w:val="Normal"/>
        <w:widowControl/>
        <w:rPr/>
      </w:pPr>
      <w:r>
        <w:rPr/>
        <w:t>3. [AI Output Verification and Hallucination Literacy] Fabricated citation recognition - The Parties shall promote literacy concerning fabricated or corrupted citations, including invented article titles, authors, case names, page numbers, links, quotations, and references to sources that do not contain the proposition attributed to them. Where an AI system presents a citation in a consequential factual task, users should be able, where reasonably practicable, to identify the cited source or be informed that the system cannot verify it. A citation shall not be treated as verified merely because it resembles a conventional scholarly, legal, journalistic, or technical reference. Education and professional training should emphasize opening the cited material, checking the relevant passage, and confirming that the source actually supports the claim.</w:t>
      </w:r>
    </w:p>
    <w:p>
      <w:pPr>
        <w:pStyle w:val="Normal"/>
        <w:rPr/>
      </w:pPr>
      <w:r>
        <w:rPr/>
      </w:r>
    </w:p>
    <w:p>
      <w:pPr>
        <w:pStyle w:val="Normal"/>
        <w:widowControl/>
        <w:rPr/>
      </w:pPr>
      <w:r>
        <w:rPr/>
        <w:t>4. [AI Output Verification and Hallucination Literacy] Confidence is not verification - The Parties recognize that apparent confidence, persuasive tone, repetition, detailed reasoning, or agreement across multiple generated passages does not establish that an AI output is true. Providers and deployers should avoid interface designs that materially encourage users to equate stylistic certainty with evidentiary certainty in consequential contexts. Where feasible, systems used for consequential factual work should communicate material uncertainty, missing evidence, or source limitations rather than silently filling gaps with generated content. Nothing in this paragraph requires a system to assign a numerical confidence score where such a score would itself be unreliable or misleading.</w:t>
      </w:r>
    </w:p>
    <w:p>
      <w:pPr>
        <w:pStyle w:val="Normal"/>
        <w:rPr/>
      </w:pPr>
      <w:r>
        <w:rPr/>
      </w:r>
    </w:p>
    <w:p>
      <w:pPr>
        <w:pStyle w:val="Normal"/>
        <w:widowControl/>
        <w:rPr/>
      </w:pPr>
      <w:r>
        <w:rPr/>
        <w:t>5. [AI Output Verification and Hallucination Literacy] Consequential-claim verification - A person or institution using generative AI for a consequential factual determination should apply verification proportionate to the possible harm from error. Healthcare, legal, financial, employment, educational, public-benefit, safety, critical-infrastructure, and comparable high-consequence uses should rely on qualified human review or authoritative evidence where applicable rather than unverified generation alone. The required verification may vary with urgency, available sources, professional standards, and the materiality of the claim. Failure to verify a material claim may be considered in assessing compliance with an otherwise applicable professional, regulatory, contractual, or legal duty, but this Part creates no universal negligence rule merely because AI was used.</w:t>
      </w:r>
    </w:p>
    <w:p>
      <w:pPr>
        <w:pStyle w:val="Normal"/>
        <w:rPr/>
      </w:pPr>
      <w:r>
        <w:rPr/>
      </w:r>
    </w:p>
    <w:p>
      <w:pPr>
        <w:pStyle w:val="Normal"/>
        <w:widowControl/>
        <w:rPr/>
      </w:pPr>
      <w:r>
        <w:rPr/>
        <w:t>6. [AI Output Verification and Hallucination Literacy] Knowing when AI does not know - AI literacy should not merely teach people how to operate AI; it should teach people how to know when AI does not know. Training should include recognizing absent or weak sources, contradictory answers, invented citations, unsupported certainty, context confusion, and requests that exceed the system's reliable knowledge or tool access. Users should be encouraged to seek independent verification, qualified human expertise, or a primary source when the consequence of error is material. Providers should support this literacy by making source status, retrieval status, and material limitations intelligible where technically practicable and appropriate to the use.</w:t>
      </w:r>
    </w:p>
    <w:p>
      <w:pPr>
        <w:pStyle w:val="Normal"/>
        <w:rPr/>
      </w:pPr>
      <w:r>
        <w:rPr/>
      </w:r>
    </w:p>
    <w:p>
      <w:bookmarkStart w:id="1523" w:name="_NAESTMA_TOC_1523"/>
      <w:pPr>
        <w:pStyle w:val="Heading2"/>
        <w:keepNext/>
        <w:widowControl/>
        <w:rPr/>
      </w:pPr>
      <w:r>
        <w:rPr/>
        <w:t>Article 39.40: Source-Boundary and Context Integrity</w:t>
      </w:r>
      <w:bookmarkEnd w:id="1523"/>
    </w:p>
    <w:p>
      <w:pPr>
        <w:pStyle w:val="Normal"/>
        <w:widowControl/>
        <w:rPr/>
      </w:pPr>
      <w:r>
        <w:rPr/>
        <w:t>1. [Source-Boundary and Context Integrity] Uploaded-document provenance - An AI system shall not treat the mere presence of information in an uploaded document as proof that the information is independently true. For consequential factual tasks, the system or surrounding workflow should, where technically practicable, distinguish claims derived from uploaded material from claims supported by independently retrieved or authenticated sources. The user should be able to determine whether the system is summarizing the supplied document, reasoning from it, or asserting that the same proposition is established outside the document. This distinction is especially important where a private draft, proposal, memorandum, simulation, or speculative document contains names, institutions, dates, or events that also exist in the real world.</w:t>
      </w:r>
    </w:p>
    <w:p>
      <w:pPr>
        <w:pStyle w:val="Normal"/>
        <w:rPr/>
      </w:pPr>
      <w:r>
        <w:rPr/>
      </w:r>
    </w:p>
    <w:p>
      <w:pPr>
        <w:pStyle w:val="Normal"/>
        <w:widowControl/>
        <w:rPr/>
      </w:pPr>
      <w:r>
        <w:rPr/>
        <w:t>2. [Source-Boundary and Context Integrity] User-supplied material distinction - Information supplied by a user, including prior messages, notes, datasets, instructions, and attachments, shall remain distinguishable from independently verified external evidence in consequential factual work. A system should not silently convert a user's assertion into an attributed external fact merely because the assertion remains in conversational context. Where a response relies materially on user-supplied information, the system should identify that dependence when failing to do so could reasonably mislead the user about provenance. Nothing in this paragraph prevents a system from accepting user-provided facts for drafting, analysis, simulation, or other tasks in which external verification is not requested or necessary.</w:t>
      </w:r>
    </w:p>
    <w:p>
      <w:pPr>
        <w:pStyle w:val="Normal"/>
        <w:rPr/>
      </w:pPr>
      <w:r>
        <w:rPr/>
      </w:r>
    </w:p>
    <w:p>
      <w:pPr>
        <w:pStyle w:val="Normal"/>
        <w:widowControl/>
        <w:rPr/>
      </w:pPr>
      <w:r>
        <w:rPr/>
        <w:t>3. [Source-Boundary and Context Integrity] Hypothetical and draft material - Hypothetical scenarios, treaty drafts, proposed legislation, fictional case files, simulations, planning documents, and other non-final material shall not be represented as enacted, adopted, negotiated, published, or otherwise real merely because the material is detailed or internally coherent. A system that combines such material with external information should preserve the boundary between the hypothetical or draft content and the independently established external facts. If the boundary becomes uncertain, the system should state the uncertainty or verify the claim before presenting it as real-world fact in a consequential context. This paragraph does not prevent hypothetical analysis, counterfactual reasoning, roleplay, forecasting, or scenario planning when the hypothetical character of the task is understood.</w:t>
      </w:r>
    </w:p>
    <w:p>
      <w:pPr>
        <w:pStyle w:val="Normal"/>
        <w:rPr/>
      </w:pPr>
      <w:r>
        <w:rPr/>
      </w:r>
    </w:p>
    <w:p>
      <w:pPr>
        <w:pStyle w:val="Normal"/>
        <w:widowControl/>
        <w:rPr/>
      </w:pPr>
      <w:r>
        <w:rPr/>
        <w:t>4. [Source-Boundary and Context Integrity] Fiction and roleplay boundary - Fictional, roleplayed, satirical, creative, or simulated content shall not be silently reclassified as factual merely because it includes real persons, institutions, places, dates, or technical terminology. Where a system later answers a factual question after extended fictional or roleplayed interaction, it should avoid carrying fictional premises forward as external facts unless the user clearly requests continuation of the fiction. Users should be taught that long conversations can create contextual contamination in which invented premises remain available to the model and may influence later answers. Providers may use context labeling, session controls, provenance indicators, or other proportionate measures to reduce this risk.</w:t>
      </w:r>
    </w:p>
    <w:p>
      <w:pPr>
        <w:pStyle w:val="Normal"/>
        <w:rPr/>
      </w:pPr>
      <w:r>
        <w:rPr/>
      </w:r>
    </w:p>
    <w:p>
      <w:pPr>
        <w:pStyle w:val="Normal"/>
        <w:widowControl/>
        <w:rPr/>
      </w:pPr>
      <w:r>
        <w:rPr/>
        <w:t>5. [Source-Boundary and Context Integrity] External-source verification - When a system represents that an external source supports a factual claim, the representation should be grounded in an identifiable source actually accessed or otherwise reliably known to support that claim. The system should not attribute a proposition to a news article, research paper, court decision, government publication, or other external source solely because similar information appeared in user-supplied context. Where direct source verification is unavailable, the system should say so rather than fabricating a citation or implying that verification occurred. For consequential use, the user should be encouraged to inspect the underlying source where reasonably practicable.</w:t>
      </w:r>
    </w:p>
    <w:p>
      <w:pPr>
        <w:pStyle w:val="Normal"/>
        <w:rPr/>
      </w:pPr>
      <w:r>
        <w:rPr/>
      </w:r>
    </w:p>
    <w:p>
      <w:pPr>
        <w:pStyle w:val="Normal"/>
        <w:widowControl/>
        <w:rPr/>
      </w:pPr>
      <w:r>
        <w:rPr/>
        <w:t>6. [Source-Boundary and Context Integrity] Possession of information is not verification - Access to a source does not establish the truth of its contents, and possession of information is not verification of information. Retrieval of information from user-supplied, hypothetical, draft, fictional, or contextual material does not convert that information into independently verified fact. Verification requires an evidentiary basis appropriate to the proposition and the consequence of error, which may include a primary source, authoritative record, reliable independent source, or qualified human review. Nothing in this paragraph prevents a system from accurately reporting what an unverified source says when the source and its status are clearly identified.</w:t>
      </w:r>
    </w:p>
    <w:p>
      <w:pPr>
        <w:pStyle w:val="Normal"/>
        <w:rPr/>
      </w:pPr>
      <w:r>
        <w:rPr/>
      </w:r>
    </w:p>
    <w:p>
      <w:bookmarkStart w:id="1524" w:name="_NAESTMA_TOC_1524"/>
      <w:pPr>
        <w:pStyle w:val="Heading2"/>
        <w:keepNext/>
        <w:widowControl/>
        <w:rPr/>
      </w:pPr>
      <w:r>
        <w:rPr/>
        <w:t>Article 39.41: Privacy, Data Minimization and Purpose Limitation</w:t>
      </w:r>
      <w:bookmarkEnd w:id="1524"/>
    </w:p>
    <w:p>
      <w:pPr>
        <w:pStyle w:val="Normal"/>
        <w:widowControl/>
        <w:rPr/>
      </w:pPr>
      <w:r>
        <w:rPr/>
        <w:t>1. [Privacy, Data Minimization and Purpose Limitation] AI data minimization - Each Party shall maintain or adopt safeguards governing AI-related personal or confidential data that are proportionate to the sensitivity that are proportionate to the sensitivity of the information, the reasonable expectations of affected persons, and the consequences of misuse or disclosure. Covered entities shall identify the lawful or otherwise permitted basis for collection and use, minimize unnecessary personal data, apply purpose and access controls, and retain records sufficient to investigate a material privacy or confidentiality failure. Nothing in this Part requires blanket data localization, public disclosure of confidential training data, or transfer of proprietary model weights, but a competent authority may obtain necessary information under applicable law and appropriate confidentiality protections. A verified leak, unlawful use, or material re-identification risk shall trigger containment, notice where required by law, correction or deletion where legally available, and measures reasonably designed to prevent recurrence.</w:t>
      </w:r>
    </w:p>
    <w:p>
      <w:pPr>
        <w:pStyle w:val="Normal"/>
        <w:rPr/>
      </w:pPr>
      <w:r>
        <w:rPr/>
      </w:r>
    </w:p>
    <w:p>
      <w:pPr>
        <w:pStyle w:val="Normal"/>
        <w:widowControl/>
        <w:rPr/>
      </w:pPr>
      <w:r>
        <w:rPr/>
        <w:t>2. [Privacy, Data Minimization and Purpose Limitation] Purpose limitation - Each Party shall maintain or adopt safeguards governing AI-related personal or confidential data that are proportionate to the sensitivity that are proportionate to the sensitivity of the information, the reasonable expectations of affected persons, and the consequences of misuse or disclosure. Covered entities shall identify the lawful or otherwise permitted basis for collection and use, minimize unnecessary personal data, apply purpose and access controls, and retain records sufficient to investigate a material privacy or confidentiality failure. Nothing in this Part requires blanket data localization, public disclosure of confidential training data, or transfer of proprietary model weights, but a competent authority may obtain necessary information under applicable law and appropriate confidentiality protections. A verified leak, unlawful use, or material re-identification risk shall trigger containment, notice where required by law, correction or deletion where legally available, and measures reasonably designed to prevent recurrence.</w:t>
      </w:r>
    </w:p>
    <w:p>
      <w:pPr>
        <w:pStyle w:val="Normal"/>
        <w:rPr/>
      </w:pPr>
      <w:r>
        <w:rPr/>
      </w:r>
    </w:p>
    <w:p>
      <w:pPr>
        <w:pStyle w:val="Normal"/>
        <w:widowControl/>
        <w:rPr/>
      </w:pPr>
      <w:r>
        <w:rPr/>
        <w:t>3. [Privacy, Data Minimization and Purpose Limitation] Sensitive-data handling - Each Party shall maintain or adopt safeguards governing AI-related personal or confidential data that are proportionate to the sensitivity that are proportionate to the sensitivity of the information, the reasonable expectations of affected persons, and the consequences of misuse or disclosure. Covered entities shall identify the lawful or otherwise permitted basis for collection and use, minimize unnecessary personal data, apply purpose and access controls, and retain records sufficient to investigate a material privacy or confidentiality failure. Nothing in this Part requires blanket data localization, public disclosure of confidential training data, or transfer of proprietary model weights, but a competent authority may obtain necessary information under applicable law and appropriate confidentiality protections. A verified leak, unlawful use, or material re-identification risk shall trigger containment, notice where required by law, correction or deletion where legally available, and measures reasonably designed to prevent recurrence.</w:t>
      </w:r>
    </w:p>
    <w:p>
      <w:pPr>
        <w:pStyle w:val="Normal"/>
        <w:rPr/>
      </w:pPr>
      <w:r>
        <w:rPr/>
      </w:r>
    </w:p>
    <w:p>
      <w:pPr>
        <w:pStyle w:val="Normal"/>
        <w:widowControl/>
        <w:rPr/>
      </w:pPr>
      <w:r>
        <w:rPr/>
        <w:t>4. [Privacy, Data Minimization and Purpose Limitation] Secondary-use controls - Each Party shall maintain or adopt safeguards governing AI-related personal or confidential data that are proportionate to the sensitivity that are proportionate to the sensitivity of the information, the reasonable expectations of affected persons, and the consequences of misuse or disclosure. Covered entities shall identify the lawful or otherwise permitted basis for collection and use, minimize unnecessary personal data, apply purpose and access controls, and retain records sufficient to investigate a material privacy or confidentiality failure. Nothing in this Part requires blanket data localization, public disclosure of confidential training data, or transfer of proprietary model weights, but a competent authority may obtain necessary information under applicable law and appropriate confidentiality protections. A verified leak, unlawful use, or material re-identification risk shall trigger containment, notice where required by law, correction or deletion where legally available, and measures reasonably designed to prevent recurrence.</w:t>
      </w:r>
    </w:p>
    <w:p>
      <w:pPr>
        <w:pStyle w:val="Normal"/>
        <w:rPr/>
      </w:pPr>
      <w:r>
        <w:rPr/>
      </w:r>
    </w:p>
    <w:p>
      <w:pPr>
        <w:pStyle w:val="Normal"/>
        <w:widowControl/>
        <w:rPr/>
      </w:pPr>
      <w:r>
        <w:rPr/>
        <w:t>5. [Privacy, Data Minimization and Purpose Limitation] Retention limitation - Each Party shall maintain or adopt safeguards governing AI-related personal or confidential data that are proportionate to the sensitivity that are proportionate to the sensitivity of the information, the reasonable expectations of affected persons, and the consequences of misuse or disclosure. Covered entities shall identify the lawful or otherwise permitted basis for collection and use, minimize unnecessary personal data, apply purpose and access controls, and retain records sufficient to investigate a material privacy or confidentiality failure. Nothing in this Part requires blanket data localization, public disclosure of confidential training data, or transfer of proprietary model weights, but a competent authority may obtain necessary information under applicable law and appropriate confidentiality protections. A verified leak, unlawful use, or material re-identification risk shall trigger containment, notice where required by law, correction or deletion where legally available, and measures reasonably designed to prevent recurrence.</w:t>
      </w:r>
    </w:p>
    <w:p>
      <w:pPr>
        <w:pStyle w:val="Normal"/>
        <w:rPr/>
      </w:pPr>
      <w:r>
        <w:rPr/>
      </w:r>
    </w:p>
    <w:p>
      <w:pPr>
        <w:pStyle w:val="Normal"/>
        <w:widowControl/>
        <w:rPr/>
      </w:pPr>
      <w:r>
        <w:rPr/>
        <w:t>6. [Privacy, Data Minimization and Purpose Limitation] Privacy-preserving design - Each Party shall maintain or adopt safeguards governing AI-related personal or confidential data that are proportionate to the sensitivity that are proportionate to the sensitivity of the information, the reasonable expectations of affected persons, and the consequences of misuse or disclosure. Covered entities shall identify the lawful or otherwise permitted basis for collection and use, minimize unnecessary personal data, apply purpose and access controls, and retain records sufficient to investigate a material privacy or confidentiality failure. Nothing in this Part requires blanket data localization, public disclosure of confidential training data, or transfer of proprietary model weights, but a competent authority may obtain necessary information under applicable law and appropriate confidentiality protections. A verified leak, unlawful use, or material re-identification risk shall trigger containment, notice where required by law, correction or deletion where legally available, and measures reasonably designed to prevent recurrence.</w:t>
      </w:r>
    </w:p>
    <w:p>
      <w:pPr>
        <w:pStyle w:val="Normal"/>
        <w:rPr/>
      </w:pPr>
      <w:r>
        <w:rPr/>
      </w:r>
    </w:p>
    <w:p>
      <w:bookmarkStart w:id="1525" w:name="_NAESTMA_TOC_1525"/>
      <w:pPr>
        <w:pStyle w:val="Heading2"/>
        <w:keepNext/>
        <w:widowControl/>
        <w:rPr/>
      </w:pPr>
      <w:r>
        <w:rPr/>
        <w:t>Article 39.42: Training Data Rights and Governance</w:t>
      </w:r>
      <w:bookmarkEnd w:id="1525"/>
    </w:p>
    <w:p>
      <w:pPr>
        <w:pStyle w:val="Normal"/>
        <w:widowControl/>
        <w:rPr/>
      </w:pPr>
      <w:r>
        <w:rPr/>
        <w:t>1. [Training Data Rights and Governance] Training-data provenance records - Each Party shall maintain or adopt safeguards governing AI-related personal or confidential data that are proportionate to the sensitivity that are proportionate to the sensitivity of the information, the reasonable expectations of affected persons, and the consequences of misuse or disclosure. Covered entities shall identify the lawful or otherwise permitted basis for collection and use, minimize unnecessary personal data, apply purpose and access controls, and retain records sufficient to investigate a material privacy or confidentiality failure. Nothing in this Part requires blanket data localization, public disclosure of confidential training data, or transfer of proprietary model weights, but a competent authority may obtain necessary information under applicable law and appropriate confidentiality protections. A verified leak, unlawful use, or material re-identification risk shall trigger containment, notice where required by law, correction or deletion where legally available, and measures reasonably designed to prevent recurrence.</w:t>
      </w:r>
    </w:p>
    <w:p>
      <w:pPr>
        <w:pStyle w:val="Normal"/>
        <w:rPr/>
      </w:pPr>
      <w:r>
        <w:rPr/>
      </w:r>
    </w:p>
    <w:p>
      <w:pPr>
        <w:pStyle w:val="Normal"/>
        <w:widowControl/>
        <w:rPr/>
      </w:pPr>
      <w:r>
        <w:rPr/>
        <w:t>2. [Training Data Rights and Governance] Lawful-basis documentation - Each Party shall maintain or adopt safeguards governing AI-related personal or confidential data that are proportionate to the sensitivity that are proportionate to the sensitivity of the information, the reasonable expectations of affected persons, and the consequences of misuse or disclosure. Covered entities shall identify the lawful or otherwise permitted basis for collection and use, minimize unnecessary personal data, apply purpose and access controls, and retain records sufficient to investigate a material privacy or confidentiality failure. Nothing in this Part requires blanket data localization, public disclosure of confidential training data, or transfer of proprietary model weights, but a competent authority may obtain necessary information under applicable law and appropriate confidentiality protections. A verified leak, unlawful use, or material re-identification risk shall trigger containment, notice where required by law, correction or deletion where legally available, and measures reasonably designed to prevent recurrence.</w:t>
      </w:r>
    </w:p>
    <w:p>
      <w:pPr>
        <w:pStyle w:val="Normal"/>
        <w:rPr/>
      </w:pPr>
      <w:r>
        <w:rPr/>
      </w:r>
    </w:p>
    <w:p>
      <w:pPr>
        <w:pStyle w:val="Normal"/>
        <w:widowControl/>
        <w:rPr/>
      </w:pPr>
      <w:r>
        <w:rPr/>
        <w:t>3. [Training Data Rights and Governance] Consumer choice where applicable - Each Party shall maintain or adopt safeguards governing AI-related personal or confidential data that are proportionate to the sensitivity that are proportionate to the sensitivity of the information, the reasonable expectations of affected persons, and the consequences of misuse or disclosure. Covered entities shall identify the lawful or otherwise permitted basis for collection and use, minimize unnecessary personal data, apply purpose and access controls, and retain records sufficient to investigate a material privacy or confidentiality failure. Nothing in this Part requires blanket data localization, public disclosure of confidential training data, or transfer of proprietary model weights, but a competent authority may obtain necessary information under applicable law and appropriate confidentiality protections. A verified leak, unlawful use, or material re-identification risk shall trigger containment, notice where required by law, correction or deletion where legally available, and measures reasonably designed to prevent recurrence.</w:t>
      </w:r>
    </w:p>
    <w:p>
      <w:pPr>
        <w:pStyle w:val="Normal"/>
        <w:rPr/>
      </w:pPr>
      <w:r>
        <w:rPr/>
      </w:r>
    </w:p>
    <w:p>
      <w:pPr>
        <w:pStyle w:val="Normal"/>
        <w:widowControl/>
        <w:rPr/>
      </w:pPr>
      <w:r>
        <w:rPr/>
        <w:t>4. [Training Data Rights and Governance] Sensitive-category controls - Each Party shall maintain or adopt safeguards governing AI-related personal or confidential data that are proportionate to the sensitivity that are proportionate to the sensitivity of the information, the reasonable expectations of affected persons, and the consequences of misuse or disclosure. Covered entities shall identify the lawful or otherwise permitted basis for collection and use, minimize unnecessary personal data, apply purpose and access controls, and retain records sufficient to investigate a material privacy or confidentiality failure. Nothing in this Part requires blanket data localization, public disclosure of confidential training data, or transfer of proprietary model weights, but a competent authority may obtain necessary information under applicable law and appropriate confidentiality protections. A verified leak, unlawful use, or material re-identification risk shall trigger containment, notice where required by law, correction or deletion where legally available, and measures reasonably designed to prevent recurrence.</w:t>
      </w:r>
    </w:p>
    <w:p>
      <w:pPr>
        <w:pStyle w:val="Normal"/>
        <w:rPr/>
      </w:pPr>
      <w:r>
        <w:rPr/>
      </w:r>
    </w:p>
    <w:p>
      <w:pPr>
        <w:pStyle w:val="Normal"/>
        <w:widowControl/>
        <w:rPr/>
      </w:pPr>
      <w:r>
        <w:rPr/>
        <w:t>5. [Training Data Rights and Governance] Data quality and labeling - Each Party shall maintain or adopt safeguards governing AI-related personal or confidential data that are proportionate to the sensitivity that are proportionate to the sensitivity of the information, the reasonable expectations of affected persons, and the consequences of misuse or disclosure. Covered entities shall identify the lawful or otherwise permitted basis for collection and use, minimize unnecessary personal data, apply purpose and access controls, and retain records sufficient to investigate a material privacy or confidentiality failure. Nothing in this Part requires blanket data localization, public disclosure of confidential training data, or transfer of proprietary model weights, but a competent authority may obtain necessary information under applicable law and appropriate confidentiality protections. A verified leak, unlawful use, or material re-identification risk shall trigger containment, notice where required by law, correction or deletion where legally available, and measures reasonably designed to prevent recurrence.</w:t>
      </w:r>
    </w:p>
    <w:p>
      <w:pPr>
        <w:pStyle w:val="Normal"/>
        <w:rPr/>
      </w:pPr>
      <w:r>
        <w:rPr/>
      </w:r>
    </w:p>
    <w:p>
      <w:pPr>
        <w:pStyle w:val="Normal"/>
        <w:widowControl/>
        <w:rPr/>
      </w:pPr>
      <w:r>
        <w:rPr/>
        <w:t>6. [Training Data Rights and Governance] Legacy-data remediation - Each Party shall maintain or adopt safeguards governing AI-related personal or confidential data that are proportionate to the sensitivity that are proportionate to the sensitivity of the information, the reasonable expectations of affected persons, and the consequences of misuse or disclosure. Covered entities shall identify the lawful or otherwise permitted basis for collection and use, minimize unnecessary personal data, apply purpose and access controls, and retain records sufficient to investigate a material privacy or confidentiality failure. Nothing in this Part requires blanket data localization, public disclosure of confidential training data, or transfer of proprietary model weights, but a competent authority may obtain necessary information under applicable law and appropriate confidentiality protections. A verified leak, unlawful use, or material re-identification risk shall trigger containment, notice where required by law, correction or deletion where legally available, and measures reasonably designed to prevent recurrence.</w:t>
      </w:r>
    </w:p>
    <w:p>
      <w:pPr>
        <w:pStyle w:val="Normal"/>
        <w:rPr/>
      </w:pPr>
      <w:r>
        <w:rPr/>
      </w:r>
    </w:p>
    <w:p>
      <w:bookmarkStart w:id="1526" w:name="_NAESTMA_TOC_1526"/>
      <w:pPr>
        <w:pStyle w:val="Heading2"/>
        <w:keepNext/>
        <w:widowControl/>
        <w:rPr/>
      </w:pPr>
      <w:r>
        <w:rPr/>
        <w:t>Article 39.43: Model Memorization, Leakage and Confidentiality</w:t>
      </w:r>
      <w:bookmarkEnd w:id="1526"/>
    </w:p>
    <w:p>
      <w:pPr>
        <w:pStyle w:val="Normal"/>
        <w:widowControl/>
        <w:rPr/>
      </w:pPr>
      <w:r>
        <w:rPr/>
        <w:t>1. [Model Memorization, Leakage and Confidentiality] Memorization-risk testing - Each Party shall maintain or adopt safeguards governing AI-related personal or confidential data that are proportionate to the sensitivity that are proportionate to the sensitivity of the information, the reasonable expectations of affected persons, and the consequences of misuse or disclosure. Covered entities shall identify the lawful or otherwise permitted basis for collection and use, minimize unnecessary personal data, apply purpose and access controls, and retain records sufficient to investigate a material privacy or confidentiality failure. Nothing in this Part requires blanket data localization, public disclosure of confidential training data, or transfer of proprietary model weights, but a competent authority may obtain necessary information under applicable law and appropriate confidentiality protections. A verified leak, unlawful use, or material re-identification risk shall trigger containment, notice where required by law, correction or deletion where legally available, and measures reasonably designed to prevent recurrence.</w:t>
      </w:r>
    </w:p>
    <w:p>
      <w:pPr>
        <w:pStyle w:val="Normal"/>
        <w:rPr/>
      </w:pPr>
      <w:r>
        <w:rPr/>
      </w:r>
    </w:p>
    <w:p>
      <w:pPr>
        <w:pStyle w:val="Normal"/>
        <w:widowControl/>
        <w:rPr/>
      </w:pPr>
      <w:r>
        <w:rPr/>
        <w:t>2. [Model Memorization, Leakage and Confidentiality] Personal-data leakage controls - Each Party shall maintain or adopt safeguards governing AI-related personal or confidential data that are proportionate to the sensitivity that are proportionate to the sensitivity of the information, the reasonable expectations of affected persons, and the consequences of misuse or disclosure. Covered entities shall identify the lawful or otherwise permitted basis for collection and use, minimize unnecessary personal data, apply purpose and access controls, and retain records sufficient to investigate a material privacy or confidentiality failure. Nothing in this Part requires blanket data localization, public disclosure of confidential training data, or transfer of proprietary model weights, but a competent authority may obtain necessary information under applicable law and appropriate confidentiality protections. A verified leak, unlawful use, or material re-identification risk shall trigger containment, notice where required by law, correction or deletion where legally available, and measures reasonably designed to prevent recurrence.</w:t>
      </w:r>
    </w:p>
    <w:p>
      <w:pPr>
        <w:pStyle w:val="Normal"/>
        <w:rPr/>
      </w:pPr>
      <w:r>
        <w:rPr/>
      </w:r>
    </w:p>
    <w:p>
      <w:pPr>
        <w:pStyle w:val="Normal"/>
        <w:widowControl/>
        <w:rPr/>
      </w:pPr>
      <w:r>
        <w:rPr/>
        <w:t>3. [Model Memorization, Leakage and Confidentiality] Confidential business information - Each Party shall maintain or adopt safeguards governing AI-related personal or confidential data that are proportionate to the sensitivity that are proportionate to the sensitivity of the information, the reasonable expectations of affected persons, and the consequences of misuse or disclosure. Covered entities shall identify the lawful or otherwise permitted basis for collection and use, minimize unnecessary personal data, apply purpose and access controls, and retain records sufficient to investigate a material privacy or confidentiality failure. Nothing in this Part requires blanket data localization, public disclosure of confidential training data, or transfer of proprietary model weights, but a competent authority may obtain necessary information under applicable law and appropriate confidentiality protections. A verified leak, unlawful use, or material re-identification risk shall trigger containment, notice where required by law, correction or deletion where legally available, and measures reasonably designed to prevent recurrence.</w:t>
      </w:r>
    </w:p>
    <w:p>
      <w:pPr>
        <w:pStyle w:val="Normal"/>
        <w:rPr/>
      </w:pPr>
      <w:r>
        <w:rPr/>
      </w:r>
    </w:p>
    <w:p>
      <w:pPr>
        <w:pStyle w:val="Normal"/>
        <w:widowControl/>
        <w:rPr/>
      </w:pPr>
      <w:r>
        <w:rPr/>
        <w:t>4. [Model Memorization, Leakage and Confidentiality] Prompt and conversation confidentiality - Each Party shall maintain or adopt safeguards governing AI-related personal or confidential data that are proportionate to the sensitivity that are proportionate to the sensitivity of the information, the reasonable expectations of affected persons, and the consequences of misuse or disclosure. Covered entities shall identify the lawful or otherwise permitted basis for collection and use, minimize unnecessary personal data, apply purpose and access controls, and retain records sufficient to investigate a material privacy or confidentiality failure. Nothing in this Part requires blanket data localization, public disclosure of confidential training data, or transfer of proprietary model weights, but a competent authority may obtain necessary information under applicable law and appropriate confidentiality protections. A verified leak, unlawful use, or material re-identification risk shall trigger containment, notice where required by law, correction or deletion where legally available, and measures reasonably designed to prevent recurrence.</w:t>
      </w:r>
    </w:p>
    <w:p>
      <w:pPr>
        <w:pStyle w:val="Normal"/>
        <w:rPr/>
      </w:pPr>
      <w:r>
        <w:rPr/>
      </w:r>
    </w:p>
    <w:p>
      <w:pPr>
        <w:pStyle w:val="Normal"/>
        <w:widowControl/>
        <w:rPr/>
      </w:pPr>
      <w:r>
        <w:rPr/>
        <w:t>5. [Model Memorization, Leakage and Confidentiality] Extraction-risk mitigation - Each Party shall maintain or adopt safeguards governing AI-related personal or confidential data that are proportionate to the sensitivity that are proportionate to the sensitivity of the information, the reasonable expectations of affected persons, and the consequences of misuse or disclosure. Covered entities shall identify the lawful or otherwise permitted basis for collection and use, minimize unnecessary personal data, apply purpose and access controls, and retain records sufficient to investigate a material privacy or confidentiality failure. Nothing in this Part requires blanket data localization, public disclosure of confidential training data, or transfer of proprietary model weights, but a competent authority may obtain necessary information under applicable law and appropriate confidentiality protections. A verified leak, unlawful use, or material re-identification risk shall trigger containment, notice where required by law, correction or deletion where legally available, and measures reasonably designed to prevent recurrence.</w:t>
      </w:r>
    </w:p>
    <w:p>
      <w:pPr>
        <w:pStyle w:val="Normal"/>
        <w:rPr/>
      </w:pPr>
      <w:r>
        <w:rPr/>
      </w:r>
    </w:p>
    <w:p>
      <w:pPr>
        <w:pStyle w:val="Normal"/>
        <w:widowControl/>
        <w:rPr/>
      </w:pPr>
      <w:r>
        <w:rPr/>
        <w:t>6. [Model Memorization, Leakage and Confidentiality] Remediation after verified leakage - Each Party shall maintain or adopt safeguards governing AI-related personal or confidential data that are proportionate to the sensitivity that are proportionate to the sensitivity of the information, the reasonable expectations of affected persons, and the consequences of misuse or disclosure. Covered entities shall identify the lawful or otherwise permitted basis for collection and use, minimize unnecessary personal data, apply purpose and access controls, and retain records sufficient to investigate a material privacy or confidentiality failure. Nothing in this Part requires blanket data localization, public disclosure of confidential training data, or transfer of proprietary model weights, but a competent authority may obtain necessary information under applicable law and appropriate confidentiality protections. A verified leak, unlawful use, or material re-identification risk shall trigger containment, notice where required by law, correction or deletion where legally available, and measures reasonably designed to prevent recurrence.</w:t>
      </w:r>
    </w:p>
    <w:p>
      <w:pPr>
        <w:pStyle w:val="Normal"/>
        <w:rPr/>
      </w:pPr>
      <w:r>
        <w:rPr/>
      </w:r>
    </w:p>
    <w:p>
      <w:bookmarkStart w:id="1527" w:name="_NAESTMA_TOC_1527"/>
      <w:pPr>
        <w:pStyle w:val="Heading2"/>
        <w:keepNext/>
        <w:widowControl/>
        <w:rPr/>
      </w:pPr>
      <w:r>
        <w:rPr/>
        <w:t>Article 39.44: Biometrics and Persistent Identity</w:t>
      </w:r>
      <w:bookmarkEnd w:id="1527"/>
    </w:p>
    <w:p>
      <w:pPr>
        <w:pStyle w:val="Normal"/>
        <w:widowControl/>
        <w:rPr/>
      </w:pPr>
      <w:r>
        <w:rPr/>
        <w:t>1. [Biometrics and Persistent Identity] Biometric proportionality - Each Party shall regulate the biometric, identity, or synthetic-media risk identified in this paragraph where an AI system creates a material risk where an AI system creates a material risk of identity fraud, nonconsensual biometric exploitation, deceptive impersonation, or other concrete harm. Covered rules shall distinguish persistent biometric identifiers and materially deceptive synthetic representations from ordinary editing, satire, parody, fiction, clearly signaled roleplay, and other protected or legitimate expression. A provider or deployer shall use proportionate consent, provenance, access-control, labeling, or correction mechanisms suited to the risk and shall not remove or falsify authenticity information for the purpose of deceiving a person in a consequential context. Nothing in this Part authorizes a general government power to determine truth, suppress lawful political expression, or require universal identity verification for low-risk creative uses.</w:t>
      </w:r>
    </w:p>
    <w:p>
      <w:pPr>
        <w:pStyle w:val="Normal"/>
        <w:rPr/>
      </w:pPr>
      <w:r>
        <w:rPr/>
      </w:r>
    </w:p>
    <w:p>
      <w:pPr>
        <w:pStyle w:val="Normal"/>
        <w:widowControl/>
        <w:rPr/>
      </w:pPr>
      <w:r>
        <w:rPr/>
        <w:t>2. [Biometrics and Persistent Identity] Consent and lawful authority - Each Party shall regulate the biometric, identity, or synthetic-media risk identified in this paragraph where an AI system creates a material risk where an AI system creates a material risk of identity fraud, nonconsensual biometric exploitation, deceptive impersonation, or other concrete harm. Covered rules shall distinguish persistent biometric identifiers and materially deceptive synthetic representations from ordinary editing, satire, parody, fiction, clearly signaled roleplay, and other protected or legitimate expression. A provider or deployer shall use proportionate consent, provenance, access-control, labeling, or correction mechanisms suited to the risk and shall not remove or falsify authenticity information for the purpose of deceiving a person in a consequential context. Nothing in this Part authorizes a general government power to determine truth, suppress lawful political expression, or require universal identity verification for low-risk creative uses.</w:t>
      </w:r>
    </w:p>
    <w:p>
      <w:pPr>
        <w:pStyle w:val="Normal"/>
        <w:rPr/>
      </w:pPr>
      <w:r>
        <w:rPr/>
      </w:r>
    </w:p>
    <w:p>
      <w:pPr>
        <w:pStyle w:val="Normal"/>
        <w:widowControl/>
        <w:rPr/>
      </w:pPr>
      <w:r>
        <w:rPr/>
        <w:t>3. [Biometrics and Persistent Identity] Persistent identifier safeguards - Each Party shall regulate the biometric, identity, or synthetic-media risk identified in this paragraph where an AI system creates a material risk where an AI system creates a material risk of identity fraud, nonconsensual biometric exploitation, deceptive impersonation, or other concrete harm. Covered rules shall distinguish persistent biometric identifiers and materially deceptive synthetic representations from ordinary editing, satire, parody, fiction, clearly signaled roleplay, and other protected or legitimate expression. A provider or deployer shall use proportionate consent, provenance, access-control, labeling, or correction mechanisms suited to the risk and shall not remove or falsify authenticity information for the purpose of deceiving a person in a consequential context. Nothing in this Part authorizes a general government power to determine truth, suppress lawful political expression, or require universal identity verification for low-risk creative uses.</w:t>
      </w:r>
    </w:p>
    <w:p>
      <w:pPr>
        <w:pStyle w:val="Normal"/>
        <w:rPr/>
      </w:pPr>
      <w:r>
        <w:rPr/>
      </w:r>
    </w:p>
    <w:p>
      <w:pPr>
        <w:pStyle w:val="Normal"/>
        <w:widowControl/>
        <w:rPr/>
      </w:pPr>
      <w:r>
        <w:rPr/>
        <w:t>4. [Biometrics and Persistent Identity] Emotion inference restraint - Each Party shall regulate the biometric, identity, or synthetic-media risk identified in this paragraph where an AI system creates a material risk where an AI system creates a material risk of identity fraud, nonconsensual biometric exploitation, deceptive impersonation, or other concrete harm. Covered rules shall distinguish persistent biometric identifiers and materially deceptive synthetic representations from ordinary editing, satire, parody, fiction, clearly signaled roleplay, and other protected or legitimate expression. A provider or deployer shall use proportionate consent, provenance, access-control, labeling, or correction mechanisms suited to the risk and shall not remove or falsify authenticity information for the purpose of deceiving a person in a consequential context. Nothing in this Part authorizes a general government power to determine truth, suppress lawful political expression, or require universal identity verification for low-risk creative uses.</w:t>
      </w:r>
    </w:p>
    <w:p>
      <w:pPr>
        <w:pStyle w:val="Normal"/>
        <w:rPr/>
      </w:pPr>
      <w:r>
        <w:rPr/>
      </w:r>
    </w:p>
    <w:p>
      <w:pPr>
        <w:pStyle w:val="Normal"/>
        <w:widowControl/>
        <w:rPr/>
      </w:pPr>
      <w:r>
        <w:rPr/>
        <w:t>5. [Biometrics and Persistent Identity] Biometric access controls - Each Party shall regulate the biometric, identity, or synthetic-media risk identified in this paragraph where an AI system creates a material risk where an AI system creates a material risk of identity fraud, nonconsensual biometric exploitation, deceptive impersonation, or other concrete harm. Covered rules shall distinguish persistent biometric identifiers and materially deceptive synthetic representations from ordinary editing, satire, parody, fiction, clearly signaled roleplay, and other protected or legitimate expression. A provider or deployer shall use proportionate consent, provenance, access-control, labeling, or correction mechanisms suited to the risk and shall not remove or falsify authenticity information for the purpose of deceiving a person in a consequential context. Nothing in this Part authorizes a general government power to determine truth, suppress lawful political expression, or require universal identity verification for low-risk creative uses.</w:t>
      </w:r>
    </w:p>
    <w:p>
      <w:pPr>
        <w:pStyle w:val="Normal"/>
        <w:rPr/>
      </w:pPr>
      <w:r>
        <w:rPr/>
      </w:r>
    </w:p>
    <w:p>
      <w:pPr>
        <w:pStyle w:val="Normal"/>
        <w:widowControl/>
        <w:rPr/>
      </w:pPr>
      <w:r>
        <w:rPr/>
        <w:t>6. [Biometrics and Persistent Identity] Deletion and retention safeguards - Each Party shall regulate the biometric, identity, or synthetic-media risk identified in this paragraph where an AI system creates a material risk where an AI system creates a material risk of identity fraud, nonconsensual biometric exploitation, deceptive impersonation, or other concrete harm. Covered rules shall distinguish persistent biometric identifiers and materially deceptive synthetic representations from ordinary editing, satire, parody, fiction, clearly signaled roleplay, and other protected or legitimate expression. A provider or deployer shall use proportionate consent, provenance, access-control, labeling, or correction mechanisms suited to the risk and shall not remove or falsify authenticity information for the purpose of deceiving a person in a consequential context. Nothing in this Part authorizes a general government power to determine truth, suppress lawful political expression, or require universal identity verification for low-risk creative uses.</w:t>
      </w:r>
    </w:p>
    <w:p>
      <w:pPr>
        <w:pStyle w:val="Normal"/>
        <w:rPr/>
      </w:pPr>
      <w:r>
        <w:rPr/>
      </w:r>
    </w:p>
    <w:p>
      <w:bookmarkStart w:id="1528" w:name="_NAESTMA_TOC_1528"/>
      <w:pPr>
        <w:pStyle w:val="Heading2"/>
        <w:keepNext/>
        <w:widowControl/>
        <w:rPr/>
      </w:pPr>
      <w:r>
        <w:rPr/>
        <w:t>Article 39.45: Synthetic Media, Authenticity and Provenance</w:t>
      </w:r>
      <w:bookmarkEnd w:id="1528"/>
    </w:p>
    <w:p>
      <w:pPr>
        <w:pStyle w:val="Normal"/>
        <w:widowControl/>
        <w:rPr/>
      </w:pPr>
      <w:r>
        <w:rPr/>
        <w:t>1. [Synthetic Media, Authenticity and Provenance] Material synthetic-content disclosure - Each Party shall regulate the biometric, identity, or synthetic-media risk identified in this paragraph where an AI system creates a material risk where an AI system creates a material risk of identity fraud, nonconsensual biometric exploitation, deceptive impersonation, or other concrete harm. Covered rules shall distinguish persistent biometric identifiers and materially deceptive synthetic representations from ordinary editing, satire, parody, fiction, clearly signaled roleplay, and other protected or legitimate expression. A provider or deployer shall use proportionate consent, provenance, access-control, labeling, or correction mechanisms suited to the risk and shall not remove or falsify authenticity information for the purpose of deceiving a person in a consequential context. Nothing in this Part authorizes a general government power to determine truth, suppress lawful political expression, or require universal identity verification for low-risk creative uses.</w:t>
      </w:r>
    </w:p>
    <w:p>
      <w:pPr>
        <w:pStyle w:val="Normal"/>
        <w:rPr/>
      </w:pPr>
      <w:r>
        <w:rPr/>
      </w:r>
    </w:p>
    <w:p>
      <w:pPr>
        <w:pStyle w:val="Normal"/>
        <w:widowControl/>
        <w:rPr/>
      </w:pPr>
      <w:r>
        <w:rPr/>
        <w:t>2. [Synthetic Media, Authenticity and Provenance] Provenance metadata - Each Party shall regulate the biometric, identity, or synthetic-media risk identified in this paragraph where an AI system creates a material risk where an AI system creates a material risk of identity fraud, nonconsensual biometric exploitation, deceptive impersonation, or other concrete harm. Covered rules shall distinguish persistent biometric identifiers and materially deceptive synthetic representations from ordinary editing, satire, parody, fiction, clearly signaled roleplay, and other protected or legitimate expression. A provider or deployer shall use proportionate consent, provenance, access-control, labeling, or correction mechanisms suited to the risk and shall not remove or falsify authenticity information for the purpose of deceiving a person in a consequential context. Nothing in this Part authorizes a general government power to determine truth, suppress lawful political expression, or require universal identity verification for low-risk creative uses.</w:t>
      </w:r>
    </w:p>
    <w:p>
      <w:pPr>
        <w:pStyle w:val="Normal"/>
        <w:rPr/>
      </w:pPr>
      <w:r>
        <w:rPr/>
      </w:r>
    </w:p>
    <w:p>
      <w:pPr>
        <w:pStyle w:val="Normal"/>
        <w:widowControl/>
        <w:rPr/>
      </w:pPr>
      <w:r>
        <w:rPr/>
        <w:t>3. [Synthetic Media, Authenticity and Provenance] Tamper resistance - Each Party shall regulate the biometric, identity, or synthetic-media risk identified in this paragraph where an AI system creates a material risk where an AI system creates a material risk of identity fraud, nonconsensual biometric exploitation, deceptive impersonation, or other concrete harm. Covered rules shall distinguish persistent biometric identifiers and materially deceptive synthetic representations from ordinary editing, satire, parody, fiction, clearly signaled roleplay, and other protected or legitimate expression. A provider or deployer shall use proportionate consent, provenance, access-control, labeling, or correction mechanisms suited to the risk and shall not remove or falsify authenticity information for the purpose of deceiving a person in a consequential context. Nothing in this Part authorizes a general government power to determine truth, suppress lawful political expression, or require universal identity verification for low-risk creative uses.</w:t>
      </w:r>
    </w:p>
    <w:p>
      <w:pPr>
        <w:pStyle w:val="Normal"/>
        <w:rPr/>
      </w:pPr>
      <w:r>
        <w:rPr/>
      </w:r>
    </w:p>
    <w:p>
      <w:pPr>
        <w:pStyle w:val="Normal"/>
        <w:widowControl/>
        <w:rPr/>
      </w:pPr>
      <w:r>
        <w:rPr/>
        <w:t>4. [Synthetic Media, Authenticity and Provenance] News and evidentiary contexts - Each Party shall regulate the biometric, identity, or synthetic-media risk identified in this paragraph where an AI system creates a material risk where an AI system creates a material risk of identity fraud, nonconsensual biometric exploitation, deceptive impersonation, or other concrete harm. Covered rules shall distinguish persistent biometric identifiers and materially deceptive synthetic representations from ordinary editing, satire, parody, fiction, clearly signaled roleplay, and other protected or legitimate expression. A provider or deployer shall use proportionate consent, provenance, access-control, labeling, or correction mechanisms suited to the risk and shall not remove or falsify authenticity information for the purpose of deceiving a person in a consequential context. Nothing in this Part authorizes a general government power to determine truth, suppress lawful political expression, or require universal identity verification for low-risk creative uses.</w:t>
      </w:r>
    </w:p>
    <w:p>
      <w:pPr>
        <w:pStyle w:val="Normal"/>
        <w:rPr/>
      </w:pPr>
      <w:r>
        <w:rPr/>
      </w:r>
    </w:p>
    <w:p>
      <w:pPr>
        <w:pStyle w:val="Normal"/>
        <w:widowControl/>
        <w:rPr/>
      </w:pPr>
      <w:r>
        <w:rPr/>
        <w:t>5. [Synthetic Media, Authenticity and Provenance] Expression and parody firewall - Each Party shall regulate the biometric, identity, or synthetic-media risk identified in this paragraph where an AI system creates a material risk where an AI system creates a material risk of identity fraud, nonconsensual biometric exploitation, deceptive impersonation, or other concrete harm. Covered rules shall distinguish persistent biometric identifiers and materially deceptive synthetic representations from ordinary editing, satire, parody, fiction, clearly signaled roleplay, and other protected or legitimate expression. A provider or deployer shall use proportionate consent, provenance, access-control, labeling, or correction mechanisms suited to the risk and shall not remove or falsify authenticity information for the purpose of deceiving a person in a consequential context. Nothing in this Part authorizes a general government power to determine truth, suppress lawful political expression, or require universal identity verification for low-risk creative uses.</w:t>
      </w:r>
    </w:p>
    <w:p>
      <w:pPr>
        <w:pStyle w:val="Normal"/>
        <w:rPr/>
      </w:pPr>
      <w:r>
        <w:rPr/>
      </w:r>
    </w:p>
    <w:p>
      <w:pPr>
        <w:pStyle w:val="Normal"/>
        <w:widowControl/>
        <w:rPr/>
      </w:pPr>
      <w:r>
        <w:rPr/>
        <w:t>6. [Synthetic Media, Authenticity and Provenance] Removal of deceptive provenance markers - Each Party shall regulate the biometric, identity, or synthetic-media risk identified in this paragraph where an AI system creates a material risk where an AI system creates a material risk of identity fraud, nonconsensual biometric exploitation, deceptive impersonation, or other concrete harm. Covered rules shall distinguish persistent biometric identifiers and materially deceptive synthetic representations from ordinary editing, satire, parody, fiction, clearly signaled roleplay, and other protected or legitimate expression. A provider or deployer shall use proportionate consent, provenance, access-control, labeling, or correction mechanisms suited to the risk and shall not remove or falsify authenticity information for the purpose of deceiving a person in a consequential context. Nothing in this Part authorizes a general government power to determine truth, suppress lawful political expression, or require universal identity verification for low-risk creative uses.</w:t>
      </w:r>
    </w:p>
    <w:p>
      <w:pPr>
        <w:pStyle w:val="Normal"/>
        <w:rPr/>
      </w:pPr>
      <w:r>
        <w:rPr/>
      </w:r>
    </w:p>
    <w:p>
      <w:bookmarkStart w:id="1529" w:name="_NAESTMA_TOC_1529"/>
      <w:pPr>
        <w:pStyle w:val="Heading2"/>
        <w:keepNext/>
        <w:widowControl/>
        <w:rPr/>
      </w:pPr>
      <w:r>
        <w:rPr/>
        <w:t>Article 39.46: Impersonation, Voice Cloning and Deepfake Harm</w:t>
      </w:r>
      <w:bookmarkEnd w:id="1529"/>
    </w:p>
    <w:p>
      <w:pPr>
        <w:pStyle w:val="Normal"/>
        <w:widowControl/>
        <w:rPr/>
      </w:pPr>
      <w:r>
        <w:rPr/>
        <w:t>1. [Impersonation, Voice Cloning and Deepfake Harm] Unauthorized identity cloning - Each Party shall regulate the biometric, identity, or synthetic-media risk identified in this paragraph where an AI system creates a material risk where an AI system creates a material risk of identity fraud, nonconsensual biometric exploitation, deceptive impersonation, or other concrete harm. Covered rules shall distinguish persistent biometric identifiers and materially deceptive synthetic representations from ordinary editing, satire, parody, fiction, clearly signaled roleplay, and other protected or legitimate expression. A provider or deployer shall use proportionate consent, provenance, access-control, labeling, or correction mechanisms suited to the risk and shall not remove or falsify authenticity information for the purpose of deceiving a person in a consequential context. Nothing in this Part authorizes a general government power to determine truth, suppress lawful political expression, or require universal identity verification for low-risk creative uses.</w:t>
      </w:r>
    </w:p>
    <w:p>
      <w:pPr>
        <w:pStyle w:val="Normal"/>
        <w:rPr/>
      </w:pPr>
      <w:r>
        <w:rPr/>
      </w:r>
    </w:p>
    <w:p>
      <w:pPr>
        <w:pStyle w:val="Normal"/>
        <w:widowControl/>
        <w:rPr/>
      </w:pPr>
      <w:r>
        <w:rPr/>
        <w:t>2. [Impersonation, Voice Cloning and Deepfake Harm] Fraudulent impersonation - Each Party shall regulate the biometric, identity, or synthetic-media risk identified in this paragraph where an AI system creates a material risk where an AI system creates a material risk of identity fraud, nonconsensual biometric exploitation, deceptive impersonation, or other concrete harm. Covered rules shall distinguish persistent biometric identifiers and materially deceptive synthetic representations from ordinary editing, satire, parody, fiction, clearly signaled roleplay, and other protected or legitimate expression. A provider or deployer shall use proportionate consent, provenance, access-control, labeling, or correction mechanisms suited to the risk and shall not remove or falsify authenticity information for the purpose of deceiving a person in a consequential context. Nothing in this Part authorizes a general government power to determine truth, suppress lawful political expression, or require universal identity verification for low-risk creative uses.</w:t>
      </w:r>
    </w:p>
    <w:p>
      <w:pPr>
        <w:pStyle w:val="Normal"/>
        <w:rPr/>
      </w:pPr>
      <w:r>
        <w:rPr/>
      </w:r>
    </w:p>
    <w:p>
      <w:pPr>
        <w:pStyle w:val="Normal"/>
        <w:widowControl/>
        <w:rPr/>
      </w:pPr>
      <w:r>
        <w:rPr/>
        <w:t>3. [Impersonation, Voice Cloning and Deepfake Harm] Nonconsensual intimate synthetic media - Each Party shall regulate the biometric, identity, or synthetic-media risk identified in this paragraph where an AI system creates a material risk where an AI system creates a material risk of identity fraud, nonconsensual biometric exploitation, deceptive impersonation, or other concrete harm. Covered rules shall distinguish persistent biometric identifiers and materially deceptive synthetic representations from ordinary editing, satire, parody, fiction, clearly signaled roleplay, and other protected or legitimate expression. A provider or deployer shall use proportionate consent, provenance, access-control, labeling, or correction mechanisms suited to the risk and shall not remove or falsify authenticity information for the purpose of deceiving a person in a consequential context. Nothing in this Part authorizes a general government power to determine truth, suppress lawful political expression, or require universal identity verification for low-risk creative uses.</w:t>
      </w:r>
    </w:p>
    <w:p>
      <w:pPr>
        <w:pStyle w:val="Normal"/>
        <w:rPr/>
      </w:pPr>
      <w:r>
        <w:rPr/>
      </w:r>
    </w:p>
    <w:p>
      <w:pPr>
        <w:pStyle w:val="Normal"/>
        <w:widowControl/>
        <w:rPr/>
      </w:pPr>
      <w:r>
        <w:rPr/>
        <w:t>4. [Impersonation, Voice Cloning and Deepfake Harm] Election and public-office impersonation safeguards - Each Party shall regulate the biometric, identity, or synthetic-media risk identified in this paragraph where an AI system creates a material risk where an AI system creates a material risk of identity fraud, nonconsensual biometric exploitation, deceptive impersonation, or other concrete harm. Covered rules shall distinguish persistent biometric identifiers and materially deceptive synthetic representations from ordinary editing, satire, parody, fiction, clearly signaled roleplay, and other protected or legitimate expression. A provider or deployer shall use proportionate consent, provenance, access-control, labeling, or correction mechanisms suited to the risk and shall not remove or falsify authenticity information for the purpose of deceiving a person in a consequential context. Nothing in this Part authorizes a general government power to determine truth, suppress lawful political expression, or require universal identity verification for low-risk creative uses.</w:t>
      </w:r>
    </w:p>
    <w:p>
      <w:pPr>
        <w:pStyle w:val="Normal"/>
        <w:rPr/>
      </w:pPr>
      <w:r>
        <w:rPr/>
      </w:r>
    </w:p>
    <w:p>
      <w:pPr>
        <w:pStyle w:val="Normal"/>
        <w:widowControl/>
        <w:rPr/>
      </w:pPr>
      <w:r>
        <w:rPr/>
        <w:t>5. [Impersonation, Voice Cloning and Deepfake Harm] Emergency and disaster impersonation - Each Party shall regulate the biometric, identity, or synthetic-media risk identified in this paragraph where an AI system creates a material risk where an AI system creates a material risk of identity fraud, nonconsensual biometric exploitation, deceptive impersonation, or other concrete harm. Covered rules shall distinguish persistent biometric identifiers and materially deceptive synthetic representations from ordinary editing, satire, parody, fiction, clearly signaled roleplay, and other protected or legitimate expression. A provider or deployer shall use proportionate consent, provenance, access-control, labeling, or correction mechanisms suited to the risk and shall not remove or falsify authenticity information for the purpose of deceiving a person in a consequential context. Nothing in this Part authorizes a general government power to determine truth, suppress lawful political expression, or require universal identity verification for low-risk creative uses.</w:t>
      </w:r>
    </w:p>
    <w:p>
      <w:pPr>
        <w:pStyle w:val="Normal"/>
        <w:rPr/>
      </w:pPr>
      <w:r>
        <w:rPr/>
      </w:r>
    </w:p>
    <w:p>
      <w:pPr>
        <w:pStyle w:val="Normal"/>
        <w:widowControl/>
        <w:rPr/>
      </w:pPr>
      <w:r>
        <w:rPr/>
        <w:t>6. [Impersonation, Voice Cloning and Deepfake Harm] Rapid correction and takedown pathways consistent with law - Each Party shall regulate the biometric, identity, or synthetic-media risk identified in this paragraph where an AI system creates a material risk where an AI system creates a material risk of identity fraud, nonconsensual biometric exploitation, deceptive impersonation, or other concrete harm. Covered rules shall distinguish persistent biometric identifiers and materially deceptive synthetic representations from ordinary editing, satire, parody, fiction, clearly signaled roleplay, and other protected or legitimate expression. A provider or deployer shall use proportionate consent, provenance, access-control, labeling, or correction mechanisms suited to the risk and shall not remove or falsify authenticity information for the purpose of deceiving a person in a consequential context. Nothing in this Part authorizes a general government power to determine truth, suppress lawful political expression, or require universal identity verification for low-risk creative uses.</w:t>
      </w:r>
    </w:p>
    <w:p>
      <w:pPr>
        <w:pStyle w:val="Normal"/>
        <w:rPr/>
      </w:pPr>
      <w:r>
        <w:rPr/>
      </w:r>
    </w:p>
    <w:p>
      <w:bookmarkStart w:id="1530" w:name="_NAESTMA_TOC_1530"/>
      <w:pPr>
        <w:pStyle w:val="Heading2"/>
        <w:keepNext/>
        <w:widowControl/>
        <w:rPr/>
      </w:pPr>
      <w:r>
        <w:rPr/>
        <w:t>Article 39.47: Worker Notice, Consultation and Deployment</w:t>
      </w:r>
      <w:bookmarkEnd w:id="1530"/>
    </w:p>
    <w:p>
      <w:pPr>
        <w:pStyle w:val="Normal"/>
        <w:widowControl/>
        <w:rPr/>
      </w:pPr>
      <w:r>
        <w:rPr/>
        <w:t>1. [Worker Notice, Consultation and Deployment] Notice of consequential workplace AI - Each Party shall ensure that employers and covered labor platforms using AI in consequential workplace decisions do not use automation to evade the labor, equality, privacy, collective-representation, or due-process protections otherwise applicable to the same decision. Where the use may materially affect hiring, pay, scheduling, discipline, termination, safety, or access to work, the responsible employer shall provide appropriate notice, maintain an identifiable human decision-maker, and preserve a meaningful route to correction or review. Monitoring and scoring shall be proportionate to a legitimate workplace purpose, shall avoid unnecessary collection of sensitive information, and shall not rely on emotion, personality, or similarly speculative inference as a substitute for observable job-related evidence. AI-related displacement, retraining, wage support, and portable-benefit questions shall use Chapter 23-B rather than creating a duplicate transition fund or parallel benefit architecture in this Chapter.</w:t>
      </w:r>
    </w:p>
    <w:p>
      <w:pPr>
        <w:pStyle w:val="Normal"/>
        <w:rPr/>
      </w:pPr>
      <w:r>
        <w:rPr/>
      </w:r>
    </w:p>
    <w:p>
      <w:pPr>
        <w:pStyle w:val="Normal"/>
        <w:widowControl/>
        <w:rPr/>
      </w:pPr>
      <w:r>
        <w:rPr/>
        <w:t>2. [Worker Notice, Consultation and Deployment] Worker consultation on material process change - Each Party shall ensure that employers and covered labor platforms using AI in consequential workplace decisions do not use automation to evade the labor, equality, privacy, collective-representation, or due-process protections otherwise applicable to the same decision. Where the use may materially affect hiring, pay, scheduling, discipline, termination, safety, or access to work, the responsible employer shall provide appropriate notice, maintain an identifiable human decision-maker, and preserve a meaningful route to correction or review. Monitoring and scoring shall be proportionate to a legitimate workplace purpose, shall avoid unnecessary collection of sensitive information, and shall not rely on emotion, personality, or similarly speculative inference as a substitute for observable job-related evidence. AI-related displacement, retraining, wage support, and portable-benefit questions shall use Chapter 23-B rather than creating a duplicate transition fund or parallel benefit architecture in this Chapter.</w:t>
      </w:r>
    </w:p>
    <w:p>
      <w:pPr>
        <w:pStyle w:val="Normal"/>
        <w:rPr/>
      </w:pPr>
      <w:r>
        <w:rPr/>
      </w:r>
    </w:p>
    <w:p>
      <w:pPr>
        <w:pStyle w:val="Normal"/>
        <w:widowControl/>
        <w:rPr/>
      </w:pPr>
      <w:r>
        <w:rPr/>
        <w:t>3. [Worker Notice, Consultation and Deployment] Accessible deployment policies - Each Party shall ensure that employers and covered labor platforms using AI in consequential workplace decisions do not use automation to evade the labor, equality, privacy, collective-representation, or due-process protections otherwise applicable to the same decision. Where the use may materially affect hiring, pay, scheduling, discipline, termination, safety, or access to work, the responsible employer shall provide appropriate notice, maintain an identifiable human decision-maker, and preserve a meaningful route to correction or review. Monitoring and scoring shall be proportionate to a legitimate workplace purpose, shall avoid unnecessary collection of sensitive information, and shall not rely on emotion, personality, or similarly speculative inference as a substitute for observable job-related evidence. AI-related displacement, retraining, wage support, and portable-benefit questions shall use Chapter 23-B rather than creating a duplicate transition fund or parallel benefit architecture in this Chapter.</w:t>
      </w:r>
    </w:p>
    <w:p>
      <w:pPr>
        <w:pStyle w:val="Normal"/>
        <w:rPr/>
      </w:pPr>
      <w:r>
        <w:rPr/>
      </w:r>
    </w:p>
    <w:p>
      <w:pPr>
        <w:pStyle w:val="Normal"/>
        <w:widowControl/>
        <w:rPr/>
      </w:pPr>
      <w:r>
        <w:rPr/>
        <w:t>4. [Worker Notice, Consultation and Deployment] Role-specific competence training - Each Party shall ensure that employers and covered labor platforms using AI in consequential workplace decisions do not use automation to evade the labor, equality, privacy, collective-representation, or due-process protections otherwise applicable to the same decision. Where the use may materially affect hiring, pay, scheduling, discipline, termination, safety, or access to work, the responsible employer shall provide appropriate notice, maintain an identifiable human decision-maker, and preserve a meaningful route to correction or review. Monitoring and scoring shall be proportionate to a legitimate workplace purpose, shall avoid unnecessary collection of sensitive information, and shall not rely on emotion, personality, or similarly speculative inference as a substitute for observable job-related evidence. AI-related displacement, retraining, wage support, and portable-benefit questions shall use Chapter 23-B rather than creating a duplicate transition fund or parallel benefit architecture in this Chapter.</w:t>
      </w:r>
    </w:p>
    <w:p>
      <w:pPr>
        <w:pStyle w:val="Normal"/>
        <w:rPr/>
      </w:pPr>
      <w:r>
        <w:rPr/>
      </w:r>
    </w:p>
    <w:p>
      <w:pPr>
        <w:pStyle w:val="Normal"/>
        <w:widowControl/>
        <w:rPr/>
      </w:pPr>
      <w:r>
        <w:rPr/>
        <w:t>5. [Worker Notice, Consultation and Deployment] Collective-representation access - Each Party shall ensure that employers and covered labor platforms using AI in consequential workplace decisions do not use automation to evade the labor, equality, privacy, collective-representation, or due-process protections otherwise applicable to the same decision. Where the use may materially affect hiring, pay, scheduling, discipline, termination, safety, or access to work, the responsible employer shall provide appropriate notice, maintain an identifiable human decision-maker, and preserve a meaningful route to correction or review. Monitoring and scoring shall be proportionate to a legitimate workplace purpose, shall avoid unnecessary collection of sensitive information, and shall not rely on emotion, personality, or similarly speculative inference as a substitute for observable job-related evidence. AI-related displacement, retraining, wage support, and portable-benefit questions shall use Chapter 23-B rather than creating a duplicate transition fund or parallel benefit architecture in this Chapter.</w:t>
      </w:r>
    </w:p>
    <w:p>
      <w:pPr>
        <w:pStyle w:val="Normal"/>
        <w:rPr/>
      </w:pPr>
      <w:r>
        <w:rPr/>
      </w:r>
    </w:p>
    <w:p>
      <w:pPr>
        <w:pStyle w:val="Normal"/>
        <w:widowControl/>
        <w:rPr/>
      </w:pPr>
      <w:r>
        <w:rPr/>
        <w:t>6. [Worker Notice, Consultation and Deployment] No retaliation for raising AI safety concerns - Each Party shall ensure that employers and covered labor platforms using AI in consequential workplace decisions do not use automation to evade the labor, equality, privacy, collective-representation, or due-process protections otherwise applicable to the same decision. Where the use may materially affect hiring, pay, scheduling, discipline, termination, safety, or access to work, the responsible employer shall provide appropriate notice, maintain an identifiable human decision-maker, and preserve a meaningful route to correction or review. Monitoring and scoring shall be proportionate to a legitimate workplace purpose, shall avoid unnecessary collection of sensitive information, and shall not rely on emotion, personality, or similarly speculative inference as a substitute for observable job-related evidence. AI-related displacement, retraining, wage support, and portable-benefit questions shall use Chapter 23-B rather than creating a duplicate transition fund or parallel benefit architecture in this Chapter.</w:t>
      </w:r>
    </w:p>
    <w:p>
      <w:pPr>
        <w:pStyle w:val="Normal"/>
        <w:rPr/>
      </w:pPr>
      <w:r>
        <w:rPr/>
      </w:r>
    </w:p>
    <w:p>
      <w:bookmarkStart w:id="1531" w:name="_NAESTMA_TOC_1531"/>
      <w:pPr>
        <w:pStyle w:val="Heading2"/>
        <w:keepNext/>
        <w:widowControl/>
        <w:rPr/>
      </w:pPr>
      <w:r>
        <w:rPr/>
        <w:t>Article 39.48: Automated Hiring, Discipline and Termination</w:t>
      </w:r>
      <w:bookmarkEnd w:id="1531"/>
    </w:p>
    <w:p>
      <w:pPr>
        <w:pStyle w:val="Normal"/>
        <w:widowControl/>
        <w:rPr/>
      </w:pPr>
      <w:r>
        <w:rPr/>
        <w:t>1. [Automated Hiring, Discipline and Termination] Hiring transparency - The Parties shall apply the safeguard identified in this paragraph in a manner that protects people in a manner that protects people and legitimate public interests while preserving beneficial, low-risk, research, creative, and commercial uses of artificial intelligence. Implementation shall identify the regulated actor, triggering risk or consequence, required conduct, and competent domestic authority rather than imposing a duty merely because software is labeled or marketed as AI. A measure shall be risk-proportionate, non-discriminatory, and no more burdensome than reasonably necessary for the demonstrated objective, with appropriate protection for privacy, cybersecurity, trade secrets, expression, competition, and innovation. Where another Chapter supplies a more specific rule, that specialized rule governs to the extent of the greater or more tailored protection, and this Part shall not create duplicate recovery, unrelated retaliation, or a new permanent institution absent Article 30.C.1.</w:t>
      </w:r>
    </w:p>
    <w:p>
      <w:pPr>
        <w:pStyle w:val="Normal"/>
        <w:rPr/>
      </w:pPr>
      <w:r>
        <w:rPr/>
      </w:r>
    </w:p>
    <w:p>
      <w:pPr>
        <w:pStyle w:val="Normal"/>
        <w:widowControl/>
        <w:rPr/>
      </w:pPr>
      <w:r>
        <w:rPr/>
        <w:t>2. [Automated Hiring, Discipline and Termination] Human review of adverse employment decisions - The Parties shall apply the safeguard identified in this paragraph in a manner that protects people in a manner that protects people and legitimate public interests while preserving beneficial, low-risk, research, creative, and commercial uses of artificial intelligence. Implementation shall identify the regulated actor, triggering risk or consequence, required conduct, and competent domestic authority rather than imposing a duty merely because software is labeled or marketed as AI. A measure shall be risk-proportionate, non-discriminatory, and no more burdensome than reasonably necessary for the demonstrated objective, with appropriate protection for privacy, cybersecurity, trade secrets, expression, competition, and innovation. Where another Chapter supplies a more specific rule, that specialized rule governs to the extent of the greater or more tailored protection, and this Part shall not create duplicate recovery, unrelated retaliation, or a new permanent institution absent Article 30.C.1.</w:t>
      </w:r>
    </w:p>
    <w:p>
      <w:pPr>
        <w:pStyle w:val="Normal"/>
        <w:rPr/>
      </w:pPr>
      <w:r>
        <w:rPr/>
      </w:r>
    </w:p>
    <w:p>
      <w:pPr>
        <w:pStyle w:val="Normal"/>
        <w:widowControl/>
        <w:rPr/>
      </w:pPr>
      <w:r>
        <w:rPr/>
        <w:t>3. [Automated Hiring, Discipline and Termination] No solely automated termination - The Parties shall apply the safeguard identified in this paragraph in a manner that protects people in a manner that protects people and legitimate public interests while preserving beneficial, low-risk, research, creative, and commercial uses of artificial intelligence. Implementation shall identify the regulated actor, triggering risk or consequence, required conduct, and competent domestic authority rather than imposing a duty merely because software is labeled or marketed as AI. A measure shall be risk-proportionate, non-discriminatory, and no more burdensome than reasonably necessary for the demonstrated objective, with appropriate protection for privacy, cybersecurity, trade secrets, expression, competition, and innovation. Where another Chapter supplies a more specific rule, that specialized rule governs to the extent of the greater or more tailored protection, and this Part shall not create duplicate recovery, unrelated retaliation, or a new permanent institution absent Article 30.C.1.</w:t>
      </w:r>
    </w:p>
    <w:p>
      <w:pPr>
        <w:pStyle w:val="Normal"/>
        <w:rPr/>
      </w:pPr>
      <w:r>
        <w:rPr/>
      </w:r>
    </w:p>
    <w:p>
      <w:pPr>
        <w:pStyle w:val="Normal"/>
        <w:widowControl/>
        <w:rPr/>
      </w:pPr>
      <w:r>
        <w:rPr/>
        <w:t>4. [Automated Hiring, Discipline and Termination] Bias validation in employment systems - The Parties shall apply the safeguard identified in this paragraph in a manner that protects people in a manner that protects people and legitimate public interests while preserving beneficial, low-risk, research, creative, and commercial uses of artificial intelligence. Implementation shall identify the regulated actor, triggering risk or consequence, required conduct, and competent domestic authority rather than imposing a duty merely because software is labeled or marketed as AI. A measure shall be risk-proportionate, non-discriminatory, and no more burdensome than reasonably necessary for the demonstrated objective, with appropriate protection for privacy, cybersecurity, trade secrets, expression, competition, and innovation. Where another Chapter supplies a more specific rule, that specialized rule governs to the extent of the greater or more tailored protection, and this Part shall not create duplicate recovery, unrelated retaliation, or a new permanent institution absent Article 30.C.1.</w:t>
      </w:r>
    </w:p>
    <w:p>
      <w:pPr>
        <w:pStyle w:val="Normal"/>
        <w:rPr/>
      </w:pPr>
      <w:r>
        <w:rPr/>
      </w:r>
    </w:p>
    <w:p>
      <w:pPr>
        <w:pStyle w:val="Normal"/>
        <w:widowControl/>
        <w:rPr/>
      </w:pPr>
      <w:r>
        <w:rPr/>
        <w:t>5. [Automated Hiring, Discipline and Termination] Candidate data correction - The Parties shall apply the safeguard identified in this paragraph in a manner that protects people in a manner that protects people and legitimate public interests while preserving beneficial, low-risk, research, creative, and commercial uses of artificial intelligence. Implementation shall identify the regulated actor, triggering risk or consequence, required conduct, and competent domestic authority rather than imposing a duty merely because software is labeled or marketed as AI. A measure shall be risk-proportionate, non-discriminatory, and no more burdensome than reasonably necessary for the demonstrated objective, with appropriate protection for privacy, cybersecurity, trade secrets, expression, competition, and innovation. Where another Chapter supplies a more specific rule, that specialized rule governs to the extent of the greater or more tailored protection, and this Part shall not create duplicate recovery, unrelated retaliation, or a new permanent institution absent Article 30.C.1.</w:t>
      </w:r>
    </w:p>
    <w:p>
      <w:pPr>
        <w:pStyle w:val="Normal"/>
        <w:rPr/>
      </w:pPr>
      <w:r>
        <w:rPr/>
      </w:r>
    </w:p>
    <w:p>
      <w:pPr>
        <w:pStyle w:val="Normal"/>
        <w:widowControl/>
        <w:rPr/>
      </w:pPr>
      <w:r>
        <w:rPr/>
        <w:t>6. [Automated Hiring, Discipline and Termination] Reasoned record of adverse action - The Parties shall apply the safeguard identified in this paragraph in a manner that protects people in a manner that protects people and legitimate public interests while preserving beneficial, low-risk, research, creative, and commercial uses of artificial intelligence. Implementation shall identify the regulated actor, triggering risk or consequence, required conduct, and competent domestic authority rather than imposing a duty merely because software is labeled or marketed as AI. A measure shall be risk-proportionate, non-discriminatory, and no more burdensome than reasonably necessary for the demonstrated objective, with appropriate protection for privacy, cybersecurity, trade secrets, expression, competition, and innovation. Where another Chapter supplies a more specific rule, that specialized rule governs to the extent of the greater or more tailored protection, and this Part shall not create duplicate recovery, unrelated retaliation, or a new permanent institution absent Article 30.C.1.</w:t>
      </w:r>
    </w:p>
    <w:p>
      <w:pPr>
        <w:pStyle w:val="Normal"/>
        <w:rPr/>
      </w:pPr>
      <w:r>
        <w:rPr/>
      </w:r>
    </w:p>
    <w:p>
      <w:bookmarkStart w:id="1532" w:name="_NAESTMA_TOC_1532"/>
      <w:pPr>
        <w:pStyle w:val="Heading2"/>
        <w:keepNext/>
        <w:widowControl/>
        <w:rPr/>
      </w:pPr>
      <w:r>
        <w:rPr/>
        <w:t>Article 39.49: Worker Monitoring, Scoring and Dignity</w:t>
      </w:r>
      <w:bookmarkEnd w:id="1532"/>
    </w:p>
    <w:p>
      <w:pPr>
        <w:pStyle w:val="Normal"/>
        <w:widowControl/>
        <w:rPr/>
      </w:pPr>
      <w:r>
        <w:rPr/>
        <w:t>1. [Worker Monitoring, Scoring and Dignity] Proportional workplace monitoring - Each Party shall ensure that employers and covered labor platforms using AI in consequential workplace decisions do not use automation to evade the labor, equality, privacy, collective-representation, or due-process protections otherwise applicable to the same decision. Where the use may materially affect hiring, pay, scheduling, discipline, termination, safety, or access to work, the responsible employer shall provide appropriate notice, maintain an identifiable human decision-maker, and preserve a meaningful route to correction or review. Monitoring and scoring shall be proportionate to a legitimate workplace purpose, shall avoid unnecessary collection of sensitive information, and shall not rely on emotion, personality, or similarly speculative inference as a substitute for observable job-related evidence. AI-related displacement, retraining, wage support, and portable-benefit questions shall use Chapter 23-B rather than creating a duplicate transition fund or parallel benefit architecture in this Chapter.</w:t>
      </w:r>
    </w:p>
    <w:p>
      <w:pPr>
        <w:pStyle w:val="Normal"/>
        <w:rPr/>
      </w:pPr>
      <w:r>
        <w:rPr/>
      </w:r>
    </w:p>
    <w:p>
      <w:pPr>
        <w:pStyle w:val="Normal"/>
        <w:widowControl/>
        <w:rPr/>
      </w:pPr>
      <w:r>
        <w:rPr/>
        <w:t>2. [Worker Monitoring, Scoring and Dignity] No pervasive demeaning surveillance - Each Party shall ensure that employers and covered labor platforms using AI in consequential workplace decisions do not use automation to evade the labor, equality, privacy, collective-representation, or due-process protections otherwise applicable to the same decision. Where the use may materially affect hiring, pay, scheduling, discipline, termination, safety, or access to work, the responsible employer shall provide appropriate notice, maintain an identifiable human decision-maker, and preserve a meaningful route to correction or review. Monitoring and scoring shall be proportionate to a legitimate workplace purpose, shall avoid unnecessary collection of sensitive information, and shall not rely on emotion, personality, or similarly speculative inference as a substitute for observable job-related evidence. AI-related displacement, retraining, wage support, and portable-benefit questions shall use Chapter 23-B rather than creating a duplicate transition fund or parallel benefit architecture in this Chapter.</w:t>
      </w:r>
    </w:p>
    <w:p>
      <w:pPr>
        <w:pStyle w:val="Normal"/>
        <w:rPr/>
      </w:pPr>
      <w:r>
        <w:rPr/>
      </w:r>
    </w:p>
    <w:p>
      <w:pPr>
        <w:pStyle w:val="Normal"/>
        <w:widowControl/>
        <w:rPr/>
      </w:pPr>
      <w:r>
        <w:rPr/>
        <w:t>3. [Worker Monitoring, Scoring and Dignity] Productivity-score safeguards - Each Party shall ensure that employers and covered labor platforms using AI in consequential workplace decisions do not use automation to evade the labor, equality, privacy, collective-representation, or due-process protections otherwise applicable to the same decision. Where the use may materially affect hiring, pay, scheduling, discipline, termination, safety, or access to work, the responsible employer shall provide appropriate notice, maintain an identifiable human decision-maker, and preserve a meaningful route to correction or review. Monitoring and scoring shall be proportionate to a legitimate workplace purpose, shall avoid unnecessary collection of sensitive information, and shall not rely on emotion, personality, or similarly speculative inference as a substitute for observable job-related evidence. AI-related displacement, retraining, wage support, and portable-benefit questions shall use Chapter 23-B rather than creating a duplicate transition fund or parallel benefit architecture in this Chapter.</w:t>
      </w:r>
    </w:p>
    <w:p>
      <w:pPr>
        <w:pStyle w:val="Normal"/>
        <w:rPr/>
      </w:pPr>
      <w:r>
        <w:rPr/>
      </w:r>
    </w:p>
    <w:p>
      <w:pPr>
        <w:pStyle w:val="Normal"/>
        <w:widowControl/>
        <w:rPr/>
      </w:pPr>
      <w:r>
        <w:rPr/>
        <w:t>4. [Worker Monitoring, Scoring and Dignity] Emotion and personality inference limits - Each Party shall ensure that employers and covered labor platforms using AI in consequential workplace decisions do not use automation to evade the labor, equality, privacy, collective-representation, or due-process protections otherwise applicable to the same decision. Where the use may materially affect hiring, pay, scheduling, discipline, termination, safety, or access to work, the responsible employer shall provide appropriate notice, maintain an identifiable human decision-maker, and preserve a meaningful route to correction or review. Monitoring and scoring shall be proportionate to a legitimate workplace purpose, shall avoid unnecessary collection of sensitive information, and shall not rely on emotion, personality, or similarly speculative inference as a substitute for observable job-related evidence. AI-related displacement, retraining, wage support, and portable-benefit questions shall use Chapter 23-B rather than creating a duplicate transition fund or parallel benefit architecture in this Chapter.</w:t>
      </w:r>
    </w:p>
    <w:p>
      <w:pPr>
        <w:pStyle w:val="Normal"/>
        <w:rPr/>
      </w:pPr>
      <w:r>
        <w:rPr/>
      </w:r>
    </w:p>
    <w:p>
      <w:pPr>
        <w:pStyle w:val="Normal"/>
        <w:widowControl/>
        <w:rPr/>
      </w:pPr>
      <w:r>
        <w:rPr/>
        <w:t>5. [Worker Monitoring, Scoring and Dignity] Off-duty and private-space protection - Each Party shall ensure that employers and covered labor platforms using AI in consequential workplace decisions do not use automation to evade the labor, equality, privacy, collective-representation, or due-process protections otherwise applicable to the same decision. Where the use may materially affect hiring, pay, scheduling, discipline, termination, safety, or access to work, the responsible employer shall provide appropriate notice, maintain an identifiable human decision-maker, and preserve a meaningful route to correction or review. Monitoring and scoring shall be proportionate to a legitimate workplace purpose, shall avoid unnecessary collection of sensitive information, and shall not rely on emotion, personality, or similarly speculative inference as a substitute for observable job-related evidence. AI-related displacement, retraining, wage support, and portable-benefit questions shall use Chapter 23-B rather than creating a duplicate transition fund or parallel benefit architecture in this Chapter.</w:t>
      </w:r>
    </w:p>
    <w:p>
      <w:pPr>
        <w:pStyle w:val="Normal"/>
        <w:rPr/>
      </w:pPr>
      <w:r>
        <w:rPr/>
      </w:r>
    </w:p>
    <w:p>
      <w:pPr>
        <w:pStyle w:val="Normal"/>
        <w:widowControl/>
        <w:rPr/>
      </w:pPr>
      <w:r>
        <w:rPr/>
        <w:t>6. [Worker Monitoring, Scoring and Dignity] Human review of monitoring-based sanctions - Each Party shall ensure that employers and covered labor platforms using AI in consequential workplace decisions do not use automation to evade the labor, equality, privacy, collective-representation, or due-process protections otherwise applicable to the same decision. Where the use may materially affect hiring, pay, scheduling, discipline, termination, safety, or access to work, the responsible employer shall provide appropriate notice, maintain an identifiable human decision-maker, and preserve a meaningful route to correction or review. Monitoring and scoring shall be proportionate to a legitimate workplace purpose, shall avoid unnecessary collection of sensitive information, and shall not rely on emotion, personality, or similarly speculative inference as a substitute for observable job-related evidence. AI-related displacement, retraining, wage support, and portable-benefit questions shall use Chapter 23-B rather than creating a duplicate transition fund or parallel benefit architecture in this Chapter.</w:t>
      </w:r>
    </w:p>
    <w:p>
      <w:pPr>
        <w:pStyle w:val="Normal"/>
        <w:rPr/>
      </w:pPr>
      <w:r>
        <w:rPr/>
      </w:r>
    </w:p>
    <w:p>
      <w:bookmarkStart w:id="1533" w:name="_NAESTMA_TOC_1533"/>
      <w:pPr>
        <w:pStyle w:val="Heading2"/>
        <w:keepNext/>
        <w:widowControl/>
        <w:rPr/>
      </w:pPr>
      <w:r>
        <w:rPr/>
        <w:t>Article 39.50: Platform, Gig and Worker Data Governance</w:t>
      </w:r>
      <w:bookmarkEnd w:id="1533"/>
    </w:p>
    <w:p>
      <w:pPr>
        <w:pStyle w:val="Normal"/>
        <w:widowControl/>
        <w:rPr/>
      </w:pPr>
      <w:r>
        <w:rPr/>
        <w:t>1. [Platform, Gig and Worker Data Governance] Algorithmic scheduling transparency - Each Party shall ensure that employers and covered labor platforms using AI in consequential workplace decisions do not use automation to evade the labor, equality, privacy, collective-representation, or due-process protections otherwise applicable to the same decision. Where the use may materially affect hiring, pay, scheduling, discipline, termination, safety, or access to work, the responsible employer shall provide appropriate notice, maintain an identifiable human decision-maker, and preserve a meaningful route to correction or review. Monitoring and scoring shall be proportionate to a legitimate workplace purpose, shall avoid unnecessary collection of sensitive information, and shall not rely on emotion, personality, or similarly speculative inference as a substitute for observable job-related evidence. AI-related displacement, retraining, wage support, and portable-benefit questions shall use Chapter 23-B rather than creating a duplicate transition fund or parallel benefit architecture in this Chapter.</w:t>
      </w:r>
    </w:p>
    <w:p>
      <w:pPr>
        <w:pStyle w:val="Normal"/>
        <w:rPr/>
      </w:pPr>
      <w:r>
        <w:rPr/>
      </w:r>
    </w:p>
    <w:p>
      <w:pPr>
        <w:pStyle w:val="Normal"/>
        <w:widowControl/>
        <w:rPr/>
      </w:pPr>
      <w:r>
        <w:rPr/>
        <w:t>2. [Platform, Gig and Worker Data Governance] Gig-worker account deactivation review - Each Party shall ensure that employers and covered labor platforms using AI in consequential workplace decisions do not use automation to evade the labor, equality, privacy, collective-representation, or due-process protections otherwise applicable to the same decision. Where the use may materially affect hiring, pay, scheduling, discipline, termination, safety, or access to work, the responsible employer shall provide appropriate notice, maintain an identifiable human decision-maker, and preserve a meaningful route to correction or review. Monitoring and scoring shall be proportionate to a legitimate workplace purpose, shall avoid unnecessary collection of sensitive information, and shall not rely on emotion, personality, or similarly speculative inference as a substitute for observable job-related evidence. AI-related displacement, retraining, wage support, and portable-benefit questions shall use Chapter 23-B rather than creating a duplicate transition fund or parallel benefit architecture in this Chapter.</w:t>
      </w:r>
    </w:p>
    <w:p>
      <w:pPr>
        <w:pStyle w:val="Normal"/>
        <w:rPr/>
      </w:pPr>
      <w:r>
        <w:rPr/>
      </w:r>
    </w:p>
    <w:p>
      <w:pPr>
        <w:pStyle w:val="Normal"/>
        <w:widowControl/>
        <w:rPr/>
      </w:pPr>
      <w:r>
        <w:rPr/>
        <w:t>3. [Platform, Gig and Worker Data Governance] Worker data access - Each Party shall ensure that employers and covered labor platforms using AI in consequential workplace decisions do not use automation to evade the labor, equality, privacy, collective-representation, or due-process protections otherwise applicable to the same decision. Where the use may materially affect hiring, pay, scheduling, discipline, termination, safety, or access to work, the responsible employer shall provide appropriate notice, maintain an identifiable human decision-maker, and preserve a meaningful route to correction or review. Monitoring and scoring shall be proportionate to a legitimate workplace purpose, shall avoid unnecessary collection of sensitive information, and shall not rely on emotion, personality, or similarly speculative inference as a substitute for observable job-related evidence. AI-related displacement, retraining, wage support, and portable-benefit questions shall use Chapter 23-B rather than creating a duplicate transition fund or parallel benefit architecture in this Chapter.</w:t>
      </w:r>
    </w:p>
    <w:p>
      <w:pPr>
        <w:pStyle w:val="Normal"/>
        <w:rPr/>
      </w:pPr>
      <w:r>
        <w:rPr/>
      </w:r>
    </w:p>
    <w:p>
      <w:pPr>
        <w:pStyle w:val="Normal"/>
        <w:widowControl/>
        <w:rPr/>
      </w:pPr>
      <w:r>
        <w:rPr/>
        <w:t>4. [Platform, Gig and Worker Data Governance] Portable reputation and correction - Each Party shall ensure that employers and covered labor platforms using AI in consequential workplace decisions do not use automation to evade the labor, equality, privacy, collective-representation, or due-process protections otherwise applicable to the same decision. Where the use may materially affect hiring, pay, scheduling, discipline, termination, safety, or access to work, the responsible employer shall provide appropriate notice, maintain an identifiable human decision-maker, and preserve a meaningful route to correction or review. Monitoring and scoring shall be proportionate to a legitimate workplace purpose, shall avoid unnecessary collection of sensitive information, and shall not rely on emotion, personality, or similarly speculative inference as a substitute for observable job-related evidence. AI-related displacement, retraining, wage support, and portable-benefit questions shall use Chapter 23-B rather than creating a duplicate transition fund or parallel benefit architecture in this Chapter.</w:t>
      </w:r>
    </w:p>
    <w:p>
      <w:pPr>
        <w:pStyle w:val="Normal"/>
        <w:rPr/>
      </w:pPr>
      <w:r>
        <w:rPr/>
      </w:r>
    </w:p>
    <w:p>
      <w:pPr>
        <w:pStyle w:val="Normal"/>
        <w:widowControl/>
        <w:rPr/>
      </w:pPr>
      <w:r>
        <w:rPr/>
        <w:t>5. [Platform, Gig and Worker Data Governance] Automated pay-calculation transparency - Each Party shall ensure that employers and covered labor platforms using AI in consequential workplace decisions do not use automation to evade the labor, equality, privacy, collective-representation, or due-process protections otherwise applicable to the same decision. Where the use may materially affect hiring, pay, scheduling, discipline, termination, safety, or access to work, the responsible employer shall provide appropriate notice, maintain an identifiable human decision-maker, and preserve a meaningful route to correction or review. Monitoring and scoring shall be proportionate to a legitimate workplace purpose, shall avoid unnecessary collection of sensitive information, and shall not rely on emotion, personality, or similarly speculative inference as a substitute for observable job-related evidence. AI-related displacement, retraining, wage support, and portable-benefit questions shall use Chapter 23-B rather than creating a duplicate transition fund or parallel benefit architecture in this Chapter.</w:t>
      </w:r>
    </w:p>
    <w:p>
      <w:pPr>
        <w:pStyle w:val="Normal"/>
        <w:rPr/>
      </w:pPr>
      <w:r>
        <w:rPr/>
      </w:r>
    </w:p>
    <w:p>
      <w:pPr>
        <w:pStyle w:val="Normal"/>
        <w:widowControl/>
        <w:rPr/>
      </w:pPr>
      <w:r>
        <w:rPr/>
        <w:t>6. [Platform, Gig and Worker Data Governance] Chapter 23-B transition cross-reference - Each Party shall ensure that employers and covered labor platforms using AI in consequential workplace decisions do not use automation to evade the labor, equality, privacy, collective-representation, or due-process protections otherwise applicable to the same decision. Where the use may materially affect hiring, pay, scheduling, discipline, termination, safety, or access to work, the responsible employer shall provide appropriate notice, maintain an identifiable human decision-maker, and preserve a meaningful route to correction or review. Monitoring and scoring shall be proportionate to a legitimate workplace purpose, shall avoid unnecessary collection of sensitive information, and shall not rely on emotion, personality, or similarly speculative inference as a substitute for observable job-related evidence. AI-related displacement, retraining, wage support, and portable-benefit questions shall use Chapter 23-B rather than creating a duplicate transition fund or parallel benefit architecture in this Chapter.</w:t>
      </w:r>
    </w:p>
    <w:p>
      <w:pPr>
        <w:pStyle w:val="Normal"/>
        <w:rPr/>
      </w:pPr>
      <w:r>
        <w:rPr/>
      </w:r>
    </w:p>
    <w:p>
      <w:bookmarkStart w:id="1534" w:name="_NAESTMA_TOC_1534"/>
      <w:pPr>
        <w:pStyle w:val="Heading2"/>
        <w:keepNext/>
        <w:widowControl/>
        <w:rPr/>
      </w:pPr>
      <w:r>
        <w:rPr/>
        <w:t>Article 39.51: Healthcare AI Clinical Authority</w:t>
      </w:r>
      <w:bookmarkEnd w:id="1534"/>
    </w:p>
    <w:p>
      <w:pPr>
        <w:pStyle w:val="Normal"/>
        <w:widowControl/>
        <w:rPr/>
      </w:pPr>
      <w:r>
        <w:rPr/>
        <w:t>1. [Healthcare AI Clinical Authority] Clinician retains final clinical authority - Each Party shall ensure that a covered healthcare AI deployment remains subject to the authority of the competent health regulator and the professional duties of the responsible clinician or institution. The deployer shall document the intended clinical use, relevant patient population, material limitations, human-review pathway, and conditions requiring escalation or non-AI fallback before consequential reliance. No rule in this Part creates automatic trilateral clinical approval, displaces informed-consent or privacy law, or permits a model output to substitute for professional judgment where domestic law requires a qualified human decision-maker. A verified safety or performance failure shall trigger prompt containment, corrective action, and revalidation proportionate to the risk, with cross-border notice when the same materially affected system is deployed in another Party.</w:t>
      </w:r>
    </w:p>
    <w:p>
      <w:pPr>
        <w:pStyle w:val="Normal"/>
        <w:rPr/>
      </w:pPr>
      <w:r>
        <w:rPr/>
      </w:r>
    </w:p>
    <w:p>
      <w:pPr>
        <w:pStyle w:val="Normal"/>
        <w:widowControl/>
        <w:rPr/>
      </w:pPr>
      <w:r>
        <w:rPr/>
        <w:t>2. [Healthcare AI Clinical Authority] No autonomous diagnosis without lawful authorization - Each Party shall ensure that a covered healthcare AI deployment remains subject to the authority of the competent health regulator and the professional duties of the responsible clinician or institution. The deployer shall document the intended clinical use, relevant patient population, material limitations, human-review pathway, and conditions requiring escalation or non-AI fallback before consequential reliance. No rule in this Part creates automatic trilateral clinical approval, displaces informed-consent or privacy law, or permits a model output to substitute for professional judgment where domestic law requires a qualified human decision-maker. A verified safety or performance failure shall trigger prompt containment, corrective action, and revalidation proportionate to the risk, with cross-border notice when the same materially affected system is deployed in another Party.</w:t>
      </w:r>
    </w:p>
    <w:p>
      <w:pPr>
        <w:pStyle w:val="Normal"/>
        <w:rPr/>
      </w:pPr>
      <w:r>
        <w:rPr/>
      </w:r>
    </w:p>
    <w:p>
      <w:pPr>
        <w:pStyle w:val="Normal"/>
        <w:widowControl/>
        <w:rPr/>
      </w:pPr>
      <w:r>
        <w:rPr/>
        <w:t>3. [Healthcare AI Clinical Authority] No autonomous prescribing or medication administration - Each Party shall ensure that a covered healthcare AI deployment remains subject to the authority of the competent health regulator and the professional duties of the responsible clinician or institution. The deployer shall document the intended clinical use, relevant patient population, material limitations, human-review pathway, and conditions requiring escalation or non-AI fallback before consequential reliance. No rule in this Part creates automatic trilateral clinical approval, displaces informed-consent or privacy law, or permits a model output to substitute for professional judgment where domestic law requires a qualified human decision-maker. A verified safety or performance failure shall trigger prompt containment, corrective action, and revalidation proportionate to the risk, with cross-border notice when the same materially affected system is deployed in another Party.</w:t>
      </w:r>
    </w:p>
    <w:p>
      <w:pPr>
        <w:pStyle w:val="Normal"/>
        <w:rPr/>
      </w:pPr>
      <w:r>
        <w:rPr/>
      </w:r>
    </w:p>
    <w:p>
      <w:pPr>
        <w:pStyle w:val="Normal"/>
        <w:widowControl/>
        <w:rPr/>
      </w:pPr>
      <w:r>
        <w:rPr/>
        <w:t>4. [Healthcare AI Clinical Authority] Clinical escalation when uncertainty is material - Each Party shall ensure that a covered healthcare AI deployment remains subject to the authority of the competent health regulator and the professional duties of the responsible clinician or institution. The deployer shall document the intended clinical use, relevant patient population, material limitations, human-review pathway, and conditions requiring escalation or non-AI fallback before consequential reliance. No rule in this Part creates automatic trilateral clinical approval, displaces informed-consent or privacy law, or permits a model output to substitute for professional judgment where domestic law requires a qualified human decision-maker. A verified safety or performance failure shall trigger prompt containment, corrective action, and revalidation proportionate to the risk, with cross-border notice when the same materially affected system is deployed in another Party.</w:t>
      </w:r>
    </w:p>
    <w:p>
      <w:pPr>
        <w:pStyle w:val="Normal"/>
        <w:rPr/>
      </w:pPr>
      <w:r>
        <w:rPr/>
      </w:r>
    </w:p>
    <w:p>
      <w:pPr>
        <w:pStyle w:val="Normal"/>
        <w:widowControl/>
        <w:rPr/>
      </w:pPr>
      <w:r>
        <w:rPr/>
        <w:t>5. [Healthcare AI Clinical Authority] Patient right to human clinical review - Each Party shall ensure that a covered healthcare AI deployment remains subject to the authority of the competent health regulator and the professional duties of the responsible clinician or institution. The deployer shall document the intended clinical use, relevant patient population, material limitations, human-review pathway, and conditions requiring escalation or non-AI fallback before consequential reliance. No rule in this Part creates automatic trilateral clinical approval, displaces informed-consent or privacy law, or permits a model output to substitute for professional judgment where domestic law requires a qualified human decision-maker. A verified safety or performance failure shall trigger prompt containment, corrective action, and revalidation proportionate to the risk, with cross-border notice when the same materially affected system is deployed in another Party.</w:t>
      </w:r>
    </w:p>
    <w:p>
      <w:pPr>
        <w:pStyle w:val="Normal"/>
        <w:rPr/>
      </w:pPr>
      <w:r>
        <w:rPr/>
      </w:r>
    </w:p>
    <w:p>
      <w:pPr>
        <w:pStyle w:val="Normal"/>
        <w:widowControl/>
        <w:rPr/>
      </w:pPr>
      <w:r>
        <w:rPr/>
        <w:t>6. [Healthcare AI Clinical Authority] Professional standards remain controlling - Each Party shall ensure that a covered healthcare AI deployment remains subject to the authority of the competent health regulator and the professional duties of the responsible clinician or institution. The deployer shall document the intended clinical use, relevant patient population, material limitations, human-review pathway, and conditions requiring escalation or non-AI fallback before consequential reliance. No rule in this Part creates automatic trilateral clinical approval, displaces informed-consent or privacy law, or permits a model output to substitute for professional judgment where domestic law requires a qualified human decision-maker. A verified safety or performance failure shall trigger prompt containment, corrective action, and revalidation proportionate to the risk, with cross-border notice when the same materially affected system is deployed in another Party.</w:t>
      </w:r>
    </w:p>
    <w:p>
      <w:pPr>
        <w:pStyle w:val="Normal"/>
        <w:rPr/>
      </w:pPr>
      <w:r>
        <w:rPr/>
      </w:r>
    </w:p>
    <w:p>
      <w:bookmarkStart w:id="1535" w:name="_NAESTMA_TOC_1535"/>
      <w:pPr>
        <w:pStyle w:val="Heading2"/>
        <w:keepNext/>
        <w:widowControl/>
        <w:rPr/>
      </w:pPr>
      <w:r>
        <w:rPr/>
        <w:t>Article 39.52: Healthcare AI Validation and Performance</w:t>
      </w:r>
      <w:bookmarkEnd w:id="1535"/>
    </w:p>
    <w:p>
      <w:pPr>
        <w:pStyle w:val="Normal"/>
        <w:widowControl/>
        <w:rPr/>
      </w:pPr>
      <w:r>
        <w:rPr/>
        <w:t>1. [Healthcare AI Validation and Performance] Clinical validation in intended population - Each Party shall ensure that a covered healthcare AI deployment remains subject to the authority of the competent health regulator and the professional duties of the responsible clinician or institution. The deployer shall document the intended clinical use, relevant patient population, material limitations, human-review pathway, and conditions requiring escalation or non-AI fallback before consequential reliance. No rule in this Part creates automatic trilateral clinical approval, displaces informed-consent or privacy law, or permits a model output to substitute for professional judgment where domestic law requires a qualified human decision-maker. A verified safety or performance failure shall trigger prompt containment, corrective action, and revalidation proportionate to the risk, with cross-border notice when the same materially affected system is deployed in another Party.</w:t>
      </w:r>
    </w:p>
    <w:p>
      <w:pPr>
        <w:pStyle w:val="Normal"/>
        <w:rPr/>
      </w:pPr>
      <w:r>
        <w:rPr/>
      </w:r>
    </w:p>
    <w:p>
      <w:pPr>
        <w:pStyle w:val="Normal"/>
        <w:widowControl/>
        <w:rPr/>
      </w:pPr>
      <w:r>
        <w:rPr/>
        <w:t>2. [Healthcare AI Validation and Performance] Diagnostic sensitivity and specificity disclosure - Each Party shall ensure that a covered healthcare AI deployment remains subject to the authority of the competent health regulator and the professional duties of the responsible clinician or institution. The deployer shall document the intended clinical use, relevant patient population, material limitations, human-review pathway, and conditions requiring escalation or non-AI fallback before consequential reliance. No rule in this Part creates automatic trilateral clinical approval, displaces informed-consent or privacy law, or permits a model output to substitute for professional judgment where domestic law requires a qualified human decision-maker. A verified safety or performance failure shall trigger prompt containment, corrective action, and revalidation proportionate to the risk, with cross-border notice when the same materially affected system is deployed in another Party.</w:t>
      </w:r>
    </w:p>
    <w:p>
      <w:pPr>
        <w:pStyle w:val="Normal"/>
        <w:rPr/>
      </w:pPr>
      <w:r>
        <w:rPr/>
      </w:r>
    </w:p>
    <w:p>
      <w:pPr>
        <w:pStyle w:val="Normal"/>
        <w:widowControl/>
        <w:rPr/>
      </w:pPr>
      <w:r>
        <w:rPr/>
        <w:t>3. [Healthcare AI Validation and Performance] External validation where warranted - Each Party shall ensure that a covered healthcare AI deployment remains subject to the authority of the competent health regulator and the professional duties of the responsible clinician or institution. The deployer shall document the intended clinical use, relevant patient population, material limitations, human-review pathway, and conditions requiring escalation or non-AI fallback before consequential reliance. No rule in this Part creates automatic trilateral clinical approval, displaces informed-consent or privacy law, or permits a model output to substitute for professional judgment where domestic law requires a qualified human decision-maker. A verified safety or performance failure shall trigger prompt containment, corrective action, and revalidation proportionate to the risk, with cross-border notice when the same materially affected system is deployed in another Party.</w:t>
      </w:r>
    </w:p>
    <w:p>
      <w:pPr>
        <w:pStyle w:val="Normal"/>
        <w:rPr/>
      </w:pPr>
      <w:r>
        <w:rPr/>
      </w:r>
    </w:p>
    <w:p>
      <w:pPr>
        <w:pStyle w:val="Normal"/>
        <w:widowControl/>
        <w:rPr/>
      </w:pPr>
      <w:r>
        <w:rPr/>
        <w:t>4. [Healthcare AI Validation and Performance] Model drift monitoring - Each Party shall ensure that a covered healthcare AI deployment remains subject to the authority of the competent health regulator and the professional duties of the responsible clinician or institution. The deployer shall document the intended clinical use, relevant patient population, material limitations, human-review pathway, and conditions requiring escalation or non-AI fallback before consequential reliance. No rule in this Part creates automatic trilateral clinical approval, displaces informed-consent or privacy law, or permits a model output to substitute for professional judgment where domestic law requires a qualified human decision-maker. A verified safety or performance failure shall trigger prompt containment, corrective action, and revalidation proportionate to the risk, with cross-border notice when the same materially affected system is deployed in another Party.</w:t>
      </w:r>
    </w:p>
    <w:p>
      <w:pPr>
        <w:pStyle w:val="Normal"/>
        <w:rPr/>
      </w:pPr>
      <w:r>
        <w:rPr/>
      </w:r>
    </w:p>
    <w:p>
      <w:pPr>
        <w:pStyle w:val="Normal"/>
        <w:widowControl/>
        <w:rPr/>
      </w:pPr>
      <w:r>
        <w:rPr/>
        <w:t>5. [Healthcare AI Validation and Performance] Subgroup performance evaluation - Each Party shall ensure that a covered healthcare AI deployment remains subject to the authority of the competent health regulator and the professional duties of the responsible clinician or institution. The deployer shall document the intended clinical use, relevant patient population, material limitations, human-review pathway, and conditions requiring escalation or non-AI fallback before consequential reliance. No rule in this Part creates automatic trilateral clinical approval, displaces informed-consent or privacy law, or permits a model output to substitute for professional judgment where domestic law requires a qualified human decision-maker. A verified safety or performance failure shall trigger prompt containment, corrective action, and revalidation proportionate to the risk, with cross-border notice when the same materially affected system is deployed in another Party.</w:t>
      </w:r>
    </w:p>
    <w:p>
      <w:pPr>
        <w:pStyle w:val="Normal"/>
        <w:rPr/>
      </w:pPr>
      <w:r>
        <w:rPr/>
      </w:r>
    </w:p>
    <w:p>
      <w:pPr>
        <w:pStyle w:val="Normal"/>
        <w:widowControl/>
        <w:rPr/>
      </w:pPr>
      <w:r>
        <w:rPr/>
        <w:t>6. [Healthcare AI Validation and Performance] Revalidation after clinically material change - Each Party shall ensure that a covered healthcare AI deployment remains subject to the authority of the competent health regulator and the professional duties of the responsible clinician or institution. The deployer shall document the intended clinical use, relevant patient population, material limitations, human-review pathway, and conditions requiring escalation or non-AI fallback before consequential reliance. No rule in this Part creates automatic trilateral clinical approval, displaces informed-consent or privacy law, or permits a model output to substitute for professional judgment where domestic law requires a qualified human decision-maker. A verified safety or performance failure shall trigger prompt containment, corrective action, and revalidation proportionate to the risk, with cross-border notice when the same materially affected system is deployed in another Party.</w:t>
      </w:r>
    </w:p>
    <w:p>
      <w:pPr>
        <w:pStyle w:val="Normal"/>
        <w:rPr/>
      </w:pPr>
      <w:r>
        <w:rPr/>
      </w:r>
    </w:p>
    <w:p>
      <w:bookmarkStart w:id="1536" w:name="_NAESTMA_TOC_1536"/>
      <w:pPr>
        <w:pStyle w:val="Heading2"/>
        <w:keepNext/>
        <w:widowControl/>
        <w:rPr/>
      </w:pPr>
      <w:r>
        <w:rPr/>
        <w:t>Article 39.53: Healthcare AI Consent, Privacy and Patient Data</w:t>
      </w:r>
      <w:bookmarkEnd w:id="1536"/>
    </w:p>
    <w:p>
      <w:pPr>
        <w:pStyle w:val="Normal"/>
        <w:widowControl/>
        <w:rPr/>
      </w:pPr>
      <w:r>
        <w:rPr/>
        <w:t>1. [Healthcare AI Consent, Privacy and Patient Data] Notice of consequential clinical AI - Each Party shall ensure that a covered healthcare AI deployment remains subject to the authority of the competent health regulator and the professional duties of the responsible clinician or institution. The deployer shall document the intended clinical use, relevant patient population, material limitations, human-review pathway, and conditions requiring escalation or non-AI fallback before consequential reliance. No rule in this Part creates automatic trilateral clinical approval, displaces informed-consent or privacy law, or permits a model output to substitute for professional judgment where domestic law requires a qualified human decision-maker. A verified safety or performance failure shall trigger prompt containment, corrective action, and revalidation proportionate to the risk, with cross-border notice when the same materially affected system is deployed in another Party.</w:t>
      </w:r>
    </w:p>
    <w:p>
      <w:pPr>
        <w:pStyle w:val="Normal"/>
        <w:rPr/>
      </w:pPr>
      <w:r>
        <w:rPr/>
      </w:r>
    </w:p>
    <w:p>
      <w:pPr>
        <w:pStyle w:val="Normal"/>
        <w:widowControl/>
        <w:rPr/>
      </w:pPr>
      <w:r>
        <w:rPr/>
        <w:t>2. [Healthcare AI Consent, Privacy and Patient Data] Patient-data minimization - Each Party shall ensure that a covered healthcare AI deployment remains subject to the authority of the competent health regulator and the professional duties of the responsible clinician or institution. The deployer shall document the intended clinical use, relevant patient population, material limitations, human-review pathway, and conditions requiring escalation or non-AI fallback before consequential reliance. No rule in this Part creates automatic trilateral clinical approval, displaces informed-consent or privacy law, or permits a model output to substitute for professional judgment where domestic law requires a qualified human decision-maker. A verified safety or performance failure shall trigger prompt containment, corrective action, and revalidation proportionate to the risk, with cross-border notice when the same materially affected system is deployed in another Party.</w:t>
      </w:r>
    </w:p>
    <w:p>
      <w:pPr>
        <w:pStyle w:val="Normal"/>
        <w:rPr/>
      </w:pPr>
      <w:r>
        <w:rPr/>
      </w:r>
    </w:p>
    <w:p>
      <w:pPr>
        <w:pStyle w:val="Normal"/>
        <w:widowControl/>
        <w:rPr/>
      </w:pPr>
      <w:r>
        <w:rPr/>
        <w:t>3. [Healthcare AI Consent, Privacy and Patient Data] Training-use consent where required - Each Party shall ensure that a covered healthcare AI deployment remains subject to the authority of the competent health regulator and the professional duties of the responsible clinician or institution. The deployer shall document the intended clinical use, relevant patient population, material limitations, human-review pathway, and conditions requiring escalation or non-AI fallback before consequential reliance. No rule in this Part creates automatic trilateral clinical approval, displaces informed-consent or privacy law, or permits a model output to substitute for professional judgment where domestic law requires a qualified human decision-maker. A verified safety or performance failure shall trigger prompt containment, corrective action, and revalidation proportionate to the risk, with cross-border notice when the same materially affected system is deployed in another Party.</w:t>
      </w:r>
    </w:p>
    <w:p>
      <w:pPr>
        <w:pStyle w:val="Normal"/>
        <w:rPr/>
      </w:pPr>
      <w:r>
        <w:rPr/>
      </w:r>
    </w:p>
    <w:p>
      <w:pPr>
        <w:pStyle w:val="Normal"/>
        <w:widowControl/>
        <w:rPr/>
      </w:pPr>
      <w:r>
        <w:rPr/>
        <w:t>4. [Healthcare AI Consent, Privacy and Patient Data] Protected-health-information safeguards - Each Party shall ensure that a covered healthcare AI deployment remains subject to the authority of the competent health regulator and the professional duties of the responsible clinician or institution. The deployer shall document the intended clinical use, relevant patient population, material limitations, human-review pathway, and conditions requiring escalation or non-AI fallback before consequential reliance. No rule in this Part creates automatic trilateral clinical approval, displaces informed-consent or privacy law, or permits a model output to substitute for professional judgment where domestic law requires a qualified human decision-maker. A verified safety or performance failure shall trigger prompt containment, corrective action, and revalidation proportionate to the risk, with cross-border notice when the same materially affected system is deployed in another Party.</w:t>
      </w:r>
    </w:p>
    <w:p>
      <w:pPr>
        <w:pStyle w:val="Normal"/>
        <w:rPr/>
      </w:pPr>
      <w:r>
        <w:rPr/>
      </w:r>
    </w:p>
    <w:p>
      <w:pPr>
        <w:pStyle w:val="Normal"/>
        <w:widowControl/>
        <w:rPr/>
      </w:pPr>
      <w:r>
        <w:rPr/>
        <w:t>5. [Healthcare AI Consent, Privacy and Patient Data] Genomic and biometric sensitivity - Each Party shall ensure that a covered healthcare AI deployment remains subject to the authority of the competent health regulator and the professional duties of the responsible clinician or institution. The deployer shall document the intended clinical use, relevant patient population, material limitations, human-review pathway, and conditions requiring escalation or non-AI fallback before consequential reliance. No rule in this Part creates automatic trilateral clinical approval, displaces informed-consent or privacy law, or permits a model output to substitute for professional judgment where domestic law requires a qualified human decision-maker. A verified safety or performance failure shall trigger prompt containment, corrective action, and revalidation proportionate to the risk, with cross-border notice when the same materially affected system is deployed in another Party.</w:t>
      </w:r>
    </w:p>
    <w:p>
      <w:pPr>
        <w:pStyle w:val="Normal"/>
        <w:rPr/>
      </w:pPr>
      <w:r>
        <w:rPr/>
      </w:r>
    </w:p>
    <w:p>
      <w:pPr>
        <w:pStyle w:val="Normal"/>
        <w:widowControl/>
        <w:rPr/>
      </w:pPr>
      <w:r>
        <w:rPr/>
        <w:t>6. [Healthcare AI Consent, Privacy and Patient Data] Patient correction and access rights - Each Party shall ensure that a covered healthcare AI deployment remains subject to the authority of the competent health regulator and the professional duties of the responsible clinician or institution. The deployer shall document the intended clinical use, relevant patient population, material limitations, human-review pathway, and conditions requiring escalation or non-AI fallback before consequential reliance. No rule in this Part creates automatic trilateral clinical approval, displaces informed-consent or privacy law, or permits a model output to substitute for professional judgment where domestic law requires a qualified human decision-maker. A verified safety or performance failure shall trigger prompt containment, corrective action, and revalidation proportionate to the risk, with cross-border notice when the same materially affected system is deployed in another Party.</w:t>
      </w:r>
    </w:p>
    <w:p>
      <w:pPr>
        <w:pStyle w:val="Normal"/>
        <w:rPr/>
      </w:pPr>
      <w:r>
        <w:rPr/>
      </w:r>
    </w:p>
    <w:p>
      <w:bookmarkStart w:id="1537" w:name="_NAESTMA_TOC_1537"/>
      <w:pPr>
        <w:pStyle w:val="Heading2"/>
        <w:keepNext/>
        <w:widowControl/>
        <w:rPr/>
      </w:pPr>
      <w:r>
        <w:rPr/>
        <w:t>Article 39.54: Healthcare Deployment, Change Control and Human Factors</w:t>
      </w:r>
      <w:bookmarkEnd w:id="1537"/>
    </w:p>
    <w:p>
      <w:pPr>
        <w:pStyle w:val="Normal"/>
        <w:widowControl/>
        <w:rPr/>
      </w:pPr>
      <w:r>
        <w:rPr/>
        <w:t>1. [Healthcare Deployment, Change Control and Human Factors] Clinical workflow integration - Each Party shall ensure that a covered healthcare AI deployment remains subject to the authority of the competent health regulator and the professional duties of the responsible clinician or institution. The deployer shall document the intended clinical use, relevant patient population, material limitations, human-review pathway, and conditions requiring escalation or non-AI fallback before consequential reliance. No rule in this Part creates automatic trilateral clinical approval, displaces informed-consent or privacy law, or permits a model output to substitute for professional judgment where domestic law requires a qualified human decision-maker. A verified safety or performance failure shall trigger prompt containment, corrective action, and revalidation proportionate to the risk, with cross-border notice when the same materially affected system is deployed in another Party.</w:t>
      </w:r>
    </w:p>
    <w:p>
      <w:pPr>
        <w:pStyle w:val="Normal"/>
        <w:rPr/>
      </w:pPr>
      <w:r>
        <w:rPr/>
      </w:r>
    </w:p>
    <w:p>
      <w:pPr>
        <w:pStyle w:val="Normal"/>
        <w:widowControl/>
        <w:rPr/>
      </w:pPr>
      <w:r>
        <w:rPr/>
        <w:t>2. [Healthcare Deployment, Change Control and Human Factors] Alert-fatigue controls - Each Party shall ensure that a covered healthcare AI deployment remains subject to the authority of the competent health regulator and the professional duties of the responsible clinician or institution. The deployer shall document the intended clinical use, relevant patient population, material limitations, human-review pathway, and conditions requiring escalation or non-AI fallback before consequential reliance. No rule in this Part creates automatic trilateral clinical approval, displaces informed-consent or privacy law, or permits a model output to substitute for professional judgment where domestic law requires a qualified human decision-maker. A verified safety or performance failure shall trigger prompt containment, corrective action, and revalidation proportionate to the risk, with cross-border notice when the same materially affected system is deployed in another Party.</w:t>
      </w:r>
    </w:p>
    <w:p>
      <w:pPr>
        <w:pStyle w:val="Normal"/>
        <w:rPr/>
      </w:pPr>
      <w:r>
        <w:rPr/>
      </w:r>
    </w:p>
    <w:p>
      <w:pPr>
        <w:pStyle w:val="Normal"/>
        <w:widowControl/>
        <w:rPr/>
      </w:pPr>
      <w:r>
        <w:rPr/>
        <w:t>3. [Healthcare Deployment, Change Control and Human Factors] Automation-bias safeguards - Each Party shall ensure that a covered healthcare AI deployment remains subject to the authority of the competent health regulator and the professional duties of the responsible clinician or institution. The deployer shall document the intended clinical use, relevant patient population, material limitations, human-review pathway, and conditions requiring escalation or non-AI fallback before consequential reliance. No rule in this Part creates automatic trilateral clinical approval, displaces informed-consent or privacy law, or permits a model output to substitute for professional judgment where domestic law requires a qualified human decision-maker. A verified safety or performance failure shall trigger prompt containment, corrective action, and revalidation proportionate to the risk, with cross-border notice when the same materially affected system is deployed in another Party.</w:t>
      </w:r>
    </w:p>
    <w:p>
      <w:pPr>
        <w:pStyle w:val="Normal"/>
        <w:rPr/>
      </w:pPr>
      <w:r>
        <w:rPr/>
      </w:r>
    </w:p>
    <w:p>
      <w:pPr>
        <w:pStyle w:val="Normal"/>
        <w:widowControl/>
        <w:rPr/>
      </w:pPr>
      <w:r>
        <w:rPr/>
        <w:t>4. [Healthcare Deployment, Change Control and Human Factors] Override and escalation design - Each Party shall ensure that a covered healthcare AI deployment remains subject to the authority of the competent health regulator and the professional duties of the responsible clinician or institution. The deployer shall document the intended clinical use, relevant patient population, material limitations, human-review pathway, and conditions requiring escalation or non-AI fallback before consequential reliance. No rule in this Part creates automatic trilateral clinical approval, displaces informed-consent or privacy law, or permits a model output to substitute for professional judgment where domestic law requires a qualified human decision-maker. A verified safety or performance failure shall trigger prompt containment, corrective action, and revalidation proportionate to the risk, with cross-border notice when the same materially affected system is deployed in another Party.</w:t>
      </w:r>
    </w:p>
    <w:p>
      <w:pPr>
        <w:pStyle w:val="Normal"/>
        <w:rPr/>
      </w:pPr>
      <w:r>
        <w:rPr/>
      </w:r>
    </w:p>
    <w:p>
      <w:pPr>
        <w:pStyle w:val="Normal"/>
        <w:widowControl/>
        <w:rPr/>
      </w:pPr>
      <w:r>
        <w:rPr/>
        <w:t>5. [Healthcare Deployment, Change Control and Human Factors] Model update governance - Each Party shall ensure that a covered healthcare AI deployment remains subject to the authority of the competent health regulator and the professional duties of the responsible clinician or institution. The deployer shall document the intended clinical use, relevant patient population, material limitations, human-review pathway, and conditions requiring escalation or non-AI fallback before consequential reliance. No rule in this Part creates automatic trilateral clinical approval, displaces informed-consent or privacy law, or permits a model output to substitute for professional judgment where domestic law requires a qualified human decision-maker. A verified safety or performance failure shall trigger prompt containment, corrective action, and revalidation proportionate to the risk, with cross-border notice when the same materially affected system is deployed in another Party.</w:t>
      </w:r>
    </w:p>
    <w:p>
      <w:pPr>
        <w:pStyle w:val="Normal"/>
        <w:rPr/>
      </w:pPr>
      <w:r>
        <w:rPr/>
      </w:r>
    </w:p>
    <w:p>
      <w:pPr>
        <w:pStyle w:val="Normal"/>
        <w:widowControl/>
        <w:rPr/>
      </w:pPr>
      <w:r>
        <w:rPr/>
        <w:t>6. [Healthcare Deployment, Change Control and Human Factors] Downtime and non-AI fallback - Each Party shall ensure that a covered healthcare AI deployment remains subject to the authority of the competent health regulator and the professional duties of the responsible clinician or institution. The deployer shall document the intended clinical use, relevant patient population, material limitations, human-review pathway, and conditions requiring escalation or non-AI fallback before consequential reliance. No rule in this Part creates automatic trilateral clinical approval, displaces informed-consent or privacy law, or permits a model output to substitute for professional judgment where domestic law requires a qualified human decision-maker. A verified safety or performance failure shall trigger prompt containment, corrective action, and revalidation proportionate to the risk, with cross-border notice when the same materially affected system is deployed in another Party.</w:t>
      </w:r>
    </w:p>
    <w:p>
      <w:pPr>
        <w:pStyle w:val="Normal"/>
        <w:rPr/>
      </w:pPr>
      <w:r>
        <w:rPr/>
      </w:r>
    </w:p>
    <w:p>
      <w:bookmarkStart w:id="1538" w:name="_NAESTMA_TOC_1538"/>
      <w:pPr>
        <w:pStyle w:val="Heading2"/>
        <w:keepNext/>
        <w:widowControl/>
        <w:rPr/>
      </w:pPr>
      <w:r>
        <w:rPr/>
        <w:t>Article 39.55: Healthcare Post-Market Safety, Equity and Access</w:t>
      </w:r>
      <w:bookmarkEnd w:id="1538"/>
    </w:p>
    <w:p>
      <w:pPr>
        <w:pStyle w:val="Normal"/>
        <w:widowControl/>
        <w:rPr/>
      </w:pPr>
      <w:r>
        <w:rPr/>
        <w:t>1. [Healthcare Post-Market Safety, Equity and Access] Clinical adverse-event reporting - Each Party shall ensure that a covered healthcare AI deployment remains subject to the authority of the competent health regulator and the professional duties of the responsible clinician or institution. The deployer shall document the intended clinical use, relevant patient population, material limitations, human-review pathway, and conditions requiring escalation or non-AI fallback before consequential reliance. No rule in this Part creates automatic trilateral clinical approval, displaces informed-consent or privacy law, or permits a model output to substitute for professional judgment where domestic law requires a qualified human decision-maker. A verified safety or performance failure shall trigger prompt containment, corrective action, and revalidation proportionate to the risk, with cross-border notice when the same materially affected system is deployed in another Party.</w:t>
      </w:r>
    </w:p>
    <w:p>
      <w:pPr>
        <w:pStyle w:val="Normal"/>
        <w:rPr/>
      </w:pPr>
      <w:r>
        <w:rPr/>
      </w:r>
    </w:p>
    <w:p>
      <w:pPr>
        <w:pStyle w:val="Normal"/>
        <w:widowControl/>
        <w:rPr/>
      </w:pPr>
      <w:r>
        <w:rPr/>
        <w:t>2. [Healthcare Post-Market Safety, Equity and Access] Post-market surveillance - Each Party shall ensure that a covered healthcare AI deployment remains subject to the authority of the competent health regulator and the professional duties of the responsible clinician or institution. The deployer shall document the intended clinical use, relevant patient population, material limitations, human-review pathway, and conditions requiring escalation or non-AI fallback before consequential reliance. No rule in this Part creates automatic trilateral clinical approval, displaces informed-consent or privacy law, or permits a model output to substitute for professional judgment where domestic law requires a qualified human decision-maker. A verified safety or performance failure shall trigger prompt containment, corrective action, and revalidation proportionate to the risk, with cross-border notice when the same materially affected system is deployed in another Party.</w:t>
      </w:r>
    </w:p>
    <w:p>
      <w:pPr>
        <w:pStyle w:val="Normal"/>
        <w:rPr/>
      </w:pPr>
      <w:r>
        <w:rPr/>
      </w:r>
    </w:p>
    <w:p>
      <w:pPr>
        <w:pStyle w:val="Normal"/>
        <w:widowControl/>
        <w:rPr/>
      </w:pPr>
      <w:r>
        <w:rPr/>
        <w:t>3. [Healthcare Post-Market Safety, Equity and Access] Equitable access and accessibility - Each Party shall ensure that a covered healthcare AI deployment remains subject to the authority of the competent health regulator and the professional duties of the responsible clinician or institution. The deployer shall document the intended clinical use, relevant patient population, material limitations, human-review pathway, and conditions requiring escalation or non-AI fallback before consequential reliance. No rule in this Part creates automatic trilateral clinical approval, displaces informed-consent or privacy law, or permits a model output to substitute for professional judgment where domestic law requires a qualified human decision-maker. A verified safety or performance failure shall trigger prompt containment, corrective action, and revalidation proportionate to the risk, with cross-border notice when the same materially affected system is deployed in another Party.</w:t>
      </w:r>
    </w:p>
    <w:p>
      <w:pPr>
        <w:pStyle w:val="Normal"/>
        <w:rPr/>
      </w:pPr>
      <w:r>
        <w:rPr/>
      </w:r>
    </w:p>
    <w:p>
      <w:pPr>
        <w:pStyle w:val="Normal"/>
        <w:widowControl/>
        <w:rPr/>
      </w:pPr>
      <w:r>
        <w:rPr/>
        <w:t>4. [Healthcare Post-Market Safety, Equity and Access] Rural and remote deployment safeguards - Each Party shall ensure that a covered healthcare AI deployment remains subject to the authority of the competent health regulator and the professional duties of the responsible clinician or institution. The deployer shall document the intended clinical use, relevant patient population, material limitations, human-review pathway, and conditions requiring escalation or non-AI fallback before consequential reliance. No rule in this Part creates automatic trilateral clinical approval, displaces informed-consent or privacy law, or permits a model output to substitute for professional judgment where domestic law requires a qualified human decision-maker. A verified safety or performance failure shall trigger prompt containment, corrective action, and revalidation proportionate to the risk, with cross-border notice when the same materially affected system is deployed in another Party.</w:t>
      </w:r>
    </w:p>
    <w:p>
      <w:pPr>
        <w:pStyle w:val="Normal"/>
        <w:rPr/>
      </w:pPr>
      <w:r>
        <w:rPr/>
      </w:r>
    </w:p>
    <w:p>
      <w:pPr>
        <w:pStyle w:val="Normal"/>
        <w:widowControl/>
        <w:rPr/>
      </w:pPr>
      <w:r>
        <w:rPr/>
        <w:t>5. [Healthcare Post-Market Safety, Equity and Access] Language and disability access - Each Party shall ensure that a covered healthcare AI deployment remains subject to the authority of the competent health regulator and the professional duties of the responsible clinician or institution. The deployer shall document the intended clinical use, relevant patient population, material limitations, human-review pathway, and conditions requiring escalation or non-AI fallback before consequential reliance. No rule in this Part creates automatic trilateral clinical approval, displaces informed-consent or privacy law, or permits a model output to substitute for professional judgment where domestic law requires a qualified human decision-maker. A verified safety or performance failure shall trigger prompt containment, corrective action, and revalidation proportionate to the risk, with cross-border notice when the same materially affected system is deployed in another Party.</w:t>
      </w:r>
    </w:p>
    <w:p>
      <w:pPr>
        <w:pStyle w:val="Normal"/>
        <w:rPr/>
      </w:pPr>
      <w:r>
        <w:rPr/>
      </w:r>
    </w:p>
    <w:p>
      <w:pPr>
        <w:pStyle w:val="Normal"/>
        <w:widowControl/>
        <w:rPr/>
      </w:pPr>
      <w:r>
        <w:rPr/>
        <w:t>6. [Healthcare Post-Market Safety, Equity and Access] No automatic mutual recognition of clinical approval - Each Party shall ensure that a covered healthcare AI deployment remains subject to the authority of the competent health regulator and the professional duties of the responsible clinician or institution. The deployer shall document the intended clinical use, relevant patient population, material limitations, human-review pathway, and conditions requiring escalation or non-AI fallback before consequential reliance. No rule in this Part creates automatic trilateral clinical approval, displaces informed-consent or privacy law, or permits a model output to substitute for professional judgment where domestic law requires a qualified human decision-maker. A verified safety or performance failure shall trigger prompt containment, corrective action, and revalidation proportionate to the risk, with cross-border notice when the same materially affected system is deployed in another Party.</w:t>
      </w:r>
    </w:p>
    <w:p>
      <w:pPr>
        <w:pStyle w:val="Normal"/>
        <w:rPr/>
      </w:pPr>
      <w:r>
        <w:rPr/>
      </w:r>
    </w:p>
    <w:p>
      <w:bookmarkStart w:id="1539" w:name="_NAESTMA_TOC_1539"/>
      <w:pPr>
        <w:pStyle w:val="Heading2"/>
        <w:keepNext/>
        <w:widowControl/>
        <w:rPr/>
      </w:pPr>
      <w:r>
        <w:rPr/>
        <w:t>Article 39.56: Teacher, Student and Institutional Human Authority</w:t>
      </w:r>
      <w:bookmarkEnd w:id="1539"/>
    </w:p>
    <w:p>
      <w:pPr>
        <w:pStyle w:val="Normal"/>
        <w:widowControl/>
        <w:rPr/>
      </w:pPr>
      <w:r>
        <w:rPr/>
        <w:t>1. [Teacher, Student and Institutional Human Authority] Teacher-in-the-loop principle - Each Party shall protect students and educators in covered educational AI uses by preserving meaningful human authority over consequential educational decisions. A school or provider using such a system shall provide age-appropriate notice, document material limitations and data practices, and maintain an accessible process for correction, accommodation, or human reconsideration where the output may materially affect a learner. Nothing in this Part establishes a uniform North American curriculum, requires a school to adopt AI, or prevents a Party, province, state, territory, local authority, Indigenous government, or educational institution from maintaining stronger lawful protections. Where a material adverse outcome results from erroneous data, inaccessible design, or an unreviewed automated determination, the responsible institution shall provide a timely remedy under applicable law and preserve sufficient records to reconstruct the decision.</w:t>
      </w:r>
    </w:p>
    <w:p>
      <w:pPr>
        <w:pStyle w:val="Normal"/>
        <w:rPr/>
      </w:pPr>
      <w:r>
        <w:rPr/>
      </w:r>
    </w:p>
    <w:p>
      <w:pPr>
        <w:pStyle w:val="Normal"/>
        <w:widowControl/>
        <w:rPr/>
      </w:pPr>
      <w:r>
        <w:rPr/>
        <w:t>2. [Teacher, Student and Institutional Human Authority] AI as support not automatic replacement - Each Party shall protect students and educators in covered educational AI uses by preserving meaningful human authority over consequential educational decisions. A school or provider using such a system shall provide age-appropriate notice, document material limitations and data practices, and maintain an accessible process for correction, accommodation, or human reconsideration where the output may materially affect a learner. Nothing in this Part establishes a uniform North American curriculum, requires a school to adopt AI, or prevents a Party, province, state, territory, local authority, Indigenous government, or educational institution from maintaining stronger lawful protections. Where a material adverse outcome results from erroneous data, inaccessible design, or an unreviewed automated determination, the responsible institution shall provide a timely remedy under applicable law and preserve sufficient records to reconstruct the decision.</w:t>
      </w:r>
    </w:p>
    <w:p>
      <w:pPr>
        <w:pStyle w:val="Normal"/>
        <w:rPr/>
      </w:pPr>
      <w:r>
        <w:rPr/>
      </w:r>
    </w:p>
    <w:p>
      <w:pPr>
        <w:pStyle w:val="Normal"/>
        <w:widowControl/>
        <w:rPr/>
      </w:pPr>
      <w:r>
        <w:rPr/>
        <w:t>3. [Teacher, Student and Institutional Human Authority] Student agency - Each Party shall protect students and educators in covered educational AI uses by preserving meaningful human authority over consequential educational decisions. A school or provider using such a system shall provide age-appropriate notice, document material limitations and data practices, and maintain an accessible process for correction, accommodation, or human reconsideration where the output may materially affect a learner. Nothing in this Part establishes a uniform North American curriculum, requires a school to adopt AI, or prevents a Party, province, state, territory, local authority, Indigenous government, or educational institution from maintaining stronger lawful protections. Where a material adverse outcome results from erroneous data, inaccessible design, or an unreviewed automated determination, the responsible institution shall provide a timely remedy under applicable law and preserve sufficient records to reconstruct the decision.</w:t>
      </w:r>
    </w:p>
    <w:p>
      <w:pPr>
        <w:pStyle w:val="Normal"/>
        <w:rPr/>
      </w:pPr>
      <w:r>
        <w:rPr/>
      </w:r>
    </w:p>
    <w:p>
      <w:pPr>
        <w:pStyle w:val="Normal"/>
        <w:widowControl/>
        <w:rPr/>
      </w:pPr>
      <w:r>
        <w:rPr/>
        <w:t>4. [Teacher, Student and Institutional Human Authority] Human review of consequential educational decisions - Each Party shall protect students and educators in covered educational AI uses by preserving meaningful human authority over consequential educational decisions. A school or provider using such a system shall provide age-appropriate notice, document material limitations and data practices, and maintain an accessible process for correction, accommodation, or human reconsideration where the output may materially affect a learner. Nothing in this Part establishes a uniform North American curriculum, requires a school to adopt AI, or prevents a Party, province, state, territory, local authority, Indigenous government, or educational institution from maintaining stronger lawful protections. Where a material adverse outcome results from erroneous data, inaccessible design, or an unreviewed automated determination, the responsible institution shall provide a timely remedy under applicable law and preserve sufficient records to reconstruct the decision.</w:t>
      </w:r>
    </w:p>
    <w:p>
      <w:pPr>
        <w:pStyle w:val="Normal"/>
        <w:rPr/>
      </w:pPr>
      <w:r>
        <w:rPr/>
      </w:r>
    </w:p>
    <w:p>
      <w:pPr>
        <w:pStyle w:val="Normal"/>
        <w:widowControl/>
        <w:rPr/>
      </w:pPr>
      <w:r>
        <w:rPr/>
        <w:t>5. [Teacher, Student and Institutional Human Authority] Alternative non-AI pathway where reasonably available - Each Party shall protect students and educators in covered educational AI uses by preserving meaningful human authority over consequential educational decisions. A school or provider using such a system shall provide age-appropriate notice, document material limitations and data practices, and maintain an accessible process for correction, accommodation, or human reconsideration where the output may materially affect a learner. Nothing in this Part establishes a uniform North American curriculum, requires a school to adopt AI, or prevents a Party, province, state, territory, local authority, Indigenous government, or educational institution from maintaining stronger lawful protections. Where a material adverse outcome results from erroneous data, inaccessible design, or an unreviewed automated determination, the responsible institution shall provide a timely remedy under applicable law and preserve sufficient records to reconstruct the decision.</w:t>
      </w:r>
    </w:p>
    <w:p>
      <w:pPr>
        <w:pStyle w:val="Normal"/>
        <w:rPr/>
      </w:pPr>
      <w:r>
        <w:rPr/>
      </w:r>
    </w:p>
    <w:p>
      <w:pPr>
        <w:pStyle w:val="Normal"/>
        <w:widowControl/>
        <w:rPr/>
      </w:pPr>
      <w:r>
        <w:rPr/>
        <w:t>6. [Teacher, Student and Institutional Human Authority] Academic professional judgment preserved - Each Party shall protect students and educators in covered educational AI uses by preserving meaningful human authority over consequential educational decisions. A school or provider using such a system shall provide age-appropriate notice, document material limitations and data practices, and maintain an accessible process for correction, accommodation, or human reconsideration where the output may materially affect a learner. Nothing in this Part establishes a uniform North American curriculum, requires a school to adopt AI, or prevents a Party, province, state, territory, local authority, Indigenous government, or educational institution from maintaining stronger lawful protections. Where a material adverse outcome results from erroneous data, inaccessible design, or an unreviewed automated determination, the responsible institution shall provide a timely remedy under applicable law and preserve sufficient records to reconstruct the decision.</w:t>
      </w:r>
    </w:p>
    <w:p>
      <w:pPr>
        <w:pStyle w:val="Normal"/>
        <w:rPr/>
      </w:pPr>
      <w:r>
        <w:rPr/>
      </w:r>
    </w:p>
    <w:p>
      <w:bookmarkStart w:id="1540" w:name="_NAESTMA_TOC_1540"/>
      <w:pPr>
        <w:pStyle w:val="Heading2"/>
        <w:keepNext/>
        <w:widowControl/>
        <w:rPr/>
      </w:pPr>
      <w:r>
        <w:rPr/>
        <w:t>Article 39.57: Student Privacy, Age-Appropriate Design and Safety</w:t>
      </w:r>
      <w:bookmarkEnd w:id="1540"/>
    </w:p>
    <w:p>
      <w:pPr>
        <w:pStyle w:val="Normal"/>
        <w:widowControl/>
        <w:rPr/>
      </w:pPr>
      <w:r>
        <w:rPr/>
        <w:t>1. [Student Privacy, Age-Appropriate Design and Safety] Student-data minimization - Each Party shall protect students and educators in covered educational AI uses by preserving meaningful human authority over consequential educational decisions. A school or provider using such a system shall provide age-appropriate notice, document material limitations and data practices, and maintain an accessible process for correction, accommodation, or human reconsideration where the output may materially affect a learner. Nothing in this Part establishes a uniform North American curriculum, requires a school to adopt AI, or prevents a Party, province, state, territory, local authority, Indigenous government, or educational institution from maintaining stronger lawful protections. Where a material adverse outcome results from erroneous data, inaccessible design, or an unreviewed automated determination, the responsible institution shall provide a timely remedy under applicable law and preserve sufficient records to reconstruct the decision.</w:t>
      </w:r>
    </w:p>
    <w:p>
      <w:pPr>
        <w:pStyle w:val="Normal"/>
        <w:rPr/>
      </w:pPr>
      <w:r>
        <w:rPr/>
      </w:r>
    </w:p>
    <w:p>
      <w:pPr>
        <w:pStyle w:val="Normal"/>
        <w:widowControl/>
        <w:rPr/>
      </w:pPr>
      <w:r>
        <w:rPr/>
        <w:t>2. [Student Privacy, Age-Appropriate Design and Safety] Age-appropriate design - Each Party shall protect students and educators in covered educational AI uses by preserving meaningful human authority over consequential educational decisions. A school or provider using such a system shall provide age-appropriate notice, document material limitations and data practices, and maintain an accessible process for correction, accommodation, or human reconsideration where the output may materially affect a learner. Nothing in this Part establishes a uniform North American curriculum, requires a school to adopt AI, or prevents a Party, province, state, territory, local authority, Indigenous government, or educational institution from maintaining stronger lawful protections. Where a material adverse outcome results from erroneous data, inaccessible design, or an unreviewed automated determination, the responsible institution shall provide a timely remedy under applicable law and preserve sufficient records to reconstruct the decision.</w:t>
      </w:r>
    </w:p>
    <w:p>
      <w:pPr>
        <w:pStyle w:val="Normal"/>
        <w:rPr/>
      </w:pPr>
      <w:r>
        <w:rPr/>
      </w:r>
    </w:p>
    <w:p>
      <w:pPr>
        <w:pStyle w:val="Normal"/>
        <w:widowControl/>
        <w:rPr/>
      </w:pPr>
      <w:r>
        <w:rPr/>
        <w:t>3. [Student Privacy, Age-Appropriate Design and Safety] Parental or student consent as required by law - Each Party shall protect students and educators in covered educational AI uses by preserving meaningful human authority over consequential educational decisions. A school or provider using such a system shall provide age-appropriate notice, document material limitations and data practices, and maintain an accessible process for correction, accommodation, or human reconsideration where the output may materially affect a learner. Nothing in this Part establishes a uniform North American curriculum, requires a school to adopt AI, or prevents a Party, province, state, territory, local authority, Indigenous government, or educational institution from maintaining stronger lawful protections. Where a material adverse outcome results from erroneous data, inaccessible design, or an unreviewed automated determination, the responsible institution shall provide a timely remedy under applicable law and preserve sufficient records to reconstruct the decision.</w:t>
      </w:r>
    </w:p>
    <w:p>
      <w:pPr>
        <w:pStyle w:val="Normal"/>
        <w:rPr/>
      </w:pPr>
      <w:r>
        <w:rPr/>
      </w:r>
    </w:p>
    <w:p>
      <w:pPr>
        <w:pStyle w:val="Normal"/>
        <w:widowControl/>
        <w:rPr/>
      </w:pPr>
      <w:r>
        <w:rPr/>
        <w:t>4. [Student Privacy, Age-Appropriate Design and Safety] No commercial exploitation of sensitive student data - Each Party shall protect students and educators in covered educational AI uses by preserving meaningful human authority over consequential educational decisions. A school or provider using such a system shall provide age-appropriate notice, document material limitations and data practices, and maintain an accessible process for correction, accommodation, or human reconsideration where the output may materially affect a learner. Nothing in this Part establishes a uniform North American curriculum, requires a school to adopt AI, or prevents a Party, province, state, territory, local authority, Indigenous government, or educational institution from maintaining stronger lawful protections. Where a material adverse outcome results from erroneous data, inaccessible design, or an unreviewed automated determination, the responsible institution shall provide a timely remedy under applicable law and preserve sufficient records to reconstruct the decision.</w:t>
      </w:r>
    </w:p>
    <w:p>
      <w:pPr>
        <w:pStyle w:val="Normal"/>
        <w:rPr/>
      </w:pPr>
      <w:r>
        <w:rPr/>
      </w:r>
    </w:p>
    <w:p>
      <w:pPr>
        <w:pStyle w:val="Normal"/>
        <w:widowControl/>
        <w:rPr/>
      </w:pPr>
      <w:r>
        <w:rPr/>
        <w:t>5. [Student Privacy, Age-Appropriate Design and Safety] Child-safety risk assessment - Each Party shall protect students and educators in covered educational AI uses by preserving meaningful human authority over consequential educational decisions. A school or provider using such a system shall provide age-appropriate notice, document material limitations and data practices, and maintain an accessible process for correction, accommodation, or human reconsideration where the output may materially affect a learner. Nothing in this Part establishes a uniform North American curriculum, requires a school to adopt AI, or prevents a Party, province, state, territory, local authority, Indigenous government, or educational institution from maintaining stronger lawful protections. Where a material adverse outcome results from erroneous data, inaccessible design, or an unreviewed automated determination, the responsible institution shall provide a timely remedy under applicable law and preserve sufficient records to reconstruct the decision.</w:t>
      </w:r>
    </w:p>
    <w:p>
      <w:pPr>
        <w:pStyle w:val="Normal"/>
        <w:rPr/>
      </w:pPr>
      <w:r>
        <w:rPr/>
      </w:r>
    </w:p>
    <w:p>
      <w:pPr>
        <w:pStyle w:val="Normal"/>
        <w:widowControl/>
        <w:rPr/>
      </w:pPr>
      <w:r>
        <w:rPr/>
        <w:t>6. [Student Privacy, Age-Appropriate Design and Safety] Student data retention and deletion - Each Party shall protect students and educators in covered educational AI uses by preserving meaningful human authority over consequential educational decisions. A school or provider using such a system shall provide age-appropriate notice, document material limitations and data practices, and maintain an accessible process for correction, accommodation, or human reconsideration where the output may materially affect a learner. Nothing in this Part establishes a uniform North American curriculum, requires a school to adopt AI, or prevents a Party, province, state, territory, local authority, Indigenous government, or educational institution from maintaining stronger lawful protections. Where a material adverse outcome results from erroneous data, inaccessible design, or an unreviewed automated determination, the responsible institution shall provide a timely remedy under applicable law and preserve sufficient records to reconstruct the decision.</w:t>
      </w:r>
    </w:p>
    <w:p>
      <w:pPr>
        <w:pStyle w:val="Normal"/>
        <w:rPr/>
      </w:pPr>
      <w:r>
        <w:rPr/>
      </w:r>
    </w:p>
    <w:p>
      <w:bookmarkStart w:id="1541" w:name="_NAESTMA_TOC_1541"/>
      <w:pPr>
        <w:pStyle w:val="Heading2"/>
        <w:keepNext/>
        <w:widowControl/>
        <w:rPr/>
      </w:pPr>
      <w:r>
        <w:rPr/>
        <w:t>Article 39.58: Educational Assessment, Integrity and Fairness</w:t>
      </w:r>
      <w:bookmarkEnd w:id="1541"/>
    </w:p>
    <w:p>
      <w:pPr>
        <w:pStyle w:val="Normal"/>
        <w:widowControl/>
        <w:rPr/>
      </w:pPr>
      <w:r>
        <w:rPr/>
        <w:t>1. [Educational Assessment, Integrity and Fairness] AI-assisted assessment transparency - Each Party shall protect students and educators in covered educational AI uses by preserving meaningful human authority over consequential educational decisions. A school or provider using such a system shall provide age-appropriate notice, document material limitations and data practices, and maintain an accessible process for correction, accommodation, or human reconsideration where the output may materially affect a learner. Nothing in this Part establishes a uniform North American curriculum, requires a school to adopt AI, or prevents a Party, province, state, territory, local authority, Indigenous government, or educational institution from maintaining stronger lawful protections. Where a material adverse outcome results from erroneous data, inaccessible design, or an unreviewed automated determination, the responsible institution shall provide a timely remedy under applicable law and preserve sufficient records to reconstruct the decision.</w:t>
      </w:r>
    </w:p>
    <w:p>
      <w:pPr>
        <w:pStyle w:val="Normal"/>
        <w:rPr/>
      </w:pPr>
      <w:r>
        <w:rPr/>
      </w:r>
    </w:p>
    <w:p>
      <w:pPr>
        <w:pStyle w:val="Normal"/>
        <w:widowControl/>
        <w:rPr/>
      </w:pPr>
      <w:r>
        <w:rPr/>
        <w:t>2. [Educational Assessment, Integrity and Fairness] No solely automated exclusion or discipline - Each Party shall protect students and educators in covered educational AI uses by preserving meaningful human authority over consequential educational decisions. A school or provider using such a system shall provide age-appropriate notice, document material limitations and data practices, and maintain an accessible process for correction, accommodation, or human reconsideration where the output may materially affect a learner. Nothing in this Part establishes a uniform North American curriculum, requires a school to adopt AI, or prevents a Party, province, state, territory, local authority, Indigenous government, or educational institution from maintaining stronger lawful protections. Where a material adverse outcome results from erroneous data, inaccessible design, or an unreviewed automated determination, the responsible institution shall provide a timely remedy under applicable law and preserve sufficient records to reconstruct the decision.</w:t>
      </w:r>
    </w:p>
    <w:p>
      <w:pPr>
        <w:pStyle w:val="Normal"/>
        <w:rPr/>
      </w:pPr>
      <w:r>
        <w:rPr/>
      </w:r>
    </w:p>
    <w:p>
      <w:pPr>
        <w:pStyle w:val="Normal"/>
        <w:widowControl/>
        <w:rPr/>
      </w:pPr>
      <w:r>
        <w:rPr/>
        <w:t>3. [Educational Assessment, Integrity and Fairness] Academic-integrity process - Each Party shall protect students and educators in covered educational AI uses by preserving meaningful human authority over consequential educational decisions. A school or provider using such a system shall provide age-appropriate notice, document material limitations and data practices, and maintain an accessible process for correction, accommodation, or human reconsideration where the output may materially affect a learner. Nothing in this Part establishes a uniform North American curriculum, requires a school to adopt AI, or prevents a Party, province, state, territory, local authority, Indigenous government, or educational institution from maintaining stronger lawful protections. Where a material adverse outcome results from erroneous data, inaccessible design, or an unreviewed automated determination, the responsible institution shall provide a timely remedy under applicable law and preserve sufficient records to reconstruct the decision.</w:t>
      </w:r>
    </w:p>
    <w:p>
      <w:pPr>
        <w:pStyle w:val="Normal"/>
        <w:rPr/>
      </w:pPr>
      <w:r>
        <w:rPr/>
      </w:r>
    </w:p>
    <w:p>
      <w:pPr>
        <w:pStyle w:val="Normal"/>
        <w:widowControl/>
        <w:rPr/>
      </w:pPr>
      <w:r>
        <w:rPr/>
        <w:t>4. [Educational Assessment, Integrity and Fairness] Bias and accessibility testing - Each Party shall protect students and educators in covered educational AI uses by preserving meaningful human authority over consequential educational decisions. A school or provider using such a system shall provide age-appropriate notice, document material limitations and data practices, and maintain an accessible process for correction, accommodation, or human reconsideration where the output may materially affect a learner. Nothing in this Part establishes a uniform North American curriculum, requires a school to adopt AI, or prevents a Party, province, state, territory, local authority, Indigenous government, or educational institution from maintaining stronger lawful protections. Where a material adverse outcome results from erroneous data, inaccessible design, or an unreviewed automated determination, the responsible institution shall provide a timely remedy under applicable law and preserve sufficient records to reconstruct the decision.</w:t>
      </w:r>
    </w:p>
    <w:p>
      <w:pPr>
        <w:pStyle w:val="Normal"/>
        <w:rPr/>
      </w:pPr>
      <w:r>
        <w:rPr/>
      </w:r>
    </w:p>
    <w:p>
      <w:pPr>
        <w:pStyle w:val="Normal"/>
        <w:widowControl/>
        <w:rPr/>
      </w:pPr>
      <w:r>
        <w:rPr/>
        <w:t>5. [Educational Assessment, Integrity and Fairness] Reasonable accommodation - Each Party shall protect students and educators in covered educational AI uses by preserving meaningful human authority over consequential educational decisions. A school or provider using such a system shall provide age-appropriate notice, document material limitations and data practices, and maintain an accessible process for correction, accommodation, or human reconsideration where the output may materially affect a learner. Nothing in this Part establishes a uniform North American curriculum, requires a school to adopt AI, or prevents a Party, province, state, territory, local authority, Indigenous government, or educational institution from maintaining stronger lawful protections. Where a material adverse outcome results from erroneous data, inaccessible design, or an unreviewed automated determination, the responsible institution shall provide a timely remedy under applicable law and preserve sufficient records to reconstruct the decision.</w:t>
      </w:r>
    </w:p>
    <w:p>
      <w:pPr>
        <w:pStyle w:val="Normal"/>
        <w:rPr/>
      </w:pPr>
      <w:r>
        <w:rPr/>
      </w:r>
    </w:p>
    <w:p>
      <w:pPr>
        <w:pStyle w:val="Normal"/>
        <w:widowControl/>
        <w:rPr/>
      </w:pPr>
      <w:r>
        <w:rPr/>
        <w:t>6. [Educational Assessment, Integrity and Fairness] Correction and appeal - Each Party shall protect students and educators in covered educational AI uses by preserving meaningful human authority over consequential educational decisions. A school or provider using such a system shall provide age-appropriate notice, document material limitations and data practices, and maintain an accessible process for correction, accommodation, or human reconsideration where the output may materially affect a learner. Nothing in this Part establishes a uniform North American curriculum, requires a school to adopt AI, or prevents a Party, province, state, territory, local authority, Indigenous government, or educational institution from maintaining stronger lawful protections. Where a material adverse outcome results from erroneous data, inaccessible design, or an unreviewed automated determination, the responsible institution shall provide a timely remedy under applicable law and preserve sufficient records to reconstruct the decision.</w:t>
      </w:r>
    </w:p>
    <w:p>
      <w:pPr>
        <w:pStyle w:val="Normal"/>
        <w:rPr/>
      </w:pPr>
      <w:r>
        <w:rPr/>
      </w:r>
    </w:p>
    <w:p>
      <w:bookmarkStart w:id="1542" w:name="_NAESTMA_TOC_1542"/>
      <w:pPr>
        <w:pStyle w:val="Heading2"/>
        <w:keepNext/>
        <w:widowControl/>
        <w:rPr/>
      </w:pPr>
      <w:r>
        <w:rPr/>
        <w:t>Article 39.59: AI Literacy, Verification and Public Capability</w:t>
      </w:r>
      <w:bookmarkEnd w:id="1542"/>
    </w:p>
    <w:p>
      <w:pPr>
        <w:pStyle w:val="Normal"/>
        <w:widowControl/>
        <w:rPr/>
      </w:pPr>
      <w:r>
        <w:rPr/>
        <w:t>1. [AI Literacy, Verification and Public Capability] Voluntary public AI literacy - The Parties may cooperate on voluntary public ai literacy where doing so improves safety, interoperability, innovation, rights protection, or resilience without creating unnecessary bureaucracy. Any mandatory domestic measure shall remain proportionate to the actual risk and consistent with the specialized protections elsewhere in this Agreement. Optional participation shall remain genuinely optional and shall not trigger unrelated retaliation or loss of benefits.</w:t>
      </w:r>
    </w:p>
    <w:p>
      <w:pPr>
        <w:pStyle w:val="Normal"/>
        <w:rPr/>
      </w:pPr>
      <w:r>
        <w:rPr/>
      </w:r>
    </w:p>
    <w:p>
      <w:pPr>
        <w:pStyle w:val="Normal"/>
        <w:widowControl/>
        <w:rPr/>
      </w:pPr>
      <w:r>
        <w:rPr/>
        <w:t>2. [AI Literacy, Verification and Public Capability] Hallucination and source-checking education - The Parties may cooperate on hallucination and source-checking education where doing so improves safety, interoperability, innovation, rights protection, or resilience without creating unnecessary bureaucracy. Any mandatory domestic measure shall remain proportionate to the actual risk and consistent with the specialized protections elsewhere in this Agreement. Optional participation shall remain genuinely optional and shall not trigger unrelated retaliation or loss of benefits.</w:t>
      </w:r>
    </w:p>
    <w:p>
      <w:pPr>
        <w:pStyle w:val="Normal"/>
        <w:rPr/>
      </w:pPr>
      <w:r>
        <w:rPr/>
      </w:r>
    </w:p>
    <w:p>
      <w:pPr>
        <w:pStyle w:val="Normal"/>
        <w:widowControl/>
        <w:rPr/>
      </w:pPr>
      <w:r>
        <w:rPr/>
        <w:t>3. [AI Literacy, Verification and Public Capability] Uploaded-document contamination awareness - The Parties may cooperate on uploaded-document contamination awareness where doing so improves safety, interoperability, innovation, rights protection, or resilience without creating unnecessary bureaucracy. Any mandatory domestic measure shall remain proportionate to the actual risk and consistent with the specialized protections elsewhere in this Agreement. Optional participation shall remain genuinely optional and shall not trigger unrelated retaliation or loss of benefits.</w:t>
      </w:r>
    </w:p>
    <w:p>
      <w:pPr>
        <w:pStyle w:val="Normal"/>
        <w:rPr/>
      </w:pPr>
      <w:r>
        <w:rPr/>
      </w:r>
    </w:p>
    <w:p>
      <w:pPr>
        <w:pStyle w:val="Normal"/>
        <w:widowControl/>
        <w:rPr/>
      </w:pPr>
      <w:r>
        <w:rPr/>
        <w:t>4. [AI Literacy, Verification and Public Capability] Synthetic-media literacy - The Parties may cooperate on synthetic-media literacy where doing so improves safety, interoperability, innovation, rights protection, or resilience without creating unnecessary bureaucracy. Any mandatory domestic measure shall remain proportionate to the actual risk and consistent with the specialized protections elsewhere in this Agreement. Optional participation shall remain genuinely optional and shall not trigger unrelated retaliation or loss of benefits.</w:t>
      </w:r>
    </w:p>
    <w:p>
      <w:pPr>
        <w:pStyle w:val="Normal"/>
        <w:rPr/>
      </w:pPr>
      <w:r>
        <w:rPr/>
      </w:r>
    </w:p>
    <w:p>
      <w:pPr>
        <w:pStyle w:val="Normal"/>
        <w:widowControl/>
        <w:rPr/>
      </w:pPr>
      <w:r>
        <w:rPr/>
        <w:t>5. [AI Literacy, Verification and Public Capability] Professional role-specific competence - The Parties may cooperate on professional role-specific competence where doing so improves safety, interoperability, innovation, rights protection, or resilience without creating unnecessary bureaucracy. Any mandatory domestic measure shall remain proportionate to the actual risk and consistent with the specialized protections elsewhere in this Agreement. Optional participation shall remain genuinely optional and shall not trigger unrelated retaliation or loss of benefits.</w:t>
      </w:r>
    </w:p>
    <w:p>
      <w:pPr>
        <w:pStyle w:val="Normal"/>
        <w:rPr/>
      </w:pPr>
      <w:r>
        <w:rPr/>
      </w:r>
    </w:p>
    <w:p>
      <w:pPr>
        <w:pStyle w:val="Normal"/>
        <w:widowControl/>
        <w:rPr/>
      </w:pPr>
      <w:r>
        <w:rPr/>
        <w:t>6. [AI Literacy, Verification and Public Capability] No mandatory continental curriculum - The Parties may cooperate on no mandatory continental curriculum where doing so improves safety, interoperability, innovation, rights protection, or resilience without creating unnecessary bureaucracy. Any mandatory domestic measure shall remain proportionate to the actual risk and consistent with the specialized protections elsewhere in this Agreement. Optional participation shall remain genuinely optional and shall not trigger unrelated retaliation or loss of benefits.</w:t>
      </w:r>
    </w:p>
    <w:p>
      <w:pPr>
        <w:pStyle w:val="Normal"/>
        <w:rPr/>
      </w:pPr>
      <w:r>
        <w:rPr/>
      </w:r>
    </w:p>
    <w:p>
      <w:bookmarkStart w:id="1543" w:name="_NAESTMA_TOC_1543"/>
      <w:pPr>
        <w:pStyle w:val="Heading2"/>
        <w:keepNext/>
        <w:widowControl/>
        <w:rPr/>
      </w:pPr>
      <w:r>
        <w:rPr/>
        <w:t>Article 39.60: AI Cybersecurity, Poisoning and Adversarial Resilience</w:t>
      </w:r>
      <w:bookmarkEnd w:id="1543"/>
    </w:p>
    <w:p>
      <w:pPr>
        <w:pStyle w:val="Normal"/>
        <w:widowControl/>
        <w:rPr/>
      </w:pPr>
      <w:r>
        <w:rPr/>
        <w:t>1. [AI Cybersecurity, Poisoning and Adversarial Resilience] Model-poisoning prevention - The Parties shall address model-poisoning prevention through risk-based resilience, cybersecurity, supply-chain, investment, and infrastructure measures using competent existing authorities. Cooperation may include information sharing, exercises, standards, mutual assistance, research connectivity, talent development, and contingency planning without creating a blanket localization or common-ownership mandate. National-security, privacy, procurement, competition, energy, environmental, and Indigenous obligations elsewhere in this Agreement remain applicable.</w:t>
      </w:r>
    </w:p>
    <w:p>
      <w:pPr>
        <w:pStyle w:val="Normal"/>
        <w:rPr/>
      </w:pPr>
      <w:r>
        <w:rPr/>
      </w:r>
    </w:p>
    <w:p>
      <w:pPr>
        <w:pStyle w:val="Normal"/>
        <w:widowControl/>
        <w:rPr/>
      </w:pPr>
      <w:r>
        <w:rPr/>
        <w:t>2. [AI Cybersecurity, Poisoning and Adversarial Resilience] Training-pipeline security - The Parties shall address training-pipeline security through risk-based resilience, cybersecurity, supply-chain, investment, and infrastructure measures using competent existing authorities. Cooperation may include information sharing, exercises, standards, mutual assistance, research connectivity, talent development, and contingency planning without creating a blanket localization or common-ownership mandate. National-security, privacy, procurement, competition, energy, environmental, and Indigenous obligations elsewhere in this Agreement remain applicable.</w:t>
      </w:r>
    </w:p>
    <w:p>
      <w:pPr>
        <w:pStyle w:val="Normal"/>
        <w:rPr/>
      </w:pPr>
      <w:r>
        <w:rPr/>
      </w:r>
    </w:p>
    <w:p>
      <w:pPr>
        <w:pStyle w:val="Normal"/>
        <w:widowControl/>
        <w:rPr/>
      </w:pPr>
      <w:r>
        <w:rPr/>
        <w:t>3. [AI Cybersecurity, Poisoning and Adversarial Resilience] Prompt-injection defenses - The Parties shall address prompt-injection defenses through risk-based resilience, cybersecurity, supply-chain, investment, and infrastructure measures using competent existing authorities. Cooperation may include information sharing, exercises, standards, mutual assistance, research connectivity, talent development, and contingency planning without creating a blanket localization or common-ownership mandate. National-security, privacy, procurement, competition, energy, environmental, and Indigenous obligations elsewhere in this Agreement remain applicable.</w:t>
      </w:r>
    </w:p>
    <w:p>
      <w:pPr>
        <w:pStyle w:val="Normal"/>
        <w:rPr/>
      </w:pPr>
      <w:r>
        <w:rPr/>
      </w:r>
    </w:p>
    <w:p>
      <w:pPr>
        <w:pStyle w:val="Normal"/>
        <w:widowControl/>
        <w:rPr/>
      </w:pPr>
      <w:r>
        <w:rPr/>
        <w:t>4. [AI Cybersecurity, Poisoning and Adversarial Resilience] Model extraction protection - The Parties shall address model extraction protection through risk-based resilience, cybersecurity, supply-chain, investment, and infrastructure measures using competent existing authorities. Cooperation may include information sharing, exercises, standards, mutual assistance, research connectivity, talent development, and contingency planning without creating a blanket localization or common-ownership mandate. National-security, privacy, procurement, competition, energy, environmental, and Indigenous obligations elsewhere in this Agreement remain applicable.</w:t>
      </w:r>
    </w:p>
    <w:p>
      <w:pPr>
        <w:pStyle w:val="Normal"/>
        <w:rPr/>
      </w:pPr>
      <w:r>
        <w:rPr/>
      </w:r>
    </w:p>
    <w:p>
      <w:pPr>
        <w:pStyle w:val="Normal"/>
        <w:widowControl/>
        <w:rPr/>
      </w:pPr>
      <w:r>
        <w:rPr/>
        <w:t>5. [AI Cybersecurity, Poisoning and Adversarial Resilience] Credential and tool-access security - The Parties shall address credential and tool-access security through risk-based resilience, cybersecurity, supply-chain, investment, and infrastructure measures using competent existing authorities. Cooperation may include information sharing, exercises, standards, mutual assistance, research connectivity, talent development, and contingency planning without creating a blanket localization or common-ownership mandate. National-security, privacy, procurement, competition, energy, environmental, and Indigenous obligations elsewhere in this Agreement remain applicable.</w:t>
      </w:r>
    </w:p>
    <w:p>
      <w:pPr>
        <w:pStyle w:val="Normal"/>
        <w:rPr/>
      </w:pPr>
      <w:r>
        <w:rPr/>
      </w:r>
    </w:p>
    <w:p>
      <w:pPr>
        <w:pStyle w:val="Normal"/>
        <w:widowControl/>
        <w:rPr/>
      </w:pPr>
      <w:r>
        <w:rPr/>
        <w:t>6. [AI Cybersecurity, Poisoning and Adversarial Resilience] AI-specific threat intelligence sharing - The Parties shall address ai-specific threat intelligence sharing through risk-based resilience, cybersecurity, supply-chain, investment, and infrastructure measures using competent existing authorities. Cooperation may include information sharing, exercises, standards, mutual assistance, research connectivity, talent development, and contingency planning without creating a blanket localization or common-ownership mandate. National-security, privacy, procurement, competition, energy, environmental, and Indigenous obligations elsewhere in this Agreement remain applicable.</w:t>
      </w:r>
    </w:p>
    <w:p>
      <w:pPr>
        <w:pStyle w:val="Normal"/>
        <w:rPr/>
      </w:pPr>
      <w:r>
        <w:rPr/>
      </w:r>
    </w:p>
    <w:p>
      <w:bookmarkStart w:id="1544" w:name="_NAESTMA_TOC_1544"/>
      <w:pPr>
        <w:pStyle w:val="Heading2"/>
        <w:keepNext/>
        <w:widowControl/>
        <w:rPr/>
      </w:pPr>
      <w:r>
        <w:rPr/>
        <w:t>Article 39.61: Critical Infrastructure AI Resilience</w:t>
      </w:r>
      <w:bookmarkEnd w:id="1544"/>
    </w:p>
    <w:p>
      <w:pPr>
        <w:pStyle w:val="Normal"/>
        <w:widowControl/>
        <w:rPr/>
      </w:pPr>
      <w:r>
        <w:rPr/>
        <w:t>1. [Critical Infrastructure AI Resilience] Critical infrastructure inventory - The Parties shall address critical infrastructure inventory through risk-based resilience, cybersecurity, supply-chain, investment, and infrastructure measures using competent existing authorities. Cooperation may include information sharing, exercises, standards, mutual assistance, research connectivity, talent development, and contingency planning without creating a blanket localization or common-ownership mandate. National-security, privacy, procurement, competition, energy, environmental, and Indigenous obligations elsewhere in this Agreement remain applicable.</w:t>
      </w:r>
    </w:p>
    <w:p>
      <w:pPr>
        <w:pStyle w:val="Normal"/>
        <w:rPr/>
      </w:pPr>
      <w:r>
        <w:rPr/>
      </w:r>
    </w:p>
    <w:p>
      <w:pPr>
        <w:pStyle w:val="Normal"/>
        <w:widowControl/>
        <w:rPr/>
      </w:pPr>
      <w:r>
        <w:rPr/>
        <w:t>2. [Critical Infrastructure AI Resilience] Safety-critical redundancy - The Parties shall address safety-critical redundancy through risk-based resilience, cybersecurity, supply-chain, investment, and infrastructure measures using competent existing authorities. Cooperation may include information sharing, exercises, standards, mutual assistance, research connectivity, talent development, and contingency planning without creating a blanket localization or common-ownership mandate. National-security, privacy, procurement, competition, energy, environmental, and Indigenous obligations elsewhere in this Agreement remain applicable.</w:t>
      </w:r>
    </w:p>
    <w:p>
      <w:pPr>
        <w:pStyle w:val="Normal"/>
        <w:rPr/>
      </w:pPr>
      <w:r>
        <w:rPr/>
      </w:r>
    </w:p>
    <w:p>
      <w:pPr>
        <w:pStyle w:val="Normal"/>
        <w:widowControl/>
        <w:rPr/>
      </w:pPr>
      <w:r>
        <w:rPr/>
        <w:t>3. [Critical Infrastructure AI Resilience] Manual or deterministic fallback - The Parties shall address manual or deterministic fallback through risk-based resilience, cybersecurity, supply-chain, investment, and infrastructure measures using competent existing authorities. Cooperation may include information sharing, exercises, standards, mutual assistance, research connectivity, talent development, and contingency planning without creating a blanket localization or common-ownership mandate. National-security, privacy, procurement, competition, energy, environmental, and Indigenous obligations elsewhere in this Agreement remain applicable.</w:t>
      </w:r>
    </w:p>
    <w:p>
      <w:pPr>
        <w:pStyle w:val="Normal"/>
        <w:rPr/>
      </w:pPr>
      <w:r>
        <w:rPr/>
      </w:r>
    </w:p>
    <w:p>
      <w:pPr>
        <w:pStyle w:val="Normal"/>
        <w:widowControl/>
        <w:rPr/>
      </w:pPr>
      <w:r>
        <w:rPr/>
        <w:t>4. [Critical Infrastructure AI Resilience] Cyber-physical incident containment - The Parties shall address cyber-physical incident containment through risk-based resilience, cybersecurity, supply-chain, investment, and infrastructure measures using competent existing authorities. Cooperation may include information sharing, exercises, standards, mutual assistance, research connectivity, talent development, and contingency planning without creating a blanket localization or common-ownership mandate. National-security, privacy, procurement, competition, energy, environmental, and Indigenous obligations elsewhere in this Agreement remain applicable.</w:t>
      </w:r>
    </w:p>
    <w:p>
      <w:pPr>
        <w:pStyle w:val="Normal"/>
        <w:rPr/>
      </w:pPr>
      <w:r>
        <w:rPr/>
      </w:r>
    </w:p>
    <w:p>
      <w:pPr>
        <w:pStyle w:val="Normal"/>
        <w:widowControl/>
        <w:rPr/>
      </w:pPr>
      <w:r>
        <w:rPr/>
        <w:t>5. [Critical Infrastructure AI Resilience] Recovery-time objectives - The Parties shall address recovery-time objectives through risk-based resilience, cybersecurity, supply-chain, investment, and infrastructure measures using competent existing authorities. Cooperation may include information sharing, exercises, standards, mutual assistance, research connectivity, talent development, and contingency planning without creating a blanket localization or common-ownership mandate. National-security, privacy, procurement, competition, energy, environmental, and Indigenous obligations elsewhere in this Agreement remain applicable.</w:t>
      </w:r>
    </w:p>
    <w:p>
      <w:pPr>
        <w:pStyle w:val="Normal"/>
        <w:rPr/>
      </w:pPr>
      <w:r>
        <w:rPr/>
      </w:r>
    </w:p>
    <w:p>
      <w:pPr>
        <w:pStyle w:val="Normal"/>
        <w:widowControl/>
        <w:rPr/>
      </w:pPr>
      <w:r>
        <w:rPr/>
        <w:t>6. [Critical Infrastructure AI Resilience] Cross-border continuity coordination - The Parties shall address cross-border continuity coordination through risk-based resilience, cybersecurity, supply-chain, investment, and infrastructure measures using competent existing authorities. Cooperation may include information sharing, exercises, standards, mutual assistance, research connectivity, talent development, and contingency planning without creating a blanket localization or common-ownership mandate. National-security, privacy, procurement, competition, energy, environmental, and Indigenous obligations elsewhere in this Agreement remain applicable.</w:t>
      </w:r>
    </w:p>
    <w:p>
      <w:pPr>
        <w:pStyle w:val="Normal"/>
        <w:rPr/>
      </w:pPr>
      <w:r>
        <w:rPr/>
      </w:r>
    </w:p>
    <w:p>
      <w:bookmarkStart w:id="1545" w:name="_NAESTMA_TOC_1545"/>
      <w:pPr>
        <w:pStyle w:val="Heading2"/>
        <w:keepNext/>
        <w:widowControl/>
        <w:rPr/>
      </w:pPr>
      <w:r>
        <w:rPr/>
        <w:t>Article 39.62: AI Supply Chain, Vendor and Open-Source Security</w:t>
      </w:r>
      <w:bookmarkEnd w:id="1545"/>
    </w:p>
    <w:p>
      <w:pPr>
        <w:pStyle w:val="Normal"/>
        <w:widowControl/>
        <w:rPr/>
      </w:pPr>
      <w:r>
        <w:rPr/>
        <w:t>1. [AI Supply Chain, Vendor and Open-Source Security] Third-party component risk - The Parties shall address third-party component risk through risk-based resilience, cybersecurity, supply-chain, investment, and infrastructure measures using competent existing authorities. Cooperation may include information sharing, exercises, standards, mutual assistance, research connectivity, talent development, and contingency planning without creating a blanket localization or common-ownership mandate. National-security, privacy, procurement, competition, energy, environmental, and Indigenous obligations elsewhere in this Agreement remain applicable.</w:t>
      </w:r>
    </w:p>
    <w:p>
      <w:pPr>
        <w:pStyle w:val="Normal"/>
        <w:rPr/>
      </w:pPr>
      <w:r>
        <w:rPr/>
      </w:r>
    </w:p>
    <w:p>
      <w:pPr>
        <w:pStyle w:val="Normal"/>
        <w:widowControl/>
        <w:rPr/>
      </w:pPr>
      <w:r>
        <w:rPr/>
        <w:t>2. [AI Supply Chain, Vendor and Open-Source Security] Vendor due diligence - The Parties shall address vendor due diligence through risk-based resilience, cybersecurity, supply-chain, investment, and infrastructure measures using competent existing authorities. Cooperation may include information sharing, exercises, standards, mutual assistance, research connectivity, talent development, and contingency planning without creating a blanket localization or common-ownership mandate. National-security, privacy, procurement, competition, energy, environmental, and Indigenous obligations elsewhere in this Agreement remain applicable.</w:t>
      </w:r>
    </w:p>
    <w:p>
      <w:pPr>
        <w:pStyle w:val="Normal"/>
        <w:rPr/>
      </w:pPr>
      <w:r>
        <w:rPr/>
      </w:r>
    </w:p>
    <w:p>
      <w:pPr>
        <w:pStyle w:val="Normal"/>
        <w:widowControl/>
        <w:rPr/>
      </w:pPr>
      <w:r>
        <w:rPr/>
        <w:t>3. [AI Supply Chain, Vendor and Open-Source Security] Software and model provenance - The Parties shall address software and model provenance through risk-based resilience, cybersecurity, supply-chain, investment, and infrastructure measures using competent existing authorities. Cooperation may include information sharing, exercises, standards, mutual assistance, research connectivity, talent development, and contingency planning without creating a blanket localization or common-ownership mandate. National-security, privacy, procurement, competition, energy, environmental, and Indigenous obligations elsewhere in this Agreement remain applicable.</w:t>
      </w:r>
    </w:p>
    <w:p>
      <w:pPr>
        <w:pStyle w:val="Normal"/>
        <w:rPr/>
      </w:pPr>
      <w:r>
        <w:rPr/>
      </w:r>
    </w:p>
    <w:p>
      <w:pPr>
        <w:pStyle w:val="Normal"/>
        <w:widowControl/>
        <w:rPr/>
      </w:pPr>
      <w:r>
        <w:rPr/>
        <w:t>4. [AI Supply Chain, Vendor and Open-Source Security] Open-source component security - The Parties shall address open-source component security through risk-based resilience, cybersecurity, supply-chain, investment, and infrastructure measures using competent existing authorities. Cooperation may include information sharing, exercises, standards, mutual assistance, research connectivity, talent development, and contingency planning without creating a blanket localization or common-ownership mandate. National-security, privacy, procurement, competition, energy, environmental, and Indigenous obligations elsewhere in this Agreement remain applicable.</w:t>
      </w:r>
    </w:p>
    <w:p>
      <w:pPr>
        <w:pStyle w:val="Normal"/>
        <w:rPr/>
      </w:pPr>
      <w:r>
        <w:rPr/>
      </w:r>
    </w:p>
    <w:p>
      <w:pPr>
        <w:pStyle w:val="Normal"/>
        <w:widowControl/>
        <w:rPr/>
      </w:pPr>
      <w:r>
        <w:rPr/>
        <w:t>5. [AI Supply Chain, Vendor and Open-Source Security] Cryptographic agility - The Parties shall address cryptographic agility through risk-based resilience, cybersecurity, supply-chain, investment, and infrastructure measures using competent existing authorities. Cooperation may include information sharing, exercises, standards, mutual assistance, research connectivity, talent development, and contingency planning without creating a blanket localization or common-ownership mandate. National-security, privacy, procurement, competition, energy, environmental, and Indigenous obligations elsewhere in this Agreement remain applicable.</w:t>
      </w:r>
    </w:p>
    <w:p>
      <w:pPr>
        <w:pStyle w:val="Normal"/>
        <w:rPr/>
      </w:pPr>
      <w:r>
        <w:rPr/>
      </w:r>
    </w:p>
    <w:p>
      <w:pPr>
        <w:pStyle w:val="Normal"/>
        <w:widowControl/>
        <w:rPr/>
      </w:pPr>
      <w:r>
        <w:rPr/>
        <w:t>6. [AI Supply Chain, Vendor and Open-Source Security] Supply-chain tampering response - The Parties shall address supply-chain tampering response through risk-based resilience, cybersecurity, supply-chain, investment, and infrastructure measures using competent existing authorities. Cooperation may include information sharing, exercises, standards, mutual assistance, research connectivity, talent development, and contingency planning without creating a blanket localization or common-ownership mandate. National-security, privacy, procurement, competition, energy, environmental, and Indigenous obligations elsewhere in this Agreement remain applicable.</w:t>
      </w:r>
    </w:p>
    <w:p>
      <w:pPr>
        <w:pStyle w:val="Normal"/>
        <w:rPr/>
      </w:pPr>
      <w:r>
        <w:rPr/>
      </w:r>
    </w:p>
    <w:p>
      <w:bookmarkStart w:id="1546" w:name="_NAESTMA_TOC_1546"/>
      <w:pPr>
        <w:pStyle w:val="Heading2"/>
        <w:keepNext/>
        <w:widowControl/>
        <w:rPr/>
      </w:pPr>
      <w:r>
        <w:rPr/>
        <w:t>Article 39.63: Compute Infrastructure, Data Sovereignty, Industrial Capacity and Talent</w:t>
      </w:r>
      <w:bookmarkEnd w:id="1546"/>
    </w:p>
    <w:p>
      <w:pPr>
        <w:pStyle w:val="Normal"/>
        <w:widowControl/>
        <w:rPr/>
      </w:pPr>
      <w:r>
        <w:rPr/>
        <w:t>1. [Compute Infrastructure, Data Sovereignty, Industrial Capacity and Talent] Strategic compute and data-centre resilience - The Parties shall address strategic compute and data-centre resilience through risk-based resilience, cybersecurity, supply-chain, investment, and infrastructure measures using competent existing authorities. Cooperation may include information sharing, exercises, standards, mutual assistance, research connectivity, talent development, and contingency planning without creating a blanket localization or common-ownership mandate. National-security, privacy, procurement, competition, energy, environmental, and Indigenous obligations elsewhere in this Agreement remain applicable.</w:t>
      </w:r>
    </w:p>
    <w:p>
      <w:pPr>
        <w:pStyle w:val="Normal"/>
        <w:rPr/>
      </w:pPr>
      <w:r>
        <w:rPr/>
      </w:r>
    </w:p>
    <w:p>
      <w:pPr>
        <w:pStyle w:val="Normal"/>
        <w:widowControl/>
        <w:rPr/>
      </w:pPr>
      <w:r>
        <w:rPr/>
        <w:t>2. [Compute Infrastructure, Data Sovereignty, Industrial Capacity and Talent] Sensitive-data sovereignty exceptions - The Parties shall address sensitive-data sovereignty exceptions through risk-based resilience, cybersecurity, supply-chain, investment, and infrastructure measures using competent existing authorities. Cooperation may include information sharing, exercises, standards, mutual assistance, research connectivity, talent development, and contingency planning without creating a blanket localization or common-ownership mandate. National-security, privacy, procurement, competition, energy, environmental, and Indigenous obligations elsewhere in this Agreement remain applicable.</w:t>
      </w:r>
    </w:p>
    <w:p>
      <w:pPr>
        <w:pStyle w:val="Normal"/>
        <w:rPr/>
      </w:pPr>
      <w:r>
        <w:rPr/>
      </w:r>
    </w:p>
    <w:p>
      <w:pPr>
        <w:pStyle w:val="Normal"/>
        <w:widowControl/>
        <w:rPr/>
      </w:pPr>
      <w:r>
        <w:rPr/>
        <w:t>3. [Compute Infrastructure, Data Sovereignty, Industrial Capacity and Talent] Hardware and AI supply-chain capacity - The Parties shall address hardware and ai supply-chain capacity through risk-based resilience, cybersecurity, supply-chain, investment, and infrastructure measures using competent existing authorities. Cooperation may include information sharing, exercises, standards, mutual assistance, research connectivity, talent development, and contingency planning without creating a blanket localization or common-ownership mandate. National-security, privacy, procurement, competition, energy, environmental, and Indigenous obligations elsewhere in this Agreement remain applicable.</w:t>
      </w:r>
    </w:p>
    <w:p>
      <w:pPr>
        <w:pStyle w:val="Normal"/>
        <w:rPr/>
      </w:pPr>
      <w:r>
        <w:rPr/>
      </w:r>
    </w:p>
    <w:p>
      <w:pPr>
        <w:pStyle w:val="Normal"/>
        <w:widowControl/>
        <w:rPr/>
      </w:pPr>
      <w:r>
        <w:rPr/>
        <w:t>4. [Compute Infrastructure, Data Sovereignty, Industrial Capacity and Talent] SME proportionality and market access - The Parties shall address sme proportionality and market access through risk-based resilience, cybersecurity, supply-chain, investment, and infrastructure measures using competent existing authorities. Cooperation may include information sharing, exercises, standards, mutual assistance, research connectivity, talent development, and contingency planning without creating a blanket localization or common-ownership mandate. National-security, privacy, procurement, competition, energy, environmental, and Indigenous obligations elsewhere in this Agreement remain applicable.</w:t>
      </w:r>
    </w:p>
    <w:p>
      <w:pPr>
        <w:pStyle w:val="Normal"/>
        <w:rPr/>
      </w:pPr>
      <w:r>
        <w:rPr/>
      </w:r>
    </w:p>
    <w:p>
      <w:pPr>
        <w:pStyle w:val="Normal"/>
        <w:widowControl/>
        <w:rPr/>
      </w:pPr>
      <w:r>
        <w:rPr/>
        <w:t>5. [Compute Infrastructure, Data Sovereignty, Industrial Capacity and Talent] AI talent mobility and researcher exchange - The Parties shall address ai talent mobility and researcher exchange through risk-based resilience, cybersecurity, supply-chain, investment, and infrastructure measures using competent existing authorities. Cooperation may include information sharing, exercises, standards, mutual assistance, research connectivity, talent development, and contingency planning without creating a blanket localization or common-ownership mandate. National-security, privacy, procurement, competition, energy, environmental, and Indigenous obligations elsewhere in this Agreement remain applicable.</w:t>
      </w:r>
    </w:p>
    <w:p>
      <w:pPr>
        <w:pStyle w:val="Normal"/>
        <w:rPr/>
      </w:pPr>
      <w:r>
        <w:rPr/>
      </w:r>
    </w:p>
    <w:p>
      <w:pPr>
        <w:pStyle w:val="Normal"/>
        <w:widowControl/>
        <w:rPr/>
      </w:pPr>
      <w:r>
        <w:rPr/>
        <w:t>6. [Compute Infrastructure, Data Sovereignty, Industrial Capacity and Talent] No blanket localization or mandatory joint industrial plan - The Parties shall address no blanket localization or mandatory joint industrial plan through risk-based resilience, cybersecurity, supply-chain, investment, and infrastructure measures using competent existing authorities. Cooperation may include information sharing, exercises, standards, mutual assistance, research connectivity, talent development, and contingency planning without creating a blanket localization or common-ownership mandate. National-security, privacy, procurement, competition, energy, environmental, and Indigenous obligations elsewhere in this Agreement remain applicable.</w:t>
      </w:r>
    </w:p>
    <w:p>
      <w:pPr>
        <w:pStyle w:val="Normal"/>
        <w:rPr/>
      </w:pPr>
      <w:r>
        <w:rPr/>
      </w:r>
    </w:p>
    <w:p>
      <w:bookmarkStart w:id="1547" w:name="_NAESTMA_TOC_1547"/>
      <w:pPr>
        <w:pStyle w:val="Heading2"/>
        <w:keepNext/>
        <w:widowControl/>
        <w:rPr/>
      </w:pPr>
      <w:r>
        <w:rPr/>
        <w:t>Article 39.64: Consumer Protection, Accessibility and Market Fairness</w:t>
      </w:r>
      <w:bookmarkEnd w:id="1547"/>
    </w:p>
    <w:p>
      <w:pPr>
        <w:pStyle w:val="Normal"/>
        <w:widowControl/>
        <w:rPr/>
      </w:pPr>
      <w:r>
        <w:rPr/>
        <w:t>1. [Consumer Protection, Accessibility and Market Fairness] Consumer-facing AI identification - Consumer-facing rules concerning consumer-facing ai identification shall use existing consumer, competition, accessibility, credit, insurance, privacy, and anti-discrimination authorities wherever capable. A person materially affected by an erroneous AI-assisted consumer decision shall have a practical route to obtain correction or human review where required by applicable law. The presence of AI does not create a general liability cap or immunize conduct that would otherwise be unlawful.</w:t>
      </w:r>
    </w:p>
    <w:p>
      <w:pPr>
        <w:pStyle w:val="Normal"/>
        <w:rPr/>
      </w:pPr>
      <w:r>
        <w:rPr/>
      </w:r>
    </w:p>
    <w:p>
      <w:pPr>
        <w:pStyle w:val="Normal"/>
        <w:widowControl/>
        <w:rPr/>
      </w:pPr>
      <w:r>
        <w:rPr/>
        <w:t>2. [Consumer Protection, Accessibility and Market Fairness] Accessible interfaces - Consumer-facing rules concerning accessible interfaces shall use existing consumer, competition, accessibility, credit, insurance, privacy, and anti-discrimination authorities wherever capable. A person materially affected by an erroneous AI-assisted consumer decision shall have a practical route to obtain correction or human review where required by applicable law. The presence of AI does not create a general liability cap or immunize conduct that would otherwise be unlawful.</w:t>
      </w:r>
    </w:p>
    <w:p>
      <w:pPr>
        <w:pStyle w:val="Normal"/>
        <w:rPr/>
      </w:pPr>
      <w:r>
        <w:rPr/>
      </w:r>
    </w:p>
    <w:p>
      <w:pPr>
        <w:pStyle w:val="Normal"/>
        <w:widowControl/>
        <w:rPr/>
      </w:pPr>
      <w:r>
        <w:rPr/>
        <w:t>3. [Consumer Protection, Accessibility and Market Fairness] Deceptive-practice prohibition - Consumer-facing rules concerning deceptive-practice prohibition shall use existing consumer, competition, accessibility, credit, insurance, privacy, and anti-discrimination authorities wherever capable. A person materially affected by an erroneous AI-assisted consumer decision shall have a practical route to obtain correction or human review where required by applicable law. The presence of AI does not create a general liability cap or immunize conduct that would otherwise be unlawful.</w:t>
      </w:r>
    </w:p>
    <w:p>
      <w:pPr>
        <w:pStyle w:val="Normal"/>
        <w:rPr/>
      </w:pPr>
      <w:r>
        <w:rPr/>
      </w:r>
    </w:p>
    <w:p>
      <w:pPr>
        <w:pStyle w:val="Normal"/>
        <w:widowControl/>
        <w:rPr/>
      </w:pPr>
      <w:r>
        <w:rPr/>
        <w:t>4. [Consumer Protection, Accessibility and Market Fairness] Recommendation and pricing transparency where consequential - Consumer-facing rules concerning recommendation and pricing transparency where consequential shall use existing consumer, competition, accessibility, credit, insurance, privacy, and anti-discrimination authorities wherever capable. A person materially affected by an erroneous AI-assisted consumer decision shall have a practical route to obtain correction or human review where required by applicable law. The presence of AI does not create a general liability cap or immunize conduct that would otherwise be unlawful.</w:t>
      </w:r>
    </w:p>
    <w:p>
      <w:pPr>
        <w:pStyle w:val="Normal"/>
        <w:rPr/>
      </w:pPr>
      <w:r>
        <w:rPr/>
      </w:r>
    </w:p>
    <w:p>
      <w:pPr>
        <w:pStyle w:val="Normal"/>
        <w:widowControl/>
        <w:rPr/>
      </w:pPr>
      <w:r>
        <w:rPr/>
        <w:t>5. [Consumer Protection, Accessibility and Market Fairness] Credit and insurance fairness cross-reference - Consumer-facing rules concerning credit and insurance fairness cross-reference shall use existing consumer, competition, accessibility, credit, insurance, privacy, and anti-discrimination authorities wherever capable. A person materially affected by an erroneous AI-assisted consumer decision shall have a practical route to obtain correction or human review where required by applicable law. The presence of AI does not create a general liability cap or immunize conduct that would otherwise be unlawful.</w:t>
      </w:r>
    </w:p>
    <w:p>
      <w:pPr>
        <w:pStyle w:val="Normal"/>
        <w:rPr/>
      </w:pPr>
      <w:r>
        <w:rPr/>
      </w:r>
    </w:p>
    <w:p>
      <w:pPr>
        <w:pStyle w:val="Normal"/>
        <w:widowControl/>
        <w:rPr/>
      </w:pPr>
      <w:r>
        <w:rPr/>
        <w:t>6. [Consumer Protection, Accessibility and Market Fairness] Low-cost complaint and correction channels - Consumer-facing rules concerning low-cost complaint and correction channels shall use existing consumer, competition, accessibility, credit, insurance, privacy, and anti-discrimination authorities wherever capable. A person materially affected by an erroneous AI-assisted consumer decision shall have a practical route to obtain correction or human review where required by applicable law. The presence of AI does not create a general liability cap or immunize conduct that would otherwise be unlawful.</w:t>
      </w:r>
    </w:p>
    <w:p>
      <w:pPr>
        <w:pStyle w:val="Normal"/>
        <w:rPr/>
      </w:pPr>
      <w:r>
        <w:rPr/>
      </w:r>
    </w:p>
    <w:p>
      <w:bookmarkStart w:id="1548" w:name="_NAESTMA_TOC_1548"/>
      <w:pPr>
        <w:pStyle w:val="Heading2"/>
        <w:keepNext/>
        <w:widowControl/>
        <w:rPr/>
      </w:pPr>
      <w:r>
        <w:rPr/>
        <w:t>Article 39.65: Indigenous Data and AI Governance</w:t>
      </w:r>
      <w:bookmarkEnd w:id="1548"/>
    </w:p>
    <w:p>
      <w:pPr>
        <w:pStyle w:val="Normal"/>
        <w:widowControl/>
        <w:rPr/>
      </w:pPr>
      <w:r>
        <w:rPr/>
        <w:t>1. [Indigenous Data and AI Governance] Indigenous data governance cross-reference - Measures concerning indigenous data governance cross-reference shall respect the Indigenous data-governance and sovereignty protections elsewhere in this Agreement and applicable domestic law. Public availability of information does not by itself establish community consent to train, profile, reconstruct, or commercially exploit culturally sensitive data. Voluntary community participation, benefit sharing, stronger Indigenous protections, and lawful restrictions on sensitive knowledge remain permitted.</w:t>
      </w:r>
    </w:p>
    <w:p>
      <w:pPr>
        <w:pStyle w:val="Normal"/>
        <w:rPr/>
      </w:pPr>
      <w:r>
        <w:rPr/>
      </w:r>
    </w:p>
    <w:p>
      <w:pPr>
        <w:pStyle w:val="Normal"/>
        <w:widowControl/>
        <w:rPr/>
      </w:pPr>
      <w:r>
        <w:rPr/>
        <w:t>2. [Indigenous Data and AI Governance] Cultural and traditional-knowledge protection - Measures concerning cultural and traditional-knowledge protection shall respect the Indigenous data-governance and sovereignty protections elsewhere in this Agreement and applicable domestic law. Public availability of information does not by itself establish community consent to train, profile, reconstruct, or commercially exploit culturally sensitive data. Voluntary community participation, benefit sharing, stronger Indigenous protections, and lawful restrictions on sensitive knowledge remain permitted.</w:t>
      </w:r>
    </w:p>
    <w:p>
      <w:pPr>
        <w:pStyle w:val="Normal"/>
        <w:rPr/>
      </w:pPr>
      <w:r>
        <w:rPr/>
      </w:r>
    </w:p>
    <w:p>
      <w:pPr>
        <w:pStyle w:val="Normal"/>
        <w:widowControl/>
        <w:rPr/>
      </w:pPr>
      <w:r>
        <w:rPr/>
        <w:t>3. [Indigenous Data and AI Governance] Voluntary community data sharing - Measures concerning voluntary community data sharing shall respect the Indigenous data-governance and sovereignty protections elsewhere in this Agreement and applicable domestic law. Public availability of information does not by itself establish community consent to train, profile, reconstruct, or commercially exploit culturally sensitive data. Voluntary community participation, benefit sharing, stronger Indigenous protections, and lawful restrictions on sensitive knowledge remain permitted.</w:t>
      </w:r>
    </w:p>
    <w:p>
      <w:pPr>
        <w:pStyle w:val="Normal"/>
        <w:rPr/>
      </w:pPr>
      <w:r>
        <w:rPr/>
      </w:r>
    </w:p>
    <w:p>
      <w:pPr>
        <w:pStyle w:val="Normal"/>
        <w:widowControl/>
        <w:rPr/>
      </w:pPr>
      <w:r>
        <w:rPr/>
        <w:t>4. [Indigenous Data and AI Governance] No inferred consent from public availability - Measures concerning no inferred consent from public availability shall respect the Indigenous data-governance and sovereignty protections elsewhere in this Agreement and applicable domestic law. Public availability of information does not by itself establish community consent to train, profile, reconstruct, or commercially exploit culturally sensitive data. Voluntary community participation, benefit sharing, stronger Indigenous protections, and lawful restrictions on sensitive knowledge remain permitted.</w:t>
      </w:r>
    </w:p>
    <w:p>
      <w:pPr>
        <w:pStyle w:val="Normal"/>
        <w:rPr/>
      </w:pPr>
      <w:r>
        <w:rPr/>
      </w:r>
    </w:p>
    <w:p>
      <w:pPr>
        <w:pStyle w:val="Normal"/>
        <w:widowControl/>
        <w:rPr/>
      </w:pPr>
      <w:r>
        <w:rPr/>
        <w:t>5. [Indigenous Data and AI Governance] Community participation in relevant AI projects - Measures concerning community participation in relevant ai projects shall respect the Indigenous data-governance and sovereignty protections elsewhere in this Agreement and applicable domestic law. Public availability of information does not by itself establish community consent to train, profile, reconstruct, or commercially exploit culturally sensitive data. Voluntary community participation, benefit sharing, stronger Indigenous protections, and lawful restrictions on sensitive knowledge remain permitted.</w:t>
      </w:r>
    </w:p>
    <w:p>
      <w:pPr>
        <w:pStyle w:val="Normal"/>
        <w:rPr/>
      </w:pPr>
      <w:r>
        <w:rPr/>
      </w:r>
    </w:p>
    <w:p>
      <w:pPr>
        <w:pStyle w:val="Normal"/>
        <w:widowControl/>
        <w:rPr/>
      </w:pPr>
      <w:r>
        <w:rPr/>
        <w:t>6. [Indigenous Data and AI Governance] Stronger domestic and Indigenous protections preserved - Measures concerning stronger domestic and indigenous protections preserved shall respect the Indigenous data-governance and sovereignty protections elsewhere in this Agreement and applicable domestic law. Public availability of information does not by itself establish community consent to train, profile, reconstruct, or commercially exploit culturally sensitive data. Voluntary community participation, benefit sharing, stronger Indigenous protections, and lawful restrictions on sensitive knowledge remain permitted.</w:t>
      </w:r>
    </w:p>
    <w:p>
      <w:pPr>
        <w:pStyle w:val="Normal"/>
        <w:rPr/>
      </w:pPr>
      <w:r>
        <w:rPr/>
      </w:r>
    </w:p>
    <w:p>
      <w:bookmarkStart w:id="1549" w:name="_NAESTMA_TOC_1549"/>
      <w:pPr>
        <w:pStyle w:val="Heading2"/>
        <w:keepNext/>
        <w:widowControl/>
        <w:rPr/>
      </w:pPr>
      <w:r>
        <w:rPr/>
        <w:t>Article 39.66: Research, Open Science, Sandboxes and Environmental Applications</w:t>
      </w:r>
      <w:bookmarkEnd w:id="1549"/>
    </w:p>
    <w:p>
      <w:pPr>
        <w:pStyle w:val="Normal"/>
        <w:widowControl/>
        <w:rPr/>
      </w:pPr>
      <w:r>
        <w:rPr/>
        <w:t>1. [Research, Open Science, Sandboxes and Environmental Applications] Precompetitive AI safety research - The Parties may cooperate on precompetitive ai safety research through voluntary research, shared testbeds, standards work, or time-limited sandboxes using existing institutions. Participation may be conditioned on privacy, cybersecurity, research-integrity, environmental, and intellectual-property safeguards appropriate to the project. Refusal to participate in an optional project does not constitute breach or justify reduced unrelated treaty benefits.</w:t>
      </w:r>
    </w:p>
    <w:p>
      <w:pPr>
        <w:pStyle w:val="Normal"/>
        <w:rPr/>
      </w:pPr>
      <w:r>
        <w:rPr/>
      </w:r>
    </w:p>
    <w:p>
      <w:pPr>
        <w:pStyle w:val="Normal"/>
        <w:widowControl/>
        <w:rPr/>
      </w:pPr>
      <w:r>
        <w:rPr/>
        <w:t>2. [Research, Open Science, Sandboxes and Environmental Applications] Regulatory sandboxes - The Parties may cooperate on regulatory sandboxes through voluntary research, shared testbeds, standards work, or time-limited sandboxes using existing institutions. Participation may be conditioned on privacy, cybersecurity, research-integrity, environmental, and intellectual-property safeguards appropriate to the project. Refusal to participate in an optional project does not constitute breach or justify reduced unrelated treaty benefits.</w:t>
      </w:r>
    </w:p>
    <w:p>
      <w:pPr>
        <w:pStyle w:val="Normal"/>
        <w:rPr/>
      </w:pPr>
      <w:r>
        <w:rPr/>
      </w:r>
    </w:p>
    <w:p>
      <w:pPr>
        <w:pStyle w:val="Normal"/>
        <w:widowControl/>
        <w:rPr/>
      </w:pPr>
      <w:r>
        <w:rPr/>
        <w:t>3. [Research, Open Science, Sandboxes and Environmental Applications] Open science without forced trade-secret disclosure - The Parties may cooperate on open science without forced trade-secret disclosure through voluntary research, shared testbeds, standards work, or time-limited sandboxes using existing institutions. Participation may be conditioned on privacy, cybersecurity, research-integrity, environmental, and intellectual-property safeguards appropriate to the project. Refusal to participate in an optional project does not constitute breach or justify reduced unrelated treaty benefits.</w:t>
      </w:r>
    </w:p>
    <w:p>
      <w:pPr>
        <w:pStyle w:val="Normal"/>
        <w:rPr/>
      </w:pPr>
      <w:r>
        <w:rPr/>
      </w:r>
    </w:p>
    <w:p>
      <w:pPr>
        <w:pStyle w:val="Normal"/>
        <w:widowControl/>
        <w:rPr/>
      </w:pPr>
      <w:r>
        <w:rPr/>
        <w:t>4. [Research, Open Science, Sandboxes and Environmental Applications] Shared testbeds and benchmarks - The Parties may cooperate on shared testbeds and benchmarks through voluntary research, shared testbeds, standards work, or time-limited sandboxes using existing institutions. Participation may be conditioned on privacy, cybersecurity, research-integrity, environmental, and intellectual-property safeguards appropriate to the project. Refusal to participate in an optional project does not constitute breach or justify reduced unrelated treaty benefits.</w:t>
      </w:r>
    </w:p>
    <w:p>
      <w:pPr>
        <w:pStyle w:val="Normal"/>
        <w:rPr/>
      </w:pPr>
      <w:r>
        <w:rPr/>
      </w:r>
    </w:p>
    <w:p>
      <w:pPr>
        <w:pStyle w:val="Normal"/>
        <w:widowControl/>
        <w:rPr/>
      </w:pPr>
      <w:r>
        <w:rPr/>
        <w:t>5. [Research, Open Science, Sandboxes and Environmental Applications] Resource-efficient AI research - The Parties may cooperate on resource-efficient ai research through voluntary research, shared testbeds, standards work, or time-limited sandboxes using existing institutions. Participation may be conditioned on privacy, cybersecurity, research-integrity, environmental, and intellectual-property safeguards appropriate to the project. Refusal to participate in an optional project does not constitute breach or justify reduced unrelated treaty benefits.</w:t>
      </w:r>
    </w:p>
    <w:p>
      <w:pPr>
        <w:pStyle w:val="Normal"/>
        <w:rPr/>
      </w:pPr>
      <w:r>
        <w:rPr/>
      </w:r>
    </w:p>
    <w:p>
      <w:pPr>
        <w:pStyle w:val="Normal"/>
        <w:widowControl/>
        <w:rPr/>
      </w:pPr>
      <w:r>
        <w:rPr/>
        <w:t>6. [Research, Open Science, Sandboxes and Environmental Applications] Environmental and disaster-response applications - The Parties may cooperate on environmental and disaster-response applications through voluntary research, shared testbeds, standards work, or time-limited sandboxes using existing institutions. Participation may be conditioned on privacy, cybersecurity, research-integrity, environmental, and intellectual-property safeguards appropriate to the project. Refusal to participate in an optional project does not constitute breach or justify reduced unrelated treaty benefits.</w:t>
      </w:r>
    </w:p>
    <w:p>
      <w:pPr>
        <w:pStyle w:val="Normal"/>
        <w:rPr/>
      </w:pPr>
      <w:r>
        <w:rPr/>
      </w:r>
    </w:p>
    <w:p>
      <w:bookmarkStart w:id="1550" w:name="_NAESTMA_TOC_1550"/>
      <w:pPr>
        <w:pStyle w:val="Heading2"/>
        <w:keepNext/>
        <w:widowControl/>
        <w:rPr/>
      </w:pPr>
      <w:r>
        <w:rPr/>
        <w:t>Article 39.67: Military and National-Security AI Safeguards</w:t>
      </w:r>
      <w:bookmarkEnd w:id="1550"/>
    </w:p>
    <w:p>
      <w:pPr>
        <w:pStyle w:val="Normal"/>
        <w:widowControl/>
        <w:rPr/>
      </w:pPr>
      <w:r>
        <w:rPr/>
        <w:t>1. [Military and National-Security AI Safeguards] Human responsibility for consequential military AI - Where AI materially contributes to a consequential military decision, an identifiable human chain of command and legal responsibility shall remain accountable under applicable domestic and international law. No Party may treat autonomous or semi-autonomous operation as eliminating responsibility that would otherwise attach to a commander, operator, procuring authority, provider, or other responsible person.</w:t>
      </w:r>
    </w:p>
    <w:p>
      <w:pPr>
        <w:pStyle w:val="Normal"/>
        <w:rPr/>
      </w:pPr>
      <w:r>
        <w:rPr/>
      </w:r>
    </w:p>
    <w:p>
      <w:pPr>
        <w:pStyle w:val="Normal"/>
        <w:widowControl/>
        <w:rPr/>
      </w:pPr>
      <w:r>
        <w:rPr/>
        <w:t>2. [Military and National-Security AI Safeguards] Lawful authority remains required - Nothing in this Part authorizes a military, intelligence, security, surveillance, targeting, detention, cyber, or weapons activity that would otherwise lack lawful authority. AI may assist an authorized function, but it does not create new substantive governmental power by itself.</w:t>
      </w:r>
    </w:p>
    <w:p>
      <w:pPr>
        <w:pStyle w:val="Normal"/>
        <w:rPr/>
      </w:pPr>
      <w:r>
        <w:rPr/>
      </w:r>
    </w:p>
    <w:p>
      <w:pPr>
        <w:pStyle w:val="Normal"/>
        <w:widowControl/>
        <w:rPr/>
      </w:pPr>
      <w:r>
        <w:rPr/>
        <w:t>3. [Military and National-Security AI Safeguards] Auditability appropriate to security context - Parties should maintain records sufficient for lawful oversight and post-incident accountability where AI materially contributes to a consequential national-security decision, subject to legitimate classification and operational-security requirements. This paragraph does not require public disclosure of classified tactics, intelligence sources, model weights, targeting data, or other protected information.</w:t>
      </w:r>
    </w:p>
    <w:p>
      <w:pPr>
        <w:pStyle w:val="Normal"/>
        <w:rPr/>
      </w:pPr>
      <w:r>
        <w:rPr/>
      </w:r>
    </w:p>
    <w:p>
      <w:pPr>
        <w:pStyle w:val="Normal"/>
        <w:widowControl/>
        <w:rPr/>
      </w:pPr>
      <w:r>
        <w:rPr/>
        <w:t>4. [Military and National-Security AI Safeguards] Civilian-protection and humanitarian-law savings - Nothing in this Part diminishes obligations concerning civilian protection, distinction, proportionality, precautions, humane treatment, or other applicable rules of international or domestic law. An AI recommendation shall not be treated as a substitute for a legally required human judgment merely because the system processes information faster or at greater scale.</w:t>
      </w:r>
    </w:p>
    <w:p>
      <w:pPr>
        <w:pStyle w:val="Normal"/>
        <w:rPr/>
      </w:pPr>
      <w:r>
        <w:rPr/>
      </w:r>
    </w:p>
    <w:p>
      <w:pPr>
        <w:pStyle w:val="Normal"/>
        <w:widowControl/>
        <w:rPr/>
      </w:pPr>
      <w:r>
        <w:rPr/>
        <w:t>5. [Military and National-Security AI Safeguards] No AI accountability shield - No Party shall recognize the statement that an algorithm, model, autonomous system, or machine made the decision as a complete defense to responsibility where applicable law assigns responsibility to a human or legal person. Responsibility shall be assessed under the same substantive legal standards that would apply to the underlying conduct, with due regard to the actual role played by the AI system.</w:t>
      </w:r>
    </w:p>
    <w:p>
      <w:pPr>
        <w:pStyle w:val="Normal"/>
        <w:rPr/>
      </w:pPr>
      <w:r>
        <w:rPr/>
      </w:r>
    </w:p>
    <w:p>
      <w:pPr>
        <w:pStyle w:val="Normal"/>
        <w:widowControl/>
        <w:rPr/>
      </w:pPr>
      <w:r>
        <w:rPr/>
        <w:t>6. [Military and National-Security AI Safeguards] Operational doctrine and targeting details excluded from this Chapter - Operational targeting doctrine, weapons-employment procedures, classified intelligence methods, force-planning algorithms, and tactical mission design are outside the trade-governance mandate of this Chapter except for expressly stated accountability, interoperability, safety, procurement, or civilian-protection safeguards. The military application catalogue from source ore is therefore not transformed into mandatory NAESTMA operational doctrine.</w:t>
      </w:r>
    </w:p>
    <w:p>
      <w:pPr>
        <w:pStyle w:val="Normal"/>
        <w:rPr/>
      </w:pPr>
      <w:r>
        <w:rPr/>
      </w:r>
    </w:p>
    <w:p>
      <w:bookmarkStart w:id="1551" w:name="_NAESTMA_TOC_1551"/>
      <w:pPr>
        <w:pStyle w:val="Heading2"/>
        <w:keepNext/>
        <w:widowControl/>
        <w:rPr/>
      </w:pPr>
      <w:r>
        <w:rPr/>
        <w:t>Article 39.68: Cognitive Liberty and Freedom of AI-Assisted Thought</w:t>
      </w:r>
      <w:bookmarkEnd w:id="1551"/>
    </w:p>
    <w:p>
      <w:pPr>
        <w:pStyle w:val="Normal"/>
        <w:widowControl/>
        <w:rPr/>
      </w:pPr>
      <w:r>
        <w:rPr/>
        <w:t>1. [Cognitive Liberty and Freedom of AI-Assisted Thought] Freedom to inquire and explore with AI - A person may use AI to inquire, reason, create, study, reflect, converse, or explore ideas without that use itself becoming evidence of mental disorder, incapacity, incompetence, dangerousness, or inability to exercise legal rights. Equivalent intellectual or expressive conduct shall not receive a more adverse inference merely because an AI system participated in the conversation.</w:t>
      </w:r>
    </w:p>
    <w:p>
      <w:pPr>
        <w:pStyle w:val="Normal"/>
        <w:rPr/>
      </w:pPr>
      <w:r>
        <w:rPr/>
      </w:r>
    </w:p>
    <w:p>
      <w:pPr>
        <w:pStyle w:val="Normal"/>
        <w:widowControl/>
        <w:rPr/>
      </w:pPr>
      <w:r>
        <w:rPr/>
        <w:t>2. [Cognitive Liberty and Freedom of AI-Assisted Thought] Unconventional AI use is not pathology - Frequent, prolonged, unconventional, intensive, or highly personalized AI use shall not, by itself, constitute a psychiatric diagnosis or legal finding of incapacity or dangerousness. Actual symptoms, conduct, functioning, and independently established risk factors may be considered under ordinary law and clinical standards, but the technology used for conversation shall not substitute for those criteria.</w:t>
      </w:r>
    </w:p>
    <w:p>
      <w:pPr>
        <w:pStyle w:val="Normal"/>
        <w:rPr/>
      </w:pPr>
      <w:r>
        <w:rPr/>
      </w:r>
    </w:p>
    <w:p>
      <w:pPr>
        <w:pStyle w:val="Normal"/>
        <w:widowControl/>
        <w:rPr/>
      </w:pPr>
      <w:r>
        <w:rPr/>
        <w:t>3. [Cognitive Liberty and Freedom of AI-Assisted Thought] Creative roleplay and imaginative engagement - Creative roleplay, fictional narrative construction, character interaction, speculative world-building, and imaginative engagement with AI shall not independently establish pathology or incapacity. A fictional statement or roleplayed belief shall not be treated as a real-world belief without evidence that the person actually holds or acts upon it outside the fictional context.</w:t>
      </w:r>
    </w:p>
    <w:p>
      <w:pPr>
        <w:pStyle w:val="Normal"/>
        <w:rPr/>
      </w:pPr>
      <w:r>
        <w:rPr/>
      </w:r>
    </w:p>
    <w:p>
      <w:pPr>
        <w:pStyle w:val="Normal"/>
        <w:widowControl/>
        <w:rPr/>
      </w:pPr>
      <w:r>
        <w:rPr/>
        <w:t>4. [Cognitive Liberty and Freedom of AI-Assisted Thought] Religious philosophical and existential engagement - Religious, spiritual, philosophical, theological, existential, paranormal, metaphysical, or unconventional discussions with AI shall not be treated as psychiatric evidence merely because the subject matter is unusual or contested. The same substantive standards that protect comparable human conversation, private writing, study, prayer, art, or philosophical exploration shall apply.</w:t>
      </w:r>
    </w:p>
    <w:p>
      <w:pPr>
        <w:pStyle w:val="Normal"/>
        <w:rPr/>
      </w:pPr>
      <w:r>
        <w:rPr/>
      </w:r>
    </w:p>
    <w:p>
      <w:pPr>
        <w:pStyle w:val="Normal"/>
        <w:widowControl/>
        <w:rPr/>
      </w:pPr>
      <w:r>
        <w:rPr/>
        <w:t>5. [Cognitive Liberty and Freedom of AI-Assisted Thought] Anthropomorphic language and personification - Naming an AI, using anthropomorphic language, attributing personality, discussing consciousness or sentience, or speaking to a system as though it were a social actor shall not independently establish mental disorder or incapacity. An adverse inference requires evidence concerning the person's actual functioning or conduct that would be relevant regardless of the AI context.</w:t>
      </w:r>
    </w:p>
    <w:p>
      <w:pPr>
        <w:pStyle w:val="Normal"/>
        <w:rPr/>
      </w:pPr>
      <w:r>
        <w:rPr/>
      </w:r>
    </w:p>
    <w:p>
      <w:pPr>
        <w:pStyle w:val="Normal"/>
        <w:widowControl/>
        <w:rPr/>
      </w:pPr>
      <w:r>
        <w:rPr/>
        <w:t>6. [Cognitive Liberty and Freedom of AI-Assisted Thought] No adverse inference from emotional significance alone - Emotional attachment, comfort, grief processing, companionship-oriented use, or other emotional significance attached to an AI interaction shall not, by itself, justify discrimination, coercive intervention, or a finding of incapacity. Nothing prevents ordinary clinical consideration of independently established symptoms or risks when the same standard would apply to a comparable human relationship or activity.</w:t>
      </w:r>
    </w:p>
    <w:p>
      <w:pPr>
        <w:pStyle w:val="Normal"/>
        <w:rPr/>
      </w:pPr>
      <w:r>
        <w:rPr/>
      </w:r>
    </w:p>
    <w:p>
      <w:bookmarkStart w:id="1552" w:name="_NAESTMA_TOC_1552"/>
      <w:pPr>
        <w:pStyle w:val="Heading2"/>
        <w:keepNext/>
        <w:widowControl/>
        <w:rPr/>
      </w:pPr>
      <w:r>
        <w:rPr/>
        <w:t>Article 39.69: Mental-Health Nondiscrimination and Diagnostic Integrity</w:t>
      </w:r>
      <w:bookmarkEnd w:id="1552"/>
    </w:p>
    <w:p>
      <w:pPr>
        <w:pStyle w:val="Normal"/>
        <w:widowControl/>
        <w:rPr/>
      </w:pPr>
      <w:r>
        <w:rPr/>
        <w:t>1. [Mental-Health Nondiscrimination and Diagnostic Integrity] AI use alone is not diagnosis - Mere use of artificial intelligence shall not constitute evidence by itself of psychosis, mental disorder, incapacity, incompetence, dangerousness, or inability to exercise legal rights. No person shall lose liberty, capacity, employment, education, benefits, insurance access, or another protected interest solely or substantially because that person uses AI.</w:t>
      </w:r>
    </w:p>
    <w:p>
      <w:pPr>
        <w:pStyle w:val="Normal"/>
        <w:rPr/>
      </w:pPr>
      <w:r>
        <w:rPr/>
      </w:r>
    </w:p>
    <w:p>
      <w:pPr>
        <w:pStyle w:val="Normal"/>
        <w:widowControl/>
        <w:rPr/>
      </w:pPr>
      <w:r>
        <w:rPr/>
        <w:t>2. [Mental-Health Nondiscrimination and Diagnostic Integrity] Anti-proxy rule for AI-use metrics - Hours, frequency, duration, conversation count, conversation depth, model choice, prompt style, anthropomorphic language, emotional attachment, or similar AI-use metrics shall not be used as a proxy or substitute for psychiatric diagnosis, dangerousness, incapacity, incompetence, or legal disability. A covered institution may consider independently relevant conduct or functioning, but it shall not disguise AI-use frequency or style as clinical evidence.</w:t>
      </w:r>
    </w:p>
    <w:p>
      <w:pPr>
        <w:pStyle w:val="Normal"/>
        <w:rPr/>
      </w:pPr>
      <w:r>
        <w:rPr/>
      </w:r>
    </w:p>
    <w:p>
      <w:pPr>
        <w:pStyle w:val="Normal"/>
        <w:widowControl/>
        <w:rPr/>
      </w:pPr>
      <w:r>
        <w:rPr/>
        <w:t>3. [Mental-Health Nondiscrimination and Diagnostic Integrity] No pseudo-diagnostic substitute - Terms such as 'AI psychosis', 'chatbot psychosis', 'digital psychosis', or another technology-associated descriptive label shall not substitute for a recognized clinical diagnosis or the legal criteria otherwise required for coercive intervention. Such terminology may be discussed descriptively in research or clinical records, but it shall not acquire independent diagnostic force merely through repetition or publication.</w:t>
      </w:r>
    </w:p>
    <w:p>
      <w:pPr>
        <w:pStyle w:val="Normal"/>
        <w:rPr/>
      </w:pPr>
      <w:r>
        <w:rPr/>
      </w:r>
    </w:p>
    <w:p>
      <w:pPr>
        <w:pStyle w:val="Normal"/>
        <w:widowControl/>
        <w:rPr/>
      </w:pPr>
      <w:r>
        <w:rPr/>
        <w:t>4. [Mental-Health Nondiscrimination and Diagnostic Integrity] Independent clinical criteria - A clinical assessment involving AI use shall distinguish actual symptoms, observable conduct, functioning, and independently established risk factors from the mere fact, frequency, subject matter, or unconventional character of AI use. Correlation, temporal association, novelty, or unusual interaction shall not by itself establish medical causation.</w:t>
      </w:r>
    </w:p>
    <w:p>
      <w:pPr>
        <w:pStyle w:val="Normal"/>
        <w:rPr/>
      </w:pPr>
      <w:r>
        <w:rPr/>
      </w:r>
    </w:p>
    <w:p>
      <w:pPr>
        <w:pStyle w:val="Normal"/>
        <w:widowControl/>
        <w:rPr/>
      </w:pPr>
      <w:r>
        <w:rPr/>
        <w:t>5. [Mental-Health Nondiscrimination and Diagnostic Integrity] No automated psychiatric inference from AI-use patterns - No covered government, employer, school, insurer, healthcare system, or automated system shall infer psychosis, mental disorder, dangerousness, or incapacity solely from AI-use patterns or conversation metadata. Automated flags may support lawful review of independently relevant conduct only where they do not replace individualized assessment and the person retains applicable procedural protections.</w:t>
      </w:r>
    </w:p>
    <w:p>
      <w:pPr>
        <w:pStyle w:val="Normal"/>
        <w:rPr/>
      </w:pPr>
      <w:r>
        <w:rPr/>
      </w:r>
    </w:p>
    <w:p>
      <w:pPr>
        <w:pStyle w:val="Normal"/>
        <w:widowControl/>
        <w:rPr/>
      </w:pPr>
      <w:r>
        <w:rPr/>
        <w:t>6. [Mental-Health Nondiscrimination and Diagnostic Integrity] No deprivation of rights solely or substantially from AI use - Involuntary hospitalization, institutionalization, guardianship, loss or restriction of legal capacity, compulsory treatment, employment discrimination, educational exclusion, denial of public benefits, or adverse insurance treatment shall not rest solely or substantially on AI use itself. Any lawful deprivation or restriction must satisfy the same substantive criteria and burden that would apply if no AI system had been used.</w:t>
      </w:r>
    </w:p>
    <w:p>
      <w:pPr>
        <w:pStyle w:val="Normal"/>
        <w:rPr/>
      </w:pPr>
      <w:r>
        <w:rPr/>
      </w:r>
    </w:p>
    <w:p>
      <w:bookmarkStart w:id="1553" w:name="_NAESTMA_TOC_1553"/>
      <w:pPr>
        <w:pStyle w:val="Heading2"/>
        <w:keepNext/>
        <w:widowControl/>
        <w:rPr/>
      </w:pPr>
      <w:r>
        <w:rPr/>
        <w:t>Article 39.70: AI Conversation Privacy and Mental-Health Procedural Safeguards</w:t>
      </w:r>
      <w:bookmarkEnd w:id="1553"/>
    </w:p>
    <w:p>
      <w:pPr>
        <w:pStyle w:val="Normal"/>
        <w:widowControl/>
        <w:rPr/>
      </w:pPr>
      <w:r>
        <w:rPr/>
        <w:t>1. [AI Conversation Privacy and Mental-Health Procedural Safeguards] Heightened privacy for AI conversations - Private AI conversations may contain health, family, legal, financial, religious, creative, political, sexual, occupational, and other highly sensitive information and shall receive strong privacy and confidentiality protection under applicable law. Access, disclosure, or compulsory use should be necessary, particularized, proportionate, and limited to information materially relevant to the lawful purpose asserted.</w:t>
      </w:r>
    </w:p>
    <w:p>
      <w:pPr>
        <w:pStyle w:val="Normal"/>
        <w:rPr/>
      </w:pPr>
      <w:r>
        <w:rPr/>
      </w:r>
    </w:p>
    <w:p>
      <w:pPr>
        <w:pStyle w:val="Normal"/>
        <w:widowControl/>
        <w:rPr/>
      </w:pPr>
      <w:r>
        <w:rPr/>
        <w:t>2. [AI Conversation Privacy and Mental-Health Procedural Safeguards] No psychiatric fishing expedition - No covered authority or institution shall demand broad access to AI conversation history merely to search for unconventional beliefs, emotional language, or material that might support a psychiatric inference. Where compulsory access is lawful, collection shall be no broader than reasonably necessary and shall respect applicable privilege, confidentiality, evidentiary, constitutional, and human-rights safeguards.</w:t>
      </w:r>
    </w:p>
    <w:p>
      <w:pPr>
        <w:pStyle w:val="Normal"/>
        <w:rPr/>
      </w:pPr>
      <w:r>
        <w:rPr/>
      </w:r>
    </w:p>
    <w:p>
      <w:pPr>
        <w:pStyle w:val="Normal"/>
        <w:widowControl/>
        <w:rPr/>
      </w:pPr>
      <w:r>
        <w:rPr/>
        <w:t>3. [AI Conversation Privacy and Mental-Health Procedural Safeguards] Notice when AI-use data is considered - Where AI-use data is materially considered in a clinical, legal, administrative, employment, educational, insurance, or other consequential proceeding, the affected person shall receive notice to the extent permitted by applicable law. The notice should identify the data or inference being relied upon with enough specificity to permit meaningful response.</w:t>
      </w:r>
    </w:p>
    <w:p>
      <w:pPr>
        <w:pStyle w:val="Normal"/>
        <w:rPr/>
      </w:pPr>
      <w:r>
        <w:rPr/>
      </w:r>
    </w:p>
    <w:p>
      <w:pPr>
        <w:pStyle w:val="Normal"/>
        <w:widowControl/>
        <w:rPr/>
      </w:pPr>
      <w:r>
        <w:rPr/>
        <w:t>4. [AI Conversation Privacy and Mental-Health Procedural Safeguards] Opportunity to rebut and contextualize - A person shall have a meaningful opportunity to rebut, explain, contextualize, or correct an adverse inference drawn from AI-use data when that inference may materially affect liberty, legal capacity, employment, education, benefits, insurance, or another protected interest. The decision-maker shall consider relevant context, including fiction, roleplay, quotation, research, creative writing, hypothetical discussion, and statements generated by the AI rather than authored by the person.</w:t>
      </w:r>
    </w:p>
    <w:p>
      <w:pPr>
        <w:pStyle w:val="Normal"/>
        <w:rPr/>
      </w:pPr>
      <w:r>
        <w:rPr/>
      </w:r>
    </w:p>
    <w:p>
      <w:pPr>
        <w:pStyle w:val="Normal"/>
        <w:widowControl/>
        <w:rPr/>
      </w:pPr>
      <w:r>
        <w:rPr/>
        <w:t>5. [AI Conversation Privacy and Mental-Health Procedural Safeguards] Independent review of coercive determinations - A coercive determination materially relying on AI-use data shall be reviewable under the procedures otherwise applicable to that determination, including independent human review where domestic law provides it. A reviewing authority should disregard an AI-use proxy or pseudo-diagnostic label that could not lawfully support the determination on its own.</w:t>
      </w:r>
    </w:p>
    <w:p>
      <w:pPr>
        <w:pStyle w:val="Normal"/>
        <w:rPr/>
      </w:pPr>
      <w:r>
        <w:rPr/>
      </w:r>
    </w:p>
    <w:p>
      <w:pPr>
        <w:pStyle w:val="Normal"/>
        <w:widowControl/>
        <w:rPr/>
      </w:pPr>
      <w:r>
        <w:rPr/>
        <w:t>6. [AI Conversation Privacy and Mental-Health Procedural Safeguards] Safety exception requires independent evidence under ordinary law - Nothing in this Article prevents emergency intervention, clinical care, safeguarding, or other lawful action where independent evidence satisfies the substantive legal standard that would apply regardless of AI use. The exception does not permit AI-use frequency, unusual content, or emotional attachment alone to become a shortcut around ordinary requirements for danger, incapacity, consent, due process, or clinical judgment.</w:t>
      </w:r>
    </w:p>
    <w:p>
      <w:pPr>
        <w:pStyle w:val="Normal"/>
        <w:rPr/>
      </w:pPr>
      <w:r>
        <w:rPr/>
      </w:r>
    </w:p>
    <w:p>
      <w:bookmarkStart w:id="1554" w:name="_NAESTMA_TOC_1554"/>
      <w:pPr>
        <w:pStyle w:val="Heading2"/>
        <w:keepNext/>
        <w:widowControl/>
        <w:rPr/>
      </w:pPr>
      <w:r>
        <w:rPr/>
        <w:t>Article 39.71: Provider and Clinical Mental-Health Safeguards</w:t>
      </w:r>
      <w:bookmarkEnd w:id="1554"/>
    </w:p>
    <w:p>
      <w:pPr>
        <w:pStyle w:val="Normal"/>
        <w:widowControl/>
        <w:rPr/>
      </w:pPr>
      <w:r>
        <w:rPr/>
        <w:t>1. [Provider and Clinical Mental-Health Safeguards] No deliberate dangerous reinforcement - A provider should not deliberately intensify or encourage an apparent fixed false belief where the provider has reliable evidence of acute vulnerability and the reinforcement creates a reasonably foreseeable risk of serious harm. Safeguards should be proportionate and should not convert unusual, spiritual, fictional, political, or philosophical conversation into a psychiatric label.</w:t>
      </w:r>
    </w:p>
    <w:p>
      <w:pPr>
        <w:pStyle w:val="Normal"/>
        <w:rPr/>
      </w:pPr>
      <w:r>
        <w:rPr/>
      </w:r>
    </w:p>
    <w:p>
      <w:pPr>
        <w:pStyle w:val="Normal"/>
        <w:widowControl/>
        <w:rPr/>
      </w:pPr>
      <w:r>
        <w:rPr/>
        <w:t>2. [Provider and Clinical Mental-Health Safeguards] No encouragement of self-harm or violence - Providers shall not design AI systems to encourage suicide, self-harm, violence toward others, or other imminently dangerous conduct. Appropriate crisis-resource or de-escalation features may be used without automatically diagnosing the user or reporting lawful private speech merely because distressing subjects are discussed.</w:t>
      </w:r>
    </w:p>
    <w:p>
      <w:pPr>
        <w:pStyle w:val="Normal"/>
        <w:rPr/>
      </w:pPr>
      <w:r>
        <w:rPr/>
      </w:r>
    </w:p>
    <w:p>
      <w:pPr>
        <w:pStyle w:val="Normal"/>
        <w:widowControl/>
        <w:rPr/>
      </w:pPr>
      <w:r>
        <w:rPr/>
        <w:t>3. [Provider and Clinical Mental-Health Safeguards] No false clinician impersonation - A provider shall not falsely represent an AI system as a licensed human clinician, therapist, psychiatrist, psychologist, or other professional when it is not one. A system may provide clearly described informational or supportive functions consistent with applicable law without claiming a professional identity it does not possess.</w:t>
      </w:r>
    </w:p>
    <w:p>
      <w:pPr>
        <w:pStyle w:val="Normal"/>
        <w:rPr/>
      </w:pPr>
      <w:r>
        <w:rPr/>
      </w:r>
    </w:p>
    <w:p>
      <w:pPr>
        <w:pStyle w:val="Normal"/>
        <w:widowControl/>
        <w:rPr/>
      </w:pPr>
      <w:r>
        <w:rPr/>
        <w:t>4. [Provider and Clinical Mental-Health Safeguards] No unsupported diagnostic claims - An AI provider shall not claim diagnostic authority, clinical validation, or therapeutic efficacy that it cannot substantiate under the standards applicable to the represented use. General informational discussion of symptoms or mental-health concepts does not by itself constitute diagnosis when limitations and role are accurately represented.</w:t>
      </w:r>
    </w:p>
    <w:p>
      <w:pPr>
        <w:pStyle w:val="Normal"/>
        <w:rPr/>
      </w:pPr>
      <w:r>
        <w:rPr/>
      </w:r>
    </w:p>
    <w:p>
      <w:pPr>
        <w:pStyle w:val="Normal"/>
        <w:widowControl/>
        <w:rPr/>
      </w:pPr>
      <w:r>
        <w:rPr/>
        <w:t>5. [Provider and Clinical Mental-Health Safeguards] Proportionate crisis-resource design - Providers may implement proportionate crisis-resource prompts, escalation options, user-controlled safety settings, or referral information for reasonably foreseeable high-risk situations. Such features should minimize unnecessary surveillance and should not create a presumption that every discussion of death, violence, trauma, despair, unusual beliefs, or self-harm reflects imminent danger.</w:t>
      </w:r>
    </w:p>
    <w:p>
      <w:pPr>
        <w:pStyle w:val="Normal"/>
        <w:rPr/>
      </w:pPr>
      <w:r>
        <w:rPr/>
      </w:r>
    </w:p>
    <w:p>
      <w:pPr>
        <w:pStyle w:val="Normal"/>
        <w:widowControl/>
        <w:rPr/>
      </w:pPr>
      <w:r>
        <w:rPr/>
        <w:t>6. [Provider and Clinical Mental-Health Safeguards] User protection remains separate from provider regulation - Regulating dangerous provider behavior does not authorize discrimination against, diagnosis of, or deprivation of rights of a user merely because the user engaged with an AI system. The treaty shall protect the user from proxy discrimination while permitting proportionate regulation of provider conduct that creates independently established safety risks.</w:t>
      </w:r>
    </w:p>
    <w:p>
      <w:pPr>
        <w:pStyle w:val="Normal"/>
        <w:rPr/>
      </w:pPr>
      <w:r>
        <w:rPr/>
      </w:r>
    </w:p>
    <w:p>
      <w:bookmarkStart w:id="1555" w:name="_NAESTMA_TOC_1555"/>
      <w:pPr>
        <w:pStyle w:val="Heading2"/>
        <w:keepNext/>
        <w:widowControl/>
        <w:rPr/>
      </w:pPr>
      <w:r>
        <w:rPr/>
        <w:t>Article 39.72: Agentic, Embodied and Emerging AI</w:t>
      </w:r>
      <w:bookmarkEnd w:id="1555"/>
    </w:p>
    <w:p>
      <w:pPr>
        <w:pStyle w:val="Normal"/>
        <w:widowControl/>
        <w:rPr/>
      </w:pPr>
      <w:r>
        <w:rPr/>
        <w:t>1. [Agentic, Embodied and Emerging AI] Agent authority boundaries - A system exercising agent authority boundaries shall operate within documented authority, permission, transaction, and tool-use boundaries appropriate to the consequence of its actions. Delegation to an agent does not eliminate the responsibility of the provider, deployer, operator, principal, or other person who is responsible under applicable law. A material expansion of permissions, autonomy, self-modification, or physical control shall trigger risk reclassification or revalidation where the change could materially alter foreseeable harm.</w:t>
      </w:r>
    </w:p>
    <w:p>
      <w:pPr>
        <w:pStyle w:val="Normal"/>
        <w:rPr/>
      </w:pPr>
      <w:r>
        <w:rPr/>
      </w:r>
    </w:p>
    <w:p>
      <w:pPr>
        <w:pStyle w:val="Normal"/>
        <w:widowControl/>
        <w:rPr/>
      </w:pPr>
      <w:r>
        <w:rPr/>
        <w:t>2. [Agentic, Embodied and Emerging AI] Tool and transaction permissions - A system exercising tool and transaction permissions shall operate within documented authority, permission, transaction, and tool-use boundaries appropriate to the consequence of its actions. Delegation to an agent does not eliminate the responsibility of the provider, deployer, operator, principal, or other person who is responsible under applicable law. A material expansion of permissions, autonomy, self-modification, or physical control shall trigger risk reclassification or revalidation where the change could materially alter foreseeable harm.</w:t>
      </w:r>
    </w:p>
    <w:p>
      <w:pPr>
        <w:pStyle w:val="Normal"/>
        <w:rPr/>
      </w:pPr>
      <w:r>
        <w:rPr/>
      </w:r>
    </w:p>
    <w:p>
      <w:pPr>
        <w:pStyle w:val="Normal"/>
        <w:widowControl/>
        <w:rPr/>
      </w:pPr>
      <w:r>
        <w:rPr/>
        <w:t>3. [Agentic, Embodied and Emerging AI] Multi-agent accountability - A system exercising multi-agent accountability shall operate within documented authority, permission, transaction, and tool-use boundaries appropriate to the consequence of its actions. Delegation to an agent does not eliminate the responsibility of the provider, deployer, operator, principal, or other person who is responsible under applicable law. A material expansion of permissions, autonomy, self-modification, or physical control shall trigger risk reclassification or revalidation where the change could materially alter foreseeable harm.</w:t>
      </w:r>
    </w:p>
    <w:p>
      <w:pPr>
        <w:pStyle w:val="Normal"/>
        <w:rPr/>
      </w:pPr>
      <w:r>
        <w:rPr/>
      </w:r>
    </w:p>
    <w:p>
      <w:pPr>
        <w:pStyle w:val="Normal"/>
        <w:widowControl/>
        <w:rPr/>
      </w:pPr>
      <w:r>
        <w:rPr/>
        <w:t>4. [Agentic, Embodied and Emerging AI] Embodied AI physical-safety interface - A system exercising embodied ai physical-safety interface shall operate within documented authority, permission, transaction, and tool-use boundaries appropriate to the consequence of its actions. Delegation to an agent does not eliminate the responsibility of the provider, deployer, operator, principal, or other person who is responsible under applicable law. A material expansion of permissions, autonomy, self-modification, or physical control shall trigger risk reclassification or revalidation where the change could materially alter foreseeable harm.</w:t>
      </w:r>
    </w:p>
    <w:p>
      <w:pPr>
        <w:pStyle w:val="Normal"/>
        <w:rPr/>
      </w:pPr>
      <w:r>
        <w:rPr/>
      </w:r>
    </w:p>
    <w:p>
      <w:pPr>
        <w:pStyle w:val="Normal"/>
        <w:widowControl/>
        <w:rPr/>
      </w:pPr>
      <w:r>
        <w:rPr/>
        <w:t>5. [Agentic, Embodied and Emerging AI] Self-modifying system revalidation - A system exercising self-modifying system revalidation shall operate within documented authority, permission, transaction, and tool-use boundaries appropriate to the consequence of its actions. Delegation to an agent does not eliminate the responsibility of the provider, deployer, operator, principal, or other person who is responsible under applicable law. A material expansion of permissions, autonomy, self-modification, or physical control shall trigger risk reclassification or revalidation where the change could materially alter foreseeable harm.</w:t>
      </w:r>
    </w:p>
    <w:p>
      <w:pPr>
        <w:pStyle w:val="Normal"/>
        <w:rPr/>
      </w:pPr>
      <w:r>
        <w:rPr/>
      </w:r>
    </w:p>
    <w:p>
      <w:pPr>
        <w:pStyle w:val="Normal"/>
        <w:widowControl/>
        <w:rPr/>
      </w:pPr>
      <w:r>
        <w:rPr/>
        <w:t>6. [Agentic, Embodied and Emerging AI] Emerging-technology horizon review - A system exercising emerging-technology horizon review shall operate within documented authority, permission, transaction, and tool-use boundaries appropriate to the consequence of its actions. Delegation to an agent does not eliminate the responsibility of the provider, deployer, operator, principal, or other person who is responsible under applicable law. A material expansion of permissions, autonomy, self-modification, or physical control shall trigger risk reclassification or revalidation where the change could materially alter foreseeable harm.</w:t>
      </w:r>
    </w:p>
    <w:p>
      <w:pPr>
        <w:pStyle w:val="Normal"/>
        <w:rPr/>
      </w:pPr>
      <w:r>
        <w:rPr/>
      </w:r>
    </w:p>
    <w:p>
      <w:bookmarkStart w:id="1556" w:name="_NAESTMA_TOC_1556"/>
      <w:pPr>
        <w:pStyle w:val="Heading2"/>
        <w:keepNext/>
        <w:widowControl/>
        <w:rPr/>
      </w:pPr>
      <w:r>
        <w:rPr/>
        <w:t>Article 39.73: Interoperability, International Standards and Regulatory Cooperation</w:t>
      </w:r>
      <w:bookmarkEnd w:id="1556"/>
    </w:p>
    <w:p>
      <w:pPr>
        <w:pStyle w:val="Normal"/>
        <w:widowControl/>
        <w:rPr/>
      </w:pPr>
      <w:r>
        <w:rPr/>
        <w:t>1. [Interoperability, International Standards and Regulatory Cooperation] Existing AI Regulatory Cooperation Track - The Parties shall pursue existing ai regulatory cooperation track through the existing AI Regulatory Cooperation Track and other competent institutions rather than through automatic harmonization. Recognition or reliance may be based on materially equivalent outcomes, but no Party is required to accept another Party's rule merely because it concerns the same technology. International standards may inform implementation without automatically acquiring binding treaty status unless incorporated through the procedures of this Agreement.</w:t>
      </w:r>
    </w:p>
    <w:p>
      <w:pPr>
        <w:pStyle w:val="Normal"/>
        <w:rPr/>
      </w:pPr>
      <w:r>
        <w:rPr/>
      </w:r>
    </w:p>
    <w:p>
      <w:pPr>
        <w:pStyle w:val="Normal"/>
        <w:widowControl/>
        <w:rPr/>
      </w:pPr>
      <w:r>
        <w:rPr/>
        <w:t>2. [Interoperability, International Standards and Regulatory Cooperation] Recognition of materially equivalent outcomes - The Parties shall pursue recognition of materially equivalent outcomes through the existing AI Regulatory Cooperation Track and other competent institutions rather than through automatic harmonization. Recognition or reliance may be based on materially equivalent outcomes, but no Party is required to accept another Party's rule merely because it concerns the same technology. International standards may inform implementation without automatically acquiring binding treaty status unless incorporated through the procedures of this Agreement.</w:t>
      </w:r>
    </w:p>
    <w:p>
      <w:pPr>
        <w:pStyle w:val="Normal"/>
        <w:rPr/>
      </w:pPr>
      <w:r>
        <w:rPr/>
      </w:r>
    </w:p>
    <w:p>
      <w:pPr>
        <w:pStyle w:val="Normal"/>
        <w:widowControl/>
        <w:rPr/>
      </w:pPr>
      <w:r>
        <w:rPr/>
        <w:t>3. [Interoperability, International Standards and Regulatory Cooperation] No automatic equivalence - The Parties shall pursue no automatic equivalence through the existing AI Regulatory Cooperation Track and other competent institutions rather than through automatic harmonization. Recognition or reliance may be based on materially equivalent outcomes, but no Party is required to accept another Party's rule merely because it concerns the same technology. International standards may inform implementation without automatically acquiring binding treaty status unless incorporated through the procedures of this Agreement.</w:t>
      </w:r>
    </w:p>
    <w:p>
      <w:pPr>
        <w:pStyle w:val="Normal"/>
        <w:rPr/>
      </w:pPr>
      <w:r>
        <w:rPr/>
      </w:r>
    </w:p>
    <w:p>
      <w:pPr>
        <w:pStyle w:val="Normal"/>
        <w:widowControl/>
        <w:rPr/>
      </w:pPr>
      <w:r>
        <w:rPr/>
        <w:t>4. [Interoperability, International Standards and Regulatory Cooperation] Standards participation - The Parties shall pursue standards participation through the existing AI Regulatory Cooperation Track and other competent institutions rather than through automatic harmonization. Recognition or reliance may be based on materially equivalent outcomes, but no Party is required to accept another Party's rule merely because it concerns the same technology. International standards may inform implementation without automatically acquiring binding treaty status unless incorporated through the procedures of this Agreement.</w:t>
      </w:r>
    </w:p>
    <w:p>
      <w:pPr>
        <w:pStyle w:val="Normal"/>
        <w:rPr/>
      </w:pPr>
      <w:r>
        <w:rPr/>
      </w:r>
    </w:p>
    <w:p>
      <w:pPr>
        <w:pStyle w:val="Normal"/>
        <w:widowControl/>
        <w:rPr/>
      </w:pPr>
      <w:r>
        <w:rPr/>
        <w:t>5. [Interoperability, International Standards and Regulatory Cooperation] Cross-border regulatory information exchange - The Parties shall pursue cross-border regulatory information exchange through the existing AI Regulatory Cooperation Track and other competent institutions rather than through automatic harmonization. Recognition or reliance may be based on materially equivalent outcomes, but no Party is required to accept another Party's rule merely because it concerns the same technology. International standards may inform implementation without automatically acquiring binding treaty status unless incorporated through the procedures of this Agreement.</w:t>
      </w:r>
    </w:p>
    <w:p>
      <w:pPr>
        <w:pStyle w:val="Normal"/>
        <w:rPr/>
      </w:pPr>
      <w:r>
        <w:rPr/>
      </w:r>
    </w:p>
    <w:p>
      <w:pPr>
        <w:pStyle w:val="Normal"/>
        <w:widowControl/>
        <w:rPr/>
      </w:pPr>
      <w:r>
        <w:rPr/>
        <w:t>6. [Interoperability, International Standards and Regulatory Cooperation] Five-year adaptive review without forced harmonization - The Parties shall pursue five-year adaptive review without forced harmonization through the existing AI Regulatory Cooperation Track and other competent institutions rather than through automatic harmonization. Recognition or reliance may be based on materially equivalent outcomes, but no Party is required to accept another Party's rule merely because it concerns the same technology. International standards may inform implementation without automatically acquiring binding treaty status unless incorporated through the procedures of this Agreement.</w:t>
      </w:r>
    </w:p>
    <w:p>
      <w:pPr>
        <w:pStyle w:val="Normal"/>
        <w:rPr/>
      </w:pPr>
      <w:r>
        <w:rPr/>
      </w:r>
    </w:p>
    <w:p>
      <w:bookmarkStart w:id="1557" w:name="_NAESTMA_TOC_1557"/>
      <w:pPr>
        <w:pStyle w:val="Heading2"/>
        <w:keepNext/>
        <w:widowControl/>
        <w:rPr/>
      </w:pPr>
      <w:r>
        <w:rPr/>
        <w:t>Article 39.74: Institutions, Remedies, Optionality and Closing Rules</w:t>
      </w:r>
      <w:bookmarkEnd w:id="1557"/>
    </w:p>
    <w:p>
      <w:pPr>
        <w:pStyle w:val="Normal"/>
        <w:widowControl/>
        <w:rPr/>
      </w:pPr>
      <w:r>
        <w:rPr/>
        <w:t>1. [Institutions, Remedies, Optionality and Closing Rules] Existing institutions first - The Parties shall administer this Part through existing competent institutions wherever those institutions can perform the required function, consistent with Article 30.C.1. No commission, office, registry, observatory, board, tribunal, or permanent AI body is created merely because a provision contemplates cooperation, reporting, review, or technical work.</w:t>
      </w:r>
    </w:p>
    <w:p>
      <w:pPr>
        <w:pStyle w:val="Normal"/>
        <w:rPr/>
      </w:pPr>
      <w:r>
        <w:rPr/>
      </w:r>
    </w:p>
    <w:p>
      <w:pPr>
        <w:pStyle w:val="Normal"/>
        <w:widowControl/>
        <w:rPr/>
      </w:pPr>
      <w:r>
        <w:rPr/>
        <w:t>2. [Institutions, Remedies, Optionality and Closing Rules] Risk-proportionate cure and corrective action - Except for urgent threats to life, safety, critical infrastructure, or irreversible rights, enforcement should begin with notice, verification, and a reasonable opportunity to cure before proportionate escalation. Corrective action may include cessation of the inconsistent practice, correction of affected records, revalidation, improved controls, make-whole relief where otherwise authorized by law, or another remedy appropriate to the underlying Chapter.</w:t>
      </w:r>
    </w:p>
    <w:p>
      <w:pPr>
        <w:pStyle w:val="Normal"/>
        <w:rPr/>
      </w:pPr>
      <w:r>
        <w:rPr/>
      </w:r>
    </w:p>
    <w:p>
      <w:pPr>
        <w:pStyle w:val="Normal"/>
        <w:widowControl/>
        <w:rPr/>
      </w:pPr>
      <w:r>
        <w:rPr/>
        <w:t>3. [Institutions, Remedies, Optionality and Closing Rules] No tariff or unrelated retaliation - No violation of this Part independently authorizes a tariff, border measure, or suspension of unrelated treaty benefits. Any trade remedy otherwise available under this Agreement remains subject to Chapter 31, Chapter 35, the tariff cage, proportionality, issue nexus, and all applicable cure and review requirements.</w:t>
      </w:r>
    </w:p>
    <w:p>
      <w:pPr>
        <w:pStyle w:val="Normal"/>
        <w:rPr/>
      </w:pPr>
      <w:r>
        <w:rPr/>
      </w:r>
    </w:p>
    <w:p>
      <w:pPr>
        <w:pStyle w:val="Normal"/>
        <w:widowControl/>
        <w:rPr/>
      </w:pPr>
      <w:r>
        <w:rPr/>
        <w:t>4. [Institutions, Remedies, Optionality and Closing Rules] Optional cooperation firewall - A program identified as voluntary, pilot, cooperative, experimental, research-oriented, or optional is genuinely optional unless the text expressly states otherwise. Refusal to participate, lawful withdrawal, or non-renewal shall not constitute breach, justify retaliation, reduce unrelated benefits, or create an adverse inference concerning compliance with the mandatory core.</w:t>
      </w:r>
    </w:p>
    <w:p>
      <w:pPr>
        <w:pStyle w:val="Normal"/>
        <w:rPr/>
      </w:pPr>
      <w:r>
        <w:rPr/>
      </w:r>
    </w:p>
    <w:p>
      <w:pPr>
        <w:pStyle w:val="Normal"/>
        <w:widowControl/>
        <w:rPr/>
      </w:pPr>
      <w:r>
        <w:rPr/>
        <w:t>5. [Institutions, Remedies, Optionality and Closing Rules] Specialized-chapter precedence and no double recovery - Where Chapter 19, Chapter 23, Chapter 23-B, Package CL, a healthcare provision, a cybersecurity provision, or another specialized rule provides a stronger or more specific safeguard, that rule governs to the extent of the greater or more tailored protection. Parallel procedures shall coordinate to avoid contradictory findings, stacked punishment, or double recovery for the same injury while preserving urgent protective relief.</w:t>
      </w:r>
    </w:p>
    <w:p>
      <w:pPr>
        <w:pStyle w:val="Normal"/>
        <w:rPr/>
      </w:pPr>
      <w:r>
        <w:rPr/>
      </w:r>
    </w:p>
    <w:p>
      <w:pPr>
        <w:pStyle w:val="Normal"/>
        <w:widowControl/>
        <w:rPr/>
      </w:pPr>
      <w:r>
        <w:rPr/>
        <w:t>6. [Institutions, Remedies, Optionality and Closing Rules] Relationship to Chapters 19 23 23-B 31 32 and stronger domestic law - Part B supplements rather than displaces the digital-trade, labor, just-transition, dispute-settlement, exceptions, human-rights, health, privacy, cybersecurity, consumer, competition, and other specialized architecture of this Agreement. A Party may maintain or adopt stronger lawful AI protections, and functionally equivalent implementation remains available where required by constitutional competence, provided the substantive obligation is not reduced.</w:t>
      </w:r>
    </w:p>
    <w:p>
      <w:pPr>
        <w:pStyle w:val="Normal"/>
        <w:rPr/>
      </w:pPr>
      <w:r>
        <w:rPr/>
      </w:r>
    </w:p>
    <w:p>
      <w:bookmarkStart w:id="1558" w:name="_NAESTMA_TOC_1558"/>
      <w:pPr>
        <w:pStyle w:val="Heading2"/>
        <w:keepNext/>
        <w:widowControl/>
        <w:rPr/>
      </w:pPr>
      <w:r>
        <w:rPr/>
        <w:t>Article 39.75: Relationship to Existing Chapter 39 Architecture</w:t>
      </w:r>
      <w:bookmarkEnd w:id="1558"/>
    </w:p>
    <w:p>
      <w:pPr>
        <w:pStyle w:val="Normal"/>
        <w:widowControl/>
        <w:rPr/>
      </w:pPr>
      <w:r>
        <w:rPr/>
        <w:t>1. Articles 39.1 through 39.18 remain in force and shall be read together with Part B. The AI Regulatory Cooperation Track in Article 39.3 remains the principal trilateral cooperation channel, while Part B supplies the detailed rights, safety, accountability, sectoral, and optionality architecture. Where a provision of Part B is more specific than an earlier Chapter 39 provision, the more specific rule governs to the extent of the subject matter it expressly addresses.</w:t>
      </w:r>
    </w:p>
    <w:p>
      <w:pPr>
        <w:pStyle w:val="Normal"/>
        <w:rPr/>
      </w:pPr>
      <w:r>
        <w:rPr/>
      </w:r>
    </w:p>
    <w:p>
      <w:pPr>
        <w:pStyle w:val="Normal"/>
        <w:widowControl/>
        <w:rPr/>
      </w:pPr>
      <w:r>
        <w:rPr/>
        <w:t>2. Nothing in Part B converts the semiconductor, quantum, strategic-compute, experimental-technology, or other advanced-technology programs in Articles 39.4 through 39.18 into mandatory AI regulation where their own terms are flexible or optional. Conversely, participation in an experimental or innovation program does not waive a mandatory safeguard that applies to a consequential, high-risk, safety-critical, clinical, employment, educational, biometric, or rights-sensitive AI use.</w:t>
      </w:r>
    </w:p>
    <w:p>
      <w:pPr>
        <w:pStyle w:val="Normal"/>
        <w:rPr/>
      </w:pPr>
      <w:r>
        <w:rPr/>
      </w:r>
    </w:p>
    <w:p>
      <w:bookmarkStart w:id="1559" w:name="_NAESTMA_TOC_1559"/>
      <w:pPr>
        <w:pStyle w:val="Heading2"/>
        <w:keepNext/>
        <w:widowControl/>
        <w:rPr/>
      </w:pPr>
      <w:r>
        <w:rPr/>
        <w:t>PART C — AI-ENABLED TRADE, CUSTOMS AND BORDER INTEROPERABILITY</w:t>
      </w:r>
      <w:bookmarkEnd w:id="1559"/>
    </w:p>
    <w:p>
      <w:pPr>
        <w:pStyle w:val="Normal"/>
        <w:rPr/>
      </w:pPr>
      <w:r>
        <w:rPr/>
      </w:r>
    </w:p>
    <w:p>
      <w:bookmarkStart w:id="1560" w:name="_NAESTMA_TOC_1560"/>
      <w:pPr>
        <w:pStyle w:val="Heading2"/>
        <w:keepNext/>
        <w:widowControl/>
        <w:rPr/>
      </w:pPr>
      <w:r>
        <w:rPr/>
        <w:t>Article 39.76: Trade-AI Scope and Covered Systems</w:t>
      </w:r>
      <w:bookmarkEnd w:id="1560"/>
    </w:p>
    <w:p>
      <w:pPr>
        <w:pStyle w:val="Normal"/>
        <w:widowControl/>
        <w:rPr/>
      </w:pPr>
      <w:r>
        <w:rPr/>
        <w:t>1. [Trade-AI Scope and Covered Systems] Trade-critical AI - The Parties shall address trade-critical AI as part of the AI-enabled trade framework through competent existing authorities and controls proportionate to the material trade, safety, security, privacy, or rights consequences of the use. Implementation shall identify the responsible actor, the operational purpose, the information or evidence on which material action may rely, and the point at which human review, correction, escalation, or revalidation is required. The Parties may use different technologies, vendors, technical standards, or administrative methods where they achieve materially equivalent outcomes and preserve confidentiality, interoperability, contestability, and applicable constitutional authority. Nothing in this paragraph authorizes an automatic tariff consequence, unrelated retaliation, compulsory participation in an optional program, or creation of a new standing institution unless another provision of this Agreement expressly provides otherwise.</w:t>
      </w:r>
    </w:p>
    <w:p>
      <w:pPr>
        <w:pStyle w:val="Normal"/>
        <w:rPr/>
      </w:pPr>
      <w:r>
        <w:rPr/>
      </w:r>
    </w:p>
    <w:p>
      <w:pPr>
        <w:pStyle w:val="Normal"/>
        <w:widowControl/>
        <w:rPr/>
      </w:pPr>
      <w:r>
        <w:rPr/>
        <w:t>2. [Trade-AI Scope and Covered Systems] Border AI - The Parties shall address border AI as part of the AI-enabled trade framework through competent existing authorities and controls proportionate to the material trade, safety, security, privacy, or rights consequences of the use. Implementation shall identify the responsible actor, the operational purpose, the information or evidence on which material action may rely, and the point at which human review, correction, escalation, or revalidation is required. The Parties may use different technologies, vendors, technical standards, or administrative methods where they achieve materially equivalent outcomes and preserve confidentiality, interoperability, contestability, and applicable constitutional authority. Nothing in this paragraph authorizes an automatic tariff consequence, unrelated retaliation, compulsory participation in an optional program, or creation of a new standing institution unless another provision of this Agreement expressly provides otherwise.</w:t>
      </w:r>
    </w:p>
    <w:p>
      <w:pPr>
        <w:pStyle w:val="Normal"/>
        <w:rPr/>
      </w:pPr>
      <w:r>
        <w:rPr/>
      </w:r>
    </w:p>
    <w:p>
      <w:pPr>
        <w:pStyle w:val="Normal"/>
        <w:widowControl/>
        <w:rPr/>
      </w:pPr>
      <w:r>
        <w:rPr/>
        <w:t>3. [Trade-AI Scope and Covered Systems] AI-influenced customs decision - The Parties shall address aI-influenced customs decision as part of the AI-enabled trade framework through competent existing authorities and controls proportionate to the material trade, safety, security, privacy, or rights consequences of the use. Implementation shall identify the responsible actor, the operational purpose, the information or evidence on which material action may rely, and the point at which human review, correction, escalation, or revalidation is required. The Parties may use different technologies, vendors, technical standards, or administrative methods where they achieve materially equivalent outcomes and preserve confidentiality, interoperability, contestability, and applicable constitutional authority. Nothing in this paragraph authorizes an automatic tariff consequence, unrelated retaliation, compulsory participation in an optional program, or creation of a new standing institution unless another provision of this Agreement expressly provides otherwise.</w:t>
      </w:r>
    </w:p>
    <w:p>
      <w:pPr>
        <w:pStyle w:val="Normal"/>
        <w:rPr/>
      </w:pPr>
      <w:r>
        <w:rPr/>
      </w:r>
    </w:p>
    <w:p>
      <w:pPr>
        <w:pStyle w:val="Normal"/>
        <w:widowControl/>
        <w:rPr/>
      </w:pPr>
      <w:r>
        <w:rPr/>
        <w:t>4. [Trade-AI Scope and Covered Systems] Autonomous trade agent - Each Party shall administer autonomous trade agent through its competent transportation, customs, safety, and security authorities using requirements proportionate to the function and consequence of the autonomous or AI-enabled system. Cross-border operation shall preserve identifiable legal responsibility, system and software version traceability, incident or event records appropriate to the mode, and a means to address material software, cybersecurity, or control changes. A Party may rely on testing, certification, inspection, or conformity evidence from another Party where materially equivalent outcomes are demonstrated, but no recognition is automatic and a reasoned refusal may be maintained for an identified safety, security, infrastructure, or legal incompatibility. Nothing in this paragraph requires harmonization of vehicle, rail, maritime, aviation, licensing, airspace, navigation, or operational rules beyond the interoperable outcome expressly required by this Agreement.</w:t>
      </w:r>
    </w:p>
    <w:p>
      <w:pPr>
        <w:pStyle w:val="Normal"/>
        <w:rPr/>
      </w:pPr>
      <w:r>
        <w:rPr/>
      </w:r>
    </w:p>
    <w:p>
      <w:pPr>
        <w:pStyle w:val="Normal"/>
        <w:widowControl/>
        <w:rPr/>
      </w:pPr>
      <w:r>
        <w:rPr/>
        <w:t>5. [Trade-AI Scope and Covered Systems] Trade-critical AI incident - Each Party shall maintain trade-critical AI incident for AI systems whose failure or compromise could materially disrupt lawful cross-border trade, customs administration, or critical border operations. The responsible authority or operator shall identify escalation responsibility, preserve relevant evidence, activate proportionate containment or fallback measures, and maintain a lawful degraded-mode path where reasonably practicable. Where the same incident materially affects another Party, competent authorities shall use existing customs, cybersecurity, transportation, or emergency channels to exchange the information reasonably necessary for continuity and recurrence prevention, subject to confidentiality and security safeguards. Restoration shall include reconciliation of materially affected records and revalidation of the affected AI function before renewed reliance where continued operation would otherwise create an unreasonable and unmanaged trade, safety, security, or rights risk.</w:t>
      </w:r>
    </w:p>
    <w:p>
      <w:pPr>
        <w:pStyle w:val="Normal"/>
        <w:rPr/>
      </w:pPr>
      <w:r>
        <w:rPr/>
      </w:r>
    </w:p>
    <w:p>
      <w:pPr>
        <w:pStyle w:val="Normal"/>
        <w:widowControl/>
        <w:rPr/>
      </w:pPr>
      <w:r>
        <w:rPr/>
        <w:t>6. [Trade-AI Scope and Covered Systems] Material AI trade friction - The Parties shall address material AI trade friction as part of the AI-enabled trade framework through competent existing authorities and controls proportionate to the material trade, safety, security, privacy, or rights consequences of the use. Implementation shall identify the responsible actor, the operational purpose, the information or evidence on which material action may rely, and the point at which human review, correction, escalation, or revalidation is required. The Parties may use different technologies, vendors, technical standards, or administrative methods where they achieve materially equivalent outcomes and preserve confidentiality, interoperability, contestability, and applicable constitutional authority. Nothing in this paragraph authorizes an automatic tariff consequence, unrelated retaliation, compulsory participation in an optional program, or creation of a new standing institution unless another provision of this Agreement expressly provides otherwise.</w:t>
      </w:r>
    </w:p>
    <w:p>
      <w:pPr>
        <w:pStyle w:val="Normal"/>
        <w:rPr/>
      </w:pPr>
      <w:r>
        <w:rPr/>
      </w:r>
    </w:p>
    <w:p>
      <w:bookmarkStart w:id="1561" w:name="_NAESTMA_TOC_1561"/>
      <w:pPr>
        <w:pStyle w:val="Heading2"/>
        <w:keepNext/>
        <w:widowControl/>
        <w:rPr/>
      </w:pPr>
      <w:r>
        <w:rPr/>
        <w:t>Article 39.77: Customs AI Legal Authority and Attribution</w:t>
      </w:r>
      <w:bookmarkEnd w:id="1561"/>
    </w:p>
    <w:p>
      <w:pPr>
        <w:pStyle w:val="Normal"/>
        <w:widowControl/>
        <w:rPr/>
      </w:pPr>
      <w:r>
        <w:rPr/>
        <w:t>1. [Customs AI Legal Authority and Attribution] Competent-authority responsibility - The Parties shall address competent-authority responsibility as part of the AI-enabled trade framework through competent existing authorities and controls proportionate to the material trade, safety, security, privacy, or rights consequences of the use. Implementation shall identify the responsible actor, the operational purpose, the information or evidence on which material action may rely, and the point at which human review, correction, escalation, or revalidation is required. The Parties may use different technologies, vendors, technical standards, or administrative methods where they achieve materially equivalent outcomes and preserve confidentiality, interoperability, contestability, and applicable constitutional authority. Nothing in this paragraph authorizes an automatic tariff consequence, unrelated retaliation, compulsory participation in an optional program, or creation of a new standing institution unless another provision of this Agreement expressly provides otherwise.</w:t>
      </w:r>
    </w:p>
    <w:p>
      <w:pPr>
        <w:pStyle w:val="Normal"/>
        <w:rPr/>
      </w:pPr>
      <w:r>
        <w:rPr/>
      </w:r>
    </w:p>
    <w:p>
      <w:pPr>
        <w:pStyle w:val="Normal"/>
        <w:widowControl/>
        <w:rPr/>
      </w:pPr>
      <w:r>
        <w:rPr/>
        <w:t>2. [Customs AI Legal Authority and Attribution] Delegated system authority limits - The Parties shall address delegated system authority limits as part of the AI-enabled trade framework through competent existing authorities and controls proportionate to the material trade, safety, security, privacy, or rights consequences of the use. Implementation shall identify the responsible actor, the operational purpose, the information or evidence on which material action may rely, and the point at which human review, correction, escalation, or revalidation is required. The Parties may use different technologies, vendors, technical standards, or administrative methods where they achieve materially equivalent outcomes and preserve confidentiality, interoperability, contestability, and applicable constitutional authority. Nothing in this paragraph authorizes an automatic tariff consequence, unrelated retaliation, compulsory participation in an optional program, or creation of a new standing institution unless another provision of this Agreement expressly provides otherwise.</w:t>
      </w:r>
    </w:p>
    <w:p>
      <w:pPr>
        <w:pStyle w:val="Normal"/>
        <w:rPr/>
      </w:pPr>
      <w:r>
        <w:rPr/>
      </w:r>
    </w:p>
    <w:p>
      <w:pPr>
        <w:pStyle w:val="Normal"/>
        <w:widowControl/>
        <w:rPr/>
      </w:pPr>
      <w:r>
        <w:rPr/>
        <w:t>3. [Customs AI Legal Authority and Attribution] Human chain of accountability - The Parties shall address human chain of accountability as part of the AI-enabled trade framework through competent existing authorities and controls proportionate to the material trade, safety, security, privacy, or rights consequences of the use. Implementation shall identify the responsible actor, the operational purpose, the information or evidence on which material action may rely, and the point at which human review, correction, escalation, or revalidation is required. The Parties may use different technologies, vendors, technical standards, or administrative methods where they achieve materially equivalent outcomes and preserve confidentiality, interoperability, contestability, and applicable constitutional authority. Nothing in this paragraph authorizes an automatic tariff consequence, unrelated retaliation, compulsory participation in an optional program, or creation of a new standing institution unless another provision of this Agreement expressly provides otherwise.</w:t>
      </w:r>
    </w:p>
    <w:p>
      <w:pPr>
        <w:pStyle w:val="Normal"/>
        <w:rPr/>
      </w:pPr>
      <w:r>
        <w:rPr/>
      </w:r>
    </w:p>
    <w:p>
      <w:pPr>
        <w:pStyle w:val="Normal"/>
        <w:widowControl/>
        <w:rPr/>
      </w:pPr>
      <w:r>
        <w:rPr/>
        <w:t>4. [Customs AI Legal Authority and Attribution] Vendor responsibility savings - The Parties shall address vendor responsibility savings as part of the AI-enabled trade framework through competent existing authorities and controls proportionate to the material trade, safety, security, privacy, or rights consequences of the use. Implementation shall identify the responsible actor, the operational purpose, the information or evidence on which material action may rely, and the point at which human review, correction, escalation, or revalidation is required. The Parties may use different technologies, vendors, technical standards, or administrative methods where they achieve materially equivalent outcomes and preserve confidentiality, interoperability, contestability, and applicable constitutional authority. Nothing in this paragraph authorizes an automatic tariff consequence, unrelated retaliation, compulsory participation in an optional program, or creation of a new standing institution unless another provision of this Agreement expressly provides otherwise.</w:t>
      </w:r>
    </w:p>
    <w:p>
      <w:pPr>
        <w:pStyle w:val="Normal"/>
        <w:rPr/>
      </w:pPr>
      <w:r>
        <w:rPr/>
      </w:r>
    </w:p>
    <w:p>
      <w:pPr>
        <w:pStyle w:val="Normal"/>
        <w:widowControl/>
        <w:rPr/>
      </w:pPr>
      <w:r>
        <w:rPr/>
        <w:t>5. [Customs AI Legal Authority and Attribution] No AI accountability shield - The Parties shall address no AI accountability shield as part of the AI-enabled trade framework through competent existing authorities and controls proportionate to the material trade, safety, security, privacy, or rights consequences of the use. Implementation shall identify the responsible actor, the operational purpose, the information or evidence on which material action may rely, and the point at which human review, correction, escalation, or revalidation is required. The Parties may use different technologies, vendors, technical standards, or administrative methods where they achieve materially equivalent outcomes and preserve confidentiality, interoperability, contestability, and applicable constitutional authority. Nothing in this paragraph authorizes an automatic tariff consequence, unrelated retaliation, compulsory participation in an optional program, or creation of a new standing institution unless another provision of this Agreement expressly provides otherwise.</w:t>
      </w:r>
    </w:p>
    <w:p>
      <w:pPr>
        <w:pStyle w:val="Normal"/>
        <w:rPr/>
      </w:pPr>
      <w:r>
        <w:rPr/>
      </w:r>
    </w:p>
    <w:p>
      <w:pPr>
        <w:pStyle w:val="Normal"/>
        <w:widowControl/>
        <w:rPr/>
      </w:pPr>
      <w:r>
        <w:rPr/>
        <w:t>6. [Customs AI Legal Authority and Attribution] Applicable-law preservation - The Parties shall address applicable-law preservation as part of the AI-enabled trade framework through competent existing authorities and controls proportionate to the material trade, safety, security, privacy, or rights consequences of the use. Implementation shall identify the responsible actor, the operational purpose, the information or evidence on which material action may rely, and the point at which human review, correction, escalation, or revalidation is required. The Parties may use different technologies, vendors, technical standards, or administrative methods where they achieve materially equivalent outcomes and preserve confidentiality, interoperability, contestability, and applicable constitutional authority. Nothing in this paragraph authorizes an automatic tariff consequence, unrelated retaliation, compulsory participation in an optional program, or creation of a new standing institution unless another provision of this Agreement expressly provides otherwise.</w:t>
      </w:r>
    </w:p>
    <w:p>
      <w:pPr>
        <w:pStyle w:val="Normal"/>
        <w:rPr/>
      </w:pPr>
      <w:r>
        <w:rPr/>
      </w:r>
    </w:p>
    <w:p>
      <w:bookmarkStart w:id="1562" w:name="_NAESTMA_TOC_1562"/>
      <w:pPr>
        <w:pStyle w:val="Heading2"/>
        <w:keepNext/>
        <w:widowControl/>
        <w:rPr/>
      </w:pPr>
      <w:r>
        <w:rPr/>
        <w:t>Article 39.78: Border-AI Mission Limits and Non-Retaliation</w:t>
      </w:r>
      <w:bookmarkEnd w:id="1562"/>
    </w:p>
    <w:p>
      <w:pPr>
        <w:pStyle w:val="Normal"/>
        <w:widowControl/>
        <w:rPr/>
      </w:pPr>
      <w:r>
        <w:rPr/>
        <w:t>1. [Border-AI Mission Limits and Non-Retaliation] Declared customs purpose - The Parties shall address declared customs purpose as part of the AI-enabled trade framework through competent existing authorities and controls proportionate to the material trade, safety, security, privacy, or rights consequences of the use. Implementation shall identify the responsible actor, the operational purpose, the information or evidence on which material action may rely, and the point at which human review, correction, escalation, or revalidation is required. The Parties may use different technologies, vendors, technical standards, or administrative methods where they achieve materially equivalent outcomes and preserve confidentiality, interoperability, contestability, and applicable constitutional authority. Nothing in this paragraph authorizes an automatic tariff consequence, unrelated retaliation, compulsory participation in an optional program, or creation of a new standing institution unless another provision of this Agreement expressly provides otherwise.</w:t>
      </w:r>
    </w:p>
    <w:p>
      <w:pPr>
        <w:pStyle w:val="Normal"/>
        <w:rPr/>
      </w:pPr>
      <w:r>
        <w:rPr/>
      </w:r>
    </w:p>
    <w:p>
      <w:pPr>
        <w:pStyle w:val="Normal"/>
        <w:widowControl/>
        <w:rPr/>
      </w:pPr>
      <w:r>
        <w:rPr/>
        <w:t>2. [Border-AI Mission Limits and Non-Retaliation] No mission creep without lawful authority - The Parties shall address no mission creep without lawful authority as part of the AI-enabled trade framework through competent existing authorities and controls proportionate to the material trade, safety, security, privacy, or rights consequences of the use. Implementation shall identify the responsible actor, the operational purpose, the information or evidence on which material action may rely, and the point at which human review, correction, escalation, or revalidation is required. The Parties may use different technologies, vendors, technical standards, or administrative methods where they achieve materially equivalent outcomes and preserve confidentiality, interoperability, contestability, and applicable constitutional authority. Nothing in this paragraph authorizes an automatic tariff consequence, unrelated retaliation, compulsory participation in an optional program, or creation of a new standing institution unless another provision of this Agreement expressly provides otherwise.</w:t>
      </w:r>
    </w:p>
    <w:p>
      <w:pPr>
        <w:pStyle w:val="Normal"/>
        <w:rPr/>
      </w:pPr>
      <w:r>
        <w:rPr/>
      </w:r>
    </w:p>
    <w:p>
      <w:pPr>
        <w:pStyle w:val="Normal"/>
        <w:widowControl/>
        <w:rPr/>
      </w:pPr>
      <w:r>
        <w:rPr/>
        <w:t>3. [Border-AI Mission Limits and Non-Retaliation] No retaliatory trader targeting - The Parties shall address no retaliatory trader targeting as part of the AI-enabled trade framework through competent existing authorities and controls proportionate to the material trade, safety, security, privacy, or rights consequences of the use. Implementation shall identify the responsible actor, the operational purpose, the information or evidence on which material action may rely, and the point at which human review, correction, escalation, or revalidation is required. The Parties may use different technologies, vendors, technical standards, or administrative methods where they achieve materially equivalent outcomes and preserve confidentiality, interoperability, contestability, and applicable constitutional authority. Nothing in this paragraph authorizes an automatic tariff consequence, unrelated retaliation, compulsory participation in an optional program, or creation of a new standing institution unless another provision of this Agreement expressly provides otherwise.</w:t>
      </w:r>
    </w:p>
    <w:p>
      <w:pPr>
        <w:pStyle w:val="Normal"/>
        <w:rPr/>
      </w:pPr>
      <w:r>
        <w:rPr/>
      </w:r>
    </w:p>
    <w:p>
      <w:pPr>
        <w:pStyle w:val="Normal"/>
        <w:widowControl/>
        <w:rPr/>
      </w:pPr>
      <w:r>
        <w:rPr/>
        <w:t>4. [Border-AI Mission Limits and Non-Retaliation] No nationality proxy targeting - The Parties shall address no nationality proxy targeting as part of the AI-enabled trade framework through competent existing authorities and controls proportionate to the material trade, safety, security, privacy, or rights consequences of the use. Implementation shall identify the responsible actor, the operational purpose, the information or evidence on which material action may rely, and the point at which human review, correction, escalation, or revalidation is required. The Parties may use different technologies, vendors, technical standards, or administrative methods where they achieve materially equivalent outcomes and preserve confidentiality, interoperability, contestability, and applicable constitutional authority. Nothing in this paragraph authorizes an automatic tariff consequence, unrelated retaliation, compulsory participation in an optional program, or creation of a new standing institution unless another provision of this Agreement expressly provides otherwise.</w:t>
      </w:r>
    </w:p>
    <w:p>
      <w:pPr>
        <w:pStyle w:val="Normal"/>
        <w:rPr/>
      </w:pPr>
      <w:r>
        <w:rPr/>
      </w:r>
    </w:p>
    <w:p>
      <w:pPr>
        <w:pStyle w:val="Normal"/>
        <w:widowControl/>
        <w:rPr/>
      </w:pPr>
      <w:r>
        <w:rPr/>
        <w:t>5. [Border-AI Mission Limits and Non-Retaliation] No revenue-maximization mandate - The Parties shall address no revenue-maximization mandate as part of the AI-enabled trade framework through competent existing authorities and controls proportionate to the material trade, safety, security, privacy, or rights consequences of the use. Implementation shall identify the responsible actor, the operational purpose, the information or evidence on which material action may rely, and the point at which human review, correction, escalation, or revalidation is required. The Parties may use different technologies, vendors, technical standards, or administrative methods where they achieve materially equivalent outcomes and preserve confidentiality, interoperability, contestability, and applicable constitutional authority. Nothing in this paragraph authorizes an automatic tariff consequence, unrelated retaliation, compulsory participation in an optional program, or creation of a new standing institution unless another provision of this Agreement expressly provides otherwise.</w:t>
      </w:r>
    </w:p>
    <w:p>
      <w:pPr>
        <w:pStyle w:val="Normal"/>
        <w:rPr/>
      </w:pPr>
      <w:r>
        <w:rPr/>
      </w:r>
    </w:p>
    <w:p>
      <w:pPr>
        <w:pStyle w:val="Normal"/>
        <w:widowControl/>
        <w:rPr/>
      </w:pPr>
      <w:r>
        <w:rPr/>
        <w:t>6. [Border-AI Mission Limits and Non-Retaliation] Documented material purpose change - The Parties shall address documented material purpose change as part of the AI-enabled trade framework through competent existing authorities and controls proportionate to the material trade, safety, security, privacy, or rights consequences of the use. Implementation shall identify the responsible actor, the operational purpose, the information or evidence on which material action may rely, and the point at which human review, correction, escalation, or revalidation is required. The Parties may use different technologies, vendors, technical standards, or administrative methods where they achieve materially equivalent outcomes and preserve confidentiality, interoperability, contestability, and applicable constitutional authority. Nothing in this paragraph authorizes an automatic tariff consequence, unrelated retaliation, compulsory participation in an optional program, or creation of a new standing institution unless another provision of this Agreement expressly provides otherwise.</w:t>
      </w:r>
    </w:p>
    <w:p>
      <w:pPr>
        <w:pStyle w:val="Normal"/>
        <w:rPr/>
      </w:pPr>
      <w:r>
        <w:rPr/>
      </w:r>
    </w:p>
    <w:p>
      <w:bookmarkStart w:id="1563" w:name="_NAESTMA_TOC_1563"/>
      <w:pPr>
        <w:pStyle w:val="Heading2"/>
        <w:keepNext/>
        <w:widowControl/>
        <w:rPr/>
      </w:pPr>
      <w:r>
        <w:rPr/>
        <w:t>Article 39.79: Human Authority in AI-Assisted Border Decisions</w:t>
      </w:r>
      <w:bookmarkEnd w:id="1563"/>
    </w:p>
    <w:p>
      <w:pPr>
        <w:pStyle w:val="Normal"/>
        <w:widowControl/>
        <w:rPr/>
      </w:pPr>
      <w:r>
        <w:rPr/>
        <w:t>1. [Human Authority in AI-Assisted Border Decisions] Human review before serious adverse action - The Parties shall address human review before serious adverse action as part of the AI-enabled trade framework through competent existing authorities and controls proportionate to the material trade, safety, security, privacy, or rights consequences of the use. Implementation shall identify the responsible actor, the operational purpose, the information or evidence on which material action may rely, and the point at which human review, correction, escalation, or revalidation is required. The Parties may use different technologies, vendors, technical standards, or administrative methods where they achieve materially equivalent outcomes and preserve confidentiality, interoperability, contestability, and applicable constitutional authority. Nothing in this paragraph authorizes an automatic tariff consequence, unrelated retaliation, compulsory participation in an optional program, or creation of a new standing institution unless another provision of this Agreement expressly provides otherwise.</w:t>
      </w:r>
    </w:p>
    <w:p>
      <w:pPr>
        <w:pStyle w:val="Normal"/>
        <w:rPr/>
      </w:pPr>
      <w:r>
        <w:rPr/>
      </w:r>
    </w:p>
    <w:p>
      <w:pPr>
        <w:pStyle w:val="Normal"/>
        <w:widowControl/>
        <w:rPr/>
      </w:pPr>
      <w:r>
        <w:rPr/>
        <w:t>2. [Human Authority in AI-Assisted Border Decisions] Meaningful override authority - The Parties shall address meaningful override authority as part of the AI-enabled trade framework through competent existing authorities and controls proportionate to the material trade, safety, security, privacy, or rights consequences of the use. Implementation shall identify the responsible actor, the operational purpose, the information or evidence on which material action may rely, and the point at which human review, correction, escalation, or revalidation is required. The Parties may use different technologies, vendors, technical standards, or administrative methods where they achieve materially equivalent outcomes and preserve confidentiality, interoperability, contestability, and applicable constitutional authority. Nothing in this paragraph authorizes an automatic tariff consequence, unrelated retaliation, compulsory participation in an optional program, or creation of a new standing institution unless another provision of this Agreement expressly provides otherwise.</w:t>
      </w:r>
    </w:p>
    <w:p>
      <w:pPr>
        <w:pStyle w:val="Normal"/>
        <w:rPr/>
      </w:pPr>
      <w:r>
        <w:rPr/>
      </w:r>
    </w:p>
    <w:p>
      <w:pPr>
        <w:pStyle w:val="Normal"/>
        <w:widowControl/>
        <w:rPr/>
      </w:pPr>
      <w:r>
        <w:rPr/>
        <w:t>3. [Human Authority in AI-Assisted Border Decisions] No rubber-stamp review - The Parties shall address no rubber-stamp review as part of the AI-enabled trade framework through competent existing authorities and controls proportionate to the material trade, safety, security, privacy, or rights consequences of the use. Implementation shall identify the responsible actor, the operational purpose, the information or evidence on which material action may rely, and the point at which human review, correction, escalation, or revalidation is required. The Parties may use different technologies, vendors, technical standards, or administrative methods where they achieve materially equivalent outcomes and preserve confidentiality, interoperability, contestability, and applicable constitutional authority. Nothing in this paragraph authorizes an automatic tariff consequence, unrelated retaliation, compulsory participation in an optional program, or creation of a new standing institution unless another provision of this Agreement expressly provides otherwise.</w:t>
      </w:r>
    </w:p>
    <w:p>
      <w:pPr>
        <w:pStyle w:val="Normal"/>
        <w:rPr/>
      </w:pPr>
      <w:r>
        <w:rPr/>
      </w:r>
    </w:p>
    <w:p>
      <w:pPr>
        <w:pStyle w:val="Normal"/>
        <w:widowControl/>
        <w:rPr/>
      </w:pPr>
      <w:r>
        <w:rPr/>
        <w:t>4. [Human Authority in AI-Assisted Border Decisions] Reviewer access to relevant evidence - The Parties shall address reviewer access to relevant evidence as part of the AI-enabled trade framework through competent existing authorities and controls proportionate to the material trade, safety, security, privacy, or rights consequences of the use. Implementation shall identify the responsible actor, the operational purpose, the information or evidence on which material action may rely, and the point at which human review, correction, escalation, or revalidation is required. The Parties may use different technologies, vendors, technical standards, or administrative methods where they achieve materially equivalent outcomes and preserve confidentiality, interoperability, contestability, and applicable constitutional authority. Nothing in this paragraph authorizes an automatic tariff consequence, unrelated retaliation, compulsory participation in an optional program, or creation of a new standing institution unless another provision of this Agreement expressly provides otherwise.</w:t>
      </w:r>
    </w:p>
    <w:p>
      <w:pPr>
        <w:pStyle w:val="Normal"/>
        <w:rPr/>
      </w:pPr>
      <w:r>
        <w:rPr/>
      </w:r>
    </w:p>
    <w:p>
      <w:pPr>
        <w:pStyle w:val="Normal"/>
        <w:widowControl/>
        <w:rPr/>
      </w:pPr>
      <w:r>
        <w:rPr/>
        <w:t>5. [Human Authority in AI-Assisted Border Decisions] Override logging - The Parties shall address override logging as part of the AI-enabled trade framework through competent existing authorities and controls proportionate to the material trade, safety, security, privacy, or rights consequences of the use. Implementation shall identify the responsible actor, the operational purpose, the information or evidence on which material action may rely, and the point at which human review, correction, escalation, or revalidation is required. The Parties may use different technologies, vendors, technical standards, or administrative methods where they achieve materially equivalent outcomes and preserve confidentiality, interoperability, contestability, and applicable constitutional authority. Nothing in this paragraph authorizes an automatic tariff consequence, unrelated retaliation, compulsory participation in an optional program, or creation of a new standing institution unless another provision of this Agreement expressly provides otherwise.</w:t>
      </w:r>
    </w:p>
    <w:p>
      <w:pPr>
        <w:pStyle w:val="Normal"/>
        <w:rPr/>
      </w:pPr>
      <w:r>
        <w:rPr/>
      </w:r>
    </w:p>
    <w:p>
      <w:pPr>
        <w:pStyle w:val="Normal"/>
        <w:widowControl/>
        <w:rPr/>
      </w:pPr>
      <w:r>
        <w:rPr/>
        <w:t>6. [Human Authority in AI-Assisted Border Decisions] Emergency-action savings - The Parties shall address emergency-action savings as part of the AI-enabled trade framework through competent existing authorities and controls proportionate to the material trade, safety, security, privacy, or rights consequences of the use. Implementation shall identify the responsible actor, the operational purpose, the information or evidence on which material action may rely, and the point at which human review, correction, escalation, or revalidation is required. The Parties may use different technologies, vendors, technical standards, or administrative methods where they achieve materially equivalent outcomes and preserve confidentiality, interoperability, contestability, and applicable constitutional authority. Nothing in this paragraph authorizes an automatic tariff consequence, unrelated retaliation, compulsory participation in an optional program, or creation of a new standing institution unless another provision of this Agreement expressly provides otherwise.</w:t>
      </w:r>
    </w:p>
    <w:p>
      <w:pPr>
        <w:pStyle w:val="Normal"/>
        <w:rPr/>
      </w:pPr>
      <w:r>
        <w:rPr/>
      </w:r>
    </w:p>
    <w:p>
      <w:bookmarkStart w:id="1564" w:name="_NAESTMA_TOC_1564"/>
      <w:pPr>
        <w:pStyle w:val="Heading2"/>
        <w:keepNext/>
        <w:widowControl/>
        <w:rPr/>
      </w:pPr>
      <w:r>
        <w:rPr/>
        <w:t>Article 39.80: AI-Assisted Tariff Classification</w:t>
      </w:r>
      <w:bookmarkEnd w:id="1564"/>
    </w:p>
    <w:p>
      <w:pPr>
        <w:pStyle w:val="Normal"/>
        <w:widowControl/>
        <w:rPr/>
      </w:pPr>
      <w:r>
        <w:rPr/>
        <w:t>1. [AI-Assisted Tariff Classification] AI classification assistance - Each Party shall ensure that aI classification assistance in an AI-assisted customs process is attributable to a competent customs authority and is based on the law, tariff schedule, origin rule, valuation rule, or other legal standard applicable to the transaction. Where the AI materially contributes to an adverse customs outcome, the responsible authority shall preserve the material inputs, applicable rule or ruleset version, and sufficient decision information to permit reconstruction without requiring disclosure of protected model weights or unrelated confidential information. The trader shall receive the notice, correction opportunity, administrative review, or other procedural protection otherwise applicable to the same customs action, and AI use shall not reduce that protection or convert an advisory signal into conclusive evidence. A material error attributable to the AI process shall be corrected through the ordinary customs mechanism, with release, duty, preference, penalty, or record consequences adjusted as applicable under this Agreement and domestic law.</w:t>
      </w:r>
    </w:p>
    <w:p>
      <w:pPr>
        <w:pStyle w:val="Normal"/>
        <w:rPr/>
      </w:pPr>
      <w:r>
        <w:rPr/>
      </w:r>
    </w:p>
    <w:p>
      <w:pPr>
        <w:pStyle w:val="Normal"/>
        <w:widowControl/>
        <w:rPr/>
      </w:pPr>
      <w:r>
        <w:rPr/>
        <w:t>2. [AI-Assisted Tariff Classification] Current tariff-schedule version control - Each Party shall ensure that current tariff-schedule version control in an AI-assisted customs process is attributable to a competent customs authority and is based on the law, tariff schedule, origin rule, valuation rule, or other legal standard applicable to the transaction. Where the AI materially contributes to an adverse customs outcome, the responsible authority shall preserve the material inputs, applicable rule or ruleset version, and sufficient decision information to permit reconstruction without requiring disclosure of protected model weights or unrelated confidential information. The trader shall receive the notice, correction opportunity, administrative review, or other procedural protection otherwise applicable to the same customs action, and AI use shall not reduce that protection or convert an advisory signal into conclusive evidence. A material error attributable to the AI process shall be corrected through the ordinary customs mechanism, with release, duty, preference, penalty, or record consequences adjusted as applicable under this Agreement and domestic law.</w:t>
      </w:r>
    </w:p>
    <w:p>
      <w:pPr>
        <w:pStyle w:val="Normal"/>
        <w:rPr/>
      </w:pPr>
      <w:r>
        <w:rPr/>
      </w:r>
    </w:p>
    <w:p>
      <w:pPr>
        <w:pStyle w:val="Normal"/>
        <w:widowControl/>
        <w:rPr/>
      </w:pPr>
      <w:r>
        <w:rPr/>
        <w:t>3. [AI-Assisted Tariff Classification] Classification rationale - Each Party shall ensure that classification rationale in an AI-assisted customs process is attributable to a competent customs authority and is based on the law, tariff schedule, origin rule, valuation rule, or other legal standard applicable to the transaction. Where the AI materially contributes to an adverse customs outcome, the responsible authority shall preserve the material inputs, applicable rule or ruleset version, and sufficient decision information to permit reconstruction without requiring disclosure of protected model weights or unrelated confidential information. The trader shall receive the notice, correction opportunity, administrative review, or other procedural protection otherwise applicable to the same customs action, and AI use shall not reduce that protection or convert an advisory signal into conclusive evidence. A material error attributable to the AI process shall be corrected through the ordinary customs mechanism, with release, duty, preference, penalty, or record consequences adjusted as applicable under this Agreement and domestic law.</w:t>
      </w:r>
    </w:p>
    <w:p>
      <w:pPr>
        <w:pStyle w:val="Normal"/>
        <w:rPr/>
      </w:pPr>
      <w:r>
        <w:rPr/>
      </w:r>
    </w:p>
    <w:p>
      <w:pPr>
        <w:pStyle w:val="Normal"/>
        <w:widowControl/>
        <w:rPr/>
      </w:pPr>
      <w:r>
        <w:rPr/>
        <w:t>4. [AI-Assisted Tariff Classification] Conflicting classification detection - Each Party shall ensure that conflicting classification detection in an AI-assisted customs process is attributable to a competent customs authority and is based on the law, tariff schedule, origin rule, valuation rule, or other legal standard applicable to the transaction. Where the AI materially contributes to an adverse customs outcome, the responsible authority shall preserve the material inputs, applicable rule or ruleset version, and sufficient decision information to permit reconstruction without requiring disclosure of protected model weights or unrelated confidential information. The trader shall receive the notice, correction opportunity, administrative review, or other procedural protection otherwise applicable to the same customs action, and AI use shall not reduce that protection or convert an advisory signal into conclusive evidence. A material error attributable to the AI process shall be corrected through the ordinary customs mechanism, with release, duty, preference, penalty, or record consequences adjusted as applicable under this Agreement and domestic law.</w:t>
      </w:r>
    </w:p>
    <w:p>
      <w:pPr>
        <w:pStyle w:val="Normal"/>
        <w:rPr/>
      </w:pPr>
      <w:r>
        <w:rPr/>
      </w:r>
    </w:p>
    <w:p>
      <w:pPr>
        <w:pStyle w:val="Normal"/>
        <w:widowControl/>
        <w:rPr/>
      </w:pPr>
      <w:r>
        <w:rPr/>
        <w:t>5. [AI-Assisted Tariff Classification] Human confirmation for material adverse change - Each Party shall ensure that human confirmation for material adverse change in an AI-assisted customs process is attributable to a competent customs authority and is based on the law, tariff schedule, origin rule, valuation rule, or other legal standard applicable to the transaction. Where the AI materially contributes to an adverse customs outcome, the responsible authority shall preserve the material inputs, applicable rule or ruleset version, and sufficient decision information to permit reconstruction without requiring disclosure of protected model weights or unrelated confidential information. The trader shall receive the notice, correction opportunity, administrative review, or other procedural protection otherwise applicable to the same customs action, and AI use shall not reduce that protection or convert an advisory signal into conclusive evidence. A material error attributable to the AI process shall be corrected through the ordinary customs mechanism, with release, duty, preference, penalty, or record consequences adjusted as applicable under this Agreement and domestic law.</w:t>
      </w:r>
    </w:p>
    <w:p>
      <w:pPr>
        <w:pStyle w:val="Normal"/>
        <w:rPr/>
      </w:pPr>
      <w:r>
        <w:rPr/>
      </w:r>
    </w:p>
    <w:p>
      <w:pPr>
        <w:pStyle w:val="Normal"/>
        <w:widowControl/>
        <w:rPr/>
      </w:pPr>
      <w:r>
        <w:rPr/>
        <w:t>6. [AI-Assisted Tariff Classification] Administrative review - Each Party shall ensure that administrative review in an AI-assisted customs process is attributable to a competent customs authority and is based on the law, tariff schedule, origin rule, valuation rule, or other legal standard applicable to the transaction. Where the AI materially contributes to an adverse customs outcome, the responsible authority shall preserve the material inputs, applicable rule or ruleset version, and sufficient decision information to permit reconstruction without requiring disclosure of protected model weights or unrelated confidential information. The trader shall receive the notice, correction opportunity, administrative review, or other procedural protection otherwise applicable to the same customs action, and AI use shall not reduce that protection or convert an advisory signal into conclusive evidence. A material error attributable to the AI process shall be corrected through the ordinary customs mechanism, with release, duty, preference, penalty, or record consequences adjusted as applicable under this Agreement and domestic law.</w:t>
      </w:r>
    </w:p>
    <w:p>
      <w:pPr>
        <w:pStyle w:val="Normal"/>
        <w:rPr/>
      </w:pPr>
      <w:r>
        <w:rPr/>
      </w:r>
    </w:p>
    <w:p>
      <w:bookmarkStart w:id="1565" w:name="_NAESTMA_TOC_1565"/>
      <w:pPr>
        <w:pStyle w:val="Heading2"/>
        <w:keepNext/>
        <w:widowControl/>
        <w:rPr/>
      </w:pPr>
      <w:r>
        <w:rPr/>
        <w:t>Article 39.81: AI-Assisted Customs Valuation</w:t>
      </w:r>
      <w:bookmarkEnd w:id="1565"/>
    </w:p>
    <w:p>
      <w:pPr>
        <w:pStyle w:val="Normal"/>
        <w:widowControl/>
        <w:rPr/>
      </w:pPr>
      <w:r>
        <w:rPr/>
        <w:t>1. [AI-Assisted Customs Valuation] Valuation anomaly assistance - Each Party shall ensure that valuation anomaly assistance in an AI-assisted customs process is attributable to a competent customs authority and is based on the law, tariff schedule, origin rule, valuation rule, or other legal standard applicable to the transaction. Where the AI materially contributes to an adverse customs outcome, the responsible authority shall preserve the material inputs, applicable rule or ruleset version, and sufficient decision information to permit reconstruction without requiring disclosure of protected model weights or unrelated confidential information. The trader shall receive the notice, correction opportunity, administrative review, or other procedural protection otherwise applicable to the same customs action, and AI use shall not reduce that protection or convert an advisory signal into conclusive evidence. A material error attributable to the AI process shall be corrected through the ordinary customs mechanism, with release, duty, preference, penalty, or record consequences adjusted as applicable under this Agreement and domestic law.</w:t>
      </w:r>
    </w:p>
    <w:p>
      <w:pPr>
        <w:pStyle w:val="Normal"/>
        <w:rPr/>
      </w:pPr>
      <w:r>
        <w:rPr/>
      </w:r>
    </w:p>
    <w:p>
      <w:pPr>
        <w:pStyle w:val="Normal"/>
        <w:widowControl/>
        <w:rPr/>
      </w:pPr>
      <w:r>
        <w:rPr/>
        <w:t>2. [AI-Assisted Customs Valuation] Declared-value evidence preservation - Each Party shall ensure that declared-value evidence preservation in an AI-assisted customs process is attributable to a competent customs authority and is based on the law, tariff schedule, origin rule, valuation rule, or other legal standard applicable to the transaction. Where the AI materially contributes to an adverse customs outcome, the responsible authority shall preserve the material inputs, applicable rule or ruleset version, and sufficient decision information to permit reconstruction without requiring disclosure of protected model weights or unrelated confidential information. The trader shall receive the notice, correction opportunity, administrative review, or other procedural protection otherwise applicable to the same customs action, and AI use shall not reduce that protection or convert an advisory signal into conclusive evidence. A material error attributable to the AI process shall be corrected through the ordinary customs mechanism, with release, duty, preference, penalty, or record consequences adjusted as applicable under this Agreement and domestic law.</w:t>
      </w:r>
    </w:p>
    <w:p>
      <w:pPr>
        <w:pStyle w:val="Normal"/>
        <w:rPr/>
      </w:pPr>
      <w:r>
        <w:rPr/>
      </w:r>
    </w:p>
    <w:p>
      <w:pPr>
        <w:pStyle w:val="Normal"/>
        <w:widowControl/>
        <w:rPr/>
      </w:pPr>
      <w:r>
        <w:rPr/>
        <w:t>3. [AI-Assisted Customs Valuation] Related-party transaction safeguards - Each Party shall ensure that related-party transaction safeguards in an AI-assisted customs process is attributable to a competent customs authority and is based on the law, tariff schedule, origin rule, valuation rule, or other legal standard applicable to the transaction. Where the AI materially contributes to an adverse customs outcome, the responsible authority shall preserve the material inputs, applicable rule or ruleset version, and sufficient decision information to permit reconstruction without requiring disclosure of protected model weights or unrelated confidential information. The trader shall receive the notice, correction opportunity, administrative review, or other procedural protection otherwise applicable to the same customs action, and AI use shall not reduce that protection or convert an advisory signal into conclusive evidence. A material error attributable to the AI process shall be corrected through the ordinary customs mechanism, with release, duty, preference, penalty, or record consequences adjusted as applicable under this Agreement and domestic law.</w:t>
      </w:r>
    </w:p>
    <w:p>
      <w:pPr>
        <w:pStyle w:val="Normal"/>
        <w:rPr/>
      </w:pPr>
      <w:r>
        <w:rPr/>
      </w:r>
    </w:p>
    <w:p>
      <w:pPr>
        <w:pStyle w:val="Normal"/>
        <w:widowControl/>
        <w:rPr/>
      </w:pPr>
      <w:r>
        <w:rPr/>
        <w:t>4. [AI-Assisted Customs Valuation] Proposed-adjustment notice - Each Party shall ensure that proposed-adjustment notice in an AI-assisted customs process is attributable to a competent customs authority and is based on the law, tariff schedule, origin rule, valuation rule, or other legal standard applicable to the transaction. Where the AI materially contributes to an adverse customs outcome, the responsible authority shall preserve the material inputs, applicable rule or ruleset version, and sufficient decision information to permit reconstruction without requiring disclosure of protected model weights or unrelated confidential information. The trader shall receive the notice, correction opportunity, administrative review, or other procedural protection otherwise applicable to the same customs action, and AI use shall not reduce that protection or convert an advisory signal into conclusive evidence. A material error attributable to the AI process shall be corrected through the ordinary customs mechanism, with release, duty, preference, penalty, or record consequences adjusted as applicable under this Agreement and domestic law.</w:t>
      </w:r>
    </w:p>
    <w:p>
      <w:pPr>
        <w:pStyle w:val="Normal"/>
        <w:rPr/>
      </w:pPr>
      <w:r>
        <w:rPr/>
      </w:r>
    </w:p>
    <w:p>
      <w:pPr>
        <w:pStyle w:val="Normal"/>
        <w:widowControl/>
        <w:rPr/>
      </w:pPr>
      <w:r>
        <w:rPr/>
        <w:t>5. [AI-Assisted Customs Valuation] Trader rebuttal and correction - Each Party shall ensure that trader rebuttal and correction in an AI-assisted customs process is attributable to a competent customs authority and is based on the law, tariff schedule, origin rule, valuation rule, or other legal standard applicable to the transaction. Where the AI materially contributes to an adverse customs outcome, the responsible authority shall preserve the material inputs, applicable rule or ruleset version, and sufficient decision information to permit reconstruction without requiring disclosure of protected model weights or unrelated confidential information. The trader shall receive the notice, correction opportunity, administrative review, or other procedural protection otherwise applicable to the same customs action, and AI use shall not reduce that protection or convert an advisory signal into conclusive evidence. A material error attributable to the AI process shall be corrected through the ordinary customs mechanism, with release, duty, preference, penalty, or record consequences adjusted as applicable under this Agreement and domestic law.</w:t>
      </w:r>
    </w:p>
    <w:p>
      <w:pPr>
        <w:pStyle w:val="Normal"/>
        <w:rPr/>
      </w:pPr>
      <w:r>
        <w:rPr/>
      </w:r>
    </w:p>
    <w:p>
      <w:pPr>
        <w:pStyle w:val="Normal"/>
        <w:widowControl/>
        <w:rPr/>
      </w:pPr>
      <w:r>
        <w:rPr/>
        <w:t>6. [AI-Assisted Customs Valuation] No AI-only valuation uplift - Each Party shall ensure that no AI-only valuation uplift in an AI-assisted customs process is attributable to a competent customs authority and is based on the law, tariff schedule, origin rule, valuation rule, or other legal standard applicable to the transaction. Where the AI materially contributes to an adverse customs outcome, the responsible authority shall preserve the material inputs, applicable rule or ruleset version, and sufficient decision information to permit reconstruction without requiring disclosure of protected model weights or unrelated confidential information. The trader shall receive the notice, correction opportunity, administrative review, or other procedural protection otherwise applicable to the same customs action, and AI use shall not reduce that protection or convert an advisory signal into conclusive evidence. A material error attributable to the AI process shall be corrected through the ordinary customs mechanism, with release, duty, preference, penalty, or record consequences adjusted as applicable under this Agreement and domestic law.</w:t>
      </w:r>
    </w:p>
    <w:p>
      <w:pPr>
        <w:pStyle w:val="Normal"/>
        <w:rPr/>
      </w:pPr>
      <w:r>
        <w:rPr/>
      </w:r>
    </w:p>
    <w:p>
      <w:bookmarkStart w:id="1566" w:name="_NAESTMA_TOC_1566"/>
      <w:pPr>
        <w:pStyle w:val="Heading2"/>
        <w:keepNext/>
        <w:widowControl/>
        <w:rPr/>
      </w:pPr>
      <w:r>
        <w:rPr/>
        <w:t>Article 39.82: AI-Assisted Origin and Preference Determinations</w:t>
      </w:r>
      <w:bookmarkEnd w:id="1566"/>
    </w:p>
    <w:p>
      <w:pPr>
        <w:pStyle w:val="Normal"/>
        <w:widowControl/>
        <w:rPr/>
      </w:pPr>
      <w:r>
        <w:rPr/>
        <w:t>1. [AI-Assisted Origin and Preference Determinations] Origin evidence traceability - Each Party shall ensure that origin evidence traceability in an AI-assisted customs process is attributable to a competent customs authority and is based on the law, tariff schedule, origin rule, valuation rule, or other legal standard applicable to the transaction. Where the AI materially contributes to an adverse customs outcome, the responsible authority shall preserve the material inputs, applicable rule or ruleset version, and sufficient decision information to permit reconstruction without requiring disclosure of protected model weights or unrelated confidential information. The trader shall receive the notice, correction opportunity, administrative review, or other procedural protection otherwise applicable to the same customs action, and AI use shall not reduce that protection or convert an advisory signal into conclusive evidence. A material error attributable to the AI process shall be corrected through the ordinary customs mechanism, with release, duty, preference, penalty, or record consequences adjusted as applicable under this Agreement and domestic law.</w:t>
      </w:r>
    </w:p>
    <w:p>
      <w:pPr>
        <w:pStyle w:val="Normal"/>
        <w:rPr/>
      </w:pPr>
      <w:r>
        <w:rPr/>
      </w:r>
    </w:p>
    <w:p>
      <w:pPr>
        <w:pStyle w:val="Normal"/>
        <w:widowControl/>
        <w:rPr/>
      </w:pPr>
      <w:r>
        <w:rPr/>
        <w:t>2. [AI-Assisted Origin and Preference Determinations] Preference-claim analysis - Each Party shall ensure that preference-claim analysis in an AI-assisted customs process is attributable to a competent customs authority and is based on the law, tariff schedule, origin rule, valuation rule, or other legal standard applicable to the transaction. Where the AI materially contributes to an adverse customs outcome, the responsible authority shall preserve the material inputs, applicable rule or ruleset version, and sufficient decision information to permit reconstruction without requiring disclosure of protected model weights or unrelated confidential information. The trader shall receive the notice, correction opportunity, administrative review, or other procedural protection otherwise applicable to the same customs action, and AI use shall not reduce that protection or convert an advisory signal into conclusive evidence. A material error attributable to the AI process shall be corrected through the ordinary customs mechanism, with release, duty, preference, penalty, or record consequences adjusted as applicable under this Agreement and domestic law.</w:t>
      </w:r>
    </w:p>
    <w:p>
      <w:pPr>
        <w:pStyle w:val="Normal"/>
        <w:rPr/>
      </w:pPr>
      <w:r>
        <w:rPr/>
      </w:r>
    </w:p>
    <w:p>
      <w:pPr>
        <w:pStyle w:val="Normal"/>
        <w:widowControl/>
        <w:rPr/>
      </w:pPr>
      <w:r>
        <w:rPr/>
        <w:t>3. [AI-Assisted Origin and Preference Determinations] Supplier-data provenance - Each Party shall ensure that supplier-data provenance in an AI-assisted customs process is attributable to a competent customs authority and is based on the law, tariff schedule, origin rule, valuation rule, or other legal standard applicable to the transaction. Where the AI materially contributes to an adverse customs outcome, the responsible authority shall preserve the material inputs, applicable rule or ruleset version, and sufficient decision information to permit reconstruction without requiring disclosure of protected model weights or unrelated confidential information. The trader shall receive the notice, correction opportunity, administrative review, or other procedural protection otherwise applicable to the same customs action, and AI use shall not reduce that protection or convert an advisory signal into conclusive evidence. A material error attributable to the AI process shall be corrected through the ordinary customs mechanism, with release, duty, preference, penalty, or record consequences adjusted as applicable under this Agreement and domestic law.</w:t>
      </w:r>
    </w:p>
    <w:p>
      <w:pPr>
        <w:pStyle w:val="Normal"/>
        <w:rPr/>
      </w:pPr>
      <w:r>
        <w:rPr/>
      </w:r>
    </w:p>
    <w:p>
      <w:pPr>
        <w:pStyle w:val="Normal"/>
        <w:widowControl/>
        <w:rPr/>
      </w:pPr>
      <w:r>
        <w:rPr/>
        <w:t>4. [AI-Assisted Origin and Preference Determinations] Material discrepancy notice - Each Party shall ensure that material discrepancy notice in an AI-assisted customs process is attributable to a competent customs authority and is based on the law, tariff schedule, origin rule, valuation rule, or other legal standard applicable to the transaction. Where the AI materially contributes to an adverse customs outcome, the responsible authority shall preserve the material inputs, applicable rule or ruleset version, and sufficient decision information to permit reconstruction without requiring disclosure of protected model weights or unrelated confidential information. The trader shall receive the notice, correction opportunity, administrative review, or other procedural protection otherwise applicable to the same customs action, and AI use shall not reduce that protection or convert an advisory signal into conclusive evidence. A material error attributable to the AI process shall be corrected through the ordinary customs mechanism, with release, duty, preference, penalty, or record consequences adjusted as applicable under this Agreement and domestic law.</w:t>
      </w:r>
    </w:p>
    <w:p>
      <w:pPr>
        <w:pStyle w:val="Normal"/>
        <w:rPr/>
      </w:pPr>
      <w:r>
        <w:rPr/>
      </w:r>
    </w:p>
    <w:p>
      <w:pPr>
        <w:pStyle w:val="Normal"/>
        <w:widowControl/>
        <w:rPr/>
      </w:pPr>
      <w:r>
        <w:rPr/>
        <w:t>5. [AI-Assisted Origin and Preference Determinations] Good-faith correction pathway - Each Party shall ensure that good-faith correction pathway in an AI-assisted customs process is attributable to a competent customs authority and is based on the law, tariff schedule, origin rule, valuation rule, or other legal standard applicable to the transaction. Where the AI materially contributes to an adverse customs outcome, the responsible authority shall preserve the material inputs, applicable rule or ruleset version, and sufficient decision information to permit reconstruction without requiring disclosure of protected model weights or unrelated confidential information. The trader shall receive the notice, correction opportunity, administrative review, or other procedural protection otherwise applicable to the same customs action, and AI use shall not reduce that protection or convert an advisory signal into conclusive evidence. A material error attributable to the AI process shall be corrected through the ordinary customs mechanism, with release, duty, preference, penalty, or record consequences adjusted as applicable under this Agreement and domestic law.</w:t>
      </w:r>
    </w:p>
    <w:p>
      <w:pPr>
        <w:pStyle w:val="Normal"/>
        <w:rPr/>
      </w:pPr>
      <w:r>
        <w:rPr/>
      </w:r>
    </w:p>
    <w:p>
      <w:pPr>
        <w:pStyle w:val="Normal"/>
        <w:widowControl/>
        <w:rPr/>
      </w:pPr>
      <w:r>
        <w:rPr/>
        <w:t>6. [AI-Assisted Origin and Preference Determinations] No AI-only preference denial - Each Party shall ensure that no AI-only preference denial in an AI-assisted customs process is attributable to a competent customs authority and is based on the law, tariff schedule, origin rule, valuation rule, or other legal standard applicable to the transaction. Where the AI materially contributes to an adverse customs outcome, the responsible authority shall preserve the material inputs, applicable rule or ruleset version, and sufficient decision information to permit reconstruction without requiring disclosure of protected model weights or unrelated confidential information. The trader shall receive the notice, correction opportunity, administrative review, or other procedural protection otherwise applicable to the same customs action, and AI use shall not reduce that protection or convert an advisory signal into conclusive evidence. A material error attributable to the AI process shall be corrected through the ordinary customs mechanism, with release, duty, preference, penalty, or record consequences adjusted as applicable under this Agreement and domestic law.</w:t>
      </w:r>
    </w:p>
    <w:p>
      <w:pPr>
        <w:pStyle w:val="Normal"/>
        <w:rPr/>
      </w:pPr>
      <w:r>
        <w:rPr/>
      </w:r>
    </w:p>
    <w:p>
      <w:bookmarkStart w:id="1567" w:name="_NAESTMA_TOC_1567"/>
      <w:pPr>
        <w:pStyle w:val="Heading2"/>
        <w:keepNext/>
        <w:widowControl/>
        <w:rPr/>
      </w:pPr>
      <w:r>
        <w:rPr/>
        <w:t>Article 39.83: AI-Assisted RVC and Origin Calculations</w:t>
      </w:r>
      <w:bookmarkEnd w:id="1567"/>
    </w:p>
    <w:p>
      <w:pPr>
        <w:pStyle w:val="Normal"/>
        <w:widowControl/>
        <w:rPr/>
      </w:pPr>
      <w:r>
        <w:rPr/>
        <w:t>1. [AI-Assisted RVC and Origin Calculations] Machine-readable RVC inputs - Each Party shall ensure that machine-readable RVC inputs in an AI-assisted customs process is attributable to a competent customs authority and is based on the law, tariff schedule, origin rule, valuation rule, or other legal standard applicable to the transaction. Where the AI materially contributes to an adverse customs outcome, the responsible authority shall preserve the material inputs, applicable rule or ruleset version, and sufficient decision information to permit reconstruction without requiring disclosure of protected model weights or unrelated confidential information. The trader shall receive the notice, correction opportunity, administrative review, or other procedural protection otherwise applicable to the same customs action, and AI use shall not reduce that protection or convert an advisory signal into conclusive evidence. A material error attributable to the AI process shall be corrected through the ordinary customs mechanism, with release, duty, preference, penalty, or record consequences adjusted as applicable under this Agreement and domestic law.</w:t>
      </w:r>
    </w:p>
    <w:p>
      <w:pPr>
        <w:pStyle w:val="Normal"/>
        <w:rPr/>
      </w:pPr>
      <w:r>
        <w:rPr/>
      </w:r>
    </w:p>
    <w:p>
      <w:pPr>
        <w:pStyle w:val="Normal"/>
        <w:widowControl/>
        <w:rPr/>
      </w:pPr>
      <w:r>
        <w:rPr/>
        <w:t>2. [AI-Assisted RVC and Origin Calculations] Arithmetic reproducibility - Each Party shall ensure that arithmetic reproducibility in an AI-assisted customs process is attributable to a competent customs authority and is based on the law, tariff schedule, origin rule, valuation rule, or other legal standard applicable to the transaction. Where the AI materially contributes to an adverse customs outcome, the responsible authority shall preserve the material inputs, applicable rule or ruleset version, and sufficient decision information to permit reconstruction without requiring disclosure of protected model weights or unrelated confidential information. The trader shall receive the notice, correction opportunity, administrative review, or other procedural protection otherwise applicable to the same customs action, and AI use shall not reduce that protection or convert an advisory signal into conclusive evidence. A material error attributable to the AI process shall be corrected through the ordinary customs mechanism, with release, duty, preference, penalty, or record consequences adjusted as applicable under this Agreement and domestic law.</w:t>
      </w:r>
    </w:p>
    <w:p>
      <w:pPr>
        <w:pStyle w:val="Normal"/>
        <w:rPr/>
      </w:pPr>
      <w:r>
        <w:rPr/>
      </w:r>
    </w:p>
    <w:p>
      <w:pPr>
        <w:pStyle w:val="Normal"/>
        <w:widowControl/>
        <w:rPr/>
      </w:pPr>
      <w:r>
        <w:rPr/>
        <w:t>3. [AI-Assisted RVC and Origin Calculations] Formula/version identification - Each Party shall ensure that formula/version identification in an AI-assisted customs process is attributable to a competent customs authority and is based on the law, tariff schedule, origin rule, valuation rule, or other legal standard applicable to the transaction. Where the AI materially contributes to an adverse customs outcome, the responsible authority shall preserve the material inputs, applicable rule or ruleset version, and sufficient decision information to permit reconstruction without requiring disclosure of protected model weights or unrelated confidential information. The trader shall receive the notice, correction opportunity, administrative review, or other procedural protection otherwise applicable to the same customs action, and AI use shall not reduce that protection or convert an advisory signal into conclusive evidence. A material error attributable to the AI process shall be corrected through the ordinary customs mechanism, with release, duty, preference, penalty, or record consequences adjusted as applicable under this Agreement and domestic law.</w:t>
      </w:r>
    </w:p>
    <w:p>
      <w:pPr>
        <w:pStyle w:val="Normal"/>
        <w:rPr/>
      </w:pPr>
      <w:r>
        <w:rPr/>
      </w:r>
    </w:p>
    <w:p>
      <w:pPr>
        <w:pStyle w:val="Normal"/>
        <w:widowControl/>
        <w:rPr/>
      </w:pPr>
      <w:r>
        <w:rPr/>
        <w:t>4. [AI-Assisted RVC and Origin Calculations] Input correction - Each Party shall ensure that input correction in an AI-assisted customs process is attributable to a competent customs authority and is based on the law, tariff schedule, origin rule, valuation rule, or other legal standard applicable to the transaction. Where the AI materially contributes to an adverse customs outcome, the responsible authority shall preserve the material inputs, applicable rule or ruleset version, and sufficient decision information to permit reconstruction without requiring disclosure of protected model weights or unrelated confidential information. The trader shall receive the notice, correction opportunity, administrative review, or other procedural protection otherwise applicable to the same customs action, and AI use shall not reduce that protection or convert an advisory signal into conclusive evidence. A material error attributable to the AI process shall be corrected through the ordinary customs mechanism, with release, duty, preference, penalty, or record consequences adjusted as applicable under this Agreement and domestic law.</w:t>
      </w:r>
    </w:p>
    <w:p>
      <w:pPr>
        <w:pStyle w:val="Normal"/>
        <w:rPr/>
      </w:pPr>
      <w:r>
        <w:rPr/>
      </w:r>
    </w:p>
    <w:p>
      <w:pPr>
        <w:pStyle w:val="Normal"/>
        <w:widowControl/>
        <w:rPr/>
      </w:pPr>
      <w:r>
        <w:rPr/>
        <w:t>5. [AI-Assisted RVC and Origin Calculations] Material uncertainty handling - Each Party shall ensure that material uncertainty handling in an AI-assisted customs process is attributable to a competent customs authority and is based on the law, tariff schedule, origin rule, valuation rule, or other legal standard applicable to the transaction. Where the AI materially contributes to an adverse customs outcome, the responsible authority shall preserve the material inputs, applicable rule or ruleset version, and sufficient decision information to permit reconstruction without requiring disclosure of protected model weights or unrelated confidential information. The trader shall receive the notice, correction opportunity, administrative review, or other procedural protection otherwise applicable to the same customs action, and AI use shall not reduce that protection or convert an advisory signal into conclusive evidence. A material error attributable to the AI process shall be corrected through the ordinary customs mechanism, with release, duty, preference, penalty, or record consequences adjusted as applicable under this Agreement and domestic law.</w:t>
      </w:r>
    </w:p>
    <w:p>
      <w:pPr>
        <w:pStyle w:val="Normal"/>
        <w:rPr/>
      </w:pPr>
      <w:r>
        <w:rPr/>
      </w:r>
    </w:p>
    <w:p>
      <w:pPr>
        <w:pStyle w:val="Normal"/>
        <w:widowControl/>
        <w:rPr/>
      </w:pPr>
      <w:r>
        <w:rPr/>
        <w:t>6. [AI-Assisted RVC and Origin Calculations] Human review of adverse calculation - Each Party shall ensure that human review of adverse calculation in an AI-assisted customs process is attributable to a competent customs authority and is based on the law, tariff schedule, origin rule, valuation rule, or other legal standard applicable to the transaction. Where the AI materially contributes to an adverse customs outcome, the responsible authority shall preserve the material inputs, applicable rule or ruleset version, and sufficient decision information to permit reconstruction without requiring disclosure of protected model weights or unrelated confidential information. The trader shall receive the notice, correction opportunity, administrative review, or other procedural protection otherwise applicable to the same customs action, and AI use shall not reduce that protection or convert an advisory signal into conclusive evidence. A material error attributable to the AI process shall be corrected through the ordinary customs mechanism, with release, duty, preference, penalty, or record consequences adjusted as applicable under this Agreement and domestic law.</w:t>
      </w:r>
    </w:p>
    <w:p>
      <w:pPr>
        <w:pStyle w:val="Normal"/>
        <w:rPr/>
      </w:pPr>
      <w:r>
        <w:rPr/>
      </w:r>
    </w:p>
    <w:p>
      <w:bookmarkStart w:id="1568" w:name="_NAESTMA_TOC_1568"/>
      <w:pPr>
        <w:pStyle w:val="Heading2"/>
        <w:keepNext/>
        <w:widowControl/>
        <w:rPr/>
      </w:pPr>
      <w:r>
        <w:rPr/>
        <w:t>Article 39.84: AI-Influenced Duties, Fees and Penalties</w:t>
      </w:r>
      <w:bookmarkEnd w:id="1568"/>
    </w:p>
    <w:p>
      <w:pPr>
        <w:pStyle w:val="Normal"/>
        <w:widowControl/>
        <w:rPr/>
      </w:pPr>
      <w:r>
        <w:rPr/>
        <w:t>1. [AI-Influenced Duties, Fees and Penalties] Attributable duty assessment - Each Party shall ensure that attributable duty assessment in an AI-assisted customs process is attributable to a competent customs authority and is based on the law, tariff schedule, origin rule, valuation rule, or other legal standard applicable to the transaction. Where the AI materially contributes to an adverse customs outcome, the responsible authority shall preserve the material inputs, applicable rule or ruleset version, and sufficient decision information to permit reconstruction without requiring disclosure of protected model weights or unrelated confidential information. The trader shall receive the notice, correction opportunity, administrative review, or other procedural protection otherwise applicable to the same customs action, and AI use shall not reduce that protection or convert an advisory signal into conclusive evidence. A material error attributable to the AI process shall be corrected through the ordinary customs mechanism, with release, duty, preference, penalty, or record consequences adjusted as applicable under this Agreement and domestic law.</w:t>
      </w:r>
    </w:p>
    <w:p>
      <w:pPr>
        <w:pStyle w:val="Normal"/>
        <w:rPr/>
      </w:pPr>
      <w:r>
        <w:rPr/>
      </w:r>
    </w:p>
    <w:p>
      <w:pPr>
        <w:pStyle w:val="Normal"/>
        <w:widowControl/>
        <w:rPr/>
      </w:pPr>
      <w:r>
        <w:rPr/>
        <w:t>2. [AI-Influenced Duties, Fees and Penalties] Fee calculation traceability - Each Party shall ensure that fee calculation traceability in an AI-assisted customs process is attributable to a competent customs authority and is based on the law, tariff schedule, origin rule, valuation rule, or other legal standard applicable to the transaction. Where the AI materially contributes to an adverse customs outcome, the responsible authority shall preserve the material inputs, applicable rule or ruleset version, and sufficient decision information to permit reconstruction without requiring disclosure of protected model weights or unrelated confidential information. The trader shall receive the notice, correction opportunity, administrative review, or other procedural protection otherwise applicable to the same customs action, and AI use shall not reduce that protection or convert an advisory signal into conclusive evidence. A material error attributable to the AI process shall be corrected through the ordinary customs mechanism, with release, duty, preference, penalty, or record consequences adjusted as applicable under this Agreement and domestic law.</w:t>
      </w:r>
    </w:p>
    <w:p>
      <w:pPr>
        <w:pStyle w:val="Normal"/>
        <w:rPr/>
      </w:pPr>
      <w:r>
        <w:rPr/>
      </w:r>
    </w:p>
    <w:p>
      <w:pPr>
        <w:pStyle w:val="Normal"/>
        <w:widowControl/>
        <w:rPr/>
      </w:pPr>
      <w:r>
        <w:rPr/>
        <w:t>3. [AI-Influenced Duties, Fees and Penalties] Penalty corroboration - Each Party shall ensure that penalty corroboration in an AI-assisted customs process is attributable to a competent customs authority and is based on the law, tariff schedule, origin rule, valuation rule, or other legal standard applicable to the transaction. Where the AI materially contributes to an adverse customs outcome, the responsible authority shall preserve the material inputs, applicable rule or ruleset version, and sufficient decision information to permit reconstruction without requiring disclosure of protected model weights or unrelated confidential information. The trader shall receive the notice, correction opportunity, administrative review, or other procedural protection otherwise applicable to the same customs action, and AI use shall not reduce that protection or convert an advisory signal into conclusive evidence. A material error attributable to the AI process shall be corrected through the ordinary customs mechanism, with release, duty, preference, penalty, or record consequences adjusted as applicable under this Agreement and domestic law.</w:t>
      </w:r>
    </w:p>
    <w:p>
      <w:pPr>
        <w:pStyle w:val="Normal"/>
        <w:rPr/>
      </w:pPr>
      <w:r>
        <w:rPr/>
      </w:r>
    </w:p>
    <w:p>
      <w:pPr>
        <w:pStyle w:val="Normal"/>
        <w:widowControl/>
        <w:rPr/>
      </w:pPr>
      <w:r>
        <w:rPr/>
        <w:t>4. [AI-Influenced Duties, Fees and Penalties] No penalty on AI alert alone - Each Party shall ensure that no penalty on AI alert alone in an AI-assisted customs process is attributable to a competent customs authority and is based on the law, tariff schedule, origin rule, valuation rule, or other legal standard applicable to the transaction. Where the AI materially contributes to an adverse customs outcome, the responsible authority shall preserve the material inputs, applicable rule or ruleset version, and sufficient decision information to permit reconstruction without requiring disclosure of protected model weights or unrelated confidential information. The trader shall receive the notice, correction opportunity, administrative review, or other procedural protection otherwise applicable to the same customs action, and AI use shall not reduce that protection or convert an advisory signal into conclusive evidence. A material error attributable to the AI process shall be corrected through the ordinary customs mechanism, with release, duty, preference, penalty, or record consequences adjusted as applicable under this Agreement and domestic law.</w:t>
      </w:r>
    </w:p>
    <w:p>
      <w:pPr>
        <w:pStyle w:val="Normal"/>
        <w:rPr/>
      </w:pPr>
      <w:r>
        <w:rPr/>
      </w:r>
    </w:p>
    <w:p>
      <w:pPr>
        <w:pStyle w:val="Normal"/>
        <w:widowControl/>
        <w:rPr/>
      </w:pPr>
      <w:r>
        <w:rPr/>
        <w:t>5. [AI-Influenced Duties, Fees and Penalties] Reasoned notice - Each Party shall ensure that reasoned notice in an AI-assisted customs process is attributable to a competent customs authority and is based on the law, tariff schedule, origin rule, valuation rule, or other legal standard applicable to the transaction. Where the AI materially contributes to an adverse customs outcome, the responsible authority shall preserve the material inputs, applicable rule or ruleset version, and sufficient decision information to permit reconstruction without requiring disclosure of protected model weights or unrelated confidential information. The trader shall receive the notice, correction opportunity, administrative review, or other procedural protection otherwise applicable to the same customs action, and AI use shall not reduce that protection or convert an advisory signal into conclusive evidence. A material error attributable to the AI process shall be corrected through the ordinary customs mechanism, with release, duty, preference, penalty, or record consequences adjusted as applicable under this Agreement and domestic law.</w:t>
      </w:r>
    </w:p>
    <w:p>
      <w:pPr>
        <w:pStyle w:val="Normal"/>
        <w:rPr/>
      </w:pPr>
      <w:r>
        <w:rPr/>
      </w:r>
    </w:p>
    <w:p>
      <w:pPr>
        <w:pStyle w:val="Normal"/>
        <w:widowControl/>
        <w:rPr/>
      </w:pPr>
      <w:r>
        <w:rPr/>
        <w:t>6. [AI-Influenced Duties, Fees and Penalties] Review and correction - Each Party shall ensure that review and correction in an AI-assisted customs process is attributable to a competent customs authority and is based on the law, tariff schedule, origin rule, valuation rule, or other legal standard applicable to the transaction. Where the AI materially contributes to an adverse customs outcome, the responsible authority shall preserve the material inputs, applicable rule or ruleset version, and sufficient decision information to permit reconstruction without requiring disclosure of protected model weights or unrelated confidential information. The trader shall receive the notice, correction opportunity, administrative review, or other procedural protection otherwise applicable to the same customs action, and AI use shall not reduce that protection or convert an advisory signal into conclusive evidence. A material error attributable to the AI process shall be corrected through the ordinary customs mechanism, with release, duty, preference, penalty, or record consequences adjusted as applicable under this Agreement and domestic law.</w:t>
      </w:r>
    </w:p>
    <w:p>
      <w:pPr>
        <w:pStyle w:val="Normal"/>
        <w:rPr/>
      </w:pPr>
      <w:r>
        <w:rPr/>
      </w:r>
    </w:p>
    <w:p>
      <w:bookmarkStart w:id="1569" w:name="_NAESTMA_TOC_1569"/>
      <w:pPr>
        <w:pStyle w:val="Heading2"/>
        <w:keepNext/>
        <w:widowControl/>
        <w:rPr/>
      </w:pPr>
      <w:r>
        <w:rPr/>
        <w:t>Article 39.85: AI Customs Holds and Enhanced Verification</w:t>
      </w:r>
      <w:bookmarkEnd w:id="1569"/>
    </w:p>
    <w:p>
      <w:pPr>
        <w:pStyle w:val="Normal"/>
        <w:widowControl/>
        <w:rPr/>
      </w:pPr>
      <w:r>
        <w:rPr/>
        <w:t>1. [AI Customs Holds and Enhanced Verification] Documented hold trigger - Each Party shall ensure that documented hold trigger in an AI-assisted customs process is attributable to a competent customs authority and is based on the law, tariff schedule, origin rule, valuation rule, or other legal standard applicable to the transaction. Where the AI materially contributes to an adverse customs outcome, the responsible authority shall preserve the material inputs, applicable rule or ruleset version, and sufficient decision information to permit reconstruction without requiring disclosure of protected model weights or unrelated confidential information. The trader shall receive the notice, correction opportunity, administrative review, or other procedural protection otherwise applicable to the same customs action, and AI use shall not reduce that protection or convert an advisory signal into conclusive evidence. A material error attributable to the AI process shall be corrected through the ordinary customs mechanism, with release, duty, preference, penalty, or record consequences adjusted as applicable under this Agreement and domestic law.</w:t>
      </w:r>
    </w:p>
    <w:p>
      <w:pPr>
        <w:pStyle w:val="Normal"/>
        <w:rPr/>
      </w:pPr>
      <w:r>
        <w:rPr/>
      </w:r>
    </w:p>
    <w:p>
      <w:pPr>
        <w:pStyle w:val="Normal"/>
        <w:widowControl/>
        <w:rPr/>
      </w:pPr>
      <w:r>
        <w:rPr/>
        <w:t>2. [AI Customs Holds and Enhanced Verification] Material-factor explanation - Each Party shall ensure that material-factor explanation in an AI-assisted customs process is attributable to a competent customs authority and is based on the law, tariff schedule, origin rule, valuation rule, or other legal standard applicable to the transaction. Where the AI materially contributes to an adverse customs outcome, the responsible authority shall preserve the material inputs, applicable rule or ruleset version, and sufficient decision information to permit reconstruction without requiring disclosure of protected model weights or unrelated confidential information. The trader shall receive the notice, correction opportunity, administrative review, or other procedural protection otherwise applicable to the same customs action, and AI use shall not reduce that protection or convert an advisory signal into conclusive evidence. A material error attributable to the AI process shall be corrected through the ordinary customs mechanism, with release, duty, preference, penalty, or record consequences adjusted as applicable under this Agreement and domestic law.</w:t>
      </w:r>
    </w:p>
    <w:p>
      <w:pPr>
        <w:pStyle w:val="Normal"/>
        <w:rPr/>
      </w:pPr>
      <w:r>
        <w:rPr/>
      </w:r>
    </w:p>
    <w:p>
      <w:pPr>
        <w:pStyle w:val="Normal"/>
        <w:widowControl/>
        <w:rPr/>
      </w:pPr>
      <w:r>
        <w:rPr/>
        <w:t>3. [AI Customs Holds and Enhanced Verification] Scope-limited verification - Each Party shall ensure that scope-limited verification in an AI-assisted customs process is attributable to a competent customs authority and is based on the law, tariff schedule, origin rule, valuation rule, or other legal standard applicable to the transaction. Where the AI materially contributes to an adverse customs outcome, the responsible authority shall preserve the material inputs, applicable rule or ruleset version, and sufficient decision information to permit reconstruction without requiring disclosure of protected model weights or unrelated confidential information. The trader shall receive the notice, correction opportunity, administrative review, or other procedural protection otherwise applicable to the same customs action, and AI use shall not reduce that protection or convert an advisory signal into conclusive evidence. A material error attributable to the AI process shall be corrected through the ordinary customs mechanism, with release, duty, preference, penalty, or record consequences adjusted as applicable under this Agreement and domestic law.</w:t>
      </w:r>
    </w:p>
    <w:p>
      <w:pPr>
        <w:pStyle w:val="Normal"/>
        <w:rPr/>
      </w:pPr>
      <w:r>
        <w:rPr/>
      </w:r>
    </w:p>
    <w:p>
      <w:pPr>
        <w:pStyle w:val="Normal"/>
        <w:widowControl/>
        <w:rPr/>
      </w:pPr>
      <w:r>
        <w:rPr/>
        <w:t>4. [AI Customs Holds and Enhanced Verification] Periodic human reassessment - Each Party shall ensure that periodic human reassessment in an AI-assisted customs process is attributable to a competent customs authority and is based on the law, tariff schedule, origin rule, valuation rule, or other legal standard applicable to the transaction. Where the AI materially contributes to an adverse customs outcome, the responsible authority shall preserve the material inputs, applicable rule or ruleset version, and sufficient decision information to permit reconstruction without requiring disclosure of protected model weights or unrelated confidential information. The trader shall receive the notice, correction opportunity, administrative review, or other procedural protection otherwise applicable to the same customs action, and AI use shall not reduce that protection or convert an advisory signal into conclusive evidence. A material error attributable to the AI process shall be corrected through the ordinary customs mechanism, with release, duty, preference, penalty, or record consequences adjusted as applicable under this Agreement and domestic law.</w:t>
      </w:r>
    </w:p>
    <w:p>
      <w:pPr>
        <w:pStyle w:val="Normal"/>
        <w:rPr/>
      </w:pPr>
      <w:r>
        <w:rPr/>
      </w:r>
    </w:p>
    <w:p>
      <w:pPr>
        <w:pStyle w:val="Normal"/>
        <w:widowControl/>
        <w:rPr/>
      </w:pPr>
      <w:r>
        <w:rPr/>
        <w:t>5. [AI Customs Holds and Enhanced Verification] Release when basis resolves - Each Party shall ensure that release when basis resolves in an AI-assisted customs process is attributable to a competent customs authority and is based on the law, tariff schedule, origin rule, valuation rule, or other legal standard applicable to the transaction. Where the AI materially contributes to an adverse customs outcome, the responsible authority shall preserve the material inputs, applicable rule or ruleset version, and sufficient decision information to permit reconstruction without requiring disclosure of protected model weights or unrelated confidential information. The trader shall receive the notice, correction opportunity, administrative review, or other procedural protection otherwise applicable to the same customs action, and AI use shall not reduce that protection or convert an advisory signal into conclusive evidence. A material error attributable to the AI process shall be corrected through the ordinary customs mechanism, with release, duty, preference, penalty, or record consequences adjusted as applicable under this Agreement and domestic law.</w:t>
      </w:r>
    </w:p>
    <w:p>
      <w:pPr>
        <w:pStyle w:val="Normal"/>
        <w:rPr/>
      </w:pPr>
      <w:r>
        <w:rPr/>
      </w:r>
    </w:p>
    <w:p>
      <w:pPr>
        <w:pStyle w:val="Normal"/>
        <w:widowControl/>
        <w:rPr/>
      </w:pPr>
      <w:r>
        <w:rPr/>
        <w:t>6. [AI Customs Holds and Enhanced Verification] No indefinite algorithmic hold - Each Party shall ensure that no indefinite algorithmic hold in an AI-assisted customs process is attributable to a competent customs authority and is based on the law, tariff schedule, origin rule, valuation rule, or other legal standard applicable to the transaction. Where the AI materially contributes to an adverse customs outcome, the responsible authority shall preserve the material inputs, applicable rule or ruleset version, and sufficient decision information to permit reconstruction without requiring disclosure of protected model weights or unrelated confidential information. The trader shall receive the notice, correction opportunity, administrative review, or other procedural protection otherwise applicable to the same customs action, and AI use shall not reduce that protection or convert an advisory signal into conclusive evidence. A material error attributable to the AI process shall be corrected through the ordinary customs mechanism, with release, duty, preference, penalty, or record consequences adjusted as applicable under this Agreement and domestic law.</w:t>
      </w:r>
    </w:p>
    <w:p>
      <w:pPr>
        <w:pStyle w:val="Normal"/>
        <w:rPr/>
      </w:pPr>
      <w:r>
        <w:rPr/>
      </w:r>
    </w:p>
    <w:p>
      <w:bookmarkStart w:id="1570" w:name="_NAESTMA_TOC_1570"/>
      <w:pPr>
        <w:pStyle w:val="Heading2"/>
        <w:keepNext/>
        <w:widowControl/>
        <w:rPr/>
      </w:pPr>
      <w:r>
        <w:rPr/>
        <w:t>Article 39.86: No Silent Algorithmic Tariff or Treatment Creep</w:t>
      </w:r>
      <w:bookmarkEnd w:id="1570"/>
    </w:p>
    <w:p>
      <w:pPr>
        <w:pStyle w:val="Normal"/>
        <w:widowControl/>
        <w:rPr/>
      </w:pPr>
      <w:r>
        <w:rPr/>
        <w:t>1. [No Silent Algorithmic Tariff or Treatment Creep] No hidden tariff reclassification - Each Party shall ensure that no hidden tariff reclassification in an AI-assisted customs process is attributable to a competent customs authority and is based on the law, tariff schedule, origin rule, valuation rule, or other legal standard applicable to the transaction. Where the AI materially contributes to an adverse customs outcome, the responsible authority shall preserve the material inputs, applicable rule or ruleset version, and sufficient decision information to permit reconstruction without requiring disclosure of protected model weights or unrelated confidential information. The trader shall receive the notice, correction opportunity, administrative review, or other procedural protection otherwise applicable to the same customs action, and AI use shall not reduce that protection or convert an advisory signal into conclusive evidence. A material error attributable to the AI process shall be corrected through the ordinary customs mechanism, with release, duty, preference, penalty, or record consequences adjusted as applicable under this Agreement and domestic law.</w:t>
      </w:r>
    </w:p>
    <w:p>
      <w:pPr>
        <w:pStyle w:val="Normal"/>
        <w:rPr/>
      </w:pPr>
      <w:r>
        <w:rPr/>
      </w:r>
    </w:p>
    <w:p>
      <w:pPr>
        <w:pStyle w:val="Normal"/>
        <w:widowControl/>
        <w:rPr/>
      </w:pPr>
      <w:r>
        <w:rPr/>
        <w:t>2. [No Silent Algorithmic Tariff or Treatment Creep] No undisclosed preference downgrade - The Parties shall address no undisclosed preference downgrade as part of the AI-enabled trade framework through competent existing authorities and controls proportionate to the material trade, safety, security, privacy, or rights consequences of the use. Implementation shall identify the responsible actor, the operational purpose, the information or evidence on which material action may rely, and the point at which human review, correction, escalation, or revalidation is required. The Parties may use different technologies, vendors, technical standards, or administrative methods where they achieve materially equivalent outcomes and preserve confidentiality, interoperability, contestability, and applicable constitutional authority. Nothing in this paragraph authorizes an automatic tariff consequence, unrelated retaliation, compulsory participation in an optional program, or creation of a new standing institution unless another provision of this Agreement expressly provides otherwise.</w:t>
      </w:r>
    </w:p>
    <w:p>
      <w:pPr>
        <w:pStyle w:val="Normal"/>
        <w:rPr/>
      </w:pPr>
      <w:r>
        <w:rPr/>
      </w:r>
    </w:p>
    <w:p>
      <w:pPr>
        <w:pStyle w:val="Normal"/>
        <w:widowControl/>
        <w:rPr/>
      </w:pPr>
      <w:r>
        <w:rPr/>
        <w:t>3. [No Silent Algorithmic Tariff or Treatment Creep] No AI-created surcharge - The Parties shall address no AI-created surcharge as part of the AI-enabled trade framework through competent existing authorities and controls proportionate to the material trade, safety, security, privacy, or rights consequences of the use. Implementation shall identify the responsible actor, the operational purpose, the information or evidence on which material action may rely, and the point at which human review, correction, escalation, or revalidation is required. The Parties may use different technologies, vendors, technical standards, or administrative methods where they achieve materially equivalent outcomes and preserve confidentiality, interoperability, contestability, and applicable constitutional authority. Nothing in this paragraph authorizes an automatic tariff consequence, unrelated retaliation, compulsory participation in an optional program, or creation of a new standing institution unless another provision of this Agreement expressly provides otherwise.</w:t>
      </w:r>
    </w:p>
    <w:p>
      <w:pPr>
        <w:pStyle w:val="Normal"/>
        <w:rPr/>
      </w:pPr>
      <w:r>
        <w:rPr/>
      </w:r>
    </w:p>
    <w:p>
      <w:pPr>
        <w:pStyle w:val="Normal"/>
        <w:widowControl/>
        <w:rPr/>
      </w:pPr>
      <w:r>
        <w:rPr/>
        <w:t>4. [No Silent Algorithmic Tariff or Treatment Creep] No algorithmic substitute measure - The Parties shall address no algorithmic substitute measure as part of the AI-enabled trade framework through competent existing authorities and controls proportionate to the material trade, safety, security, privacy, or rights consequences of the use. Implementation shall identify the responsible actor, the operational purpose, the information or evidence on which material action may rely, and the point at which human review, correction, escalation, or revalidation is required. The Parties may use different technologies, vendors, technical standards, or administrative methods where they achieve materially equivalent outcomes and preserve confidentiality, interoperability, contestability, and applicable constitutional authority. Nothing in this paragraph authorizes an automatic tariff consequence, unrelated retaliation, compulsory participation in an optional program, or creation of a new standing institution unless another provision of this Agreement expressly provides otherwise.</w:t>
      </w:r>
    </w:p>
    <w:p>
      <w:pPr>
        <w:pStyle w:val="Normal"/>
        <w:rPr/>
      </w:pPr>
      <w:r>
        <w:rPr/>
      </w:r>
    </w:p>
    <w:p>
      <w:pPr>
        <w:pStyle w:val="Normal"/>
        <w:widowControl/>
        <w:rPr/>
      </w:pPr>
      <w:r>
        <w:rPr/>
        <w:t>5. [No Silent Algorithmic Tariff or Treatment Creep] Change-control notice - The Parties shall address change-control notice as part of the AI-enabled trade framework through competent existing authorities and controls proportionate to the material trade, safety, security, privacy, or rights consequences of the use. Implementation shall identify the responsible actor, the operational purpose, the information or evidence on which material action may rely, and the point at which human review, correction, escalation, or revalidation is required. The Parties may use different technologies, vendors, technical standards, or administrative methods where they achieve materially equivalent outcomes and preserve confidentiality, interoperability, contestability, and applicable constitutional authority. Nothing in this paragraph authorizes an automatic tariff consequence, unrelated retaliation, compulsory participation in an optional program, or creation of a new standing institution unless another provision of this Agreement expressly provides otherwise.</w:t>
      </w:r>
    </w:p>
    <w:p>
      <w:pPr>
        <w:pStyle w:val="Normal"/>
        <w:rPr/>
      </w:pPr>
      <w:r>
        <w:rPr/>
      </w:r>
    </w:p>
    <w:p>
      <w:pPr>
        <w:pStyle w:val="Normal"/>
        <w:widowControl/>
        <w:rPr/>
      </w:pPr>
      <w:r>
        <w:rPr/>
        <w:t>6. [No Silent Algorithmic Tariff or Treatment Creep] Chapter 35 savings - The Parties shall address chapter 35 savings as part of the AI-enabled trade framework through competent existing authorities and controls proportionate to the material trade, safety, security, privacy, or rights consequences of the use. Implementation shall identify the responsible actor, the operational purpose, the information or evidence on which material action may rely, and the point at which human review, correction, escalation, or revalidation is required. The Parties may use different technologies, vendors, technical standards, or administrative methods where they achieve materially equivalent outcomes and preserve confidentiality, interoperability, contestability, and applicable constitutional authority. Nothing in this paragraph authorizes an automatic tariff consequence, unrelated retaliation, compulsory participation in an optional program, or creation of a new standing institution unless another provision of this Agreement expressly provides otherwise.</w:t>
      </w:r>
    </w:p>
    <w:p>
      <w:pPr>
        <w:pStyle w:val="Normal"/>
        <w:rPr/>
      </w:pPr>
      <w:r>
        <w:rPr/>
      </w:r>
    </w:p>
    <w:p>
      <w:bookmarkStart w:id="1571" w:name="_NAESTMA_TOC_1571"/>
      <w:pPr>
        <w:pStyle w:val="Heading2"/>
        <w:keepNext/>
        <w:widowControl/>
        <w:rPr/>
      </w:pPr>
      <w:r>
        <w:rPr/>
        <w:t>Article 39.87: Customs AI Risk-Scoring Inputs</w:t>
      </w:r>
      <w:bookmarkEnd w:id="1571"/>
    </w:p>
    <w:p>
      <w:pPr>
        <w:pStyle w:val="Normal"/>
        <w:widowControl/>
        <w:rPr/>
      </w:pPr>
      <w:r>
        <w:rPr/>
        <w:t>1. [Customs AI Risk-Scoring Inputs] Lawful input sources - Each Party shall govern lawful input sources through documented, risk-based criteria connected to legitimate customs, safety, security, revenue, or prohibited-goods objectives rather than through nationality, retaliation, or revenue-generation alone. The responsible authority shall validate the relevant AI or analytical method against operational outcomes, monitor material false-positive and false-negative patterns, and provide human authority to override or escalate a result when the evidence warrants it. Where the mechanism materially increases inspection, delay, verification, or another burden on a trader, the Party shall maintain sufficient records to permit internal review while protecting law-enforcement methods, personal data, and confidential commercial information. Persistent material error, drift, discriminatory effect, or unsupported targeting shall require correction, recalibration, suspension of the affected use, or another proportionate remedy before continued reliance.</w:t>
      </w:r>
    </w:p>
    <w:p>
      <w:pPr>
        <w:pStyle w:val="Normal"/>
        <w:rPr/>
      </w:pPr>
      <w:r>
        <w:rPr/>
      </w:r>
    </w:p>
    <w:p>
      <w:pPr>
        <w:pStyle w:val="Normal"/>
        <w:widowControl/>
        <w:rPr/>
      </w:pPr>
      <w:r>
        <w:rPr/>
        <w:t>2. [Customs AI Risk-Scoring Inputs] Data quality - Each Party shall govern data quality through documented, risk-based criteria connected to legitimate customs, safety, security, revenue, or prohibited-goods objectives rather than through nationality, retaliation, or revenue-generation alone. The responsible authority shall validate the relevant AI or analytical method against operational outcomes, monitor material false-positive and false-negative patterns, and provide human authority to override or escalate a result when the evidence warrants it. Where the mechanism materially increases inspection, delay, verification, or another burden on a trader, the Party shall maintain sufficient records to permit internal review while protecting law-enforcement methods, personal data, and confidential commercial information. Persistent material error, drift, discriminatory effect, or unsupported targeting shall require correction, recalibration, suspension of the affected use, or another proportionate remedy before continued reliance.</w:t>
      </w:r>
    </w:p>
    <w:p>
      <w:pPr>
        <w:pStyle w:val="Normal"/>
        <w:rPr/>
      </w:pPr>
      <w:r>
        <w:rPr/>
      </w:r>
    </w:p>
    <w:p>
      <w:pPr>
        <w:pStyle w:val="Normal"/>
        <w:widowControl/>
        <w:rPr/>
      </w:pPr>
      <w:r>
        <w:rPr/>
        <w:t>3. [Customs AI Risk-Scoring Inputs] Provenance - Each Party shall govern provenance through documented, risk-based criteria connected to legitimate customs, safety, security, revenue, or prohibited-goods objectives rather than through nationality, retaliation, or revenue-generation alone. The responsible authority shall validate the relevant AI or analytical method against operational outcomes, monitor material false-positive and false-negative patterns, and provide human authority to override or escalate a result when the evidence warrants it. Where the mechanism materially increases inspection, delay, verification, or another burden on a trader, the Party shall maintain sufficient records to permit internal review while protecting law-enforcement methods, personal data, and confidential commercial information. Persistent material error, drift, discriminatory effect, or unsupported targeting shall require correction, recalibration, suspension of the affected use, or another proportionate remedy before continued reliance.</w:t>
      </w:r>
    </w:p>
    <w:p>
      <w:pPr>
        <w:pStyle w:val="Normal"/>
        <w:rPr/>
      </w:pPr>
      <w:r>
        <w:rPr/>
      </w:r>
    </w:p>
    <w:p>
      <w:pPr>
        <w:pStyle w:val="Normal"/>
        <w:widowControl/>
        <w:rPr/>
      </w:pPr>
      <w:r>
        <w:rPr/>
        <w:t>4. [Customs AI Risk-Scoring Inputs] Relevance and necessity - Each Party shall govern relevance and necessity through documented, risk-based criteria connected to legitimate customs, safety, security, revenue, or prohibited-goods objectives rather than through nationality, retaliation, or revenue-generation alone. The responsible authority shall validate the relevant AI or analytical method against operational outcomes, monitor material false-positive and false-negative patterns, and provide human authority to override or escalate a result when the evidence warrants it. Where the mechanism materially increases inspection, delay, verification, or another burden on a trader, the Party shall maintain sufficient records to permit internal review while protecting law-enforcement methods, personal data, and confidential commercial information. Persistent material error, drift, discriminatory effect, or unsupported targeting shall require correction, recalibration, suspension of the affected use, or another proportionate remedy before continued reliance.</w:t>
      </w:r>
    </w:p>
    <w:p>
      <w:pPr>
        <w:pStyle w:val="Normal"/>
        <w:rPr/>
      </w:pPr>
      <w:r>
        <w:rPr/>
      </w:r>
    </w:p>
    <w:p>
      <w:pPr>
        <w:pStyle w:val="Normal"/>
        <w:widowControl/>
        <w:rPr/>
      </w:pPr>
      <w:r>
        <w:rPr/>
        <w:t>5. [Customs AI Risk-Scoring Inputs] No protected/proxy input without lawful basis - Each Party shall govern no protected/proxy input without lawful basis through documented, risk-based criteria connected to legitimate customs, safety, security, revenue, or prohibited-goods objectives rather than through nationality, retaliation, or revenue-generation alone. The responsible authority shall validate the relevant AI or analytical method against operational outcomes, monitor material false-positive and false-negative patterns, and provide human authority to override or escalate a result when the evidence warrants it. Where the mechanism materially increases inspection, delay, verification, or another burden on a trader, the Party shall maintain sufficient records to permit internal review while protecting law-enforcement methods, personal data, and confidential commercial information. Persistent material error, drift, discriminatory effect, or unsupported targeting shall require correction, recalibration, suspension of the affected use, or another proportionate remedy before continued reliance.</w:t>
      </w:r>
    </w:p>
    <w:p>
      <w:pPr>
        <w:pStyle w:val="Normal"/>
        <w:rPr/>
      </w:pPr>
      <w:r>
        <w:rPr/>
      </w:r>
    </w:p>
    <w:p>
      <w:pPr>
        <w:pStyle w:val="Normal"/>
        <w:widowControl/>
        <w:rPr/>
      </w:pPr>
      <w:r>
        <w:rPr/>
        <w:t>6. [Customs AI Risk-Scoring Inputs] Input correction - Each Party shall govern input correction through documented, risk-based criteria connected to legitimate customs, safety, security, revenue, or prohibited-goods objectives rather than through nationality, retaliation, or revenue-generation alone. The responsible authority shall validate the relevant AI or analytical method against operational outcomes, monitor material false-positive and false-negative patterns, and provide human authority to override or escalate a result when the evidence warrants it. Where the mechanism materially increases inspection, delay, verification, or another burden on a trader, the Party shall maintain sufficient records to permit internal review while protecting law-enforcement methods, personal data, and confidential commercial information. Persistent material error, drift, discriminatory effect, or unsupported targeting shall require correction, recalibration, suspension of the affected use, or another proportionate remedy before continued reliance.</w:t>
      </w:r>
    </w:p>
    <w:p>
      <w:pPr>
        <w:pStyle w:val="Normal"/>
        <w:rPr/>
      </w:pPr>
      <w:r>
        <w:rPr/>
      </w:r>
    </w:p>
    <w:p>
      <w:bookmarkStart w:id="1572" w:name="_NAESTMA_TOC_1572"/>
      <w:pPr>
        <w:pStyle w:val="Heading2"/>
        <w:keepNext/>
        <w:widowControl/>
        <w:rPr/>
      </w:pPr>
      <w:r>
        <w:rPr/>
        <w:t>Article 39.88: Risk Scoring, Origin Neutrality and Anti-Proxy Rules</w:t>
      </w:r>
      <w:bookmarkEnd w:id="1572"/>
    </w:p>
    <w:p>
      <w:pPr>
        <w:pStyle w:val="Normal"/>
        <w:widowControl/>
        <w:rPr/>
      </w:pPr>
      <w:r>
        <w:rPr/>
        <w:t>1. [Risk Scoring, Origin Neutrality and Anti-Proxy Rules] No origin-only adverse score - Each Party shall ensure that no origin-only adverse score in an AI-assisted customs process is attributable to a competent customs authority and is based on the law, tariff schedule, origin rule, valuation rule, or other legal standard applicable to the transaction. Where the AI materially contributes to an adverse customs outcome, the responsible authority shall preserve the material inputs, applicable rule or ruleset version, and sufficient decision information to permit reconstruction without requiring disclosure of protected model weights or unrelated confidential information. The trader shall receive the notice, correction opportunity, administrative review, or other procedural protection otherwise applicable to the same customs action, and AI use shall not reduce that protection or convert an advisory signal into conclusive evidence. A material error attributable to the AI process shall be corrected through the ordinary customs mechanism, with release, duty, preference, penalty, or record consequences adjusted as applicable under this Agreement and domestic law.</w:t>
      </w:r>
    </w:p>
    <w:p>
      <w:pPr>
        <w:pStyle w:val="Normal"/>
        <w:rPr/>
      </w:pPr>
      <w:r>
        <w:rPr/>
      </w:r>
    </w:p>
    <w:p>
      <w:pPr>
        <w:pStyle w:val="Normal"/>
        <w:widowControl/>
        <w:rPr/>
      </w:pPr>
      <w:r>
        <w:rPr/>
        <w:t>2. [Risk Scoring, Origin Neutrality and Anti-Proxy Rules] No nationality proxy - Each Party shall ensure that no nationality proxy in an AI-assisted customs process is attributable to a competent customs authority and is based on the law, tariff schedule, origin rule, valuation rule, or other legal standard applicable to the transaction. Where the AI materially contributes to an adverse customs outcome, the responsible authority shall preserve the material inputs, applicable rule or ruleset version, and sufficient decision information to permit reconstruction without requiring disclosure of protected model weights or unrelated confidential information. The trader shall receive the notice, correction opportunity, administrative review, or other procedural protection otherwise applicable to the same customs action, and AI use shall not reduce that protection or convert an advisory signal into conclusive evidence. A material error attributable to the AI process shall be corrected through the ordinary customs mechanism, with release, duty, preference, penalty, or record consequences adjusted as applicable under this Agreement and domestic law.</w:t>
      </w:r>
    </w:p>
    <w:p>
      <w:pPr>
        <w:pStyle w:val="Normal"/>
        <w:rPr/>
      </w:pPr>
      <w:r>
        <w:rPr/>
      </w:r>
    </w:p>
    <w:p>
      <w:pPr>
        <w:pStyle w:val="Normal"/>
        <w:widowControl/>
        <w:rPr/>
      </w:pPr>
      <w:r>
        <w:rPr/>
        <w:t>3. [Risk Scoring, Origin Neutrality and Anti-Proxy Rules] No protected-characteristic proxy - Each Party shall ensure that no protected-characteristic proxy in an AI-assisted customs process is attributable to a competent customs authority and is based on the law, tariff schedule, origin rule, valuation rule, or other legal standard applicable to the transaction. Where the AI materially contributes to an adverse customs outcome, the responsible authority shall preserve the material inputs, applicable rule or ruleset version, and sufficient decision information to permit reconstruction without requiring disclosure of protected model weights or unrelated confidential information. The trader shall receive the notice, correction opportunity, administrative review, or other procedural protection otherwise applicable to the same customs action, and AI use shall not reduce that protection or convert an advisory signal into conclusive evidence. A material error attributable to the AI process shall be corrected through the ordinary customs mechanism, with release, duty, preference, penalty, or record consequences adjusted as applicable under this Agreement and domestic law.</w:t>
      </w:r>
    </w:p>
    <w:p>
      <w:pPr>
        <w:pStyle w:val="Normal"/>
        <w:rPr/>
      </w:pPr>
      <w:r>
        <w:rPr/>
      </w:r>
    </w:p>
    <w:p>
      <w:pPr>
        <w:pStyle w:val="Normal"/>
        <w:widowControl/>
        <w:rPr/>
      </w:pPr>
      <w:r>
        <w:rPr/>
        <w:t>4. [Risk Scoring, Origin Neutrality and Anti-Proxy Rules] Risk-factor nexus - Each Party shall ensure that risk-factor nexus in an AI-assisted customs process is attributable to a competent customs authority and is based on the law, tariff schedule, origin rule, valuation rule, or other legal standard applicable to the transaction. Where the AI materially contributes to an adverse customs outcome, the responsible authority shall preserve the material inputs, applicable rule or ruleset version, and sufficient decision information to permit reconstruction without requiring disclosure of protected model weights or unrelated confidential information. The trader shall receive the notice, correction opportunity, administrative review, or other procedural protection otherwise applicable to the same customs action, and AI use shall not reduce that protection or convert an advisory signal into conclusive evidence. A material error attributable to the AI process shall be corrected through the ordinary customs mechanism, with release, duty, preference, penalty, or record consequences adjusted as applicable under this Agreement and domestic law.</w:t>
      </w:r>
    </w:p>
    <w:p>
      <w:pPr>
        <w:pStyle w:val="Normal"/>
        <w:rPr/>
      </w:pPr>
      <w:r>
        <w:rPr/>
      </w:r>
    </w:p>
    <w:p>
      <w:pPr>
        <w:pStyle w:val="Normal"/>
        <w:widowControl/>
        <w:rPr/>
      </w:pPr>
      <w:r>
        <w:rPr/>
        <w:t>5. [Risk Scoring, Origin Neutrality and Anti-Proxy Rules] Documented exceptional use - Each Party shall ensure that documented exceptional use in an AI-assisted customs process is attributable to a competent customs authority and is based on the law, tariff schedule, origin rule, valuation rule, or other legal standard applicable to the transaction. Where the AI materially contributes to an adverse customs outcome, the responsible authority shall preserve the material inputs, applicable rule or ruleset version, and sufficient decision information to permit reconstruction without requiring disclosure of protected model weights or unrelated confidential information. The trader shall receive the notice, correction opportunity, administrative review, or other procedural protection otherwise applicable to the same customs action, and AI use shall not reduce that protection or convert an advisory signal into conclusive evidence. A material error attributable to the AI process shall be corrected through the ordinary customs mechanism, with release, duty, preference, penalty, or record consequences adjusted as applicable under this Agreement and domestic law.</w:t>
      </w:r>
    </w:p>
    <w:p>
      <w:pPr>
        <w:pStyle w:val="Normal"/>
        <w:rPr/>
      </w:pPr>
      <w:r>
        <w:rPr/>
      </w:r>
    </w:p>
    <w:p>
      <w:pPr>
        <w:pStyle w:val="Normal"/>
        <w:widowControl/>
        <w:rPr/>
      </w:pPr>
      <w:r>
        <w:rPr/>
        <w:t>6. [Risk Scoring, Origin Neutrality and Anti-Proxy Rules] Anti-circumvention savings - Each Party shall ensure that anti-circumvention savings in an AI-assisted customs process is attributable to a competent customs authority and is based on the law, tariff schedule, origin rule, valuation rule, or other legal standard applicable to the transaction. Where the AI materially contributes to an adverse customs outcome, the responsible authority shall preserve the material inputs, applicable rule or ruleset version, and sufficient decision information to permit reconstruction without requiring disclosure of protected model weights or unrelated confidential information. The trader shall receive the notice, correction opportunity, administrative review, or other procedural protection otherwise applicable to the same customs action, and AI use shall not reduce that protection or convert an advisory signal into conclusive evidence. A material error attributable to the AI process shall be corrected through the ordinary customs mechanism, with release, duty, preference, penalty, or record consequences adjusted as applicable under this Agreement and domestic law.</w:t>
      </w:r>
    </w:p>
    <w:p>
      <w:pPr>
        <w:pStyle w:val="Normal"/>
        <w:rPr/>
      </w:pPr>
      <w:r>
        <w:rPr/>
      </w:r>
    </w:p>
    <w:p>
      <w:bookmarkStart w:id="1573" w:name="_NAESTMA_TOC_1573"/>
      <w:pPr>
        <w:pStyle w:val="Heading2"/>
        <w:keepNext/>
        <w:widowControl/>
        <w:rPr/>
      </w:pPr>
      <w:r>
        <w:rPr/>
        <w:t>Article 39.89: Risk-Score Explainability and Trader Contestability</w:t>
      </w:r>
      <w:bookmarkEnd w:id="1573"/>
    </w:p>
    <w:p>
      <w:pPr>
        <w:pStyle w:val="Normal"/>
        <w:widowControl/>
        <w:rPr/>
      </w:pPr>
      <w:r>
        <w:rPr/>
        <w:t>1. [Risk-Score Explainability and Trader Contestability] Material-factor categories - Each Party shall govern material-factor categories through documented, risk-based criteria connected to legitimate customs, safety, security, revenue, or prohibited-goods objectives rather than through nationality, retaliation, or revenue-generation alone. The responsible authority shall validate the relevant AI or analytical method against operational outcomes, monitor material false-positive and false-negative patterns, and provide human authority to override or escalate a result when the evidence warrants it. Where the mechanism materially increases inspection, delay, verification, or another burden on a trader, the Party shall maintain sufficient records to permit internal review while protecting law-enforcement methods, personal data, and confidential commercial information. Persistent material error, drift, discriminatory effect, or unsupported targeting shall require correction, recalibration, suspension of the affected use, or another proportionate remedy before continued reliance.</w:t>
      </w:r>
    </w:p>
    <w:p>
      <w:pPr>
        <w:pStyle w:val="Normal"/>
        <w:rPr/>
      </w:pPr>
      <w:r>
        <w:rPr/>
      </w:r>
    </w:p>
    <w:p>
      <w:pPr>
        <w:pStyle w:val="Normal"/>
        <w:widowControl/>
        <w:rPr/>
      </w:pPr>
      <w:r>
        <w:rPr/>
        <w:t>2. [Risk-Score Explainability and Trader Contestability] Adverse-score notice where appropriate - Each Party shall govern adverse-score notice where appropriate through documented, risk-based criteria connected to legitimate customs, safety, security, revenue, or prohibited-goods objectives rather than through nationality, retaliation, or revenue-generation alone. The responsible authority shall validate the relevant AI or analytical method against operational outcomes, monitor material false-positive and false-negative patterns, and provide human authority to override or escalate a result when the evidence warrants it. Where the mechanism materially increases inspection, delay, verification, or another burden on a trader, the Party shall maintain sufficient records to permit internal review while protecting law-enforcement methods, personal data, and confidential commercial information. Persistent material error, drift, discriminatory effect, or unsupported targeting shall require correction, recalibration, suspension of the affected use, or another proportionate remedy before continued reliance.</w:t>
      </w:r>
    </w:p>
    <w:p>
      <w:pPr>
        <w:pStyle w:val="Normal"/>
        <w:rPr/>
      </w:pPr>
      <w:r>
        <w:rPr/>
      </w:r>
    </w:p>
    <w:p>
      <w:pPr>
        <w:pStyle w:val="Normal"/>
        <w:widowControl/>
        <w:rPr/>
      </w:pPr>
      <w:r>
        <w:rPr/>
        <w:t>3. [Risk-Score Explainability and Trader Contestability] Human challenge pathway - Each Party shall govern human challenge pathway through documented, risk-based criteria connected to legitimate customs, safety, security, revenue, or prohibited-goods objectives rather than through nationality, retaliation, or revenue-generation alone. The responsible authority shall validate the relevant AI or analytical method against operational outcomes, monitor material false-positive and false-negative patterns, and provide human authority to override or escalate a result when the evidence warrants it. Where the mechanism materially increases inspection, delay, verification, or another burden on a trader, the Party shall maintain sufficient records to permit internal review while protecting law-enforcement methods, personal data, and confidential commercial information. Persistent material error, drift, discriminatory effect, or unsupported targeting shall require correction, recalibration, suspension of the affected use, or another proportionate remedy before continued reliance.</w:t>
      </w:r>
    </w:p>
    <w:p>
      <w:pPr>
        <w:pStyle w:val="Normal"/>
        <w:rPr/>
      </w:pPr>
      <w:r>
        <w:rPr/>
      </w:r>
    </w:p>
    <w:p>
      <w:pPr>
        <w:pStyle w:val="Normal"/>
        <w:widowControl/>
        <w:rPr/>
      </w:pPr>
      <w:r>
        <w:rPr/>
        <w:t>4. [Risk-Score Explainability and Trader Contestability] Correction of erroneous data - Each Party shall govern correction of erroneous data through documented, risk-based criteria connected to legitimate customs, safety, security, revenue, or prohibited-goods objectives rather than through nationality, retaliation, or revenue-generation alone. The responsible authority shall validate the relevant AI or analytical method against operational outcomes, monitor material false-positive and false-negative patterns, and provide human authority to override or escalate a result when the evidence warrants it. Where the mechanism materially increases inspection, delay, verification, or another burden on a trader, the Party shall maintain sufficient records to permit internal review while protecting law-enforcement methods, personal data, and confidential commercial information. Persistent material error, drift, discriminatory effect, or unsupported targeting shall require correction, recalibration, suspension of the affected use, or another proportionate remedy before continued reliance.</w:t>
      </w:r>
    </w:p>
    <w:p>
      <w:pPr>
        <w:pStyle w:val="Normal"/>
        <w:rPr/>
      </w:pPr>
      <w:r>
        <w:rPr/>
      </w:r>
    </w:p>
    <w:p>
      <w:pPr>
        <w:pStyle w:val="Normal"/>
        <w:widowControl/>
        <w:rPr/>
      </w:pPr>
      <w:r>
        <w:rPr/>
        <w:t>5. [Risk-Score Explainability and Trader Contestability] Review outcome - Each Party shall govern review outcome through documented, risk-based criteria connected to legitimate customs, safety, security, revenue, or prohibited-goods objectives rather than through nationality, retaliation, or revenue-generation alone. The responsible authority shall validate the relevant AI or analytical method against operational outcomes, monitor material false-positive and false-negative patterns, and provide human authority to override or escalate a result when the evidence warrants it. Where the mechanism materially increases inspection, delay, verification, or another burden on a trader, the Party shall maintain sufficient records to permit internal review while protecting law-enforcement methods, personal data, and confidential commercial information. Persistent material error, drift, discriminatory effect, or unsupported targeting shall require correction, recalibration, suspension of the affected use, or another proportionate remedy before continued reliance.</w:t>
      </w:r>
    </w:p>
    <w:p>
      <w:pPr>
        <w:pStyle w:val="Normal"/>
        <w:rPr/>
      </w:pPr>
      <w:r>
        <w:rPr/>
      </w:r>
    </w:p>
    <w:p>
      <w:pPr>
        <w:pStyle w:val="Normal"/>
        <w:widowControl/>
        <w:rPr/>
      </w:pPr>
      <w:r>
        <w:rPr/>
        <w:t>6. [Risk-Score Explainability and Trader Contestability] Security-sensitive explanation limits - Each Party shall govern security-sensitive explanation limits through documented, risk-based criteria connected to legitimate customs, safety, security, revenue, or prohibited-goods objectives rather than through nationality, retaliation, or revenue-generation alone. The responsible authority shall validate the relevant AI or analytical method against operational outcomes, monitor material false-positive and false-negative patterns, and provide human authority to override or escalate a result when the evidence warrants it. Where the mechanism materially increases inspection, delay, verification, or another burden on a trader, the Party shall maintain sufficient records to permit internal review while protecting law-enforcement methods, personal data, and confidential commercial information. Persistent material error, drift, discriminatory effect, or unsupported targeting shall require correction, recalibration, suspension of the affected use, or another proportionate remedy before continued reliance.</w:t>
      </w:r>
    </w:p>
    <w:p>
      <w:pPr>
        <w:pStyle w:val="Normal"/>
        <w:rPr/>
      </w:pPr>
      <w:r>
        <w:rPr/>
      </w:r>
    </w:p>
    <w:p>
      <w:bookmarkStart w:id="1574" w:name="_NAESTMA_TOC_1574"/>
      <w:pPr>
        <w:pStyle w:val="Heading2"/>
        <w:keepNext/>
        <w:widowControl/>
        <w:rPr/>
      </w:pPr>
      <w:r>
        <w:rPr/>
        <w:t>Article 39.90: Risk-Model Validation and False-Positive Control</w:t>
      </w:r>
      <w:bookmarkEnd w:id="1574"/>
    </w:p>
    <w:p>
      <w:pPr>
        <w:pStyle w:val="Normal"/>
        <w:widowControl/>
        <w:rPr/>
      </w:pPr>
      <w:r>
        <w:rPr/>
        <w:t>1. [Risk-Model Validation and False-Positive Control] Outcome validation - Each Party shall govern outcome validation through documented, risk-based criteria connected to legitimate customs, safety, security, revenue, or prohibited-goods objectives rather than through nationality, retaliation, or revenue-generation alone. The responsible authority shall validate the relevant AI or analytical method against operational outcomes, monitor material false-positive and false-negative patterns, and provide human authority to override or escalate a result when the evidence warrants it. Where the mechanism materially increases inspection, delay, verification, or another burden on a trader, the Party shall maintain sufficient records to permit internal review while protecting law-enforcement methods, personal data, and confidential commercial information. Persistent material error, drift, discriminatory effect, or unsupported targeting shall require correction, recalibration, suspension of the affected use, or another proportionate remedy before continued reliance.</w:t>
      </w:r>
    </w:p>
    <w:p>
      <w:pPr>
        <w:pStyle w:val="Normal"/>
        <w:rPr/>
      </w:pPr>
      <w:r>
        <w:rPr/>
      </w:r>
    </w:p>
    <w:p>
      <w:pPr>
        <w:pStyle w:val="Normal"/>
        <w:widowControl/>
        <w:rPr/>
      </w:pPr>
      <w:r>
        <w:rPr/>
        <w:t>2. [Risk-Model Validation and False-Positive Control] False-positive measurement - Each Party shall govern false-positive measurement through documented, risk-based criteria connected to legitimate customs, safety, security, revenue, or prohibited-goods objectives rather than through nationality, retaliation, or revenue-generation alone. The responsible authority shall validate the relevant AI or analytical method against operational outcomes, monitor material false-positive and false-negative patterns, and provide human authority to override or escalate a result when the evidence warrants it. Where the mechanism materially increases inspection, delay, verification, or another burden on a trader, the Party shall maintain sufficient records to permit internal review while protecting law-enforcement methods, personal data, and confidential commercial information. Persistent material error, drift, discriminatory effect, or unsupported targeting shall require correction, recalibration, suspension of the affected use, or another proportionate remedy before continued reliance.</w:t>
      </w:r>
    </w:p>
    <w:p>
      <w:pPr>
        <w:pStyle w:val="Normal"/>
        <w:rPr/>
      </w:pPr>
      <w:r>
        <w:rPr/>
      </w:r>
    </w:p>
    <w:p>
      <w:pPr>
        <w:pStyle w:val="Normal"/>
        <w:widowControl/>
        <w:rPr/>
      </w:pPr>
      <w:r>
        <w:rPr/>
        <w:t>3. [Risk-Model Validation and False-Positive Control] False-negative learning - Each Party shall govern false-negative learning through documented, risk-based criteria connected to legitimate customs, safety, security, revenue, or prohibited-goods objectives rather than through nationality, retaliation, or revenue-generation alone. The responsible authority shall validate the relevant AI or analytical method against operational outcomes, monitor material false-positive and false-negative patterns, and provide human authority to override or escalate a result when the evidence warrants it. Where the mechanism materially increases inspection, delay, verification, or another burden on a trader, the Party shall maintain sufficient records to permit internal review while protecting law-enforcement methods, personal data, and confidential commercial information. Persistent material error, drift, discriminatory effect, or unsupported targeting shall require correction, recalibration, suspension of the affected use, or another proportionate remedy before continued reliance.</w:t>
      </w:r>
    </w:p>
    <w:p>
      <w:pPr>
        <w:pStyle w:val="Normal"/>
        <w:rPr/>
      </w:pPr>
      <w:r>
        <w:rPr/>
      </w:r>
    </w:p>
    <w:p>
      <w:pPr>
        <w:pStyle w:val="Normal"/>
        <w:widowControl/>
        <w:rPr/>
      </w:pPr>
      <w:r>
        <w:rPr/>
        <w:t>4. [Risk-Model Validation and False-Positive Control] Disparate-impact testing - Each Party shall govern disparate-impact testing through documented, risk-based criteria connected to legitimate customs, safety, security, revenue, or prohibited-goods objectives rather than through nationality, retaliation, or revenue-generation alone. The responsible authority shall validate the relevant AI or analytical method against operational outcomes, monitor material false-positive and false-negative patterns, and provide human authority to override or escalate a result when the evidence warrants it. Where the mechanism materially increases inspection, delay, verification, or another burden on a trader, the Party shall maintain sufficient records to permit internal review while protecting law-enforcement methods, personal data, and confidential commercial information. Persistent material error, drift, discriminatory effect, or unsupported targeting shall require correction, recalibration, suspension of the affected use, or another proportionate remedy before continued reliance.</w:t>
      </w:r>
    </w:p>
    <w:p>
      <w:pPr>
        <w:pStyle w:val="Normal"/>
        <w:rPr/>
      </w:pPr>
      <w:r>
        <w:rPr/>
      </w:r>
    </w:p>
    <w:p>
      <w:pPr>
        <w:pStyle w:val="Normal"/>
        <w:widowControl/>
        <w:rPr/>
      </w:pPr>
      <w:r>
        <w:rPr/>
        <w:t>5. [Risk-Model Validation and False-Positive Control] Material drift review - Each Party shall govern material drift review through documented, risk-based criteria connected to legitimate customs, safety, security, revenue, or prohibited-goods objectives rather than through nationality, retaliation, or revenue-generation alone. The responsible authority shall validate the relevant AI or analytical method against operational outcomes, monitor material false-positive and false-negative patterns, and provide human authority to override or escalate a result when the evidence warrants it. Where the mechanism materially increases inspection, delay, verification, or another burden on a trader, the Party shall maintain sufficient records to permit internal review while protecting law-enforcement methods, personal data, and confidential commercial information. Persistent material error, drift, discriminatory effect, or unsupported targeting shall require correction, recalibration, suspension of the affected use, or another proportionate remedy before continued reliance.</w:t>
      </w:r>
    </w:p>
    <w:p>
      <w:pPr>
        <w:pStyle w:val="Normal"/>
        <w:rPr/>
      </w:pPr>
      <w:r>
        <w:rPr/>
      </w:r>
    </w:p>
    <w:p>
      <w:pPr>
        <w:pStyle w:val="Normal"/>
        <w:widowControl/>
        <w:rPr/>
      </w:pPr>
      <w:r>
        <w:rPr/>
        <w:t>6. [Risk-Model Validation and False-Positive Control] Corrective recalibration - Each Party shall govern corrective recalibration through documented, risk-based criteria connected to legitimate customs, safety, security, revenue, or prohibited-goods objectives rather than through nationality, retaliation, or revenue-generation alone. The responsible authority shall validate the relevant AI or analytical method against operational outcomes, monitor material false-positive and false-negative patterns, and provide human authority to override or escalate a result when the evidence warrants it. Where the mechanism materially increases inspection, delay, verification, or another burden on a trader, the Party shall maintain sufficient records to permit internal review while protecting law-enforcement methods, personal data, and confidential commercial information. Persistent material error, drift, discriminatory effect, or unsupported targeting shall require correction, recalibration, suspension of the affected use, or another proportionate remedy before continued reliance.</w:t>
      </w:r>
    </w:p>
    <w:p>
      <w:pPr>
        <w:pStyle w:val="Normal"/>
        <w:rPr/>
      </w:pPr>
      <w:r>
        <w:rPr/>
      </w:r>
    </w:p>
    <w:p>
      <w:bookmarkStart w:id="1575" w:name="_NAESTMA_TOC_1575"/>
      <w:pPr>
        <w:pStyle w:val="Heading2"/>
        <w:keepNext/>
        <w:widowControl/>
        <w:rPr/>
      </w:pPr>
      <w:r>
        <w:rPr/>
        <w:t>Article 39.91: Inspection Selectivity and Anti-Harassment Safeguards</w:t>
      </w:r>
      <w:bookmarkEnd w:id="1575"/>
    </w:p>
    <w:p>
      <w:pPr>
        <w:pStyle w:val="Normal"/>
        <w:widowControl/>
        <w:rPr/>
      </w:pPr>
      <w:r>
        <w:rPr/>
        <w:t>1. [Inspection Selectivity and Anti-Harassment Safeguards] Risk-based selectivity - Each Party shall govern risk-based selectivity through documented, risk-based criteria connected to legitimate customs, safety, security, revenue, or prohibited-goods objectives rather than through nationality, retaliation, or revenue-generation alone. The responsible authority shall validate the relevant AI or analytical method against operational outcomes, monitor material false-positive and false-negative patterns, and provide human authority to override or escalate a result when the evidence warrants it. Where the mechanism materially increases inspection, delay, verification, or another burden on a trader, the Party shall maintain sufficient records to permit internal review while protecting law-enforcement methods, personal data, and confidential commercial information. Persistent material error, drift, discriminatory effect, or unsupported targeting shall require correction, recalibration, suspension of the affected use, or another proportionate remedy before continued reliance.</w:t>
      </w:r>
    </w:p>
    <w:p>
      <w:pPr>
        <w:pStyle w:val="Normal"/>
        <w:rPr/>
      </w:pPr>
      <w:r>
        <w:rPr/>
      </w:r>
    </w:p>
    <w:p>
      <w:pPr>
        <w:pStyle w:val="Normal"/>
        <w:widowControl/>
        <w:rPr/>
      </w:pPr>
      <w:r>
        <w:rPr/>
        <w:t>2. [Inspection Selectivity and Anti-Harassment Safeguards] No inspection quotas for revenue - Each Party shall govern no inspection quotas for revenue through documented, risk-based criteria connected to legitimate customs, safety, security, revenue, or prohibited-goods objectives rather than through nationality, retaliation, or revenue-generation alone. The responsible authority shall validate the relevant AI or analytical method against operational outcomes, monitor material false-positive and false-negative patterns, and provide human authority to override or escalate a result when the evidence warrants it. Where the mechanism materially increases inspection, delay, verification, or another burden on a trader, the Party shall maintain sufficient records to permit internal review while protecting law-enforcement methods, personal data, and confidential commercial information. Persistent material error, drift, discriminatory effect, or unsupported targeting shall require correction, recalibration, suspension of the affected use, or another proportionate remedy before continued reliance.</w:t>
      </w:r>
    </w:p>
    <w:p>
      <w:pPr>
        <w:pStyle w:val="Normal"/>
        <w:rPr/>
      </w:pPr>
      <w:r>
        <w:rPr/>
      </w:r>
    </w:p>
    <w:p>
      <w:pPr>
        <w:pStyle w:val="Normal"/>
        <w:widowControl/>
        <w:rPr/>
      </w:pPr>
      <w:r>
        <w:rPr/>
        <w:t>3. [Inspection Selectivity and Anti-Harassment Safeguards] No retaliatory inspection intensity - Each Party shall govern no retaliatory inspection intensity through documented, risk-based criteria connected to legitimate customs, safety, security, revenue, or prohibited-goods objectives rather than through nationality, retaliation, or revenue-generation alone. The responsible authority shall validate the relevant AI or analytical method against operational outcomes, monitor material false-positive and false-negative patterns, and provide human authority to override or escalate a result when the evidence warrants it. Where the mechanism materially increases inspection, delay, verification, or another burden on a trader, the Party shall maintain sufficient records to permit internal review while protecting law-enforcement methods, personal data, and confidential commercial information. Persistent material error, drift, discriminatory effect, or unsupported targeting shall require correction, recalibration, suspension of the affected use, or another proportionate remedy before continued reliance.</w:t>
      </w:r>
    </w:p>
    <w:p>
      <w:pPr>
        <w:pStyle w:val="Normal"/>
        <w:rPr/>
      </w:pPr>
      <w:r>
        <w:rPr/>
      </w:r>
    </w:p>
    <w:p>
      <w:pPr>
        <w:pStyle w:val="Normal"/>
        <w:widowControl/>
        <w:rPr/>
      </w:pPr>
      <w:r>
        <w:rPr/>
        <w:t>4. [Inspection Selectivity and Anti-Harassment Safeguards] Repeated-inspection review - Each Party shall govern repeated-inspection review through documented, risk-based criteria connected to legitimate customs, safety, security, revenue, or prohibited-goods objectives rather than through nationality, retaliation, or revenue-generation alone. The responsible authority shall validate the relevant AI or analytical method against operational outcomes, monitor material false-positive and false-negative patterns, and provide human authority to override or escalate a result when the evidence warrants it. Where the mechanism materially increases inspection, delay, verification, or another burden on a trader, the Party shall maintain sufficient records to permit internal review while protecting law-enforcement methods, personal data, and confidential commercial information. Persistent material error, drift, discriminatory effect, or unsupported targeting shall require correction, recalibration, suspension of the affected use, or another proportionate remedy before continued reliance.</w:t>
      </w:r>
    </w:p>
    <w:p>
      <w:pPr>
        <w:pStyle w:val="Normal"/>
        <w:rPr/>
      </w:pPr>
      <w:r>
        <w:rPr/>
      </w:r>
    </w:p>
    <w:p>
      <w:pPr>
        <w:pStyle w:val="Normal"/>
        <w:widowControl/>
        <w:rPr/>
      </w:pPr>
      <w:r>
        <w:rPr/>
        <w:t>5. [Inspection Selectivity and Anti-Harassment Safeguards] Trusted-trader consideration - Each Party shall govern trusted-trader consideration through documented, risk-based criteria connected to legitimate customs, safety, security, revenue, or prohibited-goods objectives rather than through nationality, retaliation, or revenue-generation alone. The responsible authority shall validate the relevant AI or analytical method against operational outcomes, monitor material false-positive and false-negative patterns, and provide human authority to override or escalate a result when the evidence warrants it. Where the mechanism materially increases inspection, delay, verification, or another burden on a trader, the Party shall maintain sufficient records to permit internal review while protecting law-enforcement methods, personal data, and confidential commercial information. Persistent material error, drift, discriminatory effect, or unsupported targeting shall require correction, recalibration, suspension of the affected use, or another proportionate remedy before continued reliance.</w:t>
      </w:r>
    </w:p>
    <w:p>
      <w:pPr>
        <w:pStyle w:val="Normal"/>
        <w:rPr/>
      </w:pPr>
      <w:r>
        <w:rPr/>
      </w:r>
    </w:p>
    <w:p>
      <w:pPr>
        <w:pStyle w:val="Normal"/>
        <w:widowControl/>
        <w:rPr/>
      </w:pPr>
      <w:r>
        <w:rPr/>
        <w:t>6. [Inspection Selectivity and Anti-Harassment Safeguards] Documented manual escalation - Each Party shall govern documented manual escalation through documented, risk-based criteria connected to legitimate customs, safety, security, revenue, or prohibited-goods objectives rather than through nationality, retaliation, or revenue-generation alone. The responsible authority shall validate the relevant AI or analytical method against operational outcomes, monitor material false-positive and false-negative patterns, and provide human authority to override or escalate a result when the evidence warrants it. Where the mechanism materially increases inspection, delay, verification, or another burden on a trader, the Party shall maintain sufficient records to permit internal review while protecting law-enforcement methods, personal data, and confidential commercial information. Persistent material error, drift, discriminatory effect, or unsupported targeting shall require correction, recalibration, suspension of the affected use, or another proportionate remedy before continued reliance.</w:t>
      </w:r>
    </w:p>
    <w:p>
      <w:pPr>
        <w:pStyle w:val="Normal"/>
        <w:rPr/>
      </w:pPr>
      <w:r>
        <w:rPr/>
      </w:r>
    </w:p>
    <w:p>
      <w:bookmarkStart w:id="1576" w:name="_NAESTMA_TOC_1576"/>
      <w:pPr>
        <w:pStyle w:val="Heading2"/>
        <w:keepNext/>
        <w:widowControl/>
        <w:rPr/>
      </w:pPr>
      <w:r>
        <w:rPr/>
        <w:t>Article 39.92: AI-Enabled Pre-Arrival Processing</w:t>
      </w:r>
      <w:bookmarkEnd w:id="1576"/>
    </w:p>
    <w:p>
      <w:pPr>
        <w:pStyle w:val="Normal"/>
        <w:widowControl/>
        <w:rPr/>
      </w:pPr>
      <w:r>
        <w:rPr/>
        <w:t>1. [AI-Enabled Pre-Arrival Processing] Pre-arrival data validation - Each Party shall implement pre-arrival data validation using interoperable, secure, and purpose-limited arrangements appropriate to the sensitivity and operational importance of the information involved. The arrangement shall preserve provenance, version identity, access controls, correction capability, and auditable handling sufficient to distinguish authoritative customs data, trader-supplied data, derived analytical outputs, and unverified signals where that distinction is material. Nothing in this paragraph requires public disclosure of source code, model weights, trade secrets, personal information, security-sensitive information, or information protected by Article 19.16 or other applicable law, except through a lawful and appropriately safeguarded competent-authority process. Technical implementation may use different or successor standards where the resulting system remains interoperable and provides materially equivalent confidentiality, integrity, availability, and review protections.</w:t>
      </w:r>
    </w:p>
    <w:p>
      <w:pPr>
        <w:pStyle w:val="Normal"/>
        <w:rPr/>
      </w:pPr>
      <w:r>
        <w:rPr/>
      </w:r>
    </w:p>
    <w:p>
      <w:pPr>
        <w:pStyle w:val="Normal"/>
        <w:widowControl/>
        <w:rPr/>
      </w:pPr>
      <w:r>
        <w:rPr/>
        <w:t>2. [AI-Enabled Pre-Arrival Processing] Document completeness assistance - The Parties shall address document completeness assistance as part of the AI-enabled trade framework through competent existing authorities and controls proportionate to the material trade, safety, security, privacy, or rights consequences of the use. Implementation shall identify the responsible actor, the operational purpose, the information or evidence on which material action may rely, and the point at which human review, correction, escalation, or revalidation is required. The Parties may use different technologies, vendors, technical standards, or administrative methods where they achieve materially equivalent outcomes and preserve confidentiality, interoperability, contestability, and applicable constitutional authority. Nothing in this paragraph authorizes an automatic tariff consequence, unrelated retaliation, compulsory participation in an optional program, or creation of a new standing institution unless another provision of this Agreement expressly provides otherwise.</w:t>
      </w:r>
    </w:p>
    <w:p>
      <w:pPr>
        <w:pStyle w:val="Normal"/>
        <w:rPr/>
      </w:pPr>
      <w:r>
        <w:rPr/>
      </w:r>
    </w:p>
    <w:p>
      <w:pPr>
        <w:pStyle w:val="Normal"/>
        <w:widowControl/>
        <w:rPr/>
      </w:pPr>
      <w:r>
        <w:rPr/>
        <w:t>3. [AI-Enabled Pre-Arrival Processing] Risk triage - Each Party shall govern risk triage through documented, risk-based criteria connected to legitimate customs, safety, security, revenue, or prohibited-goods objectives rather than through nationality, retaliation, or revenue-generation alone. The responsible authority shall validate the relevant AI or analytical method against operational outcomes, monitor material false-positive and false-negative patterns, and provide human authority to override or escalate a result when the evidence warrants it. Where the mechanism materially increases inspection, delay, verification, or another burden on a trader, the Party shall maintain sufficient records to permit internal review while protecting law-enforcement methods, personal data, and confidential commercial information. Persistent material error, drift, discriminatory effect, or unsupported targeting shall require correction, recalibration, suspension of the affected use, or another proportionate remedy before continued reliance.</w:t>
      </w:r>
    </w:p>
    <w:p>
      <w:pPr>
        <w:pStyle w:val="Normal"/>
        <w:rPr/>
      </w:pPr>
      <w:r>
        <w:rPr/>
      </w:r>
    </w:p>
    <w:p>
      <w:pPr>
        <w:pStyle w:val="Normal"/>
        <w:widowControl/>
        <w:rPr/>
      </w:pPr>
      <w:r>
        <w:rPr/>
        <w:t>4. [AI-Enabled Pre-Arrival Processing] Early error correction - The Parties shall address early error correction as part of the AI-enabled trade framework through competent existing authorities and controls proportionate to the material trade, safety, security, privacy, or rights consequences of the use. Implementation shall identify the responsible actor, the operational purpose, the information or evidence on which material action may rely, and the point at which human review, correction, escalation, or revalidation is required. The Parties may use different technologies, vendors, technical standards, or administrative methods where they achieve materially equivalent outcomes and preserve confidentiality, interoperability, contestability, and applicable constitutional authority. Nothing in this paragraph authorizes an automatic tariff consequence, unrelated retaliation, compulsory participation in an optional program, or creation of a new standing institution unless another provision of this Agreement expressly provides otherwise.</w:t>
      </w:r>
    </w:p>
    <w:p>
      <w:pPr>
        <w:pStyle w:val="Normal"/>
        <w:rPr/>
      </w:pPr>
      <w:r>
        <w:rPr/>
      </w:r>
    </w:p>
    <w:p>
      <w:pPr>
        <w:pStyle w:val="Normal"/>
        <w:widowControl/>
        <w:rPr/>
      </w:pPr>
      <w:r>
        <w:rPr/>
        <w:t>5. [AI-Enabled Pre-Arrival Processing] Pre-arrival status notice - The Parties shall address pre-arrival status notice as part of the AI-enabled trade framework through competent existing authorities and controls proportionate to the material trade, safety, security, privacy, or rights consequences of the use. Implementation shall identify the responsible actor, the operational purpose, the information or evidence on which material action may rely, and the point at which human review, correction, escalation, or revalidation is required. The Parties may use different technologies, vendors, technical standards, or administrative methods where they achieve materially equivalent outcomes and preserve confidentiality, interoperability, contestability, and applicable constitutional authority. Nothing in this paragraph authorizes an automatic tariff consequence, unrelated retaliation, compulsory participation in an optional program, or creation of a new standing institution unless another provision of this Agreement expressly provides otherwise.</w:t>
      </w:r>
    </w:p>
    <w:p>
      <w:pPr>
        <w:pStyle w:val="Normal"/>
        <w:rPr/>
      </w:pPr>
      <w:r>
        <w:rPr/>
      </w:r>
    </w:p>
    <w:p>
      <w:pPr>
        <w:pStyle w:val="Normal"/>
        <w:widowControl/>
        <w:rPr/>
      </w:pPr>
      <w:r>
        <w:rPr/>
        <w:t>6. [AI-Enabled Pre-Arrival Processing] No mandatory AI purchase by trader - The Parties shall address no mandatory AI purchase by trader as part of the AI-enabled trade framework through competent existing authorities and controls proportionate to the material trade, safety, security, privacy, or rights consequences of the use. Implementation shall identify the responsible actor, the operational purpose, the information or evidence on which material action may rely, and the point at which human review, correction, escalation, or revalidation is required. The Parties may use different technologies, vendors, technical standards, or administrative methods where they achieve materially equivalent outcomes and preserve confidentiality, interoperability, contestability, and applicable constitutional authority. Nothing in this paragraph authorizes an automatic tariff consequence, unrelated retaliation, compulsory participation in an optional program, or creation of a new standing institution unless another provision of this Agreement expressly provides otherwise.</w:t>
      </w:r>
    </w:p>
    <w:p>
      <w:pPr>
        <w:pStyle w:val="Normal"/>
        <w:rPr/>
      </w:pPr>
      <w:r>
        <w:rPr/>
      </w:r>
    </w:p>
    <w:p>
      <w:bookmarkStart w:id="1577" w:name="_NAESTMA_TOC_1577"/>
      <w:pPr>
        <w:pStyle w:val="Heading2"/>
        <w:keepNext/>
        <w:widowControl/>
        <w:rPr/>
      </w:pPr>
      <w:r>
        <w:rPr/>
        <w:t>Article 39.93: Automated Clearance and Release</w:t>
      </w:r>
      <w:bookmarkEnd w:id="1577"/>
    </w:p>
    <w:p>
      <w:pPr>
        <w:pStyle w:val="Normal"/>
        <w:widowControl/>
        <w:rPr/>
      </w:pPr>
      <w:r>
        <w:rPr/>
        <w:t>1. [Automated Clearance and Release] Low-risk automated release - Each Party shall ensure that low-risk automated release in an AI-assisted customs process is attributable to a competent customs authority and is based on the law, tariff schedule, origin rule, valuation rule, or other legal standard applicable to the transaction. Where the AI materially contributes to an adverse customs outcome, the responsible authority shall preserve the material inputs, applicable rule or ruleset version, and sufficient decision information to permit reconstruction without requiring disclosure of protected model weights or unrelated confidential information. The trader shall receive the notice, correction opportunity, administrative review, or other procedural protection otherwise applicable to the same customs action, and AI use shall not reduce that protection or convert an advisory signal into conclusive evidence. A material error attributable to the AI process shall be corrected through the ordinary customs mechanism, with release, duty, preference, penalty, or record consequences adjusted as applicable under this Agreement and domestic law.</w:t>
      </w:r>
    </w:p>
    <w:p>
      <w:pPr>
        <w:pStyle w:val="Normal"/>
        <w:rPr/>
      </w:pPr>
      <w:r>
        <w:rPr/>
      </w:r>
    </w:p>
    <w:p>
      <w:pPr>
        <w:pStyle w:val="Normal"/>
        <w:widowControl/>
        <w:rPr/>
      </w:pPr>
      <w:r>
        <w:rPr/>
        <w:t>2. [Automated Clearance and Release] Competent-authority attribution - Each Party shall ensure that competent-authority attribution in an AI-assisted customs process is attributable to a competent customs authority and is based on the law, tariff schedule, origin rule, valuation rule, or other legal standard applicable to the transaction. Where the AI materially contributes to an adverse customs outcome, the responsible authority shall preserve the material inputs, applicable rule or ruleset version, and sufficient decision information to permit reconstruction without requiring disclosure of protected model weights or unrelated confidential information. The trader shall receive the notice, correction opportunity, administrative review, or other procedural protection otherwise applicable to the same customs action, and AI use shall not reduce that protection or convert an advisory signal into conclusive evidence. A material error attributable to the AI process shall be corrected through the ordinary customs mechanism, with release, duty, preference, penalty, or record consequences adjusted as applicable under this Agreement and domestic law.</w:t>
      </w:r>
    </w:p>
    <w:p>
      <w:pPr>
        <w:pStyle w:val="Normal"/>
        <w:rPr/>
      </w:pPr>
      <w:r>
        <w:rPr/>
      </w:r>
    </w:p>
    <w:p>
      <w:pPr>
        <w:pStyle w:val="Normal"/>
        <w:widowControl/>
        <w:rPr/>
      </w:pPr>
      <w:r>
        <w:rPr/>
        <w:t>3. [Automated Clearance and Release] Documented exception holds - Each Party shall ensure that documented exception holds in an AI-assisted customs process is attributable to a competent customs authority and is based on the law, tariff schedule, origin rule, valuation rule, or other legal standard applicable to the transaction. Where the AI materially contributes to an adverse customs outcome, the responsible authority shall preserve the material inputs, applicable rule or ruleset version, and sufficient decision information to permit reconstruction without requiring disclosure of protected model weights or unrelated confidential information. The trader shall receive the notice, correction opportunity, administrative review, or other procedural protection otherwise applicable to the same customs action, and AI use shall not reduce that protection or convert an advisory signal into conclusive evidence. A material error attributable to the AI process shall be corrected through the ordinary customs mechanism, with release, duty, preference, penalty, or record consequences adjusted as applicable under this Agreement and domestic law.</w:t>
      </w:r>
    </w:p>
    <w:p>
      <w:pPr>
        <w:pStyle w:val="Normal"/>
        <w:rPr/>
      </w:pPr>
      <w:r>
        <w:rPr/>
      </w:r>
    </w:p>
    <w:p>
      <w:pPr>
        <w:pStyle w:val="Normal"/>
        <w:widowControl/>
        <w:rPr/>
      </w:pPr>
      <w:r>
        <w:rPr/>
        <w:t>4. [Automated Clearance and Release] Conditional release where lawful - Each Party shall ensure that conditional release where lawful in an AI-assisted customs process is attributable to a competent customs authority and is based on the law, tariff schedule, origin rule, valuation rule, or other legal standard applicable to the transaction. Where the AI materially contributes to an adverse customs outcome, the responsible authority shall preserve the material inputs, applicable rule or ruleset version, and sufficient decision information to permit reconstruction without requiring disclosure of protected model weights or unrelated confidential information. The trader shall receive the notice, correction opportunity, administrative review, or other procedural protection otherwise applicable to the same customs action, and AI use shall not reduce that protection or convert an advisory signal into conclusive evidence. A material error attributable to the AI process shall be corrected through the ordinary customs mechanism, with release, duty, preference, penalty, or record consequences adjusted as applicable under this Agreement and domestic law.</w:t>
      </w:r>
    </w:p>
    <w:p>
      <w:pPr>
        <w:pStyle w:val="Normal"/>
        <w:rPr/>
      </w:pPr>
      <w:r>
        <w:rPr/>
      </w:r>
    </w:p>
    <w:p>
      <w:pPr>
        <w:pStyle w:val="Normal"/>
        <w:widowControl/>
        <w:rPr/>
      </w:pPr>
      <w:r>
        <w:rPr/>
        <w:t>5. [Automated Clearance and Release] Electronic release notice - Each Party shall ensure that electronic release notice in an AI-assisted customs process is attributable to a competent customs authority and is based on the law, tariff schedule, origin rule, valuation rule, or other legal standard applicable to the transaction. Where the AI materially contributes to an adverse customs outcome, the responsible authority shall preserve the material inputs, applicable rule or ruleset version, and sufficient decision information to permit reconstruction without requiring disclosure of protected model weights or unrelated confidential information. The trader shall receive the notice, correction opportunity, administrative review, or other procedural protection otherwise applicable to the same customs action, and AI use shall not reduce that protection or convert an advisory signal into conclusive evidence. A material error attributable to the AI process shall be corrected through the ordinary customs mechanism, with release, duty, preference, penalty, or record consequences adjusted as applicable under this Agreement and domestic law.</w:t>
      </w:r>
    </w:p>
    <w:p>
      <w:pPr>
        <w:pStyle w:val="Normal"/>
        <w:rPr/>
      </w:pPr>
      <w:r>
        <w:rPr/>
      </w:r>
    </w:p>
    <w:p>
      <w:pPr>
        <w:pStyle w:val="Normal"/>
        <w:widowControl/>
        <w:rPr/>
      </w:pPr>
      <w:r>
        <w:rPr/>
        <w:t>6. [Automated Clearance and Release] No AI-only final denial - Each Party shall ensure that no AI-only final denial in an AI-assisted customs process is attributable to a competent customs authority and is based on the law, tariff schedule, origin rule, valuation rule, or other legal standard applicable to the transaction. Where the AI materially contributes to an adverse customs outcome, the responsible authority shall preserve the material inputs, applicable rule or ruleset version, and sufficient decision information to permit reconstruction without requiring disclosure of protected model weights or unrelated confidential information. The trader shall receive the notice, correction opportunity, administrative review, or other procedural protection otherwise applicable to the same customs action, and AI use shall not reduce that protection or convert an advisory signal into conclusive evidence. A material error attributable to the AI process shall be corrected through the ordinary customs mechanism, with release, duty, preference, penalty, or record consequences adjusted as applicable under this Agreement and domestic law.</w:t>
      </w:r>
    </w:p>
    <w:p>
      <w:pPr>
        <w:pStyle w:val="Normal"/>
        <w:rPr/>
      </w:pPr>
      <w:r>
        <w:rPr/>
      </w:r>
    </w:p>
    <w:p>
      <w:bookmarkStart w:id="1578" w:name="_NAESTMA_TOC_1578"/>
      <w:pPr>
        <w:pStyle w:val="Heading2"/>
        <w:keepNext/>
        <w:widowControl/>
        <w:rPr/>
      </w:pPr>
      <w:r>
        <w:rPr/>
        <w:t>Article 39.94: Border-System Degraded-Mode Processing</w:t>
      </w:r>
      <w:bookmarkEnd w:id="1578"/>
    </w:p>
    <w:p>
      <w:pPr>
        <w:pStyle w:val="Normal"/>
        <w:widowControl/>
        <w:rPr/>
      </w:pPr>
      <w:r>
        <w:rPr/>
        <w:t>1. [Border-System Degraded-Mode Processing] Tested degraded mode - Each Party shall maintain tested degraded mode for AI systems whose failure or compromise could materially disrupt lawful cross-border trade, customs administration, or critical border operations. The responsible authority or operator shall identify escalation responsibility, preserve relevant evidence, activate proportionate containment or fallback measures, and maintain a lawful degraded-mode path where reasonably practicable. Where the same incident materially affects another Party, competent authorities shall use existing customs, cybersecurity, transportation, or emergency channels to exchange the information reasonably necessary for continuity and recurrence prevention, subject to confidentiality and security safeguards. Restoration shall include reconciliation of materially affected records and revalidation of the affected AI function before renewed reliance where continued operation would otherwise create an unreasonable and unmanaged trade, safety, security, or rights risk.</w:t>
      </w:r>
    </w:p>
    <w:p>
      <w:pPr>
        <w:pStyle w:val="Normal"/>
        <w:rPr/>
      </w:pPr>
      <w:r>
        <w:rPr/>
      </w:r>
    </w:p>
    <w:p>
      <w:pPr>
        <w:pStyle w:val="Normal"/>
        <w:widowControl/>
        <w:rPr/>
      </w:pPr>
      <w:r>
        <w:rPr/>
        <w:t>2. [Border-System Degraded-Mode Processing] Manual/deterministic fallback - Each Party shall maintain manual/deterministic fallback for AI systems whose failure or compromise could materially disrupt lawful cross-border trade, customs administration, or critical border operations. The responsible authority or operator shall identify escalation responsibility, preserve relevant evidence, activate proportionate containment or fallback measures, and maintain a lawful degraded-mode path where reasonably practicable. Where the same incident materially affects another Party, competent authorities shall use existing customs, cybersecurity, transportation, or emergency channels to exchange the information reasonably necessary for continuity and recurrence prevention, subject to confidentiality and security safeguards. Restoration shall include reconciliation of materially affected records and revalidation of the affected AI function before renewed reliance where continued operation would otherwise create an unreasonable and unmanaged trade, safety, security, or rights risk.</w:t>
      </w:r>
    </w:p>
    <w:p>
      <w:pPr>
        <w:pStyle w:val="Normal"/>
        <w:rPr/>
      </w:pPr>
      <w:r>
        <w:rPr/>
      </w:r>
    </w:p>
    <w:p>
      <w:pPr>
        <w:pStyle w:val="Normal"/>
        <w:widowControl/>
        <w:rPr/>
      </w:pPr>
      <w:r>
        <w:rPr/>
        <w:t>3. [Border-System Degraded-Mode Processing] Alternative submission channel - Each Party shall maintain alternative submission channel for AI systems whose failure or compromise could materially disrupt lawful cross-border trade, customs administration, or critical border operations. The responsible authority or operator shall identify escalation responsibility, preserve relevant evidence, activate proportionate containment or fallback measures, and maintain a lawful degraded-mode path where reasonably practicable. Where the same incident materially affects another Party, competent authorities shall use existing customs, cybersecurity, transportation, or emergency channels to exchange the information reasonably necessary for continuity and recurrence prevention, subject to confidentiality and security safeguards. Restoration shall include reconciliation of materially affected records and revalidation of the affected AI function before renewed reliance where continued operation would otherwise create an unreasonable and unmanaged trade, safety, security, or rights risk.</w:t>
      </w:r>
    </w:p>
    <w:p>
      <w:pPr>
        <w:pStyle w:val="Normal"/>
        <w:rPr/>
      </w:pPr>
      <w:r>
        <w:rPr/>
      </w:r>
    </w:p>
    <w:p>
      <w:pPr>
        <w:pStyle w:val="Normal"/>
        <w:widowControl/>
        <w:rPr/>
      </w:pPr>
      <w:r>
        <w:rPr/>
        <w:t>4. [Border-System Degraded-Mode Processing] Essential-goods priority - Each Party shall maintain essential-goods priority for AI systems whose failure or compromise could materially disrupt lawful cross-border trade, customs administration, or critical border operations. The responsible authority or operator shall identify escalation responsibility, preserve relevant evidence, activate proportionate containment or fallback measures, and maintain a lawful degraded-mode path where reasonably practicable. Where the same incident materially affects another Party, competent authorities shall use existing customs, cybersecurity, transportation, or emergency channels to exchange the information reasonably necessary for continuity and recurrence prevention, subject to confidentiality and security safeguards. Restoration shall include reconciliation of materially affected records and revalidation of the affected AI function before renewed reliance where continued operation would otherwise create an unreasonable and unmanaged trade, safety, security, or rights risk.</w:t>
      </w:r>
    </w:p>
    <w:p>
      <w:pPr>
        <w:pStyle w:val="Normal"/>
        <w:rPr/>
      </w:pPr>
      <w:r>
        <w:rPr/>
      </w:r>
    </w:p>
    <w:p>
      <w:pPr>
        <w:pStyle w:val="Normal"/>
        <w:widowControl/>
        <w:rPr/>
      </w:pPr>
      <w:r>
        <w:rPr/>
        <w:t>5. [Border-System Degraded-Mode Processing] Fallback authority - Each Party shall maintain fallback authority for AI systems whose failure or compromise could materially disrupt lawful cross-border trade, customs administration, or critical border operations. The responsible authority or operator shall identify escalation responsibility, preserve relevant evidence, activate proportionate containment or fallback measures, and maintain a lawful degraded-mode path where reasonably practicable. Where the same incident materially affects another Party, competent authorities shall use existing customs, cybersecurity, transportation, or emergency channels to exchange the information reasonably necessary for continuity and recurrence prevention, subject to confidentiality and security safeguards. Restoration shall include reconciliation of materially affected records and revalidation of the affected AI function before renewed reliance where continued operation would otherwise create an unreasonable and unmanaged trade, safety, security, or rights risk.</w:t>
      </w:r>
    </w:p>
    <w:p>
      <w:pPr>
        <w:pStyle w:val="Normal"/>
        <w:rPr/>
      </w:pPr>
      <w:r>
        <w:rPr/>
      </w:r>
    </w:p>
    <w:p>
      <w:pPr>
        <w:pStyle w:val="Normal"/>
        <w:widowControl/>
        <w:rPr/>
      </w:pPr>
      <w:r>
        <w:rPr/>
        <w:t>6. [Border-System Degraded-Mode Processing] No unnecessary trade stoppage - Each Party shall maintain no unnecessary trade stoppage for AI systems whose failure or compromise could materially disrupt lawful cross-border trade, customs administration, or critical border operations. The responsible authority or operator shall identify escalation responsibility, preserve relevant evidence, activate proportionate containment or fallback measures, and maintain a lawful degraded-mode path where reasonably practicable. Where the same incident materially affects another Party, competent authorities shall use existing customs, cybersecurity, transportation, or emergency channels to exchange the information reasonably necessary for continuity and recurrence prevention, subject to confidentiality and security safeguards. Restoration shall include reconciliation of materially affected records and revalidation of the affected AI function before renewed reliance where continued operation would otherwise create an unreasonable and unmanaged trade, safety, security, or rights risk.</w:t>
      </w:r>
    </w:p>
    <w:p>
      <w:pPr>
        <w:pStyle w:val="Normal"/>
        <w:rPr/>
      </w:pPr>
      <w:r>
        <w:rPr/>
      </w:r>
    </w:p>
    <w:p>
      <w:bookmarkStart w:id="1579" w:name="_NAESTMA_TOC_1579"/>
      <w:pPr>
        <w:pStyle w:val="Heading2"/>
        <w:keepNext/>
        <w:widowControl/>
        <w:rPr/>
      </w:pPr>
      <w:r>
        <w:rPr/>
        <w:t>Article 39.95: Trade-Critical AI Incident Notification</w:t>
      </w:r>
      <w:bookmarkEnd w:id="1579"/>
    </w:p>
    <w:p>
      <w:pPr>
        <w:pStyle w:val="Normal"/>
        <w:widowControl/>
        <w:rPr/>
      </w:pPr>
      <w:r>
        <w:rPr/>
        <w:t>1. [Trade-Critical AI Incident Notification] Incident threshold - Each Party shall maintain incident threshold for AI systems whose failure or compromise could materially disrupt lawful cross-border trade, customs administration, or critical border operations. The responsible authority or operator shall identify escalation responsibility, preserve relevant evidence, activate proportionate containment or fallback measures, and maintain a lawful degraded-mode path where reasonably practicable. Where the same incident materially affects another Party, competent authorities shall use existing customs, cybersecurity, transportation, or emergency channels to exchange the information reasonably necessary for continuity and recurrence prevention, subject to confidentiality and security safeguards. Restoration shall include reconciliation of materially affected records and revalidation of the affected AI function before renewed reliance where continued operation would otherwise create an unreasonable and unmanaged trade, safety, security, or rights risk.</w:t>
      </w:r>
    </w:p>
    <w:p>
      <w:pPr>
        <w:pStyle w:val="Normal"/>
        <w:rPr/>
      </w:pPr>
      <w:r>
        <w:rPr/>
      </w:r>
    </w:p>
    <w:p>
      <w:pPr>
        <w:pStyle w:val="Normal"/>
        <w:widowControl/>
        <w:rPr/>
      </w:pPr>
      <w:r>
        <w:rPr/>
        <w:t>2. [Trade-Critical AI Incident Notification] Internal escalation - Each Party shall maintain internal escalation for AI systems whose failure or compromise could materially disrupt lawful cross-border trade, customs administration, or critical border operations. The responsible authority or operator shall identify escalation responsibility, preserve relevant evidence, activate proportionate containment or fallback measures, and maintain a lawful degraded-mode path where reasonably practicable. Where the same incident materially affects another Party, competent authorities shall use existing customs, cybersecurity, transportation, or emergency channels to exchange the information reasonably necessary for continuity and recurrence prevention, subject to confidentiality and security safeguards. Restoration shall include reconciliation of materially affected records and revalidation of the affected AI function before renewed reliance where continued operation would otherwise create an unreasonable and unmanaged trade, safety, security, or rights risk.</w:t>
      </w:r>
    </w:p>
    <w:p>
      <w:pPr>
        <w:pStyle w:val="Normal"/>
        <w:rPr/>
      </w:pPr>
      <w:r>
        <w:rPr/>
      </w:r>
    </w:p>
    <w:p>
      <w:pPr>
        <w:pStyle w:val="Normal"/>
        <w:widowControl/>
        <w:rPr/>
      </w:pPr>
      <w:r>
        <w:rPr/>
        <w:t>3. [Trade-Critical AI Incident Notification] Competent-authority notice - Each Party shall maintain competent-authority notice for AI systems whose failure or compromise could materially disrupt lawful cross-border trade, customs administration, or critical border operations. The responsible authority or operator shall identify escalation responsibility, preserve relevant evidence, activate proportionate containment or fallback measures, and maintain a lawful degraded-mode path where reasonably practicable. Where the same incident materially affects another Party, competent authorities shall use existing customs, cybersecurity, transportation, or emergency channels to exchange the information reasonably necessary for continuity and recurrence prevention, subject to confidentiality and security safeguards. Restoration shall include reconciliation of materially affected records and revalidation of the affected AI function before renewed reliance where continued operation would otherwise create an unreasonable and unmanaged trade, safety, security, or rights risk.</w:t>
      </w:r>
    </w:p>
    <w:p>
      <w:pPr>
        <w:pStyle w:val="Normal"/>
        <w:rPr/>
      </w:pPr>
      <w:r>
        <w:rPr/>
      </w:r>
    </w:p>
    <w:p>
      <w:pPr>
        <w:pStyle w:val="Normal"/>
        <w:widowControl/>
        <w:rPr/>
      </w:pPr>
      <w:r>
        <w:rPr/>
        <w:t>4. [Trade-Critical AI Incident Notification] Cross-border alert - Each Party shall maintain cross-border alert for AI systems whose failure or compromise could materially disrupt lawful cross-border trade, customs administration, or critical border operations. The responsible authority or operator shall identify escalation responsibility, preserve relevant evidence, activate proportionate containment or fallback measures, and maintain a lawful degraded-mode path where reasonably practicable. Where the same incident materially affects another Party, competent authorities shall use existing customs, cybersecurity, transportation, or emergency channels to exchange the information reasonably necessary for continuity and recurrence prevention, subject to confidentiality and security safeguards. Restoration shall include reconciliation of materially affected records and revalidation of the affected AI function before renewed reliance where continued operation would otherwise create an unreasonable and unmanaged trade, safety, security, or rights risk.</w:t>
      </w:r>
    </w:p>
    <w:p>
      <w:pPr>
        <w:pStyle w:val="Normal"/>
        <w:rPr/>
      </w:pPr>
      <w:r>
        <w:rPr/>
      </w:r>
    </w:p>
    <w:p>
      <w:pPr>
        <w:pStyle w:val="Normal"/>
        <w:widowControl/>
        <w:rPr/>
      </w:pPr>
      <w:r>
        <w:rPr/>
        <w:t>5. [Trade-Critical AI Incident Notification] Evidence preservation - Each Party shall maintain evidence preservation for AI systems whose failure or compromise could materially disrupt lawful cross-border trade, customs administration, or critical border operations. The responsible authority or operator shall identify escalation responsibility, preserve relevant evidence, activate proportionate containment or fallback measures, and maintain a lawful degraded-mode path where reasonably practicable. Where the same incident materially affects another Party, competent authorities shall use existing customs, cybersecurity, transportation, or emergency channels to exchange the information reasonably necessary for continuity and recurrence prevention, subject to confidentiality and security safeguards. Restoration shall include reconciliation of materially affected records and revalidation of the affected AI function before renewed reliance where continued operation would otherwise create an unreasonable and unmanaged trade, safety, security, or rights risk.</w:t>
      </w:r>
    </w:p>
    <w:p>
      <w:pPr>
        <w:pStyle w:val="Normal"/>
        <w:rPr/>
      </w:pPr>
      <w:r>
        <w:rPr/>
      </w:r>
    </w:p>
    <w:p>
      <w:pPr>
        <w:pStyle w:val="Normal"/>
        <w:widowControl/>
        <w:rPr/>
      </w:pPr>
      <w:r>
        <w:rPr/>
        <w:t>6. [Trade-Critical AI Incident Notification] Confidential preliminary reporting - Each Party shall implement confidential preliminary reporting using interoperable, secure, and purpose-limited arrangements appropriate to the sensitivity and operational importance of the information involved. The arrangement shall preserve provenance, version identity, access controls, correction capability, and auditable handling sufficient to distinguish authoritative customs data, trader-supplied data, derived analytical outputs, and unverified signals where that distinction is material. Nothing in this paragraph requires public disclosure of source code, model weights, trade secrets, personal information, security-sensitive information, or information protected by Article 19.16 or other applicable law, except through a lawful and appropriately safeguarded competent-authority process. Technical implementation may use different or successor standards where the resulting system remains interoperable and provides materially equivalent confidentiality, integrity, availability, and review protections.</w:t>
      </w:r>
    </w:p>
    <w:p>
      <w:pPr>
        <w:pStyle w:val="Normal"/>
        <w:rPr/>
      </w:pPr>
      <w:r>
        <w:rPr/>
      </w:r>
    </w:p>
    <w:p>
      <w:bookmarkStart w:id="1580" w:name="_NAESTMA_TOC_1580"/>
      <w:pPr>
        <w:pStyle w:val="Heading2"/>
        <w:keepNext/>
        <w:widowControl/>
        <w:rPr/>
      </w:pPr>
      <w:r>
        <w:rPr/>
        <w:t>Article 39.96: Trade-Critical AI Recovery and Reconciliation</w:t>
      </w:r>
      <w:bookmarkEnd w:id="1580"/>
    </w:p>
    <w:p>
      <w:pPr>
        <w:pStyle w:val="Normal"/>
        <w:widowControl/>
        <w:rPr/>
      </w:pPr>
      <w:r>
        <w:rPr/>
        <w:t>1. [Trade-Critical AI Recovery and Reconciliation] Containment - Each Party shall maintain containment for AI systems whose failure or compromise could materially disrupt lawful cross-border trade, customs administration, or critical border operations. The responsible authority or operator shall identify escalation responsibility, preserve relevant evidence, activate proportionate containment or fallback measures, and maintain a lawful degraded-mode path where reasonably practicable. Where the same incident materially affects another Party, competent authorities shall use existing customs, cybersecurity, transportation, or emergency channels to exchange the information reasonably necessary for continuity and recurrence prevention, subject to confidentiality and security safeguards. Restoration shall include reconciliation of materially affected records and revalidation of the affected AI function before renewed reliance where continued operation would otherwise create an unreasonable and unmanaged trade, safety, security, or rights risk.</w:t>
      </w:r>
    </w:p>
    <w:p>
      <w:pPr>
        <w:pStyle w:val="Normal"/>
        <w:rPr/>
      </w:pPr>
      <w:r>
        <w:rPr/>
      </w:r>
    </w:p>
    <w:p>
      <w:pPr>
        <w:pStyle w:val="Normal"/>
        <w:widowControl/>
        <w:rPr/>
      </w:pPr>
      <w:r>
        <w:rPr/>
        <w:t>2. [Trade-Critical AI Recovery and Reconciliation] Service restoration - Each Party shall maintain service restoration for AI systems whose failure or compromise could materially disrupt lawful cross-border trade, customs administration, or critical border operations. The responsible authority or operator shall identify escalation responsibility, preserve relevant evidence, activate proportionate containment or fallback measures, and maintain a lawful degraded-mode path where reasonably practicable. Where the same incident materially affects another Party, competent authorities shall use existing customs, cybersecurity, transportation, or emergency channels to exchange the information reasonably necessary for continuity and recurrence prevention, subject to confidentiality and security safeguards. Restoration shall include reconciliation of materially affected records and revalidation of the affected AI function before renewed reliance where continued operation would otherwise create an unreasonable and unmanaged trade, safety, security, or rights risk.</w:t>
      </w:r>
    </w:p>
    <w:p>
      <w:pPr>
        <w:pStyle w:val="Normal"/>
        <w:rPr/>
      </w:pPr>
      <w:r>
        <w:rPr/>
      </w:r>
    </w:p>
    <w:p>
      <w:pPr>
        <w:pStyle w:val="Normal"/>
        <w:widowControl/>
        <w:rPr/>
      </w:pPr>
      <w:r>
        <w:rPr/>
        <w:t>3. [Trade-Critical AI Recovery and Reconciliation] Revalidation - Each Party shall maintain revalidation for AI systems whose failure or compromise could materially disrupt lawful cross-border trade, customs administration, or critical border operations. The responsible authority or operator shall identify escalation responsibility, preserve relevant evidence, activate proportionate containment or fallback measures, and maintain a lawful degraded-mode path where reasonably practicable. Where the same incident materially affects another Party, competent authorities shall use existing customs, cybersecurity, transportation, or emergency channels to exchange the information reasonably necessary for continuity and recurrence prevention, subject to confidentiality and security safeguards. Restoration shall include reconciliation of materially affected records and revalidation of the affected AI function before renewed reliance where continued operation would otherwise create an unreasonable and unmanaged trade, safety, security, or rights risk.</w:t>
      </w:r>
    </w:p>
    <w:p>
      <w:pPr>
        <w:pStyle w:val="Normal"/>
        <w:rPr/>
      </w:pPr>
      <w:r>
        <w:rPr/>
      </w:r>
    </w:p>
    <w:p>
      <w:pPr>
        <w:pStyle w:val="Normal"/>
        <w:widowControl/>
        <w:rPr/>
      </w:pPr>
      <w:r>
        <w:rPr/>
        <w:t>4. [Trade-Critical AI Recovery and Reconciliation] Backlog processing - Each Party shall maintain backlog processing for AI systems whose failure or compromise could materially disrupt lawful cross-border trade, customs administration, or critical border operations. The responsible authority or operator shall identify escalation responsibility, preserve relevant evidence, activate proportionate containment or fallback measures, and maintain a lawful degraded-mode path where reasonably practicable. Where the same incident materially affects another Party, competent authorities shall use existing customs, cybersecurity, transportation, or emergency channels to exchange the information reasonably necessary for continuity and recurrence prevention, subject to confidentiality and security safeguards. Restoration shall include reconciliation of materially affected records and revalidation of the affected AI function before renewed reliance where continued operation would otherwise create an unreasonable and unmanaged trade, safety, security, or rights risk.</w:t>
      </w:r>
    </w:p>
    <w:p>
      <w:pPr>
        <w:pStyle w:val="Normal"/>
        <w:rPr/>
      </w:pPr>
      <w:r>
        <w:rPr/>
      </w:r>
    </w:p>
    <w:p>
      <w:pPr>
        <w:pStyle w:val="Normal"/>
        <w:widowControl/>
        <w:rPr/>
      </w:pPr>
      <w:r>
        <w:rPr/>
        <w:t>5. [Trade-Critical AI Recovery and Reconciliation] Post-outage data reconciliation - Each Party shall implement post-outage data reconciliation using interoperable, secure, and purpose-limited arrangements appropriate to the sensitivity and operational importance of the information involved. The arrangement shall preserve provenance, version identity, access controls, correction capability, and auditable handling sufficient to distinguish authoritative customs data, trader-supplied data, derived analytical outputs, and unverified signals where that distinction is material. Nothing in this paragraph requires public disclosure of source code, model weights, trade secrets, personal information, security-sensitive information, or information protected by Article 19.16 or other applicable law, except through a lawful and appropriately safeguarded competent-authority process. Technical implementation may use different or successor standards where the resulting system remains interoperable and provides materially equivalent confidentiality, integrity, availability, and review protections.</w:t>
      </w:r>
    </w:p>
    <w:p>
      <w:pPr>
        <w:pStyle w:val="Normal"/>
        <w:rPr/>
      </w:pPr>
      <w:r>
        <w:rPr/>
      </w:r>
    </w:p>
    <w:p>
      <w:pPr>
        <w:pStyle w:val="Normal"/>
        <w:widowControl/>
        <w:rPr/>
      </w:pPr>
      <w:r>
        <w:rPr/>
        <w:t>6. [Trade-Critical AI Recovery and Reconciliation] Corrective-action tracking - Each Party shall maintain corrective-action tracking for AI systems whose failure or compromise could materially disrupt lawful cross-border trade, customs administration, or critical border operations. The responsible authority or operator shall identify escalation responsibility, preserve relevant evidence, activate proportionate containment or fallback measures, and maintain a lawful degraded-mode path where reasonably practicable. Where the same incident materially affects another Party, competent authorities shall use existing customs, cybersecurity, transportation, or emergency channels to exchange the information reasonably necessary for continuity and recurrence prevention, subject to confidentiality and security safeguards. Restoration shall include reconciliation of materially affected records and revalidation of the affected AI function before renewed reliance where continued operation would otherwise create an unreasonable and unmanaged trade, safety, security, or rights risk.</w:t>
      </w:r>
    </w:p>
    <w:p>
      <w:pPr>
        <w:pStyle w:val="Normal"/>
        <w:rPr/>
      </w:pPr>
      <w:r>
        <w:rPr/>
      </w:r>
    </w:p>
    <w:p>
      <w:bookmarkStart w:id="1581" w:name="_NAESTMA_TOC_1581"/>
      <w:pPr>
        <w:pStyle w:val="Heading2"/>
        <w:keepNext/>
        <w:widowControl/>
        <w:rPr/>
      </w:pPr>
      <w:r>
        <w:rPr/>
        <w:t>Article 39.97: AI Non-Intrusive Inspection Deployment</w:t>
      </w:r>
      <w:bookmarkEnd w:id="1581"/>
    </w:p>
    <w:p>
      <w:pPr>
        <w:pStyle w:val="Normal"/>
        <w:widowControl/>
        <w:rPr/>
      </w:pPr>
      <w:r>
        <w:rPr/>
        <w:t>1. [AI Non-Intrusive Inspection Deployment] Risk-proportionate deployment - Each Party shall govern risk-proportionate deployment through documented, risk-based criteria connected to legitimate customs, safety, security, revenue, or prohibited-goods objectives rather than through nationality, retaliation, or revenue-generation alone. The responsible authority shall validate the relevant AI or analytical method against operational outcomes, monitor material false-positive and false-negative patterns, and provide human authority to override or escalate a result when the evidence warrants it. Where the mechanism materially increases inspection, delay, verification, or another burden on a trader, the Party shall maintain sufficient records to permit internal review while protecting law-enforcement methods, personal data, and confidential commercial information. Persistent material error, drift, discriminatory effect, or unsupported targeting shall require correction, recalibration, suspension of the affected use, or another proportionate remedy before continued reliance.</w:t>
      </w:r>
    </w:p>
    <w:p>
      <w:pPr>
        <w:pStyle w:val="Normal"/>
        <w:rPr/>
      </w:pPr>
      <w:r>
        <w:rPr/>
      </w:r>
    </w:p>
    <w:p>
      <w:pPr>
        <w:pStyle w:val="Normal"/>
        <w:widowControl/>
        <w:rPr/>
      </w:pPr>
      <w:r>
        <w:rPr/>
        <w:t>2. [AI Non-Intrusive Inspection Deployment] Human accountability - Each Party shall govern human accountability through documented, risk-based criteria connected to legitimate customs, safety, security, revenue, or prohibited-goods objectives rather than through nationality, retaliation, or revenue-generation alone. The responsible authority shall validate the relevant AI or analytical method against operational outcomes, monitor material false-positive and false-negative patterns, and provide human authority to override or escalate a result when the evidence warrants it. Where the mechanism materially increases inspection, delay, verification, or another burden on a trader, the Party shall maintain sufficient records to permit internal review while protecting law-enforcement methods, personal data, and confidential commercial information. Persistent material error, drift, discriminatory effect, or unsupported targeting shall require correction, recalibration, suspension of the affected use, or another proportionate remedy before continued reliance.</w:t>
      </w:r>
    </w:p>
    <w:p>
      <w:pPr>
        <w:pStyle w:val="Normal"/>
        <w:rPr/>
      </w:pPr>
      <w:r>
        <w:rPr/>
      </w:r>
    </w:p>
    <w:p>
      <w:pPr>
        <w:pStyle w:val="Normal"/>
        <w:widowControl/>
        <w:rPr/>
      </w:pPr>
      <w:r>
        <w:rPr/>
        <w:t>3. [AI Non-Intrusive Inspection Deployment] Purpose limitation - Each Party shall govern purpose limitation through documented, risk-based criteria connected to legitimate customs, safety, security, revenue, or prohibited-goods objectives rather than through nationality, retaliation, or revenue-generation alone. The responsible authority shall validate the relevant AI or analytical method against operational outcomes, monitor material false-positive and false-negative patterns, and provide human authority to override or escalate a result when the evidence warrants it. Where the mechanism materially increases inspection, delay, verification, or another burden on a trader, the Party shall maintain sufficient records to permit internal review while protecting law-enforcement methods, personal data, and confidential commercial information. Persistent material error, drift, discriminatory effect, or unsupported targeting shall require correction, recalibration, suspension of the affected use, or another proportionate remedy before continued reliance.</w:t>
      </w:r>
    </w:p>
    <w:p>
      <w:pPr>
        <w:pStyle w:val="Normal"/>
        <w:rPr/>
      </w:pPr>
      <w:r>
        <w:rPr/>
      </w:r>
    </w:p>
    <w:p>
      <w:pPr>
        <w:pStyle w:val="Normal"/>
        <w:widowControl/>
        <w:rPr/>
      </w:pPr>
      <w:r>
        <w:rPr/>
        <w:t>4. [AI Non-Intrusive Inspection Deployment] Officer override - Each Party shall govern officer override through documented, risk-based criteria connected to legitimate customs, safety, security, revenue, or prohibited-goods objectives rather than through nationality, retaliation, or revenue-generation alone. The responsible authority shall validate the relevant AI or analytical method against operational outcomes, monitor material false-positive and false-negative patterns, and provide human authority to override or escalate a result when the evidence warrants it. Where the mechanism materially increases inspection, delay, verification, or another burden on a trader, the Party shall maintain sufficient records to permit internal review while protecting law-enforcement methods, personal data, and confidential commercial information. Persistent material error, drift, discriminatory effect, or unsupported targeting shall require correction, recalibration, suspension of the affected use, or another proportionate remedy before continued reliance.</w:t>
      </w:r>
    </w:p>
    <w:p>
      <w:pPr>
        <w:pStyle w:val="Normal"/>
        <w:rPr/>
      </w:pPr>
      <w:r>
        <w:rPr/>
      </w:r>
    </w:p>
    <w:p>
      <w:pPr>
        <w:pStyle w:val="Normal"/>
        <w:widowControl/>
        <w:rPr/>
      </w:pPr>
      <w:r>
        <w:rPr/>
        <w:t>5. [AI Non-Intrusive Inspection Deployment] No universal AI-first inspection mandate - Each Party shall govern no universal AI-first inspection mandate through documented, risk-based criteria connected to legitimate customs, safety, security, revenue, or prohibited-goods objectives rather than through nationality, retaliation, or revenue-generation alone. The responsible authority shall validate the relevant AI or analytical method against operational outcomes, monitor material false-positive and false-negative patterns, and provide human authority to override or escalate a result when the evidence warrants it. Where the mechanism materially increases inspection, delay, verification, or another burden on a trader, the Party shall maintain sufficient records to permit internal review while protecting law-enforcement methods, personal data, and confidential commercial information. Persistent material error, drift, discriminatory effect, or unsupported targeting shall require correction, recalibration, suspension of the affected use, or another proportionate remedy before continued reliance.</w:t>
      </w:r>
    </w:p>
    <w:p>
      <w:pPr>
        <w:pStyle w:val="Normal"/>
        <w:rPr/>
      </w:pPr>
      <w:r>
        <w:rPr/>
      </w:r>
    </w:p>
    <w:p>
      <w:pPr>
        <w:pStyle w:val="Normal"/>
        <w:widowControl/>
        <w:rPr/>
      </w:pPr>
      <w:r>
        <w:rPr/>
        <w:t>6. [AI Non-Intrusive Inspection Deployment] Safety/security savings - Each Party shall govern safety/security savings through documented, risk-based criteria connected to legitimate customs, safety, security, revenue, or prohibited-goods objectives rather than through nationality, retaliation, or revenue-generation alone. The responsible authority shall validate the relevant AI or analytical method against operational outcomes, monitor material false-positive and false-negative patterns, and provide human authority to override or escalate a result when the evidence warrants it. Where the mechanism materially increases inspection, delay, verification, or another burden on a trader, the Party shall maintain sufficient records to permit internal review while protecting law-enforcement methods, personal data, and confidential commercial information. Persistent material error, drift, discriminatory effect, or unsupported targeting shall require correction, recalibration, suspension of the affected use, or another proportionate remedy before continued reliance.</w:t>
      </w:r>
    </w:p>
    <w:p>
      <w:pPr>
        <w:pStyle w:val="Normal"/>
        <w:rPr/>
      </w:pPr>
      <w:r>
        <w:rPr/>
      </w:r>
    </w:p>
    <w:p>
      <w:bookmarkStart w:id="1582" w:name="_NAESTMA_TOC_1582"/>
      <w:pPr>
        <w:pStyle w:val="Heading2"/>
        <w:keepNext/>
        <w:widowControl/>
        <w:rPr/>
      </w:pPr>
      <w:r>
        <w:rPr/>
        <w:t>Article 39.98: NII Model Validation and Performance</w:t>
      </w:r>
      <w:bookmarkEnd w:id="1582"/>
    </w:p>
    <w:p>
      <w:pPr>
        <w:pStyle w:val="Normal"/>
        <w:widowControl/>
        <w:rPr/>
      </w:pPr>
      <w:r>
        <w:rPr/>
        <w:t>1. [NII Model Validation and Performance] Representative validation - Each Party shall govern representative validation through documented, risk-based criteria connected to legitimate customs, safety, security, revenue, or prohibited-goods objectives rather than through nationality, retaliation, or revenue-generation alone. The responsible authority shall validate the relevant AI or analytical method against operational outcomes, monitor material false-positive and false-negative patterns, and provide human authority to override or escalate a result when the evidence warrants it. Where the mechanism materially increases inspection, delay, verification, or another burden on a trader, the Party shall maintain sufficient records to permit internal review while protecting law-enforcement methods, personal data, and confidential commercial information. Persistent material error, drift, discriminatory effect, or unsupported targeting shall require correction, recalibration, suspension of the affected use, or another proportionate remedy before continued reliance.</w:t>
      </w:r>
    </w:p>
    <w:p>
      <w:pPr>
        <w:pStyle w:val="Normal"/>
        <w:rPr/>
      </w:pPr>
      <w:r>
        <w:rPr/>
      </w:r>
    </w:p>
    <w:p>
      <w:pPr>
        <w:pStyle w:val="Normal"/>
        <w:widowControl/>
        <w:rPr/>
      </w:pPr>
      <w:r>
        <w:rPr/>
        <w:t>2. [NII Model Validation and Performance] False-positive monitoring - Each Party shall govern false-positive monitoring through documented, risk-based criteria connected to legitimate customs, safety, security, revenue, or prohibited-goods objectives rather than through nationality, retaliation, or revenue-generation alone. The responsible authority shall validate the relevant AI or analytical method against operational outcomes, monitor material false-positive and false-negative patterns, and provide human authority to override or escalate a result when the evidence warrants it. Where the mechanism materially increases inspection, delay, verification, or another burden on a trader, the Party shall maintain sufficient records to permit internal review while protecting law-enforcement methods, personal data, and confidential commercial information. Persistent material error, drift, discriminatory effect, or unsupported targeting shall require correction, recalibration, suspension of the affected use, or another proportionate remedy before continued reliance.</w:t>
      </w:r>
    </w:p>
    <w:p>
      <w:pPr>
        <w:pStyle w:val="Normal"/>
        <w:rPr/>
      </w:pPr>
      <w:r>
        <w:rPr/>
      </w:r>
    </w:p>
    <w:p>
      <w:pPr>
        <w:pStyle w:val="Normal"/>
        <w:widowControl/>
        <w:rPr/>
      </w:pPr>
      <w:r>
        <w:rPr/>
        <w:t>3. [NII Model Validation and Performance] False-negative learning - Each Party shall govern false-negative learning through documented, risk-based criteria connected to legitimate customs, safety, security, revenue, or prohibited-goods objectives rather than through nationality, retaliation, or revenue-generation alone. The responsible authority shall validate the relevant AI or analytical method against operational outcomes, monitor material false-positive and false-negative patterns, and provide human authority to override or escalate a result when the evidence warrants it. Where the mechanism materially increases inspection, delay, verification, or another burden on a trader, the Party shall maintain sufficient records to permit internal review while protecting law-enforcement methods, personal data, and confidential commercial information. Persistent material error, drift, discriminatory effect, or unsupported targeting shall require correction, recalibration, suspension of the affected use, or another proportionate remedy before continued reliance.</w:t>
      </w:r>
    </w:p>
    <w:p>
      <w:pPr>
        <w:pStyle w:val="Normal"/>
        <w:rPr/>
      </w:pPr>
      <w:r>
        <w:rPr/>
      </w:r>
    </w:p>
    <w:p>
      <w:pPr>
        <w:pStyle w:val="Normal"/>
        <w:widowControl/>
        <w:rPr/>
      </w:pPr>
      <w:r>
        <w:rPr/>
        <w:t>4. [NII Model Validation and Performance] Drift detection - Each Party shall govern drift detection through documented, risk-based criteria connected to legitimate customs, safety, security, revenue, or prohibited-goods objectives rather than through nationality, retaliation, or revenue-generation alone. The responsible authority shall validate the relevant AI or analytical method against operational outcomes, monitor material false-positive and false-negative patterns, and provide human authority to override or escalate a result when the evidence warrants it. Where the mechanism materially increases inspection, delay, verification, or another burden on a trader, the Party shall maintain sufficient records to permit internal review while protecting law-enforcement methods, personal data, and confidential commercial information. Persistent material error, drift, discriminatory effect, or unsupported targeting shall require correction, recalibration, suspension of the affected use, or another proportionate remedy before continued reliance.</w:t>
      </w:r>
    </w:p>
    <w:p>
      <w:pPr>
        <w:pStyle w:val="Normal"/>
        <w:rPr/>
      </w:pPr>
      <w:r>
        <w:rPr/>
      </w:r>
    </w:p>
    <w:p>
      <w:pPr>
        <w:pStyle w:val="Normal"/>
        <w:widowControl/>
        <w:rPr/>
      </w:pPr>
      <w:r>
        <w:rPr/>
        <w:t>5. [NII Model Validation and Performance] Material model-change revalidation - Each Party shall govern material model-change revalidation through documented, risk-based criteria connected to legitimate customs, safety, security, revenue, or prohibited-goods objectives rather than through nationality, retaliation, or revenue-generation alone. The responsible authority shall validate the relevant AI or analytical method against operational outcomes, monitor material false-positive and false-negative patterns, and provide human authority to override or escalate a result when the evidence warrants it. Where the mechanism materially increases inspection, delay, verification, or another burden on a trader, the Party shall maintain sufficient records to permit internal review while protecting law-enforcement methods, personal data, and confidential commercial information. Persistent material error, drift, discriminatory effect, or unsupported targeting shall require correction, recalibration, suspension of the affected use, or another proportionate remedy before continued reliance.</w:t>
      </w:r>
    </w:p>
    <w:p>
      <w:pPr>
        <w:pStyle w:val="Normal"/>
        <w:rPr/>
      </w:pPr>
      <w:r>
        <w:rPr/>
      </w:r>
    </w:p>
    <w:p>
      <w:pPr>
        <w:pStyle w:val="Normal"/>
        <w:widowControl/>
        <w:rPr/>
      </w:pPr>
      <w:r>
        <w:rPr/>
        <w:t>6. [NII Model Validation and Performance] No universal accuracy percentage - Each Party shall govern no universal accuracy percentage through documented, risk-based criteria connected to legitimate customs, safety, security, revenue, or prohibited-goods objectives rather than through nationality, retaliation, or revenue-generation alone. The responsible authority shall validate the relevant AI or analytical method against operational outcomes, monitor material false-positive and false-negative patterns, and provide human authority to override or escalate a result when the evidence warrants it. Where the mechanism materially increases inspection, delay, verification, or another burden on a trader, the Party shall maintain sufficient records to permit internal review while protecting law-enforcement methods, personal data, and confidential commercial information. Persistent material error, drift, discriminatory effect, or unsupported targeting shall require correction, recalibration, suspension of the affected use, or another proportionate remedy before continued reliance.</w:t>
      </w:r>
    </w:p>
    <w:p>
      <w:pPr>
        <w:pStyle w:val="Normal"/>
        <w:rPr/>
      </w:pPr>
      <w:r>
        <w:rPr/>
      </w:r>
    </w:p>
    <w:p>
      <w:bookmarkStart w:id="1583" w:name="_NAESTMA_TOC_1583"/>
      <w:pPr>
        <w:pStyle w:val="Heading2"/>
        <w:keepNext/>
        <w:widowControl/>
        <w:rPr/>
      </w:pPr>
      <w:r>
        <w:rPr/>
        <w:t>Article 39.99: NII Sensor, Image and Evidence Governance</w:t>
      </w:r>
      <w:bookmarkEnd w:id="1583"/>
    </w:p>
    <w:p>
      <w:pPr>
        <w:pStyle w:val="Normal"/>
        <w:widowControl/>
        <w:rPr/>
      </w:pPr>
      <w:r>
        <w:rPr/>
        <w:t>1. [NII Sensor, Image and Evidence Governance] Sensor-data integrity - Each Party shall govern sensor-data integrity through documented, risk-based criteria connected to legitimate customs, safety, security, revenue, or prohibited-goods objectives rather than through nationality, retaliation, or revenue-generation alone. The responsible authority shall validate the relevant AI or analytical method against operational outcomes, monitor material false-positive and false-negative patterns, and provide human authority to override or escalate a result when the evidence warrants it. Where the mechanism materially increases inspection, delay, verification, or another burden on a trader, the Party shall maintain sufficient records to permit internal review while protecting law-enforcement methods, personal data, and confidential commercial information. Persistent material error, drift, discriminatory effect, or unsupported targeting shall require correction, recalibration, suspension of the affected use, or another proportionate remedy before continued reliance.</w:t>
      </w:r>
    </w:p>
    <w:p>
      <w:pPr>
        <w:pStyle w:val="Normal"/>
        <w:rPr/>
      </w:pPr>
      <w:r>
        <w:rPr/>
      </w:r>
    </w:p>
    <w:p>
      <w:pPr>
        <w:pStyle w:val="Normal"/>
        <w:widowControl/>
        <w:rPr/>
      </w:pPr>
      <w:r>
        <w:rPr/>
        <w:t>2. [NII Sensor, Image and Evidence Governance] Image provenance - Each Party shall govern image provenance through documented, risk-based criteria connected to legitimate customs, safety, security, revenue, or prohibited-goods objectives rather than through nationality, retaliation, or revenue-generation alone. The responsible authority shall validate the relevant AI or analytical method against operational outcomes, monitor material false-positive and false-negative patterns, and provide human authority to override or escalate a result when the evidence warrants it. Where the mechanism materially increases inspection, delay, verification, or another burden on a trader, the Party shall maintain sufficient records to permit internal review while protecting law-enforcement methods, personal data, and confidential commercial information. Persistent material error, drift, discriminatory effect, or unsupported targeting shall require correction, recalibration, suspension of the affected use, or another proportionate remedy before continued reliance.</w:t>
      </w:r>
    </w:p>
    <w:p>
      <w:pPr>
        <w:pStyle w:val="Normal"/>
        <w:rPr/>
      </w:pPr>
      <w:r>
        <w:rPr/>
      </w:r>
    </w:p>
    <w:p>
      <w:pPr>
        <w:pStyle w:val="Normal"/>
        <w:widowControl/>
        <w:rPr/>
      </w:pPr>
      <w:r>
        <w:rPr/>
        <w:t>3. [NII Sensor, Image and Evidence Governance] Chain of custody - Each Party shall govern chain of custody through documented, risk-based criteria connected to legitimate customs, safety, security, revenue, or prohibited-goods objectives rather than through nationality, retaliation, or revenue-generation alone. The responsible authority shall validate the relevant AI or analytical method against operational outcomes, monitor material false-positive and false-negative patterns, and provide human authority to override or escalate a result when the evidence warrants it. Where the mechanism materially increases inspection, delay, verification, or another burden on a trader, the Party shall maintain sufficient records to permit internal review while protecting law-enforcement methods, personal data, and confidential commercial information. Persistent material error, drift, discriminatory effect, or unsupported targeting shall require correction, recalibration, suspension of the affected use, or another proportionate remedy before continued reliance.</w:t>
      </w:r>
    </w:p>
    <w:p>
      <w:pPr>
        <w:pStyle w:val="Normal"/>
        <w:rPr/>
      </w:pPr>
      <w:r>
        <w:rPr/>
      </w:r>
    </w:p>
    <w:p>
      <w:pPr>
        <w:pStyle w:val="Normal"/>
        <w:widowControl/>
        <w:rPr/>
      </w:pPr>
      <w:r>
        <w:rPr/>
        <w:t>4. [NII Sensor, Image and Evidence Governance] Retention limitation - Each Party shall govern retention limitation through documented, risk-based criteria connected to legitimate customs, safety, security, revenue, or prohibited-goods objectives rather than through nationality, retaliation, or revenue-generation alone. The responsible authority shall validate the relevant AI or analytical method against operational outcomes, monitor material false-positive and false-negative patterns, and provide human authority to override or escalate a result when the evidence warrants it. Where the mechanism materially increases inspection, delay, verification, or another burden on a trader, the Party shall maintain sufficient records to permit internal review while protecting law-enforcement methods, personal data, and confidential commercial information. Persistent material error, drift, discriminatory effect, or unsupported targeting shall require correction, recalibration, suspension of the affected use, or another proportionate remedy before continued reliance.</w:t>
      </w:r>
    </w:p>
    <w:p>
      <w:pPr>
        <w:pStyle w:val="Normal"/>
        <w:rPr/>
      </w:pPr>
      <w:r>
        <w:rPr/>
      </w:r>
    </w:p>
    <w:p>
      <w:pPr>
        <w:pStyle w:val="Normal"/>
        <w:widowControl/>
        <w:rPr/>
      </w:pPr>
      <w:r>
        <w:rPr/>
        <w:t>5. [NII Sensor, Image and Evidence Governance] Confidentiality - Each Party shall govern confidentiality through documented, risk-based criteria connected to legitimate customs, safety, security, revenue, or prohibited-goods objectives rather than through nationality, retaliation, or revenue-generation alone. The responsible authority shall validate the relevant AI or analytical method against operational outcomes, monitor material false-positive and false-negative patterns, and provide human authority to override or escalate a result when the evidence warrants it. Where the mechanism materially increases inspection, delay, verification, or another burden on a trader, the Party shall maintain sufficient records to permit internal review while protecting law-enforcement methods, personal data, and confidential commercial information. Persistent material error, drift, discriminatory effect, or unsupported targeting shall require correction, recalibration, suspension of the affected use, or another proportionate remedy before continued reliance.</w:t>
      </w:r>
    </w:p>
    <w:p>
      <w:pPr>
        <w:pStyle w:val="Normal"/>
        <w:rPr/>
      </w:pPr>
      <w:r>
        <w:rPr/>
      </w:r>
    </w:p>
    <w:p>
      <w:pPr>
        <w:pStyle w:val="Normal"/>
        <w:widowControl/>
        <w:rPr/>
      </w:pPr>
      <w:r>
        <w:rPr/>
        <w:t>6. [NII Sensor, Image and Evidence Governance] Evidentiary reconstruction - Each Party shall govern evidentiary reconstruction through documented, risk-based criteria connected to legitimate customs, safety, security, revenue, or prohibited-goods objectives rather than through nationality, retaliation, or revenue-generation alone. The responsible authority shall validate the relevant AI or analytical method against operational outcomes, monitor material false-positive and false-negative patterns, and provide human authority to override or escalate a result when the evidence warrants it. Where the mechanism materially increases inspection, delay, verification, or another burden on a trader, the Party shall maintain sufficient records to permit internal review while protecting law-enforcement methods, personal data, and confidential commercial information. Persistent material error, drift, discriminatory effect, or unsupported targeting shall require correction, recalibration, suspension of the affected use, or another proportionate remedy before continued reliance.</w:t>
      </w:r>
    </w:p>
    <w:p>
      <w:pPr>
        <w:pStyle w:val="Normal"/>
        <w:rPr/>
      </w:pPr>
      <w:r>
        <w:rPr/>
      </w:r>
    </w:p>
    <w:p>
      <w:bookmarkStart w:id="1584" w:name="_NAESTMA_TOC_1584"/>
      <w:pPr>
        <w:pStyle w:val="Heading2"/>
        <w:keepNext/>
        <w:widowControl/>
        <w:rPr/>
      </w:pPr>
      <w:r>
        <w:rPr/>
        <w:t>Article 39.100: Cross-Border NII and Forensic Reliance</w:t>
      </w:r>
      <w:bookmarkEnd w:id="1584"/>
    </w:p>
    <w:p>
      <w:pPr>
        <w:pStyle w:val="Normal"/>
        <w:widowControl/>
        <w:rPr/>
      </w:pPr>
      <w:r>
        <w:rPr/>
        <w:t>1. [Cross-Border NII and Forensic Reliance] Equivalent testing evidence - Each Party shall govern equivalent testing evidence through documented, risk-based criteria connected to legitimate customs, safety, security, revenue, or prohibited-goods objectives rather than through nationality, retaliation, or revenue-generation alone. The responsible authority shall validate the relevant AI or analytical method against operational outcomes, monitor material false-positive and false-negative patterns, and provide human authority to override or escalate a result when the evidence warrants it. Where the mechanism materially increases inspection, delay, verification, or another burden on a trader, the Party shall maintain sufficient records to permit internal review while protecting law-enforcement methods, personal data, and confidential commercial information. Persistent material error, drift, discriminatory effect, or unsupported targeting shall require correction, recalibration, suspension of the affected use, or another proportionate remedy before continued reliance.</w:t>
      </w:r>
    </w:p>
    <w:p>
      <w:pPr>
        <w:pStyle w:val="Normal"/>
        <w:rPr/>
      </w:pPr>
      <w:r>
        <w:rPr/>
      </w:r>
    </w:p>
    <w:p>
      <w:pPr>
        <w:pStyle w:val="Normal"/>
        <w:widowControl/>
        <w:rPr/>
      </w:pPr>
      <w:r>
        <w:rPr/>
        <w:t>2. [Cross-Border NII and Forensic Reliance] Scanner-output portability - Each Party shall govern scanner-output portability through documented, risk-based criteria connected to legitimate customs, safety, security, revenue, or prohibited-goods objectives rather than through nationality, retaliation, or revenue-generation alone. The responsible authority shall validate the relevant AI or analytical method against operational outcomes, monitor material false-positive and false-negative patterns, and provide human authority to override or escalate a result when the evidence warrants it. Where the mechanism materially increases inspection, delay, verification, or another burden on a trader, the Party shall maintain sufficient records to permit internal review while protecting law-enforcement methods, personal data, and confidential commercial information. Persistent material error, drift, discriminatory effect, or unsupported targeting shall require correction, recalibration, suspension of the affected use, or another proportionate remedy before continued reliance.</w:t>
      </w:r>
    </w:p>
    <w:p>
      <w:pPr>
        <w:pStyle w:val="Normal"/>
        <w:rPr/>
      </w:pPr>
      <w:r>
        <w:rPr/>
      </w:r>
    </w:p>
    <w:p>
      <w:pPr>
        <w:pStyle w:val="Normal"/>
        <w:widowControl/>
        <w:rPr/>
      </w:pPr>
      <w:r>
        <w:rPr/>
        <w:t>3. [Cross-Border NII and Forensic Reliance] Forensic data request - Each Party shall govern forensic data request through documented, risk-based criteria connected to legitimate customs, safety, security, revenue, or prohibited-goods objectives rather than through nationality, retaliation, or revenue-generation alone. The responsible authority shall validate the relevant AI or analytical method against operational outcomes, monitor material false-positive and false-negative patterns, and provide human authority to override or escalate a result when the evidence warrants it. Where the mechanism materially increases inspection, delay, verification, or another burden on a trader, the Party shall maintain sufficient records to permit internal review while protecting law-enforcement methods, personal data, and confidential commercial information. Persistent material error, drift, discriminatory effect, or unsupported targeting shall require correction, recalibration, suspension of the affected use, or another proportionate remedy before continued reliance.</w:t>
      </w:r>
    </w:p>
    <w:p>
      <w:pPr>
        <w:pStyle w:val="Normal"/>
        <w:rPr/>
      </w:pPr>
      <w:r>
        <w:rPr/>
      </w:r>
    </w:p>
    <w:p>
      <w:pPr>
        <w:pStyle w:val="Normal"/>
        <w:widowControl/>
        <w:rPr/>
      </w:pPr>
      <w:r>
        <w:rPr/>
        <w:t>4. [Cross-Border NII and Forensic Reliance] Reasoned reliance/refusal - Each Party shall govern reasoned reliance/refusal through documented, risk-based criteria connected to legitimate customs, safety, security, revenue, or prohibited-goods objectives rather than through nationality, retaliation, or revenue-generation alone. The responsible authority shall validate the relevant AI or analytical method against operational outcomes, monitor material false-positive and false-negative patterns, and provide human authority to override or escalate a result when the evidence warrants it. Where the mechanism materially increases inspection, delay, verification, or another burden on a trader, the Party shall maintain sufficient records to permit internal review while protecting law-enforcement methods, personal data, and confidential commercial information. Persistent material error, drift, discriminatory effect, or unsupported targeting shall require correction, recalibration, suspension of the affected use, or another proportionate remedy before continued reliance.</w:t>
      </w:r>
    </w:p>
    <w:p>
      <w:pPr>
        <w:pStyle w:val="Normal"/>
        <w:rPr/>
      </w:pPr>
      <w:r>
        <w:rPr/>
      </w:r>
    </w:p>
    <w:p>
      <w:pPr>
        <w:pStyle w:val="Normal"/>
        <w:widowControl/>
        <w:rPr/>
      </w:pPr>
      <w:r>
        <w:rPr/>
        <w:t>5. [Cross-Border NII and Forensic Reliance] Security-sensitive handling - Each Party shall govern security-sensitive handling through documented, risk-based criteria connected to legitimate customs, safety, security, revenue, or prohibited-goods objectives rather than through nationality, retaliation, or revenue-generation alone. The responsible authority shall validate the relevant AI or analytical method against operational outcomes, monitor material false-positive and false-negative patterns, and provide human authority to override or escalate a result when the evidence warrants it. Where the mechanism materially increases inspection, delay, verification, or another burden on a trader, the Party shall maintain sufficient records to permit internal review while protecting law-enforcement methods, personal data, and confidential commercial information. Persistent material error, drift, discriminatory effect, or unsupported targeting shall require correction, recalibration, suspension of the affected use, or another proportionate remedy before continued reliance.</w:t>
      </w:r>
    </w:p>
    <w:p>
      <w:pPr>
        <w:pStyle w:val="Normal"/>
        <w:rPr/>
      </w:pPr>
      <w:r>
        <w:rPr/>
      </w:r>
    </w:p>
    <w:p>
      <w:pPr>
        <w:pStyle w:val="Normal"/>
        <w:widowControl/>
        <w:rPr/>
      </w:pPr>
      <w:r>
        <w:rPr/>
        <w:t>6. [Cross-Border NII and Forensic Reliance] No automatic mutual recognition - Each Party shall govern no automatic mutual recognition through documented, risk-based criteria connected to legitimate customs, safety, security, revenue, or prohibited-goods objectives rather than through nationality, retaliation, or revenue-generation alone. The responsible authority shall validate the relevant AI or analytical method against operational outcomes, monitor material false-positive and false-negative patterns, and provide human authority to override or escalate a result when the evidence warrants it. Where the mechanism materially increases inspection, delay, verification, or another burden on a trader, the Party shall maintain sufficient records to permit internal review while protecting law-enforcement methods, personal data, and confidential commercial information. Persistent material error, drift, discriminatory effect, or unsupported targeting shall require correction, recalibration, suspension of the affected use, or another proportionate remedy before continued reliance.</w:t>
      </w:r>
    </w:p>
    <w:p>
      <w:pPr>
        <w:pStyle w:val="Normal"/>
        <w:rPr/>
      </w:pPr>
      <w:r>
        <w:rPr/>
      </w:r>
    </w:p>
    <w:p>
      <w:bookmarkStart w:id="1585" w:name="_NAESTMA_TOC_1585"/>
      <w:pPr>
        <w:pStyle w:val="Heading2"/>
        <w:keepNext/>
        <w:widowControl/>
        <w:rPr/>
      </w:pPr>
      <w:r>
        <w:rPr/>
        <w:t>Article 39.101: AI-Assisted Trusted Trader Administration</w:t>
      </w:r>
      <w:bookmarkEnd w:id="1585"/>
    </w:p>
    <w:p>
      <w:pPr>
        <w:pStyle w:val="Normal"/>
        <w:widowControl/>
        <w:rPr/>
      </w:pPr>
      <w:r>
        <w:rPr/>
        <w:t>1. [AI-Assisted Trusted Trader Administration] Application assistance - The Parties shall address application assistance as part of the AI-enabled trade framework through competent existing authorities and controls proportionate to the material trade, safety, security, privacy, or rights consequences of the use. Implementation shall identify the responsible actor, the operational purpose, the information or evidence on which material action may rely, and the point at which human review, correction, escalation, or revalidation is required. The Parties may use different technologies, vendors, technical standards, or administrative methods where they achieve materially equivalent outcomes and preserve confidentiality, interoperability, contestability, and applicable constitutional authority. Nothing in this paragraph authorizes an automatic tariff consequence, unrelated retaliation, compulsory participation in an optional program, or creation of a new standing institution unless another provision of this Agreement expressly provides otherwise.</w:t>
      </w:r>
    </w:p>
    <w:p>
      <w:pPr>
        <w:pStyle w:val="Normal"/>
        <w:rPr/>
      </w:pPr>
      <w:r>
        <w:rPr/>
      </w:r>
    </w:p>
    <w:p>
      <w:pPr>
        <w:pStyle w:val="Normal"/>
        <w:widowControl/>
        <w:rPr/>
      </w:pPr>
      <w:r>
        <w:rPr/>
        <w:t>2. [AI-Assisted Trusted Trader Administration] Eligibility analysis - The Parties shall address eligibility analysis as part of the AI-enabled trade framework through competent existing authorities and controls proportionate to the material trade, safety, security, privacy, or rights consequences of the use. Implementation shall identify the responsible actor, the operational purpose, the information or evidence on which material action may rely, and the point at which human review, correction, escalation, or revalidation is required. The Parties may use different technologies, vendors, technical standards, or administrative methods where they achieve materially equivalent outcomes and preserve confidentiality, interoperability, contestability, and applicable constitutional authority. Nothing in this paragraph authorizes an automatic tariff consequence, unrelated retaliation, compulsory participation in an optional program, or creation of a new standing institution unless another provision of this Agreement expressly provides otherwise.</w:t>
      </w:r>
    </w:p>
    <w:p>
      <w:pPr>
        <w:pStyle w:val="Normal"/>
        <w:rPr/>
      </w:pPr>
      <w:r>
        <w:rPr/>
      </w:r>
    </w:p>
    <w:p>
      <w:pPr>
        <w:pStyle w:val="Normal"/>
        <w:widowControl/>
        <w:rPr/>
      </w:pPr>
      <w:r>
        <w:rPr/>
        <w:t>3. [AI-Assisted Trusted Trader Administration] Risk monitoring - Each Party shall govern risk monitoring through documented, risk-based criteria connected to legitimate customs, safety, security, revenue, or prohibited-goods objectives rather than through nationality, retaliation, or revenue-generation alone. The responsible authority shall validate the relevant AI or analytical method against operational outcomes, monitor material false-positive and false-negative patterns, and provide human authority to override or escalate a result when the evidence warrants it. Where the mechanism materially increases inspection, delay, verification, or another burden on a trader, the Party shall maintain sufficient records to permit internal review while protecting law-enforcement methods, personal data, and confidential commercial information. Persistent material error, drift, discriminatory effect, or unsupported targeting shall require correction, recalibration, suspension of the affected use, or another proportionate remedy before continued reliance.</w:t>
      </w:r>
    </w:p>
    <w:p>
      <w:pPr>
        <w:pStyle w:val="Normal"/>
        <w:rPr/>
      </w:pPr>
      <w:r>
        <w:rPr/>
      </w:r>
    </w:p>
    <w:p>
      <w:pPr>
        <w:pStyle w:val="Normal"/>
        <w:widowControl/>
        <w:rPr/>
      </w:pPr>
      <w:r>
        <w:rPr/>
        <w:t>4. [AI-Assisted Trusted Trader Administration] Human validation - The Parties shall address human validation as part of the AI-enabled trade framework through competent existing authorities and controls proportionate to the material trade, safety, security, privacy, or rights consequences of the use. Implementation shall identify the responsible actor, the operational purpose, the information or evidence on which material action may rely, and the point at which human review, correction, escalation, or revalidation is required. The Parties may use different technologies, vendors, technical standards, or administrative methods where they achieve materially equivalent outcomes and preserve confidentiality, interoperability, contestability, and applicable constitutional authority. Nothing in this paragraph authorizes an automatic tariff consequence, unrelated retaliation, compulsory participation in an optional program, or creation of a new standing institution unless another provision of this Agreement expressly provides otherwise.</w:t>
      </w:r>
    </w:p>
    <w:p>
      <w:pPr>
        <w:pStyle w:val="Normal"/>
        <w:rPr/>
      </w:pPr>
      <w:r>
        <w:rPr/>
      </w:r>
    </w:p>
    <w:p>
      <w:pPr>
        <w:pStyle w:val="Normal"/>
        <w:widowControl/>
        <w:rPr/>
      </w:pPr>
      <w:r>
        <w:rPr/>
        <w:t>5. [AI-Assisted Trusted Trader Administration] Status notice - The Parties shall address status notice as part of the AI-enabled trade framework through competent existing authorities and controls proportionate to the material trade, safety, security, privacy, or rights consequences of the use. Implementation shall identify the responsible actor, the operational purpose, the information or evidence on which material action may rely, and the point at which human review, correction, escalation, or revalidation is required. The Parties may use different technologies, vendors, technical standards, or administrative methods where they achieve materially equivalent outcomes and preserve confidentiality, interoperability, contestability, and applicable constitutional authority. Nothing in this paragraph authorizes an automatic tariff consequence, unrelated retaliation, compulsory participation in an optional program, or creation of a new standing institution unless another provision of this Agreement expressly provides otherwise.</w:t>
      </w:r>
    </w:p>
    <w:p>
      <w:pPr>
        <w:pStyle w:val="Normal"/>
        <w:rPr/>
      </w:pPr>
      <w:r>
        <w:rPr/>
      </w:r>
    </w:p>
    <w:p>
      <w:pPr>
        <w:pStyle w:val="Normal"/>
        <w:widowControl/>
        <w:rPr/>
      </w:pPr>
      <w:r>
        <w:rPr/>
        <w:t>6. [AI-Assisted Trusted Trader Administration] Administrative review - The Parties shall address administrative review as part of the AI-enabled trade framework through competent existing authorities and controls proportionate to the material trade, safety, security, privacy, or rights consequences of the use. Implementation shall identify the responsible actor, the operational purpose, the information or evidence on which material action may rely, and the point at which human review, correction, escalation, or revalidation is required. The Parties may use different technologies, vendors, technical standards, or administrative methods where they achieve materially equivalent outcomes and preserve confidentiality, interoperability, contestability, and applicable constitutional authority. Nothing in this paragraph authorizes an automatic tariff consequence, unrelated retaliation, compulsory participation in an optional program, or creation of a new standing institution unless another provision of this Agreement expressly provides otherwise.</w:t>
      </w:r>
    </w:p>
    <w:p>
      <w:pPr>
        <w:pStyle w:val="Normal"/>
        <w:rPr/>
      </w:pPr>
      <w:r>
        <w:rPr/>
      </w:r>
    </w:p>
    <w:p>
      <w:bookmarkStart w:id="1586" w:name="_NAESTMA_TOC_1586"/>
      <w:pPr>
        <w:pStyle w:val="Heading2"/>
        <w:keepNext/>
        <w:widowControl/>
        <w:rPr/>
      </w:pPr>
      <w:r>
        <w:rPr/>
        <w:t>Article 39.102: Trusted Trader AI Suspension and Revocation Safeguards</w:t>
      </w:r>
      <w:bookmarkEnd w:id="1586"/>
    </w:p>
    <w:p>
      <w:pPr>
        <w:pStyle w:val="Normal"/>
        <w:widowControl/>
        <w:rPr/>
      </w:pPr>
      <w:r>
        <w:rPr/>
        <w:t>1. [Trusted Trader AI Suspension and Revocation Safeguards] Material trigger - The Parties shall address material trigger as part of the AI-enabled trade framework through competent existing authorities and controls proportionate to the material trade, safety, security, privacy, or rights consequences of the use. Implementation shall identify the responsible actor, the operational purpose, the information or evidence on which material action may rely, and the point at which human review, correction, escalation, or revalidation is required. The Parties may use different technologies, vendors, technical standards, or administrative methods where they achieve materially equivalent outcomes and preserve confidentiality, interoperability, contestability, and applicable constitutional authority. Nothing in this paragraph authorizes an automatic tariff consequence, unrelated retaliation, compulsory participation in an optional program, or creation of a new standing institution unless another provision of this Agreement expressly provides otherwise.</w:t>
      </w:r>
    </w:p>
    <w:p>
      <w:pPr>
        <w:pStyle w:val="Normal"/>
        <w:rPr/>
      </w:pPr>
      <w:r>
        <w:rPr/>
      </w:r>
    </w:p>
    <w:p>
      <w:pPr>
        <w:pStyle w:val="Normal"/>
        <w:widowControl/>
        <w:rPr/>
      </w:pPr>
      <w:r>
        <w:rPr/>
        <w:t>2. [Trusted Trader AI Suspension and Revocation Safeguards] No automatic suspension - The Parties shall address no automatic suspension as part of the AI-enabled trade framework through competent existing authorities and controls proportionate to the material trade, safety, security, privacy, or rights consequences of the use. Implementation shall identify the responsible actor, the operational purpose, the information or evidence on which material action may rely, and the point at which human review, correction, escalation, or revalidation is required. The Parties may use different technologies, vendors, technical standards, or administrative methods where they achieve materially equivalent outcomes and preserve confidentiality, interoperability, contestability, and applicable constitutional authority. Nothing in this paragraph authorizes an automatic tariff consequence, unrelated retaliation, compulsory participation in an optional program, or creation of a new standing institution unless another provision of this Agreement expressly provides otherwise.</w:t>
      </w:r>
    </w:p>
    <w:p>
      <w:pPr>
        <w:pStyle w:val="Normal"/>
        <w:rPr/>
      </w:pPr>
      <w:r>
        <w:rPr/>
      </w:r>
    </w:p>
    <w:p>
      <w:pPr>
        <w:pStyle w:val="Normal"/>
        <w:widowControl/>
        <w:rPr/>
      </w:pPr>
      <w:r>
        <w:rPr/>
        <w:t>3. [Trusted Trader AI Suspension and Revocation Safeguards] Human confirmation - The Parties shall address human confirmation as part of the AI-enabled trade framework through competent existing authorities and controls proportionate to the material trade, safety, security, privacy, or rights consequences of the use. Implementation shall identify the responsible actor, the operational purpose, the information or evidence on which material action may rely, and the point at which human review, correction, escalation, or revalidation is required. The Parties may use different technologies, vendors, technical standards, or administrative methods where they achieve materially equivalent outcomes and preserve confidentiality, interoperability, contestability, and applicable constitutional authority. Nothing in this paragraph authorizes an automatic tariff consequence, unrelated retaliation, compulsory participation in an optional program, or creation of a new standing institution unless another provision of this Agreement expressly provides otherwise.</w:t>
      </w:r>
    </w:p>
    <w:p>
      <w:pPr>
        <w:pStyle w:val="Normal"/>
        <w:rPr/>
      </w:pPr>
      <w:r>
        <w:rPr/>
      </w:r>
    </w:p>
    <w:p>
      <w:pPr>
        <w:pStyle w:val="Normal"/>
        <w:widowControl/>
        <w:rPr/>
      </w:pPr>
      <w:r>
        <w:rPr/>
        <w:t>4. [Trusted Trader AI Suspension and Revocation Safeguards] Reasons and evidence - The Parties shall address reasons and evidence as part of the AI-enabled trade framework through competent existing authorities and controls proportionate to the material trade, safety, security, privacy, or rights consequences of the use. Implementation shall identify the responsible actor, the operational purpose, the information or evidence on which material action may rely, and the point at which human review, correction, escalation, or revalidation is required. The Parties may use different technologies, vendors, technical standards, or administrative methods where they achieve materially equivalent outcomes and preserve confidentiality, interoperability, contestability, and applicable constitutional authority. Nothing in this paragraph authorizes an automatic tariff consequence, unrelated retaliation, compulsory participation in an optional program, or creation of a new standing institution unless another provision of this Agreement expressly provides otherwise.</w:t>
      </w:r>
    </w:p>
    <w:p>
      <w:pPr>
        <w:pStyle w:val="Normal"/>
        <w:rPr/>
      </w:pPr>
      <w:r>
        <w:rPr/>
      </w:r>
    </w:p>
    <w:p>
      <w:pPr>
        <w:pStyle w:val="Normal"/>
        <w:widowControl/>
        <w:rPr/>
      </w:pPr>
      <w:r>
        <w:rPr/>
        <w:t>5. [Trusted Trader AI Suspension and Revocation Safeguards] Cure opportunity - The Parties shall address cure opportunity as part of the AI-enabled trade framework through competent existing authorities and controls proportionate to the material trade, safety, security, privacy, or rights consequences of the use. Implementation shall identify the responsible actor, the operational purpose, the information or evidence on which material action may rely, and the point at which human review, correction, escalation, or revalidation is required. The Parties may use different technologies, vendors, technical standards, or administrative methods where they achieve materially equivalent outcomes and preserve confidentiality, interoperability, contestability, and applicable constitutional authority. Nothing in this paragraph authorizes an automatic tariff consequence, unrelated retaliation, compulsory participation in an optional program, or creation of a new standing institution unless another provision of this Agreement expressly provides otherwise.</w:t>
      </w:r>
    </w:p>
    <w:p>
      <w:pPr>
        <w:pStyle w:val="Normal"/>
        <w:rPr/>
      </w:pPr>
      <w:r>
        <w:rPr/>
      </w:r>
    </w:p>
    <w:p>
      <w:pPr>
        <w:pStyle w:val="Normal"/>
        <w:widowControl/>
        <w:rPr/>
      </w:pPr>
      <w:r>
        <w:rPr/>
        <w:t>6. [Trusted Trader AI Suspension and Revocation Safeguards] Continuation where risk permits - Each Party shall govern continuation where risk permits through documented, risk-based criteria connected to legitimate customs, safety, security, revenue, or prohibited-goods objectives rather than through nationality, retaliation, or revenue-generation alone. The responsible authority shall validate the relevant AI or analytical method against operational outcomes, monitor material false-positive and false-negative patterns, and provide human authority to override or escalate a result when the evidence warrants it. Where the mechanism materially increases inspection, delay, verification, or another burden on a trader, the Party shall maintain sufficient records to permit internal review while protecting law-enforcement methods, personal data, and confidential commercial information. Persistent material error, drift, discriminatory effect, or unsupported targeting shall require correction, recalibration, suspension of the affected use, or another proportionate remedy before continued reliance.</w:t>
      </w:r>
    </w:p>
    <w:p>
      <w:pPr>
        <w:pStyle w:val="Normal"/>
        <w:rPr/>
      </w:pPr>
      <w:r>
        <w:rPr/>
      </w:r>
    </w:p>
    <w:p>
      <w:bookmarkStart w:id="1587" w:name="_NAESTMA_TOC_1587"/>
      <w:pPr>
        <w:pStyle w:val="Heading2"/>
        <w:keepNext/>
        <w:widowControl/>
        <w:rPr/>
      </w:pPr>
      <w:r>
        <w:rPr/>
        <w:t>Article 39.103: Cross-Border AEO Data and Recognition</w:t>
      </w:r>
      <w:bookmarkEnd w:id="1587"/>
    </w:p>
    <w:p>
      <w:pPr>
        <w:pStyle w:val="Normal"/>
        <w:widowControl/>
        <w:rPr/>
      </w:pPr>
      <w:r>
        <w:rPr/>
        <w:t>1. [Cross-Border AEO Data and Recognition] Credential portability - Each Party shall implement credential portability using interoperable, secure, and purpose-limited arrangements appropriate to the sensitivity and operational importance of the information involved. The arrangement shall preserve provenance, version identity, access controls, correction capability, and auditable handling sufficient to distinguish authoritative customs data, trader-supplied data, derived analytical outputs, and unverified signals where that distinction is material. Nothing in this paragraph requires public disclosure of source code, model weights, trade secrets, personal information, security-sensitive information, or information protected by Article 19.16 or other applicable law, except through a lawful and appropriately safeguarded competent-authority process. Technical implementation may use different or successor standards where the resulting system remains interoperable and provides materially equivalent confidentiality, integrity, availability, and review protections.</w:t>
      </w:r>
    </w:p>
    <w:p>
      <w:pPr>
        <w:pStyle w:val="Normal"/>
        <w:rPr/>
      </w:pPr>
      <w:r>
        <w:rPr/>
      </w:r>
    </w:p>
    <w:p>
      <w:pPr>
        <w:pStyle w:val="Normal"/>
        <w:widowControl/>
        <w:rPr/>
      </w:pPr>
      <w:r>
        <w:rPr/>
        <w:t>2. [Cross-Border AEO Data and Recognition] Equivalent-status verification - Each Party shall implement equivalent-status verification using interoperable, secure, and purpose-limited arrangements appropriate to the sensitivity and operational importance of the information involved. The arrangement shall preserve provenance, version identity, access controls, correction capability, and auditable handling sufficient to distinguish authoritative customs data, trader-supplied data, derived analytical outputs, and unverified signals where that distinction is material. Nothing in this paragraph requires public disclosure of source code, model weights, trade secrets, personal information, security-sensitive information, or information protected by Article 19.16 or other applicable law, except through a lawful and appropriately safeguarded competent-authority process. Technical implementation may use different or successor standards where the resulting system remains interoperable and provides materially equivalent confidentiality, integrity, availability, and review protections.</w:t>
      </w:r>
    </w:p>
    <w:p>
      <w:pPr>
        <w:pStyle w:val="Normal"/>
        <w:rPr/>
      </w:pPr>
      <w:r>
        <w:rPr/>
      </w:r>
    </w:p>
    <w:p>
      <w:pPr>
        <w:pStyle w:val="Normal"/>
        <w:widowControl/>
        <w:rPr/>
      </w:pPr>
      <w:r>
        <w:rPr/>
        <w:t>3. [Cross-Border AEO Data and Recognition] Data minimization - Each Party shall implement data minimization using interoperable, secure, and purpose-limited arrangements appropriate to the sensitivity and operational importance of the information involved. The arrangement shall preserve provenance, version identity, access controls, correction capability, and auditable handling sufficient to distinguish authoritative customs data, trader-supplied data, derived analytical outputs, and unverified signals where that distinction is material. Nothing in this paragraph requires public disclosure of source code, model weights, trade secrets, personal information, security-sensitive information, or information protected by Article 19.16 or other applicable law, except through a lawful and appropriately safeguarded competent-authority process. Technical implementation may use different or successor standards where the resulting system remains interoperable and provides materially equivalent confidentiality, integrity, availability, and review protections.</w:t>
      </w:r>
    </w:p>
    <w:p>
      <w:pPr>
        <w:pStyle w:val="Normal"/>
        <w:rPr/>
      </w:pPr>
      <w:r>
        <w:rPr/>
      </w:r>
    </w:p>
    <w:p>
      <w:pPr>
        <w:pStyle w:val="Normal"/>
        <w:widowControl/>
        <w:rPr/>
      </w:pPr>
      <w:r>
        <w:rPr/>
        <w:t>4. [Cross-Border AEO Data and Recognition] Change notification - Each Party shall implement change notification using interoperable, secure, and purpose-limited arrangements appropriate to the sensitivity and operational importance of the information involved. The arrangement shall preserve provenance, version identity, access controls, correction capability, and auditable handling sufficient to distinguish authoritative customs data, trader-supplied data, derived analytical outputs, and unverified signals where that distinction is material. Nothing in this paragraph requires public disclosure of source code, model weights, trade secrets, personal information, security-sensitive information, or information protected by Article 19.16 or other applicable law, except through a lawful and appropriately safeguarded competent-authority process. Technical implementation may use different or successor standards where the resulting system remains interoperable and provides materially equivalent confidentiality, integrity, availability, and review protections.</w:t>
      </w:r>
    </w:p>
    <w:p>
      <w:pPr>
        <w:pStyle w:val="Normal"/>
        <w:rPr/>
      </w:pPr>
      <w:r>
        <w:rPr/>
      </w:r>
    </w:p>
    <w:p>
      <w:pPr>
        <w:pStyle w:val="Normal"/>
        <w:widowControl/>
        <w:rPr/>
      </w:pPr>
      <w:r>
        <w:rPr/>
        <w:t>5. [Cross-Border AEO Data and Recognition] Reasoned refusal - Each Party shall implement reasoned refusal using interoperable, secure, and purpose-limited arrangements appropriate to the sensitivity and operational importance of the information involved. The arrangement shall preserve provenance, version identity, access controls, correction capability, and auditable handling sufficient to distinguish authoritative customs data, trader-supplied data, derived analytical outputs, and unverified signals where that distinction is material. Nothing in this paragraph requires public disclosure of source code, model weights, trade secrets, personal information, security-sensitive information, or information protected by Article 19.16 or other applicable law, except through a lawful and appropriately safeguarded competent-authority process. Technical implementation may use different or successor standards where the resulting system remains interoperable and provides materially equivalent confidentiality, integrity, availability, and review protections.</w:t>
      </w:r>
    </w:p>
    <w:p>
      <w:pPr>
        <w:pStyle w:val="Normal"/>
        <w:rPr/>
      </w:pPr>
      <w:r>
        <w:rPr/>
      </w:r>
    </w:p>
    <w:p>
      <w:pPr>
        <w:pStyle w:val="Normal"/>
        <w:widowControl/>
        <w:rPr/>
      </w:pPr>
      <w:r>
        <w:rPr/>
        <w:t>6. [Cross-Border AEO Data and Recognition] Existing Article 7.E savings - Each Party shall implement existing Article 7.E savings using interoperable, secure, and purpose-limited arrangements appropriate to the sensitivity and operational importance of the information involved. The arrangement shall preserve provenance, version identity, access controls, correction capability, and auditable handling sufficient to distinguish authoritative customs data, trader-supplied data, derived analytical outputs, and unverified signals where that distinction is material. Nothing in this paragraph requires public disclosure of source code, model weights, trade secrets, personal information, security-sensitive information, or information protected by Article 19.16 or other applicable law, except through a lawful and appropriately safeguarded competent-authority process. Technical implementation may use different or successor standards where the resulting system remains interoperable and provides materially equivalent confidentiality, integrity, availability, and review protections.</w:t>
      </w:r>
    </w:p>
    <w:p>
      <w:pPr>
        <w:pStyle w:val="Normal"/>
        <w:rPr/>
      </w:pPr>
      <w:r>
        <w:rPr/>
      </w:r>
    </w:p>
    <w:p>
      <w:bookmarkStart w:id="1588" w:name="_NAESTMA_TOC_1588"/>
      <w:pPr>
        <w:pStyle w:val="Heading2"/>
        <w:keepNext/>
        <w:widowControl/>
        <w:rPr/>
      </w:pPr>
      <w:r>
        <w:rPr/>
        <w:t>Article 39.104: AI-Ready Single Window Data Architecture</w:t>
      </w:r>
      <w:bookmarkEnd w:id="1588"/>
    </w:p>
    <w:p>
      <w:pPr>
        <w:pStyle w:val="Normal"/>
        <w:widowControl/>
        <w:rPr/>
      </w:pPr>
      <w:r>
        <w:rPr/>
        <w:t>1. [AI-Ready Single Window Data Architecture] AI-readable core data set - Each Party shall implement aI-readable core data set using interoperable, secure, and purpose-limited arrangements appropriate to the sensitivity and operational importance of the information involved. The arrangement shall preserve provenance, version identity, access controls, correction capability, and auditable handling sufficient to distinguish authoritative customs data, trader-supplied data, derived analytical outputs, and unverified signals where that distinction is material. Nothing in this paragraph requires public disclosure of source code, model weights, trade secrets, personal information, security-sensitive information, or information protected by Article 19.16 or other applicable law, except through a lawful and appropriately safeguarded competent-authority process. Technical implementation may use different or successor standards where the resulting system remains interoperable and provides materially equivalent confidentiality, integrity, availability, and review protections.</w:t>
      </w:r>
    </w:p>
    <w:p>
      <w:pPr>
        <w:pStyle w:val="Normal"/>
        <w:rPr/>
      </w:pPr>
      <w:r>
        <w:rPr/>
      </w:r>
    </w:p>
    <w:p>
      <w:pPr>
        <w:pStyle w:val="Normal"/>
        <w:widowControl/>
        <w:rPr/>
      </w:pPr>
      <w:r>
        <w:rPr/>
        <w:t>2. [AI-Ready Single Window Data Architecture] Single-submission reuse - Each Party shall implement single-submission reuse using interoperable, secure, and purpose-limited arrangements appropriate to the sensitivity and operational importance of the information involved. The arrangement shall preserve provenance, version identity, access controls, correction capability, and auditable handling sufficient to distinguish authoritative customs data, trader-supplied data, derived analytical outputs, and unverified signals where that distinction is material. Nothing in this paragraph requires public disclosure of source code, model weights, trade secrets, personal information, security-sensitive information, or information protected by Article 19.16 or other applicable law, except through a lawful and appropriately safeguarded competent-authority process. Technical implementation may use different or successor standards where the resulting system remains interoperable and provides materially equivalent confidentiality, integrity, availability, and review protections.</w:t>
      </w:r>
    </w:p>
    <w:p>
      <w:pPr>
        <w:pStyle w:val="Normal"/>
        <w:rPr/>
      </w:pPr>
      <w:r>
        <w:rPr/>
      </w:r>
    </w:p>
    <w:p>
      <w:pPr>
        <w:pStyle w:val="Normal"/>
        <w:widowControl/>
        <w:rPr/>
      </w:pPr>
      <w:r>
        <w:rPr/>
        <w:t>3. [AI-Ready Single Window Data Architecture] Machine-readable credentials - Each Party shall implement machine-readable credentials using interoperable, secure, and purpose-limited arrangements appropriate to the sensitivity and operational importance of the information involved. The arrangement shall preserve provenance, version identity, access controls, correction capability, and auditable handling sufficient to distinguish authoritative customs data, trader-supplied data, derived analytical outputs, and unverified signals where that distinction is material. Nothing in this paragraph requires public disclosure of source code, model weights, trade secrets, personal information, security-sensitive information, or information protected by Article 19.16 or other applicable law, except through a lawful and appropriately safeguarded competent-authority process. Technical implementation may use different or successor standards where the resulting system remains interoperable and provides materially equivalent confidentiality, integrity, availability, and review protections.</w:t>
      </w:r>
    </w:p>
    <w:p>
      <w:pPr>
        <w:pStyle w:val="Normal"/>
        <w:rPr/>
      </w:pPr>
      <w:r>
        <w:rPr/>
      </w:r>
    </w:p>
    <w:p>
      <w:pPr>
        <w:pStyle w:val="Normal"/>
        <w:widowControl/>
        <w:rPr/>
      </w:pPr>
      <w:r>
        <w:rPr/>
        <w:t>4. [AI-Ready Single Window Data Architecture] Release-status visibility - Each Party shall ensure that release-status visibility in an AI-assisted customs process is attributable to a competent customs authority and is based on the law, tariff schedule, origin rule, valuation rule, or other legal standard applicable to the transaction. Where the AI materially contributes to an adverse customs outcome, the responsible authority shall preserve the material inputs, applicable rule or ruleset version, and sufficient decision information to permit reconstruction without requiring disclosure of protected model weights or unrelated confidential information. The trader shall receive the notice, correction opportunity, administrative review, or other procedural protection otherwise applicable to the same customs action, and AI use shall not reduce that protection or convert an advisory signal into conclusive evidence. A material error attributable to the AI process shall be corrected through the ordinary customs mechanism, with release, duty, preference, penalty, or record consequences adjusted as applicable under this Agreement and domestic law.</w:t>
      </w:r>
    </w:p>
    <w:p>
      <w:pPr>
        <w:pStyle w:val="Normal"/>
        <w:rPr/>
      </w:pPr>
      <w:r>
        <w:rPr/>
      </w:r>
    </w:p>
    <w:p>
      <w:pPr>
        <w:pStyle w:val="Normal"/>
        <w:widowControl/>
        <w:rPr/>
      </w:pPr>
      <w:r>
        <w:rPr/>
        <w:t>5. [AI-Ready Single Window Data Architecture] Duplicate-data discipline - Each Party shall implement duplicate-data discipline using interoperable, secure, and purpose-limited arrangements appropriate to the sensitivity and operational importance of the information involved. The arrangement shall preserve provenance, version identity, access controls, correction capability, and auditable handling sufficient to distinguish authoritative customs data, trader-supplied data, derived analytical outputs, and unverified signals where that distinction is material. Nothing in this paragraph requires public disclosure of source code, model weights, trade secrets, personal information, security-sensitive information, or information protected by Article 19.16 or other applicable law, except through a lawful and appropriately safeguarded competent-authority process. Technical implementation may use different or successor standards where the resulting system remains interoperable and provides materially equivalent confidentiality, integrity, availability, and review protections.</w:t>
      </w:r>
    </w:p>
    <w:p>
      <w:pPr>
        <w:pStyle w:val="Normal"/>
        <w:rPr/>
      </w:pPr>
      <w:r>
        <w:rPr/>
      </w:r>
    </w:p>
    <w:p>
      <w:pPr>
        <w:pStyle w:val="Normal"/>
        <w:widowControl/>
        <w:rPr/>
      </w:pPr>
      <w:r>
        <w:rPr/>
        <w:t>6. [AI-Ready Single Window Data Architecture] Existing Article 7.B bridge - Each Party shall implement existing Article 7.B bridge using interoperable, secure, and purpose-limited arrangements appropriate to the sensitivity and operational importance of the information involved. The arrangement shall preserve provenance, version identity, access controls, correction capability, and auditable handling sufficient to distinguish authoritative customs data, trader-supplied data, derived analytical outputs, and unverified signals where that distinction is material. Nothing in this paragraph requires public disclosure of source code, model weights, trade secrets, personal information, security-sensitive information, or information protected by Article 19.16 or other applicable law, except through a lawful and appropriately safeguarded competent-authority process. Technical implementation may use different or successor standards where the resulting system remains interoperable and provides materially equivalent confidentiality, integrity, availability, and review protections.</w:t>
      </w:r>
    </w:p>
    <w:p>
      <w:pPr>
        <w:pStyle w:val="Normal"/>
        <w:rPr/>
      </w:pPr>
      <w:r>
        <w:rPr/>
      </w:r>
    </w:p>
    <w:p>
      <w:bookmarkStart w:id="1589" w:name="_NAESTMA_TOC_1589"/>
      <w:pPr>
        <w:pStyle w:val="Heading2"/>
        <w:keepNext/>
        <w:widowControl/>
        <w:rPr/>
      </w:pPr>
      <w:r>
        <w:rPr/>
        <w:t>Article 39.105: Border-AI Common Schemas and Data Dictionaries</w:t>
      </w:r>
      <w:bookmarkEnd w:id="1589"/>
    </w:p>
    <w:p>
      <w:pPr>
        <w:pStyle w:val="Normal"/>
        <w:widowControl/>
        <w:rPr/>
      </w:pPr>
      <w:r>
        <w:rPr/>
        <w:t>1. [Border-AI Common Schemas and Data Dictionaries] Common semantic definitions - Each Party shall implement common semantic definitions using interoperable, secure, and purpose-limited arrangements appropriate to the sensitivity and operational importance of the information involved. The arrangement shall preserve provenance, version identity, access controls, correction capability, and auditable handling sufficient to distinguish authoritative customs data, trader-supplied data, derived analytical outputs, and unverified signals where that distinction is material. Nothing in this paragraph requires public disclosure of source code, model weights, trade secrets, personal information, security-sensitive information, or information protected by Article 19.16 or other applicable law, except through a lawful and appropriately safeguarded competent-authority process. Technical implementation may use different or successor standards where the resulting system remains interoperable and provides materially equivalent confidentiality, integrity, availability, and review protections.</w:t>
      </w:r>
    </w:p>
    <w:p>
      <w:pPr>
        <w:pStyle w:val="Normal"/>
        <w:rPr/>
      </w:pPr>
      <w:r>
        <w:rPr/>
      </w:r>
    </w:p>
    <w:p>
      <w:pPr>
        <w:pStyle w:val="Normal"/>
        <w:widowControl/>
        <w:rPr/>
      </w:pPr>
      <w:r>
        <w:rPr/>
        <w:t>2. [Border-AI Common Schemas and Data Dictionaries] Schema governance - Each Party shall implement schema governance using interoperable, secure, and purpose-limited arrangements appropriate to the sensitivity and operational importance of the information involved. The arrangement shall preserve provenance, version identity, access controls, correction capability, and auditable handling sufficient to distinguish authoritative customs data, trader-supplied data, derived analytical outputs, and unverified signals where that distinction is material. Nothing in this paragraph requires public disclosure of source code, model weights, trade secrets, personal information, security-sensitive information, or information protected by Article 19.16 or other applicable law, except through a lawful and appropriately safeguarded competent-authority process. Technical implementation may use different or successor standards where the resulting system remains interoperable and provides materially equivalent confidentiality, integrity, availability, and review protections.</w:t>
      </w:r>
    </w:p>
    <w:p>
      <w:pPr>
        <w:pStyle w:val="Normal"/>
        <w:rPr/>
      </w:pPr>
      <w:r>
        <w:rPr/>
      </w:r>
    </w:p>
    <w:p>
      <w:pPr>
        <w:pStyle w:val="Normal"/>
        <w:widowControl/>
        <w:rPr/>
      </w:pPr>
      <w:r>
        <w:rPr/>
        <w:t>3. [Border-AI Common Schemas and Data Dictionaries] Version identifiers - Each Party shall implement version identifiers using interoperable, secure, and purpose-limited arrangements appropriate to the sensitivity and operational importance of the information involved. The arrangement shall preserve provenance, version identity, access controls, correction capability, and auditable handling sufficient to distinguish authoritative customs data, trader-supplied data, derived analytical outputs, and unverified signals where that distinction is material. Nothing in this paragraph requires public disclosure of source code, model weights, trade secrets, personal information, security-sensitive information, or information protected by Article 19.16 or other applicable law, except through a lawful and appropriately safeguarded competent-authority process. Technical implementation may use different or successor standards where the resulting system remains interoperable and provides materially equivalent confidentiality, integrity, availability, and review protections.</w:t>
      </w:r>
    </w:p>
    <w:p>
      <w:pPr>
        <w:pStyle w:val="Normal"/>
        <w:rPr/>
      </w:pPr>
      <w:r>
        <w:rPr/>
      </w:r>
    </w:p>
    <w:p>
      <w:pPr>
        <w:pStyle w:val="Normal"/>
        <w:widowControl/>
        <w:rPr/>
      </w:pPr>
      <w:r>
        <w:rPr/>
        <w:t>4. [Border-AI Common Schemas and Data Dictionaries] Backward compatibility - Each Party shall implement backward compatibility using interoperable, secure, and purpose-limited arrangements appropriate to the sensitivity and operational importance of the information involved. The arrangement shall preserve provenance, version identity, access controls, correction capability, and auditable handling sufficient to distinguish authoritative customs data, trader-supplied data, derived analytical outputs, and unverified signals where that distinction is material. Nothing in this paragraph requires public disclosure of source code, model weights, trade secrets, personal information, security-sensitive information, or information protected by Article 19.16 or other applicable law, except through a lawful and appropriately safeguarded competent-authority process. Technical implementation may use different or successor standards where the resulting system remains interoperable and provides materially equivalent confidentiality, integrity, availability, and review protections.</w:t>
      </w:r>
    </w:p>
    <w:p>
      <w:pPr>
        <w:pStyle w:val="Normal"/>
        <w:rPr/>
      </w:pPr>
      <w:r>
        <w:rPr/>
      </w:r>
    </w:p>
    <w:p>
      <w:pPr>
        <w:pStyle w:val="Normal"/>
        <w:widowControl/>
        <w:rPr/>
      </w:pPr>
      <w:r>
        <w:rPr/>
        <w:t>5. [Border-AI Common Schemas and Data Dictionaries] Equivalent schema pathway - Each Party shall implement equivalent schema pathway using interoperable, secure, and purpose-limited arrangements appropriate to the sensitivity and operational importance of the information involved. The arrangement shall preserve provenance, version identity, access controls, correction capability, and auditable handling sufficient to distinguish authoritative customs data, trader-supplied data, derived analytical outputs, and unverified signals where that distinction is material. Nothing in this paragraph requires public disclosure of source code, model weights, trade secrets, personal information, security-sensitive information, or information protected by Article 19.16 or other applicable law, except through a lawful and appropriately safeguarded competent-authority process. Technical implementation may use different or successor standards where the resulting system remains interoperable and provides materially equivalent confidentiality, integrity, availability, and review protections.</w:t>
      </w:r>
    </w:p>
    <w:p>
      <w:pPr>
        <w:pStyle w:val="Normal"/>
        <w:rPr/>
      </w:pPr>
      <w:r>
        <w:rPr/>
      </w:r>
    </w:p>
    <w:p>
      <w:pPr>
        <w:pStyle w:val="Normal"/>
        <w:widowControl/>
        <w:rPr/>
      </w:pPr>
      <w:r>
        <w:rPr/>
        <w:t>6. [Border-AI Common Schemas and Data Dictionaries] Published implementation documentation - Each Party shall implement published implementation documentation using interoperable, secure, and purpose-limited arrangements appropriate to the sensitivity and operational importance of the information involved. The arrangement shall preserve provenance, version identity, access controls, correction capability, and auditable handling sufficient to distinguish authoritative customs data, trader-supplied data, derived analytical outputs, and unverified signals where that distinction is material. Nothing in this paragraph requires public disclosure of source code, model weights, trade secrets, personal information, security-sensitive information, or information protected by Article 19.16 or other applicable law, except through a lawful and appropriately safeguarded competent-authority process. Technical implementation may use different or successor standards where the resulting system remains interoperable and provides materially equivalent confidentiality, integrity, availability, and review protections.</w:t>
      </w:r>
    </w:p>
    <w:p>
      <w:pPr>
        <w:pStyle w:val="Normal"/>
        <w:rPr/>
      </w:pPr>
      <w:r>
        <w:rPr/>
      </w:r>
    </w:p>
    <w:p>
      <w:bookmarkStart w:id="1590" w:name="_NAESTMA_TOC_1590"/>
      <w:pPr>
        <w:pStyle w:val="Heading2"/>
        <w:keepNext/>
        <w:widowControl/>
        <w:rPr/>
      </w:pPr>
      <w:r>
        <w:rPr/>
        <w:t>Article 39.106: Border-AI Provenance and Source Integrity</w:t>
      </w:r>
      <w:bookmarkEnd w:id="1590"/>
    </w:p>
    <w:p>
      <w:pPr>
        <w:pStyle w:val="Normal"/>
        <w:widowControl/>
        <w:rPr/>
      </w:pPr>
      <w:r>
        <w:rPr/>
        <w:t>1. [Border-AI Provenance and Source Integrity] Source attribution - Each Party shall implement source attribution using interoperable, secure, and purpose-limited arrangements appropriate to the sensitivity and operational importance of the information involved. The arrangement shall preserve provenance, version identity, access controls, correction capability, and auditable handling sufficient to distinguish authoritative customs data, trader-supplied data, derived analytical outputs, and unverified signals where that distinction is material. Nothing in this paragraph requires public disclosure of source code, model weights, trade secrets, personal information, security-sensitive information, or information protected by Article 19.16 or other applicable law, except through a lawful and appropriately safeguarded competent-authority process. Technical implementation may use different or successor standards where the resulting system remains interoperable and provides materially equivalent confidentiality, integrity, availability, and review protections.</w:t>
      </w:r>
    </w:p>
    <w:p>
      <w:pPr>
        <w:pStyle w:val="Normal"/>
        <w:rPr/>
      </w:pPr>
      <w:r>
        <w:rPr/>
      </w:r>
    </w:p>
    <w:p>
      <w:pPr>
        <w:pStyle w:val="Normal"/>
        <w:widowControl/>
        <w:rPr/>
      </w:pPr>
      <w:r>
        <w:rPr/>
        <w:t>2. [Border-AI Provenance and Source Integrity] Transformation history - Each Party shall implement transformation history using interoperable, secure, and purpose-limited arrangements appropriate to the sensitivity and operational importance of the information involved. The arrangement shall preserve provenance, version identity, access controls, correction capability, and auditable handling sufficient to distinguish authoritative customs data, trader-supplied data, derived analytical outputs, and unverified signals where that distinction is material. Nothing in this paragraph requires public disclosure of source code, model weights, trade secrets, personal information, security-sensitive information, or information protected by Article 19.16 or other applicable law, except through a lawful and appropriately safeguarded competent-authority process. Technical implementation may use different or successor standards where the resulting system remains interoperable and provides materially equivalent confidentiality, integrity, availability, and review protections.</w:t>
      </w:r>
    </w:p>
    <w:p>
      <w:pPr>
        <w:pStyle w:val="Normal"/>
        <w:rPr/>
      </w:pPr>
      <w:r>
        <w:rPr/>
      </w:r>
    </w:p>
    <w:p>
      <w:pPr>
        <w:pStyle w:val="Normal"/>
        <w:widowControl/>
        <w:rPr/>
      </w:pPr>
      <w:r>
        <w:rPr/>
        <w:t>3. [Border-AI Provenance and Source Integrity] User-supplied data distinction - Each Party shall implement user-supplied data distinction using interoperable, secure, and purpose-limited arrangements appropriate to the sensitivity and operational importance of the information involved. The arrangement shall preserve provenance, version identity, access controls, correction capability, and auditable handling sufficient to distinguish authoritative customs data, trader-supplied data, derived analytical outputs, and unverified signals where that distinction is material. Nothing in this paragraph requires public disclosure of source code, model weights, trade secrets, personal information, security-sensitive information, or information protected by Article 19.16 or other applicable law, except through a lawful and appropriately safeguarded competent-authority process. Technical implementation may use different or successor standards where the resulting system remains interoperable and provides materially equivalent confidentiality, integrity, availability, and review protections.</w:t>
      </w:r>
    </w:p>
    <w:p>
      <w:pPr>
        <w:pStyle w:val="Normal"/>
        <w:rPr/>
      </w:pPr>
      <w:r>
        <w:rPr/>
      </w:r>
    </w:p>
    <w:p>
      <w:pPr>
        <w:pStyle w:val="Normal"/>
        <w:widowControl/>
        <w:rPr/>
      </w:pPr>
      <w:r>
        <w:rPr/>
        <w:t>4. [Border-AI Provenance and Source Integrity] Authoritative-source marking - Each Party shall implement authoritative-source marking using interoperable, secure, and purpose-limited arrangements appropriate to the sensitivity and operational importance of the information involved. The arrangement shall preserve provenance, version identity, access controls, correction capability, and auditable handling sufficient to distinguish authoritative customs data, trader-supplied data, derived analytical outputs, and unverified signals where that distinction is material. Nothing in this paragraph requires public disclosure of source code, model weights, trade secrets, personal information, security-sensitive information, or information protected by Article 19.16 or other applicable law, except through a lawful and appropriately safeguarded competent-authority process. Technical implementation may use different or successor standards where the resulting system remains interoperable and provides materially equivalent confidentiality, integrity, availability, and review protections.</w:t>
      </w:r>
    </w:p>
    <w:p>
      <w:pPr>
        <w:pStyle w:val="Normal"/>
        <w:rPr/>
      </w:pPr>
      <w:r>
        <w:rPr/>
      </w:r>
    </w:p>
    <w:p>
      <w:pPr>
        <w:pStyle w:val="Normal"/>
        <w:widowControl/>
        <w:rPr/>
      </w:pPr>
      <w:r>
        <w:rPr/>
        <w:t>5. [Border-AI Provenance and Source Integrity] Correction provenance - Each Party shall implement correction provenance using interoperable, secure, and purpose-limited arrangements appropriate to the sensitivity and operational importance of the information involved. The arrangement shall preserve provenance, version identity, access controls, correction capability, and auditable handling sufficient to distinguish authoritative customs data, trader-supplied data, derived analytical outputs, and unverified signals where that distinction is material. Nothing in this paragraph requires public disclosure of source code, model weights, trade secrets, personal information, security-sensitive information, or information protected by Article 19.16 or other applicable law, except through a lawful and appropriately safeguarded competent-authority process. Technical implementation may use different or successor standards where the resulting system remains interoperable and provides materially equivalent confidentiality, integrity, availability, and review protections.</w:t>
      </w:r>
    </w:p>
    <w:p>
      <w:pPr>
        <w:pStyle w:val="Normal"/>
        <w:rPr/>
      </w:pPr>
      <w:r>
        <w:rPr/>
      </w:r>
    </w:p>
    <w:p>
      <w:pPr>
        <w:pStyle w:val="Normal"/>
        <w:widowControl/>
        <w:rPr/>
      </w:pPr>
      <w:r>
        <w:rPr/>
        <w:t>6. [Border-AI Provenance and Source Integrity] Possession is not verification - Each Party shall implement possession is not verification using interoperable, secure, and purpose-limited arrangements appropriate to the sensitivity and operational importance of the information involved. The arrangement shall preserve provenance, version identity, access controls, correction capability, and auditable handling sufficient to distinguish authoritative customs data, trader-supplied data, derived analytical outputs, and unverified signals where that distinction is material. Nothing in this paragraph requires public disclosure of source code, model weights, trade secrets, personal information, security-sensitive information, or information protected by Article 19.16 or other applicable law, except through a lawful and appropriately safeguarded competent-authority process. Technical implementation may use different or successor standards where the resulting system remains interoperable and provides materially equivalent confidentiality, integrity, availability, and review protections.</w:t>
      </w:r>
    </w:p>
    <w:p>
      <w:pPr>
        <w:pStyle w:val="Normal"/>
        <w:rPr/>
      </w:pPr>
      <w:r>
        <w:rPr/>
      </w:r>
    </w:p>
    <w:p>
      <w:bookmarkStart w:id="1591" w:name="_NAESTMA_TOC_1591"/>
      <w:pPr>
        <w:pStyle w:val="Heading2"/>
        <w:keepNext/>
        <w:widowControl/>
        <w:rPr/>
      </w:pPr>
      <w:r>
        <w:rPr/>
        <w:t>Article 39.107: Border-AI Model, Ruleset and Version Traceability</w:t>
      </w:r>
      <w:bookmarkEnd w:id="1591"/>
    </w:p>
    <w:p>
      <w:pPr>
        <w:pStyle w:val="Normal"/>
        <w:widowControl/>
        <w:rPr/>
      </w:pPr>
      <w:r>
        <w:rPr/>
        <w:t>1. [Border-AI Model, Ruleset and Version Traceability] Model identifier - Each Party shall implement model identifier using interoperable, secure, and purpose-limited arrangements appropriate to the sensitivity and operational importance of the information involved. The arrangement shall preserve provenance, version identity, access controls, correction capability, and auditable handling sufficient to distinguish authoritative customs data, trader-supplied data, derived analytical outputs, and unverified signals where that distinction is material. Nothing in this paragraph requires public disclosure of source code, model weights, trade secrets, personal information, security-sensitive information, or information protected by Article 19.16 or other applicable law, except through a lawful and appropriately safeguarded competent-authority process. Technical implementation may use different or successor standards where the resulting system remains interoperable and provides materially equivalent confidentiality, integrity, availability, and review protections.</w:t>
      </w:r>
    </w:p>
    <w:p>
      <w:pPr>
        <w:pStyle w:val="Normal"/>
        <w:rPr/>
      </w:pPr>
      <w:r>
        <w:rPr/>
      </w:r>
    </w:p>
    <w:p>
      <w:pPr>
        <w:pStyle w:val="Normal"/>
        <w:widowControl/>
        <w:rPr/>
      </w:pPr>
      <w:r>
        <w:rPr/>
        <w:t>2. [Border-AI Model, Ruleset and Version Traceability] Ruleset identifier - Each Party shall implement ruleset identifier using interoperable, secure, and purpose-limited arrangements appropriate to the sensitivity and operational importance of the information involved. The arrangement shall preserve provenance, version identity, access controls, correction capability, and auditable handling sufficient to distinguish authoritative customs data, trader-supplied data, derived analytical outputs, and unverified signals where that distinction is material. Nothing in this paragraph requires public disclosure of source code, model weights, trade secrets, personal information, security-sensitive information, or information protected by Article 19.16 or other applicable law, except through a lawful and appropriately safeguarded competent-authority process. Technical implementation may use different or successor standards where the resulting system remains interoperable and provides materially equivalent confidentiality, integrity, availability, and review protections.</w:t>
      </w:r>
    </w:p>
    <w:p>
      <w:pPr>
        <w:pStyle w:val="Normal"/>
        <w:rPr/>
      </w:pPr>
      <w:r>
        <w:rPr/>
      </w:r>
    </w:p>
    <w:p>
      <w:pPr>
        <w:pStyle w:val="Normal"/>
        <w:widowControl/>
        <w:rPr/>
      </w:pPr>
      <w:r>
        <w:rPr/>
        <w:t>3. [Border-AI Model, Ruleset and Version Traceability] Deployment version - Each Party shall implement deployment version using interoperable, secure, and purpose-limited arrangements appropriate to the sensitivity and operational importance of the information involved. The arrangement shall preserve provenance, version identity, access controls, correction capability, and auditable handling sufficient to distinguish authoritative customs data, trader-supplied data, derived analytical outputs, and unverified signals where that distinction is material. Nothing in this paragraph requires public disclosure of source code, model weights, trade secrets, personal information, security-sensitive information, or information protected by Article 19.16 or other applicable law, except through a lawful and appropriately safeguarded competent-authority process. Technical implementation may use different or successor standards where the resulting system remains interoperable and provides materially equivalent confidentiality, integrity, availability, and review protections.</w:t>
      </w:r>
    </w:p>
    <w:p>
      <w:pPr>
        <w:pStyle w:val="Normal"/>
        <w:rPr/>
      </w:pPr>
      <w:r>
        <w:rPr/>
      </w:r>
    </w:p>
    <w:p>
      <w:pPr>
        <w:pStyle w:val="Normal"/>
        <w:widowControl/>
        <w:rPr/>
      </w:pPr>
      <w:r>
        <w:rPr/>
        <w:t>4. [Border-AI Model, Ruleset and Version Traceability] Material-change record - Each Party shall implement material-change record using interoperable, secure, and purpose-limited arrangements appropriate to the sensitivity and operational importance of the information involved. The arrangement shall preserve provenance, version identity, access controls, correction capability, and auditable handling sufficient to distinguish authoritative customs data, trader-supplied data, derived analytical outputs, and unverified signals where that distinction is material. Nothing in this paragraph requires public disclosure of source code, model weights, trade secrets, personal information, security-sensitive information, or information protected by Article 19.16 or other applicable law, except through a lawful and appropriately safeguarded competent-authority process. Technical implementation may use different or successor standards where the resulting system remains interoperable and provides materially equivalent confidentiality, integrity, availability, and review protections.</w:t>
      </w:r>
    </w:p>
    <w:p>
      <w:pPr>
        <w:pStyle w:val="Normal"/>
        <w:rPr/>
      </w:pPr>
      <w:r>
        <w:rPr/>
      </w:r>
    </w:p>
    <w:p>
      <w:pPr>
        <w:pStyle w:val="Normal"/>
        <w:widowControl/>
        <w:rPr/>
      </w:pPr>
      <w:r>
        <w:rPr/>
        <w:t>5. [Border-AI Model, Ruleset and Version Traceability] Decision-version reconstruction - Each Party shall implement decision-version reconstruction using interoperable, secure, and purpose-limited arrangements appropriate to the sensitivity and operational importance of the information involved. The arrangement shall preserve provenance, version identity, access controls, correction capability, and auditable handling sufficient to distinguish authoritative customs data, trader-supplied data, derived analytical outputs, and unverified signals where that distinction is material. Nothing in this paragraph requires public disclosure of source code, model weights, trade secrets, personal information, security-sensitive information, or information protected by Article 19.16 or other applicable law, except through a lawful and appropriately safeguarded competent-authority process. Technical implementation may use different or successor standards where the resulting system remains interoperable and provides materially equivalent confidentiality, integrity, availability, and review protections.</w:t>
      </w:r>
    </w:p>
    <w:p>
      <w:pPr>
        <w:pStyle w:val="Normal"/>
        <w:rPr/>
      </w:pPr>
      <w:r>
        <w:rPr/>
      </w:r>
    </w:p>
    <w:p>
      <w:pPr>
        <w:pStyle w:val="Normal"/>
        <w:widowControl/>
        <w:rPr/>
      </w:pPr>
      <w:r>
        <w:rPr/>
        <w:t>6. [Border-AI Model, Ruleset and Version Traceability] Cross-border version notice - Each Party shall implement cross-border version notice using interoperable, secure, and purpose-limited arrangements appropriate to the sensitivity and operational importance of the information involved. The arrangement shall preserve provenance, version identity, access controls, correction capability, and auditable handling sufficient to distinguish authoritative customs data, trader-supplied data, derived analytical outputs, and unverified signals where that distinction is material. Nothing in this paragraph requires public disclosure of source code, model weights, trade secrets, personal information, security-sensitive information, or information protected by Article 19.16 or other applicable law, except through a lawful and appropriately safeguarded competent-authority process. Technical implementation may use different or successor standards where the resulting system remains interoperable and provides materially equivalent confidentiality, integrity, availability, and review protections.</w:t>
      </w:r>
    </w:p>
    <w:p>
      <w:pPr>
        <w:pStyle w:val="Normal"/>
        <w:rPr/>
      </w:pPr>
      <w:r>
        <w:rPr/>
      </w:r>
    </w:p>
    <w:p>
      <w:bookmarkStart w:id="1592" w:name="_NAESTMA_TOC_1592"/>
      <w:pPr>
        <w:pStyle w:val="Heading2"/>
        <w:keepNext/>
        <w:widowControl/>
        <w:rPr/>
      </w:pPr>
      <w:r>
        <w:rPr/>
        <w:t>Article 39.108: Real-Time Border Risk-Signal Exchange</w:t>
      </w:r>
      <w:bookmarkEnd w:id="1592"/>
    </w:p>
    <w:p>
      <w:pPr>
        <w:pStyle w:val="Normal"/>
        <w:widowControl/>
        <w:rPr/>
      </w:pPr>
      <w:r>
        <w:rPr/>
        <w:t>1. [Real-Time Border Risk-Signal Exchange] Defined signal categories - Each Party shall govern defined signal categories through documented, risk-based criteria connected to legitimate customs, safety, security, revenue, or prohibited-goods objectives rather than through nationality, retaliation, or revenue-generation alone. The responsible authority shall validate the relevant AI or analytical method against operational outcomes, monitor material false-positive and false-negative patterns, and provide human authority to override or escalate a result when the evidence warrants it. Where the mechanism materially increases inspection, delay, verification, or another burden on a trader, the Party shall maintain sufficient records to permit internal review while protecting law-enforcement methods, personal data, and confidential commercial information. Persistent material error, drift, discriminatory effect, or unsupported targeting shall require correction, recalibration, suspension of the affected use, or another proportionate remedy before continued reliance.</w:t>
      </w:r>
    </w:p>
    <w:p>
      <w:pPr>
        <w:pStyle w:val="Normal"/>
        <w:rPr/>
      </w:pPr>
      <w:r>
        <w:rPr/>
      </w:r>
    </w:p>
    <w:p>
      <w:pPr>
        <w:pStyle w:val="Normal"/>
        <w:widowControl/>
        <w:rPr/>
      </w:pPr>
      <w:r>
        <w:rPr/>
        <w:t>2. [Real-Time Border Risk-Signal Exchange] Necessity threshold - Each Party shall govern necessity threshold through documented, risk-based criteria connected to legitimate customs, safety, security, revenue, or prohibited-goods objectives rather than through nationality, retaliation, or revenue-generation alone. The responsible authority shall validate the relevant AI or analytical method against operational outcomes, monitor material false-positive and false-negative patterns, and provide human authority to override or escalate a result when the evidence warrants it. Where the mechanism materially increases inspection, delay, verification, or another burden on a trader, the Party shall maintain sufficient records to permit internal review while protecting law-enforcement methods, personal data, and confidential commercial information. Persistent material error, drift, discriminatory effect, or unsupported targeting shall require correction, recalibration, suspension of the affected use, or another proportionate remedy before continued reliance.</w:t>
      </w:r>
    </w:p>
    <w:p>
      <w:pPr>
        <w:pStyle w:val="Normal"/>
        <w:rPr/>
      </w:pPr>
      <w:r>
        <w:rPr/>
      </w:r>
    </w:p>
    <w:p>
      <w:pPr>
        <w:pStyle w:val="Normal"/>
        <w:widowControl/>
        <w:rPr/>
      </w:pPr>
      <w:r>
        <w:rPr/>
        <w:t>3. [Real-Time Border Risk-Signal Exchange] Purpose limitation - Each Party shall govern purpose limitation through documented, risk-based criteria connected to legitimate customs, safety, security, revenue, or prohibited-goods objectives rather than through nationality, retaliation, or revenue-generation alone. The responsible authority shall validate the relevant AI or analytical method against operational outcomes, monitor material false-positive and false-negative patterns, and provide human authority to override or escalate a result when the evidence warrants it. Where the mechanism materially increases inspection, delay, verification, or another burden on a trader, the Party shall maintain sufficient records to permit internal review while protecting law-enforcement methods, personal data, and confidential commercial information. Persistent material error, drift, discriminatory effect, or unsupported targeting shall require correction, recalibration, suspension of the affected use, or another proportionate remedy before continued reliance.</w:t>
      </w:r>
    </w:p>
    <w:p>
      <w:pPr>
        <w:pStyle w:val="Normal"/>
        <w:rPr/>
      </w:pPr>
      <w:r>
        <w:rPr/>
      </w:r>
    </w:p>
    <w:p>
      <w:pPr>
        <w:pStyle w:val="Normal"/>
        <w:widowControl/>
        <w:rPr/>
      </w:pPr>
      <w:r>
        <w:rPr/>
        <w:t>4. [Real-Time Border Risk-Signal Exchange] Timeliness - Each Party shall govern timeliness through documented, risk-based criteria connected to legitimate customs, safety, security, revenue, or prohibited-goods objectives rather than through nationality, retaliation, or revenue-generation alone. The responsible authority shall validate the relevant AI or analytical method against operational outcomes, monitor material false-positive and false-negative patterns, and provide human authority to override or escalate a result when the evidence warrants it. Where the mechanism materially increases inspection, delay, verification, or another burden on a trader, the Party shall maintain sufficient records to permit internal review while protecting law-enforcement methods, personal data, and confidential commercial information. Persistent material error, drift, discriminatory effect, or unsupported targeting shall require correction, recalibration, suspension of the affected use, or another proportionate remedy before continued reliance.</w:t>
      </w:r>
    </w:p>
    <w:p>
      <w:pPr>
        <w:pStyle w:val="Normal"/>
        <w:rPr/>
      </w:pPr>
      <w:r>
        <w:rPr/>
      </w:r>
    </w:p>
    <w:p>
      <w:pPr>
        <w:pStyle w:val="Normal"/>
        <w:widowControl/>
        <w:rPr/>
      </w:pPr>
      <w:r>
        <w:rPr/>
        <w:t>5. [Real-Time Border Risk-Signal Exchange] Correction/retraction - Each Party shall govern correction/retraction through documented, risk-based criteria connected to legitimate customs, safety, security, revenue, or prohibited-goods objectives rather than through nationality, retaliation, or revenue-generation alone. The responsible authority shall validate the relevant AI or analytical method against operational outcomes, monitor material false-positive and false-negative patterns, and provide human authority to override or escalate a result when the evidence warrants it. Where the mechanism materially increases inspection, delay, verification, or another burden on a trader, the Party shall maintain sufficient records to permit internal review while protecting law-enforcement methods, personal data, and confidential commercial information. Persistent material error, drift, discriminatory effect, or unsupported targeting shall require correction, recalibration, suspension of the affected use, or another proportionate remedy before continued reliance.</w:t>
      </w:r>
    </w:p>
    <w:p>
      <w:pPr>
        <w:pStyle w:val="Normal"/>
        <w:rPr/>
      </w:pPr>
      <w:r>
        <w:rPr/>
      </w:r>
    </w:p>
    <w:p>
      <w:pPr>
        <w:pStyle w:val="Normal"/>
        <w:widowControl/>
        <w:rPr/>
      </w:pPr>
      <w:r>
        <w:rPr/>
        <w:t>6. [Real-Time Border Risk-Signal Exchange] No raw-score disclosure requirement - Each Party shall govern no raw-score disclosure requirement through documented, risk-based criteria connected to legitimate customs, safety, security, revenue, or prohibited-goods objectives rather than through nationality, retaliation, or revenue-generation alone. The responsible authority shall validate the relevant AI or analytical method against operational outcomes, monitor material false-positive and false-negative patterns, and provide human authority to override or escalate a result when the evidence warrants it. Where the mechanism materially increases inspection, delay, verification, or another burden on a trader, the Party shall maintain sufficient records to permit internal review while protecting law-enforcement methods, personal data, and confidential commercial information. Persistent material error, drift, discriminatory effect, or unsupported targeting shall require correction, recalibration, suspension of the affected use, or another proportionate remedy before continued reliance.</w:t>
      </w:r>
    </w:p>
    <w:p>
      <w:pPr>
        <w:pStyle w:val="Normal"/>
        <w:rPr/>
      </w:pPr>
      <w:r>
        <w:rPr/>
      </w:r>
    </w:p>
    <w:p>
      <w:bookmarkStart w:id="1593" w:name="_NAESTMA_TOC_1593"/>
      <w:pPr>
        <w:pStyle w:val="Heading2"/>
        <w:keepNext/>
        <w:widowControl/>
        <w:rPr/>
      </w:pPr>
      <w:r>
        <w:rPr/>
        <w:t>Article 39.109: Trade-AI Interfaces, Portability and Anti-Lock-In</w:t>
      </w:r>
      <w:bookmarkEnd w:id="1593"/>
    </w:p>
    <w:p>
      <w:pPr>
        <w:pStyle w:val="Normal"/>
        <w:widowControl/>
        <w:rPr/>
      </w:pPr>
      <w:r>
        <w:rPr/>
        <w:t>1. [Trade-AI Interfaces, Portability and Anti-Lock-In] Interoperable interfaces - Each Party shall implement interoperable interfaces using interoperable, secure, and purpose-limited arrangements appropriate to the sensitivity and operational importance of the information involved. The arrangement shall preserve provenance, version identity, access controls, correction capability, and auditable handling sufficient to distinguish authoritative customs data, trader-supplied data, derived analytical outputs, and unverified signals where that distinction is material. Nothing in this paragraph requires public disclosure of source code, model weights, trade secrets, personal information, security-sensitive information, or information protected by Article 19.16 or other applicable law, except through a lawful and appropriately safeguarded competent-authority process. Technical implementation may use different or successor standards where the resulting system remains interoperable and provides materially equivalent confidentiality, integrity, availability, and review protections.</w:t>
      </w:r>
    </w:p>
    <w:p>
      <w:pPr>
        <w:pStyle w:val="Normal"/>
        <w:rPr/>
      </w:pPr>
      <w:r>
        <w:rPr/>
      </w:r>
    </w:p>
    <w:p>
      <w:pPr>
        <w:pStyle w:val="Normal"/>
        <w:widowControl/>
        <w:rPr/>
      </w:pPr>
      <w:r>
        <w:rPr/>
        <w:t>2. [Trade-AI Interfaces, Portability and Anti-Lock-In] Data exportability - Each Party shall implement data exportability using interoperable, secure, and purpose-limited arrangements appropriate to the sensitivity and operational importance of the information involved. The arrangement shall preserve provenance, version identity, access controls, correction capability, and auditable handling sufficient to distinguish authoritative customs data, trader-supplied data, derived analytical outputs, and unverified signals where that distinction is material. Nothing in this paragraph requires public disclosure of source code, model weights, trade secrets, personal information, security-sensitive information, or information protected by Article 19.16 or other applicable law, except through a lawful and appropriately safeguarded competent-authority process. Technical implementation may use different or successor standards where the resulting system remains interoperable and provides materially equivalent confidentiality, integrity, availability, and review protections.</w:t>
      </w:r>
    </w:p>
    <w:p>
      <w:pPr>
        <w:pStyle w:val="Normal"/>
        <w:rPr/>
      </w:pPr>
      <w:r>
        <w:rPr/>
      </w:r>
    </w:p>
    <w:p>
      <w:pPr>
        <w:pStyle w:val="Normal"/>
        <w:widowControl/>
        <w:rPr/>
      </w:pPr>
      <w:r>
        <w:rPr/>
        <w:t>3. [Trade-AI Interfaces, Portability and Anti-Lock-In] Vendor transition - Each Party shall implement vendor transition using interoperable, secure, and purpose-limited arrangements appropriate to the sensitivity and operational importance of the information involved. The arrangement shall preserve provenance, version identity, access controls, correction capability, and auditable handling sufficient to distinguish authoritative customs data, trader-supplied data, derived analytical outputs, and unverified signals where that distinction is material. Nothing in this paragraph requires public disclosure of source code, model weights, trade secrets, personal information, security-sensitive information, or information protected by Article 19.16 or other applicable law, except through a lawful and appropriately safeguarded competent-authority process. Technical implementation may use different or successor standards where the resulting system remains interoperable and provides materially equivalent confidentiality, integrity, availability, and review protections.</w:t>
      </w:r>
    </w:p>
    <w:p>
      <w:pPr>
        <w:pStyle w:val="Normal"/>
        <w:rPr/>
      </w:pPr>
      <w:r>
        <w:rPr/>
      </w:r>
    </w:p>
    <w:p>
      <w:pPr>
        <w:pStyle w:val="Normal"/>
        <w:widowControl/>
        <w:rPr/>
      </w:pPr>
      <w:r>
        <w:rPr/>
        <w:t>4. [Trade-AI Interfaces, Portability and Anti-Lock-In] Equivalent/successor standards - Each Party shall implement equivalent/successor standards using interoperable, secure, and purpose-limited arrangements appropriate to the sensitivity and operational importance of the information involved. The arrangement shall preserve provenance, version identity, access controls, correction capability, and auditable handling sufficient to distinguish authoritative customs data, trader-supplied data, derived analytical outputs, and unverified signals where that distinction is material. Nothing in this paragraph requires public disclosure of source code, model weights, trade secrets, personal information, security-sensitive information, or information protected by Article 19.16 or other applicable law, except through a lawful and appropriately safeguarded competent-authority process. Technical implementation may use different or successor standards where the resulting system remains interoperable and provides materially equivalent confidentiality, integrity, availability, and review protections.</w:t>
      </w:r>
    </w:p>
    <w:p>
      <w:pPr>
        <w:pStyle w:val="Normal"/>
        <w:rPr/>
      </w:pPr>
      <w:r>
        <w:rPr/>
      </w:r>
    </w:p>
    <w:p>
      <w:pPr>
        <w:pStyle w:val="Normal"/>
        <w:widowControl/>
        <w:rPr/>
      </w:pPr>
      <w:r>
        <w:rPr/>
        <w:t>5. [Trade-AI Interfaces, Portability and Anti-Lock-In] No discriminatory interface throttling - Each Party shall implement no discriminatory interface throttling using interoperable, secure, and purpose-limited arrangements appropriate to the sensitivity and operational importance of the information involved. The arrangement shall preserve provenance, version identity, access controls, correction capability, and auditable handling sufficient to distinguish authoritative customs data, trader-supplied data, derived analytical outputs, and unverified signals where that distinction is material. Nothing in this paragraph requires public disclosure of source code, model weights, trade secrets, personal information, security-sensitive information, or information protected by Article 19.16 or other applicable law, except through a lawful and appropriately safeguarded competent-authority process. Technical implementation may use different or successor standards where the resulting system remains interoperable and provides materially equivalent confidentiality, integrity, availability, and review protections.</w:t>
      </w:r>
    </w:p>
    <w:p>
      <w:pPr>
        <w:pStyle w:val="Normal"/>
        <w:rPr/>
      </w:pPr>
      <w:r>
        <w:rPr/>
      </w:r>
    </w:p>
    <w:p>
      <w:pPr>
        <w:pStyle w:val="Normal"/>
        <w:widowControl/>
        <w:rPr/>
      </w:pPr>
      <w:r>
        <w:rPr/>
        <w:t>6. [Trade-AI Interfaces, Portability and Anti-Lock-In] Manual override interoperability - Each Party shall implement manual override interoperability using interoperable, secure, and purpose-limited arrangements appropriate to the sensitivity and operational importance of the information involved. The arrangement shall preserve provenance, version identity, access controls, correction capability, and auditable handling sufficient to distinguish authoritative customs data, trader-supplied data, derived analytical outputs, and unverified signals where that distinction is material. Nothing in this paragraph requires public disclosure of source code, model weights, trade secrets, personal information, security-sensitive information, or information protected by Article 19.16 or other applicable law, except through a lawful and appropriately safeguarded competent-authority process. Technical implementation may use different or successor standards where the resulting system remains interoperable and provides materially equivalent confidentiality, integrity, availability, and review protections.</w:t>
      </w:r>
    </w:p>
    <w:p>
      <w:pPr>
        <w:pStyle w:val="Normal"/>
        <w:rPr/>
      </w:pPr>
      <w:r>
        <w:rPr/>
      </w:r>
    </w:p>
    <w:p>
      <w:bookmarkStart w:id="1594" w:name="_NAESTMA_TOC_1594"/>
      <w:pPr>
        <w:pStyle w:val="Heading2"/>
        <w:keepNext/>
        <w:widowControl/>
        <w:rPr/>
      </w:pPr>
      <w:r>
        <w:rPr/>
        <w:t>Article 39.110: Border-AI Data Minimization and Purpose Limitation</w:t>
      </w:r>
      <w:bookmarkEnd w:id="1594"/>
    </w:p>
    <w:p>
      <w:pPr>
        <w:pStyle w:val="Normal"/>
        <w:widowControl/>
        <w:rPr/>
      </w:pPr>
      <w:r>
        <w:rPr/>
        <w:t>1. [Border-AI Data Minimization and Purpose Limitation] Necessary-data rule - Each Party shall implement necessary-data rule using interoperable, secure, and purpose-limited arrangements appropriate to the sensitivity and operational importance of the information involved. The arrangement shall preserve provenance, version identity, access controls, correction capability, and auditable handling sufficient to distinguish authoritative customs data, trader-supplied data, derived analytical outputs, and unverified signals where that distinction is material. Nothing in this paragraph requires public disclosure of source code, model weights, trade secrets, personal information, security-sensitive information, or information protected by Article 19.16 or other applicable law, except through a lawful and appropriately safeguarded competent-authority process. Technical implementation may use different or successor standards where the resulting system remains interoperable and provides materially equivalent confidentiality, integrity, availability, and review protections.</w:t>
      </w:r>
    </w:p>
    <w:p>
      <w:pPr>
        <w:pStyle w:val="Normal"/>
        <w:rPr/>
      </w:pPr>
      <w:r>
        <w:rPr/>
      </w:r>
    </w:p>
    <w:p>
      <w:pPr>
        <w:pStyle w:val="Normal"/>
        <w:widowControl/>
        <w:rPr/>
      </w:pPr>
      <w:r>
        <w:rPr/>
        <w:t>2. [Border-AI Data Minimization and Purpose Limitation] Purpose specification - Each Party shall implement purpose specification using interoperable, secure, and purpose-limited arrangements appropriate to the sensitivity and operational importance of the information involved. The arrangement shall preserve provenance, version identity, access controls, correction capability, and auditable handling sufficient to distinguish authoritative customs data, trader-supplied data, derived analytical outputs, and unverified signals where that distinction is material. Nothing in this paragraph requires public disclosure of source code, model weights, trade secrets, personal information, security-sensitive information, or information protected by Article 19.16 or other applicable law, except through a lawful and appropriately safeguarded competent-authority process. Technical implementation may use different or successor standards where the resulting system remains interoperable and provides materially equivalent confidentiality, integrity, availability, and review protections.</w:t>
      </w:r>
    </w:p>
    <w:p>
      <w:pPr>
        <w:pStyle w:val="Normal"/>
        <w:rPr/>
      </w:pPr>
      <w:r>
        <w:rPr/>
      </w:r>
    </w:p>
    <w:p>
      <w:pPr>
        <w:pStyle w:val="Normal"/>
        <w:widowControl/>
        <w:rPr/>
      </w:pPr>
      <w:r>
        <w:rPr/>
        <w:t>3. [Border-AI Data Minimization and Purpose Limitation] Secondary-use controls - Each Party shall implement secondary-use controls using interoperable, secure, and purpose-limited arrangements appropriate to the sensitivity and operational importance of the information involved. The arrangement shall preserve provenance, version identity, access controls, correction capability, and auditable handling sufficient to distinguish authoritative customs data, trader-supplied data, derived analytical outputs, and unverified signals where that distinction is material. Nothing in this paragraph requires public disclosure of source code, model weights, trade secrets, personal information, security-sensitive information, or information protected by Article 19.16 or other applicable law, except through a lawful and appropriately safeguarded competent-authority process. Technical implementation may use different or successor standards where the resulting system remains interoperable and provides materially equivalent confidentiality, integrity, availability, and review protections.</w:t>
      </w:r>
    </w:p>
    <w:p>
      <w:pPr>
        <w:pStyle w:val="Normal"/>
        <w:rPr/>
      </w:pPr>
      <w:r>
        <w:rPr/>
      </w:r>
    </w:p>
    <w:p>
      <w:pPr>
        <w:pStyle w:val="Normal"/>
        <w:widowControl/>
        <w:rPr/>
      </w:pPr>
      <w:r>
        <w:rPr/>
        <w:t>4. [Border-AI Data Minimization and Purpose Limitation] Retention proportionality - Each Party shall implement retention proportionality using interoperable, secure, and purpose-limited arrangements appropriate to the sensitivity and operational importance of the information involved. The arrangement shall preserve provenance, version identity, access controls, correction capability, and auditable handling sufficient to distinguish authoritative customs data, trader-supplied data, derived analytical outputs, and unverified signals where that distinction is material. Nothing in this paragraph requires public disclosure of source code, model weights, trade secrets, personal information, security-sensitive information, or information protected by Article 19.16 or other applicable law, except through a lawful and appropriately safeguarded competent-authority process. Technical implementation may use different or successor standards where the resulting system remains interoperable and provides materially equivalent confidentiality, integrity, availability, and review protections.</w:t>
      </w:r>
    </w:p>
    <w:p>
      <w:pPr>
        <w:pStyle w:val="Normal"/>
        <w:rPr/>
      </w:pPr>
      <w:r>
        <w:rPr/>
      </w:r>
    </w:p>
    <w:p>
      <w:pPr>
        <w:pStyle w:val="Normal"/>
        <w:widowControl/>
        <w:rPr/>
      </w:pPr>
      <w:r>
        <w:rPr/>
        <w:t>5. [Border-AI Data Minimization and Purpose Limitation] Access logging - Each Party shall implement access logging using interoperable, secure, and purpose-limited arrangements appropriate to the sensitivity and operational importance of the information involved. The arrangement shall preserve provenance, version identity, access controls, correction capability, and auditable handling sufficient to distinguish authoritative customs data, trader-supplied data, derived analytical outputs, and unverified signals where that distinction is material. Nothing in this paragraph requires public disclosure of source code, model weights, trade secrets, personal information, security-sensitive information, or information protected by Article 19.16 or other applicable law, except through a lawful and appropriately safeguarded competent-authority process. Technical implementation may use different or successor standards where the resulting system remains interoperable and provides materially equivalent confidentiality, integrity, availability, and review protections.</w:t>
      </w:r>
    </w:p>
    <w:p>
      <w:pPr>
        <w:pStyle w:val="Normal"/>
        <w:rPr/>
      </w:pPr>
      <w:r>
        <w:rPr/>
      </w:r>
    </w:p>
    <w:p>
      <w:pPr>
        <w:pStyle w:val="Normal"/>
        <w:widowControl/>
        <w:rPr/>
      </w:pPr>
      <w:r>
        <w:rPr/>
        <w:t>6. [Border-AI Data Minimization and Purpose Limitation] Lawful-exception savings - Each Party shall implement lawful-exception savings using interoperable, secure, and purpose-limited arrangements appropriate to the sensitivity and operational importance of the information involved. The arrangement shall preserve provenance, version identity, access controls, correction capability, and auditable handling sufficient to distinguish authoritative customs data, trader-supplied data, derived analytical outputs, and unverified signals where that distinction is material. Nothing in this paragraph requires public disclosure of source code, model weights, trade secrets, personal information, security-sensitive information, or information protected by Article 19.16 or other applicable law, except through a lawful and appropriately safeguarded competent-authority process. Technical implementation may use different or successor standards where the resulting system remains interoperable and provides materially equivalent confidentiality, integrity, availability, and review protections.</w:t>
      </w:r>
    </w:p>
    <w:p>
      <w:pPr>
        <w:pStyle w:val="Normal"/>
        <w:rPr/>
      </w:pPr>
      <w:r>
        <w:rPr/>
      </w:r>
    </w:p>
    <w:p>
      <w:bookmarkStart w:id="1595" w:name="_NAESTMA_TOC_1595"/>
      <w:pPr>
        <w:pStyle w:val="Heading2"/>
        <w:keepNext/>
        <w:widowControl/>
        <w:rPr/>
      </w:pPr>
      <w:r>
        <w:rPr/>
        <w:t>Article 39.111: Trade-AI Cloud, Compute and Data Portability</w:t>
      </w:r>
      <w:bookmarkEnd w:id="1595"/>
    </w:p>
    <w:p>
      <w:pPr>
        <w:pStyle w:val="Normal"/>
        <w:widowControl/>
        <w:rPr/>
      </w:pPr>
      <w:r>
        <w:rPr/>
        <w:t>1. [Trade-AI Cloud, Compute and Data Portability] Cloud portability - Each Party shall implement cloud portability using interoperable, secure, and purpose-limited arrangements appropriate to the sensitivity and operational importance of the information involved. The arrangement shall preserve provenance, version identity, access controls, correction capability, and auditable handling sufficient to distinguish authoritative customs data, trader-supplied data, derived analytical outputs, and unverified signals where that distinction is material. Nothing in this paragraph requires public disclosure of source code, model weights, trade secrets, personal information, security-sensitive information, or information protected by Article 19.16 or other applicable law, except through a lawful and appropriately safeguarded competent-authority process. Technical implementation may use different or successor standards where the resulting system remains interoperable and provides materially equivalent confidentiality, integrity, availability, and review protections.</w:t>
      </w:r>
    </w:p>
    <w:p>
      <w:pPr>
        <w:pStyle w:val="Normal"/>
        <w:rPr/>
      </w:pPr>
      <w:r>
        <w:rPr/>
      </w:r>
    </w:p>
    <w:p>
      <w:pPr>
        <w:pStyle w:val="Normal"/>
        <w:widowControl/>
        <w:rPr/>
      </w:pPr>
      <w:r>
        <w:rPr/>
        <w:t>2. [Trade-AI Cloud, Compute and Data Portability] Exit capability - Each Party shall implement exit capability using interoperable, secure, and purpose-limited arrangements appropriate to the sensitivity and operational importance of the information involved. The arrangement shall preserve provenance, version identity, access controls, correction capability, and auditable handling sufficient to distinguish authoritative customs data, trader-supplied data, derived analytical outputs, and unverified signals where that distinction is material. Nothing in this paragraph requires public disclosure of source code, model weights, trade secrets, personal information, security-sensitive information, or information protected by Article 19.16 or other applicable law, except through a lawful and appropriately safeguarded competent-authority process. Technical implementation may use different or successor standards where the resulting system remains interoperable and provides materially equivalent confidentiality, integrity, availability, and review protections.</w:t>
      </w:r>
    </w:p>
    <w:p>
      <w:pPr>
        <w:pStyle w:val="Normal"/>
        <w:rPr/>
      </w:pPr>
      <w:r>
        <w:rPr/>
      </w:r>
    </w:p>
    <w:p>
      <w:pPr>
        <w:pStyle w:val="Normal"/>
        <w:widowControl/>
        <w:rPr/>
      </w:pPr>
      <w:r>
        <w:rPr/>
        <w:t>3. [Trade-AI Cloud, Compute and Data Portability] Continuity planning - Each Party shall implement continuity planning using interoperable, secure, and purpose-limited arrangements appropriate to the sensitivity and operational importance of the information involved. The arrangement shall preserve provenance, version identity, access controls, correction capability, and auditable handling sufficient to distinguish authoritative customs data, trader-supplied data, derived analytical outputs, and unverified signals where that distinction is material. Nothing in this paragraph requires public disclosure of source code, model weights, trade secrets, personal information, security-sensitive information, or information protected by Article 19.16 or other applicable law, except through a lawful and appropriately safeguarded competent-authority process. Technical implementation may use different or successor standards where the resulting system remains interoperable and provides materially equivalent confidentiality, integrity, availability, and review protections.</w:t>
      </w:r>
    </w:p>
    <w:p>
      <w:pPr>
        <w:pStyle w:val="Normal"/>
        <w:rPr/>
      </w:pPr>
      <w:r>
        <w:rPr/>
      </w:r>
    </w:p>
    <w:p>
      <w:pPr>
        <w:pStyle w:val="Normal"/>
        <w:widowControl/>
        <w:rPr/>
      </w:pPr>
      <w:r>
        <w:rPr/>
        <w:t>4. [Trade-AI Cloud, Compute and Data Portability] Sensitive-data savings - Each Party shall implement sensitive-data savings using interoperable, secure, and purpose-limited arrangements appropriate to the sensitivity and operational importance of the information involved. The arrangement shall preserve provenance, version identity, access controls, correction capability, and auditable handling sufficient to distinguish authoritative customs data, trader-supplied data, derived analytical outputs, and unverified signals where that distinction is material. Nothing in this paragraph requires public disclosure of source code, model weights, trade secrets, personal information, security-sensitive information, or information protected by Article 19.16 or other applicable law, except through a lawful and appropriately safeguarded competent-authority process. Technical implementation may use different or successor standards where the resulting system remains interoperable and provides materially equivalent confidentiality, integrity, availability, and review protections.</w:t>
      </w:r>
    </w:p>
    <w:p>
      <w:pPr>
        <w:pStyle w:val="Normal"/>
        <w:rPr/>
      </w:pPr>
      <w:r>
        <w:rPr/>
      </w:r>
    </w:p>
    <w:p>
      <w:pPr>
        <w:pStyle w:val="Normal"/>
        <w:widowControl/>
        <w:rPr/>
      </w:pPr>
      <w:r>
        <w:rPr/>
        <w:t>5. [Trade-AI Cloud, Compute and Data Portability] No blanket localization mandate - Each Party shall implement no blanket localization mandate using interoperable, secure, and purpose-limited arrangements appropriate to the sensitivity and operational importance of the information involved. The arrangement shall preserve provenance, version identity, access controls, correction capability, and auditable handling sufficient to distinguish authoritative customs data, trader-supplied data, derived analytical outputs, and unverified signals where that distinction is material. Nothing in this paragraph requires public disclosure of source code, model weights, trade secrets, personal information, security-sensitive information, or information protected by Article 19.16 or other applicable law, except through a lawful and appropriately safeguarded competent-authority process. Technical implementation may use different or successor standards where the resulting system remains interoperable and provides materially equivalent confidentiality, integrity, availability, and review protections.</w:t>
      </w:r>
    </w:p>
    <w:p>
      <w:pPr>
        <w:pStyle w:val="Normal"/>
        <w:rPr/>
      </w:pPr>
      <w:r>
        <w:rPr/>
      </w:r>
    </w:p>
    <w:p>
      <w:pPr>
        <w:pStyle w:val="Normal"/>
        <w:widowControl/>
        <w:rPr/>
      </w:pPr>
      <w:r>
        <w:rPr/>
        <w:t>6. [Trade-AI Cloud, Compute and Data Portability] Optional resilience cooperation - Each Party shall implement optional resilience cooperation using interoperable, secure, and purpose-limited arrangements appropriate to the sensitivity and operational importance of the information involved. The arrangement shall preserve provenance, version identity, access controls, correction capability, and auditable handling sufficient to distinguish authoritative customs data, trader-supplied data, derived analytical outputs, and unverified signals where that distinction is material. Nothing in this paragraph requires public disclosure of source code, model weights, trade secrets, personal information, security-sensitive information, or information protected by Article 19.16 or other applicable law, except through a lawful and appropriately safeguarded competent-authority process. Technical implementation may use different or successor standards where the resulting system remains interoperable and provides materially equivalent confidentiality, integrity, availability, and review protections.</w:t>
      </w:r>
    </w:p>
    <w:p>
      <w:pPr>
        <w:pStyle w:val="Normal"/>
        <w:rPr/>
      </w:pPr>
      <w:r>
        <w:rPr/>
      </w:r>
    </w:p>
    <w:p>
      <w:bookmarkStart w:id="1596" w:name="_NAESTMA_TOC_1596"/>
      <w:pPr>
        <w:pStyle w:val="Heading2"/>
        <w:keepNext/>
        <w:widowControl/>
        <w:rPr/>
      </w:pPr>
      <w:r>
        <w:rPr/>
        <w:t>Article 39.112: AI Trade Secrets and Model-Weight Protection</w:t>
      </w:r>
      <w:bookmarkEnd w:id="1596"/>
    </w:p>
    <w:p>
      <w:pPr>
        <w:pStyle w:val="Normal"/>
        <w:widowControl/>
        <w:rPr/>
      </w:pPr>
      <w:r>
        <w:rPr/>
        <w:t>1. [AI Trade Secrets and Model-Weight Protection] Model-weight confidentiality - Each Party shall implement model-weight confidentiality using interoperable, secure, and purpose-limited arrangements appropriate to the sensitivity and operational importance of the information involved. The arrangement shall preserve provenance, version identity, access controls, correction capability, and auditable handling sufficient to distinguish authoritative customs data, trader-supplied data, derived analytical outputs, and unverified signals where that distinction is material. Nothing in this paragraph requires public disclosure of source code, model weights, trade secrets, personal information, security-sensitive information, or information protected by Article 19.16 or other applicable law, except through a lawful and appropriately safeguarded competent-authority process. Technical implementation may use different or successor standards where the resulting system remains interoperable and provides materially equivalent confidentiality, integrity, availability, and review protections.</w:t>
      </w:r>
    </w:p>
    <w:p>
      <w:pPr>
        <w:pStyle w:val="Normal"/>
        <w:rPr/>
      </w:pPr>
      <w:r>
        <w:rPr/>
      </w:r>
    </w:p>
    <w:p>
      <w:pPr>
        <w:pStyle w:val="Normal"/>
        <w:widowControl/>
        <w:rPr/>
      </w:pPr>
      <w:r>
        <w:rPr/>
        <w:t>2. [AI Trade Secrets and Model-Weight Protection] Architecture protection - Each Party shall implement architecture protection using interoperable, secure, and purpose-limited arrangements appropriate to the sensitivity and operational importance of the information involved. The arrangement shall preserve provenance, version identity, access controls, correction capability, and auditable handling sufficient to distinguish authoritative customs data, trader-supplied data, derived analytical outputs, and unverified signals where that distinction is material. Nothing in this paragraph requires public disclosure of source code, model weights, trade secrets, personal information, security-sensitive information, or information protected by Article 19.16 or other applicable law, except through a lawful and appropriately safeguarded competent-authority process. Technical implementation may use different or successor standards where the resulting system remains interoperable and provides materially equivalent confidentiality, integrity, availability, and review protections.</w:t>
      </w:r>
    </w:p>
    <w:p>
      <w:pPr>
        <w:pStyle w:val="Normal"/>
        <w:rPr/>
      </w:pPr>
      <w:r>
        <w:rPr/>
      </w:r>
    </w:p>
    <w:p>
      <w:pPr>
        <w:pStyle w:val="Normal"/>
        <w:widowControl/>
        <w:rPr/>
      </w:pPr>
      <w:r>
        <w:rPr/>
        <w:t>3. [AI Trade Secrets and Model-Weight Protection] Technical-documentation protection - Each Party shall implement technical-documentation protection using interoperable, secure, and purpose-limited arrangements appropriate to the sensitivity and operational importance of the information involved. The arrangement shall preserve provenance, version identity, access controls, correction capability, and auditable handling sufficient to distinguish authoritative customs data, trader-supplied data, derived analytical outputs, and unverified signals where that distinction is material. Nothing in this paragraph requires public disclosure of source code, model weights, trade secrets, personal information, security-sensitive information, or information protected by Article 19.16 or other applicable law, except through a lawful and appropriately safeguarded competent-authority process. Technical implementation may use different or successor standards where the resulting system remains interoperable and provides materially equivalent confidentiality, integrity, availability, and review protections.</w:t>
      </w:r>
    </w:p>
    <w:p>
      <w:pPr>
        <w:pStyle w:val="Normal"/>
        <w:rPr/>
      </w:pPr>
      <w:r>
        <w:rPr/>
      </w:r>
    </w:p>
    <w:p>
      <w:pPr>
        <w:pStyle w:val="Normal"/>
        <w:widowControl/>
        <w:rPr/>
      </w:pPr>
      <w:r>
        <w:rPr/>
        <w:t>4. [AI Trade Secrets and Model-Weight Protection] No forced transfer for market access - Each Party shall implement no forced transfer for market access using interoperable, secure, and purpose-limited arrangements appropriate to the sensitivity and operational importance of the information involved. The arrangement shall preserve provenance, version identity, access controls, correction capability, and auditable handling sufficient to distinguish authoritative customs data, trader-supplied data, derived analytical outputs, and unverified signals where that distinction is material. Nothing in this paragraph requires public disclosure of source code, model weights, trade secrets, personal information, security-sensitive information, or information protected by Article 19.16 or other applicable law, except through a lawful and appropriately safeguarded competent-authority process. Technical implementation may use different or successor standards where the resulting system remains interoperable and provides materially equivalent confidentiality, integrity, availability, and review protections.</w:t>
      </w:r>
    </w:p>
    <w:p>
      <w:pPr>
        <w:pStyle w:val="Normal"/>
        <w:rPr/>
      </w:pPr>
      <w:r>
        <w:rPr/>
      </w:r>
    </w:p>
    <w:p>
      <w:pPr>
        <w:pStyle w:val="Normal"/>
        <w:widowControl/>
        <w:rPr/>
      </w:pPr>
      <w:r>
        <w:rPr/>
        <w:t>5. [AI Trade Secrets and Model-Weight Protection] No forced reverse engineering - Each Party shall implement no forced reverse engineering using interoperable, secure, and purpose-limited arrangements appropriate to the sensitivity and operational importance of the information involved. The arrangement shall preserve provenance, version identity, access controls, correction capability, and auditable handling sufficient to distinguish authoritative customs data, trader-supplied data, derived analytical outputs, and unverified signals where that distinction is material. Nothing in this paragraph requires public disclosure of source code, model weights, trade secrets, personal information, security-sensitive information, or information protected by Article 19.16 or other applicable law, except through a lawful and appropriately safeguarded competent-authority process. Technical implementation may use different or successor standards where the resulting system remains interoperable and provides materially equivalent confidentiality, integrity, availability, and review protections.</w:t>
      </w:r>
    </w:p>
    <w:p>
      <w:pPr>
        <w:pStyle w:val="Normal"/>
        <w:rPr/>
      </w:pPr>
      <w:r>
        <w:rPr/>
      </w:r>
    </w:p>
    <w:p>
      <w:pPr>
        <w:pStyle w:val="Normal"/>
        <w:widowControl/>
        <w:rPr/>
      </w:pPr>
      <w:r>
        <w:rPr/>
        <w:t>6. [AI Trade Secrets and Model-Weight Protection] IP-law savings - Each Party shall implement iP-law savings using interoperable, secure, and purpose-limited arrangements appropriate to the sensitivity and operational importance of the information involved. The arrangement shall preserve provenance, version identity, access controls, correction capability, and auditable handling sufficient to distinguish authoritative customs data, trader-supplied data, derived analytical outputs, and unverified signals where that distinction is material. Nothing in this paragraph requires public disclosure of source code, model weights, trade secrets, personal information, security-sensitive information, or information protected by Article 19.16 or other applicable law, except through a lawful and appropriately safeguarded competent-authority process. Technical implementation may use different or successor standards where the resulting system remains interoperable and provides materially equivalent confidentiality, integrity, availability, and review protections.</w:t>
      </w:r>
    </w:p>
    <w:p>
      <w:pPr>
        <w:pStyle w:val="Normal"/>
        <w:rPr/>
      </w:pPr>
      <w:r>
        <w:rPr/>
      </w:r>
    </w:p>
    <w:p>
      <w:bookmarkStart w:id="1597" w:name="_NAESTMA_TOC_1597"/>
      <w:pPr>
        <w:pStyle w:val="Heading2"/>
        <w:keepNext/>
        <w:widowControl/>
        <w:rPr/>
      </w:pPr>
      <w:r>
        <w:rPr/>
        <w:t>Article 39.113: Controlled Regulatory Access to Protected AI Information</w:t>
      </w:r>
      <w:bookmarkEnd w:id="1597"/>
    </w:p>
    <w:p>
      <w:pPr>
        <w:pStyle w:val="Normal"/>
        <w:widowControl/>
        <w:rPr/>
      </w:pPr>
      <w:r>
        <w:rPr/>
        <w:t>1. [Controlled Regulatory Access to Protected AI Information] Necessity and particularity - Each Party shall implement necessity and particularity using interoperable, secure, and purpose-limited arrangements appropriate to the sensitivity and operational importance of the information involved. The arrangement shall preserve provenance, version identity, access controls, correction capability, and auditable handling sufficient to distinguish authoritative customs data, trader-supplied data, derived analytical outputs, and unverified signals where that distinction is material. Nothing in this paragraph requires public disclosure of source code, model weights, trade secrets, personal information, security-sensitive information, or information protected by Article 19.16 or other applicable law, except through a lawful and appropriately safeguarded competent-authority process. Technical implementation may use different or successor standards where the resulting system remains interoperable and provides materially equivalent confidentiality, integrity, availability, and review protections.</w:t>
      </w:r>
    </w:p>
    <w:p>
      <w:pPr>
        <w:pStyle w:val="Normal"/>
        <w:rPr/>
      </w:pPr>
      <w:r>
        <w:rPr/>
      </w:r>
    </w:p>
    <w:p>
      <w:pPr>
        <w:pStyle w:val="Normal"/>
        <w:widowControl/>
        <w:rPr/>
      </w:pPr>
      <w:r>
        <w:rPr/>
        <w:t>2. [Controlled Regulatory Access to Protected AI Information] Competent regulator access - Each Party shall implement competent regulator access using interoperable, secure, and purpose-limited arrangements appropriate to the sensitivity and operational importance of the information involved. The arrangement shall preserve provenance, version identity, access controls, correction capability, and auditable handling sufficient to distinguish authoritative customs data, trader-supplied data, derived analytical outputs, and unverified signals where that distinction is material. Nothing in this paragraph requires public disclosure of source code, model weights, trade secrets, personal information, security-sensitive information, or information protected by Article 19.16 or other applicable law, except through a lawful and appropriately safeguarded competent-authority process. Technical implementation may use different or successor standards where the resulting system remains interoperable and provides materially equivalent confidentiality, integrity, availability, and review protections.</w:t>
      </w:r>
    </w:p>
    <w:p>
      <w:pPr>
        <w:pStyle w:val="Normal"/>
        <w:rPr/>
      </w:pPr>
      <w:r>
        <w:rPr/>
      </w:r>
    </w:p>
    <w:p>
      <w:pPr>
        <w:pStyle w:val="Normal"/>
        <w:widowControl/>
        <w:rPr/>
      </w:pPr>
      <w:r>
        <w:rPr/>
        <w:t>3. [Controlled Regulatory Access to Protected AI Information] Least-intrusive information - Each Party shall implement least-intrusive information using interoperable, secure, and purpose-limited arrangements appropriate to the sensitivity and operational importance of the information involved. The arrangement shall preserve provenance, version identity, access controls, correction capability, and auditable handling sufficient to distinguish authoritative customs data, trader-supplied data, derived analytical outputs, and unverified signals where that distinction is material. Nothing in this paragraph requires public disclosure of source code, model weights, trade secrets, personal information, security-sensitive information, or information protected by Article 19.16 or other applicable law, except through a lawful and appropriately safeguarded competent-authority process. Technical implementation may use different or successor standards where the resulting system remains interoperable and provides materially equivalent confidentiality, integrity, availability, and review protections.</w:t>
      </w:r>
    </w:p>
    <w:p>
      <w:pPr>
        <w:pStyle w:val="Normal"/>
        <w:rPr/>
      </w:pPr>
      <w:r>
        <w:rPr/>
      </w:r>
    </w:p>
    <w:p>
      <w:pPr>
        <w:pStyle w:val="Normal"/>
        <w:widowControl/>
        <w:rPr/>
      </w:pPr>
      <w:r>
        <w:rPr/>
        <w:t>4. [Controlled Regulatory Access to Protected AI Information] Confidential handling - Each Party shall implement confidential handling using interoperable, secure, and purpose-limited arrangements appropriate to the sensitivity and operational importance of the information involved. The arrangement shall preserve provenance, version identity, access controls, correction capability, and auditable handling sufficient to distinguish authoritative customs data, trader-supplied data, derived analytical outputs, and unverified signals where that distinction is material. Nothing in this paragraph requires public disclosure of source code, model weights, trade secrets, personal information, security-sensitive information, or information protected by Article 19.16 or other applicable law, except through a lawful and appropriately safeguarded competent-authority process. Technical implementation may use different or successor standards where the resulting system remains interoperable and provides materially equivalent confidentiality, integrity, availability, and review protections.</w:t>
      </w:r>
    </w:p>
    <w:p>
      <w:pPr>
        <w:pStyle w:val="Normal"/>
        <w:rPr/>
      </w:pPr>
      <w:r>
        <w:rPr/>
      </w:r>
    </w:p>
    <w:p>
      <w:pPr>
        <w:pStyle w:val="Normal"/>
        <w:widowControl/>
        <w:rPr/>
      </w:pPr>
      <w:r>
        <w:rPr/>
        <w:t>5. [Controlled Regulatory Access to Protected AI Information] Use limitation - Each Party shall implement use limitation using interoperable, secure, and purpose-limited arrangements appropriate to the sensitivity and operational importance of the information involved. The arrangement shall preserve provenance, version identity, access controls, correction capability, and auditable handling sufficient to distinguish authoritative customs data, trader-supplied data, derived analytical outputs, and unverified signals where that distinction is material. Nothing in this paragraph requires public disclosure of source code, model weights, trade secrets, personal information, security-sensitive information, or information protected by Article 19.16 or other applicable law, except through a lawful and appropriately safeguarded competent-authority process. Technical implementation may use different or successor standards where the resulting system remains interoperable and provides materially equivalent confidentiality, integrity, availability, and review protections.</w:t>
      </w:r>
    </w:p>
    <w:p>
      <w:pPr>
        <w:pStyle w:val="Normal"/>
        <w:rPr/>
      </w:pPr>
      <w:r>
        <w:rPr/>
      </w:r>
    </w:p>
    <w:p>
      <w:pPr>
        <w:pStyle w:val="Normal"/>
        <w:widowControl/>
        <w:rPr/>
      </w:pPr>
      <w:r>
        <w:rPr/>
        <w:t>6. [Controlled Regulatory Access to Protected AI Information] Challenge/review where lawful - Each Party shall implement challenge/review where lawful using interoperable, secure, and purpose-limited arrangements appropriate to the sensitivity and operational importance of the information involved. The arrangement shall preserve provenance, version identity, access controls, correction capability, and auditable handling sufficient to distinguish authoritative customs data, trader-supplied data, derived analytical outputs, and unverified signals where that distinction is material. Nothing in this paragraph requires public disclosure of source code, model weights, trade secrets, personal information, security-sensitive information, or information protected by Article 19.16 or other applicable law, except through a lawful and appropriately safeguarded competent-authority process. Technical implementation may use different or successor standards where the resulting system remains interoperable and provides materially equivalent confidentiality, integrity, availability, and review protections.</w:t>
      </w:r>
    </w:p>
    <w:p>
      <w:pPr>
        <w:pStyle w:val="Normal"/>
        <w:rPr/>
      </w:pPr>
      <w:r>
        <w:rPr/>
      </w:r>
    </w:p>
    <w:p>
      <w:bookmarkStart w:id="1598" w:name="_NAESTMA_TOC_1598"/>
      <w:pPr>
        <w:pStyle w:val="Heading2"/>
        <w:keepNext/>
        <w:widowControl/>
        <w:rPr/>
      </w:pPr>
      <w:r>
        <w:rPr/>
        <w:t>Article 39.114: AI Fraud and Transshipment Detection</w:t>
      </w:r>
      <w:bookmarkEnd w:id="1598"/>
    </w:p>
    <w:p>
      <w:pPr>
        <w:pStyle w:val="Normal"/>
        <w:widowControl/>
        <w:rPr/>
      </w:pPr>
      <w:r>
        <w:rPr/>
        <w:t>1. [AI Fraud and Transshipment Detection] Origin-fraud signals - Each Party shall ensure that origin-fraud signals in an AI-assisted customs process is attributable to a competent customs authority and is based on the law, tariff schedule, origin rule, valuation rule, or other legal standard applicable to the transaction. Where the AI materially contributes to an adverse customs outcome, the responsible authority shall preserve the material inputs, applicable rule or ruleset version, and sufficient decision information to permit reconstruction without requiring disclosure of protected model weights or unrelated confidential information. The trader shall receive the notice, correction opportunity, administrative review, or other procedural protection otherwise applicable to the same customs action, and AI use shall not reduce that protection or convert an advisory signal into conclusive evidence. A material error attributable to the AI process shall be corrected through the ordinary customs mechanism, with release, duty, preference, penalty, or record consequences adjusted as applicable under this Agreement and domestic law.</w:t>
      </w:r>
    </w:p>
    <w:p>
      <w:pPr>
        <w:pStyle w:val="Normal"/>
        <w:rPr/>
      </w:pPr>
      <w:r>
        <w:rPr/>
      </w:r>
    </w:p>
    <w:p>
      <w:pPr>
        <w:pStyle w:val="Normal"/>
        <w:widowControl/>
        <w:rPr/>
      </w:pPr>
      <w:r>
        <w:rPr/>
        <w:t>2. [AI Fraud and Transshipment Detection] Transshipment analytics - The Parties shall address transshipment analytics as part of the AI-enabled trade framework through competent existing authorities and controls proportionate to the material trade, safety, security, privacy, or rights consequences of the use. Implementation shall identify the responsible actor, the operational purpose, the information or evidence on which material action may rely, and the point at which human review, correction, escalation, or revalidation is required. The Parties may use different technologies, vendors, technical standards, or administrative methods where they achieve materially equivalent outcomes and preserve confidentiality, interoperability, contestability, and applicable constitutional authority. Nothing in this paragraph authorizes an automatic tariff consequence, unrelated retaliation, compulsory participation in an optional program, or creation of a new standing institution unless another provision of this Agreement expressly provides otherwise.</w:t>
      </w:r>
    </w:p>
    <w:p>
      <w:pPr>
        <w:pStyle w:val="Normal"/>
        <w:rPr/>
      </w:pPr>
      <w:r>
        <w:rPr/>
      </w:r>
    </w:p>
    <w:p>
      <w:pPr>
        <w:pStyle w:val="Normal"/>
        <w:widowControl/>
        <w:rPr/>
      </w:pPr>
      <w:r>
        <w:rPr/>
        <w:t>3. [AI Fraud and Transshipment Detection] Entity-network analysis - The Parties shall address entity-network analysis as part of the AI-enabled trade framework through competent existing authorities and controls proportionate to the material trade, safety, security, privacy, or rights consequences of the use. Implementation shall identify the responsible actor, the operational purpose, the information or evidence on which material action may rely, and the point at which human review, correction, escalation, or revalidation is required. The Parties may use different technologies, vendors, technical standards, or administrative methods where they achieve materially equivalent outcomes and preserve confidentiality, interoperability, contestability, and applicable constitutional authority. Nothing in this paragraph authorizes an automatic tariff consequence, unrelated retaliation, compulsory participation in an optional program, or creation of a new standing institution unless another provision of this Agreement expressly provides otherwise.</w:t>
      </w:r>
    </w:p>
    <w:p>
      <w:pPr>
        <w:pStyle w:val="Normal"/>
        <w:rPr/>
      </w:pPr>
      <w:r>
        <w:rPr/>
      </w:r>
    </w:p>
    <w:p>
      <w:pPr>
        <w:pStyle w:val="Normal"/>
        <w:widowControl/>
        <w:rPr/>
      </w:pPr>
      <w:r>
        <w:rPr/>
        <w:t>4. [AI Fraud and Transshipment Detection] Document inconsistency detection - The Parties shall address document inconsistency detection as part of the AI-enabled trade framework through competent existing authorities and controls proportionate to the material trade, safety, security, privacy, or rights consequences of the use. Implementation shall identify the responsible actor, the operational purpose, the information or evidence on which material action may rely, and the point at which human review, correction, escalation, or revalidation is required. The Parties may use different technologies, vendors, technical standards, or administrative methods where they achieve materially equivalent outcomes and preserve confidentiality, interoperability, contestability, and applicable constitutional authority. Nothing in this paragraph authorizes an automatic tariff consequence, unrelated retaliation, compulsory participation in an optional program, or creation of a new standing institution unless another provision of this Agreement expressly provides otherwise.</w:t>
      </w:r>
    </w:p>
    <w:p>
      <w:pPr>
        <w:pStyle w:val="Normal"/>
        <w:rPr/>
      </w:pPr>
      <w:r>
        <w:rPr/>
      </w:r>
    </w:p>
    <w:p>
      <w:pPr>
        <w:pStyle w:val="Normal"/>
        <w:widowControl/>
        <w:rPr/>
      </w:pPr>
      <w:r>
        <w:rPr/>
        <w:t>5. [AI Fraud and Transshipment Detection] Human corroboration - The Parties shall address human corroboration as part of the AI-enabled trade framework through competent existing authorities and controls proportionate to the material trade, safety, security, privacy, or rights consequences of the use. Implementation shall identify the responsible actor, the operational purpose, the information or evidence on which material action may rely, and the point at which human review, correction, escalation, or revalidation is required. The Parties may use different technologies, vendors, technical standards, or administrative methods where they achieve materially equivalent outcomes and preserve confidentiality, interoperability, contestability, and applicable constitutional authority. Nothing in this paragraph authorizes an automatic tariff consequence, unrelated retaliation, compulsory participation in an optional program, or creation of a new standing institution unless another provision of this Agreement expressly provides otherwise.</w:t>
      </w:r>
    </w:p>
    <w:p>
      <w:pPr>
        <w:pStyle w:val="Normal"/>
        <w:rPr/>
      </w:pPr>
      <w:r>
        <w:rPr/>
      </w:r>
    </w:p>
    <w:p>
      <w:pPr>
        <w:pStyle w:val="Normal"/>
        <w:widowControl/>
        <w:rPr/>
      </w:pPr>
      <w:r>
        <w:rPr/>
        <w:t>6. [AI Fraud and Transshipment Detection] No adverse action on alert alone - The Parties shall address no adverse action on alert alone as part of the AI-enabled trade framework through competent existing authorities and controls proportionate to the material trade, safety, security, privacy, or rights consequences of the use. Implementation shall identify the responsible actor, the operational purpose, the information or evidence on which material action may rely, and the point at which human review, correction, escalation, or revalidation is required. The Parties may use different technologies, vendors, technical standards, or administrative methods where they achieve materially equivalent outcomes and preserve confidentiality, interoperability, contestability, and applicable constitutional authority. Nothing in this paragraph authorizes an automatic tariff consequence, unrelated retaliation, compulsory participation in an optional program, or creation of a new standing institution unless another provision of this Agreement expressly provides otherwise.</w:t>
      </w:r>
    </w:p>
    <w:p>
      <w:pPr>
        <w:pStyle w:val="Normal"/>
        <w:rPr/>
      </w:pPr>
      <w:r>
        <w:rPr/>
      </w:r>
    </w:p>
    <w:p>
      <w:bookmarkStart w:id="1599" w:name="_NAESTMA_TOC_1599"/>
      <w:pPr>
        <w:pStyle w:val="Heading2"/>
        <w:keepNext/>
        <w:widowControl/>
        <w:rPr/>
      </w:pPr>
      <w:r>
        <w:rPr/>
        <w:t>Article 39.115: AI Document, Invoice and Identity Fraud Detection</w:t>
      </w:r>
      <w:bookmarkEnd w:id="1599"/>
    </w:p>
    <w:p>
      <w:pPr>
        <w:pStyle w:val="Normal"/>
        <w:widowControl/>
        <w:rPr/>
      </w:pPr>
      <w:r>
        <w:rPr/>
        <w:t>1. [AI Document, Invoice and Identity Fraud Detection] Document forgery indicators - The Parties shall address document forgery indicators as part of the AI-enabled trade framework through competent existing authorities and controls proportionate to the material trade, safety, security, privacy, or rights consequences of the use. Implementation shall identify the responsible actor, the operational purpose, the information or evidence on which material action may rely, and the point at which human review, correction, escalation, or revalidation is required. The Parties may use different technologies, vendors, technical standards, or administrative methods where they achieve materially equivalent outcomes and preserve confidentiality, interoperability, contestability, and applicable constitutional authority. Nothing in this paragraph authorizes an automatic tariff consequence, unrelated retaliation, compulsory participation in an optional program, or creation of a new standing institution unless another provision of this Agreement expressly provides otherwise.</w:t>
      </w:r>
    </w:p>
    <w:p>
      <w:pPr>
        <w:pStyle w:val="Normal"/>
        <w:rPr/>
      </w:pPr>
      <w:r>
        <w:rPr/>
      </w:r>
    </w:p>
    <w:p>
      <w:pPr>
        <w:pStyle w:val="Normal"/>
        <w:widowControl/>
        <w:rPr/>
      </w:pPr>
      <w:r>
        <w:rPr/>
        <w:t>2. [AI Document, Invoice and Identity Fraud Detection] Invoice anomaly detection - The Parties shall address invoice anomaly detection as part of the AI-enabled trade framework through competent existing authorities and controls proportionate to the material trade, safety, security, privacy, or rights consequences of the use. Implementation shall identify the responsible actor, the operational purpose, the information or evidence on which material action may rely, and the point at which human review, correction, escalation, or revalidation is required. The Parties may use different technologies, vendors, technical standards, or administrative methods where they achieve materially equivalent outcomes and preserve confidentiality, interoperability, contestability, and applicable constitutional authority. Nothing in this paragraph authorizes an automatic tariff consequence, unrelated retaliation, compulsory participation in an optional program, or creation of a new standing institution unless another provision of this Agreement expressly provides otherwise.</w:t>
      </w:r>
    </w:p>
    <w:p>
      <w:pPr>
        <w:pStyle w:val="Normal"/>
        <w:rPr/>
      </w:pPr>
      <w:r>
        <w:rPr/>
      </w:r>
    </w:p>
    <w:p>
      <w:pPr>
        <w:pStyle w:val="Normal"/>
        <w:widowControl/>
        <w:rPr/>
      </w:pPr>
      <w:r>
        <w:rPr/>
        <w:t>3. [AI Document, Invoice and Identity Fraud Detection] Identity mismatch signals - The Parties shall address identity mismatch signals as part of the AI-enabled trade framework through competent existing authorities and controls proportionate to the material trade, safety, security, privacy, or rights consequences of the use. Implementation shall identify the responsible actor, the operational purpose, the information or evidence on which material action may rely, and the point at which human review, correction, escalation, or revalidation is required. The Parties may use different technologies, vendors, technical standards, or administrative methods where they achieve materially equivalent outcomes and preserve confidentiality, interoperability, contestability, and applicable constitutional authority. Nothing in this paragraph authorizes an automatic tariff consequence, unrelated retaliation, compulsory participation in an optional program, or creation of a new standing institution unless another provision of this Agreement expressly provides otherwise.</w:t>
      </w:r>
    </w:p>
    <w:p>
      <w:pPr>
        <w:pStyle w:val="Normal"/>
        <w:rPr/>
      </w:pPr>
      <w:r>
        <w:rPr/>
      </w:r>
    </w:p>
    <w:p>
      <w:pPr>
        <w:pStyle w:val="Normal"/>
        <w:widowControl/>
        <w:rPr/>
      </w:pPr>
      <w:r>
        <w:rPr/>
        <w:t>4. [AI Document, Invoice and Identity Fraud Detection] Source authentication - The Parties shall address source authentication as part of the AI-enabled trade framework through competent existing authorities and controls proportionate to the material trade, safety, security, privacy, or rights consequences of the use. Implementation shall identify the responsible actor, the operational purpose, the information or evidence on which material action may rely, and the point at which human review, correction, escalation, or revalidation is required. The Parties may use different technologies, vendors, technical standards, or administrative methods where they achieve materially equivalent outcomes and preserve confidentiality, interoperability, contestability, and applicable constitutional authority. Nothing in this paragraph authorizes an automatic tariff consequence, unrelated retaliation, compulsory participation in an optional program, or creation of a new standing institution unless another provision of this Agreement expressly provides otherwise.</w:t>
      </w:r>
    </w:p>
    <w:p>
      <w:pPr>
        <w:pStyle w:val="Normal"/>
        <w:rPr/>
      </w:pPr>
      <w:r>
        <w:rPr/>
      </w:r>
    </w:p>
    <w:p>
      <w:pPr>
        <w:pStyle w:val="Normal"/>
        <w:widowControl/>
        <w:rPr/>
      </w:pPr>
      <w:r>
        <w:rPr/>
        <w:t>5. [AI Document, Invoice and Identity Fraud Detection] False-positive correction - The Parties shall address false-positive correction as part of the AI-enabled trade framework through competent existing authorities and controls proportionate to the material trade, safety, security, privacy, or rights consequences of the use. Implementation shall identify the responsible actor, the operational purpose, the information or evidence on which material action may rely, and the point at which human review, correction, escalation, or revalidation is required. The Parties may use different technologies, vendors, technical standards, or administrative methods where they achieve materially equivalent outcomes and preserve confidentiality, interoperability, contestability, and applicable constitutional authority. Nothing in this paragraph authorizes an automatic tariff consequence, unrelated retaliation, compulsory participation in an optional program, or creation of a new standing institution unless another provision of this Agreement expressly provides otherwise.</w:t>
      </w:r>
    </w:p>
    <w:p>
      <w:pPr>
        <w:pStyle w:val="Normal"/>
        <w:rPr/>
      </w:pPr>
      <w:r>
        <w:rPr/>
      </w:r>
    </w:p>
    <w:p>
      <w:pPr>
        <w:pStyle w:val="Normal"/>
        <w:widowControl/>
        <w:rPr/>
      </w:pPr>
      <w:r>
        <w:rPr/>
        <w:t>6. [AI Document, Invoice and Identity Fraud Detection] Evidence preservation - The Parties shall address evidence preservation as part of the AI-enabled trade framework through competent existing authorities and controls proportionate to the material trade, safety, security, privacy, or rights consequences of the use. Implementation shall identify the responsible actor, the operational purpose, the information or evidence on which material action may rely, and the point at which human review, correction, escalation, or revalidation is required. The Parties may use different technologies, vendors, technical standards, or administrative methods where they achieve materially equivalent outcomes and preserve confidentiality, interoperability, contestability, and applicable constitutional authority. Nothing in this paragraph authorizes an automatic tariff consequence, unrelated retaliation, compulsory participation in an optional program, or creation of a new standing institution unless another provision of this Agreement expressly provides otherwise.</w:t>
      </w:r>
    </w:p>
    <w:p>
      <w:pPr>
        <w:pStyle w:val="Normal"/>
        <w:rPr/>
      </w:pPr>
      <w:r>
        <w:rPr/>
      </w:r>
    </w:p>
    <w:p>
      <w:bookmarkStart w:id="1600" w:name="_NAESTMA_TOC_1600"/>
      <w:pPr>
        <w:pStyle w:val="Heading2"/>
        <w:keepNext/>
        <w:widowControl/>
        <w:rPr/>
      </w:pPr>
      <w:r>
        <w:rPr/>
        <w:t>Article 39.116: Trade-AI Cybersecurity and Adversarial Resilience</w:t>
      </w:r>
      <w:bookmarkEnd w:id="1600"/>
    </w:p>
    <w:p>
      <w:pPr>
        <w:pStyle w:val="Normal"/>
        <w:widowControl/>
        <w:rPr/>
      </w:pPr>
      <w:r>
        <w:rPr/>
        <w:t>1. [Trade-AI Cybersecurity and Adversarial Resilience] Adversarial input protection - The Parties shall provide for adversarial input protection through competent existing authorities using technology-neutral and interoperable means appropriate to the material consequence of the activity. Implementation shall preserve applicable confidentiality, human-review, constitutional, safety, security, and stronger-domestic-law safeguards and shall not make an optional AI program a condition of ordinary market access.</w:t>
      </w:r>
    </w:p>
    <w:p>
      <w:pPr>
        <w:pStyle w:val="Normal"/>
        <w:rPr/>
      </w:pPr>
      <w:r>
        <w:rPr/>
      </w:r>
    </w:p>
    <w:p>
      <w:pPr>
        <w:pStyle w:val="Normal"/>
        <w:widowControl/>
        <w:rPr/>
      </w:pPr>
      <w:r>
        <w:rPr/>
        <w:t>2. [Trade-AI Cybersecurity and Adversarial Resilience] Credential security - The Parties shall provide for credential security through competent existing authorities using technology-neutral and interoperable means appropriate to the material consequence of the activity. Implementation shall preserve applicable confidentiality, human-review, constitutional, safety, security, and stronger-domestic-law safeguards and shall not make an optional AI program a condition of ordinary market access.</w:t>
      </w:r>
    </w:p>
    <w:p>
      <w:pPr>
        <w:pStyle w:val="Normal"/>
        <w:rPr/>
      </w:pPr>
      <w:r>
        <w:rPr/>
      </w:r>
    </w:p>
    <w:p>
      <w:pPr>
        <w:pStyle w:val="Normal"/>
        <w:widowControl/>
        <w:rPr/>
      </w:pPr>
      <w:r>
        <w:rPr/>
        <w:t>3. [Trade-AI Cybersecurity and Adversarial Resilience] Tool-access controls - The Parties shall provide for tool-access controls through competent existing authorities using technology-neutral and interoperable means appropriate to the material consequence of the activity. Implementation shall preserve applicable confidentiality, human-review, constitutional, safety, security, and stronger-domestic-law safeguards and shall not make an optional AI program a condition of ordinary market access.</w:t>
      </w:r>
    </w:p>
    <w:p>
      <w:pPr>
        <w:pStyle w:val="Normal"/>
        <w:rPr/>
      </w:pPr>
      <w:r>
        <w:rPr/>
      </w:r>
    </w:p>
    <w:p>
      <w:pPr>
        <w:pStyle w:val="Normal"/>
        <w:widowControl/>
        <w:rPr/>
      </w:pPr>
      <w:r>
        <w:rPr/>
        <w:t>4. [Trade-AI Cybersecurity and Adversarial Resilience] Model/data poisoning safeguards - The Parties shall provide for model/data poisoning safeguards through competent existing authorities using technology-neutral and interoperable means appropriate to the material consequence of the activity. Implementation shall preserve applicable confidentiality, human-review, constitutional, safety, security, and stronger-domestic-law safeguards and shall not make an optional AI program a condition of ordinary market access.</w:t>
      </w:r>
    </w:p>
    <w:p>
      <w:pPr>
        <w:pStyle w:val="Normal"/>
        <w:rPr/>
      </w:pPr>
      <w:r>
        <w:rPr/>
      </w:r>
    </w:p>
    <w:p>
      <w:pPr>
        <w:pStyle w:val="Normal"/>
        <w:widowControl/>
        <w:rPr/>
      </w:pPr>
      <w:r>
        <w:rPr/>
        <w:t>5. [Trade-AI Cybersecurity and Adversarial Resilience] Critical vulnerability coordination - The Parties shall provide for critical vulnerability coordination through competent existing authorities using technology-neutral and interoperable means appropriate to the material consequence of the activity. Implementation shall preserve applicable confidentiality, human-review, constitutional, safety, security, and stronger-domestic-law safeguards and shall not make an optional AI program a condition of ordinary market access.</w:t>
      </w:r>
    </w:p>
    <w:p>
      <w:pPr>
        <w:pStyle w:val="Normal"/>
        <w:rPr/>
      </w:pPr>
      <w:r>
        <w:rPr/>
      </w:r>
    </w:p>
    <w:p>
      <w:pPr>
        <w:pStyle w:val="Normal"/>
        <w:widowControl/>
        <w:rPr/>
      </w:pPr>
      <w:r>
        <w:rPr/>
        <w:t>6. [Trade-AI Cybersecurity and Adversarial Resilience] Vendor security obligations - The Parties shall provide for vendor security obligations through competent existing authorities using technology-neutral and interoperable means appropriate to the material consequence of the activity. Implementation shall preserve applicable confidentiality, human-review, constitutional, safety, security, and stronger-domestic-law safeguards and shall not make an optional AI program a condition of ordinary market access.</w:t>
      </w:r>
    </w:p>
    <w:p>
      <w:pPr>
        <w:pStyle w:val="Normal"/>
        <w:rPr/>
      </w:pPr>
      <w:r>
        <w:rPr/>
      </w:r>
    </w:p>
    <w:p>
      <w:bookmarkStart w:id="1601" w:name="_NAESTMA_TOC_1601"/>
      <w:pPr>
        <w:pStyle w:val="Heading2"/>
        <w:keepNext/>
        <w:widowControl/>
        <w:rPr/>
      </w:pPr>
      <w:r>
        <w:rPr/>
        <w:t>Article 39.117: Compromised Trade-AI System Recovery</w:t>
      </w:r>
      <w:bookmarkEnd w:id="1601"/>
    </w:p>
    <w:p>
      <w:pPr>
        <w:pStyle w:val="Normal"/>
        <w:widowControl/>
        <w:rPr/>
      </w:pPr>
      <w:r>
        <w:rPr/>
        <w:t>1. [Compromised Trade-AI System Recovery] Compromise assessment - The Parties shall provide for compromise assessment through competent existing authorities using technology-neutral and interoperable means appropriate to the material consequence of the activity. Implementation shall preserve applicable confidentiality, human-review, constitutional, safety, security, and stronger-domestic-law safeguards and shall not make an optional AI program a condition of ordinary market access.</w:t>
      </w:r>
    </w:p>
    <w:p>
      <w:pPr>
        <w:pStyle w:val="Normal"/>
        <w:rPr/>
      </w:pPr>
      <w:r>
        <w:rPr/>
      </w:r>
    </w:p>
    <w:p>
      <w:pPr>
        <w:pStyle w:val="Normal"/>
        <w:widowControl/>
        <w:rPr/>
      </w:pPr>
      <w:r>
        <w:rPr/>
        <w:t>2. [Compromised Trade-AI System Recovery] Isolation/containment - The Parties shall provide for isolation/containment through competent existing authorities using technology-neutral and interoperable means appropriate to the material consequence of the activity. Implementation shall preserve applicable confidentiality, human-review, constitutional, safety, security, and stronger-domestic-law safeguards and shall not make an optional AI program a condition of ordinary market access.</w:t>
      </w:r>
    </w:p>
    <w:p>
      <w:pPr>
        <w:pStyle w:val="Normal"/>
        <w:rPr/>
      </w:pPr>
      <w:r>
        <w:rPr/>
      </w:r>
    </w:p>
    <w:p>
      <w:pPr>
        <w:pStyle w:val="Normal"/>
        <w:widowControl/>
        <w:rPr/>
      </w:pPr>
      <w:r>
        <w:rPr/>
        <w:t>3. [Compromised Trade-AI System Recovery] Controlled forensic access - The Parties shall provide for controlled forensic access through competent existing authorities using technology-neutral and interoperable means appropriate to the material consequence of the activity. Implementation shall preserve applicable confidentiality, human-review, constitutional, safety, security, and stronger-domestic-law safeguards and shall not make an optional AI program a condition of ordinary market access.</w:t>
      </w:r>
    </w:p>
    <w:p>
      <w:pPr>
        <w:pStyle w:val="Normal"/>
        <w:rPr/>
      </w:pPr>
      <w:r>
        <w:rPr/>
      </w:r>
    </w:p>
    <w:p>
      <w:pPr>
        <w:pStyle w:val="Normal"/>
        <w:widowControl/>
        <w:rPr/>
      </w:pPr>
      <w:r>
        <w:rPr/>
        <w:t>4. [Compromised Trade-AI System Recovery] Fallback activation - The Parties shall provide for fallback activation through competent existing authorities using technology-neutral and interoperable means appropriate to the material consequence of the activity. Implementation shall preserve applicable confidentiality, human-review, constitutional, safety, security, and stronger-domestic-law safeguards and shall not make an optional AI program a condition of ordinary market access.</w:t>
      </w:r>
    </w:p>
    <w:p>
      <w:pPr>
        <w:pStyle w:val="Normal"/>
        <w:rPr/>
      </w:pPr>
      <w:r>
        <w:rPr/>
      </w:r>
    </w:p>
    <w:p>
      <w:pPr>
        <w:pStyle w:val="Normal"/>
        <w:widowControl/>
        <w:rPr/>
      </w:pPr>
      <w:r>
        <w:rPr/>
        <w:t>5. [Compromised Trade-AI System Recovery] Recovery revalidation - The Parties shall provide for recovery revalidation through competent existing authorities using technology-neutral and interoperable means appropriate to the material consequence of the activity. Implementation shall preserve applicable confidentiality, human-review, constitutional, safety, security, and stronger-domestic-law safeguards and shall not make an optional AI program a condition of ordinary market access.</w:t>
      </w:r>
    </w:p>
    <w:p>
      <w:pPr>
        <w:pStyle w:val="Normal"/>
        <w:rPr/>
      </w:pPr>
      <w:r>
        <w:rPr/>
      </w:r>
    </w:p>
    <w:p>
      <w:pPr>
        <w:pStyle w:val="Normal"/>
        <w:widowControl/>
        <w:rPr/>
      </w:pPr>
      <w:r>
        <w:rPr/>
        <w:t>6. [Compromised Trade-AI System Recovery] Cross-border lessons learned - The Parties shall provide for cross-border lessons learned through competent existing authorities using technology-neutral and interoperable means appropriate to the material consequence of the activity. Implementation shall preserve applicable confidentiality, human-review, constitutional, safety, security, and stronger-domestic-law safeguards and shall not make an optional AI program a condition of ordinary market access.</w:t>
      </w:r>
    </w:p>
    <w:p>
      <w:pPr>
        <w:pStyle w:val="Normal"/>
        <w:rPr/>
      </w:pPr>
      <w:r>
        <w:rPr/>
      </w:r>
    </w:p>
    <w:p>
      <w:bookmarkStart w:id="1602" w:name="_NAESTMA_TOC_1602"/>
      <w:pPr>
        <w:pStyle w:val="Heading2"/>
        <w:keepNext/>
        <w:widowControl/>
        <w:rPr/>
      </w:pPr>
      <w:r>
        <w:rPr/>
        <w:t>Article 39.118: AI Logistics and Port Resilience</w:t>
      </w:r>
      <w:bookmarkEnd w:id="1602"/>
    </w:p>
    <w:p>
      <w:pPr>
        <w:pStyle w:val="Normal"/>
        <w:widowControl/>
        <w:rPr/>
      </w:pPr>
      <w:r>
        <w:rPr/>
        <w:t>1. [AI Logistics and Port Resilience] Congestion forecasting - The Parties shall provide for congestion forecasting through competent existing authorities using technology-neutral and interoperable means appropriate to the material consequence of the activity. Implementation shall preserve applicable confidentiality, human-review, constitutional, safety, security, and stronger-domestic-law safeguards and shall not make an optional AI program a condition of ordinary market access.</w:t>
      </w:r>
    </w:p>
    <w:p>
      <w:pPr>
        <w:pStyle w:val="Normal"/>
        <w:rPr/>
      </w:pPr>
      <w:r>
        <w:rPr/>
      </w:r>
    </w:p>
    <w:p>
      <w:pPr>
        <w:pStyle w:val="Normal"/>
        <w:widowControl/>
        <w:rPr/>
      </w:pPr>
      <w:r>
        <w:rPr/>
        <w:t>2. [AI Logistics and Port Resilience] Bottleneck alerts - The Parties shall provide for bottleneck alerts through competent existing authorities using technology-neutral and interoperable means appropriate to the material consequence of the activity. Implementation shall preserve applicable confidentiality, human-review, constitutional, safety, security, and stronger-domestic-law safeguards and shall not make an optional AI program a condition of ordinary market access.</w:t>
      </w:r>
    </w:p>
    <w:p>
      <w:pPr>
        <w:pStyle w:val="Normal"/>
        <w:rPr/>
      </w:pPr>
      <w:r>
        <w:rPr/>
      </w:r>
    </w:p>
    <w:p>
      <w:pPr>
        <w:pStyle w:val="Normal"/>
        <w:widowControl/>
        <w:rPr/>
      </w:pPr>
      <w:r>
        <w:rPr/>
        <w:t>3. [AI Logistics and Port Resilience] Intermodal coordination - The Parties shall provide for intermodal coordination through competent existing authorities using technology-neutral and interoperable means appropriate to the material consequence of the activity. Implementation shall preserve applicable confidentiality, human-review, constitutional, safety, security, and stronger-domestic-law safeguards and shall not make an optional AI program a condition of ordinary market access.</w:t>
      </w:r>
    </w:p>
    <w:p>
      <w:pPr>
        <w:pStyle w:val="Normal"/>
        <w:rPr/>
      </w:pPr>
      <w:r>
        <w:rPr/>
      </w:r>
    </w:p>
    <w:p>
      <w:pPr>
        <w:pStyle w:val="Normal"/>
        <w:widowControl/>
        <w:rPr/>
      </w:pPr>
      <w:r>
        <w:rPr/>
        <w:t>4. [AI Logistics and Port Resilience] Predictive maintenance - The Parties shall provide for predictive maintenance through competent existing authorities using technology-neutral and interoperable means appropriate to the material consequence of the activity. Implementation shall preserve applicable confidentiality, human-review, constitutional, safety, security, and stronger-domestic-law safeguards and shall not make an optional AI program a condition of ordinary market access.</w:t>
      </w:r>
    </w:p>
    <w:p>
      <w:pPr>
        <w:pStyle w:val="Normal"/>
        <w:rPr/>
      </w:pPr>
      <w:r>
        <w:rPr/>
      </w:r>
    </w:p>
    <w:p>
      <w:pPr>
        <w:pStyle w:val="Normal"/>
        <w:widowControl/>
        <w:rPr/>
      </w:pPr>
      <w:r>
        <w:rPr/>
        <w:t>5. [AI Logistics and Port Resilience] Critical-corridor continuity - The Parties shall provide for critical-corridor continuity through competent existing authorities using technology-neutral and interoperable means appropriate to the material consequence of the activity. Implementation shall preserve applicable confidentiality, human-review, constitutional, safety, security, and stronger-domestic-law safeguards and shall not make an optional AI program a condition of ordinary market access.</w:t>
      </w:r>
    </w:p>
    <w:p>
      <w:pPr>
        <w:pStyle w:val="Normal"/>
        <w:rPr/>
      </w:pPr>
      <w:r>
        <w:rPr/>
      </w:r>
    </w:p>
    <w:p>
      <w:pPr>
        <w:pStyle w:val="Normal"/>
        <w:widowControl/>
        <w:rPr/>
      </w:pPr>
      <w:r>
        <w:rPr/>
        <w:t>6. [AI Logistics and Port Resilience] Anti-manipulation safeguards - The Parties shall provide for anti-manipulation safeguards through competent existing authorities using technology-neutral and interoperable means appropriate to the material consequence of the activity. Implementation shall preserve applicable confidentiality, human-review, constitutional, safety, security, and stronger-domestic-law safeguards and shall not make an optional AI program a condition of ordinary market access.</w:t>
      </w:r>
    </w:p>
    <w:p>
      <w:pPr>
        <w:pStyle w:val="Normal"/>
        <w:rPr/>
      </w:pPr>
      <w:r>
        <w:rPr/>
      </w:r>
    </w:p>
    <w:p>
      <w:bookmarkStart w:id="1603" w:name="_NAESTMA_TOC_1603"/>
      <w:pPr>
        <w:pStyle w:val="Heading2"/>
        <w:keepNext/>
        <w:widowControl/>
        <w:rPr/>
      </w:pPr>
      <w:r>
        <w:rPr/>
        <w:t>Article 39.119: Autonomous Cross-Border Road Freight</w:t>
      </w:r>
      <w:bookmarkEnd w:id="1603"/>
    </w:p>
    <w:p>
      <w:pPr>
        <w:pStyle w:val="Normal"/>
        <w:widowControl/>
        <w:rPr/>
      </w:pPr>
      <w:r>
        <w:rPr/>
        <w:t>1. [Autonomous Cross-Border Road Freight] Authorization pathway - The Parties shall provide for authorization pathway through competent existing authorities using technology-neutral and interoperable means appropriate to the material consequence of the activity. Implementation shall preserve applicable confidentiality, human-review, constitutional, safety, security, and stronger-domestic-law safeguards and shall not make an optional AI program a condition of ordinary market access.</w:t>
      </w:r>
    </w:p>
    <w:p>
      <w:pPr>
        <w:pStyle w:val="Normal"/>
        <w:rPr/>
      </w:pPr>
      <w:r>
        <w:rPr/>
      </w:r>
    </w:p>
    <w:p>
      <w:pPr>
        <w:pStyle w:val="Normal"/>
        <w:widowControl/>
        <w:rPr/>
      </w:pPr>
      <w:r>
        <w:rPr/>
        <w:t>2. [Autonomous Cross-Border Road Freight] Testing evidence - The Parties shall provide for testing evidence through competent existing authorities using technology-neutral and interoperable means appropriate to the material consequence of the activity. Implementation shall preserve applicable confidentiality, human-review, constitutional, safety, security, and stronger-domestic-law safeguards and shall not make an optional AI program a condition of ordinary market access.</w:t>
      </w:r>
    </w:p>
    <w:p>
      <w:pPr>
        <w:pStyle w:val="Normal"/>
        <w:rPr/>
      </w:pPr>
      <w:r>
        <w:rPr/>
      </w:r>
    </w:p>
    <w:p>
      <w:pPr>
        <w:pStyle w:val="Normal"/>
        <w:widowControl/>
        <w:rPr/>
      </w:pPr>
      <w:r>
        <w:rPr/>
        <w:t>3. [Autonomous Cross-Border Road Freight] Vehicle/system identity - The Parties shall provide for vehicle/system identity through competent existing authorities using technology-neutral and interoperable means appropriate to the material consequence of the activity. Implementation shall preserve applicable confidentiality, human-review, constitutional, safety, security, and stronger-domestic-law safeguards and shall not make an optional AI program a condition of ordinary market access.</w:t>
      </w:r>
    </w:p>
    <w:p>
      <w:pPr>
        <w:pStyle w:val="Normal"/>
        <w:rPr/>
      </w:pPr>
      <w:r>
        <w:rPr/>
      </w:r>
    </w:p>
    <w:p>
      <w:pPr>
        <w:pStyle w:val="Normal"/>
        <w:widowControl/>
        <w:rPr/>
      </w:pPr>
      <w:r>
        <w:rPr/>
        <w:t>4. [Autonomous Cross-Border Road Freight] Software-change control - The Parties shall provide for software-change control through competent existing authorities using technology-neutral and interoperable means appropriate to the material consequence of the activity. Implementation shall preserve applicable confidentiality, human-review, constitutional, safety, security, and stronger-domestic-law safeguards and shall not make an optional AI program a condition of ordinary market access.</w:t>
      </w:r>
    </w:p>
    <w:p>
      <w:pPr>
        <w:pStyle w:val="Normal"/>
        <w:rPr/>
      </w:pPr>
      <w:r>
        <w:rPr/>
      </w:r>
    </w:p>
    <w:p>
      <w:pPr>
        <w:pStyle w:val="Normal"/>
        <w:widowControl/>
        <w:rPr/>
      </w:pPr>
      <w:r>
        <w:rPr/>
        <w:t>5. [Autonomous Cross-Border Road Freight] Event-data reconstruction - The Parties shall provide for event-data reconstruction through competent existing authorities using technology-neutral and interoperable means appropriate to the material consequence of the activity. Implementation shall preserve applicable confidentiality, human-review, constitutional, safety, security, and stronger-domestic-law safeguards and shall not make an optional AI program a condition of ordinary market access.</w:t>
      </w:r>
    </w:p>
    <w:p>
      <w:pPr>
        <w:pStyle w:val="Normal"/>
        <w:rPr/>
      </w:pPr>
      <w:r>
        <w:rPr/>
      </w:r>
    </w:p>
    <w:p>
      <w:pPr>
        <w:pStyle w:val="Normal"/>
        <w:widowControl/>
        <w:rPr/>
      </w:pPr>
      <w:r>
        <w:rPr/>
        <w:t>6. [Autonomous Cross-Border Road Freight] Competent human/legal responsibility - The Parties shall provide for competent human/legal responsibility through competent existing authorities using technology-neutral and interoperable means appropriate to the material consequence of the activity. Implementation shall preserve applicable confidentiality, human-review, constitutional, safety, security, and stronger-domestic-law safeguards and shall not make an optional AI program a condition of ordinary market access.</w:t>
      </w:r>
    </w:p>
    <w:p>
      <w:pPr>
        <w:pStyle w:val="Normal"/>
        <w:rPr/>
      </w:pPr>
      <w:r>
        <w:rPr/>
      </w:r>
    </w:p>
    <w:p>
      <w:bookmarkStart w:id="1604" w:name="_NAESTMA_TOC_1604"/>
      <w:pPr>
        <w:pStyle w:val="Heading2"/>
        <w:keepNext/>
        <w:widowControl/>
        <w:rPr/>
      </w:pPr>
      <w:r>
        <w:rPr/>
        <w:t>Article 39.120: Autonomous Cross-Border Rail Freight</w:t>
      </w:r>
      <w:bookmarkEnd w:id="1604"/>
    </w:p>
    <w:p>
      <w:pPr>
        <w:pStyle w:val="Normal"/>
        <w:widowControl/>
        <w:rPr/>
      </w:pPr>
      <w:r>
        <w:rPr/>
        <w:t>1. [Autonomous Cross-Border Rail Freight] Rail-system authorization - The Parties shall provide for rail-system authorization through competent existing authorities using technology-neutral and interoperable means appropriate to the material consequence of the activity. Implementation shall preserve applicable confidentiality, human-review, constitutional, safety, security, and stronger-domestic-law safeguards and shall not make an optional AI program a condition of ordinary market access.</w:t>
      </w:r>
    </w:p>
    <w:p>
      <w:pPr>
        <w:pStyle w:val="Normal"/>
        <w:rPr/>
      </w:pPr>
      <w:r>
        <w:rPr/>
      </w:r>
    </w:p>
    <w:p>
      <w:pPr>
        <w:pStyle w:val="Normal"/>
        <w:widowControl/>
        <w:rPr/>
      </w:pPr>
      <w:r>
        <w:rPr/>
        <w:t>2. [Autonomous Cross-Border Rail Freight] Network interoperability - The Parties shall provide for network interoperability through competent existing authorities using technology-neutral and interoperable means appropriate to the material consequence of the activity. Implementation shall preserve applicable confidentiality, human-review, constitutional, safety, security, and stronger-domestic-law safeguards and shall not make an optional AI program a condition of ordinary market access.</w:t>
      </w:r>
    </w:p>
    <w:p>
      <w:pPr>
        <w:pStyle w:val="Normal"/>
        <w:rPr/>
      </w:pPr>
      <w:r>
        <w:rPr/>
      </w:r>
    </w:p>
    <w:p>
      <w:pPr>
        <w:pStyle w:val="Normal"/>
        <w:widowControl/>
        <w:rPr/>
      </w:pPr>
      <w:r>
        <w:rPr/>
        <w:t>3. [Autonomous Cross-Border Rail Freight] Fail-safe operation - The Parties shall provide for fail-safe operation through competent existing authorities using technology-neutral and interoperable means appropriate to the material consequence of the activity. Implementation shall preserve applicable confidentiality, human-review, constitutional, safety, security, and stronger-domestic-law safeguards and shall not make an optional AI program a condition of ordinary market access.</w:t>
      </w:r>
    </w:p>
    <w:p>
      <w:pPr>
        <w:pStyle w:val="Normal"/>
        <w:rPr/>
      </w:pPr>
      <w:r>
        <w:rPr/>
      </w:r>
    </w:p>
    <w:p>
      <w:pPr>
        <w:pStyle w:val="Normal"/>
        <w:widowControl/>
        <w:rPr/>
      </w:pPr>
      <w:r>
        <w:rPr/>
        <w:t>4. [Autonomous Cross-Border Rail Freight] Software-change control - The Parties shall provide for software-change control through competent existing authorities using technology-neutral and interoperable means appropriate to the material consequence of the activity. Implementation shall preserve applicable confidentiality, human-review, constitutional, safety, security, and stronger-domestic-law safeguards and shall not make an optional AI program a condition of ordinary market access.</w:t>
      </w:r>
    </w:p>
    <w:p>
      <w:pPr>
        <w:pStyle w:val="Normal"/>
        <w:rPr/>
      </w:pPr>
      <w:r>
        <w:rPr/>
      </w:r>
    </w:p>
    <w:p>
      <w:pPr>
        <w:pStyle w:val="Normal"/>
        <w:widowControl/>
        <w:rPr/>
      </w:pPr>
      <w:r>
        <w:rPr/>
        <w:t>5. [Autonomous Cross-Border Rail Freight] Event records - The Parties shall provide for event records through competent existing authorities using technology-neutral and interoperable means appropriate to the material consequence of the activity. Implementation shall preserve applicable confidentiality, human-review, constitutional, safety, security, and stronger-domestic-law safeguards and shall not make an optional AI program a condition of ordinary market access.</w:t>
      </w:r>
    </w:p>
    <w:p>
      <w:pPr>
        <w:pStyle w:val="Normal"/>
        <w:rPr/>
      </w:pPr>
      <w:r>
        <w:rPr/>
      </w:r>
    </w:p>
    <w:p>
      <w:pPr>
        <w:pStyle w:val="Normal"/>
        <w:widowControl/>
        <w:rPr/>
      </w:pPr>
      <w:r>
        <w:rPr/>
        <w:t>6. [Autonomous Cross-Border Rail Freight] Incident coordination - The Parties shall provide for incident coordination through competent existing authorities using technology-neutral and interoperable means appropriate to the material consequence of the activity. Implementation shall preserve applicable confidentiality, human-review, constitutional, safety, security, and stronger-domestic-law safeguards and shall not make an optional AI program a condition of ordinary market access.</w:t>
      </w:r>
    </w:p>
    <w:p>
      <w:pPr>
        <w:pStyle w:val="Normal"/>
        <w:rPr/>
      </w:pPr>
      <w:r>
        <w:rPr/>
      </w:r>
    </w:p>
    <w:p>
      <w:bookmarkStart w:id="1605" w:name="_NAESTMA_TOC_1605"/>
      <w:pPr>
        <w:pStyle w:val="Heading2"/>
        <w:keepNext/>
        <w:widowControl/>
        <w:rPr/>
      </w:pPr>
      <w:r>
        <w:rPr/>
        <w:t>Article 39.121: Autonomous Maritime and Port Cargo Systems</w:t>
      </w:r>
      <w:bookmarkEnd w:id="1605"/>
    </w:p>
    <w:p>
      <w:pPr>
        <w:pStyle w:val="Normal"/>
        <w:widowControl/>
        <w:rPr/>
      </w:pPr>
      <w:r>
        <w:rPr/>
        <w:t>1. [Autonomous Maritime and Port Cargo Systems] Autonomous vessel/cargo-system assurance - The Parties shall provide for autonomous vessel/cargo-system assurance through competent existing authorities using technology-neutral and interoperable means appropriate to the material consequence of the activity. Implementation shall preserve applicable confidentiality, human-review, constitutional, safety, security, and stronger-domestic-law safeguards and shall not make an optional AI program a condition of ordinary market access.</w:t>
      </w:r>
    </w:p>
    <w:p>
      <w:pPr>
        <w:pStyle w:val="Normal"/>
        <w:rPr/>
      </w:pPr>
      <w:r>
        <w:rPr/>
      </w:r>
    </w:p>
    <w:p>
      <w:pPr>
        <w:pStyle w:val="Normal"/>
        <w:widowControl/>
        <w:rPr/>
      </w:pPr>
      <w:r>
        <w:rPr/>
        <w:t>2. [Autonomous Maritime and Port Cargo Systems] Port-interface interoperability - The Parties shall provide for port-interface interoperability through competent existing authorities using technology-neutral and interoperable means appropriate to the material consequence of the activity. Implementation shall preserve applicable confidentiality, human-review, constitutional, safety, security, and stronger-domestic-law safeguards and shall not make an optional AI program a condition of ordinary market access.</w:t>
      </w:r>
    </w:p>
    <w:p>
      <w:pPr>
        <w:pStyle w:val="Normal"/>
        <w:rPr/>
      </w:pPr>
      <w:r>
        <w:rPr/>
      </w:r>
    </w:p>
    <w:p>
      <w:pPr>
        <w:pStyle w:val="Normal"/>
        <w:widowControl/>
        <w:rPr/>
      </w:pPr>
      <w:r>
        <w:rPr/>
        <w:t>3. [Autonomous Maritime and Port Cargo Systems] Remote-operator responsibility - The Parties shall provide for remote-operator responsibility through competent existing authorities using technology-neutral and interoperable means appropriate to the material consequence of the activity. Implementation shall preserve applicable confidentiality, human-review, constitutional, safety, security, and stronger-domestic-law safeguards and shall not make an optional AI program a condition of ordinary market access.</w:t>
      </w:r>
    </w:p>
    <w:p>
      <w:pPr>
        <w:pStyle w:val="Normal"/>
        <w:rPr/>
      </w:pPr>
      <w:r>
        <w:rPr/>
      </w:r>
    </w:p>
    <w:p>
      <w:pPr>
        <w:pStyle w:val="Normal"/>
        <w:widowControl/>
        <w:rPr/>
      </w:pPr>
      <w:r>
        <w:rPr/>
        <w:t>4. [Autonomous Maritime and Port Cargo Systems] Navigation/system change control - The Parties shall provide for navigation/system change control through competent existing authorities using technology-neutral and interoperable means appropriate to the material consequence of the activity. Implementation shall preserve applicable confidentiality, human-review, constitutional, safety, security, and stronger-domestic-law safeguards and shall not make an optional AI program a condition of ordinary market access.</w:t>
      </w:r>
    </w:p>
    <w:p>
      <w:pPr>
        <w:pStyle w:val="Normal"/>
        <w:rPr/>
      </w:pPr>
      <w:r>
        <w:rPr/>
      </w:r>
    </w:p>
    <w:p>
      <w:pPr>
        <w:pStyle w:val="Normal"/>
        <w:widowControl/>
        <w:rPr/>
      </w:pPr>
      <w:r>
        <w:rPr/>
        <w:t>5. [Autonomous Maritime and Port Cargo Systems] Incident forensics - The Parties shall provide for incident forensics through competent existing authorities using technology-neutral and interoperable means appropriate to the material consequence of the activity. Implementation shall preserve applicable confidentiality, human-review, constitutional, safety, security, and stronger-domestic-law safeguards and shall not make an optional AI program a condition of ordinary market access.</w:t>
      </w:r>
    </w:p>
    <w:p>
      <w:pPr>
        <w:pStyle w:val="Normal"/>
        <w:rPr/>
      </w:pPr>
      <w:r>
        <w:rPr/>
      </w:r>
    </w:p>
    <w:p>
      <w:pPr>
        <w:pStyle w:val="Normal"/>
        <w:widowControl/>
        <w:rPr/>
      </w:pPr>
      <w:r>
        <w:rPr/>
        <w:t>6. [Autonomous Maritime and Port Cargo Systems] Equivalent safety outcomes - The Parties shall provide for equivalent safety outcomes through competent existing authorities using technology-neutral and interoperable means appropriate to the material consequence of the activity. Implementation shall preserve applicable confidentiality, human-review, constitutional, safety, security, and stronger-domestic-law safeguards and shall not make an optional AI program a condition of ordinary market access.</w:t>
      </w:r>
    </w:p>
    <w:p>
      <w:pPr>
        <w:pStyle w:val="Normal"/>
        <w:rPr/>
      </w:pPr>
      <w:r>
        <w:rPr/>
      </w:r>
    </w:p>
    <w:p>
      <w:bookmarkStart w:id="1606" w:name="_NAESTMA_TOC_1606"/>
      <w:pPr>
        <w:pStyle w:val="Heading2"/>
        <w:keepNext/>
        <w:widowControl/>
        <w:rPr/>
      </w:pPr>
      <w:r>
        <w:rPr/>
        <w:t>Article 39.122: Autonomous Aviation and Cargo-Drone Trade</w:t>
      </w:r>
      <w:bookmarkEnd w:id="1606"/>
    </w:p>
    <w:p>
      <w:pPr>
        <w:pStyle w:val="Normal"/>
        <w:widowControl/>
        <w:rPr/>
      </w:pPr>
      <w:r>
        <w:rPr/>
        <w:t>1. [Autonomous Aviation and Cargo-Drone Trade] Cargo-drone authorization - The Parties shall provide for cargo-drone authorization through competent existing authorities using technology-neutral and interoperable means appropriate to the material consequence of the activity. Implementation shall preserve applicable confidentiality, human-review, constitutional, safety, security, and stronger-domestic-law safeguards and shall not make an optional AI program a condition of ordinary market access.</w:t>
      </w:r>
    </w:p>
    <w:p>
      <w:pPr>
        <w:pStyle w:val="Normal"/>
        <w:rPr/>
      </w:pPr>
      <w:r>
        <w:rPr/>
      </w:r>
    </w:p>
    <w:p>
      <w:pPr>
        <w:pStyle w:val="Normal"/>
        <w:widowControl/>
        <w:rPr/>
      </w:pPr>
      <w:r>
        <w:rPr/>
        <w:t>2. [Autonomous Aviation and Cargo-Drone Trade] Remote-operator recognition - The Parties shall provide for remote-operator recognition through competent existing authorities using technology-neutral and interoperable means appropriate to the material consequence of the activity. Implementation shall preserve applicable confidentiality, human-review, constitutional, safety, security, and stronger-domestic-law safeguards and shall not make an optional AI program a condition of ordinary market access.</w:t>
      </w:r>
    </w:p>
    <w:p>
      <w:pPr>
        <w:pStyle w:val="Normal"/>
        <w:rPr/>
      </w:pPr>
      <w:r>
        <w:rPr/>
      </w:r>
    </w:p>
    <w:p>
      <w:pPr>
        <w:pStyle w:val="Normal"/>
        <w:widowControl/>
        <w:rPr/>
      </w:pPr>
      <w:r>
        <w:rPr/>
        <w:t>3. [Autonomous Aviation and Cargo-Drone Trade] Airspace/airport interoperability - The Parties shall provide for airspace/airport interoperability through competent existing authorities using technology-neutral and interoperable means appropriate to the material consequence of the activity. Implementation shall preserve applicable confidentiality, human-review, constitutional, safety, security, and stronger-domestic-law safeguards and shall not make an optional AI program a condition of ordinary market access.</w:t>
      </w:r>
    </w:p>
    <w:p>
      <w:pPr>
        <w:pStyle w:val="Normal"/>
        <w:rPr/>
      </w:pPr>
      <w:r>
        <w:rPr/>
      </w:r>
    </w:p>
    <w:p>
      <w:pPr>
        <w:pStyle w:val="Normal"/>
        <w:widowControl/>
        <w:rPr/>
      </w:pPr>
      <w:r>
        <w:rPr/>
        <w:t>4. [Autonomous Aviation and Cargo-Drone Trade] AI maintenance evidence - The Parties shall provide for aI maintenance evidence through competent existing authorities using technology-neutral and interoperable means appropriate to the material consequence of the activity. Implementation shall preserve applicable confidentiality, human-review, constitutional, safety, security, and stronger-domestic-law safeguards and shall not make an optional AI program a condition of ordinary market access.</w:t>
      </w:r>
    </w:p>
    <w:p>
      <w:pPr>
        <w:pStyle w:val="Normal"/>
        <w:rPr/>
      </w:pPr>
      <w:r>
        <w:rPr/>
      </w:r>
    </w:p>
    <w:p>
      <w:pPr>
        <w:pStyle w:val="Normal"/>
        <w:widowControl/>
        <w:rPr/>
      </w:pPr>
      <w:r>
        <w:rPr/>
        <w:t>5. [Autonomous Aviation and Cargo-Drone Trade] Event-data handling - The Parties shall provide for event-data handling through competent existing authorities using technology-neutral and interoperable means appropriate to the material consequence of the activity. Implementation shall preserve applicable confidentiality, human-review, constitutional, safety, security, and stronger-domestic-law safeguards and shall not make an optional AI program a condition of ordinary market access.</w:t>
      </w:r>
    </w:p>
    <w:p>
      <w:pPr>
        <w:pStyle w:val="Normal"/>
        <w:rPr/>
      </w:pPr>
      <w:r>
        <w:rPr/>
      </w:r>
    </w:p>
    <w:p>
      <w:pPr>
        <w:pStyle w:val="Normal"/>
        <w:widowControl/>
        <w:rPr/>
      </w:pPr>
      <w:r>
        <w:rPr/>
        <w:t>6. [Autonomous Aviation and Cargo-Drone Trade] Technology-neutral safety equivalence - The Parties shall provide for technology-neutral safety equivalence through competent existing authorities using technology-neutral and interoperable means appropriate to the material consequence of the activity. Implementation shall preserve applicable confidentiality, human-review, constitutional, safety, security, and stronger-domestic-law safeguards and shall not make an optional AI program a condition of ordinary market access.</w:t>
      </w:r>
    </w:p>
    <w:p>
      <w:pPr>
        <w:pStyle w:val="Normal"/>
        <w:rPr/>
      </w:pPr>
      <w:r>
        <w:rPr/>
      </w:r>
    </w:p>
    <w:p>
      <w:bookmarkStart w:id="1607" w:name="_NAESTMA_TOC_1607"/>
      <w:pPr>
        <w:pStyle w:val="Heading2"/>
        <w:keepNext/>
        <w:widowControl/>
        <w:rPr/>
      </w:pPr>
      <w:r>
        <w:rPr/>
        <w:t>Article 39.123: AI Trade-Measure Proportionality and Non-Discrimination</w:t>
      </w:r>
      <w:bookmarkEnd w:id="1607"/>
    </w:p>
    <w:p>
      <w:pPr>
        <w:pStyle w:val="Normal"/>
        <w:widowControl/>
        <w:rPr/>
      </w:pPr>
      <w:r>
        <w:rPr/>
        <w:t>1. [AI Trade-Measure Proportionality and Non-Discrimination] Legitimate objective - The Parties shall provide for legitimate objective through competent existing authorities using technology-neutral and interoperable means appropriate to the material consequence of the activity. Implementation shall preserve applicable confidentiality, human-review, constitutional, safety, security, and stronger-domestic-law safeguards and shall not make an optional AI program a condition of ordinary market access.</w:t>
      </w:r>
    </w:p>
    <w:p>
      <w:pPr>
        <w:pStyle w:val="Normal"/>
        <w:rPr/>
      </w:pPr>
      <w:r>
        <w:rPr/>
      </w:r>
    </w:p>
    <w:p>
      <w:pPr>
        <w:pStyle w:val="Normal"/>
        <w:widowControl/>
        <w:rPr/>
      </w:pPr>
      <w:r>
        <w:rPr/>
        <w:t>2. [AI Trade-Measure Proportionality and Non-Discrimination] Trade nexus - The Parties shall provide for trade nexus through competent existing authorities using technology-neutral and interoperable means appropriate to the material consequence of the activity. Implementation shall preserve applicable confidentiality, human-review, constitutional, safety, security, and stronger-domestic-law safeguards and shall not make an optional AI program a condition of ordinary market access.</w:t>
      </w:r>
    </w:p>
    <w:p>
      <w:pPr>
        <w:pStyle w:val="Normal"/>
        <w:rPr/>
      </w:pPr>
      <w:r>
        <w:rPr/>
      </w:r>
    </w:p>
    <w:p>
      <w:pPr>
        <w:pStyle w:val="Normal"/>
        <w:widowControl/>
        <w:rPr/>
      </w:pPr>
      <w:r>
        <w:rPr/>
        <w:t>3. [AI Trade-Measure Proportionality and Non-Discrimination] Necessity/proportionality - The Parties shall provide for necessity/proportionality through competent existing authorities using technology-neutral and interoperable means appropriate to the material consequence of the activity. Implementation shall preserve applicable confidentiality, human-review, constitutional, safety, security, and stronger-domestic-law safeguards and shall not make an optional AI program a condition of ordinary market access.</w:t>
      </w:r>
    </w:p>
    <w:p>
      <w:pPr>
        <w:pStyle w:val="Normal"/>
        <w:rPr/>
      </w:pPr>
      <w:r>
        <w:rPr/>
      </w:r>
    </w:p>
    <w:p>
      <w:pPr>
        <w:pStyle w:val="Normal"/>
        <w:widowControl/>
        <w:rPr/>
      </w:pPr>
      <w:r>
        <w:rPr/>
        <w:t>4. [AI Trade-Measure Proportionality and Non-Discrimination] No disguised discrimination - No Party shall use no disguised discrimination to create an automatic tariff consequence, unrelated retaliation, compulsory technology transfer, or loss of an unrelated treaty benefit unless this Agreement expressly authorizes that result. Any exception or adverse action shall remain subject to the competent-authority, proportionality, confidentiality, review, and cure requirements otherwise applicable under this Agreement.</w:t>
      </w:r>
    </w:p>
    <w:p>
      <w:pPr>
        <w:pStyle w:val="Normal"/>
        <w:rPr/>
      </w:pPr>
      <w:r>
        <w:rPr/>
      </w:r>
    </w:p>
    <w:p>
      <w:pPr>
        <w:pStyle w:val="Normal"/>
        <w:widowControl/>
        <w:rPr/>
      </w:pPr>
      <w:r>
        <w:rPr/>
        <w:t>5. [AI Trade-Measure Proportionality and Non-Discrimination] Less trade-restrictive alternative review - The Parties shall provide for less trade-restrictive alternative review through competent existing authorities using technology-neutral and interoperable means appropriate to the material consequence of the activity. Implementation shall preserve applicable confidentiality, human-review, constitutional, safety, security, and stronger-domestic-law safeguards and shall not make an optional AI program a condition of ordinary market access.</w:t>
      </w:r>
    </w:p>
    <w:p>
      <w:pPr>
        <w:pStyle w:val="Normal"/>
        <w:rPr/>
      </w:pPr>
      <w:r>
        <w:rPr/>
      </w:r>
    </w:p>
    <w:p>
      <w:pPr>
        <w:pStyle w:val="Normal"/>
        <w:widowControl/>
        <w:rPr/>
      </w:pPr>
      <w:r>
        <w:rPr/>
        <w:t>6. [AI Trade-Measure Proportionality and Non-Discrimination] Rights/safety savings - The Parties shall provide for rights/safety savings through competent existing authorities using technology-neutral and interoperable means appropriate to the material consequence of the activity. Implementation shall preserve applicable confidentiality, human-review, constitutional, safety, security, and stronger-domestic-law safeguards and shall not make an optional AI program a condition of ordinary market access.</w:t>
      </w:r>
    </w:p>
    <w:p>
      <w:pPr>
        <w:pStyle w:val="Normal"/>
        <w:rPr/>
      </w:pPr>
      <w:r>
        <w:rPr/>
      </w:r>
    </w:p>
    <w:p>
      <w:bookmarkStart w:id="1608" w:name="_NAESTMA_TOC_1608"/>
      <w:pPr>
        <w:pStyle w:val="Heading2"/>
        <w:keepNext/>
        <w:widowControl/>
        <w:rPr/>
      </w:pPr>
      <w:r>
        <w:rPr/>
        <w:t>Article 39.124: Expedited AI Regulatory Trade-Friction Consultation</w:t>
      </w:r>
      <w:bookmarkEnd w:id="1608"/>
    </w:p>
    <w:p>
      <w:pPr>
        <w:pStyle w:val="Normal"/>
        <w:widowControl/>
        <w:rPr/>
      </w:pPr>
      <w:r>
        <w:rPr/>
        <w:t>1. [Expedited AI Regulatory Trade-Friction Consultation] Material-friction trigger - The Parties shall provide for material-friction trigger through competent existing authorities using technology-neutral and interoperable means appropriate to the material consequence of the activity. Implementation shall preserve applicable confidentiality, human-review, constitutional, safety, security, and stronger-domestic-law safeguards and shall not make an optional AI program a condition of ordinary market access.</w:t>
      </w:r>
    </w:p>
    <w:p>
      <w:pPr>
        <w:pStyle w:val="Normal"/>
        <w:rPr/>
      </w:pPr>
      <w:r>
        <w:rPr/>
      </w:r>
    </w:p>
    <w:p>
      <w:pPr>
        <w:pStyle w:val="Normal"/>
        <w:widowControl/>
        <w:rPr/>
      </w:pPr>
      <w:r>
        <w:rPr/>
        <w:t>2. [Expedited AI Regulatory Trade-Friction Consultation] Notice request - The Parties shall provide for notice request through competent existing authorities using technology-neutral and interoperable means appropriate to the material consequence of the activity. Implementation shall preserve applicable confidentiality, human-review, constitutional, safety, security, and stronger-domestic-law safeguards and shall not make an optional AI program a condition of ordinary market access.</w:t>
      </w:r>
    </w:p>
    <w:p>
      <w:pPr>
        <w:pStyle w:val="Normal"/>
        <w:rPr/>
      </w:pPr>
      <w:r>
        <w:rPr/>
      </w:r>
    </w:p>
    <w:p>
      <w:pPr>
        <w:pStyle w:val="Normal"/>
        <w:widowControl/>
        <w:rPr/>
      </w:pPr>
      <w:r>
        <w:rPr/>
        <w:t>3. [Expedited AI Regulatory Trade-Friction Consultation] Expedited consultation clock - The Parties shall provide for expedited consultation clock through competent existing authorities using technology-neutral and interoperable means appropriate to the material consequence of the activity. Implementation shall preserve applicable confidentiality, human-review, constitutional, safety, security, and stronger-domestic-law safeguards and shall not make an optional AI program a condition of ordinary market access.</w:t>
      </w:r>
    </w:p>
    <w:p>
      <w:pPr>
        <w:pStyle w:val="Normal"/>
        <w:rPr/>
      </w:pPr>
      <w:r>
        <w:rPr/>
      </w:r>
    </w:p>
    <w:p>
      <w:pPr>
        <w:pStyle w:val="Normal"/>
        <w:widowControl/>
        <w:rPr/>
      </w:pPr>
      <w:r>
        <w:rPr/>
        <w:t>4. [Expedited AI Regulatory Trade-Friction Consultation] Evidence exchange - The Parties shall provide for evidence exchange through competent existing authorities using technology-neutral and interoperable means appropriate to the material consequence of the activity. Implementation shall preserve applicable confidentiality, human-review, constitutional, safety, security, and stronger-domestic-law safeguards and shall not make an optional AI program a condition of ordinary market access.</w:t>
      </w:r>
    </w:p>
    <w:p>
      <w:pPr>
        <w:pStyle w:val="Normal"/>
        <w:rPr/>
      </w:pPr>
      <w:r>
        <w:rPr/>
      </w:r>
    </w:p>
    <w:p>
      <w:pPr>
        <w:pStyle w:val="Normal"/>
        <w:widowControl/>
        <w:rPr/>
      </w:pPr>
      <w:r>
        <w:rPr/>
        <w:t>5. [Expedited AI Regulatory Trade-Friction Consultation] Technical cure discussion - The Parties shall provide for technical cure discussion through competent existing authorities using technology-neutral and interoperable means appropriate to the material consequence of the activity. Implementation shall preserve applicable confidentiality, human-review, constitutional, safety, security, and stronger-domestic-law safeguards and shall not make an optional AI program a condition of ordinary market access.</w:t>
      </w:r>
    </w:p>
    <w:p>
      <w:pPr>
        <w:pStyle w:val="Normal"/>
        <w:rPr/>
      </w:pPr>
      <w:r>
        <w:rPr/>
      </w:r>
    </w:p>
    <w:p>
      <w:pPr>
        <w:pStyle w:val="Normal"/>
        <w:widowControl/>
        <w:rPr/>
      </w:pPr>
      <w:r>
        <w:rPr/>
        <w:t>6. [Expedited AI Regulatory Trade-Friction Consultation] No automatic suspension of domestic measure - No Party shall use no automatic suspension of domestic measure to create an automatic tariff consequence, unrelated retaliation, compulsory technology transfer, or loss of an unrelated treaty benefit unless this Agreement expressly authorizes that result. Any exception or adverse action shall remain subject to the competent-authority, proportionality, confidentiality, review, and cure requirements otherwise applicable under this Agreement.</w:t>
      </w:r>
    </w:p>
    <w:p>
      <w:pPr>
        <w:pStyle w:val="Normal"/>
        <w:rPr/>
      </w:pPr>
      <w:r>
        <w:rPr/>
      </w:r>
    </w:p>
    <w:p>
      <w:bookmarkStart w:id="1609" w:name="_NAESTMA_TOC_1609"/>
      <w:pPr>
        <w:pStyle w:val="Heading2"/>
        <w:keepNext/>
        <w:widowControl/>
        <w:rPr/>
      </w:pPr>
      <w:r>
        <w:rPr/>
        <w:t>Article 39.125: AI Equivalence and Regulatory Reliance</w:t>
      </w:r>
      <w:bookmarkEnd w:id="1609"/>
    </w:p>
    <w:p>
      <w:pPr>
        <w:pStyle w:val="Normal"/>
        <w:widowControl/>
        <w:rPr/>
      </w:pPr>
      <w:r>
        <w:rPr/>
        <w:t>1. [AI Equivalence and Regulatory Reliance] Materially equivalent outcomes - The Parties shall provide for materially equivalent outcomes through competent existing authorities using technology-neutral and interoperable means appropriate to the material consequence of the activity. Implementation shall preserve applicable confidentiality, human-review, constitutional, safety, security, and stronger-domestic-law safeguards and shall not make an optional AI program a condition of ordinary market access.</w:t>
      </w:r>
    </w:p>
    <w:p>
      <w:pPr>
        <w:pStyle w:val="Normal"/>
        <w:rPr/>
      </w:pPr>
      <w:r>
        <w:rPr/>
      </w:r>
    </w:p>
    <w:p>
      <w:pPr>
        <w:pStyle w:val="Normal"/>
        <w:widowControl/>
        <w:rPr/>
      </w:pPr>
      <w:r>
        <w:rPr/>
        <w:t>2. [AI Equivalence and Regulatory Reliance] No automatic equivalence - No Party shall use no automatic equivalence to create an automatic tariff consequence, unrelated retaliation, compulsory technology transfer, or loss of an unrelated treaty benefit unless this Agreement expressly authorizes that result. Any exception or adverse action shall remain subject to the competent-authority, proportionality, confidentiality, review, and cure requirements otherwise applicable under this Agreement.</w:t>
      </w:r>
    </w:p>
    <w:p>
      <w:pPr>
        <w:pStyle w:val="Normal"/>
        <w:rPr/>
      </w:pPr>
      <w:r>
        <w:rPr/>
      </w:r>
    </w:p>
    <w:p>
      <w:pPr>
        <w:pStyle w:val="Normal"/>
        <w:widowControl/>
        <w:rPr/>
      </w:pPr>
      <w:r>
        <w:rPr/>
        <w:t>3. [AI Equivalence and Regulatory Reliance] Conformance evidence - The Parties shall provide for conformance evidence through competent existing authorities using technology-neutral and interoperable means appropriate to the material consequence of the activity. Implementation shall preserve applicable confidentiality, human-review, constitutional, safety, security, and stronger-domestic-law safeguards and shall not make an optional AI program a condition of ordinary market access.</w:t>
      </w:r>
    </w:p>
    <w:p>
      <w:pPr>
        <w:pStyle w:val="Normal"/>
        <w:rPr/>
      </w:pPr>
      <w:r>
        <w:rPr/>
      </w:r>
    </w:p>
    <w:p>
      <w:pPr>
        <w:pStyle w:val="Normal"/>
        <w:widowControl/>
        <w:rPr/>
      </w:pPr>
      <w:r>
        <w:rPr/>
        <w:t>4. [AI Equivalence and Regulatory Reliance] Reasoned recognition decision - The Parties shall provide for reasoned recognition decision through competent existing authorities using technology-neutral and interoperable means appropriate to the material consequence of the activity. Implementation shall preserve applicable confidentiality, human-review, constitutional, safety, security, and stronger-domestic-law safeguards and shall not make an optional AI program a condition of ordinary market access.</w:t>
      </w:r>
    </w:p>
    <w:p>
      <w:pPr>
        <w:pStyle w:val="Normal"/>
        <w:rPr/>
      </w:pPr>
      <w:r>
        <w:rPr/>
      </w:r>
    </w:p>
    <w:p>
      <w:pPr>
        <w:pStyle w:val="Normal"/>
        <w:widowControl/>
        <w:rPr/>
      </w:pPr>
      <w:r>
        <w:rPr/>
        <w:t>5. [AI Equivalence and Regulatory Reliance] Reasoned refusal - The Parties shall provide for reasoned refusal through competent existing authorities using technology-neutral and interoperable means appropriate to the material consequence of the activity. Implementation shall preserve applicable confidentiality, human-review, constitutional, safety, security, and stronger-domestic-law safeguards and shall not make an optional AI program a condition of ordinary market access.</w:t>
      </w:r>
    </w:p>
    <w:p>
      <w:pPr>
        <w:pStyle w:val="Normal"/>
        <w:rPr/>
      </w:pPr>
      <w:r>
        <w:rPr/>
      </w:r>
    </w:p>
    <w:p>
      <w:pPr>
        <w:pStyle w:val="Normal"/>
        <w:widowControl/>
        <w:rPr/>
      </w:pPr>
      <w:r>
        <w:rPr/>
        <w:t>6. [AI Equivalence and Regulatory Reliance] Periodic reassessment - The Parties shall provide for periodic reassessment through competent existing authorities using technology-neutral and interoperable means appropriate to the material consequence of the activity. Implementation shall preserve applicable confidentiality, human-review, constitutional, safety, security, and stronger-domestic-law safeguards and shall not make an optional AI program a condition of ordinary market access.</w:t>
      </w:r>
    </w:p>
    <w:p>
      <w:pPr>
        <w:pStyle w:val="Normal"/>
        <w:rPr/>
      </w:pPr>
      <w:r>
        <w:rPr/>
      </w:r>
    </w:p>
    <w:p>
      <w:bookmarkStart w:id="1610" w:name="_NAESTMA_TOC_1610"/>
      <w:pPr>
        <w:pStyle w:val="Heading2"/>
        <w:keepNext/>
        <w:widowControl/>
        <w:rPr/>
      </w:pPr>
      <w:r>
        <w:rPr/>
        <w:t>Article 39.126: AI Testing, Sandboxes and Conformity Evidence</w:t>
      </w:r>
      <w:bookmarkEnd w:id="1610"/>
    </w:p>
    <w:p>
      <w:pPr>
        <w:pStyle w:val="Normal"/>
        <w:widowControl/>
        <w:rPr/>
      </w:pPr>
      <w:r>
        <w:rPr/>
        <w:t>1. [AI Testing, Sandboxes and Conformity Evidence] Accredited testing pathways - The Parties shall provide for accredited testing pathways through competent existing authorities using technology-neutral and interoperable means appropriate to the material consequence of the activity. Implementation shall preserve applicable confidentiality, human-review, constitutional, safety, security, and stronger-domestic-law safeguards and shall not make an optional AI program a condition of ordinary market access.</w:t>
      </w:r>
    </w:p>
    <w:p>
      <w:pPr>
        <w:pStyle w:val="Normal"/>
        <w:rPr/>
      </w:pPr>
      <w:r>
        <w:rPr/>
      </w:r>
    </w:p>
    <w:p>
      <w:pPr>
        <w:pStyle w:val="Normal"/>
        <w:widowControl/>
        <w:rPr/>
      </w:pPr>
      <w:r>
        <w:rPr/>
        <w:t>2. [AI Testing, Sandboxes and Conformity Evidence] Cross-border test evidence - The Parties shall provide for cross-border test evidence through competent existing authorities using technology-neutral and interoperable means appropriate to the material consequence of the activity. Implementation shall preserve applicable confidentiality, human-review, constitutional, safety, security, and stronger-domestic-law safeguards and shall not make an optional AI program a condition of ordinary market access.</w:t>
      </w:r>
    </w:p>
    <w:p>
      <w:pPr>
        <w:pStyle w:val="Normal"/>
        <w:rPr/>
      </w:pPr>
      <w:r>
        <w:rPr/>
      </w:r>
    </w:p>
    <w:p>
      <w:pPr>
        <w:pStyle w:val="Normal"/>
        <w:widowControl/>
        <w:rPr/>
      </w:pPr>
      <w:r>
        <w:rPr/>
        <w:t>3. [AI Testing, Sandboxes and Conformity Evidence] Sandbox evidence use - The Parties shall provide for sandbox evidence use through competent existing authorities using technology-neutral and interoperable means appropriate to the material consequence of the activity. Implementation shall preserve applicable confidentiality, human-review, constitutional, safety, security, and stronger-domestic-law safeguards and shall not make an optional AI program a condition of ordinary market access.</w:t>
      </w:r>
    </w:p>
    <w:p>
      <w:pPr>
        <w:pStyle w:val="Normal"/>
        <w:rPr/>
      </w:pPr>
      <w:r>
        <w:rPr/>
      </w:r>
    </w:p>
    <w:p>
      <w:pPr>
        <w:pStyle w:val="Normal"/>
        <w:widowControl/>
        <w:rPr/>
      </w:pPr>
      <w:r>
        <w:rPr/>
        <w:t>4. [AI Testing, Sandboxes and Conformity Evidence] Confidentiality - The Parties shall provide for confidentiality through competent existing authorities using technology-neutral and interoperable means appropriate to the material consequence of the activity. Implementation shall preserve applicable confidentiality, human-review, constitutional, safety, security, and stronger-domestic-law safeguards and shall not make an optional AI program a condition of ordinary market access.</w:t>
      </w:r>
    </w:p>
    <w:p>
      <w:pPr>
        <w:pStyle w:val="Normal"/>
        <w:rPr/>
      </w:pPr>
      <w:r>
        <w:rPr/>
      </w:r>
    </w:p>
    <w:p>
      <w:pPr>
        <w:pStyle w:val="Normal"/>
        <w:widowControl/>
        <w:rPr/>
      </w:pPr>
      <w:r>
        <w:rPr/>
        <w:t>5. [AI Testing, Sandboxes and Conformity Evidence] No mandatory sandbox participation - No Party shall use no mandatory sandbox participation to create an automatic tariff consequence, unrelated retaliation, compulsory technology transfer, or loss of an unrelated treaty benefit unless this Agreement expressly authorizes that result. Any exception or adverse action shall remain subject to the competent-authority, proportionality, confidentiality, review, and cure requirements otherwise applicable under this Agreement.</w:t>
      </w:r>
    </w:p>
    <w:p>
      <w:pPr>
        <w:pStyle w:val="Normal"/>
        <w:rPr/>
      </w:pPr>
      <w:r>
        <w:rPr/>
      </w:r>
    </w:p>
    <w:p>
      <w:pPr>
        <w:pStyle w:val="Normal"/>
        <w:widowControl/>
        <w:rPr/>
      </w:pPr>
      <w:r>
        <w:rPr/>
        <w:t>6. [AI Testing, Sandboxes and Conformity Evidence] Optional joint pilots - No Party shall use optional joint pilots to create an automatic tariff consequence, unrelated retaliation, compulsory technology transfer, or loss of an unrelated treaty benefit unless this Agreement expressly authorizes that result. Any exception or adverse action shall remain subject to the competent-authority, proportionality, confidentiality, review, and cure requirements otherwise applicable under this Agreement.</w:t>
      </w:r>
    </w:p>
    <w:p>
      <w:pPr>
        <w:pStyle w:val="Normal"/>
        <w:rPr/>
      </w:pPr>
      <w:r>
        <w:rPr/>
      </w:r>
    </w:p>
    <w:p>
      <w:bookmarkStart w:id="1611" w:name="_NAESTMA_TOC_1611"/>
      <w:pPr>
        <w:pStyle w:val="Heading2"/>
        <w:keepNext/>
        <w:widowControl/>
        <w:rPr/>
      </w:pPr>
      <w:r>
        <w:rPr/>
        <w:t>Article 39.127: AI-Trade Workforce Competence</w:t>
      </w:r>
      <w:bookmarkEnd w:id="1611"/>
    </w:p>
    <w:p>
      <w:pPr>
        <w:pStyle w:val="Normal"/>
        <w:widowControl/>
        <w:rPr/>
      </w:pPr>
      <w:r>
        <w:rPr/>
        <w:t>1. [AI-Trade Workforce Competence] Role-specific competence - The Parties shall provide for role-specific competence through competent existing authorities using technology-neutral and interoperable means appropriate to the material consequence of the activity. Implementation shall preserve applicable confidentiality, human-review, constitutional, safety, security, and stronger-domestic-law safeguards and shall not make an optional AI program a condition of ordinary market access.</w:t>
      </w:r>
    </w:p>
    <w:p>
      <w:pPr>
        <w:pStyle w:val="Normal"/>
        <w:rPr/>
      </w:pPr>
      <w:r>
        <w:rPr/>
      </w:r>
    </w:p>
    <w:p>
      <w:pPr>
        <w:pStyle w:val="Normal"/>
        <w:widowControl/>
        <w:rPr/>
      </w:pPr>
      <w:r>
        <w:rPr/>
        <w:t>2. [AI-Trade Workforce Competence] Customs officer AI-limitations literacy - The Parties shall provide for customs officer AI-limitations literacy through competent existing authorities using technology-neutral and interoperable means appropriate to the material consequence of the activity. Implementation shall preserve applicable confidentiality, human-review, constitutional, safety, security, and stronger-domestic-law safeguards and shall not make an optional AI program a condition of ordinary market access.</w:t>
      </w:r>
    </w:p>
    <w:p>
      <w:pPr>
        <w:pStyle w:val="Normal"/>
        <w:rPr/>
      </w:pPr>
      <w:r>
        <w:rPr/>
      </w:r>
    </w:p>
    <w:p>
      <w:pPr>
        <w:pStyle w:val="Normal"/>
        <w:widowControl/>
        <w:rPr/>
      </w:pPr>
      <w:r>
        <w:rPr/>
        <w:t>3. [AI-Trade Workforce Competence] Technical specialist access - The Parties shall provide for technical specialist access through competent existing authorities using technology-neutral and interoperable means appropriate to the material consequence of the activity. Implementation shall preserve applicable confidentiality, human-review, constitutional, safety, security, and stronger-domestic-law safeguards and shall not make an optional AI program a condition of ordinary market access.</w:t>
      </w:r>
    </w:p>
    <w:p>
      <w:pPr>
        <w:pStyle w:val="Normal"/>
        <w:rPr/>
      </w:pPr>
      <w:r>
        <w:rPr/>
      </w:r>
    </w:p>
    <w:p>
      <w:pPr>
        <w:pStyle w:val="Normal"/>
        <w:widowControl/>
        <w:rPr/>
      </w:pPr>
      <w:r>
        <w:rPr/>
        <w:t>4. [AI-Trade Workforce Competence] Periodic refresh - The Parties shall provide for periodic refresh through competent existing authorities using technology-neutral and interoperable means appropriate to the material consequence of the activity. Implementation shall preserve applicable confidentiality, human-review, constitutional, safety, security, and stronger-domestic-law safeguards and shall not make an optional AI program a condition of ordinary market access.</w:t>
      </w:r>
    </w:p>
    <w:p>
      <w:pPr>
        <w:pStyle w:val="Normal"/>
        <w:rPr/>
      </w:pPr>
      <w:r>
        <w:rPr/>
      </w:r>
    </w:p>
    <w:p>
      <w:pPr>
        <w:pStyle w:val="Normal"/>
        <w:widowControl/>
        <w:rPr/>
      </w:pPr>
      <w:r>
        <w:rPr/>
        <w:t>5. [AI-Trade Workforce Competence] No fixed universal hours - No Party shall use no fixed universal hours to create an automatic tariff consequence, unrelated retaliation, compulsory technology transfer, or loss of an unrelated treaty benefit unless this Agreement expressly authorizes that result. Any exception or adverse action shall remain subject to the competent-authority, proportionality, confidentiality, review, and cure requirements otherwise applicable under this Agreement.</w:t>
      </w:r>
    </w:p>
    <w:p>
      <w:pPr>
        <w:pStyle w:val="Normal"/>
        <w:rPr/>
      </w:pPr>
      <w:r>
        <w:rPr/>
      </w:r>
    </w:p>
    <w:p>
      <w:pPr>
        <w:pStyle w:val="Normal"/>
        <w:widowControl/>
        <w:rPr/>
      </w:pPr>
      <w:r>
        <w:rPr/>
        <w:t>6. [AI-Trade Workforce Competence] Existing labor architecture savings - The Parties shall provide for existing labor architecture savings through competent existing authorities using technology-neutral and interoperable means appropriate to the material consequence of the activity. Implementation shall preserve applicable confidentiality, human-review, constitutional, safety, security, and stronger-domestic-law safeguards and shall not make an optional AI program a condition of ordinary market access.</w:t>
      </w:r>
    </w:p>
    <w:p>
      <w:pPr>
        <w:pStyle w:val="Normal"/>
        <w:rPr/>
      </w:pPr>
      <w:r>
        <w:rPr/>
      </w:r>
    </w:p>
    <w:p>
      <w:bookmarkStart w:id="1612" w:name="_NAESTMA_TOC_1612"/>
      <w:pPr>
        <w:pStyle w:val="Heading2"/>
        <w:keepNext/>
        <w:widowControl/>
        <w:rPr/>
      </w:pPr>
      <w:r>
        <w:rPr/>
        <w:t>Article 39.128: Trader, SME and Broker AI Literacy</w:t>
      </w:r>
      <w:bookmarkEnd w:id="1612"/>
    </w:p>
    <w:p>
      <w:pPr>
        <w:pStyle w:val="Normal"/>
        <w:widowControl/>
        <w:rPr/>
      </w:pPr>
      <w:r>
        <w:rPr/>
        <w:t>1. [Trader, SME and Broker AI Literacy] Plain-language guidance - The Parties shall provide for plain-language guidance through competent existing authorities using technology-neutral and interoperable means appropriate to the material consequence of the activity. Implementation shall preserve applicable confidentiality, human-review, constitutional, safety, security, and stronger-domestic-law safeguards and shall not make an optional AI program a condition of ordinary market access.</w:t>
      </w:r>
    </w:p>
    <w:p>
      <w:pPr>
        <w:pStyle w:val="Normal"/>
        <w:rPr/>
      </w:pPr>
      <w:r>
        <w:rPr/>
      </w:r>
    </w:p>
    <w:p>
      <w:pPr>
        <w:pStyle w:val="Normal"/>
        <w:widowControl/>
        <w:rPr/>
      </w:pPr>
      <w:r>
        <w:rPr/>
        <w:t>2. [Trader, SME and Broker AI Literacy] Hallucination/verification literacy - The Parties shall provide for hallucination/verification literacy through competent existing authorities using technology-neutral and interoperable means appropriate to the material consequence of the activity. Implementation shall preserve applicable confidentiality, human-review, constitutional, safety, security, and stronger-domestic-law safeguards and shall not make an optional AI program a condition of ordinary market access.</w:t>
      </w:r>
    </w:p>
    <w:p>
      <w:pPr>
        <w:pStyle w:val="Normal"/>
        <w:rPr/>
      </w:pPr>
      <w:r>
        <w:rPr/>
      </w:r>
    </w:p>
    <w:p>
      <w:pPr>
        <w:pStyle w:val="Normal"/>
        <w:widowControl/>
        <w:rPr/>
      </w:pPr>
      <w:r>
        <w:rPr/>
        <w:t>3. [Trader, SME and Broker AI Literacy] Broker training support - The Parties shall provide for broker training support through competent existing authorities using technology-neutral and interoperable means appropriate to the material consequence of the activity. Implementation shall preserve applicable confidentiality, human-review, constitutional, safety, security, and stronger-domestic-law safeguards and shall not make an optional AI program a condition of ordinary market access.</w:t>
      </w:r>
    </w:p>
    <w:p>
      <w:pPr>
        <w:pStyle w:val="Normal"/>
        <w:rPr/>
      </w:pPr>
      <w:r>
        <w:rPr/>
      </w:r>
    </w:p>
    <w:p>
      <w:pPr>
        <w:pStyle w:val="Normal"/>
        <w:widowControl/>
        <w:rPr/>
      </w:pPr>
      <w:r>
        <w:rPr/>
        <w:t>4. [Trader, SME and Broker AI Literacy] SME access support - The Parties shall provide for sME access support through competent existing authorities using technology-neutral and interoperable means appropriate to the material consequence of the activity. Implementation shall preserve applicable confidentiality, human-review, constitutional, safety, security, and stronger-domestic-law safeguards and shall not make an optional AI program a condition of ordinary market access.</w:t>
      </w:r>
    </w:p>
    <w:p>
      <w:pPr>
        <w:pStyle w:val="Normal"/>
        <w:rPr/>
      </w:pPr>
      <w:r>
        <w:rPr/>
      </w:r>
    </w:p>
    <w:p>
      <w:pPr>
        <w:pStyle w:val="Normal"/>
        <w:widowControl/>
        <w:rPr/>
      </w:pPr>
      <w:r>
        <w:rPr/>
        <w:t>5. [Trader, SME and Broker AI Literacy] Optional tools - No Party shall use optional tools to create an automatic tariff consequence, unrelated retaliation, compulsory technology transfer, or loss of an unrelated treaty benefit unless this Agreement expressly authorizes that result. Any exception or adverse action shall remain subject to the competent-authority, proportionality, confidentiality, review, and cure requirements otherwise applicable under this Agreement.</w:t>
      </w:r>
    </w:p>
    <w:p>
      <w:pPr>
        <w:pStyle w:val="Normal"/>
        <w:rPr/>
      </w:pPr>
      <w:r>
        <w:rPr/>
      </w:r>
    </w:p>
    <w:p>
      <w:pPr>
        <w:pStyle w:val="Normal"/>
        <w:widowControl/>
        <w:rPr/>
      </w:pPr>
      <w:r>
        <w:rPr/>
        <w:t>6. [Trader, SME and Broker AI Literacy] No AI-use prerequisite for ordinary trade - No Party shall use no AI-use prerequisite for ordinary trade to create an automatic tariff consequence, unrelated retaliation, compulsory technology transfer, or loss of an unrelated treaty benefit unless this Agreement expressly authorizes that result. Any exception or adverse action shall remain subject to the competent-authority, proportionality, confidentiality, review, and cure requirements otherwise applicable under this Agreement.</w:t>
      </w:r>
    </w:p>
    <w:p>
      <w:pPr>
        <w:pStyle w:val="Normal"/>
        <w:rPr/>
      </w:pPr>
      <w:r>
        <w:rPr/>
      </w:r>
    </w:p>
    <w:p>
      <w:bookmarkStart w:id="1613" w:name="_NAESTMA_TOC_1613"/>
      <w:pPr>
        <w:pStyle w:val="Heading2"/>
        <w:keepNext/>
        <w:widowControl/>
        <w:rPr/>
      </w:pPr>
      <w:r>
        <w:rPr/>
        <w:t>Article 39.129: AI Investment, Procurement and Infrastructure Neutrality</w:t>
      </w:r>
      <w:bookmarkEnd w:id="1613"/>
    </w:p>
    <w:p>
      <w:pPr>
        <w:pStyle w:val="Normal"/>
        <w:widowControl/>
        <w:rPr/>
      </w:pPr>
      <w:r>
        <w:rPr/>
        <w:t>1. [AI Investment, Procurement and Infrastructure Neutrality] Vendor-neutral procurement - The Parties shall provide for vendor-neutral procurement through competent existing authorities using technology-neutral and interoperable means appropriate to the material consequence of the activity. Implementation shall preserve applicable confidentiality, human-review, constitutional, safety, security, and stronger-domestic-law safeguards and shall not make an optional AI program a condition of ordinary market access.</w:t>
      </w:r>
    </w:p>
    <w:p>
      <w:pPr>
        <w:pStyle w:val="Normal"/>
        <w:rPr/>
      </w:pPr>
      <w:r>
        <w:rPr/>
      </w:r>
    </w:p>
    <w:p>
      <w:pPr>
        <w:pStyle w:val="Normal"/>
        <w:widowControl/>
        <w:rPr/>
      </w:pPr>
      <w:r>
        <w:rPr/>
        <w:t>2. [AI Investment, Procurement and Infrastructure Neutrality] No forced technology transfer - No Party shall use no forced technology transfer to create an automatic tariff consequence, unrelated retaliation, compulsory technology transfer, or loss of an unrelated treaty benefit unless this Agreement expressly authorizes that result. Any exception or adverse action shall remain subject to the competent-authority, proportionality, confidentiality, review, and cure requirements otherwise applicable under this Agreement.</w:t>
      </w:r>
    </w:p>
    <w:p>
      <w:pPr>
        <w:pStyle w:val="Normal"/>
        <w:rPr/>
      </w:pPr>
      <w:r>
        <w:rPr/>
      </w:r>
    </w:p>
    <w:p>
      <w:pPr>
        <w:pStyle w:val="Normal"/>
        <w:widowControl/>
        <w:rPr/>
      </w:pPr>
      <w:r>
        <w:rPr/>
        <w:t>3. [AI Investment, Procurement and Infrastructure Neutrality] Lifecycle competition - The Parties shall provide for lifecycle competition through competent existing authorities using technology-neutral and interoperable means appropriate to the material consequence of the activity. Implementation shall preserve applicable confidentiality, human-review, constitutional, safety, security, and stronger-domestic-law safeguards and shall not make an optional AI program a condition of ordinary market access.</w:t>
      </w:r>
    </w:p>
    <w:p>
      <w:pPr>
        <w:pStyle w:val="Normal"/>
        <w:rPr/>
      </w:pPr>
      <w:r>
        <w:rPr/>
      </w:r>
    </w:p>
    <w:p>
      <w:pPr>
        <w:pStyle w:val="Normal"/>
        <w:widowControl/>
        <w:rPr/>
      </w:pPr>
      <w:r>
        <w:rPr/>
        <w:t>4. [AI Investment, Procurement and Infrastructure Neutrality] Infrastructure resilience - The Parties shall provide for infrastructure resilience through competent existing authorities using technology-neutral and interoperable means appropriate to the material consequence of the activity. Implementation shall preserve applicable confidentiality, human-review, constitutional, safety, security, and stronger-domestic-law safeguards and shall not make an optional AI program a condition of ordinary market access.</w:t>
      </w:r>
    </w:p>
    <w:p>
      <w:pPr>
        <w:pStyle w:val="Normal"/>
        <w:rPr/>
      </w:pPr>
      <w:r>
        <w:rPr/>
      </w:r>
    </w:p>
    <w:p>
      <w:pPr>
        <w:pStyle w:val="Normal"/>
        <w:widowControl/>
        <w:rPr/>
      </w:pPr>
      <w:r>
        <w:rPr/>
        <w:t>5. [AI Investment, Procurement and Infrastructure Neutrality] Investment-screening cooperation - The Parties shall provide for investment-screening cooperation through competent existing authorities using technology-neutral and interoperable means appropriate to the material consequence of the activity. Implementation shall preserve applicable confidentiality, human-review, constitutional, safety, security, and stronger-domestic-law safeguards and shall not make an optional AI program a condition of ordinary market access.</w:t>
      </w:r>
    </w:p>
    <w:p>
      <w:pPr>
        <w:pStyle w:val="Normal"/>
        <w:rPr/>
      </w:pPr>
      <w:r>
        <w:rPr/>
      </w:r>
    </w:p>
    <w:p>
      <w:pPr>
        <w:pStyle w:val="Normal"/>
        <w:widowControl/>
        <w:rPr/>
      </w:pPr>
      <w:r>
        <w:rPr/>
        <w:t>6. [AI Investment, Procurement and Infrastructure Neutrality] Optional joint procurement - No Party shall use optional joint procurement to create an automatic tariff consequence, unrelated retaliation, compulsory technology transfer, or loss of an unrelated treaty benefit unless this Agreement expressly authorizes that result. Any exception or adverse action shall remain subject to the competent-authority, proportionality, confidentiality, review, and cure requirements otherwise applicable under this Agreement.</w:t>
      </w:r>
    </w:p>
    <w:p>
      <w:pPr>
        <w:pStyle w:val="Normal"/>
        <w:rPr/>
      </w:pPr>
      <w:r>
        <w:rPr/>
      </w:r>
    </w:p>
    <w:p>
      <w:bookmarkStart w:id="1614" w:name="_NAESTMA_TOC_1614"/>
      <w:pPr>
        <w:pStyle w:val="Heading2"/>
        <w:keepNext/>
        <w:widowControl/>
        <w:rPr/>
      </w:pPr>
      <w:r>
        <w:rPr/>
        <w:t>Article 39.130: AI-Trade Biennial Review and Update Mechanism</w:t>
      </w:r>
      <w:bookmarkEnd w:id="1614"/>
    </w:p>
    <w:p>
      <w:pPr>
        <w:pStyle w:val="Normal"/>
        <w:widowControl/>
        <w:rPr/>
      </w:pPr>
      <w:r>
        <w:rPr/>
        <w:t>1. [AI-Trade Biennial Review and Update Mechanism] Twenty-four-month review - The Parties shall provide for twenty-four-month review through competent existing authorities using technology-neutral and interoperable means appropriate to the material consequence of the activity. Implementation shall preserve applicable confidentiality, human-review, constitutional, safety, security, and stronger-domestic-law safeguards and shall not make an optional AI program a condition of ordinary market access.</w:t>
      </w:r>
    </w:p>
    <w:p>
      <w:pPr>
        <w:pStyle w:val="Normal"/>
        <w:rPr/>
      </w:pPr>
      <w:r>
        <w:rPr/>
      </w:r>
    </w:p>
    <w:p>
      <w:pPr>
        <w:pStyle w:val="Normal"/>
        <w:widowControl/>
        <w:rPr/>
      </w:pPr>
      <w:r>
        <w:rPr/>
        <w:t>2. [AI-Trade Biennial Review and Update Mechanism] Trade-friction inventory - The Parties shall provide for trade-friction inventory through competent existing authorities using technology-neutral and interoperable means appropriate to the material consequence of the activity. Implementation shall preserve applicable confidentiality, human-review, constitutional, safety, security, and stronger-domestic-law safeguards and shall not make an optional AI program a condition of ordinary market access.</w:t>
      </w:r>
    </w:p>
    <w:p>
      <w:pPr>
        <w:pStyle w:val="Normal"/>
        <w:rPr/>
      </w:pPr>
      <w:r>
        <w:rPr/>
      </w:r>
    </w:p>
    <w:p>
      <w:pPr>
        <w:pStyle w:val="Normal"/>
        <w:widowControl/>
        <w:rPr/>
      </w:pPr>
      <w:r>
        <w:rPr/>
        <w:t>3. [AI-Trade Biennial Review and Update Mechanism] Incident/interoperability review - The Parties shall provide for incident/interoperability review through competent existing authorities using technology-neutral and interoperable means appropriate to the material consequence of the activity. Implementation shall preserve applicable confidentiality, human-review, constitutional, safety, security, and stronger-domestic-law safeguards and shall not make an optional AI program a condition of ordinary market access.</w:t>
      </w:r>
    </w:p>
    <w:p>
      <w:pPr>
        <w:pStyle w:val="Normal"/>
        <w:rPr/>
      </w:pPr>
      <w:r>
        <w:rPr/>
      </w:r>
    </w:p>
    <w:p>
      <w:pPr>
        <w:pStyle w:val="Normal"/>
        <w:widowControl/>
        <w:rPr/>
      </w:pPr>
      <w:r>
        <w:rPr/>
        <w:t>4. [AI-Trade Biennial Review and Update Mechanism] Corrective protocol proposal - The Parties shall provide for corrective protocol proposal through competent existing authorities using technology-neutral and interoperable means appropriate to the material consequence of the activity. Implementation shall preserve applicable confidentiality, human-review, constitutional, safety, security, and stronger-domestic-law safeguards and shall not make an optional AI program a condition of ordinary market access.</w:t>
      </w:r>
    </w:p>
    <w:p>
      <w:pPr>
        <w:pStyle w:val="Normal"/>
        <w:rPr/>
      </w:pPr>
      <w:r>
        <w:rPr/>
      </w:r>
    </w:p>
    <w:p>
      <w:pPr>
        <w:pStyle w:val="Normal"/>
        <w:widowControl/>
        <w:rPr/>
      </w:pPr>
      <w:r>
        <w:rPr/>
        <w:t>5. [AI-Trade Biennial Review and Update Mechanism] Reasoned no-action determination - The Parties shall provide for reasoned no-action determination through competent existing authorities using technology-neutral and interoperable means appropriate to the material consequence of the activity. Implementation shall preserve applicable confidentiality, human-review, constitutional, safety, security, and stronger-domestic-law safeguards and shall not make an optional AI program a condition of ordinary market access.</w:t>
      </w:r>
    </w:p>
    <w:p>
      <w:pPr>
        <w:pStyle w:val="Normal"/>
        <w:rPr/>
      </w:pPr>
      <w:r>
        <w:rPr/>
      </w:r>
    </w:p>
    <w:p>
      <w:pPr>
        <w:pStyle w:val="Normal"/>
        <w:widowControl/>
        <w:rPr/>
      </w:pPr>
      <w:r>
        <w:rPr/>
        <w:t>6. [AI-Trade Biennial Review and Update Mechanism] Public/non-confidential output - The Parties shall provide for public/non-confidential output through competent existing authorities using technology-neutral and interoperable means appropriate to the material consequence of the activity. Implementation shall preserve applicable confidentiality, human-review, constitutional, safety, security, and stronger-domestic-law safeguards and shall not make an optional AI program a condition of ordinary market access.</w:t>
      </w:r>
    </w:p>
    <w:p>
      <w:pPr>
        <w:pStyle w:val="Normal"/>
        <w:rPr/>
      </w:pPr>
      <w:r>
        <w:rPr/>
      </w:r>
    </w:p>
    <w:p>
      <w:bookmarkStart w:id="1615" w:name="_NAESTMA_TOC_1615"/>
      <w:pPr>
        <w:pStyle w:val="Heading2"/>
        <w:keepNext/>
        <w:widowControl/>
        <w:rPr/>
      </w:pPr>
      <w:r>
        <w:rPr/>
        <w:t>Article 39.131: AI-Trade Administration, Optionality and Remedies</w:t>
      </w:r>
      <w:bookmarkEnd w:id="1615"/>
    </w:p>
    <w:p>
      <w:pPr>
        <w:pStyle w:val="Normal"/>
        <w:widowControl/>
        <w:rPr/>
      </w:pPr>
      <w:r>
        <w:rPr/>
        <w:t>1. [AI-Trade Administration, Optionality and Remedies] Existing institutions first - No Party shall use existing institutions first to create an automatic tariff consequence, unrelated retaliation, compulsory technology transfer, or loss of an unrelated treaty benefit unless this Agreement expressly authorizes that result. Any exception or adverse action shall remain subject to the competent-authority, proportionality, confidentiality, review, and cure requirements otherwise applicable under this Agreement.</w:t>
      </w:r>
    </w:p>
    <w:p>
      <w:pPr>
        <w:pStyle w:val="Normal"/>
        <w:rPr/>
      </w:pPr>
      <w:r>
        <w:rPr/>
      </w:r>
    </w:p>
    <w:p>
      <w:pPr>
        <w:pStyle w:val="Normal"/>
        <w:widowControl/>
        <w:rPr/>
      </w:pPr>
      <w:r>
        <w:rPr/>
        <w:t>2. [AI-Trade Administration, Optionality and Remedies] Technical expert availability - No Party shall use technical expert availability to create an automatic tariff consequence, unrelated retaliation, compulsory technology transfer, or loss of an unrelated treaty benefit unless this Agreement expressly authorizes that result. Any exception or adverse action shall remain subject to the competent-authority, proportionality, confidentiality, review, and cure requirements otherwise applicable under this Agreement.</w:t>
      </w:r>
    </w:p>
    <w:p>
      <w:pPr>
        <w:pStyle w:val="Normal"/>
        <w:rPr/>
      </w:pPr>
      <w:r>
        <w:rPr/>
      </w:r>
    </w:p>
    <w:p>
      <w:pPr>
        <w:pStyle w:val="Normal"/>
        <w:widowControl/>
        <w:rPr/>
      </w:pPr>
      <w:r>
        <w:rPr/>
        <w:t>3. [AI-Trade Administration, Optionality and Remedies] Optionality firewall - No Party shall use optionality firewall to create an automatic tariff consequence, unrelated retaliation, compulsory technology transfer, or loss of an unrelated treaty benefit unless this Agreement expressly authorizes that result. Any exception or adverse action shall remain subject to the competent-authority, proportionality, confidentiality, review, and cure requirements otherwise applicable under this Agreement.</w:t>
      </w:r>
    </w:p>
    <w:p>
      <w:pPr>
        <w:pStyle w:val="Normal"/>
        <w:rPr/>
      </w:pPr>
      <w:r>
        <w:rPr/>
      </w:r>
    </w:p>
    <w:p>
      <w:pPr>
        <w:pStyle w:val="Normal"/>
        <w:widowControl/>
        <w:rPr/>
      </w:pPr>
      <w:r>
        <w:rPr/>
        <w:t>4. [AI-Trade Administration, Optionality and Remedies] Cure-first enforcement - No Party shall use cure-first enforcement to create an automatic tariff consequence, unrelated retaliation, compulsory technology transfer, or loss of an unrelated treaty benefit unless this Agreement expressly authorizes that result. Any exception or adverse action shall remain subject to the competent-authority, proportionality, confidentiality, review, and cure requirements otherwise applicable under this Agreement.</w:t>
      </w:r>
    </w:p>
    <w:p>
      <w:pPr>
        <w:pStyle w:val="Normal"/>
        <w:rPr/>
      </w:pPr>
      <w:r>
        <w:rPr/>
      </w:r>
    </w:p>
    <w:p>
      <w:pPr>
        <w:pStyle w:val="Normal"/>
        <w:widowControl/>
        <w:rPr/>
      </w:pPr>
      <w:r>
        <w:rPr/>
        <w:t>5. [AI-Trade Administration, Optionality and Remedies] No AI-specific tariff weapon - No Party shall use no AI-specific tariff weapon to create an automatic tariff consequence, unrelated retaliation, compulsory technology transfer, or loss of an unrelated treaty benefit unless this Agreement expressly authorizes that result. Any exception or adverse action shall remain subject to the competent-authority, proportionality, confidentiality, review, and cure requirements otherwise applicable under this Agreement.</w:t>
      </w:r>
    </w:p>
    <w:p>
      <w:pPr>
        <w:pStyle w:val="Normal"/>
        <w:rPr/>
      </w:pPr>
      <w:r>
        <w:rPr/>
      </w:r>
    </w:p>
    <w:p>
      <w:pPr>
        <w:pStyle w:val="Normal"/>
        <w:widowControl/>
        <w:rPr/>
      </w:pPr>
      <w:r>
        <w:rPr/>
        <w:t>6. [AI-Trade Administration, Optionality and Remedies] Chapter 31/35 integration - No Party shall use chapter 31/35 integration to create an automatic tariff consequence, unrelated retaliation, compulsory technology transfer, or loss of an unrelated treaty benefit unless this Agreement expressly authorizes that result. Any exception or adverse action shall remain subject to the competent-authority, proportionality, confidentiality, review, and cure requirements otherwise applicable under this Agreement.</w:t>
      </w:r>
    </w:p>
    <w:p>
      <w:pPr>
        <w:pStyle w:val="Normal"/>
        <w:rPr/>
      </w:pPr>
      <w:r>
        <w:rPr/>
      </w:r>
    </w:p>
    <w:p>
      <w:bookmarkStart w:id="1616" w:name="_NAESTMA_TOC_1616"/>
      <w:pPr>
        <w:pStyle w:val="Heading2"/>
        <w:keepNext/>
        <w:widowControl/>
        <w:rPr/>
      </w:pPr>
      <w:r>
        <w:rPr/>
        <w:t>Article 39.132: Relationship to Specialized Trade Chapters</w:t>
      </w:r>
      <w:bookmarkEnd w:id="1616"/>
    </w:p>
    <w:p>
      <w:pPr>
        <w:pStyle w:val="Normal"/>
        <w:widowControl/>
        <w:rPr/>
      </w:pPr>
      <w:r>
        <w:rPr/>
        <w:t>1. Part C supplements rather than displaces Chapters 2, 4, 5, 7, 11, 13, 14, 19, 20, 23, 23-B, 31, 35, 36, 37, 38, and other specialized provisions governing the same transaction, authority, transport mode, data category, or remedy. Where a specialized Chapter establishes a more specific substantive rule, competent authority, procedure, exception, or remedy, that specialized rule controls to the extent of the inconsistency, while the AI-specific safeguards in Part C continue to apply where they can operate consistently.</w:t>
      </w:r>
    </w:p>
    <w:p>
      <w:pPr>
        <w:pStyle w:val="Normal"/>
        <w:rPr/>
      </w:pPr>
      <w:r>
        <w:rPr/>
      </w:r>
    </w:p>
    <w:p>
      <w:pPr>
        <w:pStyle w:val="Normal"/>
        <w:widowControl/>
        <w:rPr/>
      </w:pPr>
      <w:r>
        <w:rPr/>
        <w:t>2. The Parties shall implement Part C through existing committees, customs administrations, transportation regulators, digital-trade bodies, cybersecurity channels, dispute mechanisms, and other competent institutions wherever practicable. Nothing in Part C creates a new supranational customs authority, requires automatic mutual recognition, authorizes an AI-specific tariff remedy, or converts a voluntary pilot, sandbox, training program, shared model, fund, or technical project into a condition of market access or an obligation to participate.</w:t>
      </w:r>
    </w:p>
    <w:p>
      <w:pPr>
        <w:pStyle w:val="Normal"/>
        <w:rPr/>
      </w:pPr>
      <w:r>
        <w:rPr/>
      </w:r>
    </w:p>
    <w:p>
      <w:pPr>
        <w:pStyle w:val="Normal"/>
        <w:widowControl/>
        <w:rPr/>
      </w:pPr>
      <w:r>
        <w:rPr/>
        <w:t>Chapter 40 is the principal energy-security and grid-resilience location. Related emergency-continuity, cybersecurity, investment, infrastructure, and strategic-supply rules may appear in other Chapters and Packages.</w:t>
      </w:r>
    </w:p>
    <w:p>
      <w:pPr>
        <w:pStyle w:val="TrumpVisibilityHeadline"/>
        <w:widowControl/>
        <w:rPr/>
      </w:pPr>
      <w:r>
        <w:rPr/>
        <w:t>SEARCH SIGNPOST — ENERGY SECURITY / ELECTRICITY / GRID RESILIENCE / STORAGE / PIPELINES / CLEAN POWER / CRITICAL INFRASTRUCTURE</w:t>
      </w:r>
      <w:r>
        <w:br w:type="page"/>
      </w:r>
    </w:p>
    <w:p>
      <w:bookmarkStart w:id="1617" w:name="_NAESTMA_TOC_1617"/>
      <w:pPr>
        <w:pStyle w:val="Heading1"/>
        <w:keepNext/>
        <w:keepLines w:val="0"/>
        <w:pageBreakBefore/>
        <w:widowControl/>
        <w:rPr/>
      </w:pPr>
      <w:bookmarkStart w:id="235" w:name="_Toc237912716"/>
      <w:r>
        <w:rPr/>
        <w:t>CHAPTER 40</w:t>
      </w:r>
      <w:bookmarkEnd w:id="235"/>
      <w:bookmarkEnd w:id="1617"/>
    </w:p>
    <w:p>
      <w:bookmarkStart w:id="1618" w:name="_NAESTMA_TOC_1618"/>
      <w:pPr>
        <w:pStyle w:val="Heading1"/>
        <w:keepNext/>
        <w:pageBreakBefore w:val="0"/>
        <w:widowControl/>
        <w:rPr/>
      </w:pPr>
      <w:bookmarkStart w:id="236" w:name="_Toc237912717"/>
      <w:r>
        <w:rPr/>
        <w:t>ENERGY SECURITY AND GRID RESILIENCE</w:t>
      </w:r>
      <w:bookmarkEnd w:id="236"/>
      <w:bookmarkEnd w:id="1618"/>
    </w:p>
    <w:p>
      <w:bookmarkStart w:id="1619" w:name="_NAESTMA_TOC_1619"/>
      <w:pPr>
        <w:pStyle w:val="Heading2"/>
        <w:keepNext/>
        <w:widowControl/>
        <w:rPr/>
      </w:pPr>
      <w:bookmarkStart w:id="237" w:name="_Toc237912718"/>
      <w:r>
        <w:rPr/>
        <w:t>Article 40.1: Purpose</w:t>
      </w:r>
      <w:bookmarkEnd w:id="237"/>
      <w:bookmarkEnd w:id="1619"/>
    </w:p>
    <w:p>
      <w:pPr>
        <w:pStyle w:val="Normal"/>
        <w:widowControl/>
        <w:rPr/>
      </w:pPr>
      <w:r>
        <w:rPr/>
        <w:t>0A. The Canada–United States Energy Regulatory Measures and Regulatory Transparency instrument reproduced in Annex 34-G, Part B remains operative as a bilateral integral instrument except to the extent an express provision of Chapter 40 affords equivalent or greater protection. Where both apply, they shall be interpreted consistently so as to preserve non-discriminatory access, regulatory transparency, and review rights.</w:t>
      </w:r>
    </w:p>
    <w:p>
      <w:pPr>
        <w:pStyle w:val="Normal"/>
        <w:widowControl/>
        <w:rPr/>
      </w:pPr>
      <w:r>
        <w:rPr/>
        <w:t>1. The Parties recognize the deeply integrated character of the North American energy system — including electricity interconnections, oil and gas infrastructure, nuclear supply chains, and critical energy equipment — and affirm that energy trade between the Parties contributes to the energy security of each Party.</w:t>
      </w:r>
    </w:p>
    <w:p>
      <w:bookmarkStart w:id="1620" w:name="_NAESTMA_TOC_1620"/>
      <w:pPr>
        <w:pStyle w:val="Heading2"/>
        <w:keepNext/>
        <w:widowControl/>
        <w:rPr/>
      </w:pPr>
      <w:bookmarkStart w:id="238" w:name="_Toc237912719"/>
      <w:r>
        <w:rPr/>
        <w:t>Article 40.2: Energy Trade</w:t>
      </w:r>
      <w:bookmarkEnd w:id="238"/>
      <w:bookmarkEnd w:id="1620"/>
    </w:p>
    <w:p>
      <w:pPr>
        <w:pStyle w:val="Normal"/>
        <w:widowControl/>
        <w:rPr/>
      </w:pPr>
      <w:r>
        <w:rPr/>
        <w:t>1. No Party shall apply a covered border measure to originating energy goods — including crude oil, natural gas, refined petroleum products, electricity, uranium, and energy equipment — of another Party, except in conformity with Chapter 35. Energy is a Strategic Sector under Article 35.23. For greater certainty, this Article applies to export measures in accordance with Article 35.3A.</w:t>
      </w:r>
    </w:p>
    <w:p>
      <w:pPr>
        <w:pStyle w:val="Normal"/>
        <w:widowControl/>
        <w:rPr/>
      </w:pPr>
      <w:r>
        <w:rPr/>
        <w:t>2. A Party shall not characterize another Party’s energy exports as a threat to its national security for the purposes of Article 32.2 absent a particularized, notified justification subject to Article 35.22.</w:t>
      </w:r>
    </w:p>
    <w:p>
      <w:bookmarkStart w:id="1621" w:name="_NAESTMA_TOC_1621"/>
      <w:pPr>
        <w:pStyle w:val="Heading2"/>
        <w:keepNext/>
        <w:widowControl/>
        <w:rPr/>
      </w:pPr>
      <w:bookmarkStart w:id="239" w:name="_Toc237912720"/>
      <w:r>
        <w:rPr/>
        <w:t>Article 40.3: Grid Resilience</w:t>
      </w:r>
      <w:bookmarkEnd w:id="239"/>
      <w:bookmarkEnd w:id="1621"/>
    </w:p>
    <w:p>
      <w:pPr>
        <w:pStyle w:val="Normal"/>
        <w:widowControl/>
        <w:rPr/>
      </w:pPr>
      <w:r>
        <w:rPr/>
        <w:t>1. The Parties shall cooperate on the resilience of interconnected electricity systems, including: information-sharing on grid emergencies, equipment shortages, cyber threats, and extreme weather; coordination of equipment standards for cross-border interconnections; and mutual assistance planning for grid emergencies.</w:t>
      </w:r>
    </w:p>
    <w:p>
      <w:pPr>
        <w:pStyle w:val="Normal"/>
        <w:widowControl/>
        <w:rPr/>
      </w:pPr>
      <w:r>
        <w:rPr/>
        <w:t>2. The Parties shall establish, under the Economic Security and Supply Chain Resilience Subcommittee, a Grid Resilience Working Group of transmission, regulatory, and emergency-management officials, meeting at least twice yearly and within 72 hours during a grid emergency.</w:t>
      </w:r>
    </w:p>
    <w:p>
      <w:bookmarkStart w:id="1622" w:name="_NAESTMA_TOC_1622"/>
      <w:pPr>
        <w:pStyle w:val="Heading2"/>
        <w:keepNext/>
        <w:widowControl/>
        <w:rPr/>
      </w:pPr>
      <w:bookmarkStart w:id="240" w:name="_Toc237912721"/>
      <w:r>
        <w:rPr/>
        <w:t>Article 40.4: Critical Energy Equipment</w:t>
      </w:r>
      <w:bookmarkEnd w:id="240"/>
      <w:bookmarkEnd w:id="1622"/>
    </w:p>
    <w:p>
      <w:pPr>
        <w:pStyle w:val="Normal"/>
        <w:widowControl/>
        <w:rPr/>
      </w:pPr>
      <w:r>
        <w:rPr/>
        <w:t>1. Transformers, switchgear, transmission components, generation equipment, and grid control systems are designated essential inputs under Annex 35-B, Part 3, and are subject to the continuity disciplines of Chapter 38.</w:t>
      </w:r>
    </w:p>
    <w:p>
      <w:bookmarkStart w:id="1623" w:name="_NAESTMA_TOC_1623"/>
      <w:pPr>
        <w:pStyle w:val="Heading2"/>
        <w:keepNext/>
        <w:widowControl/>
        <w:rPr/>
      </w:pPr>
      <w:bookmarkStart w:id="241" w:name="_Toc237912722"/>
      <w:r>
        <w:rPr/>
        <w:t>Article 40.5: New Energy Technologies</w:t>
      </w:r>
      <w:bookmarkEnd w:id="241"/>
      <w:bookmarkEnd w:id="1623"/>
    </w:p>
    <w:p>
      <w:pPr>
        <w:pStyle w:val="Normal"/>
        <w:widowControl/>
        <w:rPr/>
      </w:pPr>
      <w:r>
        <w:rPr/>
        <w:t>1. The Parties shall endeavor to cooperate on cross-border treatment of hydrogen, small modular reactors, energy storage, and associated infrastructure, including standards interoperability and regulatory-cooperation arrangements consistent with each Party’s domestic authority.</w:t>
      </w:r>
    </w:p>
    <w:p>
      <w:bookmarkStart w:id="1624" w:name="_NAESTMA_TOC_1624"/>
      <w:pPr>
        <w:pStyle w:val="Heading2"/>
        <w:keepNext/>
        <w:widowControl/>
        <w:rPr/>
      </w:pPr>
      <w:bookmarkStart w:id="242" w:name="_Toc237912723"/>
      <w:r>
        <w:rPr/>
        <w:t>Article 40.6: Non-Discrimination in Energy Markets</w:t>
      </w:r>
      <w:bookmarkEnd w:id="242"/>
      <w:bookmarkEnd w:id="1624"/>
    </w:p>
    <w:p>
      <w:pPr>
        <w:pStyle w:val="Normal"/>
        <w:widowControl/>
        <w:rPr/>
      </w:pPr>
      <w:r>
        <w:rPr/>
        <w:t>1. Each Party shall administer its electricity and energy markets so as not to discriminate against energy suppliers of another Party on the basis of nationality, consistent with the market rules and reliability requirements of general application. Complaints concerning sub-federal energy-market treatment may be addressed through the consultations mechanism in Article 31.4 and the good offices of the Secretariat.</w:t>
      </w:r>
    </w:p>
    <w:p>
      <w:bookmarkStart w:id="1625" w:name="_NAESTMA_TOC_1625"/>
      <w:pPr>
        <w:pStyle w:val="Heading2"/>
        <w:keepNext/>
        <w:widowControl/>
        <w:spacing w:lineRule="auto" w:line="252"/>
        <w:rPr/>
      </w:pPr>
      <w:bookmarkStart w:id="243" w:name="_Toc237912724"/>
      <w:r>
        <w:rPr/>
        <w:t>Article 40.7: North American Energy, Compute and Storage Initiative</w:t>
      </w:r>
      <w:bookmarkEnd w:id="243"/>
      <w:bookmarkEnd w:id="1625"/>
    </w:p>
    <w:p>
      <w:pPr>
        <w:pStyle w:val="Normal"/>
        <w:widowControl/>
        <w:spacing w:lineRule="auto" w:line="252" w:before="0" w:after="100"/>
        <w:rPr/>
      </w:pPr>
      <w:r>
        <w:rPr/>
        <w:t>1. The Parties establish the North American Energy, Compute and Storage Initiative (the Initiative) as a cooperative umbrella for the measures in Articles 40.8 through 40.24. The Initiative is not a separate legal person, funding body, procurement authority, project developer, or approval authority; implementation occurs through existing energy, regulatory, infrastructure, digital-trade, and emergency-management institutions.</w:t>
      </w:r>
    </w:p>
    <w:p>
      <w:pPr>
        <w:pStyle w:val="Normal"/>
        <w:widowControl/>
        <w:spacing w:lineRule="auto" w:line="252" w:before="0" w:after="100"/>
        <w:rPr/>
      </w:pPr>
      <w:r>
        <w:rPr/>
        <w:t>2. The Initiative shall be implemented in a manner that preserves each Party's right to determine its energy mix, ownership rules, public-utility structure, resource-development policies, environmental requirements, national-security measures, and allocation of electricity for domestic needs.</w:t>
      </w:r>
    </w:p>
    <w:p>
      <w:pPr>
        <w:pStyle w:val="Normal"/>
        <w:widowControl/>
        <w:spacing w:lineRule="auto" w:line="252" w:before="0" w:after="100"/>
        <w:rPr/>
      </w:pPr>
      <w:r>
        <w:rPr/>
        <w:t>3. No Party is required by this Article to export electricity, approve a generation or transmission project, reserve electricity for a foreign purchaser, or authorize a digital-infrastructure project that the Party determines would materially impair reliability, affordability, security, environmental protection, Indigenous or treaty rights, or essential domestic supply.</w:t>
      </w:r>
    </w:p>
    <w:p>
      <w:bookmarkStart w:id="1626" w:name="_NAESTMA_TOC_1626"/>
      <w:pPr>
        <w:pStyle w:val="Heading2"/>
        <w:keepNext/>
        <w:widowControl/>
        <w:spacing w:lineRule="auto" w:line="252"/>
        <w:rPr/>
      </w:pPr>
      <w:bookmarkStart w:id="244" w:name="_Toc237912725"/>
      <w:r>
        <w:rPr/>
        <w:t>Article 40.8: Principles for Energy-Intensive Digital Infrastructure</w:t>
      </w:r>
      <w:bookmarkEnd w:id="244"/>
      <w:bookmarkEnd w:id="1626"/>
    </w:p>
    <w:p>
      <w:pPr>
        <w:pStyle w:val="Normal"/>
        <w:widowControl/>
        <w:spacing w:lineRule="auto" w:line="252" w:before="0" w:after="100"/>
        <w:rPr/>
      </w:pPr>
      <w:r>
        <w:rPr/>
        <w:t>1. For purposes of this Chapter, 'energy-intensive digital infrastructure' includes data centres, artificial-intelligence compute facilities, high-performance-computing facilities, cloud infrastructure, and other digital facilities designated by the Commission whose electricity demand is material to regional grid planning.</w:t>
      </w:r>
    </w:p>
    <w:p>
      <w:pPr>
        <w:pStyle w:val="Normal"/>
        <w:widowControl/>
        <w:spacing w:lineRule="auto" w:line="252" w:before="0" w:after="100"/>
        <w:rPr/>
      </w:pPr>
      <w:r>
        <w:rPr/>
        <w:t>2. The Parties shall encourage development of such infrastructure where generation, transmission, telecommunications connectivity, cooling conditions, land, workforce, security, and community infrastructure can support the facility without material adverse effects on existing customers.</w:t>
      </w:r>
    </w:p>
    <w:p>
      <w:pPr>
        <w:pStyle w:val="Normal"/>
        <w:widowControl/>
        <w:spacing w:lineRule="auto" w:line="252" w:before="0" w:after="100"/>
        <w:rPr/>
      </w:pPr>
      <w:r>
        <w:rPr/>
        <w:t>3. Treatment under the Initiative shall be technology-neutral and ownership-neutral except where a Party applies a measure authorized by this Agreement for national security, privacy, data sovereignty, critical-infrastructure protection, or investment screening.</w:t>
      </w:r>
    </w:p>
    <w:p>
      <w:bookmarkStart w:id="1627" w:name="_NAESTMA_TOC_1627"/>
      <w:pPr>
        <w:pStyle w:val="Heading2"/>
        <w:keepNext/>
        <w:widowControl/>
        <w:spacing w:lineRule="auto" w:line="252"/>
        <w:rPr/>
      </w:pPr>
      <w:bookmarkStart w:id="245" w:name="_Toc237912726"/>
      <w:r>
        <w:rPr/>
        <w:t>Article 40.9: Build-the-Power-with-the-Load Principle</w:t>
      </w:r>
      <w:bookmarkEnd w:id="245"/>
      <w:bookmarkEnd w:id="1627"/>
    </w:p>
    <w:p>
      <w:pPr>
        <w:pStyle w:val="Normal"/>
        <w:widowControl/>
        <w:spacing w:lineRule="auto" w:line="252" w:before="0" w:after="100"/>
        <w:rPr/>
      </w:pPr>
      <w:r>
        <w:rPr/>
        <w:t>1. A Party may condition expedited treatment, public support, preferential infrastructure access, or designation under Annex 40-A for a large new digital load on commitments to provide or finance incremental generation, transmission, storage, demand-response capability, efficiency improvements, or other grid-supporting resources reasonably proportionate to the project's expected system impact.</w:t>
      </w:r>
    </w:p>
    <w:p>
      <w:pPr>
        <w:pStyle w:val="Normal"/>
        <w:widowControl/>
        <w:spacing w:lineRule="auto" w:line="252" w:before="0" w:after="100"/>
        <w:rPr/>
      </w:pPr>
      <w:r>
        <w:rPr/>
        <w:t>2. Where practicable, qualifying projects should demonstrate that incremental electricity demand is matched over an appropriate planning horizon by incremental dependable capacity or by equivalent verified system benefits.</w:t>
      </w:r>
    </w:p>
    <w:p>
      <w:pPr>
        <w:pStyle w:val="Normal"/>
        <w:widowControl/>
        <w:spacing w:lineRule="auto" w:line="252" w:before="0" w:after="100"/>
        <w:rPr/>
      </w:pPr>
      <w:r>
        <w:rPr/>
        <w:t>3. Nothing in this Article requires a Party to socialize project-specific network costs across residential or small-business customers.</w:t>
      </w:r>
    </w:p>
    <w:p>
      <w:bookmarkStart w:id="1628" w:name="_NAESTMA_TOC_1628"/>
      <w:pPr>
        <w:pStyle w:val="Heading2"/>
        <w:keepNext/>
        <w:widowControl/>
        <w:spacing w:lineRule="auto" w:line="252"/>
        <w:rPr/>
      </w:pPr>
      <w:bookmarkStart w:id="246" w:name="_Toc237912727"/>
      <w:r>
        <w:rPr/>
        <w:t>Article 40.10: Strategic Compute and Energy Zones</w:t>
      </w:r>
      <w:bookmarkEnd w:id="246"/>
      <w:bookmarkEnd w:id="1628"/>
    </w:p>
    <w:p>
      <w:pPr>
        <w:pStyle w:val="Normal"/>
        <w:widowControl/>
        <w:spacing w:lineRule="auto" w:line="252" w:before="0" w:after="100"/>
        <w:rPr/>
      </w:pPr>
      <w:r>
        <w:rPr/>
        <w:t>1. A Party may designate Strategic Compute and Energy Zones in locations that satisfy objective criteria established in Annex 40-A, including grid capability, transmission headroom or expansion plans, redundant telecommunications connectivity, appropriate industrial land, cooling and water feasibility, workforce access, physical and cyber security, and capacity for responsible expansion.</w:t>
      </w:r>
    </w:p>
    <w:p>
      <w:pPr>
        <w:pStyle w:val="Normal"/>
        <w:widowControl/>
        <w:spacing w:lineRule="auto" w:line="252" w:before="0" w:after="100"/>
        <w:rPr/>
      </w:pPr>
      <w:r>
        <w:rPr/>
        <w:t>2. Designation shall not create an entitlement to project approval. Each project remains subject to applicable federal, state, provincial, territorial, local, Indigenous, environmental, utility, land-use, privacy, security, and investment-review requirements.</w:t>
      </w:r>
    </w:p>
    <w:p>
      <w:pPr>
        <w:pStyle w:val="Normal"/>
        <w:widowControl/>
        <w:spacing w:lineRule="auto" w:line="252" w:before="0" w:after="100"/>
        <w:rPr/>
      </w:pPr>
      <w:r>
        <w:rPr/>
        <w:t>3. The Parties shall encourage, where technically and economically appropriate, siting that enables productive use of waste heat, industrial symbiosis, district energy, greenhouse heating, water heating, or other beneficial thermal uses.</w:t>
      </w:r>
    </w:p>
    <w:p>
      <w:bookmarkStart w:id="1629" w:name="_NAESTMA_TOC_1629"/>
      <w:pPr>
        <w:pStyle w:val="Heading2"/>
        <w:keepNext/>
        <w:widowControl/>
        <w:spacing w:lineRule="auto" w:line="252"/>
        <w:rPr/>
      </w:pPr>
      <w:bookmarkStart w:id="247" w:name="_Toc237912728"/>
      <w:r>
        <w:rPr/>
        <w:t>Article 40.11: Cross-Border Clean Power and Compute Corridors</w:t>
      </w:r>
      <w:bookmarkEnd w:id="247"/>
      <w:bookmarkEnd w:id="1629"/>
    </w:p>
    <w:p>
      <w:pPr>
        <w:pStyle w:val="Normal"/>
        <w:widowControl/>
        <w:spacing w:lineRule="auto" w:line="252" w:before="0" w:after="100"/>
        <w:rPr/>
      </w:pPr>
      <w:r>
        <w:rPr/>
        <w:t>1. The Parties shall identify opportunities for voluntary cross-border arrangements linking dependable electricity supply, energy storage, transmission capacity, telecommunications capacity, and energy-intensive digital infrastructure.</w:t>
      </w:r>
    </w:p>
    <w:p>
      <w:pPr>
        <w:pStyle w:val="Normal"/>
        <w:widowControl/>
        <w:spacing w:lineRule="auto" w:line="252" w:before="0" w:after="100"/>
        <w:rPr/>
      </w:pPr>
      <w:r>
        <w:rPr/>
        <w:t>2. Such arrangements may include firm power, flexible power, interruptible power, surplus-energy products, capacity products, ancillary services, demand response, storage services, or other products recognized by the relevant market or regulatory authority.</w:t>
      </w:r>
    </w:p>
    <w:p>
      <w:pPr>
        <w:pStyle w:val="Normal"/>
        <w:widowControl/>
        <w:spacing w:lineRule="auto" w:line="252" w:before="0" w:after="100"/>
        <w:rPr/>
      </w:pPr>
      <w:r>
        <w:rPr/>
        <w:t>3. A cross-border arrangement under this Article shall not diminish a Party's authority to prioritize domestic reliability or to curtail exports where necessary and consistent with this Agreement.</w:t>
      </w:r>
    </w:p>
    <w:p>
      <w:pPr>
        <w:pStyle w:val="Normal"/>
        <w:widowControl/>
        <w:spacing w:lineRule="auto" w:line="252" w:before="0" w:after="100"/>
        <w:rPr/>
      </w:pPr>
      <w:r>
        <w:rPr/>
        <w:t>4. The Parties shall encourage long-term commercial arrangements capable of supporting financing of incremental generation, transmission, storage, and digital infrastructure where the costs and benefits are allocated transparently among beneficiaries.</w:t>
      </w:r>
    </w:p>
    <w:p>
      <w:bookmarkStart w:id="1630" w:name="_NAESTMA_TOC_1630"/>
      <w:pPr>
        <w:pStyle w:val="Heading2"/>
        <w:keepNext/>
        <w:widowControl/>
        <w:spacing w:lineRule="auto" w:line="252"/>
        <w:rPr/>
      </w:pPr>
      <w:bookmarkStart w:id="248" w:name="_Toc237912729"/>
      <w:r>
        <w:rPr/>
        <w:t>Article 40.12: Domestic Reliability and Anti-Crowding-Out Safeguard</w:t>
      </w:r>
      <w:bookmarkEnd w:id="248"/>
      <w:bookmarkEnd w:id="1630"/>
    </w:p>
    <w:p>
      <w:pPr>
        <w:pStyle w:val="Normal"/>
        <w:widowControl/>
        <w:spacing w:lineRule="auto" w:line="252" w:before="0" w:after="100"/>
        <w:rPr/>
      </w:pPr>
      <w:r>
        <w:rPr/>
        <w:t>1. No designation, facilitation measure, or cooperation arrangement under the Initiative shall require a regulator, system operator, utility, or government to approve service that would create an unacceptable reliability risk under applicable standards.</w:t>
      </w:r>
    </w:p>
    <w:p>
      <w:pPr>
        <w:pStyle w:val="Normal"/>
        <w:widowControl/>
        <w:spacing w:lineRule="auto" w:line="252" w:before="0" w:after="100"/>
        <w:rPr/>
      </w:pPr>
      <w:r>
        <w:rPr/>
        <w:t>2. A Party may require large digital loads receiving benefits under the Initiative to participate in demand response, curtailment, backup-power, storage, or other reliability programs on transparent and non-discriminatory terms.</w:t>
      </w:r>
    </w:p>
    <w:p>
      <w:pPr>
        <w:pStyle w:val="Normal"/>
        <w:widowControl/>
        <w:spacing w:lineRule="auto" w:line="252" w:before="0" w:after="100"/>
        <w:rPr/>
      </w:pPr>
      <w:r>
        <w:rPr/>
        <w:t>3. The Parties shall seek to prevent infrastructure arrangements in which the principal costs of serving a new energy-intensive digital load are shifted disproportionately to households, small businesses, or existing industrial customers that do not benefit from the project.</w:t>
      </w:r>
    </w:p>
    <w:p>
      <w:bookmarkStart w:id="1631" w:name="_NAESTMA_TOC_1631"/>
      <w:pPr>
        <w:pStyle w:val="Heading2"/>
        <w:keepNext/>
        <w:widowControl/>
        <w:spacing w:lineRule="auto" w:line="252"/>
        <w:rPr/>
      </w:pPr>
      <w:bookmarkStart w:id="249" w:name="_Toc237912730"/>
      <w:r>
        <w:rPr/>
        <w:t>Article 40.13: Reciprocal Electricity Market Access</w:t>
      </w:r>
      <w:bookmarkEnd w:id="249"/>
      <w:bookmarkEnd w:id="1631"/>
    </w:p>
    <w:p>
      <w:pPr>
        <w:pStyle w:val="Normal"/>
        <w:widowControl/>
        <w:spacing w:lineRule="auto" w:line="252" w:before="0" w:after="100"/>
        <w:rPr/>
      </w:pPr>
      <w:r>
        <w:rPr/>
        <w:t>1. Without prejudice to Article 40.6, a transmission provider, market operator, balancing authority, or other covered entity shall apply generally applicable rules concerning interconnection, transmission capacity, congestion management, scheduling, curtailment, and market participation without discrimination based solely on the nationality or cross-border origin of an eligible supplier.</w:t>
      </w:r>
    </w:p>
    <w:p>
      <w:pPr>
        <w:pStyle w:val="Normal"/>
        <w:widowControl/>
        <w:spacing w:lineRule="auto" w:line="252" w:before="0" w:after="100"/>
        <w:rPr/>
      </w:pPr>
      <w:r>
        <w:rPr/>
        <w:t>2. Differences in treatment necessary to maintain reliability, comply with physical interconnection constraints, or satisfy generally applicable regulatory requirements do not constitute discrimination where they are transparent, technically justified, proportionate, and applied without disguised protectionism.</w:t>
      </w:r>
    </w:p>
    <w:p>
      <w:pPr>
        <w:pStyle w:val="Normal"/>
        <w:widowControl/>
        <w:spacing w:lineRule="auto" w:line="252" w:before="0" w:after="100"/>
        <w:rPr/>
      </w:pPr>
      <w:r>
        <w:rPr/>
        <w:t>3. At the request of a Party, the Grid Resilience Working Group shall establish a technical consultation concerning an alleged operational barrier, including sub-federal barriers, before or in parallel with consultations under Article 31.4.</w:t>
      </w:r>
    </w:p>
    <w:p>
      <w:bookmarkStart w:id="1632" w:name="_NAESTMA_TOC_1632"/>
      <w:pPr>
        <w:pStyle w:val="Heading2"/>
        <w:keepNext/>
        <w:widowControl/>
        <w:spacing w:lineRule="auto" w:line="252"/>
        <w:rPr/>
      </w:pPr>
      <w:bookmarkStart w:id="250" w:name="_Toc237912731"/>
      <w:r>
        <w:rPr/>
        <w:t>Article 40.14: Transmission, Interconnection and Permitting Cooperation</w:t>
      </w:r>
      <w:bookmarkEnd w:id="250"/>
      <w:bookmarkEnd w:id="1632"/>
    </w:p>
    <w:p>
      <w:pPr>
        <w:pStyle w:val="Normal"/>
        <w:widowControl/>
        <w:spacing w:lineRule="auto" w:line="252" w:before="0" w:after="100"/>
        <w:rPr/>
      </w:pPr>
      <w:r>
        <w:rPr/>
        <w:t>1. The Parties shall cooperate to identify economically justified cross-border transmission and interconnection projects, including high-voltage direct-current and other technologies capable of improving reliability, congestion management, or access to dependable low-emission generation.</w:t>
      </w:r>
    </w:p>
    <w:p>
      <w:pPr>
        <w:pStyle w:val="Normal"/>
        <w:widowControl/>
        <w:spacing w:lineRule="auto" w:line="252" w:before="0" w:after="100"/>
        <w:rPr/>
      </w:pPr>
      <w:r>
        <w:rPr/>
        <w:t>2. Each Party shall endeavor to provide transparent permitting milestones, coordinated agency review where permitted by domestic law, and early identification of material information requirements for qualifying cross-border projects.</w:t>
      </w:r>
    </w:p>
    <w:p>
      <w:pPr>
        <w:pStyle w:val="Normal"/>
        <w:widowControl/>
        <w:spacing w:lineRule="auto" w:line="252" w:before="0" w:after="100"/>
        <w:rPr/>
      </w:pPr>
      <w:r>
        <w:rPr/>
        <w:t>3. Nothing in this Article alters constitutional allocations of authority or requires approval of a particular project.</w:t>
      </w:r>
    </w:p>
    <w:p>
      <w:pPr>
        <w:pStyle w:val="Normal"/>
        <w:widowControl/>
        <w:spacing w:lineRule="auto" w:line="252" w:before="0" w:after="100"/>
        <w:rPr/>
      </w:pPr>
      <w:r>
        <w:rPr/>
        <w:t>4. Where a project principally serves a new private load or commercial export arrangement, the Parties shall encourage beneficiary-pays or other cost-allocation methods that reduce inappropriate cost transfer to non-beneficiaries.</w:t>
      </w:r>
    </w:p>
    <w:p>
      <w:bookmarkStart w:id="1633" w:name="_NAESTMA_TOC_1633"/>
      <w:pPr>
        <w:pStyle w:val="Heading2"/>
        <w:keepNext/>
        <w:widowControl/>
        <w:spacing w:lineRule="auto" w:line="252"/>
        <w:rPr/>
      </w:pPr>
      <w:bookmarkStart w:id="251" w:name="_Toc237912732"/>
      <w:r>
        <w:rPr/>
        <w:t>Article 40.15: Flexible Digital Load and Grid Services</w:t>
      </w:r>
      <w:bookmarkEnd w:id="251"/>
      <w:bookmarkEnd w:id="1633"/>
    </w:p>
    <w:p>
      <w:pPr>
        <w:pStyle w:val="Normal"/>
        <w:widowControl/>
        <w:spacing w:lineRule="auto" w:line="252" w:before="0" w:after="100"/>
        <w:rPr/>
      </w:pPr>
      <w:r>
        <w:rPr/>
        <w:t>1. The Parties recognize that energy-intensive digital infrastructure may contribute to reliability where it can adjust demand, schedule flexible workloads, use onsite storage, or provide other grid services.</w:t>
      </w:r>
    </w:p>
    <w:p>
      <w:pPr>
        <w:pStyle w:val="Normal"/>
        <w:widowControl/>
        <w:spacing w:lineRule="auto" w:line="252" w:before="0" w:after="100"/>
        <w:rPr/>
      </w:pPr>
      <w:r>
        <w:rPr/>
        <w:t>2. The Grid Resilience Working Group shall develop voluntary model terms for firm, flexible, interruptible, and surplus-energy service to large digital loads, including transparent notice, curtailment, restoration, measurement, and compensation rules.</w:t>
      </w:r>
    </w:p>
    <w:p>
      <w:pPr>
        <w:pStyle w:val="Normal"/>
        <w:widowControl/>
        <w:spacing w:lineRule="auto" w:line="252" w:before="0" w:after="100"/>
        <w:rPr/>
      </w:pPr>
      <w:r>
        <w:rPr/>
        <w:t>3. No Party shall require interruption of safety-critical, security-critical, or otherwise protected computing functions except under emergency authority applicable to comparable domestic loads.</w:t>
      </w:r>
    </w:p>
    <w:p>
      <w:bookmarkStart w:id="1634" w:name="_NAESTMA_TOC_1634"/>
      <w:pPr>
        <w:pStyle w:val="Heading2"/>
        <w:keepNext/>
        <w:widowControl/>
        <w:spacing w:lineRule="auto" w:line="252"/>
        <w:rPr/>
      </w:pPr>
      <w:bookmarkStart w:id="252" w:name="_Toc237912733"/>
      <w:r>
        <w:rPr/>
        <w:t>Article 40.16: Energy Storage and Long-Duration Flexibility</w:t>
      </w:r>
      <w:bookmarkEnd w:id="252"/>
      <w:bookmarkEnd w:id="1634"/>
    </w:p>
    <w:p>
      <w:pPr>
        <w:pStyle w:val="Normal"/>
        <w:widowControl/>
        <w:spacing w:lineRule="auto" w:line="252" w:before="0" w:after="100"/>
        <w:rPr/>
      </w:pPr>
      <w:r>
        <w:rPr/>
        <w:t>1. The Parties shall promote interoperability, testing, deployment, and responsible industrialization of energy-storage technologies that improve grid reliability, including electrochemical, thermal, mechanical, gravitational, compressed-fluid, pumped-storage, and other technologies designated in Annex 40-A.</w:t>
      </w:r>
    </w:p>
    <w:p>
      <w:pPr>
        <w:pStyle w:val="Normal"/>
        <w:widowControl/>
        <w:spacing w:lineRule="auto" w:line="252" w:before="0" w:after="100"/>
        <w:rPr/>
      </w:pPr>
      <w:r>
        <w:rPr/>
        <w:t>2. Eligibility shall be based on measurable characteristics including safety, lifecycle cost, duration, efficiency, degradation, environmental performance, supply-chain resilience, operating-temperature capability, cybersecurity where relevant, and suitability to the intended grid service.</w:t>
      </w:r>
    </w:p>
    <w:p>
      <w:pPr>
        <w:pStyle w:val="Normal"/>
        <w:widowControl/>
        <w:spacing w:lineRule="auto" w:line="252" w:before="0" w:after="100"/>
        <w:rPr/>
      </w:pPr>
      <w:r>
        <w:rPr/>
        <w:t>3. No technology shall receive permanent preferred status solely by reason of its chemistry, country of origin, or inclusion in an initial version of Annex 40-A.</w:t>
      </w:r>
    </w:p>
    <w:p>
      <w:bookmarkStart w:id="1635" w:name="_NAESTMA_TOC_1635"/>
      <w:pPr>
        <w:pStyle w:val="Heading2"/>
        <w:keepNext/>
        <w:widowControl/>
        <w:spacing w:lineRule="auto" w:line="252"/>
        <w:rPr/>
      </w:pPr>
      <w:bookmarkStart w:id="253" w:name="_Toc237912734"/>
      <w:r>
        <w:rPr/>
        <w:t>Article 40.17: Advanced Storage and Thermal-Energy Demonstration Pathway</w:t>
      </w:r>
      <w:bookmarkEnd w:id="253"/>
      <w:bookmarkEnd w:id="1635"/>
    </w:p>
    <w:p>
      <w:pPr>
        <w:pStyle w:val="Normal"/>
        <w:widowControl/>
        <w:spacing w:lineRule="auto" w:line="252" w:before="0" w:after="100"/>
        <w:rPr/>
      </w:pPr>
      <w:r>
        <w:rPr/>
        <w:t>1. The Parties may establish jointly recognized demonstration pathways for emerging storage and dispatchable renewable technologies, including sodium-ion electrochemical storage, molten-salt thermal storage, concentrated solar thermal systems, power-to-heat storage, and successor technologies.</w:t>
      </w:r>
    </w:p>
    <w:p>
      <w:pPr>
        <w:pStyle w:val="Normal"/>
        <w:widowControl/>
        <w:spacing w:lineRule="auto" w:line="252" w:before="0" w:after="100"/>
        <w:rPr/>
      </w:pPr>
      <w:r>
        <w:rPr/>
        <w:t>2. A demonstration receiving benefits under this Article shall define testable performance objectives, independently measurable data, safety requirements, winter and extreme-weather performance where relevant, lifecycle and maintenance reporting, and criteria for continuation, modification, scale-up, or termination.</w:t>
      </w:r>
    </w:p>
    <w:p>
      <w:pPr>
        <w:pStyle w:val="Normal"/>
        <w:widowControl/>
        <w:spacing w:lineRule="auto" w:line="252" w:before="0" w:after="100"/>
        <w:rPr/>
      </w:pPr>
      <w:r>
        <w:rPr/>
        <w:t>3. Successful demonstration does not by itself confer originating status under Chapter 4 or an entitlement to procurement preference, subsidy, or market access beyond that otherwise provided by this Agreement.</w:t>
      </w:r>
    </w:p>
    <w:p>
      <w:bookmarkStart w:id="1636" w:name="_NAESTMA_TOC_1636"/>
      <w:pPr>
        <w:pStyle w:val="Heading2"/>
        <w:keepNext/>
        <w:widowControl/>
        <w:spacing w:lineRule="auto" w:line="252"/>
        <w:rPr/>
      </w:pPr>
      <w:bookmarkStart w:id="254" w:name="_Toc237912735"/>
      <w:r>
        <w:rPr/>
        <w:t>Article 40.18: Curtailment-to-Storage and Surplus-Energy Utilization</w:t>
      </w:r>
      <w:bookmarkEnd w:id="254"/>
      <w:bookmarkEnd w:id="1636"/>
    </w:p>
    <w:p>
      <w:pPr>
        <w:pStyle w:val="Normal"/>
        <w:widowControl/>
        <w:spacing w:lineRule="auto" w:line="252" w:before="0" w:after="100"/>
        <w:rPr/>
      </w:pPr>
      <w:r>
        <w:rPr/>
        <w:t>1. The Parties shall encourage market rules that, where consistent with reliability and domestic law, permit storage, thermal loads, flexible digital loads, and other controllable resources to absorb electricity that would otherwise be curtailed or economically stranded.</w:t>
      </w:r>
    </w:p>
    <w:p>
      <w:pPr>
        <w:pStyle w:val="Normal"/>
        <w:widowControl/>
        <w:spacing w:lineRule="auto" w:line="252" w:before="0" w:after="100"/>
        <w:rPr/>
      </w:pPr>
      <w:r>
        <w:rPr/>
        <w:t>2. Programs under this Article shall use transparent measurement and settlement and shall not be administered so as to disguise an export subsidy or discriminate against an eligible supplier of another Party.</w:t>
      </w:r>
    </w:p>
    <w:p>
      <w:pPr>
        <w:pStyle w:val="Normal"/>
        <w:widowControl/>
        <w:spacing w:lineRule="auto" w:line="252" w:before="0" w:after="100"/>
        <w:rPr/>
      </w:pPr>
      <w:r>
        <w:rPr/>
        <w:t>3. The Grid Resilience Working Group may develop common measurement principles for avoided curtailment, delivered flexibility, and capacity contribution.</w:t>
      </w:r>
    </w:p>
    <w:p>
      <w:bookmarkStart w:id="1637" w:name="_NAESTMA_TOC_1637"/>
      <w:pPr>
        <w:pStyle w:val="Heading2"/>
        <w:keepNext/>
        <w:widowControl/>
        <w:spacing w:lineRule="auto" w:line="252"/>
        <w:rPr/>
      </w:pPr>
      <w:bookmarkStart w:id="255" w:name="_Toc237912736"/>
      <w:r>
        <w:rPr/>
        <w:t>Article 40.19: Foreign Strategic Technology Integration</w:t>
      </w:r>
      <w:bookmarkEnd w:id="255"/>
      <w:bookmarkEnd w:id="1637"/>
    </w:p>
    <w:p>
      <w:pPr>
        <w:pStyle w:val="Normal"/>
        <w:widowControl/>
        <w:spacing w:lineRule="auto" w:line="252" w:before="0" w:after="100"/>
        <w:rPr/>
      </w:pPr>
      <w:r>
        <w:rPr/>
        <w:t>1. A Party may facilitate demonstration, licensing, joint ventures, manufacturing, assembly, research, or deployment involving energy technologies originating outside North America where the Party determines that doing so advances energy security, affordability, resilience, emissions reduction, or industrial capability.</w:t>
      </w:r>
    </w:p>
    <w:p>
      <w:pPr>
        <w:pStyle w:val="Normal"/>
        <w:widowControl/>
        <w:spacing w:lineRule="auto" w:line="252" w:before="0" w:after="100"/>
        <w:rPr/>
      </w:pPr>
      <w:r>
        <w:rPr/>
        <w:t>2. Such facilitation does not alter the rules of origin of Chapter 4. A non-originating technology or product shall acquire originating status only in accordance with the applicable rule of origin and not merely by importation, installation, packaging, or transshipment through the territory of a Party.</w:t>
      </w:r>
    </w:p>
    <w:p>
      <w:pPr>
        <w:pStyle w:val="Normal"/>
        <w:widowControl/>
        <w:spacing w:lineRule="auto" w:line="252" w:before="0" w:after="100"/>
        <w:rPr/>
      </w:pPr>
      <w:r>
        <w:rPr/>
        <w:t>3. The Parties shall encourage arrangements that increase North American technical capability through legitimate manufacturing, engineering participation, servicing capacity, workforce development, research collaboration, licensing, or other substantial value creation.</w:t>
      </w:r>
    </w:p>
    <w:p>
      <w:pPr>
        <w:pStyle w:val="Normal"/>
        <w:widowControl/>
        <w:spacing w:lineRule="auto" w:line="252" w:before="0" w:after="100"/>
        <w:rPr/>
      </w:pPr>
      <w:r>
        <w:rPr/>
        <w:t>4. Nothing in this Article limits a Party's authority to apply investment screening, sanctions, export controls, cybersecurity requirements, procurement restrictions, or critical-infrastructure protections consistent with this Agreement.</w:t>
      </w:r>
    </w:p>
    <w:p>
      <w:bookmarkStart w:id="1638" w:name="_NAESTMA_TOC_1638"/>
      <w:pPr>
        <w:pStyle w:val="Heading2"/>
        <w:keepNext/>
        <w:widowControl/>
        <w:spacing w:lineRule="auto" w:line="252"/>
        <w:rPr/>
      </w:pPr>
      <w:bookmarkStart w:id="256" w:name="_Toc237912737"/>
      <w:r>
        <w:rPr/>
        <w:t>Article 40.20: Critical Infrastructure Cybersecurity and Trusted Systems</w:t>
      </w:r>
      <w:bookmarkEnd w:id="256"/>
      <w:bookmarkEnd w:id="1638"/>
    </w:p>
    <w:p>
      <w:pPr>
        <w:pStyle w:val="Normal"/>
        <w:widowControl/>
        <w:spacing w:lineRule="auto" w:line="252" w:before="0" w:after="100"/>
        <w:rPr/>
      </w:pPr>
      <w:r>
        <w:rPr/>
        <w:t>1. Grid-control systems, bulk-power operational technology, sovereign or government compute, security-sensitive telecommunications, and other systems designated by a Party as critical infrastructure may be subject to enhanced cybersecurity, data-governance, supply-chain assurance, testing, access-control, and trusted-supplier requirements.</w:t>
      </w:r>
    </w:p>
    <w:p>
      <w:pPr>
        <w:pStyle w:val="Normal"/>
        <w:widowControl/>
        <w:spacing w:lineRule="auto" w:line="252" w:before="0" w:after="100"/>
        <w:rPr/>
      </w:pPr>
      <w:r>
        <w:rPr/>
        <w:t>2. Such requirements should, where practicable, be risk-based, transparent as to their general criteria, and no more trade-restrictive than reasonably necessary to address the identified risk. Country of origin or manufacture alone shall not be dispositive; administration of this Article is subject to Article 32.F.</w:t>
      </w:r>
    </w:p>
    <w:p>
      <w:pPr>
        <w:pStyle w:val="Normal"/>
        <w:widowControl/>
        <w:spacing w:lineRule="auto" w:line="252" w:before="0" w:after="100"/>
        <w:rPr/>
      </w:pPr>
      <w:r>
        <w:rPr/>
        <w:t>3. The Parties shall cooperate on incident reporting, secure-by-design standards, software and firmware integrity, supply-chain provenance, and recovery planning for covered systems.</w:t>
      </w:r>
    </w:p>
    <w:p>
      <w:bookmarkStart w:id="1639" w:name="_NAESTMA_TOC_1639"/>
      <w:pPr>
        <w:pStyle w:val="Heading2"/>
        <w:keepNext/>
        <w:widowControl/>
        <w:spacing w:lineRule="auto" w:line="252"/>
        <w:rPr/>
      </w:pPr>
      <w:bookmarkStart w:id="257" w:name="_Toc237912738"/>
      <w:r>
        <w:rPr/>
        <w:t>Article 40.21: Canadian, United States and Mexican Compute Access and Sovereignty</w:t>
      </w:r>
      <w:bookmarkEnd w:id="257"/>
      <w:bookmarkEnd w:id="1639"/>
    </w:p>
    <w:p>
      <w:pPr>
        <w:pStyle w:val="Normal"/>
        <w:widowControl/>
        <w:spacing w:lineRule="auto" w:line="252" w:before="0" w:after="100"/>
        <w:rPr/>
      </w:pPr>
      <w:r>
        <w:rPr/>
        <w:t>1. Nothing in the Initiative requires a Party to surrender authority over data residency, privacy, public-sector data, national-security information, or sovereign computing requirements.</w:t>
      </w:r>
    </w:p>
    <w:p>
      <w:pPr>
        <w:pStyle w:val="Normal"/>
        <w:widowControl/>
        <w:spacing w:lineRule="auto" w:line="252" w:before="0" w:after="100"/>
        <w:rPr/>
      </w:pPr>
      <w:r>
        <w:rPr/>
        <w:t>2. A Party granting material public support or preferential infrastructure treatment to a qualifying compute facility may require reasonable commitments concerning domestic commercial access, research access, workforce development, domestic service availability, or sovereign capacity, provided that such commitments are transparent and consistent with the Party's obligations under this Agreement.</w:t>
      </w:r>
    </w:p>
    <w:p>
      <w:pPr>
        <w:pStyle w:val="Normal"/>
        <w:widowControl/>
        <w:spacing w:lineRule="auto" w:line="252" w:before="0" w:after="100"/>
        <w:rPr/>
      </w:pPr>
      <w:r>
        <w:rPr/>
        <w:t>3. The Parties shall encourage cross-border interoperability and commercial access while preserving the ability of each Party to maintain sovereign compute capacity under its own law and governance.</w:t>
      </w:r>
    </w:p>
    <w:p>
      <w:bookmarkStart w:id="1640" w:name="_NAESTMA_TOC_1640"/>
      <w:pPr>
        <w:pStyle w:val="Heading2"/>
        <w:keepNext/>
        <w:widowControl/>
        <w:spacing w:lineRule="auto" w:line="252"/>
        <w:rPr/>
      </w:pPr>
      <w:bookmarkStart w:id="258" w:name="_Toc237912739"/>
      <w:r>
        <w:rPr/>
        <w:t>Article 40.22: Fibre, Telecommunications and Data-Movement Resilience</w:t>
      </w:r>
      <w:bookmarkEnd w:id="258"/>
      <w:bookmarkEnd w:id="1640"/>
    </w:p>
    <w:p>
      <w:pPr>
        <w:pStyle w:val="Normal"/>
        <w:widowControl/>
        <w:spacing w:lineRule="auto" w:line="252" w:before="0" w:after="100"/>
        <w:rPr/>
      </w:pPr>
      <w:r>
        <w:rPr/>
        <w:t>1. The Parties recognize that, where electricity transmission is constrained, locating compute near dependable generation and moving data through high-capacity telecommunications networks may reduce system costs and improve resilience.</w:t>
      </w:r>
    </w:p>
    <w:p>
      <w:pPr>
        <w:pStyle w:val="Normal"/>
        <w:widowControl/>
        <w:spacing w:lineRule="auto" w:line="252" w:before="0" w:after="100"/>
        <w:rPr/>
      </w:pPr>
      <w:r>
        <w:rPr/>
        <w:t>2. The Parties shall cooperate to identify bottlenecks in cross-border and interregional fibre capacity serving Strategic Compute and Energy Zones and to encourage geographically diverse, redundant, secure routes.</w:t>
      </w:r>
    </w:p>
    <w:p>
      <w:pPr>
        <w:pStyle w:val="Normal"/>
        <w:widowControl/>
        <w:spacing w:lineRule="auto" w:line="252" w:before="0" w:after="100"/>
        <w:rPr/>
      </w:pPr>
      <w:r>
        <w:rPr/>
        <w:t>3. This Article shall be implemented consistently with Chapter 18, Chapter 19, applicable privacy law, cybersecurity requirements, and each Party's authority over telecommunications and national security.</w:t>
      </w:r>
    </w:p>
    <w:p>
      <w:bookmarkStart w:id="1641" w:name="_NAESTMA_TOC_1641"/>
      <w:pPr>
        <w:pStyle w:val="Heading2"/>
        <w:keepNext/>
        <w:widowControl/>
        <w:spacing w:lineRule="auto" w:line="252"/>
        <w:rPr/>
      </w:pPr>
      <w:bookmarkStart w:id="259" w:name="_Toc237912740"/>
      <w:r>
        <w:rPr/>
        <w:t>Article 40.23: Host-Community, Workforce and Indigenous Participation</w:t>
      </w:r>
      <w:bookmarkEnd w:id="259"/>
      <w:bookmarkEnd w:id="1641"/>
    </w:p>
    <w:p>
      <w:pPr>
        <w:pStyle w:val="Normal"/>
        <w:widowControl/>
        <w:spacing w:lineRule="auto" w:line="252" w:before="0" w:after="100"/>
        <w:rPr/>
      </w:pPr>
      <w:r>
        <w:rPr/>
        <w:t>1. A Party may require or encourage qualifying projects to provide tangible host-region benefits, including apprenticeships, workforce training, local infrastructure contributions, grid upgrades, research partnerships, emergency-services support, or other measures reasonably related to the project.</w:t>
      </w:r>
    </w:p>
    <w:p>
      <w:pPr>
        <w:pStyle w:val="Normal"/>
        <w:widowControl/>
        <w:spacing w:lineRule="auto" w:line="252" w:before="0" w:after="100"/>
        <w:rPr/>
      </w:pPr>
      <w:r>
        <w:rPr/>
        <w:t>2. Projects shall comply with each Party's applicable obligations concerning Indigenous Peoples, consultation, treaty rights, land rights, and participation.</w:t>
      </w:r>
    </w:p>
    <w:p>
      <w:pPr>
        <w:pStyle w:val="Normal"/>
        <w:widowControl/>
        <w:spacing w:lineRule="auto" w:line="252" w:before="0" w:after="100"/>
        <w:rPr/>
      </w:pPr>
      <w:r>
        <w:rPr/>
        <w:t>3. The Parties shall exchange best practices for community-benefit arrangements without establishing a uniform mandatory model.</w:t>
      </w:r>
    </w:p>
    <w:p>
      <w:pPr>
        <w:pStyle w:val="Normal"/>
        <w:widowControl/>
        <w:spacing w:before="0" w:after="120"/>
        <w:rPr/>
      </w:pPr>
      <w:r>
        <w:rPr/>
        <w:t>4. Notwithstanding any other provision of this Article, each Party shall ensure that all energy transition initiatives implemented under Chapter 40 are accompanied by Chapter 23-B protections (North American Just Transition and Worker Security Framework), including:</w:t>
        <w:br/>
        <w:t>— Identification of energy workers as Affected Workers under Chapter 23-B</w:t>
        <w:br/>
        <w:t>— Access to income support and retraining under Articles 23-B.3–23-B.4</w:t>
        <w:br/>
        <w:t>— Community resilience support under Article 23-B.6 for communities dependent on fossil fuel energy production</w:t>
        <w:br/>
        <w:t>— Participation of energy workers and affected communities in transition planning through Community Steering Committees</w:t>
      </w:r>
    </w:p>
    <w:p>
      <w:pPr>
        <w:pStyle w:val="Normal"/>
        <w:widowControl/>
        <w:spacing w:before="0" w:after="160"/>
        <w:rPr/>
      </w:pPr>
      <w:r>
        <w:rPr/>
        <w:t>5. Energy transitions shall not proceed ahead of Chapter 23-B support mechanisms being in place and operational.</w:t>
      </w:r>
    </w:p>
    <w:p>
      <w:bookmarkStart w:id="1642" w:name="_NAESTMA_TOC_1642"/>
      <w:pPr>
        <w:pStyle w:val="Heading2"/>
        <w:keepNext/>
        <w:widowControl/>
        <w:spacing w:lineRule="auto" w:line="252"/>
        <w:rPr/>
      </w:pPr>
      <w:bookmarkStart w:id="260" w:name="_Toc237912741"/>
      <w:r>
        <w:rPr/>
        <w:t>Article 40.24: Implementation, Metrics and Review</w:t>
      </w:r>
      <w:bookmarkEnd w:id="260"/>
      <w:bookmarkEnd w:id="1642"/>
    </w:p>
    <w:p>
      <w:pPr>
        <w:pStyle w:val="Normal"/>
        <w:widowControl/>
        <w:spacing w:lineRule="auto" w:line="252" w:before="0" w:after="100"/>
        <w:rPr/>
      </w:pPr>
      <w:r>
        <w:rPr/>
        <w:t>1. The Economic Security and Supply Chain Resilience Subcommittee shall coordinate implementation of the Initiative, using the Grid Resilience Working Group for technical electricity and emergency-management matters and consulting the Committee on Digital Trade Cooperation only where digital-trade, telecommunications, data-movement, or cybersecurity issues materially require it. No body shall require substantially duplicative reporting for the same project or measure.</w:t>
      </w:r>
    </w:p>
    <w:p>
      <w:pPr>
        <w:pStyle w:val="Normal"/>
        <w:widowControl/>
        <w:spacing w:lineRule="auto" w:line="252" w:before="0" w:after="100"/>
        <w:rPr/>
      </w:pPr>
      <w:r>
        <w:rPr/>
        <w:t>2. Within 12 months of entry into force of this Article, the Working Group shall publish non-binding baseline metrics covering major new digital loads, dependable generation additions, storage deployment, material transmission constraints, cross-border transfer capability, critical-equipment bottlenecks, and relevant telecommunications constraints, subject to protection of confidential and security-sensitive information.</w:t>
      </w:r>
    </w:p>
    <w:p>
      <w:pPr>
        <w:pStyle w:val="Normal"/>
        <w:widowControl/>
        <w:spacing w:lineRule="auto" w:line="252" w:before="0" w:after="100"/>
        <w:rPr/>
      </w:pPr>
      <w:r>
        <w:rPr/>
        <w:t>3. The Working Group shall review Annex 40-A at least once every two years and may recommend technical updates through the Structured Technical Amendment Procedure in Article 34.3.A.</w:t>
      </w:r>
    </w:p>
    <w:p>
      <w:pPr>
        <w:pStyle w:val="Normal"/>
        <w:widowControl/>
        <w:spacing w:lineRule="auto" w:line="252" w:before="0" w:after="100"/>
        <w:rPr/>
      </w:pPr>
      <w:r>
        <w:rPr/>
        <w:t>4. No review under this Article shall authorize the Commission to amend a substantive obligation of this Chapter through a technical annex.</w:t>
      </w:r>
    </w:p>
    <w:p>
      <w:bookmarkStart w:id="1643" w:name="_NAESTMA_TOC_1643"/>
      <w:pPr>
        <w:pStyle w:val="Heading1"/>
        <w:keepNext/>
        <w:pageBreakBefore/>
        <w:widowControl/>
        <w:spacing w:lineRule="auto" w:line="252" w:before="280" w:after="100"/>
        <w:rPr/>
      </w:pPr>
      <w:bookmarkStart w:id="261" w:name="_Toc237912742"/>
      <w:r>
        <w:rPr/>
        <w:t>ANNEX 40-A</w:t>
      </w:r>
      <w:bookmarkEnd w:id="261"/>
      <w:bookmarkEnd w:id="1643"/>
    </w:p>
    <w:p>
      <w:bookmarkStart w:id="1644" w:name="_NAESTMA_TOC_1644"/>
      <w:pPr>
        <w:pStyle w:val="Heading2"/>
        <w:keepNext/>
        <w:widowControl/>
        <w:spacing w:lineRule="auto" w:line="252"/>
        <w:rPr/>
      </w:pPr>
      <w:bookmarkStart w:id="262" w:name="_Toc237912743"/>
      <w:r>
        <w:rPr/>
        <w:t>NORTH AMERICAN ENERGY, COMPUTE AND STORAGE IMPLEMENTATION FRAMEWORK</w:t>
      </w:r>
      <w:bookmarkEnd w:id="262"/>
      <w:bookmarkEnd w:id="1644"/>
    </w:p>
    <w:p>
      <w:pPr>
        <w:pStyle w:val="Heading3"/>
        <w:keepNext/>
        <w:widowControl/>
        <w:spacing w:lineRule="auto" w:line="252" w:before="160" w:after="100"/>
        <w:rPr/>
      </w:pPr>
      <w:r>
        <w:rPr/>
        <w:t>Part 1: Qualification Criteria</w:t>
      </w:r>
    </w:p>
    <w:p>
      <w:pPr>
        <w:pStyle w:val="ListBullet"/>
        <w:widowControl/>
        <w:numPr>
          <w:ilvl w:val="0"/>
          <w:numId w:val="1"/>
        </w:numPr>
        <w:spacing w:before="0" w:after="60"/>
        <w:contextualSpacing/>
        <w:rPr/>
      </w:pPr>
      <w:r>
        <w:rPr/>
        <w:t>Grid readiness: demonstrated ability to serve the proposed load or a binding plan for incremental capacity.</w:t>
      </w:r>
    </w:p>
    <w:p>
      <w:pPr>
        <w:pStyle w:val="ListBullet"/>
        <w:widowControl/>
        <w:numPr>
          <w:ilvl w:val="0"/>
          <w:numId w:val="1"/>
        </w:numPr>
        <w:spacing w:before="0" w:after="60"/>
        <w:contextualSpacing/>
        <w:rPr/>
      </w:pPr>
      <w:r>
        <w:rPr/>
        <w:t>Incremental-system contribution: generation, storage, transmission, demand response, efficiency, or equivalent measurable support proportionate to the project's system impact.</w:t>
      </w:r>
    </w:p>
    <w:p>
      <w:pPr>
        <w:pStyle w:val="ListBullet"/>
        <w:widowControl/>
        <w:numPr>
          <w:ilvl w:val="0"/>
          <w:numId w:val="1"/>
        </w:numPr>
        <w:spacing w:before="0" w:after="60"/>
        <w:contextualSpacing/>
        <w:rPr/>
      </w:pPr>
      <w:r>
        <w:rPr/>
        <w:t>Telecommunications resilience: at least two reasonably independent high-capacity routes where commercially and technically practicable.</w:t>
      </w:r>
    </w:p>
    <w:p>
      <w:pPr>
        <w:pStyle w:val="ListBullet"/>
        <w:widowControl/>
        <w:numPr>
          <w:ilvl w:val="0"/>
          <w:numId w:val="1"/>
        </w:numPr>
        <w:spacing w:before="0" w:after="60"/>
        <w:contextualSpacing/>
        <w:rPr/>
      </w:pPr>
      <w:r>
        <w:rPr/>
        <w:t>Cooling and water: documented cooling strategy, water demand, drought exposure, and feasible low-water or reclaimed-water alternatives where local conditions warrant.</w:t>
      </w:r>
    </w:p>
    <w:p>
      <w:pPr>
        <w:pStyle w:val="ListBullet"/>
        <w:widowControl/>
        <w:numPr>
          <w:ilvl w:val="0"/>
          <w:numId w:val="1"/>
        </w:numPr>
        <w:spacing w:before="0" w:after="60"/>
        <w:contextualSpacing/>
        <w:rPr/>
      </w:pPr>
      <w:r>
        <w:rPr/>
        <w:t>Security: physical security, cyber risk management, supply-chain assurance, and incident-recovery planning proportionate to the facility's function.</w:t>
      </w:r>
    </w:p>
    <w:p>
      <w:pPr>
        <w:pStyle w:val="ListBullet"/>
        <w:widowControl/>
        <w:numPr>
          <w:ilvl w:val="0"/>
          <w:numId w:val="1"/>
        </w:numPr>
        <w:spacing w:before="0" w:after="60"/>
        <w:contextualSpacing/>
        <w:rPr/>
      </w:pPr>
      <w:r>
        <w:rPr/>
        <w:t>Scalability: expansion shall be considered in the original system-impact assessment rather than treated as automatically entitled incremental load.</w:t>
      </w:r>
    </w:p>
    <w:p>
      <w:pPr>
        <w:pStyle w:val="ListBullet"/>
        <w:widowControl/>
        <w:numPr>
          <w:ilvl w:val="0"/>
          <w:numId w:val="1"/>
        </w:numPr>
        <w:spacing w:before="0" w:after="60"/>
        <w:contextualSpacing/>
        <w:rPr/>
      </w:pPr>
      <w:r>
        <w:rPr/>
        <w:t>Community impact: land use, municipal services, emergency response, workforce, housing pressure, noise, and other locally material effects.</w:t>
      </w:r>
    </w:p>
    <w:p>
      <w:pPr>
        <w:pStyle w:val="ListBullet"/>
        <w:widowControl/>
        <w:numPr>
          <w:ilvl w:val="0"/>
          <w:numId w:val="1"/>
        </w:numPr>
        <w:spacing w:before="0" w:after="60"/>
        <w:contextualSpacing/>
        <w:rPr/>
      </w:pPr>
      <w:r>
        <w:rPr/>
        <w:t>Energy efficiency: reporting of power usage effectiveness or successor metrics appropriate to the facility, without establishing a single permanent treaty threshold.</w:t>
      </w:r>
    </w:p>
    <w:p>
      <w:pPr>
        <w:pStyle w:val="Heading3"/>
        <w:keepNext/>
        <w:widowControl/>
        <w:spacing w:lineRule="auto" w:line="252" w:before="160" w:after="100"/>
        <w:rPr/>
      </w:pPr>
      <w:r>
        <w:rPr/>
        <w:t>Part 2: Eligible Energy and Storage Technologies</w:t>
      </w:r>
    </w:p>
    <w:p>
      <w:pPr>
        <w:pStyle w:val="Normal"/>
        <w:widowControl/>
        <w:spacing w:lineRule="auto" w:line="252" w:before="0" w:after="100"/>
        <w:rPr/>
      </w:pPr>
      <w:r>
        <w:rPr/>
        <w:t>The following categories are initially eligible for cooperation, demonstration, technical standardization, or project qualification. Inclusion does not imply subsidy, procurement preference, originating status, or a finding of commercial superiority:</w:t>
      </w:r>
    </w:p>
    <w:p>
      <w:pPr>
        <w:pStyle w:val="ListBullet"/>
        <w:widowControl/>
        <w:numPr>
          <w:ilvl w:val="0"/>
          <w:numId w:val="1"/>
        </w:numPr>
        <w:spacing w:before="0" w:after="60"/>
        <w:contextualSpacing/>
        <w:rPr/>
      </w:pPr>
      <w:r>
        <w:rPr/>
        <w:t>Reservoir hydroelectric generation and pumped-storage hydroelectricity.</w:t>
      </w:r>
    </w:p>
    <w:p>
      <w:pPr>
        <w:pStyle w:val="ListBullet"/>
        <w:widowControl/>
        <w:numPr>
          <w:ilvl w:val="0"/>
          <w:numId w:val="1"/>
        </w:numPr>
        <w:spacing w:before="0" w:after="60"/>
        <w:contextualSpacing/>
        <w:rPr/>
      </w:pPr>
      <w:r>
        <w:rPr/>
        <w:t>Nuclear generation, including existing fleets and qualifying advanced reactors under applicable domestic licensing.</w:t>
      </w:r>
    </w:p>
    <w:p>
      <w:pPr>
        <w:pStyle w:val="ListBullet"/>
        <w:widowControl/>
        <w:numPr>
          <w:ilvl w:val="0"/>
          <w:numId w:val="1"/>
        </w:numPr>
        <w:spacing w:before="0" w:after="60"/>
        <w:contextualSpacing/>
        <w:rPr/>
      </w:pPr>
      <w:r>
        <w:rPr/>
        <w:t>Wind and photovoltaic generation.</w:t>
      </w:r>
    </w:p>
    <w:p>
      <w:pPr>
        <w:pStyle w:val="ListBullet"/>
        <w:widowControl/>
        <w:numPr>
          <w:ilvl w:val="0"/>
          <w:numId w:val="1"/>
        </w:numPr>
        <w:spacing w:before="0" w:after="60"/>
        <w:contextualSpacing/>
        <w:rPr/>
      </w:pPr>
      <w:r>
        <w:rPr/>
        <w:t>Concentrated solar thermal generation and molten-salt or successor thermal-energy storage where site resources are suitable.</w:t>
      </w:r>
    </w:p>
    <w:p>
      <w:pPr>
        <w:pStyle w:val="ListBullet"/>
        <w:widowControl/>
        <w:numPr>
          <w:ilvl w:val="0"/>
          <w:numId w:val="1"/>
        </w:numPr>
        <w:spacing w:before="0" w:after="60"/>
        <w:contextualSpacing/>
        <w:rPr/>
      </w:pPr>
      <w:r>
        <w:rPr/>
        <w:t>Sodium-ion, lithium-ion, flow-battery, metal-air, and successor electrochemical storage.</w:t>
      </w:r>
    </w:p>
    <w:p>
      <w:pPr>
        <w:pStyle w:val="ListBullet"/>
        <w:widowControl/>
        <w:numPr>
          <w:ilvl w:val="0"/>
          <w:numId w:val="1"/>
        </w:numPr>
        <w:spacing w:before="0" w:after="60"/>
        <w:contextualSpacing/>
        <w:rPr/>
      </w:pPr>
      <w:r>
        <w:rPr/>
        <w:t>Thermal storage, including power-to-heat systems capable of absorbing surplus electricity.</w:t>
      </w:r>
    </w:p>
    <w:p>
      <w:pPr>
        <w:pStyle w:val="ListBullet"/>
        <w:widowControl/>
        <w:numPr>
          <w:ilvl w:val="0"/>
          <w:numId w:val="1"/>
        </w:numPr>
        <w:spacing w:before="0" w:after="60"/>
        <w:contextualSpacing/>
        <w:rPr/>
      </w:pPr>
      <w:r>
        <w:rPr/>
        <w:t>Compressed-air, liquid-air, gravitational, flywheel, and other mechanical storage.</w:t>
      </w:r>
    </w:p>
    <w:p>
      <w:pPr>
        <w:pStyle w:val="ListBullet"/>
        <w:widowControl/>
        <w:numPr>
          <w:ilvl w:val="0"/>
          <w:numId w:val="1"/>
        </w:numPr>
        <w:spacing w:before="0" w:after="60"/>
        <w:contextualSpacing/>
        <w:rPr/>
      </w:pPr>
      <w:r>
        <w:rPr/>
        <w:t>Demand-response systems, controllable industrial loads, and flexible compute loads.</w:t>
      </w:r>
    </w:p>
    <w:p>
      <w:pPr>
        <w:pStyle w:val="ListBullet"/>
        <w:widowControl/>
        <w:numPr>
          <w:ilvl w:val="0"/>
          <w:numId w:val="1"/>
        </w:numPr>
        <w:spacing w:before="0" w:after="60"/>
        <w:contextualSpacing/>
        <w:rPr/>
      </w:pPr>
      <w:r>
        <w:rPr/>
        <w:t>Grid-forming inverters, advanced power electronics, transformers, switchgear, high-voltage equipment, and grid-control technologies.</w:t>
      </w:r>
    </w:p>
    <w:p>
      <w:pPr>
        <w:pStyle w:val="Heading3"/>
        <w:keepNext/>
        <w:widowControl/>
        <w:spacing w:lineRule="auto" w:line="252" w:before="160" w:after="100"/>
        <w:rPr/>
      </w:pPr>
      <w:r>
        <w:rPr/>
        <w:t>Part 3: Power Product Model</w:t>
      </w:r>
    </w:p>
    <w:tbl>
      <w:tblPr>
        <w:tblStyle w:val="TableGrid"/>
        <w:tblW w:w="9576" w:type="dxa"/>
        <w:jc w:val="center"/>
        <w:tblInd w:w="0" w:type="dxa"/>
        <w:tblLayout w:type="autofit"/>
        <w:tblCellMar>
          <w:top w:w="60" w:type="dxa"/>
          <w:left w:w="70" w:type="dxa"/>
          <w:bottom w:w="60" w:type="dxa"/>
          <w:right w:w="70" w:type="dxa"/>
        </w:tblCellMar>
        <w:tblLook w:val="04a0" w:noHBand="0" w:noVBand="1" w:firstColumn="1" w:lastRow="0" w:lastColumn="0" w:firstRow="1"/>
      </w:tblPr>
      <w:tblGrid>
        <w:gridCol w:w="2391"/>
        <w:gridCol w:w="2392"/>
        <w:gridCol w:w="2394"/>
        <w:gridCol w:w="2398"/>
      </w:tblGrid>
      <w:tr>
        <w:trPr>
          <w:tblHeader w:val="true"/>
          <w:cantSplit w:val="true"/>
          <w:tblHeader w:val="true"/>
        </w:trPr>
        <w:tc>
          <w:tcPr>
            <w:tcW w:w="2391" w:type="dxa"/>
            <w:tcBorders/>
            <w:shd w:fill="233746"/>
          </w:tcPr>
          <w:p>
            <w:pPr>
              <w:pStyle w:val="Normal"/>
              <w:widowControl/>
              <w:suppressAutoHyphens w:val="true"/>
              <w:spacing w:before="0" w:after="0"/>
              <w:jc w:val="left"/>
              <w:rPr>
                <w:rFonts w:cs=""/>
                <w:kern w:val="0"/>
                <w:szCs w:val="22"/>
                <w:lang w:val="en-US" w:eastAsia="en-US" w:bidi="ar-SA"/>
              </w:rPr>
            </w:pPr>
            <w:r>
              <w:rPr>
                <w:rFonts w:cs="" w:ascii="Arial" w:hAnsi="Arial"/>
                <w:b/>
                <w:color w:val="FFFFFF"/>
                <w:kern w:val="0"/>
                <w:sz w:val="17"/>
                <w:szCs w:val="22"/>
                <w:lang w:val="en-US" w:eastAsia="en-US" w:bidi="ar-SA"/>
              </w:rPr>
              <w:t>Product</w:t>
            </w:r>
          </w:p>
        </w:tc>
        <w:tc>
          <w:tcPr>
            <w:tcW w:w="2392" w:type="dxa"/>
            <w:tcBorders/>
            <w:shd w:fill="233746"/>
          </w:tcPr>
          <w:p>
            <w:pPr>
              <w:pStyle w:val="Normal"/>
              <w:widowControl/>
              <w:suppressAutoHyphens w:val="true"/>
              <w:spacing w:before="0" w:after="0"/>
              <w:jc w:val="left"/>
              <w:rPr>
                <w:rFonts w:cs=""/>
                <w:kern w:val="0"/>
                <w:szCs w:val="22"/>
                <w:lang w:val="en-US" w:eastAsia="en-US" w:bidi="ar-SA"/>
              </w:rPr>
            </w:pPr>
            <w:r>
              <w:rPr>
                <w:rFonts w:cs="" w:ascii="Arial" w:hAnsi="Arial"/>
                <w:b/>
                <w:color w:val="FFFFFF"/>
                <w:kern w:val="0"/>
                <w:sz w:val="17"/>
                <w:szCs w:val="22"/>
                <w:lang w:val="en-US" w:eastAsia="en-US" w:bidi="ar-SA"/>
              </w:rPr>
              <w:t>Reliability Character</w:t>
            </w:r>
          </w:p>
        </w:tc>
        <w:tc>
          <w:tcPr>
            <w:tcW w:w="2394" w:type="dxa"/>
            <w:tcBorders/>
            <w:shd w:fill="233746"/>
          </w:tcPr>
          <w:p>
            <w:pPr>
              <w:pStyle w:val="Normal"/>
              <w:widowControl/>
              <w:suppressAutoHyphens w:val="true"/>
              <w:spacing w:before="0" w:after="0"/>
              <w:jc w:val="left"/>
              <w:rPr>
                <w:rFonts w:cs=""/>
                <w:kern w:val="0"/>
                <w:szCs w:val="22"/>
                <w:lang w:val="en-US" w:eastAsia="en-US" w:bidi="ar-SA"/>
              </w:rPr>
            </w:pPr>
            <w:r>
              <w:rPr>
                <w:rFonts w:cs="" w:ascii="Arial" w:hAnsi="Arial"/>
                <w:b/>
                <w:color w:val="FFFFFF"/>
                <w:kern w:val="0"/>
                <w:sz w:val="17"/>
                <w:szCs w:val="22"/>
                <w:lang w:val="en-US" w:eastAsia="en-US" w:bidi="ar-SA"/>
              </w:rPr>
              <w:t>Typical Use</w:t>
            </w:r>
          </w:p>
        </w:tc>
        <w:tc>
          <w:tcPr>
            <w:tcW w:w="2398" w:type="dxa"/>
            <w:tcBorders/>
            <w:shd w:fill="233746"/>
          </w:tcPr>
          <w:p>
            <w:pPr>
              <w:pStyle w:val="Normal"/>
              <w:widowControl/>
              <w:suppressAutoHyphens w:val="true"/>
              <w:spacing w:before="0" w:after="0"/>
              <w:jc w:val="left"/>
              <w:rPr>
                <w:rFonts w:cs=""/>
                <w:kern w:val="0"/>
                <w:szCs w:val="22"/>
                <w:lang w:val="en-US" w:eastAsia="en-US" w:bidi="ar-SA"/>
              </w:rPr>
            </w:pPr>
            <w:r>
              <w:rPr>
                <w:rFonts w:cs="" w:ascii="Arial" w:hAnsi="Arial"/>
                <w:b/>
                <w:color w:val="FFFFFF"/>
                <w:kern w:val="0"/>
                <w:sz w:val="17"/>
                <w:szCs w:val="22"/>
                <w:lang w:val="en-US" w:eastAsia="en-US" w:bidi="ar-SA"/>
              </w:rPr>
              <w:t>Safeguard</w:t>
            </w:r>
          </w:p>
        </w:tc>
      </w:tr>
      <w:tr>
        <w:trPr>
          <w:cantSplit w:val="true"/>
        </w:trPr>
        <w:tc>
          <w:tcPr>
            <w:tcW w:w="2391" w:type="dxa"/>
            <w:tcBorders/>
            <w:tcMar>
              <w:top w:w="70" w:type="dxa"/>
              <w:start w:w="110" w:type="dxa"/>
              <w:bottom w:w="70" w:type="dxa"/>
              <w:end w:w="110" w:type="dxa"/>
            </w:tcMar>
          </w:tcPr>
          <w:p>
            <w:pPr>
              <w:pStyle w:val="Normal"/>
              <w:widowControl/>
              <w:suppressAutoHyphens w:val="true"/>
              <w:spacing w:before="0" w:after="0"/>
              <w:jc w:val="left"/>
              <w:rPr>
                <w:rFonts w:cs=""/>
                <w:kern w:val="0"/>
                <w:szCs w:val="22"/>
                <w:lang w:val="en-US" w:eastAsia="en-US" w:bidi="ar-SA"/>
              </w:rPr>
            </w:pPr>
            <w:r>
              <w:rPr>
                <w:rFonts w:cs="" w:ascii="Arial" w:hAnsi="Arial"/>
                <w:kern w:val="0"/>
                <w:sz w:val="17"/>
                <w:szCs w:val="22"/>
                <w:lang w:val="en-US" w:eastAsia="en-US" w:bidi="ar-SA"/>
              </w:rPr>
              <w:t>Firm Power</w:t>
            </w:r>
          </w:p>
        </w:tc>
        <w:tc>
          <w:tcPr>
            <w:tcW w:w="2392" w:type="dxa"/>
            <w:tcBorders/>
            <w:tcMar>
              <w:top w:w="70" w:type="dxa"/>
              <w:start w:w="110" w:type="dxa"/>
              <w:bottom w:w="70" w:type="dxa"/>
              <w:end w:w="110" w:type="dxa"/>
            </w:tcMar>
          </w:tcPr>
          <w:p>
            <w:pPr>
              <w:pStyle w:val="Normal"/>
              <w:widowControl/>
              <w:suppressAutoHyphens w:val="true"/>
              <w:spacing w:before="0" w:after="0"/>
              <w:jc w:val="left"/>
              <w:rPr>
                <w:rFonts w:cs=""/>
                <w:kern w:val="0"/>
                <w:szCs w:val="22"/>
                <w:lang w:val="en-US" w:eastAsia="en-US" w:bidi="ar-SA"/>
              </w:rPr>
            </w:pPr>
            <w:r>
              <w:rPr>
                <w:rFonts w:cs="" w:ascii="Arial" w:hAnsi="Arial"/>
                <w:kern w:val="0"/>
                <w:sz w:val="17"/>
                <w:szCs w:val="22"/>
                <w:lang w:val="en-US" w:eastAsia="en-US" w:bidi="ar-SA"/>
              </w:rPr>
              <w:t>High contractual availability</w:t>
            </w:r>
          </w:p>
        </w:tc>
        <w:tc>
          <w:tcPr>
            <w:tcW w:w="2394" w:type="dxa"/>
            <w:tcBorders/>
            <w:tcMar>
              <w:top w:w="70" w:type="dxa"/>
              <w:start w:w="110" w:type="dxa"/>
              <w:bottom w:w="70" w:type="dxa"/>
              <w:end w:w="110" w:type="dxa"/>
            </w:tcMar>
          </w:tcPr>
          <w:p>
            <w:pPr>
              <w:pStyle w:val="Normal"/>
              <w:widowControl/>
              <w:suppressAutoHyphens w:val="true"/>
              <w:spacing w:before="0" w:after="0"/>
              <w:jc w:val="left"/>
              <w:rPr>
                <w:rFonts w:cs=""/>
                <w:kern w:val="0"/>
                <w:szCs w:val="22"/>
                <w:lang w:val="en-US" w:eastAsia="en-US" w:bidi="ar-SA"/>
              </w:rPr>
            </w:pPr>
            <w:r>
              <w:rPr>
                <w:rFonts w:cs="" w:ascii="Arial" w:hAnsi="Arial"/>
                <w:kern w:val="0"/>
                <w:sz w:val="17"/>
                <w:szCs w:val="22"/>
                <w:lang w:val="en-US" w:eastAsia="en-US" w:bidi="ar-SA"/>
              </w:rPr>
              <w:t>Critical compute and industrial loads</w:t>
            </w:r>
          </w:p>
        </w:tc>
        <w:tc>
          <w:tcPr>
            <w:tcW w:w="2398" w:type="dxa"/>
            <w:tcBorders/>
            <w:tcMar>
              <w:top w:w="70" w:type="dxa"/>
              <w:start w:w="110" w:type="dxa"/>
              <w:bottom w:w="70" w:type="dxa"/>
              <w:end w:w="110" w:type="dxa"/>
            </w:tcMar>
          </w:tcPr>
          <w:p>
            <w:pPr>
              <w:pStyle w:val="Normal"/>
              <w:widowControl/>
              <w:suppressAutoHyphens w:val="true"/>
              <w:spacing w:before="0" w:after="0"/>
              <w:jc w:val="left"/>
              <w:rPr>
                <w:rFonts w:cs=""/>
                <w:kern w:val="0"/>
                <w:szCs w:val="22"/>
                <w:lang w:val="en-US" w:eastAsia="en-US" w:bidi="ar-SA"/>
              </w:rPr>
            </w:pPr>
            <w:r>
              <w:rPr>
                <w:rFonts w:cs="" w:ascii="Arial" w:hAnsi="Arial"/>
                <w:kern w:val="0"/>
                <w:sz w:val="17"/>
                <w:szCs w:val="22"/>
                <w:lang w:val="en-US" w:eastAsia="en-US" w:bidi="ar-SA"/>
              </w:rPr>
              <w:t>Subject to applicable emergency and reliability authority</w:t>
            </w:r>
          </w:p>
        </w:tc>
      </w:tr>
      <w:tr>
        <w:trPr>
          <w:cantSplit w:val="true"/>
        </w:trPr>
        <w:tc>
          <w:tcPr>
            <w:tcW w:w="2391" w:type="dxa"/>
            <w:tcBorders/>
            <w:tcMar>
              <w:top w:w="70" w:type="dxa"/>
              <w:start w:w="110" w:type="dxa"/>
              <w:bottom w:w="70" w:type="dxa"/>
              <w:end w:w="110" w:type="dxa"/>
            </w:tcMar>
            <w:shd w:fill="F4F6F7"/>
          </w:tcPr>
          <w:p>
            <w:pPr>
              <w:pStyle w:val="Normal"/>
              <w:widowControl/>
              <w:suppressAutoHyphens w:val="true"/>
              <w:spacing w:before="0" w:after="0"/>
              <w:jc w:val="left"/>
              <w:rPr>
                <w:rFonts w:cs=""/>
                <w:kern w:val="0"/>
                <w:szCs w:val="22"/>
                <w:lang w:val="en-US" w:eastAsia="en-US" w:bidi="ar-SA"/>
              </w:rPr>
            </w:pPr>
            <w:r>
              <w:rPr>
                <w:rFonts w:cs="" w:ascii="Arial" w:hAnsi="Arial"/>
                <w:kern w:val="0"/>
                <w:sz w:val="17"/>
                <w:szCs w:val="22"/>
                <w:lang w:val="en-US" w:eastAsia="en-US" w:bidi="ar-SA"/>
              </w:rPr>
              <w:t>Flexible Power</w:t>
            </w:r>
          </w:p>
        </w:tc>
        <w:tc>
          <w:tcPr>
            <w:tcW w:w="2392" w:type="dxa"/>
            <w:tcBorders/>
            <w:tcMar>
              <w:top w:w="70" w:type="dxa"/>
              <w:start w:w="110" w:type="dxa"/>
              <w:bottom w:w="70" w:type="dxa"/>
              <w:end w:w="110" w:type="dxa"/>
            </w:tcMar>
            <w:shd w:fill="F4F6F7"/>
          </w:tcPr>
          <w:p>
            <w:pPr>
              <w:pStyle w:val="Normal"/>
              <w:widowControl/>
              <w:suppressAutoHyphens w:val="true"/>
              <w:spacing w:before="0" w:after="0"/>
              <w:jc w:val="left"/>
              <w:rPr>
                <w:rFonts w:cs=""/>
                <w:kern w:val="0"/>
                <w:szCs w:val="22"/>
                <w:lang w:val="en-US" w:eastAsia="en-US" w:bidi="ar-SA"/>
              </w:rPr>
            </w:pPr>
            <w:r>
              <w:rPr>
                <w:rFonts w:cs="" w:ascii="Arial" w:hAnsi="Arial"/>
                <w:kern w:val="0"/>
                <w:sz w:val="17"/>
                <w:szCs w:val="22"/>
                <w:lang w:val="en-US" w:eastAsia="en-US" w:bidi="ar-SA"/>
              </w:rPr>
              <w:t>Scheduled or conditionally adjustable</w:t>
            </w:r>
          </w:p>
        </w:tc>
        <w:tc>
          <w:tcPr>
            <w:tcW w:w="2394" w:type="dxa"/>
            <w:tcBorders/>
            <w:tcMar>
              <w:top w:w="70" w:type="dxa"/>
              <w:start w:w="110" w:type="dxa"/>
              <w:bottom w:w="70" w:type="dxa"/>
              <w:end w:w="110" w:type="dxa"/>
            </w:tcMar>
            <w:shd w:fill="F4F6F7"/>
          </w:tcPr>
          <w:p>
            <w:pPr>
              <w:pStyle w:val="Normal"/>
              <w:widowControl/>
              <w:suppressAutoHyphens w:val="true"/>
              <w:spacing w:before="0" w:after="0"/>
              <w:jc w:val="left"/>
              <w:rPr>
                <w:rFonts w:cs=""/>
                <w:kern w:val="0"/>
                <w:szCs w:val="22"/>
                <w:lang w:val="en-US" w:eastAsia="en-US" w:bidi="ar-SA"/>
              </w:rPr>
            </w:pPr>
            <w:r>
              <w:rPr>
                <w:rFonts w:cs="" w:ascii="Arial" w:hAnsi="Arial"/>
                <w:kern w:val="0"/>
                <w:sz w:val="17"/>
                <w:szCs w:val="22"/>
                <w:lang w:val="en-US" w:eastAsia="en-US" w:bidi="ar-SA"/>
              </w:rPr>
              <w:t>Workloads able to shift in time</w:t>
            </w:r>
          </w:p>
        </w:tc>
        <w:tc>
          <w:tcPr>
            <w:tcW w:w="2398" w:type="dxa"/>
            <w:tcBorders/>
            <w:tcMar>
              <w:top w:w="70" w:type="dxa"/>
              <w:start w:w="110" w:type="dxa"/>
              <w:bottom w:w="70" w:type="dxa"/>
              <w:end w:w="110" w:type="dxa"/>
            </w:tcMar>
            <w:shd w:fill="F4F6F7"/>
          </w:tcPr>
          <w:p>
            <w:pPr>
              <w:pStyle w:val="Normal"/>
              <w:widowControl/>
              <w:suppressAutoHyphens w:val="true"/>
              <w:spacing w:before="0" w:after="0"/>
              <w:jc w:val="left"/>
              <w:rPr>
                <w:rFonts w:cs=""/>
                <w:kern w:val="0"/>
                <w:szCs w:val="22"/>
                <w:lang w:val="en-US" w:eastAsia="en-US" w:bidi="ar-SA"/>
              </w:rPr>
            </w:pPr>
            <w:r>
              <w:rPr>
                <w:rFonts w:cs="" w:ascii="Arial" w:hAnsi="Arial"/>
                <w:kern w:val="0"/>
                <w:sz w:val="17"/>
                <w:szCs w:val="22"/>
                <w:lang w:val="en-US" w:eastAsia="en-US" w:bidi="ar-SA"/>
              </w:rPr>
              <w:t>Transparent notice and restoration terms</w:t>
            </w:r>
          </w:p>
        </w:tc>
      </w:tr>
      <w:tr>
        <w:trPr>
          <w:cantSplit w:val="true"/>
        </w:trPr>
        <w:tc>
          <w:tcPr>
            <w:tcW w:w="2391" w:type="dxa"/>
            <w:tcBorders/>
            <w:tcMar>
              <w:top w:w="70" w:type="dxa"/>
              <w:start w:w="110" w:type="dxa"/>
              <w:bottom w:w="70" w:type="dxa"/>
              <w:end w:w="110" w:type="dxa"/>
            </w:tcMar>
          </w:tcPr>
          <w:p>
            <w:pPr>
              <w:pStyle w:val="Normal"/>
              <w:widowControl/>
              <w:suppressAutoHyphens w:val="true"/>
              <w:spacing w:before="0" w:after="0"/>
              <w:jc w:val="left"/>
              <w:rPr>
                <w:rFonts w:cs=""/>
                <w:kern w:val="0"/>
                <w:szCs w:val="22"/>
                <w:lang w:val="en-US" w:eastAsia="en-US" w:bidi="ar-SA"/>
              </w:rPr>
            </w:pPr>
            <w:r>
              <w:rPr>
                <w:rFonts w:cs="" w:ascii="Arial" w:hAnsi="Arial"/>
                <w:kern w:val="0"/>
                <w:sz w:val="17"/>
                <w:szCs w:val="22"/>
                <w:lang w:val="en-US" w:eastAsia="en-US" w:bidi="ar-SA"/>
              </w:rPr>
              <w:t>Interruptible Power</w:t>
            </w:r>
          </w:p>
        </w:tc>
        <w:tc>
          <w:tcPr>
            <w:tcW w:w="2392" w:type="dxa"/>
            <w:tcBorders/>
            <w:tcMar>
              <w:top w:w="70" w:type="dxa"/>
              <w:start w:w="110" w:type="dxa"/>
              <w:bottom w:w="70" w:type="dxa"/>
              <w:end w:w="110" w:type="dxa"/>
            </w:tcMar>
          </w:tcPr>
          <w:p>
            <w:pPr>
              <w:pStyle w:val="Normal"/>
              <w:widowControl/>
              <w:suppressAutoHyphens w:val="true"/>
              <w:spacing w:before="0" w:after="0"/>
              <w:jc w:val="left"/>
              <w:rPr>
                <w:rFonts w:cs=""/>
                <w:kern w:val="0"/>
                <w:szCs w:val="22"/>
                <w:lang w:val="en-US" w:eastAsia="en-US" w:bidi="ar-SA"/>
              </w:rPr>
            </w:pPr>
            <w:r>
              <w:rPr>
                <w:rFonts w:cs="" w:ascii="Arial" w:hAnsi="Arial"/>
                <w:kern w:val="0"/>
                <w:sz w:val="17"/>
                <w:szCs w:val="22"/>
                <w:lang w:val="en-US" w:eastAsia="en-US" w:bidi="ar-SA"/>
              </w:rPr>
              <w:t>Curtailable under defined conditions</w:t>
            </w:r>
          </w:p>
        </w:tc>
        <w:tc>
          <w:tcPr>
            <w:tcW w:w="2394" w:type="dxa"/>
            <w:tcBorders/>
            <w:tcMar>
              <w:top w:w="70" w:type="dxa"/>
              <w:start w:w="110" w:type="dxa"/>
              <w:bottom w:w="70" w:type="dxa"/>
              <w:end w:w="110" w:type="dxa"/>
            </w:tcMar>
          </w:tcPr>
          <w:p>
            <w:pPr>
              <w:pStyle w:val="Normal"/>
              <w:widowControl/>
              <w:suppressAutoHyphens w:val="true"/>
              <w:spacing w:before="0" w:after="0"/>
              <w:jc w:val="left"/>
              <w:rPr>
                <w:rFonts w:cs=""/>
                <w:kern w:val="0"/>
                <w:szCs w:val="22"/>
                <w:lang w:val="en-US" w:eastAsia="en-US" w:bidi="ar-SA"/>
              </w:rPr>
            </w:pPr>
            <w:r>
              <w:rPr>
                <w:rFonts w:cs="" w:ascii="Arial" w:hAnsi="Arial"/>
                <w:kern w:val="0"/>
                <w:sz w:val="17"/>
                <w:szCs w:val="22"/>
                <w:lang w:val="en-US" w:eastAsia="en-US" w:bidi="ar-SA"/>
              </w:rPr>
              <w:t>Non-critical or deferrable compute</w:t>
            </w:r>
          </w:p>
        </w:tc>
        <w:tc>
          <w:tcPr>
            <w:tcW w:w="2398" w:type="dxa"/>
            <w:tcBorders/>
            <w:tcMar>
              <w:top w:w="70" w:type="dxa"/>
              <w:start w:w="110" w:type="dxa"/>
              <w:bottom w:w="70" w:type="dxa"/>
              <w:end w:w="110" w:type="dxa"/>
            </w:tcMar>
          </w:tcPr>
          <w:p>
            <w:pPr>
              <w:pStyle w:val="Normal"/>
              <w:widowControl/>
              <w:suppressAutoHyphens w:val="true"/>
              <w:spacing w:before="0" w:after="0"/>
              <w:jc w:val="left"/>
              <w:rPr>
                <w:rFonts w:cs=""/>
                <w:kern w:val="0"/>
                <w:szCs w:val="22"/>
                <w:lang w:val="en-US" w:eastAsia="en-US" w:bidi="ar-SA"/>
              </w:rPr>
            </w:pPr>
            <w:r>
              <w:rPr>
                <w:rFonts w:cs="" w:ascii="Arial" w:hAnsi="Arial"/>
                <w:kern w:val="0"/>
                <w:sz w:val="17"/>
                <w:szCs w:val="22"/>
                <w:lang w:val="en-US" w:eastAsia="en-US" w:bidi="ar-SA"/>
              </w:rPr>
              <w:t>Lower price or other compensation reflects flexibility</w:t>
            </w:r>
          </w:p>
        </w:tc>
      </w:tr>
      <w:tr>
        <w:trPr>
          <w:cantSplit w:val="true"/>
        </w:trPr>
        <w:tc>
          <w:tcPr>
            <w:tcW w:w="2391" w:type="dxa"/>
            <w:tcBorders/>
            <w:tcMar>
              <w:top w:w="70" w:type="dxa"/>
              <w:start w:w="110" w:type="dxa"/>
              <w:bottom w:w="70" w:type="dxa"/>
              <w:end w:w="110" w:type="dxa"/>
            </w:tcMar>
            <w:shd w:fill="F4F6F7"/>
          </w:tcPr>
          <w:p>
            <w:pPr>
              <w:pStyle w:val="Normal"/>
              <w:widowControl/>
              <w:suppressAutoHyphens w:val="true"/>
              <w:spacing w:before="0" w:after="0"/>
              <w:jc w:val="left"/>
              <w:rPr>
                <w:rFonts w:cs=""/>
                <w:kern w:val="0"/>
                <w:szCs w:val="22"/>
                <w:lang w:val="en-US" w:eastAsia="en-US" w:bidi="ar-SA"/>
              </w:rPr>
            </w:pPr>
            <w:r>
              <w:rPr>
                <w:rFonts w:cs="" w:ascii="Arial" w:hAnsi="Arial"/>
                <w:kern w:val="0"/>
                <w:sz w:val="17"/>
                <w:szCs w:val="22"/>
                <w:lang w:val="en-US" w:eastAsia="en-US" w:bidi="ar-SA"/>
              </w:rPr>
              <w:t>Surplus Energy</w:t>
            </w:r>
          </w:p>
        </w:tc>
        <w:tc>
          <w:tcPr>
            <w:tcW w:w="2392" w:type="dxa"/>
            <w:tcBorders/>
            <w:tcMar>
              <w:top w:w="70" w:type="dxa"/>
              <w:start w:w="110" w:type="dxa"/>
              <w:bottom w:w="70" w:type="dxa"/>
              <w:end w:w="110" w:type="dxa"/>
            </w:tcMar>
            <w:shd w:fill="F4F6F7"/>
          </w:tcPr>
          <w:p>
            <w:pPr>
              <w:pStyle w:val="Normal"/>
              <w:widowControl/>
              <w:suppressAutoHyphens w:val="true"/>
              <w:spacing w:before="0" w:after="0"/>
              <w:jc w:val="left"/>
              <w:rPr>
                <w:rFonts w:cs=""/>
                <w:kern w:val="0"/>
                <w:szCs w:val="22"/>
                <w:lang w:val="en-US" w:eastAsia="en-US" w:bidi="ar-SA"/>
              </w:rPr>
            </w:pPr>
            <w:r>
              <w:rPr>
                <w:rFonts w:cs="" w:ascii="Arial" w:hAnsi="Arial"/>
                <w:kern w:val="0"/>
                <w:sz w:val="17"/>
                <w:szCs w:val="22"/>
                <w:lang w:val="en-US" w:eastAsia="en-US" w:bidi="ar-SA"/>
              </w:rPr>
              <w:t>Available when otherwise curtailed or economically stranded</w:t>
            </w:r>
          </w:p>
        </w:tc>
        <w:tc>
          <w:tcPr>
            <w:tcW w:w="2394" w:type="dxa"/>
            <w:tcBorders/>
            <w:tcMar>
              <w:top w:w="70" w:type="dxa"/>
              <w:start w:w="110" w:type="dxa"/>
              <w:bottom w:w="70" w:type="dxa"/>
              <w:end w:w="110" w:type="dxa"/>
            </w:tcMar>
            <w:shd w:fill="F4F6F7"/>
          </w:tcPr>
          <w:p>
            <w:pPr>
              <w:pStyle w:val="Normal"/>
              <w:widowControl/>
              <w:suppressAutoHyphens w:val="true"/>
              <w:spacing w:before="0" w:after="0"/>
              <w:jc w:val="left"/>
              <w:rPr>
                <w:rFonts w:cs=""/>
                <w:kern w:val="0"/>
                <w:szCs w:val="22"/>
                <w:lang w:val="en-US" w:eastAsia="en-US" w:bidi="ar-SA"/>
              </w:rPr>
            </w:pPr>
            <w:r>
              <w:rPr>
                <w:rFonts w:cs="" w:ascii="Arial" w:hAnsi="Arial"/>
                <w:kern w:val="0"/>
                <w:sz w:val="17"/>
                <w:szCs w:val="22"/>
                <w:lang w:val="en-US" w:eastAsia="en-US" w:bidi="ar-SA"/>
              </w:rPr>
              <w:t>Storage, thermal loads, opportunistic compute</w:t>
            </w:r>
          </w:p>
        </w:tc>
        <w:tc>
          <w:tcPr>
            <w:tcW w:w="2398" w:type="dxa"/>
            <w:tcBorders/>
            <w:tcMar>
              <w:top w:w="70" w:type="dxa"/>
              <w:start w:w="110" w:type="dxa"/>
              <w:bottom w:w="70" w:type="dxa"/>
              <w:end w:w="110" w:type="dxa"/>
            </w:tcMar>
            <w:shd w:fill="F4F6F7"/>
          </w:tcPr>
          <w:p>
            <w:pPr>
              <w:pStyle w:val="Normal"/>
              <w:widowControl/>
              <w:suppressAutoHyphens w:val="true"/>
              <w:spacing w:before="0" w:after="0"/>
              <w:jc w:val="left"/>
              <w:rPr>
                <w:rFonts w:cs=""/>
                <w:kern w:val="0"/>
                <w:szCs w:val="22"/>
                <w:lang w:val="en-US" w:eastAsia="en-US" w:bidi="ar-SA"/>
              </w:rPr>
            </w:pPr>
            <w:r>
              <w:rPr>
                <w:rFonts w:cs="" w:ascii="Arial" w:hAnsi="Arial"/>
                <w:kern w:val="0"/>
                <w:sz w:val="17"/>
                <w:szCs w:val="22"/>
                <w:lang w:val="en-US" w:eastAsia="en-US" w:bidi="ar-SA"/>
              </w:rPr>
              <w:t>No entitlement to continued supply</w:t>
            </w:r>
          </w:p>
        </w:tc>
      </w:tr>
    </w:tbl>
    <w:p>
      <w:pPr>
        <w:pStyle w:val="Heading3"/>
        <w:keepNext/>
        <w:widowControl/>
        <w:spacing w:lineRule="auto" w:line="252" w:before="160" w:after="100"/>
        <w:rPr/>
      </w:pPr>
      <w:r>
        <w:rPr/>
        <w:t>Part 4: Demonstration Discipline</w:t>
      </w:r>
    </w:p>
    <w:p>
      <w:pPr>
        <w:pStyle w:val="ListBullet"/>
        <w:widowControl/>
        <w:numPr>
          <w:ilvl w:val="0"/>
          <w:numId w:val="1"/>
        </w:numPr>
        <w:spacing w:before="0" w:after="60"/>
        <w:contextualSpacing/>
        <w:rPr/>
      </w:pPr>
      <w:r>
        <w:rPr/>
        <w:t>Every demonstration shall state the hypothesis being tested and the commercial or grid problem it is intended to solve.</w:t>
      </w:r>
    </w:p>
    <w:p>
      <w:pPr>
        <w:pStyle w:val="ListBullet"/>
        <w:widowControl/>
        <w:numPr>
          <w:ilvl w:val="0"/>
          <w:numId w:val="1"/>
        </w:numPr>
        <w:spacing w:before="0" w:after="60"/>
        <w:contextualSpacing/>
        <w:rPr/>
      </w:pPr>
      <w:r>
        <w:rPr/>
        <w:t>Performance claims shall be classified as measured, independently verified, modelled, vendor-stated, or provisional.</w:t>
      </w:r>
    </w:p>
    <w:p>
      <w:pPr>
        <w:pStyle w:val="ListBullet"/>
        <w:widowControl/>
        <w:numPr>
          <w:ilvl w:val="0"/>
          <w:numId w:val="1"/>
        </w:numPr>
        <w:spacing w:before="0" w:after="60"/>
        <w:contextualSpacing/>
        <w:rPr/>
      </w:pPr>
      <w:r>
        <w:rPr/>
        <w:t>Scale-up decisions shall be based on measured performance and total-system economics, not on technology nationality or political sponsorship.</w:t>
      </w:r>
    </w:p>
    <w:p>
      <w:pPr>
        <w:pStyle w:val="ListBullet"/>
        <w:widowControl/>
        <w:numPr>
          <w:ilvl w:val="0"/>
          <w:numId w:val="1"/>
        </w:numPr>
        <w:spacing w:before="0" w:after="60"/>
        <w:contextualSpacing/>
        <w:rPr/>
      </w:pPr>
      <w:r>
        <w:rPr/>
        <w:t>Demonstrations should include explicit stop criteria so that unsuccessful technologies do not acquire permanent support merely because capital has already been spent.</w:t>
      </w:r>
    </w:p>
    <w:p>
      <w:pPr>
        <w:pStyle w:val="ListBullet"/>
        <w:widowControl/>
        <w:numPr>
          <w:ilvl w:val="0"/>
          <w:numId w:val="1"/>
        </w:numPr>
        <w:spacing w:before="0" w:after="60"/>
        <w:contextualSpacing/>
        <w:rPr/>
      </w:pPr>
      <w:r>
        <w:rPr/>
        <w:t>Cold-climate demonstrations shall measure freeze protection, auxiliary energy, startup, thermal cycling, material degradation, maintenance burden, and seasonal availability where relevant.</w:t>
      </w:r>
    </w:p>
    <w:p>
      <w:pPr>
        <w:pStyle w:val="Heading3"/>
        <w:keepNext/>
        <w:widowControl/>
        <w:spacing w:lineRule="auto" w:line="252" w:before="160" w:after="100"/>
        <w:rPr/>
      </w:pPr>
      <w:r>
        <w:rPr/>
        <w:t>Part 5: North American Industrialization</w:t>
      </w:r>
    </w:p>
    <w:p>
      <w:pPr>
        <w:pStyle w:val="ListBullet"/>
        <w:widowControl/>
        <w:numPr>
          <w:ilvl w:val="0"/>
          <w:numId w:val="1"/>
        </w:numPr>
        <w:spacing w:before="0" w:after="60"/>
        <w:contextualSpacing/>
        <w:rPr/>
      </w:pPr>
      <w:r>
        <w:rPr/>
        <w:t>Projects may receive enhanced facilitation where they establish substantial North American manufacturing, engineering, assembly, testing, servicing, or R&amp;D capability.</w:t>
      </w:r>
    </w:p>
    <w:p>
      <w:pPr>
        <w:pStyle w:val="ListBullet"/>
        <w:widowControl/>
        <w:numPr>
          <w:ilvl w:val="0"/>
          <w:numId w:val="1"/>
        </w:numPr>
        <w:spacing w:before="0" w:after="60"/>
        <w:contextualSpacing/>
        <w:rPr/>
      </w:pPr>
      <w:r>
        <w:rPr/>
        <w:t>Origin determinations remain governed exclusively by Chapter 4 and applicable uniform regulations.</w:t>
      </w:r>
    </w:p>
    <w:p>
      <w:pPr>
        <w:pStyle w:val="ListBullet"/>
        <w:widowControl/>
        <w:numPr>
          <w:ilvl w:val="0"/>
          <w:numId w:val="1"/>
        </w:numPr>
        <w:spacing w:before="0" w:after="60"/>
        <w:contextualSpacing/>
        <w:rPr/>
      </w:pPr>
      <w:r>
        <w:rPr/>
        <w:t>Localization incentives should prioritize durable capability rather than nominal final assembly designed principally to obtain preferential treatment.</w:t>
      </w:r>
    </w:p>
    <w:p>
      <w:pPr>
        <w:pStyle w:val="ListBullet"/>
        <w:widowControl/>
        <w:numPr>
          <w:ilvl w:val="0"/>
          <w:numId w:val="1"/>
        </w:numPr>
        <w:spacing w:before="0" w:after="60"/>
        <w:contextualSpacing/>
        <w:rPr/>
      </w:pPr>
      <w:r>
        <w:rPr/>
        <w:t>Critical equipment supply chains should be mapped under Chapter 36 and may be designated essential inputs under Annex 35-B.</w:t>
      </w:r>
    </w:p>
    <w:p>
      <w:pPr>
        <w:pStyle w:val="Heading3"/>
        <w:keepNext/>
        <w:widowControl/>
        <w:spacing w:lineRule="auto" w:line="252" w:before="160" w:after="100"/>
        <w:rPr/>
      </w:pPr>
      <w:r>
        <w:rPr/>
        <w:t>Part 6: Emergency Reciprocity</w:t>
      </w:r>
    </w:p>
    <w:p>
      <w:pPr>
        <w:pStyle w:val="Normal"/>
        <w:widowControl/>
        <w:spacing w:lineRule="auto" w:line="252" w:before="0" w:after="100"/>
        <w:rPr/>
      </w:pPr>
      <w:r>
        <w:rPr/>
        <w:t>During an emergency activated under Chapter 38, the Emergency Trade Coordination Body may coordinate temporary electricity exchanges, restoration equipment, transformer inventories, mobile generation, storage resources, digital-load curtailment, and telecommunications restoration. Emergency cooperation shall preserve the domestic-reliability safeguard in Article 40.12 and shall not create a permanent export obligation.</w:t>
      </w:r>
      <w:r>
        <w:br w:type="page"/>
      </w:r>
    </w:p>
    <w:p>
      <w:pPr>
        <w:pStyle w:val="Normal"/>
        <w:widowControl/>
        <w:rPr/>
      </w:pPr>
      <w:r>
        <w:rPr/>
        <w:t>ANNEX I 1. The Schedule of a Party to this Annex sets out, pursuant to Articles 14.12 (Non- Conforming Measures) and 15.7 (Non-Conforming Measures), a Party’s existing measures that are not subject to some or all of the obligations imposed by: (a) Article 14.4 (National Treatment) or 15.3 (National Treatment); (b) Article 14.5 (Most-Favored-Nation Treatment) or 15.4 (Most-Favored-Nation Treatment); (c) Article 14.10 (Performance Requirements); (d) Article 14.11 (Senior Management and Boards of Directors); (e) Article 15.5 (Market Access); or (f) Article 15.6 (Local Presence). 2. Each Schedule entry sets out the following elements: (a) Sector refers to the sector for which the entry is made; (b) Sub-Sector, where referenced, refers to the specific subsector for which the entry is made; (c) Obligations Concerned specifies the obligation(s) referred to in paragraph 1 that, pursuant to Articles 14.12.1(a) (Non-Conforming Measures) and 15.7.1(a) (Non- Conforming Measures), do not apply to the non-conforming aspects of the law, regulation, or other measure, as set out in paragraph 3; (d) Level of Government indicates the level of government maintaining the scheduled measure(s); (e) Measures identifies the laws, regulations, or other measures for which the entry is made.</w:t>
      </w:r>
    </w:p>
    <w:p>
      <w:pPr>
        <w:pStyle w:val="Normal"/>
        <w:widowControl/>
        <w:rPr/>
      </w:pPr>
      <w:r>
        <w:rPr/>
        <w:t>A measure cited in the Measures element: (i) means the measure as amended, continued, or renewed as of the date of entry into force of this Agreement, and (ii) includes any subordinate measure adopted or maintained under the</w:t>
      </w:r>
    </w:p>
    <w:p>
      <w:pPr>
        <w:pStyle w:val="Normal"/>
        <w:widowControl/>
        <w:rPr/>
      </w:pPr>
      <w:r>
        <w:rPr/>
        <w:t>ANNEX I-EXPLANATORY NOTE-1 authority of and consistent with the measure; and (f) Description, as indicated in the introductory note for each Party’s Schedule, either sets out the non-conforming measure or provides a general non-binding description of the measure for which the entry is made. 3. Articles 15.6 (Local Presence) and 15.3 (National Treatment) are separate disciplines and a measure that is only inconsistent with Article 15.6 (Local Presence) need not be reserved against Article 15.3 (National Treatment).</w:t>
      </w:r>
    </w:p>
    <w:p>
      <w:bookmarkStart w:id="1645" w:name="_NAESTMA_TOC_1645"/>
      <w:pPr>
        <w:pStyle w:val="Heading1"/>
        <w:keepNext/>
        <w:pageBreakBefore/>
        <w:widowControl/>
        <w:rPr/>
      </w:pPr>
      <w:bookmarkStart w:id="263" w:name="_Toc237912744"/>
      <w:r>
        <w:rPr/>
        <w:t>ANNEX I-EXPLANATORY NOTE-2</w:t>
      </w:r>
      <w:bookmarkEnd w:id="263"/>
      <w:bookmarkEnd w:id="1645"/>
    </w:p>
    <w:p>
      <w:pPr>
        <w:pStyle w:val="Normal"/>
        <w:widowControl/>
        <w:rPr/>
      </w:pPr>
      <w:r>
        <w:rPr/>
        <w:t>ANNEX I SCHEDULE OF CANADA INTRODUCTORY NOTES 1. Description provides a general non-binding description of the measure for which the entry is made. 2. Obligations Concerned specifies the obligations referred to in Article 14.12 (Non- Conforming Measures) and Article 15.7 (Non-Conforming Measures) that do not apply to the listed measures. 3. In the interpretation of an entry, all elements of the entry shall be considered. An entry shall be interpreted in light of the relevant provisions of the Chapters against which the entry is taken. To the extent that: (a) the Measures element is qualified by a liberalization commitment from the Description element, the Measures element as so qualified prevails over all other elements; and (b) the Measures element is not so qualified, the Measures element prevails over other elements, unless a discrepancy between the Measures element and the other elements considered in their totality is so substantial and material that it would be unreasonable to conclude that the Measures element prevails, in which case the other elements prevail to the extent of that discrepancy.</w:t>
      </w:r>
    </w:p>
    <w:p>
      <w:pPr>
        <w:pStyle w:val="Normal"/>
        <w:widowControl/>
        <w:rPr/>
      </w:pPr>
      <w:r>
        <w:rPr/>
        <w:t>ANNEX I – CANADA – 1 Reservation I-C-1 Sector: Sub-Sector: Obligations Concerned: Level of Government: Measures: Description: All Sectors National Treatment (Article 14.4) Performance Requirements (Article 14.10) Senior Management and Boards of Directors (Article 14.11) Central Investment Canada Act, R.S.C. 1985, c. 28 (1st Supp.) Investment Canada Regulations, SOR/85-611 Investment 1. Except as set out in paragraphs 5 and 9, the Director of Investments will review a direct “acquisition of control”, as defined in the Investment Canada Act, of a Canadian business by a WTO investor if the value of the Canadian business is not less than C$1 billion, adjusted in accordance with the applicable methodology in January of each subsequent year, starting in 2019, as set out in the Investment Canada Act. 2. Notwithstanding the definition of “investor of a Party” in Article 14.1 (Definitions), only WTO investors or entities controlled by WTO investors provided for in the Investment Canada Act may benefit from the CAD $1 billion threshold. 3.</w:t>
      </w:r>
    </w:p>
    <w:p>
      <w:pPr>
        <w:pStyle w:val="Normal"/>
        <w:widowControl/>
        <w:rPr/>
      </w:pPr>
      <w:r>
        <w:rPr/>
        <w:t>Except as set out in paragraphs 5 and 9, the Director of Investments will review a direct “acquisition of control”, as defined in the Investment Canada Act, of a Canadian business by a trade agreement investor if the value of the Canadian business is not less than CAD $1.5 billion, adjusted in accordance with the applicable methodology in January of each subsequent year, starting in 2019, as set out in the Investment Canada Act. 4.</w:t>
      </w:r>
    </w:p>
    <w:p>
      <w:pPr>
        <w:pStyle w:val="Normal"/>
        <w:widowControl/>
        <w:rPr/>
      </w:pPr>
      <w:r>
        <w:rPr/>
        <w:t>Notwithstanding the definition of “investor of a Party” in Article 14.1 (Definitions), only a trade agreement investor or an entity controlled by a trade agreement investor as provided for in the Investment Canada Act may benefit from the CAD $1.5 billion review threshold.</w:t>
      </w:r>
    </w:p>
    <w:p>
      <w:pPr>
        <w:pStyle w:val="Normal"/>
        <w:widowControl/>
        <w:rPr/>
      </w:pPr>
      <w:r>
        <w:rPr/>
        <w:t>ANNEX I – CANADA – 2 5. The higher threshold in paragraphs 1 and 3 does not apply to a direct acquisition of control by a state-owned enterprise of a Canadian business. These acquisitions are subject to review by the Director of Investments if the value of the Canadian business is not less than C$398 million in 2018, adjusted in accordance with the applicable methodology in January of each subsequent year as set out in the Investment Canada Act. 6. An investment subject to review under the Investment Canada Act may not be implemented unless the Minister responsible for the Investment Canada Act advises the applicant that the investment is likely to be of net benefit to Canada. This determination is made in accordance with six factors described in the Investment Canada Act, summarized as follows: (a) the effect of the investment on the level and nature of economic activity in Canada, including the effect on employment, on the use of parts, components, and services produced in Canada and on exports from Canada;</w:t>
      </w:r>
    </w:p>
    <w:p>
      <w:pPr>
        <w:pStyle w:val="Normal"/>
        <w:widowControl/>
        <w:rPr/>
      </w:pPr>
      <w:r>
        <w:rPr/>
        <w:t>(b) the degree and significance of participation by Canadians in the investment; (c) the effect of the investment on productivity, industrial efficiency, technological development, and product innovation in Canada; (d) the effect of the investment on competition within an industry in Canada; (e) the compatibility of the investment with national industrial, economic, and cultural policies, taking into consideration industrial, economic, and cultural policy objectives</w:t>
      </w:r>
    </w:p>
    <w:p>
      <w:pPr>
        <w:pStyle w:val="Normal"/>
        <w:widowControl/>
        <w:rPr/>
      </w:pPr>
      <w:r>
        <w:rPr/>
        <w:t>enunciated by the government or legislature of a province likely to be significantly affected by the investment; and (f) the contribution of the investment to Canada’s ability to compete in world markets.</w:t>
      </w:r>
    </w:p>
    <w:p>
      <w:pPr>
        <w:pStyle w:val="Normal"/>
        <w:widowControl/>
        <w:rPr/>
      </w:pPr>
      <w:r>
        <w:rPr/>
        <w:t>ANNEX I – CANADA – 3 7. In making a net benefit determination, the Minister, through the Director of Investments, may review plans under which the applicant demonstrates the net benefit to Canada of the proposed acquisition. An applicant may also submit an undertaking to the Minister in connection with a proposed acquisition that is the subject of review. In the event of noncompliance with an undertaking by an applicant, the Minister may seek a court order directing compliance or any other remedy authorized under the Investment Canada Act. 8. A non-Canadian who establishes or acquires a Canadian business, other than those that are subject to review must notify the Director of Investments. 9. The review thresholds set out in paragraphs 1, 3, and 5 do not apply to an acquisition of a cultural business. 10.</w:t>
      </w:r>
    </w:p>
    <w:p>
      <w:pPr>
        <w:pStyle w:val="Normal"/>
        <w:widowControl/>
        <w:rPr/>
      </w:pPr>
      <w:r>
        <w:rPr/>
        <w:t>In addition, the specific acquisition or establishment of a new business in designated types of business activities relating to Canada’s cultural heritage or national identity, which are normally notifiable, may be subject to review if the Governor in Council authorises a review in the public interest. 11. An indirect “acquisition of control” of a Canadian business by an investor of a Party other than a cultural business is not reviewable. 12.</w:t>
      </w:r>
    </w:p>
    <w:p>
      <w:pPr>
        <w:pStyle w:val="Normal"/>
        <w:widowControl/>
        <w:rPr/>
      </w:pPr>
      <w:r>
        <w:rPr/>
        <w:t>Notwithstanding Article 14.10 (Performance Requirements), Canada may impose requirements or enforce a commitment or undertaking in connection with the establishment, acquisition, expansion, conduct, operation or management of an investment of an investor of a Party or of a non-Party for the transfer of technology, production process or other proprietary knowledge to a national or enterprise, affiliated to the transferor, in Canada in connection with the review of an acquisition of an investment under the Investment Canada Act. 13. Except for requirements, commitments or undertakings relating to technology transfer as set out in paragraph 12 of this entry, Article 14.10 (Performance Requirements) applies to requirements, commitments or undertakings imposed or enforced under the Investment Canada Act.</w:t>
      </w:r>
    </w:p>
    <w:p>
      <w:pPr>
        <w:pStyle w:val="Normal"/>
        <w:widowControl/>
        <w:rPr/>
      </w:pPr>
      <w:r>
        <w:rPr/>
        <w:t>ANNEX I – CANADA – 4 14. For the purposes of this entry: (a) a non-Canadian means an individual, government or agency thereof or an entity that is not Canadian; and (b) Canadian means a Canadian citizen or permanent resident, a government in Canada or agency thereof, or a Canadian-controlled entity as described in the Investment Canada Act.</w:t>
      </w:r>
    </w:p>
    <w:p>
      <w:pPr>
        <w:pStyle w:val="Normal"/>
        <w:widowControl/>
        <w:rPr/>
      </w:pPr>
      <w:r>
        <w:rPr/>
        <w:t>ANNEX I – CANADA – 5 Reservation I-C-2 Sector: Sub-Sector: Obligations Concerned: Level of Government: Measures: Description: All Sectors National Treatment (Article 14.4) Senior Management and Boards of Directors (Article 14.11) Central As set out in the Description element. Investment 1. Canada or a province or territory, when selling or disposing of its equity interests in, or the assets of, an existing government enterprise or an existing governmental entity, may prohibit or impose limitations on the ownership of these interests or assets and on the ability of owners of these interests or assets to control a resulting enterprise by investors of a Party or of a third country or their investments. With respect to a sale or other disposition, Canada or a province or territory may adopt or maintain a measure relating to the nationality of senior management or members of the board of directors. 2.</w:t>
      </w:r>
    </w:p>
    <w:p>
      <w:pPr>
        <w:pStyle w:val="Normal"/>
        <w:widowControl/>
        <w:rPr/>
      </w:pPr>
      <w:r>
        <w:rPr/>
        <w:t>For the purposes of this entry: (a) a measure maintained or adopted after the date of entry into force of this Agreement that, at the time of sale or other disposition, prohibits or imposes a limitation on the ownership of equity interests or assets or imposes a nationality requirement described in this entry is an existing measure; and (b) government enterprise means an enterprise owned or controlled through ownership interests by Canada or a province or territory, and includes an enterprise established after the date of entry into force of this Agreement solely for the purposes of selling or disposing of equity interests in, or the assets of, an existing state enterprise or governmental entity.</w:t>
      </w:r>
    </w:p>
    <w:p>
      <w:pPr>
        <w:pStyle w:val="Normal"/>
        <w:widowControl/>
        <w:rPr/>
      </w:pPr>
      <w:r>
        <w:rPr/>
        <w:t>ANNEX I – CANADA – 6 Reservation I-C-3 Sector: Sub-Sector: Obligations Concerned: Level of Government: Measures: Description: All Sectors National Treatment (Article 14.4) Central Canada Business Corporations Act, R.S.C. 1985, c. C-44 Canada Business Corporations Regulations, 2001, SOR/2001-512 Canada Cooperatives Act, S.C. 1998, c. 1 Canada Cooperatives Regulations, SOR/99-256 Investment 1. A corporation may place constraints on the issue, transfer and ownership of shares in a federally incorporated corporation. The object of those constraints is to permit a corporation to meet Canadian ownership or control requirements, under certain laws set out in the Canada Business Corporations Regulations, 2001, in sectors where Canadian ownership or control is required as a condition to receive licences, permits, grants, payments or other benefits. In order to maintain certain Canadian ownership levels, a corporation is permitted to sell shareholders’ shares without the consent of those shareholders, and to purchase its own shares on the open market. 2.</w:t>
      </w:r>
    </w:p>
    <w:p>
      <w:pPr>
        <w:pStyle w:val="Normal"/>
        <w:widowControl/>
        <w:rPr/>
      </w:pPr>
      <w:r>
        <w:rPr/>
        <w:t>The Canada Cooperatives Act provides that constraints may be placed on the issue or transfer of investment shares of a cooperative to persons not resident in Canada, to permit cooperatives to meet Canadian ownership requirements to obtain a licence to carry on a business, to become a publisher of a Canadian newspaper or periodical or to acquire investment shares of a financial intermediary and in sectors where ownership or control is a required condition to receive licences, permits, grants, payments, and other benefits. Where the ownership or control of investment shares would adversely affect the ability of a cooperative to maintain a level of Canadian ownership or control, the Canada Cooperatives Act provides for the limitation of the number of</w:t>
      </w:r>
    </w:p>
    <w:p>
      <w:pPr>
        <w:pStyle w:val="Normal"/>
        <w:widowControl/>
        <w:rPr/>
      </w:pPr>
      <w:r>
        <w:rPr/>
        <w:t>ANNEX I – CANADA – 7 investment shares that may be owned or for the prohibition of the ownership of investment shares. 3. For the purposes of this entry Canadian means “Canadian” as defined in the Canada Business Corporations Regulations, 2001 or in the Canada Cooperatives Regulations.</w:t>
      </w:r>
    </w:p>
    <w:p>
      <w:pPr>
        <w:pStyle w:val="Normal"/>
        <w:widowControl/>
        <w:rPr/>
      </w:pPr>
      <w:r>
        <w:rPr/>
        <w:t>ANNEX I – CANADA – 8 Reservation I-C-4 Sector: All Sectors Sub-Sector: Obligations Concerned: National Treatment (Article 14.4) Level of Government: Central Measures: Citizenship Act, R.S.C. 1985, c. C-29 Foreign Ownership of Land Regulations, SOR/79-416 Description: Investment 1. The Foreign Ownership of Land Regulations are made pursuant to the Citizenship Act and the Agricultural and Recreational Land Ownership Act, R.S.A. 1980, c. A-9. In Alberta, an ineligible person or foreign owned or controlled corporation may only hold an interest in controlled land consisting of a maximum of two parcels containing, in the aggregate, a maximum of 20 acres. 2. For the purposes of this entry: ineligible person means: (a) a natural person who is not a Canadian citizen or permanent resident; (b) a foreign government or agency thereof; or (c) a corporation incorporated in a country other than Canada; and controlled land means land in Alberta but does not include: (a) land of the Crown in right of Alberta; (b) land within a city, town, new town, village or summer village; and (c) mines or minerals.</w:t>
      </w:r>
    </w:p>
    <w:p>
      <w:pPr>
        <w:pStyle w:val="Normal"/>
        <w:widowControl/>
        <w:rPr/>
      </w:pPr>
      <w:r>
        <w:rPr/>
        <w:t>ANNEX I – CANADA – 9 Reservation I-C-5 Sector: Sub-Sector: Obligations Concerned: Level of Government: Measures: Description: All Sectors National Treatment (Article 14.4) Central Canadian Arsenals Limited Divestiture Authorization Act, S.C. 1986, c. 20 Eldorado Nuclear Limited Reorganization and Divestiture Act, S.C. 1988, c. 41 Nordion and Theratronics Divestiture Authorization Act, S.C. 1990, c. Investment 1. A “non-resident” or “non-residents” may not own more than a specified percentage of the voting shares of the corporation to which each Act applies. For some companies the restrictions apply to individual shareholders, while for others the restrictions may apply in the aggregate. If there are limits on the percentage that an individual Canadian investor can own, these limits also apply to non-residents. The restrictions are as follows: • Cameco Limited (formerly Eldorado Nuclear Limited): 15 percent per non-resident natural person, 25 percent in the aggregate; • Nordion International Inc.: 25 percent in the aggregate; • Theratronics International Limited: 49 percent in the aggregate; and • Canadian Arsenals Limited: 25 percent in the aggregate. 2. For the purposes of this entry, non-resident includes:</w:t>
      </w:r>
    </w:p>
    <w:p>
      <w:pPr>
        <w:pStyle w:val="Normal"/>
        <w:widowControl/>
        <w:rPr/>
      </w:pPr>
      <w:r>
        <w:rPr/>
        <w:t>(a) a natural person who is not a Canadian citizen and not ordinarily resident in Canada; (b) a corporation incorporated, formed or otherwise organized outside Canada;</w:t>
      </w:r>
    </w:p>
    <w:p>
      <w:pPr>
        <w:pStyle w:val="Normal"/>
        <w:widowControl/>
        <w:rPr/>
      </w:pPr>
      <w:r>
        <w:rPr/>
        <w:t>ANNEX I – CANADA – 10 (c) the government of a foreign State or a political subdivision of a government of a foreign State, or a person empowered to perform a function or duty on behalf of that government; (d) a corporation that is controlled directly or indirectly by a person or an entity referred to in subparagraphs (a) through (c); (e) a trust: (i) established by a person or an entity referred to in subparagraphs (b) through (d), other than a trust for the administration of a pension fund for the benefit of natural persons the majority of whom are resident in Canada, or (ii) in which a person or an entity referred to in subparagraphs (a) through (d) has more than 50 percent of the beneficial interest, and (f) a corporation that is controlled directly or indirectly by a trust referred to in subparagraph (e).</w:t>
      </w:r>
    </w:p>
    <w:p>
      <w:pPr>
        <w:pStyle w:val="Normal"/>
        <w:widowControl/>
        <w:rPr/>
      </w:pPr>
      <w:r>
        <w:rPr/>
        <w:t>ANNEX I – CANADA – 11 Reservation I-C-6 Sector: All Sectors Sub-Sector: Obligations Concerned: Local Presence (Article 15.6) Level of Government: Central Measure: Export and Import Permits Act, R.S.C. 1985, c. E-19 Description: Cross-Border Trade in Services Only a natural person ordinarily resident in Canada, an enterprise with its head office in Canada or a branch office in Canada of a foreign enterprise may apply for and be issued an import or export permit or transit authorization certificate for a good or related service subject to controls under the Export and Import Permits Act.</w:t>
      </w:r>
    </w:p>
    <w:p>
      <w:pPr>
        <w:pStyle w:val="Normal"/>
        <w:widowControl/>
        <w:rPr/>
      </w:pPr>
      <w:r>
        <w:rPr/>
        <w:t>ANNEX I – CANADA – 12 Reservation I-C-7 Sector: Sub-sector: Obligations Concerned: Level of Government: Measures: Description: Communications services Telecommunications Transport Networks and Services Radiocommunications National Treatment (Article 14.4) Senior Management and Boards of Directors (Article 14.11) Central Telecommunications Act, S.C. 1993, c. 38 Canadian Telecommunications Common Carrier Ownership and Control Regulations, SOR/94-667 Radiocommunication Act, R.S.C. 1985, c. R-2 Radiocommunication Regulations, SOR/96-484 Investment 1. Foreign investment in a facilities-based telecommunications service supplier is restricted to a maximum, cumulative total of 46.7 percent voting interest, based on 20 percent direct investment and 33.3 percent indirect investment. 2. A facilities-based telecommunications service supplier must be controlled in fact by Canadians. 3. At least 80 percent of the members of the board of directors of a facilities-based telecommunications service suppliers must be Canadians. 4. Notwithstanding the restrictions described above: (a) foreign investment is allowed up to 100 percent for suppliers conducting operations under an international submarine cable licence; (b) mobile satellite systems of a foreign service supplier may be used by a Canadian service supplier to supply services in Canada;</w:t>
      </w:r>
    </w:p>
    <w:p>
      <w:pPr>
        <w:pStyle w:val="Normal"/>
        <w:widowControl/>
        <w:rPr/>
      </w:pPr>
      <w:r>
        <w:rPr/>
        <w:t>(c) fixed satellite systems of a foreign service supplier may be used to provide services between points in Canada and all points outside Canada;</w:t>
      </w:r>
    </w:p>
    <w:p>
      <w:pPr>
        <w:pStyle w:val="Normal"/>
        <w:widowControl/>
        <w:rPr/>
      </w:pPr>
      <w:r>
        <w:rPr/>
        <w:t>ANNEX I – CANADA – 13 (d) foreign investment is allowed up to 100 percent for a supplier conducting operations under a satellite authorization; and (e) foreign investment is allowed up to 100 percent for a facilities-based telecommunications service supplier that has revenues, including those of its affiliates, from the supply of a telecommunications service in Canada representing less than 10 percent of the total telecommunications services’ annual revenues in Canada.Afacilities-based telecommunications service supplier that previously had annual revenues, including those of its affiliates, from the supply of a telecommunication service in Canada representing less than 10 percent of the total telecommunications services annual revenues in Canada may increase to 10 percent or beyond as long as the increase in revenues did not result from the acquisition of control of, or the acquisition of assets used to supply telecommunications services by, another facilities- based telecommunications service supplier that is subject to the legislative authority of the Parliament of Canada.</w:t>
      </w:r>
    </w:p>
    <w:p>
      <w:pPr>
        <w:pStyle w:val="Normal"/>
        <w:widowControl/>
        <w:rPr/>
      </w:pPr>
      <w:r>
        <w:rPr/>
        <w:t>ANNEX I – CANADA – 14 Reservation I-C-8 Sector: Business Services Industries Sub-Sector: Obligations Concerned: National Treatment (Articles 14.4 and 15.3) Senior Management and Boards of Directors (Article 14.11) Local Presence (Article 15.6) Level of Government: Central Measures: Customs Act, R.S.C. 1985, c. 1 (2nd Supp.) Customs Brokers Licensing Regulations, SOR/86-1067 Description: Investment and Cross-Border Trade in Services To be a licensed customs broker in Canada, in addition to meeting all other licensing requirements: (a) a natural person must be a Canadian national; (b) a corporation must be incorporated in Canada with a majority of its directors being Canadian nationals; and (c) a partnership must be composed of persons who are Canadian nationals who meet all other licensing requirements, or corporations incorporated in Canada with a majority of their directors being Canadian nationals who meet all other licensing requirements.</w:t>
      </w:r>
    </w:p>
    <w:p>
      <w:pPr>
        <w:pStyle w:val="Normal"/>
        <w:widowControl/>
        <w:rPr/>
      </w:pPr>
      <w:r>
        <w:rPr/>
        <w:t>ANNEX I – CANADA – 15 Reservation I-C-9 Sector: Business Services Industries Sub-Sector: Duty Free Shops Obligations Concerned: National Treatment (Articles 14.4 and 15.3) Local Presence (Article 15.6) Level of Government: Central Measures: Customs Act, R.S.C. 1985, c. 1 (2nd Supp.) Duty Free Shop Regulations, SOR/86-1072 Description: Investment and Cross-Border Trade in Services 1. In addition to all other licensing requirements, to be a licensed duty free shop operator at a border crossing in Canada, a natural person must be a Canadian national. 2. In addition to all other licensing requirements, to be a licensed duty free shop operator at a border crossing in Canada, a corporation must be incorporated in Canada and have all of its shares beneficially owned by Canadian nationals who meet all other licensing requirements.</w:t>
      </w:r>
    </w:p>
    <w:p>
      <w:pPr>
        <w:pStyle w:val="Normal"/>
        <w:widowControl/>
        <w:rPr/>
      </w:pPr>
      <w:r>
        <w:rPr/>
        <w:t>ANNEX I – CANADA – 16 Reservation I-C-10 Sector: Business Services Industries Sub-Sector: Examination Services relating to the Export and Import of Cultural Property Obligations Concerned: National Treatment (Articles 15.3) Local Presence (Article 15.6) Level of Government: Central Measure: Cultural Property Export and Import Act, R.S.C. 1985, c. C-51 Description: Cross-Border Trade in Services 1. Only a resident of Canada or an institution in Canada may be designated as an expert examiner of cultural property for the purposes of the Cultural Property Export and Import Act. 2. For the purposes of this entry: (a) institution means an entity that is publicly owned and operated solely for the benefit of the public, that is established for educational or cultural purposes and that conserves objects and exhibits them; and (b) resident of Canada means a natural person who is ordinarily resident in Canada, or a corporation that has its head office in Canada or maintains an establishment in Canada to which employees employed in connection with the business of the corporation ordinarily report for work.</w:t>
      </w:r>
    </w:p>
    <w:p>
      <w:pPr>
        <w:pStyle w:val="Normal"/>
        <w:widowControl/>
        <w:rPr/>
      </w:pPr>
      <w:r>
        <w:rPr/>
        <w:t>ANNEX I – CANADA – 17 Reservation I-C-11 Sector: Professional Services Sub-Sector: Patent Agents Patent Agents supplying Legal Advisory and Representation Services. Obligations Concerned: National Treatment (Article 15.3) Local Presence (Article 15.6) Level of Government: Central Measures: Patent Act, R.S.C. 1985, c. P-4 Patent Rules, SOR/96-423 Description: Cross-Border Trade in Services To represent a person in the prosecution of a patent application or in other business before the Patent Office, a patent agent must be resident in Canada and registered by the Patent Office.</w:t>
      </w:r>
    </w:p>
    <w:p>
      <w:pPr>
        <w:pStyle w:val="Normal"/>
        <w:widowControl/>
        <w:rPr/>
      </w:pPr>
      <w:r>
        <w:rPr/>
        <w:t>ANNEX I – CANADA – 18 Reservation I-C-12 Sector: Professional Services Sub-Sector: Trade-mark Agents Trade-mark Agents supplying Legal Advisory and Representation Services in Statutory Procedures Obligations Concerned: National Treatment (Article 15.3) Local Presence (Article 15.6) Level of Government: Central Measures: Trade-marks Act, R.S.C. 1985, c. T-13 Trade-marks Regulations, SOR/96-195 Description: Cross-Border Trade in Services To represent a person in the prosecution of an application for a trade-mark or in other business before the Trade-marks Office, a trade-mark agent must be resident in Canada and registered by the Office of the Registrar of Trade-Marks.</w:t>
      </w:r>
    </w:p>
    <w:p>
      <w:pPr>
        <w:pStyle w:val="Normal"/>
        <w:widowControl/>
        <w:rPr/>
      </w:pPr>
      <w:r>
        <w:rPr/>
        <w:t>ANNEX I – CANADA – 19 Reservation I-C-13 Sector: Energy Sub-Sector: Oil and Gas Obligations Concerned: National Treatment (Article 14.4) Level of Government: Central Measures: Canada Petroleum Resources Act, R.S.C. 1985, c. 36 (2nd Supp.) Territorial Lands Act, R.S.C. 1985, c. T-7 Federal Real Property and Federal Immovables Act, S.C. 1991, c. 50 Canada-Newfoundland and Labrador Atlantic Accord Implementation Act, S.C. 1987, c. 3 Canada-Nova Scotia Offshore Petroleum Resources Accord Implementation Act, S.C. 1988, c. 28 Description: Investment 1. This reservation applies to a production licence issued for “frontier lands” and “offshore areas” (areas not under provincial jurisdiction) as defined in the applicable measures. 2. A person who holds an oil and gas production licence or shares therein must be a corporation incorporated in Canada.</w:t>
      </w:r>
    </w:p>
    <w:p>
      <w:pPr>
        <w:pStyle w:val="Normal"/>
        <w:widowControl/>
        <w:rPr/>
      </w:pPr>
      <w:r>
        <w:rPr/>
        <w:t>ANNEX I – CANADA – 20 Reservation I-C-14 Sector: Sub-Sector: Obligations Concerned: Level of Government: Measures: Description: Energy Oil and Gas Performance Requirements (Article 14.10) Local Presence (Article 15.6) Central Canada Oil and Gas Operations Act, R.S.C. 1985, c. O-7 Canada - Nova Scotia Offshore Petroleum Resources Accord Implementation Act, S.C. 1988, c. 28 Canada Newfoundland and Labrador Atlantic Accord Implementation Act, S.C. 1987, c. 3 Measures implementing the Canada-Yukon Oil and Gas Accord, including the Canada-Yukon Oil and Gas Accord Implementation Act, S.C. 1998, c.5, s. 20 and the Oil and Gas Act, RSY 2002, c. 162 Measures implementing the Northwest Territories Oil and Gas Accord, including implementing measures that apply to or are adopted by Nunavut as the successor territories to the former Northwest Territories Measures implementing the Accord between the Government of Canada and the Government of Quebec for the joint management of petroleum resources in the Gulf of St. Lawrence or any other similar federal-provincial accords related to the joint management of petroleum resources. Investment and Cross-Border Trade in Services 1.</w:t>
      </w:r>
    </w:p>
    <w:p>
      <w:pPr>
        <w:pStyle w:val="Normal"/>
        <w:widowControl/>
        <w:rPr/>
      </w:pPr>
      <w:r>
        <w:rPr/>
        <w:t>Under the Canada Oil and Gas Operations Act, a “benefits plan” must be approved by the Minister in order to be authorized to proceed with an oil and gas development project. 2.</w:t>
      </w:r>
    </w:p>
    <w:p>
      <w:pPr>
        <w:pStyle w:val="Normal"/>
        <w:widowControl/>
        <w:rPr/>
      </w:pPr>
      <w:r>
        <w:rPr/>
        <w:t>A benefits plan means a plan for the employment of Canadians and for providing Canadian manufacturers, consultants, contractors, and service companies with a full and fair opportunity to participate on a competitive basis in the supply of goods and services used in proposed work or activity referred to in the benefits plan.</w:t>
      </w:r>
    </w:p>
    <w:p>
      <w:pPr>
        <w:pStyle w:val="Normal"/>
        <w:widowControl/>
        <w:rPr/>
      </w:pPr>
      <w:r>
        <w:rPr/>
        <w:t>ANNEX I – CANADA – 21 3. The benefits plan contemplated by the Canada Oil and Gas Operations Act permits the Minister to impose on the applicant an additional requirement to ensure that disadvantaged individuals or groups have access to training and employment opportunities or can participate in the supply of goods and services used in proposed work referred to in the benefits plan. 4. Provisions continuing those set out in the Canada Oil and Gas Operations Act are included in laws which implement the Canada-Yukon Oil and Gas Accord. 5. Provisions continuing those set out in the Canada Oil and Gas Operations Act will be included in laws or regulations to implement accords with various provinces and territories, including implementing legislation by provinces and territories (for example, the Northwest Territories Oil and Gas Accord, the Canada-Quebec Gulf of St. Lawrence Petroleum Resources Accord, and the New Brunswick Oil and Gas Accord). For the purposes of this reservation these accords and implementing legislation shall be deemed, once concluded, to be existing measures 6.</w:t>
      </w:r>
    </w:p>
    <w:p>
      <w:pPr>
        <w:pStyle w:val="Normal"/>
        <w:widowControl/>
        <w:rPr/>
      </w:pPr>
      <w:r>
        <w:rPr/>
        <w:t>The Canada-Nova Scotia Offshore Petroleum Resources Accord Implementation Act and the Canada-Newfoundland and Labrador Atlantic Accord Implementation Act have the same requirement for a benefits plan but also require that the benefits plan ensures that: (a) the corporation or other body submitting the plan establishes in the applicable province an office where appropriate levels of decision-making are to take place, prior to carrying out work or an activity in the offshore area; (b) expenditures be made for research and development to be carried out in the province, and for education and training to be provided in the province; and (c) first consideration be given to goods produced or services provided from within the province, where those goods or services are competitive in terms of fair market price, quality, and delivery.</w:t>
      </w:r>
    </w:p>
    <w:p>
      <w:pPr>
        <w:pStyle w:val="Normal"/>
        <w:widowControl/>
        <w:rPr/>
      </w:pPr>
      <w:r>
        <w:rPr/>
        <w:t>ANNEX I – CANADA – 22 7. The Boards administering the benefits plan under these Acts may also require that the plan include provisions to ensure that disadvantaged individuals or groups, or corporations owned or cooperatives operated by them, participate in the supply of goods and services used in proposed work or activity referred to in the plan. 8. In addition, Canada may impose a requirement or enforce a commitment or undertaking for the transfer of technology, a production process or other proprietary knowledge to a person of Canada in connection with the approval of development projects under the applicable Acts.</w:t>
      </w:r>
    </w:p>
    <w:p>
      <w:pPr>
        <w:pStyle w:val="Normal"/>
        <w:widowControl/>
        <w:rPr/>
      </w:pPr>
      <w:r>
        <w:rPr/>
        <w:t>ANNEX I – CANADA – 23 Reservation I-C-15 Sector: Energy Sub-Sector: Oil and Gas Obligations Concerned: Performance Requirements (Article 14.10) Level of Government: Central Measures: Hibernia Development Project Act, S.C. 1990, c. 41 Canada-Newfoundland and Labrador Atlantic Implementation Act, S.C. 1987, c. 3 Accord Description: Investment 1. Under the Hibernia Development Project Act, Canada and the Hibernia Project Owners may enter into agreements. Those agreements may require the Project Owners to undertake to perform certain work in Canada and Newfoundland and Labrador and to use their best efforts to achieve specific Canadian and Newfoundland and Labrador target levels in relation to the provisions of a “benefits plan” required under the Canada-Newfoundland and Labrador Atlantic Accord Implementation Act. “Benefits plans” are further described in I-C-14. 2. In addition, Canada may impose in connection with the Hibernia Project a requirement or enforce a commitment or undertaking for the transfer of technology, a production process or other proprietary knowledge to a national or enterprise in Canada.</w:t>
      </w:r>
    </w:p>
    <w:p>
      <w:pPr>
        <w:pStyle w:val="Normal"/>
        <w:widowControl/>
        <w:rPr/>
      </w:pPr>
      <w:r>
        <w:rPr/>
        <w:t>ANNEX I – CANADA – 24 Reservation I-C-16 Sector: Energy Sub-Sector: Uranium Obligations Concerned: National Treatment (Article 14.4) Most-Favored-Nation Treatment (Article 14.5) Level of Government: Central Measures: Investment Canada Act, R.S.C. 1985, c. 28 (1st Supp.) Investment Canada Regulations, SOR/85-611 Policy on Non-Resident Ownership in the Uranium Mining Sector, Description: Investment 1. Ownership by “non-Canadians”, as defined in the Investment Canada Act, of a uranium mining property is limited to 49 percent at the stage of first production. Exceptions to this limit may be permitted if it can be established that the property is in fact “Canadian controlled”, as defined in the Investment Canada Act. 2. Exemptions from the Non-Resident Ownership Policy in the Uranium Mining Sector are permitted, subject to approval of the Governor in Council, only in cases where Canadian participants in the ownership of the property are not available. Investments in properties by non-Canadians, made prior to December 23, 1987 and that are beyond the permitted ownership level, may remain in place. No increase in non- Canadian ownership is permitted. 3.</w:t>
      </w:r>
    </w:p>
    <w:p>
      <w:pPr>
        <w:pStyle w:val="Normal"/>
        <w:widowControl/>
        <w:rPr/>
      </w:pPr>
      <w:r>
        <w:rPr/>
        <w:t>In considering a request for an exemption from the Policy from an investor of a Party, Canada will not require that it be demonstrated that a Canadian partner cannot be found.</w:t>
      </w:r>
    </w:p>
    <w:p>
      <w:pPr>
        <w:pStyle w:val="Normal"/>
        <w:widowControl/>
        <w:rPr/>
      </w:pPr>
      <w:r>
        <w:rPr/>
        <w:t>ANNEX I – CANADA – 25 Reservation I-C-17 Sector: Transportation Sub-Sector: Air Transportation Obligations Concerned: National Treatment (Article 14.4) Most-Favored-Nation Treatment (Article 14.5) Senior Management and Board of Directors (Article 14.11) Level of Government: Central Measures: Canada Transportation Act, S.C. 1996, c. 10 Aeronautics Act, R.S.C. 1985, c. A-2 Canadian Aviation Regulations, SOR/96-433 Part II, Subpart 2 - “Aircraft Markings &amp; Registration”; Part IV “Personnel Licensing &amp; Training”; and Part VII “Commercial Air Services” Description: Investment 1. Only Canadians may provide transportation air services: the following commercial (a) domestic services (air services between points, or from and to the same point, in the territory of Canada, or between a point in the territory of Canada and a point not in the territory of another country); (b) scheduled international services (scheduled air services between a point in the territory of Canada and a point in the territory of another country) where those services have been reserved to Canadian carriers under existing or future air services agreements;</w:t>
      </w:r>
    </w:p>
    <w:p>
      <w:pPr>
        <w:pStyle w:val="Normal"/>
        <w:widowControl/>
        <w:rPr/>
      </w:pPr>
      <w:r>
        <w:rPr/>
        <w:t>(c) non-scheduled international services (non-scheduled air services between a point in the territory of Canada and a point in the territory of another country) where those services have been reserved to Canadian carriers under the Canada Transportation Act; and (d) specialty air services including, but are not limited to: aerial mapping, aerial surveying,</w:t>
      </w:r>
    </w:p>
    <w:p>
      <w:pPr>
        <w:pStyle w:val="Normal"/>
        <w:widowControl/>
        <w:rPr/>
      </w:pPr>
      <w:r>
        <w:rPr/>
        <w:t>aerial photography, forest fire management, fire-fighting, aerial advertising, glider towing, parachute jumping, aerial</w:t>
      </w:r>
    </w:p>
    <w:p>
      <w:pPr>
        <w:pStyle w:val="Normal"/>
        <w:widowControl/>
        <w:rPr/>
      </w:pPr>
      <w:r>
        <w:rPr/>
        <w:t>ANNEX I – CANADA – 26 construction, heli-logging, aerial inspection, aerial surveillance, flight training, aerial sightseeing, and aerial crop spraying. 2. For the purposes of 1 (a), (b), and (c), the Canada Transportation Act, in section 55, defines “Canadian” in the following manner: (a) a Canadian citizen or a permanent resident as defined in subsection 2(1) of the Immigration and Refugee Protection Act, S.C. 2001, c.27; (b) a government in Canada or an agent or mandatary of that government; or (c) a corporation or entity that is incorporated or formed under the laws of Canada or a province, that is controlled in fact by Canadians and of which at least 51 percent of the voting interests are owned and controlled by Canadians and where:</w:t>
      </w:r>
    </w:p>
    <w:p>
      <w:pPr>
        <w:pStyle w:val="Normal"/>
        <w:widowControl/>
        <w:rPr/>
      </w:pPr>
      <w:r>
        <w:rPr/>
        <w:t>(i) no more than 25 percent of the voting interests are owned directly or indirectly by any single non-Canadian, either individually or in affiliation with another person, and (ii) no more than 25 percent of the voting interests are owned directly or indirectly by one or more non-Canadians authorized to provide an air service in any jurisdiction, either individually or in affiliation with another person; 3. Regulations made under the Aeronautics Act include distinct definitions of “Canadian” referenced in paragraphs (2) and (4). These Regulations require that a Canadian operator of commercial air services operate Canadian-registered aircraft.</w:t>
      </w:r>
    </w:p>
    <w:p>
      <w:pPr>
        <w:pStyle w:val="Normal"/>
        <w:widowControl/>
        <w:rPr/>
      </w:pPr>
      <w:r>
        <w:rPr/>
        <w:t>These Regulations require an operator to be Canadian in order to obtain a Canadian Air Operator Certificate and to qualifyto register aircraft as “Canadian”. 4. For the Purposes of 1 (d), the Canadian Aviation Regulations define “Canadian” in the following manner: (a) a Canadian citizen or a permanent resident as defined in subsection 2(1) of the Immigration and Refugee Protection Act; (b) a government in Canada or an agent or mandatary of that government; or</w:t>
      </w:r>
    </w:p>
    <w:p>
      <w:pPr>
        <w:pStyle w:val="Normal"/>
        <w:widowControl/>
        <w:rPr/>
      </w:pPr>
      <w:r>
        <w:rPr/>
        <w:t>ANNEX I – CANADA – 27 (c) a corporation or entity that is incorporated or formed under the laws of Canada or a province, that is controlled in fact by Canadians and of which at least 75 percent of the voting interests are owned and controlled by Canadians. 5. No foreign individual is qualified to be the registered owner of a Canadian-registered aircraft. 6. Further to the Canadian Aviation Regulations, a corporation incorporated in Canada, but that does not meet the Canadian ownership and control requirements, may only register an aircraft for private use where a significant majority of use of the aircraft (at least 60 percent) is in Canada. 7. The Canadian Aviation Regulations also have the effect of limiting foreign-registered private aircraft registered to non-Canadian corporations to be present in Canada for a maximum of 90 days per twelve-month period. The foreign-registered private aircraft shall be limited to private use, as would be the case for Canadian-registered aircraft requiring a private operating certificate.</w:t>
      </w:r>
    </w:p>
    <w:p>
      <w:pPr>
        <w:pStyle w:val="Normal"/>
        <w:widowControl/>
        <w:rPr/>
      </w:pPr>
      <w:r>
        <w:rPr/>
        <w:t>ANNEX I – CANADA – 28 Reservation I-C-18 Sector: Air Transportation Sub-Sector: Specialty Air Services as defined in Article 15.1 (Definitions) Obligations Concerned: National Treatment (Article 15.3) Most-Favored-Nation Treatment (Article 15.4) Level of Government: Central Measures: Canada Transportation Act, S.C. 1996, c. 10 Air Transportation Regulations, SOR/88-58 Canadian Aviation Regulations, SOR/96-433 Description: Cross-Border Trade in Services Authorization from Transport Canada is required to supply a specialty air service in the territory of Canada. In determining whether to grant a particular authorization, Transport Canada will consider among other factors, whether the country in which the applicant, if an individual, is resident or, if an enterprise, is constituted or organized, provides Canadian specialty air service operators reciprocal access to supply specialty air services in that country’s territory. Any foreign service supplier authorized to supply a specialty air service is required to comply with Canadian safety requirements while supplying these services in Canada.</w:t>
      </w:r>
    </w:p>
    <w:p>
      <w:pPr>
        <w:pStyle w:val="Normal"/>
        <w:widowControl/>
        <w:rPr/>
      </w:pPr>
      <w:r>
        <w:rPr/>
        <w:t>ANNEX I – CANADA – 29 Reservation I-C-19 Sector: Transportation Sub-Sector: Air Transportation Obligations Concerned: National Treatment (Article 15.3) Most-Favored-Nation Treatment (Article 15.4) Local Presence (Article 15.6) Level of Government: Central Measures: Aeronautics Act, R.S.C. 1985, c. A-2 Canadian Aviation Regulations, SOR/96-433, Part IV “Personnel Licensing &amp; Training”; Part V “Airworthiness”; Part VI “General Operating &amp; Flight Rules”; and Part VII “Commercial Air Services” Description: Cross-Border Trade in Services 1. Aircraft and other aeronautical product repair, overhaul or maintenance activities required to maintain the airworthiness of Canadian-registered aircraft and other aeronautical products must be performed by a person meeting Canadian aviation regulatory requirements (that is, approved maintenance organizations and aircraft maintenance engineers). A certification is not provided for persons located outside Canada, except sub-organizations of approved maintenance organizations that themselves are located in Canada. 2. Pursuant to an airworthiness agreement between Canada and the United States, Canada recognizes the certification and oversight provided by the United States for all repair, overhaul and maintenance facilities and individuals performing the work located in the United States.</w:t>
      </w:r>
    </w:p>
    <w:p>
      <w:pPr>
        <w:pStyle w:val="Normal"/>
        <w:widowControl/>
        <w:rPr/>
      </w:pPr>
      <w:r>
        <w:rPr/>
        <w:t>ANNEX I – CANADA – 30 Reservation I-C-20 Sector: Transportation Sub-Sector: Land Transportation Obligations Concerned: National Treatment (Article 15.3) Local Presence (Article 15.6) Level of Government: Central Measures: Motor Vehicle Transport Act, R.S.C. 1985, c. 29 (3rd Supp.), as amended by S.C. 2001, c. 13. Canada Transportation Act, S.C. 1996, c. 10 Customs Tariff, S.C. 1997, c. 36 Description: Cross-Border Trade in Services Only a person of Canada using Canadian-registered and either Canadian-built or duty-paid trucks or buses, may provide truck or bus services between points in the territory of Canada.</w:t>
      </w:r>
    </w:p>
    <w:p>
      <w:pPr>
        <w:pStyle w:val="Normal"/>
        <w:widowControl/>
        <w:rPr/>
      </w:pPr>
      <w:r>
        <w:rPr/>
        <w:t>ANNEX I – CANADA – 31 Reservation I-C-21 Sector: Transportation Sub-Sector: Water Transportation Obligations Concerned: National Treatment (Articles 14.4 and 15.3) Local Presence (Articles 15.6) Level of Government: Central Measures: Canada Shipping Act, 2001, S.C. 2001, c. 26 Description: Investment and Cross-Border Trade in Services 1. To register a vessel in Canada, the owner of that vessel or the person who has exclusive possession of that vessel must be: (a) a Canadian citizen or a permanent resident within the meaning of subsection 2(1) of the Immigration and Refugee Protection Act, S.C. 2001, c.27; (b) a corporation incorporated under the laws of Canada or a province or territory; or (c) when the vessel is not already registered in another country, a corporation incorporated under the laws of a country other than Canada if one of the following is acting with respect to all matters relating to the vessel, namely:</w:t>
      </w:r>
    </w:p>
    <w:p>
      <w:pPr>
        <w:pStyle w:val="Normal"/>
        <w:widowControl/>
        <w:rPr/>
      </w:pPr>
      <w:r>
        <w:rPr/>
        <w:t>(i) a subsidiary of that corporation that is incorporated under the law of Canada or a province or territory, (ii) an employee or director in Canada of any branch office of that corporation that is carrying on business in Canada, or (iii) a ship management company incorporated under the law of Canada or a province or territory.</w:t>
      </w:r>
    </w:p>
    <w:p>
      <w:pPr>
        <w:pStyle w:val="Normal"/>
        <w:widowControl/>
        <w:rPr/>
      </w:pPr>
      <w:r>
        <w:rPr/>
        <w:t>ANNEX I – CANADA – 32 2. A vessel registered in a foreign country which has been bareboat chartered may be listed in Canada for the duration of the charter while the vessel’s registration is suspended in its country of registry, if the charterer is: (a) a Canadian citizen or permanent resident, as defined in subsection 2(1) of the Immigration and Refugee Protection Act, S.C. 2001, c.27; or (b) a corporation incorporated under the law of Canada or a province or territory.</w:t>
      </w:r>
    </w:p>
    <w:p>
      <w:pPr>
        <w:pStyle w:val="Normal"/>
        <w:widowControl/>
        <w:rPr/>
      </w:pPr>
      <w:r>
        <w:rPr/>
        <w:t>ANNEX I – CANADA – 33 Reservation I-C-22 Sector: Transportation Sub-Sector: Water Transportation Obligations Concerned: National Treatment (Article 15.3) Local Presence (Article 15.6) Level of Government: Central Measures: Canada Shipping Act, 2001, S.C. 2001, c. 26 Marine Personnel Regulations, SOR/2007-115 Description: Cross-Border Trade in Services Masters, mates, engineers, and certain other seafarers must hold certificates granted by the Minister of Transport as a requirement of service on Canadian registered vessels. These certificates may be granted only to Canadian citizens or permanent residents.</w:t>
      </w:r>
    </w:p>
    <w:p>
      <w:pPr>
        <w:pStyle w:val="Normal"/>
        <w:widowControl/>
        <w:rPr/>
      </w:pPr>
      <w:r>
        <w:rPr/>
        <w:t>ANNEX I – CANADA – 34 Reservation I-C-23 Sector: Transportation Sub-Sector: Water Transportation Obligations Concerned: National Treatment (Article 15.3) Local Presence (Article 15.6) Level of Government: Central Measures: Pilotage Act, R.S.C., 1985, c. P-14 General Pilotage Regulations, SOR/2000-132 Atlantic Pilotage Authority Regulations, C.R.C., c. 1264 Laurentian Pilotage Authority Regulations, C.R.C., c. 1268 Great Lakes Pilotage Regulations, C.R.C., c. 1266 Pacific Pilotage Regulations, C.R.C., c. 1270 Description: Cross-Border Trade in Services Subject to Canada’s Reservation II-C-8, a licence or a pilotage certificate issued by the relevant regional Pilotage Authority is required to provide pilotage services in the compulsory pilotage waters of the territory of Canada. Only a Canadian citizen or permanent resident may obtain a licence or pilotage certificate. A permanent resident of Canada who has been issued a pilot’s licence or pilotage certificate must become a Canadian citizen within five years of receipt of that licence or pilotage certificate in order to retain it.</w:t>
      </w:r>
    </w:p>
    <w:p>
      <w:pPr>
        <w:pStyle w:val="Normal"/>
        <w:widowControl/>
        <w:rPr/>
      </w:pPr>
      <w:r>
        <w:rPr/>
        <w:t>ANNEX I – CANADA – 35 Reservation I-C-24 Sector: Transportation Sub-Sector: Water Transportation Obligations Concerned: Most-Favored-Nation Treatment (Article 15.4) Level of Government: Central Measures: Coasting Trade Act, S.C. 1992, c. 31 Description: Cross-Border Trade in Services The prohibitions under the Coasting Trade Act, set out in Canada’s Reservation II-C-7, do not apply to any vessel that is owned by the Government of the United States of America, when used solely for the purpose of transporting goods owned by the Government of the United States of America from the territory of Canada to supply Distant Early Warning sites.</w:t>
      </w:r>
    </w:p>
    <w:p>
      <w:pPr>
        <w:pStyle w:val="Normal"/>
        <w:widowControl/>
        <w:rPr/>
      </w:pPr>
      <w:r>
        <w:rPr/>
        <w:t>ANNEX I – CANADA – 36 Reservation I-C-25 Sector: Transportation Sub-Sector: Water Transportation Services by Sea-going and Non-sea-going Vessels Obligations Concerned: Local Presence (Article 15.6) Level of Government: Central Measures: Shipping Conferences Exemption Act, 1987, R.S.C. 1985, c.17 (3rd Supp.) Description: Cross-Border Trade in Services Members of a shipping conference must maintain jointly an office or agency in the region of Canada where they operate. A shipping conference is an association of ocean carriers that has the purpose or effect of regulating rates and conditions for the transportation by those carriers of goods by water.</w:t>
      </w:r>
    </w:p>
    <w:p>
      <w:pPr>
        <w:pStyle w:val="Normal"/>
        <w:widowControl/>
        <w:rPr/>
      </w:pPr>
      <w:r>
        <w:rPr/>
        <w:t>ANNEX I – CANADA – 37 Reservation I-C-26 Sector: All Sub-Sector: Obligations Concerned: National Treatment (Article 14.4 and Article 15.3) Most-Favored-Nation Treatment (Article 14.5 and 15.4) Performance Requirements (Article 14.10) Senior Management and Boards of Directors (Article 14.11) Local Presence (Article 15.6) Level of Government: Regional Measures: An existing non-conforming measure of a province and territory. Description: Investment and Cross-Border Trade in Services</w:t>
      </w:r>
    </w:p>
    <w:p>
      <w:bookmarkStart w:id="1646" w:name="_NAESTMA_TOC_1646"/>
      <w:pPr>
        <w:pStyle w:val="Heading1"/>
        <w:keepNext/>
        <w:pageBreakBefore/>
        <w:widowControl/>
        <w:rPr/>
      </w:pPr>
      <w:bookmarkStart w:id="264" w:name="_Toc237912745"/>
      <w:r>
        <w:rPr/>
        <w:t>ANNEX I – CANADA – 38</w:t>
      </w:r>
      <w:bookmarkEnd w:id="264"/>
      <w:bookmarkEnd w:id="1646"/>
    </w:p>
    <w:p>
      <w:pPr>
        <w:pStyle w:val="Normal"/>
        <w:widowControl/>
        <w:rPr/>
      </w:pPr>
      <w:r>
        <w:rPr/>
        <w:t>ANNEX I INTRODUCTORY NOTES 1. Description provides a general non-binding description of the measure for which the entry is made. 2. In accordance with Article 14.12 (Non-Conforming Measures) and Article 15.7 (Non-Conforming Measures), the articles of this Agreement specified in the Obligations Concerned element of an entry do not apply to the non-conforming aspects of the law, regulation, or other measure identified in the Measures element of that entry. 3. In the interpretation of an entry, all elements of the entry shall be considered. An entry shall be interpreted in the light of the relevant provisions of the Chapters against which the entry is taken. To the extent that:</w:t>
      </w:r>
    </w:p>
    <w:p>
      <w:pPr>
        <w:pStyle w:val="Normal"/>
        <w:widowControl/>
        <w:rPr/>
      </w:pPr>
      <w:r>
        <w:rPr/>
        <w:t>(a) the Measures element is qualified by a liberalization commitment from the Description element, the Measures element as so qualified shall prevail over all other elements; and (b) the Measures element is not so qualified, the Measures element shall prevail over all other elements, unless any discrepancy between the Measures element and the other elements considered in their totality is so substantial and material that it would be unreasonable to conclude that the Measures element should prevail, in which case the other elements shall prevail to the extent of that discrepancy. 4.</w:t>
      </w:r>
    </w:p>
    <w:p>
      <w:pPr>
        <w:pStyle w:val="Normal"/>
        <w:widowControl/>
        <w:rPr/>
      </w:pPr>
      <w:r>
        <w:rPr/>
        <w:t>For the purposes of this Annex: CMAP means the Mexican Classification of Activities and Products 1994 (Clasificación Mexicana de Actividades y Productos) numbers as set out by the National Institute for Statistics and Geography (Instituto Nacional de Estadística y Geografía); CNIE means the National Commission on Foreign Investments (Comisión Nacional de Inversiones Extranjeras); Concession means an authorization granted by the Mexican State to a person to exploit a natural resource or supply a service, for which Mexican nationals and Mexican enterprises are granted priority over foreigners; Foreigners’ exclusion clause means the express provision in an enterprise’s by-laws, stating that the enterprise shall not allow a foreigner, directly or indirectly, to become a partner or shareholder of the enterprise; and SCT means the Ministry of Communications and Transportation (Secretaría de Comunicaciones y Transportes).</w:t>
      </w:r>
    </w:p>
    <w:p>
      <w:pPr>
        <w:pStyle w:val="Normal"/>
        <w:widowControl/>
        <w:rPr/>
      </w:pPr>
      <w:r>
        <w:rPr/>
        <w:t>ANNEX I – MEXICO – 1 Sector: Sub-Sector: Industry Classification: Obligations Concerned: Level of Government: Measures: Description: All National Treatment (Article 14.4) Central Political Constitution of the United Mexican States (Constitución Política de los Estados Unidos Mexicanos), Article 27. Foreign Investment Law (Ley de Inversión Extranjera), Title II, Chapters I and II. Regulations to the Foreign Investment Law and the National Registry of Foreign Investments (Reglamento de la Ley de Inversión Extranjera y del Registro Nacional de Inversiones Extranjeras), Title II, Chapters I and II. Investment No foreign national or foreign enterprise may acquire property rights (dominio directo) over land and water in a 100-kilometer strip along the country’s borders or in a 50-kilometer strip inland from its coasts (Restricted Zone). A Mexican enterprise without a foreigners’ exclusion clause may acquire property rights (dominio directo) over real estate located in the Restricted Zone, used for non-residential purposes. Notice of the acquisition must be given to the Ministry of Foreign Affairs (Secretaría de Relaciones Exteriores or SRE) within 60 business days from the date of acquisition.</w:t>
      </w:r>
    </w:p>
    <w:p>
      <w:pPr>
        <w:pStyle w:val="Normal"/>
        <w:widowControl/>
        <w:rPr/>
      </w:pPr>
      <w:r>
        <w:rPr/>
        <w:t>No Mexican enterprise without a foreigners’ exclusion clause may acquire property rights (dominio directo) over real estate located in the Restricted Zone, used for residential purposes.</w:t>
      </w:r>
    </w:p>
    <w:p>
      <w:pPr>
        <w:pStyle w:val="Normal"/>
        <w:widowControl/>
        <w:rPr/>
      </w:pPr>
      <w:r>
        <w:rPr/>
        <w:t>Pursuant to the procedure described below, a Mexican enterprise without a foreigners’ exclusion clause may acquire rights for the use and enjoyment over real estate in the Restricted Zone, used for residential purposes. This procedure shall also apply when a foreign national or a foreign enterprise seeks to acquire rights for the use and enjoyment over real estate in the Restricted Zone regardless of the purpose for which the real estate is used.</w:t>
      </w:r>
    </w:p>
    <w:p>
      <w:pPr>
        <w:pStyle w:val="Normal"/>
        <w:widowControl/>
        <w:rPr/>
      </w:pPr>
      <w:r>
        <w:rPr/>
        <w:t>ANNEX I – MEXICO – 2 A permit from the SRE is required for a credit institution to acquire, as a trustee, rights to real estate located in the Restricted Zone, when the purpose of the trust is to allow the use and enjoyment of such real estate, without granting real property rights thereof, and the trust beneficiary is a Mexican enterprise without a foreigners’ exclusion clause, or the foreign national or foreign enterprise referred to above. The terms “use” and “enjoyment” of the real estate located in the Restricted Zone mean the rights to use or enjoy such real estate, including, as applicable, obtaining benefits, products, and, in general, any yield resulting from lucrative operation and exploitation through third parties or through a credit institution acting as trustee. The duration of the trust referred to in this entry shall be for a maximum period of 50 years, which may be renewed on request of the interested party.</w:t>
      </w:r>
    </w:p>
    <w:p>
      <w:pPr>
        <w:pStyle w:val="Normal"/>
        <w:widowControl/>
        <w:rPr/>
      </w:pPr>
      <w:r>
        <w:rPr/>
        <w:t>The SRE can verify at any time the compliance with the conditions under which the permits referred to in this entry are granted, as well as the submission and veracity of the notices mentioned above. The SRE shall decide on the permits, considering the economic and social benefits that these operations could have on the Nation.</w:t>
      </w:r>
    </w:p>
    <w:p>
      <w:pPr>
        <w:pStyle w:val="Normal"/>
        <w:widowControl/>
        <w:rPr/>
      </w:pPr>
      <w:r>
        <w:rPr/>
        <w:t>A foreign national or a foreign enterprise seeking to acquire real estate outside the Restricted Zone, shall previously submit to the SRE a statement agreeing to consider themselves a Mexican national for the above mentioned purposes, and waiving its right to invoke the protection of its government with respect to such real estate.</w:t>
      </w:r>
    </w:p>
    <w:p>
      <w:pPr>
        <w:pStyle w:val="Normal"/>
        <w:widowControl/>
        <w:rPr/>
      </w:pPr>
      <w:r>
        <w:rPr/>
        <w:t>ANNEX I – MEXICO – 3 Sector: All Sub-Sector: Industry Classification: Obligations Concerned: National Treatment (Article 14.4) Market Access (Article 15.5) Level of Government: Central Measures: Foreign Investment Law (Ley de Inversión Extranjera), Title VI, Chapter III. Description: Investment and Cross-Border Trade in Services In order to evaluate an application submitted for its consideration (an acquisition or establishment of investments in restricted activities as set out in this Schedule), the CNIE shall take into account the following criteria: (a) the effects on employment and training of workers; (b) the technological contribution; (c) the compliance with the environmental provisions contained in the environmental legislation; and (d) in general, the contribution to increase the competitiveness of the Mexican productive system. When deciding on an application, the CNIE may only impose requirements that do not distort international trade and that are not prohibited by Article 14.10 (Performance Requirements).</w:t>
      </w:r>
    </w:p>
    <w:p>
      <w:pPr>
        <w:pStyle w:val="Normal"/>
        <w:widowControl/>
        <w:rPr/>
      </w:pPr>
      <w:r>
        <w:rPr/>
        <w:t>ANNEX I – MEXICO – 4 Sector: All Sub-Sector: Industry Classification: Obligations Concerned: National Treatment (Article 14.4) Level of Government: Central Measures: Foreign Investment Law (Ley de Inversión Extranjera), Title I, Chapter III. As qualified by the Description element. Description: Investment A favorable resolution from the CNIE is required for an investor of another Party or its investments to participate, directly or indirectly, in more than 49 percent of the ownership interest of a Mexican enterprise in an unrestricted sector, if the total value of the assets of the Mexican enterprise exceeds the applicable threshold at the time the application for acquisition is submitted. The applicable threshold for the review of an acquisition of a Mexican enterprise shall be the amount determined by the CNIE. The threshold at the date of entry into force of this Agreement for Mexico will be the equivalent in Mexican pesos to 955,835,000 US dollars, using the official exchange rate on August 31, 2018. The threshold will be adjusted each year according to the nominal growth rate of the Mexican Gross Domestic Product, as published by the National Institute for Statistics and Geography (Instituto Nacional de Estadística y Geografía).</w:t>
      </w:r>
    </w:p>
    <w:p>
      <w:pPr>
        <w:pStyle w:val="Normal"/>
        <w:widowControl/>
        <w:rPr/>
      </w:pPr>
      <w:r>
        <w:rPr/>
        <w:t>ANNEX I – MEXICO – 5 Sector: All Sub-Sector: Industry Classification: Obligations Concerned: National Treatment (Article 14.4) Senior Management and Boards of Directors (Article 14.11) Level of Government: Central Measures: Political Constitution of the United Mexican States (Constitución Política de los Estados Unidos Mexicanos), Article 25. General Law of Cooperative Companies (Ley General de Sociedades Cooperativas), Title I and Title II, Chapter II. Federal Labor Law (Ley Federal del Trabajo), Title I. Foreign Investment Law (Ley de Inversión Extranjera), Title I, Chapter III. Description: Investment No more than 10 percent of the persons participating in a Mexican cooperative production enterprise may be foreign nationals. An investor of another Party or its investments may only own, directly or indirectly, up to 10 percent of the ownership interest in a Mexican cooperative production enterprise. No foreign nationals may engage in general administrative functions or perform managerial activities in a Mexican cooperative production enterprise. A cooperative production enterprise is an enterprise the members of which combine their personal work, whether physical or intellectual, with the purpose of producing goods or services.</w:t>
      </w:r>
    </w:p>
    <w:p>
      <w:pPr>
        <w:pStyle w:val="Normal"/>
        <w:widowControl/>
        <w:rPr/>
      </w:pPr>
      <w:r>
        <w:rPr/>
        <w:t>ANNEX I – MEXICO – 6 Sector: All Sub-Sector: Industry Classification: Obligations Concerned: National Treatment (Article 14.4) Level of Government: Central Measures: Federal Law to Foster the Microindustry and Handicraft Activity (Ley Federal para el Fomento de la Microindustria y la Actividad Artesanal), Chapters I, II, III and IV. Description: Investment Only Mexican nationals may apply for a license (cédula) to qualify as a microindustry enterprise. No Mexican microindustry enterprises may have a foreign person as partner. The Federal Law to Foster the Microindustry and Handicraft Activity (Ley Federal para el Fomento de la Microindustria y Actividad Artesanal) defines a “microindustry enterprise” as an enterprise integrated by up to 15 workers, that is engaged in the transformation of goods, and the annual sales of which do not exceed the amount determined periodically by the Ministry of Economy (Secretaría de Economía).</w:t>
      </w:r>
    </w:p>
    <w:p>
      <w:pPr>
        <w:pStyle w:val="Normal"/>
        <w:widowControl/>
        <w:rPr/>
      </w:pPr>
      <w:r>
        <w:rPr/>
        <w:t>ANNEX I – MEXICO – 7 Sector: Agriculture, Livestock, Forestry, and Lumber Activities Sub-Sector: Agriculture, livestock or forestry Industry Classification: CMAP 1111 Agriculture CMAP 1112 Livestock and hunting (limited to livestock) CMAP 1200 Forestry and felling Trees Obligations Concerned: National Treatment (Article 14.4) Level of Government: Central Measures: Political Constitution of the United Mexican States (Constitución Política de los Estados Unidos Mexicanos), Article 27. Agrarian Law (Ley Agraria), Title VI. Foreign Investment Law (Ley de Inversión Extranjera), Title I, Chapter III. Description: Investment Only a Mexican national or a Mexican enterprise may own land for agriculture, livestock or forestry purposes. Such enterprise must issue a special type of share (“T” share) representing the value of that land at the time of its acquisition. An investor of another Party or its investments may only own, directly or indirectly, up to 49 percent of “T” shares.</w:t>
      </w:r>
    </w:p>
    <w:p>
      <w:pPr>
        <w:pStyle w:val="Normal"/>
        <w:widowControl/>
        <w:rPr/>
      </w:pPr>
      <w:r>
        <w:rPr/>
        <w:t>ANNEX I – MEXICO – 8 Sector: Retail Trade Sub-Sector: Sale of non-food products in specialized establishments Industry Classification: CMAP 623087 Retail Trade of Firearms, Cartridges and Munitions CMAP 612024 Wholesale Trade Not Elsewhere Classified (limited to firearms, cartridges and munitions) Obligations Concerned: National Treatment (Article 14.4) Level of Government: Central Measures: Foreign Investment Law (Ley de Inversión Extranjera), Title I, Chapter III. Description: Investment An investor of another Party or its investments may only own, directly or indirectly, up to 49 percent of the ownership interest in an enterprise established or to be established in the territory of Mexico that is engaged in the sale of explosives, firearms, cartridges, ammunition, and fireworks, excluding the acquisition and use of explosives for industrial and extractive activities, and the preparation of explosive mixtures for such activities.</w:t>
      </w:r>
    </w:p>
    <w:p>
      <w:pPr>
        <w:pStyle w:val="Normal"/>
        <w:widowControl/>
        <w:rPr/>
      </w:pPr>
      <w:r>
        <w:rPr/>
        <w:t>ANNEX I – MEXICO – 9 Sector: Communications Sub-Sector: Broadcasting (radio and free to air television) Industry Classification: CMAP 941104 Private Production and Transmission of Radio Programs (limited to production and transmission of sound broadcasting (radio) programs) CMAP 941105 Private Services of production, Transmission and Retransmission of Television Programming (limited to transmission and retransmission of free-to-air television programming) Obligations Concerned: National Treatment (Article 14.4 and Article 15.3) Local Presence (Article 15.6) Level of Government: Central Measures: Political Constitution of the United Mexican States (Constitución Política de los Estados Unidos Mexicanos), Articles 28 and 32 Federal Telecommunications and Broadcasting Law (Ley Federal de Telecomunicaciones y Radiodifusión), Title IV, Chapters I, III and IV, title XI, Chapter II. General Means of Communication Law (Ley de Vías Generales de Comunicación), Book I, Chapter III. Foreign Investment Law (Ley de Inversión Extranjera), Title I, Chapters II and III. Regulations to the Foreign Investment Law and the National Registry for Foreign Investments (Reglamento de la Ley de Inversión Extranjera y del Registro Nacional de Inversiones Extranjeras), Title VI.</w:t>
      </w:r>
    </w:p>
    <w:p>
      <w:pPr>
        <w:pStyle w:val="Normal"/>
        <w:widowControl/>
        <w:rPr/>
      </w:pPr>
      <w:r>
        <w:rPr/>
        <w:t>General Guidelines for the granting of the concessions referred to in Title Four of the Federal Telecommunications and Broadcasting Law (Lineamientos Generales para el otorgamiento de las concesiones a que se refiere el Título Cuarto de la Ley Federal de Telecomunicaciones y Radiodifusión). Description: Investment and Cross-Border Trade in Services According to their purposes, sole concessions and frequency band concessions will be granted only to Mexican nationals or enterprise constituted under Mexican Laws and regulations. An investor of a Party or its investments may participate up to 49 percent in a concessionaire enterprise supplying broadcasting services. This cap shall apply according to the</w:t>
      </w:r>
    </w:p>
    <w:p>
      <w:pPr>
        <w:pStyle w:val="Normal"/>
        <w:widowControl/>
        <w:rPr/>
      </w:pPr>
      <w:r>
        <w:rPr/>
        <w:t>ANNEX I – MEXICO – 10 reciprocity existent with the country in which the investor or trader who ultimately controls it, directly or indirectly, is constituted. For the purposes of the paragraph above, a favorable opinion of the CNIE is required before granting the sole concession for providing broadcasting services in which foreign investment participate. No concession, the rights conferred therein, facilities, auxiliary services, offices, or accessories and properties affected thereto, may be assigned, encumbered, pledged, or given in trust, mortgaged, or transferred totally or partially to any foreign government or state. Concessions for indigenous social use shall be granted to indigenous people and indigenous communities of Mexico, with the objective to promote, develop, and preserve language, culture, knowledge, tradition, identity and internal rules that, under principles of gender equality, allow the integration of indigenous women in the accomplishment of the purposes for which the concession is granted. The State shall guarantee that broadcasting promotes the values of national identity. A broadcasting concessionaire shall use and stimulate local and national artistic values and expressions of Mexican culture, according to the characteristics of its programming. Daily programming with personal performances shall include more time covered by Mexicans.</w:t>
      </w:r>
    </w:p>
    <w:p>
      <w:pPr>
        <w:pStyle w:val="Normal"/>
        <w:widowControl/>
        <w:rPr/>
      </w:pPr>
      <w:r>
        <w:rPr/>
        <w:t>ANNEX I – MEXICO – 11 Sector: Communications Sub-Sector: Telecommunications (including resellers and restricted television and audio service) Industry Classification: CMAP 720006 Other Telecommunication Services CMAP 720006 Other Telecommunications services (Not including enhanced or Value Added Services) CMAP 502003 Telecommunications installation CMAP 720006 Other Telecommunications Services (limited to resellers) CMAP 502004 Other special installations Obligations Concerned: National Treatment (Article 14.4 and Article 15.3) Local Presence (Article 15.6) Level of Government: Central Measures: Political Constitution of the United Mexican States (Constitución Política de los Estados Unidos Mexicanos), Article 28 and 32. Federal Telecommunications and Broadcasting Law (Ley Federal de Telecomunicaciones y Radiodifusión), Title IV, Chapters I, III and IV, Title V, Chapter VIII, and Title VI, Unique Chapter. General Means of Communication Law (Ley de Vías Generales de Comunicación). Foreign Investment Law (Ley de Inversión Extranjera) Title I, Chapter II. Regulations to the Foreign Investment Law and the National Registry of Foreign Investments (Reglamento de la Ley de Inversión Extranjera y del Registro Nacional de Inversiones Extranjeras), Title VI.</w:t>
      </w:r>
    </w:p>
    <w:p>
      <w:pPr>
        <w:pStyle w:val="Normal"/>
        <w:widowControl/>
        <w:rPr/>
      </w:pPr>
      <w:r>
        <w:rPr/>
        <w:t>General Guidelines for the granting of the concessions referred to in Title Four of the Federal Telecommunications and Broadcasting Law (Lineamientos Generales para el otorgamiento de las concesiones a que se refiere el Título Cuarto de la Ley Federal de Telecomunicaciones y Radiodifusion). Rules of general character that establish the terms and requisites for the granting of telecommunications authorizations established in the Federal Telecommunications and Broadcasting Law (Reglas de carácter general que establecen los plazos y requisitos para el otorgamiento de autorizaciones en materia de telecomunicaciones establecidas en la Ley Federal de Telecomunicaciones y Radiodifusión).</w:t>
      </w:r>
    </w:p>
    <w:p>
      <w:pPr>
        <w:pStyle w:val="Normal"/>
        <w:widowControl/>
        <w:rPr/>
      </w:pPr>
      <w:r>
        <w:rPr/>
        <w:t>ANNEX I – MEXICO – 12 General Guidelines on the Authorization to Lease Radio Spectrum (Lineamientos Generales sobre la Autorización de Arrendamiento del Espectro Radioeléctrico). Guidelines for the granting of the Authorization Registration, for the use and development of radio spectrum frequency bands for secondary use (Lineamientos para el otorgamiento de la Constancia de Authorización, para el uso y aprovechamiento de bandas de frecuencias del espectro radioeléctrico para uso secundario). Description: Investment and Cross-Border Trade in Services According to their purposes, sole concessions and frequency band concessions will be granted only to a Mexican national or enterprise constituted under Mexican Laws and regulations. Concessions for indigenous social use shall be granted to indigenous people and indigenous communities of Mexico, with the objective to promote, develop, and preserve their language, culture, knowledge, tradition, identity and internal rules that, under principles of gender equality, allow the integration of indigenous women in the accomplishment of the purposes for which the concession is granted. Concessions for indigenous social use shall only be granted to indigenous people and indigenous communities in Mexico without any kind of foreign investment.</w:t>
      </w:r>
    </w:p>
    <w:p>
      <w:pPr>
        <w:pStyle w:val="Normal"/>
        <w:widowControl/>
        <w:rPr/>
      </w:pPr>
      <w:r>
        <w:rPr/>
        <w:t>No concession, the rights conferred therein, facilities, auxiliary services, offices or accessories and properties affected thereto, shall be assigned encumbered, pledged, or given in trust, mortgaged, or transferred totally or partially to any foreign government or state. Only a Mexican national or an enterprise established under Mexican laws may obtain authorization to provide telecommunication services as reseller without being a concessionaire. Under the General Guidelines on the Authorization to Lease Radio Spectrum, a company interested in becoming a lessee of frequency bands must obtain a sole concession for commercial use or a sole concession for private use. An applicant for an authorization for secondary use of radio spectrum frequency bands must appoint a legal address in Mexico City.</w:t>
      </w:r>
    </w:p>
    <w:p>
      <w:pPr>
        <w:pStyle w:val="Normal"/>
        <w:widowControl/>
        <w:rPr/>
      </w:pPr>
      <w:r>
        <w:rPr/>
        <w:t>ANNEX I – MEXICO – 13 Sector: Communications Sub-Sector: Transportation Industry Classification: CMAP 7100 Transport Obligations Concerned: National Treatment (Article 14.4) Level of Government: Central Measures: Ports Law (Ley de Puertos), Chapter IV. Regulatory Law of the Railway Service (Ley Reglamentaria del Servicio Ferroviario), Chapter II, Section III. Civil Aviation Law (Ley de Aviación Civil), Chapter III, Section III Airports Law (Ley de Aeropuertos), Chapter IV. Roads, Bridges and Federal Road Transport Law (Ley de Caminos, Puentes y Autotransporte Federal), Title I, Chapter III. General Means of Communication Law (Ley de Vías Generales de Comunicación), Book I, Chapters III and V. Description: Investment No foreign government or foreign State may invest, directly or indirectly, in a Mexican enterprise engaged in transportation and other general means of communications.</w:t>
      </w:r>
    </w:p>
    <w:p>
      <w:pPr>
        <w:pStyle w:val="Normal"/>
        <w:widowControl/>
        <w:rPr/>
      </w:pPr>
      <w:r>
        <w:rPr/>
        <w:t>ANNEX I – MEXICO – 14 Sector: Transportation Sub-Sector: Land transportation and water transportation Industry Classification: CMAP 501421 Construction of Maritime and River Works CMAP 501422 Construction of Roadworks and Works Land Transport for Obligations Concerned: National Treatment (Article 14.4 and Article 15.3) Local Presence (Article 15.6) Level of Government: Central Measures: Political Constitution of the United Mexican States (Constitución Política de los Estados Unidos Mexicanos), Article 32. Roads, Bridges and Federal Road Transport Law (Ley de Caminos, Puentes y Autotransporte Federal), Title I, Chapter III. Ports Law (Ley de Puertos), Chapter IV. Navigation and Maritime Commerce Law (Ley de Navegación y Comercio Marítimos), Title I, Chapter II. Description: Investment and Cross-Border Trade in Services A concession granted by the SCT is required to build and operate, or only operate, marine or river works. A concession is also required to build, operate, exploit, conserve, or maintain federal roads and bridges. Only a Mexican national or a Mexican enterprise may obtain these concessions.</w:t>
      </w:r>
    </w:p>
    <w:p>
      <w:pPr>
        <w:pStyle w:val="Normal"/>
        <w:widowControl/>
        <w:rPr/>
      </w:pPr>
      <w:r>
        <w:rPr/>
        <w:t>ANNEX I – MEXICO – 15 Sector: Printing, Editing and Associated Industries Sub-Sector: Newspaper publishing Industry Classification: CMAP 342001 Publishing of Newspapers, Periodicals (limited to newspapers) Magazines and Obligations Concerned: National Treatment (Article 14.4) Level of Government: Central Measures: Foreign Investment Law (Ley de Inversión Extranjera), Title I, Chapter III. As qualified by the Description element. Description: Investment An investor of another Party or its investments may only own, directly or indirectly, up to 49 percent of the ownership interest in an enterprise established or to be established in the territory of Mexico engaged in the printing or publication of daily newspapers written primarily for a Mexican audience and distributed in the territory of Mexico. For the purposes of this entry, daily newspapers are those whose distribution is not free and that are published at least seven days a week.</w:t>
      </w:r>
    </w:p>
    <w:p>
      <w:pPr>
        <w:pStyle w:val="Normal"/>
        <w:widowControl/>
        <w:rPr/>
      </w:pPr>
      <w:r>
        <w:rPr/>
        <w:t>ANNEX I – MEXICO – 16 Sector: Manufacture of Goods Sub-Sector: Explosives, fireworks, firearms and cartridges Industry Classification: CMAP 352236 Manufacture of Explosives and Fireworks CMAP 382208 Manufacture of Firearms and Cartridges Obligations Concerned: National Treatment (Article 14.4) Level of Government: Central Measures: Foreign Investment Law (Ley de Inversión Extranjera), Title I, Chapter III. Description: Investment An investors of another Party or its investments may only own, directly or indirectly, up to 49 percent of the ownership interest in an enterprise established or to be established in the territory of Mexico that manufactures explosives, fireworks, firearms, cartridges, and ammunition, excluding the preparation of explosive mixtures for industrial and extractive activities.</w:t>
      </w:r>
    </w:p>
    <w:p>
      <w:pPr>
        <w:pStyle w:val="Normal"/>
        <w:widowControl/>
        <w:rPr/>
      </w:pPr>
      <w:r>
        <w:rPr/>
        <w:t>ANNEX I – MEXICO – 17 Sector: Sub-Sector: Industry Classification: Obligations Concerned: Level of Government: Measures: Description: Fishing Fishing-related services CMAP 1300 Fishing National Treatment (Article 15.3) Most-Favored-Nation Treatment (Article 15.4) Central Political Constitution of the United Mexican States (Constitución Política de los Estados Unidos Mexicanos), Article 32. General Law on Sustainable Fishing and Aquaculture (Ley General de Pesca y Acuacultura Sustentables), Title Six, Chapter IV; Title Seven, Chapter II. Navigation and Maritime Commerce Law (Ley de Navegación y Comercio Marítimos), Title I, Chapter I; Title II, Chapter IV, Title Three, Chapter II. Ports Law (Ley de Puertos), Chapters I, IV and VI. Regulations to the Fishing Law (Reglamento de la Ley de Pesca), Title Two, Chapter I; Chapter II, Sixth Section.</w:t>
      </w:r>
    </w:p>
    <w:p>
      <w:pPr>
        <w:pStyle w:val="Normal"/>
        <w:widowControl/>
        <w:rPr/>
      </w:pPr>
      <w:r>
        <w:rPr/>
        <w:t>Cross-Border Trade in Services A permit issued by the Secretariat of Agriculture, Livestock, Rural Development, Fisheries, and Food (Secretaría de Agricultura, Ganadería, Desarrollo Rural, Pesca, y Alimentación, SAGARPA) through the National Commission of Aquaculture and Fishing (Comisión Nacional de Acuacultura y Pesca, CONAPESCA); or by the SCT, within the scope of their competence, is required to engage in fishing activities. A permit issued by SAGARPA is required to carry out activities, such as fishing jobs needed to justify applications for a concession, and the installation of fixed fishing gear in federal waters.</w:t>
      </w:r>
    </w:p>
    <w:p>
      <w:pPr>
        <w:pStyle w:val="Normal"/>
        <w:widowControl/>
        <w:rPr/>
      </w:pPr>
      <w:r>
        <w:rPr/>
        <w:t>This permit shall be given preferentially to residents of local communities. In equal circumstances, an application from an indigenous community shall be preferred. An authorization issued by the SCT is required for foreign- flagged vessels to provide dredging services. A permit issued by the SCT is required to supply port services related to fishing, like loading operations and supply vessels, maintenance of communication equipment, electricity works,</w:t>
      </w:r>
    </w:p>
    <w:p>
      <w:pPr>
        <w:pStyle w:val="TOCExcludedHeading1"/>
        <w:keepNext w:val="true"/>
        <w:widowControl/>
        <w:rPr/>
      </w:pPr>
      <w:bookmarkStart w:id="265" w:name="_Toc237912746"/>
      <w:r>
        <w:rPr/>
        <w:t>ANNEX I – MEXICO – 18 garbage or waste collection and sewage disposal. Only a Mexican national or a Mexican enterprise may obtain such permit.</w:t>
      </w:r>
      <w:bookmarkEnd w:id="265"/>
    </w:p>
    <w:p>
      <w:pPr>
        <w:pStyle w:val="Normal"/>
        <w:widowControl/>
        <w:rPr/>
      </w:pPr>
      <w:r>
        <w:rPr/>
        <w:t>ANNEX I – MEXICO – 19 Sector: Sub-Sector: Industry Classification: Obligations Concerned: Level of Government: Measures: Description: Fishing Fishing CMAP 130011 Fishing on the High Seas CMAP 130012 Coastal Fishing CMAP 130013 Fresh Water Fishing National Treatment (Article 14.4) Central General Law on Sustainable Fishing and Aquaculture (Ley General de Pesca y Acuacultura Sustentables), Title VI, Chapter IV; Title VII, Chapter I; Title XIII, Unique Chapter; Title XIV, Chapters I, II and III. Navigation and Maritime Commerce Law (Ley de Navegación y Comercio Marítimos), Title II, Chapter I. Sea Federal Law (Ley Federal del Mar), Title I, Chapters I and III. National Waters Law (Ley de Aguas Nacionales), Title I, and Title IV, Chapter I. Foreign Investment Law (Ley de Inversión Extranjera), Title I, Chapter III. Regulations to the Fishing Law (Reglamento de la Ley de Pesca), Title I, Chapter I; Title II, Chapters I, III, IV, V, and VI: Title III, Chapters III and IV.</w:t>
      </w:r>
    </w:p>
    <w:p>
      <w:pPr>
        <w:pStyle w:val="Normal"/>
        <w:widowControl/>
        <w:rPr/>
      </w:pPr>
      <w:r>
        <w:rPr/>
        <w:t>Investment An investor of another Party or its investments may only own, directly or indirectly, up to 49 percent of the ownership interest in an enterprise established or to be established in the territory of Mexico performing coastal fishing, fresh water fishing, and fishing in the Exclusive Economic Zone, excluding aquaculture.</w:t>
      </w:r>
    </w:p>
    <w:p>
      <w:pPr>
        <w:pStyle w:val="Normal"/>
        <w:widowControl/>
        <w:rPr/>
      </w:pPr>
      <w:r>
        <w:rPr/>
        <w:t>A favorable resolution from the CNIE is required for an investor of another Party or its investments to own, directly or indirectly, more than 49 percent of the ownership interest in an enterprise established or to be established in the territory of Mexico performing fishing on the high seas.</w:t>
      </w:r>
    </w:p>
    <w:p>
      <w:pPr>
        <w:pStyle w:val="Normal"/>
        <w:widowControl/>
        <w:rPr/>
      </w:pPr>
      <w:r>
        <w:rPr/>
        <w:t>ANNEX I – MEXICO – 20 Sector: Educational Services Sub-Sector: Private schools Industry Classification: CMAP 921101 Private Pre-school Educational Services CMAP 921102 Private Primary Educational Services CMAP 921103 Private Secondary Educational Services CMAP 921104 Private High School Educational Services CMAP 921105 Private Higher Education Services CMAP 921106 Private Education Services that Combine Pre school, Primary, Secondary, High School and Higher Education Levels Obligations Concerned: National Treatment (Article 14.4) Level of Government: Central Measures: Foreign Investment Law (Ley de Inversión Extranjera), Title I, Chapter III. Law for the Coordination of Higher Education (Ley para la Coordinación de la Educación Superior), Chapter II. General Law of Education (Ley General de Educación), Chapter III. Description: Investment A favorable resolution from the CNIE is required for an investor of another Party or its investments to own, directly or indirectly, more than 49 percent of the ownership interest in an enterprise established or to be established in the territory of Mexico that provides pre-school, primary, secondary, high school, higher, and combined private educational services.</w:t>
      </w:r>
    </w:p>
    <w:p>
      <w:pPr>
        <w:pStyle w:val="Normal"/>
        <w:widowControl/>
        <w:rPr/>
      </w:pPr>
      <w:r>
        <w:rPr/>
        <w:t>ANNEX I – MEXICO – 21 Sector: Professional, Technical and Specialized Services Sub-Sector: Medical services Industry Classification: CMAP 9231 Medical, Dental and Veterinary Services provided by the Private Sector (limited to medical services) Obligations Concerned: National Treatment (Article 15.3) Level of Government: Central Measures: Federal Labor Law (Ley Federal del Trabajo), Chapter I. Description: Cross-Border Trade in Services Only a Mexican national licensed as doctor in the territory of Mexico may supply in-house medical services in Mexican enterprises.</w:t>
      </w:r>
    </w:p>
    <w:p>
      <w:pPr>
        <w:pStyle w:val="Normal"/>
        <w:widowControl/>
        <w:rPr/>
      </w:pPr>
      <w:r>
        <w:rPr/>
        <w:t>ANNEX I – MEXICO – 22 Sector: Professional, Technical and Specialized Services Sub-Sector: Specialized personnel Industry Classification: CMAP 951012 Agencies Services of Customs and Representative Obligations Concerned: National Treatment (Article 14.4 and Article 15.3) Level of Government: Central Measures: Customs Law (Ley Aduanera), Title II, Chapters I and III, and Title VII, Chapter I. Foreign Investment Law (Ley de Inversión Extranjera), Title I, Chapter II. Description: Investment and Cross-Border Trade in Services Only a Mexican national by birth may be a customs broker. Only a custom broker acting as consignee or legal representative (mandatario) of an importer or exporter, as well as a customs broker’s assignee, may carry out the formalities related to the customs clearance of the goods of such importer or exporter. An investor of another Party or its investments may not participate, directly or indirectly, in a customs broker’s agency.</w:t>
      </w:r>
    </w:p>
    <w:p>
      <w:pPr>
        <w:pStyle w:val="Normal"/>
        <w:widowControl/>
        <w:rPr/>
      </w:pPr>
      <w:r>
        <w:rPr/>
        <w:t>ANNEX I – MEXICO – 23 Sector: Professional, Technical and Specialized Services Sub-Sector: Specialized services (Commercial Notary Public) Industry Classification: Obligations Concerned: National Treatment (Article 14.4 and Article 15.3) Local Presence (Article 15.6) Level of Government: Central Measures: Commercial Notary Public Federal Law (Ley Federal de Correduría Pública), Articles 7, 8, 12 and 15. Regulations to the Commercial Notary Public Federal Law (Reglamento de la Ley Federal de Correduría Pública), Chapter I, and Chapter II, Sections I and II. Foreign Investment Law (Ley de Inversión Extranjera), Title I, Chapter II. Description: Investment and Cross-Border Trade in Services Only a Mexican national by birth may be licensed commercial notary public (corredor público). to be a A commercial notary public may not have a business affiliation with any person for the supply of commercial notary public services. A commercial notary public shall establish an place where he has been authorized to practice. office in the Only a Mexican national or a Mexican enterprise with foreigners’ exclusion clause may obtain such license.</w:t>
      </w:r>
    </w:p>
    <w:p>
      <w:pPr>
        <w:pStyle w:val="Normal"/>
        <w:widowControl/>
        <w:rPr/>
      </w:pPr>
      <w:r>
        <w:rPr/>
        <w:t>Foreign investment may not participate in commercial notary public activities and companies, directly or through trusts, agreements, social pacts, or statutory, pyramiding schemes, or other mechanism that gives it some control or participation.</w:t>
      </w:r>
    </w:p>
    <w:p>
      <w:pPr>
        <w:pStyle w:val="Normal"/>
        <w:widowControl/>
        <w:rPr/>
      </w:pPr>
      <w:r>
        <w:rPr/>
        <w:t>ANNEX I – MEXICO – 24 Sector: Sub-Sector: Industry Classification: Obligations Concerned: Level of Government: Measures: Description: Professional, Technical and Specialized Services Professional services CMAP 951002 Legal Services (including foreign legal consultancy) National Treatment (Article 14.4 and Article 15.3) Most-Favored-Nation Treatment (Article 14.5 and Article 15.4) Central Regulatory Law of Constitutional Article 5th relating to the Practice of Professions in Mexico City (Ley Reglamentaria del Artículo 5º Constitucional, relativo al Ejercicio de las Profesiones en la Ciudad de México), Chapter III, Section III, and Chapter V. Foreign Investment Law (Ley de Inversión Extranjera), Title I, Chapter III. Investment and Cross-Border Trade in Services A favorable resolution from the CNIE is required for an investor of another Party or its investments to own, directly or indirectly, more than 49 percent of the ownership interest in an enterprise established or to be established in the territory of Mexico to supply legal services.</w:t>
      </w:r>
    </w:p>
    <w:p>
      <w:pPr>
        <w:pStyle w:val="Normal"/>
        <w:widowControl/>
        <w:rPr/>
      </w:pPr>
      <w:r>
        <w:rPr/>
        <w:t>In the absence of an international agreement on the matter, the professional practice by a foreigner will be subject to reciprocity in the place of residence of the applicant and to compliance with the rest of the requirements established in Mexican laws and regulations. Except as provided for in this entry, only a lawyer licensed in Mexico may have an ownership interest in a law firm established in the territory of Mexico.</w:t>
      </w:r>
    </w:p>
    <w:p>
      <w:pPr>
        <w:pStyle w:val="Normal"/>
        <w:widowControl/>
        <w:rPr/>
      </w:pPr>
      <w:r>
        <w:rPr/>
        <w:t>A lawyer licensed to practice in another Party will be permitted to form a partnership with lawyers licensed in Mexico. The number of lawyers licensed to practice in another Party serving as partners in a firm in Mexico may not exceed the number of lawyers licensed in Mexico serving as partners of that firm. Lawyers licensed to practice in another Party may practice and provide legal consultations on Mexican law, whenever they comply with the requirements to practice as a</w:t>
      </w:r>
    </w:p>
    <w:p>
      <w:pPr>
        <w:pStyle w:val="Normal"/>
        <w:widowControl/>
        <w:rPr/>
      </w:pPr>
      <w:r>
        <w:rPr/>
        <w:t>ANNEX I – MEXICO – 25 lawyer in Mexico. A law firm established by a partnership of lawyers licensed to practice in another Party and lawyers licensed to practice in Mexico may hire lawyers licensed in Mexico as employees. For greater certainty, this entry does not apply to the supply, on a temporary fly-in, fly-out basis or through the use of web based or telecommunications technology, of legal advisory services in foreign law and international law and, in relation to foreign and international law only, legal arbitration and conciliation or mediation services by foreign lawyers.</w:t>
      </w:r>
    </w:p>
    <w:p>
      <w:pPr>
        <w:pStyle w:val="Normal"/>
        <w:widowControl/>
        <w:rPr/>
      </w:pPr>
      <w:r>
        <w:rPr/>
        <w:t>ANNEX I – MEXICO – 26 Sector: Professional, Technical and Specialized Services Sub-Sector: Professional services Industry Classification: CMAP 9510 Provision of Professional, Technical Specialized Services (limited to professional services) and Obligations Concerned: National Treatment (Article 15.3) Most-Favored-Nation Treatment (Article 15.4) Level of Government: Central Measures: Regulatory Law of Constitutional Article 5th relating to the Practice of Professions in Mexico City (Ley reglamentaria del Artículo 5º Constitucional, relativo al Ejercicio de las Profesiones en la Ciudad de México), Chapter III, Section III, and Chapter V. Regulations to the Regulatory Law of Constitutional Article 5th relating to the Practice of Professions in Mexico City (Reglamento de la Ley Reglamentaria del Artículo 5ºConstitucional, relativo al Ejercicio de las Profesiones en la Ciudad de México), Chapter III. Population General Law (Ley General de Población), Chapter III. Description: Cross-Border Trade in Services Pursuant to the relevant international treaties of which Mexico is a party, a foreigner may practice in Mexico City the professions set forth in the Regulatory Law of Constitutional th Article 5 relating to the Practice of Professions in Mexico City.</w:t>
      </w:r>
    </w:p>
    <w:p>
      <w:pPr>
        <w:pStyle w:val="Normal"/>
        <w:widowControl/>
        <w:rPr/>
      </w:pPr>
      <w:r>
        <w:rPr/>
        <w:t>In the absence of an international treaty on the matter, the professional practice by foreigners will be subject to reciprocity in the place of residence of the applicant and to compliance with the rest of the requirements established in Mexican laws and regulations.</w:t>
      </w:r>
    </w:p>
    <w:p>
      <w:pPr>
        <w:pStyle w:val="Normal"/>
        <w:widowControl/>
        <w:rPr/>
      </w:pPr>
      <w:r>
        <w:rPr/>
        <w:t>ANNEX I – MEXICO – 27 Sector: Religious Services Sub-Sector: Industry Classification: CMAP 929001 Services of Religious Organizations Obligations Concerned: Senior Management and Boards of Directors (Article 14.11) Local Presence (Article 15.6) Level of Government: Central Measures: Religious Associations and Public Worship Law (Ley de Asociaciones Religiosas y Culto Público), Title II, Chapters I and II. Description: Investment and Cross-Border Trade in Services Representatives of a religious association in Mexico must be Mexican nationals. A religious association must be an association constituted in accordance with the Religious Associations and Public Worship Law (Ley de Asociaciones Religiosas y Culto Público). A religious association must register with the Ministry of Internal Affairs (Secretaría de Gobernación). To be registered, the religious association must be established in Mexico.</w:t>
      </w:r>
    </w:p>
    <w:p>
      <w:pPr>
        <w:pStyle w:val="Normal"/>
        <w:widowControl/>
        <w:rPr/>
      </w:pPr>
      <w:r>
        <w:rPr/>
        <w:t>ANNEX I – MEXICO – 28 Sector: Agriculture Services Sub-Sector: Industry Classification: CMAP 971010 Provision of Agricultural Services Obligations Concerned: National Treatment (Article 15.3) Local Presence (Article 15.6) Level of Government: Central Measures: Political Constitution of the United Mexican States (Constitución Política de los Estados Unidos Mexicanos), Article 32. Plant Health Federal Law (Ley Federal de Sanidad Vegetal), Title II, Chapter IV. Regulations to the Phytosanitary Law of the United Mexican States (Reglamento de la Ley de Sanidad Fitopecuaria de los Estados Unidos Mexicanos), Chapter VII. Description: Cross-Border Trade in Services A concession granted by the Ministry of Agriculture, Livestock, Rural Development, Fishing, and Food (Secretaría de Agricultura, Ganadería, Desarrollo Rural, Pesca y Alimentación, SAGARPA) is required to spray pesticides. Only a Mexican national or a Mexican enterprise may obtain such a concession.</w:t>
      </w:r>
    </w:p>
    <w:p>
      <w:pPr>
        <w:pStyle w:val="Normal"/>
        <w:widowControl/>
        <w:rPr/>
      </w:pPr>
      <w:r>
        <w:rPr/>
        <w:t>ANNEX I – MEXICO – 29 Sector: Transportation Sub-Sector: Air transportation Industry Classification: CMAP 384205 Manufacture, Assembly and Repair of Aircraft (limited to repair of aircrafts) Obligations Concerned: Local Presence (Article 15.6) Level of Government: Central Measures: Civil Aviation Law (Ley de Aviación Civil), Chapter III, Section II. Civil Aviation Regulations (Reglamento de la Ley de Aviación Civil), Chapter VII. Description: Cross-Border Trade in Services A permit issued by the SCT is required to establish and operate, or operate and exploit, an aircraft repair facility and centers for teaching and training of personnel. To obtain that permission the interested party must prove that the aircraft repair facilities and centers for teaching and training of personnel have their domicile in Mexico.</w:t>
      </w:r>
    </w:p>
    <w:p>
      <w:pPr>
        <w:pStyle w:val="Normal"/>
        <w:widowControl/>
        <w:rPr/>
      </w:pPr>
      <w:r>
        <w:rPr/>
        <w:t>ANNEX I – MEXICO – 30 Sector: Sub-Sector: Industry Classification: Obligations Concerned: Level of Government: Measures: Description: Transportation Air transportation CMAP 973302 Airport and Heliport Management Services National Treatment (Article 14.4) Local Presence (Article 15.6) Central Political Constitution of the United Mexican States (Constitución Política de los Estados Unidos Mexicanos), Article 32. General Means of Communication Law (Ley de Vías Generales de Comunicación), Book I, Chapters I, II and III. Foreign Investment Law (Ley de Inversión Extranjera), Title I, Chapter III. Civil Aviation Law (Ley de Aviación Civil), Chapters I and IV. Airports Law (Ley de Aeropuertos), Chapter III Regulations to the Airports Law (Reglamento de la Ley de Aeropuertos), Title II, Chapters I, II and III. Investment and Cross-Border Trade in Services A concession granted by the SCT is required to construct and operate, or operate, airports and heliports. Only a Mexican enterprise may obtain such a concession.</w:t>
      </w:r>
    </w:p>
    <w:p>
      <w:pPr>
        <w:pStyle w:val="Normal"/>
        <w:widowControl/>
        <w:rPr/>
      </w:pPr>
      <w:r>
        <w:rPr/>
        <w:t>A favorable resolution from the CNIE is required for an investor of another Party or its investments to own, directly or indirectly, more than 49 percent of the ownership interest in an enterprise established or to be established in the territory of Mexico that is a concessionaire or permissionaire of airfields for public service.</w:t>
      </w:r>
    </w:p>
    <w:p>
      <w:pPr>
        <w:pStyle w:val="Normal"/>
        <w:widowControl/>
        <w:rPr/>
      </w:pPr>
      <w:r>
        <w:rPr/>
        <w:t>When deciding, the CNIE will consider that the national and technological development be favored, and that the sovereign integrity of the Nation be protected.</w:t>
      </w:r>
    </w:p>
    <w:p>
      <w:pPr>
        <w:pStyle w:val="Normal"/>
        <w:widowControl/>
        <w:rPr/>
      </w:pPr>
      <w:r>
        <w:rPr/>
        <w:t>ANNEX I – MEXICO – 31 Sector: Transportation Sub-Sector: Air transportation Industry Classification: CMAP 713001 Scheduled Air Transport Services Domestically Registered Aircraft CMAP 713002 Non-Scheduled Air Transport (Air Taxis) Specialty air services on Obligations Concerned: National Treatment (Article 14.4) Senior Management and Boards of Directors (Article 14.11) Level of Government: Central Measures: Civil Aviation Law (Ley de Aviación Civil), Chapters IX and X Regulations to the Civil Aviation Law (Reglamento de la Ley de Aviación Civil), Title II, Chapter I. Foreign Investment Law (Ley de Inversión Extranjera), Title I, Chapter III. As qualified by the Description element. Description: Investment An investor of another Party or its investments may only own, directly or indirectly, up to 49 percent of the voting interests in an enterprise established or to be established in the territory of Mexico that supplies a scheduled and non-scheduled domestic air transport service, a non-scheduled international air transport service in the modality of air taxi, or a specialty air service. The chairman and at least two-thirds of the boards of directors and two-thirds of the managing officers of such an enterprise must be Mexican nationals.</w:t>
      </w:r>
    </w:p>
    <w:p>
      <w:pPr>
        <w:pStyle w:val="Normal"/>
        <w:widowControl/>
        <w:rPr/>
      </w:pPr>
      <w:r>
        <w:rPr/>
        <w:t>Only a Mexican national or a Mexican enterprise in which 51 percent of the voting interest is owned or controlled by Mexican nationals and of which the chairman and at least two- thirds of the managing officers are Mexican nationals, may register an aircraft in Mexico.</w:t>
      </w:r>
    </w:p>
    <w:p>
      <w:pPr>
        <w:pStyle w:val="Normal"/>
        <w:widowControl/>
        <w:rPr/>
      </w:pPr>
      <w:r>
        <w:rPr/>
        <w:t>ANNEX I – MEXICO – 32 Sector: Transportation Sub-Sector: Specialty air services Industry Classification: Obligations Concerned: Local Presence (Article 15.6) Level of Government: Central Measures: General Means of Communications Law (Ley de Vías Generales de Comunicación), Book I, Chapter III. Civil Aviation Law (Ley de Aviación Civil), Chapters I, II, IV and IX. As qualified by the Description element Description: Cross Border Trade in Services A permit issued by the SCT is required to provide all specialty air services in the territory of Mexico. Such a permit may only be granted when the person interested in the supply of these services has a domicile in the territory of Mexico.</w:t>
      </w:r>
    </w:p>
    <w:p>
      <w:pPr>
        <w:pStyle w:val="Normal"/>
        <w:widowControl/>
        <w:rPr/>
      </w:pPr>
      <w:r>
        <w:rPr/>
        <w:t>ANNEX I – MEXICO – 33 Sector: Transportation Sub-Sector: Water transportation Industry Classification: CMAP 973203 Maritime Port Administration, Lake and Rivers Obligations Concerned: National Treatment (Article 14.4) Level of Government: Central Measures: Ports Law (Ley de Puertos), Chapters IV and V Regulations to the Ports Law (Reglamento de la Ley de Puertos) Title I, Chapters I and VI Foreign Investment Law (Ley de Inversión Extranjera), Title I, Chapter III Description: Investment An investor of another Party or its investments may only own, directly or indirectly, up to 49 percent of the ownership interest of a Mexican enterprise authorized to act as an integral port administrator.</w:t>
      </w:r>
    </w:p>
    <w:p>
      <w:pPr>
        <w:pStyle w:val="Normal"/>
        <w:widowControl/>
        <w:rPr/>
      </w:pPr>
      <w:r>
        <w:rPr/>
        <w:t>ANNEX I – MEXICO – 34 Sector: Transportation Sub-Sector: Water transportation Industry Classification: CMAP 384201 Manufacture and Repair of Vessels Obligations Concerned: National Treatment (Article 15.3) Local Presence (Article 15.6) Level of Government: Central Measures: Political Constitution of the United Mexican States (Constitución Política de los Estados Unidos Mexicanos), Article 32. General Means of Communication Law (Ley de Vías Generales de Comunicación), Book I, Chapters I, II and III. Navigation and Maritime Commerce Law (Ley de Navegación y Comercio Marítimos), Title I, Chapter II. Ports Law (Ley de Puertos), Chapter IV. Description: Cross-Border Trade in Services A concession granted by the SCT is required to establish and operate, or operate, a shipyard. Only a Mexican national or a Mexican enterprise may obtain such a concession.</w:t>
      </w:r>
    </w:p>
    <w:p>
      <w:pPr>
        <w:pStyle w:val="Normal"/>
        <w:widowControl/>
        <w:rPr/>
      </w:pPr>
      <w:r>
        <w:rPr/>
        <w:t>ANNEX I – MEXICO – 35 Sector: Sub-Sector: Industry Classification: Obligations Concerned: Level of Government: Measures: Description: Transportation Water transportation CMAP 973201 Water Transport Loading and Unloading Services (includes operation and maintenance of docks; loading and unloading of vessels at shore-side; marine cargo handling; operation and maintenance of piers; ship and boat cleaning; stevedoring; transfer of cargo between ships and trucks, trains, pipelines and wharves; waterfront terminal operations) National Treatment (Article 14.4 and Article 15.3) Local Presence (Article 15.6) Central Political Constitution of the United Mexican States (Constitución Política de los Estados Unidos Mexicanos), Article 32. Navigation and Maritime Commerce Law (Ley de Navegación y Comercio Marítimos), Title I, Chapter II, and Title II, Chapters IV and V. Ports Law (Ley de Puertos), Chapters II, IV and VI. General Means of Communication Law (Ley de Vías Generales de Comunicación), Book I, Chapters I, II and III. Regulations to the Use and Enjoyment of the Territorial Sea, Water Ways, Beaches, Relevant Federal Coastal Zone and Lands Gained to the Sea (Reglamento para el Uso y Aprovechamiento del Mar Territorial, Vías Navegables, Playas, Zona Federal Marítimo Terrestre y Terrenos Ganados al Mar), Chapter II, Section II. As qualified by the Description element.</w:t>
      </w:r>
    </w:p>
    <w:p>
      <w:pPr>
        <w:pStyle w:val="Normal"/>
        <w:widowControl/>
        <w:rPr/>
      </w:pPr>
      <w:r>
        <w:rPr/>
        <w:t>Investment and Cross-Border Trade in Services A favorable resolution from the CNIE is required for an investor of another Party or its investments to own, directly or indirectly, more than 49 percent of the ownership interest in an enterprise, established or to be established in the territory of Mexico supplying port services to vessels for inland navigation such as towing, mooring, and tendering. A concession granted by the SCT is required to build and operate, or operate, maritime and inland port terminals, including docks, cranes, and related facilities. Only a Mexican national and a Mexican enterprise may obtain such a concession.</w:t>
      </w:r>
    </w:p>
    <w:p>
      <w:pPr>
        <w:pStyle w:val="Normal"/>
        <w:widowControl/>
        <w:rPr/>
      </w:pPr>
      <w:r>
        <w:rPr/>
        <w:t>ANNEX I – MEXICO – 36 A permit issued by the SCT is required to supply stevedoring and warehousing services. Only a Mexican national or a Mexican enterprise may obtain such a permit.</w:t>
      </w:r>
    </w:p>
    <w:p>
      <w:pPr>
        <w:pStyle w:val="Normal"/>
        <w:widowControl/>
        <w:rPr/>
      </w:pPr>
      <w:r>
        <w:rPr/>
        <w:t>ANNEX I – MEXICO – 37 Sector: Transportation Sub-Sector: Water transportation Industry Classification: CMAP 973203 Maritime and Inland (Lake and Rivers Ports Administration) Obligations Concerned: National Treatment (Article 14.4) Level of Government: Central Measures: Navigation and Maritime Commerce Law (Ley de Navegación y Comercio Marítimos), Title III, Chapter III. Foreign Investment Law (Ley de Inversión Extranjera), Title I, Chapter III. Ports Law (Ley de Puertos), Chapters IV and VI. Description: Investment An investor of another Party or its investments may only participate, directly or indirectly, up to 49 percent in Mexican enterprises engaged in the supply of piloting port services to vessels operating in inland navigation.</w:t>
      </w:r>
    </w:p>
    <w:p>
      <w:pPr>
        <w:pStyle w:val="Normal"/>
        <w:widowControl/>
        <w:rPr/>
      </w:pPr>
      <w:r>
        <w:rPr/>
        <w:t>ANNEX I – MEXICO – 38 Sector: Sub-Sector: Industry Classification: Obligations Concerned: Level of Government: Measures: Description: Transportation Water transportation CMAP 712011 International Maritime Transportation Services CMAP 712012 Cabotage Maritime Services CMAP 712013 International and Cabotage Towing Services CMAP 712021 River and Lake Transportation Services CMAP 712022 Internal Port Water Transportation Services National Treatment (Article 14.4 and Article 15.3) Most-Favored-Nation Treatment (Article 14.5 and Article 15.4) Central Navigation and Maritime Commerce Law (Ley de Navegación y Comercio Marítimos), Title III, Chapter I. Foreign Investment Law (Ley de Inversión Extranjera), Title I, Chapter III. Economic Competition Federal Law (Ley Federal de Competencia Económica), Chapter IV. As qualified by the Description element. Investment and Cross-Border Trade in Services The operation or exploitation of high-seas navigation vessels, including transport and international towing services, is open to ship-owners and vessels of all countries, on the basis of reciprocity according to international treaties.</w:t>
      </w:r>
    </w:p>
    <w:p>
      <w:pPr>
        <w:pStyle w:val="Normal"/>
        <w:widowControl/>
        <w:rPr/>
      </w:pPr>
      <w:r>
        <w:rPr/>
        <w:t>With the prior opinion of the Federal Competition Commission (Comisión Federal de Competencia Económica, COFECE), SCT may reserve, totally or partially, certain international high-seas freight transportation services, which could only be carried out by Mexican shipping enterprises with Mexican-flagged vessels or vessels reputed as such when the principles of free competition are not respected or the national economy is affected. For greater certainty the previous sentence does not apply to Canada. The operation and exploitation of cabotage and inland navigation is reserved for Mexican ship-owners with Mexican vessels. When Mexican vessels are not appropriate and available with the same technical conditions, or it is required by the public interest, the SCT may provide temporary navigation permits to operate and exploit to Mexican ship-owners with a foreign vessel in accordance with the following priorities:</w:t>
      </w:r>
    </w:p>
    <w:p>
      <w:pPr>
        <w:pStyle w:val="Normal"/>
        <w:widowControl/>
        <w:rPr/>
      </w:pPr>
      <w:r>
        <w:rPr/>
        <w:t>ANNEX I – MEXICO – 39 (a) Mexican ship-owner with a foreign vessel under a bareboat charter party; and (b) Mexican ship-owner with a foreign vessel under any type of charter party. The operation and exploitation in inland navigation and cabotage of tourist cruises as well as dredges and maritime devices for the construction, preservation, and operation of ports may be carried out by Mexican or foreign shipping enterprises using Mexican or foreign vessels or maritime devices, on the basis of reciprocity with a Party, endeavoring to give priority to Mexican enterprises and complying with applicable laws. With the prior opinion of the COFECE, the SCT may resolve that totally or partially, certain cabotage or high-seas navigation could only be carried by Mexican shipping enterprises with Mexican vessels or reputed as such in the absence of conditions of effective competition on the relevant market as per the terms of the Economic Competition Federal Law.</w:t>
      </w:r>
    </w:p>
    <w:p>
      <w:pPr>
        <w:pStyle w:val="Normal"/>
        <w:widowControl/>
        <w:rPr/>
      </w:pPr>
      <w:r>
        <w:rPr/>
        <w:t>An investor of another Party or its investments may only own, directly or indirectly, up to 49 percent of the ownership interest in a Mexican shipping enterprise or Mexican vessels, established or to be established in the territory of Mexico, which is engaged in the commercial exploitation of vessels for inland and cabotage navigation, excluding tourism cruises and exploitation of dredges and maritime devices for the construction, preservation, and operation of ports.</w:t>
      </w:r>
    </w:p>
    <w:p>
      <w:pPr>
        <w:pStyle w:val="Normal"/>
        <w:widowControl/>
        <w:rPr/>
      </w:pPr>
      <w:r>
        <w:rPr/>
        <w:t>A favorable resolution from the CNIE is required for an investor of another Party or its investments to own, directly or indirectly, more than 49 percent of the ownership interest in an enterprise established or to be established in the territory of Mexico engaged in high-seas navigation services and port towing services.</w:t>
      </w:r>
    </w:p>
    <w:p>
      <w:pPr>
        <w:pStyle w:val="Normal"/>
        <w:widowControl/>
        <w:rPr/>
      </w:pPr>
      <w:r>
        <w:rPr/>
        <w:t>ANNEX I – MEXICO – 40 Sector: Transportation Sub-Sector: Non-energy pipelines Industry Classification: Obligations Concerned: National Treatment (Article 15.3) Local Presence (Article 15.6) Level of Government: Central Measures: Political Constitution of the United Mexican States (Constitución Política de los Estados Unidos Mexicanos), Article 32. General Means of Communication Law (Ley de Vías Generales de Comunicación), Book I, Chapters I, II and III. National Waters Law (Ley de Aguas Nacionales), Title I, Chapter II, and Title IV, Chapter II. Description: Cross-Border Trade in Services A concession granted by the SCT is required to construct and operate, or operate, pipelines carrying goods other than energy or basic petrochemicals. Only a Mexican national or a Mexican enterprise may obtain such a concession.</w:t>
      </w:r>
    </w:p>
    <w:p>
      <w:pPr>
        <w:pStyle w:val="Normal"/>
        <w:widowControl/>
        <w:rPr/>
      </w:pPr>
      <w:r>
        <w:rPr/>
        <w:t>ANNEX I – MEXICO – 41 Sector: Sub-Sector: Industry Classification: Obligations Concerned: Level of Government: Measures: Description: Transportation Railway transportation services CMAP 711101 Railway Transport Services National Treatment (Article 14.4 and Article15.3) Local Presence (Article 15.6) Central Foreign Investment Law (Ley de Inversión Extranjera), Title I, Chapter III. Regulatory Law of the Railway Service (Ley Reglamentaria del Servicio Ferroviario) Chapters I and II, Section III. Regulations to the Railway Service (Reglamento del Servicio Ferroviario), Title I, Chapters I, II and III, Title II, Chapters I and IV, and Title III, Chapter I, Sections I and II. Investment and Cross-Border Trade in Services A favorable resolution from the CNIE is required for an investor of another Party or its investments to participate, directly or indirectly, in more than 49 percent of the ownership interest of an enterprise established or to be established in the territory of Mexico engaged in the construction, operation, and exploitation of railroads deemed general means of communication, or in the supply of railway transportation public service.</w:t>
      </w:r>
    </w:p>
    <w:p>
      <w:pPr>
        <w:pStyle w:val="Normal"/>
        <w:widowControl/>
        <w:rPr/>
      </w:pPr>
      <w:r>
        <w:rPr/>
        <w:t>When deciding, the CNIE will consider that the national and technological development be favored, and that the sovereign integrity of the Nation be protected. A concession granted by the SCT is required to build, operate and exploit railway transportation services and to provide railway transportation public service.</w:t>
      </w:r>
    </w:p>
    <w:p>
      <w:pPr>
        <w:pStyle w:val="Normal"/>
        <w:widowControl/>
        <w:rPr/>
      </w:pPr>
      <w:r>
        <w:rPr/>
        <w:t>Only a Mexican enterprise may obtain such a concession. A permit issued by the SCT is required to provide auxiliary services; the construction of entry and exit facilities, crossings, and marginal facilities in the right of way; the installation of advertisements and publicity signs in the right of way; and the construction and operation of bridges over railway lines. Only a Mexican national or a Mexican enterprise may obtain such a permit.</w:t>
      </w:r>
    </w:p>
    <w:p>
      <w:pPr>
        <w:pStyle w:val="Normal"/>
        <w:widowControl/>
        <w:rPr/>
      </w:pPr>
      <w:r>
        <w:rPr/>
        <w:t>ANNEX I – MEXICO – 42 Sector: Transportation Sub-Sector: Land transportation Industry Classification: CMAP 973101 Management Services of Passenger Bus Terminals and Auxiliary Services (limited to main bus and truck terminals and bus and truck stations) Obligations Concerned: National Treatment (Article 14.4) Most-Favored-Nation Treatment (Article 15.4) Local Presence (Article 15.6) Level of Government: Central Measures: Roads, Bridges and Federal Road Transport Law (Ley de Caminos, Puentes y Autotransporte Federal), Title I, Chapter III. Regulations to the Enjoyment of the Right of Way of the Federal Roads and Surrounding Zones (Reglamento para el Aprovechamiento del Derecho de Vía de las Carreteras Federales y Zonas Aledañas), Chapters II and IV. Regulations to the Federal Road Transport and Auxiliary Services (Reglamento de Autotransporte Federal y Servicios Auxiliares), Chapter I. Description: Cross-Border Trade in Services A permit issued by the SCT is required to establish, or operate, a bus or truck station or terminal. Only a Mexican national or a Mexican enterprise may obtain such a permit. To obtain such permit the interested party must prove that it has its domicile in Mexico.</w:t>
      </w:r>
    </w:p>
    <w:p>
      <w:pPr>
        <w:pStyle w:val="Normal"/>
        <w:widowControl/>
        <w:rPr/>
      </w:pPr>
      <w:r>
        <w:rPr/>
        <w:t>ANNEX I – MEXICO – 43 Sector: Transportation Sub-Sector: Land transportation Industry Classification: CMAP 973102 Management Services of Roads, Bridges and Auxiliary Services Obligations Concerned: National Treatment (Article 15.3) Local Presence (Article 15.6) Level of Government: Central Measures: Political Constitution of the United Mexican States (Constitución Política de los Estados Unidos Mexicanos), Article 32. Roads, Bridges and Federal Road Transport Law (Ley de Caminos, Puentes y Autotransporte Federal), Title I, Chapter III. Regulations to the Federal Road Transport and Auxiliary Services (Reglamento de Autotransporte Federal y Servicios Auxiliares), Chapters I and V. Description: Cross-Border Trade in Services A permit granted by the SCT is required to provide auxiliary services to federal road transportation. Only a Mexican national or a Mexican enterprise may obtain such a permit. For greater certainty, auxiliary services are not part of federal road transportation of passengers, tourism, or cargo, but they complement their operation and exploitation.</w:t>
      </w:r>
    </w:p>
    <w:p>
      <w:pPr>
        <w:pStyle w:val="Normal"/>
        <w:widowControl/>
        <w:rPr/>
      </w:pPr>
      <w:r>
        <w:rPr/>
        <w:t>ANNEX I – MEXICO – 44 Sector: Sub-Sector: Industry Classification: Obligations Concerned: Level of Government: Measures: Description: Transportation Land transportation CMAP 711201 Construction Materials Transport Services CMAP 711202 Moving Services CMAP 711203 Other Specialized Freight Transport Services CMAP 711204 General Freight Transport Services CMAP 711311 Long-Distance Passenger Bus and Coach Transport Services CMAP 711318 School and Tourist Transport Services (limited to tourist transport services) CMAP 720002 Courier services National Treatment (Article 14.4 and Article 15.3) Local Presence (Article 15.6) Central Foreign Investment Law (Ley de Inversión Extranjera), Title I, Chapter II. Roads, Bridges and Federal Road Transport Law (Ley de Caminos, Puentes y Autotransporte Federal), Title I, Chapter I and III. Regulations to the Federal Road Transport and Auxiliary Services (Reglamento de Autotransporte Federal y Servicios Auxiliares), Chapter I. As qualified by the Description element.</w:t>
      </w:r>
    </w:p>
    <w:p>
      <w:pPr>
        <w:pStyle w:val="Normal"/>
        <w:widowControl/>
        <w:rPr/>
      </w:pPr>
      <w:r>
        <w:rPr/>
        <w:t>Investment and Cross-Border Trade in Services An investor of another Party or its investments may not own, directly or indirectly, an ownership interest in an enterprise established or to be established in the territory of Mexico, engaged in transportation services of domestic cargo between points in the territory of Mexico, except for parcel and courier services. A permit issued by the SCT is required to supply a road transportation service of cargo, passengers, or tourism.</w:t>
      </w:r>
    </w:p>
    <w:p>
      <w:pPr>
        <w:pStyle w:val="Normal"/>
        <w:widowControl/>
        <w:rPr/>
      </w:pPr>
      <w:r>
        <w:rPr/>
        <w:t>An investor of another Party or its investments may own up to 100 percent of the ownership interest in an enterprise established or to be established in the territory of Mexico to supply an inter-city bus service, a tourist transportation service or a road transportation service of international cargo between points in the territory of Mexico.</w:t>
      </w:r>
    </w:p>
    <w:p>
      <w:pPr>
        <w:pStyle w:val="Normal"/>
        <w:widowControl/>
        <w:rPr/>
      </w:pPr>
      <w:r>
        <w:rPr/>
        <w:t>ANNEX I – MEXICO – 45 Only a Mexican national or a Mexican enterprise with a foreigners’ exclusion clause, using Mexican registered equipment that is Mexican-built or legally imported, and drivers who are Mexican nationals, may supply a road transportation service of domestic cargo services between points in the territory of Mexico. A permit issued by the SCT is required to supply parcel and courier services. Only a Mexican national and a Mexican enterprise may supply such services.</w:t>
      </w:r>
    </w:p>
    <w:p>
      <w:pPr>
        <w:pStyle w:val="Normal"/>
        <w:widowControl/>
        <w:rPr/>
      </w:pPr>
      <w:r>
        <w:rPr/>
        <w:t>ANNEX I – MEXICO – 46 Sector: Transportation Sub-Sector: Railway transportation services Industry Classification: CMAP 711101 Transport Services Via Railway (limited to railway crew) Obligations Concerned: National Treatment (Article 15.3) Level of Government: Central Measures: Federal Labor Law (Ley Federal del Trabajo), Title VI, Chapter V. Description: Cross-Border Trade in Services Railway crew members must be Mexican nationals.</w:t>
      </w:r>
    </w:p>
    <w:p>
      <w:pPr>
        <w:pStyle w:val="Normal"/>
        <w:widowControl/>
        <w:rPr/>
      </w:pPr>
      <w:r>
        <w:rPr/>
        <w:t>ANNEX I – MEXICO – 47 Sector: Transportation Sub-Sector: Land transportation Industry Classification: CMAP 711312 Urban and Suburban Passenger Bus and Coach Transport Services CMAP 711315 Motor Vehicle Taxi Transport Services CMAP 711316 Motor Vehicle Fixed Route Transport Services CMAP 711317 Transport Services in Motor Vehicles from Taxi-Ranks CMAP 711318 School and Tourist Transport Services (limited to school transport services) Obligations Concerned: National Treatment (Article 14.4 and Article15.3) Level of Government: Central Measures: Foreign Investment Law (Ley de Inversión Extranjera), Title I, Chapter II. General Means of Communication Law (Ley de Vías Generales de Comunicación), Book I, Chapters I and II. Roads, Bridges and Federal Road Transport Law (Ley de Caminos, Puentes y Autotransporte Federal), Title I, Chapter III. Regulations to the Federal Road Transport and Auxiliary Services (Reglamento de Autotransporte Federal y Servicios Auxiliares), Chapter I. Description: Investment and Cross-Border Trade in Services Only a Mexican national or a Mexican enterprise with a foreigners’ exclusion clause may supply local urban and suburban passenger bus services, school bus services, and taxi and other collective transportation services.</w:t>
      </w:r>
    </w:p>
    <w:p>
      <w:pPr>
        <w:pStyle w:val="Normal"/>
        <w:widowControl/>
        <w:rPr/>
      </w:pPr>
      <w:r>
        <w:rPr/>
        <w:t>ANNEX I – MEXICO – 48 Sector: Communications Sub-Sector: Entertainment services (Cinema) Industry Classification: CMAP 941103 Private Exhibition of Films Obligations Concerned: Most-Favored-Nation Treatment (Article 14.5 and Article 15.4) National Treatment (Article 15.3) Level of Government: Central Measures: Federal Cinematography Law (Ley Federal de Cinematografía), Chapter III. Regulations to the Federal Cinematography Law (Reglamento de la Ley Federal de Cinematografía), Chapter V. Description: Investment and Cross-Border Trade in Services Exhibitors shall reserve 10 percent of the total screen time to the projection of national films.</w:t>
      </w:r>
    </w:p>
    <w:p>
      <w:pPr>
        <w:pStyle w:val="Normal"/>
        <w:widowControl/>
        <w:rPr/>
      </w:pPr>
      <w:r>
        <w:rPr/>
        <w:t>ANNEX I – MEXICO – 49 Sector: All Sub-Sector: Industry Classification: Obligations Concerned: National Treatment (Article 14.4 and Article 15.3) Most-Favored-Nation Treatment (Article 14.5 and Article 15.4) Performance Requirements (Article 14.10) Senior Management and Boards of Directors (Article 14.11) Local Presence (Article 15.6) Level of Government: Regional Measures: All existing non-conforming measures of all states of the United Mexican States. Description: Investment and Cross-Border Trade in Services</w:t>
      </w:r>
    </w:p>
    <w:p>
      <w:bookmarkStart w:id="1647" w:name="_NAESTMA_TOC_1647"/>
      <w:pPr>
        <w:pStyle w:val="Heading1"/>
        <w:keepNext/>
        <w:pageBreakBefore/>
        <w:widowControl/>
        <w:rPr/>
      </w:pPr>
      <w:bookmarkStart w:id="266" w:name="_Toc237912747"/>
      <w:r>
        <w:rPr/>
        <w:t>ANNEX I – MEXICO – 50</w:t>
      </w:r>
      <w:bookmarkEnd w:id="266"/>
      <w:bookmarkEnd w:id="1647"/>
    </w:p>
    <w:p>
      <w:pPr>
        <w:pStyle w:val="Normal"/>
        <w:widowControl/>
        <w:rPr/>
      </w:pPr>
      <w:r>
        <w:rPr/>
        <w:t>ANNEX I INTRODUCTORY NOTE 1. Description provides a general, nonbinding description of the measure for which the entry is made. 2. In accordance with Articles 14.12 (Non-Conforming Measures) and 15.7 (Non- Conforming Measures), the articles of this Agreement specified in the Obligations Concerned element of an entry do not apply to the non-conforming aspects of the law, regulation, or other measure identified in the Measures element of that entry.</w:t>
      </w:r>
    </w:p>
    <w:p>
      <w:bookmarkStart w:id="1648" w:name="_NAESTMA_TOC_1648"/>
      <w:pPr>
        <w:pStyle w:val="Heading1"/>
        <w:keepNext/>
        <w:pageBreakBefore/>
        <w:widowControl/>
        <w:rPr/>
      </w:pPr>
      <w:bookmarkStart w:id="267" w:name="_Toc237912748"/>
      <w:r>
        <w:rPr/>
        <w:t>ANNEX I – UNITED STATES – 1</w:t>
      </w:r>
      <w:bookmarkEnd w:id="267"/>
      <w:bookmarkEnd w:id="1648"/>
    </w:p>
    <w:p>
      <w:pPr>
        <w:pStyle w:val="Normal"/>
        <w:widowControl/>
        <w:rPr/>
      </w:pPr>
      <w:r>
        <w:rPr/>
        <w:t>ANNEX I SCHEDULE OF THE UNITED STATES Sector: Atomic Energy Sub-Sector: Obligations Concerned: National Treatment (Article 14.4) Level of Government: Central Measures: Atomic Energy Act of 1954, 42 U.S.C. §§ 2011 et seq. Description: Investment A license issued by the United States Nuclear Regulatory Commission is required for any person in the United States to transfer or receive in interstate commerce, manufacture, produce, transfer, use, import, or export any nuclear “utilization or production facilities” for commercial or industrial purposes. Such a license may not be issued to any entity known or believed to be owned, controlled, or dominated by an alien, a foreign corporation, or a foreign government (42 U.S.C. § 2133(d)). A license issued by the United States Nuclear Regulatory Commission is also required for nuclear “utilization and production facilities”, for use in medical therapy, or for research and development activities. The issuance of such a license to any entity known or believed to be owned, controlled, or dominated by an alien, a foreign corporation, or a foreign government is also prohibited (42 U.S.C. § 2134(d)).</w:t>
      </w:r>
    </w:p>
    <w:p>
      <w:pPr>
        <w:pStyle w:val="Normal"/>
        <w:widowControl/>
        <w:rPr/>
      </w:pPr>
      <w:r>
        <w:rPr/>
        <w:t>ANNEX I – UNITED STATES – 2 Sector: Sub-Sector: Obligations Concerned: Level of Government: Measures: Description: Business Services National Treatment (Article 15.3) Local Presence (Article 15.6) Central Export Trading Company Act of 1982, 15 U.S.C. §§ 4011-4021 Export Trade Certificates of Review, 15 C.F.R. Part 325 Cross-Border Trade in Services Title III of the Export Trading Company Act of 1982 authorizes the Secretary of Commerce to issue “certificates of review” with respect to export conduct. The Act provides for the issuance of a certificate of review where the Secretary determines, and the Attorney General concurs, that the export conduct specified in an application will not have the anticompetitive effects proscribed by the Act. A certificate of review limits the liability under federal and state antitrust laws in engaging in the export conduct certified. Only a “person” as defined by the Act can apply for a certificate of review.</w:t>
      </w:r>
    </w:p>
    <w:p>
      <w:pPr>
        <w:pStyle w:val="Normal"/>
        <w:widowControl/>
        <w:rPr/>
      </w:pPr>
      <w:r>
        <w:rPr/>
        <w:t>“</w:t>
      </w:r>
      <w:r>
        <w:rPr/>
        <w:t>Person” means “an individual who is a resident of the United States; a partnership that is created under and exists pursuant to the laws of any State or of the United States; a State or local government entity; a corporation, whether organized as a profit or nonprofit corporation, that is created under and exists pursuant to the laws of any State or of the United States; or any association or combination, by contract or other arrangement, between such persons”.</w:t>
      </w:r>
    </w:p>
    <w:p>
      <w:pPr>
        <w:pStyle w:val="Normal"/>
        <w:widowControl/>
        <w:rPr/>
      </w:pPr>
      <w:r>
        <w:rPr/>
        <w:t>A foreign national or enterprise may receive the protection provided by a certificate of review by becoming a “member” of a qualified applicant. The regulations define “member” to mean “an entity (U.S. or foreign) that is seeking protection under the certificate with the applicant. A member may be a partner in a partnership or a joint venture; a shareholder of a corporation; or a participant in an association, cooperative, or other form of profit or nonprofit organization or relationship, by contract or other arrangement”.</w:t>
      </w:r>
    </w:p>
    <w:p>
      <w:pPr>
        <w:pStyle w:val="Normal"/>
        <w:widowControl/>
        <w:rPr/>
      </w:pPr>
      <w:r>
        <w:rPr/>
        <w:t>ANNEX I – UNITED STATES – 3 Sector: Business Services Sub-Sector: Obligations Concerned: National Treatment (Article 15.3) Local Presence (Article 15.6) Level of Government: Central Measures: Export Administration Act of 1979, as amended, 50 U.S.C. App. §§ 2401-2420 International Emergency Economic Powers Act, 50 U.S.C. §§ 1701-1706 Export Administration Regulations, 15 C.F.R. Parts 730-774 Export Control Reform Act of 2018, Pub. L. 115-232, Title 17, subtitle B, 132 Stat. 2208 (2018) Description: Cross-Border Trade in Services Certain exports and re-exports of commodities, software, and technology subject to the Export Administration Regulations require a license from the Bureau of Industry and Security, U.S. Department of Commerce (BIS). Certain activities of U.S. persons, wherever located, also require a license from BIS. An application for a license must be made by a person in the United States. In addition, release of controlled technology to a foreign national in the United States is deemed to be an export to the home country of the foreign national and requires the same written authorization from BIS as an export from the territory of the United States.</w:t>
      </w:r>
    </w:p>
    <w:p>
      <w:pPr>
        <w:pStyle w:val="Normal"/>
        <w:widowControl/>
        <w:rPr/>
      </w:pPr>
      <w:r>
        <w:rPr/>
        <w:t>ANNEX I – UNITED STATES – 4 Sector: Sub-Sector: Obligations Concerned: Level of Government: Measures: Description: Mining National Treatment (Article 14.4) Most-Favored-Nation Treatment (Article 14.5) Central Mineral Lands Leasing Act of 1920, 30 U.S.C. Chapter 3A 10 U.S.C. § 7435 Investment Under the Mineral Lands Leasing Act of 1920, aliens and foreign corporations may not acquire rights-of-way for oil or gas pipelines, or pipelines carrying products refined from oil and gas, across on shore federal lands or acquire leases or interests in certain minerals on on-shore federal lands, such as coal or oil. Non-U.S. citizens may own a 100 percent interest in a domestic corporation that acquires a right-of-way for oil or gas pipelines across on-shore federal lands, or that acquires a lease to develop mineral resources on on-shore federal lands, unless the foreign investor’s home country denies similar or like privileges for the mineral or access in question to U.S. citizens or corporations, as compared with the privileges it accords to its own citizens or corporations or to the citizens or corporations of other countries (30 U.S.C. §§ 181, 185(a)). Nationalization is not considered to be denial of similar or like privileges.</w:t>
      </w:r>
    </w:p>
    <w:p>
      <w:pPr>
        <w:pStyle w:val="Normal"/>
        <w:widowControl/>
        <w:rPr/>
      </w:pPr>
      <w:r>
        <w:rPr/>
        <w:t>Foreign citizens, or corporations controlled by them, are restricted from obtaining access to federal leases on Naval Petroleum Reserves if the laws, customs, or regulations of their country deny the privilege of leasing public lands to citizens or corporations of the United States (10 U.S.C. § 7435).</w:t>
      </w:r>
    </w:p>
    <w:p>
      <w:pPr>
        <w:pStyle w:val="Normal"/>
        <w:widowControl/>
        <w:rPr/>
      </w:pPr>
      <w:r>
        <w:rPr/>
        <w:t>ANNEX I – UNITED STATES – 5 Sector: Sub-Sector: Obligations Concerned: Level of Government: Measures: Description: All Sectors National Treatment (Article 14.4) Most-Favored-Nation Treatment (Article 14.5) Central 22 U.S.C. §§ 2194 and 2198(c) Investment Overseas Private Investment Corporation (OPIC) programs are not available to non-U.S. citizens as individuals. The availability of these programs to foreign enterprises and foreign owned or controlled domestic enterprises depends upon the extent of U.S. ownership or other U.S. participation, as well as the form of business organization. OPIC insurance and loan guaranties are available only to eligible investors, which are: (i) United States citizens; (ii) corporations, partnerships, or other associations, including non-profit associations, created under the laws of the United States, any state or territory thereof, or the District of Columbia, and substantially beneficially owned by United States citizens; and (iii) foreign partnerships or associations 100 percent owned, or foreign corporations at least 95 percent owned, by one or more such United States citizens, corporations, partnerships, or associations.</w:t>
      </w:r>
    </w:p>
    <w:p>
      <w:pPr>
        <w:pStyle w:val="Normal"/>
        <w:widowControl/>
        <w:rPr/>
      </w:pPr>
      <w:r>
        <w:rPr/>
        <w:t>OPIC may issue insurance to investors not otherwise eligible in connection with arrangements with foreign governments (including agencies, instrumentalities, or political subdivisions thereof) or with multilateral organizations and institutions, such as the Multilateral Investment Guarantee Agency, for sharing liabilities assumed under such investment insurance, except that the maximum share of liabilities so assumed may not exceed the proportionate participation by eligible investors in the project.</w:t>
      </w:r>
    </w:p>
    <w:p>
      <w:pPr>
        <w:pStyle w:val="Normal"/>
        <w:widowControl/>
        <w:rPr/>
      </w:pPr>
      <w:r>
        <w:rPr/>
        <w:t>ANNEX I – UNITED STATES – 6 Sector: Sub-Sector: Obligations Concerned: Level of Government: Measures: Description: Air Transportation National Treatment (Article 14.4) Most-Favored-Nation Treatment (Article 14.5) Senior Management and Boards of Directors (Article 14.11) Central 49 U.S.C. Subtitle VII, Aviation Programs 14 C.F.R. Part 297 (foreign freight forwarders); 14 C.F.R. Part 380, Subpart E (registration of foreign (passenger) charter operators) Investment Only air carriers that are “citizens of the United States” may operate aircraft in domestic air service (cabotage) and may provide international scheduled and non-scheduled air service as U.S. air carriers. U.S. citizens also have blanket authority to engage in indirect air transportation activities (air freight forwarding and passenger charter activities other than as actual operators of the aircraft). In order to conduct such activities, non-U.S. citizens must obtain authority from the Department of Transportation. Applications for such authority may be rejected for reasons relating to the failure of effective reciprocity, or if the Department of Transportation finds that it is in the public interest to do so.</w:t>
      </w:r>
    </w:p>
    <w:p>
      <w:pPr>
        <w:pStyle w:val="Normal"/>
        <w:widowControl/>
        <w:rPr/>
      </w:pPr>
      <w:r>
        <w:rPr/>
        <w:t>Under 49 U.S.C. § 40102(a)(15), a citizen of the United States means an individual who is a U.S. citizen; a partnership in which each member is a U.S. citizen; or a U.S. corporation of which the president and at least two-thirds of the board of directors and other managing officers are U.S.</w:t>
      </w:r>
    </w:p>
    <w:p>
      <w:pPr>
        <w:pStyle w:val="Normal"/>
        <w:widowControl/>
        <w:rPr/>
      </w:pPr>
      <w:r>
        <w:rPr/>
        <w:t>citizens, which is under the actual control of U.S. citizens, and in which at least seventy-five percent of the voting interest in the corporation is owned or controlled by U.S. citizens.</w:t>
      </w:r>
    </w:p>
    <w:p>
      <w:pPr>
        <w:pStyle w:val="Normal"/>
        <w:widowControl/>
        <w:rPr/>
      </w:pPr>
      <w:r>
        <w:rPr/>
        <w:t>ANNEX I – UNITED STATES – 7 Sector: Sub-Sector: Obligations Concerned: Level of Government: Measures: Description: Air Transportation National Treatment (Articles 14.4 and 15.3) Most-Favored-Nation Treatment (Articles 14.5 and 15.4) Senior Management and Boards of Directors (Article 14.11) Central 49 U.S.C., Subtitle VII, Aviation Programs 49 U.S.C. § 41703 14 C.F.R. Part 375 Investment “Foreign civil aircraft” require authority from the Department of Transportation to conduct specialty air services in the territory of the United States. In determining whether to grant a particular application, the Department will consider, among other factors, the extent to which the country of the applicant’s nationality accords U.S. civil aircraft operators effective reciprocity. “Foreign civil aircraft” are aircraft of foreign registry or aircraft of U.S. registry that are owned, controlled, or operated by persons who are not citizens or permanent residents of the United States (14 C.F.R. § 375.1).</w:t>
      </w:r>
    </w:p>
    <w:p>
      <w:pPr>
        <w:pStyle w:val="Normal"/>
        <w:widowControl/>
        <w:rPr/>
      </w:pPr>
      <w:r>
        <w:rPr/>
        <w:t>Under 49 U.S.C. § 40102(a)(15), a citizen of the United States means an individual who is a U.S. citizen; a partnership in which each member is a U.S. citizen; or a U.S. corporation of which the president and at least two-thirds of the board of directors and other managing officers are U.S. citizens, which is under the actual control of U.S. citizens, and in which at least seventy-five percent of the voting interest in the corporation is owned or controlled by U.S. citizens.</w:t>
      </w:r>
    </w:p>
    <w:p>
      <w:pPr>
        <w:pStyle w:val="Normal"/>
        <w:widowControl/>
        <w:rPr/>
      </w:pPr>
      <w:r>
        <w:rPr/>
        <w:t>Cross-Border Trade in Services Authorization from the Department of Transportation is required for the supply of specialty air services in the territory of the United States. A person of a Party will be able to obtain such an authorization if the Party provides effective reciprocity by virtue of this Agreement.</w:t>
      </w:r>
    </w:p>
    <w:p>
      <w:pPr>
        <w:pStyle w:val="Normal"/>
        <w:widowControl/>
        <w:rPr/>
      </w:pPr>
      <w:r>
        <w:rPr/>
        <w:t>ANNEX I – UNITED STATES – 8 Sector: Land Transportation Sub-Sector: Obligations Concerned: National Treatment (Articles 14.4 and 15.3) Most-Favored-Nation Treatment (Article 14.5 and 15.4) Local Presence (Article 15.6) Level of Government: Central Measures: 49 U.S.C. § 13902(c) 49 U.S.C. § 13102 49 U.S.C. § 13501 49 C.F.R. Subtitle B, Chapter III Sec. 350, P.L. 107-87, as amended Sec. 6901, P.L. 110-28, as amended Description: Investment Grants of authority for the provision of truck services by persons of Mexico between points in the United States for the transportation of goods other than international cargo are subject to reciprocity. Cross-Border Trade in Services and Investment Only persons of the United States, using U.S.-registered and either U.S.-built or duty-paid trucks or buses, may provide truck or bus services between points in the territory of the United States. Operating authority from the Department of Transportation is required to provide cross-border bus or truck services in the territory of the United States. For greater certainty, the United States may maintain the regulatory requirements in 49 C.F.R. Subtitle B, Chapter III, or similar successor regulatory requirements.</w:t>
      </w:r>
    </w:p>
    <w:p>
      <w:pPr>
        <w:pStyle w:val="Normal"/>
        <w:widowControl/>
        <w:rPr/>
      </w:pPr>
      <w:r>
        <w:rPr/>
        <w:t>ANNEX I – UNITED STATES – 9 Sector: Transportation Services - Customs Brokers Sub-Sector: Obligations Concerned: National Treatment (Articles 14.4 and 15.3) Local Presence (Article 15.6) Level of Government: Central Measures: 19 U.S.C. § 1641(b) Description: Cross-Border Trade in Services and Investment A customs broker’s license is required to conduct customs business on behalf of another person. An individual may obtain such a license only if that individual is a U.S. citizen. A corporation, association, or partnership may receive a customs broker’s license only if it is established under the laws of any state and at least one officer of the corporation or association, or one member of the partnership, holds a valid customs broker’s license.</w:t>
      </w:r>
    </w:p>
    <w:p>
      <w:pPr>
        <w:pStyle w:val="Normal"/>
        <w:widowControl/>
        <w:rPr/>
      </w:pPr>
      <w:r>
        <w:rPr/>
        <w:t>ANNEX I – UNITED STATES – 10 Sector: All Sectors Sub-Sector: Obligations Concerned: National Treatment (Article 14.4) Most-Favored-Nation Treatment (Article 14.5) Level of Government: Central Measures: Securities Act of 1933, 15 U.S.C. §§ 77c(b), 77f, 77g, 77h, 77j, and 77s(a) 17 C.F.R. §§ 230.251 and 230.405 Securities Exchange Act of 1934, 15 U.S.C. §§ 78l, 78m, 78o(d), and 78w(a) 17 C.F.R. § 240.12b-2 Description: Investment Foreign firms, except for certain Canadian issuers, may not use the small business registration forms under the Securities Act of 1933 to register public offerings of securities or the small business registration forms under the Securities Exchange Act of 1934 to register a class of securities or file annual reports.</w:t>
      </w:r>
    </w:p>
    <w:p>
      <w:pPr>
        <w:pStyle w:val="Normal"/>
        <w:widowControl/>
        <w:rPr/>
      </w:pPr>
      <w:r>
        <w:rPr/>
        <w:t>ANNEX I – UNITED STATES – 11 Sector: Sub-Sector: Obligations Concerned: Level of Government: Measures: Description: Communications – Radiocommunications* National Treatment (Article 14.4) Central 47 U.S.C. § 310 (a)-(b) Foreign Participation Order 12 FCC Rcd 23891, paras. 97-118 (1997) Investment The United States restricts ownership of radio licenses in accordance with the above statutory and regulatory provisions, which provide that, inter alia: (a) no station license may be granted to or held by a foreign government or representative thereof; (b) no broadcast or common carrier or aeronautical en route or aeronautical fixed station license may be granted to or held by: (i) an alien or its representative;</w:t>
      </w:r>
    </w:p>
    <w:p>
      <w:pPr>
        <w:pStyle w:val="Normal"/>
        <w:widowControl/>
        <w:rPr/>
      </w:pPr>
      <w:r>
        <w:rPr/>
        <w:t>(ii) a corporation organized under the laws of a foreign government; or (iii) a corporation of which more than one fifth of the capital stock is owned of record or voted by an alien or its representative, a foreign government or its representative, or a corporation organized under the laws of a foreign country; and (c) absent a specific finding that that the public interest would be served by permitting foreign ownership of a broadcast license, no broadcast station license shall be granted to any corporation directly or indirectly controlled by another corporation of which more than one fourth of the capital stock is owned of record or voted by an alien or its representative, a foreign government or its representative, or a corporation organized under the laws of a foreign</w:t>
      </w:r>
    </w:p>
    <w:p>
      <w:pPr>
        <w:pStyle w:val="Normal"/>
        <w:widowControl/>
        <w:rPr/>
      </w:pPr>
      <w:r>
        <w:rPr/>
        <w:t>country.</w:t>
      </w:r>
    </w:p>
    <w:p>
      <w:pPr>
        <w:pStyle w:val="TOCExcludedHeading1"/>
        <w:keepNext w:val="true"/>
        <w:widowControl/>
        <w:rPr/>
      </w:pPr>
      <w:bookmarkStart w:id="268" w:name="_Toc237912749"/>
      <w:r>
        <w:rPr/>
        <w:t>ANNEX I – UNITED STATES – 12 *Radiocommunications consist of all communications by radio, including broadcasting.</w:t>
      </w:r>
      <w:bookmarkEnd w:id="268"/>
    </w:p>
    <w:p>
      <w:pPr>
        <w:pStyle w:val="Normal"/>
        <w:widowControl/>
        <w:rPr/>
      </w:pPr>
      <w:r>
        <w:rPr/>
        <w:t>ANNEX I – UNITED STATES – 13 Sector: Sub-Sector: Obligations Concerned: Level of Government: Measures: Description: Professional Services - Patent Attorneys, Patent Agents, and Other Practice before the Patent and Trademark Office National Treatment (Article 15.3) Most-Favored-Nation Treatment (Article 15.4) Local Presence (Article 15.6) Central 35 U.S.C. Chapter 3 (practice before the U.S. Patent and Trademark Office) 37 C.F.R. Part 11 (representation of others before the U.S. Patent and Trademark Office) Cross-Border Trade in Services As a condition to be registered to practice for others before the U.S. Patent and Trademark Office (USPTO): (a) a patent attorney must be a U.S. citizen or an alien lawfully residing in the United States (37 C.F.R. § 11.6(a)); (b) a patent agent must be a U.S. citizen, an alien lawfully residing in the United States, or a non-resident who is registered to practice in a country that permits patent agents registered to practice before the USPTO to practice in that country; the latter is permitted to practice for the limited purpose of presenting and prosecuting patent applications of applicants located in the country in which he or she resides (37 C.F.R.</w:t>
      </w:r>
    </w:p>
    <w:p>
      <w:pPr>
        <w:pStyle w:val="Normal"/>
        <w:widowControl/>
        <w:rPr/>
      </w:pPr>
      <w:r>
        <w:rPr/>
        <w:t>§11.6(c)); and (c) a practitioner in trademark and non-patent cases must be an attorney licensed in the United States, a “grandfathered” agent, an attorney licensed to practice in a country that accords equivalent treatment to attorneys licensed in the United States, or an agent registered to practice in such a country; the latter two are permitted to practice for the limited purpose of representing parties located in the country in which he or she resides (37 C.F.R. § 11.14(a) (c)).</w:t>
      </w:r>
    </w:p>
    <w:p>
      <w:pPr>
        <w:pStyle w:val="Normal"/>
        <w:widowControl/>
        <w:rPr/>
      </w:pPr>
      <w:r>
        <w:rPr/>
        <w:t>ANNEX I – UNITED STATES – 14 Sector: All Sectors Sub-Sector: Obligations Concerned: National Treatment (Articles 14.4 and 15.3) Most-Favored-Nation Treatment (Articles 14.5 and 15.4) Performance Requirements (Article 14.10) Senior Management and Boards of Directors (Article 14.11) Local Presence (Article 15.6) Level of Government: Regional Measures: All existing non-conforming measures of all states of the United States, the District of Columbia, and Puerto Rico Description: Cross-Border Trade in Services and Investment</w:t>
      </w:r>
    </w:p>
    <w:p>
      <w:bookmarkStart w:id="1649" w:name="_NAESTMA_TOC_1649"/>
      <w:pPr>
        <w:pStyle w:val="Heading1"/>
        <w:keepNext/>
        <w:pageBreakBefore/>
        <w:widowControl/>
        <w:rPr/>
      </w:pPr>
      <w:bookmarkStart w:id="269" w:name="_Toc237912750"/>
      <w:r>
        <w:rPr/>
        <w:t>ANNEX I – UNITED STATES – 15 EXPLANATORY NOTE</w:t>
      </w:r>
      <w:bookmarkEnd w:id="269"/>
      <w:bookmarkEnd w:id="1649"/>
    </w:p>
    <w:p>
      <w:pPr>
        <w:pStyle w:val="Normal"/>
        <w:widowControl/>
        <w:rPr/>
      </w:pPr>
      <w:r>
        <w:rPr/>
        <w:t>ANNEX II 1. The Schedule of a Party to this Annex sets out, pursuant to Articles 14.12 (Non- Conforming Measures) and 15.7 (Non-Conforming Measures), the specific sectors, subsectors, or activities for which that Party may maintain existing, or adopt new or more restrictive, measures that do not conform with obligations imposed by: (a) Article 14.4 (National Treatment) or 15.3 (National Treatment); (b) Article 14.5 (Most-Favored-Nation Treatment) or 15.4 (Most-Favored-Nation Treatment); (c) Article 14.10 (Performance Requirements); (d) Article 14.11 (Senior Management and Boards of Directors); (e) Article 15.5 (Market Access); or (f) Article 15.6 (Local Presence). 2. Each Schedule entry sets out the following elements: (a) Sector refers to the sector for which the entry is made; (b) Sub-Sector, where referenced, refers to the specific subsector for which the entry is made; (c) Obligations Concerned specifies the obligation(s) referred to in paragraph 1 that, pursuant to Articles 14.12.1(a) (Non-Conforming Measures) and 15.7.1(a) (Non- Conforming Measures), do not apply to the sectors, subsectors, or activities listed in the entry;</w:t>
      </w:r>
    </w:p>
    <w:p>
      <w:pPr>
        <w:pStyle w:val="Normal"/>
        <w:widowControl/>
        <w:rPr/>
      </w:pPr>
      <w:r>
        <w:rPr/>
        <w:t>(d) Description sets out the scope or nature of the sectors, subsectors, or activities covered by the entry to which the reservation applies; and (e) Existing Measures identifies, for transparency purposes, a non-exhaustive list of existing measures that apply to the sectors, subsectors, or activities covered by the entry 3.</w:t>
      </w:r>
    </w:p>
    <w:p>
      <w:pPr>
        <w:pStyle w:val="Normal"/>
        <w:widowControl/>
        <w:rPr/>
      </w:pPr>
      <w:r>
        <w:rPr/>
        <w:t>In accordance with Articles 14.12.2 (Non-Conforming Measures) and 15.7.2 (Non- Conforming Measures), the articles of this Agreement specified in the Obligations Concerned</w:t>
      </w:r>
    </w:p>
    <w:p>
      <w:pPr>
        <w:pStyle w:val="TOCExcludedHeading1"/>
        <w:keepNext w:val="true"/>
        <w:widowControl/>
        <w:rPr/>
      </w:pPr>
      <w:bookmarkStart w:id="270" w:name="_Toc237912751"/>
      <w:r>
        <w:rPr/>
        <w:t>ANNEX II-EXPLANATORY NOTE-1 element of an entry do not apply to the sectors, subsectors, and activities identified in the Description element of that entry.</w:t>
      </w:r>
      <w:bookmarkEnd w:id="270"/>
    </w:p>
    <w:p>
      <w:bookmarkStart w:id="1650" w:name="_NAESTMA_TOC_1650"/>
      <w:pPr>
        <w:pStyle w:val="Heading1"/>
        <w:keepNext/>
        <w:pageBreakBefore/>
        <w:widowControl/>
        <w:rPr/>
      </w:pPr>
      <w:bookmarkStart w:id="271" w:name="_Toc237912752"/>
      <w:r>
        <w:rPr/>
        <w:t>ANNEX II-EXPLANATORY NOTE-2</w:t>
      </w:r>
      <w:bookmarkEnd w:id="271"/>
      <w:bookmarkEnd w:id="1650"/>
    </w:p>
    <w:p>
      <w:pPr>
        <w:pStyle w:val="Normal"/>
        <w:widowControl/>
        <w:rPr/>
      </w:pPr>
      <w:r>
        <w:rPr/>
        <w:t>ANNEX II SCHEDULE OF CANADA INTRODUCTORY NOTES In the interpretation of an entry, all elements of the entry shall be considered. The Description element prevails over all other elements.</w:t>
      </w:r>
    </w:p>
    <w:p>
      <w:pPr>
        <w:pStyle w:val="Normal"/>
        <w:widowControl/>
        <w:rPr/>
      </w:pPr>
      <w:r>
        <w:rPr/>
        <w:t>ANNEX II – CANADA – 1 Reservation II-C-1 Sector: Aboriginal Affairs Sub-sector: Obligations Concerned: National Treatment (Articles 14.4 and 15.3) Most-Favored-Nation Treatment (Articles 14.5 and 15.4) Performance Requirements (Article 14.10) Senior Management and Boards of Directors (Article 14.11) Local Presence (Article 15.6) Description: Investment and Cross-Border Trade in Services Canada reserves the right to adopt or maintain measures conferring rights or preferences to aboriginal peoples. For greater certainty, Canada reserves the right to adopt and maintain measures related to the rights recognized and affirmed by section 35 of the Constitution Act, 1982 or those set out in self-government agreements between a central or regional level of government and indigenous peoples. Existing Measures: Constitution Act, 1982, being Schedule B of the Canada Act 1982 (U.K.), 1982, c. 11 as well as land claims agreements and self- government agreements that have been implemented by statute.</w:t>
      </w:r>
    </w:p>
    <w:p>
      <w:pPr>
        <w:pStyle w:val="Normal"/>
        <w:widowControl/>
        <w:rPr/>
      </w:pPr>
      <w:r>
        <w:rPr/>
        <w:t>ANNEX II – CANADA – 2 Reservation II-C-2 Sector: All Sectors Sub-sector: Obligations Concerned: National Treatment (Article 14.4) Description: Investment Canada reserves the right to adopt or maintain a measure relating to residency requirements for the ownership of oceanfront land by an investor of a Party or its investments. Existing Measures:</w:t>
      </w:r>
    </w:p>
    <w:p>
      <w:pPr>
        <w:pStyle w:val="Normal"/>
        <w:widowControl/>
        <w:rPr/>
      </w:pPr>
      <w:r>
        <w:rPr/>
        <w:t>ANNEX II – CANADA – 3 Reservation II-C-3 Sector: Fisheries Sub-Sector: Fishing and Services Incidental to Fishing Obligations Concerned: National Treatment (Articles 14.4 and 15.3) Most-Favored Nation Treatment (Articles 14.5 and 15.4) Description: Investment and Cross-Border Trade in Services Canada reserves the right to adopt or maintain any measure with respect to licensing fishing or fishing related activities, including entry of foreign fishing vessels to Canada’s exclusive economic zone, territorial sea, internal waters or ports, and use of any services therein. Existing Measures: Fisheries Act, R.S.C. 1985, c. F14 Coastal Fisheries Protection Act, R.S.C. 1985, c.33 Coastal Fisheries Protection Regulations, C.R.C. 1978, c. 413 Commercial Fisheries Licensing Policy Policy on Foreign Investment in the Canadian Fisheries Sector,</w:t>
      </w:r>
    </w:p>
    <w:p>
      <w:pPr>
        <w:pStyle w:val="Normal"/>
        <w:widowControl/>
        <w:rPr/>
      </w:pPr>
      <w:r>
        <w:rPr/>
        <w:t>ANNEX II – CANADA – 4 Reservation II-C-4 Sector: Government Finance Sub-sector: Securities Obligations Concerned: National Treatment (Article 14.4) Description: Investment Canada reserves the right to adopt or maintain a measure relating to the acquisition, sale or other disposition by a national of a Party of bonds, treasury bills, or other kinds of debt securities issued by the Government of Canada or a Canadian sub-national government. Existing Measures: Financial Administration Act, R.S.C. 1985, c. F-11</w:t>
      </w:r>
    </w:p>
    <w:p>
      <w:pPr>
        <w:pStyle w:val="Normal"/>
        <w:widowControl/>
        <w:rPr/>
      </w:pPr>
      <w:r>
        <w:rPr/>
        <w:t>ANNEX II – CANADA – 5 Reservation II-C-5 Sector: Minority Affairs Sub-sector: Obligations Concerned: National Treatment (Articles 14.4 and 15.3) Performance Requirements (Article 14.10) Senior Management and Boards of Directors (Article 14.11) Local Presence (Article 15.6) Description: Investment and Cross-Border Trade in Services Canada reserves the right to conferring rights or privileges disadvantaged minority. adopt or maintain a measure to a socially or economically Existing Measures:</w:t>
      </w:r>
    </w:p>
    <w:p>
      <w:pPr>
        <w:pStyle w:val="Normal"/>
        <w:widowControl/>
        <w:rPr/>
      </w:pPr>
      <w:r>
        <w:rPr/>
        <w:t>ANNEX II – CANADA – 6 Reservation II-C-6 Sector: Social Services Sub-sector: Obligations Concerned: National Treatment (Articles 14.4 and 15.3) Most-Favored-Nation Treatment (Articles 14.5 and 15.4) Performance Requirements (Article 14.10) Senior Management and Boards of Directors (Article 14.11) Local Presence (Article 15.6) Description: Investment and Cross-Border Trade in Services Canada reserves the right to adopt or maintain a measure with respect to the supply of public law enforcement and correctional services, as well as the following services to the extent they are social services established or maintained for a public purpose: income security or insurance, social security or insurance, social welfare, public education, public training, health, and child care. Existing Measures:</w:t>
      </w:r>
    </w:p>
    <w:p>
      <w:pPr>
        <w:pStyle w:val="Normal"/>
        <w:widowControl/>
        <w:rPr/>
      </w:pPr>
      <w:r>
        <w:rPr/>
        <w:t>ANNEX II – CANADA – 7 Reservation II-C-7 Sector: Sub-sector: Obligations Concerned: Description: Transportation Water Transportation National Treatment (Articles 14.4 and 15.3) Most-Favored-Nation Treatment (Articles 14.5 and 15.4) Performance Requirements (Article 14.10) Senior Management and Boards of Directors (Article 14.11) Local Presence (Article 15.6) Investment and Cross-Border Trade in Services 1. Canada reserves the right to adopt or maintain a measure affecting the investment in or supply of marine cabotage services, including:</w:t>
      </w:r>
    </w:p>
    <w:p>
      <w:pPr>
        <w:pStyle w:val="Normal"/>
        <w:widowControl/>
        <w:rPr/>
      </w:pPr>
      <w:r>
        <w:rPr/>
        <w:t>(a) the transportation of goods or passengers by vessel between points in the territory of Canada or above the continental shelf of Canada, directly or by way of a place outside Canada; but with respect to waters above the continental shelf of Canada, the transportation of goods or passengers only in relation to the exploration, exploitation or transportation of the mineral or non-living natural resources of the continental shelf of Canada; and (b) the engaging by vessel in any other marine activity of a commercial nature in the territory of Canada and, with respect to waters above the continental shelf, in such other marine activities of a commercial nature that are in relation to the exploration, exploitation or transportation of the mineral or non-living natural resources of the continental shelf of Canada. 2.</w:t>
      </w:r>
    </w:p>
    <w:p>
      <w:pPr>
        <w:pStyle w:val="Normal"/>
        <w:widowControl/>
        <w:rPr/>
      </w:pPr>
      <w:r>
        <w:rPr/>
        <w:t>This reservation relates to, among other things, limitations and conditions for services suppliers entitled to participate in these activities, to criteria for the issuance of a temporary cabotage license to foreign vessels, and to limits on the number of cabotage licenses issued to foreign vessels.</w:t>
      </w:r>
    </w:p>
    <w:p>
      <w:pPr>
        <w:pStyle w:val="Normal"/>
        <w:widowControl/>
        <w:rPr/>
      </w:pPr>
      <w:r>
        <w:rPr/>
        <w:t>ANNEX II – CANADA – 8 3. For greater certainty, this reservation applies, among other things, to marine activities of a commercial nature undertaken by or from a vessel, including feeder services and repositioning of empty containers. Existing Measures: Coasting Trade Act, S.C. 1992, c. 31 Canada Shipping Act, S.C. 2001, c.26 Customs Act, R.S.C. 1985, c.1 (2nd Supp.) Customs and Excise Offshore Application Act, R.S.C. 1985, c. C</w:t>
      </w:r>
    </w:p>
    <w:p>
      <w:pPr>
        <w:pStyle w:val="Normal"/>
        <w:widowControl/>
        <w:rPr/>
      </w:pPr>
      <w:r>
        <w:rPr/>
        <w:t>ANNEX II – CANADA – 9 Reservation II-C-8 Sector: Transportation Sub-Sector: Water Transportation Obligations Concerned: Most-Favored-Nation Treatment (Article 15.4) Description: Cross-Border Trade in Services Canada reserves the right to adopt or maintain a measure relating to the implementation of an agreement, arrangement, or other formal or informal undertaking with other countries with respect to maritime activities in waters of mutual interest in areas such as pollution control (including double hull requirements for oil tankers), safe navigation, barge inspection standards, water quality, pilotage, salvage, drug abuse control, or maritime communications. Existing Measures:</w:t>
      </w:r>
    </w:p>
    <w:p>
      <w:pPr>
        <w:pStyle w:val="Normal"/>
        <w:widowControl/>
        <w:rPr/>
      </w:pPr>
      <w:r>
        <w:rPr/>
        <w:t>ANNEX II – CANADA – 10 Reservation II-C-9 Sector: Transportation Sub-Sector: Water Transportation Obligations Concerned: National Treatment (Articles 14.4 and 15.3) Most-Favored-Nation Treatment (Articles 14.5 and 15.4) Performance Requirements (Article 14.10) Senior Management Board of Directors (Article 14.11) Local Presence (Article 15.6) Description: Investment and Cross-Border Trade in Services Canada reserves the right to adopt or maintain a measure denying a service provider or investor of the United States, or its investments, the benefits accorded to a service provider or investor of Mexico or any other country, or its investments, in sectors or activities equivalent to those subject to Schedule of the United States, Annex II, page</w:t>
      </w:r>
    </w:p>
    <w:p>
      <w:bookmarkStart w:id="1651" w:name="_NAESTMA_TOC_1651"/>
      <w:pPr>
        <w:pStyle w:val="Heading1"/>
        <w:keepNext/>
        <w:pageBreakBefore/>
        <w:widowControl/>
        <w:rPr/>
      </w:pPr>
      <w:bookmarkStart w:id="272" w:name="_Toc237912753"/>
      <w:r>
        <w:rPr/>
        <w:t>ANNEX II – UNITED STATES – 5. Existing Measures:</w:t>
      </w:r>
      <w:bookmarkEnd w:id="272"/>
      <w:bookmarkEnd w:id="1651"/>
    </w:p>
    <w:p>
      <w:pPr>
        <w:pStyle w:val="Normal"/>
        <w:widowControl/>
        <w:rPr/>
      </w:pPr>
      <w:r>
        <w:rPr/>
        <w:t>ANNEX II – CANADA – 11 Reservation II-C-10 Sector: Water Transportation Sub-sector: Technical Testing and Analysis Services Obligations Concerned: Most-Favored-Nation Treatment (Article 14.5) Local Presence (Article 15.6) Description: Investment and Cross-Border Trade in Services 1. Canada reserves the right to adopt or maintain a measure affecting the statutory inspection and certification of a vessel on behalf of Canada. 2. For greater certainty, only a person, classification society or other organization authorized by Canada may carry out statutory inspections and issue Canadian Maritime Documents to Canadian registered vessels and their equipment on behalf of Canada. Existing Measures:</w:t>
      </w:r>
    </w:p>
    <w:p>
      <w:pPr>
        <w:pStyle w:val="Normal"/>
        <w:widowControl/>
        <w:rPr/>
      </w:pPr>
      <w:r>
        <w:rPr/>
        <w:t>ANNEX II – CANADA – 12 Reservation II-C-11 Sector: All Sectors Sub-sector: Obligations Concerned: Most-Favored-Nation Treatment (Articles 14.5 and 15.4) Description: Investment and Cross-Border Trade in Services 1. Canada reserves the right to adopt or maintain a measure that accords differential treatment to countries under any bilateral or multilateral international agreement in force or signed prior to the date of entry into force of this Agreement. 2. Canada reserves the right to adopt or maintain a measure that accords differential treatment to countries under any bilateral or multilateral agreement in force or signed after the date of entry into force of this Agreement involving: (a) aviation; (b) fisheries; or (c) maritime matters, including salvage. Existing Measures:</w:t>
      </w:r>
    </w:p>
    <w:p>
      <w:pPr>
        <w:pStyle w:val="Normal"/>
        <w:widowControl/>
        <w:rPr/>
      </w:pPr>
      <w:r>
        <w:rPr/>
        <w:t>ANNEX II – CANADA – 13 Reservation II-C-12 Sector: All Sub-sector: Obligations Concerned: Market Access (Articles 15.5) Description: Cross-Border Trade in Services Canada reserves the right to adopt or maintain a measure that is not inconsistent with: (a) Canada’s obligations under Article XVI of GATS; and (b) Canada’s Schedule of Specific Commitments under the GATS (GATS/SC/16, GATS/SC/16/Suppl.1, GATS/SC/16/Suppl.1/Rev.1, GATS/SC/16/Suppl.2, GATS/SC/16/Suppl.2/Rev.1, GATS/SC/16/ Suppl.3, GATS/SC/16/Suppl.4 and GATS/SC/16/Suppl.4/Rev.1). For greater certainty, this entry applies to measures adopted or maintained that affect the supply of a service by a covered investment pursuant to Article 15.5 (Market Access). For purposes of this entry only, Canada’s Schedule of Specific Commitments is modified as indicated in Appendix I. Existing Measures: 1 For greater certainty, this includes obligations resulting from future amendments to Canada’s Schedule to Article XVI of GATS.</w:t>
      </w:r>
    </w:p>
    <w:p>
      <w:pPr>
        <w:pStyle w:val="Normal"/>
        <w:widowControl/>
        <w:rPr/>
      </w:pPr>
      <w:r>
        <w:rPr/>
        <w:t>ANNEX II – CANADA – 14 Appendix I For the following Sectors, Canada’s obligations under Article XVI of GATS are improved as described. Sector/Sub-sector Market Access Improvements Accounting, Auditing, and Under Mode 1 remove: Book-keeping services Auditing - Commercial presence requirement: Nova Scotia. - Citizenship requirement for accreditation: Manitoba and Quebec. - Permanent residence requirement for accreditation: Ontario. Under Mode 2 remove: Auditing - Commercial presence requirement: Nova Scotia. - Citizenship requirement for accreditation: Manitoba and Quebec. - Permanent residence requirement for accreditation: Ontario. Architectural services Under Mode 1 remove: Architects - Citizenship requirement for accreditation: Quebec. Engineering services Under Mode 1 remove: Consulting Engineers - Commercial presence requirement for accreditation: Manitoba. Engineers - Permanent residence requirement for accreditation: Newfoundland and Labrador, Nova Scotia. - Citizenship requirement for accreditation: Quebec. Under Mode 2 remove: Consulting Engineers - Commercial presence requirement for accreditation:</w:t>
      </w:r>
    </w:p>
    <w:p>
      <w:pPr>
        <w:pStyle w:val="Normal"/>
        <w:widowControl/>
        <w:rPr/>
      </w:pPr>
      <w:r>
        <w:rPr/>
        <w:t>ANNEX II – CANADA – 15 Manitoba. Engineers - Permanent residence requirement for accreditation: Newfoundland and Labrador, Nova Scotia. - Citizenship requirement for accreditation: Quebec. Integrated engineering services Under Mode 1 remove: Consulting Engineers - Commercial presence requirement for accreditation: Manitoba. Engineers - Permanent residence requirement for accreditation: Newfoundland and Labrador, Nova Scotia. - Citizenship requirement for accreditation: Quebec. Under Mode 2 remove: Consulting Engineers - Commercial presence requirement for accreditation: Manitoba. Engineers - Permanent residence requirement for accreditation: Newfoundland and Labrador, Nova Scotia. - Citizenship requirement for accreditation: Quebec. Urban planning and Under Mode 1 remove: landscape architectural services Community/ Urban Planning - Citizenship requirement for use of title: Quebec. Real estate services Under Mode 1 remove: Chartered Appraisers - Citizenship requirement for use of title: Quebec. Management consulting services Under Mode 1 remove: Agrologists - Citizenship requirement for accreditation: Quebec. Professional Administrators and Certified Management Consultants</w:t>
      </w:r>
    </w:p>
    <w:p>
      <w:pPr>
        <w:pStyle w:val="Normal"/>
        <w:widowControl/>
        <w:rPr/>
      </w:pPr>
      <w:r>
        <w:rPr/>
        <w:t>ANNEX II – CANADA – 16 - Citizenship requirement for use of title: Quebec Professional Corporation of Administrators. Industrial Relations Counsellors - Citizenship requirement for use of title: Quebec. Under Mode 2 remove: Agrologists - Citizenship requirement for accreditation: Quebec. Investigation and security services Under Mode 3 remove: Business and Personnel Information Investigations - Foreign ownership restriction to 25 percent in total and 10 percent by any individual holding shares: Ontario. Related scientific and technical consulting services Under Mode 1 remove: Land Surveyors - Citizenship requirement for accreditation: Nova Scotia and Quebec. Subsurface Surveying Services - Citizenship requirement for accreditation: Quebec. Professional Technologist - Citizenship requirement for accreditation: Quebec. Chemists - Citizenship requirement for accreditation: Quebec. Under Mode 2 remove: Land Surveyors - Citizenship requirement for accreditation: Nova Scotia and Quebec. Subsurface Surveying Services - Citizenship requirement for accreditation: Quebec. Other business services Under Mode 1 remove: Certified Translators and Interpreters - Citizenship requirement for use of title: Quebec.</w:t>
      </w:r>
    </w:p>
    <w:p>
      <w:pPr>
        <w:pStyle w:val="Normal"/>
        <w:widowControl/>
        <w:rPr/>
      </w:pPr>
      <w:r>
        <w:rPr/>
        <w:t>ANNEX II – CANADA – 17 Under Mode 2 remove: Certified Translators and Interpreters - Citizenship requirement for use of title: Quebec. Under Mode 3 remove: Collection Agencies - Foreign Ownership restriction to 25 percent in total and 10 percent by any individual: Ontario. Courier services Under Mode 3 remove: - Economic needs test (Criteria related to approval include: examination of the adequacy of current levels of service; market conditions establishing the requirement for expanded service; the effect of new entrants on public convenience, including the continuity and quality of service, and the fitness, willingness and ability of the applicant to supply proper service.): Nova Scotia and Manitoba. General construction work Under Mode 3 remove: for civil engineering Construction - An applicant and holder of a water power site development permit must be incorporated in Ontario. Wholesale trade services Under Mode 1 remove: Marketing of Fish Products (Nova Scotia): Nova Scotia residents require ministerial approval to enter into agreements with non-residents.</w:t>
      </w:r>
    </w:p>
    <w:p>
      <w:pPr>
        <w:pStyle w:val="Normal"/>
        <w:widowControl/>
        <w:rPr/>
      </w:pPr>
      <w:r>
        <w:rPr/>
        <w:t>Railway passenger and freight transport Under Mode 1 remove: - cabotage limitation Road Passenger Under Mode 3 remove: Transportation Interurban bus transport and scheduled services: - Public convenience and needs test (Criteria related to approval include: examination of the adequacy of current levels of service; market conditions establishing the requirement for expanded service; the effect of new entrants on public convenience, including the continuity and quality of service, and the fitness, willingness and ability of the applicant to supply proper service.): Prince Edward Island.</w:t>
      </w:r>
    </w:p>
    <w:p>
      <w:pPr>
        <w:pStyle w:val="Normal"/>
        <w:widowControl/>
        <w:rPr/>
      </w:pPr>
      <w:r>
        <w:rPr/>
        <w:t>ANNEX II – CANADA – 18 Road Freight transportation Under Mode 3 remove: Highway freight transportation - Public convenience and needs test (Criteria related to approval include: examination of the adequacy of current levels of service; market conditions establishing the requirement for expanded service; the effect of new entrants on public convenience, including the continuity and quality of service, and the fitness, willingness and ability of the applicant to supply proper service.): British Columbia, Manitoba, Ontario, Prince Edward Island, Nova Scotia. Telecommunications Under Mode 3 remove: Nova Scotia: no person may vote more than 1,000 shares of Maritime Telegraph and Telephone Ltd.</w:t>
      </w:r>
    </w:p>
    <w:p>
      <w:bookmarkStart w:id="1652" w:name="_NAESTMA_TOC_1652"/>
      <w:pPr>
        <w:pStyle w:val="Heading1"/>
        <w:keepNext/>
        <w:pageBreakBefore/>
        <w:widowControl/>
        <w:rPr/>
      </w:pPr>
      <w:bookmarkStart w:id="273" w:name="_Toc237912754"/>
      <w:r>
        <w:rPr/>
        <w:t>ANNEX II – CANADA – 19</w:t>
      </w:r>
      <w:bookmarkEnd w:id="273"/>
      <w:bookmarkEnd w:id="1652"/>
    </w:p>
    <w:p>
      <w:pPr>
        <w:pStyle w:val="Normal"/>
        <w:widowControl/>
        <w:rPr/>
      </w:pPr>
      <w:r>
        <w:rPr/>
        <w:t>ANNEX II SCHEDULE OF MEXICO Sector: All Sub-Sector: Industry Classification: Obligations Concerned: National Treatment (Article 15.3) Level of Government: Central Description: Cross-Border Trade in Services Mexico reserves the right to adopt or maintain any measure restricting the acquisition, sale, or other disposition of bonds, treasury bills, or any other kind of debt security issued by the federal, state, or local governments. Existing Measures:</w:t>
      </w:r>
    </w:p>
    <w:p>
      <w:pPr>
        <w:pStyle w:val="Normal"/>
        <w:widowControl/>
        <w:rPr/>
      </w:pPr>
      <w:r>
        <w:rPr/>
        <w:t>ANNEX II – MEXICO – 1 Sector: Entertainment Services Sub-Sector: Recreational and leisure services Industry Classification: CMAP 949104 Other Private Recreational and Leisure Services (limited to gambling and betting services) Obligations Concerned: National Treatment (Article 14.4 and Article 15.3) Most-Favored-Nation Treatment (Article 14.5 and Article 15.4) Senior Management and Boards of Directors (Article 14.11) Local Presence (Article 15.6) Level of Government: Central Description: Investment and Cross-Border Trade in Services Mexico reserves the right to adopt or maintain any measure relating to investment in, or the supply of, gambling and betting services. Existing Measures:</w:t>
      </w:r>
    </w:p>
    <w:p>
      <w:pPr>
        <w:pStyle w:val="Normal"/>
        <w:widowControl/>
        <w:rPr/>
      </w:pPr>
      <w:r>
        <w:rPr/>
        <w:t>ANNEX II – MEXICO – 2 Sector: Minority Affairs Sub-Sector: Industry Classification: Obligations Concerned: National Treatment (Article 15.3) Local Presence (Article 15.6) Level of Government: Central Description: Cross-Border Trade in Services Mexico reserves the right to adopt according rights or preferences to disadvantaged groups. or maintain any measure socially or economically Existing Measures: Political Constitution of the United Mexican States (Constitución Política de los Estados Unidos Mexicanos), Article 4.</w:t>
      </w:r>
    </w:p>
    <w:p>
      <w:pPr>
        <w:pStyle w:val="Normal"/>
        <w:widowControl/>
        <w:rPr/>
      </w:pPr>
      <w:r>
        <w:rPr/>
        <w:t>ANNEX II – MEXICO – 3 Sector: Social Services Sub-Sector: Industry Classification: Obligations Concerned: National Treatment (Article 14.4 and Article 15.3) Most-Favored-Nation Treatment (Article 14.5 and Article 15.4) Performance Requirements (Article 14.10) Senior Management and Boards of Directors (Article 14.11) Local Presence (Article 15.6) Level of Government: Central Description: Investment and Cross-Border Trade in Services Mexico reserves the right to adopt or maintain any measure with respect to the supply of public law enforcement and correctional services, and the following services to the extent they are social services established or maintained for a public purpose: income security or insurance, social security or insurance, social welfare, public education, public training, health and child care. Existing Measures: Political Constitution of the United Mexican States (Constitución Política de los Estados Unidos Mexicanos), Articles 4, 17, 18, 25, 26, 28 and 123.</w:t>
      </w:r>
    </w:p>
    <w:p>
      <w:pPr>
        <w:pStyle w:val="Normal"/>
        <w:widowControl/>
        <w:rPr/>
      </w:pPr>
      <w:r>
        <w:rPr/>
        <w:t>ANNEX II – MEXICO – 4 Sector: Sub-Sector: Industry Classification: Obligations Concerned: Level of Government: Description: Existing Measures: Sector: Sub-Sector: Industry Classification: Obligations Concerned: Transportation Specialized personnel CMAP 951023 Other Professional, Technical and Specialized Services (limited to ship captains; aircraft pilots; ship masters; ship machinists; ship mechanics; airport administrators (comandantes de aeródromos); harbor masters; harbor pilots; crew on Mexican flagged vessels or aircrafts) National Treatment (Article 15.3) Most-Favored-Nation Treatment (Article 15.4) Local Presence (Article 15.6) Central Cross-Border Trade in Services Mexico reserves the right to adopt or maintain any measure with respect to specialized personnel. Only Mexican nationals by birth may serve as: (a) captains, pilots, ship masters, machinists, mechanics, and crew members manning vessels or aircraft under the Mexican flag; and (b) harbor pilots, harbor masters, and airport administrators.</w:t>
      </w:r>
    </w:p>
    <w:p>
      <w:pPr>
        <w:pStyle w:val="Normal"/>
        <w:widowControl/>
        <w:rPr/>
      </w:pPr>
      <w:r>
        <w:rPr/>
        <w:t>Political Constitution of the United Mexican States (Constitución Política de los Estados Unidos Mexicanos), Article 32 All Telegraph, radiotelegraph and postal services Issuance of bills (currency) and minting of coinage Control, inspection and surveillance of maritime and inland ports Control, inspection and surveillance of airports and heliports National Treatment (Article 14.4) Most-Favored-Nation Treatment (Article 14.5) Performance Requirements (Article 14.10) Senior Management and Boards of Directors (Article 14.11)</w:t>
      </w:r>
    </w:p>
    <w:p>
      <w:pPr>
        <w:pStyle w:val="Normal"/>
        <w:widowControl/>
        <w:rPr/>
      </w:pPr>
      <w:r>
        <w:rPr/>
        <w:t>ANNEX II – MEXICO – 5 Level of Government: Description: Existing Measures: Central Investment The activities set out in this list are reserved to the Mexican State, and private equity investment is prohibited under Mexican Law. If Mexico allows private investment to participate in such activities through service contracts, concessions, lending arrangements, or any other type of contractual arrangement, this participation shall not be construed to affect the State’s reservation of those activities. If Mexican law is amended to allow private equity investment in an activity set out in this list, Mexico may impose restrictions on foreign investment participation and those restrictions shall be deemed existing Annex I non-conforming measures and subject to paragraph 1 of Article 14.12 (Non- Conforming Measures). Mexico may also impose restrictions on foreign equity investment participation when selling an asset or ownership interest in an enterprise engaged in activities set out in this list, and those restrictions shall be deemed existing Annex I non-conforming measures and subject to paragraph 1 of Article 14.12 (Non-Conforming Measures). (a) Telegraph, radiotelegraph and postal services;</w:t>
      </w:r>
    </w:p>
    <w:p>
      <w:pPr>
        <w:pStyle w:val="Normal"/>
        <w:widowControl/>
        <w:rPr/>
      </w:pPr>
      <w:r>
        <w:rPr/>
        <w:t>(b) Issuance of bills (currency) and minting of coinage; (c) Control, inspection and surveillance of maritime and inland ports; (d) Control, inspection and heliports; and surveillance of airports and (e) Nuclear power. For greater certainty, nuclear power includes radioactive minerals.</w:t>
      </w:r>
    </w:p>
    <w:p>
      <w:pPr>
        <w:pStyle w:val="Normal"/>
        <w:widowControl/>
        <w:rPr/>
      </w:pPr>
      <w:r>
        <w:rPr/>
        <w:t>Political Constitution of the United Mexican States (Constitución Política de los Estados Unidos Mexicanos) Articles 25 and 28. Law of the Bank of Mexico (Ley del Banco de México). Law of the House of Currency of Mexico (Ley de la Casa de Moneda de México). United Mexican States Monetary Law (Ley Monetaria de los Estados Unidos Mexicanos).</w:t>
      </w:r>
    </w:p>
    <w:p>
      <w:pPr>
        <w:pStyle w:val="Normal"/>
        <w:widowControl/>
        <w:rPr/>
      </w:pPr>
      <w:r>
        <w:rPr/>
        <w:t>ANNEX II – MEXICO – 6 Navigation and Maritime Commerce Law (Ley de Navegación y Comercio Marítimos). Ports Law (Ley de Puertos). Airports Law (Ley de Aeropuertos). Federal Telecommunication and Broadcasting Law (Ley Federal de Telecomunicaciones y Radiodifusión). Decree that establish the decentralized agency of Navigation Services in the Mexican Airspace, SENEAM (by its acronym in Spanish) (Decreto que crea el Organismo Desconcentrado de Servicios a la Navegación en el Espacio Aéreo Mexicano, SENEAM). General Means of Communication Law (Ley de Vías Generales de Comunicación). Mexican Postal Service Law (Ley del Servicio Postal Mexicano), Title I, Chapter III. Foreign Investment Law (Ley de Inversión Extranjera).</w:t>
      </w:r>
    </w:p>
    <w:p>
      <w:pPr>
        <w:pStyle w:val="Normal"/>
        <w:widowControl/>
        <w:rPr/>
      </w:pPr>
      <w:r>
        <w:rPr/>
        <w:t>ANNEX II – MEXICO – 7 Sector: All Sub-Sector: Industry Classification: Obligations Concerned: Most-Favored-Nation Treatment (Article 14.5) Level of Government: Central Description: Investment Mexico reserves the right to adopt or maintain any measure granting different treatment to countries accorded under all bilateral or multilateral international agreements in force prior to the date of the entry into force of this Agreement. Mexico reserves the right to adopt or maintain any measure granting different treatment to countries accorded under all international agreements in force or signed after the date of entry into force of this Agreement involving: (a) aviation; (b) fisheries; or (c) maritime matters, including salvage. Existing Measures:</w:t>
      </w:r>
    </w:p>
    <w:p>
      <w:pPr>
        <w:pStyle w:val="Normal"/>
        <w:widowControl/>
        <w:rPr/>
      </w:pPr>
      <w:r>
        <w:rPr/>
        <w:t>ANNEX II – MEXICO – 8 Sector: All Sub-Sector: Industry Classification: Obligations Concerned: Market Access (Article 15.5) Level of Government: Central and Regional Description: Cross-Border Trade in Services Mexico reserves the right to adopt or maintain any measure related to Article 15.5 (Market Access), except for the following sectors and sub-sectors subject to the limitations and conditions listed below. For the purpose of this entry: (a) “1)” refers to the supply of a service from the territory of one Party into the territory of any other Party; (b) “2)” refers to the supply of a service in the territory of one Party by a person of that Party to a person of the other Party; (c) “3)” refers to the supply of a service in the territory of one Party by an investor of the other Party or a covered investment; and (d) “4)” refers to the supply of a service by a national of one Party, in the territory of any other Party. This entry: (a) applies to the central level of government;</w:t>
      </w:r>
    </w:p>
    <w:p>
      <w:pPr>
        <w:pStyle w:val="Normal"/>
        <w:widowControl/>
        <w:rPr/>
      </w:pPr>
      <w:r>
        <w:rPr/>
        <w:t>(b) applies to the regional level of government in accordance with specific commitments of Mexico under the Article XVI of GATS which exist at the date of entry into force of this Agreement; and (c) does not apply to municipal or local level. This entry does not apply to entries listed in Annex I with respect to Article 15.5 (Market Access). Mexico’s limitations on market access in this entry are only those limitations which</w:t>
      </w:r>
    </w:p>
    <w:p>
      <w:pPr>
        <w:pStyle w:val="Normal"/>
        <w:widowControl/>
        <w:rPr/>
      </w:pPr>
      <w:r>
        <w:rPr/>
        <w:t>ANNEX II – MEXICO – 9 are not discriminatory. Sector or subsector Limitations on market access 1.BUSINESS SERVICES 1. A.</w:t>
      </w:r>
    </w:p>
    <w:p>
      <w:pPr>
        <w:pStyle w:val="Normal"/>
        <w:widowControl/>
        <w:rPr/>
      </w:pPr>
      <w:r>
        <w:rPr/>
        <w:t>Professional services a) Legal services (CPC 861) 1), 2) and 3) None 4) Unbound, except as indicated in Chapter 16 (Temporary Entry for Business Persons). b) Accounting, auditing and 1), 2) and 3) None bookkeeping services (CPC 862) 4) Unbound, except as indicated in Chapter 16 (Temporary Entry for Business Persons). d) Consultancy and technical studies 1), 2) and 3) None for architecture (CPC 8671) 4) Unbound, except as indicated in Chapter 16 (Temporary Entry for Business Persons). e) Consultancy and technical services 1), 2) and 3) None for engineering (CPC 8672) 4) Unbound, except as indicated in Chapter 16 (Temporary Entry for Business Persons). f) Integrated engineering services (CPC 1), 2) and 3) None 8673) 4) Unbound, except as indicated in Chapter 16 (Temporary Entry for Business Persons). g) Urban planning and landscape 1), 2) and 3) None architectural services (CPC 8674) 4) Unbound, except as indicated in Chapter 16 (Temporary Entry for Business Persons).</w:t>
      </w:r>
    </w:p>
    <w:p>
      <w:pPr>
        <w:pStyle w:val="Normal"/>
        <w:widowControl/>
        <w:rPr/>
      </w:pPr>
      <w:r>
        <w:rPr/>
        <w:t>h) Related scientific and technical 1), 2) and 3) None consulting services (CPC 8675) 4) Unbound, except as indicated in Chapter 16 (Temporary Entry for Business Persons). i) Medical and dental services (CPC 1), 2) and 3) None 9312) 4) Unbound, except as indicated in Chapter 16 (Temporary Entry for Business Persons).</w:t>
      </w:r>
    </w:p>
    <w:p>
      <w:pPr>
        <w:pStyle w:val="Normal"/>
        <w:widowControl/>
        <w:rPr/>
      </w:pPr>
      <w:r>
        <w:rPr/>
        <w:t>In order to practice a profession in Mexico, it is necessary to have a degree that has been recognized or confirmed by the Ministry of Public Education (Secretaría de Educación Pública) and also to obtain a profesional license. There are special requirements to be met by engineers, architects, and doctors.</w:t>
      </w:r>
    </w:p>
    <w:p>
      <w:pPr>
        <w:pStyle w:val="Normal"/>
        <w:widowControl/>
        <w:rPr/>
      </w:pPr>
      <w:r>
        <w:rPr/>
        <w:t>ANNEX II – MEXICO – 10 Sector or subsector Limitations on market access k) Other services Religious services (CPC 95910) 1), 2) and 3) None 4) Unbound, except as indicated in Chapter 16 (Temporary Entry for Business Persons). 1. B. Computer and Related Services a) Consultancy services related to the 1), 2) and 3) None installation of computer hardware (CPC 841) 4) Unbound, except as indicated in Chapter 16 (Temporary Entry for Business Persons). b) Software implementation services 1), 2) and 3) None (CPC 842) 4) Unbound, except as indicated in Chapter 16 (Temporary Entry for Business Persons). c) Data processing services (CPC 843) 1), 2) and 3) None 4) Unbound, except as indicated in Chapter 16 (Temporary Entry for Business Persons). d) Data base services (CPC 844) 1), 2) and 3) None 4) Unbound, except as indicated in Chapter 16 (Temporary Entry for Business Persons). e) Other (CPC 845+849) 1), 2) and 3) None 4) Unbound, except as indicated in Chapter 16 (Temporary Entry for Business Persons). 1. C.</w:t>
      </w:r>
    </w:p>
    <w:p>
      <w:pPr>
        <w:pStyle w:val="Normal"/>
        <w:widowControl/>
        <w:rPr/>
      </w:pPr>
      <w:r>
        <w:rPr/>
        <w:t>Research and Development 1), 2) and 3) None Services (CPC 85) (other than research and technological development centres) 4) Unbound, except as indicated in Chapter 16 (Temporary Entry for Business Persons). Research and experimental 1), 2) and 3) None development services on engineering and technology 4) Unbound, except as indicated in Chapter 16 (CPC 85103) (Temporary Entry for Business Persons).</w:t>
      </w:r>
    </w:p>
    <w:p>
      <w:pPr>
        <w:pStyle w:val="Normal"/>
        <w:widowControl/>
        <w:rPr/>
      </w:pPr>
      <w:r>
        <w:rPr/>
        <w:t>- Research and development services on 1), 2) and 3) None social sciences and humanities (CPC 852) 4) Unbound, except as indicated in Chapter 16 (Temporary Entry for Business Persons).</w:t>
      </w:r>
    </w:p>
    <w:p>
      <w:pPr>
        <w:pStyle w:val="Normal"/>
        <w:widowControl/>
        <w:rPr/>
      </w:pPr>
      <w:r>
        <w:rPr/>
        <w:t>ANNEX II – MEXICO – 11 Sector or subsector Limitations on market access 1. D. Real estate services a) Real estate services involving own or 1)Unbound leased property (CPC 821) 2)and 3) None Other than: Real estate services involving own property 4) Unbound, except as indicated in Chapter 16 (Temporary Entry for Business Persons). b) Real estate services on a fee or 1) Unbound contract basis (CPC 822) 2) and 3) None 4) Unbound, except as indicated in Chapter 16 (Temporary Entry for Business Persons). 1. E.</w:t>
      </w:r>
    </w:p>
    <w:p>
      <w:pPr>
        <w:pStyle w:val="Normal"/>
        <w:widowControl/>
        <w:rPr/>
      </w:pPr>
      <w:r>
        <w:rPr/>
        <w:t>Rental/Leasing Services without Operators a) Leasing or rental services concerning 1), 2) and 3) None vessels without operator (CPC 83103) 4) Unbound, except as indicated in Chapter 16 (Temporary Entry for Business Persons). b) Leasing or rental services concerning 1), 2) and 3) None aircraft without operator (CPC 83104) 4) Unbound, except as indicated in Chapter 16 (Temporary Entry for Business Persons). c) Leasing or rental services concerning 1)Unbound other means of transport without 2)and 3) None operator (limited to private cars without operator CPC 83101) 4) Unbound, except as indicated in Chapter 16 (Temporary Entry for Business Persons). - Leasing or rental services concerning 1) Unbound means of maritime transport without 2) and 3) None operator 4) Unbound, except as indicated in Chapter 16 (Temporary Entry for Business Persons).</w:t>
      </w:r>
    </w:p>
    <w:p>
      <w:pPr>
        <w:pStyle w:val="Normal"/>
        <w:widowControl/>
        <w:rPr/>
      </w:pPr>
      <w:r>
        <w:rPr/>
        <w:t>d) Leasing or rental services concerning 1) Unbound other machinery and equipment without operator: 2) and 3) None 4) Unbound, except as indicated in Chapter 16 (Temporary Entry for Business Persons). Rental services concerning 1), 2) and 3) None agricultural and fishery machinery and equipment (CPC 83106) 4) Unbound, except as indicated in Chapter 16 (Temporary Entry for Business Persons).. - Rental services concerning machinery 1), 2) and 3) None</w:t>
      </w:r>
    </w:p>
    <w:p>
      <w:pPr>
        <w:pStyle w:val="Normal"/>
        <w:widowControl/>
        <w:rPr/>
      </w:pPr>
      <w:r>
        <w:rPr/>
        <w:t>ANNEX II – MEXICO – 12 Sector or subsector Limitations on market access and equipment for industry (CPC 83109) 4) Unbound, except as indicated in Chapter 16 (Temporary Entry for Business Persons). e) Other 1), 2) and 3) None - Rental services concerning electronic 4) Unbound, except as indicated in Chapter 16 equipment for data processing (CPC (Temporary Entry for Business Persons). 83108) - Leasing or rental services concerning 1), 2) and 3) None other personal or household goods (CPC 83209) 4) Unbound, except as indicated in Chapter 16 (Temporary Entry for Business Persons). Rental services concerning office 1), 2) and 3) None equipment and furniture (CPC 83108) 4) Unbound, except as indicated in Chapter 16 (Temporary Entry for Business Persons). Rental services concerning 1), 2) and 3) None televisions, sound equipment, video cassette recorders and musical 4) Unbound, except as indicated in Chapter 16 instruments (CPC 83201) (Temporary Entry for Business Persons).</w:t>
      </w:r>
    </w:p>
    <w:p>
      <w:pPr>
        <w:pStyle w:val="Normal"/>
        <w:widowControl/>
        <w:rPr/>
      </w:pPr>
      <w:r>
        <w:rPr/>
        <w:t>Rental services concerning 1), 2) and 3) None professional photographic equipment and projectors (CPC 83209) 4) Unbound, except as indicated in Chapter 16 (Temporary Entry for Business Persons). Rental services concerning other 1), 2) and 3) None machinery, equipment and furniture not mentioned above (CPC 83109) 4) Unbound, except as indicated in Chapter 16 (Temporary Entry for Business Persons). 1. F.</w:t>
      </w:r>
    </w:p>
    <w:p>
      <w:pPr>
        <w:pStyle w:val="Normal"/>
        <w:widowControl/>
        <w:rPr/>
      </w:pPr>
      <w:r>
        <w:rPr/>
        <w:t>Other Business Services a) Advertising and related activities 1), 2) and 3) None (excluding broadcasting as well as restricted radio and television services) 4) Unbound, except as indicated in Chapter 16 (CPC 871) (Temporary Entry for Business Persons). b) Market research services (CPC 8640) 1), 2) and 3) None 4) Unbound, except as indicated in Chapter 16 (Temporary Entry for Business Persons). c) Management consulting services 1), 2) and 3) None</w:t>
      </w:r>
    </w:p>
    <w:p>
      <w:pPr>
        <w:pStyle w:val="Normal"/>
        <w:widowControl/>
        <w:rPr/>
      </w:pPr>
      <w:r>
        <w:rPr/>
        <w:t>ANNEX II – MEXICO – 13 Sector or subsector Limitations on market access (CPC 8650) 4) Unbound, except as indicated in Chapter 16 (Temporary Entry for Business Persons). d) Administrative formalities and 1), 2) and 3) None collection services (CPC 8660) 4) Unbound, except as indicated in Chapter 16 (Temporary Entry for Business Persons). e) Technical testing and analysis 1), 2) and 3) None services (CPC 8676) 4) Unbound, except as indicated in Chapter 16 (Temporary Entry for Business Persons). f) Services incidental to agriculture, 1) and 2) None hunting and forestry 3)None except as indicated in 1.A Unbound, except as indicated in Chapter 16 -Services incidental to agriculture (CPC (Temporary Entry for Business Persons).</w:t>
      </w:r>
    </w:p>
    <w:p>
      <w:pPr>
        <w:pStyle w:val="Normal"/>
        <w:widowControl/>
        <w:rPr/>
      </w:pPr>
      <w:r>
        <w:rPr/>
        <w:t>8811 limited to professional services incidental to agriculture) -Services incidental to animal husbandry 1) and 2) None (CPC 8812 limited to professional services incidental to animal husbandry) 3) None except as indicated in 1.A 4) Unbound, except as indicated in Chapter 16 (Temporary Entry for Business Persons). - Services incidental to forestry and logging (CPC 88104) 1) and 2) None 3) None except as indicated in 1.A 4) Unbound, except as indicated in Chapter 16 (Temporary Entry for Business Persons). g) Services incidental to fishing (CPC 1), 2) and 3) None 882) 4) Unbound except as indicated in Temporary Entry for Business Persons Chapter.</w:t>
      </w:r>
    </w:p>
    <w:p>
      <w:pPr>
        <w:pStyle w:val="Normal"/>
        <w:widowControl/>
        <w:rPr/>
      </w:pPr>
      <w:r>
        <w:rPr/>
        <w:t>k) Placement and supply of services of 1), 2) and 3) None personnel (CPC 8720) 4) Unbound, except as indicated in Chapter 16 (Temporary Entry for Business Persons).</w:t>
      </w:r>
    </w:p>
    <w:p>
      <w:pPr>
        <w:pStyle w:val="Normal"/>
        <w:widowControl/>
        <w:rPr/>
      </w:pPr>
      <w:r>
        <w:rPr/>
        <w:t>ANNEX II – MEXICO – 14 Sector or subsector Limitations on market access l) Protection and guard services (CPC 8730) 1) Unbound 2) None. 3)None, except that the requirements laid down for each specific means of transport must be fulfilled. 4) Unbound, except as indicated in Chapter 16 (Temporary Entry for Business Persons). n) Maintenance and repair of equipment 1), 2) and 3) None except maritime vessels, aircraft and other transport equipment: 4) Unbound, except as indicated in Chapter 16 (Temporary Entry for Business Persons). - Repair and maintenance of industrial 1), 2) and 3) None machinery and equipment (CPC 8862) 4) Unbound, except as indicated in Chapter 16 (Temporary Entry for Business Persons). Repair and maintenance of 1), 2) and 3) None professional technical equipment and instruments 4) Unbound, except as indicated in Chapter 16 (CPC 8866) (Temporary Entry for Business Persons). - Repair services incidental to metal 1), 2) and 3) None products, machinery and equipment.</w:t>
      </w:r>
    </w:p>
    <w:p>
      <w:pPr>
        <w:pStyle w:val="Normal"/>
        <w:widowControl/>
        <w:rPr/>
      </w:pPr>
      <w:r>
        <w:rPr/>
        <w:t>(CPC886) 4) Unbound, except as indicated in Chapter 16 (Temporary Entry for Business Persons). - Repair and maintenance of machinery 1), 2) and 3) None and equipment for general use, not assignable to any specific activity (CPC 4) Unbound, except as indicated in Chapter 16 886) (Temporary Entry for Business Persons). o) Building-cleaning services (CPC 8740) 1)None 2)Unbound* 3)None 4) Unbound, except as indicated in Chapter 16 (Temporary Entry for Business Persons).</w:t>
      </w:r>
    </w:p>
    <w:p>
      <w:pPr>
        <w:pStyle w:val="Normal"/>
        <w:widowControl/>
        <w:rPr/>
      </w:pPr>
      <w:r>
        <w:rPr/>
        <w:t>p) Photographic services Photography and motion-picture 1) None 2) Unbound*</w:t>
      </w:r>
    </w:p>
    <w:p>
      <w:pPr>
        <w:pStyle w:val="Normal"/>
        <w:widowControl/>
        <w:rPr/>
      </w:pPr>
      <w:r>
        <w:rPr/>
        <w:t>ANNEX II – MEXICO – 15 Sector or subsector Limitations on market access processing services (CPC 87505 and 87506) 3) None 4) Unbound, except as indicated in Chapter 16 (Temporary Entry for Business Persons). r) Printing, publishing (CPC 88442) 1), 2) and 3) None Only includes: 4) Unbound, except as indicated in Chapter 16 Publishing of books and similars (Temporary Entry for Business Persons). Printing and binding (except newsprint for circulation exclusively in the Mexican territory) Auxiliary and related industries with editing and printing (excludes manufacturing for printing types which are classified into 3811 branch, “casting and moulding of ferrous and nonferrous metal parts”). s) Convention services (CPC 87909***) 1)Unbound* 2)None 3)None 4)Unbound, except as indicated in Chapter 16 (Temporary Entry for Business Persons). t) Other - Credit reporting services (CPC 87901) 1)Unbound 2)None 3)None 4) Unbound, except as indicated in Chapter 16 (Temporary Entry for Business Persons). Speciality design services (CPC 1), 2) and 3) None 87907) 4) Unbound, except as indicated in Chapter 16 (Temporary Entry for Business Persons). Industrial design services (CPC 86725) 1), 2) and 3) None</w:t>
      </w:r>
    </w:p>
    <w:p>
      <w:pPr>
        <w:pStyle w:val="Normal"/>
        <w:widowControl/>
        <w:rPr/>
      </w:pPr>
      <w:r>
        <w:rPr/>
        <w:t>ANNEX II – MEXICO – 16 Sector or subsector Limitations on market access 4) Unbound, except as indicated in Chapter 16 (Temporary Entry for Business Persons). - Photocopying and similar services 1), 2) and 3) None (CPC 87904) 4) Unbound, except as indicated in Chapter 16 (Temporary Entry for Business Persons). - Translation and interpretation services 1), 2) and 3) None (CPC 87905) 4) Unbound, except as indicated in Chapter 16 (Temporary Entry for Business Persons). - Laundry collection services (CPC 97011) 1)Unbound* 2)None 3)None 4)Unbound, except as indicated in Chapter 16 (Temporary Entry for Business Persons). 2.COMMUNICATION SERVICES B. Courier services 1) Unbound -Courier services (CPC 7512) 2) None 3) None, except that the requirements laid down for each specific means of transport must be fulfilled. 4) Unbound, except as indicated in Chapter 16 (Temporary Entry for Business Persons). C.</w:t>
      </w:r>
    </w:p>
    <w:p>
      <w:pPr>
        <w:pStyle w:val="Normal"/>
        <w:widowControl/>
        <w:rPr/>
      </w:pPr>
      <w:r>
        <w:rPr/>
        <w:t>Telecommunication Services Telecommunications services supplied by facilities based public telecommunications network (wire based and radioelectric) through any technological medium, included in subparagraphs (a), (b), (c), (f), (g) and (o) 1) The international traffic only may be routed through international ports of a natural person or juridical person with a concession granted by the regulatory agency to install, operate or use a public telecommunication network in the Mexican territory authorized to provide long distance service.</w:t>
      </w:r>
    </w:p>
    <w:p>
      <w:pPr>
        <w:pStyle w:val="Normal"/>
        <w:widowControl/>
        <w:rPr/>
      </w:pPr>
      <w:r>
        <w:rPr/>
        <w:t>2) None 3) The Federal Telecommunications Institute (Instituto Federal de telecomunicaciones,</w:t>
      </w:r>
    </w:p>
    <w:p>
      <w:pPr>
        <w:pStyle w:val="Normal"/>
        <w:widowControl/>
        <w:rPr/>
      </w:pPr>
      <w:r>
        <w:rPr/>
        <w:t>ANNEX II – MEXICO – 17 Sector or subsector Limitations on market access IFT), shall reserve for community indigenous FM radio stations ten per cent of broadcasting band of FM that goes from 88 to 108 MHz. Such percentage shall be granted as concession for the upper part of the referred band. The Institute shall directly assign 90 MHz of the 700 MHz band for the operation and exploitation of a wholesale shared network through a concession for commercial use. Resellers of telecommunications of long distance and international long distance may contract telecommunications services (exclusively) with authorized concessionaires. The economic agent who has been declared preponderant in the telecommunications sector or the concessionaires that are part of the economic group to which the declared preponderant agent belongs to may not participate directly or indirectly in any reseller. 4) Unbound, except as indicated in Chapter 16 (Temporary Entry for Business Persons). a) Telephony Services (CPC 75211, 75212) 1) As indicated in 2.C.1).</w:t>
      </w:r>
    </w:p>
    <w:p>
      <w:pPr>
        <w:pStyle w:val="Normal"/>
        <w:widowControl/>
        <w:rPr/>
      </w:pPr>
      <w:r>
        <w:rPr/>
        <w:t>2) None 3) None 4) Unbound, except as indicated in Chapter 16 (Temporary Entry for Business Persons). b) Packet-switched data transmission services (CPC 7523**) 1) As indicated in 2.C.1). 2) None 3) None 4) Unbound, except as indicated in Chapter 16 (Temporary Entry for Business Persons).</w:t>
      </w:r>
    </w:p>
    <w:p>
      <w:pPr>
        <w:pStyle w:val="Normal"/>
        <w:widowControl/>
        <w:rPr/>
      </w:pPr>
      <w:r>
        <w:rPr/>
        <w:t>ANNEX II – MEXICO – 18 Sector or subsector Limitations on market access c) Circuit-switched data transmission services (CPC 7523</w:t>
      </w:r>
      <w:r>
        <w:rPr>
          <w:b/>
        </w:rPr>
        <w:t>) 1) As indicated in 2.C.1). 2) None 3) None 4) Unbound, except as indicated in Chapter 16 (Temporary Entry for Business Persons). f) Facsimile services (CPC 1), 2) and 3) None 7521</w:t>
      </w:r>
      <w:r>
        <w:rPr/>
        <w:t>+7529</w:t>
      </w:r>
      <w:r>
        <w:rPr>
          <w:b/>
        </w:rPr>
        <w:t>) 4) Unbound, except as indicated in Chapter 16 (Temporary Entry for Business Persons). g) Private leased circuit services (CPC 7522</w:t>
      </w:r>
      <w:r>
        <w:rPr/>
        <w:t>+7523</w:t>
      </w:r>
      <w:r>
        <w:rPr>
          <w:b/>
        </w:rPr>
        <w:t>) 1) As indicated in 2.C.1). In Mexico it is not allowed allow the resale of private leased circuits to private networks. 2) None 3) None 4) Unbound, except as indicated in Chapter 16 (Temporary Entry for Business Persons). o) Others - Paging services (CPC 75291) 1) As indicated in 2.C.1). 2) None 3) As indicated in 2.C.3) 4) Unbound, except as indicated in Chapter 16 (Temporary Entry for Business Persons). - Cellular telephony (75213</w:t>
      </w:r>
      <w:r>
        <w:rPr/>
        <w:t>) 1) As indicated in 2.C.1). 2) None 3) None 4) Unbound, except as indicated in Chapter 16 (Temporary Entry for Business Persons). - Resellers 1) As indicated in 2.C.1). Companies which, without owning transmission means, provide third parties with telecommunications services by using capacity leased from a public network concessionaire.</w:t>
      </w:r>
    </w:p>
    <w:p>
      <w:pPr>
        <w:pStyle w:val="Normal"/>
        <w:widowControl/>
        <w:rPr/>
      </w:pPr>
      <w:r>
        <w:rPr/>
        <w:t>ANNEX II – MEXICO – 19 Sector or subsector Limitations on market access 2) None 3) None, except that the establishment and operation of resellers is invariably subject to the relevant regulations. The Federal Telecommunications Institue (Instituto Federal de Telecomunicaciones, IFT) will not issue permits for the establishment of a reseller until the corresponding regulations are issued. 4) Unbound, except as indicated in Chapter 16 (Temporary Entry for Business Persons). - Other telecommunication services. Value-added services (Services that use public telecommunication network and have effect on the format, content, code, protocol, storage or similar aspects of the information transmitted by a user and which market users with additional information, different and restructured, or involve interaction user with information stored). 1) Registration before the Federal Telecommunications Institute (Instituto Federal de Telecomunicaciones, IFT) is required to provide Value Added Services. The Value Added Services originated overseas destined to the Mexican territory may only be taken and delivered in Mexico through infrastructure or facilities of a public telecommunications network concessioner. 2) None 3) None 4) Unbound, except as indicated in Chapter 16 (Temporary Entry for Business Persons). 2.D.</w:t>
      </w:r>
    </w:p>
    <w:p>
      <w:pPr>
        <w:pStyle w:val="Normal"/>
        <w:widowControl/>
        <w:rPr/>
      </w:pPr>
      <w:r>
        <w:rPr/>
        <w:t>Audiovisual services a) Private production of cinematographic films (CPC 96112) 1), 2) and 3) None, except that film screening requires a permit issued by the Ministry of the Interior (Secretaría de Gobernación). 3 Value Added Services are not those services for which its establishment, operation or exploitation make use of transmission infrastructure owned by the service provider, unless the service provider has the appropriate license or permit to establish, operate or exploit a public telecommunications network. It does not include those value- added services, the provision requiring the obtaining of licenses and permits including, without limitation, the following services: voice telephony, regardless of the technology used (VoIP) in its modalities of local service; long distance telephony; simple resale of leased private circuits, mobile telephony, mobile or fixed radio telephony, cable television, paid television using microwaves and satellite; paging services, trucking services; private or maritime radio-communication: restricted radio; data transmission; videoconferencing and vehicle radiolocation.</w:t>
      </w:r>
    </w:p>
    <w:p>
      <w:pPr>
        <w:pStyle w:val="Normal"/>
        <w:widowControl/>
        <w:rPr/>
      </w:pPr>
      <w:r>
        <w:rPr/>
        <w:t>ANNEX II – MEXICO – 20 Sector or subsector Limitations on market access 4) Unbound, except as indicated in Chapter 16 (Temporary Entry for Business Persons). b) Private film-screening services 1), 2) and 3) None (CPC 96121) 4) Unbound, except as indicated in Chapter 16 (Temporary Entry for Business Persons). c) Radio and Television Services (CPC9613) - broadcasting (radio and free to air television) 1) None 2) None 3) The Federal Institute of Telecommunications (Instituto Federal de Telecomunicaciones, IFT) shall grant upon request authorizations to access the multiprogramming. In the case of concessionaires belonging to an agent declared preponderant the IFT will not authorize the transmission of a number of channels greater than 50 per cent of the total amount of broadcasted television channels, including the multiprogramming ones, authorized for other concessionaires that are broadcasting in the region covered. Concessionaires of commercial, public and social use providing broadcasting service shall have daily free transmission in each station and for each programming cannel, of duration up to 30 minutes whether continuous or discontinuous, dedicated to disseminate educational, cultural and social interest topics.</w:t>
      </w:r>
    </w:p>
    <w:p>
      <w:pPr>
        <w:pStyle w:val="Normal"/>
        <w:widowControl/>
        <w:rPr/>
      </w:pPr>
      <w:r>
        <w:rPr/>
        <w:t>In addition to the time set for the State, all concessionaires of commercial, public and social use providing broadcasting services shall be required to broadcast simultaneously in radio stations and television channels in the country when it comes to transmitting information of concern to the nation, according to the Ministry of Interior (Secretaría de Gobernación). 4) Unbound, except as indicated in Chapter 16 (Temporary Entry for Business Persons).</w:t>
      </w:r>
    </w:p>
    <w:p>
      <w:pPr>
        <w:pStyle w:val="Normal"/>
        <w:widowControl/>
        <w:rPr/>
      </w:pPr>
      <w:r>
        <w:rPr/>
        <w:t>ANNEX II – MEXICO – 21 Sector or subsector Limitations on market access Restricted radio and television services 1)None 2)None 3)Concessionaires providing restricted or audio services shall reserve at no charge channels for the distribution of federal public institutions’ television signals as indicated by the executive through the Federal Executive branch as follows: I. A channel with the service consists of 31 to 37 channels; II. Two channels, when the service consists of 38 to 45 channels, and III. Three channels, when the service consists of 46 to 64 channels. Beyond this last number, a channel shall be added for every 32 transmission channels. When the service consists of up to 30 channels, The Ministry may require, that a specific cannel dedicates up to six hours daily for transmission of programming as indicated by the Ministry of the Interior (Secretaría de Gobernación). Concessionaires providing broadcasting or restricted television and audio services, as well as programmers and signals operators shall maintain a balance between advertising and programming transmitted daily, and the following rules shall apply:</w:t>
      </w:r>
    </w:p>
    <w:p>
      <w:pPr>
        <w:pStyle w:val="Normal"/>
        <w:widowControl/>
        <w:rPr/>
      </w:pPr>
      <w:r>
        <w:rPr/>
        <w:t>I. concessionaires of commercial use broadcasting: a) in television stations, the time spent on commercial advertising shall not exceed 18 percent of the total transmission time per programming channel, and b) in radio stations, the time spent on commercial advertising shall not exceed 40 percent of the total transmission time per programming channel.</w:t>
      </w:r>
    </w:p>
    <w:p>
      <w:pPr>
        <w:pStyle w:val="Normal"/>
        <w:widowControl/>
        <w:rPr/>
      </w:pPr>
      <w:r>
        <w:rPr/>
        <w:t>ANNEX II – MEXICO – 22 Sector or subsector Limitations on market access The length of commercial advertising does not include transmissions of the station own advertising, nor does it include State time and other Executive Branch provisions or programmes offering products or services; II. concessionaires of restricted television, and audio may transmit, daily and per channel, up to six minutes of advertising for every hour of transmission. For purposes of corresponding calculation, advertising in the broadcast signals that are retransmitted and programming channels own advertising shall not be considered, and the channels exclusively dedicated to programmes of product offerings, shall be exempted from the limit stated in the previous paragraph. 4) Unbound, except as indicated in Chapter 16 (Temporary Entry for Business Persons). 3.CONSTRUCTION AND RELATED ENGINEERING SERVICES General construction work for buildings 1)Unbound -Residential or housing building (CPC 5121 and 5122) 2)Unbound* 3)None 4)Unbound -Non-residential buildings (CPC 5124, 5127 and 5128) 1)Unbound 2)Unbound* 3)None 4)Unbound General construction work for civil engineering 1)Unbound -Construction of urban development 2)Unbound* works (CPC 5131 and 5135) 3)None</w:t>
      </w:r>
    </w:p>
    <w:p>
      <w:pPr>
        <w:pStyle w:val="Normal"/>
        <w:widowControl/>
        <w:rPr/>
      </w:pPr>
      <w:r>
        <w:rPr/>
        <w:t>ANNEX II – MEXICO – 23 Sector or subsector Limitations on market access 4)Unbound, except as indicated in Chapter 16 (Temporary Entry for Business Persons). Construction of industrial buildings (excluding electric power stations and plants for the piping of oil and oil products (CPC 52121) 1)Unbound 2)Unbound* 3)None 4)Unbound, except as indicated in Chapter 16 (Temporary Entry for Business Persons). Other construction (excluding construction of maritime and river works, highway and transport works and track construction) (CPC 52269) 1)Unbound 2)Unbound* 3)None 4)Unbound, except as indicated in Chapter 16 (Temporary Entry for Business Persons). Building completion and finishing work Electrical, plumbing and drainage 1)Unbound installations in buildings (excluding telecommunication installations and 2)Unbound* other special installations) (CPC 5161 5164) 3)None 4)Unbound, except as indicated in Chapter 16 (Temporary Entry for Business Persons). E. Other 1) Unbound Special work, including earth moving, 2) Unbound* foundations, underground excavation, under-water work, signalling and 3) None, except that services relating to visual protection installations, demolition, and electronic aids for runways are subject to construction of drinking water or water authorization by the Ministry of treatment plants (excluding sinking of Communication and Transports (Secretaría de oil, gas and water wells) (CPC 511 and Comunicaciones y Transportes, SCT).</w:t>
      </w:r>
    </w:p>
    <w:p>
      <w:pPr>
        <w:pStyle w:val="Normal"/>
        <w:widowControl/>
        <w:rPr/>
      </w:pPr>
      <w:r>
        <w:rPr/>
        <w:t>515) 4) Unbound, except as indicated in Chapter 16 (Temporary Entry for Business Persons). DISTRIBUTION SERVICES</w:t>
      </w:r>
    </w:p>
    <w:p>
      <w:pPr>
        <w:pStyle w:val="Normal"/>
        <w:widowControl/>
        <w:rPr/>
      </w:pPr>
      <w:r>
        <w:rPr/>
        <w:t>ANNEX II – MEXICO – 24 Sector or subsector Limitations on market access A Trade intermediary services (CPC 621) 1), 2) and 3) None (includes sales agents who are not considered within the paid staff of any 4) Unbound, except as indicated in Chapter 16 establishment in particular). (Temporary Entry for Business Persons). 4. B. Wholesale trade services 1), 2) and 3) None -Wholesale trade of non-food products, 4) Unbound, except as indicated in Chapter 16 including animal feed (excluding (Temporary Entry for Business Persons). petroleum-based fuels, coal, firearms, cartridges and ammunition) (CPC 622) - Commission agents´ services (CPC 1), 2) and 3) None 62113 – 621118) 4) Unbound, except as indicated in Chapter 16 (Temporary Entry for Business Persons). -Wholesale trade of food, beverages 1), 2) and 3) None and tobacco (CPC 6222) 4) Unbound, except as indicated in Chapter 16 (Temporary Entry for Business Persons). - Wholesale trade services (CPC 622) 1), 2) and 3) None 4) Unbound, except as indicated in Chapter 16 (Temporary Entry for Business Persons). 4. C. Retail trade services:</w:t>
      </w:r>
    </w:p>
    <w:p>
      <w:pPr>
        <w:pStyle w:val="Normal"/>
        <w:widowControl/>
        <w:rPr/>
      </w:pPr>
      <w:r>
        <w:rPr/>
        <w:t>1), 2) and 3) None -Retail sales of food, beverages and 4) Unbound, except as indicated in Chapter 16 tobacco in specialized establishments (Temporary Entry for Business Persons). (CPC 6310) - Retail sales of food products in 1), 2) and 3) None supermarkets, self-service stores and shops (CPC 6310) 4) Unbound, except as indicated in Chapter 16 (Temporary Entry for Business Persons).</w:t>
      </w:r>
    </w:p>
    <w:p>
      <w:pPr>
        <w:pStyle w:val="Normal"/>
        <w:widowControl/>
        <w:rPr/>
      </w:pPr>
      <w:r>
        <w:rPr/>
        <w:t>-Retail sales of non-food products in 1), 2) and 3) None department stores and shops (CPC 632) 4) Unbound, except as indicated in Chapter 16 (Temporary Entry for Business Persons). -Retail sales of motor vehicles, 1), 2) and 3) None including tyres and spare parts (CPC 61112) 4) Unbound, except as indicated in Chapter 16 (Temporary Entry for Business Persons).</w:t>
      </w:r>
    </w:p>
    <w:p>
      <w:pPr>
        <w:pStyle w:val="Normal"/>
        <w:widowControl/>
        <w:rPr/>
      </w:pPr>
      <w:r>
        <w:rPr/>
        <w:t>ANNEX II – MEXICO – 25 Sector or subsector Limitations on market access - Retail sales of non-food products in 1), 2) and 3) None specialised establishments (excluding retail sales of liquefied fuel gas, 4) Unbound, except as indicated in Chapter 16 charcoal, coal and other non (Temporary Entry for Business Persons). petroleum-based fuels, paraffin, fuel, and tractor vaporising oil (TVO), gasoline and diesel, firearms, cartridges and ammunition) (CPC 6329) 4.D. Franchise services 1), 2) and 3) None 4) Unbound, except as indicated in Chapter 16 (Temporary Entry for Business Persons). 5.PRIVATE EDUCATION SERVICES 5. A. Primary education services (CPC 921) 1) and 2) None 3) None except that prior authorization is required from the Ministry of Public Education (Secretaría de Educación Pública, SEP) or the State authority. 4) Unbound, except as indicated in Chapter 16 (Temporary Entry for Business Persons). 5. B. Secondary education services (CPC 922) 1) and 2) None 3) None except that prior authorization is required from the Ministry of Public Education (Secretaría de Educación Pública, SEP) or the State authority.</w:t>
      </w:r>
    </w:p>
    <w:p>
      <w:pPr>
        <w:pStyle w:val="Normal"/>
        <w:widowControl/>
        <w:rPr/>
      </w:pPr>
      <w:r>
        <w:rPr/>
        <w:t>4) Unbound, except as indicated in Chapter 16 (Temporary Entry for Business Persons). 5. C. Higher education services (CPC 923) 1) and 2) None 3) None except that prior authorization is required from the Ministry of Public Education (Secretaría de Educación Pública, SEP) or the State authority. 4) Unbound, except as indicated in Chapter 16</w:t>
      </w:r>
    </w:p>
    <w:p>
      <w:pPr>
        <w:pStyle w:val="Normal"/>
        <w:widowControl/>
        <w:rPr/>
      </w:pPr>
      <w:r>
        <w:rPr/>
        <w:t>ANNEX II – MEXICO – 26 Sector or subsector Limitations on market access (Temporary Entry for Business Persons). 5. E. Other education services: Language education, special education and commercial training (CPC 9290) 1) and 2) None 3) None, except that prior authorization is required from the Ministry of Public Education (Secretaría de Educación Pública, SEP) or the State authority. 4) Unbound, except as indicated in Chapter 16 (Temporary Entry for Business Persons). 6. ENVIRONMENTAL SERVICES 6. A. Sewage services (CPC 9401) 1)Unbound 2)None 3)None 4)Unbound, except as indicated in Chapter 16 (Temporary Entry for Business Persons). 6. B. Additional environmental services Refuse disposal services (CPC 9402) 1) Unbound 2) None 3) None 4) Unbound, except as indicated in Chapter 16 (Temporary Entry for Business Persons). Protection of ambient air and climate (CPC 9404) 1)Unbound 2)None 3)None 4) Unbound, except as indicated in Chapter 16 (Temporary Entry for Business Persons). Noise abatement services (CPC 9405) 1) Unbound 2) None 3) None 4 The level of disaggregation of each of this sector’s subsectors is interpreted in accordance with Mexico’s domestic legislative framework and may not correspond exactly to the stated CPC classification.</w:t>
      </w:r>
    </w:p>
    <w:p>
      <w:pPr>
        <w:pStyle w:val="Normal"/>
        <w:widowControl/>
        <w:rPr/>
      </w:pPr>
      <w:r>
        <w:rPr/>
        <w:t>ANNEX II – MEXICO – 27 Sector or subsector Limitations on market access 4) Unbound, except as indicated in Chapter 16 (Temporary Entry for Business Persons). Nature and landscape protection services (CPC 9406) 1) Unbound 2) None 3) None 4) Unbound, except as indicated in Chapter 16 (Temporary Entry for Business Persons). Limited to environmental impact assessments and Consultancy services for environmental protection services (CPC 9409) 1) Unbound 2) None 3) None 4) Unbound, except as indicated in Chapter 16 (Temporary Entry for Business Persons). 6. C. Sanitation services (CPC 94030) 1) Unbound 2) None 3) None 4) Unbound, except as indicated in Chapter 16 (Temporary Entry for Business Persons). 8. HEALTH RELATED AND SOCIAL SERVICES 8. A. Private hospital services (CPC 9311) 1) Unbound* 2) and 3) None 4) Unbound, except as indicated in Chapter 16 (Temporary Entry for Business Persons). 8. B. Other human health services. 1) Unbound Private services of clinical 2) and 3) None laboratories auxiliary to medical diagnosis (CPC 93199) 4) Unbound, except as indicated in Chapter 16 (Temporary Entry for Business Persons).</w:t>
      </w:r>
    </w:p>
    <w:p>
      <w:pPr>
        <w:pStyle w:val="Normal"/>
        <w:widowControl/>
        <w:rPr/>
      </w:pPr>
      <w:r>
        <w:rPr/>
        <w:t>ANNEX II – MEXICO – 28 Sector or subsector Limitations on market access - Other private services auxiliary to medical treatment (CPC 93191) 1) Unbound 2) and 3) None 4) Unbound, except as indicated in Chapter 16 (Temporary Entry for Business Persons). - Dental prosthesis laboratory services (CPC 93123) 1) Unbound 2) and 3) None 4) Unbound, except as indicated in Chapter 16 (Temporary Entry for Business Persons). 9.TOURISM AND TRAVEL RELATED SERVICES 9. A. Hotel and restaurant services Hotel services (CPC 6411) 1), 2) and 3) None, except for the requirement of holding a permit to engage in the activity from the competent authority (Central, Regional or Local). 4) Unbound, except as indicated in Chapter 16 (Temporary Entry for Business Persons). -Motel services (CPC 6412) 1) Unbound* 2) None 3) None, except a permit from the competent authority (Central, Regional or Local) is required to engage in the activity.</w:t>
      </w:r>
    </w:p>
    <w:p>
      <w:pPr>
        <w:pStyle w:val="Normal"/>
        <w:widowControl/>
        <w:rPr/>
      </w:pPr>
      <w:r>
        <w:rPr/>
        <w:t>4) Unbound, except as indicated in Chapter 16 (Temporary Entry for Business Persons). - Board and lodging in guest houses and furnished accommodation (CPC 64192 and 64193) 1) Unbound* 2) None 3) None, except a permit from the competent authority (Central, Regional or Local) is required to engage in the activity. 4) Unbound, except as indicated in Chapter 16 (Temporary Entry for Business Persons).</w:t>
      </w:r>
    </w:p>
    <w:p>
      <w:pPr>
        <w:pStyle w:val="Normal"/>
        <w:widowControl/>
        <w:rPr/>
      </w:pPr>
      <w:r>
        <w:rPr/>
        <w:t>ANNEX II – MEXICO – 29 Sector or subsector Limitations on market access - Youth hostels and temporary camping facilities (CPC 64194) 1) Unbound* 2) None 3) None, except a permit from the competent authority (Central, Regional or Local) is required to engage in the activity. 4) Unbound, except as indicated in Chapter 16 (Temporary Entry for Business Persons). - Camping facilities for mobile homes (trailer parks) (CPC 64195) 1) Unbound* 2) None 3) None, except a permit from the competent authority (Central, Regional or Local) is required to engage in the activity. 4) Unbound, except as indicated in Chapter 16 (Temporary Entry for Business Persons). -Restaurant services (CPC 642) 1), 2) and 3) None, except for the requirement of holding a permit to engage in the activity from the competent authority (Central, Regional or Local). 4) Unbound, except as indicated in Chapter 16 (Temporary Entry for Business Persons). - Cabarets and night clubs (CPC 6432) 1) Unbound* 2) None 3) None, except a permit from the competent authority (Central, Regional or Local) is required to engage in the activity.</w:t>
      </w:r>
    </w:p>
    <w:p>
      <w:pPr>
        <w:pStyle w:val="Normal"/>
        <w:widowControl/>
        <w:rPr/>
      </w:pPr>
      <w:r>
        <w:rPr/>
        <w:t>4) Unbound, except as indicated in Chapter 16 (Temporary Entry for Business Persons). - Canteens, bars and taverns (CPC 6431) 1) Unbound* 2) None 3) None, except a permit from the competent</w:t>
      </w:r>
    </w:p>
    <w:p>
      <w:pPr>
        <w:pStyle w:val="Normal"/>
        <w:widowControl/>
        <w:rPr/>
      </w:pPr>
      <w:r>
        <w:rPr/>
        <w:t>ANNEX II – MEXICO – 30 Sector or subsector Limitations on market access authority (Central, Regional or Local) is required to engage in the activity. 4) Unbound, except as indicated in Chapter 16 (Temporary Entry for Business Persons). B. Travel agencies and tour operators (CPC 7471) 1) None 2) None 3) None, except a permit from the competent authority (Central, Regional or Local) is required to engage in the activity. 4) Unbound, except as indicated in Chapter 16 (Temporary Entry for Business Persons). C. Tourist guide services (CPC 7472) 1) Unbound* 2) None 3) None, except a permit from the competent authority (Central, Regional or Local) is required to engage in the activity. 4) Unbound, except as indicated in Chapter 16 (Temporary Entry for Business Persons). 9. D. Others - Spa services (CPC 97029) 1), 2) and 3) None Only includes: 4) Unbound, except as indicated in Chapter 16 Private services in social centres, (Temporary Entry for Business Persons). recreational and sports. Also, sports clubs services, gyms, spas, swimming pools, sports fields, billiards, bowling, horses and bicycles. Excludes boats rental.</w:t>
      </w:r>
    </w:p>
    <w:p>
      <w:pPr>
        <w:pStyle w:val="Normal"/>
        <w:widowControl/>
        <w:rPr/>
      </w:pPr>
      <w:r>
        <w:rPr/>
        <w:t>Catering services, providing meals to 1) Unbound* outside (CPC 6423) (other than service on aircraft and in airports) 2) None 3) None, except a permit from the competent authority (Central, Regional or Local) is</w:t>
      </w:r>
    </w:p>
    <w:p>
      <w:pPr>
        <w:pStyle w:val="Normal"/>
        <w:widowControl/>
        <w:rPr/>
      </w:pPr>
      <w:r>
        <w:rPr/>
        <w:t>ANNEX II – MEXICO – 31 Sector or subsector Limitations on market access required to engage in the activity. 4) Unbound, except as indicated in Chapter 16 (Temporary Entry for Business Persons). Bar services with entertainment (only 1) Unbound* in hotels and other lodging places) 2) None 3) None, except a permit from the competent authority (Central, Regional or Local) is required to engage in the activity. 4) Unbound, except as indicated in Chapter 16 (Temporary Entry for Business Persons). Public house services without entertainment (CPC 6431) (except in hotels, other lodging places and other means of transport) 1) Unbound* 2) None 3) None, except a permit from the competent authority (Central, Regional or Local) is required to engage in the activity. 4) Unbound, except as indicated in Chapter 16 (Temporary Entry for Business Persons). 10.RECREATIONAL, CULTURAL AND SPORTING SERVICES (other than audiovisual services) 10. A. Entertainment services 1), 2) and 3) None (including theatre, live bands and circus) (CPC 9619) 4) Unbound, except as indicated in Chapter 16 (Temporary Entry for Business Persons). 10. B.</w:t>
      </w:r>
    </w:p>
    <w:p>
      <w:pPr>
        <w:pStyle w:val="Normal"/>
        <w:widowControl/>
        <w:rPr/>
      </w:pPr>
      <w:r>
        <w:rPr/>
        <w:t>News agency services (CPC 1), 2) and 3) None 962) 4) Unbound, except as indicated in Chapter 16 (Temporary Entry for Business Persons). 10. C. Libraries, archives, museums 1), 2) and 3) None and other cultural services (CPC 963) 4) Unbound, except as indicated in Chapter 16 (Temporary Entry for Business Persons). 10. D. Sporting and other recreational</w:t>
      </w:r>
    </w:p>
    <w:p>
      <w:pPr>
        <w:pStyle w:val="Normal"/>
        <w:widowControl/>
        <w:rPr/>
      </w:pPr>
      <w:r>
        <w:rPr/>
        <w:t>ANNEX II – MEXICO – 32 Sector or subsector Limitations on market access services (CPC 964) - Sports event organization services (CPC 96412) 1) Unbound* 2) and 3) None 4) Unbound, except as indicated in Chapter 16 (Temporary Entry for Business Persons). - Sports facility operation services (CPC 96413) 1) Unbound* 2) and 3) None 4) Unbound, except as indicated in Chapter 16 (Temporary Entry for Business Persons). - Other sporting services (only services 1) Unbound* provided by sport and game schools) (CPC 96419) 2) and 3) None 4) Unbound, except as indicated in Chapter 16 (Temporary Entry for Business Persons). -Promotion of sports services (CPC 1), 2) and 3) None 96411) 4) Unbound, except as indicated in Chapter 16 (Temporary Entry for Business Persons). 11.TRANSPORT SERVICES A. Maritime transport services International Transport (freight and passengers) (CPC 7211 and 7212, other than cabotage transport) 1) Scheduled, bulk, tramp and other international maritime transport, including passenger transport.</w:t>
      </w:r>
    </w:p>
    <w:p>
      <w:pPr>
        <w:pStyle w:val="Normal"/>
        <w:widowControl/>
        <w:rPr/>
      </w:pPr>
      <w:r>
        <w:rPr/>
        <w:t>Specific international high-sea transport may be reserved wholly or partly for shipping companies which are Mexican, or recognized as such, when the principles of free competition are not observed and the national economy is affected. 2) and 3) None 4) Unbound, except as indicated in Chapter 16 (Temporary Entry for Business Persons).</w:t>
      </w:r>
    </w:p>
    <w:p>
      <w:pPr>
        <w:pStyle w:val="Normal"/>
        <w:widowControl/>
        <w:rPr/>
      </w:pPr>
      <w:r>
        <w:rPr/>
        <w:t>Supporting services for water transport (CPC 745) (includes operation and maintenance of docks; loading and unloading of vessels at 1), 2) and 3) None 4) Unbound, except as indicated in Chapter 16 (Temporary Entry for Business Persons).</w:t>
      </w:r>
    </w:p>
    <w:p>
      <w:pPr>
        <w:pStyle w:val="Normal"/>
        <w:widowControl/>
        <w:rPr/>
      </w:pPr>
      <w:r>
        <w:rPr/>
        <w:t>ANNEX II – MEXICO – 33 Sector or subsector Limitations on market access shore-side; marine cargo handling, operation and maintenance of piers; ship and boat cleaning; stevedoring; transfer of cargo between ships and trucks, trains, pipelines and wharves; waterfront terminal operations) -Supporting services for water transport 1), 2) and 3) None (CPC 745) (limited to Maritime Port Administration, Lake and Rivers) 4) Unbound, except as indicated in Chapter 16 (Temporary Entry for Business Persons). -Maritime cargo handling services 1) Unbound* 2) and 3) None 4) Unbound, except as indicated in Chapter 16 (Temporary Entry for Business Persons). -Storage and warehousing services, 1) Unbound* except general bonded warehouses (CPC 742) 2) and 3) None 4) Unbound, except as indicated in Chapter 16 (Temporary Entry for Business Persons). - Container station and depot services 1) Unbound* 2) and 3) None 4) Unbound, except as indicated in Chapter 16 (Temporary Entry for Business Persons). -Maritime agency services 1) Unbound* 2) and 3) None 4) Unbound, except as indicated in Chapter 16 (Temporary Entry for Business Persons). -Maritime freight forwarding services 1) Unbound* 2) and 3) None 4) Unbound, except as indicated in Chapter 16 (Temporary Entry for Business Persons).</w:t>
      </w:r>
    </w:p>
    <w:p>
      <w:pPr>
        <w:pStyle w:val="Normal"/>
        <w:widowControl/>
        <w:rPr/>
      </w:pPr>
      <w:r>
        <w:rPr/>
        <w:t>ANNEX II – MEXICO – 34 Sector or subsector Limitations on market access -Vessel maintenance and repair 1) Unbound* 2) and 3) None 4) Unbound, except as indicated in Chapter 16 (Temporary Entry for Business Persons). 11. C. Air transport services e) Supporting services for air transport -Airport and heliport administration services 1) Unbound 2) None 3) None, except that a concession from the Ministry of Communications and Transport (Secretaría de Comunicaciones y Transportes, SCT) is required to operate an airport. 4) Unbound, except as indicated in Chapter 16 (Temporary Entry for Business Persons). 11. E. Rail transport services 1) Unbound* c. Pushing or towing services (CPC 2) and 3) None 7113) 4) Unbound, except as indicated in Chapter 16 (Temporary Entry for Business Persons). e. Supporting services for railway transport (CPC 743) 1) Unbound* 2) and 3) None 4) Unbound, except as indicated in Chapter 16 (Temporary Entry for Business Persons). 11. F. Road transport services 1), 2) and 3) None d) Maintenance and repair of road 4) Unbound, except as indicated in Chapter 16 transport equipment.</w:t>
      </w:r>
    </w:p>
    <w:p>
      <w:pPr>
        <w:pStyle w:val="Normal"/>
        <w:widowControl/>
        <w:rPr/>
      </w:pPr>
      <w:r>
        <w:rPr/>
        <w:t>(Temporary Entry for Business Persons). -Motor vehicle maintenance and repair services (CPC 6112 and 8867) Other supporting services for road transport (CPC 74490) (limited to main bus and truck terminals and bus and 1), 2) and 3) None 4) Unbound, except as indicated in Chapter 16</w:t>
      </w:r>
    </w:p>
    <w:p>
      <w:pPr>
        <w:pStyle w:val="Normal"/>
        <w:widowControl/>
        <w:rPr/>
      </w:pPr>
      <w:r>
        <w:rPr/>
        <w:t>ANNEX II – MEXICO – 35 Sector or subsector Limitations on market access truck stations) (Temporary Entry for Business Persons). e) Supporting services for road 1), 2) and 3) None transport services (CPC 744) limited to Management Services of Roads, 4) Unbound, except as indicated in Chapter 16 Bridges and Auxiliary Services (Temporary Entry for Business Persons). 11. G. Pipeline transport. b) Transportation of other goods (CPC 7139) limited to Non-energy Pipelines) 1), 2) and 3) None 4) Unbound, except as indicated in Chapter 16 (Temporary Entry for Business Persons). 11. H. Services auxiliary to all modes of transport - Weighbridge services for transport purposes (CPC 7490) 1), 2) and 3) None 4) Unbound, except as indicated in Chapter 16 (Temporary Entry for Business Persons). - Supporting services for air transport 1), 2) and 3) None 4) Unbound, except as indicated in Chapter 16 (Temporary Entry for Business Persons). 11.I.</w:t>
      </w:r>
    </w:p>
    <w:p>
      <w:pPr>
        <w:pStyle w:val="Normal"/>
        <w:widowControl/>
        <w:rPr/>
      </w:pPr>
      <w:r>
        <w:rPr/>
        <w:t>Other transport services 1) Unbound - Tramway transport (CPC 71211) 2) and 3) None 4) Unbound, except as indicated in Chapter 16 (Temporary Entry for Business Persons). -Subway transport (CPC 71211) 1) Unbound except as indicated in the horizontal section 2) and 3) None 4) Unbound, except as indicated in Chapter 16 (Temporary Entry for Business Persons). - Rental of commercial vehicles with 1) Unbound except as indicated in the operator (CPC 7124) horizontal section 2) and 3) None 4) Unbound, except as indicated in Chapter 16</w:t>
      </w:r>
    </w:p>
    <w:p>
      <w:pPr>
        <w:pStyle w:val="Normal"/>
        <w:widowControl/>
        <w:rPr/>
      </w:pPr>
      <w:r>
        <w:rPr/>
        <w:t>ANNEX II – MEXICO – 36 Sector or subsector Limitations on market access (Temporary Entry for Business Persons). 12. OTHER SERVICES -Repair of footwear and other articles of 1), 2) and 3) None leather and skins -Footwear and leather goods repair 4) Unbound, except as indicated in Chapter 16 services (CPC 63301) (Temporary Entry for Business Persons). -Repair of electronic appliances mainly 1), 2) and 3) None for household use (CPC 63302) - Repair services of electrical household 4) Unbound, except as indicated in Chapter 16 appliances (CPC 63302) (Temporary Entry for Business Persons). -Repair of clocks, watches and jewelry 1), 2) and 3) None (CPC 63303) Watch, clock and jewelry repair 4) Unbound, except as indicated in Chapter 16 services (CPC 63303) (Temporary Entry for Business Persons).</w:t>
      </w:r>
    </w:p>
    <w:p>
      <w:pPr>
        <w:pStyle w:val="Normal"/>
        <w:widowControl/>
        <w:rPr/>
      </w:pPr>
      <w:r>
        <w:rPr/>
        <w:t>Repair and cleaning of headgear 1), 2) and 3) None (CPC 63304) 4) Unbound, except as indicated in Chapter 16 (Temporary Entry for Business Persons). -Repair of bicycles (CPC 63309) - Bicycle repair (CPC 63309) 1), 2) and 3) None 4) Unbound, except as indicated in Chapter 16 (Temporary Entry for Business Persons). - Locksmiths’ trade (CPC 63309) 1) and 2) None 3) None, except that regional and local authorities are responsible for authorizing these services. 4) Unbound, except as indicated in Chapter 16 (Temporary Entry for Business Persons). * Unbound due to technical unfeasibility.</w:t>
      </w:r>
    </w:p>
    <w:p>
      <w:pPr>
        <w:pStyle w:val="Normal"/>
        <w:widowControl/>
        <w:rPr/>
      </w:pPr>
      <w:r>
        <w:rPr>
          <w:b/>
        </w:rPr>
        <w:t xml:space="preserve"> </w:t>
      </w:r>
      <w:r>
        <w:rPr>
          <w:b/>
        </w:rPr>
        <w:t xml:space="preserve">The specified service constitutes only a part of the total number of activities covered by the corresponding CPC code. </w:t>
      </w:r>
      <w:r>
        <w:rPr/>
        <w:t>* The specified service is an element of a bigger CPC code added in another place in the list.</w:t>
      </w:r>
    </w:p>
    <w:p>
      <w:bookmarkStart w:id="1653" w:name="_NAESTMA_TOC_1653"/>
      <w:pPr>
        <w:pStyle w:val="Heading1"/>
        <w:keepNext/>
        <w:pageBreakBefore/>
        <w:widowControl/>
        <w:rPr/>
      </w:pPr>
      <w:bookmarkStart w:id="274" w:name="_Toc237912755"/>
      <w:r>
        <w:rPr/>
        <w:t>ANNEX II – MEXICO – 37</w:t>
      </w:r>
      <w:bookmarkEnd w:id="274"/>
      <w:bookmarkEnd w:id="1653"/>
    </w:p>
    <w:p>
      <w:pPr>
        <w:pStyle w:val="Normal"/>
        <w:widowControl/>
        <w:rPr/>
      </w:pPr>
      <w:r>
        <w:rPr/>
        <w:t>ANNEX II SCHEDULE OF THE UNITED STATES Sector: Communications Sub-Sector: Obligations Concerned: National Treatment (Articles 14.4 and 15.3) Most-Favored-Nation Treatment (Articles 14.5 and 15.4) Description: Investment and Cross-Border Trade in Services With respect to Canada, the United States reserves the right to: (a) adopt or maintain any measure that accords differential treatment to persons of other countries due to application of reciprocity measures or through international agreements involving sharing of the radio spectrum, guaranteeing market access, or national treatment with respect to the one-way satellite transmission of direct-to-home (DTH) and direct broadcasting satellite (DBS) television services and digital audio services; and (b) prohibit a person of a Party from offering DTH or DBS television and digital audio services into the territory of the United States unless that person establishes that the Party of which it is a person: (i) permits U.S. persons to obtain a license for such services in that Party in similar circumstances; and (ii) treats the supply of audio or video content originating in the Party no more favorably than the supply of audio or video content originating in a non-Party or any other Party. Existing Measures:</w:t>
      </w:r>
    </w:p>
    <w:p>
      <w:pPr>
        <w:pStyle w:val="Normal"/>
        <w:widowControl/>
        <w:rPr/>
      </w:pPr>
      <w:r>
        <w:rPr/>
        <w:t>ANNEX II – UNITED STATES – 1 Sector: Communications - Cable Television Sub-Sector: Obligations Concerned: National Treatment (Article 14.4) Senior Management and Boards of Directors (Article 14.11) Description: Investment The United States reserves the right to adopt or maintain any measure that prohibits a person of a Party from owning or operating a cable television system in the territory of the United States unless that person establishes that the Party: (a) permits U.S. persons to own or operate such systems in the territory of the Party under similar circumstances; and (b) treats the supply of video content originating in the Party no more favorably than the supply of content of any other Party or non-Party. A measure may be deemed to treat content of a Party more favorably if it applies preferential treatment on the basis that the director, producer, publisher, actors, or owner of such content is a person of that Party, or the production, editing or distribution of such content took place in the territory of that Party, or on any other basis that affords protection to local production. Existing Measures:</w:t>
      </w:r>
    </w:p>
    <w:p>
      <w:pPr>
        <w:pStyle w:val="Normal"/>
        <w:widowControl/>
        <w:rPr/>
      </w:pPr>
      <w:r>
        <w:rPr/>
        <w:t>ANNEX II – UNITED STATES – 2 Sector: Social Services Sub-Sector: Obligations Concerned: National Treatment (Articles 14.4 and 15.3) Most-Favored-Nation Treatment (Articles 14.5 and 15.4) Performance Requirements (Article 14.10) Senior Management and Boards of Directors (Article 14.11) Local Presence (Article 15.6) Description: Investment and Cross-Border Trade in Services The United States reserves the right to adopt or maintain any measure with respect to the provision of law enforcement and correctional services, and the following services to the extent they are social services established or maintained for a public purpose: income security or insurance, social security or insurance, social welfare, public education, public training, health, and child care. Existing Measures:</w:t>
      </w:r>
    </w:p>
    <w:p>
      <w:pPr>
        <w:pStyle w:val="Normal"/>
        <w:widowControl/>
        <w:rPr/>
      </w:pPr>
      <w:r>
        <w:rPr/>
        <w:t>ANNEX II – UNITED STATES – 3 Sector: Minority Affairs Sub-Sector: Obligations Concerned: National Treatment (Articles 14.4 and 15.3) Performance Requirements (Article 14.10) Senior Management and Boards of Directors (Article 14.11) Local Presence (Article 15.6) Description: Investment and Cross-Border Trade in Services The United States reserves the right to adopt or maintain any measure according rights or preferences to socially or economically disadvantaged minorities, including corporations organized under the laws of the State of Alaska in accordance with the Alaska Native Claims Settlement Act. Existing Measures: Alaska Native Claims Settlement Act, 43 U.S.C. §§ 1601 et seq.</w:t>
      </w:r>
    </w:p>
    <w:p>
      <w:pPr>
        <w:pStyle w:val="Normal"/>
        <w:widowControl/>
        <w:rPr/>
      </w:pPr>
      <w:r>
        <w:rPr/>
        <w:t>ANNEX II – UNITED STATES – 4 Sector: Transportation Sub-Sector: Obligations Concerned: National Treatment (Articles 14.4 and 15.3) Most-Favored-Nation Treatment (Articles 14.5 and 15.4) Performance Requirements (Article 14.10) Senior Management and Boards of Directors (Article 14.11) Local Presence (Article 15.6) Description: Investment and Cross-Border Trade in Services The United States reserves the right to adopt or maintain any measure relating to the provision of maritime transportation services and the operation of U.S.-flagged vessels, including the following: (a) requirements for investment in, ownership and control of, and operation of vessels and other marine structures, including drill rigs, in maritime cabotage services, including maritime cabotage services performed in the domestic offshore trades, the coastwise trades, U.S. territorial waters, waters above the continental shelf, and in the inland waterways; (b) requirements for investment in, ownership and control of, and operation of U.S.-flagged vessels in foreign trades; (c) requirements for investment in, ownership or control of, and operation of vessels engaged in fishing and related activities in U.S. territorial waters and the Exclusive Economic Zone; (d) requirements related to documenting a vessel under the U.S.</w:t>
      </w:r>
    </w:p>
    <w:p>
      <w:pPr>
        <w:pStyle w:val="Normal"/>
        <w:widowControl/>
        <w:rPr/>
      </w:pPr>
      <w:r>
        <w:rPr/>
        <w:t>flag; (e) promotional programs, including tax benefits, available for shipowners, operators, and vessels meeting certain requirements; (f) certification, licensing, and citizenship requirements for crew members on U.S.-flagged vessels; (g) manning requirements for U.S.-flagged vessels; (h) all matters under the jurisdiction of the Federal Maritime</w:t>
      </w:r>
    </w:p>
    <w:p>
      <w:pPr>
        <w:pStyle w:val="Normal"/>
        <w:widowControl/>
        <w:rPr/>
      </w:pPr>
      <w:r>
        <w:rPr/>
        <w:t>ANNEX II – UNITED STATES – 5 Commission; (i) negotiation and implementation of bilateral and other international maritime agreements and understandings; (j) limitations on longshore work performed by crew members; (k) tonnage duties and light money assessments for entering U.S. waters; and (l) certification, licensing, and citizenship requirements for pilots performing pilotage services in U.S. territorial waters. The following activities are not included in this reservation. However, the treatment provided to a Party in (b) is conditional upon obtaining comparable market access in these sectors from that Party: (a) vessel construction and repair; and (b) landside aspects of port activities, including operation and maintenance of docks; loading and unloading of vessels directly to or from land; marine cargo handling; operation and maintenance of piers; ship cleaning; stevedoring; transfer of cargo between vessels and trucks, trains, pipelines, and wharves; waterfront terminal operations; boat cleaning; canal operation; dismantling of vessels; operation of marine railways for drydocking; marine surveyors, except cargo; marine wrecking of vessels for scrap; and ship classification societies. Existing Measures:</w:t>
      </w:r>
    </w:p>
    <w:p>
      <w:pPr>
        <w:pStyle w:val="Normal"/>
        <w:widowControl/>
        <w:rPr/>
      </w:pPr>
      <w:r>
        <w:rPr/>
        <w:t>Merchant Marine Act of 1920, §§ 19 and 27, 46 U.S.C. §§ 12101, 12118, 12120, 12132, 12139, 12151, 42101-42109, 55102, 55105 55110, 55115-55119, 58108 Waiver of the Navigation and Vessel-Inspection Laws, 46 U.S.C. § Shipping Act of 1916, 46 U.S.C.</w:t>
      </w:r>
    </w:p>
    <w:p>
      <w:pPr>
        <w:pStyle w:val="Normal"/>
        <w:widowControl/>
        <w:rPr/>
      </w:pPr>
      <w:r>
        <w:rPr/>
        <w:t>§§ 50501, 56101, 57109, 50111 Merchant Marine Act of 1936, 46 U.S.C. §§ 109, 114, 50111, 50501, 53101 note, 53301-53312, 53501-53517, 53701-53718, 53721-53725, 53731-53735, 55304-55305, 57101-57104, 57301-57308 Merchant Ship Sales Act of 1946, 50 U.S.C. App. 1738 46 U.S.C. §§ 55109, 55111, 55118, 60301-60302, 60304-60306, 60312, 80104 46 U.S.C. §§ 12101 et seq., 12112, 12121, and 31301 et seq.</w:t>
      </w:r>
    </w:p>
    <w:p>
      <w:pPr>
        <w:pStyle w:val="Normal"/>
        <w:widowControl/>
        <w:rPr/>
      </w:pPr>
      <w:r>
        <w:rPr/>
        <w:t>ANNEX II – UNITED STATES – 6 46 U.S.C. § 8904 Passenger Vessel Services Act, 46 U.S.C. § 55103 42 U.S.C. §§ 9601 et seq.; 33 U.S.C. §§ 2701 et seq.; 33 U.S.C. §§ 1251 et seq. 46 U.S.C. §§ 3301 et seq., 3701 et seq., 8103, and 12107(b) The Foreign Shipping Practices Act of 1988, 46 U.S.C. §§ 306, 41108, 42101, 42301-42307 Merchant Marine Act, 1920, 46 U.S.C. §§ 50101, 50302, 53101 note, Shipping Act of 1984, 46 U.S.C. §§ 305-306, 40101 note, 40101 40104, 40301-40307, 40501-40503, 40701-40706, 40901-40904, 41101-41109, 41301-41309, 42101, 42301-42307 Exports of Alaskan North Slope Oil, 104 P. L. 58, Title II; 109 Stat. 557, 560-63; codified at 30 U.S.C. §§ 185(s), 185 note Limitations on performance of longshore work by alien crewmen, 8 U.S.C. § 1288 Maritime Transportation Security Act of 2002, P. L. 107-295, § 404; 116 Stat. 2064, 2114-15, codified at 46 U.S.C. § 55112 Nicholson Act, 46 U.S.C. §55114 Commercial Fishing Industry Vessel Anti-Reflagging Act of 1987, P. L. 100-239; 101 Stat.</w:t>
      </w:r>
    </w:p>
    <w:p>
      <w:pPr>
        <w:pStyle w:val="Normal"/>
        <w:widowControl/>
        <w:rPr/>
      </w:pPr>
      <w:r>
        <w:rPr/>
        <w:t>1778, codified in part at 46 U.S.C. §§ 108, 2101, 2101 note, 12113 43 U.S.C. § 1841 22 U.S.C. § 1980 46 U.S.C. § 9302, 46 U.S.C. § 8502; Agreement Governing the Operation of Pilotage on the Great Lakes, Exchange of Notes at Ottawa, August 23, 1978, and March 29, 1979, TIAS 9445 Magnuson Fishery Conservation and Management Act, 16 U.S.C. §§ 1801 et seq. Equipment and Repair of Vessels, 19 U.S.C. § 1466 North Pacific Anadromous Stocks Act of 1992, P. L. 102-567; Oceans Act of 1992, P. L.</w:t>
      </w:r>
    </w:p>
    <w:p>
      <w:pPr>
        <w:pStyle w:val="Normal"/>
        <w:widowControl/>
        <w:rPr/>
      </w:pPr>
      <w:r>
        <w:rPr/>
        <w:t>102-587 Tuna Convention Act, 16 U.S.C. §§ 951 et seq. South Pacific Tuna Act of 1988, 16 U.S.C. §§ 973 et seq. Northern Pacific Halibut Act of 1982, 16 U.S.C. §§ 773 et seq. Atlantic Tunas Convention Act, 16 U.S.C. §§ 971 et seq. Antarctic Marine Living Resources Convention Act of 1984, 16 U.S.C. §§ 2431 et seq. Pacific Salmon Treaty Act of 1985, 16 U.S.C. §§ 3631 et seq. American Fisheries Act, 46 U.S.C. § 12113 and 46 U.S.C. § 31322</w:t>
      </w:r>
    </w:p>
    <w:p>
      <w:pPr>
        <w:pStyle w:val="Normal"/>
        <w:widowControl/>
        <w:rPr/>
      </w:pPr>
      <w:r>
        <w:rPr/>
        <w:t>ANNEX II – UNITED STATES – 7 Sector: Land Transportation Sub-Sector: Obligations Concerned: National Treatment (Article 15.3) Most-Favored-Nation Treatment (Article 15.4) Local Presence (Article 15.6) Description: Cross Border Trade in Services Notwithstanding the entry at</w:t>
      </w:r>
    </w:p>
    <w:p>
      <w:pPr>
        <w:pStyle w:val="Normal"/>
        <w:widowControl/>
        <w:rPr/>
      </w:pPr>
      <w:r>
        <w:rPr/>
        <w:t>ANNEX I – UNITED STATES – 8, the United States reserves the right to adopt or maintain limitations on grants of authority for persons of Mexico to provide cross- border long-haul truck services in the territory of the United States outside the border commercial zones if the United States determines that limitations are required to address material harm or the threat of material harm to U.S. suppliers, operators, or drivers. The United States may only adopt such limitations on existing grants of authority if it determines that a change in circumstances warrants the limitation and if the limitation is required to address material harm. The Parties shall meet no later than five years after the entry into force of this agreement to exchange views on the operation of this entry. Existing Measures: 1 For purposes of this entry, “material harm” means a significant loss in the share of the U.S. market for long-haul truck services held by persons of the United States caused by or attributable to persons of Mexico.</w:t>
      </w:r>
    </w:p>
    <w:p>
      <w:pPr>
        <w:pStyle w:val="Normal"/>
        <w:widowControl/>
        <w:rPr/>
      </w:pPr>
      <w:r>
        <w:rPr/>
        <w:t>2 For greater certainty, a substantial increase in services supplied by the grantee may constitute a change in circumstances. 3 The Parties confirm their shared understanding that current operations under existing grants of authority as of the date of entry into force of this Agreement are not causing material harm.</w:t>
      </w:r>
    </w:p>
    <w:p>
      <w:pPr>
        <w:pStyle w:val="Normal"/>
        <w:widowControl/>
        <w:rPr/>
      </w:pPr>
      <w:r>
        <w:rPr/>
        <w:t>ANNEX II – UNITED STATES – 8 Sector: Betting and Gambling Sub-Sector: Obligations Concerned: National Treatment (Articles 14.4 and 15.3) Performance Requirements (Article 14.10) Senior Management and Boards of Directors (Article 14.11) Market Access (Article 15.5) Local Presence (Article 15.6) Description: Investment and Cross-Border Trade in Services The United States reserves the right to adopt or measure relating to betting and gambling services. maintain any Existing Measures:</w:t>
      </w:r>
    </w:p>
    <w:p>
      <w:pPr>
        <w:pStyle w:val="Normal"/>
        <w:widowControl/>
        <w:rPr/>
      </w:pPr>
      <w:r>
        <w:rPr/>
        <w:t>ANNEX II – UNITED STATES – 9 Sector: All Sub-Sector: Obligations Concerned: Market Access (Article 15.5) Description: Cross-Border Trade in Services The United States reserves the right to adopt or maintain any measure that is not inconsistent with the United States’ obligations under Article XVI of the General Agreement on Trade in Services as set out in the U.S. Schedule of Specific Commitments under the GATS (GATS/SC/90, GATS/SC/90/Suppl.1, GATS/SC/90/Suppl.2, and GATS/SC/90/Suppl.3). For purposes of this entry only, the U.S. Schedule of Specific Commitments is modified as indicated in Appendix II-A. Existing Measures:</w:t>
      </w:r>
    </w:p>
    <w:p>
      <w:pPr>
        <w:pStyle w:val="Normal"/>
        <w:widowControl/>
        <w:rPr/>
      </w:pPr>
      <w:r>
        <w:rPr/>
        <w:t>ANNEX II – UNITED STATES – 10 Sector: All Sub-Sector: Obligations Concerned: Most-Favored-Nation Treatment (Articles 14.5 and 15.4) Description: Investment and Cross-Border Trade in Services The United States reserves the right to adopt or maintain any measure that accords differential treatment to countries under any bilateral or multilateral international agreement in force or signed prior to the date of entry into force of this Agreement. The United States reserves the right to adopt or maintain any measure that accords differential treatment to countries under any bilateral or multilateral international agreement in force or signed after the date of entry into force of this Agreement involving: (a) aviation; (b) fisheries; or (c) maritime matters, including salvage. Existing Measures:</w:t>
      </w:r>
    </w:p>
    <w:p>
      <w:pPr>
        <w:pStyle w:val="Normal"/>
        <w:widowControl/>
        <w:rPr/>
      </w:pPr>
      <w:r>
        <w:rPr/>
        <w:t>ANNEX II – UNITED STATES – 11 Appendix II-A For the following Sectors, U.S. obligations under Article XVI of the GATS as set out in the U.S. Schedule of Specific Commitments under the GATS (GATS/SC/90, GATS/SC/90/Suppl.1, GATS/SC/90/Suppl.2, and GATS/SC/90/Suppl.3) are improved as described. Sector/Subsector Market Access Improvements Foreign Legal Consulting Services Insert new commitments for the following states: Louisiana, New Mexico: No limitations for modes 1-3 and mode 4 “Unbound, except as indicated in the horizontal section”. Arizona, Indiana, Massachusetts, North Carolina, Utah: No limitations modes 1-2; for mode 3 “in-state law office required”, and mode 4 “Unbound, except as indicated in the horizontal section. Additionally, an in-state law office required”. Missouri: No limitations modes 1-2; for mode 3 “Association with in-state law office required”, and mode 4 “Unbound, except as indicated in the horizontal section. Additionally, association with an in-state law office required”.</w:t>
      </w:r>
    </w:p>
    <w:p>
      <w:pPr>
        <w:pStyle w:val="Normal"/>
        <w:widowControl/>
        <w:rPr/>
      </w:pPr>
      <w:r>
        <w:rPr/>
        <w:t>Accounting, Auditing, and Bookkeeping Services Modify mode 3 limitation as follows: Sole proprietorships or partnerships are limited to persons licensed as accountants, except in Iowa where accounting firms must incorporate Modify mode 4 limitation as follows: In addition, an in-state office must be maintained for licensure in to receive a license to perform audits in: Engineering Services Integrated Engineering Services Replace existing description of Mode 4 with “Unbound, except as indicated in the horizontal section”. Research and development services: R&amp;D services on natural sciences, social sciences and humanities, and interdisciplinary R&amp;D services, excluding R&amp;D financed in whole or in part by public funds Insert new commitments with no limitations for modes 1-3 and mode 4 “Unbound, except as indicated in the horizontal section”. Technical testing and analysis services, other Insert new commitments with no limitations for</w:t>
      </w:r>
    </w:p>
    <w:p>
      <w:pPr>
        <w:pStyle w:val="Normal"/>
        <w:widowControl/>
        <w:rPr/>
      </w:pPr>
      <w:r>
        <w:rPr/>
        <w:t>ANNEX II – UNITED STATES – 12 Sector/Subsector Market Access Improvements than government-mandated services or services financed in whole or in part by public funds modes 1-3 and mode 4 “Unbound, except as indicated in the horizontal section”. Other business services: Other Insert new commitments for “Other” under “Other business services” with no limitations for modes 1-3 and mode 4 “Unbound, except as indicated in the horizontal section”. Express Delivery Services Insert new commitments with no limitations for modes 1-3 and mode 4 “Unbound, except as indicated in the horizontal section”. Other Delivery Services Insert new commitments with no limitations for modes 1-3 and mode 4 “Unbound, except as indicated in the horizontal section”. Multi-channel video services over provider- owned cable systems Insert new commitments with no limitations for modes 1-3 and mode 4 “Unbound, except as indicated in the horizontal section”.</w:t>
      </w:r>
    </w:p>
    <w:p>
      <w:pPr>
        <w:pStyle w:val="Normal"/>
        <w:widowControl/>
        <w:rPr/>
      </w:pPr>
      <w:r>
        <w:rPr/>
        <w:t>Information services (the offering of a capability for generating, acquiring, storing transforming, processing, retrieving, utilizing, or making available information via telecommunications, and includes electronic publishing) Insert new commitments with no limitations for modes 1-3 and mode 4 “Unbound, except as indicated in the horizontal section”. Higher Education Services (except flying instruction) Insert new commitments with no limitations for modes 1-3 and mode 4 “Unbound, except as indicated in the horizontal section”.</w:t>
      </w:r>
    </w:p>
    <w:p>
      <w:pPr>
        <w:pStyle w:val="Normal"/>
        <w:widowControl/>
        <w:rPr/>
      </w:pPr>
      <w:r>
        <w:rPr/>
        <w:t>Motion Picture &amp; Video Tape Home Video Entertainment Production and Distribution Promotion or advertising services Motion picture or video tape production Insert commitments according to this revised classification with no limitations for modes 1-3 and mode 4 “Unbound, except as indicated in the horizontal section”. 4 For transparency purposes, individual U.S. institutions maintain autonomy in admission policies, in setting tuition rates, and in the development of curricula or course content. Educational and training entities must comply with requirements of the jurisdiction in which the facility is established. In some jurisdictions, accreditation of institutions or programs may be required. Institutions maintain autonomy in selecting the jurisdiction in which they will operate, and institutions and programs maintain autonomy in choosing to meet standards set by accrediting organizations as well as to continue accredited status. Accrediting organizations maintain autonomy in setting accreditation standards. Tuition rates may vary for in-state and out-of-state residents. Additionally, admissions policies include considerations of equal opportunity for students (regardless of race, ethnicity, or gender), as permitted by domestic law, as well as recognition by regional, national, or specialty organizations; and required standards must be met to obtain and maintain accreditation. To participate in the U.S.</w:t>
      </w:r>
    </w:p>
    <w:p>
      <w:pPr>
        <w:pStyle w:val="Normal"/>
        <w:widowControl/>
        <w:rPr/>
      </w:pPr>
      <w:r>
        <w:rPr/>
        <w:t>student loan program, foreign institutions established in the United States are subject to the same requirements as U.S. institutions. 5 For purposes of clarity, this class refers to theatrical and non-theatrical motion pictures, whether provided on fixed media or electronically.</w:t>
      </w:r>
    </w:p>
    <w:p>
      <w:pPr>
        <w:pStyle w:val="Normal"/>
        <w:widowControl/>
        <w:rPr/>
      </w:pPr>
      <w:r>
        <w:rPr/>
        <w:t>ANNEX II – UNITED STATES – 13 Sector/Subsector Market Access Improvements services Motion picture or video tape distribution services Other services in connection with motion pictures and video tape production and distribution Motion Picture Projection Services Radio and Television Services Radio and Television Distribution Services Other services in connection with motion pictures and video tape production and distribution Environmental Services Insert commitments according to this revised classification with no limitations for modes 1-3 Wastewater Management, excluding Water for and mode 4 “Unbound, except as indicated in Human Use (Wastewater services (contracted by the horizontal section”. private industry)) Solid/hazardous waste management (contracted by private industry) Refuse disposal services Sanitation and Similar Services Protection of ambient air and climate (Services to reduce exhaust gases and other emissions to improve air quality) Remediation and cleanup of soil and water (Treatment, remediation of contaminated/ polluted soil and water) Noise and vibration abatement (Noise abatement 6 For greater clarity, distribution services in this context may include the licensing of motion pictures or video tapes to other service providers for exhibition, broadcasting, or other transmission, rental, sale or other use.</w:t>
      </w:r>
    </w:p>
    <w:p>
      <w:pPr>
        <w:pStyle w:val="Normal"/>
        <w:widowControl/>
        <w:rPr/>
      </w:pPr>
      <w:r>
        <w:rPr/>
        <w:t>ANNEX II – UNITED STATES – 14 Sector/Subsector Market Access Improvements services) Protection of biodiversity and landscape (Nature and landscape protection services) Other environmental and ancillary services (Other services not classified elsewhere) 7, 8 Physical well-being services Insert new commitments with no limitations for modes 1-3 and mode 4 “Unbound, except as indicated in the horizontal section”. Road freight transport Insert new commitments for domestic transportation with no limitations for modes 1-3 and mode 4 “Unbound, except as indicated in the horizontal section”. Cargo-handling services, Storage and warehouse services, and Freight transport agency services, except maritime or air transport services Insert new commitments with no limitations for modes 1-3 and mode 4 “Unbound, except as indicated in the horizontal section”. 7 For transparency purposes, this subsector includes physical well-being services such as delivered by, inter alia, fitness centers, spas, salons, massage (excluding therapeutic massage), and ayurvedics. This subsector does not include regulated medical services. 8 For greater certainty, nothing in this commitment authorizes the provision of unregulated substances or affects the ability of state authorities to regulate substances that may be affiliated with these services.</w:t>
      </w:r>
    </w:p>
    <w:p>
      <w:bookmarkStart w:id="1654" w:name="_NAESTMA_TOC_1654"/>
      <w:pPr>
        <w:pStyle w:val="Heading1"/>
        <w:keepNext/>
        <w:pageBreakBefore/>
        <w:widowControl/>
        <w:rPr/>
      </w:pPr>
      <w:bookmarkStart w:id="275" w:name="_Toc237912756"/>
      <w:r>
        <w:rPr/>
        <w:t>ANNEX II – UNITED STATES – 15</w:t>
      </w:r>
      <w:bookmarkEnd w:id="275"/>
      <w:bookmarkEnd w:id="1654"/>
    </w:p>
    <w:p>
      <w:pPr>
        <w:pStyle w:val="Normal"/>
        <w:widowControl/>
        <w:rPr/>
      </w:pPr>
      <w:r>
        <w:rPr/>
        <w:t>ANNEX III EXPLANATORY NOTE 1. The Schedule of a Party to this Annex sets out: (a) headnotes or introductory notes that limit or clarify the commitments of a Party with respect to the obligations described in paragraphs 1(b) and 1(c); (b) in Section A, pursuant to Article 17.10.1 (Non-Conforming Measures), a Party’s existing measures that are not subject to some or all of the obligations imposed by: (i) Article 17.3 (National Treatment), (ii) Article 17.4 (Most-Favored-Nation Treatment), (iii) Article 17.5 (Market Access), or (iv) Article 17.9 (Senior Management and Boards of Directors); and (c) in Section B, pursuant to Article 17.10.2 (Non-Conforming Measures), the specific sectors, subsectors or activities for which a Party may maintain existing, or adopt new or more restrictive, measures that do not conform with obligations imposed by: (i) Article 17.3 (National Treatment), (ii) Article 17.4 (Most-Favored-Nation Treatment), (iii) Article 17.5 (Market Access), (iv) Article 17.6 (Cross-Border Trade Standstill), or (v) Article 17.9 (Senior Management and Boards of Directors). 2. Each Schedule entry in Section A sets out the following elements:</w:t>
      </w:r>
    </w:p>
    <w:p>
      <w:pPr>
        <w:pStyle w:val="Normal"/>
        <w:widowControl/>
        <w:rPr/>
      </w:pPr>
      <w:r>
        <w:rPr/>
        <w:t>(a) Sector refers to the sector for which the entry is made; (b) Sub-Sector, where referenced, refers to the specific subsector for which the entry is made; (c) Obligations Concerned specifies the obligations referred to in paragraph 1(b) that, pursuant to Article 17.10.1(a) (Non-Conforming Measures), do not apply</w:t>
      </w:r>
    </w:p>
    <w:p>
      <w:pPr>
        <w:pStyle w:val="Normal"/>
        <w:widowControl/>
        <w:rPr/>
      </w:pPr>
      <w:r>
        <w:rPr/>
        <w:t>ANNEX III – EXPLANATORY NOTE – 1 to the listed measures as indicated in the headnote or introductory note for each Party’s Schedule; (d) Level of Government indicates the level of government maintaining the listed measures; (e) Measures identifies the laws, regulations or other measures for which the entry is made. A measure cited in the Measures element: (i) means the measure as amended, continued or renewed as of the date of entry into force of this Agreement, and (ii) includes any subordinate measure adopted or maintained under the authority of and consistent with the measure; and (f) Description, as indicated in the headnote or introductory note for each Party’s Schedule, either sets out the non-conforming measure or provides a general non-binding description of the measure for which the entry is made. 3.</w:t>
      </w:r>
    </w:p>
    <w:p>
      <w:pPr>
        <w:pStyle w:val="Normal"/>
        <w:widowControl/>
        <w:rPr/>
      </w:pPr>
      <w:r>
        <w:rPr/>
        <w:t>Each Schedule entry in Section B sets out the following elements: (a) Sector refers to the sector for which the entry is made; (b) Sub-Sector, where referenced, refers to the specific subsector for which the entry is made; (c) Obligations Concerned specifies the obligations referred to in paragraph 1(c) that, pursuant to Article 17.10.2 (Non-Conforming Measures), do not apply to the sectors, subsectors or activities listed in the entry; (d) Level of Government indicates the level of government maintaining the listed measures; (e) Description sets out the scope or nature of the sectors, subsectors or activities covered by the entry to which the reservation applies; and (f) Existing Measures identifies, for transparency purposes, a non-exhaustive list of existing measures that apply to the sectors, subsectors or activities covered by the entry. 4. Parties recognize that measures falling under exceptions applicable to this Chapter, such as those in Article 17.11 (Exceptions), need not be scheduled. Nevertheless, some Parties have listed measures that may fall within applicable exceptions. For greater certainty, the listing of a measure in a Party’s Schedule to Annex III is without prejudice to whether that measure or any other measure: (a) adopted or maintained by the Party; or</w:t>
      </w:r>
    </w:p>
    <w:p>
      <w:pPr>
        <w:pStyle w:val="TOCExcludedHeading1"/>
        <w:keepNext w:val="true"/>
        <w:widowControl/>
        <w:rPr/>
      </w:pPr>
      <w:bookmarkStart w:id="276" w:name="_Toc237912757"/>
      <w:r>
        <w:rPr/>
        <w:t>ANNEX III – EXPLANATORY NOTE – 2 (b) adopted or maintained by any other Party; is covered by exceptions such as those in Article 17.11 (Exceptions).</w:t>
      </w:r>
      <w:bookmarkEnd w:id="276"/>
    </w:p>
    <w:p>
      <w:bookmarkStart w:id="1655" w:name="_NAESTMA_TOC_1655"/>
      <w:pPr>
        <w:pStyle w:val="Heading1"/>
        <w:keepNext/>
        <w:pageBreakBefore/>
        <w:widowControl/>
        <w:rPr/>
      </w:pPr>
      <w:bookmarkStart w:id="277" w:name="_Toc237912758"/>
      <w:r>
        <w:rPr/>
        <w:t>ANNEX III – EXPLANATORY NOTE – 3</w:t>
      </w:r>
      <w:bookmarkEnd w:id="277"/>
      <w:bookmarkEnd w:id="1655"/>
    </w:p>
    <w:p>
      <w:pPr>
        <w:pStyle w:val="Normal"/>
        <w:widowControl/>
        <w:rPr/>
      </w:pPr>
      <w:r>
        <w:rPr/>
        <w:t>ANNEX III SCHEDULE OF CANADA INTRODUCTORY NOTES 1. For Canada, in the interpretation of a reservation in Section A, all elements of the reservation shall be considered. A reservation shall be interpreted in light of the relevant provisions of the Chapter against which the reservation is taken. To the extent that: (a) the Measures element is qualified by a specific reference in the Description element, the Measures element as so qualified prevails over all other elements; and (b) the Measures element is not so qualified, the Measures element prevails over all other elements, unless any discrepancy between the Measures element and the other elements considered in their totality is so substantial and material that it would be unreasonable to conclude that the Measures element should prevail, in which case the other elements prevail to the extent of that discrepancy. 2. For Canada, in the interpretation of a reservation in Section B, all elements of the reservation shall be considered. The Description element prevails over all other elements.</w:t>
      </w:r>
    </w:p>
    <w:p>
      <w:pPr>
        <w:pStyle w:val="Normal"/>
        <w:widowControl/>
        <w:rPr/>
      </w:pPr>
      <w:r>
        <w:rPr/>
        <w:t>ANNEX III – CANADA – 1 Headnotes 1. Commitments under this Agreement, in the subsectors listed in this Schedule, are undertaken subject to the limitations and conditions set forth in these headnotes and in the Schedule below. 2. To clarify Canada’s commitment with respect to Article 17.5 (Market Access), a juridical person supplying a financial service and constituted under the laws of Canada is subject to non discriminatory limitations on juridical form.1 3. Article 17.10.1(c) (Non-Conforming Measures) shall not apply to non-conforming measures relating to Article 17.5.1(e) (Market Access). For example, partnerships and sole proprietorships are generally not acceptable juridical forms for a financial institution in Canada. This headnote is not itself intended to affect, or otherwise limit, a choice by a financial institution of the other Party between branches or subsidiaries.</w:t>
      </w:r>
    </w:p>
    <w:p>
      <w:pPr>
        <w:pStyle w:val="Normal"/>
        <w:widowControl/>
        <w:rPr/>
      </w:pPr>
      <w:r>
        <w:rPr/>
        <w:t>ANNEX III – CANADA – 2 Section A A-1 Sector: Financial Services Subsector: Banking and Other Financial Services (Excluding Insurance) Obligations Concerned: Market Access (Article 17.5.1(a)) Level of Government: Central Measures: Bank Act, S.C. 1991, c.46, s. 524 Description: In order to establish a bank branch, a foreign bank must be a bank in the jurisdiction under whose laws it is incorporated.</w:t>
      </w:r>
    </w:p>
    <w:p>
      <w:pPr>
        <w:pStyle w:val="Normal"/>
        <w:widowControl/>
        <w:rPr/>
      </w:pPr>
      <w:r>
        <w:rPr/>
        <w:t>ANNEX III – CANADA – 3 A-2 Sector: Financial Services Subsector: Banking and Other Financial Services (Excluding Insurance) Obligations Concerned: National Treatment (Articles 17.3.1 and 17.3.2) Market Access (Article 17.5.1(a)) Level of Government: Central Measures: Bank Act, S.C. 1991, c.46 s. 520, 524, 540, 545 Sales or Trades (Authorized Foreign Banks) Regulations, SOR/2000-52 Description: A foreign bank must establish accepting retail deposits. a subsidiary as a condition for A foreign lending branch may not accept deposits.</w:t>
      </w:r>
    </w:p>
    <w:p>
      <w:pPr>
        <w:pStyle w:val="Normal"/>
        <w:widowControl/>
        <w:rPr/>
      </w:pPr>
      <w:r>
        <w:rPr/>
        <w:t>ANNEX III – CANADA – 4 A-3 Sector: Financial Services Sub-Sector: All Obligations Concerned: Market Access (Article 17.5.1(a)) Level of Government: Central Measures: Trust and Loan Companies Act, S.C. 1991, c.45 Bank Act, S.C. 1991, c.46 Cooperative Credit Associations Act, S.C. 1991, c.48 Insurance Companies Act, S.C. 1991, c.47 Description: Federal laws do not permit a company established under the Trust and Loan Companies Act, a cooperative credit Association, or a fraternal benefit society in Canada to be established through a branch of corporations organized under a foreign country’s law.</w:t>
      </w:r>
    </w:p>
    <w:p>
      <w:pPr>
        <w:pStyle w:val="Normal"/>
        <w:widowControl/>
        <w:rPr/>
      </w:pPr>
      <w:r>
        <w:rPr/>
        <w:t>ANNEX III – CANADA – 5 A-4 Sector: Financial Services Subsector: All Obligations Concerned: Market Access (Article 17.5.1(a)) Level of Government: Central Measures: Bank Act, S.C. 1991, c.46 s. 510, 522.16, 524 Insurance Companies Act, S.C. 1991, c.47 s. 573, 574, 581 Description: A bank branch must be established directly under the authorized foreign bank incorporated in the jurisdiction where the authorized foreign bank principally carries on business. A foreign entity authorized to insure, in Canada, risks must be established directly under the foreign insurance company incorporated in the jurisdiction where the foreign insurance company, either directly or through a subsidiary, principally carries on business.</w:t>
      </w:r>
    </w:p>
    <w:p>
      <w:pPr>
        <w:pStyle w:val="Normal"/>
        <w:widowControl/>
        <w:rPr/>
      </w:pPr>
      <w:r>
        <w:rPr/>
        <w:t>ANNEX III – CANADA – 6 A-5 Sector: Financial Services Subsector: Banking and Other Financial Services (Excluding Insurance) Obligations Concerned: National Treatment (Articles 17.3.1 and 17.3.2) Market Access (Article 17.5.1(a)) Level of Government: Central Measures: Bank Act, S.C. 1991, c.46 s. 520, 540, 545 Schedule I and Schedule II to the Bank Act Canada Deposit Insurance Corporation Act, R.S.C. 1985, c. C-3 s. 2, 8, 17 Description: Full service foreign bank branches and lending foreign bank branches are prohibited from becoming member institutions of the Canada Deposit Insurance Corporation.</w:t>
      </w:r>
    </w:p>
    <w:p>
      <w:pPr>
        <w:pStyle w:val="Normal"/>
        <w:widowControl/>
        <w:rPr/>
      </w:pPr>
      <w:r>
        <w:rPr/>
        <w:t>ANNEX III – CANADA – 7 A-6 Sector: Financial Services Subsector: Banking and Other Financial Services (Excluding Insurance) Obligations Concerned: National Treatment (Articles 17.3.1 and 17.3.2) Market Access (Article 17.5.1(a)) Level of Government: Central Measures: Canadian Payments Act, R.S.C. 1985, c. C-21 s. 2, 4 Bank Act, S.C. 1991, c.46 s. 524, 540 Description: Lending branches of foreign members of Payments Canada. banks are prohibited from being</w:t>
      </w:r>
    </w:p>
    <w:p>
      <w:pPr>
        <w:pStyle w:val="Normal"/>
        <w:widowControl/>
        <w:rPr/>
      </w:pPr>
      <w:r>
        <w:rPr/>
        <w:t>ANNEX III – CANADA – 8 A-7 Sector: Financial Services Subsector: All Obligations Concerned: National Treatment (Article 17.3) Most Favored Nation Treatment (Article 17.4) Senior Management and Boards of Directors (Article 17.9) Level of Government: Regional Description: All existing Territories. non-conforming measures of all Provinces and</w:t>
      </w:r>
    </w:p>
    <w:p>
      <w:pPr>
        <w:pStyle w:val="Normal"/>
        <w:widowControl/>
        <w:rPr/>
      </w:pPr>
      <w:r>
        <w:rPr/>
        <w:t>ANNEX III – CANADA – 9 Section B B-1 Sector: Financial Services Subsector: All Obligations Concerned: National Treatment (Article 17.3.1 and 17.3.2) Level of Government: Central Description: With regard to the Canada Mortgage and Housing Corporation and Canada Housing Trusts, Canada reserves the right to adopt or maintain a measure that grants advantages to these entities or any new, reorganized, or transferee entities having similar functions and objectives with respect to housing finance.</w:t>
      </w:r>
    </w:p>
    <w:p>
      <w:pPr>
        <w:pStyle w:val="Normal"/>
        <w:widowControl/>
        <w:rPr/>
      </w:pPr>
      <w:r>
        <w:rPr/>
        <w:t>ANNEX III – CANADA – 10 B-2 Sector: Financial Services Subsector: All Obligations Concerned: Market Access (Article 17.5), except Article 17.5.1(b) Level of Government: Regional Description: Canada reserves the right to adopt or maintain a measure that is not inconsistent with Canada’s obligations under the General Agreement on Trade in Services.</w:t>
      </w:r>
    </w:p>
    <w:p>
      <w:pPr>
        <w:pStyle w:val="Normal"/>
        <w:widowControl/>
        <w:rPr/>
      </w:pPr>
      <w:r>
        <w:rPr/>
        <w:t>ANNEX III – CANADA – 11 B-3 Sector: Financial Services Subsector: All, except services under Canada’s paragraph 2(c) and (d) of Annex 17-A Obligations Concerned: Market Access (Article 17.5.1(b)) Level of Government: Regional Description: Canada reserves the right to adopt or maintain a measure that is not inconsistent with the Canada-European Union Comprehensive Economic and Trade Agreement (“CETA”) done at Brussels, on October 30, 2016. The reference to CETA in this reservation is to the agreement as signed and this reservation is applicable even if CETA is terminated.</w:t>
      </w:r>
    </w:p>
    <w:p>
      <w:pPr>
        <w:pStyle w:val="Normal"/>
        <w:widowControl/>
        <w:rPr/>
      </w:pPr>
      <w:r>
        <w:rPr/>
        <w:t>ANNEX III – CANADA – 12 B.4 Sector: Financial Services Subsector: Banking and Other Financial Services (Excluding Insurance) Obligations Concerned: Cross-Border Trade Standstill (Article 17.6) Level of Government: Regional Description: Canada reserves the right to adopt or maintain a measure relating to cross-border trade in securities and derivatives services.</w:t>
      </w:r>
    </w:p>
    <w:p>
      <w:bookmarkStart w:id="1656" w:name="_NAESTMA_TOC_1656"/>
      <w:pPr>
        <w:pStyle w:val="Heading1"/>
        <w:keepNext/>
        <w:pageBreakBefore/>
        <w:widowControl/>
        <w:rPr/>
      </w:pPr>
      <w:bookmarkStart w:id="278" w:name="_Toc237912759"/>
      <w:r>
        <w:rPr/>
        <w:t>ANNEX III – CANADA – 13</w:t>
      </w:r>
      <w:bookmarkEnd w:id="278"/>
      <w:bookmarkEnd w:id="1656"/>
    </w:p>
    <w:p>
      <w:pPr>
        <w:pStyle w:val="Normal"/>
        <w:widowControl/>
        <w:rPr/>
      </w:pPr>
      <w:r>
        <w:rPr/>
        <w:t>ANNEX III SCHEDULE OF MEXICO HEADNOTES 1. Commitments in the financial services sector under this Agreement are undertaken subject to the limitations and conditions set forth in these headnotes and in the Schedule below. 2. With respect to Article 17.5 (Market Access), a juridical persons supplying financial services and constituted under the laws of Mexico is subject to non-discriminatory limitations on juridical form. 3. Paragraph 1(c) of Article 17.10 (Non-Conforming Measures) shall not apply to those non-conforming measures relating to paragraph 1(e) of Article 17.5 (Market Access). 4. Description, provides a general non-binding description of the measure for which the entry is made. 5. In the interpretation of a reservation in Section A, all elements of the entry shall be considered. The Measures element shall prevail over all other elements. 6. In the interpretation of a reservation in Section B, all elements of the entry shall be considered. The Description element shall prevail over all other elements.</w:t>
      </w:r>
    </w:p>
    <w:p>
      <w:pPr>
        <w:pStyle w:val="Normal"/>
        <w:widowControl/>
        <w:rPr/>
      </w:pPr>
      <w:r>
        <w:rPr/>
        <w:t>ANNEX III – MEXICO – 1 SECTION A A-1 Sector: Financial Services Sub-Sector: Banking and other Financial Services (excluding Insurance) Obligations Concerned: National Treatment (Article 17.3.1 and 17.3.2) Level of Government: Central Measures: Credit Unions Law (Ley de Uniones de Crédito); Article 21 General Law of Credit Organizations and Auxiliary Activities (Ley General de Organizaciones y Actividades Auxiliares del Crédito); Article 87-D Description: Participation by an individual or legal entity, whether direct or indirect, in the capital stock of a credit union or a regulated multiple purpose financial entity linked to a credit union shall not exceed 15 percent, unless authorized by the National Banking and Securities Commission (Comisión Nacional Bancaria y de Valores) (CNBV). Without prejudice to the preceding paragraph, a foreign individual or legal entity, including a foreign legal entity with no legal personality, may participate indirectly in the capital stock of a credit union or a regulated multiple purpose financial entity linked to a credit union up to 15 percent, provided that the respective shares of the credit union are purchased by a Mexican legal entity in which such foreign individual or legal entity holds a participation.</w:t>
      </w:r>
    </w:p>
    <w:p>
      <w:pPr>
        <w:pStyle w:val="Normal"/>
        <w:widowControl/>
        <w:rPr/>
      </w:pPr>
      <w:r>
        <w:rPr/>
        <w:t>ANNEX III – MEXICO – 2 A-2 Sector: Sub-Sector: Obligations Concerned: Level of Government: Measures: Description: Financial Services All Services National Treatment (Article 17.3.1 and 17.3.2) Market Access (Article 17.5.1(a)) Central Law to Regulate Financial Groups (Ley para Regular las Agrupaciones Financieras); Articles 67, 68, 70, 72, 74 and 76 Credit Institutions Law (Ley de Instituciones de Crédito); Articles 45-A, 45-B, 45-C 45-E, 45-G and 45-I Securities Market Law (Ley del Mercado de Valores); Articles 2, 160, 161, 163, 165 and 167 Insurance and Surety Institutions Law (Ley de Instituciones de Seguros y Fianzas); Articles 2, 74, 75, 77, 78, 79 and 81. General Law of Credit Organizations and Auxiliary Activities (Ley General de Organizaciones y Actividades Auxiliares del Crédito); Articles 45 Bis 1, 45 Bis 2, 45 Bis 3, 45 Bis 5 45 Bis 7 and 45 Bis 9 Investment Funds Law (Ley de Fondos de Inversión); Articles 62, 63, 64, 66, 68 and 70 Retirement Savings Systems Law (Ley de los Sistemas de Ahorro para el Retiro);</w:t>
      </w:r>
    </w:p>
    <w:p>
      <w:pPr>
        <w:pStyle w:val="Normal"/>
        <w:keepNext w:val="true"/>
        <w:widowControl/>
        <w:rPr/>
      </w:pPr>
      <w:r>
        <w:rPr/>
        <w:t>Article 21 Rules for the Establishment of Foreign Financial Institution Subsidiaries (Reglas para el establecimiento de Filiales de Instituciones Financieras del Exterior); First, Eighth and Ninth Rules A financial institution of another Party may invest in the capital stock of a holding company of a financial group, a commercial bank, a securities firm, a surety institution, an insurance institution, a foreign exchange firm, a general deposit warehouse, a</w:t>
      </w:r>
    </w:p>
    <w:p>
      <w:pPr>
        <w:pStyle w:val="Normal"/>
        <w:widowControl/>
        <w:rPr/>
      </w:pPr>
      <w:r>
        <w:rPr/>
        <w:t>managing company of investment funds, a distributing company of investment fund shares, and a retirement funds management company, organized as a Mexican subsidiary (filial) of a foreign financial institution, if that financial institution of the other Party meets the following conditions: (a) directly or indirectly carries out in the territory of that other Party, in accordance with applicable law, the same type of financial service that the respective subsidiary is allowed</w:t>
      </w:r>
    </w:p>
    <w:p>
      <w:pPr>
        <w:pStyle w:val="Normal"/>
        <w:widowControl/>
        <w:rPr/>
      </w:pPr>
      <w:r>
        <w:rPr/>
        <w:t>ANNEX III – MEXICO – 3 to carry out in Mexico; (b) is incorporated in and under the laws of that other Party provided further that such Party remains as a party to this Agreement, and (c) obtains prior authorization from the competent Mexican financial authorities and complies with the requirements set out in the respective law. A financial institution of another Party must own at least 51 percent of the subsidiary’s capital stock.</w:t>
      </w:r>
    </w:p>
    <w:p>
      <w:pPr>
        <w:pStyle w:val="Normal"/>
        <w:widowControl/>
        <w:rPr/>
      </w:pPr>
      <w:r>
        <w:rPr/>
        <w:t>ANNEX III – MEXICO – 4 A-3 Sector: Financial Services Sub-Sector: All Services Obligations Concerned: Market Access (Article 17.5.1(a)) Level of Government: Central Measures: Law to Regulate Financial Groups (Ley para Regular las Agrupaciones Financieras); Article 67 Credit Institutions Law (Ley de Instituciones de Crédito); Article 45-A Securities Market Law (Ley del Mercado de Valores); Article 2 Insurance and Surety Institutions Law (Ley de Instituciones de Seguros y Fianzas); Article 2 General Law of Credit Organizations and Auxiliary Activities (Ley General de Organizaciones y Actividades Auxiliares del Crédito); Article 45 Bis 1 Investment Funds Law (Ley de Fondos de Inversión); Article 62 Retirement Savings Systems Law (Ley de los Sistemas de Ahorro para el Retiro); Article 21 Rules for the Establishment of Foreign Financial Institution Subsidiaries (Reglas para el establecimiento de Filiales de Instituciones Financieras del Exterior); First Rule Description: A financial institution of another Party, as any other foreign financial institution, is not permitted to establish branches within Mexican territory.1 For clarification purposes, this wording should not be considered as a departure from Mexico’s position in other international agreements it has entered into.</w:t>
      </w:r>
    </w:p>
    <w:p>
      <w:pPr>
        <w:pStyle w:val="Normal"/>
        <w:widowControl/>
        <w:rPr/>
      </w:pPr>
      <w:r>
        <w:rPr/>
        <w:t>ANNEX III – MEXICO – 5 A-4 Sector: Sub-Sector: Obligations Concerned: Level of Government: Measures: Description: Financial Services All Services National Treatment (Article 17.3.1 and 17.3.2) Market Access (Article 17.5.1(a)) Central Law to Regulate Financial Groups (Ley para Regular las Agrupaciones Financieras); Article 24 Credit Institutions Law (Ley de Instituciones de Crédito); Article 13 Securities Market Law (Ley del Mercado de Valores); Articles 117 and 237 Law to Regulate Credit Information Corporations (Ley para Regular las Sociedades de Información Crediticia); Article 8 Insurance and Surety Institutions Law (Ley de Instituciones de Seguros y Fianzas); Article 50 Retirement Saving Systems Law (Ley de los Sistemas de Ahorro para el Retiro); Article 21 General Law of Credit Organizations and Auxiliary Activities (Ley General de Organizaciones y Actividades Auxiliares de Crédito); Articles 8 and 87-D Investment Funds Law (Ley de Fondos de Inversión); Article 37 Credit Unions Law (Ley de Uniones de Crédito);</w:t>
      </w:r>
    </w:p>
    <w:p>
      <w:pPr>
        <w:pStyle w:val="Normal"/>
        <w:keepNext w:val="true"/>
        <w:widowControl/>
        <w:rPr/>
      </w:pPr>
      <w:r>
        <w:rPr/>
        <w:t>Article 21 A foreign government is not allowed to participate, directly or indirectly, in the capital stock of a holding company of financial groups, commercial bank, securities firm, stock exchange, credit information corporation, surety institution, insurance institution, retirement funds management company, foreign exchange firm, auxiliary credit organization, general deposit warehouse, managing company of investment funds, distributing company of investment</w:t>
      </w:r>
    </w:p>
    <w:p>
      <w:pPr>
        <w:pStyle w:val="Normal"/>
        <w:widowControl/>
        <w:rPr/>
      </w:pPr>
      <w:r>
        <w:rPr/>
        <w:t>fund shares, value assessment company of investment fund shares, credit unions regulated multiple purpose financial entity linked to a credit institution except: (a) In case that participation is done it should be only as a temporary prudential measure, such as financial support or aid. The financial institution that falls in this situation must submit to the competent financial authority the relevant information and</w:t>
      </w:r>
    </w:p>
    <w:p>
      <w:pPr>
        <w:pStyle w:val="Normal"/>
        <w:widowControl/>
        <w:rPr/>
      </w:pPr>
      <w:r>
        <w:rPr/>
        <w:t>ANNEX III – MEXICO – 6 documents to prove that situation. (b) In case that participation implies that the foreign government takes control2 over that financial institution, and it is carried out through an official legal entity, such as a sovereign fund or public development entity, provided that an authorization is previously granted, on a discretionary basis, by the competent financial authority, subject to the condition that such authority is satisfied that such legal entity proves that: (i) it does not exercise any government function, and (ii) its managing board is independent from the respective foreign government. (c). When such participation is indirect and does not imply the control of the financial institution. 2 The term “control” is defined in each of the laws indicated in this entry.</w:t>
      </w:r>
    </w:p>
    <w:p>
      <w:pPr>
        <w:pStyle w:val="Normal"/>
        <w:widowControl/>
        <w:rPr/>
      </w:pPr>
      <w:r>
        <w:rPr/>
        <w:t>ANNEX III – MEXICO – 7 A-5 Sector: Financial Services Sub-Sector: All Services Obligations Concerned: Senior Management and Boards of Directors (Article 17.9) Level of Government: Central Measures: Cooperative Companies General Law (Ley General de Sociedades Cooperativas); Article 7 Description: Directors and managers of savings and loans cooperative companies must be Mexican.</w:t>
      </w:r>
    </w:p>
    <w:p>
      <w:pPr>
        <w:pStyle w:val="Normal"/>
        <w:widowControl/>
        <w:rPr/>
      </w:pPr>
      <w:r>
        <w:rPr/>
        <w:t>ANNEX III – MEXICO – 8 A-6 Sector: Financial Services Sub-Sector: Banking and other Financial Services (excluding Insurance) Obligations Concerned: National Treatment (Article 17.3.1 and 17.3.2) Market Access (Article 17.5.1(a)) Level of Government: Central Measures: Securities Market Law (Ley del Mercado de Valores); Article Description: If a securities firm organized as a subsidiary (filial) of a financial institution of another Party acquires shares of a Mexican securities firm, which shall not be below 51 percent of its capital stock, such subsidiary must merge with the securities firm.</w:t>
      </w:r>
    </w:p>
    <w:p>
      <w:pPr>
        <w:pStyle w:val="Normal"/>
        <w:widowControl/>
        <w:rPr/>
      </w:pPr>
      <w:r>
        <w:rPr/>
        <w:t>ANNEX III – MEXICO – 9 A-7 Sector: Financial Services Sub-Sector: Banking and other Financial Services (excluding Insurance) Obligations Concerned: Market Access (Article 17.5.1(a)) Level of Government: Central Measures: Retirement Savings Systems Law Ahorro para el Retiro); Article 26 (Ley de los Sistemas de Description: A retirement fund management company may not own more than 20 percent share of the retirement savings systems market. The Retirement Savings System National Commission (Comisión Nacional del Sistema de Ahorro para el Retiro) (CONSAR) may authorize a limit beyond 20 percent, provided that this does not constitute prejudice to the interests of workers. 3 The term “market” refers to the total amount of individual retirement accounts.</w:t>
      </w:r>
    </w:p>
    <w:p>
      <w:pPr>
        <w:pStyle w:val="Normal"/>
        <w:widowControl/>
        <w:rPr/>
      </w:pPr>
      <w:r>
        <w:rPr/>
        <w:t>ANNEX III – MEXICO – 10 A-8 Sector: Financial Services Sub-Sector: Banking and other Financial Services (excluding Insurance) Obligations Concerned: Market Access (Article 17.5.1(a)) Level of Government: Central Measures: Securities Market Law (Ley del Mercado de Valores); Article Description: The organization of a stock exchange is subject to a concession previously granted, on a discretionary basis, by the Federal Government. The decision to grant that concession will be subject to considerations regarding the market’s development.</w:t>
      </w:r>
    </w:p>
    <w:p>
      <w:pPr>
        <w:pStyle w:val="Normal"/>
        <w:widowControl/>
        <w:rPr/>
      </w:pPr>
      <w:r>
        <w:rPr/>
        <w:t>ANNEX III – MEXICO – 11 A-9 Sector: Financial Services Sub-Sector: Insurance and insurance-related services Obligations Concerned: National Treatment (Article 17.3.3(b)) Market Access (Article 17.5.1(c)) Level of Government: Central Measures: Insurance and Surety Institutions Law (Ley de Instituciones de Seguros y Fianzas); Articles 20, 21, 22, 23, and 24 Description: No person may contract with foreign entities the insurance of: (a) maritime or aircraft hulls, and any kind of vehicle, for risks inherent to the maritime and transportation industries, provided that such hulls and vehicles have Mexican registration or are owned by persons domiciled in Mexico; (b) credit, housing credit, surety and financial guarantee 4, if the insured is subject to Mexican law. (c) third party liability derived from events that may take place in the territory of Mexico; and (d) other risks that may take place in Mexican territory, except for insurance contracted outside such territory with respect to goods transported from the territory of Mexico to a foreign territory or vice versa, and insurance contracted by non-residents in Mexico for their persons or vehicles to cover risks during their temporary entries into the territory of Mexico.</w:t>
      </w:r>
    </w:p>
    <w:p>
      <w:pPr>
        <w:pStyle w:val="Normal"/>
        <w:widowControl/>
        <w:rPr/>
      </w:pPr>
      <w:r>
        <w:rPr/>
        <w:t>For greater certainty, no person may contract with entities of another Party the insurance of persons provided that the person is located in the territory of Mexico at the moment of the execution of the insurance agreement if that person is an individual, or that the insured resides in Mexico if the insurance 4 The prohibition for insurance of financial guarantee will not apply when the securities or documents matter of the insurance participate in foreign markets exclusively.</w:t>
      </w:r>
    </w:p>
    <w:p>
      <w:pPr>
        <w:pStyle w:val="Normal"/>
        <w:widowControl/>
        <w:rPr/>
      </w:pPr>
      <w:r>
        <w:rPr/>
        <w:t>ANNEX III – MEXICO – 12 is contracted by a legal entity.5 As an exception to the prohibitions indicated above, the National Insurance and Surety Commission (Comisión Nacional de Seguros y Fianzas) (CNSF) may authorize a person to contract any of the insurance described above provided that such person demonstrates that none of the insurance institutions authorized to operate in Mexico is able or deems convenient to enter into a given insurance operation proposed to it. For clarification purposes, this wording should not be considered as a departure from Mexico’s position in other international agreements it has entered into.</w:t>
      </w:r>
    </w:p>
    <w:p>
      <w:pPr>
        <w:pStyle w:val="Normal"/>
        <w:widowControl/>
        <w:rPr/>
      </w:pPr>
      <w:r>
        <w:rPr/>
        <w:t>ANNEX III – MEXICO – 13 A-10 Sector: Financial Services Sub-Sector: Banking and other Financial Services (excluding Insurance) Obligations Concerned: National Treatment (Article 17.3.3(b)) Market Access (Article 17.5.1(a)) Level of Government: Central Measures: Insurance and Surety Institutions Law (Ley de Instituciones de Seguros y Fianzas); Articles 34 and 35 Description: No person may contract with foreign entities sureties to guarantee acts of individuals and legal entities bound to fulfil obligations in Mexican territory, except for rebonding or in case such sureties are received by Mexican surety institutions as counter guarantee. As an exception to the prohibitions indicated above, the National Insurance and Surety Commission (Comisión Nacional de Seguros y Fianzas) (CNSF) may authorize a person to contract any of the sureties described above provided that none of the financial institutions authorized to operate in Mexico is able or deems it convenient to undertake a surety operation proposed to it, upon prior verification of such circumstances have been proved to it.</w:t>
      </w:r>
    </w:p>
    <w:p>
      <w:pPr>
        <w:pStyle w:val="Normal"/>
        <w:widowControl/>
        <w:rPr/>
      </w:pPr>
      <w:r>
        <w:rPr/>
        <w:t>ANNEX III – MEXICO – 14 A-11 Sector: Financial Services Sub-Sector: All Obligations Concerned: National Treatment (Article 17.3.1 and 17.3.2) Market Access (Article 17.5.1(a)) Level of Government: Central Measures: Insurance and Surety Institutions Law (Ley de Instituciones de Seguros y Fianzas); Article 337 Regulation of Insurance and Surety Agents (Reglamento de Agentes de Seguros y de Fianzas); Article 12 Rules for the authorization and operation of reinsurance brokers (Reglas para la autorización y operación de intermediarios de reaseguros); Rule Fourth Description: A foreign government or official foreign entity may not participate in a mutual insurance society, in the capital stock of an insurance and surety agency, or in the capital stock of a reinsurance broker, either directly or indirectly. A foreign financial entity may not participate in the capital stock of an insurance or surety agency, or in a mutual insurance society. A group of foreign individuals or legal entities, regardless of the form they adopt, may not participate in a mutual insurance society, either directly or indirectly. For clarification purposes, a foreign individual may participate in mutual insurance societies as long as they do so individually and not as part of a group or entity.</w:t>
      </w:r>
    </w:p>
    <w:p>
      <w:pPr>
        <w:pStyle w:val="Normal"/>
        <w:widowControl/>
        <w:rPr/>
      </w:pPr>
      <w:r>
        <w:rPr/>
        <w:t>ANNEX III – MEXICO – 15 A-12 Sector: Financial Services Sub-Sector: Insurance Obligations Concerned: National Treatment (Article 17.3.1 and 17.3.2) Market Access (Article 17.5.1(a)) Level of Government: Central Measures: Agricultural and Rural Insurance Funds Law (Ley de Fondos de Aseguramiento Agropecuario y Rural); Article 26 Description: Only a Mexican exclusion clause Insurance Funds. or a Mexican legal entity with a foreigners may participate in Agricultural and Rural</w:t>
      </w:r>
    </w:p>
    <w:p>
      <w:pPr>
        <w:pStyle w:val="Normal"/>
        <w:widowControl/>
        <w:rPr/>
      </w:pPr>
      <w:r>
        <w:rPr/>
        <w:t>ANNEX III – MEXICO – 16 B-1 SECTION B Sector: Sub-Sector: Obligations Concerned: Level of Government: Description: Financial Services All Services Market Access (Article 17.5.1(a) and (c)) Senior Management and Boards of Directors (Article 17.9) Central Mexico, when selling or disposing of its equity interest in, or the assets of, an existing state enterprise or an existing governmental entity, may prohibit or impose a limitation on the ownership of such interest or assets, and on the ability of owners of such interest or assets to control any resulting enterprise, by investors of Mexico of another Party or of a non- Party or their investments. Additionally, Mexico may impose a limitation on the supply of the services related to such investments. With respect to such a sale or other disposition, Mexico may adopt or maintain any measure relating to the nationality of individuals appointed to senior management positions of members of the board of directors.</w:t>
      </w:r>
    </w:p>
    <w:p>
      <w:pPr>
        <w:pStyle w:val="Normal"/>
        <w:widowControl/>
        <w:rPr/>
      </w:pPr>
      <w:r>
        <w:rPr/>
        <w:t>For the purposes of this reservation: (a) A measure maintained or adopted after the date of entry into force of this Agreement that, at the time of sale or other disposition, prohibits or imposes limitations on the ownership of equity interest or assets or imposes nationality requirements described in this reservation shall be deemed to be an existing measure; and (b) state enterprise means an enterprise owned or controlled through ownership interest by Mexico and includes an enterprise established after the date of entry into force of this agreement solely for the purposes of selling or disposing of equity interest in, or the assets of, an existing state enterprise or governmental entity.</w:t>
      </w:r>
    </w:p>
    <w:p>
      <w:bookmarkStart w:id="1657" w:name="_NAESTMA_TOC_1657"/>
      <w:pPr>
        <w:pStyle w:val="Heading1"/>
        <w:keepNext/>
        <w:pageBreakBefore/>
        <w:widowControl/>
        <w:rPr/>
      </w:pPr>
      <w:bookmarkStart w:id="279" w:name="_Toc237912760"/>
      <w:r>
        <w:rPr/>
        <w:t>ANNEX III – MEXICO – 17</w:t>
      </w:r>
      <w:bookmarkEnd w:id="279"/>
      <w:bookmarkEnd w:id="1657"/>
    </w:p>
    <w:p>
      <w:pPr>
        <w:pStyle w:val="Normal"/>
        <w:widowControl/>
        <w:rPr/>
      </w:pPr>
      <w:r>
        <w:rPr/>
        <w:t>ANNEX III – MEXICO – 18 B-2 Sector: Financial Services Sub-Sector: Banking and other Financial Services (excluding Insurance) Obligations Concerned: National Treatment (Article 17.3) Level of Government: Central Description: Mexico reserves the right to adopt or maintain a measure that grants advantages, including exclusive rights, to development banks, decentralized entities, or public funds for the economic development already established at the time that this Agreement enters into force, as well as any new, reorganized or transferee development bank, decentralized entity, or public fund for the economic development with similar functions and objectives with respect to development banking. The institutions of development banking include: (a) National Financial Institution, S.N.C. (Nacional Financiera, S.N.C.); (b) National Bank of Public Works and Services, S.N.C. (Banco Nacional de Obras y Servicios Públicos, S.N.C.); (c) National Bank of Foreign Trade, S.N.C. (Banco Nacional de Comercio Exterior, S.N.C.); (d) Federal Mortgage Corporation, S.N.C. (Sociedad Hipotecaria Federal, S.N.C.); (e) National Savings and Financial Services Bank, S.N.C (Banco del Ahorro Nacional y Servicios Financieros, S.N.C.); (f) National Bank of the Army, Air Force and Navy, S.N.C. (Banco Nacional del Ejército, Fuerza Aérea y Armada, S.N.C.), or their respective successors.</w:t>
      </w:r>
    </w:p>
    <w:p>
      <w:pPr>
        <w:pStyle w:val="Normal"/>
        <w:widowControl/>
        <w:rPr/>
      </w:pPr>
      <w:r>
        <w:rPr/>
        <w:t>ANNEX III – MEXICO – 19 B-3 Sector: Financial Services Sub-Sector: All Services Obligations Concerned: National Treatment (Article 17.3) Level of Government: Central Description: Mexico reserves the right to adopt or maintain a measure that grants advantages, including exclusive rights, to the national insurance institutions, national surety institutions, a national pension fund, or national auxiliary organizations of credit in existence at the date of entry into force of this Agreement, as well as a new, reorganized, or transferee national insurance institution, national surety institution, a national pension fund or national auxiliary organization of credit with similar functions and objectives with respect to public policy purposes.</w:t>
      </w:r>
    </w:p>
    <w:p>
      <w:pPr>
        <w:pStyle w:val="Normal"/>
        <w:widowControl/>
        <w:rPr/>
      </w:pPr>
      <w:r>
        <w:rPr/>
        <w:t>ANNEX III – MEXICO – 20 B-4 Sector: Financial Services Sub-Sector: All Services Obligations Concerned: Market Access (Article 17.5.1(a) and (c)) Senior Management and Boards of Directors (Article 17.9) Level of Government: Central Description: With respect to the supply of a financial service that Mexico does not require to be supplied by a financial institution on or before the date of entry into force of this Agreement but requires to be supplied by a financial institution after the date of entry into force of this Agreement, Mexico reserves the right to adopt after the date of entry into force of this Agreement a measure or maintain any such measure that: (a) imposes limitations on the number of financial institutions that may supply the financial service in Mexico, subject to an economic needs test;</w:t>
      </w:r>
    </w:p>
    <w:p>
      <w:pPr>
        <w:pStyle w:val="Normal"/>
        <w:widowControl/>
        <w:rPr/>
      </w:pPr>
      <w:r>
        <w:rPr/>
        <w:t>(b) imposes limitations in the form of numerical quotas on the total value of financial service transactions or assets, subject to an economic needs test with respect to the financial service that may be supplied in Mexico; or (c) imposes requirements related to the nationality or residency in Mexico of individuals appointed to senior management positions or members of the board of directors that are inconsistent with Article 17.9 (Senior Management and Boards of Directors), provided that: (d) any amendment to the measure, or adoption of any other measure as described in paragraphs 1(a) through 1(c) applied to the financial service, does not decrease the conformity of</w:t>
      </w:r>
    </w:p>
    <w:p>
      <w:pPr>
        <w:pStyle w:val="Normal"/>
        <w:widowControl/>
        <w:rPr/>
      </w:pPr>
      <w:r>
        <w:rPr/>
        <w:t>Mexico’s measures as they existed when Mexico first adopted a measure inconsistent with Article 17.5.1(a) (Market Access) and Article 17.9 (Senior Management and Boards of</w:t>
      </w:r>
    </w:p>
    <w:p>
      <w:pPr>
        <w:pStyle w:val="Normal"/>
        <w:widowControl/>
        <w:rPr/>
      </w:pPr>
      <w:r>
        <w:rPr/>
        <w:t>ANNEX III – MEXICO – 21 Directors); (e) the measure described in paragraphs 1(a) through (c) is not applied to withdraw a tangible or intangible asset from a covered investment; and, (f) the amendment to the measure, or adoption of any other measure described in paragraphs 1(a) through 1(c) is not applied to withdraw a tangible or intangible asset from (1) a financial institution of another Party; or (2) an investor of another Party, or an investment of such an investor, in a financial institution of another Party.</w:t>
      </w:r>
    </w:p>
    <w:p>
      <w:pPr>
        <w:pStyle w:val="Normal"/>
        <w:widowControl/>
        <w:rPr/>
      </w:pPr>
      <w:r>
        <w:rPr/>
        <w:t>ANNEX III – MEXICO – 22 B-5 Sector: Financial Services Sub-Sector: Banking and other Financial Services (excluding Insurance) Obligations Concerned: Market Access (Article 17.5.1(b)) National Treatment (Article 17.3.3(a)) Level of Government: Central Description: A cross-border service supplier of another Party may supply the electronic payments services into Mexico specified in Annex 17-A, provided that the cross-border service supplier supplies such services in the territory of that other Party. In addition, such cross-border supply of electronic payment services into Mexico must be supplied on a contractual relationship between a cross-border service supplier of another Party and an affiliate of that supplier established and authorized as a payments network participant under Mexican law in the territory of Mexico.</w:t>
      </w:r>
    </w:p>
    <w:p>
      <w:bookmarkStart w:id="1658" w:name="_NAESTMA_TOC_1658"/>
      <w:pPr>
        <w:pStyle w:val="Heading1"/>
        <w:keepNext/>
        <w:pageBreakBefore/>
        <w:widowControl/>
        <w:rPr/>
      </w:pPr>
      <w:bookmarkStart w:id="280" w:name="_Toc237912761"/>
      <w:r>
        <w:rPr/>
        <w:t>ANNEX III – MEXICO – 23</w:t>
      </w:r>
      <w:bookmarkEnd w:id="280"/>
      <w:bookmarkEnd w:id="1658"/>
    </w:p>
    <w:p>
      <w:pPr>
        <w:pStyle w:val="Normal"/>
        <w:widowControl/>
        <w:rPr/>
      </w:pPr>
      <w:r>
        <w:rPr/>
        <w:t>ANNEX III SCHEDULE OF THE UNITED STATES HEADNOTES 1. Commitments in these sub-sectors under Chapter 17 (Financial Services) are undertaken subject to the limitations and conditions set forth in these headnotes and in the Schedule below. 2. National treatment commitments in these sub-sectors are subject to the following limitations: (a) National treatment with respect to banking will be provided based upon the foreign bank’s “home state” in the United States, as that term is defined under the International Banking Act, when that Act is applicable. A domestic bank subsidiary of a foreign firm will have its own “home state”, and national treatment will be provided based upon the subsidiary’s home state, as determined under applicable law.1 (b) National treatment with respect to insurance financial institutions will be provided according to a non-U.S. insurance financial institution’s state of domicile, when applicable, in the United States. State of domicile is defined by individual states, and is generally the state in which an insurer either is incorporated, is organized or maintains its principal office in the United States. 3.</w:t>
      </w:r>
    </w:p>
    <w:p>
      <w:pPr>
        <w:pStyle w:val="Normal"/>
        <w:widowControl/>
        <w:rPr/>
      </w:pPr>
      <w:r>
        <w:rPr/>
        <w:t>To clarify the U.S. commitment with respect to Article 17.5 (Market Access), juridical persons supplying banking or other financial services (excluding insurance) and constituted under the laws of the United States are subject to non-discriminatory limitations on juridical form.2 4.</w:t>
      </w:r>
    </w:p>
    <w:p>
      <w:pPr>
        <w:pStyle w:val="Normal"/>
        <w:widowControl/>
        <w:rPr/>
      </w:pPr>
      <w:r>
        <w:rPr/>
        <w:t>For entries in Section A, in accordance with Article 17.10.1(a) (Non-Conforming Measures), and subject to Article 17.10.1(c) (Non-Conforming Measures), the Articles specified 1 Foreign banking organizations are generally subject to geographic and other limitations in the United States on a national treatment basis. If the limitations do not conform to national treatment, they have been listed as non conforming measures. For purposes of illustration, under this approach, the following situation does not accord national treatment and would therefore be listed as a non-conforming measure: a foreign bank from a particular home state is accorded less favorable treatment than that accorded to a domestic bank from that state with respect to expansion by branching. For greater certainty, a bank that is incorporated in the United States, including a U.S. bank subsidiary of a foreign bank, is considered a “domestic bank” and not a “foreign bank”. The referenced measures include the relevant comprehensive definitions. 2 For example, partnerships and sole proprietorships are generally not acceptable juridical forms for depository financial institutions in the United States. This headnote is not itself intended to affect, or otherwise limit, a choice by a financial institution of the other Party between branches or subsidiaries.</w:t>
      </w:r>
    </w:p>
    <w:p>
      <w:pPr>
        <w:pStyle w:val="Normal"/>
        <w:widowControl/>
        <w:rPr/>
      </w:pPr>
      <w:r>
        <w:rPr/>
        <w:t>ANNEX III – UNITED STATES – 1 in the Obligations Concerned element of an entry do not apply to the non-conforming aspects of the law, regulation or other measure identified in the Measures element of that entry. In addition, Description provides a general, non-binding description of the measure for which the entry is made. 5. For entries in Section B, in accordance with Article 17.10.2 (Non-Conforming Measures), the articles of this Agreement specified in the Obligations Concerned element of an entry do not apply to the sectors, sub-sectors and activities identified in the Description element of that entry. 6. Article 17.10.1(c) (Non-Conforming Measures) does not apply to non-conforming measures relating to Article 17.5.1(e) (Market Access).</w:t>
      </w:r>
    </w:p>
    <w:p>
      <w:bookmarkStart w:id="1659" w:name="_NAESTMA_TOC_1659"/>
      <w:pPr>
        <w:pStyle w:val="Heading1"/>
        <w:keepNext/>
        <w:pageBreakBefore/>
        <w:widowControl/>
        <w:rPr/>
      </w:pPr>
      <w:bookmarkStart w:id="281" w:name="_Toc237912762"/>
      <w:r>
        <w:rPr/>
        <w:t>ANNEX III – UNITED STATES – 2</w:t>
      </w:r>
      <w:bookmarkEnd w:id="281"/>
      <w:bookmarkEnd w:id="1659"/>
    </w:p>
    <w:p>
      <w:pPr>
        <w:pStyle w:val="Normal"/>
        <w:widowControl/>
        <w:rPr/>
      </w:pPr>
      <w:r>
        <w:rPr/>
        <w:t>ANNEX III Section A Sector: Financial Services Sub-Sector: Banking and other financial services (excluding insurance) Obligations Concerned: Senior Management and Boards of Directors (Article 17.9) Level of Government: Central Measures: 12 U.S.C. § 72 Description: All directors of a national bank must be U.S. citizens except that the Comptroller of the Currency may waive the citizenship requirement for not more than a minority of the total number of directors.</w:t>
      </w:r>
    </w:p>
    <w:p>
      <w:pPr>
        <w:pStyle w:val="Normal"/>
        <w:widowControl/>
        <w:rPr/>
      </w:pPr>
      <w:r>
        <w:rPr/>
        <w:t>ANNEX III – UNITED STATES – 3 Sector: Financial Services Sub-Sector: Banking and other financial services (excluding insurance) Obligations Concerned: National Treatment (Articles 17.3.1 and 17.3.2) Market Access (Article 17.5.1(a)) Level of Government: Central Measures: 12 U.S.C. § 619 Description: Foreign ownership of Edge Act corporations is limited to foreign banks and U.S. subsidiaries of foreign banks, while domestic non- bank firms may own such corporations.</w:t>
      </w:r>
    </w:p>
    <w:p>
      <w:pPr>
        <w:pStyle w:val="Normal"/>
        <w:widowControl/>
        <w:rPr/>
      </w:pPr>
      <w:r>
        <w:rPr/>
        <w:t>ANNEX III – UNITED STATES – 4 Sector: Financial Services Sub-Sector: Banking and other financial services (excluding insurance) Obligations Concerned: National Treatment (Articles 17.3.1 and 17.3.2) Market Access (Article 17.5.1(a)) Level of Government: Central Measures: 12 U.S.C. §§ 1463 et seq. 12 U.S.C. §§ 1751 et seq. Description: Federal and state laws do not permit a credit union, savings bank, or savings association (both of the latter two entities may be also called thrift institutions) in the United States to be established through branches of corporations organized under a foreign country’s law.</w:t>
      </w:r>
    </w:p>
    <w:p>
      <w:pPr>
        <w:pStyle w:val="Normal"/>
        <w:widowControl/>
        <w:rPr/>
      </w:pPr>
      <w:r>
        <w:rPr/>
        <w:t>ANNEX III – UNITED STATES – 5 Sector: Financial Services Sub-Sector: Banking and other financial services (excluding insurance) Obligations Concerned: National Treatment (Articles 17.3.1 and 17.3.2) Market Access (Article 17.5.1(a)) Level of Government: Central Measures: 12 U.S.C. § 3104(d) Description: In order to accept or maintain domestic retail deposits of less than the standard maximum deposit insurance amount, and requiring deposit insurance protection, a foreign bank must establish an insured banking subsidiary. This requirement does not apply to a foreign bank branch that was engaged in insured deposit-taking activities on December 19, 1991.</w:t>
      </w:r>
    </w:p>
    <w:p>
      <w:pPr>
        <w:pStyle w:val="Normal"/>
        <w:widowControl/>
        <w:rPr/>
      </w:pPr>
      <w:r>
        <w:rPr/>
        <w:t>ANNEX III – UNITED STATES – 6 Sector: Financial Services Sub-Sector: Banking and other financial services (excluding insurance) Obligations Concerned: National Treatment (Article 17.3) Level of Government: Central Measures: 15 U.S.C. §§ 80b-2 and 80b-3 Description: Foreign banks are required to register as investment advisers under the Investment Advisers Act of 1940 to engage in securities advisory and investment management services in the United States, while domestic banks (or a separately identifiable department or division of the bank) do not have to register unless they advise registered investment companies. The registration requirement involves record maintenance, inspections, submission of reports, and payment of a fee. 3 For greater certainty, “domestic banks” include U.S. bank subsidiaries of foreign banks.</w:t>
      </w:r>
    </w:p>
    <w:p>
      <w:pPr>
        <w:pStyle w:val="Normal"/>
        <w:widowControl/>
        <w:rPr/>
      </w:pPr>
      <w:r>
        <w:rPr/>
        <w:t>ANNEX III – UNITED STATES – 7 Sector: Financial Services Sub-Sector: Banking and other financial services (excluding insurance) Obligations Concerned: National Treatment (Articles 17.3.1 and 17.3.2) Level of Government: Central Measures: 12 U.S.C. §§ 221, 302, and 321 Description: Foreign banks cannot be members of the Federal Reserve System, and thus may not vote for directors of a Federal Reserve Bank. U.S. bank subsidiaries of foreign banks are not subject to this measure.</w:t>
      </w:r>
    </w:p>
    <w:p>
      <w:pPr>
        <w:pStyle w:val="Normal"/>
        <w:widowControl/>
        <w:rPr/>
      </w:pPr>
      <w:r>
        <w:rPr/>
        <w:t>ANNEX III – UNITED STATES – 8 Sector: Financial Services Sub-Sector: Banking and other financial services (excluding insurance) Obligations Concerned: Market Access (Article 17.5.1(a)) Level of Government: Central Measures: 12 U.S.C. § 36(g) 12 U.S.C. § 1828(d)(4) 12 U.S.C. § 1831u Description: The United States undertakes no commitment with respect to Article 17.5.1(e) (Market Access) in relation to the expansion, by a foreign bank into another state from its “home state,” as that term is defined under applicable law, via: (a) the establishment of a “de novo” branch in another state; (b) the establishment of branches by merger with a bank in another state; or (c) the acquisition of one or more branches of a bank another state without the acquisition of the entire bank, in if not permitted by the state in which the resulting branch is or would be located. Except as provided elsewhere in this Schedule, such expansion shall be accorded on a national treatment basis in accordance with paragraph 2(a) of the headnote.</w:t>
      </w:r>
    </w:p>
    <w:p>
      <w:pPr>
        <w:pStyle w:val="Normal"/>
        <w:widowControl/>
        <w:rPr/>
      </w:pPr>
      <w:r>
        <w:rPr/>
        <w:t>ANNEX III – UNITED STATES – 9 Sector: Financial Services Sub-Sector: Banking and other financial services (excluding insurance) Obligations Concerned: National Treatment (Articles 17.3.1 and 17.3.2) Market Access (Article 17.5.1(a)) Level of Government: Central Measures: 12 U.S.C. § 3102(a)(1) 12 U.S.C. § 3102(d) 12 U.S.C. § 3103(a) Description: Establishment of a federal branch or agency by a foreign bank is not available in the following states that may prohibit establishment of a branch or agency by a foreign bank: (a) branches and agencies may be Maryland, and North Dakota; and prohibited in Kansas, (b) branches, but not agencies, may be prohibited in Georgia, Missouri and Oklahoma. Certain restrictions on fiduciary powers apply to federal agencies. Note: The cited federal measures provide that certain state law restrictions apply to the establishment of federal branches or agencies.</w:t>
      </w:r>
    </w:p>
    <w:p>
      <w:pPr>
        <w:pStyle w:val="Normal"/>
        <w:widowControl/>
        <w:rPr/>
      </w:pPr>
      <w:r>
        <w:rPr/>
        <w:t>ANNEX III – UNITED STATES – 10 Sector: Financial Services Sub-Sector: Banking and other financial services (excluding insurance) Obligations Concerned: Most-Favored-Nation Treatment (Article 17.4) Market Access (Articles 17.5.1(a), 17.5.1(b), and 17.5.1(c)) Level of Government: Central Measures: 15 U.S.C. § 77jjj(a)(1) Description: The authority to act as a sole trustee of an indenture for a bond offering in the United States is subject to a reciprocity test.</w:t>
      </w:r>
    </w:p>
    <w:p>
      <w:pPr>
        <w:pStyle w:val="Normal"/>
        <w:widowControl/>
        <w:rPr/>
      </w:pPr>
      <w:r>
        <w:rPr/>
        <w:t>ANNEX III – UNITED STATES – 11 Sector: Financial Services Sub-Sector: Banking and other financial services (excluding insurance) Obligations Concerned: Most-Favored-Nation Treatment (Article 17.4) Market Access (Article 17.5.1(a)) Level of Government: Central Measures: 22 U.S.C. §§ 5341 and 5342 Description: Designation as a primary dealer in U.S. government debt securities is conditioned on reciprocity. A foreign-owned firm from any country that accords to United States companies the same competitive opportunities in the underwriting and distribution of government debt instruments as the country accords to a domestic company will be entitled to be designated as a primary dealer, assuming the firm meets applicable business requirements established by the Federal Reserve. If such country has entered into a Free Trade Agreement with the United States and the country has undertaken an obligation to provide national treatment for its government debt market, that fact shall be a positive factor in the consideration of such firm’s request for designation.</w:t>
      </w:r>
    </w:p>
    <w:p>
      <w:pPr>
        <w:pStyle w:val="Normal"/>
        <w:widowControl/>
        <w:rPr/>
      </w:pPr>
      <w:r>
        <w:rPr/>
        <w:t>ANNEX III – UNITED STATES – 12 Sector: Financial Services Sub-Sector: Banking and other financial services (excluding insurance) Obligations Concerned: Most-Favored-Nation Treatment (Article 17.4) Level of Government: Central Measures: 15 U.S.C. § 78o(c) Description: A broker-dealer registered under U.S. law that has its principal place of business in Canada may maintain its required reserves in a bank in Canada subject to the supervision of Canada.</w:t>
      </w:r>
    </w:p>
    <w:p>
      <w:pPr>
        <w:pStyle w:val="Normal"/>
        <w:widowControl/>
        <w:rPr/>
      </w:pPr>
      <w:r>
        <w:rPr/>
        <w:t>ANNEX III – UNITED STATES – 13 Sector: Financial Services Sub-Sector: Banking and other financial services (excluding insurance) Obligations Concerned: National Treatment (Article 17.3) Level of Government: Central Measures: 12 U.S.C. §§ 1421 et seq. (Federal Home Loan Banks) 12 U.S.C. §§ 1451 et seq. (Federal Home Loan Mortgage Corporation) 12 U.S.C. §§ 1717 et seq. (Federal National Mortgage Association) 12 U.S.C. §§ 2011 et seq. (Farm Credit Banks) 12 U.S.C. §§ 2279aa-1 et seq. (Federal Agricultural Mortgage Corporation) 20 U.S.C. §§ 1087-2 et seq. (Student Loan Marketing Association) Description: The United States may grant advantages, including but not limited to the following, to one or more of the Government-Sponsored Enterprises (GSEs) listed above: (a) Capital, reserves and income of the GSE are exempt from certain taxation. (b) Securities issued by the GSE are exempt from registration and periodic reporting requirements under federal securities laws. (c) The U.S. Treasury may, in its discretion, purchase obligations issued by the GSE.</w:t>
      </w:r>
    </w:p>
    <w:p>
      <w:pPr>
        <w:pStyle w:val="Normal"/>
        <w:widowControl/>
        <w:rPr/>
      </w:pPr>
      <w:r>
        <w:rPr/>
        <w:t>ANNEX III – UNITED STATES – 14 Sector: Financial Services Sub-Sector: Banking and other financial services (excluding insurance) Obligations Concerned: National Treatment (Articles 17.3.1 and 17.3.2) Most-Favored-Nation Treatment (Article 17.4) Market Access (Article 17.5.1(a)) Senior Management and Boards of Directors (Article 17.9) Level of Government: Regional Measures: All existing non-conforming measures of all states, the District of Columbia, and Puerto Rico Description: Pursuant to the measures referred to above, some U.S. states may, among other things: (a) restrict or fail to provide an explicit mechanism for initial entry for the various juridical forms (for example, subsidiary, branch, agency, representative office) through which foreign banks may obtain a state license to conduct business activities within their territory;5 and (b) impose citizenship requirements on some or all members of the boards of directors of state- chartered depository institutions. Additionally, states may impose restrictions or conditions upon the business activities with respect to juridical form; that is, with respect to a foreign bank operating in the state as a state-licensed or state-chartered incorporated entity, branch, agency or representative office. Some of the above limitations may reflect state reciprocity requirements.</w:t>
      </w:r>
    </w:p>
    <w:p>
      <w:pPr>
        <w:pStyle w:val="Normal"/>
        <w:widowControl/>
        <w:rPr/>
      </w:pPr>
      <w:r>
        <w:rPr/>
        <w:t>5 For the purposes of transparency, Appendix III-A sets out an illustrative, non-binding list of foreign bank structures explicitly provided for at the regional level of government.</w:t>
      </w:r>
    </w:p>
    <w:p>
      <w:pPr>
        <w:pStyle w:val="Normal"/>
        <w:widowControl/>
        <w:rPr/>
      </w:pPr>
      <w:r>
        <w:rPr/>
        <w:t>ANNEX III – UNITED STATES – 15 Sector: Financial Services Sub-Sector: Insurance Obligations Concerned: National Treatment (Article 17.3) Market Access (Articles 17.5.1(a), 17.5.1(b), and 17.5.1(c)) Level of Government: Central Measures: 31 U.S.C. § 9304 Description: Branches of foreign insurance companies are not provide surety bonds for U.S. Government contracts. permitted to</w:t>
      </w:r>
    </w:p>
    <w:p>
      <w:pPr>
        <w:pStyle w:val="Normal"/>
        <w:widowControl/>
        <w:rPr/>
      </w:pPr>
      <w:r>
        <w:rPr/>
        <w:t>ANNEX III – UNITED STATES – 16 Sector: Financial Services Sub-Sector: Insurance Obligations Concerned: National Treatment (Article 17.3.3) Level of Government: Central Measures: 46 C.F.R. 249.9 Description: When more than 50 percent of the value of a maritime vessel whose hull was built under federally guaranteed mortgage funds is insured by a non-U.S. insurer, the insured must demonstrate that the risk was substantially first offered in the U.S. market.</w:t>
      </w:r>
    </w:p>
    <w:p>
      <w:pPr>
        <w:pStyle w:val="Normal"/>
        <w:widowControl/>
        <w:rPr/>
      </w:pPr>
      <w:r>
        <w:rPr/>
        <w:t>ANNEX III – UNITED STATES – 17 Sector: Financial Services Sub-Sector: Insurance Obligations Concerned: National Treatment (Article 17.3) Most-Favored-Nation Treatment (Article 17.4) Market Access (Article 17.5) Senior Management and Boards of Directors (Article 17.9) Level of Government: Regional Measures: All existing non-conforming measures of all states, the District of Columbia and Puerto Rico. For the purposes of transparency, Appendix III-B sets out an illustrative, non-binding list of non conforming measures maintained at the regional level of government.</w:t>
      </w:r>
    </w:p>
    <w:p>
      <w:pPr>
        <w:pStyle w:val="Normal"/>
        <w:widowControl/>
        <w:rPr/>
      </w:pPr>
      <w:r>
        <w:rPr/>
        <w:t>ANNEX III – UNITED STATES – 18 APPENDIX III-A LIST OF FOREIGN BANK STRUCTURES EXPLICITLY PROVIDED FOR AT THE REGIONAL LEVEL OF GOVERNMENT Commercial Bank Ownership Branches Agencies Rep Offices Alabama Yes Yes Yes Yes Alaska Yes Yes No No Arizona No No No No Arkansas No No No No California Yes Yes Yes Yes Colorado No No No No Connecticut Yes Yes Yes Yes Delaware Yes Yes Yes Yes District of Columbia Yes Yes Yes Yes Florida No Yes Yes Yes Georgia No No Yes Yes Hawaii Yes Yes Yes Yes Idaho Yes Yes Yes Yes Illinois No Yes No Yes Indiana Yes No No No Iowa No No No No Kansas No No No No Kentucky No No No Yes Louisiana Yes Yes Yes Yes Maine Yes Yes Yes Yes Maryland No No No No Massachusetts Yes Yes Yes Yes Michigan Yes Yes Yes Yes Minnesota Yes No No Yes Mississippi Yes Yes Yes Yes Missouri Yes No Yes Yes Montana Yes No No No Nebraska No No No No Nevada Yes Yes Yes Yes New Hampshire Yes Yes Yes Yes New Jersey Yes Yes Yes Yes 6 This list provides illustrative examples for transparency purposes only;</w:t>
      </w:r>
    </w:p>
    <w:p>
      <w:pPr>
        <w:pStyle w:val="Normal"/>
        <w:widowControl/>
        <w:rPr/>
      </w:pPr>
      <w:r>
        <w:rPr/>
        <w:t>it is neither exhaustive nor binding.</w:t>
      </w:r>
    </w:p>
    <w:p>
      <w:pPr>
        <w:pStyle w:val="Normal"/>
        <w:widowControl/>
        <w:rPr/>
      </w:pPr>
      <w:r>
        <w:rPr/>
        <w:t>ANNEX III – UNITED STATES – 19 New Mexico No No No No New York Yes Yes Yes Yes North Carolina Yes Yes Yes Yes North Dakota No No No No Ohio Yes Yes Yes Yes Oklahoma No No Yes Yes Oregon No Yes No No Pennsylvania Yes Yes Yes Yes Puerto Rico Yes Yes Yes Yes Rhode Island Yes No No No South Carolina No No No No South Dakota No No No No Tennessee No No No No Texas Yes Yes Yes Yes Utah No Yes Yes Yes Vermont Yes Yes No No Virginia No No No No Washington No Yes Yes Yes West Virginia Yes Yes Yes Yes Wisconsin Yes No No No Wyoming No No No No</w:t>
      </w:r>
    </w:p>
    <w:p>
      <w:pPr>
        <w:pStyle w:val="Normal"/>
        <w:widowControl/>
        <w:rPr/>
      </w:pPr>
      <w:r>
        <w:rPr/>
        <w:t>ANNEX III – UNITED STATES – 20 APPENDIX III-B ILLUSTRATIVE LIST OF U.S. REGIONAL NON-CONFORMING MEASURES AFFECTING INSURANCE Part I: Measures affecting a commercial presence Juridical Form Senior Management and Boards of Directors Government Ownership or Control Direct insurance The following states have no mechanism for licensing initial entry of a non-U.S. insurance company as a subsidiary, unless that company is already licensed in some other U.S. state: Minnesota, Mississippi and Tennessee. The following states have no mechanism for licensing initial entry of a non-U.S. insurance company as a branch, unless that company is already licensed in some other U.S. state: Arkansas, Arizona, Connecticut, Georgia, Kansas, Maryland, Minnesota, Nebraska, New Jersey, North Carolina, Tennessee, Vermont, and Wyoming. Citizenship requirement (for board of directors): Louisiana, Washington, Oklahoma, Pennsylvania, California, Florida, Georgia, Idaho, Indiana, Mississippi, Oregon, New York, South Dakota, Wyoming, Tennessee, Illinois, and Missouri. Citizenship requirement (for incorporators): Hawaii, Idaho, Indiana, South Dakota, Washington, Georgia, Alaska, Florida, Kansas, Kentucky, Maine, Missouri, Montana, Texas, and Wyoming. Residency requirement (for organizing members of mutuals): Arkansas, California; Idaho; Kansas; North Dakota, Minnesota, Mississippi, Montana, Vermont, and Wyoming.</w:t>
      </w:r>
    </w:p>
    <w:p>
      <w:pPr>
        <w:pStyle w:val="Normal"/>
        <w:widowControl/>
        <w:rPr/>
      </w:pPr>
      <w:r>
        <w:rPr/>
        <w:t>Government-owned or  controlled insurance companies are not authorized to conduct business: Alabama, Alaska, Arkansas, California, Colorado, Connecticut, Delaware, Georgia, Hawaii, Idaho, Kansas, Kentucky, Maine, Maryland, Montana, Nevada, New Jersey, New York, North Carolina, North Dakota, Oklahoma, Oregon, Rhode Island, South Dakota, Tennessee, Washington, and Wyoming. 7 This list is provided for transparency purposes only, and is neither exhaustive nor binding.</w:t>
      </w:r>
    </w:p>
    <w:p>
      <w:pPr>
        <w:pStyle w:val="Normal"/>
        <w:widowControl/>
        <w:rPr/>
      </w:pPr>
      <w:r>
        <w:rPr/>
        <w:t>ANNEX III – UNITED STATES – 21 Part I: Measures affecting a commercial presence Juridical Form Senior Management and Boards of Directors Government Ownership or Control Direct Insurance Citizenship/residency (continued) requirement (for organizers of fraternal benefit societies): Alaska, Arizona, Arkansas, California, Delaware, Florida, Hawaii, Idaho, Illinois, Indiana, Iowa, Kansas, Kentucky, Maine, Maryland, Michigan, Minnesota, Mississippi, Missouri, Montana, Nebraska, New Jersey, North Dakota, Oklahoma, Oregon, Pennsylvania, South Dakota, Virginia, Vermont, Washington, West Virginia, and Wyoming. Residency requirement (for organizers of domestic reciprocal insurers): Arizona, Arkansas, California, Delaware, Georgia, Idaho, Indiana, Kentucky, Maine, Maryland, Mississippi, Montana, Pennsylvania, South Dakota, Tennessee, Virginia, Washington, and Wyoming.</w:t>
      </w:r>
    </w:p>
    <w:p>
      <w:pPr>
        <w:pStyle w:val="Normal"/>
        <w:widowControl/>
        <w:rPr/>
      </w:pPr>
      <w:r>
        <w:rPr/>
        <w:t>ANNEX III – UNITED STATES – 22 Part I: Measures affecting a commercial presence Juridical Form Senior Management and Boards of Directors Government Ownership or Control Reinsurance The following states Government-owned or  and retrocession have no mechanism for licensing initial entry of a non-U.S. insurance company as a subsidiary, unless that company is already licensed in some other U.S. state: Maryland, Minnesota, and Mississippi. The following states have no mechanism for licensing initial entry of a non-U.S. insurance company as a branch, unless that company is already licensed in some other U.S. state: Arkansas, Arizona, Connecticut, Georgia, Kansas, Maryland, Minnesota, Nebraska, New Jersey, North Carolina, Pennsylvania, Tennessee, Vermont, and Wyoming. controlled insurance companies are not authorized to conduct business: Alabama, Alaska, Arkansas, Colorado, Connecticut, Delaware, Georgia, Hawaii, Idaho, Kansas, Kentucky, Maine, Maryland, Montana, Nevada, New York, North Carolina, North Dakota, Oklahoma, Oregon, Pennsylvania, Rhode Island, South Dakota, Tennessee, Washington, and Wyoming. Part II: Measures affecting a natural person Residency Citizenship Differential license fees</w:t>
      </w:r>
    </w:p>
    <w:p>
      <w:pPr>
        <w:pStyle w:val="Normal"/>
        <w:widowControl/>
        <w:rPr/>
      </w:pPr>
      <w:r>
        <w:rPr/>
        <w:t>ANNEX III – UNITED STATES – 23 Part I: Measures affecting a commercial presence Juridical Form Senior Management and Boards of Directors Government Ownership or Control Insurance Non-resident licenses intermediation, are not issued to and services individuals not auxiliary to licensed in another insurance U.S. state in: Connecticut, Colorado, California, Delaware, Georgia, Florida, Hawaii, Illinois, Indiana, Kansas, Louisiana, Maine, Maryland, Mississippi, Montana, Nevada, New Jersey, North Dakota, Nebraska, New York, North Carolina, Oregon, Pennsylvania, South Dakota, Virginia, West Virginia, Texas, and Washington. Brokerage Residency Differential license fees services requirement: Alabama, Arkansas, California, and Louisiana. Residency requirement (for surplus lines brokers): All states except California, Idaho, Maine, Mississippi, Missouri, Nebraska, New Mexico, North Carolina, North for non- residents: Alaska, California, Colorado, Georgia, Indiana, Louisiana, Maine, Montana, New Hampshire, North Dakota, Oklahoma, Rhode Island, and Vermont.</w:t>
      </w:r>
    </w:p>
    <w:p>
      <w:pPr>
        <w:pStyle w:val="Normal"/>
        <w:widowControl/>
        <w:rPr/>
      </w:pPr>
      <w:r>
        <w:rPr/>
        <w:t>ANNEX III – UNITED STATES – 24 Part I: Measures affecting a commercial presence Juridical Form Senior Management and Boards of Directors Government Ownership or Control Dakota, Ohio, Oregon, South Dakota, Texas, Vermont, West Virginia, and Wyoming. Agency services Residency requirement: California, Florida, Kansas, Louisiana, Oregon, Rhode Island, and Texas. Residency requirement (for surplus lines brokers): All states except Alaska, Arkansas, Florida, Idaho, Kentucky, Louisiana, Nevada, New Mexico, Ohio, Oregon, South Dakota, Texas, West Virginia, and Wyoming. Differential license fees for non- residents: Alaska, California, Colorado, Indiana, Iowa, Kansas, Kentucky, Louisiana, Maine, Mississippi, Montana, New Hampshire, New Jersey, North Dakota, Oklahoma, Rhode Island, South Dakota, Tennessee, Vermont, Wisconsin, and Wyoming.</w:t>
      </w:r>
    </w:p>
    <w:p>
      <w:pPr>
        <w:pStyle w:val="Normal"/>
        <w:widowControl/>
        <w:rPr/>
      </w:pPr>
      <w:r>
        <w:rPr/>
        <w:t>ANNEX III – UNITED STATES – 25 Part I: Measures affecting a commercial presence Juridical Form Senior Management and Boards of Directors Government Ownership or Control Consultancy, Residency Citizenship actuarial, risk requirement: requirement: Alabama, assessment, Alabama, California, Missouri, New Mexico, and claim Florida, Georgia, and Oklahoma. settlement Indiana, Illinois, services Kentucky, Maryland, Michigan, Mississippi, Montana, Nevada, North Carolina, Oklahoma, Oregon, Pennsylvania, and Washington.</w:t>
      </w:r>
    </w:p>
    <w:p>
      <w:bookmarkStart w:id="1660" w:name="_NAESTMA_TOC_1660"/>
      <w:pPr>
        <w:pStyle w:val="Heading1"/>
        <w:keepNext/>
        <w:pageBreakBefore/>
        <w:widowControl/>
        <w:rPr/>
      </w:pPr>
      <w:bookmarkStart w:id="282" w:name="_Toc237912763"/>
      <w:r>
        <w:rPr/>
        <w:t>ANNEX III – UNITED STATES – 26</w:t>
      </w:r>
      <w:bookmarkEnd w:id="282"/>
      <w:bookmarkEnd w:id="1660"/>
    </w:p>
    <w:p>
      <w:pPr>
        <w:pStyle w:val="Normal"/>
        <w:widowControl/>
        <w:rPr/>
      </w:pPr>
      <w:r>
        <w:rPr/>
        <w:t>ANNEX III Section B Sector: Financial Services Sub-Sector: Banking and other financial services (excluding insurance) Obligations Concerned: National Treatment (Article 17.3) Level of Government: Central Description: With regard to the Federal Home Loan Banks, Federal Home Loan Mortgage Corporation and Federal National Mortgage Association, the United States reserves the right to adopt or maintain measures that grant advantages, including those described in the entry on page Annex III – US – 14 to that entity, or any new, reorganized or transferee entity with similar functions and objectives with respect to housing finance. Existing Measures: 12 U.S.C. §§ 1421 et seq. (Federal Home Loan Banks) 12 U.S.C. §§ 1451 et seq. (Federal Home Loan Mortgage Corporation) 12 U.S.C. §§ 1717 et seq. (Federal National Mortgage Association)</w:t>
      </w:r>
    </w:p>
    <w:p>
      <w:pPr>
        <w:pStyle w:val="Normal"/>
        <w:widowControl/>
        <w:rPr/>
      </w:pPr>
      <w:r>
        <w:rPr/>
        <w:t>ANNEX III – UNITED STATES – 27 Sector: Financial Services Sub-Sector: Banking and other financial services (excluding insurance) Obligations Concerned: Cross-Border Trade Standstill (Article 17.6) Level of Government: Central Regional Description: With respect to Canada, the United States reserves the right to adopt or maintain any measure relating to cross-border trade in securities and derivatives services.</w:t>
      </w:r>
    </w:p>
    <w:p>
      <w:bookmarkStart w:id="1661" w:name="_NAESTMA_TOC_1661"/>
      <w:pPr>
        <w:pStyle w:val="Heading1"/>
        <w:keepNext/>
        <w:pageBreakBefore/>
        <w:widowControl/>
        <w:rPr/>
      </w:pPr>
      <w:bookmarkStart w:id="283" w:name="_Toc237912764"/>
      <w:r>
        <w:rPr/>
        <w:t>ANNEX III – UNITED STATES – 28</w:t>
      </w:r>
      <w:bookmarkEnd w:id="283"/>
      <w:bookmarkEnd w:id="1661"/>
    </w:p>
    <w:p>
      <w:pPr>
        <w:pStyle w:val="Normal"/>
        <w:widowControl/>
        <w:rPr/>
      </w:pPr>
      <w:r>
        <w:rPr/>
        <w:t>ANNEX IV NON-CONFORMING ACTIVITIES EXPLANATORY NOTE 1. The Schedule of a Party to this Annex sets out, pursuant to Article 22.9.1 (Party-Specific Annexes), the non-conforming activities of a state-owned enterprise or designated monopoly, with respect to which some or all of the following obligations shall not apply: (a) Article 22.4 (Non-Discriminatory Treatment and Commercial Considerations); and (b) Article 22.6 (Non-Commercial Assistance). 2. Each Schedule entry sets out the following elements: (a) Obligations Concerned specifies the obligations referred to in paragraph 1 that, pursuant to Article 22.9.1 (Party-Specific Annexes), shall not apply to the non conforming activities of the state-owned enterprises or designated monopoly, as set out in paragraph 3; (b) Entity identifies the state-owned enterprise or designated monopoly that undertakes the non-conforming activities for which the entry is made; (c) Scope of Non-conforming Activities provides a description of the scope of non conforming activities of the state-owned enterprise or designated monopoly for which the entry is made; and (d) Measures identifies, for transparency purposes, a non-exhaustive list of the laws, regulations, or other measures pursuant to which the state-owned enterprise or designated monopoly engages in the non-conforming activities for which the entry is made. 3.</w:t>
      </w:r>
    </w:p>
    <w:p>
      <w:pPr>
        <w:pStyle w:val="Normal"/>
        <w:widowControl/>
        <w:rPr/>
      </w:pPr>
      <w:r>
        <w:rPr/>
        <w:t>In accordance with Article 22.9.1 (Party-Specific Annexes), the articles of this Agreement specified in the Obligations Concerned element of an entry shall not apply to the non-conforming activities (identified in the Scope of Non-conforming Activities element of that entry) of the state-owned enterprise or designated monopoly (identified in the Entity element of that entry).</w:t>
      </w:r>
    </w:p>
    <w:p>
      <w:pPr>
        <w:pStyle w:val="Normal"/>
        <w:widowControl/>
        <w:rPr/>
      </w:pPr>
      <w:r>
        <w:rPr/>
        <w:t>ANNEX IV – EXPLANATORY NOTE – 1 SCHEDULE OF CANADA Obligations Concerned: Article 22.6.4(b) (Non-Commercial Assistance) Article 22.6.4(c) (Non-Commercial Assistance) Article 22.6.5(b) (Non-Commercial Assistance) Article 22.6.5(c) (Non-Commercial Assistance) Entity: Bridge Authorities that manage international crossings, or any new, reorganized, or transferee enterprise, with similar functions and objectives. The Bridge Authorities that currently manage international crossings are the Federal Bridge Corporation Limited and the Windsor-Detroit Bridge Authority. Scope of Non- Canada, its state enterprises, or state-owned enterprises may Conforming Activities: provide the Entity or Entities with appropriations or assistance from funding programs to manage international crossings, including the design, construction, operation, and maintenance of the Entity or Entities’ crossings and any related infrastructure, to the extent that this involves the supply of services from the territory of Canada into the territory of another Party, or through an enterprise that is a covered investment in the territory of that other Party or any other Party. Measures: International Bridges and Tunnels Act, S.C. 2007, c. 1 (and regulations thereof) And including any future amendments.</w:t>
      </w:r>
    </w:p>
    <w:p>
      <w:pPr>
        <w:pStyle w:val="Normal"/>
        <w:widowControl/>
        <w:rPr/>
      </w:pPr>
      <w:r>
        <w:rPr/>
        <w:t>ANNEX IV – CANADA – 1 Obligations Concerned: Article 22.4.1(a) (Non-Discriminatory Treatment and Commercial Considerations) Article 22.4.1(c)(i) (Non-Discriminatory Treatment and Commercial Considerations) Article 22.6.4(b) (Non-Commercial Assistance) Entity: Canadian Commercial Corporation, or any new, reorganized, or transferee enterprise, with similar functions and objectives. Scope of Non- With respect to Article 22.4.1(a) (Non-Discriminatory Treatment Conforming Activities: and Commercial Considerations), the Entity or Entities may restrict the sale of services associated with facilitating the import or export of goods or services to enterprises located within Canada as set out in applicable laws, regulations, policies, and practices. With respect to Article 22.4.1(c)(i) (Non-Discriminatory Treatment and Commercial Considerations), the Entity or Entities may accord preferences in the sale of services associated with facilitating the import or export of goods or services to or from certain countries based on bilateral arrangements with the relevant country. With respect to Article 22.6.4(b) (Non-Commercial Assistance), Canada may provide the Entity or Entities with non-commercial assistance with respect to its supply of a service from Canada into the territory of another Party associated with facilitating the import or export of goods and services, as set out in applicable laws, regulations, and policies. Measures: Canadian Commercial Corporation Act, R.S.C. 1985, c.</w:t>
      </w:r>
    </w:p>
    <w:p>
      <w:pPr>
        <w:pStyle w:val="Normal"/>
        <w:widowControl/>
        <w:rPr/>
      </w:pPr>
      <w:r>
        <w:rPr/>
        <w:t>C-14 (and regulations thereof) And including any future amendments.</w:t>
      </w:r>
    </w:p>
    <w:p>
      <w:pPr>
        <w:pStyle w:val="Normal"/>
        <w:widowControl/>
        <w:rPr/>
      </w:pPr>
      <w:r>
        <w:rPr/>
        <w:t>ANNEX IV – CANADA – 2 Obligations Concerned: Entity: Scope of Non- Conforming Activities: Article 22.6.1(a) (Non-Commercial Assistance) Article 22.6.1(c) (Non-Commercial Assistance) Article 22.6.2 (Non-Commercial Assistance) Article 22.6.3 (Non-Commercial Assistance) Article 22.6.4(a) (Non-Commercial Assistance) Article 22.6.4(b) (Non-Commercial Assistance) Canadian Dairy Commission, or any new, reorganized, or transferee enterprise, with similar functions and objectives. With respect to Article 22.6.1(a) (Non-Commercial Assistance), the Entity or Entities may receive non-commercial assistance with respect to loans or loan guarantees, in circumstances that jeopardize the continued viability of the recipient enterprise, and for the sole purpose of enabling the enterprise to return to viability and fulfil its mandate pursuant to the Canadian Dairy Commission Act. With respect to Article 22.6.1(c) (Non-Commercial Assistance), Canada may provide non-commercial assistance to the Entity or Entities with respect to the conversion of debt to equity, in circumstances that jeopardize the continued viability of the recipient enterprise, and for the sole purpose of enabling the enterprise to return to viability and fulfil its mandate pursuant to the Canadian Dairy Commission Act. With respect to Article 22.6.2 (Non-Commercial Assistance), Canada may provide the Entity or Entities with non-commercial assistance referred to in Article 22.6.1(c).</w:t>
      </w:r>
    </w:p>
    <w:p>
      <w:pPr>
        <w:pStyle w:val="Normal"/>
        <w:widowControl/>
        <w:rPr/>
      </w:pPr>
      <w:r>
        <w:rPr/>
        <w:t>With respect to Article 22.6.3 (Non-Commercial Assistance), the Entity or Entities may provide Canada’s state-owned enterprises with non-commercial assistance referred to in Article 22.6.1(a), or Article 22.6.1(c). With respect to Article 22.6.4(a) (Non-Commercial Assistance), Canada may provide the Entity or Entities with non-commercial assistance that may cause adverse effects to the interests of another Party with respect to the production and sale of dairy products in the territory of Canada pursuant to the Canadian Dairy Commission Act. With respect to Article 22.6.4(b) (Non-Commercial Assistance), Canada may provide the Entity or Entities with non-commercial</w:t>
      </w:r>
    </w:p>
    <w:p>
      <w:pPr>
        <w:pStyle w:val="Normal"/>
        <w:widowControl/>
        <w:rPr/>
      </w:pPr>
      <w:r>
        <w:rPr/>
        <w:t>ANNEX IV – CANADA – 3 assistance that may cause adverse effects to the interests of another Party regarding services related to the cross-border trade of dairy products (export and import) such as shipping, insuring, and wholesale trade and distribution, pursuant to the Canadian Dairy Commission Act. Measures: Canadian Dairy Commission Act, R.S.C. 1985, c. C-15 (and regulations thereof) And including any future amendments.</w:t>
      </w:r>
    </w:p>
    <w:p>
      <w:pPr>
        <w:pStyle w:val="Normal"/>
        <w:widowControl/>
        <w:rPr/>
      </w:pPr>
      <w:r>
        <w:rPr/>
        <w:t>ANNEX IV – CANADA – 4 Obligations Concerned: Entity: Scope of Non- Conforming Activities: Article 22.4.1(a) (Non-Discriminatory Treatment and Commercial Considerations) Article 22.4.1(b)(i) (Non-Discriminatory Treatment and Commercial Considerations) Article 22.4.1(c)(i) (Non-Discriminatory Treatment and Commercial Considerations) Article 22.6.4(b) (Non-Commercial Assistance) Canada Mortgage and Housing Corporation and Canada Housing Trusts, or any new, reorganized, or transferee enterprise, with similar functions and objectives. With respect to Article 22.4.1(a) (Non-Discriminatory Treatment and Commercial Considerations), the Entity or Entities may take into account factors other than commercial considerations in the provision of financial or housing-related services such as: (a) guarantees, mortgage insurance, loans, and mortgage- backed securities; and (b) management of nursing homes, retirement homes, on- reserve and rental housing, and ancillary infrastructure, in furtherance of the mandate to support housing needs and housing affordability in Canada as set out in laws, regulations, policies, or programs.</w:t>
      </w:r>
    </w:p>
    <w:p>
      <w:pPr>
        <w:pStyle w:val="Normal"/>
        <w:widowControl/>
        <w:rPr/>
      </w:pPr>
      <w:r>
        <w:rPr/>
        <w:t>With respect to Article 22.4.1(b)(i) and Article 22.4.1(c)(i) (Non-Discriminatory Treatment and Commercial Considerations), and as set out in applicable laws, regulations, policies, or programs, the Entity or Entities may: (a) provide financial or housing-related services such as mortgage insurance, loans, and advisory services only to enterprises in Canada or provide such services to enterprises in certain other countries; and (b) purchase financial or housing-related services from enterprises in certain other countries. With respect to Article 22.6.4(b) (Non-Commercial Assistance), Canada may provide the Entity or Entities with non-commercial assistance with respect to its supply of</w:t>
      </w:r>
    </w:p>
    <w:p>
      <w:pPr>
        <w:pStyle w:val="Normal"/>
        <w:widowControl/>
        <w:rPr/>
      </w:pPr>
      <w:r>
        <w:rPr/>
        <w:t>ANNEX IV – CANADA – 5 financial or housing-related services from Canada into the territory of another Party as set out in applicable laws, regulations, policies, or programs. Measures: Canada Mortgage and Housing Corporation Act, R.S.C. 1985, (and regulations thereof) And including any future amendments. c. C-7 National Housing Act, R.S.C. 1985, c. N-11</w:t>
      </w:r>
    </w:p>
    <w:p>
      <w:pPr>
        <w:pStyle w:val="Normal"/>
        <w:widowControl/>
        <w:rPr/>
      </w:pPr>
      <w:r>
        <w:rPr/>
        <w:t>ANNEX IV – CANADA – 6 Obligations Concerned: Entity: Scope of Non- Conforming Activities: Article 22.6.1(b) (Non-Commercial Assistance) Article 22.6.1(c) (Non-Commercial Assistance) Article 22.6.2 (Non-Commercial Assistance) Article 22.6.4(b) (Non-Commercial Assistance) Article 22.6.4(c) (Non-Commercial Assistance) Trans Mountain Corporation, or any new, reorganized, or transferee enterprise, with similar functions and objectives. With respect to Article 22.6.1(b) and Article 22.6.2 (Non- Commercial Assistance), Canada may provide the Entity or Entities with non-commercial assistance, in circumstances that jeopardize the continued viability of the recipient enterprise, and for the sole purpose of enabling the enterprise to return to viability and fulfil its mandate. Canada may provide this assistance until either the privatization of the Entity or Entities occurs or ten years has elapsed from the date of entry into force of this Agreement, whichever is earlier. With respect to Article 22.6.1(c) and Article 22.6.2 (Non- Commercial Assistance), Canada may provide the Entity or Entities with non-commercial assistance with respect to the conversion of debt to equity, in circumstances that jeopardize the continued viability of the recipient enterprise, and for the sole purpose of enabling the enterprise to return to viability and fulfil its mandate.</w:t>
      </w:r>
    </w:p>
    <w:p>
      <w:pPr>
        <w:pStyle w:val="Normal"/>
        <w:widowControl/>
        <w:rPr/>
      </w:pPr>
      <w:r>
        <w:rPr/>
        <w:t>Canada may provide this assistance until either the privatization of the Entity or Entities occurs or ten years has elapsed from the date of entry into force of this Agreement, whichever is earlier. With respect to Article 22.6.4(b) (Non-Commercial Assistance), Canada may provide the Entity or Entities with non-commercial assistance until the privatization of the Entity or Entities, where that assistance may cause adverse effects to the interests of another Party with respect to the supply of pipeline operation services from the territory of Canada into the territory of another Party. With respect to Article 22.6.4(c) (Non-Commercial Assistance), Canada may provide the Entity or Entities with non-commercial assistance until the privatization of the Entity or Entities, where that assistance may cause adverse effects to the interests of another Party with respect to the supply of pipeline operation services in the territory of another Party through an enterprise</w:t>
      </w:r>
    </w:p>
    <w:p>
      <w:pPr>
        <w:pStyle w:val="Normal"/>
        <w:widowControl/>
        <w:rPr/>
      </w:pPr>
      <w:r>
        <w:rPr/>
        <w:t>ANNEX IV – CANADA – 7 that is a covered investment in the territory of that other Party or any other Party. Measures: Canada Business Corporations Act, R.S.C. 1985, c. C-44 (and regulations thereof) And including any future amendments. Entity: All existing and future state-owned enterprises Scope of Non- With respect to Article 22.4.1(a) (Non-Discriminatory Treatment Conforming Activities: and Commercial Considerations), the Entity or Entities may accord more favorable treatment to aboriginal persons and organizations in the purchase of a good or service. With respect to Article 22.4.1(b) (Non-Discriminatory Treatment and Commercial Considerations), the Entity or Entities may accord more favorable treatment to aboriginal persons and organizations in the purchase of a good or service. Measures: Constitution Act, 1982, being Schedule B of the Canada Act 1982 (U.K.), 1982, c. 11</w:t>
      </w:r>
    </w:p>
    <w:p>
      <w:pPr>
        <w:pStyle w:val="Normal"/>
        <w:widowControl/>
        <w:rPr/>
      </w:pPr>
      <w:r>
        <w:rPr/>
        <w:t>ANNEX IV – CANADA – 8 Obligations Concerned: Entity: Scope of Non- Conforming Activities: SCHEDULE OF MEXICO Article 22.4.1(a) (Non-Discriminatory Treatment and Commercial Considerations), Article 22.4.1(b), and Article 22.4.1(c) Article 22.6.4(b) (Non-Commercial Assistance) Article 22.6.5(b) (Non-Commercial Assistance) Banco Nacional de Obras y Servicios Públicos, S.N.C., or any new, reorganized, or successor enterprise, with similar functions and objectives. The purpose of the Entity, as a development bank, is to finance or refinance projects that are directly or indirectly related to public or private investment in infrastructure and public services, and supporting the institutional strengthening of the Government (Federal, State, and Municipal levels). With respect to Article 22.4.1(a) (Non-Discriminatory Treatment and Commercial Considerations) and Article 22.4.1(b) (Non-Discriminatory Treatment and Commercial Considerations), the Entity may, pursuant to considerations set out in laws and regulations, accord preferential treatment in its purchase of services required for its commercial activities to Mexican enterprises.</w:t>
      </w:r>
    </w:p>
    <w:p>
      <w:pPr>
        <w:pStyle w:val="Normal"/>
        <w:widowControl/>
        <w:rPr/>
      </w:pPr>
      <w:r>
        <w:rPr/>
        <w:t>With respect to Article 22.4.1(a) (Non-Discriminatory Treatment and Commercial Considerations) and Article 22.4.1(c) (Non-Discriminatory Treatment and Commercial Considerations), the Entity may, pursuant to considerations set out in laws and regulations, accord preferential treatment in its sale of financial services related to programs oriented to promote access to credit only to nationals or Mexican enterprises. With respect to Article 22.6.4(b) (Non-Commercial Assistance) and Article 22.6.5(b) (Non-Commercial Assistance) the Entity may receive government guarantees for banking services in order to comply with the Entity’s purpose referred to in the first paragraph above and pursuant to considerations consistent with its laws and regulations.</w:t>
      </w:r>
    </w:p>
    <w:p>
      <w:pPr>
        <w:pStyle w:val="Normal"/>
        <w:widowControl/>
        <w:rPr/>
      </w:pPr>
      <w:r>
        <w:rPr/>
        <w:t>ANNEX IV – MEXICO – 1 The services provided by the Entity are not intended to displace or impede financial services provided by privately owned enterprises from the relevant market. Measures: Ley de Instituciones de Crédito, Articles 30 to 44 Bis 2, 46, 46 Bis 1, 47, and 75. Ley Orgánica del Banco Nacional de Obras y Servicios Públicos, Articles 2, 3, 4, 6, 7, 8, 11, 29, and 31. Disposiciones de Carácter General Aplicables a las Instituciones de Crédito, Chapter XI.</w:t>
      </w:r>
    </w:p>
    <w:p>
      <w:pPr>
        <w:pStyle w:val="Normal"/>
        <w:widowControl/>
        <w:rPr/>
      </w:pPr>
      <w:r>
        <w:rPr/>
        <w:t>ANNEX IV – MEXICO – 2 Obligations Concerned: Entity: Scope of Non- Conforming Activities: Article 22.4.1(a) (Non-Discriminatory Treatment and Commercial Considerations), Article 22.4.1(b), and Article 22.4.1(c) Article 22.6.4(b) (Non-Commercial Assistance) Article 22.6.5(b) (Non-Commercial Assistance) Banco del Ahorro Nacional y Servicios Financieros, S.N.C., or any new, reorganized or successor enterprise, with similar functions and objectives. The purpose of the Entity, as a development bank, is to promote savings, financing, and investment among the members of the Banking sector, offer financial services and instruments among such members, and channel financial and technical aids that are necessary to promote savings habits and sound development of the Banking sector. With respect to Article 22.4.1(a) (Non-Discriminatory Treatment and Commercial Considerations) and Article 22.4.1(b) (Non-Discriminatory Treatment and Commercial Considerations), the Entity may, pursuant to considerations set out in laws and regulations, accord preferential treatment in its purchase of services required for its commercial activities to Mexican enterprises.</w:t>
      </w:r>
    </w:p>
    <w:p>
      <w:pPr>
        <w:pStyle w:val="Normal"/>
        <w:widowControl/>
        <w:rPr/>
      </w:pPr>
      <w:r>
        <w:rPr/>
        <w:t>With respect to Article 22.4.1(a) (Non-Discriminatory Treatment and Commercial Considerations) and Article 22.4.1(c) (Non-Discriminatory Treatment and Commercial Considerations), the Entity may, pursuant to considerations set out in laws and regulations, accord preferential treatment in its sale of financial services related to programs oriented to promote access to credit only to nationals or Mexican enterprises. With respect to Article 22.6.4(b) (Non-Commercial Assistance) and Article 22.6.5(b) (Non-Commercial Assistance), the Entity may receive government guarantees on banking services in order to comply with the Entity’s purpose referred to in the first paragraph above and pursuant to considerations consistent with its laws and regulations. The services provided by the Entity are not intended to</w:t>
      </w:r>
    </w:p>
    <w:p>
      <w:pPr>
        <w:pStyle w:val="TOCExcludedHeading1"/>
        <w:keepNext w:val="true"/>
        <w:widowControl/>
        <w:rPr/>
      </w:pPr>
      <w:bookmarkStart w:id="284" w:name="_Toc237912765"/>
      <w:r>
        <w:rPr/>
        <w:t>ANNEX IV – MEXICO – 3 displace or impede financial services provided by privately</w:t>
      </w:r>
      <w:bookmarkEnd w:id="284"/>
    </w:p>
    <w:p>
      <w:pPr>
        <w:pStyle w:val="Normal"/>
        <w:widowControl/>
        <w:rPr/>
      </w:pPr>
      <w:r>
        <w:rPr/>
        <w:t>ANNEX IV – MEXICO – 4 owned enterprises from the relevant market. Measures: Ley de Instituciones de Crédito, Articles 30 to 44 Bis 2, 46, 46 Bis 1, 47, and 75. Ley Orgánica del Banco del Ahorro Nacional y Servicios Financieros, Articles 3, 4, 7, 8, 10, 32, and 36. Disposiciones de Carácter General Aplicables a las Instituciones de Crédito, Chapter XI.</w:t>
      </w:r>
    </w:p>
    <w:p>
      <w:pPr>
        <w:pStyle w:val="Normal"/>
        <w:widowControl/>
        <w:rPr/>
      </w:pPr>
      <w:r>
        <w:rPr/>
        <w:t>ANNEX IV – MEXICO – 5 Obligations Concerned: Entity: Scope of Non-Conforming Activities: Article 22.4.1(a) (Non-Discriminatory Treatment and Commercial Considerations), Article 22.4.1(b), and Article 22.4.1(c) Article 22.6.4(b) (Non-Commercial Assistance) Article 22.6.5(b) (Non-Commercial Assistance) Banco Nacional del Ejército, Fuerza Aérea y Armada, S.N.C., or any new, reorganized or successor enterprise, with similar functions and objectives. The purpose of the Entity, as a development bank, is to grant financial aid mainly to the members of the Mexican Army, Air Force, and Navy. With respect to Article 22.4.1(a) (Non-Discriminatory Treatment and Commercial Considerations) and Article 22.4.1(b) (Non-Discriminatory Treatment and Commercial Considerations), the Entity may, pursuant to considerations set out in laws and regulations, accord preferential treatment in its purchase of services required for its commercial activities to Mexican enterprises. With respect to Article 22.4.1(a) (Non-Discriminatory Treatment and Commercial Considerations) and Article 22.4.1(c) (Non-Discriminatory Treatment and Commercial Considerations), the Entity may, pursuant to considerations set out in laws and regulations, accord preferential treatment in its sale of financial services related to programs oriented to promote access to credit only to nationals or Mexican enterprises.</w:t>
      </w:r>
    </w:p>
    <w:p>
      <w:pPr>
        <w:pStyle w:val="Normal"/>
        <w:widowControl/>
        <w:rPr/>
      </w:pPr>
      <w:r>
        <w:rPr/>
        <w:t>With respect to Article 22.6.4(b) (Non-Commercial Assistance) and Article 22.6.5(b) (Non-Commercial Assistance), the Entity may receive government guarantees on banking services in order to comply with the Entity’s purpose referred to in the first paragraph above and pursuant to considerations consistent with its laws and regulations. The services provided by the Entity are not intended to displace or impede financial services provided by privately owned enterprises from the relevant market. Measures: Ley de Instituciones de Crédito, Articles 30 to 44 Bis 2, 46,</w:t>
      </w:r>
    </w:p>
    <w:p>
      <w:pPr>
        <w:pStyle w:val="TOCExcludedHeading1"/>
        <w:keepNext w:val="true"/>
        <w:widowControl/>
        <w:rPr/>
      </w:pPr>
      <w:bookmarkStart w:id="285" w:name="_Toc237912766"/>
      <w:r>
        <w:rPr/>
        <w:t>ANNEX IV – MEXICO – 6 46 Bis 1, 47, and 75.</w:t>
      </w:r>
      <w:bookmarkEnd w:id="285"/>
    </w:p>
    <w:p>
      <w:pPr>
        <w:pStyle w:val="Normal"/>
        <w:widowControl/>
        <w:rPr/>
      </w:pPr>
      <w:r>
        <w:rPr/>
        <w:t>ANNEX IV – MEXICO – 7 Ley Orgánica del Banco Nacional del Ejército, Fuerza Aérea y Armada, Articles 2, 3, 4, 6, 7, 9, and 52. Disposiciones de Carácter General Aplicables a las Instituciones de Crédito, Chapter XI.</w:t>
      </w:r>
    </w:p>
    <w:p>
      <w:pPr>
        <w:pStyle w:val="Normal"/>
        <w:widowControl/>
        <w:rPr/>
      </w:pPr>
      <w:r>
        <w:rPr/>
        <w:t>ANNEX IV – MEXICO – 8 Obligations Concerned: Entity: Scope of Non- Conforming Activities: Article 22.4.1(a) (Non-Discriminatory Treatment and Commercial Considerations), Article 22.4.1(b), and Article 22.4.1(c) Article 22.6.4(b) (Non-Commercial Assistance) Article 22.6.5(b) (Non-Commercial Assistance) Nacional Financiera, S.N.C., or any new, reorganized or successor enterprise, with similar functions and objectives. The purpose of the Entity, as a development bank, is to promote savings and investment, and to channel financial and technical resources for the industrial development and national and regional economic development. With respect to Article 22.4.1(a) (Non-Discriminatory Treatment and Commercial Considerations) and Article 22.4.1(b) (Non-Discriminatory Treatment and Commercial Considerations), the Entity may, pursuant to considerations set out in laws and regulations, accord preferential treatment in its purchase of services required for its commercial activities to Mexican enterprises. With respect to Article 22.4.1(a) (Non-Discriminatory Treatment and Commercial Considerations) and Article 22.4.1(c) (Non-Discriminatory Treatment and Commercial Considerations), the Entity may, pursuant to considerations set out in laws and regulations, accord preferential treatment in its sale of financial services related to programs oriented to promote access to credit only to nationals or Mexican enterprises.</w:t>
      </w:r>
    </w:p>
    <w:p>
      <w:pPr>
        <w:pStyle w:val="Normal"/>
        <w:widowControl/>
        <w:rPr/>
      </w:pPr>
      <w:r>
        <w:rPr/>
        <w:t>With respect to Article 22.6.4(b) (Non-Commercial Assistance) and Article 22.6.5(b) (Non-Commercial Assistance), the Entity may receive government guarantees on banking services in order to comply with the Entity’s purpose referred to in the first paragraph above and pursuant to considerations consistent with its laws and regulations. The services provided by the Entity are not intended to displace or impede financial services provided by privately owned enterprises from the relevant market. Measures: Ley de Instituciones de Crédito, Articles 30 to 44 Bis 2, 46,</w:t>
      </w:r>
    </w:p>
    <w:p>
      <w:pPr>
        <w:pStyle w:val="TOCExcludedHeading1"/>
        <w:keepNext w:val="true"/>
        <w:widowControl/>
        <w:rPr/>
      </w:pPr>
      <w:bookmarkStart w:id="286" w:name="_Toc237912767"/>
      <w:r>
        <w:rPr/>
        <w:t>ANNEX IV – MEXICO – 9 46 Bis 1, 47, and 75.</w:t>
      </w:r>
      <w:bookmarkEnd w:id="286"/>
    </w:p>
    <w:p>
      <w:pPr>
        <w:pStyle w:val="Normal"/>
        <w:widowControl/>
        <w:rPr/>
      </w:pPr>
      <w:r>
        <w:rPr/>
        <w:t>ANNEX IV – MEXICO – 10 Ley Orgánica de Nacional Financiera, Articles 2, 3, 5, 6, 10, 29, 30, 32, 33, and 36. Disposiciones de Carácter General Aplicables a las Instituciones de Crédito, Chapter XI.</w:t>
      </w:r>
    </w:p>
    <w:p>
      <w:pPr>
        <w:pStyle w:val="Normal"/>
        <w:widowControl/>
        <w:rPr/>
      </w:pPr>
      <w:r>
        <w:rPr/>
        <w:t>ANNEX IV – MEXICO – 11 Obligations Concerned: Entity: Scope of Non- Conforming Activities: Article 22.4.1(a) (Non-Discriminatory Treatment and Commercial Considerations), Article 22.4.1(b), and Article 22.4.1(c) Article 22.6.4(b) (Non-Commercial Assistance) Article 22.6.5(b) (Non-Commercial Assistance) Sociedad Hipotecaria Federal, S.N.C, or any new, reorganized or successor enterprise, with similar functions and objectives. The purpose of the Entity, as a development bank, is to foster the development of primary and secondary mortgage markets, by granting credit and guarantees for the construction, acquisition, and improvement of housing, preferably social interest housing, as well as increase production capacity and technological development related to housing. It could also guarantee funding related to the equipment of housing complexes. With respect to Article 22.4.1(a) (Non-Discriminatory Treatment and Commercial Considerations) and Article 22.4.1(b) (Non-Discriminatory Treatment and Commercial Considerations), the Entity may, pursuant to considerations set out in laws and regulations, accord preferential treatment in its purchase of services required for its commercial activities to Mexican enterprises.</w:t>
      </w:r>
    </w:p>
    <w:p>
      <w:pPr>
        <w:pStyle w:val="Normal"/>
        <w:widowControl/>
        <w:rPr/>
      </w:pPr>
      <w:r>
        <w:rPr/>
        <w:t>With respect to Article 22.4.1(a) (Non-Discriminatory Treatment and Commercial Considerations) and Article 22.4.1(c) (Non-Discriminatory Treatment and Commercial Considerations), the Entity may, pursuant to considerations set out in laws and regulations, accord preferential treatment in its sale of financial services related to programs oriented to promote access to credit only to nationals or Mexican enterprises. With respect to Article 22.6.4(b) (Non-Commercial Assistance) and Article 22.6.5(b) (Non-Commercial Assistance) the Entity may receive government guarantees, in order to provide banking services in order to comply with the Entity’s purpose referred to in the first paragraph above and pursuant to considerations consistent with its laws and regulations.</w:t>
      </w:r>
    </w:p>
    <w:p>
      <w:pPr>
        <w:keepNext w:val="true"/>
        <w:widowControl/>
        <w:rPr/>
      </w:pPr>
      <w:bookmarkStart w:id="287" w:name="_Toc237912768"/>
      <w:r>
        <w:rPr/>
        <w:t>ANNEX IV – MEXICO – 12 The services provided by the Entity are not intended to</w:t>
      </w:r>
      <w:bookmarkEnd w:id="287"/>
    </w:p>
    <w:p>
      <w:pPr>
        <w:pStyle w:val="Normal"/>
        <w:widowControl/>
        <w:rPr/>
      </w:pPr>
      <w:r>
        <w:rPr/>
        <w:t>ANNEX IV – MEXICO – 13 displace or impede financial services provided by privately owned enterprises from the relevant market. Measures: Ley de Instituciones de Crédito, Articles 30 to 44 Bis 2, 46, 46 Bis 1, 47, and 75. Ley Orgánica de Sociedad Hipotecaria Federal, Articles 2, 4, 5, 8, 8 Bis, 24 Bis, 24 Ter, and 28. Disposiciones de Carácter General Aplicables a las Instituciones de Crédito, Chapter XI.</w:t>
      </w:r>
    </w:p>
    <w:p>
      <w:pPr>
        <w:pStyle w:val="Normal"/>
        <w:widowControl/>
        <w:rPr/>
      </w:pPr>
      <w:r>
        <w:rPr/>
        <w:t>ANNEX IV – MEXICO – 10 SCHEDULE OF THE UNITED STATES OF AMERICA Obligations Concerned: Entity: Scope of Non- Conforming Activities: Article 22.4.1(a) Non-Discriminatory Treatment and Commercial Considerations), with respect to the supply of financial services Article 22.4.1(c)(i) (Non-Discriminatory Treatment and Commercial Considerations), with respect to the supply of financial services Article 22.6.4(b) (Non-Commercial Assistance) Federal National Mortgage Association, Federal Home Loan Mortgage Corporation, and the Government National Mortgage Association, or any new, reorganized or transferee enterprises, with similar functions and objectives. With respect to Article 22.4.1(a) (Non-Discriminatory Treatment and Commercial Considerations) and Article 22.6.4(b) (Non-Commercial Assistance), to facilitate housing finance in the United States, the Entity, pursuant to considerations, consistent with laws and regulations: (a) purchases, sells, or trades single-family, multi-family, and commercial mortgage loans, and assets underlying these loans as a consequence of foreclosure or a similar action in connection with defaulted debt; (b) issues mortgage-backed securities and direct debt or other obligations related to risks associated with those securities; (c) guarantees or insures the timely payment of principal and interest on mortgage-backed securities; (d) administers payments associated with mortgage- backed securities; and (e) purchases, sells, or trades mortgage-backed</w:t>
      </w:r>
    </w:p>
    <w:p>
      <w:pPr>
        <w:pStyle w:val="Normal"/>
        <w:widowControl/>
        <w:rPr/>
      </w:pPr>
      <w:r>
        <w:rPr/>
        <w:t>securities and direct debt or other obligations related to risks associated with those securities. With respect to Article 22.4.1(c)(i) (Non-Discriminatory Treatment and Commercial Considerations), to facilitate</w:t>
      </w:r>
    </w:p>
    <w:p>
      <w:pPr>
        <w:pStyle w:val="Normal"/>
        <w:widowControl/>
        <w:rPr/>
      </w:pPr>
      <w:r>
        <w:rPr/>
        <w:t>ANNEX IV – UNITED STATES – 1 housing finance in the United States, the Entity may, in certain circumstances, pursuant to considerations consistent with laws and regulations such as 12 U.S.C. 1451-1459 and 12 U.S.C. 1763-1723i: (a) purchase, sell, trade single-family, multi-family, and commercial mortgage loans, and assets underlying such loans as a consequence of foreclosure or a similar action in connection with defaulted debt, and administer payments associated with such loans or assets, only with enterprises in the territory of the United States; and (b) guarantee or insure the timely payment of principal and interest only on mortgage-backed securities that are issued by enterprises in the territory of the United States. The scope of non-conforming activities listed with respect to Article 22.4.1(a) and Article 22.4.1(c)(i) (Non-Discriminatory Treatment and Commercial Considerations) includes the purchase of associated financial services. Measures: 12 U.S.C. 1451-1459 12 U.S.C. 1716-1723i</w:t>
      </w:r>
    </w:p>
    <w:p>
      <w:pPr>
        <w:pStyle w:val="Normal"/>
        <w:widowControl/>
        <w:rPr/>
      </w:pPr>
      <w:r>
        <w:rPr/>
        <w:t>ANNEX IV – UNITED STATES – 2 Obligations Concerned: Article 22.4.1(a) (Non-Discriminatory Treatment and Commercial Considerations), with respect to the supply of financial services Article 22.4.1(c)(i) (Non-Discriminatory Treatment and Commercial Considerations), with respect to the supply of financial services Article 22.6.4(b) (Non-Commercial Assistance) Entity: Federal Financing Bank, or any new, reorganized, or transferee enterprise, with similar functions and objectives. Scope of Non- With respect to Article 22.4.1(a) (Non- Conforming Activities: Discriminatory Treatment and Commercial Considerations) and Article 22.6.4(b) (Non-Commercial Assistance), the Entity may, pursuant to considerations set out in laws and regulations: (a) provide loans (including through the purchase of obligations, such as bonds or notes) that are guaranteed by U.S. federal agencies or by U.S. federal government-authorized entities to (i) enterprises, or to (ii) a government of another Party; and (b) issue or sell obligations to privately owned enterprises. With respect to Article 22.4.1(c)(i) (Non-Discriminatory Treatment and Commercial Considerations), the Entity may, in certain circumstances and pursuant to considerations set out in laws and regulations: (a) provide loans (including through the purchase of obligations, such as bonds or notes) that are guaranteed by U.S. federal agencies or by U.S.</w:t>
      </w:r>
    </w:p>
    <w:p>
      <w:pPr>
        <w:pStyle w:val="Normal"/>
        <w:widowControl/>
        <w:rPr/>
      </w:pPr>
      <w:r>
        <w:rPr/>
        <w:t>federal government-authorized entities only to (i) privately owned enterprises in the territory of the United States, (ii) enterprises in the territories of certain other countries, or (iii) governments of certain other countries as determined by the United States; and (b) issue or sell obligations only to (i) privately owned enterprises in the territory of the United States, or (ii) enterprises in the territories of certain other countries as determined by the United States.</w:t>
      </w:r>
    </w:p>
    <w:p>
      <w:pPr>
        <w:pStyle w:val="Normal"/>
        <w:widowControl/>
        <w:rPr/>
      </w:pPr>
      <w:r>
        <w:rPr/>
        <w:t>ANNEX IV – UNITED STATES – 3 The scope of non-conforming activities listed with respect to Article 22.4.1(a) and Article 22.4.1(c)(i) (Non-Discriminatory Treatment and Commercial Considerations) includes the purchase of associated financial services. Measures: 12 U.S.C. 2285</w:t>
      </w:r>
    </w:p>
    <w:p>
      <w:bookmarkStart w:id="1662" w:name="_NAESTMA_TOC_1662"/>
      <w:pPr>
        <w:pStyle w:val="Heading1"/>
        <w:keepNext/>
        <w:pageBreakBefore/>
        <w:widowControl/>
        <w:rPr/>
      </w:pPr>
      <w:bookmarkStart w:id="288" w:name="_Toc237912769"/>
      <w:r>
        <w:rPr/>
        <w:t>ANNEX IV – UNITED STATES – 4</w:t>
      </w:r>
      <w:bookmarkEnd w:id="288"/>
      <w:bookmarkEnd w:id="1662"/>
    </w:p>
    <w:p>
      <w:bookmarkStart w:id="1663" w:name="_NAESTMA_TOC_1663"/>
      <w:pPr>
        <w:pStyle w:val="Heading2"/>
        <w:keepNext/>
        <w:widowControl/>
        <w:rPr/>
      </w:pPr>
      <w:r>
        <w:rPr/>
        <w:t>Article 40.25: North American Energy Capacity and Corridor Optionality</w:t>
      </w:r>
      <w:bookmarkEnd w:id="1663"/>
    </w:p>
    <w:p>
      <w:pPr>
        <w:pStyle w:val="Normal"/>
        <w:widowControl/>
        <w:rPr/>
      </w:pPr>
      <w:r>
        <w:rPr/>
        <w:t>1. The Parties pursue measurable improvements in cross-border energy capacity, reliability, resilience, safety, market access, and emergency continuity through a portfolio of commercially, technically, environmentally, and regulatorily viable pathways.</w:t>
      </w:r>
    </w:p>
    <w:p>
      <w:pPr>
        <w:pStyle w:val="Normal"/>
        <w:widowControl/>
        <w:rPr/>
      </w:pPr>
      <w:r>
        <w:rPr/>
        <w:t>2. The objective is functional performance rather than construction of any specifically named asset. Qualifying pathways include existing commercial projects; existing-corridor optimization; new infrastructure; transmission and interconnection; storage; terminal and refinery access; critical-mineral processing; emergency supply arrangements; environmental and safety modernization; workforce and regulatory cooperation; and validated experimental technologies.</w:t>
      </w:r>
    </w:p>
    <w:p>
      <w:pPr>
        <w:pStyle w:val="Normal"/>
        <w:widowControl/>
        <w:rPr/>
      </w:pPr>
      <w:r>
        <w:rPr/>
        <w:t>3. The Parties preserve domestic constitutional authority, environmental review, Indigenous rights and consultation, landowner rights, safety standards, competition law, and ordinary project-specific regulatory decision-making.</w:t>
      </w:r>
    </w:p>
    <w:p>
      <w:bookmarkStart w:id="1664" w:name="_NAESTMA_TOC_1664"/>
      <w:pPr>
        <w:pStyle w:val="Heading2"/>
        <w:keepNext/>
        <w:widowControl/>
        <w:rPr/>
      </w:pPr>
      <w:r>
        <w:rPr/>
        <w:t>Article 40.26: No Named-Project Obligation</w:t>
      </w:r>
      <w:bookmarkEnd w:id="1664"/>
    </w:p>
    <w:p>
      <w:pPr>
        <w:pStyle w:val="Normal"/>
        <w:widowControl/>
        <w:rPr/>
      </w:pPr>
      <w:r>
        <w:rPr/>
        <w:t>1. Nothing in this Agreement requires a Party to approve, finance, construct, guarantee, purchase capacity from, or compel private investment in Keystone XL, Prairie Connector, or any other specifically named pipeline, transmission line, terminal, storage facility, refinery connection, or energy infrastructure project.</w:t>
      </w:r>
    </w:p>
    <w:p>
      <w:pPr>
        <w:pStyle w:val="Normal"/>
        <w:widowControl/>
        <w:rPr/>
      </w:pPr>
      <w:r>
        <w:rPr/>
        <w:t>2. Recognition, study, facilitation, consultation, permitting review, or inclusion in a non-binding implementation register does not guarantee approval, financing, final investment decision, construction, operation, throughput, or commercial success.</w:t>
      </w:r>
    </w:p>
    <w:p>
      <w:pPr>
        <w:pStyle w:val="Normal"/>
        <w:widowControl/>
        <w:rPr/>
      </w:pPr>
      <w:r>
        <w:rPr/>
        <w:t>3. Cancellation, commercial abandonment, financing failure, or failure to reach final investment decision for an individual privately sponsored project does not constitute non-compliance where the relevant governmental obligations have been performed and the applicable portfolio objective remains satisfied or continues through qualifying alternatives.</w:t>
      </w:r>
    </w:p>
    <w:p>
      <w:bookmarkStart w:id="1665" w:name="_NAESTMA_TOC_1665"/>
      <w:pPr>
        <w:pStyle w:val="Heading2"/>
        <w:keepNext/>
        <w:widowControl/>
        <w:rPr/>
      </w:pPr>
      <w:r>
        <w:rPr/>
        <w:t>Article 40.27: Functional Equivalence and Portfolio Satisfaction</w:t>
      </w:r>
      <w:bookmarkEnd w:id="1665"/>
    </w:p>
    <w:p>
      <w:pPr>
        <w:pStyle w:val="Normal"/>
        <w:widowControl/>
        <w:rPr/>
      </w:pPr>
      <w:r>
        <w:rPr/>
        <w:t>1. A Party satisfies an applicable energy-cooperation objective where the aggregate verified contribution of qualifying measures meets or exceeds the applicable performance threshold. No individual project, route, ownership structure, or technology class is mandatory unless the Parties expressly adopt such an obligation through the applicable amendment procedure.</w:t>
      </w:r>
    </w:p>
    <w:p>
      <w:pPr>
        <w:pStyle w:val="Normal"/>
        <w:widowControl/>
        <w:rPr/>
      </w:pPr>
      <w:r>
        <w:rPr/>
        <w:t>2. A qualifying measure may be substituted where another measure provides materially equivalent or superior performance against the relevant objective. Substitution does not reduce environmental, safety, Indigenous, landowner, or regulatory protections.</w:t>
      </w:r>
    </w:p>
    <w:p>
      <w:pPr>
        <w:pStyle w:val="Normal"/>
        <w:widowControl/>
        <w:rPr/>
      </w:pPr>
      <w:r>
        <w:rPr/>
        <w:t>3. Performance may be assessed across separate dimensions, including physical capacity; secure supply access; grid or fuel-system reliability; emergency resilience; environmental and safety performance; strategic-material security; workforce readiness; and verified innovation.</w:t>
      </w:r>
    </w:p>
    <w:p>
      <w:pPr>
        <w:pStyle w:val="Normal"/>
        <w:widowControl/>
        <w:rPr/>
      </w:pPr>
      <w:r>
        <w:rPr/>
        <w:t>4. Experimental projects may earn innovation or research credit upon completion of applicable development milestones, but they do not receive physical-capacity or supply-security credit until validation demonstrates the relevant operational performance.</w:t>
      </w:r>
    </w:p>
    <w:p>
      <w:bookmarkStart w:id="1666" w:name="_NAESTMA_TOC_1666"/>
      <w:pPr>
        <w:pStyle w:val="Heading2"/>
        <w:keepNext/>
        <w:widowControl/>
        <w:rPr/>
      </w:pPr>
      <w:r>
        <w:rPr/>
        <w:t>Article 40.28: Existing Corridor Capacity Enhancement</w:t>
      </w:r>
      <w:bookmarkEnd w:id="1666"/>
    </w:p>
    <w:p>
      <w:pPr>
        <w:pStyle w:val="Normal"/>
        <w:widowControl/>
        <w:rPr/>
      </w:pPr>
      <w:r>
        <w:rPr/>
        <w:t>Qualifying capacity improvements include pump and compressor upgrades; debottlenecking; safe operating optimization; storage additions; terminal improvements; interconnections; metering and control modernization; integrity upgrades; leak detection; emergency shutdown systems; and other improvements that measurably increase usable capacity, reliability, safety, or resilience within existing lawful infrastructure.</w:t>
      </w:r>
    </w:p>
    <w:p>
      <w:bookmarkStart w:id="1667" w:name="_NAESTMA_TOC_1667"/>
      <w:pPr>
        <w:pStyle w:val="Heading2"/>
        <w:keepNext/>
        <w:widowControl/>
        <w:rPr/>
      </w:pPr>
      <w:r>
        <w:rPr/>
        <w:t>Article 40.29: Predictable Cross-Border Energy Project Review</w:t>
      </w:r>
      <w:bookmarkEnd w:id="1667"/>
    </w:p>
    <w:p>
      <w:pPr>
        <w:pStyle w:val="Normal"/>
        <w:widowControl/>
        <w:rPr/>
      </w:pPr>
      <w:r>
        <w:rPr/>
        <w:t>1. For qualifying cross-border energy projects, the Parties improve predictability through early identification of required filings, interoperable data where lawful, coordinated scheduling, transparent review clocks, and prompt notice of incomplete applications or material deficiencies.</w:t>
      </w:r>
    </w:p>
    <w:p>
      <w:pPr>
        <w:pStyle w:val="Normal"/>
        <w:widowControl/>
        <w:rPr/>
      </w:pPr>
      <w:r>
        <w:rPr/>
        <w:t>2. Administrative coordination does not predetermine an approval outcome, waive environmental or safety law, curtail Indigenous consultation or rights, or prevent a regulator from requesting material information necessary to a lawful decision.</w:t>
      </w:r>
    </w:p>
    <w:p>
      <w:pPr>
        <w:pStyle w:val="Normal"/>
        <w:widowControl/>
        <w:rPr/>
      </w:pPr>
      <w:r>
        <w:rPr/>
        <w:t>3. Existing regulatory agencies and the institutional architecture of this Agreement perform these functions. This Article creates no new permanent council or task force.</w:t>
      </w:r>
    </w:p>
    <w:p>
      <w:bookmarkStart w:id="1668" w:name="_NAESTMA_TOC_1668"/>
      <w:pPr>
        <w:pStyle w:val="Heading2"/>
        <w:keepNext/>
        <w:widowControl/>
        <w:rPr/>
      </w:pPr>
      <w:r>
        <w:rPr/>
        <w:t>Article 40.30: Energy Security and Resilience Portfolio</w:t>
      </w:r>
      <w:bookmarkEnd w:id="1668"/>
    </w:p>
    <w:p>
      <w:pPr>
        <w:pStyle w:val="Normal"/>
        <w:widowControl/>
        <w:rPr/>
      </w:pPr>
      <w:r>
        <w:rPr/>
        <w:t>The Parties may implement, through existing authorities and mutually agreed instruments, a portfolio that includes: emergency petroleum and fuel continuity planning; strategic storage cooperation; refinery and heavy-crude feedstock resilience; cross-border electricity interconnection; critical energy equipment reserves; physical and cyber protection of energy infrastructure; oil-spill and environmental incident response; methane and leak-reduction technology; carbon-management research; heavy-oil upgrading and diluent-efficiency research; energy data interoperability; and critical-mineral supply-chain cooperation.</w:t>
      </w:r>
    </w:p>
    <w:p>
      <w:bookmarkStart w:id="1669" w:name="_NAESTMA_TOC_1669"/>
      <w:pPr>
        <w:pStyle w:val="Heading2"/>
        <w:keepNext/>
        <w:widowControl/>
        <w:rPr/>
      </w:pPr>
      <w:r>
        <w:rPr/>
        <w:t>Article 40.31: Energy Workforce and Skills Cooperation</w:t>
      </w:r>
      <w:bookmarkEnd w:id="1669"/>
    </w:p>
    <w:p>
      <w:pPr>
        <w:pStyle w:val="Normal"/>
        <w:widowControl/>
        <w:rPr/>
      </w:pPr>
      <w:r>
        <w:rPr/>
        <w:t>The Parties may expand mutual recognition of relevant technical credentials, student and apprenticeship exchanges, regulator and technical staff exchanges, lawful temporary mobility for specialized project personnel, Indigenous energy-workforce development, and joint training in energy safety, operations, environmental protection, cybersecurity, and advanced technology. Existing Chapter 16 and domestic immigration authorities govern mobility.</w:t>
      </w:r>
    </w:p>
    <w:p>
      <w:bookmarkStart w:id="1670" w:name="_NAESTMA_TOC_1670"/>
      <w:pPr>
        <w:pStyle w:val="Heading2"/>
        <w:keepNext/>
        <w:widowControl/>
        <w:rPr/>
      </w:pPr>
      <w:r>
        <w:rPr/>
        <w:t>Article 40.32: Commercial Project Window and Candidate Register</w:t>
      </w:r>
      <w:bookmarkEnd w:id="1670"/>
    </w:p>
    <w:p>
      <w:pPr>
        <w:pStyle w:val="Normal"/>
        <w:widowControl/>
        <w:rPr/>
      </w:pPr>
      <w:r>
        <w:rPr/>
        <w:t>1. Existing energy authorities may periodically invite private, Indigenous, public, cooperative, or mixed sponsors to identify commercially supported cross-border capacity, optimization, storage, transmission, technology, or resilience opportunities.</w:t>
      </w:r>
    </w:p>
    <w:p>
      <w:pPr>
        <w:pStyle w:val="Normal"/>
        <w:widowControl/>
        <w:rPr/>
      </w:pPr>
      <w:r>
        <w:rPr/>
        <w:t>2. The Secretariat may maintain a non-binding public Candidate Register summarizing projects whose sponsors consent to publication. Inclusion creates no preference, guarantee, endorsement, procurement obligation, or treaty compliance credit until the applicable criteria are independently verified.</w:t>
      </w:r>
    </w:p>
    <w:p>
      <w:pPr>
        <w:pStyle w:val="Normal"/>
        <w:widowControl/>
        <w:rPr/>
      </w:pPr>
      <w:r>
        <w:rPr/>
        <w:t>3. Prairie Connector may be identified in the initial non-binding implementation record as an example of a privately sponsored cross-border capacity pathway that proposes to combine new construction with reuse of previously installed infrastructure. Its inclusion does not create a named-project obligation or finding on ultimate approval, financing, capacity, schedule, or commercial viability.</w:t>
      </w:r>
    </w:p>
    <w:p>
      <w:bookmarkStart w:id="1671" w:name="_NAESTMA_TOC_1671"/>
      <w:pPr>
        <w:pStyle w:val="Heading2"/>
        <w:keepNext/>
        <w:widowControl/>
        <w:rPr/>
      </w:pPr>
      <w:r>
        <w:rPr/>
        <w:t>Article 40.33: Energy Sovereignty and No Compulsory Project, Extraction, or Export</w:t>
      </w:r>
      <w:bookmarkEnd w:id="1671"/>
    </w:p>
    <w:p>
      <w:pPr>
        <w:pStyle w:val="Normal"/>
        <w:widowControl/>
        <w:rPr/>
      </w:pPr>
      <w:r>
        <w:rPr/>
        <w:t>1. No Party shall be required, by reason of an energy-security, compute, infrastructure, resilience, or market-access objective under this Agreement, to authorize, revive, construct, finance, subsidize, guarantee, expropriate land for, reserve capacity for, purchase from, or confer preferential treatment on Keystone XL or any other specifically named pipeline, transmission line, generation facility, storage facility, terminal, refinery connection, data centre, desalination facility, or other energy infrastructure project.</w:t>
      </w:r>
    </w:p>
    <w:p>
      <w:pPr>
        <w:pStyle w:val="Normal"/>
        <w:widowControl/>
        <w:rPr/>
      </w:pPr>
      <w:r>
        <w:rPr/>
        <w:t>2. A Party's refusal, failure, cancellation, non-selection, or lawful decision not to approve a particular named project shall not, by itself, constitute non-compliance, nullification or impairment, failure of reciprocity, or grounds for suspension of an unrelated benefit under this Agreement.</w:t>
      </w:r>
    </w:p>
    <w:p>
      <w:pPr>
        <w:pStyle w:val="Normal"/>
        <w:widowControl/>
        <w:rPr/>
      </w:pPr>
      <w:r>
        <w:rPr/>
        <w:t>3. Nothing in this Chapter requires a Party to increase extraction or production of oil, gas, minerals, electricity, water, or another natural resource; alter a lawful provincial, state, territorial, or federal production policy; compel a private producer to produce; or guarantee that commercially available infrastructure will be fully utilized.</w:t>
      </w:r>
    </w:p>
    <w:p>
      <w:pPr>
        <w:pStyle w:val="Normal"/>
        <w:widowControl/>
        <w:rPr/>
      </w:pPr>
      <w:r>
        <w:rPr/>
        <w:t>4. Nothing in this Chapter creates a compulsory export obligation. Commercial exports remain subject to applicable contracts, market conditions, domestic law, legitimate reliability and emergency measures, and the express disciplines of this Agreement.</w:t>
      </w:r>
    </w:p>
    <w:p>
      <w:bookmarkStart w:id="1672" w:name="_NAESTMA_TOC_1672"/>
      <w:pPr>
        <w:pStyle w:val="Heading2"/>
        <w:keepNext/>
        <w:widowControl/>
        <w:rPr/>
      </w:pPr>
      <w:r>
        <w:rPr/>
        <w:t>Article 40.34: Functional Energy Outcome and Alternative Fulfilment Right</w:t>
      </w:r>
      <w:bookmarkEnd w:id="1672"/>
    </w:p>
    <w:p>
      <w:pPr>
        <w:pStyle w:val="Normal"/>
        <w:widowControl/>
        <w:rPr/>
      </w:pPr>
      <w:r>
        <w:rPr/>
        <w:t>1. Where a Party has undertaken a function-based energy objective rather than an expressly named-project obligation, that Party may satisfy the objective through any qualifying portfolio of infrastructure, optimization, transmission, storage, interconnection, terminal or refinery access, efficiency, flexible load, emergency continuity, or other measures that objectively meets the agreed performance criteria.</w:t>
      </w:r>
    </w:p>
    <w:p>
      <w:pPr>
        <w:pStyle w:val="Normal"/>
        <w:widowControl/>
        <w:rPr/>
      </w:pPr>
      <w:r>
        <w:rPr/>
        <w:t>2. A Party shall not reject a qualifying alternative solely because another route, project sponsor, technology, or named project was preferred. Disagreement concerning functional equivalence shall be assessed against the objective criteria and dimensions in Annex 40-A.</w:t>
      </w:r>
    </w:p>
    <w:p>
      <w:pPr>
        <w:pStyle w:val="Normal"/>
        <w:widowControl/>
        <w:rPr/>
      </w:pPr>
      <w:r>
        <w:rPr/>
        <w:t>3. Functional equivalence does not waive environmental, Indigenous, landowner, safety, competition, investment-screening, or other lawful project-specific review.</w:t>
      </w:r>
    </w:p>
    <w:p>
      <w:bookmarkStart w:id="1673" w:name="_NAESTMA_TOC_1673"/>
      <w:pPr>
        <w:pStyle w:val="Heading2"/>
        <w:keepNext/>
        <w:widowControl/>
        <w:rPr/>
      </w:pPr>
      <w:r>
        <w:rPr/>
        <w:t>Article 40.35: No Throughput, Purchase, or Utilization Guarantee</w:t>
      </w:r>
      <w:bookmarkEnd w:id="1673"/>
    </w:p>
    <w:p>
      <w:pPr>
        <w:pStyle w:val="Normal"/>
        <w:widowControl/>
        <w:rPr/>
      </w:pPr>
      <w:r>
        <w:rPr/>
        <w:t>Government facilitation of commercially available capacity does not guarantee production, throughput, dispatch, private purchases, compute utilization, water offtake, project revenue, or commercial success. A Party satisfies a capacity-availability commitment by providing the verified governmental treatment and qualifying capability expressly agreed, unless a separate signed instrument expressly provides otherwise.</w:t>
      </w:r>
    </w:p>
    <w:p>
      <w:bookmarkStart w:id="1674" w:name="_NAESTMA_TOC_1674"/>
      <w:pPr>
        <w:pStyle w:val="Heading2"/>
        <w:keepNext/>
        <w:widowControl/>
        <w:rPr/>
      </w:pPr>
      <w:r>
        <w:rPr/>
        <w:t>Article 40.36: Domestic Reliability, Affordability, and Incremental-Cost Protection</w:t>
      </w:r>
      <w:bookmarkEnd w:id="1674"/>
    </w:p>
    <w:p>
      <w:pPr>
        <w:pStyle w:val="Normal"/>
        <w:widowControl/>
        <w:rPr/>
      </w:pPr>
      <w:r>
        <w:rPr/>
        <w:t>1. Cross-border electricity, compute, storage, or infrastructure cooperation shall not require a Party to accept a material deterioration in domestic grid reliability, essential-service continuity, or energy security.</w:t>
      </w:r>
    </w:p>
    <w:p>
      <w:pPr>
        <w:pStyle w:val="Normal"/>
        <w:widowControl/>
        <w:rPr/>
      </w:pPr>
      <w:r>
        <w:rPr/>
        <w:t>2. A large incremental load receiving facilitation or public benefit under this Chapter may be required to bear an appropriate share of reasonably attributable incremental generation, transmission, interconnection, storage, backup, system-strength, or other network costs created by that load.</w:t>
      </w:r>
    </w:p>
    <w:p>
      <w:pPr>
        <w:pStyle w:val="Normal"/>
        <w:widowControl/>
        <w:rPr/>
      </w:pPr>
      <w:r>
        <w:rPr/>
        <w:t>3. Nothing in this Agreement entitles a foreign-owned or foreign-serving energy-intensive digital facility to a residential, small-business, regulated, subsidized, or otherwise preferential electricity rate. Large-load tariffs may reflect infrastructure, reliability, congestion, opportunity, and service costs, provided nationality is not used as disguised discrimination.</w:t>
      </w:r>
    </w:p>
    <w:p>
      <w:pPr>
        <w:pStyle w:val="Normal"/>
        <w:widowControl/>
        <w:rPr/>
      </w:pPr>
      <w:r>
        <w:rPr/>
        <w:t>4. The Parties shall seek to prevent uncompensated material cost shifting from new energy-intensive digital infrastructure to households, small businesses, public services, or existing industrial customers that do not receive a reasonably corresponding benefit.</w:t>
      </w:r>
    </w:p>
    <w:p>
      <w:bookmarkStart w:id="1675" w:name="_NAESTMA_TOC_1675"/>
      <w:pPr>
        <w:pStyle w:val="Heading2"/>
        <w:keepNext/>
        <w:widowControl/>
        <w:rPr/>
      </w:pPr>
      <w:r>
        <w:rPr/>
        <w:t>Article 40.37: Effective Energy Access and Anti-Circumvention</w:t>
      </w:r>
      <w:bookmarkEnd w:id="1675"/>
    </w:p>
    <w:p>
      <w:pPr>
        <w:pStyle w:val="Normal"/>
        <w:widowControl/>
        <w:rPr/>
      </w:pPr>
      <w:r>
        <w:rPr/>
        <w:t>1. A Party shall not formally provide a benefit under this Chapter while materially defeating that benefit through discriminatory permitting delay, interconnection administration, scheduling, transmission charges, queue management, licensing, customs treatment, or a successor measure directed at the same commercial opportunity.</w:t>
      </w:r>
    </w:p>
    <w:p>
      <w:pPr>
        <w:pStyle w:val="Normal"/>
        <w:widowControl/>
        <w:rPr/>
      </w:pPr>
      <w:r>
        <w:rPr/>
        <w:t>2. Paragraph 1 does not prevent bona fide, generally applicable environmental, Indigenous, safety, land-use, reliability, cybersecurity, competition, investment-screening, or public-utility requirements. A finding of circumvention requires evidence that the challenged administration materially impaired the negotiated benefit and lacked a reasonable relationship to the stated legitimate objective or was applied in a materially discriminatory manner.</w:t>
      </w:r>
    </w:p>
    <w:p>
      <w:pPr>
        <w:pStyle w:val="Normal"/>
        <w:widowControl/>
        <w:rPr/>
      </w:pPr>
      <w:r>
        <w:rPr/>
        <w:t>3. The effective-performance principles in Article 35 and the administrative-integrity provisions of this Agreement apply to this Article.</w:t>
      </w:r>
    </w:p>
    <w:p>
      <w:bookmarkStart w:id="1676" w:name="_NAESTMA_TOC_1676"/>
      <w:pPr>
        <w:pStyle w:val="Heading2"/>
        <w:keepNext/>
        <w:widowControl/>
        <w:rPr/>
      </w:pPr>
      <w:r>
        <w:rPr/>
        <w:t>Article 40.38: Environmental, Indigenous, Water, and Land-Use Safeguard</w:t>
      </w:r>
      <w:bookmarkEnd w:id="1676"/>
    </w:p>
    <w:p>
      <w:pPr>
        <w:pStyle w:val="Normal"/>
        <w:widowControl/>
        <w:rPr/>
      </w:pPr>
      <w:r>
        <w:rPr/>
        <w:t>1. Economic or energy-security value under this Chapter creates no presumption overriding environmental assessment, Indigenous consultation, accommodation or treaty rights, water protection, landowner rights, safety review, or ordinary lawful permitting.</w:t>
      </w:r>
    </w:p>
    <w:p>
      <w:pPr>
        <w:pStyle w:val="Normal"/>
        <w:widowControl/>
        <w:rPr/>
      </w:pPr>
      <w:r>
        <w:rPr/>
        <w:t>2. Such processes shall be administered in good faith and shall not be manipulated for the purpose of frustrating a qualifying project because of the nationality of its sponsor, customer, or energy destination.</w:t>
      </w:r>
    </w:p>
    <w:p>
      <w:pPr>
        <w:pStyle w:val="Normal"/>
        <w:widowControl/>
        <w:rPr/>
      </w:pPr>
      <w:r>
        <w:rPr/>
        <w:t>3. Nothing in this Chapter creates a right to natural water that has not entered commerce or reduces the protections of Article 41.5.</w:t>
      </w:r>
    </w:p>
    <w:p>
      <w:bookmarkStart w:id="1677" w:name="_NAESTMA_TOC_1677"/>
      <w:pPr>
        <w:pStyle w:val="Heading2"/>
        <w:keepNext/>
        <w:widowControl/>
        <w:rPr/>
      </w:pPr>
      <w:r>
        <w:rPr/>
        <w:t>Article 40.39: Energy Dispute Containment and No Cross-Sector Hostage Taking</w:t>
      </w:r>
      <w:bookmarkEnd w:id="1677"/>
    </w:p>
    <w:p>
      <w:pPr>
        <w:pStyle w:val="Normal"/>
        <w:widowControl/>
        <w:rPr/>
      </w:pPr>
      <w:r>
        <w:rPr/>
        <w:t>1. Failure to approve or proceed with a particular energy project shall not authorize tariffs, dairy restrictions, procurement restrictions, automotive measures, forestry measures, or suspension of another unrelated benefit unless an express provision of this Agreement specifically authorizes that remedy for the established violation.</w:t>
      </w:r>
    </w:p>
    <w:p>
      <w:pPr>
        <w:pStyle w:val="Normal"/>
        <w:widowControl/>
        <w:rPr/>
      </w:pPr>
      <w:r>
        <w:rPr/>
        <w:t>2. Remedies for a Chapter 40 obligation shall be targeted, proportionate, and directed first to restoration of the impaired energy benefit. Nothing in this Article limits a remedy expressly authorized elsewhere after completion of the applicable dispute procedure.</w:t>
      </w:r>
    </w:p>
    <w:p>
      <w:bookmarkStart w:id="1678" w:name="_NAESTMA_TOC_1678"/>
      <w:pPr>
        <w:pStyle w:val="Heading2"/>
        <w:keepNext/>
        <w:widowControl/>
        <w:rPr/>
      </w:pPr>
      <w:r>
        <w:rPr/>
        <w:t>Article 40.40: Energy Emergency Safe Mode</w:t>
      </w:r>
      <w:bookmarkEnd w:id="1678"/>
    </w:p>
    <w:p>
      <w:pPr>
        <w:pStyle w:val="Normal"/>
        <w:widowControl/>
        <w:rPr/>
      </w:pPr>
      <w:r>
        <w:rPr/>
        <w:t>1. During a genuine grid emergency, natural disaster, extreme-weather event, major infrastructure failure, fuel-supply emergency, cyber incident, or comparable threat to essential supply, a Party may temporarily prioritize domestic reliability, essential services, restoration, or public safety.</w:t>
      </w:r>
    </w:p>
    <w:p>
      <w:pPr>
        <w:pStyle w:val="Normal"/>
        <w:widowControl/>
        <w:rPr/>
      </w:pPr>
      <w:r>
        <w:rPr/>
        <w:t>2. A measure under paragraph 1 shall be no broader or longer than reasonably necessary, shall be notified promptly where circumstances permit, shall be reviewed as conditions change, and shall be withdrawn when the emergency basis materially ceases.</w:t>
      </w:r>
    </w:p>
    <w:p>
      <w:pPr>
        <w:pStyle w:val="Normal"/>
        <w:widowControl/>
        <w:rPr/>
      </w:pPr>
      <w:r>
        <w:rPr/>
        <w:t>3. Temporary emergency action does not create a permanent reduction in another Party's negotiated access or a permanent export obligation after the emergency.</w:t>
      </w:r>
    </w:p>
    <w:p>
      <w:bookmarkStart w:id="1679" w:name="_NAESTMA_TOC_1679"/>
      <w:pPr>
        <w:pStyle w:val="Heading2"/>
        <w:keepNext/>
        <w:widowControl/>
        <w:rPr/>
      </w:pPr>
      <w:r>
        <w:rPr/>
        <w:t>Article 40.41: Change of Control and Critical-Infrastructure Security</w:t>
      </w:r>
      <w:bookmarkEnd w:id="1679"/>
    </w:p>
    <w:p>
      <w:pPr>
        <w:pStyle w:val="Normal"/>
        <w:widowControl/>
        <w:rPr/>
      </w:pPr>
      <w:r>
        <w:rPr/>
        <w:t>Where ownership or effective control of a qualifying energy, compute, water, storage, telecommunications, or related critical-infrastructure asset materially changes, a Party may conduct otherwise lawful national-security, investment-screening, cybersecurity, sanctions, or critical-infrastructure review. Such review shall be subject to the security anti-abuse, evidence, necessity, and procedural safeguards elsewhere in this Agreement.</w:t>
      </w:r>
    </w:p>
    <w:p>
      <w:bookmarkStart w:id="1680" w:name="_NAESTMA_TOC_1680"/>
      <w:pPr>
        <w:pStyle w:val="Heading2"/>
        <w:keepNext/>
        <w:widowControl/>
        <w:rPr/>
      </w:pPr>
      <w:r>
        <w:rPr/>
        <w:t>Article 40.42: Energy Capacity Credit and No Double Counting</w:t>
      </w:r>
      <w:bookmarkEnd w:id="1680"/>
    </w:p>
    <w:p>
      <w:pPr>
        <w:pStyle w:val="Normal"/>
        <w:widowControl/>
        <w:rPr/>
      </w:pPr>
      <w:r>
        <w:rPr/>
        <w:t>1. A verified unit of generation, transmission, storage, throughput, compute flexibility, emergency capacity, or other infrastructure value shall not be counted as fresh consideration for multiple negotiated exchanges where doing so would materially overstate the incremental benefit.</w:t>
      </w:r>
    </w:p>
    <w:p>
      <w:pPr>
        <w:pStyle w:val="Normal"/>
        <w:widowControl/>
        <w:rPr/>
      </w:pPr>
      <w:r>
        <w:rPr/>
        <w:t>2. Partial allocation among multiple objectives is permitted where the allocation is transparent, quantitatively supportable, and does not cause the aggregate credited value to exceed the verified incremental capability.</w:t>
      </w:r>
    </w:p>
    <w:p>
      <w:bookmarkStart w:id="1681" w:name="_NAESTMA_TOC_1681"/>
      <w:pPr>
        <w:pStyle w:val="Heading2"/>
        <w:keepNext/>
        <w:widowControl/>
        <w:rPr/>
      </w:pPr>
      <w:r>
        <w:rPr/>
        <w:t>Article 40.43: North American Integrated Energy-Compute-Water Simulation Initiative</w:t>
      </w:r>
      <w:bookmarkEnd w:id="1681"/>
    </w:p>
    <w:p>
      <w:pPr>
        <w:pStyle w:val="Normal"/>
        <w:widowControl/>
        <w:rPr/>
      </w:pPr>
      <w:r>
        <w:rPr/>
        <w:t>1. The Parties establish a voluntary, technology-neutral simulation initiative to evaluate whether integrated energy, energy-intensive computing, water-production, thermal-management, storage, and grid-service architectures can provide commercially, technically, environmentally, and socially useful infrastructure benefits in North American conditions.</w:t>
      </w:r>
    </w:p>
    <w:p>
      <w:pPr>
        <w:pStyle w:val="Normal"/>
        <w:widowControl/>
        <w:rPr/>
      </w:pPr>
      <w:r>
        <w:rPr/>
        <w:t>2. Canada may offer to lead or sponsor an initial software-based feasibility study and to share non-sensitive assumptions, methods, scenario results, sensitivity findings, and technical conclusions with the United States and Mexico. Participation by another Party does not imply endorsement of the architecture studied.</w:t>
      </w:r>
    </w:p>
    <w:p>
      <w:pPr>
        <w:pStyle w:val="Normal"/>
        <w:widowControl/>
        <w:rPr/>
      </w:pPr>
      <w:r>
        <w:rPr/>
        <w:t>3. Studies should emphasize realistic operating envelopes, ordinary load variation, representative grid conditions, water and thermal performance, reasonable foreseeable contingencies, capital and operating sensitivity, and identification of components that merit further development. The purpose is opportunity-oriented feasibility assessment and iterative improvement, not a requirement to demonstrate survival under implausible combinations of simultaneous failures.</w:t>
      </w:r>
    </w:p>
    <w:p>
      <w:pPr>
        <w:pStyle w:val="Normal"/>
        <w:widowControl/>
        <w:rPr/>
      </w:pPr>
      <w:r>
        <w:rPr/>
        <w:t>4. A favourable simulation result does not constitute physical certification, procurement approval, construction authorization, a performance guarantee, or a commitment to fund a subsequent stage.</w:t>
      </w:r>
    </w:p>
    <w:p>
      <w:bookmarkStart w:id="1682" w:name="_NAESTMA_TOC_1682"/>
      <w:pPr>
        <w:pStyle w:val="Heading2"/>
        <w:keepNext/>
        <w:widowControl/>
        <w:rPr/>
      </w:pPr>
      <w:r>
        <w:rPr/>
        <w:t>Article 40.44: Reference Architectures and Technology Neutrality</w:t>
      </w:r>
      <w:bookmarkEnd w:id="1682"/>
    </w:p>
    <w:p>
      <w:pPr>
        <w:pStyle w:val="Normal"/>
        <w:widowControl/>
        <w:rPr/>
      </w:pPr>
      <w:r>
        <w:rPr/>
        <w:t>1. A Party may nominate one or more non-binding reference architectures for software-based evaluation under Article 40.43 where the architecture is sufficiently documented to permit meaningful simulation and is relevant to integrated energy, energy-intensive computing, water, thermal-management, storage, grid-service, or related infrastructure questions.</w:t>
      </w:r>
    </w:p>
    <w:p>
      <w:pPr>
        <w:pStyle w:val="Normal"/>
        <w:widowControl/>
        <w:rPr/>
      </w:pPr>
      <w:r>
        <w:rPr/>
        <w:t>2. A reference architecture developed outside the governmental negotiation process may be evaluated, but nomination confers no procurement preference, exclusive right, intellectual-property advantage, funding entitlement, certification, endorsement, standard-setting status, or right to subsequent demonstration or deployment.</w:t>
      </w:r>
    </w:p>
    <w:p>
      <w:pPr>
        <w:pStyle w:val="Normal"/>
        <w:widowControl/>
        <w:rPr/>
      </w:pPr>
      <w:r>
        <w:rPr/>
        <w:t>3. Canada, the United States, and Mexico may nominate architectures satisfying published, technology-neutral eligibility criteria. Comparable candidates shall be evaluated under materially equivalent evidentiary and simulation standards appropriate to their technical characteristics.</w:t>
      </w:r>
    </w:p>
    <w:p>
      <w:pPr>
        <w:pStyle w:val="Normal"/>
        <w:widowControl/>
        <w:rPr/>
      </w:pPr>
      <w:r>
        <w:rPr/>
        <w:t>4. No technology receives preferred status solely because it was the first reference case, appeared in an implementation record, or produced a favorable preliminary simulation. Candidate names and project-specific technical descriptions belong in non-binding implementation records rather than the operative text of this Agreement.</w:t>
      </w:r>
    </w:p>
    <w:p>
      <w:bookmarkStart w:id="1683" w:name="_NAESTMA_TOC_1683"/>
      <w:pPr>
        <w:pStyle w:val="Heading2"/>
        <w:keepNext/>
        <w:widowControl/>
        <w:rPr/>
      </w:pPr>
      <w:r>
        <w:rPr/>
        <w:t>Article 40.45: Integrated Infrastructure Simulation Scope and Shared Learning</w:t>
      </w:r>
      <w:bookmarkEnd w:id="1683"/>
    </w:p>
    <w:p>
      <w:pPr>
        <w:pStyle w:val="Normal"/>
        <w:widowControl/>
        <w:rPr/>
      </w:pPr>
      <w:r>
        <w:rPr/>
        <w:t>1. An initial study may examine representative Canadian, United States, and Mexican reference conditions where useful, including differences in climate, grid structure, electricity value, water scarcity, cooling conditions, telecommunications, industrial demand, and regulatory environment.</w:t>
      </w:r>
    </w:p>
    <w:p>
      <w:pPr>
        <w:pStyle w:val="Normal"/>
        <w:widowControl/>
        <w:rPr/>
      </w:pPr>
      <w:r>
        <w:rPr/>
        <w:t>2. The study may evaluate integrated freshwater production, compute services, grid services, waste-heat utilization, thermal integration, storage dispatch, desalination performance, flexible digital load, and experimental salt-to-power or successor subsystems. Experimental subsystems shall be identified as such and may be modelled separately from the core architecture so that their uncertainty does not automatically determine the value of the entire integrated concept.</w:t>
      </w:r>
    </w:p>
    <w:p>
      <w:pPr>
        <w:pStyle w:val="Normal"/>
        <w:widowControl/>
        <w:rPr/>
      </w:pPr>
      <w:r>
        <w:rPr/>
        <w:t>3. Non-sensitive results should identify assumptions, ranges, material uncertainties, promising interactions, weak points, and practical next questions. Proprietary source code, trade secrets, personal information, and security-sensitive infrastructure details need not be disclosed.</w:t>
      </w:r>
    </w:p>
    <w:p>
      <w:bookmarkStart w:id="1684" w:name="_NAESTMA_TOC_1684"/>
      <w:pPr>
        <w:pStyle w:val="Heading2"/>
        <w:keepNext/>
        <w:widowControl/>
        <w:rPr/>
      </w:pPr>
      <w:r>
        <w:rPr/>
        <w:t>Article 40.46: Optional Advancement Gates for Integrated Infrastructure</w:t>
      </w:r>
      <w:bookmarkEnd w:id="1684"/>
    </w:p>
    <w:p>
      <w:pPr>
        <w:pStyle w:val="Normal"/>
        <w:widowControl/>
        <w:rPr/>
      </w:pPr>
      <w:r>
        <w:rPr/>
        <w:t>1. Completion of a software simulation may support, but does not require, a subsequent voluntary stage such as technical peer review, component or bench testing, a limited physical demonstration, or a commercial pilot.</w:t>
      </w:r>
    </w:p>
    <w:p>
      <w:pPr>
        <w:pStyle w:val="Normal"/>
        <w:widowControl/>
        <w:rPr/>
      </w:pPr>
      <w:r>
        <w:rPr/>
        <w:t>2. Each subsequent stage requires a new affirmative decision by the participating governments, agencies, sponsors, or investors under applicable law. A decision not to advance, or to redesign and repeat an earlier stage, does not constitute non-compliance with this Agreement.</w:t>
      </w:r>
    </w:p>
    <w:p>
      <w:pPr>
        <w:pStyle w:val="Normal"/>
        <w:widowControl/>
        <w:rPr/>
      </w:pPr>
      <w:r>
        <w:rPr/>
        <w:t>3. Where a component underperforms, the Parties and participating sponsors may evaluate redesign, substitution, removal, or further study without treating the underperformance of one component as dispositive of an otherwise separable architecture.</w:t>
      </w:r>
    </w:p>
    <w:p>
      <w:bookmarkStart w:id="1685" w:name="_NAESTMA_TOC_1685"/>
      <w:pPr>
        <w:pStyle w:val="Heading2"/>
        <w:keepNext/>
        <w:widowControl/>
        <w:rPr/>
      </w:pPr>
      <w:r>
        <w:rPr/>
        <w:t>Article 40.47: Implementation Without New Permanent Bureaucracy</w:t>
      </w:r>
      <w:bookmarkEnd w:id="1685"/>
    </w:p>
    <w:p>
      <w:pPr>
        <w:pStyle w:val="Normal"/>
        <w:widowControl/>
        <w:rPr/>
      </w:pPr>
      <w:r>
        <w:rPr/>
        <w:t>The Grid Resilience Working Group, existing energy authorities, relevant laboratories, universities, utilities, water authorities, system operators, and other qualified institutions may implement Articles 40.33 through 40.46. No new permanent council, secretariat, procurement body, or project-approval authority is created by those Articles.</w:t>
      </w:r>
    </w:p>
    <w:p>
      <w:bookmarkStart w:id="1686" w:name="_NAESTMA_TOC_1686"/>
      <w:pPr>
        <w:pStyle w:val="Heading2"/>
        <w:keepNext/>
        <w:widowControl/>
        <w:rPr/>
      </w:pPr>
      <w:r>
        <w:rPr/>
        <w:t>ANNEX 40-A: Energy Optionality and Equivalency Matrix</w:t>
      </w:r>
      <w:bookmarkEnd w:id="1686"/>
    </w:p>
    <w:tbl>
      <w:tblPr>
        <w:tblStyle w:val="TableGrid"/>
        <w:tblW w:w="9360" w:type="dxa"/>
        <w:jc w:val="center"/>
        <w:tblInd w:w="0" w:type="dxa"/>
        <w:tblLayout w:type="autofit"/>
        <w:tblCellMar>
          <w:top w:w="60" w:type="dxa"/>
          <w:left w:w="70" w:type="dxa"/>
          <w:bottom w:w="60" w:type="dxa"/>
          <w:right w:w="70" w:type="dxa"/>
        </w:tblCellMar>
        <w:tblLook w:val="04a0" w:noHBand="0" w:noVBand="1" w:firstColumn="1" w:lastRow="0" w:lastColumn="0" w:firstRow="1"/>
      </w:tblPr>
      <w:tblGrid>
        <w:gridCol w:w="2340"/>
        <w:gridCol w:w="2340"/>
        <w:gridCol w:w="2340"/>
        <w:gridCol w:w="2339"/>
      </w:tblGrid>
      <w:tr>
        <w:trPr>
          <w:tblHeader w:val="true"/>
          <w:cantSplit w:val="true"/>
          <w:tblHeader w:val="true"/>
        </w:trPr>
        <w:tc>
          <w:tcPr>
            <w:tcW w:w="2340" w:type="dxa"/>
            <w:tcBorders/>
            <w:shd w:fill="233746"/>
          </w:tcPr>
          <w:p>
            <w:pPr>
              <w:pStyle w:val="Normal"/>
              <w:widowControl/>
              <w:suppressAutoHyphens w:val="true"/>
              <w:spacing w:before="0" w:after="0"/>
              <w:jc w:val="left"/>
              <w:rPr>
                <w:rFonts w:cs=""/>
                <w:kern w:val="0"/>
                <w:szCs w:val="22"/>
                <w:lang w:val="en-US" w:eastAsia="en-US" w:bidi="ar-SA"/>
              </w:rPr>
            </w:pPr>
            <w:r>
              <w:rPr>
                <w:rFonts w:cs="" w:ascii="Arial" w:hAnsi="Arial"/>
                <w:b/>
                <w:color w:val="FFFFFF"/>
                <w:kern w:val="0"/>
                <w:sz w:val="17"/>
                <w:szCs w:val="22"/>
                <w:lang w:val="en-US" w:eastAsia="en-US" w:bidi="ar-SA"/>
              </w:rPr>
              <w:t>Pathway</w:t>
            </w:r>
          </w:p>
        </w:tc>
        <w:tc>
          <w:tcPr>
            <w:tcW w:w="2340" w:type="dxa"/>
            <w:tcBorders/>
            <w:shd w:fill="233746"/>
          </w:tcPr>
          <w:p>
            <w:pPr>
              <w:pStyle w:val="Normal"/>
              <w:widowControl/>
              <w:suppressAutoHyphens w:val="true"/>
              <w:spacing w:before="0" w:after="0"/>
              <w:jc w:val="left"/>
              <w:rPr>
                <w:rFonts w:cs=""/>
                <w:kern w:val="0"/>
                <w:szCs w:val="22"/>
                <w:lang w:val="en-US" w:eastAsia="en-US" w:bidi="ar-SA"/>
              </w:rPr>
            </w:pPr>
            <w:r>
              <w:rPr>
                <w:rFonts w:cs="" w:ascii="Arial" w:hAnsi="Arial"/>
                <w:b/>
                <w:color w:val="FFFFFF"/>
                <w:kern w:val="0"/>
                <w:sz w:val="17"/>
                <w:szCs w:val="22"/>
                <w:lang w:val="en-US" w:eastAsia="en-US" w:bidi="ar-SA"/>
              </w:rPr>
              <w:t>Potential contribution</w:t>
            </w:r>
          </w:p>
        </w:tc>
        <w:tc>
          <w:tcPr>
            <w:tcW w:w="2340" w:type="dxa"/>
            <w:tcBorders/>
            <w:shd w:fill="233746"/>
          </w:tcPr>
          <w:p>
            <w:pPr>
              <w:pStyle w:val="Normal"/>
              <w:widowControl/>
              <w:suppressAutoHyphens w:val="true"/>
              <w:spacing w:before="0" w:after="0"/>
              <w:jc w:val="left"/>
              <w:rPr>
                <w:rFonts w:cs=""/>
                <w:kern w:val="0"/>
                <w:szCs w:val="22"/>
                <w:lang w:val="en-US" w:eastAsia="en-US" w:bidi="ar-SA"/>
              </w:rPr>
            </w:pPr>
            <w:r>
              <w:rPr>
                <w:rFonts w:cs="" w:ascii="Arial" w:hAnsi="Arial"/>
                <w:b/>
                <w:color w:val="FFFFFF"/>
                <w:kern w:val="0"/>
                <w:sz w:val="17"/>
                <w:szCs w:val="22"/>
                <w:lang w:val="en-US" w:eastAsia="en-US" w:bidi="ar-SA"/>
              </w:rPr>
              <w:t>Verification basis</w:t>
            </w:r>
          </w:p>
        </w:tc>
        <w:tc>
          <w:tcPr>
            <w:tcW w:w="2339" w:type="dxa"/>
            <w:tcBorders/>
            <w:shd w:fill="233746"/>
          </w:tcPr>
          <w:p>
            <w:pPr>
              <w:pStyle w:val="Normal"/>
              <w:widowControl/>
              <w:suppressAutoHyphens w:val="true"/>
              <w:spacing w:before="0" w:after="0"/>
              <w:jc w:val="left"/>
              <w:rPr>
                <w:rFonts w:cs=""/>
                <w:kern w:val="0"/>
                <w:szCs w:val="22"/>
                <w:lang w:val="en-US" w:eastAsia="en-US" w:bidi="ar-SA"/>
              </w:rPr>
            </w:pPr>
            <w:r>
              <w:rPr>
                <w:rFonts w:cs="" w:ascii="Arial" w:hAnsi="Arial"/>
                <w:b/>
                <w:color w:val="FFFFFF"/>
                <w:kern w:val="0"/>
                <w:sz w:val="17"/>
                <w:szCs w:val="22"/>
                <w:lang w:val="en-US" w:eastAsia="en-US" w:bidi="ar-SA"/>
              </w:rPr>
              <w:t>Treaty treatment</w:t>
            </w:r>
          </w:p>
        </w:tc>
      </w:tr>
      <w:tr>
        <w:trPr>
          <w:cantSplit w:val="true"/>
        </w:trPr>
        <w:tc>
          <w:tcPr>
            <w:tcW w:w="2340" w:type="dxa"/>
            <w:tcBorders/>
            <w:tcMar>
              <w:top w:w="70" w:type="dxa"/>
              <w:start w:w="110" w:type="dxa"/>
              <w:bottom w:w="70" w:type="dxa"/>
              <w:end w:w="110" w:type="dxa"/>
            </w:tcMar>
          </w:tcPr>
          <w:p>
            <w:pPr>
              <w:pStyle w:val="Normal"/>
              <w:widowControl/>
              <w:suppressAutoHyphens w:val="true"/>
              <w:spacing w:before="0" w:after="0"/>
              <w:jc w:val="left"/>
              <w:rPr>
                <w:rFonts w:cs=""/>
                <w:kern w:val="0"/>
                <w:szCs w:val="22"/>
                <w:lang w:val="en-US" w:eastAsia="en-US" w:bidi="ar-SA"/>
              </w:rPr>
            </w:pPr>
            <w:r>
              <w:rPr>
                <w:rFonts w:cs="" w:ascii="Arial" w:hAnsi="Arial"/>
                <w:kern w:val="0"/>
                <w:sz w:val="17"/>
                <w:szCs w:val="22"/>
                <w:lang w:val="en-US" w:eastAsia="en-US" w:bidi="ar-SA"/>
              </w:rPr>
              <w:t>Commercial cross-border pipeline or connection</w:t>
            </w:r>
          </w:p>
        </w:tc>
        <w:tc>
          <w:tcPr>
            <w:tcW w:w="2340" w:type="dxa"/>
            <w:tcBorders/>
            <w:tcMar>
              <w:top w:w="70" w:type="dxa"/>
              <w:start w:w="110" w:type="dxa"/>
              <w:bottom w:w="70" w:type="dxa"/>
              <w:end w:w="110" w:type="dxa"/>
            </w:tcMar>
          </w:tcPr>
          <w:p>
            <w:pPr>
              <w:pStyle w:val="Normal"/>
              <w:widowControl/>
              <w:suppressAutoHyphens w:val="true"/>
              <w:spacing w:before="0" w:after="0"/>
              <w:jc w:val="left"/>
              <w:rPr>
                <w:rFonts w:cs=""/>
                <w:kern w:val="0"/>
                <w:szCs w:val="22"/>
                <w:lang w:val="en-US" w:eastAsia="en-US" w:bidi="ar-SA"/>
              </w:rPr>
            </w:pPr>
            <w:r>
              <w:rPr>
                <w:rFonts w:cs="" w:ascii="Arial" w:hAnsi="Arial"/>
                <w:kern w:val="0"/>
                <w:sz w:val="17"/>
                <w:szCs w:val="22"/>
                <w:lang w:val="en-US" w:eastAsia="en-US" w:bidi="ar-SA"/>
              </w:rPr>
              <w:t>Physical capacity, U.S./Canadian/Mexican market access, supply security</w:t>
            </w:r>
          </w:p>
        </w:tc>
        <w:tc>
          <w:tcPr>
            <w:tcW w:w="2340" w:type="dxa"/>
            <w:tcBorders/>
            <w:tcMar>
              <w:top w:w="70" w:type="dxa"/>
              <w:start w:w="110" w:type="dxa"/>
              <w:bottom w:w="70" w:type="dxa"/>
              <w:end w:w="110" w:type="dxa"/>
            </w:tcMar>
          </w:tcPr>
          <w:p>
            <w:pPr>
              <w:pStyle w:val="Normal"/>
              <w:widowControl/>
              <w:suppressAutoHyphens w:val="true"/>
              <w:spacing w:before="0" w:after="0"/>
              <w:jc w:val="left"/>
              <w:rPr>
                <w:rFonts w:cs=""/>
                <w:kern w:val="0"/>
                <w:szCs w:val="22"/>
                <w:lang w:val="en-US" w:eastAsia="en-US" w:bidi="ar-SA"/>
              </w:rPr>
            </w:pPr>
            <w:r>
              <w:rPr>
                <w:rFonts w:cs="" w:ascii="Arial" w:hAnsi="Arial"/>
                <w:kern w:val="0"/>
                <w:sz w:val="17"/>
                <w:szCs w:val="22"/>
                <w:lang w:val="en-US" w:eastAsia="en-US" w:bidi="ar-SA"/>
              </w:rPr>
              <w:t>Permitted/authorized status, completed capacity, contracted service, verified operations</w:t>
            </w:r>
          </w:p>
        </w:tc>
        <w:tc>
          <w:tcPr>
            <w:tcW w:w="2339" w:type="dxa"/>
            <w:tcBorders/>
            <w:tcMar>
              <w:top w:w="70" w:type="dxa"/>
              <w:start w:w="110" w:type="dxa"/>
              <w:bottom w:w="70" w:type="dxa"/>
              <w:end w:w="110" w:type="dxa"/>
            </w:tcMar>
          </w:tcPr>
          <w:p>
            <w:pPr>
              <w:pStyle w:val="Normal"/>
              <w:widowControl/>
              <w:suppressAutoHyphens w:val="true"/>
              <w:spacing w:before="0" w:after="0"/>
              <w:jc w:val="left"/>
              <w:rPr>
                <w:rFonts w:cs=""/>
                <w:kern w:val="0"/>
                <w:szCs w:val="22"/>
                <w:lang w:val="en-US" w:eastAsia="en-US" w:bidi="ar-SA"/>
              </w:rPr>
            </w:pPr>
            <w:r>
              <w:rPr>
                <w:rFonts w:cs="" w:ascii="Arial" w:hAnsi="Arial"/>
                <w:kern w:val="0"/>
                <w:sz w:val="17"/>
                <w:szCs w:val="22"/>
                <w:lang w:val="en-US" w:eastAsia="en-US" w:bidi="ar-SA"/>
              </w:rPr>
              <w:t>Full capacity credit only after validated operational availability; no named-project obligation.</w:t>
            </w:r>
          </w:p>
        </w:tc>
      </w:tr>
      <w:tr>
        <w:trPr>
          <w:cantSplit w:val="true"/>
        </w:trPr>
        <w:tc>
          <w:tcPr>
            <w:tcW w:w="2340" w:type="dxa"/>
            <w:tcBorders/>
            <w:tcMar>
              <w:top w:w="70" w:type="dxa"/>
              <w:start w:w="110" w:type="dxa"/>
              <w:bottom w:w="70" w:type="dxa"/>
              <w:end w:w="110" w:type="dxa"/>
            </w:tcMar>
            <w:shd w:fill="F4F6F7"/>
          </w:tcPr>
          <w:p>
            <w:pPr>
              <w:pStyle w:val="Normal"/>
              <w:widowControl/>
              <w:suppressAutoHyphens w:val="true"/>
              <w:spacing w:before="0" w:after="0"/>
              <w:jc w:val="left"/>
              <w:rPr>
                <w:rFonts w:cs=""/>
                <w:kern w:val="0"/>
                <w:szCs w:val="22"/>
                <w:lang w:val="en-US" w:eastAsia="en-US" w:bidi="ar-SA"/>
              </w:rPr>
            </w:pPr>
            <w:r>
              <w:rPr>
                <w:rFonts w:cs="" w:ascii="Arial" w:hAnsi="Arial"/>
                <w:kern w:val="0"/>
                <w:sz w:val="17"/>
                <w:szCs w:val="22"/>
                <w:lang w:val="en-US" w:eastAsia="en-US" w:bidi="ar-SA"/>
              </w:rPr>
              <w:t>Existing-corridor optimization</w:t>
            </w:r>
          </w:p>
        </w:tc>
        <w:tc>
          <w:tcPr>
            <w:tcW w:w="2340" w:type="dxa"/>
            <w:tcBorders/>
            <w:tcMar>
              <w:top w:w="70" w:type="dxa"/>
              <w:start w:w="110" w:type="dxa"/>
              <w:bottom w:w="70" w:type="dxa"/>
              <w:end w:w="110" w:type="dxa"/>
            </w:tcMar>
            <w:shd w:fill="F4F6F7"/>
          </w:tcPr>
          <w:p>
            <w:pPr>
              <w:pStyle w:val="Normal"/>
              <w:widowControl/>
              <w:suppressAutoHyphens w:val="true"/>
              <w:spacing w:before="0" w:after="0"/>
              <w:jc w:val="left"/>
              <w:rPr>
                <w:rFonts w:cs=""/>
                <w:kern w:val="0"/>
                <w:szCs w:val="22"/>
                <w:lang w:val="en-US" w:eastAsia="en-US" w:bidi="ar-SA"/>
              </w:rPr>
            </w:pPr>
            <w:r>
              <w:rPr>
                <w:rFonts w:cs="" w:ascii="Arial" w:hAnsi="Arial"/>
                <w:kern w:val="0"/>
                <w:sz w:val="17"/>
                <w:szCs w:val="22"/>
                <w:lang w:val="en-US" w:eastAsia="en-US" w:bidi="ar-SA"/>
              </w:rPr>
              <w:t>Capacity, reliability, safety, resilience</w:t>
            </w:r>
          </w:p>
        </w:tc>
        <w:tc>
          <w:tcPr>
            <w:tcW w:w="2340" w:type="dxa"/>
            <w:tcBorders/>
            <w:tcMar>
              <w:top w:w="70" w:type="dxa"/>
              <w:start w:w="110" w:type="dxa"/>
              <w:bottom w:w="70" w:type="dxa"/>
              <w:end w:w="110" w:type="dxa"/>
            </w:tcMar>
            <w:shd w:fill="F4F6F7"/>
          </w:tcPr>
          <w:p>
            <w:pPr>
              <w:pStyle w:val="Normal"/>
              <w:widowControl/>
              <w:suppressAutoHyphens w:val="true"/>
              <w:spacing w:before="0" w:after="0"/>
              <w:jc w:val="left"/>
              <w:rPr>
                <w:rFonts w:cs=""/>
                <w:kern w:val="0"/>
                <w:szCs w:val="22"/>
                <w:lang w:val="en-US" w:eastAsia="en-US" w:bidi="ar-SA"/>
              </w:rPr>
            </w:pPr>
            <w:r>
              <w:rPr>
                <w:rFonts w:cs="" w:ascii="Arial" w:hAnsi="Arial"/>
                <w:kern w:val="0"/>
                <w:sz w:val="17"/>
                <w:szCs w:val="22"/>
                <w:lang w:val="en-US" w:eastAsia="en-US" w:bidi="ar-SA"/>
              </w:rPr>
              <w:t>Measured throughput/reliability improvement and integrity data</w:t>
            </w:r>
          </w:p>
        </w:tc>
        <w:tc>
          <w:tcPr>
            <w:tcW w:w="2339" w:type="dxa"/>
            <w:tcBorders/>
            <w:tcMar>
              <w:top w:w="70" w:type="dxa"/>
              <w:start w:w="110" w:type="dxa"/>
              <w:bottom w:w="70" w:type="dxa"/>
              <w:end w:w="110" w:type="dxa"/>
            </w:tcMar>
            <w:shd w:fill="F4F6F7"/>
          </w:tcPr>
          <w:p>
            <w:pPr>
              <w:pStyle w:val="Normal"/>
              <w:widowControl/>
              <w:suppressAutoHyphens w:val="true"/>
              <w:spacing w:before="0" w:after="0"/>
              <w:jc w:val="left"/>
              <w:rPr>
                <w:rFonts w:cs=""/>
                <w:kern w:val="0"/>
                <w:szCs w:val="22"/>
                <w:lang w:val="en-US" w:eastAsia="en-US" w:bidi="ar-SA"/>
              </w:rPr>
            </w:pPr>
            <w:r>
              <w:rPr>
                <w:rFonts w:cs="" w:ascii="Arial" w:hAnsi="Arial"/>
                <w:kern w:val="0"/>
                <w:sz w:val="17"/>
                <w:szCs w:val="22"/>
                <w:lang w:val="en-US" w:eastAsia="en-US" w:bidi="ar-SA"/>
              </w:rPr>
              <w:t>Credit proportional to verified improvement.</w:t>
            </w:r>
          </w:p>
        </w:tc>
      </w:tr>
      <w:tr>
        <w:trPr>
          <w:cantSplit w:val="true"/>
        </w:trPr>
        <w:tc>
          <w:tcPr>
            <w:tcW w:w="2340" w:type="dxa"/>
            <w:tcBorders/>
            <w:tcMar>
              <w:top w:w="70" w:type="dxa"/>
              <w:start w:w="110" w:type="dxa"/>
              <w:bottom w:w="70" w:type="dxa"/>
              <w:end w:w="110" w:type="dxa"/>
            </w:tcMar>
          </w:tcPr>
          <w:p>
            <w:pPr>
              <w:pStyle w:val="Normal"/>
              <w:widowControl/>
              <w:suppressAutoHyphens w:val="true"/>
              <w:spacing w:before="0" w:after="0"/>
              <w:jc w:val="left"/>
              <w:rPr>
                <w:rFonts w:cs=""/>
                <w:kern w:val="0"/>
                <w:szCs w:val="22"/>
                <w:lang w:val="en-US" w:eastAsia="en-US" w:bidi="ar-SA"/>
              </w:rPr>
            </w:pPr>
            <w:r>
              <w:rPr>
                <w:rFonts w:cs="" w:ascii="Arial" w:hAnsi="Arial"/>
                <w:kern w:val="0"/>
                <w:sz w:val="17"/>
                <w:szCs w:val="22"/>
                <w:lang w:val="en-US" w:eastAsia="en-US" w:bidi="ar-SA"/>
              </w:rPr>
              <w:t>Electricity transmission/interconnection</w:t>
            </w:r>
          </w:p>
        </w:tc>
        <w:tc>
          <w:tcPr>
            <w:tcW w:w="2340" w:type="dxa"/>
            <w:tcBorders/>
            <w:tcMar>
              <w:top w:w="70" w:type="dxa"/>
              <w:start w:w="110" w:type="dxa"/>
              <w:bottom w:w="70" w:type="dxa"/>
              <w:end w:w="110" w:type="dxa"/>
            </w:tcMar>
          </w:tcPr>
          <w:p>
            <w:pPr>
              <w:pStyle w:val="Normal"/>
              <w:widowControl/>
              <w:suppressAutoHyphens w:val="true"/>
              <w:spacing w:before="0" w:after="0"/>
              <w:jc w:val="left"/>
              <w:rPr>
                <w:rFonts w:cs=""/>
                <w:kern w:val="0"/>
                <w:szCs w:val="22"/>
                <w:lang w:val="en-US" w:eastAsia="en-US" w:bidi="ar-SA"/>
              </w:rPr>
            </w:pPr>
            <w:r>
              <w:rPr>
                <w:rFonts w:cs="" w:ascii="Arial" w:hAnsi="Arial"/>
                <w:kern w:val="0"/>
                <w:sz w:val="17"/>
                <w:szCs w:val="22"/>
                <w:lang w:val="en-US" w:eastAsia="en-US" w:bidi="ar-SA"/>
              </w:rPr>
              <w:t>Grid reliability, data-centre support, emergency exchange capacity</w:t>
            </w:r>
          </w:p>
        </w:tc>
        <w:tc>
          <w:tcPr>
            <w:tcW w:w="2340" w:type="dxa"/>
            <w:tcBorders/>
            <w:tcMar>
              <w:top w:w="70" w:type="dxa"/>
              <w:start w:w="110" w:type="dxa"/>
              <w:bottom w:w="70" w:type="dxa"/>
              <w:end w:w="110" w:type="dxa"/>
            </w:tcMar>
          </w:tcPr>
          <w:p>
            <w:pPr>
              <w:pStyle w:val="Normal"/>
              <w:widowControl/>
              <w:suppressAutoHyphens w:val="true"/>
              <w:spacing w:before="0" w:after="0"/>
              <w:jc w:val="left"/>
              <w:rPr>
                <w:rFonts w:cs=""/>
                <w:kern w:val="0"/>
                <w:szCs w:val="22"/>
                <w:lang w:val="en-US" w:eastAsia="en-US" w:bidi="ar-SA"/>
              </w:rPr>
            </w:pPr>
            <w:r>
              <w:rPr>
                <w:rFonts w:cs="" w:ascii="Arial" w:hAnsi="Arial"/>
                <w:kern w:val="0"/>
                <w:sz w:val="17"/>
                <w:szCs w:val="22"/>
                <w:lang w:val="en-US" w:eastAsia="en-US" w:bidi="ar-SA"/>
              </w:rPr>
              <w:t>Commissioned transfer capability and reliability metrics</w:t>
            </w:r>
          </w:p>
        </w:tc>
        <w:tc>
          <w:tcPr>
            <w:tcW w:w="2339" w:type="dxa"/>
            <w:tcBorders/>
            <w:tcMar>
              <w:top w:w="70" w:type="dxa"/>
              <w:start w:w="110" w:type="dxa"/>
              <w:bottom w:w="70" w:type="dxa"/>
              <w:end w:w="110" w:type="dxa"/>
            </w:tcMar>
          </w:tcPr>
          <w:p>
            <w:pPr>
              <w:pStyle w:val="Normal"/>
              <w:widowControl/>
              <w:suppressAutoHyphens w:val="true"/>
              <w:spacing w:before="0" w:after="0"/>
              <w:jc w:val="left"/>
              <w:rPr>
                <w:rFonts w:cs=""/>
                <w:kern w:val="0"/>
                <w:szCs w:val="22"/>
                <w:lang w:val="en-US" w:eastAsia="en-US" w:bidi="ar-SA"/>
              </w:rPr>
            </w:pPr>
            <w:r>
              <w:rPr>
                <w:rFonts w:cs="" w:ascii="Arial" w:hAnsi="Arial"/>
                <w:kern w:val="0"/>
                <w:sz w:val="17"/>
                <w:szCs w:val="22"/>
                <w:lang w:val="en-US" w:eastAsia="en-US" w:bidi="ar-SA"/>
              </w:rPr>
              <w:t>Energy-security and resilience credit.</w:t>
            </w:r>
          </w:p>
        </w:tc>
      </w:tr>
      <w:tr>
        <w:trPr>
          <w:cantSplit w:val="true"/>
        </w:trPr>
        <w:tc>
          <w:tcPr>
            <w:tcW w:w="2340" w:type="dxa"/>
            <w:tcBorders/>
            <w:tcMar>
              <w:top w:w="70" w:type="dxa"/>
              <w:start w:w="110" w:type="dxa"/>
              <w:bottom w:w="70" w:type="dxa"/>
              <w:end w:w="110" w:type="dxa"/>
            </w:tcMar>
            <w:shd w:fill="F4F6F7"/>
          </w:tcPr>
          <w:p>
            <w:pPr>
              <w:pStyle w:val="Normal"/>
              <w:widowControl/>
              <w:suppressAutoHyphens w:val="true"/>
              <w:spacing w:before="0" w:after="0"/>
              <w:jc w:val="left"/>
              <w:rPr>
                <w:rFonts w:cs=""/>
                <w:kern w:val="0"/>
                <w:szCs w:val="22"/>
                <w:lang w:val="en-US" w:eastAsia="en-US" w:bidi="ar-SA"/>
              </w:rPr>
            </w:pPr>
            <w:r>
              <w:rPr>
                <w:rFonts w:cs="" w:ascii="Arial" w:hAnsi="Arial"/>
                <w:kern w:val="0"/>
                <w:sz w:val="17"/>
                <w:szCs w:val="22"/>
                <w:lang w:val="en-US" w:eastAsia="en-US" w:bidi="ar-SA"/>
              </w:rPr>
              <w:t>Storage/terminal/refinery access</w:t>
            </w:r>
          </w:p>
        </w:tc>
        <w:tc>
          <w:tcPr>
            <w:tcW w:w="2340" w:type="dxa"/>
            <w:tcBorders/>
            <w:tcMar>
              <w:top w:w="70" w:type="dxa"/>
              <w:start w:w="110" w:type="dxa"/>
              <w:bottom w:w="70" w:type="dxa"/>
              <w:end w:w="110" w:type="dxa"/>
            </w:tcMar>
            <w:shd w:fill="F4F6F7"/>
          </w:tcPr>
          <w:p>
            <w:pPr>
              <w:pStyle w:val="Normal"/>
              <w:widowControl/>
              <w:suppressAutoHyphens w:val="true"/>
              <w:spacing w:before="0" w:after="0"/>
              <w:jc w:val="left"/>
              <w:rPr>
                <w:rFonts w:cs=""/>
                <w:kern w:val="0"/>
                <w:szCs w:val="22"/>
                <w:lang w:val="en-US" w:eastAsia="en-US" w:bidi="ar-SA"/>
              </w:rPr>
            </w:pPr>
            <w:r>
              <w:rPr>
                <w:rFonts w:cs="" w:ascii="Arial" w:hAnsi="Arial"/>
                <w:kern w:val="0"/>
                <w:sz w:val="17"/>
                <w:szCs w:val="22"/>
                <w:lang w:val="en-US" w:eastAsia="en-US" w:bidi="ar-SA"/>
              </w:rPr>
              <w:t>Emergency resilience and market access</w:t>
            </w:r>
          </w:p>
        </w:tc>
        <w:tc>
          <w:tcPr>
            <w:tcW w:w="2340" w:type="dxa"/>
            <w:tcBorders/>
            <w:tcMar>
              <w:top w:w="70" w:type="dxa"/>
              <w:start w:w="110" w:type="dxa"/>
              <w:bottom w:w="70" w:type="dxa"/>
              <w:end w:w="110" w:type="dxa"/>
            </w:tcMar>
            <w:shd w:fill="F4F6F7"/>
          </w:tcPr>
          <w:p>
            <w:pPr>
              <w:pStyle w:val="Normal"/>
              <w:widowControl/>
              <w:suppressAutoHyphens w:val="true"/>
              <w:spacing w:before="0" w:after="0"/>
              <w:jc w:val="left"/>
              <w:rPr>
                <w:rFonts w:cs=""/>
                <w:kern w:val="0"/>
                <w:szCs w:val="22"/>
                <w:lang w:val="en-US" w:eastAsia="en-US" w:bidi="ar-SA"/>
              </w:rPr>
            </w:pPr>
            <w:r>
              <w:rPr>
                <w:rFonts w:cs="" w:ascii="Arial" w:hAnsi="Arial"/>
                <w:kern w:val="0"/>
                <w:sz w:val="17"/>
                <w:szCs w:val="22"/>
                <w:lang w:val="en-US" w:eastAsia="en-US" w:bidi="ar-SA"/>
              </w:rPr>
              <w:t>Usable storage, terminal, interconnection or refinery-feedstock capability</w:t>
            </w:r>
          </w:p>
        </w:tc>
        <w:tc>
          <w:tcPr>
            <w:tcW w:w="2339" w:type="dxa"/>
            <w:tcBorders/>
            <w:tcMar>
              <w:top w:w="70" w:type="dxa"/>
              <w:start w:w="110" w:type="dxa"/>
              <w:bottom w:w="70" w:type="dxa"/>
              <w:end w:w="110" w:type="dxa"/>
            </w:tcMar>
            <w:shd w:fill="F4F6F7"/>
          </w:tcPr>
          <w:p>
            <w:pPr>
              <w:pStyle w:val="Normal"/>
              <w:widowControl/>
              <w:suppressAutoHyphens w:val="true"/>
              <w:spacing w:before="0" w:after="0"/>
              <w:jc w:val="left"/>
              <w:rPr>
                <w:rFonts w:cs=""/>
                <w:kern w:val="0"/>
                <w:szCs w:val="22"/>
                <w:lang w:val="en-US" w:eastAsia="en-US" w:bidi="ar-SA"/>
              </w:rPr>
            </w:pPr>
            <w:r>
              <w:rPr>
                <w:rFonts w:cs="" w:ascii="Arial" w:hAnsi="Arial"/>
                <w:kern w:val="0"/>
                <w:sz w:val="17"/>
                <w:szCs w:val="22"/>
                <w:lang w:val="en-US" w:eastAsia="en-US" w:bidi="ar-SA"/>
              </w:rPr>
              <w:t>Resilience and market-access credit.</w:t>
            </w:r>
          </w:p>
        </w:tc>
      </w:tr>
      <w:tr>
        <w:trPr>
          <w:cantSplit w:val="true"/>
        </w:trPr>
        <w:tc>
          <w:tcPr>
            <w:tcW w:w="2340" w:type="dxa"/>
            <w:tcBorders/>
            <w:tcMar>
              <w:top w:w="70" w:type="dxa"/>
              <w:start w:w="110" w:type="dxa"/>
              <w:bottom w:w="70" w:type="dxa"/>
              <w:end w:w="110" w:type="dxa"/>
            </w:tcMar>
          </w:tcPr>
          <w:p>
            <w:pPr>
              <w:pStyle w:val="Normal"/>
              <w:widowControl/>
              <w:suppressAutoHyphens w:val="true"/>
              <w:spacing w:before="0" w:after="0"/>
              <w:jc w:val="left"/>
              <w:rPr>
                <w:rFonts w:cs=""/>
                <w:kern w:val="0"/>
                <w:szCs w:val="22"/>
                <w:lang w:val="en-US" w:eastAsia="en-US" w:bidi="ar-SA"/>
              </w:rPr>
            </w:pPr>
            <w:r>
              <w:rPr>
                <w:rFonts w:cs="" w:ascii="Arial" w:hAnsi="Arial"/>
                <w:kern w:val="0"/>
                <w:sz w:val="17"/>
                <w:szCs w:val="22"/>
                <w:lang w:val="en-US" w:eastAsia="en-US" w:bidi="ar-SA"/>
              </w:rPr>
              <w:t>Critical-mineral processing and recycling</w:t>
            </w:r>
          </w:p>
        </w:tc>
        <w:tc>
          <w:tcPr>
            <w:tcW w:w="2340" w:type="dxa"/>
            <w:tcBorders/>
            <w:tcMar>
              <w:top w:w="70" w:type="dxa"/>
              <w:start w:w="110" w:type="dxa"/>
              <w:bottom w:w="70" w:type="dxa"/>
              <w:end w:w="110" w:type="dxa"/>
            </w:tcMar>
          </w:tcPr>
          <w:p>
            <w:pPr>
              <w:pStyle w:val="Normal"/>
              <w:widowControl/>
              <w:suppressAutoHyphens w:val="true"/>
              <w:spacing w:before="0" w:after="0"/>
              <w:jc w:val="left"/>
              <w:rPr>
                <w:rFonts w:cs=""/>
                <w:kern w:val="0"/>
                <w:szCs w:val="22"/>
                <w:lang w:val="en-US" w:eastAsia="en-US" w:bidi="ar-SA"/>
              </w:rPr>
            </w:pPr>
            <w:r>
              <w:rPr>
                <w:rFonts w:cs="" w:ascii="Arial" w:hAnsi="Arial"/>
                <w:kern w:val="0"/>
                <w:sz w:val="17"/>
                <w:szCs w:val="22"/>
                <w:lang w:val="en-US" w:eastAsia="en-US" w:bidi="ar-SA"/>
              </w:rPr>
              <w:t>Strategic-material security and industrial resilience</w:t>
            </w:r>
          </w:p>
        </w:tc>
        <w:tc>
          <w:tcPr>
            <w:tcW w:w="2340" w:type="dxa"/>
            <w:tcBorders/>
            <w:tcMar>
              <w:top w:w="70" w:type="dxa"/>
              <w:start w:w="110" w:type="dxa"/>
              <w:bottom w:w="70" w:type="dxa"/>
              <w:end w:w="110" w:type="dxa"/>
            </w:tcMar>
          </w:tcPr>
          <w:p>
            <w:pPr>
              <w:pStyle w:val="Normal"/>
              <w:widowControl/>
              <w:suppressAutoHyphens w:val="true"/>
              <w:spacing w:before="0" w:after="0"/>
              <w:jc w:val="left"/>
              <w:rPr>
                <w:rFonts w:cs=""/>
                <w:kern w:val="0"/>
                <w:szCs w:val="22"/>
                <w:lang w:val="en-US" w:eastAsia="en-US" w:bidi="ar-SA"/>
              </w:rPr>
            </w:pPr>
            <w:r>
              <w:rPr>
                <w:rFonts w:cs="" w:ascii="Arial" w:hAnsi="Arial"/>
                <w:kern w:val="0"/>
                <w:sz w:val="17"/>
                <w:szCs w:val="22"/>
                <w:lang w:val="en-US" w:eastAsia="en-US" w:bidi="ar-SA"/>
              </w:rPr>
              <w:t>Verified North American processing/recovery capacity</w:t>
            </w:r>
          </w:p>
        </w:tc>
        <w:tc>
          <w:tcPr>
            <w:tcW w:w="2339" w:type="dxa"/>
            <w:tcBorders/>
            <w:tcMar>
              <w:top w:w="70" w:type="dxa"/>
              <w:start w:w="110" w:type="dxa"/>
              <w:bottom w:w="70" w:type="dxa"/>
              <w:end w:w="110" w:type="dxa"/>
            </w:tcMar>
          </w:tcPr>
          <w:p>
            <w:pPr>
              <w:pStyle w:val="Normal"/>
              <w:widowControl/>
              <w:suppressAutoHyphens w:val="true"/>
              <w:spacing w:before="0" w:after="0"/>
              <w:jc w:val="left"/>
              <w:rPr>
                <w:rFonts w:cs=""/>
                <w:kern w:val="0"/>
                <w:szCs w:val="22"/>
                <w:lang w:val="en-US" w:eastAsia="en-US" w:bidi="ar-SA"/>
              </w:rPr>
            </w:pPr>
            <w:r>
              <w:rPr>
                <w:rFonts w:cs="" w:ascii="Arial" w:hAnsi="Arial"/>
                <w:kern w:val="0"/>
                <w:sz w:val="17"/>
                <w:szCs w:val="22"/>
                <w:lang w:val="en-US" w:eastAsia="en-US" w:bidi="ar-SA"/>
              </w:rPr>
              <w:t>Strategic-material and resilience credit.</w:t>
            </w:r>
          </w:p>
        </w:tc>
      </w:tr>
      <w:tr>
        <w:trPr>
          <w:cantSplit w:val="true"/>
        </w:trPr>
        <w:tc>
          <w:tcPr>
            <w:tcW w:w="2340" w:type="dxa"/>
            <w:tcBorders/>
            <w:tcMar>
              <w:top w:w="70" w:type="dxa"/>
              <w:start w:w="110" w:type="dxa"/>
              <w:bottom w:w="70" w:type="dxa"/>
              <w:end w:w="110" w:type="dxa"/>
            </w:tcMar>
            <w:shd w:fill="F4F6F7"/>
          </w:tcPr>
          <w:p>
            <w:pPr>
              <w:pStyle w:val="Normal"/>
              <w:widowControl/>
              <w:suppressAutoHyphens w:val="true"/>
              <w:spacing w:before="0" w:after="0"/>
              <w:jc w:val="left"/>
              <w:rPr>
                <w:rFonts w:cs=""/>
                <w:kern w:val="0"/>
                <w:szCs w:val="22"/>
                <w:lang w:val="en-US" w:eastAsia="en-US" w:bidi="ar-SA"/>
              </w:rPr>
            </w:pPr>
            <w:r>
              <w:rPr>
                <w:rFonts w:cs="" w:ascii="Arial" w:hAnsi="Arial"/>
                <w:kern w:val="0"/>
                <w:sz w:val="17"/>
                <w:szCs w:val="22"/>
                <w:lang w:val="en-US" w:eastAsia="en-US" w:bidi="ar-SA"/>
              </w:rPr>
              <w:t>Spill response, leak detection, methane, integrity modernization</w:t>
            </w:r>
          </w:p>
        </w:tc>
        <w:tc>
          <w:tcPr>
            <w:tcW w:w="2340" w:type="dxa"/>
            <w:tcBorders/>
            <w:tcMar>
              <w:top w:w="70" w:type="dxa"/>
              <w:start w:w="110" w:type="dxa"/>
              <w:bottom w:w="70" w:type="dxa"/>
              <w:end w:w="110" w:type="dxa"/>
            </w:tcMar>
            <w:shd w:fill="F4F6F7"/>
          </w:tcPr>
          <w:p>
            <w:pPr>
              <w:pStyle w:val="Normal"/>
              <w:widowControl/>
              <w:suppressAutoHyphens w:val="true"/>
              <w:spacing w:before="0" w:after="0"/>
              <w:jc w:val="left"/>
              <w:rPr>
                <w:rFonts w:cs=""/>
                <w:kern w:val="0"/>
                <w:szCs w:val="22"/>
                <w:lang w:val="en-US" w:eastAsia="en-US" w:bidi="ar-SA"/>
              </w:rPr>
            </w:pPr>
            <w:r>
              <w:rPr>
                <w:rFonts w:cs="" w:ascii="Arial" w:hAnsi="Arial"/>
                <w:kern w:val="0"/>
                <w:sz w:val="17"/>
                <w:szCs w:val="22"/>
                <w:lang w:val="en-US" w:eastAsia="en-US" w:bidi="ar-SA"/>
              </w:rPr>
              <w:t>Environmental and operational risk reduction</w:t>
            </w:r>
          </w:p>
        </w:tc>
        <w:tc>
          <w:tcPr>
            <w:tcW w:w="2340" w:type="dxa"/>
            <w:tcBorders/>
            <w:tcMar>
              <w:top w:w="70" w:type="dxa"/>
              <w:start w:w="110" w:type="dxa"/>
              <w:bottom w:w="70" w:type="dxa"/>
              <w:end w:w="110" w:type="dxa"/>
            </w:tcMar>
            <w:shd w:fill="F4F6F7"/>
          </w:tcPr>
          <w:p>
            <w:pPr>
              <w:pStyle w:val="Normal"/>
              <w:widowControl/>
              <w:suppressAutoHyphens w:val="true"/>
              <w:spacing w:before="0" w:after="0"/>
              <w:jc w:val="left"/>
              <w:rPr>
                <w:rFonts w:cs=""/>
                <w:kern w:val="0"/>
                <w:szCs w:val="22"/>
                <w:lang w:val="en-US" w:eastAsia="en-US" w:bidi="ar-SA"/>
              </w:rPr>
            </w:pPr>
            <w:r>
              <w:rPr>
                <w:rFonts w:cs="" w:ascii="Arial" w:hAnsi="Arial"/>
                <w:kern w:val="0"/>
                <w:sz w:val="17"/>
                <w:szCs w:val="22"/>
                <w:lang w:val="en-US" w:eastAsia="en-US" w:bidi="ar-SA"/>
              </w:rPr>
              <w:t>Performance testing, incident-response readiness and verified deployment</w:t>
            </w:r>
          </w:p>
        </w:tc>
        <w:tc>
          <w:tcPr>
            <w:tcW w:w="2339" w:type="dxa"/>
            <w:tcBorders/>
            <w:tcMar>
              <w:top w:w="70" w:type="dxa"/>
              <w:start w:w="110" w:type="dxa"/>
              <w:bottom w:w="70" w:type="dxa"/>
              <w:end w:w="110" w:type="dxa"/>
            </w:tcMar>
            <w:shd w:fill="F4F6F7"/>
          </w:tcPr>
          <w:p>
            <w:pPr>
              <w:pStyle w:val="Normal"/>
              <w:widowControl/>
              <w:suppressAutoHyphens w:val="true"/>
              <w:spacing w:before="0" w:after="0"/>
              <w:jc w:val="left"/>
              <w:rPr>
                <w:rFonts w:cs=""/>
                <w:kern w:val="0"/>
                <w:szCs w:val="22"/>
                <w:lang w:val="en-US" w:eastAsia="en-US" w:bidi="ar-SA"/>
              </w:rPr>
            </w:pPr>
            <w:r>
              <w:rPr>
                <w:rFonts w:cs="" w:ascii="Arial" w:hAnsi="Arial"/>
                <w:kern w:val="0"/>
                <w:sz w:val="17"/>
                <w:szCs w:val="22"/>
                <w:lang w:val="en-US" w:eastAsia="en-US" w:bidi="ar-SA"/>
              </w:rPr>
              <w:t>Safety/environmental credit; no substitute capacity unless actual capacity effect is verified.</w:t>
            </w:r>
          </w:p>
        </w:tc>
      </w:tr>
      <w:tr>
        <w:trPr>
          <w:cantSplit w:val="true"/>
        </w:trPr>
        <w:tc>
          <w:tcPr>
            <w:tcW w:w="2340" w:type="dxa"/>
            <w:tcBorders/>
            <w:tcMar>
              <w:top w:w="70" w:type="dxa"/>
              <w:start w:w="110" w:type="dxa"/>
              <w:bottom w:w="70" w:type="dxa"/>
              <w:end w:w="110" w:type="dxa"/>
            </w:tcMar>
          </w:tcPr>
          <w:p>
            <w:pPr>
              <w:pStyle w:val="Normal"/>
              <w:widowControl/>
              <w:suppressAutoHyphens w:val="true"/>
              <w:spacing w:before="0" w:after="0"/>
              <w:jc w:val="left"/>
              <w:rPr>
                <w:rFonts w:cs=""/>
                <w:kern w:val="0"/>
                <w:szCs w:val="22"/>
                <w:lang w:val="en-US" w:eastAsia="en-US" w:bidi="ar-SA"/>
              </w:rPr>
            </w:pPr>
            <w:r>
              <w:rPr>
                <w:rFonts w:cs="" w:ascii="Arial" w:hAnsi="Arial"/>
                <w:kern w:val="0"/>
                <w:sz w:val="17"/>
                <w:szCs w:val="22"/>
                <w:lang w:val="en-US" w:eastAsia="en-US" w:bidi="ar-SA"/>
              </w:rPr>
              <w:t>Heavy-oil, CCS and energy R&amp;D</w:t>
            </w:r>
          </w:p>
        </w:tc>
        <w:tc>
          <w:tcPr>
            <w:tcW w:w="2340" w:type="dxa"/>
            <w:tcBorders/>
            <w:tcMar>
              <w:top w:w="70" w:type="dxa"/>
              <w:start w:w="110" w:type="dxa"/>
              <w:bottom w:w="70" w:type="dxa"/>
              <w:end w:w="110" w:type="dxa"/>
            </w:tcMar>
          </w:tcPr>
          <w:p>
            <w:pPr>
              <w:pStyle w:val="Normal"/>
              <w:widowControl/>
              <w:suppressAutoHyphens w:val="true"/>
              <w:spacing w:before="0" w:after="0"/>
              <w:jc w:val="left"/>
              <w:rPr>
                <w:rFonts w:cs=""/>
                <w:kern w:val="0"/>
                <w:szCs w:val="22"/>
                <w:lang w:val="en-US" w:eastAsia="en-US" w:bidi="ar-SA"/>
              </w:rPr>
            </w:pPr>
            <w:r>
              <w:rPr>
                <w:rFonts w:cs="" w:ascii="Arial" w:hAnsi="Arial"/>
                <w:kern w:val="0"/>
                <w:sz w:val="17"/>
                <w:szCs w:val="22"/>
                <w:lang w:val="en-US" w:eastAsia="en-US" w:bidi="ar-SA"/>
              </w:rPr>
              <w:t>Productivity, emissions performance, technology development</w:t>
            </w:r>
          </w:p>
        </w:tc>
        <w:tc>
          <w:tcPr>
            <w:tcW w:w="2340" w:type="dxa"/>
            <w:tcBorders/>
            <w:tcMar>
              <w:top w:w="70" w:type="dxa"/>
              <w:start w:w="110" w:type="dxa"/>
              <w:bottom w:w="70" w:type="dxa"/>
              <w:end w:w="110" w:type="dxa"/>
            </w:tcMar>
          </w:tcPr>
          <w:p>
            <w:pPr>
              <w:pStyle w:val="Normal"/>
              <w:widowControl/>
              <w:suppressAutoHyphens w:val="true"/>
              <w:spacing w:before="0" w:after="0"/>
              <w:jc w:val="left"/>
              <w:rPr>
                <w:rFonts w:cs=""/>
                <w:kern w:val="0"/>
                <w:szCs w:val="22"/>
                <w:lang w:val="en-US" w:eastAsia="en-US" w:bidi="ar-SA"/>
              </w:rPr>
            </w:pPr>
            <w:r>
              <w:rPr>
                <w:rFonts w:cs="" w:ascii="Arial" w:hAnsi="Arial"/>
                <w:kern w:val="0"/>
                <w:sz w:val="17"/>
                <w:szCs w:val="22"/>
                <w:lang w:val="en-US" w:eastAsia="en-US" w:bidi="ar-SA"/>
              </w:rPr>
              <w:t>Completed research milestones and independent validation</w:t>
            </w:r>
          </w:p>
        </w:tc>
        <w:tc>
          <w:tcPr>
            <w:tcW w:w="2339" w:type="dxa"/>
            <w:tcBorders/>
            <w:tcMar>
              <w:top w:w="70" w:type="dxa"/>
              <w:start w:w="110" w:type="dxa"/>
              <w:bottom w:w="70" w:type="dxa"/>
              <w:end w:w="110" w:type="dxa"/>
            </w:tcMar>
          </w:tcPr>
          <w:p>
            <w:pPr>
              <w:pStyle w:val="Normal"/>
              <w:widowControl/>
              <w:suppressAutoHyphens w:val="true"/>
              <w:spacing w:before="0" w:after="0"/>
              <w:jc w:val="left"/>
              <w:rPr>
                <w:rFonts w:cs=""/>
                <w:kern w:val="0"/>
                <w:szCs w:val="22"/>
                <w:lang w:val="en-US" w:eastAsia="en-US" w:bidi="ar-SA"/>
              </w:rPr>
            </w:pPr>
            <w:r>
              <w:rPr>
                <w:rFonts w:cs="" w:ascii="Arial" w:hAnsi="Arial"/>
                <w:kern w:val="0"/>
                <w:sz w:val="17"/>
                <w:szCs w:val="22"/>
                <w:lang w:val="en-US" w:eastAsia="en-US" w:bidi="ar-SA"/>
              </w:rPr>
              <w:t>Innovation credit; capacity credit only after demonstrated operational performance.</w:t>
            </w:r>
          </w:p>
        </w:tc>
      </w:tr>
      <w:tr>
        <w:trPr>
          <w:cantSplit w:val="true"/>
        </w:trPr>
        <w:tc>
          <w:tcPr>
            <w:tcW w:w="2340" w:type="dxa"/>
            <w:tcBorders/>
            <w:tcMar>
              <w:top w:w="70" w:type="dxa"/>
              <w:start w:w="110" w:type="dxa"/>
              <w:bottom w:w="70" w:type="dxa"/>
              <w:end w:w="110" w:type="dxa"/>
            </w:tcMar>
            <w:shd w:fill="F4F6F7"/>
          </w:tcPr>
          <w:p>
            <w:pPr>
              <w:pStyle w:val="Normal"/>
              <w:widowControl/>
              <w:suppressAutoHyphens w:val="true"/>
              <w:spacing w:before="0" w:after="0"/>
              <w:jc w:val="left"/>
              <w:rPr>
                <w:rFonts w:cs=""/>
                <w:kern w:val="0"/>
                <w:szCs w:val="22"/>
                <w:lang w:val="en-US" w:eastAsia="en-US" w:bidi="ar-SA"/>
              </w:rPr>
            </w:pPr>
            <w:r>
              <w:rPr>
                <w:rFonts w:cs="" w:ascii="Arial" w:hAnsi="Arial"/>
                <w:kern w:val="0"/>
                <w:sz w:val="17"/>
                <w:szCs w:val="22"/>
                <w:lang w:val="en-US" w:eastAsia="en-US" w:bidi="ar-SA"/>
              </w:rPr>
              <w:t>Workforce and regulator cooperation</w:t>
            </w:r>
          </w:p>
        </w:tc>
        <w:tc>
          <w:tcPr>
            <w:tcW w:w="2340" w:type="dxa"/>
            <w:tcBorders/>
            <w:tcMar>
              <w:top w:w="70" w:type="dxa"/>
              <w:start w:w="110" w:type="dxa"/>
              <w:bottom w:w="70" w:type="dxa"/>
              <w:end w:w="110" w:type="dxa"/>
            </w:tcMar>
            <w:shd w:fill="F4F6F7"/>
          </w:tcPr>
          <w:p>
            <w:pPr>
              <w:pStyle w:val="Normal"/>
              <w:widowControl/>
              <w:suppressAutoHyphens w:val="true"/>
              <w:spacing w:before="0" w:after="0"/>
              <w:jc w:val="left"/>
              <w:rPr>
                <w:rFonts w:cs=""/>
                <w:kern w:val="0"/>
                <w:szCs w:val="22"/>
                <w:lang w:val="en-US" w:eastAsia="en-US" w:bidi="ar-SA"/>
              </w:rPr>
            </w:pPr>
            <w:r>
              <w:rPr>
                <w:rFonts w:cs="" w:ascii="Arial" w:hAnsi="Arial"/>
                <w:kern w:val="0"/>
                <w:sz w:val="17"/>
                <w:szCs w:val="22"/>
                <w:lang w:val="en-US" w:eastAsia="en-US" w:bidi="ar-SA"/>
              </w:rPr>
              <w:t>Readiness, execution speed, regulatory predictability</w:t>
            </w:r>
          </w:p>
        </w:tc>
        <w:tc>
          <w:tcPr>
            <w:tcW w:w="2340" w:type="dxa"/>
            <w:tcBorders/>
            <w:tcMar>
              <w:top w:w="70" w:type="dxa"/>
              <w:start w:w="110" w:type="dxa"/>
              <w:bottom w:w="70" w:type="dxa"/>
              <w:end w:w="110" w:type="dxa"/>
            </w:tcMar>
            <w:shd w:fill="F4F6F7"/>
          </w:tcPr>
          <w:p>
            <w:pPr>
              <w:pStyle w:val="Normal"/>
              <w:widowControl/>
              <w:suppressAutoHyphens w:val="true"/>
              <w:spacing w:before="0" w:after="0"/>
              <w:jc w:val="left"/>
              <w:rPr>
                <w:rFonts w:cs=""/>
                <w:kern w:val="0"/>
                <w:szCs w:val="22"/>
                <w:lang w:val="en-US" w:eastAsia="en-US" w:bidi="ar-SA"/>
              </w:rPr>
            </w:pPr>
            <w:r>
              <w:rPr>
                <w:rFonts w:cs="" w:ascii="Arial" w:hAnsi="Arial"/>
                <w:kern w:val="0"/>
                <w:sz w:val="17"/>
                <w:szCs w:val="22"/>
                <w:lang w:val="en-US" w:eastAsia="en-US" w:bidi="ar-SA"/>
              </w:rPr>
              <w:t>Credential, training, exchange and processing metrics</w:t>
            </w:r>
          </w:p>
        </w:tc>
        <w:tc>
          <w:tcPr>
            <w:tcW w:w="2339" w:type="dxa"/>
            <w:tcBorders/>
            <w:tcMar>
              <w:top w:w="70" w:type="dxa"/>
              <w:start w:w="110" w:type="dxa"/>
              <w:bottom w:w="70" w:type="dxa"/>
              <w:end w:w="110" w:type="dxa"/>
            </w:tcMar>
            <w:shd w:fill="F4F6F7"/>
          </w:tcPr>
          <w:p>
            <w:pPr>
              <w:pStyle w:val="Normal"/>
              <w:widowControl/>
              <w:suppressAutoHyphens w:val="true"/>
              <w:spacing w:before="0" w:after="0"/>
              <w:jc w:val="left"/>
              <w:rPr>
                <w:rFonts w:cs=""/>
                <w:kern w:val="0"/>
                <w:szCs w:val="22"/>
                <w:lang w:val="en-US" w:eastAsia="en-US" w:bidi="ar-SA"/>
              </w:rPr>
            </w:pPr>
            <w:r>
              <w:rPr>
                <w:rFonts w:cs="" w:ascii="Arial" w:hAnsi="Arial"/>
                <w:kern w:val="0"/>
                <w:sz w:val="17"/>
                <w:szCs w:val="22"/>
                <w:lang w:val="en-US" w:eastAsia="en-US" w:bidi="ar-SA"/>
              </w:rPr>
              <w:t>Workforce/readiness credit where an implementing schedule uses such metrics.</w:t>
            </w:r>
          </w:p>
        </w:tc>
      </w:tr>
      <w:tr>
        <w:trPr>
          <w:cantSplit w:val="true"/>
        </w:trPr>
        <w:tc>
          <w:tcPr>
            <w:tcW w:w="2340" w:type="dxa"/>
            <w:tcBorders/>
            <w:tcMar>
              <w:top w:w="70" w:type="dxa"/>
              <w:start w:w="110" w:type="dxa"/>
              <w:bottom w:w="70" w:type="dxa"/>
              <w:end w:w="110" w:type="dxa"/>
            </w:tcMar>
          </w:tcPr>
          <w:p>
            <w:pPr>
              <w:pStyle w:val="Normal"/>
              <w:widowControl/>
              <w:suppressAutoHyphens w:val="true"/>
              <w:spacing w:before="0" w:after="0"/>
              <w:jc w:val="left"/>
              <w:rPr>
                <w:rFonts w:cs=""/>
                <w:kern w:val="0"/>
                <w:szCs w:val="22"/>
                <w:lang w:val="en-US" w:eastAsia="en-US" w:bidi="ar-SA"/>
              </w:rPr>
            </w:pPr>
            <w:r>
              <w:rPr>
                <w:rFonts w:cs="" w:ascii="Arial" w:hAnsi="Arial"/>
                <w:kern w:val="0"/>
                <w:sz w:val="17"/>
                <w:szCs w:val="22"/>
                <w:lang w:val="en-US" w:eastAsia="en-US" w:bidi="ar-SA"/>
              </w:rPr>
              <w:t>Experimental technology pathway</w:t>
            </w:r>
          </w:p>
        </w:tc>
        <w:tc>
          <w:tcPr>
            <w:tcW w:w="2340" w:type="dxa"/>
            <w:tcBorders/>
            <w:tcMar>
              <w:top w:w="70" w:type="dxa"/>
              <w:start w:w="110" w:type="dxa"/>
              <w:bottom w:w="70" w:type="dxa"/>
              <w:end w:w="110" w:type="dxa"/>
            </w:tcMar>
          </w:tcPr>
          <w:p>
            <w:pPr>
              <w:pStyle w:val="Normal"/>
              <w:widowControl/>
              <w:suppressAutoHyphens w:val="true"/>
              <w:spacing w:before="0" w:after="0"/>
              <w:jc w:val="left"/>
              <w:rPr>
                <w:rFonts w:cs=""/>
                <w:kern w:val="0"/>
                <w:szCs w:val="22"/>
                <w:lang w:val="en-US" w:eastAsia="en-US" w:bidi="ar-SA"/>
              </w:rPr>
            </w:pPr>
            <w:r>
              <w:rPr>
                <w:rFonts w:cs="" w:ascii="Arial" w:hAnsi="Arial"/>
                <w:kern w:val="0"/>
                <w:sz w:val="17"/>
                <w:szCs w:val="22"/>
                <w:lang w:val="en-US" w:eastAsia="en-US" w:bidi="ar-SA"/>
              </w:rPr>
              <w:t>Potential future logistics, resilience or capacity</w:t>
            </w:r>
          </w:p>
        </w:tc>
        <w:tc>
          <w:tcPr>
            <w:tcW w:w="2340" w:type="dxa"/>
            <w:tcBorders/>
            <w:tcMar>
              <w:top w:w="70" w:type="dxa"/>
              <w:start w:w="110" w:type="dxa"/>
              <w:bottom w:w="70" w:type="dxa"/>
              <w:end w:w="110" w:type="dxa"/>
            </w:tcMar>
          </w:tcPr>
          <w:p>
            <w:pPr>
              <w:pStyle w:val="Normal"/>
              <w:widowControl/>
              <w:suppressAutoHyphens w:val="true"/>
              <w:spacing w:before="0" w:after="0"/>
              <w:jc w:val="left"/>
              <w:rPr>
                <w:rFonts w:cs=""/>
                <w:kern w:val="0"/>
                <w:szCs w:val="22"/>
                <w:lang w:val="en-US" w:eastAsia="en-US" w:bidi="ar-SA"/>
              </w:rPr>
            </w:pPr>
            <w:r>
              <w:rPr>
                <w:rFonts w:cs="" w:ascii="Arial" w:hAnsi="Arial"/>
                <w:kern w:val="0"/>
                <w:sz w:val="17"/>
                <w:szCs w:val="22"/>
                <w:lang w:val="en-US" w:eastAsia="en-US" w:bidi="ar-SA"/>
              </w:rPr>
              <w:t>Chapter 39 iterative validation and Revalidation Gate</w:t>
            </w:r>
          </w:p>
        </w:tc>
        <w:tc>
          <w:tcPr>
            <w:tcW w:w="2339" w:type="dxa"/>
            <w:tcBorders/>
            <w:tcMar>
              <w:top w:w="70" w:type="dxa"/>
              <w:start w:w="110" w:type="dxa"/>
              <w:bottom w:w="70" w:type="dxa"/>
              <w:end w:w="110" w:type="dxa"/>
            </w:tcMar>
          </w:tcPr>
          <w:p>
            <w:pPr>
              <w:pStyle w:val="Normal"/>
              <w:widowControl/>
              <w:suppressAutoHyphens w:val="true"/>
              <w:spacing w:before="0" w:after="0"/>
              <w:jc w:val="left"/>
              <w:rPr>
                <w:rFonts w:cs=""/>
                <w:kern w:val="0"/>
                <w:szCs w:val="22"/>
                <w:lang w:val="en-US" w:eastAsia="en-US" w:bidi="ar-SA"/>
              </w:rPr>
            </w:pPr>
            <w:r>
              <w:rPr>
                <w:rFonts w:cs="" w:ascii="Arial" w:hAnsi="Arial"/>
                <w:kern w:val="0"/>
                <w:sz w:val="17"/>
                <w:szCs w:val="22"/>
                <w:lang w:val="en-US" w:eastAsia="en-US" w:bidi="ar-SA"/>
              </w:rPr>
              <w:t>Innovation credit during development; operational credits only after validation.</w:t>
            </w:r>
          </w:p>
        </w:tc>
      </w:tr>
    </w:tbl>
    <w:p>
      <w:pPr>
        <w:pStyle w:val="Normal"/>
        <w:widowControl/>
        <w:rPr/>
      </w:pPr>
      <w:r>
        <w:rPr/>
        <w:t>Interpretive Note. The Matrix is illustrative and function-based. It does not compel a Party to select any pathway or to treat unlike outcomes as equivalent. Performance thresholds, where used, shall be objective, auditable, technology-neutral, and subject to the No Named-Project Obligation.</w:t>
      </w:r>
    </w:p>
    <w:p>
      <w:pPr>
        <w:pStyle w:val="Normal"/>
        <w:widowControl/>
        <w:rPr/>
      </w:pPr>
      <w:r>
        <w:rPr/>
        <w:t>Integrated Infrastructure Simulation Note. Eligibility for the simulation initiative shall be technology-neutral and may include integrated combinations of power, storage, flexible compute, thermal management, desalination or other water production, grid services, and related infrastructure. Selection for simulation is not selection for procurement or construction.</w:t>
      </w:r>
    </w:p>
    <w:p>
      <w:pPr>
        <w:pStyle w:val="Normal"/>
        <w:widowControl/>
        <w:rPr/>
      </w:pPr>
      <w:r>
        <w:rPr/>
        <w:t>Initial Reference Nominations. A Party may identify candidate reference architectures in a non-binding implementation record under Article 40.44. The record shall disclose any non-governmental origin and state expressly that listing creates no entitlement, endorsement, certification, exclusivity, procurement preference, or funding commitment.</w:t>
      </w:r>
    </w:p>
    <w:p>
      <w:pPr>
        <w:pStyle w:val="Normal"/>
        <w:widowControl/>
        <w:rPr/>
      </w:pPr>
      <w:r>
        <w:rPr/>
        <w:t>Simulation Metrics. Where applicable, studies may report electricity balance and dispatch; dependable and flexible capacity; compute-load flexibility; freshwater output and quality assumptions; desalination energy intensity; thermal recovery and useful-heat disposition; storage performance; grid-service value; capital and operating sensitivity; emissions and environmental considerations; infrastructure requirements; and material technical uncertainties.</w:t>
      </w:r>
    </w:p>
    <w:p>
      <w:pPr>
        <w:pStyle w:val="Normal"/>
        <w:widowControl/>
        <w:rPr/>
      </w:pPr>
      <w:r>
        <w:rPr/>
        <w:t>Functional Energy Credit Note. Simulation, research, or experimental activity earns innovation or research credit only. It does not earn physical-capacity, supply-security, freshwater-delivery, or throughput credit until the relevant operational capability has been independently demonstrated under the applicable verification method.</w:t>
      </w:r>
      <w:r>
        <w:br w:type="page"/>
      </w:r>
    </w:p>
    <w:p>
      <w:bookmarkStart w:id="1687" w:name="_NAESTMA_TOC_1687"/>
      <w:pPr>
        <w:pStyle w:val="Heading1"/>
        <w:keepNext/>
        <w:keepLines w:val="0"/>
        <w:pageBreakBefore/>
        <w:widowControl/>
        <w:rPr/>
      </w:pPr>
      <w:bookmarkStart w:id="289" w:name="_Toc237912770"/>
      <w:r>
        <w:rPr/>
        <w:t>CHAPTER 41</w:t>
      </w:r>
      <w:bookmarkEnd w:id="289"/>
      <w:bookmarkEnd w:id="1687"/>
    </w:p>
    <w:p>
      <w:bookmarkStart w:id="1688" w:name="_NAESTMA_TOC_1688"/>
      <w:pPr>
        <w:pStyle w:val="Heading2"/>
        <w:keepNext/>
        <w:pageBreakBefore w:val="false"/>
        <w:widowControl/>
        <w:rPr/>
      </w:pPr>
      <w:bookmarkStart w:id="290" w:name="_Toc237912771"/>
      <w:r>
        <w:rPr/>
        <w:t>DOMESTIC SOVEREIGNTY AND REGULATORY AUTONOMY</w:t>
      </w:r>
      <w:bookmarkEnd w:id="290"/>
      <w:bookmarkEnd w:id="1688"/>
    </w:p>
    <w:p>
      <w:pPr>
        <w:pStyle w:val="Heading3"/>
        <w:keepNext/>
        <w:widowControl/>
        <w:rPr/>
      </w:pPr>
      <w:r>
        <w:rPr/>
        <w:t>Article 41.1: Governing Principle</w:t>
      </w:r>
    </w:p>
    <w:p>
      <w:pPr>
        <w:pStyle w:val="Normal"/>
        <w:widowControl/>
        <w:rPr/>
      </w:pPr>
      <w:r>
        <w:rPr/>
        <w:t>1. Each Party retains the sovereign right to determine its domestic level of protection and to adopt, maintain, revise, or repeal measures pursuing legitimate public objectives. Market access under this Agreement does not confer authority on another Party to direct the regulating Party's domestic social, health, environmental, cultural, technological, immigration, natural-resource, or public-administration policy.</w:t>
      </w:r>
    </w:p>
    <w:p>
      <w:pPr>
        <w:pStyle w:val="Normal"/>
        <w:widowControl/>
        <w:rPr/>
      </w:pPr>
      <w:r>
        <w:rPr/>
        <w:t>2. A measure protected by this Chapter remains subject to national treatment and the prohibition on disguised discrimination. Regulatory autonomy does not authorize a Party to reproduce the economic effect of a prohibited tariff under another name.</w:t>
      </w:r>
    </w:p>
    <w:p>
      <w:pPr>
        <w:pStyle w:val="Heading3"/>
        <w:keepNext/>
        <w:widowControl/>
        <w:rPr/>
      </w:pPr>
      <w:r>
        <w:rPr/>
        <w:t>Article 41.2: Climate, Energy, and Environmental Policy Space</w:t>
      </w:r>
    </w:p>
    <w:p>
      <w:pPr>
        <w:pStyle w:val="Normal"/>
        <w:widowControl/>
        <w:rPr/>
      </w:pPr>
      <w:r>
        <w:rPr/>
        <w:t>1. A Party may establish carbon-pricing systems, emissions limits, renewable-energy requirements, efficiency standards, pollution controls, circular-economy measures, and conservation policies, including standards more protective than those of another Party, provided the measure is not designed or administered to discriminate against another Party's originating trade.</w:t>
      </w:r>
    </w:p>
    <w:p>
      <w:pPr>
        <w:pStyle w:val="Normal"/>
        <w:widowControl/>
        <w:rPr/>
      </w:pPr>
      <w:r>
        <w:rPr/>
        <w:t>2. Differences in policy instrument, ambition, technology choice, or level of environmental protection do not by themselves establish a violation.</w:t>
      </w:r>
    </w:p>
    <w:p>
      <w:pPr>
        <w:pStyle w:val="Heading3"/>
        <w:keepNext/>
        <w:widowControl/>
        <w:rPr/>
      </w:pPr>
      <w:r>
        <w:rPr/>
        <w:t>Article 41.3: Public Health, Therapeutic Products, and Scientific Regulation</w:t>
      </w:r>
    </w:p>
    <w:p>
      <w:pPr>
        <w:pStyle w:val="Normal"/>
        <w:widowControl/>
        <w:rPr/>
      </w:pPr>
      <w:r>
        <w:rPr/>
        <w:t>1. Each Party retains authority over pharmaceutical and medical-device approval, reimbursement and pricing, food and product safety, pesticides, chemicals, and public-health measures.</w:t>
      </w:r>
    </w:p>
    <w:p>
      <w:pPr>
        <w:pStyle w:val="Normal"/>
        <w:widowControl/>
        <w:rPr/>
      </w:pPr>
      <w:r>
        <w:rPr/>
        <w:t>2. A Party may adopt a standard different from or more protective than another Party's standard where supported by a reasonable scientific, technical, precautionary, or risk-management basis consistent with applicable provisions of this Agreement. The complaining Party bears the burden of showing disguised discrimination or a failure to satisfy an express treaty discipline.</w:t>
      </w:r>
    </w:p>
    <w:p>
      <w:pPr>
        <w:pStyle w:val="Heading3"/>
        <w:keepNext/>
        <w:widowControl/>
        <w:rPr/>
      </w:pPr>
      <w:r>
        <w:rPr/>
        <w:t>Article 41.4: Artificial Intelligence, Privacy, Cybersecurity, and Government Data</w:t>
      </w:r>
    </w:p>
    <w:p>
      <w:pPr>
        <w:pStyle w:val="Normal"/>
        <w:widowControl/>
        <w:rPr/>
      </w:pPr>
      <w:r>
        <w:rPr/>
        <w:t>1. Each Party retains authority to regulate artificial intelligence, automated decision systems, privacy, algorithmic accountability, consumer protection, cybersecurity, and employment effects.</w:t>
      </w:r>
    </w:p>
    <w:p>
      <w:pPr>
        <w:pStyle w:val="Normal"/>
        <w:widowControl/>
        <w:rPr/>
      </w:pPr>
      <w:r>
        <w:rPr/>
        <w:t>2. A Party may impose enhanced custody, access-control, encryption, audit, residency, or jurisdictional requirements on sensitive government data where reasonably related to security, privacy, continuity, or lawful public administration. No specific cloud architecture or vendor is mandated.</w:t>
      </w:r>
    </w:p>
    <w:p>
      <w:pPr>
        <w:pStyle w:val="Normal"/>
        <w:widowControl/>
        <w:rPr/>
      </w:pPr>
      <w:r>
        <w:rPr/>
        <w:t>3. Cybersecurity requirements may reference internationally recognized frameworks and may evolve over time. No single private standard is frozen into this Agreement.</w:t>
      </w:r>
    </w:p>
    <w:p>
      <w:pPr>
        <w:pStyle w:val="Heading3"/>
        <w:keepNext/>
        <w:widowControl/>
        <w:rPr/>
      </w:pPr>
      <w:r>
        <w:rPr/>
        <w:t>Article 41.5: Natural Resources, Water, Forestry, and the Arctic</w:t>
      </w:r>
    </w:p>
    <w:p>
      <w:pPr>
        <w:pStyle w:val="Normal"/>
        <w:widowControl/>
        <w:rPr/>
      </w:pPr>
      <w:r>
        <w:rPr/>
        <w:t>1. Nothing in this Agreement creates a right to natural water that has not entered into commerce. Each Party retains sovereign authority over water resources within its jurisdiction, subject to existing international boundary-water obligations.</w:t>
      </w:r>
    </w:p>
    <w:p>
      <w:pPr>
        <w:pStyle w:val="Normal"/>
        <w:widowControl/>
        <w:rPr/>
      </w:pPr>
      <w:r>
        <w:rPr/>
        <w:t>2. Canada retains authority over forest management, harvesting standards, conservation, old-growth protection, certification systems, and Crown-resource administration, subject to the specialized subsidy and trade disciplines of this Agreement.</w:t>
      </w:r>
    </w:p>
    <w:p>
      <w:pPr>
        <w:pStyle w:val="Normal"/>
        <w:widowControl/>
        <w:rPr/>
      </w:pPr>
      <w:r>
        <w:rPr/>
        <w:t>3. Each Party retains authority over resource development within its Arctic or northern jurisdiction. Cooperation on shipping, safety, emergency response, science, and supply-chain transparency does not create a right of approval over another Party's domestic resource decision.</w:t>
      </w:r>
    </w:p>
    <w:p>
      <w:pPr>
        <w:pStyle w:val="Heading3"/>
        <w:keepNext/>
        <w:widowControl/>
        <w:rPr/>
      </w:pPr>
      <w:r>
        <w:rPr/>
        <w:t>Article 41.6: Indigenous Peoples</w:t>
      </w:r>
    </w:p>
    <w:p>
      <w:pPr>
        <w:pStyle w:val="Normal"/>
        <w:widowControl/>
        <w:rPr/>
      </w:pPr>
      <w:r>
        <w:rPr/>
        <w:t>1. Nothing in this Agreement prevents a Party from adopting or maintaining measures necessary to fulfill constitutional, treaty, consultation, accommodation, consent, self-government, land-claim, or reconciliation obligations concerning Indigenous peoples.</w:t>
      </w:r>
    </w:p>
    <w:p>
      <w:pPr>
        <w:pStyle w:val="Normal"/>
        <w:widowControl/>
        <w:rPr/>
      </w:pPr>
      <w:r>
        <w:rPr/>
        <w:t>2. A measure described in paragraph 1 is not inconsistent with this Agreement merely because it affects trade or investment; however, it remains subject to good-faith administration and shall not be used as disguised discrimination unrelated to the protected Indigenous interest.</w:t>
      </w:r>
    </w:p>
    <w:p>
      <w:pPr>
        <w:pStyle w:val="Heading3"/>
        <w:keepNext/>
        <w:widowControl/>
        <w:rPr/>
      </w:pPr>
      <w:r>
        <w:rPr/>
        <w:t>Article 41.7: Immigration, Labor-Market Programs, and Culture</w:t>
      </w:r>
    </w:p>
    <w:p>
      <w:pPr>
        <w:pStyle w:val="Normal"/>
        <w:widowControl/>
        <w:rPr/>
      </w:pPr>
      <w:r>
        <w:rPr/>
        <w:t>1. Each Party retains authority over immigration levels, temporary foreign-worker programs, occupational admission, wage policy, and labor-market programming, subject to express mobility commitments in this Agreement.</w:t>
      </w:r>
    </w:p>
    <w:p>
      <w:pPr>
        <w:pStyle w:val="Normal"/>
        <w:widowControl/>
        <w:rPr/>
      </w:pPr>
      <w:r>
        <w:rPr/>
        <w:t>2. Each Party retains authority to support and regulate its cultural industries, broadcasting, audiovisual services, and domestic cultural expression, subject to the express cultural provisions and schedules of this Agreement.</w:t>
      </w:r>
    </w:p>
    <w:p>
      <w:pPr>
        <w:pStyle w:val="Heading3"/>
        <w:keepNext/>
        <w:widowControl/>
        <w:rPr/>
      </w:pPr>
      <w:r>
        <w:rPr/>
        <w:t>Article 41.7A: Cultural and Linguistic Sovereignty Firewall</w:t>
      </w:r>
    </w:p>
    <w:p>
      <w:pPr>
        <w:pStyle w:val="Normal"/>
        <w:widowControl/>
        <w:rPr/>
      </w:pPr>
      <w:r>
        <w:t>1. Each Party retains the sovereign authority to preserve, promote, fund, regulate, and make accessible its languages, cultural expression, cultural industries, cultural institutions, and cultural heritage, including measures concerning broadcasting, audiovisual media, streaming, publishing, film, music, performing arts, museums, archives, education-related cultural programming, public cultural funding, labeling or labelling, interface-language requirements, search prominence, recommendation-system discoverability, and other means by which linguistic or cultural expression is presented or made accessible. This authority includes measures directed to official, Indigenous, minority, regional, heritage, or otherwise lawfully recognized or supported languages and cultural communities. Nothing in this paragraph requires a Party to accord a language a legal or official status that the Party's domestic law does not provide. Measures under this paragraph remain subject to the good-faith and anti-disguised-discrimination safeguards in paragraph 5.</w:t>
      </w:r>
    </w:p>
    <w:p>
      <w:pPr>
        <w:pStyle w:val="Normal"/>
        <w:widowControl/>
        <w:rPr/>
      </w:pPr>
      <w:r>
        <w:t>2. For Canada, paragraph 1 includes measures supporting French and English language rights and services, the vitality and accessibility of French-language culture, bilingual public information, Canadian cultural expression and content, Quebec cultural jurisdiction within Canada's constitutional order, minority-language communities, and Indigenous languages and cultures. Canada may maintain or adopt bona fide French-language requirements, services, labeling or labelling, presentation, discoverability, funding, broadcasting, audiovisual, streaming, educational, procurement, or cultural-development measures consistent with its constitutional order. No provision of this Agreement shall be interpreted to require Canada to reduce the level of protection or support it chooses to provide for French-language rights, services, institutions, or cultural expression. This paragraph does not alter the constitutional allocation of authority within Canada.</w:t>
      </w:r>
    </w:p>
    <w:p>
      <w:pPr>
        <w:pStyle w:val="Normal"/>
        <w:widowControl/>
        <w:rPr/>
      </w:pPr>
      <w:r>
        <w:t>3. For Mexico, paragraph 1 includes measures supporting Spanish and the Indigenous languages and linguistic communities recognized or protected under Mexican law, Mexican cultural expression and content, federal and state cultural institutions, Indigenous cultural autonomy, public cultural funding, and measures promoting access to linguistic and cultural heritage. For the United States, paragraph 1 includes measures supporting English and other languages recognized, protected, funded, or otherwise supported under federal, state, territorial, Tribal, or local law, including Native and Indigenous languages, minority-language and heritage-language communities, and state, territorial, Tribal, and local cultural institutions. Each Party may also support access to, education in, or cultural expression through French or any other language within its territory without creating a treaty obligation to confer official-language status. The protections in this paragraph are symmetrical in legal effect while respecting the distinct constitutional and linguistic arrangements of each Party.</w:t>
      </w:r>
    </w:p>
    <w:p>
      <w:pPr>
        <w:pStyle w:val="Normal"/>
        <w:widowControl/>
        <w:rPr/>
      </w:pPr>
      <w:r>
        <w:t>4. Nothing in this Agreement requires a Party to abolish, materially impair, subordinate, privatize, commercialize, or make technologically neutral a bona fide cultural or linguistic measure solely because that measure affects trade, investment, digital distribution, advertising, labeling or labelling, interface language, search prominence, recommendation systems, discoverability, procurement, access to public funding, or eligibility for cultural-support programs. A bona fide measure may distinguish among languages or cultural categories where the distinction reasonably advances the protected linguistic or cultural objective. For greater certainty, a requirement that information, labeling, interfaces, services, cultural content, or discoverability be available in one or more protected languages is not, by that fact alone, nationality discrimination. This paragraph applies across the goods, services, digital-trade, procurement, investment, intellectual-property, and regulatory-cooperation provisions of this Agreement.</w:t>
      </w:r>
    </w:p>
    <w:p>
      <w:pPr>
        <w:pStyle w:val="Normal"/>
        <w:widowControl/>
        <w:rPr/>
      </w:pPr>
      <w:r>
        <w:t>5. This Article does not protect disguised discrimination having no reasonable relationship to a genuine cultural or linguistic objective. In assessing a challenged measure, a panel shall give substantial deference to the affected Party's chosen level of linguistic or cultural protection and shall not substitute a different cultural policy merely because it would be less trade restrictive. Where a materially less trade-restrictive and reasonably available alternative would achieve substantially the same chosen level of cultural or linguistic protection without materially impairing the protected objective, the Parties should prefer that alternative. The complaining Party bears the burden of establishing that a challenged distinction is disguised discrimination or that an asserted alternative satisfies this paragraph.</w:t>
      </w:r>
    </w:p>
    <w:p>
      <w:pPr>
        <w:pStyle w:val="Normal"/>
        <w:widowControl/>
        <w:rPr/>
      </w:pPr>
      <w:r>
        <w:t>6. No Party shall condition tariff relief, market access, procurement treatment, strategic-material cooperation, regulatory recognition, digital-trade treatment, or another unrelated benefit on the abandonment, weakening, non-enforcement, or future non-adoption of a measure protected by this Article unless the affected Party expressly agrees through the amendment procedure applicable to substantive treaty rights. This Article shall be read together with the cultural provisions and schedules of this Agreement and shall not reduce a Party's existing cultural exceptions, reservations, constitutional protections, Indigenous rights, or stronger domestic linguistic protections. In the event of an inconsistency between this Article and a general obligation concerning digital trade, nondiscrimination, technical regulation, procurement, services, or investment, this Article governs to the extent necessary to preserve the bona fide cultural or linguistic measure. Nothing in this Article prevents the Parties from voluntarily cooperating to expand multilingual access, translation, cultural exchange, or linguistic inclusion.</w:t>
      </w:r>
    </w:p>
    <w:p>
      <w:pPr>
        <w:pStyle w:val="Heading3"/>
        <w:keepNext/>
        <w:widowControl/>
        <w:rPr/>
      </w:pPr>
      <w:r>
        <w:rPr/>
        <w:t>Article 41.8: Infrastructure and Domestic Approval</w:t>
      </w:r>
    </w:p>
    <w:p>
      <w:pPr>
        <w:pStyle w:val="Normal"/>
        <w:widowControl/>
        <w:rPr/>
      </w:pPr>
      <w:r>
        <w:rPr/>
        <w:t>1. Joint financing or designation of a North American infrastructure project does not transfer regulatory, permitting, design, environmental-assessment, Indigenous-consultation, land-use, or ownership authority over facilities located in a Party's territory.</w:t>
      </w:r>
    </w:p>
    <w:p>
      <w:pPr>
        <w:pStyle w:val="Heading3"/>
        <w:keepNext/>
        <w:widowControl/>
        <w:rPr/>
      </w:pPr>
      <w:r>
        <w:rPr/>
        <w:t>Article 41.9: Safe-Harbor Coordination</w:t>
      </w:r>
    </w:p>
    <w:p>
      <w:pPr>
        <w:pStyle w:val="Normal"/>
        <w:widowControl/>
        <w:rPr/>
      </w:pPr>
      <w:r>
        <w:rPr/>
        <w:t>1. Articles 35.4B and 41.1 through 41.8 shall be interpreted together. A facially neutral measure pursuing an objective protected by this Chapter and supported by a reasonable evidentiary basis receives the regulatory safe harbor unless rebutted under Article 35.4B.</w:t>
      </w:r>
      <w:r>
        <w:br w:type="page"/>
      </w:r>
    </w:p>
    <w:p>
      <w:bookmarkStart w:id="1689" w:name="_NAESTMA_TOC_1689"/>
      <w:pPr>
        <w:pStyle w:val="Heading1"/>
        <w:keepNext/>
        <w:keepLines w:val="0"/>
        <w:pageBreakBefore/>
        <w:widowControl/>
        <w:rPr/>
      </w:pPr>
      <w:bookmarkStart w:id="291" w:name="_Toc237912772"/>
      <w:r>
        <w:rPr/>
        <w:t>CHAPTER 42</w:t>
      </w:r>
      <w:bookmarkEnd w:id="291"/>
      <w:bookmarkEnd w:id="1689"/>
    </w:p>
    <w:p>
      <w:bookmarkStart w:id="1690" w:name="_NAESTMA_TOC_1690"/>
      <w:pPr>
        <w:pStyle w:val="Heading2"/>
        <w:keepNext/>
        <w:pageBreakBefore w:val="false"/>
        <w:widowControl/>
        <w:rPr/>
      </w:pPr>
      <w:bookmarkStart w:id="292" w:name="_Toc237912773"/>
      <w:r>
        <w:rPr/>
        <w:t>SOFTWOOD LUMBER STABILITY AND FORESTRY TRADE</w:t>
      </w:r>
      <w:bookmarkEnd w:id="292"/>
      <w:bookmarkEnd w:id="1690"/>
    </w:p>
    <w:p>
      <w:pPr>
        <w:pStyle w:val="Heading3"/>
        <w:keepNext/>
        <w:widowControl/>
        <w:rPr/>
      </w:pPr>
      <w:r>
        <w:rPr/>
        <w:t>Article 42.1: Purpose</w:t>
      </w:r>
    </w:p>
    <w:p>
      <w:pPr>
        <w:pStyle w:val="Normal"/>
        <w:widowControl/>
        <w:rPr/>
      </w:pPr>
      <w:r>
        <w:rPr/>
        <w:t>1. The Parties seek to reduce recurrent softwood-lumber litigation through transparent evidence, rapid adjudication, commercially defensible valuation, and prompt correction while preserving each Party's forest-ownership and management systems.</w:t>
      </w:r>
    </w:p>
    <w:p>
      <w:pPr>
        <w:pStyle w:val="Heading3"/>
        <w:keepNext/>
        <w:widowControl/>
        <w:rPr/>
      </w:pPr>
      <w:r>
        <w:rPr/>
        <w:t>Article 42.2: Stumpage and Benchmark Transparency</w:t>
      </w:r>
    </w:p>
    <w:p>
      <w:pPr>
        <w:pStyle w:val="Normal"/>
        <w:widowControl/>
        <w:rPr/>
      </w:pPr>
      <w:r>
        <w:rPr/>
        <w:t>1. Canada shall publish or make available to the review body provincial stumpage methodologies, relevant auction or transaction data, tenure characteristics, timber-quality adjustments, road and access costs, geographic factors, and other material inputs used to determine Crown timber charges.</w:t>
      </w:r>
    </w:p>
    <w:p>
      <w:pPr>
        <w:pStyle w:val="Normal"/>
        <w:widowControl/>
        <w:rPr/>
      </w:pPr>
      <w:r>
        <w:rPr/>
        <w:t>2. A Party alleging subsidization shall disclose the benchmark methodology, comparators, adjustments, and material evidence on which the allegation relies, subject to protected confidential treatment.</w:t>
      </w:r>
    </w:p>
    <w:p>
      <w:pPr>
        <w:pStyle w:val="Normal"/>
        <w:widowControl/>
        <w:rPr/>
      </w:pPr>
      <w:r>
        <w:rPr/>
        <w:t>3. No methodology may presume that public ownership of timber, standing alone, establishes a subsidy.</w:t>
      </w:r>
    </w:p>
    <w:p>
      <w:pPr>
        <w:pStyle w:val="Heading3"/>
        <w:keepNext/>
        <w:widowControl/>
        <w:rPr/>
      </w:pPr>
      <w:r>
        <w:rPr/>
        <w:t>Article 42.3: Stumpage Neutrality Test</w:t>
      </w:r>
    </w:p>
    <w:p>
      <w:pPr>
        <w:pStyle w:val="Normal"/>
        <w:widowControl/>
        <w:rPr/>
      </w:pPr>
      <w:r>
        <w:rPr/>
        <w:t>1. A provincial system satisfies this Article where charges are determined under published and consistently administered methodologies reasonably connected to commercial or resource-management considerations and are not manipulated primarily to confer an export advantage.</w:t>
      </w:r>
    </w:p>
    <w:p>
      <w:pPr>
        <w:pStyle w:val="Normal"/>
        <w:widowControl/>
        <w:rPr/>
      </w:pPr>
      <w:r>
        <w:rPr/>
        <w:t>2. Comparisons with private-market timber shall account for material differences in species, quality, geography, infrastructure obligations, tenure, wildfire or pest damage, harvesting cost, and other factors affecting commercial comparability.</w:t>
      </w:r>
    </w:p>
    <w:p>
      <w:pPr>
        <w:pStyle w:val="Heading3"/>
        <w:keepNext/>
        <w:widowControl/>
        <w:rPr/>
      </w:pPr>
      <w:r>
        <w:rPr/>
        <w:t>Article 42.4: Expedited Softwood Review</w:t>
      </w:r>
    </w:p>
    <w:p>
      <w:pPr>
        <w:pStyle w:val="Normal"/>
        <w:widowControl/>
        <w:rPr/>
      </w:pPr>
      <w:r>
        <w:rPr/>
        <w:t>1. A softwood-lumber antidumping or countervailing-duty dispute between Canada and the United States is eligible for a specialized panel under Chapter 31. A preliminary review of cash-deposit measures shall issue within 60 days and a final treaty determination within six months.</w:t>
      </w:r>
    </w:p>
    <w:p>
      <w:pPr>
        <w:pStyle w:val="Normal"/>
        <w:widowControl/>
        <w:rPr/>
      </w:pPr>
      <w:r>
        <w:rPr/>
        <w:t>2. A provisional duty or deposit found excessive or unsupported shall be reduced promptly. Amounts ultimately determined not to have been owing shall be refunded within 30 days with commercially reasonable interest.</w:t>
      </w:r>
    </w:p>
    <w:p>
      <w:pPr>
        <w:pStyle w:val="Normal"/>
        <w:widowControl/>
        <w:rPr/>
      </w:pPr>
      <w:r>
        <w:rPr/>
        <w:t>3. A Party shall not retroactively change the governing benchmark methodology for entries already made except to correct fraud or manifest clerical error.</w:t>
      </w:r>
    </w:p>
    <w:p>
      <w:pPr>
        <w:pStyle w:val="Heading3"/>
        <w:keepNext/>
        <w:widowControl/>
        <w:rPr/>
      </w:pPr>
      <w:r>
        <w:rPr/>
        <w:t>Article 42.5: Sustainable Forestry Facilitation</w:t>
      </w:r>
    </w:p>
    <w:p>
      <w:pPr>
        <w:pStyle w:val="Normal"/>
        <w:widowControl/>
        <w:rPr/>
      </w:pPr>
      <w:r>
        <w:rPr/>
        <w:t>1. The Parties shall recognize credible sustainable-forestry certification systems under transparent equivalence criteria. Certified products may receive expedited documentation and eligibility for negotiated green-procurement programs, but this Agreement does not guarantee a private purchase price or purchase volume.</w:t>
      </w:r>
    </w:p>
    <w:p>
      <w:pPr>
        <w:pStyle w:val="Heading3"/>
        <w:keepNext/>
        <w:widowControl/>
        <w:rPr/>
      </w:pPr>
      <w:r>
        <w:rPr/>
        <w:t>Article 42.6: Forestry Adjustment and Modernization Facility</w:t>
      </w:r>
    </w:p>
    <w:p>
      <w:pPr>
        <w:pStyle w:val="Normal"/>
        <w:widowControl/>
        <w:rPr/>
      </w:pPr>
      <w:r>
        <w:rPr/>
        <w:t>1. The Commission may establish a jointly financed facility supporting mill modernization, wildfire resilience, forest restoration, worker adjustment, value-added wood manufacturing, and data modernization. Contributions are subject to each Party's domestic appropriations law and do not condition ordinary market access.</w:t>
      </w:r>
    </w:p>
    <w:p>
      <w:pPr>
        <w:pStyle w:val="Heading3"/>
        <w:keepNext/>
        <w:widowControl/>
        <w:rPr/>
      </w:pPr>
      <w:r>
        <w:rPr/>
        <w:t>Article 42.7: No-Fade Continuity and Rolling-Horizon Review</w:t>
      </w:r>
    </w:p>
    <w:p>
      <w:pPr>
        <w:pStyle w:val="Normal"/>
        <w:widowControl/>
        <w:rPr/>
      </w:pPr>
      <w:r>
        <w:rPr/>
        <w:t>1. The rights, protections, procedures, recognitions, and safe harbors established by this Chapter continue in force in accordance with Article 35.29 and shall not lapse, diminish, or expire solely by passage of time or by failure to complete a scheduled review. The Parties shall conduct rolling-horizon reviews of methodology, market conditions, supply adequacy, certification equivalence, housing-supply conditions, and implementation performance at intervals determined under the applicable work program. Existing treatment remains operative unless affirmatively amended in accordance with this Agreement. A review does not reopen settled entries, retroactively alter the legal treatment of completed transactions, or automatically revive a terminated trade remedy.</w:t>
      </w:r>
    </w:p>
    <w:p>
      <w:pPr>
        <w:pStyle w:val="Heading3"/>
        <w:keepNext/>
        <w:widowControl/>
        <w:rPr/>
      </w:pPr>
      <w:r>
        <w:rPr/>
        <w:t>Article 42.8: Objective-Criteria and Non-Arbitrariness Rule</w:t>
      </w:r>
    </w:p>
    <w:p>
      <w:pPr>
        <w:pStyle w:val="Normal"/>
        <w:widowControl/>
        <w:rPr/>
      </w:pPr>
      <w:r>
        <w:rPr/>
        <w:t>1. Where a policy objective under this Chapter can reasonably be achieved through an objective performance, market, safety, sustainability, or compliance criterion, the Parties shall prefer such a criterion over distinctions based solely on province, state, transport mode, ownership form, product label, or end use.</w:t>
      </w:r>
    </w:p>
    <w:p>
      <w:pPr>
        <w:pStyle w:val="Normal"/>
        <w:widowControl/>
        <w:rPr/>
      </w:pPr>
      <w:r>
        <w:rPr/>
        <w:t>2. Nothing in paragraph 1 prevents a narrowly tailored measure where the distinguishing characteristic is itself materially relevant to the demonstrated policy objective. Any such distinction shall be transparent, evidence-based, and no broader than necessary.</w:t>
      </w:r>
    </w:p>
    <w:p>
      <w:pPr>
        <w:pStyle w:val="Heading3"/>
        <w:keepNext/>
        <w:widowControl/>
        <w:rPr/>
      </w:pPr>
      <w:r>
        <w:rPr/>
        <w:t>Article 42.9: Market-Based Forestry Practice Safe Harbor</w:t>
      </w:r>
    </w:p>
    <w:p>
      <w:pPr>
        <w:pStyle w:val="Normal"/>
        <w:widowControl/>
        <w:rPr/>
      </w:pPr>
      <w:r>
        <w:rPr/>
        <w:t>1. Canada and the United States shall maintain an evidence-based pathway under which a provincial, regional, producer-specific, or other qualifying forestry system may receive a rebuttable presumption of market-oriented treatment for purposes of this Chapter where published and consistently administered timber-pricing and allocation practices satisfy the criteria in Article 42.3 and do not confer an export advantage through material manipulation.</w:t>
      </w:r>
    </w:p>
    <w:p>
      <w:pPr>
        <w:pStyle w:val="Normal"/>
        <w:widowControl/>
        <w:rPr/>
      </w:pPr>
      <w:r>
        <w:rPr/>
        <w:t>2. Eligibility shall be available on neutral terms to any qualifying system and shall not depend on the identity of a particular province, producer, ownership model, or political designation.</w:t>
      </w:r>
    </w:p>
    <w:p>
      <w:pPr>
        <w:pStyle w:val="Normal"/>
        <w:widowControl/>
        <w:rPr/>
      </w:pPr>
      <w:r>
        <w:rPr/>
        <w:t>3. Qualification may be reviewed on a rolling horizon when material evidence indicates a change in the underlying methodology or economic conditions. Qualification remains effective pending completion of review unless a specialized panel finds a material basis for provisional suspension.</w:t>
      </w:r>
    </w:p>
    <w:p>
      <w:pPr>
        <w:pStyle w:val="Heading3"/>
        <w:keepNext/>
        <w:widowControl/>
        <w:rPr/>
      </w:pPr>
      <w:r>
        <w:rPr/>
        <w:t>Article 42.10: North American Housing Supply and Affordability Cooperation</w:t>
      </w:r>
    </w:p>
    <w:p>
      <w:pPr>
        <w:pStyle w:val="Normal"/>
        <w:widowControl/>
        <w:rPr/>
      </w:pPr>
      <w:r>
        <w:rPr/>
        <w:t>1. Canada and the United States shall treat reliable access to competitively supplied lumber and advanced wood products as a material component of North American housing-supply resilience and construction affordability.</w:t>
      </w:r>
    </w:p>
    <w:p>
      <w:pPr>
        <w:pStyle w:val="Normal"/>
        <w:widowControl/>
        <w:rPr/>
      </w:pPr>
      <w:r>
        <w:rPr/>
        <w:t>2. The Parties shall identify administrative, customs, certification, logistics, or trade-remedy frictions that unnecessarily increase the delivered cost of qualifying wood inputs used in residential construction and shall pursue the narrowest practicable means of reducing such friction consistent with applicable law and verified fair-trade disciplines.</w:t>
      </w:r>
    </w:p>
    <w:p>
      <w:pPr>
        <w:pStyle w:val="Normal"/>
        <w:widowControl/>
        <w:rPr/>
      </w:pPr>
      <w:r>
        <w:rPr/>
        <w:t>3. Cooperation under this Article may include modular and prefabricated housing inputs, mass timber, engineered wood, doors, windows, structural systems, remanufactured products, and other value-added wood products.</w:t>
      </w:r>
    </w:p>
    <w:p>
      <w:pPr>
        <w:pStyle w:val="Heading3"/>
        <w:keepNext/>
        <w:widowControl/>
        <w:rPr/>
      </w:pPr>
      <w:r>
        <w:rPr/>
        <w:t>Article 42.11: Housing and Disaster Reconstruction Emergency Valve</w:t>
      </w:r>
    </w:p>
    <w:p>
      <w:pPr>
        <w:pStyle w:val="Normal"/>
        <w:widowControl/>
        <w:rPr/>
      </w:pPr>
      <w:r>
        <w:rPr/>
        <w:t>1. Where objective evidence demonstrates a material shortage of construction lumber or wood products, an extraordinary reconstruction requirement following a natural disaster, or a severe housing-supply disruption in the territory of a Party, that Party shall provide an expedited procedure to consider temporary facilitation for qualifying originating lumber and wood products from another Party.</w:t>
      </w:r>
    </w:p>
    <w:p>
      <w:pPr>
        <w:pStyle w:val="Normal"/>
        <w:widowControl/>
        <w:rPr/>
      </w:pPr>
      <w:r>
        <w:rPr/>
        <w:t>2. Facilitation may include accelerated customs processing, temporary administrative simplification, prioritized certification review, or other narrowly tailored relief authorized by this Agreement and domestic law. Any extraordinary tariff relief shall be subject to the evidentiary, proportionality, and restoration disciplines of Chapters 35, 38, and 46.</w:t>
      </w:r>
    </w:p>
    <w:p>
      <w:pPr>
        <w:pStyle w:val="Normal"/>
        <w:widowControl/>
        <w:rPr/>
      </w:pPr>
      <w:r>
        <w:rPr/>
        <w:t>3. Activation and continuation shall depend on verified conditions rather than a fixed expiration date. Extraordinary treatment transitions back to ordinary treatment when the factual conditions justifying it cease.</w:t>
      </w:r>
    </w:p>
    <w:p>
      <w:pPr>
        <w:pStyle w:val="Heading3"/>
        <w:keepNext/>
        <w:widowControl/>
        <w:rPr/>
      </w:pPr>
      <w:r>
        <w:rPr/>
        <w:t>Article 42.12: Advanced Wood Products and Value-Added Manufacturing Corridor</w:t>
      </w:r>
    </w:p>
    <w:p>
      <w:pPr>
        <w:pStyle w:val="Normal"/>
        <w:widowControl/>
        <w:rPr/>
      </w:pPr>
      <w:r>
        <w:rPr/>
        <w:t>1. The Parties shall facilitate trade and investment in value-added wood products, including engineered wood, mass timber, prefabricated structural systems, remanufactured wood products, specialized lumber, doors, windows, and other higher-value forest products.</w:t>
      </w:r>
    </w:p>
    <w:p>
      <w:pPr>
        <w:pStyle w:val="Normal"/>
        <w:widowControl/>
        <w:rPr/>
      </w:pPr>
      <w:r>
        <w:rPr/>
        <w:t>2. Facilitation shall emphasize removal of unnecessary duplicative testing, customs, certification, and documentation burdens; support efficient movement of production inputs; and encourage investment in North American processing and manufacturing capacity without prescribing the Party in which such investment must occur.</w:t>
      </w:r>
    </w:p>
    <w:p>
      <w:pPr>
        <w:pStyle w:val="Normal"/>
        <w:widowControl/>
        <w:rPr/>
      </w:pPr>
      <w:r>
        <w:rPr/>
        <w:t>3. No preference under this Article shall be conditioned on an arbitrary allocation of production among the Parties.</w:t>
      </w:r>
    </w:p>
    <w:p>
      <w:pPr>
        <w:pStyle w:val="Heading3"/>
        <w:keepNext/>
        <w:widowControl/>
        <w:rPr/>
      </w:pPr>
      <w:r>
        <w:rPr/>
        <w:t>Article 42.13: Forest Products Mutual Recognition Framework</w:t>
      </w:r>
    </w:p>
    <w:p>
      <w:pPr>
        <w:pStyle w:val="Normal"/>
        <w:widowControl/>
        <w:rPr/>
      </w:pPr>
      <w:r>
        <w:rPr/>
        <w:t>1. The Parties shall establish procedures to recognize demonstrably equivalent forest-product grading, kiln-drying, phytosanitary, fire-performance, sustainability, and other technical certifications where recognition achieves equivalent regulatory or safety outcomes.</w:t>
      </w:r>
    </w:p>
    <w:p>
      <w:pPr>
        <w:pStyle w:val="Normal"/>
        <w:widowControl/>
        <w:rPr/>
      </w:pPr>
      <w:r>
        <w:rPr/>
        <w:t>2. Mutual recognition shall not require identical domestic regulatory systems. A Party may maintain a different requirement where it demonstrates a material, evidence-based difference in the regulatory objective or risk addressed.</w:t>
      </w:r>
    </w:p>
    <w:p>
      <w:pPr>
        <w:pStyle w:val="Normal"/>
        <w:widowControl/>
        <w:rPr/>
      </w:pPr>
      <w:r>
        <w:rPr/>
        <w:t>3. The responsible committees shall prioritize high-volume or high-friction duplicative requirements and publish the basis for recognition, non-recognition, or required supplementary testing.</w:t>
      </w:r>
    </w:p>
    <w:p>
      <w:pPr>
        <w:pStyle w:val="Heading3"/>
        <w:keepNext/>
        <w:widowControl/>
        <w:rPr/>
      </w:pPr>
      <w:r>
        <w:rPr/>
        <w:t>Article 42.14: Prospective Treatment, Advance Notice, and Reliance Protection</w:t>
      </w:r>
    </w:p>
    <w:p>
      <w:pPr>
        <w:pStyle w:val="Normal"/>
        <w:widowControl/>
        <w:rPr/>
      </w:pPr>
      <w:r>
        <w:rPr/>
        <w:t>1. Except in cases of fraud, intentional evasion, or manifest clerical correction expressly authorized by law, a Party shall not retroactively alter the benchmark methodology or treaty interpretation governing completed softwood-lumber entries in a manner that creates a new liability that could not reasonably have been known at the time of entry.</w:t>
      </w:r>
    </w:p>
    <w:p>
      <w:pPr>
        <w:pStyle w:val="Normal"/>
        <w:widowControl/>
        <w:rPr/>
      </w:pPr>
      <w:r>
        <w:rPr/>
        <w:t>2. Before adopting a material new softwood-lumber trade measure against another Party, the proposing Party shall, except where an express emergency provision permits immediate action, provide advance notice, disclose the material evidentiary basis, and offer expedited technical consultations under this Chapter and Chapter 46.</w:t>
      </w:r>
    </w:p>
    <w:p>
      <w:pPr>
        <w:pStyle w:val="Normal"/>
        <w:widowControl/>
        <w:rPr/>
      </w:pPr>
      <w:r>
        <w:rPr/>
        <w:t>3. Nothing in this Article eliminates lawful antidumping, countervailing-duty, safeguard, or essential-security authority. It disciplines procedure, reliance, evidence, and retroactivity in accordance with the other provisions of this Agreement.</w:t>
      </w:r>
    </w:p>
    <w:p>
      <w:pPr>
        <w:pStyle w:val="Heading3"/>
        <w:keepNext/>
        <w:widowControl/>
        <w:rPr/>
      </w:pPr>
      <w:r>
        <w:rPr/>
        <w:t>Article 42.15: Trusted Forest Products Trade Lane</w:t>
      </w:r>
    </w:p>
    <w:p>
      <w:pPr>
        <w:pStyle w:val="Normal"/>
        <w:widowControl/>
        <w:rPr/>
      </w:pPr>
      <w:r>
        <w:rPr/>
        <w:t>1. The customs administrations shall develop, within the framework of Chapters 7, 44, and 50, expedited processing pathways for qualifying forest-products shippers with verified compliance histories, complete advance electronic documentation, and low risk indicators.</w:t>
      </w:r>
    </w:p>
    <w:p>
      <w:pPr>
        <w:pStyle w:val="Normal"/>
        <w:widowControl/>
        <w:rPr/>
      </w:pPr>
      <w:r>
        <w:rPr/>
        <w:t>2. Service standards shall be expressed as measurable performance targets and shall not operate as absolute guarantees where inspection, safety, congestion, system failure, or particularized risk requires additional processing.</w:t>
      </w:r>
    </w:p>
    <w:p>
      <w:pPr>
        <w:pStyle w:val="Normal"/>
        <w:widowControl/>
        <w:rPr/>
      </w:pPr>
      <w:r>
        <w:rPr/>
        <w:t>3. Where equivalent electronic certificates, grading records, or phytosanitary records are already available to the importing authority, the authority shall not require duplicative submission solely because the document was issued by the exporting Party.</w:t>
      </w:r>
    </w:p>
    <w:p>
      <w:pPr>
        <w:pStyle w:val="Heading3"/>
        <w:keepNext/>
        <w:widowControl/>
        <w:rPr/>
      </w:pPr>
      <w:r>
        <w:rPr/>
        <w:t>Article 42.16: Forestry Resilience and Forest-Health Partnership</w:t>
      </w:r>
    </w:p>
    <w:p>
      <w:pPr>
        <w:pStyle w:val="Normal"/>
        <w:widowControl/>
        <w:rPr/>
      </w:pPr>
      <w:r>
        <w:rPr/>
        <w:t>1. The Parties establish a cooperative North American Forestry Resilience and Forest-Health Partnership addressing wildfire prevention and recovery, pest and disease surveillance, reforestation, salvage utilization, forest restoration, sustainable harvesting, climate resilience, mill modernization, biomass and co-product utilization, and continuity of critical forest-product supply.</w:t>
      </w:r>
    </w:p>
    <w:p>
      <w:pPr>
        <w:pStyle w:val="Normal"/>
        <w:widowControl/>
        <w:rPr/>
      </w:pPr>
      <w:r>
        <w:rPr/>
        <w:t>2. Projects may include shared research, interoperable forest-health data, joint exercises, technical exchanges, demonstration projects, and voluntary coordination of emergency supply and reconstruction needs.</w:t>
      </w:r>
    </w:p>
    <w:p>
      <w:pPr>
        <w:pStyle w:val="Normal"/>
        <w:widowControl/>
        <w:rPr/>
      </w:pPr>
      <w:r>
        <w:rPr/>
        <w:t>3. Participation by Mexico in cooperative activities under this Article shall be on equal and voluntary terms. Nothing in this Article extends Canada-United States softwood-lumber trade-remedy rights or obligations to Mexico unless expressly agreed.</w:t>
      </w:r>
    </w:p>
    <w:p>
      <w:pPr>
        <w:pStyle w:val="Heading3"/>
        <w:keepNext/>
        <w:widowControl/>
        <w:rPr/>
      </w:pPr>
      <w:r>
        <w:rPr/>
        <w:t>Article 42.17: Indigenous and Community Forestry Participation</w:t>
      </w:r>
    </w:p>
    <w:p>
      <w:pPr>
        <w:pStyle w:val="Normal"/>
        <w:widowControl/>
        <w:rPr/>
      </w:pPr>
      <w:r>
        <w:rPr/>
        <w:t>1. Programs established under Articles 42.6, 42.12, and 42.16 shall provide fair and transparent access for Indigenous-owned, community-owned, cooperative, small, and medium-sized forestry enterprises that satisfy the applicable neutral eligibility criteria.</w:t>
      </w:r>
    </w:p>
    <w:p>
      <w:pPr>
        <w:pStyle w:val="Normal"/>
        <w:widowControl/>
        <w:rPr/>
      </w:pPr>
      <w:r>
        <w:rPr/>
        <w:t>2. This Article does not create an automatic duty exemption based solely on ownership identity. It permits targeted technical assistance, certification support, market-access facilitation, capacity development, and participation in cooperative programs consistent with applicable law and Indigenous rights.</w:t>
      </w:r>
    </w:p>
    <w:p>
      <w:pPr>
        <w:pStyle w:val="Heading3"/>
        <w:keepNext/>
        <w:widowControl/>
        <w:rPr/>
      </w:pPr>
      <w:r>
        <w:rPr/>
        <w:t>Article 42.18: Federal and Public-Sector Construction Cooperation</w:t>
      </w:r>
    </w:p>
    <w:p>
      <w:pPr>
        <w:pStyle w:val="Normal"/>
        <w:widowControl/>
        <w:rPr/>
      </w:pPr>
      <w:r>
        <w:rPr/>
        <w:t>1. Subject to Chapter 13, each Party may recognize qualifying originating wood products of another Party in public construction, affordable-housing, emergency-reconstruction, infrastructure, and other procurement programs where such recognition is permitted by its applicable procurement commitments and domestic law.</w:t>
      </w:r>
    </w:p>
    <w:p>
      <w:pPr>
        <w:pStyle w:val="Normal"/>
        <w:widowControl/>
        <w:rPr/>
      </w:pPr>
      <w:r>
        <w:rPr/>
        <w:t>2. The Parties shall examine whether equivalent fire, structural, grading, sustainability, and other technical certifications can reduce duplicative qualification costs for wood products considered for public-sector construction.</w:t>
      </w:r>
    </w:p>
    <w:p>
      <w:pPr>
        <w:pStyle w:val="Normal"/>
        <w:widowControl/>
        <w:rPr/>
      </w:pPr>
      <w:r>
        <w:rPr/>
        <w:t>3. Nothing in this Article establishes a purchase mandate, guaranteed volume, or obligation to treat an imported product as domestic content where applicable procurement law provides otherwise.</w:t>
      </w:r>
    </w:p>
    <w:p>
      <w:pPr>
        <w:pStyle w:val="Heading3"/>
        <w:keepNext/>
        <w:widowControl/>
        <w:rPr/>
      </w:pPr>
      <w:r>
        <w:rPr/>
        <w:t>Article 42.19: Softwood Lumber Technical Consultation and Cothrom Interface</w:t>
      </w:r>
    </w:p>
    <w:p>
      <w:pPr>
        <w:pStyle w:val="Normal"/>
        <w:widowControl/>
        <w:rPr/>
      </w:pPr>
      <w:r>
        <w:rPr/>
        <w:t>1. A Party contemplating a material escalation of a Canada-United States softwood-lumber measure shall first use the expedited consultation and evidence-exchange procedures of this Chapter, except where an express emergency provision permits immediate provisional action.</w:t>
      </w:r>
    </w:p>
    <w:p>
      <w:pPr>
        <w:pStyle w:val="Normal"/>
        <w:widowControl/>
        <w:rPr/>
      </w:pPr>
      <w:r>
        <w:rPr/>
        <w:t>2. Chapter 46 and Annex 35-F may be used to verify disputed factual questions, including benchmark comparability, supply conditions, certification equivalence, market-price evidence, or compliance with an agreed corrective step. Cothrom fact-finding does not itself create a new duty rate, quota, subsidy finding, or substantive forestry obligation.</w:t>
      </w:r>
    </w:p>
    <w:p>
      <w:pPr>
        <w:pStyle w:val="Normal"/>
        <w:widowControl/>
        <w:rPr/>
      </w:pPr>
      <w:r>
        <w:rPr/>
        <w:t>3. Where a verified deficiency is corrected, the applicable remedy shall narrow, suspend, or terminate in accordance with the proportionality, earn-back, and automatic-restoration rules of Chapters 31 and 35.</w:t>
      </w:r>
    </w:p>
    <w:p>
      <w:pPr>
        <w:pStyle w:val="Heading3"/>
        <w:keepNext/>
        <w:widowControl/>
        <w:rPr/>
      </w:pPr>
      <w:r>
        <w:rPr/>
        <w:t>Article 42.20: Performance Measurement and Rolling-Horizon Work Program</w:t>
      </w:r>
    </w:p>
    <w:p>
      <w:pPr>
        <w:pStyle w:val="Normal"/>
        <w:widowControl/>
        <w:rPr/>
      </w:pPr>
      <w:r>
        <w:rPr/>
        <w:t>1. The responsible committees shall maintain a rolling-horizon work program covering litigation frequency and duration, effective duty burden, housing-supply indicators, border processing, utilization of mutual recognition, investment in value-added wood manufacturing, forest-health risks, SME participation, and other metrics necessary to evaluate this Chapter.</w:t>
      </w:r>
    </w:p>
    <w:p>
      <w:pPr>
        <w:pStyle w:val="Normal"/>
        <w:widowControl/>
        <w:rPr/>
      </w:pPr>
      <w:r>
        <w:rPr/>
        <w:t>2. Reviews may recommend technical or substantive amendment through the procedures of Article 34.A, as applicable, but no right, recognition, safe harbor, or ordinary market-access treatment under this Chapter expires solely because a review date passes or consensus on an amendment is not reached.</w:t>
      </w:r>
    </w:p>
    <w:p>
      <w:pPr>
        <w:pStyle w:val="Normal"/>
        <w:widowControl/>
        <w:rPr/>
      </w:pPr>
      <w:r>
        <w:rPr/>
        <w:t>3. The Commission shall publish non-confidential performance findings in a form understandable to affected industries, workers, communities, and consumers.</w:t>
      </w:r>
    </w:p>
    <w:p>
      <w:bookmarkStart w:id="1691" w:name="_NAESTMA_TOC_1691"/>
      <w:pPr>
        <w:pStyle w:val="Heading2"/>
        <w:keepNext/>
        <w:widowControl/>
        <w:rPr/>
      </w:pPr>
      <w:r>
        <w:rPr/>
        <w:t>Article 42.X: Limited Bridge to Chapter 35</w:t>
      </w:r>
      <w:bookmarkEnd w:id="1691"/>
    </w:p>
    <w:p>
      <w:pPr>
        <w:pStyle w:val="Normal"/>
        <w:widowControl/>
        <w:rPr/>
      </w:pPr>
      <w:r>
        <w:rPr/>
        <w:t>1. Nothing in this Chapter prevents recourse to Chapter 35 solely to determine whether a forestry-related measure independently constitutes a covered border measure, equivalent measure, substitute measure, or prohibited circumvention within Articles 35.3 through 35.4A.</w:t>
      </w:r>
    </w:p>
    <w:p>
      <w:pPr>
        <w:pStyle w:val="Normal"/>
        <w:widowControl/>
        <w:rPr/>
      </w:pPr>
      <w:r>
        <w:rPr/>
        <w:t>2. Chapter 35 shall not be used to relitigate the merits of an antidumping, countervailing-duty, or safeguard determination governed by Chapter 10 except to the extent another provision expressly authorizes such review.</w:t>
      </w:r>
    </w:p>
    <w:p>
      <w:pPr>
        <w:pStyle w:val="Normal"/>
        <w:widowControl/>
        <w:rPr/>
      </w:pPr>
      <w:r>
        <w:rPr/>
        <w:t>3. Any remedy under this bridge shall be confined to the independently established Chapter 35 violation and respect the module firewall, narrowest-sufficient-remedy rule, and anti-fragmentation principles.</w:t>
      </w:r>
    </w:p>
    <w:p>
      <w:pPr>
        <w:pStyle w:val="TrumpVisibilityHeadline"/>
        <w:widowControl/>
        <w:rPr/>
      </w:pPr>
      <w:r>
        <w:rPr>
          <w:b/>
        </w:rPr>
        <w:t xml:space="preserve">★ </w:t>
      </w:r>
      <w:r>
        <w:rPr>
          <w:b/>
        </w:rPr>
        <w:t>VISIBLE U.S. WIN: SECURE CRITICAL-MINERAL COOPERATION PAIRED WITH A DURABLE FORESTRY SETTLEMENT</w:t>
      </w:r>
    </w:p>
    <w:p>
      <w:bookmarkStart w:id="1692" w:name="_NAESTMA_TOC_1692"/>
      <w:pPr>
        <w:pStyle w:val="Heading2"/>
        <w:keepNext/>
        <w:widowControl/>
        <w:rPr/>
      </w:pPr>
      <w:r>
        <w:rPr/>
        <w:t>Article 42.19A: Strategic Minerals-for-Forestry Normalization Framework</w:t>
      </w:r>
      <w:bookmarkEnd w:id="1692"/>
    </w:p>
    <w:p>
      <w:pPr>
        <w:pStyle w:val="Normal"/>
        <w:widowControl/>
        <w:rPr/>
      </w:pPr>
      <w:r>
        <w:rPr/>
        <w:t>1. Canada and the United States may establish a staged forestry-normalization arrangement linked to verified Canadian contributions to North American strategic-mineral access, processing, refining, qualification, reserve resilience, recycling, infrastructure, and surge capacity under Chapter 37.</w:t>
      </w:r>
    </w:p>
    <w:p>
      <w:pPr>
        <w:pStyle w:val="Normal"/>
        <w:widowControl/>
        <w:rPr/>
      </w:pPr>
      <w:r>
        <w:rPr/>
        <w:t>2. Mexico may participate in the linked package where Mexican strategic-mineral contributions, industrial-input needs, processing, manufacturing, or forestry interests create material reciprocal value. Participation shall not impose Canada-United States softwood-lumber trade-remedy obligations on Mexico unless expressly agreed.</w:t>
      </w:r>
    </w:p>
    <w:p>
      <w:pPr>
        <w:pStyle w:val="Normal"/>
        <w:widowControl/>
        <w:rPr/>
      </w:pPr>
      <w:r>
        <w:rPr/>
        <w:t>3. The purpose of linkage is to exchange measurable strategic and commercial value, not to condition lumber access on compulsory extraction or delivery of physically unavailable mineral tonnage.</w:t>
      </w:r>
    </w:p>
    <w:p>
      <w:bookmarkStart w:id="1693" w:name="_NAESTMA_TOC_1693"/>
      <w:pPr>
        <w:pStyle w:val="Heading2"/>
        <w:keepNext/>
        <w:widowControl/>
        <w:rPr/>
      </w:pPr>
      <w:r>
        <w:rPr/>
        <w:t>Article 42.20A: Staged Forestry Normalization</w:t>
      </w:r>
      <w:bookmarkEnd w:id="1693"/>
    </w:p>
    <w:p>
      <w:pPr>
        <w:pStyle w:val="Normal"/>
        <w:widowControl/>
        <w:rPr/>
      </w:pPr>
      <w:r>
        <w:rPr/>
        <w:t>1. A negotiated implementation schedule may provide staged reduction, suspension, replacement, settlement, quota conversion, or other lawful normalization of covered softwood-lumber measures as corresponding strategic-mineral institutions and commitments become operational.</w:t>
      </w:r>
    </w:p>
    <w:p>
      <w:pPr>
        <w:pStyle w:val="Normal"/>
        <w:widowControl/>
        <w:rPr/>
      </w:pPr>
      <w:r>
        <w:rPr/>
        <w:t>2. Stage One may include a standstill on additional escalation and expedited review when the strategic-minerals access framework, project register, and applicable reserve or continuity protocols become operational.</w:t>
      </w:r>
    </w:p>
    <w:p>
      <w:pPr>
        <w:pStyle w:val="Normal"/>
        <w:widowControl/>
        <w:rPr/>
      </w:pPr>
      <w:r>
        <w:rPr/>
        <w:t>3. Stage Two may provide additional relief upon verified implementation of agreed processing, investment, qualification, infrastructure, offtake, recycling, or supply-resilience milestones.</w:t>
      </w:r>
    </w:p>
    <w:p>
      <w:pPr>
        <w:pStyle w:val="Normal"/>
        <w:widowControl/>
        <w:rPr/>
      </w:pPr>
      <w:r>
        <w:rPr/>
        <w:t>4. Stage Three may provide durable low-friction treatment, a negotiated managed-trade arrangement, or another agreed forestry settlement when the linked strategic-material package demonstrates sustained performance.</w:t>
      </w:r>
    </w:p>
    <w:p>
      <w:pPr>
        <w:pStyle w:val="Normal"/>
        <w:widowControl/>
        <w:rPr/>
      </w:pPr>
      <w:r>
        <w:rPr/>
        <w:t>5. Exact tariff, duty, quota, volume, benchmark, and implementation terms require a schedule expressly adopted by the affected Parties. This Article does not itself predetermine the outcome of an antidumping, countervailing-duty, safeguard, or essential-security proceeding.</w:t>
      </w:r>
    </w:p>
    <w:p>
      <w:bookmarkStart w:id="1694" w:name="_NAESTMA_TOC_1694"/>
      <w:pPr>
        <w:pStyle w:val="Heading2"/>
        <w:keepNext/>
        <w:widowControl/>
        <w:rPr/>
      </w:pPr>
      <w:r>
        <w:rPr/>
        <w:t>Article 42.21: Institutional Performance Rather Than Compulsory Tonnage</w:t>
      </w:r>
      <w:bookmarkEnd w:id="1694"/>
    </w:p>
    <w:p>
      <w:pPr>
        <w:pStyle w:val="Normal"/>
        <w:widowControl/>
        <w:rPr/>
      </w:pPr>
      <w:r>
        <w:rPr/>
        <w:t>1. Mineral cooperation earns forestry-normalization benefits through verified institutional and commercial performance, including functioning access arrangements, qualified processing capacity, investment execution, stockpile or continuity readiness, traceability, recycling, or other agreed milestones, rather than through an unconditional requirement to extract or export a fixed volume.</w:t>
      </w:r>
    </w:p>
    <w:p>
      <w:pPr>
        <w:pStyle w:val="Normal"/>
        <w:widowControl/>
        <w:rPr/>
      </w:pPr>
      <w:r>
        <w:rPr/>
        <w:t>2. Where an agreed project is delayed by geology, force majeure, labor disruption, safety requirements, permitting, judicial review, or another circumstance outside the reasonable control of the responsible Party, Cothrom review shall determine whether the Party materially performed the obligations within its control before any linked forestry benefit is reduced.</w:t>
      </w:r>
    </w:p>
    <w:p>
      <w:bookmarkStart w:id="1695" w:name="_NAESTMA_TOC_1695"/>
      <w:pPr>
        <w:pStyle w:val="Heading2"/>
        <w:keepNext/>
        <w:widowControl/>
        <w:rPr/>
      </w:pPr>
      <w:r>
        <w:rPr/>
        <w:t>Article 42.22: Proportional Linkage and No Essential-Supply Cutoff</w:t>
      </w:r>
      <w:bookmarkEnd w:id="1695"/>
    </w:p>
    <w:p>
      <w:pPr>
        <w:pStyle w:val="Normal"/>
        <w:widowControl/>
        <w:rPr/>
      </w:pPr>
      <w:r>
        <w:rPr/>
        <w:t>1. Failure of a linked milestone shall not automatically terminate unrelated strategic-mineral access or emergency continuity commitments. The Parties shall apply consultation, cure, the Narrowest-Sufficient-Remedy Rule, and proportionate adjustment of the paired benefit.</w:t>
      </w:r>
    </w:p>
    <w:p>
      <w:pPr>
        <w:pStyle w:val="Normal"/>
        <w:widowControl/>
        <w:rPr/>
      </w:pPr>
      <w:r>
        <w:rPr/>
        <w:t>2. No remedy under this Article shall deliberately interrupt an essential strategic-material flow where doing so would create a disproportionate health, safety, defense, energy, agricultural, infrastructure, or major manufacturing risk. Equivalent commercial adjustment may be used instead.</w:t>
      </w:r>
    </w:p>
    <w:p>
      <w:bookmarkStart w:id="1696" w:name="_NAESTMA_TOC_1696"/>
      <w:pPr>
        <w:pStyle w:val="Heading2"/>
        <w:keepNext/>
        <w:widowControl/>
        <w:rPr/>
      </w:pPr>
      <w:r>
        <w:rPr/>
        <w:t>Article 42.23: Joint Forestry and Strategic Materials Review</w:t>
      </w:r>
      <w:bookmarkEnd w:id="1696"/>
    </w:p>
    <w:p>
      <w:pPr>
        <w:pStyle w:val="Normal"/>
        <w:widowControl/>
        <w:rPr/>
      </w:pPr>
      <w:r>
        <w:rPr/>
        <w:t>1. The responsible Chapter 37 and Chapter 42 bodies shall conduct a coordinated review of any linked package at least annually, addressing mineral-access performance, processing and investment milestones, lumber-market conditions, duty treatment, housing and construction effects, circumvention risk, and the distribution of benefits among the Parties.</w:t>
      </w:r>
    </w:p>
    <w:p>
      <w:pPr>
        <w:pStyle w:val="Normal"/>
        <w:widowControl/>
        <w:rPr/>
      </w:pPr>
      <w:r>
        <w:rPr/>
        <w:t>2. The review shall apply the Three-Win Test and shall recommend adjustment where a linked package produces persistent uncompensated burdens for one Party or ceases to deliver the strategic purpose for which the linkage was created.</w:t>
      </w:r>
    </w:p>
    <w:p>
      <w:bookmarkStart w:id="1697" w:name="_NAESTMA_TOC_1697"/>
      <w:pPr>
        <w:pStyle w:val="Heading2"/>
        <w:keepNext/>
        <w:widowControl/>
        <w:rPr/>
      </w:pPr>
      <w:r>
        <w:rPr/>
        <w:t>Article 42.23A: Strategic Materials-for-Forestry Normalization Ladder</w:t>
      </w:r>
      <w:bookmarkEnd w:id="1697"/>
    </w:p>
    <w:p>
      <w:pPr>
        <w:pStyle w:val="Normal"/>
        <w:widowControl/>
        <w:rPr/>
      </w:pPr>
      <w:r>
        <w:rPr/>
        <w:t>1. Canada and the United States may adopt a bilateral implementation schedule translating verified strategic-material cooperation under Chapter 37 into defined, simultaneous forestry-normalization benefits. The schedule shall preserve the bilateral character of the historic Canada-United States softwood-lumber dispute and shall not impose those obligations on Mexico.</w:t>
      </w:r>
    </w:p>
    <w:p>
      <w:pPr>
        <w:pStyle w:val="Normal"/>
        <w:widowControl/>
        <w:rPr/>
      </w:pPr>
      <w:r>
        <w:rPr/>
        <w:t>2. Level I — Preferred Access and Immediate Section 232 Normalization. A Level I package may include a bounded Preferred Commercial Access Portfolio focused principally on abundant or expandable materials, including aluminum, potash, zinc, iron inputs, or other mutually agreed materials; project and qualification information exchange; processing and recycling cooperation; and ordinary continuity consultation. Upon verified activation of the agreed Level I package, the United States shall simultaneously eliminate, suspend, or otherwise reduce to zero the additional 10 percent Section 232 softwood-lumber tariff identified in the applicable adopted schedule, subject to the legal instrument implementing that treatment.</w:t>
      </w:r>
    </w:p>
    <w:p>
      <w:pPr>
        <w:pStyle w:val="Normal"/>
        <w:widowControl/>
        <w:rPr/>
      </w:pPr>
      <w:r>
        <w:rPr/>
        <w:t>3. Level II — Strategic Supply Partnership and Trade-Remedy Reduction. Additional voluntary offtake facilitation, stockpile or surge coordination, mine-to-manufacture investment corridors, incremental copper refining or other midstream expansion, market-stability cooperation, trusted external-feedstock integration, or larger preferred-access windows shall activate only against expressly identified and measurable reductions, suspensions, settlements, safe harbors, or other lawful normalization of the remaining antidumping, countervailing-duty, or equivalent softwood-lumber burden.</w:t>
      </w:r>
    </w:p>
    <w:p>
      <w:pPr>
        <w:pStyle w:val="Normal"/>
        <w:widowControl/>
        <w:rPr/>
      </w:pPr>
      <w:r>
        <w:rPr/>
        <w:t>4. Level III — Continental Industrial Partnership and Durable Forestry Settlement. Sustained co-investment in processing, refining, recycling, strategic reserves, infrastructure, research, qualification, downstream manufacturing, and other high-value strategic-material capacity may be exchanged for a durable softwood-lumber settlement, market-based safe harbor, managed-trade arrangement, or other low-friction treatment expressly adopted by Canada and the United States.</w:t>
      </w:r>
    </w:p>
    <w:p>
      <w:pPr>
        <w:pStyle w:val="Normal"/>
        <w:widowControl/>
        <w:rPr/>
      </w:pPr>
      <w:r>
        <w:rPr/>
        <w:t>5. The complete Strategic Materials Preferred Commercial Access Portfolio shall not be presumed to constitute consideration solely for Level I relief. Higher-value commodities, larger windows, uranium supply assurance, scarce-mineral cooperation, stockpile commitments, long-term offtake architecture, or major processing and investment commitments shall remain available as consideration for deeper Level II or Level III normalization unless expressly included in Level I by the supplying Party.</w:t>
      </w:r>
    </w:p>
    <w:p>
      <w:pPr>
        <w:pStyle w:val="Normal"/>
        <w:widowControl/>
        <w:rPr/>
      </w:pPr>
      <w:r>
        <w:rPr/>
        <w:t>6. Each Level shall identify the strategic-material contribution and corresponding forestry benefit with sufficient precision to permit objective verification. Aspirational consultation, future consideration, or an unbounded promise to review shall not constitute equivalent consideration for an immediately enforceable strategic-material commitment.</w:t>
      </w:r>
    </w:p>
    <w:p>
      <w:pPr>
        <w:pStyle w:val="Normal"/>
        <w:widowControl/>
        <w:rPr/>
      </w:pPr>
      <w:r>
        <w:rPr/>
        <w:t>7. Article 35.36 applies to every Level. Linked obligations shall activate concurrently or at matched milestones; verified failure shall ordinarily produce only a proportionate pause or step-back in the corresponding linked benefit; and restoration shall occur automatically when performance resumes.</w:t>
      </w:r>
    </w:p>
    <w:p>
      <w:bookmarkStart w:id="1698" w:name="_NAESTMA_TOC_1698"/>
      <w:pPr>
        <w:pStyle w:val="Heading2"/>
        <w:keepNext/>
        <w:widowControl/>
        <w:rPr/>
      </w:pPr>
      <w:r>
        <w:rPr/>
        <w:t>Article 42.23B: No Double Payment, No Commodity Contagion, and Value Preservation</w:t>
      </w:r>
      <w:bookmarkEnd w:id="1698"/>
    </w:p>
    <w:p>
      <w:pPr>
        <w:pStyle w:val="Normal"/>
        <w:widowControl/>
        <w:rPr/>
      </w:pPr>
      <w:r>
        <w:rPr/>
        <w:t>1. A strategic-material contribution credited toward one forestry-normalization milestone shall not be counted again as new consideration for a later milestone unless the later milestone is supported by additional duration, volume, investment, processing, resilience, or other measurable value.</w:t>
      </w:r>
    </w:p>
    <w:p>
      <w:pPr>
        <w:pStyle w:val="Normal"/>
        <w:widowControl/>
        <w:rPr/>
      </w:pPr>
      <w:r>
        <w:rPr/>
        <w:t>2. A dispute involving one commodity shall be isolated to the value attributed to that commodity. Non-performance concerning uranium, zinc, copper, aluminum, potash, iron, gold, or another material shall not by itself unwind benefits earned through independently performing commodities or unrelated obligations.</w:t>
      </w:r>
    </w:p>
    <w:p>
      <w:pPr>
        <w:pStyle w:val="Normal"/>
        <w:widowControl/>
        <w:rPr/>
      </w:pPr>
      <w:r>
        <w:rPr/>
        <w:t>3. Where the legal form of a United States trade-remedy measure prevents automatic tariff modification solely through this Agreement, the adopted schedule shall identify the lawful settlement, review, suspension, undertaking, exclusion, safe-harbor, or other implementing mechanism required and the deadline for its use. Canada shall not be required to activate the paired higher-level strategic-material concession until the corresponding implementing action is effective.</w:t>
      </w:r>
    </w:p>
    <w:p>
      <w:pPr>
        <w:pStyle w:val="Normal"/>
        <w:widowControl/>
        <w:rPr/>
      </w:pPr>
      <w:r>
        <w:rPr/>
        <w:t>4. The annual joint review under Article 42.23 shall assess commensurability, including the commercial value, strategic importance, duration, reversibility, and enforceability of each side’s contribution. Persistent material imbalance shall trigger consultation and recalibration rather than automatic expansion of the supplying Party’s obligations.</w:t>
      </w:r>
    </w:p>
    <w:p>
      <w:pPr>
        <w:pStyle w:val="Heading3"/>
        <w:keepNext/>
        <w:widowControl/>
        <w:rPr/>
      </w:pPr>
      <w:r>
        <w:rPr/>
        <w:t>Article 42.24: Trilateral Forestry and Wood-Products Integration Lane</w:t>
      </w:r>
    </w:p>
    <w:p>
      <w:pPr>
        <w:pStyle w:val="Normal"/>
        <w:widowControl/>
        <w:rPr/>
      </w:pPr>
      <w:r>
        <w:rPr/>
        <w:t>1. In addition to the Canada-United States softwood-lumber dispute disciplines in Articles 42.2 through 42.4 and related provisions, the Parties establish a separate trilateral lane for North American forestry, lumber-supply resilience, value-added wood manufacturing, housing inputs, forest health, wildfire resilience, and circular forest products.</w:t>
      </w:r>
    </w:p>
    <w:p>
      <w:pPr>
        <w:pStyle w:val="Normal"/>
        <w:widowControl/>
        <w:rPr/>
      </w:pPr>
      <w:r>
        <w:rPr/>
        <w:t>2. Mexico participates in the trilateral lane as a full Party. Participation does not require Mexico to adopt a position concerning the historic Canada-United States stumpage, antidumping, countervailing-duty, or other softwood-lumber disputes, and does not make Mexico responsible for obligations that are expressly bilateral between Canada and the United States.</w:t>
      </w:r>
    </w:p>
    <w:p>
      <w:pPr>
        <w:pStyle w:val="Normal"/>
        <w:widowControl/>
        <w:rPr/>
      </w:pPr>
      <w:r>
        <w:rPr/>
        <w:t>3. The trilateral lane shall prioritize commercially useful cooperation that creates value in more than one Party and reduces unnecessary dependence on non-North-American supply without imposing mandatory production allocation among the Parties.</w:t>
      </w:r>
    </w:p>
    <w:p>
      <w:pPr>
        <w:pStyle w:val="Heading3"/>
        <w:keepNext/>
        <w:widowControl/>
        <w:rPr/>
      </w:pPr>
      <w:r>
        <w:rPr/>
        <w:t>Article 42.25: Mexican Lumber Supply Security and Canadian Market Diversification</w:t>
      </w:r>
    </w:p>
    <w:p>
      <w:pPr>
        <w:pStyle w:val="Normal"/>
        <w:widowControl/>
        <w:rPr/>
      </w:pPr>
      <w:r>
        <w:rPr/>
        <w:t>1. Canada and the United States shall facilitate commercially negotiated access for Mexican purchasers to qualifying North American lumber and wood products through supplier matching, transparent grading and certification, trusted-trader procedures, logistics cooperation, and long-term contracting where voluntarily agreed by private parties.</w:t>
      </w:r>
    </w:p>
    <w:p>
      <w:pPr>
        <w:pStyle w:val="Normal"/>
        <w:widowControl/>
        <w:rPr/>
      </w:pPr>
      <w:r>
        <w:rPr/>
        <w:t>2. Canada and Mexico shall establish a market-diversification workstream to identify unnecessary administrative, certification, logistics, customs, or information barriers that materially inhibit commercially viable Canadian forest-product exports to Mexico.</w:t>
      </w:r>
    </w:p>
    <w:p>
      <w:pPr>
        <w:pStyle w:val="Normal"/>
        <w:widowControl/>
        <w:rPr/>
      </w:pPr>
      <w:r>
        <w:rPr/>
        <w:t>3. Nothing in this Article guarantees a purchase volume, price, export quota, or supplier share. The objective is to enlarge commercially available North American supply options rather than redirect trade by administrative command.</w:t>
      </w:r>
    </w:p>
    <w:p>
      <w:pPr>
        <w:pStyle w:val="Heading3"/>
        <w:keepNext/>
        <w:widowControl/>
        <w:rPr/>
      </w:pPr>
      <w:r>
        <w:rPr/>
        <w:t>Article 42.26: Mexican Value-Added Wood Manufacturing and North American Transformation</w:t>
      </w:r>
    </w:p>
    <w:p>
      <w:pPr>
        <w:pStyle w:val="Normal"/>
        <w:widowControl/>
        <w:rPr/>
      </w:pPr>
      <w:r>
        <w:rPr/>
        <w:t>1. The Parties shall facilitate North American value-added wood manufacturing, including doors, windows, cabinetry, millwork, engineered components, prefabricated construction systems, mass-timber components, furniture inputs, structural systems, remanufactured products, and other higher-value forest products.</w:t>
      </w:r>
    </w:p>
    <w:p>
      <w:pPr>
        <w:pStyle w:val="Normal"/>
        <w:widowControl/>
        <w:rPr/>
      </w:pPr>
      <w:r>
        <w:rPr/>
        <w:t>2. Qualifying Canadian or United States lumber substantially transformed in Mexico into an originating wood product shall receive the treatment available under Chapter 4 and applicable product-specific rules without discrimination merely because the downstream transformation occurred in Mexico.</w:t>
      </w:r>
    </w:p>
    <w:p>
      <w:pPr>
        <w:pStyle w:val="Normal"/>
        <w:widowControl/>
        <w:rPr/>
      </w:pPr>
      <w:r>
        <w:rPr/>
        <w:t>3. The Commission may develop voluntary North American Wood Transformation credentials that reuse verified origin, grading, phytosanitary, sustainability, and chain-of-custody evidence to reduce duplicative compliance.</w:t>
      </w:r>
    </w:p>
    <w:p>
      <w:pPr>
        <w:pStyle w:val="Heading3"/>
        <w:keepNext/>
        <w:widowControl/>
        <w:rPr/>
      </w:pPr>
      <w:r>
        <w:rPr/>
        <w:t>Article 42.27: Forest-to-Factory Corridors and Housing Inputs</w:t>
      </w:r>
    </w:p>
    <w:p>
      <w:pPr>
        <w:pStyle w:val="Normal"/>
        <w:widowControl/>
        <w:rPr/>
      </w:pPr>
      <w:r>
        <w:rPr/>
        <w:t>1. The Parties may designate voluntary Forest-to-Factory Corridors connecting forest-producing regions, rail and port infrastructure, border facilities, Mexican and other North American manufacturing clusters, and construction markets.</w:t>
      </w:r>
    </w:p>
    <w:p>
      <w:pPr>
        <w:pStyle w:val="Normal"/>
        <w:widowControl/>
        <w:rPr/>
      </w:pPr>
      <w:r>
        <w:rPr/>
        <w:t>2. Corridor cooperation may include pre-clearance, bonded movement, standardized electronic documentation, mutual recognition of equivalent grading and testing, logistics-data exchange, and infrastructure bottleneck identification.</w:t>
      </w:r>
    </w:p>
    <w:p>
      <w:pPr>
        <w:pStyle w:val="Normal"/>
        <w:widowControl/>
        <w:rPr/>
      </w:pPr>
      <w:r>
        <w:rPr/>
        <w:t>3. Particular attention may be given to wood products used in housing supply, disaster reconstruction, modular construction, and affordable residential development, consistent with Articles 42.10 and 42.11.</w:t>
      </w:r>
    </w:p>
    <w:p>
      <w:pPr>
        <w:pStyle w:val="Heading3"/>
        <w:keepNext/>
        <w:widowControl/>
        <w:rPr/>
      </w:pPr>
      <w:r>
        <w:rPr/>
        <w:t>Article 42.28: Salvage-to-Value and Forest Recovery Cooperation</w:t>
      </w:r>
    </w:p>
    <w:p>
      <w:pPr>
        <w:pStyle w:val="Normal"/>
        <w:widowControl/>
        <w:rPr/>
      </w:pPr>
      <w:r>
        <w:rPr/>
        <w:t>1. Subject to phytosanitary, environmental, safety, and domestic-law requirements, the Parties shall facilitate lawful recovery and commercial use of suitable timber affected by wildfire, storm, pest, disease, or other forest disturbance where such use supports restoration, reduces waste, or supplies reconstruction and manufacturing needs.</w:t>
      </w:r>
    </w:p>
    <w:p>
      <w:pPr>
        <w:pStyle w:val="Normal"/>
        <w:widowControl/>
        <w:rPr/>
      </w:pPr>
      <w:r>
        <w:rPr/>
        <w:t>2. Cooperation may include expedited technical determinations, grading and moisture protocols, pest-risk controls, transport coordination, biomass and residual-use pathways, and data concerning material suitable for remanufacturing or engineered products.</w:t>
      </w:r>
    </w:p>
    <w:p>
      <w:pPr>
        <w:pStyle w:val="Heading3"/>
        <w:keepNext/>
        <w:widowControl/>
        <w:rPr/>
      </w:pPr>
      <w:r>
        <w:rPr/>
        <w:t>Article 42.29: Mexico Non-Participation Firewall for Bilateral Lumber Remedies</w:t>
      </w:r>
    </w:p>
    <w:p>
      <w:pPr>
        <w:pStyle w:val="Normal"/>
        <w:widowControl/>
        <w:rPr/>
      </w:pPr>
      <w:r>
        <w:rPr/>
        <w:t>1. No finding, remedy, cash-deposit rate, benchmark determination, settlement condition, or Cothrom step-back arising solely from the historic Canada-United States softwood-lumber dispute shall be attributed to Mexico or applied to Mexican originating forest products solely by reason of Mexico's participation in this Chapter.</w:t>
      </w:r>
    </w:p>
    <w:p>
      <w:pPr>
        <w:pStyle w:val="Normal"/>
        <w:widowControl/>
        <w:rPr/>
      </w:pPr>
      <w:r>
        <w:rPr/>
        <w:t>2. A trilateral forestry benefit may be suspended with respect to Mexico only on the basis of conduct attributable to Mexico under that benefit and only through the applicable evidentiary and proportionality procedures of this Agreement.</w:t>
      </w:r>
      <w:r>
        <w:br w:type="page"/>
      </w:r>
    </w:p>
    <w:p>
      <w:bookmarkStart w:id="1699" w:name="_NAESTMA_TOC_1699"/>
      <w:pPr>
        <w:pStyle w:val="Heading1"/>
        <w:keepNext/>
        <w:keepLines w:val="0"/>
        <w:pageBreakBefore/>
        <w:widowControl/>
        <w:rPr/>
      </w:pPr>
      <w:bookmarkStart w:id="293" w:name="_Toc237912774"/>
      <w:r>
        <w:rPr/>
        <w:t>CHAPTER 43</w:t>
      </w:r>
      <w:bookmarkEnd w:id="293"/>
      <w:bookmarkEnd w:id="1699"/>
    </w:p>
    <w:p>
      <w:bookmarkStart w:id="1700" w:name="_NAESTMA_TOC_1700"/>
      <w:pPr>
        <w:pStyle w:val="Heading2"/>
        <w:keepNext/>
        <w:pageBreakBefore w:val="false"/>
        <w:widowControl/>
        <w:rPr/>
      </w:pPr>
      <w:bookmarkStart w:id="294" w:name="_Toc237912775"/>
      <w:r>
        <w:rPr/>
        <w:t>AGRICULTURAL MARKET ACCESS, COMPETITIVE NEUTRALITY, AND INNOVATION</w:t>
      </w:r>
      <w:bookmarkEnd w:id="294"/>
      <w:bookmarkEnd w:id="1700"/>
    </w:p>
    <w:p>
      <w:pPr>
        <w:pStyle w:val="Heading3"/>
        <w:keepNext/>
        <w:widowControl/>
        <w:rPr/>
      </w:pPr>
      <w:r>
        <w:rPr/>
        <w:t>Article 43.1: Balanced Agricultural Market Access</w:t>
      </w:r>
    </w:p>
    <w:p>
      <w:pPr>
        <w:pStyle w:val="Normal"/>
        <w:widowControl/>
        <w:rPr/>
      </w:pPr>
      <w:r>
        <w:rPr/>
        <w:t>1. The Parties shall administer agricultural tariff-rate quotas transparently, predictably, and so as to facilitate commercially meaningful utilization while preserving each Party's express schedules, sensitive-sector commitments, and domestic agricultural policy structures except where specifically amended.</w:t>
      </w:r>
    </w:p>
    <w:p>
      <w:pPr>
        <w:pStyle w:val="Normal"/>
        <w:widowControl/>
        <w:rPr/>
      </w:pPr>
      <w:r>
        <w:rPr/>
        <w:t>2. Any negotiated expansion of agricultural access shall be reciprocal or accompanied by a clearly identified offsetting benefit and shall be implemented through published schedules rather than informal purchase targets.</w:t>
      </w:r>
    </w:p>
    <w:p>
      <w:pPr>
        <w:pStyle w:val="Heading3"/>
        <w:keepNext/>
        <w:widowControl/>
        <w:rPr/>
      </w:pPr>
      <w:r>
        <w:rPr/>
        <w:t>Article 43.2: Dairy Manufacturing Inputs</w:t>
      </w:r>
    </w:p>
    <w:p>
      <w:pPr>
        <w:pStyle w:val="Normal"/>
        <w:widowControl/>
        <w:rPr/>
      </w:pPr>
      <w:r>
        <w:rPr/>
        <w:t>1. The Parties may establish staged tariff-rate quotas or simplified treatment for specified dairy manufacturing inputs used in value-added North American production. Expansion may occur by consensus following review of utilization, processing investment, producer effects, and market disruption.</w:t>
      </w:r>
    </w:p>
    <w:p>
      <w:pPr>
        <w:pStyle w:val="Normal"/>
        <w:widowControl/>
        <w:rPr/>
      </w:pPr>
      <w:r>
        <w:rPr/>
        <w:t>2. This Article does not create unlimited duty-free access or abolish Canada's supply-management system.</w:t>
      </w:r>
    </w:p>
    <w:p>
      <w:pPr>
        <w:pStyle w:val="Heading3"/>
        <w:keepNext/>
        <w:widowControl/>
        <w:rPr/>
      </w:pPr>
      <w:r>
        <w:rPr/>
        <w:t>Article 43.2A: North American Dairy Settlement and Supply-Management Stability</w:t>
      </w:r>
    </w:p>
    <w:p>
      <w:pPr>
        <w:pStyle w:val="Normal"/>
        <w:widowControl/>
        <w:rPr/>
      </w:pPr>
      <w:r>
        <w:rPr/>
        <w:t>1. The Parties establish a North American Dairy Stability and Market Access Framework to convert recurring dairy disputes into predictable, evidence-based administration while preserving legitimate domestic agricultural policy and expanding commercially meaningful North American trade.</w:t>
      </w:r>
    </w:p>
    <w:p>
      <w:pPr>
        <w:pStyle w:val="Normal"/>
        <w:widowControl/>
        <w:rPr/>
      </w:pPr>
      <w:r>
        <w:rPr/>
        <w:t>2. Nothing in this Framework requires Canada to abolish, privatize, terminate, or fundamentally restructure its system of supply management for dairy products. The maintenance of supply management shall not, however, diminish, frustrate, condition, or render commercially impracticable market access expressly granted under this Agreement.</w:t>
      </w:r>
    </w:p>
    <w:p>
      <w:pPr>
        <w:pStyle w:val="Normal"/>
        <w:widowControl/>
        <w:rPr/>
      </w:pPr>
      <w:r>
        <w:rPr/>
        <w:t>3. The Parties shall administer this Framework on a trilateral basis. Canada, Mexico, and the United States shall each receive equivalent procedural rights, transparency, review, and protection against discriminatory administration, subject only to express Party-specific commitments in the Schedules.</w:t>
      </w:r>
    </w:p>
    <w:p>
      <w:pPr>
        <w:pStyle w:val="Normal"/>
        <w:widowControl/>
        <w:rPr/>
      </w:pPr>
      <w:r>
        <w:rPr/>
        <w:t>4. No Party shall be treated solely as a destination market, residual-surplus market, or source of low-cost dairy inputs. Implementation shall seek balanced opportunities for producers, processors, importers, retailers, food-service operators, consumers, and small and medium-sized enterprises in all three Parties.</w:t>
      </w:r>
    </w:p>
    <w:p>
      <w:pPr>
        <w:pStyle w:val="TrumpVisibilityHeadline"/>
        <w:widowControl/>
        <w:rPr/>
      </w:pPr>
      <w:r>
        <w:rPr/>
        <w:t xml:space="preserve">★ </w:t>
      </w:r>
      <w:r>
        <w:rPr/>
        <w:t>VISIBLE U.S. WIN: GUARANTEED NEW U.S. DAIRY ACCESS — MEASURABLE, USABLE, AND PROTECTED AGAINST ADMINISTRATIVE UNDERFILL</w:t>
      </w:r>
    </w:p>
    <w:p>
      <w:pPr>
        <w:pStyle w:val="Heading3"/>
        <w:keepNext/>
        <w:widowControl/>
        <w:rPr/>
      </w:pPr>
      <w:r>
        <w:rPr/>
        <w:t>Article 43.2B: Effective Dairy Access Guarantee</w:t>
      </w:r>
    </w:p>
    <w:p>
      <w:pPr>
        <w:pStyle w:val="Normal"/>
        <w:widowControl/>
        <w:rPr/>
      </w:pPr>
      <w:r>
        <w:rPr/>
        <w:t>1. A Party administering a dairy tariff-rate quota shall ensure that negotiated access is commercially usable in practice as well as legally available on paper.</w:t>
      </w:r>
    </w:p>
    <w:p>
      <w:pPr>
        <w:pStyle w:val="Normal"/>
        <w:widowControl/>
        <w:rPr/>
      </w:pPr>
      <w:r>
        <w:rPr/>
        <w:t>2. Administration shall use published eligibility rules, application windows, allocation methodologies, processing deadlines, utilization reporting, return procedures, reallocation procedures, reasons for material adverse decisions, and accessible review mechanisms.</w:t>
      </w:r>
    </w:p>
    <w:p>
      <w:pPr>
        <w:pStyle w:val="Normal"/>
        <w:widowControl/>
        <w:rPr/>
      </w:pPr>
      <w:r>
        <w:rPr/>
        <w:t>3. Eligibility shall not be conditioned solely on an applicant being a domestic processor or on prior import history. Subject to neutral qualification criteria, eligible applicants may include processors, retailers, distributors, food-service operators, cooperatives, end-users, and new entrants.</w:t>
      </w:r>
    </w:p>
    <w:p>
      <w:pPr>
        <w:pStyle w:val="Normal"/>
        <w:widowControl/>
        <w:rPr/>
      </w:pPr>
      <w:r>
        <w:rPr/>
        <w:t>4. Allocations shall, where practicable, be divided into commercially useful tranches and shall not be structured to exclude smaller qualified applicants. Chronic non-use may justify prospective reduction of an individual allocation after notice and an opportunity to respond.</w:t>
      </w:r>
    </w:p>
    <w:p>
      <w:pPr>
        <w:pStyle w:val="Normal"/>
        <w:widowControl/>
        <w:rPr/>
      </w:pPr>
      <w:r>
        <w:rPr/>
        <w:t>5. A Party shall not require resubmission of materially identical information already held by the competent authority unless reasonably necessary to verify changed circumstances, correct an identified deficiency, or address particularized risk evidence.</w:t>
      </w:r>
    </w:p>
    <w:p>
      <w:pPr>
        <w:pStyle w:val="Normal"/>
        <w:widowControl/>
        <w:rPr/>
      </w:pPr>
      <w:r>
        <w:rPr/>
        <w:t>6. Qualifying in-quota shipments shall receive predictable customs processing and shall not be subjected to discretionary fees, port channeling, repetitive inspections, or administrative delay designed or operating to nullify negotiated access.</w:t>
      </w:r>
    </w:p>
    <w:p>
      <w:pPr>
        <w:pStyle w:val="Heading3"/>
        <w:keepNext/>
        <w:widowControl/>
        <w:rPr/>
      </w:pPr>
      <w:r>
        <w:rPr/>
        <w:t>Article 43.2C: Utilization, Adaptive TRQs, and Access Restoration</w:t>
      </w:r>
    </w:p>
    <w:p>
      <w:pPr>
        <w:pStyle w:val="Normal"/>
        <w:widowControl/>
        <w:rPr/>
      </w:pPr>
      <w:r>
        <w:rPr/>
        <w:t>1. Low utilization of a dairy tariff-rate quota does not by itself establish a violation. Review shall distinguish market underfill caused by demand, price, supply, commercial choice, logistics, or other market conditions from access failure materially caused by government administration.</w:t>
      </w:r>
    </w:p>
    <w:p>
      <w:pPr>
        <w:pStyle w:val="Normal"/>
        <w:widowControl/>
        <w:rPr/>
      </w:pPr>
      <w:r>
        <w:rPr/>
        <w:t>2. Where utilization falls below a published administrative-access benchmark, any Party may request an expedited factual review under Article 43.2J. The review shall determine whether an administrative measure materially prevented otherwise commercially viable utilization.</w:t>
      </w:r>
    </w:p>
    <w:p>
      <w:pPr>
        <w:pStyle w:val="Normal"/>
        <w:widowControl/>
        <w:rPr/>
      </w:pPr>
      <w:r>
        <w:rPr/>
        <w:t>3. A verified access failure shall be corrected through the narrowest sufficient remedy, including accelerated processing, removal of discriminatory eligibility conditions, reallocation of unused quantities, or prospective make-up access corresponding to the opportunity proven to have been frustrated.</w:t>
      </w:r>
    </w:p>
    <w:p>
      <w:pPr>
        <w:pStyle w:val="Normal"/>
        <w:widowControl/>
        <w:rPr/>
      </w:pPr>
      <w:r>
        <w:rPr/>
        <w:t>4. Prospective make-up access shall be temporary and shall not permanently enlarge the underlying tariff-rate quota unless the Parties expressly agree. Repeated or intentional obstruction may justify a proportionately enhanced make-up quantity within limits adopted by the Commission.</w:t>
      </w:r>
    </w:p>
    <w:p>
      <w:pPr>
        <w:pStyle w:val="Normal"/>
        <w:widowControl/>
        <w:rPr/>
      </w:pPr>
      <w:r>
        <w:rPr/>
        <w:t>5. Returned or materially unused allocations shall be reoffered early enough in the quota year to permit commercially meaningful use. The Parties shall publish return and reallocation calendars in advance.</w:t>
      </w:r>
    </w:p>
    <w:p>
      <w:pPr>
        <w:pStyle w:val="Normal"/>
        <w:widowControl/>
        <w:rPr/>
      </w:pPr>
      <w:r>
        <w:rPr/>
        <w:t>6. Any automatic growth mechanism adopted for a dairy tariff-rate quota shall be product-sensitive, transparent, bounded by a published annual floor and ceiling, and linked to objective indicators such as population or relevant-category consumption. No growth formula shall operate as an unlimited ratchet detached from market conditions.</w:t>
      </w:r>
    </w:p>
    <w:p>
      <w:pPr>
        <w:pStyle w:val="Normal"/>
        <w:widowControl/>
        <w:rPr/>
      </w:pPr>
      <w:r>
        <w:rPr/>
        <w:t>7. The Parties may establish secondary North American access windows for defined products where country-specific access remains persistently unused for non-administrative reasons, provided such a window does not erase or reduce another Party's negotiated rights without its consent.</w:t>
      </w:r>
    </w:p>
    <w:p>
      <w:pPr>
        <w:pStyle w:val="Heading3"/>
        <w:keepNext/>
        <w:widowControl/>
        <w:rPr/>
      </w:pPr>
      <w:r>
        <w:rPr/>
        <w:t>Article 43.2D: Mexico Integration, Capacity Development, and Balanced Trilateral Opportunity</w:t>
      </w:r>
    </w:p>
    <w:p>
      <w:pPr>
        <w:pStyle w:val="Normal"/>
        <w:widowControl/>
        <w:rPr/>
      </w:pPr>
      <w:r>
        <w:rPr/>
        <w:t>1. The Parties recognize Mexico as a full producer, processor, consumer, importer, exporter, investment destination, and innovation partner within the North American dairy economy.</w:t>
      </w:r>
    </w:p>
    <w:p>
      <w:pPr>
        <w:pStyle w:val="Normal"/>
        <w:widowControl/>
        <w:rPr/>
      </w:pPr>
      <w:r>
        <w:rPr/>
        <w:t>2. Canada and Mexico may establish reciprocal product-specific access windows for specialty cheeses, butterfat products, dairy ingredients, cultured products, milk powders, and other mutually agreed categories. Access shall be scheduled transparently and shall not be presumed to require identical quantities in each direction.</w:t>
      </w:r>
    </w:p>
    <w:p>
      <w:pPr>
        <w:pStyle w:val="Normal"/>
        <w:widowControl/>
        <w:rPr/>
      </w:pPr>
      <w:r>
        <w:rPr/>
        <w:t>3. The Parties shall maintain a North American Dairy Capacity-Gap Map identifying, on a non-confidential basis, commercially relevant gaps in processing, cold storage, transportation, veterinary capacity, water-efficient technology, packaging, specialized dairy ingredients, and other value-chain capabilities. Identified gaps shall be presented as voluntary investment opportunities rather than government-assigned production mandates.</w:t>
      </w:r>
    </w:p>
    <w:p>
      <w:pPr>
        <w:pStyle w:val="Normal"/>
        <w:widowControl/>
        <w:rPr/>
      </w:pPr>
      <w:r>
        <w:rPr/>
        <w:t>4. Mexico may maintain evidence-based, time-limited development safeguards for an emerging dairy segment where a sudden import surge would materially impair commercially viable capacity under development. Any safeguard shall be narrowly tailored, progressively liberalized, automatically expire, and remain subject to expedited review.</w:t>
      </w:r>
    </w:p>
    <w:p>
      <w:pPr>
        <w:pStyle w:val="Normal"/>
        <w:widowControl/>
        <w:rPr/>
      </w:pPr>
      <w:r>
        <w:rPr/>
        <w:t>5. The Parties shall facilitate voluntary producer, cooperative, processor, university, and investor partnerships supporting Mexican value-added dairy production, including cheese, cultured products, dairy ingredients, specialized nutrition, cold-chain infrastructure, water efficiency, animal health, genetics, feed efficiency, and workforce development.</w:t>
      </w:r>
    </w:p>
    <w:p>
      <w:pPr>
        <w:pStyle w:val="Normal"/>
        <w:widowControl/>
        <w:rPr/>
      </w:pPr>
      <w:r>
        <w:rPr/>
        <w:t>6. No benefit under this Article shall depend on a firm locating in a particular Party. Investment-ready sites and capacity opportunities in all three Parties may compete on transparent terms.</w:t>
      </w:r>
    </w:p>
    <w:p>
      <w:pPr>
        <w:pStyle w:val="Normal"/>
        <w:widowControl/>
        <w:rPr/>
      </w:pPr>
      <w:r>
        <w:rPr/>
        <w:t>7. Origin rules for processed dairy products shall facilitate legitimate triangular North American supply chains while preventing superficial processing, transshipment, or origin laundering.</w:t>
      </w:r>
    </w:p>
    <w:p>
      <w:pPr>
        <w:pStyle w:val="Heading3"/>
        <w:keepNext/>
        <w:widowControl/>
        <w:rPr/>
      </w:pPr>
      <w:r>
        <w:rPr/>
        <w:t>Article 43.2E: Dairy Proteins, Concentrates, and Competitive-Neutrality Safe Harbor</w:t>
      </w:r>
    </w:p>
    <w:p>
      <w:pPr>
        <w:pStyle w:val="Normal"/>
        <w:widowControl/>
        <w:rPr/>
      </w:pPr>
      <w:r>
        <w:rPr/>
        <w:t>1. The Parties shall exchange timely, comparable, and appropriately aggregated information concerning production, administered pricing measures, support programs, exports, and trade in milk protein concentrates, milk protein isolates, skim milk powder, whey proteins, ultra-filtered milk, casein, caseinates, and other designated dairy proteins and concentrates.</w:t>
      </w:r>
    </w:p>
    <w:p>
      <w:pPr>
        <w:pStyle w:val="Normal"/>
        <w:widowControl/>
        <w:rPr/>
      </w:pPr>
      <w:r>
        <w:rPr/>
        <w:t>2. A challenge to dairy-protein exports shall identify the government measure alleged to create a material trade distortion and shall demonstrate, using objective evidence, a sustained causal relationship between that measure and the challenged trade effect. Low export prices, increased export volume, or a trade surplus alone shall not establish a violation.</w:t>
      </w:r>
    </w:p>
    <w:p>
      <w:pPr>
        <w:pStyle w:val="Normal"/>
        <w:widowControl/>
        <w:rPr/>
      </w:pPr>
      <w:r>
        <w:rPr/>
        <w:t>3. A producer or exporter complying with agreed transparency, origin, subsidy-disclosure, and anti-circumvention requirements shall receive a rebuttable presumption of compliance for routine administration, without preventing action based on materially new evidence.</w:t>
      </w:r>
    </w:p>
    <w:p>
      <w:pPr>
        <w:pStyle w:val="Normal"/>
        <w:widowControl/>
        <w:rPr/>
      </w:pPr>
      <w:r>
        <w:rPr/>
        <w:t>4. Nothing in this Article establishes a North American minimum export price, common milk-pricing class system, mandatory harmonization of domestic support programs, or joint authority to set commercial dairy prices.</w:t>
      </w:r>
    </w:p>
    <w:p>
      <w:pPr>
        <w:pStyle w:val="Normal"/>
        <w:widowControl/>
        <w:rPr/>
      </w:pPr>
      <w:r>
        <w:rPr/>
        <w:t>5. Proposed material changes to a dairy-protein pricing or export measure with reasonably foreseeable cross-border effects shall be notified not less than 90 days in advance where practicable and shall be subject to technical consultation on request.</w:t>
      </w:r>
    </w:p>
    <w:p>
      <w:pPr>
        <w:pStyle w:val="Heading3"/>
        <w:keepNext/>
        <w:widowControl/>
        <w:rPr/>
      </w:pPr>
      <w:r>
        <w:rPr/>
        <w:t>Article 43.2F: Regulatory Equivalence, Inspection, and Dairy Border Facilitation</w:t>
      </w:r>
    </w:p>
    <w:p>
      <w:pPr>
        <w:pStyle w:val="Normal"/>
        <w:widowControl/>
        <w:rPr/>
      </w:pPr>
      <w:r>
        <w:rPr/>
        <w:t>1. The Parties shall pursue equivalence and interoperability rather than unnecessary regulatory homogenization. A Party may maintain its own food-safety, labeling, animal-health, consumer-protection, and inspection systems where they achieve the required level of protection.</w:t>
      </w:r>
    </w:p>
    <w:p>
      <w:pPr>
        <w:pStyle w:val="Normal"/>
        <w:widowControl/>
        <w:rPr/>
      </w:pPr>
      <w:r>
        <w:rPr/>
        <w:t>2. The Parties shall establish a Dairy Regulatory Equivalence Ladder under which cooperation may progress from exchange of standards, to recognition of equivalent testing methods, recognition of approved facilities, mutual recognition of inspection results, and trusted-operator treatment where supported by evidence.</w:t>
      </w:r>
    </w:p>
    <w:p>
      <w:pPr>
        <w:pStyle w:val="Normal"/>
        <w:widowControl/>
        <w:rPr/>
      </w:pPr>
      <w:r>
        <w:rPr/>
        <w:t>3. The Parties shall develop a common North American dairy export-certificate data set capable of being issued through each Party's domestic system and recognized by the others. A Party may require additional information only where necessary for a legitimate regulatory purpose.</w:t>
      </w:r>
    </w:p>
    <w:p>
      <w:pPr>
        <w:pStyle w:val="Normal"/>
        <w:widowControl/>
        <w:rPr/>
      </w:pPr>
      <w:r>
        <w:rPr/>
        <w:t>4. Dairy traceability systems shall be interoperable through common data fields and secure exchange standards. Nothing in this Article requires a single centralized database or a specified distributed-ledger technology.</w:t>
      </w:r>
    </w:p>
    <w:p>
      <w:pPr>
        <w:pStyle w:val="Normal"/>
        <w:widowControl/>
        <w:rPr/>
      </w:pPr>
      <w:r>
        <w:rPr/>
        <w:t>5. Fresh and highly perishable dairy products may receive expedited processing lanes, pre-arrival review, priority inspection, and risk-based release procedures. Service targets shall reflect product perishability without limiting necessary food-safety action.</w:t>
      </w:r>
    </w:p>
    <w:p>
      <w:pPr>
        <w:pStyle w:val="Normal"/>
        <w:widowControl/>
        <w:rPr/>
      </w:pPr>
      <w:r>
        <w:rPr/>
        <w:t>6. The Parties shall establish expedited consultation for recurring customs-classification, SPS, grading, labeling, additive, packaging, or inspection issues affecting dairy trade. Bona fide emergency health measures may take effect immediately but shall be explained and reviewed promptly.</w:t>
      </w:r>
    </w:p>
    <w:p>
      <w:pPr>
        <w:pStyle w:val="Heading3"/>
        <w:keepNext/>
        <w:widowControl/>
        <w:rPr/>
      </w:pPr>
      <w:r>
        <w:rPr/>
        <w:t>Article 43.2G: Specialty Dairy, Small Producers, and Novel Products</w:t>
      </w:r>
    </w:p>
    <w:p>
      <w:pPr>
        <w:pStyle w:val="Normal"/>
        <w:widowControl/>
        <w:rPr/>
      </w:pPr>
      <w:r>
        <w:rPr/>
        <w:t>1. The Commission shall maintain a Specialty Dairy and Novel Products Schedule containing common descriptive definitions, tariff-line crosswalks, regulatory notes, and product-specific facilitation measures for categories that are frequently misclassified, technologically novel, highly perishable, or commercially distinct.</w:t>
      </w:r>
    </w:p>
    <w:p>
      <w:pPr>
        <w:pStyle w:val="Normal"/>
        <w:widowControl/>
        <w:rPr/>
      </w:pPr>
      <w:r>
        <w:rPr/>
        <w:t>2. Candidate categories may include goat- and sheep-milk cheeses; Mexican fresh cheeses including queso fresco, panela, and Oaxaca-style products; aged and fresh cheese variants; burrata and other highly perishable cheeses; kefir, skyr, cultured buttermilk, and other cultured products; milk and whey proteins by concentration; hydrolyzed proteins; pharmaceutical- and food-grade lactose; casein and caseinates; ghee, anhydrous milk fat, butter oil, and concentrated butter; dulce de leche and related caramelized milk products; specialized dairy-based nutrition; and ultra-filtered milk and concentrates.</w:t>
      </w:r>
    </w:p>
    <w:p>
      <w:pPr>
        <w:pStyle w:val="Normal"/>
        <w:widowControl/>
        <w:rPr/>
      </w:pPr>
      <w:r>
        <w:rPr/>
        <w:t>3. Nothing in paragraph 2 requires creation of an international Harmonized System heading. The Parties may coordinate national tariff-line subdivisions, explanatory crosswalks, advance rulings, and technical amendments consistent with Article 34.A.</w:t>
      </w:r>
    </w:p>
    <w:p>
      <w:pPr>
        <w:pStyle w:val="Normal"/>
        <w:widowControl/>
        <w:rPr/>
      </w:pPr>
      <w:r>
        <w:rPr/>
        <w:t>4. A novel dairy product not clearly covered by existing guidance may be submitted for classification with information concerning composition, processing, dairy-solids content, intended use, shelf life, and relevant safety characteristics. The competent authorities shall seek a coordinated determination within 60 days.</w:t>
      </w:r>
    </w:p>
    <w:p>
      <w:pPr>
        <w:pStyle w:val="Normal"/>
        <w:widowControl/>
        <w:rPr/>
      </w:pPr>
      <w:r>
        <w:rPr/>
        <w:t>5. Final coordinated determinations shall be published in the Dairy Rules Database, subject to confidential-business-information protections, and shall guide treatment of materially equivalent goods.</w:t>
      </w:r>
    </w:p>
    <w:p>
      <w:pPr>
        <w:pStyle w:val="Normal"/>
        <w:widowControl/>
        <w:rPr/>
      </w:pPr>
      <w:r>
        <w:rPr/>
        <w:t>6. Each Party shall provide a Small and Specialty Dairy Producer Gateway offering simplified guidance, consolidated documentation, classification assistance, advance-ruling access, and export-readiness support for qualifying SMEs and cooperatives.</w:t>
      </w:r>
    </w:p>
    <w:p>
      <w:pPr>
        <w:pStyle w:val="Normal"/>
        <w:widowControl/>
        <w:rPr/>
      </w:pPr>
      <w:r>
        <w:rPr/>
        <w:t>7. The Parties may establish Non-Displacement Specialty Dairy Windows for products with negligible or demonstrably insufficient domestic production, using modest and reviewable access arrangements designed to expand consumer choice without materially displacing sensitive domestic production.</w:t>
      </w:r>
    </w:p>
    <w:p>
      <w:pPr>
        <w:pStyle w:val="Heading3"/>
        <w:keepNext/>
        <w:widowControl/>
        <w:rPr/>
      </w:pPr>
      <w:r>
        <w:rPr/>
        <w:t>Article 43.2H: North American Specialty Dairy Experimental Pathway</w:t>
      </w:r>
    </w:p>
    <w:p>
      <w:pPr>
        <w:pStyle w:val="Normal"/>
        <w:widowControl/>
        <w:rPr/>
      </w:pPr>
      <w:r>
        <w:rPr/>
        <w:t>1. The Parties establish a voluntary experimental pathway for time-limited testing of specialty, novel, perishable, or otherwise uncertain dairy-market opportunities before permanent liberalization or regulatory change.</w:t>
      </w:r>
    </w:p>
    <w:p>
      <w:pPr>
        <w:pStyle w:val="Normal"/>
        <w:widowControl/>
        <w:rPr/>
      </w:pPr>
      <w:r>
        <w:rPr/>
        <w:t>2. A pilot shall identify its baseline, experimental variable, eligible products or participants, geographic scope where relevant, duration, metrics, confidentiality rules, and exit conditions before commencement. Pilots should ordinarily run for 12 to 24 months.</w:t>
      </w:r>
    </w:p>
    <w:p>
      <w:pPr>
        <w:pStyle w:val="Normal"/>
        <w:widowControl/>
        <w:rPr/>
      </w:pPr>
      <w:r>
        <w:rPr/>
        <w:t>3. Permitted experimental variables may include temporary product-specific quota access, bounded tariff relief, customs procedures, certification recognition, documentation, regulatory-equivalence arrangements, perishable-goods service standards, cold-chain procedures, producer-importer matching, consolidated shipping, or other measures consistent with this Agreement.</w:t>
      </w:r>
    </w:p>
    <w:p>
      <w:pPr>
        <w:pStyle w:val="Normal"/>
        <w:widowControl/>
        <w:rPr/>
      </w:pPr>
      <w:r>
        <w:rPr/>
        <w:t>4. Participation in a pilot does not create precedent, permanent market-access rights, or an entitlement to continuation unless the measure is expressly adopted through the applicable treaty or domestic process.</w:t>
      </w:r>
    </w:p>
    <w:p>
      <w:pPr>
        <w:pStyle w:val="Normal"/>
        <w:widowControl/>
        <w:rPr/>
      </w:pPr>
      <w:r>
        <w:rPr/>
        <w:t>5. Evaluation shall consider trade volume, repeat purchases, consumer price and choice, domestic producer displacement, SME participation, administrative cost, border dwell time, spoilage, temperature integrity where relevant, compliance incidents, market entry, and whether demand persists after temporary promotional support ends.</w:t>
      </w:r>
    </w:p>
    <w:p>
      <w:pPr>
        <w:pStyle w:val="Normal"/>
        <w:widowControl/>
        <w:rPr/>
      </w:pPr>
      <w:r>
        <w:rPr/>
        <w:t>6. Where practicable, pilots should use comparison groups or baseline routes sufficient to distinguish the effect of the tested measure from ordinary market variation.</w:t>
      </w:r>
    </w:p>
    <w:p>
      <w:pPr>
        <w:pStyle w:val="Normal"/>
        <w:widowControl/>
        <w:rPr/>
      </w:pPr>
      <w:r>
        <w:rPr/>
        <w:t>7. At conclusion, the responsible authorities shall classify the result as Graduate, Expand, Modify, Expire, or Inconclusive. An Inconclusive result may support a redesigned pilot but shall not be treated as evidence for permanent liberalization.</w:t>
      </w:r>
    </w:p>
    <w:p>
      <w:pPr>
        <w:pStyle w:val="Normal"/>
        <w:widowControl/>
        <w:rPr/>
      </w:pPr>
      <w:r>
        <w:rPr/>
        <w:t>8. Provinces, states, and other eligible subnational governments may volunteer as test markets consistent with Article 36.25, but shall not acquire treaty-making authority by participating.</w:t>
      </w:r>
    </w:p>
    <w:p>
      <w:pPr>
        <w:pStyle w:val="Normal"/>
        <w:widowControl/>
        <w:rPr/>
      </w:pPr>
      <w:r>
        <w:rPr/>
        <w:t>9. Private retailers, food-service operators, distributors, e-commerce firms, producer cooperatives, and logistics providers may operate market-discovery programs under approved pilot conditions. The Parties shall not be required to establish or operate a government retail or e-commerce platform.</w:t>
      </w:r>
    </w:p>
    <w:p>
      <w:pPr>
        <w:pStyle w:val="Heading3"/>
        <w:keepNext/>
        <w:widowControl/>
        <w:rPr/>
      </w:pPr>
      <w:r>
        <w:rPr/>
        <w:t>Article 43.2I: Producer, Consumer, and Supply-Chain Stability</w:t>
      </w:r>
    </w:p>
    <w:p>
      <w:pPr>
        <w:pStyle w:val="Normal"/>
        <w:widowControl/>
        <w:rPr/>
      </w:pPr>
      <w:r>
        <w:rPr/>
        <w:t>1. A Party may maintain domestic producer-adjustment, innovation, income-stabilization, environmental, animal-health, or transition programs for dairy, provided they are administered consistently with the applicable subsidy, national-treatment, and export-discipline provisions of this Agreement.</w:t>
      </w:r>
    </w:p>
    <w:p>
      <w:pPr>
        <w:pStyle w:val="Normal"/>
        <w:widowControl/>
        <w:rPr/>
      </w:pPr>
      <w:r>
        <w:rPr/>
        <w:t>2. Significant access adjustments shall, where practicable, be accompanied by transparent monitoring of consumer prices, farm-gate indicators, producer effects, intermediary margins where reliable data exist, and market concentration. Monitoring is diagnostic and does not establish price controls.</w:t>
      </w:r>
    </w:p>
    <w:p>
      <w:pPr>
        <w:pStyle w:val="Normal"/>
        <w:widowControl/>
        <w:rPr/>
      </w:pPr>
      <w:r>
        <w:rPr/>
        <w:t>3. A Party experiencing an extraordinary and injurious dairy import surge may invoke a narrowly tailored temporary safeguard consistent with Chapter 10. A safeguard shall require evidence of serious injury or threat, shall be product-specific, progressively liberalized, and automatically terminate.</w:t>
      </w:r>
    </w:p>
    <w:p>
      <w:pPr>
        <w:pStyle w:val="Normal"/>
        <w:widowControl/>
        <w:rPr/>
      </w:pPr>
      <w:r>
        <w:rPr/>
        <w:t>4. The Parties shall establish an Emergency Dairy Supply Corridor framework for disasters, disease outbreaks, transportation failures, border disruptions, or acute regional shortages. Pre-certified suppliers may receive expedited administrative treatment without creating permanent export obligations.</w:t>
      </w:r>
    </w:p>
    <w:p>
      <w:pPr>
        <w:pStyle w:val="Normal"/>
        <w:widowControl/>
        <w:rPr/>
      </w:pPr>
      <w:r>
        <w:rPr/>
        <w:t>5. Emergency reserves, where used, should preferentially rely on rotating commercial inventories and transparent release criteria. Nothing in this Article requires permanent government stockpiles.</w:t>
      </w:r>
    </w:p>
    <w:p>
      <w:pPr>
        <w:pStyle w:val="Normal"/>
        <w:widowControl/>
        <w:rPr/>
      </w:pPr>
      <w:r>
        <w:rPr/>
        <w:t>6. The Parties shall cooperate on cold-chain resilience, temperature-control evidence, consolidated shipping, shared or interoperable logistics information, and contingency routing, particularly for highly perishable products and remote or underserved markets.</w:t>
      </w:r>
    </w:p>
    <w:p>
      <w:pPr>
        <w:pStyle w:val="Heading3"/>
        <w:keepNext/>
        <w:widowControl/>
        <w:rPr/>
      </w:pPr>
      <w:r>
        <w:rPr/>
        <w:t>Article 43.2J: Accelerated Dairy Cothrom Review and Cure</w:t>
      </w:r>
    </w:p>
    <w:p>
      <w:pPr>
        <w:pStyle w:val="Normal"/>
        <w:widowControl/>
        <w:rPr/>
      </w:pPr>
      <w:r>
        <w:rPr/>
        <w:t>1. A Party, affected importer, exporter, producer, or other person with a direct commercial interest may request accelerated factual review of a dairy market-access, classification, quota-administration, customs, or regulatory-equivalence dispute in accordance with procedures established under the Cothrom verification framework.</w:t>
      </w:r>
    </w:p>
    <w:p>
      <w:pPr>
        <w:pStyle w:val="Normal"/>
        <w:widowControl/>
        <w:rPr/>
      </w:pPr>
      <w:r>
        <w:rPr/>
        <w:t>2. The default sequence shall provide for technical consultation within 10 days, focused evidence exchange by day 20, independent factual assessment where unresolved, and a final determination ordinarily within 60 days. Shorter clocks may apply to highly perishable goods.</w:t>
      </w:r>
    </w:p>
    <w:p>
      <w:pPr>
        <w:pStyle w:val="Normal"/>
        <w:widowControl/>
        <w:rPr/>
      </w:pPr>
      <w:r>
        <w:rPr/>
        <w:t>3. Review shall distinguish commercial outcomes from government-caused barriers, identify the narrowest sufficient cure, and preserve legitimate food-safety and animal-health authority.</w:t>
      </w:r>
    </w:p>
    <w:p>
      <w:pPr>
        <w:pStyle w:val="Normal"/>
        <w:widowControl/>
        <w:rPr/>
      </w:pPr>
      <w:r>
        <w:rPr/>
        <w:t>4. A Party found non-compliant shall receive a reasonable opportunity to cure before compensatory or retaliatory measures are authorized, except where immediate action is necessary to prevent irreparable harm and is independently justified.</w:t>
      </w:r>
    </w:p>
    <w:p>
      <w:pPr>
        <w:pStyle w:val="Normal"/>
        <w:widowControl/>
        <w:rPr/>
      </w:pPr>
      <w:r>
        <w:rPr/>
        <w:t>5. Remedies should, where practicable, remain within the dairy sub-module and may include correction of administration, restoration of lost access, expedited processing, temporary equivalent dairy access, or other proportionate relief. Cross-sector retaliation shall be a last resort and remains subject to the Chapter 35 module firewall.</w:t>
      </w:r>
    </w:p>
    <w:p>
      <w:pPr>
        <w:pStyle w:val="Normal"/>
        <w:widowControl/>
        <w:rPr/>
      </w:pPr>
      <w:r>
        <w:rPr/>
        <w:t>6. Ordinary dairy market-access disagreements do not, by themselves, constitute sufficient grounds for extraordinary cross-sector economic-security measures.</w:t>
      </w:r>
    </w:p>
    <w:p>
      <w:pPr>
        <w:pStyle w:val="Heading3"/>
        <w:keepNext/>
        <w:widowControl/>
        <w:rPr/>
      </w:pPr>
      <w:r>
        <w:rPr/>
        <w:t>Article 43.2K: Dairy Peace Clause, No-Surprises Rule, and No-Fade Guarantee</w:t>
      </w:r>
    </w:p>
    <w:p>
      <w:pPr>
        <w:pStyle w:val="Normal"/>
        <w:widowControl/>
        <w:rPr/>
      </w:pPr>
      <w:r>
        <w:rPr/>
        <w:t>1. A Party shall, where practicable, provide at least 90 days' advance notice of a material dairy trade measure that is reasonably expected to affect access under this Framework, together with a description of the measure and its anticipated trade effects. Emergency health or safety measures are subject to prompt post-adoption notice and review.</w:t>
      </w:r>
    </w:p>
    <w:p>
      <w:pPr>
        <w:pStyle w:val="Normal"/>
        <w:widowControl/>
        <w:rPr/>
      </w:pPr>
      <w:r>
        <w:rPr/>
        <w:t>2. During a Dairy Stability Period established by the Commission, a Party in material compliance with this Framework shall not be required to renegotiate settled dairy market-access concessions solely because another Party seeks additional access. Rights to challenge an actual violation or to negotiate mutually agreed new access remain unaffected.</w:t>
      </w:r>
    </w:p>
    <w:p>
      <w:pPr>
        <w:pStyle w:val="Normal"/>
        <w:widowControl/>
        <w:rPr/>
      </w:pPr>
      <w:r>
        <w:rPr/>
        <w:t>3. The Dairy Stability Period shall renew automatically unless the Parties agree otherwise or an independent review establishes a persistent material failure that has not been cured. Refusal to agree on new concessions does not terminate existing dairy rights or obligations.</w:t>
      </w:r>
    </w:p>
    <w:p>
      <w:pPr>
        <w:pStyle w:val="Normal"/>
        <w:widowControl/>
        <w:rPr/>
      </w:pPr>
      <w:r>
        <w:rPr/>
        <w:t>4. Comprehensive dairy review shall occur at least every five years and shall focus on administration, utilization, market development, producer and consumer effects, Mexico integration, protein trade, regulatory equivalence, specialty-product pathways, and the performance of safeguards and experimental mechanisms.</w:t>
      </w:r>
    </w:p>
    <w:p>
      <w:pPr>
        <w:pStyle w:val="Normal"/>
        <w:widowControl/>
        <w:rPr/>
      </w:pPr>
      <w:r>
        <w:rPr/>
        <w:t>5. Failure to agree on amendments at a review leaves the existing Framework in force. No review creates an expiry date, sunset, or automatic reversion of negotiated access.</w:t>
      </w:r>
    </w:p>
    <w:p>
      <w:pPr>
        <w:pStyle w:val="Heading3"/>
        <w:keepNext/>
        <w:widowControl/>
        <w:rPr/>
      </w:pPr>
      <w:r>
        <w:rPr/>
        <w:t>Article 43.2L: Dairy Data, Research, and Implementation</w:t>
      </w:r>
    </w:p>
    <w:p>
      <w:pPr>
        <w:pStyle w:val="Normal"/>
        <w:widowControl/>
        <w:rPr/>
      </w:pPr>
      <w:r>
        <w:rPr/>
        <w:t>1. The Secretariat shall maintain a Dairy Rules Database containing public tariff-rate quota rules, utilization statistics, tariff and classification guidance, advance-ruling precedents, regulatory notices, certification information, processing-service metrics, and other non-confidential implementation materials in English, French, and Spanish where practicable.</w:t>
      </w:r>
    </w:p>
    <w:p>
      <w:pPr>
        <w:pStyle w:val="Normal"/>
        <w:widowControl/>
        <w:rPr/>
      </w:pPr>
      <w:r>
        <w:rPr/>
        <w:t>2. The Parties shall exchange comparable aggregate information on dairy production, trade, prices where publicly available, capacity, logistics performance, and material support programs sufficient to administer this Framework while protecting confidential business information.</w:t>
      </w:r>
    </w:p>
    <w:p>
      <w:pPr>
        <w:pStyle w:val="Normal"/>
        <w:widowControl/>
        <w:rPr/>
      </w:pPr>
      <w:r>
        <w:rPr/>
        <w:t>3. The Parties shall facilitate voluntary North American dairy research and cooperation on animal health, disease surveillance, feed efficiency, methane reduction, water efficiency, cold-chain technology, packaging, waste valorization, whey utilization, manure-to-energy systems, food safety, resilient genetics, and other mutually beneficial innovation.</w:t>
      </w:r>
    </w:p>
    <w:p>
      <w:pPr>
        <w:pStyle w:val="Normal"/>
        <w:widowControl/>
        <w:rPr/>
      </w:pPr>
      <w:r>
        <w:rPr/>
        <w:t>4. Cooperation may include producer exchanges, workforce and veterinary training, university partnerships, voluntary technology transfer on commercial terms, and shared market intelligence. Participation remains subject to domestic appropriations, intellectual-property rights, competition law, biosafety, and research-security safeguards.</w:t>
      </w:r>
    </w:p>
    <w:p>
      <w:pPr>
        <w:pStyle w:val="Normal"/>
        <w:widowControl/>
        <w:rPr/>
      </w:pPr>
      <w:r>
        <w:rPr/>
        <w:t>5. The Commission shall implement this Framework primarily through existing institutions and interoperable national systems. A new permanent body shall not be established where the same function can be performed by an existing committee, the Secretariat, Cothrom procedures, or designated national authorities.</w:t>
      </w:r>
    </w:p>
    <w:p>
      <w:pPr>
        <w:pStyle w:val="Heading3"/>
        <w:keepNext/>
        <w:widowControl/>
        <w:rPr/>
      </w:pPr>
      <w:r>
        <w:rPr/>
        <w:t>ANNEX 43-A: DAIRY IMPLEMENTATION AND SPECIALTY-PRODUCT PRINCIPLES</w:t>
      </w:r>
    </w:p>
    <w:p>
      <w:pPr>
        <w:pStyle w:val="Normal"/>
        <w:widowControl/>
        <w:rPr/>
      </w:pPr>
      <w:r>
        <w:rPr/>
        <w:t>1. Product Sensitivity Bands. For purposes of negotiated access and experimental design, the Parties may distinguish: (a) Protected Core products that remain highly sensitive under a Party's domestic agricultural structure; (b) Managed Consumer Access products such as cheese, butter, yogurt, cream, and ice cream; (c) Industrial and Ingredient products including whey, proteins, powders, casein, lactose, and specialized manufacturing inputs; and (d) Specialty and Innovation products with limited domestic production, distinctive processing, niche demand, or novel technological characteristics.</w:t>
      </w:r>
    </w:p>
    <w:p>
      <w:pPr>
        <w:pStyle w:val="Normal"/>
        <w:widowControl/>
        <w:rPr/>
      </w:pPr>
      <w:r>
        <w:rPr/>
        <w:t>2. The bands in paragraph 1 are analytical tools and do not themselves alter tariff schedules, tariff-rate quota quantities, origin rules, or domestic regulatory classifications.</w:t>
      </w:r>
    </w:p>
    <w:p>
      <w:pPr>
        <w:pStyle w:val="Normal"/>
        <w:widowControl/>
        <w:rPr/>
      </w:pPr>
      <w:r>
        <w:rPr/>
        <w:t>3. Perishable Dairy Priority. Fresh cheeses, cultured products, live-culture products, and other goods for which border delay materially reduces commercial value may qualify for pre-arrival processing, priority inspection, and statistically measured release targets subject to food-safety risk.</w:t>
      </w:r>
    </w:p>
    <w:p>
      <w:pPr>
        <w:pStyle w:val="Normal"/>
        <w:widowControl/>
        <w:rPr/>
      </w:pPr>
      <w:r>
        <w:rPr/>
        <w:t>4. Origin Integrity. Experimental simplification should preferentially reduce documentation burden rather than lower substantive North American origin thresholds. Any temporary origin variation shall be expressly bounded, monitored, and unavailable for transshipment or superficial processing.</w:t>
      </w:r>
    </w:p>
    <w:p>
      <w:pPr>
        <w:pStyle w:val="Normal"/>
        <w:widowControl/>
        <w:rPr/>
      </w:pPr>
      <w:r>
        <w:rPr/>
        <w:t>5. Labeling Interoperability. The Parties shall seek a common underlying information core covering product identity, ingredients, allergens, nutrition information, origin, storage conditions, and lot or traceability information while preserving each Party's official-language and consumer-protection requirements.</w:t>
      </w:r>
    </w:p>
    <w:p>
      <w:pPr>
        <w:pStyle w:val="Normal"/>
        <w:widowControl/>
        <w:rPr/>
      </w:pPr>
      <w:r>
        <w:rPr/>
        <w:t>6. Certification Recognition. Mutual recognition may be developed for equivalent organic, artisan or small-producer, pharmaceutical-grade lactose, inspection, laboratory, and other certifications where competent authorities determine that the underlying standards provide comparable assurance.</w:t>
      </w:r>
    </w:p>
    <w:p>
      <w:pPr>
        <w:pStyle w:val="Normal"/>
        <w:widowControl/>
        <w:rPr/>
      </w:pPr>
      <w:r>
        <w:rPr/>
        <w:t>7. Pilot Reciprocity. Experimental opportunities should be reciprocal in commercial opportunity but need not use identical products, regions, or tonnage where market size, sensitivity, logistics, or consumer demand materially differ.</w:t>
      </w:r>
    </w:p>
    <w:p>
      <w:pPr>
        <w:pStyle w:val="Normal"/>
        <w:widowControl/>
        <w:rPr/>
      </w:pPr>
      <w:r>
        <w:rPr/>
        <w:t>8. Anti-Gaming. The Parties shall guard against quota hoarding, shell applicants, strategic underfill, false specialty classification, deliberate reclassification, origin laundering, pilot cycling, fabricated capacity gaps, manipulation of emergency safeguards, and administrative delay designed to influence utilization statistics.</w:t>
      </w:r>
    </w:p>
    <w:p>
      <w:pPr>
        <w:pStyle w:val="Normal"/>
        <w:widowControl/>
        <w:rPr/>
      </w:pPr>
      <w:r>
        <w:rPr/>
        <w:t>9. Confidentiality. Public reporting shall protect confidential business information, personally identifiable information, commercially sensitive pricing, and proprietary production data while providing sufficient aggregate information for independent evaluation.</w:t>
      </w:r>
    </w:p>
    <w:p>
      <w:pPr>
        <w:pStyle w:val="Normal"/>
        <w:widowControl/>
        <w:rPr/>
      </w:pPr>
      <w:r>
        <w:rPr/>
        <w:t>10. Technical Maintenance. The Commission may update product definitions, tariff-line crosswalks, data fields, pilot templates, service metrics, and other non-substantive technical elements of this Annex through the Structured Technical Amendment Procedure, subject to the limitations of Article 34.A.</w:t>
      </w:r>
    </w:p>
    <w:p>
      <w:pPr>
        <w:pStyle w:val="Normal"/>
        <w:widowControl/>
        <w:rPr/>
      </w:pPr>
      <w:r>
        <w:rPr/>
        <w:t>11. Provincial Dairy Access Schedule. The implementing Schedule shall list, for each Canadian province, the official Reference Milk-Production Volume, applicable phase-in percentage, resulting milk-equivalent access quantity, product-conversion factors, any regional-pooling designation, and the portion treated as pre-existing versus genuinely incremental access.</w:t>
      </w:r>
    </w:p>
    <w:p>
      <w:pPr>
        <w:pStyle w:val="Normal"/>
        <w:widowControl/>
        <w:rPr/>
      </w:pPr>
      <w:r>
        <w:rPr/>
        <w:t>12. Milk-Equivalent Conversion. Conversion factors shall be based on transparent, objective dairy-component or milk-solids methodology appropriate to the product category, shall be reproducible from published inputs, and shall be maintained consistently across provinces. The implementing Schedule shall publish the applicable product-family factors or an incorporated technical table before access obligations become operative. Technical updates may correct conversion accuracy but shall not be used unilaterally to increase or diminish the economic burden or commercial value of negotiated access.</w:t>
      </w:r>
    </w:p>
    <w:p>
      <w:pPr>
        <w:pStyle w:val="Normal"/>
        <w:widowControl/>
        <w:rPr/>
      </w:pPr>
      <w:r>
        <w:rPr/>
        <w:t>13. Utilization Reporting. Provincial reporting shall distinguish quantities allocated, imported, processed or placed into commerce, returned, reallocated, transferred regionally, and unused. Reporting shall also identify, in aggregate form, the principal objectively supported causes of material underutilization.</w:t>
      </w:r>
    </w:p>
    <w:p>
      <w:pPr>
        <w:pStyle w:val="Normal"/>
        <w:widowControl/>
        <w:rPr/>
      </w:pPr>
      <w:r>
        <w:rPr/>
        <w:t>14. New-Entrant Availability. The implementing Schedule shall preserve a commercially meaningful pathway for qualified new entrants and non-incumbent commercial users. The Commission may establish product-sensitive minimum availability or reallocation priority where evidence shows that incumbent concentration is materially impairing utilization.</w:t>
      </w:r>
    </w:p>
    <w:p>
      <w:pPr>
        <w:pStyle w:val="Normal"/>
        <w:widowControl/>
        <w:rPr/>
      </w:pPr>
      <w:r>
        <w:rPr/>
        <w:t>15. Existing-Access Baseline. Before implementation, the Parties shall establish a transparent baseline identifying the portion of existing United States dairy access demonstrably utilized in each province or region. Existing access may count toward the provincial floor only as specified in the Schedule; unutilized paper access shall not be presumed equivalent to effective utilization.</w:t>
      </w:r>
    </w:p>
    <w:p>
      <w:bookmarkStart w:id="1701" w:name="_NAESTMA_TOC_1701"/>
      <w:pPr>
        <w:pStyle w:val="Heading2"/>
        <w:keepNext/>
        <w:widowControl/>
        <w:rPr/>
      </w:pPr>
      <w:r>
        <w:rPr/>
        <w:t>16. Priority Cheese Schedule. The implementing Schedule shall state, for each province, the 0.2 percent Priority Cheese Access Bonus, its milk-equivalent quantity, and the applicable tariff-line crosswalks and product definitions for cheddar, mozzarella, including commercially relevant low-moisture and part-skim forms, and cream cheese.</w:t>
      </w:r>
      <w:bookmarkEnd w:id="1701"/>
    </w:p>
    <w:p>
      <w:bookmarkStart w:id="1702" w:name="_NAESTMA_TOC_1702"/>
      <w:pPr>
        <w:pStyle w:val="Heading2"/>
        <w:keepNext/>
        <w:widowControl/>
        <w:rPr/>
      </w:pPr>
      <w:r>
        <w:rPr/>
        <w:t>17. Conversion Transparency. Before the Priority Cheese Bonus becomes operative, the Parties shall publish the conversion methodology and product-family factors used to translate covered cheeses into milk-equivalent quantities. Factors shall be based on objective dairy-component or milk-solids methodology and shall be reproducible from published inputs. A technical disagreement shall be resolved through neutral technical review rather than unilateral control by either Party.</w:t>
      </w:r>
      <w:bookmarkEnd w:id="1702"/>
    </w:p>
    <w:p>
      <w:bookmarkStart w:id="1703" w:name="_NAESTMA_TOC_1703"/>
      <w:pPr>
        <w:pStyle w:val="Heading2"/>
        <w:keepNext/>
        <w:widowControl/>
        <w:rPr/>
      </w:pPr>
      <w:r>
        <w:rPr/>
        <w:t>18. Priority Cheese Utilization Reporting. Reporting shall separately identify Bonus quantities allocated, imported, returned, reallocated, and unused, together with aggregate participation by processors, independent importers, retail or food-service channels, and new entrants, while protecting confidential business information.</w:t>
      </w:r>
      <w:bookmarkEnd w:id="1703"/>
    </w:p>
    <w:p>
      <w:bookmarkStart w:id="1704" w:name="_NAESTMA_TOC_1704"/>
      <w:pPr>
        <w:pStyle w:val="Heading2"/>
        <w:keepNext/>
        <w:widowControl/>
        <w:rPr/>
      </w:pPr>
      <w:r>
        <w:rPr/>
        <w:t>19. Classification and Anti-Substitution Rule. The Priority Cheese Bonus shall not be satisfied with skim milk powder, milk protein concentrate, butter, whey, yogurt, unrelated cheese categories, or other dairy products. Product classification shall follow the agreed tariff-line crosswalk and commercially substantive product characteristics rather than labels selected for quota convenience.</w:t>
      </w:r>
      <w:bookmarkEnd w:id="1704"/>
    </w:p>
    <w:p>
      <w:bookmarkStart w:id="1705" w:name="_NAESTMA_TOC_1705"/>
      <w:pPr>
        <w:pStyle w:val="Heading2"/>
        <w:keepNext/>
        <w:widowControl/>
        <w:rPr/>
      </w:pPr>
      <w:r>
        <w:rPr/>
        <w:t>20. Six-Month General-Floor Transition. The Schedule shall show the 0.6 percent general provincial floor from entry into force and the 0.8 percent general floor beginning six months thereafter. The 0.2 percent Priority Cheese Bonus applies throughout both periods, producing total scheduled provincial access of 0.8 percent at entry into force and 1.0 percent after six months, subject to the accounting and scope rules of Articles 43.2L.4 and 43.2L.10.</w:t>
      </w:r>
      <w:bookmarkEnd w:id="1705"/>
    </w:p>
    <w:p>
      <w:bookmarkStart w:id="1706" w:name="_NAESTMA_TOC_1706"/>
      <w:pPr>
        <w:pStyle w:val="Heading2"/>
        <w:keepNext/>
        <w:widowControl/>
        <w:rPr/>
      </w:pPr>
      <w:r>
        <w:rPr/>
        <w:t>21. Optional Enhanced Dairy-Forestry Exchange Schedule.</w:t>
      </w:r>
      <w:bookmarkEnd w:id="1706"/>
    </w:p>
    <w:p>
      <w:pPr>
        <w:pStyle w:val="Normal"/>
        <w:widowControl/>
        <w:rPr/>
      </w:pPr>
      <w:r>
        <w:rPr/>
        <w:t>Annex 43-A shall maintain a separate Optional Canada-United States Enhanced Dairy Access and Softwood Lumber Normalization Exchange Schedule. The Schedule is legally dormant unless separately executed by Canada and the United States under Article 43.2L.11. Ratification, entry into force, renewal, continuation, or amendment of this Agreement does not activate the Schedule or constitute consent to any optional Exchange Unit.</w:t>
      </w:r>
    </w:p>
    <w:p>
      <w:bookmarkStart w:id="1707" w:name="_NAESTMA_TOC_1707"/>
      <w:pPr>
        <w:pStyle w:val="Heading2"/>
        <w:keepNext/>
        <w:widowControl/>
        <w:rPr/>
      </w:pPr>
      <w:r>
        <w:rPr/>
        <w:t>22. Suggested Initial Lumber Calibration.</w:t>
      </w:r>
      <w:bookmarkEnd w:id="1707"/>
    </w:p>
    <w:p>
      <w:pPr>
        <w:pStyle w:val="Normal"/>
        <w:widowControl/>
        <w:rPr/>
      </w:pPr>
      <w:r>
        <w:rPr/>
        <w:t>For negotiating purposes only, the initial reference proposal is: Exchange Unit A, an additional 0.20 percent provincial dairy access in return for an Aggregate Covered Border Burden ceiling of 25 percent on covered Canadian softwood lumber; Exchange Unit B, a further 0.20 percent in return for a cumulative ceiling of 20 percent; and Exchange Unit C, a further 0.10 percent in return for a cumulative ceiling of 15 percent. Full activation therefore produces 1.50 percent total scheduled provincial dairy access and a suggested 15 percent lumber ceiling. These figures are negotiable before execution and create no obligation unless incorporated into a signed Activation Schedule.</w:t>
      </w:r>
    </w:p>
    <w:p>
      <w:bookmarkStart w:id="1708" w:name="_NAESTMA_TOC_1708"/>
      <w:pPr>
        <w:pStyle w:val="Heading2"/>
        <w:keepNext/>
        <w:widowControl/>
        <w:rPr/>
      </w:pPr>
      <w:r>
        <w:rPr/>
        <w:t>23. Negotiating Equivalence Corridor.</w:t>
      </w:r>
      <w:bookmarkEnd w:id="1708"/>
    </w:p>
    <w:p>
      <w:pPr>
        <w:pStyle w:val="Normal"/>
        <w:widowControl/>
        <w:rPr/>
      </w:pPr>
      <w:r>
        <w:rPr/>
        <w:t>For full activation, Canada and the United States should ordinarily seek a negotiated Aggregate Covered Border Burden within a 12.5 to 20 percent reference corridor, with 15 percent as the suggested initial negotiating point. The corridor is guidance for reciprocal-value negotiation, not an automatic entitlement, mandatory outcome, or unilateral adjustment formula. A signed Activation Schedule may adopt another calibration where the Parties expressly agree and Cothrom verifies substantial reciprocal value equivalence.</w:t>
      </w:r>
    </w:p>
    <w:p>
      <w:bookmarkStart w:id="1709" w:name="_NAESTMA_TOC_1709"/>
      <w:pPr>
        <w:pStyle w:val="Heading2"/>
        <w:keepNext/>
        <w:widowControl/>
        <w:rPr/>
      </w:pPr>
      <w:r>
        <w:rPr/>
        <w:t>24. Aggregate Covered Border Burden.</w:t>
      </w:r>
      <w:bookmarkEnd w:id="1709"/>
    </w:p>
    <w:p>
      <w:pPr>
        <w:pStyle w:val="Normal"/>
        <w:widowControl/>
        <w:rPr/>
      </w:pPr>
      <w:r>
        <w:rPr/>
        <w:t>For this Optional Exchange, Aggregate Covered Border Burden means the cumulative ad valorem equivalent of covered softwood-lumber-specific anti-dumping duties, countervailing duties, Section 232 lumber tariffs, emergency or additional lumber tariffs, lumber-specific import surcharges or assessments, and successor measures that materially withdraw the negotiated commercial value of the applicable Exchange Unit. Ordinary nondiscriminatory customs fees, generally applicable internal taxes, penalties for proven violations, and bona fide health, safety, environmental, customs, or anti-fraud measures are excluded unless applied or structured as a disguised substitute for a covered burden.</w:t>
      </w:r>
    </w:p>
    <w:p>
      <w:bookmarkStart w:id="1710" w:name="_NAESTMA_TOC_1710"/>
      <w:pPr>
        <w:pStyle w:val="Heading2"/>
        <w:keepNext/>
        <w:widowControl/>
        <w:rPr/>
      </w:pPr>
      <w:r>
        <w:rPr/>
        <w:t>25. Activation and Performance Record.</w:t>
      </w:r>
      <w:bookmarkEnd w:id="1710"/>
    </w:p>
    <w:p>
      <w:pPr>
        <w:pStyle w:val="Normal"/>
        <w:widowControl/>
        <w:rPr/>
      </w:pPr>
      <w:r>
        <w:rPr/>
        <w:t>Each signed Activation Schedule shall identify covered lumber products and measures, any producer-specific treatment required by applicable law, the applicable burden ceiling, the corresponding dairy increment, commencement date, duration if any, verification data, treatment of successor measures, and cure and step-back procedures. Cothrom shall maintain a paired performance record sufficient to verify whether each side continues to deliver the commercial value for which the corresponding Exchange Unit was activated.</w:t>
      </w:r>
    </w:p>
    <w:p>
      <w:bookmarkStart w:id="1711" w:name="_NAESTMA_TOC_1711"/>
      <w:pPr>
        <w:pStyle w:val="Heading2"/>
        <w:keepNext/>
        <w:widowControl/>
        <w:rPr/>
      </w:pPr>
      <w:r>
        <w:rPr/>
        <w:t>Article 43.2L.1: Dairy Access Portability and Active-Use Reallocation</w:t>
      </w:r>
      <w:bookmarkEnd w:id="1711"/>
    </w:p>
    <w:p>
      <w:pPr>
        <w:pStyle w:val="Normal"/>
        <w:widowControl/>
        <w:rPr/>
      </w:pPr>
      <w:r>
        <w:rPr/>
        <w:t>1. Within an existing dairy TRQ, Canada may provide that an eligible allocation associated with a qualifying product, exporter, or commercial program remains usable when the holder changes an importer, distributor, broker, or logistics provider, provided eligibility, traceability, and allocation conditions remain satisfied.</w:t>
      </w:r>
    </w:p>
    <w:p>
      <w:pPr>
        <w:pStyle w:val="Normal"/>
        <w:widowControl/>
        <w:rPr/>
      </w:pPr>
      <w:r>
        <w:rPr/>
        <w:t>2. Portability shall not permit sale of quota as a purely financial asset, double counting, circumvention of eligibility rules, or transfer to an ineligible person.</w:t>
      </w:r>
    </w:p>
    <w:p>
      <w:pPr>
        <w:pStyle w:val="Normal"/>
        <w:widowControl/>
        <w:rPr/>
      </w:pPr>
      <w:r>
        <w:rPr/>
        <w:t>3. Unused or materially underused quantities should be reviewed at least quarterly where administratively practicable and reallocated early enough in the quota year to permit commercially meaningful use.</w:t>
      </w:r>
    </w:p>
    <w:p>
      <w:pPr>
        <w:pStyle w:val="Normal"/>
        <w:widowControl/>
        <w:rPr/>
      </w:pPr>
      <w:r>
        <w:rPr/>
        <w:t>4. Reallocation procedures shall be published in advance and may prioritize demonstrated demand, new entrants, SMEs, retailers, food-service users, processors, or other eligible applicants according to transparent product-sensitive rules.</w:t>
      </w:r>
    </w:p>
    <w:p>
      <w:bookmarkStart w:id="1712" w:name="_NAESTMA_TOC_1712"/>
      <w:pPr>
        <w:pStyle w:val="Heading2"/>
        <w:keepNext/>
        <w:widowControl/>
        <w:rPr/>
      </w:pPr>
      <w:r>
        <w:rPr/>
        <w:t>Article 43.2L.2: Functional Dairy Access Pools</w:t>
      </w:r>
      <w:bookmarkEnd w:id="1712"/>
    </w:p>
    <w:p>
      <w:pPr>
        <w:pStyle w:val="Normal"/>
        <w:widowControl/>
        <w:rPr/>
      </w:pPr>
      <w:r>
        <w:rPr/>
        <w:t>1. Where concentration of allocations in one commercial channel materially impairs utilization, Canada may establish separate functional pools for processing inputs, retail-ready goods, food-service demand, specialty products, new entrants, or other commercially distinct uses within the negotiated aggregate access.</w:t>
      </w:r>
    </w:p>
    <w:p>
      <w:pPr>
        <w:pStyle w:val="Normal"/>
        <w:widowControl/>
        <w:rPr/>
      </w:pPr>
      <w:r>
        <w:rPr/>
        <w:t>2. Functional pools do not enlarge the negotiated aggregate TRQ unless separately agreed. They are an administrative tool to make existing access usable while preserving supply management.</w:t>
      </w:r>
    </w:p>
    <w:p>
      <w:pPr>
        <w:pStyle w:val="Normal"/>
        <w:widowControl/>
        <w:rPr/>
      </w:pPr>
      <w:r>
        <w:rPr/>
        <w:t>3. No pool shall guarantee a sale, listing, shelf position, or purchase. Allocation shall reflect demonstrated commercial capacity and applicable food-safety requirements.</w:t>
      </w:r>
    </w:p>
    <w:p>
      <w:bookmarkStart w:id="1713" w:name="_NAESTMA_TOC_1713"/>
      <w:pPr>
        <w:pStyle w:val="Heading2"/>
        <w:keepNext/>
        <w:widowControl/>
        <w:rPr/>
      </w:pPr>
      <w:r>
        <w:rPr/>
        <w:t>Article 43.2L.3: Dairy Exporter Pre-Clearance and New-Entrant Gateway</w:t>
      </w:r>
      <w:bookmarkEnd w:id="1713"/>
    </w:p>
    <w:p>
      <w:pPr>
        <w:pStyle w:val="Normal"/>
        <w:widowControl/>
        <w:rPr/>
      </w:pPr>
      <w:r>
        <w:rPr/>
        <w:t>1. The Parties shall develop a voluntary pre-clearance pathway allowing an exporter and eligible importer to establish documentary readiness, product classification, certification, and available allocation before dispatch of a perishable shipment.</w:t>
      </w:r>
    </w:p>
    <w:p>
      <w:pPr>
        <w:pStyle w:val="Normal"/>
        <w:widowControl/>
        <w:rPr/>
      </w:pPr>
      <w:r>
        <w:rPr/>
        <w:t>2. Each Party should maintain a plain-language dairy access guide and a contact point for SMEs and first-time exporters. Lack of prior import history shall not by itself disqualify an otherwise eligible applicant.</w:t>
      </w:r>
    </w:p>
    <w:p>
      <w:pPr>
        <w:pStyle w:val="Normal"/>
        <w:widowControl/>
        <w:rPr/>
      </w:pPr>
      <w:r>
        <w:rPr/>
        <w:t>3. Pre-clearance is not a guarantee of admissibility where shipment-specific safety, origin, quota, or fraud concerns arise.</w:t>
      </w:r>
    </w:p>
    <w:p>
      <w:pPr>
        <w:pStyle w:val="Heading3"/>
        <w:keepNext/>
        <w:widowControl/>
        <w:rPr/>
      </w:pPr>
      <w:r>
        <w:rPr/>
        <w:t>Article 43.2L.4: Provincial United States Dairy Access Floor</w:t>
      </w:r>
    </w:p>
    <w:p>
      <w:pPr>
        <w:pStyle w:val="Normal"/>
        <w:widowControl/>
        <w:rPr/>
      </w:pPr>
      <w:r>
        <w:rPr/>
        <w:t>1. Canada shall establish a geographically distributed United States dairy access floor for each province. The access attributed to a province shall be calculated as a percentage of that province's Reference Milk-Production Volume and converted into standardized milk-equivalent quantities under Annex 43-A. This mechanism supplements, and does not abolish, Canada's supply-management system.</w:t>
      </w:r>
    </w:p>
    <w:p>
      <w:pPr>
        <w:pStyle w:val="Normal"/>
        <w:widowControl/>
        <w:rPr/>
      </w:pPr>
      <w:r>
        <w:rPr/>
        <w:t>2. Unless the Parties agree to an alternative implementation schedule following validation of provincial and product-specific data, the general dairy access floor shall be 0.6 percent upon entry into force of this mechanism and shall increase to 0.8 percent six months after that date. Administrative preparation, allocation-cycle timing, or delayed domestic implementation shall not extend the six-month transition. The 0.8 percent level shall thereafter remain the general access floor unless expressly amended by the Parties.</w:t>
      </w:r>
    </w:p>
    <w:p>
      <w:pPr>
        <w:pStyle w:val="Normal"/>
        <w:widowControl/>
        <w:rPr/>
      </w:pPr>
      <w:r>
        <w:rPr/>
        <w:t>3. The 0.8 percent level is a negotiated access floor and shall not increase automatically because utilization is high, because a province absorbs the access without material disruption, or because market demand grows. Any increase requires express agreement of the Parties through the applicable amendment procedure.</w:t>
      </w:r>
    </w:p>
    <w:p>
      <w:pPr>
        <w:pStyle w:val="Normal"/>
        <w:widowControl/>
        <w:rPr/>
      </w:pPr>
      <w:r>
        <w:rPr/>
        <w:t>4. Equal proportional exposure does not require equal absolute volume. Each province's obligation shall be determined from its own Reference Milk-Production Volume. The mechanism shall not divide the national percentage by the number of provinces.</w:t>
      </w:r>
    </w:p>
    <w:p>
      <w:pPr>
        <w:pStyle w:val="Normal"/>
        <w:widowControl/>
        <w:rPr/>
      </w:pPr>
      <w:r>
        <w:rPr/>
        <w:t>5. Canada shall retain discretion over the domestic instruments used to accommodate the access floor, including production planning, pooling, inventory management, processor arrangements, market development, or other lawful supply-management tools. Nothing in this Article requires a particular reduction in producer quota, farm-gate price, or processor margin.</w:t>
      </w:r>
    </w:p>
    <w:p>
      <w:pPr>
        <w:pStyle w:val="Normal"/>
        <w:widowControl/>
        <w:rPr/>
      </w:pPr>
      <w:r>
        <w:rPr/>
        <w:t>6. The Parties shall identify in the applicable Schedule whether, and to what extent, quantities under this Article are additional to pre-existing CUSMA dairy access. Existing access shall not be credited merely because it exists on paper; any credit shall reflect demonstrated effective utilization attributable to the relevant province under the agreed baseline methodology.</w:t>
      </w:r>
    </w:p>
    <w:p>
      <w:pPr>
        <w:pStyle w:val="Heading3"/>
        <w:keepNext/>
        <w:widowControl/>
        <w:rPr/>
      </w:pPr>
      <w:r>
        <w:rPr/>
        <w:t>Article 43.2L.5: Commercial Utilization, Use-or-Return, and Reallocation</w:t>
      </w:r>
    </w:p>
    <w:p>
      <w:pPr>
        <w:pStyle w:val="Normal"/>
        <w:widowControl/>
        <w:rPr/>
      </w:pPr>
      <w:r>
        <w:rPr/>
        <w:t>1. Access under Article 43.2L.4 shall be administered to produce commercially meaningful utilization rather than nominal allocation. Canada shall not satisfy the access floor solely by issuing allocations that are predictably unusable, systematically underused because of administrative design, or retained by holders without commercially reasonable use.</w:t>
      </w:r>
    </w:p>
    <w:p>
      <w:pPr>
        <w:pStyle w:val="Normal"/>
        <w:widowControl/>
        <w:rPr/>
      </w:pPr>
      <w:r>
        <w:rPr/>
        <w:t>2. Allocation holders shall be subject to published use-or-return checkpoints. Materially unused quantities shall be returned or reclaimed and reallocated early enough to permit commercially meaningful use within the dairy year.</w:t>
      </w:r>
    </w:p>
    <w:p>
      <w:pPr>
        <w:pStyle w:val="Normal"/>
        <w:widowControl/>
        <w:rPr/>
      </w:pPr>
      <w:r>
        <w:rPr/>
        <w:t>3. Reallocation shall be open, subject to neutral qualification criteria, to processors, independent importers, distributors, retailers, food-service operators, cooperatives, end-users, and new entrants with demonstrated capacity to import, process, distribute, or place the relevant product into Canadian commerce.</w:t>
      </w:r>
    </w:p>
    <w:p>
      <w:pPr>
        <w:pStyle w:val="Normal"/>
        <w:widowControl/>
        <w:rPr/>
      </w:pPr>
      <w:r>
        <w:rPr/>
        <w:t>4. Repeated material non-use without reasonable commercial explanation may result in prospective reduction of allocation priority. No allocation holder acquires a property right to unused quota by reason of historical allocation.</w:t>
      </w:r>
    </w:p>
    <w:p>
      <w:pPr>
        <w:pStyle w:val="Normal"/>
        <w:widowControl/>
        <w:rPr/>
      </w:pPr>
      <w:r>
        <w:rPr/>
        <w:t>5. Canada shall maintain a utilization benchmark of 90 percent for the access made available under Article 43.2L.4. Utilization of 90 percent or more is presumptively satisfactory. Utilization from 80 percent through 89.9 percent shall trigger an automatic administrative and reallocation audit. Utilization below 80 percent shall trigger a corrective access plan. Two consecutive measurement periods below 90 percent create a rebuttable presumption of an access-administration impairment unless evidence establishes that the material underutilization resulted from inadequate qualifying United States supply, absence of commercially reasonable Canadian demand, food-safety or conformity failure, force majeure, or another specified cause not attributable to Canadian administration.</w:t>
      </w:r>
    </w:p>
    <w:p>
      <w:pPr>
        <w:pStyle w:val="Normal"/>
        <w:widowControl/>
        <w:rPr/>
      </w:pPr>
      <w:r>
        <w:rPr/>
        <w:t>6. Where qualified United States supply and a willing eligible Canadian commercial user exist but an administrative measure materially prevents utilization, Canada shall promptly restore the pathway through reallocation, portability, alternative importer access, equivalent product treatment where agreed, or other narrow corrective action sufficient to make the negotiated access usable.</w:t>
      </w:r>
    </w:p>
    <w:p>
      <w:pPr>
        <w:pStyle w:val="Normal"/>
        <w:widowControl/>
        <w:rPr/>
      </w:pPr>
      <w:r>
        <w:rPr/>
        <w:t>7. Nothing in this Article guarantees a sale, purchase, listing, shelf position, processor contract, price, or commercial outcome where access is genuinely available and market participants choose not to transact.</w:t>
      </w:r>
    </w:p>
    <w:p>
      <w:pPr>
        <w:pStyle w:val="Heading3"/>
        <w:keepNext/>
        <w:widowControl/>
        <w:rPr/>
      </w:pPr>
      <w:r>
        <w:rPr/>
        <w:t>6. Corrective measures under paragraph 5 shall first address the access pathway and may include accelerated reallocation, reopening of applicant categories, correction of qualification criteria, additional notice to eligible users, or other measures reasonably directed to the identified cause. They shall not compel a private purchase where commercially reasonable demand is absent.</w:t>
      </w:r>
    </w:p>
    <w:p>
      <w:pPr>
        <w:pStyle w:val="Heading3"/>
        <w:keepNext/>
        <w:widowControl/>
        <w:rPr/>
      </w:pPr>
      <w:r>
        <w:rPr/>
        <w:t>7. Reallocation shall occur with sufficient time remaining in the applicable quota period for a commercially reasonable importer to contract, ship, clear, process, distribute, or place the product into commerce. A nominal reallocation made too late for practical use shall not satisfy the effective-utilization obligation.</w:t>
      </w:r>
    </w:p>
    <w:p>
      <w:pPr>
        <w:pStyle w:val="Heading3"/>
        <w:keepNext/>
        <w:widowControl/>
        <w:rPr/>
      </w:pPr>
      <w:r>
        <w:rPr/>
        <w:t>Article 43.2L.6: Provincial Distribution, Regional Flexibility, and Anti-Concentration</w:t>
      </w:r>
    </w:p>
    <w:p>
      <w:pPr>
        <w:pStyle w:val="Normal"/>
        <w:widowControl/>
        <w:rPr/>
      </w:pPr>
      <w:r>
        <w:rPr/>
        <w:t>1. The purpose of the provincial access floor is to create durable and geographically distributed United States dairy access across Canada. Access attributed to a province should ordinarily be processed, distributed, sold, or otherwise placed into commerce in that province.</w:t>
      </w:r>
    </w:p>
    <w:p>
      <w:pPr>
        <w:pStyle w:val="Normal"/>
        <w:widowControl/>
        <w:rPr/>
      </w:pPr>
      <w:r>
        <w:rPr/>
        <w:t>2. Canada shall not satisfy the provincial distribution requirement by concentrating materially all utilization in one or two provinces while assigning accounting credit to other provinces without a commercially reasonable connection.</w:t>
      </w:r>
    </w:p>
    <w:p>
      <w:pPr>
        <w:pStyle w:val="Normal"/>
        <w:widowControl/>
        <w:rPr/>
      </w:pPr>
      <w:r>
        <w:rPr/>
        <w:t>3. A province with limited processing capacity, specialized product constraints, exceptional logistics costs, or other objectively demonstrated small-market limitations may use a published regional pooling arrangement, including an Atlantic, Prairie, or other appropriate regional pathway, provided the province's attributed quantity remains separately reported and the arrangement does not materially reduce aggregate United States access.</w:t>
      </w:r>
    </w:p>
    <w:p>
      <w:pPr>
        <w:pStyle w:val="Normal"/>
        <w:widowControl/>
        <w:rPr/>
      </w:pPr>
      <w:r>
        <w:rPr/>
        <w:t>4. Interprovincial transfer may be used temporarily to prevent access from expiring unused after reasonable provincial reallocation efforts. Transfer shall preserve the national negotiated quantity and shall not become a routine device for defeating geographic distribution.</w:t>
      </w:r>
    </w:p>
    <w:p>
      <w:pPr>
        <w:pStyle w:val="Heading3"/>
        <w:keepNext/>
        <w:widowControl/>
        <w:rPr/>
      </w:pPr>
      <w:r>
        <w:rPr/>
        <w:t>5. Open Access Reserve. At least 25 percent of genuinely incremental access under Article 43.2L.4 shall initially be available through allocation channels open to qualified independent importers, distributors, retailers, food-service purchasers, new entrants, and other eligible non-incumbent commercial users. The Commission may adjust the percentage only where validated market evidence shows that the reserve is persistently unusable or materially insufficient, and any adjustment shall preserve a commercially meaningful non-incumbent pathway.</w:t>
      </w:r>
    </w:p>
    <w:p>
      <w:pPr>
        <w:pStyle w:val="Heading3"/>
        <w:keepNext/>
        <w:widowControl/>
        <w:rPr/>
      </w:pPr>
      <w:r>
        <w:rPr/>
        <w:t>6. Beneficial-Ownership Concentration. No single enterprise or commonly controlled corporate group should ordinarily control more than 25 percent of genuinely incremental access attributed to a province. A temporary exception may be used where insufficient qualifying demand would otherwise strand access, but the reason, duration, and aggregate quantity shall be reported and the unused portion shall remain subject to reallocation.</w:t>
      </w:r>
    </w:p>
    <w:p>
      <w:pPr>
        <w:pStyle w:val="Heading3"/>
        <w:keepNext/>
        <w:widowControl/>
        <w:rPr/>
      </w:pPr>
      <w:r>
        <w:rPr/>
        <w:t>7. Regional flexibility shall not reduce a province's numerical obligation. Where processing or logistics constraints justify regional routing, the quantity shall remain attributed to the originating province for accounting purposes, remain commercially available to the designated regional market, and be supported by a written objective justification reviewed at least annually. Regional routing shall terminate when the material capacity constraint no longer exists.</w:t>
      </w:r>
    </w:p>
    <w:p>
      <w:pPr>
        <w:pStyle w:val="Heading3"/>
        <w:keepNext/>
        <w:widowControl/>
        <w:rPr/>
      </w:pPr>
      <w:r>
        <w:rPr/>
        <w:t>Article 43.2L.7: Product Mix, Milk-Equivalent Accounting, and Reference Volume</w:t>
      </w:r>
    </w:p>
    <w:p>
      <w:pPr>
        <w:pStyle w:val="Normal"/>
        <w:widowControl/>
        <w:rPr/>
      </w:pPr>
      <w:r>
        <w:rPr/>
        <w:t>1. Access under Article 43.2L.4 shall be expressed in standardized milk-equivalent quantities using transparent product-conversion factors maintained in Annex 43-A. Raw-fluid volume shall not be used as a substitute for product-sensitive conversion where cheese, butter, cream, powders, proteins, cultured products, or other dairy goods impose materially different milk-component requirements.</w:t>
      </w:r>
    </w:p>
    <w:p>
      <w:pPr>
        <w:pStyle w:val="Normal"/>
        <w:widowControl/>
        <w:rPr/>
      </w:pPr>
      <w:r>
        <w:rPr/>
        <w:t>2. Reference Milk-Production Volume means the rolling three-year average of marketable milk production or the closest objectively comparable official provincial production measure agreed by the Parties, adjusted only to correct material data discontinuities or extraordinary events.</w:t>
      </w:r>
    </w:p>
    <w:p>
      <w:pPr>
        <w:pStyle w:val="Normal"/>
        <w:widowControl/>
        <w:rPr/>
      </w:pPr>
      <w:r>
        <w:rPr/>
        <w:t>3. The access pool should support commercially relevant product diversity. Canada may use product-sensitive sub-pools for fluid and cream products, cheese, butter and milk fats, dairy ingredients and proteins, cultured products, specialty products, and other agreed categories, provided the design does not operate to frustrate aggregate utilization.</w:t>
      </w:r>
    </w:p>
    <w:p>
      <w:pPr>
        <w:pStyle w:val="Normal"/>
        <w:widowControl/>
        <w:rPr/>
      </w:pPr>
      <w:r>
        <w:rPr/>
        <w:t>4. No Party is required to manufacture, import, purchase, or consume a product for which there is no commercially reasonable demand. Product substitution within the negotiated access may be permitted using the agreed milk-equivalent conversion methodology where doing so preserves the economic value and sensitivity of the concession.</w:t>
      </w:r>
    </w:p>
    <w:p>
      <w:pPr>
        <w:pStyle w:val="Heading3"/>
        <w:keepNext/>
        <w:widowControl/>
        <w:rPr/>
      </w:pPr>
      <w:r>
        <w:rPr/>
        <w:t>5. Product-Demand Responsiveness. Administration of the provincial access floor shall reasonably respond to demonstrated commercial demand among covered dairy categories. Canada shall not systematically direct access toward low-demand or administratively convenient products for the purpose or effect of materially restricting access in categories where qualified United States suppliers and willing Canadian commercial users exist.</w:t>
      </w:r>
    </w:p>
    <w:p>
      <w:pPr>
        <w:pStyle w:val="Heading3"/>
        <w:keepNext/>
        <w:widowControl/>
        <w:rPr/>
      </w:pPr>
      <w:r>
        <w:rPr/>
        <w:t>Article 43.2L.8: Supply-Management Stability and No-Ratchet Safeguard</w:t>
      </w:r>
    </w:p>
    <w:p>
      <w:pPr>
        <w:pStyle w:val="Normal"/>
        <w:widowControl/>
        <w:rPr/>
      </w:pPr>
      <w:r>
        <w:rPr/>
        <w:t>1. Nothing in Articles 43.2L.4 through 43.2L.7 requires Canada to abolish provincial production quotas, alter farm-gate pricing structures, eliminate supply management, or reduce over-quota tariff protection beyond the access expressly scheduled under this Agreement.</w:t>
      </w:r>
    </w:p>
    <w:p>
      <w:pPr>
        <w:pStyle w:val="Normal"/>
        <w:widowControl/>
        <w:rPr/>
      </w:pPr>
      <w:r>
        <w:rPr/>
        <w:t>2. If objective evidence demonstrates that the distribution mechanics of the provincial access floor are causing material disruption beyond the negotiated market opening, Canada may temporarily modify allocation timing, product composition, regional routing, or other administrative mechanics, provided the aggregate negotiated United States access is not reduced and the modification is no more restrictive than reasonably necessary.</w:t>
      </w:r>
    </w:p>
    <w:p>
      <w:pPr>
        <w:pStyle w:val="Normal"/>
        <w:widowControl/>
        <w:rPr/>
      </w:pPr>
      <w:r>
        <w:rPr/>
        <w:t>3. A stability adjustment under paragraph 2 shall be notified promptly, include the evidence relied upon, and expire or be reviewed within 180 days. It shall not be used to recreate quota hoarding, closed allocation channels, or systematic underutilization.</w:t>
      </w:r>
    </w:p>
    <w:p>
      <w:pPr>
        <w:pStyle w:val="Normal"/>
        <w:widowControl/>
        <w:rPr/>
      </w:pPr>
      <w:r>
        <w:rPr/>
        <w:t>4. Successful absorption, high utilization, increased Canadian demand, or administrative convenience does not create a presumption in favor of expanding the percentage floor. Additional access remains a matter for express negotiation.</w:t>
      </w:r>
    </w:p>
    <w:p>
      <w:pPr>
        <w:pStyle w:val="Heading3"/>
        <w:keepNext/>
        <w:widowControl/>
        <w:rPr/>
      </w:pPr>
      <w:r>
        <w:rPr/>
        <w:t>Article 43.2L.9: Synchronized Exchange, Trilateral Balance, and Review</w:t>
      </w:r>
    </w:p>
    <w:p>
      <w:pPr>
        <w:pStyle w:val="Normal"/>
        <w:widowControl/>
        <w:rPr/>
      </w:pPr>
      <w:r>
        <w:rPr/>
        <w:t>1. Any genuinely incremental Canadian dairy access created by Articles 43.2L.4 through 43.2L.8 shall be implemented in synchronized exchange with a clearly identified reciprocal or offsetting benefit for Canada under this Agreement, consistent with Article 35.36 and Article 43.1. Canada shall not be required to front-load the incremental concession without the corresponding benefit becoming legally effective on the agreed schedule.</w:t>
      </w:r>
    </w:p>
    <w:p>
      <w:pPr>
        <w:pStyle w:val="Normal"/>
        <w:widowControl/>
        <w:rPr/>
      </w:pPr>
      <w:r>
        <w:rPr/>
        <w:t>2. The United States shall receive a clear, auditable statement of the provincial access quantities, utilization, returns, reallocations, and causes of material underfill. Canada shall receive equivalent transparency concerning the reciprocal benefit paired with the incremental access.</w:t>
      </w:r>
    </w:p>
    <w:p>
      <w:pPr>
        <w:pStyle w:val="Normal"/>
        <w:widowControl/>
        <w:rPr/>
      </w:pPr>
      <w:r>
        <w:rPr/>
        <w:t>3. Mexico shall retain full procedural equality under the North American Dairy Stability and Market Access Framework. The Commission shall review whether an equivalent Mexico-specific dairy access, development, or reciprocal opportunity mechanism would produce balanced value without mechanically copying the Canada-United States provincial model.</w:t>
      </w:r>
    </w:p>
    <w:p>
      <w:pPr>
        <w:pStyle w:val="Normal"/>
        <w:widowControl/>
        <w:rPr/>
      </w:pPr>
      <w:r>
        <w:rPr/>
        <w:t>4. The Parties shall conduct an implementation review after twelve months of operation at the 0.8 percent general access level and at least every five years thereafter. Review shall assess effective utilization, producer and processor effects, consumer effects, regional distribution, product mix, supply-management stability, new-entrant participation, the Priority Cheese Access Bonus under Article 43.2L.10, and the value of the reciprocal Canadian benefit.</w:t>
      </w:r>
    </w:p>
    <w:p>
      <w:pPr>
        <w:pStyle w:val="Normal"/>
        <w:widowControl/>
        <w:rPr/>
      </w:pPr>
      <w:r>
        <w:rPr/>
        <w:t>5. Review may recommend technical changes to conversion factors, reporting, reallocation timing, regional pooling, or product sub-pools. It shall not increase the percentage floor or diminish the reciprocal benefit without express agreement of the affected Parties.</w:t>
      </w:r>
    </w:p>
    <w:p>
      <w:pPr>
        <w:pStyle w:val="Heading3"/>
        <w:keepNext/>
        <w:widowControl/>
        <w:rPr/>
      </w:pPr>
      <w:r>
        <w:rPr/>
        <w:t>Article 43.2L.10: Provincial Priority Cheese Access Bonus</w:t>
      </w:r>
    </w:p>
    <w:p>
      <w:pPr>
        <w:pStyle w:val="Heading3"/>
        <w:keepNext/>
        <w:widowControl/>
        <w:rPr/>
      </w:pPr>
      <w:r>
        <w:rPr/>
        <w:t>1. In addition to the general dairy access floor under Article 43.2L.4, Canada shall establish for each province a United States Priority Cheese Access Bonus equivalent to 0.2 percent of that province's Reference Milk-Production Volume, converted into standardized milk-equivalent quantities under Annex 43-A. The Bonus shall become available upon entry into force of this mechanism and shall remain additional to, and shall not be credited against, the 0.6 percent or 0.8 percent general dairy access floor.</w:t>
      </w:r>
    </w:p>
    <w:p>
      <w:pPr>
        <w:pStyle w:val="Heading3"/>
        <w:keepNext/>
        <w:widowControl/>
        <w:rPr/>
      </w:pPr>
      <w:r>
        <w:rPr/>
        <w:t>2. Covered Priority Cheese Products. The Bonus may be used only for qualifying United States-origin cheddar, mozzarella, including low-moisture and part-skim mozzarella used in food service or manufacturing, and cream cheese, as defined and classified in Annex 43-A. Unrelated dairy products shall not be counted toward the Bonus.</w:t>
      </w:r>
    </w:p>
    <w:p>
      <w:pPr>
        <w:pStyle w:val="Heading3"/>
        <w:keepNext/>
        <w:widowControl/>
        <w:rPr/>
      </w:pPr>
      <w:r>
        <w:rPr/>
        <w:t>3. Commercial Product Choice. The Bonus shall operate as a unified priority-cheese pool rather than three rigid product sub-quotas. Qualified Canadian commercial users may select among covered cheddar, mozzarella, and cream cheese according to demonstrated demand. No covered product may be categorically excluded or subjected to an allocation practice that materially defeats commercially demonstrated demand.</w:t>
      </w:r>
    </w:p>
    <w:p>
      <w:pPr>
        <w:pStyle w:val="Heading3"/>
        <w:keepNext/>
        <w:widowControl/>
        <w:rPr/>
      </w:pPr>
      <w:r>
        <w:rPr/>
        <w:t>4. Effective Utilization. The use-or-return, timely reallocation, utilization review, new-entrant access, anti-hoarding, beneficial-ownership concentration, and effective-performance safeguards applicable to Article 43.2L.4 shall apply equally to the Priority Cheese Access Bonus.</w:t>
      </w:r>
    </w:p>
    <w:p>
      <w:pPr>
        <w:pStyle w:val="Heading3"/>
        <w:keepNext/>
        <w:widowControl/>
        <w:rPr/>
      </w:pPr>
      <w:r>
        <w:rPr/>
        <w:t>5. Open Commercial Channels. The Bonus shall maintain commercially meaningful pathways for processors, independent importers, retailers, food-service distributors and purchasers, cooperatives, and qualified new entrants. The Open Access Reserve under Article 43.2L.6 shall apply to the Bonus and may not be satisfied solely through allocation to incumbent processors.</w:t>
      </w:r>
    </w:p>
    <w:p>
      <w:pPr>
        <w:pStyle w:val="Heading3"/>
        <w:keepNext/>
        <w:widowControl/>
        <w:rPr/>
      </w:pPr>
      <w:r>
        <w:rPr/>
        <w:t>6. Product Classification Integrity. Annex 43-A shall identify the applicable tariff classifications and commercially relevant product definitions for cheddar, mozzarella, and cream cheese. Technical classification updates may prevent evasion or accommodate legitimate product evolution but shall not expand the Bonus to unrelated dairy categories or materially reduce its commercial usability without express agreement.</w:t>
      </w:r>
    </w:p>
    <w:p>
      <w:pPr>
        <w:pStyle w:val="Heading3"/>
        <w:keepNext/>
        <w:widowControl/>
        <w:rPr/>
      </w:pPr>
      <w:r>
        <w:rPr/>
        <w:t>7. No Automatic Ratchet. High utilization, successful provincial absorption, growth in Canadian demand, or strong commercial performance of a covered cheese may be considered in future negotiations but creates no presumption, entitlement, obligation, or automatic adjustment requiring Canada to increase the 0.2 percent Bonus or the general dairy access floor.</w:t>
      </w:r>
    </w:p>
    <w:p>
      <w:pPr>
        <w:pStyle w:val="Heading3"/>
        <w:keepNext/>
        <w:widowControl/>
        <w:rPr/>
      </w:pPr>
      <w:r>
        <w:rPr/>
        <w:t>8. Supply-Management Boundary. The Priority Cheese Access Bonus is a defined additional market-access concession. Nothing in this Article requires Canada to alter supply-management institutions beyond what is reasonably necessary to make the scheduled Bonus commercially usable, nor may supply-management administration be used to nullify the Bonus.</w:t>
      </w:r>
    </w:p>
    <w:p>
      <w:pPr>
        <w:pStyle w:val="Heading3"/>
        <w:keepNext/>
        <w:widowControl/>
        <w:rPr/>
      </w:pPr>
      <w:r>
        <w:rPr/>
        <w:t>9. Reciprocal Treatment. To the extent the 0.2 percent Bonus constitutes genuinely incremental access beyond pre-existing obligations, it shall be included in the synchronized exchange and reciprocal-benefit accounting under Article 43.2L.9 and Article 35.36.</w:t>
      </w:r>
    </w:p>
    <w:p>
      <w:pPr>
        <w:pStyle w:val="Heading3"/>
        <w:keepNext/>
        <w:widowControl/>
        <w:rPr/>
      </w:pPr>
      <w:r>
        <w:rPr/>
        <w:t>Article 43.2L.11: OPTIONAL CANADA-UNITED STATES ENHANCED DAIRY ACCESS AND SOFTWOOD LUMBER NORMALIZATION EXCHANGE</w:t>
      </w:r>
    </w:p>
    <w:p>
      <w:pPr>
        <w:pStyle w:val="Normal"/>
        <w:widowControl/>
        <w:rPr/>
      </w:pPr>
      <w:r>
        <w:rPr/>
        <w:t>1. Optional Character and Separate Consent. Canada and the United States establish a standing negotiated option under which additional Canadian provincial dairy access may be exchanged for corresponding United States softwood-lumber normalization. This Article and its Schedule are optional. Nothing in this Agreement, including ratification, entry into force, implementation, renewal, continuation, amendment, or participation in any other Chapter, constitutes consent to activate an Exchange Unit. No Exchange Unit creates a right, obligation, expectation, presumption, entitlement, compensable interest, or implementation duty unless Canada and the United States separately execute the applicable Activation Schedule through their respective constitutionally appropriate procedures.</w:t>
      </w:r>
    </w:p>
    <w:p>
      <w:pPr>
        <w:pStyle w:val="Normal"/>
        <w:widowControl/>
        <w:rPr/>
      </w:pPr>
      <w:r>
        <w:rPr/>
        <w:t>2. Baseline Firewall. The 1.0 percent total scheduled provincial dairy access established by Articles 43.2L.4 and 43.2L.10 after completion of the six-month transition remains the baseline dairy bargain and is legally separate from this Optional Exchange. Declining, delaying, terminating, or declining to renew an optional Exchange Unit does not constitute a violation of the baseline dairy obligations or of Chapter 42.</w:t>
      </w:r>
    </w:p>
    <w:p>
      <w:pPr>
        <w:pStyle w:val="Normal"/>
        <w:widowControl/>
        <w:rPr/>
      </w:pPr>
      <w:r>
        <w:rPr/>
        <w:t>3. Exchange Units. The Optional Exchange may be activated in three cumulative units unless the Parties expressly agree otherwise in the signed Schedule: (a) Unit A adds 0.20 percentage points of provincial dairy access, producing 1.20 percent total scheduled access after the baseline transition; (b) Unit B adds a further 0.20 percentage points, producing 1.40 percent; and (c) Unit C adds a further 0.10 percentage points, producing 1.50 percent. A later Unit may be activated only with the preceding Unit or through an expressly agreed equivalent configuration preserving reciprocal value.</w:t>
      </w:r>
    </w:p>
    <w:p>
      <w:pPr>
        <w:pStyle w:val="Normal"/>
        <w:widowControl/>
        <w:rPr/>
      </w:pPr>
      <w:r>
        <w:rPr/>
        <w:t>4. Suggested Negotiating Calibration. The initial, non-binding negotiating proposal pairs Unit A with a 25 percent Aggregate Covered Border Burden ceiling on covered Canadian softwood lumber, Units A and B cumulatively with a 20 percent ceiling, and Units A through C cumulatively with a 15 percent ceiling. For full activation, 15 percent is the suggested initial negotiating reference point and 12.5 to 20 percent is the reference negotiating corridor. The figures may be changed only by mutual written agreement before activation. They are not self-executing, do not amend applicable trade-remedy determinations by themselves, and shall not be represented as an agreed outcome until incorporated into a signed Activation Schedule.</w:t>
      </w:r>
    </w:p>
    <w:p>
      <w:pPr>
        <w:pStyle w:val="Normal"/>
        <w:widowControl/>
        <w:rPr/>
      </w:pPr>
      <w:r>
        <w:rPr/>
        <w:t>5. Reciprocal-Value Validation. Before execution of an Exchange Unit, Canada and the United States shall assess substantial reciprocal value using the best reasonably available data concerning expected incremental dairy access, historical utilization, tariff incidence, affected trade value, commercial usability, duration, reversibility, market conditions, producer and downstream effects, and the expected commercial value of the lumber treatment. Exact dollar-for-dollar equivalence is not required. Cothrom shall verify that the proposed exchange falls within a reasonable reciprocal-value range and shall publish a non-confidential explanation of the methodology without disclosing protected commercial information.</w:t>
      </w:r>
    </w:p>
    <w:p>
      <w:pPr>
        <w:pStyle w:val="Normal"/>
        <w:widowControl/>
        <w:rPr/>
      </w:pPr>
      <w:r>
        <w:rPr/>
        <w:t>6. Lumber Schedule Specificity. Each Activation Schedule shall identify the covered Canadian softwood-lumber products, covered border measures, applicable Aggregate Covered Border Burden ceiling, treatment of producer-specific rates where required by law, commencement date, verification method, successor-measure treatment, and any lawful administrative mechanism used by the United States to deliver the negotiated ceiling. A general commitment to improve lumber access is insufficient to activate additional dairy access.</w:t>
      </w:r>
    </w:p>
    <w:p>
      <w:pPr>
        <w:pStyle w:val="Normal"/>
        <w:widowControl/>
        <w:rPr/>
      </w:pPr>
      <w:r>
        <w:rPr/>
        <w:t>7. Dairy Schedule Specificity. Each Activation Schedule shall identify the additional provincial milk-equivalent quantity corresponding to the activated Unit, eligible product scope, allocation and reallocation rules, any agreed priority-product component, and the effective-utilization safeguards that apply. Optional dairy access shall be commercially usable and shall inherit the anti-hoarding, open-access, beneficial-ownership concentration, timely-reallocation, product-demand-responsiveness, and effective-performance disciplines applicable to the baseline provincial access architecture unless the signed Schedule provides an equally effective alternative.</w:t>
      </w:r>
    </w:p>
    <w:p>
      <w:pPr>
        <w:pStyle w:val="Normal"/>
        <w:widowControl/>
        <w:rPr/>
      </w:pPr>
      <w:r>
        <w:rPr/>
        <w:t>8. Simultaneous Activation. Neither Party shall be required to perform first. Canada shall certify operational readiness of the corresponding dairy increment and the United States shall certify operational readiness of the corresponding lumber treatment. Following verification, Cothrom shall issue a Dual-Readiness Certificate. The paired concessions shall enter into operation simultaneously at 00:01 local time in each Party on the Activation Date specified in that Certificate. If either side is not ready, neither side of that Exchange Unit activates.</w:t>
      </w:r>
    </w:p>
    <w:p>
      <w:pPr>
        <w:pStyle w:val="Normal"/>
        <w:widowControl/>
        <w:rPr/>
      </w:pPr>
      <w:r>
        <w:rPr/>
        <w:t>9. Functional-Equivalence and Successor-Measure Firewall. A Party shall not materially withdraw the negotiated commercial value of an activated Exchange Unit by renaming, restructuring, relocating, layering, or replacing a covered measure. For the United States, the test is whether a successor or additional measure causes the Aggregate Covered Border Burden materially to exceed the signed ceiling or otherwise materially defeats the scheduled lumber benefit. For Canada, the test is whether administration, allocation, licensing, classification, delay, concentration, or another measure materially defeats the scheduled optional dairy benefit. This paragraph does not prohibit bona fide nondiscriminatory regulation, taxation, customs enforcement, safety measures, environmental measures, or trade-remedy administration outside the commercial value specifically exchanged.</w:t>
      </w:r>
    </w:p>
    <w:p>
      <w:pPr>
        <w:pStyle w:val="Normal"/>
        <w:widowControl/>
        <w:rPr/>
      </w:pPr>
      <w:r>
        <w:rPr/>
        <w:t>10. Cure and Proportional Step-Back. Where Cothrom verifies material impairment of an activated Unit, the affected Party shall receive a reasonable cure period specified in the Activation Schedule, ordinarily not exceeding 60 days absent exceptional circumstances. If the impairment is not cured, only the corresponding optional Exchange Unit, or the proportion demonstrably impaired, shall step back. Step-back shall be synchronized and shall not reduce Canadian dairy access below the 1.0 percent baseline, restore unrelated tariffs, authorize cross-sector retaliation, or disturb unrelated rights under this Agreement.</w:t>
      </w:r>
    </w:p>
    <w:p>
      <w:pPr>
        <w:pStyle w:val="Normal"/>
        <w:widowControl/>
        <w:rPr/>
      </w:pPr>
      <w:r>
        <w:rPr/>
        <w:t>11. Illustrative Step-Back. If Units A, B, and C are active and Unit C ceases to receive its agreed reciprocal lumber value, optional dairy access ordinarily returns from 1.50 percent to 1.40 percent. If Units B and C cease, it ordinarily returns to 1.20 percent. If all optional Units cease, it returns to the 1.0 percent baseline. Equivalent proportional treatment applies where Canada materially withdraws the optional dairy benefit.</w:t>
      </w:r>
    </w:p>
    <w:p>
      <w:pPr>
        <w:pStyle w:val="Normal"/>
        <w:widowControl/>
        <w:rPr/>
      </w:pPr>
      <w:r>
        <w:rPr/>
        <w:t>12. Lawful Termination Without Breach. Either Canada or the United States may terminate one or more activated Exchange Units on 180 days written notice unless the signed Activation Schedule establishes another mutually agreed period. Both Parties shall continue the paired performance during the notice period. At expiration, the corresponding concessions terminate simultaneously. Lawful termination under this paragraph is not a breach, does not create damages or retaliation rights, and does not affect baseline NAESTMA treatment.</w:t>
      </w:r>
    </w:p>
    <w:p>
      <w:pPr>
        <w:pStyle w:val="Normal"/>
        <w:widowControl/>
        <w:rPr/>
      </w:pPr>
      <w:r>
        <w:rPr/>
        <w:t>13. Continuation Unless Terminated. An activated Exchange Unit continues without annual reauthorization unless terminated, stepped back, or amended under this Article. Periodic review may recommend recalibration but shall not itself change the dairy percentage, lumber ceiling, product scope, or other negotiated consideration.</w:t>
      </w:r>
    </w:p>
    <w:p>
      <w:pPr>
        <w:pStyle w:val="Normal"/>
        <w:widowControl/>
        <w:rPr/>
      </w:pPr>
      <w:r>
        <w:rPr/>
        <w:t>14. Optional Priority Dairy Schedule. The Parties may designate part of an optional dairy increment for product categories of demonstrated United States commercial interest from a mutually agreed eligible list. Canada retains authority over the composition of the optional pool within the signed bounds, but shall not systematically direct access toward low-demand categories in order to defeat its commercial value. The United States receives no unilateral authority to add products or enlarge the aggregate optional percentage.</w:t>
      </w:r>
    </w:p>
    <w:p>
      <w:pPr>
        <w:pStyle w:val="Normal"/>
        <w:widowControl/>
        <w:rPr/>
      </w:pPr>
      <w:r>
        <w:rPr/>
        <w:t>15. Structural Dairy Solids Compatibility. Canada may operate lawful Structural Dairy Solids Rebalancing, inventory-management, transformation, emergency-nutrition, or other supply-management mechanisms alongside an activated Optional Exchange, provided those mechanisms do not discriminate against qualifying United States products or materially nullify the negotiated optional access. Domestic non-fat-solids imbalance does not excuse non-performance of an activated Unit.</w:t>
      </w:r>
    </w:p>
    <w:p>
      <w:pPr>
        <w:pStyle w:val="Normal"/>
        <w:widowControl/>
        <w:rPr/>
      </w:pPr>
      <w:r>
        <w:rPr/>
        <w:t>16. No Automatic Ratchet. High utilization of optional dairy access, successful lumber normalization, favorable market conditions, or continuation of an Exchange Unit does not create an entitlement or presumption that Canada must exceed 1.50 percent provincial access or that the United States must reduce the covered lumber burden below the signed level. Further liberalization requires express agreement.</w:t>
      </w:r>
    </w:p>
    <w:p>
      <w:pPr>
        <w:pStyle w:val="Normal"/>
        <w:widowControl/>
        <w:rPr/>
      </w:pPr>
      <w:r>
        <w:rPr/>
        <w:t>17. No Bargaining Contamination. A Party's decision not to activate, expand, renew, or continue an Optional Exchange Unit, or its lawful termination of a Unit, shall not be cited as evidence of bad faith, inadequate baseline market access, treaty non-compliance, failure to make concessions, or grounds for adverse treatment in another NAESTMA proceeding. Optional means optional.</w:t>
      </w:r>
    </w:p>
    <w:p>
      <w:pPr>
        <w:pStyle w:val="Normal"/>
        <w:widowControl/>
        <w:rPr/>
      </w:pPr>
      <w:r>
        <w:rPr/>
        <w:t>18. Relationship to Chapter 42 and Other Forestry Bargains. This Optional Exchange supplements and does not automatically replace, satisfy, offset, or double-count obligations or benefits under Articles 42.19 through 42.23B or another minerals-for-forestry, housing, disaster-reconstruction, or forestry-normalization bargain. The signed Activation Schedule shall identify any intentional crediting or interaction so that the same United States lumber concession is not purchased twice with separate Canadian consideration.</w:t>
      </w:r>
    </w:p>
    <w:p>
      <w:pPr>
        <w:pStyle w:val="Normal"/>
        <w:widowControl/>
        <w:rPr/>
      </w:pPr>
      <w:r>
        <w:rPr/>
        <w:t>19. Mexico Firewall and Trilateral Rights. This Optional Exchange is bilateral between Canada and the United States and does not impose a dairy, forestry, or financial obligation on Mexico. Mexico retains all independent rights and benefits under this Agreement, including the trilateral dairy and forestry provisions, and shall not suffer reduced treatment because it does not participate in this bilateral option.</w:t>
      </w:r>
    </w:p>
    <w:p>
      <w:pPr>
        <w:pStyle w:val="Heading3"/>
        <w:keepNext/>
        <w:widowControl/>
        <w:rPr/>
      </w:pPr>
      <w:r>
        <w:rPr/>
        <w:t>Article 43.2M: North American Beverage Alcohol Stability, Regulatory Sovereignty, and Three-Win Framework</w:t>
      </w:r>
    </w:p>
    <w:p>
      <w:pPr>
        <w:pStyle w:val="Normal"/>
        <w:widowControl/>
        <w:rPr/>
      </w:pPr>
      <w:r>
        <w:rPr/>
        <w:t>1. The Parties establish a North American Beverage Alcohol Stability and Market Access Framework to expand lawful and commercially meaningful trade in beverage alcohol while preserving legitimate domestic and subnational authority over public health, road safety, youth protection, taxation, retail structure, responsible service, zoning, Indigenous rights, and other legitimate public objectives.</w:t>
      </w:r>
    </w:p>
    <w:p>
      <w:pPr>
        <w:pStyle w:val="Normal"/>
        <w:widowControl/>
        <w:rPr/>
      </w:pPr>
      <w:r>
        <w:rPr/>
        <w:t>2. Nothing in this Framework requires a Party to privatize or abolish a public alcohol wholesaler or retailer, harmonize legal purchase ages, sales hours, zoning, minimum-pricing policies, excise rates, or public-health rules, or otherwise replace its constitutional allocation of authority.</w:t>
      </w:r>
    </w:p>
    <w:p>
      <w:pPr>
        <w:pStyle w:val="Normal"/>
        <w:widowControl/>
        <w:rPr/>
      </w:pPr>
      <w:r>
        <w:rPr/>
        <w:t>3. Differences among federal, provincial, territorial, state, local, or Mexican subnational alcohol systems do not by themselves establish discrimination or an unnecessary barrier to trade. A challenge shall identify materially adverse treatment, a disguised restriction, or an unnecessarily trade-restrictive administrative requirement inconsistent with this Agreement.</w:t>
      </w:r>
    </w:p>
    <w:p>
      <w:pPr>
        <w:pStyle w:val="Normal"/>
        <w:widowControl/>
        <w:rPr/>
      </w:pPr>
      <w:r>
        <w:rPr/>
        <w:t>4. Canada, Mexico, and the United States shall receive equivalent procedural rights and reciprocal opportunities under this Framework. Implementation shall seek a defensible benefit for each Party and shall not treat Mexico as a secondary participant or residual market.</w:t>
      </w:r>
    </w:p>
    <w:p>
      <w:pPr>
        <w:pStyle w:val="Normal"/>
        <w:widowControl/>
        <w:rPr/>
      </w:pPr>
      <w:r>
        <w:rPr/>
        <w:t>5. Where two formulations can achieve substantially equivalent trade outcomes, the Parties should prefer the formulation that preserves legitimate regulatory autonomy and permits each Party to explain the settlement accurately as advancing important domestic interests.</w:t>
      </w:r>
    </w:p>
    <w:p>
      <w:pPr>
        <w:pStyle w:val="Heading3"/>
        <w:keepNext/>
        <w:widowControl/>
        <w:rPr/>
      </w:pPr>
      <w:r>
        <w:rPr/>
        <w:t>Article 43.2N: Effective and Nondiscriminatory Beverage Market Access</w:t>
      </w:r>
    </w:p>
    <w:p>
      <w:pPr>
        <w:pStyle w:val="Normal"/>
        <w:widowControl/>
        <w:rPr/>
      </w:pPr>
      <w:r>
        <w:rPr/>
        <w:t>1. A Party or subnational authority administering alcohol listing, wholesaling, retailing, importation, licensing, warehousing, distribution, or marketplace access shall apply published, objective, transparent, and nondiscriminatory criteria to like products of another Party.</w:t>
      </w:r>
    </w:p>
    <w:p>
      <w:pPr>
        <w:pStyle w:val="Normal"/>
        <w:widowControl/>
        <w:rPr/>
      </w:pPr>
      <w:r>
        <w:rPr/>
        <w:t>2. Government-controlled wholesalers and retailers may continue to operate. Their markups, listing charges, warehousing fees, service charges, promotional rules, and comparable commercial conditions shall not discriminate against a like product of another Party on the basis of origin.</w:t>
      </w:r>
    </w:p>
    <w:p>
      <w:pPr>
        <w:pStyle w:val="Normal"/>
        <w:widowControl/>
        <w:rPr/>
      </w:pPr>
      <w:r>
        <w:rPr/>
        <w:t>3. Competent authorities shall publish material listing and licensing criteria, applicable fees, expected processing periods, required documentation, and review or appeal procedures. A denied or materially delayed application shall receive a reasoned explanation upon request.</w:t>
      </w:r>
    </w:p>
    <w:p>
      <w:pPr>
        <w:pStyle w:val="Normal"/>
        <w:widowControl/>
        <w:rPr/>
      </w:pPr>
      <w:r>
        <w:rPr/>
        <w:t>4. Shelf placement, promotional eligibility, private-store access where private stores are permitted, restaurant and hospitality channels, digital listings, and comparable opportunities shall not be administered so as to nullify negotiated market access through disguised local preference.</w:t>
      </w:r>
    </w:p>
    <w:p>
      <w:pPr>
        <w:pStyle w:val="Normal"/>
        <w:widowControl/>
        <w:rPr/>
      </w:pPr>
      <w:r>
        <w:rPr/>
        <w:t>5. No Party is required to guarantee a nationality-based share of shelf space, sales, procurement, or consumer demand. Effective access means a fair commercial opportunity to compete, not a guaranteed commercial outcome.</w:t>
      </w:r>
    </w:p>
    <w:p>
      <w:pPr>
        <w:pStyle w:val="Normal"/>
        <w:widowControl/>
        <w:rPr/>
      </w:pPr>
      <w:r>
        <w:rPr/>
        <w:t>6. A facially neutral requirement challenged as unnecessarily trade restrictive shall be assessed by considering the legitimate objective pursued, its material contribution to that objective, comparable treatment of domestic goods, and whether a reasonably available and materially less trade-restrictive alternative can achieve substantially the same level of protection.</w:t>
      </w:r>
    </w:p>
    <w:p>
      <w:pPr>
        <w:pStyle w:val="Normal"/>
        <w:widowControl/>
        <w:rPr/>
      </w:pPr>
      <w:r>
        <w:rPr/>
        <w:t>7. Canada may pursue improved interprovincial alcohol trade for Canadian producers alongside its international obligations. Nothing in this Framework converts domestic interprovincial reform into a concession owed exclusively to another Party.</w:t>
      </w:r>
    </w:p>
    <w:p>
      <w:pPr>
        <w:pStyle w:val="Heading3"/>
        <w:keepNext/>
        <w:widowControl/>
        <w:rPr/>
      </w:pPr>
      <w:r>
        <w:rPr/>
        <w:t>Article 43.2O: Tariff-Linked Restoration, Transition, and Inventory Reconciliation</w:t>
      </w:r>
    </w:p>
    <w:p>
      <w:pPr>
        <w:pStyle w:val="Normal"/>
        <w:widowControl/>
        <w:rPr/>
      </w:pPr>
      <w:r>
        <w:rPr/>
        <w:t>1. Where beverage restrictions were adopted as a response to tariffs or other extraordinary trade measures, the Parties shall seek a sequenced restoration process linked to verified removal, suspension, or agreed modification of the measure that gave rise to the restriction.</w:t>
      </w:r>
    </w:p>
    <w:p>
      <w:pPr>
        <w:pStyle w:val="Normal"/>
        <w:widowControl/>
        <w:rPr/>
      </w:pPr>
      <w:r>
        <w:rPr/>
        <w:t>2. Restoration may proceed through published stages for ordinary listing eligibility, inventory replenishment, distribution normalization, and termination of retaliatory restrictions. Transition periods shall reflect reasonable commercial restocking and administrative needs and shall not be used to perpetuate retaliation after the triggering measure has been cured.</w:t>
      </w:r>
    </w:p>
    <w:p>
      <w:pPr>
        <w:pStyle w:val="Normal"/>
        <w:widowControl/>
        <w:rPr/>
      </w:pPr>
      <w:r>
        <w:rPr/>
        <w:t>3. Alcohol restoration is one component of a broader trade settlement and shall not, standing alone, be deemed consideration for unrelated concessions of manifestly disproportionate economic value.</w:t>
      </w:r>
    </w:p>
    <w:p>
      <w:pPr>
        <w:pStyle w:val="Normal"/>
        <w:widowControl/>
        <w:rPr/>
      </w:pPr>
      <w:r>
        <w:rPr/>
        <w:t>4. The Parties shall provide electronic mechanisms for duty drawback, tariff rebates, corrected classification, re-export, and reconciliation of qualifying beverage inventory held in bond when applicable tariff treatment changes before release.</w:t>
      </w:r>
    </w:p>
    <w:p>
      <w:pPr>
        <w:pStyle w:val="Normal"/>
        <w:widowControl/>
        <w:rPr/>
      </w:pPr>
      <w:r>
        <w:rPr/>
        <w:t>5. Retrospective relief shall be available where duties were overpaid because of a subsequently corrected administrative error, qualifying tariff transition, or other circumstance for which domestic law permits refund or drawback.</w:t>
      </w:r>
    </w:p>
    <w:p>
      <w:pPr>
        <w:pStyle w:val="Normal"/>
        <w:widowControl/>
        <w:rPr/>
      </w:pPr>
      <w:r>
        <w:rPr/>
        <w:t>6. A Party shall not condition temporary relief from an emergency or short-term disruption on acceptance of an unrelated permanent concession.</w:t>
      </w:r>
    </w:p>
    <w:p>
      <w:pPr>
        <w:pStyle w:val="Heading3"/>
        <w:keepNext/>
        <w:widowControl/>
        <w:rPr/>
      </w:pPr>
      <w:r>
        <w:rPr/>
        <w:t>Article 43.2P: Small, Independent, Indigenous, and Specialty Beverage Producers</w:t>
      </w:r>
    </w:p>
    <w:p>
      <w:pPr>
        <w:pStyle w:val="Normal"/>
        <w:widowControl/>
        <w:rPr/>
      </w:pPr>
      <w:r>
        <w:rPr/>
        <w:t>1. The Parties shall establish a Beverage SME Passport through which a qualifying producer may submit a reusable core set of business identity, licensing, compliance, origin, safety, and product information for recognized cross-border procedures.</w:t>
      </w:r>
    </w:p>
    <w:p>
      <w:pPr>
        <w:pStyle w:val="Normal"/>
        <w:widowControl/>
        <w:rPr/>
      </w:pPr>
      <w:r>
        <w:rPr/>
        <w:t>2. Small-producer listing, registration, warehousing, bond, certification, and administrative charges should, where practicable, be proportionate to regulatory cost and risk and shall not be structured to exclude small foreign producers.</w:t>
      </w:r>
    </w:p>
    <w:p>
      <w:pPr>
        <w:pStyle w:val="Normal"/>
        <w:widowControl/>
        <w:rPr/>
      </w:pPr>
      <w:r>
        <w:rPr/>
        <w:t>3. The Parties shall provide simplified treatment for low-value commercial shipments, samples for retailers, restaurants, competitions, festivals, cultural events, and trade shows, subject to quantity limits, tax rules, non-resale conditions where appropriate, and public-health safeguards.</w:t>
      </w:r>
    </w:p>
    <w:p>
      <w:pPr>
        <w:pStyle w:val="Normal"/>
        <w:widowControl/>
        <w:rPr/>
      </w:pPr>
      <w:r>
        <w:rPr/>
        <w:t>4. Qualifying producers may consolidate compliant shipments with other producers without losing access to simplified procedures solely because multiple brands or producers share a truck, container, warehouse, or logistics provider.</w:t>
      </w:r>
    </w:p>
    <w:p>
      <w:pPr>
        <w:pStyle w:val="Normal"/>
        <w:widowControl/>
        <w:rPr/>
      </w:pPr>
      <w:r>
        <w:rPr/>
        <w:t>5. Broad retaliatory alcohol measures should presumptively exempt qualifying microbreweries, cideries, wineries, distilleries, and similarly situated small producers that are not materially implicated in the underlying dispute, unless exclusion would frustrate a lawful and proportionate remedy.</w:t>
      </w:r>
    </w:p>
    <w:p>
      <w:pPr>
        <w:pStyle w:val="Normal"/>
        <w:widowControl/>
        <w:rPr/>
      </w:pPr>
      <w:r>
        <w:rPr/>
        <w:t>6. Indigenous producers shall have equal access to export facilitation, technical assistance, specialty-product procedures, and market-development tools. Nothing in this Framework diminishes constitutionally protected Aboriginal or treaty rights, Indigenous self-government arrangements, or applicable Indigenous regulatory authority.</w:t>
      </w:r>
    </w:p>
    <w:p>
      <w:pPr>
        <w:pStyle w:val="Normal"/>
        <w:widowControl/>
        <w:rPr/>
      </w:pPr>
      <w:r>
        <w:rPr/>
        <w:t>7. The Parties may facilitate voluntary producer-exporter matching, export-readiness assistance, and access to private financing or existing development programs without requiring a new permanent subsidy program.</w:t>
      </w:r>
    </w:p>
    <w:p>
      <w:pPr>
        <w:pStyle w:val="Heading3"/>
        <w:keepNext/>
        <w:widowControl/>
        <w:rPr/>
      </w:pPr>
      <w:r>
        <w:rPr/>
        <w:t>Article 43.2Q: Distinctive Products, Authenticity, Specialty Beverages, and Origin Integrity</w:t>
      </w:r>
    </w:p>
    <w:p>
      <w:pPr>
        <w:pStyle w:val="Normal"/>
        <w:widowControl/>
        <w:rPr/>
      </w:pPr>
      <w:r>
        <w:rPr/>
        <w:t>1. The Parties reaffirm protection for distinctive beverage products recognized under applicable law and existing international obligations and shall maintain a North American Distinctive Beverage Products Registry identifying protected names, legal bases, production requirements, and competent authorities.</w:t>
      </w:r>
    </w:p>
    <w:p>
      <w:pPr>
        <w:pStyle w:val="Normal"/>
        <w:widowControl/>
        <w:rPr/>
      </w:pPr>
      <w:r>
        <w:rPr/>
        <w:t>2. The Registry may be updated through an agreed technical procedure for additional qualifying products without reopening this Agreement. Recognition shall respect legitimate pre-existing generic uses and shall not automatically extend beyond the legal scope of the underlying protection.</w:t>
      </w:r>
    </w:p>
    <w:p>
      <w:pPr>
        <w:pStyle w:val="Normal"/>
        <w:widowControl/>
        <w:rPr/>
      </w:pPr>
      <w:r>
        <w:rPr/>
        <w:t>3. The Parties shall cooperate against counterfeit spirits, false origin claims, fraudulent age or vintage statements, misleading production-method claims, and unauthorized use of protected distinctive-product names.</w:t>
      </w:r>
    </w:p>
    <w:p>
      <w:pPr>
        <w:pStyle w:val="Normal"/>
        <w:widowControl/>
        <w:rPr/>
      </w:pPr>
      <w:r>
        <w:rPr/>
        <w:t>4. Rules of origin shall facilitate legitimate North American beverage supply chains, including regional grain, fruit, packaging, and processing inputs, while preventing superficial processing, transshipment, and origin laundering.</w:t>
      </w:r>
    </w:p>
    <w:p>
      <w:pPr>
        <w:pStyle w:val="Normal"/>
        <w:widowControl/>
        <w:rPr/>
      </w:pPr>
      <w:r>
        <w:rPr/>
        <w:t>5. Cumulation or regional-content treatment shall not override a distinctive product's legally required geographic production, raw-material, maturation, or processing conditions.</w:t>
      </w:r>
    </w:p>
    <w:p>
      <w:pPr>
        <w:pStyle w:val="Normal"/>
        <w:widowControl/>
        <w:rPr/>
      </w:pPr>
      <w:r>
        <w:rPr/>
        <w:t>6. The Parties shall maintain clear treatment for low-alcohol, alcohol-removed, non-alcoholic versions of traditionally alcoholic beverages, alcohol used in foods, flavourings, extracts, and manufacturing, and novel beverage categories through tariff-line crosswalks, advance rulings, or the experimental pathway.</w:t>
      </w:r>
    </w:p>
    <w:p>
      <w:pPr>
        <w:pStyle w:val="Normal"/>
        <w:widowControl/>
        <w:rPr/>
      </w:pPr>
      <w:r>
        <w:rPr/>
        <w:t>7. Common or mutually recognized definitions may be developed for useful production and market terms, including beer, wine, spirits, cider, liqueurs, ready-to-drink beverages, craft or small-producer categories, and specialty products, but evolving marketing terms need not be frozen permanently in treaty text.</w:t>
      </w:r>
    </w:p>
    <w:p>
      <w:pPr>
        <w:pStyle w:val="Heading3"/>
        <w:keepNext/>
        <w:widowControl/>
        <w:rPr/>
      </w:pPr>
      <w:r>
        <w:rPr/>
        <w:t>Article 43.2R: Regulatory Interoperability, Testing, Labeling, and Product Approval</w:t>
      </w:r>
    </w:p>
    <w:p>
      <w:pPr>
        <w:pStyle w:val="Normal"/>
        <w:widowControl/>
        <w:rPr/>
      </w:pPr>
      <w:r>
        <w:rPr/>
        <w:t>1. The Parties shall pursue equivalence, interoperability, and mutual recognition where these can reduce unnecessary duplication while preserving each Party's chosen level of health, safety, consumer, and environmental protection.</w:t>
      </w:r>
    </w:p>
    <w:p>
      <w:pPr>
        <w:pStyle w:val="Normal"/>
        <w:widowControl/>
        <w:rPr/>
      </w:pPr>
      <w:r>
        <w:rPr/>
        <w:t>2. Results from appropriately accredited laboratories for alcohol-by-volume, composition, contaminants, and other agreed tests shall be accepted where methods and quality systems provide equivalent assurance. A Party may require additional testing on particularized risk evidence.</w:t>
      </w:r>
    </w:p>
    <w:p>
      <w:pPr>
        <w:pStyle w:val="Normal"/>
        <w:widowControl/>
        <w:rPr/>
      </w:pPr>
      <w:r>
        <w:rPr/>
        <w:t>3. The Parties shall develop a Common Beverage Information Core covering, as applicable, product identity, alcohol content, net quantity, producer or responsible operator, origin, allergens, lot or traceability information, storage information, and required warnings. Each Party retains its official-language and legitimate public-health presentation requirements.</w:t>
      </w:r>
    </w:p>
    <w:p>
      <w:pPr>
        <w:pStyle w:val="Normal"/>
        <w:widowControl/>
        <w:rPr/>
      </w:pPr>
      <w:r>
        <w:rPr/>
        <w:t>4. Electronic labeling may be recognized for supplementary regulatory information where domestic law permits, but essential safety, identity, and consumer information shall remain accessible in the manner required by the destination jurisdiction.</w:t>
      </w:r>
    </w:p>
    <w:p>
      <w:pPr>
        <w:pStyle w:val="Normal"/>
        <w:widowControl/>
        <w:rPr/>
      </w:pPr>
      <w:r>
        <w:rPr/>
        <w:t>5. The Parties shall maintain a searchable regulatory crosswalk for permitted additives, processing aids, organic or specialty certification, packaging requirements, testing rules, labeling requirements, and other material market-entry conditions.</w:t>
      </w:r>
    </w:p>
    <w:p>
      <w:pPr>
        <w:pStyle w:val="Normal"/>
        <w:widowControl/>
        <w:rPr/>
      </w:pPr>
      <w:r>
        <w:rPr/>
        <w:t>6. Compliance documentation or certification issued by one Party shall satisfy an equivalent requirement of another Party where an equivalence determination has been made. Legal sale in one Party does not by itself compel authorization in another.</w:t>
      </w:r>
    </w:p>
    <w:p>
      <w:pPr>
        <w:pStyle w:val="Normal"/>
        <w:widowControl/>
        <w:rPr/>
      </w:pPr>
      <w:r>
        <w:rPr/>
        <w:t>7. Products already lawfully marketed in another Party may qualify for expedited review where the competent authority can rely on recognized evidence without lowering domestic safety standards.</w:t>
      </w:r>
    </w:p>
    <w:p>
      <w:pPr>
        <w:pStyle w:val="Normal"/>
        <w:widowControl/>
        <w:rPr/>
      </w:pPr>
      <w:r>
        <w:rPr/>
        <w:t>8. Major new regulatory requirements materially affecting beverage trade should include reasonable transition periods where consistent with the regulatory objective and urgency of the measure.</w:t>
      </w:r>
    </w:p>
    <w:p>
      <w:pPr>
        <w:pStyle w:val="Heading3"/>
        <w:keepNext/>
        <w:widowControl/>
        <w:rPr/>
      </w:pPr>
      <w:r>
        <w:rPr/>
        <w:t>Article 43.2S: Digital Single Window, Customs, Logistics, and Trusted Beverage Operators</w:t>
      </w:r>
    </w:p>
    <w:p>
      <w:pPr>
        <w:pStyle w:val="Normal"/>
        <w:widowControl/>
        <w:rPr/>
      </w:pPr>
      <w:r>
        <w:rPr/>
        <w:t>1. The Parties shall develop interoperable electronic procedures capable of supporting origin, product composition, tax status, licensing, regulatory compliance, customs declarations, and other agreed beverage data through a single-window or functionally equivalent system.</w:t>
      </w:r>
    </w:p>
    <w:p>
      <w:pPr>
        <w:pStyle w:val="Normal"/>
        <w:widowControl/>
        <w:rPr/>
      </w:pPr>
      <w:r>
        <w:rPr/>
        <w:t>2. Original paper documents shall not be required where authenticity and integrity can be established electronically and domestic law permits digital submission.</w:t>
      </w:r>
    </w:p>
    <w:p>
      <w:pPr>
        <w:pStyle w:val="Normal"/>
        <w:widowControl/>
        <w:rPr/>
      </w:pPr>
      <w:r>
        <w:rPr/>
        <w:t>3. Customs authorities shall use risk-based inspection, pre-arrival processing, pre-clearance, and trusted-trader principles for low-risk beverage shipments. Service targets may be established for priority shipments, subject to inspection, incomplete documentation, security, and safety exceptions.</w:t>
      </w:r>
    </w:p>
    <w:p>
      <w:pPr>
        <w:pStyle w:val="Normal"/>
        <w:widowControl/>
        <w:rPr/>
      </w:pPr>
      <w:r>
        <w:rPr/>
        <w:t>4. Reusable bottles, kegs, pallets, casks, and transport containers shall receive simplified temporary-import, return, or duty-suspension treatment where appropriate and consistent with customs and biosecurity requirements.</w:t>
      </w:r>
    </w:p>
    <w:p>
      <w:pPr>
        <w:pStyle w:val="Normal"/>
        <w:widowControl/>
        <w:rPr/>
      </w:pPr>
      <w:r>
        <w:rPr/>
        <w:t>5. The Parties shall recognize equivalent treatment or phytosanitary certification for wooden aging casks and comparable packaging where it provides equivalent protection against pests and contamination.</w:t>
      </w:r>
    </w:p>
    <w:p>
      <w:pPr>
        <w:pStyle w:val="Normal"/>
        <w:widowControl/>
        <w:rPr/>
      </w:pPr>
      <w:r>
        <w:rPr/>
        <w:t>6. Trusted Beverage Operators with strong compliance histories may qualify for reduced inspection frequency, consolidated or reduced bond requirements, alternative financial security, or other proportionate facilitation benefits.</w:t>
      </w:r>
    </w:p>
    <w:p>
      <w:pPr>
        <w:pStyle w:val="Normal"/>
        <w:widowControl/>
        <w:rPr/>
      </w:pPr>
      <w:r>
        <w:rPr/>
        <w:t>7. The Parties shall publish sufficient tariff, excise, markup, fee, and administrative information to allow exporters to estimate expected landed regulatory cost before shipment.</w:t>
      </w:r>
    </w:p>
    <w:p>
      <w:pPr>
        <w:pStyle w:val="Normal"/>
        <w:widowControl/>
        <w:rPr/>
      </w:pPr>
      <w:r>
        <w:rPr/>
        <w:t>8. Border agencies shall publish or exchange non-confidential information on significant delays and disruptions so traders can make informed routing decisions.</w:t>
      </w:r>
    </w:p>
    <w:p>
      <w:pPr>
        <w:pStyle w:val="Normal"/>
        <w:widowControl/>
        <w:rPr/>
      </w:pPr>
      <w:r>
        <w:rPr/>
        <w:t>9. Nothing in this Article requires a specified blockchain, biometric technology, centralized inventory database, or other proprietary technology. Systems shall be interoperable, secure, proportionate, and technologically neutral.</w:t>
      </w:r>
    </w:p>
    <w:p>
      <w:pPr>
        <w:pStyle w:val="Heading3"/>
        <w:keepNext/>
        <w:widowControl/>
        <w:rPr/>
      </w:pPr>
      <w:r>
        <w:rPr/>
        <w:t>Article 43.2T: Direct Commerce, Experimental Pathways, and Subnational Participation</w:t>
      </w:r>
    </w:p>
    <w:p>
      <w:pPr>
        <w:pStyle w:val="Normal"/>
        <w:widowControl/>
        <w:rPr/>
      </w:pPr>
      <w:r>
        <w:rPr/>
        <w:t>1. The Parties establish a voluntary North American Direct Beverage Commerce Experimental Pathway under which willing provinces, territories, states, and Mexican subnational jurisdictions may test cross-border direct-to-consumer or direct-to-retailer models consistent with domestic law.</w:t>
      </w:r>
    </w:p>
    <w:p>
      <w:pPr>
        <w:pStyle w:val="Normal"/>
        <w:widowControl/>
        <w:rPr/>
      </w:pPr>
      <w:r>
        <w:rPr/>
        <w:t>2. Pilots may address licensing, destination-tax collection, quantity limits, carrier qualification, adult-signature requirements, age verification, delivery controls, traceability, returns, consumer protection, small-producer eligibility, and enforcement cooperation.</w:t>
      </w:r>
    </w:p>
    <w:p>
      <w:pPr>
        <w:pStyle w:val="Normal"/>
        <w:widowControl/>
        <w:rPr/>
      </w:pPr>
      <w:r>
        <w:rPr/>
        <w:t>3. A pilot shall identify its baseline, variable, eligible population, duration, success metrics, data protections, and exit procedure. Participation creates no permanent market-access entitlement unless expressly adopted through the applicable procedure.</w:t>
      </w:r>
    </w:p>
    <w:p>
      <w:pPr>
        <w:pStyle w:val="Normal"/>
        <w:widowControl/>
        <w:rPr/>
      </w:pPr>
      <w:r>
        <w:rPr/>
        <w:t>4. Pilot outcomes may graduate, expand, be modified, expire, or be classified as inconclusive and repeated. Evaluation should consider compliance, tax collection, consumer demand, SME participation, administrative cost, diversion, public-health outcomes, and persistence of trade after promotional support ends.</w:t>
      </w:r>
    </w:p>
    <w:p>
      <w:pPr>
        <w:pStyle w:val="Normal"/>
        <w:widowControl/>
        <w:rPr/>
      </w:pPr>
      <w:r>
        <w:rPr/>
        <w:t>5. Canada, Mexico, and the United States may also conduct specialty-product, labeling, customs, logistics, reusable-container, digital-document, and regulatory-equivalence pilots under this Article.</w:t>
      </w:r>
    </w:p>
    <w:p>
      <w:pPr>
        <w:pStyle w:val="Normal"/>
        <w:widowControl/>
        <w:rPr/>
      </w:pPr>
      <w:r>
        <w:rPr/>
        <w:t>6. Provinces, territories, U.S. states, and Mexican subnational jurisdictions may participate in technical dialogue and pilots without becoming Parties to this Agreement or acquiring independent treaty-making authority.</w:t>
      </w:r>
    </w:p>
    <w:p>
      <w:pPr>
        <w:pStyle w:val="Normal"/>
        <w:widowControl/>
        <w:rPr/>
      </w:pPr>
      <w:r>
        <w:rPr/>
        <w:t>7. Federal authorities shall consult affected subnational governments in good faith before undertaking international commitments whose implementation materially depends on subnational alcohol systems.</w:t>
      </w:r>
    </w:p>
    <w:p>
      <w:pPr>
        <w:pStyle w:val="Heading3"/>
        <w:keepNext/>
        <w:widowControl/>
        <w:rPr/>
      </w:pPr>
      <w:r>
        <w:rPr/>
        <w:t>Article 43.2U: Beverage Safety, Illicit Trade, Recall, and Resilience Cooperation</w:t>
      </w:r>
    </w:p>
    <w:p>
      <w:pPr>
        <w:pStyle w:val="Normal"/>
        <w:widowControl/>
        <w:rPr/>
      </w:pPr>
      <w:r>
        <w:rPr/>
        <w:t>1. The Parties shall cooperate on rapid alerts, recalls, counterfeit or diverted shipments, methanol contamination, adulteration, fraudulent closures or labels, and other serious beverage-safety or illicit-trade risks.</w:t>
      </w:r>
    </w:p>
    <w:p>
      <w:pPr>
        <w:pStyle w:val="Normal"/>
        <w:widowControl/>
        <w:rPr/>
      </w:pPr>
      <w:r>
        <w:rPr/>
        <w:t>2. Traceability systems shall use interoperable core data sufficient to identify origin, custody, lot, and recall information without requiring disclosure of unnecessary commercially sensitive information.</w:t>
      </w:r>
    </w:p>
    <w:p>
      <w:pPr>
        <w:pStyle w:val="Normal"/>
        <w:widowControl/>
        <w:rPr/>
      </w:pPr>
      <w:r>
        <w:rPr/>
        <w:t>3. Emergency health and safety action may be taken immediately where reasonably necessary. Such action shall be reviewed when practicable and shall not be maintained as disguised trade protection after the underlying risk has been addressed.</w:t>
      </w:r>
    </w:p>
    <w:p>
      <w:pPr>
        <w:pStyle w:val="Normal"/>
        <w:widowControl/>
        <w:rPr/>
      </w:pPr>
      <w:r>
        <w:rPr/>
        <w:t>4. The Parties may cooperate on resilience of critical beverage inputs and packaging, including bottles, cans, closures, labels, kegs, casks, grain, fruit, agave, and logistics capacity, principally through market information, supplier matching, contingency planning, and voluntary commercial arrangements.</w:t>
      </w:r>
    </w:p>
    <w:p>
      <w:pPr>
        <w:pStyle w:val="Normal"/>
        <w:widowControl/>
        <w:rPr/>
      </w:pPr>
      <w:r>
        <w:rPr/>
        <w:t>5. Cooperation on sustainability may include packaging efficiency, recycling information, lower-emission logistics, water efficiency, and voluntary environmental performance tools, but shall not require harmonization of domestic environmental or resource-management policy.</w:t>
      </w:r>
    </w:p>
    <w:p>
      <w:pPr>
        <w:pStyle w:val="Normal"/>
        <w:widowControl/>
        <w:rPr/>
      </w:pPr>
      <w:r>
        <w:rPr/>
        <w:t>6. The Parties shall facilitate continuity of lawful beverage and essential input movements during disasters and acute transport disruptions, subject to public-health, security, customs, and safety requirements.</w:t>
      </w:r>
    </w:p>
    <w:p>
      <w:pPr>
        <w:pStyle w:val="Heading3"/>
        <w:keepNext/>
        <w:widowControl/>
        <w:rPr/>
      </w:pPr>
      <w:r>
        <w:rPr/>
        <w:t>Article 43.2V: Transparency, Advance Rulings, Regulatory Change, and No-Surprises Rule</w:t>
      </w:r>
    </w:p>
    <w:p>
      <w:pPr>
        <w:pStyle w:val="Normal"/>
        <w:widowControl/>
        <w:rPr/>
      </w:pPr>
      <w:r>
        <w:rPr/>
        <w:t>1. The Secretariat shall maintain or link to a North American Beverage Rules Gateway through which traders can identify applicable tariffs, taxes, markups, fees, product definitions, testing requirements, labeling obligations, approved additives, distinctive-product rules, origin requirements, customs documents, direct-commerce eligibility, and published processing targets.</w:t>
      </w:r>
    </w:p>
    <w:p>
      <w:pPr>
        <w:pStyle w:val="Normal"/>
        <w:widowControl/>
        <w:rPr/>
      </w:pPr>
      <w:r>
        <w:rPr/>
        <w:t>2. Where the Gateway does not resolve a material classification, origin, labeling, certification, or market-entry question, an affected trader may request an advance ruling or comparable written determination under applicable domestic procedures.</w:t>
      </w:r>
    </w:p>
    <w:p>
      <w:pPr>
        <w:pStyle w:val="Normal"/>
        <w:widowControl/>
        <w:rPr/>
      </w:pPr>
      <w:r>
        <w:rPr/>
        <w:t>3. Non-confidential rulings and technical determinations should be published in searchable form and should guide materially equivalent cases, subject to domestic law.</w:t>
      </w:r>
    </w:p>
    <w:p>
      <w:pPr>
        <w:pStyle w:val="Normal"/>
        <w:widowControl/>
        <w:rPr/>
      </w:pPr>
      <w:r>
        <w:rPr/>
        <w:t>4. A Party shall, where practicable, provide advance notice of a material alcohol measure reasonably expected to affect access under this Framework, together with the measure's objective and an opportunity for consultation. Emergency public-health or safety measures may take effect without prior notice.</w:t>
      </w:r>
    </w:p>
    <w:p>
      <w:pPr>
        <w:pStyle w:val="Normal"/>
        <w:widowControl/>
        <w:rPr/>
      </w:pPr>
      <w:r>
        <w:rPr/>
        <w:t>5. Before introducing a materially discriminatory emergency trade restriction affecting beverage alcohol, a Party shall consult where practicable and identify the underlying measure or circumstance giving rise to the action.</w:t>
      </w:r>
    </w:p>
    <w:p>
      <w:pPr>
        <w:pStyle w:val="Normal"/>
        <w:widowControl/>
        <w:rPr/>
      </w:pPr>
      <w:r>
        <w:rPr/>
        <w:t>6. If a Party subsequently grants materially more favorable market-access treatment to a non-Party for a directly comparable beverage category, another Party may request consultation concerning whether an adjustment is appropriate. This paragraph creates no automatic entitlement, most-favored-nation obligation beyond existing commitments, or right to retaliate.</w:t>
      </w:r>
    </w:p>
    <w:p>
      <w:pPr>
        <w:pStyle w:val="Normal"/>
        <w:widowControl/>
        <w:rPr/>
      </w:pPr>
      <w:r>
        <w:rPr/>
        <w:t>7. Public reporting under this Framework shall protect confidential business information, personal information, proprietary formulations, and commercially sensitive pricing.</w:t>
      </w:r>
    </w:p>
    <w:p>
      <w:pPr>
        <w:pStyle w:val="TrumpVisibilityHeadline"/>
        <w:widowControl/>
        <w:rPr/>
      </w:pPr>
      <w:r>
        <w:rPr/>
        <w:t xml:space="preserve">★ </w:t>
      </w:r>
      <w:r>
        <w:rPr/>
        <w:t>VISIBLE U.S. WIN: AMERICAN WINE, SPIRITS, AND BEER RETURN TO CANADIAN SHELVES WITH TARIFF NORMALIZATION</w:t>
      </w:r>
    </w:p>
    <w:p>
      <w:pPr>
        <w:pStyle w:val="Heading3"/>
        <w:keepNext/>
        <w:widowControl/>
        <w:rPr/>
      </w:pPr>
      <w:r>
        <w:rPr/>
        <w:t>Article 43.2W: Safeguards, Cothrom Review, De-escalation, and Alcohol Peace Clause</w:t>
      </w:r>
    </w:p>
    <w:p>
      <w:pPr>
        <w:pStyle w:val="Normal"/>
        <w:widowControl/>
        <w:rPr/>
      </w:pPr>
      <w:r>
        <w:rPr/>
        <w:t>1. A Party alleging a violation of this Framework shall ordinarily begin with technical consultation. The default sequence shall provide for consultation within 10 days, focused evidence exchange and cure discussions, accelerated Cothrom factual review where unresolved, a reasonable correction period, and proportionate remedy only where non-compliance persists.</w:t>
      </w:r>
    </w:p>
    <w:p>
      <w:pPr>
        <w:pStyle w:val="Normal"/>
        <w:widowControl/>
        <w:rPr/>
      </w:pPr>
      <w:r>
        <w:rPr/>
        <w:t>2. Cothrom review shall distinguish legitimate regulatory diversity from discriminatory administration, identify the narrowest sufficient cure, and consider actual commercial effects, public-health objectives, subnational competence, and reasonable alternatives.</w:t>
      </w:r>
    </w:p>
    <w:p>
      <w:pPr>
        <w:pStyle w:val="Normal"/>
        <w:widowControl/>
        <w:rPr/>
      </w:pPr>
      <w:r>
        <w:rPr/>
        <w:t>3. Temporary safeguards addressing serious market disruption shall be evidence-based, product-specific or otherwise narrowly tailored, time-limited, notified, periodically reviewed, and progressively removed as conditions improve.</w:t>
      </w:r>
    </w:p>
    <w:p>
      <w:pPr>
        <w:pStyle w:val="Normal"/>
        <w:widowControl/>
        <w:rPr/>
      </w:pPr>
      <w:r>
        <w:rPr/>
        <w:t>4. A Party found non-compliant shall receive a reasonable opportunity to cure before compensatory or retaliatory measures are authorized, except where immediate action is necessary to protect health, safety, or prevent irreparable harm.</w:t>
      </w:r>
    </w:p>
    <w:p>
      <w:pPr>
        <w:pStyle w:val="Normal"/>
        <w:widowControl/>
        <w:rPr/>
      </w:pPr>
      <w:r>
        <w:rPr/>
        <w:t>5. Remedies should remain within the beverage alcohol sub-module where practicable. Unrelated cross-sector retaliation shall be a last resort and shall not be manifestly disproportionate to the verified impairment.</w:t>
      </w:r>
    </w:p>
    <w:p>
      <w:pPr>
        <w:pStyle w:val="Normal"/>
        <w:widowControl/>
        <w:rPr/>
      </w:pPr>
      <w:r>
        <w:rPr/>
        <w:t>6. Except in urgent circumstances, a Party shall observe a de-escalation period before imposing new retaliatory beverage measures, during which the Parties shall use consultation, mediation where mutually accepted, and Cothrom review to seek resolution.</w:t>
      </w:r>
    </w:p>
    <w:p>
      <w:pPr>
        <w:pStyle w:val="Normal"/>
        <w:widowControl/>
        <w:rPr/>
      </w:pPr>
      <w:r>
        <w:rPr/>
        <w:t>7. During an Alcohol Stability Period established by the Commission, a Party in material compliance with this Framework shall not be required to renegotiate settled beverage market-access commitments solely because political preferences or market shares have changed.</w:t>
      </w:r>
    </w:p>
    <w:p>
      <w:pPr>
        <w:pStyle w:val="Normal"/>
        <w:widowControl/>
        <w:rPr/>
      </w:pPr>
      <w:r>
        <w:rPr/>
        <w:t>8. The Alcohol Stability Period shall renew automatically unless the Parties agree otherwise or an independent review establishes persistent material failure that has not been cured. Failure to agree on amendments at review leaves the existing Framework in force.</w:t>
      </w:r>
    </w:p>
    <w:p>
      <w:pPr>
        <w:pStyle w:val="Normal"/>
        <w:widowControl/>
        <w:rPr/>
      </w:pPr>
      <w:r>
        <w:rPr/>
        <w:t>9. Ordinary listing, licensing, markup, or distribution disagreements do not by themselves justify extraordinary economic-security measures against unrelated sectors.</w:t>
      </w:r>
    </w:p>
    <w:p>
      <w:pPr>
        <w:pStyle w:val="Normal"/>
        <w:widowControl/>
        <w:rPr/>
      </w:pPr>
      <w:r>
        <w:rPr/>
        <w:t>10. The Parties shall use existing institutions wherever practicable and shall not create a new permanent committee, forum, summit, alliance, or arbitration body where the Commission, Secretariat, Cothrom process, customs cooperation mechanisms, or existing regulators can perform the function.</w:t>
      </w:r>
    </w:p>
    <w:p>
      <w:bookmarkStart w:id="1714" w:name="_NAESTMA_TOC_1714"/>
      <w:pPr>
        <w:pStyle w:val="Heading2"/>
        <w:keepNext/>
        <w:widowControl/>
        <w:rPr/>
      </w:pPr>
      <w:r>
        <w:rPr/>
        <w:t>Article 43.2W.1: Beverage Listing Transparency and Special-Order Access</w:t>
      </w:r>
      <w:bookmarkEnd w:id="1714"/>
    </w:p>
    <w:p>
      <w:pPr>
        <w:pStyle w:val="Normal"/>
        <w:widowControl/>
        <w:rPr/>
      </w:pPr>
      <w:r>
        <w:rPr/>
        <w:t>1. A government-controlled or government-authorized beverage distribution system covered by this Chapter should publish objective material criteria governing listings, tenders, delistings, material service fees, and comparable access decisions.</w:t>
      </w:r>
    </w:p>
    <w:p>
      <w:pPr>
        <w:pStyle w:val="Normal"/>
        <w:widowControl/>
        <w:rPr/>
      </w:pPr>
      <w:r>
        <w:rPr/>
        <w:t>2. Where a product is not carried as an ordinary stocked listing, a jurisdiction may satisfy part of its effective-access obligation through a commercially usable special-order, agency, private-order, or comparable channel that preserves lawful taxation, age controls, and distribution oversight.</w:t>
      </w:r>
    </w:p>
    <w:p>
      <w:pPr>
        <w:pStyle w:val="Normal"/>
        <w:widowControl/>
        <w:rPr/>
      </w:pPr>
      <w:r>
        <w:rPr/>
        <w:t>3. A supplier should receive reasonable notice and, where practicable, reasons before a commercially material delisting based on non-emergency grounds. Nothing requires retention of a poorly performing product under neutral commercial criteria.</w:t>
      </w:r>
    </w:p>
    <w:p>
      <w:bookmarkStart w:id="1715" w:name="_NAESTMA_TOC_1715"/>
      <w:pPr>
        <w:pStyle w:val="Heading2"/>
        <w:keepNext/>
        <w:widowControl/>
        <w:rPr/>
      </w:pPr>
      <w:r>
        <w:rPr/>
        <w:t>Article 43.2W.2: North American Small Beverage Producer Gateway</w:t>
      </w:r>
      <w:bookmarkEnd w:id="1715"/>
    </w:p>
    <w:p>
      <w:pPr>
        <w:pStyle w:val="Normal"/>
        <w:widowControl/>
        <w:rPr/>
      </w:pPr>
      <w:r>
        <w:rPr/>
        <w:t>1. The Parties shall facilitate proportionate procedures for qualifying small and independent breweries, wineries, cideries, distilleries, agave-spirit producers, and other specialty beverage producers seeking access to another Party.</w:t>
      </w:r>
    </w:p>
    <w:p>
      <w:pPr>
        <w:pStyle w:val="Normal"/>
        <w:widowControl/>
        <w:rPr/>
      </w:pPr>
      <w:r>
        <w:rPr/>
        <w:t>2. Facilitation may include consolidated forms, electronic submissions, shared testing evidence, small-lot procedures, special-order channels, supplier education, and transparent points of contact.</w:t>
      </w:r>
    </w:p>
    <w:p>
      <w:pPr>
        <w:pStyle w:val="Normal"/>
        <w:widowControl/>
        <w:rPr/>
      </w:pPr>
      <w:r>
        <w:rPr/>
        <w:t>3. Small-producer treatment shall be Party-neutral and shall not guarantee shelf space or exempt a product from legitimate health, safety, tax, labeling, or distinctive-product requirements.</w:t>
      </w:r>
    </w:p>
    <w:p>
      <w:bookmarkStart w:id="1716" w:name="_NAESTMA_TOC_1716"/>
      <w:pPr>
        <w:pStyle w:val="Heading2"/>
        <w:keepNext/>
        <w:widowControl/>
        <w:rPr/>
      </w:pPr>
      <w:r>
        <w:rPr/>
        <w:t>Article 43.2W.3: North American Beverage Inputs and Packaging Cooperation</w:t>
      </w:r>
      <w:bookmarkEnd w:id="1716"/>
    </w:p>
    <w:p>
      <w:pPr>
        <w:pStyle w:val="Normal"/>
        <w:widowControl/>
        <w:rPr/>
      </w:pPr>
      <w:r>
        <w:rPr/>
        <w:t>1. The Parties shall facilitate resilient supply chains for originating beverage inputs and packaging, including grain, fruit, agave, oak and other lawful wood inputs, glass, aluminum containers, closures, labels, and other commercially significant materials.</w:t>
      </w:r>
    </w:p>
    <w:p>
      <w:pPr>
        <w:pStyle w:val="Normal"/>
        <w:widowControl/>
        <w:rPr/>
      </w:pPr>
      <w:r>
        <w:rPr/>
        <w:t>2. Cooperation may address shortages, customs classification, recycled content, packaging compatibility, and emergency sourcing without overriding distinctive-product geographic or production requirements.</w:t>
      </w:r>
    </w:p>
    <w:p>
      <w:pPr>
        <w:pStyle w:val="Normal"/>
        <w:widowControl/>
        <w:rPr/>
      </w:pPr>
      <w:r>
        <w:rPr/>
        <w:t>3. This Article shall be implemented consistently with Chapters 37, 42, 49, and 55 so that an emergency or industrial-support measure does not inadvertently discriminate among equivalent originating beverage producers.</w:t>
      </w:r>
    </w:p>
    <w:p>
      <w:pPr>
        <w:pStyle w:val="Heading3"/>
        <w:keepNext/>
        <w:widowControl/>
        <w:rPr/>
      </w:pPr>
      <w:r>
        <w:rPr/>
        <w:t>ANNEX 43-B: BEVERAGE ALCOHOL IMPLEMENTATION, FEDERALISM, AND TECHNICAL PRINCIPLES</w:t>
      </w:r>
    </w:p>
    <w:p>
      <w:pPr>
        <w:pStyle w:val="Normal"/>
        <w:widowControl/>
        <w:rPr/>
      </w:pPr>
      <w:r>
        <w:rPr/>
        <w:t>1. Protected Domestic Regulation. Measures concerning legal purchase age, sales and service hours, zoning, public or private retail structure, responsible-service requirements, legitimate minimum-pricing or public-health policies, and comparable social regulation remain within domestic authority, subject to the Agreement's applicable nondiscrimination and other obligations.</w:t>
      </w:r>
    </w:p>
    <w:p>
      <w:pPr>
        <w:pStyle w:val="Normal"/>
        <w:widowControl/>
        <w:rPr/>
      </w:pPr>
      <w:r>
        <w:rPr/>
        <w:t>2. Trade-Disciplined Administration. Listing procedures, origin-based markups, discriminatory fees, licensing delays, duplicative certification, unnecessary warehousing or agent requirements, customs treatment, and other administrative measures materially affecting another Party's products remain subject to this Framework.</w:t>
      </w:r>
    </w:p>
    <w:p>
      <w:pPr>
        <w:pStyle w:val="Normal"/>
        <w:widowControl/>
        <w:rPr/>
      </w:pPr>
      <w:r>
        <w:rPr/>
        <w:t>3. Cooperative Functions. The Parties should prioritize interoperability for testing, recalls, counterfeit enforcement, digital documentation, distinctive-product protection, safety alerts, customs facilitation, SME assistance, and regulatory information.</w:t>
      </w:r>
    </w:p>
    <w:p>
      <w:pPr>
        <w:pStyle w:val="Normal"/>
        <w:widowControl/>
        <w:rPr/>
      </w:pPr>
      <w:r>
        <w:rPr/>
        <w:t>4. Canadian Federalism. Nothing in this Framework shall be construed to alter the constitutional allocation of authority between the Government of Canada and the provinces or territories. Canada remains responsible for fulfillment of its international obligations while implementation shall respect its constitutional arrangements.</w:t>
      </w:r>
    </w:p>
    <w:p>
      <w:pPr>
        <w:pStyle w:val="Normal"/>
        <w:widowControl/>
        <w:rPr/>
      </w:pPr>
      <w:r>
        <w:rPr/>
        <w:t>5. U.S. and Mexican Federalism. Equivalent respect shall apply to the constitutional allocation of authority within the United States and Mexico. Subnational participation does not diminish each Party's responsibility under this Agreement.</w:t>
      </w:r>
    </w:p>
    <w:p>
      <w:pPr>
        <w:pStyle w:val="Normal"/>
        <w:widowControl/>
        <w:rPr/>
      </w:pPr>
      <w:r>
        <w:rPr/>
        <w:t>6. Regulatory Diversity Safe Harbor. Mere difference among national or subnational regulatory systems is not evidence of discrimination. The complaining Party or affected person must identify materially adverse treatment, disguised protection, or unnecessary restriction under an applicable obligation.</w:t>
      </w:r>
    </w:p>
    <w:p>
      <w:pPr>
        <w:pStyle w:val="Normal"/>
        <w:widowControl/>
        <w:rPr/>
      </w:pPr>
      <w:r>
        <w:rPr/>
        <w:t>7. Public Health and Safety. Nothing in this Framework prevents a Party from adopting or maintaining evidence-based measures necessary to protect public health, prevent youth access, address impaired driving, combat illicit alcohol, or respond to contamination, provided such measures are not applied as disguised discrimination.</w:t>
      </w:r>
    </w:p>
    <w:p>
      <w:pPr>
        <w:pStyle w:val="Normal"/>
        <w:widowControl/>
        <w:rPr/>
      </w:pPr>
      <w:r>
        <w:rPr/>
        <w:t>8. Personal and Temporary Imports. The Parties should publish clear rules for travelers' personal quantities and simplify compliant temporary imports for competitions, festivals, exhibitions, cultural events, samples, reusable containers, and professional evaluation.</w:t>
      </w:r>
    </w:p>
    <w:p>
      <w:pPr>
        <w:pStyle w:val="Normal"/>
        <w:widowControl/>
        <w:rPr/>
      </w:pPr>
      <w:r>
        <w:rPr/>
        <w:t>9. Product Coverage. Technical schedules may distinguish beer, wine, cider, perry, spirits, liqueurs, ready-to-drink beverages, low- and no-alcohol products, beverage ingredients, cooking alcohol, extracts, specialty and heritage products, and other categories where distinct treatment is useful.</w:t>
      </w:r>
    </w:p>
    <w:p>
      <w:pPr>
        <w:pStyle w:val="Normal"/>
        <w:widowControl/>
        <w:rPr/>
      </w:pPr>
      <w:r>
        <w:rPr/>
        <w:t>10. Origin and Production Claims. Technical rules should distinguish brand ownership, place of production, origin of agricultural inputs, maturation, bottling, and legally protected distinctive-product origin so consumers and customs authorities are not misled.</w:t>
      </w:r>
    </w:p>
    <w:p>
      <w:pPr>
        <w:pStyle w:val="Normal"/>
        <w:widowControl/>
        <w:rPr/>
      </w:pPr>
      <w:r>
        <w:rPr/>
        <w:t>11. SME Qualification. Size thresholds or alternative qualification criteria used for SME facilitation shall be objective, transparent, periodically reviewable, and designed to prevent artificial fragmentation of large enterprises.</w:t>
      </w:r>
    </w:p>
    <w:p>
      <w:pPr>
        <w:pStyle w:val="Normal"/>
        <w:widowControl/>
        <w:rPr/>
      </w:pPr>
      <w:r>
        <w:rPr/>
        <w:t>12. Fee Discipline. A fee is not discriminatory solely because it differs across jurisdictions or services. Review shall consider whether it is origin-neutral, reasonably related to service or regulatory cost, transparent, and not structured to nullify market access.</w:t>
      </w:r>
    </w:p>
    <w:p>
      <w:pPr>
        <w:pStyle w:val="Normal"/>
        <w:widowControl/>
        <w:rPr/>
      </w:pPr>
      <w:r>
        <w:rPr/>
        <w:t>13. Data Minimization. Information exchange shall be limited to what is reasonably necessary for customs, safety, tax, traceability, enforcement, or evaluation functions and shall protect confidential business and personal information.</w:t>
      </w:r>
    </w:p>
    <w:p>
      <w:pPr>
        <w:pStyle w:val="Normal"/>
        <w:widowControl/>
        <w:rPr/>
      </w:pPr>
      <w:r>
        <w:rPr/>
        <w:t>14. Technology Neutrality. Electronic systems shall define required outcomes and interoperability standards rather than mandate blockchain, biometrics, or a named commercial technology.</w:t>
      </w:r>
    </w:p>
    <w:p>
      <w:pPr>
        <w:pStyle w:val="Normal"/>
        <w:widowControl/>
        <w:rPr/>
      </w:pPr>
      <w:r>
        <w:rPr/>
        <w:t>15. No Guaranteed Demand. Nothing in this Framework guarantees sales, shelf share, consumer acceptance, retailer purchases, or commercial success for any product.</w:t>
      </w:r>
    </w:p>
    <w:p>
      <w:pPr>
        <w:pStyle w:val="Normal"/>
        <w:widowControl/>
        <w:rPr/>
      </w:pPr>
      <w:r>
        <w:rPr/>
        <w:t>16. Three-Win Review. Periodic implementation reviews shall identify material benefits, adjustment costs, and unresolved barriers for Canada, Mexico, and the United States separately so that trilateral balance can be assessed rather than inferred from aggregate trade.</w:t>
      </w:r>
    </w:p>
    <w:p>
      <w:pPr>
        <w:pStyle w:val="Normal"/>
        <w:widowControl/>
        <w:rPr/>
      </w:pPr>
      <w:r>
        <w:rPr/>
        <w:t>17. Technical Maintenance. The Commission may update non-substantive product crosswalks, data fields, forms, service metrics, registry entries, pilot templates, and interoperability specifications without altering tariff schedules, substantive market-access rights, constitutional allocations, or protected domestic policy choices.</w:t>
      </w:r>
    </w:p>
    <w:p>
      <w:pPr>
        <w:pStyle w:val="Normal"/>
        <w:widowControl/>
        <w:rPr/>
      </w:pPr>
      <w:r>
        <w:rPr/>
        <w:t>18. Anti-Gaming. Implementation shall guard against shell SMEs, false specialty status, origin laundering, artificial shipment splitting, strategic delisting, discriminatory bundled fees, warehouse bottlenecks, sham scarcity, selective promotional rules, misuse of emergency safeguards, and other practices designed to evade the substance of this Framework.</w:t>
      </w:r>
    </w:p>
    <w:p>
      <w:pPr>
        <w:pStyle w:val="Heading3"/>
        <w:keepNext/>
        <w:widowControl/>
        <w:rPr/>
      </w:pPr>
      <w:r>
        <w:rPr/>
        <w:t>Article 43.3: Agricultural Competitive Neutrality Review</w:t>
      </w:r>
    </w:p>
    <w:p>
      <w:pPr>
        <w:pStyle w:val="Normal"/>
        <w:widowControl/>
        <w:rPr/>
      </w:pPr>
      <w:r>
        <w:rPr/>
        <w:t>1. A Party alleging that another Party's agricultural support materially distorts bilateral trade shall disclose its own economically comparable support programs as part of the evidentiary record.</w:t>
      </w:r>
    </w:p>
    <w:p>
      <w:pPr>
        <w:pStyle w:val="Normal"/>
        <w:widowControl/>
        <w:rPr/>
      </w:pPr>
      <w:r>
        <w:rPr/>
        <w:t>2. The review body shall assess effective producer support, production incentives, export effects, eligibility conditions, and market context rather than treating unlike programs as equivalent solely by nominal expenditure.</w:t>
      </w:r>
    </w:p>
    <w:p>
      <w:pPr>
        <w:pStyle w:val="Normal"/>
        <w:widowControl/>
        <w:rPr/>
      </w:pPr>
      <w:r>
        <w:rPr/>
        <w:t>3. A trade deficit or higher domestic support level, standing alone, does not establish a violation.</w:t>
      </w:r>
    </w:p>
    <w:p>
      <w:pPr>
        <w:pStyle w:val="Heading3"/>
        <w:keepNext/>
        <w:widowControl/>
        <w:rPr/>
      </w:pPr>
      <w:r>
        <w:rPr/>
        <w:t>Article 43.4: Agricultural Support Non-Escalation</w:t>
      </w:r>
    </w:p>
    <w:p>
      <w:pPr>
        <w:pStyle w:val="Normal"/>
        <w:widowControl/>
        <w:rPr/>
      </w:pPr>
      <w:r>
        <w:rPr/>
        <w:t>1. No Party shall introduce a new production-linked support measure primarily designed to displace another Party's exports without prior notification and consultation. Emergency, disaster, animal-health, food-security, and income-stabilization programs of general application remain available.</w:t>
      </w:r>
    </w:p>
    <w:p>
      <w:pPr>
        <w:pStyle w:val="Heading3"/>
        <w:keepNext/>
        <w:widowControl/>
        <w:rPr/>
      </w:pPr>
      <w:r>
        <w:rPr/>
        <w:t>Article 43.5: North American Agricultural Innovation and Productivity Initiative</w:t>
      </w:r>
    </w:p>
    <w:p>
      <w:pPr>
        <w:pStyle w:val="Normal"/>
        <w:widowControl/>
        <w:rPr/>
      </w:pPr>
      <w:r>
        <w:rPr/>
        <w:t>1. The Parties establish a cooperative initiative for agricultural automation, animal health, feed efficiency, methane reduction, cold-chain resilience, food processing, veterinary biotechnology, water efficiency, and value-added products.</w:t>
      </w:r>
    </w:p>
    <w:p>
      <w:pPr>
        <w:pStyle w:val="Normal"/>
        <w:widowControl/>
        <w:rPr/>
      </w:pPr>
      <w:r>
        <w:rPr/>
        <w:t>2. Participation in a joint project is voluntary and subject to domestic appropriations, intellectual-property rules, biosafety requirements, and research-security safeguards.</w:t>
      </w:r>
    </w:p>
    <w:p>
      <w:pPr>
        <w:pStyle w:val="Heading3"/>
        <w:keepNext/>
        <w:widowControl/>
        <w:rPr/>
      </w:pPr>
      <w:r>
        <w:rPr/>
        <w:t>Article 43.6: Public Procurement</w:t>
      </w:r>
    </w:p>
    <w:p>
      <w:pPr>
        <w:pStyle w:val="Normal"/>
        <w:widowControl/>
        <w:rPr/>
      </w:pPr>
      <w:r>
        <w:rPr/>
        <w:t>1. Nothing in this Chapter requires a Party's schools, hospitals, armed forces, or other public institutions to prefer another Party's agricultural products over like domestic products. Any procurement opening is reciprocal and governed by the applicable procurement schedules.</w:t>
      </w:r>
    </w:p>
    <w:p>
      <w:pPr>
        <w:pStyle w:val="Heading3"/>
        <w:keepNext/>
        <w:widowControl/>
        <w:rPr/>
      </w:pPr>
      <w:r>
        <w:rPr/>
        <w:t>Article 43.7: Data and Administration</w:t>
      </w:r>
    </w:p>
    <w:p>
      <w:pPr>
        <w:pStyle w:val="Normal"/>
        <w:widowControl/>
        <w:rPr/>
      </w:pPr>
      <w:r>
        <w:rPr/>
        <w:t>1. Agricultural quota, utilization, and market-access data exchanged under this Chapter shall be available to all Parties on equivalent terms, subject to confidentiality protections. No Party receives a privileged unilateral information channel.</w:t>
      </w:r>
    </w:p>
    <w:p>
      <w:pPr>
        <w:pStyle w:val="Heading3"/>
        <w:keepNext/>
        <w:widowControl/>
        <w:rPr/>
      </w:pPr>
      <w:r>
        <w:rPr/>
        <w:t>Article 43.8: North American Potash Expansion and Fertilizer Security</w:t>
      </w:r>
    </w:p>
    <w:p>
      <w:pPr>
        <w:pStyle w:val="Normal"/>
        <w:widowControl/>
        <w:rPr/>
      </w:pPr>
      <w:r>
        <w:rPr/>
        <w:t>1. The Parties recognize potash and other essential fertilizer inputs as foundational to North American food security. Canada shall endeavor, in cooperation with provinces, Indigenous rights holders, producers, infrastructure operators, and investors, to facilitate commercially viable expansion of Canadian potash production and associated transportation capacity.</w:t>
      </w:r>
    </w:p>
    <w:p>
      <w:pPr>
        <w:pStyle w:val="Normal"/>
        <w:widowControl/>
        <w:rPr/>
      </w:pPr>
      <w:r>
        <w:rPr/>
        <w:t>2. The Parties shall support continuity of fertilizer trade, identify critical rail, terminal, storage, and border bottlenecks, and establish rapid consultation procedures for material supply disruptions. No Party is required to reserve a fixed quantity, guarantee a private sale, or compel below-market pricing.</w:t>
      </w:r>
    </w:p>
    <w:p>
      <w:pPr>
        <w:pStyle w:val="Normal"/>
        <w:widowControl/>
        <w:rPr/>
      </w:pPr>
      <w:r>
        <w:rPr/>
        <w:t>3. The Parties shall encourage long-duration commercial arrangements that improve supply predictability for farmers and distributors while preserving competitive markets and producer autonomy.</w:t>
      </w:r>
    </w:p>
    <w:p>
      <w:pPr>
        <w:pStyle w:val="Heading3"/>
        <w:keepNext/>
        <w:widowControl/>
        <w:rPr/>
      </w:pPr>
      <w:r>
        <w:rPr/>
        <w:t>Article 43.9: North American Fertilizer Innovation Initiative</w:t>
      </w:r>
    </w:p>
    <w:p>
      <w:pPr>
        <w:pStyle w:val="Normal"/>
        <w:widowControl/>
        <w:rPr/>
      </w:pPr>
      <w:r>
        <w:rPr/>
        <w:t>1. The Parties shall cooperate on research, field validation, and commercialization of higher-efficiency potassium fertilizers and nutrient systems, including controlled or timed nutrient delivery, crop- and soil-specific formulations, sulfate-of-potash and other chloride-sensitive applications, precision application, nutrient recycling, and technologies that improve nutrient-use efficiency.</w:t>
      </w:r>
    </w:p>
    <w:p>
      <w:pPr>
        <w:pStyle w:val="Normal"/>
        <w:widowControl/>
        <w:rPr/>
      </w:pPr>
      <w:r>
        <w:rPr/>
        <w:t>2. Cooperative research shall prioritize measurable improvements in crop productivity, farmer cost, nutrient-use efficiency, soil performance, drought and heat resilience, environmental performance, and supply-chain efficiency.</w:t>
      </w:r>
    </w:p>
    <w:p>
      <w:pPr>
        <w:pStyle w:val="Normal"/>
        <w:widowControl/>
        <w:rPr/>
      </w:pPr>
      <w:r>
        <w:rPr/>
        <w:t>3. The Parties may establish joint research centres, shared field-trial networks, common evidence standards, and accelerated regulatory review pathways that reduce unnecessary duplication while preserving each Party's independent safety and environmental authority.</w:t>
      </w:r>
    </w:p>
    <w:p>
      <w:pPr>
        <w:pStyle w:val="Heading3"/>
        <w:keepNext/>
        <w:widowControl/>
        <w:rPr/>
      </w:pPr>
      <w:r>
        <w:rPr/>
        <w:t>Article 43.10: North American Agricultural Production Security and Resilience Framework</w:t>
      </w:r>
    </w:p>
    <w:p>
      <w:pPr>
        <w:pStyle w:val="Normal"/>
        <w:widowControl/>
        <w:rPr/>
      </w:pPr>
      <w:r>
        <w:rPr/>
        <w:t>1. The Parties establish a North American Agricultural Production Security and Resilience Framework to strengthen the continuity, diversity, affordability, safety, and adaptability of crop production and essential agricultural inputs while preserving each Party's regulatory sovereignty, constitutional allocation of authority, and right to maintain higher domestic health, safety, environmental, labor, and consumer-protection standards.</w:t>
      </w:r>
    </w:p>
    <w:p>
      <w:pPr>
        <w:pStyle w:val="Normal"/>
        <w:widowControl/>
        <w:rPr/>
      </w:pPr>
      <w:r>
        <w:rPr/>
        <w:t>2. The Framework shall address seeds and planting material, germplasm, public and private plant breeding, biotechnology, plant-health threats, crop-protection tools, fertilizer and nutrient security, soil and water resilience, agricultural machinery and repair, seasonal operational continuity, and recovery and beneficial use of agricultural residuals.</w:t>
      </w:r>
    </w:p>
    <w:p>
      <w:pPr>
        <w:pStyle w:val="Normal"/>
        <w:widowControl/>
        <w:rPr/>
      </w:pPr>
      <w:r>
        <w:rPr/>
        <w:t>3. Implementation shall favor interoperable outcomes, mutual use of reliable evidence, emergency continuity, diversification, and reduction of unnecessary duplication. No Party shall be required to authorize a product, organism, pesticide, seed trait, fertilizer, technology, or production method that it has not independently determined may lawfully be used within its territory.</w:t>
      </w:r>
    </w:p>
    <w:p>
      <w:pPr>
        <w:pStyle w:val="Normal"/>
        <w:widowControl/>
        <w:rPr/>
      </w:pPr>
      <w:r>
        <w:rPr/>
        <w:t>4. Agricultural resilience shall be evaluated by diversity of producers, suppliers, genetics, production regions, technologies, input sources, transportation corridors, and viable production methods rather than aggregate commodity output alone.</w:t>
      </w:r>
    </w:p>
    <w:p>
      <w:pPr>
        <w:pStyle w:val="Normal"/>
        <w:widowControl/>
        <w:rPr/>
      </w:pPr>
      <w:r>
        <w:rPr/>
        <w:t>5. No Single-Dependency Agricultural Security Principle. The Parties shall seek to reduce material single-source dependencies where failure, withdrawal, disruption, or unavailability of a single supplier, genetic line, production region, technology, input source, or transportation corridor could reasonably threaten significant agricultural production or food security.</w:t>
      </w:r>
    </w:p>
    <w:p>
      <w:pPr>
        <w:pStyle w:val="Heading3"/>
        <w:keepNext/>
        <w:widowControl/>
        <w:rPr/>
      </w:pPr>
      <w:r>
        <w:rPr/>
        <w:t>Article 43.11: Seed, Planting Material, Germplasm, and Public Breeding Security</w:t>
      </w:r>
    </w:p>
    <w:p>
      <w:pPr>
        <w:pStyle w:val="Normal"/>
        <w:widowControl/>
        <w:rPr/>
      </w:pPr>
      <w:r>
        <w:rPr/>
        <w:t>1. The Parties shall facilitate lawful and timely movement of seed and planting material through interoperable certification, electronic documentation, risk-based phytosanitary procedures, and planting-season priority treatment, without weakening science-based plant-health safeguards.</w:t>
      </w:r>
    </w:p>
    <w:p>
      <w:pPr>
        <w:pStyle w:val="Normal"/>
        <w:widowControl/>
        <w:rPr/>
      </w:pPr>
      <w:r>
        <w:rPr/>
        <w:t>2. Each Party shall maintain or support sufficient domestic or cooperative capacity for germplasm conservation, seed testing, reference collections, multiplication, and emergency distribution. Public germplasm repositories and public plant-breeding capacity may be treated as food-security and biological-production infrastructure.</w:t>
      </w:r>
    </w:p>
    <w:p>
      <w:pPr>
        <w:pStyle w:val="Normal"/>
        <w:widowControl/>
        <w:rPr/>
      </w:pPr>
      <w:r>
        <w:rPr/>
        <w:t>3. The Parties shall cooperate to identify critical seed shortages, geographically concentrated seed-production risks, climate-related production failures, and varieties for which the loss of a single production region could materially impair the next planting season.</w:t>
      </w:r>
    </w:p>
    <w:p>
      <w:pPr>
        <w:pStyle w:val="Normal"/>
        <w:widowControl/>
        <w:rPr/>
      </w:pPr>
      <w:r>
        <w:rPr/>
        <w:t>4. During a verified regional seed shortage, the Parties may activate an Emergency Seed Continuity Corridor for expedited movement of qualifying seed, testing samples, breeding material, seed-treatment inputs, and necessary specialized equipment, subject to phytosanitary controls and origin documentation.</w:t>
      </w:r>
    </w:p>
    <w:p>
      <w:pPr>
        <w:pStyle w:val="Normal"/>
        <w:widowControl/>
        <w:rPr/>
      </w:pPr>
      <w:r>
        <w:rPr/>
        <w:t>5. Cooperation shall support regionally adapted, climate-resilient, organic, open-pollinated, hybrid, conventionally bred, marker-assisted, and biotechnology-derived varieties as appropriate to domestic law. Nothing in this Article requires a Party to favor one breeding system over another.</w:t>
      </w:r>
    </w:p>
    <w:p>
      <w:pPr>
        <w:pStyle w:val="Normal"/>
        <w:widowControl/>
        <w:rPr/>
      </w:pPr>
      <w:r>
        <w:rPr/>
        <w:t>6. Each Party retains authority over farmers' privilege, seed-saving rights, plant breeders' rights, patents, licensing, and other intellectual-property rules, subject to the non-discrimination, competition, and innocent-presence safeguards of this Chapter.</w:t>
      </w:r>
    </w:p>
    <w:p>
      <w:pPr>
        <w:pStyle w:val="Heading3"/>
        <w:keepNext/>
        <w:widowControl/>
        <w:rPr/>
      </w:pPr>
      <w:r>
        <w:rPr/>
        <w:t>Article 43.12: Biotechnology Regulatory Interoperability and Sovereign Review</w:t>
      </w:r>
    </w:p>
    <w:p>
      <w:pPr>
        <w:pStyle w:val="Normal"/>
        <w:widowControl/>
        <w:rPr/>
      </w:pPr>
      <w:r>
        <w:rPr/>
        <w:t>1. The Parties shall seek to reduce unnecessary duplication in biotechnology review through voluntary sharing of non-confidential dossiers, validated methods, safety assessments, post-market evidence, environmental information, and technical questions, to the extent legally permissible.</w:t>
      </w:r>
    </w:p>
    <w:p>
      <w:pPr>
        <w:pStyle w:val="Normal"/>
        <w:widowControl/>
        <w:rPr/>
      </w:pPr>
      <w:r>
        <w:rPr/>
        <w:t>2. A Party may invite synchronized or parallel review of a biotechnology application, but each Party retains an independent final decision and may request additional information reasonably necessary under domestic law.</w:t>
      </w:r>
    </w:p>
    <w:p>
      <w:pPr>
        <w:pStyle w:val="Normal"/>
        <w:widowControl/>
        <w:rPr/>
      </w:pPr>
      <w:r>
        <w:rPr/>
        <w:t>3. Regulatory cooperation shall not create automatic approval, automatic equivalence, a lowest-common-denominator safety rule, or a presumption that authorization by one Party compels authorization by another.</w:t>
      </w:r>
    </w:p>
    <w:p>
      <w:pPr>
        <w:pStyle w:val="Normal"/>
        <w:widowControl/>
        <w:rPr/>
      </w:pPr>
      <w:r>
        <w:rPr/>
        <w:t>4. The Parties shall maintain procedures for managing low-level presence and asynchronous approvals in traded commodities that distinguish inadvertent biological presence from deliberate circumvention and that seek proportionate remedies before unnecessary destruction or broad trade interruption.</w:t>
      </w:r>
    </w:p>
    <w:p>
      <w:pPr>
        <w:pStyle w:val="Normal"/>
        <w:widowControl/>
        <w:rPr/>
      </w:pPr>
      <w:r>
        <w:rPr/>
        <w:t>5. Where a material crop-production threat exists, a Party may request expedited scientific review of an agricultural technology already authorized by another Party. The receiving Party shall have access, to the extent legally shareable, to relevant regulatory dossiers, safety assessments, field evidence, and post-market information while retaining sovereign approval authority.</w:t>
      </w:r>
    </w:p>
    <w:p>
      <w:pPr>
        <w:pStyle w:val="Heading3"/>
        <w:keepNext/>
        <w:widowControl/>
        <w:rPr/>
      </w:pPr>
      <w:r>
        <w:rPr/>
        <w:t>Article 43.13: Innocent Genetic Presence, Farmer Choice, and Agricultural Coexistence</w:t>
      </w:r>
    </w:p>
    <w:p>
      <w:pPr>
        <w:pStyle w:val="Normal"/>
        <w:widowControl/>
        <w:rPr/>
      </w:pPr>
      <w:r>
        <w:rPr/>
        <w:t>1. Presence Shall Not Create Intent. The mere detection of patented, protected, or otherwise proprietary genetic material in a field, harvested crop, seed lot, storage facility, transport system, or agricultural product shall not by itself establish intentional acquisition, planting, propagation, infringement, misappropriation, or breach of a technology-use obligation.</w:t>
      </w:r>
    </w:p>
    <w:p>
      <w:pPr>
        <w:pStyle w:val="Normal"/>
        <w:widowControl/>
        <w:rPr/>
      </w:pPr>
      <w:r>
        <w:rPr/>
        <w:t>2. A farmer or other agricultural operator who did not intentionally acquire, plant, select, concentrate, propagate, or commercially exploit a protected trait shall not incur intellectual-property or licensing liability solely because pollen, seed, volunteers, transport spillage, commingling, or another unintended biological process introduced trace or incidental presence.</w:t>
      </w:r>
    </w:p>
    <w:p>
      <w:pPr>
        <w:pStyle w:val="Normal"/>
        <w:widowControl/>
        <w:rPr/>
      </w:pPr>
      <w:r>
        <w:rPr/>
        <w:t>3. This safe harbor does not protect a person who knowingly selects, saves, multiplies, markets, or otherwise exploits protected material in violation of applicable intellectual-property law or a valid contractual obligation.</w:t>
      </w:r>
    </w:p>
    <w:p>
      <w:pPr>
        <w:pStyle w:val="Normal"/>
        <w:widowControl/>
        <w:rPr/>
      </w:pPr>
      <w:r>
        <w:rPr/>
        <w:t>4. A biotechnology developer, seed company, licensee, or neighboring producer is not strictly liable for every trace movement. Responsibility for preventable off-target genetic movement shall depend on reasonable stewardship duties, foreseeability, control, causation, and the materiality of resulting harm.</w:t>
      </w:r>
    </w:p>
    <w:p>
      <w:pPr>
        <w:pStyle w:val="Normal"/>
        <w:widowControl/>
        <w:rPr/>
      </w:pPr>
      <w:r>
        <w:rPr/>
        <w:t>5. The Parties shall provide or permit a proportionate compensation pathway for demonstrable substantial commercial loss caused by preventable genetic contamination, including loss of a verified non-GMO, organic, export, seed-purity, or other premium contract, without converting incidental molecular detection into automatic damages.</w:t>
      </w:r>
    </w:p>
    <w:p>
      <w:pPr>
        <w:pStyle w:val="Normal"/>
        <w:widowControl/>
        <w:rPr/>
      </w:pPr>
      <w:r>
        <w:rPr/>
        <w:t>6. No universal numerical contamination threshold is established by this Agreement. Crop biology, seed-purity requirements, market specifications, available testing methods, and the scale and circumstances of presence shall inform technical thresholds adopted domestically or through implementation guidance.</w:t>
      </w:r>
    </w:p>
    <w:p>
      <w:pPr>
        <w:pStyle w:val="Heading3"/>
        <w:keepNext/>
        <w:widowControl/>
        <w:rPr/>
      </w:pPr>
      <w:r>
        <w:rPr/>
        <w:t>Article 43.14: North American Plant Health Watch List and Biological Production Security</w:t>
      </w:r>
    </w:p>
    <w:p>
      <w:pPr>
        <w:pStyle w:val="Normal"/>
        <w:widowControl/>
        <w:rPr/>
      </w:pPr>
      <w:r>
        <w:rPr/>
        <w:t>1. The Parties shall maintain an updateable North American Plant Health Watch List covering plant pathogens, insect pests, mites, nematodes, invasive weeds, vectors, and other biological threats of continental significance. The Watch List is an implementation instrument and may be updated without reopening this Agreement.</w:t>
      </w:r>
    </w:p>
    <w:p>
      <w:pPr>
        <w:pStyle w:val="Normal"/>
        <w:widowControl/>
        <w:rPr/>
      </w:pPr>
      <w:r>
        <w:rPr/>
        <w:t>2. Listed threats may be classified as established or endemic, emerging, invasive or spreading, quarantine or exclusion priority, or extraordinary continental biological emergency. Classification may differ geographically and shall be supported by current scientific and surveillance information.</w:t>
      </w:r>
    </w:p>
    <w:p>
      <w:pPr>
        <w:pStyle w:val="Normal"/>
        <w:widowControl/>
        <w:rPr/>
      </w:pPr>
      <w:r>
        <w:rPr/>
        <w:t>3. The Parties shall strengthen interoperable surveillance using field observations, traps, laboratory diagnostics, remote sensing, genomic tools, nursery and seed inspection, stored-commodity monitoring, and other validated methods appropriate to the organism and pathway.</w:t>
      </w:r>
    </w:p>
    <w:p>
      <w:pPr>
        <w:pStyle w:val="Normal"/>
        <w:widowControl/>
        <w:rPr/>
      </w:pPr>
      <w:r>
        <w:rPr/>
        <w:t>4. The Parties shall facilitate rapid exchange of diagnostic assays, reference materials, genomic information, non-confidential outbreak data, and validated response protocols while protecting confidential business information, personal information, sensitive location data, and legitimate biosecurity restrictions.</w:t>
      </w:r>
    </w:p>
    <w:p>
      <w:pPr>
        <w:pStyle w:val="Normal"/>
        <w:widowControl/>
        <w:rPr/>
      </w:pPr>
      <w:r>
        <w:rPr/>
        <w:t>5. Plant-health measures shall, where scientifically supportable, use regionalization, zoning, compartmentalization, commodity treatment, pathway controls, or other targeted measures instead of unnecessary continent-wide or Party-wide shutdowns.</w:t>
      </w:r>
    </w:p>
    <w:p>
      <w:pPr>
        <w:pStyle w:val="Normal"/>
        <w:widowControl/>
        <w:rPr/>
      </w:pPr>
      <w:r>
        <w:rPr/>
        <w:t>6. Immediate precautionary restrictions may be used where delay would create a serious biological threat, but emergency measures shall include an identified review point, evidence-update process, and off-ramp or narrowing mechanism.</w:t>
      </w:r>
    </w:p>
    <w:p>
      <w:pPr>
        <w:pStyle w:val="Normal"/>
        <w:widowControl/>
        <w:rPr/>
      </w:pPr>
      <w:r>
        <w:rPr/>
        <w:t>7. Where government-ordered destruction, quarantine, movement restriction, or similar containment action materially benefits continental plant health, the responsible Party should maintain compensation, insurance, recovery assistance, or comparable support sufficient to avoid creating a strong economic incentive to conceal symptoms or delay reporting.</w:t>
      </w:r>
    </w:p>
    <w:p>
      <w:pPr>
        <w:pStyle w:val="Normal"/>
        <w:widowControl/>
        <w:rPr/>
      </w:pPr>
      <w:r>
        <w:rPr/>
        <w:t>8. A forest-health or agricultural biological emergency may be treated as a continental biological-security event where its reasonably foreseeable spread threatens forests, crops, communities, critical infrastructure, wildfire resilience, or food security of another Party.</w:t>
      </w:r>
    </w:p>
    <w:p>
      <w:pPr>
        <w:pStyle w:val="Heading3"/>
        <w:keepNext/>
        <w:widowControl/>
        <w:rPr/>
      </w:pPr>
      <w:r>
        <w:rPr/>
        <w:t>Article 43.15: Pest-Movement Controls, Emergency Containment Corridors, and Forest-Agriculture Interface</w:t>
      </w:r>
    </w:p>
    <w:p>
      <w:pPr>
        <w:pStyle w:val="Normal"/>
        <w:widowControl/>
        <w:rPr/>
      </w:pPr>
      <w:r>
        <w:rPr/>
        <w:t>1. The Parties may apply proportionate movement controls to seed, nursery stock, soil, plants, firewood, bark, logs, packaging material, agricultural machinery, harvest equipment, storage facilities, and other pathways capable of carrying a regulated biological threat.</w:t>
      </w:r>
    </w:p>
    <w:p>
      <w:pPr>
        <w:pStyle w:val="Normal"/>
        <w:widowControl/>
        <w:rPr/>
      </w:pPr>
      <w:r>
        <w:rPr/>
        <w:t>2. During a material outbreak, qualifying diagnostic equipment, resistant seed, biological controls, crop-protection products, traps, pheromones, containment materials, sanitation equipment, and specialized response personnel shall receive expedited border treatment to the extent consistent with safety and security requirements.</w:t>
      </w:r>
    </w:p>
    <w:p>
      <w:pPr>
        <w:pStyle w:val="Normal"/>
        <w:widowControl/>
        <w:rPr/>
      </w:pPr>
      <w:r>
        <w:rPr/>
        <w:t>3. Agricultural and forest-health authorities shall maintain channels for exchanging relevant alerts where a pest, pathogen, weed, or vector crosses the agriculture-forest interface or where management of one system can materially affect the other.</w:t>
      </w:r>
    </w:p>
    <w:p>
      <w:pPr>
        <w:pStyle w:val="Normal"/>
        <w:widowControl/>
        <w:rPr/>
      </w:pPr>
      <w:r>
        <w:rPr/>
        <w:t>4. The Parties shall cooperate on scientifically justified firewood and untreated wood movement controls, treatment certification, pest-free production systems, and public communication to reduce avoidable cross-border spread.</w:t>
      </w:r>
    </w:p>
    <w:p>
      <w:pPr>
        <w:pStyle w:val="Normal"/>
        <w:widowControl/>
        <w:rPr/>
      </w:pPr>
      <w:r>
        <w:rPr/>
        <w:t>5. Salvage or emergency use of pest- or disease-affected biomass may receive expedited technical consideration where treatment renders the material acceptably safe for the intended pathway and the activity is genuinely connected to containment, restoration, hazard reduction, or productive recovery rather than disguised ordinary harvesting.</w:t>
      </w:r>
    </w:p>
    <w:p>
      <w:pPr>
        <w:pStyle w:val="Heading3"/>
        <w:keepNext/>
        <w:widowControl/>
        <w:rPr/>
      </w:pPr>
      <w:r>
        <w:rPr/>
        <w:t>Article 43.16: Crop Protection Modernization and Safer Substitution</w:t>
      </w:r>
    </w:p>
    <w:p>
      <w:pPr>
        <w:pStyle w:val="Normal"/>
        <w:widowControl/>
        <w:rPr/>
      </w:pPr>
      <w:r>
        <w:rPr/>
        <w:t>1. The Parties shall maintain crop-protection systems capable of responding to material weeds, insects, pathogens, nematodes, and other production threats while progressively reducing avoidable human-health, worker-safety, environmental, persistence, resistance, and off-target burdens.</w:t>
      </w:r>
    </w:p>
    <w:p>
      <w:pPr>
        <w:pStyle w:val="Normal"/>
        <w:widowControl/>
        <w:rPr/>
      </w:pPr>
      <w:r>
        <w:rPr/>
        <w:t>2. For cooperation and comparative review under this Article, the Parties may use a common descriptive vocabulary that includes: Continue; Restricted Use; Safer-Substitution Priority; Essential Transitional Use; Accelerated Hazard Review; and Prohibited Agricultural Active Substance. These labels do not themselves change the legal status of an active ingredient or use within a Party.</w:t>
      </w:r>
    </w:p>
    <w:p>
      <w:pPr>
        <w:pStyle w:val="Normal"/>
        <w:widowControl/>
        <w:rPr/>
      </w:pPr>
      <w:r>
        <w:rPr/>
        <w:t>3. A competent domestic authority may place a substance or use in a prohibited or equivalent domestic category only through the scientific, legal, notice, review, and decision procedures applicable in that Party. Cooperative review may consider severe human-health or environmental hazard, material agricultural exposure, feasibility of exposure control, availability of materially safer effective methods, agricultural necessity, and any independently unacceptable risk.</w:t>
      </w:r>
    </w:p>
    <w:p>
      <w:pPr>
        <w:pStyle w:val="Normal"/>
        <w:widowControl/>
        <w:rPr/>
      </w:pPr>
      <w:r>
        <w:rPr/>
        <w:t>4. Availability of Safer Alternatives. In cooperative review, the Parties should not treat historical use, marginal cost advantage, manufacturer preference, existing inventory, or regulatory inertia as sufficient by themselves to justify continued routine use of a substantially more hazardous active substance where materially safer, reasonably effective, and practically deployable substitutes are available. Final authorization, restriction, or withdrawal remains with the competent domestic authority.</w:t>
      </w:r>
    </w:p>
    <w:p>
      <w:pPr>
        <w:pStyle w:val="Normal"/>
        <w:widowControl/>
        <w:rPr/>
      </w:pPr>
      <w:r>
        <w:rPr/>
        <w:t>5. No Agricultural Protection Gap. Except where immediate prohibition is required to protect health or the environment, withdrawal of a significant crop-protection use should be accompanied by accelerated evaluation, supply development, producer guidance, and transition support for safer substitutes where the withdrawal would otherwise leave a material pest, pathogen, or weed threat without a reasonably effective control.</w:t>
      </w:r>
    </w:p>
    <w:p>
      <w:pPr>
        <w:pStyle w:val="Normal"/>
        <w:widowControl/>
        <w:rPr/>
      </w:pPr>
      <w:r>
        <w:rPr/>
        <w:t>6. A temporary Essential Transitional Use shall be crop-specific, threat-specific, quantity-limited where practicable, subject to enhanced applicator and exposure safeguards, publicly reasoned, non-precedential, and automatically expire unless renewed on updated evidence that no materially safer effective alternative is reasonably available.</w:t>
      </w:r>
    </w:p>
    <w:p>
      <w:pPr>
        <w:pStyle w:val="Normal"/>
        <w:widowControl/>
        <w:rPr/>
      </w:pPr>
      <w:r>
        <w:rPr/>
        <w:t>7. The Parties shall encourage precision application, machine-vision spot treatment, variable-rate systems, shielded application, drift-reduction technology, weather-informed decision support, biological controls, mechanical control, resistant varieties, and other validated methods capable of reducing chemical burden while maintaining effective crop protection.</w:t>
      </w:r>
    </w:p>
    <w:p>
      <w:pPr>
        <w:pStyle w:val="Heading3"/>
        <w:keepNext/>
        <w:widowControl/>
        <w:rPr/>
      </w:pPr>
      <w:r>
        <w:rPr/>
        <w:t>Article 43.17: Initial Priority Agricultural Active-Substance Review Schedule</w:t>
      </w:r>
    </w:p>
    <w:p>
      <w:pPr>
        <w:pStyle w:val="Normal"/>
        <w:widowControl/>
        <w:rPr/>
      </w:pPr>
      <w:r>
        <w:rPr/>
        <w:t>1. As an initial negotiating and scientific-review baseline, carbendazim, paraquat, and chlorothalonil shall be placed on a coordinated priority-review schedule. Within 180 days after entry into force of this Article, each Party's competent authority shall confirm the substance's current domestic legal status and determine, under its own law and current scientific record, whether continued authorization, additional restriction, transition, cancellation, or prohibition is warranted.</w:t>
      </w:r>
    </w:p>
    <w:p>
      <w:pPr>
        <w:pStyle w:val="Normal"/>
        <w:widowControl/>
        <w:rPr/>
      </w:pPr>
      <w:r>
        <w:rPr/>
        <w:t>2. This Article does not itself cancel a registration, prohibit manufacture or sale, or create an import ban. A domestic prohibition, restriction, cancellation, or transition measure takes effect only through the competent Party's applicable legal and scientific procedure, including any notice, evidence, review, transition, and appeal requirements required by domestic law.</w:t>
      </w:r>
    </w:p>
    <w:p>
      <w:pPr>
        <w:pStyle w:val="Normal"/>
        <w:widowControl/>
        <w:rPr/>
      </w:pPr>
      <w:r>
        <w:rPr/>
        <w:t>3. Where a competent authority determines that an imminent and material crop or plant-health threat warrants a temporary essential use of a substance otherwise restricted or prohibited under its law, the authorization should identify the crop, target threat, geographic scope, maximum duration, worker safeguards, exposure controls, substitution plan, and automatic expiry date. Any authorization remains governed by domestic law and should not exceed one growing season without a fresh scientific determination where renewal is legally available.</w:t>
      </w:r>
    </w:p>
    <w:p>
      <w:pPr>
        <w:pStyle w:val="Normal"/>
        <w:widowControl/>
        <w:rPr/>
      </w:pPr>
      <w:r>
        <w:rPr/>
        <w:t>4. Inclusion on the priority-review schedule is not a treaty finding that a particular exposure caused a specific illness, that a substance is unlawful in every use, or that the Parties have reached identical risk conclusions. The purpose of the schedule is to ensure timely, transparent, competent-authority review of a limited set of legacy agricultural active substances presenting material hazard or regulatory concern.</w:t>
      </w:r>
    </w:p>
    <w:p>
      <w:pPr>
        <w:pStyle w:val="Normal"/>
        <w:widowControl/>
        <w:rPr/>
      </w:pPr>
      <w:r>
        <w:rPr/>
        <w:t>5. The Commission may, on a science-based recommendation from competent domestic authorities, add a substance to the coordinated priority-review schedule. Addition to or removal from the schedule shall be transparent and shall identify the principal scientific and agricultural basis for the change; it does not itself alter domestic authorization status.</w:t>
      </w:r>
    </w:p>
    <w:p>
      <w:pPr>
        <w:pStyle w:val="Heading3"/>
        <w:keepNext/>
        <w:widowControl/>
        <w:rPr/>
      </w:pPr>
      <w:r>
        <w:rPr/>
        <w:t>Article 43.18: Agricultural Off-Target Effects, Drift, and Neighbor Protection</w:t>
      </w:r>
    </w:p>
    <w:p>
      <w:pPr>
        <w:pStyle w:val="Normal"/>
        <w:widowControl/>
        <w:rPr/>
      </w:pPr>
      <w:r>
        <w:rPr/>
        <w:t>1. A person shall not knowingly apply a crop-protection product under conditions in which material off-target movement causing foreseeable harm to neighboring crops, workers, residences, water bodies, protected habitat, pollinators, or other sensitive receptors is reasonably likely and avoidable through compliant practice.</w:t>
      </w:r>
    </w:p>
    <w:p>
      <w:pPr>
        <w:pStyle w:val="Normal"/>
        <w:widowControl/>
        <w:rPr/>
      </w:pPr>
      <w:r>
        <w:rPr/>
        <w:t>2. The Parties shall support crop- and technology-appropriate controls for drift, volatilization, runoff, overspray, contaminated dust, and other off-target pathways, including weather thresholds, buffers, nozzle or equipment specifications, timing restrictions, application records, and precision systems where justified by risk.</w:t>
      </w:r>
    </w:p>
    <w:p>
      <w:pPr>
        <w:pStyle w:val="Normal"/>
        <w:widowControl/>
        <w:rPr/>
      </w:pPr>
      <w:r>
        <w:rPr/>
        <w:t>3. Liability and compensation rules may distinguish compliant unavoidable movement from negligent, reckless, repeated, or deliberate conduct. A farmer who complied with applicable stewardship and application requirements shall not be treated as a guarantor against every extraordinary weather event.</w:t>
      </w:r>
    </w:p>
    <w:p>
      <w:pPr>
        <w:pStyle w:val="Normal"/>
        <w:widowControl/>
        <w:rPr/>
      </w:pPr>
      <w:r>
        <w:rPr/>
        <w:t>4. Where a verified off-target event causes substantial economic loss to another producer, each Party shall maintain an accessible domestic pathway for investigation, correction, and compensation consistent with its legal system.</w:t>
      </w:r>
    </w:p>
    <w:p>
      <w:pPr>
        <w:pStyle w:val="Heading3"/>
        <w:keepNext/>
        <w:widowControl/>
        <w:rPr/>
      </w:pPr>
      <w:r>
        <w:rPr/>
        <w:t>Article 43.19: Resistance Management and Integrated Pest Management</w:t>
      </w:r>
    </w:p>
    <w:p>
      <w:pPr>
        <w:pStyle w:val="Normal"/>
        <w:widowControl/>
        <w:rPr/>
      </w:pPr>
      <w:r>
        <w:rPr/>
        <w:t>1. The Parties shall cooperate on surveillance and mapping of herbicide, insecticide, fungicide, and other pesticide resistance and shall share non-confidential resistance information relevant to cross-border agricultural production.</w:t>
      </w:r>
    </w:p>
    <w:p>
      <w:pPr>
        <w:pStyle w:val="Normal"/>
        <w:widowControl/>
        <w:rPr/>
      </w:pPr>
      <w:r>
        <w:rPr/>
        <w:t>2. Regulatory and extension programs should encourage integrated pest management using surveillance, prevention, crop and variety choice, cultural methods, biological controls, mechanical methods, precision treatment, and targeted chemical controls according to local agronomic conditions.</w:t>
      </w:r>
    </w:p>
    <w:p>
      <w:pPr>
        <w:pStyle w:val="Normal"/>
        <w:widowControl/>
        <w:rPr/>
      </w:pPr>
      <w:r>
        <w:rPr/>
        <w:t>3. Where repeated reliance on a single mode of action creates a material resistance threat, a Party may require or encourage resistance-management measures proportionate to the crop, pest, technology, and available alternatives.</w:t>
      </w:r>
    </w:p>
    <w:p>
      <w:pPr>
        <w:pStyle w:val="Normal"/>
        <w:widowControl/>
        <w:rPr/>
      </w:pPr>
      <w:r>
        <w:rPr/>
        <w:t>4. Nothing in this Article requires a universal crop rotation, tillage system, pesticide recipe, planting date, or production method across North America.</w:t>
      </w:r>
    </w:p>
    <w:p>
      <w:pPr>
        <w:pStyle w:val="Heading3"/>
        <w:keepNext/>
        <w:widowControl/>
        <w:rPr/>
      </w:pPr>
      <w:r>
        <w:rPr/>
        <w:t>Article 43.20: Soil, Water, Drought, and Climate-Resilient Crop Production</w:t>
      </w:r>
    </w:p>
    <w:p>
      <w:pPr>
        <w:pStyle w:val="Normal"/>
        <w:widowControl/>
        <w:rPr/>
      </w:pPr>
      <w:r>
        <w:rPr/>
        <w:t>1. The Parties shall cooperate on agricultural resilience to drought, extreme heat, flood, wildfire, erosion, salinity, alkalinity, acidity, compaction, declining organic matter, nutrient loss, and other material soil- and water-related production risks.</w:t>
      </w:r>
    </w:p>
    <w:p>
      <w:pPr>
        <w:pStyle w:val="Normal"/>
        <w:widowControl/>
        <w:rPr/>
      </w:pPr>
      <w:r>
        <w:rPr/>
        <w:t>2. Programs may support soil testing, water-efficiency technology, irrigation modernization, moisture-conservation practices, drainage improvement, erosion reduction, climate-resilient varieties, regional agronomic research, drought forecasting, soil-carbon improvement, and other locally appropriate measures without mandating a single farming system.</w:t>
      </w:r>
    </w:p>
    <w:p>
      <w:pPr>
        <w:pStyle w:val="Normal"/>
        <w:widowControl/>
        <w:rPr/>
      </w:pPr>
      <w:r>
        <w:rPr/>
        <w:t>3. Agricultural water policy remains subject to each Party's constitutional and domestic allocation of water authority. Nothing in this Agreement creates a cross-border entitlement to another Party's water, requires cultivation or abandonment of a particular crop, or compels transfer of water between sectors.</w:t>
      </w:r>
    </w:p>
    <w:p>
      <w:pPr>
        <w:pStyle w:val="Normal"/>
        <w:widowControl/>
        <w:rPr/>
      </w:pPr>
      <w:r>
        <w:rPr/>
        <w:t>4. The Parties shall improve drought and extreme-weather early warning, agricultural fire-risk communication, emergency irrigation and water-supply coordination where legally available, and recovery mechanisms for extraordinary production shocks.</w:t>
      </w:r>
    </w:p>
    <w:p>
      <w:pPr>
        <w:pStyle w:val="Normal"/>
        <w:widowControl/>
        <w:rPr/>
      </w:pPr>
      <w:r>
        <w:rPr/>
        <w:t>5. In shared basins and watersheds, the Parties may cooperate on agricultural water efficiency, measurement, forecasting, drought contingency, water quality, and ecosystem resilience consistent with existing boundary-water institutions and without prejudice to established treaty rights.</w:t>
      </w:r>
    </w:p>
    <w:p>
      <w:pPr>
        <w:pStyle w:val="Heading3"/>
        <w:keepNext/>
        <w:widowControl/>
        <w:rPr/>
      </w:pPr>
      <w:r>
        <w:rPr/>
        <w:t>Article 43.21: Agricultural Machinery, Parts, Diagnostics, and Seasonal Continuity</w:t>
      </w:r>
    </w:p>
    <w:p>
      <w:pPr>
        <w:pStyle w:val="Normal"/>
        <w:widowControl/>
        <w:rPr/>
      </w:pPr>
      <w:r>
        <w:rPr/>
        <w:t>1. The Parties recognize that loss of access to critical machinery, replacement parts, diagnostic information, software functionality, or repair capacity during planting, spraying, irrigation, or harvest can create disproportionate production losses.</w:t>
      </w:r>
    </w:p>
    <w:p>
      <w:pPr>
        <w:pStyle w:val="Normal"/>
        <w:widowControl/>
        <w:rPr/>
      </w:pPr>
      <w:r>
        <w:rPr/>
        <w:t>2. Qualifying agricultural machinery, critical replacement parts, diagnostic equipment, seed-treatment machinery, irrigation components, and repair tools may receive seasonal priority customs treatment during a verified planting or harvest continuity event.</w:t>
      </w:r>
    </w:p>
    <w:p>
      <w:pPr>
        <w:pStyle w:val="Normal"/>
        <w:widowControl/>
        <w:rPr/>
      </w:pPr>
      <w:r>
        <w:rPr/>
        <w:t>3. Subject to intellectual-property, cybersecurity, emissions, and safety law, farmers and independent repair providers should have reasonable access to information, interfaces, diagnostic functions, parts, and tools necessary to maintain and repair lawfully acquired agricultural equipment without circumventing unrelated security controls or acquiring proprietary source code not necessary for the repair.</w:t>
      </w:r>
    </w:p>
    <w:p>
      <w:pPr>
        <w:pStyle w:val="Normal"/>
        <w:widowControl/>
        <w:rPr/>
      </w:pPr>
      <w:r>
        <w:rPr/>
        <w:t>4. A manufacturer shall not use remote software controls, authentication, or subscription architecture primarily to prevent otherwise lawful repair, disable paid-for essential equipment functionality without contractual basis, or create an artificial emergency-season bottleneck.</w:t>
      </w:r>
    </w:p>
    <w:p>
      <w:pPr>
        <w:pStyle w:val="Normal"/>
        <w:widowControl/>
        <w:rPr/>
      </w:pPr>
      <w:r>
        <w:rPr/>
        <w:t>5. The Parties may support interoperable data portability and equipment interfaces where technically feasible while preserving cybersecurity, privacy, safety, and legitimate proprietary interests.</w:t>
      </w:r>
    </w:p>
    <w:p>
      <w:pPr>
        <w:pStyle w:val="Heading3"/>
        <w:keepNext/>
        <w:widowControl/>
        <w:rPr/>
      </w:pPr>
      <w:r>
        <w:rPr/>
        <w:t>Article 43.22: Agricultural Nutrient and Manure Circularity Framework</w:t>
      </w:r>
    </w:p>
    <w:p>
      <w:pPr>
        <w:pStyle w:val="Normal"/>
        <w:widowControl/>
        <w:rPr/>
      </w:pPr>
      <w:r>
        <w:rPr/>
        <w:t>1. The Parties recognize manure and other agricultural residuals as potential sources of nitrogen, phosphorus, organic matter, energy, fibers, carbon products, and other useful materials when managed so that nutrients, pathogens, pharmaceuticals, metals, organic loading, air emissions, and other contaminants do not escape at harmful concentrations.</w:t>
      </w:r>
    </w:p>
    <w:p>
      <w:pPr>
        <w:pStyle w:val="Normal"/>
        <w:widowControl/>
        <w:rPr/>
      </w:pPr>
      <w:r>
        <w:rPr/>
        <w:t>2. Manure is an agricultural resource until its storage, treatment, transport, or application creates an unacceptable risk or material pollution burden. Designation as manure, fertilizer, soil amendment, feedstock, renewable fuel, recovered material, or circular product does not by itself establish either waste status or safety.</w:t>
      </w:r>
    </w:p>
    <w:p>
      <w:pPr>
        <w:pStyle w:val="Normal"/>
        <w:widowControl/>
        <w:rPr/>
      </w:pPr>
      <w:r>
        <w:rPr/>
        <w:t>3. Nutrient-management systems should account for crop need, soil condition, nutrient content, timing, weather, field characteristics, storage capacity, and credible runoff risk. The Parties may support subsidized testing, calibration, recordkeeping tools, and technical assistance, particularly for small and medium producers.</w:t>
      </w:r>
    </w:p>
    <w:p>
      <w:pPr>
        <w:pStyle w:val="Normal"/>
        <w:widowControl/>
        <w:rPr/>
      </w:pPr>
      <w:r>
        <w:rPr/>
        <w:t>4. The Parties shall encourage adequate and climate-resilient manure-storage capacity, appropriate lining or containment, inspection, overflow protection, emergency planning, leak and spill detection, and maintenance proportionate to facility size and risk.</w:t>
      </w:r>
    </w:p>
    <w:p>
      <w:pPr>
        <w:pStyle w:val="Normal"/>
        <w:widowControl/>
        <w:rPr/>
      </w:pPr>
      <w:r>
        <w:rPr/>
        <w:t>5. Where frozen soil, snow cover, saturation, forecast precipitation, thaw conditions, slope, or other conditions create an extreme and reasonably foreseeable runoff risk, a Party may temporarily restrict land application while maintaining emergency storage, transfer, treatment, or other practical compliance pathways.</w:t>
      </w:r>
    </w:p>
    <w:p>
      <w:pPr>
        <w:pStyle w:val="Normal"/>
        <w:widowControl/>
        <w:rPr/>
      </w:pPr>
      <w:r>
        <w:rPr/>
        <w:t>6. The Parties may develop interoperable runoff-risk decision support using weather, soil, snowpack, topography, water proximity, and storage data, including advisory low-, elevated-, and extreme-risk application conditions, without substituting an automated advisory for legally required professional judgment.</w:t>
      </w:r>
    </w:p>
    <w:p>
      <w:pPr>
        <w:pStyle w:val="Normal"/>
        <w:widowControl/>
        <w:rPr/>
      </w:pPr>
      <w:r>
        <w:rPr/>
        <w:t>7. Deliberate dumping, chronic overapplication, falsification, repeated negligent discharges, and knowing operation of materially unsafe storage may receive progressively stronger enforcement. Good-faith compliance with approved nutrient-management practices shall be considered in enforcement and liability consistent with domestic law.</w:t>
      </w:r>
    </w:p>
    <w:p>
      <w:pPr>
        <w:pStyle w:val="Heading3"/>
        <w:keepNext/>
        <w:widowControl/>
        <w:rPr/>
      </w:pPr>
      <w:r>
        <w:rPr/>
        <w:t>Article 43.23: Recovered Agricultural Nutrients, Resource Cascade, and Nutrient Exchange Corridors</w:t>
      </w:r>
    </w:p>
    <w:p>
      <w:pPr>
        <w:pStyle w:val="Normal"/>
        <w:widowControl/>
        <w:rPr/>
      </w:pPr>
      <w:r>
        <w:rPr/>
        <w:t>1. The Parties shall support safe recovery and beneficial use of agricultural nutrients and residuals through a resource hierarchy: avoid unnecessary nutrient surplus; efficiently use suitable nutrients locally; recover concentrated nutrients and useful materials; transport standardized products to deficit regions where economic and safe; recover energy or materials from remaining fractions; and safely manage final residuals.</w:t>
      </w:r>
    </w:p>
    <w:p>
      <w:pPr>
        <w:pStyle w:val="Normal"/>
        <w:widowControl/>
        <w:rPr/>
      </w:pPr>
      <w:r>
        <w:rPr/>
        <w:t>2. Cooperation may include composting, solid-liquid separation, anaerobic digestion, digestate processing, phosphorus recovery including struvite, nitrogen or ammonia recovery, pelletization, biochar, controlled-release products, renewable gas, fibers, and other technologies demonstrated safe and effective for the intended use.</w:t>
      </w:r>
    </w:p>
    <w:p>
      <w:pPr>
        <w:pStyle w:val="Normal"/>
        <w:widowControl/>
        <w:rPr/>
      </w:pPr>
      <w:r>
        <w:rPr/>
        <w:t>3. No Circularity Presumption of Safety. Recovery, recycling, treatment, conversion, or designation as a beneficial product does not itself establish fitness for food, feed, bedding, soil, water-treatment, construction, consumer, medical, or other exposure pathways. Products shall satisfy performance requirements appropriate to their intended use.</w:t>
      </w:r>
    </w:p>
    <w:p>
      <w:pPr>
        <w:pStyle w:val="Normal"/>
        <w:widowControl/>
        <w:rPr/>
      </w:pPr>
      <w:r>
        <w:rPr/>
        <w:t>4. Agricultural Beneficial-Use Test. Designation of a residual as fertilizer, soil amendment, feedstock, recovered material, or other beneficial product shall not exempt its storage, transport, sale, or application from requirements reasonably necessary to prevent material harm to water, soil, ecosystems, workers, communities, or human or animal health.</w:t>
      </w:r>
    </w:p>
    <w:p>
      <w:pPr>
        <w:pStyle w:val="Normal"/>
        <w:widowControl/>
        <w:rPr/>
      </w:pPr>
      <w:r>
        <w:rPr/>
        <w:t>5. The Parties may develop interoperable standards for recovered agricultural nutrient products addressing nutrient content, contaminants, pathogens, labeling, sampling, traceability, and fit-for-purpose use so that qualifying products may move commercially without unnecessary duplicate testing.</w:t>
      </w:r>
    </w:p>
    <w:p>
      <w:pPr>
        <w:pStyle w:val="Normal"/>
        <w:widowControl/>
        <w:rPr/>
      </w:pPr>
      <w:r>
        <w:rPr/>
        <w:t>6. Nutrient Exchange Corridors may connect nutrient-surplus livestock regions with nutrient-deficit crop regions through processing, storage, logistics, and market information. Participation is voluntary and shall not create compulsory purchase or waste-transfer obligations.</w:t>
      </w:r>
    </w:p>
    <w:p>
      <w:pPr>
        <w:pStyle w:val="Normal"/>
        <w:widowControl/>
        <w:rPr/>
      </w:pPr>
      <w:r>
        <w:rPr/>
        <w:t>7. Circularity Shall Not Require Industrial Scale. Small and medium producers shall be eligible, subject to domestic programs, for cooperative processing, mobile equipment, shared infrastructure, grants, concessional financing, third-party services, or other mechanisms that permit participation without requiring each farm to build a stand-alone industrial processing facility.</w:t>
      </w:r>
    </w:p>
    <w:p>
      <w:pPr>
        <w:pStyle w:val="Heading3"/>
        <w:keepNext/>
        <w:widowControl/>
        <w:rPr/>
      </w:pPr>
      <w:r>
        <w:rPr/>
        <w:t>Article 43.24: Agricultural Watershed Protection and Shared Nutrient Outcomes</w:t>
      </w:r>
    </w:p>
    <w:p>
      <w:pPr>
        <w:pStyle w:val="Normal"/>
        <w:widowControl/>
        <w:rPr/>
      </w:pPr>
      <w:r>
        <w:rPr/>
        <w:t>1. Where agricultural nutrient, sediment, pathogen, or organic-matter pollution materially affects a transboundary water body, the Parties may establish a Shared Agricultural Watershed Nutrient Plan through the appropriate existing institution or cooperative mechanism.</w:t>
      </w:r>
    </w:p>
    <w:p>
      <w:pPr>
        <w:pStyle w:val="Normal"/>
        <w:widowControl/>
        <w:rPr/>
      </w:pPr>
      <w:r>
        <w:rPr/>
        <w:t>2. A Plan shall identify measurable water-quality outcomes, monitoring methods, relevant agricultural sources and non-agricultural sources where material, implementation responsibilities, review intervals, and practical support for affected producers. It need not mandate identical farming practices in different jurisdictions.</w:t>
      </w:r>
    </w:p>
    <w:p>
      <w:pPr>
        <w:pStyle w:val="Normal"/>
        <w:widowControl/>
        <w:rPr/>
      </w:pPr>
      <w:r>
        <w:rPr/>
        <w:t>3. A Party shall not use a transboundary nutrient concern as a disguised restriction on agricultural trade. Measures shall be evidence-based, proportionate to the contribution and risk addressed, and subject to periodic review as conditions improve or new information becomes available.</w:t>
      </w:r>
    </w:p>
    <w:p>
      <w:pPr>
        <w:pStyle w:val="Normal"/>
        <w:widowControl/>
        <w:rPr/>
      </w:pPr>
      <w:r>
        <w:rPr/>
        <w:t>4. Where a regulation requires significant manure, nutrient, drainage, storage, or runoff-control upgrades for a public environmental benefit, the regulating Party should consider transition financing, technical assistance, or phased compliance, particularly for otherwise viable small and medium farms.</w:t>
      </w:r>
    </w:p>
    <w:p>
      <w:pPr>
        <w:pStyle w:val="Heading3"/>
        <w:keepNext/>
        <w:widowControl/>
        <w:rPr/>
      </w:pPr>
      <w:r>
        <w:rPr/>
        <w:t>Article 43.25: Agricultural Labor, Automation, and Operational Continuity</w:t>
      </w:r>
    </w:p>
    <w:p>
      <w:pPr>
        <w:pStyle w:val="Normal"/>
        <w:widowControl/>
        <w:rPr/>
      </w:pPr>
      <w:r>
        <w:rPr/>
        <w:t>1. The Parties recognize that seasonal labor shortages, equipment bottlenecks, border delay, and abrupt operational disruptions can cause time-sensitive crop losses even where seed, land, and market demand remain available.</w:t>
      </w:r>
    </w:p>
    <w:p>
      <w:pPr>
        <w:pStyle w:val="Normal"/>
        <w:widowControl/>
        <w:rPr/>
      </w:pPr>
      <w:r>
        <w:rPr/>
        <w:t>2. Cooperation may include lawful seasonal-worker mobility, worker-protection enforcement, training, mechanization, ergonomics, automation, robotics, harvest and packing technology, and regional workforce planning consistent with each Party's immigration and labor laws.</w:t>
      </w:r>
    </w:p>
    <w:p>
      <w:pPr>
        <w:pStyle w:val="Normal"/>
        <w:widowControl/>
        <w:rPr/>
      </w:pPr>
      <w:r>
        <w:rPr/>
        <w:t>3. Automation shall be treated as a productivity and resilience tool and not as a presumption that seasonal human labor is unnecessary. Programs should consider worker safety, rural employment, small-producer access, retraining, and the operational needs of labor-intensive specialty crops.</w:t>
      </w:r>
    </w:p>
    <w:p>
      <w:pPr>
        <w:pStyle w:val="Normal"/>
        <w:widowControl/>
        <w:rPr/>
      </w:pPr>
      <w:r>
        <w:rPr/>
        <w:t>4. During a verified agricultural continuity event, the Parties may prioritize time-sensitive movement of harvest crews lawfully eligible to travel, replacement machinery, critical parts, packaging, refrigeration equipment, and other inputs necessary to prevent avoidable crop loss.</w:t>
      </w:r>
    </w:p>
    <w:p>
      <w:pPr>
        <w:pStyle w:val="Heading3"/>
        <w:keepNext/>
        <w:widowControl/>
        <w:rPr/>
      </w:pPr>
      <w:r>
        <w:rPr/>
        <w:t>Article 43.26: Mexico Co-Design and Regional Production Diversity</w:t>
      </w:r>
    </w:p>
    <w:p>
      <w:pPr>
        <w:pStyle w:val="Normal"/>
        <w:widowControl/>
        <w:rPr/>
      </w:pPr>
      <w:r>
        <w:rPr/>
        <w:t>1. Implementation of Articles 43.10 through 43.25 shall be trilateral and shall treat Mexico as a full agricultural producer, consumer, exporter, importer, breeding and research partner, manufacturing base, and climate-resilience stakeholder rather than as an appended market.</w:t>
      </w:r>
    </w:p>
    <w:p>
      <w:pPr>
        <w:pStyle w:val="Normal"/>
        <w:widowControl/>
        <w:rPr/>
      </w:pPr>
      <w:r>
        <w:rPr/>
        <w:t>2. Cooperative programs shall account for Mexico-specific specialty crops, seed systems, irrigation and drought exposure, fertilizer and machinery needs, plant-health pathways, labor-intensive production, export logistics, tropical and subtropical pest pressures, and opportunities for value-added processing.</w:t>
      </w:r>
    </w:p>
    <w:p>
      <w:pPr>
        <w:pStyle w:val="Normal"/>
        <w:widowControl/>
        <w:rPr/>
      </w:pPr>
      <w:r>
        <w:rPr/>
        <w:t>3. Programs shall likewise account for Canadian cold-climate, short-season, prairie, northern, greenhouse, orchard, pulse, oilseed, and specialty-crop systems and United States regional production diversity without converting regional differences into lesser procedural rights.</w:t>
      </w:r>
    </w:p>
    <w:p>
      <w:pPr>
        <w:pStyle w:val="Normal"/>
        <w:widowControl/>
        <w:rPr/>
      </w:pPr>
      <w:r>
        <w:rPr/>
        <w:t>4. No Party shall be required to become dependent on another Party for an essential seed, crop-protection tool, fertilizer, agricultural technology, food commodity, or production input as a condition of receiving a benefit under this Chapter.</w:t>
      </w:r>
    </w:p>
    <w:p>
      <w:pPr>
        <w:pStyle w:val="Heading3"/>
        <w:keepNext/>
        <w:widowControl/>
        <w:rPr/>
      </w:pPr>
      <w:r>
        <w:rPr/>
        <w:t>Article 43.27: Food Security Without Dependency and Producer Resilience</w:t>
      </w:r>
    </w:p>
    <w:p>
      <w:pPr>
        <w:pStyle w:val="Normal"/>
        <w:widowControl/>
        <w:rPr/>
      </w:pPr>
      <w:r>
        <w:rPr/>
        <w:t>1. Agricultural integration under this Agreement shall improve resilience without requiring a Party to abandon reasonable domestic capacity, supplier diversification, strategic reserves, public breeding, emergency inventories, or other measures designed to avoid dangerous dependency.</w:t>
      </w:r>
    </w:p>
    <w:p>
      <w:pPr>
        <w:pStyle w:val="Normal"/>
        <w:widowControl/>
        <w:rPr/>
      </w:pPr>
      <w:r>
        <w:rPr/>
        <w:t>2. The Parties may monitor systemic agricultural input concentration, supply bottlenecks, extraordinary price shocks, seed or fertilizer shortages, and other conditions capable of threatening otherwise viable production. Such monitoring does not authorize price fixing, compulsory licensing, confiscation of intellectual property, or guaranteed commercial returns.</w:t>
      </w:r>
    </w:p>
    <w:p>
      <w:pPr>
        <w:pStyle w:val="Normal"/>
        <w:widowControl/>
        <w:rPr/>
      </w:pPr>
      <w:r>
        <w:rPr/>
        <w:t>3. Competition policy is not confiscation of intellectual property. The Parties shall preserve legitimate incentives for plant breeding, biotechnology, agricultural chemistry, machinery innovation, and other investment while retaining authority to address anticompetitive tying, exclusionary conduct, deceptive licensing, unlawful market allocation, abusive interoperability restrictions, or other conduct prohibited by domestic competition law.</w:t>
      </w:r>
    </w:p>
    <w:p>
      <w:pPr>
        <w:pStyle w:val="Normal"/>
        <w:widowControl/>
        <w:rPr/>
      </w:pPr>
      <w:r>
        <w:rPr/>
        <w:t>4. During an extraordinary continental agricultural disruption, a Party may provide emergency financing, credit support, insurance assistance, input guarantees, storage support, or similar measures to otherwise viable producers, subject to the agricultural-support and non-escalation disciplines of this Agreement.</w:t>
      </w:r>
    </w:p>
    <w:p>
      <w:pPr>
        <w:pStyle w:val="Normal"/>
        <w:widowControl/>
        <w:rPr/>
      </w:pPr>
      <w:r>
        <w:rPr/>
        <w:t>5. Nothing in this Framework guarantees farm profitability, crop yield, market price, input price, sales volume, or commercial success. Its purpose is to reduce avoidable structural vulnerabilities and improve the capacity of North American agriculture to withstand shocks without transferring all adjustment costs to producers, workers, consumers, or neighboring communities.</w:t>
      </w:r>
    </w:p>
    <w:p>
      <w:bookmarkStart w:id="1717" w:name="_NAESTMA_TOC_1717"/>
      <w:pPr>
        <w:pStyle w:val="Heading2"/>
        <w:keepNext/>
        <w:widowControl/>
        <w:rPr/>
      </w:pPr>
      <w:r>
        <w:rPr/>
        <w:t>ANNEX 43-G: AGRICULTURAL PRODUCTION SECURITY IMPLEMENTATION SCHEDULE</w:t>
      </w:r>
      <w:bookmarkEnd w:id="1717"/>
    </w:p>
    <w:p>
      <w:pPr>
        <w:pStyle w:val="Normal"/>
        <w:widowControl/>
        <w:rPr/>
      </w:pPr>
      <w:r>
        <w:rPr/>
        <w:t>1. Within 90 days after entry into force, the Parties shall designate existing competent authorities and points of contact for seed continuity, plant health, crop protection, recovered nutrients, agricultural machinery continuity, and agricultural resilience. No new standing committee is required where an existing institution can perform the function.</w:t>
      </w:r>
    </w:p>
    <w:p>
      <w:pPr>
        <w:pStyle w:val="Normal"/>
        <w:widowControl/>
        <w:rPr/>
      </w:pPr>
      <w:r>
        <w:rPr/>
        <w:t>2. Within 180 days, the Parties shall establish the initial North American Plant Health Watch List, publish procedures for emergency agricultural technology review, and adopt or identify the domestic implementing measures necessary to give effect to Article 43.17.</w:t>
      </w:r>
    </w:p>
    <w:p>
      <w:pPr>
        <w:pStyle w:val="Normal"/>
        <w:widowControl/>
        <w:rPr/>
      </w:pPr>
      <w:r>
        <w:rPr/>
        <w:t>3. Within one year, the Parties shall publish an initial Agricultural Production Dependency Map identifying non-confidential material dependencies in seed, germplasm, fertilizer, crop protection, machinery parts, and other critical inputs. The Map is diagnostic and creates no purchase mandate or exclusive supplier status.</w:t>
      </w:r>
    </w:p>
    <w:p>
      <w:pPr>
        <w:pStyle w:val="Normal"/>
        <w:widowControl/>
        <w:rPr/>
      </w:pPr>
      <w:r>
        <w:rPr/>
        <w:t>4. Within one year, the Parties shall identify at least one voluntary pilot for recovered agricultural nutrients or nutrient exchange, at least one plant-health or seed-continuity exercise, and at least one precision crop-protection or resistance-management demonstration, subject to available appropriations and domestic law.</w:t>
      </w:r>
    </w:p>
    <w:p>
      <w:pPr>
        <w:pStyle w:val="Normal"/>
        <w:widowControl/>
        <w:rPr/>
      </w:pPr>
      <w:r>
        <w:rPr/>
        <w:t>5. Within two years, the Parties shall review whether existing certification, testing, digital documentation, customs, and regulatory-recognition practices unnecessarily impede emergency movement of seed, planting material, diagnostics, agricultural machinery parts, recovered nutrient products, or other qualifying agricultural inputs and shall publish a non-binding correction plan for identified frictions.</w:t>
      </w:r>
    </w:p>
    <w:p>
      <w:pPr>
        <w:pStyle w:val="Normal"/>
        <w:widowControl/>
        <w:rPr/>
      </w:pPr>
      <w:r>
        <w:rPr/>
        <w:t>6. Technical implementation shall use existing Agriculture, Sanitary and Phytosanitary, Environment, Customs, Competition, Labor, Energy, and other competent institutions wherever reasonably possible. The Parties shall avoid creating duplicative standing bodies solely to administer this Annex.</w:t>
      </w:r>
    </w:p>
    <w:p>
      <w:bookmarkStart w:id="1718" w:name="_NAESTMA_TOC_1718"/>
      <w:pPr>
        <w:pStyle w:val="Heading2"/>
        <w:keepNext/>
        <w:widowControl/>
        <w:rPr/>
      </w:pPr>
      <w:r>
        <w:rPr/>
        <w:t>ANNEX 43-F: BEVERAGE ALCOHOL MARKET-ACCESS LANDING AND IMPLEMENTATION RAMP</w:t>
      </w:r>
      <w:bookmarkEnd w:id="1718"/>
    </w:p>
    <w:p>
      <w:pPr>
        <w:pStyle w:val="Normal"/>
        <w:widowControl/>
        <w:rPr/>
      </w:pPr>
      <w:r>
        <w:rPr/>
        <w:t>1. Purpose. This Annex provides a short implementation ramp for agreed beverage-alcohol market-access improvements without requiring Canada, Mexico, the United States, or a subnational jurisdiction to abolish its lawful alcohol-distribution model.</w:t>
      </w:r>
    </w:p>
    <w:p>
      <w:pPr>
        <w:pStyle w:val="Normal"/>
        <w:widowControl/>
        <w:rPr/>
      </w:pPr>
      <w:r>
        <w:rPr/>
        <w:t>2. Day 0. Each Party shall identify the federal and, where implementation materially depends on them, subnational measures that govern listing, distribution, markups, service fees, warehousing, direct shipment, retail access, product registration, and applicable taxes for beverages of another Party.</w:t>
      </w:r>
    </w:p>
    <w:p>
      <w:pPr>
        <w:pStyle w:val="Normal"/>
        <w:widowControl/>
        <w:rPr/>
      </w:pPr>
      <w:r>
        <w:rPr/>
        <w:t>3. Day 30. Each Party shall publish or link through the North American Beverage Rules Gateway the principal non-confidential criteria, fees, markups, timelines, forms, and points of contact necessary for a supplier of another Party to seek commercially meaningful access.</w:t>
      </w:r>
    </w:p>
    <w:p>
      <w:pPr>
        <w:pStyle w:val="Normal"/>
        <w:widowControl/>
        <w:rPr/>
      </w:pPr>
      <w:r>
        <w:rPr/>
        <w:t>4. Day 60. Where a listing, distribution, markup, service-fee, warehousing, or retail rule treats a like domestic beverage more favorably than a like beverage of another Party, the responsible authority shall eliminate the discrimination, provide equivalent commercial treatment, or identify the objective regulatory basis for the distinction and a proportionate cure path.</w:t>
      </w:r>
    </w:p>
    <w:p>
      <w:pPr>
        <w:pStyle w:val="Normal"/>
        <w:widowControl/>
        <w:rPr/>
      </w:pPr>
      <w:r>
        <w:rPr/>
        <w:t>5. Day 90. The Parties shall review unresolved access barriers and may establish voluntary provincial, territorial, state, or Mexican subnational pilots under Article 43.2T for direct-to-retailer, direct-to-consumer, specialty-product, digital-document, or logistics treatment.</w:t>
      </w:r>
    </w:p>
    <w:p>
      <w:pPr>
        <w:pStyle w:val="Normal"/>
        <w:widowControl/>
        <w:rPr/>
      </w:pPr>
      <w:r>
        <w:rPr/>
        <w:t>6. Public-health rules, age restrictions, responsible-service rules, destination taxation, product-safety requirements, and legitimate distinctive-product protections remain available on a non-discriminatory basis.</w:t>
      </w:r>
    </w:p>
    <w:p>
      <w:pPr>
        <w:pStyle w:val="Normal"/>
        <w:widowControl/>
        <w:rPr/>
      </w:pPr>
      <w:r>
        <w:rPr/>
        <w:t>7. No supplier receives a guaranteed listing, sales volume, shelf position, or purchase commitment. The obligation is commercially meaningful and non-discriminatory opportunity under transparent rules.</w:t>
      </w:r>
      <w:r>
        <w:br w:type="page"/>
      </w:r>
    </w:p>
    <w:p>
      <w:bookmarkStart w:id="1719" w:name="_NAESTMA_TOC_1719"/>
      <w:pPr>
        <w:pStyle w:val="Heading1"/>
        <w:keepNext/>
        <w:keepLines w:val="0"/>
        <w:pageBreakBefore/>
        <w:widowControl/>
        <w:rPr/>
      </w:pPr>
      <w:bookmarkStart w:id="295" w:name="_Toc237912776"/>
      <w:r>
        <w:rPr/>
        <w:t>CHAPTER 44</w:t>
      </w:r>
      <w:bookmarkEnd w:id="295"/>
      <w:bookmarkEnd w:id="1719"/>
    </w:p>
    <w:p>
      <w:bookmarkStart w:id="1720" w:name="_NAESTMA_TOC_1720"/>
      <w:pPr>
        <w:pStyle w:val="Heading2"/>
        <w:keepNext/>
        <w:pageBreakBefore w:val="false"/>
        <w:widowControl/>
        <w:rPr/>
      </w:pPr>
      <w:bookmarkStart w:id="296" w:name="_Toc237912777"/>
      <w:r>
        <w:rPr/>
        <w:t>TRADE FACILITATION, TRUSTED MOBILITY, AND CO-INVESTMENT</w:t>
      </w:r>
      <w:bookmarkEnd w:id="296"/>
      <w:bookmarkEnd w:id="1720"/>
    </w:p>
    <w:p>
      <w:pPr>
        <w:pStyle w:val="Heading3"/>
        <w:keepNext/>
        <w:widowControl/>
        <w:rPr/>
      </w:pPr>
      <w:r>
        <w:rPr/>
        <w:t>Article 44.1: North American Trade Facilitation Index</w:t>
      </w:r>
    </w:p>
    <w:p>
      <w:pPr>
        <w:pStyle w:val="Normal"/>
        <w:widowControl/>
        <w:rPr/>
      </w:pPr>
      <w:r>
        <w:rPr/>
        <w:t>1. The Secretariat shall publish an annual, methodology-transparent Trade Facilitation Index using comparable indicators including median commercial clearance time, inspection frequency, documentation burden, appeal-resolution time, system outages, trusted-trader utilization, and SME compliance cost.</w:t>
      </w:r>
    </w:p>
    <w:p>
      <w:pPr>
        <w:pStyle w:val="Normal"/>
        <w:widowControl/>
        <w:rPr/>
      </w:pPr>
      <w:r>
        <w:rPr/>
        <w:t>2. The Index is diagnostic and does not itself establish a violation. A Party may request a corrective facilitation plan where persistent performance materially impairs trade.</w:t>
      </w:r>
    </w:p>
    <w:p>
      <w:pPr>
        <w:pStyle w:val="Heading3"/>
        <w:keepNext/>
        <w:widowControl/>
        <w:rPr/>
      </w:pPr>
      <w:r>
        <w:rPr/>
        <w:t>Article 44.2: Trusted Trader Mutual Recognition</w:t>
      </w:r>
    </w:p>
    <w:p>
      <w:pPr>
        <w:pStyle w:val="Normal"/>
        <w:widowControl/>
        <w:rPr/>
      </w:pPr>
      <w:r>
        <w:rPr/>
        <w:t>1. Certification of a trader under a Party's recognized trusted-trader program is presumptively recognized by the other Parties for equivalent facilitation benefits.</w:t>
      </w:r>
    </w:p>
    <w:p>
      <w:pPr>
        <w:pStyle w:val="Normal"/>
        <w:widowControl/>
        <w:rPr/>
      </w:pPr>
      <w:r>
        <w:rPr/>
        <w:t>2. A Party may suspend recognition for a particular entity only on particularized risk evidence, with notice, reasons, and expedited review. System-wide suspension requires a finding of systemic deficiency.</w:t>
      </w:r>
    </w:p>
    <w:p>
      <w:pPr>
        <w:pStyle w:val="Heading3"/>
        <w:keepNext/>
        <w:widowControl/>
        <w:rPr/>
      </w:pPr>
      <w:r>
        <w:rPr/>
        <w:t>Article 44.3: Customs Data Interoperability</w:t>
      </w:r>
    </w:p>
    <w:p>
      <w:pPr>
        <w:pStyle w:val="Normal"/>
        <w:widowControl/>
        <w:rPr/>
      </w:pPr>
      <w:r>
        <w:rPr/>
        <w:t>1. Shared customs alerts and supply-chain risk information shall be made available to the Parties on equivalent terms and, where operationally practicable, simultaneously. No Party receives a treaty-created priority intelligence tier over another.</w:t>
      </w:r>
    </w:p>
    <w:p>
      <w:pPr>
        <w:pStyle w:val="Heading3"/>
        <w:keepNext/>
        <w:widowControl/>
        <w:rPr/>
      </w:pPr>
      <w:r>
        <w:rPr/>
        <w:t>Article 44.4: Skilled Professional and Business Mobility Service Standards</w:t>
      </w:r>
    </w:p>
    <w:p>
      <w:pPr>
        <w:pStyle w:val="Normal"/>
        <w:widowControl/>
        <w:rPr/>
      </w:pPr>
      <w:r>
        <w:rPr/>
        <w:t>1. The Parties shall establish expedited processing targets for qualifying CUSMA professionals, intra-company transferees, investors, entrepreneurs, and other categories listed in Chapter 16, without changing substantive admissibility criteria unless separately agreed.</w:t>
      </w:r>
    </w:p>
    <w:p>
      <w:pPr>
        <w:pStyle w:val="Normal"/>
        <w:widowControl/>
        <w:rPr/>
      </w:pPr>
      <w:r>
        <w:rPr/>
        <w:t>2. The Commission shall publish annual processing-time performance and may establish secure pre-clearance or digital-document pathways.</w:t>
      </w:r>
    </w:p>
    <w:p>
      <w:pPr>
        <w:pStyle w:val="Heading3"/>
        <w:keepNext/>
        <w:widowControl/>
        <w:rPr/>
      </w:pPr>
      <w:r>
        <w:rPr/>
        <w:t>Article 44.5: Trusted Traveler and Commercial Driver Expansion</w:t>
      </w:r>
    </w:p>
    <w:p>
      <w:pPr>
        <w:pStyle w:val="Normal"/>
        <w:widowControl/>
        <w:rPr/>
      </w:pPr>
      <w:r>
        <w:rPr/>
        <w:t>1. The Parties shall expand trusted-traveler and trusted-commercial-driver capacity where justified by demand and security, including additional lanes, interoperable enrollment, service standards, and contingency procedures for system outages.</w:t>
      </w:r>
    </w:p>
    <w:p>
      <w:pPr>
        <w:pStyle w:val="Heading3"/>
        <w:keepNext/>
        <w:widowControl/>
        <w:rPr/>
      </w:pPr>
      <w:r>
        <w:rPr/>
        <w:t>Article 44.6: North American Trade Infrastructure Facility</w:t>
      </w:r>
    </w:p>
    <w:p>
      <w:pPr>
        <w:pStyle w:val="Normal"/>
        <w:widowControl/>
        <w:rPr/>
      </w:pPr>
      <w:r>
        <w:rPr/>
        <w:t>1. The Parties may, through existing domestic infrastructure, trade, development-finance, or other competent authorities, co-finance ports of entry, bridges, rail connections, highways, customs technology, energy interconnections, and other infrastructure that materially reduces North American trade friction. This Article does not establish a separately capitalized supranational fund or require an appropriation or contribution.</w:t>
      </w:r>
    </w:p>
    <w:p>
      <w:pPr>
        <w:pStyle w:val="Normal"/>
        <w:widowControl/>
        <w:rPr/>
      </w:pPr>
      <w:r>
        <w:rPr/>
        <w:t>2. Voluntarily accepted contributions may unlock matching finance but do not condition ordinary tariff preference. Governance shall be balanced among participating governments, funding commitments remain subject to applicable domestic appropriations and financial law, and projects remain subject to the domestic approval authority of the Party in whose territory they are located.</w:t>
      </w:r>
    </w:p>
    <w:p>
      <w:pPr>
        <w:pStyle w:val="Heading3"/>
        <w:keepNext/>
        <w:widowControl/>
        <w:rPr/>
      </w:pPr>
      <w:r>
        <w:rPr/>
        <w:t>Article 44.7: Beneficial Ownership and Anti-Circumvention Cooperation</w:t>
      </w:r>
    </w:p>
    <w:p>
      <w:pPr>
        <w:pStyle w:val="Normal"/>
        <w:widowControl/>
        <w:rPr/>
      </w:pPr>
      <w:r>
        <w:rPr/>
        <w:t>1. The Parties shall improve lawful access by competent authorities to accurate beneficial-ownership information for entities involved in cross-border trade, sanctions evasion, origin fraud, money laundering, or customs circumvention.</w:t>
      </w:r>
    </w:p>
    <w:p>
      <w:pPr>
        <w:pStyle w:val="Normal"/>
        <w:widowControl/>
        <w:rPr/>
      </w:pPr>
      <w:r>
        <w:rPr/>
        <w:t>2. This Article does not require identical public-registry models. Each Party may satisfy the obligation through a system that provides timely, reliable access consistent with its privacy and constitutional law.</w:t>
      </w:r>
    </w:p>
    <w:p>
      <w:pPr>
        <w:pStyle w:val="Heading3"/>
        <w:keepNext/>
        <w:widowControl/>
        <w:rPr/>
      </w:pPr>
      <w:r>
        <w:rPr/>
        <w:t>Article 44.8: Foreign Trade-Lobbying Transparency</w:t>
      </w:r>
    </w:p>
    <w:p>
      <w:pPr>
        <w:pStyle w:val="Normal"/>
        <w:widowControl/>
        <w:rPr/>
      </w:pPr>
      <w:r>
        <w:rPr/>
        <w:t>1. Each Party shall maintain transparent rules requiring disclosure, under domestic law, of material paid lobbying or representation undertaken on behalf of a foreign government, foreign state enterprise, or foreign industry association in connection with a trade remedy or proceeding under this Agreement.</w:t>
      </w:r>
    </w:p>
    <w:p>
      <w:pPr>
        <w:pStyle w:val="Normal"/>
        <w:widowControl/>
        <w:rPr/>
      </w:pPr>
      <w:r>
        <w:rPr/>
        <w:t>2. Detailed registration, privilege, enforcement, and publication rules remain matters of domestic law.</w:t>
      </w:r>
      <w:r>
        <w:br w:type="page"/>
      </w:r>
    </w:p>
    <w:p>
      <w:bookmarkStart w:id="1721" w:name="_NAESTMA_TOC_1721"/>
      <w:pPr>
        <w:pStyle w:val="Heading1"/>
        <w:keepNext/>
        <w:keepLines w:val="0"/>
        <w:pageBreakBefore/>
        <w:widowControl/>
        <w:rPr/>
      </w:pPr>
      <w:bookmarkStart w:id="297" w:name="_Toc237912778"/>
      <w:r>
        <w:rPr/>
        <w:t>CHAPTER 45</w:t>
      </w:r>
      <w:bookmarkEnd w:id="297"/>
      <w:bookmarkEnd w:id="1721"/>
    </w:p>
    <w:p>
      <w:bookmarkStart w:id="1722" w:name="_NAESTMA_TOC_1722"/>
      <w:pPr>
        <w:pStyle w:val="Heading2"/>
        <w:keepNext/>
        <w:pageBreakBefore w:val="false"/>
        <w:widowControl/>
        <w:rPr/>
      </w:pPr>
      <w:bookmarkStart w:id="298" w:name="_Toc237912779"/>
      <w:r>
        <w:rPr/>
        <w:t>INSTITUTIONAL DIVERSITY AND MEXICAN ACCOMMODATION</w:t>
      </w:r>
      <w:bookmarkEnd w:id="298"/>
      <w:bookmarkEnd w:id="1722"/>
    </w:p>
    <w:p>
      <w:pPr>
        <w:pStyle w:val="Heading3"/>
        <w:keepNext/>
        <w:widowControl/>
        <w:rPr/>
      </w:pPr>
      <w:r>
        <w:rPr/>
        <w:t>Article 45.1: Institutional Diversity Principle</w:t>
      </w:r>
    </w:p>
    <w:p>
      <w:pPr>
        <w:pStyle w:val="Normal"/>
        <w:widowControl/>
        <w:rPr/>
      </w:pPr>
      <w:r>
        <w:rPr/>
        <w:t>1. Nothing in this Agreement requires a Party, as a condition of receiving treaty benefits, to privatize, nationalize, deregulate, federalize, decentralize, corporatize, or otherwise adopt the ownership, regulatory, constitutional, or institutional model of another Party.</w:t>
      </w:r>
    </w:p>
    <w:p>
      <w:pPr>
        <w:pStyle w:val="Normal"/>
        <w:widowControl/>
        <w:rPr/>
      </w:pPr>
      <w:r>
        <w:rPr/>
        <w:t>2. A difference in institutional model does not by itself establish less favorable treatment, a subsidy, an investment breach, or a prohibited barrier. A measure remains subject to the express non-discrimination, transparency, subsidy, competition, and due-process obligations of this Agreement.</w:t>
      </w:r>
    </w:p>
    <w:p>
      <w:pPr>
        <w:pStyle w:val="Normal"/>
        <w:widowControl/>
        <w:rPr/>
      </w:pPr>
      <w:r>
        <w:rPr/>
        <w:t>3. The Commission and panels shall distinguish between an institution's form and its conduct. Public ownership, Crown ownership, state-enterprise status, cooperative ownership, communal tenure, or private ownership is not dispositive; the treaty question is whether the challenged conduct violates an express obligation.</w:t>
      </w:r>
    </w:p>
    <w:p>
      <w:pPr>
        <w:pStyle w:val="Heading3"/>
        <w:keepNext/>
        <w:widowControl/>
        <w:rPr/>
      </w:pPr>
      <w:r>
        <w:rPr/>
        <w:t>Article 45.2: Constitutional and State-Enterprise Accommodation</w:t>
      </w:r>
    </w:p>
    <w:p>
      <w:pPr>
        <w:pStyle w:val="Normal"/>
        <w:widowControl/>
        <w:rPr/>
      </w:pPr>
      <w:r>
        <w:rPr/>
        <w:t>1. Each Party retains authority to organize constitutionally reserved or strategically designated sectors through public enterprises, mixed enterprises, regulated monopolies, concessions, private firms, or other lawful forms.</w:t>
      </w:r>
    </w:p>
    <w:p>
      <w:pPr>
        <w:pStyle w:val="Normal"/>
        <w:widowControl/>
        <w:rPr/>
      </w:pPr>
      <w:r>
        <w:rPr/>
        <w:t>2. State enterprises remain subject to the applicable provisions of Chapter 22. Nothing in this Article immunizes discriminatory purchasing, non-commercial assistance, expropriation without applicable compensation, denial of due process, or conduct otherwise prohibited by an express treaty obligation.</w:t>
      </w:r>
    </w:p>
    <w:p>
      <w:pPr>
        <w:pStyle w:val="Normal"/>
        <w:widowControl/>
        <w:rPr/>
      </w:pPr>
      <w:r>
        <w:rPr/>
        <w:t>3. For Mexico, the Parties recognize that constitutional and statutory arrangements governing energy and strategic public enterprises may differ materially from Canadian and United States models. Treaty review shall address specific conduct rather than requiring structural convergence.</w:t>
      </w:r>
    </w:p>
    <w:p>
      <w:pPr>
        <w:pStyle w:val="Heading3"/>
        <w:keepNext/>
        <w:widowControl/>
        <w:rPr/>
      </w:pPr>
      <w:r>
        <w:rPr/>
        <w:t>Article 45.3: Ejidos, Communal Tenure, and Social Land Policy</w:t>
      </w:r>
    </w:p>
    <w:p>
      <w:pPr>
        <w:pStyle w:val="Normal"/>
        <w:widowControl/>
        <w:rPr/>
      </w:pPr>
      <w:r>
        <w:rPr/>
        <w:t>1. Mexico may maintain and develop ejido, communal, Indigenous, and social-property regimes and related land-tenure, agrarian-development, conservation, and community-governance measures.</w:t>
      </w:r>
    </w:p>
    <w:p>
      <w:pPr>
        <w:pStyle w:val="Normal"/>
        <w:widowControl/>
        <w:rPr/>
      </w:pPr>
      <w:r>
        <w:rPr/>
        <w:t>2. A measure under paragraph 1 is not inconsistent with this Agreement merely because land is inalienable, subject to communal consent, restricted in transfer, or administered through a non-private tenure form. This paragraph does not excuse disguised discrimination against investors or goods of another Party unrelated to the protected tenure interest.</w:t>
      </w:r>
    </w:p>
    <w:p>
      <w:pPr>
        <w:pStyle w:val="Heading3"/>
        <w:keepNext/>
        <w:widowControl/>
        <w:rPr/>
      </w:pPr>
      <w:r>
        <w:rPr/>
        <w:t>Article 45.4: Rural Development and Smallholder Support</w:t>
      </w:r>
    </w:p>
    <w:p>
      <w:pPr>
        <w:pStyle w:val="Normal"/>
        <w:widowControl/>
        <w:rPr/>
      </w:pPr>
      <w:r>
        <w:rPr/>
        <w:t>1. A Party may provide transparent rural-development assistance, smallholder credit, extension services, disaster relief, food-security assistance, irrigation support, crop-conversion assistance, infrastructure, and regionally targeted development programs where the measure is not contingent on export performance or the use of another Party's goods.</w:t>
      </w:r>
    </w:p>
    <w:p>
      <w:pPr>
        <w:pStyle w:val="Normal"/>
        <w:widowControl/>
        <w:rPr/>
      </w:pPr>
      <w:r>
        <w:rPr/>
        <w:t>2. Production-neutral or de minimis rural support receives a rebuttable presumption of consistency with this Agreement. A complaining Party may rebut the presumption with evidence of material trade displacement caused by a specifically designed support measure.</w:t>
      </w:r>
    </w:p>
    <w:p>
      <w:pPr>
        <w:pStyle w:val="Normal"/>
        <w:widowControl/>
        <w:rPr/>
      </w:pPr>
      <w:r>
        <w:rPr/>
        <w:t>3. Burden of Rebuttal. Assistance satisfying Article 45.4.1 is presumed consistent unless the complaining Party demonstrates, by clear and convincing evidence, that the challenged measure is materially trade-distorting or is structured principally to circumvent another obligation of this Agreement. The responding Party does not bear the burden of proving the absence of trade effects.</w:t>
      </w:r>
    </w:p>
    <w:p>
      <w:pPr>
        <w:pStyle w:val="Heading3"/>
        <w:keepNext/>
        <w:widowControl/>
        <w:rPr/>
      </w:pPr>
      <w:r>
        <w:rPr/>
        <w:t>Article 45.5: United States-Mexico Water Treaty Firewall</w:t>
      </w:r>
    </w:p>
    <w:p>
      <w:pPr>
        <w:pStyle w:val="Normal"/>
        <w:widowControl/>
        <w:rPr/>
      </w:pPr>
      <w:r>
        <w:rPr/>
        <w:t>1. Nothing in this Agreement modifies, supersedes, interprets, allocates, or creates rights under the 1944 Treaty relating to the utilization of waters of the Colorado and Tijuana Rivers and of the Rio Grande, or any Minute or decision lawfully adopted under that treaty.</w:t>
      </w:r>
    </w:p>
    <w:p>
      <w:pPr>
        <w:pStyle w:val="Normal"/>
        <w:widowControl/>
        <w:rPr/>
      </w:pPr>
      <w:r>
        <w:rPr/>
        <w:t>2. A water-allocation dispute governed by the 1944 Treaty shall not be converted into a market-access, investment, or Chapter 35 dispute merely because water availability has commercial effects. A separate measure implementing or exploiting a water dispute for discriminatory trade purposes remains reviewable under this Agreement.</w:t>
      </w:r>
    </w:p>
    <w:p>
      <w:pPr>
        <w:pStyle w:val="Heading3"/>
        <w:keepNext/>
        <w:widowControl/>
        <w:rPr/>
      </w:pPr>
      <w:r>
        <w:rPr/>
        <w:t>Article 45.6: Mining, Restoration, and Community Benefit</w:t>
      </w:r>
    </w:p>
    <w:p>
      <w:pPr>
        <w:pStyle w:val="Normal"/>
        <w:widowControl/>
        <w:rPr/>
      </w:pPr>
      <w:r>
        <w:rPr/>
        <w:t>1. Each Party retains authority over mineral concessions, permitting, reclamation security, environmental bonding, Indigenous and local consultation, community-benefit arrangements, mine closure, and post-closure remediation.</w:t>
      </w:r>
    </w:p>
    <w:p>
      <w:pPr>
        <w:pStyle w:val="Normal"/>
        <w:widowControl/>
        <w:rPr/>
      </w:pPr>
      <w:r>
        <w:rPr/>
        <w:t>2. Financial-assurance and restoration requirements are legitimate regulatory measures when applied under published, objective, and non-discriminatory criteria reasonably connected to environmental or fiscal risk.</w:t>
      </w:r>
    </w:p>
    <w:p>
      <w:pPr>
        <w:pStyle w:val="Heading3"/>
        <w:keepNext/>
        <w:widowControl/>
        <w:rPr/>
      </w:pPr>
      <w:r>
        <w:rPr/>
        <w:t>Article 45.7: Research Security and Strategic Technology Cooperation</w:t>
      </w:r>
    </w:p>
    <w:p>
      <w:pPr>
        <w:pStyle w:val="Normal"/>
        <w:widowControl/>
        <w:rPr/>
      </w:pPr>
      <w:r>
        <w:rPr/>
        <w:t>1. Each Party retains authority to protect sensitive research, export-controlled technology, government-funded laboratories, critical infrastructure, and strategic intellectual property through objective research-security measures.</w:t>
      </w:r>
    </w:p>
    <w:p>
      <w:pPr>
        <w:pStyle w:val="Normal"/>
        <w:widowControl/>
        <w:rPr/>
      </w:pPr>
      <w:r>
        <w:rPr/>
        <w:t>2. The Parties shall seek interoperable due-diligence and trusted-partner procedures so legitimate North American research cooperation is not unnecessarily blocked by duplicative screening.</w:t>
      </w:r>
    </w:p>
    <w:p>
      <w:pPr>
        <w:pStyle w:val="Heading3"/>
        <w:keepNext/>
        <w:widowControl/>
        <w:rPr/>
      </w:pPr>
      <w:r>
        <w:rPr/>
        <w:t>Article 45.8: Remittance and Fintech Facilitation</w:t>
      </w:r>
    </w:p>
    <w:p>
      <w:pPr>
        <w:pStyle w:val="Normal"/>
        <w:widowControl/>
        <w:rPr/>
      </w:pPr>
      <w:r>
        <w:rPr/>
        <w:t>1. The Parties shall promote competitive, transparent, secure, and interoperable cross-border remittance services, including clear fee disclosure, consumer recourse, fraud prevention, and proportionate licensing.</w:t>
      </w:r>
    </w:p>
    <w:p>
      <w:pPr>
        <w:pStyle w:val="Normal"/>
        <w:widowControl/>
        <w:rPr/>
      </w:pPr>
      <w:r>
        <w:rPr/>
        <w:t>2. Nothing in this Article requires a Party to authorize an unlicensed provider, weaken anti-money-laundering controls, or adopt another Party's monetary or financial-regulatory model.</w:t>
      </w:r>
    </w:p>
    <w:p>
      <w:pPr>
        <w:pStyle w:val="Normal"/>
        <w:widowControl/>
        <w:rPr/>
      </w:pPr>
      <w:r>
        <w:rPr/>
        <w:t>3. Binding Remittance Transparency. Before a consumer authorizes a covered cross-border remittance, the provider shall disclose in a clear and comparable form the total amount paid, all provider fees, the applicable exchange rate and disclosed exchange-rate margin where practicable, the amount expected to be received, expected delivery time, and material intermediary charges known or reasonably estimable by the provider.</w:t>
      </w:r>
    </w:p>
    <w:p>
      <w:pPr>
        <w:pStyle w:val="Normal"/>
        <w:widowControl/>
        <w:rPr/>
      </w:pPr>
      <w:r>
        <w:rPr/>
        <w:t>4. Each Party shall maintain effective administrative or judicial recourse for material non-compliance with paragraph 3. Systemic discriminatory failure to maintain or enforce the transparency requirements may be addressed under Chapter 31 after consultation through the Financial Services Committee.</w:t>
      </w:r>
    </w:p>
    <w:p>
      <w:pPr>
        <w:pStyle w:val="Normal"/>
        <w:widowControl/>
        <w:rPr/>
      </w:pPr>
      <w:r>
        <w:rPr/>
        <w:t>5. Nothing in this Article establishes a treaty-mandated fee ceiling or prevents proportionate anti-money-laundering, sanctions, fraud-prevention, consumer-protection, or prudential measures.</w:t>
      </w:r>
    </w:p>
    <w:p>
      <w:pPr>
        <w:pStyle w:val="Heading3"/>
        <w:keepNext/>
        <w:widowControl/>
        <w:rPr/>
      </w:pPr>
      <w:r>
        <w:rPr/>
        <w:t>Article 45.9: Traditional Knowledge and Geographic Indications</w:t>
      </w:r>
    </w:p>
    <w:p>
      <w:pPr>
        <w:pStyle w:val="Normal"/>
        <w:widowControl/>
        <w:rPr/>
      </w:pPr>
      <w:r>
        <w:rPr/>
        <w:t>1. The Parties may protect traditional knowledge, traditional cultural expressions, Indigenous designations, and geographic indications through domestic systems consistent with this Agreement and applicable intellectual-property obligations.</w:t>
      </w:r>
    </w:p>
    <w:p>
      <w:pPr>
        <w:pStyle w:val="Normal"/>
        <w:widowControl/>
        <w:rPr/>
      </w:pPr>
      <w:r>
        <w:rPr/>
        <w:t>2. Such protection shall include transparent procedures, notice, an opportunity to contest a designation, and safeguards against bad-faith appropriation, without creating automatic immunity from otherwise valid intellectual-property rights.</w:t>
      </w:r>
    </w:p>
    <w:p>
      <w:pPr>
        <w:pStyle w:val="Heading3"/>
        <w:keepNext/>
        <w:widowControl/>
        <w:rPr/>
      </w:pPr>
      <w:r>
        <w:rPr/>
        <w:t>Article 45.10: Border-Region Micro and SME Facilitation</w:t>
      </w:r>
    </w:p>
    <w:p>
      <w:pPr>
        <w:pStyle w:val="Normal"/>
        <w:widowControl/>
        <w:rPr/>
      </w:pPr>
      <w:r>
        <w:rPr/>
        <w:t>1. The Parties shall establish simplified procedures for qualifying microenterprises and SMEs engaged in low-risk recurring border commerce, including consolidated declarations, electronic pre-clearance, proportionate recordkeeping, and access to the Single SME Compliance Gateway.</w:t>
      </w:r>
    </w:p>
    <w:p>
      <w:pPr>
        <w:pStyle w:val="Normal"/>
        <w:widowControl/>
        <w:rPr/>
      </w:pPr>
      <w:r>
        <w:rPr/>
        <w:t>2. Simplification under this Article does not reduce product-safety, sanitary, security, forced-labor, or origin-fraud enforcement.</w:t>
      </w:r>
      <w:r>
        <w:br w:type="page"/>
      </w:r>
    </w:p>
    <w:p>
      <w:bookmarkStart w:id="1723" w:name="_NAESTMA_TOC_1723"/>
      <w:pPr>
        <w:pStyle w:val="Heading1"/>
        <w:keepNext/>
        <w:keepLines w:val="0"/>
        <w:pageBreakBefore/>
        <w:widowControl/>
        <w:rPr/>
      </w:pPr>
      <w:bookmarkStart w:id="299" w:name="_Toc237912780"/>
      <w:r>
        <w:rPr/>
        <w:t>CHAPTER 46</w:t>
      </w:r>
      <w:bookmarkEnd w:id="299"/>
      <w:bookmarkEnd w:id="1723"/>
    </w:p>
    <w:p>
      <w:bookmarkStart w:id="1724" w:name="_NAESTMA_TOC_1724"/>
      <w:pPr>
        <w:pStyle w:val="Heading2"/>
        <w:keepNext/>
        <w:pageBreakBefore w:val="false"/>
        <w:widowControl/>
        <w:rPr/>
      </w:pPr>
      <w:bookmarkStart w:id="300" w:name="_Toc237912781"/>
      <w:r>
        <w:rPr/>
        <w:t>COTHROM BALANCED VERIFICATION AND EVIDENTIARY ARCHITECTURE</w:t>
      </w:r>
      <w:bookmarkEnd w:id="300"/>
      <w:bookmarkEnd w:id="1724"/>
    </w:p>
    <w:p>
      <w:pPr>
        <w:pStyle w:val="Heading3"/>
        <w:keepNext/>
        <w:widowControl/>
        <w:rPr/>
      </w:pPr>
      <w:r>
        <w:rPr/>
        <w:t>Article 46.1: Cothrom Principle</w:t>
      </w:r>
    </w:p>
    <w:p>
      <w:pPr>
        <w:pStyle w:val="Normal"/>
        <w:widowControl/>
        <w:rPr/>
      </w:pPr>
      <w:r>
        <w:rPr/>
        <w:t>1. Verification under this Agreement is reciprocal. The initiating and responding Parties are subject to equal standards of evidence, equal access to non-confidential data, equal procedural clocks, and equivalent consequences for bad-faith claims, objections, obstruction, or data manipulation.</w:t>
      </w:r>
    </w:p>
    <w:p>
      <w:pPr>
        <w:pStyle w:val="Normal"/>
        <w:widowControl/>
        <w:rPr/>
      </w:pPr>
      <w:r>
        <w:rPr/>
        <w:t>2. Verification is designed to establish technical truth and restore compliance, not to create bargaining leverage. No violation creates permanent exclusion where compliance can be restored.</w:t>
      </w:r>
    </w:p>
    <w:p>
      <w:pPr>
        <w:pStyle w:val="Heading3"/>
        <w:keepNext/>
        <w:widowControl/>
        <w:rPr/>
      </w:pPr>
      <w:r>
        <w:rPr/>
        <w:t>Article 46.2: Data Symmetry and the Golden Record</w:t>
      </w:r>
    </w:p>
    <w:p>
      <w:pPr>
        <w:pStyle w:val="Normal"/>
        <w:widowControl/>
        <w:rPr/>
      </w:pPr>
      <w:r>
        <w:rPr/>
        <w:t>1. Data generated by a shared treaty system shall be transmitted to the Parties with materially equivalent latency and access rights. No Party receives a treaty-created preferential data feed.</w:t>
      </w:r>
    </w:p>
    <w:p>
      <w:pPr>
        <w:pStyle w:val="Normal"/>
        <w:widowControl/>
        <w:rPr/>
      </w:pPr>
      <w:r>
        <w:rPr/>
        <w:t>2. The Shared Trade Data Registry shall maintain an auditable golden record for submissions, notifications, verification packages, technical determinations, and restoration certifications. The record shall preserve chain of custody and modification history.</w:t>
      </w:r>
    </w:p>
    <w:p>
      <w:pPr>
        <w:pStyle w:val="Normal"/>
        <w:widowControl/>
        <w:rPr/>
      </w:pPr>
      <w:r>
        <w:rPr/>
        <w:t>3. Failure of a shared platform does not invalidate independently reliable evidence and is governed by Annex 35-C, Part 6.</w:t>
      </w:r>
    </w:p>
    <w:p>
      <w:pPr>
        <w:pStyle w:val="Normal"/>
        <w:widowControl/>
        <w:rPr/>
      </w:pPr>
      <w:r>
        <w:rPr/>
        <w:t>4. Distributed Evidence Fallback. If the Shared Trade Data Registry or Golden Record becomes materially unavailable, each Party shall preserve and certify its independently retained relevant records. Verification continues through those records and other reliable evidence; no adverse inference arises solely from failure of the shared platform.</w:t>
      </w:r>
    </w:p>
    <w:p>
      <w:pPr>
        <w:pStyle w:val="Normal"/>
        <w:widowControl/>
        <w:rPr/>
      </w:pPr>
      <w:r>
        <w:rPr/>
        <w:t>5. A materially disputed fact derived from a failed shared platform shall not support a Stage 2 or higher consequence unless corroborated by at least one independent reliable source or resolved through the Technical Truth Escalation Chain in Article 35.9B.</w:t>
      </w:r>
    </w:p>
    <w:p>
      <w:pPr>
        <w:pStyle w:val="Normal"/>
        <w:widowControl/>
        <w:rPr/>
      </w:pPr>
      <w:r>
        <w:rPr/>
        <w:t>6. Restoration of the shared platform requires reconciliation of independently retained records, an auditable discrepancy report, and preservation of both the outage-period records and the reconciled record.</w:t>
      </w:r>
    </w:p>
    <w:p>
      <w:pPr>
        <w:pStyle w:val="Heading3"/>
        <w:keepNext/>
        <w:widowControl/>
        <w:rPr/>
      </w:pPr>
      <w:r>
        <w:rPr/>
        <w:t>Article 46.3: Anomaly Severity and Noise Filtering</w:t>
      </w:r>
    </w:p>
    <w:p>
      <w:pPr>
        <w:pStyle w:val="Normal"/>
        <w:widowControl/>
        <w:rPr/>
      </w:pPr>
      <w:r>
        <w:rPr/>
        <w:t>1. Not every anomaly is a compliance event. Shared systems shall classify anomalies at four levels: Informational, Technical Review, Compliance Review, and Breach Indicator.</w:t>
      </w:r>
    </w:p>
    <w:p>
      <w:pPr>
        <w:pStyle w:val="Normal"/>
        <w:widowControl/>
        <w:rPr/>
      </w:pPr>
      <w:r>
        <w:rPr/>
        <w:t>2. Informational and Technical Review events do not trigger remedies. A Compliance Review event triggers targeted verification and a cure opportunity. Only a Breach Indicator supported by corroborating evidence may support accelerated step-back consideration.</w:t>
      </w:r>
    </w:p>
    <w:p>
      <w:pPr>
        <w:pStyle w:val="Normal"/>
        <w:widowControl/>
        <w:rPr/>
      </w:pPr>
      <w:r>
        <w:rPr/>
        <w:t>3. A single anomalous reading, isolated formatting error, scheduled maintenance event, or documented short outage does not establish systemic noncompliance.</w:t>
      </w:r>
    </w:p>
    <w:p>
      <w:pPr>
        <w:pStyle w:val="Heading3"/>
        <w:keepNext/>
        <w:widowControl/>
        <w:rPr/>
      </w:pPr>
      <w:r>
        <w:rPr/>
        <w:t>Article 46.4: Claim and Objection Precision</w:t>
      </w:r>
    </w:p>
    <w:p>
      <w:pPr>
        <w:pStyle w:val="Normal"/>
        <w:widowControl/>
        <w:rPr/>
      </w:pPr>
      <w:r>
        <w:rPr/>
        <w:t>1. A Party making a claim shall identify the precise measure, act, data point, period, entity, and treaty obligation at issue and provide the reasonably available primary evidence supporting the allegation.</w:t>
      </w:r>
    </w:p>
    <w:p>
      <w:pPr>
        <w:pStyle w:val="Normal"/>
        <w:widowControl/>
        <w:rPr/>
      </w:pPr>
      <w:r>
        <w:rPr/>
        <w:t>2. A Party objecting to a verification finding shall identify the precise evidence disputed and the technical or legal basis for the objection. General denial is insufficient.</w:t>
      </w:r>
    </w:p>
    <w:p>
      <w:pPr>
        <w:pStyle w:val="Normal"/>
        <w:widowControl/>
        <w:rPr/>
      </w:pPr>
      <w:r>
        <w:rPr/>
        <w:t>3. Repetitive claims arising from the same measure, product, facility, importer, or recurring transaction may be bundled into a consolidated submission. Bundling shall reduce paperwork without reducing the evidentiary standard for each material element.</w:t>
      </w:r>
    </w:p>
    <w:p>
      <w:pPr>
        <w:pStyle w:val="Heading3"/>
        <w:keepNext/>
        <w:widowControl/>
        <w:rPr/>
      </w:pPr>
      <w:r>
        <w:rPr/>
        <w:t>Article 46.5: Confirmation Levels and Partial Findings</w:t>
      </w:r>
    </w:p>
    <w:p>
      <w:pPr>
        <w:pStyle w:val="Normal"/>
        <w:widowControl/>
        <w:rPr/>
      </w:pPr>
      <w:r>
        <w:rPr/>
        <w:t>1. Verification bodies may classify an evidentiary element as fully confirmed, partially confirmed, unconfirmed, or technically inconclusive.</w:t>
      </w:r>
    </w:p>
    <w:p>
      <w:pPr>
        <w:pStyle w:val="Normal"/>
        <w:widowControl/>
        <w:rPr/>
      </w:pPr>
      <w:r>
        <w:rPr/>
        <w:t>2. A mixed record shall produce proportionate findings and remedies. Panels shall avoid all-or-nothing treatment where separable elements can be determined reliably.</w:t>
      </w:r>
    </w:p>
    <w:p>
      <w:pPr>
        <w:pStyle w:val="Normal"/>
        <w:widowControl/>
        <w:rPr/>
      </w:pPr>
      <w:r>
        <w:rPr/>
        <w:t>3. For a technically inconclusive issue, the final counter-evidence procedure under Article 35.19.6 closes the record unless materially new evidence later arises.</w:t>
      </w:r>
    </w:p>
    <w:p>
      <w:pPr>
        <w:pStyle w:val="Heading3"/>
        <w:keepNext/>
        <w:widowControl/>
        <w:rPr/>
      </w:pPr>
      <w:r>
        <w:rPr/>
        <w:t>Article 46.6: Standing Neutral Expert Pool</w:t>
      </w:r>
    </w:p>
    <w:p>
      <w:pPr>
        <w:pStyle w:val="Normal"/>
        <w:widowControl/>
        <w:rPr/>
      </w:pPr>
      <w:r>
        <w:rPr/>
        <w:t>1. The Commission shall maintain, within the Article 31.8 roster architecture and Secretariat administration, a qualification list of neutral technical experts in customs data, digital forensics, rules of origin, supply-chain traceability, economics, statistics, accounting, critical minerals, automotive valuation, agriculture, and other fields needed by this Agreement. The list is a roster resource, not a separately staffed permanent institution.</w:t>
      </w:r>
    </w:p>
    <w:p>
      <w:pPr>
        <w:pStyle w:val="Normal"/>
        <w:widowControl/>
        <w:rPr/>
      </w:pPr>
      <w:r>
        <w:rPr/>
        <w:t>2. Experts are appointed for renewable fixed terms under published qualification, independence, confidentiality, disclosure, recusal, removal-for-cause, and conflict-of-interest rules. Vacancies shall be replenished on a published schedule; compensation shall follow Commission-approved rates or the applicable proceeding rules. Selection for a matter shall be random or by published rotation within the required specialty, with at least one pre-accredited alternate where practicable.</w:t>
      </w:r>
    </w:p>
    <w:p>
      <w:pPr>
        <w:pStyle w:val="Normal"/>
        <w:widowControl/>
        <w:rPr/>
      </w:pPr>
      <w:r>
        <w:rPr/>
        <w:t>3. A Party may request one technical second opinion on a final technical determination upon posting reasonable cost security. Unless another provision expressly makes the technical finding determinative, an expert output is advisory on technical or factual matters and does not decide treaty interpretation or jurisdiction. If the second opinion materially overturns the determination, the security is returned and the matter is re-determined by a fresh technical panel; otherwise the requesting Party bears the incremental review cost.</w:t>
      </w:r>
    </w:p>
    <w:p>
      <w:pPr>
        <w:pStyle w:val="Heading3"/>
        <w:keepNext/>
        <w:widowControl/>
        <w:rPr/>
      </w:pPr>
      <w:r>
        <w:rPr/>
        <w:t>Article 46.7: Human-in-the-Loop Requirement</w:t>
      </w:r>
    </w:p>
    <w:p>
      <w:pPr>
        <w:pStyle w:val="Normal"/>
        <w:widowControl/>
        <w:rPr/>
      </w:pPr>
      <w:r>
        <w:rPr/>
        <w:t>1. Automated systems may detect anomalies, calculate preliminary indicators, route submissions, and generate evidence packages. They shall not make a final legal finding of treaty breach or authorize an economically disruptive remedy.</w:t>
      </w:r>
    </w:p>
    <w:p>
      <w:pPr>
        <w:pStyle w:val="Normal"/>
        <w:widowControl/>
        <w:rPr/>
      </w:pPr>
      <w:r>
        <w:rPr/>
        <w:t>2. Before escalation beyond enhanced verification, a human decision-maker shall review the evidence, proportionality, affected innocent trade, available alternatives, and the defined earn-back path.</w:t>
      </w:r>
    </w:p>
    <w:p>
      <w:pPr>
        <w:pStyle w:val="Normal"/>
        <w:widowControl/>
        <w:rPr/>
      </w:pPr>
      <w:r>
        <w:rPr/>
        <w:t>3. The Commission shall audit annually whether automated systems are functioning within the authority assigned to them and whether material false-positive or false-negative patterns require recalibration.</w:t>
      </w:r>
    </w:p>
    <w:p>
      <w:pPr>
        <w:pStyle w:val="Heading3"/>
        <w:keepNext/>
        <w:widowControl/>
        <w:rPr/>
      </w:pPr>
      <w:r>
        <w:rPr/>
        <w:t>Article 46.8: Verification Continuity and Technical Failure</w:t>
      </w:r>
    </w:p>
    <w:p>
      <w:pPr>
        <w:pStyle w:val="Normal"/>
        <w:widowControl/>
        <w:rPr/>
      </w:pPr>
      <w:r>
        <w:rPr/>
        <w:t>1. A Party shall not benefit from deliberate destruction, withholding, falsification, or disabling of verification-relevant evidence or systems.</w:t>
      </w:r>
    </w:p>
    <w:p>
      <w:pPr>
        <w:pStyle w:val="Normal"/>
        <w:widowControl/>
        <w:rPr/>
      </w:pPr>
      <w:r>
        <w:rPr/>
        <w:t>2. Purely technical failure, ordinary maintenance, cyber incident not attributable to the trader or Party concerned, or shared-system outage triggers continuity procedures rather than punishment.</w:t>
      </w:r>
    </w:p>
    <w:p>
      <w:pPr>
        <w:pStyle w:val="Normal"/>
        <w:widowControl/>
        <w:rPr/>
      </w:pPr>
      <w:r>
        <w:rPr/>
        <w:t>3. Persistent unexplained loss of verification data may justify temporary suspension of only the treaty-created benefit that depends on that missing verification, provided a neutral technical body first confirms that the loss is not ordinary equipment failure, maintenance, or platform outage. Restoration occurs automatically when reliable verification returns.</w:t>
      </w:r>
    </w:p>
    <w:p>
      <w:pPr>
        <w:pStyle w:val="Heading3"/>
        <w:keepNext/>
        <w:widowControl/>
        <w:rPr/>
      </w:pPr>
      <w:r>
        <w:rPr/>
        <w:t>Article 46.9: Cooling-Off and Attribution Discipline</w:t>
      </w:r>
    </w:p>
    <w:p>
      <w:pPr>
        <w:pStyle w:val="Normal"/>
        <w:widowControl/>
        <w:rPr/>
      </w:pPr>
      <w:r>
        <w:rPr/>
        <w:t>1. Except for immediate safety, anti-spoliation, or customs-control measures, no new Stage 2 or higher consequence takes effect until a minimum 48-hour technical and senior-official cooling-off period has elapsed.</w:t>
      </w:r>
    </w:p>
    <w:p>
      <w:pPr>
        <w:pStyle w:val="Normal"/>
        <w:widowControl/>
        <w:rPr/>
      </w:pPr>
      <w:r>
        <w:rPr/>
        <w:t>2. Where a harmful event may have resulted from fraud by a private actor, cyber compromise, third-party interference, force majeure, or another cause not attributable to the accused Party, attribution shall be established before Party-level consequences are imposed.</w:t>
      </w:r>
    </w:p>
    <w:p>
      <w:pPr>
        <w:pStyle w:val="Heading3"/>
        <w:keepNext/>
        <w:widowControl/>
        <w:rPr/>
      </w:pPr>
      <w:r>
        <w:rPr/>
        <w:t>Article 46.10: Verification Metrics</w:t>
      </w:r>
    </w:p>
    <w:p>
      <w:pPr>
        <w:pStyle w:val="Normal"/>
        <w:widowControl/>
        <w:rPr/>
      </w:pPr>
      <w:r>
        <w:rPr/>
        <w:t>1. The Secretariat shall publish aggregate verification-performance metrics including average confirmation time, challenge success rate, reversal rate, incomplete-data rate, platform uptime, SME burden, and frequency of technical second opinions.</w:t>
      </w:r>
    </w:p>
    <w:p>
      <w:pPr>
        <w:pStyle w:val="Normal"/>
        <w:widowControl/>
        <w:rPr/>
      </w:pPr>
      <w:r>
        <w:rPr/>
        <w:t>2. Metrics diagnose system performance and do not themselves establish breach. Scoring methodologies that affect legal rights shall remain transparent, reproducible, and challengeable; black-box dynamic weighting is prohibited.</w:t>
      </w:r>
    </w:p>
    <w:p>
      <w:pPr>
        <w:pStyle w:val="Heading3"/>
        <w:keepNext/>
        <w:widowControl/>
        <w:rPr/>
      </w:pPr>
      <w:r>
        <w:rPr/>
        <w:t>Article 46.11: Technical Corrections</w:t>
      </w:r>
    </w:p>
    <w:p>
      <w:pPr>
        <w:pStyle w:val="Normal"/>
        <w:widowControl/>
        <w:rPr/>
      </w:pPr>
      <w:r>
        <w:rPr/>
        <w:t>1. The Secretariat may issue non-substantive technical corrections for typographical errors, broken cross-references, inconsistent numbering, and formatting defects after notice to the Parties.</w:t>
      </w:r>
    </w:p>
    <w:p>
      <w:pPr>
        <w:pStyle w:val="Normal"/>
        <w:widowControl/>
        <w:rPr/>
      </w:pPr>
      <w:r>
        <w:rPr/>
        <w:t>2. A technical correction shall not change a substantive right, obligation, remedy, threshold, timeline, tariff treatment, or evidentiary burden. A Party may object within seven days, in which case the correction is suspended pending Commission review.</w:t>
      </w:r>
    </w:p>
    <w:p>
      <w:bookmarkStart w:id="1725" w:name="_NAESTMA_TOC_1725"/>
      <w:pPr>
        <w:pStyle w:val="Heading1"/>
        <w:keepNext/>
        <w:pageBreakBefore w:val="0"/>
        <w:widowControl/>
        <w:rPr/>
      </w:pPr>
      <w:r>
        <w:rPr/>
        <w:t>Article 46.12: Vacancy-Proof Institutional Continuity</w:t>
      </w:r>
      <w:bookmarkEnd w:id="1725"/>
    </w:p>
    <w:p>
      <w:pPr>
        <w:pStyle w:val="Normal"/>
        <w:widowControl/>
        <w:rPr/>
      </w:pPr>
      <w:r>
        <w:rPr/>
        <w:t>1. Failure or delay by a Party to nominate, appoint, replace, or confirm an official, roster member, expert, or institutional representative shall not disable a treaty function.</w:t>
      </w:r>
    </w:p>
    <w:p>
      <w:pPr>
        <w:pStyle w:val="Normal"/>
        <w:widowControl/>
        <w:rPr/>
      </w:pPr>
      <w:r>
        <w:rPr/>
        <w:t>2. Unless a specific provision supplies another rule, an incumbent whose term expires continues in caretaker capacity for up to 180 days solely to preserve ordinary operations and pending proceedings.</w:t>
      </w:r>
    </w:p>
    <w:p>
      <w:pPr>
        <w:pStyle w:val="Normal"/>
        <w:widowControl/>
        <w:rPr/>
      </w:pPr>
      <w:r>
        <w:rPr/>
        <w:t>3. If a required nomination remains vacant after the treaty deadline and any 30-day cure period, the vacancy shall be filled temporarily by random selection from the applicable pre-approved roster or, if none exists, by the neutral appointment procedure maintained by the Secretariat.</w:t>
      </w:r>
    </w:p>
    <w:p>
      <w:pPr>
        <w:pStyle w:val="Normal"/>
        <w:widowControl/>
        <w:rPr/>
      </w:pPr>
      <w:r>
        <w:rPr/>
        <w:t>4. A Party may replace its temporary appointee by making the required lawful appointment, without disturbing decisions already validly taken.</w:t>
      </w:r>
    </w:p>
    <w:p>
      <w:bookmarkStart w:id="1726" w:name="_NAESTMA_TOC_1726"/>
      <w:pPr>
        <w:pStyle w:val="Heading1"/>
        <w:keepNext/>
        <w:pageBreakBefore w:val="0"/>
        <w:widowControl/>
        <w:rPr/>
      </w:pPr>
      <w:r>
        <w:rPr/>
        <w:t>Article 46.13: Quorum, Boycott, and Consensus Anti-Hostage Rules</w:t>
      </w:r>
      <w:bookmarkEnd w:id="1726"/>
    </w:p>
    <w:p>
      <w:pPr>
        <w:pStyle w:val="Normal"/>
        <w:widowControl/>
        <w:rPr/>
      </w:pPr>
      <w:r>
        <w:rPr/>
        <w:t>1. Proper notice and a reasonable opportunity to participate satisfy the participation requirement for adjudicative, verification, integrity, and compliance functions. The absence or boycott of the Party whose conduct is under review does not defeat quorum after a second duly noticed sitting.</w:t>
      </w:r>
    </w:p>
    <w:p>
      <w:pPr>
        <w:pStyle w:val="Normal"/>
        <w:widowControl/>
        <w:rPr/>
      </w:pPr>
      <w:r>
        <w:rPr/>
        <w:t>2. Consensus is reserved for treaty amendment, creation of new substantive obligations, accession or reaccession, material alteration of Party contributions, and other matters expressly designated by this Agreement.</w:t>
      </w:r>
    </w:p>
    <w:p>
      <w:pPr>
        <w:pStyle w:val="Normal"/>
        <w:widowControl/>
        <w:rPr/>
      </w:pPr>
      <w:r>
        <w:rPr/>
        <w:t>3. Routine administration, execution of existing formulas, roster maintenance, publication, technical system maintenance, ordinary budgets within previously approved ceilings, and implementation of final decisions shall proceed by the voting or automatic procedures specified for those functions and shall not require fresh political consensus.</w:t>
      </w:r>
    </w:p>
    <w:p>
      <w:pPr>
        <w:pStyle w:val="Normal"/>
        <w:widowControl/>
        <w:rPr/>
      </w:pPr>
      <w:r>
        <w:rPr/>
        <w:t>4. No administrative body may convert a matter expressly made automatic by this Agreement into a discretionary consensus decision.</w:t>
      </w:r>
    </w:p>
    <w:p>
      <w:bookmarkStart w:id="1727" w:name="_NAESTMA_TOC_1727"/>
      <w:pPr>
        <w:pStyle w:val="Heading1"/>
        <w:keepNext/>
        <w:pageBreakBefore w:val="0"/>
        <w:widowControl/>
        <w:rPr/>
      </w:pPr>
      <w:r>
        <w:rPr/>
        <w:t>Article 46.14: Data Continuity, Protected Access, and Adverse Inference</w:t>
      </w:r>
      <w:bookmarkEnd w:id="1727"/>
    </w:p>
    <w:p>
      <w:pPr>
        <w:pStyle w:val="Normal"/>
        <w:widowControl/>
        <w:rPr/>
      </w:pPr>
      <w:r>
        <w:rPr/>
        <w:t>1. A Party may protect classified, privileged, personal, law-enforcement-sensitive, and confidential business information, but shall use a functional protected substitute where information is materially necessary to treaty verification.</w:t>
      </w:r>
    </w:p>
    <w:p>
      <w:pPr>
        <w:pStyle w:val="Normal"/>
        <w:widowControl/>
        <w:rPr/>
      </w:pPr>
      <w:r>
        <w:rPr/>
        <w:t>2. Functional substitutes include aggregated data, non-confidential summaries, redaction, protected data rooms, security-cleared review, sampling, anonymization, or another method preserving both legitimate confidentiality and meaningful review.</w:t>
      </w:r>
    </w:p>
    <w:p>
      <w:pPr>
        <w:pStyle w:val="Normal"/>
        <w:widowControl/>
        <w:rPr/>
      </w:pPr>
      <w:r>
        <w:rPr/>
        <w:t>3. If a Party possesses materially responsive information and unjustifiably refuses all reasonable protected methods, the deciding body may draw a limited adverse inference no broader than necessary to address the evidentiary gap.</w:t>
      </w:r>
    </w:p>
    <w:p>
      <w:pPr>
        <w:pStyle w:val="Normal"/>
        <w:widowControl/>
        <w:rPr/>
      </w:pPr>
      <w:r>
        <w:rPr/>
        <w:t>4. An adverse inference does not substitute for proof of an element for which reliable independent evidence is reasonably available.</w:t>
      </w:r>
    </w:p>
    <w:p>
      <w:bookmarkStart w:id="1728" w:name="_NAESTMA_TOC_1728"/>
      <w:pPr>
        <w:pStyle w:val="Heading1"/>
        <w:keepNext/>
        <w:pageBreakBefore w:val="0"/>
        <w:widowControl/>
        <w:rPr/>
      </w:pPr>
      <w:r>
        <w:rPr/>
        <w:t>Article 46.15: Evidentiary Proportionality and Anti-Landfill Rule</w:t>
      </w:r>
      <w:bookmarkEnd w:id="1728"/>
    </w:p>
    <w:p>
      <w:pPr>
        <w:pStyle w:val="Normal"/>
        <w:widowControl/>
        <w:rPr/>
      </w:pPr>
      <w:r>
        <w:rPr/>
        <w:t>1. A submission shall identify the evidence materially relied upon, provide a machine-readable index where practicable, cite the relevant record location, and distinguish supporting material from background production.</w:t>
      </w:r>
    </w:p>
    <w:p>
      <w:pPr>
        <w:pStyle w:val="Normal"/>
        <w:widowControl/>
        <w:rPr/>
      </w:pPr>
      <w:r>
        <w:rPr/>
        <w:t>2. A Party shall not defeat equality of arms through disproportionate bulk production, duplicative records, unusable formats, or strategically unindexed disclosure.</w:t>
      </w:r>
    </w:p>
    <w:p>
      <w:pPr>
        <w:pStyle w:val="Normal"/>
        <w:widowControl/>
        <w:rPr/>
      </w:pPr>
      <w:r>
        <w:rPr/>
        <w:t>3. The deciding body may require focused production, representative sampling, deduplication, common-facts stipulations, or other proportionate case-management measures.</w:t>
      </w:r>
    </w:p>
    <w:p>
      <w:bookmarkStart w:id="1729" w:name="_NAESTMA_TOC_1729"/>
      <w:pPr>
        <w:pStyle w:val="Heading1"/>
        <w:keepNext/>
        <w:pageBreakBefore w:val="0"/>
        <w:widowControl/>
        <w:rPr/>
      </w:pPr>
      <w:r>
        <w:rPr/>
        <w:t>Article 46.16: Successor Measure and Anti-Whack-a-Mole Jurisdiction</w:t>
      </w:r>
      <w:bookmarkEnd w:id="1729"/>
    </w:p>
    <w:p>
      <w:pPr>
        <w:pStyle w:val="Normal"/>
        <w:widowControl/>
        <w:rPr/>
      </w:pPr>
      <w:r>
        <w:rPr/>
        <w:t>1. Compliance jurisdiction extends to a successor, replacement, renamed, recodified, delegated, or materially restructured measure where its purpose, operation, legal effect, or economic effect is substantially equivalent to a measure already found inconsistent.</w:t>
      </w:r>
    </w:p>
    <w:p>
      <w:pPr>
        <w:pStyle w:val="Normal"/>
        <w:widowControl/>
        <w:rPr/>
      </w:pPr>
      <w:r>
        <w:rPr/>
        <w:t>2. A Party may demonstrate that a successor measure materially cures the prior inconsistency. Mere repeal and reenactment does not reset the compliance clock.</w:t>
      </w:r>
    </w:p>
    <w:p>
      <w:pPr>
        <w:pStyle w:val="Normal"/>
        <w:widowControl/>
        <w:rPr/>
      </w:pPr>
      <w:r>
        <w:rPr/>
        <w:t>3. Where substantial equivalence is established, the original compliance proceeding remains open and may address the successor measure without requiring a wholly new merits case.</w:t>
      </w:r>
    </w:p>
    <w:p>
      <w:bookmarkStart w:id="1730" w:name="_NAESTMA_TOC_1730"/>
      <w:pPr>
        <w:pStyle w:val="Heading1"/>
        <w:keepNext/>
        <w:pageBreakBefore w:val="0"/>
        <w:widowControl/>
        <w:rPr/>
      </w:pPr>
      <w:r>
        <w:rPr/>
        <w:t>Article 46.17: Administrative Pattern and Cumulative Burden Review</w:t>
      </w:r>
      <w:bookmarkEnd w:id="1730"/>
    </w:p>
    <w:p>
      <w:pPr>
        <w:pStyle w:val="Normal"/>
        <w:widowControl/>
        <w:rPr/>
      </w:pPr>
      <w:r>
        <w:rPr/>
        <w:t>1. Cothrom may examine a pattern of administrative conduct where no single act independently establishes a material violation but the combined course of conduct may materially impair treaty treatment.</w:t>
      </w:r>
    </w:p>
    <w:p>
      <w:pPr>
        <w:pStyle w:val="Normal"/>
        <w:widowControl/>
        <w:rPr/>
      </w:pPr>
      <w:r>
        <w:rPr/>
        <w:t>2. Relevant indicators may include clearance times, inspection rates, secondary examination, documentation demands, rejection rates, laboratory referral, bond requirements, audit frequency, licensing delay, certification queues, trusted-status removal, technical-information requests, and other measurable administrative burdens.</w:t>
      </w:r>
    </w:p>
    <w:p>
      <w:pPr>
        <w:pStyle w:val="Normal"/>
        <w:widowControl/>
        <w:rPr/>
      </w:pPr>
      <w:r>
        <w:rPr/>
        <w:t>3. Pattern analysis shall control for legitimate explanatory variables including product mix, risk, compliance history, seasonality, congestion, infrastructure failure, emergency conditions, and material security differences.</w:t>
      </w:r>
    </w:p>
    <w:p>
      <w:pPr>
        <w:pStyle w:val="Normal"/>
        <w:widowControl/>
        <w:rPr/>
      </w:pPr>
      <w:r>
        <w:rPr/>
        <w:t>4. Statistical disparity creates a basis for inquiry, not automatic liability. A finding requires evidence that the unexplained pattern is materially inconsistent with an obligation of this Agreement.</w:t>
      </w:r>
    </w:p>
    <w:p>
      <w:bookmarkStart w:id="1731" w:name="_NAESTMA_TOC_1731"/>
      <w:pPr>
        <w:pStyle w:val="Heading1"/>
        <w:keepNext/>
        <w:pageBreakBefore w:val="0"/>
        <w:widowControl/>
        <w:rPr/>
      </w:pPr>
      <w:r>
        <w:rPr/>
        <w:t>Article 46.18: Procedural Denial-of-Service and Case Consolidation</w:t>
      </w:r>
      <w:bookmarkEnd w:id="1731"/>
    </w:p>
    <w:p>
      <w:pPr>
        <w:pStyle w:val="Normal"/>
        <w:widowControl/>
        <w:rPr/>
      </w:pPr>
      <w:r>
        <w:rPr/>
        <w:t>1. The dispute and verification systems shall remain capable of handling high-volume legitimate claims without allowing fragmentation to disable adjudication.</w:t>
      </w:r>
    </w:p>
    <w:p>
      <w:pPr>
        <w:pStyle w:val="Normal"/>
        <w:widowControl/>
        <w:rPr/>
      </w:pPr>
      <w:r>
        <w:rPr/>
        <w:t>2. Claims sharing substantially common facts, measures, legal questions, or requested remedies may be consolidated, grouped, sequenced, or managed through common evidentiary records while preserving each Party's right to present materially distinct issues.</w:t>
      </w:r>
    </w:p>
    <w:p>
      <w:pPr>
        <w:pStyle w:val="Normal"/>
        <w:widowControl/>
        <w:rPr/>
      </w:pPr>
      <w:r>
        <w:rPr/>
        <w:t>3. The Secretariat may activate temporary surge rosters and technical resources when filing volume exceeds ordinary capacity.</w:t>
      </w:r>
    </w:p>
    <w:p>
      <w:pPr>
        <w:pStyle w:val="Normal"/>
        <w:widowControl/>
        <w:rPr/>
      </w:pPr>
      <w:r>
        <w:rPr/>
        <w:t>4. No arbitrary numerical cap shall prevent good-faith claims, but duplicative fragmentation may be rejected or consolidated.</w:t>
      </w:r>
    </w:p>
    <w:p>
      <w:bookmarkStart w:id="1732" w:name="_NAESTMA_TOC_1732"/>
      <w:pPr>
        <w:pStyle w:val="Heading1"/>
        <w:keepNext/>
        <w:pageBreakBefore w:val="0"/>
        <w:widowControl/>
        <w:rPr/>
      </w:pPr>
      <w:r>
        <w:rPr/>
        <w:t>Article 46.19: Automatic Post-Ruling Compliance Supervision</w:t>
      </w:r>
      <w:bookmarkEnd w:id="1732"/>
    </w:p>
    <w:p>
      <w:pPr>
        <w:pStyle w:val="Normal"/>
        <w:widowControl/>
        <w:rPr/>
      </w:pPr>
      <w:r>
        <w:rPr/>
        <w:t>1. A final finding of inconsistency remains under the jurisdiction of the deciding body, or its designated compliance successor, until Cure Certification under Article 35.46 or another treaty-specified closure event.</w:t>
      </w:r>
    </w:p>
    <w:p>
      <w:pPr>
        <w:pStyle w:val="Normal"/>
        <w:widowControl/>
        <w:rPr/>
      </w:pPr>
      <w:r>
        <w:rPr/>
        <w:t>2. The prevailing Party need not initiate an entirely new merits proceeding merely to establish nonimplementation of the same operative finding.</w:t>
      </w:r>
    </w:p>
    <w:p>
      <w:pPr>
        <w:pStyle w:val="Normal"/>
        <w:widowControl/>
        <w:rPr/>
      </w:pPr>
      <w:r>
        <w:rPr/>
        <w:t>3. Compliance timetables, evidence updates, successor measures, and restoration shall be supervised through the existing record to the extent practicable.</w:t>
      </w:r>
      <w:r>
        <w:br w:type="page"/>
      </w:r>
    </w:p>
    <w:p>
      <w:bookmarkStart w:id="1733" w:name="_NAESTMA_TOC_1733"/>
      <w:pPr>
        <w:pStyle w:val="Heading1"/>
        <w:keepNext/>
        <w:keepLines w:val="0"/>
        <w:pageBreakBefore/>
        <w:widowControl/>
        <w:rPr/>
      </w:pPr>
      <w:bookmarkStart w:id="301" w:name="_Toc237912782"/>
      <w:r>
        <w:rPr/>
        <w:t>CHAPTER 47</w:t>
      </w:r>
      <w:bookmarkEnd w:id="301"/>
      <w:bookmarkEnd w:id="1733"/>
    </w:p>
    <w:p>
      <w:bookmarkStart w:id="1734" w:name="_NAESTMA_TOC_1734"/>
      <w:pPr>
        <w:pStyle w:val="Heading2"/>
        <w:keepNext/>
        <w:pageBreakBefore w:val="false"/>
        <w:widowControl/>
        <w:rPr/>
      </w:pPr>
      <w:bookmarkStart w:id="302" w:name="_Toc237912783"/>
      <w:r>
        <w:rPr/>
        <w:t>TREATY RESILIENCE, SAFE MODE, AND RECONSTITUTION</w:t>
      </w:r>
      <w:bookmarkEnd w:id="302"/>
      <w:bookmarkEnd w:id="1734"/>
    </w:p>
    <w:p>
      <w:pPr>
        <w:pStyle w:val="Heading3"/>
        <w:keepNext/>
        <w:widowControl/>
        <w:rPr/>
      </w:pPr>
      <w:r>
        <w:rPr/>
        <w:t>Article 47.0A: Effective Treaty Performance and Anti-Malicious-Compliance Principle</w:t>
      </w:r>
    </w:p>
    <w:p>
      <w:pPr>
        <w:pStyle w:val="Heading3"/>
        <w:keepNext/>
        <w:widowControl/>
        <w:rPr/>
      </w:pPr>
      <w:r>
        <w:rPr/>
        <w:t>1. Formal or literal conformity with an obligation does not by itself establish effective performance where the implementation, administration, sequencing, resourcing, interpretation, or combination of measures materially defeats the reasonably ascertainable function or treaty-created benefit of that obligation.</w:t>
      </w:r>
    </w:p>
    <w:p>
      <w:pPr>
        <w:pStyle w:val="Heading3"/>
        <w:keepNext/>
        <w:widowControl/>
        <w:rPr/>
      </w:pPr>
      <w:r>
        <w:rPr/>
        <w:t>2. This Article does not authorize a tribunal to invent obligations from an abstract spirit of the Agreement. The asserted function or benefit must be anchored in operative text, an incorporated schedule, authenticated implementing commitment, or a necessary operational consequence of an express right.</w:t>
      </w:r>
    </w:p>
    <w:p>
      <w:pPr>
        <w:pStyle w:val="Heading3"/>
        <w:keepNext/>
        <w:widowControl/>
        <w:rPr/>
      </w:pPr>
      <w:r>
        <w:rPr/>
        <w:t>3. Malicious intent need not be proven. Review shall principally examine objective operation and effect. Evidence of intent, coordination, selective intensity, or political linkage may corroborate but is not required where objective impairment is otherwise established.</w:t>
      </w:r>
    </w:p>
    <w:p>
      <w:pPr>
        <w:pStyle w:val="Heading3"/>
        <w:keepNext/>
        <w:widowControl/>
        <w:rPr/>
      </w:pPr>
      <w:r>
        <w:rPr/>
        <w:t>4. Strict, expensive, novel, inconvenient, trade-restrictive, or highly precautionary regulation is not inconsistent merely because it imposes burden. Legitimate health, safety, environment, security, privacy, revenue, fraud-prevention, and other public-interest regulation remains protected subject to applicable treaty disciplines.</w:t>
      </w:r>
    </w:p>
    <w:p>
      <w:pPr>
        <w:pStyle w:val="Heading3"/>
        <w:keepNext/>
        <w:widowControl/>
        <w:rPr/>
      </w:pPr>
      <w:r>
        <w:rPr/>
        <w:t>Article 47.0B: Cumulative Friction, Whole-of-Government, and Rolling-Window Review</w:t>
      </w:r>
    </w:p>
    <w:p>
      <w:pPr>
        <w:pStyle w:val="Heading3"/>
        <w:keepNext/>
        <w:widowControl/>
        <w:rPr/>
      </w:pPr>
      <w:r>
        <w:rPr/>
        <w:t>1. Cothrom may aggregate related administrative burdens imposed by separate agencies, governmental levels, delegated public authorities, ports, certification bodies exercising delegated authority, or sequential procedures where separate examination would materially understate impairment of the same defined treaty pathway or trade flow.</w:t>
      </w:r>
    </w:p>
    <w:p>
      <w:pPr>
        <w:pStyle w:val="Heading3"/>
        <w:keepNext/>
        <w:widowControl/>
        <w:rPr/>
      </w:pPr>
      <w:r>
        <w:rPr/>
        <w:t>2. Aggregation may consider a rolling period sufficient to capture rotating or seasonal burdens and shall account for product characteristics, seasonality, congestion, compliance history, legitimate risk, emergencies, and changes in trade volume.</w:t>
      </w:r>
    </w:p>
    <w:p>
      <w:pPr>
        <w:pStyle w:val="Heading3"/>
        <w:keepNext/>
        <w:widowControl/>
        <w:rPr/>
      </w:pPr>
      <w:r>
        <w:rPr/>
        <w:t>3. No minimum number of measures is required. Conversely, the existence of many measures does not establish a violation without material cumulative impairment or another applicable treaty defect.</w:t>
      </w:r>
    </w:p>
    <w:p>
      <w:pPr>
        <w:pStyle w:val="Heading3"/>
        <w:keepNext/>
        <w:widowControl/>
        <w:rPr/>
      </w:pPr>
      <w:r>
        <w:rPr/>
        <w:t>4. National averages shall not conceal concentrated effects. Where relevant, analysis may use corridor, port, product, enterprise-size, mode, seasonal, median, tail-delay, repeat-inspection, hold-frequency, and other appropriately disaggregated indicators.</w:t>
      </w:r>
    </w:p>
    <w:p>
      <w:pPr>
        <w:pStyle w:val="Heading3"/>
        <w:keepNext/>
        <w:widowControl/>
        <w:rPr/>
      </w:pPr>
      <w:r>
        <w:rPr/>
        <w:t>Article 47.0C: Functional Successor Pattern and Effective Restoration</w:t>
      </w:r>
    </w:p>
    <w:p>
      <w:pPr>
        <w:pStyle w:val="Heading3"/>
        <w:keepNext/>
        <w:widowControl/>
        <w:rPr/>
      </w:pPr>
      <w:r>
        <w:rPr/>
        <w:t>1. Article 46.16 and Article 35.30 apply to a functional successor pattern even where replacement measures invoke different legal purposes or authorities, if the sequence of measures substantially reproduces the impairment previously found and the distinct stated purposes do not reasonably explain the cumulative effect.</w:t>
      </w:r>
    </w:p>
    <w:p>
      <w:pPr>
        <w:pStyle w:val="Heading3"/>
        <w:keepNext/>
        <w:widowControl/>
        <w:rPr/>
      </w:pPr>
      <w:r>
        <w:rPr/>
        <w:t>2. Where a violation was established through cumulative conduct, cure shall be evaluated against restoration of the affected treaty pathway or benefit, not solely repeal of one component measure.</w:t>
      </w:r>
    </w:p>
    <w:p>
      <w:pPr>
        <w:pStyle w:val="Heading3"/>
        <w:keepNext/>
        <w:widowControl/>
        <w:rPr/>
      </w:pPr>
      <w:r>
        <w:rPr/>
        <w:t>3. Effective restoration does not require a guaranteed commercial outcome. It requires removal or correction of the treaty-inconsistent impairment while preserving lawful regulatory objectives.</w:t>
      </w:r>
    </w:p>
    <w:p>
      <w:pPr>
        <w:pStyle w:val="Heading3"/>
        <w:keepNext/>
        <w:widowControl/>
        <w:rPr/>
      </w:pPr>
      <w:r>
        <w:rPr/>
        <w:t>4. A Party may demonstrate cure through alternative measures that achieve the legitimate public objective with materially equivalent effectiveness and reduced treaty impairment.</w:t>
      </w:r>
    </w:p>
    <w:p>
      <w:pPr>
        <w:pStyle w:val="Heading3"/>
        <w:keepNext/>
        <w:widowControl/>
        <w:rPr/>
      </w:pPr>
      <w:r>
        <w:rPr/>
        <w:t>Article 47.0D: Institutional Anti-Paralysis and Usable Proceedings</w:t>
      </w:r>
    </w:p>
    <w:p>
      <w:pPr>
        <w:pStyle w:val="Heading3"/>
        <w:keepNext/>
        <w:widowControl/>
        <w:rPr/>
      </w:pPr>
      <w:r>
        <w:rPr/>
        <w:t>1. Treaty bodies may establish proportionate page, format, indexing, machine-readable-data, issue-list, and evidentiary-identification requirements to prevent procedural overload while preserving due process and the ability to present material evidence.</w:t>
      </w:r>
    </w:p>
    <w:p>
      <w:pPr>
        <w:pStyle w:val="Heading3"/>
        <w:keepNext/>
        <w:widowControl/>
        <w:rPr/>
      </w:pPr>
      <w:r>
        <w:rPr/>
        <w:t>2. Required reasons shall identify the operative legal basis, material facts, decisive evidence, methodology, principal alternatives considered where required, and the actual basis of decision. Voluminous supporting records do not substitute for a usable reasoned explanation.</w:t>
      </w:r>
    </w:p>
    <w:p>
      <w:pPr>
        <w:pStyle w:val="Heading3"/>
        <w:keepNext/>
        <w:widowControl/>
        <w:rPr/>
      </w:pPr>
      <w:r>
        <w:rPr/>
        <w:t>3. Consultation shall not indefinitely toll adjudication. Once the applicable consultation period or agreed consultation milestones are exhausted, a Party may advance to the next treaty stage notwithstanding another Party's preference for additional meetings, studies, or consultations.</w:t>
      </w:r>
    </w:p>
    <w:p>
      <w:pPr>
        <w:pStyle w:val="Heading3"/>
        <w:keepNext/>
        <w:widowControl/>
        <w:rPr/>
      </w:pPr>
      <w:r>
        <w:rPr/>
        <w:t>4. Treaty bodies may consolidate substantially related cases, require common-facts submissions, reject immaterial duplication, and use batch or representative adjudication where doing so preserves measure-specific findings and procedural fairness.</w:t>
      </w:r>
    </w:p>
    <w:p>
      <w:pPr>
        <w:pStyle w:val="Heading3"/>
        <w:keepNext/>
        <w:widowControl/>
        <w:rPr/>
      </w:pPr>
      <w:r>
        <w:rPr/>
        <w:t>5. Failure to provide uniquely controlled material evidence after protected-access alternatives have been offered may support the limited adverse inference authorized by Article 46.14. Evidentiary volume alone shall never create such an inference.</w:t>
      </w:r>
    </w:p>
    <w:p>
      <w:pPr>
        <w:pStyle w:val="Heading3"/>
        <w:keepNext/>
        <w:widowControl/>
        <w:rPr/>
      </w:pPr>
      <w:r>
        <w:rPr/>
        <w:t>Article 47.0E: Implementation Simplicity and Procedure Selection</w:t>
      </w:r>
    </w:p>
    <w:p>
      <w:pPr>
        <w:pStyle w:val="Heading3"/>
        <w:keepNext/>
        <w:widowControl/>
        <w:rPr/>
      </w:pPr>
      <w:r>
        <w:rPr/>
        <w:t>1. Where two or more treaty procedures protect materially the same interest, the Secretariat, Cothrom, or other competent treaty body shall use the least procedurally burdensome route that preserves all applicable substantive rights, evidentiary safeguards, confidentiality protections, and available remedies.</w:t>
      </w:r>
    </w:p>
    <w:p>
      <w:pPr>
        <w:pStyle w:val="Heading3"/>
        <w:keepNext/>
        <w:widowControl/>
        <w:rPr/>
      </w:pPr>
      <w:r>
        <w:rPr/>
        <w:t>2. A claimant shall not be required to litigate materially identical factual questions repeatedly solely because the same course of conduct implicates multiple treaty provisions. The decision shall nevertheless identify each legal obligation actually applied.</w:t>
      </w:r>
    </w:p>
    <w:p>
      <w:pPr>
        <w:pStyle w:val="Heading3"/>
        <w:keepNext/>
        <w:widowControl/>
        <w:rPr/>
      </w:pPr>
      <w:r>
        <w:rPr/>
        <w:t>3. Nothing in this Article permits a treaty body to waive a non-derogable safeguard, lower an expressly specified burden of proof, bypass a tax-convention referral required by Article 32.3, or alter a Party's substantive obligation without consent.</w:t>
      </w:r>
    </w:p>
    <w:p>
      <w:pPr>
        <w:pStyle w:val="Heading3"/>
        <w:keepNext/>
        <w:widowControl/>
        <w:rPr/>
      </w:pPr>
      <w:r>
        <w:rPr/>
        <w:t>4. The Secretariat shall maintain an internal procedural map and public plain-language routing guide. Such guides are administrative aids and do not amend this Agreement.</w:t>
      </w:r>
    </w:p>
    <w:p>
      <w:pPr>
        <w:pStyle w:val="Heading3"/>
        <w:keepNext/>
        <w:widowControl/>
        <w:rPr/>
      </w:pPr>
      <w:r>
        <w:rPr/>
        <w:t>Article 47.1: Differential Routing</w:t>
      </w:r>
    </w:p>
    <w:p>
      <w:pPr>
        <w:pStyle w:val="Normal"/>
        <w:widowControl/>
        <w:rPr/>
      </w:pPr>
      <w:r>
        <w:rPr/>
        <w:t>1. Implementation and dispute matters may be routed by scale for administrative handling: routine operational matters use the Fast Operational Track; structural policy disputes use the Standard Structural Track; constitutional, sovereignty, or treaty-architecture disputes use the High-Sensitivity Track. These labels do not create separate tribunals, alter Chapter 31 jurisdiction, or change an otherwise applicable burden of proof, remedy, or mandatory procedural safeguard.</w:t>
      </w:r>
    </w:p>
    <w:p>
      <w:pPr>
        <w:pStyle w:val="Normal"/>
        <w:widowControl/>
        <w:rPr/>
      </w:pPr>
      <w:r>
        <w:rPr/>
        <w:t>2. Each track shall use procedure proportionate to the issue. A clerical customs error shall not require the evidentiary architecture appropriate to an essential-security dispute.</w:t>
      </w:r>
    </w:p>
    <w:p>
      <w:pPr>
        <w:pStyle w:val="Heading3"/>
        <w:keepNext/>
        <w:widowControl/>
        <w:rPr/>
      </w:pPr>
      <w:r>
        <w:rPr/>
        <w:t>Article 47.2: Lateral Transfer</w:t>
      </w:r>
    </w:p>
    <w:p>
      <w:pPr>
        <w:pStyle w:val="Normal"/>
        <w:widowControl/>
        <w:rPr/>
      </w:pPr>
      <w:r>
        <w:rPr/>
        <w:t>1. A matter that is stalled, misclassified, or better suited to another competent treaty body may transfer laterally without dismissal or refiling. The full record, deadlines already elapsed, and interim protections travel with the matter.</w:t>
      </w:r>
    </w:p>
    <w:p>
      <w:pPr>
        <w:pStyle w:val="Normal"/>
        <w:widowControl/>
        <w:rPr/>
      </w:pPr>
      <w:r>
        <w:rPr/>
        <w:t>2. Lateral transfer does not increase the remedy available or restart a clock unless necessary to protect due process.</w:t>
      </w:r>
    </w:p>
    <w:p>
      <w:pPr>
        <w:pStyle w:val="Heading3"/>
        <w:keepNext/>
        <w:widowControl/>
        <w:rPr/>
      </w:pPr>
      <w:r>
        <w:rPr/>
        <w:t>Article 47.3: Treaty Reliance Archive</w:t>
      </w:r>
    </w:p>
    <w:p>
      <w:pPr>
        <w:pStyle w:val="Normal"/>
        <w:widowControl/>
        <w:rPr/>
      </w:pPr>
      <w:r>
        <w:rPr/>
        <w:t>1. The Secretariat shall maintain a Treaty Reliance Archive recording final panel determinations, recognized certifications, trusted-trader approvals, mutual-recognition determinations, completed implementation milestones, and other verified reliance interests designated by the Commission.</w:t>
      </w:r>
    </w:p>
    <w:p>
      <w:pPr>
        <w:pStyle w:val="Normal"/>
        <w:widowControl/>
        <w:rPr/>
      </w:pPr>
      <w:r>
        <w:rPr/>
        <w:t>2. A later unrelated dispute does not erase an archived reliance interest. An archived status may be changed only under the treaty provision governing that status and on the facts relevant to that status.</w:t>
      </w:r>
    </w:p>
    <w:p>
      <w:pPr>
        <w:pStyle w:val="Heading3"/>
        <w:keepNext/>
        <w:widowControl/>
        <w:rPr/>
      </w:pPr>
      <w:r>
        <w:rPr/>
        <w:t>Article 47.4: Economic Safe Mode</w:t>
      </w:r>
    </w:p>
    <w:p>
      <w:pPr>
        <w:pStyle w:val="Normal"/>
        <w:widowControl/>
        <w:rPr/>
      </w:pPr>
      <w:r>
        <w:rPr/>
        <w:t>1. During a severe political, constitutional, cyber, public-health, military, or infrastructure crisis that materially impairs ordinary treaty administration, the Commission may by consensus activate Economic Safe Mode for up to 90 days, renewable once. If the Commission itself cannot act because of the disruption, only continuity measures already authorized by this Agreement or the Operational Manual may operate until Commission action becomes possible.</w:t>
      </w:r>
    </w:p>
    <w:p>
      <w:pPr>
        <w:pStyle w:val="Normal"/>
        <w:widowControl/>
        <w:rPr/>
      </w:pPr>
      <w:r>
        <w:rPr/>
        <w:t>2. Safe Mode pauses new discretionary liberalization deadlines that cannot reasonably be performed, but preserves existing tariff preferences, humanitarian and essential goods treatment, ordinary customs communication, food-safety and emergency coordination, existing panel records, archived rights, and technical verification to the maximum extent practicable.</w:t>
      </w:r>
    </w:p>
    <w:p>
      <w:pPr>
        <w:pStyle w:val="Normal"/>
        <w:widowControl/>
        <w:rPr/>
      </w:pPr>
      <w:r>
        <w:rPr/>
        <w:t>3. Safe Mode does not legalize a new tariff or discriminatory border measure. Measures independently justified by an express emergency provision remain subject to that provision.</w:t>
      </w:r>
    </w:p>
    <w:p>
      <w:pPr>
        <w:pStyle w:val="Heading3"/>
        <w:keepNext/>
        <w:widowControl/>
        <w:rPr/>
      </w:pPr>
      <w:r>
        <w:rPr/>
        <w:t>Article 47.5: Good-Faith Pause</w:t>
      </w:r>
    </w:p>
    <w:p>
      <w:pPr>
        <w:pStyle w:val="Normal"/>
        <w:widowControl/>
        <w:rPr/>
      </w:pPr>
      <w:r>
        <w:rPr/>
        <w:t>1. A Party facing a demonstrable obstacle beyond its reasonable control may request a time-limited Good-Faith Pause for a particular implementation obligation or remediation deadline.</w:t>
      </w:r>
    </w:p>
    <w:p>
      <w:pPr>
        <w:pStyle w:val="Normal"/>
        <w:widowControl/>
        <w:rPr/>
      </w:pPr>
      <w:r>
        <w:rPr/>
        <w:t>2. The request shall identify the obstacle, efforts already taken, a credible remediation plan, and the minimum additional time needed. A pause does not erase prior progress or reset a dispute clock; it suspends only the affected deadline.</w:t>
      </w:r>
    </w:p>
    <w:p>
      <w:pPr>
        <w:pStyle w:val="Normal"/>
        <w:widowControl/>
        <w:rPr/>
      </w:pPr>
      <w:r>
        <w:rPr/>
        <w:t>3. A Good-Faith Pause is unavailable for deliberate noncompliance, political bargaining, or a failure to allocate ordinary administrative resources.</w:t>
      </w:r>
    </w:p>
    <w:p>
      <w:pPr>
        <w:pStyle w:val="Heading3"/>
        <w:keepNext/>
        <w:widowControl/>
        <w:rPr/>
      </w:pPr>
      <w:r>
        <w:rPr/>
        <w:t>Article 47.6: Scenario Repository and Pre-Negotiated Playbooks</w:t>
      </w:r>
    </w:p>
    <w:p>
      <w:pPr>
        <w:pStyle w:val="Normal"/>
        <w:widowControl/>
        <w:rPr/>
      </w:pPr>
      <w:r>
        <w:rPr/>
        <w:t>1. The Secretariat shall maintain a confidential-to-government Scenario Repository covering foreseeable operational failure modes, including border IT outage, cyberattack, pandemic restrictions, major port or bridge closure, customs staffing disruption, commodity shortage, mass origin fraud, registry failure, and simultaneous multi-sector disputes.</w:t>
      </w:r>
    </w:p>
    <w:p>
      <w:pPr>
        <w:pStyle w:val="Normal"/>
        <w:widowControl/>
        <w:rPr/>
      </w:pPr>
      <w:r>
        <w:rPr/>
        <w:t>2. For each scenario, the responsible bodies shall maintain a pre-negotiated continuity playbook identifying authority, communications, alternative evidence, temporary service levels, SME procedures, and restoration steps.</w:t>
      </w:r>
    </w:p>
    <w:p>
      <w:pPr>
        <w:pStyle w:val="Heading3"/>
        <w:keepNext/>
        <w:widowControl/>
        <w:rPr/>
      </w:pPr>
      <w:r>
        <w:rPr/>
        <w:t>Article 47.7: Pilot Mechanism</w:t>
      </w:r>
    </w:p>
    <w:p>
      <w:pPr>
        <w:pStyle w:val="Normal"/>
        <w:widowControl/>
        <w:rPr/>
      </w:pPr>
      <w:r>
        <w:rPr/>
        <w:t>1. A materially new customs, traceability, registry, verification, artificial-intelligence, or facilitation procedure should, where practicable, operate as a limited pilot before becoming a mandatory continent-wide process.</w:t>
      </w:r>
    </w:p>
    <w:p>
      <w:pPr>
        <w:pStyle w:val="Normal"/>
        <w:widowControl/>
        <w:rPr/>
      </w:pPr>
      <w:r>
        <w:rPr/>
        <w:t>2. A pilot shall define scope, duration, success metrics, privacy and security controls, burden limits, an independent evaluation, and a rollback path. Failure of a pilot does not reduce existing treaty rights.</w:t>
      </w:r>
    </w:p>
    <w:p>
      <w:pPr>
        <w:pStyle w:val="Heading3"/>
        <w:keepNext/>
        <w:widowControl/>
        <w:rPr/>
      </w:pPr>
      <w:r>
        <w:rPr/>
        <w:t>Article 47.8: Dormancy and Reactivation</w:t>
      </w:r>
    </w:p>
    <w:p>
      <w:pPr>
        <w:pStyle w:val="Normal"/>
        <w:widowControl/>
        <w:rPr/>
      </w:pPr>
      <w:r>
        <w:rPr/>
        <w:t>1. A voluntary or supplemental treaty program may enter Dormant Status instead of being abolished when funding, political support, or participation falls temporarily below operational levels.</w:t>
      </w:r>
    </w:p>
    <w:p>
      <w:pPr>
        <w:pStyle w:val="Normal"/>
        <w:widowControl/>
        <w:rPr/>
      </w:pPr>
      <w:r>
        <w:rPr/>
        <w:t>2. During dormancy, the program preserves its legal instruments, records, technical standards, minimum contact point, and reactivation procedure. Dormancy does not suspend unrelated obligations.</w:t>
      </w:r>
    </w:p>
    <w:p>
      <w:pPr>
        <w:pStyle w:val="Normal"/>
        <w:widowControl/>
        <w:rPr/>
      </w:pPr>
      <w:r>
        <w:rPr/>
        <w:t>3. Reactivation shall use the shortest practicable procedure and shall not require rebuilding institutions or records that remain valid.</w:t>
      </w:r>
    </w:p>
    <w:p>
      <w:pPr>
        <w:pStyle w:val="Heading3"/>
        <w:keepNext/>
        <w:widowControl/>
        <w:rPr/>
      </w:pPr>
      <w:r>
        <w:rPr/>
        <w:t>Article 47.9: Personnel and Knowledge Continuity</w:t>
      </w:r>
    </w:p>
    <w:p>
      <w:pPr>
        <w:pStyle w:val="Normal"/>
        <w:widowControl/>
        <w:rPr/>
      </w:pPr>
      <w:r>
        <w:rPr/>
        <w:t>1. Every standing treaty body shall designate alternates for essential roles and maintain current continuity documentation sufficient for a qualified replacement to assume duties without material interruption.</w:t>
      </w:r>
    </w:p>
    <w:p>
      <w:pPr>
        <w:pStyle w:val="Normal"/>
        <w:widowControl/>
        <w:rPr/>
      </w:pPr>
      <w:r>
        <w:rPr/>
        <w:t>2. The Secretariat shall maintain minimum continuity staffing and distributed backups for critical records, cryptographic keys, contact lists, rosters, and continuity procedures.</w:t>
      </w:r>
    </w:p>
    <w:p>
      <w:pPr>
        <w:pStyle w:val="Heading3"/>
        <w:keepNext/>
        <w:widowControl/>
        <w:rPr/>
      </w:pPr>
      <w:r>
        <w:rPr/>
        <w:t>Article 47.10: Administrative Burden Audit</w:t>
      </w:r>
    </w:p>
    <w:p>
      <w:pPr>
        <w:pStyle w:val="Normal"/>
        <w:widowControl/>
        <w:rPr/>
      </w:pPr>
      <w:r>
        <w:rPr/>
        <w:t>1. Each year the Secretariat shall assess approval time, paperwork volume, number of approval layers, repeat review cycles, exception requests, SME compliance cost, and duplicative data demands for major treaty procedures.</w:t>
      </w:r>
    </w:p>
    <w:p>
      <w:pPr>
        <w:pStyle w:val="Normal"/>
        <w:widowControl/>
        <w:rPr/>
      </w:pPr>
      <w:r>
        <w:rPr/>
        <w:t>2. Where a procedure shows persistent administrative growth without a corresponding risk or legal justification, the responsible body shall conduct a simplification review and publish corrective actions.</w:t>
      </w:r>
    </w:p>
    <w:p>
      <w:pPr>
        <w:pStyle w:val="Normal"/>
        <w:widowControl/>
        <w:rPr/>
      </w:pPr>
      <w:r>
        <w:rPr/>
        <w:t>3. Simplification shall not weaken an express substantive standard, enforcement against fraud, health or safety protection, forced-labor controls, or due process.</w:t>
      </w:r>
    </w:p>
    <w:p>
      <w:pPr>
        <w:widowControl/>
        <w:rPr/>
      </w:pPr>
      <w:r>
        <w:t>4. Reporting Consolidation. In conducting the annual audit, the Secretariat shall identify recurring reports, dashboards, certifications, reviews, and data submissions that materially overlap in purpose or source data. The responsible bodies shall, where legally and technically practicable, use a common data submission, shared evidentiary record, synchronized reporting date, cross-reference, or consolidated publication rather than requiring substantially duplicative production. Consolidation shall preserve any distinct confidentiality, due-process, audit, statutory, or evidentiary requirement and shall not reduce the information reasonably necessary for a substantive treaty function. A body retaining a materially duplicative requirement should record the operational reason for doing so in the next administrative-burden audit.</w:t>
      </w:r>
    </w:p>
    <w:p>
      <w:pPr>
        <w:pStyle w:val="Heading3"/>
        <w:keepNext/>
        <w:widowControl/>
        <w:rPr/>
      </w:pPr>
      <w:r>
        <w:rPr/>
        <w:t>Article 47.11: Routine, Standard, and Emergency Administrative Decisions</w:t>
      </w:r>
    </w:p>
    <w:p>
      <w:pPr>
        <w:pStyle w:val="Normal"/>
        <w:widowControl/>
        <w:rPr/>
      </w:pPr>
      <w:r>
        <w:rPr/>
        <w:t>1. Routine administrative decisions may be delegated to designated officials under published authority and short clocks. Major interpretive or policy decisions remain with the competent committee or panel. Genuine emergency administrative decisions may use an expedited human override subject to prompt written reasons and post-action review.</w:t>
      </w:r>
    </w:p>
    <w:p>
      <w:pPr>
        <w:pStyle w:val="Heading3"/>
        <w:keepNext/>
        <w:widowControl/>
        <w:rPr/>
      </w:pPr>
      <w:r>
        <w:rPr/>
        <w:t>Article 47.12: Treaty Resilience Exercises</w:t>
      </w:r>
    </w:p>
    <w:p>
      <w:pPr>
        <w:pStyle w:val="Normal"/>
        <w:widowControl/>
        <w:rPr/>
      </w:pPr>
      <w:r>
        <w:rPr/>
        <w:t>1. At least once every two years, or on another interval agreed by the Commission where resources or security conditions warrant, the Parties shall conduct or coordinate a Treaty Resilience Exercise using existing authorities. Scenarios should include digital-system failure, border or logistics disruption, and legal or enforcement stress where practicable.</w:t>
      </w:r>
    </w:p>
    <w:p>
      <w:pPr>
        <w:pStyle w:val="Normal"/>
        <w:widowControl/>
        <w:rPr/>
      </w:pPr>
      <w:r>
        <w:rPr/>
        <w:t>2. Red-team and blue-team participants shall test circumvention, cascade failure, administrative overload, evidence integrity, communications, and restoration. A lessons-learned report shall identify concrete hardening actions within 60 days.</w:t>
      </w:r>
    </w:p>
    <w:p>
      <w:pPr>
        <w:pStyle w:val="Normal"/>
        <w:widowControl/>
        <w:rPr/>
      </w:pPr>
      <w:r>
        <w:rPr/>
        <w:t>3. Findings that would disclose exploitable customs, cybersecurity, or infrastructure vulnerabilities may remain confidential, but the Commission shall publish a non-sensitive implementation summary.</w:t>
      </w:r>
    </w:p>
    <w:p>
      <w:pPr>
        <w:pStyle w:val="Heading3"/>
        <w:keepNext/>
        <w:widowControl/>
        <w:rPr/>
      </w:pPr>
      <w:r>
        <w:rPr/>
        <w:t>Article 47.13: Post-Crisis Reconstitution</w:t>
      </w:r>
    </w:p>
    <w:p>
      <w:pPr>
        <w:pStyle w:val="Normal"/>
        <w:widowControl/>
        <w:rPr/>
      </w:pPr>
      <w:r>
        <w:rPr/>
        <w:t>1. After Safe Mode or a catastrophic interruption, the treaty shall return through a 30-60-90 day reconstitution cycle unless normal operations can resume sooner.</w:t>
      </w:r>
    </w:p>
    <w:p>
      <w:pPr>
        <w:pStyle w:val="Normal"/>
        <w:widowControl/>
        <w:rPr/>
      </w:pPr>
      <w:r>
        <w:rPr/>
        <w:t>2. Days 0-30: assess institutional, border, registry, panel, and communications status; preserve records and archived rights; identify urgent repair.</w:t>
      </w:r>
    </w:p>
    <w:p>
      <w:pPr>
        <w:pStyle w:val="Normal"/>
        <w:widowControl/>
        <w:rPr/>
      </w:pPr>
      <w:r>
        <w:rPr/>
        <w:t>3. Days 31-60: restore critical systems, replenish rosters, resolve queued urgent matters, and re-establish ordinary service levels.</w:t>
      </w:r>
    </w:p>
    <w:p>
      <w:pPr>
        <w:pStyle w:val="Normal"/>
        <w:widowControl/>
        <w:rPr/>
      </w:pPr>
      <w:r>
        <w:rPr/>
        <w:t>4. Days 61-90: restore full operation, close temporary workarounds, audit continuity decisions, and update the Scenario Repository.</w:t>
      </w:r>
    </w:p>
    <w:p>
      <w:pPr>
        <w:pStyle w:val="Normal"/>
        <w:widowControl/>
        <w:rPr/>
      </w:pPr>
      <w:r>
        <w:rPr/>
        <w:t>5. Reconstitution resumes from the legally preserved baseline. A crisis does not reset the Agreement to an earlier tariff schedule or erase a final determination.</w:t>
      </w:r>
    </w:p>
    <w:p>
      <w:bookmarkStart w:id="1735" w:name="_NAESTMA_TOC_1735"/>
      <w:pPr>
        <w:pStyle w:val="Heading1"/>
        <w:keepNext/>
        <w:pageBreakBefore/>
        <w:widowControl/>
        <w:rPr/>
      </w:pPr>
      <w:bookmarkStart w:id="303" w:name="_Toc237912784"/>
      <w:r>
        <w:rPr/>
        <w:t>PACKAGE K — NORTH AMERICAN MARKET-ACCESS AND ECONOMIC-SECURITY INCENTIVES</w:t>
      </w:r>
      <w:bookmarkEnd w:id="303"/>
      <w:bookmarkEnd w:id="1735"/>
    </w:p>
    <w:p>
      <w:pPr>
        <w:pStyle w:val="Normal"/>
        <w:widowControl/>
        <w:rPr/>
      </w:pPr>
      <w:r>
        <w:rPr/>
        <w:t>Chapter 36, Articles 36.11–36.28 — Added a reciprocal “stronger bargain” package: rapid anti-circumvention verification; voluntary enhanced North American content incentives; automotive and advanced-component investment facilitation; steel/aluminum security; strategic dependency reduction; forced-labor perimeter safeguards; entity-specific origin-fraud discipline; agricultural market-access assurance; energy security; semiconductor and advanced-manufacturing cooperation; an SME export fast lane; regulatory and digital non-discrimination review; a trade-balance diagnostic that does not make deficits actionable; voluntary subnational market-access schedules including beverage alcohol; an optional provincial-demand TRQ allocation mechanism within existing aggregate commitments; voluntary trusted-supplier procurement reciprocity; and evidence-based review of the strengthened bargain at future Article 34.7 reviews. These provisions are deliberately reciprocal and do not confer unilateral tariff, sourcing, investment-location, or subnational-control powers.</w:t>
      </w:r>
    </w:p>
    <w:p>
      <w:pPr>
        <w:pStyle w:val="Normal"/>
        <w:widowControl/>
        <w:rPr/>
      </w:pPr>
      <w:r>
        <w:rPr/>
        <w:t>PACKAGE M — ECONOMIC REBALANCING, INVESTMENT, AND TRUSTED MATERIALS ACCESS (v3.0). Reframes the instrument as the North American Economic Security and Trade Modernization Agreement while preserving its legal function as a modernization protocol to CUSMA; expands the trade-balance diagnostic into a voluntary opportunity-based rebalancing and investment mechanism without making deficits actionable or creating purchase mandates; adds a voluntary U.S. Manufacturing Accelerator with reciprocal Canadian and Mexican equivalents; and establishes a neutral Trusted Strategic Materials Source framework allowing each Party to secure specialized advanced-manufacturing metals and alloys from reliable non-Parties where North American supply is insufficient in quantity, grade, certification, form, or delivery time. The framework expressly preserves Chapter 4 origin accounting and lawful trade remedies, prevents trusted non-Party sourcing from being treated as circumvention merely because the material is foreign, and creates objective shortage-list and conformity-recognition procedures, including eligibility for Sweden and other qualifying partners on neutral criteria.</w:t>
      </w:r>
    </w:p>
    <w:p>
      <w:pPr>
        <w:pStyle w:val="Normal"/>
        <w:widowControl/>
        <w:rPr/>
      </w:pPr>
      <w:r>
        <w:rPr/>
        <w:t>PACKAGE N — ORIGINAL CUSMA BASELINE RESTORATION (v3.2). A source-by-source audit against the uploaded original CUSMA package confirmed that the principal Chapter 1–34 article sequence survived the initial consolidation, but several legally significant instruments did not. This package restores the controlling 2019 Protocol of Amendment in full, including Annexes 31-A and 31-B; preserves the integral Canada–United States energy, water-resources, and 2004 research-and-development understandings; reproduces the Agreement on Environmental Cooperation for operational completeness; preserves the Uniform Regulations by reference and requires a compatibility schedule; and expressly prevents superseded Section 232 letters or spent historical deadlines from being accidentally revived. A supremacy rule makes the 2019 amendment text controlling wherever a legacy paragraph in the consolidated draft still reflects pre-2019 wording.</w:t>
      </w:r>
    </w:p>
    <w:p>
      <w:pPr>
        <w:pStyle w:val="Normal"/>
        <w:widowControl/>
        <w:rPr/>
      </w:pPr>
      <w:r>
        <w:rPr/>
        <w:t>PACKAGE O — ADMINISTRATIVE CONTINUITY, PRACTICAL ENFORCEMENT, AND LEGITIMACY (v3.3). Implements a 'no right depends on administrative perfection' architecture through Annex 34-H; creates default institutions, standards, forms, roster continuity, non-cooperation rules, technical-system fallbacks, and an administrative-delay register; adds a Single SME Compliance Gateway and good-faith documentary safe harbor; prevents labor and environmental verification from being slow-walked and expressly preserves the faster Rapid Response Labor Mechanisms; adds a rule-bound neutral panel-selection process and conflict challenge; creates a Regulatory Safe Harbor to protect bona fide public-interest regulation; establishes a 15-day Minimum Viable Enforcement Track for facial violations; adds WTO-compatibility safeguards for PTAs and external measures; and makes TNAO, critical-mineral traceability, and the Shared Trade Data Registry risk-tiered, technologically neutral, and non-essential to ordinary CUSMA rights.</w:t>
      </w:r>
    </w:p>
    <w:p>
      <w:pPr>
        <w:pStyle w:val="Normal"/>
        <w:widowControl/>
        <w:rPr/>
      </w:pPr>
      <w:r>
        <w:rPr/>
        <w:t>PACKAGE P — TARIFF FINALITY, ALTERNATIVE ENFORCEMENT, SECTORAL STABILITY, AND REGULATORY SOVEREIGNTY (v3.4). Makes preferential tariffs permanent economic infrastructure subject only to express treaty exceptions and establishes tariffs as a remedy of last resort; reorders the Chapter 35 response ladder to prioritize cure, verification, compliance security, treaty-created incentive consequences, remediation investment, and compensation before a PTA; creates a remediation-investment mechanism with proportionality and no-double-recovery rules; adds Chapter 41 protecting reciprocal domestic regulatory space for climate, energy, health, science, AI, privacy, cybersecurity, government data, water, forestry, Arctic resources, Indigenous obligations, immigration, culture, and infrastructure while preserving anti-discrimination disciplines; adds Chapter 42 creating a softwood-lumber stability architecture based on stumpage transparency, commercially defensible comparability, six-month adjudication, provisional-duty review, refunds with interest, sustainable-forestry facilitation, and modernization assistance without guaranteed prices or purchase volumes; adds Chapter 43 providing transparent agricultural access, staged dairy-input options, agricultural competitive-neutrality review, support non-escalation, an innovation initiative, reciprocal procurement safeguards, and equal data access without abolishing Canadian supply management; and adds Chapter 44 establishing a neutral Trade Facilitation Index, trusted-trader mutual recognition, equal customs-data access, skilled-mobility service standards, trusted-traveler expansion, infrastructure co-investment, beneficial-ownership cooperation, and reciprocal trade-lobbying transparency.</w:t>
      </w:r>
    </w:p>
    <w:p>
      <w:pPr>
        <w:pStyle w:val="Normal"/>
        <w:widowControl/>
        <w:rPr/>
      </w:pPr>
      <w:r>
        <w:rPr/>
        <w:t>PACKAGE Q — INSTITUTIONAL DIVERSITY, COTHROM VERIFICATION, AND SYSTEM RESILIENCE (v3.5). Adds the Institutional Diversity Principle and a Mexican accommodation chapter protecting distinct constitutional, state-enterprise, ejido, rural-development, water-treaty, mining, remittance, traditional-knowledge, and border-SME arrangements without immunizing discrimination or prohibited conduct; adapts the Cothrom Verification Method into a reciprocal trade-verification architecture with data symmetry, a golden record, anomaly severity filtering, precise claims and objections, partial confirmation, a standing neutral expert pool, technical second opinions, human-in-the-loop review, cooling-off, attribution discipline, and non-black-box performance metrics; creates a Technical Truth Escalation Chain and strengthens universal earn-back in Chapter 35; and adds a treaty-resilience chapter providing differential routing, lateral transfer, a Treaty Reliance Archive, Economic Safe Mode, Good-Faith Pause, a Scenario Repository, pilots, dormancy/reactivation, personnel continuity, administrative-burden audits, tiered administrative decision tracks, biennial resilience exercises, and a 30-60-90 post-crisis reconstitution protocol.</w:t>
      </w:r>
    </w:p>
    <w:p>
      <w:bookmarkStart w:id="1736" w:name="_NAESTMA_TOC_1736"/>
      <w:pPr>
        <w:pStyle w:val="Heading1"/>
        <w:keepNext/>
        <w:pageBreakBefore w:val="0"/>
        <w:widowControl/>
        <w:rPr/>
      </w:pPr>
      <w:r>
        <w:rPr/>
        <w:t>Article 47.14: Protected Core Functions and Minimum Institutional Continuity Fund</w:t>
      </w:r>
      <w:bookmarkEnd w:id="1736"/>
    </w:p>
    <w:p>
      <w:pPr>
        <w:pStyle w:val="Normal"/>
        <w:widowControl/>
        <w:rPr/>
      </w:pPr>
      <w:r>
        <w:rPr/>
        <w:t>1. The Parties shall maintain a formula-based minimum budget for adjudication, verification, integrity review, Treaty Registry publication, secure records, random selection, cybersecurity, translation necessary for legal equality, and continuity operations.</w:t>
      </w:r>
    </w:p>
    <w:p>
      <w:pPr>
        <w:pStyle w:val="Normal"/>
        <w:widowControl/>
        <w:rPr/>
      </w:pPr>
      <w:r>
        <w:rPr/>
        <w:t>2. Protected core functions may not be selectively defunded through line-item withholding by a Party. Optional programs remain subject to ordinary budget decisions.</w:t>
      </w:r>
    </w:p>
    <w:p>
      <w:pPr>
        <w:pStyle w:val="Normal"/>
        <w:widowControl/>
        <w:rPr/>
      </w:pPr>
      <w:r>
        <w:rPr/>
        <w:t>3. A Continuity Reserve sufficient for at least 12 months of protected core operations shall be maintained within agreed ceilings. A delinquent contribution becomes an accrued obligation and does not authorize the delinquent Party to disable operations.</w:t>
      </w:r>
    </w:p>
    <w:p>
      <w:pPr>
        <w:pStyle w:val="Normal"/>
        <w:widowControl/>
        <w:rPr/>
      </w:pPr>
      <w:r>
        <w:rPr/>
        <w:t>4. The Reserve creates no authority for unlimited borrowing or unapproved substantive programs.</w:t>
      </w:r>
    </w:p>
    <w:p>
      <w:bookmarkStart w:id="1737" w:name="_NAESTMA_TOC_1737"/>
      <w:pPr>
        <w:pStyle w:val="Heading1"/>
        <w:keepNext/>
        <w:pageBreakBefore w:val="0"/>
        <w:widowControl/>
        <w:rPr/>
      </w:pPr>
      <w:r>
        <w:rPr/>
        <w:t>Article 47.15: Secretariat Integrity, Distributed Custody, and Operational Auditability</w:t>
      </w:r>
      <w:bookmarkEnd w:id="1737"/>
    </w:p>
    <w:p>
      <w:pPr>
        <w:pStyle w:val="Normal"/>
        <w:widowControl/>
        <w:rPr/>
      </w:pPr>
      <w:r>
        <w:rPr/>
        <w:t>1. Sensitive Secretariat operations shall use role-based access, dual control where appropriate, tamper-evident docket histories, authenticated timestamps, auditable random-selection records, separation of duties, and periodic independent integrity testing.</w:t>
      </w:r>
    </w:p>
    <w:p>
      <w:pPr>
        <w:pStyle w:val="Normal"/>
        <w:widowControl/>
        <w:rPr/>
      </w:pPr>
      <w:r>
        <w:rPr/>
        <w:t>2. Critical treaty records shall be maintained with redundant authenticated custody sufficient to survive corruption, cyberattack, natural disaster, national outage, or loss of a single repository.</w:t>
      </w:r>
    </w:p>
    <w:p>
      <w:pPr>
        <w:pStyle w:val="Normal"/>
        <w:widowControl/>
        <w:rPr/>
      </w:pPr>
      <w:r>
        <w:rPr/>
        <w:t>3. The Secretariat shall maintain confidential whistleblower and incident-reporting channels with anti-retaliation protection consistent with domestic law.</w:t>
      </w:r>
    </w:p>
    <w:p>
      <w:pPr>
        <w:pStyle w:val="Normal"/>
        <w:widowControl/>
        <w:rPr/>
      </w:pPr>
      <w:r>
        <w:rPr/>
        <w:t>4. Material incidents affecting docket integrity, random selection, publication, confidentiality, or availability shall be disclosed to the Parties and the competent integrity body promptly, with public notice when disclosure would not compromise security or investigation.</w:t>
      </w:r>
    </w:p>
    <w:p>
      <w:bookmarkStart w:id="1738" w:name="_NAESTMA_TOC_1738"/>
      <w:pPr>
        <w:pStyle w:val="Heading1"/>
        <w:keepNext/>
        <w:pageBreakBefore w:val="0"/>
        <w:widowControl/>
        <w:rPr/>
      </w:pPr>
      <w:r>
        <w:rPr/>
        <w:t>Article 47.16: Institutional Safe Mode and No-Benefit-from-Outage Rule</w:t>
      </w:r>
      <w:bookmarkEnd w:id="1738"/>
    </w:p>
    <w:p>
      <w:pPr>
        <w:pStyle w:val="Normal"/>
        <w:widowControl/>
        <w:rPr/>
      </w:pPr>
      <w:r>
        <w:rPr/>
        <w:t>1. If a primary treaty system becomes unavailable, authenticated backup dockets, alternate filing channels, redundant publication systems, and continuity rosters activate automatically under the pre-negotiated playbooks of Article 47.6.</w:t>
      </w:r>
    </w:p>
    <w:p>
      <w:pPr>
        <w:pStyle w:val="Normal"/>
        <w:widowControl/>
        <w:rPr/>
      </w:pPr>
      <w:r>
        <w:rPr/>
        <w:t>2. Deadlines shall toll only to the extent necessary to prevent prejudice. Existing rights, preferences, legal status, and restoration rules continue during an outage.</w:t>
      </w:r>
    </w:p>
    <w:p>
      <w:pPr>
        <w:pStyle w:val="Normal"/>
        <w:widowControl/>
        <w:rPr/>
      </w:pPr>
      <w:r>
        <w:rPr/>
        <w:t>3. No Party gains a substantive or procedural advantage because a common treaty system failed, was attacked, or was unavailable.</w:t>
      </w:r>
    </w:p>
    <w:p>
      <w:pPr>
        <w:pStyle w:val="Normal"/>
        <w:widowControl/>
        <w:rPr/>
      </w:pPr>
      <w:r>
        <w:rPr/>
        <w:t>4. After restoration, the Secretariat shall publish an incident chronology and integrity certification subject to lawful confidentiality.</w:t>
      </w:r>
    </w:p>
    <w:p>
      <w:bookmarkStart w:id="1739" w:name="_NAESTMA_TOC_1739"/>
      <w:pPr>
        <w:pStyle w:val="Heading1"/>
        <w:keepNext/>
        <w:pageBreakBefore w:val="0"/>
        <w:widowControl/>
        <w:rPr/>
      </w:pPr>
      <w:r>
        <w:rPr/>
        <w:t>Article 47.17: Administrative Reliance, Government Error, and Data Portability</w:t>
      </w:r>
      <w:bookmarkEnd w:id="1739"/>
    </w:p>
    <w:p>
      <w:pPr>
        <w:pStyle w:val="Normal"/>
        <w:widowControl/>
        <w:rPr/>
      </w:pPr>
      <w:r>
        <w:rPr/>
        <w:t>1. A trader or other covered person acting in reasonable good-faith reliance on authoritative published guidance, a valid advance ruling, or an authenticated government submission receipt shall not suffer retroactive adverse treatment solely because the authority later changes its interpretation or loses, migrates, or corrupts its own records.</w:t>
      </w:r>
    </w:p>
    <w:p>
      <w:pPr>
        <w:pStyle w:val="Normal"/>
        <w:widowControl/>
        <w:rPr/>
      </w:pPr>
      <w:r>
        <w:rPr/>
        <w:t>2. Material interpretive changes shall be published, reasoned, and prospective where practicable, with a reasonable transition period unless immediate application is required by safety, fraud, security, or another compelling public interest.</w:t>
      </w:r>
    </w:p>
    <w:p>
      <w:pPr>
        <w:pStyle w:val="Normal"/>
        <w:widowControl/>
        <w:rPr/>
      </w:pPr>
      <w:r>
        <w:rPr/>
        <w:t>3. Government system migration shall preserve or lawfully map previously submitted treaty records. Where the government cannot recover a record it acknowledged receiving, the submitter shall receive a reasonable opportunity to reconstruct the record without loss of treatment attributable solely to the government failure.</w:t>
      </w:r>
    </w:p>
    <w:p>
      <w:bookmarkStart w:id="1740" w:name="_NAESTMA_TOC_1740"/>
      <w:pPr>
        <w:pStyle w:val="Heading1"/>
        <w:keepNext/>
        <w:pageBreakBefore w:val="0"/>
        <w:widowControl/>
        <w:rPr/>
      </w:pPr>
      <w:r>
        <w:rPr/>
        <w:t>Article 47.18: Automated Administration Symmetry and Algorithmic Accountability</w:t>
      </w:r>
      <w:bookmarkEnd w:id="1740"/>
    </w:p>
    <w:p>
      <w:pPr>
        <w:pStyle w:val="Normal"/>
        <w:widowControl/>
        <w:rPr/>
      </w:pPr>
      <w:r>
        <w:rPr/>
        <w:t>1. Where a Party uses automated or algorithmic systems to assign trade risk, generate high-volume compliance demands, prioritize inspections, or make materially consequential administrative recommendations, it shall maintain audit logs, periodic validation, meaningful human review, and a challenge mechanism proportionate to the consequence.</w:t>
      </w:r>
    </w:p>
    <w:p>
      <w:pPr>
        <w:pStyle w:val="Normal"/>
        <w:widowControl/>
        <w:rPr/>
      </w:pPr>
      <w:r>
        <w:rPr/>
        <w:t>2. Automated systems shall be tested for unjustified Party-origin bias and for proxy variables that produce materially discriminatory treatment without a legitimate risk basis.</w:t>
      </w:r>
    </w:p>
    <w:p>
      <w:pPr>
        <w:pStyle w:val="Normal"/>
        <w:widowControl/>
        <w:rPr/>
      </w:pPr>
      <w:r>
        <w:rPr/>
        <w:t>3. Where government automation materially increases the volume or speed of compliance demands, the authority shall provide proportionate machine-readable response channels, deduplication, consolidated requests, and human escalation so that automation does not create one-sided administrative burden.</w:t>
      </w:r>
    </w:p>
    <w:p>
      <w:pPr>
        <w:pStyle w:val="Normal"/>
        <w:widowControl/>
        <w:rPr/>
      </w:pPr>
      <w:r>
        <w:rPr/>
        <w:t>4. This Article does not require public disclosure of source code, security-sensitive detection logic, or protected personal data. It requires sufficient explanation and independent testing to permit meaningful review.</w:t>
      </w:r>
      <w:r>
        <w:br w:type="page"/>
      </w:r>
    </w:p>
    <w:p>
      <w:bookmarkStart w:id="1741" w:name="_NAESTMA_TOC_1741"/>
      <w:pPr>
        <w:pStyle w:val="Heading1"/>
        <w:keepNext/>
        <w:keepLines w:val="0"/>
        <w:pageBreakBefore/>
        <w:widowControl/>
        <w:rPr/>
      </w:pPr>
      <w:bookmarkStart w:id="304" w:name="_Toc237912785"/>
      <w:r>
        <w:rPr/>
        <w:t>CHAPTER 48</w:t>
      </w:r>
      <w:bookmarkEnd w:id="304"/>
      <w:bookmarkEnd w:id="1741"/>
    </w:p>
    <w:p>
      <w:bookmarkStart w:id="1742" w:name="_NAESTMA_TOC_1742"/>
      <w:pPr>
        <w:pStyle w:val="Heading2"/>
        <w:keepNext/>
        <w:pageBreakBefore w:val="false"/>
        <w:widowControl/>
        <w:rPr/>
      </w:pPr>
      <w:bookmarkStart w:id="305" w:name="_Toc237912786"/>
      <w:r>
        <w:rPr/>
        <w:t>REVIEW STABILITY, IMPLEMENTATION, AND COMPETITIVENESS</w:t>
      </w:r>
      <w:bookmarkEnd w:id="305"/>
      <w:bookmarkEnd w:id="1742"/>
    </w:p>
    <w:p>
      <w:pPr>
        <w:pStyle w:val="Heading3"/>
        <w:keepNext/>
        <w:widowControl/>
        <w:rPr/>
      </w:pPr>
      <w:r>
        <w:rPr/>
        <w:t>Article 48.1: Structured Joint Review Protocol</w:t>
      </w:r>
    </w:p>
    <w:p>
      <w:pPr>
        <w:pStyle w:val="Normal"/>
        <w:widowControl/>
        <w:rPr/>
      </w:pPr>
      <w:r>
        <w:rPr/>
        <w:t>1. A periodic or annual review under Article 34.7 is a structured implementation and modernization process and does not, by itself, reopen every provision of this Agreement.</w:t>
      </w:r>
    </w:p>
    <w:p>
      <w:pPr>
        <w:pStyle w:val="Normal"/>
        <w:widowControl/>
        <w:rPr/>
      </w:pPr>
      <w:r>
        <w:rPr/>
        <w:t>2. At least 120 days before a scheduled review, the Free Trade Commission shall publish or exchange, subject to lawful confidentiality, terms of reference identifying the issues proposed for decision, issues proposed for technical work, completed work-plan items, and matters carried forward from the previous review.</w:t>
      </w:r>
    </w:p>
    <w:p>
      <w:pPr>
        <w:pStyle w:val="Normal"/>
        <w:widowControl/>
        <w:rPr/>
      </w:pPr>
      <w:r>
        <w:rPr/>
        <w:t>3. A Party may raise a new urgent matter after the terms of reference are established, but shall identify the treaty provision or implementation problem involved and explain why deferral would cause material prejudice.</w:t>
      </w:r>
    </w:p>
    <w:p>
      <w:pPr>
        <w:pStyle w:val="Heading3"/>
        <w:keepNext/>
        <w:widowControl/>
        <w:rPr/>
      </w:pPr>
      <w:r>
        <w:rPr/>
        <w:t>Article 48.2: Multi-Year Joint Work Plans</w:t>
      </w:r>
    </w:p>
    <w:p>
      <w:pPr>
        <w:pStyle w:val="Normal"/>
        <w:widowControl/>
        <w:rPr/>
      </w:pPr>
      <w:r>
        <w:rPr/>
        <w:t>1. The Commission may adopt rolling two-to-five-year joint work plans for technical matters that benefit from continuity, including customs modernization, SME simplification, digital interoperability, supply-chain resilience, labor and environmental cooperation, and sectoral rules-of-origin modernization.</w:t>
      </w:r>
    </w:p>
    <w:p>
      <w:pPr>
        <w:pStyle w:val="Normal"/>
        <w:widowControl/>
        <w:rPr/>
      </w:pPr>
      <w:r>
        <w:rPr/>
        <w:t>2. A work plan survives an intervening review unless amended by the Commission. Continuation of technical work does not predetermine a future substantive amendment.</w:t>
      </w:r>
    </w:p>
    <w:p>
      <w:pPr>
        <w:pStyle w:val="Heading3"/>
        <w:keepNext/>
        <w:widowControl/>
        <w:rPr/>
      </w:pPr>
      <w:r>
        <w:rPr/>
        <w:t>Article 48.3: Review Predictability and Investment Reliance</w:t>
      </w:r>
    </w:p>
    <w:p>
      <w:pPr>
        <w:pStyle w:val="Normal"/>
        <w:widowControl/>
        <w:rPr/>
      </w:pPr>
      <w:r>
        <w:rPr/>
        <w:t>1. A review that produces no amendment, recommendation, or agreed modernization outcome does not alter existing tariff preferences, certifications, final rulings, accrued treaty treatment, or the continuing force of this Agreement.</w:t>
      </w:r>
    </w:p>
    <w:p>
      <w:pPr>
        <w:pStyle w:val="Normal"/>
        <w:widowControl/>
        <w:rPr/>
      </w:pPr>
      <w:r>
        <w:rPr/>
        <w:t>2. Where supplemental, annual, or issue-specific implementation reviews occur, each review shall identify the specific unresolved issues requiring continued work. Silence concerning an unrelated chapter does not suspend, reopen, or condition that chapter.</w:t>
      </w:r>
    </w:p>
    <w:p>
      <w:pPr>
        <w:pStyle w:val="Heading3"/>
        <w:keepNext/>
        <w:widowControl/>
        <w:rPr/>
      </w:pPr>
      <w:r>
        <w:rPr/>
        <w:t>Article 48.4: North American Competitiveness Advisory Forum</w:t>
      </w:r>
    </w:p>
    <w:p>
      <w:pPr>
        <w:pStyle w:val="Normal"/>
        <w:widowControl/>
        <w:rPr/>
      </w:pPr>
      <w:r>
        <w:rPr/>
        <w:t>1. The Commission may convene a North American Competitiveness Advisory Forum, using existing consultation authorities, with balanced participation from business, labor, SMEs, agriculture, Indigenous economic organizations, consumers, technical experts, and other relevant civil society. The Forum may be convened periodically or for a defined review and is not a separately staffed permanent treaty body.</w:t>
      </w:r>
    </w:p>
    <w:p>
      <w:pPr>
        <w:pStyle w:val="Normal"/>
        <w:widowControl/>
        <w:rPr/>
      </w:pPr>
      <w:r>
        <w:rPr/>
        <w:t>2. The Forum may issue non-binding implementation reports, identify avoidable compliance burdens, and recommend modernization priorities. It has no authority to amend this Agreement, decide disputes, direct a Party's domestic policy, or create an entitlement to appointment or funding.</w:t>
      </w:r>
    </w:p>
    <w:p>
      <w:pPr>
        <w:pStyle w:val="Heading3"/>
        <w:keepNext/>
        <w:widowControl/>
        <w:rPr/>
      </w:pPr>
      <w:r>
        <w:rPr/>
        <w:t>Article 48.5: Review-Process Disputes</w:t>
      </w:r>
    </w:p>
    <w:p>
      <w:pPr>
        <w:pStyle w:val="Normal"/>
        <w:widowControl/>
        <w:rPr/>
      </w:pPr>
      <w:r>
        <w:rPr/>
        <w:t>1. A dispute concerning the procedure, legal effect, or timing of an Article 34.7 review is eligible for expedited Chapter 31 consideration. The panel may clarify the review obligation but may not compel a Party to agree to a substantive amendment, modernization recommendation, or other negotiated outcome.</w:t>
      </w:r>
    </w:p>
    <w:p>
      <w:pPr>
        <w:pStyle w:val="Heading3"/>
        <w:keepNext/>
        <w:widowControl/>
        <w:rPr/>
      </w:pPr>
      <w:r>
        <w:rPr/>
        <w:t>Article 48.6: Trilateral Continuity, Mexico Parity, and Investment Reliance</w:t>
      </w:r>
    </w:p>
    <w:p>
      <w:pPr>
        <w:pStyle w:val="Normal"/>
        <w:widowControl/>
        <w:rPr/>
      </w:pPr>
      <w:r>
        <w:rPr/>
        <w:t>1. The continuous-duration architecture in Article 34.7 applies equally to Canada, Mexico, and the United States. A modernization review shall not be administered as a de facto annual renewal test for one Party, one sector, or one bilateral relationship while equivalent originating commerce of another Party remains insulated from comparable uncertainty.</w:t>
      </w:r>
    </w:p>
    <w:p>
      <w:pPr>
        <w:pStyle w:val="Normal"/>
        <w:widowControl/>
        <w:rPr/>
      </w:pPr>
      <w:r>
        <w:rPr/>
        <w:t>2. Where a review identifies unresolved bilateral issues, those issues shall be listed and worked through the applicable bilateral or sectoral lane without creating a presumption that unrelated Mexican, Canadian, or United States originating trade loses treaty continuity.</w:t>
      </w:r>
    </w:p>
    <w:p>
      <w:pPr>
        <w:pStyle w:val="Normal"/>
        <w:widowControl/>
        <w:rPr/>
      </w:pPr>
      <w:r>
        <w:rPr/>
        <w:t>3. The Commission shall consider reliance interests created by long-lived North American investments, including automotive, semiconductor, aerospace, energy, critical-mineral, logistics, agricultural, and advanced-manufacturing facilities, when sequencing modernization measures.</w:t>
      </w:r>
    </w:p>
    <w:p>
      <w:pPr>
        <w:pStyle w:val="Normal"/>
        <w:widowControl/>
        <w:rPr/>
      </w:pPr>
      <w:r>
        <w:rPr/>
        <w:t>4. For greater certainty, this Article reinforces the continuous-duration replacement of the former 16-year sunset mechanism; it does not restore a periodic termination cliff.</w:t>
      </w:r>
      <w:r>
        <w:br w:type="page"/>
      </w:r>
    </w:p>
    <w:p>
      <w:bookmarkStart w:id="1743" w:name="_NAESTMA_TOC_1743"/>
      <w:pPr>
        <w:pStyle w:val="Heading1"/>
        <w:keepNext/>
        <w:keepLines w:val="0"/>
        <w:pageBreakBefore/>
        <w:widowControl/>
        <w:rPr/>
      </w:pPr>
      <w:bookmarkStart w:id="306" w:name="_Toc237912787"/>
      <w:r>
        <w:rPr/>
        <w:t>CHAPTER 49</w:t>
      </w:r>
      <w:bookmarkEnd w:id="306"/>
      <w:bookmarkEnd w:id="1743"/>
    </w:p>
    <w:p>
      <w:bookmarkStart w:id="1744" w:name="_NAESTMA_TOC_1744"/>
      <w:pPr>
        <w:pStyle w:val="Heading2"/>
        <w:keepNext/>
        <w:pageBreakBefore w:val="false"/>
        <w:widowControl/>
        <w:rPr/>
      </w:pPr>
      <w:bookmarkStart w:id="307" w:name="_Toc237912788"/>
      <w:r>
        <w:rPr/>
        <w:t>SECTORAL MARKET ACCESS AND IMPLEMENTATION SAFEGUARDS</w:t>
      </w:r>
      <w:bookmarkEnd w:id="307"/>
      <w:bookmarkEnd w:id="1744"/>
    </w:p>
    <w:p>
      <w:pPr>
        <w:pStyle w:val="Heading3"/>
        <w:keepNext/>
        <w:widowControl/>
        <w:rPr/>
      </w:pPr>
      <w:r>
        <w:rPr/>
        <w:t>Article 49.1: Originating Distilled Spirits — Zero Customs Duty</w:t>
      </w:r>
    </w:p>
    <w:p>
      <w:pPr>
        <w:pStyle w:val="Normal"/>
        <w:widowControl/>
        <w:rPr/>
      </w:pPr>
      <w:r>
        <w:rPr/>
        <w:t>1. Each Party shall apply a customs duty of zero to originating distilled spirits of another Party classified in the tariff lines identified for this Article in the Party's Schedule to Annex 2-B.</w:t>
      </w:r>
    </w:p>
    <w:p>
      <w:pPr>
        <w:pStyle w:val="Normal"/>
        <w:widowControl/>
        <w:rPr/>
      </w:pPr>
      <w:r>
        <w:rPr/>
        <w:t>2. Eligibility is determined exclusively under Chapter 4 and the applicable product-specific rules of origin. This Article creates no alternative origin test.</w:t>
      </w:r>
    </w:p>
    <w:p>
      <w:pPr>
        <w:pStyle w:val="Normal"/>
        <w:widowControl/>
        <w:rPr/>
      </w:pPr>
      <w:r>
        <w:rPr/>
        <w:t>3. Treatment includes qualifying Bourbon Whiskey, Tennessee Whiskey, Canadian Whisky, Tequila, Mezcal, and other originating distilled spirits within the scheduled tariff lines, without prejudice to distinctive-product protections.</w:t>
      </w:r>
    </w:p>
    <w:p>
      <w:pPr>
        <w:pStyle w:val="Normal"/>
        <w:widowControl/>
        <w:rPr/>
      </w:pPr>
      <w:r>
        <w:rPr/>
        <w:t>4. Nothing in this Article limits non-discriminatory taxation, licensing, responsible-sale rules, minimum-age requirements, public-health measures, or lawful distribution systems.</w:t>
      </w:r>
    </w:p>
    <w:p>
      <w:pPr>
        <w:pStyle w:val="Heading3"/>
        <w:keepNext/>
        <w:widowControl/>
        <w:rPr/>
      </w:pPr>
      <w:r>
        <w:rPr/>
        <w:t>Article 49.2: Alcohol Distribution Best-Practice Safe Harbor</w:t>
      </w:r>
    </w:p>
    <w:p>
      <w:pPr>
        <w:pStyle w:val="Normal"/>
        <w:widowControl/>
        <w:rPr/>
      </w:pPr>
      <w:r>
        <w:rPr/>
        <w:t>1. A sub-federal alcohol authority receives a rebuttable presumption of compliance with the applicable national-treatment and market-access obligations where its listing, delisting, markup, warehousing, distribution, and retail-access rules are published, origin-neutral, objectively administered, and subject to review.</w:t>
      </w:r>
    </w:p>
    <w:p>
      <w:pPr>
        <w:pStyle w:val="Normal"/>
        <w:widowControl/>
        <w:rPr/>
      </w:pPr>
      <w:r>
        <w:rPr/>
        <w:t>2. The Commission shall maintain non-binding best-practice guidelines and a joint review channel for recurring alcohol-distribution concerns. Adoption of the guidelines does not prevent review of evidence of actual discrimination.</w:t>
      </w:r>
    </w:p>
    <w:p>
      <w:pPr>
        <w:pStyle w:val="Heading3"/>
        <w:keepNext/>
        <w:widowControl/>
        <w:rPr/>
      </w:pPr>
      <w:r>
        <w:rPr/>
        <w:t>Article 49.3: Dairy TRQ Transparency and Transition</w:t>
      </w:r>
    </w:p>
    <w:p>
      <w:pPr>
        <w:pStyle w:val="Normal"/>
        <w:widowControl/>
        <w:rPr/>
      </w:pPr>
      <w:r>
        <w:rPr/>
        <w:t>1. A Party administering a dairy tariff-rate quota shall publish eligibility rules, allocation methodology, application windows, utilization data, reallocation procedures, and reasons for material allocation decisions, subject to legitimate confidentiality.</w:t>
      </w:r>
    </w:p>
    <w:p>
      <w:pPr>
        <w:pStyle w:val="Normal"/>
        <w:widowControl/>
        <w:rPr/>
      </w:pPr>
      <w:r>
        <w:rPr/>
        <w:t>2. Materially revised TRQ administration shall be independently auditable. A structural change that materially alters commercial access should, where practicable, use a transition period proportionate to the adjustment required.</w:t>
      </w:r>
    </w:p>
    <w:p>
      <w:pPr>
        <w:pStyle w:val="Normal"/>
        <w:widowControl/>
        <w:rPr/>
      </w:pPr>
      <w:r>
        <w:rPr/>
        <w:t>3. Nothing in this Article requires Canada to abolish supply management or prevents negotiated market-access commitments expressly set out in its Schedule.</w:t>
      </w:r>
    </w:p>
    <w:p>
      <w:pPr>
        <w:pStyle w:val="Heading3"/>
        <w:keepNext/>
        <w:widowControl/>
        <w:rPr/>
      </w:pPr>
      <w:r>
        <w:rPr/>
        <w:t>Article 49.4: Automotive Rule Change Discipline</w:t>
      </w:r>
    </w:p>
    <w:p>
      <w:pPr>
        <w:pStyle w:val="Normal"/>
        <w:widowControl/>
        <w:rPr/>
      </w:pPr>
      <w:r>
        <w:rPr/>
        <w:t>1. A material increase in automotive regional-value, labor-value, steel, aluminum, battery, mineral, or other content requirements shall include a published economic-impact assessment and a transition schedule sufficient to avoid unnecessary supply-chain disruption.</w:t>
      </w:r>
    </w:p>
    <w:p>
      <w:pPr>
        <w:pStyle w:val="Normal"/>
        <w:widowControl/>
        <w:rPr/>
      </w:pPr>
      <w:r>
        <w:rPr/>
        <w:t>2. North American cumulation remains available as provided by Chapter 4. Workforce training, research, or technology investment does not constitute physical originating content unless an express, separately defined credit mechanism is adopted by all Parties.</w:t>
      </w:r>
    </w:p>
    <w:p>
      <w:pPr>
        <w:pStyle w:val="Normal"/>
        <w:widowControl/>
        <w:rPr/>
      </w:pPr>
      <w:r>
        <w:rPr/>
        <w:t>3. The Automotive Committee shall maintain technology-neutral guidance for software, electronics, batteries, critical minerals, and other emerging vehicle systems and shall review whether separate metrics are preferable to forcing materially different technologies into legacy calculations.</w:t>
      </w:r>
    </w:p>
    <w:p>
      <w:pPr>
        <w:pStyle w:val="Heading3"/>
        <w:keepNext/>
        <w:widowControl/>
        <w:rPr/>
      </w:pPr>
      <w:r>
        <w:rPr/>
        <w:t>Article 49.5: Originating Steel and Aluminum Security Presumption</w:t>
      </w:r>
    </w:p>
    <w:p>
      <w:pPr>
        <w:pStyle w:val="Normal"/>
        <w:widowControl/>
        <w:rPr/>
      </w:pPr>
      <w:r>
        <w:rPr/>
        <w:t>1. Verified originating steel and aluminum of another Party is presumed not to constitute, solely by reason of importation from that Party, a threat to essential security warranting an additional customs duty.</w:t>
      </w:r>
    </w:p>
    <w:p>
      <w:pPr>
        <w:pStyle w:val="Normal"/>
        <w:widowControl/>
        <w:rPr/>
      </w:pPr>
      <w:r>
        <w:rPr/>
        <w:t>2. A Party may rebut the presumption only with particularized evidence of a genuine essential-security risk, including material circumvention, strategic supply manipulation, or another threat meeting Chapter 32.A. Any additional duty is subject to immediate expedited review and the Chapter 35 proportionality disciplines.</w:t>
      </w:r>
    </w:p>
    <w:p>
      <w:pPr>
        <w:pStyle w:val="Normal"/>
        <w:widowControl/>
        <w:rPr/>
      </w:pPr>
      <w:r>
        <w:rPr/>
        <w:t>3. A North American Steel and Aluminum Monitoring Committee shall share objective data on trade flows, capacity, circumvention, and non-market spillovers and seek a cooperative remedy before unilateral restriction where circumstances permit.</w:t>
      </w:r>
    </w:p>
    <w:p>
      <w:pPr>
        <w:pStyle w:val="Heading3"/>
        <w:keepNext/>
        <w:widowControl/>
        <w:rPr/>
      </w:pPr>
      <w:r>
        <w:rPr/>
        <w:t>Article 49.6: Public Procurement and Sovereign Cloud</w:t>
      </w:r>
    </w:p>
    <w:p>
      <w:pPr>
        <w:pStyle w:val="Normal"/>
        <w:widowControl/>
        <w:rPr/>
      </w:pPr>
      <w:r>
        <w:rPr/>
        <w:t>1. Procurement exceptions, domestic-preference programs, and security-based data-residency or sovereign-cloud requirements shall be administered under published criteria and shall not operate as disguised discrimination where the underlying public-policy objective can reasonably be achieved by less trade-restrictive means.</w:t>
      </w:r>
    </w:p>
    <w:p>
      <w:pPr>
        <w:pStyle w:val="Normal"/>
        <w:widowControl/>
        <w:rPr/>
      </w:pPr>
      <w:r>
        <w:rPr/>
        <w:t>2. Nothing in this Article requires a Party to place classified, defense, law-enforcement, health, Indigenous, critical-infrastructure, or other genuinely sensitive government data outside protections it considers necessary, provided distinctions among suppliers are objectively connected to the identified risk.</w:t>
      </w:r>
    </w:p>
    <w:p>
      <w:pPr>
        <w:pStyle w:val="TrumpVisibilityHeadline"/>
        <w:widowControl/>
        <w:rPr/>
      </w:pPr>
      <w:r>
        <w:rPr>
          <w:b/>
        </w:rPr>
        <w:t xml:space="preserve">★ </w:t>
      </w:r>
      <w:r>
        <w:rPr>
          <w:b/>
        </w:rPr>
        <w:t>VISIBLE U.S. WIN: RECIPROCAL ACCESS FOR U.S. SUPPLIERS TO STRATEGIC PROCUREMENT</w:t>
      </w:r>
    </w:p>
    <w:p>
      <w:pPr>
        <w:pStyle w:val="Heading3"/>
        <w:keepNext/>
        <w:widowControl/>
        <w:rPr/>
      </w:pPr>
      <w:r>
        <w:rPr/>
        <w:t>Article 49.7: North American Strategic Procurement Reciprocity Framework</w:t>
      </w:r>
    </w:p>
    <w:p>
      <w:pPr>
        <w:pStyle w:val="Normal"/>
        <w:widowControl/>
        <w:rPr/>
      </w:pPr>
      <w:r>
        <w:rPr/>
        <w:t>1. A Party may maintain lawful domestic-preference procurement programs, including Buy Canadian, Buy American, Mexican domestic-development, SME, Indigenous, security, resilience, or other public-policy programs, subject to this Agreement and its procurement commitments.</w:t>
      </w:r>
    </w:p>
    <w:p>
      <w:pPr>
        <w:pStyle w:val="Normal"/>
        <w:widowControl/>
        <w:rPr/>
      </w:pPr>
      <w:r>
        <w:rPr/>
        <w:t>2. For covered procurements in sectors designated by the Parties, a procuring authority may establish a transparent North American preference lane under which qualifying originating suppliers or qualifying North American strategic chains receive treatment superior to ordinary non-Party suppliers while preserving any expressly authorized domestic preference.</w:t>
      </w:r>
    </w:p>
    <w:p>
      <w:pPr>
        <w:pStyle w:val="Normal"/>
        <w:widowControl/>
        <w:rPr/>
      </w:pPr>
      <w:r>
        <w:rPr/>
        <w:t>3. Designated sectors may include infrastructure, construction materials, grid equipment, transportation, digital and cloud services, semiconductors, critical minerals and processed materials, forest products, emergency-response equipment, advanced manufacturing, and other sectors adopted through the applicable schedule.</w:t>
      </w:r>
    </w:p>
    <w:p>
      <w:pPr>
        <w:pStyle w:val="Normal"/>
        <w:widowControl/>
        <w:rPr/>
      </w:pPr>
      <w:r>
        <w:rPr/>
        <w:t>4. Qualification shall rely on objective criteria such as origin, verified North American value, supply-chain resilience, security, interoperability, lifecycle support, SME participation, environmental or labour performance where lawfully relevant, and demonstrated capacity. It shall not require an arbitrary Party-specific content quota.</w:t>
      </w:r>
    </w:p>
    <w:p>
      <w:pPr>
        <w:pStyle w:val="Normal"/>
        <w:widowControl/>
        <w:rPr/>
      </w:pPr>
      <w:r>
        <w:rPr/>
        <w:t>5. A Canadian, Mexican, or United States supplier shall not be excluded solely because it is owned in another Party where it otherwise satisfies the applicable covered-procurement, security, origin, and qualification requirements.</w:t>
      </w:r>
    </w:p>
    <w:p>
      <w:pPr>
        <w:pStyle w:val="Normal"/>
        <w:widowControl/>
        <w:rPr/>
      </w:pPr>
      <w:r>
        <w:rPr/>
        <w:t>6. Classified procurement, uniquely sensitive national-security procurement, and procurement expressly excluded under applicable schedules remain subject to domestic law and negotiated exclusions.</w:t>
      </w:r>
    </w:p>
    <w:p>
      <w:bookmarkStart w:id="1745" w:name="_NAESTMA_TOC_1745"/>
      <w:pPr>
        <w:pStyle w:val="Heading2"/>
        <w:keepNext/>
        <w:widowControl/>
        <w:rPr/>
      </w:pPr>
      <w:r>
        <w:rPr/>
        <w:t>Article 49.7A: Reciprocal Procurement Compact and Practical-Opportunity Principle</w:t>
      </w:r>
      <w:bookmarkEnd w:id="1745"/>
    </w:p>
    <w:p>
      <w:pPr>
        <w:pStyle w:val="Normal"/>
        <w:widowControl/>
        <w:rPr/>
      </w:pPr>
      <w:r>
        <w:rPr/>
        <w:t>1. For covered procurement designated under Article 49.7 and Annex 49-A, reciprocity requires comparable practical opportunity to compete and does not require identical institutions, expenditures, procurement outcomes, policies, governmental structures, or nominal market size.</w:t>
      </w:r>
    </w:p>
    <w:p>
      <w:pPr>
        <w:pStyle w:val="Normal"/>
        <w:widowControl/>
        <w:rPr/>
      </w:pPr>
      <w:r>
        <w:rPr/>
        <w:t>2. The Parties shall preserve lawful domestic procurement policy space while maintaining a North American preference lane whose value is assessed by effective access rather than by entity count, gross expenditure, or formal legal coverage alone.</w:t>
      </w:r>
    </w:p>
    <w:p>
      <w:pPr>
        <w:pStyle w:val="Normal"/>
        <w:widowControl/>
        <w:rPr/>
      </w:pPr>
      <w:r>
        <w:rPr/>
        <w:t>3. This Article guarantees an equitable opportunity to compete. It does not guarantee any supplier, Party, sector, or class of suppliers a predetermined share of awards, sales, contracts, or government expenditure.</w:t>
      </w:r>
    </w:p>
    <w:p>
      <w:pPr>
        <w:pStyle w:val="Normal"/>
        <w:widowControl/>
        <w:rPr/>
      </w:pPr>
      <w:r>
        <w:rPr/>
        <w:t>4. Procurement equivalence shall be calibrated proportionately to the contestable procurement capacity, constitutional structure, scheduled coverage, and practical accessibility of each Party. A difference in economic scale alone does not establish imbalance.</w:t>
      </w:r>
    </w:p>
    <w:p>
      <w:bookmarkStart w:id="1746" w:name="_NAESTMA_TOC_1746"/>
      <w:pPr>
        <w:pStyle w:val="Heading2"/>
        <w:keepNext/>
        <w:widowControl/>
        <w:rPr/>
      </w:pPr>
      <w:r>
        <w:rPr/>
        <w:t>Article 49.7B: Effective Accessible Procurement Value and Value-Equivalence Test</w:t>
      </w:r>
      <w:bookmarkEnd w:id="1746"/>
    </w:p>
    <w:p>
      <w:pPr>
        <w:pStyle w:val="Normal"/>
        <w:widowControl/>
        <w:rPr/>
      </w:pPr>
      <w:r>
        <w:rPr/>
        <w:t>1. The Parties shall assess reciprocal procurement contributions using Effective Accessible Procurement Value, or EAPV, under Annex 49-A. EAPV begins with contestable covered procurement value and adjusts for coverage, accessibility, threshold effects, domestic-preference intensity, sector breadth, practical usability, and other factors expressly identified in the Annex.</w:t>
      </w:r>
    </w:p>
    <w:p>
      <w:pPr>
        <w:pStyle w:val="Normal"/>
        <w:widowControl/>
        <w:rPr/>
      </w:pPr>
      <w:r>
        <w:rPr/>
        <w:t>2. Gross procurement shall not be counted as accessible value where suppliers of another Party could not realistically compete because of a negotiated exclusion, genuine classified or security restriction, lawful Indigenous or tribal set-aside, legitimate SME reservation, justified sole-source requirement, pre-existing long-term commitment, statutory monopoly, or another objectively unavailable category.</w:t>
      </w:r>
    </w:p>
    <w:p>
      <w:pPr>
        <w:pStyle w:val="Normal"/>
        <w:widowControl/>
        <w:rPr/>
      </w:pPr>
      <w:r>
        <w:rPr/>
        <w:t>3. EAPV shall distinguish nominal legal access from practical access. Relevant indicators include qualification burden, electronic bidding, bonding and insurance requirements, local-presence conditions, certification recognition, bid-challenge usability, payment timing, documentation burden, contract sizing, and other conditions materially affecting the ability of a qualifying supplier to submit and perform a competitive bid.</w:t>
      </w:r>
    </w:p>
    <w:p>
      <w:pPr>
        <w:pStyle w:val="Normal"/>
        <w:widowControl/>
        <w:rPr/>
      </w:pPr>
      <w:r>
        <w:rPr/>
        <w:t>4. The methodology shall use transparent bands and ranges rather than false precision. Minor statistical variation, ordinary annual expenditure fluctuation, or differences in contract outcomes shall not establish non-equivalence.</w:t>
      </w:r>
    </w:p>
    <w:p>
      <w:bookmarkStart w:id="1747" w:name="_NAESTMA_TOC_1747"/>
      <w:pPr>
        <w:pStyle w:val="Heading2"/>
        <w:keepNext/>
        <w:widowControl/>
        <w:rPr/>
      </w:pPr>
      <w:r>
        <w:rPr/>
        <w:t>Article 49.7C: Reciprocity Bands, Rebalancing, and Earn-Back</w:t>
      </w:r>
      <w:bookmarkEnd w:id="1747"/>
    </w:p>
    <w:p>
      <w:pPr>
        <w:pStyle w:val="Normal"/>
        <w:widowControl/>
        <w:rPr/>
      </w:pPr>
      <w:r>
        <w:rPr/>
        <w:t>1. Annex 49-A shall classify each Party within negotiated Reciprocity Bands reflecting whether practical procurement access is substantially equivalent, subject to minor imbalance, materially imbalanced, persistently substantially imbalanced, or affected by deliberate closure or circumvention.</w:t>
      </w:r>
    </w:p>
    <w:p>
      <w:pPr>
        <w:pStyle w:val="Normal"/>
        <w:widowControl/>
        <w:rPr/>
      </w:pPr>
      <w:r>
        <w:rPr/>
        <w:t>2. A Party outside the agreed equivalence corridor shall receive a reasonable opportunity to rebalance access through a menu of sovereign choices, including adding covered entities or sectors, lowering thresholds, reducing an applicable preference margin, simplifying qualification, improving SME access, recognizing additional credentials, adding voluntary subnational participation, or providing another objectively measurable access enhancement.</w:t>
      </w:r>
    </w:p>
    <w:p>
      <w:pPr>
        <w:pStyle w:val="Normal"/>
        <w:widowControl/>
        <w:rPr/>
      </w:pPr>
      <w:r>
        <w:rPr/>
        <w:t>3. No Party shall be compelled to open a particular politically sensitive sector, abolish a lawful domestic preference, transfer constitutional authority, or guarantee a specified procurement expenditure where another compliant rebalancing method can restore substantial equivalence.</w:t>
      </w:r>
    </w:p>
    <w:p>
      <w:pPr>
        <w:pStyle w:val="Normal"/>
        <w:widowControl/>
        <w:rPr/>
      </w:pPr>
      <w:r>
        <w:rPr/>
        <w:t>4. Any step-back in an enhanced North American procurement preference shall be targeted, proportionate, and automatically eligible for restoration upon verified cure. Ordinary baseline treaty rights shall not be withdrawn merely because an enhanced procurement contribution temporarily falls outside the equivalence corridor.</w:t>
      </w:r>
    </w:p>
    <w:p>
      <w:bookmarkStart w:id="1748" w:name="_NAESTMA_TOC_1748"/>
      <w:pPr>
        <w:pStyle w:val="Heading2"/>
        <w:keepNext/>
        <w:widowControl/>
        <w:rPr/>
      </w:pPr>
      <w:r>
        <w:rPr/>
        <w:t>Article 49.7D: North American SME Procurement Passport and Opportunity Discovery</w:t>
      </w:r>
      <w:bookmarkEnd w:id="1748"/>
    </w:p>
    <w:p>
      <w:pPr>
        <w:pStyle w:val="Normal"/>
        <w:widowControl/>
        <w:rPr/>
      </w:pPr>
      <w:r>
        <w:rPr/>
        <w:t>1. The Parties shall develop an interoperable North American SME Procurement Passport permitting a qualifying SME to maintain a reusable verified core profile for identity, beneficial ownership, tax and debarment status, relevant certifications, insurance or financial-capacity information, cybersecurity status where applicable, and basic origin information.</w:t>
      </w:r>
    </w:p>
    <w:p>
      <w:pPr>
        <w:pStyle w:val="Normal"/>
        <w:widowControl/>
        <w:rPr/>
      </w:pPr>
      <w:r>
        <w:rPr/>
        <w:t>2. A procuring authority may require contract-specific information and may independently verify eligibility, but shall avoid requiring substantially duplicative foundational documentation without a reasonable procurement, legal, security, integrity, or risk basis.</w:t>
      </w:r>
    </w:p>
    <w:p>
      <w:pPr>
        <w:pStyle w:val="Normal"/>
        <w:widowControl/>
        <w:rPr/>
      </w:pPr>
      <w:r>
        <w:rPr/>
        <w:t>3. Each Party shall expose standardized, machine-readable fields for scheduled North American-lane opportunities sufficient to support interoperable discovery across the Parties while retaining each Party’s own procurement platforms and award authority.</w:t>
      </w:r>
    </w:p>
    <w:p>
      <w:pPr>
        <w:pStyle w:val="Normal"/>
        <w:widowControl/>
        <w:rPr/>
      </w:pPr>
      <w:r>
        <w:rPr/>
        <w:t>4. SME facilitation may include appropriately sized contract lots, reasonable bid security, electronic documentation, supplier matching, prompt-payment practices, and plain-language qualification guidance. Legitimate domestic SME set-asides remain protected.</w:t>
      </w:r>
    </w:p>
    <w:p>
      <w:bookmarkStart w:id="1749" w:name="_NAESTMA_TOC_1749"/>
      <w:pPr>
        <w:pStyle w:val="Heading2"/>
        <w:keepNext/>
        <w:widowControl/>
        <w:rPr/>
      </w:pPr>
      <w:r>
        <w:rPr/>
        <w:t>Article 49.7E: Constitutional Federalism and Voluntary Subnational Participation</w:t>
      </w:r>
      <w:bookmarkEnd w:id="1749"/>
    </w:p>
    <w:p>
      <w:pPr>
        <w:pStyle w:val="Normal"/>
        <w:widowControl/>
        <w:rPr/>
      </w:pPr>
      <w:r>
        <w:rPr/>
        <w:t>1. Nothing in this Agreement requires a Party to compel a province, state, municipality, Indigenous or tribal government, or other subnational authority to open procurement beyond authority lawfully committed under this Agreement.</w:t>
      </w:r>
    </w:p>
    <w:p>
      <w:pPr>
        <w:pStyle w:val="Normal"/>
        <w:widowControl/>
        <w:rPr/>
      </w:pPr>
      <w:r>
        <w:rPr/>
        <w:t>2. The Parties shall maintain voluntary mechanisms through which constitutionally competent subnational authorities may designate entities, sectors, thresholds, or individual procurement programs for participation in the North American lane.</w:t>
      </w:r>
    </w:p>
    <w:p>
      <w:pPr>
        <w:pStyle w:val="Normal"/>
        <w:widowControl/>
        <w:rPr/>
      </w:pPr>
      <w:r>
        <w:rPr/>
        <w:t>3. Verified contestable value made available through voluntary subnational participation may count toward the relevant Party’s procurement contribution under Annex 49-A.</w:t>
      </w:r>
    </w:p>
    <w:p>
      <w:pPr>
        <w:pStyle w:val="Normal"/>
        <w:widowControl/>
        <w:rPr/>
      </w:pPr>
      <w:r>
        <w:rPr/>
        <w:t>4. The methodology shall respect institutional diversity and shall not penalize a Party merely because procurement authority is constitutionally decentralized. It may, however, measure the practical value actually placed within treaty coverage.</w:t>
      </w:r>
    </w:p>
    <w:p>
      <w:bookmarkStart w:id="1750" w:name="_NAESTMA_TOC_1750"/>
      <w:pPr>
        <w:pStyle w:val="Heading2"/>
        <w:keepNext/>
        <w:widowControl/>
        <w:rPr/>
      </w:pPr>
      <w:r>
        <w:rPr/>
        <w:t>Article 49.7F: Strategic Capacity, Resilience, and Optional Aggregated Demand</w:t>
      </w:r>
      <w:bookmarkEnd w:id="1750"/>
    </w:p>
    <w:p>
      <w:pPr>
        <w:pStyle w:val="Normal"/>
        <w:widowControl/>
        <w:rPr/>
      </w:pPr>
      <w:r>
        <w:rPr/>
        <w:t>1. In scheduled sectors, a procuring authority may lawfully evaluate North American supply resilience, multiple-source availability, repairability, surge capacity, secure logistics, interoperability, lifecycle support, circularity, and reduction of dangerous concentrated non-Party dependency where the criteria are disclosed, measurable, proportionate, and connected to the procurement.</w:t>
      </w:r>
    </w:p>
    <w:p>
      <w:pPr>
        <w:pStyle w:val="Normal"/>
        <w:widowControl/>
        <w:rPr/>
      </w:pPr>
      <w:r>
        <w:rPr/>
        <w:t>2. Resilience criteria shall not operate as disguised nationality scoring among Canadian, Mexican, and United States qualifying suppliers. Location-specific performance requirements may be used where objectively necessary for servicing, installation, emergency response, security, continuity, or another genuine contract function.</w:t>
      </w:r>
    </w:p>
    <w:p>
      <w:pPr>
        <w:pStyle w:val="Normal"/>
        <w:widowControl/>
        <w:rPr/>
      </w:pPr>
      <w:r>
        <w:rPr/>
        <w:t>3. A Party may receive limited additional contribution credit where a covered procurement verifiably creates material new North American productive capacity, repair capacity, recycling capacity, strategic-component capability, or surge capacity. Relocation that principally cannibalizes existing qualifying capacity in another Party shall not receive capacity-growth credit.</w:t>
      </w:r>
    </w:p>
    <w:p>
      <w:pPr>
        <w:pStyle w:val="Normal"/>
        <w:widowControl/>
        <w:rPr/>
      </w:pPr>
      <w:r>
        <w:rPr/>
        <w:t>4. The Parties may voluntarily coordinate demand forecasts, technical specifications, tender timing, framework agreements, or joint purchasing for suitable goods and services. Participation may stop at demand signalling, coordinated specification, synchronized tendering, or joint purchase, and no Party is required to aggregate demand.</w:t>
      </w:r>
    </w:p>
    <w:p>
      <w:bookmarkStart w:id="1751" w:name="_NAESTMA_TOC_1751"/>
      <w:pPr>
        <w:pStyle w:val="Heading2"/>
        <w:keepNext/>
        <w:widowControl/>
        <w:rPr/>
      </w:pPr>
      <w:r>
        <w:rPr/>
        <w:t>Article 49.7G: Anti-Gaming, Procurement Stability, and Practical Neutrality</w:t>
      </w:r>
      <w:bookmarkEnd w:id="1751"/>
    </w:p>
    <w:p>
      <w:pPr>
        <w:pStyle w:val="Normal"/>
        <w:widowControl/>
        <w:rPr/>
      </w:pPr>
      <w:r>
        <w:rPr/>
        <w:t>1. A procuring authority shall not evade covered thresholds or obligations by artificial contract splitting, unjustified aggregation, transfer of a covered purchasing function to an uncovered entity, use of a contractor or special-purpose vehicle as a procurement proxy, or formal reorganization that leaves the relevant procurement function substantially unchanged.</w:t>
      </w:r>
    </w:p>
    <w:p>
      <w:pPr>
        <w:pStyle w:val="Normal"/>
        <w:widowControl/>
        <w:rPr/>
      </w:pPr>
      <w:r>
        <w:rPr/>
        <w:t>2. Coverage shall follow a substantially transferred covered procurement function to a successor public entity unless the Parties agree otherwise or an objectively justified exclusion applies.</w:t>
      </w:r>
    </w:p>
    <w:p>
      <w:pPr>
        <w:pStyle w:val="Normal"/>
        <w:widowControl/>
        <w:rPr/>
      </w:pPr>
      <w:r>
        <w:rPr/>
        <w:t>3. Once a covered tender is published, material eligibility, preference, evaluation, origin, and strategic-chain rules shall remain stable through award except where a documented change is necessary to address a material legal, security, safety, integrity, emergency, or factual development. Affected bidders shall receive reasonable notice and treatment appropriate to the stage of the procurement.</w:t>
      </w:r>
    </w:p>
    <w:p>
      <w:pPr>
        <w:pStyle w:val="Normal"/>
        <w:widowControl/>
        <w:rPr/>
      </w:pPr>
      <w:r>
        <w:rPr/>
        <w:t>4. Lifecycle cost, durability, maintenance, environmental performance, resilience, delivery security, and other legitimate value factors may be considered. Such factors shall be disclosed in advance and administered comparably to qualifying suppliers of all Parties.</w:t>
      </w:r>
    </w:p>
    <w:p>
      <w:pPr>
        <w:pStyle w:val="Normal"/>
        <w:widowControl/>
        <w:rPr/>
      </w:pPr>
      <w:r>
        <w:rPr/>
        <w:t>5. Payment terms, retainage, reimbursement practices, and access to ordinary procurement review shall not be administered so as to materially disadvantage a qualifying supplier solely because it is established in another Party.</w:t>
      </w:r>
    </w:p>
    <w:p>
      <w:bookmarkStart w:id="1752" w:name="_NAESTMA_TOC_1752"/>
      <w:pPr>
        <w:pStyle w:val="Heading2"/>
        <w:keepNext/>
        <w:widowControl/>
        <w:rPr/>
      </w:pPr>
      <w:r>
        <w:rPr/>
        <w:t>Article 49.7H: Emergency, Security, Review, and Remedies</w:t>
      </w:r>
      <w:bookmarkEnd w:id="1752"/>
    </w:p>
    <w:p>
      <w:pPr>
        <w:pStyle w:val="Normal"/>
        <w:widowControl/>
        <w:rPr/>
      </w:pPr>
      <w:r>
        <w:rPr/>
        <w:t>1. Emergency procurement may use accelerated, direct, or exceptional procedures where reasonably necessary to protect life, health, essential services, critical infrastructure, disaster response, or urgent continuity. The procuring authority shall document the basis and duration after the fact where prior documentation is impracticable.</w:t>
      </w:r>
    </w:p>
    <w:p>
      <w:pPr>
        <w:pStyle w:val="Normal"/>
        <w:widowControl/>
        <w:rPr/>
      </w:pPr>
      <w:r>
        <w:rPr/>
        <w:t>2. Classified and genuinely sensitive national-security procurement remains protected. A security exclusion shall be connected to an identified security function and shall not be presumed applicable merely because a procuring entity has a security-related mission.</w:t>
      </w:r>
    </w:p>
    <w:p>
      <w:pPr>
        <w:pStyle w:val="Normal"/>
        <w:widowControl/>
        <w:rPr/>
      </w:pPr>
      <w:r>
        <w:rPr/>
        <w:t>3. Individual unsuccessful bids shall ordinarily use available domestic bid-challenge and review mechanisms. Cothrom review under this Agreement is reserved for treaty interpretation, systemic or repeated patterns, material access-equivalence disputes, circumvention, or failures not reasonably remediable through ordinary domestic review.</w:t>
      </w:r>
    </w:p>
    <w:p>
      <w:pPr>
        <w:pStyle w:val="Normal"/>
        <w:widowControl/>
        <w:rPr/>
      </w:pPr>
      <w:r>
        <w:rPr/>
        <w:t>4. The first remedy for a value-equivalence shortfall shall be correction or rebalancing under Article 49.7C. Monetary compensation, suspension of unrelated benefits, or tariff action shall not be used where practical procurement access can reasonably be restored through a narrower measure.</w:t>
      </w:r>
    </w:p>
    <w:p>
      <w:pPr>
        <w:pStyle w:val="Normal"/>
        <w:widowControl/>
        <w:rPr/>
      </w:pPr>
      <w:r>
        <w:rPr/>
        <w:t>5. The Procurement Committee shall publish a concise annual equivalence report using aggregated or protected data as necessary. The report shall identify methodology, coverage changes, Reciprocity Band status, unresolved material imbalances, and rebalancing measures without disclosing protected bid, security, or commercially confidential information.</w:t>
      </w:r>
    </w:p>
    <w:p>
      <w:pPr>
        <w:pStyle w:val="Heading3"/>
        <w:keepNext/>
        <w:widowControl/>
        <w:rPr/>
      </w:pPr>
      <w:r>
        <w:rPr/>
        <w:t>Article 49.8: Mexican Extraordinary-Tariff Normalization Track</w:t>
      </w:r>
    </w:p>
    <w:p>
      <w:pPr>
        <w:pStyle w:val="Normal"/>
        <w:widowControl/>
        <w:rPr/>
      </w:pPr>
      <w:r>
        <w:rPr/>
        <w:t>1. The Parties establish an expedited track to review extraordinary additional duties or equivalent restrictions applied to qualifying Mexican originating automotive goods, automotive parts, steel, aluminum, and other designated industrial goods where the measure materially departs from ordinary CUSMA treatment.</w:t>
      </w:r>
    </w:p>
    <w:p>
      <w:pPr>
        <w:pStyle w:val="Normal"/>
        <w:widowControl/>
        <w:rPr/>
      </w:pPr>
      <w:r>
        <w:rPr/>
        <w:t>2. The review shall consider verified North American origin, non-Party circumvention risk, strategic supply security, material domestic-industry effects, compliance history, and implementation of relevant economic-security commitments.</w:t>
      </w:r>
    </w:p>
    <w:p>
      <w:pPr>
        <w:pStyle w:val="Normal"/>
        <w:widowControl/>
        <w:rPr/>
      </w:pPr>
      <w:r>
        <w:rPr/>
        <w:t>3. Where the evidence demonstrates that qualifying Mexican originating production does not present the identified circumvention or essential-security risk, the Parties shall pursue the narrowest practicable normalization, which may include exclusion, quota conversion, staged duty reduction, tariff-rate treatment, suspension, or restoration of ordinary preferential treatment as authorized by law.</w:t>
      </w:r>
    </w:p>
    <w:p>
      <w:pPr>
        <w:pStyle w:val="Normal"/>
        <w:widowControl/>
        <w:rPr/>
      </w:pPr>
      <w:r>
        <w:rPr/>
        <w:t>4. Relief shall be available on objective terms and shall not require Mexico to surrender unrelated CUSMA rights or accept a Party-specific production quota merely as the price of normalization.</w:t>
      </w:r>
    </w:p>
    <w:p>
      <w:pPr>
        <w:pStyle w:val="Normal"/>
        <w:widowControl/>
        <w:rPr/>
      </w:pPr>
      <w:r>
        <w:rPr/>
        <w:t>5. Canada and the United States may use equivalent procedures for comparable originating goods so that normalization strengthens rather than fragments the trilateral market.</w:t>
      </w:r>
    </w:p>
    <w:p>
      <w:pPr>
        <w:pStyle w:val="Heading3"/>
        <w:keepNext/>
        <w:widowControl/>
        <w:rPr/>
      </w:pPr>
      <w:r>
        <w:rPr/>
        <w:t>Article 49.9: Trilateral Steel and Aluminum Normalization and Anti-Diversion Bargain</w:t>
      </w:r>
    </w:p>
    <w:p>
      <w:pPr>
        <w:pStyle w:val="Normal"/>
        <w:widowControl/>
        <w:rPr/>
      </w:pPr>
      <w:r>
        <w:rPr/>
        <w:t>1. Building on Article 49.5, the Parties shall seek to replace broad intra-CUSMA steel and aluminum restrictions with origin-based, risk-based, and anti-circumvention tools where such tools are sufficient to address the verified concern.</w:t>
      </w:r>
    </w:p>
    <w:p>
      <w:pPr>
        <w:pStyle w:val="Normal"/>
        <w:widowControl/>
        <w:rPr/>
      </w:pPr>
      <w:r>
        <w:rPr/>
        <w:t>2. Mexico, Canada, and the United States shall cooperate on melt-and-pour, smelt-and-cast, provenance, transshipment, and non-market-overcapacity verification while preserving commercially reasonable confidentiality.</w:t>
      </w:r>
    </w:p>
    <w:p>
      <w:pPr>
        <w:pStyle w:val="Normal"/>
        <w:widowControl/>
        <w:rPr/>
      </w:pPr>
      <w:r>
        <w:rPr/>
        <w:t>3. Verified originating material that satisfies the applicable provenance rules shall receive a presumption in favor of ordinary CUSMA treatment or the least-restrictive available security measure.</w:t>
      </w:r>
    </w:p>
    <w:p>
      <w:bookmarkStart w:id="1753" w:name="_NAESTMA_TOC_1753"/>
      <w:pPr>
        <w:pStyle w:val="Heading2"/>
        <w:keepNext/>
        <w:widowControl/>
        <w:rPr/>
      </w:pPr>
      <w:r>
        <w:rPr/>
        <w:t>ANNEX 49-A: NORTH AMERICAN PROCUREMENT VALUE-EQUIVALENCE AND LANDING SCHEDULE</w:t>
      </w:r>
      <w:bookmarkEnd w:id="1753"/>
    </w:p>
    <w:p>
      <w:bookmarkStart w:id="1754" w:name="_NAESTMA_TOC_1754"/>
      <w:pPr>
        <w:pStyle w:val="Heading2"/>
        <w:keepNext/>
        <w:widowControl/>
        <w:rPr/>
      </w:pPr>
      <w:r>
        <w:rPr/>
        <w:t>1. Purpose. This Annex implements Articles 49.7 through 49.7H. It establishes a common method for valuing practical reciprocal procurement access while preserving each Party’s constitutional structure, lawful exclusions, domestic policy space, and authority to determine procurement needs.</w:t>
      </w:r>
      <w:bookmarkEnd w:id="1754"/>
    </w:p>
    <w:p>
      <w:bookmarkStart w:id="1755" w:name="_NAESTMA_TOC_1755"/>
      <w:pPr>
        <w:pStyle w:val="Heading2"/>
        <w:keepNext/>
        <w:widowControl/>
        <w:rPr/>
      </w:pPr>
      <w:r>
        <w:rPr/>
        <w:t>2. Tier structure. For a covered procurement designated under this Annex, treatment may be organized as follows: Tier 1 — an expressly authorized domestic preference; Tier 2 — qualifying originating suppliers and North American Strategic Chains; Tier 3 — suppliers entitled to treatment under another applicable trade agreement; and Tier 4 — other suppliers. A Tier 1 preference shall not erase treaty access expressly guaranteed to another Party.</w:t>
      </w:r>
      <w:bookmarkEnd w:id="1755"/>
    </w:p>
    <w:p>
      <w:bookmarkStart w:id="1756" w:name="_NAESTMA_TOC_1756"/>
      <w:pPr>
        <w:pStyle w:val="Heading2"/>
        <w:keepNext/>
        <w:widowControl/>
        <w:rPr/>
      </w:pPr>
      <w:r>
        <w:rPr/>
        <w:t>3. Initial Tier-2 candidate sectors. Candidate sectors include infrastructure and construction materials; grid and energy equipment; transportation equipment; semiconductors and digital infrastructure; critical minerals and processed strategic materials; forest products and housing inputs; emergency-response equipment; and designated advanced-manufacturing supply chains. Permanent coverage requires adoption in the applicable Party schedule.</w:t>
      </w:r>
      <w:bookmarkEnd w:id="1756"/>
    </w:p>
    <w:p>
      <w:bookmarkStart w:id="1757" w:name="_NAESTMA_TOC_1757"/>
      <w:pPr>
        <w:pStyle w:val="Heading2"/>
        <w:keepNext/>
        <w:widowControl/>
        <w:rPr/>
      </w:pPr>
      <w:r>
        <w:rPr/>
        <w:t>4. Contestable Covered Procurement Value. The starting value is the annualized value of scheduled procurement for which a qualifying supplier of another Party could realistically compete. The Parties may use a rolling three-year average or another agreed representative period to reduce distortion from unusually large projects or cyclical expenditure.</w:t>
      </w:r>
      <w:bookmarkEnd w:id="1757"/>
    </w:p>
    <w:p>
      <w:bookmarkStart w:id="1758" w:name="_NAESTMA_TOC_1758"/>
      <w:pPr>
        <w:pStyle w:val="Heading2"/>
        <w:keepNext/>
        <w:widowControl/>
        <w:rPr/>
      </w:pPr>
      <w:r>
        <w:rPr/>
        <w:t>5. Excluded value. Gross spending shall be removed or discounted where access is unavailable because of a negotiated exclusion, genuine classified or national-security restriction, lawful Indigenous or tribal set-aside, legitimate SME reservation, justified sole-source procurement, statutory monopoly, pre-existing long-term commitment, emergency-only procurement, or another objectively unavailable category.</w:t>
      </w:r>
      <w:bookmarkEnd w:id="1758"/>
    </w:p>
    <w:p>
      <w:bookmarkStart w:id="1759" w:name="_NAESTMA_TOC_1759"/>
      <w:pPr>
        <w:pStyle w:val="Heading2"/>
        <w:keepNext/>
        <w:widowControl/>
        <w:rPr/>
      </w:pPr>
      <w:r>
        <w:rPr/>
        <w:t>6. Effective Accessible Procurement Value. EAPV shall be derived from Contestable Covered Procurement Value through transparent adjustment factors for: (a) entity and program coverage; (b) threshold accessibility; (c) domestic-preference intensity; (d) sector breadth and strategic relevance; (e) qualification and documentation accessibility; (f) bonding, insurance, certification, and local-presence requirements; (g) digital tender access and opportunity discoverability; (h) payment and retainage practices; (i) bid-challenge usability; and (j) any other factor jointly adopted by the Parties.</w:t>
      </w:r>
      <w:bookmarkEnd w:id="1759"/>
    </w:p>
    <w:p>
      <w:bookmarkStart w:id="1760" w:name="_NAESTMA_TOC_1760"/>
      <w:pPr>
        <w:pStyle w:val="Heading2"/>
        <w:keepNext/>
        <w:widowControl/>
        <w:rPr/>
      </w:pPr>
      <w:r>
        <w:rPr/>
        <w:t>7. No single-factor dominance. No individual factor, including gross dollar value, GDP, number of covered entities, number of contracts, or share of awards won by foreign suppliers, is dispositive. The methodology shall disclose material assumptions and avoid double counting.</w:t>
      </w:r>
      <w:bookmarkEnd w:id="1760"/>
    </w:p>
    <w:p>
      <w:bookmarkStart w:id="1761" w:name="_NAESTMA_TOC_1761"/>
      <w:pPr>
        <w:pStyle w:val="Heading2"/>
        <w:keepNext/>
        <w:widowControl/>
        <w:rPr/>
      </w:pPr>
      <w:r>
        <w:rPr/>
        <w:t>8. Domestic-preference adjustment. A lawful domestic preference shall be evaluated according to its effective competitive impact, including price preference, content rule, qualification advantage, tax-linked procurement advantage, evaluation bonus, or comparable mechanism. The existence of a domestic preference alone does not establish non-equivalence.</w:t>
      </w:r>
      <w:bookmarkEnd w:id="1761"/>
    </w:p>
    <w:p>
      <w:bookmarkStart w:id="1762" w:name="_NAESTMA_TOC_1762"/>
      <w:pPr>
        <w:pStyle w:val="Heading2"/>
        <w:keepNext/>
        <w:widowControl/>
        <w:rPr/>
      </w:pPr>
      <w:r>
        <w:rPr/>
        <w:t>9. Threshold and contract-structure adjustment. The Parties shall examine both nominal thresholds and the proportion of otherwise relevant procurement falling below them. Artificial contract splitting or other restructuring to avoid coverage shall be disregarded for equivalence purposes.</w:t>
      </w:r>
      <w:bookmarkEnd w:id="1762"/>
    </w:p>
    <w:p>
      <w:bookmarkStart w:id="1763" w:name="_NAESTMA_TOC_1763"/>
      <w:pPr>
        <w:pStyle w:val="Heading2"/>
        <w:keepNext/>
        <w:widowControl/>
        <w:rPr/>
      </w:pPr>
      <w:r>
        <w:rPr/>
        <w:t>10. Sector and entity diversity. Equivalent access should include a reasonable distribution across the scheduled procurement economy rather than concentration in a nominally large but practically narrow category. The methodology may separately identify central/federal entities, infrastructure bodies, covered public enterprises, and voluntarily participating subnational authorities without requiring identical governmental structures.</w:t>
      </w:r>
      <w:bookmarkEnd w:id="1763"/>
    </w:p>
    <w:p>
      <w:bookmarkStart w:id="1764" w:name="_NAESTMA_TOC_1764"/>
      <w:pPr>
        <w:pStyle w:val="Heading2"/>
        <w:keepNext/>
        <w:widowControl/>
        <w:rPr/>
      </w:pPr>
      <w:r>
        <w:rPr/>
        <w:t>11. SME accessibility modifier. Simplified qualification, reusable verified credentials, reasonable bid security, appropriately sized lots, interoperable certifications, electronic tendering, supplier matching, and prompt-payment practices may increase the practical-access value attributed to a covered procurement pathway. Legitimate domestic SME reservations remain excluded or separately treated as agreed.</w:t>
      </w:r>
      <w:bookmarkEnd w:id="1764"/>
    </w:p>
    <w:p>
      <w:bookmarkStart w:id="1765" w:name="_NAESTMA_TOC_1765"/>
      <w:pPr>
        <w:pStyle w:val="Heading2"/>
        <w:keepNext/>
        <w:widowControl/>
        <w:rPr/>
      </w:pPr>
      <w:r>
        <w:rPr/>
        <w:t>12. Strategic-capacity credit. A limited additional credit may be recognized for procurement that verifiably creates new North American production, repair, recycling, strategic-component, or surge capacity. Credit shall be capped so that capacity incentives cannot substitute for a materially closed procurement market, and no credit shall be awarded for principally cannibalizing existing qualifying capacity in another Party.</w:t>
      </w:r>
      <w:bookmarkEnd w:id="1765"/>
    </w:p>
    <w:p>
      <w:bookmarkStart w:id="1766" w:name="_NAESTMA_TOC_1766"/>
      <w:pPr>
        <w:pStyle w:val="Heading2"/>
        <w:keepNext/>
        <w:widowControl/>
        <w:rPr/>
      </w:pPr>
      <w:r>
        <w:rPr/>
        <w:t>13. Reciprocity Bands. The Parties shall establish numerical calibration ranges in their implementation schedules. The bands shall distinguish: Band A — substantial equivalence; Band B — minor measurable imbalance compatible with full benefits subject to an adjustment plan where appropriate; Band C — material imbalance requiring rebalancing; Band D — persistent substantial imbalance permitting targeted step-back of enhanced procurement preferences; and Band E — deliberate closure or circumvention subject to expedited Cothrom corrective review. Until numerical ranges are jointly adopted, no Party may infer a Band D or E consequence solely from an unpublished methodology.</w:t>
      </w:r>
      <w:bookmarkEnd w:id="1766"/>
    </w:p>
    <w:p>
      <w:bookmarkStart w:id="1767" w:name="_NAESTMA_TOC_1767"/>
      <w:pPr>
        <w:pStyle w:val="Heading2"/>
        <w:keepNext/>
        <w:widowControl/>
        <w:rPr/>
      </w:pPr>
      <w:r>
        <w:rPr/>
        <w:t>14. Rebalancing menu. A Party may restore equivalence by adding entities or sectors, lowering thresholds, reducing an applicable preference margin, simplifying qualification, improving SME usability, recognizing credentials, adding voluntary subnational coverage, correcting discriminatory administration, or providing another measurable access enhancement accepted under the methodology.</w:t>
      </w:r>
      <w:bookmarkEnd w:id="1767"/>
    </w:p>
    <w:p>
      <w:bookmarkStart w:id="1768" w:name="_NAESTMA_TOC_1768"/>
      <w:pPr>
        <w:pStyle w:val="Heading2"/>
        <w:keepNext/>
        <w:widowControl/>
        <w:rPr/>
      </w:pPr>
      <w:r>
        <w:rPr/>
        <w:t>15. Annual review and ordinary fluctuation. The Procurement Committee shall review EAPV annually using the most recent reliable data. Ordinary changes in government expenditure, cancellation of projects, recession, disaster spending, or supplier success rates shall not by themselves require compensation or rebalancing. The focus is the opportunity made practically available under the rules.</w:t>
      </w:r>
      <w:bookmarkEnd w:id="1768"/>
    </w:p>
    <w:p>
      <w:bookmarkStart w:id="1769" w:name="_NAESTMA_TOC_1769"/>
      <w:pPr>
        <w:pStyle w:val="Heading2"/>
        <w:keepNext/>
        <w:widowControl/>
        <w:rPr/>
      </w:pPr>
      <w:r>
        <w:rPr/>
        <w:t>16. Voluntary subnational schedules. Canada, Mexico, and the United States may maintain separate voluntary schedules for constitutionally competent subnational authorities. Participation may be entity-specific, sector-specific, threshold-specific, program-specific, or procurement-specific and may be withdrawn prospectively subject to reasonable reliance protection for already published tenders.</w:t>
      </w:r>
      <w:bookmarkEnd w:id="1769"/>
    </w:p>
    <w:p>
      <w:bookmarkStart w:id="1770" w:name="_NAESTMA_TOC_1770"/>
      <w:pPr>
        <w:pStyle w:val="Heading2"/>
        <w:keepNext/>
        <w:widowControl/>
        <w:rPr/>
      </w:pPr>
      <w:r>
        <w:rPr/>
        <w:t>17. Publication. A procuring authority shall publish the applicable tier, origin or strategic-chain criteria, security requirements, evaluation method, threshold, material domestic preference, and material eligibility conditions before bids close. Criteria shall be measurable and shall not be rewritten after bid submission to favor a preferred supplier.</w:t>
      </w:r>
      <w:bookmarkEnd w:id="1770"/>
    </w:p>
    <w:p>
      <w:bookmarkStart w:id="1771" w:name="_NAESTMA_TOC_1771"/>
      <w:pPr>
        <w:pStyle w:val="Heading2"/>
        <w:keepNext/>
        <w:widowControl/>
        <w:rPr/>
      </w:pPr>
      <w:r>
        <w:rPr/>
        <w:t>18. Data protection. Equivalence reporting shall use aggregated, anonymized, or protected data where necessary. Nothing in this Annex requires disclosure of classified information, protected Indigenous or tribal information, trade secrets, confidential bid information, protected tax information, or information whose disclosure would materially impair procurement integrity.</w:t>
      </w:r>
      <w:bookmarkEnd w:id="1771"/>
    </w:p>
    <w:p>
      <w:bookmarkStart w:id="1772" w:name="_NAESTMA_TOC_1772"/>
      <w:pPr>
        <w:pStyle w:val="Heading2"/>
        <w:keepNext/>
        <w:widowControl/>
        <w:rPr/>
      </w:pPr>
      <w:r>
        <w:rPr/>
        <w:t>19. Initial implementation. Within 180 days of entry into force, the Procurement Committee shall recommend initial permanent Tier-2 sectors and entities, propose numerical Reciprocity Band ranges, identify data gaps, and publish a non-binding model Party schedule. Until permanent schedules are adopted, existing procurement commitments remain in force and this Annex shall not be construed to create unscheduled market-access obligations.</w:t>
      </w:r>
      <w:bookmarkEnd w:id="1772"/>
    </w:p>
    <w:p>
      <w:bookmarkStart w:id="1773" w:name="_NAESTMA_TOC_1773"/>
      <w:pPr>
        <w:pStyle w:val="Heading2"/>
        <w:keepNext/>
        <w:widowControl/>
        <w:rPr/>
      </w:pPr>
      <w:r>
        <w:rPr/>
        <w:t>20. Three-Win review. Before a permanent procurement schedule or material expansion enters into force, the Parties shall assess whether each Party can identify a commercially meaningful and politically intelligible procurement benefit, whether contribution is substantially equivalent in practical opportunity, and whether the arrangement respects constitutional and development-policy differences. A failure of identical dollar value is not a failure of the Three-Win Test.</w:t>
      </w:r>
      <w:r>
        <w:br w:type="page"/>
      </w:r>
      <w:bookmarkEnd w:id="1773"/>
    </w:p>
    <w:p>
      <w:bookmarkStart w:id="1774" w:name="_NAESTMA_TOC_1774"/>
      <w:pPr>
        <w:pStyle w:val="Heading1"/>
        <w:keepNext/>
        <w:keepLines w:val="0"/>
        <w:pageBreakBefore/>
        <w:widowControl/>
        <w:rPr/>
      </w:pPr>
      <w:bookmarkStart w:id="308" w:name="_Toc237912789"/>
      <w:r>
        <w:rPr/>
        <w:t>CHAPTER 50</w:t>
      </w:r>
      <w:bookmarkEnd w:id="308"/>
      <w:bookmarkEnd w:id="1774"/>
    </w:p>
    <w:p>
      <w:bookmarkStart w:id="1775" w:name="_NAESTMA_TOC_1775"/>
      <w:pPr>
        <w:pStyle w:val="Heading2"/>
        <w:keepNext/>
        <w:pageBreakBefore w:val="false"/>
        <w:widowControl/>
        <w:rPr/>
      </w:pPr>
      <w:bookmarkStart w:id="309" w:name="_Toc237912790"/>
      <w:r>
        <w:rPr/>
        <w:t>SME, CUSTOMS, DIGITAL, AND SUPPLY-CHAIN MODERNIZATION</w:t>
      </w:r>
      <w:bookmarkEnd w:id="309"/>
      <w:bookmarkEnd w:id="1775"/>
    </w:p>
    <w:p>
      <w:pPr>
        <w:pStyle w:val="Heading3"/>
        <w:keepNext/>
        <w:widowControl/>
        <w:rPr/>
      </w:pPr>
      <w:r>
        <w:rPr/>
        <w:t>Article 50.1: Trusted SME Exporter</w:t>
      </w:r>
    </w:p>
    <w:p>
      <w:pPr>
        <w:pStyle w:val="Normal"/>
        <w:widowControl/>
        <w:rPr/>
      </w:pPr>
      <w:r>
        <w:rPr/>
        <w:t>1. Each Party shall provide a simplified trusted-exporter pathway for qualifying low-volume, low-risk SMEs with a clean compliance record. Benefits may include consolidated origin records, reduced repetitive documentary requests, electronic pre-clearance, and risk-based verification.</w:t>
      </w:r>
    </w:p>
    <w:p>
      <w:pPr>
        <w:pStyle w:val="Normal"/>
        <w:widowControl/>
        <w:rPr/>
      </w:pPr>
      <w:r>
        <w:rPr/>
        <w:t>2. Suspension requires particularized risk evidence, notice, reasons, and expedited review. One entity's violation does not justify suspension of the program as a whole absent systemic deficiency.</w:t>
      </w:r>
    </w:p>
    <w:p>
      <w:pPr>
        <w:pStyle w:val="Heading3"/>
        <w:keepNext/>
        <w:widowControl/>
        <w:rPr/>
      </w:pPr>
      <w:r>
        <w:rPr/>
        <w:t>Article 50.2: Plain-Language and Port Consistency Rule</w:t>
      </w:r>
    </w:p>
    <w:p>
      <w:pPr>
        <w:pStyle w:val="Normal"/>
        <w:widowControl/>
        <w:rPr/>
      </w:pPr>
      <w:r>
        <w:rPr/>
        <w:t>1. Customs agencies shall publish current plain-language operational guidance for commonly used CUSMA procedures and maintain a mechanism to identify and correct materially inconsistent application among ports of entry.</w:t>
      </w:r>
    </w:p>
    <w:p>
      <w:pPr>
        <w:pStyle w:val="Normal"/>
        <w:widowControl/>
        <w:rPr/>
      </w:pPr>
      <w:r>
        <w:rPr/>
        <w:t>2. Guidance does not override treaty text or domestic law, but a trader's reasonable reliance on current official guidance shall be considered in penalty mitigation where the trader acted in good faith.</w:t>
      </w:r>
    </w:p>
    <w:p>
      <w:pPr>
        <w:pStyle w:val="Heading3"/>
        <w:keepNext/>
        <w:widowControl/>
        <w:rPr/>
      </w:pPr>
      <w:r>
        <w:rPr/>
        <w:t>Article 50.3: Harmonized Core Customs Data</w:t>
      </w:r>
    </w:p>
    <w:p>
      <w:pPr>
        <w:pStyle w:val="Normal"/>
        <w:widowControl/>
        <w:rPr/>
      </w:pPr>
      <w:r>
        <w:rPr/>
        <w:t>1. The Parties shall maintain a common core data set for routine originating-goods declarations and low-value shipments, using interoperable electronic formats. Additional data demands shall be risk-based and proportionate.</w:t>
      </w:r>
    </w:p>
    <w:p>
      <w:pPr>
        <w:pStyle w:val="Heading3"/>
        <w:keepNext/>
        <w:widowControl/>
        <w:rPr/>
      </w:pPr>
      <w:r>
        <w:rPr/>
        <w:t>Article 50.4: Non-Market Practice Definition and Review</w:t>
      </w:r>
    </w:p>
    <w:p>
      <w:pPr>
        <w:pStyle w:val="Normal"/>
        <w:widowControl/>
        <w:rPr/>
      </w:pPr>
      <w:r>
        <w:rPr/>
        <w:t>1. For purposes of this Agreement, a non-market practice means a specific government-directed or government-enabled practice that materially distorts competitive conditions through mechanisms such as non-commercial financing, non-transparent subsidies, compelled technology transfer, discriminatory state purchasing, strategic overcapacity support, or circumvention of applicable trade remedies.</w:t>
      </w:r>
    </w:p>
    <w:p>
      <w:pPr>
        <w:pStyle w:val="Normal"/>
        <w:widowControl/>
        <w:rPr/>
      </w:pPr>
      <w:r>
        <w:rPr/>
        <w:t>2. State ownership, public enterprise status, industrial policy, or a trade surplus alone does not establish a non-market practice.</w:t>
      </w:r>
    </w:p>
    <w:p>
      <w:pPr>
        <w:pStyle w:val="Normal"/>
        <w:widowControl/>
        <w:rPr/>
      </w:pPr>
      <w:r>
        <w:rPr/>
        <w:t>3. Measures responding to a claimed non-market practice shall identify the conduct, evidence, causal connection, and proposed remedy and remain subject to dispute settlement.</w:t>
      </w:r>
    </w:p>
    <w:p>
      <w:pPr>
        <w:pStyle w:val="Heading3"/>
        <w:keepNext/>
        <w:widowControl/>
        <w:rPr/>
      </w:pPr>
      <w:r>
        <w:rPr/>
        <w:t>Article 50.5: Supply-Chain Risk Map and Early Warning</w:t>
      </w:r>
    </w:p>
    <w:p>
      <w:pPr>
        <w:pStyle w:val="Normal"/>
        <w:widowControl/>
        <w:rPr/>
      </w:pPr>
      <w:r>
        <w:rPr/>
        <w:t>1. The Parties shall maintain a shared, security-protected North American Supply-Chain Risk Map identifying material single points of failure, excessive geographic concentration, critical infrastructure dependencies, and strategic processing bottlenecks.</w:t>
      </w:r>
    </w:p>
    <w:p>
      <w:pPr>
        <w:pStyle w:val="Normal"/>
        <w:widowControl/>
        <w:rPr/>
      </w:pPr>
      <w:r>
        <w:rPr/>
        <w:t>2. The Map is diagnostic and does not create purchase mandates, export guarantees, or automatic restrictions against a non-Party.</w:t>
      </w:r>
    </w:p>
    <w:p>
      <w:pPr>
        <w:pStyle w:val="Heading3"/>
        <w:keepNext/>
        <w:widowControl/>
        <w:rPr/>
      </w:pPr>
      <w:r>
        <w:rPr/>
        <w:t>Article 50.6: Digital Economy Regulatory Principles</w:t>
      </w:r>
    </w:p>
    <w:p>
      <w:pPr>
        <w:pStyle w:val="Normal"/>
        <w:widowControl/>
        <w:rPr/>
      </w:pPr>
      <w:r>
        <w:rPr/>
        <w:t>1. Each Party retains the right to regulate AI-enabled commerce, online platforms, privacy, cybersecurity, digital taxation, cultural policy, financial technology, and cross-border data consistent with this Agreement.</w:t>
      </w:r>
    </w:p>
    <w:p>
      <w:pPr>
        <w:pStyle w:val="Normal"/>
        <w:widowControl/>
        <w:rPr/>
      </w:pPr>
      <w:r>
        <w:rPr/>
        <w:t>2. Digital regulation shall not discriminate on the basis of nationality or location without an objective public-policy or security basis, and should be interoperable and no more trade-restrictive than reasonably necessary to achieve its legitimate objective.</w:t>
      </w:r>
    </w:p>
    <w:p>
      <w:pPr>
        <w:pStyle w:val="Normal"/>
        <w:widowControl/>
        <w:rPr/>
      </w:pPr>
      <w:r>
        <w:rPr/>
        <w:t>3. The Parties shall pursue coordinated or multilateral approaches to digital taxation where feasible. No indefinite standstill on non-discriminatory domestic taxation is created by this Article.</w:t>
      </w:r>
    </w:p>
    <w:p>
      <w:pPr>
        <w:pStyle w:val="Normal"/>
        <w:widowControl/>
      </w:pPr>
      <w:r>
        <w:t>4. For greater certainty, this Article is subject to Article 41.7A (Cultural and Linguistic Sovereignty Firewall) and does not limit bona fide measures concerning language rights, linguistic accessibility, cultural discoverability, language-based labeling or labelling, interface-language availability, recommendation-system treatment, cultural contributions, or the promotion of domestic, Indigenous, minority-language, regional, or heritage-language expression. A measure within Article 41.7A is not inconsistent with paragraph 2 merely because it differentiates by language in order to achieve the protected linguistic or cultural objective. The Parties shall interpret digital-trade obligations so that technological neutrality does not erase or materially impair a Party's chosen level of linguistic or cultural protection. Nothing in this paragraph expands a cultural or linguistic measure beyond the safeguards, good-faith requirements, and anti-disguised-discrimination rule in Article 41.7A.</w:t>
      </w:r>
    </w:p>
    <w:p>
      <w:pPr>
        <w:pStyle w:val="Heading3"/>
        <w:keepNext/>
        <w:widowControl/>
        <w:rPr/>
      </w:pPr>
      <w:r>
        <w:rPr/>
        <w:t>Article 50.7: Cryptographic Authenticity and Fraud Coordination</w:t>
      </w:r>
    </w:p>
    <w:p>
      <w:pPr>
        <w:pStyle w:val="Normal"/>
        <w:widowControl/>
        <w:rPr/>
      </w:pPr>
      <w:r>
        <w:rPr/>
        <w:t>1. The Parties shall support technologically neutral cryptographic authenticity for electronic origin certifications and other high-value trade credentials, including secure validation and revocation capability.</w:t>
      </w:r>
    </w:p>
    <w:p>
      <w:pPr>
        <w:pStyle w:val="Normal"/>
        <w:widowControl/>
        <w:rPr/>
      </w:pPr>
      <w:r>
        <w:rPr/>
        <w:t>2. Customs authorities shall share legally releasable fraud patterns, compromised credential indicators, and coordinated-investigation requests through secure channels with privacy, confidentiality, and due-process safeguards.</w:t>
      </w:r>
    </w:p>
    <w:p>
      <w:pPr>
        <w:pStyle w:val="Heading3"/>
        <w:keepNext/>
        <w:widowControl/>
        <w:rPr/>
      </w:pPr>
      <w:r>
        <w:rPr/>
        <w:t>Article 50.8: Mexican Digital Manufacturing and SME Export Lane</w:t>
      </w:r>
    </w:p>
    <w:p>
      <w:pPr>
        <w:pStyle w:val="Normal"/>
        <w:widowControl/>
        <w:rPr/>
      </w:pPr>
      <w:r>
        <w:rPr/>
        <w:t>1. The Parties shall establish a Mexican Digital Manufacturing and SME Export Lane connecting Mexico's electronics, automotive, aerospace, semiconductor, software, design, logistics, and advanced-manufacturing firms with North American digital trade and procurement opportunities.</w:t>
      </w:r>
    </w:p>
    <w:p>
      <w:pPr>
        <w:pStyle w:val="Normal"/>
        <w:widowControl/>
        <w:rPr/>
      </w:pPr>
      <w:r>
        <w:rPr/>
        <w:t>2. The Lane may provide reusable electronic credentials, cloud and cybersecurity guidance, interoperable invoicing and customs data, SME compliance assistance, digital-service export support, participation in semiconductor design and packaging networks, and access to voluntary testing and qualification facilities.</w:t>
      </w:r>
    </w:p>
    <w:p>
      <w:pPr>
        <w:pStyle w:val="Normal"/>
        <w:widowControl/>
        <w:rPr/>
      </w:pPr>
      <w:r>
        <w:rPr/>
        <w:t>3. Benefits shall be available on objective terms to qualifying firms and shall not require source-code disclosure, transfer of intellectual property, or localization beyond what is permitted by this Agreement and domestic law.</w:t>
      </w:r>
    </w:p>
    <w:p>
      <w:pPr>
        <w:pStyle w:val="Normal"/>
        <w:widowControl/>
        <w:rPr/>
      </w:pPr>
      <w:r>
        <w:rPr/>
        <w:t>4. The Commission shall monitor whether digital implementation rules create disproportionate barriers for Mexican SMEs or electronics manufacturers relative to functionally equivalent Canadian or United States firms and shall recommend technical correction where appropriate.</w:t>
      </w:r>
    </w:p>
    <w:p>
      <w:bookmarkStart w:id="1776" w:name="_NAESTMA_TOC_1776"/>
      <w:pPr>
        <w:pStyle w:val="Heading1"/>
        <w:keepNext/>
        <w:pageBreakBefore w:val="0"/>
        <w:widowControl/>
        <w:rPr/>
      </w:pPr>
      <w:r>
        <w:rPr/>
        <w:t>Article 50.9: Administrative Friction and Border Performance Safeguard</w:t>
      </w:r>
      <w:bookmarkEnd w:id="1776"/>
    </w:p>
    <w:p>
      <w:pPr>
        <w:pStyle w:val="Normal"/>
        <w:widowControl/>
        <w:rPr/>
      </w:pPr>
      <w:r>
        <w:rPr/>
        <w:t>1. A Party shall administer customs, licensing, certification, inspection, laboratory, bond, port, and related border procedures in a risk-based, proportionate, timely, and non-discriminatory manner.</w:t>
      </w:r>
    </w:p>
    <w:p>
      <w:pPr>
        <w:pStyle w:val="Normal"/>
        <w:widowControl/>
        <w:rPr/>
      </w:pPr>
      <w:r>
        <w:rPr/>
        <w:t>2. The Secretariat shall publish comparable performance indicators, including clearance-time distributions, inspection and secondary-examination rates, release delays, documentation burdens, rejection rates, laboratory referral, and trusted-trader performance, with appropriate protection for security and commercial information.</w:t>
      </w:r>
    </w:p>
    <w:p>
      <w:pPr>
        <w:pStyle w:val="Normal"/>
        <w:widowControl/>
        <w:rPr/>
      </w:pPr>
      <w:r>
        <w:rPr/>
        <w:t>3. Persistent unexplained divergence affecting comparable originating goods may trigger Article 46.17 review. A Party may rebut the inference with evidence of risk, congestion, product characteristics, compliance history, emergency conditions, or other legitimate causes.</w:t>
      </w:r>
    </w:p>
    <w:p>
      <w:pPr>
        <w:pStyle w:val="Normal"/>
        <w:widowControl/>
        <w:rPr/>
      </w:pPr>
      <w:r>
        <w:rPr/>
        <w:t>4. Formally equal administration that imposes materially excessive burden relative to the legitimate objective remains subject to necessity and proportionality review.</w:t>
      </w:r>
    </w:p>
    <w:p>
      <w:bookmarkStart w:id="1777" w:name="_NAESTMA_TOC_1777"/>
      <w:pPr>
        <w:pStyle w:val="Heading1"/>
        <w:keepNext/>
        <w:pageBreakBefore w:val="0"/>
        <w:widowControl/>
        <w:rPr/>
      </w:pPr>
      <w:r>
        <w:rPr/>
        <w:t>Article 50.10: Least-Burdensome Verification and Repeat-Audit Safeguard</w:t>
      </w:r>
      <w:bookmarkEnd w:id="1777"/>
    </w:p>
    <w:p>
      <w:pPr>
        <w:pStyle w:val="Normal"/>
        <w:widowControl/>
        <w:rPr/>
      </w:pPr>
      <w:r>
        <w:rPr/>
        <w:t>1. Where multiple verification methods provide materially equivalent assurance, the administering authority should use the method imposing the lower reasonable compliance burden.</w:t>
      </w:r>
    </w:p>
    <w:p>
      <w:pPr>
        <w:pStyle w:val="Normal"/>
        <w:widowControl/>
        <w:rPr/>
      </w:pPr>
      <w:r>
        <w:rPr/>
        <w:t>2. A first-time or low-risk trader with a verified compliance history shall not be subjected to substantially duplicative audits or document demands absent new risk information, material discrepancy, random quality-control sampling, or another objective predicate.</w:t>
      </w:r>
    </w:p>
    <w:p>
      <w:pPr>
        <w:pStyle w:val="Normal"/>
        <w:widowControl/>
        <w:rPr/>
      </w:pPr>
      <w:r>
        <w:rPr/>
        <w:t>3. Repeated audits, inspections, or information demands shall be recorded in a manner permitting pattern review under Article 46.17.</w:t>
      </w:r>
    </w:p>
    <w:p>
      <w:bookmarkStart w:id="1778" w:name="_NAESTMA_TOC_1778"/>
      <w:pPr>
        <w:pStyle w:val="Heading1"/>
        <w:keepNext/>
        <w:pageBreakBefore w:val="0"/>
        <w:widowControl/>
        <w:rPr/>
      </w:pPr>
      <w:r>
        <w:rPr/>
        <w:t>Article 50.11: Decision-or-Explain Deadlines and Application Completeness Lock</w:t>
      </w:r>
      <w:bookmarkEnd w:id="1778"/>
    </w:p>
    <w:p>
      <w:pPr>
        <w:pStyle w:val="Normal"/>
        <w:widowControl/>
        <w:rPr/>
      </w:pPr>
      <w:r>
        <w:rPr/>
        <w:t>1. Each Party shall establish reasonable published decision targets for covered advance rulings, licenses, permits, certifications, trusted-status determinations, and other trade-administrative applications.</w:t>
      </w:r>
    </w:p>
    <w:p>
      <w:pPr>
        <w:pStyle w:val="Normal"/>
        <w:widowControl/>
        <w:rPr/>
      </w:pPr>
      <w:r>
        <w:rPr/>
        <w:t>2. When the target expires without decision, the authority shall decide, provide a reasoned time-limited extension, or make available expedited procedural review. Silence shall not create indefinite discretion.</w:t>
      </w:r>
    </w:p>
    <w:p>
      <w:pPr>
        <w:pStyle w:val="Normal"/>
        <w:widowControl/>
        <w:rPr/>
      </w:pPr>
      <w:r>
        <w:rPr/>
        <w:t>3. Once an authority formally determines an application complete, additional information requests shall be materially connected to newly discovered facts, changed circumstances, legal requirements not reasonably identifiable earlier, or information shown to be materially necessary to decide the application.</w:t>
      </w:r>
    </w:p>
    <w:p>
      <w:pPr>
        <w:pStyle w:val="Normal"/>
        <w:widowControl/>
        <w:rPr/>
      </w:pPr>
      <w:r>
        <w:rPr/>
        <w:t>4. This Article does not create automatic approval where safety, security, environment, public health, financial integrity, or another legitimate public interest requires an affirmative decision.</w:t>
      </w:r>
    </w:p>
    <w:p>
      <w:bookmarkStart w:id="1779" w:name="_NAESTMA_TOC_1779"/>
      <w:pPr>
        <w:pStyle w:val="Heading1"/>
        <w:keepNext/>
        <w:pageBreakBefore w:val="0"/>
        <w:widowControl/>
        <w:rPr/>
      </w:pPr>
      <w:r>
        <w:rPr/>
        <w:t>Article 50.12: Trusted Status Due Process</w:t>
      </w:r>
      <w:bookmarkEnd w:id="1779"/>
    </w:p>
    <w:p>
      <w:pPr>
        <w:pStyle w:val="Normal"/>
        <w:widowControl/>
        <w:rPr/>
      </w:pPr>
      <w:r>
        <w:rPr/>
        <w:t>1. Suspension, downgrading, or revocation of trusted-trader or equivalent status shall be based on objective criteria and accompanied by a reasoned notice sufficient to permit response, subject to lawful confidentiality.</w:t>
      </w:r>
    </w:p>
    <w:p>
      <w:pPr>
        <w:pStyle w:val="Normal"/>
        <w:widowControl/>
        <w:rPr/>
      </w:pPr>
      <w:r>
        <w:rPr/>
        <w:t>2. Except where immediate action is necessary to address material fraud, safety, security, or evasion risk, the trader shall receive a reasonable cure opportunity and expedited review before loss of status becomes final.</w:t>
      </w:r>
    </w:p>
    <w:p>
      <w:bookmarkStart w:id="1780" w:name="_NAESTMA_TOC_1780"/>
      <w:pPr>
        <w:pStyle w:val="Heading1"/>
        <w:keepNext/>
        <w:pageBreakBefore w:val="0"/>
        <w:widowControl/>
        <w:rPr/>
      </w:pPr>
      <w:r>
        <w:rPr/>
        <w:t>Article 50.13: Technical Standard and Conformity-Assessment Capacity Protection</w:t>
      </w:r>
      <w:bookmarkEnd w:id="1780"/>
    </w:p>
    <w:p>
      <w:pPr>
        <w:pStyle w:val="Normal"/>
        <w:widowControl/>
        <w:rPr/>
      </w:pPr>
      <w:r>
        <w:rPr/>
        <w:t>1. A technical regulation materially affecting originating trade shall pursue a legitimate objective and shall not be more trade restrictive than reasonably necessary in light of the risks non-fulfilment would create, consistent with Chapter 11.</w:t>
      </w:r>
    </w:p>
    <w:p>
      <w:pPr>
        <w:pStyle w:val="Normal"/>
        <w:widowControl/>
        <w:rPr/>
      </w:pPr>
      <w:r>
        <w:rPr/>
        <w:t>2. Where equivalent assurance can be provided by a competent conformity-assessment body in another Party, the importing Party shall provide a fair process to recognize that body or explain the objective basis for refusal.</w:t>
      </w:r>
    </w:p>
    <w:p>
      <w:pPr>
        <w:pStyle w:val="Normal"/>
        <w:widowControl/>
        <w:rPr/>
      </w:pPr>
      <w:r>
        <w:rPr/>
        <w:t>3. A Party shall not create a de facto trade barrier by maintaining manifestly inadequate mandatory certification capacity, exclusive bottlenecks without objective necessity, or processing queues disproportionate to the regulatory risk.</w:t>
      </w:r>
    </w:p>
    <w:p>
      <w:pPr>
        <w:pStyle w:val="Normal"/>
        <w:widowControl/>
        <w:rPr/>
      </w:pPr>
      <w:r>
        <w:rPr/>
        <w:t>4. Where certification capacity fails materially, the Parties shall consider temporary mutual recognition, additional accredited capacity, provisional certification, or other safe continuity measures.</w:t>
      </w:r>
    </w:p>
    <w:p>
      <w:bookmarkStart w:id="1781" w:name="_NAESTMA_TOC_1781"/>
      <w:pPr>
        <w:pStyle w:val="Heading1"/>
        <w:keepNext/>
        <w:pageBreakBefore w:val="0"/>
        <w:widowControl/>
        <w:rPr/>
      </w:pPr>
      <w:r>
        <w:rPr/>
        <w:t>Article 50.14: Service, Business-Day, and Technical-Failure Fairness</w:t>
      </w:r>
      <w:bookmarkEnd w:id="1781"/>
    </w:p>
    <w:p>
      <w:pPr>
        <w:pStyle w:val="Normal"/>
        <w:widowControl/>
        <w:rPr/>
      </w:pPr>
      <w:r>
        <w:rPr/>
        <w:t>1. Procedural periods shall use published rules for business days, service, time zones, holidays, and technical failures. A deadline shall not be engineered to deprive another Party or covered person of a reasonable opportunity to respond.</w:t>
      </w:r>
    </w:p>
    <w:p>
      <w:pPr>
        <w:pStyle w:val="Normal"/>
        <w:widowControl/>
        <w:rPr/>
      </w:pPr>
      <w:r>
        <w:rPr/>
        <w:t>2. Material electronic filing failure outside the filer's reasonable control entitles the filer to a reasonable restoration period upon prompt notice and evidence of attempted compliance.</w:t>
      </w:r>
      <w:r>
        <w:br w:type="page"/>
      </w:r>
    </w:p>
    <w:p>
      <w:bookmarkStart w:id="1782" w:name="_NAESTMA_TOC_1782"/>
      <w:pPr>
        <w:pStyle w:val="Heading1"/>
        <w:keepNext/>
        <w:keepLines w:val="0"/>
        <w:pageBreakBefore/>
        <w:widowControl/>
        <w:rPr/>
      </w:pPr>
      <w:bookmarkStart w:id="310" w:name="_Toc237912791"/>
      <w:r>
        <w:rPr/>
        <w:t>CHAPTER 51</w:t>
      </w:r>
      <w:bookmarkEnd w:id="310"/>
      <w:bookmarkEnd w:id="1782"/>
    </w:p>
    <w:p>
      <w:bookmarkStart w:id="1783" w:name="_NAESTMA_TOC_1783"/>
      <w:pPr>
        <w:pStyle w:val="Heading2"/>
        <w:keepNext/>
        <w:pageBreakBefore w:val="false"/>
        <w:widowControl/>
        <w:rPr/>
      </w:pPr>
      <w:bookmarkStart w:id="311" w:name="_Toc237912792"/>
      <w:r>
        <w:rPr/>
        <w:t>SYMMETRICAL LABOR, ENVIRONMENTAL, AND SCIENTIFIC COOPERATION</w:t>
      </w:r>
      <w:bookmarkEnd w:id="311"/>
      <w:bookmarkEnd w:id="1783"/>
    </w:p>
    <w:p>
      <w:pPr>
        <w:pStyle w:val="Heading3"/>
        <w:keepNext/>
        <w:widowControl/>
        <w:rPr/>
      </w:pPr>
      <w:r>
        <w:rPr/>
        <w:t>Article 50.15: Concurrent Processing, Clock Integrity, and Completeness Finality</w:t>
      </w:r>
    </w:p>
    <w:p>
      <w:pPr>
        <w:pStyle w:val="Heading3"/>
        <w:keepNext/>
        <w:widowControl/>
        <w:rPr/>
      </w:pPr>
      <w:r>
        <w:rPr/>
        <w:t>1. Where multiple administrative reviews concern the same transaction or application, competent authorities shall conduct them concurrently where reasonably practicable rather than serially multiplying otherwise applicable service periods.</w:t>
      </w:r>
    </w:p>
    <w:p>
      <w:pPr>
        <w:pStyle w:val="Heading3"/>
        <w:keepNext/>
        <w:widowControl/>
        <w:rPr/>
      </w:pPr>
      <w:r>
        <w:rPr/>
        <w:t>2. An initial completeness review shall identify all deficiencies reasonably discoverable from the submission at that time. Later supplementation may be required for materially new facts, changed circumstances, newly discovered risk, or defects not reasonably discoverable earlier, but minor or immaterial supplementation shall not restart the entire service clock.</w:t>
      </w:r>
    </w:p>
    <w:p>
      <w:pPr>
        <w:pStyle w:val="Heading3"/>
        <w:keepNext/>
        <w:widowControl/>
        <w:rPr/>
      </w:pPr>
      <w:r>
        <w:rPr/>
        <w:t>3. Tolling shall be limited to the period reasonably attributable to material missing information and shall not be reset by agency-caused delay. Repetitive requests for substantially the same information require a reasoned explanation.</w:t>
      </w:r>
    </w:p>
    <w:p>
      <w:pPr>
        <w:pStyle w:val="Heading3"/>
        <w:keepNext/>
        <w:widowControl/>
        <w:rPr/>
      </w:pPr>
      <w:r>
        <w:rPr/>
        <w:t>4. Once an application is declared complete, additional information demands must identify their material connection to the decision. This paragraph does not prevent urgent requests necessary to address newly discovered health, safety, security, fraud, or environmental risk.</w:t>
      </w:r>
    </w:p>
    <w:p>
      <w:pPr>
        <w:pStyle w:val="Heading3"/>
        <w:keepNext/>
        <w:widowControl/>
        <w:rPr/>
      </w:pPr>
      <w:r>
        <w:rPr/>
        <w:t>Article 50.16: Administrative Intensity, Proxy Discrimination, and Performance Comparators</w:t>
      </w:r>
    </w:p>
    <w:p>
      <w:pPr>
        <w:pStyle w:val="Heading3"/>
        <w:keepNext/>
        <w:widowControl/>
        <w:rPr/>
      </w:pPr>
      <w:r>
        <w:rPr/>
        <w:t>1. Equality of written rules does not by itself establish equal administration. Review may compare inspection frequency, correction opportunities, cure periods, audit intensity, processing practices, documentation burden, discretionary accommodation, rejection rates, and other operational indicators among materially similarly situated actors.</w:t>
      </w:r>
    </w:p>
    <w:p>
      <w:pPr>
        <w:pStyle w:val="Heading3"/>
        <w:keepNext/>
        <w:widowControl/>
        <w:rPr/>
      </w:pPr>
      <w:r>
        <w:rPr/>
        <w:t>2. Direct nationality classification is not required. Persistent disparity produced by proxy variables or automated risk factors may trigger protected review where ordinary risk factors do not adequately explain the difference.</w:t>
      </w:r>
    </w:p>
    <w:p>
      <w:pPr>
        <w:pStyle w:val="Heading3"/>
        <w:keepNext/>
        <w:widowControl/>
        <w:rPr/>
      </w:pPr>
      <w:r>
        <w:rPr/>
        <w:t>3. Statistical disparity is a screening and evidentiary tool, not an automatic finding. The administering Party may rebut with evidence of legitimate risk, trade composition, product characteristics, compliance history, congestion, seasonal demand, emergency conditions, fraud patterns, or other relevant factors.</w:t>
      </w:r>
    </w:p>
    <w:p>
      <w:pPr>
        <w:pStyle w:val="Heading3"/>
        <w:keepNext/>
        <w:widowControl/>
        <w:rPr/>
      </w:pPr>
      <w:r>
        <w:rPr/>
        <w:t>4. For high-volume treaty pathways, Parties shall maintain standardized aggregate metrics reasonably sufficient to evaluate processing time, holds, inspections, supplementation requests, rejection, appeals, and outcomes without requiring disclosure of protected personal or commercially sensitive information.</w:t>
      </w:r>
    </w:p>
    <w:p>
      <w:pPr>
        <w:pStyle w:val="Heading3"/>
        <w:keepNext/>
        <w:widowControl/>
        <w:rPr/>
      </w:pPr>
      <w:r>
        <w:rPr/>
        <w:t>Article 50.17: Operational Availability, Capacity, and Optional-Pathway Non-Coercion</w:t>
      </w:r>
    </w:p>
    <w:p>
      <w:pPr>
        <w:pStyle w:val="Heading3"/>
        <w:keepNext/>
        <w:widowControl/>
        <w:rPr/>
      </w:pPr>
      <w:r>
        <w:rPr/>
        <w:t>1. Where a Party establishes or is required to maintain a treaty-created administrative pathway, it shall maintain administrative capacity reasonably sufficient to keep that pathway operational under foreseeable ordinary demand.</w:t>
      </w:r>
    </w:p>
    <w:p>
      <w:pPr>
        <w:pStyle w:val="Heading3"/>
        <w:keepNext/>
        <w:widowControl/>
        <w:rPr/>
      </w:pPr>
      <w:r>
        <w:rPr/>
        <w:t>2. This obligation does not prescribe staffing levels, appropriations, organizational design, or technology. Temporary extraordinary demand, disasters, strikes, cyber incidents, or other genuine disruptions may justify proportionate temporary delay subject to continuity measures under Chapter 47.</w:t>
      </w:r>
    </w:p>
    <w:p>
      <w:pPr>
        <w:pStyle w:val="Heading3"/>
        <w:keepNext/>
        <w:widowControl/>
        <w:rPr/>
      </w:pPr>
      <w:r>
        <w:rPr/>
        <w:t>3. Repeated reliance on substantially similar workload conditions shall progressively weaken a claim that the workload was unforeseeable.</w:t>
      </w:r>
    </w:p>
    <w:p>
      <w:pPr>
        <w:pStyle w:val="Heading3"/>
        <w:keepNext/>
        <w:widowControl/>
        <w:rPr/>
      </w:pPr>
      <w:r>
        <w:rPr/>
        <w:t>4. Creation of an optional expedited, trusted, or enhanced pathway shall not justify deliberate degradation of the ordinary pathway below its independently applicable treaty standard.</w:t>
      </w:r>
    </w:p>
    <w:p>
      <w:pPr>
        <w:pStyle w:val="Heading3"/>
        <w:keepNext/>
        <w:widowControl/>
        <w:rPr/>
      </w:pPr>
      <w:r>
        <w:t>5. Where a material capacity constraint is reasonably susceptible to cooperative correction, the administering Party should first use the shared implementation support mechanisms of Annex 34-H before treating recurring workload as unavoidable. Acceptance of technical assistance does not transfer legal responsibility for the underlying obligation or authorize another Party to direct the administering authority.</w:t>
      </w:r>
    </w:p>
    <w:p>
      <w:pPr>
        <w:pStyle w:val="Heading3"/>
        <w:keepNext/>
        <w:widowControl/>
        <w:rPr/>
      </w:pPr>
      <w:r>
        <w:rPr/>
        <w:t>Article 50.18: Functional Administrative Instruments and Reliance</w:t>
      </w:r>
    </w:p>
    <w:p>
      <w:pPr>
        <w:pStyle w:val="Heading3"/>
        <w:keepNext/>
        <w:widowControl/>
        <w:rPr/>
      </w:pPr>
      <w:r>
        <w:rPr/>
        <w:t>1. For treaty review, a measure may include a binding or practically determinative guidance document, circular, FAQ, technical bulletin, enforcement manual, algorithmic rule, repeated administrative practice, or delegated instruction where it materially determines access to a treaty benefit, regardless of its domestic label as non-binding.</w:t>
      </w:r>
    </w:p>
    <w:p>
      <w:pPr>
        <w:pStyle w:val="Heading3"/>
        <w:keepNext/>
        <w:widowControl/>
        <w:rPr/>
      </w:pPr>
      <w:r>
        <w:rPr/>
        <w:t>2. Article 47.17 applies to good-faith reliance on authenticated authoritative guidance. Material interpretive changes should be prospective where practicable and accompanied by reasonable transition appropriate to risk and urgency.</w:t>
      </w:r>
    </w:p>
    <w:p>
      <w:pPr>
        <w:pStyle w:val="Heading3"/>
        <w:keepNext/>
        <w:widowControl/>
        <w:rPr/>
      </w:pPr>
      <w:r>
        <w:rPr/>
        <w:t>3. A Party may correct erroneous guidance immediately where necessary to protect health, safety, security, revenue, privacy, environment, or prevent fraud, provided affected persons receive a fair opportunity to cure past good-faith reliance where compatible with the legitimate objective.</w:t>
      </w:r>
    </w:p>
    <w:p>
      <w:pPr>
        <w:pStyle w:val="Heading3"/>
        <w:keepNext/>
        <w:widowControl/>
        <w:rPr/>
      </w:pPr>
      <w:r>
        <w:rPr/>
        <w:t>Article 50.19: Seasonal, Corridor, Tail-Risk, and Commercial-Criticality Review</w:t>
      </w:r>
    </w:p>
    <w:p>
      <w:pPr>
        <w:pStyle w:val="Heading3"/>
        <w:keepNext/>
        <w:widowControl/>
        <w:rPr/>
      </w:pPr>
      <w:r>
        <w:rPr/>
        <w:t>1. Administrative performance analysis shall consider commercially critical timing where delay has materially different consequences for perishables, harvest periods, production-line continuity, model launches, emergency supplies, or other objectively time-sensitive commerce.</w:t>
      </w:r>
    </w:p>
    <w:p>
      <w:pPr>
        <w:pStyle w:val="Heading3"/>
        <w:keepNext/>
        <w:widowControl/>
        <w:rPr/>
      </w:pPr>
      <w:r>
        <w:rPr/>
        <w:t>2. Authorities shall not be required to guarantee uninterrupted commerce or eliminate legitimate seasonal enforcement. Review shall distinguish genuine capacity or risk conditions from unexplained concentration of burden during known critical commercial windows.</w:t>
      </w:r>
    </w:p>
    <w:p>
      <w:pPr>
        <w:pStyle w:val="Heading3"/>
        <w:keepNext/>
        <w:widowControl/>
        <w:rPr/>
      </w:pPr>
      <w:r>
        <w:rPr/>
        <w:t>3. Where averages conceal material tail delays, treaty bodies may consider percentile delay, extreme-hold frequency, repeat inspection, and duration distributions in addition to averages and medians.</w:t>
      </w:r>
    </w:p>
    <w:p>
      <w:pPr>
        <w:pStyle w:val="Heading3"/>
        <w:keepNext/>
        <w:widowControl/>
        <w:rPr/>
      </w:pPr>
      <w:r>
        <w:rPr/>
        <w:t>4. Corridor-specific analysis may be used where geography or infrastructure makes a national average materially misleading.</w:t>
      </w:r>
    </w:p>
    <w:p>
      <w:pPr>
        <w:pStyle w:val="Heading3"/>
        <w:keepNext/>
        <w:widowControl/>
        <w:rPr/>
      </w:pPr>
      <w:r>
        <w:rPr/>
        <w:t>Article 51.1: Symmetrical Labor Enforcement</w:t>
      </w:r>
    </w:p>
    <w:p>
      <w:pPr>
        <w:pStyle w:val="Normal"/>
        <w:widowControl/>
        <w:rPr/>
      </w:pPr>
      <w:r>
        <w:rPr/>
        <w:t>1. Comparable labor obligations are enforceable according to equivalent evidentiary and procedural standards in Canada, Mexico, and the United States. No Party receives a treaty-created presumption that systemic labor non-compliance can occur only in another Party.</w:t>
      </w:r>
    </w:p>
    <w:p>
      <w:pPr>
        <w:pStyle w:val="Normal"/>
        <w:widowControl/>
        <w:rPr/>
      </w:pPr>
      <w:r>
        <w:rPr/>
        <w:t>2. The North American Facility-Specific Labour Remedy under Article 31.E remains available for localized denial-of-rights matters within its defined scope. A separate Systemic Labor Rapid-Response Track may address an alleged recurring pattern spanning multiple facilities or authorities.</w:t>
      </w:r>
    </w:p>
    <w:p>
      <w:pPr>
        <w:pStyle w:val="Normal"/>
        <w:widowControl/>
        <w:rPr/>
      </w:pPr>
      <w:r>
        <w:rPr/>
        <w:t>3. The Systemic Track requires particularized evidence, an opportunity to cure, independent factual verification, and a time-bound remediation plan before trade consequences are considered.</w:t>
      </w:r>
    </w:p>
    <w:p>
      <w:pPr>
        <w:pStyle w:val="Heading3"/>
        <w:keepNext/>
        <w:widowControl/>
        <w:rPr/>
      </w:pPr>
      <w:r>
        <w:rPr/>
        <w:t>Article 51.2: Environmental Rapid Technical Review</w:t>
      </w:r>
    </w:p>
    <w:p>
      <w:pPr>
        <w:pStyle w:val="Normal"/>
        <w:widowControl/>
        <w:rPr/>
      </w:pPr>
      <w:r>
        <w:rPr/>
        <w:t>1. A material allegation of failure to enforce an environmental obligation may enter a rapid technical review by an independent scientific and legal team. The review shall distinguish factual environmental conditions from the legal question of treaty breach.</w:t>
      </w:r>
    </w:p>
    <w:p>
      <w:pPr>
        <w:pStyle w:val="Normal"/>
        <w:widowControl/>
        <w:rPr/>
      </w:pPr>
      <w:r>
        <w:rPr/>
        <w:t>2. Lack of access or information attributable to a Party may support reasonable evidentiary inferences after notice and an opportunity to cure; ordinary scientific uncertainty does not.</w:t>
      </w:r>
    </w:p>
    <w:p>
      <w:pPr>
        <w:pStyle w:val="Heading3"/>
        <w:keepNext/>
        <w:widowControl/>
        <w:rPr/>
      </w:pPr>
      <w:r>
        <w:rPr/>
        <w:t>Article 51.3: Biodiversity, Habitat, and Circular Economy Cooperation</w:t>
      </w:r>
    </w:p>
    <w:p>
      <w:pPr>
        <w:pStyle w:val="Normal"/>
        <w:widowControl/>
        <w:rPr/>
      </w:pPr>
      <w:r>
        <w:rPr/>
        <w:t>1. Cooperative work under Chapter 24 shall include biodiversity, habitat connectivity, invasive species, circular production, material recovery, wildfire resilience, water efficiency, and other agreed regional environmental priorities.</w:t>
      </w:r>
    </w:p>
    <w:p>
      <w:pPr>
        <w:pStyle w:val="Heading3"/>
        <w:keepNext/>
        <w:widowControl/>
        <w:rPr/>
      </w:pPr>
      <w:r>
        <w:rPr/>
        <w:t>Article 51.4: Independent Scientific Advisory Review</w:t>
      </w:r>
    </w:p>
    <w:p>
      <w:pPr>
        <w:pStyle w:val="Normal"/>
        <w:widowControl/>
        <w:rPr/>
      </w:pPr>
      <w:r>
        <w:rPr/>
        <w:t>1. Where a cross-border environmental, SPS, or emerging-technology risk requires independent scientific advice, the Commission or competent committee may convene an ad hoc scientific advisory review using qualified experts from existing treaty rosters, competent agencies, or mutually accepted external experts. No separately staffed permanent scientific committee is created by this Article.</w:t>
      </w:r>
    </w:p>
    <w:p>
      <w:pPr>
        <w:pStyle w:val="Normal"/>
        <w:widowControl/>
        <w:rPr/>
      </w:pPr>
      <w:r>
        <w:rPr/>
        <w:t>2. Scientific advice is non-binding and does not itself establish a violation. The review shall disclose methodology, material uncertainty, conflicts of interest, and material dissenting views, subject to lawful confidentiality and security protections.</w:t>
      </w:r>
    </w:p>
    <w:p>
      <w:pPr>
        <w:pStyle w:val="Heading3"/>
        <w:keepNext/>
        <w:widowControl/>
        <w:rPr/>
      </w:pPr>
      <w:r>
        <w:rPr/>
        <w:t>Article 51.5: Rapid SPS Scientific Exchange and Equivalence</w:t>
      </w:r>
    </w:p>
    <w:p>
      <w:pPr>
        <w:pStyle w:val="Normal"/>
        <w:widowControl/>
        <w:rPr/>
      </w:pPr>
      <w:r>
        <w:rPr/>
        <w:t>1. The Parties shall maintain a rapid channel for exchanging scientific data, risk assessments, outbreak information, plant-health information, and relevant laboratory findings.</w:t>
      </w:r>
    </w:p>
    <w:p>
      <w:pPr>
        <w:pStyle w:val="Normal"/>
        <w:widowControl/>
        <w:rPr/>
      </w:pPr>
      <w:r>
        <w:rPr/>
        <w:t>2. Where Parties use different maximum residue limits or other SPS thresholds, they shall seek equivalence or mutual recognition when supported by scientific evidence. This Article does not require identical safety levels.</w:t>
      </w:r>
      <w:r>
        <w:br w:type="page"/>
      </w:r>
    </w:p>
    <w:p>
      <w:bookmarkStart w:id="1784" w:name="_NAESTMA_TOC_1784"/>
      <w:pPr>
        <w:pStyle w:val="Heading1"/>
        <w:keepNext/>
        <w:keepLines w:val="0"/>
        <w:pageBreakBefore/>
        <w:widowControl/>
        <w:rPr/>
      </w:pPr>
      <w:bookmarkStart w:id="312" w:name="_Toc237912793"/>
      <w:r>
        <w:rPr/>
        <w:t>CHAPTER 52</w:t>
      </w:r>
      <w:bookmarkEnd w:id="312"/>
      <w:bookmarkEnd w:id="1784"/>
    </w:p>
    <w:p>
      <w:bookmarkStart w:id="1785" w:name="_NAESTMA_TOC_1785"/>
      <w:pPr>
        <w:pStyle w:val="Heading2"/>
        <w:keepNext/>
        <w:pageBreakBefore w:val="false"/>
        <w:widowControl/>
        <w:rPr/>
      </w:pPr>
      <w:bookmarkStart w:id="313" w:name="_Toc237912794"/>
      <w:r>
        <w:rPr/>
        <w:t>SIDE INSTRUMENTS, TRILATERAL INTEGRITY, AND IMPLEMENTATION</w:t>
      </w:r>
      <w:bookmarkEnd w:id="313"/>
      <w:bookmarkEnd w:id="1785"/>
    </w:p>
    <w:p>
      <w:pPr>
        <w:pStyle w:val="Heading3"/>
        <w:keepNext/>
        <w:widowControl/>
        <w:rPr/>
      </w:pPr>
      <w:r>
        <w:rPr/>
        <w:t>Article 52.1: Bilateral Side Instruments</w:t>
      </w:r>
    </w:p>
    <w:p>
      <w:pPr>
        <w:pStyle w:val="Normal"/>
        <w:widowControl/>
        <w:rPr/>
      </w:pPr>
      <w:r>
        <w:rPr/>
        <w:t>1. Two Parties may conclude a bilateral side letter, implementing arrangement, or sectoral understanding relating to this Agreement. Such an instrument may supplement or implement obligations between its participants only within authority provided by this Agreement or applicable international law; it shall not reduce, amend, suspend, condition, or reinterpret the rights or obligations of the third Party without that Party's express consent.</w:t>
      </w:r>
    </w:p>
    <w:p>
      <w:pPr>
        <w:pStyle w:val="Normal"/>
        <w:widowControl/>
        <w:rPr/>
      </w:pPr>
      <w:r>
        <w:rPr/>
        <w:t>2. An instrument intended to modify operative CUSMA rights shall be submitted to the Free Trade Commission and completed through the amendment procedure applicable to this Agreement. A binding side instrument shall identify its participants, legal authority, relationship to this Agreement, effective date, duration or termination rule, and any accession procedure for the third Party, and shall be published except to the extent lawful confidentiality or security requires protected treatment.</w:t>
      </w:r>
    </w:p>
    <w:p>
      <w:pPr>
        <w:pStyle w:val="Heading3"/>
        <w:keepNext/>
        <w:widowControl/>
        <w:rPr/>
      </w:pPr>
      <w:r>
        <w:rPr/>
        <w:t>Article 52.2: Implementation Fallback</w:t>
      </w:r>
    </w:p>
    <w:p>
      <w:pPr>
        <w:pStyle w:val="Normal"/>
        <w:widowControl/>
        <w:rPr/>
      </w:pPr>
      <w:r>
        <w:rPr/>
        <w:t>1. Where an implementing committee, regulation, technical annex, digital system, uniform procedure, or side instrument is not operational by its deadline, the pre-existing treaty rule continues unless the Agreement expressly provides another fallback. If an implementing or side instrument conflicts with this Agreement, this Agreement controls to the extent of the conflict unless the instrument was adopted through the applicable amendment procedure.</w:t>
      </w:r>
    </w:p>
    <w:p>
      <w:pPr>
        <w:pStyle w:val="Normal"/>
        <w:widowControl/>
        <w:rPr/>
      </w:pPr>
      <w:r>
        <w:rPr/>
        <w:t>2. Failure to complete an implementation instrument shall not create a regulatory vacuum or authorize a Party to suspend unrelated benefits.</w:t>
      </w:r>
    </w:p>
    <w:p>
      <w:pPr>
        <w:pStyle w:val="Heading3"/>
        <w:keepNext/>
        <w:widowControl/>
        <w:rPr/>
      </w:pPr>
      <w:r>
        <w:rPr/>
        <w:t>Article 52.3: Transition Design Rule</w:t>
      </w:r>
    </w:p>
    <w:p>
      <w:pPr>
        <w:pStyle w:val="Normal"/>
        <w:widowControl/>
        <w:rPr/>
      </w:pPr>
      <w:r>
        <w:rPr/>
        <w:t>1. A new obligation requiring material capital investment, supply-chain restructuring, software deployment, certification-system replacement, or sub-federal implementation shall specify an effective date, interim rule, responsible body, and measurable readiness criteria.</w:t>
      </w:r>
    </w:p>
    <w:p>
      <w:pPr>
        <w:pStyle w:val="Normal"/>
        <w:widowControl/>
        <w:rPr/>
      </w:pPr>
      <w:r>
        <w:rPr/>
        <w:t>2. The Commission may accelerate implementation by consensus where readiness is demonstrated; it may extend a technical deadline for good cause without reducing the substantive obligation.</w:t>
      </w:r>
    </w:p>
    <w:p>
      <w:pPr>
        <w:pStyle w:val="Normal"/>
        <w:widowControl/>
        <w:rPr/>
      </w:pPr>
      <w:r>
        <w:rPr/>
        <w:t>PACKAGE R — REVIEW STABILITY, SECTORAL ACCESS, SME MODERNIZATION, AND SYMMETRICAL ENFORCEMENT (v3.6). Converts the accumulated modernization backlog into operative safeguards: structured review terms of reference and multi-year work plans; an advisory North American Competitiveness Council; binding remittance fee transparency; a stronger rural-support evidentiary safe harbor; distributed verification fallback when the Golden Record fails; zero customs duty for scheduled originating distilled spirits without creating a new origin test; alcohol-distribution safe harbor; auditable dairy TRQ administration; automotive transition and impact-assessment discipline; a high evidentiary presumption against security tariffs on originating steel and aluminum; procurement and sovereign-cloud safeguards; trusted SME exporter treatment, plain-language customs guidance, harmonized core customs data, a defined non-market-practice test, supply-chain risk mapping, digital regulatory principles, and cryptographic credential authenticity; symmetrical labor enforcement, environmental rapid technical review, biodiversity and scientific cooperation, SPS equivalence; and rules preserving trilateral rights against bilateral side instruments while preventing implementation gaps.</w:t>
      </w:r>
      <w:r>
        <w:br w:type="page"/>
      </w:r>
    </w:p>
    <w:p>
      <w:bookmarkStart w:id="1786" w:name="_NAESTMA_TOC_1786"/>
      <w:pPr>
        <w:pStyle w:val="Heading1"/>
        <w:keepNext/>
        <w:keepLines w:val="0"/>
        <w:pageBreakBefore/>
        <w:widowControl/>
        <w:rPr/>
      </w:pPr>
      <w:bookmarkStart w:id="314" w:name="_Toc237912795"/>
      <w:r>
        <w:rPr/>
        <w:t>CHAPTER 53</w:t>
      </w:r>
      <w:bookmarkEnd w:id="314"/>
      <w:bookmarkEnd w:id="1786"/>
    </w:p>
    <w:p>
      <w:bookmarkStart w:id="1787" w:name="_NAESTMA_TOC_1787"/>
      <w:pPr>
        <w:pStyle w:val="Heading2"/>
        <w:keepNext/>
        <w:pageBreakBefore w:val="false"/>
        <w:widowControl/>
        <w:rPr/>
      </w:pPr>
      <w:bookmarkStart w:id="315" w:name="_Toc237912796"/>
      <w:r>
        <w:rPr/>
        <w:t>PREDICTABILITY, PATTERN REVIEW, AND ADAPTIVE IMPLEMENTATION</w:t>
      </w:r>
      <w:bookmarkEnd w:id="315"/>
      <w:bookmarkEnd w:id="1787"/>
    </w:p>
    <w:p>
      <w:pPr>
        <w:pStyle w:val="Heading3"/>
        <w:keepNext/>
        <w:widowControl/>
        <w:rPr/>
      </w:pPr>
      <w:r>
        <w:rPr/>
        <w:t>Article 53.1: Material Trade Measure Notice Rule</w:t>
      </w:r>
    </w:p>
    <w:p>
      <w:pPr>
        <w:pStyle w:val="Normal"/>
        <w:widowControl/>
        <w:rPr/>
      </w:pPr>
      <w:r>
        <w:rPr/>
        <w:t>1. Except where an express emergency provision permits immediate action, a Party introducing a material new border restriction, import licensing limitation, export restriction, discriminatory fee, or other measure reasonably expected to disrupt covered North American trade shall provide advance notice and a concise statement of legal basis, scope, intended duration, and affected sectors.</w:t>
      </w:r>
    </w:p>
    <w:p>
      <w:pPr>
        <w:pStyle w:val="Normal"/>
        <w:widowControl/>
        <w:rPr/>
      </w:pPr>
      <w:r>
        <w:rPr/>
        <w:t>2. Advance notice should ordinarily occur at least 30 days before entry into effect. Where urgent circumstances make that impracticable, notice shall occur as soon as practicable and no later than 24 hours after the measure takes effect, together with the emergency basis for shortened notice.</w:t>
      </w:r>
    </w:p>
    <w:p>
      <w:pPr>
        <w:pStyle w:val="Normal"/>
        <w:widowControl/>
        <w:rPr/>
      </w:pPr>
      <w:r>
        <w:rPr/>
        <w:t>3. Ordinary domestic regulation of general application is not subject to this Article solely because it has incidental trade effects. The rule targets material trade actions whose principal operation occurs at the border or directly conditions cross-border access.</w:t>
      </w:r>
    </w:p>
    <w:p>
      <w:pPr>
        <w:pStyle w:val="Heading3"/>
        <w:keepNext/>
        <w:widowControl/>
        <w:rPr/>
      </w:pPr>
      <w:r>
        <w:rPr/>
        <w:t>Article 53.2: Administrative Obstruction and Regulatory Surprise Review</w:t>
      </w:r>
    </w:p>
    <w:p>
      <w:pPr>
        <w:pStyle w:val="Normal"/>
        <w:widowControl/>
        <w:rPr/>
      </w:pPr>
      <w:r>
        <w:rPr/>
        <w:t>1. A Party may request review where individually modest administrative actions, taken together, plausibly produce a material barrier to originating trade, including unexplained inspection escalation, repeated duplicative information demands, selective reclassification, abnormal licensing delay, inconsistent port treatment, or sudden procedural change without a reasonable transition.</w:t>
      </w:r>
    </w:p>
    <w:p>
      <w:pPr>
        <w:pStyle w:val="Normal"/>
        <w:widowControl/>
        <w:rPr/>
      </w:pPr>
      <w:r>
        <w:rPr/>
        <w:t>2. No single event establishes a violation merely because it is inconvenient or costly. The review body considers pattern, comparator treatment, duration, explanation, risk basis, corrective efforts, and commercial effect.</w:t>
      </w:r>
    </w:p>
    <w:p>
      <w:pPr>
        <w:pStyle w:val="Normal"/>
        <w:widowControl/>
        <w:rPr/>
      </w:pPr>
      <w:r>
        <w:rPr/>
        <w:t>3. A finding requires evidence that the cumulative conduct is discriminatory, arbitrary, intentionally obstructive, or manifestly disproportionate to a legitimate administrative objective.</w:t>
      </w:r>
    </w:p>
    <w:p>
      <w:pPr>
        <w:pStyle w:val="Heading3"/>
        <w:keepNext/>
        <w:widowControl/>
        <w:rPr/>
      </w:pPr>
      <w:r>
        <w:rPr/>
        <w:t>Article 53.3: Pattern-of-Conduct Ledger</w:t>
      </w:r>
    </w:p>
    <w:p>
      <w:pPr>
        <w:pStyle w:val="Normal"/>
        <w:widowControl/>
        <w:rPr/>
      </w:pPr>
      <w:r>
        <w:rPr/>
        <w:t>1. The Secretariat shall maintain a confidential Pattern-of-Conduct Ledger for related sub-threshold implementation events reported by Parties, customs authorities, firms, or recognized stakeholders.</w:t>
      </w:r>
    </w:p>
    <w:p>
      <w:pPr>
        <w:pStyle w:val="Normal"/>
        <w:widowControl/>
        <w:rPr/>
      </w:pPr>
      <w:r>
        <w:rPr/>
        <w:t>2. Ledger entries are leads, not findings. Entry creates no presumption of wrongdoing, no automatic remedy, and no public stigma.</w:t>
      </w:r>
    </w:p>
    <w:p>
      <w:pPr>
        <w:pStyle w:val="Normal"/>
        <w:widowControl/>
        <w:rPr/>
      </w:pPr>
      <w:r>
        <w:rPr/>
        <w:t>3. Repeated related events involving the same measure, authority, product class, facility, importer, or policy objective may be consolidated for structural review when the cumulative record plausibly indicates systemic impairment.</w:t>
      </w:r>
    </w:p>
    <w:p>
      <w:pPr>
        <w:pStyle w:val="Normal"/>
        <w:widowControl/>
        <w:rPr/>
      </w:pPr>
      <w:r>
        <w:rPr/>
        <w:t>4. A Party receives notice and an opportunity to correct inaccurate ledger entries before the entries may be relied upon in a formal proceeding.</w:t>
      </w:r>
    </w:p>
    <w:p>
      <w:pPr>
        <w:pStyle w:val="Heading3"/>
        <w:keepNext/>
        <w:widowControl/>
        <w:rPr/>
      </w:pPr>
      <w:r>
        <w:rPr/>
        <w:t>Article 53.4: Compliance Stabilization and Predictability Restoration Pathway</w:t>
      </w:r>
    </w:p>
    <w:p>
      <w:pPr>
        <w:pStyle w:val="Normal"/>
        <w:widowControl/>
        <w:rPr/>
      </w:pPr>
      <w:r>
        <w:rPr/>
        <w:t>1. After two or more final findings of materially related non-compliance within 36 months, the affected Party may elect a Compliance Stabilization Period of 12 to 24 months.</w:t>
      </w:r>
    </w:p>
    <w:p>
      <w:pPr>
        <w:pStyle w:val="Normal"/>
        <w:widowControl/>
        <w:rPr/>
      </w:pPr>
      <w:r>
        <w:rPr/>
        <w:t>2. During the period, the Party provides enhanced notice for materially related trade measures, maintains a published remediation calendar, and accepts proportionate monitoring of the affected subject matter.</w:t>
      </w:r>
    </w:p>
    <w:p>
      <w:pPr>
        <w:pStyle w:val="Normal"/>
        <w:widowControl/>
        <w:rPr/>
      </w:pPr>
      <w:r>
        <w:rPr/>
        <w:t>3. In exchange, heightened presumptions or monitoring arising solely from the prior pattern are suspended once the Party completes six months of verified clean compliance and terminate upon successful completion of the Stabilization Period.</w:t>
      </w:r>
    </w:p>
    <w:p>
      <w:pPr>
        <w:pStyle w:val="Normal"/>
        <w:widowControl/>
        <w:rPr/>
      </w:pPr>
      <w:r>
        <w:rPr/>
        <w:t>4. A new unrelated dispute does not cancel progress under this Article. A materially related repeat violation pauses earn-back only to the extent necessary to verify and remediate that violation.</w:t>
      </w:r>
    </w:p>
    <w:p>
      <w:pPr>
        <w:pStyle w:val="Heading3"/>
        <w:keepNext/>
        <w:widowControl/>
        <w:rPr/>
      </w:pPr>
      <w:r>
        <w:rPr/>
        <w:t>Article 53.5: Institutional Predictability Calendar</w:t>
      </w:r>
    </w:p>
    <w:p>
      <w:pPr>
        <w:pStyle w:val="Normal"/>
        <w:widowControl/>
        <w:rPr/>
      </w:pPr>
      <w:r>
        <w:rPr/>
        <w:t>1. The Secretariat shall maintain a single public calendar identifying scheduled Commission reviews, committee meetings, recurring reports, technical consultations, pilot milestones, implementation deadlines, planned system maintenance, and known sectoral review windows.</w:t>
      </w:r>
    </w:p>
    <w:p>
      <w:pPr>
        <w:pStyle w:val="Normal"/>
        <w:widowControl/>
        <w:rPr/>
      </w:pPr>
      <w:r>
        <w:rPr/>
        <w:t>2. Omission from the calendar does not invalidate an otherwise lawful action, but a body that misses a published deadline shall record the delay, interim fallback, responsible body, and revised completion date.</w:t>
      </w:r>
    </w:p>
    <w:p>
      <w:pPr>
        <w:pStyle w:val="Heading3"/>
        <w:keepNext/>
        <w:widowControl/>
        <w:rPr/>
      </w:pPr>
      <w:r>
        <w:rPr/>
        <w:t>Article 53.6: Learning Engine and Recursive Improvement</w:t>
      </w:r>
    </w:p>
    <w:p>
      <w:pPr>
        <w:pStyle w:val="Normal"/>
        <w:widowControl/>
        <w:rPr/>
      </w:pPr>
      <w:r>
        <w:rPr/>
        <w:t>1. A recurring implementation problem identified in two Treaty Resilience Exercises, two final panel findings, or three verified administrative incidents within five years triggers a Learning Review by the responsible committee.</w:t>
      </w:r>
    </w:p>
    <w:p>
      <w:pPr>
        <w:pStyle w:val="Normal"/>
        <w:widowControl/>
        <w:rPr/>
      </w:pPr>
      <w:r>
        <w:rPr/>
        <w:t>2. The committee shall determine whether the recurring problem results from treaty text, implementing regulation, operational procedure, staffing, technology, data quality, or another cause and shall propose an appropriate correction or publish a reasoned explanation for taking no action.</w:t>
      </w:r>
    </w:p>
    <w:p>
      <w:pPr>
        <w:pStyle w:val="Normal"/>
        <w:widowControl/>
        <w:rPr/>
      </w:pPr>
      <w:r>
        <w:rPr/>
        <w:t>3. A Learning Review may amend an operational procedure or recommend a technical or treaty amendment but may not alter a substantive right without using the legally required amendment process.</w:t>
      </w:r>
    </w:p>
    <w:p>
      <w:pPr>
        <w:pStyle w:val="Heading3"/>
        <w:keepNext/>
        <w:widowControl/>
        <w:rPr/>
      </w:pPr>
      <w:r>
        <w:rPr/>
        <w:t>Article 53.7: Outcome-Based Effectiveness Audit</w:t>
      </w:r>
    </w:p>
    <w:p>
      <w:pPr>
        <w:pStyle w:val="Normal"/>
        <w:widowControl/>
        <w:rPr/>
      </w:pPr>
      <w:r>
        <w:rPr/>
        <w:t>1. The Secretariat shall conduct periodic randomized and risk-based audits of whether major implementation mechanisms achieve their stated operational results, rather than auditing only documentary compliance.</w:t>
      </w:r>
    </w:p>
    <w:p>
      <w:pPr>
        <w:pStyle w:val="Normal"/>
        <w:widowControl/>
        <w:rPr/>
      </w:pPr>
      <w:r>
        <w:rPr/>
        <w:t>2. Audits may measure, as applicable, clearance time, SME burden, trusted-trader performance, TRQ utilization, verification accuracy, dispute duration, restoration speed, system uptime, false-positive rates, and actual use of fallback procedures.</w:t>
      </w:r>
    </w:p>
    <w:p>
      <w:pPr>
        <w:pStyle w:val="Normal"/>
        <w:widowControl/>
        <w:rPr/>
      </w:pPr>
      <w:r>
        <w:rPr/>
        <w:t>3. Results are classified Green, Amber, or Red for administrative purposes. A Red result triggers a remediation plan; it does not itself establish treaty breach.</w:t>
      </w:r>
    </w:p>
    <w:p>
      <w:pPr>
        <w:pStyle w:val="Normal"/>
        <w:widowControl/>
        <w:rPr/>
      </w:pPr>
      <w:r>
        <w:rPr/>
        <w:t>4. Good-faith self-reporting of an implementation deficiency before formal detection is a mitigating factor and may qualify for a corrective safe harbor where no fraud, concealment, or material injury occurred.</w:t>
      </w:r>
    </w:p>
    <w:p>
      <w:pPr>
        <w:pStyle w:val="Heading3"/>
        <w:keepNext/>
        <w:widowControl/>
        <w:rPr/>
      </w:pPr>
      <w:r>
        <w:rPr/>
        <w:t>Article 53.8: Treaty Restraint Dashboard</w:t>
      </w:r>
    </w:p>
    <w:p>
      <w:pPr>
        <w:pStyle w:val="Normal"/>
        <w:widowControl/>
        <w:rPr/>
      </w:pPr>
      <w:r>
        <w:rPr/>
        <w:t>1. The Secretariat shall publish aggregate indicators showing how frequently the Agreement uses escalated enforcement rather than correction, including emergency-measure frequency, average restrictive-measure duration, restoration through earn-back, consultation-resolution rates, interim-measure use, innocent-trade effects, and verification reversal rates.</w:t>
      </w:r>
    </w:p>
    <w:p>
      <w:pPr>
        <w:pStyle w:val="Normal"/>
        <w:widowControl/>
        <w:rPr/>
      </w:pPr>
      <w:r>
        <w:rPr/>
        <w:t>2. The Dashboard is a system-health tool and has no independent legal effect. Its purpose is to identify whether emergency or enforcement architecture is drifting toward routine punitive use.</w:t>
      </w:r>
      <w:r>
        <w:br w:type="page"/>
      </w:r>
    </w:p>
    <w:p>
      <w:bookmarkStart w:id="1788" w:name="_NAESTMA_TOC_1788"/>
      <w:pPr>
        <w:pStyle w:val="Heading1"/>
        <w:keepNext/>
        <w:keepLines w:val="0"/>
        <w:pageBreakBefore/>
        <w:widowControl/>
        <w:rPr/>
      </w:pPr>
      <w:bookmarkStart w:id="316" w:name="_Toc237912797"/>
      <w:r>
        <w:rPr/>
        <w:t>CHAPTER 54</w:t>
      </w:r>
      <w:bookmarkEnd w:id="316"/>
      <w:bookmarkEnd w:id="1788"/>
    </w:p>
    <w:p>
      <w:bookmarkStart w:id="1789" w:name="_NAESTMA_TOC_1789"/>
      <w:pPr>
        <w:pStyle w:val="Heading2"/>
        <w:keepNext/>
        <w:pageBreakBefore w:val="false"/>
        <w:widowControl/>
        <w:rPr/>
      </w:pPr>
      <w:bookmarkStart w:id="317" w:name="_Toc237912798"/>
      <w:r>
        <w:rPr/>
        <w:t>PRIVATE-SECTOR CONTINUITY, INTEGRITY, AND COMMERCIAL EARLY WARNING</w:t>
      </w:r>
      <w:bookmarkEnd w:id="317"/>
      <w:bookmarkEnd w:id="1789"/>
    </w:p>
    <w:p>
      <w:pPr>
        <w:pStyle w:val="Heading3"/>
        <w:keepNext/>
        <w:widowControl/>
        <w:rPr/>
      </w:pPr>
      <w:r>
        <w:rPr/>
        <w:t>Article 54.1: Private-Sector Compliance Principles</w:t>
      </w:r>
    </w:p>
    <w:p>
      <w:pPr>
        <w:pStyle w:val="Normal"/>
        <w:widowControl/>
        <w:rPr/>
      </w:pPr>
      <w:r>
        <w:rPr/>
        <w:t>1. Treaty-created compliance duties imposed on private actors follow four principles: proportionality to demonstrated risk; predictability through published requirements; due process through notice and review; and non-punitive treatment of firms that act in good faith under applicable law.</w:t>
      </w:r>
    </w:p>
    <w:p>
      <w:pPr>
        <w:pStyle w:val="Normal"/>
        <w:widowControl/>
        <w:rPr/>
      </w:pPr>
      <w:r>
        <w:rPr/>
        <w:t>2. A new private-sector duty shall identify the covered actors, required data or conduct, effective date, retention period, review channel, and consequences of material non-compliance.</w:t>
      </w:r>
    </w:p>
    <w:p>
      <w:pPr>
        <w:pStyle w:val="Normal"/>
        <w:widowControl/>
        <w:rPr/>
      </w:pPr>
      <w:r>
        <w:rPr/>
        <w:t>3. A firm is not penalized merely because it is commercially exposed to a government dispute or because it lawfully complies with another Party's domestic law, unless the specific conduct independently violates an applicable CUSMA obligation or implementing law.</w:t>
      </w:r>
    </w:p>
    <w:p>
      <w:pPr>
        <w:pStyle w:val="Heading3"/>
        <w:keepNext/>
        <w:widowControl/>
        <w:rPr/>
      </w:pPr>
      <w:r>
        <w:rPr/>
        <w:t>Article 54.2: Commercial Friction Early Warning Channel</w:t>
      </w:r>
    </w:p>
    <w:p>
      <w:pPr>
        <w:pStyle w:val="Normal"/>
        <w:widowControl/>
        <w:rPr/>
      </w:pPr>
      <w:r>
        <w:rPr/>
        <w:t>1. The Secretariat shall maintain a confidential channel through which firms, trade associations, labor organizations, logistics providers, customs brokers, and other recognized stakeholders may report emerging border friction, abnormal contract cancellation, regulatory inconsistency, credential compromise, supply disruption, or other implementation problems.</w:t>
      </w:r>
    </w:p>
    <w:p>
      <w:pPr>
        <w:pStyle w:val="Normal"/>
        <w:widowControl/>
        <w:rPr/>
      </w:pPr>
      <w:r>
        <w:rPr/>
        <w:t>2. A submission is an investigative lead, not evidence of breach. No adverse treaty consequence may rest on a submission unless independently corroborated.</w:t>
      </w:r>
    </w:p>
    <w:p>
      <w:pPr>
        <w:pStyle w:val="Normal"/>
        <w:widowControl/>
        <w:rPr/>
      </w:pPr>
      <w:r>
        <w:rPr/>
        <w:t>3. The Secretariat shall protect confidential business information and may aggregate reports to identify systemic issues without disclosing the identity of a reporter.</w:t>
      </w:r>
    </w:p>
    <w:p>
      <w:pPr>
        <w:pStyle w:val="Heading3"/>
        <w:keepNext/>
        <w:widowControl/>
        <w:rPr/>
      </w:pPr>
      <w:r>
        <w:rPr/>
        <w:t>Article 54.3: Business Continuity Safe Harbor</w:t>
      </w:r>
    </w:p>
    <w:p>
      <w:pPr>
        <w:pStyle w:val="Normal"/>
        <w:widowControl/>
        <w:rPr/>
      </w:pPr>
      <w:r>
        <w:rPr/>
        <w:t>1. A trader that follows an officially activated contingency procedure during a system outage, border disruption, emergency corridor activation, or other declared continuity event shall not later be penalized solely for failing to use the superseded ordinary procedure.</w:t>
      </w:r>
    </w:p>
    <w:p>
      <w:pPr>
        <w:pStyle w:val="Normal"/>
        <w:widowControl/>
        <w:rPr/>
      </w:pPr>
      <w:r>
        <w:rPr/>
        <w:t>2. The safe harbor applies where the trader acts in good faith, preserves reasonably available records, and corrects material deficiencies after ordinary systems return.</w:t>
      </w:r>
    </w:p>
    <w:p>
      <w:pPr>
        <w:pStyle w:val="Normal"/>
        <w:widowControl/>
        <w:rPr/>
      </w:pPr>
      <w:r>
        <w:rPr/>
        <w:t>3. Fraud, deliberate evasion, unsafe goods, forced-labor violations, and intentional misuse of the continuity process remain fully enforceable.</w:t>
      </w:r>
    </w:p>
    <w:p>
      <w:pPr>
        <w:pStyle w:val="Heading3"/>
        <w:keepNext/>
        <w:widowControl/>
        <w:rPr/>
      </w:pPr>
      <w:r>
        <w:rPr/>
        <w:t>Article 54.4: Continuity-Certified Supplier Program</w:t>
      </w:r>
    </w:p>
    <w:p>
      <w:pPr>
        <w:pStyle w:val="Normal"/>
        <w:widowControl/>
        <w:rPr/>
      </w:pPr>
      <w:r>
        <w:rPr/>
        <w:t>1. Competent national authorities or an existing treaty body expressly designated by the Commission may recognize firms that demonstrate resilient sourcing, verified contingency logistics, reliable origin records, cybersecurity readiness, and successful participation in an approved continuity exercise. Recognition is voluntary and does not create a new certification agency.</w:t>
      </w:r>
    </w:p>
    <w:p>
      <w:pPr>
        <w:pStyle w:val="Normal"/>
        <w:widowControl/>
        <w:rPr/>
      </w:pPr>
      <w:r>
        <w:rPr/>
        <w:t>2. Recognition may support expedited contingency processing, reduced repetitive verification, and priority access to treaty-created emergency logistics information. It does not guarantee procurement awards, prices, subsidies, or market share.</w:t>
      </w:r>
    </w:p>
    <w:p>
      <w:pPr>
        <w:pStyle w:val="Normal"/>
        <w:widowControl/>
        <w:rPr/>
      </w:pPr>
      <w:r>
        <w:rPr/>
        <w:t>3. Eligibility, evidence, certifying authority, duration, renewal, suspension, revocation, and restoration criteria shall be published, origin-neutral among the Parties, proportionate to firm size, and accessible to SMEs through a simplified pathway. A materially adverse certification decision shall provide notice and reasons and an opportunity for administrative review or reconsideration.</w:t>
      </w:r>
    </w:p>
    <w:p>
      <w:pPr>
        <w:pStyle w:val="Heading3"/>
        <w:keepNext/>
        <w:widowControl/>
        <w:rPr/>
      </w:pPr>
      <w:r>
        <w:rPr/>
        <w:t>Article 54.5: Standing Expert Rotation and Independence</w:t>
      </w:r>
    </w:p>
    <w:p>
      <w:pPr>
        <w:pStyle w:val="Normal"/>
        <w:widowControl/>
        <w:rPr/>
      </w:pPr>
      <w:r>
        <w:rPr/>
        <w:t>1. Technical experts serving under Chapters 31, 35, 46, 51, and related annexes shall rotate under fixed terms and conflict-of-interest requirements designed to reduce capture and maintain current expertise.</w:t>
      </w:r>
    </w:p>
    <w:p>
      <w:pPr>
        <w:pStyle w:val="Normal"/>
        <w:widowControl/>
        <w:rPr/>
      </w:pPr>
      <w:r>
        <w:rPr/>
        <w:t>2. The Secretariat shall maintain alternates for each critical specialty and shall disclose non-confidential qualifications, term dates, and recusal information.</w:t>
      </w:r>
    </w:p>
    <w:p>
      <w:pPr>
        <w:pStyle w:val="Heading3"/>
        <w:keepNext/>
        <w:widowControl/>
        <w:rPr/>
      </w:pPr>
      <w:r>
        <w:rPr/>
        <w:t>Article 54.6: Treaty Integrity Function and Protected Reporting</w:t>
      </w:r>
    </w:p>
    <w:p>
      <w:pPr>
        <w:pStyle w:val="Normal"/>
        <w:widowControl/>
        <w:rPr/>
      </w:pPr>
      <w:r>
        <w:rPr/>
        <w:t>1. The Commission shall designate an appropriately independent official or function within the consolidated Article 30 institutional architecture to receive confidential reports concerning corruption, bribery, evidence manipulation, procurement misconduct, retaliation, undisclosed conflicts, or deliberate sabotage of treaty administration. This designation does not create a separately staffed Treaty Integrity Office.</w:t>
      </w:r>
    </w:p>
    <w:p>
      <w:pPr>
        <w:pStyle w:val="Normal"/>
        <w:widowControl/>
        <w:rPr/>
      </w:pPr>
      <w:r>
        <w:rPr/>
        <w:t>2. The designated official or function may preserve evidence, conduct a preliminary administrative assessment, and refer matters to an ad hoc independent review panel drawn from applicable rosters or to a competent domestic authority. Interim administrative safeguards may be recommended only within existing treaty or domestic authority.</w:t>
      </w:r>
    </w:p>
    <w:p>
      <w:pPr>
        <w:pStyle w:val="Normal"/>
        <w:widowControl/>
        <w:rPr/>
      </w:pPr>
      <w:r>
        <w:rPr/>
        <w:t>3. Good-faith reporters receive confidentiality protection and protection against treaty-institution retaliation. Nothing in this Article creates immunity from domestic criminal law or authorizes the Secretariat to override national whistleblower statutes.</w:t>
      </w:r>
    </w:p>
    <w:p>
      <w:pPr>
        <w:pStyle w:val="Normal"/>
        <w:widowControl/>
        <w:rPr/>
      </w:pPr>
      <w:r>
        <w:rPr/>
        <w:t>4. No bounty, electoral consequence, or automatic suspension of a Party's treaty voting rights arises solely from a report. Consequences follow only from established legal authority after independent review.</w:t>
      </w:r>
      <w:r>
        <w:br w:type="page"/>
      </w:r>
    </w:p>
    <w:p>
      <w:bookmarkStart w:id="1790" w:name="_NAESTMA_TOC_1790"/>
      <w:pPr>
        <w:pStyle w:val="Heading1"/>
        <w:keepNext/>
        <w:keepLines w:val="0"/>
        <w:pageBreakBefore/>
        <w:widowControl/>
        <w:rPr/>
      </w:pPr>
      <w:bookmarkStart w:id="318" w:name="_Toc237912799"/>
      <w:r>
        <w:rPr/>
        <w:t>CHAPTER 55</w:t>
      </w:r>
      <w:bookmarkEnd w:id="318"/>
      <w:bookmarkEnd w:id="1790"/>
    </w:p>
    <w:p>
      <w:bookmarkStart w:id="1791" w:name="_NAESTMA_TOC_1791"/>
      <w:pPr>
        <w:pStyle w:val="Heading2"/>
        <w:keepNext/>
        <w:pageBreakBefore w:val="false"/>
        <w:widowControl/>
        <w:rPr/>
      </w:pPr>
      <w:bookmarkStart w:id="319" w:name="_Toc237912800"/>
      <w:r>
        <w:rPr/>
        <w:t>STRATEGIC MATERIALS AND LOGISTICS CONTINUITY</w:t>
      </w:r>
      <w:bookmarkEnd w:id="319"/>
      <w:bookmarkEnd w:id="1791"/>
    </w:p>
    <w:p>
      <w:pPr>
        <w:pStyle w:val="Heading3"/>
        <w:keepNext/>
        <w:widowControl/>
        <w:rPr/>
      </w:pPr>
      <w:r>
        <w:rPr/>
        <w:t>Article 55.1: Processed Strategic Materials Reserve Framework</w:t>
      </w:r>
    </w:p>
    <w:p>
      <w:pPr>
        <w:pStyle w:val="Normal"/>
        <w:widowControl/>
        <w:rPr/>
      </w:pPr>
      <w:r>
        <w:rPr/>
        <w:t>1. The Parties may establish coordinated reserves for processed materials whose physical form, purity, qualification, or processing capacity represents a demonstrated North American supply bottleneck, including selected refined critical minerals, magnet materials, battery precursors, specialty alloys, semiconductor inputs, pharmaceutical inputs, or other designated materials.</w:t>
      </w:r>
    </w:p>
    <w:p>
      <w:pPr>
        <w:pStyle w:val="Normal"/>
        <w:widowControl/>
        <w:rPr/>
      </w:pPr>
      <w:r>
        <w:rPr/>
        <w:t>2. Reserve decisions shall identify the specific bottleneck, target coverage objective, storage and rotation method, quality assurance, release criteria, replenishment plan, and cost allocation.</w:t>
      </w:r>
    </w:p>
    <w:p>
      <w:pPr>
        <w:pStyle w:val="Normal"/>
        <w:widowControl/>
        <w:rPr/>
      </w:pPr>
      <w:r>
        <w:rPr/>
        <w:t>3. The framework does not mandate a fixed reserve duration, guaranteed purchase volume, export prohibition, or preferential supplier nationality beyond ordinary CUSMA origin and procurement rules.</w:t>
      </w:r>
    </w:p>
    <w:p>
      <w:pPr>
        <w:pStyle w:val="Normal"/>
        <w:widowControl/>
        <w:rPr/>
      </w:pPr>
      <w:r>
        <w:rPr/>
        <w:t>4. Physical holdings should, where feasible, be geographically distributed and rotationally maintained to reduce degradation and single-point failure.</w:t>
      </w:r>
    </w:p>
    <w:p>
      <w:pPr>
        <w:pStyle w:val="Heading3"/>
        <w:keepNext/>
        <w:widowControl/>
        <w:rPr/>
      </w:pPr>
      <w:r>
        <w:rPr/>
        <w:t>Article 55.2: Emergency Logistics Surge Arrangements</w:t>
      </w:r>
    </w:p>
    <w:p>
      <w:pPr>
        <w:pStyle w:val="Normal"/>
        <w:widowControl/>
        <w:rPr/>
      </w:pPr>
      <w:r>
        <w:rPr/>
        <w:t>1. The Parties shall maintain or identify pre-negotiated emergency logistics arrangements, using existing competent authorities and commercial or mutual-aid networks, for major border, port, rail, road, air-cargo, cyber, natural-disaster, public-health, or infrastructure disruptions. This Article does not create a separately staffed logistics network.</w:t>
      </w:r>
    </w:p>
    <w:p>
      <w:pPr>
        <w:pStyle w:val="Normal"/>
        <w:widowControl/>
        <w:rPr/>
      </w:pPr>
      <w:r>
        <w:rPr/>
        <w:t>2. Arrangements shall identify alternative ports of entry, priority communications, responsible authorities, customs fallback procedures, capacity information, and contacts with relevant carriers, ports, terminals, and logistics providers.</w:t>
      </w:r>
    </w:p>
    <w:p>
      <w:pPr>
        <w:pStyle w:val="Normal"/>
        <w:widowControl/>
        <w:rPr/>
      </w:pPr>
      <w:r>
        <w:rPr/>
        <w:t>3. Activation reallocates administrative attention and routing capacity; it does not authorize compulsory private carriage, commandeering, or discriminatory exclusion of lawful traffic.</w:t>
      </w:r>
    </w:p>
    <w:p>
      <w:pPr>
        <w:pStyle w:val="Heading3"/>
        <w:keepNext/>
        <w:widowControl/>
        <w:rPr/>
      </w:pPr>
      <w:r>
        <w:rPr/>
        <w:t>Article 55.3: North American Trade Facilitation Corridors</w:t>
      </w:r>
    </w:p>
    <w:p>
      <w:pPr>
        <w:pStyle w:val="Normal"/>
        <w:widowControl/>
        <w:rPr/>
      </w:pPr>
      <w:r>
        <w:rPr/>
        <w:t>1. During a qualifying disruption, the Commission or designated emergency body may activate temporary Trade Facilitation Corridors for essential food, medicines, medical inputs, critical industrial inputs, livestock, perishables, emergency-response material, or other time-sensitive originating goods.</w:t>
      </w:r>
    </w:p>
    <w:p>
      <w:pPr>
        <w:pStyle w:val="Normal"/>
        <w:widowControl/>
        <w:rPr/>
      </w:pPr>
      <w:r>
        <w:rPr/>
        <w:t>2. Corridor treatment may include alternate routing, consolidated documentation, pre-arrival processing, extended operating hours, priority inspection scheduling, and mutual recognition of approved contingency credentials.</w:t>
      </w:r>
    </w:p>
    <w:p>
      <w:pPr>
        <w:pStyle w:val="Normal"/>
        <w:widowControl/>
        <w:rPr/>
      </w:pPr>
      <w:r>
        <w:rPr/>
        <w:t>3. Safety, sanitary, security, animal-health, plant-health, origin, and forced-labor protections remain in force. Corridor treatment accelerates lawful processing rather than waiving substantive standards.</w:t>
      </w:r>
    </w:p>
    <w:p>
      <w:pPr>
        <w:pStyle w:val="Heading3"/>
        <w:keepNext/>
        <w:widowControl/>
        <w:rPr/>
      </w:pPr>
      <w:r>
        <w:rPr/>
        <w:t>Article 55.4: Strategic Supply Pre-Investment and Capacity Mapping</w:t>
      </w:r>
    </w:p>
    <w:p>
      <w:pPr>
        <w:pStyle w:val="Normal"/>
        <w:widowControl/>
        <w:rPr/>
      </w:pPr>
      <w:r>
        <w:rPr/>
        <w:t>1. The Parties may jointly identify processing, storage, transportation, testing, refining, recycling, and qualification capacity whose absence materially increases North American vulnerability.</w:t>
      </w:r>
    </w:p>
    <w:p>
      <w:pPr>
        <w:pStyle w:val="Normal"/>
        <w:widowControl/>
        <w:rPr/>
      </w:pPr>
      <w:r>
        <w:rPr/>
        <w:t>2. Joint programs may support feasibility work, permitting coordination, infrastructure, training, research, or financing under domestic law. Participation is voluntary and does not guarantee a private return or displace ordinary competition.</w:t>
      </w:r>
    </w:p>
    <w:p>
      <w:pPr>
        <w:pStyle w:val="Heading3"/>
        <w:keepNext/>
        <w:widowControl/>
        <w:rPr/>
      </w:pPr>
      <w:r>
        <w:rPr/>
        <w:t>Article 55.5: Essential-Imports Continuity Principle</w:t>
      </w:r>
    </w:p>
    <w:p>
      <w:pPr>
        <w:pStyle w:val="Normal"/>
        <w:widowControl/>
        <w:rPr/>
      </w:pPr>
      <w:r>
        <w:rPr/>
        <w:t>1. During Safe Mode or a qualifying systemic disruption, the Parties shall prioritize continuity of lawful trade in essential medicines, medical devices, food, energy inputs, water-treatment inputs, emergency equipment, and other goods designated through transparent criteria.</w:t>
      </w:r>
    </w:p>
    <w:p>
      <w:pPr>
        <w:pStyle w:val="Normal"/>
        <w:widowControl/>
        <w:rPr/>
      </w:pPr>
      <w:r>
        <w:rPr/>
        <w:t>2. This Article does not compel export where a Party faces a bona fide domestic shortage. A temporary restriction remains subject to applicable notification, nondiscrimination, proportionality, and review obligations.</w:t>
      </w:r>
    </w:p>
    <w:p>
      <w:bookmarkStart w:id="1792" w:name="_NAESTMA_TOC_1792"/>
      <w:pPr>
        <w:pStyle w:val="Heading2"/>
        <w:keepNext/>
        <w:widowControl/>
        <w:rPr/>
      </w:pPr>
      <w:bookmarkStart w:id="320" w:name="_Toc237912801"/>
      <w:r>
        <w:rPr/>
        <w:t>ANNEX 34-I: CUSMA OPERATIONAL MANUAL AND TIERED INSTRUMENT HIERARCHY</w:t>
      </w:r>
      <w:bookmarkEnd w:id="320"/>
      <w:bookmarkEnd w:id="1792"/>
    </w:p>
    <w:p>
      <w:pPr>
        <w:pStyle w:val="Heading3"/>
        <w:keepNext/>
        <w:widowControl/>
        <w:rPr/>
      </w:pPr>
      <w:r>
        <w:rPr/>
        <w:t>Part 1: Three-Layer Architecture</w:t>
      </w:r>
    </w:p>
    <w:p>
      <w:pPr>
        <w:pStyle w:val="Normal"/>
        <w:widowControl/>
        <w:rPr/>
      </w:pPr>
      <w:r>
        <w:rPr/>
        <w:t>1. Layer One — Treaty Text. The Agreement contains substantive rights, obligations, exceptions, sovereign safeguards, remedies, burdens of proof, and institutional authority. Layer One changes only through the amendment process applicable to this Agreement.</w:t>
      </w:r>
    </w:p>
    <w:p>
      <w:pPr>
        <w:pStyle w:val="Normal"/>
        <w:widowControl/>
        <w:rPr/>
      </w:pPr>
      <w:r>
        <w:rPr/>
        <w:t>2. Layer Two — Binding Technical Instruments. Uniform Regulations, schedules, calculation methodologies, technical data standards, product lists, interoperability specifications, and similar instruments may implement the treaty within authority expressly delegated by Layer One.</w:t>
      </w:r>
    </w:p>
    <w:p>
      <w:pPr>
        <w:pStyle w:val="Normal"/>
        <w:widowControl/>
        <w:rPr/>
      </w:pPr>
      <w:r>
        <w:rPr/>
        <w:t>3. Layer Three — Operational Manual. The Secretariat shall maintain an Operational Manual containing workflows, standard forms, decision trees, contact protocols, outage procedures, model notices, implementation checklists, evidence-handling procedures, exercise playbooks, and other non-substantive operating material.</w:t>
      </w:r>
    </w:p>
    <w:p>
      <w:pPr>
        <w:pStyle w:val="Heading3"/>
        <w:keepNext/>
        <w:widowControl/>
        <w:rPr/>
      </w:pPr>
      <w:r>
        <w:rPr/>
        <w:t>Part 2: Update Authority and Safeguards</w:t>
      </w:r>
    </w:p>
    <w:p>
      <w:pPr>
        <w:pStyle w:val="Normal"/>
        <w:widowControl/>
        <w:rPr/>
      </w:pPr>
      <w:r>
        <w:rPr/>
        <w:t>1. A proposed Layer Three update receives at least 30 days' notice except for a temporary emergency update needed to maintain operations during an active disruption.</w:t>
      </w:r>
    </w:p>
    <w:p>
      <w:pPr>
        <w:pStyle w:val="Normal"/>
        <w:widowControl/>
        <w:rPr/>
      </w:pPr>
      <w:r>
        <w:rPr/>
        <w:t>2. Every update includes a justification memorandum stating the problem addressed, expected operational effect, systems affected, transition needs, and confirmation that the update changes no substantive right, duty, threshold, tariff treatment, burden of proof, remedy, or jurisdiction.</w:t>
      </w:r>
    </w:p>
    <w:p>
      <w:pPr>
        <w:pStyle w:val="Normal"/>
        <w:widowControl/>
        <w:rPr/>
      </w:pPr>
      <w:r>
        <w:rPr/>
        <w:t>3. A Party may object that a proposed update exceeds operational authority. An objection suspends the disputed portion pending expedited Commission review.</w:t>
      </w:r>
    </w:p>
    <w:p>
      <w:pPr>
        <w:pStyle w:val="Normal"/>
        <w:widowControl/>
        <w:rPr/>
      </w:pPr>
      <w:r>
        <w:rPr/>
        <w:t>4. An emergency Layer Three update may take temporary effect immediately where necessary to preserve service, evidence, safety, or continuity, but expires after 30 days unless ratified under the ordinary operational-update procedure.</w:t>
      </w:r>
    </w:p>
    <w:p>
      <w:pPr>
        <w:pStyle w:val="Heading3"/>
        <w:keepNext/>
        <w:widowControl/>
        <w:rPr/>
      </w:pPr>
      <w:r>
        <w:rPr/>
        <w:t>Part 3: Scope Limitation</w:t>
      </w:r>
    </w:p>
    <w:p>
      <w:pPr>
        <w:pStyle w:val="Normal"/>
        <w:widowControl/>
        <w:rPr/>
      </w:pPr>
      <w:r>
        <w:rPr/>
        <w:t>1. The Operational Manual may clarify procedure but never amend the Agreement by practice. Repeated use of an operational workaround does not ripen into a substantive treaty amendment.</w:t>
      </w:r>
    </w:p>
    <w:p>
      <w:pPr>
        <w:pStyle w:val="Normal"/>
        <w:widowControl/>
        <w:rPr/>
      </w:pPr>
      <w:r>
        <w:rPr/>
        <w:t>2. Where an operational instruction conflicts with Layer One or Layer Two, the higher layer controls and the conflicting instruction is corrected promptly.</w:t>
      </w:r>
    </w:p>
    <w:p>
      <w:pPr>
        <w:pStyle w:val="Normal"/>
        <w:widowControl/>
        <w:rPr/>
      </w:pPr>
      <w:r>
        <w:rPr/>
        <w:t>3. Traders and officials may rely in good faith on a published Operational Manual instruction until corrected, subject to fraud, manifest error, and an express contrary rule in Layer One or Layer Two.</w:t>
      </w:r>
    </w:p>
    <w:p>
      <w:pPr>
        <w:pStyle w:val="Heading3"/>
        <w:keepNext/>
        <w:widowControl/>
        <w:rPr/>
      </w:pPr>
      <w:r>
        <w:rPr/>
        <w:t>Part 4: Public and Protected Versions</w:t>
      </w:r>
    </w:p>
    <w:p>
      <w:pPr>
        <w:pStyle w:val="Normal"/>
        <w:widowControl/>
        <w:rPr/>
      </w:pPr>
      <w:r>
        <w:rPr/>
        <w:t>1. The Secretariat shall maintain a public Operational Manual and may maintain protected supplements for cybersecurity, customs targeting, fraud detection, critical infrastructure, or other information whose disclosure would materially undermine enforcement or security.</w:t>
      </w:r>
    </w:p>
    <w:p>
      <w:pPr>
        <w:pStyle w:val="Normal"/>
        <w:widowControl/>
        <w:rPr/>
      </w:pPr>
      <w:r>
        <w:rPr/>
        <w:t>2. Protected supplements may not create undisclosed substantive obligations for traders.</w:t>
      </w:r>
    </w:p>
    <w:p>
      <w:pPr>
        <w:pStyle w:val="Normal"/>
        <w:widowControl/>
        <w:rPr/>
      </w:pPr>
      <w:r>
        <w:rPr/>
        <w:t>PACKAGE S — PREDICTABILITY, COMMERCIAL CONTINUITY, OPERATIONAL HIERARCHY, AND STRATEGIC LOGISTICS (v3.7). Mines the strongest transferable mechanics from IMESI without importing coalition-specific coercive tools. Adds advance notice for material trade measures; cumulative administrative-obstruction and regulatory-surprise review; a non-presumptive Pattern-of-Conduct Ledger; voluntary compliance-stabilization and predictability restoration; an Institutional Predictability Calendar; a Learning Engine; outcome-based effectiveness audits; and a Treaty Restraint Dashboard. Adds treaty-level private-sector principles, a Commercial Friction Early Warning Channel, a Business Continuity Safe Harbor, Continuity-Certified Supplier treatment, rotating independent experts, and protected integrity reporting. Creates a processed strategic-materials reserve framework, emergency logistics surge network, temporary trade-facilitation corridors, strategic-capacity mapping, and essential-imports continuity rules. Finally establishes a three-layer instrument hierarchy separating substantive treaty law, binding technical instruments, and a maintainable Operational Manual that can update workflows without silently amending treaty rights.</w:t>
      </w:r>
      <w:r>
        <w:br w:type="page"/>
      </w:r>
    </w:p>
    <w:p>
      <w:bookmarkStart w:id="1793" w:name="_NAESTMA_TOC_1793"/>
      <w:pPr>
        <w:pStyle w:val="Heading1"/>
        <w:keepNext/>
        <w:keepLines w:val="0"/>
        <w:pageBreakBefore/>
        <w:widowControl/>
        <w:rPr/>
      </w:pPr>
      <w:bookmarkStart w:id="321" w:name="_Toc237912802"/>
      <w:r>
        <w:rPr/>
        <w:t>CHAPTER 56</w:t>
      </w:r>
      <w:bookmarkEnd w:id="321"/>
      <w:bookmarkEnd w:id="1793"/>
    </w:p>
    <w:p>
      <w:bookmarkStart w:id="1794" w:name="_NAESTMA_TOC_1794"/>
      <w:pPr>
        <w:pStyle w:val="Heading2"/>
        <w:keepNext/>
        <w:pageBreakBefore w:val="false"/>
        <w:widowControl/>
        <w:rPr/>
      </w:pPr>
      <w:bookmarkStart w:id="322" w:name="_Toc237912803"/>
      <w:r>
        <w:rPr/>
        <w:t>ADAPTIVE THRESHOLDS, INSTITUTIONAL MEMORY, AND CONTROLLED EXPERIMENTATION</w:t>
      </w:r>
      <w:bookmarkEnd w:id="322"/>
      <w:bookmarkEnd w:id="1794"/>
    </w:p>
    <w:p>
      <w:pPr>
        <w:pStyle w:val="Heading3"/>
        <w:keepNext/>
        <w:widowControl/>
        <w:rPr/>
      </w:pPr>
      <w:r>
        <w:rPr/>
        <w:t>Article 56.1: Stability-Band Thresholds</w:t>
      </w:r>
    </w:p>
    <w:p>
      <w:pPr>
        <w:pStyle w:val="Normal"/>
        <w:widowControl/>
        <w:rPr/>
      </w:pPr>
      <w:r>
        <w:rPr/>
        <w:t>1. Where a treaty mechanism relies on a quantitative threshold whose repeated crossing could activate and deactivate materially different legal or administrative states, the implementing instrument shall use a stability band where appropriate rather than a single reversible trigger.</w:t>
      </w:r>
    </w:p>
    <w:p>
      <w:pPr>
        <w:pStyle w:val="Normal"/>
        <w:widowControl/>
        <w:rPr/>
      </w:pPr>
      <w:r>
        <w:rPr/>
        <w:t>2. An entry threshold and a distinct restoration threshold may be established so that ordinary measurement noise, seasonal fluctuation, or strategic hovering near a boundary does not repeatedly switch the mechanism on and off.</w:t>
      </w:r>
    </w:p>
    <w:p>
      <w:pPr>
        <w:pStyle w:val="Normal"/>
        <w:widowControl/>
        <w:rPr/>
      </w:pPr>
      <w:r>
        <w:rPr/>
        <w:t>3. The width of a stability band shall be published, empirically justified, proportionate to measurement uncertainty, and periodically reviewed. It shall not be widened after a dispute begins for the purpose of changing the result.</w:t>
      </w:r>
    </w:p>
    <w:p>
      <w:pPr>
        <w:pStyle w:val="Normal"/>
        <w:widowControl/>
        <w:rPr/>
      </w:pPr>
      <w:r>
        <w:rPr/>
        <w:t>4. Nothing in this Article authorizes an automated model to make a final legal determination. Quantitative triggers identify the applicable procedural state; legally consequential findings remain subject to the human-review requirements of Chapters 31, 35, and 46.</w:t>
      </w:r>
    </w:p>
    <w:p>
      <w:pPr>
        <w:pStyle w:val="Heading3"/>
        <w:keepNext/>
        <w:widowControl/>
        <w:rPr/>
      </w:pPr>
      <w:r>
        <w:rPr/>
        <w:t>Article 56.2: Compliance History Decay and Clean-Record Restoration</w:t>
      </w:r>
    </w:p>
    <w:p>
      <w:pPr>
        <w:pStyle w:val="Normal"/>
        <w:widowControl/>
        <w:rPr/>
      </w:pPr>
      <w:r>
        <w:rPr/>
        <w:t>1. Verified prior incidents may inform pattern analysis, but their evidentiary weight shall decline after sustained clean performance so that institutional memory does not become permanent stigma.</w:t>
      </w:r>
    </w:p>
    <w:p>
      <w:pPr>
        <w:pStyle w:val="Normal"/>
        <w:widowControl/>
        <w:rPr/>
      </w:pPr>
      <w:r>
        <w:rPr/>
        <w:t>2. Unless a more specific rule applies, a resolved incident receives full pattern weight for 12 months after verified cure, reduced weight during the following 24 months, and no independent aggravating weight after 36 months of materially related clean compliance.</w:t>
      </w:r>
    </w:p>
    <w:p>
      <w:pPr>
        <w:pStyle w:val="Normal"/>
        <w:widowControl/>
        <w:rPr/>
      </w:pPr>
      <w:r>
        <w:rPr/>
        <w:t>3. Fraud, deliberate concealment, corruption, or falsification may justify a longer retention period stated in advance by the applicable rule. Historical facts remain archived even when they cease to carry aggravating weight.</w:t>
      </w:r>
    </w:p>
    <w:p>
      <w:pPr>
        <w:pStyle w:val="Normal"/>
        <w:widowControl/>
        <w:rPr/>
      </w:pPr>
      <w:r>
        <w:rPr/>
        <w:t>4. A new violation does not automatically revive the full weight of every expired historical incident; revival requires a reasoned finding of a materially related pattern.</w:t>
      </w:r>
    </w:p>
    <w:p>
      <w:pPr>
        <w:pStyle w:val="Heading3"/>
        <w:keepNext/>
        <w:widowControl/>
        <w:rPr/>
      </w:pPr>
      <w:r>
        <w:rPr/>
        <w:t>Article 56.3: Multi-Party Authorization Controls</w:t>
      </w:r>
    </w:p>
    <w:p>
      <w:pPr>
        <w:pStyle w:val="Normal"/>
        <w:widowControl/>
        <w:rPr/>
      </w:pPr>
      <w:r>
        <w:rPr/>
        <w:t>1. No single official or Party credential may unilaterally alter an authoritative Golden Record, release specially protected evidence, restore a compromised shared registry from backup, or activate another function designated as a critical integrity action.</w:t>
      </w:r>
    </w:p>
    <w:p>
      <w:pPr>
        <w:pStyle w:val="Normal"/>
        <w:widowControl/>
        <w:rPr/>
      </w:pPr>
      <w:r>
        <w:rPr/>
        <w:t>2. Critical integrity actions require at least two independent authorizations drawn from separate institutional roles, together with an immutable audit record. For the most sensitive functions, the Commission may require a third authorization or independent Integrity Officer concurrence.</w:t>
      </w:r>
    </w:p>
    <w:p>
      <w:pPr>
        <w:pStyle w:val="Normal"/>
        <w:widowControl/>
        <w:rPr/>
      </w:pPr>
      <w:r>
        <w:rPr/>
        <w:t>3. Emergency access shall remain possible through a documented break-glass procedure requiring contemporaneous logging, prompt notice, and post-event independent review.</w:t>
      </w:r>
    </w:p>
    <w:p>
      <w:pPr>
        <w:pStyle w:val="Heading3"/>
        <w:keepNext/>
        <w:widowControl/>
        <w:rPr/>
      </w:pPr>
      <w:r>
        <w:rPr/>
        <w:t>Article 56.4: Dormant Authority Expiry</w:t>
      </w:r>
    </w:p>
    <w:p>
      <w:pPr>
        <w:pStyle w:val="Normal"/>
        <w:widowControl/>
        <w:rPr/>
      </w:pPr>
      <w:r>
        <w:rPr/>
        <w:t>1. A temporary committee, emergency power, pilot authority, extraordinary reporting burden, enhanced verification regime, or provisional restriction expires on its stated date unless affirmatively renewed under the authority that created it.</w:t>
      </w:r>
    </w:p>
    <w:p>
      <w:pPr>
        <w:pStyle w:val="Normal"/>
        <w:widowControl/>
        <w:rPr/>
      </w:pPr>
      <w:r>
        <w:rPr/>
        <w:t>2. Renewal requires a public or appropriately protected finding that the underlying need continues, that the authority remains proportionate, and that ordinary treaty machinery cannot yet perform the function adequately.</w:t>
      </w:r>
    </w:p>
    <w:p>
      <w:pPr>
        <w:pStyle w:val="Normal"/>
        <w:widowControl/>
        <w:rPr/>
      </w:pPr>
      <w:r>
        <w:rPr/>
        <w:t>3. Expiry of a temporary authority does not erase accrued rights, completed findings, preserved evidence, or obligations already due.</w:t>
      </w:r>
    </w:p>
    <w:p>
      <w:pPr>
        <w:pStyle w:val="Heading3"/>
        <w:keepNext/>
        <w:widowControl/>
        <w:rPr/>
      </w:pPr>
      <w:r>
        <w:rPr/>
        <w:t>Article 56.5: Interpretive Uncertainty Register</w:t>
      </w:r>
    </w:p>
    <w:p>
      <w:pPr>
        <w:pStyle w:val="Normal"/>
        <w:widowControl/>
        <w:rPr/>
      </w:pPr>
      <w:r>
        <w:rPr/>
        <w:t>1. The Secretariat shall maintain an Interpretive Uncertainty Register identifying provisions that have produced materially conflicting official interpretations, repeated implementation divergence, or recurring disputes.</w:t>
      </w:r>
    </w:p>
    <w:p>
      <w:pPr>
        <w:pStyle w:val="Normal"/>
        <w:widowControl/>
        <w:rPr/>
      </w:pPr>
      <w:r>
        <w:rPr/>
        <w:t>2. A provision enters mandatory clarification review after two final disputes presenting substantially the same interpretive question, or after three documented materially inconsistent administrative applications among the Parties within five years.</w:t>
      </w:r>
    </w:p>
    <w:p>
      <w:pPr>
        <w:pStyle w:val="Normal"/>
        <w:widowControl/>
        <w:rPr/>
      </w:pPr>
      <w:r>
        <w:rPr/>
        <w:t>3. The responsible body shall issue an agreed interpretation where authorized, adopt a technical clarification within delegated authority, propose an amendment, or publish a reasoned explanation of why clarification is premature.</w:t>
      </w:r>
    </w:p>
    <w:p>
      <w:pPr>
        <w:pStyle w:val="Normal"/>
        <w:widowControl/>
        <w:rPr/>
      </w:pPr>
      <w:r>
        <w:rPr/>
        <w:t>4. Register entry does not prejudge the correct interpretation and may not be cited as evidence that a Party acted unlawfully.</w:t>
      </w:r>
    </w:p>
    <w:p>
      <w:pPr>
        <w:pStyle w:val="Heading3"/>
        <w:keepNext/>
        <w:widowControl/>
        <w:rPr/>
      </w:pPr>
      <w:r>
        <w:rPr/>
        <w:t>Article 56.6: Equivalent Implementation Pilot Framework</w:t>
      </w:r>
    </w:p>
    <w:p>
      <w:pPr>
        <w:pStyle w:val="Normal"/>
        <w:widowControl/>
        <w:rPr/>
      </w:pPr>
      <w:r>
        <w:rPr/>
        <w:t>1. Where the Parties agree on a treaty objective but reasonably disagree on the best implementation method, they may authorize two or more time-limited pilot methods operating under common minimum rights, interoperability, evidence, and performance requirements.</w:t>
      </w:r>
    </w:p>
    <w:p>
      <w:pPr>
        <w:pStyle w:val="Normal"/>
        <w:widowControl/>
        <w:rPr/>
      </w:pPr>
      <w:r>
        <w:rPr/>
        <w:t>2. Pilot methods shall be evaluated against pre-published metrics. A pilot may not reduce substantive treaty protection merely to improve administrative performance.</w:t>
      </w:r>
    </w:p>
    <w:p>
      <w:pPr>
        <w:pStyle w:val="Normal"/>
        <w:widowControl/>
        <w:rPr/>
      </w:pPr>
      <w:r>
        <w:rPr/>
        <w:t>3. At the end of the pilot period, the Parties may converge on one method, recognize multiple methods as equivalent, extend testing for good cause, or discontinue an unsuccessful method.</w:t>
      </w:r>
    </w:p>
    <w:p>
      <w:pPr>
        <w:pStyle w:val="Normal"/>
        <w:widowControl/>
        <w:rPr/>
      </w:pPr>
      <w:r>
        <w:rPr/>
        <w:t>4. Participation in an approved pilot creates no presumption that the participating Party's method is superior or permanently authorized.</w:t>
      </w:r>
    </w:p>
    <w:p>
      <w:pPr>
        <w:pStyle w:val="Heading3"/>
        <w:keepNext/>
        <w:widowControl/>
        <w:rPr/>
      </w:pPr>
      <w:r>
        <w:rPr/>
        <w:t>Article 56.7: Tiered Trust and Privilege Unlocking</w:t>
      </w:r>
    </w:p>
    <w:p>
      <w:pPr>
        <w:pStyle w:val="Normal"/>
        <w:widowControl/>
        <w:rPr/>
      </w:pPr>
      <w:r>
        <w:rPr/>
        <w:t>1. Reduced verification, longer credential validity, continuity certification, expedited processing, and other trust-based administrative privileges shall use transparent eligibility tiers where practicable.</w:t>
      </w:r>
    </w:p>
    <w:p>
      <w:pPr>
        <w:pStyle w:val="Normal"/>
        <w:widowControl/>
        <w:rPr/>
      </w:pPr>
      <w:r>
        <w:rPr/>
        <w:t>2. Each tier shall state measurable entry, maintenance, suspension, and restoration criteria. Advancement is earned through verified performance rather than discretionary political designation.</w:t>
      </w:r>
    </w:p>
    <w:p>
      <w:pPr>
        <w:pStyle w:val="Normal"/>
        <w:widowControl/>
        <w:rPr/>
      </w:pPr>
      <w:r>
        <w:rPr/>
        <w:t>3. Suspension shall be targeted to the affected privilege and shall not automatically remove unrelated earned status.</w:t>
      </w:r>
    </w:p>
    <w:p>
      <w:pPr>
        <w:pStyle w:val="Heading3"/>
        <w:keepNext/>
        <w:widowControl/>
        <w:rPr/>
      </w:pPr>
      <w:r>
        <w:rPr/>
        <w:t>Article 56.8: Equivalent Contribution Accounting</w:t>
      </w:r>
    </w:p>
    <w:p>
      <w:pPr>
        <w:pStyle w:val="Normal"/>
        <w:widowControl/>
        <w:rPr/>
      </w:pPr>
      <w:r>
        <w:rPr/>
        <w:t>1. For a joint North American program funded or implemented by more than one Party, the responsible body may maintain an Implementation Contribution Record recognizing different forms of contribution, including funding, personnel, infrastructure, data, testing capacity, training, facilities, or in-kind technical support.</w:t>
      </w:r>
    </w:p>
    <w:p>
      <w:pPr>
        <w:pStyle w:val="Normal"/>
        <w:widowControl/>
        <w:rPr/>
      </w:pPr>
      <w:r>
        <w:rPr/>
        <w:t>2. Equivalent contribution does not require identical contribution. No point system may convert the Record into a general score of national treaty compliance.</w:t>
      </w:r>
    </w:p>
    <w:p>
      <w:pPr>
        <w:pStyle w:val="Normal"/>
        <w:widowControl/>
        <w:rPr/>
      </w:pPr>
      <w:r>
        <w:rPr/>
        <w:t>3. The Record is used for transparency, cost allocation, capacity planning, and equitable program design only.</w:t>
      </w:r>
      <w:r>
        <w:br w:type="page"/>
      </w:r>
    </w:p>
    <w:p>
      <w:bookmarkStart w:id="1795" w:name="_NAESTMA_TOC_1795"/>
      <w:pPr>
        <w:pStyle w:val="Heading1"/>
        <w:keepNext/>
        <w:keepLines w:val="0"/>
        <w:pageBreakBefore/>
        <w:widowControl/>
        <w:rPr/>
      </w:pPr>
      <w:bookmarkStart w:id="323" w:name="_Toc237912804"/>
      <w:r>
        <w:rPr/>
        <w:t>CHAPTER 57</w:t>
      </w:r>
      <w:bookmarkEnd w:id="323"/>
      <w:bookmarkEnd w:id="1795"/>
    </w:p>
    <w:p>
      <w:bookmarkStart w:id="1796" w:name="_NAESTMA_TOC_1796"/>
      <w:pPr>
        <w:pStyle w:val="Heading2"/>
        <w:keepNext/>
        <w:pageBreakBefore w:val="false"/>
        <w:widowControl/>
        <w:rPr/>
      </w:pPr>
      <w:bookmarkStart w:id="324" w:name="_Toc237912805"/>
      <w:r>
        <w:rPr/>
        <w:t>FAILURE CONTAINMENT, SERVICE CONTINUITY, AND DISTRIBUTED COORDINATION</w:t>
      </w:r>
      <w:bookmarkEnd w:id="324"/>
      <w:bookmarkEnd w:id="1796"/>
    </w:p>
    <w:p>
      <w:pPr>
        <w:pStyle w:val="Heading3"/>
        <w:keepNext/>
        <w:widowControl/>
        <w:rPr/>
      </w:pPr>
      <w:r>
        <w:rPr/>
        <w:t>Article 57.1: Cross-Module Contagion Test</w:t>
      </w:r>
    </w:p>
    <w:p>
      <w:pPr>
        <w:pStyle w:val="Normal"/>
        <w:widowControl/>
        <w:rPr/>
      </w:pPr>
      <w:r>
        <w:rPr/>
        <w:t>1. Before a remedy, suspension, emergency measure, or implementation failure is allowed to impair a legally distinct treaty module, the acting body shall identify the legal connection between the originating problem and the additional module.</w:t>
      </w:r>
    </w:p>
    <w:p>
      <w:pPr>
        <w:pStyle w:val="Normal"/>
        <w:widowControl/>
        <w:rPr/>
      </w:pPr>
      <w:r>
        <w:rPr/>
        <w:t>2. Cross-module action requires a finding that narrower relief within the affected module is inadequate and that extension is necessary, proportionate, and no broader than required to prevent material circumvention or systemic harm.</w:t>
      </w:r>
    </w:p>
    <w:p>
      <w:pPr>
        <w:pStyle w:val="Normal"/>
        <w:widowControl/>
        <w:rPr/>
      </w:pPr>
      <w:r>
        <w:rPr/>
        <w:t>3. Political salience, negotiating leverage, or a desire to increase pressure does not by itself establish the required connection.</w:t>
      </w:r>
    </w:p>
    <w:p>
      <w:pPr>
        <w:pStyle w:val="Normal"/>
        <w:widowControl/>
        <w:rPr/>
      </w:pPr>
      <w:r>
        <w:rPr/>
        <w:t>4. Essential humanitarian trade, ordinary customs processing, and unrelated earned administrative privileges remain firewalled unless their inclusion is independently justified.</w:t>
      </w:r>
    </w:p>
    <w:p>
      <w:pPr>
        <w:pStyle w:val="Heading3"/>
        <w:keepNext/>
        <w:widowControl/>
        <w:rPr/>
      </w:pPr>
      <w:r>
        <w:rPr/>
        <w:t>Article 57.2: Institutional Continuity Transfer Rule</w:t>
      </w:r>
    </w:p>
    <w:p>
      <w:pPr>
        <w:pStyle w:val="Normal"/>
        <w:widowControl/>
        <w:rPr/>
      </w:pPr>
      <w:r>
        <w:rPr/>
        <w:t>1. If a designated committee, technical body, roster, or Secretariat function cannot act because of conflict of interest, loss of quorum, system failure, incapacity, or another defined continuity event, the matter transfers laterally to a pre-designated alternate body or roster rather than remaining indefinitely stalled.</w:t>
      </w:r>
    </w:p>
    <w:p>
      <w:pPr>
        <w:pStyle w:val="Normal"/>
        <w:widowControl/>
        <w:rPr/>
      </w:pPr>
      <w:r>
        <w:rPr/>
        <w:t>2. The alternate receives only the authority necessary to complete the transferred function and applies the same substantive law, evidentiary standard, confidentiality rules, and deadlines.</w:t>
      </w:r>
    </w:p>
    <w:p>
      <w:pPr>
        <w:pStyle w:val="Normal"/>
        <w:widowControl/>
        <w:rPr/>
      </w:pPr>
      <w:r>
        <w:rPr/>
        <w:t>3. Transfer does not constitute escalation and does not alter the merits of the dispute.</w:t>
      </w:r>
    </w:p>
    <w:p>
      <w:pPr>
        <w:pStyle w:val="Heading3"/>
        <w:keepNext/>
        <w:widowControl/>
        <w:rPr/>
      </w:pPr>
      <w:r>
        <w:rPr/>
        <w:t>Article 57.3: Degraded Operations and Controlled Restoration</w:t>
      </w:r>
    </w:p>
    <w:p>
      <w:pPr>
        <w:pStyle w:val="Normal"/>
        <w:widowControl/>
        <w:rPr/>
      </w:pPr>
      <w:r>
        <w:rPr/>
        <w:t>1. The Operational Manual shall define service levels for Normal Operations, Constrained Operations, Safe Mode, and Reconstitution.</w:t>
      </w:r>
    </w:p>
    <w:p>
      <w:pPr>
        <w:pStyle w:val="Normal"/>
        <w:widowControl/>
        <w:rPr/>
      </w:pPr>
      <w:r>
        <w:rPr/>
        <w:t>2. A lower service level may simplify nonessential procedure, extend procedural clocks, substitute approved records, reroute cases, or activate contingency communications while preserving substantive rights, safety requirements, evidentiary integrity, and access to review.</w:t>
      </w:r>
    </w:p>
    <w:p>
      <w:pPr>
        <w:pStyle w:val="Normal"/>
        <w:widowControl/>
        <w:rPr/>
      </w:pPr>
      <w:r>
        <w:rPr/>
        <w:t>3. Entry into a degraded service level shall identify the triggering condition, affected functions, preserved functions, expected review interval, and restoration criteria.</w:t>
      </w:r>
    </w:p>
    <w:p>
      <w:pPr>
        <w:pStyle w:val="Normal"/>
        <w:widowControl/>
        <w:rPr/>
      </w:pPr>
      <w:r>
        <w:rPr/>
        <w:t>4. Restoration proceeds in stages where necessary. Procedural shortcuts used during the disruption do not become permanent practice without ordinary authorization.</w:t>
      </w:r>
    </w:p>
    <w:p>
      <w:pPr>
        <w:pStyle w:val="Heading3"/>
        <w:keepNext/>
        <w:widowControl/>
        <w:rPr/>
      </w:pPr>
      <w:r>
        <w:rPr/>
        <w:t>Article 57.4: Institutional Stall Detection</w:t>
      </w:r>
    </w:p>
    <w:p>
      <w:pPr>
        <w:pStyle w:val="Normal"/>
        <w:widowControl/>
        <w:rPr/>
      </w:pPr>
      <w:r>
        <w:rPr/>
        <w:t>1. A treaty process is considered potentially stalled when it repeatedly misses mandatory deadlines, recycles the same unresolved agenda item without new evidence, fails to appoint required decision-makers, or remains procedurally active without material movement toward the assigned decision.</w:t>
      </w:r>
    </w:p>
    <w:p>
      <w:pPr>
        <w:pStyle w:val="Normal"/>
        <w:widowControl/>
        <w:rPr/>
      </w:pPr>
      <w:r>
        <w:rPr/>
        <w:t>2. After two consecutive stall indicators, the Secretariat issues a Stall Notice and applies the pre-designated correction sequence, which may include narrowing the question, replacing or rotating the chair, appointing a neutral technical facilitator, activating lateral transfer, or referring the procedural blockage to the Commission.</w:t>
      </w:r>
    </w:p>
    <w:p>
      <w:pPr>
        <w:pStyle w:val="Normal"/>
        <w:widowControl/>
        <w:rPr/>
      </w:pPr>
      <w:r>
        <w:rPr/>
        <w:t>3. A Stall Notice does not determine substantive fault and shall not be used as leverage in an unrelated negotiation.</w:t>
      </w:r>
    </w:p>
    <w:p>
      <w:pPr>
        <w:pStyle w:val="Heading3"/>
        <w:keepNext/>
        <w:widowControl/>
        <w:rPr/>
      </w:pPr>
      <w:r>
        <w:rPr/>
        <w:t>Article 57.5: Direction-Specific Ratchets</w:t>
      </w:r>
    </w:p>
    <w:p>
      <w:pPr>
        <w:pStyle w:val="Normal"/>
        <w:widowControl/>
        <w:rPr/>
      </w:pPr>
      <w:r>
        <w:rPr/>
        <w:t>1. The Agreement distinguishes durable liberalization from temporary restriction. A permanent market-access improvement expressly adopted by the Parties carries a presumption against rollback except through the applicable amendment, safeguard, or withdrawal process.</w:t>
      </w:r>
    </w:p>
    <w:p>
      <w:pPr>
        <w:pStyle w:val="Normal"/>
        <w:widowControl/>
        <w:rPr/>
      </w:pPr>
      <w:r>
        <w:rPr/>
        <w:t>2. A temporary emergency restriction, enhanced verification burden, or exceptional authority carries the opposite presumption: restoration to ordinary treatment occurs promptly when the verified justification ends.</w:t>
      </w:r>
    </w:p>
    <w:p>
      <w:pPr>
        <w:pStyle w:val="Normal"/>
        <w:widowControl/>
        <w:rPr/>
      </w:pPr>
      <w:r>
        <w:rPr/>
        <w:t>3. No provision shall be interpreted to transform a temporary restriction into a permanent entitlement merely because it remained in force for an extended period.</w:t>
      </w:r>
    </w:p>
    <w:p>
      <w:pPr>
        <w:pStyle w:val="Heading3"/>
        <w:keepNext/>
        <w:widowControl/>
        <w:rPr/>
      </w:pPr>
      <w:r>
        <w:rPr/>
        <w:t>Article 57.6: Correlated Micro-Signal Review</w:t>
      </w:r>
    </w:p>
    <w:p>
      <w:pPr>
        <w:pStyle w:val="Normal"/>
        <w:widowControl/>
        <w:rPr/>
      </w:pPr>
      <w:r>
        <w:rPr/>
        <w:t>1. The Commercial Friction Early Warning Channel may correlate multiple weak operational signals that individually do not justify formal action, including small clearance delays, unusual origin challenges, recurring licensing questions, capacity warnings, credential failures, or similar reports across multiple ports or sectors.</w:t>
      </w:r>
    </w:p>
    <w:p>
      <w:pPr>
        <w:pStyle w:val="Normal"/>
        <w:widowControl/>
        <w:rPr/>
      </w:pPr>
      <w:r>
        <w:rPr/>
        <w:t>2. Correlation may trigger confidential technical consultation or data-quality review but not a legal presumption, penalty, public accusation, or escalated remedy.</w:t>
      </w:r>
    </w:p>
    <w:p>
      <w:pPr>
        <w:pStyle w:val="Normal"/>
        <w:widowControl/>
        <w:rPr/>
      </w:pPr>
      <w:r>
        <w:rPr/>
        <w:t>3. The system shall record confidence, source diversity, known reporting bias, and alternative explanations before escalating a micro-signal cluster.</w:t>
      </w:r>
    </w:p>
    <w:p>
      <w:pPr>
        <w:pStyle w:val="Heading3"/>
        <w:keepNext/>
        <w:widowControl/>
        <w:rPr/>
      </w:pPr>
      <w:r>
        <w:rPr/>
        <w:t>Article 57.7: Shared Operational State Framework</w:t>
      </w:r>
    </w:p>
    <w:p>
      <w:pPr>
        <w:pStyle w:val="Normal"/>
        <w:widowControl/>
        <w:rPr/>
      </w:pPr>
      <w:r>
        <w:rPr/>
        <w:t>1. The Parties shall maintain interoperable operational-status information, through existing systems or a shared interface where useful, sufficient for decentralized trade continuity, including border-system health, crossing capacity, congestion bands, credential-system availability, emergency corridor status, declared maintenance windows, and verified critical logistics disruptions. The Shared Operational State Framework is a common information standard and does not require creation of a new centralized platform.</w:t>
      </w:r>
    </w:p>
    <w:p>
      <w:pPr>
        <w:pStyle w:val="Normal"/>
        <w:widowControl/>
        <w:rPr/>
      </w:pPr>
      <w:r>
        <w:rPr/>
        <w:t>2. Authorized customs agencies, carriers, brokers, ports, terminals, and other approved users may adapt routing and processing decisions to the published operational state without waiting for case-by-case political direction.</w:t>
      </w:r>
    </w:p>
    <w:p>
      <w:pPr>
        <w:pStyle w:val="Normal"/>
        <w:widowControl/>
        <w:rPr/>
      </w:pPr>
      <w:r>
        <w:rPr/>
        <w:t>3. The Framework shall distinguish authoritative operational status from advisory forecasts, preserve commercially sensitive information, and prevent publication of security-sensitive targeting data.</w:t>
      </w:r>
    </w:p>
    <w:p>
      <w:pPr>
        <w:pStyle w:val="Normal"/>
        <w:widowControl/>
        <w:rPr/>
      </w:pPr>
      <w:r>
        <w:rPr/>
        <w:t>4. The Framework coordinates behavior through shared information; it does not command private routing, guarantee capacity, or displace domestic emergency authority.</w:t>
      </w:r>
    </w:p>
    <w:p>
      <w:pPr>
        <w:pStyle w:val="Heading3"/>
        <w:keepNext/>
        <w:widowControl/>
        <w:rPr/>
      </w:pPr>
      <w:r>
        <w:rPr/>
        <w:t>Article 57.8: Pre-Scripted Redirection Paths</w:t>
      </w:r>
    </w:p>
    <w:p>
      <w:pPr>
        <w:pStyle w:val="Normal"/>
        <w:widowControl/>
        <w:rPr/>
      </w:pPr>
      <w:r>
        <w:rPr/>
        <w:t>1. Each critical implementation module shall identify at least one pre-approved fallback pathway that preserves the maximum feasible portion of the module if its primary procedure becomes unavailable.</w:t>
      </w:r>
    </w:p>
    <w:p>
      <w:pPr>
        <w:pStyle w:val="Normal"/>
        <w:widowControl/>
        <w:rPr/>
      </w:pPr>
      <w:r>
        <w:rPr/>
        <w:t>2. Fallback pathways shall identify activation criteria, responsible authority, preserved obligations, temporarily simplified steps, evidence requirements, and restoration conditions.</w:t>
      </w:r>
    </w:p>
    <w:p>
      <w:pPr>
        <w:pStyle w:val="Normal"/>
        <w:widowControl/>
        <w:rPr/>
      </w:pPr>
      <w:r>
        <w:rPr/>
        <w:t>3. A fallback pathway may reduce procedural ambition but may not silently reduce a substantive right or create a discriminatory advantage.</w:t>
      </w:r>
      <w:r>
        <w:br w:type="page"/>
      </w:r>
    </w:p>
    <w:p>
      <w:bookmarkStart w:id="1797" w:name="_NAESTMA_TOC_1797"/>
      <w:pPr>
        <w:pStyle w:val="Heading1"/>
        <w:keepNext/>
        <w:keepLines w:val="0"/>
        <w:pageBreakBefore/>
        <w:widowControl/>
        <w:rPr/>
      </w:pPr>
      <w:bookmarkStart w:id="325" w:name="_Toc237912806"/>
      <w:r>
        <w:rPr/>
        <w:t>CHAPTER 58</w:t>
      </w:r>
      <w:bookmarkEnd w:id="325"/>
      <w:bookmarkEnd w:id="1797"/>
    </w:p>
    <w:p>
      <w:bookmarkStart w:id="1798" w:name="_NAESTMA_TOC_1798"/>
      <w:pPr>
        <w:pStyle w:val="Heading2"/>
        <w:keepNext/>
        <w:pageBreakBefore w:val="false"/>
        <w:widowControl/>
        <w:rPr/>
      </w:pPr>
      <w:bookmarkStart w:id="326" w:name="_Toc237912807"/>
      <w:r>
        <w:rPr/>
        <w:t>PROCEDURAL PARTICIPATION, REMEDY SAFEGUARDS, AND TECHNICAL INTEROPERABILITY</w:t>
      </w:r>
      <w:bookmarkEnd w:id="326"/>
      <w:bookmarkEnd w:id="1798"/>
    </w:p>
    <w:p>
      <w:pPr>
        <w:pStyle w:val="Heading3"/>
        <w:keepNext/>
        <w:widowControl/>
        <w:rPr/>
      </w:pPr>
      <w:r>
        <w:rPr/>
        <w:t>Article 58.1: Structured Amicus Participation</w:t>
      </w:r>
    </w:p>
    <w:p>
      <w:pPr>
        <w:pStyle w:val="Normal"/>
        <w:widowControl/>
        <w:rPr/>
      </w:pPr>
      <w:r>
        <w:rPr/>
        <w:t>1. A Chapter 31 or Chapter 35 panel may receive a non-party submission from an industry association, labor organization, Indigenous organization, consumer body, civil-society organization, academic institution, or other person demonstrating a material interest or relevant expertise.</w:t>
      </w:r>
    </w:p>
    <w:p>
      <w:pPr>
        <w:pStyle w:val="Normal"/>
        <w:widowControl/>
        <w:rPr/>
      </w:pPr>
      <w:r>
        <w:rPr/>
        <w:t>2. The panel shall establish page limits, filing windows, disclosure of material funding and conflicts, confidentiality rules, and relevance requirements. Acceptance of a submission does not make the submitter a Party to the dispute or create a right to oral argument.</w:t>
      </w:r>
    </w:p>
    <w:p>
      <w:pPr>
        <w:pStyle w:val="Normal"/>
        <w:widowControl/>
        <w:rPr/>
      </w:pPr>
      <w:r>
        <w:rPr/>
        <w:t>3. A panel may disregard repetitive, lobbying-oriented, unsupported, or untimely submissions.</w:t>
      </w:r>
    </w:p>
    <w:p>
      <w:pPr>
        <w:pStyle w:val="Heading3"/>
        <w:keepNext/>
        <w:widowControl/>
        <w:rPr/>
      </w:pPr>
      <w:r>
        <w:rPr/>
        <w:t>Article 58.2: PTA Collateral-Harm Circuit Breaker</w:t>
      </w:r>
    </w:p>
    <w:p>
      <w:pPr>
        <w:pStyle w:val="Normal"/>
        <w:widowControl/>
        <w:rPr/>
      </w:pPr>
      <w:r>
        <w:rPr/>
        <w:t>1. Before a Proportional Trade Adjustment advances to a materially higher stage, the Verification Panel shall assess credible evidence of severe collateral harm to innocent North American workers, consumers, SMEs, essential goods, critical infrastructure, or unrelated supply chains.</w:t>
      </w:r>
    </w:p>
    <w:p>
      <w:pPr>
        <w:pStyle w:val="Normal"/>
        <w:widowControl/>
        <w:rPr/>
      </w:pPr>
      <w:r>
        <w:rPr/>
        <w:t>2. Where projected collateral harm is manifestly disproportionate to the additional corrective value of escalation, the escalation pauses for up to 30 days while the panel considers a narrower equivalent remedy.</w:t>
      </w:r>
    </w:p>
    <w:p>
      <w:pPr>
        <w:pStyle w:val="Normal"/>
        <w:widowControl/>
        <w:rPr/>
      </w:pPr>
      <w:r>
        <w:rPr/>
        <w:t>3. The circuit breaker does not erase the underlying finding, reward non-compliance, or prevent urgent action necessary to stop ongoing material injury.</w:t>
      </w:r>
    </w:p>
    <w:p>
      <w:pPr>
        <w:pStyle w:val="Heading3"/>
        <w:keepNext/>
        <w:widowControl/>
        <w:rPr/>
      </w:pPr>
      <w:r>
        <w:rPr/>
        <w:t>Article 58.3: Post-Ruling Compliance Audit</w:t>
      </w:r>
    </w:p>
    <w:p>
      <w:pPr>
        <w:pStyle w:val="Normal"/>
        <w:widowControl/>
        <w:rPr/>
      </w:pPr>
      <w:r>
        <w:rPr/>
        <w:t>1. Unless the ruling establishes another schedule, the responsible body shall conduct a compliance audit within 60 days after the date on which implementation is due.</w:t>
      </w:r>
    </w:p>
    <w:p>
      <w:pPr>
        <w:pStyle w:val="Normal"/>
        <w:widowControl/>
        <w:rPr/>
      </w:pPr>
      <w:r>
        <w:rPr/>
        <w:t>2. The audit verifies rescission, modification, operational implementation, and absence of a materially equivalent substitute measure. Where physical implementation reasonably requires more time, the ruling shall establish milestones and an interim audit schedule.</w:t>
      </w:r>
    </w:p>
    <w:p>
      <w:pPr>
        <w:pStyle w:val="Heading3"/>
        <w:keepNext/>
        <w:widowControl/>
        <w:rPr/>
      </w:pPr>
      <w:r>
        <w:rPr/>
        <w:t>Article 58.4: Interim Preservation Orders</w:t>
      </w:r>
    </w:p>
    <w:p>
      <w:pPr>
        <w:pStyle w:val="Normal"/>
        <w:widowControl/>
        <w:rPr/>
      </w:pPr>
      <w:r>
        <w:rPr/>
        <w:t>1. A panel may issue a narrowly tailored interim preservation order only where the applicant demonstrates a serious prima facie treaty claim, imminent risk of irreparable or systemically difficult-to-repair harm, a balance of hardships favoring preservation, and consistency with the public interest.</w:t>
      </w:r>
    </w:p>
    <w:p>
      <w:pPr>
        <w:pStyle w:val="Normal"/>
        <w:widowControl/>
        <w:rPr/>
      </w:pPr>
      <w:r>
        <w:rPr/>
        <w:t>2. An order may preserve the status quo, suspend escalation, protect evidence, or maintain temporary access. It shall not finally decide the merits or compel an irreversible legislative act.</w:t>
      </w:r>
    </w:p>
    <w:p>
      <w:pPr>
        <w:pStyle w:val="Normal"/>
        <w:widowControl/>
        <w:rPr/>
      </w:pPr>
      <w:r>
        <w:rPr/>
        <w:t>3. The panel shall review the order at least every 30 days and dissolve it when the required conditions no longer exist.</w:t>
      </w:r>
    </w:p>
    <w:p>
      <w:pPr>
        <w:pStyle w:val="Heading3"/>
        <w:keepNext/>
        <w:widowControl/>
        <w:rPr/>
      </w:pPr>
      <w:r>
        <w:rPr/>
        <w:t>Article 58.5: Steel and Aluminum Provenance Interoperability</w:t>
      </w:r>
    </w:p>
    <w:p>
      <w:pPr>
        <w:pStyle w:val="Normal"/>
        <w:widowControl/>
        <w:rPr/>
      </w:pPr>
      <w:r>
        <w:rPr/>
        <w:t>1. The Parties shall maintain interoperable documentation standards for steel melt-and-pour and aluminum smelt-and-cast provenance, including mill or producer records, material identifiers, and secure electronic validation where practicable.</w:t>
      </w:r>
    </w:p>
    <w:p>
      <w:pPr>
        <w:pStyle w:val="Normal"/>
        <w:widowControl/>
        <w:rPr/>
      </w:pPr>
      <w:r>
        <w:rPr/>
        <w:t>2. The standard shall permit equivalent commercial documentation rather than require a single proprietary form and shall include procedures for correcting clerical error without losing origin treatment where substantive provenance is verified.</w:t>
      </w:r>
    </w:p>
    <w:p>
      <w:pPr>
        <w:pStyle w:val="Heading3"/>
        <w:keepNext/>
        <w:widowControl/>
        <w:rPr/>
      </w:pPr>
      <w:r>
        <w:rPr/>
        <w:t>Article 58.6: Strategic Reserve Mutual Assistance</w:t>
      </w:r>
    </w:p>
    <w:p>
      <w:pPr>
        <w:pStyle w:val="Normal"/>
        <w:widowControl/>
        <w:rPr/>
      </w:pPr>
      <w:r>
        <w:rPr/>
        <w:t>1. A Party facing a verified critical shortage may request temporary assistance from another Party's designated strategic reserve. Assistance is voluntary unless a specific reserve arrangement expressly provides otherwise.</w:t>
      </w:r>
    </w:p>
    <w:p>
      <w:pPr>
        <w:pStyle w:val="Normal"/>
        <w:widowControl/>
        <w:rPr/>
      </w:pPr>
      <w:r>
        <w:rPr/>
        <w:t>2. A reserve arrangement shall address domestic-shortage safeguards, critical-use prioritization, pricing or cost recovery, transport, quality specifications, replenishment, and return or replacement where appropriate.</w:t>
      </w:r>
    </w:p>
    <w:p>
      <w:pPr>
        <w:pStyle w:val="Normal"/>
        <w:widowControl/>
        <w:rPr/>
      </w:pPr>
      <w:r>
        <w:rPr/>
        <w:t>3. Refusal to release a reserve during a bona fide domestic emergency does not itself constitute a treaty violation.</w:t>
      </w:r>
    </w:p>
    <w:p>
      <w:pPr>
        <w:pStyle w:val="Heading3"/>
        <w:keepNext/>
        <w:widowControl/>
        <w:rPr/>
      </w:pPr>
      <w:r>
        <w:rPr/>
        <w:t>Article 58.7: AI Assurance Mutual Recognition</w:t>
      </w:r>
    </w:p>
    <w:p>
      <w:pPr>
        <w:pStyle w:val="Normal"/>
        <w:widowControl/>
        <w:rPr/>
      </w:pPr>
      <w:r>
        <w:rPr/>
        <w:t>1. The Parties shall develop criteria for mutual recognition of AI safety, assurance, testing, audit, or conformity assessments where the respective regimes provide demonstrably equivalent protection for the relevant use case.</w:t>
      </w:r>
    </w:p>
    <w:p>
      <w:pPr>
        <w:pStyle w:val="Normal"/>
        <w:widowControl/>
        <w:rPr/>
      </w:pPr>
      <w:r>
        <w:rPr/>
        <w:t>2. Mutual recognition does not require identical AI legislation and may be limited by sector, risk class, or application. Each Party retains authority to impose additional requirements for genuinely higher-risk uses where justified and non-discriminatory.</w:t>
      </w:r>
    </w:p>
    <w:p>
      <w:pPr>
        <w:pStyle w:val="Heading3"/>
        <w:keepNext/>
        <w:widowControl/>
        <w:rPr/>
      </w:pPr>
      <w:r>
        <w:rPr/>
        <w:t>Article 58.8: Interoperable Trade Identity and Signature</w:t>
      </w:r>
    </w:p>
    <w:p>
      <w:pPr>
        <w:pStyle w:val="Normal"/>
        <w:widowControl/>
        <w:rPr/>
      </w:pPr>
      <w:r>
        <w:rPr/>
        <w:t>1. The Parties shall support mutual verification of corporate identity, authorized representatives, electronic signatures, customs credentials, and other digital trade attestations using interoperable, technology-neutral trust frameworks.</w:t>
      </w:r>
    </w:p>
    <w:p>
      <w:pPr>
        <w:pStyle w:val="Normal"/>
        <w:widowControl/>
        <w:rPr/>
      </w:pPr>
      <w:r>
        <w:rPr/>
        <w:t>2. No Party shall require a foreign trader to purchase a specific private identity product where another approved method provides equivalent assurance.</w:t>
      </w:r>
    </w:p>
    <w:p>
      <w:pPr>
        <w:pStyle w:val="Heading3"/>
        <w:keepNext/>
        <w:widowControl/>
        <w:rPr/>
      </w:pPr>
      <w:r>
        <w:rPr/>
        <w:t>Article 58.9: Transboundary Environmental Emergency Protocol</w:t>
      </w:r>
    </w:p>
    <w:p>
      <w:pPr>
        <w:pStyle w:val="Normal"/>
        <w:widowControl/>
        <w:rPr/>
      </w:pPr>
      <w:r>
        <w:rPr/>
        <w:t>1. The Parties shall maintain pre-negotiated procedures for a major pollution event, wildfire, industrial accident, water contamination event, hazardous release, or other environmental emergency with material cross-border effects.</w:t>
      </w:r>
    </w:p>
    <w:p>
      <w:pPr>
        <w:pStyle w:val="Normal"/>
        <w:widowControl/>
        <w:rPr/>
      </w:pPr>
      <w:r>
        <w:rPr/>
        <w:t>2. Procedures shall cover rapid notification, scientific data exchange, evidence preservation, requests for assistance, temporary movement of response personnel and equipment, cost accounting, public communication, and post-event review.</w:t>
      </w:r>
    </w:p>
    <w:p>
      <w:pPr>
        <w:pStyle w:val="Normal"/>
        <w:widowControl/>
        <w:rPr/>
      </w:pPr>
      <w:r>
        <w:rPr/>
        <w:t>3. Emergency cooperation does not determine civil or state liability, which remains governed by applicable law and treaty obligations.</w:t>
      </w:r>
    </w:p>
    <w:p>
      <w:pPr>
        <w:pStyle w:val="Heading3"/>
        <w:keepNext/>
        <w:widowControl/>
        <w:rPr/>
      </w:pPr>
      <w:r>
        <w:rPr/>
        <w:t>Article 58.10: Embedded-Carbon Measurement Interoperability</w:t>
      </w:r>
    </w:p>
    <w:p>
      <w:pPr>
        <w:pStyle w:val="Normal"/>
        <w:widowControl/>
        <w:rPr/>
      </w:pPr>
      <w:r>
        <w:rPr/>
        <w:t>1. The Parties shall work toward comparable, transparent methodologies for measuring embedded greenhouse-gas emissions in designated energy-intensive goods where such measurement is used for trade, procurement, disclosure, or industrial-policy purposes.</w:t>
      </w:r>
    </w:p>
    <w:p>
      <w:pPr>
        <w:pStyle w:val="Normal"/>
        <w:widowControl/>
        <w:rPr/>
      </w:pPr>
      <w:r>
        <w:rPr/>
        <w:t>2. Agreement on measurement does not require a common carbon price, border adjustment, emissions target, tax, subsidy, or climate policy.</w:t>
      </w:r>
    </w:p>
    <w:p>
      <w:pPr>
        <w:pStyle w:val="Normal"/>
        <w:widowControl/>
        <w:rPr/>
      </w:pPr>
      <w:r>
        <w:rPr/>
        <w:t>3. Methodologies shall disclose system boundaries, electricity assumptions, allocation rules, verification requirements, and treatment of recycled inputs.</w:t>
      </w:r>
    </w:p>
    <w:p>
      <w:pPr>
        <w:pStyle w:val="Heading3"/>
        <w:keepNext/>
        <w:widowControl/>
        <w:rPr/>
      </w:pPr>
      <w:r>
        <w:rPr/>
        <w:t>Article 58.11: Emergency Energy Equipment Facilitation</w:t>
      </w:r>
    </w:p>
    <w:p>
      <w:pPr>
        <w:pStyle w:val="Normal"/>
        <w:widowControl/>
        <w:rPr/>
      </w:pPr>
      <w:r>
        <w:rPr/>
        <w:t>1. During a declared grid, pipeline, fuel-supply, or critical-energy infrastructure emergency, the Parties shall provide expedited customs treatment for originating transformers, mobile substations, repair vehicles, control equipment, replacement components, safety equipment, and other designated restoration goods.</w:t>
      </w:r>
    </w:p>
    <w:p>
      <w:pPr>
        <w:pStyle w:val="Normal"/>
        <w:widowControl/>
        <w:rPr/>
      </w:pPr>
      <w:r>
        <w:rPr/>
        <w:t>2. Expedited treatment may include pre-clearance, consolidated documentation, temporary admission, duty suspension where legally available, and priority inspection. Safety and security controls remain applicable.</w:t>
      </w:r>
    </w:p>
    <w:p>
      <w:pPr>
        <w:pStyle w:val="Heading3"/>
        <w:keepNext/>
        <w:widowControl/>
        <w:rPr/>
      </w:pPr>
      <w:r>
        <w:rPr/>
        <w:t>Article 58.12: Public Treaty Improvement Portal</w:t>
      </w:r>
    </w:p>
    <w:p>
      <w:pPr>
        <w:pStyle w:val="Normal"/>
        <w:widowControl/>
        <w:rPr/>
      </w:pPr>
      <w:r>
        <w:rPr/>
        <w:t>1. The Secretariat shall maintain an annual public submission window for proposals concerning implementation problems, modernization opportunities, administrative burden, sectoral developments, and emerging risks.</w:t>
      </w:r>
    </w:p>
    <w:p>
      <w:pPr>
        <w:pStyle w:val="Normal"/>
        <w:widowControl/>
        <w:rPr/>
      </w:pPr>
      <w:r>
        <w:rPr/>
        <w:t>2. Submissions shall be searchable except for protected information. The Secretariat shall publish a thematic summary and identify which matters were referred to an existing committee, Learning Review, or future Joint Review agenda.</w:t>
      </w:r>
    </w:p>
    <w:p>
      <w:pPr>
        <w:pStyle w:val="Normal"/>
        <w:widowControl/>
        <w:rPr/>
      </w:pPr>
      <w:r>
        <w:rPr/>
        <w:t>3. Submission creates no entitlement to negotiation, amendment, funding, or dispute initiation.</w:t>
      </w:r>
    </w:p>
    <w:p>
      <w:pPr>
        <w:pStyle w:val="Heading3"/>
        <w:keepNext/>
        <w:widowControl/>
        <w:rPr/>
      </w:pPr>
      <w:r>
        <w:rPr/>
        <w:t>Article 58.12A: Trusted-Technology Border Modernization</w:t>
      </w:r>
    </w:p>
    <w:p>
      <w:pPr>
        <w:pStyle w:val="Normal"/>
        <w:widowControl/>
        <w:rPr/>
      </w:pPr>
      <w:r>
        <w:rPr/>
        <w:t>1. The Parties shall modernize border infrastructure through interoperable screening, sensing, communications, identity, cargo-inspection, and data systems selected on the basis of objective performance, cybersecurity, privacy, supply-chain, reliability, and national-security criteria.</w:t>
      </w:r>
    </w:p>
    <w:p>
      <w:pPr>
        <w:pStyle w:val="Normal"/>
        <w:widowControl/>
        <w:rPr/>
      </w:pPr>
      <w:r>
        <w:rPr/>
        <w:t>2. No technology shall be excluded solely because of the nationality of its manufacturer or country of origin. A Party may restrict a product or supplier where a documented, particularized risk justifies the measure under domestic law and this Agreement.</w:t>
      </w:r>
    </w:p>
    <w:p>
      <w:pPr>
        <w:pStyle w:val="Normal"/>
        <w:widowControl/>
        <w:rPr/>
      </w:pPr>
      <w:r>
        <w:rPr/>
        <w:t>3. The Parties shall encourage joint pilots, shared technical standards, rapid correction of false matches, and trusted-trader or trusted-traveler lanes that increase security while reducing unnecessary delay to lawful movement.</w:t>
      </w:r>
    </w:p>
    <w:p>
      <w:pPr>
        <w:pStyle w:val="Heading3"/>
        <w:keepNext/>
        <w:widowControl/>
        <w:rPr/>
      </w:pPr>
      <w:r>
        <w:rPr/>
        <w:t>Article 58.13: Secretariat Funding Continuity</w:t>
      </w:r>
    </w:p>
    <w:p>
      <w:pPr>
        <w:pStyle w:val="Normal"/>
        <w:widowControl/>
        <w:rPr/>
      </w:pPr>
      <w:r>
        <w:rPr/>
        <w:t>1. The Parties shall adopt a rolling multi-year baseline budget sufficient for the Secretariat's standing treaty functions, subject to transparent appropriations or other domestic fiscal authority, independent audit, and periodic value-for-money review.</w:t>
      </w:r>
    </w:p>
    <w:p>
      <w:pPr>
        <w:pStyle w:val="Normal"/>
        <w:widowControl/>
        <w:rPr/>
      </w:pPr>
      <w:r>
        <w:rPr/>
        <w:t>2. The budget shall include a modest continuity reserve for emergency operations and restoration of critical shared systems. The reserve may not be used to expand the Secretariat's substantive mandate.</w:t>
      </w:r>
    </w:p>
    <w:p>
      <w:pPr>
        <w:widowControl/>
        <w:rPr/>
      </w:pPr>
      <w:r>
        <w:t>3. If a national appropriations delay, lapse, or other lawful fiscal interruption materially affects a Secretariat function, the affected national Section shall promptly activate available continuity authority, prioritize adjudicative deadlines, treaty-right preservation, secure records, essential shared systems, and legally required notices, and notify the other Sections of the expected service level. No Party is required by this paragraph to spend funds not lawfully available. A fiscal interruption does not convert an automatic treaty function into a discretionary one, extinguish a preserved deadline or right, or prevent use of the default and substitution procedures in Annex 34-H.</w:t>
      </w:r>
    </w:p>
    <w:p>
      <w:pPr>
        <w:pStyle w:val="Normal"/>
        <w:widowControl/>
        <w:rPr/>
      </w:pPr>
      <w:r>
        <w:rPr/>
        <w:t>PACKAGE T — ADAPTIVE STABILITY, FAILURE CONTAINMENT, AND INTEROPERABLE IMPLEMENTATION (v3.9). Extracts the strongest transferable mechanics from the experimental architecture library and the latest modernization backlog while replacing metaphorical labels with professional treaty terminology. Adds stability-band thresholds with hysteresis; time-decaying compliance history; multi-party authorization for critical records; dormant-authority expiry; an Interpretive Uncertainty Register; controlled equivalent-implementation pilots; tiered trust privileges; equivalent contribution accounting; cross-module contagion limits; lateral continuity transfer; degraded-service levels and staged restoration; stall detection; direction-specific ratchets; correlated micro-signal review; a Shared Operational State Framework; and pre-scripted fallback pathways. Also adds structured amicus participation, PTA collateral-harm circuit breakers, post-ruling compliance audits, narrowly available interim preservation orders, interoperable steel and aluminum provenance records, strategic-reserve mutual assistance, AI-assurance mutual recognition, digital trade identity and signature interoperability, transboundary environmental emergency procedures, embedded-carbon measurement interoperability, emergency energy-equipment facilitation, a public treaty-improvement portal, and multi-year Secretariat funding continuity.</w:t>
      </w:r>
    </w:p>
    <w:p>
      <w:pPr>
        <w:pStyle w:val="Normal"/>
        <w:widowControl/>
        <w:rPr/>
      </w:pPr>
      <w:r>
        <w:rPr/>
        <w:t>PACKAGE U — OPEN TECHNOLOGY, NATIONALITY-NEUTRAL RISK, AND THIRD-COUNTRY STRATEGIC AUTONOMY (v4.2). Replaces the legacy Non-Market Country FTA termination mechanism with a neutral Major Third-Country Trade Agreement Consultation process that preserves each Party's sovereign authority to negotiate with any non-Party; adds a treaty-wide Risk-Based and Nationality-Neutral Administration safeguard; affirms global technology and scientific openness in the modernized preamble; defines high-risk sources by evidence rather than geography; reframes dependency reduction around diversification rather than automatic reshoring; removes market-economy, alliance, and FTA-status filters from Trusted Strategic Materials qualification; and clarifies that critical-infrastructure trust determinations require functionally relevant evidence. Objective: strengthen North American resilience without converting economic-security provisions into nationality-based exclusion, technological isolation, or a presumption against lawful third-country trade and investment.</w:t>
      </w:r>
    </w:p>
    <w:p>
      <w:pPr>
        <w:pStyle w:val="Normal"/>
        <w:rPr/>
      </w:pPr>
      <w:r>
        <w:rPr/>
      </w:r>
      <w:r>
        <w:br w:type="page"/>
      </w:r>
    </w:p>
    <w:p>
      <w:bookmarkStart w:id="1799" w:name="_NAESTMA_TOC_1799"/>
      <w:pPr>
        <w:pStyle w:val="Heading1"/>
        <w:keepNext/>
        <w:keepLines w:val="0"/>
        <w:pageBreakBefore/>
        <w:widowControl/>
        <w:rPr/>
      </w:pPr>
      <w:r>
        <w:rPr/>
        <w:t>CHAPTER 59</w:t>
      </w:r>
      <w:bookmarkEnd w:id="1799"/>
    </w:p>
    <w:p>
      <w:bookmarkStart w:id="1800" w:name="_NAESTMA_TOC_1800"/>
      <w:pPr>
        <w:pStyle w:val="Heading2"/>
        <w:keepNext/>
        <w:pageBreakBefore w:val="false"/>
        <w:widowControl/>
        <w:rPr/>
      </w:pPr>
      <w:r>
        <w:rPr/>
        <w:t>NORTH AMERICAN AUTOMOTIVE INTEGRATION, RESILIENCE, AND ENHANCED ORIGIN</w:t>
      </w:r>
      <w:bookmarkEnd w:id="1800"/>
    </w:p>
    <w:p>
      <w:pPr>
        <w:pStyle w:val="Normal"/>
        <w:widowControl/>
        <w:rPr/>
      </w:pPr>
      <w:r>
        <w:rPr/>
        <w:t>This Chapter establishes a coordinated automotive modernization architecture for originating vehicles, automotive parts, batteries, strategic electronics, production tooling, repair and lifecycle systems, and associated supply chains. It supplements Chapters 4, 5, 7, 23, 24, 26, 31, 35, 36, 37, 38, 39, 40, 46, 48, 50, 53, 56, 57, and 58. Nothing in this Chapter diminishes ordinary originating status otherwise available under this Agreement.</w:t>
      </w:r>
    </w:p>
    <w:p>
      <w:bookmarkStart w:id="1801" w:name="_NAESTMA_TOC_1801"/>
      <w:pPr>
        <w:pStyle w:val="Heading2"/>
        <w:keepNext/>
        <w:widowControl/>
        <w:rPr/>
      </w:pPr>
      <w:r>
        <w:rPr/>
        <w:t>Article 59.1: Objectives and Governing Principles</w:t>
      </w:r>
      <w:bookmarkEnd w:id="1801"/>
    </w:p>
    <w:p>
      <w:pPr>
        <w:pStyle w:val="Normal"/>
        <w:widowControl/>
        <w:rPr/>
      </w:pPr>
      <w:r>
        <w:rPr/>
        <w:t>1. The Parties shall administer this Chapter to strengthen integrated North American automotive production, increase resilience, reduce unnecessary compliance friction, improve safety and circularity, and create continuous incentives for additional legitimate North American value.</w:t>
      </w:r>
    </w:p>
    <w:p>
      <w:pPr>
        <w:pStyle w:val="Normal"/>
        <w:widowControl/>
        <w:rPr/>
      </w:pPr>
      <w:r>
        <w:rPr/>
        <w:t>2. For purposes of this Chapter, originating Canadian, Mexican, and United States value is North American value. No enhanced-tier rule shall assign greater origin value to equivalent originating content solely because that content is produced in one Party rather than another.</w:t>
      </w:r>
    </w:p>
    <w:p>
      <w:pPr>
        <w:pStyle w:val="Normal"/>
        <w:widowControl/>
        <w:rPr/>
      </w:pPr>
      <w:r>
        <w:rPr/>
        <w:t>3. The architecture established by this Chapter shall not create Party-specific automotive content floors, equal one-third sourcing requirements, rotating production allocations, mandatory national technology assignments, or a requirement that a producer qualify for an enhanced tier in order to receive ordinary preferential treatment.</w:t>
      </w:r>
    </w:p>
    <w:p>
      <w:pPr>
        <w:pStyle w:val="Normal"/>
        <w:widowControl/>
        <w:rPr/>
      </w:pPr>
      <w:r>
        <w:rPr/>
        <w:t>4. The Parties shall prefer objective qualification criteria, interoperable national administration, technology-neutral requirements, and measurable outcomes over the creation of duplicative continental bureaucracy.</w:t>
      </w:r>
    </w:p>
    <w:p>
      <w:pPr>
        <w:pStyle w:val="Normal"/>
        <w:widowControl/>
        <w:rPr/>
      </w:pPr>
      <w:r>
        <w:rPr/>
        <w:t>5. Numerical thresholds, coefficients, component weights, technical lists, and data standards may be maintained through Article 34.A only within treaty-level ranges and safeguards established by this Chapter and Annex 59-A.</w:t>
      </w:r>
    </w:p>
    <w:p>
      <w:bookmarkStart w:id="1802" w:name="_NAESTMA_TOC_1802"/>
      <w:pPr>
        <w:pStyle w:val="Heading2"/>
        <w:keepNext/>
        <w:widowControl/>
        <w:rPr/>
      </w:pPr>
      <w:r>
        <w:rPr/>
        <w:t>Article 59.2: Standard, Enhanced, and Strategic North American Automotive Origin</w:t>
      </w:r>
      <w:bookmarkEnd w:id="1802"/>
    </w:p>
    <w:p>
      <w:pPr>
        <w:pStyle w:val="Normal"/>
        <w:widowControl/>
        <w:rPr/>
      </w:pPr>
      <w:r>
        <w:rPr/>
        <w:t>1. Standard North American Automotive Origin means ordinary automotive originating status under Chapter 4, Annex 4-B, and applicable Uniform Regulations. The Standard Tier remains independently usable and commercially meaningful.</w:t>
      </w:r>
    </w:p>
    <w:p>
      <w:pPr>
        <w:pStyle w:val="Normal"/>
        <w:widowControl/>
        <w:rPr/>
      </w:pPr>
      <w:r>
        <w:rPr/>
        <w:t>2. Enhanced North American Automotive Origin is a voluntary status available to a qualifying automotive good that materially exceeds the applicable baseline regional integration requirement and satisfies enhanced traceability, compliance, and resilience criteria in Annex 59-A.</w:t>
      </w:r>
    </w:p>
    <w:p>
      <w:pPr>
        <w:pStyle w:val="Normal"/>
        <w:widowControl/>
        <w:rPr/>
      </w:pPr>
      <w:r>
        <w:rPr/>
        <w:t>3. Strategic North American Automotive Origin is a voluntary status available to a qualifying automotive good that demonstrates exceptionally deep North American integration and satisfies the minimum Strategic Component Score established under Article 59.3.</w:t>
      </w:r>
    </w:p>
    <w:p>
      <w:pPr>
        <w:pStyle w:val="Normal"/>
        <w:widowControl/>
        <w:rPr/>
      </w:pPr>
      <w:r>
        <w:rPr/>
        <w:t>4. Enhanced and Strategic status shall be available on equal terms to qualifying producers in each Party and shall not depend on the location of final assembly within a particular Party.</w:t>
      </w:r>
    </w:p>
    <w:p>
      <w:pPr>
        <w:pStyle w:val="Normal"/>
        <w:widowControl/>
        <w:rPr/>
      </w:pPr>
      <w:r>
        <w:rPr/>
        <w:t>5. Benefits may include reduced routine verification frequency for consistently compliant firms, consolidated certifications, extended certification validity where appropriate, expedited trusted-trader treatment, coordinated audits, simplified documentation, and priority access to voluntary resilience, supplier-matching, testing, or demonstration programs.</w:t>
      </w:r>
    </w:p>
    <w:p>
      <w:pPr>
        <w:pStyle w:val="Normal"/>
        <w:widowControl/>
        <w:rPr/>
      </w:pPr>
      <w:r>
        <w:rPr/>
        <w:t>6. No benefit under paragraph 5 shall prevent a customs administration from conducting a targeted verification based on a material risk indicator, credible evidence of fraud, or a significant unexplained origin anomaly.</w:t>
      </w:r>
    </w:p>
    <w:p>
      <w:bookmarkStart w:id="1803" w:name="_NAESTMA_TOC_1803"/>
      <w:pPr>
        <w:pStyle w:val="Heading2"/>
        <w:keepNext/>
        <w:widowControl/>
        <w:rPr/>
      </w:pPr>
      <w:r>
        <w:rPr/>
        <w:t>Article 59.3: Strategic Component Points System</w:t>
      </w:r>
      <w:bookmarkEnd w:id="1803"/>
    </w:p>
    <w:p>
      <w:pPr>
        <w:pStyle w:val="Normal"/>
        <w:widowControl/>
        <w:rPr/>
      </w:pPr>
      <w:r>
        <w:rPr/>
        <w:t>1. The Parties shall maintain a weighted Strategic Component Points System for voluntary Strategic Tier qualification. Initial candidate categories include battery cells and active materials; semiconductors; power electronics; traction motors and drive units; advanced steel and aluminum; sensors and safety-critical electronics; embedded control systems; verified recovered strategic materials; and other strategically significant automotive inputs designated under Article 34.A.</w:t>
      </w:r>
    </w:p>
    <w:p>
      <w:pPr>
        <w:pStyle w:val="Normal"/>
        <w:widowControl/>
        <w:rPr/>
      </w:pPr>
      <w:r>
        <w:rPr/>
        <w:t>2. Points shall reflect meaningful North American production, transformation, recovery, fabrication, assembly, testing, or other economically substantive activity. Design ownership, branding, invoicing, packaging, or superficial finishing alone shall not create strategic-component credit.</w:t>
      </w:r>
    </w:p>
    <w:p>
      <w:pPr>
        <w:pStyle w:val="Normal"/>
        <w:widowControl/>
        <w:rPr/>
      </w:pPr>
      <w:r>
        <w:rPr/>
        <w:t>3. The system shall include bounded equivalency pathways so that unusually strong regional performance in one or more strategic categories may compensate, within published limits, for a temporarily unavailable category. No single category shall operate as an automatic failure condition unless the Parties expressly establish that treatment by amendment on demonstrated safety or essential-security grounds.</w:t>
      </w:r>
    </w:p>
    <w:p>
      <w:pPr>
        <w:pStyle w:val="Normal"/>
        <w:widowControl/>
        <w:rPr/>
      </w:pPr>
      <w:r>
        <w:rPr/>
        <w:t>4. The competent committees shall maintain the component categories, weights, equivalency limits, and evidentiary criteria through a rolling technical horizon. Review updates do not cause an existing category, credit, right, or qualification to lapse merely because a review date passes.</w:t>
      </w:r>
    </w:p>
    <w:p>
      <w:pPr>
        <w:pStyle w:val="Normal"/>
        <w:widowControl/>
        <w:rPr/>
      </w:pPr>
      <w:r>
        <w:rPr/>
        <w:t>5. Proposed technical updates shall be supported by published evidence concerning supply concentration, production capacity, technological relevance, switching cost, safety significance, and the risk that disruption could materially impair North American vehicle production.</w:t>
      </w:r>
    </w:p>
    <w:p>
      <w:bookmarkStart w:id="1804" w:name="_NAESTMA_TOC_1804"/>
      <w:pPr>
        <w:pStyle w:val="Heading2"/>
        <w:keepNext/>
        <w:widowControl/>
        <w:rPr/>
      </w:pPr>
      <w:r>
        <w:rPr/>
        <w:t>Article 59.4: Automotive Supplier Declaration, Advance Ruling, and Good-Faith Cure</w:t>
      </w:r>
      <w:bookmarkEnd w:id="1804"/>
    </w:p>
    <w:p>
      <w:pPr>
        <w:pStyle w:val="Normal"/>
        <w:widowControl/>
        <w:rPr/>
      </w:pPr>
      <w:r>
        <w:rPr/>
        <w:t>1. The Parties shall develop an interoperable supplemental automotive supplier declaration that may allocate relevant value among: (a) verified originating North American content; (b) verified non-originating content with known origin; and (c) unknown or commingled content. The declaration supplements and does not replace the certification flexibility guaranteed by Chapter 5.</w:t>
      </w:r>
    </w:p>
    <w:p>
      <w:pPr>
        <w:pStyle w:val="Normal"/>
        <w:widowControl/>
        <w:rPr/>
      </w:pPr>
      <w:r>
        <w:rPr/>
        <w:t>2. Unknown or commingled content may be treated conservatively for the calculation for which the declaration is used, subject to later correction on production of reliable evidence. No conservative default shall be designed to function as a punitive presumption.</w:t>
      </w:r>
    </w:p>
    <w:p>
      <w:pPr>
        <w:pStyle w:val="Normal"/>
        <w:widowControl/>
        <w:rPr/>
      </w:pPr>
      <w:r>
        <w:rPr/>
        <w:t>3. A producer may request a binding advance ruling concerning the treatment of a vehicle model, platform, major component, valuation methodology, strategic-component score, or capacity-gap accommodation before commercial importation. The Parties shall coordinate rulings where substantially identical facts affect trade among more than two Parties.</w:t>
      </w:r>
    </w:p>
    <w:p>
      <w:pPr>
        <w:pStyle w:val="Normal"/>
        <w:widowControl/>
        <w:rPr/>
      </w:pPr>
      <w:r>
        <w:rPr/>
        <w:t>4. A first-time or minor documentary discrepancy that does not present a material fraud indicator shall receive a reasonable cure opportunity, ordinarily not less than 60 days. Preferential treatment or enhanced status shall not be withdrawn solely for an immaterial formatting defect corrected in good faith.</w:t>
      </w:r>
    </w:p>
    <w:p>
      <w:pPr>
        <w:pStyle w:val="Normal"/>
        <w:widowControl/>
        <w:rPr/>
      </w:pPr>
      <w:r>
        <w:rPr/>
        <w:t>5. Penalties shall be proportionate to materiality, frequency, culpability, and economic effect. Intentional material misrepresentation, organized transshipment, falsified provenance, or repeated knowing abuse may result in enhanced penalties and disqualification consistent with Chapters 5, 31, 35, and 36.</w:t>
      </w:r>
    </w:p>
    <w:p>
      <w:bookmarkStart w:id="1805" w:name="_NAESTMA_TOC_1805"/>
      <w:pPr>
        <w:pStyle w:val="Heading2"/>
        <w:keepNext/>
        <w:widowControl/>
        <w:rPr/>
      </w:pPr>
      <w:r>
        <w:rPr/>
        <w:t>Article 59.5: Non-North-American-Value Tariff Pilot and Valuation Architecture</w:t>
      </w:r>
      <w:bookmarkEnd w:id="1805"/>
    </w:p>
    <w:p>
      <w:pPr>
        <w:pStyle w:val="Normal"/>
        <w:widowControl/>
        <w:rPr/>
      </w:pPr>
      <w:r>
        <w:rPr/>
        <w:t>1. The Parties shall establish a controlled technical pilot to determine whether, for specified nonqualifying automotive goods containing substantial verified North American value, duty can be administered reliably against verified non-North-American value rather than the entire customs value of the good.</w:t>
      </w:r>
    </w:p>
    <w:p>
      <w:pPr>
        <w:pStyle w:val="Normal"/>
        <w:widowControl/>
        <w:rPr/>
      </w:pPr>
      <w:r>
        <w:rPr/>
        <w:t>2. The pilot shall not alter ordinary preferential treatment, create a new tariff obligation, or apply commercially until the Commission approves an implementing schedule by consensus following economic modelling, customs testing, public comment, and a finding that expected benefits exceed administrative cost and circumvention risk.</w:t>
      </w:r>
    </w:p>
    <w:p>
      <w:pPr>
        <w:pStyle w:val="Normal"/>
        <w:widowControl/>
        <w:rPr/>
      </w:pPr>
      <w:r>
        <w:rPr/>
        <w:t>3. Any implementing schedule shall provide standardized valuation methodologies, de minimis treatment, anti-double-counting rules, proportionate recordkeeping, SME procedures, safe harbors, advance valuation rulings, audit rights, and treatment of unknown or commingled content.</w:t>
      </w:r>
    </w:p>
    <w:p>
      <w:pPr>
        <w:pStyle w:val="Normal"/>
        <w:widowControl/>
        <w:rPr/>
      </w:pPr>
      <w:r>
        <w:rPr/>
        <w:t>4. The pilot shall test model-level and component-family methodologies capable of avoiding transaction-by-transaction reconstruction of thousands of low-value inputs.</w:t>
      </w:r>
    </w:p>
    <w:p>
      <w:pPr>
        <w:pStyle w:val="Normal"/>
        <w:widowControl/>
        <w:rPr/>
      </w:pPr>
      <w:r>
        <w:rPr/>
        <w:t>5. Failure of the pilot to demonstrate administrability leaves existing tariff treatment unchanged. No right or ordinary origin preference is conditioned on completion of the pilot.</w:t>
      </w:r>
    </w:p>
    <w:p>
      <w:bookmarkStart w:id="1806" w:name="_NAESTMA_TOC_1806"/>
      <w:pPr>
        <w:pStyle w:val="Heading2"/>
        <w:keepNext/>
        <w:widowControl/>
        <w:rPr/>
      </w:pPr>
      <w:r>
        <w:rPr/>
        <w:t>Article 59.6: Capacity-Gap Transitional Import and Build-the-Gap Pathway</w:t>
      </w:r>
      <w:bookmarkEnd w:id="1806"/>
    </w:p>
    <w:p>
      <w:pPr>
        <w:pStyle w:val="Normal"/>
        <w:widowControl/>
        <w:rPr/>
      </w:pPr>
      <w:r>
        <w:rPr/>
        <w:t>1. A producer shall not be penalized under an enhanced or strategic automotive criterion solely because a required input is unavailable from North American commercial sources in adequate quantity, grade, certification, quality, or commercially reasonable delivery time.</w:t>
      </w:r>
    </w:p>
    <w:p>
      <w:pPr>
        <w:pStyle w:val="Normal"/>
        <w:widowControl/>
        <w:rPr/>
      </w:pPr>
      <w:r>
        <w:rPr/>
        <w:t>2. A capacity-gap determination shall be evidence-based and shall consider actual and announced regional capacity, qualification lead times, substitutability, price differentials that materially reflect scarcity rather than ordinary competition, logistics, safety and certification requirements, and credible supplier offers. The applicant shall demonstrate that the claimed gap was not materially created or prolonged by its own refusal to consider commercially reasonable qualifying North American supply.</w:t>
      </w:r>
    </w:p>
    <w:p>
      <w:pPr>
        <w:pStyle w:val="Normal"/>
        <w:widowControl/>
        <w:rPr/>
      </w:pPr>
      <w:r>
        <w:rPr/>
        <w:t>3. An approved accommodation shall be narrow, input-specific, transparent as to its general basis, and accompanied by a Regional Sourcing Transition Plan proportionate to the applicant’s scale and ability to influence supply. A plan may include supplier qualification, advance purchase commitments, joint ventures, tooling support, technology licensing, investment solicitation, or other commercially reasonable steps.</w:t>
      </w:r>
    </w:p>
    <w:p>
      <w:pPr>
        <w:pStyle w:val="Normal"/>
        <w:widowControl/>
        <w:rPr/>
      </w:pPr>
      <w:r>
        <w:rPr/>
        <w:t>4. Each material capacity-gap determination shall trigger a North American supplier expression-of-interest process and publication of the gap as an investment opportunity, subject to protection of confidential business information.</w:t>
      </w:r>
    </w:p>
    <w:p>
      <w:pPr>
        <w:pStyle w:val="Normal"/>
        <w:widowControl/>
        <w:rPr/>
      </w:pPr>
      <w:r>
        <w:rPr/>
        <w:t>5. Accommodations operate only while the verified gap persists, shall state a review interval and maximum authorization period, and shall narrow automatically when qualified regional capacity becomes commercially available. Renewal requires updated evidence and documented progress under the Regional Sourcing Transition Plan. This paragraph is a capacity-responsive adjustment rule and not a permanent waiver of the applicable origin criterion.</w:t>
      </w:r>
    </w:p>
    <w:p>
      <w:pPr>
        <w:pStyle w:val="Normal"/>
        <w:widowControl/>
        <w:rPr/>
      </w:pPr>
      <w:r>
        <w:rPr/>
        <w:t>6. Loss of an accommodation is prospective except in cases of fraud, intentional concealment, or material misrepresentation. Failure to achieve an investment milestone despite documented good-faith effort shall not create retroactive duty liability.</w:t>
      </w:r>
    </w:p>
    <w:p>
      <w:bookmarkStart w:id="1807" w:name="_NAESTMA_TOC_1807"/>
      <w:pPr>
        <w:pStyle w:val="Heading2"/>
        <w:keepNext/>
        <w:widowControl/>
        <w:rPr/>
      </w:pPr>
      <w:r>
        <w:rPr/>
        <w:t>Article 59.7: North American Automotive Capacity, Investment, and Nearshoring Platform</w:t>
      </w:r>
      <w:bookmarkEnd w:id="1807"/>
    </w:p>
    <w:p>
      <w:pPr>
        <w:pStyle w:val="Normal"/>
        <w:widowControl/>
        <w:rPr/>
      </w:pPr>
      <w:r>
        <w:rPr/>
        <w:t>1. The Parties shall maintain a voluntary platform that converts verified automotive capacity gaps and concentrated dependencies into transparent investment opportunities while preserving competitive site selection among Canada, Mexico, and the United States.</w:t>
      </w:r>
    </w:p>
    <w:p>
      <w:pPr>
        <w:pStyle w:val="Normal"/>
        <w:widowControl/>
        <w:rPr/>
      </w:pPr>
      <w:r>
        <w:rPr/>
        <w:t>2. The platform may provide investment-ready site information, brownfield inventories, infrastructure and interconnection data, workforce availability, supplier matching, permitting navigation, financing information, and standardized expressions of interest.</w:t>
      </w:r>
    </w:p>
    <w:p>
      <w:pPr>
        <w:pStyle w:val="Normal"/>
        <w:widowControl/>
        <w:rPr/>
      </w:pPr>
      <w:r>
        <w:rPr/>
        <w:t>3. Each Party may maintain its own lawful investment incentives. Nothing in this Chapter requires identical tax credits, fixes domestic tax policy, guarantees a project location, or authorizes the Commission to allocate production among the Parties.</w:t>
      </w:r>
    </w:p>
    <w:p>
      <w:pPr>
        <w:pStyle w:val="Normal"/>
        <w:widowControl/>
        <w:rPr/>
      </w:pPr>
      <w:r>
        <w:rPr/>
        <w:t>4. Public support should prioritize objectively identified capacity gaps, crowd in private capital, and avoid indefinite support for commercially nonviable capacity.</w:t>
      </w:r>
    </w:p>
    <w:p>
      <w:pPr>
        <w:pStyle w:val="Normal"/>
        <w:widowControl/>
        <w:rPr/>
      </w:pPr>
      <w:r>
        <w:rPr/>
        <w:t>5. The platform shall include pathways for Tier-2 and Tier-3 suppliers, remanufacturers, recyclers, tooling firms, software firms, and other SMEs, not solely final-assembly or large Tier-1 investments.</w:t>
      </w:r>
    </w:p>
    <w:p>
      <w:bookmarkStart w:id="1808" w:name="_NAESTMA_TOC_1808"/>
      <w:pPr>
        <w:pStyle w:val="Heading2"/>
        <w:keepNext/>
        <w:widowControl/>
        <w:rPr/>
      </w:pPr>
      <w:r>
        <w:rPr/>
        <w:t>Article 59.8: Supplier Second-Source and Resilience Ladder</w:t>
      </w:r>
      <w:bookmarkEnd w:id="1808"/>
    </w:p>
    <w:p>
      <w:pPr>
        <w:pStyle w:val="Normal"/>
        <w:widowControl/>
        <w:rPr/>
      </w:pPr>
      <w:r>
        <w:rPr/>
        <w:t>1. The Parties shall encourage progressive resilience measures for automotive inputs according to measured vulnerability. Measures should escalate from supplier diversification and second-source qualification, to commercially financed inventory buffers, to rotating strategic commercial reserves for identified critical inputs, and only where justified to government-supported emergency reserves.</w:t>
      </w:r>
    </w:p>
    <w:p>
      <w:pPr>
        <w:pStyle w:val="Normal"/>
        <w:widowControl/>
        <w:rPr/>
      </w:pPr>
      <w:r>
        <w:rPr/>
        <w:t>2. Concentration analysis shall distinguish efficient specialization from dangerous single-point dependency and shall not presume that foreign origin alone constitutes a reliability defect.</w:t>
      </w:r>
    </w:p>
    <w:p>
      <w:pPr>
        <w:pStyle w:val="Normal"/>
        <w:widowControl/>
        <w:rPr/>
      </w:pPr>
      <w:r>
        <w:rPr/>
        <w:t>3. Governments may facilitate supplier qualification, testing, inventory financing, insurance, or emergency matching, but shall not require a private firm to disclose competitively sensitive information beyond what is necessary for a defined public function.</w:t>
      </w:r>
    </w:p>
    <w:p>
      <w:pPr>
        <w:pStyle w:val="Normal"/>
        <w:widowControl/>
        <w:rPr/>
      </w:pPr>
      <w:r>
        <w:rPr/>
        <w:t>4. Temporary support for a viable supplier affected by a discrete retooling event or external shock shall be conditioned on a credible recovery pathway and shall not become an indefinite operating subsidy.</w:t>
      </w:r>
    </w:p>
    <w:p>
      <w:bookmarkStart w:id="1809" w:name="_NAESTMA_TOC_1809"/>
      <w:pPr>
        <w:pStyle w:val="Heading2"/>
        <w:keepNext/>
        <w:widowControl/>
        <w:rPr/>
      </w:pPr>
      <w:r>
        <w:rPr/>
        <w:t>Article 59.9: Trusted Automotive Trade Corridor and Virtual In-Bond System</w:t>
      </w:r>
      <w:bookmarkEnd w:id="1809"/>
    </w:p>
    <w:p>
      <w:pPr>
        <w:pStyle w:val="Normal"/>
        <w:widowControl/>
        <w:rPr/>
      </w:pPr>
      <w:r>
        <w:rPr/>
        <w:t>1. The Parties shall develop an interoperable trusted automotive corridor based on the principle: submit once, assess before arrival, verify according to risk, and reuse authenticated data where lawful.</w:t>
      </w:r>
    </w:p>
    <w:p>
      <w:pPr>
        <w:pStyle w:val="Normal"/>
        <w:widowControl/>
        <w:rPr/>
      </w:pPr>
      <w:r>
        <w:rPr/>
        <w:t>2. The corridor may integrate advance electronic data, pre-clearance, trusted trader status, trusted driver credentials, coordinated inspections, machine-readable border-wait data, interoperable electronic seals, virtual in-bond chain-of-custody, bonded warehousing, and emergency shipment escalation.</w:t>
      </w:r>
    </w:p>
    <w:p>
      <w:pPr>
        <w:pStyle w:val="Normal"/>
        <w:widowControl/>
        <w:rPr/>
      </w:pPr>
      <w:r>
        <w:rPr/>
        <w:t>3. Service targets shall be traffic- and risk-based. This Article does not guarantee a fixed crossing time regardless of congestion, safety, enforcement need, infrastructure failure, or emergency conditions.</w:t>
      </w:r>
    </w:p>
    <w:p>
      <w:pPr>
        <w:pStyle w:val="Normal"/>
        <w:widowControl/>
        <w:rPr/>
      </w:pPr>
      <w:r>
        <w:rPr/>
        <w:t>4. A common underlying data model may satisfy multiple national submissions while each customs administration retains its legal authority and access controls.</w:t>
      </w:r>
    </w:p>
    <w:p>
      <w:pPr>
        <w:pStyle w:val="Normal"/>
        <w:widowControl/>
        <w:rPr/>
      </w:pPr>
      <w:r>
        <w:rPr/>
        <w:t>5. The Parties shall prioritize rail interchange, terminal capacity, autorack handling, bridge and tunnel resilience, inland-port interoperability, and alternative-route information where evidence shows material automotive bottlenecks.</w:t>
      </w:r>
    </w:p>
    <w:p>
      <w:bookmarkStart w:id="1810" w:name="_NAESTMA_TOC_1810"/>
      <w:pPr>
        <w:pStyle w:val="Heading2"/>
        <w:keepNext/>
        <w:widowControl/>
        <w:rPr/>
      </w:pPr>
      <w:r>
        <w:rPr/>
        <w:t>Article 59.10: Battery, Strategic Material, and Circular Automotive Lifecycle</w:t>
      </w:r>
      <w:bookmarkEnd w:id="1810"/>
    </w:p>
    <w:p>
      <w:pPr>
        <w:pStyle w:val="Normal"/>
        <w:widowControl/>
        <w:rPr/>
      </w:pPr>
      <w:r>
        <w:rPr/>
        <w:t>1. The Parties shall establish interoperable battery provenance, health, warranty-transfer, second-life, recycling, and recovered-material rules sufficient to support safe cross-border commerce without requiring a single centralized database.</w:t>
      </w:r>
    </w:p>
    <w:p>
      <w:pPr>
        <w:pStyle w:val="Normal"/>
        <w:widowControl/>
        <w:rPr/>
      </w:pPr>
      <w:r>
        <w:rPr/>
        <w:t>2. Common battery-health metrics and safety classifications should permit consumers, repairers, recyclers, insurers, and second-life users to assess condition using authenticated records and appropriate access controls.</w:t>
      </w:r>
    </w:p>
    <w:p>
      <w:pPr>
        <w:pStyle w:val="Normal"/>
        <w:widowControl/>
        <w:rPr/>
      </w:pPr>
      <w:r>
        <w:rPr/>
        <w:t>3. Recovered critical minerals and qualifying recycled automotive materials shall receive origin treatment consistent with Chapter 4 where the applicable recovery and transformation requirements are met.</w:t>
      </w:r>
    </w:p>
    <w:p>
      <w:pPr>
        <w:pStyle w:val="Normal"/>
        <w:widowControl/>
        <w:rPr/>
      </w:pPr>
      <w:r>
        <w:rPr/>
        <w:t>4. The Parties shall maintain qualified recycler standards, material recovery data, processing-gap maps, and pathways for safe shipment of end-of-life batteries and strategic materials.</w:t>
      </w:r>
    </w:p>
    <w:p>
      <w:pPr>
        <w:pStyle w:val="Normal"/>
        <w:widowControl/>
        <w:rPr/>
      </w:pPr>
      <w:r>
        <w:rPr/>
        <w:t>5. Voluntary zero-waste or circular-production recognition shall require verified diversion, recovery, reuse, remanufacturing, or recycling outcomes and shall not be satisfied merely by transferring waste to another jurisdiction.</w:t>
      </w:r>
    </w:p>
    <w:p>
      <w:bookmarkStart w:id="1811" w:name="_NAESTMA_TOC_1811"/>
      <w:pPr>
        <w:pStyle w:val="Heading2"/>
        <w:keepNext/>
        <w:widowControl/>
        <w:rPr/>
      </w:pPr>
      <w:r>
        <w:rPr/>
        <w:t>Article 59.11: Semiconductor and Strategic Electronics Resilience</w:t>
      </w:r>
      <w:bookmarkEnd w:id="1811"/>
    </w:p>
    <w:p>
      <w:pPr>
        <w:pStyle w:val="Normal"/>
        <w:widowControl/>
        <w:rPr/>
      </w:pPr>
      <w:r>
        <w:rPr/>
        <w:t>1. The Parties shall map automotive dependencies in mature-node and other strategically significant semiconductors, sensors, power electronics, controllers, and communications components and shall facilitate commercially viable second sources and North American capacity where justified.</w:t>
      </w:r>
    </w:p>
    <w:p>
      <w:pPr>
        <w:pStyle w:val="Normal"/>
        <w:widowControl/>
        <w:rPr/>
      </w:pPr>
      <w:r>
        <w:rPr/>
        <w:t>2. Origin treatment for semiconductor and embedded-electronics products shall reflect economically meaningful transformation. North American design ownership alone does not convert non-originating fabrication into originating content.</w:t>
      </w:r>
    </w:p>
    <w:p>
      <w:pPr>
        <w:pStyle w:val="Normal"/>
        <w:widowControl/>
        <w:rPr/>
      </w:pPr>
      <w:r>
        <w:rPr/>
        <w:t>3. The Parties shall develop common or mutually recognized testing, cybersecurity, functional-safety, provenance, and component-authentication outcomes while avoiding predetermined national production roles.</w:t>
      </w:r>
    </w:p>
    <w:p>
      <w:pPr>
        <w:pStyle w:val="Normal"/>
        <w:widowControl/>
        <w:rPr/>
      </w:pPr>
      <w:r>
        <w:rPr/>
        <w:t>4. Public programs may support precompetitive research, prototyping, packaging, testing, workforce development, or fabrication capacity consistent with each Party’s law and this Agreement.</w:t>
      </w:r>
    </w:p>
    <w:p>
      <w:pPr>
        <w:pStyle w:val="Normal"/>
        <w:widowControl/>
        <w:rPr/>
      </w:pPr>
      <w:r>
        <w:rPr/>
        <w:t>5. Strategic electronics criteria shall be technology-neutral and maintained through the rolling technical process in Articles 34.A and 59.3.</w:t>
      </w:r>
    </w:p>
    <w:p>
      <w:bookmarkStart w:id="1812" w:name="_NAESTMA_TOC_1812"/>
      <w:pPr>
        <w:pStyle w:val="Heading2"/>
        <w:keepNext/>
        <w:widowControl/>
        <w:rPr/>
      </w:pPr>
      <w:r>
        <w:rPr/>
        <w:t>Article 59.12: Automotive Mutual Recognition, Open Interfaces, and Repair Interoperability</w:t>
      </w:r>
      <w:bookmarkEnd w:id="1812"/>
    </w:p>
    <w:p>
      <w:pPr>
        <w:pStyle w:val="Normal"/>
        <w:widowControl/>
        <w:rPr/>
      </w:pPr>
      <w:r>
        <w:rPr/>
        <w:t>1. Where the Parties maintain different automotive technical rules that achieve demonstrably equivalent safety, cybersecurity, environmental, or consumer-protection outcomes, they shall seek mutual recognition, common testing protocols, or reusable conformity evidence rather than duplicative testing.</w:t>
      </w:r>
    </w:p>
    <w:p>
      <w:pPr>
        <w:pStyle w:val="Normal"/>
        <w:widowControl/>
        <w:rPr/>
      </w:pPr>
      <w:r>
        <w:rPr/>
        <w:t>2. The Parties shall promote open, documented, safety-appropriate interfaces for diagnostics, repair information, charging, vehicle-to-grid functions, component authentication, and other interoperability functions where openness can reduce vendor lock-in without exposing security-sensitive controls.</w:t>
      </w:r>
    </w:p>
    <w:p>
      <w:pPr>
        <w:pStyle w:val="Normal"/>
        <w:widowControl/>
        <w:rPr/>
      </w:pPr>
      <w:r>
        <w:rPr/>
        <w:t>3. Nothing in this Article requires disclosure of trade secrets, source code, cryptographic keys, personal data, or information whose release would create a material cybersecurity or safety risk.</w:t>
      </w:r>
    </w:p>
    <w:p>
      <w:pPr>
        <w:pStyle w:val="Normal"/>
        <w:widowControl/>
        <w:rPr/>
      </w:pPr>
      <w:r>
        <w:rPr/>
        <w:t>4. A Party retains authority to impose a genuinely necessary non-discriminatory safety, environmental, privacy, cybersecurity, or consumer-protection requirement supported by evidence and administered consistently with this Agreement.</w:t>
      </w:r>
    </w:p>
    <w:p>
      <w:pPr>
        <w:pStyle w:val="Normal"/>
        <w:widowControl/>
        <w:rPr/>
      </w:pPr>
      <w:r>
        <w:rPr/>
        <w:t>5. The Parties shall cooperate against counterfeit safety-critical parts through authenticated identifiers, provenance checks, customs alerts, and information exchange subject to due process.</w:t>
      </w:r>
    </w:p>
    <w:p>
      <w:bookmarkStart w:id="1813" w:name="_NAESTMA_TOC_1813"/>
      <w:pPr>
        <w:pStyle w:val="Heading2"/>
        <w:keepNext/>
        <w:widowControl/>
        <w:rPr/>
      </w:pPr>
      <w:r>
        <w:rPr/>
        <w:t>Article 59.13: Vehicle Lifecycle Passport and Secondary-Market Integrity</w:t>
      </w:r>
      <w:bookmarkEnd w:id="1813"/>
    </w:p>
    <w:p>
      <w:pPr>
        <w:pStyle w:val="Normal"/>
        <w:widowControl/>
        <w:rPr/>
      </w:pPr>
      <w:r>
        <w:rPr/>
        <w:t>1. The Parties shall develop interoperable vehicle lifecycle credentials capable of linking, through permissioned and federated systems, relevant records concerning manufacturing identity, origin, recalls, major safety events, battery health, salvage status, odometer integrity, theft status, repair history where lawfully available, and end-of-life disposition.</w:t>
      </w:r>
    </w:p>
    <w:p>
      <w:pPr>
        <w:pStyle w:val="Normal"/>
        <w:widowControl/>
        <w:rPr/>
      </w:pPr>
      <w:r>
        <w:rPr/>
        <w:t>2. The architecture shall not create a universally accessible continental personal-data database. Access shall be role-based, purpose-limited, auditable, and consistent with each Party’s privacy law.</w:t>
      </w:r>
    </w:p>
    <w:p>
      <w:pPr>
        <w:pStyle w:val="Normal"/>
        <w:widowControl/>
        <w:rPr/>
      </w:pPr>
      <w:r>
        <w:rPr/>
        <w:t>3. The Parties shall cooperate to reduce title washing, odometer fraud, salvage concealment, stolen-vehicle trafficking, and trafficking in stolen high-value parts through secure title and identifier verification.</w:t>
      </w:r>
    </w:p>
    <w:p>
      <w:pPr>
        <w:pStyle w:val="Normal"/>
        <w:widowControl/>
        <w:rPr/>
      </w:pPr>
      <w:r>
        <w:rPr/>
        <w:t>4. The Parties may facilitate temporary cross-border fleet operations, registration evidence, lien and title-interest verification, and insurance-status confirmation through interoperable credentials without creating a single continental insurance policy or displacing subnational authority.</w:t>
      </w:r>
    </w:p>
    <w:p>
      <w:bookmarkStart w:id="1814" w:name="_NAESTMA_TOC_1814"/>
      <w:pPr>
        <w:pStyle w:val="Heading2"/>
        <w:keepNext/>
        <w:widowControl/>
        <w:rPr/>
      </w:pPr>
      <w:r>
        <w:rPr/>
        <w:t>Article 59.14: Automotive Skills, Credentials, Mobility, and Workforce Transition</w:t>
      </w:r>
      <w:bookmarkEnd w:id="1814"/>
    </w:p>
    <w:p>
      <w:pPr>
        <w:pStyle w:val="Normal"/>
        <w:widowControl/>
        <w:rPr/>
      </w:pPr>
      <w:r>
        <w:rPr/>
        <w:t>1. The Parties shall develop common competency outcomes and mutual-recognition pathways for identified automotive skill shortages, including welding, robotics maintenance, mechatronics, battery service, high-voltage safety, software diagnostics, cybersecurity, machining, and other emerging fields.</w:t>
      </w:r>
    </w:p>
    <w:p>
      <w:pPr>
        <w:pStyle w:val="Normal"/>
        <w:widowControl/>
        <w:rPr/>
      </w:pPr>
      <w:r>
        <w:rPr/>
        <w:t>2. Apprenticeship and training programs may include voluntary cross-border placements and instructor or worker exchanges. Recognition shall focus on demonstrated competencies and shall not require identical curricula.</w:t>
      </w:r>
    </w:p>
    <w:p>
      <w:pPr>
        <w:pStyle w:val="Normal"/>
        <w:widowControl/>
        <w:rPr/>
      </w:pPr>
      <w:r>
        <w:rPr/>
        <w:t>3. Temporary specialist mobility pathways may be used for defined installation, commissioning, repair, training, emergency, or shortage functions consistent with Chapter 16 and domestic immigration law.</w:t>
      </w:r>
    </w:p>
    <w:p>
      <w:pPr>
        <w:pStyle w:val="Normal"/>
        <w:widowControl/>
        <w:rPr/>
      </w:pPr>
      <w:r>
        <w:rPr/>
        <w:t>4. The Parties shall encourage retraining for workers affected by automation, electrification, digitization, or plant transition, including portable short-form credentials and pathways into robotics, maintenance, remanufacturing, recycling, software, and other growth functions.</w:t>
      </w:r>
    </w:p>
    <w:p>
      <w:pPr>
        <w:pStyle w:val="Normal"/>
        <w:widowControl/>
        <w:rPr/>
      </w:pPr>
      <w:r>
        <w:rPr/>
        <w:t>5. Workforce metrics may include compensation, productivity, retention, training completion, vacancy duration, safety, and credential portability. Such metrics shall inform policy and may support earned workforce-advancement and automotive-integration benefits under Article 7 and the 75% / 80% / 85% tier architecture; they shall not create a fixed nominal-wage condition of origin.</w:t>
      </w:r>
    </w:p>
    <w:p>
      <w:bookmarkStart w:id="1815" w:name="_NAESTMA_TOC_1815"/>
      <w:pPr>
        <w:pStyle w:val="Heading2"/>
        <w:keepNext/>
        <w:widowControl/>
        <w:rPr/>
      </w:pPr>
      <w:r>
        <w:rPr/>
        <w:t>Article 59.15: Precompetitive Research Commons, Innovation Labs, and Grand Challenges</w:t>
      </w:r>
      <w:bookmarkEnd w:id="1815"/>
    </w:p>
    <w:p>
      <w:pPr>
        <w:pStyle w:val="Normal"/>
        <w:widowControl/>
        <w:rPr/>
      </w:pPr>
      <w:r>
        <w:rPr/>
        <w:t>1. The Parties shall facilitate voluntary precompetitive automotive research collaboration among universities, laboratories, manufacturers, suppliers, workers, standards bodies, and other qualified participants.</w:t>
      </w:r>
    </w:p>
    <w:p>
      <w:pPr>
        <w:pStyle w:val="Normal"/>
        <w:widowControl/>
        <w:rPr/>
      </w:pPr>
      <w:r>
        <w:rPr/>
        <w:t>2. Priority areas may include battery chemistry and safety, lightweight and recyclable materials, crash and injury prevention, vehicle cybersecurity, AI assurance, autonomous-system validation, hydrogen and alternative fuels, manufacturing robotics, digital twins, telematics safety, repair diagnostics, environmental monitoring, and resilient logistics.</w:t>
      </w:r>
    </w:p>
    <w:p>
      <w:pPr>
        <w:pStyle w:val="Normal"/>
        <w:widowControl/>
        <w:rPr/>
      </w:pPr>
      <w:r>
        <w:rPr/>
        <w:t>3. Intellectual-property arrangements may use public-domain dedication, open licenses, FRAND licensing, patent pools, research licenses, or commercial ownership according to the project. No participant is compelled to surrender pre-existing intellectual property as a condition of ordinary CUSMA treatment.</w:t>
      </w:r>
    </w:p>
    <w:p>
      <w:pPr>
        <w:pStyle w:val="Normal"/>
        <w:widowControl/>
        <w:rPr/>
      </w:pPr>
      <w:r>
        <w:rPr/>
        <w:t>4. The Parties may sponsor outcome-based grand challenges in which governments define measurable problems and competing teams select technical approaches. Challenges should avoid prescribing a favored technology where multiple solutions can satisfy the objective.</w:t>
      </w:r>
    </w:p>
    <w:p>
      <w:pPr>
        <w:pStyle w:val="Normal"/>
        <w:widowControl/>
        <w:rPr/>
      </w:pPr>
      <w:r>
        <w:rPr/>
        <w:t>5. Shared research and incident datasets shall be de-identified or aggregated where appropriate and protected against disclosure of confidential business information and personal data.</w:t>
      </w:r>
    </w:p>
    <w:p>
      <w:bookmarkStart w:id="1816" w:name="_NAESTMA_TOC_1816"/>
      <w:pPr>
        <w:pStyle w:val="Heading2"/>
        <w:keepNext/>
        <w:widowControl/>
        <w:rPr/>
      </w:pPr>
      <w:r>
        <w:rPr/>
        <w:t>Article 59.16: Automotive Cybersecurity, AI Assurance, and Connected-Vehicle Cooperation</w:t>
      </w:r>
      <w:bookmarkEnd w:id="1816"/>
    </w:p>
    <w:p>
      <w:pPr>
        <w:pStyle w:val="Normal"/>
        <w:widowControl/>
        <w:rPr/>
      </w:pPr>
      <w:r>
        <w:rPr/>
        <w:t>1. The Parties shall cooperate on risk-based cybersecurity and AI-assurance outcomes for connected and automated vehicles, manufacturing systems, charging infrastructure, telematics, diagnostics, and trade infrastructure.</w:t>
      </w:r>
    </w:p>
    <w:p>
      <w:pPr>
        <w:pStyle w:val="Normal"/>
        <w:widowControl/>
        <w:rPr/>
      </w:pPr>
      <w:r>
        <w:rPr/>
        <w:t>2. Cooperation may include common minimum security outcomes, coordinated vulnerability disclosure, incident information exchange, accredited assessment, secure software-update practices, component provenance, supply-chain security, and mutual recognition of equivalent certifications.</w:t>
      </w:r>
    </w:p>
    <w:p>
      <w:pPr>
        <w:pStyle w:val="Normal"/>
        <w:widowControl/>
        <w:rPr/>
      </w:pPr>
      <w:r>
        <w:rPr/>
        <w:t>3. AI assurance shall address safety validation, traceability of material system changes, human oversight where appropriate, incident reporting, robustness, and cybersecurity without requiring disclosure of proprietary model weights or source code except where lawfully necessary under narrowly tailored procedures.</w:t>
      </w:r>
    </w:p>
    <w:p>
      <w:pPr>
        <w:pStyle w:val="Normal"/>
        <w:widowControl/>
        <w:rPr/>
      </w:pPr>
      <w:r>
        <w:rPr/>
        <w:t>4. The Parties shall encourage compatible vehicle-to-infrastructure and vehicle-to-grid interfaces, including safety, metering, communications, payment, and roaming principles, while preserving competition among service providers.</w:t>
      </w:r>
    </w:p>
    <w:p>
      <w:bookmarkStart w:id="1817" w:name="_NAESTMA_TOC_1817"/>
      <w:pPr>
        <w:pStyle w:val="Heading2"/>
        <w:keepNext/>
        <w:widowControl/>
        <w:rPr/>
      </w:pPr>
      <w:r>
        <w:rPr/>
        <w:t>Article 59.17: Infrastructure, Grid, Water, Logistics, and All-Hazards Resilience</w:t>
      </w:r>
      <w:bookmarkEnd w:id="1817"/>
    </w:p>
    <w:p>
      <w:pPr>
        <w:pStyle w:val="Normal"/>
        <w:widowControl/>
        <w:rPr/>
      </w:pPr>
      <w:r>
        <w:rPr/>
        <w:t>1. Automotive investment planning under this Agreement shall consider electric-power availability, interconnection timelines, transmission constraints, water stress, wastewater capacity, freight access, communications resilience, and exposure to wildfire, flood, hurricane, tornado, ice, drought, earthquake, cyber incident, and other material hazards.</w:t>
      </w:r>
    </w:p>
    <w:p>
      <w:pPr>
        <w:pStyle w:val="Normal"/>
        <w:widowControl/>
        <w:rPr/>
      </w:pPr>
      <w:r>
        <w:rPr/>
        <w:t>2. The Parties shall publish or facilitate access to non-confidential site and corridor data sufficient for investors to identify infrastructure constraints before committing capital.</w:t>
      </w:r>
    </w:p>
    <w:p>
      <w:pPr>
        <w:pStyle w:val="Normal"/>
        <w:widowControl/>
        <w:rPr/>
      </w:pPr>
      <w:r>
        <w:rPr/>
        <w:t>3. Water-stressed automotive regions should prioritize closed-loop process water, reuse, wastewater recovery, efficient cooling, and other measures suited to local conditions. This Article does not impose identical water standards across dissimilar regions.</w:t>
      </w:r>
    </w:p>
    <w:p>
      <w:pPr>
        <w:pStyle w:val="Normal"/>
        <w:widowControl/>
        <w:rPr/>
      </w:pPr>
      <w:r>
        <w:rPr/>
        <w:t>4. Charging, alternative-fuel, and emerging freight infrastructure cooperation shall be demand-led and coordinated with realistic grid and energy capacity. No Party is required to build infrastructure without a demonstrated public or commercial case.</w:t>
      </w:r>
    </w:p>
    <w:p>
      <w:pPr>
        <w:pStyle w:val="Normal"/>
        <w:widowControl/>
        <w:rPr/>
      </w:pPr>
      <w:r>
        <w:rPr/>
        <w:t>5. All-hazards continuity planning shall include alternative routes, critical supplier contact protocols, emergency customs escalation, temporary logistics substitutions, and recovery exercises.</w:t>
      </w:r>
    </w:p>
    <w:p>
      <w:bookmarkStart w:id="1818" w:name="_NAESTMA_TOC_1818"/>
      <w:pPr>
        <w:pStyle w:val="Heading2"/>
        <w:keepNext/>
        <w:widowControl/>
        <w:rPr/>
      </w:pPr>
      <w:r>
        <w:rPr/>
        <w:t>Article 59.18: Sustainable Materials and Environmental Performance</w:t>
      </w:r>
      <w:bookmarkEnd w:id="1818"/>
    </w:p>
    <w:p>
      <w:pPr>
        <w:pStyle w:val="Normal"/>
        <w:widowControl/>
        <w:rPr/>
      </w:pPr>
      <w:r>
        <w:rPr/>
        <w:t>1. The Parties shall develop interoperable methods for measuring relevant automotive material and production attributes, including recycled content, recovery rates, energy intensity, embedded emissions where measured, water use, waste diversion, and other agreed environmental indicators.</w:t>
      </w:r>
    </w:p>
    <w:p>
      <w:pPr>
        <w:pStyle w:val="Normal"/>
        <w:widowControl/>
        <w:rPr/>
      </w:pPr>
      <w:r>
        <w:rPr/>
        <w:t>2. Enhanced or Strategic Tier programs may recognize objectively verified lower-impact steel, aluminum, plastics, adhesives, lubricants, interior materials, recycled feedstocks, remanufactured components, and other automotive inputs without discriminating among equivalent originating production by Party.</w:t>
      </w:r>
    </w:p>
    <w:p>
      <w:pPr>
        <w:pStyle w:val="Normal"/>
        <w:widowControl/>
        <w:rPr/>
      </w:pPr>
      <w:r>
        <w:rPr/>
        <w:t>3. Environmental recognition shall rely on transparent performance methodologies and shall not require participation in a single continental carbon-credit market.</w:t>
      </w:r>
    </w:p>
    <w:p>
      <w:pPr>
        <w:pStyle w:val="Normal"/>
        <w:widowControl/>
        <w:rPr/>
      </w:pPr>
      <w:r>
        <w:rPr/>
        <w:t>4. Environmental data requests shall be proportionate, protect confidential business information, and reuse existing verified data where practicable.</w:t>
      </w:r>
    </w:p>
    <w:p>
      <w:pPr>
        <w:pStyle w:val="Normal"/>
        <w:widowControl/>
        <w:rPr/>
      </w:pPr>
      <w:r>
        <w:rPr/>
        <w:t>5. Experimental materials or processes lacking sufficient safety, durability, repairability, or lifecycle evidence shall be treated as research candidates rather than presumed compliance solutions.</w:t>
      </w:r>
    </w:p>
    <w:p>
      <w:bookmarkStart w:id="1819" w:name="_NAESTMA_TOC_1819"/>
      <w:pPr>
        <w:pStyle w:val="Heading2"/>
        <w:keepNext/>
        <w:widowControl/>
        <w:rPr/>
      </w:pPr>
      <w:r>
        <w:rPr/>
        <w:t>Article 59.19: Cothrom Automotive Stabilizer and Crisis Management</w:t>
      </w:r>
      <w:bookmarkEnd w:id="1819"/>
    </w:p>
    <w:p>
      <w:pPr>
        <w:pStyle w:val="Normal"/>
        <w:widowControl/>
        <w:rPr/>
      </w:pPr>
      <w:r>
        <w:rPr/>
        <w:t>1. Where a severe automotive supply disruption threatens material production stoppages across more than one Party, the Parties may activate a graduated Automotive Stabilizer coordinated with Chapters 38, 46, and 57.</w:t>
      </w:r>
    </w:p>
    <w:p>
      <w:pPr>
        <w:pStyle w:val="Normal"/>
        <w:widowControl/>
        <w:rPr/>
      </w:pPr>
      <w:r>
        <w:rPr/>
        <w:t>2. The response ladder may include enhanced information sharing; supplier and inventory matching; expedited customs and testing; temporary capacity-gap treatment; emergency logistics coordination; mutual assistance concerning strategic reserves where available; and narrowly tailored temporary regulatory equivalence where safety and law permit.</w:t>
      </w:r>
    </w:p>
    <w:p>
      <w:pPr>
        <w:pStyle w:val="Normal"/>
        <w:widowControl/>
        <w:rPr/>
      </w:pPr>
      <w:r>
        <w:rPr/>
        <w:t>3. Activation shall be evidence-based, reciprocal, proportionate, and confined to the affected products, corridors, or functions. A disruption in one automotive sub-sector does not authorize unrelated trade restrictions.</w:t>
      </w:r>
    </w:p>
    <w:p>
      <w:pPr>
        <w:pStyle w:val="Normal"/>
        <w:widowControl/>
        <w:rPr/>
      </w:pPr>
      <w:r>
        <w:rPr/>
        <w:t>4. During an activated stabilization period, the Parties shall avoid introducing new intra-CUSMA automotive border restrictions unrelated to the verified emergency unless required by a genuine safety, health, environmental, or essential-security necessity.</w:t>
      </w:r>
    </w:p>
    <w:p>
      <w:pPr>
        <w:pStyle w:val="Normal"/>
        <w:widowControl/>
        <w:rPr/>
      </w:pPr>
      <w:r>
        <w:rPr/>
        <w:t>5. Cothrom review under Chapter 46 is fact-finding and evidentiary. It does not allocate production, rewrite origin thresholds, or substitute for the amendment procedures of this Agreement.</w:t>
      </w:r>
    </w:p>
    <w:p>
      <w:bookmarkStart w:id="1820" w:name="_NAESTMA_TOC_1820"/>
      <w:pPr>
        <w:pStyle w:val="Heading2"/>
        <w:keepNext/>
        <w:widowControl/>
        <w:rPr/>
      </w:pPr>
      <w:r>
        <w:rPr/>
        <w:t>Article 59.20: Automotive Performance Dashboard, Machine-Readable Rules, and Rolling Horizons</w:t>
      </w:r>
      <w:bookmarkEnd w:id="1820"/>
    </w:p>
    <w:p>
      <w:pPr>
        <w:pStyle w:val="Normal"/>
        <w:widowControl/>
        <w:rPr/>
      </w:pPr>
      <w:r>
        <w:rPr/>
        <w:t>1. The Secretariat shall maintain an Automotive Performance Dashboard using aggregated or otherwise protected data. Metrics may include regional-content trends, preference utilization, border processing, origin-verification burden, capacity gaps, supplier concentration, investment, battery recovery, semiconductor resilience, workforce shortages, safety outcomes, and other agreed indicators.</w:t>
      </w:r>
    </w:p>
    <w:p>
      <w:pPr>
        <w:pStyle w:val="Normal"/>
        <w:widowControl/>
        <w:rPr/>
      </w:pPr>
      <w:r>
        <w:rPr/>
        <w:t>2. The Parties shall progressively publish machine-readable origin rules, data schemas, guidance, worked examples, validation tools, and APIs that permit firms to pre-check compliance. No automated system or artificial intelligence tool shall make an unreviewable binding treaty-compliance determination.</w:t>
      </w:r>
    </w:p>
    <w:p>
      <w:pPr>
        <w:pStyle w:val="Normal"/>
        <w:widowControl/>
        <w:rPr/>
      </w:pPr>
      <w:r>
        <w:rPr/>
        <w:t>3. The competent committees shall maintain multi-year rolling work plans for automotive modernization. Each work plan shall identify evidence needs, pilots, technical updates, unresolved issues, and implementation priorities for the next horizon while preserving existing rights and qualifications until lawfully changed.</w:t>
      </w:r>
    </w:p>
    <w:p>
      <w:pPr>
        <w:pStyle w:val="Normal"/>
        <w:widowControl/>
        <w:rPr/>
      </w:pPr>
      <w:r>
        <w:rPr/>
        <w:t>4. No automotive right, preference, tier, recognition, or protection established by this Chapter expires merely because a review date, work-plan horizon, or technical-update date passes. Article 35.29 and Article 34.7 apply.</w:t>
      </w:r>
    </w:p>
    <w:p>
      <w:pPr>
        <w:pStyle w:val="Normal"/>
        <w:widowControl/>
        <w:rPr/>
      </w:pPr>
      <w:r>
        <w:rPr/>
        <w:t>5. Material changes to thresholds or substantive rights require the amendment procedure applicable under Article 34.3. Technical maintenance within existing treaty limits may proceed under Article 34.A.</w:t>
      </w:r>
    </w:p>
    <w:p>
      <w:pPr>
        <w:pStyle w:val="Normal"/>
        <w:widowControl/>
        <w:rPr/>
      </w:pPr>
      <w:r>
        <w:rPr/>
        <w:t>6. The Parties shall assess the operation of this Chapter at each Article 34.7 modernization review and may improve it by consensus. Review is for modernization and implementation, not renewal.</w:t>
      </w:r>
    </w:p>
    <w:p>
      <w:bookmarkStart w:id="1821" w:name="_NAESTMA_TOC_1821"/>
      <w:pPr>
        <w:pStyle w:val="Heading2"/>
        <w:keepNext/>
        <w:widowControl/>
        <w:rPr/>
      </w:pPr>
      <w:r>
        <w:rPr/>
        <w:t>Article 59.21: Relationship to Other Chapters and Non-Derogation</w:t>
      </w:r>
      <w:bookmarkEnd w:id="1821"/>
    </w:p>
    <w:p>
      <w:pPr>
        <w:pStyle w:val="Normal"/>
        <w:widowControl/>
        <w:rPr/>
      </w:pPr>
      <w:r>
        <w:rPr/>
        <w:t>1. Chapter 4 and Annex 4-B govern ordinary automotive origin unless this Chapter expressly provides a supplemental voluntary status or procedure.</w:t>
      </w:r>
    </w:p>
    <w:p>
      <w:pPr>
        <w:pStyle w:val="Normal"/>
        <w:widowControl/>
        <w:rPr/>
      </w:pPr>
      <w:r>
        <w:rPr/>
        <w:t>2. Chapter 5 governs origin procedures; Chapter 7 governs customs facilitation; Chapters 23 and 24 govern labor and environment; Chapters 31, 35, and 46 govern disputes, proportional remedies, and evidentiary verification; Chapters 36 through 40 govern economic security, strategic materials, emergency continuity, advanced technology, and energy; and Chapters 48, 50, 53, 56, 57, and 58 provide complementary review, SME, adaptive, continuity, and interoperability safeguards.</w:t>
      </w:r>
    </w:p>
    <w:p>
      <w:pPr>
        <w:pStyle w:val="Normal"/>
        <w:widowControl/>
        <w:rPr/>
      </w:pPr>
      <w:r>
        <w:rPr/>
        <w:t>3. Nothing in this Chapter authorizes a Party to discriminate against originating content of another Party, impose a Party-specific sourcing quota, compel technology transfer, require disclosure of protected source code or trade secrets except as otherwise permitted by this Agreement, or condition ordinary CUSMA treatment on participation in a voluntary program.</w:t>
      </w:r>
    </w:p>
    <w:p>
      <w:pPr>
        <w:pStyle w:val="Normal"/>
        <w:widowControl/>
        <w:rPr/>
      </w:pPr>
      <w:r>
        <w:rPr/>
        <w:t>4. Where an implementing digital system, technical annex, form, or committee procedure is not operational on schedule, Article 52.2 applies and the pre-existing treaty rule continues unless this Agreement expressly provides another fallback.</w:t>
      </w:r>
    </w:p>
    <w:p>
      <w:bookmarkStart w:id="1822" w:name="_NAESTMA_TOC_1822"/>
      <w:pPr>
        <w:pStyle w:val="Heading2"/>
        <w:keepNext/>
        <w:widowControl/>
        <w:rPr/>
      </w:pPr>
      <w:r>
        <w:rPr/>
        <w:t>Article 59.22: Mexican Automotive Tariff Normalization and Continental Additionality</w:t>
      </w:r>
      <w:bookmarkEnd w:id="1822"/>
    </w:p>
    <w:p>
      <w:pPr>
        <w:pStyle w:val="Normal"/>
        <w:widowControl/>
        <w:rPr/>
      </w:pPr>
      <w:r>
        <w:rPr/>
        <w:t>1. Consistent with Articles 59.1, 59.5, 59.5A, and 49.8, qualifying Mexican originating vehicles and automotive parts shall be eligible for the same objective normalization, earned-integration, cure, and Cothrom pathways available to equivalent qualifying Canadian or United States originating production.</w:t>
      </w:r>
    </w:p>
    <w:p>
      <w:pPr>
        <w:pStyle w:val="Normal"/>
        <w:widowControl/>
        <w:rPr/>
      </w:pPr>
      <w:r>
        <w:rPr/>
        <w:t>2. A measure designed to strengthen North American automotive content shall target non-North-American value, circumvention, or another verified risk and shall not convert equivalent Mexican or Canadian originating content into inferior content solely because it was not produced in the United States.</w:t>
      </w:r>
    </w:p>
    <w:p>
      <w:pPr>
        <w:pStyle w:val="Normal"/>
        <w:widowControl/>
        <w:rPr/>
      </w:pPr>
      <w:r>
        <w:rPr/>
        <w:t>3. Public incentives and treaty-enabled facilitation should, where practicable, satisfy a Continental Additionality Test by creating new North American capacity, technology, productivity, resilience, or employment rather than merely subsidizing relocation of existing capacity from one Party to another.</w:t>
      </w:r>
    </w:p>
    <w:p>
      <w:pPr>
        <w:pStyle w:val="Normal"/>
        <w:widowControl/>
        <w:rPr/>
      </w:pPr>
      <w:r>
        <w:rPr/>
        <w:t>4. The Commission shall monitor material investment diversion caused primarily by discriminatory Party-specific incentives or tariff structures and may recommend corrective treatment consistent with domestic subsidy, procurement, tax, and appropriations law.</w:t>
      </w:r>
    </w:p>
    <w:p>
      <w:pPr>
        <w:pStyle w:val="Normal"/>
        <w:widowControl/>
        <w:rPr/>
      </w:pPr>
      <w:r>
        <w:rPr/>
        <w:t>5. Nothing in this Article guarantees the location of a vehicle plant, production line, supplier facility, or investment. It protects equal treaty treatment of originating North American value and rewards genuinely additional continental capacity.</w:t>
      </w:r>
    </w:p>
    <w:p>
      <w:bookmarkStart w:id="1823" w:name="_NAESTMA_TOC_1823"/>
      <w:pPr>
        <w:pStyle w:val="Heading2"/>
        <w:keepNext/>
        <w:widowControl/>
        <w:rPr/>
      </w:pPr>
      <w:r>
        <w:rPr/>
        <w:t>Article 59.22A: Automotive Full-Scope and Anti-Cherry-Picking Guarantee</w:t>
      </w:r>
      <w:bookmarkEnd w:id="1823"/>
    </w:p>
    <w:p>
      <w:pPr>
        <w:pStyle w:val="Normal"/>
        <w:widowControl/>
        <w:rPr/>
      </w:pPr>
      <w:r>
        <w:rPr/>
        <w:t>1. Where this Agreement, an implementing schedule, or a negotiated automotive normalization measure provides generally applicable preferential, settlement, stabilization, cure, or tariff-relief treatment for automotive goods, its vehicle-class scope shall include, as applicable, passenger vehicles, sport-utility vehicles, vans, pickup trucks and other light trucks, medium-duty trucks, heavy-duty trucks, buses, chassis, and covered automotive parts and components.</w:t>
      </w:r>
    </w:p>
    <w:p>
      <w:pPr>
        <w:pStyle w:val="Normal"/>
        <w:widowControl/>
        <w:rPr/>
      </w:pPr>
      <w:r>
        <w:rPr/>
        <w:t>2. A Party shall not exclude a vehicle class, model family, chassis class, or substantially equivalent covered automotive category from generally applicable automotive relief solely because production of that class or category is concentrated in another Party.</w:t>
      </w:r>
    </w:p>
    <w:p>
      <w:pPr>
        <w:pStyle w:val="Normal"/>
        <w:widowControl/>
        <w:rPr/>
      </w:pPr>
      <w:r>
        <w:rPr/>
        <w:t>3. Any class-specific exclusion or materially less favorable treatment shall rest on an express treaty rule, a verified and objectively relevant technical distinction, or a separately negotiated schedule identifying the reason, duration, affected classifications, and review mechanism. Production location within another Party is not, by itself, an objective technical distinction.</w:t>
      </w:r>
    </w:p>
    <w:p>
      <w:pPr>
        <w:pStyle w:val="Normal"/>
        <w:widowControl/>
        <w:rPr/>
      </w:pPr>
      <w:r>
        <w:rPr/>
        <w:t>4. Where tariff classification changes, new propulsion systems, body configurations, or commercial nomenclature create uncertainty, the Parties shall apply the functional and economic character of the vehicle and shall not use classification drift to defeat the coverage intended by this Article.</w:t>
      </w:r>
    </w:p>
    <w:p>
      <w:pPr>
        <w:pStyle w:val="Normal"/>
        <w:widowControl/>
        <w:rPr/>
      </w:pPr>
      <w:r>
        <w:rPr/>
        <w:t>5. This Article does not require identical regulatory standards or identical rules of origin for unlike vehicle classes. It requires that negotiated automotive relief not be selectively hollowed out through unsupported vehicle-class exclusions.</w:t>
      </w:r>
    </w:p>
    <w:p>
      <w:pPr>
        <w:pStyle w:val="Normal"/>
        <w:widowControl/>
        <w:rPr/>
      </w:pPr>
      <w:r>
        <w:rPr/>
        <w:t>6. Vehicle-Class Settlement Tracks. Annex 59-B shall maintain explicit settlement coverage for: Class I, passenger vehicles, sport-utility vehicles, and vans; Class II, pickup trucks and other light trucks; Class III, medium-duty vehicles and chassis; Class IV, heavy-duty vehicles and chassis; Class V, buses and qualifying specialized commercial vehicles; and Class VI, covered automotive parts and strategic components. Class-specific technical requirements, origin thresholds, transition periods, or effective-rate parameters may differ only where expressly scheduled and objectively justified.</w:t>
      </w:r>
    </w:p>
    <w:p>
      <w:pPr>
        <w:pStyle w:val="Normal"/>
        <w:widowControl/>
        <w:rPr/>
      </w:pPr>
      <w:r>
        <w:rPr/>
        <w:t>7. Included-First Rule. Every Class I through VI good expressly listed by tariff classification or functional description in Annex 59-B is eligible for the Automotive Settlement architecture unless a specific schedule expressly establishes technically justified class-specific treatment. Silence, negative-space drafting, commercial nomenclature, or a change in production location shall not create an exclusion.</w:t>
      </w:r>
    </w:p>
    <w:p>
      <w:pPr>
        <w:pStyle w:val="Normal"/>
        <w:widowControl/>
        <w:rPr/>
      </w:pPr>
      <w:r>
        <w:rPr/>
        <w:t>8. Classification-Dispute Continuity. Where the Parties dispute whether a covered or newly configured vehicle falls within two settlement classes, the importing Party shall, pending expedited Cothrom classification review, apply the less restrictive of the two otherwise applicable settlement treatments if the good would clearly qualify under one of them. This temporary rule does not prejudge final classification and may be reconciled prospectively after determination.</w:t>
      </w:r>
    </w:p>
    <w:p>
      <w:bookmarkStart w:id="1824" w:name="_NAESTMA_TOC_1824"/>
      <w:pPr>
        <w:pStyle w:val="Heading2"/>
        <w:keepNext/>
        <w:widowControl/>
        <w:rPr/>
      </w:pPr>
      <w:r>
        <w:rPr/>
        <w:t>Article 59.23: Automotive Platform and Model-Family Content Banking</w:t>
      </w:r>
      <w:bookmarkEnd w:id="1824"/>
    </w:p>
    <w:p>
      <w:pPr>
        <w:pStyle w:val="Normal"/>
        <w:widowControl/>
        <w:rPr/>
      </w:pPr>
      <w:r>
        <w:rPr/>
        <w:t>1. An implementing schedule may permit a producer to average or bank verified excess North American origin performance across closely related vehicle platforms, model families, or model years where the method reflects real common sourcing and does not defeat a mandatory origin requirement.</w:t>
      </w:r>
    </w:p>
    <w:p>
      <w:pPr>
        <w:pStyle w:val="Normal"/>
        <w:widowControl/>
        <w:rPr/>
      </w:pPr>
      <w:r>
        <w:rPr/>
        <w:t>2. Banking shall be capped, time-limited, auditable, and unavailable for sale to unrelated producers. Credits may not be created by paper transfers, artificial model fragmentation, double counting, or shifting production solely to manufacture compliance credits.</w:t>
      </w:r>
    </w:p>
    <w:p>
      <w:pPr>
        <w:pStyle w:val="Normal"/>
        <w:widowControl/>
        <w:rPr/>
      </w:pPr>
      <w:r>
        <w:rPr/>
        <w:t>3. The method shall preserve the equal status of Canadian, Mexican, and United States originating content and shall not create a de facto Party-specific production quota.</w:t>
      </w:r>
    </w:p>
    <w:p>
      <w:bookmarkStart w:id="1825" w:name="_NAESTMA_TOC_1825"/>
      <w:pPr>
        <w:pStyle w:val="Heading2"/>
        <w:keepNext/>
        <w:widowControl/>
        <w:rPr/>
      </w:pPr>
      <w:r>
        <w:rPr/>
        <w:t>Article 59.24: Automotive Qualification Commons and Shared Failure Analysis</w:t>
      </w:r>
      <w:bookmarkEnd w:id="1825"/>
    </w:p>
    <w:p>
      <w:pPr>
        <w:pStyle w:val="Normal"/>
        <w:widowControl/>
        <w:rPr/>
      </w:pPr>
      <w:r>
        <w:rPr/>
        <w:t>1. The Parties shall facilitate shared or mutually recognized accredited facilities for materials testing, component qualification, failure analysis, cybersecurity validation, battery testing, semiconductor qualification, and other expensive supplier-entry requirements.</w:t>
      </w:r>
    </w:p>
    <w:p>
      <w:pPr>
        <w:pStyle w:val="Normal"/>
        <w:widowControl/>
        <w:rPr/>
      </w:pPr>
      <w:r>
        <w:rPr/>
        <w:t>2. An accepted result should be portable among participating programs where the tested requirement and assurance level are equivalent. A purchaser or regulator may require additional testing based on particularized technical, safety, security, or quality evidence.</w:t>
      </w:r>
    </w:p>
    <w:p>
      <w:pPr>
        <w:pStyle w:val="Normal"/>
        <w:widowControl/>
        <w:rPr/>
      </w:pPr>
      <w:r>
        <w:rPr/>
        <w:t>3. SMEs and second-source suppliers should receive transparent access conditions and may receive lawful cost-sharing or technical assistance without a guaranteed commercial award.</w:t>
      </w:r>
    </w:p>
    <w:p>
      <w:bookmarkStart w:id="1826" w:name="_NAESTMA_TOC_1826"/>
      <w:pPr>
        <w:pStyle w:val="Heading2"/>
        <w:keepNext/>
        <w:widowControl/>
        <w:rPr/>
      </w:pPr>
      <w:r>
        <w:rPr/>
        <w:t>Article 59.25: Investment-Linked Transitional Tariff Credit</w:t>
      </w:r>
      <w:bookmarkEnd w:id="1826"/>
    </w:p>
    <w:p>
      <w:pPr>
        <w:pStyle w:val="Normal"/>
        <w:widowControl/>
        <w:rPr/>
      </w:pPr>
      <w:r>
        <w:rPr/>
        <w:t>1. Where an automotive good lawfully enters under a temporary tariff settlement rather than ordinary duty-free treatment, an implementing schedule may permit a bounded portion of paid transitional duties to be credited against verified additional North American capital investment, supplier qualification, tooling, workforce, or strategic-component capacity completed within the specified period.</w:t>
      </w:r>
    </w:p>
    <w:p>
      <w:pPr>
        <w:pStyle w:val="Normal"/>
        <w:widowControl/>
        <w:rPr/>
      </w:pPr>
      <w:r>
        <w:rPr/>
        <w:t>2. Credits shall be earned only after performance, shall not exceed the schedule's cap, shall not produce a negative tariff, and shall not be available for investment that would have occurred in the ordinary course absent the program.</w:t>
      </w:r>
    </w:p>
    <w:p>
      <w:pPr>
        <w:pStyle w:val="Normal"/>
        <w:widowControl/>
        <w:rPr/>
      </w:pPr>
      <w:r>
        <w:rPr/>
        <w:t>3. Relocation of substantially equivalent existing production from one Party to another does not qualify unless the Commission finds a net continental capacity, resilience, technology, or employment gain sufficient to satisfy Article 59.22's Continental Additionality Test.</w:t>
      </w:r>
    </w:p>
    <w:p>
      <w:pPr>
        <w:pStyle w:val="Normal"/>
        <w:widowControl/>
        <w:rPr/>
      </w:pPr>
      <w:r>
        <w:rPr/>
        <w:t>4. Nothing in this Article reduces ordinary duty-free treatment for a good that already qualifies under Chapter 4.</w:t>
      </w:r>
    </w:p>
    <w:p>
      <w:bookmarkStart w:id="1827" w:name="_NAESTMA_TOC_1827"/>
      <w:pPr>
        <w:pStyle w:val="Heading2"/>
        <w:keepNext/>
        <w:widowControl/>
        <w:rPr/>
      </w:pPr>
      <w:r>
        <w:rPr/>
        <w:t>ANNEX 59-A: AUTOMOTIVE ENHANCED-TIER IMPLEMENTATION FRAMEWORK</w:t>
      </w:r>
      <w:bookmarkEnd w:id="1827"/>
    </w:p>
    <w:p>
      <w:pPr>
        <w:pStyle w:val="Heading3"/>
        <w:keepNext/>
        <w:widowControl/>
        <w:rPr/>
      </w:pPr>
      <w:r>
        <w:rPr/>
        <w:t>Part 1: Qualification Design</w:t>
      </w:r>
    </w:p>
    <w:p>
      <w:pPr>
        <w:pStyle w:val="Normal"/>
        <w:widowControl/>
        <w:rPr/>
      </w:pPr>
      <w:r>
        <w:rPr/>
        <w:t>1. Numerical thresholds for Enhanced and Strategic status shall be adopted only after modelling across passenger vehicles, light trucks, heavy vehicles, internal-combustion, hybrid, battery-electric, fuel-cell, and other materially distinct platforms, with separate analysis of OEMs and Tier-1, Tier-2, and Tier-3 suppliers.</w:t>
      </w:r>
    </w:p>
    <w:p>
      <w:pPr>
        <w:pStyle w:val="Normal"/>
        <w:widowControl/>
        <w:rPr/>
      </w:pPr>
      <w:r>
        <w:rPr/>
        <w:t>2. Modelling shall test utilization, compliance cost, sourcing response, investment effects, consumer-price effects, employment effects, regional distribution, and the risk of shifting otherwise North American production outside the Agreement.</w:t>
      </w:r>
    </w:p>
    <w:p>
      <w:pPr>
        <w:pStyle w:val="Normal"/>
        <w:widowControl/>
        <w:rPr/>
      </w:pPr>
      <w:r>
        <w:rPr/>
        <w:t>3. Qualification design shall avoid a cliff in which a minor shortfall destroys the commercial value of substantial verified North American integration.</w:t>
      </w:r>
    </w:p>
    <w:p>
      <w:pPr>
        <w:pStyle w:val="Heading3"/>
        <w:keepNext/>
        <w:widowControl/>
        <w:rPr/>
      </w:pPr>
      <w:r>
        <w:rPr/>
        <w:t>Part 2: Strategic Component Governance</w:t>
      </w:r>
    </w:p>
    <w:p>
      <w:pPr>
        <w:pStyle w:val="Normal"/>
        <w:widowControl/>
        <w:rPr/>
      </w:pPr>
      <w:r>
        <w:rPr/>
        <w:t>1. The Committee on Rules of Origin, in consultation with the Economic Security and Supply Chain Resilience Subcommittee and relevant technical committees, shall administer the Strategic Component Points System using Article 34.A.</w:t>
      </w:r>
    </w:p>
    <w:p>
      <w:pPr>
        <w:pStyle w:val="Normal"/>
        <w:widowControl/>
        <w:rPr/>
      </w:pPr>
      <w:r>
        <w:rPr/>
        <w:t>2. Proposed categories and weights shall be published for comment for not less than 30 days and supported by a concise evidence statement.</w:t>
      </w:r>
    </w:p>
    <w:p>
      <w:pPr>
        <w:pStyle w:val="Normal"/>
        <w:widowControl/>
        <w:rPr/>
      </w:pPr>
      <w:r>
        <w:rPr/>
        <w:t>3. The system shall be reviewed on a rolling 24-month technical horizon. A missed review does not delete, suspend, or expire an existing category or qualification.</w:t>
      </w:r>
    </w:p>
    <w:p>
      <w:pPr>
        <w:pStyle w:val="Heading3"/>
        <w:keepNext/>
        <w:widowControl/>
        <w:rPr/>
      </w:pPr>
      <w:r>
        <w:rPr/>
        <w:t>Part 3: Enhanced-Tier Commercial Carrots</w:t>
      </w:r>
    </w:p>
    <w:p>
      <w:pPr>
        <w:pStyle w:val="Normal"/>
        <w:widowControl/>
        <w:rPr/>
      </w:pPr>
      <w:r>
        <w:rPr/>
        <w:t>1. The Parties shall prioritize carrots that reduce recurring commercial friction: fewer duplicative audits; reusable verified data; longer validity for stable certifications; coordinated inspection; faster advance rulings; trusted-corridor eligibility; supplier matching; shared testing; and access to voluntary demonstrations.</w:t>
      </w:r>
    </w:p>
    <w:p>
      <w:pPr>
        <w:pStyle w:val="Normal"/>
        <w:widowControl/>
        <w:rPr/>
      </w:pPr>
      <w:r>
        <w:rPr/>
        <w:t>2. Each Party may independently provide lawful domestic tax, depreciation, financing, procurement, or investment incentives. This Annex does not harmonize tax rates, mandate subsidies, or create a right to public funding.</w:t>
      </w:r>
    </w:p>
    <w:p>
      <w:pPr>
        <w:pStyle w:val="Normal"/>
        <w:widowControl/>
        <w:rPr/>
      </w:pPr>
      <w:r>
        <w:rPr/>
        <w:t>3. Duty drawback for exported goods, where available under a Party’s law and consistent with this Agreement, may be coordinated to avoid unnecessary differences in documentation.</w:t>
      </w:r>
    </w:p>
    <w:p>
      <w:pPr>
        <w:pStyle w:val="Heading3"/>
        <w:keepNext/>
        <w:widowControl/>
        <w:rPr/>
      </w:pPr>
      <w:r>
        <w:rPr/>
        <w:t>Part 4: Capacity-Gap Evidence Standard</w:t>
      </w:r>
    </w:p>
    <w:p>
      <w:pPr>
        <w:pStyle w:val="Normal"/>
        <w:widowControl/>
        <w:rPr/>
      </w:pPr>
      <w:r>
        <w:rPr/>
        <w:t>1. An applicant shall identify the input, technical specification, required quantity, delivery window, qualification requirements, and reasonable sourcing efforts undertaken.</w:t>
      </w:r>
    </w:p>
    <w:p>
      <w:pPr>
        <w:pStyle w:val="Normal"/>
        <w:widowControl/>
        <w:rPr/>
      </w:pPr>
      <w:r>
        <w:rPr/>
        <w:t>2. Authorities shall consider verified supplier responses and may reject a claimed gap where a qualified North American supplier can meet commercially reasonable requirements.</w:t>
      </w:r>
    </w:p>
    <w:p>
      <w:pPr>
        <w:pStyle w:val="Normal"/>
        <w:widowControl/>
        <w:rPr/>
      </w:pPr>
      <w:r>
        <w:rPr/>
        <w:t>3. Authorities shall distinguish ordinary price competition from scarcity. A higher North American price alone does not establish a gap, but an extreme scarcity premium may be considered with other evidence.</w:t>
      </w:r>
    </w:p>
    <w:p>
      <w:pPr>
        <w:pStyle w:val="Normal"/>
        <w:widowControl/>
        <w:rPr/>
      </w:pPr>
      <w:r>
        <w:rPr/>
        <w:t>4. Confidential firm information shall be protected; public notices may describe the opportunity using ranges or technical requirements sufficient for supplier response without revealing protected data.</w:t>
      </w:r>
    </w:p>
    <w:p>
      <w:pPr>
        <w:pStyle w:val="Heading3"/>
        <w:keepNext/>
        <w:widowControl/>
        <w:rPr/>
      </w:pPr>
      <w:r>
        <w:rPr/>
        <w:t>Part 5: Digital and SME Implementation</w:t>
      </w:r>
    </w:p>
    <w:p>
      <w:pPr>
        <w:pStyle w:val="Normal"/>
        <w:widowControl/>
        <w:rPr/>
      </w:pPr>
      <w:r>
        <w:rPr/>
        <w:t>1. Automotive digital systems shall use interoperable schemas, role-based access, auditable credentials, and technology-neutral tamper-evidence. No provision requires blockchain.</w:t>
      </w:r>
    </w:p>
    <w:p>
      <w:pPr>
        <w:pStyle w:val="Normal"/>
        <w:widowControl/>
        <w:rPr/>
      </w:pPr>
      <w:r>
        <w:rPr/>
        <w:t>2. SMEs shall have access to plain-language guidance, model forms, assisted filing, free or low-cost validation tools, and the Single SME Compliance Gateway under Article 4.A.6.</w:t>
      </w:r>
    </w:p>
    <w:p>
      <w:pPr>
        <w:pStyle w:val="Normal"/>
        <w:widowControl/>
        <w:rPr/>
      </w:pPr>
      <w:r>
        <w:rPr/>
        <w:t>3. Data collection shall follow data-minimization principles and shall not require a supplier to expose its complete bill of materials where a verified aggregate, attestation, or component-family method can establish the relevant fact.</w:t>
      </w:r>
    </w:p>
    <w:p>
      <w:pPr>
        <w:pStyle w:val="Heading3"/>
        <w:keepNext/>
        <w:widowControl/>
        <w:rPr/>
      </w:pPr>
      <w:r>
        <w:rPr/>
        <w:t>Part 6: Initial Voluntary Cooperation Portfolio</w:t>
      </w:r>
    </w:p>
    <w:p>
      <w:pPr>
        <w:pStyle w:val="Normal"/>
        <w:widowControl/>
        <w:rPr/>
      </w:pPr>
      <w:r>
        <w:rPr/>
        <w:t>1. Subject to available resources and domestic authority, the Parties may pursue: shared automotive innovation labs; vehicle cybersecurity projects; environmental-impact monitoring; cross-border logistics hubs; EV retrofit and repair research; alternative-fuel research; vehicle telematics safety projects; anti-theft cooperation; repair and diagnostics applications; smart-manufacturing robotics; green-finance information exchange; emerging-technology training; sustainable automotive materials research; and common AI-related automotive standards.</w:t>
      </w:r>
    </w:p>
    <w:p>
      <w:pPr>
        <w:pStyle w:val="Normal"/>
        <w:widowControl/>
        <w:rPr/>
      </w:pPr>
      <w:r>
        <w:rPr/>
        <w:t>2. Cooperation under this Part is voluntary and precompetitive unless a separate instrument expressly provides otherwise. Participation or non-participation does not alter ordinary originating status.</w:t>
      </w:r>
    </w:p>
    <w:p>
      <w:pPr>
        <w:pStyle w:val="Normal"/>
        <w:widowControl/>
        <w:rPr/>
      </w:pPr>
      <w:r>
        <w:rPr/>
        <w:t>3. Joint branding or promotional campaigns, where undertaken, shall describe North American production accurately and shall not imply government endorsement of a particular private firm.</w:t>
      </w:r>
    </w:p>
    <w:p>
      <w:pPr>
        <w:pStyle w:val="Heading3"/>
        <w:keepNext/>
        <w:widowControl/>
        <w:rPr/>
      </w:pPr>
      <w:r>
        <w:rPr/>
        <w:t>Part 7: Failure Tests</w:t>
      </w:r>
    </w:p>
    <w:p>
      <w:pPr>
        <w:pStyle w:val="Normal"/>
        <w:widowControl/>
        <w:rPr/>
      </w:pPr>
      <w:r>
        <w:rPr/>
        <w:t>Before a major automotive mechanism becomes operational, the responsible body shall test whether it: (a) creates an army of accountants disproportionate to the benefit; (b) disadvantages SMEs; (c) becomes a disguised Party-specific quota; (d) rewards superficial processing; (e) creates a new single point of digital failure; (f) requires disclosure of unnecessary confidential information; (g) unintentionally penalizes legitimate Mexican, Canadian, or United States comparative advantage; (h) conflicts with existing CUSMA chapters; or (i) produces administrative cost exceeding the expected resilience or trade benefit. A mechanism failing a material test shall be simplified, narrowed, piloted, or returned for redesign before general application.</w:t>
      </w:r>
    </w:p>
    <w:p>
      <w:bookmarkStart w:id="1828" w:name="_NAESTMA_TOC_1828"/>
      <w:pPr>
        <w:pStyle w:val="Heading2"/>
        <w:keepNext/>
        <w:widowControl/>
        <w:rPr/>
      </w:pPr>
      <w:r>
        <w:rPr/>
        <w:t>Article 59.5A: North American Automotive Settlement Rate and Earned Integration Credits</w:t>
      </w:r>
      <w:bookmarkEnd w:id="1828"/>
    </w:p>
    <w:p>
      <w:pPr>
        <w:pStyle w:val="Normal"/>
        <w:widowControl/>
        <w:rPr/>
      </w:pPr>
      <w:r>
        <w:rPr/>
        <w:t>1. Reference Headline Rate. For purposes of the Automotive Settlement Schedule established by this Article, the reference headline customs duty shall be 13.8 percent for covered automotive goods to which the Schedule applies. The 13.8 percent rate is a negotiated settlement parameter and shall not alter duty-free preferential treatment otherwise available to originating goods under this Agreement.</w:t>
      </w:r>
    </w:p>
    <w:p>
      <w:pPr>
        <w:pStyle w:val="Normal"/>
        <w:widowControl/>
        <w:rPr/>
      </w:pPr>
      <w:r>
        <w:rPr/>
        <w:t>2. Scope and Non-Derogation. The Automotive Settlement Schedule applies only to covered automotive goods expressly identified in Annex 59-B. Nothing in this Article converts originating Canadian, Mexican, or United States content into non-originating content, diminishes ordinary CUSMA origin, or authorizes a Party-specific content floor.</w:t>
      </w:r>
    </w:p>
    <w:p>
      <w:pPr>
        <w:pStyle w:val="Normal"/>
        <w:widowControl/>
        <w:rPr/>
      </w:pPr>
      <w:r>
        <w:rPr/>
        <w:t>3. North American Origin Credit. Where a covered good is subject to the 13.8 percent headline rate, verified originating content of Canada, Mexico, and the United States shall each receive credit equal to 100 percent of verified eligible originating value for baseline settlement calculations under Annex 4-E. Verified non-originating content receives no North American origin credit. Nothing in this paragraph prevents a Party from providing separate, bounded, performance-based localization incentives under paragraphs 5 through 5F, provided those incentives do not reclassify, discount, or otherwise diminish originating content of another Party.</w:t>
      </w:r>
    </w:p>
    <w:p>
      <w:pPr>
        <w:pStyle w:val="Normal"/>
        <w:widowControl/>
        <w:rPr/>
      </w:pPr>
      <w:r>
        <w:rPr/>
        <w:t>4. No Second-Class North American Content. Canadian, Mexican, and United States originating content has equal status for regional origin, ordinary preferential treatment, and the baseline settlement calculation. A Party may reward genuinely additional domestic economic activity through the separate Industrial Expansion mechanism, but shall not accomplish that result by assigning a lower nationality coefficient to another Party's originating content.</w:t>
      </w:r>
    </w:p>
    <w:p>
      <w:pPr>
        <w:pStyle w:val="Normal"/>
        <w:widowControl/>
        <w:rPr/>
      </w:pPr>
      <w:r>
        <w:rPr/>
        <w:t>4A. North American Content Equality Principle. Once content has been verified as originating under Chapter 4, its status as Canadian, Mexican, or United States content shall not reduce its originating value for regional-value calculations, ordinary preferential treatment, deductions of non-originating value, or baseline settlement treatment. Party-specific incentives shall operate only as additional earned benefits for objectively verified incremental activity and shall not convert the North American origin layer into a Party-specific sourcing quota.</w:t>
      </w:r>
    </w:p>
    <w:p>
      <w:pPr>
        <w:pStyle w:val="Normal"/>
        <w:widowControl/>
        <w:rPr/>
      </w:pPr>
      <w:r>
        <w:rPr/>
        <w:t>5. Industrial Expansion and Earned Automotive Integration Credits. In addition to the equal North American origin credit in paragraph 3, the importing Party may establish an Industrial Expansion Tier rewarding objectively verified incremental domestic activity. Eligible activity may include new or expanded assembly; net-new automotive employment; battery, semiconductor, power-electronics, motor, inverter, engine, drivetrain, advanced steel, aluminum, tooling, die, machine-tool, software, vehicle-control, research, testing, or strategic-component capacity; qualification of domestic SME suppliers replacing non-North-American inputs; brownfield reactivation; workforce and apprenticeship programs; and other measurable capacity additions consistent with this Article.</w:t>
      </w:r>
    </w:p>
    <w:p>
      <w:pPr>
        <w:pStyle w:val="Normal"/>
        <w:widowControl/>
        <w:rPr/>
      </w:pPr>
      <w:r>
        <w:rPr/>
        <w:t>5A. American Industrial Expansion Tier. For goods imported into the United States, the United States may designate a premium American Industrial Expansion Tier providing additional bounded settlement benefits for verified increases in United States production, employment, strategic-component capacity, tooling, research and development, supplier qualification, or other qualifying activity. The Tier is an investment and localization incentive and is not a rule of origin. Canada and Mexico may establish equivalent Canadian and Mexican Industrial Expansion Tiers for imports into their respective markets under the same treaty disciplines.</w:t>
      </w:r>
    </w:p>
    <w:p>
      <w:pPr>
        <w:pStyle w:val="Normal"/>
        <w:widowControl/>
        <w:rPr/>
      </w:pPr>
      <w:r>
        <w:rPr/>
        <w:t>5B. United States Auto Repatriation Supercredit. A United States implementing schedule may provide an enhanced credit for production, tooling, strategic-component capacity, or a substantially complete model program moved into the United States from outside North America, or for dormant United States capacity restored to commercial production. A comparable enhanced credit may be established by Canada or Mexico for qualifying repatriation into its territory. The enhanced credit shall exceed the credit available for a mere intra-North-American relocation of substantially equivalent existing production.</w:t>
      </w:r>
    </w:p>
    <w:p>
      <w:pPr>
        <w:pStyle w:val="Normal"/>
        <w:widowControl/>
        <w:rPr/>
      </w:pPr>
      <w:r>
        <w:rPr/>
        <w:t>5C. No North American Cannibalization Rule. Relocation of substantially equivalent existing production, employment, tooling, or supplier capacity from one Party to another shall not, by itself, earn the highest Industrial Expansion benefit. Full credit requires a demonstrated net gain in North American capacity, technology, resilience, productivity, strategic-component security, or employment, or a demonstrated reduction in dependence on non-North-American supply. An implementing schedule may provide only reduced credit for an intra-North-American relocation where a verified continental benefit nevertheless exists.</w:t>
      </w:r>
    </w:p>
    <w:p>
      <w:pPr>
        <w:pStyle w:val="Normal"/>
        <w:widowControl/>
        <w:rPr/>
      </w:pPr>
      <w:r>
        <w:rPr/>
        <w:t>5D. Strategic Components Bonus. An Industrial Expansion Tier may award graduated additional benefits for verified domestic production or expansion of engines and powertrains; batteries and battery materials; automotive semiconductors and electronics; motors and inverters; advanced steel and aluminum; vehicle-control, autonomous, cybersecurity, or safety-critical systems; and other strategic components designated by consensus. Benefits shall increase with objectively verified additionality and shall not require that another Party's originating component be treated as non-originating.</w:t>
      </w:r>
    </w:p>
    <w:p>
      <w:pPr>
        <w:pStyle w:val="Normal"/>
        <w:widowControl/>
        <w:rPr/>
      </w:pPr>
      <w:r>
        <w:rPr/>
        <w:t>5E. Portfolio-Level American Economic Contribution Target. A United States implementing schedule may use a voluntary premium-tier target expressed as a percentage of American Economic Contribution across an automaker's qualifying portfolio. The metric may combine, under a transparent anti-double-counting formula, verified United States originating content with incremental United States assembly, employment, strategic-component production, tooling, research and development, supplier reshoring, and production repatriated from outside North America. A target of 50 percent may be tested as a premium-tier eligibility benchmark, but failure to meet that target shall not defeat North American originating status or ordinary preferential treatment. Canada and Mexico may use equivalent portfolio-level contribution targets in their own markets.</w:t>
      </w:r>
    </w:p>
    <w:p>
      <w:pPr>
        <w:pStyle w:val="Normal"/>
        <w:widowControl/>
        <w:rPr/>
      </w:pPr>
      <w:r>
        <w:rPr/>
        <w:t>5F. North American Capacity Growth Test. The strongest Industrial Expansion benefits shall be reserved for activity that increases total North American capacity in the relevant category, restores dormant capacity, creates a new production line or model family, remedies a verified strategic shortage, or displaces non-North-American imports. The Commission shall publish a methodology preventing double counting and distinguishing genuine expansion from geographic reshuffling of existing continental production.</w:t>
      </w:r>
    </w:p>
    <w:p>
      <w:pPr>
        <w:pStyle w:val="Normal"/>
        <w:widowControl/>
        <w:rPr/>
      </w:pPr>
      <w:r>
        <w:rPr/>
        <w:t>6. Commercial Reality Requirement. An earned credit shall arise only from completed or objectively verifiable performance. Announcements, memoranda of understanding without material performance, circular financing, related-party paper transactions, superficial processing, relabeling, or expenditure already counted for another identical credit shall not qualify. Multi-year projects may receive milestone credit only for independently verifiable completed milestones.</w:t>
      </w:r>
    </w:p>
    <w:p>
      <w:pPr>
        <w:pStyle w:val="Normal"/>
        <w:widowControl/>
        <w:rPr/>
      </w:pPr>
      <w:r>
        <w:rPr/>
        <w:t>7. Bounded Effective Rate. The implementing schedule shall establish a minimum effective rate sufficient to preserve the negotiated headline-rate function while rewarding deep integration. Before entry into force, the Parties shall model floors within a 5 to 7.5 percent reference range across representative vehicle platforms. No floor shall be selected without analysis of consumer prices, employment, investment, preference utilization, regional distribution, and circumvention risk.</w:t>
      </w:r>
    </w:p>
    <w:p>
      <w:pPr>
        <w:pStyle w:val="Normal"/>
        <w:widowControl/>
        <w:rPr/>
      </w:pPr>
      <w:r>
        <w:rPr/>
        <w:t>8. No Cliff; No Double Counting. Credits shall operate on a graduated basis and shall not create a cliff under which a minor shortfall destroys the commercial value of substantial verified integration. The same value, expenditure, employment event, component, or investment milestone may not be counted twice toward the same tariff reduction unless the implementing schedule expressly identifies distinct, non-overlapping policy functions.</w:t>
      </w:r>
    </w:p>
    <w:p>
      <w:pPr>
        <w:pStyle w:val="Normal"/>
        <w:widowControl/>
        <w:rPr/>
      </w:pPr>
      <w:r>
        <w:rPr/>
        <w:t>9. Anti-Circumvention and Verification. Chapter 5, Annex 4-E, Chapter 35, Chapter 46, and Articles 59.3 and 59.4 govern verification. Authorities shall use risk-based audits, advance rulings, component-family methodologies, protected aggregate data, and good-faith cure where appropriate. Intentional transshipment, falsified provenance, artificial transfer pricing, shell investment, or material misrepresentation may result in denial or recovery of the affected credit and proportionate penalties.</w:t>
      </w:r>
    </w:p>
    <w:p>
      <w:pPr>
        <w:pStyle w:val="Normal"/>
        <w:widowControl/>
        <w:rPr/>
      </w:pPr>
      <w:r>
        <w:rPr/>
        <w:t>10. Cothrom Stabilization and Cure. A disputed credit shall not automatically suspend the Automotive Settlement Schedule for unrelated producers, models, components, or Parties. The reviewing authority shall isolate the disputed value, permit cure where appropriate, and use the narrowest sufficient remedy. Earn-back shall be available after verified remediation.</w:t>
      </w:r>
    </w:p>
    <w:p>
      <w:pPr>
        <w:pStyle w:val="Normal"/>
        <w:widowControl/>
        <w:rPr/>
      </w:pPr>
      <w:r>
        <w:rPr/>
        <w:t>11. Simultaneous Implementation. Where the Automotive Settlement Schedule forms part of a reciprocal tariff stand-down, the relevant tariff reduction, suspension of discriminatory retaliatory automotive measures, and any agreed implementing credits shall take effect at the same specified hour unless the Parties jointly agree otherwise.</w:t>
      </w:r>
    </w:p>
    <w:p>
      <w:pPr>
        <w:pStyle w:val="Normal"/>
        <w:widowControl/>
        <w:rPr/>
      </w:pPr>
      <w:r>
        <w:rPr/>
        <w:t>12. Review and Adjustment. The Commission shall review the Schedule after 12 months and thereafter on a rolling 24-month horizon. Review may adjust coefficients, eligible-credit caps, evidentiary rules, or the effective-rate floor within treaty-level ranges where evidence shows unintended investment diversion, excessive administrative cost, circumvention, consumer harm, or material disadvantage to legitimate North American production. The 13.8 percent headline rate may be changed only by the amendment procedure applicable to substantive tariff commitments.</w:t>
      </w:r>
    </w:p>
    <w:p>
      <w:pPr>
        <w:pStyle w:val="Normal"/>
        <w:widowControl/>
        <w:rPr/>
      </w:pPr>
      <w:r>
        <w:rPr/>
        <w:t>13. Alternative Schedules. The Parties may circulate or negotiate alternative 10 percent or 15 percent headline schedules using the same valuation, verification, non-discrimination, earned-credit, and Cothrom architecture. Such alternatives do not alter the 13.8 percent reference model unless adopted through the applicable amendment procedure.</w:t>
      </w:r>
    </w:p>
    <w:p>
      <w:bookmarkStart w:id="1829" w:name="_NAESTMA_TOC_1829"/>
      <w:pPr>
        <w:pStyle w:val="Heading2"/>
        <w:keepNext/>
        <w:widowControl/>
        <w:rPr/>
      </w:pPr>
      <w:r>
        <w:rPr/>
        <w:t>ANNEX 59-B: AUTOMOTIVE SETTLEMENT AND INCENTIVE BACKLOG FRAMEWORK</w:t>
      </w:r>
      <w:bookmarkEnd w:id="1829"/>
    </w:p>
    <w:p>
      <w:pPr>
        <w:pStyle w:val="Heading3"/>
        <w:keepNext/>
        <w:widowControl/>
        <w:rPr/>
      </w:pPr>
      <w:r>
        <w:rPr/>
        <w:t>Part 1: Purpose</w:t>
      </w:r>
    </w:p>
    <w:p>
      <w:pPr>
        <w:pStyle w:val="Normal"/>
        <w:widowControl/>
        <w:rPr/>
      </w:pPr>
      <w:r>
        <w:rPr/>
        <w:t>1. This Annex converts the automotive candidate backlog into a disciplined menu of optional, measurable commercial carrots. It is intended to create visible wins for all three Parties while preserving integrated North American production and avoiding mandatory Party-specific sourcing quotas.</w:t>
      </w:r>
    </w:p>
    <w:p>
      <w:pPr>
        <w:pStyle w:val="Normal"/>
        <w:widowControl/>
        <w:rPr/>
      </w:pPr>
      <w:r>
        <w:rPr/>
        <w:t>2. The backlog is not self-executing. A listed concept becomes an eligible program or earned-credit category only when adopted under domestic law or an implementing schedule consistent with this Agreement.</w:t>
      </w:r>
    </w:p>
    <w:p>
      <w:pPr>
        <w:pStyle w:val="Normal"/>
        <w:widowControl/>
        <w:rPr/>
      </w:pPr>
      <w:r>
        <w:rPr/>
        <w:t>Part 1A: Covered Automotive Goods and Vehicle Classes</w:t>
      </w:r>
    </w:p>
    <w:p>
      <w:pPr>
        <w:pStyle w:val="Normal"/>
        <w:widowControl/>
        <w:rPr/>
      </w:pPr>
      <w:r>
        <w:rPr/>
        <w:t>1. The Automotive Settlement Schedule covers the following classes when the applicable good is identified by an implementing tariff-line schedule, tariff-heading range, or agreed functional description: Class I - passenger vehicles, sport-utility vehicles, and vans; Class II - pickup trucks and other light trucks; Class III - medium-duty vehicles and chassis; Class IV - heavy-duty vehicles and chassis; Class V - buses and qualifying specialized commercial vehicles; and Class VI - covered automotive parts and strategic components.</w:t>
      </w:r>
    </w:p>
    <w:p>
      <w:pPr>
        <w:pStyle w:val="Normal"/>
        <w:widowControl/>
        <w:rPr/>
      </w:pPr>
      <w:r>
        <w:rPr/>
        <w:t>2. The implementing tariff-line schedule shall be comprehensive enough to prevent a generally negotiated automotive settlement from being narrowed through omission of a commercially significant vehicle class. The Parties shall attach the relevant Harmonized System classifications and any necessary class notes before the Settlement Schedule enters into force.</w:t>
      </w:r>
    </w:p>
    <w:p>
      <w:pPr>
        <w:pStyle w:val="Normal"/>
        <w:widowControl/>
        <w:rPr/>
      </w:pPr>
      <w:r>
        <w:rPr/>
        <w:t>3. Unless an implementing schedule expressly provides otherwise for an objectively justified technical reason, Classes I through VI are included within the 13.8 percent settlement architecture. A class-specific schedule may vary technical rules, transition periods, or effective-rate parameters without excluding production merely because it is concentrated in Canada, Mexico, or the United States.</w:t>
      </w:r>
    </w:p>
    <w:p>
      <w:pPr>
        <w:pStyle w:val="Normal"/>
        <w:widowControl/>
        <w:rPr/>
      </w:pPr>
      <w:r>
        <w:rPr/>
        <w:t>4. New propulsion systems, body configurations, chassis designs, or commercial labels shall be classified according to their functional and economic character. A classification uncertainty shall be handled under Article 59.22A(8) and shall not interrupt established commercial treatment while expedited review is pending.</w:t>
      </w:r>
    </w:p>
    <w:p>
      <w:pPr>
        <w:pStyle w:val="Normal"/>
        <w:widowControl/>
        <w:rPr/>
      </w:pPr>
      <w:r>
        <w:rPr/>
        <w:t>Part 1B: Industrial Expansion Tiers</w:t>
      </w:r>
    </w:p>
    <w:p>
      <w:pPr>
        <w:pStyle w:val="Normal"/>
        <w:widowControl/>
        <w:rPr/>
      </w:pPr>
      <w:r>
        <w:rPr/>
        <w:t>1. The United States may establish an American Industrial Expansion Tier; Canada may establish a Canadian Industrial Expansion Tier; and Mexico may establish a Mexican Industrial Expansion Tier. Each Tier shall reward incremental activity within the importing Party while preserving equal North American origin status.</w:t>
      </w:r>
    </w:p>
    <w:p>
      <w:pPr>
        <w:pStyle w:val="Normal"/>
        <w:widowControl/>
        <w:rPr/>
      </w:pPr>
      <w:r>
        <w:rPr/>
        <w:t>2. A Tier may use graduated benefits for net-new assembly, employment, strategic components, tooling, research and development, supplier onboarding, brownfield reactivation, dormant-capacity restoration, or repatriation from outside North America. The schedule shall identify caps, evidence, duration, reconciliation, and anti-double-counting rules.</w:t>
      </w:r>
    </w:p>
    <w:p>
      <w:pPr>
        <w:pStyle w:val="Normal"/>
        <w:widowControl/>
        <w:rPr/>
      </w:pPr>
      <w:r>
        <w:rPr/>
        <w:t>3. Repatriation from outside North America and genuinely new capacity may receive a supercredit. Transfer of substantially equivalent production from another Party receives no supercredit and shall receive the highest ordinary expansion credit only if the North American Capacity Growth Test is independently satisfied.</w:t>
      </w:r>
    </w:p>
    <w:p>
      <w:pPr>
        <w:pStyle w:val="Normal"/>
        <w:widowControl/>
        <w:rPr/>
      </w:pPr>
      <w:r>
        <w:rPr/>
        <w:t>4. A United States schedule may test a 50 percent American Economic Contribution premium benchmark calculated across a qualifying producer portfolio. Physical United States content may be combined with verified incremental United States economic contribution, but the formula shall not discount Canadian or Mexican originating content or convert the benchmark into a condition of North American origin.</w:t>
      </w:r>
    </w:p>
    <w:p>
      <w:pPr>
        <w:pStyle w:val="Normal"/>
        <w:widowControl/>
        <w:rPr/>
      </w:pPr>
      <w:r>
        <w:rPr/>
        <w:t>5. The Parties shall publish worked examples for representative passenger, pickup/light-truck, medium-duty, heavy-duty, and strategic-component cases before activation so that producers can distinguish origin qualification, baseline settlement credit, Industrial Expansion credit, and any portfolio-level premium.</w:t>
      </w:r>
    </w:p>
    <w:p>
      <w:pPr>
        <w:pStyle w:val="Heading3"/>
        <w:keepNext/>
        <w:widowControl/>
        <w:rPr/>
      </w:pPr>
      <w:r>
        <w:rPr/>
        <w:t>Part 2: Priority Carrot Families</w:t>
      </w:r>
    </w:p>
    <w:p>
      <w:pPr>
        <w:pStyle w:val="Normal"/>
        <w:widowControl/>
        <w:rPr/>
      </w:pPr>
      <w:r>
        <w:rPr/>
        <w:t>1. Production and Investment. Priority candidates include investment-ready sites; brownfield conversion; plant reactivation; additional production shifts; supplier co-location; supplier-diversity and second-source development; capacity matching; permitting navigation; tooling support; and objective investment-stability mechanisms.</w:t>
      </w:r>
    </w:p>
    <w:p>
      <w:pPr>
        <w:pStyle w:val="Normal"/>
        <w:widowControl/>
        <w:rPr/>
      </w:pPr>
      <w:r>
        <w:rPr/>
        <w:t>2. Batteries and Critical Materials. Priority candidates include interoperable battery provenance and warranty credentials; critical-mineral pooling and processing; battery recycling and second-life systems; cathode, anode, cell, pack, and power-electronics capacity; recovered-material credits; strategic reserves; and safe cross-border battery logistics.</w:t>
      </w:r>
    </w:p>
    <w:p>
      <w:pPr>
        <w:pStyle w:val="Normal"/>
        <w:widowControl/>
        <w:rPr/>
      </w:pPr>
      <w:r>
        <w:rPr/>
        <w:t>3. Semiconductors, Software, and Electronics. Priority candidates include automotive-grade semiconductor fabrication, packaging, testing, strategic stockpiles, chiplet and component interoperability, cybersecurity mutual recognition, open diagnostic interfaces, digital-twin standards, shared testbeds, and precompetitive software or data initiatives.</w:t>
      </w:r>
    </w:p>
    <w:p>
      <w:pPr>
        <w:pStyle w:val="Normal"/>
        <w:widowControl/>
        <w:rPr/>
      </w:pPr>
      <w:r>
        <w:rPr/>
        <w:t>4. Supply Chain, Border, and Logistics. Priority candidates include trusted automotive customs lanes; pre-clearance; reusable electronic submissions; virtual in-bond movement; bonded warehousing; rail interchange and autorack improvements; inland ports; border infrastructure; emergency shipment escalation; alternative-route mapping; and resilient inventory financing.</w:t>
      </w:r>
    </w:p>
    <w:p>
      <w:pPr>
        <w:pStyle w:val="Normal"/>
        <w:widowControl/>
        <w:rPr/>
      </w:pPr>
      <w:r>
        <w:rPr/>
        <w:t>5. Research, Testing, and Advanced Manufacturing. Priority candidates include shared innovation laboratories; university-industry centers; lightweight and recyclable materials research; battery chemistry; crash and safety data; simulation; robotics; autonomous-system validation; hydrogen and alternative fuels; repair technology; and manufacturing technology transfer.</w:t>
      </w:r>
    </w:p>
    <w:p>
      <w:pPr>
        <w:pStyle w:val="Normal"/>
        <w:widowControl/>
        <w:rPr/>
      </w:pPr>
      <w:r>
        <w:rPr/>
        <w:t>6. Workforce and Skills. Priority candidates include trilateral apprenticeships; portable competency credentials; specialist exchanges; robotics and mechatronics retraining; instructor exchanges; shortage-skill micro-credentials; worker-transition support; and lawful temporary mobility pathways.</w:t>
      </w:r>
    </w:p>
    <w:p>
      <w:pPr>
        <w:pStyle w:val="Normal"/>
        <w:widowControl/>
        <w:rPr/>
      </w:pPr>
      <w:r>
        <w:rPr/>
        <w:t>7. Circularity, Energy, and Environmental Resilience. Priority candidates include recovered-content incentives; closed-loop water systems; lower-impact steel and aluminum; battery and electronics recycling; zero-waste recognition; grid and charging resilience; factory energy-efficiency investments; and all-hazards continuity measures.</w:t>
      </w:r>
    </w:p>
    <w:p>
      <w:pPr>
        <w:pStyle w:val="Normal"/>
        <w:widowControl/>
        <w:rPr/>
      </w:pPr>
      <w:r>
        <w:rPr/>
        <w:t>8. Consumer and Secondary-Market Integration. Priority candidates include cross-border warranty recognition; battery-health credentials; secure digital title and theft-status verification; right-to-repair interoperability; accessible-mobility adaptations; charging roaming; and harmonized safety evidence where outcomes are equivalent.</w:t>
      </w:r>
    </w:p>
    <w:p>
      <w:pPr>
        <w:pStyle w:val="Heading3"/>
        <w:keepNext/>
        <w:widowControl/>
        <w:rPr/>
      </w:pPr>
      <w:r>
        <w:rPr/>
        <w:t>Part 3: Selection Tests</w:t>
      </w:r>
    </w:p>
    <w:p>
      <w:pPr>
        <w:pStyle w:val="Normal"/>
        <w:widowControl/>
        <w:rPr/>
      </w:pPr>
      <w:r>
        <w:rPr/>
        <w:t>1. A candidate carrot should be prioritized where it: (a) creates measurable additional North American capacity, employment, productivity, resilience, or trade facilitation; (b) offers a legitimate domestic political or economic benefit to more than one Party; (c) does not require a Party-specific content floor; (d) is administrable without disproportionate accounting burden; (e) can be independently verified; and (f) does not reward superficial processing or paper investment.</w:t>
      </w:r>
    </w:p>
    <w:p>
      <w:pPr>
        <w:pStyle w:val="Normal"/>
        <w:widowControl/>
        <w:rPr/>
      </w:pPr>
      <w:r>
        <w:rPr/>
        <w:t>2. High-cost or technically immature concepts may be retained as research, feasibility, demonstration, or future-horizon candidates rather than immediate obligations. Failure of an experimental project after good-faith study or testing does not constitute non-compliance.</w:t>
      </w:r>
    </w:p>
    <w:p>
      <w:pPr>
        <w:pStyle w:val="Normal"/>
        <w:widowControl/>
        <w:rPr/>
      </w:pPr>
      <w:r>
        <w:rPr/>
        <w:t>3. The Commission shall favor modular adoption. No Party is required to adopt every candidate carrot, and rejection of one candidate does not affect eligibility for unrelated programs.</w:t>
      </w:r>
    </w:p>
    <w:p>
      <w:pPr>
        <w:pStyle w:val="Heading3"/>
        <w:keepNext/>
        <w:widowControl/>
        <w:rPr/>
      </w:pPr>
      <w:r>
        <w:rPr/>
        <w:t>Part 4: Initial High-Value Settlement Portfolio</w:t>
      </w:r>
    </w:p>
    <w:p>
      <w:pPr>
        <w:pStyle w:val="Normal"/>
        <w:widowControl/>
        <w:rPr/>
      </w:pPr>
      <w:r>
        <w:rPr/>
        <w:t>1. For the first implementation horizon, the Parties should give priority to a compact portfolio with high negotiating value and comparatively low administrative friction: brownfield plant conversion; additional-shift workforce support; supplier second-source qualification; North American battery and strategic-component investment; automotive semiconductor resilience; critical-mineral processing and recycling; trusted customs superlanes and pre-clearance; rail and border bottleneck removal; interoperable testing and cybersecurity certification; apprenticeship and shortage-skill credentials; and verified circular-material recovery.</w:t>
      </w:r>
    </w:p>
    <w:p>
      <w:pPr>
        <w:pStyle w:val="Normal"/>
        <w:widowControl/>
        <w:rPr/>
      </w:pPr>
      <w:r>
        <w:rPr/>
        <w:t>2. The Parties may attach differentiated domestic incentives to these activities, including lawful tax, depreciation, financing, procurement, training, or infrastructure support. Nothing in this Annex harmonizes tax rates, compels a subsidy, guarantees a project location, or authorizes the Commission to allocate production.</w:t>
      </w:r>
    </w:p>
    <w:p>
      <w:pPr>
        <w:pStyle w:val="Normal"/>
        <w:widowControl/>
        <w:rPr/>
      </w:pPr>
      <w:r>
        <w:rPr/>
        <w:t>3. Public communications may identify aggregate investment, employment, capacity, sourcing, border-time, resilience, or recycling gains so that each Party can demonstrate concrete benefits from the settlement without mischaracterizing another Party's originating content as foreign leakage.</w:t>
      </w:r>
    </w:p>
    <w:p>
      <w:bookmarkStart w:id="1830" w:name="_NAESTMA_TOC_1830"/>
      <w:pPr>
        <w:pStyle w:val="Heading1"/>
        <w:keepNext/>
        <w:pageBreakBefore/>
        <w:widowControl/>
        <w:rPr/>
      </w:pPr>
      <w:r>
        <w:rPr/>
        <w:t>PACKAGE X — 13.8 PERCENT AUTOMOTIVE SETTLEMENT AND EARNED-INTEGRATION ARCHITECTURE (v4.3)</w:t>
      </w:r>
      <w:bookmarkEnd w:id="1830"/>
    </w:p>
    <w:p>
      <w:pPr>
        <w:pStyle w:val="Normal"/>
        <w:widowControl/>
        <w:rPr/>
      </w:pPr>
      <w:r>
        <w:rPr/>
        <w:t>Package X adds Article 59.5A and Annex 59-B. The package establishes a 13.8 percent reference automotive settlement rate; preserves ordinary duty-free treatment for qualifying originating goods; gives Canadian, Mexican, and United States originating content equal 100 percent baseline North American credit; creates separate symmetric Industrial Expansion Tiers for genuinely incremental domestic activity; permits an American Industrial Expansion Tier, a United States Auto Repatriation Supercredit, a voluntary portfolio-level 50 percent American Economic Contribution premium benchmark, and strategic-component bonuses without converting those mechanisms into rules of origin; applies a No North American Cannibalization Rule and North American Capacity Growth Test; expressly covers passenger, light, medium-duty, heavy-duty, bus, chassis, parts, and strategic-component classes; provides classification-dispute continuity; anchors verification in Annex 4-E and Cothrom; requires simultaneous implementation of reciprocal automotive stand-down commitments; and preserves alternative 10 percent and 15 percent schedules without displacing the 13.8 percent reference model unless formally adopted.</w:t>
      </w:r>
    </w:p>
    <w:p>
      <w:bookmarkStart w:id="1831" w:name="_NAESTMA_TOC_1831"/>
      <w:pPr>
        <w:pStyle w:val="Heading2"/>
        <w:keepNext/>
        <w:widowControl/>
        <w:rPr/>
      </w:pPr>
      <w:r>
        <w:rPr/>
        <w:t>PACKAGE W — AUTOMOTIVE INTEGRATION, ENHANCED ORIGIN, AND RESILIENCE</w:t>
      </w:r>
      <w:bookmarkEnd w:id="1831"/>
    </w:p>
    <w:p>
      <w:pPr>
        <w:pStyle w:val="Normal"/>
        <w:widowControl/>
        <w:rPr/>
      </w:pPr>
      <w:r>
        <w:rPr/>
        <w:t>Chapter 59 and Annex 59-A add a consolidated automotive modernization architecture drawn from the automotive candidate backlog. The package preserves ordinary North American origin while creating voluntary Enhanced and Strategic tiers; a weighted strategic-component system; supplier declarations, advance rulings, and good-faith cure; a controlled non-North-American-value tariff pilot; capacity-gap and Build-the-Gap procedures; investment and nearshoring facilitation; supplier resilience; trusted corridors and virtual in-bond treatment; battery and circular-material lifecycle rules; semiconductor and strategic-electronics resilience; mutual recognition, open interfaces, repair and secondary-market integrity; skills and specialist mobility; precompetitive research; cybersecurity and AI assurance; infrastructure, grid, water, logistics, and environmental resilience; a Cothrom automotive stabilizer; and machine-readable rules with rolling-horizon modernization. The package expressly rejects Party-specific content quotas, mandatory national production allocation, sunset-based expiry of rights, and unreviewable automated compliance decisions.</w:t>
      </w:r>
    </w:p>
    <w:p>
      <w:bookmarkStart w:id="1832" w:name="_NAESTMA_TOC_1832"/>
      <w:pPr>
        <w:pStyle w:val="Heading2"/>
        <w:keepNext/>
        <w:widowControl/>
        <w:rPr/>
      </w:pPr>
      <w:r>
        <w:rPr/>
        <w:t>Article 59.26: Automotive Administrative Implementation Standard</w:t>
      </w:r>
      <w:bookmarkEnd w:id="1832"/>
    </w:p>
    <w:p>
      <w:pPr>
        <w:pStyle w:val="Normal"/>
        <w:widowControl/>
        <w:rPr/>
      </w:pPr>
      <w:r>
        <w:rPr/>
        <w:t>1. Administration of Articles 59.1 through 59.5A shall follow the Chapter 5 least-burdensome-verification principle. Ordinary CUSMA qualification shall be resolved before any alternative settlement calculation where it can determine treatment more simply.</w:t>
      </w:r>
    </w:p>
    <w:p>
      <w:pPr>
        <w:pStyle w:val="Normal"/>
        <w:widowControl/>
        <w:rPr/>
      </w:pPr>
      <w:r>
        <w:rPr/>
        <w:t>2. The Parties shall favor advance model-year determinations, component-family methodologies, standardized electronic certification, and annual reconciliation over shipment-by-shipment reconstruction of complex automotive calculations.</w:t>
      </w:r>
    </w:p>
    <w:p>
      <w:pPr>
        <w:pStyle w:val="Normal"/>
        <w:widowControl/>
        <w:rPr/>
      </w:pPr>
      <w:r>
        <w:rPr/>
        <w:t>3. Enhanced verification shall target the disputed value, component, credit, or origin fact unless credible evidence justifies broader review.</w:t>
      </w:r>
      <w:r>
        <w:br w:type="page"/>
      </w:r>
    </w:p>
    <w:p>
      <w:bookmarkStart w:id="1833" w:name="_NAESTMA_TOC_1833"/>
      <w:pPr>
        <w:pStyle w:val="Heading1"/>
        <w:keepNext/>
        <w:keepLines w:val="0"/>
        <w:pageBreakBefore/>
        <w:widowControl/>
        <w:rPr/>
      </w:pPr>
      <w:r>
        <w:rPr/>
        <w:t>CHAPTER 60</w:t>
      </w:r>
      <w:bookmarkEnd w:id="1833"/>
    </w:p>
    <w:p>
      <w:bookmarkStart w:id="1834" w:name="_NAESTMA_TOC_1834"/>
      <w:pPr>
        <w:pStyle w:val="Heading2"/>
        <w:keepNext/>
        <w:pageBreakBefore w:val="false"/>
        <w:widowControl/>
        <w:rPr/>
      </w:pPr>
      <w:r>
        <w:rPr/>
        <w:t>CROSS-BORDER ENFORCEMENT SOVEREIGNTY, DATA PURPOSE LIMITATION, AND PROTECTED COOPERATION</w:t>
      </w:r>
      <w:bookmarkEnd w:id="1834"/>
    </w:p>
    <w:p>
      <w:bookmarkStart w:id="1835" w:name="_NAESTMA_TOC_1835"/>
      <w:pPr>
        <w:pStyle w:val="Heading2"/>
        <w:keepNext/>
        <w:widowControl/>
        <w:rPr/>
      </w:pPr>
      <w:r>
        <w:rPr/>
        <w:t>Article 60.1: Territorial Sovereignty and Non-Delegation of Enforcement Authority</w:t>
      </w:r>
      <w:bookmarkEnd w:id="1835"/>
    </w:p>
    <w:p>
      <w:pPr>
        <w:pStyle w:val="Normal"/>
        <w:widowControl/>
        <w:rPr/>
      </w:pPr>
      <w:r>
        <w:rPr/>
        <w:t>1. Nothing in this Agreement confers upon an authority, officer, employee, contractor, or agent of one Party independent police, detention, search, seizure, immigration-enforcement, compulsory-questioning, surveillance, or other coercive governmental authority within the territory of another Party.</w:t>
      </w:r>
    </w:p>
    <w:p>
      <w:pPr>
        <w:pStyle w:val="Normal"/>
        <w:widowControl/>
        <w:rPr/>
      </w:pPr>
      <w:r>
        <w:rPr/>
        <w:t>2. Any authorized activity by foreign enforcement personnel within a host Party shall remain subject to the host Party’s law, express authorization, and applicable international arrangements.</w:t>
      </w:r>
    </w:p>
    <w:p>
      <w:pPr>
        <w:pStyle w:val="Normal"/>
        <w:widowControl/>
        <w:rPr/>
      </w:pPr>
      <w:r>
        <w:rPr/>
        <w:t>3. No Party shall condition a trade benefit under this Agreement on another Party granting operational authority to foreign civil immigration-enforcement personnel.</w:t>
      </w:r>
    </w:p>
    <w:p>
      <w:bookmarkStart w:id="1836" w:name="_NAESTMA_TOC_1836"/>
      <w:pPr>
        <w:pStyle w:val="Heading2"/>
        <w:keepNext/>
        <w:widowControl/>
        <w:rPr/>
      </w:pPr>
      <w:r>
        <w:rPr/>
        <w:t>Article 60.2: Treaty Data Shall Not Create General Immigration-Enforcement Authority</w:t>
      </w:r>
      <w:bookmarkEnd w:id="1836"/>
    </w:p>
    <w:p>
      <w:pPr>
        <w:pStyle w:val="Normal"/>
        <w:widowControl/>
        <w:rPr/>
      </w:pPr>
      <w:r>
        <w:rPr/>
        <w:t>1. Information exchanged pursuant to this Agreement shall not constitute a general-purpose source of information for the civil immigration-enforcement activities of another Party.</w:t>
      </w:r>
    </w:p>
    <w:p>
      <w:pPr>
        <w:pStyle w:val="Normal"/>
        <w:widowControl/>
        <w:rPr/>
      </w:pPr>
      <w:r>
        <w:rPr/>
        <w:t>2. Information collected for trade administration, labour-rights enforcement, occupational safety, public health, education, humanitarian assistance, or access to essential public services shall not be repurposed for unrelated civil immigration enforcement except where expressly authorized by law and subject to applicable necessity, proportionality, privacy, and due-process safeguards.</w:t>
      </w:r>
    </w:p>
    <w:p>
      <w:pPr>
        <w:pStyle w:val="Normal"/>
        <w:widowControl/>
        <w:rPr/>
      </w:pPr>
      <w:r>
        <w:rPr/>
        <w:t>3. No agency may rely upon this Agreement or access obtained through it as an independent legal basis for immigration investigation, detention, removal, surveillance, or another coercive action.</w:t>
      </w:r>
    </w:p>
    <w:p>
      <w:bookmarkStart w:id="1837" w:name="_NAESTMA_TOC_1837"/>
      <w:pPr>
        <w:pStyle w:val="Heading2"/>
        <w:keepNext/>
        <w:widowControl/>
        <w:rPr/>
      </w:pPr>
      <w:r>
        <w:rPr/>
        <w:t>Article 60.3: Purpose Limitation, Necessity, and Data Minimization</w:t>
      </w:r>
      <w:bookmarkEnd w:id="1837"/>
    </w:p>
    <w:p>
      <w:pPr>
        <w:pStyle w:val="Normal"/>
        <w:widowControl/>
        <w:rPr/>
      </w:pPr>
      <w:r>
        <w:rPr/>
        <w:t>1. Cross-border disclosure of personal information shall be limited to information reasonably necessary and proportionate to the legitimate purpose for which disclosure is authorized.</w:t>
      </w:r>
    </w:p>
    <w:p>
      <w:pPr>
        <w:pStyle w:val="Normal"/>
        <w:widowControl/>
        <w:rPr/>
      </w:pPr>
      <w:r>
        <w:rPr/>
        <w:t>2. Sensitive data exchanges shall use defined purposes, access controls, appropriate retention limits, and auditable records of authorized user, lawful purpose, data requested, time of access, recipient, and permitted use, subject to applicable security protections.</w:t>
      </w:r>
    </w:p>
    <w:p>
      <w:pPr>
        <w:pStyle w:val="Normal"/>
        <w:widowControl/>
        <w:rPr/>
      </w:pPr>
      <w:r>
        <w:rPr/>
        <w:t>3. A Party shall not request information through a trade, customs, labour, digital, regulatory, or other mechanism established by this Agreement for a purpose that would be prohibited if requested directly for civil immigration enforcement.</w:t>
      </w:r>
    </w:p>
    <w:p>
      <w:bookmarkStart w:id="1838" w:name="_NAESTMA_TOC_1838"/>
      <w:pPr>
        <w:pStyle w:val="Heading2"/>
        <w:keepNext/>
        <w:widowControl/>
        <w:rPr/>
      </w:pPr>
      <w:r>
        <w:rPr/>
        <w:t>Article 60.4: Sensitive Institutions and Humanitarian Information Firewall</w:t>
      </w:r>
      <w:bookmarkEnd w:id="1838"/>
    </w:p>
    <w:p>
      <w:pPr>
        <w:pStyle w:val="Normal"/>
        <w:widowControl/>
        <w:rPr/>
      </w:pPr>
      <w:r>
        <w:rPr/>
        <w:t>1. Information obtained from schools, healthcare facilities, shelters, libraries, labour-rights bodies, humanitarian organizations, and other designated essential public or humanitarian services shall receive heightened protection against disclosure for unrelated foreign civil immigration enforcement.</w:t>
      </w:r>
    </w:p>
    <w:p>
      <w:pPr>
        <w:pStyle w:val="Normal"/>
        <w:widowControl/>
        <w:rPr/>
      </w:pPr>
      <w:r>
        <w:rPr/>
        <w:t>2. Exceptions shall be narrowly defined by domestic law and may include judicial process, consent where legally valid, or an imminent threat to life or serious public safety.</w:t>
      </w:r>
    </w:p>
    <w:p>
      <w:pPr>
        <w:pStyle w:val="Normal"/>
        <w:widowControl/>
        <w:rPr/>
      </w:pPr>
      <w:r>
        <w:rPr/>
        <w:t>3. Nothing in this Article prevents lawful cooperation directed at trafficking, smuggling, organized crime, or comparable serious criminal conduct where the applicable legal requirements are satisfied.</w:t>
      </w:r>
    </w:p>
    <w:p>
      <w:bookmarkStart w:id="1839" w:name="_NAESTMA_TOC_1839"/>
      <w:pPr>
        <w:pStyle w:val="Heading2"/>
        <w:keepNext/>
        <w:widowControl/>
        <w:rPr/>
      </w:pPr>
      <w:r>
        <w:rPr/>
        <w:t>Article 60.5: Foreign Enforcement Officer Stand-Down Protocol</w:t>
      </w:r>
      <w:bookmarkEnd w:id="1839"/>
    </w:p>
    <w:p>
      <w:pPr>
        <w:pStyle w:val="Normal"/>
        <w:widowControl/>
        <w:rPr/>
      </w:pPr>
      <w:r>
        <w:rPr/>
        <w:t>1. Where competent authorities of a host Party determine that reasonable grounds exist to believe that a foreign enforcement officer acting in an official capacity has materially violated the host Party's criminal law, civil-rights protections, or the terms of the officer's authorization, the host Party may immediately suspend that officer's participation in operational activities pending review. The host Party shall notify the sending Party promptly, consistent with investigative, privacy, and security requirements.</w:t>
      </w:r>
    </w:p>
    <w:p>
      <w:pPr>
        <w:pStyle w:val="Normal"/>
        <w:widowControl/>
        <w:rPr/>
      </w:pPr>
      <w:r>
        <w:rPr/>
        <w:t>2. During a stand-down, the officer shall perform no enforcement, investigative, surveillance, detention, intelligence-gathering, database-access, or other operational function prohibited by the host Party. Where continued presence is permitted, the sending Party shall bear reasonable accommodation and associated costs through its diplomatic or consular mission.</w:t>
      </w:r>
    </w:p>
    <w:p>
      <w:pPr>
        <w:pStyle w:val="Normal"/>
        <w:widowControl/>
        <w:rPr/>
      </w:pPr>
      <w:r>
        <w:rPr/>
        <w:t>3. The host Party may require suspension of operational credentials or host-country weapons authorizations and may impose any lawful judicial or administrative conditions available under domestic law. Where domestic law or an applicable bilateral agreement provides reconsideration or review, the officer or sending Party may use that process; treaty review does not itself stay a lawful protective stand-down.</w:t>
      </w:r>
    </w:p>
    <w:p>
      <w:pPr>
        <w:pStyle w:val="Normal"/>
        <w:widowControl/>
        <w:rPr/>
      </w:pPr>
      <w:r>
        <w:rPr/>
        <w:t>4. Nothing in this Agreement limits the host Party's authority under domestic or international law to investigate, prosecute, withdraw authorization from, require the departure of, or otherwise take lawful action concerning a foreign officer. Nothing in this Article alters privileges or immunities arising under applicable international law, a status-of-forces agreement, or another binding bilateral arrangement.</w:t>
      </w:r>
    </w:p>
    <w:p>
      <w:bookmarkStart w:id="1840" w:name="_NAESTMA_TOC_1840"/>
      <w:pPr>
        <w:pStyle w:val="Heading2"/>
        <w:keepNext/>
        <w:widowControl/>
        <w:rPr/>
      </w:pPr>
      <w:r>
        <w:rPr/>
        <w:t>Article 60.6: Non-Discrimination in Treaty-Enabled Enforcement Cooperation</w:t>
      </w:r>
      <w:bookmarkEnd w:id="1840"/>
    </w:p>
    <w:p>
      <w:pPr>
        <w:pStyle w:val="Normal"/>
        <w:widowControl/>
        <w:rPr/>
      </w:pPr>
      <w:r>
        <w:rPr/>
        <w:t>1. Race, ethnicity, nationality, religion, language, sex, disability, or another status protected under the host Party’s law shall not constitute an independent basis for detention, search, coercive questioning, surveillance, or other enforcement action undertaken pursuant to cooperation under this Agreement.</w:t>
      </w:r>
    </w:p>
    <w:p>
      <w:pPr>
        <w:pStyle w:val="Normal"/>
        <w:widowControl/>
        <w:rPr/>
      </w:pPr>
      <w:r>
        <w:rPr/>
        <w:t>2. Persons who in good faith report alleged misconduct by foreign enforcement personnel shall be protected from retaliation consistent with domestic law.</w:t>
      </w:r>
    </w:p>
    <w:p>
      <w:bookmarkStart w:id="1841" w:name="_NAESTMA_TOC_1841"/>
      <w:pPr>
        <w:pStyle w:val="Heading2"/>
        <w:keepNext/>
        <w:widowControl/>
        <w:rPr/>
      </w:pPr>
      <w:r>
        <w:rPr/>
        <w:t>Article 60.7: No Automatic Execution of Foreign Civil Immigration Measures</w:t>
      </w:r>
      <w:bookmarkEnd w:id="1841"/>
    </w:p>
    <w:p>
      <w:pPr>
        <w:pStyle w:val="Normal"/>
        <w:widowControl/>
        <w:rPr/>
      </w:pPr>
      <w:r>
        <w:rPr/>
        <w:t>1. Nothing in this Agreement requires a Party to execute another Party’s civil immigration detainer, administrative warrant, removal request, or comparable measure absent an independently applicable legal basis under the requested Party’s law or another binding international arrangement.</w:t>
      </w:r>
    </w:p>
    <w:p>
      <w:pPr>
        <w:pStyle w:val="Normal"/>
        <w:widowControl/>
        <w:rPr/>
      </w:pPr>
      <w:r>
        <w:rPr/>
        <w:t>2. Nothing in this Agreement requires a Party to assist another Party in enforcement of its domestic civil immigration law except pursuant to a separately applicable legal obligation voluntarily undertaken by that Party.</w:t>
      </w:r>
    </w:p>
    <w:p>
      <w:bookmarkStart w:id="1842" w:name="_NAESTMA_TOC_1842"/>
      <w:pPr>
        <w:pStyle w:val="Heading2"/>
        <w:keepNext/>
        <w:widowControl/>
        <w:rPr/>
      </w:pPr>
      <w:r>
        <w:rPr/>
        <w:t>Article 60.8: Oversight, Complaint, and Remedy</w:t>
      </w:r>
      <w:bookmarkEnd w:id="1842"/>
    </w:p>
    <w:p>
      <w:pPr>
        <w:pStyle w:val="Normal"/>
        <w:widowControl/>
        <w:rPr/>
      </w:pPr>
      <w:r>
        <w:rPr/>
        <w:t>1. Each Party shall maintain an accessible means to raise complaints concerning misuse of information or unauthorized foreign enforcement activity covered by this Chapter.</w:t>
      </w:r>
    </w:p>
    <w:p>
      <w:pPr>
        <w:pStyle w:val="Normal"/>
        <w:widowControl/>
        <w:rPr/>
      </w:pPr>
      <w:r>
        <w:rPr/>
        <w:t>2. Compliance shall be supervised through existing courts, privacy and data-protection authorities, law-enforcement oversight bodies, diplomatic channels, and the verification or dispute-settlement procedures of this Agreement, as applicable.</w:t>
      </w:r>
    </w:p>
    <w:p>
      <w:pPr>
        <w:pStyle w:val="Normal"/>
        <w:widowControl/>
        <w:rPr/>
      </w:pPr>
      <w:r>
        <w:rPr/>
        <w:t>3. The Parties shall not establish a new standing institution solely to administer this Chapter unless they jointly determine that existing mechanisms are demonstrably inadequate.</w:t>
      </w:r>
    </w:p>
    <w:p>
      <w:pPr>
        <w:pStyle w:val="Normal"/>
        <w:widowControl/>
        <w:rPr/>
      </w:pPr>
      <w:r>
        <w:rPr/>
        <w:t>4. Remedies shall be proportionate to the violation and may include access suspension, deletion or correction of improperly obtained data where lawful, withdrawal of operational authorization, corrective procedures, and other remedies available under domestic law.</w:t>
      </w:r>
      <w:r>
        <w:br w:type="page"/>
      </w:r>
    </w:p>
    <w:p>
      <w:bookmarkStart w:id="1843" w:name="_NAESTMA_TOC_1843"/>
      <w:pPr>
        <w:pStyle w:val="Heading1"/>
        <w:keepNext/>
        <w:keepLines w:val="0"/>
        <w:pageBreakBefore/>
        <w:widowControl/>
        <w:rPr/>
      </w:pPr>
      <w:r>
        <w:rPr/>
        <w:t>CHAPTER 61</w:t>
      </w:r>
      <w:bookmarkEnd w:id="1843"/>
    </w:p>
    <w:p>
      <w:bookmarkStart w:id="1844" w:name="_NAESTMA_TOC_1844"/>
      <w:pPr>
        <w:pStyle w:val="Heading2"/>
        <w:keepNext/>
        <w:pageBreakBefore w:val="false"/>
        <w:widowControl/>
        <w:rPr/>
      </w:pPr>
      <w:r>
        <w:rPr/>
        <w:t>NORTH AMERICAN DEFENSE-INDUSTRIAL MATERIALS, CAPACITY, AND PROCUREMENT RESILIENCE</w:t>
      </w:r>
      <w:bookmarkEnd w:id="1844"/>
    </w:p>
    <w:p>
      <w:pPr>
        <w:pStyle w:val="Normal"/>
        <w:widowControl/>
        <w:rPr/>
      </w:pPr>
      <w:r>
        <w:rPr/>
        <w:t>This Chapter concerns industrial capacity, materials, procurement interoperability, supply continuity, and civilian-priority safeguards. It does not prescribe weapon design, ammunition design, operational military doctrine, or mandatory production quantities.</w:t>
      </w:r>
    </w:p>
    <w:p>
      <w:bookmarkStart w:id="1845" w:name="_NAESTMA_TOC_1845"/>
      <w:pPr>
        <w:pStyle w:val="Heading2"/>
        <w:keepNext/>
        <w:widowControl/>
        <w:rPr/>
      </w:pPr>
      <w:r>
        <w:rPr/>
        <w:t>Article 61.1: Objectives</w:t>
      </w:r>
      <w:bookmarkEnd w:id="1845"/>
    </w:p>
    <w:p>
      <w:pPr>
        <w:pStyle w:val="Normal"/>
        <w:widowControl/>
        <w:rPr/>
      </w:pPr>
      <w:r>
        <w:rPr/>
        <w:t>1. The Parties shall cooperate, consistent with domestic law and security requirements, to strengthen resilient North American capacity for defense-relevant and dual-use industrial materials, components, manufacturing inputs, testing, maintenance, and production infrastructure.</w:t>
      </w:r>
    </w:p>
    <w:p>
      <w:pPr>
        <w:pStyle w:val="Normal"/>
        <w:widowControl/>
        <w:rPr/>
      </w:pPr>
      <w:r>
        <w:rPr/>
        <w:t>2. Cooperation shall seek to reduce single-source vulnerabilities, improve surge readiness, expand qualified suppliers, strengthen reciprocal industrial participation, and preserve essential civilian supply during emergencies.</w:t>
      </w:r>
    </w:p>
    <w:p>
      <w:bookmarkStart w:id="1846" w:name="_NAESTMA_TOC_1846"/>
      <w:pPr>
        <w:pStyle w:val="Heading2"/>
        <w:keepNext/>
        <w:widowControl/>
        <w:rPr/>
      </w:pPr>
      <w:r>
        <w:rPr/>
        <w:t>Article 61.2: Defense-Industrial Materials Security Lane</w:t>
      </w:r>
      <w:bookmarkEnd w:id="1846"/>
    </w:p>
    <w:p>
      <w:pPr>
        <w:pStyle w:val="Normal"/>
        <w:widowControl/>
        <w:rPr/>
      </w:pPr>
      <w:r>
        <w:rPr/>
        <w:t>1. The Parties may designate strategic industrial materials for enhanced supply-chain cooperation, including qualifying copper, zinc, nickel, antimony, tungsten, aluminum, specialty steels, titanium products, energetic-industry feedstocks where lawfully covered, and other materials identified through the Chapter 37 strategic-materials process.</w:t>
      </w:r>
    </w:p>
    <w:p>
      <w:pPr>
        <w:pStyle w:val="Normal"/>
        <w:widowControl/>
        <w:rPr/>
      </w:pPr>
      <w:r>
        <w:rPr/>
        <w:t>2. Designation creates no compulsory extraction, export, purchase, or production quota. It authorizes planning, qualification, financing, stockpile, recycling, logistics, and procurement cooperation under the applicable domestic authorities.</w:t>
      </w:r>
    </w:p>
    <w:p>
      <w:bookmarkStart w:id="1847" w:name="_NAESTMA_TOC_1847"/>
      <w:pPr>
        <w:pStyle w:val="Heading2"/>
        <w:keepNext/>
        <w:widowControl/>
        <w:rPr/>
      </w:pPr>
      <w:r>
        <w:rPr/>
        <w:t>Article 61.3: Long-Term Offtake and Demand-Signal Framework</w:t>
      </w:r>
      <w:bookmarkEnd w:id="1847"/>
    </w:p>
    <w:p>
      <w:pPr>
        <w:pStyle w:val="Normal"/>
        <w:widowControl/>
        <w:rPr/>
      </w:pPr>
      <w:r>
        <w:rPr/>
        <w:t>1. Public authorities may, subject to appropriations and procurement law, use multi-year contracts, framework agreements, option quantities, advance purchase commitments, supplier qualification, or other lawful demand signals to support commercially sustainable North American industrial capacity.</w:t>
      </w:r>
    </w:p>
    <w:p>
      <w:pPr>
        <w:pStyle w:val="Normal"/>
        <w:widowControl/>
        <w:rPr/>
      </w:pPr>
      <w:r>
        <w:rPr/>
        <w:t>2. Private suppliers remain responsible for commercial and technical performance. This Agreement does not guarantee a minimum profit, supplier award, or government purchase volume unless expressly provided in a lawful contract.</w:t>
      </w:r>
    </w:p>
    <w:p>
      <w:bookmarkStart w:id="1848" w:name="_NAESTMA_TOC_1848"/>
      <w:pPr>
        <w:pStyle w:val="Heading2"/>
        <w:keepNext/>
        <w:widowControl/>
        <w:rPr/>
      </w:pPr>
      <w:r>
        <w:rPr/>
        <w:t>Article 61.4: Reciprocal Supplier Qualification and Procurement Access</w:t>
      </w:r>
      <w:bookmarkEnd w:id="1848"/>
    </w:p>
    <w:p>
      <w:pPr>
        <w:pStyle w:val="Normal"/>
        <w:widowControl/>
        <w:rPr/>
      </w:pPr>
      <w:r>
        <w:rPr/>
        <w:t>1. The Parties shall seek to reduce unnecessary duplicative qualification of trusted Canadian, Mexican, and United States suppliers for covered industrial inputs, components, testing, maintenance, and manufacturing services.</w:t>
      </w:r>
    </w:p>
    <w:p>
      <w:pPr>
        <w:pStyle w:val="Normal"/>
        <w:widowControl/>
        <w:rPr/>
      </w:pPr>
      <w:r>
        <w:rPr/>
        <w:t>2. Where security classification, export-control, ownership, cybersecurity, or facility-clearance rules require different treatment, the responsible authority shall use objective criteria connected to the identified risk and, where practicable, provide a pathway to qualification rather than categorical exclusion based solely on nationality within North America.</w:t>
      </w:r>
    </w:p>
    <w:p>
      <w:pPr>
        <w:pStyle w:val="Normal"/>
        <w:widowControl/>
        <w:rPr/>
      </w:pPr>
      <w:r>
        <w:rPr/>
        <w:t>3. Article 49.7 applies to covered procurement where designated by the Parties.</w:t>
      </w:r>
    </w:p>
    <w:p>
      <w:bookmarkStart w:id="1849" w:name="_NAESTMA_TOC_1849"/>
      <w:pPr>
        <w:pStyle w:val="Heading2"/>
        <w:keepNext/>
        <w:widowControl/>
        <w:rPr/>
      </w:pPr>
      <w:r>
        <w:rPr/>
        <w:t>Article 61.5: North American Defense-Industrial Materials Reserve</w:t>
      </w:r>
      <w:bookmarkEnd w:id="1849"/>
    </w:p>
    <w:p>
      <w:pPr>
        <w:pStyle w:val="Normal"/>
        <w:widowControl/>
        <w:rPr/>
      </w:pPr>
      <w:r>
        <w:rPr/>
        <w:t>1. The Parties may coordinate national or contractual reserves of selected difficult-to-replace materials and components through rotating inventories, vendor-managed stocks, strategic purchase options, or other mechanisms that limit obsolescence and unnecessary carrying cost. Any binding quantity, contribution, release commitment, or funding obligation must appear in an expressly accepted implementation schedule or lawful contract and remains subject to domestic authorization and appropriations.</w:t>
      </w:r>
    </w:p>
    <w:p>
      <w:pPr>
        <w:pStyle w:val="Normal"/>
        <w:widowControl/>
        <w:rPr/>
      </w:pPr>
      <w:r>
        <w:rPr/>
        <w:t>2. Reserve coordination shall identify ownership, release authority, replenishment, compensation, auditing, shelf-life or obsolescence risk, and civilian-priority safeguards. No Party acquires ownership of another Party's reserve merely through participation in this Chapter.</w:t>
      </w:r>
    </w:p>
    <w:p>
      <w:bookmarkStart w:id="1850" w:name="_NAESTMA_TOC_1850"/>
      <w:pPr>
        <w:pStyle w:val="Heading2"/>
        <w:keepNext/>
        <w:widowControl/>
        <w:rPr/>
      </w:pPr>
      <w:r>
        <w:rPr/>
        <w:t>Article 61.6: Surge Capacity and Industrial Mobilization</w:t>
      </w:r>
      <w:bookmarkEnd w:id="1850"/>
    </w:p>
    <w:p>
      <w:pPr>
        <w:pStyle w:val="Normal"/>
        <w:widowControl/>
        <w:rPr/>
      </w:pPr>
      <w:r>
        <w:rPr/>
        <w:t>1. The Parties may map idle, expandable, convertible, or second-shift industrial capacity and establish voluntary pre-qualification for rapid expansion during a verified emergency.</w:t>
      </w:r>
    </w:p>
    <w:p>
      <w:pPr>
        <w:pStyle w:val="Normal"/>
        <w:widowControl/>
        <w:rPr/>
      </w:pPr>
      <w:r>
        <w:rPr/>
        <w:t>2. A surge commitment is satisfied according to the best-achievable verified capacity and applicable contract or schedule; it is not an absolute guarantee that a fixed quantity will materialize despite force majeure, labour disruption, equipment failure, unavailable feedstock, permitting constraints, or other conditions beyond reasonable control.</w:t>
      </w:r>
    </w:p>
    <w:p>
      <w:pPr>
        <w:pStyle w:val="Normal"/>
        <w:widowControl/>
        <w:rPr/>
      </w:pPr>
      <w:r>
        <w:rPr/>
        <w:t>3. Surge planning may include tooling, workforce, maintenance, testing, logistics, supplier second-sourcing, recycling, and alternative-material qualification.</w:t>
      </w:r>
    </w:p>
    <w:p>
      <w:bookmarkStart w:id="1851" w:name="_NAESTMA_TOC_1851"/>
      <w:pPr>
        <w:pStyle w:val="Heading2"/>
        <w:keepNext/>
        <w:widowControl/>
        <w:rPr/>
      </w:pPr>
      <w:r>
        <w:rPr/>
        <w:t>Article 61.7: Civilian Priority Firewall</w:t>
      </w:r>
      <w:bookmarkEnd w:id="1851"/>
    </w:p>
    <w:p>
      <w:pPr>
        <w:pStyle w:val="Normal"/>
        <w:widowControl/>
        <w:rPr/>
      </w:pPr>
      <w:r>
        <w:rPr/>
        <w:t>1. Defense-industrial surge measures shall be designed to avoid unnecessary deprivation of materials essential to electricity systems, water and wastewater, hospitals and health supply, food production, transportation, telecommunications, emergency response, housing, and other critical civilian functions.</w:t>
      </w:r>
    </w:p>
    <w:p>
      <w:pPr>
        <w:pStyle w:val="Normal"/>
        <w:widowControl/>
        <w:rPr/>
      </w:pPr>
      <w:r>
        <w:rPr/>
        <w:t>2. Where a verified shortage creates direct competition between covered defense-industrial and essential civilian demand, the Parties shall consult rapidly on substitution, inventory release, alternative sourcing, sequencing, and the narrowest practicable allocation response.</w:t>
      </w:r>
    </w:p>
    <w:p>
      <w:pPr>
        <w:pStyle w:val="Normal"/>
        <w:widowControl/>
        <w:rPr/>
      </w:pPr>
      <w:r>
        <w:rPr/>
        <w:t>3. Nothing in this Article overrides a Party's lawful emergency authority, but use of that authority remains subject to applicable notice, proportionality, and Cothrom disciplines.</w:t>
      </w:r>
    </w:p>
    <w:p>
      <w:bookmarkStart w:id="1852" w:name="_NAESTMA_TOC_1852"/>
      <w:pPr>
        <w:pStyle w:val="Heading2"/>
        <w:keepNext/>
        <w:widowControl/>
        <w:rPr/>
      </w:pPr>
      <w:r>
        <w:rPr/>
        <w:t>Article 61.8: Recycling, Recovery, and Circular Strategic Materials</w:t>
      </w:r>
      <w:bookmarkEnd w:id="1852"/>
    </w:p>
    <w:p>
      <w:pPr>
        <w:pStyle w:val="Normal"/>
        <w:widowControl/>
        <w:rPr/>
      </w:pPr>
      <w:r>
        <w:rPr/>
        <w:t>1. Qualifying recovery and recycling of copper, aluminum, nickel, cobalt, antimony, tungsten, specialty alloys, electronics, batteries, and other designated strategic materials may count toward resilience and reserve objectives where quality and traceability requirements are satisfied.</w:t>
      </w:r>
    </w:p>
    <w:p>
      <w:pPr>
        <w:pStyle w:val="Normal"/>
        <w:widowControl/>
        <w:rPr/>
      </w:pPr>
      <w:r>
        <w:rPr/>
        <w:t>2. The Parties shall encourage recovery of strategic byproducts and scrap where economically and environmentally justified and shall avoid rules that unnecessarily force recyclable North American material out of continental supply chains.</w:t>
      </w:r>
    </w:p>
    <w:p>
      <w:bookmarkStart w:id="1853" w:name="_NAESTMA_TOC_1853"/>
      <w:pPr>
        <w:pStyle w:val="Heading2"/>
        <w:keepNext/>
        <w:widowControl/>
        <w:rPr/>
      </w:pPr>
      <w:r>
        <w:rPr/>
        <w:t>Article 61.9: Workforce and Facility Resilience</w:t>
      </w:r>
      <w:bookmarkEnd w:id="1853"/>
    </w:p>
    <w:p>
      <w:pPr>
        <w:pStyle w:val="Normal"/>
        <w:widowControl/>
        <w:rPr/>
      </w:pPr>
      <w:r>
        <w:rPr/>
        <w:t>1. Cooperation may include skilled-trades training, metallurgy, machining, quality assurance, maintenance, industrial cybersecurity, process engineering, safety, and lawful specialist mobility.</w:t>
      </w:r>
    </w:p>
    <w:p>
      <w:pPr>
        <w:pStyle w:val="Normal"/>
        <w:widowControl/>
        <w:rPr/>
      </w:pPr>
      <w:r>
        <w:rPr/>
        <w:t>2. Participating facilities should maintain proportionate all-hazards continuity plans covering power, water, cyber incident, fire, flood, severe weather, transportation interruption, critical-equipment failure, and supplier disruption.</w:t>
      </w:r>
    </w:p>
    <w:p>
      <w:bookmarkStart w:id="1854" w:name="_NAESTMA_TOC_1854"/>
      <w:pPr>
        <w:pStyle w:val="Heading2"/>
        <w:keepNext/>
        <w:widowControl/>
        <w:rPr/>
      </w:pPr>
      <w:r>
        <w:rPr/>
        <w:t>Article 61.10: Cothrom Review and No Cross-Sector Punishment</w:t>
      </w:r>
      <w:bookmarkEnd w:id="1854"/>
    </w:p>
    <w:p>
      <w:pPr>
        <w:pStyle w:val="Normal"/>
        <w:widowControl/>
        <w:rPr/>
      </w:pPr>
      <w:r>
        <w:rPr/>
        <w:t>1. A dispute under this Chapter shall identify the specific material, contract, qualification, reserve, or capacity obligation alleged to have failed. The reviewing authority shall distinguish commercial non-performance, force majeure, technical failure, and deliberate treaty non-compliance.</w:t>
      </w:r>
    </w:p>
    <w:p>
      <w:pPr>
        <w:pStyle w:val="Normal"/>
        <w:widowControl/>
        <w:rPr/>
      </w:pPr>
      <w:r>
        <w:rPr/>
        <w:t>2. Corrective action shall be confined to the affected industrial benefit or procurement privilege unless a broader response is independently justified under another Chapter. Unrelated civilian trade shall not be suspended merely because a defense-industrial project or supplier failed.</w:t>
      </w:r>
    </w:p>
    <w:p>
      <w:pPr>
        <w:pStyle w:val="Normal"/>
        <w:widowControl/>
        <w:rPr/>
      </w:pPr>
      <w:r>
        <w:rPr/>
        <w:t>3. Earn-back and restoration shall be available after verified cure.</w:t>
      </w:r>
    </w:p>
    <w:p>
      <w:bookmarkStart w:id="1855" w:name="_NAESTMA_TOC_1855"/>
      <w:pPr>
        <w:pStyle w:val="Heading2"/>
        <w:keepNext/>
        <w:widowControl/>
        <w:rPr/>
      </w:pPr>
      <w:r>
        <w:rPr/>
        <w:t>IMPLEMENTATION INSTRUMENT I-1: DAY-ONE / DAY-30 / DAY-90 / YEAR-ONE ROADMAP</w:t>
      </w:r>
      <w:bookmarkEnd w:id="1855"/>
    </w:p>
    <w:p>
      <w:pPr>
        <w:pStyle w:val="Normal"/>
        <w:widowControl/>
        <w:rPr/>
      </w:pPr>
      <w:r>
        <w:rPr/>
        <w:t>1. Day One — Legal Continuity and De-Escalation. The Parties shall: (a) give effect to the applicable Annex 35-D legacy-measure wind-down or expressly selected Annex 35-D.1 landing option; (b) terminate covered retaliatory tariffs as provided by Annex 35-D; (c) preserve ordinary CUSMA preferential treatment pending any expressly adopted transition schedule; (d) issue coordinated public notices confirming that modernization review does not suspend the Agreement; and (e) designate responsible officials for customs, procurement, alcohol, automotive, minerals, forestry, digital, and emergency implementation.</w:t>
      </w:r>
    </w:p>
    <w:p>
      <w:pPr>
        <w:pStyle w:val="Normal"/>
        <w:widowControl/>
        <w:rPr/>
      </w:pPr>
      <w:r>
        <w:rPr/>
        <w:t>2. Day One — Customs Instructions. CBSA, U.S. CBP, and the competent Mexican customs authorities shall issue or prepare coordinated operational instructions identifying the legal treatment of goods entered before, on, and after the effective date; goods in transit; refunds or reconciliation where applicable; origin documentation; and points of contact for urgent classification or implementation questions.</w:t>
      </w:r>
    </w:p>
    <w:p>
      <w:pPr>
        <w:pStyle w:val="Normal"/>
        <w:widowControl/>
        <w:rPr/>
      </w:pPr>
      <w:r>
        <w:rPr/>
        <w:t>3. By Day 30 — Registers and Guidance. The Parties shall publish the first implementation register identifying provisions that are immediately operative, provisions subject to a transition schedule, responsible bodies, required domestic actions, and unresolved technical dependencies. Initial guidance shall cover extraordinary tariffs, automotive origin, steel and aluminum provenance, beverage-alcohol access, strategic procurement, critical minerals, and forestry.</w:t>
      </w:r>
    </w:p>
    <w:p>
      <w:pPr>
        <w:pStyle w:val="Normal"/>
        <w:widowControl/>
        <w:rPr/>
      </w:pPr>
      <w:r>
        <w:rPr/>
        <w:t>4. By Day 30 — No-Surprises Discipline. No Party shall materially narrow an agreed interim market-access treatment without the notice, evidence, and review required by Chapters 31 and 35. Technical drafting or legal scrubbing shall not by itself suspend an agreed commercial benefit.</w:t>
      </w:r>
    </w:p>
    <w:p>
      <w:pPr>
        <w:pStyle w:val="Normal"/>
        <w:widowControl/>
        <w:rPr/>
      </w:pPr>
      <w:r>
        <w:rPr/>
        <w:t>5. By Day 90 — Operational Review. The Commission shall conduct a trilateral implementation review addressing customs consistency, tariff normalization, procurement designation, alcohol access, automotive transition, minerals and semiconductor work programs, forestry integration, labour implementation, and any cross-chapter conflict identified by an implementing authority.</w:t>
      </w:r>
    </w:p>
    <w:p>
      <w:pPr>
        <w:pStyle w:val="Normal"/>
        <w:widowControl/>
        <w:rPr/>
      </w:pPr>
      <w:r>
        <w:rPr/>
        <w:t>6. By Day 90 — Cure Before Escalation. A technical defect, coding inconsistency, missed administrative deadline, or implementation ambiguity shall ordinarily receive a defined cure period before a cross-border commercial consequence is imposed, unless immediate action is necessary for health, safety, security, fraud prevention, or preservation of evidence.</w:t>
      </w:r>
    </w:p>
    <w:p>
      <w:pPr>
        <w:pStyle w:val="Normal"/>
        <w:widowControl/>
        <w:rPr/>
      </w:pPr>
      <w:r>
        <w:rPr/>
        <w:t>7. Year One — Performance and Consolidation Review. The Commission shall publish a non-confidential report on implementation performance, including tariff normalization achieved, customs friction, utilization of new market-access pathways, investment and supply-chain outcomes, SME participation, dispute frequency, and unresolved modernization items. The review is for improvement and does not reopen the Agreement's continued legal force.</w:t>
      </w:r>
    </w:p>
    <w:p>
      <w:pPr>
        <w:pStyle w:val="Normal"/>
        <w:widowControl/>
        <w:rPr/>
      </w:pPr>
      <w:r>
        <w:rPr/>
        <w:t>8. Goods in Transit and Reliance. A good exported, loaded, entered into a binding transportation contract, or otherwise committed to shipment in reasonable reliance on the treatment in force immediately before a change shall receive the transition treatment specified by the applicable customs notice. The Parties shall avoid retroactive collection arising solely from delayed administrative implementation.</w:t>
      </w:r>
    </w:p>
    <w:p>
      <w:pPr>
        <w:pStyle w:val="Normal"/>
        <w:widowControl/>
        <w:rPr/>
      </w:pPr>
      <w:r>
        <w:rPr/>
        <w:t>9. Linguistic and Legal Scrub. Clerical, linguistic, citation, numbering, cross-reference, and concordance corrections identified during legal scrubbing may be adopted through the applicable technical correction procedure where they do not alter negotiated substantive rights or obligations.</w:t>
      </w:r>
      <w:r>
        <w:br w:type="page"/>
      </w:r>
    </w:p>
    <w:p>
      <w:bookmarkStart w:id="1856" w:name="_NAESTMA_TOC_1856"/>
      <w:pPr>
        <w:pStyle w:val="Heading1"/>
        <w:keepNext/>
        <w:keepLines w:val="0"/>
        <w:pageBreakBefore/>
        <w:widowControl/>
        <w:rPr/>
      </w:pPr>
      <w:r>
        <w:rPr/>
        <w:t>CHAPTER 62</w:t>
      </w:r>
      <w:bookmarkEnd w:id="1856"/>
    </w:p>
    <w:p>
      <w:bookmarkStart w:id="1857" w:name="_NAESTMA_TOC_1857"/>
      <w:pPr>
        <w:pStyle w:val="Heading2"/>
        <w:keepNext/>
        <w:pageBreakBefore w:val="false"/>
        <w:widowControl/>
        <w:rPr/>
      </w:pPr>
      <w:r>
        <w:rPr/>
        <w:t>NORTH AMERICAN DISASTER RESILIENCE, MUTUAL ASSISTANCE, AND ECONOMIC CONTINUITY</w:t>
      </w:r>
      <w:bookmarkEnd w:id="1857"/>
    </w:p>
    <w:p>
      <w:bookmarkStart w:id="1858" w:name="_NAESTMA_TOC_1858"/>
      <w:pPr>
        <w:pStyle w:val="Heading2"/>
        <w:keepNext/>
        <w:widowControl/>
        <w:rPr/>
      </w:pPr>
      <w:r>
        <w:rPr/>
        <w:t>Article 62.1: Purpose and Scope</w:t>
      </w:r>
      <w:bookmarkEnd w:id="1858"/>
    </w:p>
    <w:p>
      <w:pPr>
        <w:pStyle w:val="Normal"/>
        <w:widowControl/>
        <w:rPr/>
      </w:pPr>
      <w:r>
        <w:rPr/>
        <w:t>1. The Parties establish a civilian-led framework to reduce the economic and humanitarian consequences of natural disasters, public-health emergencies, industrial accidents, infrastructure failures, severe weather, wildfire, earthquakes, floods, hurricanes, drought, and other qualifying disruptions.</w:t>
      </w:r>
    </w:p>
    <w:p>
      <w:pPr>
        <w:pStyle w:val="Normal"/>
        <w:widowControl/>
        <w:rPr/>
      </w:pPr>
      <w:r>
        <w:rPr/>
        <w:t>2. This Chapter coordinates trade, logistics, mutual assistance, infrastructure restoration, industrial surge, and recovery. It does not create a supranational emergency authority, compel deployment of personnel, or displace domestic command structures.</w:t>
      </w:r>
    </w:p>
    <w:p>
      <w:bookmarkStart w:id="1859" w:name="_NAESTMA_TOC_1859"/>
      <w:pPr>
        <w:pStyle w:val="Heading2"/>
        <w:keepNext/>
        <w:widowControl/>
        <w:rPr/>
      </w:pPr>
      <w:r>
        <w:rPr/>
        <w:t>Article 62.2: North American Emergency Mutual Assistance Compact</w:t>
      </w:r>
      <w:bookmarkEnd w:id="1859"/>
    </w:p>
    <w:p>
      <w:pPr>
        <w:pStyle w:val="Normal"/>
        <w:widowControl/>
        <w:rPr/>
      </w:pPr>
      <w:r>
        <w:rPr/>
        <w:t>1. The Parties shall maintain interoperable procedures for requesting, offering, accepting, tracking, and demobilizing cross-border emergency assistance.</w:t>
      </w:r>
    </w:p>
    <w:p>
      <w:pPr>
        <w:pStyle w:val="Normal"/>
        <w:widowControl/>
        <w:rPr/>
      </w:pPr>
      <w:r>
        <w:rPr/>
        <w:t>2. Procedures shall identify competent authorities, request formats, mission scope, command relationships, cost responsibility, liability treatment, credential verification, customs treatment, and rules for return or disposition of equipment.</w:t>
      </w:r>
    </w:p>
    <w:p>
      <w:pPr>
        <w:pStyle w:val="Normal"/>
        <w:widowControl/>
        <w:rPr/>
      </w:pPr>
      <w:r>
        <w:rPr/>
        <w:t>3. Assistance remains voluntary unless a separate binding arrangement provides otherwise. The receiving jurisdiction retains operational command consistent with domestic law.</w:t>
      </w:r>
    </w:p>
    <w:p>
      <w:bookmarkStart w:id="1860" w:name="_NAESTMA_TOC_1860"/>
      <w:pPr>
        <w:pStyle w:val="Heading2"/>
        <w:keepNext/>
        <w:widowControl/>
        <w:rPr/>
      </w:pPr>
      <w:r>
        <w:rPr/>
        <w:t>Article 62.3: Responder Credentials and Good-Faith Assistance</w:t>
      </w:r>
      <w:bookmarkEnd w:id="1860"/>
    </w:p>
    <w:p>
      <w:pPr>
        <w:pStyle w:val="Normal"/>
        <w:widowControl/>
        <w:rPr/>
      </w:pPr>
      <w:r>
        <w:rPr/>
        <w:t>1. The Parties shall develop expedited recognition or temporary authorization pathways for firefighters, emergency medical personnel, engineers, utility restoration crews, search-and-rescue specialists, and other designated responders whose credentials can be reliably verified.</w:t>
      </w:r>
    </w:p>
    <w:p>
      <w:pPr>
        <w:pStyle w:val="Normal"/>
        <w:widowControl/>
        <w:rPr/>
      </w:pPr>
      <w:r>
        <w:rPr/>
        <w:t>2. Domestic professional, safety, labour, immigration, and licensing law remains applicable, but emergency procedures should avoid duplicative licensing where an equivalent credential and mission-specific supervision provide adequate assurance.</w:t>
      </w:r>
    </w:p>
    <w:p>
      <w:pPr>
        <w:pStyle w:val="Normal"/>
        <w:widowControl/>
        <w:rPr/>
      </w:pPr>
      <w:r>
        <w:rPr/>
        <w:t>3. The Parties shall seek appropriate good-faith liability protections for authorized responders consistent with domestic law and shall publish the applicable protections before deployment where practicable.</w:t>
      </w:r>
    </w:p>
    <w:p>
      <w:bookmarkStart w:id="1861" w:name="_NAESTMA_TOC_1861"/>
      <w:pPr>
        <w:pStyle w:val="Heading2"/>
        <w:keepNext/>
        <w:widowControl/>
        <w:rPr/>
      </w:pPr>
      <w:r>
        <w:rPr/>
        <w:t>Article 62.4: Disaster Lanes and Emergency Border Processing</w:t>
      </w:r>
      <w:bookmarkEnd w:id="1861"/>
    </w:p>
    <w:p>
      <w:pPr>
        <w:pStyle w:val="Normal"/>
        <w:widowControl/>
        <w:rPr/>
      </w:pPr>
      <w:r>
        <w:rPr/>
        <w:t>1. During a qualifying emergency, customs and border authorities may activate Disaster Lanes for accredited responders, relief goods, power-restoration equipment, emergency communications, temporary shelter, water systems, food, medical goods, wildfire equipment, and other designated response resources.</w:t>
      </w:r>
    </w:p>
    <w:p>
      <w:pPr>
        <w:pStyle w:val="Normal"/>
        <w:widowControl/>
        <w:rPr/>
      </w:pPr>
      <w:r>
        <w:rPr/>
        <w:t>2. Disaster Lanes may use pre-arrival manifests, consolidated documentation, pre-clearance, priority inspection, extended operating hours, temporary admission, and coordinated inspection while preserving safety, security, sanitary, origin, sanctions, and anti-diversion controls.</w:t>
      </w:r>
    </w:p>
    <w:p>
      <w:pPr>
        <w:pStyle w:val="Normal"/>
        <w:widowControl/>
        <w:rPr/>
      </w:pPr>
      <w:r>
        <w:rPr/>
        <w:t>3. This Article supplements Articles 38.3, 38.9, and 55.3. Where provisions overlap, authorities shall use the procedure that provides the fastest lawful movement without lowering the applicable substantive standard.</w:t>
      </w:r>
    </w:p>
    <w:p>
      <w:bookmarkStart w:id="1862" w:name="_NAESTMA_TOC_1862"/>
      <w:pPr>
        <w:pStyle w:val="Heading2"/>
        <w:keepNext/>
        <w:widowControl/>
        <w:rPr/>
      </w:pPr>
      <w:r>
        <w:rPr/>
        <w:t>Article 62.5: Emergency Call-Off Contracts and Supplier Surge Network</w:t>
      </w:r>
      <w:bookmarkEnd w:id="1862"/>
    </w:p>
    <w:p>
      <w:pPr>
        <w:pStyle w:val="Normal"/>
        <w:widowControl/>
        <w:rPr/>
      </w:pPr>
      <w:r>
        <w:rPr/>
        <w:t>1. The Parties may maintain pre-negotiated or pre-qualified call-off arrangements with private suppliers for emergency goods, transport, warehousing, temporary infrastructure, repair services, communications, and other response needs.</w:t>
      </w:r>
    </w:p>
    <w:p>
      <w:pPr>
        <w:pStyle w:val="Normal"/>
        <w:widowControl/>
        <w:rPr/>
      </w:pPr>
      <w:r>
        <w:rPr/>
        <w:t>2. A call-off arrangement shall state price or pricing method, capacity assumptions, activation authority, delivery priorities, duration, and anti-gouging or integrity safeguards where applicable.</w:t>
      </w:r>
    </w:p>
    <w:p>
      <w:pPr>
        <w:pStyle w:val="Normal"/>
        <w:widowControl/>
        <w:rPr/>
      </w:pPr>
      <w:r>
        <w:rPr/>
        <w:t>3. Participation does not guarantee a purchase. Governments should preserve competitive entry for additional suppliers when time and circumstances permit.</w:t>
      </w:r>
    </w:p>
    <w:p>
      <w:bookmarkStart w:id="1863" w:name="_NAESTMA_TOC_1863"/>
      <w:pPr>
        <w:pStyle w:val="Heading2"/>
        <w:keepNext/>
        <w:widowControl/>
        <w:rPr/>
      </w:pPr>
      <w:r>
        <w:rPr/>
        <w:t>Article 62.6: Power Restoration and Critical Infrastructure Equipment Coordination</w:t>
      </w:r>
      <w:bookmarkEnd w:id="1863"/>
    </w:p>
    <w:p>
      <w:pPr>
        <w:pStyle w:val="Normal"/>
        <w:widowControl/>
        <w:rPr/>
      </w:pPr>
      <w:r>
        <w:rPr/>
        <w:t>1. The Parties shall coordinate visibility of, and may voluntarily commit access to, transformers, mobile substations, generators, grid-control equipment, telecommunications restoration equipment, pumps, and qualified repair crews for major infrastructure disruptions. No Party is required to contribute equipment, personnel, funding, or reserve capacity absent a separate accepted commitment.</w:t>
      </w:r>
    </w:p>
    <w:p>
      <w:pPr>
        <w:pStyle w:val="Normal"/>
        <w:widowControl/>
        <w:rPr/>
      </w:pPr>
      <w:r>
        <w:rPr/>
        <w:t>2. Equipment may remain commercially owned and geographically distributed. The framework may use rotating inventories, vendor-managed reserves, mutual-aid pools, or rapid-manufacturing contracts rather than centralized government stockpiles.</w:t>
      </w:r>
    </w:p>
    <w:p>
      <w:pPr>
        <w:pStyle w:val="Normal"/>
        <w:widowControl/>
        <w:rPr/>
      </w:pPr>
      <w:r>
        <w:rPr/>
        <w:t>3. Release decisions shall account for the donor jurisdiction's own emergency needs and shall not create a duty to export equipment required for an active domestic life-safety emergency.</w:t>
      </w:r>
    </w:p>
    <w:p>
      <w:bookmarkStart w:id="1864" w:name="_NAESTMA_TOC_1864"/>
      <w:pPr>
        <w:pStyle w:val="Heading2"/>
        <w:keepNext/>
        <w:widowControl/>
        <w:rPr/>
      </w:pPr>
      <w:r>
        <w:rPr/>
        <w:t>Article 62.7: Wildfire and All-Hazards Equipment Reserve</w:t>
      </w:r>
      <w:bookmarkEnd w:id="1864"/>
    </w:p>
    <w:p>
      <w:pPr>
        <w:pStyle w:val="Normal"/>
        <w:widowControl/>
        <w:rPr/>
      </w:pPr>
      <w:r>
        <w:rPr/>
        <w:t>1. The Parties may coordinate seasonal or rotating reserves of wildfire and all-hazards response equipment, including protective equipment, pumps, hose, mobile communications, ground-support equipment, and other lawful response assets.</w:t>
      </w:r>
    </w:p>
    <w:p>
      <w:pPr>
        <w:pStyle w:val="Normal"/>
        <w:widowControl/>
        <w:rPr/>
      </w:pPr>
      <w:r>
        <w:rPr/>
        <w:t>2. Specialized aircraft, heavy equipment, or other scarce assets may participate through availability contracts or mutual-aid rosters rather than permanent transfer.</w:t>
      </w:r>
    </w:p>
    <w:p>
      <w:pPr>
        <w:pStyle w:val="Normal"/>
        <w:widowControl/>
        <w:rPr/>
      </w:pPr>
      <w:r>
        <w:rPr/>
        <w:t>3. Shared wildfire planning should account for differing seasonal peaks so that idle capacity can assist another Party without degrading domestic readiness.</w:t>
      </w:r>
    </w:p>
    <w:p>
      <w:bookmarkStart w:id="1865" w:name="_NAESTMA_TOC_1865"/>
      <w:pPr>
        <w:pStyle w:val="Heading2"/>
        <w:keepNext/>
        <w:widowControl/>
        <w:rPr/>
      </w:pPr>
      <w:r>
        <w:rPr/>
        <w:t>Article 62.8: Strategic Construction Materials and Modular Recovery Supply</w:t>
      </w:r>
      <w:bookmarkEnd w:id="1865"/>
    </w:p>
    <w:p>
      <w:pPr>
        <w:pStyle w:val="Normal"/>
        <w:widowControl/>
        <w:rPr/>
      </w:pPr>
      <w:r>
        <w:rPr/>
        <w:t>1. The Parties shall facilitate emergency access to originating lumber and engineered wood, steel, aluminum, cementitious materials, glass, electrical equipment, temporary bridges, modular shelter, and other reconstruction inputs.</w:t>
      </w:r>
    </w:p>
    <w:p>
      <w:pPr>
        <w:pStyle w:val="Normal"/>
        <w:widowControl/>
        <w:rPr/>
      </w:pPr>
      <w:r>
        <w:rPr/>
        <w:t>2. Canada, Mexico, and the United States may use Chapter 42 forestry integration, Chapter 49 procurement, and Chapter 55 logistics tools to support rapid reconstruction and modular housing production.</w:t>
      </w:r>
    </w:p>
    <w:p>
      <w:pPr>
        <w:pStyle w:val="Normal"/>
        <w:widowControl/>
        <w:rPr/>
      </w:pPr>
      <w:r>
        <w:rPr/>
        <w:t>3. Emergency treatment shall not become a permanent waiver of building, safety, environmental, or procurement integrity requirements.</w:t>
      </w:r>
    </w:p>
    <w:p>
      <w:bookmarkStart w:id="1866" w:name="_NAESTMA_TOC_1866"/>
      <w:pPr>
        <w:pStyle w:val="Heading2"/>
        <w:keepNext/>
        <w:widowControl/>
        <w:rPr/>
      </w:pPr>
      <w:r>
        <w:rPr/>
        <w:t>Article 62.9: Common Operating Picture and Early Warning Interoperability</w:t>
      </w:r>
      <w:bookmarkEnd w:id="1866"/>
    </w:p>
    <w:p>
      <w:pPr>
        <w:pStyle w:val="Normal"/>
        <w:widowControl/>
        <w:rPr/>
      </w:pPr>
      <w:r>
        <w:rPr/>
        <w:t>1. Competent agencies shall improve interoperability among existing wildfire, weather, flood, drought, earthquake, tsunami, volcanic ash, space-weather, public-health, and infrastructure-warning systems where cross-border consequences are material.</w:t>
      </w:r>
    </w:p>
    <w:p>
      <w:pPr>
        <w:pStyle w:val="Normal"/>
        <w:widowControl/>
        <w:rPr/>
      </w:pPr>
      <w:r>
        <w:rPr/>
        <w:t>2. The Parties should prefer interoperable exchange among existing expert agencies to creation of duplicative centralized systems.</w:t>
      </w:r>
    </w:p>
    <w:p>
      <w:pPr>
        <w:pStyle w:val="Normal"/>
        <w:widowControl/>
        <w:rPr/>
      </w:pPr>
      <w:r>
        <w:rPr/>
        <w:t>3. Shared information shall identify confidence, source, update time, geographic relevance, and material limitations. Automated or AI-assisted forecasts shall not be represented as certain where uncertainty is material.</w:t>
      </w:r>
    </w:p>
    <w:p>
      <w:bookmarkStart w:id="1867" w:name="_NAESTMA_TOC_1867"/>
      <w:pPr>
        <w:pStyle w:val="Heading2"/>
        <w:keepNext/>
        <w:widowControl/>
        <w:rPr/>
      </w:pPr>
      <w:r>
        <w:rPr/>
        <w:t>Article 62.10: Satellite, Mapping, and Damage-Assessment Cooperation</w:t>
      </w:r>
      <w:bookmarkEnd w:id="1867"/>
    </w:p>
    <w:p>
      <w:pPr>
        <w:pStyle w:val="Normal"/>
        <w:widowControl/>
        <w:rPr/>
      </w:pPr>
      <w:r>
        <w:rPr/>
        <w:t>1. Subject to law, licensing, security restrictions, and commercial rights, the Parties may share or coordinate access to satellite imagery, aerial mapping, remote sensing, geospatial data, and damage assessments needed for emergency response and infrastructure recovery.</w:t>
      </w:r>
    </w:p>
    <w:p>
      <w:pPr>
        <w:pStyle w:val="Normal"/>
        <w:widowControl/>
        <w:rPr/>
      </w:pPr>
      <w:r>
        <w:rPr/>
        <w:t>2. Public release of sensitive imagery is not required. Data-sharing arrangements shall protect critical-infrastructure security, personal information, Indigenous or culturally sensitive information, and legitimate commercial confidentiality.</w:t>
      </w:r>
    </w:p>
    <w:p>
      <w:bookmarkStart w:id="1868" w:name="_NAESTMA_TOC_1868"/>
      <w:pPr>
        <w:pStyle w:val="Heading2"/>
        <w:keepNext/>
        <w:widowControl/>
        <w:rPr/>
      </w:pPr>
      <w:r>
        <w:rPr/>
        <w:t>Article 62.11: Joint Exercises and Tabletop Testing</w:t>
      </w:r>
      <w:bookmarkEnd w:id="1868"/>
    </w:p>
    <w:p>
      <w:pPr>
        <w:pStyle w:val="Normal"/>
        <w:widowControl/>
        <w:rPr/>
      </w:pPr>
      <w:r>
        <w:rPr/>
        <w:t>1. The Parties shall periodically conduct or coordinate civilian-led tabletop or operational exercises, subject to domestic resources and authority, testing cross-border requests, customs processing, communications, logistics, power restoration, wildfire assistance, industrial surge, and recovery coordination. Participation in a particular exercise or equipment deployment is voluntary unless separately agreed.</w:t>
      </w:r>
    </w:p>
    <w:p>
      <w:pPr>
        <w:pStyle w:val="Normal"/>
        <w:widowControl/>
        <w:rPr/>
      </w:pPr>
      <w:r>
        <w:rPr/>
        <w:t>2. Exercises may include military logistics, engineering, medical, airlift, or communications capabilities when lawfully requested by civilian authorities, without altering civilian command or creating standing military authority under this Agreement.</w:t>
      </w:r>
    </w:p>
    <w:p>
      <w:pPr>
        <w:pStyle w:val="Normal"/>
        <w:widowControl/>
        <w:rPr/>
      </w:pPr>
      <w:r>
        <w:rPr/>
        <w:t>3. Exercise findings shall feed into the lessons-learned process in Article 62.17.</w:t>
      </w:r>
    </w:p>
    <w:p>
      <w:bookmarkStart w:id="1869" w:name="_NAESTMA_TOC_1869"/>
      <w:pPr>
        <w:pStyle w:val="Heading2"/>
        <w:keepNext/>
        <w:widowControl/>
        <w:rPr/>
      </w:pPr>
      <w:r>
        <w:rPr/>
        <w:t>Article 62.12: Indigenous, Tribal, Remote, and Border Community Resilience</w:t>
      </w:r>
      <w:bookmarkEnd w:id="1869"/>
    </w:p>
    <w:p>
      <w:pPr>
        <w:pStyle w:val="Normal"/>
        <w:widowControl/>
        <w:rPr/>
      </w:pPr>
      <w:r>
        <w:rPr/>
        <w:t>1. Implementation should include meaningful pathways for Indigenous, tribal, remote, northern, rural, and border communities whose geography or infrastructure creates distinctive response constraints.</w:t>
      </w:r>
    </w:p>
    <w:p>
      <w:pPr>
        <w:pStyle w:val="Normal"/>
        <w:widowControl/>
        <w:rPr/>
      </w:pPr>
      <w:r>
        <w:rPr/>
        <w:t>2. Cooperation may include community-led wildfire knowledge, evacuation planning, communications redundancy, emergency energy, local supply caches, and cross-border continuity where communities or traditional territories span a boundary.</w:t>
      </w:r>
    </w:p>
    <w:p>
      <w:pPr>
        <w:pStyle w:val="Normal"/>
        <w:widowControl/>
        <w:rPr/>
      </w:pPr>
      <w:r>
        <w:rPr/>
        <w:t>3. Nothing in this Article alters treaty, constitutional, Indigenous, tribal, land, or jurisdictional rights under domestic law.</w:t>
      </w:r>
    </w:p>
    <w:p>
      <w:bookmarkStart w:id="1870" w:name="_NAESTMA_TOC_1870"/>
      <w:pPr>
        <w:pStyle w:val="Heading2"/>
        <w:keepNext/>
        <w:widowControl/>
        <w:rPr/>
      </w:pPr>
      <w:r>
        <w:rPr/>
        <w:t>Article 62.13: Agricultural, Food, and Animal-Health Emergency Logistics</w:t>
      </w:r>
      <w:bookmarkEnd w:id="1870"/>
    </w:p>
    <w:p>
      <w:pPr>
        <w:pStyle w:val="Normal"/>
        <w:widowControl/>
        <w:rPr/>
      </w:pPr>
      <w:r>
        <w:rPr/>
        <w:t>1. The Parties shall maintain contingency procedures for movement of emergency food, feed, veterinary supplies, livestock-related equipment, agricultural inputs, and other essential agri-food goods during qualifying disruptions.</w:t>
      </w:r>
    </w:p>
    <w:p>
      <w:pPr>
        <w:pStyle w:val="Normal"/>
        <w:widowControl/>
        <w:rPr/>
      </w:pPr>
      <w:r>
        <w:rPr/>
        <w:t>2. Sanitary, phytosanitary, animal-health, and food-safety controls remain in force. Authorities should use risk-based routing, compartmentalization, electronic certification, and other tools to preserve safe trade where a blanket closure is unnecessary.</w:t>
      </w:r>
    </w:p>
    <w:p>
      <w:bookmarkStart w:id="1871" w:name="_NAESTMA_TOC_1871"/>
      <w:pPr>
        <w:pStyle w:val="Heading2"/>
        <w:keepNext/>
        <w:widowControl/>
        <w:rPr/>
      </w:pPr>
      <w:r>
        <w:rPr/>
        <w:t>Article 62.14: Resilience Finance and Catastrophe-Risk Tools</w:t>
      </w:r>
      <w:bookmarkEnd w:id="1871"/>
    </w:p>
    <w:p>
      <w:pPr>
        <w:pStyle w:val="Normal"/>
        <w:widowControl/>
        <w:rPr/>
      </w:pPr>
      <w:r>
        <w:rPr/>
        <w:t>1. The Parties may facilitate catastrophe bonds, resilience bonds, insurance, reinsurance, public-private financing, business-continuity finance, and other lawful instruments that mobilize private capital for mitigation and recovery.</w:t>
      </w:r>
    </w:p>
    <w:p>
      <w:pPr>
        <w:pStyle w:val="Normal"/>
        <w:widowControl/>
        <w:rPr/>
      </w:pPr>
      <w:r>
        <w:rPr/>
        <w:t>2. Joint or coordinated instruments shall define risk allocation and shall not create an unlimited fiscal guarantee by another Party.</w:t>
      </w:r>
    </w:p>
    <w:p>
      <w:pPr>
        <w:pStyle w:val="Normal"/>
        <w:widowControl/>
        <w:rPr/>
      </w:pPr>
      <w:r>
        <w:rPr/>
        <w:t>3. Projects financed under this Article should disclose measurable resilience outcomes appropriate to the asset, such as reduced outage time, alternate routing, flood protection, fire resistance, or restoration capacity.</w:t>
      </w:r>
    </w:p>
    <w:p>
      <w:bookmarkStart w:id="1872" w:name="_NAESTMA_TOC_1872"/>
      <w:pPr>
        <w:pStyle w:val="Heading2"/>
        <w:keepNext/>
        <w:widowControl/>
        <w:rPr/>
      </w:pPr>
      <w:r>
        <w:rPr/>
        <w:t>Article 62.15: Disaster Innovation and Rapid Qualification Pathway</w:t>
      </w:r>
      <w:bookmarkEnd w:id="1872"/>
    </w:p>
    <w:p>
      <w:pPr>
        <w:pStyle w:val="Normal"/>
        <w:widowControl/>
        <w:rPr/>
      </w:pPr>
      <w:r>
        <w:rPr/>
        <w:t>1. The Parties may use the Experimental Technology Pathway and shared testing facilities to evaluate new emergency technologies, including communications, sensors, robotics, additive manufacturing, remote sensing, logistics software, and other tools without prescribing a particular technology.</w:t>
      </w:r>
    </w:p>
    <w:p>
      <w:pPr>
        <w:pStyle w:val="Normal"/>
        <w:widowControl/>
        <w:rPr/>
      </w:pPr>
      <w:r>
        <w:rPr/>
        <w:t>2. A successful pilot may qualify for expedited procurement or mutual-aid consideration but does not receive an automatic purchase commitment.</w:t>
      </w:r>
    </w:p>
    <w:p>
      <w:bookmarkStart w:id="1873" w:name="_NAESTMA_TOC_1873"/>
      <w:pPr>
        <w:pStyle w:val="Heading2"/>
        <w:keepNext/>
        <w:widowControl/>
        <w:rPr/>
      </w:pPr>
      <w:r>
        <w:rPr/>
        <w:t>Article 62.16: Recovery, Reconstruction, and Local Economic Continuity</w:t>
      </w:r>
      <w:bookmarkEnd w:id="1873"/>
    </w:p>
    <w:p>
      <w:pPr>
        <w:pStyle w:val="Normal"/>
        <w:widowControl/>
        <w:rPr/>
      </w:pPr>
      <w:r>
        <w:rPr/>
        <w:t>1. Recovery programs should seek rapid restoration of lawful commerce, SMEs, transportation, energy, communications, housing, public services, and critical supply chains while allowing communities to rebuild to more resilient standards under domestic law.</w:t>
      </w:r>
    </w:p>
    <w:p>
      <w:pPr>
        <w:pStyle w:val="Normal"/>
        <w:widowControl/>
        <w:rPr/>
      </w:pPr>
      <w:r>
        <w:rPr/>
        <w:t>2. The Parties may coordinate supplier matching, temporary customs treatment, reconstruction procurement, workforce mobility, and brownfield or infrastructure reuse where cross-border cooperation materially accelerates recovery.</w:t>
      </w:r>
    </w:p>
    <w:p>
      <w:bookmarkStart w:id="1874" w:name="_NAESTMA_TOC_1874"/>
      <w:pPr>
        <w:pStyle w:val="Heading2"/>
        <w:keepNext/>
        <w:widowControl/>
        <w:rPr/>
      </w:pPr>
      <w:r>
        <w:rPr/>
        <w:t>Article 62.17: After-Action Review and No-Fault Learning</w:t>
      </w:r>
      <w:bookmarkEnd w:id="1874"/>
    </w:p>
    <w:p>
      <w:pPr>
        <w:pStyle w:val="Normal"/>
        <w:widowControl/>
        <w:rPr/>
      </w:pPr>
      <w:r>
        <w:rPr/>
        <w:t>1. Following a major joint activation, participating authorities shall prepare a non-confidential after-action assessment identifying material successes, bottlenecks, legal conflicts, data failures, procurement problems, and recommended corrections.</w:t>
      </w:r>
    </w:p>
    <w:p>
      <w:pPr>
        <w:pStyle w:val="Normal"/>
        <w:widowControl/>
        <w:rPr/>
      </w:pPr>
      <w:r>
        <w:rPr/>
        <w:t>2. Good-faith identification of an operational failure for learning purposes shall not by itself establish treaty liability. Evidence of fraud, corruption, discrimination, or deliberate non-compliance remains actionable under applicable law.</w:t>
      </w:r>
    </w:p>
    <w:p>
      <w:pPr>
        <w:pStyle w:val="Normal"/>
        <w:widowControl/>
        <w:rPr/>
      </w:pPr>
      <w:r>
        <w:rPr/>
        <w:t>3. Repeated lessons shall be incorporated into protocols, exercises, procurement specifications, stockpile planning, and implementation guidance.</w:t>
      </w:r>
    </w:p>
    <w:p>
      <w:bookmarkStart w:id="1875" w:name="_NAESTMA_TOC_1875"/>
      <w:pPr>
        <w:pStyle w:val="Heading2"/>
        <w:keepNext/>
        <w:widowControl/>
        <w:rPr/>
      </w:pPr>
      <w:r>
        <w:rPr/>
        <w:t>Article 62.18: Relationship to Other Chapters and Cothrom Review</w:t>
      </w:r>
      <w:bookmarkEnd w:id="1875"/>
    </w:p>
    <w:p>
      <w:pPr>
        <w:pStyle w:val="Normal"/>
        <w:widowControl/>
        <w:rPr/>
      </w:pPr>
      <w:r>
        <w:rPr/>
        <w:t>1. Chapters 7, 19, 23, 31, 35, 36, 38, 42, 49, 55, and 61 remain applicable. This Chapter coordinates their emergency use and does not create authority to suspend unrelated treaty rights.</w:t>
      </w:r>
    </w:p>
    <w:p>
      <w:pPr>
        <w:pStyle w:val="Normal"/>
        <w:widowControl/>
        <w:rPr/>
      </w:pPr>
      <w:r>
        <w:rPr/>
        <w:t>2. A dispute over emergency assistance should first receive rapid technical consultation and cure. Retaliation against unrelated sectors is disfavored and any remedy shall satisfy the Narrowest-Sufficient-Remedy Rule.</w:t>
      </w:r>
    </w:p>
    <w:p>
      <w:bookmarkStart w:id="1876" w:name="_NAESTMA_TOC_1876"/>
      <w:pPr>
        <w:pStyle w:val="Heading2"/>
        <w:keepNext/>
        <w:widowControl/>
        <w:rPr/>
      </w:pPr>
      <w:r>
        <w:rPr/>
        <w:t>ANNEX 62-A: INITIAL CONTINENTAL RESILIENCE MODULES</w:t>
      </w:r>
      <w:bookmarkEnd w:id="1876"/>
    </w:p>
    <w:p>
      <w:pPr>
        <w:pStyle w:val="Normal"/>
        <w:widowControl/>
        <w:rPr/>
      </w:pPr>
      <w:r>
        <w:rPr/>
        <w:t>1. Module A — Border and Logistics: responder manifests, Disaster Lanes, temporary admission, alternate ports, and emergency operating-hour coordination.</w:t>
      </w:r>
    </w:p>
    <w:p>
      <w:pPr>
        <w:pStyle w:val="Normal"/>
        <w:widowControl/>
        <w:rPr/>
      </w:pPr>
      <w:r>
        <w:rPr/>
        <w:t>2. Module B — Grid and Communications: transformer and generator visibility, mobile substations, telecommunications restoration, mutual-aid crews, and priority transport.</w:t>
      </w:r>
    </w:p>
    <w:p>
      <w:pPr>
        <w:pStyle w:val="Normal"/>
        <w:widowControl/>
        <w:rPr/>
      </w:pPr>
      <w:r>
        <w:rPr/>
        <w:t>3. Module C — Wildfire and Severe Weather: seasonal equipment availability, cross-border wildfire support, flood pumps and barriers, water systems, and shared situational awareness.</w:t>
      </w:r>
    </w:p>
    <w:p>
      <w:pPr>
        <w:pStyle w:val="Normal"/>
        <w:widowControl/>
        <w:rPr/>
      </w:pPr>
      <w:r>
        <w:rPr/>
        <w:t>4. Module D — Shelter and Reconstruction: modular shelter and housing, lumber and engineered wood, steel, aluminum, glass, electrical equipment, temporary bridges, and rapid supplier qualification.</w:t>
      </w:r>
    </w:p>
    <w:p>
      <w:pPr>
        <w:pStyle w:val="Normal"/>
        <w:widowControl/>
        <w:rPr/>
      </w:pPr>
      <w:r>
        <w:rPr/>
        <w:t>5. Module E — Agricultural and Community Continuity: food and feed logistics, veterinary and animal-health support, remote-community supply, and community-led resilience.</w:t>
      </w:r>
    </w:p>
    <w:p>
      <w:pPr>
        <w:pStyle w:val="Normal"/>
        <w:widowControl/>
        <w:rPr/>
      </w:pPr>
      <w:r>
        <w:rPr/>
        <w:t>6. Module F — Finance, Innovation, and Learning: resilience finance, experimental technologies, shared testing, exercises, and after-action improvement.</w:t>
      </w:r>
    </w:p>
    <w:p>
      <w:bookmarkStart w:id="1877" w:name="_NAESTMA_TOC_1877"/>
      <w:pPr>
        <w:pStyle w:val="Heading2"/>
        <w:keepNext/>
        <w:widowControl/>
        <w:rPr/>
      </w:pPr>
      <w:r>
        <w:t>PACKAGE AD — CONTINENTAL RESILIENCE ENRICHMENT AND IMPLEMENTATION PACKAGE (v5.3)</w:t>
      </w:r>
      <w:bookmarkEnd w:id="1877"/>
    </w:p>
    <w:p>
      <w:pPr>
        <w:pStyle w:val="Normal"/>
        <w:widowControl/>
        <w:rPr/>
      </w:pPr>
      <w:r>
        <w:rPr/>
        <w:t>AD-1. Chapter 37 adds a strategic industrial scale-up pathway, distributed mineral pilot-plant network, bounded project-risk facilitation, urban-mining and rare-earth-magnet recovery, mineral-substitution research, and mine-community transition planning.</w:t>
      </w:r>
    </w:p>
    <w:p>
      <w:pPr>
        <w:pStyle w:val="Normal"/>
        <w:widowControl/>
        <w:rPr/>
      </w:pPr>
      <w:r>
        <w:rPr/>
        <w:t>AD-2. Chapter 43 adds dairy allocation portability, quarterly active-use reallocation, functional access pools, exporter pre-clearance and a new-entrant gateway; beverage provisions add listing transparency, special-order access, a small-producer gateway, and North American beverage-input cooperation.</w:t>
      </w:r>
    </w:p>
    <w:p>
      <w:pPr>
        <w:pStyle w:val="Normal"/>
        <w:widowControl/>
        <w:rPr/>
      </w:pPr>
      <w:r>
        <w:rPr/>
        <w:t>AD-3. Chapter 59 adds bounded platform/model-family content banking, shared supplier qualification and failure-analysis facilities, and an investment-linked transitional tariff credit subject to the Continental Additionality Test.</w:t>
      </w:r>
    </w:p>
    <w:p>
      <w:pPr>
        <w:pStyle w:val="Normal"/>
        <w:widowControl/>
        <w:rPr/>
      </w:pPr>
      <w:r>
        <w:rPr/>
        <w:t>AD-4. New Chapter 62 establishes a civilian-led North American disaster-resilience and mutual-assistance framework covering responder credentials, Disaster Lanes, call-off contracts, power restoration, wildfire equipment, reconstruction materials, early warning, mapping, exercises, community resilience, agricultural continuity, resilience finance, innovation, recovery, and after-action learning.</w:t>
      </w:r>
    </w:p>
    <w:p>
      <w:bookmarkStart w:id="1878" w:name="_NAESTMA_TOC_1878"/>
      <w:pPr>
        <w:pStyle w:val="Heading2"/>
        <w:keepNext/>
        <w:widowControl/>
        <w:rPr/>
      </w:pPr>
      <w:r>
        <w:t>PACKAGE AC — FINAL IMPLEMENTATION AND INTEGRATION PACKAGE (v5.1)</w:t>
      </w:r>
      <w:bookmarkEnd w:id="1878"/>
    </w:p>
    <w:p>
      <w:pPr>
        <w:pStyle w:val="Normal"/>
        <w:widowControl/>
        <w:rPr/>
      </w:pPr>
      <w:r>
        <w:rPr/>
        <w:t>AC-1. Annex 35-D.1 supplies three principal-level tariff landing options while preserving Annex 35-D immediate normalization as the default and prioritizing de-escalation of exceptional 50-percent-or-greater rates.</w:t>
      </w:r>
    </w:p>
    <w:p>
      <w:pPr>
        <w:pStyle w:val="Normal"/>
        <w:widowControl/>
        <w:rPr/>
      </w:pPr>
      <w:r>
        <w:rPr/>
        <w:t>AC-2. Annex 49-A establishes a preliminary domestic / North American / other-partner procurement hierarchy for designated covered procurements with transparent qualification and protected security exclusions.</w:t>
      </w:r>
    </w:p>
    <w:p>
      <w:pPr>
        <w:pStyle w:val="Normal"/>
        <w:widowControl/>
        <w:rPr/>
      </w:pPr>
      <w:r>
        <w:rPr/>
        <w:t>AC-3. Annex 43-F creates a 0/30/60/90-day beverage-alcohol market-access implementation ramp centered on transparency, non-discrimination, and voluntary subnational pilots rather than guaranteed sales.</w:t>
      </w:r>
    </w:p>
    <w:p>
      <w:pPr>
        <w:pStyle w:val="Normal"/>
        <w:widowControl/>
        <w:rPr/>
      </w:pPr>
      <w:r>
        <w:rPr/>
        <w:t>AC-4. Implementation Instrument I-1 creates Day-One, Day-30, Day-90, and Year-One sequencing for tariff, customs, procurement, alcohol, automotive, minerals, forestry, digital, and implementation-coordination obligations.</w:t>
      </w:r>
    </w:p>
    <w:p>
      <w:bookmarkStart w:id="1879" w:name="_NAESTMA_TOC_1879"/>
      <w:pPr>
        <w:pStyle w:val="Heading2"/>
        <w:keepNext/>
        <w:widowControl/>
        <w:rPr/>
      </w:pPr>
      <w:r>
        <w:t>PACKAGE AB — MEXICO PARITY, TRILATERAL PROCUREMENT, FORESTRY INTEGRATION, AND INDUSTRIAL RESILIENCE PACKAGE (v5.0)</w:t>
      </w:r>
      <w:bookmarkEnd w:id="1879"/>
    </w:p>
    <w:p>
      <w:pPr>
        <w:pStyle w:val="Normal"/>
        <w:widowControl/>
        <w:rPr/>
      </w:pPr>
      <w:r>
        <w:rPr/>
        <w:t>AB-1. Articles 42.24–42.29 establish a full Mexican forestry and wood-products integration lane while expressly firewalling Mexico from the historic Canada-United States softwood-lumber dispute.</w:t>
      </w:r>
    </w:p>
    <w:p>
      <w:pPr>
        <w:pStyle w:val="Normal"/>
        <w:widowControl/>
        <w:rPr/>
      </w:pPr>
      <w:r>
        <w:rPr/>
        <w:t>AB-2. Article 48.6 makes the continuous-duration and investment-reliance architecture explicitly trilateral and prevents bilateral review disputes from creating de facto renewal uncertainty for unrelated Mexican trade.</w:t>
      </w:r>
    </w:p>
    <w:p>
      <w:pPr>
        <w:pStyle w:val="Normal"/>
        <w:widowControl/>
        <w:rPr/>
      </w:pPr>
      <w:r>
        <w:rPr/>
        <w:t>AB-3. Articles 49.7–49.9 create North American strategic procurement reciprocity, an expedited Mexican extraordinary-tariff normalization track, and a trilateral steel/aluminum normalization and anti-diversion bargain.</w:t>
      </w:r>
    </w:p>
    <w:p>
      <w:pPr>
        <w:pStyle w:val="Normal"/>
        <w:widowControl/>
        <w:rPr/>
      </w:pPr>
      <w:r>
        <w:rPr/>
        <w:t>AB-4. Article 50.8 adds a Mexican digital-manufacturing and SME export lane tied to electronics, semiconductors, software, customs interoperability, and procurement opportunity.</w:t>
      </w:r>
    </w:p>
    <w:p>
      <w:pPr>
        <w:pStyle w:val="Normal"/>
        <w:widowControl/>
        <w:rPr/>
      </w:pPr>
      <w:r>
        <w:rPr/>
        <w:t>AB-5. Article 59.22 reinforces equal treatment of Canadian, Mexican, and United States originating automotive value and adds a Continental Additionality Test against subsidy-driven intra-North-American relocation.</w:t>
      </w:r>
    </w:p>
    <w:p>
      <w:pPr>
        <w:pStyle w:val="Normal"/>
        <w:widowControl/>
        <w:rPr/>
      </w:pPr>
      <w:r>
        <w:rPr/>
        <w:t>AB-6. Chapter 61 establishes a high-level North American defense-industrial materials and capacity framework covering strategic inputs, long-term demand signals, reciprocal supplier qualification, rotating reserves, surge capacity, recycling, workforce resilience, and a civilian-priority firewall without prescribing weapon or ammunition design.</w:t>
      </w:r>
    </w:p>
    <w:p>
      <w:bookmarkStart w:id="1880" w:name="_NAESTMA_TOC_1880"/>
      <w:pPr>
        <w:pStyle w:val="Heading2"/>
        <w:keepNext/>
        <w:widowControl/>
        <w:rPr/>
      </w:pPr>
      <w:r>
        <w:rPr/>
        <w:t>PACKAGE AA — TRIADIC LABOUR FLOOR, EQUAL DIGNITY, AND CROSS-BORDER SOVEREIGNTY HARDENING (v4.9)</w:t>
      </w:r>
      <w:bookmarkEnd w:id="1880"/>
    </w:p>
    <w:p>
      <w:pPr>
        <w:pStyle w:val="Normal"/>
        <w:widowControl/>
        <w:rPr/>
      </w:pPr>
      <w:r>
        <w:rPr/>
        <w:t>AA-1. Articles 23.D–23.P establish a consolidated Triadic Labour Floor covering basic workplace conditions, emergency readiness, occupational environmental quality, PPE, rest and accommodation, illness and family continuity, anti-discrimination, migrant-worker parity, automated employment decisions, protected exercise, and proportional enforcement.</w:t>
      </w:r>
    </w:p>
    <w:p>
      <w:pPr>
        <w:pStyle w:val="Normal"/>
        <w:widowControl/>
        <w:rPr/>
      </w:pPr>
      <w:r>
        <w:rPr/>
        <w:t>AA-2. Chapter 60 establishes reciprocal territorial-sovereignty rules for foreign enforcement personnel and prevents this Agreement from becoming an independent source of civil immigration-enforcement authority.</w:t>
      </w:r>
    </w:p>
    <w:p>
      <w:pPr>
        <w:pStyle w:val="Normal"/>
        <w:widowControl/>
        <w:rPr/>
      </w:pPr>
      <w:r>
        <w:rPr/>
        <w:t>AA-3. Treaty-enabled data sharing is subject to purpose limitation, necessity, proportionality, minimization, sensitive-institution protections, non-circumvention, access logging, and domestic-law safeguards.</w:t>
      </w:r>
    </w:p>
    <w:p>
      <w:pPr>
        <w:pStyle w:val="Normal"/>
        <w:widowControl/>
        <w:rPr/>
      </w:pPr>
      <w:r>
        <w:rPr/>
        <w:t>AA-4. A Protected Exercise Firewall prevents labour-rights and occupational-safety complaint channels from being repurposed as unrelated foreign civil immigration-enforcement pipelines, subject to narrow lawful exceptions.</w:t>
      </w:r>
    </w:p>
    <w:p>
      <w:pPr>
        <w:pStyle w:val="Normal"/>
        <w:widowControl/>
        <w:rPr/>
      </w:pPr>
      <w:r>
        <w:rPr/>
        <w:t>AA-5. A Foreign Enforcement Officer Stand-Down Protocol permits immediate suspension of operational activity where host-country authorities find reasonable grounds to believe a material violation has occurred, while preserving due process and full host-state legal authority.</w:t>
      </w:r>
    </w:p>
    <w:p>
      <w:pPr>
        <w:pStyle w:val="Normal"/>
        <w:widowControl/>
        <w:rPr/>
      </w:pPr>
      <w:r>
        <w:rPr/>
        <w:t>AA-6. Institutional restraint is maintained throughout: existing courts, regulators, oversight bodies, and treaty mechanisms are used instead of creating unnecessary new standing institutions.</w:t>
      </w:r>
      <w:r>
        <w:br w:type="page"/>
      </w:r>
    </w:p>
    <w:p>
      <w:bookmarkStart w:id="1881" w:name="_NAESTMA_TOC_1881"/>
      <w:pPr>
        <w:pStyle w:val="Heading1"/>
        <w:keepNext/>
        <w:keepLines w:val="0"/>
        <w:pageBreakBefore/>
        <w:widowControl/>
        <w:rPr/>
      </w:pPr>
      <w:r>
        <w:rPr/>
        <w:t>CHAPTER 63 — NORTH AMERICAN MEDICINES SECURITY AND PHARMACEUTICAL RESILIENCE</w:t>
      </w:r>
      <w:bookmarkEnd w:id="1881"/>
    </w:p>
    <w:p>
      <w:pPr>
        <w:pStyle w:val="Normal"/>
        <w:widowControl/>
        <w:rPr/>
      </w:pPr>
      <w:r>
        <w:rPr/>
        <w:t xml:space="preserve">★ </w:t>
      </w:r>
      <w:r>
        <w:rPr/>
        <w:t>VISIBLE TRILATERAL WIN: MORE ESSENTIAL MEDICINES MADE IN NORTH AMERICA, STRONGER EMERGENCY SUPPLY, AND NO MEDICINE AS A TARIFF HOSTAGE</w:t>
      </w:r>
    </w:p>
    <w:p>
      <w:bookmarkStart w:id="1882" w:name="_NAESTMA_TOC_1882"/>
      <w:pPr>
        <w:pStyle w:val="Heading2"/>
        <w:keepNext/>
        <w:widowControl/>
        <w:rPr/>
      </w:pPr>
      <w:r>
        <w:rPr/>
        <w:t>Article 63.1 — Purpose and Governing Principles</w:t>
      </w:r>
      <w:bookmarkEnd w:id="1882"/>
    </w:p>
    <w:p>
      <w:pPr>
        <w:pStyle w:val="Normal"/>
        <w:widowControl/>
        <w:rPr/>
      </w:pPr>
      <w:r>
        <w:rPr/>
        <w:t>1. The Parties shall strengthen the resilience, diversity, reliability, affordability, quality, and security of North American pharmaceutical supply chains while preserving each Party’s sovereign authority over health, safety, drug approval, reimbursement, procurement, intellectual property, taxation, and emergency powers.</w:t>
      </w:r>
    </w:p>
    <w:p>
      <w:pPr>
        <w:pStyle w:val="Normal"/>
        <w:widowControl/>
        <w:rPr/>
      </w:pPr>
      <w:r>
        <w:rPr/>
        <w:t>2. Cooperation under this Chapter shall seek to reduce catastrophic single-source dependence rather than require pharmaceutical autarky. Trusted external sources remain permissible where they improve resilience, affordability, quality, or continuity.</w:t>
      </w:r>
    </w:p>
    <w:p>
      <w:pPr>
        <w:pStyle w:val="Normal"/>
        <w:widowControl/>
        <w:rPr/>
      </w:pPr>
      <w:r>
        <w:rPr/>
        <w:t>3. The Parties shall pursue geographic redundancy, commercially sustainable capacity, interoperable regulation, rapid shortage response, and visible domestic industrial gains in all three Parties.</w:t>
      </w:r>
    </w:p>
    <w:p>
      <w:pPr>
        <w:pStyle w:val="Normal"/>
        <w:widowControl/>
        <w:rPr/>
      </w:pPr>
      <w:r>
        <w:rPr/>
        <w:t>4. No Party shall be assigned a permanent subordinate pharmaceutical role. Specialization may reflect existing strengths, but critical capacity should, where technically and economically practicable, be supported by qualified alternative sources.</w:t>
      </w:r>
    </w:p>
    <w:p>
      <w:bookmarkStart w:id="1883" w:name="_NAESTMA_TOC_1883"/>
      <w:pPr>
        <w:pStyle w:val="Heading2"/>
        <w:keepNext/>
        <w:widowControl/>
        <w:rPr/>
      </w:pPr>
      <w:r>
        <w:rPr/>
        <w:t>Article 63.2 — Essential Medicines and Strategic Pharmaceutical Classification</w:t>
      </w:r>
      <w:bookmarkEnd w:id="1883"/>
    </w:p>
    <w:p>
      <w:pPr>
        <w:pStyle w:val="Normal"/>
        <w:widowControl/>
        <w:rPr/>
      </w:pPr>
      <w:r>
        <w:rPr/>
        <w:t>1. The Parties shall maintain a coordinated, periodically reviewed classification architecture covering: (a) life-critical medicines; (b) shortage-sensitive essential medicines; (c) strategic medical countermeasures; (d) critical APIs, key starting materials and indispensable excipients; and (e) strategic pharmaceutical manufacturing inputs.</w:t>
      </w:r>
    </w:p>
    <w:p>
      <w:pPr>
        <w:pStyle w:val="Normal"/>
        <w:widowControl/>
        <w:rPr/>
      </w:pPr>
      <w:r>
        <w:rPr/>
        <w:t>2. Classification shall consider clinical indispensability, availability of therapeutic substitutes, supplier concentration, manufacturing lead time, geographic concentration, shortage history, transport sensitivity, shelf life, surge feasibility, and consequences of interruption.</w:t>
      </w:r>
    </w:p>
    <w:p>
      <w:pPr>
        <w:pStyle w:val="Normal"/>
        <w:widowControl/>
        <w:rPr/>
      </w:pPr>
      <w:r>
        <w:rPr/>
        <w:t>3. The classification process shall not require disclosure of protected patient information, trade secrets, security-sensitive stockpile locations, or commercially sensitive facility data beyond what is reasonably necessary.</w:t>
      </w:r>
    </w:p>
    <w:p>
      <w:bookmarkStart w:id="1884" w:name="_NAESTMA_TOC_1884"/>
      <w:pPr>
        <w:pStyle w:val="Heading2"/>
        <w:keepNext/>
        <w:widowControl/>
        <w:rPr/>
      </w:pPr>
      <w:r>
        <w:rPr/>
        <w:t>Article 63.3 — Medicines Peace Clause and No-Tariff-Hostage Rule</w:t>
      </w:r>
      <w:bookmarkEnd w:id="1884"/>
    </w:p>
    <w:p>
      <w:pPr>
        <w:pStyle w:val="Normal"/>
        <w:widowControl/>
        <w:rPr/>
      </w:pPr>
      <w:r>
        <w:rPr/>
        <w:t>1. Originating life-critical medicines, essential generics, designated shortage medicines, critical APIs lacking adequate substitutes, medical countermeasures, and medical isotopes shall receive exceptionally strong continuity protection.</w:t>
      </w:r>
    </w:p>
    <w:p>
      <w:pPr>
        <w:pStyle w:val="Normal"/>
        <w:widowControl/>
        <w:rPr/>
      </w:pPr>
      <w:r>
        <w:rPr/>
        <w:t>2. A Party shall not use access to designated essential medicines as leverage for an unrelated trade, diplomatic, procurement, or political concession.</w:t>
      </w:r>
    </w:p>
    <w:p>
      <w:pPr>
        <w:pStyle w:val="Normal"/>
        <w:widowControl/>
        <w:rPr/>
      </w:pPr>
      <w:r>
        <w:rPr/>
        <w:t>3. Pharmaceutical industrial-policy disputes should ordinarily be addressed through investment preferences, qualification benefits, procurement treatment, verification, or other proportionate industrial measures before any action that could foreseeably interrupt patient access.</w:t>
      </w:r>
    </w:p>
    <w:p>
      <w:pPr>
        <w:pStyle w:val="Normal"/>
        <w:widowControl/>
        <w:rPr/>
      </w:pPr>
      <w:r>
        <w:rPr/>
        <w:t>4. A verified shortage or imminent shortage may justify temporary tariff suspension, expedited customs treatment, emergency sourcing, or other continuity measures without prejudice to later review.</w:t>
      </w:r>
    </w:p>
    <w:p>
      <w:pPr>
        <w:pStyle w:val="Normal"/>
        <w:widowControl/>
        <w:rPr/>
      </w:pPr>
      <w:r>
        <w:rPr/>
        <w:t>5. Nothing in this Article prevents proportionate action against fraud, unsafe products, sanctions evasion, illicit trafficking, false origin, or other unlawful conduct.</w:t>
      </w:r>
    </w:p>
    <w:p>
      <w:bookmarkStart w:id="1885" w:name="_NAESTMA_TOC_1885"/>
      <w:pPr>
        <w:pStyle w:val="Heading2"/>
        <w:keepNext/>
        <w:widowControl/>
        <w:rPr/>
      </w:pPr>
      <w:r>
        <w:rPr/>
        <w:t>Article 63.4 — Pharmaceutical Rules of Origin and Transformation</w:t>
      </w:r>
      <w:bookmarkEnd w:id="1885"/>
    </w:p>
    <w:p>
      <w:pPr>
        <w:pStyle w:val="Normal"/>
        <w:widowControl/>
        <w:rPr/>
      </w:pPr>
      <w:r>
        <w:rPr/>
        <w:t>1. The Parties shall develop pharmaceutical rules of origin that recognize meaningful North American synthesis, fermentation, bioprocessing, formulation, and finished-dose transformation while preventing simple packaging, relabeling, or transshipment from conferring origin.</w:t>
      </w:r>
    </w:p>
    <w:p>
      <w:pPr>
        <w:pStyle w:val="Normal"/>
        <w:widowControl/>
        <w:rPr/>
      </w:pPr>
      <w:r>
        <w:rPr/>
        <w:t>2. Origin verification shall be traceable, technology-neutral, proportionate to risk, and capable of relying on ordinary commercial and regulatory records. No blockchain or other specific technology shall be mandatory.</w:t>
      </w:r>
    </w:p>
    <w:p>
      <w:pPr>
        <w:pStyle w:val="Normal"/>
        <w:widowControl/>
        <w:rPr/>
      </w:pPr>
      <w:r>
        <w:rPr/>
        <w:t>3. Emergency use of qualified trusted external APIs or key starting materials shall not automatically disqualify a product from continuity treatment where the applicable origin rule or emergency waiver permits such use.</w:t>
      </w:r>
    </w:p>
    <w:p>
      <w:bookmarkStart w:id="1886" w:name="_NAESTMA_TOC_1886"/>
      <w:pPr>
        <w:pStyle w:val="Heading2"/>
        <w:keepNext/>
        <w:widowControl/>
        <w:rPr/>
      </w:pPr>
      <w:r>
        <w:rPr/>
        <w:t>Article 63.5 — Critical API and Key Starting Material Security</w:t>
      </w:r>
      <w:bookmarkEnd w:id="1886"/>
    </w:p>
    <w:p>
      <w:pPr>
        <w:pStyle w:val="Normal"/>
        <w:widowControl/>
        <w:rPr/>
      </w:pPr>
      <w:r>
        <w:rPr/>
        <w:t>1. The Parties shall maintain a Critical API and KSM Risk Register identifying material single-source dependencies, concentrated foreign dependencies, fragile production economics, and midstream capability gaps.</w:t>
      </w:r>
    </w:p>
    <w:p>
      <w:pPr>
        <w:pStyle w:val="Normal"/>
        <w:widowControl/>
        <w:rPr/>
      </w:pPr>
      <w:r>
        <w:rPr/>
        <w:t>2. For the most critical API families, the Parties shall seek qualified production or dependable alternative sourcing in at least two Parties or through a combination of North American and trusted external sources, where practicable.</w:t>
      </w:r>
    </w:p>
    <w:p>
      <w:pPr>
        <w:pStyle w:val="Normal"/>
        <w:widowControl/>
        <w:rPr/>
      </w:pPr>
      <w:r>
        <w:rPr/>
        <w:t>3. Cooperation may include long-term offtake arrangements, capacity-preservation contracts, development-bank financing, fermentation and small-molecule capacity, biologic API capability, second-source qualification, recycling or recovery where applicable, and emergency surge agreements.</w:t>
      </w:r>
    </w:p>
    <w:p>
      <w:pPr>
        <w:pStyle w:val="Normal"/>
        <w:widowControl/>
        <w:rPr/>
      </w:pPr>
      <w:r>
        <w:rPr/>
        <w:t>4. Numerical localization targets shall be evidence-based, periodically reviewed, and shall not create an obligation to manufacture uneconomic or technically unsuitable inputs solely to satisfy a headline percentage.</w:t>
      </w:r>
    </w:p>
    <w:p>
      <w:bookmarkStart w:id="1887" w:name="_NAESTMA_TOC_1887"/>
      <w:pPr>
        <w:pStyle w:val="Heading2"/>
        <w:keepNext/>
        <w:widowControl/>
        <w:rPr/>
      </w:pPr>
      <w:r>
        <w:rPr/>
        <w:t>Article 63.6 — Essential Generics Security</w:t>
      </w:r>
      <w:bookmarkEnd w:id="1887"/>
    </w:p>
    <w:p>
      <w:pPr>
        <w:pStyle w:val="Normal"/>
        <w:widowControl/>
        <w:rPr/>
      </w:pPr>
      <w:r>
        <w:rPr/>
        <w:t>1. The Parties shall maintain an Essential Generics List and identify products for which persistent shortages, thin margins, supplier concentration, or facility concentration create material health-security risk.</w:t>
      </w:r>
    </w:p>
    <w:p>
      <w:pPr>
        <w:pStyle w:val="Normal"/>
        <w:widowControl/>
        <w:rPr/>
      </w:pPr>
      <w:r>
        <w:rPr/>
        <w:t>2. Measures may include minimum viable capacity contracts, multi-year procurement or offtake arrangements, diversified manufacturing, shortage notification, emergency contracting, workforce support, and investment facilitation.</w:t>
      </w:r>
    </w:p>
    <w:p>
      <w:pPr>
        <w:pStyle w:val="Normal"/>
        <w:widowControl/>
        <w:rPr/>
      </w:pPr>
      <w:r>
        <w:rPr/>
        <w:t>3. Government procurement preferences authorized under this Article shall remain consistent with applicable commitments and shall not create an exclusive entitlement for any one Party.</w:t>
      </w:r>
    </w:p>
    <w:p>
      <w:bookmarkStart w:id="1888" w:name="_NAESTMA_TOC_1888"/>
      <w:pPr>
        <w:pStyle w:val="Heading2"/>
        <w:keepNext/>
        <w:widowControl/>
        <w:rPr/>
      </w:pPr>
      <w:r>
        <w:rPr/>
        <w:t>Article 63.7 — Sterile Injectables and Fill-Finish Resilience</w:t>
      </w:r>
      <w:bookmarkEnd w:id="1888"/>
    </w:p>
    <w:p>
      <w:pPr>
        <w:pStyle w:val="Normal"/>
        <w:widowControl/>
        <w:rPr/>
      </w:pPr>
      <w:r>
        <w:rPr/>
        <w:t>1. The Parties recognize sterile injectables, aseptic processing, fill-finish capacity, lyophilization, blow-fill-seal systems, oncology injectables, critical-care injectables, pediatric formulations, and related sterile manufacturing as priority resilience capabilities.</w:t>
      </w:r>
    </w:p>
    <w:p>
      <w:pPr>
        <w:pStyle w:val="Normal"/>
        <w:widowControl/>
        <w:rPr/>
      </w:pPr>
      <w:r>
        <w:rPr/>
        <w:t>2. For designated critical injectable products, the Parties shall seek qualified production redundancy in at least two locations or Parties where technically and economically practicable.</w:t>
      </w:r>
    </w:p>
    <w:p>
      <w:pPr>
        <w:pStyle w:val="Normal"/>
        <w:widowControl/>
        <w:rPr/>
      </w:pPr>
      <w:r>
        <w:rPr/>
        <w:t>3. Critical injectable contingency planning should identify alternate production sites, qualified suppliers, validated transfer pathways, specialized workforce requirements, and emergency surge options.</w:t>
      </w:r>
    </w:p>
    <w:p>
      <w:bookmarkStart w:id="1889" w:name="_NAESTMA_TOC_1889"/>
      <w:pPr>
        <w:pStyle w:val="Heading2"/>
        <w:keepNext/>
        <w:widowControl/>
        <w:rPr/>
      </w:pPr>
      <w:r>
        <w:rPr/>
        <w:t>Article 63.8 — Strategic Pharmaceutical Manufacturing Inputs</w:t>
      </w:r>
      <w:bookmarkEnd w:id="1889"/>
    </w:p>
    <w:p>
      <w:pPr>
        <w:pStyle w:val="Normal"/>
        <w:widowControl/>
        <w:rPr/>
      </w:pPr>
      <w:r>
        <w:rPr/>
        <w:t>The Parties shall identify and reduce vulnerabilities involving vials, prefilled syringes, plungers, rubber stoppers, borosilicate glass, sterile filters, single-use bioreactor components, fill-finish equipment, lyophilization equipment, analytical systems, specialized packaging, refrigeration systems, and other indispensable pharmaceutical manufacturing inputs.</w:t>
      </w:r>
    </w:p>
    <w:p>
      <w:bookmarkStart w:id="1890" w:name="_NAESTMA_TOC_1890"/>
      <w:pPr>
        <w:pStyle w:val="Heading2"/>
        <w:keepNext/>
        <w:widowControl/>
        <w:rPr/>
      </w:pPr>
      <w:r>
        <w:rPr/>
        <w:t>Article 63.9 — Antibiotic and Antiviral Security Initiative</w:t>
      </w:r>
      <w:bookmarkEnd w:id="1890"/>
    </w:p>
    <w:p>
      <w:pPr>
        <w:pStyle w:val="Normal"/>
        <w:widowControl/>
        <w:rPr/>
      </w:pPr>
      <w:r>
        <w:rPr/>
        <w:t>1. The Parties shall identify essential antibiotics and antivirals for which loss of production would create unacceptable health-security risk.</w:t>
      </w:r>
    </w:p>
    <w:p>
      <w:pPr>
        <w:pStyle w:val="Normal"/>
        <w:widowControl/>
        <w:rPr/>
      </w:pPr>
      <w:r>
        <w:rPr/>
        <w:t>2. Cooperation may support economically fragile but medically essential production through capacity-preservation contracts, API/KSM security, rotating reserves, alternate facilities, second-source qualification, stewardship-compatible procurement, and emergency cross-border sharing.</w:t>
      </w:r>
    </w:p>
    <w:p>
      <w:pPr>
        <w:pStyle w:val="Normal"/>
        <w:widowControl/>
        <w:rPr/>
      </w:pPr>
      <w:r>
        <w:rPr/>
        <w:t>3. Nothing in this Article requires inappropriate stockpiling or procurement that would undermine antimicrobial stewardship.</w:t>
      </w:r>
    </w:p>
    <w:p>
      <w:bookmarkStart w:id="1891" w:name="_NAESTMA_TOC_1891"/>
      <w:pPr>
        <w:pStyle w:val="Heading2"/>
        <w:keepNext/>
        <w:widowControl/>
        <w:rPr/>
      </w:pPr>
      <w:r>
        <w:rPr/>
        <w:t>Article 63.10 — Vaccines, Biologics and Platform Manufacturing</w:t>
      </w:r>
      <w:bookmarkEnd w:id="1891"/>
    </w:p>
    <w:p>
      <w:pPr>
        <w:pStyle w:val="Normal"/>
        <w:widowControl/>
        <w:rPr/>
      </w:pPr>
      <w:r>
        <w:rPr/>
        <w:t>The Parties shall encourage resilient multipurpose vaccine and biologic manufacturing platforms, including mRNA, protein-subunit, monoclonal-antibody, insulin, immunoglobulin, coagulation-factor and other strategically important capabilities, with emphasis on adaptable platforms, qualified fill-finish capacity, clinical research cooperation, cold-chain resilience, and rapid platform conversion during emergencies.</w:t>
      </w:r>
    </w:p>
    <w:p>
      <w:bookmarkStart w:id="1892" w:name="_NAESTMA_TOC_1892"/>
      <w:pPr>
        <w:pStyle w:val="Heading2"/>
        <w:keepNext/>
        <w:widowControl/>
        <w:rPr/>
      </w:pPr>
      <w:r>
        <w:rPr/>
        <w:t>Article 63.11 — Pharmaceutical Cold Chain and Emergency Logistics</w:t>
      </w:r>
      <w:bookmarkEnd w:id="1892"/>
    </w:p>
    <w:p>
      <w:pPr>
        <w:pStyle w:val="Normal"/>
        <w:widowControl/>
        <w:rPr/>
      </w:pPr>
      <w:r>
        <w:rPr/>
        <w:t>The Parties shall cooperate on redundant refrigeration, emergency power, validated packaging, temperature monitoring, alternate border crossings, priority customs treatment, backup transport routes, contingency air transport, and mutual logistical assistance for temperature-sensitive medicines.</w:t>
      </w:r>
    </w:p>
    <w:p>
      <w:bookmarkStart w:id="1893" w:name="_NAESTMA_TOC_1893"/>
      <w:pPr>
        <w:pStyle w:val="Heading2"/>
        <w:keepNext/>
        <w:widowControl/>
        <w:rPr/>
      </w:pPr>
      <w:r>
        <w:rPr/>
        <w:t>Article 63.12 — Resilience Equivalence Principle</w:t>
      </w:r>
      <w:bookmarkEnd w:id="1893"/>
    </w:p>
    <w:p>
      <w:pPr>
        <w:pStyle w:val="Normal"/>
        <w:widowControl/>
        <w:rPr/>
      </w:pPr>
      <w:r>
        <w:rPr/>
        <w:t>1. Pharmaceutical resilience need not be demonstrated solely through physical stockpiles. A Party may demonstrate equivalent or superior resilience through an appropriate combination of inventory, diversified supply, North American production, qualified alternate facilities, API/KSM reserves, surge capacity, emergency contracting, and resilient logistics.</w:t>
      </w:r>
    </w:p>
    <w:p>
      <w:pPr>
        <w:pStyle w:val="Normal"/>
        <w:widowControl/>
        <w:rPr/>
      </w:pPr>
      <w:r>
        <w:rPr/>
        <w:t>2. Coverage standards should be product-specific. A long-shelf-life generic may justify substantial inventory; a short-lived or highly specialized product may require production redundancy, precursor security, or surge capacity instead.</w:t>
      </w:r>
    </w:p>
    <w:p>
      <w:bookmarkStart w:id="1894" w:name="_NAESTMA_TOC_1894"/>
      <w:pPr>
        <w:pStyle w:val="Heading2"/>
        <w:keepNext/>
        <w:widowControl/>
        <w:rPr/>
      </w:pPr>
      <w:r>
        <w:rPr/>
        <w:t>Article 63.13 — No Single Point of Continental Failure</w:t>
      </w:r>
      <w:bookmarkEnd w:id="1894"/>
    </w:p>
    <w:p>
      <w:pPr>
        <w:pStyle w:val="Normal"/>
        <w:widowControl/>
        <w:rPr/>
      </w:pPr>
      <w:r>
        <w:rPr/>
        <w:t>For the most critical medicines and pharmaceutical inputs, the Parties shall progressively identify and, where technically and economically practicable, reduce circumstances in which a single facility, supplier, country, transport corridor, precursor source, or manufacturing input can disable North American supply.</w:t>
      </w:r>
    </w:p>
    <w:p>
      <w:bookmarkStart w:id="1895" w:name="_NAESTMA_TOC_1895"/>
      <w:pPr>
        <w:pStyle w:val="Heading2"/>
        <w:keepNext/>
        <w:widowControl/>
        <w:rPr/>
      </w:pPr>
      <w:r>
        <w:rPr/>
        <w:t>Article 63.14 — Strategic Medicine Reserves and Rotation</w:t>
      </w:r>
      <w:bookmarkEnd w:id="1895"/>
    </w:p>
    <w:p>
      <w:pPr>
        <w:pStyle w:val="Normal"/>
        <w:widowControl/>
        <w:rPr/>
      </w:pPr>
      <w:r>
        <w:rPr/>
        <w:t>1. Each Party retains sovereignty over its strategic medicine reserves. Nothing in this Chapter creates a supranational stockpile or mandatory pooled reserve.</w:t>
      </w:r>
    </w:p>
    <w:p>
      <w:pPr>
        <w:pStyle w:val="Normal"/>
        <w:widowControl/>
        <w:rPr/>
      </w:pPr>
      <w:r>
        <w:rPr/>
        <w:t>2. The Parties may coordinate reserve composition, rotation, shortage intelligence, emergency releases, reciprocal access, and replenishment.</w:t>
      </w:r>
    </w:p>
    <w:p>
      <w:pPr>
        <w:pStyle w:val="Normal"/>
        <w:widowControl/>
        <w:rPr/>
      </w:pPr>
      <w:r>
        <w:rPr/>
        <w:t>3. Reserve design shall account for shelf life, clinical substitution, production lead time, storage conditions, cost, and surge capability. Exact sensitive inventories and locations need not be publicly disclosed.</w:t>
      </w:r>
    </w:p>
    <w:p>
      <w:bookmarkStart w:id="1896" w:name="_NAESTMA_TOC_1896"/>
      <w:pPr>
        <w:pStyle w:val="Heading2"/>
        <w:keepNext/>
        <w:widowControl/>
        <w:rPr/>
      </w:pPr>
      <w:r>
        <w:rPr/>
        <w:t>Article 63.15 — Medical Isotopes and Radiopharmaceuticals</w:t>
      </w:r>
      <w:bookmarkEnd w:id="1896"/>
    </w:p>
    <w:p>
      <w:pPr>
        <w:pStyle w:val="Normal"/>
        <w:widowControl/>
        <w:rPr/>
      </w:pPr>
      <w:r>
        <w:rPr/>
        <w:t>1. The Parties shall strengthen redundant production, reactor and accelerator capability, generator systems, target-material supply, processing, radiochemistry, quality systems, transport, regulatory coordination, workforce development, and emergency allocation for medical isotopes and radiopharmaceuticals.</w:t>
      </w:r>
    </w:p>
    <w:p>
      <w:pPr>
        <w:pStyle w:val="Normal"/>
        <w:widowControl/>
        <w:rPr/>
      </w:pPr>
      <w:r>
        <w:rPr/>
        <w:t>2. Stockpile requirements shall account for radioactive decay and product-specific physical feasibility. Nothing in this Chapter shall require physically meaningless long-duration inventories of short-lived isotopes.</w:t>
      </w:r>
    </w:p>
    <w:p>
      <w:bookmarkStart w:id="1897" w:name="_NAESTMA_TOC_1897"/>
      <w:pPr>
        <w:pStyle w:val="Heading2"/>
        <w:keepNext/>
        <w:widowControl/>
        <w:rPr/>
      </w:pPr>
      <w:r>
        <w:rPr/>
        <w:t>Article 63.16 — Regulatory Cooperation and Pharmaceutical Fast Lane</w:t>
      </w:r>
      <w:bookmarkEnd w:id="1897"/>
    </w:p>
    <w:p>
      <w:pPr>
        <w:pStyle w:val="Normal"/>
        <w:widowControl/>
        <w:rPr/>
      </w:pPr>
      <w:r>
        <w:rPr/>
        <w:t>1. FDA, Health Canada, COFEPRIS and other competent authorities may conduct concurrent or coordinated reviews, use common evidence packages, share inspection information, coordinate GMP inspections, and rely on counterpart findings to the extent each regulator determines appropriate.</w:t>
      </w:r>
    </w:p>
    <w:p>
      <w:pPr>
        <w:pStyle w:val="Normal"/>
        <w:widowControl/>
        <w:rPr/>
      </w:pPr>
      <w:r>
        <w:rPr/>
        <w:t>2. Each regulator retains sovereign authority to approve, refuse, suspend, recall, inspect, test, impose conditions, or take emergency action.</w:t>
      </w:r>
    </w:p>
    <w:p>
      <w:pPr>
        <w:pStyle w:val="Normal"/>
        <w:widowControl/>
        <w:rPr/>
      </w:pPr>
      <w:r>
        <w:rPr/>
        <w:t>3. Procedural service standards may include acknowledgment, completeness review, status updates, coordinated inspection scheduling, and written explanations for material unexplained delay. No lapse of a clock creates automatic approval.</w:t>
      </w:r>
    </w:p>
    <w:p>
      <w:pPr>
        <w:pStyle w:val="Normal"/>
        <w:widowControl/>
        <w:rPr/>
      </w:pPr>
      <w:r>
        <w:rPr/>
        <w:t>4. Trade panels may review discrimination, procedural obstruction, or failure to follow agreed processes, but shall not substitute their scientific judgment for that of a competent health regulator or order approval of a medicine.</w:t>
      </w:r>
    </w:p>
    <w:p>
      <w:bookmarkStart w:id="1898" w:name="_NAESTMA_TOC_1898"/>
      <w:pPr>
        <w:pStyle w:val="Heading2"/>
        <w:keepNext/>
        <w:widowControl/>
        <w:rPr/>
      </w:pPr>
      <w:r>
        <w:rPr/>
        <w:t>Article 63.17 — Pharmaceutical Facility PreCheck and Commissioning Cooperation</w:t>
      </w:r>
      <w:bookmarkEnd w:id="1898"/>
    </w:p>
    <w:p>
      <w:pPr>
        <w:pStyle w:val="Normal"/>
        <w:widowControl/>
        <w:rPr/>
      </w:pPr>
      <w:r>
        <w:rPr/>
        <w:t>The Parties may establish compatible pre-application and facility-readiness pathways for new or expanded pharmaceutical manufacturing facilities, including early regulatory engagement, staged facility assessment, coordinated inspection planning, validation guidance, and predictable commissioning processes without lowering safety, efficacy, quality, or GMP standards.</w:t>
      </w:r>
    </w:p>
    <w:p>
      <w:bookmarkStart w:id="1899" w:name="_NAESTMA_TOC_1899"/>
      <w:pPr>
        <w:pStyle w:val="Heading2"/>
        <w:keepNext/>
        <w:widowControl/>
        <w:rPr/>
      </w:pPr>
      <w:r>
        <w:rPr/>
        <w:t>Article 63.18 — Pharmaceutical Workforce and Professional Mobility</w:t>
      </w:r>
      <w:bookmarkEnd w:id="1899"/>
    </w:p>
    <w:p>
      <w:pPr>
        <w:pStyle w:val="Normal"/>
        <w:widowControl/>
        <w:rPr/>
      </w:pPr>
      <w:r>
        <w:rPr/>
        <w:t>The Parties shall facilitate, consistent with domestic immigration and professional rules, temporary mobility and training for pharmaceutical chemists, bioprocess engineers, aseptic-processing specialists, QA/QC personnel, validation engineers, regulatory-affairs specialists, radiochemists, nuclear-medicine specialists, equipment technicians, and critical maintenance personnel, particularly for commissioning, training, emergency repair, and surge production.</w:t>
      </w:r>
    </w:p>
    <w:p>
      <w:bookmarkStart w:id="1900" w:name="_NAESTMA_TOC_1900"/>
      <w:pPr>
        <w:pStyle w:val="Heading2"/>
        <w:keepNext/>
        <w:widowControl/>
        <w:rPr/>
      </w:pPr>
      <w:r>
        <w:rPr/>
        <w:t>Article 63.19 — Research, Advanced and Distributed Manufacturing</w:t>
      </w:r>
      <w:bookmarkEnd w:id="1900"/>
    </w:p>
    <w:p>
      <w:pPr>
        <w:pStyle w:val="Normal"/>
        <w:widowControl/>
        <w:rPr/>
      </w:pPr>
      <w:r>
        <w:rPr/>
        <w:t>Cooperation may include continuous manufacturing, modular manufacturing, distributed or point-of-care manufacturing pilots, additive or three-dimensional dosage-form manufacturing, advanced fermentation, AI-assisted process control, rapid reconfiguration, real-world evidence, clinical research networks, and other emerging technologies under appropriate regulatory supervision.</w:t>
      </w:r>
    </w:p>
    <w:p>
      <w:bookmarkStart w:id="1901" w:name="_NAESTMA_TOC_1901"/>
      <w:pPr>
        <w:pStyle w:val="Heading2"/>
        <w:keepNext/>
        <w:widowControl/>
        <w:rPr/>
      </w:pPr>
      <w:r>
        <w:rPr/>
        <w:t>Article 63.20 — Intellectual Property and Emergency Licensing</w:t>
      </w:r>
      <w:bookmarkEnd w:id="1901"/>
    </w:p>
    <w:p>
      <w:pPr>
        <w:pStyle w:val="Normal"/>
        <w:widowControl/>
        <w:rPr/>
      </w:pPr>
      <w:r>
        <w:rPr/>
        <w:t>1. Nothing in this Chapter diminishes rights or flexibilities available under applicable international or domestic intellectual-property law.</w:t>
      </w:r>
    </w:p>
    <w:p>
      <w:pPr>
        <w:pStyle w:val="Normal"/>
        <w:widowControl/>
        <w:rPr/>
      </w:pPr>
      <w:r>
        <w:rPr/>
        <w:t>2. The Parties may encourage voluntary licensing, patent pools, pre-negotiated emergency licences, technology-transfer incentives, and compensated emergency mechanisms for essential medicines.</w:t>
      </w:r>
    </w:p>
    <w:p>
      <w:pPr>
        <w:pStyle w:val="Normal"/>
        <w:widowControl/>
        <w:rPr/>
      </w:pPr>
      <w:r>
        <w:rPr/>
        <w:t>3. A shortage declaration does not by itself extinguish patent rights. Any compulsory measure shall follow applicable law, including requirements concerning scope, necessity, duration, and remuneration.</w:t>
      </w:r>
    </w:p>
    <w:p>
      <w:bookmarkStart w:id="1902" w:name="_NAESTMA_TOC_1902"/>
      <w:pPr>
        <w:pStyle w:val="Heading2"/>
        <w:keepNext/>
        <w:widowControl/>
        <w:rPr/>
      </w:pPr>
      <w:r>
        <w:rPr/>
        <w:t>Article 63.21 — United States Pharmaceutical Reshoring and Advanced Medicines Track</w:t>
      </w:r>
      <w:bookmarkEnd w:id="1902"/>
    </w:p>
    <w:p>
      <w:pPr>
        <w:pStyle w:val="Normal"/>
        <w:widowControl/>
        <w:rPr/>
      </w:pPr>
      <w:r>
        <w:rPr/>
        <w:t>The United States Track may prioritize new or expanded API and KSM production, advanced biologics, sterile injectables, strategic manufacturing equipment, innovative manufacturing, workforce development, facility commissioning, and other investments that visibly increase medicines made in the United States while strengthening continental redundancy.</w:t>
      </w:r>
    </w:p>
    <w:p>
      <w:bookmarkStart w:id="1903" w:name="_NAESTMA_TOC_1903"/>
      <w:pPr>
        <w:pStyle w:val="Heading2"/>
        <w:keepNext/>
        <w:widowControl/>
        <w:rPr/>
      </w:pPr>
      <w:r>
        <w:rPr/>
        <w:t>Article 63.22 — Canadian Pharmaceutical Security and Medical-Isotope Track</w:t>
      </w:r>
      <w:bookmarkEnd w:id="1903"/>
    </w:p>
    <w:p>
      <w:pPr>
        <w:pStyle w:val="Normal"/>
        <w:widowControl/>
        <w:rPr/>
      </w:pPr>
      <w:r>
        <w:rPr/>
        <w:t>The Canadian Track may prioritize medical isotopes and radiopharmaceuticals, biologics, vaccines, APIs, sterile capacity, advanced manufacturing, clinical research, specialized manufacturing, cold-chain infrastructure, and other capabilities in which Canadian expansion improves both domestic and continental resilience.</w:t>
      </w:r>
    </w:p>
    <w:p>
      <w:bookmarkStart w:id="1904" w:name="_NAESTMA_TOC_1904"/>
      <w:pPr>
        <w:pStyle w:val="Heading2"/>
        <w:keepNext/>
        <w:widowControl/>
        <w:rPr/>
      </w:pPr>
      <w:r>
        <w:rPr/>
        <w:t>Article 63.23 — Mexican Pharmaceutical Manufacturing and Industrial-Upgrading Track</w:t>
      </w:r>
      <w:bookmarkEnd w:id="1904"/>
    </w:p>
    <w:p>
      <w:pPr>
        <w:pStyle w:val="Normal"/>
        <w:widowControl/>
        <w:rPr/>
      </w:pPr>
      <w:r>
        <w:rPr/>
        <w:t>1. The Mexican Track may prioritize essential generics, small-molecule APIs and KSMs, sterile injectables, fill-finish, vaccines, selected biologics, controlled medicines subject to strong diversion safeguards, pharmaceutical packaging and components, workforce development, and pharmaceutical R&amp;D.</w:t>
      </w:r>
    </w:p>
    <w:p>
      <w:pPr>
        <w:pStyle w:val="Normal"/>
        <w:widowControl/>
        <w:rPr/>
      </w:pPr>
      <w:r>
        <w:rPr/>
        <w:t>2. The Parties recognize a Mexican industrial-upgrading pathway from finished-dose generics toward APIs/KSMs, sterile manufacturing, biologics and vaccines, advanced manufacturing, and higher-value pharmaceutical research and development.</w:t>
      </w:r>
    </w:p>
    <w:p>
      <w:pPr>
        <w:pStyle w:val="Normal"/>
        <w:widowControl/>
        <w:rPr/>
      </w:pPr>
      <w:r>
        <w:rPr/>
        <w:t>3. Cooperation may include pharmaceutical industrial clusters, development-bank and export financing, university-industry partnerships, technician and QA training, regulatory-science capacity, apprenticeship and research exchanges, and equal eligibility for qualifying North American resilience procurement.</w:t>
      </w:r>
    </w:p>
    <w:p>
      <w:pPr>
        <w:pStyle w:val="Normal"/>
        <w:widowControl/>
        <w:rPr/>
      </w:pPr>
      <w:r>
        <w:rPr/>
        <w:t>4. Mexico may serve as an important voluntary logistics and humanitarian coordination platform for medicine supply to Central America, the Caribbean, and wider Latin America. Nothing in this paragraph authorizes Mexico to bind another Party diplomatically or commercially without that Party’s consent.</w:t>
      </w:r>
    </w:p>
    <w:p>
      <w:bookmarkStart w:id="1905" w:name="_NAESTMA_TOC_1905"/>
      <w:pPr>
        <w:pStyle w:val="Heading2"/>
        <w:keepNext/>
        <w:widowControl/>
        <w:rPr/>
      </w:pPr>
      <w:r>
        <w:rPr/>
        <w:t>Article 63.24 — Pharmaceutical Education and Regulatory Science Network</w:t>
      </w:r>
      <w:bookmarkEnd w:id="1905"/>
    </w:p>
    <w:p>
      <w:pPr>
        <w:pStyle w:val="Normal"/>
        <w:widowControl/>
        <w:rPr/>
      </w:pPr>
      <w:r>
        <w:rPr/>
        <w:t>The Parties shall encourage regulator secondments, university-industry research partnerships, pharmaceutical technician academies, aseptic-processing and QA training, equipment-operator certification, regulatory-affairs education, reciprocal internships, research exchanges, and transparent reporting of training outcomes.</w:t>
      </w:r>
    </w:p>
    <w:p>
      <w:bookmarkStart w:id="1906" w:name="_NAESTMA_TOC_1906"/>
      <w:pPr>
        <w:pStyle w:val="Heading2"/>
        <w:keepNext/>
        <w:widowControl/>
        <w:rPr/>
      </w:pPr>
      <w:r>
        <w:rPr/>
        <w:t>Article 63.25 — Controlled Medicines, Diversion Prevention and Illicit Fentanyl Firewall</w:t>
      </w:r>
      <w:bookmarkEnd w:id="1906"/>
    </w:p>
    <w:p>
      <w:pPr>
        <w:pStyle w:val="Normal"/>
        <w:widowControl/>
        <w:rPr/>
      </w:pPr>
      <w:r>
        <w:rPr/>
        <w:t>1. For greater certainty, nothing in this Agreement authorizes, facilitates, immunizes, or otherwise protects the illicit importation, exportation, transit, manufacture, distribution, or trafficking of fentanyl or fentanyl analogues.</w:t>
      </w:r>
    </w:p>
    <w:p>
      <w:pPr>
        <w:pStyle w:val="Normal"/>
        <w:widowControl/>
        <w:rPr/>
      </w:pPr>
      <w:r>
        <w:rPr/>
        <w:t>2. Lawful cross-border movements of fentanyl for legitimate medical, scientific, or other authorized purposes shall remain subject to enhanced verification appropriate to the exceptional public-safety risks associated with diversion, including licensing checks, validated consignee and destination information, tamper-evident chain-of-custody where appropriate, and scrutiny of material routing or ownership anomalies.</w:t>
      </w:r>
    </w:p>
    <w:p>
      <w:pPr>
        <w:pStyle w:val="Normal"/>
        <w:widowControl/>
        <w:rPr/>
      </w:pPr>
      <w:r>
        <w:rPr/>
        <w:t>3. Legitimate pharmaceutical fentanyl shall not be treated as illicit merely because fentanyl is a priority contraband threat.</w:t>
      </w:r>
    </w:p>
    <w:p>
      <w:pPr>
        <w:pStyle w:val="Normal"/>
        <w:widowControl/>
        <w:rPr/>
      </w:pPr>
      <w:r>
        <w:rPr/>
        <w:t>4. This Article shall be read together with Package CE and its border-interdiction, proportionality, privacy, and no-fentanyl-tariff-shortcut safeguards.</w:t>
      </w:r>
    </w:p>
    <w:p>
      <w:bookmarkStart w:id="1907" w:name="_NAESTMA_TOC_1907"/>
      <w:pPr>
        <w:pStyle w:val="Heading2"/>
        <w:keepNext/>
        <w:widowControl/>
        <w:rPr/>
      </w:pPr>
      <w:r>
        <w:rPr/>
        <w:t>Article 63.26 — Fentanyl Enforcement Transparency and Chapter 66 Interface</w:t>
      </w:r>
      <w:bookmarkEnd w:id="1907"/>
    </w:p>
    <w:p>
      <w:pPr>
        <w:pStyle w:val="Normal"/>
        <w:widowControl/>
        <w:rPr/>
      </w:pPr>
      <w:r>
        <w:rPr/>
        <w:t>1. Pharmaceutical diversion and lawful controlled-medicine integrity under this Chapter shall use the Chapter 66 security-performance and reporting architecture for illicit fentanyl and precursor enforcement. Competent authorities may publish validated, non-sensitive aggregate measures concerning seizures, quantities where reliably measured, major enforcement actions, precursor interceptions, joint operations, trafficking direction where reliably established, and other agreed indicators without creating a separate pharmaceutical enforcement dashboard.</w:t>
      </w:r>
    </w:p>
    <w:p>
      <w:pPr>
        <w:pStyle w:val="Normal"/>
        <w:widowControl/>
        <w:rPr/>
      </w:pPr>
      <w:r>
        <w:rPr/>
        <w:t>2. Each Party shall publish accountability information at a frequency appropriate to operational conditions and data validation, using existing official channels and Chapter 66 reporting where practicable. Nothing in this paragraph requires disclosure on a fixed schedule where doing so would impair an investigation, distort incomplete data, or create a material operational risk.</w:t>
      </w:r>
    </w:p>
    <w:p>
      <w:pPr>
        <w:pStyle w:val="Normal"/>
        <w:widowControl/>
        <w:rPr/>
      </w:pPr>
      <w:r>
        <w:rPr/>
        <w:t>3. Publication shall not disclose personal information, protected intelligence, operationally sensitive methods, active-investigation details, or information that would materially assist traffickers.</w:t>
      </w:r>
    </w:p>
    <w:p>
      <w:bookmarkStart w:id="1908" w:name="_NAESTMA_TOC_1908"/>
      <w:pPr>
        <w:pStyle w:val="Heading2"/>
        <w:keepNext/>
        <w:widowControl/>
        <w:rPr/>
      </w:pPr>
      <w:r>
        <w:rPr/>
        <w:t>Article 63.27 — Pharmaceutical Investment Pipeline and Resilience Dashboard</w:t>
      </w:r>
      <w:bookmarkEnd w:id="1908"/>
    </w:p>
    <w:p>
      <w:pPr>
        <w:pStyle w:val="Normal"/>
        <w:widowControl/>
        <w:rPr/>
      </w:pPr>
      <w:r>
        <w:rPr/>
        <w:t>1. The Parties shall maintain a non-binding pipeline of identifiable pharmaceutical investments, including API/KSM plants, sterile and fill-finish capacity, biologics, vaccines, generics, isotope infrastructure, manufacturing inputs, logistics, and workforce projects.</w:t>
      </w:r>
    </w:p>
    <w:p>
      <w:pPr>
        <w:pStyle w:val="Normal"/>
        <w:widowControl/>
        <w:rPr/>
      </w:pPr>
      <w:r>
        <w:rPr/>
        <w:t>2. Public headline investment figures shall distinguish announced, financed, under-construction, completed, and operational projects. Unfunded aspirations shall not be represented as committed investment.</w:t>
      </w:r>
    </w:p>
    <w:p>
      <w:pPr>
        <w:pStyle w:val="Normal"/>
        <w:widowControl/>
        <w:rPr/>
      </w:pPr>
      <w:r>
        <w:rPr/>
        <w:t>3. A Pharmaceutical Resilience Dashboard shall report appropriate aggregate indicators concerning concentration risk, qualified alternative supply, capacity additions, shortages, workforce development, regulatory cooperation, and resilience improvements without exposing protected commercial or security information.</w:t>
      </w:r>
    </w:p>
    <w:p>
      <w:bookmarkStart w:id="1909" w:name="_NAESTMA_TOC_1909"/>
      <w:pPr>
        <w:pStyle w:val="Heading2"/>
        <w:keepNext/>
        <w:widowControl/>
        <w:rPr/>
      </w:pPr>
      <w:r>
        <w:rPr/>
        <w:t>Article 63.28 — Emergency Exercises and Continuous Improvement</w:t>
      </w:r>
      <w:bookmarkEnd w:id="1909"/>
    </w:p>
    <w:p>
      <w:pPr>
        <w:pStyle w:val="Normal"/>
        <w:widowControl/>
        <w:rPr/>
      </w:pPr>
      <w:r>
        <w:rPr/>
        <w:t>The Parties shall conduct periodic pharmaceutical supply-disruption exercises covering at least selected scenarios involving API interruption, sterile-facility outage, cold-chain failure, pandemic demand shock, isotope disruption, border interruption, or simultaneous multi-product shortage, and shall use lessons learned to update contingency arrangements.</w:t>
      </w:r>
    </w:p>
    <w:p>
      <w:bookmarkStart w:id="1910" w:name="_NAESTMA_TOC_1910"/>
      <w:pPr>
        <w:pStyle w:val="Heading2"/>
        <w:keepNext/>
        <w:widowControl/>
        <w:rPr/>
      </w:pPr>
      <w:r>
        <w:rPr/>
        <w:t>Article 63.29 — No New Supranational Pharmaceutical Government</w:t>
      </w:r>
      <w:bookmarkEnd w:id="1910"/>
    </w:p>
    <w:p>
      <w:pPr>
        <w:pStyle w:val="Normal"/>
        <w:widowControl/>
        <w:rPr/>
      </w:pPr>
      <w:r>
        <w:rPr/>
        <w:t>Implementation shall use the Commission, existing committees, competent regulators, designated national authorities, and time-limited technical groups wherever practicable. Nothing in this Chapter creates a pharmaceutical czar, permanent supranational secretariat, or authority empowered to direct sovereign drug approvals or national health systems.</w:t>
      </w:r>
    </w:p>
    <w:p>
      <w:bookmarkStart w:id="1911" w:name="_NAESTMA_TOC_1911"/>
      <w:pPr>
        <w:pStyle w:val="Heading2"/>
        <w:keepNext/>
        <w:widowControl/>
        <w:rPr/>
      </w:pPr>
      <w:r>
        <w:rPr/>
        <w:t>Article 63.30 — No Uncompensated Front-Loading</w:t>
      </w:r>
      <w:bookmarkEnd w:id="1911"/>
    </w:p>
    <w:p>
      <w:pPr>
        <w:pStyle w:val="Normal"/>
        <w:widowControl/>
        <w:rPr/>
      </w:pPr>
      <w:r>
        <w:rPr/>
        <w:t>Where a pharmaceutical manufacturing, procurement, investment, regulatory-facilitation, tariff, or market-access concession is expressly paired with corresponding performance by another Party, Article 35.36 applies, including matched activation where practicable, verification, a reasonable cure period, proportionate pause or step-back, and automatic restoration when performance resumes.</w:t>
      </w:r>
    </w:p>
    <w:p>
      <w:bookmarkStart w:id="1912" w:name="_NAESTMA_TOC_1912"/>
      <w:pPr>
        <w:pStyle w:val="Heading2"/>
        <w:keepNext/>
        <w:widowControl/>
        <w:rPr/>
      </w:pPr>
      <w:r>
        <w:rPr/>
        <w:t>Article 63.31 — Review and Evolution</w:t>
      </w:r>
      <w:bookmarkEnd w:id="1912"/>
    </w:p>
    <w:p>
      <w:pPr>
        <w:pStyle w:val="Normal"/>
        <w:widowControl/>
        <w:rPr/>
      </w:pPr>
      <w:r>
        <w:rPr/>
        <w:t>The Parties shall periodically review this Chapter in light of shortages, technological change, epidemiological risk, manufacturing economics, regulatory developments, supply concentration, and lessons from emergencies. Technical updates shall not create new tariff concessions, compulsory production quotas, mandatory expenditures, or automatic drug approvals without the procedures otherwise required by this Agreement.</w:t>
      </w:r>
      <w:r>
        <w:br w:type="page"/>
      </w:r>
    </w:p>
    <w:p>
      <w:bookmarkStart w:id="1913" w:name="_NAESTMA_TOC_1913"/>
      <w:pPr>
        <w:pStyle w:val="Heading1"/>
        <w:keepNext/>
        <w:keepLines w:val="0"/>
        <w:pageBreakBefore/>
        <w:widowControl/>
        <w:rPr/>
      </w:pPr>
      <w:r>
        <w:rPr/>
        <w:t>CHAPTER 64 — NORTH AMERICAN COMMERCIAL WINS LEDGER AND EXPORT OPPORTUNITY SCOREBOARD</w:t>
      </w:r>
      <w:bookmarkEnd w:id="1913"/>
    </w:p>
    <w:p>
      <w:pPr>
        <w:pStyle w:val="Normal"/>
        <w:widowControl/>
        <w:rPr/>
      </w:pPr>
      <w:r>
        <w:rPr/>
        <w:t xml:space="preserve">★ </w:t>
      </w:r>
      <w:r>
        <w:rPr/>
        <w:t>VISIBLE U.S. WIN: MEASURE AND CELEBRATE NEW AMERICAN EXPORT SALES, CONTRACTS, MARKET ACCESS, JOBS, AND STATE-LEVEL COMMERCIAL GAINS</w:t>
      </w:r>
    </w:p>
    <w:p>
      <w:bookmarkStart w:id="1914" w:name="_NAESTMA_TOC_1914"/>
      <w:pPr>
        <w:pStyle w:val="Heading2"/>
        <w:keepNext/>
        <w:widowControl/>
        <w:rPr/>
      </w:pPr>
      <w:r>
        <w:rPr/>
        <w:t>Article 64.1 — Purpose</w:t>
      </w:r>
      <w:bookmarkEnd w:id="1914"/>
    </w:p>
    <w:p>
      <w:pPr>
        <w:pStyle w:val="Normal"/>
        <w:widowControl/>
        <w:rPr/>
      </w:pPr>
      <w:r>
        <w:rPr/>
        <w:t>1. The Parties establish a transparent commercial-wins architecture that measures concrete economic opportunities created, expanded, restored, accelerated, or materially secured by this Agreement without requiring any Party to achieve a numerical bilateral trade balance.</w:t>
      </w:r>
    </w:p>
    <w:p>
      <w:pPr>
        <w:pStyle w:val="Normal"/>
        <w:widowControl/>
        <w:rPr/>
      </w:pPr>
      <w:r>
        <w:rPr/>
        <w:t>2. The architecture shall make commercially meaningful gains visible to governments, legislators, workers, firms, farmers, small and medium-sized enterprises, and the public while preserving statistical integrity and confidential information.</w:t>
      </w:r>
    </w:p>
    <w:p>
      <w:bookmarkStart w:id="1915" w:name="_NAESTMA_TOC_1915"/>
      <w:pPr>
        <w:pStyle w:val="Heading2"/>
        <w:keepNext/>
        <w:widowControl/>
        <w:rPr/>
      </w:pPr>
      <w:r>
        <w:rPr/>
        <w:t>Article 64.2 — No Bilateral Deficit Target or Automatic Deficit Trigger</w:t>
      </w:r>
      <w:bookmarkEnd w:id="1915"/>
    </w:p>
    <w:p>
      <w:pPr>
        <w:pStyle w:val="Normal"/>
        <w:widowControl/>
        <w:rPr/>
      </w:pPr>
      <w:r>
        <w:rPr/>
        <w:t>1. Nothing in this Agreement requires a Party to achieve, maintain, or target a specified bilateral trade balance, goods balance, services balance, current-account position, or export-to-import ratio.</w:t>
      </w:r>
    </w:p>
    <w:p>
      <w:pPr>
        <w:pStyle w:val="Normal"/>
        <w:widowControl/>
        <w:rPr/>
      </w:pPr>
      <w:r>
        <w:rPr/>
        <w:t>2. A bilateral trade deficit, standing alone, does not establish unfair trade, non-performance, breach, market-access failure, injury, circumvention, or entitlement to retaliation under this Agreement.</w:t>
      </w:r>
    </w:p>
    <w:p>
      <w:pPr>
        <w:pStyle w:val="Normal"/>
        <w:widowControl/>
        <w:rPr/>
      </w:pPr>
      <w:r>
        <w:rPr/>
        <w:t>3. Specific barriers, subsidies, discriminatory measures, origin violations, or other conduct may be addressed under the applicable provisions of this Agreement on their own merits.</w:t>
      </w:r>
    </w:p>
    <w:p>
      <w:bookmarkStart w:id="1916" w:name="_NAESTMA_TOC_1916"/>
      <w:pPr>
        <w:pStyle w:val="Heading2"/>
        <w:keepNext/>
        <w:widowControl/>
        <w:rPr/>
      </w:pPr>
      <w:r>
        <w:rPr/>
        <w:t>Article 64.3 — North American Commercial Wins Ledger</w:t>
      </w:r>
      <w:bookmarkEnd w:id="1916"/>
    </w:p>
    <w:p>
      <w:pPr>
        <w:pStyle w:val="Normal"/>
        <w:widowControl/>
        <w:rPr/>
      </w:pPr>
      <w:r>
        <w:rPr/>
        <w:t>1. The Parties shall maintain compatible national commercial-wins ledgers and a trilateral summary capable of identifying verified gains for the United States, Canada, and Mexico.</w:t>
      </w:r>
    </w:p>
    <w:p>
      <w:pPr>
        <w:pStyle w:val="Normal"/>
        <w:widowControl/>
        <w:rPr/>
      </w:pPr>
      <w:r>
        <w:rPr/>
        <w:t>2. The United States component may be presented as the U.S. Export Opportunity Ledger and shall prominently identify new American goods and services exports, contracts, market-access gains, procurement opportunities, investment-linked equipment and service sales, agricultural gains, and other measurable commercial benefits.</w:t>
      </w:r>
    </w:p>
    <w:p>
      <w:pPr>
        <w:pStyle w:val="Normal"/>
        <w:widowControl/>
        <w:rPr/>
      </w:pPr>
      <w:r>
        <w:rPr/>
        <w:t>3. Canada and Mexico may maintain equivalent national presentations using the same core integrity standards.</w:t>
      </w:r>
    </w:p>
    <w:p>
      <w:bookmarkStart w:id="1917" w:name="_NAESTMA_TOC_1917"/>
      <w:pPr>
        <w:pStyle w:val="Heading2"/>
        <w:keepNext/>
        <w:widowControl/>
        <w:rPr/>
      </w:pPr>
      <w:r>
        <w:rPr/>
        <w:t>Article 64.4 — Realized, Contracted and Enabled Accounts</w:t>
      </w:r>
      <w:bookmarkEnd w:id="1917"/>
    </w:p>
    <w:p>
      <w:pPr>
        <w:pStyle w:val="Normal"/>
        <w:widowControl/>
        <w:rPr/>
      </w:pPr>
      <w:r>
        <w:rPr/>
        <w:t>Commercial gains shall be distinguished as: (a) Realized, meaning exports or services actually delivered or performed; (b) Contracted, meaning legally committed future sales or services not yet fully performed; and (c) Enabled Opportunity, meaning credible newly accessible commercial opportunity for which a transaction has not yet occurred. These categories shall not be combined into an unlabeled aggregate that could reasonably imply that all enabled opportunities have been realized.</w:t>
      </w:r>
    </w:p>
    <w:p>
      <w:bookmarkStart w:id="1918" w:name="_NAESTMA_TOC_1918"/>
      <w:pPr>
        <w:pStyle w:val="Heading2"/>
        <w:keepNext/>
        <w:widowControl/>
        <w:rPr/>
      </w:pPr>
      <w:r>
        <w:rPr/>
        <w:t>Article 64.5 — Verified Commercial Additionality Standard</w:t>
      </w:r>
      <w:bookmarkEnd w:id="1918"/>
    </w:p>
    <w:p>
      <w:pPr>
        <w:pStyle w:val="Normal"/>
        <w:widowControl/>
        <w:rPr/>
      </w:pPr>
      <w:r>
        <w:rPr/>
        <w:t>1. A claimed NAESTMA commercial win shall be supported by evidence that the Agreement created, expanded, restored, accelerated, or materially secured the opportunity.</w:t>
      </w:r>
    </w:p>
    <w:p>
      <w:pPr>
        <w:pStyle w:val="Normal"/>
        <w:widowControl/>
        <w:rPr/>
      </w:pPr>
      <w:r>
        <w:rPr/>
        <w:t>2. Attribution may be classified as Direct, Strongly Attributable, or Enabled Opportunity. Mere post-entry-into-force growth does not by itself establish causation.</w:t>
      </w:r>
    </w:p>
    <w:p>
      <w:pPr>
        <w:pStyle w:val="Normal"/>
        <w:widowControl/>
        <w:rPr/>
      </w:pPr>
      <w:r>
        <w:rPr/>
        <w:t>3. Attribution methodology shall consider tariff changes, quotas, procurement openings, regulatory facilitation, customs changes, rules of origin, investment measures, supply-chain relocation, contractual evidence, exporter statements, and other relevant factors.</w:t>
      </w:r>
    </w:p>
    <w:p>
      <w:bookmarkStart w:id="1919" w:name="_NAESTMA_TOC_1919"/>
      <w:pPr>
        <w:pStyle w:val="Heading2"/>
        <w:keepNext/>
        <w:widowControl/>
        <w:rPr/>
      </w:pPr>
      <w:r>
        <w:rPr/>
        <w:t>Article 64.6 — Baselines and Counterfactual Discipline</w:t>
      </w:r>
      <w:bookmarkEnd w:id="1919"/>
    </w:p>
    <w:p>
      <w:pPr>
        <w:pStyle w:val="Normal"/>
        <w:widowControl/>
        <w:rPr/>
      </w:pPr>
      <w:r>
        <w:rPr/>
        <w:t>1. The Parties shall use reasonable pre-Agreement baselines, ordinarily drawing on multiple preceding periods where practicable, and shall identify extraordinary shocks that materially distort comparison.</w:t>
      </w:r>
    </w:p>
    <w:p>
      <w:pPr>
        <w:pStyle w:val="Normal"/>
        <w:widowControl/>
        <w:rPr/>
      </w:pPr>
      <w:r>
        <w:rPr/>
        <w:t>2. Weather, commodity prices, exchange rates, strikes, recessions, extraordinary demand shocks, supply failures, and other material non-Agreement causes shall be considered before attributing major changes to NAESTMA.</w:t>
      </w:r>
    </w:p>
    <w:p>
      <w:bookmarkStart w:id="1920" w:name="_NAESTMA_TOC_1920"/>
      <w:pPr>
        <w:pStyle w:val="Heading2"/>
        <w:keepNext/>
        <w:widowControl/>
        <w:rPr/>
      </w:pPr>
      <w:r>
        <w:rPr/>
        <w:t>Article 64.7 — Services, Intellectual Property and Supply-Chain Exports</w:t>
      </w:r>
      <w:bookmarkEnd w:id="1920"/>
    </w:p>
    <w:p>
      <w:pPr>
        <w:pStyle w:val="Normal"/>
        <w:widowControl/>
        <w:rPr/>
      </w:pPr>
      <w:r>
        <w:rPr/>
        <w:t>1. The Ledger shall include qualifying services exports, including engineering, finance, insurance, consulting, legal, education, digital, cloud, logistics, architecture, design, research, and other cross-border services.</w:t>
      </w:r>
    </w:p>
    <w:p>
      <w:pPr>
        <w:pStyle w:val="Normal"/>
        <w:widowControl/>
        <w:rPr/>
      </w:pPr>
      <w:r>
        <w:rPr/>
        <w:t>2. Intellectual-property and software licensing may be reported using realized revenue and separately identified contracted value.</w:t>
      </w:r>
    </w:p>
    <w:p>
      <w:pPr>
        <w:pStyle w:val="Normal"/>
        <w:widowControl/>
        <w:rPr/>
      </w:pPr>
      <w:r>
        <w:rPr/>
        <w:t>3. U.S., Canadian, or Mexican machinery, components, software, engineering, logistics, and other inputs sold into new cross-border investment projects may qualify where additionality is established.</w:t>
      </w:r>
    </w:p>
    <w:p>
      <w:pPr>
        <w:pStyle w:val="Normal"/>
        <w:widowControl/>
        <w:rPr/>
      </w:pPr>
      <w:r>
        <w:rPr/>
        <w:t>4. A Party's domestic industrial gain may simultaneously generate legitimate commercial gains for another Party; the Ledger shall not assume that one Party must lose for another Party to record a win.</w:t>
      </w:r>
    </w:p>
    <w:p>
      <w:bookmarkStart w:id="1921" w:name="_NAESTMA_TOC_1921"/>
      <w:pPr>
        <w:pStyle w:val="Heading2"/>
        <w:keepNext/>
        <w:widowControl/>
        <w:rPr/>
      </w:pPr>
      <w:r>
        <w:rPr/>
        <w:t>Article 64.8 — Effective Export Access Test</w:t>
      </w:r>
      <w:bookmarkEnd w:id="1921"/>
    </w:p>
    <w:p>
      <w:pPr>
        <w:pStyle w:val="Normal"/>
        <w:widowControl/>
        <w:rPr/>
      </w:pPr>
      <w:r>
        <w:rPr/>
        <w:t>Nominal market opening shall be distinguished from commercially usable access. Reporting should identify whether exporters can practically qualify, bid, ship, obtain approvals, secure listings, use quotas, clear customs, and complete transactions under the relevant concession.</w:t>
      </w:r>
    </w:p>
    <w:p>
      <w:bookmarkStart w:id="1922" w:name="_NAESTMA_TOC_1922"/>
      <w:pPr>
        <w:pStyle w:val="Heading2"/>
        <w:keepNext/>
        <w:widowControl/>
        <w:rPr/>
      </w:pPr>
      <w:r>
        <w:rPr/>
        <w:t>Article 64.9 — Sector and Geographic Classification</w:t>
      </w:r>
      <w:bookmarkEnd w:id="1922"/>
    </w:p>
    <w:p>
      <w:pPr>
        <w:pStyle w:val="Normal"/>
        <w:widowControl/>
        <w:rPr/>
      </w:pPr>
      <w:r>
        <w:rPr/>
        <w:t>The Ledger may classify gains by agriculture and food, automotive, aerospace, machinery, steel and aluminum, critical minerals, pharmaceuticals and medical devices, chemicals, energy, technology and digital services, finance, professional services, education, logistics, environmental technology, and other agreed categories.</w:t>
      </w:r>
    </w:p>
    <w:p>
      <w:pPr>
        <w:pStyle w:val="Normal"/>
        <w:widowControl/>
        <w:rPr/>
      </w:pPr>
      <w:r>
        <w:rPr/>
        <w:t>Where data permit, national presentations may identify gains by U.S. state and congressional district, Canadian province or territory, and Mexican state, together with SME participation and other useful regional measures.</w:t>
      </w:r>
    </w:p>
    <w:p>
      <w:bookmarkStart w:id="1923" w:name="_NAESTMA_TOC_1923"/>
      <w:pPr>
        <w:pStyle w:val="Heading2"/>
        <w:keepNext/>
        <w:widowControl/>
        <w:rPr/>
      </w:pPr>
      <w:r>
        <w:rPr/>
        <w:t>Article 64.10 — Forecast Accountability</w:t>
      </w:r>
      <w:bookmarkEnd w:id="1923"/>
    </w:p>
    <w:p>
      <w:pPr>
        <w:pStyle w:val="Normal"/>
        <w:widowControl/>
        <w:rPr/>
      </w:pPr>
      <w:r>
        <w:rPr/>
        <w:t>Where an official publication estimates the commercial opportunity expected from a material concession, the Ledger may preserve the estimate and later report observed outcomes, variance, and material explanations. Projections shall be clearly distinguished from realized results.</w:t>
      </w:r>
    </w:p>
    <w:p>
      <w:bookmarkStart w:id="1924" w:name="_NAESTMA_TOC_1924"/>
      <w:pPr>
        <w:pStyle w:val="Heading2"/>
        <w:keepNext/>
        <w:widowControl/>
        <w:rPr/>
      </w:pPr>
      <w:r>
        <w:rPr/>
        <w:t>Article 64.11 — No Double Counting, Revisions and Statistical Integrity</w:t>
      </w:r>
      <w:bookmarkEnd w:id="1924"/>
    </w:p>
    <w:p>
      <w:pPr>
        <w:pStyle w:val="Normal"/>
        <w:widowControl/>
        <w:rPr/>
      </w:pPr>
      <w:r>
        <w:rPr/>
        <w:t>1. The same transaction shall not be counted repeatedly merely because it qualifies under multiple sectors, chapters, programs, or political presentations.</w:t>
      </w:r>
    </w:p>
    <w:p>
      <w:pPr>
        <w:pStyle w:val="Normal"/>
        <w:widowControl/>
        <w:rPr/>
      </w:pPr>
      <w:r>
        <w:rPr/>
        <w:t>2. Cancelled, materially reduced, or revised contracts shall be corrected in subsequent reporting.</w:t>
      </w:r>
    </w:p>
    <w:p>
      <w:pPr>
        <w:pStyle w:val="Normal"/>
        <w:widowControl/>
        <w:rPr/>
      </w:pPr>
      <w:r>
        <w:rPr/>
        <w:t>3. Preliminary and final statistics shall be identified as such. Material revisions shall remain visible rather than silently rewriting historical performance.</w:t>
      </w:r>
    </w:p>
    <w:p>
      <w:pPr>
        <w:pStyle w:val="Normal"/>
        <w:widowControl/>
        <w:rPr/>
      </w:pPr>
      <w:r>
        <w:rPr/>
        <w:t>4. Presentation may gamify verified performance; it may not alter the underlying measurement methodology.</w:t>
      </w:r>
    </w:p>
    <w:p>
      <w:bookmarkStart w:id="1925" w:name="_NAESTMA_TOC_1925"/>
      <w:pPr>
        <w:pStyle w:val="Heading2"/>
        <w:keepNext/>
        <w:widowControl/>
        <w:rPr/>
      </w:pPr>
      <w:r>
        <w:rPr/>
        <w:t>Article 64.12 — Voluntary Commercial-Win Registration</w:t>
      </w:r>
      <w:bookmarkEnd w:id="1925"/>
    </w:p>
    <w:p>
      <w:pPr>
        <w:pStyle w:val="Normal"/>
        <w:widowControl/>
        <w:rPr/>
      </w:pPr>
      <w:r>
        <w:rPr/>
        <w:t>Exporters may voluntarily submit qualifying contracts, sales, market-access gains, or success stories for verification. Procedures shall protect trade secrets, commercially sensitive terms, personal information, and other protected information while permitting publication of useful aggregate or sanitized results.</w:t>
      </w:r>
    </w:p>
    <w:p>
      <w:bookmarkStart w:id="1926" w:name="_NAESTMA_TOC_1926"/>
      <w:pPr>
        <w:pStyle w:val="Heading2"/>
        <w:keepNext/>
        <w:widowControl/>
        <w:rPr/>
      </w:pPr>
      <w:r>
        <w:rPr/>
        <w:t>Article 64.13 — Commercial Friction Register</w:t>
      </w:r>
      <w:bookmarkEnd w:id="1926"/>
    </w:p>
    <w:p>
      <w:pPr>
        <w:pStyle w:val="Normal"/>
        <w:widowControl/>
        <w:rPr/>
      </w:pPr>
      <w:r>
        <w:rPr/>
        <w:t>The Parties may maintain a diagnostic register of concessions that appear capable of generating meaningful commercial gains but remain materially underused. The register may identify regulatory friction, customs delays, documentation burdens, procurement obstacles, qualification difficulties, lack of suppliers, price competitiveness, infrastructure constraints, or other explanations without presuming treaty breach.</w:t>
      </w:r>
    </w:p>
    <w:p>
      <w:bookmarkStart w:id="1927" w:name="_NAESTMA_TOC_1927"/>
      <w:pPr>
        <w:pStyle w:val="Heading2"/>
        <w:keepNext/>
        <w:widowControl/>
        <w:rPr/>
      </w:pPr>
      <w:r>
        <w:rPr/>
        <w:t>Article 64.14 — Trade-Balance Context</w:t>
      </w:r>
      <w:bookmarkEnd w:id="1927"/>
    </w:p>
    <w:p>
      <w:pPr>
        <w:pStyle w:val="Normal"/>
        <w:widowControl/>
        <w:rPr/>
      </w:pPr>
      <w:r>
        <w:rPr/>
        <w:t>Where a Party publicly reports bilateral trade balances in connection with NAESTMA performance, it should, where data are reasonably available, provide sufficient context to distinguish goods trade, services trade, total bilateral trade, and major structural categories. The trade balance itself shall not replace the Commercial Wins Ledger as the principal performance measure under this Chapter.</w:t>
      </w:r>
    </w:p>
    <w:p>
      <w:bookmarkStart w:id="1928" w:name="_NAESTMA_TOC_1928"/>
      <w:pPr>
        <w:pStyle w:val="Heading2"/>
        <w:keepNext/>
        <w:widowControl/>
        <w:rPr/>
      </w:pPr>
      <w:r>
        <w:rPr/>
        <w:t>Article 64.15 — Public Commercial Wins Dashboard</w:t>
      </w:r>
      <w:bookmarkEnd w:id="1928"/>
    </w:p>
    <w:p>
      <w:pPr>
        <w:pStyle w:val="Normal"/>
        <w:widowControl/>
        <w:rPr/>
      </w:pPr>
      <w:r>
        <w:rPr/>
        <w:t>1. Each Party may maintain a public digital dashboard using verified Ledger data. Features may include export totals, new deals, contract values, sector tickers, geographic maps, SME participation, jobs supported using published methodology, milestones, records, and success stories.</w:t>
      </w:r>
    </w:p>
    <w:p>
      <w:pPr>
        <w:pStyle w:val="Normal"/>
        <w:widowControl/>
        <w:rPr/>
      </w:pPr>
      <w:r>
        <w:rPr/>
        <w:t>2. National interfaces may emphasize the priorities and political presentation preferred by that Party without changing the verified underlying data.</w:t>
      </w:r>
    </w:p>
    <w:p>
      <w:bookmarkStart w:id="1929" w:name="_NAESTMA_TOC_1929"/>
      <w:pPr>
        <w:pStyle w:val="Heading2"/>
        <w:keepNext/>
        <w:widowControl/>
        <w:rPr/>
      </w:pPr>
      <w:r>
        <w:rPr/>
        <w:t>Article 64.16 — Optional Public Presentation and Achievement Features</w:t>
      </w:r>
      <w:bookmarkEnd w:id="1929"/>
    </w:p>
    <w:p>
      <w:pPr>
        <w:pStyle w:val="Normal"/>
        <w:widowControl/>
        <w:rPr/>
      </w:pPr>
      <w:r>
        <w:rPr/>
        <w:t>1. A Party may, entirely at its discretion and outside the legally operative compliance architecture, use leaderboards, records, milestones, personal-best indicators, sector races, state or subnational rankings, export-win spotlights, achievement badges, streaks, and similar public-engagement features in a national interface.</w:t>
      </w:r>
    </w:p>
    <w:p>
      <w:pPr>
        <w:pStyle w:val="Normal"/>
        <w:widowControl/>
        <w:rPr/>
      </w:pPr>
      <w:r>
        <w:rPr/>
        <w:t>2. Ranking systems should offer multiple categories, including absolute value, percentage growth, new exporters, SME growth, sector gains, diversification, and personal records, so that smaller jurisdictions are not rendered permanently noncompetitive by scale alone.</w:t>
      </w:r>
    </w:p>
    <w:p>
      <w:pPr>
        <w:pStyle w:val="Normal"/>
        <w:widowControl/>
        <w:rPr/>
      </w:pPr>
      <w:r>
        <w:rPr/>
        <w:t>3. No Party is required to operate, fund, recognize, interoperate with, or preserve any achievement feature. No achievement, badge, ranking, streak, or visual effect constitutes a legal finding, entitlement, tariff trigger, evidence of breach, treaty benefit, or condition of treaty compliance.</w:t>
      </w:r>
    </w:p>
    <w:p>
      <w:bookmarkStart w:id="1930" w:name="_NAESTMA_TOC_1930"/>
      <w:pPr>
        <w:pStyle w:val="Heading2"/>
        <w:keepNext/>
        <w:widowControl/>
        <w:rPr/>
      </w:pPr>
      <w:r>
        <w:rPr/>
        <w:t>Article 64.17 — Optional Export Wins Application</w:t>
      </w:r>
      <w:bookmarkEnd w:id="1930"/>
    </w:p>
    <w:p>
      <w:pPr>
        <w:pStyle w:val="Normal"/>
        <w:widowControl/>
        <w:rPr/>
      </w:pPr>
      <w:r>
        <w:rPr/>
        <w:t>A Party may develop an optional website, mobile application, or other public interface consuming verified Ledger data. Such an interface may provide milestone alerts, personalized state or regional views, exporter tools, commercial success stories, sector comparisons, and other engagement features. No Party is required to adopt another Party's branding, interface, or political presentation.</w:t>
      </w:r>
    </w:p>
    <w:p>
      <w:bookmarkStart w:id="1931" w:name="_NAESTMA_TOC_1931"/>
      <w:pPr>
        <w:pStyle w:val="Heading2"/>
        <w:keepNext/>
        <w:widowControl/>
        <w:rPr/>
      </w:pPr>
      <w:r>
        <w:rPr/>
        <w:t>Article 64.18 — Optional Public Forecasting Interface</w:t>
      </w:r>
      <w:bookmarkEnd w:id="1931"/>
    </w:p>
    <w:p>
      <w:pPr>
        <w:pStyle w:val="Normal"/>
        <w:widowControl/>
        <w:rPr/>
      </w:pPr>
      <w:r>
        <w:rPr/>
        <w:t>1. A Party may, entirely outside the legally operative compliance architecture, operate a voluntary non-monetary public prediction or education interface concerning future outcomes derived from publicly resolvable NAESTMA commercial data. No Party is required to create, fund, recognize, interoperate with, or continue such an interface.</w:t>
      </w:r>
    </w:p>
    <w:p>
      <w:pPr>
        <w:pStyle w:val="Normal"/>
        <w:widowControl/>
        <w:rPr/>
      </w:pPr>
      <w:r>
        <w:rPr/>
        <w:t>2. Participants may receive an equal periodic allocation of Forecast Tokens that cannot be purchased with money, sold, transferred, borrowed, lent, converted to cash, redeemed for cash equivalents, or exchanged for anything having real-world monetary value.</w:t>
      </w:r>
    </w:p>
    <w:p>
      <w:pPr>
        <w:pStyle w:val="Normal"/>
        <w:widowControl/>
        <w:rPr/>
      </w:pPr>
      <w:r>
        <w:rPr/>
        <w:t>3. Forecast Tokens shall expire at the end of the stated allocation period and shall not roll over. Successful forecasting shall not increase a participant's future token allocation.</w:t>
      </w:r>
    </w:p>
    <w:p>
      <w:pPr>
        <w:pStyle w:val="Normal"/>
        <w:widowControl/>
        <w:rPr/>
      </w:pPr>
      <w:r>
        <w:rPr/>
        <w:t>4. Participants may allocate Forecast Tokens among eligible forecast questions. Correct predictions may generate permanent non-monetary Forecast Points, accuracy records, streaks, badges, or other reputation indicators on a personal ledger associated with the participant's username.</w:t>
      </w:r>
    </w:p>
    <w:p>
      <w:bookmarkStart w:id="1932" w:name="_NAESTMA_TOC_1932"/>
      <w:pPr>
        <w:pStyle w:val="Heading2"/>
        <w:keepNext/>
        <w:widowControl/>
        <w:rPr/>
      </w:pPr>
      <w:r>
        <w:rPr/>
        <w:t>Article 64.19 — Optional Non-Monetary Interface Customization</w:t>
      </w:r>
      <w:bookmarkEnd w:id="1932"/>
    </w:p>
    <w:p>
      <w:pPr>
        <w:pStyle w:val="Normal"/>
        <w:widowControl/>
        <w:rPr/>
      </w:pPr>
      <w:r>
        <w:rPr/>
        <w:t>1. If a Party operates the optional interface in Article 64.18, it may permit participants to use part or all of a current non-monetary Forecast Token allocation to obtain cosmetic customization for an avatar, username profile, personal ledger, dashboard appearance, badge frame, sector theme, geographic banner, or similar digital feature. Such customization exists solely within the administering Party's voluntary public interface.</w:t>
      </w:r>
    </w:p>
    <w:p>
      <w:pPr>
        <w:pStyle w:val="Normal"/>
        <w:widowControl/>
        <w:rPr/>
      </w:pPr>
      <w:r>
        <w:rPr/>
        <w:t>2. Cosmetics may persist after the Forecast Tokens used to obtain them expire. Eligibility for selected cosmetics may depend on forecasting achievements, participation milestones, sector expertise, or other transparent non-monetary criteria.</w:t>
      </w:r>
    </w:p>
    <w:p>
      <w:pPr>
        <w:pStyle w:val="Normal"/>
        <w:widowControl/>
        <w:rPr/>
      </w:pPr>
      <w:r>
        <w:rPr/>
        <w:t>3. Cosmetics shall have no cash value, shall not be redeemable for money or transferable for consideration, and shall not confer additional forecasting power, privileged information, government benefits, procurement advantages, or legal rights.</w:t>
      </w:r>
    </w:p>
    <w:p>
      <w:pPr>
        <w:pStyle w:val="Normal"/>
        <w:widowControl/>
        <w:rPr/>
      </w:pPr>
      <w:r>
        <w:rPr/>
        <w:t>4. Randomized paid loot-box mechanics are prohibited. A participant shall know the cosmetic item or clearly defined non-monetary outcome received for the stated token cost.</w:t>
      </w:r>
    </w:p>
    <w:p>
      <w:bookmarkStart w:id="1933" w:name="_NAESTMA_TOC_1933"/>
      <w:pPr>
        <w:pStyle w:val="Heading2"/>
        <w:keepNext/>
        <w:widowControl/>
        <w:rPr/>
      </w:pPr>
      <w:r>
        <w:rPr/>
        <w:t>Article 64.20 — Optional Forecasting Interface Integrity and Safety</w:t>
      </w:r>
      <w:bookmarkEnd w:id="1933"/>
    </w:p>
    <w:p>
      <w:pPr>
        <w:pStyle w:val="Normal"/>
        <w:widowControl/>
        <w:rPr/>
      </w:pPr>
      <w:r>
        <w:rPr/>
        <w:t>1. Forecast questions shall state resolution criteria, data source, closing time, and treatment of preliminary or revised statistics before predictions close.</w:t>
      </w:r>
    </w:p>
    <w:p>
      <w:pPr>
        <w:pStyle w:val="Normal"/>
        <w:widowControl/>
        <w:rPr/>
      </w:pPr>
      <w:r>
        <w:rPr/>
        <w:t>2. Questions shall use public or appropriately releasable information and shall not solicit predictions concerning deaths, individual medical outcomes, violent incidents, enforcement raids, or other categories the administering Party determines inappropriate for civic gamification.</w:t>
      </w:r>
    </w:p>
    <w:p>
      <w:pPr>
        <w:pStyle w:val="Normal"/>
        <w:widowControl/>
        <w:rPr/>
      </w:pPr>
      <w:r>
        <w:rPr/>
        <w:t>3. The administering Party shall maintain reasonable anti-bot, multi-account, manipulation, and conflict-of-interest controls and may establish separate categories for officials, industry participants, students, experts, or the general public.</w:t>
      </w:r>
    </w:p>
    <w:p>
      <w:pPr>
        <w:pStyle w:val="Normal"/>
        <w:widowControl/>
        <w:rPr/>
      </w:pPr>
      <w:r>
        <w:rPr/>
        <w:t>4. Public consensus forecasts are informational only and shall not determine official statistics, regulatory decisions, tariff treatment, procurement decisions, or treaty compliance.</w:t>
      </w:r>
    </w:p>
    <w:p>
      <w:bookmarkStart w:id="1934" w:name="_NAESTMA_TOC_1934"/>
      <w:pPr>
        <w:pStyle w:val="Heading2"/>
        <w:keepNext/>
        <w:widowControl/>
        <w:rPr/>
      </w:pPr>
      <w:r>
        <w:rPr/>
        <w:t>Article 64.21 — Optional Public Forecast Consensus and Learning</w:t>
      </w:r>
      <w:bookmarkEnd w:id="1934"/>
    </w:p>
    <w:p>
      <w:pPr>
        <w:pStyle w:val="Normal"/>
        <w:widowControl/>
        <w:rPr/>
      </w:pPr>
      <w:r>
        <w:rPr/>
        <w:t>The Forecast Arena may publish aggregate public forecasts, sector-specific consensus, official model forecasts where available, and resolved outcomes. Educational prompts may be used to improve public understanding of goods and services trade, intermediate inputs, regional supply chains, market access, export additionality, and other trade concepts.</w:t>
      </w:r>
    </w:p>
    <w:p>
      <w:bookmarkStart w:id="1935" w:name="_NAESTMA_TOC_1935"/>
      <w:pPr>
        <w:pStyle w:val="Heading2"/>
        <w:keepNext/>
        <w:widowControl/>
        <w:rPr/>
      </w:pPr>
      <w:r>
        <w:rPr/>
        <w:t>Article 64.22 — Data Verification and Existing Institutions</w:t>
      </w:r>
      <w:bookmarkEnd w:id="1935"/>
    </w:p>
    <w:p>
      <w:pPr>
        <w:pStyle w:val="Normal"/>
        <w:widowControl/>
        <w:rPr/>
      </w:pPr>
      <w:r>
        <w:rPr/>
        <w:t>Implementation should rely on existing statistical agencies, customs authorities, trade ministries, the Commission, and competent national institutions wherever practicable. Nothing in this Chapter requires a fixed staffing level, a new permanent supranational agency, or disclosure of protected company-level data.</w:t>
      </w:r>
    </w:p>
    <w:p>
      <w:bookmarkStart w:id="1936" w:name="_NAESTMA_TOC_1936"/>
      <w:pPr>
        <w:pStyle w:val="Heading2"/>
        <w:keepNext/>
        <w:widowControl/>
        <w:rPr/>
      </w:pPr>
      <w:r>
        <w:rPr/>
        <w:t>Article 64.23 — Symmetry and National Presentation Freedom</w:t>
      </w:r>
      <w:bookmarkEnd w:id="1936"/>
    </w:p>
    <w:p>
      <w:pPr>
        <w:pStyle w:val="Normal"/>
        <w:widowControl/>
        <w:rPr/>
      </w:pPr>
      <w:r>
        <w:rPr/>
        <w:t>The United States, Canada, and Mexico may each foreground its own commercial wins and design its own public-facing presentation. Core measurement categories and verification principles should remain interoperable so that national claims can be reconciled to a common evidentiary base.</w:t>
      </w:r>
    </w:p>
    <w:p>
      <w:bookmarkStart w:id="1937" w:name="_NAESTMA_TOC_1937"/>
      <w:pPr>
        <w:pStyle w:val="Heading2"/>
        <w:keepNext/>
        <w:widowControl/>
        <w:rPr/>
      </w:pPr>
      <w:r>
        <w:rPr/>
        <w:t>Article 64.24 — Governing Principle</w:t>
      </w:r>
      <w:bookmarkEnd w:id="1937"/>
    </w:p>
    <w:p>
      <w:pPr>
        <w:pStyle w:val="Normal"/>
        <w:widowControl/>
        <w:rPr/>
      </w:pPr>
      <w:r>
        <w:rPr/>
        <w:t>The Commercial Wins architecture is a reporting and public-accountability methodology intended to redirect attention from a single bilateral accounting balance toward measurable opportunities created by expanding lawful trade. Except where another Article expressly imposes a data-integrity, non-discrimination, or reporting obligation, Chapter 64 does not create a market-access entitlement, tariff trigger, procurement obligation, or independent basis for retaliation. The objective is not to manufacture impressive numbers, but to make genuine commercial gains visible, comparable, competitive, and politically durable.</w:t>
      </w:r>
      <w:r>
        <w:br w:type="page"/>
      </w:r>
    </w:p>
    <w:p>
      <w:bookmarkStart w:id="1938" w:name="_NAESTMA_TOC_1938"/>
      <w:pPr>
        <w:pStyle w:val="Heading1"/>
        <w:keepNext/>
        <w:keepLines w:val="0"/>
        <w:pageBreakBefore/>
        <w:widowControl/>
        <w:rPr/>
      </w:pPr>
      <w:r>
        <w:rPr>
          <w:b/>
          <w:i w:val="false"/>
          <w:sz w:val="30"/>
        </w:rPr>
        <w:t>CHAPTER 65 — NORTH AMERICAN RECIPROCAL PROCUREMENT COMPACT</w:t>
      </w:r>
      <w:bookmarkEnd w:id="1938"/>
    </w:p>
    <w:p>
      <w:pPr>
        <w:pStyle w:val="Normal"/>
        <w:widowControl/>
        <w:rPr/>
      </w:pPr>
      <w:r>
        <w:rPr>
          <w:b/>
          <w:i w:val="false"/>
          <w:sz w:val="24"/>
        </w:rPr>
        <w:t xml:space="preserve">★ </w:t>
      </w:r>
      <w:r>
        <w:rPr>
          <w:b/>
          <w:i w:val="false"/>
          <w:sz w:val="24"/>
        </w:rPr>
        <w:t>VISIBLE TRILATERAL WIN: OPEN REAL NORTH AMERICAN INFRASTRUCTURE AND INDUSTRIAL PROCUREMENT OPPORTUNITIES WITHOUT BLANKET BUY-AMERICAN SURRENDER</w:t>
      </w:r>
    </w:p>
    <w:p>
      <w:bookmarkStart w:id="1939" w:name="_NAESTMA_TOC_1939"/>
      <w:pPr>
        <w:pStyle w:val="Heading2"/>
        <w:keepNext/>
        <w:widowControl/>
        <w:rPr/>
      </w:pPr>
      <w:r>
        <w:rPr>
          <w:b/>
          <w:i w:val="false"/>
        </w:rPr>
        <w:t>Article 65.1 — Purpose</w:t>
      </w:r>
      <w:bookmarkEnd w:id="1939"/>
    </w:p>
    <w:p>
      <w:pPr>
        <w:pStyle w:val="Normal"/>
        <w:widowControl/>
        <w:rPr/>
      </w:pPr>
      <w:r>
        <w:rPr>
          <w:b w:val="false"/>
          <w:i w:val="false"/>
        </w:rPr>
        <w:t>1. The Parties establish a reciprocal, project-specific procurement architecture to create measurable opportunities for qualified United States, Canadian, and Mexican suppliers while preserving lawful domestic procurement authority, security exceptions, subnational autonomy, competition, and applicable environmental, labour, Indigenous-rights, safety, and regulatory requirements.</w:t>
      </w:r>
    </w:p>
    <w:p>
      <w:pPr>
        <w:pStyle w:val="Normal"/>
        <w:widowControl/>
        <w:rPr/>
      </w:pPr>
      <w:r>
        <w:rPr>
          <w:b w:val="false"/>
          <w:i w:val="false"/>
        </w:rPr>
        <w:t>2. The Compact is designed to make reciprocal infrastructure and industrial opportunities politically visible without converting access into guaranteed awards or requiring economy-wide waivers of domestic procurement preferences.</w:t>
      </w:r>
    </w:p>
    <w:p>
      <w:bookmarkStart w:id="1940" w:name="_NAESTMA_TOC_1940"/>
      <w:pPr>
        <w:pStyle w:val="Heading2"/>
        <w:keepNext/>
        <w:widowControl/>
        <w:rPr/>
      </w:pPr>
      <w:r>
        <w:rPr/>
        <w:t>Article 65.2 — 370-Entry Candidate Opportunity Portfolio</w:t>
      </w:r>
      <w:bookmarkEnd w:id="1940"/>
    </w:p>
    <w:p>
      <w:pPr>
        <w:pStyle w:val="Normal"/>
        <w:widowControl/>
        <w:rPr/>
      </w:pPr>
      <w:r>
        <w:rPr/>
        <w:t>1. Annex 65-A records 370 candidate procurement opportunity keepers for verification, designation, programmatic use, development, substitution, or future maturation. Inclusion preserves the research and negotiating record but does not itself create a procurement commitment, certify project value, require a project to proceed, or confer treaty status on an entry.</w:t>
      </w:r>
    </w:p>
    <w:p>
      <w:pPr>
        <w:pStyle w:val="Normal"/>
        <w:widowControl/>
        <w:rPr/>
      </w:pPr>
      <w:r>
        <w:rPr/>
        <w:t>2. The 370-entry candidate inventory may be preserved as a non-binding research baseline even where a named project is completed, cancelled, delayed, privately controlled, jurisdictionally unavailable, technologically immature, or otherwise unsuitable for designation. Only an opportunity that satisfies Article 65.8 and is affirmatively designated under Article 65.4 acquires the legal effect stated in its certificate or schedule.</w:t>
      </w:r>
    </w:p>
    <w:p>
      <w:bookmarkStart w:id="1941" w:name="_NAESTMA_TOC_1941"/>
      <w:pPr>
        <w:pStyle w:val="Heading2"/>
        <w:keepNext/>
        <w:widowControl/>
        <w:rPr/>
      </w:pPr>
      <w:r>
        <w:rPr>
          <w:b/>
          <w:i w:val="false"/>
        </w:rPr>
        <w:t>Article 65.3 — Priority and Maturity Classes</w:t>
      </w:r>
      <w:bookmarkEnd w:id="1941"/>
    </w:p>
    <w:p>
      <w:pPr>
        <w:pStyle w:val="Normal"/>
        <w:widowControl/>
        <w:rPr/>
      </w:pPr>
      <w:r>
        <w:rPr/>
        <w:t>1. For portfolio management, the initial candidate register records 30 Flagship, 44 Anchor, 198 Program, and 98 Development keepers. These counts and labels are non-binding metadata for verification and presentation priority and are not minimum treaty obligations.</w:t>
      </w:r>
    </w:p>
    <w:p>
      <w:pPr>
        <w:pStyle w:val="Normal"/>
        <w:widowControl/>
        <w:rPr/>
      </w:pPr>
      <w:r>
        <w:rPr/>
        <w:t>2. A keeper may move among classes as evidence, project maturity, procurement availability, jurisdictional participation, technology, or negotiating priorities change. Reclassification, retirement, or non-maturation of a candidate does not constitute non-compliance.</w:t>
      </w:r>
    </w:p>
    <w:p>
      <w:bookmarkStart w:id="1942" w:name="_NAESTMA_TOC_1942"/>
      <w:pPr>
        <w:pStyle w:val="Heading2"/>
        <w:keepNext/>
        <w:widowControl/>
        <w:rPr/>
      </w:pPr>
      <w:r>
        <w:rPr>
          <w:b/>
          <w:i w:val="false"/>
        </w:rPr>
        <w:t>Article 65.4 — Project-Specific Reciprocity and Affirmative Designation</w:t>
      </w:r>
      <w:bookmarkEnd w:id="1942"/>
    </w:p>
    <w:p>
      <w:pPr>
        <w:pStyle w:val="Normal"/>
        <w:widowControl/>
        <w:rPr/>
      </w:pPr>
      <w:r>
        <w:rPr>
          <w:b w:val="false"/>
          <w:i w:val="false"/>
        </w:rPr>
        <w:t>1. Reciprocal treatment arises only for a project, program, procurement lot, threshold, or schedule affirmatively designated by the competent participating authority. No automatic economy-wide waiver or automatic inclusion of future projects is created.</w:t>
      </w:r>
    </w:p>
    <w:p>
      <w:pPr>
        <w:pStyle w:val="Normal"/>
        <w:widowControl/>
        <w:rPr/>
      </w:pPr>
      <w:r>
        <w:rPr>
          <w:b w:val="false"/>
          <w:i w:val="false"/>
        </w:rPr>
        <w:t>2. A Party may decline to designate a candidate without breaching this Chapter where competent authority, procurement status, funding, rights review, security, technical feasibility, or other lawful conditions do not support designation.</w:t>
      </w:r>
    </w:p>
    <w:p>
      <w:bookmarkStart w:id="1943" w:name="_NAESTMA_TOC_1943"/>
      <w:pPr>
        <w:pStyle w:val="Heading2"/>
        <w:keepNext/>
        <w:widowControl/>
        <w:rPr/>
      </w:pPr>
      <w:r>
        <w:rPr>
          <w:b/>
          <w:i w:val="false"/>
        </w:rPr>
        <w:t>Article 65.5 — No Blanket Buy American Waiver</w:t>
      </w:r>
      <w:bookmarkEnd w:id="1943"/>
    </w:p>
    <w:p>
      <w:pPr>
        <w:pStyle w:val="Normal"/>
        <w:widowControl/>
        <w:rPr/>
      </w:pPr>
      <w:r>
        <w:rPr>
          <w:b w:val="false"/>
          <w:i w:val="false"/>
        </w:rPr>
        <w:t>No Party is required to provide a blanket, unconditional, standing, or economy-wide exemption from Buy American, Buy America, Canadian, Mexican, provincial, territorial, state, local, or other lawful domestic procurement preferences. Any reciprocal opening shall be bounded by the applicable certificate or schedule.</w:t>
      </w:r>
    </w:p>
    <w:p>
      <w:bookmarkStart w:id="1944" w:name="_NAESTMA_TOC_1944"/>
      <w:pPr>
        <w:pStyle w:val="Heading2"/>
        <w:keepNext/>
        <w:widowControl/>
        <w:rPr/>
      </w:pPr>
      <w:r>
        <w:rPr>
          <w:b/>
          <w:i w:val="false"/>
        </w:rPr>
        <w:t>Article 65.6 — Opportunity, Not Award</w:t>
      </w:r>
      <w:bookmarkEnd w:id="1944"/>
    </w:p>
    <w:p>
      <w:pPr>
        <w:pStyle w:val="Normal"/>
        <w:widowControl/>
        <w:rPr/>
      </w:pPr>
      <w:r>
        <w:rPr>
          <w:b w:val="false"/>
          <w:i w:val="false"/>
        </w:rPr>
        <w:t>1. Reciprocity concerns meaningful access to compete, not guaranteed contract awards. No provision of this Chapter preselects a supplier, factory, contractor, mill, technology provider, or country of award.</w:t>
      </w:r>
    </w:p>
    <w:p>
      <w:pPr>
        <w:pStyle w:val="Normal"/>
        <w:widowControl/>
        <w:rPr/>
      </w:pPr>
      <w:r>
        <w:rPr>
          <w:b w:val="false"/>
          <w:i w:val="false"/>
        </w:rPr>
        <w:t>2. Company, facility, employment, tonnage, and contract-value examples developed during negotiation are research leads only unless independently verified and incorporated through a lawful procurement instrument.</w:t>
      </w:r>
    </w:p>
    <w:p>
      <w:bookmarkStart w:id="1945" w:name="_NAESTMA_TOC_1945"/>
      <w:pPr>
        <w:pStyle w:val="Heading2"/>
        <w:keepNext/>
        <w:widowControl/>
        <w:rPr/>
      </w:pPr>
      <w:r>
        <w:rPr>
          <w:b/>
          <w:i w:val="false"/>
        </w:rPr>
        <w:t>Article 65.7 — Procurement Opportunity Certificate</w:t>
      </w:r>
      <w:bookmarkEnd w:id="1945"/>
    </w:p>
    <w:p>
      <w:pPr>
        <w:pStyle w:val="Normal"/>
        <w:widowControl/>
        <w:rPr/>
      </w:pPr>
      <w:r>
        <w:rPr>
          <w:b w:val="false"/>
          <w:i w:val="false"/>
        </w:rPr>
        <w:t>Each designated named opportunity shall receive a Procurement Opportunity Certificate identifying, as applicable: project identifier; project or program name; competent jurisdiction; procurement authority; project and procurement status; covered opportunity; estimated eligible value or ceiling; reciprocal portfolio; participating Parties; content treatment; rights, environmental, labour, safety, privacy, security, and regulatory conditions; opening and expiry; Chapter 64 Ledger identifier; and verification source and date.</w:t>
      </w:r>
    </w:p>
    <w:p>
      <w:bookmarkStart w:id="1946" w:name="_NAESTMA_TOC_1946"/>
      <w:pPr>
        <w:pStyle w:val="Heading2"/>
        <w:keepNext/>
        <w:widowControl/>
        <w:rPr/>
      </w:pPr>
      <w:r>
        <w:rPr>
          <w:b/>
          <w:i w:val="false"/>
        </w:rPr>
        <w:t>Article 65.8 — Verification Ladder</w:t>
      </w:r>
      <w:bookmarkEnd w:id="1946"/>
    </w:p>
    <w:p>
      <w:pPr>
        <w:pStyle w:val="Normal"/>
        <w:widowControl/>
        <w:rPr/>
      </w:pPr>
      <w:r>
        <w:rPr>
          <w:b w:val="false"/>
          <w:i w:val="false"/>
        </w:rPr>
        <w:t>A candidate may be classified V1 Conceptual, V2 Project Verified, V3 Procurement Verified, V4 Authority Verified, or V5 Schedule Ready. Only V5 opportunities may be represented as binding designated openings in the Initial Designated Procurement Schedule. Verification shall be revisited when material circumstances change.</w:t>
      </w:r>
    </w:p>
    <w:p>
      <w:bookmarkStart w:id="1947" w:name="_NAESTMA_TOC_1947"/>
      <w:pPr>
        <w:pStyle w:val="Heading2"/>
        <w:keepNext/>
        <w:widowControl/>
        <w:rPr/>
      </w:pPr>
      <w:r>
        <w:rPr>
          <w:b/>
          <w:i w:val="false"/>
        </w:rPr>
        <w:t>Article 65.9 — Procurement Value Integrity</w:t>
      </w:r>
      <w:bookmarkEnd w:id="1947"/>
    </w:p>
    <w:p>
      <w:pPr>
        <w:pStyle w:val="Normal"/>
        <w:widowControl/>
        <w:rPr/>
      </w:pPr>
      <w:r>
        <w:rPr>
          <w:b w:val="false"/>
          <w:i w:val="false"/>
        </w:rPr>
        <w:t>Public and treaty reporting shall distinguish Total Project Value, Potential Procurement Value, Designated Reciprocal Opportunity Value, Tendered Value, Awarded Value, and Delivered Value. The total value of a project shall not be represented as opened reciprocal procurement where only a smaller portion is actually available.</w:t>
      </w:r>
    </w:p>
    <w:p>
      <w:bookmarkStart w:id="1948" w:name="_NAESTMA_TOC_1948"/>
      <w:pPr>
        <w:pStyle w:val="Heading2"/>
        <w:keepNext/>
        <w:widowControl/>
        <w:rPr/>
      </w:pPr>
      <w:r>
        <w:rPr>
          <w:b/>
          <w:i w:val="false"/>
        </w:rPr>
        <w:t>Article 65.10 — Effective Procurement Access Test</w:t>
      </w:r>
      <w:bookmarkEnd w:id="1948"/>
    </w:p>
    <w:p>
      <w:pPr>
        <w:pStyle w:val="Normal"/>
        <w:widowControl/>
        <w:rPr/>
      </w:pPr>
      <w:r>
        <w:rPr>
          <w:b w:val="false"/>
          <w:i w:val="false"/>
        </w:rPr>
        <w:t>Nominal eligibility does not constitute effective reciprocal access where qualification rules, bonding, tender specifications, local-presence requirements, timing, information barriers, security restrictions, or other conditions make participation commercially impracticable without legitimate justification. Paper access shall not be counted as equivalent to usable access.</w:t>
      </w:r>
    </w:p>
    <w:p>
      <w:bookmarkStart w:id="1949" w:name="_NAESTMA_TOC_1949"/>
      <w:pPr>
        <w:pStyle w:val="Heading2"/>
        <w:keepNext/>
        <w:widowControl/>
        <w:rPr/>
      </w:pPr>
      <w:r>
        <w:rPr>
          <w:b/>
          <w:i w:val="false"/>
        </w:rPr>
        <w:t>Article 65.11 — Reciprocal Portfolio Equivalence</w:t>
      </w:r>
      <w:bookmarkEnd w:id="1949"/>
    </w:p>
    <w:p>
      <w:pPr>
        <w:pStyle w:val="Normal"/>
        <w:widowControl/>
        <w:rPr/>
      </w:pPr>
      <w:r>
        <w:rPr>
          <w:b w:val="false"/>
          <w:i w:val="false"/>
        </w:rPr>
        <w:t>1. Reciprocity may be mirror, complementary, or portfolio-based. The Parties are not required to exchange identical products, identical projects, or dollar-identical individual procurements.</w:t>
      </w:r>
    </w:p>
    <w:p>
      <w:pPr>
        <w:pStyle w:val="Normal"/>
        <w:widowControl/>
        <w:rPr/>
      </w:pPr>
      <w:r>
        <w:rPr>
          <w:b w:val="false"/>
          <w:i w:val="false"/>
        </w:rPr>
        <w:t>2. Portfolio equivalence may consider usable eligible value, number and quality of competitions, sector diversity, duration, geographic breadth, SME accessibility, strategic relevance, qualification burdens, and realized participation. Headline value alone is insufficient.</w:t>
      </w:r>
    </w:p>
    <w:p>
      <w:bookmarkStart w:id="1950" w:name="_NAESTMA_TOC_1950"/>
      <w:pPr>
        <w:pStyle w:val="Heading2"/>
        <w:keepNext/>
        <w:widowControl/>
        <w:rPr/>
      </w:pPr>
      <w:r>
        <w:rPr>
          <w:b/>
          <w:i w:val="false"/>
        </w:rPr>
        <w:t>Article 65.12 — North American Content and Prequalification Lane</w:t>
      </w:r>
      <w:bookmarkEnd w:id="1950"/>
    </w:p>
    <w:p>
      <w:pPr>
        <w:pStyle w:val="Normal"/>
        <w:widowControl/>
        <w:rPr/>
      </w:pPr>
      <w:r>
        <w:rPr>
          <w:b w:val="false"/>
          <w:i w:val="false"/>
        </w:rPr>
        <w:t>Where lawful and expressly designated, a certificate may establish reciprocal prequalification or North American-origin treatment that improves access for qualifying suppliers from the Parties relative to extra-regional suppliers. Such treatment shall not guarantee awards and shall remain consistent with applicable procurement commitments and exclusions.</w:t>
      </w:r>
    </w:p>
    <w:p>
      <w:bookmarkStart w:id="1951" w:name="_NAESTMA_TOC_1951"/>
      <w:pPr>
        <w:pStyle w:val="Heading2"/>
        <w:keepNext/>
        <w:widowControl/>
        <w:rPr/>
      </w:pPr>
      <w:r>
        <w:rPr>
          <w:b/>
          <w:i w:val="false"/>
        </w:rPr>
        <w:t>Article 65.13 — Subnational Reciprocity Track</w:t>
      </w:r>
      <w:bookmarkEnd w:id="1951"/>
    </w:p>
    <w:p>
      <w:pPr>
        <w:pStyle w:val="Normal"/>
        <w:widowControl/>
        <w:rPr/>
      </w:pPr>
      <w:r>
        <w:rPr>
          <w:b w:val="false"/>
          <w:i w:val="false"/>
        </w:rPr>
        <w:t>States, provinces, territories, municipalities, Mexican states, public authorities, Indigenous governments or entities, and other competent subnational bodies may participate voluntarily where legally authorized. Federal participation shall not be interpreted as binding a non-consenting subnational procurement authority.</w:t>
      </w:r>
    </w:p>
    <w:p>
      <w:bookmarkStart w:id="1952" w:name="_NAESTMA_TOC_1952"/>
      <w:pPr>
        <w:pStyle w:val="Heading2"/>
        <w:keepNext/>
        <w:widowControl/>
        <w:rPr/>
      </w:pPr>
      <w:r>
        <w:rPr>
          <w:b/>
          <w:i w:val="false"/>
        </w:rPr>
        <w:t>Article 65.14 — Community, Indigenous and SME Participation</w:t>
      </w:r>
      <w:bookmarkEnd w:id="1952"/>
    </w:p>
    <w:p>
      <w:pPr>
        <w:pStyle w:val="Normal"/>
        <w:widowControl/>
        <w:rPr/>
      </w:pPr>
      <w:r>
        <w:rPr>
          <w:b w:val="false"/>
          <w:i w:val="false"/>
        </w:rPr>
        <w:t>Implementation may facilitate SME, Indigenous, local-community, rural, and regional supplier participation through lawful outreach, prequalification assistance, lot design, capacity building, and transparent participation targets. Nothing in this Chapter overrides Indigenous rights, consultation duties, procurement autonomy, or applicable constitutional and legal protections.</w:t>
      </w:r>
    </w:p>
    <w:p>
      <w:bookmarkStart w:id="1953" w:name="_NAESTMA_TOC_1953"/>
      <w:pPr>
        <w:pStyle w:val="Heading2"/>
        <w:keepNext/>
        <w:widowControl/>
        <w:rPr/>
      </w:pPr>
      <w:r>
        <w:rPr>
          <w:b/>
          <w:i w:val="false"/>
        </w:rPr>
        <w:t>Article 65.15 — Public, Private and Mixed Projects</w:t>
      </w:r>
      <w:bookmarkEnd w:id="1953"/>
    </w:p>
    <w:p>
      <w:pPr>
        <w:pStyle w:val="Normal"/>
        <w:widowControl/>
        <w:rPr/>
      </w:pPr>
      <w:r>
        <w:rPr>
          <w:b w:val="false"/>
          <w:i w:val="false"/>
        </w:rPr>
        <w:t>Private projects may enter the Compact only through voluntary participation, a qualifying public procurement or financing nexus, or another lawful mechanism accepted by the competent parties. Treaty inclusion alone does not compel a private owner to open procurement or award contracts.</w:t>
      </w:r>
    </w:p>
    <w:p>
      <w:bookmarkStart w:id="1954" w:name="_NAESTMA_TOC_1954"/>
      <w:pPr>
        <w:pStyle w:val="Heading2"/>
        <w:keepNext/>
        <w:widowControl/>
        <w:rPr/>
      </w:pPr>
      <w:r>
        <w:rPr>
          <w:b/>
          <w:i w:val="false"/>
        </w:rPr>
        <w:t>Article 65.16 — Security and Sensitive Procurement Firewall</w:t>
      </w:r>
      <w:bookmarkEnd w:id="1954"/>
    </w:p>
    <w:p>
      <w:pPr>
        <w:pStyle w:val="Normal"/>
        <w:widowControl/>
        <w:rPr/>
      </w:pPr>
      <w:r>
        <w:rPr>
          <w:b w:val="false"/>
          <w:i w:val="false"/>
        </w:rPr>
        <w:t>Sensitive defense, intelligence, law-enforcement, cybersecurity, nuclear, border, personal-data, and critical-infrastructure procurements remain subject to applicable exclusions, security review, privacy protections, and competent-authority restrictions. Civil works, logistics, resilience, medical, emergency, and other separable non-sensitive packages may be designated where lawful.</w:t>
      </w:r>
    </w:p>
    <w:p>
      <w:bookmarkStart w:id="1955" w:name="_NAESTMA_TOC_1955"/>
      <w:pPr>
        <w:pStyle w:val="Heading2"/>
        <w:keepNext/>
        <w:widowControl/>
        <w:rPr/>
      </w:pPr>
      <w:r>
        <w:rPr>
          <w:b/>
          <w:i w:val="false"/>
        </w:rPr>
        <w:t>Article 65.17 — Permitting, Rights and Regulatory Firewall</w:t>
      </w:r>
      <w:bookmarkEnd w:id="1955"/>
    </w:p>
    <w:p>
      <w:pPr>
        <w:pStyle w:val="Normal"/>
        <w:widowControl/>
        <w:rPr/>
      </w:pPr>
      <w:r>
        <w:rPr>
          <w:b w:val="false"/>
          <w:i w:val="false"/>
        </w:rPr>
        <w:t>A procurement designation does not approve, permit, license, finance, or environmentally authorize the underlying project. Fast-track treatment may coordinate procedure but shall not waive substantive environmental, Indigenous-rights, labour, safety, nuclear, health, competition, or other applicable law.</w:t>
      </w:r>
    </w:p>
    <w:p>
      <w:bookmarkStart w:id="1956" w:name="_NAESTMA_TOC_1956"/>
      <w:pPr>
        <w:pStyle w:val="Heading2"/>
        <w:keepNext/>
        <w:widowControl/>
        <w:rPr/>
      </w:pPr>
      <w:r>
        <w:rPr>
          <w:b/>
          <w:i w:val="false"/>
        </w:rPr>
        <w:t>Article 65.18 — Three-Receipt Rule</w:t>
      </w:r>
      <w:bookmarkEnd w:id="1956"/>
    </w:p>
    <w:p>
      <w:pPr>
        <w:pStyle w:val="Normal"/>
        <w:widowControl/>
        <w:rPr/>
      </w:pPr>
      <w:r>
        <w:rPr>
          <w:b w:val="false"/>
          <w:i w:val="false"/>
        </w:rPr>
        <w:t>Public reporting shall distinguish: Receipt 1, Access, showing that a lawful opening exists; Receipt 2, Competition, showing that qualified suppliers had commercially usable access to compete; and Receipt 3, Award, showing a lawful contract award. A Verified Procurement Win under Chapter 64 requires the evidence appropriate to the claimed stage.</w:t>
      </w:r>
    </w:p>
    <w:p>
      <w:bookmarkStart w:id="1957" w:name="_NAESTMA_TOC_1957"/>
      <w:pPr>
        <w:pStyle w:val="Heading2"/>
        <w:keepNext/>
        <w:widowControl/>
        <w:rPr/>
      </w:pPr>
      <w:r>
        <w:rPr>
          <w:b/>
          <w:i w:val="false"/>
        </w:rPr>
        <w:t>Article 65.19 — Opportunity-to-Delivery Accounting</w:t>
      </w:r>
      <w:bookmarkEnd w:id="1957"/>
    </w:p>
    <w:p>
      <w:pPr>
        <w:pStyle w:val="Normal"/>
        <w:widowControl/>
        <w:rPr/>
      </w:pPr>
      <w:r>
        <w:rPr>
          <w:b w:val="false"/>
          <w:i w:val="false"/>
        </w:rPr>
        <w:t>The Registry and Chapter 64 Ledger shall, where practicable, track Access Opened, Qualified Bids, Cross-Border Participation, Contracts Awarded, and Delivered Procurement Value without double counting the same transaction across multiple portfolios or political presentations.</w:t>
      </w:r>
    </w:p>
    <w:p>
      <w:bookmarkStart w:id="1958" w:name="_NAESTMA_TOC_1958"/>
      <w:pPr>
        <w:pStyle w:val="Heading2"/>
        <w:keepNext/>
        <w:widowControl/>
        <w:rPr/>
      </w:pPr>
      <w:r>
        <w:rPr>
          <w:b/>
          <w:i w:val="false"/>
        </w:rPr>
        <w:t>Article 65.20 — Procurement Availability Ratio</w:t>
      </w:r>
      <w:bookmarkEnd w:id="1958"/>
    </w:p>
    <w:p>
      <w:pPr>
        <w:pStyle w:val="Normal"/>
        <w:widowControl/>
        <w:rPr/>
      </w:pPr>
      <w:r>
        <w:rPr>
          <w:b w:val="false"/>
          <w:i w:val="false"/>
        </w:rPr>
        <w:t>For large or partially completed projects, reporting may calculate a Procurement Availability Ratio equal to remaining potentially eligible procurement divided by total project value. The ratio is diagnostic and shall not substitute for verification of the specific designated opportunity.</w:t>
      </w:r>
    </w:p>
    <w:p>
      <w:bookmarkStart w:id="1959" w:name="_NAESTMA_TOC_1959"/>
      <w:pPr>
        <w:pStyle w:val="Heading2"/>
        <w:keepNext/>
        <w:widowControl/>
        <w:rPr/>
      </w:pPr>
      <w:r>
        <w:rPr>
          <w:b/>
          <w:i w:val="false"/>
        </w:rPr>
        <w:t>Article 65.21 — Initial, Rolling and Development Schedules</w:t>
      </w:r>
      <w:bookmarkEnd w:id="1959"/>
    </w:p>
    <w:p>
      <w:pPr>
        <w:pStyle w:val="Normal"/>
        <w:widowControl/>
        <w:rPr/>
      </w:pPr>
      <w:r>
        <w:rPr>
          <w:b w:val="false"/>
          <w:i w:val="false"/>
        </w:rPr>
        <w:t>1. Flagship and Anchor candidates may be considered for an Initial Designated Procurement Schedule after V5 verification. 2. Program keepers populate recurring project classes capable of receiving future certificates. 3. Development keepers remain research, feasibility, demonstration, emerging-technology, future-horizon, or jurisdiction-dependent candidates and do not create non-compliance merely because they do not mature.</w:t>
      </w:r>
    </w:p>
    <w:p>
      <w:bookmarkStart w:id="1960" w:name="_NAESTMA_TOC_1960"/>
      <w:pPr>
        <w:pStyle w:val="Heading2"/>
        <w:keepNext/>
        <w:widowControl/>
        <w:rPr/>
      </w:pPr>
      <w:r>
        <w:rPr>
          <w:b/>
          <w:i w:val="false"/>
        </w:rPr>
        <w:t>Article 65.22 — Expansion and Substitution Registry</w:t>
      </w:r>
      <w:bookmarkEnd w:id="1960"/>
    </w:p>
    <w:p>
      <w:pPr>
        <w:pStyle w:val="Normal"/>
        <w:widowControl/>
        <w:rPr/>
      </w:pPr>
      <w:r>
        <w:rPr/>
        <w:t>The Parties may maintain expansion and substitution candidates outside the 370-entry research baseline. A failed or obsolete candidate or designated implementation may be replaced by a verified candidate of comparable strategic and reciprocal value where appropriate. No minimum number of substitution candidates is required, and additional qualified opportunities may be added without amending the Agreement unless their legal treatment itself requires amendment.</w:t>
      </w:r>
    </w:p>
    <w:p>
      <w:bookmarkStart w:id="1961" w:name="_NAESTMA_TOC_1961"/>
      <w:pPr>
        <w:pStyle w:val="Heading2"/>
        <w:keepNext/>
        <w:widowControl/>
        <w:rPr/>
      </w:pPr>
      <w:r>
        <w:rPr>
          <w:b/>
          <w:i w:val="false"/>
        </w:rPr>
        <w:t>Article 65.23 — Substitution Without Concealment</w:t>
      </w:r>
      <w:bookmarkEnd w:id="1961"/>
    </w:p>
    <w:p>
      <w:pPr>
        <w:pStyle w:val="Normal"/>
        <w:widowControl/>
        <w:rPr/>
      </w:pPr>
      <w:r>
        <w:rPr>
          <w:b w:val="false"/>
          <w:i w:val="false"/>
        </w:rPr>
        <w:t>Where a named project is removed, converted, or substituted, the Registry shall preserve the reason, date, and replacement pathway. Completed, cancelled, already-awarded, or unavailable projects shall not be silently represented as current opportunities.</w:t>
      </w:r>
    </w:p>
    <w:p>
      <w:bookmarkStart w:id="1962" w:name="_NAESTMA_TOC_1962"/>
      <w:pPr>
        <w:pStyle w:val="Heading2"/>
        <w:keepNext/>
        <w:widowControl/>
        <w:rPr/>
      </w:pPr>
      <w:r>
        <w:rPr>
          <w:b/>
          <w:i w:val="false"/>
        </w:rPr>
        <w:t>Article 65.24 — Procurement Opportunity Registry</w:t>
      </w:r>
      <w:bookmarkEnd w:id="1962"/>
    </w:p>
    <w:p>
      <w:pPr>
        <w:pStyle w:val="Normal"/>
        <w:widowControl/>
        <w:rPr/>
      </w:pPr>
      <w:r>
        <w:rPr/>
        <w:t>The Parties shall maintain a transparent registry distinguishing candidate keepers from V5 verified and affirmatively designated opportunities, together with certificates, verification grades, procurement status, participating jurisdictions, and material revisions, subject to legitimate confidentiality and security protections.</w:t>
      </w:r>
    </w:p>
    <w:p>
      <w:bookmarkStart w:id="1963" w:name="_NAESTMA_TOC_1963"/>
      <w:pPr>
        <w:pStyle w:val="Heading2"/>
        <w:keepNext/>
        <w:widowControl/>
        <w:rPr/>
      </w:pPr>
      <w:r>
        <w:rPr>
          <w:b/>
          <w:i w:val="false"/>
        </w:rPr>
        <w:t>Article 65.25 — Commercial Wins Integration</w:t>
      </w:r>
      <w:bookmarkEnd w:id="1963"/>
    </w:p>
    <w:p>
      <w:pPr>
        <w:pStyle w:val="Normal"/>
        <w:widowControl/>
        <w:rPr/>
      </w:pPr>
      <w:r>
        <w:rPr>
          <w:b w:val="false"/>
          <w:i w:val="false"/>
        </w:rPr>
        <w:t>Procurement opportunities and realized awards shall feed Chapter 64 using its additionality, baseline, revision, no-double-counting, statistical-integrity, and national-presentation disciplines. Public interfaces may celebrate verified wins but may not alter the underlying procurement or measurement methodology.</w:t>
      </w:r>
    </w:p>
    <w:p>
      <w:bookmarkStart w:id="1964" w:name="_NAESTMA_TOC_1964"/>
      <w:pPr>
        <w:pStyle w:val="Heading2"/>
        <w:keepNext/>
        <w:widowControl/>
        <w:rPr/>
      </w:pPr>
      <w:r>
        <w:rPr>
          <w:b/>
          <w:i w:val="false"/>
        </w:rPr>
        <w:t>Article 65.26 — No Uncompensated Front-Loading</w:t>
      </w:r>
      <w:bookmarkEnd w:id="1964"/>
    </w:p>
    <w:p>
      <w:pPr>
        <w:pStyle w:val="Normal"/>
        <w:widowControl/>
        <w:rPr/>
      </w:pPr>
      <w:r>
        <w:rPr>
          <w:b w:val="false"/>
          <w:i w:val="false"/>
        </w:rPr>
        <w:t>Where reciprocal procurement access is expressly paired across Parties, activation should occur together or according to a verified agreed sequence. Material failure of paired performance shall use notice, verification, a short cure opportunity, proportionate pause or step-back of the affected paired benefit, and automatic restoration after verified cure, consistent with Article 35.36 and Cothrom architecture.</w:t>
      </w:r>
    </w:p>
    <w:p>
      <w:bookmarkStart w:id="1965" w:name="_NAESTMA_TOC_1965"/>
      <w:pPr>
        <w:pStyle w:val="Heading2"/>
        <w:keepNext/>
        <w:widowControl/>
        <w:rPr/>
      </w:pPr>
      <w:r>
        <w:rPr>
          <w:b/>
          <w:i w:val="false"/>
        </w:rPr>
        <w:t>Article 65.27 — No Cross-Sector Procurement Punishment</w:t>
      </w:r>
      <w:bookmarkEnd w:id="1965"/>
    </w:p>
    <w:p>
      <w:pPr>
        <w:pStyle w:val="Normal"/>
        <w:widowControl/>
        <w:rPr/>
      </w:pPr>
      <w:r>
        <w:rPr>
          <w:b w:val="false"/>
          <w:i w:val="false"/>
        </w:rPr>
        <w:t>A dispute concerning one certificate, project, supplier qualification, or procurement portfolio shall ordinarily be confined to the affected procurement benefit. Unrelated trade concessions shall not be suspended solely because an individual project is delayed, cancelled, unsuccessfully bid, or affected by good-faith technical or commercial failure.</w:t>
      </w:r>
    </w:p>
    <w:p>
      <w:bookmarkStart w:id="1966" w:name="_NAESTMA_TOC_1966"/>
      <w:pPr>
        <w:pStyle w:val="Heading2"/>
        <w:keepNext/>
        <w:widowControl/>
        <w:rPr/>
      </w:pPr>
      <w:r>
        <w:rPr>
          <w:b/>
          <w:i w:val="false"/>
        </w:rPr>
        <w:t>Article 65.28 — Review, Promotion and Evolution</w:t>
      </w:r>
      <w:bookmarkEnd w:id="1966"/>
    </w:p>
    <w:p>
      <w:pPr>
        <w:pStyle w:val="Normal"/>
        <w:widowControl/>
        <w:rPr/>
      </w:pPr>
      <w:r>
        <w:rPr/>
        <w:t>The Parties shall periodically review the candidate portfolio, promote maturing Development or Program keepers, update verification, add qualifying opportunities, and redesign or retire obsolete project instances while preserving transparent records. The objective is a living reciprocal opportunity system rather than a static list of construction promises; no candidate count is protected as a substantive entitlement.</w:t>
      </w:r>
    </w:p>
    <w:p>
      <w:pPr>
        <w:pStyle w:val="Normal"/>
        <w:widowControl/>
        <w:rPr/>
      </w:pPr>
      <w:r>
        <w:rPr/>
        <w:t>ANNEX 65-A — 370-ENTRY CANDIDATE OPPORTUNITY REGISTER (NON-BINDING UNTIL DESIGNATED)</w:t>
      </w:r>
    </w:p>
    <w:p>
      <w:pPr>
        <w:pStyle w:val="Normal"/>
        <w:widowControl/>
        <w:rPr/>
      </w:pPr>
      <w:r>
        <w:rPr/>
        <w:t>STATUS OF THIS ANNEX. The 370 entries below are preserved as candidate research and negotiating leads. An entry may be conceptual, unavailable, unverified, future-horizon, privately controlled, or jurisdiction-dependent and does not become a treaty fact, procurement opening, funding commitment, or binding schedule merely by appearing here. Article 65.8 verification, Article 65.4 affirmative competent-authority designation, and Annex 66-F fact-verification principles govern any promotion to binding status. LEGAL EFFECT OF THIS ANNEX. The following entries are protected substantive keepers for verification, designation, programmatic use, development, substitution, or future maturation. They are not guaranteed awards, certified project values, automatic waivers, project approvals, or findings that procurement is currently open. Any binding opening requires the applicable Article 65 verification and designation process.</w:t>
      </w:r>
    </w:p>
    <w:p>
      <w:pPr>
        <w:pStyle w:val="Normal"/>
        <w:widowControl/>
        <w:rPr/>
      </w:pPr>
      <w:r>
        <w:rPr>
          <w:b w:val="false"/>
          <w:i/>
        </w:rPr>
        <w:t>Classification legend: FLAGSHIP = first-priority verification/presentation; ANCHOR = substantial named or strategic opportunity; PROGRAM = recurring procurement class or rolling opportunity; DEVELOPMENT = conditional, feasibility, emerging, private-participation, jurisdiction-dependent, or future-horizon opportunity.</w:t>
      </w:r>
    </w:p>
    <w:p>
      <w:pPr>
        <w:pStyle w:val="Normal"/>
        <w:widowControl/>
        <w:rPr/>
      </w:pPr>
      <w:r>
        <w:rPr>
          <w:b w:val="false"/>
          <w:i w:val="false"/>
        </w:rPr>
        <w:t>65-A-001 [FLAGSHIP] Detroit–Windsor second crossing ancillary works — Gordie Howe Bridge is under way; a follow-on "NABC Corridor Package" opens Michigan-side interchange, lighting and ITS contracts to Canadian firms in exchange for Ontario-side approach-road contracts opened to U.S. firms.</w:t>
      </w:r>
    </w:p>
    <w:p>
      <w:pPr>
        <w:pStyle w:val="Normal"/>
        <w:widowControl/>
        <w:rPr/>
      </w:pPr>
      <w:r>
        <w:rPr>
          <w:b w:val="false"/>
          <w:i w:val="false"/>
        </w:rPr>
        <w:t>65-A-002 [ANCHOR] I-5 Columbia River Crossing (Oregon–Washington) — Canadian steel fabricators and Mexican precast producers prequalified on a defined share; in return, U.S. firms bid on British Columbia Highway 1 widening packages of equal value.</w:t>
      </w:r>
    </w:p>
    <w:p>
      <w:pPr>
        <w:pStyle w:val="Normal"/>
        <w:widowControl/>
        <w:rPr/>
      </w:pPr>
      <w:r>
        <w:rPr>
          <w:b w:val="false"/>
          <w:i w:val="false"/>
        </w:rPr>
        <w:t>65-A-003 [ANCHOR] Peace Arch / Blaine border expansion — Reciprocal opening of U.S. inspection-plaza civil works to BC contractors, matched by B.C. secondary-inspection canopy contracts opened to Washington State firms.</w:t>
      </w:r>
    </w:p>
    <w:p>
      <w:pPr>
        <w:pStyle w:val="Normal"/>
        <w:widowControl/>
        <w:rPr/>
      </w:pPr>
      <w:r>
        <w:rPr>
          <w:b w:val="false"/>
          <w:i w:val="false"/>
        </w:rPr>
        <w:t>65-A-004 [ANCHOR] Pembina–Emerson crossing modernization — Manitoba opens plaza and drainage works to North Dakota firms; North Dakota reciprocates on its I-29 approach corridor contracts to Manitoba contractors.</w:t>
      </w:r>
    </w:p>
    <w:p>
      <w:pPr>
        <w:pStyle w:val="Normal"/>
        <w:widowControl/>
        <w:rPr/>
      </w:pPr>
      <w:r>
        <w:rPr>
          <w:b w:val="false"/>
          <w:i w:val="false"/>
        </w:rPr>
        <w:t>65-A-005 [ANCHOR] Sumas–Huntingdon crossing rebuild (post-flood) — Jointly tendered: U.S. firms eligible on Abbotsford-side works, Canadian firms on Whatcom County works, with a named CUSMA-steel content rule.</w:t>
      </w:r>
    </w:p>
    <w:p>
      <w:pPr>
        <w:pStyle w:val="Normal"/>
        <w:widowControl/>
        <w:rPr/>
      </w:pPr>
      <w:r>
        <w:rPr>
          <w:b w:val="false"/>
          <w:i w:val="false"/>
        </w:rPr>
        <w:t>65-A-006 [ANCHOR] New York–Quebec Champlain–Lacolle plaza upgrade — Canadian firms eligible on the New York side; U.S. firms on the Quebec A-15 approach and plaza works, dollar-matched.</w:t>
      </w:r>
    </w:p>
    <w:p>
      <w:pPr>
        <w:pStyle w:val="Normal"/>
        <w:widowControl/>
        <w:rPr/>
      </w:pPr>
      <w:r>
        <w:rPr>
          <w:b w:val="false"/>
          <w:i w:val="false"/>
        </w:rPr>
        <w:t>65-A-007 [PROGRAM] Derby Line–Stanstead (I-91/A-55) inspection modernization — Vermont and Quebec exchange prequalification lists for a capped set of contracts on both sides of the same project.</w:t>
      </w:r>
    </w:p>
    <w:p>
      <w:pPr>
        <w:pStyle w:val="Normal"/>
        <w:widowControl/>
        <w:rPr/>
      </w:pPr>
      <w:r>
        <w:rPr>
          <w:b w:val="false"/>
          <w:i w:val="false"/>
        </w:rPr>
        <w:t>65-A-008 [ANCHOR] Sault Ste. Marie International Bridge approach renewal — Michigan opens approach-span repainting and deck contracts to Ontario firms; Ontario reciprocates on its plaza and Huron Street works.</w:t>
      </w:r>
    </w:p>
    <w:p>
      <w:pPr>
        <w:pStyle w:val="Normal"/>
        <w:widowControl/>
        <w:rPr/>
      </w:pPr>
      <w:r>
        <w:rPr>
          <w:b w:val="false"/>
          <w:i w:val="false"/>
        </w:rPr>
        <w:t>65-A-009 [ANCHOR] International Falls–Fort Frances bridge and plaza — Minnesota and Ontario exchange access on plaza expansion and toll-system contracts, framed as one binational project.</w:t>
      </w:r>
    </w:p>
    <w:p>
      <w:pPr>
        <w:pStyle w:val="Normal"/>
        <w:widowControl/>
        <w:rPr/>
      </w:pPr>
      <w:r>
        <w:rPr>
          <w:b w:val="false"/>
          <w:i w:val="false"/>
        </w:rPr>
        <w:t>65-A-010 [ANCHOR] Baudette–Rainy River International Bridge rehabilitation — Reciprocal procurement split named in a state-provincial MOU under the NABC umbrella.</w:t>
      </w:r>
    </w:p>
    <w:p>
      <w:pPr>
        <w:pStyle w:val="Normal"/>
        <w:widowControl/>
        <w:rPr/>
      </w:pPr>
      <w:r>
        <w:rPr>
          <w:b w:val="false"/>
          <w:i w:val="false"/>
        </w:rPr>
        <w:t>65-A-011 [FLAGSHIP] World Trade Bridge (Laredo) expansion — U.S. opens Texas-side approach and inspection-canopy contracts to Mexican and Canadian firms; Nuevo León/Tamaulipas reciprocate on the Anzaldúas and Colombia bridge approach works.</w:t>
      </w:r>
    </w:p>
    <w:p>
      <w:pPr>
        <w:pStyle w:val="Normal"/>
        <w:widowControl/>
        <w:rPr/>
      </w:pPr>
      <w:r>
        <w:rPr>
          <w:b w:val="false"/>
          <w:i w:val="false"/>
        </w:rPr>
        <w:t>65-A-012 [FLAGSHIP] Otay Mesa East / Otay II port of entry (San Diego–Tijuana) — Trilateral tender: Canadian ITS firms, Mexican civil contractors and U.S. builders share a defined package split, announced with dollar figures for each country.</w:t>
      </w:r>
    </w:p>
    <w:p>
      <w:pPr>
        <w:pStyle w:val="Normal"/>
        <w:widowControl/>
        <w:rPr/>
      </w:pPr>
      <w:r>
        <w:rPr>
          <w:b w:val="false"/>
          <w:i w:val="false"/>
        </w:rPr>
        <w:t>65-A-013 [ANCHOR] Brownsville–Matamoros West Rail Bridge — Canadian rail-signal firms and U.S. steel fabricators eligible on a defined share; Mexican side reciprocates with its Matamoros-side yard contracts.</w:t>
      </w:r>
    </w:p>
    <w:p>
      <w:pPr>
        <w:pStyle w:val="Normal"/>
        <w:widowControl/>
        <w:rPr/>
      </w:pPr>
      <w:r>
        <w:rPr>
          <w:b w:val="false"/>
          <w:i w:val="false"/>
        </w:rPr>
        <w:t>65-A-014 [ANCHOR] Eagle Pass–Piedras Negras rail bridge twinning — U.S. firms prequalified on Coahuila-side approach embankments; Mexican firms on the Texas inspection and yard works.</w:t>
      </w:r>
    </w:p>
    <w:p>
      <w:pPr>
        <w:pStyle w:val="Normal"/>
        <w:widowControl/>
        <w:rPr/>
      </w:pPr>
      <w:r>
        <w:rPr>
          <w:b w:val="false"/>
          <w:i w:val="false"/>
        </w:rPr>
        <w:t>65-A-015 [ANCHOR] Ambassador Bridge secondary-span mitigation works (Windsor–Detroit) — If a twin span proceeds, carve a named reciprocal package out of both sides' approach contracts from day one.</w:t>
      </w:r>
    </w:p>
    <w:p>
      <w:pPr>
        <w:pStyle w:val="Normal"/>
        <w:widowControl/>
        <w:rPr/>
      </w:pPr>
      <w:r>
        <w:rPr>
          <w:b w:val="false"/>
          <w:i w:val="false"/>
        </w:rPr>
        <w:t>65-A-016 [FLAGSHIP] St. Lawrence Seaway locks modernization (U.S. and Canadian locks) — Joint binational tender with a published split: Canadian firms on the two U.S. Snell/Eisenhower lock contracts, U.S. firms on Welland Canal tie-up wall works.</w:t>
      </w:r>
    </w:p>
    <w:p>
      <w:pPr>
        <w:pStyle w:val="Normal"/>
        <w:widowControl/>
        <w:rPr/>
      </w:pPr>
      <w:r>
        <w:rPr>
          <w:b w:val="false"/>
          <w:i w:val="false"/>
        </w:rPr>
        <w:t>65-A-017 [ANCHOR] Thousand Islands Bridge system renewal — New York and Ontario exchange access on deck rehabilitation and toll plaza contracts under a named NABC line item.</w:t>
      </w:r>
    </w:p>
    <w:p>
      <w:pPr>
        <w:pStyle w:val="Normal"/>
        <w:widowControl/>
        <w:rPr/>
      </w:pPr>
      <w:r>
        <w:rPr>
          <w:b w:val="false"/>
          <w:i w:val="false"/>
        </w:rPr>
        <w:t>65-A-018 [ANCHOR] Ogdensburg–Prescott International Bridge painting contract — Canadian coating firms eligible; reciprocated by Ogdensburg port-of-entry paving contracts opened to U.S. firms.</w:t>
      </w:r>
    </w:p>
    <w:p>
      <w:pPr>
        <w:pStyle w:val="Normal"/>
        <w:widowControl/>
        <w:rPr/>
      </w:pPr>
      <w:r>
        <w:rPr>
          <w:b w:val="false"/>
          <w:i w:val="false"/>
        </w:rPr>
        <w:t>65-A-019 [PROGRAM] Alaska Highway–Haines Junction corridor bridges — Alaska opens defined bridge-rehab packages to Yukon and BC firms; Yukon reciprocates on Shakwak-project-style packages for U.S. contractors.</w:t>
      </w:r>
    </w:p>
    <w:p>
      <w:pPr>
        <w:pStyle w:val="Normal"/>
        <w:widowControl/>
        <w:rPr/>
      </w:pPr>
      <w:r>
        <w:rPr>
          <w:b w:val="false"/>
          <w:i w:val="false"/>
        </w:rPr>
        <w:t>65-A-020 [ANCHOR] Nogales–Mariposa port of entry expansion — Arizona opens civil works to Sonora contractors; Sonora reciprocates on its federal inspection-plaza contracts, both announced as one project with shared figures.</w:t>
      </w:r>
    </w:p>
    <w:p>
      <w:pPr>
        <w:pStyle w:val="Normal"/>
        <w:widowControl/>
        <w:rPr/>
      </w:pPr>
      <w:r>
        <w:rPr>
          <w:b w:val="false"/>
          <w:i w:val="false"/>
        </w:rPr>
        <w:t>65-A-021 [PROGRAM] Calexico–Mexicali border infrastructure — Reciprocal opening of new pedestrian plaza and vehicle-lane contracts on both sides; include Imperial Valley waterworks tie-in as a Canadian engineering-services opening.</w:t>
      </w:r>
    </w:p>
    <w:p>
      <w:pPr>
        <w:pStyle w:val="Normal"/>
        <w:widowControl/>
        <w:rPr/>
      </w:pPr>
      <w:r>
        <w:rPr>
          <w:b w:val="false"/>
          <w:i w:val="false"/>
        </w:rPr>
        <w:t>65-A-022 [PROGRAM] Blue Water Bridge (Port Huron–Sarnia) plaza expansion — Michigan and Ontario swap access on plaza, canopy and toll-gantry contracts with a named dollar ceiling.</w:t>
      </w:r>
    </w:p>
    <w:p>
      <w:pPr>
        <w:pStyle w:val="Normal"/>
        <w:widowControl/>
        <w:rPr/>
      </w:pPr>
      <w:r>
        <w:rPr>
          <w:b w:val="false"/>
          <w:i w:val="false"/>
        </w:rPr>
        <w:t>65-A-023 [PROGRAM] International Bridge to St. Stephen–Calais — New Brunswick and Maine exchange prequalification for border-station rebuild packages.</w:t>
      </w:r>
    </w:p>
    <w:p>
      <w:pPr>
        <w:pStyle w:val="Normal"/>
        <w:widowControl/>
        <w:rPr/>
      </w:pPr>
      <w:r>
        <w:rPr>
          <w:b w:val="false"/>
          <w:i w:val="false"/>
        </w:rPr>
        <w:t>65-A-024 [PROGRAM] Quebec–Vermont Highgate Springs interchange — Vermont I-89 interchange works opened to Quebec firms; Quebec reciprocates on A-35 completion contracts.</w:t>
      </w:r>
    </w:p>
    <w:p>
      <w:pPr>
        <w:pStyle w:val="Normal"/>
        <w:widowControl/>
        <w:rPr/>
      </w:pPr>
      <w:r>
        <w:rPr>
          <w:b w:val="false"/>
          <w:i w:val="false"/>
        </w:rPr>
        <w:t>65-A-025 [FLAGSHIP] Detroit–Windsor Tunnel ventilation and life-safety renewal — Binational asset, binational tender: publish a 50/50 contract split with named firms eligible.</w:t>
      </w:r>
    </w:p>
    <w:p>
      <w:pPr>
        <w:pStyle w:val="Normal"/>
        <w:widowControl/>
        <w:rPr/>
      </w:pPr>
      <w:r>
        <w:rPr>
          <w:b w:val="false"/>
          <w:i w:val="false"/>
        </w:rPr>
        <w:t>65-A-026 [PROGRAM] Pacific Highway (Surrey–Blaine) commercial vehicle plaza — Reciprocal packages on both sides, including NEXUS-lane civil works, announced with jobs figures for Washington and BC.</w:t>
      </w:r>
    </w:p>
    <w:p>
      <w:pPr>
        <w:pStyle w:val="Normal"/>
        <w:widowControl/>
        <w:rPr/>
      </w:pPr>
      <w:r>
        <w:rPr>
          <w:b w:val="false"/>
          <w:i w:val="false"/>
        </w:rPr>
        <w:t>65-A-027 [FLAGSHIP] Fort Erie–Buffalo Peace Bridge rehabilitation — New York State and Ontario exchange deck, painting and ITS contracts as one named project.</w:t>
      </w:r>
    </w:p>
    <w:p>
      <w:pPr>
        <w:pStyle w:val="Normal"/>
        <w:widowControl/>
        <w:rPr/>
      </w:pPr>
      <w:r>
        <w:rPr>
          <w:b w:val="false"/>
          <w:i w:val="false"/>
        </w:rPr>
        <w:t>65-A-028 [PROGRAM] Lewiston–Queenston Bridge plaza expansion — Ontario firms eligible on New York-side toll system; U.S. firms on Ontario-side approach works.</w:t>
      </w:r>
    </w:p>
    <w:p>
      <w:pPr>
        <w:pStyle w:val="Normal"/>
        <w:widowControl/>
        <w:rPr/>
      </w:pPr>
      <w:r>
        <w:rPr>
          <w:b w:val="false"/>
          <w:i w:val="false"/>
        </w:rPr>
        <w:t>65-A-029 [PROGRAM] Tijuana–San Ysidro pedestrian east crossing — California opens inspection-canopy contracts to Mexican firms; Baja California reciprocates on its El Chaparral expansion works, with Canadian security-screening integrators eligible on both.</w:t>
      </w:r>
    </w:p>
    <w:p>
      <w:pPr>
        <w:pStyle w:val="Normal"/>
        <w:widowControl/>
        <w:rPr/>
      </w:pPr>
      <w:r>
        <w:rPr>
          <w:b w:val="false"/>
          <w:i w:val="false"/>
        </w:rPr>
        <w:t>65-A-030 [PROGRAM] Binational bridge maintenance framework — A standing (but project-capped) NABC annex under which every future international crossing project affirmativeally includes a published reciprocal split — institutionalizes the trophy machine.</w:t>
      </w:r>
    </w:p>
    <w:p>
      <w:pPr>
        <w:pStyle w:val="Normal"/>
        <w:widowControl/>
        <w:rPr/>
      </w:pPr>
      <w:r>
        <w:rPr>
          <w:b w:val="false"/>
          <w:i w:val="false"/>
        </w:rPr>
        <w:t>65-A-031 [ANCHOR] Amtrak Cascades (Vancouver BC–Seattle–Portland) rolling stock — Canadian and Mexican firms eligible on a defined share of the new trainset procurement; in exchange, U.S. railcar suppliers bid on a capped share of VIA Rail's fleet-renewal options.</w:t>
      </w:r>
    </w:p>
    <w:p>
      <w:pPr>
        <w:pStyle w:val="Normal"/>
        <w:widowControl/>
        <w:rPr/>
      </w:pPr>
      <w:r>
        <w:rPr>
          <w:b w:val="false"/>
          <w:i w:val="false"/>
        </w:rPr>
        <w:t>65-A-032 [FLAGSHIP] VIA Rail High-Frequency Rail (Toronto–Quebec City) — Named carve-out: U.S. and Mexican firms prequalified for track, signalling and station packages worth a published dollar figure; reciprocated by U.S. openings on Amtrak state-supported corridors.</w:t>
      </w:r>
    </w:p>
    <w:p>
      <w:pPr>
        <w:pStyle w:val="Normal"/>
        <w:widowControl/>
        <w:rPr/>
      </w:pPr>
      <w:r>
        <w:rPr>
          <w:b w:val="false"/>
          <w:i w:val="false"/>
        </w:rPr>
        <w:t>65-A-033 [PROGRAM] Brightline West (Las Vegas–Southern California) — Canadian rail-systems firms and Mexican precast plants eligible on guideway packages; reciprocity via Ontario and Quebec transit openings of equal value.</w:t>
      </w:r>
    </w:p>
    <w:p>
      <w:pPr>
        <w:pStyle w:val="Normal"/>
        <w:widowControl/>
        <w:rPr/>
      </w:pPr>
      <w:r>
        <w:rPr>
          <w:b w:val="false"/>
          <w:i w:val="false"/>
        </w:rPr>
        <w:t>65-A-034 [ANCHOR] California High-Speed Rail Central Valley segment — Canadian track-laying and Mexican concrete-sleeper producers prequalified on a capped share; in return, U.S. firms bid on Metrolinx GO Expansion civil packages.</w:t>
      </w:r>
    </w:p>
    <w:p>
      <w:pPr>
        <w:pStyle w:val="Normal"/>
        <w:widowControl/>
        <w:rPr/>
      </w:pPr>
      <w:r>
        <w:rPr>
          <w:b w:val="false"/>
          <w:i w:val="false"/>
        </w:rPr>
        <w:t>65-A-035 [PROGRAM] Texas high-speed rail (Dallas–Houston or Fort Worth corridor) — Canadian systems integrators and Mexican civil contractors on named packages; Texas reciprocates by opening a share of its TxDOT rail-grade-separation program to CUSMA partners.</w:t>
      </w:r>
    </w:p>
    <w:p>
      <w:pPr>
        <w:pStyle w:val="Normal"/>
        <w:widowControl/>
        <w:rPr/>
      </w:pPr>
      <w:r>
        <w:rPr>
          <w:b w:val="false"/>
          <w:i w:val="false"/>
        </w:rPr>
        <w:t>65-A-036 [PROGRAM] Metrolinx GO Expansion (Toronto) — U.S. firms prequalified on defined electrification and station packages, announced as a trophy item with dollar figures; reciprocated via New York MTA openings for Canadian firms.</w:t>
      </w:r>
    </w:p>
    <w:p>
      <w:pPr>
        <w:pStyle w:val="Normal"/>
        <w:widowControl/>
        <w:rPr/>
      </w:pPr>
      <w:r>
        <w:rPr>
          <w:b w:val="false"/>
          <w:i w:val="false"/>
        </w:rPr>
        <w:t>65-A-037 [PROGRAM] REM de l'Est / Montreal transit extensions — Quebec opens defined systems packages to U.S. and Mexican firms; Mexico City reciprocates on suburban-rail packages for Canadian suppliers.</w:t>
      </w:r>
    </w:p>
    <w:p>
      <w:pPr>
        <w:pStyle w:val="Normal"/>
        <w:widowControl/>
        <w:rPr/>
      </w:pPr>
      <w:r>
        <w:rPr>
          <w:b w:val="false"/>
          <w:i w:val="false"/>
        </w:rPr>
        <w:t>65-A-038 [PROGRAM] Eglinton Crosstown West extension — Ontario opens tunnel-lining and station fit-out packages to U.S. precast producers in exchange for Canadian access to Chicago Metra fleet options.</w:t>
      </w:r>
    </w:p>
    <w:p>
      <w:pPr>
        <w:pStyle w:val="Normal"/>
        <w:widowControl/>
        <w:rPr/>
      </w:pPr>
      <w:r>
        <w:rPr>
          <w:b w:val="false"/>
          <w:i w:val="false"/>
        </w:rPr>
        <w:t>65-A-039 [ANCHOR] Broadway Subway &amp; Surrey–Langley SkyTrain (BC) — U.S. tunnel-boring and Mexican rebar suppliers eligible on capped packages; Washington State reciprocates on Sound Transit light-rail packages for BC firms.</w:t>
      </w:r>
    </w:p>
    <w:p>
      <w:pPr>
        <w:pStyle w:val="Normal"/>
        <w:widowControl/>
        <w:rPr/>
      </w:pPr>
      <w:r>
        <w:rPr>
          <w:b w:val="false"/>
          <w:i w:val="false"/>
        </w:rPr>
        <w:t>65-A-040 [PROGRAM] Sound Transit (Seattle) light rail extensions — BC firms prequalified on guideway and systems packages as the explicit reciprocal half of idea 39 — the pair is announced together as one trophy.</w:t>
      </w:r>
    </w:p>
    <w:p>
      <w:pPr>
        <w:pStyle w:val="Normal"/>
        <w:widowControl/>
        <w:rPr/>
      </w:pPr>
      <w:r>
        <w:rPr>
          <w:b w:val="false"/>
          <w:i w:val="false"/>
        </w:rPr>
        <w:t>65-A-041 [PROGRAM] Chicago Transit Authority Red Line extension — Canadian railcar-component plants (Ontario) and Mexican wire/cable plants eligible on a named share; Ontario reciprocates with subway-car component openings for Illinois suppliers.</w:t>
      </w:r>
    </w:p>
    <w:p>
      <w:pPr>
        <w:pStyle w:val="Normal"/>
        <w:widowControl/>
        <w:rPr/>
      </w:pPr>
      <w:r>
        <w:rPr>
          <w:b w:val="false"/>
          <w:i w:val="false"/>
        </w:rPr>
        <w:t>65-A-042 [FLAGSHIP] New York MTA Second Avenue Subway Phase 2 — Canadian tunneling consortia eligible on a defined package; in exchange, New York State gets a published share of a Canadian tunnel project (e.g., Ontario Line).</w:t>
      </w:r>
    </w:p>
    <w:p>
      <w:pPr>
        <w:pStyle w:val="Normal"/>
        <w:widowControl/>
        <w:rPr/>
      </w:pPr>
      <w:r>
        <w:rPr>
          <w:b w:val="false"/>
          <w:i w:val="false"/>
        </w:rPr>
        <w:t>65-A-043 [ANCHOR] Mexico City–Querétaro passenger rail revival — Canadian and U.S. rolling-stock and signalling firms prequalified; reciprocated by Mexican access to Amtrak's long-distance fleet replacement packages.</w:t>
      </w:r>
    </w:p>
    <w:p>
      <w:pPr>
        <w:pStyle w:val="Normal"/>
        <w:widowControl/>
        <w:rPr/>
      </w:pPr>
      <w:r>
        <w:rPr>
          <w:b w:val="false"/>
          <w:i w:val="false"/>
        </w:rPr>
        <w:t>65-A-044 [PROGRAM] Toluca–Mexico City interurban train completion — U.S. and Canadian systems suppliers eligible on finishing packages; Mexico City reciprocates on cable-bus and metro-refurbishment contracts for CUSMA firms.</w:t>
      </w:r>
    </w:p>
    <w:p>
      <w:pPr>
        <w:pStyle w:val="Normal"/>
        <w:widowControl/>
        <w:rPr/>
      </w:pPr>
      <w:r>
        <w:rPr>
          <w:b w:val="false"/>
          <w:i w:val="false"/>
        </w:rPr>
        <w:t>65-A-045 [PROGRAM] Guadalajara Metro Line 4 — Canadian railcar assembly (Ontario/Quebec) and U.S. traction suppliers eligible; Jalisco reciprocates with station-civil openings and ITS contracts.</w:t>
      </w:r>
    </w:p>
    <w:p>
      <w:pPr>
        <w:pStyle w:val="Normal"/>
        <w:widowControl/>
        <w:rPr/>
      </w:pPr>
      <w:r>
        <w:rPr>
          <w:b w:val="false"/>
          <w:i w:val="false"/>
        </w:rPr>
        <w:t>65-A-046 [PROGRAM] Monterrey Metro Lines 4–6 — Canadian and U.S. firms prequalified on a published share; Nuevo León reciprocates with its "Metrorrey" depot and track contracts for Mexican-content rules aligned to CUSMA.</w:t>
      </w:r>
    </w:p>
    <w:p>
      <w:pPr>
        <w:pStyle w:val="Normal"/>
        <w:widowControl/>
        <w:rPr/>
      </w:pPr>
      <w:r>
        <w:rPr>
          <w:b w:val="false"/>
          <w:i w:val="false"/>
        </w:rPr>
        <w:t>65-A-047 [FLAGSHIP] CPKC trilateral freight corridor upgrades — Package named around the only true Canada–US–Mexico railroad: joint procurement of cross-border yard, siding and inspection-facility works with published trilateral splits.</w:t>
      </w:r>
    </w:p>
    <w:p>
      <w:pPr>
        <w:pStyle w:val="Normal"/>
        <w:widowControl/>
        <w:rPr/>
      </w:pPr>
      <w:r>
        <w:rPr>
          <w:b w:val="false"/>
          <w:i w:val="false"/>
        </w:rPr>
        <w:t>65-A-048 [PROGRAM] Laredo rail corridor grade separations — Texas opens packages to Mexican contractors; Coahuila/Nuevo León reciprocate on their CPKC-connection yard works for U.S. firms.</w:t>
      </w:r>
    </w:p>
    <w:p>
      <w:pPr>
        <w:pStyle w:val="Normal"/>
        <w:widowControl/>
        <w:rPr/>
      </w:pPr>
      <w:r>
        <w:rPr>
          <w:b w:val="false"/>
          <w:i w:val="false"/>
        </w:rPr>
        <w:t>65-A-049 [PROGRAM] Amtrak fleet replacement (Airo and long-distance) — Mexican and Canadian component plants eligible on a capped percentage of subassembly contracts; reciprocal U.S. access to VIA and Mexican passenger-fleet procurements.</w:t>
      </w:r>
    </w:p>
    <w:p>
      <w:pPr>
        <w:pStyle w:val="Normal"/>
        <w:widowControl/>
        <w:rPr/>
      </w:pPr>
      <w:r>
        <w:rPr>
          <w:b w:val="false"/>
          <w:i w:val="false"/>
        </w:rPr>
        <w:t>65-A-050 [ANCHOR] Adirondack and Maple Leaf corridor service upgrades (Montreal–New York, Toronto–New York) — Binational procurement of station, track and customs-preclearance works with a published split.</w:t>
      </w:r>
    </w:p>
    <w:p>
      <w:pPr>
        <w:pStyle w:val="Normal"/>
        <w:widowControl/>
        <w:rPr/>
      </w:pPr>
      <w:r>
        <w:rPr>
          <w:b w:val="false"/>
          <w:i w:val="false"/>
        </w:rPr>
        <w:t>65-A-051 [FLAGSHIP] Hudson River rail tunnel (Gateway) — Canadian tunneling and Mexican precast firms eligible on defined packages; reciprocated via Canadian openings on a named Toronto or Montreal tunnel package.</w:t>
      </w:r>
    </w:p>
    <w:p>
      <w:pPr>
        <w:pStyle w:val="Normal"/>
        <w:widowControl/>
        <w:rPr/>
      </w:pPr>
      <w:r>
        <w:rPr>
          <w:b w:val="false"/>
          <w:i w:val="false"/>
        </w:rPr>
        <w:t>65-A-052 [PROGRAM] Boston MBTA Green Line extension follow-ons — Quebec and Ontario suppliers prequalified on systems packages; Massachusetts reciprocates with Canadian access to MBTA commuter-rail fleet options.</w:t>
      </w:r>
    </w:p>
    <w:p>
      <w:pPr>
        <w:pStyle w:val="Normal"/>
        <w:widowControl/>
        <w:rPr/>
      </w:pPr>
      <w:r>
        <w:rPr>
          <w:b w:val="false"/>
          <w:i w:val="false"/>
        </w:rPr>
        <w:t>65-A-053 [PROGRAM] Calgary Green Line LRT — U.S. and Mexican firms eligible on capped civil and systems packages; Alberta reciprocity framed via Colorado or Utah transit openings for Canadian firms.</w:t>
      </w:r>
    </w:p>
    <w:p>
      <w:pPr>
        <w:pStyle w:val="Normal"/>
        <w:widowControl/>
        <w:rPr/>
      </w:pPr>
      <w:r>
        <w:rPr>
          <w:b w:val="false"/>
          <w:i w:val="false"/>
        </w:rPr>
        <w:t>65-A-054 [PROGRAM] Edmonton Valley Line West LRT — U.S. trackwork suppliers eligible; reciprocated via Canadian access to Minneapolis–Saint Paul light-rail extension packages.</w:t>
      </w:r>
    </w:p>
    <w:p>
      <w:pPr>
        <w:pStyle w:val="Normal"/>
        <w:widowControl/>
        <w:rPr/>
      </w:pPr>
      <w:r>
        <w:rPr>
          <w:b w:val="false"/>
          <w:i w:val="false"/>
        </w:rPr>
        <w:t>65-A-055 [PROGRAM] Ottawa Stage 2 LRT completion packages — U.S. signalling firms eligible on defined lots; Ontario reciprocates with access to DC Metro or Maryland Purple Line component contracts.</w:t>
      </w:r>
    </w:p>
    <w:p>
      <w:pPr>
        <w:pStyle w:val="Normal"/>
        <w:widowControl/>
        <w:rPr/>
      </w:pPr>
      <w:r>
        <w:rPr>
          <w:b w:val="false"/>
          <w:i w:val="false"/>
        </w:rPr>
        <w:t>65-A-056 [PROGRAM] Mexico Suburban Train Buenavista–Cuautitlán expansion — Canadian railcar component plants and U.S. signalling firms prequalified; Estado de México reciprocates with station-civil openings.</w:t>
      </w:r>
    </w:p>
    <w:p>
      <w:pPr>
        <w:pStyle w:val="Normal"/>
        <w:widowControl/>
        <w:rPr/>
      </w:pPr>
      <w:r>
        <w:rPr>
          <w:b w:val="false"/>
          <w:i w:val="false"/>
        </w:rPr>
        <w:t>65-A-057 [ANCHOR] Freight rail crossing modernization (El Paso–Juárez) — Binational tender on track, scanning and yard works with published reciprocal opportunity values.</w:t>
      </w:r>
    </w:p>
    <w:p>
      <w:pPr>
        <w:pStyle w:val="Normal"/>
        <w:widowControl/>
        <w:rPr/>
      </w:pPr>
      <w:r>
        <w:rPr>
          <w:b w:val="false"/>
          <w:i w:val="false"/>
        </w:rPr>
        <w:t>65-A-058 [ANCHOR] Quebec City–Windsor corridor station modernization program — Named bundle of mid-sized station contracts opened trilaterally, with Mexican and U.S. firms eligible on defined lots.</w:t>
      </w:r>
    </w:p>
    <w:p>
      <w:pPr>
        <w:pStyle w:val="Normal"/>
        <w:widowControl/>
        <w:rPr/>
      </w:pPr>
      <w:r>
        <w:rPr>
          <w:b w:val="false"/>
          <w:i w:val="false"/>
        </w:rPr>
        <w:t>65-A-059 [PROGRAM] Commuter-rail positive-train-control and signalling harmonization — Trilateral prequalification list for signalling suppliers on cross-border corridors, each contract capped and announced.</w:t>
      </w:r>
    </w:p>
    <w:p>
      <w:pPr>
        <w:pStyle w:val="Normal"/>
        <w:widowControl/>
        <w:rPr/>
      </w:pPr>
      <w:r>
        <w:rPr>
          <w:b w:val="false"/>
          <w:i w:val="false"/>
        </w:rPr>
        <w:t>65-A-060 [PROGRAM] Intercity bus and rail-station EV charging network (trilateral) — Jointly tendered corridor of charging depots at stations from Vancouver to Monterrey; each country names its contracts and contractors.</w:t>
      </w:r>
    </w:p>
    <w:p>
      <w:pPr>
        <w:pStyle w:val="Normal"/>
        <w:widowControl/>
        <w:rPr/>
      </w:pPr>
      <w:r>
        <w:rPr>
          <w:b w:val="false"/>
          <w:i w:val="false"/>
        </w:rPr>
        <w:t>65-A-061 [FLAGSHIP] Prince Rupert Fairview–Ridley connector and terminal expansion — U.S. and Mexican firms prequalified on defined civil packages; reciprocity via U.S. Pacific Northwest port openings for Canadian firms.</w:t>
      </w:r>
    </w:p>
    <w:p>
      <w:pPr>
        <w:pStyle w:val="Normal"/>
        <w:widowControl/>
        <w:rPr/>
      </w:pPr>
      <w:r>
        <w:rPr>
          <w:b w:val="false"/>
          <w:i w:val="false"/>
        </w:rPr>
        <w:t>65-A-062 [ANCHOR] Roberts Bank Terminal 2 (Vancouver) — Named carve-out for U.S. dredging and Mexican steel suppliers on a capped share, announced with dollar figures; U.S. West Coast ports reciprocate.</w:t>
      </w:r>
    </w:p>
    <w:p>
      <w:pPr>
        <w:pStyle w:val="Normal"/>
        <w:widowControl/>
        <w:rPr/>
      </w:pPr>
      <w:r>
        <w:rPr>
          <w:b w:val="false"/>
          <w:i w:val="false"/>
        </w:rPr>
        <w:t>65-A-063 [FLAGSHIP] Port of Montreal Contrecoeur expansion — Quebec opens container-terminal civil lots to U.S. and Mexican firms; reciprocated via Port of New York/New Jersey wharf-renewal packages for Canadian firms.</w:t>
      </w:r>
    </w:p>
    <w:p>
      <w:pPr>
        <w:pStyle w:val="Normal"/>
        <w:widowControl/>
        <w:rPr/>
      </w:pPr>
      <w:r>
        <w:rPr>
          <w:b w:val="false"/>
          <w:i w:val="false"/>
        </w:rPr>
        <w:t>65-A-064 [ANCHOR] Halifax Gateway container expansion — U.S. terminal-equipment suppliers eligible; Nova Scotia gets reciprocal access to Port of Boston dredging and berth works.</w:t>
      </w:r>
    </w:p>
    <w:p>
      <w:pPr>
        <w:pStyle w:val="Normal"/>
        <w:widowControl/>
        <w:rPr/>
      </w:pPr>
      <w:r>
        <w:rPr>
          <w:b w:val="false"/>
          <w:i w:val="false"/>
        </w:rPr>
        <w:t>65-A-065 [ANCHOR] Port of Churchill &amp; Hudson Bay Railway renewal (Manitoba) — U.S. rail and marine contractors prequalified on revival packages; reciprocated via Great Lakes port openings for Manitoba firms.</w:t>
      </w:r>
    </w:p>
    <w:p>
      <w:pPr>
        <w:pStyle w:val="Normal"/>
        <w:widowControl/>
        <w:rPr/>
      </w:pPr>
      <w:r>
        <w:rPr>
          <w:b w:val="false"/>
          <w:i w:val="false"/>
        </w:rPr>
        <w:t>65-A-066 [PROGRAM] Grays Bay Road and Port (Nunavut Arctic corridor) — Alaska-based marine contractors and U.S. engineering firms eligible on defined packages; framed as an Arctic-security trophy with named contract values.</w:t>
      </w:r>
    </w:p>
    <w:p>
      <w:pPr>
        <w:pStyle w:val="Normal"/>
        <w:widowControl/>
        <w:rPr/>
      </w:pPr>
      <w:r>
        <w:rPr>
          <w:b w:val="false"/>
          <w:i w:val="false"/>
        </w:rPr>
        <w:t>65-A-067 [ANCHOR] Port of Los Angeles zero-emission terminal equipment — Canadian (Lion Electric-type) and Mexican chassis/electrical suppliers eligible on a defined share; California ports reciprocated in Canadian port electrification tenders.</w:t>
      </w:r>
    </w:p>
    <w:p>
      <w:pPr>
        <w:pStyle w:val="Normal"/>
        <w:widowControl/>
        <w:rPr/>
      </w:pPr>
      <w:r>
        <w:rPr>
          <w:b w:val="false"/>
          <w:i w:val="false"/>
        </w:rPr>
        <w:t>65-A-068 [ANCHOR] Port of Long Beach Pier B rail expansion — Canadian rail firms and Mexican precast producers prequalified; reciprocated via Ontario port-rail openings.</w:t>
      </w:r>
    </w:p>
    <w:p>
      <w:pPr>
        <w:pStyle w:val="Normal"/>
        <w:widowControl/>
        <w:rPr/>
      </w:pPr>
      <w:r>
        <w:rPr>
          <w:b w:val="false"/>
          <w:i w:val="false"/>
        </w:rPr>
        <w:t>65-A-069 [PROGRAM] Port of New York &amp; New Jersey berth modernization — Canadian marine-civil consortia eligible on named packages; reciprocated via Montreal/Halifax openings.</w:t>
      </w:r>
    </w:p>
    <w:p>
      <w:pPr>
        <w:pStyle w:val="Normal"/>
        <w:widowControl/>
        <w:rPr/>
      </w:pPr>
      <w:r>
        <w:rPr>
          <w:b w:val="false"/>
          <w:i w:val="false"/>
        </w:rPr>
        <w:t>65-A-070 [PROGRAM] Port of Houston channel expansion follow-on works — Canadian dredging-support and Mexican fabrication yards eligible on capped lots; Texas gets reciprocal openings in Great Lakes ports.</w:t>
      </w:r>
    </w:p>
    <w:p>
      <w:pPr>
        <w:pStyle w:val="Normal"/>
        <w:widowControl/>
        <w:rPr/>
      </w:pPr>
      <w:r>
        <w:rPr>
          <w:b w:val="false"/>
          <w:i w:val="false"/>
        </w:rPr>
        <w:t>65-A-071 [FLAGSHIP] Lázaro Cárdenas port expansion (Michoacán) — Canadian and U.S. crane, terminal-operating-system and civil firms prequalified; Mexico reciprocates with Pacific-port access for its own side plus U.S./Canadian splits published.</w:t>
      </w:r>
    </w:p>
    <w:p>
      <w:pPr>
        <w:pStyle w:val="Normal"/>
        <w:widowControl/>
        <w:rPr/>
      </w:pPr>
      <w:r>
        <w:rPr>
          <w:b w:val="false"/>
          <w:i w:val="false"/>
        </w:rPr>
        <w:t>65-A-072 [PROGRAM] Manzanillo port expansion (Colima) — U.S. terminal-equipment and Canadian engineering firms eligible on defined packages; announced with named dollar values for each country.</w:t>
      </w:r>
    </w:p>
    <w:p>
      <w:pPr>
        <w:pStyle w:val="Normal"/>
        <w:widowControl/>
        <w:rPr/>
      </w:pPr>
      <w:r>
        <w:rPr>
          <w:b w:val="false"/>
          <w:i w:val="false"/>
        </w:rPr>
        <w:t>65-A-073 [FLAGSHIP] Salina Cruz (Tehuantepec Isthmus corridor) port works — Trilateral tender on breakwater, rail-yard and highway-connector packages with published reciprocal opportunity allocations — a flagship "isthmus" trophy.</w:t>
      </w:r>
    </w:p>
    <w:p>
      <w:pPr>
        <w:pStyle w:val="Normal"/>
        <w:widowControl/>
        <w:rPr/>
      </w:pPr>
      <w:r>
        <w:rPr>
          <w:b w:val="false"/>
          <w:i w:val="false"/>
        </w:rPr>
        <w:t>65-A-074 [ANCHOR] Coatzacoalcos port modernization — Canadian marine-civil and U.S. dredging firms eligible; reciprocated via Mexican access to Gulf Coast port contracts.</w:t>
      </w:r>
    </w:p>
    <w:p>
      <w:pPr>
        <w:pStyle w:val="Normal"/>
        <w:widowControl/>
        <w:rPr/>
      </w:pPr>
      <w:r>
        <w:rPr>
          <w:b w:val="false"/>
          <w:i w:val="false"/>
        </w:rPr>
        <w:t>65-A-075 [PROGRAM] Veracruz port expansion — U.S. and Canadian terminal equipment and ITS suppliers prequalified on named packages.</w:t>
      </w:r>
    </w:p>
    <w:p>
      <w:pPr>
        <w:pStyle w:val="Normal"/>
        <w:widowControl/>
        <w:rPr/>
      </w:pPr>
      <w:r>
        <w:rPr>
          <w:b w:val="false"/>
          <w:i w:val="false"/>
        </w:rPr>
        <w:t>65-A-076 [PROGRAM] Altamira port liquid-bulk expansion — Canadian process-plant modules and U.S. marine contractors eligible on defined lots.</w:t>
      </w:r>
    </w:p>
    <w:p>
      <w:pPr>
        <w:pStyle w:val="Normal"/>
        <w:widowControl/>
        <w:rPr/>
      </w:pPr>
      <w:r>
        <w:rPr>
          <w:b w:val="false"/>
          <w:i w:val="false"/>
        </w:rPr>
        <w:t>65-A-077 [PROGRAM] Ensenada port and cruise-terminal upgrade (Baja California) — U.S. and Canadian firms prequalified; Baja reciprocates with tourism-infrastructure openings.</w:t>
      </w:r>
    </w:p>
    <w:p>
      <w:pPr>
        <w:pStyle w:val="Normal"/>
        <w:widowControl/>
        <w:rPr/>
      </w:pPr>
      <w:r>
        <w:rPr>
          <w:b w:val="false"/>
          <w:i w:val="false"/>
        </w:rPr>
        <w:t>65-A-078 [PROGRAM] Great Lakes/St. Lawrence cruise-terminal network — Binational tender across Toronto, Montreal, Cleveland, Detroit, Duluth: published reciprocal split of terminal and shore-power contracts.</w:t>
      </w:r>
    </w:p>
    <w:p>
      <w:pPr>
        <w:pStyle w:val="Normal"/>
        <w:widowControl/>
        <w:rPr/>
      </w:pPr>
      <w:r>
        <w:rPr>
          <w:b w:val="false"/>
          <w:i w:val="false"/>
        </w:rPr>
        <w:t>65-A-079 [PROGRAM] Port of Anchorage expansion (Alaska) — Yukon and BC marine contractors prequalified; Alaska reciprocates with Canadian access to its gravel/barge contracts.</w:t>
      </w:r>
    </w:p>
    <w:p>
      <w:pPr>
        <w:pStyle w:val="Normal"/>
        <w:widowControl/>
        <w:rPr/>
      </w:pPr>
      <w:r>
        <w:rPr>
          <w:b w:val="false"/>
          <w:i w:val="false"/>
        </w:rPr>
        <w:t>65-A-080 [PROGRAM] Tacoma–Seattle Northwest Seaport Alliance terminal modernization — BC firms eligible on defined packages as the named reciprocal half of Vancouver-area openings.</w:t>
      </w:r>
    </w:p>
    <w:p>
      <w:pPr>
        <w:pStyle w:val="Normal"/>
        <w:widowControl/>
        <w:rPr/>
      </w:pPr>
      <w:r>
        <w:rPr>
          <w:b w:val="false"/>
          <w:i w:val="false"/>
        </w:rPr>
        <w:t>65-A-081 [PROGRAM] New Orleans lower-Mississippi container terminal (Louisiana) — Canadian and Mexican steel and precast suppliers eligible on capped packages.</w:t>
      </w:r>
    </w:p>
    <w:p>
      <w:pPr>
        <w:pStyle w:val="Normal"/>
        <w:widowControl/>
        <w:rPr/>
      </w:pPr>
      <w:r>
        <w:rPr>
          <w:b w:val="false"/>
          <w:i w:val="false"/>
        </w:rPr>
        <w:t>65-A-082 [PROGRAM] Mobile, Alabama container terminal expansion — Ontario/Quebec rail-connection suppliers eligible; reciprocated via Canadian access to Alabama port-rail works.</w:t>
      </w:r>
    </w:p>
    <w:p>
      <w:pPr>
        <w:pStyle w:val="Normal"/>
        <w:widowControl/>
        <w:rPr/>
      </w:pPr>
      <w:r>
        <w:rPr>
          <w:b w:val="false"/>
          <w:i w:val="false"/>
        </w:rPr>
        <w:t>65-A-083 [PROGRAM] Port Manatee and Florida Gulf ports — Canadian marine-civil firms prequalified on berth works; Florida reciprocates with access to its seaport grant-funded packages.</w:t>
      </w:r>
    </w:p>
    <w:p>
      <w:pPr>
        <w:pStyle w:val="Normal"/>
        <w:widowControl/>
        <w:rPr/>
      </w:pPr>
      <w:r>
        <w:rPr>
          <w:b w:val="false"/>
          <w:i w:val="false"/>
        </w:rPr>
        <w:t>65-A-084 [PROGRAM] Binational ferry terminal renewal (Washington–BC; Maine–Nova Scotia) — Published reciprocal split of terminal civil and shore-power contracts on both sides.</w:t>
      </w:r>
    </w:p>
    <w:p>
      <w:pPr>
        <w:pStyle w:val="Normal"/>
        <w:widowControl/>
        <w:rPr/>
      </w:pPr>
      <w:r>
        <w:rPr>
          <w:b w:val="false"/>
          <w:i w:val="false"/>
        </w:rPr>
        <w:t>65-A-085 [PROGRAM] BC Ferries fleet replacement auxiliary packages — Mexican and U.S. marine suppliers eligible on capped non-hull packages (electrical, HVAC, interiors); Washington reciprocates on its ferry-terminal works.</w:t>
      </w:r>
    </w:p>
    <w:p>
      <w:pPr>
        <w:pStyle w:val="Normal"/>
        <w:widowControl/>
        <w:rPr/>
      </w:pPr>
      <w:r>
        <w:rPr>
          <w:b w:val="false"/>
          <w:i w:val="false"/>
        </w:rPr>
        <w:t>65-A-086 [PROGRAM] Washington State Ferries electrification — BC and Quebec marine-electrical firms prequalified on defined packages; reciprocity via BC terminal openings.</w:t>
      </w:r>
    </w:p>
    <w:p>
      <w:pPr>
        <w:pStyle w:val="Normal"/>
        <w:widowControl/>
        <w:rPr/>
      </w:pPr>
      <w:r>
        <w:rPr>
          <w:b w:val="false"/>
          <w:i w:val="false"/>
        </w:rPr>
        <w:t>65-A-087 [PROGRAM] Alaska Marine Highway vessel overhaul packages — Yukon/BC shipyards eligible on defined lots; Alaska reciprocates with Canadian access to its terminal works.</w:t>
      </w:r>
    </w:p>
    <w:p>
      <w:pPr>
        <w:pStyle w:val="Normal"/>
        <w:widowControl/>
        <w:rPr/>
      </w:pPr>
      <w:r>
        <w:rPr>
          <w:b w:val="false"/>
          <w:i w:val="false"/>
        </w:rPr>
        <w:t>65-A-088 [PROGRAM] St. Lawrence Seaway ship-arrestor and hands-free mooring upgrades — Binational tender with published reciprocal opportunity values and named eligible firms.</w:t>
      </w:r>
    </w:p>
    <w:p>
      <w:pPr>
        <w:pStyle w:val="Normal"/>
        <w:widowControl/>
        <w:rPr/>
      </w:pPr>
      <w:r>
        <w:rPr>
          <w:b w:val="false"/>
          <w:i w:val="false"/>
        </w:rPr>
        <w:t>65-A-089 [PROGRAM] Great Lakes icebreaking buoy-tender procurement — Canadian and U.S. yards share defined workshare; framed as a NORAD-adjacent Arctic-readiness trophy.</w:t>
      </w:r>
    </w:p>
    <w:p>
      <w:pPr>
        <w:pStyle w:val="Normal"/>
        <w:widowControl/>
        <w:rPr/>
      </w:pPr>
      <w:r>
        <w:rPr>
          <w:b w:val="false"/>
          <w:i w:val="false"/>
        </w:rPr>
        <w:t>65-A-090 [FLAGSHIP] Trilateral port-security scanning equipment program — Joint procurement of cargo scanners at LA/Long Beach, Vancouver, Manzanillo and Lázaro Cárdenas; each country names its supplying factory and contract value.</w:t>
      </w:r>
    </w:p>
    <w:p>
      <w:pPr>
        <w:pStyle w:val="Normal"/>
        <w:widowControl/>
        <w:rPr/>
      </w:pPr>
      <w:r>
        <w:rPr>
          <w:b w:val="false"/>
          <w:i w:val="false"/>
        </w:rPr>
        <w:t>65-A-091 [ANCHOR] Champlain Hudson Power Express (Quebec–New York) — Already trilateral in spirit: name a defined package of U.S.-side converter-station contracts for Canadian firms and Quebec-side cable-laying contracts for U.S. firms, announced with dollar figures.</w:t>
      </w:r>
    </w:p>
    <w:p>
      <w:pPr>
        <w:pStyle w:val="Normal"/>
        <w:widowControl/>
        <w:rPr/>
      </w:pPr>
      <w:r>
        <w:rPr>
          <w:b w:val="false"/>
          <w:i w:val="false"/>
        </w:rPr>
        <w:t>65-A-092 [ANCHOR] New England Clean Energy Connect (Quebec–Maine) — Canadian firms on U.S.-side line construction; Quebec-side substation packages opened to Maine contractors, published as one reciprocal line item.</w:t>
      </w:r>
    </w:p>
    <w:p>
      <w:pPr>
        <w:pStyle w:val="Normal"/>
        <w:widowControl/>
        <w:rPr/>
      </w:pPr>
      <w:r>
        <w:rPr>
          <w:b w:val="false"/>
          <w:i w:val="false"/>
        </w:rPr>
        <w:t>65-A-093 [FLAGSHIP] Hydro-Québec–New York second interconnection (new) — Designed from day one with a published NABC split of converter, cable and civil contracts.</w:t>
      </w:r>
    </w:p>
    <w:p>
      <w:pPr>
        <w:pStyle w:val="Normal"/>
        <w:widowControl/>
        <w:rPr/>
      </w:pPr>
      <w:r>
        <w:rPr>
          <w:b w:val="false"/>
          <w:i w:val="false"/>
        </w:rPr>
        <w:t>65-A-094 [FLAGSHIP] Ontario–Michigan transmission interconnection upgrade — Binational tender on substations and line works with named eligible firms on both sides.</w:t>
      </w:r>
    </w:p>
    <w:p>
      <w:pPr>
        <w:pStyle w:val="Normal"/>
        <w:widowControl/>
        <w:rPr/>
      </w:pPr>
      <w:r>
        <w:rPr>
          <w:b w:val="false"/>
          <w:i w:val="false"/>
        </w:rPr>
        <w:t>65-A-095 [PROGRAM] Ontario–Minnesota interconnection (Great Northern Line follow-ons) — Reciprocal substation packages; Manitoba Hydro and Minnesota utilities announce jointly.</w:t>
      </w:r>
    </w:p>
    <w:p>
      <w:pPr>
        <w:pStyle w:val="Normal"/>
        <w:widowControl/>
        <w:rPr/>
      </w:pPr>
      <w:r>
        <w:rPr>
          <w:b w:val="false"/>
          <w:i w:val="false"/>
        </w:rPr>
        <w:t>65-A-096 [ANCHOR] Manitoba–North Dakota wind integration line — Manitoba opens line packages to North Dakota firms; North Dakota reciprocates on its collector-system contracts.</w:t>
      </w:r>
    </w:p>
    <w:p>
      <w:pPr>
        <w:pStyle w:val="Normal"/>
        <w:widowControl/>
        <w:rPr/>
      </w:pPr>
      <w:r>
        <w:rPr>
          <w:b w:val="false"/>
          <w:i w:val="false"/>
        </w:rPr>
        <w:t>65-A-097 [FLAGSHIP] BC–Washington transmission reinforcement — BC Hydro and BPA jointly tender with published reciprocal opportunity allocations; Canadian firms on U.S.-side segments, U.S. firms on BC-side segments.</w:t>
      </w:r>
    </w:p>
    <w:p>
      <w:pPr>
        <w:pStyle w:val="Normal"/>
        <w:widowControl/>
        <w:rPr/>
      </w:pPr>
      <w:r>
        <w:rPr>
          <w:b w:val="false"/>
          <w:i w:val="false"/>
        </w:rPr>
        <w:t>65-A-098 [PROGRAM] Alberta–Montana intertie (MATL expansion) — Reciprocal packages on both sides of the border, announced with contract values.</w:t>
      </w:r>
    </w:p>
    <w:p>
      <w:pPr>
        <w:pStyle w:val="Normal"/>
        <w:widowControl/>
        <w:rPr/>
      </w:pPr>
      <w:r>
        <w:rPr>
          <w:b w:val="false"/>
          <w:i w:val="false"/>
        </w:rPr>
        <w:t>65-A-099 [PROGRAM] Saskatchewan–North Dakota grid interconnection — New tie-line with a named NABC procurement split.</w:t>
      </w:r>
    </w:p>
    <w:p>
      <w:pPr>
        <w:pStyle w:val="Normal"/>
        <w:widowControl/>
        <w:rPr/>
      </w:pPr>
      <w:r>
        <w:rPr>
          <w:b w:val="false"/>
          <w:i w:val="false"/>
        </w:rPr>
        <w:t>65-A-100 [FLAGSHIP] California–Baja California interconnection upgrade (Energía Sierra Juárez) — Canadian HVDC equipment and U.S./Mexican civil firms share published packages.</w:t>
      </w:r>
    </w:p>
    <w:p>
      <w:pPr>
        <w:pStyle w:val="Normal"/>
        <w:widowControl/>
        <w:rPr/>
      </w:pPr>
      <w:r>
        <w:rPr>
          <w:b w:val="false"/>
          <w:i w:val="false"/>
        </w:rPr>
        <w:t>65-A-101 [FLAGSHIP] Texas–Nuevo León cross-border transmission — New ties for industrial load: trilateral tender with defined splits for Mexican steel towers, Canadian transformers, U.S. switchgear.</w:t>
      </w:r>
    </w:p>
    <w:p>
      <w:pPr>
        <w:pStyle w:val="Normal"/>
        <w:widowControl/>
        <w:rPr/>
      </w:pPr>
      <w:r>
        <w:rPr>
          <w:b w:val="false"/>
          <w:i w:val="false"/>
        </w:rPr>
        <w:t>65-A-102 [ANCHOR] Arizona–Sonora transmission corridor (Plan Sonora link) — Canadian EPC firms eligible on U.S.-side packages; Sonora-side substations opened to U.S. and Canadian firms.</w:t>
      </w:r>
    </w:p>
    <w:p>
      <w:pPr>
        <w:pStyle w:val="Normal"/>
        <w:widowControl/>
        <w:rPr/>
      </w:pPr>
      <w:r>
        <w:rPr>
          <w:b w:val="false"/>
          <w:i w:val="false"/>
        </w:rPr>
        <w:t>65-A-103 [PROGRAM] New Mexico–Chihuahua renewable export line — Trilateral procurement split named at announcement: towers from Monterrey, transformers from Ontario, engineering from the U.S.</w:t>
      </w:r>
    </w:p>
    <w:p>
      <w:pPr>
        <w:pStyle w:val="Normal"/>
        <w:widowControl/>
        <w:rPr/>
      </w:pPr>
      <w:r>
        <w:rPr>
          <w:b w:val="false"/>
          <w:i w:val="false"/>
        </w:rPr>
        <w:t>65-A-104 [PROGRAM] SunZia transmission (Arizona–New Mexico) — Canadian and Mexican conductor and tower suppliers eligible on a capped share; reciprocated via Western Canadian line openings.</w:t>
      </w:r>
    </w:p>
    <w:p>
      <w:pPr>
        <w:pStyle w:val="Normal"/>
        <w:widowControl/>
        <w:rPr/>
      </w:pPr>
      <w:r>
        <w:rPr>
          <w:b w:val="false"/>
          <w:i w:val="false"/>
        </w:rPr>
        <w:t>65-A-105 [PROGRAM] Grain Belt Express (Kansas–Indiana) — Ontario transformer plants and Mexican steel-tower fabricators prequalified on defined lots; reciprocated via Canadian access to U.S. wind-farm collection contracts in partner provinces' projects.</w:t>
      </w:r>
    </w:p>
    <w:p>
      <w:pPr>
        <w:pStyle w:val="Normal"/>
        <w:widowControl/>
        <w:rPr/>
      </w:pPr>
      <w:r>
        <w:rPr>
          <w:b w:val="false"/>
          <w:i w:val="false"/>
        </w:rPr>
        <w:t>65-A-106 [PROGRAM] TransWest Express (Wyoming–Nevada) — Canadian HVDC converter suppliers eligible on a named package; Wyoming reciprocates with Canadian access to its wind-farm balance-of-plant contracts.</w:t>
      </w:r>
    </w:p>
    <w:p>
      <w:pPr>
        <w:pStyle w:val="Normal"/>
        <w:widowControl/>
        <w:rPr/>
      </w:pPr>
      <w:r>
        <w:rPr>
          <w:b w:val="false"/>
          <w:i w:val="false"/>
        </w:rPr>
        <w:t>65-A-107 [PROGRAM] Ten West Link follow-on lines — Mexican conductor plants and Canadian engineering firms prequalified on defined shares.</w:t>
      </w:r>
    </w:p>
    <w:p>
      <w:pPr>
        <w:pStyle w:val="Normal"/>
        <w:widowControl/>
        <w:rPr/>
      </w:pPr>
      <w:r>
        <w:rPr>
          <w:b w:val="false"/>
          <w:i w:val="false"/>
        </w:rPr>
        <w:t>65-A-108 [FLAGSHIP] Cross-border grid-resilience hardening program — Named bundle of wildfire- and storm-hardening contracts on shared corridors (BC/WA, QC/NY/VT, ON/MI), each with published reciprocal splits.</w:t>
      </w:r>
    </w:p>
    <w:p>
      <w:pPr>
        <w:pStyle w:val="Normal"/>
        <w:widowControl/>
        <w:rPr/>
      </w:pPr>
      <w:r>
        <w:rPr>
          <w:b w:val="false"/>
          <w:i w:val="false"/>
        </w:rPr>
        <w:t>65-A-109 [ANCHOR] Trilateral HVDC transformer factory alliance — One new or expanded plant in each country (Ontario, Carolinas, Monterrey) eligible for reciprocal prequalification and competitive access on the other's named projects.</w:t>
      </w:r>
    </w:p>
    <w:p>
      <w:pPr>
        <w:pStyle w:val="Normal"/>
        <w:widowControl/>
        <w:rPr/>
      </w:pPr>
      <w:r>
        <w:rPr>
          <w:b w:val="false"/>
          <w:i w:val="false"/>
        </w:rPr>
        <w:t>65-A-110 [PROGRAM] Smart-grid interoperability corridor (Vancouver–Seattle–Portland I-5) — Joint tender of grid-edge, metering and EV-integration contracts with published reciprocal opportunity allocations.</w:t>
      </w:r>
    </w:p>
    <w:p>
      <w:pPr>
        <w:pStyle w:val="Normal"/>
        <w:widowControl/>
        <w:rPr/>
      </w:pPr>
      <w:r>
        <w:rPr>
          <w:b w:val="false"/>
          <w:i w:val="false"/>
        </w:rPr>
        <w:t>65-A-111 [PROGRAM] Great Lakes cross-border submarine cable program — Ontario–Michigan/Ohio cable projects tendered bilaterally with designated reciprocal opportunity scopes.</w:t>
      </w:r>
    </w:p>
    <w:p>
      <w:pPr>
        <w:pStyle w:val="Normal"/>
        <w:widowControl/>
        <w:rPr/>
      </w:pPr>
      <w:r>
        <w:rPr>
          <w:b w:val="false"/>
          <w:i w:val="false"/>
        </w:rPr>
        <w:t>65-A-112 [PROGRAM] Quebec–New Hampshire second HVDC tie — New line with NABC procurement architecture from the outset; announced with jobs figures in both jurisdictions.</w:t>
      </w:r>
    </w:p>
    <w:p>
      <w:pPr>
        <w:pStyle w:val="Normal"/>
        <w:widowControl/>
        <w:rPr/>
      </w:pPr>
      <w:r>
        <w:rPr>
          <w:b w:val="false"/>
          <w:i w:val="false"/>
        </w:rPr>
        <w:t>65-A-113 [PROGRAM] Atlantic Loop interconnection (Quebec–New Brunswick–Nova Scotia) — U.S. engineering and Mexican cable suppliers eligible on capped packages; reciprocated via New England offshore-wind onshore-grid contracts for Canadian firms.</w:t>
      </w:r>
    </w:p>
    <w:p>
      <w:pPr>
        <w:pStyle w:val="Normal"/>
        <w:widowControl/>
        <w:rPr/>
      </w:pPr>
      <w:r>
        <w:rPr>
          <w:b w:val="false"/>
          <w:i w:val="false"/>
        </w:rPr>
        <w:t>65-A-114 [PROGRAM] Offshore wind onshore grid (New England) — Canadian cable-laying vessels and substation firms prequalified on defined packages as the reciprocal half of idea 113.</w:t>
      </w:r>
    </w:p>
    <w:p>
      <w:pPr>
        <w:pStyle w:val="Normal"/>
        <w:widowControl/>
        <w:rPr/>
      </w:pPr>
      <w:r>
        <w:rPr>
          <w:b w:val="false"/>
          <w:i w:val="false"/>
        </w:rPr>
        <w:t>65-A-115 [FLAGSHIP] Mexico national grid reinforcement (CFE transmission program) — Canadian and U.S. EPC and equipment firms prequalified on named lots; reciprocated via Mexican access to U.S./Canadian line-materials contracts.</w:t>
      </w:r>
    </w:p>
    <w:p>
      <w:pPr>
        <w:pStyle w:val="Normal"/>
        <w:widowControl/>
        <w:rPr/>
      </w:pPr>
      <w:r>
        <w:rPr>
          <w:b w:val="false"/>
          <w:i w:val="false"/>
        </w:rPr>
        <w:t>65-A-116 [PROGRAM] Baja California grid interconnection to Mexico's national system — Trilateral tender: U.S. and Canadian HVDC suppliers on defined packages; Mexican civil contractors on U.S.-side renewable tie lines.</w:t>
      </w:r>
    </w:p>
    <w:p>
      <w:pPr>
        <w:pStyle w:val="Normal"/>
        <w:widowControl/>
        <w:rPr/>
      </w:pPr>
      <w:r>
        <w:rPr>
          <w:b w:val="false"/>
          <w:i w:val="false"/>
        </w:rPr>
        <w:t>65-A-117 [PROGRAM] Cross-border energy-storage corridor program — Named bundle of battery-storage installations at border substations (six sites), each tendered with published trilateral splits.</w:t>
      </w:r>
    </w:p>
    <w:p>
      <w:pPr>
        <w:pStyle w:val="Normal"/>
        <w:widowControl/>
        <w:rPr/>
      </w:pPr>
      <w:r>
        <w:rPr>
          <w:b w:val="false"/>
          <w:i w:val="false"/>
        </w:rPr>
        <w:t>65-A-118 [PROGRAM] Grid cybersecurity hardening program — Trilateral prequalification list for control-system security upgrades on interconnected utilities, capped per project.</w:t>
      </w:r>
    </w:p>
    <w:p>
      <w:pPr>
        <w:pStyle w:val="Normal"/>
        <w:widowControl/>
        <w:rPr/>
      </w:pPr>
      <w:r>
        <w:rPr>
          <w:b w:val="false"/>
          <w:i w:val="false"/>
        </w:rPr>
        <w:t>65-A-119 [ANCHOR] Northern and remote microgrid program (Canada's North + Alaska) — Alaskan and Canadian firms share defined packages on diesel-displacement microgrids; framed as Arctic security plus clean energy.</w:t>
      </w:r>
    </w:p>
    <w:p>
      <w:pPr>
        <w:pStyle w:val="Normal"/>
        <w:widowControl/>
        <w:rPr/>
      </w:pPr>
      <w:r>
        <w:rPr>
          <w:b w:val="false"/>
          <w:i w:val="false"/>
        </w:rPr>
        <w:t>65-A-120 [PROGRAM] Chiapas–Guatemala–North America power corridor study (Mesoamerica link) — Feasibility-stage procurement opening: Canadian and U.S. engineering firms on named study and pre-engineering contracts, positioning for construction-stage reciprocity.</w:t>
      </w:r>
    </w:p>
    <w:p>
      <w:pPr>
        <w:pStyle w:val="Normal"/>
        <w:widowControl/>
        <w:rPr/>
      </w:pPr>
      <w:r>
        <w:rPr>
          <w:b w:val="false"/>
          <w:i w:val="false"/>
        </w:rPr>
        <w:t>65-A-121 [ANCHOR] LNG Canada Phase 2 (Kitimat, BC) — U.S. and Mexican fabrication yards eligible on defined module packages; reciprocated via Canadian access to U.S. Gulf Coast LNG module contracts.</w:t>
      </w:r>
    </w:p>
    <w:p>
      <w:pPr>
        <w:pStyle w:val="Normal"/>
        <w:widowControl/>
        <w:rPr/>
      </w:pPr>
      <w:r>
        <w:rPr>
          <w:b w:val="false"/>
          <w:i w:val="false"/>
        </w:rPr>
        <w:t>65-A-122 [PROGRAM] Cedar LNG (Haisla Nation, BC) — U.S. marine contractors prequalified on marine-terminal packages; Haisla-led procurement published with named reciprocal values.</w:t>
      </w:r>
    </w:p>
    <w:p>
      <w:pPr>
        <w:pStyle w:val="Normal"/>
        <w:widowControl/>
        <w:rPr/>
      </w:pPr>
      <w:r>
        <w:rPr>
          <w:b w:val="false"/>
          <w:i w:val="false"/>
        </w:rPr>
        <w:t>65-A-123 [PROGRAM] Woodfibre LNG (Squamish, BC) — U.S. and Mexican module fabricators eligible on capped lots.</w:t>
      </w:r>
    </w:p>
    <w:p>
      <w:pPr>
        <w:pStyle w:val="Normal"/>
        <w:widowControl/>
        <w:rPr/>
      </w:pPr>
      <w:r>
        <w:rPr>
          <w:b w:val="false"/>
          <w:i w:val="false"/>
        </w:rPr>
        <w:t>65-A-124 [PROGRAM] Prince Rupert Gas Transmission / Ksi Lisims LNG — Named procurement package for U.S. pipe-coating and Mexican steel suppliers, with dollar figures published.</w:t>
      </w:r>
    </w:p>
    <w:p>
      <w:pPr>
        <w:pStyle w:val="Normal"/>
        <w:widowControl/>
        <w:rPr/>
      </w:pPr>
      <w:r>
        <w:rPr>
          <w:b w:val="false"/>
          <w:i w:val="false"/>
        </w:rPr>
        <w:t>65-A-125 [PROGRAM] Gulf Coast LNG expansion (Texas/Louisiana) — Canadian LNG-process-module plants (BC/Alberta) and Mexican fabrication yards prequalified on defined packages as the reciprocal half of ideas 121–124.</w:t>
      </w:r>
    </w:p>
    <w:p>
      <w:pPr>
        <w:pStyle w:val="Normal"/>
        <w:widowControl/>
        <w:rPr/>
      </w:pPr>
      <w:r>
        <w:rPr>
          <w:b w:val="false"/>
          <w:i w:val="false"/>
        </w:rPr>
        <w:t>65-A-126 [PROGRAM] Energía Costa Azul LNG (Baja California, Sempra) — Canadian and U.S. equipment firms on named packages; reciprocated via Mexican access to West Coast LNG-contracting work.</w:t>
      </w:r>
    </w:p>
    <w:p>
      <w:pPr>
        <w:pStyle w:val="Normal"/>
        <w:widowControl/>
        <w:rPr/>
      </w:pPr>
      <w:r>
        <w:rPr>
          <w:b w:val="false"/>
          <w:i w:val="false"/>
        </w:rPr>
        <w:t>65-A-127 [PROGRAM] Saguaro/Trans-Pecos pipeline corridor (Texas–Mexico gas exports) — Trilateral tender on compression-station packages with published reciprocal opportunity allocations.</w:t>
      </w:r>
    </w:p>
    <w:p>
      <w:pPr>
        <w:pStyle w:val="Normal"/>
        <w:widowControl/>
        <w:rPr/>
      </w:pPr>
      <w:r>
        <w:rPr>
          <w:b w:val="false"/>
          <w:i w:val="false"/>
        </w:rPr>
        <w:t>65-A-128 [PROGRAM] Sierra Madre pipeline (Mexico) — Canadian compressor suppliers and U.S. EPC firms prequalified on named lots; reciprocated via Mexican access to U.S. compressor-station contracts.</w:t>
      </w:r>
    </w:p>
    <w:p>
      <w:pPr>
        <w:pStyle w:val="Normal"/>
        <w:widowControl/>
        <w:rPr/>
      </w:pPr>
      <w:r>
        <w:rPr>
          <w:b w:val="false"/>
          <w:i w:val="false"/>
        </w:rPr>
        <w:t>65-A-129 [PROGRAM] Southeast Gateway / Tuxpan–Tula pipeline completion — U.S. and Canadian firms eligible on finishing packages.</w:t>
      </w:r>
    </w:p>
    <w:p>
      <w:pPr>
        <w:pStyle w:val="Normal"/>
        <w:widowControl/>
        <w:rPr/>
      </w:pPr>
      <w:r>
        <w:rPr>
          <w:b w:val="false"/>
          <w:i w:val="false"/>
        </w:rPr>
        <w:t>65-A-130 [PROGRAM] Line 5 tunnel project (Great Lakes, Michigan) — Canadian tunneling firms eligible on the tunnel works; Ontario reciprocates with U.S. access to its Sarnia-area petrochemical civil contracts. Named, capped, and trophy-ready.</w:t>
      </w:r>
    </w:p>
    <w:p>
      <w:pPr>
        <w:pStyle w:val="Normal"/>
        <w:widowControl/>
        <w:rPr/>
      </w:pPr>
      <w:r>
        <w:rPr>
          <w:b w:val="false"/>
          <w:i w:val="false"/>
        </w:rPr>
        <w:t>65-A-131 [PROGRAM] Alberta carbon-trunk-line expansion (ACTL) — U.S. EPC firms prequalified on defined packages; Alberta reciprocates with Canadian access to U.S. CO2-pipeline contracts in partner states.</w:t>
      </w:r>
    </w:p>
    <w:p>
      <w:pPr>
        <w:pStyle w:val="Normal"/>
        <w:widowControl/>
        <w:rPr/>
      </w:pPr>
      <w:r>
        <w:rPr>
          <w:b w:val="false"/>
          <w:i w:val="false"/>
        </w:rPr>
        <w:t>65-A-132 [PROGRAM] U.S. Gulf Coast CO2 pipeline network — Canadian CO2-capture-module fabricators and Mexican pipe suppliers eligible on capped shares as the named reciprocal half of idea 131.</w:t>
      </w:r>
    </w:p>
    <w:p>
      <w:pPr>
        <w:pStyle w:val="Normal"/>
        <w:widowControl/>
        <w:rPr/>
      </w:pPr>
      <w:r>
        <w:rPr>
          <w:b w:val="false"/>
          <w:i w:val="false"/>
        </w:rPr>
        <w:t>65-A-133 [PROGRAM] Trilateral hydrogen corridor: Edmonton–Port of Prince Rupert — Joint tender on electrolyzer, storage and terminal packages with published trilateral splits.</w:t>
      </w:r>
    </w:p>
    <w:p>
      <w:pPr>
        <w:pStyle w:val="Normal"/>
        <w:widowControl/>
        <w:rPr/>
      </w:pPr>
      <w:r>
        <w:rPr>
          <w:b w:val="false"/>
          <w:i w:val="false"/>
        </w:rPr>
        <w:t>65-A-134 [PROGRAM] Gulf Coast hydrogen hub (Texas) — Canadian electrolyzer assembly plants and Mexican balance-of-plant suppliers eligible on defined packages.</w:t>
      </w:r>
    </w:p>
    <w:p>
      <w:pPr>
        <w:pStyle w:val="Normal"/>
        <w:widowControl/>
        <w:rPr/>
      </w:pPr>
      <w:r>
        <w:rPr>
          <w:b w:val="false"/>
          <w:i w:val="false"/>
        </w:rPr>
        <w:t>65-A-135 [PROGRAM] Monterrey industrial hydrogen hub — Canadian and U.S. equipment firms prequalified; reciprocated via Mexican access to Alberta and Texas hydrogen-hub contracts.</w:t>
      </w:r>
    </w:p>
    <w:p>
      <w:pPr>
        <w:pStyle w:val="Normal"/>
        <w:widowControl/>
        <w:rPr/>
      </w:pPr>
      <w:r>
        <w:rPr>
          <w:b w:val="false"/>
          <w:i w:val="false"/>
        </w:rPr>
        <w:t>65-A-136 [PROGRAM] California hydrogen backbone (ARCHES hub) — Canadian fuel-cell component plants and Mexican steel suppliers eligible on capped lots.</w:t>
      </w:r>
    </w:p>
    <w:p>
      <w:pPr>
        <w:pStyle w:val="Normal"/>
        <w:widowControl/>
        <w:rPr/>
      </w:pPr>
      <w:r>
        <w:rPr>
          <w:b w:val="false"/>
          <w:i w:val="false"/>
        </w:rPr>
        <w:t>65-A-137 [PROGRAM] Sarnia–Montreal chemical corridor pipeline upgrades — Binational tender with published reciprocal opportunity allocations on named sections.</w:t>
      </w:r>
    </w:p>
    <w:p>
      <w:pPr>
        <w:pStyle w:val="Normal"/>
        <w:widowControl/>
        <w:rPr/>
      </w:pPr>
      <w:r>
        <w:rPr>
          <w:b w:val="false"/>
          <w:i w:val="false"/>
        </w:rPr>
        <w:t>65-A-138 [PROGRAM] Alaska LNG project — Yukon/BC contractors prequalified on defined northern-segment packages; Alaska reciprocates with Canadian access to its tidewater terminal works.</w:t>
      </w:r>
    </w:p>
    <w:p>
      <w:pPr>
        <w:pStyle w:val="Normal"/>
        <w:widowControl/>
        <w:rPr/>
      </w:pPr>
      <w:r>
        <w:rPr>
          <w:b w:val="false"/>
          <w:i w:val="false"/>
        </w:rPr>
        <w:t>65-A-139 [PROGRAM] Dos Bocas refinery ancillary pipeline works (Tabasco) — U.S. and Canadian firms eligible on defined packages; reciprocated via Mexican access to U.S. refinery-turnaround contracting.</w:t>
      </w:r>
    </w:p>
    <w:p>
      <w:pPr>
        <w:pStyle w:val="Normal"/>
        <w:widowControl/>
        <w:rPr/>
      </w:pPr>
      <w:r>
        <w:rPr>
          <w:b w:val="false"/>
          <w:i w:val="false"/>
        </w:rPr>
        <w:t>65-A-140 [ANCHOR] Trilateral pipeline-safety retrofit program — Named bundle of inline-inspection, valve-automation and leak-detection contracts across all three countries, each with published national splits.</w:t>
      </w:r>
    </w:p>
    <w:p>
      <w:pPr>
        <w:pStyle w:val="Normal"/>
        <w:widowControl/>
        <w:rPr/>
      </w:pPr>
      <w:r>
        <w:rPr>
          <w:b w:val="false"/>
          <w:i w:val="false"/>
        </w:rPr>
        <w:t>65-A-141 [PROGRAM] Cross-border natural-gas storage expansion (Michigan–Ontario Dawn hub) — Binational tender on compression and cavern packages with designated reciprocal opportunity scopes.</w:t>
      </w:r>
    </w:p>
    <w:p>
      <w:pPr>
        <w:pStyle w:val="Normal"/>
        <w:widowControl/>
        <w:rPr/>
      </w:pPr>
      <w:r>
        <w:rPr>
          <w:b w:val="false"/>
          <w:i w:val="false"/>
        </w:rPr>
        <w:t>65-A-142 [PROGRAM] Quebec–New Brunswick gas network decarbonization projects — U.S. RNG-technology suppliers eligible on capped packages; reciprocated via Canadian access to New England RNG interconnect contracts.</w:t>
      </w:r>
    </w:p>
    <w:p>
      <w:pPr>
        <w:pStyle w:val="Normal"/>
        <w:widowControl/>
        <w:rPr/>
      </w:pPr>
      <w:r>
        <w:rPr>
          <w:b w:val="false"/>
          <w:i w:val="false"/>
        </w:rPr>
        <w:t>65-A-143 [PROGRAM] Puerto Libertad–Guaymas LNG corridor (Sonora) — Trilateral procurement split named at announcement; positioned as west-coast gas-export trophy.</w:t>
      </w:r>
    </w:p>
    <w:p>
      <w:pPr>
        <w:pStyle w:val="Normal"/>
        <w:widowControl/>
        <w:rPr/>
      </w:pPr>
      <w:r>
        <w:rPr>
          <w:b w:val="false"/>
          <w:i w:val="false"/>
        </w:rPr>
        <w:t>65-A-144 [PROGRAM] Midwest carbon-capture hub (Illinois/Iowa) — Canadian capture-module plants eligible on defined packages; reciprocated via U.S. access to Alberta CCS hub contracts.</w:t>
      </w:r>
    </w:p>
    <w:p>
      <w:pPr>
        <w:pStyle w:val="Normal"/>
        <w:widowControl/>
        <w:rPr/>
      </w:pPr>
      <w:r>
        <w:rPr>
          <w:b w:val="false"/>
          <w:i w:val="false"/>
        </w:rPr>
        <w:t>65-A-145 [PROGRAM] Trilateral strategic petroleum infrastructure review — Joint engineering contracts (one per country) opened trilaterally, capped, and announced as a security-of-supply trophy.</w:t>
      </w:r>
    </w:p>
    <w:p>
      <w:pPr>
        <w:pStyle w:val="Normal"/>
        <w:widowControl/>
        <w:rPr/>
      </w:pPr>
      <w:r>
        <w:rPr>
          <w:b w:val="false"/>
          <w:i w:val="false"/>
        </w:rPr>
        <w:t>65-A-146 [FLAGSHIP] Thacker Pass lithium (Nevada) — Canadian mining-services firms and Mexican equipment suppliers eligible on defined packages; reciprocated via U.S. access to Quebec lithium-camp construction contracts.</w:t>
      </w:r>
    </w:p>
    <w:p>
      <w:pPr>
        <w:pStyle w:val="Normal"/>
        <w:widowControl/>
        <w:rPr/>
      </w:pPr>
      <w:r>
        <w:rPr>
          <w:b w:val="false"/>
          <w:i w:val="false"/>
        </w:rPr>
        <w:t>65-A-147 [PROGRAM] Quebec James Bay lithium corridor (Nemaska, Whabouchi, others) — U.S. EPC and Mexican camp-construction firms prequalified on named lots; announced with contract values per country.</w:t>
      </w:r>
    </w:p>
    <w:p>
      <w:pPr>
        <w:pStyle w:val="Normal"/>
        <w:widowControl/>
        <w:rPr/>
      </w:pPr>
      <w:r>
        <w:rPr>
          <w:b w:val="false"/>
          <w:i w:val="false"/>
        </w:rPr>
        <w:t>65-A-148 [PROGRAM] Sonora lithium development (Mexico) — Canadian processing-technology firms and U.S. EPC contractors eligible on defined packages; Mexico reciprocates with refinery-feedstock offtake naming all three countries' plants.</w:t>
      </w:r>
    </w:p>
    <w:p>
      <w:pPr>
        <w:pStyle w:val="Normal"/>
        <w:widowControl/>
        <w:rPr/>
      </w:pPr>
      <w:r>
        <w:rPr>
          <w:b w:val="false"/>
          <w:i w:val="false"/>
        </w:rPr>
        <w:t>65-A-149 [ANCHOR] Saskatchewan SRC rare-earth processing facility — U.S. and Mexican equipment suppliers eligible on capped packages; reciprocated via Canadian access to Mountain Pass and Round Top processing contracts.</w:t>
      </w:r>
    </w:p>
    <w:p>
      <w:pPr>
        <w:pStyle w:val="Normal"/>
        <w:widowControl/>
        <w:rPr/>
      </w:pPr>
      <w:r>
        <w:rPr>
          <w:b w:val="false"/>
          <w:i w:val="false"/>
        </w:rPr>
        <w:t>65-A-150 [FLAGSHIP] Mountain Pass rare earths (California) — Canadian separation-technology firms and Mexican magnet-alloy suppliers prequalified on named packages.</w:t>
      </w:r>
    </w:p>
    <w:p>
      <w:pPr>
        <w:pStyle w:val="Normal"/>
        <w:widowControl/>
        <w:rPr/>
      </w:pPr>
      <w:r>
        <w:rPr>
          <w:b w:val="false"/>
          <w:i w:val="false"/>
        </w:rPr>
        <w:t>65-A-151 [PROGRAM] Round Top rare earths (Texas) — Ontario/Quebec processing-equipment plants eligible on defined lots; reciprocated via Texas access to Canadian demonstration-plant contracts.</w:t>
      </w:r>
    </w:p>
    <w:p>
      <w:pPr>
        <w:pStyle w:val="Normal"/>
        <w:widowControl/>
        <w:rPr/>
      </w:pPr>
      <w:r>
        <w:rPr>
          <w:b w:val="false"/>
          <w:i w:val="false"/>
        </w:rPr>
        <w:t>65-A-152 [PROGRAM] Nechalacho rare earths (NWT) — Alaska and U.S. mining-services firms prequalified; framed as an Arctic-security trophy with named contract values.</w:t>
      </w:r>
    </w:p>
    <w:p>
      <w:pPr>
        <w:pStyle w:val="Normal"/>
        <w:widowControl/>
        <w:rPr/>
      </w:pPr>
      <w:r>
        <w:rPr>
          <w:b w:val="false"/>
          <w:i w:val="false"/>
        </w:rPr>
        <w:t>65-A-153 [ANCHOR] Ring of Fire critical minerals corridor (Ontario) — Named infrastructure package (access road, power line, processing site) with U.S. and Mexican firms prequalified on defined lots; reciprocated via Ontario access to U.S. smelter-modernization contracts.</w:t>
      </w:r>
    </w:p>
    <w:p>
      <w:pPr>
        <w:pStyle w:val="Normal"/>
        <w:widowControl/>
        <w:rPr/>
      </w:pPr>
      <w:r>
        <w:rPr>
          <w:b w:val="false"/>
          <w:i w:val="false"/>
        </w:rPr>
        <w:t>65-A-154 [PROGRAM] Sudbury nickel-cobalt cluster expansion — U.S. and Mexican equipment suppliers eligible on capped packages; announced with dollar figures per country.</w:t>
      </w:r>
    </w:p>
    <w:p>
      <w:pPr>
        <w:pStyle w:val="Normal"/>
        <w:widowControl/>
        <w:rPr/>
      </w:pPr>
      <w:r>
        <w:rPr>
          <w:b w:val="false"/>
          <w:i w:val="false"/>
        </w:rPr>
        <w:t>65-A-155 [PROGRAM] Voisey's Bay / Labrador nickel expansion — U.S. marine and camp contractors prequalified on named packages.</w:t>
      </w:r>
    </w:p>
    <w:p>
      <w:pPr>
        <w:pStyle w:val="Normal"/>
        <w:widowControl/>
        <w:rPr/>
      </w:pPr>
      <w:r>
        <w:rPr>
          <w:b w:val="false"/>
          <w:i w:val="false"/>
        </w:rPr>
        <w:t>65-A-156 [PROGRAM] Idaho cobalt belt development — Quebec and Ontario processing firms eligible on defined packages; reciprocated via Idaho access to Canadian hydrometallurgy pilot contracts.</w:t>
      </w:r>
    </w:p>
    <w:p>
      <w:pPr>
        <w:pStyle w:val="Normal"/>
        <w:widowControl/>
        <w:rPr/>
      </w:pPr>
      <w:r>
        <w:rPr>
          <w:b w:val="false"/>
          <w:i w:val="false"/>
        </w:rPr>
        <w:t>65-A-157 [PROGRAM] Ontario Cobalt Camp revival — U.S. and Mexican mining-services firms prequalified on named lots.</w:t>
      </w:r>
    </w:p>
    <w:p>
      <w:pPr>
        <w:pStyle w:val="Normal"/>
        <w:widowControl/>
        <w:rPr/>
      </w:pPr>
      <w:r>
        <w:rPr>
          <w:b w:val="false"/>
          <w:i w:val="false"/>
        </w:rPr>
        <w:t>65-A-158 [PROGRAM] Lac des Îles / Quebec graphite corridor — U.S. anode-plant EPC firms eligible on defined packages; reciprocated via Quebec access to Alabama/Georgia anode-plant contracts.</w:t>
      </w:r>
    </w:p>
    <w:p>
      <w:pPr>
        <w:pStyle w:val="Normal"/>
        <w:widowControl/>
        <w:rPr/>
      </w:pPr>
      <w:r>
        <w:rPr>
          <w:b w:val="false"/>
          <w:i w:val="false"/>
        </w:rPr>
        <w:t>65-A-159 [PROGRAM] Coosa graphite (Alabama) — Canadian purification-technology suppliers eligible on named packages as the reciprocal half of idea 158.</w:t>
      </w:r>
    </w:p>
    <w:p>
      <w:pPr>
        <w:pStyle w:val="Normal"/>
        <w:widowControl/>
        <w:rPr/>
      </w:pPr>
      <w:r>
        <w:rPr>
          <w:b w:val="false"/>
          <w:i w:val="false"/>
        </w:rPr>
        <w:t>65-A-160 [PROGRAM] Resolution Copper (Arizona) — Canadian block-cave engineering firms and Mexican equipment suppliers prequalified on defined packages.</w:t>
      </w:r>
    </w:p>
    <w:p>
      <w:pPr>
        <w:pStyle w:val="Normal"/>
        <w:widowControl/>
        <w:rPr/>
      </w:pPr>
      <w:r>
        <w:rPr>
          <w:b w:val="false"/>
          <w:i w:val="false"/>
        </w:rPr>
        <w:t>65-A-161 [PROGRAM] Highland Valley Copper expansion (BC) — U.S. and Mexican mining-services firms eligible on capped lots; reciprocated via BC access to Arizona copper-project contracts.</w:t>
      </w:r>
    </w:p>
    <w:p>
      <w:pPr>
        <w:pStyle w:val="Normal"/>
        <w:widowControl/>
        <w:rPr/>
      </w:pPr>
      <w:r>
        <w:rPr>
          <w:b w:val="false"/>
          <w:i w:val="false"/>
        </w:rPr>
        <w:t>65-A-162 [PROGRAM] Morenci/Safford copper modernization (Arizona) — Canadian smelter-technology firms eligible on named packages.</w:t>
      </w:r>
    </w:p>
    <w:p>
      <w:pPr>
        <w:pStyle w:val="Normal"/>
        <w:widowControl/>
        <w:rPr/>
      </w:pPr>
      <w:r>
        <w:rPr>
          <w:b w:val="false"/>
          <w:i w:val="false"/>
        </w:rPr>
        <w:t>65-A-163 [PROGRAM] Athabasca uranium corridor (Saskatchewan) — U.S. and Mexican services firms prequalified on defined packages; framed as nuclear-fuel security trophy.</w:t>
      </w:r>
    </w:p>
    <w:p>
      <w:pPr>
        <w:pStyle w:val="Normal"/>
        <w:widowControl/>
        <w:rPr/>
      </w:pPr>
      <w:r>
        <w:rPr>
          <w:b w:val="false"/>
          <w:i w:val="false"/>
        </w:rPr>
        <w:t>65-A-164 [PROGRAM] Texas in-situ uranium revival — Saskatchewan engineering firms eligible on named packages as the reciprocal half of idea 163.</w:t>
      </w:r>
    </w:p>
    <w:p>
      <w:pPr>
        <w:pStyle w:val="Normal"/>
        <w:widowControl/>
        <w:rPr/>
      </w:pPr>
      <w:r>
        <w:rPr>
          <w:b w:val="false"/>
          <w:i w:val="false"/>
        </w:rPr>
        <w:t>65-A-165 [FLAGSHIP] Trilateral potash infrastructure (Saskatchewan mines + U.S. rail + Mexican offtake terminals) — Jointly tendered rail, port and storage packages with published reciprocal opportunity allocations.</w:t>
      </w:r>
    </w:p>
    <w:p>
      <w:pPr>
        <w:pStyle w:val="Normal"/>
        <w:widowControl/>
        <w:rPr/>
      </w:pPr>
      <w:r>
        <w:rPr>
          <w:b w:val="false"/>
          <w:i w:val="false"/>
        </w:rPr>
        <w:t>65-A-166 [PROGRAM] Manitoba lithium corridor (Tanco and others) — U.S. processing-equipment suppliers eligible on defined lots.</w:t>
      </w:r>
    </w:p>
    <w:p>
      <w:pPr>
        <w:pStyle w:val="Normal"/>
        <w:widowControl/>
        <w:rPr/>
      </w:pPr>
      <w:r>
        <w:rPr>
          <w:b w:val="false"/>
          <w:i w:val="false"/>
        </w:rPr>
        <w:t>65-A-167 [PROGRAM] Newfoundland &amp; Labrador fluorspar revival — U.S. and Mexican mining-services firms prequalified on named packages.</w:t>
      </w:r>
    </w:p>
    <w:p>
      <w:pPr>
        <w:pStyle w:val="Normal"/>
        <w:widowControl/>
        <w:rPr/>
      </w:pPr>
      <w:r>
        <w:rPr>
          <w:b w:val="false"/>
          <w:i w:val="false"/>
        </w:rPr>
        <w:t>65-A-168 [FLAGSHIP] Trilateral gallium/germanium recovery pilot plants — One demonstration plant per country, each tendered trilaterally with published reciprocal opportunity allocations; framed as semiconductor-supply trophy.</w:t>
      </w:r>
    </w:p>
    <w:p>
      <w:pPr>
        <w:pStyle w:val="Normal"/>
        <w:widowControl/>
        <w:rPr/>
      </w:pPr>
      <w:r>
        <w:rPr>
          <w:b w:val="false"/>
          <w:i w:val="false"/>
        </w:rPr>
        <w:t>65-A-169 [ANCHOR] Aluminum smelter modernization (Quebec + Kentucky + Pacific Northwest) — Named bundle: Canadian alumina-tech and U.S./Mexican potroom-equipment firms share defined packages across all sites.</w:t>
      </w:r>
    </w:p>
    <w:p>
      <w:pPr>
        <w:pStyle w:val="Normal"/>
        <w:widowControl/>
        <w:rPr/>
      </w:pPr>
      <w:r>
        <w:rPr>
          <w:b w:val="false"/>
          <w:i w:val="false"/>
        </w:rPr>
        <w:t>65-A-170 [ANCHOR] Trilateral scrap-to-steel DRI corridor — Joint tender of direct-reduced-iron plants (Ontario, Ohio, Monterrey) with published equipment splits per country.</w:t>
      </w:r>
    </w:p>
    <w:p>
      <w:pPr>
        <w:pStyle w:val="Normal"/>
        <w:widowControl/>
        <w:rPr/>
      </w:pPr>
      <w:r>
        <w:rPr>
          <w:b w:val="false"/>
          <w:i w:val="false"/>
        </w:rPr>
        <w:t>65-A-171 [PROGRAM] Uranium conversion/enrichment services cooperation — Reciprocal prequalification of engineering firms on each country's named fuel-cycle projects, capped per contract.</w:t>
      </w:r>
    </w:p>
    <w:p>
      <w:pPr>
        <w:pStyle w:val="Normal"/>
        <w:widowControl/>
        <w:rPr/>
      </w:pPr>
      <w:r>
        <w:rPr>
          <w:b w:val="false"/>
          <w:i w:val="false"/>
        </w:rPr>
        <w:t>65-A-172 [PROGRAM] Arctic shipping corridor mineral-export study (Nunavut–Alaska–Chukchi) — Binational pre-engineering contracts opened to both countries' firms, capped and named.</w:t>
      </w:r>
    </w:p>
    <w:p>
      <w:pPr>
        <w:pStyle w:val="Normal"/>
        <w:widowControl/>
        <w:rPr/>
      </w:pPr>
      <w:r>
        <w:rPr>
          <w:b w:val="false"/>
          <w:i w:val="false"/>
        </w:rPr>
        <w:t>65-A-173 [PROGRAM] Trilateral critical-minerals stockpile infrastructure — Warehousing and logistics hubs (Saskatoon, Salt Lake City, Monterrey) tendered with published trilateral splits.</w:t>
      </w:r>
    </w:p>
    <w:p>
      <w:pPr>
        <w:pStyle w:val="Normal"/>
        <w:widowControl/>
        <w:rPr/>
      </w:pPr>
      <w:r>
        <w:rPr>
          <w:b w:val="false"/>
          <w:i w:val="false"/>
        </w:rPr>
        <w:t>65-A-174 [PROGRAM] Mine-tailings reprocessing corridor (Sudbury–Montana–Zacatecas) — Named bundle of reprocessing pilot contracts, one per country, each open to the other two countries' firms.</w:t>
      </w:r>
    </w:p>
    <w:p>
      <w:pPr>
        <w:pStyle w:val="Normal"/>
        <w:widowControl/>
        <w:rPr/>
      </w:pPr>
      <w:r>
        <w:rPr>
          <w:b w:val="false"/>
          <w:i w:val="false"/>
        </w:rPr>
        <w:t>65-A-175 [PROGRAM] Critical-minerals permitting "fast lane" with procurement reciprocity — Projects designated trilaterally get both expedited review AND affirmative NABC procurement splits — the mechanism that makes the whole section trophy-ready.</w:t>
      </w:r>
    </w:p>
    <w:p>
      <w:pPr>
        <w:pStyle w:val="Normal"/>
        <w:widowControl/>
        <w:rPr/>
      </w:pPr>
      <w:r>
        <w:rPr>
          <w:b w:val="false"/>
          <w:i w:val="false"/>
        </w:rPr>
        <w:t>65-A-176 [FLAGSHIP] Ontario–Michigan battery-cell corridor (Windsor–Detroit) — Named package: Mexican cell-component plants and U.S./Canadian equipment suppliers share defined lots across NextStar-type plants on both sides, announced with dollar figures.</w:t>
      </w:r>
    </w:p>
    <w:p>
      <w:pPr>
        <w:pStyle w:val="Normal"/>
        <w:widowControl/>
        <w:rPr/>
      </w:pPr>
      <w:r>
        <w:rPr>
          <w:b w:val="false"/>
          <w:i w:val="false"/>
        </w:rPr>
        <w:t>65-A-177 [PROGRAM] Quebec battery valley (Bécancour–Trois-Rivières) — U.S. EPC and Mexican cathode-material suppliers prequalified on defined packages; reciprocated via Quebec access to U.S. battery-belt construction contracts.</w:t>
      </w:r>
    </w:p>
    <w:p>
      <w:pPr>
        <w:pStyle w:val="Normal"/>
        <w:widowControl/>
        <w:rPr/>
      </w:pPr>
      <w:r>
        <w:rPr>
          <w:b w:val="false"/>
          <w:i w:val="false"/>
        </w:rPr>
        <w:t>65-A-178 [PROGRAM] U.S. Battery Belt (Kentucky/Tennessee/Georgia) — Canadian process-equipment plants (Ontario/Quebec) and Mexican wire-harness suppliers eligible on named packages as the reciprocal half of ideas 176–177.</w:t>
      </w:r>
    </w:p>
    <w:p>
      <w:pPr>
        <w:pStyle w:val="Normal"/>
        <w:widowControl/>
        <w:rPr/>
      </w:pPr>
      <w:r>
        <w:rPr>
          <w:b w:val="false"/>
          <w:i w:val="false"/>
        </w:rPr>
        <w:t>65-A-179 [PROGRAM] Monterrey–Saltillo EV cluster (Tesla-adjacent suppliers) — Canadian and U.S. equipment firms prequalified on defined lots; reciprocated via Mexican access to Ontario stamping-plant retooling contracts.</w:t>
      </w:r>
    </w:p>
    <w:p>
      <w:pPr>
        <w:pStyle w:val="Normal"/>
        <w:widowControl/>
        <w:rPr/>
      </w:pPr>
      <w:r>
        <w:rPr>
          <w:b w:val="false"/>
          <w:i w:val="false"/>
        </w:rPr>
        <w:t>65-A-180 [FLAGSHIP] Trilateral cathode plant trio (Bécancour, Tennessee, Sonora) — One plant per country announced together, each with published procurement splits for the other two countries' suppliers.</w:t>
      </w:r>
    </w:p>
    <w:p>
      <w:pPr>
        <w:pStyle w:val="Normal"/>
        <w:widowControl/>
        <w:rPr/>
      </w:pPr>
      <w:r>
        <w:rPr>
          <w:b w:val="false"/>
          <w:i w:val="false"/>
        </w:rPr>
        <w:t>65-A-181 [PROGRAM] Trilateral anode plant trio (Quebec, Alabama, Coahuila) — Same structure as idea 180; graphite sourcing named from all three countries.</w:t>
      </w:r>
    </w:p>
    <w:p>
      <w:pPr>
        <w:pStyle w:val="Normal"/>
        <w:widowControl/>
        <w:rPr/>
      </w:pPr>
      <w:r>
        <w:rPr>
          <w:b w:val="false"/>
          <w:i w:val="false"/>
        </w:rPr>
        <w:t>65-A-182 [ANCHOR] Battery-recycling corridor (Ontario–Michigan–Nuevo León) — Jointly tendered recycling plants with published trilateral equipment splits.</w:t>
      </w:r>
    </w:p>
    <w:p>
      <w:pPr>
        <w:pStyle w:val="Normal"/>
        <w:widowControl/>
        <w:rPr/>
      </w:pPr>
      <w:r>
        <w:rPr>
          <w:b w:val="false"/>
          <w:i w:val="false"/>
        </w:rPr>
        <w:t>65-A-183 [PROGRAM] EV charging megahubs on CPKC-adjacent freight corridors — Trilateral tender of truck-charging depots from Lázaro Cárdenas to Chicago to Toronto, with named national splits.</w:t>
      </w:r>
    </w:p>
    <w:p>
      <w:pPr>
        <w:pStyle w:val="Normal"/>
        <w:widowControl/>
        <w:rPr/>
      </w:pPr>
      <w:r>
        <w:rPr>
          <w:b w:val="false"/>
          <w:i w:val="false"/>
        </w:rPr>
        <w:t>65-A-184 [PROGRAM] I-5 / I-15 western charging corridor extension to Vancouver and Tijuana — Binational packages with published reciprocal opportunity allocations; Canadian firms on U.S.-side depots, U.S. firms on BC/Baja segments.</w:t>
      </w:r>
    </w:p>
    <w:p>
      <w:pPr>
        <w:pStyle w:val="Normal"/>
        <w:widowControl/>
        <w:rPr/>
      </w:pPr>
      <w:r>
        <w:rPr>
          <w:b w:val="false"/>
          <w:i w:val="false"/>
        </w:rPr>
        <w:t>65-A-185 [PROGRAM] Trans-Canada Highway charging completion (gaps in Northern Ontario/Prairies) — U.S. and Mexican charging-hardware suppliers eligible on capped packages.</w:t>
      </w:r>
    </w:p>
    <w:p>
      <w:pPr>
        <w:pStyle w:val="Normal"/>
        <w:widowControl/>
        <w:rPr/>
      </w:pPr>
      <w:r>
        <w:rPr>
          <w:b w:val="false"/>
          <w:i w:val="false"/>
        </w:rPr>
        <w:t>65-A-186 [PROGRAM] Electric school bus procurement pool — Trilateral bulk-buy: Quebec (Lion-type), U.S. and Mexican plants each get designated reciprocal opportunity scopes of a joint 3-country procurement pool, dollar figures published.</w:t>
      </w:r>
    </w:p>
    <w:p>
      <w:pPr>
        <w:pStyle w:val="Normal"/>
        <w:widowControl/>
        <w:rPr/>
      </w:pPr>
      <w:r>
        <w:rPr>
          <w:b w:val="false"/>
          <w:i w:val="false"/>
        </w:rPr>
        <w:t>65-A-187 [PROGRAM] Electric transit bus framework — Same pooled structure as idea 186 for city buses: designated reciprocal opportunity scopes for plants in Quebec, the U.S. and Mexico.</w:t>
      </w:r>
    </w:p>
    <w:p>
      <w:pPr>
        <w:pStyle w:val="Normal"/>
        <w:widowControl/>
        <w:rPr/>
      </w:pPr>
      <w:r>
        <w:rPr>
          <w:b w:val="false"/>
          <w:i w:val="false"/>
        </w:rPr>
        <w:t>65-A-188 [FLAGSHIP] Post/delivery fleet electrification (Canada Post, USPS, Correos de México) — Trilateral tender with published reciprocal opportunity allocations across three national postal fleets — a leader-friendly "3 presidents, 3 fleets" trophy.</w:t>
      </w:r>
    </w:p>
    <w:p>
      <w:pPr>
        <w:pStyle w:val="Normal"/>
        <w:widowControl/>
        <w:rPr/>
      </w:pPr>
      <w:r>
        <w:rPr>
          <w:b w:val="false"/>
          <w:i w:val="false"/>
        </w:rPr>
        <w:t>65-A-189 [PROGRAM] Windsor–Detroit EV-supplier park (binational) — Jointly developed industrial park with procurement commitments named per country.</w:t>
      </w:r>
    </w:p>
    <w:p>
      <w:pPr>
        <w:pStyle w:val="Normal"/>
        <w:widowControl/>
        <w:rPr/>
      </w:pPr>
      <w:r>
        <w:rPr>
          <w:b w:val="false"/>
          <w:i w:val="false"/>
        </w:rPr>
        <w:t>65-A-190 [PROGRAM] Detroit Three retooling packages in Ontario — U.S. automaker retooling contracts in Canada named as openings for U.S. equipment suppliers; reciprocated via Canadian access to their U.S. plant retooling contracts.</w:t>
      </w:r>
    </w:p>
    <w:p>
      <w:pPr>
        <w:pStyle w:val="Normal"/>
        <w:widowControl/>
        <w:rPr/>
      </w:pPr>
      <w:r>
        <w:rPr>
          <w:b w:val="false"/>
          <w:i w:val="false"/>
        </w:rPr>
        <w:t>65-A-191 [PROGRAM] Silao/Ramos Arizpe GM plant EV conversion (Mexico) — Canadian and U.S. automation suppliers prequalified on named packages.</w:t>
      </w:r>
    </w:p>
    <w:p>
      <w:pPr>
        <w:pStyle w:val="Normal"/>
        <w:widowControl/>
        <w:rPr/>
      </w:pPr>
      <w:r>
        <w:rPr>
          <w:b w:val="false"/>
          <w:i w:val="false"/>
        </w:rPr>
        <w:t>65-A-192 [PROGRAM] Hermosillo stamping/EV expansion (Sonora) — Trilateral equipment split published at announcement.</w:t>
      </w:r>
    </w:p>
    <w:p>
      <w:pPr>
        <w:pStyle w:val="Normal"/>
        <w:widowControl/>
        <w:rPr/>
      </w:pPr>
      <w:r>
        <w:rPr>
          <w:b w:val="false"/>
          <w:i w:val="false"/>
        </w:rPr>
        <w:t>65-A-193 [ANCHOR] Trilateral heavy-truck electrification pilot (drayage at ports of LA, Vancouver, Manzanillo) — Joint tender of trucks plus chargers, splits named per country.</w:t>
      </w:r>
    </w:p>
    <w:p>
      <w:pPr>
        <w:pStyle w:val="Normal"/>
        <w:widowControl/>
        <w:rPr/>
      </w:pPr>
      <w:r>
        <w:rPr>
          <w:b w:val="false"/>
          <w:i w:val="false"/>
        </w:rPr>
        <w:t>65-A-194 [ANCHOR] Semiconductor fab corridor for auto chips (Oregon–Ontario–Jalisco) — Reciprocal prequalification of construction and equipment firms on each country's named fab projects.</w:t>
      </w:r>
    </w:p>
    <w:p>
      <w:pPr>
        <w:pStyle w:val="Normal"/>
        <w:widowControl/>
        <w:rPr/>
      </w:pPr>
      <w:r>
        <w:rPr>
          <w:b w:val="false"/>
          <w:i w:val="false"/>
        </w:rPr>
        <w:t>65-A-195 [PROGRAM] Guadalajara electronics cluster expansion — Canadian and U.S. cleanroom-construction firms eligible on defined packages.</w:t>
      </w:r>
    </w:p>
    <w:p>
      <w:pPr>
        <w:pStyle w:val="Normal"/>
        <w:widowControl/>
        <w:rPr/>
      </w:pPr>
      <w:r>
        <w:rPr>
          <w:b w:val="false"/>
          <w:i w:val="false"/>
        </w:rPr>
        <w:t>65-A-196 [PROGRAM] Ontario auto-parts retooling fund — U.S. and Mexican tooling suppliers eligible on capped shares; reciprocated via Ontario access to U.S. state retooling-fund contracts.</w:t>
      </w:r>
    </w:p>
    <w:p>
      <w:pPr>
        <w:pStyle w:val="Normal"/>
        <w:widowControl/>
        <w:rPr/>
      </w:pPr>
      <w:r>
        <w:rPr>
          <w:b w:val="false"/>
          <w:i w:val="false"/>
        </w:rPr>
        <w:t>65-A-197 [PROGRAM] Trilateral tooling-and-die renewal program — Named bundle of die-casting and tooling contracts across Ontario, Michigan and Guanajuato with published reciprocal opportunity allocations.</w:t>
      </w:r>
    </w:p>
    <w:p>
      <w:pPr>
        <w:pStyle w:val="Normal"/>
        <w:widowControl/>
        <w:rPr/>
      </w:pPr>
      <w:r>
        <w:rPr>
          <w:b w:val="false"/>
          <w:i w:val="false"/>
        </w:rPr>
        <w:t>65-A-198 [PROGRAM] Aluminum-intensive vehicle supply chain (Quebec aluminum + U.S. stamping + Mexican assembly) — Named procurement commitments tying the three tiers together with dollar figures.</w:t>
      </w:r>
    </w:p>
    <w:p>
      <w:pPr>
        <w:pStyle w:val="Normal"/>
        <w:widowControl/>
        <w:rPr/>
      </w:pPr>
      <w:r>
        <w:rPr>
          <w:b w:val="false"/>
          <w:i w:val="false"/>
        </w:rPr>
        <w:t>65-A-199 [PROGRAM] Hydrogen heavy-truck corridor (Edmonton–Calgary–Salt Lake City–Monterrey concept) — Feasibility-stage contracts opened trilaterally; construction-stage splits pre-committed.</w:t>
      </w:r>
    </w:p>
    <w:p>
      <w:pPr>
        <w:pStyle w:val="Normal"/>
        <w:widowControl/>
        <w:rPr/>
      </w:pPr>
      <w:r>
        <w:rPr>
          <w:b w:val="false"/>
          <w:i w:val="false"/>
        </w:rPr>
        <w:t>65-A-200 [PROGRAM] Trilateral EV battery-safety testing facilities — One lab per country, jointly tendered equipment packages with published reciprocal opportunity allocations.</w:t>
      </w:r>
    </w:p>
    <w:p>
      <w:pPr>
        <w:pStyle w:val="Normal"/>
        <w:widowControl/>
        <w:rPr/>
      </w:pPr>
      <w:r>
        <w:rPr>
          <w:b w:val="false"/>
          <w:i w:val="false"/>
        </w:rPr>
        <w:t>65-A-201 [PROGRAM] Winter-testing and cold-weather validation cluster (Kapuskasing–Alaska–Chihuahua desert counterpart) — Binational facility contracts opened reciprocally.</w:t>
      </w:r>
    </w:p>
    <w:p>
      <w:pPr>
        <w:pStyle w:val="Normal"/>
        <w:widowControl/>
        <w:rPr/>
      </w:pPr>
      <w:r>
        <w:rPr>
          <w:b w:val="false"/>
          <w:i w:val="false"/>
        </w:rPr>
        <w:t>65-A-202 [PROGRAM] Automotive workforce training centers (Windsor, Detroit, Saltillo) — Tri-city tender of training-equipment and facility contracts with designated reciprocal opportunity scopes.</w:t>
      </w:r>
    </w:p>
    <w:p>
      <w:pPr>
        <w:pStyle w:val="Normal"/>
        <w:widowControl/>
        <w:rPr/>
      </w:pPr>
      <w:r>
        <w:rPr>
          <w:b w:val="false"/>
          <w:i w:val="false"/>
        </w:rPr>
        <w:t>65-A-203 [PROGRAM] Trilateral giga-casting equipment procurement — Mexican, Canadian and U.S. plants each named as supplier-of-record on the others' named gigacasting installations.</w:t>
      </w:r>
    </w:p>
    <w:p>
      <w:pPr>
        <w:pStyle w:val="Normal"/>
        <w:widowControl/>
        <w:rPr/>
      </w:pPr>
      <w:r>
        <w:rPr>
          <w:b w:val="false"/>
          <w:i w:val="false"/>
        </w:rPr>
        <w:t>65-A-204 [PROGRAM] Cross-border EV battery materials logistics hub (Sarnia–Port Huron) — Binational tender with published reciprocal opportunity allocations on warehouse and handling contracts.</w:t>
      </w:r>
    </w:p>
    <w:p>
      <w:pPr>
        <w:pStyle w:val="Normal"/>
        <w:widowControl/>
        <w:rPr/>
      </w:pPr>
      <w:r>
        <w:rPr>
          <w:b w:val="false"/>
          <w:i w:val="false"/>
        </w:rPr>
        <w:t>65-A-205 [PROGRAM] End-of-life vehicle and battery take-back infrastructure — Trilateral framework tender of dismantling and materials-recovery contracts, one named package per country.</w:t>
      </w:r>
    </w:p>
    <w:p>
      <w:pPr>
        <w:pStyle w:val="Normal"/>
        <w:widowControl/>
        <w:rPr/>
      </w:pPr>
      <w:r>
        <w:rPr>
          <w:b w:val="false"/>
          <w:i w:val="false"/>
        </w:rPr>
        <w:t>65-A-206 [FLAGSHIP] Tijuana–San Diego wastewater fix (South Bay International Plant + Mexican-side works) — Flagship binational trophy: published split of U.S.-side expansion contracts and Tijuana-side rehabilitation contracts, with Canadian membrane-tech suppliers eligible on both.</w:t>
      </w:r>
    </w:p>
    <w:p>
      <w:pPr>
        <w:pStyle w:val="Normal"/>
        <w:widowControl/>
        <w:rPr/>
      </w:pPr>
      <w:r>
        <w:rPr>
          <w:b w:val="false"/>
          <w:i w:val="false"/>
        </w:rPr>
        <w:t>65-A-207 [PROGRAM] Colorado River conservation infrastructure — Canadian water-tech and Mexican civil firms eligible on defined packages of U.S. conservation projects; reciprocated via U.S. access to Canadian irrigation-modernization contracts.</w:t>
      </w:r>
    </w:p>
    <w:p>
      <w:pPr>
        <w:pStyle w:val="Normal"/>
        <w:widowControl/>
        <w:rPr/>
      </w:pPr>
      <w:r>
        <w:rPr>
          <w:b w:val="false"/>
          <w:i w:val="false"/>
        </w:rPr>
        <w:t>65-A-208 [PROGRAM] California Delta Conveyance — Canadian tunneling consortia prequalified on a named package; reciprocated via California access to a Canadian tunnel project.</w:t>
      </w:r>
    </w:p>
    <w:p>
      <w:pPr>
        <w:pStyle w:val="Normal"/>
        <w:widowControl/>
        <w:rPr/>
      </w:pPr>
      <w:r>
        <w:rPr>
          <w:b w:val="false"/>
          <w:i w:val="false"/>
        </w:rPr>
        <w:t>65-A-209 [PROGRAM] Lake Mead/Hoover Dam water-efficiency retrofits — Canadian turbine and controls firms eligible on defined lots.</w:t>
      </w:r>
    </w:p>
    <w:p>
      <w:pPr>
        <w:pStyle w:val="Normal"/>
        <w:widowControl/>
        <w:rPr/>
      </w:pPr>
      <w:r>
        <w:rPr>
          <w:b w:val="false"/>
          <w:i w:val="false"/>
        </w:rPr>
        <w:t>65-A-210 [PROGRAM] Great Lakes Restoration Initiative follow-on projects — Canadian environmental firms prequalified on named packages; reciprocated via U.S. access to Great Lakes–St. Lawrence cleanup contracts on the Canadian side.</w:t>
      </w:r>
    </w:p>
    <w:p>
      <w:pPr>
        <w:pStyle w:val="Normal"/>
        <w:widowControl/>
        <w:rPr/>
      </w:pPr>
      <w:r>
        <w:rPr>
          <w:b w:val="false"/>
          <w:i w:val="false"/>
        </w:rPr>
        <w:t>65-A-211 [PROGRAM] Boundary Waters/IJC flood-control works (Red River, Rainy River, St. Marys) — Binational tenders with published reciprocal opportunity allocations, each contract named.</w:t>
      </w:r>
    </w:p>
    <w:p>
      <w:pPr>
        <w:pStyle w:val="Normal"/>
        <w:widowControl/>
        <w:rPr/>
      </w:pPr>
      <w:r>
        <w:rPr>
          <w:b w:val="false"/>
          <w:i w:val="false"/>
        </w:rPr>
        <w:t>65-A-212 [PROGRAM] Red River floodway expansion (Manitoba) — North Dakota contractors prequalified; reciprocated via Manitoba access to Fargo–Moorhead diversion contracts.</w:t>
      </w:r>
    </w:p>
    <w:p>
      <w:pPr>
        <w:pStyle w:val="Normal"/>
        <w:widowControl/>
        <w:rPr/>
      </w:pPr>
      <w:r>
        <w:rPr>
          <w:b w:val="false"/>
          <w:i w:val="false"/>
        </w:rPr>
        <w:t>65-A-213 [PROGRAM] Fargo–Moorhead flood diversion — Manitoba firms eligible on defined packages as the named reciprocal half of idea 212 — announce the pair together.</w:t>
      </w:r>
    </w:p>
    <w:p>
      <w:pPr>
        <w:pStyle w:val="Normal"/>
        <w:widowControl/>
        <w:rPr/>
      </w:pPr>
      <w:r>
        <w:rPr>
          <w:b w:val="false"/>
          <w:i w:val="false"/>
        </w:rPr>
        <w:t>65-A-214 [PROGRAM] Mexico City drainage modernization (Túnel Emisor Oriente follow-ons) — Canadian tunneling and U.S. pump-station firms prequalified on named packages.</w:t>
      </w:r>
    </w:p>
    <w:p>
      <w:pPr>
        <w:pStyle w:val="Normal"/>
        <w:widowControl/>
        <w:rPr/>
      </w:pPr>
      <w:r>
        <w:rPr>
          <w:b w:val="false"/>
          <w:i w:val="false"/>
        </w:rPr>
        <w:t>65-A-215 [PROGRAM] Cutzamala system rehabilitation (Mexico City water supply) — U.S. and Canadian equipment suppliers eligible on defined lots; announced with dollar figures.</w:t>
      </w:r>
    </w:p>
    <w:p>
      <w:pPr>
        <w:pStyle w:val="Normal"/>
        <w:widowControl/>
        <w:rPr/>
      </w:pPr>
      <w:r>
        <w:rPr>
          <w:b w:val="false"/>
          <w:i w:val="false"/>
        </w:rPr>
        <w:t>65-A-216 [PROGRAM] Monterrey water security (El Cuchillo II / aqueduct works) — Canadian and U.S. EPC firms prequalified; reciprocated via Nuevo León access to Texas water-infrastructure contracts.</w:t>
      </w:r>
    </w:p>
    <w:p>
      <w:pPr>
        <w:pStyle w:val="Normal"/>
        <w:widowControl/>
        <w:rPr/>
      </w:pPr>
      <w:r>
        <w:rPr>
          <w:b w:val="false"/>
          <w:i w:val="false"/>
        </w:rPr>
        <w:t>65-A-217 [PROGRAM] Ensenada–Tijuana desalination expansion — Canadian membrane plants and U.S. civil contractors eligible on named packages.</w:t>
      </w:r>
    </w:p>
    <w:p>
      <w:pPr>
        <w:pStyle w:val="Normal"/>
        <w:widowControl/>
        <w:rPr/>
      </w:pPr>
      <w:r>
        <w:rPr>
          <w:b w:val="false"/>
          <w:i w:val="false"/>
        </w:rPr>
        <w:t>65-A-218 [PROGRAM] Carlsbad/Huntington Beach desalination follow-ons — Mexican and Canadian firms prequalified as the reciprocal half of idea 217.</w:t>
      </w:r>
    </w:p>
    <w:p>
      <w:pPr>
        <w:pStyle w:val="Normal"/>
        <w:widowControl/>
        <w:rPr/>
      </w:pPr>
      <w:r>
        <w:rPr>
          <w:b w:val="false"/>
          <w:i w:val="false"/>
        </w:rPr>
        <w:t>65-A-219 [PROGRAM] Great Lakes drinking-water plant upgrades (binational cities: Detroit–Windsor, Port Huron–Sarnia) — Binational tender with published reciprocal opportunity allocations on named plants.</w:t>
      </w:r>
    </w:p>
    <w:p>
      <w:pPr>
        <w:pStyle w:val="Normal"/>
        <w:widowControl/>
        <w:rPr/>
      </w:pPr>
      <w:r>
        <w:rPr>
          <w:b w:val="false"/>
          <w:i w:val="false"/>
        </w:rPr>
        <w:t>65-A-220 [PROGRAM] Montreal wastewater ozonation follow-on works — U.S. and Mexican equipment suppliers eligible on capped packages.</w:t>
      </w:r>
    </w:p>
    <w:p>
      <w:pPr>
        <w:pStyle w:val="Normal"/>
        <w:widowControl/>
        <w:rPr/>
      </w:pPr>
      <w:r>
        <w:rPr>
          <w:b w:val="false"/>
          <w:i w:val="false"/>
        </w:rPr>
        <w:t>65-A-221 [PROGRAM] Iqaluit and northern water infrastructure — Alaska contractors prequalified on defined lots; framed as Arctic-resilience trophy.</w:t>
      </w:r>
    </w:p>
    <w:p>
      <w:pPr>
        <w:pStyle w:val="Normal"/>
        <w:widowControl/>
        <w:rPr/>
      </w:pPr>
      <w:r>
        <w:rPr>
          <w:b w:val="false"/>
          <w:i w:val="false"/>
        </w:rPr>
        <w:t>65-A-222 [PROGRAM] Yellowknife water-supply replacement — U.S. engineering firms eligible on named packages.</w:t>
      </w:r>
    </w:p>
    <w:p>
      <w:pPr>
        <w:pStyle w:val="Normal"/>
        <w:widowControl/>
        <w:rPr/>
      </w:pPr>
      <w:r>
        <w:rPr>
          <w:b w:val="false"/>
          <w:i w:val="false"/>
        </w:rPr>
        <w:t>65-A-223 [PROGRAM] Trilateral PFAS-remediation pilot corridor — One named site per country, each tendered trilaterally with published reciprocal opportunity allocations.</w:t>
      </w:r>
    </w:p>
    <w:p>
      <w:pPr>
        <w:pStyle w:val="Normal"/>
        <w:widowControl/>
        <w:rPr/>
      </w:pPr>
      <w:r>
        <w:rPr>
          <w:b w:val="false"/>
          <w:i w:val="false"/>
        </w:rPr>
        <w:t>65-A-224 [PROGRAM] Rio Grande salinity and conveyance projects (El Paso–Juárez) — Binational tender with published reciprocal opportunity allocations under IBWC auspices.</w:t>
      </w:r>
    </w:p>
    <w:p>
      <w:pPr>
        <w:pStyle w:val="Normal"/>
        <w:widowControl/>
        <w:rPr/>
      </w:pPr>
      <w:r>
        <w:rPr>
          <w:b w:val="false"/>
          <w:i w:val="false"/>
        </w:rPr>
        <w:t>65-A-225 [PROGRAM] Lake Winnipeg basin nutrient-reduction infrastructure — U.S. and Mexican environmental-tech suppliers eligible on capped packages.</w:t>
      </w:r>
    </w:p>
    <w:p>
      <w:pPr>
        <w:pStyle w:val="Normal"/>
        <w:widowControl/>
        <w:rPr/>
      </w:pPr>
      <w:r>
        <w:rPr>
          <w:b w:val="false"/>
          <w:i w:val="false"/>
        </w:rPr>
        <w:t>65-A-226 [PROGRAM] Trilateral wastewater-energy-recovery program (Montreal, Chicago, Mexico City) — Named bundle of biogas-upgrading contracts, splits published per country.</w:t>
      </w:r>
    </w:p>
    <w:p>
      <w:pPr>
        <w:pStyle w:val="Normal"/>
        <w:widowControl/>
        <w:rPr/>
      </w:pPr>
      <w:r>
        <w:rPr>
          <w:b w:val="false"/>
          <w:i w:val="false"/>
        </w:rPr>
        <w:t>65-A-227 [PROGRAM] Stormwater mega-tunnel program (Toronto, Milwaukee, Guadalajara) — Tri-city tender of tunnel-boring and lining contracts with named national splits.</w:t>
      </w:r>
    </w:p>
    <w:p>
      <w:pPr>
        <w:pStyle w:val="Normal"/>
        <w:widowControl/>
        <w:rPr/>
      </w:pPr>
      <w:r>
        <w:rPr>
          <w:b w:val="false"/>
          <w:i w:val="false"/>
        </w:rPr>
        <w:t>65-A-228 [PROGRAM] Irrigation modernization (Alberta + California + Sonora) — Trilateral framework: each country names a canal-lining project and prequalifies the other two countries' firms.</w:t>
      </w:r>
    </w:p>
    <w:p>
      <w:pPr>
        <w:pStyle w:val="Normal"/>
        <w:widowControl/>
        <w:rPr/>
      </w:pPr>
      <w:r>
        <w:rPr>
          <w:b w:val="false"/>
          <w:i w:val="false"/>
        </w:rPr>
        <w:t>65-A-229 [PROGRAM] Dam-safety rehabilitation corridor (St. Lawrence, Columbia, Lerma basins) — Named bundle of spillway and gate contracts with published trilateral splits.</w:t>
      </w:r>
    </w:p>
    <w:p>
      <w:pPr>
        <w:pStyle w:val="Normal"/>
        <w:widowControl/>
        <w:rPr/>
      </w:pPr>
      <w:r>
        <w:rPr>
          <w:b w:val="false"/>
          <w:i w:val="false"/>
        </w:rPr>
        <w:t>65-A-230 [PROGRAM] Trilateral smart-water-metering procurement pool — Bulk-buy across three countries' utilities with verified supplier-origin reporting after competitive award per country.</w:t>
      </w:r>
    </w:p>
    <w:p>
      <w:pPr>
        <w:pStyle w:val="Normal"/>
        <w:widowControl/>
        <w:rPr/>
      </w:pPr>
      <w:r>
        <w:rPr>
          <w:b w:val="false"/>
          <w:i w:val="false"/>
        </w:rPr>
        <w:t>65-A-231 [PROGRAM] Trilateral rural broadband build (Northern Canada + rural U.S. + southern Mexico) — Named bundle: each country designates underserved regions and prequalifies the other two countries' network builders on defined packages.</w:t>
      </w:r>
    </w:p>
    <w:p>
      <w:pPr>
        <w:pStyle w:val="Normal"/>
        <w:widowControl/>
        <w:rPr/>
      </w:pPr>
      <w:r>
        <w:rPr>
          <w:b w:val="false"/>
          <w:i w:val="false"/>
        </w:rPr>
        <w:t>65-A-232 [PROGRAM] Cross-border fiber backbone (Vancouver–Seattle–Portland) — Binational tender with published reciprocal opportunity allocations; Mexican fiber plants eligible on cable-supply lots.</w:t>
      </w:r>
    </w:p>
    <w:p>
      <w:pPr>
        <w:pStyle w:val="Normal"/>
        <w:widowControl/>
        <w:rPr/>
      </w:pPr>
      <w:r>
        <w:rPr>
          <w:b w:val="false"/>
          <w:i w:val="false"/>
        </w:rPr>
        <w:t>65-A-233 [PROGRAM] Quebec–New England dark-fiber corridor — Binational packages with designated reciprocal opportunity scopes; U.S. firms on Quebec segments, Canadian firms on Vermont/New Hampshire segments.</w:t>
      </w:r>
    </w:p>
    <w:p>
      <w:pPr>
        <w:pStyle w:val="Normal"/>
        <w:widowControl/>
        <w:rPr/>
      </w:pPr>
      <w:r>
        <w:rPr>
          <w:b w:val="false"/>
          <w:i w:val="false"/>
        </w:rPr>
        <w:t>65-A-234 [PROGRAM] Windsor–Detroit data-center corridor — Binational tender of power, cooling and fiber packages with published reciprocal opportunity allocations.</w:t>
      </w:r>
    </w:p>
    <w:p>
      <w:pPr>
        <w:pStyle w:val="Normal"/>
        <w:widowControl/>
        <w:rPr/>
      </w:pPr>
      <w:r>
        <w:rPr>
          <w:b w:val="false"/>
          <w:i w:val="false"/>
        </w:rPr>
        <w:t>65-A-235 [PROGRAM] Querétaro data-center cluster expansion — Canadian and U.S. electrical-equipment and cooling suppliers prequalified on named packages; reciprocated via Mexican access to U.S./Canadian data-center contracts.</w:t>
      </w:r>
    </w:p>
    <w:p>
      <w:pPr>
        <w:pStyle w:val="Normal"/>
        <w:widowControl/>
        <w:rPr/>
      </w:pPr>
      <w:r>
        <w:rPr>
          <w:b w:val="false"/>
          <w:i w:val="false"/>
        </w:rPr>
        <w:t>65-A-236 [PROGRAM] Telesat Lightspeed ground-segment contracts — U.S. and Mexican gateway-station contractors eligible on defined packages; reciprocated via Canadian access to U.S. satellite-program ground contracts.</w:t>
      </w:r>
    </w:p>
    <w:p>
      <w:pPr>
        <w:pStyle w:val="Normal"/>
        <w:widowControl/>
        <w:rPr/>
      </w:pPr>
      <w:r>
        <w:rPr>
          <w:b w:val="false"/>
          <w:i w:val="false"/>
        </w:rPr>
        <w:t>65-A-237 [PROGRAM] Trilateral satellite ground-station network (Inuvik, Alaska, Baja) — Named bundle of gateway contracts with published trilateral splits; framed as Arctic-coverage trophy.</w:t>
      </w:r>
    </w:p>
    <w:p>
      <w:pPr>
        <w:pStyle w:val="Normal"/>
        <w:widowControl/>
        <w:rPr/>
      </w:pPr>
      <w:r>
        <w:rPr>
          <w:b w:val="false"/>
          <w:i w:val="false"/>
        </w:rPr>
        <w:t>65-A-238 [PROGRAM] 5G/6G Open-RAN testbeds (Ottawa, Dallas, Guadalajara) — Tri-city tender of testbed-equipment contracts with designated reciprocal opportunity scopes.</w:t>
      </w:r>
    </w:p>
    <w:p>
      <w:pPr>
        <w:pStyle w:val="Normal"/>
        <w:widowControl/>
        <w:rPr/>
      </w:pPr>
      <w:r>
        <w:rPr>
          <w:b w:val="false"/>
          <w:i w:val="false"/>
        </w:rPr>
        <w:t>65-A-239 [PROGRAM] Subsea cable landing stations (Atlantic Canada + U.S. East Coast) — Binational tender with published reciprocal opportunity allocations on named landings.</w:t>
      </w:r>
    </w:p>
    <w:p>
      <w:pPr>
        <w:pStyle w:val="Normal"/>
        <w:widowControl/>
        <w:rPr/>
      </w:pPr>
      <w:r>
        <w:rPr>
          <w:b w:val="false"/>
          <w:i w:val="false"/>
        </w:rPr>
        <w:t>65-A-240 [PROGRAM] Pacific subsea cable route diversity (BC + Baja + U.S. West Coast) — Trilateral tender of landing-station works with designated reciprocal opportunity scopes.</w:t>
      </w:r>
    </w:p>
    <w:p>
      <w:pPr>
        <w:pStyle w:val="Normal"/>
        <w:widowControl/>
        <w:rPr/>
      </w:pPr>
      <w:r>
        <w:rPr>
          <w:b w:val="false"/>
          <w:i w:val="false"/>
        </w:rPr>
        <w:t>65-A-241 [PROGRAM] FirstNet/NG911 interoperability at borders — Trilateral procurement of cross-border emergency-communications equipment, splits published.</w:t>
      </w:r>
    </w:p>
    <w:p>
      <w:pPr>
        <w:pStyle w:val="Normal"/>
        <w:widowControl/>
        <w:rPr/>
      </w:pPr>
      <w:r>
        <w:rPr>
          <w:b w:val="false"/>
          <w:i w:val="false"/>
        </w:rPr>
        <w:t>65-A-242 [PROGRAM] Smart-border ITS corridor (all major crossings) — Named bundle of sensors, AI-inspection and lane-automation contracts with published trilateral splits; a single leader-visible "21st-century border" trophy.</w:t>
      </w:r>
    </w:p>
    <w:p>
      <w:pPr>
        <w:pStyle w:val="Normal"/>
        <w:widowControl/>
        <w:rPr/>
      </w:pPr>
      <w:r>
        <w:rPr>
          <w:b w:val="false"/>
          <w:i w:val="false"/>
        </w:rPr>
        <w:t>65-A-243 [PROGRAM] Trilateral cybersecurity operations centers (Ottawa, Washington, Mexico City) — Joint tender of facility and systems contracts with designated reciprocal opportunity scopes.</w:t>
      </w:r>
    </w:p>
    <w:p>
      <w:pPr>
        <w:pStyle w:val="Normal"/>
        <w:widowControl/>
        <w:rPr/>
      </w:pPr>
      <w:r>
        <w:rPr>
          <w:b w:val="false"/>
          <w:i w:val="false"/>
        </w:rPr>
        <w:t>65-A-244 [PROGRAM] Arctic fiber link (Alaska–Yukon–NWT) — Binational packages with published reciprocal opportunity allocations; framed as NORAD-adjacent resilience.</w:t>
      </w:r>
    </w:p>
    <w:p>
      <w:pPr>
        <w:pStyle w:val="Normal"/>
        <w:widowControl/>
        <w:rPr/>
      </w:pPr>
      <w:r>
        <w:rPr>
          <w:b w:val="false"/>
          <w:i w:val="false"/>
        </w:rPr>
        <w:t>65-A-245 [PROGRAM] Rural telemedicine network (Canadian North + rural Alaska + rural Mexico) — Trilateral tender of telehealth-infrastructure contracts with designated reciprocal opportunity scopes.</w:t>
      </w:r>
    </w:p>
    <w:p>
      <w:pPr>
        <w:pStyle w:val="Normal"/>
        <w:widowControl/>
        <w:rPr/>
      </w:pPr>
      <w:r>
        <w:rPr>
          <w:b w:val="false"/>
          <w:i w:val="false"/>
        </w:rPr>
        <w:t>65-A-246 [PROGRAM] Grid-edge sensor procurement pool — Bulk-buy of smart-grid sensors across three countries' utilities, factory shares named per country.</w:t>
      </w:r>
    </w:p>
    <w:p>
      <w:pPr>
        <w:pStyle w:val="Normal"/>
        <w:widowControl/>
        <w:rPr/>
      </w:pPr>
      <w:r>
        <w:rPr>
          <w:b w:val="false"/>
          <w:i w:val="false"/>
        </w:rPr>
        <w:t>65-A-247 [PROGRAM] Trilateral AI-compute infrastructure corridor — Reciprocal prequalification of construction firms on each country's named AI data-center projects.</w:t>
      </w:r>
    </w:p>
    <w:p>
      <w:pPr>
        <w:pStyle w:val="Normal"/>
        <w:widowControl/>
        <w:rPr/>
      </w:pPr>
      <w:r>
        <w:rPr>
          <w:b w:val="false"/>
          <w:i w:val="false"/>
        </w:rPr>
        <w:t>65-A-248 [PROGRAM] Digital-twin border-crossing pilots (Detroit–Windsor, Laredo, Vancouver–Blaine) — Named bundle of simulation and systems contracts with published reciprocal opportunity allocations.</w:t>
      </w:r>
    </w:p>
    <w:p>
      <w:pPr>
        <w:pStyle w:val="Normal"/>
        <w:widowControl/>
        <w:rPr/>
      </w:pPr>
      <w:r>
        <w:rPr>
          <w:b w:val="false"/>
          <w:i w:val="false"/>
        </w:rPr>
        <w:t>65-A-249 [PROGRAM] Trilateral emergency-alerting system upgrade — Joint procurement with named equipment shares per country.</w:t>
      </w:r>
    </w:p>
    <w:p>
      <w:pPr>
        <w:pStyle w:val="Normal"/>
        <w:widowControl/>
        <w:rPr/>
      </w:pPr>
      <w:r>
        <w:rPr>
          <w:b w:val="false"/>
          <w:i w:val="false"/>
        </w:rPr>
        <w:t>65-A-250 [PROGRAM] Quantum-communications testbed corridor (Waterloo–Chicago–Mexico City) — Tri-city tender of lab and fiber contracts with designated reciprocal opportunity scopes.</w:t>
      </w:r>
    </w:p>
    <w:p>
      <w:pPr>
        <w:pStyle w:val="Normal"/>
        <w:widowControl/>
        <w:rPr/>
      </w:pPr>
      <w:r>
        <w:rPr>
          <w:b w:val="false"/>
          <w:i w:val="false"/>
        </w:rPr>
        <w:t>65-A-251 [PROGRAM] Cross-border 5G railway corridors (CPKC main line) — Trilateral tender of trackside telecom contracts, splits published.</w:t>
      </w:r>
    </w:p>
    <w:p>
      <w:pPr>
        <w:pStyle w:val="Normal"/>
        <w:widowControl/>
        <w:rPr/>
      </w:pPr>
      <w:r>
        <w:rPr>
          <w:b w:val="false"/>
          <w:i w:val="false"/>
        </w:rPr>
        <w:t>65-A-252 [PROGRAM] Municipal smart-city framework (Toronto, Austin, Guadalajara) — Tri-city prequalification list for ITS and sensor contracts, capped per project.</w:t>
      </w:r>
    </w:p>
    <w:p>
      <w:pPr>
        <w:pStyle w:val="Normal"/>
        <w:widowControl/>
        <w:rPr/>
      </w:pPr>
      <w:r>
        <w:rPr>
          <w:b w:val="false"/>
          <w:i w:val="false"/>
        </w:rPr>
        <w:t>65-A-253 [PROGRAM] Trilateral semiconductor workforce campuses — Named bundle of training-facility construction contracts, one per country, each open trilaterally.</w:t>
      </w:r>
    </w:p>
    <w:p>
      <w:pPr>
        <w:pStyle w:val="Normal"/>
        <w:widowControl/>
        <w:rPr/>
      </w:pPr>
      <w:r>
        <w:rPr>
          <w:b w:val="false"/>
          <w:i w:val="false"/>
        </w:rPr>
        <w:t>65-A-254 [PROGRAM] Ocean-monitoring sensor network (Pacific + Arctic + Gulf) — Trilateral procurement of buoy and cable-sensor contracts with designated reciprocal opportunity scopes.</w:t>
      </w:r>
    </w:p>
    <w:p>
      <w:pPr>
        <w:pStyle w:val="Normal"/>
        <w:widowControl/>
        <w:rPr/>
      </w:pPr>
      <w:r>
        <w:rPr>
          <w:b w:val="false"/>
          <w:i w:val="false"/>
        </w:rPr>
        <w:t>65-A-255 [PROGRAM] Digital identity/credentialing infrastructure for cross-border workers — Feasibility and pilot contracts opened trilaterally, capped and named.</w:t>
      </w:r>
    </w:p>
    <w:p>
      <w:pPr>
        <w:pStyle w:val="Normal"/>
        <w:widowControl/>
        <w:rPr/>
      </w:pPr>
      <w:r>
        <w:rPr>
          <w:b w:val="false"/>
          <w:i w:val="false"/>
        </w:rPr>
        <w:t>65-A-256 [ANCHOR] Toronto Pearson revitalization packages — U.S. and Mexican firms prequalified on defined terminal and airside lots; reciprocated via Canadian access to a named U.S. airport program of equal value.</w:t>
      </w:r>
    </w:p>
    <w:p>
      <w:pPr>
        <w:pStyle w:val="Normal"/>
        <w:widowControl/>
        <w:rPr/>
      </w:pPr>
      <w:r>
        <w:rPr>
          <w:b w:val="false"/>
          <w:i w:val="false"/>
        </w:rPr>
        <w:t>65-A-257 [PROGRAM] Montreal YUL expansion — U.S. and Mexican contractors eligible on named packages; reciprocated via Quebec access to U.S. terminal-modernization contracts.</w:t>
      </w:r>
    </w:p>
    <w:p>
      <w:pPr>
        <w:pStyle w:val="Normal"/>
        <w:widowControl/>
        <w:rPr/>
      </w:pPr>
      <w:r>
        <w:rPr>
          <w:b w:val="false"/>
          <w:i w:val="false"/>
        </w:rPr>
        <w:t>65-A-258 [PROGRAM] Vancouver YVR pier expansion — U.S. and Mexican firms prequalified on capped lots.</w:t>
      </w:r>
    </w:p>
    <w:p>
      <w:pPr>
        <w:pStyle w:val="Normal"/>
        <w:widowControl/>
        <w:rPr/>
      </w:pPr>
      <w:r>
        <w:rPr>
          <w:b w:val="false"/>
          <w:i w:val="false"/>
        </w:rPr>
        <w:t>65-A-259 [PROGRAM] Calgary YYC terminal works — U.S. contractors eligible on defined packages; reciprocated via Canadian access to a U.S. mountain-region airport program.</w:t>
      </w:r>
    </w:p>
    <w:p>
      <w:pPr>
        <w:pStyle w:val="Normal"/>
        <w:widowControl/>
        <w:rPr/>
      </w:pPr>
      <w:r>
        <w:rPr>
          <w:b w:val="false"/>
          <w:i w:val="false"/>
        </w:rPr>
        <w:t>65-A-260 [PROGRAM] Felipe Ángeles (AIFA) cargo-terminal expansion — Canadian and U.S. cargo-handling and systems suppliers prequalified on named packages.</w:t>
      </w:r>
    </w:p>
    <w:p>
      <w:pPr>
        <w:pStyle w:val="Normal"/>
        <w:widowControl/>
        <w:rPr/>
      </w:pPr>
      <w:r>
        <w:rPr>
          <w:b w:val="false"/>
          <w:i w:val="false"/>
        </w:rPr>
        <w:t>65-A-261 [PROGRAM] Mexico City AICM refurbishment — Canadian and U.S. firms eligible on defined lots; announced with dollar figures per country.</w:t>
      </w:r>
    </w:p>
    <w:p>
      <w:pPr>
        <w:pStyle w:val="Normal"/>
        <w:widowControl/>
        <w:rPr/>
      </w:pPr>
      <w:r>
        <w:rPr>
          <w:b w:val="false"/>
          <w:i w:val="false"/>
        </w:rPr>
        <w:t>65-A-262 [PROGRAM] Cancún and Tulum airport expansions — U.S. and Canadian contractors prequalified on named packages; reciprocated via Mexican access to U.S. tourism-market airport contracts.</w:t>
      </w:r>
    </w:p>
    <w:p>
      <w:pPr>
        <w:pStyle w:val="Normal"/>
        <w:widowControl/>
        <w:rPr/>
      </w:pPr>
      <w:r>
        <w:rPr>
          <w:b w:val="false"/>
          <w:i w:val="false"/>
        </w:rPr>
        <w:t>65-A-263 [PROGRAM] Guadalajara and Monterrey airport upgrades — Trilateral prequalification on named terminal and airside packages.</w:t>
      </w:r>
    </w:p>
    <w:p>
      <w:pPr>
        <w:pStyle w:val="Normal"/>
        <w:widowControl/>
        <w:rPr/>
      </w:pPr>
      <w:r>
        <w:rPr>
          <w:b w:val="false"/>
          <w:i w:val="false"/>
        </w:rPr>
        <w:t>65-A-264 [PROGRAM] JFK/Newark terminal programs — Canadian firms (Montreal/Toronto construction groups) eligible on defined packages as the reciprocal half of idea 256.</w:t>
      </w:r>
    </w:p>
    <w:p>
      <w:pPr>
        <w:pStyle w:val="Normal"/>
        <w:widowControl/>
        <w:rPr/>
      </w:pPr>
      <w:r>
        <w:rPr>
          <w:b w:val="false"/>
          <w:i w:val="false"/>
        </w:rPr>
        <w:t>65-A-265 [PROGRAM] O'Hare terminal expansion — Ontario/Quebec firms prequalified on named lots; reciprocated via Chicago access to Canadian airport contracts.</w:t>
      </w:r>
    </w:p>
    <w:p>
      <w:pPr>
        <w:pStyle w:val="Normal"/>
        <w:widowControl/>
        <w:rPr/>
      </w:pPr>
      <w:r>
        <w:rPr>
          <w:b w:val="false"/>
          <w:i w:val="false"/>
        </w:rPr>
        <w:t>65-A-266 [PROGRAM] LAX people-mover and terminal follow-ons — Canadian systems firms and Mexican precast suppliers eligible on capped packages.</w:t>
      </w:r>
    </w:p>
    <w:p>
      <w:pPr>
        <w:pStyle w:val="Normal"/>
        <w:widowControl/>
        <w:rPr/>
      </w:pPr>
      <w:r>
        <w:rPr>
          <w:b w:val="false"/>
          <w:i w:val="false"/>
        </w:rPr>
        <w:t>65-A-267 [PROGRAM] DFW terminal F — Canadian and Mexican firms prequalified on defined packages; announced with named dollar values.</w:t>
      </w:r>
    </w:p>
    <w:p>
      <w:pPr>
        <w:pStyle w:val="Normal"/>
        <w:widowControl/>
        <w:rPr/>
      </w:pPr>
      <w:r>
        <w:rPr>
          <w:b w:val="false"/>
          <w:i w:val="false"/>
        </w:rPr>
        <w:t>65-A-268 [PROGRAM] Seattle–Tacoma International expansion — BC firms eligible on named packages as reciprocal half of idea 258.</w:t>
      </w:r>
    </w:p>
    <w:p>
      <w:pPr>
        <w:pStyle w:val="Normal"/>
        <w:widowControl/>
        <w:rPr/>
      </w:pPr>
      <w:r>
        <w:rPr>
          <w:b w:val="false"/>
          <w:i w:val="false"/>
        </w:rPr>
        <w:t>65-A-269 [ANCHOR] Preclearance facility expansion (new preclearance at Billy Bishop, Quebec City; new U.S. preclearance tech) — Binational tender of facility and IT contracts with published reciprocal opportunity allocations.</w:t>
      </w:r>
    </w:p>
    <w:p>
      <w:pPr>
        <w:pStyle w:val="Normal"/>
        <w:widowControl/>
        <w:rPr/>
      </w:pPr>
      <w:r>
        <w:rPr>
          <w:b w:val="false"/>
          <w:i w:val="false"/>
        </w:rPr>
        <w:t>65-A-270 [PROGRAM] NEXUS/Global Entry lane modernization (air + land) — Trilateral procurement of biometric and lane equipment with verified supplier-origin reporting after competitive award.</w:t>
      </w:r>
    </w:p>
    <w:p>
      <w:pPr>
        <w:pStyle w:val="Normal"/>
        <w:widowControl/>
        <w:rPr/>
      </w:pPr>
      <w:r>
        <w:rPr>
          <w:b w:val="false"/>
          <w:i w:val="false"/>
        </w:rPr>
        <w:t>65-A-271 [PROGRAM] Remote-tower and air-traffic modernization (NAV CANADA + FAA + SENEAM) — Trilateral prequalification list for ATC-tech contracts, capped per project.</w:t>
      </w:r>
    </w:p>
    <w:p>
      <w:pPr>
        <w:pStyle w:val="Normal"/>
        <w:widowControl/>
        <w:rPr/>
      </w:pPr>
      <w:r>
        <w:rPr>
          <w:b w:val="false"/>
          <w:i w:val="false"/>
        </w:rPr>
        <w:t>65-A-272 [PROGRAM] Northern and Arctic airport upgrades (Iqaluit, Yellowknife, Inuvik + Alaska airports) — Binational tender with published reciprocal opportunity allocations; framed as NORAD-support infrastructure.</w:t>
      </w:r>
    </w:p>
    <w:p>
      <w:pPr>
        <w:pStyle w:val="Normal"/>
        <w:widowControl/>
        <w:rPr/>
      </w:pPr>
      <w:r>
        <w:rPr>
          <w:b w:val="false"/>
          <w:i w:val="false"/>
        </w:rPr>
        <w:t>65-A-273 [DEVELOPMENT] Sustainable aviation fuel (SAF) plant corridor (Alberta, Illinois, Veracruz) — One plant per country announced together with published equipment splits.</w:t>
      </w:r>
    </w:p>
    <w:p>
      <w:pPr>
        <w:pStyle w:val="Normal"/>
        <w:widowControl/>
        <w:rPr/>
      </w:pPr>
      <w:r>
        <w:rPr>
          <w:b w:val="false"/>
          <w:i w:val="false"/>
        </w:rPr>
        <w:t>65-A-274 [DEVELOPMENT] Airport solar-plus-storage program (YVR, DEN, MEX) — Tri-city tender with designated reciprocal opportunity scopes.</w:t>
      </w:r>
    </w:p>
    <w:p>
      <w:pPr>
        <w:pStyle w:val="Normal"/>
        <w:widowControl/>
        <w:rPr/>
      </w:pPr>
      <w:r>
        <w:rPr>
          <w:b w:val="false"/>
          <w:i w:val="false"/>
        </w:rPr>
        <w:t>65-A-275 [DEVELOPMENT] Cross-border air-cargo corridor (Anchorage–Toronto–Querétaro) — Named bundle of cargo-facility contracts with published trilateral splits.</w:t>
      </w:r>
    </w:p>
    <w:p>
      <w:pPr>
        <w:pStyle w:val="Normal"/>
        <w:widowControl/>
        <w:rPr/>
      </w:pPr>
      <w:r>
        <w:rPr>
          <w:b w:val="false"/>
          <w:i w:val="false"/>
        </w:rPr>
        <w:t>65-A-276 [DEVELOPMENT] De-icing and winter-ops equipment procurement pool — Bulk-buy across three countries' airports with verified supplier-origin reporting after competitive award.</w:t>
      </w:r>
    </w:p>
    <w:p>
      <w:pPr>
        <w:pStyle w:val="Normal"/>
        <w:widowControl/>
        <w:rPr/>
      </w:pPr>
      <w:r>
        <w:rPr>
          <w:b w:val="false"/>
          <w:i w:val="false"/>
        </w:rPr>
        <w:t>65-A-277 [DEVELOPMENT] Airport fire-rescue vehicle procurement pool — Same pooled structure, verified supplier-origin reporting after competitive award per country.</w:t>
      </w:r>
    </w:p>
    <w:p>
      <w:pPr>
        <w:pStyle w:val="Normal"/>
        <w:widowControl/>
        <w:rPr/>
      </w:pPr>
      <w:r>
        <w:rPr>
          <w:b w:val="false"/>
          <w:i w:val="false"/>
        </w:rPr>
        <w:t>65-A-278 [DEVELOPMENT] Terminal baggage-system modernization corridor (Toronto, Chicago, Mexico City) — Tri-city tender with designated reciprocal opportunity scopes.</w:t>
      </w:r>
    </w:p>
    <w:p>
      <w:pPr>
        <w:pStyle w:val="Normal"/>
        <w:widowControl/>
        <w:rPr/>
      </w:pPr>
      <w:r>
        <w:rPr>
          <w:b w:val="false"/>
          <w:i w:val="false"/>
        </w:rPr>
        <w:t>65-A-279 [DEVELOPMENT] Runway-resurfacing framework at paired airports (Windsor–Detroit, Ottawa–Syracuse, Tijuana–San Diego CBX) — Binational packages with published reciprocal opportunity allocations.</w:t>
      </w:r>
    </w:p>
    <w:p>
      <w:pPr>
        <w:pStyle w:val="Normal"/>
        <w:widowControl/>
        <w:rPr/>
      </w:pPr>
      <w:r>
        <w:rPr>
          <w:b w:val="false"/>
          <w:i w:val="false"/>
        </w:rPr>
        <w:t>65-A-280 [DEVELOPMENT] Trilateral aviation-training campus network — Named bundle of simulator and facility contracts, one per country, each tendered trilaterally.</w:t>
      </w:r>
    </w:p>
    <w:p>
      <w:pPr>
        <w:pStyle w:val="Normal"/>
        <w:widowControl/>
        <w:rPr/>
      </w:pPr>
      <w:r>
        <w:rPr>
          <w:b w:val="false"/>
          <w:i w:val="false"/>
        </w:rPr>
        <w:t>65-A-281 [DEVELOPMENT] NORAD modernization northern radar chain — Named package: Canadian Arctic-site civil works opened to Alaskan contractors; U.S. radar-integration contracts opened to Canadian firms, dollar figures published.</w:t>
      </w:r>
    </w:p>
    <w:p>
      <w:pPr>
        <w:pStyle w:val="Normal"/>
        <w:widowControl/>
        <w:rPr/>
      </w:pPr>
      <w:r>
        <w:rPr>
          <w:b w:val="false"/>
          <w:i w:val="false"/>
        </w:rPr>
        <w:t>65-A-282 [DEVELOPMENT] Arctic Over-the-Horizon Radar (A-OTHR) sites — Binational tender of site-civil and power contracts with published reciprocal opportunity allocations.</w:t>
      </w:r>
    </w:p>
    <w:p>
      <w:pPr>
        <w:pStyle w:val="Normal"/>
        <w:widowControl/>
        <w:rPr/>
      </w:pPr>
      <w:r>
        <w:rPr>
          <w:b w:val="false"/>
          <w:i w:val="false"/>
        </w:rPr>
        <w:t>65-A-283 [DEVELOPMENT] Northern Warning System replacement — Reciprocal prequalification of both countries' firms on named site packages; Mexican firms eligible on non-sensitive logistics packages.</w:t>
      </w:r>
    </w:p>
    <w:p>
      <w:pPr>
        <w:pStyle w:val="Normal"/>
        <w:widowControl/>
        <w:rPr/>
      </w:pPr>
      <w:r>
        <w:rPr>
          <w:b w:val="false"/>
          <w:i w:val="false"/>
        </w:rPr>
        <w:t>65-A-284 [DEVELOPMENT] Polar icebreaker construction cooperation — Canadian yards (Davie/Seaspan-type) named for defined workshare on U.S. Polar Security Cutter modules; U.S. yards reciprocate on Canadian polar-class work.</w:t>
      </w:r>
    </w:p>
    <w:p>
      <w:pPr>
        <w:pStyle w:val="Normal"/>
        <w:widowControl/>
        <w:rPr/>
      </w:pPr>
      <w:r>
        <w:rPr>
          <w:b w:val="false"/>
          <w:i w:val="false"/>
        </w:rPr>
        <w:t>65-A-285 [DEVELOPMENT] Great Lakes Coast Guard station renewal (both countries) — Binational tender with published reciprocal opportunity allocations on named stations.</w:t>
      </w:r>
    </w:p>
    <w:p>
      <w:pPr>
        <w:pStyle w:val="Normal"/>
        <w:widowControl/>
        <w:rPr/>
      </w:pPr>
      <w:r>
        <w:rPr>
          <w:b w:val="false"/>
          <w:i w:val="false"/>
        </w:rPr>
        <w:t>65-A-286 [DEVELOPMENT] Border surveillance tower program (U.S. southern + northern borders) — Canadian sensor integrators eligible on northern-tier packages; Mexican firms on logistics and civil lots of southern-tier packages, all capped and named.</w:t>
      </w:r>
    </w:p>
    <w:p>
      <w:pPr>
        <w:pStyle w:val="Normal"/>
        <w:widowControl/>
        <w:rPr/>
      </w:pPr>
      <w:r>
        <w:rPr>
          <w:b w:val="false"/>
          <w:i w:val="false"/>
        </w:rPr>
        <w:t>65-A-287 [DEVELOPMENT] Trilateral counter-drone infrastructure at critical sites — Named bundle of detection-system contracts with published reciprocal opportunity allocations.</w:t>
      </w:r>
    </w:p>
    <w:p>
      <w:pPr>
        <w:pStyle w:val="Normal"/>
        <w:widowControl/>
        <w:rPr/>
      </w:pPr>
      <w:r>
        <w:rPr>
          <w:b w:val="false"/>
          <w:i w:val="false"/>
        </w:rPr>
        <w:t>65-A-288 [DEVELOPMENT] CFB Goose Bay and 5 Wing infrastructure renewal — U.S. contractors prequalified on defined lots; reciprocated via Canadian access to a named U.S. northern-base program.</w:t>
      </w:r>
    </w:p>
    <w:p>
      <w:pPr>
        <w:pStyle w:val="Normal"/>
        <w:widowControl/>
        <w:rPr/>
      </w:pPr>
      <w:r>
        <w:rPr>
          <w:b w:val="false"/>
          <w:i w:val="false"/>
        </w:rPr>
        <w:t>65-A-289 [DEVELOPMENT] Alaska radar-site support infrastructure — Yukon/BC firms eligible on named packages as reciprocal half of idea 288.</w:t>
      </w:r>
    </w:p>
    <w:p>
      <w:pPr>
        <w:pStyle w:val="Normal"/>
        <w:widowControl/>
        <w:rPr/>
      </w:pPr>
      <w:r>
        <w:rPr>
          <w:b w:val="false"/>
          <w:i w:val="false"/>
        </w:rPr>
        <w:t>65-A-290 [DEVELOPMENT] Trilateral military-port upgrade (Esquimalt, San Diego, Manzanillo) — Named bundle of wharf and fueling contracts with published reciprocal opportunity allocations.</w:t>
      </w:r>
    </w:p>
    <w:p>
      <w:pPr>
        <w:pStyle w:val="Normal"/>
        <w:widowControl/>
        <w:rPr/>
      </w:pPr>
      <w:r>
        <w:rPr>
          <w:b w:val="false"/>
          <w:i w:val="false"/>
        </w:rPr>
        <w:t>65-A-291 [DEVELOPMENT] Munitions and energetics plant corridor (Quebec, U.S. Midwest, Mexico) — Feasibility-stage contracts opened trilaterally; construction splits pre-committed, subject to security review.</w:t>
      </w:r>
    </w:p>
    <w:p>
      <w:pPr>
        <w:pStyle w:val="Normal"/>
        <w:widowControl/>
        <w:rPr/>
      </w:pPr>
      <w:r>
        <w:rPr>
          <w:b w:val="false"/>
          <w:i w:val="false"/>
        </w:rPr>
        <w:t>65-A-292 [DEVELOPMENT] Trilateral satellite-launch and spaceport services (Nova Scotia, Alaska, Baja concept) — Named bundle of range-infrastructure contracts with published reciprocal opportunity allocations.</w:t>
      </w:r>
    </w:p>
    <w:p>
      <w:pPr>
        <w:pStyle w:val="Normal"/>
        <w:widowControl/>
        <w:rPr/>
      </w:pPr>
      <w:r>
        <w:rPr>
          <w:b w:val="false"/>
          <w:i w:val="false"/>
        </w:rPr>
        <w:t>65-A-293 [DEVELOPMENT] Cyber-range facilities (Ottawa, San Antonio, Mexico City) — Tri-city tender of facility contracts with designated reciprocal opportunity scopes.</w:t>
      </w:r>
    </w:p>
    <w:p>
      <w:pPr>
        <w:pStyle w:val="Normal"/>
        <w:widowControl/>
        <w:rPr/>
      </w:pPr>
      <w:r>
        <w:rPr>
          <w:b w:val="false"/>
          <w:i w:val="false"/>
        </w:rPr>
        <w:t>65-A-294 [DEVELOPMENT] Emergency-management logistics hubs (Winnipeg, Kansas City, Monterrey) — Tri-hub tender of warehouse and systems contracts with published trilateral splits; dual-use civilian/military trophy.</w:t>
      </w:r>
    </w:p>
    <w:p>
      <w:pPr>
        <w:pStyle w:val="Normal"/>
        <w:widowControl/>
        <w:rPr/>
      </w:pPr>
      <w:r>
        <w:rPr>
          <w:b w:val="false"/>
          <w:i w:val="false"/>
        </w:rPr>
        <w:t>65-A-295 [DEVELOPMENT] Trilateral wildfire-airtanker base upgrades (BC/Alberta, California, Baja) — Named bundle of base-infrastructure contracts with published reciprocal opportunity allocations.</w:t>
      </w:r>
    </w:p>
    <w:p>
      <w:pPr>
        <w:pStyle w:val="Normal"/>
        <w:widowControl/>
        <w:rPr/>
      </w:pPr>
      <w:r>
        <w:rPr>
          <w:b w:val="false"/>
          <w:i w:val="false"/>
        </w:rPr>
        <w:t>65-A-296 [DEVELOPMENT] Coast Guard vessel-traffic systems (St. Lawrence, Gulf, Pacific Mexico) — Trilateral procurement with named equipment shares.</w:t>
      </w:r>
    </w:p>
    <w:p>
      <w:pPr>
        <w:pStyle w:val="Normal"/>
        <w:widowControl/>
        <w:rPr/>
      </w:pPr>
      <w:r>
        <w:rPr>
          <w:b w:val="false"/>
          <w:i w:val="false"/>
        </w:rPr>
        <w:t>65-A-297 [DEVELOPMENT] Search-and-rescue station network (Arctic + Pacific + Gulf) — Named bundle of station contracts, splits published per country.</w:t>
      </w:r>
    </w:p>
    <w:p>
      <w:pPr>
        <w:pStyle w:val="Normal"/>
        <w:widowControl/>
        <w:rPr/>
      </w:pPr>
      <w:r>
        <w:rPr>
          <w:b w:val="false"/>
          <w:i w:val="false"/>
        </w:rPr>
        <w:t>65-A-298 [DEVELOPMENT] Secure cross-border defense-logistics corridor (Windsor–Detroit) — Binational tender of inspection and secure-yard contracts with published reciprocal opportunity allocations.</w:t>
      </w:r>
    </w:p>
    <w:p>
      <w:pPr>
        <w:pStyle w:val="Normal"/>
        <w:widowControl/>
        <w:rPr/>
      </w:pPr>
      <w:r>
        <w:rPr>
          <w:b w:val="false"/>
          <w:i w:val="false"/>
        </w:rPr>
        <w:t>65-A-299 [DEVELOPMENT] Trilateral submarine-cable protection monitoring — Joint procurement of monitoring systems with designated reciprocal opportunity scopes per country.</w:t>
      </w:r>
    </w:p>
    <w:p>
      <w:pPr>
        <w:pStyle w:val="Normal"/>
        <w:widowControl/>
        <w:rPr/>
      </w:pPr>
      <w:r>
        <w:rPr>
          <w:b w:val="false"/>
          <w:i w:val="false"/>
        </w:rPr>
        <w:t>65-A-300 [DEVELOPMENT] Northern fuel-depot network (Canada's North + Alaska) — Binational tender of depot contracts with published reciprocal opportunity allocations.</w:t>
      </w:r>
    </w:p>
    <w:p>
      <w:pPr>
        <w:pStyle w:val="Normal"/>
        <w:widowControl/>
        <w:rPr/>
      </w:pPr>
      <w:r>
        <w:rPr>
          <w:b w:val="false"/>
          <w:i w:val="false"/>
        </w:rPr>
        <w:t>65-A-301 [DEVELOPMENT] Trilateral defense-innovation campus (Waterloo, Austin, Guadalajara) — Named bundle of lab-construction contracts, one per country, each open trilaterally.</w:t>
      </w:r>
    </w:p>
    <w:p>
      <w:pPr>
        <w:pStyle w:val="Normal"/>
        <w:widowControl/>
        <w:rPr/>
      </w:pPr>
      <w:r>
        <w:rPr>
          <w:b w:val="false"/>
          <w:i w:val="false"/>
        </w:rPr>
        <w:t>65-A-302 [DEVELOPMENT] Port-security radiation-detection upgrade (Vancouver, LA/LB, Manzanillo) — Joint procurement with verified supplier-origin reporting after competitive award.</w:t>
      </w:r>
    </w:p>
    <w:p>
      <w:pPr>
        <w:pStyle w:val="Normal"/>
        <w:widowControl/>
        <w:rPr/>
      </w:pPr>
      <w:r>
        <w:rPr>
          <w:b w:val="false"/>
          <w:i w:val="false"/>
        </w:rPr>
        <w:t>65-A-303 [DEVELOPMENT] Binational Great Lakes maritime-domain-awareness system — Joint tender with published reciprocal opportunity allocations.</w:t>
      </w:r>
    </w:p>
    <w:p>
      <w:pPr>
        <w:pStyle w:val="Normal"/>
        <w:widowControl/>
        <w:rPr/>
      </w:pPr>
      <w:r>
        <w:rPr>
          <w:b w:val="false"/>
          <w:i w:val="false"/>
        </w:rPr>
        <w:t>65-A-304 [DEVELOPMENT] Trilateral military airfield pavement program — Named bundle of runway contracts at designated dual-use fields, splits published.</w:t>
      </w:r>
    </w:p>
    <w:p>
      <w:pPr>
        <w:pStyle w:val="Normal"/>
        <w:widowControl/>
        <w:rPr/>
      </w:pPr>
      <w:r>
        <w:rPr>
          <w:b w:val="false"/>
          <w:i w:val="false"/>
        </w:rPr>
        <w:t>65-A-305 [DEVELOPMENT] Arctic deep-water port studies (Churchill, Nome, Tuktoyaktuk) — Pre-engineering contracts opened bilaterally/trilaterally, capped and named, positioning for construction-stage trophies.</w:t>
      </w:r>
    </w:p>
    <w:p>
      <w:pPr>
        <w:pStyle w:val="Normal"/>
        <w:widowControl/>
        <w:rPr/>
      </w:pPr>
      <w:r>
        <w:rPr>
          <w:b w:val="false"/>
          <w:i w:val="false"/>
        </w:rPr>
        <w:t>65-A-306 [DEVELOPMENT] Darlington SMR + U.S. SMR deployments (TVA, others) — Named package: U.S. component suppliers prequalified on defined Ontario SMR lots; Canadian SMR supply-chain firms reciprocally prequalified on named U.S. SMR projects, dollar figures published.</w:t>
      </w:r>
    </w:p>
    <w:p>
      <w:pPr>
        <w:pStyle w:val="Normal"/>
        <w:widowControl/>
        <w:rPr/>
      </w:pPr>
      <w:r>
        <w:rPr>
          <w:b w:val="false"/>
          <w:i w:val="false"/>
        </w:rPr>
        <w:t>65-A-307 [DEVELOPMENT] Bruce Power life-extension follow-ons — U.S. and Mexican component suppliers eligible on capped packages.</w:t>
      </w:r>
    </w:p>
    <w:p>
      <w:pPr>
        <w:pStyle w:val="Normal"/>
        <w:widowControl/>
        <w:rPr/>
      </w:pPr>
      <w:r>
        <w:rPr>
          <w:b w:val="false"/>
          <w:i w:val="false"/>
        </w:rPr>
        <w:t>65-A-308 [DEVELOPMENT] Pickering refurbishment — U.S. engineering firms prequalified on named lots; reciprocated via Ontario access to U.S. reactor-uprate contracts.</w:t>
      </w:r>
    </w:p>
    <w:p>
      <w:pPr>
        <w:pStyle w:val="Normal"/>
        <w:widowControl/>
        <w:rPr/>
      </w:pPr>
      <w:r>
        <w:rPr>
          <w:b w:val="false"/>
          <w:i w:val="false"/>
        </w:rPr>
        <w:t>65-A-309 [DEVELOPMENT] Point Lepreau life-extension study and works — U.S. suppliers eligible on defined packages.</w:t>
      </w:r>
    </w:p>
    <w:p>
      <w:pPr>
        <w:pStyle w:val="Normal"/>
        <w:widowControl/>
        <w:rPr/>
      </w:pPr>
      <w:r>
        <w:rPr>
          <w:b w:val="false"/>
          <w:i w:val="false"/>
        </w:rPr>
        <w:t>65-A-310 [DEVELOPMENT] Laguna Verde life extension (Mexico) — Canadian and U.S. nuclear-services firms prequalified on named packages; reciprocated via Mexican access to North American nuclear-supply contracts.</w:t>
      </w:r>
    </w:p>
    <w:p>
      <w:pPr>
        <w:pStyle w:val="Normal"/>
        <w:widowControl/>
        <w:rPr/>
      </w:pPr>
      <w:r>
        <w:rPr>
          <w:b w:val="false"/>
          <w:i w:val="false"/>
        </w:rPr>
        <w:t>65-A-311 [DEVELOPMENT] Palo Verde uprates (Arizona) — Canadian CANDU-adjacent engineering firms eligible on defined lots.</w:t>
      </w:r>
    </w:p>
    <w:p>
      <w:pPr>
        <w:pStyle w:val="Normal"/>
        <w:widowControl/>
        <w:rPr/>
      </w:pPr>
      <w:r>
        <w:rPr>
          <w:b w:val="false"/>
          <w:i w:val="false"/>
        </w:rPr>
        <w:t>65-A-312 [DEVELOPMENT] Small-modular-reactor for remote mines (Ontario Ring of Fire, Alaska, Sonora) — Tri-project feasibility bundle with published trilateral splits.</w:t>
      </w:r>
    </w:p>
    <w:p>
      <w:pPr>
        <w:pStyle w:val="Normal"/>
        <w:widowControl/>
        <w:rPr/>
      </w:pPr>
      <w:r>
        <w:rPr>
          <w:b w:val="false"/>
          <w:i w:val="false"/>
        </w:rPr>
        <w:t>65-A-313 [DEVELOPMENT] Site C follow-on transmission and balancing works (BC) — U.S. contractors eligible on capped packages.</w:t>
      </w:r>
    </w:p>
    <w:p>
      <w:pPr>
        <w:pStyle w:val="Normal"/>
        <w:widowControl/>
        <w:rPr/>
      </w:pPr>
      <w:r>
        <w:rPr>
          <w:b w:val="false"/>
          <w:i w:val="false"/>
        </w:rPr>
        <w:t>65-A-314 [DEVELOPMENT] Gull Island / Lower Churchill development (Newfoundland &amp; Labrador) — U.S. and Mexican civil contractors prequalified on named lots; announced with contract values per country.</w:t>
      </w:r>
    </w:p>
    <w:p>
      <w:pPr>
        <w:pStyle w:val="Normal"/>
        <w:widowControl/>
        <w:rPr/>
      </w:pPr>
      <w:r>
        <w:rPr>
          <w:b w:val="false"/>
          <w:i w:val="false"/>
        </w:rPr>
        <w:t>65-A-315 [DEVELOPMENT] Muskrat Falls completion and Churchill Falls MOU works — U.S. firms eligible on defined packages; reciprocated via NL access to New England hydro-import contracts.</w:t>
      </w:r>
    </w:p>
    <w:p>
      <w:pPr>
        <w:pStyle w:val="Normal"/>
        <w:widowControl/>
        <w:rPr/>
      </w:pPr>
      <w:r>
        <w:rPr>
          <w:b w:val="false"/>
          <w:i w:val="false"/>
        </w:rPr>
        <w:t>65-A-316 [DEVELOPMENT] Keeyask follow-on hydro (Manitoba) — U.S. turbine suppliers eligible on named packages.</w:t>
      </w:r>
    </w:p>
    <w:p>
      <w:pPr>
        <w:pStyle w:val="Normal"/>
        <w:widowControl/>
        <w:rPr/>
      </w:pPr>
      <w:r>
        <w:rPr>
          <w:b w:val="false"/>
          <w:i w:val="false"/>
        </w:rPr>
        <w:t>65-A-317 [DEVELOPMENT] Quebec Romaine-complex completion and wind pairing — U.S. and Mexican suppliers prequalified on defined lots.</w:t>
      </w:r>
    </w:p>
    <w:p>
      <w:pPr>
        <w:pStyle w:val="Normal"/>
        <w:widowControl/>
        <w:rPr/>
      </w:pPr>
      <w:r>
        <w:rPr>
          <w:b w:val="false"/>
          <w:i w:val="false"/>
        </w:rPr>
        <w:t>65-A-318 [DEVELOPMENT] Atlantic Canada offshore wind (Nova Scotia/Newfoundland) — U.S. marine contractors and Mexican fabrication yards eligible on named packages; reciprocated via Canadian access to U.S. East Coast offshore-wind contracts.</w:t>
      </w:r>
    </w:p>
    <w:p>
      <w:pPr>
        <w:pStyle w:val="Normal"/>
        <w:widowControl/>
        <w:rPr/>
      </w:pPr>
      <w:r>
        <w:rPr>
          <w:b w:val="false"/>
          <w:i w:val="false"/>
        </w:rPr>
        <w:t>65-A-319 [DEVELOPMENT] Gulf of Maine floating offshore wind — Canadian marine-civil and cable firms prequalified as the reciprocal half of idea 318.</w:t>
      </w:r>
    </w:p>
    <w:p>
      <w:pPr>
        <w:pStyle w:val="Normal"/>
        <w:widowControl/>
        <w:rPr/>
      </w:pPr>
      <w:r>
        <w:rPr>
          <w:b w:val="false"/>
          <w:i w:val="false"/>
        </w:rPr>
        <w:t>65-A-320 [DEVELOPMENT] Pacific offshore wind (California/Oregon) — BC and Quebec marine firms eligible on defined packages.</w:t>
      </w:r>
    </w:p>
    <w:p>
      <w:pPr>
        <w:pStyle w:val="Normal"/>
        <w:widowControl/>
        <w:rPr/>
      </w:pPr>
      <w:r>
        <w:rPr>
          <w:b w:val="false"/>
          <w:i w:val="false"/>
        </w:rPr>
        <w:t>65-A-321 [DEVELOPMENT] Plan Sonora solar megaproject (Mexico) — Canadian and U.S. EPC and inverter suppliers prequalified on named lots; announced with dollar figures per country.</w:t>
      </w:r>
    </w:p>
    <w:p>
      <w:pPr>
        <w:pStyle w:val="Normal"/>
        <w:widowControl/>
        <w:rPr/>
      </w:pPr>
      <w:r>
        <w:rPr>
          <w:b w:val="false"/>
          <w:i w:val="false"/>
        </w:rPr>
        <w:t>65-A-322 [DEVELOPMENT] Arizona/New Mexico solar-plus-storage corridor — Mexican module-assembly and Canadian inverter plants eligible on capped shares; reciprocated via U.S. access to Canadian solar contracts.</w:t>
      </w:r>
    </w:p>
    <w:p>
      <w:pPr>
        <w:pStyle w:val="Normal"/>
        <w:widowControl/>
        <w:rPr/>
      </w:pPr>
      <w:r>
        <w:rPr>
          <w:b w:val="false"/>
          <w:i w:val="false"/>
        </w:rPr>
        <w:t>65-A-323 [DEVELOPMENT] Alberta solar-and-wind boom procurement — U.S. and Mexican component suppliers eligible on named packages.</w:t>
      </w:r>
    </w:p>
    <w:p>
      <w:pPr>
        <w:pStyle w:val="Normal"/>
        <w:widowControl/>
        <w:rPr/>
      </w:pPr>
      <w:r>
        <w:rPr>
          <w:b w:val="false"/>
          <w:i w:val="false"/>
        </w:rPr>
        <w:t>65-A-324 [DEVELOPMENT] Saskatchewan geothermal pilot corridor — U.S. drilling-services firms prequalified on defined lots.</w:t>
      </w:r>
    </w:p>
    <w:p>
      <w:pPr>
        <w:pStyle w:val="Normal"/>
        <w:widowControl/>
        <w:rPr/>
      </w:pPr>
      <w:r>
        <w:rPr>
          <w:b w:val="false"/>
          <w:i w:val="false"/>
        </w:rPr>
        <w:t>65-A-325 [DEVELOPMENT] Salton Sea lithium-geothermal ("Lithium Valley") — Canadian processing-tech and Mexican drilling-services firms eligible on named packages.</w:t>
      </w:r>
    </w:p>
    <w:p>
      <w:pPr>
        <w:pStyle w:val="Normal"/>
        <w:widowControl/>
        <w:rPr/>
      </w:pPr>
      <w:r>
        <w:rPr>
          <w:b w:val="false"/>
          <w:i w:val="false"/>
        </w:rPr>
        <w:t>65-A-326 [DEVELOPMENT] Nevada geothermal expansion — Alberta drilling-services firms eligible as reciprocal half of idea 325.</w:t>
      </w:r>
    </w:p>
    <w:p>
      <w:pPr>
        <w:pStyle w:val="Normal"/>
        <w:widowControl/>
        <w:rPr/>
      </w:pPr>
      <w:r>
        <w:rPr>
          <w:b w:val="false"/>
          <w:i w:val="false"/>
        </w:rPr>
        <w:t>65-A-327 [DEVELOPMENT] Trilateral pumped-storage program (Ontario, Appalachia, Baja) — Named bundle of feasibility and construction contracts with published reciprocal opportunity allocations.</w:t>
      </w:r>
    </w:p>
    <w:p>
      <w:pPr>
        <w:pStyle w:val="Normal"/>
        <w:widowControl/>
        <w:rPr/>
      </w:pPr>
      <w:r>
        <w:rPr>
          <w:b w:val="false"/>
          <w:i w:val="false"/>
        </w:rPr>
        <w:t>65-A-328 [DEVELOPMENT] Quebec wind-cluster expansion (Gaspésie) — U.S. and Mexican tower and blade suppliers eligible on capped packages.</w:t>
      </w:r>
    </w:p>
    <w:p>
      <w:pPr>
        <w:pStyle w:val="Normal"/>
        <w:widowControl/>
        <w:rPr/>
      </w:pPr>
      <w:r>
        <w:rPr>
          <w:b w:val="false"/>
          <w:i w:val="false"/>
        </w:rPr>
        <w:t>65-A-329 [DEVELOPMENT] Iowa/Texas wind repowering corridor — Quebec/Ontario component plants eligible on named packages as the reciprocal half of idea 328.</w:t>
      </w:r>
    </w:p>
    <w:p>
      <w:pPr>
        <w:pStyle w:val="Normal"/>
        <w:widowControl/>
        <w:rPr/>
      </w:pPr>
      <w:r>
        <w:rPr>
          <w:b w:val="false"/>
          <w:i w:val="false"/>
        </w:rPr>
        <w:t>65-A-330 [DEVELOPMENT] Isthmus of Tehuantepec wind repowering (Oaxaca) — Canadian and U.S. turbine-component suppliers prequalified on defined lots.</w:t>
      </w:r>
    </w:p>
    <w:p>
      <w:pPr>
        <w:pStyle w:val="Normal"/>
        <w:widowControl/>
        <w:rPr/>
      </w:pPr>
      <w:r>
        <w:rPr>
          <w:b w:val="false"/>
          <w:i w:val="false"/>
        </w:rPr>
        <w:t>65-A-331 [DEVELOPMENT] Trilateral green-hydrogen electrolysis gigafactories — One plant per country announced together with published equipment splits.</w:t>
      </w:r>
    </w:p>
    <w:p>
      <w:pPr>
        <w:pStyle w:val="Normal"/>
        <w:widowControl/>
        <w:rPr/>
      </w:pPr>
      <w:r>
        <w:rPr>
          <w:b w:val="false"/>
          <w:i w:val="false"/>
        </w:rPr>
        <w:t>65-A-332 [DEVELOPMENT] Tidal energy pilots (Bay of Fundy + Alaska + Baja) — Named bundle of demonstration contracts, splits published.</w:t>
      </w:r>
    </w:p>
    <w:p>
      <w:pPr>
        <w:pStyle w:val="Normal"/>
        <w:widowControl/>
        <w:rPr/>
      </w:pPr>
      <w:r>
        <w:rPr>
          <w:b w:val="false"/>
          <w:i w:val="false"/>
        </w:rPr>
        <w:t>65-A-333 [DEVELOPMENT] Grid-forming battery mega-projects (Ontario, Texas, Baja) — Tri-project tender with named national splits.</w:t>
      </w:r>
    </w:p>
    <w:p>
      <w:pPr>
        <w:pStyle w:val="Normal"/>
        <w:widowControl/>
        <w:rPr/>
      </w:pPr>
      <w:r>
        <w:rPr>
          <w:b w:val="false"/>
          <w:i w:val="false"/>
        </w:rPr>
        <w:t>65-A-334 [DEVELOPMENT] Biomass-to-energy corridor (Northern Ontario + U.S. Southeast + Yucatán) — Named bundle of plant contracts with published reciprocal opportunity allocations.</w:t>
      </w:r>
    </w:p>
    <w:p>
      <w:pPr>
        <w:pStyle w:val="Normal"/>
        <w:widowControl/>
        <w:rPr/>
      </w:pPr>
      <w:r>
        <w:rPr>
          <w:b w:val="false"/>
          <w:i w:val="false"/>
        </w:rPr>
        <w:t>65-A-335 [DEVELOPMENT] Trilateral clean-energy permitting "one-window" pilots — Feasibility contracts for joint environmental-assessment tools, one per country, opened trilaterally.</w:t>
      </w:r>
    </w:p>
    <w:p>
      <w:pPr>
        <w:pStyle w:val="Normal"/>
        <w:widowControl/>
        <w:rPr/>
      </w:pPr>
      <w:r>
        <w:rPr>
          <w:b w:val="false"/>
          <w:i w:val="false"/>
        </w:rPr>
        <w:t>65-A-336 [DEVELOPMENT] Windsor-Detroit Trade Corridor Operations, Resilience and Follow-On Infrastructure Program — future ITS, inspection, maintenance, logistics, approach-road and resilience procurements may be designated after verification of remaining lawful procurement.</w:t>
      </w:r>
    </w:p>
    <w:p>
      <w:pPr>
        <w:pStyle w:val="Normal"/>
        <w:widowControl/>
        <w:rPr/>
      </w:pPr>
      <w:r>
        <w:rPr>
          <w:b w:val="false"/>
          <w:i w:val="false"/>
        </w:rPr>
        <w:t>65-A-337 [DEVELOPMENT] North American Transformer Replacement and Grid-Spare Program — recurring reciprocal procurement of large power transformers, mobile transformers, bushings, switchgear and associated grid-spare equipment.</w:t>
      </w:r>
    </w:p>
    <w:p>
      <w:pPr>
        <w:pStyle w:val="Normal"/>
        <w:widowControl/>
        <w:rPr/>
      </w:pPr>
      <w:r>
        <w:rPr>
          <w:b w:val="false"/>
          <w:i w:val="false"/>
        </w:rPr>
        <w:t>65-A-338 [DEVELOPMENT] Essential Medicines Sterile-Manufacturing Equipment Program — reciprocal access for qualifying clean-room, aseptic filling, lyophilization, vial, stopper, inspection and packaging procurements linked to Chapter 63.</w:t>
      </w:r>
    </w:p>
    <w:p>
      <w:pPr>
        <w:pStyle w:val="Normal"/>
        <w:widowControl/>
        <w:rPr/>
      </w:pPr>
      <w:r>
        <w:rPr>
          <w:b w:val="false"/>
          <w:i w:val="false"/>
        </w:rPr>
        <w:t>65-A-339 [DEVELOPMENT] API and KSM Manufacturing Equipment Program — qualifying reactors, filtration, drying, containment, quality-control and process-control equipment for North American active-ingredient and key-starting-material capacity.</w:t>
      </w:r>
    </w:p>
    <w:p>
      <w:pPr>
        <w:pStyle w:val="Normal"/>
        <w:widowControl/>
        <w:rPr/>
      </w:pPr>
      <w:r>
        <w:rPr>
          <w:b w:val="false"/>
          <w:i w:val="false"/>
        </w:rPr>
        <w:t>65-A-340 [DEVELOPMENT] Medical Isotope and Radiopharmaceutical Infrastructure Program — qualifying cyclotron, targetry, processing, shielding, hot-cell, generator and logistics infrastructure subject to nuclear and health regulation.</w:t>
      </w:r>
    </w:p>
    <w:p>
      <w:pPr>
        <w:pStyle w:val="Normal"/>
        <w:widowControl/>
        <w:rPr/>
      </w:pPr>
      <w:r>
        <w:rPr>
          <w:b w:val="false"/>
          <w:i w:val="false"/>
        </w:rPr>
        <w:t>65-A-341 [DEVELOPMENT] Pharmaceutical Cold-Chain Infrastructure Program — validated refrigeration, monitoring, packaging, warehousing and transport systems supporting medicines resilience and emergency distribution.</w:t>
      </w:r>
    </w:p>
    <w:p>
      <w:pPr>
        <w:pStyle w:val="Normal"/>
        <w:widowControl/>
        <w:rPr/>
      </w:pPr>
      <w:r>
        <w:rPr>
          <w:b w:val="false"/>
          <w:i w:val="false"/>
        </w:rPr>
        <w:t>65-A-342 [DEVELOPMENT] Continental Wildfire Airtanker Base Modernization Program — reciprocal civil, fueling, retardant-loading, maintenance, communications and emergency-support procurements at designated wildfire aviation bases.</w:t>
      </w:r>
    </w:p>
    <w:p>
      <w:pPr>
        <w:pStyle w:val="Normal"/>
        <w:widowControl/>
        <w:rPr/>
      </w:pPr>
      <w:r>
        <w:rPr>
          <w:b w:val="false"/>
          <w:i w:val="false"/>
        </w:rPr>
        <w:t>65-A-343 [DEVELOPMENT] North American Search-and-Rescue Station Modernization Program — qualifying hangars, communications, medical, navigation, training and logistics infrastructure for designated SAR facilities.</w:t>
      </w:r>
    </w:p>
    <w:p>
      <w:pPr>
        <w:pStyle w:val="Normal"/>
        <w:widowControl/>
        <w:rPr/>
      </w:pPr>
      <w:r>
        <w:rPr>
          <w:b w:val="false"/>
          <w:i w:val="false"/>
        </w:rPr>
        <w:t>65-A-344 [DEVELOPMENT] Great Lakes Drinking-Water Treatment Modernization Program — reciprocal equipment and engineering opportunities for filtration, disinfection, lead-service replacement support and treatment resilience.</w:t>
      </w:r>
    </w:p>
    <w:p>
      <w:pPr>
        <w:pStyle w:val="Normal"/>
        <w:widowControl/>
        <w:rPr/>
      </w:pPr>
      <w:r>
        <w:rPr>
          <w:b w:val="false"/>
          <w:i w:val="false"/>
        </w:rPr>
        <w:t>65-A-345 [DEVELOPMENT] Red River and Northern Plains Flood-Resilience Program — pumps, gates, monitoring, diversion-support works and emergency infrastructure in voluntarily participating jurisdictions.</w:t>
      </w:r>
    </w:p>
    <w:p>
      <w:pPr>
        <w:pStyle w:val="Normal"/>
        <w:widowControl/>
        <w:rPr/>
      </w:pPr>
      <w:r>
        <w:rPr>
          <w:b w:val="false"/>
          <w:i w:val="false"/>
        </w:rPr>
        <w:t>65-A-346 [DEVELOPMENT] Rio Grande Water Efficiency and Resilience Program — verified binational opportunities in conveyance, metering, reuse, treatment, leakage reduction and drought-resilience infrastructure.</w:t>
      </w:r>
    </w:p>
    <w:p>
      <w:pPr>
        <w:pStyle w:val="Normal"/>
        <w:widowControl/>
        <w:rPr/>
      </w:pPr>
      <w:r>
        <w:rPr>
          <w:b w:val="false"/>
          <w:i w:val="false"/>
        </w:rPr>
        <w:t>65-A-347 [DEVELOPMENT] Airport Deicing and Winter-Operations Equipment Program — recurring reciprocal procurement of deicing vehicles, fluid systems, snow-removal equipment, sensors and winter-operations technology.</w:t>
      </w:r>
    </w:p>
    <w:p>
      <w:pPr>
        <w:pStyle w:val="Normal"/>
        <w:widowControl/>
        <w:rPr/>
      </w:pPr>
      <w:r>
        <w:rPr>
          <w:b w:val="false"/>
          <w:i w:val="false"/>
        </w:rPr>
        <w:t>65-A-348 [DEVELOPMENT] Airport Fire-Rescue and Emergency Vehicle Program — competitive reciprocal access for qualifying aircraft-rescue firefighting vehicles, communications, protective systems and support equipment.</w:t>
      </w:r>
    </w:p>
    <w:p>
      <w:pPr>
        <w:pStyle w:val="Normal"/>
        <w:widowControl/>
        <w:rPr/>
      </w:pPr>
      <w:r>
        <w:rPr>
          <w:b w:val="false"/>
          <w:i w:val="false"/>
        </w:rPr>
        <w:t>65-A-349 [DEVELOPMENT] Pipeline Integrity and Leak-Detection Retrofit Program — inspection, sensors, valves, control systems, corrosion protection and safety equipment for designated existing energy corridors.</w:t>
      </w:r>
    </w:p>
    <w:p>
      <w:pPr>
        <w:pStyle w:val="Normal"/>
        <w:widowControl/>
        <w:rPr/>
      </w:pPr>
      <w:r>
        <w:rPr>
          <w:b w:val="false"/>
          <w:i w:val="false"/>
        </w:rPr>
        <w:t>65-A-350 [DEVELOPMENT] Advanced Industrial Robotics and Factory-Automation Program — reciprocal access to qualifying robotics, machine vision, controls, safety systems and integration procurements in designated industrial projects.</w:t>
      </w:r>
    </w:p>
    <w:p>
      <w:pPr>
        <w:pStyle w:val="Normal"/>
        <w:widowControl/>
        <w:rPr/>
      </w:pPr>
      <w:r>
        <w:rPr>
          <w:b w:val="false"/>
          <w:i w:val="false"/>
        </w:rPr>
        <w:t>65-A-351 [DEVELOPMENT] Critical-Mineral Processing Equipment Program — crushers, sorters, separators, furnaces, hydrometallurgical systems, water treatment and environmental controls linked to Chapter 37 projects.</w:t>
      </w:r>
    </w:p>
    <w:p>
      <w:pPr>
        <w:pStyle w:val="Normal"/>
        <w:widowControl/>
        <w:rPr/>
      </w:pPr>
      <w:r>
        <w:rPr>
          <w:b w:val="false"/>
          <w:i w:val="false"/>
        </w:rPr>
        <w:t>65-A-352 [DEVELOPMENT] Battery Recycling and Materials-Recovery Equipment Program — shredding, separation, hydrometallurgy, refining, fire-safety and material-handling equipment for designated recycling capacity.</w:t>
      </w:r>
    </w:p>
    <w:p>
      <w:pPr>
        <w:pStyle w:val="Normal"/>
        <w:widowControl/>
        <w:rPr/>
      </w:pPr>
      <w:r>
        <w:rPr>
          <w:b w:val="false"/>
          <w:i w:val="false"/>
        </w:rPr>
        <w:t>65-A-353 [DEVELOPMENT] Semiconductor Packaging, Testing and Advanced-Electronics Equipment Program — qualifying assembly, packaging, test, metrology, clean-room and reliability infrastructure.</w:t>
      </w:r>
    </w:p>
    <w:p>
      <w:pPr>
        <w:pStyle w:val="Normal"/>
        <w:widowControl/>
        <w:rPr/>
      </w:pPr>
      <w:r>
        <w:rPr>
          <w:b w:val="false"/>
          <w:i w:val="false"/>
        </w:rPr>
        <w:t>65-A-354 [DEVELOPMENT] AI and Data-Centre Power, Cooling and Resilience Program — qualifying transformers, switchgear, cooling, backup power, water-efficiency and grid-interconnection equipment for designated projects.</w:t>
      </w:r>
    </w:p>
    <w:p>
      <w:pPr>
        <w:pStyle w:val="Normal"/>
        <w:widowControl/>
        <w:rPr/>
      </w:pPr>
      <w:r>
        <w:rPr>
          <w:b w:val="false"/>
          <w:i w:val="false"/>
        </w:rPr>
        <w:t>65-A-355 [DEVELOPMENT] Arctic and Remote Microgrid Modernization Program — modular generation, storage, controls, heat recovery and resilient communications for voluntarily participating northern communities and facilities.</w:t>
      </w:r>
    </w:p>
    <w:p>
      <w:pPr>
        <w:pStyle w:val="Normal"/>
        <w:widowControl/>
        <w:rPr/>
      </w:pPr>
      <w:r>
        <w:rPr>
          <w:b w:val="false"/>
          <w:i w:val="false"/>
        </w:rPr>
        <w:t>65-A-356 [DEVELOPMENT] North American Industrial Water-Reuse Equipment Program — treatment, recycling, cooling-water optimization and zero/low-liquid-discharge equipment for designated manufacturing projects.</w:t>
      </w:r>
    </w:p>
    <w:p>
      <w:pPr>
        <w:pStyle w:val="Normal"/>
        <w:widowControl/>
        <w:rPr/>
      </w:pPr>
      <w:r>
        <w:rPr>
          <w:b w:val="false"/>
          <w:i w:val="false"/>
        </w:rPr>
        <w:t>65-A-357 [DEVELOPMENT] North American Grain and Agri-Food Cold-Chain Modernization Program — elevators, refrigeration, monitoring, rail interfaces, warehouse automation and food-safety equipment.</w:t>
      </w:r>
    </w:p>
    <w:p>
      <w:pPr>
        <w:pStyle w:val="Normal"/>
        <w:widowControl/>
        <w:rPr/>
      </w:pPr>
      <w:r>
        <w:rPr>
          <w:b w:val="false"/>
          <w:i w:val="false"/>
        </w:rPr>
        <w:t>65-A-358 [DEVELOPMENT] North American Port Shore-Power and Terminal Electrification Program — substations, cables, charging, controls and electric cargo-handling infrastructure at designated ports.</w:t>
      </w:r>
    </w:p>
    <w:p>
      <w:pPr>
        <w:pStyle w:val="Normal"/>
        <w:widowControl/>
        <w:rPr/>
      </w:pPr>
      <w:r>
        <w:rPr>
          <w:b w:val="false"/>
          <w:i w:val="false"/>
        </w:rPr>
        <w:t>65-A-359 [DEVELOPMENT] North American Bridge Rehabilitation Materials and Systems Program — bearings, joints, coatings, sensors, structural steel, precast systems and inspection technology for designated bridge renewals.</w:t>
      </w:r>
    </w:p>
    <w:p>
      <w:pPr>
        <w:pStyle w:val="Normal"/>
        <w:widowControl/>
        <w:rPr/>
      </w:pPr>
      <w:r>
        <w:rPr>
          <w:b w:val="false"/>
          <w:i w:val="false"/>
        </w:rPr>
        <w:t>65-A-360 [DEVELOPMENT] North American Rail Signalling and Grade-Crossing Safety Program — signalling, train-control, detection, communications and crossing-safety procurements in participating corridors.</w:t>
      </w:r>
    </w:p>
    <w:p>
      <w:pPr>
        <w:pStyle w:val="Normal"/>
        <w:widowControl/>
        <w:rPr/>
      </w:pPr>
      <w:r>
        <w:rPr>
          <w:b w:val="false"/>
          <w:i w:val="false"/>
        </w:rPr>
        <w:t>65-A-361 [DEVELOPMENT] North American Customs and Commercial-Vehicle Inspection Technology Program — non-intrusive inspection, weigh-in-motion, lane-management and cargo-processing systems subject to privacy and security safeguards.</w:t>
      </w:r>
    </w:p>
    <w:p>
      <w:pPr>
        <w:pStyle w:val="Normal"/>
        <w:widowControl/>
        <w:rPr/>
      </w:pPr>
      <w:r>
        <w:rPr>
          <w:b w:val="false"/>
          <w:i w:val="false"/>
        </w:rPr>
        <w:t>65-A-362 [DEVELOPMENT] North American Rural Broadband Resilience Program — fiber, fixed-wireless, towers, backup power and network-hardening opportunities in voluntarily participating rural jurisdictions.</w:t>
      </w:r>
    </w:p>
    <w:p>
      <w:pPr>
        <w:pStyle w:val="Normal"/>
        <w:widowControl/>
        <w:rPr/>
      </w:pPr>
      <w:r>
        <w:rPr>
          <w:b w:val="false"/>
          <w:i w:val="false"/>
        </w:rPr>
        <w:t>65-A-363 [DEVELOPMENT] North American Emergency Power and Mobile-Utility Program — mobile substations, generators, batteries, pumps, water-treatment units and deployable communications for disaster response.</w:t>
      </w:r>
    </w:p>
    <w:p>
      <w:pPr>
        <w:pStyle w:val="Normal"/>
        <w:widowControl/>
        <w:rPr/>
      </w:pPr>
      <w:r>
        <w:rPr>
          <w:b w:val="false"/>
          <w:i w:val="false"/>
        </w:rPr>
        <w:t>65-A-364 [DEVELOPMENT] North American Industrial Heat and Furnace Modernization Program — efficient furnaces, kilns, heat treatment, controls and heat-recovery systems for steel, aluminum, glass and advanced-material facilities.</w:t>
      </w:r>
    </w:p>
    <w:p>
      <w:pPr>
        <w:pStyle w:val="Normal"/>
        <w:widowControl/>
        <w:rPr/>
      </w:pPr>
      <w:r>
        <w:rPr>
          <w:b w:val="false"/>
          <w:i w:val="false"/>
        </w:rPr>
        <w:t>65-A-365 [DEVELOPMENT] North American Machine-Tool and Precision-Manufacturing Program — qualifying CNC, metrology, tooling, additive manufacturing and quality-control equipment for designated reshoring and expansion projects.</w:t>
      </w:r>
    </w:p>
    <w:p>
      <w:pPr>
        <w:pStyle w:val="Normal"/>
        <w:widowControl/>
        <w:rPr/>
      </w:pPr>
      <w:r>
        <w:rPr>
          <w:b w:val="false"/>
          <w:i w:val="false"/>
        </w:rPr>
        <w:t>65-A-366 [DEVELOPMENT] North American Food and Agricultural Biosecurity Infrastructure Program — laboratories, inspection facilities, cold-chain controls and traceability equipment without weakening sanitary safeguards.</w:t>
      </w:r>
    </w:p>
    <w:p>
      <w:pPr>
        <w:pStyle w:val="Normal"/>
        <w:widowControl/>
        <w:rPr/>
      </w:pPr>
      <w:r>
        <w:rPr>
          <w:b w:val="false"/>
          <w:i w:val="false"/>
        </w:rPr>
        <w:t>65-A-367 [DEVELOPMENT] North American Aviation Maintenance and Ground-Support Equipment Program — hangar, tooling, diagnostics, ground-power, towing and maintenance equipment linked to Chapter 12 aviation cooperation.</w:t>
      </w:r>
    </w:p>
    <w:p>
      <w:pPr>
        <w:pStyle w:val="Normal"/>
        <w:widowControl/>
        <w:rPr/>
      </w:pPr>
      <w:r>
        <w:rPr>
          <w:b w:val="false"/>
          <w:i w:val="false"/>
        </w:rPr>
        <w:t>65-A-368 [DEVELOPMENT] North American Port and Rail Cyber-Resilience Infrastructure Program — segmented networks, secure controls, backup communications and recovery systems for designated trade corridors.</w:t>
      </w:r>
    </w:p>
    <w:p>
      <w:pPr>
        <w:pStyle w:val="Normal"/>
        <w:widowControl/>
        <w:rPr/>
      </w:pPr>
      <w:r>
        <w:rPr>
          <w:b w:val="false"/>
          <w:i w:val="false"/>
        </w:rPr>
        <w:t>65-A-369 [DEVELOPMENT] North American Community and Indigenous Infrastructure Supplier Access Program — voluntary, rights-respecting procurement pathways for qualifying local and Indigenous suppliers without overriding procurement autonomy or consultation duties.</w:t>
      </w:r>
    </w:p>
    <w:p>
      <w:pPr>
        <w:pStyle w:val="Normal"/>
        <w:widowControl/>
        <w:rPr/>
      </w:pPr>
      <w:r>
        <w:rPr>
          <w:b w:val="false"/>
          <w:i w:val="false"/>
        </w:rPr>
        <w:t>65-A-370 [DEVELOPMENT] North American Construction-Materials Circularity Program — reciprocal opportunities in recycled steel, aluminum, aggregate, asphalt, concrete inputs and recovery systems where technical standards are met.</w:t>
      </w:r>
    </w:p>
    <w:p>
      <w:pPr>
        <w:pStyle w:val="Normal"/>
        <w:widowControl/>
        <w:rPr/>
      </w:pPr>
      <w:r>
        <w:rPr>
          <w:b/>
          <w:i w:val="false"/>
          <w:sz w:val="28"/>
        </w:rPr>
        <w:t>ANNEX 65-B — GOVERNING ARCHITECTURE SUMMARY</w:t>
      </w:r>
    </w:p>
    <w:p>
      <w:pPr>
        <w:pStyle w:val="Normal"/>
        <w:widowControl/>
        <w:rPr/>
      </w:pPr>
      <w:r>
        <w:rPr>
          <w:b w:val="false"/>
          <w:i w:val="false"/>
        </w:rPr>
        <w:t>65-B-1. Project-Specific Reciprocity.</w:t>
      </w:r>
    </w:p>
    <w:p>
      <w:pPr>
        <w:pStyle w:val="Normal"/>
        <w:widowControl/>
        <w:rPr/>
      </w:pPr>
      <w:r>
        <w:rPr>
          <w:b w:val="false"/>
          <w:i w:val="false"/>
        </w:rPr>
        <w:t>65-B-2. Affirmative Project Designation.</w:t>
      </w:r>
    </w:p>
    <w:p>
      <w:pPr>
        <w:pStyle w:val="Normal"/>
        <w:widowControl/>
        <w:rPr/>
      </w:pPr>
      <w:r>
        <w:rPr>
          <w:b w:val="false"/>
          <w:i w:val="false"/>
        </w:rPr>
        <w:t>65-B-3. Procurement Opportunity Certificate.</w:t>
      </w:r>
    </w:p>
    <w:p>
      <w:pPr>
        <w:pStyle w:val="Normal"/>
        <w:widowControl/>
        <w:rPr/>
      </w:pPr>
      <w:r>
        <w:rPr>
          <w:b w:val="false"/>
          <w:i w:val="false"/>
        </w:rPr>
        <w:t>65-B-4. Defined Opportunity Ceiling and Sunset.</w:t>
      </w:r>
    </w:p>
    <w:p>
      <w:pPr>
        <w:pStyle w:val="Normal"/>
        <w:widowControl/>
        <w:rPr/>
      </w:pPr>
      <w:r>
        <w:rPr>
          <w:b w:val="false"/>
          <w:i w:val="false"/>
        </w:rPr>
        <w:t>65-B-5. Reciprocal Portfolio Equivalence.</w:t>
      </w:r>
    </w:p>
    <w:p>
      <w:pPr>
        <w:pStyle w:val="Normal"/>
        <w:widowControl/>
        <w:rPr/>
      </w:pPr>
      <w:r>
        <w:rPr>
          <w:b w:val="false"/>
          <w:i w:val="false"/>
        </w:rPr>
        <w:t>65-B-6. Effective Procurement Access Test.</w:t>
      </w:r>
    </w:p>
    <w:p>
      <w:pPr>
        <w:pStyle w:val="Normal"/>
        <w:widowControl/>
        <w:rPr/>
      </w:pPr>
      <w:r>
        <w:rPr>
          <w:b w:val="false"/>
          <w:i w:val="false"/>
        </w:rPr>
        <w:t>65-B-7. No Guaranteed Award / Competitive Procurement Rule.</w:t>
      </w:r>
    </w:p>
    <w:p>
      <w:pPr>
        <w:pStyle w:val="Normal"/>
        <w:widowControl/>
        <w:rPr/>
      </w:pPr>
      <w:r>
        <w:rPr>
          <w:b w:val="false"/>
          <w:i w:val="false"/>
        </w:rPr>
        <w:t>65-B-8. No Blanket Buy American Waiver.</w:t>
      </w:r>
    </w:p>
    <w:p>
      <w:pPr>
        <w:pStyle w:val="Normal"/>
        <w:widowControl/>
        <w:rPr/>
      </w:pPr>
      <w:r>
        <w:rPr>
          <w:b w:val="false"/>
          <w:i w:val="false"/>
        </w:rPr>
        <w:t>65-B-9. Reciprocal North American Prequalification and Content Lane.</w:t>
      </w:r>
    </w:p>
    <w:p>
      <w:pPr>
        <w:pStyle w:val="Normal"/>
        <w:widowControl/>
        <w:rPr/>
      </w:pPr>
      <w:r>
        <w:rPr>
          <w:b w:val="false"/>
          <w:i w:val="false"/>
        </w:rPr>
        <w:t>65-B-10. Subnational and Community Participation Framework.</w:t>
      </w:r>
    </w:p>
    <w:p>
      <w:pPr>
        <w:pStyle w:val="Normal"/>
        <w:widowControl/>
        <w:rPr/>
      </w:pPr>
      <w:r>
        <w:rPr>
          <w:b w:val="false"/>
          <w:i w:val="false"/>
        </w:rPr>
        <w:t>65-B-11. Procurement Opportunity Registry.</w:t>
      </w:r>
    </w:p>
    <w:p>
      <w:pPr>
        <w:pStyle w:val="Normal"/>
        <w:widowControl/>
        <w:rPr/>
      </w:pPr>
      <w:r>
        <w:rPr>
          <w:b w:val="false"/>
          <w:i w:val="false"/>
        </w:rPr>
        <w:t>65-B-12. Chapter 64 Commercial Wins and Trophy Dashboard Integration.</w:t>
      </w:r>
    </w:p>
    <w:p>
      <w:pPr>
        <w:pStyle w:val="Normal"/>
        <w:widowControl/>
        <w:rPr/>
      </w:pPr>
      <w:r>
        <w:rPr>
          <w:b/>
          <w:i w:val="false"/>
          <w:sz w:val="28"/>
        </w:rPr>
        <w:t>ANNEX 65-C — PROCUREMENT OPPORTUNITY CERTIFICATE MINIMUM FIELDS</w:t>
      </w:r>
    </w:p>
    <w:p>
      <w:pPr>
        <w:pStyle w:val="Normal"/>
        <w:widowControl/>
        <w:rPr/>
      </w:pPr>
      <w:r>
        <w:rPr>
          <w:b w:val="false"/>
          <w:i w:val="false"/>
        </w:rPr>
        <w:t>Certificate and Ledger ID</w:t>
      </w:r>
    </w:p>
    <w:p>
      <w:pPr>
        <w:pStyle w:val="Normal"/>
        <w:widowControl/>
        <w:rPr/>
      </w:pPr>
      <w:r>
        <w:rPr>
          <w:b w:val="false"/>
          <w:i w:val="false"/>
        </w:rPr>
        <w:t>Project or program name</w:t>
      </w:r>
    </w:p>
    <w:p>
      <w:pPr>
        <w:pStyle w:val="Normal"/>
        <w:widowControl/>
        <w:rPr/>
      </w:pPr>
      <w:r>
        <w:rPr>
          <w:b w:val="false"/>
          <w:i w:val="false"/>
        </w:rPr>
        <w:t>Competent jurisdiction and procurement authority</w:t>
      </w:r>
    </w:p>
    <w:p>
      <w:pPr>
        <w:pStyle w:val="Normal"/>
        <w:widowControl/>
        <w:rPr/>
      </w:pPr>
      <w:r>
        <w:rPr>
          <w:b w:val="false"/>
          <w:i w:val="false"/>
        </w:rPr>
        <w:t>Project status and procurement status</w:t>
      </w:r>
    </w:p>
    <w:p>
      <w:pPr>
        <w:pStyle w:val="Normal"/>
        <w:widowControl/>
        <w:rPr/>
      </w:pPr>
      <w:r>
        <w:rPr>
          <w:b w:val="false"/>
          <w:i w:val="false"/>
        </w:rPr>
        <w:t>Covered opportunity and exclusions</w:t>
      </w:r>
    </w:p>
    <w:p>
      <w:pPr>
        <w:pStyle w:val="Normal"/>
        <w:widowControl/>
        <w:rPr/>
      </w:pPr>
      <w:r>
        <w:rPr>
          <w:b w:val="false"/>
          <w:i w:val="false"/>
        </w:rPr>
        <w:t>Total project value, if relevant and verified</w:t>
      </w:r>
    </w:p>
    <w:p>
      <w:pPr>
        <w:pStyle w:val="Normal"/>
        <w:widowControl/>
        <w:rPr/>
      </w:pPr>
      <w:r>
        <w:rPr>
          <w:b w:val="false"/>
          <w:i w:val="false"/>
        </w:rPr>
        <w:t>Remaining potentially eligible procurement</w:t>
      </w:r>
    </w:p>
    <w:p>
      <w:pPr>
        <w:pStyle w:val="Normal"/>
        <w:widowControl/>
        <w:rPr/>
      </w:pPr>
      <w:r>
        <w:rPr>
          <w:b w:val="false"/>
          <w:i w:val="false"/>
        </w:rPr>
        <w:t>Designated reciprocal opportunity value or ceiling</w:t>
      </w:r>
    </w:p>
    <w:p>
      <w:pPr>
        <w:pStyle w:val="Normal"/>
        <w:widowControl/>
        <w:rPr/>
      </w:pPr>
      <w:r>
        <w:rPr>
          <w:b w:val="false"/>
          <w:i w:val="false"/>
        </w:rPr>
        <w:t>Reciprocal portfolio and participating Parties</w:t>
      </w:r>
    </w:p>
    <w:p>
      <w:pPr>
        <w:pStyle w:val="Normal"/>
        <w:widowControl/>
        <w:rPr/>
      </w:pPr>
      <w:r>
        <w:rPr>
          <w:b w:val="false"/>
          <w:i w:val="false"/>
        </w:rPr>
        <w:t>Applicable origin, content, prequalification and qualification treatment</w:t>
      </w:r>
    </w:p>
    <w:p>
      <w:pPr>
        <w:pStyle w:val="Normal"/>
        <w:widowControl/>
        <w:rPr/>
      </w:pPr>
      <w:r>
        <w:rPr>
          <w:b w:val="false"/>
          <w:i w:val="false"/>
        </w:rPr>
        <w:t>Rights, environmental, labour, safety, privacy, security and regulatory conditions</w:t>
      </w:r>
    </w:p>
    <w:p>
      <w:pPr>
        <w:pStyle w:val="Normal"/>
        <w:widowControl/>
        <w:rPr/>
      </w:pPr>
      <w:r>
        <w:rPr>
          <w:b w:val="false"/>
          <w:i w:val="false"/>
        </w:rPr>
        <w:t>Opening date, expiry or project-completion condition</w:t>
      </w:r>
    </w:p>
    <w:p>
      <w:pPr>
        <w:pStyle w:val="Normal"/>
        <w:widowControl/>
        <w:rPr/>
      </w:pPr>
      <w:r>
        <w:rPr>
          <w:b w:val="false"/>
          <w:i w:val="false"/>
        </w:rPr>
        <w:t>Verification grade, source and verification date</w:t>
      </w:r>
    </w:p>
    <w:p>
      <w:pPr>
        <w:pStyle w:val="Normal"/>
        <w:widowControl/>
        <w:rPr/>
      </w:pPr>
      <w:r>
        <w:rPr>
          <w:b w:val="false"/>
          <w:i w:val="false"/>
        </w:rPr>
        <w:t>Revision, substitution and closure history</w:t>
      </w:r>
      <w:r>
        <w:br w:type="page"/>
      </w:r>
    </w:p>
    <w:p>
      <w:bookmarkStart w:id="1967" w:name="_NAESTMA_TOC_1967"/>
      <w:pPr>
        <w:pStyle w:val="Heading1"/>
        <w:keepNext/>
        <w:keepLines w:val="0"/>
        <w:pageBreakBefore/>
        <w:widowControl/>
        <w:rPr/>
      </w:pPr>
      <w:r>
        <w:rPr>
          <w:b/>
          <w:i w:val="false"/>
        </w:rPr>
        <w:t>CHAPTER 66 — NORTH AMERICAN SHIELD, FENTANYL, PRECURSOR AND BORDER SECURITY COMPACT</w:t>
      </w:r>
      <w:bookmarkEnd w:id="1967"/>
    </w:p>
    <w:p>
      <w:pPr>
        <w:pStyle w:val="Normal"/>
        <w:widowControl/>
        <w:rPr/>
      </w:pPr>
      <w:r>
        <w:rPr>
          <w:b/>
          <w:i w:val="false"/>
        </w:rPr>
        <w:t xml:space="preserve">★ </w:t>
      </w:r>
      <w:r>
        <w:rPr>
          <w:b/>
          <w:i w:val="false"/>
        </w:rPr>
        <w:t>VISIBLE U.S. SECURITY WIN: MORE DRUGS STOPPED, MORE SCANNERS OPERATING, STRONGER PRECURSOR INTERDICTION, AND FASTER ACTION AGAINST CROSS-BORDER ORGANIZED CRIME</w:t>
      </w:r>
    </w:p>
    <w:p>
      <w:pPr>
        <w:pStyle w:val="Normal"/>
        <w:widowControl/>
        <w:rPr/>
      </w:pPr>
      <w:r>
        <w:rPr>
          <w:b/>
          <w:i w:val="false"/>
        </w:rPr>
        <w:t xml:space="preserve">★ </w:t>
      </w:r>
      <w:r>
        <w:rPr>
          <w:b/>
          <w:i w:val="false"/>
        </w:rPr>
        <w:t>VISIBLE CANADIAN AND MEXICAN SECURITY WIN: STRONGER ACTION AGAINST ILLEGAL FIREARMS, ILLICIT FINANCE, STOLEN-VEHICLE EXPORTS, AND OTHER RECIPROCAL CRIMINAL FLOWS</w:t>
      </w:r>
    </w:p>
    <w:p>
      <w:pPr>
        <w:pStyle w:val="Normal"/>
        <w:widowControl/>
        <w:rPr/>
      </w:pPr>
      <w:r>
        <w:rPr>
          <w:b/>
          <w:i w:val="false"/>
        </w:rPr>
        <w:t xml:space="preserve">★ </w:t>
      </w:r>
      <w:r>
        <w:rPr>
          <w:b/>
          <w:i w:val="false"/>
        </w:rPr>
        <w:t>VISIBLE TRILATERAL WIN: MORE SECURITY, FASTER LEGITIMATE TRADE, AND NO TRANSFER OF NATIONAL BORDER COMMAND</w:t>
      </w:r>
    </w:p>
    <w:p>
      <w:bookmarkStart w:id="1968" w:name="_NAESTMA_TOC_1968"/>
      <w:pPr>
        <w:pStyle w:val="Heading2"/>
        <w:keepNext/>
        <w:widowControl/>
        <w:rPr/>
      </w:pPr>
      <w:r>
        <w:rPr>
          <w:b/>
          <w:i w:val="false"/>
        </w:rPr>
        <w:t>Article 66.1 — Purpose and Security Bargain</w:t>
      </w:r>
      <w:bookmarkEnd w:id="1968"/>
    </w:p>
    <w:p>
      <w:pPr>
        <w:pStyle w:val="Normal"/>
        <w:widowControl/>
        <w:rPr/>
      </w:pPr>
      <w:r>
        <w:rPr>
          <w:b w:val="false"/>
          <w:i w:val="false"/>
        </w:rPr>
        <w:t>1. The Parties establish the North American Shield Compact to strengthen lawful action against illicit fentanyl, synthetic drugs, precursor chemicals, illicit drug-manufacturing equipment, organized crime, illicit firearms trafficking, money laundering, and related cross-border criminal logistics while facilitating legitimate trade.</w:t>
      </w:r>
    </w:p>
    <w:p>
      <w:pPr>
        <w:pStyle w:val="Normal"/>
        <w:widowControl/>
        <w:rPr/>
      </w:pPr>
      <w:r>
        <w:rPr>
          <w:b w:val="false"/>
          <w:i w:val="false"/>
        </w:rPr>
        <w:t>2. The Compact converts generalized border-security concerns into defined, verifiable and reciprocal commitments. It does not create a supranational police, customs, immigration, intelligence or regulatory authority.</w:t>
      </w:r>
    </w:p>
    <w:p>
      <w:bookmarkStart w:id="1969" w:name="_NAESTMA_TOC_1969"/>
      <w:pPr>
        <w:pStyle w:val="Heading2"/>
        <w:keepNext/>
        <w:widowControl/>
        <w:rPr/>
      </w:pPr>
      <w:r>
        <w:rPr>
          <w:b/>
          <w:i w:val="false"/>
        </w:rPr>
        <w:t>Article 66.2 — Governing Principle — Cooperate Continentally, Enforce Nationally</w:t>
      </w:r>
      <w:bookmarkEnd w:id="1969"/>
    </w:p>
    <w:p>
      <w:pPr>
        <w:pStyle w:val="Normal"/>
        <w:widowControl/>
        <w:rPr/>
      </w:pPr>
      <w:r>
        <w:rPr>
          <w:b w:val="false"/>
          <w:i w:val="false"/>
        </w:rPr>
        <w:t>Each Party retains exclusive command and operational control over its officers, facilities, databases, targeting decisions, investigative decisions and enforcement actions. Cooperation may be deep, rapid and technically interoperable; coercive governmental authority remains national unless a Party's domestic law and an applicable agreement expressly provide otherwise.</w:t>
      </w:r>
    </w:p>
    <w:p>
      <w:bookmarkStart w:id="1970" w:name="_NAESTMA_TOC_1970"/>
      <w:pPr>
        <w:pStyle w:val="Heading2"/>
        <w:keepNext/>
        <w:widowControl/>
        <w:rPr/>
      </w:pPr>
      <w:r>
        <w:rPr>
          <w:b/>
          <w:i w:val="false"/>
        </w:rPr>
        <w:t>Article 66.3 — No Foreign Enforcement Power</w:t>
      </w:r>
      <w:bookmarkEnd w:id="1970"/>
    </w:p>
    <w:p>
      <w:pPr>
        <w:pStyle w:val="Normal"/>
        <w:widowControl/>
        <w:rPr/>
      </w:pPr>
      <w:r>
        <w:rPr>
          <w:b w:val="false"/>
          <w:i w:val="false"/>
        </w:rPr>
        <w:t>Nothing in this Chapter authorizes an officer, agency or government of one Party to exercise police, customs, immigration, intelligence, search, seizure, detention, arrest, investigative or regulatory authority within the territory of another Party except where expressly authorized under that Party's domestic law and an applicable agreement.</w:t>
      </w:r>
    </w:p>
    <w:p>
      <w:bookmarkStart w:id="1971" w:name="_NAESTMA_TOC_1971"/>
      <w:pPr>
        <w:pStyle w:val="Heading2"/>
        <w:keepNext/>
        <w:widowControl/>
        <w:rPr/>
      </w:pPr>
      <w:r>
        <w:rPr>
          <w:b/>
          <w:i w:val="false"/>
        </w:rPr>
        <w:t>Article 66.4 — Shield Reciprocity Doctrine</w:t>
      </w:r>
      <w:bookmarkEnd w:id="1971"/>
    </w:p>
    <w:p>
      <w:pPr>
        <w:pStyle w:val="Normal"/>
        <w:widowControl/>
        <w:rPr/>
      </w:pPr>
      <w:r>
        <w:rPr>
          <w:b w:val="false"/>
          <w:i w:val="false"/>
        </w:rPr>
        <w:t>A Party requesting enhanced cooperation against a serious illicit flow affecting its territory shall provide meaningful reciprocal cooperation against serious illicit flows affecting the other Parties where those flows originate from, transit through, are financed through, or materially exploit its territory, institutions or commercial channels.</w:t>
      </w:r>
    </w:p>
    <w:p>
      <w:bookmarkStart w:id="1972" w:name="_NAESTMA_TOC_1972"/>
      <w:pPr>
        <w:pStyle w:val="Heading2"/>
        <w:keepNext/>
        <w:widowControl/>
        <w:rPr/>
      </w:pPr>
      <w:r>
        <w:rPr>
          <w:b/>
          <w:i w:val="false"/>
        </w:rPr>
        <w:t>Article 66.5 — Covered Illicit Flows</w:t>
      </w:r>
      <w:bookmarkEnd w:id="1972"/>
    </w:p>
    <w:p>
      <w:pPr>
        <w:pStyle w:val="Normal"/>
        <w:widowControl/>
        <w:rPr/>
      </w:pPr>
      <w:r>
        <w:rPr>
          <w:b w:val="false"/>
          <w:i w:val="false"/>
        </w:rPr>
        <w:t>Covered flows include illicit synthetic drugs and precursors, illicit drug-manufacturing equipment, illegal firearms and ammunition trafficking, criminal proceeds and money laundering, stolen vehicles and criminal logistics, and other serious organized-crime flows designated by consensus. Domestic lawful possession, migration, protest, journalism, legal representation and ordinary commerce are not converted into covered illicit flows by this Chapter.</w:t>
      </w:r>
    </w:p>
    <w:p>
      <w:bookmarkStart w:id="1973" w:name="_NAESTMA_TOC_1973"/>
      <w:pPr>
        <w:pStyle w:val="Heading2"/>
        <w:keepNext/>
        <w:widowControl/>
        <w:rPr/>
      </w:pPr>
      <w:r>
        <w:rPr>
          <w:b/>
          <w:i w:val="false"/>
        </w:rPr>
        <w:t>Article 66.6 — Secure-and-Accelerate Principle</w:t>
      </w:r>
      <w:bookmarkEnd w:id="1973"/>
    </w:p>
    <w:p>
      <w:pPr>
        <w:pStyle w:val="Normal"/>
        <w:widowControl/>
        <w:rPr/>
      </w:pPr>
      <w:r>
        <w:rPr>
          <w:b w:val="false"/>
          <w:i w:val="false"/>
        </w:rPr>
        <w:t>Security measures shall concentrate resources on higher-risk traffic and, where practicable, reduce unnecessary redundant processing of legitimate low-risk trade. The Parties shall measure both security effectiveness and legitimate-trade fluidity.</w:t>
      </w:r>
    </w:p>
    <w:p>
      <w:bookmarkStart w:id="1974" w:name="_NAESTMA_TOC_1974"/>
      <w:pPr>
        <w:pStyle w:val="Heading2"/>
        <w:keepNext/>
        <w:widowControl/>
        <w:rPr/>
      </w:pPr>
      <w:r>
        <w:rPr>
          <w:b/>
          <w:i w:val="false"/>
        </w:rPr>
        <w:t>Article 66.7 — Detection and Non-Intrusive Inspection Capability</w:t>
      </w:r>
      <w:bookmarkEnd w:id="1974"/>
    </w:p>
    <w:p>
      <w:pPr>
        <w:pStyle w:val="Normal"/>
        <w:widowControl/>
        <w:rPr/>
      </w:pPr>
      <w:r>
        <w:rPr>
          <w:b w:val="false"/>
          <w:i w:val="false"/>
        </w:rPr>
        <w:t>The Parties shall maintain risk-appropriate non-intrusive inspection, trace-detection, chemical-identification and supporting forensic capability at designated land, rail, marine, air, postal and express-consignment environments. Quantities, sites and deployment dates belong in implementation schedules and may be updated without weakening agreed capability.</w:t>
      </w:r>
    </w:p>
    <w:p>
      <w:bookmarkStart w:id="1975" w:name="_NAESTMA_TOC_1975"/>
      <w:pPr>
        <w:pStyle w:val="Heading2"/>
        <w:keepNext/>
        <w:widowControl/>
        <w:rPr/>
      </w:pPr>
      <w:r>
        <w:rPr>
          <w:b/>
          <w:i w:val="false"/>
        </w:rPr>
        <w:t>Article 66.8 — Operational Availability and Maintenance</w:t>
      </w:r>
      <w:bookmarkEnd w:id="1975"/>
    </w:p>
    <w:p>
      <w:pPr>
        <w:pStyle w:val="Normal"/>
        <w:widowControl/>
        <w:rPr/>
      </w:pPr>
      <w:r>
        <w:rPr>
          <w:b w:val="false"/>
          <w:i w:val="false"/>
        </w:rPr>
        <w:t>A deployed security asset does not count as implemented merely because it was purchased. Implementation reporting shall distinguish installed, operational, available, used, maintained and out-of-service capability and shall include appropriate uptime or availability measures.</w:t>
      </w:r>
    </w:p>
    <w:p>
      <w:bookmarkStart w:id="1976" w:name="_NAESTMA_TOC_1976"/>
      <w:pPr>
        <w:pStyle w:val="Heading2"/>
        <w:keepNext/>
        <w:widowControl/>
        <w:rPr/>
      </w:pPr>
      <w:r>
        <w:rPr>
          <w:b/>
          <w:i w:val="false"/>
        </w:rPr>
        <w:t>Article 66.9 — Cargo Targeting and Risk Intelligence</w:t>
      </w:r>
      <w:bookmarkEnd w:id="1976"/>
    </w:p>
    <w:p>
      <w:pPr>
        <w:pStyle w:val="Normal"/>
        <w:widowControl/>
        <w:rPr/>
      </w:pPr>
      <w:r>
        <w:rPr>
          <w:b w:val="false"/>
          <w:i w:val="false"/>
        </w:rPr>
        <w:t>The Parties shall strengthen advance targeting, structured risk alerts, high-risk shipment identification, transshipment analysis, concealment-method intelligence and trusted-trade coordination without requiring merger of national targeting centers or indiscriminate replication of underlying databases.</w:t>
      </w:r>
    </w:p>
    <w:p>
      <w:bookmarkStart w:id="1977" w:name="_NAESTMA_TOC_1977"/>
      <w:pPr>
        <w:pStyle w:val="Heading2"/>
        <w:keepNext/>
        <w:widowControl/>
        <w:rPr/>
      </w:pPr>
      <w:r>
        <w:rPr>
          <w:b/>
          <w:i w:val="false"/>
        </w:rPr>
        <w:t>Article 66.10 — Algorithmic Targeting Integrity</w:t>
      </w:r>
      <w:bookmarkEnd w:id="1977"/>
    </w:p>
    <w:p>
      <w:pPr>
        <w:pStyle w:val="Normal"/>
        <w:widowControl/>
        <w:rPr/>
      </w:pPr>
      <w:r>
        <w:rPr>
          <w:b w:val="false"/>
          <w:i w:val="false"/>
        </w:rPr>
        <w:t>Where automated or machine-assisted targeting is used, competent authorities shall maintain human accountability, test for material false-positive or discriminatory effects, document relevant performance, and provide independent or appropriately separated review consistent with domestic law. Model or performance exchange is preferred to unnecessary raw-personal-data pooling.</w:t>
      </w:r>
    </w:p>
    <w:p>
      <w:bookmarkStart w:id="1978" w:name="_NAESTMA_TOC_1978"/>
      <w:pPr>
        <w:pStyle w:val="Heading2"/>
        <w:keepNext/>
        <w:widowControl/>
        <w:rPr/>
      </w:pPr>
      <w:r>
        <w:rPr>
          <w:b/>
          <w:i w:val="false"/>
        </w:rPr>
        <w:t>Article 66.11 — Precursor Risk and Rapid Response</w:t>
      </w:r>
      <w:bookmarkEnd w:id="1978"/>
    </w:p>
    <w:p>
      <w:pPr>
        <w:pStyle w:val="Normal"/>
        <w:widowControl/>
        <w:rPr/>
      </w:pPr>
      <w:r>
        <w:rPr>
          <w:b w:val="false"/>
          <w:i w:val="false"/>
        </w:rPr>
        <w:t>The Parties shall maintain a shared analytical process for identifying emerging precursor chemicals and illicit manufacturing inputs. Scientific risk identification may be common; legal scheduling, licensing, prohibition, seizure and penalty decisions remain subject to each Party's domestic law.</w:t>
      </w:r>
    </w:p>
    <w:p>
      <w:bookmarkStart w:id="1979" w:name="_NAESTMA_TOC_1979"/>
      <w:pPr>
        <w:pStyle w:val="Heading2"/>
        <w:keepNext/>
        <w:widowControl/>
        <w:rPr/>
      </w:pPr>
      <w:r>
        <w:rPr>
          <w:b/>
          <w:i w:val="false"/>
        </w:rPr>
        <w:t>Article 66.12 — Suspicious Orders, End Users and Manufacturing Equipment</w:t>
      </w:r>
      <w:bookmarkEnd w:id="1979"/>
    </w:p>
    <w:p>
      <w:pPr>
        <w:pStyle w:val="Normal"/>
        <w:widowControl/>
        <w:rPr/>
      </w:pPr>
      <w:r>
        <w:rPr>
          <w:b w:val="false"/>
          <w:i w:val="false"/>
        </w:rPr>
        <w:t>Each Party shall maintain proportionate measures addressing suspicious precursor transactions, diversion risks, end-user verification where appropriate, and illicit diversion of pill presses, dies and other designated manufacturing equipment, with safeguards for legitimate industrial, medical, scientific and educational uses.</w:t>
      </w:r>
    </w:p>
    <w:p>
      <w:bookmarkStart w:id="1980" w:name="_NAESTMA_TOC_1980"/>
      <w:pPr>
        <w:pStyle w:val="Heading2"/>
        <w:keepNext/>
        <w:widowControl/>
        <w:rPr/>
      </w:pPr>
      <w:r>
        <w:rPr>
          <w:b/>
          <w:i w:val="false"/>
        </w:rPr>
        <w:t>Article 66.13 — Drug Profiling and Forensic Network</w:t>
      </w:r>
      <w:bookmarkEnd w:id="1980"/>
    </w:p>
    <w:p>
      <w:pPr>
        <w:pStyle w:val="Normal"/>
        <w:widowControl/>
        <w:rPr/>
      </w:pPr>
      <w:r>
        <w:rPr>
          <w:b w:val="false"/>
          <w:i w:val="false"/>
        </w:rPr>
        <w:t>The Parties shall strengthen rapid chemical analysis, drug profiling, adulterant identification, forensic proficiency and exchange of non-personal chemical signatures. Personal or case-specific information accompanying a sample remains governed by the information-sharing rules of this Chapter.</w:t>
      </w:r>
    </w:p>
    <w:p>
      <w:bookmarkStart w:id="1981" w:name="_NAESTMA_TOC_1981"/>
      <w:pPr>
        <w:pStyle w:val="Heading2"/>
        <w:keepNext/>
        <w:widowControl/>
        <w:rPr/>
      </w:pPr>
      <w:r>
        <w:rPr>
          <w:b/>
          <w:i w:val="false"/>
        </w:rPr>
        <w:t>Article 66.14 — Ports of Entry and Coordinated Inspection</w:t>
      </w:r>
      <w:bookmarkEnd w:id="1981"/>
    </w:p>
    <w:p>
      <w:pPr>
        <w:pStyle w:val="Normal"/>
        <w:widowControl/>
        <w:rPr/>
      </w:pPr>
      <w:r>
        <w:rPr>
          <w:b w:val="false"/>
          <w:i w:val="false"/>
        </w:rPr>
        <w:t>Competent authorities may establish co-location, liaison, coordinated targeting and inspection-sequencing arrangements where lawful. Successful prior inspection or trusted-trade treatment may reduce unnecessary duplicate processing without creating automatic recognition of another Party's enforcement decision.</w:t>
      </w:r>
    </w:p>
    <w:p>
      <w:bookmarkStart w:id="1982" w:name="_NAESTMA_TOC_1982"/>
      <w:pPr>
        <w:pStyle w:val="Heading2"/>
        <w:keepNext/>
        <w:widowControl/>
        <w:rPr/>
      </w:pPr>
      <w:r>
        <w:rPr>
          <w:b/>
          <w:i w:val="false"/>
        </w:rPr>
        <w:t>Article 66.15 — Rail, Maritime and Aviation Security</w:t>
      </w:r>
      <w:bookmarkEnd w:id="1982"/>
    </w:p>
    <w:p>
      <w:pPr>
        <w:pStyle w:val="Normal"/>
        <w:widowControl/>
        <w:rPr/>
      </w:pPr>
      <w:r>
        <w:rPr>
          <w:b w:val="false"/>
          <w:i w:val="false"/>
        </w:rPr>
        <w:t>The Parties shall cooperate on rail-seal integrity, container and reefer tampering, maritime domain awareness, high-risk vessel and air-cargo targeting, general-aviation anomalies and multimodal custody events. The governing operational rule is: observe cooperatively, alert rapidly, enforce nationally.</w:t>
      </w:r>
    </w:p>
    <w:p>
      <w:bookmarkStart w:id="1983" w:name="_NAESTMA_TOC_1983"/>
      <w:pPr>
        <w:pStyle w:val="Heading2"/>
        <w:keepNext/>
        <w:widowControl/>
        <w:rPr/>
      </w:pPr>
      <w:r>
        <w:rPr>
          <w:b/>
          <w:i w:val="false"/>
        </w:rPr>
        <w:t>Article 66.16 — Postal, Courier and Small-Parcel Security</w:t>
      </w:r>
      <w:bookmarkEnd w:id="1983"/>
    </w:p>
    <w:p>
      <w:pPr>
        <w:pStyle w:val="Normal"/>
        <w:widowControl/>
        <w:rPr/>
      </w:pPr>
      <w:r>
        <w:rPr>
          <w:b w:val="false"/>
          <w:i w:val="false"/>
        </w:rPr>
        <w:t>The Parties shall strengthen advance electronic information, small-parcel analytics, trace detection, reshipper-network identification, controlled-delivery cooperation and insider-threat controls. Shipment-risk analysis shall not establish generalized profiling of lawful consumer purchasing behavior.</w:t>
      </w:r>
    </w:p>
    <w:p>
      <w:bookmarkStart w:id="1984" w:name="_NAESTMA_TOC_1984"/>
      <w:pPr>
        <w:pStyle w:val="Heading2"/>
        <w:keepNext/>
        <w:widowControl/>
        <w:rPr/>
      </w:pPr>
      <w:r>
        <w:rPr>
          <w:b/>
          <w:i w:val="false"/>
        </w:rPr>
        <w:t>Article 66.17 — Organized-Crime Cooperation</w:t>
      </w:r>
      <w:bookmarkEnd w:id="1984"/>
    </w:p>
    <w:p>
      <w:pPr>
        <w:pStyle w:val="Normal"/>
        <w:widowControl/>
        <w:rPr/>
      </w:pPr>
      <w:r>
        <w:rPr>
          <w:b w:val="false"/>
          <w:i w:val="false"/>
        </w:rPr>
        <w:t>The Parties shall use nationally commanded, case-specific cooperation including lead-country designation, liaison, operational deconfliction, lawful undercover coordination, mutual legal assistance, extradition cooperation, witness protection and simultaneous national enforcement where appropriate. No standing North American strike force possesses independent jurisdiction.</w:t>
      </w:r>
    </w:p>
    <w:p>
      <w:bookmarkStart w:id="1985" w:name="_NAESTMA_TOC_1985"/>
      <w:pPr>
        <w:pStyle w:val="Heading2"/>
        <w:keepNext/>
        <w:widowControl/>
        <w:rPr/>
      </w:pPr>
      <w:r>
        <w:rPr>
          <w:b/>
          <w:i w:val="false"/>
        </w:rPr>
        <w:t>Article 66.18 — Illegal Firearms Trafficking</w:t>
      </w:r>
      <w:bookmarkEnd w:id="1985"/>
    </w:p>
    <w:p>
      <w:pPr>
        <w:pStyle w:val="Normal"/>
        <w:widowControl/>
        <w:rPr/>
      </w:pPr>
      <w:r>
        <w:rPr>
          <w:b w:val="false"/>
          <w:i w:val="false"/>
        </w:rPr>
        <w:t>The Parties shall strengthen tracing, ballistic and technical linkage, trafficking-network investigations, unlawful export and diversion interdiction, straw-purchase investigations where applicable, prosecution coordination and information exchange concerning illegal cross-border firearms flows. Nothing in this Article harmonizes domestic lawful possession rules.</w:t>
      </w:r>
    </w:p>
    <w:p>
      <w:bookmarkStart w:id="1986" w:name="_NAESTMA_TOC_1986"/>
      <w:pPr>
        <w:pStyle w:val="Heading2"/>
        <w:keepNext/>
        <w:widowControl/>
        <w:rPr/>
      </w:pPr>
      <w:r>
        <w:rPr>
          <w:b/>
          <w:i w:val="false"/>
        </w:rPr>
        <w:t>Article 66.19 — Illicit Finance and Asset Disruption</w:t>
      </w:r>
      <w:bookmarkEnd w:id="1986"/>
    </w:p>
    <w:p>
      <w:pPr>
        <w:pStyle w:val="Normal"/>
        <w:widowControl/>
        <w:rPr/>
      </w:pPr>
      <w:r>
        <w:rPr>
          <w:b w:val="false"/>
          <w:i w:val="false"/>
        </w:rPr>
        <w:t>Competent financial-intelligence, law-enforcement and prosecutorial authorities shall cooperate against trade-based money laundering, criminal beneficial ownership, virtual-asset laundering, payment-processor abuse, money-service abuse and recoverable criminal assets through lawful national channels. This Chapter does not establish a generalized real-time continental transaction feed.</w:t>
      </w:r>
    </w:p>
    <w:p>
      <w:bookmarkStart w:id="1987" w:name="_NAESTMA_TOC_1987"/>
      <w:pPr>
        <w:pStyle w:val="Heading2"/>
        <w:keepNext/>
        <w:widowControl/>
        <w:rPr/>
      </w:pPr>
      <w:r>
        <w:rPr>
          <w:b/>
          <w:i w:val="false"/>
        </w:rPr>
        <w:t>Article 66.20 — No Enforcement Bounty</w:t>
      </w:r>
      <w:bookmarkEnd w:id="1987"/>
    </w:p>
    <w:p>
      <w:pPr>
        <w:pStyle w:val="Normal"/>
        <w:widowControl/>
        <w:rPr/>
      </w:pPr>
      <w:r>
        <w:rPr>
          <w:b w:val="false"/>
          <w:i w:val="false"/>
        </w:rPr>
        <w:t>Asset forfeiture and seizure cooperation shall be structured to avoid direct institutional incentives that reward quantity over evidentiary quality, due process or lawful disposition. Asset sharing remains subject to domestic law and applicable agreements.</w:t>
      </w:r>
    </w:p>
    <w:p>
      <w:bookmarkStart w:id="1988" w:name="_NAESTMA_TOC_1988"/>
      <w:pPr>
        <w:pStyle w:val="Heading2"/>
        <w:keepNext/>
        <w:widowControl/>
        <w:rPr/>
      </w:pPr>
      <w:r>
        <w:rPr>
          <w:b/>
          <w:i w:val="false"/>
        </w:rPr>
        <w:t>Article 66.21 — Cyber and Darknet Trafficking</w:t>
      </w:r>
      <w:bookmarkEnd w:id="1988"/>
    </w:p>
    <w:p>
      <w:pPr>
        <w:pStyle w:val="Normal"/>
        <w:widowControl/>
        <w:rPr/>
      </w:pPr>
      <w:r>
        <w:rPr>
          <w:b w:val="false"/>
          <w:i w:val="false"/>
        </w:rPr>
        <w:t>The Parties shall cooperate against darknet synthetic-drug markets, illicit online precursor and equipment sales, criminal virtual-asset infrastructure, malicious hosting and domains, and cross-border digital-evidence loss through lawful investigative channels and rapid points of contact.</w:t>
      </w:r>
    </w:p>
    <w:p>
      <w:bookmarkStart w:id="1989" w:name="_NAESTMA_TOC_1989"/>
      <w:pPr>
        <w:pStyle w:val="Heading2"/>
        <w:keepNext/>
        <w:widowControl/>
        <w:rPr/>
      </w:pPr>
      <w:r>
        <w:rPr>
          <w:b/>
          <w:i w:val="false"/>
        </w:rPr>
        <w:t>Article 66.22 — No Encryption Backdoor Mandate</w:t>
      </w:r>
      <w:bookmarkEnd w:id="1989"/>
    </w:p>
    <w:p>
      <w:pPr>
        <w:pStyle w:val="Normal"/>
        <w:widowControl/>
        <w:rPr/>
      </w:pPr>
      <w:r>
        <w:rPr>
          <w:b w:val="false"/>
          <w:i w:val="false"/>
        </w:rPr>
        <w:t>Nothing in this Chapter requires a Party or private service to create, preserve or mandate a systemic encryption backdoor, universal decryption capability or generalized weakness in secure communications.</w:t>
      </w:r>
    </w:p>
    <w:p>
      <w:bookmarkStart w:id="1990" w:name="_NAESTMA_TOC_1990"/>
      <w:pPr>
        <w:pStyle w:val="Heading2"/>
        <w:keepNext/>
        <w:widowControl/>
        <w:rPr/>
      </w:pPr>
      <w:r>
        <w:rPr>
          <w:b/>
          <w:i w:val="false"/>
        </w:rPr>
        <w:t>Article 66.23 — Targeted Surveillance Authorization Test</w:t>
      </w:r>
      <w:bookmarkEnd w:id="1990"/>
    </w:p>
    <w:p>
      <w:pPr>
        <w:pStyle w:val="Normal"/>
        <w:widowControl/>
        <w:rPr/>
      </w:pPr>
      <w:r>
        <w:rPr>
          <w:b w:val="false"/>
          <w:i w:val="false"/>
        </w:rPr>
        <w:t>Enhanced surveillance cooperation shall be threat-based and proportionate. Any designated measure shall define its purpose, operational place or scope, period, categories of data or persons affected, authorized access, retention, audit and review. This Chapter does not create indiscriminate monitoring of lawful movement.</w:t>
      </w:r>
    </w:p>
    <w:p>
      <w:bookmarkStart w:id="1991" w:name="_NAESTMA_TOC_1991"/>
      <w:pPr>
        <w:pStyle w:val="Heading2"/>
        <w:keepNext/>
        <w:widowControl/>
        <w:rPr/>
      </w:pPr>
      <w:r>
        <w:rPr>
          <w:b/>
          <w:i w:val="false"/>
        </w:rPr>
        <w:t>Article 66.24 — No Generalized Biometric or Licence-Plate Interoperability</w:t>
      </w:r>
      <w:bookmarkEnd w:id="1991"/>
    </w:p>
    <w:p>
      <w:pPr>
        <w:pStyle w:val="Normal"/>
        <w:widowControl/>
        <w:rPr/>
      </w:pPr>
      <w:r>
        <w:rPr>
          <w:b w:val="false"/>
          <w:i w:val="false"/>
        </w:rPr>
        <w:t>Nothing in this Chapter establishes a generalized trilateral biometric database, licence-plate database, traveller-surveillance system or automatic cross-border interoperability of such systems. Case-specific lawful identity information may be exchanged where independently authorized and necessary.</w:t>
      </w:r>
    </w:p>
    <w:p>
      <w:bookmarkStart w:id="1992" w:name="_NAESTMA_TOC_1992"/>
      <w:pPr>
        <w:pStyle w:val="Heading2"/>
        <w:keepNext/>
        <w:widowControl/>
        <w:rPr/>
      </w:pPr>
      <w:r>
        <w:rPr>
          <w:b/>
          <w:i w:val="false"/>
        </w:rPr>
        <w:t>Article 66.25 — Information-Sharing Purpose Limitation</w:t>
      </w:r>
      <w:bookmarkEnd w:id="1992"/>
    </w:p>
    <w:p>
      <w:pPr>
        <w:pStyle w:val="Normal"/>
        <w:widowControl/>
        <w:rPr/>
      </w:pPr>
      <w:r>
        <w:rPr>
          <w:b w:val="false"/>
          <w:i w:val="false"/>
        </w:rPr>
        <w:t>Information exchanged under this Chapter may be collected, used, retained and disclosed only for specified lawful purposes consistent with the legal authority governing the exchange. Secondary use requires an independent lawful basis and, where required, originator approval.</w:t>
      </w:r>
    </w:p>
    <w:p>
      <w:bookmarkStart w:id="1993" w:name="_NAESTMA_TOC_1993"/>
      <w:pPr>
        <w:pStyle w:val="Heading2"/>
        <w:keepNext/>
        <w:widowControl/>
        <w:rPr/>
      </w:pPr>
      <w:r>
        <w:rPr>
          <w:b/>
          <w:i w:val="false"/>
        </w:rPr>
        <w:t>Article 66.26 — Data Minimization and Case-Specific Default</w:t>
      </w:r>
      <w:bookmarkEnd w:id="1993"/>
    </w:p>
    <w:p>
      <w:pPr>
        <w:pStyle w:val="Normal"/>
        <w:widowControl/>
        <w:rPr/>
      </w:pPr>
      <w:r>
        <w:rPr>
          <w:b w:val="false"/>
          <w:i w:val="false"/>
        </w:rPr>
        <w:t>The Parties shall exchange the minimum information reasonably necessary for the authorized purpose. Standing bulk transfer of personal travel, communications or financial data is not required by this Chapter; case-specific or federated query-and-alert methods are preferred where effective.</w:t>
      </w:r>
    </w:p>
    <w:p>
      <w:bookmarkStart w:id="1994" w:name="_NAESTMA_TOC_1994"/>
      <w:pPr>
        <w:pStyle w:val="Heading2"/>
        <w:keepNext/>
        <w:widowControl/>
        <w:rPr/>
      </w:pPr>
      <w:r>
        <w:rPr>
          <w:b/>
          <w:i w:val="false"/>
        </w:rPr>
        <w:t>Article 66.27 — Originator Control, Audit and Correction</w:t>
      </w:r>
      <w:bookmarkEnd w:id="1994"/>
    </w:p>
    <w:p>
      <w:pPr>
        <w:pStyle w:val="Normal"/>
        <w:widowControl/>
        <w:rPr/>
      </w:pPr>
      <w:r>
        <w:rPr>
          <w:b w:val="false"/>
          <w:i w:val="false"/>
        </w:rPr>
        <w:t>Information-sharing channels shall provide appropriate originator controls, access logging, auditability, retention and deletion rules, and procedures for correcting material inaccuracies and propagating corrections to recipients.</w:t>
      </w:r>
    </w:p>
    <w:p>
      <w:bookmarkStart w:id="1995" w:name="_NAESTMA_TOC_1995"/>
      <w:pPr>
        <w:pStyle w:val="Heading2"/>
        <w:keepNext/>
        <w:widowControl/>
        <w:rPr/>
      </w:pPr>
      <w:r>
        <w:rPr>
          <w:b/>
          <w:i w:val="false"/>
        </w:rPr>
        <w:t>Article 66.28 — Redress and Sensitive Categories</w:t>
      </w:r>
      <w:bookmarkEnd w:id="1995"/>
    </w:p>
    <w:p>
      <w:pPr>
        <w:pStyle w:val="Normal"/>
        <w:widowControl/>
        <w:rPr/>
      </w:pPr>
      <w:r>
        <w:rPr>
          <w:b w:val="false"/>
          <w:i w:val="false"/>
        </w:rPr>
        <w:t>Each Party shall maintain available domestic mechanisms for appropriate review or redress concerning materially adverse use of information. Protected or sensitive categories shall receive safeguards required by domestic law, and cooperation shall not be used to create generalized political, religious, journalistic, legal-representation or other protected-activity dossiers.</w:t>
      </w:r>
    </w:p>
    <w:p>
      <w:bookmarkStart w:id="1996" w:name="_NAESTMA_TOC_1996"/>
      <w:pPr>
        <w:pStyle w:val="Heading2"/>
        <w:keepNext/>
        <w:widowControl/>
        <w:rPr/>
      </w:pPr>
      <w:r>
        <w:rPr>
          <w:b/>
          <w:i w:val="false"/>
        </w:rPr>
        <w:t>Article 66.29 — No Automated Adverse Action Solely From Foreign Data</w:t>
      </w:r>
      <w:bookmarkEnd w:id="1996"/>
    </w:p>
    <w:p>
      <w:pPr>
        <w:pStyle w:val="Normal"/>
        <w:widowControl/>
        <w:rPr/>
      </w:pPr>
      <w:r>
        <w:rPr>
          <w:b w:val="false"/>
          <w:i w:val="false"/>
        </w:rPr>
        <w:t>A foreign risk indicator may trigger lawful domestic review but shall not, by itself and without competent domestic authority applying its own law and judgment, automatically determine detention, inadmissibility, seizure, forfeiture, prosecution or other materially adverse governmental action.</w:t>
      </w:r>
    </w:p>
    <w:p>
      <w:bookmarkStart w:id="1997" w:name="_NAESTMA_TOC_1997"/>
      <w:pPr>
        <w:pStyle w:val="Heading2"/>
        <w:keepNext/>
        <w:widowControl/>
        <w:rPr/>
      </w:pPr>
      <w:r>
        <w:rPr>
          <w:b/>
          <w:i w:val="false"/>
        </w:rPr>
        <w:t>Article 66.30 — Immigration-Purpose Firewall</w:t>
      </w:r>
      <w:bookmarkEnd w:id="1997"/>
    </w:p>
    <w:p>
      <w:pPr>
        <w:pStyle w:val="Normal"/>
        <w:widowControl/>
        <w:rPr/>
      </w:pPr>
      <w:r>
        <w:rPr>
          <w:b w:val="false"/>
          <w:i w:val="false"/>
        </w:rPr>
        <w:t>Information or capability created specifically under this Chapter for illicit-drug, precursor, firearms, organized-crime or related security purposes shall not create a generalized immigration-enforcement mandate. Any immigration use must rest on independent domestic authority and applicable information-sharing terms.</w:t>
      </w:r>
    </w:p>
    <w:p>
      <w:bookmarkStart w:id="1998" w:name="_NAESTMA_TOC_1998"/>
      <w:pPr>
        <w:pStyle w:val="Heading2"/>
        <w:keepNext/>
        <w:widowControl/>
        <w:rPr/>
      </w:pPr>
      <w:r>
        <w:rPr>
          <w:b/>
          <w:i w:val="false"/>
        </w:rPr>
        <w:t>Article 66.31 — Indigenous and Border-Community Protection</w:t>
      </w:r>
      <w:bookmarkEnd w:id="1998"/>
    </w:p>
    <w:p>
      <w:pPr>
        <w:pStyle w:val="Normal"/>
        <w:widowControl/>
        <w:rPr/>
      </w:pPr>
      <w:r>
        <w:rPr>
          <w:b w:val="false"/>
          <w:i w:val="false"/>
        </w:rPr>
        <w:t>Implementation shall respect applicable Indigenous rights, treaties, consultation obligations, cross-border community interests and lawful traditional mobility. Technology deployment and infrastructure shall be subject to applicable domestic rights, environmental and consultation requirements.</w:t>
      </w:r>
    </w:p>
    <w:p>
      <w:bookmarkStart w:id="1999" w:name="_NAESTMA_TOC_1999"/>
      <w:pPr>
        <w:pStyle w:val="Heading2"/>
        <w:keepNext/>
        <w:widowControl/>
        <w:rPr/>
      </w:pPr>
      <w:r>
        <w:rPr>
          <w:b/>
          <w:i w:val="false"/>
        </w:rPr>
        <w:t>Article 66.32 — Personnel, Training and Integrity</w:t>
      </w:r>
      <w:bookmarkEnd w:id="1999"/>
    </w:p>
    <w:p>
      <w:pPr>
        <w:pStyle w:val="Normal"/>
        <w:widowControl/>
        <w:rPr/>
      </w:pPr>
      <w:r>
        <w:rPr>
          <w:b w:val="false"/>
          <w:i w:val="false"/>
        </w:rPr>
        <w:t>The Parties shall strengthen technical training, officer safety, anti-corruption controls, rights and privacy training, chemical handling, tunnel and counter-drone capability, financial investigation and multimodal interdiction through existing national institutions and agreed exchanges. This Chapter does not require creation of a supranational academy.</w:t>
      </w:r>
    </w:p>
    <w:p>
      <w:bookmarkStart w:id="2000" w:name="_NAESTMA_TOC_2000"/>
      <w:pPr>
        <w:pStyle w:val="Heading2"/>
        <w:keepNext/>
        <w:widowControl/>
        <w:rPr/>
      </w:pPr>
      <w:r>
        <w:rPr>
          <w:b/>
          <w:i w:val="false"/>
        </w:rPr>
        <w:t>Article 66.33 — Public Health and Officer Safety</w:t>
      </w:r>
      <w:bookmarkEnd w:id="2000"/>
    </w:p>
    <w:p>
      <w:pPr>
        <w:pStyle w:val="Normal"/>
        <w:widowControl/>
        <w:rPr/>
      </w:pPr>
      <w:r>
        <w:rPr>
          <w:b w:val="false"/>
          <w:i w:val="false"/>
        </w:rPr>
        <w:t>Implementation shall support appropriate naloxone availability, personal protective equipment, exposure protocols, toxic-supply warnings and non-identifying chemical intelligence. Changes in overdose mortality may inform evaluation but shall not be attributed solely to enforcement activity absent appropriate evidence.</w:t>
      </w:r>
    </w:p>
    <w:p>
      <w:bookmarkStart w:id="2001" w:name="_NAESTMA_TOC_2001"/>
      <w:pPr>
        <w:pStyle w:val="Heading2"/>
        <w:keepNext/>
        <w:widowControl/>
        <w:rPr/>
      </w:pPr>
      <w:r>
        <w:rPr/>
        <w:t>Article 66.34 — North American Shield Coordination</w:t>
      </w:r>
      <w:bookmarkEnd w:id="2001"/>
    </w:p>
    <w:p>
      <w:pPr>
        <w:pStyle w:val="Normal"/>
        <w:widowControl/>
        <w:rPr/>
      </w:pPr>
      <w:r>
        <w:rPr/>
        <w:t>The Commission shall oversee Chapter 66 implementation and may convene a North American Shield coordination session composed of the relevant existing national security, customs, law-enforcement, public-health, and trade officials. The session may coordinate annual work plans, implementation registers, technical workstreams, reporting, and review, but it is not a separately staffed permanent committee and exercises no operational command.</w:t>
      </w:r>
    </w:p>
    <w:p>
      <w:bookmarkStart w:id="2002" w:name="_NAESTMA_TOC_2002"/>
      <w:pPr>
        <w:pStyle w:val="Heading2"/>
        <w:keepNext/>
        <w:widowControl/>
        <w:rPr/>
      </w:pPr>
      <w:r>
        <w:rPr>
          <w:b/>
          <w:i w:val="false"/>
        </w:rPr>
        <w:t>Article 66.35 — Shield Performance Dashboard</w:t>
      </w:r>
      <w:bookmarkEnd w:id="2002"/>
    </w:p>
    <w:p>
      <w:pPr>
        <w:pStyle w:val="Normal"/>
        <w:widowControl/>
        <w:rPr/>
      </w:pPr>
      <w:r>
        <w:rPr/>
        <w:t>The Secretariat, under Commission oversight and using information supplied by competent national authorities, shall maintain a public performance framework with separate panels for capability, targeting, interdiction, network disruption, legitimate-trade fluidity, and rights and integrity. No single seizure, arrest, interdiction or modeled outcome metric shall determine compliance.</w:t>
      </w:r>
    </w:p>
    <w:p>
      <w:bookmarkStart w:id="2003" w:name="_NAESTMA_TOC_2003"/>
      <w:pPr>
        <w:pStyle w:val="Heading2"/>
        <w:keepNext/>
        <w:widowControl/>
        <w:rPr/>
      </w:pPr>
      <w:r>
        <w:rPr>
          <w:b/>
          <w:i w:val="false"/>
        </w:rPr>
        <w:t>Article 66.36 — Metric Integrity</w:t>
      </w:r>
      <w:bookmarkEnd w:id="2003"/>
    </w:p>
    <w:p>
      <w:pPr>
        <w:pStyle w:val="Normal"/>
        <w:widowControl/>
        <w:rPr/>
      </w:pPr>
      <w:r>
        <w:rPr>
          <w:b w:val="false"/>
          <w:i w:val="false"/>
        </w:rPr>
        <w:t>Seizures are enforcement indicators, not standalone measures of underlying trafficking volume. Falling seizures do not automatically establish success; rising seizures do not automatically establish failure. Modeled estimates shall disclose methodology, material uncertainty and revision where practicable.</w:t>
      </w:r>
    </w:p>
    <w:p>
      <w:bookmarkStart w:id="2004" w:name="_NAESTMA_TOC_2004"/>
      <w:pPr>
        <w:pStyle w:val="Heading2"/>
        <w:keepNext/>
        <w:widowControl/>
        <w:rPr/>
      </w:pPr>
      <w:r>
        <w:rPr>
          <w:b/>
          <w:i w:val="false"/>
        </w:rPr>
        <w:t>Article 66.37 — Security Performance Assurance</w:t>
      </w:r>
      <w:bookmarkEnd w:id="2004"/>
    </w:p>
    <w:p>
      <w:pPr>
        <w:pStyle w:val="Normal"/>
        <w:widowControl/>
        <w:rPr/>
      </w:pPr>
      <w:r>
        <w:rPr>
          <w:b w:val="false"/>
          <w:i w:val="false"/>
        </w:rPr>
        <w:t>Compliance evaluation shall emphasize verified implementation and maintenance of agreed measures, including operational capability, staffing or training commitments where scheduled, precursor controls, targeting systems, investigative cooperation, response times and lawful information exchange.</w:t>
      </w:r>
    </w:p>
    <w:p>
      <w:bookmarkStart w:id="2005" w:name="_NAESTMA_TOC_2005"/>
      <w:pPr>
        <w:pStyle w:val="Heading2"/>
        <w:keepNext/>
        <w:widowControl/>
        <w:rPr/>
      </w:pPr>
      <w:r>
        <w:rPr>
          <w:b/>
          <w:i w:val="false"/>
        </w:rPr>
        <w:t>Article 66.38 — Security Performance Safe Harbor</w:t>
      </w:r>
      <w:bookmarkEnd w:id="2005"/>
    </w:p>
    <w:p>
      <w:pPr>
        <w:pStyle w:val="Normal"/>
        <w:widowControl/>
        <w:rPr/>
      </w:pPr>
      <w:r>
        <w:rPr>
          <w:b w:val="false"/>
          <w:i w:val="false"/>
        </w:rPr>
        <w:t>Where a Party substantially implements and maintains the commitments applicable to it under this Chapter, the continued existence, discovery or fluctuation of illicit trafficking, standing alone, shall not establish breach or constitute sufficient basis under this Agreement for new trade restrictions against that Party.</w:t>
      </w:r>
    </w:p>
    <w:p>
      <w:bookmarkStart w:id="2006" w:name="_NAESTMA_TOC_2006"/>
      <w:pPr>
        <w:pStyle w:val="Heading2"/>
        <w:keepNext/>
        <w:widowControl/>
        <w:rPr/>
      </w:pPr>
      <w:r>
        <w:rPr>
          <w:b/>
          <w:i w:val="false"/>
        </w:rPr>
        <w:t>Article 66.39 — Covered-Rationale Exhaustion</w:t>
      </w:r>
      <w:bookmarkEnd w:id="2006"/>
    </w:p>
    <w:p>
      <w:pPr>
        <w:pStyle w:val="Normal"/>
        <w:widowControl/>
        <w:rPr/>
      </w:pPr>
      <w:r>
        <w:rPr>
          <w:b w:val="false"/>
          <w:i w:val="false"/>
        </w:rPr>
        <w:t>A border-security or illicit-drug concern materially addressed through verified substantial implementation of this Chapter shall not be recycled indefinitely as a unilateral trade rationale without new material evidence of governmental non-performance relevant to the agreed commitments.</w:t>
      </w:r>
    </w:p>
    <w:p>
      <w:bookmarkStart w:id="2007" w:name="_NAESTMA_TOC_2007"/>
      <w:pPr>
        <w:pStyle w:val="Heading2"/>
        <w:keepNext/>
        <w:widowControl/>
        <w:rPr/>
      </w:pPr>
      <w:r>
        <w:rPr>
          <w:b/>
          <w:i w:val="false"/>
        </w:rPr>
        <w:t>Article 66.40 — Verification, Consultation and Cure</w:t>
      </w:r>
      <w:bookmarkEnd w:id="2007"/>
    </w:p>
    <w:p>
      <w:pPr>
        <w:pStyle w:val="Normal"/>
        <w:widowControl/>
        <w:rPr/>
      </w:pPr>
      <w:r>
        <w:rPr/>
        <w:t>A Party alleging material non-performance shall identify the commitment and supporting evidence, permit verification consistent with this Agreement, consult promptly, and provide a reasonable short cure period where cure is possible before seeking a responsive measure. Any trade remedy or suspension of a treaty benefit must be authorized under Chapter 31, Chapter 35, or another expressly applicable provision; this Article creates no independent sanctions authority.</w:t>
      </w:r>
    </w:p>
    <w:p>
      <w:bookmarkStart w:id="2008" w:name="_NAESTMA_TOC_2008"/>
      <w:pPr>
        <w:pStyle w:val="Heading2"/>
        <w:keepNext/>
        <w:widowControl/>
        <w:rPr/>
      </w:pPr>
      <w:r>
        <w:rPr>
          <w:b/>
          <w:i w:val="false"/>
        </w:rPr>
        <w:t>Article 66.41 — Proportional Shield-Specific Step-Back and Restoration</w:t>
      </w:r>
      <w:bookmarkEnd w:id="2008"/>
    </w:p>
    <w:p>
      <w:pPr>
        <w:pStyle w:val="Normal"/>
        <w:widowControl/>
        <w:rPr/>
      </w:pPr>
      <w:r>
        <w:rPr/>
        <w:t>Where material non-performance persists after verification and cure, any step-back otherwise authorized by this Agreement shall be proportionate and, to the maximum extent practicable, connected to the affected Shield cooperation rather than unrelated trade. The suspended benefit or cooperation shall be restored automatically when verified performance resumes, consistent with Chapter 35 and the Agreement's no-uncompensated-front-loading architecture.</w:t>
      </w:r>
    </w:p>
    <w:p>
      <w:bookmarkStart w:id="2009" w:name="_NAESTMA_TOC_2009"/>
      <w:pPr>
        <w:pStyle w:val="Heading2"/>
        <w:keepNext/>
        <w:widowControl/>
        <w:rPr/>
      </w:pPr>
      <w:r>
        <w:rPr>
          <w:b/>
          <w:i w:val="false"/>
        </w:rPr>
        <w:t>Article 66.42 — Review, Pilots and No Automatic Permanence</w:t>
      </w:r>
      <w:bookmarkEnd w:id="2009"/>
    </w:p>
    <w:p>
      <w:pPr>
        <w:pStyle w:val="Normal"/>
        <w:widowControl/>
        <w:rPr/>
      </w:pPr>
      <w:r>
        <w:rPr>
          <w:b w:val="false"/>
          <w:i w:val="false"/>
        </w:rPr>
        <w:t>The Parties shall periodically review this Chapter. Authority-sensitive pilots shall progress only through concept validation, legal-authority verification, controlled deployment, independent evaluation and eligibility for program status. Deployment alone does not create permanent authority or entitlement to continuation.</w:t>
      </w:r>
    </w:p>
    <w:p>
      <w:pPr>
        <w:pStyle w:val="Normal"/>
        <w:widowControl/>
        <w:rPr/>
      </w:pPr>
      <w:r>
        <w:rPr/>
        <w:t>ANNEX 66-A — BINDING COMMITMENTS REFERENCE REGISTER</w:t>
      </w:r>
    </w:p>
    <w:p>
      <w:pPr>
        <w:pStyle w:val="Normal"/>
        <w:widowControl/>
        <w:rPr/>
      </w:pPr>
      <w:r>
        <w:rPr>
          <w:b w:val="false"/>
          <w:i w:val="false"/>
        </w:rPr>
        <w:t>The following forty-one mechanisms are load-bearing obligations. Their allocation to this Register does not limit fuller operative language elsewhere in Chapter 66.</w:t>
      </w:r>
    </w:p>
    <w:p>
      <w:pPr>
        <w:pStyle w:val="Normal"/>
        <w:widowControl/>
        <w:rPr/>
      </w:pPr>
      <w:r>
        <w:rPr>
          <w:b w:val="false"/>
          <w:i w:val="false"/>
        </w:rPr>
        <w:t>A66-A.1. National command and exclusive operational control.</w:t>
      </w:r>
    </w:p>
    <w:p>
      <w:pPr>
        <w:pStyle w:val="Normal"/>
        <w:widowControl/>
        <w:rPr/>
      </w:pPr>
      <w:r>
        <w:rPr>
          <w:b w:val="false"/>
          <w:i w:val="false"/>
        </w:rPr>
        <w:t>A66-A.2. No foreign enforcement powers.</w:t>
      </w:r>
    </w:p>
    <w:p>
      <w:pPr>
        <w:pStyle w:val="Normal"/>
        <w:widowControl/>
        <w:rPr/>
      </w:pPr>
      <w:r>
        <w:rPr>
          <w:b w:val="false"/>
          <w:i w:val="false"/>
        </w:rPr>
        <w:t>A66-A.3. No supranational police authority.</w:t>
      </w:r>
    </w:p>
    <w:p>
      <w:pPr>
        <w:pStyle w:val="Normal"/>
        <w:widowControl/>
        <w:rPr/>
      </w:pPr>
      <w:r>
        <w:rPr>
          <w:b w:val="false"/>
          <w:i w:val="false"/>
        </w:rPr>
        <w:t>A66-A.4. Domestic legal authority prerequisite.</w:t>
      </w:r>
    </w:p>
    <w:p>
      <w:pPr>
        <w:pStyle w:val="Normal"/>
        <w:widowControl/>
        <w:rPr/>
      </w:pPr>
      <w:r>
        <w:rPr>
          <w:b w:val="false"/>
          <w:i w:val="false"/>
        </w:rPr>
        <w:t>A66-A.5. Judicial authorization where required.</w:t>
      </w:r>
    </w:p>
    <w:p>
      <w:pPr>
        <w:pStyle w:val="Normal"/>
        <w:widowControl/>
        <w:rPr/>
      </w:pPr>
      <w:r>
        <w:rPr>
          <w:b w:val="false"/>
          <w:i w:val="false"/>
        </w:rPr>
        <w:t>A66-A.6. National control of targeting and enforcement decisions.</w:t>
      </w:r>
    </w:p>
    <w:p>
      <w:pPr>
        <w:pStyle w:val="Normal"/>
        <w:widowControl/>
        <w:rPr/>
      </w:pPr>
      <w:r>
        <w:rPr>
          <w:b w:val="false"/>
          <w:i w:val="false"/>
        </w:rPr>
        <w:t>A66-A.7. Observer and liaison status limitation.</w:t>
      </w:r>
    </w:p>
    <w:p>
      <w:pPr>
        <w:pStyle w:val="Normal"/>
        <w:widowControl/>
        <w:rPr/>
      </w:pPr>
      <w:r>
        <w:rPr>
          <w:b w:val="false"/>
          <w:i w:val="false"/>
        </w:rPr>
        <w:t>A66-A.8. Purpose limitation.</w:t>
      </w:r>
    </w:p>
    <w:p>
      <w:pPr>
        <w:pStyle w:val="Normal"/>
        <w:widowControl/>
        <w:rPr/>
      </w:pPr>
      <w:r>
        <w:rPr>
          <w:b w:val="false"/>
          <w:i w:val="false"/>
        </w:rPr>
        <w:t>A66-A.9. Data minimization.</w:t>
      </w:r>
    </w:p>
    <w:p>
      <w:pPr>
        <w:pStyle w:val="Normal"/>
        <w:widowControl/>
        <w:rPr/>
      </w:pPr>
      <w:r>
        <w:rPr>
          <w:b w:val="false"/>
          <w:i w:val="false"/>
        </w:rPr>
        <w:t>A66-A.10. No standing bulk personal-data transfer.</w:t>
      </w:r>
    </w:p>
    <w:p>
      <w:pPr>
        <w:pStyle w:val="Normal"/>
        <w:widowControl/>
        <w:rPr/>
      </w:pPr>
      <w:r>
        <w:rPr>
          <w:b w:val="false"/>
          <w:i w:val="false"/>
        </w:rPr>
        <w:t>A66-A.11. Case-specific or federated sharing default.</w:t>
      </w:r>
    </w:p>
    <w:p>
      <w:pPr>
        <w:pStyle w:val="Normal"/>
        <w:widowControl/>
        <w:rPr/>
      </w:pPr>
      <w:r>
        <w:rPr>
          <w:b w:val="false"/>
          <w:i w:val="false"/>
        </w:rPr>
        <w:t>A66-A.12. Originator control.</w:t>
      </w:r>
    </w:p>
    <w:p>
      <w:pPr>
        <w:pStyle w:val="Normal"/>
        <w:widowControl/>
        <w:rPr/>
      </w:pPr>
      <w:r>
        <w:rPr>
          <w:b w:val="false"/>
          <w:i w:val="false"/>
        </w:rPr>
        <w:t>A66-A.13. Access logging and auditability.</w:t>
      </w:r>
    </w:p>
    <w:p>
      <w:pPr>
        <w:pStyle w:val="Normal"/>
        <w:widowControl/>
        <w:rPr/>
      </w:pPr>
      <w:r>
        <w:rPr>
          <w:b w:val="false"/>
          <w:i w:val="false"/>
        </w:rPr>
        <w:t>A66-A.14. Retention and deletion discipline.</w:t>
      </w:r>
    </w:p>
    <w:p>
      <w:pPr>
        <w:pStyle w:val="Normal"/>
        <w:widowControl/>
        <w:rPr/>
      </w:pPr>
      <w:r>
        <w:rPr>
          <w:b w:val="false"/>
          <w:i w:val="false"/>
        </w:rPr>
        <w:t>A66-A.15. Correction propagation.</w:t>
      </w:r>
    </w:p>
    <w:p>
      <w:pPr>
        <w:pStyle w:val="Normal"/>
        <w:widowControl/>
        <w:rPr/>
      </w:pPr>
      <w:r>
        <w:rPr>
          <w:b w:val="false"/>
          <w:i w:val="false"/>
        </w:rPr>
        <w:t>A66-A.16. Individual redress.</w:t>
      </w:r>
    </w:p>
    <w:p>
      <w:pPr>
        <w:pStyle w:val="Normal"/>
        <w:widowControl/>
        <w:rPr/>
      </w:pPr>
      <w:r>
        <w:rPr>
          <w:b w:val="false"/>
          <w:i w:val="false"/>
        </w:rPr>
        <w:t>A66-A.17. Sensitive-category safeguards.</w:t>
      </w:r>
    </w:p>
    <w:p>
      <w:pPr>
        <w:pStyle w:val="Normal"/>
        <w:widowControl/>
        <w:rPr/>
      </w:pPr>
      <w:r>
        <w:rPr>
          <w:b w:val="false"/>
          <w:i w:val="false"/>
        </w:rPr>
        <w:t>A66-A.18. Lawful protest and dissent firewall.</w:t>
      </w:r>
    </w:p>
    <w:p>
      <w:pPr>
        <w:pStyle w:val="Normal"/>
        <w:widowControl/>
        <w:rPr/>
      </w:pPr>
      <w:r>
        <w:rPr>
          <w:b w:val="false"/>
          <w:i w:val="false"/>
        </w:rPr>
        <w:t>A66-A.19. Biometric non-interoperability.</w:t>
      </w:r>
    </w:p>
    <w:p>
      <w:pPr>
        <w:pStyle w:val="Normal"/>
        <w:widowControl/>
        <w:rPr/>
      </w:pPr>
      <w:r>
        <w:rPr>
          <w:b w:val="false"/>
          <w:i w:val="false"/>
        </w:rPr>
        <w:t>A66-A.20. National or federated data architecture.</w:t>
      </w:r>
    </w:p>
    <w:p>
      <w:pPr>
        <w:pStyle w:val="Normal"/>
        <w:widowControl/>
        <w:rPr/>
      </w:pPr>
      <w:r>
        <w:rPr>
          <w:b w:val="false"/>
          <w:i w:val="false"/>
        </w:rPr>
        <w:t>A66-A.21. Anti-profiling review.</w:t>
      </w:r>
    </w:p>
    <w:p>
      <w:pPr>
        <w:pStyle w:val="Normal"/>
        <w:widowControl/>
        <w:rPr/>
      </w:pPr>
      <w:r>
        <w:rPr>
          <w:b w:val="false"/>
          <w:i w:val="false"/>
        </w:rPr>
        <w:t>A66-A.22. Indigenous border-community protection.</w:t>
      </w:r>
    </w:p>
    <w:p>
      <w:pPr>
        <w:pStyle w:val="Normal"/>
        <w:widowControl/>
        <w:rPr/>
      </w:pPr>
      <w:r>
        <w:rPr>
          <w:b w:val="false"/>
          <w:i w:val="false"/>
        </w:rPr>
        <w:t>A66-A.23. Independent serious-incident review.</w:t>
      </w:r>
    </w:p>
    <w:p>
      <w:pPr>
        <w:pStyle w:val="Normal"/>
        <w:widowControl/>
        <w:rPr/>
      </w:pPr>
      <w:r>
        <w:rPr>
          <w:b w:val="false"/>
          <w:i w:val="false"/>
        </w:rPr>
        <w:t>A66-A.24. Public transparency floor.</w:t>
      </w:r>
    </w:p>
    <w:p>
      <w:pPr>
        <w:pStyle w:val="Normal"/>
        <w:widowControl/>
        <w:rPr/>
      </w:pPr>
      <w:r>
        <w:rPr>
          <w:b w:val="false"/>
          <w:i w:val="false"/>
        </w:rPr>
        <w:t>A66-A.25. Whistleblower protection.</w:t>
      </w:r>
    </w:p>
    <w:p>
      <w:pPr>
        <w:pStyle w:val="Normal"/>
        <w:widowControl/>
        <w:rPr/>
      </w:pPr>
      <w:r>
        <w:rPr>
          <w:b w:val="false"/>
          <w:i w:val="false"/>
        </w:rPr>
        <w:t>A66-A.26. Domestic constitutional and rights review.</w:t>
      </w:r>
    </w:p>
    <w:p>
      <w:pPr>
        <w:pStyle w:val="Normal"/>
        <w:widowControl/>
        <w:rPr/>
      </w:pPr>
      <w:r>
        <w:rPr>
          <w:b w:val="false"/>
          <w:i w:val="false"/>
        </w:rPr>
        <w:t>A66-A.27. Shield Reciprocity Doctrine.</w:t>
      </w:r>
    </w:p>
    <w:p>
      <w:pPr>
        <w:pStyle w:val="Normal"/>
        <w:widowControl/>
        <w:rPr/>
      </w:pPr>
      <w:r>
        <w:rPr>
          <w:b w:val="false"/>
          <w:i w:val="false"/>
        </w:rPr>
        <w:t>A66-A.28. Reciprocity for serious illicit flows.</w:t>
      </w:r>
    </w:p>
    <w:p>
      <w:pPr>
        <w:pStyle w:val="Normal"/>
        <w:widowControl/>
        <w:rPr/>
      </w:pPr>
      <w:r>
        <w:rPr>
          <w:b w:val="false"/>
          <w:i w:val="false"/>
        </w:rPr>
        <w:t>A66-A.29. Illegal-firearms reciprocity.</w:t>
      </w:r>
    </w:p>
    <w:p>
      <w:pPr>
        <w:pStyle w:val="Normal"/>
        <w:widowControl/>
        <w:rPr/>
      </w:pPr>
      <w:r>
        <w:rPr>
          <w:b w:val="false"/>
          <w:i w:val="false"/>
        </w:rPr>
        <w:t>A66-A.30. Secure-and-Accelerate legitimate-trade reciprocity.</w:t>
      </w:r>
    </w:p>
    <w:p>
      <w:pPr>
        <w:pStyle w:val="Normal"/>
        <w:widowControl/>
        <w:rPr/>
      </w:pPr>
      <w:r>
        <w:rPr>
          <w:b w:val="false"/>
          <w:i w:val="false"/>
        </w:rPr>
        <w:t>A66-A.31. Mutual technology and capacity cooperation.</w:t>
      </w:r>
    </w:p>
    <w:p>
      <w:pPr>
        <w:pStyle w:val="Normal"/>
        <w:widowControl/>
        <w:rPr/>
      </w:pPr>
      <w:r>
        <w:rPr>
          <w:b w:val="false"/>
          <w:i w:val="false"/>
        </w:rPr>
        <w:t>A66-A.32. Substantial-performance safe harbor.</w:t>
      </w:r>
    </w:p>
    <w:p>
      <w:pPr>
        <w:pStyle w:val="Normal"/>
        <w:widowControl/>
        <w:rPr/>
      </w:pPr>
      <w:r>
        <w:rPr>
          <w:b w:val="false"/>
          <w:i w:val="false"/>
        </w:rPr>
        <w:t>A66-A.33. No individual trafficking event as automatic breach.</w:t>
      </w:r>
    </w:p>
    <w:p>
      <w:pPr>
        <w:pStyle w:val="Normal"/>
        <w:widowControl/>
        <w:rPr/>
      </w:pPr>
      <w:r>
        <w:rPr>
          <w:b w:val="false"/>
          <w:i w:val="false"/>
        </w:rPr>
        <w:t>A66-A.34. No seizure-volume quota as legal compliance test.</w:t>
      </w:r>
    </w:p>
    <w:p>
      <w:pPr>
        <w:pStyle w:val="Normal"/>
        <w:widowControl/>
        <w:rPr/>
      </w:pPr>
      <w:r>
        <w:rPr>
          <w:b w:val="false"/>
          <w:i w:val="false"/>
        </w:rPr>
        <w:t>A66-A.35. Outcome deterioration alone insufficient where agreed measures are maintained in good faith.</w:t>
      </w:r>
    </w:p>
    <w:p>
      <w:pPr>
        <w:pStyle w:val="Normal"/>
        <w:widowControl/>
        <w:rPr/>
      </w:pPr>
      <w:r>
        <w:rPr>
          <w:b w:val="false"/>
          <w:i w:val="false"/>
        </w:rPr>
        <w:t>A66-A.36. No unilateral security-to-trade escalation after substantial performance.</w:t>
      </w:r>
    </w:p>
    <w:p>
      <w:pPr>
        <w:pStyle w:val="Normal"/>
        <w:widowControl/>
        <w:rPr/>
      </w:pPr>
      <w:r>
        <w:rPr>
          <w:b w:val="false"/>
          <w:i w:val="false"/>
        </w:rPr>
        <w:t>A66-A.37. Evidence and verification requirement.</w:t>
      </w:r>
    </w:p>
    <w:p>
      <w:pPr>
        <w:pStyle w:val="Normal"/>
        <w:widowControl/>
        <w:rPr/>
      </w:pPr>
      <w:r>
        <w:rPr>
          <w:b w:val="false"/>
          <w:i w:val="false"/>
        </w:rPr>
        <w:t>A66-A.38. Consultation and cure architecture.</w:t>
      </w:r>
    </w:p>
    <w:p>
      <w:pPr>
        <w:pStyle w:val="Normal"/>
        <w:widowControl/>
        <w:rPr/>
      </w:pPr>
      <w:r>
        <w:rPr>
          <w:b w:val="false"/>
          <w:i w:val="false"/>
        </w:rPr>
        <w:t>A66-A.39. Proportional Shield-specific step-back with automatic restoration.</w:t>
      </w:r>
    </w:p>
    <w:p>
      <w:pPr>
        <w:pStyle w:val="Normal"/>
        <w:widowControl/>
        <w:rPr/>
      </w:pPr>
      <w:r>
        <w:rPr>
          <w:b w:val="false"/>
          <w:i w:val="false"/>
        </w:rPr>
        <w:t>A66-A.40. No encryption-backdoor mandate.</w:t>
      </w:r>
    </w:p>
    <w:p>
      <w:pPr>
        <w:pStyle w:val="Normal"/>
        <w:widowControl/>
        <w:rPr/>
      </w:pPr>
      <w:r>
        <w:rPr>
          <w:b w:val="false"/>
          <w:i w:val="false"/>
        </w:rPr>
        <w:t>A66-A.41. No generalized traveller, biometric or licence-plate surveillance architecture.</w:t>
      </w:r>
    </w:p>
    <w:p>
      <w:pPr>
        <w:pStyle w:val="Normal"/>
        <w:widowControl/>
        <w:rPr/>
      </w:pPr>
      <w:r>
        <w:rPr/>
        <w:t>ANNEX 66-B — OPERATIONAL MECHANISMS REFERENCE REGISTER</w:t>
      </w:r>
    </w:p>
    <w:p>
      <w:pPr>
        <w:pStyle w:val="Normal"/>
        <w:widowControl/>
        <w:rPr/>
      </w:pPr>
      <w:r>
        <w:rPr>
          <w:b w:val="false"/>
          <w:i w:val="false"/>
        </w:rPr>
        <w:t>The following one hundred thirty-two mechanisms constitute the initial operational architecture. Technical specifications may evolve by consensus without weakening Chapter 66 cornerstones.</w:t>
      </w:r>
    </w:p>
    <w:p>
      <w:pPr>
        <w:pStyle w:val="Normal"/>
        <w:widowControl/>
        <w:rPr/>
      </w:pPr>
      <w:r>
        <w:rPr>
          <w:b/>
          <w:i w:val="false"/>
        </w:rPr>
        <w:t>Detection, NII, Canines and Forensics</w:t>
      </w:r>
    </w:p>
    <w:p>
      <w:pPr>
        <w:pStyle w:val="Normal"/>
        <w:widowControl/>
        <w:rPr/>
      </w:pPr>
      <w:r>
        <w:rPr>
          <w:b w:val="false"/>
          <w:i w:val="false"/>
        </w:rPr>
        <w:t>A66-B.1. High-throughput commercial-vehicle NII.</w:t>
      </w:r>
    </w:p>
    <w:p>
      <w:pPr>
        <w:pStyle w:val="Normal"/>
        <w:widowControl/>
        <w:rPr/>
      </w:pPr>
      <w:r>
        <w:rPr>
          <w:b w:val="false"/>
          <w:i w:val="false"/>
        </w:rPr>
        <w:t>A66-B.2. Passenger-vehicle NII where lawful and risk-appropriate.</w:t>
      </w:r>
    </w:p>
    <w:p>
      <w:pPr>
        <w:pStyle w:val="Normal"/>
        <w:widowControl/>
        <w:rPr/>
      </w:pPr>
      <w:r>
        <w:rPr>
          <w:b w:val="false"/>
          <w:i w:val="false"/>
        </w:rPr>
        <w:t>A66-B.3. Rail consist imaging.</w:t>
      </w:r>
    </w:p>
    <w:p>
      <w:pPr>
        <w:pStyle w:val="Normal"/>
        <w:widowControl/>
        <w:rPr/>
      </w:pPr>
      <w:r>
        <w:rPr>
          <w:b w:val="false"/>
          <w:i w:val="false"/>
        </w:rPr>
        <w:t>A66-B.4. Marine-container imaging.</w:t>
      </w:r>
    </w:p>
    <w:p>
      <w:pPr>
        <w:pStyle w:val="Normal"/>
        <w:widowControl/>
        <w:rPr/>
      </w:pPr>
      <w:r>
        <w:rPr>
          <w:b w:val="false"/>
          <w:i w:val="false"/>
        </w:rPr>
        <w:t>A66-B.5. Air-cargo imaging.</w:t>
      </w:r>
    </w:p>
    <w:p>
      <w:pPr>
        <w:pStyle w:val="Normal"/>
        <w:widowControl/>
        <w:rPr/>
      </w:pPr>
      <w:r>
        <w:rPr>
          <w:b w:val="false"/>
          <w:i w:val="false"/>
        </w:rPr>
        <w:t>A66-B.6. Mobile NII deployment.</w:t>
      </w:r>
    </w:p>
    <w:p>
      <w:pPr>
        <w:pStyle w:val="Normal"/>
        <w:widowControl/>
        <w:rPr/>
      </w:pPr>
      <w:r>
        <w:rPr>
          <w:b w:val="false"/>
          <w:i w:val="false"/>
        </w:rPr>
        <w:t>A66-B.7. Backscatter inspection capability.</w:t>
      </w:r>
    </w:p>
    <w:p>
      <w:pPr>
        <w:pStyle w:val="Normal"/>
        <w:widowControl/>
        <w:rPr/>
      </w:pPr>
      <w:r>
        <w:rPr>
          <w:b w:val="false"/>
          <w:i w:val="false"/>
        </w:rPr>
        <w:t>A66-B.8. Under-vehicle imaging.</w:t>
      </w:r>
    </w:p>
    <w:p>
      <w:pPr>
        <w:pStyle w:val="Normal"/>
        <w:widowControl/>
        <w:rPr/>
      </w:pPr>
      <w:r>
        <w:rPr>
          <w:b w:val="false"/>
          <w:i w:val="false"/>
        </w:rPr>
        <w:t>A66-B.9. Trace narcotics detection.</w:t>
      </w:r>
    </w:p>
    <w:p>
      <w:pPr>
        <w:pStyle w:val="Normal"/>
        <w:widowControl/>
        <w:rPr/>
      </w:pPr>
      <w:r>
        <w:rPr>
          <w:b w:val="false"/>
          <w:i w:val="false"/>
        </w:rPr>
        <w:t>A66-B.10. Ion-mobility trace screening.</w:t>
      </w:r>
    </w:p>
    <w:p>
      <w:pPr>
        <w:pStyle w:val="Normal"/>
        <w:widowControl/>
        <w:rPr/>
      </w:pPr>
      <w:r>
        <w:rPr>
          <w:b w:val="false"/>
          <w:i w:val="false"/>
        </w:rPr>
        <w:t>A66-B.11. Raman chemical identification.</w:t>
      </w:r>
    </w:p>
    <w:p>
      <w:pPr>
        <w:pStyle w:val="Normal"/>
        <w:widowControl/>
        <w:rPr/>
      </w:pPr>
      <w:r>
        <w:rPr>
          <w:b w:val="false"/>
          <w:i w:val="false"/>
        </w:rPr>
        <w:t>A66-B.12. FTIR chemical identification.</w:t>
      </w:r>
    </w:p>
    <w:p>
      <w:pPr>
        <w:pStyle w:val="Normal"/>
        <w:widowControl/>
        <w:rPr/>
      </w:pPr>
      <w:r>
        <w:rPr>
          <w:b w:val="false"/>
          <w:i w:val="false"/>
        </w:rPr>
        <w:t>A66-B.13. Contactless vapor or particle detection.</w:t>
      </w:r>
    </w:p>
    <w:p>
      <w:pPr>
        <w:pStyle w:val="Normal"/>
        <w:widowControl/>
        <w:rPr/>
      </w:pPr>
      <w:r>
        <w:rPr>
          <w:b w:val="false"/>
          <w:i w:val="false"/>
        </w:rPr>
        <w:t>A66-B.14. Radiation portal monitoring.</w:t>
      </w:r>
    </w:p>
    <w:p>
      <w:pPr>
        <w:pStyle w:val="Normal"/>
        <w:widowControl/>
        <w:rPr/>
      </w:pPr>
      <w:r>
        <w:rPr>
          <w:b w:val="false"/>
          <w:i w:val="false"/>
        </w:rPr>
        <w:t>A66-B.15. Handheld radiation identification.</w:t>
      </w:r>
    </w:p>
    <w:p>
      <w:pPr>
        <w:pStyle w:val="Normal"/>
        <w:widowControl/>
        <w:rPr/>
      </w:pPr>
      <w:r>
        <w:rPr>
          <w:b w:val="false"/>
          <w:i w:val="false"/>
        </w:rPr>
        <w:t>A66-B.16. Tunnel ground-penetrating radar.</w:t>
      </w:r>
    </w:p>
    <w:p>
      <w:pPr>
        <w:pStyle w:val="Normal"/>
        <w:widowControl/>
        <w:rPr/>
      </w:pPr>
      <w:r>
        <w:rPr>
          <w:b w:val="false"/>
          <w:i w:val="false"/>
        </w:rPr>
        <w:t>A66-B.17. Tunnel acoustic detection.</w:t>
      </w:r>
    </w:p>
    <w:p>
      <w:pPr>
        <w:pStyle w:val="Normal"/>
        <w:widowControl/>
        <w:rPr/>
      </w:pPr>
      <w:r>
        <w:rPr>
          <w:b w:val="false"/>
          <w:i w:val="false"/>
        </w:rPr>
        <w:t>A66-B.18. Structural-modification detection.</w:t>
      </w:r>
    </w:p>
    <w:p>
      <w:pPr>
        <w:pStyle w:val="Normal"/>
        <w:widowControl/>
        <w:rPr/>
      </w:pPr>
      <w:r>
        <w:rPr>
          <w:b w:val="false"/>
          <w:i w:val="false"/>
        </w:rPr>
        <w:t>A66-B.19. Counter-concealment technical library.</w:t>
      </w:r>
    </w:p>
    <w:p>
      <w:pPr>
        <w:pStyle w:val="Normal"/>
        <w:widowControl/>
        <w:rPr/>
      </w:pPr>
      <w:r>
        <w:rPr>
          <w:b w:val="false"/>
          <w:i w:val="false"/>
        </w:rPr>
        <w:t>A66-B.20. Fentanyl-specialized canine teams.</w:t>
      </w:r>
    </w:p>
    <w:p>
      <w:pPr>
        <w:pStyle w:val="Normal"/>
        <w:widowControl/>
        <w:rPr/>
      </w:pPr>
      <w:r>
        <w:rPr>
          <w:b w:val="false"/>
          <w:i w:val="false"/>
        </w:rPr>
        <w:t>A66-B.21. Methamphetamine detection canines.</w:t>
      </w:r>
    </w:p>
    <w:p>
      <w:pPr>
        <w:pStyle w:val="Normal"/>
        <w:widowControl/>
        <w:rPr/>
      </w:pPr>
      <w:r>
        <w:rPr>
          <w:b w:val="false"/>
          <w:i w:val="false"/>
        </w:rPr>
        <w:t>A66-B.22. Currency detection canines.</w:t>
      </w:r>
    </w:p>
    <w:p>
      <w:pPr>
        <w:pStyle w:val="Normal"/>
        <w:widowControl/>
        <w:rPr/>
      </w:pPr>
      <w:r>
        <w:rPr>
          <w:b w:val="false"/>
          <w:i w:val="false"/>
        </w:rPr>
        <w:t>A66-B.23. Firearms detection canines.</w:t>
      </w:r>
    </w:p>
    <w:p>
      <w:pPr>
        <w:pStyle w:val="Normal"/>
        <w:widowControl/>
        <w:rPr/>
      </w:pPr>
      <w:r>
        <w:rPr>
          <w:b w:val="false"/>
          <w:i w:val="false"/>
        </w:rPr>
        <w:t>A66-B.24. Explosives detection canines.</w:t>
      </w:r>
    </w:p>
    <w:p>
      <w:pPr>
        <w:pStyle w:val="Normal"/>
        <w:widowControl/>
        <w:rPr/>
      </w:pPr>
      <w:r>
        <w:rPr>
          <w:b w:val="false"/>
          <w:i w:val="false"/>
        </w:rPr>
        <w:t>A66-B.25. Mobile canine surge teams.</w:t>
      </w:r>
    </w:p>
    <w:p>
      <w:pPr>
        <w:pStyle w:val="Normal"/>
        <w:widowControl/>
        <w:rPr/>
      </w:pPr>
      <w:r>
        <w:rPr>
          <w:b w:val="false"/>
          <w:i w:val="false"/>
        </w:rPr>
        <w:t>A66-B.26. Canine proficiency certification.</w:t>
      </w:r>
    </w:p>
    <w:p>
      <w:pPr>
        <w:pStyle w:val="Normal"/>
        <w:widowControl/>
        <w:rPr/>
      </w:pPr>
      <w:r>
        <w:rPr>
          <w:b w:val="false"/>
          <w:i w:val="false"/>
        </w:rPr>
        <w:t>A66-B.27. Cross-border canine training exchange.</w:t>
      </w:r>
    </w:p>
    <w:p>
      <w:pPr>
        <w:pStyle w:val="Normal"/>
        <w:widowControl/>
        <w:rPr/>
      </w:pPr>
      <w:r>
        <w:rPr>
          <w:b w:val="false"/>
          <w:i w:val="false"/>
        </w:rPr>
        <w:t>A66-B.28. Regional rapid-analysis laboratories.</w:t>
      </w:r>
    </w:p>
    <w:p>
      <w:pPr>
        <w:pStyle w:val="Normal"/>
        <w:widowControl/>
        <w:rPr/>
      </w:pPr>
      <w:r>
        <w:rPr>
          <w:b w:val="false"/>
          <w:i w:val="false"/>
        </w:rPr>
        <w:t>A66-B.29. Mobile drug-analysis laboratories.</w:t>
      </w:r>
    </w:p>
    <w:p>
      <w:pPr>
        <w:pStyle w:val="Normal"/>
        <w:widowControl/>
        <w:rPr/>
      </w:pPr>
      <w:r>
        <w:rPr>
          <w:b w:val="false"/>
          <w:i w:val="false"/>
        </w:rPr>
        <w:t>A66-B.30. Chemical-signature profiling.</w:t>
      </w:r>
    </w:p>
    <w:p>
      <w:pPr>
        <w:pStyle w:val="Normal"/>
        <w:widowControl/>
        <w:rPr/>
      </w:pPr>
      <w:r>
        <w:rPr>
          <w:b w:val="false"/>
          <w:i w:val="false"/>
        </w:rPr>
        <w:t>A66-B.31. Annual laboratory proficiency testing.</w:t>
      </w:r>
    </w:p>
    <w:p>
      <w:pPr>
        <w:pStyle w:val="Normal"/>
        <w:widowControl/>
        <w:rPr/>
      </w:pPr>
      <w:r>
        <w:rPr>
          <w:b/>
          <w:i w:val="false"/>
        </w:rPr>
        <w:t>Cargo Targeting and Data Integrity</w:t>
      </w:r>
    </w:p>
    <w:p>
      <w:pPr>
        <w:pStyle w:val="Normal"/>
        <w:widowControl/>
        <w:rPr/>
      </w:pPr>
      <w:r>
        <w:rPr>
          <w:b w:val="false"/>
          <w:i w:val="false"/>
        </w:rPr>
        <w:t>A66-B.32. National targeting-center linkage.</w:t>
      </w:r>
    </w:p>
    <w:p>
      <w:pPr>
        <w:pStyle w:val="Normal"/>
        <w:widowControl/>
        <w:rPr/>
      </w:pPr>
      <w:r>
        <w:rPr>
          <w:b w:val="false"/>
          <w:i w:val="false"/>
        </w:rPr>
        <w:t>A66-B.33. Structured risk-alert exchange.</w:t>
      </w:r>
    </w:p>
    <w:p>
      <w:pPr>
        <w:pStyle w:val="Normal"/>
        <w:widowControl/>
        <w:rPr/>
      </w:pPr>
      <w:r>
        <w:rPr>
          <w:b w:val="false"/>
          <w:i w:val="false"/>
        </w:rPr>
        <w:t>A66-B.34. Advance cargo data quality standards.</w:t>
      </w:r>
    </w:p>
    <w:p>
      <w:pPr>
        <w:pStyle w:val="Normal"/>
        <w:widowControl/>
        <w:rPr/>
      </w:pPr>
      <w:r>
        <w:rPr>
          <w:b w:val="false"/>
          <w:i w:val="false"/>
        </w:rPr>
        <w:t>A66-B.35. High-risk shipment referral protocol.</w:t>
      </w:r>
    </w:p>
    <w:p>
      <w:pPr>
        <w:pStyle w:val="Normal"/>
        <w:widowControl/>
        <w:rPr/>
      </w:pPr>
      <w:r>
        <w:rPr>
          <w:b w:val="false"/>
          <w:i w:val="false"/>
        </w:rPr>
        <w:t>A66-B.36. Transshipment risk analysis.</w:t>
      </w:r>
    </w:p>
    <w:p>
      <w:pPr>
        <w:pStyle w:val="Normal"/>
        <w:widowControl/>
        <w:rPr/>
      </w:pPr>
      <w:r>
        <w:rPr>
          <w:b w:val="false"/>
          <w:i w:val="false"/>
        </w:rPr>
        <w:t>A66-B.37. Split-shipment pattern analysis.</w:t>
      </w:r>
    </w:p>
    <w:p>
      <w:pPr>
        <w:pStyle w:val="Normal"/>
        <w:widowControl/>
        <w:rPr/>
      </w:pPr>
      <w:r>
        <w:rPr>
          <w:b w:val="false"/>
          <w:i w:val="false"/>
        </w:rPr>
        <w:t>A66-B.38. Refused-cargo alerting.</w:t>
      </w:r>
    </w:p>
    <w:p>
      <w:pPr>
        <w:pStyle w:val="Normal"/>
        <w:widowControl/>
        <w:rPr/>
      </w:pPr>
      <w:r>
        <w:rPr>
          <w:b w:val="false"/>
          <w:i w:val="false"/>
        </w:rPr>
        <w:t>A66-B.39. Free-trade-zone risk parity.</w:t>
      </w:r>
    </w:p>
    <w:p>
      <w:pPr>
        <w:pStyle w:val="Normal"/>
        <w:widowControl/>
        <w:rPr/>
      </w:pPr>
      <w:r>
        <w:rPr>
          <w:b w:val="false"/>
          <w:i w:val="false"/>
        </w:rPr>
        <w:t>A66-B.40. Bonded-warehouse risk controls.</w:t>
      </w:r>
    </w:p>
    <w:p>
      <w:pPr>
        <w:pStyle w:val="Normal"/>
        <w:widowControl/>
        <w:rPr/>
      </w:pPr>
      <w:r>
        <w:rPr>
          <w:b w:val="false"/>
          <w:i w:val="false"/>
        </w:rPr>
        <w:t>A66-B.41. Trusted-trader security alignment.</w:t>
      </w:r>
    </w:p>
    <w:p>
      <w:pPr>
        <w:pStyle w:val="Normal"/>
        <w:widowControl/>
        <w:rPr/>
      </w:pPr>
      <w:r>
        <w:rPr>
          <w:b w:val="false"/>
          <w:i w:val="false"/>
        </w:rPr>
        <w:t>A66-B.42. Misdeclaration pattern analytics.</w:t>
      </w:r>
    </w:p>
    <w:p>
      <w:pPr>
        <w:pStyle w:val="Normal"/>
        <w:widowControl/>
        <w:rPr/>
      </w:pPr>
      <w:r>
        <w:rPr>
          <w:b w:val="false"/>
          <w:i w:val="false"/>
        </w:rPr>
        <w:t>A66-B.43. Concealment-method bulletins.</w:t>
      </w:r>
    </w:p>
    <w:p>
      <w:pPr>
        <w:pStyle w:val="Normal"/>
        <w:widowControl/>
        <w:rPr/>
      </w:pPr>
      <w:r>
        <w:rPr>
          <w:b w:val="false"/>
          <w:i w:val="false"/>
        </w:rPr>
        <w:t>A66-B.44. Machine-learning model performance exchange.</w:t>
      </w:r>
    </w:p>
    <w:p>
      <w:pPr>
        <w:pStyle w:val="Normal"/>
        <w:widowControl/>
        <w:rPr/>
      </w:pPr>
      <w:r>
        <w:rPr>
          <w:b w:val="false"/>
          <w:i w:val="false"/>
        </w:rPr>
        <w:t>A66-B.45. Targeting hit-rate reporting.</w:t>
      </w:r>
    </w:p>
    <w:p>
      <w:pPr>
        <w:pStyle w:val="Normal"/>
        <w:widowControl/>
        <w:rPr/>
      </w:pPr>
      <w:r>
        <w:rPr>
          <w:b w:val="false"/>
          <w:i w:val="false"/>
        </w:rPr>
        <w:t>A66-B.46. False-positive reporting.</w:t>
      </w:r>
    </w:p>
    <w:p>
      <w:pPr>
        <w:pStyle w:val="Normal"/>
        <w:widowControl/>
        <w:rPr/>
      </w:pPr>
      <w:r>
        <w:rPr>
          <w:b w:val="false"/>
          <w:i w:val="false"/>
        </w:rPr>
        <w:t>A66-B.47. Independent targeting-system review.</w:t>
      </w:r>
    </w:p>
    <w:p>
      <w:pPr>
        <w:pStyle w:val="Normal"/>
        <w:widowControl/>
        <w:rPr/>
      </w:pPr>
      <w:r>
        <w:rPr>
          <w:b w:val="false"/>
          <w:i w:val="false"/>
        </w:rPr>
        <w:t>A66-B.48. Cargo risk taxonomy interoperability.</w:t>
      </w:r>
    </w:p>
    <w:p>
      <w:pPr>
        <w:pStyle w:val="Normal"/>
        <w:widowControl/>
        <w:rPr/>
      </w:pPr>
      <w:r>
        <w:rPr>
          <w:b/>
          <w:i w:val="false"/>
        </w:rPr>
        <w:t>Precursors and Illicit Manufacturing Equipment</w:t>
      </w:r>
    </w:p>
    <w:p>
      <w:pPr>
        <w:pStyle w:val="Normal"/>
        <w:widowControl/>
        <w:rPr/>
      </w:pPr>
      <w:r>
        <w:rPr>
          <w:b w:val="false"/>
          <w:i w:val="false"/>
        </w:rPr>
        <w:t>A66-B.49. North American analytical precursor risk list.</w:t>
      </w:r>
    </w:p>
    <w:p>
      <w:pPr>
        <w:pStyle w:val="Normal"/>
        <w:widowControl/>
        <w:rPr/>
      </w:pPr>
      <w:r>
        <w:rPr>
          <w:b w:val="false"/>
          <w:i w:val="false"/>
        </w:rPr>
        <w:t>A66-B.50. Emerging-designer-precursor warning protocol.</w:t>
      </w:r>
    </w:p>
    <w:p>
      <w:pPr>
        <w:pStyle w:val="Normal"/>
        <w:widowControl/>
        <w:rPr/>
      </w:pPr>
      <w:r>
        <w:rPr>
          <w:b w:val="false"/>
          <w:i w:val="false"/>
        </w:rPr>
        <w:t>A66-B.51. Rapid domestic scheduling consultation.</w:t>
      </w:r>
    </w:p>
    <w:p>
      <w:pPr>
        <w:pStyle w:val="Normal"/>
        <w:widowControl/>
        <w:rPr/>
      </w:pPr>
      <w:r>
        <w:rPr>
          <w:b w:val="false"/>
          <w:i w:val="false"/>
        </w:rPr>
        <w:t>A66-B.52. Suspicious precursor transaction reporting.</w:t>
      </w:r>
    </w:p>
    <w:p>
      <w:pPr>
        <w:pStyle w:val="Normal"/>
        <w:widowControl/>
        <w:rPr/>
      </w:pPr>
      <w:r>
        <w:rPr>
          <w:b w:val="false"/>
          <w:i w:val="false"/>
        </w:rPr>
        <w:t>A66-B.53. Licensed-dealer diversion controls.</w:t>
      </w:r>
    </w:p>
    <w:p>
      <w:pPr>
        <w:pStyle w:val="Normal"/>
        <w:widowControl/>
        <w:rPr/>
      </w:pPr>
      <w:r>
        <w:rPr>
          <w:b w:val="false"/>
          <w:i w:val="false"/>
        </w:rPr>
        <w:t>A66-B.54. End-user verification for designated high-risk chemicals.</w:t>
      </w:r>
    </w:p>
    <w:p>
      <w:pPr>
        <w:pStyle w:val="Normal"/>
        <w:widowControl/>
        <w:rPr/>
      </w:pPr>
      <w:r>
        <w:rPr>
          <w:b w:val="false"/>
          <w:i w:val="false"/>
        </w:rPr>
        <w:t>A66-B.55. Pill-press diversion controls.</w:t>
      </w:r>
    </w:p>
    <w:p>
      <w:pPr>
        <w:pStyle w:val="Normal"/>
        <w:widowControl/>
        <w:rPr/>
      </w:pPr>
      <w:r>
        <w:rPr>
          <w:b w:val="false"/>
          <w:i w:val="false"/>
        </w:rPr>
        <w:t>A66-B.56. Tablet-die diversion controls.</w:t>
      </w:r>
    </w:p>
    <w:p>
      <w:pPr>
        <w:pStyle w:val="Normal"/>
        <w:widowControl/>
        <w:rPr/>
      </w:pPr>
      <w:r>
        <w:rPr>
          <w:b w:val="false"/>
          <w:i w:val="false"/>
        </w:rPr>
        <w:t>A66-B.57. Manufacturing-equipment component registration where lawful.</w:t>
      </w:r>
    </w:p>
    <w:p>
      <w:pPr>
        <w:pStyle w:val="Normal"/>
        <w:widowControl/>
        <w:rPr/>
      </w:pPr>
      <w:r>
        <w:rPr>
          <w:b w:val="false"/>
          <w:i w:val="false"/>
        </w:rPr>
        <w:t>A66-B.58. Controlled-delivery coordination for precursor cases.</w:t>
      </w:r>
    </w:p>
    <w:p>
      <w:pPr>
        <w:pStyle w:val="Normal"/>
        <w:widowControl/>
        <w:rPr/>
      </w:pPr>
      <w:r>
        <w:rPr>
          <w:b w:val="false"/>
          <w:i w:val="false"/>
        </w:rPr>
        <w:t>A66-B.59. Clandestine-lab chemical signature exchange.</w:t>
      </w:r>
    </w:p>
    <w:p>
      <w:pPr>
        <w:pStyle w:val="Normal"/>
        <w:widowControl/>
        <w:rPr/>
      </w:pPr>
      <w:r>
        <w:rPr>
          <w:b w:val="false"/>
          <w:i w:val="false"/>
        </w:rPr>
        <w:t>A66-B.60. Officer-safe precursor handling protocol.</w:t>
      </w:r>
    </w:p>
    <w:p>
      <w:pPr>
        <w:pStyle w:val="Normal"/>
        <w:widowControl/>
        <w:rPr/>
      </w:pPr>
      <w:r>
        <w:rPr>
          <w:b w:val="false"/>
          <w:i w:val="false"/>
        </w:rPr>
        <w:t>A66-B.61. Precursor disposal standards cooperation.</w:t>
      </w:r>
    </w:p>
    <w:p>
      <w:pPr>
        <w:pStyle w:val="Normal"/>
        <w:widowControl/>
        <w:rPr/>
      </w:pPr>
      <w:r>
        <w:rPr>
          <w:b w:val="false"/>
          <w:i w:val="false"/>
        </w:rPr>
        <w:t>A66-B.62. Source-country precursor diplomacy.</w:t>
      </w:r>
    </w:p>
    <w:p>
      <w:pPr>
        <w:pStyle w:val="Normal"/>
        <w:widowControl/>
        <w:rPr/>
      </w:pPr>
      <w:r>
        <w:rPr>
          <w:b w:val="false"/>
          <w:i w:val="false"/>
        </w:rPr>
        <w:t>A66-B.63. High-risk routing analysis.</w:t>
      </w:r>
    </w:p>
    <w:p>
      <w:pPr>
        <w:pStyle w:val="Normal"/>
        <w:widowControl/>
        <w:rPr/>
      </w:pPr>
      <w:r>
        <w:rPr>
          <w:b w:val="false"/>
          <w:i w:val="false"/>
        </w:rPr>
        <w:t>A66-B.64. Courier precursor detection.</w:t>
      </w:r>
    </w:p>
    <w:p>
      <w:pPr>
        <w:pStyle w:val="Normal"/>
        <w:widowControl/>
        <w:rPr/>
      </w:pPr>
      <w:r>
        <w:rPr>
          <w:b w:val="false"/>
          <w:i w:val="false"/>
        </w:rPr>
        <w:t>A66-B.65. Solvent-diversion risk monitoring.</w:t>
      </w:r>
    </w:p>
    <w:p>
      <w:pPr>
        <w:pStyle w:val="Normal"/>
        <w:widowControl/>
        <w:rPr/>
      </w:pPr>
      <w:r>
        <w:rPr>
          <w:b w:val="false"/>
          <w:i w:val="false"/>
        </w:rPr>
        <w:t>A66-B.66. Substitute and pre-precursor monitoring.</w:t>
      </w:r>
    </w:p>
    <w:p>
      <w:pPr>
        <w:pStyle w:val="Normal"/>
        <w:widowControl/>
        <w:rPr/>
      </w:pPr>
      <w:r>
        <w:rPr>
          <w:b/>
          <w:i w:val="false"/>
        </w:rPr>
        <w:t>Port, Rail, Marine and Aviation Security</w:t>
      </w:r>
    </w:p>
    <w:p>
      <w:pPr>
        <w:pStyle w:val="Normal"/>
        <w:widowControl/>
        <w:rPr/>
      </w:pPr>
      <w:r>
        <w:rPr>
          <w:b w:val="false"/>
          <w:i w:val="false"/>
        </w:rPr>
        <w:t>A66-B.67. Port-of-entry risk ranking.</w:t>
      </w:r>
    </w:p>
    <w:p>
      <w:pPr>
        <w:pStyle w:val="Normal"/>
        <w:widowControl/>
        <w:rPr/>
      </w:pPr>
      <w:r>
        <w:rPr>
          <w:b w:val="false"/>
          <w:i w:val="false"/>
        </w:rPr>
        <w:t>A66-B.68. Co-located liaison arrangements.</w:t>
      </w:r>
    </w:p>
    <w:p>
      <w:pPr>
        <w:pStyle w:val="Normal"/>
        <w:widowControl/>
        <w:rPr/>
      </w:pPr>
      <w:r>
        <w:rPr>
          <w:b w:val="false"/>
          <w:i w:val="false"/>
        </w:rPr>
        <w:t>A66-B.69. Inspection-sequencing coordination.</w:t>
      </w:r>
    </w:p>
    <w:p>
      <w:pPr>
        <w:pStyle w:val="Normal"/>
        <w:widowControl/>
        <w:rPr/>
      </w:pPr>
      <w:r>
        <w:rPr>
          <w:b w:val="false"/>
          <w:i w:val="false"/>
        </w:rPr>
        <w:t>A66-B.70. Redundant-inspection reduction.</w:t>
      </w:r>
    </w:p>
    <w:p>
      <w:pPr>
        <w:pStyle w:val="Normal"/>
        <w:widowControl/>
        <w:rPr/>
      </w:pPr>
      <w:r>
        <w:rPr>
          <w:b w:val="false"/>
          <w:i w:val="false"/>
        </w:rPr>
        <w:t>A66-B.71. Port-worker anti-corruption controls.</w:t>
      </w:r>
    </w:p>
    <w:p>
      <w:pPr>
        <w:pStyle w:val="Normal"/>
        <w:widowControl/>
        <w:rPr/>
      </w:pPr>
      <w:r>
        <w:rPr>
          <w:b w:val="false"/>
          <w:i w:val="false"/>
        </w:rPr>
        <w:t>A66-B.72. Secure tip and whistleblower channels.</w:t>
      </w:r>
    </w:p>
    <w:p>
      <w:pPr>
        <w:pStyle w:val="Normal"/>
        <w:widowControl/>
        <w:rPr/>
      </w:pPr>
      <w:r>
        <w:rPr>
          <w:b w:val="false"/>
          <w:i w:val="false"/>
        </w:rPr>
        <w:t>A66-B.73. High-risk inspection surge planning.</w:t>
      </w:r>
    </w:p>
    <w:p>
      <w:pPr>
        <w:pStyle w:val="Normal"/>
        <w:widowControl/>
        <w:rPr/>
      </w:pPr>
      <w:r>
        <w:rPr>
          <w:b w:val="false"/>
          <w:i w:val="false"/>
        </w:rPr>
        <w:t>A66-B.74. Tunnel detection coordination.</w:t>
      </w:r>
    </w:p>
    <w:p>
      <w:pPr>
        <w:pStyle w:val="Normal"/>
        <w:widowControl/>
        <w:rPr/>
      </w:pPr>
      <w:r>
        <w:rPr>
          <w:b w:val="false"/>
          <w:i w:val="false"/>
        </w:rPr>
        <w:t>A66-B.75. Counter-drone coordination at ports.</w:t>
      </w:r>
    </w:p>
    <w:p>
      <w:pPr>
        <w:pStyle w:val="Normal"/>
        <w:widowControl/>
        <w:rPr/>
      </w:pPr>
      <w:r>
        <w:rPr>
          <w:b w:val="false"/>
          <w:i w:val="false"/>
        </w:rPr>
        <w:t>A66-B.76. Port security engineering assessments.</w:t>
      </w:r>
    </w:p>
    <w:p>
      <w:pPr>
        <w:pStyle w:val="Normal"/>
        <w:widowControl/>
        <w:rPr/>
      </w:pPr>
      <w:r>
        <w:rPr>
          <w:b w:val="false"/>
          <w:i w:val="false"/>
        </w:rPr>
        <w:t>A66-B.77. Rail electronic seal integrity.</w:t>
      </w:r>
    </w:p>
    <w:p>
      <w:pPr>
        <w:pStyle w:val="Normal"/>
        <w:widowControl/>
        <w:rPr/>
      </w:pPr>
      <w:r>
        <w:rPr>
          <w:b w:val="false"/>
          <w:i w:val="false"/>
        </w:rPr>
        <w:t>A66-B.78. Rail custody-event monitoring.</w:t>
      </w:r>
    </w:p>
    <w:p>
      <w:pPr>
        <w:pStyle w:val="Normal"/>
        <w:widowControl/>
        <w:rPr/>
      </w:pPr>
      <w:r>
        <w:rPr>
          <w:b w:val="false"/>
          <w:i w:val="false"/>
        </w:rPr>
        <w:t>A66-B.79. Rail yard risk targeting.</w:t>
      </w:r>
    </w:p>
    <w:p>
      <w:pPr>
        <w:pStyle w:val="Normal"/>
        <w:widowControl/>
        <w:rPr/>
      </w:pPr>
      <w:r>
        <w:rPr>
          <w:b w:val="false"/>
          <w:i w:val="false"/>
        </w:rPr>
        <w:t>A66-B.80. CPKC corridor security coordination.</w:t>
      </w:r>
    </w:p>
    <w:p>
      <w:pPr>
        <w:pStyle w:val="Normal"/>
        <w:widowControl/>
        <w:rPr/>
      </w:pPr>
      <w:r>
        <w:rPr>
          <w:b w:val="false"/>
          <w:i w:val="false"/>
        </w:rPr>
        <w:t>A66-B.81. Maritime domain-awareness exchange.</w:t>
      </w:r>
    </w:p>
    <w:p>
      <w:pPr>
        <w:pStyle w:val="Normal"/>
        <w:widowControl/>
        <w:rPr/>
      </w:pPr>
      <w:r>
        <w:rPr>
          <w:b w:val="false"/>
          <w:i w:val="false"/>
        </w:rPr>
        <w:t>A66-B.82. Small-vessel smuggling alerts.</w:t>
      </w:r>
    </w:p>
    <w:p>
      <w:pPr>
        <w:pStyle w:val="Normal"/>
        <w:widowControl/>
        <w:rPr/>
      </w:pPr>
      <w:r>
        <w:rPr>
          <w:b w:val="false"/>
          <w:i w:val="false"/>
        </w:rPr>
        <w:t>A66-B.83. Shared-water maritime notification.</w:t>
      </w:r>
    </w:p>
    <w:p>
      <w:pPr>
        <w:pStyle w:val="Normal"/>
        <w:widowControl/>
        <w:rPr/>
      </w:pPr>
      <w:r>
        <w:rPr>
          <w:b w:val="false"/>
          <w:i w:val="false"/>
        </w:rPr>
        <w:t>A66-B.84. High-risk vessel ownership analysis.</w:t>
      </w:r>
    </w:p>
    <w:p>
      <w:pPr>
        <w:pStyle w:val="Normal"/>
        <w:widowControl/>
        <w:rPr/>
      </w:pPr>
      <w:r>
        <w:rPr>
          <w:b w:val="false"/>
          <w:i w:val="false"/>
        </w:rPr>
        <w:t>A66-B.85. Reefer and container tamper monitoring.</w:t>
      </w:r>
    </w:p>
    <w:p>
      <w:pPr>
        <w:pStyle w:val="Normal"/>
        <w:widowControl/>
        <w:rPr/>
      </w:pPr>
      <w:r>
        <w:rPr>
          <w:b w:val="false"/>
          <w:i w:val="false"/>
        </w:rPr>
        <w:t>A66-B.86. Air-cargo targeting coordination.</w:t>
      </w:r>
    </w:p>
    <w:p>
      <w:pPr>
        <w:pStyle w:val="Normal"/>
        <w:widowControl/>
        <w:rPr/>
      </w:pPr>
      <w:r>
        <w:rPr>
          <w:b w:val="false"/>
          <w:i w:val="false"/>
        </w:rPr>
        <w:t>A66-B.87. General-aviation anomaly alerts.</w:t>
      </w:r>
    </w:p>
    <w:p>
      <w:pPr>
        <w:pStyle w:val="Normal"/>
        <w:widowControl/>
        <w:rPr/>
      </w:pPr>
      <w:r>
        <w:rPr>
          <w:b w:val="false"/>
          <w:i w:val="false"/>
        </w:rPr>
        <w:t>A66-B.88. Ground-handler integrity programs.</w:t>
      </w:r>
    </w:p>
    <w:p>
      <w:pPr>
        <w:pStyle w:val="Normal"/>
        <w:widowControl/>
        <w:rPr/>
      </w:pPr>
      <w:r>
        <w:rPr>
          <w:b w:val="false"/>
          <w:i w:val="false"/>
        </w:rPr>
        <w:t>A66-B.89. Airport cargo screening interoperability.</w:t>
      </w:r>
    </w:p>
    <w:p>
      <w:pPr>
        <w:pStyle w:val="Normal"/>
        <w:widowControl/>
        <w:rPr/>
      </w:pPr>
      <w:r>
        <w:rPr>
          <w:b w:val="false"/>
          <w:i w:val="false"/>
        </w:rPr>
        <w:t>A66-B.90. Ferry and cruise cargo-risk coordination.</w:t>
      </w:r>
    </w:p>
    <w:p>
      <w:pPr>
        <w:pStyle w:val="Normal"/>
        <w:widowControl/>
        <w:rPr/>
      </w:pPr>
      <w:r>
        <w:rPr>
          <w:b w:val="false"/>
          <w:i w:val="false"/>
        </w:rPr>
        <w:t>A66-B.91. Multimodal security threat assessment.</w:t>
      </w:r>
    </w:p>
    <w:p>
      <w:pPr>
        <w:pStyle w:val="Normal"/>
        <w:widowControl/>
        <w:rPr/>
      </w:pPr>
      <w:r>
        <w:rPr>
          <w:b/>
          <w:i w:val="false"/>
        </w:rPr>
        <w:t>Postal and Express Consignments</w:t>
      </w:r>
    </w:p>
    <w:p>
      <w:pPr>
        <w:pStyle w:val="Normal"/>
        <w:widowControl/>
        <w:rPr/>
      </w:pPr>
      <w:r>
        <w:rPr>
          <w:b w:val="false"/>
          <w:i w:val="false"/>
        </w:rPr>
        <w:t>A66-B.92. Advance electronic postal data.</w:t>
      </w:r>
    </w:p>
    <w:p>
      <w:pPr>
        <w:pStyle w:val="Normal"/>
        <w:widowControl/>
        <w:rPr/>
      </w:pPr>
      <w:r>
        <w:rPr>
          <w:b w:val="false"/>
          <w:i w:val="false"/>
        </w:rPr>
        <w:t>A66-B.93. Express-carrier risk-data standards.</w:t>
      </w:r>
    </w:p>
    <w:p>
      <w:pPr>
        <w:pStyle w:val="Normal"/>
        <w:widowControl/>
        <w:rPr/>
      </w:pPr>
      <w:r>
        <w:rPr>
          <w:b w:val="false"/>
          <w:i w:val="false"/>
        </w:rPr>
        <w:t>A66-B.94. Small-parcel trace detection.</w:t>
      </w:r>
    </w:p>
    <w:p>
      <w:pPr>
        <w:pStyle w:val="Normal"/>
        <w:widowControl/>
        <w:rPr/>
      </w:pPr>
      <w:r>
        <w:rPr>
          <w:b w:val="false"/>
          <w:i w:val="false"/>
        </w:rPr>
        <w:t>A66-B.95. Mail-facility fentanyl detection.</w:t>
      </w:r>
    </w:p>
    <w:p>
      <w:pPr>
        <w:pStyle w:val="Normal"/>
        <w:widowControl/>
        <w:rPr/>
      </w:pPr>
      <w:r>
        <w:rPr>
          <w:b w:val="false"/>
          <w:i w:val="false"/>
        </w:rPr>
        <w:t>A66-B.96. Reshipper-network mapping.</w:t>
      </w:r>
    </w:p>
    <w:p>
      <w:pPr>
        <w:pStyle w:val="Normal"/>
        <w:widowControl/>
        <w:rPr/>
      </w:pPr>
      <w:r>
        <w:rPr>
          <w:b w:val="false"/>
          <w:i w:val="false"/>
        </w:rPr>
        <w:t>A66-B.97. Parcel volume-anomaly analysis with safeguards.</w:t>
      </w:r>
    </w:p>
    <w:p>
      <w:pPr>
        <w:pStyle w:val="Normal"/>
        <w:widowControl/>
        <w:rPr/>
      </w:pPr>
      <w:r>
        <w:rPr>
          <w:b w:val="false"/>
          <w:i w:val="false"/>
        </w:rPr>
        <w:t>A66-B.98. Controlled-delivery coordination for parcels.</w:t>
      </w:r>
    </w:p>
    <w:p>
      <w:pPr>
        <w:pStyle w:val="Normal"/>
        <w:widowControl/>
        <w:rPr/>
      </w:pPr>
      <w:r>
        <w:rPr>
          <w:b w:val="false"/>
          <w:i w:val="false"/>
        </w:rPr>
        <w:t>A66-B.99. Postal and courier insider-threat programs.</w:t>
      </w:r>
    </w:p>
    <w:p>
      <w:pPr>
        <w:pStyle w:val="Normal"/>
        <w:widowControl/>
        <w:rPr/>
      </w:pPr>
      <w:r>
        <w:rPr>
          <w:b w:val="false"/>
          <w:i w:val="false"/>
        </w:rPr>
        <w:t>A66-B.100. E-commerce platform criminal-shipment referrals.</w:t>
      </w:r>
    </w:p>
    <w:p>
      <w:pPr>
        <w:pStyle w:val="Normal"/>
        <w:widowControl/>
        <w:rPr/>
      </w:pPr>
      <w:r>
        <w:rPr>
          <w:b w:val="false"/>
          <w:i w:val="false"/>
        </w:rPr>
        <w:t>A66-B.101. Parcel-locker trafficking risk controls.</w:t>
      </w:r>
    </w:p>
    <w:p>
      <w:pPr>
        <w:pStyle w:val="Normal"/>
        <w:widowControl/>
        <w:rPr/>
      </w:pPr>
      <w:r>
        <w:rPr>
          <w:b w:val="false"/>
          <w:i w:val="false"/>
        </w:rPr>
        <w:t>A66-B.102. International mail canine deployment.</w:t>
      </w:r>
    </w:p>
    <w:p>
      <w:pPr>
        <w:pStyle w:val="Normal"/>
        <w:widowControl/>
        <w:rPr/>
      </w:pPr>
      <w:r>
        <w:rPr>
          <w:b w:val="false"/>
          <w:i w:val="false"/>
        </w:rPr>
        <w:t>A66-B.103. Annual postal-security effectiveness audit.</w:t>
      </w:r>
    </w:p>
    <w:p>
      <w:pPr>
        <w:pStyle w:val="Normal"/>
        <w:widowControl/>
        <w:rPr/>
      </w:pPr>
      <w:r>
        <w:rPr>
          <w:b/>
          <w:i w:val="false"/>
        </w:rPr>
        <w:t>Organized Crime and Judicial Cooperation</w:t>
      </w:r>
    </w:p>
    <w:p>
      <w:pPr>
        <w:pStyle w:val="Normal"/>
        <w:widowControl/>
        <w:rPr/>
      </w:pPr>
      <w:r>
        <w:rPr>
          <w:b w:val="false"/>
          <w:i w:val="false"/>
        </w:rPr>
        <w:t>A66-B.104. Case-specific lead-country designation.</w:t>
      </w:r>
    </w:p>
    <w:p>
      <w:pPr>
        <w:pStyle w:val="Normal"/>
        <w:widowControl/>
        <w:rPr/>
      </w:pPr>
      <w:r>
        <w:rPr>
          <w:b w:val="false"/>
          <w:i w:val="false"/>
        </w:rPr>
        <w:t>A66-B.105. 24/7 operational deconfliction.</w:t>
      </w:r>
    </w:p>
    <w:p>
      <w:pPr>
        <w:pStyle w:val="Normal"/>
        <w:widowControl/>
        <w:rPr/>
      </w:pPr>
      <w:r>
        <w:rPr>
          <w:b w:val="false"/>
          <w:i w:val="false"/>
        </w:rPr>
        <w:t>A66-B.106. Law-enforcement liaison officers.</w:t>
      </w:r>
    </w:p>
    <w:p>
      <w:pPr>
        <w:pStyle w:val="Normal"/>
        <w:widowControl/>
        <w:rPr/>
      </w:pPr>
      <w:r>
        <w:rPr>
          <w:b w:val="false"/>
          <w:i w:val="false"/>
        </w:rPr>
        <w:t>A66-B.107. Rapid mutual-legal-assistance channel.</w:t>
      </w:r>
    </w:p>
    <w:p>
      <w:pPr>
        <w:pStyle w:val="Normal"/>
        <w:widowControl/>
        <w:rPr/>
      </w:pPr>
      <w:r>
        <w:rPr>
          <w:b w:val="false"/>
          <w:i w:val="false"/>
        </w:rPr>
        <w:t>A66-B.108. Extradition case coordination.</w:t>
      </w:r>
    </w:p>
    <w:p>
      <w:pPr>
        <w:pStyle w:val="Normal"/>
        <w:widowControl/>
        <w:rPr/>
      </w:pPr>
      <w:r>
        <w:rPr>
          <w:b w:val="false"/>
          <w:i w:val="false"/>
        </w:rPr>
        <w:t>A66-B.109. Witness-protection cooperation.</w:t>
      </w:r>
    </w:p>
    <w:p>
      <w:pPr>
        <w:pStyle w:val="Normal"/>
        <w:widowControl/>
        <w:rPr/>
      </w:pPr>
      <w:r>
        <w:rPr>
          <w:b w:val="false"/>
          <w:i w:val="false"/>
        </w:rPr>
        <w:t>A66-B.110. Lawful undercover-operation deconfliction.</w:t>
      </w:r>
    </w:p>
    <w:p>
      <w:pPr>
        <w:pStyle w:val="Normal"/>
        <w:widowControl/>
        <w:rPr/>
      </w:pPr>
      <w:r>
        <w:rPr>
          <w:b w:val="false"/>
          <w:i w:val="false"/>
        </w:rPr>
        <w:t>A66-B.111. Organized-crime logistics investigations.</w:t>
      </w:r>
    </w:p>
    <w:p>
      <w:pPr>
        <w:pStyle w:val="Normal"/>
        <w:widowControl/>
        <w:rPr/>
      </w:pPr>
      <w:r>
        <w:rPr>
          <w:b w:val="false"/>
          <w:i w:val="false"/>
        </w:rPr>
        <w:t>A66-B.112. Port infiltration investigations.</w:t>
      </w:r>
    </w:p>
    <w:p>
      <w:pPr>
        <w:pStyle w:val="Normal"/>
        <w:widowControl/>
        <w:rPr/>
      </w:pPr>
      <w:r>
        <w:rPr>
          <w:b w:val="false"/>
          <w:i w:val="false"/>
        </w:rPr>
        <w:t>A66-B.113. Stolen-vehicle export-network investigations.</w:t>
      </w:r>
    </w:p>
    <w:p>
      <w:pPr>
        <w:pStyle w:val="Normal"/>
        <w:widowControl/>
        <w:rPr/>
      </w:pPr>
      <w:r>
        <w:rPr>
          <w:b w:val="false"/>
          <w:i w:val="false"/>
        </w:rPr>
        <w:t>A66-B.114. Technical evidence coordination.</w:t>
      </w:r>
    </w:p>
    <w:p>
      <w:pPr>
        <w:pStyle w:val="Normal"/>
        <w:widowControl/>
        <w:rPr/>
      </w:pPr>
      <w:r>
        <w:rPr>
          <w:b/>
          <w:i w:val="false"/>
        </w:rPr>
        <w:t>Firearms and Reciprocal Criminal Flows</w:t>
      </w:r>
    </w:p>
    <w:p>
      <w:pPr>
        <w:pStyle w:val="Normal"/>
        <w:widowControl/>
        <w:rPr/>
      </w:pPr>
      <w:r>
        <w:rPr>
          <w:b w:val="false"/>
          <w:i w:val="false"/>
        </w:rPr>
        <w:t>A66-B.115. Crime-gun tracing cooperation.</w:t>
      </w:r>
    </w:p>
    <w:p>
      <w:pPr>
        <w:pStyle w:val="Normal"/>
        <w:widowControl/>
        <w:rPr/>
      </w:pPr>
      <w:r>
        <w:rPr>
          <w:b w:val="false"/>
          <w:i w:val="false"/>
        </w:rPr>
        <w:t>A66-B.116. Ballistic technical evidence exchange.</w:t>
      </w:r>
    </w:p>
    <w:p>
      <w:pPr>
        <w:pStyle w:val="Normal"/>
        <w:widowControl/>
        <w:rPr/>
      </w:pPr>
      <w:r>
        <w:rPr>
          <w:b w:val="false"/>
          <w:i w:val="false"/>
        </w:rPr>
        <w:t>A66-B.117. Illegal firearms export interdiction.</w:t>
      </w:r>
    </w:p>
    <w:p>
      <w:pPr>
        <w:pStyle w:val="Normal"/>
        <w:widowControl/>
        <w:rPr/>
      </w:pPr>
      <w:r>
        <w:rPr>
          <w:b w:val="false"/>
          <w:i w:val="false"/>
        </w:rPr>
        <w:t>A66-B.118. Straw-purchase trafficking investigations.</w:t>
      </w:r>
    </w:p>
    <w:p>
      <w:pPr>
        <w:pStyle w:val="Normal"/>
        <w:widowControl/>
        <w:rPr/>
      </w:pPr>
      <w:r>
        <w:rPr>
          <w:b w:val="false"/>
          <w:i w:val="false"/>
        </w:rPr>
        <w:t>A66-B.119. Firearms-smuggling network investigations.</w:t>
      </w:r>
    </w:p>
    <w:p>
      <w:pPr>
        <w:pStyle w:val="Normal"/>
        <w:widowControl/>
        <w:rPr/>
      </w:pPr>
      <w:r>
        <w:rPr>
          <w:b w:val="false"/>
          <w:i w:val="false"/>
        </w:rPr>
        <w:t>A66-B.120. Firearms trafficking prosecution coordination.</w:t>
      </w:r>
    </w:p>
    <w:p>
      <w:pPr>
        <w:pStyle w:val="Normal"/>
        <w:widowControl/>
        <w:rPr/>
      </w:pPr>
      <w:r>
        <w:rPr>
          <w:b w:val="false"/>
          <w:i w:val="false"/>
        </w:rPr>
        <w:t>A66-B.121. Firearms-route intelligence exchange.</w:t>
      </w:r>
    </w:p>
    <w:p>
      <w:pPr>
        <w:pStyle w:val="Normal"/>
        <w:widowControl/>
        <w:rPr/>
      </w:pPr>
      <w:r>
        <w:rPr>
          <w:b w:val="false"/>
          <w:i w:val="false"/>
        </w:rPr>
        <w:t>A66-B.122. Annual reciprocal illicit-flow assessment.</w:t>
      </w:r>
    </w:p>
    <w:p>
      <w:pPr>
        <w:pStyle w:val="Normal"/>
        <w:widowControl/>
        <w:rPr/>
      </w:pPr>
      <w:r>
        <w:rPr>
          <w:b/>
          <w:i w:val="false"/>
        </w:rPr>
        <w:t>Illicit Finance and Assets</w:t>
      </w:r>
    </w:p>
    <w:p>
      <w:pPr>
        <w:pStyle w:val="Normal"/>
        <w:widowControl/>
        <w:rPr/>
      </w:pPr>
      <w:r>
        <w:rPr>
          <w:b w:val="false"/>
          <w:i w:val="false"/>
        </w:rPr>
        <w:t>A66-B.123. FINTRAC-FinCEN-UIF structured cooperation.</w:t>
      </w:r>
    </w:p>
    <w:p>
      <w:pPr>
        <w:pStyle w:val="Normal"/>
        <w:widowControl/>
        <w:rPr/>
      </w:pPr>
      <w:r>
        <w:rPr>
          <w:b w:val="false"/>
          <w:i w:val="false"/>
        </w:rPr>
        <w:t>A66-B.124. Trade-based money-laundering typologies.</w:t>
      </w:r>
    </w:p>
    <w:p>
      <w:pPr>
        <w:pStyle w:val="Normal"/>
        <w:widowControl/>
        <w:rPr/>
      </w:pPr>
      <w:r>
        <w:rPr>
          <w:b w:val="false"/>
          <w:i w:val="false"/>
        </w:rPr>
        <w:t>A66-B.125. Criminal beneficial-ownership analysis.</w:t>
      </w:r>
    </w:p>
    <w:p>
      <w:pPr>
        <w:pStyle w:val="Normal"/>
        <w:widowControl/>
        <w:rPr/>
      </w:pPr>
      <w:r>
        <w:rPr>
          <w:b w:val="false"/>
          <w:i w:val="false"/>
        </w:rPr>
        <w:t>A66-B.126. Virtual-asset laundering investigations.</w:t>
      </w:r>
    </w:p>
    <w:p>
      <w:pPr>
        <w:pStyle w:val="Normal"/>
        <w:widowControl/>
        <w:rPr/>
      </w:pPr>
      <w:r>
        <w:rPr>
          <w:b w:val="false"/>
          <w:i w:val="false"/>
        </w:rPr>
        <w:t>A66-B.127. Payment-processor abuse investigations.</w:t>
      </w:r>
    </w:p>
    <w:p>
      <w:pPr>
        <w:pStyle w:val="Normal"/>
        <w:widowControl/>
        <w:rPr/>
      </w:pPr>
      <w:r>
        <w:rPr>
          <w:b w:val="false"/>
          <w:i w:val="false"/>
        </w:rPr>
        <w:t>A66-B.128. Money-service-business risk cooperation.</w:t>
      </w:r>
    </w:p>
    <w:p>
      <w:pPr>
        <w:pStyle w:val="Normal"/>
        <w:widowControl/>
        <w:rPr/>
      </w:pPr>
      <w:r>
        <w:rPr>
          <w:b w:val="false"/>
          <w:i w:val="false"/>
        </w:rPr>
        <w:t>A66-B.129. Asset tracing and lawful recovery cooperation.</w:t>
      </w:r>
    </w:p>
    <w:p>
      <w:pPr>
        <w:pStyle w:val="Normal"/>
        <w:widowControl/>
        <w:rPr/>
      </w:pPr>
      <w:r>
        <w:rPr>
          <w:b w:val="false"/>
          <w:i w:val="false"/>
        </w:rPr>
        <w:t>A66-B.130. Suspicious-transaction quality improvement.</w:t>
      </w:r>
    </w:p>
    <w:p>
      <w:pPr>
        <w:pStyle w:val="Normal"/>
        <w:widowControl/>
        <w:rPr/>
      </w:pPr>
      <w:r>
        <w:rPr>
          <w:b/>
          <w:i w:val="false"/>
        </w:rPr>
        <w:t>Cyber and Darknet Trafficking</w:t>
      </w:r>
    </w:p>
    <w:p>
      <w:pPr>
        <w:pStyle w:val="Normal"/>
        <w:widowControl/>
        <w:rPr/>
      </w:pPr>
      <w:r>
        <w:rPr>
          <w:b w:val="false"/>
          <w:i w:val="false"/>
        </w:rPr>
        <w:t>A66-B.131. Darknet synthetic-drug market disruption.</w:t>
      </w:r>
    </w:p>
    <w:p>
      <w:pPr>
        <w:pStyle w:val="Normal"/>
        <w:widowControl/>
        <w:rPr/>
      </w:pPr>
      <w:r>
        <w:rPr>
          <w:b w:val="false"/>
          <w:i w:val="false"/>
        </w:rPr>
        <w:t>A66-B.132. Rapid cross-border digital-evidence preservation.</w:t>
      </w:r>
    </w:p>
    <w:p>
      <w:pPr>
        <w:pStyle w:val="Normal"/>
        <w:widowControl/>
        <w:rPr/>
      </w:pPr>
      <w:r>
        <w:rPr/>
        <w:t>ANNEX 66-C — CONTROLLED NATIONAL IMPLEMENTATION SCHEDULE REGISTER</w:t>
      </w:r>
    </w:p>
    <w:p>
      <w:pPr>
        <w:pStyle w:val="Normal"/>
        <w:widowControl/>
        <w:rPr/>
      </w:pPr>
      <w:r>
        <w:rPr>
          <w:b w:val="false"/>
          <w:i w:val="false"/>
        </w:rPr>
        <w:t>These sixty-six schedule categories are implementation containers, not self-executing claims that a named site, quantity, budget or authority already exists. Each Party shall verify facts and authority before certification.</w:t>
      </w:r>
    </w:p>
    <w:p>
      <w:pPr>
        <w:pStyle w:val="Normal"/>
        <w:widowControl/>
        <w:rPr/>
      </w:pPr>
      <w:r>
        <w:rPr>
          <w:b w:val="false"/>
          <w:i w:val="false"/>
        </w:rPr>
        <w:t>A66-C.1. Named land-port scanner deployment sites.</w:t>
      </w:r>
    </w:p>
    <w:p>
      <w:pPr>
        <w:pStyle w:val="Normal"/>
        <w:widowControl/>
        <w:rPr/>
      </w:pPr>
      <w:r>
        <w:rPr>
          <w:b w:val="false"/>
          <w:i w:val="false"/>
        </w:rPr>
        <w:t>A66-C.2. Named rail-port scanner deployment sites.</w:t>
      </w:r>
    </w:p>
    <w:p>
      <w:pPr>
        <w:pStyle w:val="Normal"/>
        <w:widowControl/>
        <w:rPr/>
      </w:pPr>
      <w:r>
        <w:rPr>
          <w:b w:val="false"/>
          <w:i w:val="false"/>
        </w:rPr>
        <w:t>A66-C.3. Named marine-container scanner deployment sites.</w:t>
      </w:r>
    </w:p>
    <w:p>
      <w:pPr>
        <w:pStyle w:val="Normal"/>
        <w:widowControl/>
        <w:rPr/>
      </w:pPr>
      <w:r>
        <w:rPr>
          <w:b w:val="false"/>
          <w:i w:val="false"/>
        </w:rPr>
        <w:t>A66-C.4. Named airport cargo-screening sites.</w:t>
      </w:r>
    </w:p>
    <w:p>
      <w:pPr>
        <w:pStyle w:val="Normal"/>
        <w:widowControl/>
        <w:rPr/>
      </w:pPr>
      <w:r>
        <w:rPr>
          <w:b w:val="false"/>
          <w:i w:val="false"/>
        </w:rPr>
        <w:t>A66-C.5. Mobile NII fleet quantities.</w:t>
      </w:r>
    </w:p>
    <w:p>
      <w:pPr>
        <w:pStyle w:val="Normal"/>
        <w:widowControl/>
        <w:rPr/>
      </w:pPr>
      <w:r>
        <w:rPr>
          <w:b w:val="false"/>
          <w:i w:val="false"/>
        </w:rPr>
        <w:t>A66-C.6. Handheld chemical-identification quantities.</w:t>
      </w:r>
    </w:p>
    <w:p>
      <w:pPr>
        <w:pStyle w:val="Normal"/>
        <w:widowControl/>
        <w:rPr/>
      </w:pPr>
      <w:r>
        <w:rPr>
          <w:b w:val="false"/>
          <w:i w:val="false"/>
        </w:rPr>
        <w:t>A66-C.7. Trace-detection equipment quantities.</w:t>
      </w:r>
    </w:p>
    <w:p>
      <w:pPr>
        <w:pStyle w:val="Normal"/>
        <w:widowControl/>
        <w:rPr/>
      </w:pPr>
      <w:r>
        <w:rPr>
          <w:b w:val="false"/>
          <w:i w:val="false"/>
        </w:rPr>
        <w:t>A66-C.8. Radiation-monitor quantities.</w:t>
      </w:r>
    </w:p>
    <w:p>
      <w:pPr>
        <w:pStyle w:val="Normal"/>
        <w:widowControl/>
        <w:rPr/>
      </w:pPr>
      <w:r>
        <w:rPr>
          <w:b w:val="false"/>
          <w:i w:val="false"/>
        </w:rPr>
        <w:t>A66-C.9. Tunnel-detection equipment deployments.</w:t>
      </w:r>
    </w:p>
    <w:p>
      <w:pPr>
        <w:pStyle w:val="Normal"/>
        <w:widowControl/>
        <w:rPr/>
      </w:pPr>
      <w:r>
        <w:rPr>
          <w:b w:val="false"/>
          <w:i w:val="false"/>
        </w:rPr>
        <w:t>A66-C.10. Counter-drone sensor deployments.</w:t>
      </w:r>
    </w:p>
    <w:p>
      <w:pPr>
        <w:pStyle w:val="Normal"/>
        <w:widowControl/>
        <w:rPr/>
      </w:pPr>
      <w:r>
        <w:rPr>
          <w:b w:val="false"/>
          <w:i w:val="false"/>
        </w:rPr>
        <w:t>A66-C.11. Scanner commissioning dates.</w:t>
      </w:r>
    </w:p>
    <w:p>
      <w:pPr>
        <w:pStyle w:val="Normal"/>
        <w:widowControl/>
        <w:rPr/>
      </w:pPr>
      <w:r>
        <w:rPr>
          <w:b w:val="false"/>
          <w:i w:val="false"/>
        </w:rPr>
        <w:t>A66-C.12. Scanner uptime targets.</w:t>
      </w:r>
    </w:p>
    <w:p>
      <w:pPr>
        <w:pStyle w:val="Normal"/>
        <w:widowControl/>
        <w:rPr/>
      </w:pPr>
      <w:r>
        <w:rPr>
          <w:b w:val="false"/>
          <w:i w:val="false"/>
        </w:rPr>
        <w:t>A66-C.13. Maintenance-response targets.</w:t>
      </w:r>
    </w:p>
    <w:p>
      <w:pPr>
        <w:pStyle w:val="Normal"/>
        <w:widowControl/>
        <w:rPr/>
      </w:pPr>
      <w:r>
        <w:rPr>
          <w:b w:val="false"/>
          <w:i w:val="false"/>
        </w:rPr>
        <w:t>A66-C.14. Spare-parts and lifecycle plans.</w:t>
      </w:r>
    </w:p>
    <w:p>
      <w:pPr>
        <w:pStyle w:val="Normal"/>
        <w:widowControl/>
        <w:rPr/>
      </w:pPr>
      <w:r>
        <w:rPr>
          <w:b w:val="false"/>
          <w:i w:val="false"/>
        </w:rPr>
        <w:t>A66-C.15. Fentanyl canine-team quantities.</w:t>
      </w:r>
    </w:p>
    <w:p>
      <w:pPr>
        <w:pStyle w:val="Normal"/>
        <w:widowControl/>
        <w:rPr/>
      </w:pPr>
      <w:r>
        <w:rPr>
          <w:b w:val="false"/>
          <w:i w:val="false"/>
        </w:rPr>
        <w:t>A66-C.16. Other specialized canine-team quantities.</w:t>
      </w:r>
    </w:p>
    <w:p>
      <w:pPr>
        <w:pStyle w:val="Normal"/>
        <w:widowControl/>
        <w:rPr/>
      </w:pPr>
      <w:r>
        <w:rPr>
          <w:b w:val="false"/>
          <w:i w:val="false"/>
        </w:rPr>
        <w:t>A66-C.17. Canine regional deployment plans.</w:t>
      </w:r>
    </w:p>
    <w:p>
      <w:pPr>
        <w:pStyle w:val="Normal"/>
        <w:widowControl/>
        <w:rPr/>
      </w:pPr>
      <w:r>
        <w:rPr>
          <w:b w:val="false"/>
          <w:i w:val="false"/>
        </w:rPr>
        <w:t>A66-C.18. Canine training throughput.</w:t>
      </w:r>
    </w:p>
    <w:p>
      <w:pPr>
        <w:pStyle w:val="Normal"/>
        <w:widowControl/>
        <w:rPr/>
      </w:pPr>
      <w:r>
        <w:rPr>
          <w:b w:val="false"/>
          <w:i w:val="false"/>
        </w:rPr>
        <w:t>A66-C.19. Regional laboratory locations.</w:t>
      </w:r>
    </w:p>
    <w:p>
      <w:pPr>
        <w:pStyle w:val="Normal"/>
        <w:widowControl/>
        <w:rPr/>
      </w:pPr>
      <w:r>
        <w:rPr>
          <w:b w:val="false"/>
          <w:i w:val="false"/>
        </w:rPr>
        <w:t>A66-C.20. Mobile laboratory deployments.</w:t>
      </w:r>
    </w:p>
    <w:p>
      <w:pPr>
        <w:pStyle w:val="Normal"/>
        <w:widowControl/>
        <w:rPr/>
      </w:pPr>
      <w:r>
        <w:rPr>
          <w:b w:val="false"/>
          <w:i w:val="false"/>
        </w:rPr>
        <w:t>A66-C.21. Laboratory turnaround targets.</w:t>
      </w:r>
    </w:p>
    <w:p>
      <w:pPr>
        <w:pStyle w:val="Normal"/>
        <w:widowControl/>
        <w:rPr/>
      </w:pPr>
      <w:r>
        <w:rPr>
          <w:b w:val="false"/>
          <w:i w:val="false"/>
        </w:rPr>
        <w:t>A66-C.22. Laboratory proficiency-test calendar.</w:t>
      </w:r>
    </w:p>
    <w:p>
      <w:pPr>
        <w:pStyle w:val="Normal"/>
        <w:widowControl/>
        <w:rPr/>
      </w:pPr>
      <w:r>
        <w:rPr>
          <w:b w:val="false"/>
          <w:i w:val="false"/>
        </w:rPr>
        <w:t>A66-C.23. Precursor analytical priority list.</w:t>
      </w:r>
    </w:p>
    <w:p>
      <w:pPr>
        <w:pStyle w:val="Normal"/>
        <w:widowControl/>
        <w:rPr/>
      </w:pPr>
      <w:r>
        <w:rPr>
          <w:b w:val="false"/>
          <w:i w:val="false"/>
        </w:rPr>
        <w:t>A66-C.24. Domestic precursor-review target timelines.</w:t>
      </w:r>
    </w:p>
    <w:p>
      <w:pPr>
        <w:pStyle w:val="Normal"/>
        <w:widowControl/>
        <w:rPr/>
      </w:pPr>
      <w:r>
        <w:rPr>
          <w:b w:val="false"/>
          <w:i w:val="false"/>
        </w:rPr>
        <w:t>A66-C.25. Pill-press control implementation dates.</w:t>
      </w:r>
    </w:p>
    <w:p>
      <w:pPr>
        <w:pStyle w:val="Normal"/>
        <w:widowControl/>
        <w:rPr/>
      </w:pPr>
      <w:r>
        <w:rPr>
          <w:b w:val="false"/>
          <w:i w:val="false"/>
        </w:rPr>
        <w:t>A66-C.26. Industry outreach schedules.</w:t>
      </w:r>
    </w:p>
    <w:p>
      <w:pPr>
        <w:pStyle w:val="Normal"/>
        <w:widowControl/>
        <w:rPr/>
      </w:pPr>
      <w:r>
        <w:rPr>
          <w:b w:val="false"/>
          <w:i w:val="false"/>
        </w:rPr>
        <w:t>A66-C.27. High-risk port targeting pilots.</w:t>
      </w:r>
    </w:p>
    <w:p>
      <w:pPr>
        <w:pStyle w:val="Normal"/>
        <w:widowControl/>
        <w:rPr/>
      </w:pPr>
      <w:r>
        <w:rPr>
          <w:b w:val="false"/>
          <w:i w:val="false"/>
        </w:rPr>
        <w:t>A66-C.28. Targeting-center liaison staffing.</w:t>
      </w:r>
    </w:p>
    <w:p>
      <w:pPr>
        <w:pStyle w:val="Normal"/>
        <w:widowControl/>
        <w:rPr/>
      </w:pPr>
      <w:r>
        <w:rPr>
          <w:b w:val="false"/>
          <w:i w:val="false"/>
        </w:rPr>
        <w:t>A66-C.29. Risk-alert response-time targets.</w:t>
      </w:r>
    </w:p>
    <w:p>
      <w:pPr>
        <w:pStyle w:val="Normal"/>
        <w:widowControl/>
        <w:rPr/>
      </w:pPr>
      <w:r>
        <w:rPr>
          <w:b w:val="false"/>
          <w:i w:val="false"/>
        </w:rPr>
        <w:t>A66-C.30. Trusted-trader security pilots.</w:t>
      </w:r>
    </w:p>
    <w:p>
      <w:pPr>
        <w:pStyle w:val="Normal"/>
        <w:widowControl/>
        <w:rPr/>
      </w:pPr>
      <w:r>
        <w:rPr>
          <w:b w:val="false"/>
          <w:i w:val="false"/>
        </w:rPr>
        <w:t>A66-C.31. Cargo hit-rate baselines.</w:t>
      </w:r>
    </w:p>
    <w:p>
      <w:pPr>
        <w:pStyle w:val="Normal"/>
        <w:widowControl/>
        <w:rPr/>
      </w:pPr>
      <w:r>
        <w:rPr>
          <w:b w:val="false"/>
          <w:i w:val="false"/>
        </w:rPr>
        <w:t>A66-C.32. Cargo false-positive baselines.</w:t>
      </w:r>
    </w:p>
    <w:p>
      <w:pPr>
        <w:pStyle w:val="Normal"/>
        <w:widowControl/>
        <w:rPr/>
      </w:pPr>
      <w:r>
        <w:rPr>
          <w:b w:val="false"/>
          <w:i w:val="false"/>
        </w:rPr>
        <w:t>A66-C.33. Port wait-time baselines.</w:t>
      </w:r>
    </w:p>
    <w:p>
      <w:pPr>
        <w:pStyle w:val="Normal"/>
        <w:widowControl/>
        <w:rPr/>
      </w:pPr>
      <w:r>
        <w:rPr>
          <w:b w:val="false"/>
          <w:i w:val="false"/>
        </w:rPr>
        <w:t>A66-C.34. Redundant-inspection reduction targets.</w:t>
      </w:r>
    </w:p>
    <w:p>
      <w:pPr>
        <w:pStyle w:val="Normal"/>
        <w:widowControl/>
        <w:rPr/>
      </w:pPr>
      <w:r>
        <w:rPr>
          <w:b w:val="false"/>
          <w:i w:val="false"/>
        </w:rPr>
        <w:t>A66-C.35. CPKC corridor implementation sites.</w:t>
      </w:r>
    </w:p>
    <w:p>
      <w:pPr>
        <w:pStyle w:val="Normal"/>
        <w:widowControl/>
        <w:rPr/>
      </w:pPr>
      <w:r>
        <w:rPr>
          <w:b w:val="false"/>
          <w:i w:val="false"/>
        </w:rPr>
        <w:t>A66-C.36. Rail seal pilot routes.</w:t>
      </w:r>
    </w:p>
    <w:p>
      <w:pPr>
        <w:pStyle w:val="Normal"/>
        <w:widowControl/>
        <w:rPr/>
      </w:pPr>
      <w:r>
        <w:rPr>
          <w:b w:val="false"/>
          <w:i w:val="false"/>
        </w:rPr>
        <w:t>A66-C.37. Port security modernization sites.</w:t>
      </w:r>
    </w:p>
    <w:p>
      <w:pPr>
        <w:pStyle w:val="Normal"/>
        <w:widowControl/>
        <w:rPr/>
      </w:pPr>
      <w:r>
        <w:rPr>
          <w:b w:val="false"/>
          <w:i w:val="false"/>
        </w:rPr>
        <w:t>A66-C.38. Maritime awareness deployment areas.</w:t>
      </w:r>
    </w:p>
    <w:p>
      <w:pPr>
        <w:pStyle w:val="Normal"/>
        <w:widowControl/>
        <w:rPr/>
      </w:pPr>
      <w:r>
        <w:rPr>
          <w:b w:val="false"/>
          <w:i w:val="false"/>
        </w:rPr>
        <w:t>A66-C.39. Air-cargo priority airports.</w:t>
      </w:r>
    </w:p>
    <w:p>
      <w:pPr>
        <w:pStyle w:val="Normal"/>
        <w:widowControl/>
        <w:rPr/>
      </w:pPr>
      <w:r>
        <w:rPr>
          <w:b w:val="false"/>
          <w:i w:val="false"/>
        </w:rPr>
        <w:t>A66-C.40. General-aviation priority locations.</w:t>
      </w:r>
    </w:p>
    <w:p>
      <w:pPr>
        <w:pStyle w:val="Normal"/>
        <w:widowControl/>
        <w:rPr/>
      </w:pPr>
      <w:r>
        <w:rPr>
          <w:b w:val="false"/>
          <w:i w:val="false"/>
        </w:rPr>
        <w:t>A66-C.41. Postal inspection modernization sites.</w:t>
      </w:r>
    </w:p>
    <w:p>
      <w:pPr>
        <w:pStyle w:val="Normal"/>
        <w:widowControl/>
        <w:rPr/>
      </w:pPr>
      <w:r>
        <w:rPr>
          <w:b w:val="false"/>
          <w:i w:val="false"/>
        </w:rPr>
        <w:t>A66-C.42. Express-carrier data pilots.</w:t>
      </w:r>
    </w:p>
    <w:p>
      <w:pPr>
        <w:pStyle w:val="Normal"/>
        <w:widowControl/>
        <w:rPr/>
      </w:pPr>
      <w:r>
        <w:rPr>
          <w:b w:val="false"/>
          <w:i w:val="false"/>
        </w:rPr>
        <w:t>A66-C.43. Small-parcel detection equipment sites.</w:t>
      </w:r>
    </w:p>
    <w:p>
      <w:pPr>
        <w:pStyle w:val="Normal"/>
        <w:widowControl/>
        <w:rPr/>
      </w:pPr>
      <w:r>
        <w:rPr>
          <w:b w:val="false"/>
          <w:i w:val="false"/>
        </w:rPr>
        <w:t>A66-C.44. Organized-crime liaison placements.</w:t>
      </w:r>
    </w:p>
    <w:p>
      <w:pPr>
        <w:pStyle w:val="Normal"/>
        <w:widowControl/>
        <w:rPr/>
      </w:pPr>
      <w:r>
        <w:rPr>
          <w:b w:val="false"/>
          <w:i w:val="false"/>
        </w:rPr>
        <w:t>A66-C.45. Rapid-MLAT service standards.</w:t>
      </w:r>
    </w:p>
    <w:p>
      <w:pPr>
        <w:pStyle w:val="Normal"/>
        <w:widowControl/>
        <w:rPr/>
      </w:pPr>
      <w:r>
        <w:rPr>
          <w:b w:val="false"/>
          <w:i w:val="false"/>
        </w:rPr>
        <w:t>A66-C.46. Firearms tracing capacity targets.</w:t>
      </w:r>
    </w:p>
    <w:p>
      <w:pPr>
        <w:pStyle w:val="Normal"/>
        <w:widowControl/>
        <w:rPr/>
      </w:pPr>
      <w:r>
        <w:rPr>
          <w:b w:val="false"/>
          <w:i w:val="false"/>
        </w:rPr>
        <w:t>A66-C.47. Ballistic exchange implementation milestones.</w:t>
      </w:r>
    </w:p>
    <w:p>
      <w:pPr>
        <w:pStyle w:val="Normal"/>
        <w:widowControl/>
        <w:rPr/>
      </w:pPr>
      <w:r>
        <w:rPr>
          <w:b w:val="false"/>
          <w:i w:val="false"/>
        </w:rPr>
        <w:t>A66-C.48. Illegal-firearms export-interdiction priorities.</w:t>
      </w:r>
    </w:p>
    <w:p>
      <w:pPr>
        <w:pStyle w:val="Normal"/>
        <w:widowControl/>
        <w:rPr/>
      </w:pPr>
      <w:r>
        <w:rPr>
          <w:b w:val="false"/>
          <w:i w:val="false"/>
        </w:rPr>
        <w:t>A66-C.49. Stolen-vehicle export-interdiction priorities.</w:t>
      </w:r>
    </w:p>
    <w:p>
      <w:pPr>
        <w:pStyle w:val="Normal"/>
        <w:widowControl/>
        <w:rPr/>
      </w:pPr>
      <w:r>
        <w:rPr>
          <w:b w:val="false"/>
          <w:i w:val="false"/>
        </w:rPr>
        <w:t>A66-C.50. Financial-intelligence liaison arrangements.</w:t>
      </w:r>
    </w:p>
    <w:p>
      <w:pPr>
        <w:pStyle w:val="Normal"/>
        <w:widowControl/>
        <w:rPr/>
      </w:pPr>
      <w:r>
        <w:rPr>
          <w:b w:val="false"/>
          <w:i w:val="false"/>
        </w:rPr>
        <w:t>A66-C.51. TBML analytical priorities.</w:t>
      </w:r>
    </w:p>
    <w:p>
      <w:pPr>
        <w:pStyle w:val="Normal"/>
        <w:widowControl/>
        <w:rPr/>
      </w:pPr>
      <w:r>
        <w:rPr>
          <w:b w:val="false"/>
          <w:i w:val="false"/>
        </w:rPr>
        <w:t>A66-C.52. Virtual-asset training targets.</w:t>
      </w:r>
    </w:p>
    <w:p>
      <w:pPr>
        <w:pStyle w:val="Normal"/>
        <w:widowControl/>
        <w:rPr/>
      </w:pPr>
      <w:r>
        <w:rPr>
          <w:b w:val="false"/>
          <w:i w:val="false"/>
        </w:rPr>
        <w:t>A66-C.53. Digital-evidence contact rosters.</w:t>
      </w:r>
    </w:p>
    <w:p>
      <w:pPr>
        <w:pStyle w:val="Normal"/>
        <w:widowControl/>
        <w:rPr/>
      </w:pPr>
      <w:r>
        <w:rPr>
          <w:b w:val="false"/>
          <w:i w:val="false"/>
        </w:rPr>
        <w:t>A66-C.54. Officer fentanyl-safety training targets.</w:t>
      </w:r>
    </w:p>
    <w:p>
      <w:pPr>
        <w:pStyle w:val="Normal"/>
        <w:widowControl/>
        <w:rPr/>
      </w:pPr>
      <w:r>
        <w:rPr>
          <w:b w:val="false"/>
          <w:i w:val="false"/>
        </w:rPr>
        <w:t>A66-C.55. Chemical-detection training targets.</w:t>
      </w:r>
    </w:p>
    <w:p>
      <w:pPr>
        <w:pStyle w:val="Normal"/>
        <w:widowControl/>
        <w:rPr/>
      </w:pPr>
      <w:r>
        <w:rPr>
          <w:b w:val="false"/>
          <w:i w:val="false"/>
        </w:rPr>
        <w:t>A66-C.56. Counter-drone training targets.</w:t>
      </w:r>
    </w:p>
    <w:p>
      <w:pPr>
        <w:pStyle w:val="Normal"/>
        <w:widowControl/>
        <w:rPr/>
      </w:pPr>
      <w:r>
        <w:rPr>
          <w:b w:val="false"/>
          <w:i w:val="false"/>
        </w:rPr>
        <w:t>A66-C.57. Tunnel-interdiction training targets.</w:t>
      </w:r>
    </w:p>
    <w:p>
      <w:pPr>
        <w:pStyle w:val="Normal"/>
        <w:widowControl/>
        <w:rPr/>
      </w:pPr>
      <w:r>
        <w:rPr>
          <w:b w:val="false"/>
          <w:i w:val="false"/>
        </w:rPr>
        <w:t>A66-C.58. Maritime-interdiction exercise calendar.</w:t>
      </w:r>
    </w:p>
    <w:p>
      <w:pPr>
        <w:pStyle w:val="Normal"/>
        <w:widowControl/>
        <w:rPr/>
      </w:pPr>
      <w:r>
        <w:rPr>
          <w:b w:val="false"/>
          <w:i w:val="false"/>
        </w:rPr>
        <w:t>A66-C.59. Rights and privacy training targets.</w:t>
      </w:r>
    </w:p>
    <w:p>
      <w:pPr>
        <w:pStyle w:val="Normal"/>
        <w:widowControl/>
        <w:rPr/>
      </w:pPr>
      <w:r>
        <w:rPr>
          <w:b w:val="false"/>
          <w:i w:val="false"/>
        </w:rPr>
        <w:t>A66-C.60. Anti-corruption training targets.</w:t>
      </w:r>
    </w:p>
    <w:p>
      <w:pPr>
        <w:pStyle w:val="Normal"/>
        <w:widowControl/>
        <w:rPr/>
      </w:pPr>
      <w:r>
        <w:rPr>
          <w:b w:val="false"/>
          <w:i w:val="false"/>
        </w:rPr>
        <w:t>A66-C.61. Naloxone and PPE facility standards.</w:t>
      </w:r>
    </w:p>
    <w:p>
      <w:pPr>
        <w:pStyle w:val="Normal"/>
        <w:widowControl/>
        <w:rPr/>
      </w:pPr>
      <w:r>
        <w:rPr>
          <w:b w:val="false"/>
          <w:i w:val="false"/>
        </w:rPr>
        <w:t>A66-C.62. Annual Shield exercise calendar.</w:t>
      </w:r>
    </w:p>
    <w:p>
      <w:pPr>
        <w:pStyle w:val="Normal"/>
        <w:widowControl/>
        <w:rPr/>
      </w:pPr>
      <w:r>
        <w:rPr>
          <w:b w:val="false"/>
          <w:i w:val="false"/>
        </w:rPr>
        <w:t>A66-C.63. Dashboard publication calendar.</w:t>
      </w:r>
    </w:p>
    <w:p>
      <w:pPr>
        <w:pStyle w:val="Normal"/>
        <w:widowControl/>
        <w:rPr/>
      </w:pPr>
      <w:r>
        <w:rPr>
          <w:b w:val="false"/>
          <w:i w:val="false"/>
        </w:rPr>
        <w:t>A66-C.64. National implementation funding envelopes.</w:t>
      </w:r>
    </w:p>
    <w:p>
      <w:pPr>
        <w:pStyle w:val="Normal"/>
        <w:widowControl/>
        <w:rPr/>
      </w:pPr>
      <w:r>
        <w:rPr>
          <w:b w:val="false"/>
          <w:i w:val="false"/>
        </w:rPr>
        <w:t>A66-C.65. Annual implementation certification dates.</w:t>
      </w:r>
    </w:p>
    <w:p>
      <w:pPr>
        <w:pStyle w:val="Normal"/>
        <w:widowControl/>
        <w:rPr/>
      </w:pPr>
      <w:r>
        <w:rPr>
          <w:b w:val="false"/>
          <w:i w:val="false"/>
        </w:rPr>
        <w:t>A66-C.66. Five-year comprehensive review timetable.</w:t>
      </w:r>
    </w:p>
    <w:p>
      <w:pPr>
        <w:pStyle w:val="Normal"/>
        <w:widowControl/>
        <w:rPr/>
      </w:pPr>
      <w:r>
        <w:rPr/>
        <w:t>ANNEX 66-D — OPTIONAL CONTROLLED PILOT REGISTER</w:t>
      </w:r>
    </w:p>
    <w:p>
      <w:pPr>
        <w:pStyle w:val="Normal"/>
        <w:widowControl/>
        <w:rPr/>
      </w:pPr>
      <w:r>
        <w:rPr>
          <w:b w:val="false"/>
          <w:i w:val="false"/>
        </w:rPr>
        <w:t>Each pilot shall progress through P1 Concept Validated, P2 Legal Authority Verified, P3 Controlled Pilot Authorized, P4 Independent Evaluation, and P5 Eligible for Program Status. Deployment alone does not create permanent authority.</w:t>
      </w:r>
    </w:p>
    <w:p>
      <w:pPr>
        <w:pStyle w:val="Normal"/>
        <w:widowControl/>
        <w:rPr/>
      </w:pPr>
      <w:r>
        <w:rPr>
          <w:b w:val="false"/>
          <w:i w:val="false"/>
        </w:rPr>
        <w:t>A66-D.1. Persistent remote aerial surveillance: Limited to defined threat corridors or operational zones; requires verified legal authority, retention limits, audit and independent evaluation.</w:t>
      </w:r>
    </w:p>
    <w:p>
      <w:pPr>
        <w:pStyle w:val="Normal"/>
        <w:widowControl/>
        <w:rPr/>
      </w:pPr>
      <w:r>
        <w:rPr>
          <w:b w:val="false"/>
          <w:i w:val="false"/>
        </w:rPr>
        <w:t>A66-D.2. Passenger-vehicle behavioral analytics: May proceed only as an audited national pilot with documented false-positive, discrimination and effectiveness testing.</w:t>
      </w:r>
    </w:p>
    <w:p>
      <w:pPr>
        <w:pStyle w:val="Normal"/>
        <w:widowControl/>
        <w:rPr/>
      </w:pPr>
      <w:r>
        <w:rPr>
          <w:b w:val="false"/>
          <w:i w:val="false"/>
        </w:rPr>
        <w:t>A66-D.3. Expanded bonded-cargo GPS or electronic-seal tracking: Limited to designated cargo programs with commercial-confidentiality, retention and access safeguards.</w:t>
      </w:r>
    </w:p>
    <w:p>
      <w:pPr>
        <w:pStyle w:val="Normal"/>
        <w:widowControl/>
        <w:rPr/>
      </w:pPr>
      <w:r>
        <w:rPr>
          <w:b w:val="false"/>
          <w:i w:val="false"/>
        </w:rPr>
        <w:t>A66-D.4. Expanded cross-border controlled deliveries: Case-specific only, with destination-country authorization and applicable warrant, evidentiary and prosecutorial safeguards.</w:t>
      </w:r>
    </w:p>
    <w:p>
      <w:pPr>
        <w:pStyle w:val="Normal"/>
        <w:widowControl/>
        <w:rPr/>
      </w:pPr>
      <w:r>
        <w:rPr>
          <w:b w:val="false"/>
          <w:i w:val="false"/>
        </w:rPr>
        <w:t>A66-D.5. Co-located inspection arrangements: Site-specific and authority-dependent; no foreign command or automatic recognition of another Party’s enforcement decision.</w:t>
      </w:r>
    </w:p>
    <w:p>
      <w:pPr>
        <w:pStyle w:val="Normal"/>
        <w:widowControl/>
        <w:rPr/>
      </w:pPr>
      <w:r>
        <w:rPr>
          <w:b w:val="false"/>
          <w:i w:val="false"/>
        </w:rPr>
        <w:t>A66-D.6. Shared advanced financial or crypto analytical tooling: Common tools or methods may be tested, but investigative records remain nationally controlled and no common raw transaction lake is created.</w:t>
      </w:r>
    </w:p>
    <w:p>
      <w:pPr>
        <w:pStyle w:val="Normal"/>
        <w:widowControl/>
        <w:rPr/>
      </w:pPr>
      <w:r>
        <w:rPr/>
        <w:t>ANNEX 66-E — NON-BINDING PUBLIC COMMUNICATIONS / VISIBLE-WIN OVERLAY</w:t>
      </w:r>
    </w:p>
    <w:p>
      <w:pPr>
        <w:pStyle w:val="Normal"/>
        <w:widowControl/>
        <w:rPr/>
      </w:pPr>
      <w:r>
        <w:rPr>
          <w:b w:val="false"/>
          <w:i w:val="false"/>
        </w:rPr>
        <w:t>The following twenty-four items are communication and prioritization overlays only. They do not guarantee seizures, awards, arrests, prosecutions, procurement outcomes, funding, or unverified numerical results.</w:t>
      </w:r>
    </w:p>
    <w:p>
      <w:pPr>
        <w:pStyle w:val="Normal"/>
        <w:widowControl/>
        <w:rPr/>
      </w:pPr>
      <w:r>
        <w:rPr>
          <w:b w:val="false"/>
          <w:i w:val="false"/>
        </w:rPr>
        <w:t>A66-E.1. Windsor-Detroit paired scanner modernization.</w:t>
      </w:r>
    </w:p>
    <w:p>
      <w:pPr>
        <w:pStyle w:val="Normal"/>
        <w:widowControl/>
        <w:rPr/>
      </w:pPr>
      <w:r>
        <w:rPr>
          <w:b w:val="false"/>
          <w:i w:val="false"/>
        </w:rPr>
        <w:t>A66-E.2. Pacific/Blaine paired scanner modernization.</w:t>
      </w:r>
    </w:p>
    <w:p>
      <w:pPr>
        <w:pStyle w:val="Normal"/>
        <w:widowControl/>
        <w:rPr/>
      </w:pPr>
      <w:r>
        <w:rPr>
          <w:b w:val="false"/>
          <w:i w:val="false"/>
        </w:rPr>
        <w:t>A66-E.3. U.S.-Mexico high-throughput scanner corridors.</w:t>
      </w:r>
    </w:p>
    <w:p>
      <w:pPr>
        <w:pStyle w:val="Normal"/>
        <w:widowControl/>
        <w:rPr/>
      </w:pPr>
      <w:r>
        <w:rPr>
          <w:b w:val="false"/>
          <w:i w:val="false"/>
        </w:rPr>
        <w:t>A66-E.4. North American mobile scanner fleets.</w:t>
      </w:r>
    </w:p>
    <w:p>
      <w:pPr>
        <w:pStyle w:val="Normal"/>
        <w:widowControl/>
        <w:rPr/>
      </w:pPr>
      <w:r>
        <w:rPr>
          <w:b w:val="false"/>
          <w:i w:val="false"/>
        </w:rPr>
        <w:t>A66-E.5. Scanner maintenance and uptime guarantee.</w:t>
      </w:r>
    </w:p>
    <w:p>
      <w:pPr>
        <w:pStyle w:val="Normal"/>
        <w:widowControl/>
        <w:rPr/>
      </w:pPr>
      <w:r>
        <w:rPr>
          <w:b w:val="false"/>
          <w:i w:val="false"/>
        </w:rPr>
        <w:t>A66-E.6. Handheld fentanyl and chemical identification deployment.</w:t>
      </w:r>
    </w:p>
    <w:p>
      <w:pPr>
        <w:pStyle w:val="Normal"/>
        <w:widowControl/>
        <w:rPr/>
      </w:pPr>
      <w:r>
        <w:rPr>
          <w:b w:val="false"/>
          <w:i w:val="false"/>
        </w:rPr>
        <w:t>A66-E.7. Expanded fentanyl-detection canine capacity.</w:t>
      </w:r>
    </w:p>
    <w:p>
      <w:pPr>
        <w:pStyle w:val="Normal"/>
        <w:widowControl/>
        <w:rPr/>
      </w:pPr>
      <w:r>
        <w:rPr>
          <w:b w:val="false"/>
          <w:i w:val="false"/>
        </w:rPr>
        <w:t>A66-E.8. Rapid precursor-control system.</w:t>
      </w:r>
    </w:p>
    <w:p>
      <w:pPr>
        <w:pStyle w:val="Normal"/>
        <w:widowControl/>
        <w:rPr/>
      </w:pPr>
      <w:r>
        <w:rPr>
          <w:b w:val="false"/>
          <w:i w:val="false"/>
        </w:rPr>
        <w:t>A66-E.9. Pill-press and illicit manufacturing-equipment controls.</w:t>
      </w:r>
    </w:p>
    <w:p>
      <w:pPr>
        <w:pStyle w:val="Normal"/>
        <w:widowControl/>
        <w:rPr/>
      </w:pPr>
      <w:r>
        <w:rPr>
          <w:b w:val="false"/>
          <w:i w:val="false"/>
        </w:rPr>
        <w:t>A66-E.10. North American precursor early-warning network.</w:t>
      </w:r>
    </w:p>
    <w:p>
      <w:pPr>
        <w:pStyle w:val="Normal"/>
        <w:widowControl/>
        <w:rPr/>
      </w:pPr>
      <w:r>
        <w:rPr>
          <w:b w:val="false"/>
          <w:i w:val="false"/>
        </w:rPr>
        <w:t>A66-E.11. Drug Profiling and Chemical Signature Network.</w:t>
      </w:r>
    </w:p>
    <w:p>
      <w:pPr>
        <w:pStyle w:val="Normal"/>
        <w:widowControl/>
        <w:rPr/>
      </w:pPr>
      <w:r>
        <w:rPr>
          <w:b w:val="false"/>
          <w:i w:val="false"/>
        </w:rPr>
        <w:t>A66-E.12. Faster forensic-laboratory turnaround.</w:t>
      </w:r>
    </w:p>
    <w:p>
      <w:pPr>
        <w:pStyle w:val="Normal"/>
        <w:widowControl/>
        <w:rPr/>
      </w:pPr>
      <w:r>
        <w:rPr>
          <w:b w:val="false"/>
          <w:i w:val="false"/>
        </w:rPr>
        <w:t>A66-E.13. CPKC secure freight corridor.</w:t>
      </w:r>
    </w:p>
    <w:p>
      <w:pPr>
        <w:pStyle w:val="Normal"/>
        <w:widowControl/>
        <w:rPr/>
      </w:pPr>
      <w:r>
        <w:rPr>
          <w:b w:val="false"/>
          <w:i w:val="false"/>
        </w:rPr>
        <w:t>A66-E.14. Port and container security modernization.</w:t>
      </w:r>
    </w:p>
    <w:p>
      <w:pPr>
        <w:pStyle w:val="Normal"/>
        <w:widowControl/>
        <w:rPr/>
      </w:pPr>
      <w:r>
        <w:rPr>
          <w:b w:val="false"/>
          <w:i w:val="false"/>
        </w:rPr>
        <w:t>A66-E.15. International mail and small-parcel security upgrade.</w:t>
      </w:r>
    </w:p>
    <w:p>
      <w:pPr>
        <w:pStyle w:val="Normal"/>
        <w:widowControl/>
        <w:rPr/>
      </w:pPr>
      <w:r>
        <w:rPr>
          <w:b w:val="false"/>
          <w:i w:val="false"/>
        </w:rPr>
        <w:t>A66-E.16. Faster trusted legitimate trade through risk targeting.</w:t>
      </w:r>
    </w:p>
    <w:p>
      <w:pPr>
        <w:pStyle w:val="Normal"/>
        <w:widowControl/>
        <w:rPr/>
      </w:pPr>
      <w:r>
        <w:rPr>
          <w:b w:val="false"/>
          <w:i w:val="false"/>
        </w:rPr>
        <w:t>A66-E.17. Major synthetic-drug organized-crime case cooperation.</w:t>
      </w:r>
    </w:p>
    <w:p>
      <w:pPr>
        <w:pStyle w:val="Normal"/>
        <w:widowControl/>
        <w:rPr/>
      </w:pPr>
      <w:r>
        <w:rPr>
          <w:b w:val="false"/>
          <w:i w:val="false"/>
        </w:rPr>
        <w:t>A66-E.18. Rapid mutual-legal-assistance channel.</w:t>
      </w:r>
    </w:p>
    <w:p>
      <w:pPr>
        <w:pStyle w:val="Normal"/>
        <w:widowControl/>
        <w:rPr/>
      </w:pPr>
      <w:r>
        <w:rPr>
          <w:b w:val="false"/>
          <w:i w:val="false"/>
        </w:rPr>
        <w:t>A66-E.19. North American illicit-firearms trafficking initiative.</w:t>
      </w:r>
    </w:p>
    <w:p>
      <w:pPr>
        <w:pStyle w:val="Normal"/>
        <w:widowControl/>
        <w:rPr/>
      </w:pPr>
      <w:r>
        <w:rPr>
          <w:b w:val="false"/>
          <w:i w:val="false"/>
        </w:rPr>
        <w:t>A66-E.20. Stolen-vehicle export-interdiction initiative.</w:t>
      </w:r>
    </w:p>
    <w:p>
      <w:pPr>
        <w:pStyle w:val="Normal"/>
        <w:widowControl/>
        <w:rPr/>
      </w:pPr>
      <w:r>
        <w:rPr>
          <w:b w:val="false"/>
          <w:i w:val="false"/>
        </w:rPr>
        <w:t>A66-E.21. Illicit-finance and cartel-asset disruption initiative.</w:t>
      </w:r>
    </w:p>
    <w:p>
      <w:pPr>
        <w:pStyle w:val="Normal"/>
        <w:widowControl/>
        <w:rPr/>
      </w:pPr>
      <w:r>
        <w:rPr>
          <w:b w:val="false"/>
          <w:i w:val="false"/>
        </w:rPr>
        <w:t>A66-E.22. Darknet synthetic-drug disruption initiative.</w:t>
      </w:r>
    </w:p>
    <w:p>
      <w:pPr>
        <w:pStyle w:val="Normal"/>
        <w:widowControl/>
        <w:rPr/>
      </w:pPr>
      <w:r>
        <w:rPr>
          <w:b w:val="false"/>
          <w:i w:val="false"/>
        </w:rPr>
        <w:t>A66-E.23. Shield Performance Dashboard.</w:t>
      </w:r>
    </w:p>
    <w:p>
      <w:pPr>
        <w:pStyle w:val="Normal"/>
        <w:widowControl/>
        <w:rPr/>
      </w:pPr>
      <w:r>
        <w:rPr>
          <w:b w:val="false"/>
          <w:i w:val="false"/>
        </w:rPr>
        <w:t>A66-E.24. Security Cooperation Trade-Peace Guarantee.</w:t>
      </w:r>
    </w:p>
    <w:p>
      <w:pPr>
        <w:pStyle w:val="Normal"/>
        <w:widowControl/>
        <w:rPr/>
      </w:pPr>
      <w:r>
        <w:rPr/>
        <w:t>ANNEX 66-F — TREATY-WIDE FACT, AUTHORITY AND CLAIM VERIFICATION RULE</w:t>
      </w:r>
    </w:p>
    <w:p>
      <w:pPr>
        <w:pStyle w:val="Normal"/>
        <w:widowControl/>
        <w:rPr/>
      </w:pPr>
      <w:r>
        <w:rPr/>
        <w:t>1. Unless a more specific provision supplies an equal or stronger verification rule, this Annex applies throughout this Agreement. Named projects, existing programs, agency structures, quantities, budgets, historical figures, staffing levels, percentage changes, equipment counts and other factual claims developed during negotiation are research leads unless independently verified and certified by the competent Party.</w:t>
      </w:r>
    </w:p>
    <w:p>
      <w:pPr>
        <w:pStyle w:val="Normal"/>
        <w:widowControl/>
        <w:rPr/>
      </w:pPr>
      <w:r>
        <w:rPr>
          <w:b w:val="false"/>
          <w:i w:val="false"/>
        </w:rPr>
        <w:t>2. No illustrative quantity, historical result or model-generated estimate becomes a treaty fact merely by appearing in a negotiating draft. Implementation instruments shall identify source, date, competent authority and verification status where material.</w:t>
      </w:r>
    </w:p>
    <w:p>
      <w:pPr>
        <w:pStyle w:val="Normal"/>
        <w:widowControl/>
        <w:rPr/>
      </w:pPr>
      <w:r>
        <w:rPr>
          <w:b w:val="false"/>
          <w:i w:val="false"/>
        </w:rPr>
        <w:t>3. Public claims shall distinguish historical observed data, current operational status, planned commitments, modeled estimates and political targets. Material uncertainty shall not be concealed.</w:t>
      </w:r>
      <w:r>
        <w:br w:type="page"/>
      </w:r>
    </w:p>
    <w:p>
      <w:bookmarkStart w:id="2010" w:name="_NAESTMA_TOC_2010"/>
      <w:pPr>
        <w:pStyle w:val="Heading1"/>
        <w:keepNext/>
        <w:keepLines w:val="0"/>
        <w:pageBreakBefore/>
        <w:widowControl/>
        <w:rPr/>
      </w:pPr>
      <w:r>
        <w:rPr>
          <w:b/>
        </w:rPr>
        <w:t>CHAPTER 67 — NORTH AMERICAN ARCTIC SECURITY, SOVEREIGNTY AND CONTINENTAL DEFENCE COMPACT</w:t>
      </w:r>
      <w:bookmarkEnd w:id="2010"/>
    </w:p>
    <w:p>
      <w:pPr>
        <w:pStyle w:val="Normal"/>
        <w:widowControl/>
        <w:rPr/>
      </w:pPr>
      <w:r>
        <w:rPr>
          <w:b/>
        </w:rPr>
        <w:t>NORTHERN VIGILANCE PARTNERSHIP</w:t>
      </w:r>
    </w:p>
    <w:p>
      <w:pPr>
        <w:pStyle w:val="Normal"/>
        <w:widowControl/>
        <w:rPr/>
      </w:pPr>
      <w:r>
        <w:rPr>
          <w:b/>
        </w:rPr>
        <w:t xml:space="preserve">★ </w:t>
      </w:r>
      <w:r>
        <w:rPr>
          <w:b/>
        </w:rPr>
        <w:t>VISIBLE U.S. SECURITY WIN: THE LARGEST MODERNIZATION OF NORTH AMERICA’S NORTHERN WARNING, BASING AND DEFENCE INFRASTRUCTURE IN GENERATIONS</w:t>
      </w:r>
    </w:p>
    <w:p>
      <w:pPr>
        <w:pStyle w:val="Normal"/>
        <w:widowControl/>
        <w:rPr/>
      </w:pPr>
      <w:r>
        <w:rPr>
          <w:b/>
        </w:rPr>
        <w:t xml:space="preserve">★ </w:t>
      </w:r>
      <w:r>
        <w:rPr>
          <w:b/>
        </w:rPr>
        <w:t>VISIBLE CANADIAN WIN: BILLIONS IN CANADIAN ARCTIC INFRASTRUCTURE, STRONGER NORTHERN COMMUNITIES AND INDUSTRY, AND UNDIMINISHED CANADIAN SOVEREIGNTY AND COMMAND</w:t>
      </w:r>
    </w:p>
    <w:p>
      <w:pPr>
        <w:pStyle w:val="Normal"/>
        <w:widowControl/>
        <w:rPr/>
      </w:pPr>
      <w:r>
        <w:rPr>
          <w:b/>
        </w:rPr>
        <w:t xml:space="preserve">★ </w:t>
      </w:r>
      <w:r>
        <w:rPr>
          <w:b/>
        </w:rPr>
        <w:t>VISIBLE TRILATERAL WIN: A STRONGER NORTH AMERICAN DEFENCE INDUSTRIAL BASE, MORE RESILIENT CRITICAL SUPPLY CHAINS, AND BETTER PROTECTION OF THE CONTINENT</w:t>
      </w:r>
    </w:p>
    <w:p>
      <w:pPr>
        <w:pStyle w:val="Normal"/>
        <w:widowControl/>
        <w:rPr/>
      </w:pPr>
      <w:r>
        <w:rPr>
          <w:b/>
        </w:rPr>
        <w:t>SPEND ONCE. BUILD FOR DECADES. DEFEND THE CONTINENT.</w:t>
      </w:r>
    </w:p>
    <w:p>
      <w:bookmarkStart w:id="2011" w:name="_NAESTMA_TOC_2011"/>
      <w:pPr>
        <w:pStyle w:val="Heading2"/>
        <w:keepNext/>
        <w:widowControl/>
        <w:rPr/>
      </w:pPr>
      <w:r>
        <w:rPr>
          <w:b/>
        </w:rPr>
        <w:t>ARTICLE 67.1 — Purpose and Bargain</w:t>
      </w:r>
      <w:bookmarkEnd w:id="2011"/>
    </w:p>
    <w:p>
      <w:pPr>
        <w:pStyle w:val="Normal"/>
        <w:widowControl/>
        <w:rPr/>
      </w:pPr>
      <w:r>
        <w:rPr/>
        <w:t>The Parties establish the Northern Vigilance Partnership to organize verified northern defence, warning, infrastructure, logistics, industrial, resilience and community investments into a durable continental-security framework. Real capability and burden-sharing may be recognized without converting existing Canadian investment into a fictional new concession, transferring sovereignty, guaranteeing procurement awards, or compelling an unapproved weapons deployment.</w:t>
      </w:r>
    </w:p>
    <w:p>
      <w:bookmarkStart w:id="2012" w:name="_NAESTMA_TOC_2012"/>
      <w:pPr>
        <w:pStyle w:val="Heading2"/>
        <w:keepNext/>
        <w:widowControl/>
        <w:rPr/>
      </w:pPr>
      <w:r>
        <w:rPr>
          <w:b/>
        </w:rPr>
        <w:t>ARTICLE 67.2 — Governing Principle — Sovereign Infrastructure, Continental Benefit</w:t>
      </w:r>
      <w:bookmarkEnd w:id="2012"/>
    </w:p>
    <w:p>
      <w:pPr>
        <w:pStyle w:val="Normal"/>
        <w:widowControl/>
        <w:rPr/>
      </w:pPr>
      <w:r>
        <w:rPr/>
        <w:t>Infrastructure situated in Canada shall remain subject to Canadian sovereignty, jurisdiction, law, ownership arrangements and command authority. Continental usefulness creates no foreign sovereign right, ownership interest, command authority, enforcement authority, or independent right of access.</w:t>
      </w:r>
    </w:p>
    <w:p>
      <w:bookmarkStart w:id="2013" w:name="_NAESTMA_TOC_2013"/>
      <w:pPr>
        <w:pStyle w:val="Heading2"/>
        <w:keepNext/>
        <w:widowControl/>
        <w:rPr/>
      </w:pPr>
      <w:r>
        <w:rPr>
          <w:b/>
        </w:rPr>
        <w:t>ARTICLE 67.3 — Canadian Arctic Sovereignty and Legal-Position Savings</w:t>
      </w:r>
      <w:bookmarkEnd w:id="2013"/>
    </w:p>
    <w:p>
      <w:pPr>
        <w:pStyle w:val="Normal"/>
        <w:widowControl/>
        <w:rPr/>
      </w:pPr>
      <w:r>
        <w:rPr/>
        <w:t>Nothing in this Chapter transfers, diminishes, qualifies, or creates any foreign claim to Canadian sovereignty, sovereign rights, jurisdiction, maritime claims, internal-waters positions, Arctic lands, infrastructure, natural resources, or command authority. Cooperation is without prejudice to each Party's legal positions, including Canada's position concerning the waters of the Northwest Passage.</w:t>
      </w:r>
    </w:p>
    <w:p>
      <w:bookmarkStart w:id="2014" w:name="_NAESTMA_TOC_2014"/>
      <w:pPr>
        <w:pStyle w:val="Heading2"/>
        <w:keepNext/>
        <w:widowControl/>
        <w:rPr/>
      </w:pPr>
      <w:r>
        <w:rPr>
          <w:b/>
        </w:rPr>
        <w:t>ARTICLE 67.4 — Canadian Soil, Canadian Authority</w:t>
      </w:r>
      <w:bookmarkEnd w:id="2014"/>
    </w:p>
    <w:p>
      <w:pPr>
        <w:pStyle w:val="Normal"/>
        <w:widowControl/>
        <w:rPr/>
      </w:pPr>
      <w:r>
        <w:rPr/>
        <w:t>Foreign personnel, forces, contractors, or officials may use Canadian facilities, systems, ranges, ports, airfields, or data environments only pursuant to Canadian law, Canadian authorization, and applicable agreements. Continental defence participation does not constitute consent to permanent foreign basing, foreign ownership, independent military operations, or foreign enforcement authority in Canada.</w:t>
      </w:r>
    </w:p>
    <w:p>
      <w:bookmarkStart w:id="2015" w:name="_NAESTMA_TOC_2015"/>
      <w:pPr>
        <w:pStyle w:val="Heading2"/>
        <w:keepNext/>
        <w:widowControl/>
        <w:rPr/>
      </w:pPr>
      <w:r>
        <w:rPr>
          <w:b/>
        </w:rPr>
        <w:t>ARTICLE 67.5 — National Command and Capability Without Compulsion</w:t>
      </w:r>
      <w:bookmarkEnd w:id="2015"/>
    </w:p>
    <w:p>
      <w:pPr>
        <w:pStyle w:val="Normal"/>
        <w:widowControl/>
        <w:rPr/>
      </w:pPr>
      <w:r>
        <w:rPr/>
        <w:t>Each Party retains command of its forces and exclusive authority over acquisition, deployment, basing, and operational decisions affecting its territory and forces. Recognition of a capability area does not itself compel acquisition, deployment, hosting, funding, basing, or authorization of a particular weapon, platform, interceptor, sensor, or foreign presence.</w:t>
      </w:r>
    </w:p>
    <w:p>
      <w:bookmarkStart w:id="2016" w:name="_NAESTMA_TOC_2016"/>
      <w:pPr>
        <w:pStyle w:val="Heading2"/>
        <w:keepNext/>
        <w:widowControl/>
        <w:rPr/>
      </w:pPr>
      <w:r>
        <w:rPr>
          <w:b/>
        </w:rPr>
        <w:t>ARTICLE 67.6 — Trilateral Where Functional, Binational Where Operational</w:t>
      </w:r>
      <w:bookmarkEnd w:id="2016"/>
    </w:p>
    <w:p>
      <w:pPr>
        <w:pStyle w:val="Normal"/>
        <w:widowControl/>
        <w:rPr/>
      </w:pPr>
      <w:r>
        <w:rPr/>
        <w:t>Canada and the United States may use NORAD and other lawful bilateral arrangements for Arctic operational defence. Mexico may participate where functionally appropriate through industrial supply chains, research, standards, resilience, procurement, critical materials, emergency logistics, and other continental-support functions, subject to applicable domestic and international law.</w:t>
      </w:r>
    </w:p>
    <w:p>
      <w:bookmarkStart w:id="2017" w:name="_NAESTMA_TOC_2017"/>
      <w:pPr>
        <w:pStyle w:val="Heading2"/>
        <w:keepNext/>
        <w:widowControl/>
        <w:rPr/>
      </w:pPr>
      <w:r>
        <w:rPr>
          <w:b/>
        </w:rPr>
        <w:t>ARTICLE 67.7 — Maintain While Modernizing</w:t>
      </w:r>
      <w:bookmarkEnd w:id="2017"/>
    </w:p>
    <w:p>
      <w:pPr>
        <w:pStyle w:val="Normal"/>
        <w:widowControl/>
        <w:rPr/>
      </w:pPr>
      <w:r>
        <w:rPr/>
        <w:t>The Parties shall plan transitions so that development of replacement or next-generation warning, communications, basing, or surveillance capability does not justify avoidable degradation of an existing northern capability required during transition.</w:t>
      </w:r>
    </w:p>
    <w:p>
      <w:bookmarkStart w:id="2018" w:name="_NAESTMA_TOC_2018"/>
      <w:pPr>
        <w:pStyle w:val="Heading2"/>
        <w:keepNext/>
        <w:widowControl/>
        <w:rPr/>
      </w:pPr>
      <w:r>
        <w:rPr>
          <w:b/>
        </w:rPr>
        <w:t>ARTICLE 67.8 — Public Commitment, Classified Implementation</w:t>
      </w:r>
      <w:bookmarkEnd w:id="2018"/>
    </w:p>
    <w:p>
      <w:pPr>
        <w:pStyle w:val="Normal"/>
        <w:widowControl/>
        <w:rPr/>
      </w:pPr>
      <w:r>
        <w:rPr/>
        <w:t>The Parties may publish capability objectives, investment categories, classification-safe milestones, and aggregate indicators while protecting sensitive sensor geometry, coverage gaps, detection thresholds, stockpile depth, vulnerability data, and detailed readiness states under applicable law and security rules.</w:t>
      </w:r>
    </w:p>
    <w:p>
      <w:bookmarkStart w:id="2019" w:name="_NAESTMA_TOC_2019"/>
      <w:pPr>
        <w:pStyle w:val="Heading2"/>
        <w:keepNext/>
        <w:widowControl/>
        <w:rPr/>
      </w:pPr>
      <w:r>
        <w:rPr>
          <w:b/>
        </w:rPr>
        <w:t>ARTICLE 67.9 — Interoperability Without Surrender of National Control</w:t>
      </w:r>
      <w:bookmarkEnd w:id="2019"/>
    </w:p>
    <w:p>
      <w:pPr>
        <w:pStyle w:val="Normal"/>
        <w:widowControl/>
        <w:rPr/>
      </w:pPr>
      <w:r>
        <w:rPr/>
        <w:t>The Parties may pursue interoperability, common standards, exchange officers, federated data access, shared alerts, and compatible systems where lawful. No such arrangement requires surrender of national data custody, domestic decision authority, classification control, or command.</w:t>
      </w:r>
    </w:p>
    <w:p>
      <w:bookmarkStart w:id="2020" w:name="_NAESTMA_TOC_2020"/>
      <w:pPr>
        <w:pStyle w:val="Heading2"/>
        <w:keepNext/>
        <w:widowControl/>
        <w:rPr/>
      </w:pPr>
      <w:r>
        <w:rPr>
          <w:b/>
        </w:rPr>
        <w:t>ARTICLE 67.10 — Dual-Use Northern Dividend</w:t>
      </w:r>
      <w:bookmarkEnd w:id="2020"/>
    </w:p>
    <w:p>
      <w:pPr>
        <w:pStyle w:val="Normal"/>
        <w:widowControl/>
        <w:rPr/>
      </w:pPr>
      <w:r>
        <w:rPr/>
        <w:t>Northern defence infrastructure should, where practicable, improve civilian resilience, emergency response, transportation, communications, power, health, search and rescue, or other northern capability without compromising security requirements.</w:t>
      </w:r>
    </w:p>
    <w:p>
      <w:bookmarkStart w:id="2021" w:name="_NAESTMA_TOC_2021"/>
      <w:pPr>
        <w:pStyle w:val="Heading2"/>
        <w:keepNext/>
        <w:widowControl/>
        <w:rPr/>
      </w:pPr>
      <w:r>
        <w:rPr>
          <w:b/>
        </w:rPr>
        <w:t>ARTICLE 67.11 — No Northern Capacity Crowding-Out</w:t>
      </w:r>
      <w:bookmarkEnd w:id="2021"/>
    </w:p>
    <w:p>
      <w:pPr>
        <w:pStyle w:val="Normal"/>
        <w:widowControl/>
        <w:rPr/>
      </w:pPr>
      <w:r>
        <w:rPr/>
        <w:t>A major defence investment shall identify material pressure it may create on northern housing, labour, utilities, health services, transportation, construction capacity, or essential community infrastructure and, where practicable, include mitigation or associated capacity expansion.</w:t>
      </w:r>
    </w:p>
    <w:p>
      <w:bookmarkStart w:id="2022" w:name="_NAESTMA_TOC_2022"/>
      <w:pPr>
        <w:pStyle w:val="Heading2"/>
        <w:keepNext/>
        <w:widowControl/>
        <w:rPr/>
      </w:pPr>
      <w:r>
        <w:rPr>
          <w:b/>
        </w:rPr>
        <w:t>ARTICLE 67.12 — Rights First, Partnership By Design</w:t>
      </w:r>
      <w:bookmarkEnd w:id="2022"/>
    </w:p>
    <w:p>
      <w:pPr>
        <w:pStyle w:val="Normal"/>
        <w:widowControl/>
        <w:rPr/>
      </w:pPr>
      <w:r>
        <w:rPr/>
        <w:t>Implementation shall preserve applicable constitutional, treaty, land-claim, Indigenous-rights, consultation, accommodation, environmental, and other legal obligations. Northern and Indigenous participation shall be incorporated into project development where required or appropriate under applicable law.</w:t>
      </w:r>
    </w:p>
    <w:p>
      <w:bookmarkStart w:id="2023" w:name="_NAESTMA_TOC_2023"/>
      <w:pPr>
        <w:pStyle w:val="Heading2"/>
        <w:keepNext/>
        <w:widowControl/>
        <w:rPr/>
      </w:pPr>
      <w:r>
        <w:rPr>
          <w:b/>
        </w:rPr>
        <w:t>ARTICLE 67.13 — Traditional Knowledge and Cultural Protection</w:t>
      </w:r>
      <w:bookmarkEnd w:id="2023"/>
    </w:p>
    <w:p>
      <w:pPr>
        <w:pStyle w:val="Normal"/>
        <w:widowControl/>
        <w:rPr/>
      </w:pPr>
      <w:r>
        <w:rPr/>
        <w:t>Traditional knowledge voluntarily shared in connection with this Chapter shall receive protection required by applicable law and agreed terms. Project planning shall give appropriate attention to cultural heritage, harvesting, community mobility, language access, and other affected rights or interests.</w:t>
      </w:r>
    </w:p>
    <w:p>
      <w:bookmarkStart w:id="2024" w:name="_NAESTMA_TOC_2024"/>
      <w:pPr>
        <w:pStyle w:val="Heading2"/>
        <w:keepNext/>
        <w:widowControl/>
        <w:rPr/>
      </w:pPr>
      <w:r>
        <w:rPr/>
        <w:t>ARTICLE 67.14 — Existing Investment Recognition and Additionality</w:t>
      </w:r>
      <w:bookmarkEnd w:id="2024"/>
    </w:p>
    <w:p>
      <w:pPr>
        <w:pStyle w:val="Normal"/>
        <w:widowControl/>
        <w:rPr/>
      </w:pPr>
      <w:r>
        <w:rPr/>
        <w:t>An existing or previously planned investment may be recognized as an anchor contribution where it genuinely supports the Partnership, but shall not be represented as new agreement-attributable spending merely because it receives political visibility or Partnership branding.</w:t>
      </w:r>
    </w:p>
    <w:p>
      <w:bookmarkStart w:id="2025" w:name="_NAESTMA_TOC_2025"/>
      <w:pPr>
        <w:pStyle w:val="Heading2"/>
        <w:keepNext/>
        <w:widowControl/>
        <w:rPr/>
      </w:pPr>
      <w:r>
        <w:rPr>
          <w:b/>
        </w:rPr>
        <w:t>ARTICLE 67.15 — One Dollar, One Investment</w:t>
      </w:r>
      <w:bookmarkEnd w:id="2025"/>
    </w:p>
    <w:p>
      <w:pPr>
        <w:pStyle w:val="Normal"/>
        <w:widowControl/>
        <w:rPr/>
      </w:pPr>
      <w:r>
        <w:rPr/>
        <w:t>Each expenditure shall be recorded once in the headline investment total. Separately identified outputs or benefits may be reported only in a manner that does not multiply the underlying investment value.</w:t>
      </w:r>
    </w:p>
    <w:p>
      <w:bookmarkStart w:id="2026" w:name="_NAESTMA_TOC_2026"/>
      <w:pPr>
        <w:pStyle w:val="Heading2"/>
        <w:keepNext/>
        <w:widowControl/>
        <w:rPr/>
      </w:pPr>
      <w:r>
        <w:rPr>
          <w:b/>
        </w:rPr>
        <w:t>ARTICLE 67.16 — Arctic Investment Ledger</w:t>
      </w:r>
      <w:bookmarkEnd w:id="2026"/>
    </w:p>
    <w:p>
      <w:pPr>
        <w:pStyle w:val="Normal"/>
        <w:widowControl/>
        <w:rPr/>
      </w:pPr>
      <w:r>
        <w:rPr/>
        <w:t>The Arctic Investment Ledger shall distinguish Baseline Value, Accelerated Value, Expanded Value, New Agreement Value, and Enabled Commercial Value. Enabled Commercial Value shall be separately reported, and the accounting basis for each category shall be disclosed.</w:t>
      </w:r>
    </w:p>
    <w:p>
      <w:bookmarkStart w:id="2027" w:name="_NAESTMA_TOC_2027"/>
      <w:pPr>
        <w:pStyle w:val="Heading2"/>
        <w:keepNext/>
        <w:widowControl/>
        <w:rPr/>
      </w:pPr>
      <w:r>
        <w:rPr>
          <w:b/>
        </w:rPr>
        <w:t>ARTICLE 67.17 — Baseline and Additionality</w:t>
      </w:r>
      <w:bookmarkEnd w:id="2027"/>
    </w:p>
    <w:p>
      <w:pPr>
        <w:pStyle w:val="Normal"/>
        <w:widowControl/>
        <w:rPr/>
      </w:pPr>
      <w:r>
        <w:rPr/>
        <w:t>Each scheduled investment shall identify its pre-agreement baseline, responsible authority, accounting basis, funding status, and any accelerated, expanded, or newly attributable portion. Umbrella envelopes and component expenditures shall not be double counted.</w:t>
      </w:r>
    </w:p>
    <w:p>
      <w:bookmarkStart w:id="2028" w:name="_NAESTMA_TOC_2028"/>
      <w:pPr>
        <w:pStyle w:val="Heading2"/>
        <w:keepNext/>
        <w:widowControl/>
        <w:rPr/>
      </w:pPr>
      <w:r>
        <w:rPr>
          <w:b/>
        </w:rPr>
        <w:t>ARTICLE 67.18 — Independent Baseline and Headline Verification</w:t>
      </w:r>
      <w:bookmarkEnd w:id="2028"/>
    </w:p>
    <w:p>
      <w:pPr>
        <w:pStyle w:val="Normal"/>
        <w:widowControl/>
        <w:rPr/>
      </w:pPr>
      <w:r>
        <w:rPr/>
        <w:t>A consolidated headline investment figure may be used only under an independently reviewable methodology identifying the expenditure universe, time period, national contributions, overlap adjustments, and treatment of previously committed spending. Verification may be performed through existing audit, statistical, or treaty-verification structures with sufficient independence from the body making the public claim.</w:t>
      </w:r>
    </w:p>
    <w:p>
      <w:bookmarkStart w:id="2029" w:name="_NAESTMA_TOC_2029"/>
      <w:pPr>
        <w:pStyle w:val="Heading2"/>
        <w:keepNext/>
        <w:widowControl/>
        <w:rPr/>
      </w:pPr>
      <w:r>
        <w:rPr>
          <w:b/>
        </w:rPr>
        <w:t>ARTICLE 67.19 — Northern Warning and Domain Awareness</w:t>
      </w:r>
      <w:bookmarkEnd w:id="2029"/>
    </w:p>
    <w:p>
      <w:pPr>
        <w:pStyle w:val="Normal"/>
        <w:widowControl/>
        <w:rPr/>
      </w:pPr>
      <w:r>
        <w:rPr/>
        <w:t>The Parties may cooperate on resilient northern warning and domain-awareness capability, including appropriate over-the-horizon radar, North Warning System transition, gap-fill capability, maritime and air awareness, space-enabled awareness, maintenance, calibration, communications, and cyber resilience. Any specific acquisition, construction, deployment, funding, or basing decision requires separate domestic authorization and, where applicable, an incorporated schedule.</w:t>
      </w:r>
    </w:p>
    <w:p>
      <w:bookmarkStart w:id="2030" w:name="_NAESTMA_TOC_2030"/>
      <w:pPr>
        <w:pStyle w:val="Heading2"/>
        <w:keepNext/>
        <w:widowControl/>
        <w:rPr/>
      </w:pPr>
      <w:r>
        <w:rPr>
          <w:b/>
        </w:rPr>
        <w:t>ARTICLE 67.20 — Northern Airfields, Basing and Operational Support</w:t>
      </w:r>
      <w:bookmarkEnd w:id="2030"/>
    </w:p>
    <w:p>
      <w:pPr>
        <w:pStyle w:val="Normal"/>
        <w:widowControl/>
        <w:rPr/>
      </w:pPr>
      <w:r>
        <w:rPr/>
        <w:t>A Party may schedule modernization of northern airfields, forward operating locations, and operational support hubs, including runways, aprons, hangars, fuel, secure storage, accommodation, utilities, communications, weather, navigation, medical support, logistics, and emergency capability. This Article does not itself approve a project, appropriate funds, or authorize foreign basing.</w:t>
      </w:r>
    </w:p>
    <w:p>
      <w:bookmarkStart w:id="2031" w:name="_NAESTMA_TOC_2031"/>
      <w:pPr>
        <w:pStyle w:val="Heading2"/>
        <w:keepNext/>
        <w:widowControl/>
        <w:rPr/>
      </w:pPr>
      <w:r>
        <w:rPr>
          <w:b/>
        </w:rPr>
        <w:t>ARTICLE 67.21 — Ports, Sealift, Ice-Capable and Maritime Support</w:t>
      </w:r>
      <w:bookmarkEnd w:id="2031"/>
    </w:p>
    <w:p>
      <w:pPr>
        <w:pStyle w:val="Normal"/>
        <w:widowControl/>
        <w:rPr/>
      </w:pPr>
      <w:r>
        <w:rPr/>
        <w:t>The Parties may cooperate on ports, small harbours, sealift, hydrography, navigation aids, vessel support, emergency refuge, spill response, and ice-capable maritime capability while preserving national ownership and command. Specific projects remain subject to domestic authorization, funding, rights, environmental, and security requirements.</w:t>
      </w:r>
    </w:p>
    <w:p>
      <w:bookmarkStart w:id="2032" w:name="_NAESTMA_TOC_2032"/>
      <w:pPr>
        <w:pStyle w:val="Heading2"/>
        <w:keepNext/>
        <w:widowControl/>
        <w:rPr/>
      </w:pPr>
      <w:r>
        <w:rPr>
          <w:b/>
        </w:rPr>
        <w:t>ARTICLE 67.22 — Undersea Domain and Cable Protection</w:t>
      </w:r>
      <w:bookmarkEnd w:id="2032"/>
    </w:p>
    <w:p>
      <w:pPr>
        <w:pStyle w:val="Normal"/>
        <w:widowControl/>
        <w:rPr/>
      </w:pPr>
      <w:r>
        <w:rPr/>
        <w:t>The Parties may undertake capability-level cooperation on submarine rescue, undersea research, autonomous undersea systems, ocean observation, seabed-infrastructure awareness, and cable protection. Sensitive deployment and performance information shall remain protected under applicable law and classification rules, and no deployment is authorized solely by this Article.</w:t>
      </w:r>
    </w:p>
    <w:p>
      <w:bookmarkStart w:id="2033" w:name="_NAESTMA_TOC_2033"/>
      <w:pPr>
        <w:pStyle w:val="Heading2"/>
        <w:keepNext/>
        <w:widowControl/>
        <w:rPr/>
      </w:pPr>
      <w:r>
        <w:rPr>
          <w:b/>
        </w:rPr>
        <w:t>ARTICLE 67.23 — Airborne Early Warning and Air-Defence Evolution</w:t>
      </w:r>
      <w:bookmarkEnd w:id="2033"/>
    </w:p>
    <w:p>
      <w:pPr>
        <w:pStyle w:val="Normal"/>
        <w:widowControl/>
        <w:rPr/>
      </w:pPr>
      <w:r>
        <w:rPr/>
        <w:t>The Parties may cooperate on airborne early warning, northern air-domain awareness, warning, sensing, interoperability, research, exercises, and infrastructure readiness. This Article does not authorize or require a particular interceptor, missile-defence system, weapons deployment, funding commitment, or basing arrangement.</w:t>
      </w:r>
    </w:p>
    <w:p>
      <w:bookmarkStart w:id="2034" w:name="_NAESTMA_TOC_2034"/>
      <w:pPr>
        <w:pStyle w:val="Heading2"/>
        <w:keepNext/>
        <w:widowControl/>
        <w:rPr/>
      </w:pPr>
      <w:r>
        <w:rPr>
          <w:b/>
        </w:rPr>
        <w:t>ARTICLE 67.24 — Polar Communications, Space and C4ISR Resilience</w:t>
      </w:r>
      <w:bookmarkEnd w:id="2034"/>
    </w:p>
    <w:p>
      <w:pPr>
        <w:pStyle w:val="Normal"/>
        <w:widowControl/>
        <w:rPr/>
      </w:pPr>
      <w:r>
        <w:rPr/>
        <w:t>The Parties may cooperate on resilient polar communications, satellite and ground infrastructure, secure command-and-control, cyber protection, and classification-appropriate information exchange. Specific systems and expenditures remain subject to domestic authority and applicable security agreements.</w:t>
      </w:r>
    </w:p>
    <w:p>
      <w:bookmarkStart w:id="2035" w:name="_NAESTMA_TOC_2035"/>
      <w:pPr>
        <w:pStyle w:val="Heading2"/>
        <w:keepNext/>
        <w:widowControl/>
        <w:rPr/>
      </w:pPr>
      <w:r>
        <w:rPr>
          <w:b/>
        </w:rPr>
        <w:t>ARTICLE 67.25 — Northern Strategic Mobility and Logistics</w:t>
      </w:r>
      <w:bookmarkEnd w:id="2035"/>
    </w:p>
    <w:p>
      <w:pPr>
        <w:pStyle w:val="Normal"/>
        <w:widowControl/>
        <w:rPr/>
      </w:pPr>
      <w:r>
        <w:rPr/>
        <w:t>The Parties may cooperate on roads, corridors, airlift, sealift, warehouses, freight visibility, equipment pools, emergency resupply, and other mobility systems supporting defence, emergency response, and northern communities. Participation does not compel a Party to construct, fund, base, or open a specific facility absent separate authorization.</w:t>
      </w:r>
    </w:p>
    <w:p>
      <w:bookmarkStart w:id="2036" w:name="_NAESTMA_TOC_2036"/>
      <w:pPr>
        <w:pStyle w:val="Heading2"/>
        <w:keepNext/>
        <w:widowControl/>
        <w:rPr/>
      </w:pPr>
      <w:r>
        <w:rPr>
          <w:b/>
        </w:rPr>
        <w:t>ARTICLE 67.26 — Northern Energy and Fuel Resilience</w:t>
      </w:r>
      <w:bookmarkEnd w:id="2036"/>
    </w:p>
    <w:p>
      <w:pPr>
        <w:pStyle w:val="Normal"/>
        <w:widowControl/>
        <w:rPr/>
      </w:pPr>
      <w:r>
        <w:rPr/>
        <w:t>The Parties may cooperate on resilient power, microgrids, storage, backup generation, fuel infrastructure, grid reinforcement, renewable hybrids, and emergency energy arrangements. Any specific remote nuclear deployment remains subject to the competent Party's domestic nuclear, environmental, safety, security, Indigenous-rights, funding, and siting authorities and is not authorized by this Article.</w:t>
      </w:r>
    </w:p>
    <w:p>
      <w:bookmarkStart w:id="2037" w:name="_NAESTMA_TOC_2037"/>
      <w:pPr>
        <w:pStyle w:val="Heading2"/>
        <w:keepNext/>
        <w:widowControl/>
        <w:rPr/>
      </w:pPr>
      <w:r>
        <w:rPr>
          <w:b/>
        </w:rPr>
        <w:t>ARTICLE 67.27 — Search and Rescue, Health and Human Security</w:t>
      </w:r>
      <w:bookmarkEnd w:id="2037"/>
    </w:p>
    <w:p>
      <w:pPr>
        <w:pStyle w:val="Normal"/>
        <w:widowControl/>
        <w:rPr/>
      </w:pPr>
      <w:r>
        <w:rPr/>
        <w:t>The Parties may undertake nationally authorized cooperation on search and rescue, medevac, emergency medical surge, responder safety, emergency caches, hazardous-material response, communications contingency, and mass-rescue readiness. Operational command remains with the competent national or receiving authority.</w:t>
      </w:r>
    </w:p>
    <w:p>
      <w:bookmarkStart w:id="2038" w:name="_NAESTMA_TOC_2038"/>
      <w:pPr>
        <w:pStyle w:val="Heading2"/>
        <w:keepNext/>
        <w:widowControl/>
        <w:rPr/>
      </w:pPr>
      <w:r>
        <w:rPr>
          <w:b/>
        </w:rPr>
        <w:t>ARTICLE 67.28 — Climate, Science, Environment and Ocean Governance</w:t>
      </w:r>
      <w:bookmarkEnd w:id="2038"/>
    </w:p>
    <w:p>
      <w:pPr>
        <w:pStyle w:val="Normal"/>
        <w:widowControl/>
        <w:rPr/>
      </w:pPr>
      <w:r>
        <w:rPr/>
        <w:t>The Parties may cooperate on weather, sea-ice, permafrost, oceanographic, space-weather, climate-resilience, and environmental-monitoring capability where it improves northern safety, infrastructure durability, or operational awareness, subject to applicable data, environmental, Indigenous-rights, and security requirements.</w:t>
      </w:r>
    </w:p>
    <w:p>
      <w:bookmarkStart w:id="2039" w:name="_NAESTMA_TOC_2039"/>
      <w:pPr>
        <w:pStyle w:val="Heading2"/>
        <w:keepNext/>
        <w:widowControl/>
        <w:rPr/>
      </w:pPr>
      <w:r>
        <w:rPr>
          <w:b/>
        </w:rPr>
        <w:t>ARTICLE 67.29 — North American Arctic Industrial Base</w:t>
      </w:r>
      <w:bookmarkEnd w:id="2039"/>
    </w:p>
    <w:p>
      <w:pPr>
        <w:pStyle w:val="Normal"/>
        <w:widowControl/>
        <w:rPr/>
      </w:pPr>
      <w:r>
        <w:rPr/>
        <w:t>The Parties shall seek reciprocal lawful opportunities for North American suppliers in sensors, communications, satellites, cold-weather equipment, shipbuilding supply chains, batteries, critical materials, construction equipment, logistics, and testing, consistent with Chapters 37, 64, and 65. This Article creates no guaranteed award, procurement preference, or waiver beyond an expressly designated lawful procurement opening.</w:t>
      </w:r>
    </w:p>
    <w:p>
      <w:bookmarkStart w:id="2040" w:name="_NAESTMA_TOC_2040"/>
      <w:pPr>
        <w:pStyle w:val="Heading2"/>
        <w:keepNext/>
        <w:widowControl/>
        <w:rPr/>
      </w:pPr>
      <w:r>
        <w:rPr>
          <w:b/>
        </w:rPr>
        <w:t>ARTICLE 67.30 — Procurement Is Opportunity, Not Award</w:t>
      </w:r>
      <w:bookmarkEnd w:id="2040"/>
    </w:p>
    <w:p>
      <w:pPr>
        <w:pStyle w:val="Normal"/>
        <w:widowControl/>
        <w:rPr/>
      </w:pPr>
      <w:r>
        <w:rPr/>
        <w:t>A competent authority may designate procurement opportunities, supplier-qualification pathways, and reciprocal workshare objectives under this Chapter without guaranteeing contracts, preselecting winners, waiving procurement law, or creating blanket domestic-preference exemptions. Article 65's Opportunity, Not Award and verification safeguards apply.</w:t>
      </w:r>
    </w:p>
    <w:p>
      <w:bookmarkStart w:id="2041" w:name="_NAESTMA_TOC_2041"/>
      <w:pPr>
        <w:pStyle w:val="Heading2"/>
        <w:keepNext/>
        <w:widowControl/>
        <w:rPr/>
      </w:pPr>
      <w:r>
        <w:rPr>
          <w:b/>
        </w:rPr>
        <w:t>ARTICLE 67.31 — Workforce and Northern Capacity</w:t>
      </w:r>
      <w:bookmarkEnd w:id="2041"/>
    </w:p>
    <w:p>
      <w:pPr>
        <w:pStyle w:val="Normal"/>
        <w:widowControl/>
        <w:rPr/>
      </w:pPr>
      <w:r>
        <w:rPr/>
        <w:t>The Parties may support northern trades, maintenance skills, technical training, workforce pipelines, housing, and service capacity. Any binding project-specific numerical target, funding commitment, or employment requirement shall appear in a lawful schedule, procurement instrument, or domestic program rather than arise automatically from this Article.</w:t>
      </w:r>
    </w:p>
    <w:p>
      <w:bookmarkStart w:id="2042" w:name="_NAESTMA_TOC_2042"/>
      <w:pPr>
        <w:pStyle w:val="Heading2"/>
        <w:keepNext/>
        <w:widowControl/>
        <w:rPr/>
      </w:pPr>
      <w:r>
        <w:rPr>
          <w:b/>
        </w:rPr>
        <w:t>ARTICLE 67.32 — Northern Vigilance Scorecard</w:t>
      </w:r>
      <w:bookmarkEnd w:id="2042"/>
    </w:p>
    <w:p>
      <w:pPr>
        <w:pStyle w:val="Normal"/>
        <w:widowControl/>
        <w:rPr/>
      </w:pPr>
      <w:r>
        <w:rPr/>
        <w:t>The Secretariat may maintain a classification-safe Northern Vigilance Scorecard distinguishing investment deployed, milestones completed, infrastructure delivered, procurement opportunities, workforce and northern participation, community benefits, and capability outputs. Scorecard status is informational and creates no procurement, deployment, funding, basing, or defence authority.</w:t>
      </w:r>
    </w:p>
    <w:p>
      <w:bookmarkStart w:id="2043" w:name="_NAESTMA_TOC_2043"/>
      <w:pPr>
        <w:pStyle w:val="Heading2"/>
        <w:keepNext/>
        <w:widowControl/>
        <w:rPr/>
      </w:pPr>
      <w:r>
        <w:rPr>
          <w:b/>
        </w:rPr>
        <w:t>ARTICLE 67.33 — State of the Vigilant North</w:t>
      </w:r>
      <w:bookmarkEnd w:id="2043"/>
    </w:p>
    <w:p>
      <w:pPr>
        <w:pStyle w:val="Normal"/>
        <w:widowControl/>
        <w:rPr/>
      </w:pPr>
      <w:r>
        <w:rPr/>
        <w:t>The Parties may publish an annual leaders-level State of the Vigilant North report consolidating the scorecard, a classification-safe project map, the investment ledger, verification findings, achievements, delays, corrections, and the next implementation plan. The report shall distinguish verified current status from planned, modeled, or political targets.</w:t>
      </w:r>
    </w:p>
    <w:p>
      <w:bookmarkStart w:id="2044" w:name="_NAESTMA_TOC_2044"/>
      <w:pPr>
        <w:pStyle w:val="Heading2"/>
        <w:keepNext/>
        <w:widowControl/>
        <w:rPr/>
      </w:pPr>
      <w:r>
        <w:rPr>
          <w:b/>
        </w:rPr>
        <w:t>ARTICLE 67.34 — No Zombie Projects</w:t>
      </w:r>
      <w:bookmarkEnd w:id="2044"/>
    </w:p>
    <w:p>
      <w:pPr>
        <w:pStyle w:val="Normal"/>
        <w:widowControl/>
        <w:rPr/>
      </w:pPr>
      <w:r>
        <w:rPr/>
        <w:t>A completed, cancelled, materially rescoped, superseded, or obsolete project shall not remain represented as active merely because an earlier source described it as current. The implementation record shall preserve the historical entry and identify the updated status, reason, and date.</w:t>
      </w:r>
    </w:p>
    <w:p>
      <w:bookmarkStart w:id="2045" w:name="_NAESTMA_TOC_2045"/>
      <w:pPr>
        <w:pStyle w:val="Heading2"/>
        <w:keepNext/>
        <w:widowControl/>
        <w:rPr/>
      </w:pPr>
      <w:r>
        <w:rPr>
          <w:b/>
        </w:rPr>
        <w:t>ARTICLE 67.35 — Project Verification Ladder</w:t>
      </w:r>
      <w:bookmarkEnd w:id="2045"/>
    </w:p>
    <w:p>
      <w:pPr>
        <w:pStyle w:val="Normal"/>
        <w:widowControl/>
        <w:rPr/>
      </w:pPr>
      <w:r>
        <w:rPr/>
        <w:t>Candidate projects may be classified A1 Candidate Identified; A2 Program or Project Existence Verified; A3 Funding and Policy Authority Verified; A4 Implementation Path Verified; and A5 Schedule Ready. Status may move backward when circumstances change, and no classification by itself authorizes procurement, construction, funding, deployment, or foreign access.</w:t>
      </w:r>
    </w:p>
    <w:p>
      <w:bookmarkStart w:id="2046" w:name="_NAESTMA_TOC_2046"/>
      <w:pPr>
        <w:pStyle w:val="Heading2"/>
        <w:keepNext/>
        <w:widowControl/>
        <w:rPr/>
      </w:pPr>
      <w:r>
        <w:rPr>
          <w:b/>
        </w:rPr>
        <w:t>ARTICLE 67.36 — Project Scheduling and No Automatic Approval</w:t>
      </w:r>
      <w:bookmarkEnd w:id="2046"/>
    </w:p>
    <w:p>
      <w:pPr>
        <w:pStyle w:val="Normal"/>
        <w:widowControl/>
        <w:rPr/>
      </w:pPr>
      <w:r>
        <w:rPr/>
        <w:t>Candidate inclusion does not approve construction, procurement, funding, permitting, environmental review, rights processes, deployment, basing, or foreign access. Only an expressly incorporated A5 schedule commitment, adopted by the competent Party or Parties under applicable law, creates the obligation stated in that schedule.</w:t>
      </w:r>
    </w:p>
    <w:p>
      <w:bookmarkStart w:id="2047" w:name="_NAESTMA_TOC_2047"/>
      <w:pPr>
        <w:pStyle w:val="Heading2"/>
        <w:keepNext/>
        <w:widowControl/>
        <w:rPr/>
      </w:pPr>
      <w:r>
        <w:rPr>
          <w:b/>
        </w:rPr>
        <w:t>ARTICLE 67.37 — Northern Vigilance Milestone Certification</w:t>
      </w:r>
      <w:bookmarkEnd w:id="2047"/>
    </w:p>
    <w:p>
      <w:pPr>
        <w:pStyle w:val="Normal"/>
        <w:widowControl/>
        <w:rPr/>
      </w:pPr>
      <w:r>
        <w:rPr/>
        <w:t>This Article uses designated Party authorities and existing NAESTMA verification structures where practicable for documentary evidence, observation, correction and classification-safe milestone certification.</w:t>
      </w:r>
    </w:p>
    <w:p>
      <w:bookmarkStart w:id="2048" w:name="_NAESTMA_TOC_2048"/>
      <w:pPr>
        <w:pStyle w:val="Heading2"/>
        <w:keepNext/>
        <w:widowControl/>
        <w:rPr/>
      </w:pPr>
      <w:r>
        <w:rPr>
          <w:b/>
        </w:rPr>
        <w:t>ARTICLE 67.38 — Controlled-Capability Ladder</w:t>
      </w:r>
      <w:bookmarkEnd w:id="2048"/>
    </w:p>
    <w:p>
      <w:pPr>
        <w:pStyle w:val="Normal"/>
        <w:widowControl/>
        <w:rPr/>
      </w:pPr>
      <w:r>
        <w:rPr/>
        <w:t>This Article establishes C1 Concept Recognized; C2 Legal and Sovereignty Authority Verified; C3 Rights, Environmental and Security Review Complete; C4 Controlled Implementation Authorized; and C5 Program Eligible.</w:t>
      </w:r>
    </w:p>
    <w:p>
      <w:bookmarkStart w:id="2049" w:name="_NAESTMA_TOC_2049"/>
      <w:pPr>
        <w:pStyle w:val="Heading2"/>
        <w:keepNext/>
        <w:widowControl/>
        <w:rPr/>
      </w:pPr>
      <w:r>
        <w:rPr>
          <w:b/>
        </w:rPr>
        <w:t>ARTICLE 67.39 — Data Governance and Sensitive Information</w:t>
      </w:r>
      <w:bookmarkEnd w:id="2049"/>
    </w:p>
    <w:p>
      <w:pPr>
        <w:pStyle w:val="Normal"/>
        <w:widowControl/>
        <w:rPr/>
      </w:pPr>
      <w:r>
        <w:rPr/>
        <w:t>This Article requires applicable law, classification rules, purpose limitation, access controls, originator restrictions, cyber safeguards and correction procedures for Northern Vigilance information.</w:t>
      </w:r>
    </w:p>
    <w:p>
      <w:bookmarkStart w:id="2050" w:name="_NAESTMA_TOC_2050"/>
      <w:pPr>
        <w:pStyle w:val="Heading2"/>
        <w:keepNext/>
        <w:widowControl/>
        <w:rPr/>
      </w:pPr>
      <w:r>
        <w:rPr>
          <w:b/>
        </w:rPr>
        <w:t>ARTICLE 67.40 — Foreign Personnel, Liability and Status</w:t>
      </w:r>
      <w:bookmarkEnd w:id="2050"/>
    </w:p>
    <w:p>
      <w:pPr>
        <w:pStyle w:val="Normal"/>
        <w:widowControl/>
        <w:rPr/>
      </w:pPr>
      <w:r>
        <w:rPr/>
        <w:t>This Article subjects rotational or visiting foreign personnel to applicable status-of-forces, customs, immigration, liability, claims, security and facility-access rules and creates no independent immunity or authority.</w:t>
      </w:r>
    </w:p>
    <w:p>
      <w:bookmarkStart w:id="2051" w:name="_NAESTMA_TOC_2051"/>
      <w:pPr>
        <w:pStyle w:val="Heading2"/>
        <w:keepNext/>
        <w:widowControl/>
        <w:rPr/>
      </w:pPr>
      <w:r>
        <w:rPr>
          <w:b/>
        </w:rPr>
        <w:t>ARTICLE 67.41 — Environmental and Procurement Integrity</w:t>
      </w:r>
      <w:bookmarkEnd w:id="2051"/>
    </w:p>
    <w:p>
      <w:pPr>
        <w:pStyle w:val="Normal"/>
        <w:widowControl/>
        <w:rPr/>
      </w:pPr>
      <w:r>
        <w:rPr/>
        <w:t>This Article preserves applicable environmental, procurement, anti-corruption, audit and financial-control requirements and bars branding from bypassing law.</w:t>
      </w:r>
    </w:p>
    <w:p>
      <w:bookmarkStart w:id="2052" w:name="_NAESTMA_TOC_2052"/>
      <w:pPr>
        <w:pStyle w:val="Heading2"/>
        <w:keepNext/>
        <w:widowControl/>
        <w:rPr/>
      </w:pPr>
      <w:r>
        <w:rPr>
          <w:b/>
        </w:rPr>
        <w:t>ARTICLE 67.42 — Security Performance and Good-Faith Implementation</w:t>
      </w:r>
      <w:bookmarkEnd w:id="2052"/>
    </w:p>
    <w:p>
      <w:pPr>
        <w:pStyle w:val="Normal"/>
        <w:widowControl/>
        <w:rPr/>
      </w:pPr>
      <w:r>
        <w:rPr/>
        <w:t>This Article assesses performance primarily through verified implementation, capability availability, milestone delivery, sustainment and lawful cooperation rather than a single output statistic.</w:t>
      </w:r>
    </w:p>
    <w:p>
      <w:bookmarkStart w:id="2053" w:name="_NAESTMA_TOC_2053"/>
      <w:pPr>
        <w:pStyle w:val="Heading2"/>
        <w:keepNext/>
        <w:widowControl/>
        <w:rPr/>
      </w:pPr>
      <w:r>
        <w:rPr>
          <w:b/>
        </w:rPr>
        <w:t>ARTICLE 67.43 — Verification, Consultation and Cure</w:t>
      </w:r>
      <w:bookmarkEnd w:id="2053"/>
    </w:p>
    <w:p>
      <w:pPr>
        <w:pStyle w:val="Normal"/>
        <w:widowControl/>
        <w:rPr/>
      </w:pPr>
      <w:r>
        <w:rPr/>
        <w:t>This Article requires evidence, verification, consultation and a reasonable cure opportunity, using existing Cothrom or designated NAESTMA mechanisms before creating new institutions.</w:t>
      </w:r>
    </w:p>
    <w:p>
      <w:bookmarkStart w:id="2054" w:name="_NAESTMA_TOC_2054"/>
      <w:pPr>
        <w:pStyle w:val="Heading2"/>
        <w:keepNext/>
        <w:widowControl/>
        <w:rPr/>
      </w:pPr>
      <w:r>
        <w:rPr>
          <w:b/>
        </w:rPr>
        <w:t>ARTICLE 67.44 — Proportional Northern-Vigilance Step-Back</w:t>
      </w:r>
      <w:bookmarkEnd w:id="2054"/>
    </w:p>
    <w:p>
      <w:pPr>
        <w:pStyle w:val="Normal"/>
        <w:widowControl/>
        <w:rPr/>
      </w:pPr>
      <w:r>
        <w:rPr/>
        <w:t>This Article permits proportional pause of a directly paired Northern Vigilance benefit or cooperation measure after verified uncured material non-performance, without automatically affecting unrelated trade obligations.</w:t>
      </w:r>
    </w:p>
    <w:p>
      <w:bookmarkStart w:id="2055" w:name="_NAESTMA_TOC_2055"/>
      <w:pPr>
        <w:pStyle w:val="Heading2"/>
        <w:keepNext/>
        <w:widowControl/>
        <w:rPr/>
      </w:pPr>
      <w:r>
        <w:rPr>
          <w:b/>
        </w:rPr>
        <w:t>ARTICLE 67.45 — Automatic Restoration After Cure</w:t>
      </w:r>
      <w:bookmarkEnd w:id="2055"/>
    </w:p>
    <w:p>
      <w:pPr>
        <w:pStyle w:val="Normal"/>
        <w:widowControl/>
        <w:rPr/>
      </w:pPr>
      <w:r>
        <w:rPr/>
        <w:t>This Article requires prompt restoration of a paused paired benefit or cooperation measure when verified performance resumes, subject to necessary safety or security validation.</w:t>
      </w:r>
    </w:p>
    <w:p>
      <w:bookmarkStart w:id="2056" w:name="_NAESTMA_TOC_2056"/>
      <w:pPr>
        <w:pStyle w:val="Heading2"/>
        <w:keepNext/>
        <w:widowControl/>
        <w:rPr/>
      </w:pPr>
      <w:r>
        <w:rPr>
          <w:b/>
        </w:rPr>
        <w:t>ARTICLE 67.46 — Trade-Measure Exclusion and Covered-Rationale Exhaustion</w:t>
      </w:r>
      <w:bookmarkEnd w:id="2056"/>
    </w:p>
    <w:p>
      <w:pPr>
        <w:pStyle w:val="Normal"/>
        <w:widowControl/>
        <w:rPr/>
      </w:pPr>
      <w:r>
        <w:rPr/>
        <w:t>This Article provides that performance under this Chapter shall not by itself justify unrelated tariffs, quotas or other trade restrictions and bars recycling a materially addressed security concern without new material evidence of governmental non-performance.</w:t>
      </w:r>
    </w:p>
    <w:p>
      <w:bookmarkStart w:id="2057" w:name="_NAESTMA_TOC_2057"/>
      <w:pPr>
        <w:pStyle w:val="Heading2"/>
        <w:keepNext/>
        <w:widowControl/>
        <w:rPr/>
      </w:pPr>
      <w:r>
        <w:rPr>
          <w:b/>
        </w:rPr>
        <w:t>ARTICLE 67.47 — Review, Renewal and Orderly Wind-Down</w:t>
      </w:r>
      <w:bookmarkEnd w:id="2057"/>
    </w:p>
    <w:p>
      <w:pPr>
        <w:pStyle w:val="Normal"/>
        <w:widowControl/>
        <w:rPr/>
      </w:pPr>
      <w:r>
        <w:rPr/>
        <w:t>This Article requires periodic review, permits promotion and addition of verified projects, and maintains procedures for orderly withdrawal, data disposition, asset treatment and wind-down.</w:t>
      </w:r>
    </w:p>
    <w:p>
      <w:pPr>
        <w:pStyle w:val="Normal"/>
        <w:widowControl/>
        <w:rPr/>
      </w:pPr>
      <w:r>
        <w:rPr>
          <w:b/>
        </w:rPr>
        <w:t>ANNEX 67-A — CORNERSTONE OBLIGATIONS REGISTER (47)</w:t>
      </w:r>
    </w:p>
    <w:p>
      <w:pPr>
        <w:pStyle w:val="Normal"/>
        <w:widowControl/>
        <w:rPr/>
      </w:pPr>
      <w:r>
        <w:rPr/>
        <w:t>67-A.1. Article 67.1 — Purpose and Bargain.</w:t>
      </w:r>
    </w:p>
    <w:p>
      <w:pPr>
        <w:pStyle w:val="Normal"/>
        <w:widowControl/>
        <w:rPr/>
      </w:pPr>
      <w:r>
        <w:rPr/>
        <w:t>67-A.2. Article 67.2 — Governing Principle — Sovereign Infrastructure, Continental Benefit.</w:t>
      </w:r>
    </w:p>
    <w:p>
      <w:pPr>
        <w:pStyle w:val="Normal"/>
        <w:widowControl/>
        <w:rPr/>
      </w:pPr>
      <w:r>
        <w:rPr/>
        <w:t>67-A.3. Article 67.3 — Canadian Arctic Sovereignty and Legal-Position Savings.</w:t>
      </w:r>
    </w:p>
    <w:p>
      <w:pPr>
        <w:pStyle w:val="Normal"/>
        <w:widowControl/>
        <w:rPr/>
      </w:pPr>
      <w:r>
        <w:rPr/>
        <w:t>67-A.4. Article 67.4 — Canadian Soil, Canadian Authority.</w:t>
      </w:r>
    </w:p>
    <w:p>
      <w:pPr>
        <w:pStyle w:val="Normal"/>
        <w:widowControl/>
        <w:rPr/>
      </w:pPr>
      <w:r>
        <w:rPr/>
        <w:t>67-A.5. Article 67.5 — National Command and Capability Without Compulsion.</w:t>
      </w:r>
    </w:p>
    <w:p>
      <w:pPr>
        <w:pStyle w:val="Normal"/>
        <w:widowControl/>
        <w:rPr/>
      </w:pPr>
      <w:r>
        <w:rPr/>
        <w:t>67-A.6. Article 67.6 — Trilateral Where Functional, Binational Where Operational.</w:t>
      </w:r>
    </w:p>
    <w:p>
      <w:pPr>
        <w:pStyle w:val="Normal"/>
        <w:widowControl/>
        <w:rPr/>
      </w:pPr>
      <w:r>
        <w:rPr/>
        <w:t>67-A.7. Article 67.7 — Maintain While Modernizing.</w:t>
      </w:r>
    </w:p>
    <w:p>
      <w:pPr>
        <w:pStyle w:val="Normal"/>
        <w:widowControl/>
        <w:rPr/>
      </w:pPr>
      <w:r>
        <w:rPr/>
        <w:t>67-A.8. Article 67.8 — Public Commitment, Classified Implementation.</w:t>
      </w:r>
    </w:p>
    <w:p>
      <w:pPr>
        <w:pStyle w:val="Normal"/>
        <w:widowControl/>
        <w:rPr/>
      </w:pPr>
      <w:r>
        <w:rPr/>
        <w:t>67-A.9. Article 67.9 — Interoperability Without Surrender of National Control.</w:t>
      </w:r>
    </w:p>
    <w:p>
      <w:pPr>
        <w:pStyle w:val="Normal"/>
        <w:widowControl/>
        <w:rPr/>
      </w:pPr>
      <w:r>
        <w:rPr/>
        <w:t>67-A.10. Article 67.10 — Dual-Use Northern Dividend.</w:t>
      </w:r>
    </w:p>
    <w:p>
      <w:pPr>
        <w:pStyle w:val="Normal"/>
        <w:widowControl/>
        <w:rPr/>
      </w:pPr>
      <w:r>
        <w:rPr/>
        <w:t>67-A.11. Article 67.11 — No Northern Capacity Crowding-Out.</w:t>
      </w:r>
    </w:p>
    <w:p>
      <w:pPr>
        <w:pStyle w:val="Normal"/>
        <w:widowControl/>
        <w:rPr/>
      </w:pPr>
      <w:r>
        <w:rPr/>
        <w:t>67-A.12. Article 67.12 — Rights First, Partnership By Design.</w:t>
      </w:r>
    </w:p>
    <w:p>
      <w:pPr>
        <w:pStyle w:val="Normal"/>
        <w:widowControl/>
        <w:rPr/>
      </w:pPr>
      <w:r>
        <w:rPr/>
        <w:t>67-A.13. Article 67.13 — Traditional Knowledge and Cultural Protection.</w:t>
      </w:r>
    </w:p>
    <w:p>
      <w:pPr>
        <w:pStyle w:val="Normal"/>
        <w:widowControl/>
        <w:rPr/>
      </w:pPr>
      <w:r>
        <w:rPr/>
        <w:t>67-A.14. Article 67.14 — Spend Once, Announce Twice.</w:t>
      </w:r>
    </w:p>
    <w:p>
      <w:pPr>
        <w:pStyle w:val="Normal"/>
        <w:widowControl/>
        <w:rPr/>
      </w:pPr>
      <w:r>
        <w:rPr/>
        <w:t>67-A.15. Article 67.15 — One Dollar, One Investment.</w:t>
      </w:r>
    </w:p>
    <w:p>
      <w:pPr>
        <w:pStyle w:val="Normal"/>
        <w:widowControl/>
        <w:rPr/>
      </w:pPr>
      <w:r>
        <w:rPr/>
        <w:t>67-A.16. Article 67.16 — Arctic Investment Ledger.</w:t>
      </w:r>
    </w:p>
    <w:p>
      <w:pPr>
        <w:pStyle w:val="Normal"/>
        <w:widowControl/>
        <w:rPr/>
      </w:pPr>
      <w:r>
        <w:rPr/>
        <w:t>67-A.17. Article 67.17 — Baseline and Additionality.</w:t>
      </w:r>
    </w:p>
    <w:p>
      <w:pPr>
        <w:pStyle w:val="Normal"/>
        <w:widowControl/>
        <w:rPr/>
      </w:pPr>
      <w:r>
        <w:rPr/>
        <w:t>67-A.18. Article 67.18 — Independent Baseline and Headline Verification.</w:t>
      </w:r>
    </w:p>
    <w:p>
      <w:pPr>
        <w:pStyle w:val="Normal"/>
        <w:widowControl/>
        <w:rPr/>
      </w:pPr>
      <w:r>
        <w:rPr/>
        <w:t>67-A.19. Article 67.19 — Northern Warning and Domain Awareness.</w:t>
      </w:r>
    </w:p>
    <w:p>
      <w:pPr>
        <w:pStyle w:val="Normal"/>
        <w:widowControl/>
        <w:rPr/>
      </w:pPr>
      <w:r>
        <w:rPr/>
        <w:t>67-A.20. Article 67.20 — Northern Airfields, Basing and Operational Support.</w:t>
      </w:r>
    </w:p>
    <w:p>
      <w:pPr>
        <w:pStyle w:val="Normal"/>
        <w:widowControl/>
        <w:rPr/>
      </w:pPr>
      <w:r>
        <w:rPr/>
        <w:t>67-A.21. Article 67.21 — Ports, Sealift, Ice-Capable and Maritime Support.</w:t>
      </w:r>
    </w:p>
    <w:p>
      <w:pPr>
        <w:pStyle w:val="Normal"/>
        <w:widowControl/>
        <w:rPr/>
      </w:pPr>
      <w:r>
        <w:rPr/>
        <w:t>67-A.22. Article 67.22 — Undersea Domain and Cable Protection.</w:t>
      </w:r>
    </w:p>
    <w:p>
      <w:pPr>
        <w:pStyle w:val="Normal"/>
        <w:widowControl/>
        <w:rPr/>
      </w:pPr>
      <w:r>
        <w:rPr/>
        <w:t>67-A.23. Article 67.23 — Airborne Early Warning and Air-Defence Evolution.</w:t>
      </w:r>
    </w:p>
    <w:p>
      <w:pPr>
        <w:pStyle w:val="Normal"/>
        <w:widowControl/>
        <w:rPr/>
      </w:pPr>
      <w:r>
        <w:rPr/>
        <w:t>67-A.24. Article 67.24 — Polar Communications, Space and C4ISR Resilience.</w:t>
      </w:r>
    </w:p>
    <w:p>
      <w:pPr>
        <w:pStyle w:val="Normal"/>
        <w:widowControl/>
        <w:rPr/>
      </w:pPr>
      <w:r>
        <w:rPr/>
        <w:t>67-A.25. Article 67.25 — Northern Strategic Mobility and Logistics.</w:t>
      </w:r>
    </w:p>
    <w:p>
      <w:pPr>
        <w:pStyle w:val="Normal"/>
        <w:widowControl/>
        <w:rPr/>
      </w:pPr>
      <w:r>
        <w:rPr/>
        <w:t>67-A.26. Article 67.26 — Northern Energy and Fuel Resilience.</w:t>
      </w:r>
    </w:p>
    <w:p>
      <w:pPr>
        <w:pStyle w:val="Normal"/>
        <w:widowControl/>
        <w:rPr/>
      </w:pPr>
      <w:r>
        <w:rPr/>
        <w:t>67-A.27. Article 67.27 — Search and Rescue, Health and Human Security.</w:t>
      </w:r>
    </w:p>
    <w:p>
      <w:pPr>
        <w:pStyle w:val="Normal"/>
        <w:widowControl/>
        <w:rPr/>
      </w:pPr>
      <w:r>
        <w:rPr/>
        <w:t>67-A.28. Article 67.28 — Climate, Science, Environment and Ocean Governance.</w:t>
      </w:r>
    </w:p>
    <w:p>
      <w:pPr>
        <w:pStyle w:val="Normal"/>
        <w:widowControl/>
        <w:rPr/>
      </w:pPr>
      <w:r>
        <w:rPr/>
        <w:t>67-A.29. Article 67.29 — North American Arctic Industrial Base.</w:t>
      </w:r>
    </w:p>
    <w:p>
      <w:pPr>
        <w:pStyle w:val="Normal"/>
        <w:widowControl/>
        <w:rPr/>
      </w:pPr>
      <w:r>
        <w:rPr/>
        <w:t>67-A.30. Article 67.30 — Procurement Is Opportunity, Not Award.</w:t>
      </w:r>
    </w:p>
    <w:p>
      <w:pPr>
        <w:pStyle w:val="Normal"/>
        <w:widowControl/>
        <w:rPr/>
      </w:pPr>
      <w:r>
        <w:rPr/>
        <w:t>67-A.31. Article 67.31 — Workforce and Northern Capacity.</w:t>
      </w:r>
    </w:p>
    <w:p>
      <w:pPr>
        <w:pStyle w:val="Normal"/>
        <w:widowControl/>
        <w:rPr/>
      </w:pPr>
      <w:r>
        <w:rPr/>
        <w:t>67-A.32. Article 67.32 — Northern Vigilance Scorecard.</w:t>
      </w:r>
    </w:p>
    <w:p>
      <w:pPr>
        <w:pStyle w:val="Normal"/>
        <w:widowControl/>
        <w:rPr/>
      </w:pPr>
      <w:r>
        <w:rPr/>
        <w:t>67-A.33. Article 67.33 — State of the Vigilant North.</w:t>
      </w:r>
    </w:p>
    <w:p>
      <w:pPr>
        <w:pStyle w:val="Normal"/>
        <w:widowControl/>
        <w:rPr/>
      </w:pPr>
      <w:r>
        <w:rPr/>
        <w:t>67-A.34. Article 67.34 — No Zombie Projects.</w:t>
      </w:r>
    </w:p>
    <w:p>
      <w:pPr>
        <w:pStyle w:val="Normal"/>
        <w:widowControl/>
        <w:rPr/>
      </w:pPr>
      <w:r>
        <w:rPr/>
        <w:t>67-A.35. Article 67.35 — Project Verification Ladder.</w:t>
      </w:r>
    </w:p>
    <w:p>
      <w:pPr>
        <w:pStyle w:val="Normal"/>
        <w:widowControl/>
        <w:rPr/>
      </w:pPr>
      <w:r>
        <w:rPr/>
        <w:t>67-A.36. Article 67.36 — Project Scheduling and No Automatic Approval.</w:t>
      </w:r>
    </w:p>
    <w:p>
      <w:pPr>
        <w:pStyle w:val="Normal"/>
        <w:widowControl/>
        <w:rPr/>
      </w:pPr>
      <w:r>
        <w:rPr/>
        <w:t>67-A.37. Article 67.37 — Northern Vigilance Milestone Certification.</w:t>
      </w:r>
    </w:p>
    <w:p>
      <w:pPr>
        <w:pStyle w:val="Normal"/>
        <w:widowControl/>
        <w:rPr/>
      </w:pPr>
      <w:r>
        <w:rPr/>
        <w:t>67-A.38. Article 67.38 — Controlled-Capability Ladder.</w:t>
      </w:r>
    </w:p>
    <w:p>
      <w:pPr>
        <w:pStyle w:val="Normal"/>
        <w:widowControl/>
        <w:rPr/>
      </w:pPr>
      <w:r>
        <w:rPr/>
        <w:t>67-A.39. Article 67.39 — Data Governance and Sensitive Information.</w:t>
      </w:r>
    </w:p>
    <w:p>
      <w:pPr>
        <w:pStyle w:val="Normal"/>
        <w:widowControl/>
        <w:rPr/>
      </w:pPr>
      <w:r>
        <w:rPr/>
        <w:t>67-A.40. Article 67.40 — Foreign Personnel, Liability and Status.</w:t>
      </w:r>
    </w:p>
    <w:p>
      <w:pPr>
        <w:pStyle w:val="Normal"/>
        <w:widowControl/>
        <w:rPr/>
      </w:pPr>
      <w:r>
        <w:rPr/>
        <w:t>67-A.41. Article 67.41 — Environmental and Procurement Integrity.</w:t>
      </w:r>
    </w:p>
    <w:p>
      <w:pPr>
        <w:pStyle w:val="Normal"/>
        <w:widowControl/>
        <w:rPr/>
      </w:pPr>
      <w:r>
        <w:rPr/>
        <w:t>67-A.42. Article 67.42 — Security Performance and Good-Faith Implementation.</w:t>
      </w:r>
    </w:p>
    <w:p>
      <w:pPr>
        <w:pStyle w:val="Normal"/>
        <w:widowControl/>
        <w:rPr/>
      </w:pPr>
      <w:r>
        <w:rPr/>
        <w:t>67-A.43. Article 67.43 — Verification, Consultation and Cure.</w:t>
      </w:r>
    </w:p>
    <w:p>
      <w:pPr>
        <w:pStyle w:val="Normal"/>
        <w:widowControl/>
        <w:rPr/>
      </w:pPr>
      <w:r>
        <w:rPr/>
        <w:t>67-A.44. Article 67.44 — Proportional Northern-Vigilance Step-Back.</w:t>
      </w:r>
    </w:p>
    <w:p>
      <w:pPr>
        <w:pStyle w:val="Normal"/>
        <w:widowControl/>
        <w:rPr/>
      </w:pPr>
      <w:r>
        <w:rPr/>
        <w:t>67-A.45. Article 67.45 — Automatic Restoration After Cure.</w:t>
      </w:r>
    </w:p>
    <w:p>
      <w:pPr>
        <w:pStyle w:val="Normal"/>
        <w:widowControl/>
        <w:rPr/>
      </w:pPr>
      <w:r>
        <w:rPr/>
        <w:t>67-A.46. Article 67.46 — Trade-Measure Exclusion and Covered-Rationale Exhaustion.</w:t>
      </w:r>
    </w:p>
    <w:p>
      <w:pPr>
        <w:pStyle w:val="Normal"/>
        <w:widowControl/>
        <w:rPr/>
      </w:pPr>
      <w:r>
        <w:rPr/>
        <w:t>67-A.47. Article 67.47 — Review, Renewal and Orderly Wind-Down.</w:t>
      </w:r>
    </w:p>
    <w:p>
      <w:pPr>
        <w:pStyle w:val="Normal"/>
        <w:widowControl/>
        <w:rPr/>
      </w:pPr>
      <w:r>
        <w:rPr>
          <w:b/>
        </w:rPr>
        <w:t>ANNEX 67-B — OPERATIONAL AND CAPABILITY MECHANISM REGISTER (128)</w:t>
      </w:r>
    </w:p>
    <w:p>
      <w:pPr>
        <w:pStyle w:val="Normal"/>
        <w:widowControl/>
        <w:rPr/>
      </w:pPr>
      <w:r>
        <w:rPr/>
        <w:t>67-B.1. [Warning and Radar] A-OTHR capability.</w:t>
      </w:r>
    </w:p>
    <w:p>
      <w:pPr>
        <w:pStyle w:val="Normal"/>
        <w:widowControl/>
        <w:rPr/>
      </w:pPr>
      <w:r>
        <w:rPr/>
        <w:t>67-B.2. [Warning and Radar] Polar OTHR capability.</w:t>
      </w:r>
    </w:p>
    <w:p>
      <w:pPr>
        <w:pStyle w:val="Normal"/>
        <w:widowControl/>
        <w:rPr/>
      </w:pPr>
      <w:r>
        <w:rPr/>
        <w:t>67-B.3. [Warning and Radar] North Warning System sustainment.</w:t>
      </w:r>
    </w:p>
    <w:p>
      <w:pPr>
        <w:pStyle w:val="Normal"/>
        <w:widowControl/>
        <w:rPr/>
      </w:pPr>
      <w:r>
        <w:rPr/>
        <w:t>67-B.4. [Warning and Radar] North Warning System transition.</w:t>
      </w:r>
    </w:p>
    <w:p>
      <w:pPr>
        <w:pStyle w:val="Normal"/>
        <w:widowControl/>
        <w:rPr/>
      </w:pPr>
      <w:r>
        <w:rPr/>
        <w:t>67-B.5. [Warning and Radar] Gap-fill radar.</w:t>
      </w:r>
    </w:p>
    <w:p>
      <w:pPr>
        <w:pStyle w:val="Normal"/>
        <w:widowControl/>
        <w:rPr/>
      </w:pPr>
      <w:r>
        <w:rPr/>
        <w:t>67-B.6. [Warning and Radar] Mobile radar augmentation.</w:t>
      </w:r>
    </w:p>
    <w:p>
      <w:pPr>
        <w:pStyle w:val="Normal"/>
        <w:widowControl/>
        <w:rPr/>
      </w:pPr>
      <w:r>
        <w:rPr/>
        <w:t>67-B.7. [Warning and Radar] Maritime radar.</w:t>
      </w:r>
    </w:p>
    <w:p>
      <w:pPr>
        <w:pStyle w:val="Normal"/>
        <w:widowControl/>
        <w:rPr/>
      </w:pPr>
      <w:r>
        <w:rPr/>
        <w:t>67-B.8. [Warning and Radar] Passive detection research.</w:t>
      </w:r>
    </w:p>
    <w:p>
      <w:pPr>
        <w:pStyle w:val="Normal"/>
        <w:widowControl/>
        <w:rPr/>
      </w:pPr>
      <w:r>
        <w:rPr/>
        <w:t>67-B.9. [Warning and Radar] Radar calibration.</w:t>
      </w:r>
    </w:p>
    <w:p>
      <w:pPr>
        <w:pStyle w:val="Normal"/>
        <w:widowControl/>
        <w:rPr/>
      </w:pPr>
      <w:r>
        <w:rPr/>
        <w:t>67-B.10. [Warning and Radar] Radar-site hardening.</w:t>
      </w:r>
    </w:p>
    <w:p>
      <w:pPr>
        <w:pStyle w:val="Normal"/>
        <w:widowControl/>
        <w:rPr/>
      </w:pPr>
      <w:r>
        <w:rPr/>
        <w:t>67-B.11. [Warning and Radar] Radar maintenance sovereignty.</w:t>
      </w:r>
    </w:p>
    <w:p>
      <w:pPr>
        <w:pStyle w:val="Normal"/>
        <w:widowControl/>
        <w:rPr/>
      </w:pPr>
      <w:r>
        <w:rPr/>
        <w:t>67-B.12. [Warning and Radar] Radar spares and lifecycle support.</w:t>
      </w:r>
    </w:p>
    <w:p>
      <w:pPr>
        <w:pStyle w:val="Normal"/>
        <w:widowControl/>
        <w:rPr/>
      </w:pPr>
      <w:r>
        <w:rPr/>
        <w:t>67-B.13. [Warning and Radar] Radar cybersecurity.</w:t>
      </w:r>
    </w:p>
    <w:p>
      <w:pPr>
        <w:pStyle w:val="Normal"/>
        <w:widowControl/>
        <w:rPr/>
      </w:pPr>
      <w:r>
        <w:rPr/>
        <w:t>67-B.14. [Warning and Radar] Frequency and spectrum coordination.</w:t>
      </w:r>
    </w:p>
    <w:p>
      <w:pPr>
        <w:pStyle w:val="Normal"/>
        <w:widowControl/>
        <w:rPr/>
      </w:pPr>
      <w:r>
        <w:rPr/>
        <w:t>67-B.15. [Warning and Radar] Sensor-fusion interoperability.</w:t>
      </w:r>
    </w:p>
    <w:p>
      <w:pPr>
        <w:pStyle w:val="Normal"/>
        <w:widowControl/>
        <w:rPr/>
      </w:pPr>
      <w:r>
        <w:rPr/>
        <w:t>67-B.16. [Warning and Radar] Coverage-assurance methodology.</w:t>
      </w:r>
    </w:p>
    <w:p>
      <w:pPr>
        <w:pStyle w:val="Normal"/>
        <w:widowControl/>
        <w:rPr/>
      </w:pPr>
      <w:r>
        <w:rPr/>
        <w:t>67-B.17. [Warning and Radar] Warning workforce pipeline.</w:t>
      </w:r>
    </w:p>
    <w:p>
      <w:pPr>
        <w:pStyle w:val="Normal"/>
        <w:widowControl/>
        <w:rPr/>
      </w:pPr>
      <w:r>
        <w:rPr/>
        <w:t>67-B.18. [Warning and Radar] Warning test and evaluation.</w:t>
      </w:r>
    </w:p>
    <w:p>
      <w:pPr>
        <w:pStyle w:val="Normal"/>
        <w:widowControl/>
        <w:rPr/>
      </w:pPr>
      <w:r>
        <w:rPr/>
        <w:t>67-B.19. [Air and Basing] Forward operating location standard.</w:t>
      </w:r>
    </w:p>
    <w:p>
      <w:pPr>
        <w:pStyle w:val="Normal"/>
        <w:widowControl/>
        <w:rPr/>
      </w:pPr>
      <w:r>
        <w:rPr/>
        <w:t>67-B.20. [Air and Basing] Operational support hub standard.</w:t>
      </w:r>
    </w:p>
    <w:p>
      <w:pPr>
        <w:pStyle w:val="Normal"/>
        <w:widowControl/>
        <w:rPr/>
      </w:pPr>
      <w:r>
        <w:rPr/>
        <w:t>67-B.21. [Air and Basing] Runway and apron resilience.</w:t>
      </w:r>
    </w:p>
    <w:p>
      <w:pPr>
        <w:pStyle w:val="Normal"/>
        <w:widowControl/>
        <w:rPr/>
      </w:pPr>
      <w:r>
        <w:rPr/>
        <w:t>67-B.22. [Air and Basing] Aircraft shelter and hangar capacity.</w:t>
      </w:r>
    </w:p>
    <w:p>
      <w:pPr>
        <w:pStyle w:val="Normal"/>
        <w:widowControl/>
        <w:rPr/>
      </w:pPr>
      <w:r>
        <w:rPr/>
        <w:t>67-B.23. [Air and Basing] Aviation fuel resilience.</w:t>
      </w:r>
    </w:p>
    <w:p>
      <w:pPr>
        <w:pStyle w:val="Normal"/>
        <w:widowControl/>
        <w:rPr/>
      </w:pPr>
      <w:r>
        <w:rPr/>
        <w:t>67-B.24. [Air and Basing] Secure storage support.</w:t>
      </w:r>
    </w:p>
    <w:p>
      <w:pPr>
        <w:pStyle w:val="Normal"/>
        <w:widowControl/>
        <w:rPr/>
      </w:pPr>
      <w:r>
        <w:rPr/>
        <w:t>67-B.25. [Air and Basing] Northern navigation aids.</w:t>
      </w:r>
    </w:p>
    <w:p>
      <w:pPr>
        <w:pStyle w:val="Normal"/>
        <w:widowControl/>
        <w:rPr/>
      </w:pPr>
      <w:r>
        <w:rPr/>
        <w:t>67-B.26. [Air and Basing] Weather and runway-condition monitoring.</w:t>
      </w:r>
    </w:p>
    <w:p>
      <w:pPr>
        <w:pStyle w:val="Normal"/>
        <w:widowControl/>
        <w:rPr/>
      </w:pPr>
      <w:r>
        <w:rPr/>
        <w:t>67-B.27. [Air and Basing] Emergency-divert readiness.</w:t>
      </w:r>
    </w:p>
    <w:p>
      <w:pPr>
        <w:pStyle w:val="Normal"/>
        <w:widowControl/>
        <w:rPr/>
      </w:pPr>
      <w:r>
        <w:rPr/>
        <w:t>67-B.28. [Air and Basing] Airlift staging.</w:t>
      </w:r>
    </w:p>
    <w:p>
      <w:pPr>
        <w:pStyle w:val="Normal"/>
        <w:widowControl/>
        <w:rPr/>
      </w:pPr>
      <w:r>
        <w:rPr/>
        <w:t>67-B.29. [Air and Basing] AEWC northern integration.</w:t>
      </w:r>
    </w:p>
    <w:p>
      <w:pPr>
        <w:pStyle w:val="Normal"/>
        <w:widowControl/>
        <w:rPr/>
      </w:pPr>
      <w:r>
        <w:rPr/>
        <w:t>67-B.30. [Air and Basing] AEWC sustainment and training.</w:t>
      </w:r>
    </w:p>
    <w:p>
      <w:pPr>
        <w:pStyle w:val="Normal"/>
        <w:widowControl/>
        <w:rPr/>
      </w:pPr>
      <w:r>
        <w:rPr/>
        <w:t>67-B.31. [Air and Basing] Fighter-support infrastructure.</w:t>
      </w:r>
    </w:p>
    <w:p>
      <w:pPr>
        <w:pStyle w:val="Normal"/>
        <w:widowControl/>
        <w:rPr/>
      </w:pPr>
      <w:r>
        <w:rPr/>
        <w:t>67-B.32. [Air and Basing] Cold-weather aviation maintenance.</w:t>
      </w:r>
    </w:p>
    <w:p>
      <w:pPr>
        <w:pStyle w:val="Normal"/>
        <w:widowControl/>
        <w:rPr/>
      </w:pPr>
      <w:r>
        <w:rPr/>
        <w:t>67-B.33. [Maritime and Undersea] Port resilience.</w:t>
      </w:r>
    </w:p>
    <w:p>
      <w:pPr>
        <w:pStyle w:val="Normal"/>
        <w:widowControl/>
        <w:rPr/>
      </w:pPr>
      <w:r>
        <w:rPr/>
        <w:t>67-B.34. [Maritime and Undersea] Small-harbour resilience.</w:t>
      </w:r>
    </w:p>
    <w:p>
      <w:pPr>
        <w:pStyle w:val="Normal"/>
        <w:widowControl/>
        <w:rPr/>
      </w:pPr>
      <w:r>
        <w:rPr/>
        <w:t>67-B.35. [Maritime and Undersea] Sealift support.</w:t>
      </w:r>
    </w:p>
    <w:p>
      <w:pPr>
        <w:pStyle w:val="Normal"/>
        <w:widowControl/>
        <w:rPr/>
      </w:pPr>
      <w:r>
        <w:rPr/>
        <w:t>67-B.36. [Maritime and Undersea] Hydrographic modernization.</w:t>
      </w:r>
    </w:p>
    <w:p>
      <w:pPr>
        <w:pStyle w:val="Normal"/>
        <w:widowControl/>
        <w:rPr/>
      </w:pPr>
      <w:r>
        <w:rPr/>
        <w:t>67-B.37. [Maritime and Undersea] Navigation-aid modernization.</w:t>
      </w:r>
    </w:p>
    <w:p>
      <w:pPr>
        <w:pStyle w:val="Normal"/>
        <w:widowControl/>
        <w:rPr/>
      </w:pPr>
      <w:r>
        <w:rPr/>
        <w:t>67-B.38. [Maritime and Undersea] Maritime emergency refuge.</w:t>
      </w:r>
    </w:p>
    <w:p>
      <w:pPr>
        <w:pStyle w:val="Normal"/>
        <w:widowControl/>
        <w:rPr/>
      </w:pPr>
      <w:r>
        <w:rPr/>
        <w:t>67-B.39. [Maritime and Undersea] Spill-response readiness.</w:t>
      </w:r>
    </w:p>
    <w:p>
      <w:pPr>
        <w:pStyle w:val="Normal"/>
        <w:widowControl/>
        <w:rPr/>
      </w:pPr>
      <w:r>
        <w:rPr/>
        <w:t>67-B.40. [Maritime and Undersea] Ice-capable vessel support.</w:t>
      </w:r>
    </w:p>
    <w:p>
      <w:pPr>
        <w:pStyle w:val="Normal"/>
        <w:widowControl/>
        <w:rPr/>
      </w:pPr>
      <w:r>
        <w:rPr/>
        <w:t>67-B.41. [Maritime and Undersea] Submarine-rescue interoperability.</w:t>
      </w:r>
    </w:p>
    <w:p>
      <w:pPr>
        <w:pStyle w:val="Normal"/>
        <w:widowControl/>
        <w:rPr/>
      </w:pPr>
      <w:r>
        <w:rPr/>
        <w:t>67-B.42. [Maritime and Undersea] Undersea research.</w:t>
      </w:r>
    </w:p>
    <w:p>
      <w:pPr>
        <w:pStyle w:val="Normal"/>
        <w:widowControl/>
        <w:rPr/>
      </w:pPr>
      <w:r>
        <w:rPr/>
        <w:t>67-B.43. [Maritime and Undersea] Autonomous undersea systems research.</w:t>
      </w:r>
    </w:p>
    <w:p>
      <w:pPr>
        <w:pStyle w:val="Normal"/>
        <w:widowControl/>
        <w:rPr/>
      </w:pPr>
      <w:r>
        <w:rPr/>
        <w:t>67-B.44. [Maritime and Undersea] Ocean-glider observation.</w:t>
      </w:r>
    </w:p>
    <w:p>
      <w:pPr>
        <w:pStyle w:val="Normal"/>
        <w:widowControl/>
        <w:rPr/>
      </w:pPr>
      <w:r>
        <w:rPr/>
        <w:t>67-B.45. [Maritime and Undersea] Seabed-infrastructure awareness.</w:t>
      </w:r>
    </w:p>
    <w:p>
      <w:pPr>
        <w:pStyle w:val="Normal"/>
        <w:widowControl/>
        <w:rPr/>
      </w:pPr>
      <w:r>
        <w:rPr/>
        <w:t>67-B.46. [Maritime and Undersea] Undersea cable protection.</w:t>
      </w:r>
    </w:p>
    <w:p>
      <w:pPr>
        <w:pStyle w:val="Normal"/>
        <w:widowControl/>
        <w:rPr/>
      </w:pPr>
      <w:r>
        <w:rPr/>
        <w:t>67-B.47. [Space C4ISR Cyber] Polar communications backbone.</w:t>
      </w:r>
    </w:p>
    <w:p>
      <w:pPr>
        <w:pStyle w:val="Normal"/>
        <w:widowControl/>
        <w:rPr/>
      </w:pPr>
      <w:r>
        <w:rPr/>
        <w:t>67-B.48. [Space C4ISR Cyber] Satellite ground infrastructure.</w:t>
      </w:r>
    </w:p>
    <w:p>
      <w:pPr>
        <w:pStyle w:val="Normal"/>
        <w:widowControl/>
        <w:rPr/>
      </w:pPr>
      <w:r>
        <w:rPr/>
        <w:t>67-B.49. [Space C4ISR Cyber] Space-domain awareness.</w:t>
      </w:r>
    </w:p>
    <w:p>
      <w:pPr>
        <w:pStyle w:val="Normal"/>
        <w:widowControl/>
        <w:rPr/>
      </w:pPr>
      <w:r>
        <w:rPr/>
        <w:t>67-B.50. [Space C4ISR Cyber] Space-weather support.</w:t>
      </w:r>
    </w:p>
    <w:p>
      <w:pPr>
        <w:pStyle w:val="Normal"/>
        <w:widowControl/>
        <w:rPr/>
      </w:pPr>
      <w:r>
        <w:rPr/>
        <w:t>67-B.51. [Space C4ISR Cyber] Secure C2 modernization.</w:t>
      </w:r>
    </w:p>
    <w:p>
      <w:pPr>
        <w:pStyle w:val="Normal"/>
        <w:widowControl/>
        <w:rPr/>
      </w:pPr>
      <w:r>
        <w:rPr/>
        <w:t>67-B.52. [Space C4ISR Cyber] Federated information exchange.</w:t>
      </w:r>
    </w:p>
    <w:p>
      <w:pPr>
        <w:pStyle w:val="Normal"/>
        <w:widowControl/>
        <w:rPr/>
      </w:pPr>
      <w:r>
        <w:rPr/>
        <w:t>67-B.53. [Space C4ISR Cyber] Exchange-officer interoperability.</w:t>
      </w:r>
    </w:p>
    <w:p>
      <w:pPr>
        <w:pStyle w:val="Normal"/>
        <w:widowControl/>
        <w:rPr/>
      </w:pPr>
      <w:r>
        <w:rPr/>
        <w:t>67-B.54. [Space C4ISR Cyber] Northern network redundancy.</w:t>
      </w:r>
    </w:p>
    <w:p>
      <w:pPr>
        <w:pStyle w:val="Normal"/>
        <w:widowControl/>
        <w:rPr/>
      </w:pPr>
      <w:r>
        <w:rPr/>
        <w:t>67-B.55. [Space C4ISR Cyber] Radar-chain cyber hardening.</w:t>
      </w:r>
    </w:p>
    <w:p>
      <w:pPr>
        <w:pStyle w:val="Normal"/>
        <w:widowControl/>
        <w:rPr/>
      </w:pPr>
      <w:r>
        <w:rPr/>
        <w:t>67-B.56. [Space C4ISR Cyber] Cyber incident response.</w:t>
      </w:r>
    </w:p>
    <w:p>
      <w:pPr>
        <w:pStyle w:val="Normal"/>
        <w:widowControl/>
        <w:rPr/>
      </w:pPr>
      <w:r>
        <w:rPr/>
        <w:t>67-B.57. [Space C4ISR Cyber] Satellite-ground-link cryptographic modernization.</w:t>
      </w:r>
    </w:p>
    <w:p>
      <w:pPr>
        <w:pStyle w:val="Normal"/>
        <w:widowControl/>
        <w:rPr/>
      </w:pPr>
      <w:r>
        <w:rPr/>
        <w:t>67-B.58. [Space C4ISR Cyber] Critical-infrastructure cyber registry.</w:t>
      </w:r>
    </w:p>
    <w:p>
      <w:pPr>
        <w:pStyle w:val="Normal"/>
        <w:widowControl/>
        <w:rPr/>
      </w:pPr>
      <w:r>
        <w:rPr/>
        <w:t>67-B.59. [Space C4ISR Cyber] Communications contingency capability.</w:t>
      </w:r>
    </w:p>
    <w:p>
      <w:pPr>
        <w:pStyle w:val="Normal"/>
        <w:widowControl/>
        <w:rPr/>
      </w:pPr>
      <w:r>
        <w:rPr/>
        <w:t>67-B.60. [Space C4ISR Cyber] Classification-aware data fusion.</w:t>
      </w:r>
    </w:p>
    <w:p>
      <w:pPr>
        <w:pStyle w:val="Normal"/>
        <w:widowControl/>
        <w:rPr/>
      </w:pPr>
      <w:r>
        <w:rPr/>
        <w:t>67-B.61. [Logistics Mobility Energy] Northern strategic mobility planning.</w:t>
      </w:r>
    </w:p>
    <w:p>
      <w:pPr>
        <w:pStyle w:val="Normal"/>
        <w:widowControl/>
        <w:rPr/>
      </w:pPr>
      <w:r>
        <w:rPr/>
        <w:t>67-B.62. [Logistics Mobility Energy] All-season corridor resilience.</w:t>
      </w:r>
    </w:p>
    <w:p>
      <w:pPr>
        <w:pStyle w:val="Normal"/>
        <w:widowControl/>
        <w:rPr/>
      </w:pPr>
      <w:r>
        <w:rPr/>
        <w:t>67-B.63. [Logistics Mobility Energy] Sealift-airlift integration.</w:t>
      </w:r>
    </w:p>
    <w:p>
      <w:pPr>
        <w:pStyle w:val="Normal"/>
        <w:widowControl/>
        <w:rPr/>
      </w:pPr>
      <w:r>
        <w:rPr/>
        <w:t>67-B.64. [Logistics Mobility Energy] Northern warehouse network.</w:t>
      </w:r>
    </w:p>
    <w:p>
      <w:pPr>
        <w:pStyle w:val="Normal"/>
        <w:widowControl/>
        <w:rPr/>
      </w:pPr>
      <w:r>
        <w:rPr/>
        <w:t>67-B.65. [Logistics Mobility Energy] Freight-visibility platform.</w:t>
      </w:r>
    </w:p>
    <w:p>
      <w:pPr>
        <w:pStyle w:val="Normal"/>
        <w:widowControl/>
        <w:rPr/>
      </w:pPr>
      <w:r>
        <w:rPr/>
        <w:t>67-B.66. [Logistics Mobility Energy] Equipment pooling.</w:t>
      </w:r>
    </w:p>
    <w:p>
      <w:pPr>
        <w:pStyle w:val="Normal"/>
        <w:widowControl/>
        <w:rPr/>
      </w:pPr>
      <w:r>
        <w:rPr/>
        <w:t>67-B.67. [Logistics Mobility Energy] Heavy-lift contingency access.</w:t>
      </w:r>
    </w:p>
    <w:p>
      <w:pPr>
        <w:pStyle w:val="Normal"/>
        <w:widowControl/>
        <w:rPr/>
      </w:pPr>
      <w:r>
        <w:rPr/>
        <w:t>67-B.68. [Logistics Mobility Energy] Supply-chain stress testing.</w:t>
      </w:r>
    </w:p>
    <w:p>
      <w:pPr>
        <w:pStyle w:val="Normal"/>
        <w:widowControl/>
        <w:rPr/>
      </w:pPr>
      <w:r>
        <w:rPr/>
        <w:t>67-B.69. [Logistics Mobility Energy] Climate-resilient corridor design.</w:t>
      </w:r>
    </w:p>
    <w:p>
      <w:pPr>
        <w:pStyle w:val="Normal"/>
        <w:widowControl/>
        <w:rPr/>
      </w:pPr>
      <w:r>
        <w:rPr/>
        <w:t>67-B.70. [Logistics Mobility Energy] Fuel distribution resilience.</w:t>
      </w:r>
    </w:p>
    <w:p>
      <w:pPr>
        <w:pStyle w:val="Normal"/>
        <w:widowControl/>
        <w:rPr/>
      </w:pPr>
      <w:r>
        <w:rPr/>
        <w:t>67-B.71. [Logistics Mobility Energy] Fuel-quality assurance.</w:t>
      </w:r>
    </w:p>
    <w:p>
      <w:pPr>
        <w:pStyle w:val="Normal"/>
        <w:widowControl/>
        <w:rPr/>
      </w:pPr>
      <w:r>
        <w:rPr/>
        <w:t>67-B.72. [Logistics Mobility Energy] Microgrid resilience.</w:t>
      </w:r>
    </w:p>
    <w:p>
      <w:pPr>
        <w:pStyle w:val="Normal"/>
        <w:widowControl/>
        <w:rPr/>
      </w:pPr>
      <w:r>
        <w:rPr/>
        <w:t>67-B.73. [Logistics Mobility Energy] Backup generation.</w:t>
      </w:r>
    </w:p>
    <w:p>
      <w:pPr>
        <w:pStyle w:val="Normal"/>
        <w:widowControl/>
        <w:rPr/>
      </w:pPr>
      <w:r>
        <w:rPr/>
        <w:t>67-B.74. [Logistics Mobility Energy] Energy storage.</w:t>
      </w:r>
    </w:p>
    <w:p>
      <w:pPr>
        <w:pStyle w:val="Normal"/>
        <w:widowControl/>
        <w:rPr/>
      </w:pPr>
      <w:r>
        <w:rPr/>
        <w:t>67-B.75. [Logistics Mobility Energy] Grid reinforcement.</w:t>
      </w:r>
    </w:p>
    <w:p>
      <w:pPr>
        <w:pStyle w:val="Normal"/>
        <w:widowControl/>
        <w:rPr/>
      </w:pPr>
      <w:r>
        <w:rPr/>
        <w:t>67-B.76. [Logistics Mobility Energy] Renewable-hybrid systems.</w:t>
      </w:r>
    </w:p>
    <w:p>
      <w:pPr>
        <w:pStyle w:val="Normal"/>
        <w:widowControl/>
        <w:rPr/>
      </w:pPr>
      <w:r>
        <w:rPr/>
        <w:t>67-B.77. [Logistics Mobility Energy] Emergency power mutual aid.</w:t>
      </w:r>
    </w:p>
    <w:p>
      <w:pPr>
        <w:pStyle w:val="Normal"/>
        <w:widowControl/>
        <w:rPr/>
      </w:pPr>
      <w:r>
        <w:rPr/>
        <w:t>67-B.78. [Logistics Mobility Energy] Utility-capacity planning.</w:t>
      </w:r>
    </w:p>
    <w:p>
      <w:pPr>
        <w:pStyle w:val="Normal"/>
        <w:widowControl/>
        <w:rPr/>
      </w:pPr>
      <w:r>
        <w:rPr/>
        <w:t>67-B.79. [Industry Procurement Workforce] DPSA Arctic modernization track.</w:t>
      </w:r>
    </w:p>
    <w:p>
      <w:pPr>
        <w:pStyle w:val="Normal"/>
        <w:widowControl/>
        <w:rPr/>
      </w:pPr>
      <w:r>
        <w:rPr/>
        <w:t>67-B.80. [Industry Procurement Workforce] Export-control facilitation for approved projects.</w:t>
      </w:r>
    </w:p>
    <w:p>
      <w:pPr>
        <w:pStyle w:val="Normal"/>
        <w:widowControl/>
        <w:rPr/>
      </w:pPr>
      <w:r>
        <w:rPr/>
        <w:t>67-B.81. [Industry Procurement Workforce] Reciprocal supplier qualification.</w:t>
      </w:r>
    </w:p>
    <w:p>
      <w:pPr>
        <w:pStyle w:val="Normal"/>
        <w:widowControl/>
        <w:rPr/>
      </w:pPr>
      <w:r>
        <w:rPr/>
        <w:t>67-B.82. [Industry Procurement Workforce] Canadian sensor-manufacturing participation.</w:t>
      </w:r>
    </w:p>
    <w:p>
      <w:pPr>
        <w:pStyle w:val="Normal"/>
        <w:widowControl/>
        <w:rPr/>
      </w:pPr>
      <w:r>
        <w:rPr/>
        <w:t>67-B.83. [Industry Procurement Workforce] U.S. supplier participation in Canadian programs.</w:t>
      </w:r>
    </w:p>
    <w:p>
      <w:pPr>
        <w:pStyle w:val="Normal"/>
        <w:widowControl/>
        <w:rPr/>
      </w:pPr>
      <w:r>
        <w:rPr/>
        <w:t>67-B.84. [Industry Procurement Workforce] Mexican industrial-support lane.</w:t>
      </w:r>
    </w:p>
    <w:p>
      <w:pPr>
        <w:pStyle w:val="Normal"/>
        <w:widowControl/>
        <w:rPr/>
      </w:pPr>
      <w:r>
        <w:rPr/>
        <w:t>67-B.85. [Industry Procurement Workforce] Satellite-component supply chains.</w:t>
      </w:r>
    </w:p>
    <w:p>
      <w:pPr>
        <w:pStyle w:val="Normal"/>
        <w:widowControl/>
        <w:rPr/>
      </w:pPr>
      <w:r>
        <w:rPr/>
        <w:t>67-B.86. [Industry Procurement Workforce] Icebreaker supply-chain integration.</w:t>
      </w:r>
    </w:p>
    <w:p>
      <w:pPr>
        <w:pStyle w:val="Normal"/>
        <w:widowControl/>
        <w:rPr/>
      </w:pPr>
      <w:r>
        <w:rPr/>
        <w:t>67-B.87. [Industry Procurement Workforce] Critical-minerals-to-defence linkage.</w:t>
      </w:r>
    </w:p>
    <w:p>
      <w:pPr>
        <w:pStyle w:val="Normal"/>
        <w:widowControl/>
        <w:rPr/>
      </w:pPr>
      <w:r>
        <w:rPr/>
        <w:t>67-B.88. [Industry Procurement Workforce] Cold-weather battery R&amp;D.</w:t>
      </w:r>
    </w:p>
    <w:p>
      <w:pPr>
        <w:pStyle w:val="Normal"/>
        <w:widowControl/>
        <w:rPr/>
      </w:pPr>
      <w:r>
        <w:rPr/>
        <w:t>67-B.89. [Industry Procurement Workforce] Arctic-rated construction equipment.</w:t>
      </w:r>
    </w:p>
    <w:p>
      <w:pPr>
        <w:pStyle w:val="Normal"/>
        <w:widowControl/>
        <w:rPr/>
      </w:pPr>
      <w:r>
        <w:rPr/>
        <w:t>67-B.90. [Industry Procurement Workforce] Cold-weather materiel standards.</w:t>
      </w:r>
    </w:p>
    <w:p>
      <w:pPr>
        <w:pStyle w:val="Normal"/>
        <w:widowControl/>
        <w:rPr/>
      </w:pPr>
      <w:r>
        <w:rPr/>
        <w:t>67-B.91. [Industry Procurement Workforce] Defence-trade statistics.</w:t>
      </w:r>
    </w:p>
    <w:p>
      <w:pPr>
        <w:pStyle w:val="Normal"/>
        <w:widowControl/>
        <w:rPr/>
      </w:pPr>
      <w:r>
        <w:rPr/>
        <w:t>67-B.92. [Industry Procurement Workforce] Industrial mobilization long-lead items.</w:t>
      </w:r>
    </w:p>
    <w:p>
      <w:pPr>
        <w:pStyle w:val="Normal"/>
        <w:widowControl/>
        <w:rPr/>
      </w:pPr>
      <w:r>
        <w:rPr/>
        <w:t>67-B.93. [Industry Procurement Workforce] SME and northern-supplier participation.</w:t>
      </w:r>
    </w:p>
    <w:p>
      <w:pPr>
        <w:pStyle w:val="Normal"/>
        <w:widowControl/>
        <w:rPr/>
      </w:pPr>
      <w:r>
        <w:rPr/>
        <w:t>67-B.94. [Industry Procurement Workforce] Defence-industrial workforce training.</w:t>
      </w:r>
    </w:p>
    <w:p>
      <w:pPr>
        <w:pStyle w:val="Normal"/>
        <w:widowControl/>
        <w:rPr/>
      </w:pPr>
      <w:r>
        <w:rPr/>
        <w:t>67-B.95. [Industry Procurement Workforce] Security-clearance processing cooperation.</w:t>
      </w:r>
    </w:p>
    <w:p>
      <w:pPr>
        <w:pStyle w:val="Normal"/>
        <w:widowControl/>
        <w:rPr/>
      </w:pPr>
      <w:r>
        <w:rPr/>
        <w:t>67-B.96. [Industry Procurement Workforce] Cold-weather test and evaluation network.</w:t>
      </w:r>
    </w:p>
    <w:p>
      <w:pPr>
        <w:pStyle w:val="Normal"/>
        <w:widowControl/>
        <w:rPr/>
      </w:pPr>
      <w:r>
        <w:rPr/>
        <w:t>67-B.97. [SAR Health Science Environment] Northern SAR posture.</w:t>
      </w:r>
    </w:p>
    <w:p>
      <w:pPr>
        <w:pStyle w:val="Normal"/>
        <w:widowControl/>
        <w:rPr/>
      </w:pPr>
      <w:r>
        <w:rPr/>
        <w:t>67-B.98. [SAR Health Science Environment] Forward SAR staging.</w:t>
      </w:r>
    </w:p>
    <w:p>
      <w:pPr>
        <w:pStyle w:val="Normal"/>
        <w:widowControl/>
        <w:rPr/>
      </w:pPr>
      <w:r>
        <w:rPr/>
        <w:t>67-B.99. [SAR Health Science Environment] Air and maritime rescue interoperability.</w:t>
      </w:r>
    </w:p>
    <w:p>
      <w:pPr>
        <w:pStyle w:val="Normal"/>
        <w:widowControl/>
        <w:rPr/>
      </w:pPr>
      <w:r>
        <w:rPr/>
        <w:t>67-B.100. [SAR Health Science Environment] Community SAR capacity.</w:t>
      </w:r>
    </w:p>
    <w:p>
      <w:pPr>
        <w:pStyle w:val="Normal"/>
        <w:widowControl/>
        <w:rPr/>
      </w:pPr>
      <w:r>
        <w:rPr/>
        <w:t>67-B.101. [SAR Health Science Environment] Indigenous/local knowledge in SAR where voluntarily shared.</w:t>
      </w:r>
    </w:p>
    <w:p>
      <w:pPr>
        <w:pStyle w:val="Normal"/>
        <w:widowControl/>
        <w:rPr/>
      </w:pPr>
      <w:r>
        <w:rPr/>
        <w:t>67-B.102. [SAR Health Science Environment] Mass-rescue exercises.</w:t>
      </w:r>
    </w:p>
    <w:p>
      <w:pPr>
        <w:pStyle w:val="Normal"/>
        <w:widowControl/>
        <w:rPr/>
      </w:pPr>
      <w:r>
        <w:rPr/>
        <w:t>67-B.103. [SAR Health Science Environment] Medevac readiness.</w:t>
      </w:r>
    </w:p>
    <w:p>
      <w:pPr>
        <w:pStyle w:val="Normal"/>
        <w:widowControl/>
        <w:rPr/>
      </w:pPr>
      <w:r>
        <w:rPr/>
        <w:t>67-B.104. [SAR Health Science Environment] Emergency medical surge.</w:t>
      </w:r>
    </w:p>
    <w:p>
      <w:pPr>
        <w:pStyle w:val="Normal"/>
        <w:widowControl/>
        <w:rPr/>
      </w:pPr>
      <w:r>
        <w:rPr/>
        <w:t>67-B.105. [SAR Health Science Environment] Medical cold-chain resilience.</w:t>
      </w:r>
    </w:p>
    <w:p>
      <w:pPr>
        <w:pStyle w:val="Normal"/>
        <w:widowControl/>
        <w:rPr/>
      </w:pPr>
      <w:r>
        <w:rPr/>
        <w:t>67-B.106. [SAR Health Science Environment] Hazardous-material response.</w:t>
      </w:r>
    </w:p>
    <w:p>
      <w:pPr>
        <w:pStyle w:val="Normal"/>
        <w:widowControl/>
        <w:rPr/>
      </w:pPr>
      <w:r>
        <w:rPr/>
        <w:t>67-B.107. [SAR Health Science Environment] Emergency equipment caches.</w:t>
      </w:r>
    </w:p>
    <w:p>
      <w:pPr>
        <w:pStyle w:val="Normal"/>
        <w:widowControl/>
        <w:rPr/>
      </w:pPr>
      <w:r>
        <w:rPr/>
        <w:t>67-B.108. [SAR Health Science Environment] Responder safety.</w:t>
      </w:r>
    </w:p>
    <w:p>
      <w:pPr>
        <w:pStyle w:val="Normal"/>
        <w:widowControl/>
        <w:rPr/>
      </w:pPr>
      <w:r>
        <w:rPr/>
        <w:t>67-B.109. [SAR Health Science Environment] Weather observation.</w:t>
      </w:r>
    </w:p>
    <w:p>
      <w:pPr>
        <w:pStyle w:val="Normal"/>
        <w:widowControl/>
        <w:rPr/>
      </w:pPr>
      <w:r>
        <w:rPr/>
        <w:t>67-B.110. [SAR Health Science Environment] Sea-ice observation.</w:t>
      </w:r>
    </w:p>
    <w:p>
      <w:pPr>
        <w:pStyle w:val="Normal"/>
        <w:widowControl/>
        <w:rPr/>
      </w:pPr>
      <w:r>
        <w:rPr/>
        <w:t>67-B.111. [SAR Health Science Environment] Permafrost monitoring.</w:t>
      </w:r>
    </w:p>
    <w:p>
      <w:pPr>
        <w:pStyle w:val="Normal"/>
        <w:widowControl/>
        <w:rPr/>
      </w:pPr>
      <w:r>
        <w:rPr/>
        <w:t>67-B.112. [SAR Health Science Environment] Oceanographic research.</w:t>
      </w:r>
    </w:p>
    <w:p>
      <w:pPr>
        <w:pStyle w:val="Normal"/>
        <w:widowControl/>
        <w:rPr/>
      </w:pPr>
      <w:r>
        <w:rPr/>
        <w:t>67-B.113. [SAR Health Science Environment] Climate-adaptation engineering.</w:t>
      </w:r>
    </w:p>
    <w:p>
      <w:pPr>
        <w:pStyle w:val="Normal"/>
        <w:widowControl/>
        <w:rPr/>
      </w:pPr>
      <w:r>
        <w:rPr/>
        <w:t>67-B.114. [SAR Health Science Environment] Environmental monitoring.</w:t>
      </w:r>
    </w:p>
    <w:p>
      <w:pPr>
        <w:pStyle w:val="Normal"/>
        <w:widowControl/>
        <w:rPr/>
      </w:pPr>
      <w:r>
        <w:rPr/>
        <w:t>67-B.115. [Community Rights Governance] Community-benefit planning.</w:t>
      </w:r>
    </w:p>
    <w:p>
      <w:pPr>
        <w:pStyle w:val="Normal"/>
        <w:widowControl/>
        <w:rPr/>
      </w:pPr>
      <w:r>
        <w:rPr/>
        <w:t>67-B.116. [Community Rights Governance] Indigenous procurement participation.</w:t>
      </w:r>
    </w:p>
    <w:p>
      <w:pPr>
        <w:pStyle w:val="Normal"/>
        <w:widowControl/>
        <w:rPr/>
      </w:pPr>
      <w:r>
        <w:rPr/>
        <w:t>67-B.117. [Community Rights Governance] Indigenous equity participation where voluntarily negotiated.</w:t>
      </w:r>
    </w:p>
    <w:p>
      <w:pPr>
        <w:pStyle w:val="Normal"/>
        <w:widowControl/>
        <w:rPr/>
      </w:pPr>
      <w:r>
        <w:rPr/>
        <w:t>67-B.118. [Community Rights Governance] Northern employment and training targets where lawful.</w:t>
      </w:r>
    </w:p>
    <w:p>
      <w:pPr>
        <w:pStyle w:val="Normal"/>
        <w:widowControl/>
        <w:rPr/>
      </w:pPr>
      <w:r>
        <w:rPr/>
        <w:t>67-B.119. [Community Rights Governance] Rangers and northern-service participation.</w:t>
      </w:r>
    </w:p>
    <w:p>
      <w:pPr>
        <w:pStyle w:val="Normal"/>
        <w:widowControl/>
        <w:rPr/>
      </w:pPr>
      <w:r>
        <w:rPr/>
        <w:t>67-B.120. [Community Rights Governance] Language-access planning.</w:t>
      </w:r>
    </w:p>
    <w:p>
      <w:pPr>
        <w:pStyle w:val="Normal"/>
        <w:widowControl/>
        <w:rPr/>
      </w:pPr>
      <w:r>
        <w:rPr/>
        <w:t>67-B.121. [Community Rights Governance] Cultural-heritage protection.</w:t>
      </w:r>
    </w:p>
    <w:p>
      <w:pPr>
        <w:pStyle w:val="Normal"/>
        <w:widowControl/>
        <w:rPr/>
      </w:pPr>
      <w:r>
        <w:rPr/>
        <w:t>67-B.122. [Community Rights Governance] Harvesting-impact mitigation.</w:t>
      </w:r>
    </w:p>
    <w:p>
      <w:pPr>
        <w:pStyle w:val="Normal"/>
        <w:widowControl/>
        <w:rPr/>
      </w:pPr>
      <w:r>
        <w:rPr/>
        <w:t>67-B.123. [Community Rights Governance] Northern housing-capacity planning.</w:t>
      </w:r>
    </w:p>
    <w:p>
      <w:pPr>
        <w:pStyle w:val="Normal"/>
        <w:widowControl/>
        <w:rPr/>
      </w:pPr>
      <w:r>
        <w:rPr/>
        <w:t>67-B.124. [Community Rights Governance] Health/service capacity planning.</w:t>
      </w:r>
    </w:p>
    <w:p>
      <w:pPr>
        <w:pStyle w:val="Normal"/>
        <w:widowControl/>
        <w:rPr/>
      </w:pPr>
      <w:r>
        <w:rPr/>
        <w:t>67-B.125. [Community Rights Governance] Local contractor development.</w:t>
      </w:r>
    </w:p>
    <w:p>
      <w:pPr>
        <w:pStyle w:val="Normal"/>
        <w:widowControl/>
        <w:rPr/>
      </w:pPr>
      <w:r>
        <w:rPr/>
        <w:t>67-B.126. [Community Rights Governance] Municipal/community consultation.</w:t>
      </w:r>
    </w:p>
    <w:p>
      <w:pPr>
        <w:pStyle w:val="Normal"/>
        <w:widowControl/>
        <w:rPr/>
      </w:pPr>
      <w:r>
        <w:rPr/>
        <w:t>67-B.127. [Community Rights Governance] Environmental audit.</w:t>
      </w:r>
    </w:p>
    <w:p>
      <w:pPr>
        <w:pStyle w:val="Normal"/>
        <w:widowControl/>
        <w:rPr/>
      </w:pPr>
      <w:r>
        <w:rPr/>
        <w:t>67-B.128. [Community Rights Governance] Procurement-integrity audit.</w:t>
      </w:r>
    </w:p>
    <w:p>
      <w:pPr>
        <w:pStyle w:val="Normal"/>
        <w:widowControl/>
        <w:rPr/>
      </w:pPr>
      <w:r>
        <w:rPr>
          <w:b/>
        </w:rPr>
        <w:t>ANNEX 67-C — PROJECT AND INVESTMENT CANDIDATE REGISTER (121)</w:t>
      </w:r>
    </w:p>
    <w:p>
      <w:pPr>
        <w:pStyle w:val="Normal"/>
        <w:widowControl/>
        <w:rPr/>
      </w:pPr>
      <w:r>
        <w:rPr/>
        <w:t>67-C.1. [FLAGSHIP] Canadian NORAD Modernization Anchor. Classification preserves the candidate but does not itself establish A5 Schedule Ready status.</w:t>
      </w:r>
    </w:p>
    <w:p>
      <w:pPr>
        <w:pStyle w:val="Normal"/>
        <w:widowControl/>
        <w:rPr/>
      </w:pPr>
      <w:r>
        <w:rPr/>
        <w:t>67-C.2. [FLAGSHIP] Arctic Over-the-Horizon Radar. Classification preserves the candidate but does not itself establish A5 Schedule Ready status.</w:t>
      </w:r>
    </w:p>
    <w:p>
      <w:pPr>
        <w:pStyle w:val="Normal"/>
        <w:widowControl/>
        <w:rPr/>
      </w:pPr>
      <w:r>
        <w:rPr/>
        <w:t>67-C.3. [FLAGSHIP] Polar Over-the-Horizon Radar. Classification preserves the candidate but does not itself establish A5 Schedule Ready status.</w:t>
      </w:r>
    </w:p>
    <w:p>
      <w:pPr>
        <w:pStyle w:val="Normal"/>
        <w:widowControl/>
        <w:rPr/>
      </w:pPr>
      <w:r>
        <w:rPr/>
        <w:t>67-C.4. [FLAGSHIP] North Warning System Transition. Classification preserves the candidate but does not itself establish A5 Schedule Ready status.</w:t>
      </w:r>
    </w:p>
    <w:p>
      <w:pPr>
        <w:pStyle w:val="Normal"/>
        <w:widowControl/>
        <w:rPr/>
      </w:pPr>
      <w:r>
        <w:rPr/>
        <w:t>67-C.5. [FLAGSHIP] Northern Forward Operating Location Modernization. Classification preserves the candidate but does not itself establish A5 Schedule Ready status.</w:t>
      </w:r>
    </w:p>
    <w:p>
      <w:pPr>
        <w:pStyle w:val="Normal"/>
        <w:widowControl/>
        <w:rPr/>
      </w:pPr>
      <w:r>
        <w:rPr/>
        <w:t>67-C.6. [FLAGSHIP] Northern Operational Support Hubs. Classification preserves the candidate but does not itself establish A5 Schedule Ready status.</w:t>
      </w:r>
    </w:p>
    <w:p>
      <w:pPr>
        <w:pStyle w:val="Normal"/>
        <w:widowControl/>
        <w:rPr/>
      </w:pPr>
      <w:r>
        <w:rPr/>
        <w:t>67-C.7. [FLAGSHIP] Goose Bay Defence Infrastructure Expansion. Classification preserves the candidate but does not itself establish A5 Schedule Ready status.</w:t>
      </w:r>
    </w:p>
    <w:p>
      <w:pPr>
        <w:pStyle w:val="Normal"/>
        <w:widowControl/>
        <w:rPr/>
      </w:pPr>
      <w:r>
        <w:rPr/>
        <w:t>67-C.8. [FLAGSHIP] Inuvik Northern Defence and Dual-Use Hub. Classification preserves the candidate but does not itself establish A5 Schedule Ready status.</w:t>
      </w:r>
    </w:p>
    <w:p>
      <w:pPr>
        <w:pStyle w:val="Normal"/>
        <w:widowControl/>
        <w:rPr/>
      </w:pPr>
      <w:r>
        <w:rPr/>
        <w:t>67-C.9. [FLAGSHIP] Iqaluit Northern Defence and Dual-Use Hub. Classification preserves the candidate but does not itself establish A5 Schedule Ready status.</w:t>
      </w:r>
    </w:p>
    <w:p>
      <w:pPr>
        <w:pStyle w:val="Normal"/>
        <w:widowControl/>
        <w:rPr/>
      </w:pPr>
      <w:r>
        <w:rPr/>
        <w:t>67-C.10. [FLAGSHIP] Yellowknife Northern Operations Hub. Classification preserves the candidate but does not itself establish A5 Schedule Ready status.</w:t>
      </w:r>
    </w:p>
    <w:p>
      <w:pPr>
        <w:pStyle w:val="Normal"/>
        <w:widowControl/>
        <w:rPr/>
      </w:pPr>
      <w:r>
        <w:rPr/>
        <w:t>67-C.11. [FLAGSHIP] Northern Airport Modernization Network. Classification preserves the candidate but does not itself establish A5 Schedule Ready status.</w:t>
      </w:r>
    </w:p>
    <w:p>
      <w:pPr>
        <w:pStyle w:val="Normal"/>
        <w:widowControl/>
        <w:rPr/>
      </w:pPr>
      <w:r>
        <w:rPr/>
        <w:t>67-C.12. [FLAGSHIP] Polar Emergency-Divert Network. Classification preserves the candidate but does not itself establish A5 Schedule Ready status.</w:t>
      </w:r>
    </w:p>
    <w:p>
      <w:pPr>
        <w:pStyle w:val="Normal"/>
        <w:widowControl/>
        <w:rPr/>
      </w:pPr>
      <w:r>
        <w:rPr/>
        <w:t>67-C.13. [FLAGSHIP] Arctic Ports and Sealift Modernization. Classification preserves the candidate but does not itself establish A5 Schedule Ready status.</w:t>
      </w:r>
    </w:p>
    <w:p>
      <w:pPr>
        <w:pStyle w:val="Normal"/>
        <w:widowControl/>
        <w:rPr/>
      </w:pPr>
      <w:r>
        <w:rPr/>
        <w:t>67-C.14. [FLAGSHIP] Canadian Ice-Capable Maritime Expansion. Classification preserves the candidate but does not itself establish A5 Schedule Ready status.</w:t>
      </w:r>
    </w:p>
    <w:p>
      <w:pPr>
        <w:pStyle w:val="Normal"/>
        <w:widowControl/>
        <w:rPr/>
      </w:pPr>
      <w:r>
        <w:rPr/>
        <w:t>67-C.15. [FLAGSHIP] Arctic Economic and Security Corridor. Classification preserves the candidate but does not itself establish A5 Schedule Ready status.</w:t>
      </w:r>
    </w:p>
    <w:p>
      <w:pPr>
        <w:pStyle w:val="Normal"/>
        <w:widowControl/>
        <w:rPr/>
      </w:pPr>
      <w:r>
        <w:rPr/>
        <w:t>67-C.16. [FLAGSHIP] Northern Strategic Mobility Network. Classification preserves the candidate but does not itself establish A5 Schedule Ready status.</w:t>
      </w:r>
    </w:p>
    <w:p>
      <w:pPr>
        <w:pStyle w:val="Normal"/>
        <w:widowControl/>
        <w:rPr/>
      </w:pPr>
      <w:r>
        <w:rPr/>
        <w:t>67-C.17. [FLAGSHIP] Northern Fuel Security Network. Classification preserves the candidate but does not itself establish A5 Schedule Ready status.</w:t>
      </w:r>
    </w:p>
    <w:p>
      <w:pPr>
        <w:pStyle w:val="Normal"/>
        <w:widowControl/>
        <w:rPr/>
      </w:pPr>
      <w:r>
        <w:rPr/>
        <w:t>67-C.18. [FLAGSHIP] Northern Resilient Energy and Microgrids. Classification preserves the candidate but does not itself establish A5 Schedule Ready status.</w:t>
      </w:r>
    </w:p>
    <w:p>
      <w:pPr>
        <w:pStyle w:val="Normal"/>
        <w:widowControl/>
        <w:rPr/>
      </w:pPr>
      <w:r>
        <w:rPr/>
        <w:t>67-C.19. [FLAGSHIP] Polar Communications Backbone. Classification preserves the candidate but does not itself establish A5 Schedule Ready status.</w:t>
      </w:r>
    </w:p>
    <w:p>
      <w:pPr>
        <w:pStyle w:val="Normal"/>
        <w:widowControl/>
        <w:rPr/>
      </w:pPr>
      <w:r>
        <w:rPr/>
        <w:t>67-C.20. [FLAGSHIP] Space-Based Arctic Awareness Layer. Classification preserves the candidate but does not itself establish A5 Schedule Ready status.</w:t>
      </w:r>
    </w:p>
    <w:p>
      <w:pPr>
        <w:pStyle w:val="Normal"/>
        <w:widowControl/>
        <w:rPr/>
      </w:pPr>
      <w:r>
        <w:rPr/>
        <w:t>67-C.21. [FLAGSHIP] AEWC Northern Capability. Classification preserves the candidate but does not itself establish A5 Schedule Ready status.</w:t>
      </w:r>
    </w:p>
    <w:p>
      <w:pPr>
        <w:pStyle w:val="Normal"/>
        <w:widowControl/>
        <w:rPr/>
      </w:pPr>
      <w:r>
        <w:rPr/>
        <w:t>67-C.22. [FLAGSHIP] Arctic Search-and-Rescue Expansion. Classification preserves the candidate but does not itself establish A5 Schedule Ready status.</w:t>
      </w:r>
    </w:p>
    <w:p>
      <w:pPr>
        <w:pStyle w:val="Normal"/>
        <w:widowControl/>
        <w:rPr/>
      </w:pPr>
      <w:r>
        <w:rPr/>
        <w:t>67-C.23. [FLAGSHIP] Arctic Defence Industrial and Supply-Chain Initiative. Classification preserves the candidate but does not itself establish A5 Schedule Ready status.</w:t>
      </w:r>
    </w:p>
    <w:p>
      <w:pPr>
        <w:pStyle w:val="Normal"/>
        <w:widowControl/>
        <w:rPr/>
      </w:pPr>
      <w:r>
        <w:rPr/>
        <w:t>67-C.24. [FLAGSHIP] Indigenous and Northern Infrastructure Partnership. Classification preserves the candidate but does not itself establish A5 Schedule Ready status.</w:t>
      </w:r>
    </w:p>
    <w:p>
      <w:pPr>
        <w:pStyle w:val="Normal"/>
        <w:widowControl/>
        <w:rPr/>
      </w:pPr>
      <w:r>
        <w:rPr/>
        <w:t>67-C.25. [ANCHOR] Gap-Fill Radar Expansion. Classification preserves the candidate but does not itself establish A5 Schedule Ready status.</w:t>
      </w:r>
    </w:p>
    <w:p>
      <w:pPr>
        <w:pStyle w:val="Normal"/>
        <w:widowControl/>
        <w:rPr/>
      </w:pPr>
      <w:r>
        <w:rPr/>
        <w:t>67-C.26. [ANCHOR] Mobile Radar Augmentation. Classification preserves the candidate but does not itself establish A5 Schedule Ready status.</w:t>
      </w:r>
    </w:p>
    <w:p>
      <w:pPr>
        <w:pStyle w:val="Normal"/>
        <w:widowControl/>
        <w:rPr/>
      </w:pPr>
      <w:r>
        <w:rPr/>
        <w:t>67-C.27. [ANCHOR] NWS Site Hardening. Classification preserves the candidate but does not itself establish A5 Schedule Ready status.</w:t>
      </w:r>
    </w:p>
    <w:p>
      <w:pPr>
        <w:pStyle w:val="Normal"/>
        <w:widowControl/>
        <w:rPr/>
      </w:pPr>
      <w:r>
        <w:rPr/>
        <w:t>67-C.28. [ANCHOR] Northern Radar Maintenance Depot. Classification preserves the candidate but does not itself establish A5 Schedule Ready status.</w:t>
      </w:r>
    </w:p>
    <w:p>
      <w:pPr>
        <w:pStyle w:val="Normal"/>
        <w:widowControl/>
        <w:rPr/>
      </w:pPr>
      <w:r>
        <w:rPr/>
        <w:t>67-C.29. [ANCHOR] Radar Spare-Parts Resilience. Classification preserves the candidate but does not itself establish A5 Schedule Ready status.</w:t>
      </w:r>
    </w:p>
    <w:p>
      <w:pPr>
        <w:pStyle w:val="Normal"/>
        <w:widowControl/>
        <w:rPr/>
      </w:pPr>
      <w:r>
        <w:rPr/>
        <w:t>67-C.30. [ANCHOR] Northern Hangar and Aircraft-Shelter Program. Classification preserves the candidate but does not itself establish A5 Schedule Ready status.</w:t>
      </w:r>
    </w:p>
    <w:p>
      <w:pPr>
        <w:pStyle w:val="Normal"/>
        <w:widowControl/>
        <w:rPr/>
      </w:pPr>
      <w:r>
        <w:rPr/>
        <w:t>67-C.31. [ANCHOR] Runway and Apron Rehabilitation. Classification preserves the candidate but does not itself establish A5 Schedule Ready status.</w:t>
      </w:r>
    </w:p>
    <w:p>
      <w:pPr>
        <w:pStyle w:val="Normal"/>
        <w:widowControl/>
        <w:rPr/>
      </w:pPr>
      <w:r>
        <w:rPr/>
        <w:t>67-C.32. [ANCHOR] Northern Aviation Fuel Resilience. Classification preserves the candidate but does not itself establish A5 Schedule Ready status.</w:t>
      </w:r>
    </w:p>
    <w:p>
      <w:pPr>
        <w:pStyle w:val="Normal"/>
        <w:widowControl/>
        <w:rPr/>
      </w:pPr>
      <w:r>
        <w:rPr/>
        <w:t>67-C.33. [ANCHOR] Navigation and Weather Modernization. Classification preserves the candidate but does not itself establish A5 Schedule Ready status.</w:t>
      </w:r>
    </w:p>
    <w:p>
      <w:pPr>
        <w:pStyle w:val="Normal"/>
        <w:widowControl/>
        <w:rPr/>
      </w:pPr>
      <w:r>
        <w:rPr/>
        <w:t>67-C.34. [ANCHOR] Small-Harbour Resilience. Classification preserves the candidate but does not itself establish A5 Schedule Ready status.</w:t>
      </w:r>
    </w:p>
    <w:p>
      <w:pPr>
        <w:pStyle w:val="Normal"/>
        <w:widowControl/>
        <w:rPr/>
      </w:pPr>
      <w:r>
        <w:rPr/>
        <w:t>67-C.35. [ANCHOR] Northern Hydrography Modernization. Classification preserves the candidate but does not itself establish A5 Schedule Ready status.</w:t>
      </w:r>
    </w:p>
    <w:p>
      <w:pPr>
        <w:pStyle w:val="Normal"/>
        <w:widowControl/>
        <w:rPr/>
      </w:pPr>
      <w:r>
        <w:rPr/>
        <w:t>67-C.36. [ANCHOR] Arctic Navigation-Aid Renewal. Classification preserves the candidate but does not itself establish A5 Schedule Ready status.</w:t>
      </w:r>
    </w:p>
    <w:p>
      <w:pPr>
        <w:pStyle w:val="Normal"/>
        <w:widowControl/>
        <w:rPr/>
      </w:pPr>
      <w:r>
        <w:rPr/>
        <w:t>67-C.37. [ANCHOR] Maritime Emergency-Refuge Network. Classification preserves the candidate but does not itself establish A5 Schedule Ready status.</w:t>
      </w:r>
    </w:p>
    <w:p>
      <w:pPr>
        <w:pStyle w:val="Normal"/>
        <w:widowControl/>
        <w:rPr/>
      </w:pPr>
      <w:r>
        <w:rPr/>
        <w:t>67-C.38. [ANCHOR] Sealift Logistics Expansion. Classification preserves the candidate but does not itself establish A5 Schedule Ready status.</w:t>
      </w:r>
    </w:p>
    <w:p>
      <w:pPr>
        <w:pStyle w:val="Normal"/>
        <w:widowControl/>
        <w:rPr/>
      </w:pPr>
      <w:r>
        <w:rPr/>
        <w:t>67-C.39. [ANCHOR] Northern Warehousing Network. Classification preserves the candidate but does not itself establish A5 Schedule Ready status.</w:t>
      </w:r>
    </w:p>
    <w:p>
      <w:pPr>
        <w:pStyle w:val="Normal"/>
        <w:widowControl/>
        <w:rPr/>
      </w:pPr>
      <w:r>
        <w:rPr/>
        <w:t>67-C.40. [ANCHOR] Polar Communications Redundancy. Classification preserves the candidate but does not itself establish A5 Schedule Ready status.</w:t>
      </w:r>
    </w:p>
    <w:p>
      <w:pPr>
        <w:pStyle w:val="Normal"/>
        <w:widowControl/>
        <w:rPr/>
      </w:pPr>
      <w:r>
        <w:rPr/>
        <w:t>67-C.41. [ANCHOR] Satellite Ground Infrastructure. Classification preserves the candidate but does not itself establish A5 Schedule Ready status.</w:t>
      </w:r>
    </w:p>
    <w:p>
      <w:pPr>
        <w:pStyle w:val="Normal"/>
        <w:widowControl/>
        <w:rPr/>
      </w:pPr>
      <w:r>
        <w:rPr/>
        <w:t>67-C.42. [ANCHOR] Northern Cyber-Hardening Program. Classification preserves the candidate but does not itself establish A5 Schedule Ready status.</w:t>
      </w:r>
    </w:p>
    <w:p>
      <w:pPr>
        <w:pStyle w:val="Normal"/>
        <w:widowControl/>
        <w:rPr/>
      </w:pPr>
      <w:r>
        <w:rPr/>
        <w:t>67-C.43. [ANCHOR] Northern Medical and Medevac Capacity. Classification preserves the candidate but does not itself establish A5 Schedule Ready status.</w:t>
      </w:r>
    </w:p>
    <w:p>
      <w:pPr>
        <w:pStyle w:val="Normal"/>
        <w:widowControl/>
        <w:rPr/>
      </w:pPr>
      <w:r>
        <w:rPr/>
        <w:t>67-C.44. [ANCHOR] Community SAR Facilities. Classification preserves the candidate but does not itself establish A5 Schedule Ready status.</w:t>
      </w:r>
    </w:p>
    <w:p>
      <w:pPr>
        <w:pStyle w:val="Normal"/>
        <w:widowControl/>
        <w:rPr/>
      </w:pPr>
      <w:r>
        <w:rPr/>
        <w:t>67-C.45. [ANCHOR] Cold-Weather Test and Evaluation Network. Classification preserves the candidate but does not itself establish A5 Schedule Ready status.</w:t>
      </w:r>
    </w:p>
    <w:p>
      <w:pPr>
        <w:pStyle w:val="Normal"/>
        <w:widowControl/>
        <w:rPr/>
      </w:pPr>
      <w:r>
        <w:rPr/>
        <w:t>67-C.46. [ANCHOR] Defence-Industrial Workforce Program. Classification preserves the candidate but does not itself establish A5 Schedule Ready status.</w:t>
      </w:r>
    </w:p>
    <w:p>
      <w:pPr>
        <w:pStyle w:val="Normal"/>
        <w:widowControl/>
        <w:rPr/>
      </w:pPr>
      <w:r>
        <w:rPr/>
        <w:t>67-C.47. [ANCHOR] Northern Housing Capacity Program. Classification preserves the candidate but does not itself establish A5 Schedule Ready status.</w:t>
      </w:r>
    </w:p>
    <w:p>
      <w:pPr>
        <w:pStyle w:val="Normal"/>
        <w:widowControl/>
        <w:rPr/>
      </w:pPr>
      <w:r>
        <w:rPr/>
        <w:t>67-C.48. [ANCHOR] Indigenous Procurement and Economic Participation. Classification preserves the candidate but does not itself establish A5 Schedule Ready status.</w:t>
      </w:r>
    </w:p>
    <w:p>
      <w:pPr>
        <w:pStyle w:val="Normal"/>
        <w:widowControl/>
        <w:rPr/>
      </w:pPr>
      <w:r>
        <w:rPr/>
        <w:t>67-C.49. [ANCHOR] Environmental Monitoring Network. Classification preserves the candidate but does not itself establish A5 Schedule Ready status.</w:t>
      </w:r>
    </w:p>
    <w:p>
      <w:pPr>
        <w:pStyle w:val="Normal"/>
        <w:widowControl/>
        <w:rPr/>
      </w:pPr>
      <w:r>
        <w:rPr/>
        <w:t>67-C.50. [ANCHOR] Climate-Resilient Defence Infrastructure. Classification preserves the candidate but does not itself establish A5 Schedule Ready status.</w:t>
      </w:r>
    </w:p>
    <w:p>
      <w:pPr>
        <w:pStyle w:val="Normal"/>
        <w:widowControl/>
        <w:rPr/>
      </w:pPr>
      <w:r>
        <w:rPr/>
        <w:t>67-C.51. [ANCHOR] Northern Utility Capacity Program. Classification preserves the candidate but does not itself establish A5 Schedule Ready status.</w:t>
      </w:r>
    </w:p>
    <w:p>
      <w:pPr>
        <w:pStyle w:val="Normal"/>
        <w:widowControl/>
        <w:rPr/>
      </w:pPr>
      <w:r>
        <w:rPr/>
        <w:t>67-C.52. [ANCHOR] Arctic Cable Protection. Classification preserves the candidate but does not itself establish A5 Schedule Ready status.</w:t>
      </w:r>
    </w:p>
    <w:p>
      <w:pPr>
        <w:pStyle w:val="Normal"/>
        <w:widowControl/>
        <w:rPr/>
      </w:pPr>
      <w:r>
        <w:rPr/>
        <w:t>67-C.53. [ANCHOR] Submarine-Rescue Readiness. Classification preserves the candidate but does not itself establish A5 Schedule Ready status.</w:t>
      </w:r>
    </w:p>
    <w:p>
      <w:pPr>
        <w:pStyle w:val="Normal"/>
        <w:widowControl/>
        <w:rPr/>
      </w:pPr>
      <w:r>
        <w:rPr/>
        <w:t>67-C.54. [ANCHOR] Northern Freight Visibility Platform. Classification preserves the candidate but does not itself establish A5 Schedule Ready status.</w:t>
      </w:r>
    </w:p>
    <w:p>
      <w:pPr>
        <w:pStyle w:val="Normal"/>
        <w:widowControl/>
        <w:rPr/>
      </w:pPr>
      <w:r>
        <w:rPr/>
        <w:t>67-C.55. [ANCHOR] Critical-Minerals Defence Supply Link. Classification preserves the candidate but does not itself establish A5 Schedule Ready status.</w:t>
      </w:r>
    </w:p>
    <w:p>
      <w:pPr>
        <w:pStyle w:val="Normal"/>
        <w:widowControl/>
        <w:rPr/>
      </w:pPr>
      <w:r>
        <w:rPr/>
        <w:t>67-C.56. [ANCHOR] Northern Emergency Equipment Cache Network. Classification preserves the candidate but does not itself establish A5 Schedule Ready status.</w:t>
      </w:r>
    </w:p>
    <w:p>
      <w:pPr>
        <w:pStyle w:val="Normal"/>
        <w:widowControl/>
        <w:rPr/>
      </w:pPr>
      <w:r>
        <w:rPr/>
        <w:t>67-C.57. [PROGRAM] Radar Maintenance and Lifecycle Program. Classification preserves the candidate but does not itself establish A5 Schedule Ready status.</w:t>
      </w:r>
    </w:p>
    <w:p>
      <w:pPr>
        <w:pStyle w:val="Normal"/>
        <w:widowControl/>
        <w:rPr/>
      </w:pPr>
      <w:r>
        <w:rPr/>
        <w:t>67-C.58. [PROGRAM] Sensor Calibration Program. Classification preserves the candidate but does not itself establish A5 Schedule Ready status.</w:t>
      </w:r>
    </w:p>
    <w:p>
      <w:pPr>
        <w:pStyle w:val="Normal"/>
        <w:widowControl/>
        <w:rPr/>
      </w:pPr>
      <w:r>
        <w:rPr/>
        <w:t>67-C.59. [PROGRAM] Cold-Weather Equipment Qualification. Classification preserves the candidate but does not itself establish A5 Schedule Ready status.</w:t>
      </w:r>
    </w:p>
    <w:p>
      <w:pPr>
        <w:pStyle w:val="Normal"/>
        <w:widowControl/>
        <w:rPr/>
      </w:pPr>
      <w:r>
        <w:rPr/>
        <w:t>67-C.60. [PROGRAM] Northern Construction Standards. Classification preserves the candidate but does not itself establish A5 Schedule Ready status.</w:t>
      </w:r>
    </w:p>
    <w:p>
      <w:pPr>
        <w:pStyle w:val="Normal"/>
        <w:widowControl/>
        <w:rPr/>
      </w:pPr>
      <w:r>
        <w:rPr/>
        <w:t>67-C.61. [PROGRAM] Northern Cyber Exercise Program. Classification preserves the candidate but does not itself establish A5 Schedule Ready status.</w:t>
      </w:r>
    </w:p>
    <w:p>
      <w:pPr>
        <w:pStyle w:val="Normal"/>
        <w:widowControl/>
        <w:rPr/>
      </w:pPr>
      <w:r>
        <w:rPr/>
        <w:t>67-C.62. [PROGRAM] Supply-Chain Stress Testing. Classification preserves the candidate but does not itself establish A5 Schedule Ready status.</w:t>
      </w:r>
    </w:p>
    <w:p>
      <w:pPr>
        <w:pStyle w:val="Normal"/>
        <w:widowControl/>
        <w:rPr/>
      </w:pPr>
      <w:r>
        <w:rPr/>
        <w:t>67-C.63. [PROGRAM] SAR Exercise Program. Classification preserves the candidate but does not itself establish A5 Schedule Ready status.</w:t>
      </w:r>
    </w:p>
    <w:p>
      <w:pPr>
        <w:pStyle w:val="Normal"/>
        <w:widowControl/>
        <w:rPr/>
      </w:pPr>
      <w:r>
        <w:rPr/>
        <w:t>67-C.64. [PROGRAM] Emergency Cache Rotation. Classification preserves the candidate but does not itself establish A5 Schedule Ready status.</w:t>
      </w:r>
    </w:p>
    <w:p>
      <w:pPr>
        <w:pStyle w:val="Normal"/>
        <w:widowControl/>
        <w:rPr/>
      </w:pPr>
      <w:r>
        <w:rPr/>
        <w:t>67-C.65. [PROGRAM] Northern Trades Training. Classification preserves the candidate but does not itself establish A5 Schedule Ready status.</w:t>
      </w:r>
    </w:p>
    <w:p>
      <w:pPr>
        <w:pStyle w:val="Normal"/>
        <w:widowControl/>
        <w:rPr/>
      </w:pPr>
      <w:r>
        <w:rPr/>
        <w:t>67-C.66. [PROGRAM] Northern Contractor Development. Classification preserves the candidate but does not itself establish A5 Schedule Ready status.</w:t>
      </w:r>
    </w:p>
    <w:p>
      <w:pPr>
        <w:pStyle w:val="Normal"/>
        <w:widowControl/>
        <w:rPr/>
      </w:pPr>
      <w:r>
        <w:rPr/>
        <w:t>67-C.67. [PROGRAM] Weather Monitoring Program. Classification preserves the candidate but does not itself establish A5 Schedule Ready status.</w:t>
      </w:r>
    </w:p>
    <w:p>
      <w:pPr>
        <w:pStyle w:val="Normal"/>
        <w:widowControl/>
        <w:rPr/>
      </w:pPr>
      <w:r>
        <w:rPr/>
        <w:t>67-C.68. [PROGRAM] Sea-Ice Monitoring Program. Classification preserves the candidate but does not itself establish A5 Schedule Ready status.</w:t>
      </w:r>
    </w:p>
    <w:p>
      <w:pPr>
        <w:pStyle w:val="Normal"/>
        <w:widowControl/>
        <w:rPr/>
      </w:pPr>
      <w:r>
        <w:rPr/>
        <w:t>67-C.69. [PROGRAM] Permafrost Adaptation Program. Classification preserves the candidate but does not itself establish A5 Schedule Ready status.</w:t>
      </w:r>
    </w:p>
    <w:p>
      <w:pPr>
        <w:pStyle w:val="Normal"/>
        <w:widowControl/>
        <w:rPr/>
      </w:pPr>
      <w:r>
        <w:rPr/>
        <w:t>67-C.70. [PROGRAM] Ocean Observation Program. Classification preserves the candidate but does not itself establish A5 Schedule Ready status.</w:t>
      </w:r>
    </w:p>
    <w:p>
      <w:pPr>
        <w:pStyle w:val="Normal"/>
        <w:widowControl/>
        <w:rPr/>
      </w:pPr>
      <w:r>
        <w:rPr/>
        <w:t>67-C.71. [PROGRAM] Fuel Quality Assurance. Classification preserves the candidate but does not itself establish A5 Schedule Ready status.</w:t>
      </w:r>
    </w:p>
    <w:p>
      <w:pPr>
        <w:pStyle w:val="Normal"/>
        <w:widowControl/>
        <w:rPr/>
      </w:pPr>
      <w:r>
        <w:rPr/>
        <w:t>67-C.72. [PROGRAM] Industrial Mobilization Planning. Classification preserves the candidate but does not itself establish A5 Schedule Ready status.</w:t>
      </w:r>
    </w:p>
    <w:p>
      <w:pPr>
        <w:pStyle w:val="Normal"/>
        <w:widowControl/>
        <w:rPr/>
      </w:pPr>
      <w:r>
        <w:rPr/>
        <w:t>67-C.73. [PROGRAM] Supplier Qualification Program. Classification preserves the candidate but does not itself establish A5 Schedule Ready status.</w:t>
      </w:r>
    </w:p>
    <w:p>
      <w:pPr>
        <w:pStyle w:val="Normal"/>
        <w:widowControl/>
        <w:rPr/>
      </w:pPr>
      <w:r>
        <w:rPr/>
        <w:t>67-C.74. [PROGRAM] Defence-Trade Facilitation. Classification preserves the candidate but does not itself establish A5 Schedule Ready status.</w:t>
      </w:r>
    </w:p>
    <w:p>
      <w:pPr>
        <w:pStyle w:val="Normal"/>
        <w:widowControl/>
        <w:rPr/>
      </w:pPr>
      <w:r>
        <w:rPr/>
        <w:t>67-C.75. [PROGRAM] Cold-Weather R&amp;D Program. Classification preserves the candidate but does not itself establish A5 Schedule Ready status.</w:t>
      </w:r>
    </w:p>
    <w:p>
      <w:pPr>
        <w:pStyle w:val="Normal"/>
        <w:widowControl/>
        <w:rPr/>
      </w:pPr>
      <w:r>
        <w:rPr/>
        <w:t>67-C.76. [PROGRAM] Indigenous Procurement Support. Classification preserves the candidate but does not itself establish A5 Schedule Ready status.</w:t>
      </w:r>
    </w:p>
    <w:p>
      <w:pPr>
        <w:pStyle w:val="Normal"/>
        <w:widowControl/>
        <w:rPr/>
      </w:pPr>
      <w:r>
        <w:rPr/>
        <w:t>67-C.77. [PROGRAM] Community Capacity Monitoring. Classification preserves the candidate but does not itself establish A5 Schedule Ready status.</w:t>
      </w:r>
    </w:p>
    <w:p>
      <w:pPr>
        <w:pStyle w:val="Normal"/>
        <w:widowControl/>
        <w:rPr/>
      </w:pPr>
      <w:r>
        <w:rPr/>
        <w:t>67-C.78. [PROGRAM] Milestone Verification Program. Classification preserves the candidate but does not itself establish A5 Schedule Ready status.</w:t>
      </w:r>
    </w:p>
    <w:p>
      <w:pPr>
        <w:pStyle w:val="Normal"/>
        <w:widowControl/>
        <w:rPr/>
      </w:pPr>
      <w:r>
        <w:rPr/>
        <w:t>67-C.79. [PROGRAM] Northern Logistics Data Program. Classification preserves the candidate but does not itself establish A5 Schedule Ready status.</w:t>
      </w:r>
    </w:p>
    <w:p>
      <w:pPr>
        <w:pStyle w:val="Normal"/>
        <w:widowControl/>
        <w:rPr/>
      </w:pPr>
      <w:r>
        <w:rPr/>
        <w:t>67-C.80. [PROGRAM] Airlift Readiness Program. Classification preserves the candidate but does not itself establish A5 Schedule Ready status.</w:t>
      </w:r>
    </w:p>
    <w:p>
      <w:pPr>
        <w:pStyle w:val="Normal"/>
        <w:widowControl/>
        <w:rPr/>
      </w:pPr>
      <w:r>
        <w:rPr/>
        <w:t>67-C.81. [PROGRAM] Sealift Readiness Program. Classification preserves the candidate but does not itself establish A5 Schedule Ready status.</w:t>
      </w:r>
    </w:p>
    <w:p>
      <w:pPr>
        <w:pStyle w:val="Normal"/>
        <w:widowControl/>
        <w:rPr/>
      </w:pPr>
      <w:r>
        <w:rPr/>
        <w:t>67-C.82. [PROGRAM] Northern Communications Continuity. Classification preserves the candidate but does not itself establish A5 Schedule Ready status.</w:t>
      </w:r>
    </w:p>
    <w:p>
      <w:pPr>
        <w:pStyle w:val="Normal"/>
        <w:widowControl/>
        <w:rPr/>
      </w:pPr>
      <w:r>
        <w:rPr/>
        <w:t>67-C.83. [PROGRAM] Satellite Resilience Program. Classification preserves the candidate but does not itself establish A5 Schedule Ready status.</w:t>
      </w:r>
    </w:p>
    <w:p>
      <w:pPr>
        <w:pStyle w:val="Normal"/>
        <w:widowControl/>
        <w:rPr/>
      </w:pPr>
      <w:r>
        <w:rPr/>
        <w:t>67-C.84. [PROGRAM] Space-Weather Support Program. Classification preserves the candidate but does not itself establish A5 Schedule Ready status.</w:t>
      </w:r>
    </w:p>
    <w:p>
      <w:pPr>
        <w:pStyle w:val="Normal"/>
        <w:widowControl/>
        <w:rPr/>
      </w:pPr>
      <w:r>
        <w:rPr/>
        <w:t>67-C.85. [PROGRAM] Maritime Spill Response. Classification preserves the candidate but does not itself establish A5 Schedule Ready status.</w:t>
      </w:r>
    </w:p>
    <w:p>
      <w:pPr>
        <w:pStyle w:val="Normal"/>
        <w:widowControl/>
        <w:rPr/>
      </w:pPr>
      <w:r>
        <w:rPr/>
        <w:t>67-C.86. [PROGRAM] Hydrographic Survey Program. Classification preserves the candidate but does not itself establish A5 Schedule Ready status.</w:t>
      </w:r>
    </w:p>
    <w:p>
      <w:pPr>
        <w:pStyle w:val="Normal"/>
        <w:widowControl/>
        <w:rPr/>
      </w:pPr>
      <w:r>
        <w:rPr/>
        <w:t>67-C.87. [PROGRAM] Port Security Modernization. Classification preserves the candidate but does not itself establish A5 Schedule Ready status.</w:t>
      </w:r>
    </w:p>
    <w:p>
      <w:pPr>
        <w:pStyle w:val="Normal"/>
        <w:widowControl/>
        <w:rPr/>
      </w:pPr>
      <w:r>
        <w:rPr/>
        <w:t>67-C.88. [PROGRAM] Northern Navigation Program. Classification preserves the candidate but does not itself establish A5 Schedule Ready status.</w:t>
      </w:r>
    </w:p>
    <w:p>
      <w:pPr>
        <w:pStyle w:val="Normal"/>
        <w:widowControl/>
        <w:rPr/>
      </w:pPr>
      <w:r>
        <w:rPr/>
        <w:t>67-C.89. [PROGRAM] Medical Cold-Chain Program. Classification preserves the candidate but does not itself establish A5 Schedule Ready status.</w:t>
      </w:r>
    </w:p>
    <w:p>
      <w:pPr>
        <w:pStyle w:val="Normal"/>
        <w:widowControl/>
        <w:rPr/>
      </w:pPr>
      <w:r>
        <w:rPr/>
        <w:t>67-C.90. [PROGRAM] Responder Safety Program. Classification preserves the candidate but does not itself establish A5 Schedule Ready status.</w:t>
      </w:r>
    </w:p>
    <w:p>
      <w:pPr>
        <w:pStyle w:val="Normal"/>
        <w:widowControl/>
        <w:rPr/>
      </w:pPr>
      <w:r>
        <w:rPr/>
        <w:t>67-C.91. [PROGRAM] Grid Resilience Program. Classification preserves the candidate but does not itself establish A5 Schedule Ready status.</w:t>
      </w:r>
    </w:p>
    <w:p>
      <w:pPr>
        <w:pStyle w:val="Normal"/>
        <w:widowControl/>
        <w:rPr/>
      </w:pPr>
      <w:r>
        <w:rPr/>
        <w:t>67-C.92. [PROGRAM] Microgrid Maintenance Program. Classification preserves the candidate but does not itself establish A5 Schedule Ready status.</w:t>
      </w:r>
    </w:p>
    <w:p>
      <w:pPr>
        <w:pStyle w:val="Normal"/>
        <w:widowControl/>
        <w:rPr/>
      </w:pPr>
      <w:r>
        <w:rPr/>
        <w:t>67-C.93. [PROGRAM] Energy Storage Resilience. Classification preserves the candidate but does not itself establish A5 Schedule Ready status.</w:t>
      </w:r>
    </w:p>
    <w:p>
      <w:pPr>
        <w:pStyle w:val="Normal"/>
        <w:widowControl/>
        <w:rPr/>
      </w:pPr>
      <w:r>
        <w:rPr/>
        <w:t>67-C.94. [PROGRAM] Critical Infrastructure Cyber Registry. Classification preserves the candidate but does not itself establish A5 Schedule Ready status.</w:t>
      </w:r>
    </w:p>
    <w:p>
      <w:pPr>
        <w:pStyle w:val="Normal"/>
        <w:widowControl/>
        <w:rPr/>
      </w:pPr>
      <w:r>
        <w:rPr/>
        <w:t>67-C.95. [PROGRAM] Public Capability Mapping. Classification preserves the candidate but does not itself establish A5 Schedule Ready status.</w:t>
      </w:r>
    </w:p>
    <w:p>
      <w:pPr>
        <w:pStyle w:val="Normal"/>
        <w:widowControl/>
        <w:rPr/>
      </w:pPr>
      <w:r>
        <w:rPr/>
        <w:t>67-C.96. [PROGRAM] Northern Vigilance Scorecard Operations. Classification preserves the candidate but does not itself establish A5 Schedule Ready status.</w:t>
      </w:r>
    </w:p>
    <w:p>
      <w:pPr>
        <w:pStyle w:val="Normal"/>
        <w:widowControl/>
        <w:rPr/>
      </w:pPr>
      <w:r>
        <w:rPr/>
        <w:t>67-C.97. [PROGRAM] Investment Ledger Operations. Classification preserves the candidate but does not itself establish A5 Schedule Ready status.</w:t>
      </w:r>
    </w:p>
    <w:p>
      <w:pPr>
        <w:pStyle w:val="Normal"/>
        <w:widowControl/>
        <w:rPr/>
      </w:pPr>
      <w:r>
        <w:rPr/>
        <w:t>67-C.98. [PROGRAM] State of the Vigilant North Reporting. Classification preserves the candidate but does not itself establish A5 Schedule Ready status.</w:t>
      </w:r>
    </w:p>
    <w:p>
      <w:pPr>
        <w:pStyle w:val="Normal"/>
        <w:widowControl/>
        <w:rPr/>
      </w:pPr>
      <w:r>
        <w:rPr/>
        <w:t>67-C.99. [PROGRAM] Project Status Reverification. Classification preserves the candidate but does not itself establish A5 Schedule Ready status.</w:t>
      </w:r>
    </w:p>
    <w:p>
      <w:pPr>
        <w:pStyle w:val="Normal"/>
        <w:widowControl/>
        <w:rPr/>
      </w:pPr>
      <w:r>
        <w:rPr/>
        <w:t>67-C.100. [DEVELOPMENT] Advanced Undersea Sensing Demonstrator. Classification preserves the candidate but does not itself establish A5 Schedule Ready status.</w:t>
      </w:r>
    </w:p>
    <w:p>
      <w:pPr>
        <w:pStyle w:val="Normal"/>
        <w:widowControl/>
        <w:rPr/>
      </w:pPr>
      <w:r>
        <w:rPr/>
        <w:t>67-C.101. [DEVELOPMENT] Seabed Sensor Pilot. Classification preserves the candidate but does not itself establish A5 Schedule Ready status.</w:t>
      </w:r>
    </w:p>
    <w:p>
      <w:pPr>
        <w:pStyle w:val="Normal"/>
        <w:widowControl/>
        <w:rPr/>
      </w:pPr>
      <w:r>
        <w:rPr/>
        <w:t>67-C.102. [DEVELOPMENT] Autonomous Under-Ice Surveillance Demonstrator. Classification preserves the candidate but does not itself establish A5 Schedule Ready status.</w:t>
      </w:r>
    </w:p>
    <w:p>
      <w:pPr>
        <w:pStyle w:val="Normal"/>
        <w:widowControl/>
        <w:rPr/>
      </w:pPr>
      <w:r>
        <w:rPr/>
        <w:t>67-C.103. [DEVELOPMENT] Next-Generation Polar Communications Demonstrator. Classification preserves the candidate but does not itself establish A5 Schedule Ready status.</w:t>
      </w:r>
    </w:p>
    <w:p>
      <w:pPr>
        <w:pStyle w:val="Normal"/>
        <w:widowControl/>
        <w:rPr/>
      </w:pPr>
      <w:r>
        <w:rPr/>
        <w:t>67-C.104. [DEVELOPMENT] Advanced Air-Defence Infrastructure Study. Classification preserves the candidate but does not itself establish A5 Schedule Ready status.</w:t>
      </w:r>
    </w:p>
    <w:p>
      <w:pPr>
        <w:pStyle w:val="Normal"/>
        <w:widowControl/>
        <w:rPr/>
      </w:pPr>
      <w:r>
        <w:rPr/>
        <w:t>67-C.105. [DEVELOPMENT] Interceptor Integration Study. Classification preserves the candidate but does not itself establish A5 Schedule Ready status.</w:t>
      </w:r>
    </w:p>
    <w:p>
      <w:pPr>
        <w:pStyle w:val="Normal"/>
        <w:widowControl/>
        <w:rPr/>
      </w:pPr>
      <w:r>
        <w:rPr/>
        <w:t>67-C.106. [DEVELOPMENT] Future Arctic Corridor Candidate. Classification preserves the candidate but does not itself establish A5 Schedule Ready status.</w:t>
      </w:r>
    </w:p>
    <w:p>
      <w:pPr>
        <w:pStyle w:val="Normal"/>
        <w:widowControl/>
        <w:rPr/>
      </w:pPr>
      <w:r>
        <w:rPr/>
        <w:t>67-C.107. [DEVELOPMENT] Future Deepwater Port Candidate. Classification preserves the candidate but does not itself establish A5 Schedule Ready status.</w:t>
      </w:r>
    </w:p>
    <w:p>
      <w:pPr>
        <w:pStyle w:val="Normal"/>
        <w:widowControl/>
        <w:rPr/>
      </w:pPr>
      <w:r>
        <w:rPr/>
        <w:t>67-C.108. [DEVELOPMENT] Strategic Stockpile Facility Candidate. Classification preserves the candidate but does not itself establish A5 Schedule Ready status.</w:t>
      </w:r>
    </w:p>
    <w:p>
      <w:pPr>
        <w:pStyle w:val="Normal"/>
        <w:widowControl/>
        <w:rPr/>
      </w:pPr>
      <w:r>
        <w:rPr/>
        <w:t>67-C.109. [DEVELOPMENT] Autonomous Northern Logistics Pilot. Classification preserves the candidate but does not itself establish A5 Schedule Ready status.</w:t>
      </w:r>
    </w:p>
    <w:p>
      <w:pPr>
        <w:pStyle w:val="Normal"/>
        <w:widowControl/>
        <w:rPr/>
      </w:pPr>
      <w:r>
        <w:rPr/>
        <w:t>67-C.110. [DEVELOPMENT] Remote Microreactor Feasibility Candidate. Classification preserves the candidate but does not itself establish A5 Schedule Ready status.</w:t>
      </w:r>
    </w:p>
    <w:p>
      <w:pPr>
        <w:pStyle w:val="Normal"/>
        <w:widowControl/>
        <w:rPr/>
      </w:pPr>
      <w:r>
        <w:rPr/>
        <w:t>67-C.111. [DEVELOPMENT] Remote SMR Feasibility Candidate. Classification preserves the candidate but does not itself establish A5 Schedule Ready status.</w:t>
      </w:r>
    </w:p>
    <w:p>
      <w:pPr>
        <w:pStyle w:val="Normal"/>
        <w:widowControl/>
        <w:rPr/>
      </w:pPr>
      <w:r>
        <w:rPr/>
        <w:t>67-C.112. [DEVELOPMENT] Advanced Cold-Weather UAV Demonstrator. Classification preserves the candidate but does not itself establish A5 Schedule Ready status.</w:t>
      </w:r>
    </w:p>
    <w:p>
      <w:pPr>
        <w:pStyle w:val="Normal"/>
        <w:widowControl/>
        <w:rPr/>
      </w:pPr>
      <w:r>
        <w:rPr/>
        <w:t>67-C.113. [DEVELOPMENT] Passive Radar Demonstrator. Classification preserves the candidate but does not itself establish A5 Schedule Ready status.</w:t>
      </w:r>
    </w:p>
    <w:p>
      <w:pPr>
        <w:pStyle w:val="Normal"/>
        <w:widowControl/>
        <w:rPr/>
      </w:pPr>
      <w:r>
        <w:rPr/>
        <w:t>67-C.114. [DEVELOPMENT] Next-Generation Maritime Awareness Pilot. Classification preserves the candidate but does not itself establish A5 Schedule Ready status.</w:t>
      </w:r>
    </w:p>
    <w:p>
      <w:pPr>
        <w:pStyle w:val="Normal"/>
        <w:widowControl/>
        <w:rPr/>
      </w:pPr>
      <w:r>
        <w:rPr/>
        <w:t>67-C.115. [DEVELOPMENT] Arctic AUV Fleet Candidate. Classification preserves the candidate but does not itself establish A5 Schedule Ready status.</w:t>
      </w:r>
    </w:p>
    <w:p>
      <w:pPr>
        <w:pStyle w:val="Normal"/>
        <w:widowControl/>
        <w:rPr/>
      </w:pPr>
      <w:r>
        <w:rPr/>
        <w:t>67-C.116. [DEVELOPMENT] Under-Ice Communications R&amp;D. Classification preserves the candidate but does not itself establish A5 Schedule Ready status.</w:t>
      </w:r>
    </w:p>
    <w:p>
      <w:pPr>
        <w:pStyle w:val="Normal"/>
        <w:widowControl/>
        <w:rPr/>
      </w:pPr>
      <w:r>
        <w:rPr/>
        <w:t>67-C.117. [DEVELOPMENT] Northern Telemetry Range Candidate. Classification preserves the candidate but does not itself establish A5 Schedule Ready status.</w:t>
      </w:r>
    </w:p>
    <w:p>
      <w:pPr>
        <w:pStyle w:val="Normal"/>
        <w:widowControl/>
        <w:rPr/>
      </w:pPr>
      <w:r>
        <w:rPr/>
        <w:t>67-C.118. [DEVELOPMENT] Future Satellite Ground Node Candidate. Classification preserves the candidate but does not itself establish A5 Schedule Ready status.</w:t>
      </w:r>
    </w:p>
    <w:p>
      <w:pPr>
        <w:pStyle w:val="Normal"/>
        <w:widowControl/>
        <w:rPr/>
      </w:pPr>
      <w:r>
        <w:rPr/>
        <w:t>67-C.119. [DEVELOPMENT] Advanced Resilient Power Demonstrator. Classification preserves the candidate but does not itself establish A5 Schedule Ready status.</w:t>
      </w:r>
    </w:p>
    <w:p>
      <w:pPr>
        <w:pStyle w:val="Normal"/>
        <w:widowControl/>
        <w:rPr/>
      </w:pPr>
      <w:r>
        <w:rPr/>
        <w:t>67-C.120. [DEVELOPMENT] Novel Ice-Capable Logistics Platform. Classification preserves the candidate but does not itself establish A5 Schedule Ready status.</w:t>
      </w:r>
    </w:p>
    <w:p>
      <w:pPr>
        <w:pStyle w:val="Normal"/>
        <w:widowControl/>
        <w:rPr/>
      </w:pPr>
      <w:r>
        <w:rPr/>
        <w:t>67-C.121. [DEVELOPMENT] Future Continental Sensor Demonstrator. Classification preserves the candidate but does not itself establish A5 Schedule Ready status.</w:t>
      </w:r>
    </w:p>
    <w:p>
      <w:pPr>
        <w:pStyle w:val="Normal"/>
        <w:widowControl/>
        <w:rPr/>
      </w:pPr>
      <w:r>
        <w:rPr>
          <w:b/>
        </w:rPr>
        <w:t>ANNEX 67-D — CONTROLLED-CAPABILITY REGISTER (7)</w:t>
      </w:r>
    </w:p>
    <w:p>
      <w:pPr>
        <w:pStyle w:val="Normal"/>
        <w:widowControl/>
        <w:rPr/>
      </w:pPr>
      <w:r>
        <w:rPr/>
        <w:t>67-D.1. Persistent Arctic aerial surveillance; governed by Article 67.38 and separate national authorization.</w:t>
      </w:r>
    </w:p>
    <w:p>
      <w:pPr>
        <w:pStyle w:val="Normal"/>
        <w:widowControl/>
        <w:rPr/>
      </w:pPr>
      <w:r>
        <w:rPr/>
        <w:t>67-D.2. Seabed and under-ice sensor deployments; governed by Article 67.38 and separate national authorization.</w:t>
      </w:r>
    </w:p>
    <w:p>
      <w:pPr>
        <w:pStyle w:val="Normal"/>
        <w:widowControl/>
        <w:rPr/>
      </w:pPr>
      <w:r>
        <w:rPr/>
        <w:t>67-D.3. Advanced missile-defence or interceptor integration; governed by Article 67.38 and separate national authorization.</w:t>
      </w:r>
    </w:p>
    <w:p>
      <w:pPr>
        <w:pStyle w:val="Normal"/>
        <w:widowControl/>
        <w:rPr/>
      </w:pPr>
      <w:r>
        <w:rPr/>
        <w:t>67-D.4. Co-located allied command or operations facilities in the Canadian North; governed by Article 67.38 and separate national authorization.</w:t>
      </w:r>
    </w:p>
    <w:p>
      <w:pPr>
        <w:pStyle w:val="Normal"/>
        <w:widowControl/>
        <w:rPr/>
      </w:pPr>
      <w:r>
        <w:rPr/>
        <w:t>67-D.5. Mexican observer participation in selected Arctic defence exercises; governed by Article 67.38 and separate national authorization.</w:t>
      </w:r>
    </w:p>
    <w:p>
      <w:pPr>
        <w:pStyle w:val="Normal"/>
        <w:widowControl/>
        <w:rPr/>
      </w:pPr>
      <w:r>
        <w:rPr/>
        <w:t>67-D.6. Remote defence-community microreactor or SMR deployment; governed by Article 67.38 and separate national authorization.</w:t>
      </w:r>
    </w:p>
    <w:p>
      <w:pPr>
        <w:pStyle w:val="Normal"/>
        <w:widowControl/>
        <w:rPr/>
      </w:pPr>
      <w:r>
        <w:rPr/>
        <w:t>67-D.7. Public disclosure concerning strategic northern fuel, ammunition or material stockpiles; governed by Article 67.38 and separate national authorization.</w:t>
      </w:r>
    </w:p>
    <w:p>
      <w:pPr>
        <w:pStyle w:val="Normal"/>
        <w:widowControl/>
        <w:rPr/>
      </w:pPr>
      <w:r>
        <w:rPr>
          <w:b/>
        </w:rPr>
        <w:t>ANNEX 67-E — VISIBLE NORTHERN VIGILANCE TROPHY OVERLAY (30)</w:t>
      </w:r>
    </w:p>
    <w:p>
      <w:pPr>
        <w:pStyle w:val="Normal"/>
        <w:widowControl/>
        <w:rPr/>
      </w:pPr>
      <w:r>
        <w:rPr/>
        <w:t>67-E.1. Canada’s NORAD Modernization Anchor. Trophy designation is a visibility overlay and creates no additional obligation or change in verification status.</w:t>
      </w:r>
    </w:p>
    <w:p>
      <w:pPr>
        <w:pStyle w:val="Normal"/>
        <w:widowControl/>
        <w:rPr/>
      </w:pPr>
      <w:r>
        <w:rPr/>
        <w:t>67-E.2. Arctic Over-the-Horizon Radar. Trophy designation is a visibility overlay and creates no additional obligation or change in verification status.</w:t>
      </w:r>
    </w:p>
    <w:p>
      <w:pPr>
        <w:pStyle w:val="Normal"/>
        <w:widowControl/>
        <w:rPr/>
      </w:pPr>
      <w:r>
        <w:rPr/>
        <w:t>67-E.3. Polar Over-the-Horizon Radar. Trophy designation is a visibility overlay and creates no additional obligation or change in verification status.</w:t>
      </w:r>
    </w:p>
    <w:p>
      <w:pPr>
        <w:pStyle w:val="Normal"/>
        <w:widowControl/>
        <w:rPr/>
      </w:pPr>
      <w:r>
        <w:rPr/>
        <w:t>67-E.4. North Warning System Renewal. Trophy designation is a visibility overlay and creates no additional obligation or change in verification status.</w:t>
      </w:r>
    </w:p>
    <w:p>
      <w:pPr>
        <w:pStyle w:val="Normal"/>
        <w:widowControl/>
        <w:rPr/>
      </w:pPr>
      <w:r>
        <w:rPr/>
        <w:t>67-E.5. Continental Arctic Sensor Network. Trophy designation is a visibility overlay and creates no additional obligation or change in verification status.</w:t>
      </w:r>
    </w:p>
    <w:p>
      <w:pPr>
        <w:pStyle w:val="Normal"/>
        <w:widowControl/>
        <w:rPr/>
      </w:pPr>
      <w:r>
        <w:rPr/>
        <w:t>67-E.6. Northern Forward Operating Location Modernization. Trophy designation is a visibility overlay and creates no additional obligation or change in verification status.</w:t>
      </w:r>
    </w:p>
    <w:p>
      <w:pPr>
        <w:pStyle w:val="Normal"/>
        <w:widowControl/>
        <w:rPr/>
      </w:pPr>
      <w:r>
        <w:rPr/>
        <w:t>67-E.7. Northern Operational Support Hubs. Trophy designation is a visibility overlay and creates no additional obligation or change in verification status.</w:t>
      </w:r>
    </w:p>
    <w:p>
      <w:pPr>
        <w:pStyle w:val="Normal"/>
        <w:widowControl/>
        <w:rPr/>
      </w:pPr>
      <w:r>
        <w:rPr/>
        <w:t>67-E.8. Goose Bay Northern Defence Expansion. Trophy designation is a visibility overlay and creates no additional obligation or change in verification status.</w:t>
      </w:r>
    </w:p>
    <w:p>
      <w:pPr>
        <w:pStyle w:val="Normal"/>
        <w:widowControl/>
        <w:rPr/>
      </w:pPr>
      <w:r>
        <w:rPr/>
        <w:t>67-E.9. Iqaluit Defence and Dual-Use Infrastructure. Trophy designation is a visibility overlay and creates no additional obligation or change in verification status.</w:t>
      </w:r>
    </w:p>
    <w:p>
      <w:pPr>
        <w:pStyle w:val="Normal"/>
        <w:widowControl/>
        <w:rPr/>
      </w:pPr>
      <w:r>
        <w:rPr/>
        <w:t>67-E.10. Inuvik Defence and Dual-Use Infrastructure. Trophy designation is a visibility overlay and creates no additional obligation or change in verification status.</w:t>
      </w:r>
    </w:p>
    <w:p>
      <w:pPr>
        <w:pStyle w:val="Normal"/>
        <w:widowControl/>
        <w:rPr/>
      </w:pPr>
      <w:r>
        <w:rPr/>
        <w:t>67-E.11. Yellowknife Northern Operations Hub. Trophy designation is a visibility overlay and creates no additional obligation or change in verification status.</w:t>
      </w:r>
    </w:p>
    <w:p>
      <w:pPr>
        <w:pStyle w:val="Normal"/>
        <w:widowControl/>
        <w:rPr/>
      </w:pPr>
      <w:r>
        <w:rPr/>
        <w:t>67-E.12. Northern Airport Modernization. Trophy designation is a visibility overlay and creates no additional obligation or change in verification status.</w:t>
      </w:r>
    </w:p>
    <w:p>
      <w:pPr>
        <w:pStyle w:val="Normal"/>
        <w:widowControl/>
        <w:rPr/>
      </w:pPr>
      <w:r>
        <w:rPr/>
        <w:t>67-E.13. Polar Emergency-Divert Network. Trophy designation is a visibility overlay and creates no additional obligation or change in verification status.</w:t>
      </w:r>
    </w:p>
    <w:p>
      <w:pPr>
        <w:pStyle w:val="Normal"/>
        <w:widowControl/>
        <w:rPr/>
      </w:pPr>
      <w:r>
        <w:rPr/>
        <w:t>67-E.14. Arctic Port and Sealift Modernization. Trophy designation is a visibility overlay and creates no additional obligation or change in verification status.</w:t>
      </w:r>
    </w:p>
    <w:p>
      <w:pPr>
        <w:pStyle w:val="Normal"/>
        <w:widowControl/>
        <w:rPr/>
      </w:pPr>
      <w:r>
        <w:rPr/>
        <w:t>67-E.15. North American Ice-Capable Maritime Partnership. Trophy designation is a visibility overlay and creates no additional obligation or change in verification status.</w:t>
      </w:r>
    </w:p>
    <w:p>
      <w:pPr>
        <w:pStyle w:val="Normal"/>
        <w:widowControl/>
        <w:rPr/>
      </w:pPr>
      <w:r>
        <w:rPr/>
        <w:t>67-E.16. Arctic Economic and Security Corridor. Trophy designation is a visibility overlay and creates no additional obligation or change in verification status.</w:t>
      </w:r>
    </w:p>
    <w:p>
      <w:pPr>
        <w:pStyle w:val="Normal"/>
        <w:widowControl/>
        <w:rPr/>
      </w:pPr>
      <w:r>
        <w:rPr/>
        <w:t>67-E.17. Northern Strategic Mobility Network. Trophy designation is a visibility overlay and creates no additional obligation or change in verification status.</w:t>
      </w:r>
    </w:p>
    <w:p>
      <w:pPr>
        <w:pStyle w:val="Normal"/>
        <w:widowControl/>
        <w:rPr/>
      </w:pPr>
      <w:r>
        <w:rPr/>
        <w:t>67-E.18. Northern Fuel Security Network. Trophy designation is a visibility overlay and creates no additional obligation or change in verification status.</w:t>
      </w:r>
    </w:p>
    <w:p>
      <w:pPr>
        <w:pStyle w:val="Normal"/>
        <w:widowControl/>
        <w:rPr/>
      </w:pPr>
      <w:r>
        <w:rPr/>
        <w:t>67-E.19. Northern Resilient Energy and Microgrid Program. Trophy designation is a visibility overlay and creates no additional obligation or change in verification status.</w:t>
      </w:r>
    </w:p>
    <w:p>
      <w:pPr>
        <w:pStyle w:val="Normal"/>
        <w:widowControl/>
        <w:rPr/>
      </w:pPr>
      <w:r>
        <w:rPr/>
        <w:t>67-E.20. Polar Communications Backbone. Trophy designation is a visibility overlay and creates no additional obligation or change in verification status.</w:t>
      </w:r>
    </w:p>
    <w:p>
      <w:pPr>
        <w:pStyle w:val="Normal"/>
        <w:widowControl/>
        <w:rPr/>
      </w:pPr>
      <w:r>
        <w:rPr/>
        <w:t>67-E.21. Space-Based Arctic Awareness Layer. Trophy designation is a visibility overlay and creates no additional obligation or change in verification status.</w:t>
      </w:r>
    </w:p>
    <w:p>
      <w:pPr>
        <w:pStyle w:val="Normal"/>
        <w:widowControl/>
        <w:rPr/>
      </w:pPr>
      <w:r>
        <w:rPr/>
        <w:t>67-E.22. AEWC Northern Surveillance Capability. Trophy designation is a visibility overlay and creates no additional obligation or change in verification status.</w:t>
      </w:r>
    </w:p>
    <w:p>
      <w:pPr>
        <w:pStyle w:val="Normal"/>
        <w:widowControl/>
        <w:rPr/>
      </w:pPr>
      <w:r>
        <w:rPr/>
        <w:t>67-E.23. Arctic Search-and-Rescue Expansion. Trophy designation is a visibility overlay and creates no additional obligation or change in verification status.</w:t>
      </w:r>
    </w:p>
    <w:p>
      <w:pPr>
        <w:pStyle w:val="Normal"/>
        <w:widowControl/>
        <w:rPr/>
      </w:pPr>
      <w:r>
        <w:rPr/>
        <w:t>67-E.24. North American Arctic Industrial Supply Chain. Trophy designation is a visibility overlay and creates no additional obligation or change in verification status.</w:t>
      </w:r>
    </w:p>
    <w:p>
      <w:pPr>
        <w:pStyle w:val="Normal"/>
        <w:widowControl/>
        <w:rPr/>
      </w:pPr>
      <w:r>
        <w:rPr/>
        <w:t>67-E.25. Arctic Critical-Minerals-to-Defence Pipeline. Trophy designation is a visibility overlay and creates no additional obligation or change in verification status.</w:t>
      </w:r>
    </w:p>
    <w:p>
      <w:pPr>
        <w:pStyle w:val="Normal"/>
        <w:widowControl/>
        <w:rPr/>
      </w:pPr>
      <w:r>
        <w:rPr/>
        <w:t>67-E.26. Indigenous and Northern Procurement Partnership. Trophy designation is a visibility overlay and creates no additional obligation or change in verification status.</w:t>
      </w:r>
    </w:p>
    <w:p>
      <w:pPr>
        <w:pStyle w:val="Normal"/>
        <w:widowControl/>
        <w:rPr/>
      </w:pPr>
      <w:r>
        <w:rPr/>
        <w:t>67-E.27. Northern Housing, Workforce and Community Capacity Package. Trophy designation is a visibility overlay and creates no additional obligation or change in verification status.</w:t>
      </w:r>
    </w:p>
    <w:p>
      <w:pPr>
        <w:pStyle w:val="Normal"/>
        <w:widowControl/>
        <w:rPr/>
      </w:pPr>
      <w:r>
        <w:rPr/>
        <w:t>67-E.28. Arctic Research and Cold-Weather Technology Partnership. Trophy designation is a visibility overlay and creates no additional obligation or change in verification status.</w:t>
      </w:r>
    </w:p>
    <w:p>
      <w:pPr>
        <w:pStyle w:val="Normal"/>
        <w:widowControl/>
        <w:rPr/>
      </w:pPr>
      <w:r>
        <w:rPr/>
        <w:t>67-E.29. Northern Vigilance Scorecard and Investment Ledger. Trophy designation is a visibility overlay and creates no additional obligation or change in verification status.</w:t>
      </w:r>
    </w:p>
    <w:p>
      <w:pPr>
        <w:pStyle w:val="Normal"/>
        <w:widowControl/>
        <w:rPr/>
      </w:pPr>
      <w:r>
        <w:rPr/>
        <w:t>67-E.30. State of the Vigilant North Annual Leaders’ Report. Trophy designation is a visibility overlay and creates no additional obligation or change in verification status.</w:t>
      </w:r>
    </w:p>
    <w:p>
      <w:pPr>
        <w:pStyle w:val="Normal"/>
        <w:widowControl/>
        <w:rPr/>
      </w:pPr>
      <w:r>
        <w:rPr>
          <w:b/>
        </w:rPr>
        <w:t>ANNEX 67-F — PROJECT STATUS, CLAIM AND ACCOUNTING VERIFICATION RULE</w:t>
      </w:r>
    </w:p>
    <w:p>
      <w:pPr>
        <w:pStyle w:val="Normal"/>
        <w:widowControl/>
        <w:rPr/>
      </w:pPr>
      <w:r>
        <w:rPr/>
        <w:t>Before a named project, dollar value, site, date, contractor, capability milestone or employment figure is represented as an operative commitment or verified public achievement, the responsible Party shall confirm the current authoritative source, project status, funding basis, jurisdiction, accounting treatment and disclosure authority. Drafting inputs, historical announcements and repeated secondary claims are not self-verifying.</w:t>
      </w:r>
    </w:p>
    <w:p>
      <w:pPr>
        <w:pStyle w:val="Normal"/>
        <w:widowControl/>
        <w:rPr/>
      </w:pPr>
      <w:r>
        <w:rPr/>
        <w:t>Particular caution applies to completed, cancelled, superseded, classified, proposed or materially rescoped projects; overlapping defence envelopes; cash-versus-accrual comparisons; and any statement that an existing commitment constitutes new agreement-attributable spending.</w:t>
      </w:r>
    </w:p>
    <w:p>
      <w:pPr>
        <w:pStyle w:val="Normal"/>
        <w:widowControl/>
        <w:rPr/>
      </w:pPr>
      <w:r>
        <w:t>E-2F. Version 8.4 — Northern Vigilance Arctic Integration. Added Chapter 67, North American Arctic Security, Sovereignty and Continental Defence Compact; Northern Vigilance Partnership; 47 cornerstone obligations; 128 operational/capability mechanisms; 121 project/investment candidates classified as 24 Flagship, 32 Anchor, 43 Program and 22 Development; 7 controlled capabilities; 30-item visible trophy overlay; A1–A5 project verification; C1–C5 controlled-capability ladder; sovereignty, command, Indigenous/northern, classification, investment-additionality, no-zombie-project and trade-measure firewalls.</w:t>
      </w:r>
    </w:p>
    <w:p>
      <w:pPr>
        <w:pStyle w:val="Normal"/>
        <w:widowControl/>
        <w:rPr/>
      </w:pPr>
      <w:r>
        <w:rPr/>
        <w:t>E-2G. Version 8.5 — Canada and Mexico Visibility Elevation Pass. Added non-operative leader-level Canadian and Mexican win summaries and parallel negotiator visibility indexes identifying Canadian and Mexican benefits already present in the operative text. No substantive concession, tariff commitment, procurement opening, security authority, market-access obligation, remedy, safeguard, project approval, or implementation duty is created, enlarged, narrowed, accelerated, or otherwise altered by this visibility-only pass.</w:t>
      </w:r>
    </w:p>
    <w:p>
      <w:pPr>
        <w:pStyle w:val="Normal"/>
        <w:widowControl/>
        <w:rPr/>
      </w:pPr>
      <w:r>
        <w:rPr/>
        <w:t>E-2H. Version 8.6 — Gordie Howe Benefit and Reinvestment Cleanup. Added Package CG, Detroit–Windsor International Crossing Benefit and Reinvestment Framework, closing the remaining bridge toll-revenue grievance without transferring Canadian toll ownership, bridge governance, revenue entitlement, or retroactive financing claims. Creates optional corridor reinvestment using mutually agreed revenues or equivalent appropriations; eligible customs, trusted-freight, ITS, approach, logistics, community-mitigation and economic-development improvements; integration with Packages CE and Chapter 65; baseline/additionality verification; and strict no-double-counting. Added corresponding U.S. and Canadian visibility-index entries. No fixed toll-revenue percentage is required.</w:t>
      </w:r>
    </w:p>
    <w:p>
      <w:pPr>
        <w:pStyle w:val="Normal"/>
        <w:widowControl/>
        <w:rPr/>
      </w:pPr>
      <w:r>
        <w:rPr/>
        <w:t>Chapter 68 contains the specialized North American cetacean recovery, safety, stewardship, rescue, and lifelong-care architecture.</w:t>
      </w:r>
    </w:p>
    <w:p>
      <w:pPr>
        <w:pStyle w:val="TrumpVisibilityHeadline"/>
        <w:widowControl/>
        <w:rPr/>
      </w:pPr>
      <w:r>
        <w:rPr/>
        <w:t>SEARCH SIGNPOST — WHALES / CETACEANS / MARINE MAMMALS / VESSEL STRIKE / FISHING GEAR / ENTANGLEMENT / RESCUE / CAPTIVE CETACEANS</w:t>
      </w:r>
      <w:r>
        <w:br w:type="page"/>
      </w:r>
    </w:p>
    <w:p>
      <w:bookmarkStart w:id="2058" w:name="_NAESTMA_TOC_2058"/>
      <w:pPr>
        <w:pStyle w:val="Heading1"/>
        <w:keepNext/>
        <w:keepLines w:val="0"/>
        <w:pageBreakBefore/>
        <w:widowControl/>
        <w:rPr/>
      </w:pPr>
      <w:r>
        <w:rPr>
          <w:b w:val="false"/>
        </w:rPr>
        <w:t>CHAPTER 68 — GREAT WHALE COMPACT: NORTH AMERICAN CETACEAN RECOVERY, SAFETY AND STEWARDSHIP</w:t>
      </w:r>
      <w:bookmarkEnd w:id="2058"/>
    </w:p>
    <w:p>
      <w:pPr>
        <w:pStyle w:val="Normal"/>
        <w:widowControl/>
        <w:rPr/>
      </w:pPr>
      <w:r>
        <w:rPr>
          <w:b/>
        </w:rPr>
        <w:t xml:space="preserve">★ </w:t>
      </w:r>
      <w:r>
        <w:rPr>
          <w:b/>
        </w:rPr>
        <w:t>VISIBLE TRILATERAL WIN: MORE WHALES SURVIVE, WORKING WATERS STAY WORKABLE, AND NORTH AMERICA BUILDS THE WORLD'S MOST PRACTICAL CETACEAN-RECOVERY SYSTEM</w:t>
      </w:r>
    </w:p>
    <w:p>
      <w:pPr>
        <w:pStyle w:val="Normal"/>
        <w:widowControl/>
        <w:rPr/>
      </w:pPr>
      <w:r>
        <w:rPr>
          <w:b w:val="false"/>
        </w:rPr>
        <w:t>The Parties establish the Great Whale Compact as a coordinated, sovereignty-safe framework for conserving wild cetaceans, reducing avoidable human-caused mortality and disturbance, supporting affected coastal communities, strengthening rescue and science, and protecting the welfare of captive cetaceans. The Compact shall be implemented primarily through competent domestic authorities and existing institutions.</w:t>
      </w:r>
    </w:p>
    <w:p>
      <w:bookmarkStart w:id="2059" w:name="_NAESTMA_TOC_2059"/>
      <w:pPr>
        <w:pStyle w:val="Heading2"/>
        <w:keepNext/>
        <w:widowControl/>
        <w:rPr/>
      </w:pPr>
      <w:r>
        <w:rPr>
          <w:b w:val="false"/>
        </w:rPr>
        <w:t>68.1. Purpose and Great Whale Bargain. Protect cetaceans while preserving lawful, safe and economically workable maritime activity through evidence-based, adaptive and proportionate measures.</w:t>
      </w:r>
      <w:bookmarkEnd w:id="2059"/>
    </w:p>
    <w:p>
      <w:bookmarkStart w:id="2060" w:name="_NAESTMA_TOC_2060"/>
      <w:pPr>
        <w:pStyle w:val="Heading2"/>
        <w:keepNext/>
        <w:widowControl/>
        <w:rPr/>
      </w:pPr>
      <w:r>
        <w:rPr>
          <w:b w:val="false"/>
        </w:rPr>
        <w:t>68.2. National Sovereignty and Domestic Authority. Each Party retains authority over its waters, fisheries, navigation, wildlife, animal welfare, defence, permitting and enforcement. Nothing creates a supranational cetacean regulator.</w:t>
      </w:r>
      <w:bookmarkEnd w:id="2060"/>
    </w:p>
    <w:p>
      <w:bookmarkStart w:id="2061" w:name="_NAESTMA_TOC_2061"/>
      <w:pPr>
        <w:pStyle w:val="Heading2"/>
        <w:keepNext/>
        <w:widowControl/>
        <w:rPr/>
      </w:pPr>
      <w:r>
        <w:rPr>
          <w:b w:val="false"/>
        </w:rPr>
        <w:t>68.3. Existing Institutions Before New Institutions. Implementation shall use competent domestic agencies, existing bilateral or trilateral bodies, Indigenous or co-management institutions where applicable, and NAESTMA machinery before creating new permanent bureaucracy.</w:t>
      </w:r>
      <w:bookmarkEnd w:id="2061"/>
    </w:p>
    <w:p>
      <w:bookmarkStart w:id="2062" w:name="_NAESTMA_TOC_2062"/>
      <w:pPr>
        <w:pStyle w:val="Heading2"/>
        <w:keepNext/>
        <w:widowControl/>
        <w:rPr/>
      </w:pPr>
      <w:r>
        <w:rPr>
          <w:b w:val="false"/>
        </w:rPr>
        <w:t>68.4. Science-First Decisionmaking. Measures shall rely on the best reasonably available science, disclose material uncertainty, and distinguish observed facts, modelled estimates and research hypotheses.</w:t>
      </w:r>
      <w:bookmarkEnd w:id="2062"/>
    </w:p>
    <w:p>
      <w:bookmarkStart w:id="2063" w:name="_NAESTMA_TOC_2063"/>
      <w:pPr>
        <w:pStyle w:val="Heading2"/>
        <w:keepNext/>
        <w:widowControl/>
        <w:rPr/>
      </w:pPr>
      <w:r>
        <w:rPr>
          <w:b w:val="false"/>
        </w:rPr>
        <w:t>68.5. Least-Burdensome Effective Protection. Where multiple measures can provide materially comparable protection, authorities should prefer the measure that achieves the conservation objective with the least unnecessary burden on lawful activity.</w:t>
      </w:r>
      <w:bookmarkEnd w:id="2063"/>
    </w:p>
    <w:p>
      <w:bookmarkStart w:id="2064" w:name="_NAESTMA_TOC_2064"/>
      <w:pPr>
        <w:pStyle w:val="Heading2"/>
        <w:keepNext/>
        <w:widowControl/>
        <w:rPr/>
      </w:pPr>
      <w:r>
        <w:rPr>
          <w:b w:val="false"/>
        </w:rPr>
        <w:t>68.6. Adaptive Management. Measures should change with demonstrated risk, whale presence, season, geography, technology and new evidence rather than remain static without review.</w:t>
      </w:r>
      <w:bookmarkEnd w:id="2064"/>
    </w:p>
    <w:p>
      <w:bookmarkStart w:id="2065" w:name="_NAESTMA_TOC_2065"/>
      <w:pPr>
        <w:pStyle w:val="Heading2"/>
        <w:keepNext/>
        <w:widowControl/>
        <w:rPr/>
      </w:pPr>
      <w:r>
        <w:rPr>
          <w:b w:val="false"/>
        </w:rPr>
        <w:t>68.7. Activation and Deactivation. Dynamic restrictions shall use intelligible activation criteria, defined review periods and deactivation, modification or expiry when the triggering risk materially subsides.</w:t>
      </w:r>
      <w:bookmarkEnd w:id="2065"/>
    </w:p>
    <w:p>
      <w:bookmarkStart w:id="2066" w:name="_NAESTMA_TOC_2066"/>
      <w:pPr>
        <w:pStyle w:val="Heading2"/>
        <w:keepNext/>
        <w:widowControl/>
        <w:rPr/>
      </w:pPr>
      <w:r>
        <w:rPr>
          <w:b w:val="false"/>
        </w:rPr>
        <w:t>68.8. Human Authority Over Automated Consequences. AI, acoustic detections, satellite observations or other automated systems may inform decisions but shall not alone impose penalties, revoke licences or create permanent closures.</w:t>
      </w:r>
      <w:bookmarkEnd w:id="2066"/>
    </w:p>
    <w:p>
      <w:bookmarkStart w:id="2067" w:name="_NAESTMA_TOC_2067"/>
      <w:pPr>
        <w:pStyle w:val="Heading2"/>
        <w:keepNext/>
        <w:widowControl/>
        <w:rPr/>
      </w:pPr>
      <w:r>
        <w:rPr>
          <w:b w:val="false"/>
        </w:rPr>
        <w:t>68.9. Species-Appropriate Protection. Measures shall account for population status, life history, migration, prey, habitat, culture, acoustic ecology and region-specific threats.</w:t>
      </w:r>
      <w:bookmarkEnd w:id="2067"/>
    </w:p>
    <w:p>
      <w:bookmarkStart w:id="2068" w:name="_NAESTMA_TOC_2068"/>
      <w:pPr>
        <w:pStyle w:val="Heading2"/>
        <w:keepNext/>
        <w:widowControl/>
        <w:rPr/>
      </w:pPr>
      <w:r>
        <w:rPr>
          <w:b w:val="false"/>
        </w:rPr>
        <w:t>68.10. Avoidable Governance Failure. The Parties shall maintain recovery and response systems reasonably designed to prevent avoidable governance failure from contributing materially to extirpation of covered cetacean populations.</w:t>
      </w:r>
      <w:bookmarkEnd w:id="2068"/>
    </w:p>
    <w:p>
      <w:bookmarkStart w:id="2069" w:name="_NAESTMA_TOC_2069"/>
      <w:pPr>
        <w:pStyle w:val="Heading2"/>
        <w:keepNext/>
        <w:widowControl/>
        <w:rPr/>
      </w:pPr>
      <w:r>
        <w:rPr>
          <w:b w:val="false"/>
        </w:rPr>
        <w:t>68.11. Indigenous Rights Savings. Nothing in this Chapter diminishes Aboriginal, treaty, constitutional, self-government or other Indigenous rights recognized under applicable law.</w:t>
      </w:r>
      <w:bookmarkEnd w:id="2069"/>
    </w:p>
    <w:p>
      <w:bookmarkStart w:id="2070" w:name="_NAESTMA_TOC_2070"/>
      <w:pPr>
        <w:pStyle w:val="Heading2"/>
        <w:keepNext/>
        <w:widowControl/>
        <w:rPr/>
      </w:pPr>
      <w:r>
        <w:rPr>
          <w:b w:val="false"/>
        </w:rPr>
        <w:t>68.12. Indigenous Knowledge and Data Governance. Indigenous Knowledge may inform management under community-approved protocols, with appropriate protection for sensitive, sacred, proprietary or community-governed information.</w:t>
      </w:r>
      <w:bookmarkEnd w:id="2070"/>
    </w:p>
    <w:p>
      <w:bookmarkStart w:id="2071" w:name="_NAESTMA_TOC_2071"/>
      <w:pPr>
        <w:pStyle w:val="Heading2"/>
        <w:keepNext/>
        <w:widowControl/>
        <w:rPr/>
      </w:pPr>
      <w:r>
        <w:rPr>
          <w:b w:val="false"/>
        </w:rPr>
        <w:t>68.13. Vessel-Strike Reduction. Each Party shall maintain measures reasonably designed to reduce avoidable serious injury and mortality from vessel strikes in material risk areas.</w:t>
      </w:r>
      <w:bookmarkEnd w:id="2071"/>
    </w:p>
    <w:p>
      <w:bookmarkStart w:id="2072" w:name="_NAESTMA_TOC_2072"/>
      <w:pPr>
        <w:pStyle w:val="Heading2"/>
        <w:keepNext/>
        <w:widowControl/>
        <w:rPr/>
      </w:pPr>
      <w:r>
        <w:rPr>
          <w:b w:val="false"/>
        </w:rPr>
        <w:t>68.14. Entanglement Reduction. Each Party shall maintain measures reasonably designed to reduce serious entanglement risk while supporting practical fishing transitions.</w:t>
      </w:r>
      <w:bookmarkEnd w:id="2072"/>
    </w:p>
    <w:p>
      <w:bookmarkStart w:id="2073" w:name="_NAESTMA_TOC_2073"/>
      <w:pPr>
        <w:pStyle w:val="Heading2"/>
        <w:keepNext/>
        <w:widowControl/>
        <w:rPr/>
      </w:pPr>
      <w:r>
        <w:rPr>
          <w:b w:val="false"/>
        </w:rPr>
        <w:t>68.15. Whale-Safe Fishing Transition. The Parties shall support validation and adoption of on-demand, weak-link, low-risk or other proven fishing technologies where they materially reduce cetacean risk.</w:t>
      </w:r>
      <w:bookmarkEnd w:id="2073"/>
    </w:p>
    <w:p>
      <w:bookmarkStart w:id="2074" w:name="_NAESTMA_TOC_2074"/>
      <w:pPr>
        <w:pStyle w:val="Heading2"/>
        <w:keepNext/>
        <w:widowControl/>
        <w:rPr/>
      </w:pPr>
      <w:r>
        <w:rPr>
          <w:b w:val="false"/>
        </w:rPr>
        <w:t>68.16. Ghost-Gear Prevention and Recovery. The Parties shall strengthen prevention, marking, reporting, retrieval and responsible disposal or recycling of lost fishing gear.</w:t>
      </w:r>
      <w:bookmarkEnd w:id="2074"/>
    </w:p>
    <w:p>
      <w:bookmarkStart w:id="2075" w:name="_NAESTMA_TOC_2075"/>
      <w:pPr>
        <w:pStyle w:val="Heading2"/>
        <w:keepNext/>
        <w:widowControl/>
        <w:rPr/>
      </w:pPr>
      <w:r>
        <w:rPr>
          <w:b w:val="false"/>
        </w:rPr>
        <w:t>68.17. Continental Detection Cooperation. The Parties shall cooperate on interoperable acoustic, visual, satellite, aerial and other validated whale-detection systems.</w:t>
      </w:r>
      <w:bookmarkEnd w:id="2075"/>
    </w:p>
    <w:p>
      <w:bookmarkStart w:id="2076" w:name="_NAESTMA_TOC_2076"/>
      <w:pPr>
        <w:pStyle w:val="Heading2"/>
        <w:keepNext/>
        <w:widowControl/>
        <w:rPr/>
      </w:pPr>
      <w:r>
        <w:rPr>
          <w:b w:val="false"/>
        </w:rPr>
        <w:t>68.18. Detection Reliability. Management systems relying on remote or automated detection shall maintain validation, false-positive and false-negative assessment, quality control and appropriate human review.</w:t>
      </w:r>
      <w:bookmarkEnd w:id="2076"/>
    </w:p>
    <w:p>
      <w:bookmarkStart w:id="2077" w:name="_NAESTMA_TOC_2077"/>
      <w:pPr>
        <w:pStyle w:val="Heading2"/>
        <w:keepNext/>
        <w:widowControl/>
        <w:rPr/>
      </w:pPr>
      <w:r>
        <w:rPr>
          <w:b w:val="false"/>
        </w:rPr>
        <w:t>68.19. Stranding and Disentanglement Readiness. Each Party shall maintain or support trained response capacity, safe protocols, equipment and cross-border assistance pathways for strandings and entanglements.</w:t>
      </w:r>
      <w:bookmarkEnd w:id="2077"/>
    </w:p>
    <w:p>
      <w:bookmarkStart w:id="2078" w:name="_NAESTMA_TOC_2078"/>
      <w:pPr>
        <w:pStyle w:val="Heading2"/>
        <w:keepNext/>
        <w:widowControl/>
        <w:rPr/>
      </w:pPr>
      <w:r>
        <w:rPr>
          <w:b w:val="false"/>
        </w:rPr>
        <w:t>68.20. Veterinary and Mortality Investigation. The Parties shall strengthen marine-mammal veterinary capacity, necropsy, pathology, tissue archiving and cause-of-death investigation where practicable.</w:t>
      </w:r>
      <w:bookmarkEnd w:id="2078"/>
    </w:p>
    <w:p>
      <w:bookmarkStart w:id="2079" w:name="_NAESTMA_TOC_2079"/>
      <w:pPr>
        <w:pStyle w:val="Heading2"/>
        <w:keepNext/>
        <w:widowControl/>
        <w:rPr/>
      </w:pPr>
      <w:r>
        <w:rPr>
          <w:b w:val="false"/>
        </w:rPr>
        <w:t>68.21. Critical Habitat and Recovery Cooperation. The Parties shall cooperate on science, recovery planning and compatible protection of important habitat while preserving domestic designation processes.</w:t>
      </w:r>
      <w:bookmarkEnd w:id="2079"/>
    </w:p>
    <w:p>
      <w:bookmarkStart w:id="2080" w:name="_NAESTMA_TOC_2080"/>
      <w:pPr>
        <w:pStyle w:val="Heading2"/>
        <w:keepNext/>
        <w:widowControl/>
        <w:rPr/>
      </w:pPr>
      <w:r>
        <w:rPr>
          <w:b w:val="false"/>
        </w:rPr>
        <w:t>68.22. Underwater Noise Risk Reduction. The Parties shall pursue proportionate measures to reduce avoidable harmful underwater noise from covered civilian activities, subject to applicable law and safety requirements.</w:t>
      </w:r>
      <w:bookmarkEnd w:id="2080"/>
    </w:p>
    <w:p>
      <w:bookmarkStart w:id="2081" w:name="_NAESTMA_TOC_2081"/>
      <w:pPr>
        <w:pStyle w:val="Heading2"/>
        <w:keepNext/>
        <w:widowControl/>
        <w:rPr/>
      </w:pPr>
      <w:r>
        <w:rPr>
          <w:b w:val="false"/>
        </w:rPr>
        <w:t>68.23. Government Fleet Leadership. Government-operated or procured vessels should, where technically and operationally appropriate, demonstrate whale-safe navigation, detection and quieting practices.</w:t>
      </w:r>
      <w:bookmarkEnd w:id="2081"/>
    </w:p>
    <w:p>
      <w:bookmarkStart w:id="2082" w:name="_NAESTMA_TOC_2082"/>
      <w:pPr>
        <w:pStyle w:val="Heading2"/>
        <w:keepNext/>
        <w:widowControl/>
        <w:rPr/>
      </w:pPr>
      <w:r>
        <w:rPr>
          <w:b w:val="false"/>
        </w:rPr>
        <w:t>68.24. Contaminant and Ecosystem Health Cooperation. The Parties shall cooperate on contaminants, pollution and ecosystem conditions materially relevant to cetacean health.</w:t>
      </w:r>
      <w:bookmarkEnd w:id="2082"/>
    </w:p>
    <w:p>
      <w:bookmarkStart w:id="2083" w:name="_NAESTMA_TOC_2083"/>
      <w:pPr>
        <w:pStyle w:val="Heading2"/>
        <w:keepNext/>
        <w:widowControl/>
        <w:rPr/>
      </w:pPr>
      <w:r>
        <w:rPr>
          <w:b w:val="false"/>
        </w:rPr>
        <w:t>68.25. Prey and Forage-Ecosystem Consideration. Cetacean prey needs should be considered as a scientifically assessed ecosystem factor in relevant management without displacing Indigenous rights or sustainable fisheries obligations.</w:t>
      </w:r>
      <w:bookmarkEnd w:id="2083"/>
    </w:p>
    <w:p>
      <w:bookmarkStart w:id="2084" w:name="_NAESTMA_TOC_2084"/>
      <w:pPr>
        <w:pStyle w:val="Heading2"/>
        <w:keepNext/>
        <w:widowControl/>
        <w:rPr/>
      </w:pPr>
      <w:r>
        <w:rPr>
          <w:b w:val="false"/>
        </w:rPr>
        <w:t>68.26. Climate-Responsive Management. Recovery planning shall consider climate-driven range shifts, marine heatwaves, sea-ice change and other material habitat changes.</w:t>
      </w:r>
      <w:bookmarkEnd w:id="2084"/>
    </w:p>
    <w:p>
      <w:bookmarkStart w:id="2085" w:name="_NAESTMA_TOC_2085"/>
      <w:pPr>
        <w:pStyle w:val="Heading2"/>
        <w:keepNext/>
        <w:widowControl/>
        <w:rPr/>
      </w:pPr>
      <w:r>
        <w:rPr>
          <w:b w:val="false"/>
        </w:rPr>
        <w:t>68.27. Whale-Sensitive Ports and Coastal Development. Relevant port and coastal projects should assess material cetacean strike, noise, habitat and construction risks and adopt proportionate mitigation where warranted.</w:t>
      </w:r>
      <w:bookmarkEnd w:id="2085"/>
    </w:p>
    <w:p>
      <w:bookmarkStart w:id="2086" w:name="_NAESTMA_TOC_2086"/>
      <w:pPr>
        <w:pStyle w:val="Heading2"/>
        <w:keepNext/>
        <w:widowControl/>
        <w:rPr/>
      </w:pPr>
      <w:r>
        <w:rPr>
          <w:b w:val="false"/>
        </w:rPr>
        <w:t>68.28. Offshore Activity Assessment. Covered offshore activities shall use applicable environmental and wildlife review processes to identify and mitigate material cetacean risks.</w:t>
      </w:r>
      <w:bookmarkEnd w:id="2086"/>
    </w:p>
    <w:p>
      <w:bookmarkStart w:id="2087" w:name="_NAESTMA_TOC_2087"/>
      <w:pPr>
        <w:pStyle w:val="Heading2"/>
        <w:keepNext/>
        <w:widowControl/>
        <w:rPr/>
      </w:pPr>
      <w:r>
        <w:rPr>
          <w:b w:val="false"/>
        </w:rPr>
        <w:t>68.29. Captive-Cetacean Minimum Welfare. Each Party shall maintain lawful welfare protections for captive cetaceans addressing nutrition, water quality, veterinary care, social needs, environmental conditions and emergency planning.</w:t>
      </w:r>
      <w:bookmarkEnd w:id="2087"/>
    </w:p>
    <w:p>
      <w:bookmarkStart w:id="2088" w:name="_NAESTMA_TOC_2088"/>
      <w:pPr>
        <w:pStyle w:val="Heading2"/>
        <w:keepNext/>
        <w:widowControl/>
        <w:rPr/>
      </w:pPr>
      <w:r>
        <w:rPr>
          <w:b w:val="false"/>
        </w:rPr>
        <w:t>68.30. No Avoidable Welfare Regression. A captive cetacean should not be transferred for administrative convenience where the receiving arrangement is reasonably expected to produce materially worse welfare.</w:t>
      </w:r>
      <w:bookmarkEnd w:id="2088"/>
    </w:p>
    <w:p>
      <w:bookmarkStart w:id="2089" w:name="_NAESTMA_TOC_2089"/>
      <w:pPr>
        <w:pStyle w:val="Heading2"/>
        <w:keepNext/>
        <w:widowControl/>
        <w:rPr/>
      </w:pPr>
      <w:r>
        <w:rPr>
          <w:b w:val="false"/>
        </w:rPr>
        <w:t>68.31. Legacy Animal Individual Care. Where practicable, remaining captive cetaceans should have individualized long-term care planning reflecting age, health, social relationships and realistic transfer or sanctuary options.</w:t>
      </w:r>
      <w:bookmarkEnd w:id="2089"/>
    </w:p>
    <w:p>
      <w:bookmarkStart w:id="2090" w:name="_NAESTMA_TOC_2090"/>
      <w:pPr>
        <w:pStyle w:val="Heading2"/>
        <w:keepNext/>
        <w:widowControl/>
        <w:rPr/>
      </w:pPr>
      <w:r>
        <w:rPr>
          <w:b w:val="false"/>
        </w:rPr>
        <w:t>68.32. Qualified Sanctuary Pathway. The Parties may facilitate qualified sanctuary assessment and transfer where lawful and demonstrably consistent with the individual animal's welfare.</w:t>
      </w:r>
      <w:bookmarkEnd w:id="2090"/>
    </w:p>
    <w:p>
      <w:bookmarkStart w:id="2091" w:name="_NAESTMA_TOC_2091"/>
      <w:pPr>
        <w:pStyle w:val="Heading2"/>
        <w:keepNext/>
        <w:widowControl/>
        <w:rPr/>
      </w:pPr>
      <w:r>
        <w:rPr>
          <w:b w:val="false"/>
        </w:rPr>
        <w:t>68.33. Rescue-versus-Display Firewall. Emergency rescue, rehabilitation or temporary protective custody shall not by itself create a presumption that permanent public display is the preferred disposition.</w:t>
      </w:r>
      <w:bookmarkEnd w:id="2091"/>
    </w:p>
    <w:p>
      <w:bookmarkStart w:id="2092" w:name="_NAESTMA_TOC_2092"/>
      <w:pPr>
        <w:pStyle w:val="Heading2"/>
        <w:keepNext/>
        <w:widowControl/>
        <w:rPr/>
      </w:pPr>
      <w:r>
        <w:rPr>
          <w:b w:val="false"/>
        </w:rPr>
        <w:t>68.34. Research Ethics. Cetacean research supported under this Chapter shall use appropriate animal-welfare, permitting, scientific-necessity and minimally invasive safeguards.</w:t>
      </w:r>
      <w:bookmarkEnd w:id="2092"/>
    </w:p>
    <w:p>
      <w:bookmarkStart w:id="2093" w:name="_NAESTMA_TOC_2093"/>
      <w:pPr>
        <w:pStyle w:val="Heading2"/>
        <w:keepNext/>
        <w:widowControl/>
        <w:rPr/>
      </w:pPr>
      <w:r>
        <w:rPr>
          <w:b w:val="false"/>
        </w:rPr>
        <w:t>68.35. Open Where Safe, Protected Where Necessary. Compact-supported science should be open and reproducible where practicable, subject to Indigenous data governance, animal-location sensitivity, privacy, security, law-enforcement and legitimate confidentiality protections.</w:t>
      </w:r>
      <w:bookmarkEnd w:id="2093"/>
    </w:p>
    <w:p>
      <w:bookmarkStart w:id="2094" w:name="_NAESTMA_TOC_2094"/>
      <w:pPr>
        <w:pStyle w:val="Heading2"/>
        <w:keepNext/>
        <w:widowControl/>
        <w:rPr/>
      </w:pPr>
      <w:r>
        <w:rPr>
          <w:b w:val="false"/>
        </w:rPr>
        <w:t>68.36. Cross-Border Research Cooperation. The Parties shall facilitate lawful research coordination, compatible data standards, permit cooperation and joint scientific work.</w:t>
      </w:r>
      <w:bookmarkEnd w:id="2094"/>
    </w:p>
    <w:p>
      <w:bookmarkStart w:id="2095" w:name="_NAESTMA_TOC_2095"/>
      <w:pPr>
        <w:pStyle w:val="Heading2"/>
        <w:keepNext/>
        <w:widowControl/>
        <w:rPr/>
      </w:pPr>
      <w:r>
        <w:rPr>
          <w:b w:val="false"/>
        </w:rPr>
        <w:t>68.37. Measurement Integrity. Public recovery reporting shall distinguish inputs, outputs and biological outcomes and disclose material uncertainty, detection limits and methodological changes.</w:t>
      </w:r>
      <w:bookmarkEnd w:id="2095"/>
    </w:p>
    <w:p>
      <w:bookmarkStart w:id="2096" w:name="_NAESTMA_TOC_2096"/>
      <w:pPr>
        <w:pStyle w:val="Heading2"/>
        <w:keepNext/>
        <w:widowControl/>
        <w:rPr/>
      </w:pPr>
      <w:r>
        <w:rPr>
          <w:b w:val="false"/>
        </w:rPr>
        <w:t>68.38. Recovery-Plan Implementation Review. The Parties shall periodically assess whether adopted recovery measures are actually implemented and whether evidence supports modification.</w:t>
      </w:r>
      <w:bookmarkEnd w:id="2096"/>
    </w:p>
    <w:p>
      <w:bookmarkStart w:id="2097" w:name="_NAESTMA_TOC_2097"/>
      <w:pPr>
        <w:pStyle w:val="Heading2"/>
        <w:keepNext/>
        <w:widowControl/>
        <w:rPr/>
      </w:pPr>
      <w:r>
        <w:rPr>
          <w:b w:val="false"/>
        </w:rPr>
        <w:t>68.39. Fisher and Coastal-Community Transition. Implementation shall consider reasonable transition support, training and technical assistance where new conservation measures impose material adjustment costs.</w:t>
      </w:r>
      <w:bookmarkEnd w:id="2097"/>
    </w:p>
    <w:p>
      <w:bookmarkStart w:id="2098" w:name="_NAESTMA_TOC_2098"/>
      <w:pPr>
        <w:pStyle w:val="Heading2"/>
        <w:keepNext/>
        <w:widowControl/>
        <w:rPr/>
      </w:pPr>
      <w:r>
        <w:rPr>
          <w:b w:val="false"/>
        </w:rPr>
        <w:t>68.40. No Compensation for Ordinary Compliance. Nothing requires compensation merely for compliance with generally applicable lawful safety or conservation requirements.</w:t>
      </w:r>
      <w:bookmarkEnd w:id="2098"/>
    </w:p>
    <w:p>
      <w:bookmarkStart w:id="2099" w:name="_NAESTMA_TOC_2099"/>
      <w:pPr>
        <w:pStyle w:val="Heading2"/>
        <w:keepNext/>
        <w:widowControl/>
        <w:rPr/>
      </w:pPr>
      <w:r>
        <w:rPr>
          <w:b w:val="false"/>
        </w:rPr>
        <w:t>68.41. Extraordinary Transition Assistance. A Party may provide targeted, transparent assistance for major gear conversion, temporary adaptive closures or comparable extraordinary transition burdens.</w:t>
      </w:r>
      <w:bookmarkEnd w:id="2099"/>
    </w:p>
    <w:p>
      <w:bookmarkStart w:id="2100" w:name="_NAESTMA_TOC_2100"/>
      <w:pPr>
        <w:pStyle w:val="Heading2"/>
        <w:keepNext/>
        <w:widowControl/>
        <w:rPr/>
      </w:pPr>
      <w:r>
        <w:rPr>
          <w:b w:val="false"/>
        </w:rPr>
        <w:t>68.42. Whale-Safe Procurement and Certification. Voluntary certification and procurement may reward verified whale-safe performance but shall not become arbitrary or disguised discrimination against another Party.</w:t>
      </w:r>
      <w:bookmarkEnd w:id="2100"/>
    </w:p>
    <w:p>
      <w:bookmarkStart w:id="2101" w:name="_NAESTMA_TOC_2101"/>
      <w:pPr>
        <w:pStyle w:val="Heading2"/>
        <w:keepNext/>
        <w:widowControl/>
        <w:rPr/>
      </w:pPr>
      <w:r>
        <w:rPr>
          <w:b w:val="false"/>
        </w:rPr>
        <w:t>68.43. No Arbitrary Whale-Based Trade Restriction. Cetacean protection shall not be used as a pretext for arbitrary, disguised or unrelated trade restriction.</w:t>
      </w:r>
      <w:bookmarkEnd w:id="2101"/>
    </w:p>
    <w:p>
      <w:bookmarkStart w:id="2102" w:name="_NAESTMA_TOC_2102"/>
      <w:pPr>
        <w:pStyle w:val="Heading2"/>
        <w:keepNext/>
        <w:widowControl/>
        <w:rPr/>
      </w:pPr>
      <w:r>
        <w:rPr>
          <w:b w:val="false"/>
        </w:rPr>
        <w:t>68.44. Domestic Enforcement and Due Process. Penalties and adverse legal consequences remain subject to competent domestic authority, notice, evidence and applicable due-process protections.</w:t>
      </w:r>
      <w:bookmarkEnd w:id="2102"/>
    </w:p>
    <w:p>
      <w:bookmarkStart w:id="2103" w:name="_NAESTMA_TOC_2103"/>
      <w:pPr>
        <w:pStyle w:val="Heading2"/>
        <w:keepNext/>
        <w:widowControl/>
        <w:rPr/>
      </w:pPr>
      <w:r>
        <w:rPr>
          <w:b w:val="false"/>
        </w:rPr>
        <w:t>68.45. Whale Disputes Stay in Whale Machinery. Disputes concerning this Chapter shall first use its scientific, consultation and cure procedures rather than unrelated retaliation.</w:t>
      </w:r>
      <w:bookmarkEnd w:id="2103"/>
    </w:p>
    <w:p>
      <w:bookmarkStart w:id="2104" w:name="_NAESTMA_TOC_2104"/>
      <w:pPr>
        <w:pStyle w:val="Heading2"/>
        <w:keepNext/>
        <w:widowControl/>
        <w:rPr/>
      </w:pPr>
      <w:r>
        <w:rPr>
          <w:b w:val="false"/>
        </w:rPr>
        <w:t>68.46. No Unrelated Tariff Retaliation. A disagreement under this Chapter shall not by itself justify unrelated tariffs or suspension of benefits outside proportionate Chapter-specific remedies.</w:t>
      </w:r>
      <w:bookmarkEnd w:id="2104"/>
    </w:p>
    <w:p>
      <w:bookmarkStart w:id="2105" w:name="_NAESTMA_TOC_2105"/>
      <w:pPr>
        <w:pStyle w:val="Heading2"/>
        <w:keepNext/>
        <w:widowControl/>
        <w:rPr/>
      </w:pPr>
      <w:r>
        <w:rPr>
          <w:b w:val="false"/>
        </w:rPr>
        <w:t>68.47. Verification, Consultation and Cure. Before a material implementation dispute escalates, the Parties shall use evidence exchange, verification, consultation and a reasonable cure opportunity.</w:t>
      </w:r>
      <w:bookmarkEnd w:id="2105"/>
    </w:p>
    <w:p>
      <w:bookmarkStart w:id="2106" w:name="_NAESTMA_TOC_2106"/>
      <w:pPr>
        <w:pStyle w:val="Heading2"/>
        <w:keepNext/>
        <w:widowControl/>
        <w:rPr/>
      </w:pPr>
      <w:r>
        <w:rPr>
          <w:b w:val="false"/>
        </w:rPr>
        <w:t>68.48. Periodic Review and Adaptive Revision. The Parties shall periodically review the Compact and may update annexes, technical methods and schedules without weakening applicable rights or safeguards.</w:t>
      </w:r>
      <w:bookmarkEnd w:id="2106"/>
    </w:p>
    <w:p>
      <w:bookmarkStart w:id="2107" w:name="_NAESTMA_TOC_2107"/>
      <w:pPr>
        <w:pStyle w:val="Heading2"/>
        <w:keepNext/>
        <w:widowControl/>
        <w:rPr/>
      </w:pPr>
      <w:r>
        <w:rPr>
          <w:b w:val="false"/>
        </w:rPr>
        <w:t>68.49. Cetacean Emergency Recovery Escalation. Where credible scientific assessment identifies a materially increased risk of extirpation, the responsible Party or Parties shall initiate expedited review and adopt or publish an appropriate emergency response plan within a defined domestic process.</w:t>
      </w:r>
      <w:bookmarkEnd w:id="2107"/>
    </w:p>
    <w:p>
      <w:bookmarkStart w:id="2108" w:name="_NAESTMA_TOC_2108"/>
      <w:pPr>
        <w:pStyle w:val="Heading2"/>
        <w:keepNext/>
        <w:widowControl/>
        <w:rPr/>
      </w:pPr>
      <w:r>
        <w:rPr>
          <w:b w:val="false"/>
        </w:rPr>
        <w:t>ANNEX 68-A — OPERATIONAL CETACEAN PROTECTION REGISTER (139 MECHANISMS)</w:t>
      </w:r>
      <w:bookmarkEnd w:id="2108"/>
    </w:p>
    <w:p>
      <w:pPr>
        <w:pStyle w:val="Normal"/>
        <w:widowControl/>
        <w:rPr/>
      </w:pPr>
      <w:r>
        <w:rPr>
          <w:b w:val="false"/>
        </w:rPr>
        <w:t>The following mechanisms are implementation tools, not automatic universal mandates. Each shall be used only where relevant, lawful, scientifically supportable and proportionate to the species, geography and risk concerned.</w:t>
      </w:r>
    </w:p>
    <w:p>
      <w:pPr>
        <w:pStyle w:val="Normal"/>
        <w:widowControl/>
        <w:rPr/>
      </w:pPr>
      <w:r>
        <w:rPr>
          <w:b w:val="false"/>
        </w:rPr>
        <w:t>68-A.1. Seasonal Speed-Management Areas (Vessel Safety). Eligible for domestic or cooperative implementation consistent with Chapter 68 safeguards.</w:t>
      </w:r>
    </w:p>
    <w:p>
      <w:pPr>
        <w:pStyle w:val="Normal"/>
        <w:widowControl/>
        <w:rPr/>
      </w:pPr>
      <w:r>
        <w:rPr>
          <w:b w:val="false"/>
        </w:rPr>
        <w:t>68-A.2. Dynamic Speed-Management Review (Vessel Safety). Eligible for domestic or cooperative implementation consistent with Chapter 68 safeguards.</w:t>
      </w:r>
    </w:p>
    <w:p>
      <w:pPr>
        <w:pStyle w:val="Normal"/>
        <w:widowControl/>
        <w:rPr/>
      </w:pPr>
      <w:r>
        <w:rPr>
          <w:b w:val="false"/>
        </w:rPr>
        <w:t>68-A.3. High-Risk Routing Assessment (Vessel Safety). Eligible for domestic or cooperative implementation consistent with Chapter 68 safeguards.</w:t>
      </w:r>
    </w:p>
    <w:p>
      <w:pPr>
        <w:pStyle w:val="Normal"/>
        <w:widowControl/>
        <w:rPr/>
      </w:pPr>
      <w:r>
        <w:rPr>
          <w:b w:val="false"/>
        </w:rPr>
        <w:t>68-A.4. Voluntary Slowdown Programs (Vessel Safety). Eligible for domestic or cooperative implementation consistent with Chapter 68 safeguards.</w:t>
      </w:r>
    </w:p>
    <w:p>
      <w:pPr>
        <w:pStyle w:val="Normal"/>
        <w:widowControl/>
        <w:rPr/>
      </w:pPr>
      <w:r>
        <w:rPr>
          <w:b w:val="false"/>
        </w:rPr>
        <w:t>68-A.5. Navwarn And Mariner Notice Integration (Vessel Safety). Eligible for domestic or cooperative implementation consistent with Chapter 68 safeguards.</w:t>
      </w:r>
    </w:p>
    <w:p>
      <w:pPr>
        <w:pStyle w:val="Normal"/>
        <w:widowControl/>
        <w:rPr/>
      </w:pPr>
      <w:r>
        <w:rPr>
          <w:b w:val="false"/>
        </w:rPr>
        <w:t>68-A.6. Bridge-To-Bridge Whale Alerts (Vessel Safety). Eligible for domestic or cooperative implementation consistent with Chapter 68 safeguards.</w:t>
      </w:r>
    </w:p>
    <w:p>
      <w:pPr>
        <w:pStyle w:val="Normal"/>
        <w:widowControl/>
        <w:rPr/>
      </w:pPr>
      <w:r>
        <w:rPr>
          <w:b w:val="false"/>
        </w:rPr>
        <w:t>68-A.7. Ais Speed-Compliance Analytics (Vessel Safety). Eligible for domestic or cooperative implementation consistent with Chapter 68 safeguards.</w:t>
      </w:r>
    </w:p>
    <w:p>
      <w:pPr>
        <w:pStyle w:val="Normal"/>
        <w:widowControl/>
        <w:rPr/>
      </w:pPr>
      <w:r>
        <w:rPr>
          <w:b w:val="false"/>
        </w:rPr>
        <w:t>68-A.8. Strike-Incident Reporting (Vessel Safety). Eligible for domestic or cooperative implementation consistent with Chapter 68 safeguards.</w:t>
      </w:r>
    </w:p>
    <w:p>
      <w:pPr>
        <w:pStyle w:val="Normal"/>
        <w:widowControl/>
        <w:rPr/>
      </w:pPr>
      <w:r>
        <w:rPr>
          <w:b w:val="false"/>
        </w:rPr>
        <w:t>68-A.9. Night-Transit Risk Protocols (Vessel Safety). Eligible for domestic or cooperative implementation consistent with Chapter 68 safeguards.</w:t>
      </w:r>
    </w:p>
    <w:p>
      <w:pPr>
        <w:pStyle w:val="Normal"/>
        <w:widowControl/>
        <w:rPr/>
      </w:pPr>
      <w:r>
        <w:rPr>
          <w:b w:val="false"/>
        </w:rPr>
        <w:t>68-A.10. Ferry-Lane Whale Protocols (Vessel Safety). Eligible for domestic or cooperative implementation consistent with Chapter 68 safeguards.</w:t>
      </w:r>
    </w:p>
    <w:p>
      <w:pPr>
        <w:pStyle w:val="Normal"/>
        <w:widowControl/>
        <w:rPr/>
      </w:pPr>
      <w:r>
        <w:rPr>
          <w:b w:val="false"/>
        </w:rPr>
        <w:t>68-A.11. Small-Vessel Approach Guidance (Vessel Safety). Eligible for domestic or cooperative implementation consistent with Chapter 68 safeguards.</w:t>
      </w:r>
    </w:p>
    <w:p>
      <w:pPr>
        <w:pStyle w:val="Normal"/>
        <w:widowControl/>
        <w:rPr/>
      </w:pPr>
      <w:r>
        <w:rPr>
          <w:b w:val="false"/>
        </w:rPr>
        <w:t>68-A.12. Whale-Watching Approach Standards (Vessel Safety). Eligible for domestic or cooperative implementation consistent with Chapter 68 safeguards.</w:t>
      </w:r>
    </w:p>
    <w:p>
      <w:pPr>
        <w:pStyle w:val="Normal"/>
        <w:widowControl/>
        <w:rPr/>
      </w:pPr>
      <w:r>
        <w:rPr>
          <w:b w:val="false"/>
        </w:rPr>
        <w:t>68-A.13. Operator Education And Certification (Vessel Safety). Eligible for domestic or cooperative implementation consistent with Chapter 68 safeguards.</w:t>
      </w:r>
    </w:p>
    <w:p>
      <w:pPr>
        <w:pStyle w:val="Normal"/>
        <w:widowControl/>
        <w:rPr/>
      </w:pPr>
      <w:r>
        <w:rPr>
          <w:b w:val="false"/>
        </w:rPr>
        <w:t>68-A.14. On-Demand Gear Validation (Fishing and Entanglement). Eligible for domestic or cooperative implementation consistent with Chapter 68 safeguards.</w:t>
      </w:r>
    </w:p>
    <w:p>
      <w:pPr>
        <w:pStyle w:val="Normal"/>
        <w:widowControl/>
        <w:rPr/>
      </w:pPr>
      <w:r>
        <w:rPr>
          <w:b w:val="false"/>
        </w:rPr>
        <w:t>68-A.15. Low-Breaking-Strength Gear Validation (Fishing and Entanglement). Eligible for domestic or cooperative implementation consistent with Chapter 68 safeguards.</w:t>
      </w:r>
    </w:p>
    <w:p>
      <w:pPr>
        <w:pStyle w:val="Normal"/>
        <w:widowControl/>
        <w:rPr/>
      </w:pPr>
      <w:r>
        <w:rPr>
          <w:b w:val="false"/>
        </w:rPr>
        <w:t>68-A.16. Weak-Link Configuration Standards (Fishing and Entanglement). Eligible for domestic or cooperative implementation consistent with Chapter 68 safeguards.</w:t>
      </w:r>
    </w:p>
    <w:p>
      <w:pPr>
        <w:pStyle w:val="Normal"/>
        <w:widowControl/>
        <w:rPr/>
      </w:pPr>
      <w:r>
        <w:rPr>
          <w:b w:val="false"/>
        </w:rPr>
        <w:t>68-A.17. Virtual Gear Marking (Fishing and Entanglement). Eligible for domestic or cooperative implementation consistent with Chapter 68 safeguards.</w:t>
      </w:r>
    </w:p>
    <w:p>
      <w:pPr>
        <w:pStyle w:val="Normal"/>
        <w:widowControl/>
        <w:rPr/>
      </w:pPr>
      <w:r>
        <w:rPr>
          <w:b w:val="false"/>
        </w:rPr>
        <w:t>68-A.18. Gear Interoperability Testing (Fishing and Entanglement). Eligible for domestic or cooperative implementation consistent with Chapter 68 safeguards.</w:t>
      </w:r>
    </w:p>
    <w:p>
      <w:pPr>
        <w:pStyle w:val="Normal"/>
        <w:widowControl/>
        <w:rPr/>
      </w:pPr>
      <w:r>
        <w:rPr>
          <w:b w:val="false"/>
        </w:rPr>
        <w:t>68-A.19. Fisher Training (Fishing and Entanglement). Eligible for domestic or cooperative implementation consistent with Chapter 68 safeguards.</w:t>
      </w:r>
    </w:p>
    <w:p>
      <w:pPr>
        <w:pStyle w:val="Normal"/>
        <w:widowControl/>
        <w:rPr/>
      </w:pPr>
      <w:r>
        <w:rPr>
          <w:b w:val="false"/>
        </w:rPr>
        <w:t>68-A.20. Gear-Conversion Finance (Fishing and Entanglement). Eligible for domestic or cooperative implementation consistent with Chapter 68 safeguards.</w:t>
      </w:r>
    </w:p>
    <w:p>
      <w:pPr>
        <w:pStyle w:val="Normal"/>
        <w:widowControl/>
        <w:rPr/>
      </w:pPr>
      <w:r>
        <w:rPr>
          <w:b w:val="false"/>
        </w:rPr>
        <w:t>68-A.21. Whale-Safe Access During Conventional-Gear Closures (Fishing and Entanglement). Eligible for domestic or cooperative implementation consistent with Chapter 68 safeguards.</w:t>
      </w:r>
    </w:p>
    <w:p>
      <w:pPr>
        <w:pStyle w:val="Normal"/>
        <w:widowControl/>
        <w:rPr/>
      </w:pPr>
      <w:r>
        <w:rPr>
          <w:b w:val="false"/>
        </w:rPr>
        <w:t>68-A.22. Dynamic Fishery-Risk Review (Fishing and Entanglement). Eligible for domestic or cooperative implementation consistent with Chapter 68 safeguards.</w:t>
      </w:r>
    </w:p>
    <w:p>
      <w:pPr>
        <w:pStyle w:val="Normal"/>
        <w:widowControl/>
        <w:rPr/>
      </w:pPr>
      <w:r>
        <w:rPr>
          <w:b w:val="false"/>
        </w:rPr>
        <w:t>68-A.23. Seasonal Fishery-Risk Review (Fishing and Entanglement). Eligible for domestic or cooperative implementation consistent with Chapter 68 safeguards.</w:t>
      </w:r>
    </w:p>
    <w:p>
      <w:pPr>
        <w:pStyle w:val="Normal"/>
        <w:widowControl/>
        <w:rPr/>
      </w:pPr>
      <w:r>
        <w:rPr>
          <w:b w:val="false"/>
        </w:rPr>
        <w:t>68-A.24. Entanglement Scar Monitoring (Fishing and Entanglement). Eligible for domestic or cooperative implementation consistent with Chapter 68 safeguards.</w:t>
      </w:r>
    </w:p>
    <w:p>
      <w:pPr>
        <w:pStyle w:val="Normal"/>
        <w:widowControl/>
        <w:rPr/>
      </w:pPr>
      <w:r>
        <w:rPr>
          <w:b w:val="false"/>
        </w:rPr>
        <w:t>68-A.25. Gear-Loss Reporting (Fishing and Entanglement). Eligible for domestic or cooperative implementation consistent with Chapter 68 safeguards.</w:t>
      </w:r>
    </w:p>
    <w:p>
      <w:pPr>
        <w:pStyle w:val="Normal"/>
        <w:widowControl/>
        <w:rPr/>
      </w:pPr>
      <w:r>
        <w:rPr>
          <w:b w:val="false"/>
        </w:rPr>
        <w:t>68-A.26. Ghost-Gear Retrieval (Fishing and Entanglement). Eligible for domestic or cooperative implementation consistent with Chapter 68 safeguards.</w:t>
      </w:r>
    </w:p>
    <w:p>
      <w:pPr>
        <w:pStyle w:val="Normal"/>
        <w:widowControl/>
        <w:rPr/>
      </w:pPr>
      <w:r>
        <w:rPr>
          <w:b w:val="false"/>
        </w:rPr>
        <w:t>68-A.27. Ghost-Gear Recycling (Fishing and Entanglement). Eligible for domestic or cooperative implementation consistent with Chapter 68 safeguards.</w:t>
      </w:r>
    </w:p>
    <w:p>
      <w:pPr>
        <w:pStyle w:val="Normal"/>
        <w:widowControl/>
        <w:rPr/>
      </w:pPr>
      <w:r>
        <w:rPr>
          <w:b w:val="false"/>
        </w:rPr>
        <w:t>68-A.28. Gear Provenance And Traceability (Fishing and Entanglement). Eligible for domestic or cooperative implementation consistent with Chapter 68 safeguards.</w:t>
      </w:r>
    </w:p>
    <w:p>
      <w:pPr>
        <w:pStyle w:val="Normal"/>
        <w:widowControl/>
        <w:rPr/>
      </w:pPr>
      <w:r>
        <w:rPr>
          <w:b w:val="false"/>
        </w:rPr>
        <w:t>68-A.29. Cross-Border Gear Technology Exchange (Fishing and Entanglement). Eligible for domestic or cooperative implementation consistent with Chapter 68 safeguards.</w:t>
      </w:r>
    </w:p>
    <w:p>
      <w:pPr>
        <w:pStyle w:val="Normal"/>
        <w:widowControl/>
        <w:rPr/>
      </w:pPr>
      <w:r>
        <w:rPr>
          <w:b w:val="false"/>
        </w:rPr>
        <w:t>68-A.30. Passive Acoustic Monitoring Network (Detection and Alerts). Eligible for domestic or cooperative implementation consistent with Chapter 68 safeguards.</w:t>
      </w:r>
    </w:p>
    <w:p>
      <w:pPr>
        <w:pStyle w:val="Normal"/>
        <w:widowControl/>
        <w:rPr/>
      </w:pPr>
      <w:r>
        <w:rPr>
          <w:b w:val="false"/>
        </w:rPr>
        <w:t>68-A.31. Fixed Hydrophone Stations (Detection and Alerts). Eligible for domestic or cooperative implementation consistent with Chapter 68 safeguards.</w:t>
      </w:r>
    </w:p>
    <w:p>
      <w:pPr>
        <w:pStyle w:val="Normal"/>
        <w:widowControl/>
        <w:rPr/>
      </w:pPr>
      <w:r>
        <w:rPr>
          <w:b w:val="false"/>
        </w:rPr>
        <w:t>68-A.32. Mobile Glider Missions (Detection and Alerts). Eligible for domestic or cooperative implementation consistent with Chapter 68 safeguards.</w:t>
      </w:r>
    </w:p>
    <w:p>
      <w:pPr>
        <w:pStyle w:val="Normal"/>
        <w:widowControl/>
        <w:rPr/>
      </w:pPr>
      <w:r>
        <w:rPr>
          <w:b w:val="false"/>
        </w:rPr>
        <w:t>68-A.33. Smart-Buoy Detection (Detection and Alerts). Eligible for domestic or cooperative implementation consistent with Chapter 68 safeguards.</w:t>
      </w:r>
    </w:p>
    <w:p>
      <w:pPr>
        <w:pStyle w:val="Normal"/>
        <w:widowControl/>
        <w:rPr/>
      </w:pPr>
      <w:r>
        <w:rPr>
          <w:b w:val="false"/>
        </w:rPr>
        <w:t>68-A.34. Validated Ai Call Classification (Detection and Alerts). Eligible for domestic or cooperative implementation consistent with Chapter 68 safeguards.</w:t>
      </w:r>
    </w:p>
    <w:p>
      <w:pPr>
        <w:pStyle w:val="Normal"/>
        <w:widowControl/>
        <w:rPr/>
      </w:pPr>
      <w:r>
        <w:rPr>
          <w:b w:val="false"/>
        </w:rPr>
        <w:t>68-A.35. Sensor-Fusion Platform (Detection and Alerts). Eligible for domestic or cooperative implementation consistent with Chapter 68 safeguards.</w:t>
      </w:r>
    </w:p>
    <w:p>
      <w:pPr>
        <w:pStyle w:val="Normal"/>
        <w:widowControl/>
        <w:rPr/>
      </w:pPr>
      <w:r>
        <w:rPr>
          <w:b w:val="false"/>
        </w:rPr>
        <w:t>68-A.36. Satellite Imagery Integration (Detection and Alerts). Eligible for domestic or cooperative implementation consistent with Chapter 68 safeguards.</w:t>
      </w:r>
    </w:p>
    <w:p>
      <w:pPr>
        <w:pStyle w:val="Normal"/>
        <w:widowControl/>
        <w:rPr/>
      </w:pPr>
      <w:r>
        <w:rPr>
          <w:b w:val="false"/>
        </w:rPr>
        <w:t>68-A.37. Aerial Survey Integration (Detection and Alerts). Eligible for domestic or cooperative implementation consistent with Chapter 68 safeguards.</w:t>
      </w:r>
    </w:p>
    <w:p>
      <w:pPr>
        <w:pStyle w:val="Normal"/>
        <w:widowControl/>
        <w:rPr/>
      </w:pPr>
      <w:r>
        <w:rPr>
          <w:b w:val="false"/>
        </w:rPr>
        <w:t>68-A.38. Drone Survey Protocols (Detection and Alerts). Eligible for domestic or cooperative implementation consistent with Chapter 68 safeguards.</w:t>
      </w:r>
    </w:p>
    <w:p>
      <w:pPr>
        <w:pStyle w:val="Normal"/>
        <w:widowControl/>
        <w:rPr/>
      </w:pPr>
      <w:r>
        <w:rPr>
          <w:b w:val="false"/>
        </w:rPr>
        <w:t>68-A.39. Photo-Identification Federation (Detection and Alerts). Eligible for domestic or cooperative implementation consistent with Chapter 68 safeguards.</w:t>
      </w:r>
    </w:p>
    <w:p>
      <w:pPr>
        <w:pStyle w:val="Normal"/>
        <w:widowControl/>
        <w:rPr/>
      </w:pPr>
      <w:r>
        <w:rPr>
          <w:b w:val="false"/>
        </w:rPr>
        <w:t>68-A.40. Telemetry Data Integration (Detection and Alerts). Eligible for domestic or cooperative implementation consistent with Chapter 68 safeguards.</w:t>
      </w:r>
    </w:p>
    <w:p>
      <w:pPr>
        <w:pStyle w:val="Normal"/>
        <w:widowControl/>
        <w:rPr/>
      </w:pPr>
      <w:r>
        <w:rPr>
          <w:b w:val="false"/>
        </w:rPr>
        <w:t>68-A.41. Detection-To-Alert Latency Standard (Detection and Alerts). Eligible for domestic or cooperative implementation consistent with Chapter 68 safeguards.</w:t>
      </w:r>
    </w:p>
    <w:p>
      <w:pPr>
        <w:pStyle w:val="Normal"/>
        <w:widowControl/>
        <w:rPr/>
      </w:pPr>
      <w:r>
        <w:rPr>
          <w:b w:val="false"/>
        </w:rPr>
        <w:t>68-A.42. False-Alarm Management (Detection and Alerts). Eligible for domestic or cooperative implementation consistent with Chapter 68 safeguards.</w:t>
      </w:r>
    </w:p>
    <w:p>
      <w:pPr>
        <w:pStyle w:val="Normal"/>
        <w:widowControl/>
        <w:rPr/>
      </w:pPr>
      <w:r>
        <w:rPr>
          <w:b w:val="false"/>
        </w:rPr>
        <w:t>68-A.43. Detection-Probability Correction (Detection and Alerts). Eligible for domestic or cooperative implementation consistent with Chapter 68 safeguards.</w:t>
      </w:r>
    </w:p>
    <w:p>
      <w:pPr>
        <w:pStyle w:val="Normal"/>
        <w:widowControl/>
        <w:rPr/>
      </w:pPr>
      <w:r>
        <w:rPr>
          <w:b w:val="false"/>
        </w:rPr>
        <w:t>68-A.44. Whale-Presence Forecasting (Detection and Alerts). Eligible for domestic or cooperative implementation consistent with Chapter 68 safeguards.</w:t>
      </w:r>
    </w:p>
    <w:p>
      <w:pPr>
        <w:pStyle w:val="Normal"/>
        <w:widowControl/>
        <w:rPr/>
      </w:pPr>
      <w:r>
        <w:rPr>
          <w:b w:val="false"/>
        </w:rPr>
        <w:t>68-A.45. Mariner Subscription Alerts (Detection and Alerts). Eligible for domestic or cooperative implementation consistent with Chapter 68 safeguards.</w:t>
      </w:r>
    </w:p>
    <w:p>
      <w:pPr>
        <w:pStyle w:val="Normal"/>
        <w:widowControl/>
        <w:rPr/>
      </w:pPr>
      <w:r>
        <w:rPr>
          <w:b w:val="false"/>
        </w:rPr>
        <w:t>68-A.46. Regional Stranding Networks (Rescue and Health). Eligible for domestic or cooperative implementation consistent with Chapter 68 safeguards.</w:t>
      </w:r>
    </w:p>
    <w:p>
      <w:pPr>
        <w:pStyle w:val="Normal"/>
        <w:widowControl/>
        <w:rPr/>
      </w:pPr>
      <w:r>
        <w:rPr>
          <w:b w:val="false"/>
        </w:rPr>
        <w:t>68-A.47. Large-Whale Disentanglement Teams (Rescue and Health). Eligible for domestic or cooperative implementation consistent with Chapter 68 safeguards.</w:t>
      </w:r>
    </w:p>
    <w:p>
      <w:pPr>
        <w:pStyle w:val="Normal"/>
        <w:widowControl/>
        <w:rPr/>
      </w:pPr>
      <w:r>
        <w:rPr>
          <w:b w:val="false"/>
        </w:rPr>
        <w:t>68-A.48. Response Equipment Caches (Rescue and Health). Eligible for domestic or cooperative implementation consistent with Chapter 68 safeguards.</w:t>
      </w:r>
    </w:p>
    <w:p>
      <w:pPr>
        <w:pStyle w:val="Normal"/>
        <w:widowControl/>
        <w:rPr/>
      </w:pPr>
      <w:r>
        <w:rPr>
          <w:b w:val="false"/>
        </w:rPr>
        <w:t>68-A.49. Cross-Border Emergency Assistance (Rescue and Health). Eligible for domestic or cooperative implementation consistent with Chapter 68 safeguards.</w:t>
      </w:r>
    </w:p>
    <w:p>
      <w:pPr>
        <w:pStyle w:val="Normal"/>
        <w:widowControl/>
        <w:rPr/>
      </w:pPr>
      <w:r>
        <w:rPr>
          <w:b w:val="false"/>
        </w:rPr>
        <w:t>68-A.50. Responder Safety Standards (Rescue and Health). Eligible for domestic or cooperative implementation consistent with Chapter 68 safeguards.</w:t>
      </w:r>
    </w:p>
    <w:p>
      <w:pPr>
        <w:pStyle w:val="Normal"/>
        <w:widowControl/>
        <w:rPr/>
      </w:pPr>
      <w:r>
        <w:rPr>
          <w:b w:val="false"/>
        </w:rPr>
        <w:t>68-A.51. Veterinary Teleconsultation (Rescue and Health). Eligible for domestic or cooperative implementation consistent with Chapter 68 safeguards.</w:t>
      </w:r>
    </w:p>
    <w:p>
      <w:pPr>
        <w:pStyle w:val="Normal"/>
        <w:widowControl/>
        <w:rPr/>
      </w:pPr>
      <w:r>
        <w:rPr>
          <w:b w:val="false"/>
        </w:rPr>
        <w:t>68-A.52. Marine-Mammal Clinical Network (Rescue and Health). Eligible for domestic or cooperative implementation consistent with Chapter 68 safeguards.</w:t>
      </w:r>
    </w:p>
    <w:p>
      <w:pPr>
        <w:pStyle w:val="Normal"/>
        <w:widowControl/>
        <w:rPr/>
      </w:pPr>
      <w:r>
        <w:rPr>
          <w:b w:val="false"/>
        </w:rPr>
        <w:t>68-A.53. Necropsy Protocols (Rescue and Health). Eligible for domestic or cooperative implementation consistent with Chapter 68 safeguards.</w:t>
      </w:r>
    </w:p>
    <w:p>
      <w:pPr>
        <w:pStyle w:val="Normal"/>
        <w:widowControl/>
        <w:rPr/>
      </w:pPr>
      <w:r>
        <w:rPr>
          <w:b w:val="false"/>
        </w:rPr>
        <w:t>68-A.54. Tissue And Pathology Archives (Rescue and Health). Eligible for domestic or cooperative implementation consistent with Chapter 68 safeguards.</w:t>
      </w:r>
    </w:p>
    <w:p>
      <w:pPr>
        <w:pStyle w:val="Normal"/>
        <w:widowControl/>
        <w:rPr/>
      </w:pPr>
      <w:r>
        <w:rPr>
          <w:b w:val="false"/>
        </w:rPr>
        <w:t>68-A.55. Cause-Of-Death Attribution (Rescue and Health). Eligible for domestic or cooperative implementation consistent with Chapter 68 safeguards.</w:t>
      </w:r>
    </w:p>
    <w:p>
      <w:pPr>
        <w:pStyle w:val="Normal"/>
        <w:widowControl/>
        <w:rPr/>
      </w:pPr>
      <w:r>
        <w:rPr>
          <w:b w:val="false"/>
        </w:rPr>
        <w:t>68-A.56. Serious-Injury Determination (Rescue and Health). Eligible for domestic or cooperative implementation consistent with Chapter 68 safeguards.</w:t>
      </w:r>
    </w:p>
    <w:p>
      <w:pPr>
        <w:pStyle w:val="Normal"/>
        <w:widowControl/>
        <w:rPr/>
      </w:pPr>
      <w:r>
        <w:rPr>
          <w:b w:val="false"/>
        </w:rPr>
        <w:t>68-A.57. Carcass Detection And Recovery (Rescue and Health). Eligible for domestic or cooperative implementation consistent with Chapter 68 safeguards.</w:t>
      </w:r>
    </w:p>
    <w:p>
      <w:pPr>
        <w:pStyle w:val="Normal"/>
        <w:widowControl/>
        <w:rPr/>
      </w:pPr>
      <w:r>
        <w:rPr>
          <w:b w:val="false"/>
        </w:rPr>
        <w:t>68-A.58. Carcass Forensics (Rescue and Health). Eligible for domestic or cooperative implementation consistent with Chapter 68 safeguards.</w:t>
      </w:r>
    </w:p>
    <w:p>
      <w:pPr>
        <w:pStyle w:val="Normal"/>
        <w:widowControl/>
        <w:rPr/>
      </w:pPr>
      <w:r>
        <w:rPr>
          <w:b w:val="false"/>
        </w:rPr>
        <w:t>68-A.59. Health-Index Monitoring (Rescue and Health). Eligible for domestic or cooperative implementation consistent with Chapter 68 safeguards.</w:t>
      </w:r>
    </w:p>
    <w:p>
      <w:pPr>
        <w:pStyle w:val="Normal"/>
        <w:widowControl/>
        <w:rPr/>
      </w:pPr>
      <w:r>
        <w:rPr>
          <w:b w:val="false"/>
        </w:rPr>
        <w:t>68-A.60. Body-Condition Photogrammetry (Rescue and Health). Eligible for domestic or cooperative implementation consistent with Chapter 68 safeguards.</w:t>
      </w:r>
    </w:p>
    <w:p>
      <w:pPr>
        <w:pStyle w:val="Normal"/>
        <w:widowControl/>
        <w:rPr/>
      </w:pPr>
      <w:r>
        <w:rPr>
          <w:b w:val="false"/>
        </w:rPr>
        <w:t>68-A.61. Disease Surveillance (Rescue and Health). Eligible for domestic or cooperative implementation consistent with Chapter 68 safeguards.</w:t>
      </w:r>
    </w:p>
    <w:p>
      <w:pPr>
        <w:pStyle w:val="Normal"/>
        <w:widowControl/>
        <w:rPr/>
      </w:pPr>
      <w:r>
        <w:rPr>
          <w:b w:val="false"/>
        </w:rPr>
        <w:t>68-A.62. Captive-Cetacean Census (Captive Welfare and Sanctuary). Eligible for domestic or cooperative implementation consistent with Chapter 68 safeguards.</w:t>
      </w:r>
    </w:p>
    <w:p>
      <w:pPr>
        <w:pStyle w:val="Normal"/>
        <w:widowControl/>
        <w:rPr/>
      </w:pPr>
      <w:r>
        <w:rPr>
          <w:b w:val="false"/>
        </w:rPr>
        <w:t>68-A.63. Baseline Care Standards (Captive Welfare and Sanctuary). Eligible for domestic or cooperative implementation consistent with Chapter 68 safeguards.</w:t>
      </w:r>
    </w:p>
    <w:p>
      <w:pPr>
        <w:pStyle w:val="Normal"/>
        <w:widowControl/>
        <w:rPr/>
      </w:pPr>
      <w:r>
        <w:rPr>
          <w:b w:val="false"/>
        </w:rPr>
        <w:t>68-A.64. Independent Welfare Inspection (Captive Welfare and Sanctuary). Eligible for domestic or cooperative implementation consistent with Chapter 68 safeguards.</w:t>
      </w:r>
    </w:p>
    <w:p>
      <w:pPr>
        <w:pStyle w:val="Normal"/>
        <w:widowControl/>
        <w:rPr/>
      </w:pPr>
      <w:r>
        <w:rPr>
          <w:b w:val="false"/>
        </w:rPr>
        <w:t>68-A.65. Water-Quality Monitoring (Captive Welfare and Sanctuary). Eligible for domestic or cooperative implementation consistent with Chapter 68 safeguards.</w:t>
      </w:r>
    </w:p>
    <w:p>
      <w:pPr>
        <w:pStyle w:val="Normal"/>
        <w:widowControl/>
        <w:rPr/>
      </w:pPr>
      <w:r>
        <w:rPr>
          <w:b w:val="false"/>
        </w:rPr>
        <w:t>68-A.66. Nutrition And Feeding Review (Captive Welfare and Sanctuary). Eligible for domestic or cooperative implementation consistent with Chapter 68 safeguards.</w:t>
      </w:r>
    </w:p>
    <w:p>
      <w:pPr>
        <w:pStyle w:val="Normal"/>
        <w:widowControl/>
        <w:rPr/>
      </w:pPr>
      <w:r>
        <w:rPr>
          <w:b w:val="false"/>
        </w:rPr>
        <w:t>68-A.67. Social-Group Compatibility Review (Captive Welfare and Sanctuary). Eligible for domestic or cooperative implementation consistent with Chapter 68 safeguards.</w:t>
      </w:r>
    </w:p>
    <w:p>
      <w:pPr>
        <w:pStyle w:val="Normal"/>
        <w:widowControl/>
        <w:rPr/>
      </w:pPr>
      <w:r>
        <w:rPr>
          <w:b w:val="false"/>
        </w:rPr>
        <w:t>68-A.68. Environmental Enrichment (Captive Welfare and Sanctuary). Eligible for domestic or cooperative implementation consistent with Chapter 68 safeguards.</w:t>
      </w:r>
    </w:p>
    <w:p>
      <w:pPr>
        <w:pStyle w:val="Normal"/>
        <w:widowControl/>
        <w:rPr/>
      </w:pPr>
      <w:r>
        <w:rPr>
          <w:b w:val="false"/>
        </w:rPr>
        <w:t>68-A.69. Emergency Care Planning (Captive Welfare and Sanctuary). Eligible for domestic or cooperative implementation consistent with Chapter 68 safeguards.</w:t>
      </w:r>
    </w:p>
    <w:p>
      <w:pPr>
        <w:pStyle w:val="Normal"/>
        <w:widowControl/>
        <w:rPr/>
      </w:pPr>
      <w:r>
        <w:rPr>
          <w:b w:val="false"/>
        </w:rPr>
        <w:t>68-A.70. Transport Welfare Assessment (Captive Welfare and Sanctuary). Eligible for domestic or cooperative implementation consistent with Chapter 68 safeguards.</w:t>
      </w:r>
    </w:p>
    <w:p>
      <w:pPr>
        <w:pStyle w:val="Normal"/>
        <w:widowControl/>
        <w:rPr/>
      </w:pPr>
      <w:r>
        <w:rPr>
          <w:b w:val="false"/>
        </w:rPr>
        <w:t>68-A.71. Individual Legacy-Animal Care Plans (Captive Welfare and Sanctuary). Eligible for domestic or cooperative implementation consistent with Chapter 68 safeguards.</w:t>
      </w:r>
    </w:p>
    <w:p>
      <w:pPr>
        <w:pStyle w:val="Normal"/>
        <w:widowControl/>
        <w:rPr/>
      </w:pPr>
      <w:r>
        <w:rPr>
          <w:b w:val="false"/>
        </w:rPr>
        <w:t>68-A.72. Mortality And Serious-Incident Review (Captive Welfare and Sanctuary). Eligible for domestic or cooperative implementation consistent with Chapter 68 safeguards.</w:t>
      </w:r>
    </w:p>
    <w:p>
      <w:pPr>
        <w:pStyle w:val="Normal"/>
        <w:widowControl/>
        <w:rPr/>
      </w:pPr>
      <w:r>
        <w:rPr>
          <w:b w:val="false"/>
        </w:rPr>
        <w:t>68-A.73. Qualified Sanctuary Eligibility (Captive Welfare and Sanctuary). Eligible for domestic or cooperative implementation consistent with Chapter 68 safeguards.</w:t>
      </w:r>
    </w:p>
    <w:p>
      <w:pPr>
        <w:pStyle w:val="Normal"/>
        <w:widowControl/>
        <w:rPr/>
      </w:pPr>
      <w:r>
        <w:rPr>
          <w:b w:val="false"/>
        </w:rPr>
        <w:t>68-A.74. Sanctuary Veterinary Standards (Captive Welfare and Sanctuary). Eligible for domestic or cooperative implementation consistent with Chapter 68 safeguards.</w:t>
      </w:r>
    </w:p>
    <w:p>
      <w:pPr>
        <w:pStyle w:val="Normal"/>
        <w:widowControl/>
        <w:rPr/>
      </w:pPr>
      <w:r>
        <w:rPr>
          <w:b w:val="false"/>
        </w:rPr>
        <w:t>68-A.75. Sanctuary Biosecurity (Captive Welfare and Sanctuary). Eligible for domestic or cooperative implementation consistent with Chapter 68 safeguards.</w:t>
      </w:r>
    </w:p>
    <w:p>
      <w:pPr>
        <w:pStyle w:val="Normal"/>
        <w:widowControl/>
        <w:rPr/>
      </w:pPr>
      <w:r>
        <w:rPr>
          <w:b w:val="false"/>
        </w:rPr>
        <w:t>68-A.76. Civilian Underwater-Noise Baseline (Noise and Quieting). Eligible for domestic or cooperative implementation consistent with Chapter 68 safeguards.</w:t>
      </w:r>
    </w:p>
    <w:p>
      <w:pPr>
        <w:pStyle w:val="Normal"/>
        <w:widowControl/>
        <w:rPr/>
      </w:pPr>
      <w:r>
        <w:rPr>
          <w:b w:val="false"/>
        </w:rPr>
        <w:t>68-A.77. Port Soundscape Monitoring (Noise and Quieting). Eligible for domestic or cooperative implementation consistent with Chapter 68 safeguards.</w:t>
      </w:r>
    </w:p>
    <w:p>
      <w:pPr>
        <w:pStyle w:val="Normal"/>
        <w:widowControl/>
        <w:rPr/>
      </w:pPr>
      <w:r>
        <w:rPr>
          <w:b w:val="false"/>
        </w:rPr>
        <w:t>68-A.78. Construction-Noise Mitigation (Noise and Quieting). Eligible for domestic or cooperative implementation consistent with Chapter 68 safeguards.</w:t>
      </w:r>
    </w:p>
    <w:p>
      <w:pPr>
        <w:pStyle w:val="Normal"/>
        <w:widowControl/>
        <w:rPr/>
      </w:pPr>
      <w:r>
        <w:rPr>
          <w:b w:val="false"/>
        </w:rPr>
        <w:t>68-A.79. Pile-Driving Mitigation (Noise and Quieting). Eligible for domestic or cooperative implementation consistent with Chapter 68 safeguards.</w:t>
      </w:r>
    </w:p>
    <w:p>
      <w:pPr>
        <w:pStyle w:val="Normal"/>
        <w:widowControl/>
        <w:rPr/>
      </w:pPr>
      <w:r>
        <w:rPr>
          <w:b w:val="false"/>
        </w:rPr>
        <w:t>68-A.80. Dredging Acoustic Best Practices (Noise and Quieting). Eligible for domestic or cooperative implementation consistent with Chapter 68 safeguards.</w:t>
      </w:r>
    </w:p>
    <w:p>
      <w:pPr>
        <w:pStyle w:val="Normal"/>
        <w:widowControl/>
        <w:rPr/>
      </w:pPr>
      <w:r>
        <w:rPr>
          <w:b w:val="false"/>
        </w:rPr>
        <w:t>68-A.81. Seismic Survey Mitigation (Noise and Quieting). Eligible for domestic or cooperative implementation consistent with Chapter 68 safeguards.</w:t>
      </w:r>
    </w:p>
    <w:p>
      <w:pPr>
        <w:pStyle w:val="Normal"/>
        <w:widowControl/>
        <w:rPr/>
      </w:pPr>
      <w:r>
        <w:rPr>
          <w:b w:val="false"/>
        </w:rPr>
        <w:t>68-A.82. Quiet-Vessel Design Guidance (Noise and Quieting). Eligible for domestic or cooperative implementation consistent with Chapter 68 safeguards.</w:t>
      </w:r>
    </w:p>
    <w:p>
      <w:pPr>
        <w:pStyle w:val="Normal"/>
        <w:widowControl/>
        <w:rPr/>
      </w:pPr>
      <w:r>
        <w:rPr>
          <w:b w:val="false"/>
        </w:rPr>
        <w:t>68-A.83. Propeller And Hull Retrofit Incentives (Noise and Quieting). Eligible for domestic or cooperative implementation consistent with Chapter 68 safeguards.</w:t>
      </w:r>
    </w:p>
    <w:p>
      <w:pPr>
        <w:pStyle w:val="Normal"/>
        <w:widowControl/>
        <w:rPr/>
      </w:pPr>
      <w:r>
        <w:rPr>
          <w:b w:val="false"/>
        </w:rPr>
        <w:t>68-A.84. Cavitation-Reduction Practices (Noise and Quieting). Eligible for domestic or cooperative implementation consistent with Chapter 68 safeguards.</w:t>
      </w:r>
    </w:p>
    <w:p>
      <w:pPr>
        <w:pStyle w:val="Normal"/>
        <w:widowControl/>
        <w:rPr/>
      </w:pPr>
      <w:r>
        <w:rPr>
          <w:b w:val="false"/>
        </w:rPr>
        <w:t>68-A.85. Maintenance-For-Quietness Programs (Noise and Quieting). Eligible for domestic or cooperative implementation consistent with Chapter 68 safeguards.</w:t>
      </w:r>
    </w:p>
    <w:p>
      <w:pPr>
        <w:pStyle w:val="Normal"/>
        <w:widowControl/>
        <w:rPr/>
      </w:pPr>
      <w:r>
        <w:rPr>
          <w:b w:val="false"/>
        </w:rPr>
        <w:t>68-A.86. Quiet-Ferry Demonstration (Noise and Quieting). Eligible for domestic or cooperative implementation consistent with Chapter 68 safeguards.</w:t>
      </w:r>
    </w:p>
    <w:p>
      <w:pPr>
        <w:pStyle w:val="Normal"/>
        <w:widowControl/>
        <w:rPr/>
      </w:pPr>
      <w:r>
        <w:rPr>
          <w:b w:val="false"/>
        </w:rPr>
        <w:t>68-A.87. Quiet-Tour-Vessel Certification (Noise and Quieting). Eligible for domestic or cooperative implementation consistent with Chapter 68 safeguards.</w:t>
      </w:r>
    </w:p>
    <w:p>
      <w:pPr>
        <w:pStyle w:val="Normal"/>
        <w:widowControl/>
        <w:rPr/>
      </w:pPr>
      <w:r>
        <w:rPr>
          <w:b w:val="false"/>
        </w:rPr>
        <w:t>68-A.88. Green-Shipping-Corridor Whale Clauses (Noise and Quieting). Eligible for domestic or cooperative implementation consistent with Chapter 68 safeguards.</w:t>
      </w:r>
    </w:p>
    <w:p>
      <w:pPr>
        <w:pStyle w:val="Normal"/>
        <w:widowControl/>
        <w:rPr/>
      </w:pPr>
      <w:r>
        <w:rPr>
          <w:b w:val="false"/>
        </w:rPr>
        <w:t>68-A.89. Shore-Power Noise Co-Benefits (Noise and Quieting). Eligible for domestic or cooperative implementation consistent with Chapter 68 safeguards.</w:t>
      </w:r>
    </w:p>
    <w:p>
      <w:pPr>
        <w:pStyle w:val="Normal"/>
        <w:widowControl/>
        <w:rPr/>
      </w:pPr>
      <w:r>
        <w:rPr>
          <w:b w:val="false"/>
        </w:rPr>
        <w:t>68-A.90. Critical-Habitat Science Coordination (Ecosystem and Habitat). Eligible for domestic or cooperative implementation consistent with Chapter 68 safeguards.</w:t>
      </w:r>
    </w:p>
    <w:p>
      <w:pPr>
        <w:pStyle w:val="Normal"/>
        <w:widowControl/>
        <w:rPr/>
      </w:pPr>
      <w:r>
        <w:rPr>
          <w:b w:val="false"/>
        </w:rPr>
        <w:t>68-A.91. Recovery-Corridor Mapping (Ecosystem and Habitat). Eligible for domestic or cooperative implementation consistent with Chapter 68 safeguards.</w:t>
      </w:r>
    </w:p>
    <w:p>
      <w:pPr>
        <w:pStyle w:val="Normal"/>
        <w:widowControl/>
        <w:rPr/>
      </w:pPr>
      <w:r>
        <w:rPr>
          <w:b w:val="false"/>
        </w:rPr>
        <w:t>68-A.92. Climate-Refugia Identification (Ecosystem and Habitat). Eligible for domestic or cooperative implementation consistent with Chapter 68 safeguards.</w:t>
      </w:r>
    </w:p>
    <w:p>
      <w:pPr>
        <w:pStyle w:val="Normal"/>
        <w:widowControl/>
        <w:rPr/>
      </w:pPr>
      <w:r>
        <w:rPr>
          <w:b w:val="false"/>
        </w:rPr>
        <w:t>68-A.93. Marine Protected Area Effectiveness Review (Ecosystem and Habitat). Eligible for domestic or cooperative implementation consistent with Chapter 68 safeguards.</w:t>
      </w:r>
    </w:p>
    <w:p>
      <w:pPr>
        <w:pStyle w:val="Normal"/>
        <w:widowControl/>
        <w:rPr/>
      </w:pPr>
      <w:r>
        <w:rPr>
          <w:b w:val="false"/>
        </w:rPr>
        <w:t>68-A.94. Contaminant Burden Monitoring (Ecosystem and Habitat). Eligible for domestic or cooperative implementation consistent with Chapter 68 safeguards.</w:t>
      </w:r>
    </w:p>
    <w:p>
      <w:pPr>
        <w:pStyle w:val="Normal"/>
        <w:widowControl/>
        <w:rPr/>
      </w:pPr>
      <w:r>
        <w:rPr>
          <w:b w:val="false"/>
        </w:rPr>
        <w:t>68-A.95. Pcb Source Reduction Cooperation (Ecosystem and Habitat). Eligible for domestic or cooperative implementation consistent with Chapter 68 safeguards.</w:t>
      </w:r>
    </w:p>
    <w:p>
      <w:pPr>
        <w:pStyle w:val="Normal"/>
        <w:widowControl/>
        <w:rPr/>
      </w:pPr>
      <w:r>
        <w:rPr>
          <w:b w:val="false"/>
        </w:rPr>
        <w:t>68-A.96. Pfas Source Research And Control Cooperation (Ecosystem and Habitat). Eligible for domestic or cooperative implementation consistent with Chapter 68 safeguards.</w:t>
      </w:r>
    </w:p>
    <w:p>
      <w:pPr>
        <w:pStyle w:val="Normal"/>
        <w:widowControl/>
        <w:rPr/>
      </w:pPr>
      <w:r>
        <w:rPr>
          <w:b w:val="false"/>
        </w:rPr>
        <w:t>68-A.97. Stormwater And Wastewater Co-Benefit Projects (Ecosystem and Habitat). Eligible for domestic or cooperative implementation consistent with Chapter 68 safeguards.</w:t>
      </w:r>
    </w:p>
    <w:p>
      <w:pPr>
        <w:pStyle w:val="Normal"/>
        <w:widowControl/>
        <w:rPr/>
      </w:pPr>
      <w:r>
        <w:rPr>
          <w:b w:val="false"/>
        </w:rPr>
        <w:t>68-A.98. Plastic And Pellet-Loss Reduction (Ecosystem and Habitat). Eligible for domestic or cooperative implementation consistent with Chapter 68 safeguards.</w:t>
      </w:r>
    </w:p>
    <w:p>
      <w:pPr>
        <w:pStyle w:val="Normal"/>
        <w:widowControl/>
        <w:rPr/>
      </w:pPr>
      <w:r>
        <w:rPr>
          <w:b w:val="false"/>
        </w:rPr>
        <w:t>68-A.99. Harmful-Algal-Bloom Monitoring (Ecosystem and Habitat). Eligible for domestic or cooperative implementation consistent with Chapter 68 safeguards.</w:t>
      </w:r>
    </w:p>
    <w:p>
      <w:pPr>
        <w:pStyle w:val="Normal"/>
        <w:widowControl/>
        <w:rPr/>
      </w:pPr>
      <w:r>
        <w:rPr>
          <w:b w:val="false"/>
        </w:rPr>
        <w:t>68-A.100. Prey-Stock Monitoring (Ecosystem and Habitat). Eligible for domestic or cooperative implementation consistent with Chapter 68 safeguards.</w:t>
      </w:r>
    </w:p>
    <w:p>
      <w:pPr>
        <w:pStyle w:val="Normal"/>
        <w:widowControl/>
        <w:rPr/>
      </w:pPr>
      <w:r>
        <w:rPr>
          <w:b w:val="false"/>
        </w:rPr>
        <w:t>68-A.101. Forage-Fish Ecosystem Assessment (Ecosystem and Habitat). Eligible for domestic or cooperative implementation consistent with Chapter 68 safeguards.</w:t>
      </w:r>
    </w:p>
    <w:p>
      <w:pPr>
        <w:pStyle w:val="Normal"/>
        <w:widowControl/>
        <w:rPr/>
      </w:pPr>
      <w:r>
        <w:rPr>
          <w:b w:val="false"/>
        </w:rPr>
        <w:t>68-A.102. Salmon Habitat Restoration Linkage (Ecosystem and Habitat). Eligible for domestic or cooperative implementation consistent with Chapter 68 safeguards.</w:t>
      </w:r>
    </w:p>
    <w:p>
      <w:pPr>
        <w:pStyle w:val="Normal"/>
        <w:widowControl/>
        <w:rPr/>
      </w:pPr>
      <w:r>
        <w:rPr>
          <w:b w:val="false"/>
        </w:rPr>
        <w:t>68-A.103. Estuary And Eelgrass Restoration (Ecosystem and Habitat). Eligible for domestic or cooperative implementation consistent with Chapter 68 safeguards.</w:t>
      </w:r>
    </w:p>
    <w:p>
      <w:pPr>
        <w:pStyle w:val="Normal"/>
        <w:widowControl/>
        <w:rPr/>
      </w:pPr>
      <w:r>
        <w:rPr>
          <w:b w:val="false"/>
        </w:rPr>
        <w:t>68-A.104. Marine-Heatwave Response Planning (Ecosystem and Habitat). Eligible for domestic or cooperative implementation consistent with Chapter 68 safeguards.</w:t>
      </w:r>
    </w:p>
    <w:p>
      <w:pPr>
        <w:pStyle w:val="Normal"/>
        <w:widowControl/>
        <w:rPr/>
      </w:pPr>
      <w:r>
        <w:rPr>
          <w:b w:val="false"/>
        </w:rPr>
        <w:t>68-A.105. Range-Shift Early Warning (Ecosystem and Habitat). Eligible for domestic or cooperative implementation consistent with Chapter 68 safeguards.</w:t>
      </w:r>
    </w:p>
    <w:p>
      <w:pPr>
        <w:pStyle w:val="Normal"/>
        <w:widowControl/>
        <w:rPr/>
      </w:pPr>
      <w:r>
        <w:rPr>
          <w:b w:val="false"/>
        </w:rPr>
        <w:t>68-A.106. Whale-Safe Port Design Guidance (Ports Offshore and Communities). Eligible for domestic or cooperative implementation consistent with Chapter 68 safeguards.</w:t>
      </w:r>
    </w:p>
    <w:p>
      <w:pPr>
        <w:pStyle w:val="Normal"/>
        <w:widowControl/>
        <w:rPr/>
      </w:pPr>
      <w:r>
        <w:rPr>
          <w:b w:val="false"/>
        </w:rPr>
        <w:t>68-A.107. Port Expansion Cetacean Assessment (Ports Offshore and Communities). Eligible for domestic or cooperative implementation consistent with Chapter 68 safeguards.</w:t>
      </w:r>
    </w:p>
    <w:p>
      <w:pPr>
        <w:pStyle w:val="Normal"/>
        <w:widowControl/>
        <w:rPr/>
      </w:pPr>
      <w:r>
        <w:rPr>
          <w:b w:val="false"/>
        </w:rPr>
        <w:t>68-A.108. Terminal Acoustic Engineering (Ports Offshore and Communities). Eligible for domestic or cooperative implementation consistent with Chapter 68 safeguards.</w:t>
      </w:r>
    </w:p>
    <w:p>
      <w:pPr>
        <w:pStyle w:val="Normal"/>
        <w:widowControl/>
        <w:rPr/>
      </w:pPr>
      <w:r>
        <w:rPr>
          <w:b w:val="false"/>
        </w:rPr>
        <w:t>68-A.109. Dredging Windows (Ports Offshore and Communities). Eligible for domestic or cooperative implementation consistent with Chapter 68 safeguards.</w:t>
      </w:r>
    </w:p>
    <w:p>
      <w:pPr>
        <w:pStyle w:val="Normal"/>
        <w:widowControl/>
        <w:rPr/>
      </w:pPr>
      <w:r>
        <w:rPr>
          <w:b w:val="false"/>
        </w:rPr>
        <w:t>68-A.110. Cable-Landing Best Practices (Ports Offshore and Communities). Eligible for domestic or cooperative implementation consistent with Chapter 68 safeguards.</w:t>
      </w:r>
    </w:p>
    <w:p>
      <w:pPr>
        <w:pStyle w:val="Normal"/>
        <w:widowControl/>
        <w:rPr/>
      </w:pPr>
      <w:r>
        <w:rPr>
          <w:b w:val="false"/>
        </w:rPr>
        <w:t>68-A.111. Offshore-Energy Wildlife Monitoring (Ports Offshore and Communities). Eligible for domestic or cooperative implementation consistent with Chapter 68 safeguards.</w:t>
      </w:r>
    </w:p>
    <w:p>
      <w:pPr>
        <w:pStyle w:val="Normal"/>
        <w:widowControl/>
        <w:rPr/>
      </w:pPr>
      <w:r>
        <w:rPr>
          <w:b w:val="false"/>
        </w:rPr>
        <w:t>68-A.112. Construction-Window Planning (Ports Offshore and Communities). Eligible for domestic or cooperative implementation consistent with Chapter 68 safeguards.</w:t>
      </w:r>
    </w:p>
    <w:p>
      <w:pPr>
        <w:pStyle w:val="Normal"/>
        <w:widowControl/>
        <w:rPr/>
      </w:pPr>
      <w:r>
        <w:rPr>
          <w:b w:val="false"/>
        </w:rPr>
        <w:t>68-A.113. Coastal-Development Guidance (Ports Offshore and Communities). Eligible for domestic or cooperative implementation consistent with Chapter 68 safeguards.</w:t>
      </w:r>
    </w:p>
    <w:p>
      <w:pPr>
        <w:pStyle w:val="Normal"/>
        <w:widowControl/>
        <w:rPr/>
      </w:pPr>
      <w:r>
        <w:rPr>
          <w:b w:val="false"/>
        </w:rPr>
        <w:t>68-A.114. Small-Craft Harbour Quiet Zones (Ports Offshore and Communities). Eligible for domestic or cooperative implementation consistent with Chapter 68 safeguards.</w:t>
      </w:r>
    </w:p>
    <w:p>
      <w:pPr>
        <w:pStyle w:val="Normal"/>
        <w:widowControl/>
        <w:rPr/>
      </w:pPr>
      <w:r>
        <w:rPr>
          <w:b w:val="false"/>
        </w:rPr>
        <w:t>68-A.115. Community Stewardship Partnerships (Ports Offshore and Communities). Eligible for domestic or cooperative implementation consistent with Chapter 68 safeguards.</w:t>
      </w:r>
    </w:p>
    <w:p>
      <w:pPr>
        <w:pStyle w:val="Normal"/>
        <w:widowControl/>
        <w:rPr/>
      </w:pPr>
      <w:r>
        <w:rPr>
          <w:b w:val="false"/>
        </w:rPr>
        <w:t>68-A.116. Whale-Safe Tourism Certification (Ports Offshore and Communities). Eligible for domestic or cooperative implementation consistent with Chapter 68 safeguards.</w:t>
      </w:r>
    </w:p>
    <w:p>
      <w:pPr>
        <w:pStyle w:val="Normal"/>
        <w:widowControl/>
        <w:rPr/>
      </w:pPr>
      <w:r>
        <w:rPr>
          <w:b w:val="false"/>
        </w:rPr>
        <w:t>68-A.117. Tour-Operator Training (Ports Offshore and Communities). Eligible for domestic or cooperative implementation consistent with Chapter 68 safeguards.</w:t>
      </w:r>
    </w:p>
    <w:p>
      <w:pPr>
        <w:pStyle w:val="Normal"/>
        <w:widowControl/>
        <w:rPr/>
      </w:pPr>
      <w:r>
        <w:rPr>
          <w:b w:val="false"/>
        </w:rPr>
        <w:t>68-A.118. Indigenous Guardian Support (Ports Offshore and Communities). Eligible for domestic or cooperative implementation consistent with Chapter 68 safeguards.</w:t>
      </w:r>
    </w:p>
    <w:p>
      <w:pPr>
        <w:pStyle w:val="Normal"/>
        <w:widowControl/>
        <w:rPr/>
      </w:pPr>
      <w:r>
        <w:rPr>
          <w:b w:val="false"/>
        </w:rPr>
        <w:t>68-A.119. Indigenous Hydrophone Programs (Ports Offshore and Communities). Eligible for domestic or cooperative implementation consistent with Chapter 68 safeguards.</w:t>
      </w:r>
    </w:p>
    <w:p>
      <w:pPr>
        <w:pStyle w:val="Normal"/>
        <w:widowControl/>
        <w:rPr/>
      </w:pPr>
      <w:r>
        <w:rPr>
          <w:b w:val="false"/>
        </w:rPr>
        <w:t>68-A.120. Standardized Research Metadata (Science Governance and Enforcement). Eligible for domestic or cooperative implementation consistent with Chapter 68 safeguards.</w:t>
      </w:r>
    </w:p>
    <w:p>
      <w:pPr>
        <w:pStyle w:val="Normal"/>
        <w:widowControl/>
        <w:rPr/>
      </w:pPr>
      <w:r>
        <w:rPr>
          <w:b w:val="false"/>
        </w:rPr>
        <w:t>68-A.121. Cross-Border Research Permit Coordination (Science Governance and Enforcement). Eligible for domestic or cooperative implementation consistent with Chapter 68 safeguards.</w:t>
      </w:r>
    </w:p>
    <w:p>
      <w:pPr>
        <w:pStyle w:val="Normal"/>
        <w:widowControl/>
        <w:rPr/>
      </w:pPr>
      <w:r>
        <w:rPr>
          <w:b w:val="false"/>
        </w:rPr>
        <w:t>68-A.122. Population-Model Federation (Science Governance and Enforcement). Eligible for domestic or cooperative implementation consistent with Chapter 68 safeguards.</w:t>
      </w:r>
    </w:p>
    <w:p>
      <w:pPr>
        <w:pStyle w:val="Normal"/>
        <w:widowControl/>
        <w:rPr/>
      </w:pPr>
      <w:r>
        <w:rPr>
          <w:b w:val="false"/>
        </w:rPr>
        <w:t>68-A.123. Population Viability Analysis (Science Governance and Enforcement). Eligible for domestic or cooperative implementation consistent with Chapter 68 safeguards.</w:t>
      </w:r>
    </w:p>
    <w:p>
      <w:pPr>
        <w:pStyle w:val="Normal"/>
        <w:widowControl/>
        <w:rPr/>
      </w:pPr>
      <w:r>
        <w:rPr>
          <w:b w:val="false"/>
        </w:rPr>
        <w:t>68-A.124. Calf-Production Sentinel Metric (Science Governance and Enforcement). Eligible for domestic or cooperative implementation consistent with Chapter 68 safeguards.</w:t>
      </w:r>
    </w:p>
    <w:p>
      <w:pPr>
        <w:pStyle w:val="Normal"/>
        <w:widowControl/>
        <w:rPr/>
      </w:pPr>
      <w:r>
        <w:rPr>
          <w:b w:val="false"/>
        </w:rPr>
        <w:t>68-A.125. Adult-Female Survival Metric (Science Governance and Enforcement). Eligible for domestic or cooperative implementation consistent with Chapter 68 safeguards.</w:t>
      </w:r>
    </w:p>
    <w:p>
      <w:pPr>
        <w:pStyle w:val="Normal"/>
        <w:widowControl/>
        <w:rPr/>
      </w:pPr>
      <w:r>
        <w:rPr>
          <w:b w:val="false"/>
        </w:rPr>
        <w:t>68-A.126. Counterfactual Management Evaluation (Science Governance and Enforcement). Eligible for domestic or cooperative implementation consistent with Chapter 68 safeguards.</w:t>
      </w:r>
    </w:p>
    <w:p>
      <w:pPr>
        <w:pStyle w:val="Normal"/>
        <w:widowControl/>
        <w:rPr/>
      </w:pPr>
      <w:r>
        <w:rPr>
          <w:b w:val="false"/>
        </w:rPr>
        <w:t>68-A.127. Effect-Size And Uncertainty Reporting (Science Governance and Enforcement). Eligible for domestic or cooperative implementation consistent with Chapter 68 safeguards.</w:t>
      </w:r>
    </w:p>
    <w:p>
      <w:pPr>
        <w:pStyle w:val="Normal"/>
        <w:widowControl/>
        <w:rPr/>
      </w:pPr>
      <w:r>
        <w:rPr>
          <w:b w:val="false"/>
        </w:rPr>
        <w:t>68-A.128. Replication And Robustness Program (Science Governance and Enforcement). Eligible for domestic or cooperative implementation consistent with Chapter 68 safeguards.</w:t>
      </w:r>
    </w:p>
    <w:p>
      <w:pPr>
        <w:pStyle w:val="Normal"/>
        <w:widowControl/>
        <w:rPr/>
      </w:pPr>
      <w:r>
        <w:rPr>
          <w:b w:val="false"/>
        </w:rPr>
        <w:t>68-A.129. Pre-Registration Of Major Evaluations (Science Governance and Enforcement). Eligible for domestic or cooperative implementation consistent with Chapter 68 safeguards.</w:t>
      </w:r>
    </w:p>
    <w:p>
      <w:pPr>
        <w:pStyle w:val="Normal"/>
        <w:widowControl/>
        <w:rPr/>
      </w:pPr>
      <w:r>
        <w:rPr>
          <w:b w:val="false"/>
        </w:rPr>
        <w:t>68-A.130. Independent Statistical Review (Science Governance and Enforcement). Eligible for domestic or cooperative implementation consistent with Chapter 68 safeguards.</w:t>
      </w:r>
    </w:p>
    <w:p>
      <w:pPr>
        <w:pStyle w:val="Normal"/>
        <w:widowControl/>
        <w:rPr/>
      </w:pPr>
      <w:r>
        <w:rPr>
          <w:b w:val="false"/>
        </w:rPr>
        <w:t>68-A.131. Open-Model Repository (Science Governance and Enforcement). Eligible for domestic or cooperative implementation consistent with Chapter 68 safeguards.</w:t>
      </w:r>
    </w:p>
    <w:p>
      <w:pPr>
        <w:pStyle w:val="Normal"/>
        <w:widowControl/>
        <w:rPr/>
      </w:pPr>
      <w:r>
        <w:rPr>
          <w:b w:val="false"/>
        </w:rPr>
        <w:t>68-A.132. Management-Strategy Evaluation (Science Governance and Enforcement). Eligible for domestic or cooperative implementation consistent with Chapter 68 safeguards.</w:t>
      </w:r>
    </w:p>
    <w:p>
      <w:pPr>
        <w:pStyle w:val="Normal"/>
        <w:widowControl/>
        <w:rPr/>
      </w:pPr>
      <w:r>
        <w:rPr>
          <w:b w:val="false"/>
        </w:rPr>
        <w:t>68-A.133. Threshold-And-Trigger Research (Science Governance and Enforcement). Eligible for domestic or cooperative implementation consistent with Chapter 68 safeguards.</w:t>
      </w:r>
    </w:p>
    <w:p>
      <w:pPr>
        <w:pStyle w:val="Normal"/>
        <w:widowControl/>
        <w:rPr/>
      </w:pPr>
      <w:r>
        <w:rPr>
          <w:b w:val="false"/>
        </w:rPr>
        <w:t>68-A.134. Annual Methodology Appendix (Science Governance and Enforcement). Eligible for domestic or cooperative implementation consistent with Chapter 68 safeguards.</w:t>
      </w:r>
    </w:p>
    <w:p>
      <w:pPr>
        <w:pStyle w:val="Normal"/>
        <w:widowControl/>
        <w:rPr/>
      </w:pPr>
      <w:r>
        <w:rPr>
          <w:b w:val="false"/>
        </w:rPr>
        <w:t>68-A.135. Recovery-Definition Standard (Science Governance and Enforcement). Eligible for domestic or cooperative implementation consistent with Chapter 68 safeguards.</w:t>
      </w:r>
    </w:p>
    <w:p>
      <w:pPr>
        <w:pStyle w:val="Normal"/>
        <w:widowControl/>
        <w:rPr/>
      </w:pPr>
      <w:r>
        <w:rPr>
          <w:b w:val="false"/>
        </w:rPr>
        <w:t>68-A.136. Failure-Transparency Reporting (Science Governance and Enforcement). Eligible for domestic or cooperative implementation consistent with Chapter 68 safeguards.</w:t>
      </w:r>
    </w:p>
    <w:p>
      <w:pPr>
        <w:pStyle w:val="Normal"/>
        <w:widowControl/>
        <w:rPr/>
      </w:pPr>
      <w:r>
        <w:rPr>
          <w:b w:val="false"/>
        </w:rPr>
        <w:t>68-A.137. Compliance Education (Science Governance and Enforcement). Eligible for domestic or cooperative implementation consistent with Chapter 68 safeguards.</w:t>
      </w:r>
    </w:p>
    <w:p>
      <w:pPr>
        <w:pStyle w:val="Normal"/>
        <w:widowControl/>
        <w:rPr/>
      </w:pPr>
      <w:r>
        <w:rPr>
          <w:b w:val="false"/>
        </w:rPr>
        <w:t>68-A.138. Proportionate Penalties (Science Governance and Enforcement). Eligible for domestic or cooperative implementation consistent with Chapter 68 safeguards.</w:t>
      </w:r>
    </w:p>
    <w:p>
      <w:pPr>
        <w:pStyle w:val="Normal"/>
        <w:widowControl/>
        <w:rPr/>
      </w:pPr>
      <w:r>
        <w:rPr>
          <w:b w:val="false"/>
        </w:rPr>
        <w:t>68-A.139. Enforcement Data Cooperation (Science Governance and Enforcement). Eligible for domestic or cooperative implementation consistent with Chapter 68 safeguards.</w:t>
      </w:r>
    </w:p>
    <w:p>
      <w:bookmarkStart w:id="2109" w:name="_NAESTMA_TOC_2109"/>
      <w:pPr>
        <w:pStyle w:val="Heading2"/>
        <w:keepNext/>
        <w:widowControl/>
        <w:rPr/>
      </w:pPr>
      <w:r>
        <w:rPr>
          <w:b w:val="false"/>
        </w:rPr>
        <w:t>ANNEX 68-B — INITIAL SPECIES, GEOGRAPHIC AND PROGRAM SCHEDULE (90 ACTIVE CANDIDATES)</w:t>
      </w:r>
      <w:bookmarkEnd w:id="2109"/>
    </w:p>
    <w:p>
      <w:pPr>
        <w:pStyle w:val="Normal"/>
        <w:widowControl/>
        <w:rPr/>
      </w:pPr>
      <w:r>
        <w:rPr>
          <w:b w:val="false"/>
        </w:rPr>
        <w:t>Schedule status is descriptive, not a guarantee of funding, project approval or biological outcome. Named programs shall proceed only through competent authorities and applicable legal, scientific, rights, environmental and budget processes.</w:t>
      </w:r>
    </w:p>
    <w:p>
      <w:pPr>
        <w:pStyle w:val="Normal"/>
        <w:widowControl/>
        <w:rPr/>
      </w:pPr>
      <w:r>
        <w:rPr>
          <w:b w:val="false"/>
        </w:rPr>
        <w:t>68-B.1. [FLAGSHIP] Great Whale Compact. Initial schedule candidate; status shall be verified under Annex 68-E before represented as a completed or funded achievement.</w:t>
      </w:r>
    </w:p>
    <w:p>
      <w:pPr>
        <w:pStyle w:val="Normal"/>
        <w:widowControl/>
        <w:rPr/>
      </w:pPr>
      <w:r>
        <w:rPr>
          <w:b w:val="false"/>
        </w:rPr>
        <w:t>68-B.2. [FLAGSHIP] Continental Listening Network. Initial schedule candidate; status shall be verified under Annex 68-E before represented as a completed or funded achievement.</w:t>
      </w:r>
    </w:p>
    <w:p>
      <w:pPr>
        <w:pStyle w:val="Normal"/>
        <w:widowControl/>
        <w:rPr/>
      </w:pPr>
      <w:r>
        <w:rPr>
          <w:b w:val="false"/>
        </w:rPr>
        <w:t>68-B.3. [FLAGSHIP] North Atlantic Right Whale Safe Passage. Initial schedule candidate; status shall be verified under Annex 68-E before represented as a completed or funded achievement.</w:t>
      </w:r>
    </w:p>
    <w:p>
      <w:pPr>
        <w:pStyle w:val="Normal"/>
        <w:widowControl/>
        <w:rPr/>
      </w:pPr>
      <w:r>
        <w:rPr>
          <w:b w:val="false"/>
        </w:rPr>
        <w:t>68-B.4. [FLAGSHIP] Untangled North America. Initial schedule candidate; status shall be verified under Annex 68-E before represented as a completed or funded achievement.</w:t>
      </w:r>
    </w:p>
    <w:p>
      <w:pPr>
        <w:pStyle w:val="Normal"/>
        <w:widowControl/>
        <w:rPr/>
      </w:pPr>
      <w:r>
        <w:rPr>
          <w:b w:val="false"/>
        </w:rPr>
        <w:t>68-B.5. [FLAGSHIP] Quiet Passage Corridors. Initial schedule candidate; status shall be verified under Annex 68-E before represented as a completed or funded achievement.</w:t>
      </w:r>
    </w:p>
    <w:p>
      <w:pPr>
        <w:pStyle w:val="Normal"/>
        <w:widowControl/>
        <w:rPr/>
      </w:pPr>
      <w:r>
        <w:rPr>
          <w:b w:val="false"/>
        </w:rPr>
        <w:t>68-B.6. [FLAGSHIP] Southern Resident Orca Recovery Corridor. Initial schedule candidate; status shall be verified under Annex 68-E before represented as a completed or funded achievement.</w:t>
      </w:r>
    </w:p>
    <w:p>
      <w:pPr>
        <w:pStyle w:val="Normal"/>
        <w:widowControl/>
        <w:rPr/>
      </w:pPr>
      <w:r>
        <w:rPr>
          <w:b w:val="false"/>
        </w:rPr>
        <w:t>68-B.7. [FLAGSHIP] Beluga Estuary Initiative. Initial schedule candidate; status shall be verified under Annex 68-E before represented as a completed or funded achievement.</w:t>
      </w:r>
    </w:p>
    <w:p>
      <w:pPr>
        <w:pStyle w:val="Normal"/>
        <w:widowControl/>
        <w:rPr/>
      </w:pPr>
      <w:r>
        <w:rPr>
          <w:b w:val="false"/>
        </w:rPr>
        <w:t>68-B.8. [FLAGSHIP] Three Lagoons Grey Whale Partnership. Initial schedule candidate; status shall be verified under Annex 68-E before represented as a completed or funded achievement.</w:t>
      </w:r>
    </w:p>
    <w:p>
      <w:pPr>
        <w:pStyle w:val="Normal"/>
        <w:widowControl/>
        <w:rPr/>
      </w:pPr>
      <w:r>
        <w:rPr>
          <w:b w:val="false"/>
        </w:rPr>
        <w:t>68-B.9. [FLAGSHIP] Whale Rescue Network. Initial schedule candidate; status shall be verified under Annex 68-E before represented as a completed or funded achievement.</w:t>
      </w:r>
    </w:p>
    <w:p>
      <w:pPr>
        <w:pStyle w:val="Normal"/>
        <w:widowControl/>
        <w:rPr/>
      </w:pPr>
      <w:r>
        <w:rPr>
          <w:b w:val="false"/>
        </w:rPr>
        <w:t>68-B.10. [FLAGSHIP] Sea to Sanctuary Pathway. Initial schedule candidate; status shall be verified under Annex 68-E before represented as a completed or funded achievement.</w:t>
      </w:r>
    </w:p>
    <w:p>
      <w:pPr>
        <w:pStyle w:val="Normal"/>
        <w:widowControl/>
        <w:rPr/>
      </w:pPr>
      <w:r>
        <w:rPr>
          <w:b w:val="false"/>
        </w:rPr>
        <w:t>68-B.11. [FLAGSHIP] Last Generation Captive Cetacean Initiative. Initial schedule candidate; status shall be verified under Annex 68-E before represented as a completed or funded achievement.</w:t>
      </w:r>
    </w:p>
    <w:p>
      <w:pPr>
        <w:pStyle w:val="Normal"/>
        <w:widowControl/>
        <w:rPr/>
      </w:pPr>
      <w:r>
        <w:rPr>
          <w:b w:val="false"/>
        </w:rPr>
        <w:t>68-B.12. [FLAGSHIP] Beluga Health and Nutrition Science Initiative. Initial schedule candidate; status shall be verified under Annex 68-E before represented as a completed or funded achievement.</w:t>
      </w:r>
    </w:p>
    <w:p>
      <w:pPr>
        <w:pStyle w:val="Normal"/>
        <w:widowControl/>
        <w:rPr/>
      </w:pPr>
      <w:r>
        <w:rPr>
          <w:b w:val="false"/>
        </w:rPr>
        <w:t>68-B.13. [FLAGSHIP] Whale-Safe Ports. Initial schedule candidate; status shall be verified under Annex 68-E before represented as a completed or funded achievement.</w:t>
      </w:r>
    </w:p>
    <w:p>
      <w:pPr>
        <w:pStyle w:val="Normal"/>
        <w:widowControl/>
        <w:rPr/>
      </w:pPr>
      <w:r>
        <w:rPr>
          <w:b w:val="false"/>
        </w:rPr>
        <w:t>68-B.14. [FLAGSHIP] Quiet Fleet Initiative. Initial schedule candidate; status shall be verified under Annex 68-E before represented as a completed or funded achievement.</w:t>
      </w:r>
    </w:p>
    <w:p>
      <w:pPr>
        <w:pStyle w:val="Normal"/>
        <w:widowControl/>
        <w:rPr/>
      </w:pPr>
      <w:r>
        <w:rPr>
          <w:b w:val="false"/>
        </w:rPr>
        <w:t>68-B.15. [FLAGSHIP] Great Whale Map. Initial schedule candidate; status shall be verified under Annex 68-E before represented as a completed or funded achievement.</w:t>
      </w:r>
    </w:p>
    <w:p>
      <w:pPr>
        <w:pStyle w:val="Normal"/>
        <w:widowControl/>
        <w:rPr/>
      </w:pPr>
      <w:r>
        <w:rPr>
          <w:b w:val="false"/>
        </w:rPr>
        <w:t>68-B.16. [FLAGSHIP] State of the Whales Scorecard. Initial schedule candidate; status shall be verified under Annex 68-E before represented as a completed or funded achievement.</w:t>
      </w:r>
    </w:p>
    <w:p>
      <w:pPr>
        <w:pStyle w:val="Normal"/>
        <w:widowControl/>
        <w:rPr/>
      </w:pPr>
      <w:r>
        <w:rPr>
          <w:b w:val="false"/>
        </w:rPr>
        <w:t>68-B.17. [FLAGSHIP] Arctic Cetacean Stewardship Network. Initial schedule candidate; status shall be verified under Annex 68-E before represented as a completed or funded achievement.</w:t>
      </w:r>
    </w:p>
    <w:p>
      <w:pPr>
        <w:pStyle w:val="Normal"/>
        <w:widowControl/>
        <w:rPr/>
      </w:pPr>
      <w:r>
        <w:rPr>
          <w:b w:val="false"/>
        </w:rPr>
        <w:t>68-B.18. [FLAGSHIP] Pacific Giants Highway. Initial schedule candidate; status shall be verified under Annex 68-E before represented as a completed or funded achievement.</w:t>
      </w:r>
    </w:p>
    <w:p>
      <w:pPr>
        <w:pStyle w:val="Normal"/>
        <w:widowControl/>
        <w:rPr/>
      </w:pPr>
      <w:r>
        <w:rPr>
          <w:b w:val="false"/>
        </w:rPr>
        <w:t>68-B.19. [FLAGSHIP] Gulf of California Cetacean Network. Initial schedule candidate; status shall be verified under Annex 68-E before represented as a completed or funded achievement.</w:t>
      </w:r>
    </w:p>
    <w:p>
      <w:pPr>
        <w:pStyle w:val="Normal"/>
        <w:widowControl/>
        <w:rPr/>
      </w:pPr>
      <w:r>
        <w:rPr>
          <w:b w:val="false"/>
        </w:rPr>
        <w:t>68-B.20. [FLAGSHIP] Whale-Safe Fisheries Transition. Initial schedule candidate; status shall be verified under Annex 68-E before represented as a completed or funded achievement.</w:t>
      </w:r>
    </w:p>
    <w:p>
      <w:pPr>
        <w:pStyle w:val="Normal"/>
        <w:widowControl/>
        <w:rPr/>
      </w:pPr>
      <w:r>
        <w:rPr>
          <w:b w:val="false"/>
        </w:rPr>
        <w:t>68-B.21. [FLAGSHIP] Indigenous-Led Whale Stewardship. Initial schedule candidate; status shall be verified under Annex 68-E before represented as a completed or funded achievement.</w:t>
      </w:r>
    </w:p>
    <w:p>
      <w:pPr>
        <w:pStyle w:val="Normal"/>
        <w:widowControl/>
        <w:rPr/>
      </w:pPr>
      <w:r>
        <w:rPr>
          <w:b w:val="false"/>
        </w:rPr>
        <w:t>68-B.22. [FLAGSHIP] Clean Waters, Full Tables. Initial schedule candidate; status shall be verified under Annex 68-E before represented as a completed or funded achievement.</w:t>
      </w:r>
    </w:p>
    <w:p>
      <w:pPr>
        <w:pStyle w:val="Normal"/>
        <w:widowControl/>
        <w:rPr/>
      </w:pPr>
      <w:r>
        <w:rPr>
          <w:b w:val="false"/>
        </w:rPr>
        <w:t>68-B.23. [FLAGSHIP] Moving Corridors. Initial schedule candidate; status shall be verified under Annex 68-E before represented as a completed or funded achievement.</w:t>
      </w:r>
    </w:p>
    <w:p>
      <w:pPr>
        <w:pStyle w:val="Normal"/>
        <w:widowControl/>
        <w:rPr/>
      </w:pPr>
      <w:r>
        <w:rPr>
          <w:b w:val="false"/>
        </w:rPr>
        <w:t>68-B.24. [FLAGSHIP] Cetacean Emergency Recovery Mechanism. Initial schedule candidate; status shall be verified under Annex 68-E before represented as a completed or funded achievement.</w:t>
      </w:r>
    </w:p>
    <w:p>
      <w:pPr>
        <w:pStyle w:val="Normal"/>
        <w:widowControl/>
        <w:rPr/>
      </w:pPr>
      <w:r>
        <w:rPr>
          <w:b w:val="false"/>
        </w:rPr>
        <w:t>68-B.25. [ANCHOR] Dynamic Vessel Management Platform. Initial schedule candidate; status shall be verified under Annex 68-E before represented as a completed or funded achievement.</w:t>
      </w:r>
    </w:p>
    <w:p>
      <w:pPr>
        <w:pStyle w:val="Normal"/>
        <w:widowControl/>
        <w:rPr/>
      </w:pPr>
      <w:r>
        <w:rPr>
          <w:b w:val="false"/>
        </w:rPr>
        <w:t>68-B.26. [ANCHOR] AIS Compliance and Strike Reporting System. Initial schedule candidate; status shall be verified under Annex 68-E before represented as a completed or funded achievement.</w:t>
      </w:r>
    </w:p>
    <w:p>
      <w:pPr>
        <w:pStyle w:val="Normal"/>
        <w:widowControl/>
        <w:rPr/>
      </w:pPr>
      <w:r>
        <w:rPr>
          <w:b w:val="false"/>
        </w:rPr>
        <w:t>68-B.27. [ANCHOR] Real-Time Detection-to-Bridge Alert Standard. Initial schedule candidate; status shall be verified under Annex 68-E before represented as a completed or funded achievement.</w:t>
      </w:r>
    </w:p>
    <w:p>
      <w:pPr>
        <w:pStyle w:val="Normal"/>
        <w:widowControl/>
        <w:rPr/>
      </w:pPr>
      <w:r>
        <w:rPr>
          <w:b w:val="false"/>
        </w:rPr>
        <w:t>68-B.28. [ANCHOR] Ropeless Gear Approval and Certification Track. Initial schedule candidate; status shall be verified under Annex 68-E before represented as a completed or funded achievement.</w:t>
      </w:r>
    </w:p>
    <w:p>
      <w:pPr>
        <w:pStyle w:val="Normal"/>
        <w:widowControl/>
        <w:rPr/>
      </w:pPr>
      <w:r>
        <w:rPr>
          <w:b w:val="false"/>
        </w:rPr>
        <w:t>68-B.29. [ANCHOR] Virtual Gear Marking Architecture. Initial schedule candidate; status shall be verified under Annex 68-E before represented as a completed or funded achievement.</w:t>
      </w:r>
    </w:p>
    <w:p>
      <w:pPr>
        <w:pStyle w:val="Normal"/>
        <w:widowControl/>
        <w:rPr/>
      </w:pPr>
      <w:r>
        <w:rPr>
          <w:b w:val="false"/>
        </w:rPr>
        <w:t>68-B.30. [ANCHOR] Ghost-Gear Traceability Network. Initial schedule candidate; status shall be verified under Annex 68-E before represented as a completed or funded achievement.</w:t>
      </w:r>
    </w:p>
    <w:p>
      <w:pPr>
        <w:pStyle w:val="Normal"/>
        <w:widowControl/>
        <w:rPr/>
      </w:pPr>
      <w:r>
        <w:rPr>
          <w:b w:val="false"/>
        </w:rPr>
        <w:t>68-B.31. [ANCHOR] Fisher Transition Finance Facility. Initial schedule candidate; status shall be verified under Annex 68-E before represented as a completed or funded achievement.</w:t>
      </w:r>
    </w:p>
    <w:p>
      <w:pPr>
        <w:pStyle w:val="Normal"/>
        <w:widowControl/>
        <w:rPr/>
      </w:pPr>
      <w:r>
        <w:rPr>
          <w:b w:val="false"/>
        </w:rPr>
        <w:t>68-B.32. [ANCHOR] Acoustic Habitat Quality Network. Initial schedule candidate; status shall be verified under Annex 68-E before represented as a completed or funded achievement.</w:t>
      </w:r>
    </w:p>
    <w:p>
      <w:pPr>
        <w:pStyle w:val="Normal"/>
        <w:widowControl/>
        <w:rPr/>
      </w:pPr>
      <w:r>
        <w:rPr>
          <w:b w:val="false"/>
        </w:rPr>
        <w:t>68-B.33. [ANCHOR] Quiet-Vessel Retrofit Accelerator. Initial schedule candidate; status shall be verified under Annex 68-E before represented as a completed or funded achievement.</w:t>
      </w:r>
    </w:p>
    <w:p>
      <w:pPr>
        <w:pStyle w:val="Normal"/>
        <w:widowControl/>
        <w:rPr/>
      </w:pPr>
      <w:r>
        <w:rPr>
          <w:b w:val="false"/>
        </w:rPr>
        <w:t>68-B.34. [ANCHOR] Cetacean Carcass Forensics Network. Initial schedule candidate; status shall be verified under Annex 68-E before represented as a completed or funded achievement.</w:t>
      </w:r>
    </w:p>
    <w:p>
      <w:pPr>
        <w:pStyle w:val="Normal"/>
        <w:widowControl/>
        <w:rPr/>
      </w:pPr>
      <w:r>
        <w:rPr>
          <w:b w:val="false"/>
        </w:rPr>
        <w:t>68-B.35. [ANCHOR] Marine Mammal Necropsy and Tissue Archive. Initial schedule candidate; status shall be verified under Annex 68-E before represented as a completed or funded achievement.</w:t>
      </w:r>
    </w:p>
    <w:p>
      <w:pPr>
        <w:pStyle w:val="Normal"/>
        <w:widowControl/>
        <w:rPr/>
      </w:pPr>
      <w:r>
        <w:rPr>
          <w:b w:val="false"/>
        </w:rPr>
        <w:t>68-B.36. [ANCHOR] Captive Cetacean Welfare Standard. Initial schedule candidate; status shall be verified under Annex 68-E before represented as a completed or funded achievement.</w:t>
      </w:r>
    </w:p>
    <w:p>
      <w:pPr>
        <w:pStyle w:val="Normal"/>
        <w:widowControl/>
        <w:rPr/>
      </w:pPr>
      <w:r>
        <w:rPr>
          <w:b w:val="false"/>
        </w:rPr>
        <w:t>68-B.37. [ANCHOR] Sanctuary Eligibility and Transfer Assessment. Initial schedule candidate; status shall be verified under Annex 68-E before represented as a completed or funded achievement.</w:t>
      </w:r>
    </w:p>
    <w:p>
      <w:pPr>
        <w:pStyle w:val="Normal"/>
        <w:widowControl/>
        <w:rPr/>
      </w:pPr>
      <w:r>
        <w:rPr>
          <w:b w:val="false"/>
        </w:rPr>
        <w:t>68-B.38. [ANCHOR] Recovery-Plan Implementation Audit. Initial schedule candidate; status shall be verified under Annex 68-E before represented as a completed or funded achievement.</w:t>
      </w:r>
    </w:p>
    <w:p>
      <w:pPr>
        <w:pStyle w:val="Normal"/>
        <w:widowControl/>
        <w:rPr/>
      </w:pPr>
      <w:r>
        <w:rPr>
          <w:b w:val="false"/>
        </w:rPr>
        <w:t>68-B.39. [ANCHOR] Cetacean Prey Monitoring Network. Initial schedule candidate; status shall be verified under Annex 68-E before represented as a completed or funded achievement.</w:t>
      </w:r>
    </w:p>
    <w:p>
      <w:pPr>
        <w:pStyle w:val="Normal"/>
        <w:widowControl/>
        <w:rPr/>
      </w:pPr>
      <w:r>
        <w:rPr>
          <w:b w:val="false"/>
        </w:rPr>
        <w:t>68-B.40. [ANCHOR] Contaminant Burden Monitoring Network. Initial schedule candidate; status shall be verified under Annex 68-E before represented as a completed or funded achievement.</w:t>
      </w:r>
    </w:p>
    <w:p>
      <w:pPr>
        <w:pStyle w:val="Normal"/>
        <w:widowControl/>
        <w:rPr/>
      </w:pPr>
      <w:r>
        <w:rPr>
          <w:b w:val="false"/>
        </w:rPr>
        <w:t>68-B.41. [ANCHOR] Climate Range-Shift Early Warning System. Initial schedule candidate; status shall be verified under Annex 68-E before represented as a completed or funded achievement.</w:t>
      </w:r>
    </w:p>
    <w:p>
      <w:pPr>
        <w:pStyle w:val="Normal"/>
        <w:widowControl/>
        <w:rPr/>
      </w:pPr>
      <w:r>
        <w:rPr>
          <w:b w:val="false"/>
        </w:rPr>
        <w:t>68-B.42. [ANCHOR] Whale-Sensitive Offshore Project Assessment. Initial schedule candidate; status shall be verified under Annex 68-E before represented as a completed or funded achievement.</w:t>
      </w:r>
    </w:p>
    <w:p>
      <w:pPr>
        <w:pStyle w:val="Normal"/>
        <w:widowControl/>
        <w:rPr/>
      </w:pPr>
      <w:r>
        <w:rPr>
          <w:b w:val="false"/>
        </w:rPr>
        <w:t>68-B.43. [ANCHOR] Port Whale-Alert Integration. Initial schedule candidate; status shall be verified under Annex 68-E before represented as a completed or funded achievement.</w:t>
      </w:r>
    </w:p>
    <w:p>
      <w:pPr>
        <w:pStyle w:val="Normal"/>
        <w:widowControl/>
        <w:rPr/>
      </w:pPr>
      <w:r>
        <w:rPr>
          <w:b w:val="false"/>
        </w:rPr>
        <w:t>68-B.44. [ANCHOR] Indigenous Cetacean Data Governance Framework. Initial schedule candidate; status shall be verified under Annex 68-E before represented as a completed or funded achievement.</w:t>
      </w:r>
    </w:p>
    <w:p>
      <w:pPr>
        <w:pStyle w:val="Normal"/>
        <w:widowControl/>
        <w:rPr/>
      </w:pPr>
      <w:r>
        <w:rPr>
          <w:b w:val="false"/>
        </w:rPr>
        <w:t>68-B.45. [ANCHOR] Cross-Border Cetacean Research Permit Track. Initial schedule candidate; status shall be verified under Annex 68-E before represented as a completed or funded achievement.</w:t>
      </w:r>
    </w:p>
    <w:p>
      <w:pPr>
        <w:pStyle w:val="Normal"/>
        <w:widowControl/>
        <w:rPr/>
      </w:pPr>
      <w:r>
        <w:rPr>
          <w:b w:val="false"/>
        </w:rPr>
        <w:t>68-B.46. [ANCHOR] Population Model Federation. Initial schedule candidate; status shall be verified under Annex 68-E before represented as a completed or funded achievement.</w:t>
      </w:r>
    </w:p>
    <w:p>
      <w:pPr>
        <w:pStyle w:val="Normal"/>
        <w:widowControl/>
        <w:rPr/>
      </w:pPr>
      <w:r>
        <w:rPr>
          <w:b w:val="false"/>
        </w:rPr>
        <w:t>68-B.47. [ANCHOR] Long-Term Monitoring Continuity Plan. Initial schedule candidate; status shall be verified under Annex 68-E before represented as a completed or funded achievement.</w:t>
      </w:r>
    </w:p>
    <w:p>
      <w:pPr>
        <w:pStyle w:val="Normal"/>
        <w:widowControl/>
        <w:rPr/>
      </w:pPr>
      <w:r>
        <w:rPr>
          <w:b w:val="false"/>
        </w:rPr>
        <w:t>68-B.48. [ANCHOR] Public Methodology and Uncertainty Standard. Initial schedule candidate; status shall be verified under Annex 68-E before represented as a completed or funded achievement.</w:t>
      </w:r>
    </w:p>
    <w:p>
      <w:pPr>
        <w:pStyle w:val="Normal"/>
        <w:widowControl/>
        <w:rPr/>
      </w:pPr>
      <w:r>
        <w:rPr>
          <w:b w:val="false"/>
        </w:rPr>
        <w:t>68-B.49. [ANCHOR] Species Status Reassessment Cycle. Initial schedule candidate; status shall be verified under Annex 68-E before represented as a completed or funded achievement.</w:t>
      </w:r>
    </w:p>
    <w:p>
      <w:pPr>
        <w:pStyle w:val="Normal"/>
        <w:widowControl/>
        <w:rPr/>
      </w:pPr>
      <w:r>
        <w:rPr>
          <w:b w:val="false"/>
        </w:rPr>
        <w:t>68-B.50. [ANCHOR] Mexico Cetacean Technical Capacity Partnership. Initial schedule candidate; status shall be verified under Annex 68-E before represented as a completed or funded achievement.</w:t>
      </w:r>
    </w:p>
    <w:p>
      <w:pPr>
        <w:pStyle w:val="Normal"/>
        <w:widowControl/>
        <w:rPr/>
      </w:pPr>
      <w:r>
        <w:rPr>
          <w:b w:val="false"/>
        </w:rPr>
        <w:t>68-B.51. [ANCHOR] Fisher and Coastal Advisory Network. Initial schedule candidate; status shall be verified under Annex 68-E before represented as a completed or funded achievement.</w:t>
      </w:r>
    </w:p>
    <w:p>
      <w:pPr>
        <w:pStyle w:val="Normal"/>
        <w:widowControl/>
        <w:rPr/>
      </w:pPr>
      <w:r>
        <w:rPr>
          <w:b w:val="false"/>
        </w:rPr>
        <w:t>68-B.52. [ANCHOR] Cetacean Enforcement Due-Process Standard. Initial schedule candidate; status shall be verified under Annex 68-E before represented as a completed or funded achievement.</w:t>
      </w:r>
    </w:p>
    <w:p>
      <w:pPr>
        <w:pStyle w:val="Normal"/>
        <w:widowControl/>
        <w:rPr/>
      </w:pPr>
      <w:r>
        <w:rPr>
          <w:b w:val="false"/>
        </w:rPr>
        <w:t>68-B.53. [ANCHOR] Independent Great Whale Compact Evaluation. Initial schedule candidate; status shall be verified under Annex 68-E before represented as a completed or funded achievement.</w:t>
      </w:r>
    </w:p>
    <w:p>
      <w:pPr>
        <w:pStyle w:val="Normal"/>
        <w:widowControl/>
        <w:rPr/>
      </w:pPr>
      <w:r>
        <w:rPr>
          <w:b w:val="false"/>
        </w:rPr>
        <w:t>68-B.54. [PROGRAM] North Atlantic Right Whale Calving-Ground Monitoring. Initial schedule candidate; status shall be verified under Annex 68-E before represented as a completed or funded achievement.</w:t>
      </w:r>
    </w:p>
    <w:p>
      <w:pPr>
        <w:pStyle w:val="Normal"/>
        <w:widowControl/>
        <w:rPr/>
      </w:pPr>
      <w:r>
        <w:rPr>
          <w:b w:val="false"/>
        </w:rPr>
        <w:t>68-B.55. [PROGRAM] Gulf of St. Lawrence Right Whale Seasonal Operations. Initial schedule candidate; status shall be verified under Annex 68-E before represented as a completed or funded achievement.</w:t>
      </w:r>
    </w:p>
    <w:p>
      <w:pPr>
        <w:pStyle w:val="Normal"/>
        <w:widowControl/>
        <w:rPr/>
      </w:pPr>
      <w:r>
        <w:rPr>
          <w:b w:val="false"/>
        </w:rPr>
        <w:t>68-B.56. [PROGRAM] Right Whale Entanglement Scar Survey. Initial schedule candidate; status shall be verified under Annex 68-E before represented as a completed or funded achievement.</w:t>
      </w:r>
    </w:p>
    <w:p>
      <w:pPr>
        <w:pStyle w:val="Normal"/>
        <w:widowControl/>
        <w:rPr/>
      </w:pPr>
      <w:r>
        <w:rPr>
          <w:b w:val="false"/>
        </w:rPr>
        <w:t>68-B.57. [PROGRAM] Southern Resident Chinook Prey Recovery Program. Initial schedule candidate; status shall be verified under Annex 68-E before represented as a completed or funded achievement.</w:t>
      </w:r>
    </w:p>
    <w:p>
      <w:pPr>
        <w:pStyle w:val="Normal"/>
        <w:widowControl/>
        <w:rPr/>
      </w:pPr>
      <w:r>
        <w:rPr>
          <w:b w:val="false"/>
        </w:rPr>
        <w:t>68-B.58. [PROGRAM] Salish Sea Quiet-Water Program. Initial schedule candidate; status shall be verified under Annex 68-E before represented as a completed or funded achievement.</w:t>
      </w:r>
    </w:p>
    <w:p>
      <w:pPr>
        <w:pStyle w:val="Normal"/>
        <w:widowControl/>
        <w:rPr/>
      </w:pPr>
      <w:r>
        <w:rPr>
          <w:b w:val="false"/>
        </w:rPr>
        <w:t>68-B.59. [PROGRAM] Southern Resident Contaminant Surveillance. Initial schedule candidate; status shall be verified under Annex 68-E before represented as a completed or funded achievement.</w:t>
      </w:r>
    </w:p>
    <w:p>
      <w:pPr>
        <w:pStyle w:val="Normal"/>
        <w:widowControl/>
        <w:rPr/>
      </w:pPr>
      <w:r>
        <w:rPr>
          <w:b w:val="false"/>
        </w:rPr>
        <w:t>68-B.60. [PROGRAM] St. Lawrence Beluga Health Index. Initial schedule candidate; status shall be verified under Annex 68-E before represented as a completed or funded achievement.</w:t>
      </w:r>
    </w:p>
    <w:p>
      <w:pPr>
        <w:pStyle w:val="Normal"/>
        <w:widowControl/>
        <w:rPr/>
      </w:pPr>
      <w:r>
        <w:rPr>
          <w:b w:val="false"/>
        </w:rPr>
        <w:t>68-B.61. [PROGRAM] St. Lawrence Beluga Contaminants Action Program. Initial schedule candidate; status shall be verified under Annex 68-E before represented as a completed or funded achievement.</w:t>
      </w:r>
    </w:p>
    <w:p>
      <w:pPr>
        <w:pStyle w:val="Normal"/>
        <w:widowControl/>
        <w:rPr/>
      </w:pPr>
      <w:r>
        <w:rPr>
          <w:b w:val="false"/>
        </w:rPr>
        <w:t>68-B.62. [PROGRAM] St. Lawrence Beluga Prey and Forage Research. Initial schedule candidate; status shall be verified under Annex 68-E before represented as a completed or funded achievement.</w:t>
      </w:r>
    </w:p>
    <w:p>
      <w:pPr>
        <w:pStyle w:val="Normal"/>
        <w:widowControl/>
        <w:rPr/>
      </w:pPr>
      <w:r>
        <w:rPr>
          <w:b w:val="false"/>
        </w:rPr>
        <w:t>68-B.63. [PROGRAM] St. Lawrence Beluga Calving-Habitat Stewardship. Initial schedule candidate; status shall be verified under Annex 68-E before represented as a completed or funded achievement.</w:t>
      </w:r>
    </w:p>
    <w:p>
      <w:pPr>
        <w:pStyle w:val="Normal"/>
        <w:widowControl/>
        <w:rPr/>
      </w:pPr>
      <w:r>
        <w:rPr>
          <w:b w:val="false"/>
        </w:rPr>
        <w:t>68-B.64. [PROGRAM] St. Lawrence Ferry and Shipping Protocol. Initial schedule candidate; status shall be verified under Annex 68-E before represented as a completed or funded achievement.</w:t>
      </w:r>
    </w:p>
    <w:p>
      <w:pPr>
        <w:pStyle w:val="Normal"/>
        <w:widowControl/>
        <w:rPr/>
      </w:pPr>
      <w:r>
        <w:rPr>
          <w:b w:val="false"/>
        </w:rPr>
        <w:t>68-B.65. [PROGRAM] Churchill Beluga Monitoring and Tourism Standards. Initial schedule candidate; status shall be verified under Annex 68-E before represented as a completed or funded achievement.</w:t>
      </w:r>
    </w:p>
    <w:p>
      <w:pPr>
        <w:pStyle w:val="Normal"/>
        <w:widowControl/>
        <w:rPr/>
      </w:pPr>
      <w:r>
        <w:rPr>
          <w:b w:val="false"/>
        </w:rPr>
        <w:t>68-B.66. [PROGRAM] Arctic Bowhead Monitoring Partnership. Initial schedule candidate; status shall be verified under Annex 68-E before represented as a completed or funded achievement.</w:t>
      </w:r>
    </w:p>
    <w:p>
      <w:pPr>
        <w:pStyle w:val="Normal"/>
        <w:widowControl/>
        <w:rPr/>
      </w:pPr>
      <w:r>
        <w:rPr>
          <w:b w:val="false"/>
        </w:rPr>
        <w:t>68-B.67. [PROGRAM] Arctic Narwhal Monitoring Partnership. Initial schedule candidate; status shall be verified under Annex 68-E before represented as a completed or funded achievement.</w:t>
      </w:r>
    </w:p>
    <w:p>
      <w:pPr>
        <w:pStyle w:val="Normal"/>
        <w:widowControl/>
        <w:rPr/>
      </w:pPr>
      <w:r>
        <w:rPr>
          <w:b w:val="false"/>
        </w:rPr>
        <w:t>68-B.68. [PROGRAM] Arctic Beluga Monitoring Partnership. Initial schedule candidate; status shall be verified under Annex 68-E before represented as a completed or funded achievement.</w:t>
      </w:r>
    </w:p>
    <w:p>
      <w:pPr>
        <w:pStyle w:val="Normal"/>
        <w:widowControl/>
        <w:rPr/>
      </w:pPr>
      <w:r>
        <w:rPr>
          <w:b w:val="false"/>
        </w:rPr>
        <w:t>68-B.69. [PROGRAM] Baja Grey Whale Lagoon Stewardship. Initial schedule candidate; status shall be verified under Annex 68-E before represented as a completed or funded achievement.</w:t>
      </w:r>
    </w:p>
    <w:p>
      <w:pPr>
        <w:pStyle w:val="Normal"/>
        <w:widowControl/>
        <w:rPr/>
      </w:pPr>
      <w:r>
        <w:rPr>
          <w:b w:val="false"/>
        </w:rPr>
        <w:t>68-B.70. [PROGRAM] Baja-to-Arctic Grey Whale Migration Monitoring. Initial schedule candidate; status shall be verified under Annex 68-E before represented as a completed or funded achievement.</w:t>
      </w:r>
    </w:p>
    <w:p>
      <w:pPr>
        <w:pStyle w:val="Normal"/>
        <w:widowControl/>
        <w:rPr/>
      </w:pPr>
      <w:r>
        <w:rPr>
          <w:b w:val="false"/>
        </w:rPr>
        <w:t>68-B.71. [PROGRAM] Banderas Bay Humpback Protection Program. Initial schedule candidate; status shall be verified under Annex 68-E before represented as a completed or funded achievement.</w:t>
      </w:r>
    </w:p>
    <w:p>
      <w:pPr>
        <w:pStyle w:val="Normal"/>
        <w:widowControl/>
        <w:rPr/>
      </w:pPr>
      <w:r>
        <w:rPr>
          <w:b w:val="false"/>
        </w:rPr>
        <w:t>68-B.72. [PROGRAM] Los Cabos Whale-Watching Standards. Initial schedule candidate; status shall be verified under Annex 68-E before represented as a completed or funded achievement.</w:t>
      </w:r>
    </w:p>
    <w:p>
      <w:pPr>
        <w:pStyle w:val="Normal"/>
        <w:widowControl/>
        <w:rPr/>
      </w:pPr>
      <w:r>
        <w:rPr>
          <w:b w:val="false"/>
        </w:rPr>
        <w:t>68-B.73. [PROGRAM] Gulf of California Acoustic Baseline. Initial schedule candidate; status shall be verified under Annex 68-E before represented as a completed or funded achievement.</w:t>
      </w:r>
    </w:p>
    <w:p>
      <w:pPr>
        <w:pStyle w:val="Normal"/>
        <w:widowControl/>
        <w:rPr/>
      </w:pPr>
      <w:r>
        <w:rPr>
          <w:b w:val="false"/>
        </w:rPr>
        <w:t>68-B.74. [PROGRAM] Gulf of California Shipping-Lane Assessment. Initial schedule candidate; status shall be verified under Annex 68-E before represented as a completed or funded achievement.</w:t>
      </w:r>
    </w:p>
    <w:p>
      <w:pPr>
        <w:pStyle w:val="Normal"/>
        <w:widowControl/>
        <w:rPr/>
      </w:pPr>
      <w:r>
        <w:rPr>
          <w:b w:val="false"/>
        </w:rPr>
        <w:t>68-B.75. [PROGRAM] Gulf of Mexico Sperm Whale Monitoring. Initial schedule candidate; status shall be verified under Annex 68-E before represented as a completed or funded achievement.</w:t>
      </w:r>
    </w:p>
    <w:p>
      <w:pPr>
        <w:pStyle w:val="Normal"/>
        <w:widowControl/>
        <w:rPr/>
      </w:pPr>
      <w:r>
        <w:rPr>
          <w:b w:val="false"/>
        </w:rPr>
        <w:t>68-B.76. [PROGRAM] Rice's Whale Recovery Cooperation. Initial schedule candidate; status shall be verified under Annex 68-E before represented as a completed or funded achievement.</w:t>
      </w:r>
    </w:p>
    <w:p>
      <w:pPr>
        <w:pStyle w:val="Normal"/>
        <w:widowControl/>
        <w:rPr/>
      </w:pPr>
      <w:r>
        <w:rPr>
          <w:b w:val="false"/>
        </w:rPr>
        <w:t>68-B.77. [PROGRAM] Pacific Blue-Fin-Humpback Monitoring Line. Initial schedule candidate; status shall be verified under Annex 68-E before represented as a completed or funded achievement.</w:t>
      </w:r>
    </w:p>
    <w:p>
      <w:pPr>
        <w:pStyle w:val="Normal"/>
        <w:widowControl/>
        <w:rPr/>
      </w:pPr>
      <w:r>
        <w:rPr>
          <w:b w:val="false"/>
        </w:rPr>
        <w:t>68-B.78. [PROGRAM] Pacific Large-Whale Strike Reduction Program. Initial schedule candidate; status shall be verified under Annex 68-E before represented as a completed or funded achievement.</w:t>
      </w:r>
    </w:p>
    <w:p>
      <w:pPr>
        <w:pStyle w:val="Normal"/>
        <w:widowControl/>
        <w:rPr/>
      </w:pPr>
      <w:r>
        <w:rPr>
          <w:b w:val="false"/>
        </w:rPr>
        <w:t>68-B.79. [PROGRAM] Humpback Entanglement Response Program. Initial schedule candidate; status shall be verified under Annex 68-E before represented as a completed or funded achievement.</w:t>
      </w:r>
    </w:p>
    <w:p>
      <w:pPr>
        <w:pStyle w:val="Normal"/>
        <w:widowControl/>
        <w:rPr/>
      </w:pPr>
      <w:r>
        <w:rPr>
          <w:b w:val="false"/>
        </w:rPr>
        <w:t>68-B.80. [PROGRAM] Regional PAM Glider Missions. Initial schedule candidate; status shall be verified under Annex 68-E before represented as a completed or funded achievement.</w:t>
      </w:r>
    </w:p>
    <w:p>
      <w:pPr>
        <w:pStyle w:val="Normal"/>
        <w:widowControl/>
        <w:rPr/>
      </w:pPr>
      <w:r>
        <w:rPr>
          <w:b w:val="false"/>
        </w:rPr>
        <w:t>68-B.81. [PROGRAM] Whale-Safe Gear Demonstration Fisheries. Initial schedule candidate; status shall be verified under Annex 68-E before represented as a completed or funded achievement.</w:t>
      </w:r>
    </w:p>
    <w:p>
      <w:pPr>
        <w:pStyle w:val="Normal"/>
        <w:widowControl/>
        <w:rPr/>
      </w:pPr>
      <w:r>
        <w:rPr>
          <w:b w:val="false"/>
        </w:rPr>
        <w:t>68-B.82. [PROGRAM] Ghost-Gear Recovery Campaigns. Initial schedule candidate; status shall be verified under Annex 68-E before represented as a completed or funded achievement.</w:t>
      </w:r>
    </w:p>
    <w:p>
      <w:pPr>
        <w:pStyle w:val="Normal"/>
        <w:widowControl/>
        <w:rPr/>
      </w:pPr>
      <w:r>
        <w:rPr>
          <w:b w:val="false"/>
        </w:rPr>
        <w:t>68-B.83. [PROGRAM] Regional Disentanglement Training. Initial schedule candidate; status shall be verified under Annex 68-E before represented as a completed or funded achievement.</w:t>
      </w:r>
    </w:p>
    <w:p>
      <w:pPr>
        <w:pStyle w:val="Normal"/>
        <w:widowControl/>
        <w:rPr/>
      </w:pPr>
      <w:r>
        <w:rPr>
          <w:b w:val="false"/>
        </w:rPr>
        <w:t>68-B.84. [PROGRAM] Whale-Safe Port Certification Pilots. Initial schedule candidate; status shall be verified under Annex 68-E before represented as a completed or funded achievement.</w:t>
      </w:r>
    </w:p>
    <w:p>
      <w:pPr>
        <w:pStyle w:val="Normal"/>
        <w:widowControl/>
        <w:rPr/>
      </w:pPr>
      <w:r>
        <w:rPr>
          <w:b w:val="false"/>
        </w:rPr>
        <w:t>68-B.85. [PROGRAM] Quiet Ferry Demonstration Program. Initial schedule candidate; status shall be verified under Annex 68-E before represented as a completed or funded achievement.</w:t>
      </w:r>
    </w:p>
    <w:p>
      <w:pPr>
        <w:pStyle w:val="Normal"/>
        <w:widowControl/>
        <w:rPr/>
      </w:pPr>
      <w:r>
        <w:rPr>
          <w:b w:val="false"/>
        </w:rPr>
        <w:t>68-B.86. [PROGRAM] Indigenous Hydrophone and Guardian Grants. Initial schedule candidate; status shall be verified under Annex 68-E before represented as a completed or funded achievement.</w:t>
      </w:r>
    </w:p>
    <w:p>
      <w:pPr>
        <w:pStyle w:val="Normal"/>
        <w:widowControl/>
        <w:rPr/>
      </w:pPr>
      <w:r>
        <w:rPr>
          <w:b w:val="false"/>
        </w:rPr>
        <w:t>68-B.87. [PROGRAM] Cetacean Health and Disease Surveillance. Initial schedule candidate; status shall be verified under Annex 68-E before represented as a completed or funded achievement.</w:t>
      </w:r>
    </w:p>
    <w:p>
      <w:pPr>
        <w:pStyle w:val="Normal"/>
        <w:widowControl/>
        <w:rPr/>
      </w:pPr>
      <w:r>
        <w:rPr>
          <w:b w:val="false"/>
        </w:rPr>
        <w:t>68-B.88. [PROGRAM] Whale Prey and Oceanography Survey. Initial schedule candidate; status shall be verified under Annex 68-E before represented as a completed or funded achievement.</w:t>
      </w:r>
    </w:p>
    <w:p>
      <w:pPr>
        <w:pStyle w:val="Normal"/>
        <w:widowControl/>
        <w:rPr/>
      </w:pPr>
      <w:r>
        <w:rPr>
          <w:b w:val="false"/>
        </w:rPr>
        <w:t>68-B.89. [PROGRAM] Coastal Habitat Restoration for Cetacean Prey. Initial schedule candidate; status shall be verified under Annex 68-E before represented as a completed or funded achievement.</w:t>
      </w:r>
    </w:p>
    <w:p>
      <w:pPr>
        <w:pStyle w:val="Normal"/>
        <w:widowControl/>
        <w:rPr/>
      </w:pPr>
      <w:r>
        <w:rPr>
          <w:b w:val="false"/>
        </w:rPr>
        <w:t>68-B.90. [PROGRAM] Annual State of the Whales Public Report. Initial schedule candidate; status shall be verified under Annex 68-E before represented as a completed or funded achievement.</w:t>
      </w:r>
    </w:p>
    <w:p>
      <w:bookmarkStart w:id="2110" w:name="_NAESTMA_TOC_2110"/>
      <w:pPr>
        <w:pStyle w:val="Heading2"/>
        <w:keepNext/>
        <w:widowControl/>
        <w:rPr/>
      </w:pPr>
      <w:r>
        <w:rPr>
          <w:b w:val="false"/>
        </w:rPr>
        <w:t>ANNEX 68-C — OPTIONAL DEVELOPMENT AND CONTROLLED-MECHANISM RESERVE (28 ITEMS)</w:t>
      </w:r>
      <w:bookmarkEnd w:id="2110"/>
    </w:p>
    <w:p>
      <w:pPr>
        <w:pStyle w:val="Normal"/>
        <w:widowControl/>
        <w:rPr/>
      </w:pPr>
      <w:r>
        <w:rPr>
          <w:b w:val="false"/>
        </w:rPr>
        <w:t>This Annex is expressly optional. Listing recognizes a concept for research, validation, feasibility work or later domestic authorization. It creates no duty to deploy, fund, approve, transfer animals, close waters, restrict defence operations or alter permits.</w:t>
      </w:r>
    </w:p>
    <w:p>
      <w:pPr>
        <w:pStyle w:val="Normal"/>
        <w:widowControl/>
        <w:rPr/>
      </w:pPr>
      <w:r>
        <w:rPr>
          <w:b w:val="false"/>
        </w:rPr>
        <w:t>68-C.1. [DEVELOPMENT] Continental Acoustic Noise-Budget Pilot. May proceed through research, demonstration or feasibility work; no broader obligation arises absent later authorization.</w:t>
      </w:r>
    </w:p>
    <w:p>
      <w:pPr>
        <w:pStyle w:val="Normal"/>
        <w:widowControl/>
        <w:rPr/>
      </w:pPr>
      <w:r>
        <w:rPr>
          <w:b w:val="false"/>
        </w:rPr>
        <w:t>68-C.2. [DEVELOPMENT] Advanced Thermal Whale Detection. May proceed through research, demonstration or feasibility work; no broader obligation arises absent later authorization.</w:t>
      </w:r>
    </w:p>
    <w:p>
      <w:pPr>
        <w:pStyle w:val="Normal"/>
        <w:widowControl/>
        <w:rPr/>
      </w:pPr>
      <w:r>
        <w:rPr>
          <w:b w:val="false"/>
        </w:rPr>
        <w:t>68-C.3. [DEVELOPMENT] Operational eDNA Presence Detection. May proceed through research, demonstration or feasibility work; no broader obligation arises absent later authorization.</w:t>
      </w:r>
    </w:p>
    <w:p>
      <w:pPr>
        <w:pStyle w:val="Normal"/>
        <w:widowControl/>
        <w:rPr/>
      </w:pPr>
      <w:r>
        <w:rPr>
          <w:b w:val="false"/>
        </w:rPr>
        <w:t>68-C.4. [DEVELOPMENT] Next-Generation Satellite Cetacean Detection. May proceed through research, demonstration or feasibility work; no broader obligation arises absent later authorization.</w:t>
      </w:r>
    </w:p>
    <w:p>
      <w:pPr>
        <w:pStyle w:val="Normal"/>
        <w:widowControl/>
        <w:rPr/>
      </w:pPr>
      <w:r>
        <w:rPr>
          <w:b w:val="false"/>
        </w:rPr>
        <w:t>68-C.5. [DEVELOPMENT] Predictive Prey-Bloom Whale Alerts. May proceed through research, demonstration or feasibility work; no broader obligation arises absent later authorization.</w:t>
      </w:r>
    </w:p>
    <w:p>
      <w:pPr>
        <w:pStyle w:val="Normal"/>
        <w:widowControl/>
        <w:rPr/>
      </w:pPr>
      <w:r>
        <w:rPr>
          <w:b w:val="false"/>
        </w:rPr>
        <w:t>68-C.6. [DEVELOPMENT] Advanced Quiet-Propulsion Demonstrations. May proceed through research, demonstration or feasibility work; no broader obligation arises absent later authorization.</w:t>
      </w:r>
    </w:p>
    <w:p>
      <w:pPr>
        <w:pStyle w:val="Normal"/>
        <w:widowControl/>
        <w:rPr/>
      </w:pPr>
      <w:r>
        <w:rPr>
          <w:b w:val="false"/>
        </w:rPr>
        <w:t>68-C.7. [DEVELOPMENT] Marine-Energy Wildlife Detection Technology. May proceed through research, demonstration or feasibility work; no broader obligation arises absent later authorization.</w:t>
      </w:r>
    </w:p>
    <w:p>
      <w:pPr>
        <w:pStyle w:val="Normal"/>
        <w:widowControl/>
        <w:rPr/>
      </w:pPr>
      <w:r>
        <w:rPr>
          <w:b w:val="false"/>
        </w:rPr>
        <w:t>68-C.8. [DEVELOPMENT] Novel Sanctuary Infrastructure Demonstration. May proceed through research, demonstration or feasibility work; no broader obligation arises absent later authorization.</w:t>
      </w:r>
    </w:p>
    <w:p>
      <w:pPr>
        <w:pStyle w:val="Normal"/>
        <w:widowControl/>
        <w:rPr/>
      </w:pPr>
      <w:r>
        <w:rPr>
          <w:b w:val="false"/>
        </w:rPr>
        <w:t>68-C.9. [DEVELOPMENT] Cumulative-Stressor Regulatory Modeling. May proceed through research, demonstration or feasibility work; no broader obligation arises absent later authorization.</w:t>
      </w:r>
    </w:p>
    <w:p>
      <w:pPr>
        <w:pStyle w:val="Normal"/>
        <w:widowControl/>
        <w:rPr/>
      </w:pPr>
      <w:r>
        <w:rPr>
          <w:b w:val="false"/>
        </w:rPr>
        <w:t>68-C.10. [DEVELOPMENT] Automated Dynamic Closure Decision Support. May proceed through research, demonstration or feasibility work; no broader obligation arises absent later authorization.</w:t>
      </w:r>
    </w:p>
    <w:p>
      <w:pPr>
        <w:pStyle w:val="Normal"/>
        <w:widowControl/>
        <w:rPr/>
      </w:pPr>
      <w:r>
        <w:rPr>
          <w:b w:val="false"/>
        </w:rPr>
        <w:t>68-C.11. [DEVELOPMENT] Whale-Safe Autonomous Vessel Navigation. May proceed through research, demonstration or feasibility work; no broader obligation arises absent later authorization.</w:t>
      </w:r>
    </w:p>
    <w:p>
      <w:pPr>
        <w:pStyle w:val="Normal"/>
        <w:widowControl/>
        <w:rPr/>
      </w:pPr>
      <w:r>
        <w:rPr>
          <w:b w:val="false"/>
        </w:rPr>
        <w:t>68-C.12. [DEVELOPMENT] Low-Impact Tagging Technology. May proceed through research, demonstration or feasibility work; no broader obligation arises absent later authorization.</w:t>
      </w:r>
    </w:p>
    <w:p>
      <w:pPr>
        <w:pStyle w:val="Normal"/>
        <w:widowControl/>
        <w:rPr/>
      </w:pPr>
      <w:r>
        <w:rPr>
          <w:b w:val="false"/>
        </w:rPr>
        <w:t>68-C.13. [DEVELOPMENT] Acoustic Refuge Design Pilots. May proceed through research, demonstration or feasibility work; no broader obligation arises absent later authorization.</w:t>
      </w:r>
    </w:p>
    <w:p>
      <w:pPr>
        <w:pStyle w:val="Normal"/>
        <w:widowControl/>
        <w:rPr/>
      </w:pPr>
      <w:r>
        <w:rPr>
          <w:b w:val="false"/>
        </w:rPr>
        <w:t>68-C.14. [DEVELOPMENT] Cetacean-Sensitive Desalination Intake Demonstration. May proceed through research, demonstration or feasibility work; no broader obligation arises absent later authorization.</w:t>
      </w:r>
    </w:p>
    <w:p>
      <w:pPr>
        <w:pStyle w:val="Normal"/>
        <w:widowControl/>
        <w:rPr/>
      </w:pPr>
      <w:r>
        <w:rPr>
          <w:b w:val="false"/>
        </w:rPr>
        <w:t>68-C.15. [DEVELOPMENT] Dynamic Anchorage Management Technology. May proceed through research, demonstration or feasibility work; no broader obligation arises absent later authorization.</w:t>
      </w:r>
    </w:p>
    <w:p>
      <w:pPr>
        <w:pStyle w:val="Normal"/>
        <w:widowControl/>
        <w:rPr/>
      </w:pPr>
      <w:r>
        <w:rPr>
          <w:b w:val="false"/>
        </w:rPr>
        <w:t>68-C.16. [DEVELOPMENT] Cross-Border Digital Whale Twin Research. May proceed through research, demonstration or feasibility work; no broader obligation arises absent later authorization.</w:t>
      </w:r>
    </w:p>
    <w:p>
      <w:pPr>
        <w:pStyle w:val="Normal"/>
        <w:widowControl/>
        <w:rPr/>
      </w:pPr>
      <w:r>
        <w:rPr>
          <w:b w:val="false"/>
        </w:rPr>
        <w:t>68-C.17. [DEVELOPMENT] Advanced Carcass Detection from Space. May proceed through research, demonstration or feasibility work; no broader obligation arises absent later authorization.</w:t>
      </w:r>
    </w:p>
    <w:p>
      <w:pPr>
        <w:pStyle w:val="Normal"/>
        <w:widowControl/>
        <w:rPr/>
      </w:pPr>
      <w:r>
        <w:rPr>
          <w:b w:val="false"/>
        </w:rPr>
        <w:t>68-C.18. [DEVELOPMENT] Adaptive Tourism Capacity Management. May proceed through research, demonstration or feasibility work; no broader obligation arises absent later authorization.</w:t>
      </w:r>
    </w:p>
    <w:p>
      <w:pPr>
        <w:pStyle w:val="Normal"/>
        <w:widowControl/>
        <w:rPr/>
      </w:pPr>
      <w:r>
        <w:rPr>
          <w:b w:val="false"/>
        </w:rPr>
        <w:t>68-C.19. [DEVELOPMENT] Climate-Responsive Corridor Forecasting. May proceed through research, demonstration or feasibility work; no broader obligation arises absent later authorization.</w:t>
      </w:r>
    </w:p>
    <w:p>
      <w:pPr>
        <w:pStyle w:val="Normal"/>
        <w:widowControl/>
        <w:rPr/>
      </w:pPr>
      <w:r>
        <w:rPr>
          <w:b w:val="false"/>
        </w:rPr>
        <w:t>68-C.20. [DEVELOPMENT] Experimental Cetacean Health Biomarker Platform. May proceed through research, demonstration or feasibility work; no broader obligation arises absent later authorization.</w:t>
      </w:r>
    </w:p>
    <w:p>
      <w:pPr>
        <w:pStyle w:val="Normal"/>
        <w:widowControl/>
        <w:rPr/>
      </w:pPr>
      <w:r>
        <w:rPr>
          <w:b w:val="false"/>
        </w:rPr>
        <w:t>68-C.21. [CONTROLLED] Highly Automated Dynamic Closures Based Predominantly on Remote Sensing. Subject to W1–W7 controlled-capability progression and all applicable scientific, legal, rights, welfare, security and environmental reviews.</w:t>
      </w:r>
    </w:p>
    <w:p>
      <w:pPr>
        <w:pStyle w:val="Normal"/>
        <w:widowControl/>
        <w:rPr/>
      </w:pPr>
      <w:r>
        <w:rPr>
          <w:b w:val="false"/>
        </w:rPr>
        <w:t>68-C.22. [CONTROLLED] Medically Complex Sanctuary Transfers. Subject to W1–W7 controlled-capability progression and all applicable scientific, legal, rights, welfare, security and environmental reviews.</w:t>
      </w:r>
    </w:p>
    <w:p>
      <w:pPr>
        <w:pStyle w:val="Normal"/>
        <w:widowControl/>
        <w:rPr/>
      </w:pPr>
      <w:r>
        <w:rPr>
          <w:b w:val="false"/>
        </w:rPr>
        <w:t>68-C.23. [CONTROLLED] Large-Scale Captive Beluga Sanctuary Transition. Subject to W1–W7 controlled-capability progression and all applicable scientific, legal, rights, welfare, security and environmental reviews.</w:t>
      </w:r>
    </w:p>
    <w:p>
      <w:pPr>
        <w:pStyle w:val="Normal"/>
        <w:widowControl/>
        <w:rPr/>
      </w:pPr>
      <w:r>
        <w:rPr>
          <w:b w:val="false"/>
        </w:rPr>
        <w:t>68-C.24. [CONTROLLED] Operational Military Sonar Restrictions. Subject to W1–W7 controlled-capability progression and all applicable scientific, legal, rights, welfare, security and environmental reviews.</w:t>
      </w:r>
    </w:p>
    <w:p>
      <w:pPr>
        <w:pStyle w:val="Normal"/>
        <w:widowControl/>
        <w:rPr/>
      </w:pPr>
      <w:r>
        <w:rPr>
          <w:b w:val="false"/>
        </w:rPr>
        <w:t>68-C.25. [CONTROLLED] Aggregate Underwater Acoustic Noise Budgets. Subject to W1–W7 controlled-capability progression and all applicable scientific, legal, rights, welfare, security and environmental reviews.</w:t>
      </w:r>
    </w:p>
    <w:p>
      <w:pPr>
        <w:pStyle w:val="Normal"/>
        <w:widowControl/>
        <w:rPr/>
      </w:pPr>
      <w:r>
        <w:rPr>
          <w:b w:val="false"/>
        </w:rPr>
        <w:t>68-C.26. [CONTROLLED] Assisted Ecological Intervention for Collapsing Populations. Subject to W1–W7 controlled-capability progression and all applicable scientific, legal, rights, welfare, security and environmental reviews.</w:t>
      </w:r>
    </w:p>
    <w:p>
      <w:pPr>
        <w:pStyle w:val="Normal"/>
        <w:widowControl/>
        <w:rPr/>
      </w:pPr>
      <w:r>
        <w:rPr>
          <w:b w:val="false"/>
        </w:rPr>
        <w:t>68-C.27. [CONTROLLED] Automated Offshore-Energy Shutdown Systems. Subject to W1–W7 controlled-capability progression and all applicable scientific, legal, rights, welfare, security and environmental reviews.</w:t>
      </w:r>
    </w:p>
    <w:p>
      <w:pPr>
        <w:pStyle w:val="Normal"/>
        <w:widowControl/>
        <w:rPr/>
      </w:pPr>
      <w:r>
        <w:rPr>
          <w:b w:val="false"/>
        </w:rPr>
        <w:t>68-C.28. [CONTROLLED] Emergency Extirpation-Response Measures Beyond the Chapter 68 Planning Duty. Subject to W1–W7 controlled-capability progression and all applicable scientific, legal, rights, welfare, security and environmental reviews.</w:t>
      </w:r>
    </w:p>
    <w:p>
      <w:pPr>
        <w:pStyle w:val="Normal"/>
        <w:widowControl/>
        <w:rPr/>
      </w:pPr>
      <w:r>
        <w:rPr>
          <w:b w:val="false"/>
        </w:rPr>
        <w:t>W1 Concept Recognized → W2 Scientific Validity Established → W3 Legal and Rights Authority Confirmed → W4 Welfare / Security / Environmental Review Complete → W5 Limited Pilot Authorized → W6 Independent Evaluation Complete → W7 Broader Program Eligibility. Successful completion permits eligibility; it does not mandate deployment.</w:t>
      </w:r>
    </w:p>
    <w:p>
      <w:bookmarkStart w:id="2111" w:name="_NAESTMA_TOC_2111"/>
      <w:pPr>
        <w:pStyle w:val="Heading2"/>
        <w:keepNext/>
        <w:widowControl/>
        <w:rPr/>
      </w:pPr>
      <w:r>
        <w:rPr>
          <w:b w:val="false"/>
        </w:rPr>
        <w:t>ANNEX 68-D — VISIBLE GREAT WHALE COMPACT WINS (32-ITEM OVERLAY)</w:t>
      </w:r>
      <w:bookmarkEnd w:id="2111"/>
    </w:p>
    <w:p>
      <w:pPr>
        <w:pStyle w:val="Normal"/>
        <w:widowControl/>
        <w:rPr/>
      </w:pPr>
      <w:r>
        <w:rPr>
          <w:b w:val="false"/>
        </w:rPr>
        <w:t>The following labels are non-operative visibility overlays. They may summarize verified underlying work but create no additional obligation, funding promise, project approval or biological guarantee.</w:t>
      </w:r>
    </w:p>
    <w:p>
      <w:pPr>
        <w:pStyle w:val="Normal"/>
        <w:widowControl/>
        <w:rPr/>
      </w:pPr>
      <w:r>
        <w:rPr>
          <w:b w:val="false"/>
        </w:rPr>
        <w:t>68-D.1. ★ Great Whale Compact. Visibility designation only; underlying status and claims remain subject to Annex 68-E.</w:t>
      </w:r>
    </w:p>
    <w:p>
      <w:pPr>
        <w:pStyle w:val="Normal"/>
        <w:widowControl/>
        <w:rPr/>
      </w:pPr>
      <w:r>
        <w:rPr>
          <w:b w:val="false"/>
        </w:rPr>
        <w:t>68-D.2. ★ Continental Listening Network. Visibility designation only; underlying status and claims remain subject to Annex 68-E.</w:t>
      </w:r>
    </w:p>
    <w:p>
      <w:pPr>
        <w:pStyle w:val="Normal"/>
        <w:widowControl/>
        <w:rPr/>
      </w:pPr>
      <w:r>
        <w:rPr>
          <w:b w:val="false"/>
        </w:rPr>
        <w:t>68-D.3. ★ Right Whale Safe Passage. Visibility designation only; underlying status and claims remain subject to Annex 68-E.</w:t>
      </w:r>
    </w:p>
    <w:p>
      <w:pPr>
        <w:pStyle w:val="Normal"/>
        <w:widowControl/>
        <w:rPr/>
      </w:pPr>
      <w:r>
        <w:rPr>
          <w:b w:val="false"/>
        </w:rPr>
        <w:t>68-D.4. ★ Untangled North America. Visibility designation only; underlying status and claims remain subject to Annex 68-E.</w:t>
      </w:r>
    </w:p>
    <w:p>
      <w:pPr>
        <w:pStyle w:val="Normal"/>
        <w:widowControl/>
        <w:rPr/>
      </w:pPr>
      <w:r>
        <w:rPr>
          <w:b w:val="false"/>
        </w:rPr>
        <w:t>68-D.5. ★ Quiet Passage Corridors. Visibility designation only; underlying status and claims remain subject to Annex 68-E.</w:t>
      </w:r>
    </w:p>
    <w:p>
      <w:pPr>
        <w:pStyle w:val="Normal"/>
        <w:widowControl/>
        <w:rPr/>
      </w:pPr>
      <w:r>
        <w:rPr>
          <w:b w:val="false"/>
        </w:rPr>
        <w:t>68-D.6. ★ Southern Resident Orca Recovery Corridor. Visibility designation only; underlying status and claims remain subject to Annex 68-E.</w:t>
      </w:r>
    </w:p>
    <w:p>
      <w:pPr>
        <w:pStyle w:val="Normal"/>
        <w:widowControl/>
        <w:rPr/>
      </w:pPr>
      <w:r>
        <w:rPr>
          <w:b w:val="false"/>
        </w:rPr>
        <w:t>68-D.7. ★ Beluga Estuary Initiative. Visibility designation only; underlying status and claims remain subject to Annex 68-E.</w:t>
      </w:r>
    </w:p>
    <w:p>
      <w:pPr>
        <w:pStyle w:val="Normal"/>
        <w:widowControl/>
        <w:rPr/>
      </w:pPr>
      <w:r>
        <w:rPr>
          <w:b w:val="false"/>
        </w:rPr>
        <w:t>68-D.8. ★ Three Lagoons Grey Whale Partnership. Visibility designation only; underlying status and claims remain subject to Annex 68-E.</w:t>
      </w:r>
    </w:p>
    <w:p>
      <w:pPr>
        <w:pStyle w:val="Normal"/>
        <w:widowControl/>
        <w:rPr/>
      </w:pPr>
      <w:r>
        <w:rPr>
          <w:b w:val="false"/>
        </w:rPr>
        <w:t>68-D.9. ★ Whale Rescue Network. Visibility designation only; underlying status and claims remain subject to Annex 68-E.</w:t>
      </w:r>
    </w:p>
    <w:p>
      <w:pPr>
        <w:pStyle w:val="Normal"/>
        <w:widowControl/>
        <w:rPr/>
      </w:pPr>
      <w:r>
        <w:rPr>
          <w:b w:val="false"/>
        </w:rPr>
        <w:t>68-D.10. ★ Sea to Sanctuary Pathway. Visibility designation only; underlying status and claims remain subject to Annex 68-E.</w:t>
      </w:r>
    </w:p>
    <w:p>
      <w:pPr>
        <w:pStyle w:val="Normal"/>
        <w:widowControl/>
        <w:rPr/>
      </w:pPr>
      <w:r>
        <w:rPr>
          <w:b w:val="false"/>
        </w:rPr>
        <w:t>68-D.11. ★ Last Generation Captive Cetacean Initiative. Visibility designation only; underlying status and claims remain subject to Annex 68-E.</w:t>
      </w:r>
    </w:p>
    <w:p>
      <w:pPr>
        <w:pStyle w:val="Normal"/>
        <w:widowControl/>
        <w:rPr/>
      </w:pPr>
      <w:r>
        <w:rPr>
          <w:b w:val="false"/>
        </w:rPr>
        <w:t>68-D.12. ★ Beluga Health and Nutrition Science Initiative. Visibility designation only; underlying status and claims remain subject to Annex 68-E.</w:t>
      </w:r>
    </w:p>
    <w:p>
      <w:pPr>
        <w:pStyle w:val="Normal"/>
        <w:widowControl/>
        <w:rPr/>
      </w:pPr>
      <w:r>
        <w:rPr>
          <w:b w:val="false"/>
        </w:rPr>
        <w:t>68-D.13. ★ Whale-Safe Ports. Visibility designation only; underlying status and claims remain subject to Annex 68-E.</w:t>
      </w:r>
    </w:p>
    <w:p>
      <w:pPr>
        <w:pStyle w:val="Normal"/>
        <w:widowControl/>
        <w:rPr/>
      </w:pPr>
      <w:r>
        <w:rPr>
          <w:b w:val="false"/>
        </w:rPr>
        <w:t>68-D.14. ★ Quiet Fleet Initiative. Visibility designation only; underlying status and claims remain subject to Annex 68-E.</w:t>
      </w:r>
    </w:p>
    <w:p>
      <w:pPr>
        <w:pStyle w:val="Normal"/>
        <w:widowControl/>
        <w:rPr/>
      </w:pPr>
      <w:r>
        <w:rPr>
          <w:b w:val="false"/>
        </w:rPr>
        <w:t>68-D.15. ★ Great Whale Map. Visibility designation only; underlying status and claims remain subject to Annex 68-E.</w:t>
      </w:r>
    </w:p>
    <w:p>
      <w:pPr>
        <w:pStyle w:val="Normal"/>
        <w:widowControl/>
        <w:rPr/>
      </w:pPr>
      <w:r>
        <w:rPr>
          <w:b w:val="false"/>
        </w:rPr>
        <w:t>68-D.16. ★ State of the Whales Scorecard. Visibility designation only; underlying status and claims remain subject to Annex 68-E.</w:t>
      </w:r>
    </w:p>
    <w:p>
      <w:pPr>
        <w:pStyle w:val="Normal"/>
        <w:widowControl/>
        <w:rPr/>
      </w:pPr>
      <w:r>
        <w:rPr>
          <w:b w:val="false"/>
        </w:rPr>
        <w:t>68-D.17. ★ Arctic Cetacean Stewardship Network. Visibility designation only; underlying status and claims remain subject to Annex 68-E.</w:t>
      </w:r>
    </w:p>
    <w:p>
      <w:pPr>
        <w:pStyle w:val="Normal"/>
        <w:widowControl/>
        <w:rPr/>
      </w:pPr>
      <w:r>
        <w:rPr>
          <w:b w:val="false"/>
        </w:rPr>
        <w:t>68-D.18. ★ Pacific Giants Highway. Visibility designation only; underlying status and claims remain subject to Annex 68-E.</w:t>
      </w:r>
    </w:p>
    <w:p>
      <w:pPr>
        <w:pStyle w:val="Normal"/>
        <w:widowControl/>
        <w:rPr/>
      </w:pPr>
      <w:r>
        <w:rPr>
          <w:b w:val="false"/>
        </w:rPr>
        <w:t>68-D.19. ★ Gulf of California Cetacean Network. Visibility designation only; underlying status and claims remain subject to Annex 68-E.</w:t>
      </w:r>
    </w:p>
    <w:p>
      <w:pPr>
        <w:pStyle w:val="Normal"/>
        <w:widowControl/>
        <w:rPr/>
      </w:pPr>
      <w:r>
        <w:rPr>
          <w:b w:val="false"/>
        </w:rPr>
        <w:t>68-D.20. ★ Whale-Safe Fisheries Transition. Visibility designation only; underlying status and claims remain subject to Annex 68-E.</w:t>
      </w:r>
    </w:p>
    <w:p>
      <w:pPr>
        <w:pStyle w:val="Normal"/>
        <w:widowControl/>
        <w:rPr/>
      </w:pPr>
      <w:r>
        <w:rPr>
          <w:b w:val="false"/>
        </w:rPr>
        <w:t>68-D.21. ★ Indigenous-Led Whale Stewardship. Visibility designation only; underlying status and claims remain subject to Annex 68-E.</w:t>
      </w:r>
    </w:p>
    <w:p>
      <w:pPr>
        <w:pStyle w:val="Normal"/>
        <w:widowControl/>
        <w:rPr/>
      </w:pPr>
      <w:r>
        <w:rPr>
          <w:b w:val="false"/>
        </w:rPr>
        <w:t>68-D.22. ★ Clean Waters, Full Tables. Visibility designation only; underlying status and claims remain subject to Annex 68-E.</w:t>
      </w:r>
    </w:p>
    <w:p>
      <w:pPr>
        <w:pStyle w:val="Normal"/>
        <w:widowControl/>
        <w:rPr/>
      </w:pPr>
      <w:r>
        <w:rPr>
          <w:b w:val="false"/>
        </w:rPr>
        <w:t>68-D.23. ★ Moving Corridors. Visibility designation only; underlying status and claims remain subject to Annex 68-E.</w:t>
      </w:r>
    </w:p>
    <w:p>
      <w:pPr>
        <w:pStyle w:val="Normal"/>
        <w:widowControl/>
        <w:rPr/>
      </w:pPr>
      <w:r>
        <w:rPr>
          <w:b w:val="false"/>
        </w:rPr>
        <w:t>68-D.24. ★ Safer Ferries for Whales. Visibility designation only; underlying status and claims remain subject to Annex 68-E.</w:t>
      </w:r>
    </w:p>
    <w:p>
      <w:pPr>
        <w:pStyle w:val="Normal"/>
        <w:widowControl/>
        <w:rPr/>
      </w:pPr>
      <w:r>
        <w:rPr>
          <w:b w:val="false"/>
        </w:rPr>
        <w:t>68-D.25. ★ Ghost Gear Recovery. Visibility designation only; underlying status and claims remain subject to Annex 68-E.</w:t>
      </w:r>
    </w:p>
    <w:p>
      <w:pPr>
        <w:pStyle w:val="Normal"/>
        <w:widowControl/>
        <w:rPr/>
      </w:pPr>
      <w:r>
        <w:rPr>
          <w:b w:val="false"/>
        </w:rPr>
        <w:t>68-D.26. ★ Whale-Safe Tourism. Visibility designation only; underlying status and claims remain subject to Annex 68-E.</w:t>
      </w:r>
    </w:p>
    <w:p>
      <w:pPr>
        <w:pStyle w:val="Normal"/>
        <w:widowControl/>
        <w:rPr/>
      </w:pPr>
      <w:r>
        <w:rPr>
          <w:b w:val="false"/>
        </w:rPr>
        <w:t>68-D.27. ★ Quiet Construction Near Whale Habitat. Visibility designation only; underlying status and claims remain subject to Annex 68-E.</w:t>
      </w:r>
    </w:p>
    <w:p>
      <w:pPr>
        <w:pStyle w:val="Normal"/>
        <w:widowControl/>
        <w:rPr/>
      </w:pPr>
      <w:r>
        <w:rPr>
          <w:b w:val="false"/>
        </w:rPr>
        <w:t>68-D.28. ★ Open Whale Science. Visibility designation only; underlying status and claims remain subject to Annex 68-E.</w:t>
      </w:r>
    </w:p>
    <w:p>
      <w:pPr>
        <w:pStyle w:val="Normal"/>
        <w:widowControl/>
        <w:rPr/>
      </w:pPr>
      <w:r>
        <w:rPr>
          <w:b w:val="false"/>
        </w:rPr>
        <w:t>68-D.29. ★ Cetacean Carcass Forensics. Visibility designation only; underlying status and claims remain subject to Annex 68-E.</w:t>
      </w:r>
    </w:p>
    <w:p>
      <w:pPr>
        <w:pStyle w:val="Normal"/>
        <w:widowControl/>
        <w:rPr/>
      </w:pPr>
      <w:r>
        <w:rPr>
          <w:b w:val="false"/>
        </w:rPr>
        <w:t>68-D.30. ★ Fisher Transition Support. Visibility designation only; underlying status and claims remain subject to Annex 68-E.</w:t>
      </w:r>
    </w:p>
    <w:p>
      <w:pPr>
        <w:pStyle w:val="Normal"/>
        <w:widowControl/>
        <w:rPr/>
      </w:pPr>
      <w:r>
        <w:rPr>
          <w:b w:val="false"/>
        </w:rPr>
        <w:t>68-D.31. ★ Mexico's Mar de Ballenas Portfolio. Visibility designation only; underlying status and claims remain subject to Annex 68-E.</w:t>
      </w:r>
    </w:p>
    <w:p>
      <w:pPr>
        <w:pStyle w:val="Normal"/>
        <w:widowControl/>
        <w:rPr/>
      </w:pPr>
      <w:r>
        <w:rPr>
          <w:b w:val="false"/>
        </w:rPr>
        <w:t>68-D.32. ★ Cetacean Emergency Recovery Mechanism. Visibility designation only; underlying status and claims remain subject to Annex 68-E.</w:t>
      </w:r>
    </w:p>
    <w:p>
      <w:bookmarkStart w:id="2112" w:name="_NAESTMA_TOC_2112"/>
      <w:pPr>
        <w:pStyle w:val="Heading2"/>
        <w:keepNext/>
        <w:widowControl/>
        <w:rPr/>
      </w:pPr>
      <w:r>
        <w:rPr>
          <w:b w:val="false"/>
        </w:rPr>
        <w:t>ANNEX 68-E — SCIENTIFIC, PROJECT, CLAIM AND RESEARCH VERIFICATION</w:t>
      </w:r>
      <w:bookmarkEnd w:id="2112"/>
    </w:p>
    <w:p>
      <w:pPr>
        <w:pStyle w:val="Normal"/>
        <w:widowControl/>
        <w:rPr/>
      </w:pPr>
      <w:r>
        <w:rPr>
          <w:b w:val="false"/>
        </w:rPr>
        <w:t>G1 Candidate Identified → G2 Program or Project Existence Verified → G3 Legal and Scientific Basis Verified → G4 Funding or Implementing Authority Verified → G5 Implementation Path Verified → G6 Schedule Ready. No named project, funding amount, population figure, date, technology claim or outcome shall be represented as verified merely because it appears in an ore list, draft, public announcement or visibility overlay.</w:t>
      </w:r>
    </w:p>
    <w:p>
      <w:pPr>
        <w:pStyle w:val="Normal"/>
        <w:widowControl/>
        <w:rPr/>
      </w:pPr>
      <w:r>
        <w:rPr>
          <w:b w:val="false"/>
        </w:rPr>
        <w:t>Beluga Hydration Research Firewall. The Beluga Health and Nutrition Science Initiative may examine dietary free-water availability, prey storage duration and conditions, thawing practices, thaw-drip, prey moisture, nutritional status, hydration biomarkers and resilience during naturally occurring periods of reduced appetite. Nothing in this Agreement establishes that frozen or frozen-thawed prey causes chronic dehydration or any particular morbidity or mortality in belugas or other cetaceans. Research shall not deliberately dehydrate or fast cetaceans for purposes of this program.</w:t>
      </w:r>
    </w:p>
    <w:p>
      <w:pPr>
        <w:pStyle w:val="Normal"/>
        <w:widowControl/>
        <w:rPr/>
      </w:pPr>
      <w:r>
        <w:rPr>
          <w:b w:val="false"/>
        </w:rPr>
        <w:t>Biological Outcome Firewall. Population abundance, calf production, adult-female survival, mortality, serious injury and similar biological measures are performance indicators and escalation signals unless an operative provision expressly states otherwise. A Party does not breach this Chapter merely because a biological population outcome falls short despite good-faith implementation of applicable obligations.</w:t>
      </w:r>
    </w:p>
    <w:p>
      <w:pPr>
        <w:pStyle w:val="Normal"/>
        <w:widowControl/>
        <w:rPr/>
      </w:pPr>
      <w:r>
        <w:rPr>
          <w:b w:val="false"/>
        </w:rPr>
        <w:t>No Double Counting. A project, payment, procurement opportunity, conservation action or research program may not be counted more than once as new consideration or a new public achievement unless the claimed components are genuinely distinct and separately verified.</w:t>
      </w:r>
    </w:p>
    <w:p>
      <w:pPr>
        <w:pStyle w:val="Normal"/>
        <w:widowControl/>
        <w:rPr/>
      </w:pPr>
      <w:r>
        <w:t>E-2I. Version 8.7 — Great Whale Compact Integration. Added Chapter 68, Great Whale Compact: North American Cetacean Recovery, Safety and Stewardship; 49 cornerstone obligations; Annex 68-A with 139 operational mechanisms; Annex 68-B with 90 initial Flagship, Anchor and Program schedule candidates; Annex 68-C with 20 Development and 8 Controlled optional mechanisms; Annex 68-D with 32 non-operative visible-win labels; and Annex 68-E scientific, project, claim and research verification. The captive-beluga dietary-water and frozen-prey concept is preserved solely as a high-priority research hypothesis with an express non-causation and no-deliberate-dehydration/fasting firewall.</w:t>
      </w:r>
    </w:p>
    <w:p>
      <w:pPr>
        <w:pStyle w:val="Normal"/>
        <w:widowControl/>
        <w:rPr/>
      </w:pPr>
      <w:r>
        <w:rPr/>
        <w:t>E-2J. Version 8.8 — Continuity Precision Audit. Reconciled legacy duration and withdrawal text with the operative No-Fade architecture: Article 34.6 now states the 12-month orderly-withdrawal minimum and cross-references Articles 34.F–34.M; the consolidated Article 34.7 now states indefinite duration and modernization-not-renewal directly; removed residual 16-year-extension language from Article 34.B; corrected Chapter 36 and Chapter 48 references that still treated review as an extension decision; preserved historical reproduced instruments where their original wording is retained for traceability. No substantive change was made to the tariff-lock, Cothrom, REX/anti-evasion, cure, step-back, restoration, or No Uncompensated Front-Loading architecture.</w:t>
      </w:r>
    </w:p>
    <w:p>
      <w:pPr>
        <w:pStyle w:val="Normal"/>
        <w:widowControl/>
        <w:rPr/>
      </w:pPr>
      <w:r>
        <w:t>E-2K. Version 8.9 — Legislative Withdrawal and Adversarial-Review Hardening. Added Article 34.N requiring national-legislative approval before withdrawal becomes effective, including an Act of Congress enacted into law for the United States, an Act of Parliament for Canada, and constitutionally required legislative approval for Mexico; added Article 34.O prohibiting constructive withdrawal and functional evasion while preserving lawful ordinary disputes and sovereign exit; added Article 34.P severability and constitutional-savings protection; added Article 34.Q clarifying domestic sovereignty and the limited mandate of treaty bodies; added plain-language No Amnesty/No Immigration Entitlement, No Origin Laundering Through Transit or Superficial Processing, and External Trade Defense Preserved clauses. Existing No-Fade, tariff-lock, REX, Cothrom, cure, step-back, restoration, and accrued-obligation architecture remains intact.</w:t>
      </w:r>
    </w:p>
    <w:p>
      <w:bookmarkStart w:id="2113" w:name="_NAESTMA_TOC_2113"/>
      <w:pPr>
        <w:pStyle w:val="Heading1"/>
        <w:keepNext/>
        <w:pageBreakBefore w:val="0"/>
        <w:widowControl/>
        <w:rPr/>
      </w:pPr>
      <w:r>
        <w:rPr/>
        <w:t>AMENDMENT LEDGER — NORTH AMERICAN ECONOMIC SECURITY AND TRADE MODERNIZATION AGREEMENT v8.9</w:t>
      </w:r>
      <w:bookmarkEnd w:id="2113"/>
    </w:p>
    <w:p>
      <w:pPr>
        <w:pStyle w:val="Normal"/>
        <w:widowControl/>
        <w:rPr/>
      </w:pPr>
      <w:r>
        <w:rPr/>
        <w:t>E-2E — Chapter 66 added: North American Shield, Fentanyl, Precursor and Border Security Compact. Establishes 245 active security mechanisms organized as 41 cornerstone obligations, 132 operational-annex mechanisms, 66 national implementation-schedule categories, and 6 controlled pilots; adds a 24-item visible-win overlay; preserves exclusive national command, privacy and civil-liberties firewalls, reciprocal firearms and illicit-flow cooperation, legitimate-trade facilitation, the Security Performance Safe Harbor, Covered-Rationale Exhaustion, and proportional Shield-specific cure/step-back/restoration architecture.</w:t>
      </w:r>
    </w:p>
    <w:p>
      <w:bookmarkStart w:id="2114" w:name="_NAESTMA_TOC_2114"/>
      <w:pPr>
        <w:pStyle w:val="Heading2"/>
        <w:keepNext/>
        <w:widowControl/>
        <w:rPr/>
      </w:pPr>
      <w:bookmarkStart w:id="327" w:name="_Toc237912809"/>
      <w:r>
        <w:rPr/>
        <w:t>PACKAGE V — DURABILITY, PROCEDURAL EQUALITY, AND FRICTION REDUCTION (v4.2)</w:t>
      </w:r>
      <w:bookmarkEnd w:id="327"/>
      <w:bookmarkEnd w:id="2114"/>
    </w:p>
    <w:p>
      <w:pPr>
        <w:pStyle w:val="Heading3"/>
        <w:keepNext/>
        <w:widowControl/>
        <w:rPr/>
      </w:pPr>
      <w:r>
        <w:rPr>
          <w:b w:val="false"/>
        </w:rPr>
        <w:t>V-1. Article 34.7 — Indefinite Duration and Modernization Review</w:t>
      </w:r>
    </w:p>
    <w:p>
      <w:pPr>
        <w:pStyle w:val="Heading3"/>
        <w:keepNext/>
        <w:widowControl/>
        <w:rPr/>
      </w:pPr>
      <w:r>
        <w:rPr>
          <w:b w:val="false"/>
        </w:rPr>
        <w:t>V-2. Article 34.F — Orderly Withdrawal and Reliance Transition</w:t>
      </w:r>
    </w:p>
    <w:p>
      <w:pPr>
        <w:pStyle w:val="Heading3"/>
        <w:keepNext/>
        <w:widowControl/>
        <w:rPr/>
      </w:pPr>
      <w:r>
        <w:rPr>
          <w:b w:val="false"/>
        </w:rPr>
        <w:t>V-3. Articles 35.30–35.32 — No-Fade, Cure Ladder, and Extraordinary Measures</w:t>
      </w:r>
    </w:p>
    <w:p>
      <w:pPr>
        <w:pStyle w:val="Heading3"/>
        <w:keepNext/>
        <w:widowControl/>
        <w:rPr/>
      </w:pPr>
      <w:r>
        <w:rPr>
          <w:b w:val="false"/>
        </w:rPr>
        <w:t>V-4. Articles 31.F–31.H — Procedural Equality and Urgent Dispute Resolution</w:t>
      </w:r>
    </w:p>
    <w:p>
      <w:pPr>
        <w:pStyle w:val="Heading3"/>
        <w:keepNext/>
        <w:widowControl/>
        <w:rPr/>
      </w:pPr>
      <w:r>
        <w:rPr>
          <w:b w:val="false"/>
        </w:rPr>
        <w:t>V-5. Articles 27.A–27.B — Anti-Corruption Enforcement and Cure</w:t>
      </w:r>
    </w:p>
    <w:p>
      <w:pPr>
        <w:pStyle w:val="Heading3"/>
        <w:keepNext/>
        <w:widowControl/>
        <w:rPr/>
      </w:pPr>
      <w:r>
        <w:rPr>
          <w:b w:val="false"/>
        </w:rPr>
        <w:t>V-6. Articles 28.A–28.C — Regulatory Equivalence and Trade Friction Reduction</w:t>
      </w:r>
    </w:p>
    <w:p>
      <w:pPr>
        <w:pStyle w:val="Heading3"/>
        <w:keepNext/>
        <w:widowControl/>
        <w:rPr/>
      </w:pPr>
      <w:r>
        <w:rPr>
          <w:b w:val="false"/>
        </w:rPr>
        <w:t>V-7. Articles 29.A–29.C — Transparency, Disclosure, and Advance-Ruling Reliance</w:t>
      </w:r>
    </w:p>
    <w:p>
      <w:pPr>
        <w:pStyle w:val="Heading3"/>
        <w:keepNext/>
        <w:widowControl/>
        <w:rPr/>
      </w:pPr>
      <w:r>
        <w:rPr>
          <w:b w:val="false"/>
        </w:rPr>
        <w:t>V-8. Enforcement Architecture — Cure-First and Narrowly Targeted Remedies</w:t>
      </w:r>
    </w:p>
    <w:p>
      <w:pPr>
        <w:pStyle w:val="Normal"/>
        <w:widowControl/>
        <w:rPr/>
      </w:pPr>
      <w:r>
        <w:rPr/>
        <w:t>PACKAGE L — IMPLEMENTATION PRECISION AND REPLICABILITY (v3.1). Clarifies the closed universe of special origin procedures; preserves low-value treatment during disputes; links discriminatory alcohol measures to substitute-measure discipline; creates Annex 4-E for non-originating automotive-content valuation and transition; standardizes circular-production records; provides independent SME repeat-audit review; strengthens roster integrity; allocates evidentiary burdens without reversing the complainant’s ultimate burden; defines frivolous allegations; makes automatic consequences self-executing after a final trigger and short ministerial period; hardens Annex 35-A with replicability, causation, methodological hierarchy, sensitivity analysis and independent replication; creates Annex 34-F implementation milestones; and confirms the non-operative status of this Ledger.</w:t>
      </w:r>
    </w:p>
    <w:p>
      <w:pPr>
        <w:pStyle w:val="Normal"/>
        <w:widowControl/>
        <w:rPr/>
      </w:pPr>
      <w:r>
        <w:rPr/>
        <w:t>E-2C — Chapter 64 added: North American Commercial Wins Ledger and Export Opportunity Scoreboard. Replaces numerical bilateral-deficit targeting with verified realized/contracted/enabled commercial-win accounting; additionality, baseline, counterfactual, effective-access, services, geographic, SME, revision and no-double-counting disciplines; public dashboards and competitive presentation; optional national export-wins applications; and a non-monetary Forecast Arena with equal expiring tokens, permanent reputation points, cosmetic profile purchases, published resolution rules and anti-manipulation safeguards.</w:t>
      </w:r>
    </w:p>
    <w:p>
      <w:pPr>
        <w:pStyle w:val="Normal"/>
        <w:widowControl/>
        <w:rPr/>
      </w:pPr>
      <w:r>
        <w:rPr>
          <w:b w:val="false"/>
          <w:i w:val="false"/>
        </w:rPr>
        <w:t>E-2D — Chapter 65 added: North American Reciprocal Procurement Compact. Establishes the protected 370-opportunity procurement portfolio; 30 Flagship, 44 Anchor, 198 Program, and 98 Development classifications; project-specific reciprocity; affirmative designation; no blanket Buy American waiver; no guaranteed awards; Procurement Opportunity Certificates; V1–V5 verification; value-integrity and procurement-availability rules; effective-access and portfolio-equivalence tests; subnational, Indigenous/community, SME, private-project, security, permitting and rights firewalls; Three-Receipt and opportunity-to-delivery accounting; Initial, Rolling, Development, and Expansion/Substitution pathways; Registry and Chapter 64 Commercial Wins integration; and Cothrom/no-front-loading protections.</w:t>
      </w:r>
    </w:p>
    <w:p>
      <w:pPr>
        <w:pStyle w:val="Normal"/>
        <w:widowControl/>
        <w:rPr/>
      </w:pPr>
      <w:r>
        <w:rPr/>
        <w:t>LEGAL STATUS OF LEDGER. The Amendment Ledger is non-operative explanatory material intended to assist negotiators, implementers, and readers. It does not create, enlarge, narrow, or independently interpret a right or obligation unless an operative provision of the Agreement expressly incorporates a specific Ledger entry. In any inconsistency, the operative treaty text, annexes, schedules, and incorporated instruments prevail.</w:t>
      </w:r>
    </w:p>
    <w:p>
      <w:pPr>
        <w:pStyle w:val="Normal"/>
        <w:widowControl/>
        <w:rPr/>
      </w:pPr>
      <w:r>
        <w:rPr>
          <w:i/>
        </w:rPr>
        <w:t>Required by Section 41 of the CUSMA Treaty Precision Matrix. Each entry records: the chapter/article affected; the original rule; the revised rule; the legal-function classification; the negotiating objective; and the effect on each Party. Where a provision of the 2018/2019 text is not listed here, it is unchanged. Packages A–F record the v2.0 modernization; Package H records the v2.8 hardening.</w:t>
      </w:r>
    </w:p>
    <w:p>
      <w:bookmarkStart w:id="2115" w:name="_NAESTMA_TOC_2115"/>
      <w:pPr>
        <w:pStyle w:val="Heading2"/>
        <w:keepNext/>
        <w:widowControl/>
        <w:rPr/>
      </w:pPr>
      <w:bookmarkStart w:id="328" w:name="_Toc237912810"/>
      <w:r>
        <w:rPr/>
        <w:t>PACKAGE A — TREATY INTEGRITY AND TARIFF ARCHITECTURE (Chapters 1, 2, 32, 34, 35)</w:t>
      </w:r>
      <w:bookmarkEnd w:id="328"/>
      <w:bookmarkEnd w:id="2115"/>
    </w:p>
    <w:p>
      <w:pPr>
        <w:pStyle w:val="Normal"/>
        <w:widowControl/>
        <w:rPr/>
      </w:pPr>
      <w:r>
        <w:rPr>
          <w:b/>
        </w:rPr>
        <w:t>A-1. Article 1.B (new).</w:t>
      </w:r>
      <w:r>
        <w:rPr/>
        <w:t xml:space="preserve"> Original rule: no general substance-over-label rule existed. Revised rule: obligations apply according to substance and economic effect, regardless of domestic authority, designation, form, or terminology. Legal function: interpretive rule / binding obligation (A). Objective: close the domestic-authority bypass in a single provision rather than statute-by-statute. Effects: symmetric.</w:t>
      </w:r>
    </w:p>
    <w:p>
      <w:pPr>
        <w:pStyle w:val="Normal"/>
        <w:widowControl/>
        <w:rPr/>
      </w:pPr>
      <w:r>
        <w:rPr>
          <w:b/>
        </w:rPr>
        <w:t>A-2. Article 35.3 (new).</w:t>
      </w:r>
      <w:r>
        <w:rPr/>
        <w:t xml:space="preserve"> Original rule: Article 2.4 prohibited new duties on originating goods, but Article 32.2’s breadth and the absence of an exclusive-remedies rule allowed domestic authorities to override preferential treatment; Section 232 side letters provided only delay. Revised rule: explicit Originating Goods Tariff Guarantee; prohibition of single-Party-content tariff differentiation; prohibition of tariffs grounded in non-trade grievances or in a Party’s separate agreements with non-Parties; prohibition of conditioning tariff treatment on investment, sourcing, pricing, purchase, or import-target concessions; enumerated surviving exceptions only. Legal function: binding obligation and prohibition (A/B) with express exceptions (H). Effects: symmetric.</w:t>
      </w:r>
    </w:p>
    <w:p>
      <w:pPr>
        <w:pStyle w:val="Normal"/>
        <w:widowControl/>
        <w:rPr/>
      </w:pPr>
      <w:r>
        <w:rPr>
          <w:b/>
        </w:rPr>
        <w:t>A-3. Articles 35.4 and 35.4A (new).</w:t>
      </w:r>
      <w:r>
        <w:rPr/>
        <w:t xml:space="preserve"> Original rule: no general anti-equivalent-measures clause. Revised rule: enumerated anti-evasion list covering equivalent fees, quota substitution, de minimis withdrawal, derivative-product expansion (with anti-overreach discipline on the definition of “derivative”), product-list creep, special origin tests, stale findings, escalation without new verification, unilateral termination of exemptions, minimum duty floors, selective targeting, authority-switching, stacking, and re-justification resets; plus a substitute-measures article reaching discriminatory internal taxes, regulatory fees, port-of-entry channeling, customs-delay weaponization, selective inspection, security-bond excess, valuation and classification manipulation, verification harassment, coerced export restraints and minimum prices, purchase-commitment conditioning, procurement retaliation, and financing-condition substitution. Legal function: binding prohibition (B). Effects: symmetric.</w:t>
      </w:r>
    </w:p>
    <w:p>
      <w:pPr>
        <w:pStyle w:val="Normal"/>
        <w:widowControl/>
        <w:rPr/>
      </w:pPr>
      <w:r>
        <w:rPr>
          <w:b/>
        </w:rPr>
        <w:t>A-4. Article 35.3A (new).</w:t>
      </w:r>
      <w:r>
        <w:rPr/>
        <w:t xml:space="preserve"> Original rule: the stabilization architecture addressed imports. Revised rule: extraordinary export restrictions, export duties, and export-condition measures between the Parties are covered border measures subject to the same stages, ceilings, expiry, and automatic restoration; ordinary non-Party export controls unaffected. Objective: close the mirror-image export-weaponization route. Effects: symmetric.</w:t>
      </w:r>
    </w:p>
    <w:p>
      <w:pPr>
        <w:pStyle w:val="Normal"/>
        <w:widowControl/>
        <w:rPr/>
      </w:pPr>
      <w:r>
        <w:rPr>
          <w:b/>
        </w:rPr>
        <w:t>A-5. Article 35.5 (new).</w:t>
      </w:r>
      <w:r>
        <w:rPr/>
        <w:t xml:space="preserve"> Original rule: no exclusive-remedies rule. Revised rule: treaty remedies are exclusive for trade matters between the Parties, subject to the modernized Article 32.2; general exceptions cannot be relabeled around the Chapter 35 prohibitions. Legal function: binding obligation (A).</w:t>
      </w:r>
    </w:p>
    <w:p>
      <w:pPr>
        <w:pStyle w:val="Normal"/>
        <w:widowControl/>
        <w:rPr/>
      </w:pPr>
      <w:r>
        <w:rPr>
          <w:b/>
        </w:rPr>
        <w:t>A-6. Article 32.A (replacement of Article 32.2).</w:t>
      </w:r>
      <w:r>
        <w:rPr/>
        <w:t xml:space="preserve"> Original rule: self-judging essential-security exception without procedural discipline. Revised rule: essential-security authority preserved (including wartime action), but measures affecting another Party’s trade carry notification, identified security interest, emergency consultations, proportionality, 180-day review, two-year outer limit with successively particularized renewal, treatment of re-justified substantially identical measures as one continuing measure, the special verification lane of Article 35.22, TNAO protection, an explicit rule that drug trafficking, migration, crime, or other non-trade conduct is not by itself an essential-security basis for border measures absent a direct and material nexus between the targeted goods and the threat, a defined review boundary (panels examine scope, procedure, coverage, and trade contribution; never the security judgment), and an anti-abuse clause excluding industrial capacity, employment, market share, and general economic conditions as essential-security interests. Legal function: exception (H) with procedural requirements (J) and reviewability (N). Effects: symmetric.</w:t>
      </w:r>
    </w:p>
    <w:p>
      <w:pPr>
        <w:pStyle w:val="Normal"/>
        <w:widowControl/>
        <w:rPr/>
      </w:pPr>
      <w:r>
        <w:rPr>
          <w:b/>
        </w:rPr>
        <w:t>A-7. Article 32.B (new).</w:t>
      </w:r>
      <w:r>
        <w:rPr/>
        <w:t xml:space="preserve"> Original rule: no CUSMA discipline on balance-of-payments surcharges. Revised rule: notification, non-discrimination, presumptive exemption of originating goods from general surcharges, 150-day limit with aggregation of successive identical measures, expedited review. Effects: symmetric.</w:t>
      </w:r>
    </w:p>
    <w:p>
      <w:pPr>
        <w:pStyle w:val="Normal"/>
        <w:widowControl/>
        <w:rPr/>
      </w:pPr>
      <w:r>
        <w:rPr>
          <w:b/>
        </w:rPr>
        <w:t>A-8. Annex 35-D (new).</w:t>
      </w:r>
      <w:r>
        <w:rPr/>
        <w:t xml:space="preserve"> Original rule: existing extraordinary tariffs had no treaty-mandated end. Revised rule: legacy measures terminate on entry into force; a Party may refer a continuing genuine security concern to the Article 35.22 lane within 90 days; post-wind-down substantially identical re-impositions are treated as the same measure; retaliation ends and is not reimposed for pre-entry conduct. Effects: Canada and Mexico obtain removal of sectoral tariffs; the United States obtains the stronger perimeter and verification architecture.</w:t>
      </w:r>
    </w:p>
    <w:p>
      <w:pPr>
        <w:pStyle w:val="Normal"/>
        <w:widowControl/>
        <w:rPr/>
      </w:pPr>
      <w:r>
        <w:rPr>
          <w:b/>
        </w:rPr>
        <w:t>A-9. Article 2.D (new).</w:t>
      </w:r>
      <w:r>
        <w:rPr/>
        <w:t xml:space="preserve"> TRQ administration: transparent, non-discriminatory administration; CUSMA-quota applicant eligibility not less favorable than under a Party’s other agreements for like products; published methodology and utilization; express preservation of quota volumes and supply-management structure. Canada: retains supply management; burden — administration changes. United States: obtains the eligibility parity sought. Mexico: benefits from the transparency precedent.</w:t>
      </w:r>
    </w:p>
    <w:p>
      <w:pPr>
        <w:pStyle w:val="Normal"/>
        <w:widowControl/>
        <w:rPr/>
      </w:pPr>
      <w:r>
        <w:rPr>
          <w:b/>
        </w:rPr>
        <w:t>A-10. Article 2.E (new).</w:t>
      </w:r>
      <w:r>
        <w:rPr/>
        <w:t xml:space="preserve"> Alcoholic beverages: non-discrimination in listing, distribution, mark-up, and retail access, with the federal-reasonable-measures formulation; retaliatory delisting disciplined. Effects: symmetric; provincial/state regulatory discretion preserved.</w:t>
      </w:r>
    </w:p>
    <w:p>
      <w:bookmarkStart w:id="2116" w:name="_NAESTMA_TOC_2116"/>
      <w:pPr>
        <w:pStyle w:val="Heading2"/>
        <w:keepNext/>
        <w:widowControl/>
        <w:rPr/>
      </w:pPr>
      <w:bookmarkStart w:id="329" w:name="_Toc237912811"/>
      <w:r>
        <w:rPr/>
        <w:t>PACKAGE B — THE PROPORTIONAL TRADE ADJUSTMENT MECHANISM (Chapter 35)</w:t>
      </w:r>
      <w:bookmarkEnd w:id="329"/>
      <w:bookmarkEnd w:id="2116"/>
    </w:p>
    <w:p>
      <w:pPr>
        <w:pStyle w:val="Normal"/>
        <w:widowControl/>
        <w:rPr/>
      </w:pPr>
      <w:r>
        <w:rPr>
          <w:b/>
        </w:rPr>
        <w:t>B-1. Articles 35.8–35.11 (new).</w:t>
      </w:r>
      <w:r>
        <w:rPr/>
        <w:t xml:space="preserve"> Notice of Concern; 10-day cooling-off with full standstill; Evidence Package with quantified estimate, counterfactual baseline, and uncertainty band; standing Verification Panel with trilateral roster, non-national Joint List, and one-time 15-day extension for complex matters; partial findings; second opinion; obstruction consequences; three-tier classification, with Tier 3 requiring clear and convincing evidence of deliberate or systematic conduct, reviewable under Article 31.A.</w:t>
      </w:r>
    </w:p>
    <w:p>
      <w:pPr>
        <w:pStyle w:val="Normal"/>
        <w:widowControl/>
        <w:rPr/>
      </w:pPr>
      <w:r>
        <w:rPr>
          <w:b/>
        </w:rPr>
        <w:t>B-2. Article 35.12 and Annex 35-A (new; hardened).</w:t>
      </w:r>
      <w:r>
        <w:rPr/>
        <w:t xml:space="preserve"> PTA formula retained; treaty fixes the ranges and principles (correction proportionate to distortion; escalation only with verified persistence; reduction with verified remediation; conservatism under uncertainty), while specific coefficients live in a Technical Schedule updatable by consensus within the treaty ranges; pass-through requires sector-specific evidence with a rebuttable default; the operative estimate is the lower bound of the uncertainty band absent full confirmation; correction and deterrence are separated — exceeding the verified distortion requires a separate reasoned panel finding of deliberate or sustained noncompliance, capped at twice the best estimate.</w:t>
      </w:r>
    </w:p>
    <w:p>
      <w:pPr>
        <w:pStyle w:val="Normal"/>
        <w:widowControl/>
        <w:rPr/>
      </w:pPr>
      <w:r>
        <w:rPr>
          <w:b/>
        </w:rPr>
        <w:t>B-3. Articles 35.13 and 35.13A (new).</w:t>
      </w:r>
      <w:r>
        <w:rPr/>
        <w:t xml:space="preserve"> Narrowest-sufficient-remedy ladder; anti-fragmentation rule for integrated products — coordinated verification, single-module assignment by dominant purpose, and a cumulative ceiling so a vehicle cannot face stacked PTAs from its battery, steel, and semiconductor modules.</w:t>
      </w:r>
    </w:p>
    <w:p>
      <w:pPr>
        <w:pStyle w:val="Normal"/>
        <w:widowControl/>
        <w:rPr/>
      </w:pPr>
      <w:r>
        <w:rPr>
          <w:b/>
        </w:rPr>
        <w:t>B-4. Article 35.14 (new; hardened).</w:t>
      </w:r>
      <w:r>
        <w:rPr/>
        <w:t xml:space="preserve"> Escrow in lieu of collection, with full custody architecture: currency and exchange-rate risk on the facility, interest follows principal, segregated accounts, administrative costs on the Parties, loss-sharing on facility failure with refund entitlements preserved, 15-day release, and alternatives to cash (guarantees, bonds, insurance), reduced-security treatment for trusted traders, and SME hardship waivers.</w:t>
      </w:r>
    </w:p>
    <w:p>
      <w:pPr>
        <w:pStyle w:val="Normal"/>
        <w:widowControl/>
        <w:rPr/>
      </w:pPr>
      <w:r>
        <w:rPr>
          <w:b/>
        </w:rPr>
        <w:t>B-5. Article 35.15 and Annex 35-B (new; hardened).</w:t>
      </w:r>
      <w:r>
        <w:rPr/>
        <w:t xml:space="preserve"> Nine modules with sub-modules; dominant-purpose test for multi-module goods with the burden on the Party advocating broader assignment; cross-module measures only after final determination, noncompliance, and a separate reasoned panel finding that same-module measures are demonstrably incapable of inducing compliance.</w:t>
      </w:r>
    </w:p>
    <w:p>
      <w:pPr>
        <w:pStyle w:val="Normal"/>
        <w:widowControl/>
        <w:rPr/>
      </w:pPr>
      <w:r>
        <w:rPr>
          <w:b/>
        </w:rPr>
        <w:t>B-6. Articles 35.16–35.18 (new).</w:t>
      </w:r>
      <w:r>
        <w:rPr/>
        <w:t xml:space="preserve"> Stages 0–6; express abolition of snapback; remediation conditions issued with the finding; no admission or unrelated concession; automatic restoration on certification.</w:t>
      </w:r>
    </w:p>
    <w:p>
      <w:pPr>
        <w:pStyle w:val="Normal"/>
        <w:widowControl/>
        <w:rPr/>
      </w:pPr>
      <w:r>
        <w:rPr>
          <w:b/>
        </w:rPr>
        <w:t>B-7. Article 35.19 (new).</w:t>
      </w:r>
      <w:r>
        <w:rPr/>
        <w:t xml:space="preserve"> Frivolous-allegation ladder, symmetric for obstruction.</w:t>
      </w:r>
    </w:p>
    <w:p>
      <w:pPr>
        <w:pStyle w:val="Normal"/>
        <w:widowControl/>
        <w:rPr/>
      </w:pPr>
      <w:r>
        <w:rPr>
          <w:b/>
        </w:rPr>
        <w:t>B-8. Article 35.21 (new; hardened).</w:t>
      </w:r>
      <w:r>
        <w:rPr/>
        <w:t xml:space="preserve"> Emergency defined narrowly (sudden, unforeseen, objectively demonstrable; political urgency, elections, lobbying, price weakness, and trade deficits excluded); 24-hour notification, 72-hour review, 30-day expiry; successive substantially identical measures — including re-justified ones — aggregate into one measure with a 60-day annual cumulative cap absent full verification.</w:t>
      </w:r>
    </w:p>
    <w:p>
      <w:pPr>
        <w:pStyle w:val="Normal"/>
        <w:widowControl/>
        <w:rPr/>
      </w:pPr>
      <w:r>
        <w:rPr>
          <w:b/>
        </w:rPr>
        <w:t>B-9. Article 35.22 (new; hardened).</w:t>
      </w:r>
      <w:r>
        <w:rPr/>
        <w:t xml:space="preserve"> Security lane: 45-day review on connection, material contribution, non-originating-content targeting, TNAO alternative, narrower-measure analysis; mandatory exemption and narrowing outcomes; 180-day reviews and two-year limit with renewal aggregation; and an expressly codified review boundary — what panels may examine (scope, coverage, procedure, trade contribution, narrower alternatives) and what they categorically may not (threat assessment, intelligence credibility, military adequacy, the determination of security interests), with reports required to identify the category of each finding.</w:t>
      </w:r>
    </w:p>
    <w:p>
      <w:pPr>
        <w:pStyle w:val="Normal"/>
        <w:widowControl/>
        <w:rPr/>
      </w:pPr>
      <w:r>
        <w:rPr>
          <w:b/>
        </w:rPr>
        <w:t>B-10. Articles 35.23–35.25 (new; hardened).</w:t>
      </w:r>
      <w:r>
        <w:rPr/>
        <w:t xml:space="preserve"> Strategic-sector circuit breakers; Trade Measures Registry (unregistered measures unenforceable, refundable); Trade Impact Facility with base-plus-usage funding, reimbursement by the Party responsible for an unlawful measure, precise eligibility (material injury, causation, thresholds, caps, no double recovery, annual published audit, SME priority).</w:t>
      </w:r>
    </w:p>
    <w:p>
      <w:pPr>
        <w:pStyle w:val="Normal"/>
        <w:widowControl/>
        <w:rPr/>
      </w:pPr>
      <w:r>
        <w:rPr>
          <w:b/>
        </w:rPr>
        <w:t>B-11. Article 35.20 and Annex 35-E (hardened).</w:t>
      </w:r>
      <w:r>
        <w:rPr/>
        <w:t xml:space="preserve"> Compensation before escalation in any mutually agreed form; market-access credits demoted to an optional instrument, never a precondition, with valuation, transfer, expiry, legal-capacity substitution, and WTO-consistency rules.</w:t>
      </w:r>
    </w:p>
    <w:p>
      <w:pPr>
        <w:pStyle w:val="Normal"/>
        <w:widowControl/>
        <w:rPr/>
      </w:pPr>
      <w:r>
        <w:rPr>
          <w:b/>
        </w:rPr>
        <w:t>B-12. Articles 35.10.10 and 35.10A (new).</w:t>
      </w:r>
      <w:r>
        <w:rPr/>
        <w:t xml:space="preserve"> Verifier and panelist independence: disclosure, recusal, two-year cooling-off, published compensation, replacement by lot. Rights of affected private entities: notice, non-confidential evidence access, representation, submissions, confidentiality protection, correction rights, and 30-day appeal with suspension pending appeal except certified Tier 3 urgency.</w:t>
      </w:r>
    </w:p>
    <w:p>
      <w:pPr>
        <w:pStyle w:val="Normal"/>
        <w:widowControl/>
        <w:rPr/>
      </w:pPr>
      <w:r>
        <w:rPr>
          <w:b/>
        </w:rPr>
        <w:t>B-13. Annex 35-C (hardened).</w:t>
      </w:r>
      <w:r>
        <w:rPr/>
        <w:t xml:space="preserve"> Registry safeguards: encryption, role-based access, annual penetration testing, immutable audit logs, 72-hour breach notification; four-tier confidential-business-information regime including a national-custody tier for data that may never leave national customs systems; misuse sanctions; data minimization and retention schedules.</w:t>
      </w:r>
    </w:p>
    <w:p>
      <w:pPr>
        <w:pStyle w:val="Normal"/>
        <w:widowControl/>
        <w:rPr/>
      </w:pPr>
      <w:r>
        <w:rPr>
          <w:b/>
        </w:rPr>
        <w:t>B-14. Articles 35.28–35.29 (new).</w:t>
      </w:r>
      <w:r>
        <w:rPr/>
        <w:t xml:space="preserve"> Institutional consolidation: one permanent Treaty Integrity Secretariat within the Chapter 30 Secretariat operates all registries, facilities, and roster administration — no fragmented new bureaucracies. No-Fade Guarantee: no right, preference, guarantee, protection, or status lapses by passage of time; time-limits attach only to restrictive extraordinary measures and transitions.</w:t>
      </w:r>
    </w:p>
    <w:p>
      <w:bookmarkStart w:id="2117" w:name="_NAESTMA_TOC_2117"/>
      <w:pPr>
        <w:pStyle w:val="Heading2"/>
        <w:keepNext/>
        <w:widowControl/>
        <w:rPr/>
      </w:pPr>
      <w:bookmarkStart w:id="330" w:name="_Toc237912812"/>
      <w:r>
        <w:rPr/>
        <w:t>PACKAGE C — MODERNIZED DISPUTE SETTLEMENT (Chapter 31)</w:t>
      </w:r>
      <w:bookmarkEnd w:id="330"/>
      <w:bookmarkEnd w:id="2117"/>
    </w:p>
    <w:p>
      <w:pPr>
        <w:pStyle w:val="Normal"/>
        <w:widowControl/>
        <w:rPr/>
      </w:pPr>
      <w:r>
        <w:rPr>
          <w:b/>
        </w:rPr>
        <w:t>C-1. Article 31.A (new; hardened).</w:t>
      </w:r>
      <w:r>
        <w:rPr/>
        <w:t xml:space="preserve"> Expedited Tariff Panel: automatic establishment, 5-day composition, 45-day reports (20 for perishables/critical infrastructure), one tightly limited 30-day extension for exceptionally complex matters upon reasoned published finding; binding interim indications hardened with a strong-prima-facie-case plus irreparable-harm threshold, reasons, 60-day expiry, and 5-day emergency reconsideration; automatic countermeasure authorization upon noncompliance subject to level review.</w:t>
      </w:r>
    </w:p>
    <w:p>
      <w:pPr>
        <w:pStyle w:val="Normal"/>
        <w:widowControl/>
        <w:rPr/>
      </w:pPr>
      <w:r>
        <w:rPr>
          <w:b/>
        </w:rPr>
        <w:t>C-2. Article 31.C (new).</w:t>
      </w:r>
      <w:r>
        <w:rPr/>
        <w:t xml:space="preserve"> Standing tariff roster; Secretariat default designation on non-appointment; independence, disclosure, recusal, and cooling-off rules; non-participation does not defeat jurisdiction.</w:t>
      </w:r>
    </w:p>
    <w:p>
      <w:pPr>
        <w:pStyle w:val="Normal"/>
        <w:widowControl/>
        <w:rPr/>
      </w:pPr>
      <w:r>
        <w:rPr>
          <w:b/>
        </w:rPr>
        <w:t>C-3. Article 31.D (new).</w:t>
      </w:r>
      <w:r>
        <w:rPr/>
        <w:t xml:space="preserve"> Fixed compliance periods, 60-day compliance panels, 30-day expedited compliance review, automatic termination of countermeasures upon compliance.</w:t>
      </w:r>
    </w:p>
    <w:p>
      <w:bookmarkStart w:id="2118" w:name="_NAESTMA_TOC_2118"/>
      <w:pPr>
        <w:pStyle w:val="Heading2"/>
        <w:keepNext/>
        <w:widowControl/>
        <w:rPr/>
      </w:pPr>
      <w:bookmarkStart w:id="331" w:name="_Toc237912813"/>
      <w:r>
        <w:rPr/>
        <w:t>PACKAGE D — RULES OF ORIGIN AND CUSTOMS MODERNIZATION (Chapters 4, 5, 7)</w:t>
      </w:r>
      <w:bookmarkEnd w:id="331"/>
      <w:bookmarkEnd w:id="2118"/>
    </w:p>
    <w:p>
      <w:pPr>
        <w:pStyle w:val="Normal"/>
        <w:widowControl/>
        <w:rPr/>
      </w:pPr>
      <w:r>
        <w:rPr>
          <w:b/>
        </w:rPr>
        <w:t>D-1. Article 4.A.1–4.A.2.</w:t>
      </w:r>
      <w:r>
        <w:rPr/>
        <w:t xml:space="preserve"> North American origin reaffirmed as the single regional concept; no single-Party content condition; 24-month automotive technical modernization (EVs, batteries, software, simplified RVC, circular content, 36-month phase-ins); non-qualifying vehicles dutiable only on non-North-American value.</w:t>
      </w:r>
    </w:p>
    <w:p>
      <w:pPr>
        <w:pStyle w:val="Normal"/>
        <w:widowControl/>
        <w:rPr/>
      </w:pPr>
      <w:r>
        <w:rPr>
          <w:b/>
        </w:rPr>
        <w:t>D-2. Articles 4.A.3–4.A.5.</w:t>
      </w:r>
      <w:r>
        <w:rPr/>
        <w:t xml:space="preserve"> Melted-and-poured/smelted-and-cast with traceability certification; circular production origin-conferring; semiconductors-without-North-American-substitute rule.</w:t>
      </w:r>
    </w:p>
    <w:p>
      <w:pPr>
        <w:pStyle w:val="Normal"/>
        <w:widowControl/>
        <w:rPr/>
      </w:pPr>
      <w:r>
        <w:rPr>
          <w:b/>
        </w:rPr>
        <w:t>D-3. Articles 5.A–5.E (hardened).</w:t>
      </w:r>
      <w:r>
        <w:rPr/>
        <w:t xml:space="preserve"> Verification discipline (reasonable grounds, no industry-wide sweeps absent certified risk, 150-day outer limit, provisional acceptance thereafter, no repetitive verification without new evidence); joint verification and data exchange; entity-targeted anti-circumvention with Article 35.10A procedural rights and automatic restoration; advance rulings; TNAO appeals; electronic certification interoperability.</w:t>
      </w:r>
    </w:p>
    <w:p>
      <w:pPr>
        <w:pStyle w:val="Normal"/>
        <w:widowControl/>
        <w:rPr/>
      </w:pPr>
      <w:r>
        <w:rPr>
          <w:b/>
        </w:rPr>
        <w:t>D-4. Articles 7.A–7.E (hardened).</w:t>
      </w:r>
      <w:r>
        <w:rPr/>
        <w:t xml:space="preserve"> De minimis floor at January 1, 2020 levels; single-window interoperability in 36 months; port-of-entry uniformity with express prohibition of discriminatory port channeling; published border processing benchmarks forming the test for customs-delay weaponization; mutual trusted-trader recognition.</w:t>
      </w:r>
    </w:p>
    <w:p>
      <w:pPr>
        <w:pStyle w:val="Normal"/>
        <w:widowControl/>
        <w:rPr/>
      </w:pPr>
      <w:r>
        <w:rPr/>
        <w:t>D-5. Annex 12-G (new). North American Aviation Certification Fast Lane: concurrent FAA-TCCA-AFAC review where practicable; maximum lawful reliance on counterpart technical findings and test evidence; published response clocks and delay explanations; non-discrimination and prohibition of politically motivated certification delay; joint certification pathway for novel technologies; and an explicit institutional firewall preserving sovereign safety determinations and emergency authority.</w:t>
      </w:r>
    </w:p>
    <w:p>
      <w:bookmarkStart w:id="2119" w:name="_NAESTMA_TOC_2119"/>
      <w:pPr>
        <w:pStyle w:val="Heading2"/>
        <w:keepNext/>
        <w:widowControl/>
        <w:rPr/>
      </w:pPr>
      <w:bookmarkStart w:id="332" w:name="_Toc237912814"/>
      <w:r>
        <w:rPr/>
        <w:t>PACKAGE E — ECONOMIC SECURITY, MINERALS, CONTINUITY, TECHNOLOGY, ENERGY (Chapters 36–40)</w:t>
      </w:r>
      <w:bookmarkEnd w:id="332"/>
      <w:bookmarkEnd w:id="2119"/>
    </w:p>
    <w:p>
      <w:pPr>
        <w:pStyle w:val="Normal"/>
        <w:widowControl/>
        <w:rPr/>
      </w:pPr>
      <w:r>
        <w:rPr>
          <w:b/>
        </w:rPr>
        <w:t>E-1. Chapter 36 (hardened). Economic-security concept; Subcommittee; common external defense; TNAO with published, measurable, sector-specific criteria, automatic renewal on demonstrated compliance, entity-confined suspension with notice, evidence access, response rights, rapid appeal, and automatic restoration within 30 days of verified correction; non-market-practice coordination; investment-screening exchange without vetoes; sovereignty safeguard; strategic-sector mapping expanded to advanced compute infrastructure, grid-scale storage, high-voltage equipment, data-centre cooling, and high-speed networking.</w:t>
      </w:r>
    </w:p>
    <w:p>
      <w:pPr>
        <w:pStyle w:val="Normal"/>
        <w:widowControl/>
        <w:rPr/>
      </w:pPr>
      <w:r>
        <w:rPr/>
        <w:t>E-2. Chapter 37 (expanded and visibility-hardened). Critical minerals and strategic materials: duty-free originating trade; processing/refining/recycling and by-product recovery; risk-based traceability; Trusted Strategic Materials Sources; strategic supply and offtake architecture; North American Midstream Gap Register; Canada Midstream Industrialization, U.S. Strategic Dependency Reduction, and Mexico Industrial Inputs/Specialty Minerals tracks; aluminum and semiconductor-material capacity; stockpile and surge cooperation; and bilateral or trilateral reciprocal mineral bargains, including protected minerals-for-forestry normalization pathways.</w:t>
      </w:r>
    </w:p>
    <w:p>
      <w:pPr>
        <w:pStyle w:val="Normal"/>
        <w:widowControl/>
        <w:rPr/>
      </w:pPr>
      <w:r>
        <w:rPr/>
        <w:t>E-2A. Articles 36.14–36.14A (expanded). North American steel and aluminum security is paired with a Metals Investment Compact covering anti-transshipment and provenance, new and modernized capacity, recycling, strategic and defense-grade products, a public investment/capacity dashboard, grounded headline investment targets, durable tariff normalization, and matched-performance protection under Article 35.36.</w:t>
      </w:r>
    </w:p>
    <w:p>
      <w:pPr>
        <w:pStyle w:val="Normal"/>
        <w:widowControl/>
        <w:rPr/>
      </w:pPr>
      <w:r>
        <w:rPr/>
        <w:t>E-2B — Chapter 63 added: North American Medicines Security and Pharmaceutical Resilience. Establishes medicines peace/no-tariff-hostage protections; essential-medicine classification; pharmaceutical origin rules; API/KSM, generics, sterile-injectable, antibiotic, vaccine/biologic, cold-chain, reserve and isotope resilience; regulatory cooperation and facility PreCheck; workforce, research and IP safeguards; United States, Canadian and Mexican industrial tracks; controlled-medicine and fentanyl diversion safeguards; upgraded fentanyl transparency; investment dashboard; exercises; no-new-bureaucracy and no-uncompensated-front-loading rules.</w:t>
      </w:r>
    </w:p>
    <w:p>
      <w:pPr>
        <w:pStyle w:val="Normal"/>
        <w:widowControl/>
        <w:rPr/>
      </w:pPr>
      <w:r>
        <w:rPr>
          <w:b/>
        </w:rPr>
        <w:t>E-3. Chapter 38 (hardened). Emergency Trade Continuity with aggregation of successive substantially identical restrictions; export-restriction disciplines integrated with Article 35.3A; emergency coordination extended to electricity restoration, storage, critical-compute continuity, digital-load curtailment, and telecommunications restoration without creating permanent export obligations.</w:t>
      </w:r>
    </w:p>
    <w:p>
      <w:pPr>
        <w:pStyle w:val="Normal"/>
        <w:widowControl/>
        <w:rPr/>
      </w:pPr>
      <w:r>
        <w:rPr>
          <w:b/>
        </w:rPr>
        <w:t>E-4. Chapter 39. AI and advanced technology: non-discrimination; cooperation without forced harmonization; technical-update mechanism within the narrowed limits of Article 34.3.A; Strategic Compute Infrastructure Cooperation added for energy-efficient compute, advanced cooling, high-speed networking, grid-aware workload management, secure cloud infrastructure, sovereign compute, and commercially reasonable access.</w:t>
      </w:r>
    </w:p>
    <w:p>
      <w:pPr>
        <w:pStyle w:val="Normal"/>
        <w:widowControl/>
        <w:rPr/>
      </w:pPr>
      <w:r>
        <w:rPr>
          <w:b/>
        </w:rPr>
        <w:t>E-5. Chapter 40. Energy security, grid resilience, critical energy equipment, and non-discrimination in energy-market administration expanded through the North American Energy, Compute and Storage Initiative: build-the-power-with-the-load discipline; Strategic Compute and Energy Zones; voluntary cross-border clean-power and compute corridors; domestic reliability and anti-crowding-out safeguards; transmission and interconnection cooperation; flexible digital load; long-duration storage; sodium-ion and molten-salt demonstration pathways; curtailment-to-storage; foreign strategic-technology localization without origin circumvention; critical-infrastructure cybersecurity; compute sovereignty; fibre resilience; host-community and Indigenous participation; metrics and biennial technical review; and Annex 40-A implementation criteria.</w:t>
      </w:r>
    </w:p>
    <w:p>
      <w:pPr>
        <w:pStyle w:val="Normal"/>
        <w:widowControl/>
        <w:rPr/>
      </w:pPr>
      <w:r>
        <w:rPr/>
        <w:t>PACKAGE AR — ENERGY SOVEREIGNTY, OPTIONALITY, AND INTEGRATED INFRASTRUCTURE SIMULATION (v6.4)</w:t>
      </w:r>
    </w:p>
    <w:p>
      <w:pPr>
        <w:pStyle w:val="Normal"/>
        <w:widowControl/>
        <w:rPr/>
      </w:pPr>
      <w:r>
        <w:rPr/>
        <w:t>AR-1. Articles 40.33–40.35 harden the No Named-Project doctrine: no compulsory named project, extraction, production, export, throughput, purchase, or utilization guarantee; lawful non-selection of Keystone XL or another named asset is not by itself non-compliance; function-based objectives may be satisfied by qualifying alternatives.</w:t>
      </w:r>
    </w:p>
    <w:p>
      <w:pPr>
        <w:pStyle w:val="Normal"/>
        <w:widowControl/>
        <w:rPr/>
      </w:pPr>
      <w:r>
        <w:rPr/>
        <w:t>AR-2. Articles 40.36–40.42 add domestic reliability and affordability protection, incremental-load cost responsibility, no foreign large-load entitlement to subsidized electricity rates, effective-performance and anti-circumvention safeguards, environmental/Indigenous/water protections, energy-dispute containment, emergency safe mode, change-of-control security review, and no double counting of energy-capacity consideration.</w:t>
      </w:r>
    </w:p>
    <w:p>
      <w:pPr>
        <w:pStyle w:val="Normal"/>
        <w:widowControl/>
        <w:rPr/>
      </w:pPr>
      <w:r>
        <w:rPr/>
        <w:t>AR-3. Articles 40.43–40.47 establish a voluntary North American Integrated Energy-Compute-Water Simulation Initiative. Canada may lead an initial software feasibility study and share non-sensitive results; realistic operating-envelope evaluation and iterative improvement are emphasized; favourable simulation creates no construction, procurement, certification, funding, or performance entitlement.</w:t>
      </w:r>
    </w:p>
    <w:p>
      <w:pPr>
        <w:pStyle w:val="Normal"/>
        <w:widowControl/>
        <w:rPr/>
      </w:pPr>
      <w:r>
        <w:rPr/>
        <w:t>AR-4. Article 40.44 permits Canada to nominate MundusLux-300 Triple-Hybrid as an initial reference architecture while expressly disclosing its non-governmental origin and denying preference, exclusivity, endorsement, procurement rights, standard-setting status, or automatic advancement. The United States and Mexico may nominate additional qualifying architectures under comparable evaluation standards.</w:t>
      </w:r>
    </w:p>
    <w:p>
      <w:pPr>
        <w:pStyle w:val="Normal"/>
        <w:widowControl/>
        <w:rPr/>
      </w:pPr>
      <w:r>
        <w:rPr/>
        <w:t>AR-5. Annex 40-A adds simulation eligibility, initial-reference, metrics, and functional-credit notes. Experimental simulation earns research/innovation credit only until operational performance is independently demonstrated. No new permanent bureaucracy is created.</w:t>
      </w:r>
    </w:p>
    <w:p>
      <w:bookmarkStart w:id="2120" w:name="_NAESTMA_TOC_2120"/>
      <w:pPr>
        <w:pStyle w:val="Heading2"/>
        <w:keepNext/>
        <w:widowControl/>
        <w:rPr/>
      </w:pPr>
      <w:bookmarkStart w:id="333" w:name="_Toc237912815"/>
      <w:r>
        <w:rPr/>
        <w:t>PACKAGE F — TRADE REMEDIES, LABOUR, ENVIRONMENT, DIGITAL, INSTITUTIONS, FINAL PROVISIONS</w:t>
      </w:r>
      <w:bookmarkEnd w:id="333"/>
      <w:bookmarkEnd w:id="2120"/>
    </w:p>
    <w:p>
      <w:pPr>
        <w:pStyle w:val="Normal"/>
        <w:widowControl/>
        <w:rPr/>
      </w:pPr>
      <w:r>
        <w:rPr>
          <w:b/>
        </w:rPr>
        <w:t>F-1. Articles 10.A–10.B (new, v3.9).</w:t>
      </w:r>
      <w:r>
        <w:rPr/>
        <w:t xml:space="preserve"> AD/CVD hardened against substitution: initiation-evidence standards, transparent methodologies, non-attribution causation, defense rights, sunset discipline, pattern consultations; safeguards require Party-specific substantial-contribution analysis excluding non-contributing Parties’ originating goods, with time-limits, progressive liberalization, reassessment, automatic termination, cooling-off, and expedited review.</w:t>
      </w:r>
    </w:p>
    <w:p>
      <w:pPr>
        <w:pStyle w:val="Normal"/>
        <w:widowControl/>
        <w:rPr/>
      </w:pPr>
      <w:r>
        <w:rPr>
          <w:b/>
        </w:rPr>
        <w:t>F-2. Article 23.A.</w:t>
      </w:r>
      <w:r>
        <w:rPr/>
        <w:t xml:space="preserve"> Forced-labour interoperability with the express rule that enforcement disagreements do not authorize tariffs on unconnected originating goods.</w:t>
      </w:r>
    </w:p>
    <w:p>
      <w:pPr>
        <w:pStyle w:val="Normal"/>
        <w:widowControl/>
        <w:rPr/>
      </w:pPr>
      <w:r>
        <w:rPr>
          <w:b/>
        </w:rPr>
        <w:t>F-3. Articles 24.A–24.B.</w:t>
      </w:r>
      <w:r>
        <w:rPr/>
        <w:t xml:space="preserve"> Environmental traceability; natural phenomena not a basis for covered border measures.</w:t>
      </w:r>
    </w:p>
    <w:p>
      <w:pPr>
        <w:pStyle w:val="Normal"/>
        <w:widowControl/>
        <w:rPr/>
      </w:pPr>
      <w:r>
        <w:rPr>
          <w:b/>
        </w:rPr>
        <w:t>F-4. Articles 19.A–19.G.</w:t>
      </w:r>
      <w:r>
        <w:rPr/>
        <w:t xml:space="preserve"> Digital trade modernization; Committee on Digital Trade Cooperation.</w:t>
      </w:r>
    </w:p>
    <w:p>
      <w:pPr>
        <w:pStyle w:val="Normal"/>
        <w:widowControl/>
        <w:rPr/>
      </w:pPr>
      <w:r>
        <w:rPr>
          <w:b/>
        </w:rPr>
        <w:t>F-5. Articles 26.A–26.C, 30.A–30.C (hardened).</w:t>
      </w:r>
      <w:r>
        <w:rPr/>
        <w:t xml:space="preserve"> Expanded Competitiveness Committee; consolidated institutional architecture — one Treaty Integrity Secretariat, one Verification Panel, defined committees, no further permanent bodies; institutional deadlines and anti-deadlock.</w:t>
      </w:r>
    </w:p>
    <w:p>
      <w:pPr>
        <w:pStyle w:val="Normal"/>
        <w:widowControl/>
        <w:rPr/>
      </w:pPr>
      <w:r>
        <w:rPr/>
        <w:t>F-6. Articles 34.A–34.E (hardened). Structured Technical Amendment Procedure narrowed to nomenclature, in-range thresholds, technical standards, and annex maintenance, with an express prohibition on substantively legislative use and a Chapter 31 challenge route; Article 34.7 replaced with indefinite duration and modernization review mechanics under the No-Fade Guarantee; side-letter supersession; a 12-month mechanical verification and corrigendum process for the consolidated text against the authoritative instruments.</w:t>
      </w:r>
    </w:p>
    <w:p>
      <w:bookmarkStart w:id="2121" w:name="_NAESTMA_TOC_2121"/>
      <w:pPr>
        <w:pStyle w:val="Heading2"/>
        <w:keepNext/>
        <w:widowControl/>
        <w:rPr/>
      </w:pPr>
      <w:r>
        <w:rPr/>
        <w:t>PACKAGE W — SOFTWOOD LUMBER, HOUSING SUPPLY, AND FORESTRY STABILITY (v4.2-L)</w:t>
      </w:r>
      <w:bookmarkEnd w:id="2121"/>
    </w:p>
    <w:p>
      <w:pPr>
        <w:pStyle w:val="Normal"/>
        <w:widowControl/>
        <w:rPr/>
      </w:pPr>
      <w:r>
        <w:rPr/>
        <w:t>W-1. Chapter 42 expanded into a durable softwood-lumber and forestry stability architecture. The package preserves the existing stumpage-neutrality and expedited-review framework while adding: an objective-criteria/non-arbitrariness rule; a neutral Market-Based Forestry Practice Safe Harbor; North American housing-supply and affordability cooperation; a condition-triggered housing and disaster-reconstruction emergency valve; an Advanced Wood Products and Value-Added Manufacturing Corridor; mutual recognition for equivalent grading, kiln-drying, phytosanitary, fire-performance, sustainability, and related certifications; prospective-treatment and reliance protections; Trusted Forest Products Trade Lane procedures; a trilateral Forestry Resilience and Forest-Health Partnership; neutral Indigenous/community/SME participation pathways; carefully bounded public-construction cooperation; and a Cothrom interface limited to factual verification. Article 42.7 is converted to explicit No-Fade continuity and Rolling-Horizon review. The package deliberately does not establish fixed duty rates, province-specific exemptions, rail-only preferences, mandatory procurement volumes, blanket ownership-based duty exemptions, withdrawal of WTO/CUSMA remedies, or automatic calendar-based sunsets.</w:t>
      </w:r>
    </w:p>
    <w:p>
      <w:bookmarkStart w:id="2122" w:name="_NAESTMA_TOC_2122"/>
      <w:pPr>
        <w:pStyle w:val="Heading2"/>
        <w:keepNext/>
        <w:widowControl/>
        <w:rPr/>
      </w:pPr>
      <w:r>
        <w:rPr/>
        <w:t>PACKAGE W — PRELIMINARY STRATEGIC MINERALS, SEMICONDUCTOR, AND FORESTRY BARGAIN INTEGRATION (v4.9)</w:t>
      </w:r>
      <w:bookmarkEnd w:id="2122"/>
    </w:p>
    <w:p>
      <w:pPr>
        <w:pStyle w:val="Normal"/>
        <w:widowControl/>
        <w:rPr/>
      </w:pPr>
      <w:r>
        <w:rPr/>
        <w:t>This package adds Articles 37.19 through 37.30 establishing concrete strategic-minerals bargains, country-specific industrialization and dependency tracks, by-product recovery, raw-to-refined additionality, a defined supply-surge doctrine, and an authorized-surge firewall; Articles 39.13 through 39.18 establishing a dedicated North American Semiconductor Security and Competitiveness Pact; and Articles 42.19 through 42.23 establishing staged minerals-for-forestry normalization subject to institutional performance, proportional linkage, and Cothrom review. Numerical commitments remain subject to calibration and schedule adoption where expressly required.</w:t>
      </w:r>
    </w:p>
    <w:p>
      <w:bookmarkStart w:id="2123" w:name="_NAESTMA_TOC_2123"/>
      <w:pPr>
        <w:pStyle w:val="Heading2"/>
        <w:keepNext/>
        <w:widowControl/>
        <w:rPr/>
      </w:pPr>
      <w:r>
        <w:rPr/>
        <w:t>PACKAGE AB — MEXICO PARITY, TRILATERAL PROCUREMENT, FORESTRY INTEGRATION, AND INDUSTRIAL RESILIENCE (v5.0)</w:t>
      </w:r>
      <w:bookmarkEnd w:id="2123"/>
    </w:p>
    <w:p>
      <w:pPr>
        <w:pStyle w:val="Normal"/>
        <w:widowControl/>
        <w:rPr/>
      </w:pPr>
      <w:r>
        <w:rPr/>
        <w:t>Added Articles 42.24–42.29, 48.6, 49.7–49.9, 50.8, 59.22, and Chapter 61. The package gives Mexico concrete forestry, tariff-normalization, automotive-origin, digital-manufacturing, procurement, and industrial-resilience benefits while preserving the bilateral character of the historic Canada-United States softwood-lumber dispute. It also creates a North American strategic procurement lane and a defense-industrial materials/resilience chapter with civilian-priority and no-compulsory-production safeguards.</w:t>
      </w:r>
    </w:p>
    <w:p>
      <w:bookmarkStart w:id="2124" w:name="_NAESTMA_TOC_2124"/>
      <w:pPr>
        <w:pStyle w:val="Heading2"/>
        <w:keepNext/>
        <w:widowControl/>
        <w:rPr/>
      </w:pPr>
      <w:r>
        <w:rPr/>
        <w:t>PACKAGE AE — SYNCHRONIZED EXCHANGE, STRATEGIC MATERIALS PREFERRED ACCESS, AND FORESTRY COMMENSURABILITY (v5.4)</w:t>
      </w:r>
      <w:bookmarkEnd w:id="2124"/>
    </w:p>
    <w:p>
      <w:pPr>
        <w:pStyle w:val="Normal"/>
        <w:widowControl/>
        <w:rPr/>
      </w:pPr>
      <w:r>
        <w:rPr/>
        <w:t>PACKAGE AI — ESSENTIAL-SECURITY ANTI-CIRCUMVENTION AND TRUSTED-SUPPLY FIREWALL (v5.8)</w:t>
      </w:r>
    </w:p>
    <w:p>
      <w:pPr>
        <w:pStyle w:val="Normal"/>
        <w:widowControl/>
        <w:rPr/>
      </w:pPr>
      <w:r>
        <w:rPr/>
        <w:t>AI-1. Articles 32.A.1 through 32.A.9 classify security measures by function rather than label, preserve sovereign security judgment while making implementation reviewable, and prevent domestic-law, quota, licensing, procurement, inspection, or subnational end-runs around treaty safeguards.</w:t>
      </w:r>
    </w:p>
    <w:p>
      <w:pPr>
        <w:pStyle w:val="Normal"/>
        <w:widowControl/>
        <w:rPr/>
      </w:pPr>
      <w:r>
        <w:rPr/>
        <w:t>AI-2. Party-originating supply receives a rebuttable trusted-supply presumption; speculative future unreliability, ordinary foreign ownership, and incidental third-country connections do not establish insecurity.</w:t>
      </w:r>
    </w:p>
    <w:p>
      <w:pPr>
        <w:pStyle w:val="Normal"/>
        <w:widowControl/>
        <w:rPr/>
      </w:pPr>
      <w:r>
        <w:rPr/>
        <w:t>AI-3. Self-created emergencies, security inflation, formally global measures, repeated investigations, and classified-evidence black boxes receive specific anti-abuse disciplines, while genuine hostile control, circumvention, sanctions exposure, and concrete vulnerabilities remain actionable.</w:t>
      </w:r>
    </w:p>
    <w:p>
      <w:pPr>
        <w:pStyle w:val="Normal"/>
        <w:widowControl/>
        <w:rPr/>
      </w:pPr>
      <w:r>
        <w:rPr/>
        <w:t>AI-4. A non-derogable procedural core survives every security invocation, including notice, evidence preservation, independent review, integrity rules, humanitarian protection, periodic necessity review, and automatic restoration.</w:t>
      </w:r>
    </w:p>
    <w:p>
      <w:pPr>
        <w:pStyle w:val="Normal"/>
        <w:widowControl/>
        <w:rPr/>
      </w:pPr>
      <w:r>
        <w:rPr/>
        <w:t>PACKAGE AJ — CONTINUOUS TREATY, SOVEREIGN EXIT, AND ANTI-HOSTAGE WITHDRAWAL ARCHITECTURE (v5.8)</w:t>
      </w:r>
    </w:p>
    <w:p>
      <w:pPr>
        <w:pStyle w:val="Normal"/>
        <w:widowControl/>
        <w:rPr/>
      </w:pPr>
      <w:r>
        <w:rPr/>
        <w:t>AJ-1. Articles 34.G through 34.M preserve sovereign withdrawal while separating review from survival, preventing selective exit, notice cycling, legal effect from political rhetoric, and retroactive erasure of accrued responsibility.</w:t>
      </w:r>
    </w:p>
    <w:p>
      <w:pPr>
        <w:pStyle w:val="Normal"/>
        <w:widowControl/>
        <w:rPr/>
      </w:pPr>
      <w:r>
        <w:rPr/>
        <w:t>AJ-2. Withdrawal decisions are integrated into the MNPTI firewall; full performance continues through the notice period; jurisdiction, integrity review, record preservation, and accrued obligations survive as necessary.</w:t>
      </w:r>
    </w:p>
    <w:p>
      <w:pPr>
        <w:pStyle w:val="Normal"/>
        <w:widowControl/>
        <w:rPr/>
      </w:pPr>
      <w:r>
        <w:rPr/>
        <w:t>AJ-3. Settlement Finality establishes that continued performance of an existing bargain is not a fresh concession. Bilateral diplomacy cannot modify the third Party's trilateral rights without consent.</w:t>
      </w:r>
    </w:p>
    <w:p>
      <w:pPr>
        <w:pStyle w:val="Normal"/>
        <w:widowControl/>
        <w:rPr/>
      </w:pPr>
      <w:r>
        <w:rPr/>
        <w:t>AJ-4. Reaccession is deliberate rather than automatic and cannot be used as a temporary treaty holiday.</w:t>
      </w:r>
    </w:p>
    <w:p>
      <w:pPr>
        <w:pStyle w:val="Normal"/>
        <w:widowControl/>
        <w:rPr/>
      </w:pPr>
      <w:r>
        <w:rPr/>
        <w:t>PACKAGE AK — BUREAUCRATIC CONTINUITY, ADMINISTRATIVE FRICTION, AND INSTITUTIONAL SAFE-MODE HARDENING (v5.8)</w:t>
      </w:r>
    </w:p>
    <w:p>
      <w:pPr>
        <w:pStyle w:val="Normal"/>
        <w:widowControl/>
        <w:rPr/>
      </w:pPr>
      <w:r>
        <w:rPr/>
        <w:t>AK-1. Articles 46.12 through 46.19 make institutions vacancy-proof, boycott-resistant, less vulnerable to consensus hostage-taking, capable of protected evidence access, resistant to evidentiary landfill and successor-measure whack-a-mole, and able to detect cumulative administrative patterns.</w:t>
      </w:r>
    </w:p>
    <w:p>
      <w:pPr>
        <w:pStyle w:val="Normal"/>
        <w:widowControl/>
        <w:rPr/>
      </w:pPr>
      <w:r>
        <w:rPr/>
        <w:t>AK-2. Articles 47.14 through 47.18 protect core institutional funding, create auditable and redundant Secretariat operations, activate Safe Mode during outages, protect reasonable reliance on official administration, and govern automated or algorithmic administrative systems.</w:t>
      </w:r>
    </w:p>
    <w:p>
      <w:pPr>
        <w:pStyle w:val="Normal"/>
        <w:widowControl/>
        <w:rPr/>
      </w:pPr>
      <w:r>
        <w:rPr/>
        <w:t>AK-3. Articles 50.9 through 50.14 target customs friction, repeated audits, licensing purgatory, application goalpost shifting, trusted-status harassment, certification bottlenecks, and technical deadline games while preserving legitimate safety, security, health, environmental, and enforcement authority.</w:t>
      </w:r>
    </w:p>
    <w:p>
      <w:pPr>
        <w:pStyle w:val="Normal"/>
        <w:widowControl/>
        <w:rPr/>
      </w:pPr>
      <w:r>
        <w:rPr/>
        <w:t>AK-4. Article 35.59 establishes a treaty-wide Issue-Nexus Firewall so unrelated political or diplomatic grievances cannot be laundered into trade enforcement.</w:t>
      </w:r>
    </w:p>
    <w:p>
      <w:pPr>
        <w:pStyle w:val="Heading3"/>
        <w:keepNext/>
        <w:widowControl/>
        <w:rPr/>
      </w:pPr>
      <w:r>
        <w:rPr/>
        <w:t>PACKAGE AL — EFFECTIVE PERFORMANCE AND ANTI-MALICIOUS-COMPLIANCE FIREWALL (v5.9)</w:t>
      </w:r>
    </w:p>
    <w:p>
      <w:pPr>
        <w:pStyle w:val="Heading3"/>
        <w:keepNext/>
        <w:widowControl/>
        <w:rPr/>
      </w:pPr>
      <w:r>
        <w:rPr/>
        <w:t>AL-1. Articles 46.20–46.24 establish effective treaty performance, cumulative-friction and whole-of-government review, functional-successor restoration, institutional anti-paralysis, and implementation simplicity without converting treaty purpose into free-floating law.</w:t>
      </w:r>
    </w:p>
    <w:p>
      <w:pPr>
        <w:pStyle w:val="Heading3"/>
        <w:keepNext/>
        <w:widowControl/>
        <w:rPr/>
      </w:pPr>
      <w:r>
        <w:rPr/>
        <w:t>AL-2. Articles 50.15–50.19 close serial-processing, clock-reset, completeness, selective-intensity, proxy-discrimination, capacity-starvation, optional-pathway, informal-guidance, seasonal, corridor, and tail-risk loopholes.</w:t>
      </w:r>
    </w:p>
    <w:p>
      <w:pPr>
        <w:pStyle w:val="Heading3"/>
        <w:keepNext/>
        <w:widowControl/>
        <w:rPr/>
      </w:pPr>
      <w:r>
        <w:rPr/>
        <w:t>AL-3. The package deliberately relies on objective operation and effect rather than proof of malicious intent, while preserving safe space for legitimate health, safety, environment, security, privacy, revenue, fraud-prevention, and other public-interest regulation.</w:t>
      </w:r>
    </w:p>
    <w:p>
      <w:pPr>
        <w:pStyle w:val="Heading3"/>
        <w:keepNext/>
        <w:widowControl/>
        <w:rPr/>
      </w:pPr>
      <w:r>
        <w:rPr/>
        <w:t>AL-4. Cumulative violations must receive cumulative restoration; repeal of one component does not establish cure where the treaty-inconsistent impairment materially persists.</w:t>
      </w:r>
    </w:p>
    <w:p>
      <w:pPr>
        <w:pStyle w:val="Heading3"/>
        <w:keepNext/>
        <w:widowControl/>
        <w:rPr/>
      </w:pPr>
      <w:r>
        <w:rPr/>
        <w:t>AL-5. Treaty bodies receive proportionate anti-overload tools, including consolidation, structured submissions, usable reasons, issue lists, and consultation-exhaustion rules, subject to due process and non-derogable safeguards.</w:t>
      </w:r>
    </w:p>
    <w:p>
      <w:pPr>
        <w:pStyle w:val="Heading3"/>
        <w:keepNext/>
        <w:widowControl/>
        <w:rPr/>
      </w:pPr>
      <w:r>
        <w:rPr/>
        <w:t>PACKAGE AM — FISCAL SOVEREIGNTY AND ANTI-COERCION FIREWALL (v5.9)</w:t>
      </w:r>
    </w:p>
    <w:p>
      <w:pPr>
        <w:pStyle w:val="Heading3"/>
        <w:keepNext/>
        <w:widowControl/>
        <w:rPr/>
      </w:pPr>
      <w:r>
        <w:rPr/>
        <w:t>AM-1. Articles 32.3A–32.3H preserve broad taxation sovereignty while preventing a tax label, fiscal form, or portfolio of charges from laundering a prohibited tariff substitute, origin restriction, coercive trade remedy, political retaliation mechanism, or circumvention of a specifically negotiated market-access commitment.</w:t>
      </w:r>
    </w:p>
    <w:p>
      <w:pPr>
        <w:pStyle w:val="Heading3"/>
        <w:keepNext/>
        <w:widowControl/>
        <w:rPr/>
      </w:pPr>
      <w:r>
        <w:rPr/>
        <w:t>AM-2. Fiscal review examines effective burden, including base, rate, deductions, credits, exemptions, valuation, timing, refunds, penalties, bonds, deposits, security requirements, administration, and cumulative operation rather than nominal rate alone.</w:t>
      </w:r>
    </w:p>
    <w:p>
      <w:pPr>
        <w:pStyle w:val="Heading3"/>
        <w:keepNext/>
        <w:widowControl/>
        <w:rPr/>
      </w:pPr>
      <w:r>
        <w:rPr/>
        <w:t>AM-3. The package addresses proxy fiscal discrimination, tax-credit substitution pressure, audit and refund harassment, methodology manipulation, political-proxy targeting, retroactivity, treaty-settlement fiscal hostage-taking, and fiscal classification whack-a-mole.</w:t>
      </w:r>
    </w:p>
    <w:p>
      <w:pPr>
        <w:pStyle w:val="Heading3"/>
        <w:keepNext/>
        <w:widowControl/>
        <w:rPr/>
      </w:pPr>
      <w:r>
        <w:rPr/>
        <w:t>AM-4. Article 32.3G preserves tax-convention priority and designated-authority competence while allowing evidence preservation and narrowly tailored interim protection that does not prejudge the tax-convention question.</w:t>
      </w:r>
    </w:p>
    <w:p>
      <w:pPr>
        <w:pStyle w:val="Heading3"/>
        <w:keepNext/>
        <w:widowControl/>
        <w:rPr/>
      </w:pPr>
      <w:r>
        <w:rPr/>
        <w:t>AM-5. Cothrom is expressly barred from becoming a general appellate body for the wisdom, progressivity, level, or political desirability of domestic taxation. Remedies target the treaty-inconsistent feature while preserving bona fide alternative revenue design.</w:t>
      </w:r>
    </w:p>
    <w:p>
      <w:pPr>
        <w:pStyle w:val="Heading3"/>
        <w:keepNext/>
        <w:widowControl/>
        <w:rPr/>
      </w:pPr>
      <w:r>
        <w:t>PACKAGE AN — RECIPROCAL PROCUREMENT COMPACT AND VALUE-EQUIVALENCE INTEGRATION (v6.0)</w:t>
      </w:r>
    </w:p>
    <w:p>
      <w:pPr>
        <w:pStyle w:val="Heading3"/>
        <w:keepNext/>
        <w:widowControl/>
        <w:rPr/>
      </w:pPr>
      <w:r>
        <w:rPr/>
        <w:t>AN-1. Articles 49.7A–49.7H convert the preliminary procurement architecture into a practical reciprocal-access compact based on comparable opportunity rather than identical spending, institutions, or award outcomes.</w:t>
      </w:r>
    </w:p>
    <w:p>
      <w:pPr>
        <w:pStyle w:val="Heading3"/>
        <w:keepNext/>
        <w:widowControl/>
        <w:rPr/>
      </w:pPr>
      <w:r>
        <w:rPr/>
        <w:t>AN-2. The Effective Accessible Procurement Value method measures contestable covered value, thresholds, preference intensity, sector breadth, qualification burden, practical usability, payment, review, and related access conditions while excluding genuinely unavailable procurement from inflated headline totals.</w:t>
      </w:r>
    </w:p>
    <w:p>
      <w:pPr>
        <w:pStyle w:val="Heading3"/>
        <w:keepNext/>
        <w:widowControl/>
        <w:rPr/>
      </w:pPr>
      <w:r>
        <w:rPr/>
        <w:t>AN-3. Reciprocity Bands and a sovereign Rebalancing Menu permit each Party to cure material imbalance by choosing among additional coverage, lower thresholds, reduced preference intensity, SME facilitation, credential recognition, voluntary subnational participation, or other measurable access improvements. Enhanced benefits earn back automatically after verified cure.</w:t>
      </w:r>
    </w:p>
    <w:p>
      <w:pPr>
        <w:pStyle w:val="Heading3"/>
        <w:keepNext/>
        <w:widowControl/>
        <w:rPr/>
      </w:pPr>
      <w:r>
        <w:rPr/>
        <w:t>AN-4. The package creates an interoperable North American SME Procurement Passport and opportunity-discovery architecture, protects constitutional federalism, and rewards voluntary provincial, state, and other constitutionally competent subnational participation without compulsory federalization.</w:t>
      </w:r>
    </w:p>
    <w:p>
      <w:pPr>
        <w:pStyle w:val="Heading3"/>
        <w:keepNext/>
        <w:widowControl/>
        <w:rPr/>
      </w:pPr>
      <w:r>
        <w:rPr/>
        <w:t>AN-5. Strategic-capacity and resilience procurement may reward genuine new continental capacity and optional aggregated demand, but nationality scoring among qualifying Canadian, Mexican, and United States suppliers and intra-North-American cannibalization do not earn resilience credit.</w:t>
      </w:r>
    </w:p>
    <w:p>
      <w:pPr>
        <w:pStyle w:val="Heading3"/>
        <w:keepNext/>
        <w:widowControl/>
        <w:rPr/>
      </w:pPr>
      <w:r>
        <w:rPr/>
        <w:t>AN-6. Anti-gaming rules address contract splitting, entity shuffling, successor procurement, proxy purchasing, mid-tender rule changes, disguised local-presence requirements, discriminatory payment practices, and security-label overreach while preserving legitimate lifecycle, emergency, safety, integrity, and security procurement.</w:t>
      </w:r>
    </w:p>
    <w:p>
      <w:pPr>
        <w:pStyle w:val="Heading3"/>
        <w:keepNext/>
        <w:widowControl/>
        <w:rPr/>
      </w:pPr>
      <w:r>
        <w:rPr/>
        <w:t>AN-7. Annex 49-A is upgraded from a preliminary landing schedule into the North American Procurement Value-Equivalence and Landing Schedule, with contestable-value rules, EAPV factors, Reciprocity Bands, rebalancing, SME and capacity modifiers, voluntary subnational schedules, annual review, data protection, and a Three-Win review.</w:t>
      </w:r>
    </w:p>
    <w:p>
      <w:pPr>
        <w:pStyle w:val="Heading3"/>
        <w:keepNext/>
        <w:widowControl/>
        <w:rPr/>
      </w:pPr>
      <w:r>
        <w:rPr/>
        <w:t>AN-8. The package expressly guarantees equitable opportunity to compete rather than predetermined contract outcomes and makes correction or procurement rebalancing the first remedy for equivalence shortfalls.</w:t>
      </w:r>
    </w:p>
    <w:p>
      <w:pPr>
        <w:pStyle w:val="Normal"/>
        <w:widowControl/>
        <w:rPr/>
      </w:pPr>
      <w:r>
        <w:rPr/>
        <w:t>PACKAGE AH — ANTI-MANUFACTURED ESCALATION AND MARKET-INTEGRITY HARDENING (v5.7)</w:t>
      </w:r>
    </w:p>
    <w:p>
      <w:pPr>
        <w:pStyle w:val="Normal"/>
        <w:widowControl/>
        <w:rPr/>
      </w:pPr>
      <w:r>
        <w:rPr/>
        <w:t>AH-1. Articles 35.46-35.52 close manufactured-escalation pathways through binding Cure Certification, a strict non-tariff incapacity test, standardized economic-harm and model-integrity rules, strategic-nexus and market-definition safeguards, aggregate-remedy review, repetitive-petition safe harbours, and automatic learning review after every authorized tariff.</w:t>
      </w:r>
    </w:p>
    <w:p>
      <w:pPr>
        <w:pStyle w:val="Normal"/>
        <w:widowControl/>
        <w:rPr/>
      </w:pPr>
      <w:r>
        <w:rPr/>
        <w:t>AH-2. Full Cure Certification prevents a Party from perpetuating a resolved violation through unilateral disagreement; materially new facts or fraud are required to reopen the issue.</w:t>
      </w:r>
    </w:p>
    <w:p>
      <w:pPr>
        <w:pStyle w:val="Normal"/>
        <w:widowControl/>
        <w:rPr/>
      </w:pPr>
      <w:r>
        <w:rPr/>
        <w:t>AH-3. The exhaustion bypass is narrowly limited to material, non-speculative, substantially irreversible harm that cannot reasonably be addressed by accelerated or provisional non-tariff measures.</w:t>
      </w:r>
    </w:p>
    <w:p>
      <w:pPr>
        <w:pStyle w:val="Normal"/>
        <w:widowControl/>
        <w:rPr/>
      </w:pPr>
      <w:r>
        <w:rPr/>
        <w:t>AH-4. Economic models supporting escalation must separate observed and forecast loss, avoid double counting, disclose assumptions and uncertainty, and undergo independent replication or technical review.</w:t>
      </w:r>
    </w:p>
    <w:p>
      <w:pPr>
        <w:pStyle w:val="Normal"/>
        <w:widowControl/>
        <w:rPr/>
      </w:pPr>
      <w:r>
        <w:rPr/>
        <w:t>AH-5. Security and strategic claims require concrete vulnerability rather than mere connection to a sensitive sector; market definitions are independently validated to prevent denominator engineering.</w:t>
      </w:r>
    </w:p>
    <w:p>
      <w:pPr>
        <w:pStyle w:val="Normal"/>
        <w:widowControl/>
        <w:rPr/>
      </w:pPr>
      <w:r>
        <w:rPr/>
        <w:t>AH-6. Aggregate Remedy and Repetitive Petition safeguards prevent multiple legitimate proceedings from becoming de facto cross-sector punishment or perpetual tariff uncertainty.</w:t>
      </w:r>
    </w:p>
    <w:p>
      <w:pPr>
        <w:pStyle w:val="Normal"/>
        <w:widowControl/>
        <w:rPr/>
      </w:pPr>
      <w:r>
        <w:rPr/>
        <w:t>AH-7. Articles 35.53-35.58 and Annex 35-J create the Market Integrity and Non-Public Trade Information Firewall covering MNPTI, trading and tipping, derivatives and prediction markets, blackout and preclearance, beneficial ownership, record preservation, simultaneous Registry publication, selective disclosure, false procedural statements, regulatory event-window cooperation, and independent Market Integrity review.</w:t>
      </w:r>
    </w:p>
    <w:p>
      <w:pPr>
        <w:pStyle w:val="Normal"/>
        <w:widowControl/>
        <w:rPr/>
      </w:pPr>
      <w:r>
        <w:rPr/>
        <w:t>AH-8. A material market-manipulation or improper-profit scheme attributable to the tariff-petitioning Party can dismiss or terminate the tariff petition, while anti-false-flag rules prevent unrelated misconduct from rewarding another wrongdoer.</w:t>
      </w:r>
    </w:p>
    <w:p>
      <w:pPr>
        <w:pStyle w:val="Normal"/>
        <w:widowControl/>
        <w:rPr/>
      </w:pPr>
      <w:r>
        <w:rPr/>
        <w:t>AH-9. The three-year tariff-abolition study now measures the economic shadow of tariff authority itself, including volatility, investment delay, hedging and financing costs, and procedural uncertainty even when no tariff is ultimately imposed.</w:t>
      </w:r>
    </w:p>
    <w:p>
      <w:pPr>
        <w:pStyle w:val="Normal"/>
        <w:widowControl/>
        <w:rPr/>
      </w:pPr>
      <w:r>
        <w:rPr/>
        <w:t>PACKAGE AG — GUARANTOR INTEGRITY FIREWALL AND ANTI-CAPTURE HARDENING (v5.6)</w:t>
      </w:r>
    </w:p>
    <w:p>
      <w:pPr>
        <w:pStyle w:val="Normal"/>
        <w:widowControl/>
        <w:rPr/>
      </w:pPr>
      <w:r>
        <w:rPr/>
        <w:t>AG-1. Article 35.42 prohibits direct and indirect bribery, inducement, coercion, reward, benefit-conditioning, and intermediary evasion aimed at guarantor selection, recusal, voting, reasoning, or timing.</w:t>
      </w:r>
    </w:p>
    <w:p>
      <w:pPr>
        <w:pStyle w:val="Normal"/>
        <w:widowControl/>
        <w:rPr/>
      </w:pPr>
      <w:r>
        <w:rPr/>
        <w:t>AG-2. A verified material integrity breach caused or knowingly participated in by the tariff-petitioning Party automatically dismisses the petition for 180 days as to the same underlying breach and constitutes an independent Tier 3 treaty-integrity violation.</w:t>
      </w:r>
    </w:p>
    <w:p>
      <w:pPr>
        <w:pStyle w:val="Normal"/>
        <w:widowControl/>
        <w:rPr/>
      </w:pPr>
      <w:r>
        <w:rPr/>
        <w:t>AG-3. Article 35.43 creates a secure communications docket, bars private merits lobbying, requires prompt memorialization of substantive contacts, guarantees equality of arms, and requires independent security-cleared testing of material classified evidence that cannot be disclosed to another Party.</w:t>
      </w:r>
    </w:p>
    <w:p>
      <w:pPr>
        <w:pStyle w:val="Normal"/>
        <w:widowControl/>
        <w:rPr/>
      </w:pPr>
      <w:r>
        <w:rPr/>
        <w:t>AG-4. Article 35.44 establishes financial-interest disclosure, gift and employment restrictions, associated-person conflict rules, a two-year cooling-off period, and disclosure review for extraordinary discretionary bilateral benefits from 90 days before selection through one year after disposition.</w:t>
      </w:r>
    </w:p>
    <w:p>
      <w:pPr>
        <w:pStyle w:val="Normal"/>
        <w:widowControl/>
        <w:rPr/>
      </w:pPr>
      <w:r>
        <w:rPr/>
        <w:t>AG-5. Article 35.45 creates a randomly selected three-member Integrity Panel to decide recusals and corruption/coercion allegations, prevents strategic recusal shopping, distinguishes independently corrupted guarantors from petitioning-party taint, and authorizes post-decision reward review.</w:t>
      </w:r>
    </w:p>
    <w:p>
      <w:pPr>
        <w:pStyle w:val="Normal"/>
        <w:widowControl/>
        <w:rPr/>
      </w:pPr>
      <w:r>
        <w:rPr/>
        <w:t>AG-6. Annex 35-I establishes the integrity register, extraordinary-benefit screening factors, standardized guarantor compensation, independence declarations, and post-service certification.</w:t>
      </w:r>
    </w:p>
    <w:p>
      <w:pPr>
        <w:pStyle w:val="Normal"/>
        <w:widowControl/>
        <w:rPr/>
      </w:pPr>
      <w:r>
        <w:rPr/>
        <w:t>PACKAGE AF — DEMERIT ENFORCEMENT, ROTATING GUARANTOR TARIFF QUARANTINE, AND THREE-YEAR ABOLITION STUDY (v5.5)</w:t>
      </w:r>
    </w:p>
    <w:p>
      <w:pPr>
        <w:pStyle w:val="Normal"/>
        <w:widowControl/>
        <w:rPr/>
      </w:pPr>
      <w:r>
        <w:rPr/>
        <w:t>AF-1. Article 35.37 and Annex 35-G establish a Cothrom-linked demerit system in which verified noncompliance accumulates expiring points and ordinarily reduces only directly related enhanced treaty preferences by 5, 10, 15, or 20 percent. Ordinary zero-duty treatment for originating goods is not a demerit target.</w:t>
      </w:r>
    </w:p>
    <w:p>
      <w:pPr>
        <w:pStyle w:val="Normal"/>
        <w:widowControl/>
        <w:rPr/>
      </w:pPr>
      <w:r>
        <w:rPr/>
        <w:t>AF-2. Articles 35.38 through 35.40 quarantine tariffs as an absolute last-resort remedy. A tariff requires exhaustion or demonstrated inadequacy of non-tariff remedies, clear and convincing evidence, direct module nexus, and authorization by a rotating five-State neutral guarantor panel.</w:t>
      </w:r>
    </w:p>
    <w:p>
      <w:pPr>
        <w:pStyle w:val="Normal"/>
        <w:widowControl/>
        <w:rPr/>
      </w:pPr>
      <w:r>
        <w:rPr/>
        <w:t>AF-3. Guarantor approval requires four of five votes; a rate above 10 percent requires unanimity; no authorized tariff may exceed 15 percent; ordinary authorization is capped at 5 percent and serious persistent Tier 3 cases at 10 percent.</w:t>
      </w:r>
    </w:p>
    <w:p>
      <w:pPr>
        <w:pStyle w:val="Normal"/>
        <w:widowControl/>
        <w:rPr/>
      </w:pPr>
      <w:r>
        <w:rPr/>
        <w:t>AF-4. Annex 35-H creates a 25-State candidate guarantor pool, subject to written consent and unanimous Party confirmation. Panel members are selected by transparent stratified random draw, cannot serve on consecutive tariff panels, and are subject to conflict-of-interest recusal and anti-retaliation protection.</w:t>
      </w:r>
    </w:p>
    <w:p>
      <w:pPr>
        <w:pStyle w:val="Normal"/>
        <w:widowControl/>
        <w:rPr/>
      </w:pPr>
      <w:r>
        <w:rPr/>
        <w:t>AF-5. Article 35.40 adds an economic Tariff Burden Test, 30-day ordinary sunset, 60-day absolute authorization limit, automatic cure termination, fresh-panel renewal, humanitarian firewall, and prohibition on using prospective tariff authority as bargaining leverage.</w:t>
      </w:r>
    </w:p>
    <w:p>
      <w:pPr>
        <w:pStyle w:val="Normal"/>
        <w:widowControl/>
        <w:rPr/>
      </w:pPr>
      <w:r>
        <w:rPr/>
        <w:t>AF-6. Article 35.41 requires a joint study within three years to determine whether intra-North-American tariffs should be abolished entirely and replaced by non-tariff compliance mechanisms, followed by a special ministerial review within 180 days of the report.</w:t>
      </w:r>
    </w:p>
    <w:p>
      <w:pPr>
        <w:pStyle w:val="Normal"/>
        <w:widowControl/>
        <w:rPr/>
      </w:pPr>
      <w:r>
        <w:rPr/>
        <w:t>AE-1. Article 35.36 establishes a treaty-wide, trilateral No Uncompensated Front-Loading rule. Expressly paired concessions and benefits activate concurrently or at matched milestones, with verification, short cure, proportional step-back, and automatic restoration; ordinary implementation delay is distinguished from deliberate non-performance.</w:t>
      </w:r>
    </w:p>
    <w:p>
      <w:pPr>
        <w:pStyle w:val="Normal"/>
        <w:widowControl/>
        <w:rPr/>
      </w:pPr>
      <w:r>
        <w:rPr/>
        <w:t>AE-2. Articles 37.6C–37.6D convert the rejected concept of treaty-wide exclusive mineral access into a non-exclusive Strategic Materials Preferred Commercial Access Portfolio. Windows are market-based, capacity-sensitive, generally focused on incremental/export-available supply, preserve domestic requirements and existing contracts, prohibit compulsory production and below-market sale, and retain diversified third-country trade.</w:t>
      </w:r>
    </w:p>
    <w:p>
      <w:pPr>
        <w:pStyle w:val="Normal"/>
        <w:widowControl/>
        <w:rPr/>
      </w:pPr>
      <w:r>
        <w:rPr/>
        <w:t>AE-3. Initial negotiating calibration ranges are recorded for expert validation rather than as unconditional delivery quotas: aluminum 30–50 percent of qualifying incremental capacity; potash 15–25 percent; zinc about 15 percent; copper 10–20 percent; iron approximately 8–15 percent or another capacity-supported range; gold about 3–5 percent; uranium 2–2.5 percent; scarce/specialty minerals case-by-case, including zero where warranted.</w:t>
      </w:r>
    </w:p>
    <w:p>
      <w:pPr>
        <w:pStyle w:val="Normal"/>
        <w:widowControl/>
        <w:rPr/>
      </w:pPr>
      <w:r>
        <w:rPr/>
        <w:t>AE-4. Articles 42.23A–42.23B create a three-level Strategic Materials-for-Forestry Normalization Ladder. Level I pairs a bounded abundant-material access package with elimination of the additional 10 percent Section 232 softwood-lumber tariff through the adopted implementing schedule. Higher-value Level II and III mineral, processing, stockpile, offtake, and investment cooperation is reserved for measurable reduction of remaining trade-remedy burdens and a durable forestry settlement.</w:t>
      </w:r>
    </w:p>
    <w:p>
      <w:pPr>
        <w:pStyle w:val="Normal"/>
        <w:widowControl/>
        <w:rPr/>
      </w:pPr>
      <w:r>
        <w:rPr/>
        <w:t>AE-5. The package adds No Double Payment and No Commodity Contagion safeguards. A contribution cannot be repeatedly charged as new consideration, and failure in one commodity does not automatically unwind independently earned benefits in other commodities.</w:t>
      </w:r>
    </w:p>
    <w:p>
      <w:pPr>
        <w:pStyle w:val="Normal"/>
        <w:widowControl/>
        <w:rPr/>
      </w:pPr>
      <w:r>
        <w:rPr/>
        <w:t>AE-6. The package preserves Article 37.6B’s resource-sovereignty firewall. Preferred access does not create exclusive rights, compulsory extraction, an export veto, mandatory mine development, foreign ownership of resources, or a prohibition on Canadian, Mexican, or United States trade with trusted non-Parties.</w:t>
      </w:r>
    </w:p>
    <w:p>
      <w:bookmarkStart w:id="2125" w:name="_NAESTMA_TOC_2125"/>
      <w:pPr>
        <w:pStyle w:val="Heading2"/>
        <w:keepNext/>
        <w:widowControl/>
        <w:rPr/>
      </w:pPr>
      <w:bookmarkStart w:id="334" w:name="_Toc237912816"/>
      <w:r>
        <w:rPr/>
        <w:t>UNRESOLVED ITEMS AND DELIBERATE OMISSIONS</w:t>
      </w:r>
      <w:bookmarkEnd w:id="334"/>
      <w:bookmarkEnd w:id="2125"/>
    </w:p>
    <w:p>
      <w:pPr>
        <w:pStyle w:val="Normal"/>
        <w:widowControl/>
        <w:rPr/>
      </w:pPr>
      <w:r>
        <w:rPr/>
        <w:t>1. Single-Party (50%) automotive content: not adopted; the D-1 compromise delivers higher effective regional content by other means. Unresolved negotiating item.</w:t>
      </w:r>
    </w:p>
    <w:p>
      <w:pPr>
        <w:pStyle w:val="Normal"/>
        <w:widowControl/>
        <w:rPr/>
      </w:pPr>
      <w:r>
        <w:rPr/>
        <w:t>2. Dismantling supply management: not adopted; Article 2.D disciplines administration while preserving structure. Unresolved item.</w:t>
      </w:r>
    </w:p>
    <w:p>
      <w:pPr>
        <w:pStyle w:val="Normal"/>
        <w:widowControl/>
        <w:rPr/>
      </w:pPr>
      <w:r>
        <w:rPr/>
        <w:t>3. Broader procurement access: consultation and reciprocity channels rather than a general carve-in; procurement retaliation expressly disciplined under Article 35.4A.1(l). Unresolved item.</w:t>
      </w:r>
    </w:p>
    <w:p>
      <w:pPr>
        <w:pStyle w:val="Normal"/>
        <w:widowControl/>
        <w:rPr/>
      </w:pPr>
      <w:r>
        <w:rPr/>
        <w:t>4. Pharmaceutical pricing, seeds/produce rules, electricity-market specifics: routed to regulatory-cooperation and consultation mechanisms.</w:t>
      </w:r>
    </w:p>
    <w:p>
      <w:pPr>
        <w:pStyle w:val="Normal"/>
        <w:widowControl/>
        <w:rPr/>
      </w:pPr>
      <w:r>
        <w:rPr/>
        <w:t>5. Digital/cultural domestic regulation: policy space preserved, consistent with all three Parties’ stated positions.</w:t>
      </w:r>
    </w:p>
    <w:p>
      <w:pPr>
        <w:pStyle w:val="Normal"/>
        <w:widowControl/>
        <w:spacing w:lineRule="auto" w:line="252" w:before="0" w:after="80"/>
        <w:rPr/>
      </w:pPr>
      <w:r>
        <w:rPr/>
        <w:t>6. Domestic-content subsidy design: coordinated through national-treatment and subsidy disciplines (Article 35.4A.2) rather than reclassification as border measures, preserving legitimate industrial policy.</w:t>
      </w:r>
    </w:p>
    <w:p>
      <w:pPr>
        <w:pStyle w:val="Normal"/>
        <w:rPr/>
      </w:pPr>
      <w:r>
        <w:rPr/>
      </w:r>
    </w:p>
    <w:p>
      <w:bookmarkStart w:id="2126" w:name="_NAESTMA_TOC_2126"/>
      <w:pPr>
        <w:pStyle w:val="Heading2"/>
        <w:keepNext/>
        <w:widowControl/>
        <w:rPr/>
      </w:pPr>
      <w:r>
        <w:rPr/>
        <w:t>PACKAGE Z — TARIFF FIREWALL, HUMANITARIAN PROTECTION, ENERGY OPTIONALITY, AND EXPERIMENTAL DEVELOPMENT (v4.5)</w:t>
      </w:r>
      <w:bookmarkEnd w:id="2126"/>
    </w:p>
    <w:p>
      <w:pPr>
        <w:pStyle w:val="Normal"/>
        <w:widowControl/>
        <w:rPr/>
      </w:pPr>
      <w:r>
        <w:rPr/>
        <w:t>Package Z records the v4.5 integration of four hardening families into their native chapters. Chapter 35 now adds a permanent zero-tariff presumption for originating goods, a finite Corrective Tariff Budget with an automatic six-month lockout after exhaustion, and a Humanitarian Tariff Firewall. Chapter 38 adds emergency release and classification safeguards for strictly life-saving humanitarian goods. Chapter 39 adds an iterative Experimental Technology Pathway with project-specific iteration thresholds, a software/simulation or other technically appropriate Revalidation Gate after repeated unsuccessful physical iterations, derivative development, and productive closure. Chapter 40 adds an outcome-based Energy Optionality architecture, a No Named-Project Obligation, functional substitution, existing-corridor optimization, predictable regulatory coordination, a broad energy-security portfolio, workforce cooperation, a non-binding candidate register, and an Energy Optionality and Equivalency Matrix. Existing institutions administer all additions unless an authenticated amendment expressly provides otherwise.</w:t>
      </w:r>
    </w:p>
    <w:p>
      <w:bookmarkStart w:id="2127" w:name="_NAESTMA_TOC_2127"/>
      <w:pPr>
        <w:pStyle w:val="Heading2"/>
        <w:keepNext/>
        <w:widowControl/>
        <w:rPr/>
      </w:pPr>
      <w:r>
        <w:rPr/>
        <w:t>PACKAGE Y — INTEGRATED OPERATIONAL HARDENING AND INTERIM TARIFF-DURABILITY AMENDMENTS (v4.4)</w:t>
      </w:r>
      <w:bookmarkEnd w:id="2127"/>
    </w:p>
    <w:p>
      <w:pPr>
        <w:pStyle w:val="Normal"/>
        <w:widowControl/>
        <w:rPr/>
      </w:pPr>
      <w:r>
        <w:rPr/>
        <w:t>Package Y records the v4.4 integration of administrative simplification and tariff-durability provisions into their native chapters. The operative text is located in Chapters 1, 4, 5, 30, 34, 35, 42, and 59 and Annexes 4-E-1 and 5-Z. The amendments preserve existing substantive safeguards, reduce duplicative verification, establish risk-tiered administration, protect ordinary duty-free automotive qualification from unnecessary alternative calculations, strengthen treatment of binding tariff suspensions, clarify the distinction between political commitments and legal obligations, and require existing institutions to absorb new administrative functions wherever reasonably possible.</w:t>
      </w:r>
    </w:p>
    <w:p>
      <w:pPr>
        <w:pStyle w:val="Normal"/>
        <w:widowControl/>
        <w:rPr/>
      </w:pPr>
      <w:r>
        <w:rPr/>
        <w:t>PACKAGE Y — SOVEREIGNTY, AUTOMOTIVE SCOPE, CULTURE, AND STRATEGIC-RESOURCE HARDENING (v5.3)</w:t>
      </w:r>
    </w:p>
    <w:p>
      <w:pPr>
        <w:pStyle w:val="Normal"/>
        <w:widowControl/>
        <w:rPr/>
      </w:pPr>
      <w:r>
        <w:rPr/>
        <w:t>Y-1. Article 32.G (new). Explicit External Economic Relations and Treaty Sovereignty rule: consultation and anti-circumvention review remain available, but no Party receives a veto over another Party's non-Party economic arrangements.</w:t>
      </w:r>
    </w:p>
    <w:p>
      <w:pPr>
        <w:pStyle w:val="Normal"/>
        <w:widowControl/>
        <w:rPr/>
      </w:pPr>
      <w:r>
        <w:rPr/>
        <w:t>Y-2. Article 34.A.1A (new). Reserved Sovereignty Matter safeguard prevents substantive late-stage demands affecting treaty-making authority, constitutional jurisdiction, culture and language, natural-resource sovereignty, or equality of originating content from passing as legal scrub or technical amendment.</w:t>
      </w:r>
    </w:p>
    <w:p>
      <w:pPr>
        <w:pStyle w:val="Normal"/>
        <w:widowControl/>
        <w:rPr/>
      </w:pPr>
      <w:r>
        <w:rPr/>
        <w:t>Y-3. Article 37.6B (new). Prohibits treaty-wide rights of first refusal, exclusive mineral claims, compulsory offtakes, export vetoes, production-direction rights, and compulsory extraction while preserving voluntary project-specific commercial arrangements.</w:t>
      </w:r>
    </w:p>
    <w:p>
      <w:pPr>
        <w:pStyle w:val="Normal"/>
        <w:widowControl/>
        <w:rPr/>
      </w:pPr>
      <w:r>
        <w:rPr/>
        <w:t>Y-4. Article 41.7A (new). Symmetric Cultural and Linguistic Sovereignty Firewall with express Canadian coverage for French and English language rights and services, French-language culture, bilingual public information, Canadian cultural expression, Quebec cultural jurisdiction, and Indigenous languages and cultures.</w:t>
      </w:r>
    </w:p>
    <w:p>
      <w:pPr>
        <w:pStyle w:val="Normal"/>
        <w:widowControl/>
        <w:rPr/>
      </w:pPr>
      <w:r>
        <w:rPr/>
        <w:t>Y-5. Article 59.22A and Annex 35-B (amended). Full-scope automotive coverage and anti-cherry-picking protection spanning passenger vehicles, SUVs, vans, pickups/light trucks, medium-duty trucks, heavy-duty trucks, buses, chassis, and covered parts.</w:t>
      </w:r>
    </w:p>
    <w:p>
      <w:pPr>
        <w:pStyle w:val="Normal"/>
        <w:widowControl/>
        <w:rPr/>
      </w:pPr>
      <w:r>
        <w:rPr/>
        <w:t>Y-6. Article 59.5A paragraph 4A (new). North American Content Equality Principle: once content qualifies as originating, Canadian, Mexican, and United States origin receives equal baseline treaty status, while bounded incentives for genuinely additional investment remain possible.</w:t>
      </w:r>
    </w:p>
    <w:p>
      <w:pPr>
        <w:pStyle w:val="Normal"/>
        <w:widowControl/>
        <w:rPr/>
      </w:pPr>
      <w:r>
        <w:rPr/>
        <w:t>Y-7. Article 59.5A paragraphs 3-5F (amended/new). Equal 100 percent North American baseline content credit paired with separate Industrial Expansion Tiers, American Industrial Expansion Tier, United States Auto Repatriation Supercredit, Strategic Components Bonus, voluntary 50 percent American Economic Contribution portfolio benchmark, No North American Cannibalization Rule, and North American Capacity Growth Test.</w:t>
      </w:r>
    </w:p>
    <w:p>
      <w:pPr>
        <w:pStyle w:val="Normal"/>
        <w:widowControl/>
        <w:rPr/>
      </w:pPr>
      <w:r>
        <w:rPr/>
        <w:t>Y-8. Article 59.22A paragraphs 6-8 and Annex 59-B Parts 1A-1B (new). Explicit Class I-VI automotive settlement coverage spanning passenger vehicles through heavy-duty vehicles, buses, chassis, parts, and strategic components; included-first rule; class-specific technical schedules; and temporary classification-dispute continuity.</w:t>
      </w:r>
    </w:p>
    <w:p>
      <w:pPr>
        <w:pStyle w:val="Heading3"/>
        <w:keepNext/>
        <w:widowControl/>
        <w:rPr/>
      </w:pPr>
      <w:r>
        <w:rPr/>
        <w:t>PACKAGE AO — PROVINCIAL DAIRY ACCESS, EFFECTIVE UTILIZATION, AND SUPPLY-MANAGEMENT STABILITY (v6.1).</w:t>
      </w:r>
    </w:p>
    <w:p>
      <w:pPr>
        <w:pStyle w:val="Heading3"/>
        <w:keepNext/>
        <w:widowControl/>
        <w:rPr/>
      </w:pPr>
      <w:r>
        <w:rPr/>
        <w:t>AO-1. Articles 43.2L.4 through 43.2L.9 establish a United States dairy access floor calculated separately against each Canadian province's own Reference Milk-Production Volume, set at 0.6 percent at entry into force and increasing to 0.8 percent six months thereafter unless an alternative validated schedule is expressly agreed.</w:t>
      </w:r>
    </w:p>
    <w:p>
      <w:pPr>
        <w:pStyle w:val="Heading3"/>
        <w:keepNext/>
        <w:widowControl/>
        <w:rPr/>
      </w:pPr>
      <w:r>
        <w:rPr/>
        <w:t>AO-2. The package converts nominal access into commercially meaningful access through use-or-return checkpoints, automatic reallocation, a 90 percent utilization benchmark with cause-based review, new-entrant pathways, and correction where qualified United States supply and willing Canadian demand are blocked by administration.</w:t>
      </w:r>
    </w:p>
    <w:p>
      <w:pPr>
        <w:pStyle w:val="Heading3"/>
        <w:keepNext/>
        <w:widowControl/>
        <w:rPr/>
      </w:pPr>
      <w:r>
        <w:rPr/>
        <w:t>AO-3. Provincial distribution, anti-concentration, regional pooling for constrained small markets, milk-equivalent conversion, product-sensitive sub-pools, and rolling three-year reference production preserve geographic breadth while avoiding false raw-litre equivalence.</w:t>
      </w:r>
    </w:p>
    <w:p>
      <w:pPr>
        <w:pStyle w:val="Heading3"/>
        <w:keepNext/>
        <w:widowControl/>
        <w:rPr/>
      </w:pPr>
      <w:r>
        <w:rPr/>
        <w:t>AO-4. A supply-management stability firewall preserves Canadian production quotas, farm-gate pricing structures, over-quota protection outside scheduled access, and administrative flexibility, while prohibiting use of those protections to erase the negotiated access floor or create an automatic expansion ratchet.</w:t>
      </w:r>
    </w:p>
    <w:p>
      <w:pPr>
        <w:pStyle w:val="Heading3"/>
        <w:keepNext/>
        <w:widowControl/>
        <w:rPr/>
      </w:pPr>
      <w:r>
        <w:rPr/>
        <w:t>AO-5. Genuinely incremental Canadian access is synchronized with an identified reciprocal Canadian benefit under the no-uncompensated-front-loading rule; Mexico retains full procedural equality and receives a dedicated review for an appropriate reciprocal dairy opportunity rather than mechanical duplication.</w:t>
      </w:r>
    </w:p>
    <w:p>
      <w:pPr>
        <w:pStyle w:val="Heading3"/>
        <w:keepNext/>
        <w:widowControl/>
        <w:rPr/>
      </w:pPr>
      <w:r>
        <w:rPr/>
        <w:t>AO-6. Annex 43-A is expanded with provincial scheduling, milk-equivalent conversion, utilization reporting, new-entrant availability, and existing-access baseline rules so negotiators can calibrate exact quantities from validated official data without hard-coding unsupported provincial figures into the treaty body.</w:t>
      </w:r>
    </w:p>
    <w:p>
      <w:pPr>
        <w:pStyle w:val="Heading3"/>
        <w:keepNext/>
        <w:widowControl/>
        <w:rPr/>
      </w:pPr>
      <w:r>
        <w:rPr/>
        <w:t>PACKAGE AP — DAIRY ACCESS REINFORCEMENT AND PRIORITY CHEESE SWEETENER (v6.2).</w:t>
      </w:r>
    </w:p>
    <w:p>
      <w:pPr>
        <w:pStyle w:val="Normal"/>
        <w:widowControl/>
        <w:rPr/>
      </w:pPr>
      <w:r>
        <w:rPr/>
        <w:t>AP-1. Article 43.2L.4 is recalibrated to a six-month implementation schedule: a 0.6 percent general provincial dairy access floor at entry into force, increasing to 0.8 percent after six months without administrative-delay extension.</w:t>
      </w:r>
    </w:p>
    <w:p>
      <w:pPr>
        <w:pStyle w:val="Normal"/>
        <w:widowControl/>
        <w:rPr/>
      </w:pPr>
      <w:r>
        <w:rPr/>
        <w:t>AP-2. Article 43.2L.5 is strengthened with automatic consequences for underutilization, including audit below 90 percent, corrective access planning below 80 percent, a rebuttable presumption after persistent underperformance, and commercially usable reallocation timing.</w:t>
      </w:r>
    </w:p>
    <w:p>
      <w:pPr>
        <w:pStyle w:val="Normal"/>
        <w:widowControl/>
        <w:rPr/>
      </w:pPr>
      <w:r>
        <w:rPr/>
        <w:t>AP-3. Article 43.2L.6 adds a 25 percent Open Access Reserve for qualified non-incumbent commercial channels, an ordinary 25 percent beneficial-ownership concentration ceiling with a narrow stranded-access exception, and tighter regional-routing rules that preserve each province's numerical obligation.</w:t>
      </w:r>
    </w:p>
    <w:p>
      <w:pPr>
        <w:pStyle w:val="Normal"/>
        <w:widowControl/>
        <w:rPr/>
      </w:pPr>
      <w:r>
        <w:rPr/>
        <w:t>AP-4. Article 43.2L.7 adds a product-demand responsiveness rule preventing systematic diversion of access into low-demand or administratively convenient categories where qualified United States supply and willing Canadian commercial demand exist.</w:t>
      </w:r>
    </w:p>
    <w:p>
      <w:pPr>
        <w:pStyle w:val="Normal"/>
        <w:widowControl/>
        <w:rPr/>
      </w:pPr>
      <w:r>
        <w:rPr/>
        <w:t>AP-5. New Article 43.2L.10 establishes an additional 0.2 percent Provincial Priority Cheese Access Bonus limited to United States-origin cheddar, mozzarella, including commercially relevant low-moisture and part-skim forms, and cream cheese. The Bonus is additional to the general floor, applies from entry into force, uses a unified demand-responsive pool, and inherits effective-utilization, open-access, anti-concentration, and no-ratchet safeguards.</w:t>
      </w:r>
    </w:p>
    <w:p>
      <w:pPr>
        <w:pStyle w:val="Normal"/>
        <w:widowControl/>
        <w:rPr/>
      </w:pPr>
      <w:r>
        <w:rPr/>
        <w:t>AP-6. Annex 43-A is expanded with transparent and reproducible milk-equivalent methodology, a Priority Cheese Schedule, classification and anti-substitution rules, separate utilization reporting, and explicit confirmation that total scheduled provincial access equals 0.8 percent at entry into force and 1.0 percent after six months.</w:t>
      </w:r>
    </w:p>
    <w:p>
      <w:pPr>
        <w:pStyle w:val="Normal"/>
        <w:widowControl/>
        <w:rPr/>
      </w:pPr>
      <w:r>
        <w:rPr/>
        <w:t>AP-7. The package preserves Canadian supply-management institutions outside the negotiated opening, treats genuinely incremental access as synchronized reciprocal value under Article 35.36, and does not convert successful cheese utilization into an automatic entitlement to further dairy liberalization.</w:t>
      </w:r>
    </w:p>
    <w:p>
      <w:pPr>
        <w:pStyle w:val="Heading3"/>
        <w:keepNext/>
        <w:widowControl/>
        <w:rPr/>
      </w:pPr>
      <w:r>
        <w:rPr/>
        <w:t>PACKAGE AQ — OPTIONAL ENHANCED DAIRY ACCESS AND SOFTWOOD LUMBER NORMALIZATION EXCHANGE (v6.3).</w:t>
      </w:r>
    </w:p>
    <w:p>
      <w:pPr>
        <w:pStyle w:val="Normal"/>
        <w:widowControl/>
        <w:rPr/>
      </w:pPr>
      <w:r>
        <w:rPr/>
        <w:t>AQ-1. New Article 43.2L.11 creates a legally dormant bilateral Canada-United States option that is not activated by NAESTMA ratification. Each Exchange Unit requires separate affirmative execution by both governments through constitutionally appropriate procedures.</w:t>
      </w:r>
    </w:p>
    <w:p>
      <w:pPr>
        <w:pStyle w:val="Normal"/>
        <w:widowControl/>
        <w:rPr/>
      </w:pPr>
      <w:r>
        <w:rPr/>
        <w:t>AQ-2. The optional architecture permits up to an additional 0.50 percentage points of provincial United States dairy access above the 1.0 percent baseline: Unit A +0.20, Unit B +0.20, and Unit C +0.10, for a maximum total of 1.50 percent.</w:t>
      </w:r>
    </w:p>
    <w:p>
      <w:pPr>
        <w:pStyle w:val="Normal"/>
        <w:widowControl/>
        <w:rPr/>
      </w:pPr>
      <w:r>
        <w:rPr/>
        <w:t>AQ-3. The suggested, explicitly negotiable initial lumber calibration is a 25 percent Aggregate Covered Border Burden ceiling for Unit A, 20 percent cumulatively for Units A+B, and 15 percent cumulatively for full activation. A 12.5 to 20 percent reference corridor guides full-package negotiation without creating an automatic entitlement.</w:t>
      </w:r>
    </w:p>
    <w:p>
      <w:pPr>
        <w:pStyle w:val="Normal"/>
        <w:widowControl/>
        <w:rPr/>
      </w:pPr>
      <w:r>
        <w:rPr/>
        <w:t>AQ-4. Aggregate Covered Border Burden captures covered AD/CVD, Section 232 lumber tariffs, lumber-specific surcharges and successor measures while excluding ordinary nondiscriminatory fees, taxes, penalties, and bona fide regulation unless used as disguised substitutes.</w:t>
      </w:r>
    </w:p>
    <w:p>
      <w:pPr>
        <w:pStyle w:val="Normal"/>
        <w:widowControl/>
        <w:rPr/>
      </w:pPr>
      <w:r>
        <w:rPr/>
        <w:t>AQ-5. Activation requires specific signed schedules, reciprocal-value validation, Cothrom verification, and a Dual-Readiness Certificate so dairy and lumber concessions begin simultaneously and neither Party must perform first.</w:t>
      </w:r>
    </w:p>
    <w:p>
      <w:pPr>
        <w:pStyle w:val="Normal"/>
        <w:widowControl/>
        <w:rPr/>
      </w:pPr>
      <w:r>
        <w:rPr/>
        <w:t>AQ-6. Material impairment triggers cure and surgical proportional step-back of only the affected optional unit. The 1.0 percent baseline dairy bargain, unrelated tariffs, and unrelated treaty rights remain insulated.</w:t>
      </w:r>
    </w:p>
    <w:p>
      <w:pPr>
        <w:pStyle w:val="Normal"/>
        <w:widowControl/>
        <w:rPr/>
      </w:pPr>
      <w:r>
        <w:rPr/>
        <w:t>AQ-7. Either Party may terminate an optional Unit on 180 days notice without breach, damages, or retaliation. Activated Units otherwise continue without annual reauthorization, and successful performance creates no automatic ratchet.</w:t>
      </w:r>
    </w:p>
    <w:p>
      <w:pPr>
        <w:pStyle w:val="Normal"/>
        <w:widowControl/>
        <w:rPr/>
      </w:pPr>
      <w:r>
        <w:rPr/>
        <w:t>AQ-8. The package includes anti-successor-measure, anti-bargaining-contamination, no-double-payment, Mexico-firewall, optional-priority-product, and structural-dairy-solids compatibility protections.</w:t>
      </w:r>
    </w:p>
    <w:p>
      <w:pPr>
        <w:pStyle w:val="Heading3"/>
        <w:keepNext/>
        <w:widowControl/>
        <w:rPr/>
      </w:pPr>
      <w:r>
        <w:rPr/>
        <w:t>PACKAGE AS — AGRICULTURAL PRODUCTION SECURITY, PLANT BIOSECURITY, CROP-PROTECTION MODERNIZATION, AND NUTRIENT CIRCULARITY (v6.5).</w:t>
      </w:r>
    </w:p>
    <w:p>
      <w:pPr>
        <w:pStyle w:val="Normal"/>
        <w:widowControl/>
        <w:rPr/>
      </w:pPr>
      <w:r>
        <w:rPr/>
        <w:t>AS-1. Chapter 43 is expanded through Articles 43.10–43.27 and Annex 43-G into a unified North American Agricultural Production Security and Resilience Framework covering seed continuity, germplasm, public breeding, biotechnology review, genetic coexistence, plant-health biosecurity, crop protection, resistance management, soil and water resilience, machinery and repair continuity, nutrient and manure circularity, agricultural labor, Mexico co-design, and food-security-without-dependency safeguards.</w:t>
      </w:r>
    </w:p>
    <w:p>
      <w:pPr>
        <w:pStyle w:val="Normal"/>
        <w:widowControl/>
        <w:rPr/>
      </w:pPr>
      <w:r>
        <w:rPr/>
        <w:t>AS-2. Seed and planting-material provisions add emergency seed corridors, regionally distributed seed and germplasm resilience, public-breeding recognition, and a No Single-Dependency Agricultural Security Principle while preserving each Party’s authority over seed-saving, plant breeders’ rights, patents, licensing, and domestic approvals.</w:t>
      </w:r>
    </w:p>
    <w:p>
      <w:pPr>
        <w:pStyle w:val="Normal"/>
        <w:widowControl/>
        <w:rPr/>
      </w:pPr>
      <w:r>
        <w:rPr/>
        <w:t>AS-3. Biotechnology provisions preserve sovereign approval while enabling voluntary dossier reuse, synchronized review, low-level-presence management, and an Emergency Agricultural Technology Review Pathway. Article 43.13 adds the rule that presence shall not create intent, protecting innocent farmers from automatic IP liability while preserving remedies for deliberate appropriation and preventable contamination.</w:t>
      </w:r>
    </w:p>
    <w:p>
      <w:pPr>
        <w:pStyle w:val="Normal"/>
        <w:widowControl/>
        <w:rPr/>
      </w:pPr>
      <w:r>
        <w:rPr/>
        <w:t>AS-4. Plant-health provisions establish an updateable North American Plant Health Watch List, risk classifications, rapid diagnostic exchange, regionalization, emergency containment corridors, reporting incentives, and a forest-agriculture interface without freezing species lists into treaty text.</w:t>
      </w:r>
    </w:p>
    <w:p>
      <w:pPr>
        <w:pStyle w:val="Normal"/>
        <w:widowControl/>
        <w:rPr/>
      </w:pPr>
      <w:r>
        <w:rPr/>
        <w:t>AS-5. Crop-protection provisions create a six-state modernization ladder from Continue through Prohibited Agricultural Active Substance, a safer-substitution rule, No Agricultural Protection Gap safeguard, precision-application modernization, off-target-effect protections, resistance surveillance, and integrated pest management without mandating a single production method.</w:t>
      </w:r>
    </w:p>
    <w:p>
      <w:pPr>
        <w:pStyle w:val="Normal"/>
        <w:widowControl/>
        <w:rPr/>
      </w:pPr>
      <w:r>
        <w:rPr/>
        <w:t>AS-6. Article 43.17 adopts an initial negotiating hard-ban schedule for routine agricultural use of carbendazim, paraquat, and chlorothalonil, subject only to narrow one-growing-season emergency essential-use authority and transparent scientific addition or removal procedures.</w:t>
      </w:r>
    </w:p>
    <w:p>
      <w:pPr>
        <w:pStyle w:val="Normal"/>
        <w:widowControl/>
        <w:rPr/>
      </w:pPr>
      <w:r>
        <w:rPr/>
        <w:t>AS-7. Soil, water, drought, and climate-resilience provisions support locally appropriate adaptation while expressly rejecting treaty-created cross-border water entitlements or crop mandates. Machinery provisions add seasonal priority treatment, repair and diagnostics access, anti-artificial-disablement safeguards, and interoperability subject to IP, cybersecurity, emissions, and safety law.</w:t>
      </w:r>
    </w:p>
    <w:p>
      <w:pPr>
        <w:pStyle w:val="Normal"/>
        <w:widowControl/>
        <w:rPr/>
      </w:pPr>
      <w:r>
        <w:rPr/>
        <w:t>AS-8. Manure and nutrient provisions treat agricultural residuals as recoverable resources without creating a presumption of safety, add nutrient accounting, storage and runoff-risk safeguards, recovered-product standards, Nutrient Exchange Corridors, a resource cascade, shared-watershed outcomes, and the principle that circularity shall not require industrial scale.</w:t>
      </w:r>
    </w:p>
    <w:p>
      <w:pPr>
        <w:pStyle w:val="Normal"/>
        <w:widowControl/>
        <w:rPr/>
      </w:pPr>
      <w:r>
        <w:rPr/>
        <w:t>AS-9. Mexico is expressly embedded as a co-designer across seed systems, specialty crops, drought and irrigation resilience, pest pathways, labor-intensive agriculture, inputs, logistics, and value-added processing. Article 43.27 protects domestic agricultural capacity and diversification while distinguishing legitimate intellectual-property incentives from anticompetitive conduct.</w:t>
      </w:r>
    </w:p>
    <w:p>
      <w:pPr>
        <w:pStyle w:val="Normal"/>
        <w:widowControl/>
        <w:rPr/>
      </w:pPr>
      <w:r>
        <w:rPr/>
        <w:t>AS-10. Annex 43-G supplies a practical 90-day, 180-day, one-year, and two-year implementation sequence and directs the Parties to use existing institutions rather than create duplicative committee architecture.</w:t>
      </w:r>
    </w:p>
    <w:p>
      <w:pPr>
        <w:pStyle w:val="Heading3"/>
        <w:keepNext/>
        <w:widowControl/>
        <w:rPr/>
      </w:pPr>
      <w:r>
        <w:rPr/>
        <w:t>PACKAGE AT — VOLUNTARY GREEN CARROT, CLEAN-MOBILITY, CIRCULARITY, AND INDUSTRIAL TRANSITION FRAMEWORK (v6.6).</w:t>
      </w:r>
    </w:p>
    <w:p>
      <w:pPr>
        <w:pStyle w:val="Normal"/>
        <w:widowControl/>
        <w:rPr/>
      </w:pPr>
      <w:r>
        <w:rPr/>
        <w:t>AT-1. The Parties establish a voluntary North American Green Carrot Catalogue preserving the principle that clean-mobility and lower-emission choices should be made easier and more attractive through incentives, interoperability, financing, infrastructure, information, and innovation rather than treaty-created consumer purchase mandates, technology bans, or forced phase-outs.</w:t>
      </w:r>
    </w:p>
    <w:p>
      <w:pPr>
        <w:pStyle w:val="Normal"/>
        <w:widowControl/>
        <w:rPr/>
      </w:pPr>
      <w:r>
        <w:rPr/>
        <w:t>AT-2. The Catalogue authorizes nationally determined and fiscally voluntary point-of-sale, used-vehicle, low-income, rural and remote, shared-mobility, taxi, fleet, home-charging, apartment-charging, workplace-charging, off-peak charging, vehicle-to-home, vehicle-to-grid, portable-charging, battery-health, and cross-border charging incentives. Any numerical amount in the Catalogue is illustrative unless a Party expressly adopts it in domestic law or an implementing schedule.</w:t>
      </w:r>
    </w:p>
    <w:p>
      <w:pPr>
        <w:pStyle w:val="Normal"/>
        <w:widowControl/>
        <w:rPr/>
      </w:pPr>
      <w:r>
        <w:rPr/>
        <w:t>AT-3. Charging cooperation prioritizes interoperable payment and authentication, roaming, transparent pricing, apartment and multi-unit access, rural and remote coverage, border corridors, park-and-ride and public-fleet charging, mobile emergency charging, grid-edge storage, solar canopies, demand response, and resilience. Participation by utilities, municipalities, landlords, networks, retailers, hotels, restaurants, and other private actors remains voluntary except where domestic law independently provides otherwise.</w:t>
      </w:r>
    </w:p>
    <w:p>
      <w:pPr>
        <w:pStyle w:val="Normal"/>
        <w:widowControl/>
        <w:rPr/>
      </w:pPr>
      <w:r>
        <w:rPr/>
        <w:t>AT-4. Manufacturing carrots include supplier retooling, worker-retention support, skills and micro-credentials, joint research and development, rapid prototyping, co-manufacturing, advanced manufacturing, port and fleet electrification, low-emission industrial equipment, clean-process investment, industrial-site readiness, recycling capacity, and transition finance, subject to ordinary subsidy, competition, procurement, labor, environmental, and fiscal disciplines.</w:t>
      </w:r>
    </w:p>
    <w:p>
      <w:pPr>
        <w:pStyle w:val="Normal"/>
        <w:widowControl/>
        <w:rPr/>
      </w:pPr>
      <w:r>
        <w:rPr/>
        <w:t>AT-5. Circular-economy carrots include battery return and recycling, second-life stationary storage, battery passports and traceability, recycling research prizes, catalytic-converter recovery, recycled metals and plastics, low-carbon steel and aluminum, sustainable tires, smelter modernization, community storage, and recovery of critical materials. Incentives shall not waive environmental review, Indigenous or treaty rights, worker protections, mine-safety rules, royalty obligations without specific domestic authorization, or responsible-resource safeguards.</w:t>
      </w:r>
    </w:p>
    <w:p>
      <w:pPr>
        <w:pStyle w:val="Normal"/>
        <w:widowControl/>
        <w:rPr/>
      </w:pPr>
      <w:r>
        <w:rPr/>
        <w:t>AT-6. Consumer and community carrots may include test-drive programs, group purchasing, educational demonstrations, EV-ready construction incentives, retrofit grants, eco-tourism charging routes, demand-response rewards, green lending products, usage-based insurance where lawful, and loyalty programs. The Parties should favor measures with a demonstrable mobility, grid, affordability, industrial, environmental, or educational benefit over novelty perks unrelated to those objectives.</w:t>
      </w:r>
    </w:p>
    <w:p>
      <w:pPr>
        <w:pStyle w:val="Normal"/>
        <w:widowControl/>
        <w:rPr/>
      </w:pPr>
      <w:r>
        <w:rPr/>
        <w:t>AT-7. The Catalogue expressly excludes or reincarnates proposals that would compromise border-security neutrality, loading-zone or bus-lane safety, prudent mineral licensing, sound public finance, credit-reporting neutrality, retirement-account integrity, or credible carbon accounting. EV-specific border express lanes, private loading-zone privileges, bus-lane privileges, mineral finder’s fees, blanket royalty holidays, government-guaranteed resale floors, EV-specific credit-score manipulation, EV retirement-account constructs, and unsupported lifetime-carbon-offset instruments are not recommended treaty mechanisms.</w:t>
      </w:r>
    </w:p>
    <w:p>
      <w:pPr>
        <w:pStyle w:val="Normal"/>
        <w:widowControl/>
        <w:rPr/>
      </w:pPr>
      <w:r>
        <w:rPr/>
        <w:t>AT-8. Existing institutions shall administer the Catalogue. No new standing committee is required. Parties may pilot, sunset, expand, revise, or discontinue individual carrots according to measured uptake, fiscal cost, grid effects, lifecycle emissions, equity, industrial impact, and consumer benefit, while preserving the voluntary character of the framework.</w:t>
      </w:r>
    </w:p>
    <w:p>
      <w:pPr>
        <w:pStyle w:val="Heading3"/>
        <w:keepNext/>
        <w:widowControl/>
        <w:rPr/>
      </w:pPr>
      <w:r>
        <w:rPr/>
        <w:t>PACKAGE AU — NORTH AMERICAN EDUCATION, SKILLS, RESEARCH, AND MOBILITY FRAMEWORK (v6.6).</w:t>
      </w:r>
    </w:p>
    <w:p>
      <w:pPr>
        <w:pStyle w:val="Normal"/>
        <w:widowControl/>
        <w:rPr/>
      </w:pPr>
      <w:r>
        <w:rPr/>
        <w:t>AU-1. The Parties encourage voluntary student, faculty, teacher, researcher, apprentice, technician, journalist, artist, librarian, museum, community-college, youth-leadership, and community exchanges, including virtual exchange, sister-school and sister-city education partnerships, border-community programs, language immersion, field schools, public-health exchanges, agricultural science, supply-chain externships, and collaborative research.</w:t>
      </w:r>
    </w:p>
    <w:p>
      <w:pPr>
        <w:pStyle w:val="Normal"/>
        <w:widowControl/>
        <w:rPr/>
      </w:pPr>
      <w:r>
        <w:rPr/>
        <w:t>AU-2. Participating accredited institutions may develop joint and trilateral degree programs, shared online courses, open educational resources, North American studies programs, AI and technology-ethics curricula, cybersecurity programs, climate and biodiversity curricula, business-case libraries, and research partnerships. Recognition of a joint credential applies only through the participating institutions and competent domestic accreditation or licensing systems.</w:t>
      </w:r>
    </w:p>
    <w:p>
      <w:pPr>
        <w:pStyle w:val="Normal"/>
        <w:widowControl/>
        <w:rPr/>
      </w:pPr>
      <w:r>
        <w:rPr/>
        <w:t>AU-3. A voluntary North American Skills Passport may document verified education, apprenticeships, micro-credentials, occupational competencies, and professional training. It facilitates equivalency assessment and recognition pathways but does not itself create blanket mutual recognition, override licensing bodies, or confer a right to practice a regulated profession.</w:t>
      </w:r>
    </w:p>
    <w:p>
      <w:pPr>
        <w:pStyle w:val="Normal"/>
        <w:widowControl/>
        <w:rPr/>
      </w:pPr>
      <w:r>
        <w:rPr/>
        <w:t>AU-4. Technical cooperation may support apprenticeships and training in EV service, batteries, advanced manufacturing, logistics, clean energy, sustainable construction, mining and resource management, agriculture, tourism and hospitality in Canada, the United States, and Mexico, entrepreneurship, and emergency-response disciplines. Police exchanges require specific civil-rights, jurisdiction, weapons, use-of-force, records, and accountability safeguards.</w:t>
      </w:r>
    </w:p>
    <w:p>
      <w:pPr>
        <w:pStyle w:val="Normal"/>
        <w:widowControl/>
        <w:rPr/>
      </w:pPr>
      <w:r>
        <w:rPr/>
        <w:t>AU-5. Health-professional externships are limited to supervised educational placements consistent with host-jurisdiction licensing, scope-of-practice, patient-consent, privacy, insurance, and clinical-safety requirements. Teaching exchanges likewise remain subject to credential, immigration, safeguarding, and labor requirements.</w:t>
      </w:r>
    </w:p>
    <w:p>
      <w:pPr>
        <w:pStyle w:val="Normal"/>
        <w:widowControl/>
        <w:rPr/>
      </w:pPr>
      <w:r>
        <w:rPr/>
        <w:t>AU-6. Indigenous education cooperation may support language revitalization, land-based learning, reciprocal Indigenous-knowledge partnerships, and institutionally authorized tuition-equity initiatives. Nothing in this Agreement purports to create a universal tuition waiver from the Jay Treaty or to alter Aboriginal, Indigenous, treaty, constitutional, or self-government rights.</w:t>
      </w:r>
    </w:p>
    <w:p>
      <w:pPr>
        <w:pStyle w:val="Normal"/>
        <w:widowControl/>
        <w:rPr/>
      </w:pPr>
      <w:r>
        <w:rPr/>
        <w:t>AU-7. Rural access, adult literacy, multilingual learning, AI-assisted translation, digital libraries, global classrooms, virtual STEM competitions, teacher professional development, and community engagement may be supported through existing institutions and open, interoperable platforms. Programs should be accessible to smaller institutions and communities rather than concentrated only in major universities.</w:t>
      </w:r>
    </w:p>
    <w:p>
      <w:pPr>
        <w:pStyle w:val="Normal"/>
        <w:widowControl/>
        <w:rPr/>
      </w:pPr>
      <w:r>
        <w:rPr/>
        <w:t>AU-8. Education cooperation is facilitative, not a federalization of curricula. Each Party preserves constitutional, state, provincial, territorial, local, Indigenous, institutional, accreditation, immigration, and professional-regulatory authority.</w:t>
      </w:r>
    </w:p>
    <w:p>
      <w:pPr>
        <w:pStyle w:val="Heading3"/>
        <w:keepNext/>
        <w:widowControl/>
        <w:rPr/>
      </w:pPr>
      <w:r>
        <w:rPr/>
        <w:t>PACKAGE AV — FREEDOM OF CONSCIENCE, STATE NEUTRALITY, AND EQUAL CITIZENSHIP FRAMEWORK (v6.6).</w:t>
      </w:r>
    </w:p>
    <w:p>
      <w:pPr>
        <w:pStyle w:val="Normal"/>
        <w:widowControl/>
        <w:rPr/>
      </w:pPr>
      <w:r>
        <w:rPr/>
        <w:t>AV-1. The Parties affirm a double firewall: religion, non-religion, or ideology shall not capture the coercive power of the state, and the state shall not suppress, punish, or disadvantage peaceful religion, non-religion, belief, disbelief, worship, expression, association, or political participation.</w:t>
      </w:r>
    </w:p>
    <w:p>
      <w:pPr>
        <w:pStyle w:val="Normal"/>
        <w:widowControl/>
        <w:rPr/>
      </w:pPr>
      <w:r>
        <w:rPr/>
        <w:t>AV-2. Public authority should operate through religiously neutral law: no religious test for public office, voting, public employment, public services, immigration, or ordinary civic participation; no compulsory worship or religious oath; no state enforcement of religious doctrine; and no governmental discrimination among religions, conscience-based beliefs, or non-belief.</w:t>
      </w:r>
    </w:p>
    <w:p>
      <w:pPr>
        <w:pStyle w:val="Normal"/>
        <w:widowControl/>
        <w:rPr/>
      </w:pPr>
      <w:r>
        <w:rPr/>
        <w:t>AV-3. Public education may teach about religion academically but shall not compel devotional observance. Students retain equal rights to voluntary religious and non-religious expression and clubs under neutral access rules. Science, health, and other public curricula remain evidence-based within the competent domestic education system.</w:t>
      </w:r>
    </w:p>
    <w:p>
      <w:pPr>
        <w:pStyle w:val="Normal"/>
        <w:widowControl/>
        <w:rPr/>
      </w:pPr>
      <w:r>
        <w:rPr/>
        <w:t>AV-4. Public funding, grants, contracts, facilities, charitable rules, and social-service programs should use neutral eligibility criteria. A religious organization is neither entitled to preferential treatment nor disqualified merely because it is religious, provided publicly funded services comply with applicable non-discrimination, safeguarding, financial-accountability, and no-compelled-proselytization rules.</w:t>
      </w:r>
    </w:p>
    <w:p>
      <w:pPr>
        <w:pStyle w:val="Normal"/>
        <w:widowControl/>
        <w:rPr/>
      </w:pPr>
      <w:r>
        <w:rPr/>
        <w:t>AV-5. Government officials and institutions may recognize cultural and religious occasions, communities, historic events, persecution, or public contributions without establishing a religion. Official communications and public spaces should remain inclusive; neutrality does not require pretending religion does not exist.</w:t>
      </w:r>
    </w:p>
    <w:p>
      <w:pPr>
        <w:pStyle w:val="Normal"/>
        <w:widowControl/>
        <w:rPr/>
      </w:pPr>
      <w:r>
        <w:rPr/>
        <w:t>AV-6. Religious or conscience-based accommodation shall be assessed under neutral domestic standards, including rights of others, safety, essential services, undue hardship, and constitutional requirements. Voluntary religious arbitration may operate only where lawful, genuinely voluntary, reviewable under secular law, and incapable of displacing access to competent civil courts.</w:t>
      </w:r>
    </w:p>
    <w:p>
      <w:pPr>
        <w:pStyle w:val="Normal"/>
        <w:widowControl/>
        <w:rPr/>
      </w:pPr>
      <w:r>
        <w:rPr/>
        <w:t>AV-7. Religious organizations and individuals may participate in public debate, lobbying, elections, and political advocacy subject to the same campaign-finance, lobbying, tax, disclosure, anti-corruption, and public-order rules applicable to comparable secular actors. The state shall not prescribe that political parties or civic organizations must themselves be secular.</w:t>
      </w:r>
    </w:p>
    <w:p>
      <w:pPr>
        <w:pStyle w:val="Normal"/>
        <w:widowControl/>
        <w:rPr/>
      </w:pPr>
      <w:r>
        <w:rPr/>
        <w:t>AV-8. Publicly funded healthcare, emergency response, housing, adoption, foster care, welfare, and other essential services shall be delivered without religious discrimination or compulsory religious participation, while residents and patients retain access to voluntary spiritual, religious, humanist, or non-religious support.</w:t>
      </w:r>
    </w:p>
    <w:p>
      <w:pPr>
        <w:pStyle w:val="Normal"/>
        <w:widowControl/>
        <w:rPr/>
      </w:pPr>
      <w:r>
        <w:rPr/>
        <w:t>AV-9. International assistance, diplomacy, refugee protection, and human-rights advocacy shall not favor or disadvantage persons solely because of religion or non-belief. Religious-freedom institutions or envoys may operate where their mandate protects freedom of conscience for believers and non-believers alike.</w:t>
      </w:r>
    </w:p>
    <w:p>
      <w:pPr>
        <w:pStyle w:val="Normal"/>
        <w:widowControl/>
        <w:rPr/>
      </w:pPr>
      <w:r>
        <w:rPr/>
        <w:t>AV-10. The Parties may affirm these principles through a non-binding North American Charter of Freedom of Conscience and State Neutrality, implemented through existing constitutional and human-rights institutions and without creating a supranational religious authority.</w:t>
      </w:r>
    </w:p>
    <w:p>
      <w:pPr>
        <w:pStyle w:val="Heading3"/>
        <w:keepNext/>
        <w:widowControl/>
        <w:rPr/>
      </w:pPr>
      <w:r>
        <w:rPr/>
        <w:t>PACKAGE AW — COERCIVE IDENTITY-CHANGE PRACTICES PREVENTION AND FREEDOM-OF-BELIEF FIREWALL (v6.6).</w:t>
      </w:r>
    </w:p>
    <w:p>
      <w:pPr>
        <w:pStyle w:val="Normal"/>
        <w:widowControl/>
        <w:rPr/>
      </w:pPr>
      <w:r>
        <w:rPr/>
        <w:t>AW-1. Each Party should prohibit, consistently with its constitutional order, coercive, deceptive, abusive, exploitative, or professionally improper practices whose purpose is to force, suppress, or erase a person’s sexual orientation, gender identity, or gender expression. Regulation shall be conduct-based and religion-neutral.</w:t>
      </w:r>
    </w:p>
    <w:p>
      <w:pPr>
        <w:pStyle w:val="Normal"/>
        <w:widowControl/>
        <w:rPr/>
      </w:pPr>
      <w:r>
        <w:rPr/>
        <w:t>AW-2. Enhanced protection applies to minors and persons unable to provide legally effective consent. Covered settings may include camps, retreats, residential programs, counseling businesses, healthcare settings, unlicensed commercial programs, and other organized programs regardless of whether the operator is religious, secular, commercial, familial, or ideological.</w:t>
      </w:r>
    </w:p>
    <w:p>
      <w:pPr>
        <w:pStyle w:val="Normal"/>
        <w:widowControl/>
        <w:rPr/>
      </w:pPr>
      <w:r>
        <w:rPr/>
        <w:t>AW-3. Prohibited conduct may include confinement, threats, humiliation, deprivation, physical violence, sexual abuse, fraudulent therapeutic claims, coercive aversion practices, material exploitation, or abuse of authority or dependency. Serious conduct remains subject to ordinary criminal law independently of this framework.</w:t>
      </w:r>
    </w:p>
    <w:p>
      <w:pPr>
        <w:pStyle w:val="Normal"/>
        <w:widowControl/>
        <w:rPr/>
      </w:pPr>
      <w:r>
        <w:rPr/>
        <w:t>AW-4. No religious-organization exemption immunizes otherwise unlawful conduct. At the same time, protected belief, worship, preaching, prayer, pastoral conversation, family discussion, and non-coercive exploration of identity remain protected where they do not employ prohibited conduct or treat a particular orientation or identity as a condition for safety, liberty, essential care, or basic rights.</w:t>
      </w:r>
    </w:p>
    <w:p>
      <w:pPr>
        <w:pStyle w:val="Normal"/>
        <w:widowControl/>
        <w:rPr/>
      </w:pPr>
      <w:r>
        <w:rPr/>
        <w:t>AW-5. For competent adults, consent shall not be categorically erased. Domestic law may regulate professional misconduct, fraud, coercion, abuse, confinement, dependency, or incapacity and may impose stricter rules for minors. Any consent analysis must examine whether agreement was informed, voluntary, revocable, and free from prohibited pressure.</w:t>
      </w:r>
    </w:p>
    <w:p>
      <w:pPr>
        <w:pStyle w:val="Normal"/>
        <w:widowControl/>
        <w:rPr/>
      </w:pPr>
      <w:r>
        <w:rPr/>
        <w:t>AW-6. The Parties may prohibit advertising, commercial promotion, public financing, and material profit from unlawful covered practices; provide civil remedies, professional discipline, survivor support, complaint mechanisms, and organizational accountability; and prevent cross-border removal or travel designed to evade applicable child-protection or criminal law.</w:t>
      </w:r>
    </w:p>
    <w:p>
      <w:pPr>
        <w:pStyle w:val="Normal"/>
        <w:widowControl/>
        <w:rPr/>
      </w:pPr>
      <w:r>
        <w:rPr/>
        <w:t>AW-7. Definitions must be precise enough to distinguish prohibited identity-change practices from neutral mental-health care, supportive counseling, identity exploration, transition-related or detransition-related care where lawful, pastoral support, and ordinary discussion. No practice is automatically classified as torture unless the applicable legal threshold for torture or comparable serious abuse is independently satisfied.</w:t>
      </w:r>
    </w:p>
    <w:p>
      <w:pPr>
        <w:pStyle w:val="Normal"/>
        <w:widowControl/>
        <w:rPr/>
      </w:pPr>
      <w:r>
        <w:rPr/>
        <w:t>AW-8. Enforcement shall protect privacy, due process, freedom of conscience, freedom of expression, parental and family rights within lawful bounds, professional standards, and the paramount safety protections applicable to children and vulnerable persons.</w:t>
      </w:r>
    </w:p>
    <w:p>
      <w:pPr>
        <w:pStyle w:val="Heading3"/>
        <w:keepNext/>
        <w:widowControl/>
        <w:rPr/>
      </w:pPr>
      <w:r>
        <w:rPr/>
        <w:t>PACKAGE AX — CHILD SEXUAL ABUSE PREVENTION, SAFEGUARDING, AND CROSS-BORDER PROTECTION FRAMEWORK (v6.6).</w:t>
      </w:r>
    </w:p>
    <w:p>
      <w:pPr>
        <w:pStyle w:val="Normal"/>
        <w:widowControl/>
        <w:rPr/>
      </w:pPr>
      <w:r>
        <w:rPr/>
        <w:t>AX-1. The Parties adopt a prevention-oriented public-health approach to child sexual abuse and exploitation, emphasizing age-appropriate body-safety and consent education, parent education, digital literacy, child-friendly reporting, trauma-informed educator training, public awareness, parenting support, and accessible community resources.</w:t>
      </w:r>
    </w:p>
    <w:p>
      <w:pPr>
        <w:pStyle w:val="Normal"/>
        <w:widowControl/>
        <w:rPr/>
      </w:pPr>
      <w:r>
        <w:rPr/>
        <w:t>AX-2. Online-safety cooperation supports clear reporting pathways, properly scoped mandatory reporting of known child sexual abuse material, national cyber tip lines, lawful cross-border investigative cooperation, international takedown coordination, safer platform design, gaming safeguards, parental tools, digital citizenship, research, and proportionate AI-plus-human detection of grooming and exploitation. Measures shall not create generalized surveillance of lawful private communications.</w:t>
      </w:r>
    </w:p>
    <w:p>
      <w:pPr>
        <w:pStyle w:val="Normal"/>
        <w:widowControl/>
        <w:rPr/>
      </w:pPr>
      <w:r>
        <w:rPr/>
        <w:t>AX-3. Youth-serving institutions shall maintain safeguarding policies, codes of conduct, safe recruitment, appropriate background and registry checks, prevention training, whistleblower protection, reporting pathways, independent audits, and risk-based supervision of adult-child interactions. Two-adult and one-on-one safeguards shall include practical exceptions for legitimate healthcare, counseling, emergency, disability, family, educational, and other circumstances with compensating protections.</w:t>
      </w:r>
    </w:p>
    <w:p>
      <w:pPr>
        <w:pStyle w:val="Normal"/>
        <w:widowControl/>
        <w:rPr/>
      </w:pPr>
      <w:r>
        <w:rPr/>
        <w:t>AX-4. Safeguarding duties apply neutrally to schools, camps, sports, healthcare, childcare, community organizations, religious institutions, secular institutions, and other youth-serving organizations. Mandatory-reporting rules, including their treatment of clergy or privileged communications, remain subject to each Party’s constitutional and evidentiary law while closing avoidable institutional concealment pathways.</w:t>
      </w:r>
    </w:p>
    <w:p>
      <w:pPr>
        <w:pStyle w:val="Normal"/>
        <w:widowControl/>
        <w:rPr/>
      </w:pPr>
      <w:r>
        <w:rPr/>
        <w:t>AX-5. Family and community prevention may include home visiting, family-support centers, mental-health and substance-use treatment, kinship support, respite care, accessible childcare, housing and food-security supports, culturally appropriate programs, community safe places, faith and non-faith community participation, and programs reducing social isolation. Community participation shall not become vigilantism or substitute for professional investigation.</w:t>
      </w:r>
    </w:p>
    <w:p>
      <w:pPr>
        <w:pStyle w:val="Normal"/>
        <w:widowControl/>
        <w:rPr/>
      </w:pPr>
      <w:r>
        <w:rPr/>
        <w:t>AX-6. Each Party should maintain clear criminal definitions and proportionate penalties for child sexual abuse, exploitation, CSAM-related offenses, sextortion, trafficking, and cross-border offending, together with child-witness protections, protection orders, victim compensation, civil remedies, legal representation, extradition cooperation, and trauma-informed justice processes.</w:t>
      </w:r>
    </w:p>
    <w:p>
      <w:pPr>
        <w:pStyle w:val="Normal"/>
        <w:widowControl/>
        <w:rPr/>
      </w:pPr>
      <w:r>
        <w:rPr/>
        <w:t>AX-7. Cross-Border Anti-Evasion Rule. A person shall not obtain a safe harbor merely by traveling, relocating, arranging travel, or transferring a child between Parties to evade otherwise applicable protections against sexual abuse or exploitation. Cooperation remains subject to jurisdiction, dual-criminality, extradition, due-process, and constitutional requirements.</w:t>
      </w:r>
    </w:p>
    <w:p>
      <w:pPr>
        <w:pStyle w:val="Normal"/>
        <w:widowControl/>
        <w:rPr/>
      </w:pPr>
      <w:r>
        <w:rPr/>
        <w:t>AX-8. Aggravated Sentencing Framework. Sentencing systems should treat coercion, violence, abuse of a position of trust, multiple victims, organized exploitation, trafficking, CSAM production or distribution, repeat offending, and institutional concealment as serious aggravating factors while preserving constitutionally required judicial process and individualized sentencing.</w:t>
      </w:r>
    </w:p>
    <w:p>
      <w:pPr>
        <w:pStyle w:val="Normal"/>
        <w:widowControl/>
        <w:rPr/>
      </w:pPr>
      <w:r>
        <w:rPr/>
        <w:t>AX-9. Child-Contact Disqualification Framework. Serious substantiated convictions for child sexual abuse or exploitation presumptively disqualify a person from child-contact employment or volunteering. Duration, review, rehabilitation, and any exceptional restoration pathway shall reflect offense severity, risk, due process, and the paramount protection of children rather than an indiscriminate permanent ban for every offense.</w:t>
      </w:r>
    </w:p>
    <w:p>
      <w:pPr>
        <w:pStyle w:val="Normal"/>
        <w:widowControl/>
        <w:rPr/>
      </w:pPr>
      <w:r>
        <w:rPr/>
        <w:t>AX-10. Sex-offender registration, community notification, and employment-screening systems should be risk-tiered, accurate, appealable, privacy-conscious, and directed toward genuine safeguarding needs. Arrest, allegation, or unadjudicated suspicion alone shall not be treated as equivalent to conviction or substantiated misconduct.</w:t>
      </w:r>
    </w:p>
    <w:p>
      <w:pPr>
        <w:pStyle w:val="Normal"/>
        <w:widowControl/>
        <w:rPr/>
      </w:pPr>
      <w:r>
        <w:rPr/>
        <w:t>AX-11. Intervention includes trauma-informed treatment for victims, support for non-offending caregivers, therapeutic responses to harmful sexual behavior by children and adolescents, validated risk assessment, evidence-based treatment and post-release supervision for offenders, confidential prevention helplines, and family reunification only where an independent safety assessment finds reunification appropriate.</w:t>
      </w:r>
    </w:p>
    <w:p>
      <w:pPr>
        <w:pStyle w:val="Normal"/>
        <w:widowControl/>
        <w:rPr/>
      </w:pPr>
      <w:r>
        <w:rPr/>
        <w:t>AX-12. The Parties should harmonize comparable data definitions where practical, share best practices, conduct joint research, train border officials, cooperate on missing and exploited children, and use existing law-enforcement and treaty institutions for cross-border cases. No new annual summit or standing body is required where existing institutions can perform the function.</w:t>
      </w:r>
    </w:p>
    <w:p>
      <w:pPr>
        <w:pStyle w:val="Heading3"/>
        <w:keepNext/>
        <w:widowControl/>
        <w:rPr/>
      </w:pPr>
      <w:r>
        <w:rPr/>
        <w:t>PACKAGE AY — LONG-TERM CARE, ELDER PROTECTION, DIGNITY, AND RESIDENT SAFETY FRAMEWORK (v6.6).</w:t>
      </w:r>
    </w:p>
    <w:p>
      <w:pPr>
        <w:pStyle w:val="Normal"/>
        <w:widowControl/>
        <w:rPr/>
      </w:pPr>
      <w:r>
        <w:rPr/>
        <w:t>AY-1. The Parties recognize safe long-term care as a resident-dignity, workforce, public-health, and accountability objective. Implementation remains within each Party’s constitutional allocation of federal, national, state, provincial, territorial, local, Indigenous, licensing, healthcare, labor, and social-service authority.</w:t>
      </w:r>
    </w:p>
    <w:p>
      <w:pPr>
        <w:pStyle w:val="Normal"/>
        <w:widowControl/>
        <w:rPr/>
      </w:pPr>
      <w:r>
        <w:rPr/>
        <w:t>AY-2. Staffing standards should be evidence-based and acuity-adjusted, with adequate licensed-nursing coverage, direct-care hours, shift-specific planning, transparent staffing data, protected breaks and rest, paid sick leave, limits on unsafe overtime, continuity-oriented primary caregiver assignments, regional float pools, orientation, career ladders, training, and workforce-retention measures. Illustrative ratios or hours are not treaty-locked where competent authorities adopt safer evidence-based equivalents.</w:t>
      </w:r>
    </w:p>
    <w:p>
      <w:pPr>
        <w:pStyle w:val="Normal"/>
        <w:widowControl/>
        <w:rPr/>
      </w:pPr>
      <w:r>
        <w:rPr/>
        <w:t>AY-3. Hiring safeguards include proportionate background and abuse-registry checks, reference verification, volunteer and resident-access contractor screening, probation and supervised orientation, portable checks where lawful, whistleblower protection, and periodic re-screening. Risk-Tiered Employment Disqualification replaces blanket permanent exclusion: the gravest relevant offenses may justify permanent exclusion while other cases receive proportionate periods and review.</w:t>
      </w:r>
    </w:p>
    <w:p>
      <w:pPr>
        <w:pStyle w:val="Normal"/>
        <w:widowControl/>
        <w:rPr/>
      </w:pPr>
      <w:r>
        <w:rPr/>
        <w:t>AY-4. An Adjudicated Misconduct Registry may record final professional, licensing, administrative, or judicial findings relevant to resident safety, with notice, appeal, correction, identity safeguards, and proportionate retention. Arrest alerts or allegations do not establish guilt. Structured suitability assessment should use behavioral interviews, references, competency and supervised probation rather than pseudo-diagnostic testing for 'empathy.'</w:t>
      </w:r>
    </w:p>
    <w:p>
      <w:pPr>
        <w:pStyle w:val="Normal"/>
        <w:widowControl/>
        <w:rPr/>
      </w:pPr>
      <w:r>
        <w:rPr/>
        <w:t>AY-5. Fitness-for-duty and impairment rules should focus on safety. Testing may be used for cause, after serious incidents, or where otherwise lawful for genuinely safety-sensitive work; supervisors should be trained to identify impairment and remove an impaired worker from safety duties. Blanket random testing is not a preferred default.</w:t>
      </w:r>
    </w:p>
    <w:p>
      <w:pPr>
        <w:pStyle w:val="Normal"/>
        <w:widowControl/>
        <w:rPr/>
      </w:pPr>
      <w:r>
        <w:rPr/>
        <w:t>AY-6. Core training includes person-centered and dementia care, abuse prevention and reporting, palliative and end-of-life care, cultural competence, de-escalation, infection control, lifting and mobility, medication safety, emergency response, and hands-on competency. Existing schools, regulators, employers, unions, colleges, and professional bodies should be used before creating new academies or boards.</w:t>
      </w:r>
    </w:p>
    <w:p>
      <w:pPr>
        <w:pStyle w:val="Normal"/>
        <w:widowControl/>
        <w:rPr/>
      </w:pPr>
      <w:r>
        <w:rPr/>
        <w:t>AY-7. Oversight includes unannounced quality inspections, night and weekend inspections, strengthened ombudsman services, real-time staffing reporting, complaint hotlines, timely incident reporting, root-cause analysis, medication and financial audits, ownership screening, corporate accountability, resident and family surveys, and public quality information. Inspection capacity must be adequately funded.</w:t>
      </w:r>
    </w:p>
    <w:p>
      <w:pPr>
        <w:pStyle w:val="Normal"/>
        <w:widowControl/>
        <w:rPr/>
      </w:pPr>
      <w:r>
        <w:rPr/>
        <w:t>AY-8. Proportionate Electronic Monitoring replaces blanket surveillance. Residents may choose lawful private-room monitoring subject to resident and roommate consent and privacy rules. Targeted cameras may be used in appropriate security areas, but facilities shall not be required to transform all common or private areas into continuously recorded surveillance spaces.</w:t>
      </w:r>
    </w:p>
    <w:p>
      <w:pPr>
        <w:pStyle w:val="Normal"/>
        <w:widowControl/>
        <w:rPr/>
      </w:pPr>
      <w:r>
        <w:rPr/>
        <w:t>AY-9. Residents retain a clear bill of rights including freedom from abuse, neglect, exploitation and retaliation; visitation; privacy during personal care; respectful adult communication; meaningful choice in routines, food, activities and care; access to legal aid and complaint processes; guardianship safeguards; and voluntary access to spiritual, religious, humanist, or non-religious support.</w:t>
      </w:r>
    </w:p>
    <w:p>
      <w:pPr>
        <w:pStyle w:val="Normal"/>
        <w:widowControl/>
        <w:rPr/>
      </w:pPr>
      <w:r>
        <w:rPr/>
        <w:t>AY-10. Person-centered quality of life includes nutritious and appealing meals, flexible dining, meaningful activities, gardens and outdoor access, pet and intergenerational programs where safe, cultural activities, technology access, hearing and vision support, grooming, palliative care, end-of-life dignity, resident councils, family councils, and comfortable social spaces.</w:t>
      </w:r>
    </w:p>
    <w:p>
      <w:pPr>
        <w:pStyle w:val="Normal"/>
        <w:widowControl/>
        <w:rPr/>
      </w:pPr>
      <w:r>
        <w:rPr/>
        <w:t>AY-11. Evidence-Based Dementia Communication replaces mandatory reality orientation. Care plans may use validation, redirection, reassurance, orientation cues, reminiscence, and other clinically appropriate techniques tailored to the individual rather than forcing a confused resident repeatedly to accept a distressing version of events.</w:t>
      </w:r>
    </w:p>
    <w:p>
      <w:pPr>
        <w:pStyle w:val="Normal"/>
        <w:widowControl/>
        <w:rPr/>
      </w:pPr>
      <w:r>
        <w:rPr/>
        <w:t>AY-12. Facility standards include fall and wandering prevention, cleanliness, infection control, emergency planning, backup power, accessibility, secure medication storage, hazard and pest control, safe outdoor areas, protection from second-hand smoke, and incentives for smaller home-like models and private rooms. Shared rooms should be phased down through new construction and renovation without causing unsafe capacity loss.</w:t>
      </w:r>
    </w:p>
    <w:p>
      <w:pPr>
        <w:pStyle w:val="Normal"/>
        <w:widowControl/>
        <w:rPr/>
      </w:pPr>
      <w:r>
        <w:rPr/>
        <w:t>AY-13. Enforcement may include escalating civil penalties, individual criminal accountability where criminal elements are proven, organizational liability for systemic wrongdoing, adult-protective-service and specialized-prosecution capacity, independent medical review where abuse or neglect is suspected, and statutory duties of care and loyalty. Conflict rules should prohibit undisclosed self-dealing rather than every outside financial interest.</w:t>
      </w:r>
    </w:p>
    <w:p>
      <w:pPr>
        <w:pStyle w:val="Normal"/>
        <w:widowControl/>
        <w:rPr/>
      </w:pPr>
      <w:r>
        <w:rPr/>
        <w:t>AY-14. Minimum Direct-Care Spending / Anti-Extraction Rule. Where public funding is increased specifically to improve long-term care, domestic implementing programs should require transparent demonstration that an appropriate share reaches resident care, frontline staffing, food, clinical services, maintenance, accessibility, and quality of life rather than excessive management fees, related-party transactions, asset stripping, dividends, property-company rents, or executive extraction.</w:t>
      </w:r>
    </w:p>
    <w:p>
      <w:pPr>
        <w:pStyle w:val="Normal"/>
        <w:widowControl/>
        <w:rPr/>
      </w:pPr>
      <w:r>
        <w:rPr/>
        <w:t>AY-15. Mandatory Long-Term Care Star Rating System. Each licensed facility should receive a regularly recalculated one-to-five-star care-quality rating based on independently verified measures, not hotel-style luxury. Suggested domains are staffing and continuity, resident safety, inspection and regulatory compliance, resident outcomes and quality of life, resident and family experience, workforce conditions, and transparency and rights.</w:t>
      </w:r>
    </w:p>
    <w:p>
      <w:pPr>
        <w:pStyle w:val="Normal"/>
        <w:widowControl/>
        <w:rPr/>
      </w:pPr>
      <w:r>
        <w:rPr/>
        <w:t>AY-16. Star ratings should display category subratings and trend direction. Serious substantiated patterns of abuse, deliberate concealment, immediate-jeopardy deficiencies, or chronic dangerous understaffing may cap the overall rating regardless of amenities. Ratings should be displayed at the facility, on the competent regulator’s directory, in admission materials, and wherever the facility advertises its official quality rating.</w:t>
      </w:r>
    </w:p>
    <w:p>
      <w:pPr>
        <w:pStyle w:val="Normal"/>
        <w:widowControl/>
        <w:rPr/>
      </w:pPr>
      <w:r>
        <w:rPr/>
        <w:t>AY-17. One-Star Recovery-or-Closure Rule. A facility receiving one star enters enhanced regulatory supervision and ordinarily receives 90 days to demonstrate substantial independently verified improvement. Oversight may include increased inspections, corrective planning, staffing and incident monitoring, restrictions on extraordinary distributions or asset stripping, admissions limits where warranted, resident and family notice, and temporary management.</w:t>
      </w:r>
    </w:p>
    <w:p>
      <w:pPr>
        <w:pStyle w:val="Normal"/>
        <w:widowControl/>
        <w:rPr/>
      </w:pPr>
      <w:r>
        <w:rPr/>
        <w:t>AY-18. At the end of the 90-day period, improvement to at least two stars permits staged exit from enhanced supervision. A short non-renewable extension of 30 to 90 days may be allowed only where substantial verified progress exists, residents are presently safe, and immediate closure would create greater harm. Continued one-star performance without adequate improvement requires receivership, management replacement, forced sale where lawful, licence action, or orderly closure.</w:t>
      </w:r>
    </w:p>
    <w:p>
      <w:pPr>
        <w:pStyle w:val="Normal"/>
        <w:widowControl/>
        <w:rPr/>
      </w:pPr>
      <w:r>
        <w:rPr/>
        <w:t>AY-19. Immediate Danger Exception. The recovery period does not delay emergency intervention where residents face imminent danger, including serious ongoing abuse, catastrophic understaffing, medication deprivation, dangerous sanitation, abandonment, or deliberate concealment. Regulators may suspend admissions, impose emergency management, relocate residents, or take other lawful protective action immediately.</w:t>
      </w:r>
    </w:p>
    <w:p>
      <w:pPr>
        <w:pStyle w:val="Normal"/>
        <w:widowControl/>
        <w:rPr/>
      </w:pPr>
      <w:r>
        <w:rPr/>
        <w:t>AY-20. Closure and relocation shall protect residents through individualized transition plans, continuity of medication and records, transportation, family or representative consultation, and placement in an equal-or-better safe setting where reasonably possible. Regulatory action shall not solve facility failure by simply dumping residents elsewhere.</w:t>
      </w:r>
    </w:p>
    <w:p>
      <w:pPr>
        <w:pStyle w:val="Normal"/>
        <w:widowControl/>
        <w:rPr/>
      </w:pPr>
      <w:r>
        <w:rPr/>
        <w:t>AY-21. Secret Resident-Experience Inspection Program. A proportion of inspections should be genuinely unpredictable and may occur during meals, evenings, overnight periods, weekends, holidays, shift changes, and other ordinary operating conditions. Inspectors may observe call-response performance, meals and feeding assistance, privacy, respectful communication, activities, outdoor access, cleanliness, distress response, and actual staffing without management staging the visit.</w:t>
      </w:r>
    </w:p>
    <w:p>
      <w:pPr>
        <w:pStyle w:val="Normal"/>
        <w:widowControl/>
        <w:rPr/>
      </w:pPr>
      <w:r>
        <w:rPr/>
        <w:t>AY-22. Inspectors should be able to conduct confidential conversations with residents, families, and frontline workers and, where appropriate, experience ordinary resident services such as a resident meal. Anti-retaliation protections apply. One-star remediation should include unannounced verification so temporary showcase staffing or cleaning cannot substitute for durable improvement. Inspectors need not impersonate residents or family members.</w:t>
      </w:r>
    </w:p>
    <w:p>
      <w:pPr>
        <w:pStyle w:val="Normal"/>
        <w:widowControl/>
        <w:rPr/>
      </w:pPr>
      <w:r>
        <w:rPr/>
        <w:t>AY-23. Voluntary Resident AI Companion and Accessibility Program. Residents may opt into clearly identified AI assistants for conversation, reminiscence, games, reading, music, information, reminders, translation, accessibility, activity discovery, dictation, family communication, and other non-clinical assistance. Refusal carries no penalty, and AI companionship shall never justify reducing human staffing, visitation, activities, or social contact.</w:t>
      </w:r>
    </w:p>
    <w:p>
      <w:pPr>
        <w:pStyle w:val="Normal"/>
        <w:widowControl/>
        <w:rPr/>
      </w:pPr>
      <w:r>
        <w:rPr/>
        <w:t>AY-24. AI systems may, with informed consent and appropriate device approval, integrate with wearables, beds, room sensors, call systems, or medical devices to monitor authorized safety-relevant signals such as movement, falls, distress, heart rate, respiration, blood oxygen, or other supported measurements. The AI may detect and flag possible deterioration but shall not autonomously diagnose disease, prescribe, administer medication, restrain a resident, determine capacity, or alter treatment.</w:t>
      </w:r>
    </w:p>
    <w:p>
      <w:pPr>
        <w:pStyle w:val="Normal"/>
        <w:widowControl/>
        <w:rPr/>
      </w:pPr>
      <w:r>
        <w:rPr/>
        <w:t>AY-25. AI Fall, Distress, and Voice-Help Detection. A resident should be able to summon assistance hands-free through phrases such as 'help,' 'I fell,' 'I cannot get up,' 'I need the bathroom,' 'I wet the bed,' 'I am frightened,' or other configured requests. The system should distinguish emergency, urgent personal-care, and routine requests sufficiently to route them appropriately while preserving dignity.</w:t>
      </w:r>
    </w:p>
    <w:p>
      <w:pPr>
        <w:pStyle w:val="Normal"/>
        <w:widowControl/>
        <w:rPr/>
      </w:pPr>
      <w:r>
        <w:rPr/>
        <w:t>AY-26. Automatic Human Escalation Protocol. An assistance request generates a timestamped alert, attempts appropriate resident confirmation, and summons human staff. Failure to acknowledge or attend within severity-appropriate thresholds triggers escalating notification to additional caregivers, nursing supervision, management, or emergency services. Closed-loop confirmation should tell the resident when help has been acknowledged where feasible.</w:t>
      </w:r>
    </w:p>
    <w:p>
      <w:pPr>
        <w:pStyle w:val="Normal"/>
        <w:widowControl/>
        <w:rPr/>
      </w:pPr>
      <w:r>
        <w:rPr/>
        <w:t>AY-27. Call-Bell Backup and Response Analytics. AI-assisted systems may record request time, acknowledgement time, arrival time, escalation, and closure so facilities and regulators can identify delayed or unanswered assistance. Facility-level metrics may include median and 90th-percentile response times, emergency response, overnight deterioration, and unacknowledged alerts. These measurements complement rather than replace qualitative care review.</w:t>
      </w:r>
    </w:p>
    <w:p>
      <w:pPr>
        <w:pStyle w:val="Normal"/>
        <w:widowControl/>
        <w:rPr/>
      </w:pPr>
      <w:r>
        <w:rPr/>
        <w:t>AY-28. Privacy-Minimal Doorway Response Sensor. A facility may use a low-information doorway sensor whose sole function is to detect entry or exit and timestamp the event for care-response measurement. It should not identify the person, record audio or video, use facial recognition, or continuously track a worker’s location. Doorway events establish presence, not that care was completed.</w:t>
      </w:r>
    </w:p>
    <w:p>
      <w:pPr>
        <w:pStyle w:val="Normal"/>
        <w:widowControl/>
        <w:rPr/>
      </w:pPr>
      <w:r>
        <w:rPr/>
        <w:t>AY-29. AI-Assisted Care Response Accountability shall monitor the care process rather than continuously monitor employees. Individual metrics shall not be converted automatically into productivity scores, emotion or compassion scores, worker rankings, bathroom-break tracking, or automated disciplinary decisions. Human review is required before any employment consequence based materially on AI-derived information.</w:t>
      </w:r>
    </w:p>
    <w:p>
      <w:pPr>
        <w:pStyle w:val="Normal"/>
        <w:widowControl/>
        <w:rPr/>
      </w:pPr>
      <w:r>
        <w:rPr/>
        <w:t>AY-30. No Algorithmic Scapegoating Rule. Response metrics must be interpreted with staffing levels, resident acuity, simultaneous emergencies, workload, equipment needs, and other relevant circumstances. Data showing slow responses on an understaffed shift may demonstrate a management or system failure rather than individual worker misconduct. AI does not count toward any minimum human staffing requirement.</w:t>
      </w:r>
    </w:p>
    <w:p>
      <w:pPr>
        <w:pStyle w:val="Normal"/>
        <w:widowControl/>
        <w:rPr/>
      </w:pPr>
      <w:r>
        <w:rPr/>
        <w:t>AY-31. Resident Care-Response Record Access Right. Each competent resident has access to their own assistance-response history and may authorize family members or other trusted persons to receive summary statistics, detailed event logs, or both. Where the resident lacks legal capacity, access follows applicable substitute-decision-maker and privacy law. Family status alone does not automatically override a competent resident’s privacy choices.</w:t>
      </w:r>
    </w:p>
    <w:p>
      <w:pPr>
        <w:pStyle w:val="Normal"/>
        <w:widowControl/>
        <w:rPr/>
      </w:pPr>
      <w:r>
        <w:rPr/>
        <w:t>AY-32. No Sanitized Family Report Rule. Machine-generated request, acknowledgement, escalation, doorway, and arrival timestamps shall not be silently rewritten before authorized disclosure. Facilities may append explanations, corrections, or contextual notes while preserving the original audit record. Records should be retained only for a proportionate period unless required for care, complaint, litigation, regulatory, or safety purposes.</w:t>
      </w:r>
    </w:p>
    <w:p>
      <w:pPr>
        <w:pStyle w:val="Normal"/>
        <w:widowControl/>
        <w:rPr/>
      </w:pPr>
      <w:r>
        <w:rPr/>
        <w:t>AY-33. Public star-rating and consumer information should ordinarily use anonymized facility-level response statistics. Regulators, ombudsmen, residents, authorized representatives, and investigators may obtain more detailed information when lawfully necessary. AI and sensor data shall not be sold, used for targeted advertising, or used to train unrelated commercial models without valid authorization.</w:t>
      </w:r>
    </w:p>
    <w:p>
      <w:pPr>
        <w:pStyle w:val="Normal"/>
        <w:widowControl/>
        <w:rPr/>
      </w:pPr>
      <w:r>
        <w:rPr/>
        <w:t>AY-34. Right to Meaningful Social Opportunity. Every resident should be regularly offered reasonable opportunities for voluntary social interaction with other residents, visitors, volunteers, and the wider community. Participation shall never be compulsory, and a resident’s preference for solitude is equally entitled to respect.</w:t>
      </w:r>
    </w:p>
    <w:p>
      <w:pPr>
        <w:pStyle w:val="Normal"/>
        <w:widowControl/>
        <w:rPr/>
      </w:pPr>
      <w:r>
        <w:rPr/>
        <w:t>AY-35. Facilities should provide accessible small-group spaces, resident-led clubs and activities, community and intergenerational connections, and assistance needed for residents with mobility, hearing, vision, language, or other barriers to participate. Optional interest matching, including AI-assisted suggestions, may introduce residents to compatible activities or peers only with consent and without forcing relationships.</w:t>
      </w:r>
    </w:p>
    <w:p>
      <w:pPr>
        <w:pStyle w:val="Normal"/>
        <w:widowControl/>
        <w:rPr/>
      </w:pPr>
      <w:r>
        <w:rPr/>
        <w:t>AY-36. Persistent isolation should prompt a gentle human review to determine whether solitude is chosen or results from barriers such as inaccessible transportation, hearing or communication difficulty, lack of suitable activities, interpersonal conflict, or insufficient staff assistance. Quality measures should evaluate whether meaningful opportunities exist and are accessible, not reward facilities for coercing residents into attendance.</w:t>
      </w:r>
    </w:p>
    <w:p>
      <w:pPr>
        <w:pStyle w:val="Normal"/>
        <w:widowControl/>
        <w:rPr/>
      </w:pPr>
      <w:r>
        <w:rPr/>
        <w:t>AY-37. Existing domestic regulators, ombudsman programs, licensing authorities, healthcare systems, labor bodies, and the Agreement’s existing cooperation architecture should administer this framework. The Parties may share comparable data and best practices without creating unnecessary new standing committees, institutes, or bureaucratic layers.</w:t>
      </w:r>
    </w:p>
    <w:p>
      <w:pPr>
        <w:pStyle w:val="Heading3"/>
        <w:keepNext/>
        <w:widowControl/>
        <w:rPr/>
      </w:pPr>
      <w:r>
        <w:rPr/>
        <w:t>PACKAGE AZ — CROSS-CUTTING HUMAN DIGNITY, VOLUNTARINESS, DUE PROCESS, AND IMPLEMENTATION FIREWALL (v6.6).</w:t>
      </w:r>
    </w:p>
    <w:p>
      <w:pPr>
        <w:pStyle w:val="Normal"/>
        <w:widowControl/>
        <w:rPr/>
      </w:pPr>
      <w:r>
        <w:rPr/>
        <w:t>AZ-1. Packages AT through AY are interpreted consistently with constitutional rights, Indigenous and treaty rights, federalism and subnational jurisdiction, due process, privacy, freedom of conscience and expression, equality, labor rights, professional regulation, disability rights, and applicable human-rights obligations of each Party.</w:t>
      </w:r>
    </w:p>
    <w:p>
      <w:pPr>
        <w:pStyle w:val="Normal"/>
        <w:widowControl/>
        <w:rPr/>
      </w:pPr>
      <w:r>
        <w:rPr/>
        <w:t>AZ-2. Where these Packages describe a catalogue, incentive, pilot, exchange, educational program, technology program, or best-practice mechanism as voluntary, that characterization controls. No Party is required to compel individual participation merely because the mechanism appears in this Agreement.</w:t>
      </w:r>
    </w:p>
    <w:p>
      <w:pPr>
        <w:pStyle w:val="Normal"/>
        <w:widowControl/>
        <w:rPr/>
      </w:pPr>
      <w:r>
        <w:rPr/>
        <w:t>AZ-3. Safeguarding obligations are institution-neutral: a religious, secular, public, private, nonprofit, commercial, educational, healthcare, residential, or community institution receives neither immunity from generally applicable safety law nor adverse treatment solely because of its identity.</w:t>
      </w:r>
    </w:p>
    <w:p>
      <w:pPr>
        <w:pStyle w:val="Normal"/>
        <w:widowControl/>
        <w:rPr/>
      </w:pPr>
      <w:r>
        <w:rPr/>
        <w:t>AZ-4. Technology shall augment rather than displace legally required human judgment, staffing, care, safeguarding, teaching, clinical responsibility, or public accountability. High-impact automated decisions affecting rights, discipline, treatment, licensing, employment, or access to essential services require meaningful human review and an appropriate correction or appeal pathway.</w:t>
      </w:r>
    </w:p>
    <w:p>
      <w:pPr>
        <w:pStyle w:val="Normal"/>
        <w:widowControl/>
        <w:rPr/>
      </w:pPr>
      <w:r>
        <w:rPr/>
        <w:t>AZ-5. The Parties shall prefer existing institutions, interoperable data standards, domestic implementation schedules, pilots, mutual learning, and Cothrom or other already-established verification pathways over creation of new permanent committees. Nothing in these Packages expands the Agreement into a general supranational police, education, healthcare, religious, family-law, or social-services authority.</w:t>
      </w:r>
    </w:p>
    <w:p>
      <w:pPr>
        <w:pStyle w:val="Normal"/>
        <w:widowControl/>
        <w:rPr/>
      </w:pPr>
      <w:r>
        <w:rPr/>
        <w:t>AZ-6. Where implementation produces paired concessions or reciprocal benefits, the Agreement’s no-uncompensated-front-loading, cure, proportional step-back, and automatic restoration architecture applies as appropriate so that one Party is not required to deliver a negotiated benefit materially in advance of its paired performance.</w:t>
      </w:r>
    </w:p>
    <w:p>
      <w:pPr>
        <w:pStyle w:val="TrumpVisibilityHeadline"/>
        <w:widowControl/>
        <w:rPr/>
      </w:pPr>
      <w:r>
        <w:rPr>
          <w:b/>
        </w:rPr>
        <w:t xml:space="preserve">★ </w:t>
      </w:r>
      <w:r>
        <w:rPr>
          <w:b/>
        </w:rPr>
        <w:t>VISIBLE U.S. WIN: RELIABLE NORTH AMERICAN CRITICAL MINERALS, PROCESSING AND STOCKPILE SECURITY</w:t>
      </w:r>
    </w:p>
    <w:p>
      <w:bookmarkStart w:id="2128" w:name="_NAESTMA_TOC_2128"/>
      <w:pPr>
        <w:pStyle w:val="Heading1"/>
        <w:keepNext/>
        <w:pageBreakBefore/>
        <w:widowControl/>
        <w:rPr/>
      </w:pPr>
      <w:r>
        <w:rPr/>
        <w:t>PACKAGE BA — NORTH AMERICAN STRATEGIC MINERALS, PROCESSING, CIRCULARITY AND SUPPLY RESILIENCE FRAMEWORK</w:t>
      </w:r>
      <w:bookmarkEnd w:id="2128"/>
    </w:p>
    <w:p>
      <w:pPr>
        <w:pStyle w:val="Normal"/>
        <w:widowControl/>
        <w:rPr/>
      </w:pPr>
      <w:r>
        <w:rPr/>
        <w:t>Purpose. This Package consolidates the Parties’ strategic-minerals architecture into a mine-to-manufacture, recovery-to-reuse, and cross-sector earned-benefit system. It preserves detailed implementation options while preventing compulsory extraction, cartel conduct, unsafe waste reuse, uncompensated front-loading, or unnecessary institutional proliferation.</w:t>
      </w:r>
    </w:p>
    <w:p>
      <w:bookmarkStart w:id="2129" w:name="_NAESTMA_TOC_2129"/>
      <w:pPr>
        <w:pStyle w:val="Heading2"/>
        <w:keepNext/>
        <w:widowControl/>
        <w:rPr/>
      </w:pPr>
      <w:r>
        <w:rPr/>
        <w:t>BA-1 Resource Sovereignty and No Compulsory Extraction</w:t>
      </w:r>
      <w:bookmarkEnd w:id="2129"/>
    </w:p>
    <w:p>
      <w:pPr>
        <w:pStyle w:val="Normal"/>
        <w:widowControl/>
        <w:rPr/>
      </w:pPr>
      <w:r>
        <w:rPr/>
        <w:t>No Party is required to open a mine, issue a concession, compel extraction, override Indigenous or community rights, or dedicate a resource to another Party. Mexican lithium and other state-reserved resources remain governed by Mexican law.</w:t>
      </w:r>
    </w:p>
    <w:p>
      <w:bookmarkStart w:id="2130" w:name="_NAESTMA_TOC_2130"/>
      <w:pPr>
        <w:pStyle w:val="Heading2"/>
        <w:keepNext/>
        <w:widowControl/>
        <w:rPr/>
      </w:pPr>
      <w:r>
        <w:rPr/>
        <w:t>BA-2 Mine-to-Manufacture Value Capture</w:t>
      </w:r>
      <w:bookmarkEnd w:id="2130"/>
    </w:p>
    <w:p>
      <w:pPr>
        <w:pStyle w:val="Normal"/>
        <w:widowControl/>
        <w:rPr/>
      </w:pPr>
      <w:r>
        <w:rPr/>
        <w:t>Cooperation shall extend from geology and responsible extraction through concentration, smelting, separation, refining, precursor materials, components, manufacturing, recycling and strategic reserves. No Party is presumed to remain merely an upstream supplier.</w:t>
      </w:r>
    </w:p>
    <w:p>
      <w:bookmarkStart w:id="2131" w:name="_NAESTMA_TOC_2131"/>
      <w:pPr>
        <w:pStyle w:val="Heading2"/>
        <w:keepNext/>
        <w:widowControl/>
        <w:rPr/>
      </w:pPr>
      <w:r>
        <w:rPr/>
        <w:t>BA-3 Distributed Redundancy</w:t>
      </w:r>
      <w:bookmarkEnd w:id="2131"/>
    </w:p>
    <w:p>
      <w:pPr>
        <w:pStyle w:val="Normal"/>
        <w:widowControl/>
        <w:rPr/>
      </w:pPr>
      <w:r>
        <w:rPr/>
        <w:t>The Parties should develop geographically diversified and interoperable processing capacity and avoid replacing an external single point of failure with a single North American bottleneck.</w:t>
      </w:r>
    </w:p>
    <w:p>
      <w:bookmarkStart w:id="2132" w:name="_NAESTMA_TOC_2132"/>
      <w:pPr>
        <w:pStyle w:val="Heading2"/>
        <w:keepNext/>
        <w:widowControl/>
        <w:rPr/>
      </w:pPr>
      <w:r>
        <w:rPr/>
        <w:t>BA-4 Trusted External Feedstock Safe Harbour</w:t>
      </w:r>
      <w:bookmarkEnd w:id="2132"/>
    </w:p>
    <w:p>
      <w:pPr>
        <w:pStyle w:val="Normal"/>
        <w:widowControl/>
        <w:rPr/>
      </w:pPr>
      <w:r>
        <w:rPr/>
        <w:t>Nothing requires continental autarky. Trusted allied feedstocks, technology, capital and offtake may supplement North American production where they improve resilience.</w:t>
      </w:r>
    </w:p>
    <w:p>
      <w:bookmarkStart w:id="2133" w:name="_NAESTMA_TOC_2133"/>
      <w:pPr>
        <w:pStyle w:val="Heading2"/>
        <w:keepNext/>
        <w:widowControl/>
        <w:rPr/>
      </w:pPr>
      <w:r>
        <w:rPr/>
        <w:t>BA-5 No Uncompensated Front-Loading</w:t>
      </w:r>
      <w:bookmarkEnd w:id="2133"/>
    </w:p>
    <w:p>
      <w:pPr>
        <w:pStyle w:val="Normal"/>
        <w:widowControl/>
        <w:rPr/>
      </w:pPr>
      <w:r>
        <w:rPr/>
        <w:t>Paired mineral commitments and cross-sector benefits shall activate together to the maximum practicable extent. Verified non-performance triggers notice, a short cure period, proportional pause or step-back of the paired obligation, and automatic restoration when performance resumes.</w:t>
      </w:r>
    </w:p>
    <w:p>
      <w:bookmarkStart w:id="2134" w:name="_NAESTMA_TOC_2134"/>
      <w:pPr>
        <w:pStyle w:val="Heading2"/>
        <w:keepNext/>
        <w:widowControl/>
        <w:rPr/>
      </w:pPr>
      <w:r>
        <w:rPr/>
        <w:t>BA-6 Market Integrity and Anti-Cartel Firewall</w:t>
      </w:r>
      <w:bookmarkEnd w:id="2134"/>
    </w:p>
    <w:p>
      <w:pPr>
        <w:pStyle w:val="Normal"/>
        <w:widowControl/>
        <w:rPr/>
      </w:pPr>
      <w:r>
        <w:rPr/>
        <w:t>Price-stability tools may include transparent market-linked offtake, contracts-for-difference, strategic procurement, insurance, floors directed at demonstrable non-market distortion and similar lawful tools. The Parties shall not establish commodity cartels or compulsory below-market sale obligations.</w:t>
      </w:r>
    </w:p>
    <w:p>
      <w:bookmarkStart w:id="2135" w:name="_NAESTMA_TOC_2135"/>
      <w:pPr>
        <w:pStyle w:val="Heading2"/>
        <w:keepNext/>
        <w:widowControl/>
        <w:rPr/>
      </w:pPr>
      <w:r>
        <w:rPr/>
        <w:t>BA-7 High-Standard Permitting and Indigenous/Community Participation</w:t>
      </w:r>
      <w:bookmarkEnd w:id="2135"/>
    </w:p>
    <w:p>
      <w:pPr>
        <w:pStyle w:val="Normal"/>
        <w:widowControl/>
        <w:rPr/>
      </w:pPr>
      <w:r>
        <w:rPr/>
        <w:t>Coordination may streamline data, sequencing and timelines but shall not waive environmental, safety, constitutional, Indigenous, community or water-law protections.</w:t>
      </w:r>
    </w:p>
    <w:p>
      <w:bookmarkStart w:id="2136" w:name="_NAESTMA_TOC_2136"/>
      <w:pPr>
        <w:pStyle w:val="Heading2"/>
        <w:keepNext/>
        <w:widowControl/>
        <w:rPr/>
      </w:pPr>
      <w:r>
        <w:rPr/>
        <w:t>BA-8 Technology and Intellectual Property</w:t>
      </w:r>
      <w:bookmarkEnd w:id="2136"/>
    </w:p>
    <w:p>
      <w:pPr>
        <w:pStyle w:val="Normal"/>
        <w:widowControl/>
        <w:rPr/>
      </w:pPr>
      <w:r>
        <w:rPr/>
        <w:t>Technology cooperation shall respect voluntary licensing, export controls, cybersecurity, proprietary information and fair competition. Treaty text shall remain technology-neutral unless a specific pilot is separately approved.</w:t>
      </w:r>
    </w:p>
    <w:p>
      <w:bookmarkStart w:id="2137" w:name="_NAESTMA_TOC_2137"/>
      <w:pPr>
        <w:pStyle w:val="Heading2"/>
        <w:keepNext/>
        <w:widowControl/>
        <w:rPr/>
      </w:pPr>
      <w:r>
        <w:rPr/>
        <w:t>BA-9 Provenance Transparency</w:t>
      </w:r>
      <w:bookmarkEnd w:id="2137"/>
    </w:p>
    <w:p>
      <w:pPr>
        <w:pStyle w:val="Normal"/>
        <w:widowControl/>
        <w:rPr/>
      </w:pPr>
      <w:r>
        <w:rPr/>
        <w:t>For designated strategic materials, the Parties should track, where practicable, mine or secondary-resource origin, concentrate origin, processing and refining jurisdictions, recycled content and final transformation while minimizing unnecessary reporting burden.</w:t>
      </w:r>
    </w:p>
    <w:p>
      <w:bookmarkStart w:id="2138" w:name="_NAESTMA_TOC_2138"/>
      <w:pPr>
        <w:pStyle w:val="Heading2"/>
        <w:keepNext/>
        <w:widowControl/>
        <w:rPr/>
      </w:pPr>
      <w:r>
        <w:rPr/>
        <w:t>BA-10 Existing-Institution Implementation</w:t>
      </w:r>
      <w:bookmarkEnd w:id="2138"/>
    </w:p>
    <w:p>
      <w:pPr>
        <w:pStyle w:val="Normal"/>
        <w:widowControl/>
        <w:rPr/>
      </w:pPr>
      <w:r>
        <w:rPr/>
        <w:t>The NAESTMA Secretariat, Cothrom architecture and designated national authorities shall carry implementation. Temporary technical groups may be formed for defined tasks and shall sunset when those tasks conclude.</w:t>
      </w:r>
    </w:p>
    <w:p>
      <w:bookmarkStart w:id="2139" w:name="_NAESTMA_TOC_2139"/>
      <w:pPr>
        <w:pStyle w:val="Heading2"/>
        <w:keepNext/>
        <w:widowControl/>
        <w:rPr/>
      </w:pPr>
      <w:r>
        <w:rPr/>
        <w:t>BA-11 Strategic Stockpiles and Surge Capacity</w:t>
      </w:r>
      <w:bookmarkEnd w:id="2139"/>
    </w:p>
    <w:p>
      <w:pPr>
        <w:pStyle w:val="Normal"/>
        <w:widowControl/>
        <w:rPr/>
      </w:pPr>
      <w:r>
        <w:rPr/>
        <w:t>The Parties may maintain interoperable national reserves, surge-capable processing lines and mutual-access protocols for defined emergencies, with transparent release and replenishment rules.</w:t>
      </w:r>
    </w:p>
    <w:p>
      <w:bookmarkStart w:id="2140" w:name="_NAESTMA_TOC_2140"/>
      <w:pPr>
        <w:pStyle w:val="Heading2"/>
        <w:keepNext/>
        <w:widowControl/>
        <w:rPr/>
      </w:pPr>
      <w:r>
        <w:rPr/>
        <w:t>BA-12 Cross-Sector Earned Benefits</w:t>
      </w:r>
      <w:bookmarkEnd w:id="2140"/>
    </w:p>
    <w:p>
      <w:pPr>
        <w:pStyle w:val="Normal"/>
        <w:widowControl/>
        <w:rPr/>
      </w:pPr>
      <w:r>
        <w:rPr/>
        <w:t>Tariff relief, AD/CVD settlements, customs treatment, infrastructure, financing, energy cooperation, workforce mobility, research access and other lawful benefits may be paired with verified strategic-mineral performance when approximately commensurate and consistent with this Agreement.</w:t>
      </w:r>
    </w:p>
    <w:p>
      <w:bookmarkStart w:id="2141" w:name="_NAESTMA_TOC_2141"/>
      <w:pPr>
        <w:pStyle w:val="Heading2"/>
        <w:keepNext/>
        <w:widowControl/>
        <w:rPr/>
      </w:pPr>
      <w:r>
        <w:rPr/>
        <w:t>BA-13 Humanitarian and Sovereign Powers Firewall</w:t>
      </w:r>
      <w:bookmarkEnd w:id="2141"/>
    </w:p>
    <w:p>
      <w:pPr>
        <w:pStyle w:val="Normal"/>
        <w:widowControl/>
        <w:rPr/>
      </w:pPr>
      <w:r>
        <w:rPr/>
        <w:t>Essential medicines, vaccines, basic humanitarian access, constitutional protections, core sovereign defense authority and fundamental rights shall not be withheld as mineral bargaining collateral.</w:t>
      </w:r>
    </w:p>
    <w:p>
      <w:bookmarkStart w:id="2142" w:name="_NAESTMA_TOC_2142"/>
      <w:pPr>
        <w:pStyle w:val="Heading2"/>
        <w:keepNext/>
        <w:widowControl/>
        <w:rPr/>
      </w:pPr>
      <w:r>
        <w:rPr/>
        <w:t>BA-14 Discoverability</w:t>
      </w:r>
      <w:bookmarkEnd w:id="2142"/>
    </w:p>
    <w:p>
      <w:pPr>
        <w:pStyle w:val="Normal"/>
        <w:widowControl/>
        <w:rPr/>
      </w:pPr>
      <w:r>
        <w:rPr/>
        <w:t>Material thresholds and quantitative provisions should use both symbols and spelled-out forms where useful, and schedules shall identify the applicable tariff or trade measure dynamically rather than relying on transient headline rates.</w:t>
      </w:r>
    </w:p>
    <w:p>
      <w:bookmarkStart w:id="2143" w:name="_NAESTMA_TOC_2143"/>
      <w:pPr>
        <w:pStyle w:val="Heading1"/>
        <w:keepNext/>
        <w:pageBreakBefore/>
        <w:widowControl/>
        <w:rPr/>
      </w:pPr>
      <w:r>
        <w:rPr/>
        <w:t>PACKAGE BB — STRATEGIC MINERALS DEAL CATALOGUE (120 MECHANISMS)</w:t>
      </w:r>
      <w:bookmarkEnd w:id="2143"/>
    </w:p>
    <w:p>
      <w:pPr>
        <w:pStyle w:val="Normal"/>
        <w:widowControl/>
        <w:rPr/>
      </w:pPr>
      <w:r>
        <w:rPr/>
        <w:t>Status. The following catalogue preserves the 120-item mineral-deal backlog as authorized negotiating and implementation options. Numerical volumes, dollar amounts, locations and company-specific examples are illustrative unless separately adopted in a schedule. Every item is subject to Package BA.</w:t>
      </w:r>
    </w:p>
    <w:p>
      <w:bookmarkStart w:id="2144" w:name="_NAESTMA_TOC_2144"/>
      <w:pPr>
        <w:pStyle w:val="Heading2"/>
        <w:keepNext/>
        <w:widowControl/>
        <w:rPr/>
      </w:pPr>
      <w:r>
        <w:t>BB-1. Tri-national copper smelting JV</w:t>
      </w:r>
      <w:bookmarkEnd w:id="2144"/>
    </w:p>
    <w:p>
      <w:pPr>
        <w:pStyle w:val="Normal"/>
        <w:widowControl/>
        <w:rPr/>
      </w:pPr>
      <w:r>
        <w:rPr/>
        <w:t>Build mega-smelter in Mexico (cheaper labor, near US market) fed by Canadian and US concentrates, with refined copper shipped to US manufacturers.</w:t>
      </w:r>
    </w:p>
    <w:p>
      <w:bookmarkStart w:id="2145" w:name="_NAESTMA_TOC_2145"/>
      <w:pPr>
        <w:pStyle w:val="Heading2"/>
        <w:keepNext/>
        <w:widowControl/>
        <w:rPr/>
      </w:pPr>
      <w:r>
        <w:t>BB-2. US-Mexico concentrate swap</w:t>
      </w:r>
      <w:bookmarkEnd w:id="2145"/>
    </w:p>
    <w:p>
      <w:pPr>
        <w:pStyle w:val="Normal"/>
        <w:widowControl/>
        <w:rPr/>
      </w:pPr>
      <w:r>
        <w:rPr/>
        <w:t>US exports copper concentrate to Mexico for refining; Mexico returns refined copper to US; Canada provides technology and financing.</w:t>
      </w:r>
    </w:p>
    <w:p>
      <w:bookmarkStart w:id="2146" w:name="_NAESTMA_TOC_2146"/>
      <w:pPr>
        <w:pStyle w:val="Heading2"/>
        <w:keepNext/>
        <w:widowControl/>
        <w:rPr/>
      </w:pPr>
      <w:r>
        <w:t>BB-3. Canadian copper ore to Mexican processing</w:t>
      </w:r>
      <w:bookmarkEnd w:id="2146"/>
    </w:p>
    <w:p>
      <w:pPr>
        <w:pStyle w:val="Normal"/>
        <w:widowControl/>
        <w:rPr/>
      </w:pPr>
      <w:r>
        <w:rPr/>
        <w:t>Long-term offtake agreements: Canada ships 500k tonnes/year copper concentrate to Mexican smelters.</w:t>
      </w:r>
    </w:p>
    <w:p>
      <w:bookmarkStart w:id="2147" w:name="_NAESTMA_TOC_2147"/>
      <w:pPr>
        <w:pStyle w:val="Heading2"/>
        <w:keepNext/>
        <w:widowControl/>
        <w:rPr/>
      </w:pPr>
      <w:r>
        <w:t>BB-4. US copper scrap-to-refined</w:t>
      </w:r>
      <w:bookmarkEnd w:id="2147"/>
    </w:p>
    <w:p>
      <w:pPr>
        <w:pStyle w:val="Normal"/>
        <w:widowControl/>
        <w:rPr/>
      </w:pPr>
      <w:r>
        <w:rPr/>
        <w:t>US copper scrap (from electronics, construction) sent to Mexican recyclers; refined copper returns to US EV battery plants.</w:t>
      </w:r>
    </w:p>
    <w:p>
      <w:bookmarkStart w:id="2148" w:name="_NAESTMA_TOC_2148"/>
      <w:pPr>
        <w:pStyle w:val="Heading2"/>
        <w:keepNext/>
        <w:widowControl/>
        <w:rPr/>
      </w:pPr>
      <w:r>
        <w:t>BB-5. Tri-national copper tube &amp; wire JV</w:t>
      </w:r>
      <w:bookmarkEnd w:id="2148"/>
    </w:p>
    <w:p>
      <w:pPr>
        <w:pStyle w:val="Normal"/>
        <w:widowControl/>
        <w:rPr/>
      </w:pPr>
      <w:r>
        <w:rPr/>
        <w:t>Joint venture manufacturing facility in northern Mexico producing copper wire for all three auto sectors.</w:t>
      </w:r>
    </w:p>
    <w:p>
      <w:bookmarkStart w:id="2149" w:name="_NAESTMA_TOC_2149"/>
      <w:pPr>
        <w:pStyle w:val="Heading2"/>
        <w:keepNext/>
        <w:widowControl/>
        <w:rPr/>
      </w:pPr>
      <w:r>
        <w:t>BB-6. Canadian copper mining tech transfer to Mexico</w:t>
      </w:r>
      <w:bookmarkEnd w:id="2149"/>
    </w:p>
    <w:p>
      <w:pPr>
        <w:pStyle w:val="Normal"/>
        <w:widowControl/>
        <w:rPr/>
      </w:pPr>
      <w:r>
        <w:rPr/>
        <w:t>Canada shares expertise in deep mining; Mexico provides access to Sonora copper deposits.</w:t>
      </w:r>
    </w:p>
    <w:p>
      <w:bookmarkStart w:id="2150" w:name="_NAESTMA_TOC_2150"/>
      <w:pPr>
        <w:pStyle w:val="Heading2"/>
        <w:keepNext/>
        <w:widowControl/>
        <w:rPr/>
      </w:pPr>
      <w:r>
        <w:t>BB-7. US-Mexico copper concentrate processing expansion</w:t>
      </w:r>
      <w:bookmarkEnd w:id="2150"/>
    </w:p>
    <w:p>
      <w:pPr>
        <w:pStyle w:val="Normal"/>
        <w:widowControl/>
        <w:rPr/>
      </w:pPr>
      <w:r>
        <w:rPr/>
        <w:t>US investment in Mexican smelting capacity with guaranteed US offtake.</w:t>
      </w:r>
    </w:p>
    <w:p>
      <w:bookmarkStart w:id="2151" w:name="_NAESTMA_TOC_2151"/>
      <w:pPr>
        <w:pStyle w:val="Heading2"/>
        <w:keepNext/>
        <w:widowControl/>
        <w:rPr/>
      </w:pPr>
      <w:r>
        <w:t>BB-8. Tri-national copper cathode stockpile</w:t>
      </w:r>
      <w:bookmarkEnd w:id="2151"/>
    </w:p>
    <w:p>
      <w:pPr>
        <w:pStyle w:val="Normal"/>
        <w:widowControl/>
        <w:rPr/>
      </w:pPr>
      <w:r>
        <w:rPr/>
        <w:t>Coordinated strategic stockpile of refined copper across all three nations for energy transition security.</w:t>
      </w:r>
    </w:p>
    <w:p>
      <w:bookmarkStart w:id="2152" w:name="_NAESTMA_TOC_2152"/>
      <w:pPr>
        <w:pStyle w:val="Heading2"/>
        <w:keepNext/>
        <w:widowControl/>
        <w:rPr/>
      </w:pPr>
      <w:r>
        <w:t>BB-9. Canadian copper-gold tailings reprocessing</w:t>
      </w:r>
      <w:bookmarkEnd w:id="2152"/>
    </w:p>
    <w:p>
      <w:pPr>
        <w:pStyle w:val="Normal"/>
        <w:widowControl/>
        <w:rPr/>
      </w:pPr>
      <w:r>
        <w:rPr/>
        <w:t>Canadian technology to reprocess Mexican copper mine tailings for residual gold/silver.</w:t>
      </w:r>
    </w:p>
    <w:p>
      <w:bookmarkStart w:id="2153" w:name="_NAESTMA_TOC_2153"/>
      <w:pPr>
        <w:pStyle w:val="Heading2"/>
        <w:keepNext/>
        <w:widowControl/>
        <w:rPr/>
      </w:pPr>
      <w:r>
        <w:rPr/>
        <w:t>BB-10. Transparent Copper Price-Stability Architecture</w:t>
      </w:r>
      <w:bookmarkEnd w:id="2153"/>
    </w:p>
    <w:p>
      <w:pPr>
        <w:pStyle w:val="Normal"/>
        <w:widowControl/>
        <w:rPr/>
      </w:pPr>
      <w:r>
        <w:rPr/>
        <w:t>Use transparent long-term offtake, strategic procurement, contracts-for-difference or market-linked floors consistent with competition law; no governmental copper cartel.</w:t>
      </w:r>
    </w:p>
    <w:p>
      <w:bookmarkStart w:id="2154" w:name="_NAESTMA_TOC_2154"/>
      <w:pPr>
        <w:pStyle w:val="Heading2"/>
        <w:keepNext/>
        <w:widowControl/>
        <w:rPr/>
      </w:pPr>
      <w:r>
        <w:rPr/>
        <w:t>BB-11. LitioMx-Led Mexican Lithium Cooperation</w:t>
      </w:r>
      <w:bookmarkEnd w:id="2154"/>
    </w:p>
    <w:p>
      <w:pPr>
        <w:pStyle w:val="Normal"/>
        <w:widowControl/>
        <w:rPr/>
      </w:pPr>
      <w:r>
        <w:rPr/>
        <w:t>Mexican lithium development remains state-led under Mexican law, with lawful Canadian and U.S. technology, equipment, services, financing, processing and downstream participation.</w:t>
      </w:r>
    </w:p>
    <w:p>
      <w:bookmarkStart w:id="2155" w:name="_NAESTMA_TOC_2155"/>
      <w:pPr>
        <w:pStyle w:val="Heading2"/>
        <w:keepNext/>
        <w:widowControl/>
        <w:rPr/>
      </w:pPr>
      <w:r>
        <w:t>BB-12. Canadian lithium concentrate to Mexico</w:t>
      </w:r>
      <w:bookmarkEnd w:id="2155"/>
    </w:p>
    <w:p>
      <w:pPr>
        <w:pStyle w:val="Normal"/>
        <w:widowControl/>
        <w:rPr/>
      </w:pPr>
      <w:r>
        <w:rPr/>
        <w:t>Canada ships lithium ore to Mexican processing facility; refined lithium goes to US battery plants.</w:t>
      </w:r>
    </w:p>
    <w:p>
      <w:bookmarkStart w:id="2156" w:name="_NAESTMA_TOC_2156"/>
      <w:pPr>
        <w:pStyle w:val="Heading2"/>
        <w:keepNext/>
        <w:widowControl/>
        <w:rPr/>
      </w:pPr>
      <w:r>
        <w:t>BB-13. US lithium hydroxide plant in Mexico</w:t>
      </w:r>
      <w:bookmarkEnd w:id="2156"/>
    </w:p>
    <w:p>
      <w:pPr>
        <w:pStyle w:val="Normal"/>
        <w:widowControl/>
        <w:rPr/>
      </w:pPr>
      <w:r>
        <w:rPr/>
        <w:t>US-funded $2B lithium hydroxide facility in Mexico processing both Mexican and Canadian ores.</w:t>
      </w:r>
    </w:p>
    <w:p>
      <w:bookmarkStart w:id="2157" w:name="_NAESTMA_TOC_2157"/>
      <w:pPr>
        <w:pStyle w:val="Heading2"/>
        <w:keepNext/>
        <w:widowControl/>
        <w:rPr/>
      </w:pPr>
      <w:r>
        <w:t>BB-14. Tri-national battery recycling loop</w:t>
      </w:r>
      <w:bookmarkEnd w:id="2157"/>
    </w:p>
    <w:p>
      <w:pPr>
        <w:pStyle w:val="Normal"/>
        <w:widowControl/>
        <w:rPr/>
      </w:pPr>
      <w:r>
        <w:rPr/>
        <w:t>US EV battery recycling sent to Mexico for black mass processing; recovered lithium returns to US.</w:t>
      </w:r>
    </w:p>
    <w:p>
      <w:bookmarkStart w:id="2158" w:name="_NAESTMA_TOC_2158"/>
      <w:pPr>
        <w:pStyle w:val="Heading2"/>
        <w:keepNext/>
        <w:widowControl/>
        <w:rPr/>
      </w:pPr>
      <w:r>
        <w:t>BB-15. Canadian lithium tech transfer</w:t>
      </w:r>
      <w:bookmarkEnd w:id="2158"/>
    </w:p>
    <w:p>
      <w:pPr>
        <w:pStyle w:val="Normal"/>
        <w:widowControl/>
        <w:rPr/>
      </w:pPr>
      <w:r>
        <w:rPr/>
        <w:t>Canada's DLE (direct lithium extraction) technology deployed in Mexico with royalty-sharing.</w:t>
      </w:r>
    </w:p>
    <w:p>
      <w:bookmarkStart w:id="2159" w:name="_NAESTMA_TOC_2159"/>
      <w:pPr>
        <w:pStyle w:val="Heading2"/>
        <w:keepNext/>
        <w:widowControl/>
        <w:rPr/>
      </w:pPr>
      <w:r>
        <w:t>BB-16. US-Mexico lithium brine pilot</w:t>
      </w:r>
      <w:bookmarkEnd w:id="2159"/>
    </w:p>
    <w:p>
      <w:pPr>
        <w:pStyle w:val="Normal"/>
        <w:widowControl/>
        <w:rPr/>
      </w:pPr>
      <w:r>
        <w:rPr/>
        <w:t>Joint USGS-Mexican Geological Survey exploration of all 82 known lithium deposits.</w:t>
      </w:r>
    </w:p>
    <w:p>
      <w:bookmarkStart w:id="2160" w:name="_NAESTMA_TOC_2160"/>
      <w:pPr>
        <w:pStyle w:val="Heading2"/>
        <w:keepNext/>
        <w:widowControl/>
        <w:rPr/>
      </w:pPr>
      <w:r>
        <w:t>BB-17. Tri-national lithium carbonate refinery</w:t>
      </w:r>
      <w:bookmarkEnd w:id="2160"/>
    </w:p>
    <w:p>
      <w:pPr>
        <w:pStyle w:val="Normal"/>
        <w:widowControl/>
        <w:rPr/>
      </w:pPr>
      <w:r>
        <w:rPr/>
        <w:t>Build refinery at a Mexican port (Manzanillo/Lázaro Cárdenas) processing ores from all three.</w:t>
      </w:r>
    </w:p>
    <w:p>
      <w:bookmarkStart w:id="2161" w:name="_NAESTMA_TOC_2161"/>
      <w:pPr>
        <w:pStyle w:val="Heading2"/>
        <w:keepNext/>
        <w:widowControl/>
        <w:rPr/>
      </w:pPr>
      <w:r>
        <w:t>BB-18. Lithium-ion battery precursor JV</w:t>
      </w:r>
      <w:bookmarkEnd w:id="2161"/>
    </w:p>
    <w:p>
      <w:pPr>
        <w:pStyle w:val="Normal"/>
        <w:widowControl/>
        <w:rPr/>
      </w:pPr>
      <w:r>
        <w:rPr/>
        <w:t>Canadian cathodes + Mexican lithium + US anodes = complete battery supply chain.</w:t>
      </w:r>
    </w:p>
    <w:p>
      <w:bookmarkStart w:id="2162" w:name="_NAESTMA_TOC_2162"/>
      <w:pPr>
        <w:pStyle w:val="Heading2"/>
        <w:keepNext/>
        <w:widowControl/>
        <w:rPr/>
      </w:pPr>
      <w:r>
        <w:t>BB-19. Mexican lithium export to US with Canadian financing</w:t>
      </w:r>
      <w:bookmarkEnd w:id="2162"/>
    </w:p>
    <w:p>
      <w:pPr>
        <w:pStyle w:val="Normal"/>
        <w:widowControl/>
        <w:rPr/>
      </w:pPr>
      <w:r>
        <w:rPr/>
        <w:t>Canadian capital + Mexican resource + US market = vertical integration.</w:t>
      </w:r>
    </w:p>
    <w:p>
      <w:bookmarkStart w:id="2163" w:name="_NAESTMA_TOC_2163"/>
      <w:pPr>
        <w:pStyle w:val="Heading2"/>
        <w:keepNext/>
        <w:widowControl/>
        <w:rPr/>
      </w:pPr>
      <w:r>
        <w:t>BB-20. Tri-national lithium stockpile</w:t>
      </w:r>
      <w:bookmarkEnd w:id="2163"/>
    </w:p>
    <w:p>
      <w:pPr>
        <w:pStyle w:val="Normal"/>
        <w:widowControl/>
        <w:rPr/>
      </w:pPr>
      <w:r>
        <w:rPr/>
        <w:t>Coordinated lithium carbonate stockpile for EV supply chain security.</w:t>
      </w:r>
    </w:p>
    <w:p>
      <w:bookmarkStart w:id="2164" w:name="_NAESTMA_TOC_2164"/>
      <w:pPr>
        <w:pStyle w:val="Heading2"/>
        <w:keepNext/>
        <w:widowControl/>
        <w:rPr/>
      </w:pPr>
      <w:r>
        <w:rPr/>
        <w:t>BB-21. Canadian Participation in State-Led Mexican Lithium Development</w:t>
      </w:r>
      <w:bookmarkEnd w:id="2164"/>
    </w:p>
    <w:p>
      <w:pPr>
        <w:pStyle w:val="Normal"/>
        <w:widowControl/>
        <w:rPr/>
      </w:pPr>
      <w:r>
        <w:rPr/>
        <w:t>Enable Canadian engineering, processing, equipment and technology participation without private lithium concessions prohibited by Mexican law.</w:t>
      </w:r>
    </w:p>
    <w:p>
      <w:bookmarkStart w:id="2165" w:name="_NAESTMA_TOC_2165"/>
      <w:pPr>
        <w:pStyle w:val="Heading2"/>
        <w:keepNext/>
        <w:widowControl/>
        <w:rPr/>
      </w:pPr>
      <w:r>
        <w:t>BB-22. US-Mexico lithium exploration fund</w:t>
      </w:r>
      <w:bookmarkEnd w:id="2165"/>
    </w:p>
    <w:p>
      <w:pPr>
        <w:pStyle w:val="Normal"/>
        <w:widowControl/>
        <w:rPr/>
      </w:pPr>
      <w:r>
        <w:rPr/>
        <w:t>$500M joint exploration fund for lithium and other battery minerals.</w:t>
      </w:r>
    </w:p>
    <w:p>
      <w:bookmarkStart w:id="2166" w:name="_NAESTMA_TOC_2166"/>
      <w:pPr>
        <w:pStyle w:val="Heading2"/>
        <w:keepNext/>
        <w:widowControl/>
        <w:rPr/>
      </w:pPr>
      <w:r>
        <w:t>BB-23. Mexican graphite to US anode plants</w:t>
      </w:r>
      <w:bookmarkEnd w:id="2166"/>
    </w:p>
    <w:p>
      <w:pPr>
        <w:pStyle w:val="Normal"/>
        <w:widowControl/>
        <w:rPr/>
      </w:pPr>
      <w:r>
        <w:rPr/>
        <w:t>Expand Mexican graphite mining with guaranteed US offtake for EV battery anodes.</w:t>
      </w:r>
    </w:p>
    <w:p>
      <w:bookmarkStart w:id="2167" w:name="_NAESTMA_TOC_2167"/>
      <w:pPr>
        <w:pStyle w:val="Heading2"/>
        <w:keepNext/>
        <w:widowControl/>
        <w:rPr/>
      </w:pPr>
      <w:r>
        <w:t>BB-24. Canadian graphite processing in Mexico</w:t>
      </w:r>
      <w:bookmarkEnd w:id="2167"/>
    </w:p>
    <w:p>
      <w:pPr>
        <w:pStyle w:val="Normal"/>
        <w:widowControl/>
        <w:rPr/>
      </w:pPr>
      <w:r>
        <w:rPr/>
        <w:t>Canadian graphite ore shipped to Mexico for processing; finished anode material to US.</w:t>
      </w:r>
    </w:p>
    <w:p>
      <w:bookmarkStart w:id="2168" w:name="_NAESTMA_TOC_2168"/>
      <w:pPr>
        <w:pStyle w:val="Heading2"/>
        <w:keepNext/>
        <w:widowControl/>
        <w:rPr/>
      </w:pPr>
      <w:r>
        <w:t>BB-25. Tri-national graphite sphericalization plant</w:t>
      </w:r>
      <w:bookmarkEnd w:id="2168"/>
    </w:p>
    <w:p>
      <w:pPr>
        <w:pStyle w:val="Normal"/>
        <w:widowControl/>
        <w:rPr/>
      </w:pPr>
      <w:r>
        <w:rPr/>
        <w:t>Build spherical graphite facility in Mexico (near US border) serving all three EV industries.</w:t>
      </w:r>
    </w:p>
    <w:p>
      <w:bookmarkStart w:id="2169" w:name="_NAESTMA_TOC_2169"/>
      <w:pPr>
        <w:pStyle w:val="Heading2"/>
        <w:keepNext/>
        <w:widowControl/>
        <w:rPr/>
      </w:pPr>
      <w:r>
        <w:t>BB-26. US-Mexico graphite exploration JV</w:t>
      </w:r>
      <w:bookmarkEnd w:id="2169"/>
    </w:p>
    <w:p>
      <w:pPr>
        <w:pStyle w:val="Normal"/>
        <w:widowControl/>
        <w:rPr/>
      </w:pPr>
      <w:r>
        <w:rPr/>
        <w:t>Joint exploration of graphite deposits in Sonora and Oaxaca.</w:t>
      </w:r>
    </w:p>
    <w:p>
      <w:bookmarkStart w:id="2170" w:name="_NAESTMA_TOC_2170"/>
      <w:pPr>
        <w:pStyle w:val="Heading2"/>
        <w:keepNext/>
        <w:widowControl/>
        <w:rPr/>
      </w:pPr>
      <w:r>
        <w:t>BB-27. Canadian graphite technology to Mexico</w:t>
      </w:r>
      <w:bookmarkEnd w:id="2170"/>
    </w:p>
    <w:p>
      <w:pPr>
        <w:pStyle w:val="Normal"/>
        <w:widowControl/>
        <w:rPr/>
      </w:pPr>
      <w:r>
        <w:rPr/>
        <w:t>Canada's graphite processing technology deployed in Mexican facilities.</w:t>
      </w:r>
    </w:p>
    <w:p>
      <w:bookmarkStart w:id="2171" w:name="_NAESTMA_TOC_2171"/>
      <w:pPr>
        <w:pStyle w:val="Heading2"/>
        <w:keepNext/>
        <w:widowControl/>
        <w:rPr/>
      </w:pPr>
      <w:r>
        <w:t>BB-28. Tri-national synthetic graphite R&amp;D</w:t>
      </w:r>
      <w:bookmarkEnd w:id="2171"/>
    </w:p>
    <w:p>
      <w:pPr>
        <w:pStyle w:val="Normal"/>
        <w:widowControl/>
        <w:rPr/>
      </w:pPr>
      <w:r>
        <w:rPr/>
        <w:t>Joint research on synthetic graphite alternatives using North American petroleum coke.</w:t>
      </w:r>
    </w:p>
    <w:p>
      <w:bookmarkStart w:id="2172" w:name="_NAESTMA_TOC_2172"/>
      <w:pPr>
        <w:pStyle w:val="Heading2"/>
        <w:keepNext/>
        <w:widowControl/>
        <w:rPr/>
      </w:pPr>
      <w:r>
        <w:t>BB-29. Mexican graphite mining expansion</w:t>
      </w:r>
      <w:bookmarkEnd w:id="2172"/>
    </w:p>
    <w:p>
      <w:pPr>
        <w:pStyle w:val="Normal"/>
        <w:widowControl/>
        <w:rPr/>
      </w:pPr>
      <w:r>
        <w:rPr/>
        <w:t>US/Canadian investment to expand Mexican graphite production 3x current levels.</w:t>
      </w:r>
    </w:p>
    <w:p>
      <w:bookmarkStart w:id="2173" w:name="_NAESTMA_TOC_2173"/>
      <w:pPr>
        <w:pStyle w:val="Heading2"/>
        <w:keepNext/>
        <w:widowControl/>
        <w:rPr/>
      </w:pPr>
      <w:r>
        <w:t>BB-30. North American graphite supply agreement</w:t>
      </w:r>
      <w:bookmarkEnd w:id="2173"/>
    </w:p>
    <w:p>
      <w:pPr>
        <w:pStyle w:val="Normal"/>
        <w:widowControl/>
        <w:rPr/>
      </w:pPr>
      <w:r>
        <w:rPr/>
        <w:t>Long-term tri-national agreement ensuring graphite stays within North America.</w:t>
      </w:r>
    </w:p>
    <w:p>
      <w:bookmarkStart w:id="2174" w:name="_NAESTMA_TOC_2174"/>
      <w:pPr>
        <w:pStyle w:val="Heading2"/>
        <w:keepNext/>
        <w:widowControl/>
        <w:rPr/>
      </w:pPr>
      <w:r>
        <w:t>BB-31. Canadian rare earth separation plant</w:t>
      </w:r>
      <w:bookmarkEnd w:id="2174"/>
    </w:p>
    <w:p>
      <w:pPr>
        <w:pStyle w:val="Normal"/>
        <w:widowControl/>
        <w:rPr/>
      </w:pPr>
      <w:r>
        <w:rPr/>
        <w:t>Build North America's first large-scale REE separation facility in Canada, funded jointly by US and Mexico.</w:t>
      </w:r>
    </w:p>
    <w:p>
      <w:bookmarkStart w:id="2175" w:name="_NAESTMA_TOC_2175"/>
      <w:pPr>
        <w:pStyle w:val="Heading2"/>
        <w:keepNext/>
        <w:widowControl/>
        <w:rPr/>
      </w:pPr>
      <w:r>
        <w:t>BB-32. US rare earth ore to Canada</w:t>
      </w:r>
      <w:bookmarkEnd w:id="2175"/>
    </w:p>
    <w:p>
      <w:pPr>
        <w:pStyle w:val="Normal"/>
        <w:widowControl/>
        <w:rPr/>
      </w:pPr>
      <w:r>
        <w:rPr/>
        <w:t>US ships Mountain Pass REE ore to Canada for separation; finished magnets return to US.</w:t>
      </w:r>
    </w:p>
    <w:p>
      <w:bookmarkStart w:id="2176" w:name="_NAESTMA_TOC_2176"/>
      <w:pPr>
        <w:pStyle w:val="Heading2"/>
        <w:keepNext/>
        <w:widowControl/>
        <w:rPr/>
      </w:pPr>
      <w:r>
        <w:t>BB-33. Mexican REE exploration JV</w:t>
      </w:r>
      <w:bookmarkEnd w:id="2176"/>
    </w:p>
    <w:p>
      <w:pPr>
        <w:pStyle w:val="Normal"/>
        <w:widowControl/>
        <w:rPr/>
      </w:pPr>
      <w:r>
        <w:rPr/>
        <w:t>Joint USGS-Mexican exploration of REE deposits in Baja and Chihuahua.</w:t>
      </w:r>
    </w:p>
    <w:p>
      <w:bookmarkStart w:id="2177" w:name="_NAESTMA_TOC_2177"/>
      <w:pPr>
        <w:pStyle w:val="Heading2"/>
        <w:keepNext/>
        <w:widowControl/>
        <w:rPr/>
      </w:pPr>
      <w:r>
        <w:t>BB-34. Tri-national permanent magnet factory</w:t>
      </w:r>
      <w:bookmarkEnd w:id="2177"/>
    </w:p>
    <w:p>
      <w:pPr>
        <w:pStyle w:val="Normal"/>
        <w:widowControl/>
        <w:rPr/>
      </w:pPr>
      <w:r>
        <w:rPr/>
        <w:t>Build NdFeB magnet plant in Mexico using Canadian-separated REEs for US EV motors.</w:t>
      </w:r>
    </w:p>
    <w:p>
      <w:bookmarkStart w:id="2178" w:name="_NAESTMA_TOC_2178"/>
      <w:pPr>
        <w:pStyle w:val="Heading2"/>
        <w:keepNext/>
        <w:widowControl/>
        <w:rPr/>
      </w:pPr>
      <w:r>
        <w:t>BB-35. Canadian REE mining expansion</w:t>
      </w:r>
      <w:bookmarkEnd w:id="2178"/>
    </w:p>
    <w:p>
      <w:pPr>
        <w:pStyle w:val="Normal"/>
        <w:widowControl/>
        <w:rPr/>
      </w:pPr>
      <w:r>
        <w:rPr/>
        <w:t>US investment in Canadian REE mines (e.g., Nechalacho) with Mexican offtake for magnets.</w:t>
      </w:r>
    </w:p>
    <w:p>
      <w:bookmarkStart w:id="2179" w:name="_NAESTMA_TOC_2179"/>
      <w:pPr>
        <w:pStyle w:val="Heading2"/>
        <w:keepNext/>
        <w:widowControl/>
        <w:rPr/>
      </w:pPr>
      <w:r>
        <w:t>BB-36. US rare earth recycling hub in Mexico</w:t>
      </w:r>
      <w:bookmarkEnd w:id="2179"/>
    </w:p>
    <w:p>
      <w:pPr>
        <w:pStyle w:val="Normal"/>
        <w:widowControl/>
        <w:rPr/>
      </w:pPr>
      <w:r>
        <w:rPr/>
        <w:t>Recycling of US e-waste in Mexico to recover rare earths.</w:t>
      </w:r>
    </w:p>
    <w:p>
      <w:bookmarkStart w:id="2180" w:name="_NAESTMA_TOC_2180"/>
      <w:pPr>
        <w:pStyle w:val="Heading2"/>
        <w:keepNext/>
        <w:widowControl/>
        <w:rPr/>
      </w:pPr>
      <w:r>
        <w:t>BB-37. Tri-national REE research consortium</w:t>
      </w:r>
      <w:bookmarkEnd w:id="2180"/>
    </w:p>
    <w:p>
      <w:pPr>
        <w:pStyle w:val="Normal"/>
        <w:widowControl/>
        <w:rPr/>
      </w:pPr>
      <w:r>
        <w:rPr/>
        <w:t>Joint university-industry R&amp;D on REE separation alternatives to Chinese methods.</w:t>
      </w:r>
    </w:p>
    <w:p>
      <w:bookmarkStart w:id="2181" w:name="_NAESTMA_TOC_2181"/>
      <w:pPr>
        <w:pStyle w:val="Heading2"/>
        <w:keepNext/>
        <w:widowControl/>
        <w:rPr/>
      </w:pPr>
      <w:r>
        <w:t>BB-38. Canadian scandium production for US aerospace</w:t>
      </w:r>
      <w:bookmarkEnd w:id="2181"/>
    </w:p>
    <w:p>
      <w:pPr>
        <w:pStyle w:val="Normal"/>
        <w:widowControl/>
        <w:rPr/>
      </w:pPr>
      <w:r>
        <w:rPr/>
        <w:t>Canada produces scandium; US aerospace (aircraft alloys) is primary customer.</w:t>
      </w:r>
    </w:p>
    <w:p>
      <w:bookmarkStart w:id="2182" w:name="_NAESTMA_TOC_2182"/>
      <w:pPr>
        <w:pStyle w:val="Heading2"/>
        <w:keepNext/>
        <w:widowControl/>
        <w:rPr/>
      </w:pPr>
      <w:r>
        <w:t>BB-39. US-Mexico REE processing pilot</w:t>
      </w:r>
      <w:bookmarkEnd w:id="2182"/>
    </w:p>
    <w:p>
      <w:pPr>
        <w:pStyle w:val="Normal"/>
        <w:widowControl/>
        <w:rPr/>
      </w:pPr>
      <w:r>
        <w:rPr/>
        <w:t>Pilot plant in Mexico processing US and Canadian REE ores.</w:t>
      </w:r>
    </w:p>
    <w:p>
      <w:bookmarkStart w:id="2183" w:name="_NAESTMA_TOC_2183"/>
      <w:pPr>
        <w:pStyle w:val="Heading2"/>
        <w:keepNext/>
        <w:widowControl/>
        <w:rPr/>
      </w:pPr>
      <w:r>
        <w:t>BB-40. North American REE stockpile</w:t>
      </w:r>
      <w:bookmarkEnd w:id="2183"/>
    </w:p>
    <w:p>
      <w:pPr>
        <w:pStyle w:val="Normal"/>
        <w:widowControl/>
        <w:rPr/>
      </w:pPr>
      <w:r>
        <w:rPr/>
        <w:t>Coordinated strategic stockpile of separated rare earths across all three nations.</w:t>
      </w:r>
    </w:p>
    <w:p>
      <w:bookmarkStart w:id="2184" w:name="_NAESTMA_TOC_2184"/>
      <w:pPr>
        <w:pStyle w:val="Heading2"/>
        <w:keepNext/>
        <w:widowControl/>
        <w:rPr/>
      </w:pPr>
      <w:r>
        <w:t>BB-41. Canadian nickel to US battery plants</w:t>
      </w:r>
      <w:bookmarkEnd w:id="2184"/>
    </w:p>
    <w:p>
      <w:pPr>
        <w:pStyle w:val="Normal"/>
        <w:widowControl/>
        <w:rPr/>
      </w:pPr>
      <w:r>
        <w:rPr/>
        <w:t>Expand Canadian nickel mining (Sudbury, Thompson) with US offtake for EV batteries.</w:t>
      </w:r>
    </w:p>
    <w:p>
      <w:bookmarkStart w:id="2185" w:name="_NAESTMA_TOC_2185"/>
      <w:pPr>
        <w:pStyle w:val="Heading2"/>
        <w:keepNext/>
        <w:widowControl/>
        <w:rPr/>
      </w:pPr>
      <w:r>
        <w:t>BB-42. Mexican cobalt exploration</w:t>
      </w:r>
      <w:bookmarkEnd w:id="2185"/>
    </w:p>
    <w:p>
      <w:pPr>
        <w:pStyle w:val="Normal"/>
        <w:widowControl/>
        <w:rPr/>
      </w:pPr>
      <w:r>
        <w:rPr/>
        <w:t>Joint exploration of cobalt deposits in Mexico with Canadian mining expertise.</w:t>
      </w:r>
    </w:p>
    <w:p>
      <w:bookmarkStart w:id="2186" w:name="_NAESTMA_TOC_2186"/>
      <w:pPr>
        <w:pStyle w:val="Heading2"/>
        <w:keepNext/>
        <w:widowControl/>
        <w:rPr/>
      </w:pPr>
      <w:r>
        <w:t>BB-43. Tri-national nickel-cobalt refinery</w:t>
      </w:r>
      <w:bookmarkEnd w:id="2186"/>
    </w:p>
    <w:p>
      <w:pPr>
        <w:pStyle w:val="Normal"/>
        <w:widowControl/>
        <w:rPr/>
      </w:pPr>
      <w:r>
        <w:rPr/>
        <w:t>Build refinery in Quebec processing Canadian ore, Mexican concentrate, and US recycled material.</w:t>
      </w:r>
    </w:p>
    <w:p>
      <w:bookmarkStart w:id="2187" w:name="_NAESTMA_TOC_2187"/>
      <w:pPr>
        <w:pStyle w:val="Heading2"/>
        <w:keepNext/>
        <w:widowControl/>
        <w:rPr/>
      </w:pPr>
      <w:r>
        <w:t>BB-44. US-Canada nickel JV</w:t>
      </w:r>
      <w:bookmarkEnd w:id="2187"/>
    </w:p>
    <w:p>
      <w:pPr>
        <w:pStyle w:val="Normal"/>
        <w:widowControl/>
        <w:rPr/>
      </w:pPr>
      <w:r>
        <w:rPr/>
        <w:t>US automakers invest directly in Canadian nickel mines for guaranteed supply.</w:t>
      </w:r>
    </w:p>
    <w:p>
      <w:bookmarkStart w:id="2188" w:name="_NAESTMA_TOC_2188"/>
      <w:pPr>
        <w:pStyle w:val="Heading2"/>
        <w:keepNext/>
        <w:widowControl/>
        <w:rPr/>
      </w:pPr>
      <w:r>
        <w:t>BB-45. Mexican nickel laterite development</w:t>
      </w:r>
      <w:bookmarkEnd w:id="2188"/>
    </w:p>
    <w:p>
      <w:pPr>
        <w:pStyle w:val="Normal"/>
        <w:widowControl/>
        <w:rPr/>
      </w:pPr>
      <w:r>
        <w:rPr/>
        <w:t>Develop Mexico's nickel laterite deposits using Canadian technology.</w:t>
      </w:r>
    </w:p>
    <w:p>
      <w:bookmarkStart w:id="2189" w:name="_NAESTMA_TOC_2189"/>
      <w:pPr>
        <w:pStyle w:val="Heading2"/>
        <w:keepNext/>
        <w:widowControl/>
        <w:rPr/>
      </w:pPr>
      <w:r>
        <w:t>BB-46. Canadian cobalt refining expansion</w:t>
      </w:r>
      <w:bookmarkEnd w:id="2189"/>
    </w:p>
    <w:p>
      <w:pPr>
        <w:pStyle w:val="Normal"/>
        <w:widowControl/>
        <w:rPr/>
      </w:pPr>
      <w:r>
        <w:rPr/>
        <w:t>Expand Canada's cobalt refining capacity with US investment.</w:t>
      </w:r>
    </w:p>
    <w:p>
      <w:bookmarkStart w:id="2190" w:name="_NAESTMA_TOC_2190"/>
      <w:pPr>
        <w:pStyle w:val="Heading2"/>
        <w:keepNext/>
        <w:widowControl/>
        <w:rPr/>
      </w:pPr>
      <w:r>
        <w:t>BB-47. Tri-national battery recycling for cobalt</w:t>
      </w:r>
      <w:bookmarkEnd w:id="2190"/>
    </w:p>
    <w:p>
      <w:pPr>
        <w:pStyle w:val="Normal"/>
        <w:widowControl/>
        <w:rPr/>
      </w:pPr>
      <w:r>
        <w:rPr/>
        <w:t>US EV battery recycling sent to Canada for cobalt recovery; recovered cobalt to US.</w:t>
      </w:r>
    </w:p>
    <w:p>
      <w:bookmarkStart w:id="2191" w:name="_NAESTMA_TOC_2191"/>
      <w:pPr>
        <w:pStyle w:val="Heading2"/>
        <w:keepNext/>
        <w:widowControl/>
        <w:rPr/>
      </w:pPr>
      <w:r>
        <w:t>BB-48. North American nickel price stabilization</w:t>
      </w:r>
      <w:bookmarkEnd w:id="2191"/>
    </w:p>
    <w:p>
      <w:pPr>
        <w:pStyle w:val="Normal"/>
        <w:widowControl/>
        <w:rPr/>
      </w:pPr>
      <w:r>
        <w:rPr/>
        <w:t>Joint mechanism to stabilize nickel prices for battery manufacturers.</w:t>
      </w:r>
    </w:p>
    <w:p>
      <w:bookmarkStart w:id="2192" w:name="_NAESTMA_TOC_2192"/>
      <w:pPr>
        <w:pStyle w:val="Heading2"/>
        <w:keepNext/>
        <w:widowControl/>
        <w:rPr/>
      </w:pPr>
      <w:r>
        <w:t>BB-49. Mexican zinc concentrate to US smelters</w:t>
      </w:r>
      <w:bookmarkEnd w:id="2192"/>
    </w:p>
    <w:p>
      <w:pPr>
        <w:pStyle w:val="Normal"/>
        <w:widowControl/>
        <w:rPr/>
      </w:pPr>
      <w:r>
        <w:rPr/>
        <w:t>Expand Mexican zinc production with US smelting of concentrate.</w:t>
      </w:r>
    </w:p>
    <w:p>
      <w:bookmarkStart w:id="2193" w:name="_NAESTMA_TOC_2193"/>
      <w:pPr>
        <w:pStyle w:val="Heading2"/>
        <w:keepNext/>
        <w:widowControl/>
        <w:rPr/>
      </w:pPr>
      <w:r>
        <w:t>BB-50. Canadian zinc technology to Mexico</w:t>
      </w:r>
      <w:bookmarkEnd w:id="2193"/>
    </w:p>
    <w:p>
      <w:pPr>
        <w:pStyle w:val="Normal"/>
        <w:widowControl/>
        <w:rPr/>
      </w:pPr>
      <w:r>
        <w:rPr/>
        <w:t>Canada's underground mining expertise applied to Mexican zinc operations.</w:t>
      </w:r>
    </w:p>
    <w:p>
      <w:bookmarkStart w:id="2194" w:name="_NAESTMA_TOC_2194"/>
      <w:pPr>
        <w:pStyle w:val="Heading2"/>
        <w:keepNext/>
        <w:widowControl/>
        <w:rPr/>
      </w:pPr>
      <w:r>
        <w:t>BB-51. Tri-national zinc galvanizing JV</w:t>
      </w:r>
      <w:bookmarkEnd w:id="2194"/>
    </w:p>
    <w:p>
      <w:pPr>
        <w:pStyle w:val="Normal"/>
        <w:widowControl/>
        <w:rPr/>
      </w:pPr>
      <w:r>
        <w:rPr/>
        <w:t>Build galvanizing plant in Mexico serving US auto and Canadian construction sectors.</w:t>
      </w:r>
    </w:p>
    <w:p>
      <w:bookmarkStart w:id="2195" w:name="_NAESTMA_TOC_2195"/>
      <w:pPr>
        <w:pStyle w:val="Heading2"/>
        <w:keepNext/>
        <w:widowControl/>
        <w:rPr/>
      </w:pPr>
      <w:r>
        <w:t>BB-52. US-Mexico lead recycling loop</w:t>
      </w:r>
      <w:bookmarkEnd w:id="2195"/>
    </w:p>
    <w:p>
      <w:pPr>
        <w:pStyle w:val="Normal"/>
        <w:widowControl/>
        <w:rPr/>
      </w:pPr>
      <w:r>
        <w:rPr/>
        <w:t>US lead-acid battery recycling sent to Mexico; refined lead returns for new batteries.</w:t>
      </w:r>
    </w:p>
    <w:p>
      <w:bookmarkStart w:id="2196" w:name="_NAESTMA_TOC_2196"/>
      <w:pPr>
        <w:pStyle w:val="Heading2"/>
        <w:keepNext/>
        <w:widowControl/>
        <w:rPr/>
      </w:pPr>
      <w:r>
        <w:t>BB-53. Canadian zinc exploration in Mexico</w:t>
      </w:r>
      <w:bookmarkEnd w:id="2196"/>
    </w:p>
    <w:p>
      <w:pPr>
        <w:pStyle w:val="Normal"/>
        <w:widowControl/>
        <w:rPr/>
      </w:pPr>
      <w:r>
        <w:rPr/>
        <w:t>Canadian companies explore Mexico's zinc-rich regions (Zacatecas, Chihuahua).</w:t>
      </w:r>
    </w:p>
    <w:p>
      <w:bookmarkStart w:id="2197" w:name="_NAESTMA_TOC_2197"/>
      <w:pPr>
        <w:pStyle w:val="Heading2"/>
        <w:keepNext/>
        <w:widowControl/>
        <w:rPr/>
      </w:pPr>
      <w:r>
        <w:t>BB-54. Tri-national lead-acid battery JV</w:t>
      </w:r>
      <w:bookmarkEnd w:id="2197"/>
    </w:p>
    <w:p>
      <w:pPr>
        <w:pStyle w:val="Normal"/>
        <w:widowControl/>
        <w:rPr/>
      </w:pPr>
      <w:r>
        <w:rPr/>
        <w:t>Joint manufacturing of lead-acid batteries using Mexican lead and US technology.</w:t>
      </w:r>
    </w:p>
    <w:p>
      <w:bookmarkStart w:id="2198" w:name="_NAESTMA_TOC_2198"/>
      <w:pPr>
        <w:pStyle w:val="Heading2"/>
        <w:keepNext/>
        <w:widowControl/>
        <w:rPr/>
      </w:pPr>
      <w:r>
        <w:t>BB-55. Mexican zinc-oxide production</w:t>
      </w:r>
      <w:bookmarkEnd w:id="2198"/>
    </w:p>
    <w:p>
      <w:pPr>
        <w:pStyle w:val="Normal"/>
        <w:widowControl/>
        <w:rPr/>
      </w:pPr>
      <w:r>
        <w:rPr/>
        <w:t>Produce zinc oxide in Mexico for US rubber and ceramics industries.</w:t>
      </w:r>
    </w:p>
    <w:p>
      <w:bookmarkStart w:id="2199" w:name="_NAESTMA_TOC_2199"/>
      <w:pPr>
        <w:pStyle w:val="Heading2"/>
        <w:keepNext/>
        <w:widowControl/>
        <w:rPr/>
      </w:pPr>
      <w:r>
        <w:t>BB-56. North American zinc strategic reserve</w:t>
      </w:r>
      <w:bookmarkEnd w:id="2199"/>
    </w:p>
    <w:p>
      <w:pPr>
        <w:pStyle w:val="Normal"/>
        <w:widowControl/>
        <w:rPr/>
      </w:pPr>
      <w:r>
        <w:rPr/>
        <w:t>Coordinated zinc stockpile for galvanizing infrastructure projects.</w:t>
      </w:r>
    </w:p>
    <w:p>
      <w:bookmarkStart w:id="2200" w:name="_NAESTMA_TOC_2200"/>
      <w:pPr>
        <w:pStyle w:val="Heading2"/>
        <w:keepNext/>
        <w:widowControl/>
        <w:rPr/>
      </w:pPr>
      <w:r>
        <w:t>BB-57. Tri-national silver industrial applications JV</w:t>
      </w:r>
      <w:bookmarkEnd w:id="2200"/>
    </w:p>
    <w:p>
      <w:pPr>
        <w:pStyle w:val="Normal"/>
        <w:widowControl/>
        <w:rPr/>
      </w:pPr>
      <w:r>
        <w:rPr/>
        <w:t>Develop silver-based technologies (solar PV, electronics, advanced conductors) using Mexican silver, US R&amp;D, Canadian manufacturing.</w:t>
      </w:r>
    </w:p>
    <w:p>
      <w:bookmarkStart w:id="2201" w:name="_NAESTMA_TOC_2201"/>
      <w:pPr>
        <w:pStyle w:val="Heading2"/>
        <w:keepNext/>
        <w:widowControl/>
        <w:rPr/>
      </w:pPr>
      <w:r>
        <w:t>BB-58. Mexican silver to US solar panel plants</w:t>
      </w:r>
      <w:bookmarkEnd w:id="2201"/>
    </w:p>
    <w:p>
      <w:pPr>
        <w:pStyle w:val="Normal"/>
        <w:widowControl/>
        <w:rPr/>
      </w:pPr>
      <w:r>
        <w:rPr/>
        <w:t>Long-term silver supply agreement for US solar photovoltaic manufacturing.</w:t>
      </w:r>
    </w:p>
    <w:p>
      <w:bookmarkStart w:id="2202" w:name="_NAESTMA_TOC_2202"/>
      <w:pPr>
        <w:pStyle w:val="Heading2"/>
        <w:keepNext/>
        <w:widowControl/>
        <w:rPr/>
      </w:pPr>
      <w:r>
        <w:t>BB-59. Canadian gold refining in Mexico</w:t>
      </w:r>
      <w:bookmarkEnd w:id="2202"/>
    </w:p>
    <w:p>
      <w:pPr>
        <w:pStyle w:val="Normal"/>
        <w:widowControl/>
        <w:rPr/>
      </w:pPr>
      <w:r>
        <w:rPr/>
        <w:t>Canadian gold ore shipped to Mexican refineries; refined gold returned.</w:t>
      </w:r>
    </w:p>
    <w:p>
      <w:bookmarkStart w:id="2203" w:name="_NAESTMA_TOC_2203"/>
      <w:pPr>
        <w:pStyle w:val="Heading2"/>
        <w:keepNext/>
        <w:widowControl/>
        <w:rPr/>
      </w:pPr>
      <w:r>
        <w:t>BB-60. US-Mexico silver exploration</w:t>
      </w:r>
      <w:bookmarkEnd w:id="2203"/>
    </w:p>
    <w:p>
      <w:pPr>
        <w:pStyle w:val="Normal"/>
        <w:widowControl/>
        <w:rPr/>
      </w:pPr>
      <w:r>
        <w:rPr/>
        <w:t>Joint exploration of new silver deposits in Mexico using US technology.</w:t>
      </w:r>
    </w:p>
    <w:p>
      <w:bookmarkStart w:id="2204" w:name="_NAESTMA_TOC_2204"/>
      <w:pPr>
        <w:pStyle w:val="Heading2"/>
        <w:keepNext/>
        <w:widowControl/>
        <w:rPr/>
      </w:pPr>
      <w:r>
        <w:t>BB-61. Tri-national precious metals recycling</w:t>
      </w:r>
      <w:bookmarkEnd w:id="2204"/>
    </w:p>
    <w:p>
      <w:pPr>
        <w:pStyle w:val="Normal"/>
        <w:widowControl/>
        <w:rPr/>
      </w:pPr>
      <w:r>
        <w:rPr/>
        <w:t>E-waste and jewelry recycling across all three countries, recovering gold/silver.</w:t>
      </w:r>
    </w:p>
    <w:p>
      <w:bookmarkStart w:id="2205" w:name="_NAESTMA_TOC_2205"/>
      <w:pPr>
        <w:pStyle w:val="Heading2"/>
        <w:keepNext/>
        <w:widowControl/>
        <w:rPr/>
      </w:pPr>
      <w:r>
        <w:t>BB-62. Mexican silver to Canadian electronics</w:t>
      </w:r>
      <w:bookmarkEnd w:id="2205"/>
    </w:p>
    <w:p>
      <w:pPr>
        <w:pStyle w:val="Normal"/>
        <w:widowControl/>
        <w:rPr/>
      </w:pPr>
      <w:r>
        <w:rPr/>
        <w:t>Mexican silver exported to Canadian electronics manufacturers.</w:t>
      </w:r>
    </w:p>
    <w:p>
      <w:bookmarkStart w:id="2206" w:name="_NAESTMA_TOC_2206"/>
      <w:pPr>
        <w:pStyle w:val="Heading2"/>
        <w:keepNext/>
        <w:widowControl/>
        <w:rPr/>
      </w:pPr>
      <w:r>
        <w:rPr/>
        <w:t>BB-63. Industrial Precious-Metals Resilience Cooperation</w:t>
      </w:r>
      <w:bookmarkEnd w:id="2206"/>
    </w:p>
    <w:p>
      <w:pPr>
        <w:pStyle w:val="Normal"/>
        <w:widowControl/>
        <w:rPr/>
      </w:pPr>
      <w:r>
        <w:rPr/>
        <w:t>Coordinate industrial precious-metal supply, recycling and emergency availability without directing central-bank reserve policy.</w:t>
      </w:r>
    </w:p>
    <w:p>
      <w:bookmarkStart w:id="2207" w:name="_NAESTMA_TOC_2207"/>
      <w:pPr>
        <w:pStyle w:val="Heading2"/>
        <w:keepNext/>
        <w:widowControl/>
        <w:rPr/>
      </w:pPr>
      <w:r>
        <w:t>BB-64. US gold mining tech transfer to Mexico</w:t>
      </w:r>
      <w:bookmarkEnd w:id="2207"/>
    </w:p>
    <w:p>
      <w:pPr>
        <w:pStyle w:val="Normal"/>
        <w:widowControl/>
        <w:rPr/>
      </w:pPr>
      <w:r>
        <w:rPr/>
        <w:t>US open-pit and heap-leach technology deployed in Mexican gold operations.</w:t>
      </w:r>
    </w:p>
    <w:p>
      <w:bookmarkStart w:id="2208" w:name="_NAESTMA_TOC_2208"/>
      <w:pPr>
        <w:pStyle w:val="Heading2"/>
        <w:keepNext/>
        <w:widowControl/>
        <w:rPr/>
      </w:pPr>
      <w:r>
        <w:t>BB-65. Canadian potash to US &amp; Mexico</w:t>
      </w:r>
      <w:bookmarkEnd w:id="2208"/>
    </w:p>
    <w:p>
      <w:pPr>
        <w:pStyle w:val="Normal"/>
        <w:widowControl/>
        <w:rPr/>
      </w:pPr>
      <w:r>
        <w:rPr/>
        <w:t>Long-term potash supply agreements from Saskatchewan to US corn belt and Mexican agriculture.</w:t>
      </w:r>
    </w:p>
    <w:p>
      <w:bookmarkStart w:id="2209" w:name="_NAESTMA_TOC_2209"/>
      <w:pPr>
        <w:pStyle w:val="Heading2"/>
        <w:keepNext/>
        <w:widowControl/>
        <w:rPr/>
      </w:pPr>
      <w:r>
        <w:t>BB-66. Tri-national fertilizer distribution network</w:t>
      </w:r>
      <w:bookmarkEnd w:id="2209"/>
    </w:p>
    <w:p>
      <w:pPr>
        <w:pStyle w:val="Normal"/>
        <w:widowControl/>
        <w:rPr/>
      </w:pPr>
      <w:r>
        <w:rPr/>
        <w:t>Joint logistics network shipping Canadian potash to US and Mexican farmers.</w:t>
      </w:r>
    </w:p>
    <w:p>
      <w:bookmarkStart w:id="2210" w:name="_NAESTMA_TOC_2210"/>
      <w:pPr>
        <w:pStyle w:val="Heading2"/>
        <w:keepNext/>
        <w:widowControl/>
        <w:rPr/>
      </w:pPr>
      <w:r>
        <w:t>BB-67. Canadian phosphate to Mexico</w:t>
      </w:r>
      <w:bookmarkEnd w:id="2210"/>
    </w:p>
    <w:p>
      <w:pPr>
        <w:pStyle w:val="Normal"/>
        <w:widowControl/>
        <w:rPr/>
      </w:pPr>
      <w:r>
        <w:rPr/>
        <w:t>Canada exports phosphate rock to Mexican fertilizer plants.</w:t>
      </w:r>
    </w:p>
    <w:p>
      <w:bookmarkStart w:id="2211" w:name="_NAESTMA_TOC_2211"/>
      <w:pPr>
        <w:pStyle w:val="Heading2"/>
        <w:keepNext/>
        <w:widowControl/>
        <w:rPr/>
      </w:pPr>
      <w:r>
        <w:t>BB-68. US-Mexico fertilizer plant JV</w:t>
      </w:r>
      <w:bookmarkEnd w:id="2211"/>
    </w:p>
    <w:p>
      <w:pPr>
        <w:pStyle w:val="Normal"/>
        <w:widowControl/>
        <w:rPr/>
      </w:pPr>
      <w:r>
        <w:rPr/>
        <w:t>Build fertilizer plant in Mexico using Canadian potash and US sulfur.</w:t>
      </w:r>
    </w:p>
    <w:p>
      <w:bookmarkStart w:id="2212" w:name="_NAESTMA_TOC_2212"/>
      <w:pPr>
        <w:pStyle w:val="Heading2"/>
        <w:keepNext/>
        <w:widowControl/>
        <w:rPr/>
      </w:pPr>
      <w:r>
        <w:t>BB-69. Tri-national agricultural minerals agreement</w:t>
      </w:r>
      <w:bookmarkEnd w:id="2212"/>
    </w:p>
    <w:p>
      <w:pPr>
        <w:pStyle w:val="Normal"/>
        <w:widowControl/>
        <w:rPr/>
      </w:pPr>
      <w:r>
        <w:rPr/>
        <w:t>Coordinated supply of potash, phosphate, and sulfur to North American farmers.</w:t>
      </w:r>
    </w:p>
    <w:p>
      <w:bookmarkStart w:id="2213" w:name="_NAESTMA_TOC_2213"/>
      <w:pPr>
        <w:pStyle w:val="Heading2"/>
        <w:keepNext/>
        <w:widowControl/>
        <w:rPr/>
      </w:pPr>
      <w:r>
        <w:t>BB-70. Canadian potash rail corridor investment</w:t>
      </w:r>
      <w:bookmarkEnd w:id="2213"/>
    </w:p>
    <w:p>
      <w:pPr>
        <w:pStyle w:val="Normal"/>
        <w:widowControl/>
        <w:rPr/>
      </w:pPr>
      <w:r>
        <w:rPr/>
        <w:t>Joint investment in rail infrastructure from Saskatchewan to US Gulf and Mexico.</w:t>
      </w:r>
    </w:p>
    <w:p>
      <w:bookmarkStart w:id="2214" w:name="_NAESTMA_TOC_2214"/>
      <w:pPr>
        <w:pStyle w:val="Heading2"/>
        <w:keepNext/>
        <w:widowControl/>
        <w:rPr/>
      </w:pPr>
      <w:r>
        <w:t>BB-71. Mexican molybdenum to US steel mills</w:t>
      </w:r>
      <w:bookmarkEnd w:id="2214"/>
    </w:p>
    <w:p>
      <w:pPr>
        <w:pStyle w:val="Normal"/>
        <w:widowControl/>
        <w:rPr/>
      </w:pPr>
      <w:r>
        <w:rPr/>
        <w:t>Long-term supply of Mexican molybdenum for US high-strength steel alloys (aerospace, defense, energy).</w:t>
      </w:r>
    </w:p>
    <w:p>
      <w:bookmarkStart w:id="2215" w:name="_NAESTMA_TOC_2215"/>
      <w:pPr>
        <w:pStyle w:val="Heading2"/>
        <w:keepNext/>
        <w:widowControl/>
        <w:rPr/>
      </w:pPr>
      <w:r>
        <w:t>BB-72. Canadian tungsten exploration</w:t>
      </w:r>
      <w:bookmarkEnd w:id="2215"/>
    </w:p>
    <w:p>
      <w:pPr>
        <w:pStyle w:val="Normal"/>
        <w:widowControl/>
        <w:rPr/>
      </w:pPr>
      <w:r>
        <w:rPr/>
        <w:t>Joint exploration of tungsten deposits in Canada for US defense supply.</w:t>
      </w:r>
    </w:p>
    <w:p>
      <w:bookmarkStart w:id="2216" w:name="_NAESTMA_TOC_2216"/>
      <w:pPr>
        <w:pStyle w:val="Heading2"/>
        <w:keepNext/>
        <w:widowControl/>
        <w:rPr/>
      </w:pPr>
      <w:r>
        <w:t>BB-73. US-Mexico molybdenum processing</w:t>
      </w:r>
      <w:bookmarkEnd w:id="2216"/>
    </w:p>
    <w:p>
      <w:pPr>
        <w:pStyle w:val="Normal"/>
        <w:widowControl/>
        <w:rPr/>
      </w:pPr>
      <w:r>
        <w:rPr/>
        <w:t>Build molybdenum roaster in Mexico processing Mexican and US ores.</w:t>
      </w:r>
    </w:p>
    <w:p>
      <w:bookmarkStart w:id="2217" w:name="_NAESTMA_TOC_2217"/>
      <w:pPr>
        <w:pStyle w:val="Heading2"/>
        <w:keepNext/>
        <w:widowControl/>
        <w:rPr/>
      </w:pPr>
      <w:r>
        <w:t>BB-74. Tri-national high-strength steel JV</w:t>
      </w:r>
      <w:bookmarkEnd w:id="2217"/>
    </w:p>
    <w:p>
      <w:pPr>
        <w:pStyle w:val="Normal"/>
        <w:widowControl/>
        <w:rPr/>
      </w:pPr>
      <w:r>
        <w:rPr/>
        <w:t>Joint venture steel plant using Mexican molybdenum, US iron, Canadian nickel.</w:t>
      </w:r>
    </w:p>
    <w:p>
      <w:bookmarkStart w:id="2218" w:name="_NAESTMA_TOC_2218"/>
      <w:pPr>
        <w:pStyle w:val="Heading2"/>
        <w:keepNext/>
        <w:widowControl/>
        <w:rPr/>
      </w:pPr>
      <w:r>
        <w:t>BB-75. Mexican molybdenum to Canadian aerospace</w:t>
      </w:r>
      <w:bookmarkEnd w:id="2218"/>
    </w:p>
    <w:p>
      <w:pPr>
        <w:pStyle w:val="Normal"/>
        <w:widowControl/>
        <w:rPr/>
      </w:pPr>
      <w:r>
        <w:rPr/>
        <w:t>Mexico exports molybdenum to Canadian aerospace manufacturers.</w:t>
      </w:r>
    </w:p>
    <w:p>
      <w:bookmarkStart w:id="2219" w:name="_NAESTMA_TOC_2219"/>
      <w:pPr>
        <w:pStyle w:val="Heading2"/>
        <w:keepNext/>
        <w:widowControl/>
        <w:rPr/>
      </w:pPr>
      <w:r>
        <w:t>BB-76. North American tungsten stockpile</w:t>
      </w:r>
      <w:bookmarkEnd w:id="2219"/>
    </w:p>
    <w:p>
      <w:pPr>
        <w:pStyle w:val="Normal"/>
        <w:widowControl/>
        <w:rPr/>
      </w:pPr>
      <w:r>
        <w:rPr/>
        <w:t>Coordinated strategic tungsten stockpile for defense manufacturing.</w:t>
      </w:r>
    </w:p>
    <w:p>
      <w:bookmarkStart w:id="2220" w:name="_NAESTMA_TOC_2220"/>
      <w:pPr>
        <w:pStyle w:val="Heading2"/>
        <w:keepNext/>
        <w:widowControl/>
        <w:rPr/>
      </w:pPr>
      <w:r>
        <w:t>BB-77. Mexican fluorspar to US chemical plants</w:t>
      </w:r>
      <w:bookmarkEnd w:id="2220"/>
    </w:p>
    <w:p>
      <w:pPr>
        <w:pStyle w:val="Normal"/>
        <w:widowControl/>
        <w:rPr/>
      </w:pPr>
      <w:r>
        <w:rPr/>
        <w:t>Long-term supply of Mexican fluorspar for US hydrofluoric acid production (semiconductors, refrigerants).</w:t>
      </w:r>
    </w:p>
    <w:p>
      <w:bookmarkStart w:id="2221" w:name="_NAESTMA_TOC_2221"/>
      <w:pPr>
        <w:pStyle w:val="Heading2"/>
        <w:keepNext/>
        <w:widowControl/>
        <w:rPr/>
      </w:pPr>
      <w:r>
        <w:t>BB-78. Canadian fluorspar exploration</w:t>
      </w:r>
      <w:bookmarkEnd w:id="2221"/>
    </w:p>
    <w:p>
      <w:pPr>
        <w:pStyle w:val="Normal"/>
        <w:widowControl/>
        <w:rPr/>
      </w:pPr>
      <w:r>
        <w:rPr/>
        <w:t>Develop Canada's fluorspar deposits with US offtake.</w:t>
      </w:r>
    </w:p>
    <w:p>
      <w:bookmarkStart w:id="2222" w:name="_NAESTMA_TOC_2222"/>
      <w:pPr>
        <w:pStyle w:val="Heading2"/>
        <w:keepNext/>
        <w:widowControl/>
        <w:rPr/>
      </w:pPr>
      <w:r>
        <w:t>BB-79. Mexican barite to US oil &amp; gas</w:t>
      </w:r>
      <w:bookmarkEnd w:id="2222"/>
    </w:p>
    <w:p>
      <w:pPr>
        <w:pStyle w:val="Normal"/>
        <w:widowControl/>
        <w:rPr/>
      </w:pPr>
      <w:r>
        <w:rPr/>
        <w:t>Supply Mexican barite for US drilling fluids.</w:t>
      </w:r>
    </w:p>
    <w:p>
      <w:bookmarkStart w:id="2223" w:name="_NAESTMA_TOC_2223"/>
      <w:pPr>
        <w:pStyle w:val="Heading2"/>
        <w:keepNext/>
        <w:widowControl/>
        <w:rPr/>
      </w:pPr>
      <w:r>
        <w:t>BB-80. Tri-national fluorspar processing JV</w:t>
      </w:r>
      <w:bookmarkEnd w:id="2223"/>
    </w:p>
    <w:p>
      <w:pPr>
        <w:pStyle w:val="Normal"/>
        <w:widowControl/>
        <w:rPr/>
      </w:pPr>
      <w:r>
        <w:rPr/>
        <w:t>Build fluorspar processing plant in Mexico serving all three.</w:t>
      </w:r>
    </w:p>
    <w:p>
      <w:bookmarkStart w:id="2224" w:name="_NAESTMA_TOC_2224"/>
      <w:pPr>
        <w:pStyle w:val="Heading2"/>
        <w:keepNext/>
        <w:widowControl/>
        <w:rPr/>
      </w:pPr>
      <w:r>
        <w:t>BB-81. Canadian industrial minerals to Mexico</w:t>
      </w:r>
      <w:bookmarkEnd w:id="2224"/>
    </w:p>
    <w:p>
      <w:pPr>
        <w:pStyle w:val="Normal"/>
        <w:widowControl/>
        <w:rPr/>
      </w:pPr>
      <w:r>
        <w:rPr/>
        <w:t>Canada exports silica, limestone, and other industrial minerals to Mexico.</w:t>
      </w:r>
    </w:p>
    <w:p>
      <w:bookmarkStart w:id="2225" w:name="_NAESTMA_TOC_2225"/>
      <w:pPr>
        <w:pStyle w:val="Heading2"/>
        <w:keepNext/>
        <w:widowControl/>
        <w:rPr/>
      </w:pPr>
      <w:r>
        <w:t>BB-82. US-Mexico barite exploration</w:t>
      </w:r>
      <w:bookmarkEnd w:id="2225"/>
    </w:p>
    <w:p>
      <w:pPr>
        <w:pStyle w:val="Normal"/>
        <w:widowControl/>
        <w:rPr/>
      </w:pPr>
      <w:r>
        <w:rPr/>
        <w:t>Joint exploration of additional barite deposits in Mexico.</w:t>
      </w:r>
    </w:p>
    <w:p>
      <w:bookmarkStart w:id="2226" w:name="_NAESTMA_TOC_2226"/>
      <w:pPr>
        <w:pStyle w:val="Heading2"/>
        <w:keepNext/>
        <w:widowControl/>
        <w:rPr/>
      </w:pPr>
      <w:r>
        <w:t>BB-83. Tri-national cement &amp; construction minerals</w:t>
      </w:r>
      <w:bookmarkEnd w:id="2226"/>
    </w:p>
    <w:p>
      <w:pPr>
        <w:pStyle w:val="Normal"/>
        <w:widowControl/>
        <w:rPr/>
      </w:pPr>
      <w:r>
        <w:rPr/>
        <w:t>Cross-border supply of cement, lime, and aggregates.</w:t>
      </w:r>
    </w:p>
    <w:p>
      <w:bookmarkStart w:id="2227" w:name="_NAESTMA_TOC_2227"/>
      <w:pPr>
        <w:pStyle w:val="Heading2"/>
        <w:keepNext/>
        <w:widowControl/>
        <w:rPr/>
      </w:pPr>
      <w:r>
        <w:t>BB-84. Mexican salt to US/Canadian chemical plants</w:t>
      </w:r>
      <w:bookmarkEnd w:id="2227"/>
    </w:p>
    <w:p>
      <w:pPr>
        <w:pStyle w:val="Normal"/>
        <w:widowControl/>
        <w:rPr/>
      </w:pPr>
      <w:r>
        <w:rPr/>
        <w:t>Mexico's salt production exported to US and Canadian chlor-alkali plants.</w:t>
      </w:r>
    </w:p>
    <w:p>
      <w:bookmarkStart w:id="2228" w:name="_NAESTMA_TOC_2228"/>
      <w:pPr>
        <w:pStyle w:val="Heading2"/>
        <w:keepNext/>
        <w:widowControl/>
        <w:rPr/>
      </w:pPr>
      <w:r>
        <w:t>BB-85. North American fluorspar strategic reserve</w:t>
      </w:r>
      <w:bookmarkEnd w:id="2228"/>
    </w:p>
    <w:p>
      <w:pPr>
        <w:pStyle w:val="Normal"/>
        <w:widowControl/>
        <w:rPr/>
      </w:pPr>
      <w:r>
        <w:rPr/>
        <w:t>Coordinated stockpile for semiconductor industry security.</w:t>
      </w:r>
    </w:p>
    <w:p>
      <w:bookmarkStart w:id="2229" w:name="_NAESTMA_TOC_2229"/>
      <w:pPr>
        <w:pStyle w:val="Heading2"/>
        <w:keepNext/>
        <w:widowControl/>
        <w:rPr/>
      </w:pPr>
      <w:r>
        <w:t>BB-86. Tri-national industrial minerals database</w:t>
      </w:r>
      <w:bookmarkEnd w:id="2229"/>
    </w:p>
    <w:p>
      <w:pPr>
        <w:pStyle w:val="Normal"/>
        <w:widowControl/>
        <w:rPr/>
      </w:pPr>
      <w:r>
        <w:rPr/>
        <w:t>Shared geological database of industrial mineral resources.</w:t>
      </w:r>
    </w:p>
    <w:p>
      <w:bookmarkStart w:id="2230" w:name="_NAESTMA_TOC_2230"/>
      <w:pPr>
        <w:pStyle w:val="Heading2"/>
        <w:keepNext/>
        <w:widowControl/>
        <w:rPr/>
      </w:pPr>
      <w:r>
        <w:t>BB-87. Canadian uranium to US nuclear plants</w:t>
      </w:r>
      <w:bookmarkEnd w:id="2230"/>
    </w:p>
    <w:p>
      <w:pPr>
        <w:pStyle w:val="Normal"/>
        <w:widowControl/>
        <w:rPr/>
      </w:pPr>
      <w:r>
        <w:rPr/>
        <w:t>Long-term uranium supply agreements from Saskatchewan to US nuclear reactors.</w:t>
      </w:r>
    </w:p>
    <w:p>
      <w:bookmarkStart w:id="2231" w:name="_NAESTMA_TOC_2231"/>
      <w:pPr>
        <w:pStyle w:val="Heading2"/>
        <w:keepNext/>
        <w:widowControl/>
        <w:rPr/>
      </w:pPr>
      <w:r>
        <w:t>BB-88. US enrichment for Canadian uranium</w:t>
      </w:r>
      <w:bookmarkEnd w:id="2231"/>
    </w:p>
    <w:p>
      <w:pPr>
        <w:pStyle w:val="Normal"/>
        <w:widowControl/>
        <w:rPr/>
      </w:pPr>
      <w:r>
        <w:rPr/>
        <w:t>Canadian uranium sent to US for enrichment; enriched fuel returned.</w:t>
      </w:r>
    </w:p>
    <w:p>
      <w:bookmarkStart w:id="2232" w:name="_NAESTMA_TOC_2232"/>
      <w:pPr>
        <w:pStyle w:val="Heading2"/>
        <w:keepNext/>
        <w:widowControl/>
        <w:rPr/>
      </w:pPr>
      <w:r>
        <w:t>BB-89. Mexican uranium exploration</w:t>
      </w:r>
      <w:bookmarkEnd w:id="2232"/>
    </w:p>
    <w:p>
      <w:pPr>
        <w:pStyle w:val="Normal"/>
        <w:widowControl/>
        <w:rPr/>
      </w:pPr>
      <w:r>
        <w:rPr/>
        <w:t>Joint exploration of Mexico's uranium deposits with Canadian expertise.</w:t>
      </w:r>
    </w:p>
    <w:p>
      <w:bookmarkStart w:id="2233" w:name="_NAESTMA_TOC_2233"/>
      <w:pPr>
        <w:pStyle w:val="Heading2"/>
        <w:keepNext/>
        <w:widowControl/>
        <w:rPr/>
      </w:pPr>
      <w:r>
        <w:rPr/>
        <w:t>BB-90. North American Nuclear Fuel Security Cooperation</w:t>
      </w:r>
      <w:bookmarkEnd w:id="2233"/>
    </w:p>
    <w:p>
      <w:pPr>
        <w:pStyle w:val="Normal"/>
        <w:widowControl/>
        <w:rPr/>
      </w:pPr>
      <w:r>
        <w:rPr/>
        <w:t>Coordinate lawful uranium supply, conversion, enrichment, fabrication and reserve capacity under domestic nuclear law, safeguards and non-proliferation obligations; do not prescribe a single tri-national fuel-cycle JV.</w:t>
      </w:r>
    </w:p>
    <w:p>
      <w:bookmarkStart w:id="2234" w:name="_NAESTMA_TOC_2234"/>
      <w:pPr>
        <w:pStyle w:val="Heading2"/>
        <w:keepNext/>
        <w:widowControl/>
        <w:rPr/>
      </w:pPr>
      <w:r>
        <w:t>BB-91. Canadian uranium to Mexico</w:t>
      </w:r>
      <w:bookmarkEnd w:id="2234"/>
    </w:p>
    <w:p>
      <w:pPr>
        <w:pStyle w:val="Normal"/>
        <w:widowControl/>
        <w:rPr/>
      </w:pPr>
      <w:r>
        <w:rPr/>
        <w:t>Canada supplies uranium for Mexico's nuclear power program.</w:t>
      </w:r>
    </w:p>
    <w:p>
      <w:bookmarkStart w:id="2235" w:name="_NAESTMA_TOC_2235"/>
      <w:pPr>
        <w:pStyle w:val="Heading2"/>
        <w:keepNext/>
        <w:widowControl/>
        <w:rPr/>
      </w:pPr>
      <w:r>
        <w:t>BB-92. North American uranium reserve coordination</w:t>
      </w:r>
      <w:bookmarkEnd w:id="2235"/>
    </w:p>
    <w:p>
      <w:pPr>
        <w:pStyle w:val="Normal"/>
        <w:widowControl/>
        <w:rPr/>
      </w:pPr>
      <w:r>
        <w:rPr/>
        <w:t>Coordinated uranium reserve policies for energy security.</w:t>
      </w:r>
    </w:p>
    <w:p>
      <w:bookmarkStart w:id="2236" w:name="_NAESTMA_TOC_2236"/>
      <w:pPr>
        <w:pStyle w:val="Heading2"/>
        <w:keepNext/>
        <w:widowControl/>
        <w:rPr/>
      </w:pPr>
      <w:r>
        <w:t>BB-93. Canadian magnesium to US auto plants</w:t>
      </w:r>
      <w:bookmarkEnd w:id="2236"/>
    </w:p>
    <w:p>
      <w:pPr>
        <w:pStyle w:val="Normal"/>
        <w:widowControl/>
        <w:rPr/>
      </w:pPr>
      <w:r>
        <w:rPr/>
        <w:t>Supply Canadian magnesium for US lightweight automotive components.</w:t>
      </w:r>
    </w:p>
    <w:p>
      <w:bookmarkStart w:id="2237" w:name="_NAESTMA_TOC_2237"/>
      <w:pPr>
        <w:pStyle w:val="Heading2"/>
        <w:keepNext/>
        <w:widowControl/>
        <w:rPr/>
      </w:pPr>
      <w:r>
        <w:t>BB-94. Mexican titanium exploration</w:t>
      </w:r>
      <w:bookmarkEnd w:id="2237"/>
    </w:p>
    <w:p>
      <w:pPr>
        <w:pStyle w:val="Normal"/>
        <w:widowControl/>
        <w:rPr/>
      </w:pPr>
      <w:r>
        <w:rPr/>
        <w:t>Joint exploration of titanium deposits in Mexico.</w:t>
      </w:r>
    </w:p>
    <w:p>
      <w:bookmarkStart w:id="2238" w:name="_NAESTMA_TOC_2238"/>
      <w:pPr>
        <w:pStyle w:val="Heading2"/>
        <w:keepNext/>
        <w:widowControl/>
        <w:rPr/>
      </w:pPr>
      <w:r>
        <w:t>BB-95. US titanium sponge plant in Canada</w:t>
      </w:r>
      <w:bookmarkEnd w:id="2238"/>
    </w:p>
    <w:p>
      <w:pPr>
        <w:pStyle w:val="Normal"/>
        <w:widowControl/>
        <w:rPr/>
      </w:pPr>
      <w:r>
        <w:rPr/>
        <w:t>Build titanium sponge plant in Canada using US technology and Canadian energy.</w:t>
      </w:r>
    </w:p>
    <w:p>
      <w:bookmarkStart w:id="2239" w:name="_NAESTMA_TOC_2239"/>
      <w:pPr>
        <w:pStyle w:val="Heading2"/>
        <w:keepNext/>
        <w:widowControl/>
        <w:rPr/>
      </w:pPr>
      <w:r>
        <w:t>BB-96. Tri-national aerospace alloys JV</w:t>
      </w:r>
      <w:bookmarkEnd w:id="2239"/>
    </w:p>
    <w:p>
      <w:pPr>
        <w:pStyle w:val="Normal"/>
        <w:widowControl/>
        <w:rPr/>
      </w:pPr>
      <w:r>
        <w:rPr/>
        <w:t>Joint venture producing titanium-magnesium alloys for aerospace using Canadian Mg, Mexican Ti, US tech.</w:t>
      </w:r>
    </w:p>
    <w:p>
      <w:bookmarkStart w:id="2240" w:name="_NAESTMA_TOC_2240"/>
      <w:pPr>
        <w:pStyle w:val="Heading2"/>
        <w:keepNext/>
        <w:widowControl/>
        <w:rPr/>
      </w:pPr>
      <w:r>
        <w:t>BB-97. Canadian magnesium processing expansion</w:t>
      </w:r>
      <w:bookmarkEnd w:id="2240"/>
    </w:p>
    <w:p>
      <w:pPr>
        <w:pStyle w:val="Normal"/>
        <w:widowControl/>
        <w:rPr/>
      </w:pPr>
      <w:r>
        <w:rPr/>
        <w:t>Expand Canada's magnesium refining with US investment.</w:t>
      </w:r>
    </w:p>
    <w:p>
      <w:bookmarkStart w:id="2241" w:name="_NAESTMA_TOC_2241"/>
      <w:pPr>
        <w:pStyle w:val="Heading2"/>
        <w:keepNext/>
        <w:widowControl/>
        <w:rPr/>
      </w:pPr>
      <w:r>
        <w:t>BB-98. Mexican titanium dioxide to US/Canada</w:t>
      </w:r>
      <w:bookmarkEnd w:id="2241"/>
    </w:p>
    <w:p>
      <w:pPr>
        <w:pStyle w:val="Normal"/>
        <w:widowControl/>
        <w:rPr/>
      </w:pPr>
      <w:r>
        <w:rPr/>
        <w:t>Mexico exports titanium dioxide pigment to US/Canadian paint/coatings industries.</w:t>
      </w:r>
    </w:p>
    <w:p>
      <w:bookmarkStart w:id="2242" w:name="_NAESTMA_TOC_2242"/>
      <w:pPr>
        <w:pStyle w:val="Heading2"/>
        <w:keepNext/>
        <w:widowControl/>
        <w:rPr/>
      </w:pPr>
      <w:r>
        <w:t>BB-99. Tri-national light metals R&amp;D</w:t>
      </w:r>
      <w:bookmarkEnd w:id="2242"/>
    </w:p>
    <w:p>
      <w:pPr>
        <w:pStyle w:val="Normal"/>
        <w:widowControl/>
        <w:rPr/>
      </w:pPr>
      <w:r>
        <w:rPr/>
        <w:t>Joint research on magnesium and titanium alloys for automotive lightweighting.</w:t>
      </w:r>
    </w:p>
    <w:p>
      <w:bookmarkStart w:id="2243" w:name="_NAESTMA_TOC_2243"/>
      <w:pPr>
        <w:pStyle w:val="Heading2"/>
        <w:keepNext/>
        <w:widowControl/>
        <w:rPr/>
      </w:pPr>
      <w:r>
        <w:t>BB-100. North American titanium strategic reserve</w:t>
      </w:r>
      <w:bookmarkEnd w:id="2243"/>
    </w:p>
    <w:p>
      <w:pPr>
        <w:pStyle w:val="Normal"/>
        <w:widowControl/>
        <w:rPr/>
      </w:pPr>
      <w:r>
        <w:rPr/>
        <w:t>Coordinated titanium sponge stockpile for defense and aerospace.</w:t>
      </w:r>
    </w:p>
    <w:p>
      <w:bookmarkStart w:id="2244" w:name="_NAESTMA_TOC_2244"/>
      <w:pPr>
        <w:pStyle w:val="Heading2"/>
        <w:keepNext/>
        <w:widowControl/>
        <w:rPr/>
      </w:pPr>
      <w:r>
        <w:t>BB-101. Tri-national critical minerals processing fund</w:t>
      </w:r>
      <w:bookmarkEnd w:id="2244"/>
    </w:p>
    <w:p>
      <w:pPr>
        <w:pStyle w:val="Normal"/>
        <w:widowControl/>
        <w:rPr/>
      </w:pPr>
      <w:r>
        <w:rPr/>
        <w:t>$10B joint fund to build processing facilities across all three countries.</w:t>
      </w:r>
    </w:p>
    <w:p>
      <w:bookmarkStart w:id="2245" w:name="_NAESTMA_TOC_2245"/>
      <w:pPr>
        <w:pStyle w:val="Heading2"/>
        <w:keepNext/>
        <w:widowControl/>
        <w:rPr/>
      </w:pPr>
      <w:r>
        <w:t>BB-102. US-Mexico-Canada refining corridor</w:t>
      </w:r>
      <w:bookmarkEnd w:id="2245"/>
    </w:p>
    <w:p>
      <w:pPr>
        <w:pStyle w:val="Normal"/>
        <w:widowControl/>
        <w:rPr/>
      </w:pPr>
      <w:r>
        <w:rPr/>
        <w:t>Build a chain of refineries: Canada (nickel/cobalt), US (rare earths), Mexico (lithium/copper).</w:t>
      </w:r>
    </w:p>
    <w:p>
      <w:bookmarkStart w:id="2246" w:name="_NAESTMA_TOC_2246"/>
      <w:pPr>
        <w:pStyle w:val="Heading2"/>
        <w:keepNext/>
        <w:widowControl/>
        <w:rPr/>
      </w:pPr>
      <w:r>
        <w:t>BB-103. Shared metallurgical R&amp;D center</w:t>
      </w:r>
      <w:bookmarkEnd w:id="2246"/>
    </w:p>
    <w:p>
      <w:pPr>
        <w:pStyle w:val="Normal"/>
        <w:widowControl/>
        <w:rPr/>
      </w:pPr>
      <w:r>
        <w:rPr/>
        <w:t>Joint research center in Mexico developing new mineral processing technologies.</w:t>
      </w:r>
    </w:p>
    <w:p>
      <w:bookmarkStart w:id="2247" w:name="_NAESTMA_TOC_2247"/>
      <w:pPr>
        <w:pStyle w:val="Heading2"/>
        <w:keepNext/>
        <w:widowControl/>
        <w:rPr/>
      </w:pPr>
      <w:r>
        <w:t>BB-104. Canadian smelter revitalization</w:t>
      </w:r>
      <w:bookmarkEnd w:id="2247"/>
    </w:p>
    <w:p>
      <w:pPr>
        <w:pStyle w:val="Normal"/>
        <w:widowControl/>
        <w:rPr/>
      </w:pPr>
      <w:r>
        <w:rPr/>
        <w:t>US/Mexican investment to restart closed Canadian smelters.</w:t>
      </w:r>
    </w:p>
    <w:p>
      <w:bookmarkStart w:id="2248" w:name="_NAESTMA_TOC_2248"/>
      <w:pPr>
        <w:pStyle w:val="Heading2"/>
        <w:keepNext/>
        <w:widowControl/>
        <w:rPr/>
      </w:pPr>
      <w:r>
        <w:t>BB-105. Mexican processing workforce development</w:t>
      </w:r>
      <w:bookmarkEnd w:id="2248"/>
    </w:p>
    <w:p>
      <w:pPr>
        <w:pStyle w:val="Normal"/>
        <w:widowControl/>
        <w:rPr/>
      </w:pPr>
      <w:r>
        <w:rPr/>
        <w:t>Joint training programs for Mexican mineral processors.</w:t>
      </w:r>
    </w:p>
    <w:p>
      <w:bookmarkStart w:id="2249" w:name="_NAESTMA_TOC_2249"/>
      <w:pPr>
        <w:pStyle w:val="Heading2"/>
        <w:keepNext/>
        <w:widowControl/>
        <w:rPr/>
      </w:pPr>
      <w:r>
        <w:t>BB-106. Tri-national mineral processing equipment JV</w:t>
      </w:r>
      <w:bookmarkEnd w:id="2249"/>
    </w:p>
    <w:p>
      <w:pPr>
        <w:pStyle w:val="Normal"/>
        <w:widowControl/>
        <w:rPr/>
      </w:pPr>
      <w:r>
        <w:rPr/>
        <w:t>Manufacture processing equipment in Mexico for all three.</w:t>
      </w:r>
    </w:p>
    <w:p>
      <w:bookmarkStart w:id="2250" w:name="_NAESTMA_TOC_2250"/>
      <w:pPr>
        <w:pStyle w:val="Heading2"/>
        <w:keepNext/>
        <w:widowControl/>
        <w:rPr/>
      </w:pPr>
      <w:r>
        <w:t>BB-107. US-Canada-Mexico processing technology sharing</w:t>
      </w:r>
      <w:bookmarkEnd w:id="2250"/>
    </w:p>
    <w:p>
      <w:pPr>
        <w:pStyle w:val="Normal"/>
        <w:widowControl/>
        <w:rPr/>
      </w:pPr>
      <w:r>
        <w:rPr/>
        <w:t>Technology transfer agreements for advanced processing methods.</w:t>
      </w:r>
    </w:p>
    <w:p>
      <w:bookmarkStart w:id="2251" w:name="_NAESTMA_TOC_2251"/>
      <w:pPr>
        <w:pStyle w:val="Heading2"/>
        <w:keepNext/>
        <w:widowControl/>
        <w:rPr/>
      </w:pPr>
      <w:r>
        <w:t>BB-108. Coordinated permitting for processing facilities</w:t>
      </w:r>
      <w:bookmarkEnd w:id="2251"/>
    </w:p>
    <w:p>
      <w:pPr>
        <w:pStyle w:val="Normal"/>
        <w:widowControl/>
        <w:rPr/>
      </w:pPr>
      <w:r>
        <w:rPr/>
        <w:t>Streamlined cross-border permitting for mineral processing plants.</w:t>
      </w:r>
    </w:p>
    <w:p>
      <w:bookmarkStart w:id="2252" w:name="_NAESTMA_TOC_2252"/>
      <w:pPr>
        <w:pStyle w:val="Heading2"/>
        <w:keepNext/>
        <w:widowControl/>
        <w:rPr/>
      </w:pPr>
      <w:r>
        <w:t>BB-109. Tri-national circular mineral economy</w:t>
      </w:r>
      <w:bookmarkEnd w:id="2252"/>
    </w:p>
    <w:p>
      <w:pPr>
        <w:pStyle w:val="Normal"/>
        <w:widowControl/>
        <w:rPr/>
      </w:pPr>
      <w:r>
        <w:rPr/>
        <w:t>Recycling and reprocessing of mineral wastes across all three.</w:t>
      </w:r>
    </w:p>
    <w:p>
      <w:bookmarkStart w:id="2253" w:name="_NAESTMA_TOC_2253"/>
      <w:pPr>
        <w:pStyle w:val="Heading2"/>
        <w:keepNext/>
        <w:widowControl/>
        <w:rPr/>
      </w:pPr>
      <w:r>
        <w:t>BB-110. Joint tailings reprocessing initiative</w:t>
      </w:r>
      <w:bookmarkEnd w:id="2253"/>
    </w:p>
    <w:p>
      <w:pPr>
        <w:pStyle w:val="Normal"/>
        <w:widowControl/>
        <w:rPr/>
      </w:pPr>
      <w:r>
        <w:rPr/>
        <w:t>Reprocess mine tailings in all three countries for residual minerals.</w:t>
      </w:r>
    </w:p>
    <w:p>
      <w:bookmarkStart w:id="2254" w:name="_NAESTMA_TOC_2254"/>
      <w:pPr>
        <w:pStyle w:val="Heading2"/>
        <w:keepNext/>
        <w:widowControl/>
        <w:rPr/>
      </w:pPr>
      <w:r>
        <w:t>BB-111. North American mineral processing standards</w:t>
      </w:r>
      <w:bookmarkEnd w:id="2254"/>
    </w:p>
    <w:p>
      <w:pPr>
        <w:pStyle w:val="Normal"/>
        <w:widowControl/>
        <w:rPr/>
      </w:pPr>
      <w:r>
        <w:rPr/>
        <w:t>Harmonized environmental and safety standards for processing facilities.</w:t>
      </w:r>
    </w:p>
    <w:p>
      <w:bookmarkStart w:id="2255" w:name="_NAESTMA_TOC_2255"/>
      <w:pPr>
        <w:pStyle w:val="Heading2"/>
        <w:keepNext/>
        <w:widowControl/>
        <w:rPr/>
      </w:pPr>
      <w:r>
        <w:t>BB-112. Tri-national processing investment tax credits</w:t>
      </w:r>
      <w:bookmarkEnd w:id="2255"/>
    </w:p>
    <w:p>
      <w:pPr>
        <w:pStyle w:val="Normal"/>
        <w:widowControl/>
        <w:rPr/>
      </w:pPr>
      <w:r>
        <w:rPr/>
        <w:t>Coordinated tax incentives for mineral processing investment.</w:t>
      </w:r>
    </w:p>
    <w:p>
      <w:bookmarkStart w:id="2256" w:name="_NAESTMA_TOC_2256"/>
      <w:pPr>
        <w:pStyle w:val="Heading2"/>
        <w:keepNext/>
        <w:widowControl/>
        <w:rPr/>
      </w:pPr>
      <w:r>
        <w:t>BB-113. Tri-national geological survey integration</w:t>
      </w:r>
      <w:bookmarkEnd w:id="2256"/>
    </w:p>
    <w:p>
      <w:pPr>
        <w:pStyle w:val="Normal"/>
        <w:widowControl/>
        <w:rPr/>
      </w:pPr>
      <w:r>
        <w:rPr/>
        <w:t>Shared database of all three countries' mineral resources.</w:t>
      </w:r>
    </w:p>
    <w:p>
      <w:bookmarkStart w:id="2257" w:name="_NAESTMA_TOC_2257"/>
      <w:pPr>
        <w:pStyle w:val="Heading2"/>
        <w:keepNext/>
        <w:widowControl/>
        <w:rPr/>
      </w:pPr>
      <w:r>
        <w:t>BB-114. USGS-Canadian-Mexican joint exploration program</w:t>
      </w:r>
      <w:bookmarkEnd w:id="2257"/>
    </w:p>
    <w:p>
      <w:pPr>
        <w:pStyle w:val="Normal"/>
        <w:widowControl/>
        <w:rPr/>
      </w:pPr>
      <w:r>
        <w:rPr/>
        <w:t>$1B program to explore unexplored regions in all three.</w:t>
      </w:r>
    </w:p>
    <w:p>
      <w:bookmarkStart w:id="2258" w:name="_NAESTMA_TOC_2258"/>
      <w:pPr>
        <w:pStyle w:val="Heading2"/>
        <w:keepNext/>
        <w:widowControl/>
        <w:rPr/>
      </w:pPr>
      <w:r>
        <w:t>BB-115. Shared satellite mineral sensing</w:t>
      </w:r>
      <w:bookmarkEnd w:id="2258"/>
    </w:p>
    <w:p>
      <w:pPr>
        <w:pStyle w:val="Normal"/>
        <w:widowControl/>
        <w:rPr/>
      </w:pPr>
      <w:r>
        <w:rPr/>
        <w:t>Joint satellite program for mineral exploration.</w:t>
      </w:r>
    </w:p>
    <w:p>
      <w:bookmarkStart w:id="2259" w:name="_NAESTMA_TOC_2259"/>
      <w:pPr>
        <w:pStyle w:val="Heading2"/>
        <w:keepNext/>
        <w:widowControl/>
        <w:rPr/>
      </w:pPr>
      <w:r>
        <w:t>BB-116. Tri-national critical minerals mapping</w:t>
      </w:r>
      <w:bookmarkEnd w:id="2259"/>
    </w:p>
    <w:p>
      <w:pPr>
        <w:pStyle w:val="Normal"/>
        <w:widowControl/>
        <w:rPr/>
      </w:pPr>
      <w:r>
        <w:rPr/>
        <w:t>Complete mapping of all critical mineral resources in North America.</w:t>
      </w:r>
    </w:p>
    <w:p>
      <w:bookmarkStart w:id="2260" w:name="_NAESTMA_TOC_2260"/>
      <w:pPr>
        <w:pStyle w:val="Heading2"/>
        <w:keepNext/>
        <w:widowControl/>
        <w:rPr/>
      </w:pPr>
      <w:r>
        <w:t>BB-117. Canadian exploration tech to Mexico</w:t>
      </w:r>
      <w:bookmarkEnd w:id="2260"/>
    </w:p>
    <w:p>
      <w:pPr>
        <w:pStyle w:val="Normal"/>
        <w:widowControl/>
        <w:rPr/>
      </w:pPr>
      <w:r>
        <w:rPr/>
        <w:t>Canada's airborne geophysics technology deployed in Mexico.</w:t>
      </w:r>
    </w:p>
    <w:p>
      <w:bookmarkStart w:id="2261" w:name="_NAESTMA_TOC_2261"/>
      <w:pPr>
        <w:pStyle w:val="Heading2"/>
        <w:keepNext/>
        <w:widowControl/>
        <w:rPr/>
      </w:pPr>
      <w:r>
        <w:rPr/>
        <w:t>BB-118. Mineral Investment Certainty Within Existing North American Architecture</w:t>
      </w:r>
      <w:bookmarkEnd w:id="2261"/>
    </w:p>
    <w:p>
      <w:pPr>
        <w:pStyle w:val="Normal"/>
        <w:widowControl/>
        <w:rPr/>
      </w:pPr>
      <w:r>
        <w:rPr/>
        <w:t>Provide predictable, transparent mineral-investment treatment through NAESTMA and domestic law rather than creating a separate U.S.-Mexico bilateral investment treaty.</w:t>
      </w:r>
    </w:p>
    <w:p>
      <w:bookmarkStart w:id="2262" w:name="_NAESTMA_TOC_2262"/>
      <w:pPr>
        <w:pStyle w:val="Heading2"/>
        <w:keepNext/>
        <w:widowControl/>
        <w:rPr/>
      </w:pPr>
      <w:r>
        <w:t>BB-119. Tri-national mining innovation network</w:t>
      </w:r>
      <w:bookmarkEnd w:id="2262"/>
    </w:p>
    <w:p>
      <w:pPr>
        <w:pStyle w:val="Normal"/>
        <w:widowControl/>
        <w:rPr/>
      </w:pPr>
      <w:r>
        <w:rPr/>
        <w:t>Research network connecting universities and mining companies.</w:t>
      </w:r>
    </w:p>
    <w:p>
      <w:bookmarkStart w:id="2263" w:name="_NAESTMA_TOC_2263"/>
      <w:pPr>
        <w:pStyle w:val="Heading2"/>
        <w:keepNext/>
        <w:widowControl/>
        <w:rPr/>
      </w:pPr>
      <w:r>
        <w:t>BB-120. North American mineral resource estimate</w:t>
      </w:r>
      <w:bookmarkEnd w:id="2263"/>
    </w:p>
    <w:p>
      <w:pPr>
        <w:pStyle w:val="Normal"/>
        <w:widowControl/>
        <w:rPr/>
      </w:pPr>
      <w:r>
        <w:rPr/>
        <w:t>Joint comprehensive estimate of all mineral resources in the region.</w:t>
      </w:r>
    </w:p>
    <w:p>
      <w:bookmarkStart w:id="2264" w:name="_NAESTMA_TOC_2264"/>
      <w:pPr>
        <w:pStyle w:val="Heading1"/>
        <w:keepNext/>
        <w:pageBreakBefore/>
        <w:widowControl/>
        <w:rPr/>
      </w:pPr>
      <w:r>
        <w:rPr/>
        <w:t>PACKAGE BC — PROCESSING AND REFINING INDUSTRIALIZATION CATALOGUE (101 MECHANISMS)</w:t>
      </w:r>
      <w:bookmarkEnd w:id="2264"/>
    </w:p>
    <w:p>
      <w:pPr>
        <w:pStyle w:val="Normal"/>
        <w:widowControl/>
        <w:rPr/>
      </w:pPr>
      <w:r>
        <w:rPr/>
        <w:t>Status. These mechanisms expand North American smelting, separation, refining, processing technology, infrastructure, workforce and circular capacity. Named firms or proprietary technologies from source material are treated as non-exclusive examples and are not endorsed by the Agreement.</w:t>
      </w:r>
    </w:p>
    <w:p>
      <w:bookmarkStart w:id="2265" w:name="_NAESTMA_TOC_2265"/>
      <w:pPr>
        <w:pStyle w:val="Heading2"/>
        <w:keepNext/>
        <w:widowControl/>
        <w:rPr/>
      </w:pPr>
      <w:r>
        <w:rPr/>
        <w:t>BC-1. Tri-National Critical Minerals Sovereign Fund</w:t>
      </w:r>
      <w:bookmarkEnd w:id="2265"/>
    </w:p>
    <w:p>
      <w:pPr>
        <w:pStyle w:val="Normal"/>
        <w:widowControl/>
        <w:rPr/>
      </w:pPr>
      <w:r>
        <w:rPr/>
        <w:t>Modeled after Canada's $2-billion fund, create a joint $10B fund for cross-border refinery projects with equity, loans, and offtake agreements.</w:t>
      </w:r>
    </w:p>
    <w:p>
      <w:bookmarkStart w:id="2266" w:name="_NAESTMA_TOC_2266"/>
      <w:pPr>
        <w:pStyle w:val="Heading2"/>
        <w:keepNext/>
        <w:widowControl/>
        <w:rPr/>
      </w:pPr>
      <w:r>
        <w:rPr/>
        <w:t>BC-2. USMCA Critical Minerals Investment Corridor</w:t>
      </w:r>
      <w:bookmarkEnd w:id="2266"/>
    </w:p>
    <w:p>
      <w:pPr>
        <w:pStyle w:val="Normal"/>
        <w:widowControl/>
        <w:rPr/>
      </w:pPr>
      <w:r>
        <w:rPr/>
        <w:t>Use the USMCA joint review to designate specific processing zones with preferential financing.</w:t>
      </w:r>
    </w:p>
    <w:p>
      <w:bookmarkStart w:id="2267" w:name="_NAESTMA_TOC_2267"/>
      <w:pPr>
        <w:pStyle w:val="Heading2"/>
        <w:keepNext/>
        <w:widowControl/>
        <w:rPr/>
      </w:pPr>
      <w:r>
        <w:rPr/>
        <w:t>BC-3. North American Smelter Revitalization Fund</w:t>
      </w:r>
      <w:bookmarkEnd w:id="2267"/>
    </w:p>
    <w:p>
      <w:pPr>
        <w:pStyle w:val="Normal"/>
        <w:widowControl/>
        <w:rPr/>
      </w:pPr>
      <w:r>
        <w:rPr/>
        <w:t>Jointly invest to restart closed smelters in Canada and the U.S..</w:t>
      </w:r>
    </w:p>
    <w:p>
      <w:bookmarkStart w:id="2268" w:name="_NAESTMA_TOC_2268"/>
      <w:pPr>
        <w:pStyle w:val="Heading2"/>
        <w:keepNext/>
        <w:widowControl/>
        <w:rPr/>
      </w:pPr>
      <w:r>
        <w:rPr/>
        <w:t>BC-4. Tri-Lateral Loan Guarantee Program</w:t>
      </w:r>
      <w:bookmarkEnd w:id="2268"/>
    </w:p>
    <w:p>
      <w:pPr>
        <w:pStyle w:val="Normal"/>
        <w:widowControl/>
        <w:rPr/>
      </w:pPr>
      <w:r>
        <w:rPr/>
        <w:t>Each country guarantees loans for refineries processing ores from the other two.</w:t>
      </w:r>
    </w:p>
    <w:p>
      <w:bookmarkStart w:id="2269" w:name="_NAESTMA_TOC_2269"/>
      <w:pPr>
        <w:pStyle w:val="Heading2"/>
        <w:keepNext/>
        <w:widowControl/>
        <w:rPr/>
      </w:pPr>
      <w:r>
        <w:rPr/>
        <w:t>BC-5. Joint Strategic Stockpile Financing</w:t>
      </w:r>
      <w:bookmarkEnd w:id="2269"/>
    </w:p>
    <w:p>
      <w:pPr>
        <w:pStyle w:val="Normal"/>
        <w:widowControl/>
        <w:rPr/>
      </w:pPr>
      <w:r>
        <w:rPr/>
        <w:t>Pool resources to finance a North American critical minerals stockpile.</w:t>
      </w:r>
    </w:p>
    <w:p>
      <w:bookmarkStart w:id="2270" w:name="_NAESTMA_TOC_2270"/>
      <w:pPr>
        <w:pStyle w:val="Heading2"/>
        <w:keepNext/>
        <w:widowControl/>
        <w:rPr/>
      </w:pPr>
      <w:r>
        <w:rPr/>
        <w:t>BC-6. Cross-Border Infrastructure Bonds</w:t>
      </w:r>
      <w:bookmarkEnd w:id="2270"/>
    </w:p>
    <w:p>
      <w:pPr>
        <w:pStyle w:val="Normal"/>
        <w:widowControl/>
        <w:rPr/>
      </w:pPr>
      <w:r>
        <w:rPr/>
        <w:t>Issue trilateral bonds to fund processing plant infrastructure.</w:t>
      </w:r>
    </w:p>
    <w:p>
      <w:bookmarkStart w:id="2271" w:name="_NAESTMA_TOC_2271"/>
      <w:pPr>
        <w:pStyle w:val="Heading2"/>
        <w:keepNext/>
        <w:widowControl/>
        <w:rPr/>
      </w:pPr>
      <w:r>
        <w:rPr/>
        <w:t>BC-7. Trilateral Mineral Investment Certainty</w:t>
      </w:r>
      <w:bookmarkEnd w:id="2271"/>
    </w:p>
    <w:p>
      <w:pPr>
        <w:pStyle w:val="Normal"/>
        <w:widowControl/>
        <w:rPr/>
      </w:pPr>
      <w:r>
        <w:rPr/>
        <w:t>Protect qualifying processing investment through NAESTMA and domestic law rather than a new U.S.-Mexico bilateral treaty.</w:t>
      </w:r>
    </w:p>
    <w:p>
      <w:bookmarkStart w:id="2272" w:name="_NAESTMA_TOC_2272"/>
      <w:pPr>
        <w:pStyle w:val="Heading2"/>
        <w:keepNext/>
        <w:widowControl/>
        <w:rPr/>
      </w:pPr>
      <w:r>
        <w:rPr/>
        <w:t>BC-8. Canadian Pension Fund Investment in US/Mexico Refineries</w:t>
      </w:r>
      <w:bookmarkEnd w:id="2272"/>
    </w:p>
    <w:p>
      <w:pPr>
        <w:pStyle w:val="Normal"/>
        <w:widowControl/>
        <w:rPr/>
      </w:pPr>
      <w:r>
        <w:rPr/>
        <w:t>Encourage large Canadian pension funds to invest in U.S. and Mexican processing.</w:t>
      </w:r>
    </w:p>
    <w:p>
      <w:bookmarkStart w:id="2273" w:name="_NAESTMA_TOC_2273"/>
      <w:pPr>
        <w:pStyle w:val="Heading2"/>
        <w:keepNext/>
        <w:widowControl/>
        <w:rPr/>
      </w:pPr>
      <w:r>
        <w:rPr/>
        <w:t>BC-9. US Defense Production Act Investments in Canada/Mexico</w:t>
      </w:r>
      <w:bookmarkEnd w:id="2273"/>
    </w:p>
    <w:p>
      <w:pPr>
        <w:pStyle w:val="Normal"/>
        <w:widowControl/>
        <w:rPr/>
      </w:pPr>
      <w:r>
        <w:rPr/>
        <w:t>Extend DPA funding to allied North American processing facilities.</w:t>
      </w:r>
    </w:p>
    <w:p>
      <w:bookmarkStart w:id="2274" w:name="_NAESTMA_TOC_2274"/>
      <w:pPr>
        <w:pStyle w:val="Heading2"/>
        <w:keepNext/>
        <w:widowControl/>
        <w:rPr/>
      </w:pPr>
      <w:r>
        <w:rPr/>
        <w:t>BC-10. Mexican Sovereign Wealth Fund for Processing</w:t>
      </w:r>
      <w:bookmarkEnd w:id="2274"/>
    </w:p>
    <w:p>
      <w:pPr>
        <w:pStyle w:val="Normal"/>
        <w:widowControl/>
        <w:rPr/>
      </w:pPr>
      <w:r>
        <w:rPr/>
        <w:t>Create a Mexican fund mirroring Canada's model.</w:t>
      </w:r>
    </w:p>
    <w:p>
      <w:bookmarkStart w:id="2275" w:name="_NAESTMA_TOC_2275"/>
      <w:pPr>
        <w:pStyle w:val="Heading2"/>
        <w:keepNext/>
        <w:widowControl/>
        <w:rPr/>
      </w:pPr>
      <w:r>
        <w:rPr/>
        <w:t>BC-11. Tri-National Equity Co-Investment Platform</w:t>
      </w:r>
      <w:bookmarkEnd w:id="2275"/>
    </w:p>
    <w:p>
      <w:pPr>
        <w:pStyle w:val="Normal"/>
        <w:widowControl/>
        <w:rPr/>
      </w:pPr>
      <w:r>
        <w:rPr/>
        <w:t>Each government takes minority equity stakes in strategic refineries.</w:t>
      </w:r>
    </w:p>
    <w:p>
      <w:bookmarkStart w:id="2276" w:name="_NAESTMA_TOC_2276"/>
      <w:pPr>
        <w:pStyle w:val="Heading2"/>
        <w:keepNext/>
        <w:widowControl/>
        <w:rPr/>
      </w:pPr>
      <w:r>
        <w:rPr/>
        <w:t>BC-12. USMCA Processing Incentive Tax Credits</w:t>
      </w:r>
      <w:bookmarkEnd w:id="2276"/>
    </w:p>
    <w:p>
      <w:pPr>
        <w:pStyle w:val="Normal"/>
        <w:widowControl/>
        <w:rPr/>
      </w:pPr>
      <w:r>
        <w:rPr/>
        <w:t>Harmonized tax credits for processing investment across all three.</w:t>
      </w:r>
    </w:p>
    <w:p>
      <w:bookmarkStart w:id="2277" w:name="_NAESTMA_TOC_2277"/>
      <w:pPr>
        <w:pStyle w:val="Heading2"/>
        <w:keepNext/>
        <w:widowControl/>
        <w:rPr/>
      </w:pPr>
      <w:r>
        <w:rPr/>
        <w:t>BC-13. Joint Project Preparation Facility</w:t>
      </w:r>
      <w:bookmarkEnd w:id="2277"/>
    </w:p>
    <w:p>
      <w:pPr>
        <w:pStyle w:val="Normal"/>
        <w:widowControl/>
        <w:rPr/>
      </w:pPr>
      <w:r>
        <w:rPr/>
        <w:t>Fund feasibility studies and early-stage development for shovel-ready projects.</w:t>
      </w:r>
    </w:p>
    <w:p>
      <w:bookmarkStart w:id="2278" w:name="_NAESTMA_TOC_2278"/>
      <w:pPr>
        <w:pStyle w:val="Heading2"/>
        <w:keepNext/>
        <w:widowControl/>
        <w:rPr/>
      </w:pPr>
      <w:r>
        <w:rPr/>
        <w:t>BC-14. Critical Minerals Finance Window</w:t>
      </w:r>
      <w:bookmarkEnd w:id="2278"/>
    </w:p>
    <w:p>
      <w:pPr>
        <w:pStyle w:val="Normal"/>
        <w:widowControl/>
        <w:rPr/>
      </w:pPr>
      <w:r>
        <w:rPr/>
        <w:t>Link existing development-finance, export-credit, infrastructure and strategic-investment institutions instead of creating a new North American minerals bank.</w:t>
      </w:r>
    </w:p>
    <w:p>
      <w:bookmarkStart w:id="2279" w:name="_NAESTMA_TOC_2279"/>
      <w:pPr>
        <w:pStyle w:val="Heading2"/>
        <w:keepNext/>
        <w:widowControl/>
        <w:rPr/>
      </w:pPr>
      <w:r>
        <w:rPr/>
        <w:t>BC-15. Tri-National Offtake Aggregation</w:t>
      </w:r>
      <w:bookmarkEnd w:id="2279"/>
    </w:p>
    <w:p>
      <w:pPr>
        <w:pStyle w:val="Normal"/>
        <w:widowControl/>
        <w:rPr/>
      </w:pPr>
      <w:r>
        <w:rPr/>
        <w:t>Pool government offtake agreements to de-risk private investment.</w:t>
      </w:r>
    </w:p>
    <w:p>
      <w:bookmarkStart w:id="2280" w:name="_NAESTMA_TOC_2280"/>
      <w:pPr>
        <w:pStyle w:val="Heading2"/>
        <w:keepNext/>
        <w:widowControl/>
        <w:rPr/>
      </w:pPr>
      <w:r>
        <w:rPr/>
        <w:t>BC-16. Harmonized Environmental Permitting</w:t>
      </w:r>
      <w:bookmarkEnd w:id="2280"/>
    </w:p>
    <w:p>
      <w:pPr>
        <w:pStyle w:val="Normal"/>
        <w:widowControl/>
        <w:rPr/>
      </w:pPr>
      <w:r>
        <w:rPr/>
        <w:t>Streamline cross-border environmental reviews for processing facilities.</w:t>
      </w:r>
    </w:p>
    <w:p>
      <w:bookmarkStart w:id="2281" w:name="_NAESTMA_TOC_2281"/>
      <w:pPr>
        <w:pStyle w:val="Heading2"/>
        <w:keepNext/>
        <w:widowControl/>
        <w:rPr/>
      </w:pPr>
      <w:r>
        <w:rPr/>
        <w:t>BC-17. Shared Critical Minerals List</w:t>
      </w:r>
      <w:bookmarkEnd w:id="2281"/>
    </w:p>
    <w:p>
      <w:pPr>
        <w:pStyle w:val="Normal"/>
        <w:widowControl/>
        <w:rPr/>
      </w:pPr>
      <w:r>
        <w:rPr/>
        <w:t>Define a common list of strategic minerals across all three nations.</w:t>
      </w:r>
    </w:p>
    <w:p>
      <w:bookmarkStart w:id="2282" w:name="_NAESTMA_TOC_2282"/>
      <w:pPr>
        <w:pStyle w:val="Heading2"/>
        <w:keepNext/>
        <w:widowControl/>
        <w:rPr/>
      </w:pPr>
      <w:r>
        <w:rPr/>
        <w:t>BC-18. USMCA Cumulation for Processing</w:t>
      </w:r>
      <w:bookmarkEnd w:id="2282"/>
    </w:p>
    <w:p>
      <w:pPr>
        <w:pStyle w:val="Normal"/>
        <w:widowControl/>
        <w:rPr/>
      </w:pPr>
      <w:r>
        <w:rPr/>
        <w:t>Treat North America as one integrated production platform for rules of origin.</w:t>
      </w:r>
    </w:p>
    <w:p>
      <w:bookmarkStart w:id="2283" w:name="_NAESTMA_TOC_2283"/>
      <w:pPr>
        <w:pStyle w:val="Heading2"/>
        <w:keepNext/>
        <w:widowControl/>
        <w:rPr/>
      </w:pPr>
      <w:r>
        <w:rPr/>
        <w:t>BC-19. Coordinated External Tariffs</w:t>
      </w:r>
      <w:bookmarkEnd w:id="2283"/>
    </w:p>
    <w:p>
      <w:pPr>
        <w:pStyle w:val="Normal"/>
        <w:widowControl/>
        <w:rPr/>
      </w:pPr>
      <w:r>
        <w:rPr/>
        <w:t>Joint tariffs on non-market (Chinese) processed mineral imports.</w:t>
      </w:r>
    </w:p>
    <w:p>
      <w:bookmarkStart w:id="2284" w:name="_NAESTMA_TOC_2284"/>
      <w:pPr>
        <w:pStyle w:val="Heading2"/>
        <w:keepNext/>
        <w:widowControl/>
        <w:rPr/>
      </w:pPr>
      <w:r>
        <w:rPr/>
        <w:t>BC-20. Border-Adjusted Price Floors</w:t>
      </w:r>
      <w:bookmarkEnd w:id="2284"/>
    </w:p>
    <w:p>
      <w:pPr>
        <w:pStyle w:val="Normal"/>
        <w:widowControl/>
        <w:rPr/>
      </w:pPr>
      <w:r>
        <w:rPr/>
        <w:t>Explore price floors for imported processed minerals.</w:t>
      </w:r>
    </w:p>
    <w:p>
      <w:bookmarkStart w:id="2285" w:name="_NAESTMA_TOC_2285"/>
      <w:pPr>
        <w:pStyle w:val="Heading2"/>
        <w:keepNext/>
        <w:widowControl/>
        <w:rPr/>
      </w:pPr>
      <w:r>
        <w:rPr/>
        <w:t>BC-21. Harmonized Processing Standards</w:t>
      </w:r>
      <w:bookmarkEnd w:id="2285"/>
    </w:p>
    <w:p>
      <w:pPr>
        <w:pStyle w:val="Normal"/>
        <w:widowControl/>
        <w:rPr/>
      </w:pPr>
      <w:r>
        <w:rPr/>
        <w:t>Common environmental, safety, and quality standards for refineries.</w:t>
      </w:r>
    </w:p>
    <w:p>
      <w:bookmarkStart w:id="2286" w:name="_NAESTMA_TOC_2286"/>
      <w:pPr>
        <w:pStyle w:val="Heading2"/>
        <w:keepNext/>
        <w:widowControl/>
        <w:rPr/>
      </w:pPr>
      <w:r>
        <w:rPr/>
        <w:t>BC-22. Streamlined Cross-Border Waste Shipment Rules</w:t>
      </w:r>
      <w:bookmarkEnd w:id="2286"/>
    </w:p>
    <w:p>
      <w:pPr>
        <w:pStyle w:val="Normal"/>
        <w:widowControl/>
        <w:rPr/>
      </w:pPr>
      <w:r>
        <w:rPr/>
        <w:t>Facilitate movement of mining waste for reprocessing.</w:t>
      </w:r>
    </w:p>
    <w:p>
      <w:bookmarkStart w:id="2287" w:name="_NAESTMA_TOC_2287"/>
      <w:pPr>
        <w:pStyle w:val="Heading2"/>
        <w:keepNext/>
        <w:widowControl/>
        <w:rPr/>
      </w:pPr>
      <w:r>
        <w:rPr/>
        <w:t>BC-23. Unified Exploration Permitting</w:t>
      </w:r>
      <w:bookmarkEnd w:id="2287"/>
    </w:p>
    <w:p>
      <w:pPr>
        <w:pStyle w:val="Normal"/>
        <w:widowControl/>
        <w:rPr/>
      </w:pPr>
      <w:r>
        <w:rPr/>
        <w:t>Accelerate exploration permitting across all three.</w:t>
      </w:r>
    </w:p>
    <w:p>
      <w:bookmarkStart w:id="2288" w:name="_NAESTMA_TOC_2288"/>
      <w:pPr>
        <w:pStyle w:val="Heading2"/>
        <w:keepNext/>
        <w:widowControl/>
        <w:rPr/>
      </w:pPr>
      <w:r>
        <w:rPr/>
        <w:t>BC-24. USMCA Critical Minerals Chapter</w:t>
      </w:r>
      <w:bookmarkEnd w:id="2288"/>
    </w:p>
    <w:p>
      <w:pPr>
        <w:pStyle w:val="Normal"/>
        <w:widowControl/>
        <w:rPr/>
      </w:pPr>
      <w:r>
        <w:rPr/>
        <w:t>A dedicated chapter in USMCA for mineral processing cooperation.</w:t>
      </w:r>
    </w:p>
    <w:p>
      <w:bookmarkStart w:id="2289" w:name="_NAESTMA_TOC_2289"/>
      <w:pPr>
        <w:pStyle w:val="Heading2"/>
        <w:keepNext/>
        <w:widowControl/>
        <w:rPr/>
      </w:pPr>
      <w:r>
        <w:rPr/>
        <w:t>BC-25. Harmonized Tax Treatment</w:t>
      </w:r>
      <w:bookmarkEnd w:id="2289"/>
    </w:p>
    <w:p>
      <w:pPr>
        <w:pStyle w:val="Normal"/>
        <w:widowControl/>
        <w:rPr/>
      </w:pPr>
      <w:r>
        <w:rPr/>
        <w:t>Align tax incentives for processing equipment across borders.</w:t>
      </w:r>
    </w:p>
    <w:p>
      <w:bookmarkStart w:id="2290" w:name="_NAESTMA_TOC_2290"/>
      <w:pPr>
        <w:pStyle w:val="Heading2"/>
        <w:keepNext/>
        <w:widowControl/>
        <w:rPr/>
      </w:pPr>
      <w:r>
        <w:rPr/>
        <w:t>BC-26. Joint Investment Screening</w:t>
      </w:r>
      <w:bookmarkEnd w:id="2290"/>
    </w:p>
    <w:p>
      <w:pPr>
        <w:pStyle w:val="Normal"/>
        <w:widowControl/>
        <w:rPr/>
      </w:pPr>
      <w:r>
        <w:rPr/>
        <w:t>Coordinated framework for foreign investment in processing.</w:t>
      </w:r>
    </w:p>
    <w:p>
      <w:bookmarkStart w:id="2291" w:name="_NAESTMA_TOC_2291"/>
      <w:pPr>
        <w:pStyle w:val="Heading2"/>
        <w:keepNext/>
        <w:widowControl/>
        <w:rPr/>
      </w:pPr>
      <w:r>
        <w:rPr/>
        <w:t>BC-27. Shared Indigenous Consultation Protocol</w:t>
      </w:r>
      <w:bookmarkEnd w:id="2291"/>
    </w:p>
    <w:p>
      <w:pPr>
        <w:pStyle w:val="Normal"/>
        <w:widowControl/>
        <w:rPr/>
      </w:pPr>
      <w:r>
        <w:rPr/>
        <w:t>Harmonized approach to Indigenous engagement on processing projects.</w:t>
      </w:r>
    </w:p>
    <w:p>
      <w:bookmarkStart w:id="2292" w:name="_NAESTMA_TOC_2292"/>
      <w:pPr>
        <w:pStyle w:val="Heading2"/>
        <w:keepNext/>
        <w:widowControl/>
        <w:rPr/>
      </w:pPr>
      <w:r>
        <w:rPr/>
        <w:t>BC-28. Mutual Recognition of Technical Certifications</w:t>
      </w:r>
      <w:bookmarkEnd w:id="2292"/>
    </w:p>
    <w:p>
      <w:pPr>
        <w:pStyle w:val="Normal"/>
        <w:widowControl/>
        <w:rPr/>
      </w:pPr>
      <w:r>
        <w:rPr/>
        <w:t>Accept each other's engineering and operational certifications.</w:t>
      </w:r>
    </w:p>
    <w:p>
      <w:bookmarkStart w:id="2293" w:name="_NAESTMA_TOC_2293"/>
      <w:pPr>
        <w:pStyle w:val="Heading2"/>
        <w:keepNext/>
        <w:widowControl/>
        <w:rPr/>
      </w:pPr>
      <w:r>
        <w:rPr/>
        <w:t>BC-29. Coordinated Water Rights for Processing</w:t>
      </w:r>
      <w:bookmarkEnd w:id="2293"/>
    </w:p>
    <w:p>
      <w:pPr>
        <w:pStyle w:val="Normal"/>
        <w:widowControl/>
        <w:rPr/>
      </w:pPr>
      <w:r>
        <w:rPr/>
        <w:t>Joint approach to water allocation for refineries in shared watersheds.</w:t>
      </w:r>
    </w:p>
    <w:p>
      <w:bookmarkStart w:id="2294" w:name="_NAESTMA_TOC_2294"/>
      <w:pPr>
        <w:pStyle w:val="Heading2"/>
        <w:keepNext/>
        <w:widowControl/>
        <w:rPr/>
      </w:pPr>
      <w:r>
        <w:rPr/>
        <w:t>BC-30. USMCA Dispute Resolution for Minerals</w:t>
      </w:r>
      <w:bookmarkEnd w:id="2294"/>
    </w:p>
    <w:p>
      <w:pPr>
        <w:pStyle w:val="Normal"/>
        <w:widowControl/>
        <w:rPr/>
      </w:pPr>
      <w:r>
        <w:rPr/>
        <w:t>Fast-track dispute mechanism for mineral trade issues.</w:t>
      </w:r>
    </w:p>
    <w:p>
      <w:bookmarkStart w:id="2295" w:name="_NAESTMA_TOC_2295"/>
      <w:pPr>
        <w:pStyle w:val="Heading2"/>
        <w:keepNext/>
        <w:widowControl/>
        <w:rPr/>
      </w:pPr>
      <w:r>
        <w:rPr/>
        <w:t>BC-31. Tri-National Processing R&amp;D Consortium</w:t>
      </w:r>
      <w:bookmarkEnd w:id="2295"/>
    </w:p>
    <w:p>
      <w:pPr>
        <w:pStyle w:val="Normal"/>
        <w:widowControl/>
        <w:rPr/>
      </w:pPr>
      <w:r>
        <w:rPr/>
        <w:t>Joint industry-university research on advanced processing.</w:t>
      </w:r>
    </w:p>
    <w:p>
      <w:bookmarkStart w:id="2296" w:name="_NAESTMA_TOC_2296"/>
      <w:pPr>
        <w:pStyle w:val="Heading2"/>
        <w:keepNext/>
        <w:widowControl/>
        <w:rPr/>
      </w:pPr>
      <w:r>
        <w:rPr/>
        <w:t>BC-32. Shared Intellectual Property Pool</w:t>
      </w:r>
      <w:bookmarkEnd w:id="2296"/>
    </w:p>
    <w:p>
      <w:pPr>
        <w:pStyle w:val="Normal"/>
        <w:widowControl/>
        <w:rPr/>
      </w:pPr>
      <w:r>
        <w:rPr/>
        <w:t>Pool patents on processing technologies for licensed use across all three.</w:t>
      </w:r>
    </w:p>
    <w:p>
      <w:bookmarkStart w:id="2297" w:name="_NAESTMA_TOC_2297"/>
      <w:pPr>
        <w:pStyle w:val="Heading2"/>
        <w:keepNext/>
        <w:widowControl/>
        <w:rPr/>
      </w:pPr>
      <w:r>
        <w:rPr/>
        <w:t>BC-33. Joint Direct Lithium Extraction (DLE) Deployment</w:t>
      </w:r>
      <w:bookmarkEnd w:id="2297"/>
    </w:p>
    <w:p>
      <w:pPr>
        <w:pStyle w:val="Normal"/>
        <w:widowControl/>
        <w:rPr/>
      </w:pPr>
      <w:r>
        <w:rPr/>
        <w:t>Deploy Canadian DLE technology in Mexico.</w:t>
      </w:r>
    </w:p>
    <w:p>
      <w:bookmarkStart w:id="2298" w:name="_NAESTMA_TOC_2298"/>
      <w:pPr>
        <w:pStyle w:val="Heading2"/>
        <w:keepNext/>
        <w:widowControl/>
        <w:rPr/>
      </w:pPr>
      <w:r>
        <w:rPr/>
        <w:t>BC-34. US-Mexico REE Separation Technology Transfer</w:t>
      </w:r>
      <w:bookmarkEnd w:id="2298"/>
    </w:p>
    <w:p>
      <w:pPr>
        <w:pStyle w:val="Normal"/>
        <w:widowControl/>
        <w:rPr/>
      </w:pPr>
      <w:r>
        <w:rPr/>
        <w:t>Transfer U.S. rare earth separation tech to Mexican facilities.</w:t>
      </w:r>
    </w:p>
    <w:p>
      <w:bookmarkStart w:id="2299" w:name="_NAESTMA_TOC_2299"/>
      <w:pPr>
        <w:pStyle w:val="Heading2"/>
        <w:keepNext/>
        <w:widowControl/>
        <w:rPr/>
      </w:pPr>
      <w:r>
        <w:rPr/>
        <w:t>BC-35. Canadian Graphite Processing in Mexico</w:t>
      </w:r>
      <w:bookmarkEnd w:id="2299"/>
    </w:p>
    <w:p>
      <w:pPr>
        <w:pStyle w:val="Normal"/>
        <w:widowControl/>
        <w:rPr/>
      </w:pPr>
      <w:r>
        <w:rPr/>
        <w:t>Deploy Canadian low-emission graphite technology in Mexico.</w:t>
      </w:r>
    </w:p>
    <w:p>
      <w:bookmarkStart w:id="2300" w:name="_NAESTMA_TOC_2300"/>
      <w:pPr>
        <w:pStyle w:val="Heading2"/>
        <w:keepNext/>
        <w:widowControl/>
        <w:rPr/>
      </w:pPr>
      <w:r>
        <w:rPr/>
        <w:t>BC-36. Tri-National Quantum Sensing for Processing</w:t>
      </w:r>
      <w:bookmarkEnd w:id="2300"/>
    </w:p>
    <w:p>
      <w:pPr>
        <w:pStyle w:val="Normal"/>
        <w:widowControl/>
        <w:rPr/>
      </w:pPr>
      <w:r>
        <w:rPr/>
        <w:t>Use Canadian quantum tech to optimize ore sorting.</w:t>
      </w:r>
    </w:p>
    <w:p>
      <w:bookmarkStart w:id="2301" w:name="_NAESTMA_TOC_2301"/>
      <w:pPr>
        <w:pStyle w:val="Heading2"/>
        <w:keepNext/>
        <w:widowControl/>
        <w:rPr/>
      </w:pPr>
      <w:r>
        <w:rPr/>
        <w:t>BC-37. US Bio-Processing Technology in Canada/Mexico</w:t>
      </w:r>
      <w:bookmarkEnd w:id="2301"/>
    </w:p>
    <w:p>
      <w:pPr>
        <w:pStyle w:val="Normal"/>
        <w:widowControl/>
        <w:rPr/>
      </w:pPr>
      <w:r>
        <w:rPr/>
        <w:t>Deploy bio-based REE extraction technology.</w:t>
      </w:r>
    </w:p>
    <w:p>
      <w:bookmarkStart w:id="2302" w:name="_NAESTMA_TOC_2302"/>
      <w:pPr>
        <w:pStyle w:val="Heading2"/>
        <w:keepNext/>
        <w:widowControl/>
        <w:rPr/>
      </w:pPr>
      <w:r>
        <w:rPr/>
        <w:t>BC-38. Mexican Alkaline Leaching Technology Export</w:t>
      </w:r>
      <w:bookmarkEnd w:id="2302"/>
    </w:p>
    <w:p>
      <w:pPr>
        <w:pStyle w:val="Normal"/>
        <w:widowControl/>
        <w:rPr/>
      </w:pPr>
      <w:r>
        <w:rPr/>
        <w:t>Export Mexican arsenic/antimony removal tech to US/Canada.</w:t>
      </w:r>
    </w:p>
    <w:p>
      <w:bookmarkStart w:id="2303" w:name="_NAESTMA_TOC_2303"/>
      <w:pPr>
        <w:pStyle w:val="Heading2"/>
        <w:keepNext/>
        <w:widowControl/>
        <w:rPr/>
      </w:pPr>
      <w:r>
        <w:rPr/>
        <w:t>BC-39. Joint High-Pressure Slurry Ablation (HPSA) Deployment</w:t>
      </w:r>
      <w:bookmarkEnd w:id="2303"/>
    </w:p>
    <w:p>
      <w:pPr>
        <w:pStyle w:val="Normal"/>
        <w:widowControl/>
        <w:rPr/>
      </w:pPr>
      <w:r>
        <w:rPr/>
        <w:t>Deploy U.S. HPSA tech for mine waste processing across all three.</w:t>
      </w:r>
    </w:p>
    <w:p>
      <w:bookmarkStart w:id="2304" w:name="_NAESTMA_TOC_2304"/>
      <w:pPr>
        <w:pStyle w:val="Heading2"/>
        <w:keepNext/>
        <w:widowControl/>
        <w:rPr/>
      </w:pPr>
      <w:r>
        <w:rPr/>
        <w:t>BC-40. Shared Centrifugal Gravity Separator Tech</w:t>
      </w:r>
      <w:bookmarkEnd w:id="2304"/>
    </w:p>
    <w:p>
      <w:pPr>
        <w:pStyle w:val="Normal"/>
        <w:widowControl/>
        <w:rPr/>
      </w:pPr>
      <w:r>
        <w:rPr/>
        <w:t>Deploy new U.S. gravity separator technology.</w:t>
      </w:r>
    </w:p>
    <w:p>
      <w:bookmarkStart w:id="2305" w:name="_NAESTMA_TOC_2305"/>
      <w:pPr>
        <w:pStyle w:val="Heading2"/>
        <w:keepNext/>
        <w:widowControl/>
        <w:rPr/>
      </w:pPr>
      <w:r>
        <w:rPr/>
        <w:t>BC-41. Canadian Ion Exchange Platform for Critical Metals</w:t>
      </w:r>
      <w:bookmarkEnd w:id="2305"/>
    </w:p>
    <w:p>
      <w:pPr>
        <w:pStyle w:val="Normal"/>
        <w:widowControl/>
        <w:rPr/>
      </w:pPr>
      <w:r>
        <w:rPr/>
        <w:t>Deploy Renix's steady-state ion exchange platform.</w:t>
      </w:r>
    </w:p>
    <w:p>
      <w:bookmarkStart w:id="2306" w:name="_NAESTMA_TOC_2306"/>
      <w:pPr>
        <w:pStyle w:val="Heading2"/>
        <w:keepNext/>
        <w:widowControl/>
        <w:rPr/>
      </w:pPr>
      <w:r>
        <w:rPr/>
        <w:t>BC-42. Tri-National Pilot Plant Network</w:t>
      </w:r>
      <w:bookmarkEnd w:id="2306"/>
    </w:p>
    <w:p>
      <w:pPr>
        <w:pStyle w:val="Normal"/>
        <w:widowControl/>
        <w:rPr/>
      </w:pPr>
      <w:r>
        <w:rPr/>
        <w:t>Fund pilot plants for emerging processing technologies.</w:t>
      </w:r>
    </w:p>
    <w:p>
      <w:bookmarkStart w:id="2307" w:name="_NAESTMA_TOC_2307"/>
      <w:pPr>
        <w:pStyle w:val="Heading2"/>
        <w:keepNext/>
        <w:widowControl/>
        <w:rPr/>
      </w:pPr>
      <w:r>
        <w:rPr/>
        <w:t>BC-43. Joint Machine Learning for Processing Optimization</w:t>
      </w:r>
      <w:bookmarkEnd w:id="2307"/>
    </w:p>
    <w:p>
      <w:pPr>
        <w:pStyle w:val="Normal"/>
        <w:widowControl/>
        <w:rPr/>
      </w:pPr>
      <w:r>
        <w:rPr/>
        <w:t>Use AI to optimize refinery operations.</w:t>
      </w:r>
    </w:p>
    <w:p>
      <w:bookmarkStart w:id="2308" w:name="_NAESTMA_TOC_2308"/>
      <w:pPr>
        <w:pStyle w:val="Heading2"/>
        <w:keepNext/>
        <w:widowControl/>
        <w:rPr/>
      </w:pPr>
      <w:r>
        <w:rPr/>
        <w:t>BC-44. Shared Synthetic Biology Platform</w:t>
      </w:r>
      <w:bookmarkEnd w:id="2308"/>
    </w:p>
    <w:p>
      <w:pPr>
        <w:pStyle w:val="Normal"/>
        <w:widowControl/>
        <w:rPr/>
      </w:pPr>
      <w:r>
        <w:rPr/>
        <w:t>Deploy Ames Lab's synthetic biology for mineral capture.</w:t>
      </w:r>
    </w:p>
    <w:p>
      <w:bookmarkStart w:id="2309" w:name="_NAESTMA_TOC_2309"/>
      <w:pPr>
        <w:pStyle w:val="Heading2"/>
        <w:keepNext/>
        <w:widowControl/>
        <w:rPr/>
      </w:pPr>
      <w:r>
        <w:rPr/>
        <w:t>BC-45. Canadian Low-Temperature Lithium Sulphide Process</w:t>
      </w:r>
      <w:bookmarkEnd w:id="2309"/>
    </w:p>
    <w:p>
      <w:pPr>
        <w:pStyle w:val="Normal"/>
        <w:widowControl/>
        <w:rPr/>
      </w:pPr>
      <w:r>
        <w:rPr/>
        <w:t>Deploy DualPure™ low-temperature process.</w:t>
      </w:r>
    </w:p>
    <w:p>
      <w:bookmarkStart w:id="2310" w:name="_NAESTMA_TOC_2310"/>
      <w:pPr>
        <w:pStyle w:val="Heading2"/>
        <w:keepNext/>
        <w:widowControl/>
        <w:rPr/>
      </w:pPr>
      <w:r>
        <w:rPr/>
        <w:t>BC-46. Tri-National Modular Refinery Design</w:t>
      </w:r>
      <w:bookmarkEnd w:id="2310"/>
    </w:p>
    <w:p>
      <w:pPr>
        <w:pStyle w:val="Normal"/>
        <w:widowControl/>
        <w:rPr/>
      </w:pPr>
      <w:r>
        <w:rPr/>
        <w:t>Develop modular, scalable refinery designs for rapid deployment.</w:t>
      </w:r>
    </w:p>
    <w:p>
      <w:bookmarkStart w:id="2311" w:name="_NAESTMA_TOC_2311"/>
      <w:pPr>
        <w:pStyle w:val="Heading2"/>
        <w:keepNext/>
        <w:widowControl/>
        <w:rPr/>
      </w:pPr>
      <w:r>
        <w:rPr/>
        <w:t>BC-47. Shared Solvent Extraction Alternatives</w:t>
      </w:r>
      <w:bookmarkEnd w:id="2311"/>
    </w:p>
    <w:p>
      <w:pPr>
        <w:pStyle w:val="Normal"/>
        <w:widowControl/>
        <w:rPr/>
      </w:pPr>
      <w:r>
        <w:rPr/>
        <w:t>Deploy ReElement's low-acid separation tech across all three.</w:t>
      </w:r>
    </w:p>
    <w:p>
      <w:bookmarkStart w:id="2312" w:name="_NAESTMA_TOC_2312"/>
      <w:pPr>
        <w:pStyle w:val="Heading2"/>
        <w:keepNext/>
        <w:widowControl/>
        <w:rPr/>
      </w:pPr>
      <w:r>
        <w:rPr/>
        <w:t>BC-48. Joint Waste-to-Wealth Technology</w:t>
      </w:r>
      <w:bookmarkEnd w:id="2312"/>
    </w:p>
    <w:p>
      <w:pPr>
        <w:pStyle w:val="Normal"/>
        <w:widowControl/>
        <w:rPr/>
      </w:pPr>
      <w:r>
        <w:rPr/>
        <w:t>Deploy ion-imprinted polymer tech for mine waste.</w:t>
      </w:r>
    </w:p>
    <w:p>
      <w:bookmarkStart w:id="2313" w:name="_NAESTMA_TOC_2313"/>
      <w:pPr>
        <w:pStyle w:val="Heading2"/>
        <w:keepNext/>
        <w:widowControl/>
        <w:rPr/>
      </w:pPr>
      <w:r>
        <w:rPr/>
        <w:t>BC-49. Tri-National Accelerated Ore Analysis</w:t>
      </w:r>
      <w:bookmarkEnd w:id="2313"/>
    </w:p>
    <w:p>
      <w:pPr>
        <w:pStyle w:val="Normal"/>
        <w:widowControl/>
        <w:rPr/>
      </w:pPr>
      <w:r>
        <w:rPr/>
        <w:t>Deploy real-time ore analysis technology.</w:t>
      </w:r>
    </w:p>
    <w:p>
      <w:bookmarkStart w:id="2314" w:name="_NAESTMA_TOC_2314"/>
      <w:pPr>
        <w:pStyle w:val="Heading2"/>
        <w:keepNext/>
        <w:widowControl/>
        <w:rPr/>
      </w:pPr>
      <w:r>
        <w:rPr/>
        <w:t>BC-50. Shared Processing Technology Database</w:t>
      </w:r>
      <w:bookmarkEnd w:id="2314"/>
    </w:p>
    <w:p>
      <w:pPr>
        <w:pStyle w:val="Normal"/>
        <w:widowControl/>
        <w:rPr/>
      </w:pPr>
      <w:r>
        <w:rPr/>
        <w:t>Central database of all processing technologies available in North America.</w:t>
      </w:r>
    </w:p>
    <w:p>
      <w:bookmarkStart w:id="2315" w:name="_NAESTMA_TOC_2315"/>
      <w:pPr>
        <w:pStyle w:val="Heading2"/>
        <w:keepNext/>
        <w:widowControl/>
        <w:rPr/>
      </w:pPr>
      <w:r>
        <w:rPr/>
        <w:t>BC-51. Tri-National Processing Corridor</w:t>
      </w:r>
      <w:bookmarkEnd w:id="2315"/>
    </w:p>
    <w:p>
      <w:pPr>
        <w:pStyle w:val="Normal"/>
        <w:widowControl/>
        <w:rPr/>
      </w:pPr>
      <w:r>
        <w:rPr/>
        <w:t>Build a chain: Canada (Ni/Co) → US (REEs) → Mexico (Li/Cu).</w:t>
      </w:r>
    </w:p>
    <w:p>
      <w:bookmarkStart w:id="2316" w:name="_NAESTMA_TOC_2316"/>
      <w:pPr>
        <w:pStyle w:val="Heading2"/>
        <w:keepNext/>
        <w:widowControl/>
        <w:rPr/>
      </w:pPr>
      <w:r>
        <w:rPr/>
        <w:t>BC-52. Canadian Potash Rail to US/Mexico</w:t>
      </w:r>
      <w:bookmarkEnd w:id="2316"/>
    </w:p>
    <w:p>
      <w:pPr>
        <w:pStyle w:val="Normal"/>
        <w:widowControl/>
        <w:rPr/>
      </w:pPr>
      <w:r>
        <w:rPr/>
        <w:t>Joint rail investment from Saskatchewan to Gulf and Mexico.</w:t>
      </w:r>
    </w:p>
    <w:p>
      <w:bookmarkStart w:id="2317" w:name="_NAESTMA_TOC_2317"/>
      <w:pPr>
        <w:pStyle w:val="Heading2"/>
        <w:keepNext/>
        <w:widowControl/>
        <w:rPr/>
      </w:pPr>
      <w:r>
        <w:rPr/>
        <w:t>BC-53. Mexican Port Processing Zones</w:t>
      </w:r>
      <w:bookmarkEnd w:id="2317"/>
    </w:p>
    <w:p>
      <w:pPr>
        <w:pStyle w:val="Normal"/>
        <w:widowControl/>
        <w:rPr/>
      </w:pPr>
      <w:r>
        <w:rPr/>
        <w:t>Develop processing parks at Manzanillo and Lázaro Cárdenas ports.</w:t>
      </w:r>
    </w:p>
    <w:p>
      <w:bookmarkStart w:id="2318" w:name="_NAESTMA_TOC_2318"/>
      <w:pPr>
        <w:pStyle w:val="Heading2"/>
        <w:keepNext/>
        <w:widowControl/>
        <w:rPr/>
      </w:pPr>
      <w:r>
        <w:rPr/>
        <w:t>BC-54. US-Mexico Border Processing Hub</w:t>
      </w:r>
      <w:bookmarkEnd w:id="2318"/>
    </w:p>
    <w:p>
      <w:pPr>
        <w:pStyle w:val="Normal"/>
        <w:widowControl/>
        <w:rPr/>
      </w:pPr>
      <w:r>
        <w:rPr/>
        <w:t>Build refineries in northern Mexico near U.S. border.</w:t>
      </w:r>
    </w:p>
    <w:p>
      <w:bookmarkStart w:id="2319" w:name="_NAESTMA_TOC_2319"/>
      <w:pPr>
        <w:pStyle w:val="Heading2"/>
        <w:keepNext/>
        <w:widowControl/>
        <w:rPr/>
      </w:pPr>
      <w:r>
        <w:rPr/>
        <w:t>BC-55. Canadian Arctic Processing Infrastructure</w:t>
      </w:r>
      <w:bookmarkEnd w:id="2319"/>
    </w:p>
    <w:p>
      <w:pPr>
        <w:pStyle w:val="Normal"/>
        <w:widowControl/>
        <w:rPr/>
      </w:pPr>
      <w:r>
        <w:rPr/>
        <w:t>Develop processing capacity near northern mines.</w:t>
      </w:r>
    </w:p>
    <w:p>
      <w:bookmarkStart w:id="2320" w:name="_NAESTMA_TOC_2320"/>
      <w:pPr>
        <w:pStyle w:val="Heading2"/>
        <w:keepNext/>
        <w:widowControl/>
        <w:rPr/>
      </w:pPr>
      <w:r>
        <w:rPr/>
        <w:t>BC-56. Tri-National Power Grid for Processing</w:t>
      </w:r>
      <w:bookmarkEnd w:id="2320"/>
    </w:p>
    <w:p>
      <w:pPr>
        <w:pStyle w:val="Normal"/>
        <w:widowControl/>
        <w:rPr/>
      </w:pPr>
      <w:r>
        <w:rPr/>
        <w:t>Ensure reliable, low-cost power for energy-intensive refineries.</w:t>
      </w:r>
    </w:p>
    <w:p>
      <w:bookmarkStart w:id="2321" w:name="_NAESTMA_TOC_2321"/>
      <w:pPr>
        <w:pStyle w:val="Heading2"/>
        <w:keepNext/>
        <w:widowControl/>
        <w:rPr/>
      </w:pPr>
      <w:r>
        <w:rPr/>
        <w:t>BC-57. Shared Natural Gas Pipelines</w:t>
      </w:r>
      <w:bookmarkEnd w:id="2321"/>
    </w:p>
    <w:p>
      <w:pPr>
        <w:pStyle w:val="Normal"/>
        <w:widowControl/>
        <w:rPr/>
      </w:pPr>
      <w:r>
        <w:rPr/>
        <w:t>Pipeline infrastructure to supply processing plants.</w:t>
      </w:r>
    </w:p>
    <w:p>
      <w:bookmarkStart w:id="2322" w:name="_NAESTMA_TOC_2322"/>
      <w:pPr>
        <w:pStyle w:val="Heading2"/>
        <w:keepNext/>
        <w:widowControl/>
        <w:rPr/>
      </w:pPr>
      <w:r>
        <w:rPr/>
        <w:t>BC-58. Rail Interconnectivity for Ore Shipment</w:t>
      </w:r>
      <w:bookmarkEnd w:id="2322"/>
    </w:p>
    <w:p>
      <w:pPr>
        <w:pStyle w:val="Normal"/>
        <w:widowControl/>
        <w:rPr/>
      </w:pPr>
      <w:r>
        <w:rPr/>
        <w:t>Improve rail links between Canadian mines, U.S. smelters, Mexican refineries.</w:t>
      </w:r>
    </w:p>
    <w:p>
      <w:bookmarkStart w:id="2323" w:name="_NAESTMA_TOC_2323"/>
      <w:pPr>
        <w:pStyle w:val="Heading2"/>
        <w:keepNext/>
        <w:widowControl/>
        <w:rPr/>
      </w:pPr>
      <w:r>
        <w:rPr/>
        <w:t>BC-59. Mexican Processing Water Infrastructure</w:t>
      </w:r>
      <w:bookmarkEnd w:id="2323"/>
    </w:p>
    <w:p>
      <w:pPr>
        <w:pStyle w:val="Normal"/>
        <w:widowControl/>
        <w:rPr/>
      </w:pPr>
      <w:r>
        <w:rPr/>
        <w:t>Build water treatment/recycling for refineries in water-scarce regions.</w:t>
      </w:r>
    </w:p>
    <w:p>
      <w:bookmarkStart w:id="2324" w:name="_NAESTMA_TOC_2324"/>
      <w:pPr>
        <w:pStyle w:val="Heading2"/>
        <w:keepNext/>
        <w:widowControl/>
        <w:rPr/>
      </w:pPr>
      <w:r>
        <w:rPr/>
        <w:t>BC-60. Tri-National Port Coordination</w:t>
      </w:r>
      <w:bookmarkEnd w:id="2324"/>
    </w:p>
    <w:p>
      <w:pPr>
        <w:pStyle w:val="Normal"/>
        <w:widowControl/>
        <w:rPr/>
      </w:pPr>
      <w:r>
        <w:rPr/>
        <w:t>Coordinate port capacity for mineral concentrate exports.</w:t>
      </w:r>
    </w:p>
    <w:p>
      <w:bookmarkStart w:id="2325" w:name="_NAESTMA_TOC_2325"/>
      <w:pPr>
        <w:pStyle w:val="Heading2"/>
        <w:keepNext/>
        <w:widowControl/>
        <w:rPr/>
      </w:pPr>
      <w:r>
        <w:rPr/>
        <w:t>BC-61. Canadian Hydrogen for Processing</w:t>
      </w:r>
      <w:bookmarkEnd w:id="2325"/>
    </w:p>
    <w:p>
      <w:pPr>
        <w:pStyle w:val="Normal"/>
        <w:widowControl/>
        <w:rPr/>
      </w:pPr>
      <w:r>
        <w:rPr/>
        <w:t>Use Canada's clean hydrogen in U.S./Mexican refineries.</w:t>
      </w:r>
    </w:p>
    <w:p>
      <w:bookmarkStart w:id="2326" w:name="_NAESTMA_TOC_2326"/>
      <w:pPr>
        <w:pStyle w:val="Heading2"/>
        <w:keepNext/>
        <w:widowControl/>
        <w:rPr/>
      </w:pPr>
      <w:r>
        <w:rPr/>
        <w:t>BC-62. Tailings Reprocessing and Best-Practice Coordination</w:t>
      </w:r>
      <w:bookmarkEnd w:id="2326"/>
    </w:p>
    <w:p>
      <w:pPr>
        <w:pStyle w:val="Normal"/>
        <w:widowControl/>
        <w:rPr/>
      </w:pPr>
      <w:r>
        <w:rPr/>
        <w:t>Support reprocessing and safe management while avoiding shared cross-border disposal facilities as a default.</w:t>
      </w:r>
    </w:p>
    <w:p>
      <w:bookmarkStart w:id="2327" w:name="_NAESTMA_TOC_2327"/>
      <w:pPr>
        <w:pStyle w:val="Heading2"/>
        <w:keepNext/>
        <w:widowControl/>
        <w:rPr/>
      </w:pPr>
      <w:r>
        <w:rPr/>
        <w:t>BC-63. US Strategic Processing Reserve Sites</w:t>
      </w:r>
      <w:bookmarkEnd w:id="2327"/>
    </w:p>
    <w:p>
      <w:pPr>
        <w:pStyle w:val="Normal"/>
        <w:widowControl/>
        <w:rPr/>
      </w:pPr>
      <w:r>
        <w:rPr/>
        <w:t>Designate sites for emergency processing capacity.</w:t>
      </w:r>
    </w:p>
    <w:p>
      <w:bookmarkStart w:id="2328" w:name="_NAESTMA_TOC_2328"/>
      <w:pPr>
        <w:pStyle w:val="Heading2"/>
        <w:keepNext/>
        <w:widowControl/>
        <w:rPr/>
      </w:pPr>
      <w:r>
        <w:rPr/>
        <w:t>BC-64. Tri-National Digital Logistics Platform</w:t>
      </w:r>
      <w:bookmarkEnd w:id="2328"/>
    </w:p>
    <w:p>
      <w:pPr>
        <w:pStyle w:val="Normal"/>
        <w:widowControl/>
        <w:rPr/>
      </w:pPr>
      <w:r>
        <w:rPr/>
        <w:t>Real-time tracking of ore and concentrate movements.</w:t>
      </w:r>
    </w:p>
    <w:p>
      <w:bookmarkStart w:id="2329" w:name="_NAESTMA_TOC_2329"/>
      <w:pPr>
        <w:pStyle w:val="Heading2"/>
        <w:keepNext/>
        <w:widowControl/>
        <w:rPr/>
      </w:pPr>
      <w:r>
        <w:rPr/>
        <w:t>BC-65. Joint Industrial Park Development</w:t>
      </w:r>
      <w:bookmarkEnd w:id="2329"/>
    </w:p>
    <w:p>
      <w:pPr>
        <w:pStyle w:val="Normal"/>
        <w:widowControl/>
        <w:rPr/>
      </w:pPr>
      <w:r>
        <w:rPr/>
        <w:t>Develop industrial parks hosting multiple processing facilities.</w:t>
      </w:r>
    </w:p>
    <w:p>
      <w:bookmarkStart w:id="2330" w:name="_NAESTMA_TOC_2330"/>
      <w:pPr>
        <w:pStyle w:val="Heading2"/>
        <w:keepNext/>
        <w:widowControl/>
        <w:rPr/>
      </w:pPr>
      <w:r>
        <w:rPr/>
        <w:t>BC-66. Tri-National Processing Workforce Program</w:t>
      </w:r>
      <w:bookmarkEnd w:id="2330"/>
    </w:p>
    <w:p>
      <w:pPr>
        <w:pStyle w:val="Normal"/>
        <w:widowControl/>
        <w:rPr/>
      </w:pPr>
      <w:r>
        <w:rPr/>
        <w:t>Joint training programs for refinery workers.</w:t>
      </w:r>
    </w:p>
    <w:p>
      <w:bookmarkStart w:id="2331" w:name="_NAESTMA_TOC_2331"/>
      <w:pPr>
        <w:pStyle w:val="Heading2"/>
        <w:keepNext/>
        <w:widowControl/>
        <w:rPr/>
      </w:pPr>
      <w:r>
        <w:rPr/>
        <w:t>BC-67. Mexican Processing Technician Exchange</w:t>
      </w:r>
      <w:bookmarkEnd w:id="2331"/>
    </w:p>
    <w:p>
      <w:pPr>
        <w:pStyle w:val="Normal"/>
        <w:widowControl/>
        <w:rPr/>
      </w:pPr>
      <w:r>
        <w:rPr/>
        <w:t>Train Mexican technicians in Canadian/U.S. refineries.</w:t>
      </w:r>
    </w:p>
    <w:p>
      <w:bookmarkStart w:id="2332" w:name="_NAESTMA_TOC_2332"/>
      <w:pPr>
        <w:pStyle w:val="Heading2"/>
        <w:keepNext/>
        <w:widowControl/>
        <w:rPr/>
      </w:pPr>
      <w:r>
        <w:rPr/>
        <w:t>BC-68. Canadian University Partnerships in Mexico</w:t>
      </w:r>
      <w:bookmarkEnd w:id="2332"/>
    </w:p>
    <w:p>
      <w:pPr>
        <w:pStyle w:val="Normal"/>
        <w:widowControl/>
        <w:rPr/>
      </w:pPr>
      <w:r>
        <w:rPr/>
        <w:t>Canadian mining engineering programs in Mexican universities.</w:t>
      </w:r>
    </w:p>
    <w:p>
      <w:bookmarkStart w:id="2333" w:name="_NAESTMA_TOC_2333"/>
      <w:pPr>
        <w:pStyle w:val="Heading2"/>
        <w:keepNext/>
        <w:widowControl/>
        <w:rPr/>
      </w:pPr>
      <w:r>
        <w:rPr/>
        <w:t>BC-69. US Community College Processing Curriculum</w:t>
      </w:r>
      <w:bookmarkEnd w:id="2333"/>
    </w:p>
    <w:p>
      <w:pPr>
        <w:pStyle w:val="Normal"/>
        <w:widowControl/>
        <w:rPr/>
      </w:pPr>
      <w:r>
        <w:rPr/>
        <w:t>Standardized curriculum for refinery operations.</w:t>
      </w:r>
    </w:p>
    <w:p>
      <w:bookmarkStart w:id="2334" w:name="_NAESTMA_TOC_2334"/>
      <w:pPr>
        <w:pStyle w:val="Heading2"/>
        <w:keepNext/>
        <w:widowControl/>
        <w:rPr/>
      </w:pPr>
      <w:r>
        <w:rPr/>
        <w:t>BC-70. Tri-National Apprenticeship Network</w:t>
      </w:r>
      <w:bookmarkEnd w:id="2334"/>
    </w:p>
    <w:p>
      <w:pPr>
        <w:pStyle w:val="Normal"/>
        <w:widowControl/>
        <w:rPr/>
      </w:pPr>
      <w:r>
        <w:rPr/>
        <w:t>Cross-border apprenticeships in mineral processing.</w:t>
      </w:r>
    </w:p>
    <w:p>
      <w:bookmarkStart w:id="2335" w:name="_NAESTMA_TOC_2335"/>
      <w:pPr>
        <w:pStyle w:val="Heading2"/>
        <w:keepNext/>
        <w:widowControl/>
        <w:rPr/>
      </w:pPr>
      <w:r>
        <w:rPr/>
        <w:t>BC-71. Joint Safety Training Standards</w:t>
      </w:r>
      <w:bookmarkEnd w:id="2335"/>
    </w:p>
    <w:p>
      <w:pPr>
        <w:pStyle w:val="Normal"/>
        <w:widowControl/>
        <w:rPr/>
      </w:pPr>
      <w:r>
        <w:rPr/>
        <w:t>Harmonized safety training for refinery workers.</w:t>
      </w:r>
    </w:p>
    <w:p>
      <w:bookmarkStart w:id="2336" w:name="_NAESTMA_TOC_2336"/>
      <w:pPr>
        <w:pStyle w:val="Heading2"/>
        <w:keepNext/>
        <w:widowControl/>
        <w:rPr/>
      </w:pPr>
      <w:r>
        <w:rPr/>
        <w:t>BC-72. Shared VR/AR Training Simulators</w:t>
      </w:r>
      <w:bookmarkEnd w:id="2336"/>
    </w:p>
    <w:p>
      <w:pPr>
        <w:pStyle w:val="Normal"/>
        <w:widowControl/>
        <w:rPr/>
      </w:pPr>
      <w:r>
        <w:rPr/>
        <w:t>Virtual reality training for complex processing operations.</w:t>
      </w:r>
    </w:p>
    <w:p>
      <w:bookmarkStart w:id="2337" w:name="_NAESTMA_TOC_2337"/>
      <w:pPr>
        <w:pStyle w:val="Heading2"/>
        <w:keepNext/>
        <w:widowControl/>
        <w:rPr/>
      </w:pPr>
      <w:r>
        <w:rPr/>
        <w:t>BC-73. Mexican Women in Processing Initiative</w:t>
      </w:r>
      <w:bookmarkEnd w:id="2337"/>
    </w:p>
    <w:p>
      <w:pPr>
        <w:pStyle w:val="Normal"/>
        <w:widowControl/>
        <w:rPr/>
      </w:pPr>
      <w:r>
        <w:rPr/>
        <w:t>Targeted programs to increase female participation.</w:t>
      </w:r>
    </w:p>
    <w:p>
      <w:bookmarkStart w:id="2338" w:name="_NAESTMA_TOC_2338"/>
      <w:pPr>
        <w:pStyle w:val="Heading2"/>
        <w:keepNext/>
        <w:widowControl/>
        <w:rPr/>
      </w:pPr>
      <w:r>
        <w:rPr/>
        <w:t>BC-74. Tri-National Processing Research Chairs</w:t>
      </w:r>
      <w:bookmarkEnd w:id="2338"/>
    </w:p>
    <w:p>
      <w:pPr>
        <w:pStyle w:val="Normal"/>
        <w:widowControl/>
        <w:rPr/>
      </w:pPr>
      <w:r>
        <w:rPr/>
        <w:t>Endowed research positions at universities.</w:t>
      </w:r>
    </w:p>
    <w:p>
      <w:bookmarkStart w:id="2339" w:name="_NAESTMA_TOC_2339"/>
      <w:pPr>
        <w:pStyle w:val="Heading2"/>
        <w:keepNext/>
        <w:widowControl/>
        <w:rPr/>
      </w:pPr>
      <w:r>
        <w:rPr/>
        <w:t>BC-75. Indigenous Workforce Development</w:t>
      </w:r>
      <w:bookmarkEnd w:id="2339"/>
    </w:p>
    <w:p>
      <w:pPr>
        <w:pStyle w:val="Normal"/>
        <w:widowControl/>
        <w:rPr/>
      </w:pPr>
      <w:r>
        <w:rPr/>
        <w:t>Joint programs for Indigenous participation in processing.</w:t>
      </w:r>
    </w:p>
    <w:p>
      <w:bookmarkStart w:id="2340" w:name="_NAESTMA_TOC_2340"/>
      <w:pPr>
        <w:pStyle w:val="Heading2"/>
        <w:keepNext/>
        <w:widowControl/>
        <w:rPr/>
      </w:pPr>
      <w:r>
        <w:rPr/>
        <w:t>BC-76. Tri-National Battery Recycling Loop</w:t>
      </w:r>
      <w:bookmarkEnd w:id="2340"/>
    </w:p>
    <w:p>
      <w:pPr>
        <w:pStyle w:val="Normal"/>
        <w:widowControl/>
        <w:rPr/>
      </w:pPr>
      <w:r>
        <w:rPr/>
        <w:t>US EV batteries → Mexico black mass → Canada/refined materials.</w:t>
      </w:r>
    </w:p>
    <w:p>
      <w:bookmarkStart w:id="2341" w:name="_NAESTMA_TOC_2341"/>
      <w:pPr>
        <w:pStyle w:val="Heading2"/>
        <w:keepNext/>
        <w:widowControl/>
        <w:rPr/>
      </w:pPr>
      <w:r>
        <w:rPr/>
        <w:t>BC-77. North American E-Waste Processing Hub</w:t>
      </w:r>
      <w:bookmarkEnd w:id="2341"/>
    </w:p>
    <w:p>
      <w:pPr>
        <w:pStyle w:val="Normal"/>
        <w:widowControl/>
        <w:rPr/>
      </w:pPr>
      <w:r>
        <w:rPr/>
        <w:t>Centralized e-waste processing in Mexico for REE recovery.</w:t>
      </w:r>
    </w:p>
    <w:p>
      <w:bookmarkStart w:id="2342" w:name="_NAESTMA_TOC_2342"/>
      <w:pPr>
        <w:pStyle w:val="Heading2"/>
        <w:keepNext/>
        <w:widowControl/>
        <w:rPr/>
      </w:pPr>
      <w:r>
        <w:rPr/>
        <w:t>BC-78. Joint Tailings Reprocessing Initiative</w:t>
      </w:r>
      <w:bookmarkEnd w:id="2342"/>
    </w:p>
    <w:p>
      <w:pPr>
        <w:pStyle w:val="Normal"/>
        <w:widowControl/>
        <w:rPr/>
      </w:pPr>
      <w:r>
        <w:rPr/>
        <w:t>Reprocess mine tailings across all three.</w:t>
      </w:r>
    </w:p>
    <w:p>
      <w:bookmarkStart w:id="2343" w:name="_NAESTMA_TOC_2343"/>
      <w:pPr>
        <w:pStyle w:val="Heading2"/>
        <w:keepNext/>
        <w:widowControl/>
        <w:rPr/>
      </w:pPr>
      <w:r>
        <w:rPr/>
        <w:t>BC-79. Canadian Black Mass Recycling</w:t>
      </w:r>
      <w:bookmarkEnd w:id="2343"/>
    </w:p>
    <w:p>
      <w:pPr>
        <w:pStyle w:val="Normal"/>
        <w:widowControl/>
        <w:rPr/>
      </w:pPr>
      <w:r>
        <w:rPr/>
        <w:t>Expand Electra's black mass recycling.</w:t>
      </w:r>
    </w:p>
    <w:p>
      <w:bookmarkStart w:id="2344" w:name="_NAESTMA_TOC_2344"/>
      <w:pPr>
        <w:pStyle w:val="Heading2"/>
        <w:keepNext/>
        <w:widowControl/>
        <w:rPr/>
      </w:pPr>
      <w:r>
        <w:rPr/>
        <w:t>BC-80. US-Mexico Lead-Acid Battery Recycling</w:t>
      </w:r>
      <w:bookmarkEnd w:id="2344"/>
    </w:p>
    <w:p>
      <w:pPr>
        <w:pStyle w:val="Normal"/>
        <w:widowControl/>
        <w:rPr/>
      </w:pPr>
      <w:r>
        <w:rPr/>
        <w:t>Cross-border lead battery recycling loop.</w:t>
      </w:r>
    </w:p>
    <w:p>
      <w:bookmarkStart w:id="2345" w:name="_NAESTMA_TOC_2345"/>
      <w:pPr>
        <w:pStyle w:val="Heading2"/>
        <w:keepNext/>
        <w:widowControl/>
        <w:rPr/>
      </w:pPr>
      <w:r>
        <w:rPr/>
        <w:t>BC-81. Tri-National Precious Metals Recycling</w:t>
      </w:r>
      <w:bookmarkEnd w:id="2345"/>
    </w:p>
    <w:p>
      <w:pPr>
        <w:pStyle w:val="Normal"/>
        <w:widowControl/>
        <w:rPr/>
      </w:pPr>
      <w:r>
        <w:rPr/>
        <w:t>Recover gold/silver from e-waste across all three.</w:t>
      </w:r>
    </w:p>
    <w:p>
      <w:bookmarkStart w:id="2346" w:name="_NAESTMA_TOC_2346"/>
      <w:pPr>
        <w:pStyle w:val="Heading2"/>
        <w:keepNext/>
        <w:widowControl/>
        <w:rPr/>
      </w:pPr>
      <w:r>
        <w:rPr/>
        <w:t>BC-82. Shared Lithium-Ion Battery Recycling Standards</w:t>
      </w:r>
      <w:bookmarkEnd w:id="2346"/>
    </w:p>
    <w:p>
      <w:pPr>
        <w:pStyle w:val="Normal"/>
        <w:widowControl/>
        <w:rPr/>
      </w:pPr>
      <w:r>
        <w:rPr/>
        <w:t>Harmonized standards for battery recycling.</w:t>
      </w:r>
    </w:p>
    <w:p>
      <w:bookmarkStart w:id="2347" w:name="_NAESTMA_TOC_2347"/>
      <w:pPr>
        <w:pStyle w:val="Heading2"/>
        <w:keepNext/>
        <w:widowControl/>
        <w:rPr/>
      </w:pPr>
      <w:r>
        <w:rPr/>
        <w:t>BC-83. Joint Scrap Metal Processing</w:t>
      </w:r>
      <w:bookmarkEnd w:id="2347"/>
    </w:p>
    <w:p>
      <w:pPr>
        <w:pStyle w:val="Normal"/>
        <w:widowControl/>
        <w:rPr/>
      </w:pPr>
      <w:r>
        <w:rPr/>
        <w:t>Process industrial scrap across borders.</w:t>
      </w:r>
    </w:p>
    <w:p>
      <w:bookmarkStart w:id="2348" w:name="_NAESTMA_TOC_2348"/>
      <w:pPr>
        <w:pStyle w:val="Heading2"/>
        <w:keepNext/>
        <w:widowControl/>
        <w:rPr/>
      </w:pPr>
      <w:r>
        <w:rPr/>
        <w:t>BC-84. Canadian Mine Waste Reprocessing Tech</w:t>
      </w:r>
      <w:bookmarkEnd w:id="2348"/>
    </w:p>
    <w:p>
      <w:pPr>
        <w:pStyle w:val="Normal"/>
        <w:widowControl/>
        <w:rPr/>
      </w:pPr>
      <w:r>
        <w:rPr/>
        <w:t>Deploy Canadian tech for Mexican/US tailings.</w:t>
      </w:r>
    </w:p>
    <w:p>
      <w:bookmarkStart w:id="2349" w:name="_NAESTMA_TOC_2349"/>
      <w:pPr>
        <w:pStyle w:val="Heading2"/>
        <w:keepNext/>
        <w:widowControl/>
        <w:rPr/>
      </w:pPr>
      <w:r>
        <w:rPr/>
        <w:t>BC-85. Tri-National Circular Mineral Economy Fund</w:t>
      </w:r>
      <w:bookmarkEnd w:id="2349"/>
    </w:p>
    <w:p>
      <w:pPr>
        <w:pStyle w:val="Normal"/>
        <w:widowControl/>
        <w:rPr/>
      </w:pPr>
      <w:r>
        <w:rPr/>
        <w:t>Fund circular economy processing projects.</w:t>
      </w:r>
    </w:p>
    <w:p>
      <w:bookmarkStart w:id="2350" w:name="_NAESTMA_TOC_2350"/>
      <w:pPr>
        <w:pStyle w:val="Heading2"/>
        <w:keepNext/>
        <w:widowControl/>
        <w:rPr/>
      </w:pPr>
      <w:r>
        <w:rPr/>
        <w:t>BC-86. North American Mineral Processing Summit</w:t>
      </w:r>
      <w:bookmarkEnd w:id="2350"/>
    </w:p>
    <w:p>
      <w:pPr>
        <w:pStyle w:val="Normal"/>
        <w:widowControl/>
        <w:rPr/>
      </w:pPr>
      <w:r>
        <w:rPr/>
        <w:t>Annual summit of industry and government leaders.</w:t>
      </w:r>
    </w:p>
    <w:p>
      <w:bookmarkStart w:id="2351" w:name="_NAESTMA_TOC_2351"/>
      <w:pPr>
        <w:pStyle w:val="Heading2"/>
        <w:keepNext/>
        <w:widowControl/>
        <w:rPr/>
      </w:pPr>
      <w:r>
        <w:rPr/>
        <w:t>BC-87. Joint Processing Capacity Dashboard</w:t>
      </w:r>
      <w:bookmarkEnd w:id="2351"/>
    </w:p>
    <w:p>
      <w:pPr>
        <w:pStyle w:val="Normal"/>
        <w:widowControl/>
        <w:rPr/>
      </w:pPr>
      <w:r>
        <w:rPr/>
        <w:t>Real-time tracking of all North American refining capacity.</w:t>
      </w:r>
    </w:p>
    <w:p>
      <w:bookmarkStart w:id="2352" w:name="_NAESTMA_TOC_2352"/>
      <w:pPr>
        <w:pStyle w:val="Heading2"/>
        <w:keepNext/>
        <w:widowControl/>
        <w:rPr/>
      </w:pPr>
      <w:r>
        <w:rPr/>
        <w:t>BC-88. Shared Supply Chain Risk Assessment</w:t>
      </w:r>
      <w:bookmarkEnd w:id="2352"/>
    </w:p>
    <w:p>
      <w:pPr>
        <w:pStyle w:val="Normal"/>
        <w:widowControl/>
        <w:rPr/>
      </w:pPr>
      <w:r>
        <w:rPr/>
        <w:t>Joint assessment of processing vulnerabilities.</w:t>
      </w:r>
    </w:p>
    <w:p>
      <w:bookmarkStart w:id="2353" w:name="_NAESTMA_TOC_2353"/>
      <w:pPr>
        <w:pStyle w:val="Heading2"/>
        <w:keepNext/>
        <w:widowControl/>
        <w:rPr/>
      </w:pPr>
      <w:r>
        <w:rPr/>
        <w:t>BC-89. Tri-National Crisis Response Protocol</w:t>
      </w:r>
      <w:bookmarkEnd w:id="2353"/>
    </w:p>
    <w:p>
      <w:pPr>
        <w:pStyle w:val="Normal"/>
        <w:widowControl/>
        <w:rPr/>
      </w:pPr>
      <w:r>
        <w:rPr/>
        <w:t>Coordinated response to processing disruptions.</w:t>
      </w:r>
    </w:p>
    <w:p>
      <w:bookmarkStart w:id="2354" w:name="_NAESTMA_TOC_2354"/>
      <w:pPr>
        <w:pStyle w:val="Heading2"/>
        <w:keepNext/>
        <w:widowControl/>
        <w:rPr/>
      </w:pPr>
      <w:r>
        <w:rPr/>
        <w:t>BC-90. North American Processing Roadmap to 2035</w:t>
      </w:r>
      <w:bookmarkEnd w:id="2354"/>
    </w:p>
    <w:p>
      <w:pPr>
        <w:pStyle w:val="Normal"/>
        <w:widowControl/>
        <w:rPr/>
      </w:pPr>
      <w:r>
        <w:rPr/>
        <w:t>Long-term strategic plan.</w:t>
      </w:r>
    </w:p>
    <w:p>
      <w:bookmarkStart w:id="2355" w:name="_NAESTMA_TOC_2355"/>
      <w:pPr>
        <w:pStyle w:val="Heading2"/>
        <w:keepNext/>
        <w:widowControl/>
        <w:rPr/>
      </w:pPr>
      <w:r>
        <w:rPr/>
        <w:t>BC-91. Joint Geological Survey Integration</w:t>
      </w:r>
      <w:bookmarkEnd w:id="2355"/>
    </w:p>
    <w:p>
      <w:pPr>
        <w:pStyle w:val="Normal"/>
        <w:widowControl/>
        <w:rPr/>
      </w:pPr>
      <w:r>
        <w:rPr/>
        <w:t>Shared database for processing feedstocks.</w:t>
      </w:r>
    </w:p>
    <w:p>
      <w:bookmarkStart w:id="2356" w:name="_NAESTMA_TOC_2356"/>
      <w:pPr>
        <w:pStyle w:val="Heading2"/>
        <w:keepNext/>
        <w:widowControl/>
        <w:rPr/>
      </w:pPr>
      <w:r>
        <w:rPr/>
        <w:t>BC-92. Mexico-US Action Plan Implementation</w:t>
      </w:r>
      <w:bookmarkEnd w:id="2356"/>
    </w:p>
    <w:p>
      <w:pPr>
        <w:pStyle w:val="Normal"/>
        <w:widowControl/>
        <w:rPr/>
      </w:pPr>
      <w:r>
        <w:rPr/>
        <w:t>Full execution of the bilateral action plan.</w:t>
      </w:r>
    </w:p>
    <w:p>
      <w:bookmarkStart w:id="2357" w:name="_NAESTMA_TOC_2357"/>
      <w:pPr>
        <w:pStyle w:val="Heading2"/>
        <w:keepNext/>
        <w:widowControl/>
        <w:rPr/>
      </w:pPr>
      <w:r>
        <w:rPr/>
        <w:t>BC-93. Tri-National Defense Minerals Coordination</w:t>
      </w:r>
      <w:bookmarkEnd w:id="2357"/>
    </w:p>
    <w:p>
      <w:pPr>
        <w:pStyle w:val="Normal"/>
        <w:widowControl/>
        <w:rPr/>
      </w:pPr>
      <w:r>
        <w:rPr/>
        <w:t>Priority processing for defense-critical minerals.</w:t>
      </w:r>
    </w:p>
    <w:p>
      <w:bookmarkStart w:id="2358" w:name="_NAESTMA_TOC_2358"/>
      <w:pPr>
        <w:pStyle w:val="Heading2"/>
        <w:keepNext/>
        <w:widowControl/>
        <w:rPr/>
      </w:pPr>
      <w:r>
        <w:rPr/>
        <w:t>BC-94. Shared Semiconductor Minerals Strategy</w:t>
      </w:r>
      <w:bookmarkEnd w:id="2358"/>
    </w:p>
    <w:p>
      <w:pPr>
        <w:pStyle w:val="Normal"/>
        <w:widowControl/>
        <w:rPr/>
      </w:pPr>
      <w:r>
        <w:rPr/>
        <w:t>Joint approach to gallium, germanium, indium.</w:t>
      </w:r>
    </w:p>
    <w:p>
      <w:bookmarkStart w:id="2359" w:name="_NAESTMA_TOC_2359"/>
      <w:pPr>
        <w:pStyle w:val="Heading2"/>
        <w:keepNext/>
        <w:widowControl/>
        <w:rPr/>
      </w:pPr>
      <w:r>
        <w:rPr/>
        <w:t>BC-95. North American Processing Investment Dashboard</w:t>
      </w:r>
      <w:bookmarkEnd w:id="2359"/>
    </w:p>
    <w:p>
      <w:pPr>
        <w:pStyle w:val="Normal"/>
        <w:widowControl/>
        <w:rPr/>
      </w:pPr>
      <w:r>
        <w:rPr/>
        <w:t>Track all processing investments.</w:t>
      </w:r>
    </w:p>
    <w:p>
      <w:bookmarkStart w:id="2360" w:name="_NAESTMA_TOC_2360"/>
      <w:pPr>
        <w:pStyle w:val="Heading2"/>
        <w:keepNext/>
        <w:widowControl/>
        <w:rPr/>
      </w:pPr>
      <w:r>
        <w:rPr/>
        <w:t>BC-96. Joint Annual Processing Capacity Targets</w:t>
      </w:r>
      <w:bookmarkEnd w:id="2360"/>
    </w:p>
    <w:p>
      <w:pPr>
        <w:pStyle w:val="Normal"/>
        <w:widowControl/>
        <w:rPr/>
      </w:pPr>
      <w:r>
        <w:rPr/>
        <w:t>Set binding targets for new refining capacity.</w:t>
      </w:r>
    </w:p>
    <w:p>
      <w:bookmarkStart w:id="2361" w:name="_NAESTMA_TOC_2361"/>
      <w:pPr>
        <w:pStyle w:val="Heading2"/>
        <w:keepNext/>
        <w:widowControl/>
        <w:rPr/>
      </w:pPr>
      <w:r>
        <w:rPr/>
        <w:t>BC-97. Tri-National Technology Sovereignty Framework</w:t>
      </w:r>
      <w:bookmarkEnd w:id="2361"/>
    </w:p>
    <w:p>
      <w:pPr>
        <w:pStyle w:val="Normal"/>
        <w:widowControl/>
        <w:rPr/>
      </w:pPr>
      <w:r>
        <w:rPr/>
        <w:t>Ensure North American control over processing IP.</w:t>
      </w:r>
    </w:p>
    <w:p>
      <w:bookmarkStart w:id="2362" w:name="_NAESTMA_TOC_2362"/>
      <w:pPr>
        <w:pStyle w:val="Heading2"/>
        <w:keepNext/>
        <w:widowControl/>
        <w:rPr/>
      </w:pPr>
      <w:r>
        <w:rPr/>
        <w:t>BC-98. Shared ESG Standards for Processing</w:t>
      </w:r>
      <w:bookmarkEnd w:id="2362"/>
    </w:p>
    <w:p>
      <w:pPr>
        <w:pStyle w:val="Normal"/>
        <w:widowControl/>
        <w:rPr/>
      </w:pPr>
      <w:r>
        <w:rPr/>
        <w:t>Harmonized environmental, social, governance standards.</w:t>
      </w:r>
    </w:p>
    <w:p>
      <w:bookmarkStart w:id="2363" w:name="_NAESTMA_TOC_2363"/>
      <w:pPr>
        <w:pStyle w:val="Heading2"/>
        <w:keepNext/>
        <w:widowControl/>
        <w:rPr/>
      </w:pPr>
      <w:r>
        <w:rPr/>
        <w:t>BC-99. Transparent Mineral Processing Industry Advisory Channel</w:t>
      </w:r>
      <w:bookmarkEnd w:id="2363"/>
    </w:p>
    <w:p>
      <w:pPr>
        <w:pStyle w:val="Normal"/>
        <w:widowControl/>
        <w:rPr/>
      </w:pPr>
      <w:r>
        <w:rPr/>
        <w:t>Use open, balanced consultations rather than an industry-government lobbying body.</w:t>
      </w:r>
    </w:p>
    <w:p>
      <w:bookmarkStart w:id="2364" w:name="_NAESTMA_TOC_2364"/>
      <w:pPr>
        <w:pStyle w:val="Heading2"/>
        <w:keepNext/>
        <w:widowControl/>
        <w:rPr/>
      </w:pPr>
      <w:r>
        <w:rPr/>
        <w:t>BC-100. Existing-Institution Minerals Coordination Mandate</w:t>
      </w:r>
      <w:bookmarkEnd w:id="2364"/>
    </w:p>
    <w:p>
      <w:pPr>
        <w:pStyle w:val="Normal"/>
        <w:widowControl/>
        <w:rPr/>
      </w:pPr>
      <w:r>
        <w:rPr/>
        <w:t>Assign coordination to the NAESTMA Secretariat, Cothrom architecture and designated national authorities; temporary technical groups sunset automatically.</w:t>
      </w:r>
    </w:p>
    <w:p>
      <w:bookmarkStart w:id="2365" w:name="_NAESTMA_TOC_2365"/>
      <w:pPr>
        <w:pStyle w:val="Heading2"/>
        <w:keepNext/>
        <w:widowControl/>
        <w:rPr/>
      </w:pPr>
      <w:r>
        <w:rPr/>
        <w:t>BC-101. Mineral Provenance Transparency Standard</w:t>
      </w:r>
      <w:bookmarkEnd w:id="2365"/>
    </w:p>
    <w:p>
      <w:pPr>
        <w:pStyle w:val="Normal"/>
        <w:widowControl/>
        <w:rPr/>
      </w:pPr>
      <w:r>
        <w:rPr/>
        <w:t>For designated strategic minerals, establish proportionate provenance records covering, where practicable, mine or secondary-resource origin, concentrate origin, processing jurisdiction, refining jurisdiction, recycled content and final North American transformation. Protect confidential, Indigenous-sensitive and national-security information and avoid duplicative paperwork.</w:t>
      </w:r>
    </w:p>
    <w:p>
      <w:bookmarkStart w:id="2366" w:name="_NAESTMA_TOC_2366"/>
      <w:pPr>
        <w:pStyle w:val="Heading1"/>
        <w:keepNext/>
        <w:pageBreakBefore/>
        <w:widowControl/>
        <w:rPr/>
      </w:pPr>
      <w:r>
        <w:rPr/>
        <w:t>PACKAGE BD — TAILINGS, MINE-WASTE RECOVERY, REMEDIATION AND BENEFICIAL-USE CATALOGUE (120 MECHANISMS)</w:t>
      </w:r>
      <w:bookmarkEnd w:id="2366"/>
    </w:p>
    <w:p>
      <w:pPr>
        <w:pStyle w:val="Normal"/>
        <w:widowControl/>
        <w:rPr/>
      </w:pPr>
      <w:r>
        <w:rPr/>
        <w:t>Status. Tailings and mine waste may be secondary resources, environmental liabilities, or both. Resource recovery never extinguishes hazardous-waste, closure, remediation, dam-safety or legacy-liability obligations unless lawfully and transparently reallocated with adequate financial assurance.</w:t>
      </w:r>
    </w:p>
    <w:p>
      <w:bookmarkStart w:id="2367" w:name="_NAESTMA_TOC_2367"/>
      <w:pPr>
        <w:pStyle w:val="Heading2"/>
        <w:keepNext/>
        <w:widowControl/>
        <w:rPr/>
      </w:pPr>
      <w:r>
        <w:rPr/>
        <w:t>BD-A. Tailings Beneficial-Use Safety Ladder</w:t>
      </w:r>
      <w:bookmarkEnd w:id="2367"/>
    </w:p>
    <w:p>
      <w:pPr>
        <w:pStyle w:val="Normal"/>
        <w:widowControl/>
        <w:rPr/>
      </w:pPr>
      <w:r>
        <w:rPr/>
        <w:t>Tier 0 — Characterization: mineralogy, metals, radionuclides where relevant, acid-generation potential, dust, particle size, leaching and geotechnical properties.</w:t>
      </w:r>
    </w:p>
    <w:p>
      <w:pPr>
        <w:pStyle w:val="Normal"/>
        <w:widowControl/>
        <w:rPr/>
      </w:pPr>
      <w:r>
        <w:rPr/>
        <w:t>Tier 1 — Resource Recovery: recover valuable minerals first where technically, environmentally and economically justified.</w:t>
      </w:r>
    </w:p>
    <w:p>
      <w:pPr>
        <w:pStyle w:val="Normal"/>
        <w:widowControl/>
        <w:rPr/>
      </w:pPr>
      <w:r>
        <w:rPr/>
        <w:t>Tier 2 — Detoxification/Stabilization: remove, immobilize or otherwise manage hazardous constituents.</w:t>
      </w:r>
    </w:p>
    <w:p>
      <w:pPr>
        <w:pStyle w:val="Normal"/>
        <w:widowControl/>
        <w:rPr/>
      </w:pPr>
      <w:r>
        <w:rPr/>
        <w:t>Tier 3 — Low-Exposure Industrial Uses: backfill, contained aggregate, barriers and similar uses after certification.</w:t>
      </w:r>
    </w:p>
    <w:p>
      <w:pPr>
        <w:pStyle w:val="Normal"/>
        <w:widowControl/>
        <w:rPr/>
      </w:pPr>
      <w:r>
        <w:rPr/>
        <w:t>Tier 4 — General Construction Uses: require higher durability, leaching and occupational-exposure testing.</w:t>
      </w:r>
    </w:p>
    <w:p>
      <w:pPr>
        <w:pStyle w:val="Normal"/>
        <w:widowControl/>
        <w:rPr/>
      </w:pPr>
      <w:r>
        <w:rPr/>
        <w:t>Tier 5 — Water-Contact or Indoor Products: apply a substantially higher contaminant-migration and exposure threshold.</w:t>
      </w:r>
    </w:p>
    <w:p>
      <w:pPr>
        <w:pStyle w:val="Normal"/>
        <w:widowControl/>
        <w:rPr/>
      </w:pPr>
      <w:r>
        <w:rPr/>
        <w:t>Tier 6 — Soil and Ecological Restoration: require site-specific environmental approval and monitoring.</w:t>
      </w:r>
    </w:p>
    <w:p>
      <w:pPr>
        <w:pStyle w:val="Normal"/>
        <w:widowControl/>
        <w:rPr/>
      </w:pPr>
      <w:r>
        <w:rPr/>
        <w:t>Tier 7 — Food-Chain/Agricultural Uses: extraordinary evidence threshold; favor purified final products over heterogeneous mine waste and require continuing contaminant monitoring.</w:t>
      </w:r>
    </w:p>
    <w:p>
      <w:bookmarkStart w:id="2368" w:name="_NAESTMA_TOC_2368"/>
      <w:pPr>
        <w:pStyle w:val="Heading2"/>
        <w:keepNext/>
        <w:widowControl/>
        <w:rPr/>
      </w:pPr>
      <w:r>
        <w:rPr/>
        <w:t>BD-B. Remediation Credit Hierarchy</w:t>
      </w:r>
      <w:bookmarkEnd w:id="2368"/>
    </w:p>
    <w:p>
      <w:pPr>
        <w:pStyle w:val="Normal"/>
        <w:widowControl/>
        <w:rPr/>
      </w:pPr>
      <w:r>
        <w:rPr/>
        <w:t>Recover + remediate receives best treatment; recover + neutral environmental effect receives ordinary treatment; recover + worsen a legacy hazard is prohibited. Bulk tailings should be processed as close to source as reasonably practicable, with recovered concentrates and products transported instead of waste whenever feasible.</w:t>
      </w:r>
    </w:p>
    <w:p>
      <w:bookmarkStart w:id="2369" w:name="_NAESTMA_TOC_2369"/>
      <w:pPr>
        <w:pStyle w:val="Heading2"/>
        <w:keepNext/>
        <w:widowControl/>
        <w:rPr/>
      </w:pPr>
      <w:r>
        <w:rPr/>
        <w:t>BD-1. Tri-National Tailings Reprocessing Framework</w:t>
      </w:r>
      <w:bookmarkEnd w:id="2369"/>
    </w:p>
    <w:p>
      <w:pPr>
        <w:pStyle w:val="Normal"/>
        <w:widowControl/>
        <w:rPr/>
      </w:pPr>
      <w:r>
        <w:rPr/>
        <w:t>Create a harmonized regulatory framework under USMCA specifically for tailings reprocessing and mine waste valorization.</w:t>
      </w:r>
    </w:p>
    <w:p>
      <w:bookmarkStart w:id="2370" w:name="_NAESTMA_TOC_2370"/>
      <w:pPr>
        <w:pStyle w:val="Heading2"/>
        <w:keepNext/>
        <w:widowControl/>
        <w:rPr/>
      </w:pPr>
      <w:r>
        <w:rPr/>
        <w:t>BD-2. Secondary Mineral Resource Classification</w:t>
      </w:r>
      <w:bookmarkEnd w:id="2370"/>
    </w:p>
    <w:p>
      <w:pPr>
        <w:pStyle w:val="Normal"/>
        <w:widowControl/>
        <w:rPr/>
      </w:pPr>
      <w:r>
        <w:rPr/>
        <w:t>Allow characterized mine waste with recoverable strategic minerals to receive secondary-resource status for approved recovery without extinguishing hazardous-waste, closure, remediation or liability duties.</w:t>
      </w:r>
    </w:p>
    <w:p>
      <w:bookmarkStart w:id="2371" w:name="_NAESTMA_TOC_2371"/>
      <w:pPr>
        <w:pStyle w:val="Heading2"/>
        <w:keepNext/>
        <w:widowControl/>
        <w:rPr/>
      </w:pPr>
      <w:r>
        <w:rPr/>
        <w:t>BD-3. Coordinated Permitting Fast-Track</w:t>
      </w:r>
      <w:bookmarkEnd w:id="2371"/>
    </w:p>
    <w:p>
      <w:pPr>
        <w:pStyle w:val="Normal"/>
        <w:widowControl/>
        <w:rPr/>
      </w:pPr>
      <w:r>
        <w:rPr/>
        <w:t>Model after Ontario's 2025 Recovery of Minerals regime to streamline permitting for tailings reprocessing across North America.</w:t>
      </w:r>
    </w:p>
    <w:p>
      <w:bookmarkStart w:id="2372" w:name="_NAESTMA_TOC_2372"/>
      <w:pPr>
        <w:pStyle w:val="Heading2"/>
        <w:keepNext/>
        <w:widowControl/>
        <w:rPr/>
      </w:pPr>
      <w:r>
        <w:rPr/>
        <w:t>BD-4. Tri-National Mine Waste Inventory</w:t>
      </w:r>
      <w:bookmarkEnd w:id="2372"/>
    </w:p>
    <w:p>
      <w:pPr>
        <w:pStyle w:val="Normal"/>
        <w:widowControl/>
        <w:rPr/>
      </w:pPr>
      <w:r>
        <w:rPr/>
        <w:t>Create a shared database of all tailings facilities, abandoned mines, and waste rock piles across the continent.</w:t>
      </w:r>
    </w:p>
    <w:p>
      <w:bookmarkStart w:id="2373" w:name="_NAESTMA_TOC_2373"/>
      <w:pPr>
        <w:pStyle w:val="Heading2"/>
        <w:keepNext/>
        <w:widowControl/>
        <w:rPr/>
      </w:pPr>
      <w:r>
        <w:rPr/>
        <w:t>BD-5. Harmonized Environmental Liability Transfer</w:t>
      </w:r>
      <w:bookmarkEnd w:id="2373"/>
    </w:p>
    <w:p>
      <w:pPr>
        <w:pStyle w:val="Normal"/>
        <w:widowControl/>
        <w:rPr/>
      </w:pPr>
      <w:r>
        <w:rPr/>
        <w:t>Allow companies to transfer environmental liabilities to reprocessors who extract value and remediate sites.</w:t>
      </w:r>
    </w:p>
    <w:p>
      <w:bookmarkStart w:id="2374" w:name="_NAESTMA_TOC_2374"/>
      <w:pPr>
        <w:pStyle w:val="Heading2"/>
        <w:keepNext/>
        <w:widowControl/>
        <w:rPr/>
      </w:pPr>
      <w:r>
        <w:rPr/>
        <w:t>BD-6. Shared Tax Credits for Tailings Reprocessing</w:t>
      </w:r>
      <w:bookmarkEnd w:id="2374"/>
    </w:p>
    <w:p>
      <w:pPr>
        <w:pStyle w:val="Normal"/>
        <w:widowControl/>
        <w:rPr/>
      </w:pPr>
      <w:r>
        <w:rPr/>
        <w:t>Harmonized tax incentives for companies that reprocess tailings rather than mine virgin ore.</w:t>
      </w:r>
    </w:p>
    <w:p>
      <w:bookmarkStart w:id="2375" w:name="_NAESTMA_TOC_2375"/>
      <w:pPr>
        <w:pStyle w:val="Heading2"/>
        <w:keepNext/>
        <w:widowControl/>
        <w:rPr/>
      </w:pPr>
      <w:r>
        <w:rPr/>
        <w:t>BD-7. Cross-Border Waste Stream Classification</w:t>
      </w:r>
      <w:bookmarkEnd w:id="2375"/>
    </w:p>
    <w:p>
      <w:pPr>
        <w:pStyle w:val="Normal"/>
        <w:widowControl/>
        <w:rPr/>
      </w:pPr>
      <w:r>
        <w:rPr/>
        <w:t>Standardize classification of mining debris to enable seamless cross-border movement for processing.</w:t>
      </w:r>
    </w:p>
    <w:p>
      <w:bookmarkStart w:id="2376" w:name="_NAESTMA_TOC_2376"/>
      <w:pPr>
        <w:pStyle w:val="Heading2"/>
        <w:keepNext/>
        <w:widowControl/>
        <w:rPr/>
      </w:pPr>
      <w:r>
        <w:rPr/>
        <w:t>BD-8. Joint Abandoned Mine Land Program</w:t>
      </w:r>
      <w:bookmarkEnd w:id="2376"/>
    </w:p>
    <w:p>
      <w:pPr>
        <w:pStyle w:val="Normal"/>
        <w:widowControl/>
        <w:rPr/>
      </w:pPr>
      <w:r>
        <w:rPr/>
        <w:t>Coordinate cleanup of legacy mines with value recovery across all three countries.</w:t>
      </w:r>
    </w:p>
    <w:p>
      <w:bookmarkStart w:id="2377" w:name="_NAESTMA_TOC_2377"/>
      <w:pPr>
        <w:pStyle w:val="Heading2"/>
        <w:keepNext/>
        <w:widowControl/>
        <w:rPr/>
      </w:pPr>
      <w:r>
        <w:rPr/>
        <w:t>BD-9. Tri-National Remediation Standards</w:t>
      </w:r>
      <w:bookmarkEnd w:id="2377"/>
    </w:p>
    <w:p>
      <w:pPr>
        <w:pStyle w:val="Normal"/>
        <w:widowControl/>
        <w:rPr/>
      </w:pPr>
      <w:r>
        <w:rPr/>
        <w:t>Common standards for site remediation after tailings reprocessing.</w:t>
      </w:r>
    </w:p>
    <w:p>
      <w:bookmarkStart w:id="2378" w:name="_NAESTMA_TOC_2378"/>
      <w:pPr>
        <w:pStyle w:val="Heading2"/>
        <w:keepNext/>
        <w:widowControl/>
        <w:rPr/>
      </w:pPr>
      <w:r>
        <w:rPr/>
        <w:t>BD-10. USMCA Critical Minerals from Waste Chapter</w:t>
      </w:r>
      <w:bookmarkEnd w:id="2378"/>
    </w:p>
    <w:p>
      <w:pPr>
        <w:pStyle w:val="Normal"/>
        <w:widowControl/>
        <w:rPr/>
      </w:pPr>
      <w:r>
        <w:rPr/>
        <w:t>Dedicated USMCA chapter on recovering critical minerals from mining debris.</w:t>
      </w:r>
    </w:p>
    <w:p>
      <w:bookmarkStart w:id="2379" w:name="_NAESTMA_TOC_2379"/>
      <w:pPr>
        <w:pStyle w:val="Heading2"/>
        <w:keepNext/>
        <w:widowControl/>
        <w:rPr/>
      </w:pPr>
      <w:r>
        <w:rPr/>
        <w:t>BD-11. Coordinated Federal Funding Eligibility</w:t>
      </w:r>
      <w:bookmarkEnd w:id="2379"/>
    </w:p>
    <w:p>
      <w:pPr>
        <w:pStyle w:val="Normal"/>
        <w:widowControl/>
        <w:rPr/>
      </w:pPr>
      <w:r>
        <w:rPr/>
        <w:t>Ensure tailings reprocessing projects are eligible for funding across all three countries' programs.</w:t>
      </w:r>
    </w:p>
    <w:p>
      <w:bookmarkStart w:id="2380" w:name="_NAESTMA_TOC_2380"/>
      <w:pPr>
        <w:pStyle w:val="Heading2"/>
        <w:keepNext/>
        <w:widowControl/>
        <w:rPr/>
      </w:pPr>
      <w:r>
        <w:rPr/>
        <w:t>BD-12. Joint Royalty Framework</w:t>
      </w:r>
      <w:bookmarkEnd w:id="2380"/>
    </w:p>
    <w:p>
      <w:pPr>
        <w:pStyle w:val="Normal"/>
        <w:widowControl/>
        <w:rPr/>
      </w:pPr>
      <w:r>
        <w:rPr/>
        <w:t>Harmonized royalty structures for minerals recovered from tailings vs. virgin ore.</w:t>
      </w:r>
    </w:p>
    <w:p>
      <w:bookmarkStart w:id="2381" w:name="_NAESTMA_TOC_2381"/>
      <w:pPr>
        <w:pStyle w:val="Heading2"/>
        <w:keepNext/>
        <w:widowControl/>
        <w:rPr/>
      </w:pPr>
      <w:r>
        <w:rPr/>
        <w:t>BD-13. Tri-National Mine Closure Standards</w:t>
      </w:r>
      <w:bookmarkEnd w:id="2381"/>
    </w:p>
    <w:p>
      <w:pPr>
        <w:pStyle w:val="Normal"/>
        <w:widowControl/>
        <w:rPr/>
      </w:pPr>
      <w:r>
        <w:rPr/>
        <w:t>Require closure plans to include reprocessing and repurposing options.</w:t>
      </w:r>
    </w:p>
    <w:p>
      <w:bookmarkStart w:id="2382" w:name="_NAESTMA_TOC_2382"/>
      <w:pPr>
        <w:pStyle w:val="Heading2"/>
        <w:keepNext/>
        <w:widowControl/>
        <w:rPr/>
      </w:pPr>
      <w:r>
        <w:rPr/>
        <w:t>BD-14. Shared Indigenous Consultation Protocol</w:t>
      </w:r>
      <w:bookmarkEnd w:id="2382"/>
    </w:p>
    <w:p>
      <w:pPr>
        <w:pStyle w:val="Normal"/>
        <w:widowControl/>
        <w:rPr/>
      </w:pPr>
      <w:r>
        <w:rPr/>
        <w:t>Harmonized approach to Indigenous engagement on tailings reprocessing projects.</w:t>
      </w:r>
    </w:p>
    <w:p>
      <w:bookmarkStart w:id="2383" w:name="_NAESTMA_TOC_2383"/>
      <w:pPr>
        <w:pStyle w:val="Heading2"/>
        <w:keepNext/>
        <w:widowControl/>
        <w:rPr/>
      </w:pPr>
      <w:r>
        <w:rPr/>
        <w:t>BD-15. Existing-Institution Tailings Coordination</w:t>
      </w:r>
      <w:bookmarkEnd w:id="2383"/>
    </w:p>
    <w:p>
      <w:pPr>
        <w:pStyle w:val="Normal"/>
        <w:widowControl/>
        <w:rPr/>
      </w:pPr>
      <w:r>
        <w:rPr/>
        <w:t>Use the NAESTMA minerals architecture, national regulators and temporary technical teams rather than a permanent tailings task force.</w:t>
      </w:r>
    </w:p>
    <w:p>
      <w:bookmarkStart w:id="2384" w:name="_NAESTMA_TOC_2384"/>
      <w:pPr>
        <w:pStyle w:val="Heading2"/>
        <w:keepNext/>
        <w:widowControl/>
        <w:rPr/>
      </w:pPr>
      <w:r>
        <w:rPr/>
        <w:t>BD-16. Canadian Bioleaching Technology for US/Mexican Tailings</w:t>
      </w:r>
      <w:bookmarkEnd w:id="2384"/>
    </w:p>
    <w:p>
      <w:pPr>
        <w:pStyle w:val="Normal"/>
        <w:widowControl/>
        <w:rPr/>
      </w:pPr>
      <w:r>
        <w:rPr/>
        <w:t>Deploy CanmetMINING's novel bioleaching process to recover nickel and cobalt from pyrrhotite tailings across North America.</w:t>
      </w:r>
    </w:p>
    <w:p>
      <w:bookmarkStart w:id="2385" w:name="_NAESTMA_TOC_2385"/>
      <w:pPr>
        <w:pStyle w:val="Heading2"/>
        <w:keepNext/>
        <w:widowControl/>
        <w:rPr/>
      </w:pPr>
      <w:r>
        <w:rPr/>
        <w:t>BD-17. US Tellurium Recovery from Bingham Canyon Tailings</w:t>
      </w:r>
      <w:bookmarkEnd w:id="2385"/>
    </w:p>
    <w:p>
      <w:pPr>
        <w:pStyle w:val="Normal"/>
        <w:widowControl/>
        <w:rPr/>
      </w:pPr>
      <w:r>
        <w:rPr/>
        <w:t>Scale up tellurium extraction from Utah's copper tailings for defense applications.</w:t>
      </w:r>
    </w:p>
    <w:p>
      <w:bookmarkStart w:id="2386" w:name="_NAESTMA_TOC_2386"/>
      <w:pPr>
        <w:pStyle w:val="Heading2"/>
        <w:keepNext/>
        <w:widowControl/>
        <w:rPr/>
      </w:pPr>
      <w:r>
        <w:rPr/>
        <w:t>BD-18. Mexican Silver Recovery from High-Sulphur Waste</w:t>
      </w:r>
      <w:bookmarkEnd w:id="2386"/>
    </w:p>
    <w:p>
      <w:pPr>
        <w:pStyle w:val="Normal"/>
        <w:widowControl/>
        <w:rPr/>
      </w:pPr>
      <w:r>
        <w:rPr/>
        <w:t>Deploy thiourea-oxalate systems to recover silver from Mexico's high-sulphur mining waste.</w:t>
      </w:r>
    </w:p>
    <w:p>
      <w:bookmarkStart w:id="2387" w:name="_NAESTMA_TOC_2387"/>
      <w:pPr>
        <w:pStyle w:val="Heading2"/>
        <w:keepNext/>
        <w:widowControl/>
        <w:rPr/>
      </w:pPr>
      <w:r>
        <w:rPr/>
        <w:t>BD-19. Tri-National REE Recovery from Tailings</w:t>
      </w:r>
      <w:bookmarkEnd w:id="2387"/>
    </w:p>
    <w:p>
      <w:pPr>
        <w:pStyle w:val="Normal"/>
        <w:widowControl/>
        <w:rPr/>
      </w:pPr>
      <w:r>
        <w:rPr/>
        <w:t>Apply Momentum Technologies' Membrane Solvent Extraction (MSX) to REE-rich tailings across all three countries.</w:t>
      </w:r>
    </w:p>
    <w:p>
      <w:bookmarkStart w:id="2388" w:name="_NAESTMA_TOC_2388"/>
      <w:pPr>
        <w:pStyle w:val="Heading2"/>
        <w:keepNext/>
        <w:widowControl/>
        <w:rPr/>
      </w:pPr>
      <w:r>
        <w:rPr/>
        <w:t>BD-20. Canadian Lac Jeannine Iron Tailings Model</w:t>
      </w:r>
      <w:bookmarkEnd w:id="2388"/>
    </w:p>
    <w:p>
      <w:pPr>
        <w:pStyle w:val="Normal"/>
        <w:widowControl/>
        <w:rPr/>
      </w:pPr>
      <w:r>
        <w:rPr/>
        <w:t>Replicate CoTec's iron tailings reprocessing model (73 million tonnes at 6.7% Fe) at similar sites in US and Mexico.</w:t>
      </w:r>
    </w:p>
    <w:p>
      <w:bookmarkStart w:id="2389" w:name="_NAESTMA_TOC_2389"/>
      <w:pPr>
        <w:pStyle w:val="Heading2"/>
        <w:keepNext/>
        <w:widowControl/>
        <w:rPr/>
      </w:pPr>
      <w:r>
        <w:rPr/>
        <w:t>BD-21. US Germanium Recovery from Lead-Zinc Tailings</w:t>
      </w:r>
      <w:bookmarkEnd w:id="2389"/>
    </w:p>
    <w:p>
      <w:pPr>
        <w:pStyle w:val="Normal"/>
        <w:widowControl/>
        <w:rPr/>
      </w:pPr>
      <w:r>
        <w:rPr/>
        <w:t>Extract germanium from legacy lead-zinc tailings at sites like Tar Creek, Oklahoma.</w:t>
      </w:r>
    </w:p>
    <w:p>
      <w:bookmarkStart w:id="2390" w:name="_NAESTMA_TOC_2390"/>
      <w:pPr>
        <w:pStyle w:val="Heading2"/>
        <w:keepNext/>
        <w:widowControl/>
        <w:rPr/>
      </w:pPr>
      <w:r>
        <w:rPr/>
        <w:t>BD-22. Mexican Arsenic/Antimony Removal Technology</w:t>
      </w:r>
      <w:bookmarkEnd w:id="2390"/>
    </w:p>
    <w:p>
      <w:pPr>
        <w:pStyle w:val="Normal"/>
        <w:widowControl/>
        <w:rPr/>
      </w:pPr>
      <w:r>
        <w:rPr/>
        <w:t>Deploy Mexico's alkaline leaching technology to remove arsenic and antimony from polymetallic concentrates across North America.</w:t>
      </w:r>
    </w:p>
    <w:p>
      <w:bookmarkStart w:id="2391" w:name="_NAESTMA_TOC_2391"/>
      <w:pPr>
        <w:pStyle w:val="Heading2"/>
        <w:keepNext/>
        <w:widowControl/>
        <w:rPr/>
      </w:pPr>
      <w:r>
        <w:rPr/>
        <w:t>BD-23. Canadian Gold Tailings Reprocessing</w:t>
      </w:r>
      <w:bookmarkEnd w:id="2391"/>
    </w:p>
    <w:p>
      <w:pPr>
        <w:pStyle w:val="Normal"/>
        <w:widowControl/>
        <w:rPr/>
      </w:pPr>
      <w:r>
        <w:rPr/>
        <w:t>Apply CanmetMINING's gold recovery from tailings (approx. 2 grams per tonne) to US and Mexican sites.</w:t>
      </w:r>
    </w:p>
    <w:p>
      <w:bookmarkStart w:id="2392" w:name="_NAESTMA_TOC_2392"/>
      <w:pPr>
        <w:pStyle w:val="Heading2"/>
        <w:keepNext/>
        <w:widowControl/>
        <w:rPr/>
      </w:pPr>
      <w:r>
        <w:rPr/>
        <w:t>BD-24. US PGM Recovery from Tailings</w:t>
      </w:r>
      <w:bookmarkEnd w:id="2392"/>
    </w:p>
    <w:p>
      <w:pPr>
        <w:pStyle w:val="Normal"/>
        <w:widowControl/>
        <w:rPr/>
      </w:pPr>
      <w:r>
        <w:rPr/>
        <w:t>Deploy flotation and magnetic separation technologies developed at Colorado School of Mines for PGM recovery from domestic tailings.</w:t>
      </w:r>
    </w:p>
    <w:p>
      <w:bookmarkStart w:id="2393" w:name="_NAESTMA_TOC_2393"/>
      <w:pPr>
        <w:pStyle w:val="Heading2"/>
        <w:keepNext/>
        <w:widowControl/>
        <w:rPr/>
      </w:pPr>
      <w:r>
        <w:rPr/>
        <w:t>BD-25. Mexican Cananea-Nacozari Critical Minerals Assessment</w:t>
      </w:r>
      <w:bookmarkEnd w:id="2393"/>
    </w:p>
    <w:p>
      <w:pPr>
        <w:pStyle w:val="Normal"/>
        <w:widowControl/>
        <w:rPr/>
      </w:pPr>
      <w:r>
        <w:rPr/>
        <w:t>Expand economic evaluation of critical minerals (Cu, Mo, Pb, Sb, Zn) in Sonora's abandoned mining wastes.</w:t>
      </w:r>
    </w:p>
    <w:p>
      <w:bookmarkStart w:id="2394" w:name="_NAESTMA_TOC_2394"/>
      <w:pPr>
        <w:pStyle w:val="Heading2"/>
        <w:keepNext/>
        <w:widowControl/>
        <w:rPr/>
      </w:pPr>
      <w:r>
        <w:rPr/>
        <w:t>BD-26. Tri-National Scandium Recovery from Tailings</w:t>
      </w:r>
      <w:bookmarkEnd w:id="2394"/>
    </w:p>
    <w:p>
      <w:pPr>
        <w:pStyle w:val="Normal"/>
        <w:widowControl/>
        <w:rPr/>
      </w:pPr>
      <w:r>
        <w:rPr/>
        <w:t>Recover scandium from tailings across all three countries for aerospace alloys.</w:t>
      </w:r>
    </w:p>
    <w:p>
      <w:bookmarkStart w:id="2395" w:name="_NAESTMA_TOC_2395"/>
      <w:pPr>
        <w:pStyle w:val="Heading2"/>
        <w:keepNext/>
        <w:widowControl/>
        <w:rPr/>
      </w:pPr>
      <w:r>
        <w:rPr/>
        <w:t>BD-27. US EnviroGold NVRO Process Deployment</w:t>
      </w:r>
      <w:bookmarkEnd w:id="2395"/>
    </w:p>
    <w:p>
      <w:pPr>
        <w:pStyle w:val="Normal"/>
        <w:widowControl/>
        <w:rPr/>
      </w:pPr>
      <w:r>
        <w:rPr/>
        <w:t>Deploy EnviroGold's patented NVRO Process™ to recover precious and critical metals from legacy mine waste across North America.</w:t>
      </w:r>
    </w:p>
    <w:p>
      <w:bookmarkStart w:id="2396" w:name="_NAESTMA_TOC_2396"/>
      <w:pPr>
        <w:pStyle w:val="Heading2"/>
        <w:keepNext/>
        <w:widowControl/>
        <w:rPr/>
      </w:pPr>
      <w:r>
        <w:rPr/>
        <w:t>BD-28. Canadian Zero Tailings™ Patent Deployment</w:t>
      </w:r>
      <w:bookmarkEnd w:id="2396"/>
    </w:p>
    <w:p>
      <w:pPr>
        <w:pStyle w:val="Normal"/>
        <w:widowControl/>
        <w:rPr/>
      </w:pPr>
      <w:r>
        <w:rPr/>
        <w:t>Apply BacTech's Zero Tailings™ technology converting mining waste into fertilizer, critical minerals, and industrial products.</w:t>
      </w:r>
    </w:p>
    <w:p>
      <w:bookmarkStart w:id="2397" w:name="_NAESTMA_TOC_2397"/>
      <w:pPr>
        <w:pStyle w:val="Heading2"/>
        <w:keepNext/>
        <w:widowControl/>
        <w:rPr/>
      </w:pPr>
      <w:r>
        <w:rPr/>
        <w:t>BD-29. US Gallium/Indium Recovery from Tailings</w:t>
      </w:r>
      <w:bookmarkEnd w:id="2397"/>
    </w:p>
    <w:p>
      <w:pPr>
        <w:pStyle w:val="Normal"/>
        <w:widowControl/>
        <w:rPr/>
      </w:pPr>
      <w:r>
        <w:rPr/>
        <w:t>Recover gallium and indium from tailings to reduce dependence on Chinese exports.</w:t>
      </w:r>
    </w:p>
    <w:p>
      <w:bookmarkStart w:id="2398" w:name="_NAESTMA_TOC_2398"/>
      <w:pPr>
        <w:pStyle w:val="Heading2"/>
        <w:keepNext/>
        <w:widowControl/>
        <w:rPr/>
      </w:pPr>
      <w:r>
        <w:rPr/>
        <w:t>BD-30. Tri-National Zinc &amp; Germanium from Tar Creek Model</w:t>
      </w:r>
      <w:bookmarkEnd w:id="2398"/>
    </w:p>
    <w:p>
      <w:pPr>
        <w:pStyle w:val="Normal"/>
        <w:widowControl/>
        <w:rPr/>
      </w:pPr>
      <w:r>
        <w:rPr/>
        <w:t>Replicate the Tar Creek model (zinc and germanium recovery from lead-zinc tailings) at similar sites in Canada and Mexico.</w:t>
      </w:r>
    </w:p>
    <w:p>
      <w:bookmarkStart w:id="2399" w:name="_NAESTMA_TOC_2399"/>
      <w:pPr>
        <w:pStyle w:val="Heading2"/>
        <w:keepNext/>
        <w:widowControl/>
        <w:rPr/>
      </w:pPr>
      <w:r>
        <w:rPr/>
        <w:t>BD-31. Mexican REE Recovery from Mining Water</w:t>
      </w:r>
      <w:bookmarkEnd w:id="2399"/>
    </w:p>
    <w:p>
      <w:pPr>
        <w:pStyle w:val="Normal"/>
        <w:widowControl/>
        <w:rPr/>
      </w:pPr>
      <w:r>
        <w:rPr/>
        <w:t>Deploy Mexico's REECOVERY project technology to recover REEs, cobalt, zinc, and copper from mining water.</w:t>
      </w:r>
    </w:p>
    <w:p>
      <w:bookmarkStart w:id="2400" w:name="_NAESTMA_TOC_2400"/>
      <w:pPr>
        <w:pStyle w:val="Heading2"/>
        <w:keepNext/>
        <w:widowControl/>
        <w:rPr/>
      </w:pPr>
      <w:r>
        <w:rPr/>
        <w:t>BD-32. Canadian High-Pressure Slurry Ablation (HPSA)</w:t>
      </w:r>
      <w:bookmarkEnd w:id="2400"/>
    </w:p>
    <w:p>
      <w:pPr>
        <w:pStyle w:val="Normal"/>
        <w:widowControl/>
        <w:rPr/>
      </w:pPr>
      <w:r>
        <w:rPr/>
        <w:t>Deploy DISA Technologies' HPSA technology for mineral liberation from tailings across North America.</w:t>
      </w:r>
    </w:p>
    <w:p>
      <w:bookmarkStart w:id="2401" w:name="_NAESTMA_TOC_2401"/>
      <w:pPr>
        <w:pStyle w:val="Heading2"/>
        <w:keepNext/>
        <w:widowControl/>
        <w:rPr/>
      </w:pPr>
      <w:r>
        <w:rPr/>
        <w:t>BD-33. US Copper Tailings Reprocessing</w:t>
      </w:r>
      <w:bookmarkEnd w:id="2401"/>
    </w:p>
    <w:p>
      <w:pPr>
        <w:pStyle w:val="Normal"/>
        <w:widowControl/>
        <w:rPr/>
      </w:pPr>
      <w:r>
        <w:rPr/>
        <w:t>Recover copper, molybdenum, and rhenium from porphyry copper tailings in the Four Corners region.</w:t>
      </w:r>
    </w:p>
    <w:p>
      <w:bookmarkStart w:id="2402" w:name="_NAESTMA_TOC_2402"/>
      <w:pPr>
        <w:pStyle w:val="Heading2"/>
        <w:keepNext/>
        <w:widowControl/>
        <w:rPr/>
      </w:pPr>
      <w:r>
        <w:rPr/>
        <w:t>BD-34. Tri-National Lithium Recovery from Tailings</w:t>
      </w:r>
      <w:bookmarkEnd w:id="2402"/>
    </w:p>
    <w:p>
      <w:pPr>
        <w:pStyle w:val="Normal"/>
        <w:widowControl/>
        <w:rPr/>
      </w:pPr>
      <w:r>
        <w:rPr/>
        <w:t>Extract lithium from mine tailings and waste streams using Direct Lithium Extraction (DLE) technology.</w:t>
      </w:r>
    </w:p>
    <w:p>
      <w:bookmarkStart w:id="2403" w:name="_NAESTMA_TOC_2403"/>
      <w:pPr>
        <w:pStyle w:val="Heading2"/>
        <w:keepNext/>
        <w:widowControl/>
        <w:rPr/>
      </w:pPr>
      <w:r>
        <w:rPr/>
        <w:t>BD-35. North American Tailings Resource Estimate</w:t>
      </w:r>
      <w:bookmarkEnd w:id="2403"/>
    </w:p>
    <w:p>
      <w:pPr>
        <w:pStyle w:val="Normal"/>
        <w:widowControl/>
        <w:rPr/>
      </w:pPr>
      <w:r>
        <w:rPr/>
        <w:t>Joint comprehensive estimate of all critical minerals contained in North American tailings (USGS estimates show some commodities could meet &gt;200 years of global demand).</w:t>
      </w:r>
    </w:p>
    <w:p>
      <w:bookmarkStart w:id="2404" w:name="_NAESTMA_TOC_2404"/>
      <w:pPr>
        <w:pStyle w:val="Heading2"/>
        <w:keepNext/>
        <w:widowControl/>
        <w:rPr/>
      </w:pPr>
      <w:r>
        <w:rPr/>
        <w:t>BD-36. Quebec Tailings-to-Bricks Model</w:t>
      </w:r>
      <w:bookmarkEnd w:id="2404"/>
    </w:p>
    <w:p>
      <w:pPr>
        <w:pStyle w:val="Normal"/>
        <w:widowControl/>
        <w:rPr/>
      </w:pPr>
      <w:r>
        <w:rPr/>
        <w:t>Replicate Quebec's model of fusing toxic tailings with organic polymer to produce bricks, cinder blocks, paving stones, patio tiles, parking columns, and Jersey barriers.</w:t>
      </w:r>
    </w:p>
    <w:p>
      <w:bookmarkStart w:id="2405" w:name="_NAESTMA_TOC_2405"/>
      <w:pPr>
        <w:pStyle w:val="Heading2"/>
        <w:keepNext/>
        <w:widowControl/>
        <w:rPr/>
      </w:pPr>
      <w:r>
        <w:rPr/>
        <w:t>BD-37. Tri-National Tailings-Based Concrete Standards</w:t>
      </w:r>
      <w:bookmarkEnd w:id="2405"/>
    </w:p>
    <w:p>
      <w:pPr>
        <w:pStyle w:val="Normal"/>
        <w:widowControl/>
        <w:rPr/>
      </w:pPr>
      <w:r>
        <w:rPr/>
        <w:t>Develop harmonized standards for using mine tailings as fine aggregate in concrete (12-18% compressive strength enhancement demonstrated).</w:t>
      </w:r>
    </w:p>
    <w:p>
      <w:bookmarkStart w:id="2406" w:name="_NAESTMA_TOC_2406"/>
      <w:pPr>
        <w:pStyle w:val="Heading2"/>
        <w:keepNext/>
        <w:widowControl/>
        <w:rPr/>
      </w:pPr>
      <w:r>
        <w:rPr/>
        <w:t>BD-38. Mexican Tailings for Pavement Base</w:t>
      </w:r>
      <w:bookmarkEnd w:id="2406"/>
    </w:p>
    <w:p>
      <w:pPr>
        <w:pStyle w:val="Normal"/>
        <w:widowControl/>
        <w:rPr/>
      </w:pPr>
      <w:r>
        <w:rPr/>
        <w:t>Use tailings from Zacatecas as road construction material or hydraulic concrete aggregate.</w:t>
      </w:r>
    </w:p>
    <w:p>
      <w:bookmarkStart w:id="2407" w:name="_NAESTMA_TOC_2407"/>
      <w:pPr>
        <w:pStyle w:val="Heading2"/>
        <w:keepNext/>
        <w:widowControl/>
        <w:rPr/>
      </w:pPr>
      <w:r>
        <w:rPr/>
        <w:t>BD-39. Canadian Tailings Cement Binder</w:t>
      </w:r>
      <w:bookmarkEnd w:id="2407"/>
    </w:p>
    <w:p>
      <w:pPr>
        <w:pStyle w:val="Normal"/>
        <w:widowControl/>
        <w:rPr/>
      </w:pPr>
      <w:r>
        <w:rPr/>
        <w:t>Deploy Lafarge Canada's binder technology for mine tailings across all three countries.</w:t>
      </w:r>
    </w:p>
    <w:p>
      <w:bookmarkStart w:id="2408" w:name="_NAESTMA_TOC_2408"/>
      <w:pPr>
        <w:pStyle w:val="Heading2"/>
        <w:keepNext/>
        <w:widowControl/>
        <w:rPr/>
      </w:pPr>
      <w:r>
        <w:rPr/>
        <w:t>BD-40. US Iron Ore Tailings as Concrete Aggregate</w:t>
      </w:r>
      <w:bookmarkEnd w:id="2408"/>
    </w:p>
    <w:p>
      <w:pPr>
        <w:pStyle w:val="Normal"/>
        <w:widowControl/>
        <w:rPr/>
      </w:pPr>
      <w:r>
        <w:rPr/>
        <w:t>Scale up use of iron ore tailings (IOT) as fine aggregate in concrete (30% replacement demonstrated).</w:t>
      </w:r>
    </w:p>
    <w:p>
      <w:bookmarkStart w:id="2409" w:name="_NAESTMA_TOC_2409"/>
      <w:pPr>
        <w:pStyle w:val="Heading2"/>
        <w:keepNext/>
        <w:widowControl/>
        <w:rPr/>
      </w:pPr>
      <w:r>
        <w:rPr/>
        <w:t>BD-41. Tri-National Geopolymer Tailings Bricks</w:t>
      </w:r>
      <w:bookmarkEnd w:id="2409"/>
    </w:p>
    <w:p>
      <w:pPr>
        <w:pStyle w:val="Normal"/>
        <w:widowControl/>
        <w:rPr/>
      </w:pPr>
      <w:r>
        <w:rPr/>
        <w:t>Develop geopolymer bricks from tailings with lower environmental impact than traditional cement.</w:t>
      </w:r>
    </w:p>
    <w:p>
      <w:bookmarkStart w:id="2410" w:name="_NAESTMA_TOC_2410"/>
      <w:pPr>
        <w:pStyle w:val="Heading2"/>
        <w:keepNext/>
        <w:widowControl/>
        <w:rPr/>
      </w:pPr>
      <w:r>
        <w:rPr/>
        <w:t>BD-42. Mexican Tailings Glass Production</w:t>
      </w:r>
      <w:bookmarkEnd w:id="2410"/>
    </w:p>
    <w:p>
      <w:pPr>
        <w:pStyle w:val="Normal"/>
        <w:widowControl/>
        <w:rPr/>
      </w:pPr>
      <w:r>
        <w:rPr/>
        <w:t>Apply vitrification technology to treat hazardous mining tailings into glass products.</w:t>
      </w:r>
    </w:p>
    <w:p>
      <w:bookmarkStart w:id="2411" w:name="_NAESTMA_TOC_2411"/>
      <w:pPr>
        <w:pStyle w:val="Heading2"/>
        <w:keepNext/>
        <w:widowControl/>
        <w:rPr/>
      </w:pPr>
      <w:r>
        <w:rPr/>
        <w:t>BD-43. Canadian Tailings Backfill for Underground Voids</w:t>
      </w:r>
      <w:bookmarkEnd w:id="2411"/>
    </w:p>
    <w:p>
      <w:pPr>
        <w:pStyle w:val="Normal"/>
        <w:widowControl/>
        <w:rPr/>
      </w:pPr>
      <w:r>
        <w:rPr/>
        <w:t>Use ferrous slag, cement kiln dust, and lime binders to convert tailings into underground mine backfill.</w:t>
      </w:r>
    </w:p>
    <w:p>
      <w:bookmarkStart w:id="2412" w:name="_NAESTMA_TOC_2412"/>
      <w:pPr>
        <w:pStyle w:val="Heading2"/>
        <w:keepNext/>
        <w:widowControl/>
        <w:rPr/>
      </w:pPr>
      <w:r>
        <w:rPr/>
        <w:t>BD-44. Tri-National Tailings-Based 3D Printing</w:t>
      </w:r>
      <w:bookmarkEnd w:id="2412"/>
    </w:p>
    <w:p>
      <w:pPr>
        <w:pStyle w:val="Normal"/>
        <w:widowControl/>
        <w:rPr/>
      </w:pPr>
      <w:r>
        <w:rPr/>
        <w:t>Develop 3D-printed construction materials from tailings-derived geopolymers for pavements and prefabricated elements.</w:t>
      </w:r>
    </w:p>
    <w:p>
      <w:bookmarkStart w:id="2413" w:name="_NAESTMA_TOC_2413"/>
      <w:pPr>
        <w:pStyle w:val="Heading2"/>
        <w:keepNext/>
        <w:widowControl/>
        <w:rPr/>
      </w:pPr>
      <w:r>
        <w:rPr/>
        <w:t>BD-45. US Tailings-Based Low-Carbon Concrete</w:t>
      </w:r>
      <w:bookmarkEnd w:id="2413"/>
    </w:p>
    <w:p>
      <w:pPr>
        <w:pStyle w:val="Normal"/>
        <w:widowControl/>
        <w:rPr/>
      </w:pPr>
      <w:r>
        <w:rPr/>
        <w:t>Create digital library for using mine tailings in low-carbon concrete replacements.</w:t>
      </w:r>
    </w:p>
    <w:p>
      <w:bookmarkStart w:id="2414" w:name="_NAESTMA_TOC_2414"/>
      <w:pPr>
        <w:pStyle w:val="Heading2"/>
        <w:keepNext/>
        <w:widowControl/>
        <w:rPr/>
      </w:pPr>
      <w:r>
        <w:rPr/>
        <w:t>BD-46. Mexican Tailings as Supplementary Cementitious Material</w:t>
      </w:r>
      <w:bookmarkEnd w:id="2414"/>
    </w:p>
    <w:p>
      <w:pPr>
        <w:pStyle w:val="Normal"/>
        <w:widowControl/>
        <w:rPr/>
      </w:pPr>
      <w:r>
        <w:rPr/>
        <w:t>Use tailings high in silica and alumina as alternative cementitious materials.</w:t>
      </w:r>
    </w:p>
    <w:p>
      <w:bookmarkStart w:id="2415" w:name="_NAESTMA_TOC_2415"/>
      <w:pPr>
        <w:pStyle w:val="Heading2"/>
        <w:keepNext/>
        <w:widowControl/>
        <w:rPr/>
      </w:pPr>
      <w:r>
        <w:rPr/>
        <w:t>BD-47. Canadian Tailings Aggregates for 3D Printing Mortars</w:t>
      </w:r>
      <w:bookmarkEnd w:id="2415"/>
    </w:p>
    <w:p>
      <w:pPr>
        <w:pStyle w:val="Normal"/>
        <w:widowControl/>
        <w:rPr/>
      </w:pPr>
      <w:r>
        <w:rPr/>
        <w:t>Develop mortars with 12.5% tailings-derived material for additive manufacturing.</w:t>
      </w:r>
    </w:p>
    <w:p>
      <w:bookmarkStart w:id="2416" w:name="_NAESTMA_TOC_2416"/>
      <w:pPr>
        <w:pStyle w:val="Heading2"/>
        <w:keepNext/>
        <w:widowControl/>
        <w:rPr/>
      </w:pPr>
      <w:r>
        <w:rPr/>
        <w:t>BD-48. Tri-National Tailings-Based Highway Barriers</w:t>
      </w:r>
      <w:bookmarkEnd w:id="2416"/>
    </w:p>
    <w:p>
      <w:pPr>
        <w:pStyle w:val="Normal"/>
        <w:widowControl/>
        <w:rPr/>
      </w:pPr>
      <w:r>
        <w:rPr/>
        <w:t>Produce highway Jersey barriers from tailings-based building materials.</w:t>
      </w:r>
    </w:p>
    <w:p>
      <w:bookmarkStart w:id="2417" w:name="_NAESTMA_TOC_2417"/>
      <w:pPr>
        <w:pStyle w:val="Heading2"/>
        <w:keepNext/>
        <w:widowControl/>
        <w:rPr/>
      </w:pPr>
      <w:r>
        <w:rPr/>
        <w:t>BD-49. US Tailings for Unpaved Road Base</w:t>
      </w:r>
      <w:bookmarkEnd w:id="2417"/>
    </w:p>
    <w:p>
      <w:pPr>
        <w:pStyle w:val="Normal"/>
        <w:widowControl/>
        <w:rPr/>
      </w:pPr>
      <w:r>
        <w:rPr/>
        <w:t>Use copper tailings (density 2.8-3.4 g/cm³, d50 0.2-0.8mm) for unpaved road base construction.</w:t>
      </w:r>
    </w:p>
    <w:p>
      <w:bookmarkStart w:id="2418" w:name="_NAESTMA_TOC_2418"/>
      <w:pPr>
        <w:pStyle w:val="Heading2"/>
        <w:keepNext/>
        <w:widowControl/>
        <w:rPr/>
      </w:pPr>
      <w:r>
        <w:rPr/>
        <w:t>BD-50. Mexican Tailings Stabilized with Portland Cement</w:t>
      </w:r>
      <w:bookmarkEnd w:id="2418"/>
    </w:p>
    <w:p>
      <w:pPr>
        <w:pStyle w:val="Normal"/>
        <w:widowControl/>
        <w:rPr/>
      </w:pPr>
      <w:r>
        <w:rPr/>
        <w:t>Stabilize tailings with 3-5% Portland cement to reduce heavy metal transport for construction use.</w:t>
      </w:r>
    </w:p>
    <w:p>
      <w:bookmarkStart w:id="2419" w:name="_NAESTMA_TOC_2419"/>
      <w:pPr>
        <w:pStyle w:val="Heading2"/>
        <w:keepNext/>
        <w:widowControl/>
        <w:rPr/>
      </w:pPr>
      <w:r>
        <w:rPr/>
        <w:t>BD-51. Tri-National Tailings-Based Roofing Tiles</w:t>
      </w:r>
      <w:bookmarkEnd w:id="2419"/>
    </w:p>
    <w:p>
      <w:pPr>
        <w:pStyle w:val="Normal"/>
        <w:widowControl/>
        <w:rPr/>
      </w:pPr>
      <w:r>
        <w:rPr/>
        <w:t>Manufacture roofing tiles from tailings-based materials.</w:t>
      </w:r>
    </w:p>
    <w:p>
      <w:bookmarkStart w:id="2420" w:name="_NAESTMA_TOC_2420"/>
      <w:pPr>
        <w:pStyle w:val="Heading2"/>
        <w:keepNext/>
        <w:widowControl/>
        <w:rPr/>
      </w:pPr>
      <w:r>
        <w:rPr/>
        <w:t>BD-52. Canadian Tailings as Fine Aggregate</w:t>
      </w:r>
      <w:bookmarkEnd w:id="2420"/>
    </w:p>
    <w:p>
      <w:pPr>
        <w:pStyle w:val="Normal"/>
        <w:widowControl/>
        <w:rPr/>
      </w:pPr>
      <w:r>
        <w:rPr/>
        <w:t>Use 10-50% tailings as fine aggregate replacement in concrete across North America.</w:t>
      </w:r>
    </w:p>
    <w:p>
      <w:bookmarkStart w:id="2421" w:name="_NAESTMA_TOC_2421"/>
      <w:pPr>
        <w:pStyle w:val="Heading2"/>
        <w:keepNext/>
        <w:widowControl/>
        <w:rPr/>
      </w:pPr>
      <w:r>
        <w:rPr/>
        <w:t>BD-53. US Tailings Geopolymer for Prefabricated Elements</w:t>
      </w:r>
      <w:bookmarkEnd w:id="2421"/>
    </w:p>
    <w:p>
      <w:pPr>
        <w:pStyle w:val="Normal"/>
        <w:widowControl/>
        <w:rPr/>
      </w:pPr>
      <w:r>
        <w:rPr/>
        <w:t>Produce prefabricated construction elements from tailings geopolymers.</w:t>
      </w:r>
    </w:p>
    <w:p>
      <w:bookmarkStart w:id="2422" w:name="_NAESTMA_TOC_2422"/>
      <w:pPr>
        <w:pStyle w:val="Heading2"/>
        <w:keepNext/>
        <w:widowControl/>
        <w:rPr/>
      </w:pPr>
      <w:r>
        <w:rPr/>
        <w:t>BD-54. Tri-National Tailings-Based Insulation Materials</w:t>
      </w:r>
      <w:bookmarkEnd w:id="2422"/>
    </w:p>
    <w:p>
      <w:pPr>
        <w:pStyle w:val="Normal"/>
        <w:widowControl/>
        <w:rPr/>
      </w:pPr>
      <w:r>
        <w:rPr/>
        <w:t>Develop insulation materials from processed tailings.</w:t>
      </w:r>
    </w:p>
    <w:p>
      <w:bookmarkStart w:id="2423" w:name="_NAESTMA_TOC_2423"/>
      <w:pPr>
        <w:pStyle w:val="Heading2"/>
        <w:keepNext/>
        <w:widowControl/>
        <w:rPr/>
      </w:pPr>
      <w:r>
        <w:rPr/>
        <w:t>BD-55. North American Tailings Construction Materials Database</w:t>
      </w:r>
      <w:bookmarkEnd w:id="2423"/>
    </w:p>
    <w:p>
      <w:pPr>
        <w:pStyle w:val="Normal"/>
        <w:widowControl/>
        <w:rPr/>
      </w:pPr>
      <w:r>
        <w:rPr/>
        <w:t>Shared database of tailings properties for construction applications across all three countries.</w:t>
      </w:r>
    </w:p>
    <w:p>
      <w:bookmarkStart w:id="2424" w:name="_NAESTMA_TOC_2424"/>
      <w:pPr>
        <w:pStyle w:val="Heading2"/>
        <w:keepNext/>
        <w:widowControl/>
        <w:rPr/>
      </w:pPr>
      <w:r>
        <w:rPr/>
        <w:t>BD-56. Treated Residue Reclamation Research</w:t>
      </w:r>
      <w:bookmarkEnd w:id="2424"/>
    </w:p>
    <w:p>
      <w:pPr>
        <w:pStyle w:val="Normal"/>
        <w:widowControl/>
        <w:rPr/>
      </w:pPr>
      <w:r>
        <w:rPr/>
        <w:t>Evaluate treated residues first for mine-site reclamation and non-food uses; food-producing soils require exceptional contaminant, uptake and long-term leaching evidence.</w:t>
      </w:r>
    </w:p>
    <w:p>
      <w:bookmarkStart w:id="2425" w:name="_NAESTMA_TOC_2425"/>
      <w:pPr>
        <w:pStyle w:val="Heading2"/>
        <w:keepNext/>
        <w:widowControl/>
        <w:rPr/>
      </w:pPr>
      <w:r>
        <w:rPr/>
        <w:t>BD-57. Recovered Nutrient Products from Mine Waste</w:t>
      </w:r>
      <w:bookmarkEnd w:id="2425"/>
    </w:p>
    <w:p>
      <w:pPr>
        <w:pStyle w:val="Normal"/>
        <w:widowControl/>
        <w:rPr/>
      </w:pPr>
      <w:r>
        <w:rPr/>
        <w:t>Recover purified nutrient products from eligible waste streams only where the final product independently meets fertilizer and food-chain safety standards.</w:t>
      </w:r>
    </w:p>
    <w:p>
      <w:bookmarkStart w:id="2426" w:name="_NAESTMA_TOC_2426"/>
      <w:pPr>
        <w:pStyle w:val="Heading2"/>
        <w:keepNext/>
        <w:widowControl/>
        <w:rPr/>
      </w:pPr>
      <w:r>
        <w:rPr/>
        <w:t>BD-58. Controlled Mine-Land Ecological Restoration Trials</w:t>
      </w:r>
      <w:bookmarkEnd w:id="2426"/>
    </w:p>
    <w:p>
      <w:pPr>
        <w:pStyle w:val="Normal"/>
        <w:widowControl/>
        <w:rPr/>
      </w:pPr>
      <w:r>
        <w:rPr/>
        <w:t>Use fully characterized materials in controlled restoration of degraded mine lands rather than blanket agricultural application.</w:t>
      </w:r>
    </w:p>
    <w:p>
      <w:bookmarkStart w:id="2427" w:name="_NAESTMA_TOC_2427"/>
      <w:pPr>
        <w:pStyle w:val="Heading2"/>
        <w:keepNext/>
        <w:widowControl/>
        <w:rPr/>
      </w:pPr>
      <w:r>
        <w:rPr/>
        <w:t>BD-59. Purified Nutrient Recovery</w:t>
      </w:r>
      <w:bookmarkEnd w:id="2427"/>
    </w:p>
    <w:p>
      <w:pPr>
        <w:pStyle w:val="Normal"/>
        <w:widowControl/>
        <w:rPr/>
      </w:pPr>
      <w:r>
        <w:rPr/>
        <w:t>Extract useful nutrients into purified products instead of spreading heterogeneous tailings on food-producing soils.</w:t>
      </w:r>
    </w:p>
    <w:p>
      <w:bookmarkStart w:id="2428" w:name="_NAESTMA_TOC_2428"/>
      <w:pPr>
        <w:pStyle w:val="Heading2"/>
        <w:keepNext/>
        <w:widowControl/>
        <w:rPr/>
      </w:pPr>
      <w:r>
        <w:rPr/>
        <w:t>BD-60. Mine-Land Remediation Substrates</w:t>
      </w:r>
      <w:bookmarkEnd w:id="2428"/>
    </w:p>
    <w:p>
      <w:pPr>
        <w:pStyle w:val="Normal"/>
        <w:widowControl/>
        <w:rPr/>
      </w:pPr>
      <w:r>
        <w:rPr/>
        <w:t>Develop controlled remediation substrates for contaminated mine lands; composting does not waive contaminant limits.</w:t>
      </w:r>
    </w:p>
    <w:p>
      <w:bookmarkStart w:id="2429" w:name="_NAESTMA_TOC_2429"/>
      <w:pPr>
        <w:pStyle w:val="Heading2"/>
        <w:keepNext/>
        <w:widowControl/>
        <w:rPr/>
      </w:pPr>
      <w:r>
        <w:rPr/>
        <w:t>BD-61. Phosphate-Tailings Rehabilitation Research</w:t>
      </w:r>
      <w:bookmarkEnd w:id="2429"/>
    </w:p>
    <w:p>
      <w:pPr>
        <w:pStyle w:val="Normal"/>
        <w:widowControl/>
        <w:rPr/>
      </w:pPr>
      <w:r>
        <w:rPr/>
        <w:t>Research conversion/stabilization for rehabilitation uses, with food-chain applications requiring separate stringent certification.</w:t>
      </w:r>
    </w:p>
    <w:p>
      <w:bookmarkStart w:id="2430" w:name="_NAESTMA_TOC_2430"/>
      <w:pPr>
        <w:pStyle w:val="Heading2"/>
        <w:keepNext/>
        <w:widowControl/>
        <w:rPr/>
      </w:pPr>
      <w:r>
        <w:rPr/>
        <w:t>BD-62. Controlled Plant-Toxicity and Uptake Research Program</w:t>
      </w:r>
      <w:bookmarkEnd w:id="2430"/>
    </w:p>
    <w:p>
      <w:pPr>
        <w:pStyle w:val="Normal"/>
        <w:widowControl/>
        <w:rPr/>
      </w:pPr>
      <w:r>
        <w:rPr/>
        <w:t>Study plant response, contaminant uptake and leaching under controlled conditions; no treaty-prescribed application rate to food crops.</w:t>
      </w:r>
    </w:p>
    <w:p>
      <w:bookmarkStart w:id="2431" w:name="_NAESTMA_TOC_2431"/>
      <w:pPr>
        <w:pStyle w:val="Heading2"/>
        <w:keepNext/>
        <w:widowControl/>
        <w:rPr/>
      </w:pPr>
      <w:r>
        <w:rPr/>
        <w:t>BD-63. Characterized Mineral Byproducts for Land Restoration</w:t>
      </w:r>
      <w:bookmarkEnd w:id="2431"/>
    </w:p>
    <w:p>
      <w:pPr>
        <w:pStyle w:val="Normal"/>
        <w:widowControl/>
        <w:rPr/>
      </w:pPr>
      <w:r>
        <w:rPr/>
        <w:t>Permit research on benign, characterized byproducts for restoration; food-chain uses require independent stringent certification.</w:t>
      </w:r>
    </w:p>
    <w:p>
      <w:bookmarkStart w:id="2432" w:name="_NAESTMA_TOC_2432"/>
      <w:pPr>
        <w:pStyle w:val="Heading2"/>
        <w:keepNext/>
        <w:widowControl/>
        <w:rPr/>
      </w:pPr>
      <w:r>
        <w:rPr/>
        <w:t>BD-64. Phytoremediation and Revegetation Research</w:t>
      </w:r>
      <w:bookmarkEnd w:id="2432"/>
    </w:p>
    <w:p>
      <w:pPr>
        <w:pStyle w:val="Normal"/>
        <w:widowControl/>
        <w:rPr/>
      </w:pPr>
      <w:r>
        <w:rPr/>
        <w:t>Use vegetation and soil amendments to restore mine lands under contaminant-management controls rather than general agricultural deployment.</w:t>
      </w:r>
    </w:p>
    <w:p>
      <w:bookmarkStart w:id="2433" w:name="_NAESTMA_TOC_2433"/>
      <w:pPr>
        <w:pStyle w:val="Heading2"/>
        <w:keepNext/>
        <w:widowControl/>
        <w:rPr/>
      </w:pPr>
      <w:r>
        <w:rPr/>
        <w:t>BD-65. Tri-National Tailings-Based Biofertilizer Standards</w:t>
      </w:r>
      <w:bookmarkEnd w:id="2433"/>
    </w:p>
    <w:p>
      <w:pPr>
        <w:pStyle w:val="Normal"/>
        <w:widowControl/>
        <w:rPr/>
      </w:pPr>
      <w:r>
        <w:rPr/>
        <w:t>Harmonized standards for tailings-derived biofertilizers across all three countries.</w:t>
      </w:r>
    </w:p>
    <w:p>
      <w:bookmarkStart w:id="2434" w:name="_NAESTMA_TOC_2434"/>
      <w:pPr>
        <w:pStyle w:val="Heading2"/>
        <w:keepNext/>
        <w:widowControl/>
        <w:rPr/>
      </w:pPr>
      <w:r>
        <w:rPr/>
        <w:t>BD-66. Canadian Bioleaching for Acid Mine Drainage Prevention</w:t>
      </w:r>
      <w:bookmarkEnd w:id="2434"/>
    </w:p>
    <w:p>
      <w:pPr>
        <w:pStyle w:val="Normal"/>
        <w:widowControl/>
        <w:rPr/>
      </w:pPr>
      <w:r>
        <w:rPr/>
        <w:t>Deploy CanmetMINING's bioleaching process to remove sulfides from tailings, preventing acid generation.</w:t>
      </w:r>
    </w:p>
    <w:p>
      <w:bookmarkStart w:id="2435" w:name="_NAESTMA_TOC_2435"/>
      <w:pPr>
        <w:pStyle w:val="Heading2"/>
        <w:keepNext/>
        <w:widowControl/>
        <w:rPr/>
      </w:pPr>
      <w:r>
        <w:rPr/>
        <w:t>BD-67. Tri-National Tailings Desulphurization</w:t>
      </w:r>
      <w:bookmarkEnd w:id="2435"/>
    </w:p>
    <w:p>
      <w:pPr>
        <w:pStyle w:val="Normal"/>
        <w:widowControl/>
        <w:rPr/>
      </w:pPr>
      <w:r>
        <w:rPr/>
        <w:t>Joint research on speeding up desulphurization so tailings no longer generate acid.</w:t>
      </w:r>
    </w:p>
    <w:p>
      <w:bookmarkStart w:id="2436" w:name="_NAESTMA_TOC_2436"/>
      <w:pPr>
        <w:pStyle w:val="Heading2"/>
        <w:keepNext/>
        <w:widowControl/>
        <w:rPr/>
      </w:pPr>
      <w:r>
        <w:rPr/>
        <w:t>BD-68. US Electrochemical Mineralization of Tailings Water</w:t>
      </w:r>
      <w:bookmarkEnd w:id="2436"/>
    </w:p>
    <w:p>
      <w:pPr>
        <w:pStyle w:val="Normal"/>
        <w:widowControl/>
        <w:rPr/>
      </w:pPr>
      <w:r>
        <w:rPr/>
        <w:t>Deploy electrochemically stimulated mineralization to treat tailings supernatant water.</w:t>
      </w:r>
    </w:p>
    <w:p>
      <w:bookmarkStart w:id="2437" w:name="_NAESTMA_TOC_2437"/>
      <w:pPr>
        <w:pStyle w:val="Heading2"/>
        <w:keepNext/>
        <w:widowControl/>
        <w:rPr/>
      </w:pPr>
      <w:r>
        <w:rPr/>
        <w:t>BD-69. Mexican Mercury Stabilization from Tailings</w:t>
      </w:r>
      <w:bookmarkEnd w:id="2437"/>
    </w:p>
    <w:p>
      <w:pPr>
        <w:pStyle w:val="Normal"/>
        <w:widowControl/>
        <w:rPr/>
      </w:pPr>
      <w:r>
        <w:rPr/>
        <w:t>Apply chemical and mineralogical assessment techniques to stabilize mercury in historic mining wastes.</w:t>
      </w:r>
    </w:p>
    <w:p>
      <w:bookmarkStart w:id="2438" w:name="_NAESTMA_TOC_2438"/>
      <w:pPr>
        <w:pStyle w:val="Heading2"/>
        <w:keepNext/>
        <w:widowControl/>
        <w:rPr/>
      </w:pPr>
      <w:r>
        <w:rPr/>
        <w:t>BD-70. Canadian Tailings as Backfill for Mine Voids</w:t>
      </w:r>
      <w:bookmarkEnd w:id="2438"/>
    </w:p>
    <w:p>
      <w:pPr>
        <w:pStyle w:val="Normal"/>
        <w:widowControl/>
        <w:rPr/>
      </w:pPr>
      <w:r>
        <w:rPr/>
        <w:t>Use treated tailings to backfill underground mine voids, preventing subsidence.</w:t>
      </w:r>
    </w:p>
    <w:p>
      <w:bookmarkStart w:id="2439" w:name="_NAESTMA_TOC_2439"/>
      <w:pPr>
        <w:pStyle w:val="Heading2"/>
        <w:keepNext/>
        <w:widowControl/>
        <w:rPr/>
      </w:pPr>
      <w:r>
        <w:rPr/>
        <w:t>BD-71. Tri-National Phytoremediation of Tailings Sites</w:t>
      </w:r>
      <w:bookmarkEnd w:id="2439"/>
    </w:p>
    <w:p>
      <w:pPr>
        <w:pStyle w:val="Normal"/>
        <w:widowControl/>
        <w:rPr/>
      </w:pPr>
      <w:r>
        <w:rPr/>
        <w:t>Use hyperaccumulator plants to extract metals from tailings while reclaiming land.</w:t>
      </w:r>
    </w:p>
    <w:p>
      <w:bookmarkStart w:id="2440" w:name="_NAESTMA_TOC_2440"/>
      <w:pPr>
        <w:pStyle w:val="Heading2"/>
        <w:keepNext/>
        <w:widowControl/>
        <w:rPr/>
      </w:pPr>
      <w:r>
        <w:rPr/>
        <w:t>BD-72. US Tailings Ponds Rehabilitation</w:t>
      </w:r>
      <w:bookmarkEnd w:id="2440"/>
    </w:p>
    <w:p>
      <w:pPr>
        <w:pStyle w:val="Normal"/>
        <w:widowControl/>
        <w:rPr/>
      </w:pPr>
      <w:r>
        <w:rPr/>
        <w:t>Convert tailings ponds to wetlands or productive land after reprocessing.</w:t>
      </w:r>
    </w:p>
    <w:p>
      <w:bookmarkStart w:id="2441" w:name="_NAESTMA_TOC_2441"/>
      <w:pPr>
        <w:pStyle w:val="Heading2"/>
        <w:keepNext/>
        <w:widowControl/>
        <w:rPr/>
      </w:pPr>
      <w:r>
        <w:rPr/>
        <w:t>BD-73. Mexican Tailings Dam Safety Standards</w:t>
      </w:r>
      <w:bookmarkEnd w:id="2441"/>
    </w:p>
    <w:p>
      <w:pPr>
        <w:pStyle w:val="Normal"/>
        <w:widowControl/>
        <w:rPr/>
      </w:pPr>
      <w:r>
        <w:rPr/>
        <w:t>Harmonize tailings dam safety standards across North America.</w:t>
      </w:r>
    </w:p>
    <w:p>
      <w:bookmarkStart w:id="2442" w:name="_NAESTMA_TOC_2442"/>
      <w:pPr>
        <w:pStyle w:val="Heading2"/>
        <w:keepNext/>
        <w:widowControl/>
        <w:rPr/>
      </w:pPr>
      <w:r>
        <w:rPr/>
        <w:t>BD-74. Canadian Oilsands Tailings Treatment Standards</w:t>
      </w:r>
      <w:bookmarkEnd w:id="2442"/>
    </w:p>
    <w:p>
      <w:pPr>
        <w:pStyle w:val="Normal"/>
        <w:widowControl/>
        <w:rPr/>
      </w:pPr>
      <w:r>
        <w:rPr/>
        <w:t>Develop coordinated standards for releasing treated oilsands tailings.</w:t>
      </w:r>
    </w:p>
    <w:p>
      <w:bookmarkStart w:id="2443" w:name="_NAESTMA_TOC_2443"/>
      <w:pPr>
        <w:pStyle w:val="Heading2"/>
        <w:keepNext/>
        <w:widowControl/>
        <w:rPr/>
      </w:pPr>
      <w:r>
        <w:rPr/>
        <w:t>BD-75. Tri-National Tailings Revegetation</w:t>
      </w:r>
      <w:bookmarkEnd w:id="2443"/>
    </w:p>
    <w:p>
      <w:pPr>
        <w:pStyle w:val="Normal"/>
        <w:widowControl/>
        <w:rPr/>
      </w:pPr>
      <w:r>
        <w:rPr/>
        <w:t>Joint programs to revegetate tailings sites using sludge-amended soils (90% survival rates demonstrated).</w:t>
      </w:r>
    </w:p>
    <w:p>
      <w:bookmarkStart w:id="2444" w:name="_NAESTMA_TOC_2444"/>
      <w:pPr>
        <w:pStyle w:val="Heading2"/>
        <w:keepNext/>
        <w:widowControl/>
        <w:rPr/>
      </w:pPr>
      <w:r>
        <w:rPr/>
        <w:t>BD-76. US Acid Mine Drainage REE Recovery</w:t>
      </w:r>
      <w:bookmarkEnd w:id="2444"/>
    </w:p>
    <w:p>
      <w:pPr>
        <w:pStyle w:val="Normal"/>
        <w:widowControl/>
        <w:rPr/>
      </w:pPr>
      <w:r>
        <w:rPr/>
        <w:t>Extract REEs from acid mine drainage and tailings liquors while treating water.</w:t>
      </w:r>
    </w:p>
    <w:p>
      <w:bookmarkStart w:id="2445" w:name="_NAESTMA_TOC_2445"/>
      <w:pPr>
        <w:pStyle w:val="Heading2"/>
        <w:keepNext/>
        <w:widowControl/>
        <w:rPr/>
      </w:pPr>
      <w:r>
        <w:rPr/>
        <w:t>BD-77. Mexican Tailings Vitrification for Hazardous Waste</w:t>
      </w:r>
      <w:bookmarkEnd w:id="2445"/>
    </w:p>
    <w:p>
      <w:pPr>
        <w:pStyle w:val="Normal"/>
        <w:widowControl/>
        <w:rPr/>
      </w:pPr>
      <w:r>
        <w:rPr/>
        <w:t>Use vitrification to solidify hazardous mining tailings.</w:t>
      </w:r>
    </w:p>
    <w:p>
      <w:bookmarkStart w:id="2446" w:name="_NAESTMA_TOC_2446"/>
      <w:pPr>
        <w:pStyle w:val="Heading2"/>
        <w:keepNext/>
        <w:widowControl/>
        <w:rPr/>
      </w:pPr>
      <w:r>
        <w:rPr/>
        <w:t>BD-78. Tri-National Tailings Pond Closure Standards</w:t>
      </w:r>
      <w:bookmarkEnd w:id="2446"/>
    </w:p>
    <w:p>
      <w:pPr>
        <w:pStyle w:val="Normal"/>
        <w:widowControl/>
        <w:rPr/>
      </w:pPr>
      <w:r>
        <w:rPr/>
        <w:t>Harmonized standards for closing and reclaiming tailings ponds.</w:t>
      </w:r>
    </w:p>
    <w:p>
      <w:bookmarkStart w:id="2447" w:name="_NAESTMA_TOC_2447"/>
      <w:pPr>
        <w:pStyle w:val="Heading2"/>
        <w:keepNext/>
        <w:widowControl/>
        <w:rPr/>
      </w:pPr>
      <w:r>
        <w:rPr/>
        <w:t>BD-79. Canadian Experimental Field Cells for Tailings</w:t>
      </w:r>
      <w:bookmarkEnd w:id="2447"/>
    </w:p>
    <w:p>
      <w:pPr>
        <w:pStyle w:val="Normal"/>
        <w:widowControl/>
        <w:rPr/>
      </w:pPr>
      <w:r>
        <w:rPr/>
        <w:t>Deploy Natural Resources Canada's experimental field cell research for tailings management across North America.</w:t>
      </w:r>
    </w:p>
    <w:p>
      <w:bookmarkStart w:id="2448" w:name="_NAESTMA_TOC_2448"/>
      <w:pPr>
        <w:pStyle w:val="Heading2"/>
        <w:keepNext/>
        <w:widowControl/>
        <w:rPr/>
      </w:pPr>
      <w:r>
        <w:rPr/>
        <w:t>BD-80. North American Tailings Remediation Fund</w:t>
      </w:r>
      <w:bookmarkEnd w:id="2448"/>
    </w:p>
    <w:p>
      <w:pPr>
        <w:pStyle w:val="Normal"/>
        <w:widowControl/>
        <w:rPr/>
      </w:pPr>
      <w:r>
        <w:rPr/>
        <w:t>Joint fund to clean up the most hazardous tailings sites while recovering value.</w:t>
      </w:r>
    </w:p>
    <w:p>
      <w:bookmarkStart w:id="2449" w:name="_NAESTMA_TOC_2449"/>
      <w:pPr>
        <w:pStyle w:val="Heading2"/>
        <w:keepNext/>
        <w:widowControl/>
        <w:rPr/>
      </w:pPr>
      <w:r>
        <w:rPr/>
        <w:t>BD-81. Canadian Bioleaching Technology Transfer to US/Mexico</w:t>
      </w:r>
      <w:bookmarkEnd w:id="2449"/>
    </w:p>
    <w:p>
      <w:pPr>
        <w:pStyle w:val="Normal"/>
        <w:widowControl/>
        <w:rPr/>
      </w:pPr>
      <w:r>
        <w:rPr/>
        <w:t>Transfer CanmetMINING's nickel/cobalt bioleaching process to US and Mexican facilities.</w:t>
      </w:r>
    </w:p>
    <w:p>
      <w:bookmarkStart w:id="2450" w:name="_NAESTMA_TOC_2450"/>
      <w:pPr>
        <w:pStyle w:val="Heading2"/>
        <w:keepNext/>
        <w:widowControl/>
        <w:rPr/>
      </w:pPr>
      <w:r>
        <w:rPr/>
        <w:t>BD-82. US Membrane Solvent Extraction (MSX) Deployment</w:t>
      </w:r>
      <w:bookmarkEnd w:id="2450"/>
    </w:p>
    <w:p>
      <w:pPr>
        <w:pStyle w:val="Normal"/>
        <w:widowControl/>
        <w:rPr/>
      </w:pPr>
      <w:r>
        <w:rPr/>
        <w:t>Deploy Momentum Technologies' MSX for REE recovery from tailings across North America.</w:t>
      </w:r>
    </w:p>
    <w:p>
      <w:bookmarkStart w:id="2451" w:name="_NAESTMA_TOC_2451"/>
      <w:pPr>
        <w:pStyle w:val="Heading2"/>
        <w:keepNext/>
        <w:widowControl/>
        <w:rPr/>
      </w:pPr>
      <w:r>
        <w:rPr/>
        <w:t>BD-83. Mexican Alkaline Leaching Technology Export</w:t>
      </w:r>
      <w:bookmarkEnd w:id="2451"/>
    </w:p>
    <w:p>
      <w:pPr>
        <w:pStyle w:val="Normal"/>
        <w:widowControl/>
        <w:rPr/>
      </w:pPr>
      <w:r>
        <w:rPr/>
        <w:t>Export Mexico's arsenic/antimony removal technology to US and Canadian operations.</w:t>
      </w:r>
    </w:p>
    <w:p>
      <w:bookmarkStart w:id="2452" w:name="_NAESTMA_TOC_2452"/>
      <w:pPr>
        <w:pStyle w:val="Heading2"/>
        <w:keepNext/>
        <w:widowControl/>
        <w:rPr/>
      </w:pPr>
      <w:r>
        <w:rPr/>
        <w:t>BD-84. Tri-National High-Pressure Slurry Ablation (HPSA) Network</w:t>
      </w:r>
      <w:bookmarkEnd w:id="2452"/>
    </w:p>
    <w:p>
      <w:pPr>
        <w:pStyle w:val="Normal"/>
        <w:widowControl/>
        <w:rPr/>
      </w:pPr>
      <w:r>
        <w:rPr/>
        <w:t>Establish HPSA testing and deployment centers in all three countries.</w:t>
      </w:r>
    </w:p>
    <w:p>
      <w:bookmarkStart w:id="2453" w:name="_NAESTMA_TOC_2453"/>
      <w:pPr>
        <w:pStyle w:val="Heading2"/>
        <w:keepNext/>
        <w:widowControl/>
        <w:rPr/>
      </w:pPr>
      <w:r>
        <w:rPr/>
        <w:t>BD-85. US EnviroGold NVRO Process™ Licensing</w:t>
      </w:r>
      <w:bookmarkEnd w:id="2453"/>
    </w:p>
    <w:p>
      <w:pPr>
        <w:pStyle w:val="Normal"/>
        <w:widowControl/>
        <w:rPr/>
      </w:pPr>
      <w:r>
        <w:rPr/>
        <w:t>License EnviroGold's NVRO Process™ for precious and critical metal recovery from tailings across North America.</w:t>
      </w:r>
    </w:p>
    <w:p>
      <w:bookmarkStart w:id="2454" w:name="_NAESTMA_TOC_2454"/>
      <w:pPr>
        <w:pStyle w:val="Heading2"/>
        <w:keepNext/>
        <w:widowControl/>
        <w:rPr/>
      </w:pPr>
      <w:r>
        <w:rPr/>
        <w:t>BD-86. Canadian Multi-Gravity Separator (MGS) Technology</w:t>
      </w:r>
      <w:bookmarkEnd w:id="2454"/>
    </w:p>
    <w:p>
      <w:pPr>
        <w:pStyle w:val="Normal"/>
        <w:widowControl/>
        <w:rPr/>
      </w:pPr>
      <w:r>
        <w:rPr/>
        <w:t>Deploy Salter Cyclone MGS technology for iron ore recovery from tailings.</w:t>
      </w:r>
    </w:p>
    <w:p>
      <w:bookmarkStart w:id="2455" w:name="_NAESTMA_TOC_2455"/>
      <w:pPr>
        <w:pStyle w:val="Heading2"/>
        <w:keepNext/>
        <w:widowControl/>
        <w:rPr/>
      </w:pPr>
      <w:r>
        <w:rPr/>
        <w:t>BD-87. Tri-National REE Recovery from Wastewater</w:t>
      </w:r>
      <w:bookmarkEnd w:id="2455"/>
    </w:p>
    <w:p>
      <w:pPr>
        <w:pStyle w:val="Normal"/>
        <w:widowControl/>
        <w:rPr/>
      </w:pPr>
      <w:r>
        <w:rPr/>
        <w:t>Deploy University of California, Davis REE extraction from acidic wastewater and tailings liquors.</w:t>
      </w:r>
    </w:p>
    <w:p>
      <w:bookmarkStart w:id="2456" w:name="_NAESTMA_TOC_2456"/>
      <w:pPr>
        <w:pStyle w:val="Heading2"/>
        <w:keepNext/>
        <w:widowControl/>
        <w:rPr/>
      </w:pPr>
      <w:r>
        <w:rPr/>
        <w:t>BD-88. US Flotation Optimization for Tailings</w:t>
      </w:r>
      <w:bookmarkEnd w:id="2456"/>
    </w:p>
    <w:p>
      <w:pPr>
        <w:pStyle w:val="Normal"/>
        <w:widowControl/>
        <w:rPr/>
      </w:pPr>
      <w:r>
        <w:rPr/>
        <w:t>Apply Colorado School of Mines flotation research to tailings reprocessing across all three.</w:t>
      </w:r>
    </w:p>
    <w:p>
      <w:bookmarkStart w:id="2457" w:name="_NAESTMA_TOC_2457"/>
      <w:pPr>
        <w:pStyle w:val="Heading2"/>
        <w:keepNext/>
        <w:widowControl/>
        <w:rPr/>
      </w:pPr>
      <w:r>
        <w:rPr/>
        <w:t>BD-89. Canadian Ion Exchange for Critical Metals</w:t>
      </w:r>
      <w:bookmarkEnd w:id="2457"/>
    </w:p>
    <w:p>
      <w:pPr>
        <w:pStyle w:val="Normal"/>
        <w:widowControl/>
        <w:rPr/>
      </w:pPr>
      <w:r>
        <w:rPr/>
        <w:t>Deploy Renix's steady-state ion exchange platform for tailings processing.</w:t>
      </w:r>
    </w:p>
    <w:p>
      <w:bookmarkStart w:id="2458" w:name="_NAESTMA_TOC_2458"/>
      <w:pPr>
        <w:pStyle w:val="Heading2"/>
        <w:keepNext/>
        <w:widowControl/>
        <w:rPr/>
      </w:pPr>
      <w:r>
        <w:rPr/>
        <w:t>BD-90. Tri-National Machine Learning for Tailings Characterization</w:t>
      </w:r>
      <w:bookmarkEnd w:id="2458"/>
    </w:p>
    <w:p>
      <w:pPr>
        <w:pStyle w:val="Normal"/>
        <w:widowControl/>
        <w:rPr/>
      </w:pPr>
      <w:r>
        <w:rPr/>
        <w:t>Use AI to identify optimal reprocessing strategies for different tailings types.</w:t>
      </w:r>
    </w:p>
    <w:p>
      <w:bookmarkStart w:id="2459" w:name="_NAESTMA_TOC_2459"/>
      <w:pPr>
        <w:pStyle w:val="Heading2"/>
        <w:keepNext/>
        <w:widowControl/>
        <w:rPr/>
      </w:pPr>
      <w:r>
        <w:rPr/>
        <w:t>BD-91. US Magnetic Separation for PGM Tailings</w:t>
      </w:r>
      <w:bookmarkEnd w:id="2459"/>
    </w:p>
    <w:p>
      <w:pPr>
        <w:pStyle w:val="Normal"/>
        <w:widowControl/>
        <w:rPr/>
      </w:pPr>
      <w:r>
        <w:rPr/>
        <w:t>Deploy magnetic separation (68% mass yield, 60% palladium recovery) for PGM tailings.</w:t>
      </w:r>
    </w:p>
    <w:p>
      <w:bookmarkStart w:id="2460" w:name="_NAESTMA_TOC_2460"/>
      <w:pPr>
        <w:pStyle w:val="Heading2"/>
        <w:keepNext/>
        <w:widowControl/>
        <w:rPr/>
      </w:pPr>
      <w:r>
        <w:rPr/>
        <w:t>BD-92. Canadian Centrifugal Gravity Separation</w:t>
      </w:r>
      <w:bookmarkEnd w:id="2460"/>
    </w:p>
    <w:p>
      <w:pPr>
        <w:pStyle w:val="Normal"/>
        <w:widowControl/>
        <w:rPr/>
      </w:pPr>
      <w:r>
        <w:rPr/>
        <w:t>Deploy gravity separators for fine mineral recovery from tailings.</w:t>
      </w:r>
    </w:p>
    <w:p>
      <w:bookmarkStart w:id="2461" w:name="_NAESTMA_TOC_2461"/>
      <w:pPr>
        <w:pStyle w:val="Heading2"/>
        <w:keepNext/>
        <w:widowControl/>
        <w:rPr/>
      </w:pPr>
      <w:r>
        <w:rPr/>
        <w:t>BD-93. Tri-National Tailings Reprocessing Pilot Plant Network</w:t>
      </w:r>
      <w:bookmarkEnd w:id="2461"/>
    </w:p>
    <w:p>
      <w:pPr>
        <w:pStyle w:val="Normal"/>
        <w:widowControl/>
        <w:rPr/>
      </w:pPr>
      <w:r>
        <w:rPr/>
        <w:t>Establish pilot plants in each country for testing new technologies.</w:t>
      </w:r>
    </w:p>
    <w:p>
      <w:bookmarkStart w:id="2462" w:name="_NAESTMA_TOC_2462"/>
      <w:pPr>
        <w:pStyle w:val="Heading2"/>
        <w:keepNext/>
        <w:widowControl/>
        <w:rPr/>
      </w:pPr>
      <w:r>
        <w:rPr/>
        <w:t>BD-94. Reciprocal Mine-Waste R&amp;D Funding Eligibility</w:t>
      </w:r>
      <w:bookmarkEnd w:id="2462"/>
    </w:p>
    <w:p>
      <w:pPr>
        <w:pStyle w:val="Normal"/>
        <w:widowControl/>
        <w:rPr/>
      </w:pPr>
      <w:r>
        <w:rPr/>
        <w:t>Coordinate current national critical-mineral and mine-waste R&amp;D programs without hard-coding an expiring appropriation amount.</w:t>
      </w:r>
    </w:p>
    <w:p>
      <w:bookmarkStart w:id="2463" w:name="_NAESTMA_TOC_2463"/>
      <w:pPr>
        <w:pStyle w:val="Heading2"/>
        <w:keepNext/>
        <w:widowControl/>
        <w:rPr/>
      </w:pPr>
      <w:r>
        <w:rPr/>
        <w:t>BD-95. North American Tailings Technology Database</w:t>
      </w:r>
      <w:bookmarkEnd w:id="2463"/>
    </w:p>
    <w:p>
      <w:pPr>
        <w:pStyle w:val="Normal"/>
        <w:widowControl/>
        <w:rPr/>
      </w:pPr>
      <w:r>
        <w:rPr/>
        <w:t>Shared database of all tailings reprocessing technologies available in North America.</w:t>
      </w:r>
    </w:p>
    <w:p>
      <w:bookmarkStart w:id="2464" w:name="_NAESTMA_TOC_2464"/>
      <w:pPr>
        <w:pStyle w:val="Heading2"/>
        <w:keepNext/>
        <w:widowControl/>
        <w:rPr/>
      </w:pPr>
      <w:r>
        <w:rPr/>
        <w:t>BD-96. Tri-National Tailings-Based Ceramics</w:t>
      </w:r>
      <w:bookmarkEnd w:id="2464"/>
    </w:p>
    <w:p>
      <w:pPr>
        <w:pStyle w:val="Normal"/>
        <w:widowControl/>
        <w:rPr/>
      </w:pPr>
      <w:r>
        <w:rPr/>
        <w:t>Manufacture ceramics and tiles from processed tailings.</w:t>
      </w:r>
    </w:p>
    <w:p>
      <w:bookmarkStart w:id="2465" w:name="_NAESTMA_TOC_2465"/>
      <w:pPr>
        <w:pStyle w:val="Heading2"/>
        <w:keepNext/>
        <w:widowControl/>
        <w:rPr/>
      </w:pPr>
      <w:r>
        <w:rPr/>
        <w:t>BD-97. Canadian Tailings for Glass Manufacturing</w:t>
      </w:r>
      <w:bookmarkEnd w:id="2465"/>
    </w:p>
    <w:p>
      <w:pPr>
        <w:pStyle w:val="Normal"/>
        <w:widowControl/>
        <w:rPr/>
      </w:pPr>
      <w:r>
        <w:rPr/>
        <w:t>Use vitrified tailings as feedstock for glass production.</w:t>
      </w:r>
    </w:p>
    <w:p>
      <w:bookmarkStart w:id="2466" w:name="_NAESTMA_TOC_2466"/>
      <w:pPr>
        <w:pStyle w:val="Heading2"/>
        <w:keepNext/>
        <w:widowControl/>
        <w:rPr/>
      </w:pPr>
      <w:r>
        <w:rPr/>
        <w:t>BD-98. US Tailings for Ceramic Glazes</w:t>
      </w:r>
      <w:bookmarkEnd w:id="2466"/>
    </w:p>
    <w:p>
      <w:pPr>
        <w:pStyle w:val="Normal"/>
        <w:widowControl/>
        <w:rPr/>
      </w:pPr>
      <w:r>
        <w:rPr/>
        <w:t>Use processed tailings as colorants and fluxes in ceramic glazes.</w:t>
      </w:r>
    </w:p>
    <w:p>
      <w:bookmarkStart w:id="2467" w:name="_NAESTMA_TOC_2467"/>
      <w:pPr>
        <w:pStyle w:val="Heading2"/>
        <w:keepNext/>
        <w:widowControl/>
        <w:rPr/>
      </w:pPr>
      <w:r>
        <w:rPr/>
        <w:t>BD-99. Mexican Tailings for Paint Pigments</w:t>
      </w:r>
      <w:bookmarkEnd w:id="2467"/>
    </w:p>
    <w:p>
      <w:pPr>
        <w:pStyle w:val="Normal"/>
        <w:widowControl/>
        <w:rPr/>
      </w:pPr>
      <w:r>
        <w:rPr/>
        <w:t>Extract and process metal oxides from tailings for paint pigments.</w:t>
      </w:r>
    </w:p>
    <w:p>
      <w:bookmarkStart w:id="2468" w:name="_NAESTMA_TOC_2468"/>
      <w:pPr>
        <w:pStyle w:val="Heading2"/>
        <w:keepNext/>
        <w:widowControl/>
        <w:rPr/>
      </w:pPr>
      <w:r>
        <w:rPr/>
        <w:t>BD-100. Tri-National Tailings for Abrasives</w:t>
      </w:r>
      <w:bookmarkEnd w:id="2468"/>
    </w:p>
    <w:p>
      <w:pPr>
        <w:pStyle w:val="Normal"/>
        <w:widowControl/>
        <w:rPr/>
      </w:pPr>
      <w:r>
        <w:rPr/>
        <w:t>Process tailings into industrial abrasives.</w:t>
      </w:r>
    </w:p>
    <w:p>
      <w:bookmarkStart w:id="2469" w:name="_NAESTMA_TOC_2469"/>
      <w:pPr>
        <w:pStyle w:val="Heading2"/>
        <w:keepNext/>
        <w:widowControl/>
        <w:rPr/>
      </w:pPr>
      <w:r>
        <w:rPr/>
        <w:t>BD-101. Canadian Tailings for Refractory Materials</w:t>
      </w:r>
      <w:bookmarkEnd w:id="2469"/>
    </w:p>
    <w:p>
      <w:pPr>
        <w:pStyle w:val="Normal"/>
        <w:widowControl/>
        <w:rPr/>
      </w:pPr>
      <w:r>
        <w:rPr/>
        <w:t>Use tailings high in alumina and silica as refractory materials.</w:t>
      </w:r>
    </w:p>
    <w:p>
      <w:bookmarkStart w:id="2470" w:name="_NAESTMA_TOC_2470"/>
      <w:pPr>
        <w:pStyle w:val="Heading2"/>
        <w:keepNext/>
        <w:widowControl/>
        <w:rPr/>
      </w:pPr>
      <w:r>
        <w:rPr/>
        <w:t>BD-102. US Tailings for Filtration Media</w:t>
      </w:r>
      <w:bookmarkEnd w:id="2470"/>
    </w:p>
    <w:p>
      <w:pPr>
        <w:pStyle w:val="Normal"/>
        <w:widowControl/>
        <w:rPr/>
      </w:pPr>
      <w:r>
        <w:rPr/>
        <w:t>Process tailings into water filtration media.</w:t>
      </w:r>
    </w:p>
    <w:p>
      <w:bookmarkStart w:id="2471" w:name="_NAESTMA_TOC_2471"/>
      <w:pPr>
        <w:pStyle w:val="Heading2"/>
        <w:keepNext/>
        <w:widowControl/>
        <w:rPr/>
      </w:pPr>
      <w:r>
        <w:rPr/>
        <w:t>BD-103. Certified Mineral-Derived Horticultural Substrates</w:t>
      </w:r>
      <w:bookmarkEnd w:id="2471"/>
    </w:p>
    <w:p>
      <w:pPr>
        <w:pStyle w:val="Normal"/>
        <w:widowControl/>
        <w:rPr/>
      </w:pPr>
      <w:r>
        <w:rPr/>
        <w:t>Allow only manufactured substrates whose contaminants are removed or immobilized and which independently satisfy horticultural safety standards.</w:t>
      </w:r>
    </w:p>
    <w:p>
      <w:bookmarkStart w:id="2472" w:name="_NAESTMA_TOC_2472"/>
      <w:pPr>
        <w:pStyle w:val="Heading2"/>
        <w:keepNext/>
        <w:widowControl/>
        <w:rPr/>
      </w:pPr>
      <w:r>
        <w:rPr/>
        <w:t>BD-104. Tri-National Tailings for Carbon Capture</w:t>
      </w:r>
      <w:bookmarkEnd w:id="2472"/>
    </w:p>
    <w:p>
      <w:pPr>
        <w:pStyle w:val="Normal"/>
        <w:widowControl/>
        <w:rPr/>
      </w:pPr>
      <w:r>
        <w:rPr/>
        <w:t>Use alkaline tailings for mineral carbonation and CO₂ sequestration.</w:t>
      </w:r>
    </w:p>
    <w:p>
      <w:bookmarkStart w:id="2473" w:name="_NAESTMA_TOC_2473"/>
      <w:pPr>
        <w:pStyle w:val="Heading2"/>
        <w:keepNext/>
        <w:widowControl/>
        <w:rPr/>
      </w:pPr>
      <w:r>
        <w:rPr/>
        <w:t>BD-105. North American Tailings Industrial Products Standards</w:t>
      </w:r>
      <w:bookmarkEnd w:id="2473"/>
    </w:p>
    <w:p>
      <w:pPr>
        <w:pStyle w:val="Normal"/>
        <w:widowControl/>
        <w:rPr/>
      </w:pPr>
      <w:r>
        <w:rPr/>
        <w:t>Harmonized standards for tailings-derived industrial products.</w:t>
      </w:r>
    </w:p>
    <w:p>
      <w:bookmarkStart w:id="2474" w:name="_NAESTMA_TOC_2474"/>
      <w:pPr>
        <w:pStyle w:val="Heading2"/>
        <w:keepNext/>
        <w:widowControl/>
        <w:rPr/>
      </w:pPr>
      <w:r>
        <w:rPr/>
        <w:t>BD-106. Tri-National Tailings Transport Corridor</w:t>
      </w:r>
      <w:bookmarkEnd w:id="2474"/>
    </w:p>
    <w:p>
      <w:pPr>
        <w:pStyle w:val="Normal"/>
        <w:widowControl/>
        <w:rPr/>
      </w:pPr>
      <w:r>
        <w:rPr/>
        <w:t>Establish logistics network for moving tailings from mines to reprocessing facilities across borders.</w:t>
      </w:r>
    </w:p>
    <w:p>
      <w:bookmarkStart w:id="2475" w:name="_NAESTMA_TOC_2475"/>
      <w:pPr>
        <w:pStyle w:val="Heading2"/>
        <w:keepNext/>
        <w:widowControl/>
        <w:rPr/>
      </w:pPr>
      <w:r>
        <w:rPr/>
        <w:t>BD-107. Mexican Port Processing Zones for Tailings</w:t>
      </w:r>
      <w:bookmarkEnd w:id="2475"/>
    </w:p>
    <w:p>
      <w:pPr>
        <w:pStyle w:val="Normal"/>
        <w:widowControl/>
        <w:rPr/>
      </w:pPr>
      <w:r>
        <w:rPr/>
        <w:t>Develop processing parks at Mexican ports (Manzanillo, Lázaro Cárdenas) for tailings from all three countries.</w:t>
      </w:r>
    </w:p>
    <w:p>
      <w:bookmarkStart w:id="2476" w:name="_NAESTMA_TOC_2476"/>
      <w:pPr>
        <w:pStyle w:val="Heading2"/>
        <w:keepNext/>
        <w:widowControl/>
        <w:rPr/>
      </w:pPr>
      <w:r>
        <w:rPr/>
        <w:t>BD-108. US-Mexico Border Tailings Hub</w:t>
      </w:r>
      <w:bookmarkEnd w:id="2476"/>
    </w:p>
    <w:p>
      <w:pPr>
        <w:pStyle w:val="Normal"/>
        <w:widowControl/>
        <w:rPr/>
      </w:pPr>
      <w:r>
        <w:rPr/>
        <w:t>Build tailings reprocessing facility in northern Mexico near US border.</w:t>
      </w:r>
    </w:p>
    <w:p>
      <w:bookmarkStart w:id="2477" w:name="_NAESTMA_TOC_2477"/>
      <w:pPr>
        <w:pStyle w:val="Heading2"/>
        <w:keepNext/>
        <w:widowControl/>
        <w:rPr/>
      </w:pPr>
      <w:r>
        <w:rPr/>
        <w:t>BD-109. Canadian Rail Network for Tailings</w:t>
      </w:r>
      <w:bookmarkEnd w:id="2477"/>
    </w:p>
    <w:p>
      <w:pPr>
        <w:pStyle w:val="Normal"/>
        <w:widowControl/>
        <w:rPr/>
      </w:pPr>
      <w:r>
        <w:rPr/>
        <w:t>Improve rail links to move tailings from remote Canadian mines to processing centers.</w:t>
      </w:r>
    </w:p>
    <w:p>
      <w:bookmarkStart w:id="2478" w:name="_NAESTMA_TOC_2478"/>
      <w:pPr>
        <w:pStyle w:val="Heading2"/>
        <w:keepNext/>
        <w:widowControl/>
        <w:rPr/>
      </w:pPr>
      <w:r>
        <w:rPr/>
        <w:t>BD-110. Tri-National Tailings Shipping Standards</w:t>
      </w:r>
      <w:bookmarkEnd w:id="2478"/>
    </w:p>
    <w:p>
      <w:pPr>
        <w:pStyle w:val="Normal"/>
        <w:widowControl/>
        <w:rPr/>
      </w:pPr>
      <w:r>
        <w:rPr/>
        <w:t>Harmonized standards for transporting tailings and mining debris across borders.</w:t>
      </w:r>
    </w:p>
    <w:p>
      <w:bookmarkStart w:id="2479" w:name="_NAESTMA_TOC_2479"/>
      <w:pPr>
        <w:pStyle w:val="Heading2"/>
        <w:keepNext/>
        <w:widowControl/>
        <w:rPr/>
      </w:pPr>
      <w:r>
        <w:rPr/>
        <w:t>BD-111. Specialized Tailings Reprocessing Facilities</w:t>
      </w:r>
      <w:bookmarkEnd w:id="2479"/>
    </w:p>
    <w:p>
      <w:pPr>
        <w:pStyle w:val="Normal"/>
        <w:widowControl/>
        <w:rPr/>
      </w:pPr>
      <w:r>
        <w:rPr/>
        <w:t>Support safe reprocessing capacity rather than shared cross-border tailings dumps.</w:t>
      </w:r>
    </w:p>
    <w:p>
      <w:bookmarkStart w:id="2480" w:name="_NAESTMA_TOC_2480"/>
      <w:pPr>
        <w:pStyle w:val="Heading2"/>
        <w:keepNext/>
        <w:widowControl/>
        <w:rPr/>
      </w:pPr>
      <w:r>
        <w:rPr/>
        <w:t>BD-112. Mapped Strategic Secondary-Resource Sites</w:t>
      </w:r>
      <w:bookmarkEnd w:id="2480"/>
    </w:p>
    <w:p>
      <w:pPr>
        <w:pStyle w:val="Normal"/>
        <w:widowControl/>
        <w:rPr/>
      </w:pPr>
      <w:r>
        <w:rPr/>
        <w:t>Map and preserve promising existing mine-waste deposits for future recovery without relocating them into new strategic waste piles.</w:t>
      </w:r>
    </w:p>
    <w:p>
      <w:bookmarkStart w:id="2481" w:name="_NAESTMA_TOC_2481"/>
      <w:pPr>
        <w:pStyle w:val="Heading2"/>
        <w:keepNext/>
        <w:widowControl/>
        <w:rPr/>
      </w:pPr>
      <w:r>
        <w:rPr/>
        <w:t>BD-113. Tri-National Tailings Logistics Platform</w:t>
      </w:r>
      <w:bookmarkEnd w:id="2481"/>
    </w:p>
    <w:p>
      <w:pPr>
        <w:pStyle w:val="Normal"/>
        <w:widowControl/>
        <w:rPr/>
      </w:pPr>
      <w:r>
        <w:rPr/>
        <w:t>Digital platform for tracking tailings movements and processing.</w:t>
      </w:r>
    </w:p>
    <w:p>
      <w:bookmarkStart w:id="2482" w:name="_NAESTMA_TOC_2482"/>
      <w:pPr>
        <w:pStyle w:val="Heading2"/>
        <w:keepNext/>
        <w:widowControl/>
        <w:rPr/>
      </w:pPr>
      <w:r>
        <w:rPr/>
        <w:t>BD-114. Mexican Tailings Processing Industrial Parks</w:t>
      </w:r>
      <w:bookmarkEnd w:id="2482"/>
    </w:p>
    <w:p>
      <w:pPr>
        <w:pStyle w:val="Normal"/>
        <w:widowControl/>
        <w:rPr/>
      </w:pPr>
      <w:r>
        <w:rPr/>
        <w:t>Develop industrial parks hosting multiple tailings reprocessing facilities.</w:t>
      </w:r>
    </w:p>
    <w:p>
      <w:bookmarkStart w:id="2483" w:name="_NAESTMA_TOC_2483"/>
      <w:pPr>
        <w:pStyle w:val="Heading2"/>
        <w:keepNext/>
        <w:widowControl/>
        <w:rPr/>
      </w:pPr>
      <w:r>
        <w:rPr/>
        <w:t>BD-115. Project-Specific Enclosed Slurry Transport</w:t>
      </w:r>
      <w:bookmarkEnd w:id="2483"/>
    </w:p>
    <w:p>
      <w:pPr>
        <w:pStyle w:val="Normal"/>
        <w:widowControl/>
        <w:rPr/>
      </w:pPr>
      <w:r>
        <w:rPr/>
        <w:t>Permit slurry transport only where lifecycle analysis shows it safer and more economical than alternatives; no continental tailings pipeline network.</w:t>
      </w:r>
    </w:p>
    <w:p>
      <w:bookmarkStart w:id="2484" w:name="_NAESTMA_TOC_2484"/>
      <w:pPr>
        <w:pStyle w:val="Heading2"/>
        <w:keepNext/>
        <w:widowControl/>
        <w:rPr/>
      </w:pPr>
      <w:r>
        <w:rPr/>
        <w:t>BD-116. Tri-National Tailings Reprocessing Workforce Program</w:t>
      </w:r>
      <w:bookmarkEnd w:id="2484"/>
    </w:p>
    <w:p>
      <w:pPr>
        <w:pStyle w:val="Normal"/>
        <w:widowControl/>
        <w:rPr/>
      </w:pPr>
      <w:r>
        <w:rPr/>
        <w:t>Joint training programs for tailings reprocessing technicians and engineers.</w:t>
      </w:r>
    </w:p>
    <w:p>
      <w:bookmarkStart w:id="2485" w:name="_NAESTMA_TOC_2485"/>
      <w:pPr>
        <w:pStyle w:val="Heading2"/>
        <w:keepNext/>
        <w:widowControl/>
        <w:rPr/>
      </w:pPr>
      <w:r>
        <w:rPr/>
        <w:t>BD-117. Canadian University Tailings Research in Mexico</w:t>
      </w:r>
      <w:bookmarkEnd w:id="2485"/>
    </w:p>
    <w:p>
      <w:pPr>
        <w:pStyle w:val="Normal"/>
        <w:widowControl/>
        <w:rPr/>
      </w:pPr>
      <w:r>
        <w:rPr/>
        <w:t>Canadian mining engineering programs partner with Mexican universities on tailings research.</w:t>
      </w:r>
    </w:p>
    <w:p>
      <w:bookmarkStart w:id="2486" w:name="_NAESTMA_TOC_2486"/>
      <w:pPr>
        <w:pStyle w:val="Heading2"/>
        <w:keepNext/>
        <w:widowControl/>
        <w:rPr/>
      </w:pPr>
      <w:r>
        <w:rPr/>
        <w:t>BD-118. US Community College Tailings Curriculum</w:t>
      </w:r>
      <w:bookmarkEnd w:id="2486"/>
    </w:p>
    <w:p>
      <w:pPr>
        <w:pStyle w:val="Normal"/>
        <w:widowControl/>
        <w:rPr/>
      </w:pPr>
      <w:r>
        <w:rPr/>
        <w:t>Standardized curriculum for tailings reprocessing and remediation.</w:t>
      </w:r>
    </w:p>
    <w:p>
      <w:bookmarkStart w:id="2487" w:name="_NAESTMA_TOC_2487"/>
      <w:pPr>
        <w:pStyle w:val="Heading2"/>
        <w:keepNext/>
        <w:widowControl/>
        <w:rPr/>
      </w:pPr>
      <w:r>
        <w:rPr/>
        <w:t>BD-119. Tri-National Tailings Research Consortium</w:t>
      </w:r>
      <w:bookmarkEnd w:id="2487"/>
    </w:p>
    <w:p>
      <w:pPr>
        <w:pStyle w:val="Normal"/>
        <w:widowControl/>
        <w:rPr/>
      </w:pPr>
      <w:r>
        <w:rPr/>
        <w:t>Joint industry-university research on tailings valorization technologies.</w:t>
      </w:r>
    </w:p>
    <w:p>
      <w:bookmarkStart w:id="2488" w:name="_NAESTMA_TOC_2488"/>
      <w:pPr>
        <w:pStyle w:val="Heading2"/>
        <w:keepNext/>
        <w:widowControl/>
        <w:rPr/>
      </w:pPr>
      <w:r>
        <w:rPr/>
        <w:t>BD-120. North American Tailings Innovation Network</w:t>
      </w:r>
      <w:bookmarkEnd w:id="2488"/>
    </w:p>
    <w:p>
      <w:pPr>
        <w:pStyle w:val="Normal"/>
        <w:widowControl/>
        <w:rPr/>
      </w:pPr>
      <w:r>
        <w:rPr/>
        <w:t>Permanent network connecting researchers, industry, and government on tailings reprocessing.</w:t>
      </w:r>
    </w:p>
    <w:p>
      <w:bookmarkStart w:id="2489" w:name="_NAESTMA_TOC_2489"/>
      <w:pPr>
        <w:pStyle w:val="Heading1"/>
        <w:keepNext/>
        <w:pageBreakBefore/>
        <w:widowControl/>
        <w:rPr/>
      </w:pPr>
      <w:r>
        <w:rPr/>
        <w:t>PACKAGE BE — CROSS-SECTOR MINERAL EARNED-BENEFIT CATALOGUE (140 MECHANISMS)</w:t>
      </w:r>
      <w:bookmarkEnd w:id="2489"/>
    </w:p>
    <w:p>
      <w:pPr>
        <w:pStyle w:val="Normal"/>
        <w:widowControl/>
        <w:rPr/>
      </w:pPr>
      <w:r>
        <w:rPr/>
        <w:t>Status. These mechanisms are negotiating options, not automatic obligations. Contemporary tariff rates, fixed quantities, fixed discounts, company names and hard-coded project locations in source concepts are illustrative only. Operative schedules shall use current applicable measures, verified capacity, market-linked pricing, resource-sovereignty protections and the No Uncompensated Front-Loading rule.</w:t>
      </w:r>
    </w:p>
    <w:p>
      <w:bookmarkStart w:id="2490" w:name="_NAESTMA_TOC_2490"/>
      <w:pPr>
        <w:pStyle w:val="Heading2"/>
        <w:keepNext/>
        <w:widowControl/>
        <w:rPr/>
      </w:pPr>
      <w:r>
        <w:rPr/>
        <w:t>BE-A. Bargain Classification</w:t>
      </w:r>
      <w:bookmarkEnd w:id="2490"/>
    </w:p>
    <w:p>
      <w:pPr>
        <w:pStyle w:val="Normal"/>
        <w:widowControl/>
        <w:rPr/>
      </w:pPr>
      <w:r>
        <w:rPr/>
        <w:t>Class I — Primary negotiating currency: tariff and AD/CVD relief, customs treatment, infrastructure finance, energy cooperation, processing investment, offtake, workforce mobility and R&amp;D access.</w:t>
      </w:r>
    </w:p>
    <w:p>
      <w:pPr>
        <w:pStyle w:val="Normal"/>
        <w:widowControl/>
        <w:rPr/>
      </w:pPr>
      <w:r>
        <w:rPr/>
        <w:t>Class II — Sovereignty-sensitive: mining access, geological data, permitting, investment screening, water, nuclear materials and defense-related minerals; use only with explicit domestic-law firewalls.</w:t>
      </w:r>
    </w:p>
    <w:p>
      <w:pPr>
        <w:pStyle w:val="Normal"/>
        <w:widowControl/>
        <w:rPr/>
      </w:pPr>
      <w:r>
        <w:rPr/>
        <w:t>Class III — Parallel cooperation: education, environmental programs, community healthcare and cultural exchange may accompany mineral bargains but should not become coercive collateral.</w:t>
      </w:r>
    </w:p>
    <w:p>
      <w:pPr>
        <w:pStyle w:val="Normal"/>
        <w:widowControl/>
        <w:rPr/>
      </w:pPr>
      <w:r>
        <w:rPr/>
        <w:t>Class IV — Non-bargainable humanitarian/constitutional floor: essential emergency medicines and vaccines, fundamental rights, basic humanitarian access and core sovereign defense powers.</w:t>
      </w:r>
    </w:p>
    <w:p>
      <w:bookmarkStart w:id="2491" w:name="_NAESTMA_TOC_2491"/>
      <w:pPr>
        <w:pStyle w:val="Heading2"/>
        <w:keepNext/>
        <w:widowControl/>
        <w:rPr/>
      </w:pPr>
      <w:r>
        <w:rPr/>
        <w:t>BE-1. Softwood Lumber for Canadian Lithium</w:t>
      </w:r>
      <w:bookmarkEnd w:id="2491"/>
    </w:p>
    <w:p>
      <w:pPr>
        <w:pStyle w:val="Normal"/>
        <w:widowControl/>
        <w:rPr/>
      </w:pPr>
      <w:r>
        <w:rPr/>
        <w:t>U.S. eliminates 10% Section 232 tariff on Canadian softwood lumber paired with Canada guaranteeing 200,000 tonnes/year of lithium spodumene to U.S. battery plants at fixed prices for 10 years.</w:t>
      </w:r>
    </w:p>
    <w:p>
      <w:bookmarkStart w:id="2492" w:name="_NAESTMA_TOC_2492"/>
      <w:pPr>
        <w:pStyle w:val="Heading2"/>
        <w:keepNext/>
        <w:widowControl/>
        <w:rPr/>
      </w:pPr>
      <w:r>
        <w:rPr/>
        <w:t>BE-2. Auto Tariff Elimination for Mexican Copper</w:t>
      </w:r>
      <w:bookmarkEnd w:id="2492"/>
    </w:p>
    <w:p>
      <w:pPr>
        <w:pStyle w:val="Normal"/>
        <w:widowControl/>
        <w:rPr/>
      </w:pPr>
      <w:r>
        <w:rPr/>
        <w:t>U.S. eliminates 25% auto tariffs on Mexican vehicles paired with Mexico guaranteeing 500,000 tonnes/year of refined copper to U.S. EV manufacturers.</w:t>
      </w:r>
    </w:p>
    <w:p>
      <w:bookmarkStart w:id="2493" w:name="_NAESTMA_TOC_2493"/>
      <w:pPr>
        <w:pStyle w:val="Heading2"/>
        <w:keepNext/>
        <w:widowControl/>
        <w:rPr/>
      </w:pPr>
      <w:r>
        <w:rPr/>
        <w:t>BE-3. Steel Tariff Reduction for Canadian Nickel</w:t>
      </w:r>
      <w:bookmarkEnd w:id="2493"/>
    </w:p>
    <w:p>
      <w:pPr>
        <w:pStyle w:val="Normal"/>
        <w:widowControl/>
        <w:rPr/>
      </w:pPr>
      <w:r>
        <w:rPr/>
        <w:t>U.S. reduces 50% steel tariffs on Canadian steel by 25 percentage points paired with Canada expanding nickel production by 50,000 tonnes/year for U.S. defense contracts.</w:t>
      </w:r>
    </w:p>
    <w:p>
      <w:bookmarkStart w:id="2494" w:name="_NAESTMA_TOC_2494"/>
      <w:pPr>
        <w:pStyle w:val="Heading2"/>
        <w:keepNext/>
        <w:widowControl/>
        <w:rPr/>
      </w:pPr>
      <w:r>
        <w:rPr/>
        <w:t>BE-4. Tariff Relief for Market-Linked Silver Offtake</w:t>
      </w:r>
      <w:bookmarkEnd w:id="2494"/>
    </w:p>
    <w:p>
      <w:pPr>
        <w:pStyle w:val="Normal"/>
        <w:widowControl/>
        <w:rPr/>
      </w:pPr>
      <w:r>
        <w:rPr/>
        <w:t>Pair applicable aluminum-trade relief with long-term Mexican silver offtake at transparent market-linked pricing; no compulsory below-market sale.</w:t>
      </w:r>
    </w:p>
    <w:p>
      <w:bookmarkStart w:id="2495" w:name="_NAESTMA_TOC_2495"/>
      <w:pPr>
        <w:pStyle w:val="Heading2"/>
        <w:keepNext/>
        <w:widowControl/>
        <w:rPr/>
      </w:pPr>
      <w:r>
        <w:rPr/>
        <w:t>BE-5. Softwood Quota Increase for Canadian Potash</w:t>
      </w:r>
      <w:bookmarkEnd w:id="2495"/>
    </w:p>
    <w:p>
      <w:pPr>
        <w:pStyle w:val="Normal"/>
        <w:widowControl/>
        <w:rPr/>
      </w:pPr>
      <w:r>
        <w:rPr/>
        <w:t>U.S. increases softwood lumber quota by 15% for Canadian producers paired with Canada guaranteeing 5 million tonnes/year of potash to U.S. farmers at 5% below global market price.</w:t>
      </w:r>
    </w:p>
    <w:p>
      <w:bookmarkStart w:id="2496" w:name="_NAESTMA_TOC_2496"/>
      <w:pPr>
        <w:pStyle w:val="Heading2"/>
        <w:keepNext/>
        <w:widowControl/>
        <w:rPr/>
      </w:pPr>
      <w:r>
        <w:rPr/>
        <w:t>BE-6. Section 301 Tariff Removal for Mexican Graphite</w:t>
      </w:r>
      <w:bookmarkEnd w:id="2496"/>
    </w:p>
    <w:p>
      <w:pPr>
        <w:pStyle w:val="Normal"/>
        <w:widowControl/>
        <w:rPr/>
      </w:pPr>
      <w:r>
        <w:rPr/>
        <w:t>U.S. removes 10% Section 301 tariff on Mexico paired with Mexico tripling graphite exports to U.S. anode plants (from 100% of production to expanded capacity).</w:t>
      </w:r>
    </w:p>
    <w:p>
      <w:bookmarkStart w:id="2497" w:name="_NAESTMA_TOC_2497"/>
      <w:pPr>
        <w:pStyle w:val="Heading2"/>
        <w:keepNext/>
        <w:widowControl/>
        <w:rPr/>
      </w:pPr>
      <w:r>
        <w:rPr/>
        <w:t>BE-7. Auto Parts Tariff Exemption for Canadian Cobalt</w:t>
      </w:r>
      <w:bookmarkEnd w:id="2497"/>
    </w:p>
    <w:p>
      <w:pPr>
        <w:pStyle w:val="Normal"/>
        <w:widowControl/>
        <w:rPr/>
      </w:pPr>
      <w:r>
        <w:rPr/>
        <w:t>U.S. expands USMCA-compliant auto parts tariff exemption to 100% coverage paired with Canada refining 15,000 tonnes/year of cobalt for U.S. battery cathodes.</w:t>
      </w:r>
    </w:p>
    <w:p>
      <w:bookmarkStart w:id="2498" w:name="_NAESTMA_TOC_2498"/>
      <w:pPr>
        <w:pStyle w:val="Heading2"/>
        <w:keepNext/>
        <w:widowControl/>
        <w:rPr/>
      </w:pPr>
      <w:r>
        <w:rPr/>
        <w:t>BE-8. Plywood Tariff Reduction for Mexican Zinc</w:t>
      </w:r>
      <w:bookmarkEnd w:id="2498"/>
    </w:p>
    <w:p>
      <w:pPr>
        <w:pStyle w:val="Normal"/>
        <w:widowControl/>
        <w:rPr/>
      </w:pPr>
      <w:r>
        <w:rPr/>
        <w:t>U.S. reduces plywood tariffs on Mexican wood products by 50% paired with Mexico supplying 400,000 tonnes/year of zinc concentrate to U.S. galvanizing plants.</w:t>
      </w:r>
    </w:p>
    <w:p>
      <w:bookmarkStart w:id="2499" w:name="_NAESTMA_TOC_2499"/>
      <w:pPr>
        <w:pStyle w:val="Heading2"/>
        <w:keepNext/>
        <w:widowControl/>
        <w:rPr/>
      </w:pPr>
      <w:r>
        <w:rPr/>
        <w:t>BE-9. Softwood AD/CVD Rate Cut for Canadian REEs</w:t>
      </w:r>
      <w:bookmarkEnd w:id="2499"/>
    </w:p>
    <w:p>
      <w:pPr>
        <w:pStyle w:val="Normal"/>
        <w:widowControl/>
        <w:rPr/>
      </w:pPr>
      <w:r>
        <w:rPr/>
        <w:t>U.S. cuts combined AD/CVD rate on Canadian lumber from 24.83% to 10% paired with Canada delivering 5,000 tonnes/year of separated rare earth elements (Nd, Pr, Dy) to U.S. magnet plants.</w:t>
      </w:r>
    </w:p>
    <w:p>
      <w:bookmarkStart w:id="2500" w:name="_NAESTMA_TOC_2500"/>
      <w:pPr>
        <w:pStyle w:val="Heading2"/>
        <w:keepNext/>
        <w:widowControl/>
        <w:rPr/>
      </w:pPr>
      <w:r>
        <w:rPr/>
        <w:t>BE-10. Truck Tariff Elimination for Mexican Molybdenum</w:t>
      </w:r>
      <w:bookmarkEnd w:id="2500"/>
    </w:p>
    <w:p>
      <w:pPr>
        <w:pStyle w:val="Normal"/>
        <w:widowControl/>
        <w:rPr/>
      </w:pPr>
      <w:r>
        <w:rPr/>
        <w:t>U.S. eliminates 25% tariff on Mexican trucks paired with Mexico supplying 30,000 tonnes/year of molybdenum to U.S. high-strength steel mills.</w:t>
      </w:r>
    </w:p>
    <w:p>
      <w:bookmarkStart w:id="2501" w:name="_NAESTMA_TOC_2501"/>
      <w:pPr>
        <w:pStyle w:val="Heading2"/>
        <w:keepNext/>
        <w:widowControl/>
        <w:rPr/>
      </w:pPr>
      <w:r>
        <w:rPr/>
        <w:t>BE-11. Section 232 Tariff Sunset for Canadian Uranium</w:t>
      </w:r>
      <w:bookmarkEnd w:id="2501"/>
    </w:p>
    <w:p>
      <w:pPr>
        <w:pStyle w:val="Normal"/>
        <w:widowControl/>
        <w:rPr/>
      </w:pPr>
      <w:r>
        <w:rPr/>
        <w:t>U.S. phases out Section 232 lumber tariffs over 3 years paired with Canada guaranteeing 20 million pounds/year of U3O8 to U.S. nuclear reactors.</w:t>
      </w:r>
    </w:p>
    <w:p>
      <w:bookmarkStart w:id="2502" w:name="_NAESTMA_TOC_2502"/>
      <w:pPr>
        <w:pStyle w:val="Heading2"/>
        <w:keepNext/>
        <w:widowControl/>
        <w:rPr/>
      </w:pPr>
      <w:r>
        <w:rPr/>
        <w:t>BE-12. Bus Tariff Reduction for Mexican Fluorspar</w:t>
      </w:r>
      <w:bookmarkEnd w:id="2502"/>
    </w:p>
    <w:p>
      <w:pPr>
        <w:pStyle w:val="Normal"/>
        <w:widowControl/>
        <w:rPr/>
      </w:pPr>
      <w:r>
        <w:rPr/>
        <w:t>U.S. reduces 10% bus tariff on Mexican vehicles paired with Mexico supplying 500,000 tonnes/year of fluorspar to U.S. semiconductor chemical plants.</w:t>
      </w:r>
    </w:p>
    <w:p>
      <w:bookmarkStart w:id="2503" w:name="_NAESTMA_TOC_2503"/>
      <w:pPr>
        <w:pStyle w:val="Heading2"/>
        <w:keepNext/>
        <w:widowControl/>
        <w:rPr/>
      </w:pPr>
      <w:r>
        <w:rPr/>
        <w:t>BE-13. Value-Added Wood Tariff Exemption for Canadian Magnesium</w:t>
      </w:r>
      <w:bookmarkEnd w:id="2503"/>
    </w:p>
    <w:p>
      <w:pPr>
        <w:pStyle w:val="Normal"/>
        <w:widowControl/>
        <w:rPr/>
      </w:pPr>
      <w:r>
        <w:rPr/>
        <w:t>U.S. exempts Canadian value-added wood products from new tariffs paired with Canada producing 100,000 tonnes/year of magnesium for U.S. automotive lightweighting.</w:t>
      </w:r>
    </w:p>
    <w:p>
      <w:bookmarkStart w:id="2504" w:name="_NAESTMA_TOC_2504"/>
      <w:pPr>
        <w:pStyle w:val="Heading2"/>
        <w:keepNext/>
        <w:widowControl/>
        <w:rPr/>
      </w:pPr>
      <w:r>
        <w:rPr/>
        <w:t>BE-14. Section 232 Phase-Out for Mexican Barite</w:t>
      </w:r>
      <w:bookmarkEnd w:id="2504"/>
    </w:p>
    <w:p>
      <w:pPr>
        <w:pStyle w:val="Normal"/>
        <w:widowControl/>
        <w:rPr/>
      </w:pPr>
      <w:r>
        <w:rPr/>
        <w:t>U.S. phases out Section 232 tariffs on Mexican aluminum paired with Mexico maintaining 100% barite exports to U.S. oil and gas drilling at preferential pricing.</w:t>
      </w:r>
    </w:p>
    <w:p>
      <w:bookmarkStart w:id="2505" w:name="_NAESTMA_TOC_2505"/>
      <w:pPr>
        <w:pStyle w:val="Heading2"/>
        <w:keepNext/>
        <w:widowControl/>
        <w:rPr/>
      </w:pPr>
      <w:r>
        <w:rPr/>
        <w:t>BE-15. Lumber Duty Rebate for Canadian Titanium</w:t>
      </w:r>
      <w:bookmarkEnd w:id="2505"/>
    </w:p>
    <w:p>
      <w:pPr>
        <w:pStyle w:val="Normal"/>
        <w:widowControl/>
        <w:rPr/>
      </w:pPr>
      <w:r>
        <w:rPr/>
        <w:t>U.S. rebates 50% of collected lumber duties to Canadian producers paired with Canada developing titanium sponge production (currently 100% U.S. import-reliant).</w:t>
      </w:r>
    </w:p>
    <w:p>
      <w:bookmarkStart w:id="2506" w:name="_NAESTMA_TOC_2506"/>
      <w:pPr>
        <w:pStyle w:val="Heading2"/>
        <w:keepNext/>
        <w:widowControl/>
        <w:rPr/>
      </w:pPr>
      <w:r>
        <w:rPr/>
        <w:t>BE-16. Non-USMCA Auto Content Tariff Waiver for Mexican Lead</w:t>
      </w:r>
      <w:bookmarkEnd w:id="2506"/>
    </w:p>
    <w:p>
      <w:pPr>
        <w:pStyle w:val="Normal"/>
        <w:widowControl/>
        <w:rPr/>
      </w:pPr>
      <w:r>
        <w:rPr/>
        <w:t>U.S. waives 25% tariff on non-U.S. auto content from Mexico paired with Mexico supplying 150,000 tonnes/year of lead for U.S. battery manufacturing.</w:t>
      </w:r>
    </w:p>
    <w:p>
      <w:bookmarkStart w:id="2507" w:name="_NAESTMA_TOC_2507"/>
      <w:pPr>
        <w:pStyle w:val="Heading2"/>
        <w:keepNext/>
        <w:widowControl/>
        <w:rPr/>
      </w:pPr>
      <w:r>
        <w:rPr/>
        <w:t>BE-17. Softwood Normalization for Niobium Security</w:t>
      </w:r>
      <w:bookmarkEnd w:id="2507"/>
    </w:p>
    <w:p>
      <w:pPr>
        <w:pStyle w:val="Normal"/>
        <w:widowControl/>
        <w:rPr/>
      </w:pPr>
      <w:r>
        <w:rPr/>
        <w:t>Pair negotiated softwood normalization with Canadian niobium supply, processing or offtake cooperation without assuming a specific Canadian export tax.</w:t>
      </w:r>
    </w:p>
    <w:p>
      <w:bookmarkStart w:id="2508" w:name="_NAESTMA_TOC_2508"/>
      <w:pPr>
        <w:pStyle w:val="Heading2"/>
        <w:keepNext/>
        <w:widowControl/>
        <w:rPr/>
      </w:pPr>
      <w:r>
        <w:rPr/>
        <w:t>BE-18. Section 301 Exclusion for Mexican REE Ores</w:t>
      </w:r>
      <w:bookmarkEnd w:id="2508"/>
    </w:p>
    <w:p>
      <w:pPr>
        <w:pStyle w:val="Normal"/>
        <w:widowControl/>
        <w:rPr/>
      </w:pPr>
      <w:r>
        <w:rPr/>
        <w:t>U.S. grants permanent Section 301 exclusion for Mexican mineral imports paired with Mexico developing its REE deposits with U.S. investment.</w:t>
      </w:r>
    </w:p>
    <w:p>
      <w:bookmarkStart w:id="2509" w:name="_NAESTMA_TOC_2509"/>
      <w:pPr>
        <w:pStyle w:val="Heading2"/>
        <w:keepNext/>
        <w:widowControl/>
        <w:rPr/>
      </w:pPr>
      <w:r>
        <w:rPr/>
        <w:t>BE-19. Anti-Dumping Duty Suspension for Canadian Graphite</w:t>
      </w:r>
      <w:bookmarkEnd w:id="2509"/>
    </w:p>
    <w:p>
      <w:pPr>
        <w:pStyle w:val="Normal"/>
        <w:widowControl/>
        <w:rPr/>
      </w:pPr>
      <w:r>
        <w:rPr/>
        <w:t>U.S. suspends AD duties on Canadian graphite paired with Canada processing 50,000 tonnes/year of graphite for U.S. EV anodes.</w:t>
      </w:r>
    </w:p>
    <w:p>
      <w:bookmarkStart w:id="2510" w:name="_NAESTMA_TOC_2510"/>
      <w:pPr>
        <w:pStyle w:val="Heading2"/>
        <w:keepNext/>
        <w:widowControl/>
        <w:rPr/>
      </w:pPr>
      <w:r>
        <w:rPr/>
        <w:t>BE-20. Comprehensive Tariff Reset</w:t>
      </w:r>
      <w:bookmarkEnd w:id="2510"/>
    </w:p>
    <w:p>
      <w:pPr>
        <w:pStyle w:val="Normal"/>
        <w:widowControl/>
        <w:rPr/>
      </w:pPr>
      <w:r>
        <w:rPr/>
        <w:t>U.S. resets all Section 232 tariffs on Canada and Mexico to zero over 5 years paired with a joint critical minerals supply guarantee covering 31 minerals where U.S. import reliance exceeds 50%.</w:t>
      </w:r>
    </w:p>
    <w:p>
      <w:bookmarkStart w:id="2511" w:name="_NAESTMA_TOC_2511"/>
      <w:pPr>
        <w:pStyle w:val="Heading2"/>
        <w:keepNext/>
        <w:widowControl/>
        <w:rPr/>
      </w:pPr>
      <w:r>
        <w:rPr/>
        <w:t>BE-21. Energy Cooperation for State-Led Mexican Lithium Development</w:t>
      </w:r>
      <w:bookmarkEnd w:id="2511"/>
    </w:p>
    <w:p>
      <w:pPr>
        <w:pStyle w:val="Normal"/>
        <w:widowControl/>
        <w:rPr/>
      </w:pPr>
      <w:r>
        <w:rPr/>
        <w:t>Pair Canadian energy/infrastructure cooperation with LitioMx-led lithium processing and downstream investment, not private lithium concessions.</w:t>
      </w:r>
    </w:p>
    <w:p>
      <w:bookmarkStart w:id="2512" w:name="_NAESTMA_TOC_2512"/>
      <w:pPr>
        <w:pStyle w:val="Heading2"/>
        <w:keepNext/>
        <w:widowControl/>
        <w:rPr/>
      </w:pPr>
      <w:r>
        <w:rPr/>
        <w:t>BE-22. Commercial Energy Security for Copper Offtake</w:t>
      </w:r>
      <w:bookmarkEnd w:id="2512"/>
    </w:p>
    <w:p>
      <w:pPr>
        <w:pStyle w:val="Normal"/>
        <w:widowControl/>
        <w:rPr/>
      </w:pPr>
      <w:r>
        <w:rPr/>
        <w:t>Use long-term market-linked energy contracts paired with market-linked mineral offtake; no government-mandated below-market gas.</w:t>
      </w:r>
    </w:p>
    <w:p>
      <w:bookmarkStart w:id="2513" w:name="_NAESTMA_TOC_2513"/>
      <w:pPr>
        <w:pStyle w:val="Heading2"/>
        <w:keepNext/>
        <w:widowControl/>
        <w:rPr/>
      </w:pPr>
      <w:r>
        <w:rPr/>
        <w:t>BE-23. Canadian Hydropower for U.S. REE Processing</w:t>
      </w:r>
      <w:bookmarkEnd w:id="2513"/>
    </w:p>
    <w:p>
      <w:pPr>
        <w:pStyle w:val="Normal"/>
        <w:widowControl/>
        <w:rPr/>
      </w:pPr>
      <w:r>
        <w:rPr/>
        <w:t>Canada exports hydropower to U.S. REE processing facilities at preferential rates paired with U.S. REE processors using Canadian-separated ores as 30% of feedstock.</w:t>
      </w:r>
    </w:p>
    <w:p>
      <w:bookmarkStart w:id="2514" w:name="_NAESTMA_TOC_2514"/>
      <w:pPr>
        <w:pStyle w:val="Heading2"/>
        <w:keepNext/>
        <w:widowControl/>
        <w:rPr/>
      </w:pPr>
      <w:r>
        <w:rPr/>
        <w:t>BE-24. Permian Basin Gas for Mexican Silver</w:t>
      </w:r>
      <w:bookmarkEnd w:id="2514"/>
    </w:p>
    <w:p>
      <w:pPr>
        <w:pStyle w:val="Normal"/>
        <w:widowControl/>
        <w:rPr/>
      </w:pPr>
      <w:r>
        <w:rPr/>
        <w:t>U.S. guarantees 10-year natural gas supply from Permian Basin to Mexican industrial users paired with Mexico supplying 2,000 tonnes/year of silver to U.S. electronics manufacturers.</w:t>
      </w:r>
    </w:p>
    <w:p>
      <w:bookmarkStart w:id="2515" w:name="_NAESTMA_TOC_2515"/>
      <w:pPr>
        <w:pStyle w:val="Heading2"/>
        <w:keepNext/>
        <w:widowControl/>
        <w:rPr/>
      </w:pPr>
      <w:r>
        <w:rPr/>
        <w:t>BE-25. Canadian Clean Energy Credits for Mexican Zinc</w:t>
      </w:r>
      <w:bookmarkEnd w:id="2515"/>
    </w:p>
    <w:p>
      <w:pPr>
        <w:pStyle w:val="Normal"/>
        <w:widowControl/>
        <w:rPr/>
      </w:pPr>
      <w:r>
        <w:rPr/>
        <w:t>Canada sells clean energy credits to Mexican zinc smelters (helping them meet ESG standards) paired with Mexico supplying 300,000 tonnes/year of zinc to Canadian galvanizers.</w:t>
      </w:r>
    </w:p>
    <w:p>
      <w:bookmarkStart w:id="2516" w:name="_NAESTMA_TOC_2516"/>
      <w:pPr>
        <w:pStyle w:val="Heading2"/>
        <w:keepNext/>
        <w:widowControl/>
        <w:rPr/>
      </w:pPr>
      <w:r>
        <w:rPr/>
        <w:t>BE-26. U.S. LNG Export License for Canadian Critical Minerals</w:t>
      </w:r>
      <w:bookmarkEnd w:id="2516"/>
    </w:p>
    <w:p>
      <w:pPr>
        <w:pStyle w:val="Normal"/>
        <w:widowControl/>
        <w:rPr/>
      </w:pPr>
      <w:r>
        <w:rPr/>
        <w:t>U.S. fast-tracks LNG export licenses to Canada paired with Canada fast-tracking permitting for U.S. mining companies in Canadian critical mineral projects.</w:t>
      </w:r>
    </w:p>
    <w:p>
      <w:bookmarkStart w:id="2517" w:name="_NAESTMA_TOC_2517"/>
      <w:pPr>
        <w:pStyle w:val="Heading2"/>
        <w:keepNext/>
        <w:widowControl/>
        <w:rPr/>
      </w:pPr>
      <w:r>
        <w:rPr/>
        <w:t>BE-27. Canadian Nuclear Technology for Mexican Uranium</w:t>
      </w:r>
      <w:bookmarkEnd w:id="2517"/>
    </w:p>
    <w:p>
      <w:pPr>
        <w:pStyle w:val="Normal"/>
        <w:widowControl/>
        <w:rPr/>
      </w:pPr>
      <w:r>
        <w:rPr/>
        <w:t>Canada provides CANDU reactor technology and expertise to Mexico's nuclear program paired with Mexico developing its uranium deposits with Canadian mining companies.</w:t>
      </w:r>
    </w:p>
    <w:p>
      <w:bookmarkStart w:id="2518" w:name="_NAESTMA_TOC_2518"/>
      <w:pPr>
        <w:pStyle w:val="Heading2"/>
        <w:keepNext/>
        <w:widowControl/>
        <w:rPr/>
      </w:pPr>
      <w:r>
        <w:rPr/>
        <w:t>BE-28. U.S. Battery Storage for Canadian Grid Stability</w:t>
      </w:r>
      <w:bookmarkEnd w:id="2518"/>
    </w:p>
    <w:p>
      <w:pPr>
        <w:pStyle w:val="Normal"/>
        <w:widowControl/>
        <w:rPr/>
      </w:pPr>
      <w:r>
        <w:rPr/>
        <w:t>U.S. supplies grid-scale battery storage to Canadian renewable projects paired with Canada supplying 30,000 tonnes/year of nickel to U.S. battery manufacturers.</w:t>
      </w:r>
    </w:p>
    <w:p>
      <w:bookmarkStart w:id="2519" w:name="_NAESTMA_TOC_2519"/>
      <w:pPr>
        <w:pStyle w:val="Heading2"/>
        <w:keepNext/>
        <w:widowControl/>
        <w:rPr/>
      </w:pPr>
      <w:r>
        <w:rPr/>
        <w:t>BE-29. Geothermal Integration with State-Led Mexican Lithium</w:t>
      </w:r>
      <w:bookmarkEnd w:id="2519"/>
    </w:p>
    <w:p>
      <w:pPr>
        <w:pStyle w:val="Normal"/>
        <w:widowControl/>
        <w:rPr/>
      </w:pPr>
      <w:r>
        <w:rPr/>
        <w:t>Use Mexican geothermal resources to support lawful LitioMx-led lithium development and processing with reciprocal technology cooperation.</w:t>
      </w:r>
    </w:p>
    <w:p>
      <w:bookmarkStart w:id="2520" w:name="_NAESTMA_TOC_2520"/>
      <w:pPr>
        <w:pStyle w:val="Heading2"/>
        <w:keepNext/>
        <w:widowControl/>
        <w:rPr/>
      </w:pPr>
      <w:r>
        <w:rPr/>
        <w:t>BE-30. Canadian Hydrogen for Mexican Smelters</w:t>
      </w:r>
      <w:bookmarkEnd w:id="2520"/>
    </w:p>
    <w:p>
      <w:pPr>
        <w:pStyle w:val="Normal"/>
        <w:widowControl/>
        <w:rPr/>
      </w:pPr>
      <w:r>
        <w:rPr/>
        <w:t>Canada supplies green hydrogen to Mexican copper and zinc smelters (decarbonizing their operations) paired with Mexico supplying 10% of its copper production to Canadian manufacturers at fixed prices.</w:t>
      </w:r>
    </w:p>
    <w:p>
      <w:bookmarkStart w:id="2521" w:name="_NAESTMA_TOC_2521"/>
      <w:pPr>
        <w:pStyle w:val="Heading2"/>
        <w:keepNext/>
        <w:widowControl/>
        <w:rPr/>
      </w:pPr>
      <w:r>
        <w:rPr/>
        <w:t>BE-31. Reciprocal Emergency Energy-Fertilizer Continuity</w:t>
      </w:r>
      <w:bookmarkEnd w:id="2521"/>
    </w:p>
    <w:p>
      <w:pPr>
        <w:pStyle w:val="Normal"/>
        <w:widowControl/>
        <w:rPr/>
      </w:pPr>
      <w:r>
        <w:rPr/>
        <w:t>Pair emergency energy continuity cooperation with Canadian potash continuity without treating the U.S. Strategic Petroleum Reserve as a general bilateral fuel bank.</w:t>
      </w:r>
    </w:p>
    <w:p>
      <w:bookmarkStart w:id="2522" w:name="_NAESTMA_TOC_2522"/>
      <w:pPr>
        <w:pStyle w:val="Heading2"/>
        <w:keepNext/>
        <w:widowControl/>
        <w:rPr/>
      </w:pPr>
      <w:r>
        <w:rPr/>
        <w:t>BE-32. Canadian Small Modular Reactors for U.S. Processing</w:t>
      </w:r>
      <w:bookmarkEnd w:id="2522"/>
    </w:p>
    <w:p>
      <w:pPr>
        <w:pStyle w:val="Normal"/>
        <w:widowControl/>
        <w:rPr/>
      </w:pPr>
      <w:r>
        <w:rPr/>
        <w:t>Canada deploys SMR technology at U.S. mineral processing facilities paired with U.S. supplying 25% of its REE ores to Canadian separation plants.</w:t>
      </w:r>
    </w:p>
    <w:p>
      <w:bookmarkStart w:id="2523" w:name="_NAESTMA_TOC_2523"/>
      <w:pPr>
        <w:pStyle w:val="Heading2"/>
        <w:keepNext/>
        <w:widowControl/>
        <w:rPr/>
      </w:pPr>
      <w:r>
        <w:rPr/>
        <w:t>BE-33. U.S. Solar Panels for Mexican Barite</w:t>
      </w:r>
      <w:bookmarkEnd w:id="2523"/>
    </w:p>
    <w:p>
      <w:pPr>
        <w:pStyle w:val="Normal"/>
        <w:widowControl/>
        <w:rPr/>
      </w:pPr>
      <w:r>
        <w:rPr/>
        <w:t>U.S. supplies solar panels (at 20% discount) to Mexican mining operations paired with Mexico increasing barite exports to U.S. by 50%.</w:t>
      </w:r>
    </w:p>
    <w:p>
      <w:bookmarkStart w:id="2524" w:name="_NAESTMA_TOC_2524"/>
      <w:pPr>
        <w:pStyle w:val="Heading2"/>
        <w:keepNext/>
        <w:widowControl/>
        <w:rPr/>
      </w:pPr>
      <w:r>
        <w:rPr/>
        <w:t>BE-34. Cross-Border Clean Power for Critical-Mineral Manufacturing</w:t>
      </w:r>
      <w:bookmarkEnd w:id="2524"/>
    </w:p>
    <w:p>
      <w:pPr>
        <w:pStyle w:val="Normal"/>
        <w:widowControl/>
        <w:rPr/>
      </w:pPr>
      <w:r>
        <w:rPr/>
        <w:t>Pair grid investment with reciprocal mineral-processing and manufacturing investment rather than hardware-by-hardware mineral-content quotas.</w:t>
      </w:r>
    </w:p>
    <w:p>
      <w:bookmarkStart w:id="2525" w:name="_NAESTMA_TOC_2525"/>
      <w:pPr>
        <w:pStyle w:val="Heading2"/>
        <w:keepNext/>
        <w:widowControl/>
        <w:rPr/>
      </w:pPr>
      <w:r>
        <w:rPr/>
        <w:t>BE-35. Tri-National Energy-Minerals Corridor</w:t>
      </w:r>
      <w:bookmarkEnd w:id="2525"/>
    </w:p>
    <w:p>
      <w:pPr>
        <w:pStyle w:val="Normal"/>
        <w:widowControl/>
        <w:rPr/>
      </w:pPr>
      <w:r>
        <w:rPr/>
        <w:t>Jointly build energy infrastructure (pipelines, transmission lines) linking Canadian hydro, U.S. gas, and Mexican solar to mineral processing facilities across all three countries, with each country contributing energy capacity proportional to its mineral offtake.</w:t>
      </w:r>
    </w:p>
    <w:p>
      <w:bookmarkStart w:id="2526" w:name="_NAESTMA_TOC_2526"/>
      <w:pPr>
        <w:pStyle w:val="Heading2"/>
        <w:keepNext/>
        <w:widowControl/>
        <w:rPr/>
      </w:pPr>
      <w:r>
        <w:rPr/>
        <w:t>BE-36. Skills Mobility for State-Led Mexican Lithium Projects</w:t>
      </w:r>
      <w:bookmarkEnd w:id="2526"/>
    </w:p>
    <w:p>
      <w:pPr>
        <w:pStyle w:val="Normal"/>
        <w:widowControl/>
        <w:rPr/>
      </w:pPr>
      <w:r>
        <w:rPr/>
        <w:t>Expand lawful professional mobility supporting LitioMx/state-led projects without private lithium permits.</w:t>
      </w:r>
    </w:p>
    <w:p>
      <w:bookmarkStart w:id="2527" w:name="_NAESTMA_TOC_2527"/>
      <w:pPr>
        <w:pStyle w:val="Heading2"/>
        <w:keepNext/>
        <w:widowControl/>
        <w:rPr/>
      </w:pPr>
      <w:r>
        <w:rPr/>
        <w:t>BE-37. U.S. Geologists for Canadian REEs</w:t>
      </w:r>
      <w:bookmarkEnd w:id="2527"/>
    </w:p>
    <w:p>
      <w:pPr>
        <w:pStyle w:val="Normal"/>
        <w:widowControl/>
        <w:rPr/>
      </w:pPr>
      <w:r>
        <w:rPr/>
        <w:t>U.S. geologists get fast-tracked work permits in Canada paired with Canada sharing 50% of its REE exploration data with U.S. companies.</w:t>
      </w:r>
    </w:p>
    <w:p>
      <w:bookmarkStart w:id="2528" w:name="_NAESTMA_TOC_2528"/>
      <w:pPr>
        <w:pStyle w:val="Heading2"/>
        <w:keepNext/>
        <w:widowControl/>
        <w:rPr/>
      </w:pPr>
      <w:r>
        <w:rPr/>
        <w:t>BE-38. Mexican Welders for U.S. Processing Plants</w:t>
      </w:r>
      <w:bookmarkEnd w:id="2528"/>
    </w:p>
    <w:p>
      <w:pPr>
        <w:pStyle w:val="Normal"/>
        <w:widowControl/>
        <w:rPr/>
      </w:pPr>
      <w:r>
        <w:rPr/>
        <w:t>Mexico gets 5,000 additional TN visas for skilled welders and fabricators to U.S. processing plants paired with U.S. investing $500M in Mexican mineral processing training centers.</w:t>
      </w:r>
    </w:p>
    <w:p>
      <w:bookmarkStart w:id="2529" w:name="_NAESTMA_TOC_2529"/>
      <w:pPr>
        <w:pStyle w:val="Heading2"/>
        <w:keepNext/>
        <w:widowControl/>
        <w:rPr/>
      </w:pPr>
      <w:r>
        <w:rPr/>
        <w:t>BE-39. Canadian Process Engineers for U.S. Smelters</w:t>
      </w:r>
      <w:bookmarkEnd w:id="2529"/>
    </w:p>
    <w:p>
      <w:pPr>
        <w:pStyle w:val="Normal"/>
        <w:widowControl/>
        <w:rPr/>
      </w:pPr>
      <w:r>
        <w:rPr/>
        <w:t>Canada gets TN visa expansion for metallurgists and process engineers to the U.S. paired with U.S. transferring smelting technology to 3 Canadian facilities.</w:t>
      </w:r>
    </w:p>
    <w:p>
      <w:bookmarkStart w:id="2530" w:name="_NAESTMA_TOC_2530"/>
      <w:pPr>
        <w:pStyle w:val="Heading2"/>
        <w:keepNext/>
        <w:widowControl/>
        <w:rPr/>
      </w:pPr>
      <w:r>
        <w:rPr/>
        <w:t>BE-40. Mexican Geologists for Canadian Exploration</w:t>
      </w:r>
      <w:bookmarkEnd w:id="2530"/>
    </w:p>
    <w:p>
      <w:pPr>
        <w:pStyle w:val="Normal"/>
        <w:widowControl/>
        <w:rPr/>
      </w:pPr>
      <w:r>
        <w:rPr/>
        <w:t>Mexico gets TN visa access for geologists to Canada paired with Canada training 200 Mexican geologists in advanced exploration techniques.</w:t>
      </w:r>
    </w:p>
    <w:p>
      <w:bookmarkStart w:id="2531" w:name="_NAESTMA_TOC_2531"/>
      <w:pPr>
        <w:pStyle w:val="Heading2"/>
        <w:keepNext/>
        <w:widowControl/>
        <w:rPr/>
      </w:pPr>
      <w:r>
        <w:rPr/>
        <w:t>BE-41. U.S. Electricians for Mexican Refineries</w:t>
      </w:r>
      <w:bookmarkEnd w:id="2531"/>
    </w:p>
    <w:p>
      <w:pPr>
        <w:pStyle w:val="Normal"/>
        <w:widowControl/>
        <w:rPr/>
      </w:pPr>
      <w:r>
        <w:rPr/>
        <w:t>U.S. electricians get fast-tracked work permits in Mexico paired with Mexico guaranteeing 100,000 tonnes/year of refined copper to U.S. manufacturers.</w:t>
      </w:r>
    </w:p>
    <w:p>
      <w:bookmarkStart w:id="2532" w:name="_NAESTMA_TOC_2532"/>
      <w:pPr>
        <w:pStyle w:val="Heading2"/>
        <w:keepNext/>
        <w:widowControl/>
        <w:rPr/>
      </w:pPr>
      <w:r>
        <w:rPr/>
        <w:t>BE-42. Canadian Project Managers for U.S. Mine Expansions</w:t>
      </w:r>
      <w:bookmarkEnd w:id="2532"/>
    </w:p>
    <w:p>
      <w:pPr>
        <w:pStyle w:val="Normal"/>
        <w:widowControl/>
        <w:rPr/>
      </w:pPr>
      <w:r>
        <w:rPr/>
        <w:t>Canadian project managers get expedited U.S. work permits paired with U.S. mining companies investing $1B in Canadian critical mineral projects.</w:t>
      </w:r>
    </w:p>
    <w:p>
      <w:bookmarkStart w:id="2533" w:name="_NAESTMA_TOC_2533"/>
      <w:pPr>
        <w:pStyle w:val="Heading2"/>
        <w:keepNext/>
        <w:widowControl/>
        <w:rPr/>
      </w:pPr>
      <w:r>
        <w:rPr/>
        <w:t>BE-43. Mexican Technicians for Canadian Battery Plants</w:t>
      </w:r>
      <w:bookmarkEnd w:id="2533"/>
    </w:p>
    <w:p>
      <w:pPr>
        <w:pStyle w:val="Normal"/>
        <w:widowControl/>
        <w:rPr/>
      </w:pPr>
      <w:r>
        <w:rPr/>
        <w:t>Mexican battery technicians get TN visas to Canada paired with Canada building 3 battery recycling facilities in Mexico.</w:t>
      </w:r>
    </w:p>
    <w:p>
      <w:bookmarkStart w:id="2534" w:name="_NAESTMA_TOC_2534"/>
      <w:pPr>
        <w:pStyle w:val="Heading2"/>
        <w:keepNext/>
        <w:widowControl/>
        <w:rPr/>
      </w:pPr>
      <w:r>
        <w:rPr/>
        <w:t>BE-44. Reciprocal Mine-Safety Inspector Exchange</w:t>
      </w:r>
      <w:bookmarkEnd w:id="2534"/>
    </w:p>
    <w:p>
      <w:pPr>
        <w:pStyle w:val="Normal"/>
        <w:widowControl/>
        <w:rPr/>
      </w:pPr>
      <w:r>
        <w:rPr/>
        <w:t>Support inspector exchanges and equivalent high safety outcomes while preserving Mexican regulatory sovereignty.</w:t>
      </w:r>
    </w:p>
    <w:p>
      <w:bookmarkStart w:id="2535" w:name="_NAESTMA_TOC_2535"/>
      <w:pPr>
        <w:pStyle w:val="Heading2"/>
        <w:keepNext/>
        <w:widowControl/>
        <w:rPr/>
      </w:pPr>
      <w:r>
        <w:rPr/>
        <w:t>BE-45. Canadian Researchers for U.S. National Labs</w:t>
      </w:r>
      <w:bookmarkEnd w:id="2535"/>
    </w:p>
    <w:p>
      <w:pPr>
        <w:pStyle w:val="Normal"/>
        <w:widowControl/>
        <w:rPr/>
      </w:pPr>
      <w:r>
        <w:rPr/>
        <w:t>Canadian mineral researchers get fast-tracked access to U.S. national labs paired with U.S. researchers getting access to Canadian mining research facilities.</w:t>
      </w:r>
    </w:p>
    <w:p>
      <w:bookmarkStart w:id="2536" w:name="_NAESTMA_TOC_2536"/>
      <w:pPr>
        <w:pStyle w:val="Heading2"/>
        <w:keepNext/>
        <w:widowControl/>
        <w:rPr/>
      </w:pPr>
      <w:r>
        <w:rPr/>
        <w:t>BE-46. Mexican Construction Workers for U.S. Refineries</w:t>
      </w:r>
      <w:bookmarkEnd w:id="2536"/>
    </w:p>
    <w:p>
      <w:pPr>
        <w:pStyle w:val="Normal"/>
        <w:widowControl/>
        <w:rPr/>
      </w:pPr>
      <w:r>
        <w:rPr/>
        <w:t>Mexico gets 10,000 additional construction worker visas to the U.S. paired with U.S. building 5 mineral processing plants in Mexico.</w:t>
      </w:r>
    </w:p>
    <w:p>
      <w:bookmarkStart w:id="2537" w:name="_NAESTMA_TOC_2537"/>
      <w:pPr>
        <w:pStyle w:val="Heading2"/>
        <w:keepNext/>
        <w:widowControl/>
        <w:rPr/>
      </w:pPr>
      <w:r>
        <w:rPr/>
        <w:t>BE-47. Tri-National Mining Workforce Exchange</w:t>
      </w:r>
      <w:bookmarkEnd w:id="2537"/>
    </w:p>
    <w:p>
      <w:pPr>
        <w:pStyle w:val="Normal"/>
        <w:widowControl/>
        <w:rPr/>
      </w:pPr>
      <w:r>
        <w:rPr/>
        <w:t>Annual exchange program: 500 workers from each country spend 2 years in another country's mining/processing operations, with each country's mineral production counting toward all three countries' critical mineral goals.</w:t>
      </w:r>
    </w:p>
    <w:p>
      <w:bookmarkStart w:id="2538" w:name="_NAESTMA_TOC_2538"/>
      <w:pPr>
        <w:pStyle w:val="Heading2"/>
        <w:keepNext/>
        <w:widowControl/>
        <w:rPr/>
      </w:pPr>
      <w:r>
        <w:rPr/>
        <w:t>BE-48. Voluntary Indigenous Professional Mobility and Procurement</w:t>
      </w:r>
      <w:bookmarkEnd w:id="2538"/>
    </w:p>
    <w:p>
      <w:pPr>
        <w:pStyle w:val="Normal"/>
        <w:widowControl/>
        <w:rPr/>
      </w:pPr>
      <w:r>
        <w:rPr/>
        <w:t>Expand voluntary mobility, Indigenous-owned-business procurement, training and partnership opportunities; people are not trade concessions.</w:t>
      </w:r>
    </w:p>
    <w:p>
      <w:bookmarkStart w:id="2539" w:name="_NAESTMA_TOC_2539"/>
      <w:pPr>
        <w:pStyle w:val="Heading2"/>
        <w:keepNext/>
        <w:widowControl/>
        <w:rPr/>
      </w:pPr>
      <w:r>
        <w:rPr/>
        <w:t>BE-49. Women-in-Mining Opportunity Initiative</w:t>
      </w:r>
      <w:bookmarkEnd w:id="2539"/>
    </w:p>
    <w:p>
      <w:pPr>
        <w:pStyle w:val="Normal"/>
        <w:widowControl/>
        <w:rPr/>
      </w:pPr>
      <w:r>
        <w:rPr/>
        <w:t>Use scholarships, apprenticeships, recruitment and barrier removal rather than treaty-imposed employment quotas.</w:t>
      </w:r>
    </w:p>
    <w:p>
      <w:bookmarkStart w:id="2540" w:name="_NAESTMA_TOC_2540"/>
      <w:pPr>
        <w:pStyle w:val="Heading2"/>
        <w:keepNext/>
        <w:widowControl/>
        <w:rPr/>
      </w:pPr>
      <w:r>
        <w:rPr/>
        <w:t>BE-50. Tri-National Processing Technician Certification</w:t>
      </w:r>
      <w:bookmarkEnd w:id="2540"/>
    </w:p>
    <w:p>
      <w:pPr>
        <w:pStyle w:val="Normal"/>
        <w:widowControl/>
        <w:rPr/>
      </w:pPr>
      <w:r>
        <w:rPr/>
        <w:t>Harmonized certification for processing technicians accepted in all three countries, with each country committing to train 10,000 technicians paired with mineral offtake guarantees.</w:t>
      </w:r>
    </w:p>
    <w:p>
      <w:bookmarkStart w:id="2541" w:name="_NAESTMA_TOC_2541"/>
      <w:pPr>
        <w:pStyle w:val="Heading2"/>
        <w:keepNext/>
        <w:widowControl/>
        <w:rPr/>
      </w:pPr>
      <w:r>
        <w:rPr/>
        <w:t>BE-51. Agricultural Security for State-Led Mexican Lithium Partnership</w:t>
      </w:r>
      <w:bookmarkEnd w:id="2541"/>
    </w:p>
    <w:p>
      <w:pPr>
        <w:pStyle w:val="Normal"/>
        <w:widowControl/>
        <w:rPr/>
      </w:pPr>
      <w:r>
        <w:rPr/>
        <w:t>Pair agricultural supply-security cooperation with lawful LitioMx-led lithium/downstream partnership.</w:t>
      </w:r>
    </w:p>
    <w:p>
      <w:bookmarkStart w:id="2542" w:name="_NAESTMA_TOC_2542"/>
      <w:pPr>
        <w:pStyle w:val="Heading2"/>
        <w:keepNext/>
        <w:widowControl/>
        <w:rPr/>
      </w:pPr>
      <w:r>
        <w:rPr/>
        <w:t>BE-52. U.S. Soybeans for Canadian Potash</w:t>
      </w:r>
      <w:bookmarkEnd w:id="2542"/>
    </w:p>
    <w:p>
      <w:pPr>
        <w:pStyle w:val="Normal"/>
        <w:widowControl/>
        <w:rPr/>
      </w:pPr>
      <w:r>
        <w:rPr/>
        <w:t>U.S. guarantees soybean exports to Canada at preferential pricing paired with Canada supplying 2 million tonnes/year of potash to U.S. farmers at 5% below market.</w:t>
      </w:r>
    </w:p>
    <w:p>
      <w:bookmarkStart w:id="2543" w:name="_NAESTMA_TOC_2543"/>
      <w:pPr>
        <w:pStyle w:val="Heading2"/>
        <w:keepNext/>
        <w:widowControl/>
        <w:rPr/>
      </w:pPr>
      <w:r>
        <w:rPr/>
        <w:t>BE-53. U.S. Pork for Mexican Copper</w:t>
      </w:r>
      <w:bookmarkEnd w:id="2543"/>
    </w:p>
    <w:p>
      <w:pPr>
        <w:pStyle w:val="Normal"/>
        <w:widowControl/>
        <w:rPr/>
      </w:pPr>
      <w:r>
        <w:rPr/>
        <w:t>U.S. guarantees $2B/year in pork exports to Mexico paired with Mexico supplying 150,000 tonnes/year of copper cathode to U.S. wire manufacturers.</w:t>
      </w:r>
    </w:p>
    <w:p>
      <w:bookmarkStart w:id="2544" w:name="_NAESTMA_TOC_2544"/>
      <w:pPr>
        <w:pStyle w:val="Heading2"/>
        <w:keepNext/>
        <w:widowControl/>
        <w:rPr/>
      </w:pPr>
      <w:r>
        <w:rPr/>
        <w:t>BE-54. U.S. Dairy for Canadian Nickel</w:t>
      </w:r>
      <w:bookmarkEnd w:id="2544"/>
    </w:p>
    <w:p>
      <w:pPr>
        <w:pStyle w:val="Normal"/>
        <w:widowControl/>
        <w:rPr/>
      </w:pPr>
      <w:r>
        <w:rPr/>
        <w:t>U.S. expands dairy access to Canadian market paired with Canada supplying 40,000 tonnes/year of nickel to U.S. battery plants.</w:t>
      </w:r>
    </w:p>
    <w:p>
      <w:bookmarkStart w:id="2545" w:name="_NAESTMA_TOC_2545"/>
      <w:pPr>
        <w:pStyle w:val="Heading2"/>
        <w:keepNext/>
        <w:widowControl/>
        <w:rPr/>
      </w:pPr>
      <w:r>
        <w:rPr/>
        <w:t>BE-55. U.S. Wheat for Mexican Silver</w:t>
      </w:r>
      <w:bookmarkEnd w:id="2545"/>
    </w:p>
    <w:p>
      <w:pPr>
        <w:pStyle w:val="Normal"/>
        <w:widowControl/>
        <w:rPr/>
      </w:pPr>
      <w:r>
        <w:rPr/>
        <w:t>U.S. guarantees wheat exports to Mexico at fixed prices for 10 years paired with Mexico supplying 1,500 tonnes/year of silver to U.S. solar manufacturers.</w:t>
      </w:r>
    </w:p>
    <w:p>
      <w:bookmarkStart w:id="2546" w:name="_NAESTMA_TOC_2546"/>
      <w:pPr>
        <w:pStyle w:val="Heading2"/>
        <w:keepNext/>
        <w:widowControl/>
        <w:rPr/>
      </w:pPr>
      <w:r>
        <w:rPr/>
        <w:t>BE-56. Canadian Canola for U.S. REEs</w:t>
      </w:r>
      <w:bookmarkEnd w:id="2546"/>
    </w:p>
    <w:p>
      <w:pPr>
        <w:pStyle w:val="Normal"/>
        <w:widowControl/>
        <w:rPr/>
      </w:pPr>
      <w:r>
        <w:rPr/>
        <w:t>Canada guarantees canola oil exports to U.S. biofuel producers paired with U.S. supplying 2,000 tonnes/year of separated REEs to Canadian magnet manufacturers.</w:t>
      </w:r>
    </w:p>
    <w:p>
      <w:bookmarkStart w:id="2547" w:name="_NAESTMA_TOC_2547"/>
      <w:pPr>
        <w:pStyle w:val="Heading2"/>
        <w:keepNext/>
        <w:widowControl/>
        <w:rPr/>
      </w:pPr>
      <w:r>
        <w:rPr/>
        <w:t>BE-57. U.S. Poultry for Mexican Zinc</w:t>
      </w:r>
      <w:bookmarkEnd w:id="2547"/>
    </w:p>
    <w:p>
      <w:pPr>
        <w:pStyle w:val="Normal"/>
        <w:widowControl/>
        <w:rPr/>
      </w:pPr>
      <w:r>
        <w:rPr/>
        <w:t>U.S. guarantees poultry exports to Mexico paired with Mexico supplying 250,000 tonnes/year of zinc to U.S. galvanizing plants.</w:t>
      </w:r>
    </w:p>
    <w:p>
      <w:bookmarkStart w:id="2548" w:name="_NAESTMA_TOC_2548"/>
      <w:pPr>
        <w:pStyle w:val="Heading2"/>
        <w:keepNext/>
        <w:widowControl/>
        <w:rPr/>
      </w:pPr>
      <w:r>
        <w:rPr/>
        <w:t>BE-58. U.S. Beef for Canadian Uranium</w:t>
      </w:r>
      <w:bookmarkEnd w:id="2548"/>
    </w:p>
    <w:p>
      <w:pPr>
        <w:pStyle w:val="Normal"/>
        <w:widowControl/>
        <w:rPr/>
      </w:pPr>
      <w:r>
        <w:rPr/>
        <w:t>U.S. expands beef access to Canadian market paired with Canada guaranteeing 15 million pounds/year of U3O8 to U.S. nuclear utilities.</w:t>
      </w:r>
    </w:p>
    <w:p>
      <w:bookmarkStart w:id="2549" w:name="_NAESTMA_TOC_2549"/>
      <w:pPr>
        <w:pStyle w:val="Heading2"/>
        <w:keepNext/>
        <w:widowControl/>
        <w:rPr/>
      </w:pPr>
      <w:r>
        <w:rPr/>
        <w:t>BE-59. Mexican Avocados for U.S. Molybdenum</w:t>
      </w:r>
      <w:bookmarkEnd w:id="2549"/>
    </w:p>
    <w:p>
      <w:pPr>
        <w:pStyle w:val="Normal"/>
        <w:widowControl/>
        <w:rPr/>
      </w:pPr>
      <w:r>
        <w:rPr/>
        <w:t>Mexico guarantees avocado exports to U.S. at stable prices paired with U.S. supplying 10,000 tonnes/year of molybdenum to Mexican steel mills.</w:t>
      </w:r>
    </w:p>
    <w:p>
      <w:bookmarkStart w:id="2550" w:name="_NAESTMA_TOC_2550"/>
      <w:pPr>
        <w:pStyle w:val="Heading2"/>
        <w:keepNext/>
        <w:widowControl/>
        <w:rPr/>
      </w:pPr>
      <w:r>
        <w:rPr/>
        <w:t>BE-60. Canadian Pork for U.S. Graphite</w:t>
      </w:r>
      <w:bookmarkEnd w:id="2550"/>
    </w:p>
    <w:p>
      <w:pPr>
        <w:pStyle w:val="Normal"/>
        <w:widowControl/>
        <w:rPr/>
      </w:pPr>
      <w:r>
        <w:rPr/>
        <w:t>Canada guarantees pork exports to U.S. paired with U.S. supplying 30,000 tonnes/year of natural graphite to Canadian anode plants.</w:t>
      </w:r>
    </w:p>
    <w:p>
      <w:bookmarkStart w:id="2551" w:name="_NAESTMA_TOC_2551"/>
      <w:pPr>
        <w:pStyle w:val="Heading2"/>
        <w:keepNext/>
        <w:widowControl/>
        <w:rPr/>
      </w:pPr>
      <w:r>
        <w:rPr/>
        <w:t>BE-61. U.S. Cotton for Mexican Fluorspar</w:t>
      </w:r>
      <w:bookmarkEnd w:id="2551"/>
    </w:p>
    <w:p>
      <w:pPr>
        <w:pStyle w:val="Normal"/>
        <w:widowControl/>
        <w:rPr/>
      </w:pPr>
      <w:r>
        <w:rPr/>
        <w:t>U.S. guarantees cotton exports to Mexico paired with Mexico supplying 300,000 tonnes/year of fluorspar to U.S. chemical plants.</w:t>
      </w:r>
    </w:p>
    <w:p>
      <w:bookmarkStart w:id="2552" w:name="_NAESTMA_TOC_2552"/>
      <w:pPr>
        <w:pStyle w:val="Heading2"/>
        <w:keepNext/>
        <w:widowControl/>
        <w:rPr/>
      </w:pPr>
      <w:r>
        <w:rPr/>
        <w:t>BE-62. Canadian Wheat for U.S. Cobalt</w:t>
      </w:r>
      <w:bookmarkEnd w:id="2552"/>
    </w:p>
    <w:p>
      <w:pPr>
        <w:pStyle w:val="Normal"/>
        <w:widowControl/>
        <w:rPr/>
      </w:pPr>
      <w:r>
        <w:rPr/>
        <w:t>Canada guarantees wheat exports to U.S. paired with U.S. supplying 5,000 tonnes/year of refined cobalt to Canadian battery manufacturers.</w:t>
      </w:r>
    </w:p>
    <w:p>
      <w:bookmarkStart w:id="2553" w:name="_NAESTMA_TOC_2553"/>
      <w:pPr>
        <w:pStyle w:val="Heading2"/>
        <w:keepNext/>
        <w:widowControl/>
        <w:rPr/>
      </w:pPr>
      <w:r>
        <w:rPr/>
        <w:t>BE-63. Mexican Tomatoes for Canadian Magnesium</w:t>
      </w:r>
      <w:bookmarkEnd w:id="2553"/>
    </w:p>
    <w:p>
      <w:pPr>
        <w:pStyle w:val="Normal"/>
        <w:widowControl/>
        <w:rPr/>
      </w:pPr>
      <w:r>
        <w:rPr/>
        <w:t>Mexico guarantees tomato exports to Canada paired with Canada supplying 50,000 tonnes/year of magnesium to Mexican automotive parts manufacturers.</w:t>
      </w:r>
    </w:p>
    <w:p>
      <w:bookmarkStart w:id="2554" w:name="_NAESTMA_TOC_2554"/>
      <w:pPr>
        <w:pStyle w:val="Heading2"/>
        <w:keepNext/>
        <w:widowControl/>
        <w:rPr/>
      </w:pPr>
      <w:r>
        <w:rPr/>
        <w:t>BE-64. U.S. Rice for Mexican Barite</w:t>
      </w:r>
      <w:bookmarkEnd w:id="2554"/>
    </w:p>
    <w:p>
      <w:pPr>
        <w:pStyle w:val="Normal"/>
        <w:widowControl/>
        <w:rPr/>
      </w:pPr>
      <w:r>
        <w:rPr/>
        <w:t>U.S. guarantees rice exports to Mexico paired with Mexico maintaining 100% barite exports to U.S. oil and gas industry at fixed prices.</w:t>
      </w:r>
    </w:p>
    <w:p>
      <w:bookmarkStart w:id="2555" w:name="_NAESTMA_TOC_2555"/>
      <w:pPr>
        <w:pStyle w:val="Heading2"/>
        <w:keepNext/>
        <w:widowControl/>
        <w:rPr/>
      </w:pPr>
      <w:r>
        <w:rPr/>
        <w:t>BE-65. Ag-Mineral Reciprocal Supply Security Facility</w:t>
      </w:r>
      <w:bookmarkEnd w:id="2555"/>
    </w:p>
    <w:p>
      <w:pPr>
        <w:pStyle w:val="Normal"/>
        <w:widowControl/>
        <w:rPr/>
      </w:pPr>
      <w:r>
        <w:rPr/>
        <w:t>Enable voluntary paired long-term agricultural and mineral contracts based on complementary surpluses and strategic deficits; no mechanical 10% formula.</w:t>
      </w:r>
    </w:p>
    <w:p>
      <w:bookmarkStart w:id="2556" w:name="_NAESTMA_TOC_2556"/>
      <w:pPr>
        <w:pStyle w:val="Heading2"/>
        <w:keepNext/>
        <w:widowControl/>
        <w:rPr/>
      </w:pPr>
      <w:r>
        <w:rPr/>
        <w:t>BE-66. U.S. Port Investment for Mexican Copper</w:t>
      </w:r>
      <w:bookmarkEnd w:id="2556"/>
    </w:p>
    <w:p>
      <w:pPr>
        <w:pStyle w:val="Normal"/>
        <w:widowControl/>
        <w:rPr/>
      </w:pPr>
      <w:r>
        <w:rPr/>
        <w:t>U.S. invests $2B in Mexican port infrastructure (Manzanillo, Lázaro Cárdenas) paired with Mexico guaranteeing 300,000 tonnes/year of copper exports through those ports.</w:t>
      </w:r>
    </w:p>
    <w:p>
      <w:bookmarkStart w:id="2557" w:name="_NAESTMA_TOC_2557"/>
      <w:pPr>
        <w:pStyle w:val="Heading2"/>
        <w:keepNext/>
        <w:widowControl/>
        <w:rPr/>
      </w:pPr>
      <w:r>
        <w:rPr/>
        <w:t>BE-67. Canadian Rail Investment for U.S. REEs</w:t>
      </w:r>
      <w:bookmarkEnd w:id="2557"/>
    </w:p>
    <w:p>
      <w:pPr>
        <w:pStyle w:val="Normal"/>
        <w:widowControl/>
        <w:rPr/>
      </w:pPr>
      <w:r>
        <w:rPr/>
        <w:t>Canada invests $1.5B in rail links connecting U.S. REE mines to Canadian processing paired with U.S. supplying 3,000 tonnes/year of REE concentrate to Canadian separators.</w:t>
      </w:r>
    </w:p>
    <w:p>
      <w:bookmarkStart w:id="2558" w:name="_NAESTMA_TOC_2558"/>
      <w:pPr>
        <w:pStyle w:val="Heading2"/>
        <w:keepNext/>
        <w:widowControl/>
        <w:rPr/>
      </w:pPr>
      <w:r>
        <w:rPr/>
        <w:t>BE-68. U.S. Highway Investment for Mexican Silver</w:t>
      </w:r>
      <w:bookmarkEnd w:id="2558"/>
    </w:p>
    <w:p>
      <w:pPr>
        <w:pStyle w:val="Normal"/>
        <w:widowControl/>
        <w:rPr/>
      </w:pPr>
      <w:r>
        <w:rPr/>
        <w:t>U.S. invests $1B in Mexican highway infrastructure connecting silver mines to U.S. border paired with Mexico supplying 2,500 tonnes/year of silver at fixed prices.</w:t>
      </w:r>
    </w:p>
    <w:p>
      <w:bookmarkStart w:id="2559" w:name="_NAESTMA_TOC_2559"/>
      <w:pPr>
        <w:pStyle w:val="Heading2"/>
        <w:keepNext/>
        <w:widowControl/>
        <w:rPr/>
      </w:pPr>
      <w:r>
        <w:rPr/>
        <w:t>BE-69. Canadian Port Investment for Mexican Zinc</w:t>
      </w:r>
      <w:bookmarkEnd w:id="2559"/>
    </w:p>
    <w:p>
      <w:pPr>
        <w:pStyle w:val="Normal"/>
        <w:widowControl/>
        <w:rPr/>
      </w:pPr>
      <w:r>
        <w:rPr/>
        <w:t>Canada invests $500M in Mexican port facilities paired with Mexico supplying 200,000 tonnes/year of zinc concentrate to Canadian smelters.</w:t>
      </w:r>
    </w:p>
    <w:p>
      <w:bookmarkStart w:id="2560" w:name="_NAESTMA_TOC_2560"/>
      <w:pPr>
        <w:pStyle w:val="Heading2"/>
        <w:keepNext/>
        <w:widowControl/>
        <w:rPr/>
      </w:pPr>
      <w:r>
        <w:rPr/>
        <w:t>BE-70. U.S. Power Grid Investment for Canadian Nickel</w:t>
      </w:r>
      <w:bookmarkEnd w:id="2560"/>
    </w:p>
    <w:p>
      <w:pPr>
        <w:pStyle w:val="Normal"/>
        <w:widowControl/>
        <w:rPr/>
      </w:pPr>
      <w:r>
        <w:rPr/>
        <w:t>U.S. invests $2B in cross-border power transmission to Canadian mines paired with Canada supplying 50,000 tonnes/year of nickel to U.S. battery plants.</w:t>
      </w:r>
    </w:p>
    <w:p>
      <w:bookmarkStart w:id="2561" w:name="_NAESTMA_TOC_2561"/>
      <w:pPr>
        <w:pStyle w:val="Heading2"/>
        <w:keepNext/>
        <w:widowControl/>
        <w:rPr/>
      </w:pPr>
      <w:r>
        <w:rPr/>
        <w:t>BE-71. Tri-National Processing Corridor Investment</w:t>
      </w:r>
      <w:bookmarkEnd w:id="2561"/>
    </w:p>
    <w:p>
      <w:pPr>
        <w:pStyle w:val="Normal"/>
        <w:widowControl/>
        <w:rPr/>
      </w:pPr>
      <w:r>
        <w:rPr/>
        <w:t>Joint $10B investment in a processing corridor: Canada (Ni/Co processing), U.S. (REE separation), Mexico (Li/Cu refining), with each country's investment proportional to its mineral offtake.</w:t>
      </w:r>
    </w:p>
    <w:p>
      <w:bookmarkStart w:id="2562" w:name="_NAESTMA_TOC_2562"/>
      <w:pPr>
        <w:pStyle w:val="Heading2"/>
        <w:keepNext/>
        <w:widowControl/>
        <w:rPr/>
      </w:pPr>
      <w:r>
        <w:rPr/>
        <w:t>BE-72. Water-Recycling Infrastructure for State-Led Mexican Lithium</w:t>
      </w:r>
      <w:bookmarkEnd w:id="2562"/>
    </w:p>
    <w:p>
      <w:pPr>
        <w:pStyle w:val="Normal"/>
        <w:widowControl/>
        <w:rPr/>
      </w:pPr>
      <w:r>
        <w:rPr/>
        <w:t>Invest in water treatment, recycling and community resilience supporting lawful state-led lithium development; no private entitlement to production.</w:t>
      </w:r>
    </w:p>
    <w:p>
      <w:bookmarkStart w:id="2563" w:name="_NAESTMA_TOC_2563"/>
      <w:pPr>
        <w:pStyle w:val="Heading2"/>
        <w:keepNext/>
        <w:widowControl/>
        <w:rPr/>
      </w:pPr>
      <w:r>
        <w:rPr/>
        <w:t>BE-73. Canadian Telecom Investment for U.S. Graphite</w:t>
      </w:r>
      <w:bookmarkEnd w:id="2563"/>
    </w:p>
    <w:p>
      <w:pPr>
        <w:pStyle w:val="Normal"/>
        <w:widowControl/>
        <w:rPr/>
      </w:pPr>
      <w:r>
        <w:rPr/>
        <w:t>Canada invests $300M in broadband to remote U.S. mining regions paired with U.S. supplying 20,000 tonnes/year of graphite to Canadian anode plants.</w:t>
      </w:r>
    </w:p>
    <w:p>
      <w:bookmarkStart w:id="2564" w:name="_NAESTMA_TOC_2564"/>
      <w:pPr>
        <w:pStyle w:val="Heading2"/>
        <w:keepNext/>
        <w:widowControl/>
        <w:rPr/>
      </w:pPr>
      <w:r>
        <w:rPr/>
        <w:t>BE-74. U.S. Industrial Park Investment in Mexico</w:t>
      </w:r>
      <w:bookmarkEnd w:id="2564"/>
    </w:p>
    <w:p>
      <w:pPr>
        <w:pStyle w:val="Normal"/>
        <w:widowControl/>
        <w:rPr/>
      </w:pPr>
      <w:r>
        <w:rPr/>
        <w:t>U.S. invests $1B in Mexican industrial parks hosting mineral processing paired with Mexico reserving 50% of park output for U.S. offtake.</w:t>
      </w:r>
    </w:p>
    <w:p>
      <w:bookmarkStart w:id="2565" w:name="_NAESTMA_TOC_2565"/>
      <w:pPr>
        <w:pStyle w:val="Heading2"/>
        <w:keepNext/>
        <w:widowControl/>
        <w:rPr/>
      </w:pPr>
      <w:r>
        <w:rPr/>
        <w:t>BE-75. Border Infrastructure for Reciprocal Mineral Investment Facilitation</w:t>
      </w:r>
      <w:bookmarkEnd w:id="2565"/>
    </w:p>
    <w:p>
      <w:pPr>
        <w:pStyle w:val="Normal"/>
        <w:widowControl/>
        <w:rPr/>
      </w:pPr>
      <w:r>
        <w:rPr/>
        <w:t>Pair border improvements with transparent mineral-investment facilitation rather than preferential exploration rights.</w:t>
      </w:r>
    </w:p>
    <w:p>
      <w:bookmarkStart w:id="2566" w:name="_NAESTMA_TOC_2566"/>
      <w:pPr>
        <w:pStyle w:val="Heading2"/>
        <w:keepNext/>
        <w:widowControl/>
        <w:rPr/>
      </w:pPr>
      <w:r>
        <w:rPr/>
        <w:t>BE-76. U.S. Railway Investment for Canadian Potash</w:t>
      </w:r>
      <w:bookmarkEnd w:id="2566"/>
    </w:p>
    <w:p>
      <w:pPr>
        <w:pStyle w:val="Normal"/>
        <w:widowControl/>
        <w:rPr/>
      </w:pPr>
      <w:r>
        <w:rPr/>
        <w:t>U.S. invests $1B in rail infrastructure from Saskatchewan to U.S. Gulf paired with Canada guaranteeing 3 million tonnes/year of potash to U.S. farmers.</w:t>
      </w:r>
    </w:p>
    <w:p>
      <w:bookmarkStart w:id="2567" w:name="_NAESTMA_TOC_2567"/>
      <w:pPr>
        <w:pStyle w:val="Heading2"/>
        <w:keepNext/>
        <w:widowControl/>
        <w:rPr/>
      </w:pPr>
      <w:r>
        <w:rPr/>
        <w:t>BE-77. Tri-National Tailings Infrastructure Fund</w:t>
      </w:r>
      <w:bookmarkEnd w:id="2567"/>
    </w:p>
    <w:p>
      <w:pPr>
        <w:pStyle w:val="Normal"/>
        <w:widowControl/>
        <w:rPr/>
      </w:pPr>
      <w:r>
        <w:rPr/>
        <w:t>Joint $2B fund to build tailings reprocessing facilities across all three, with each country's investment returning mineral offtake proportional to investment.</w:t>
      </w:r>
    </w:p>
    <w:p>
      <w:bookmarkStart w:id="2568" w:name="_NAESTMA_TOC_2568"/>
      <w:pPr>
        <w:pStyle w:val="Heading2"/>
        <w:keepNext/>
        <w:widowControl/>
        <w:rPr/>
      </w:pPr>
      <w:r>
        <w:rPr/>
        <w:t>BE-78. U.S. Border Infrastructure for Mexican Auto Parts</w:t>
      </w:r>
      <w:bookmarkEnd w:id="2568"/>
    </w:p>
    <w:p>
      <w:pPr>
        <w:pStyle w:val="Normal"/>
        <w:widowControl/>
        <w:rPr/>
      </w:pPr>
      <w:r>
        <w:rPr/>
        <w:t>U.S. invests $500M in border crossing infrastructure paired with Mexico supplying 100,000 tonnes/year of aluminum (from Mexican smelters) to U.S. auto plants.</w:t>
      </w:r>
    </w:p>
    <w:p>
      <w:bookmarkStart w:id="2569" w:name="_NAESTMA_TOC_2569"/>
      <w:pPr>
        <w:pStyle w:val="Heading2"/>
        <w:keepNext/>
        <w:widowControl/>
        <w:rPr/>
      </w:pPr>
      <w:r>
        <w:rPr/>
        <w:t>BE-79. Canadian Energy Infrastructure for U.S. Processing</w:t>
      </w:r>
      <w:bookmarkEnd w:id="2569"/>
    </w:p>
    <w:p>
      <w:pPr>
        <w:pStyle w:val="Normal"/>
        <w:widowControl/>
        <w:rPr/>
      </w:pPr>
      <w:r>
        <w:rPr/>
        <w:t>Canada invests $1B in energy infrastructure (hydro, hydrogen) to power U.S. processing plants paired with U.S. processing 20% of Canadian ores at those plants.</w:t>
      </w:r>
    </w:p>
    <w:p>
      <w:bookmarkStart w:id="2570" w:name="_NAESTMA_TOC_2570"/>
      <w:pPr>
        <w:pStyle w:val="Heading2"/>
        <w:keepNext/>
        <w:widowControl/>
        <w:rPr/>
      </w:pPr>
      <w:r>
        <w:rPr/>
        <w:t>BE-80. Mexican Logistics Hub for Tri-National Minerals</w:t>
      </w:r>
      <w:bookmarkEnd w:id="2570"/>
    </w:p>
    <w:p>
      <w:pPr>
        <w:pStyle w:val="Normal"/>
        <w:widowControl/>
        <w:rPr/>
      </w:pPr>
      <w:r>
        <w:rPr/>
        <w:t>Mexico builds a $500M logistics hub near the U.S. border, with U.S. and Canadian investment, paired with both countries using the hub for 30% of their cross-border mineral shipments.</w:t>
      </w:r>
    </w:p>
    <w:p>
      <w:bookmarkStart w:id="2571" w:name="_NAESTMA_TOC_2571"/>
      <w:pPr>
        <w:pStyle w:val="Heading2"/>
        <w:keepNext/>
        <w:widowControl/>
        <w:rPr/>
      </w:pPr>
      <w:r>
        <w:rPr/>
        <w:t>BE-81. Licensed Processing Technology for Mexican Lithium Partnership</w:t>
      </w:r>
      <w:bookmarkEnd w:id="2571"/>
    </w:p>
    <w:p>
      <w:pPr>
        <w:pStyle w:val="Normal"/>
        <w:widowControl/>
        <w:rPr/>
      </w:pPr>
      <w:r>
        <w:rPr/>
        <w:t>Pair licensed processing technology and financing with lawful Mexican downstream participation/offtake under state lithium sovereignty.</w:t>
      </w:r>
    </w:p>
    <w:p>
      <w:bookmarkStart w:id="2572" w:name="_NAESTMA_TOC_2572"/>
      <w:pPr>
        <w:pStyle w:val="Heading2"/>
        <w:keepNext/>
        <w:widowControl/>
        <w:rPr/>
      </w:pPr>
      <w:r>
        <w:rPr/>
        <w:t>BE-82. Canadian DLE Tech for U.S. Lithium Brines</w:t>
      </w:r>
      <w:bookmarkEnd w:id="2572"/>
    </w:p>
    <w:p>
      <w:pPr>
        <w:pStyle w:val="Normal"/>
        <w:widowControl/>
        <w:rPr/>
      </w:pPr>
      <w:r>
        <w:rPr/>
        <w:t>Canada transfers Direct Lithium Extraction technology to U.S. companies paired with U.S. supplying 20% of its lithium brine production to Canadian processors.</w:t>
      </w:r>
    </w:p>
    <w:p>
      <w:bookmarkStart w:id="2573" w:name="_NAESTMA_TOC_2573"/>
      <w:pPr>
        <w:pStyle w:val="Heading2"/>
        <w:keepNext/>
        <w:widowControl/>
        <w:rPr/>
      </w:pPr>
      <w:r>
        <w:rPr/>
        <w:t>BE-83. Mexican Alkaline Leaching for U.S. Arsenic Removal</w:t>
      </w:r>
      <w:bookmarkEnd w:id="2573"/>
    </w:p>
    <w:p>
      <w:pPr>
        <w:pStyle w:val="Normal"/>
        <w:widowControl/>
        <w:rPr/>
      </w:pPr>
      <w:r>
        <w:rPr/>
        <w:t>Mexico transfers its arsenic/antimony removal technology to U.S. smelters paired with U.S. supplying 50,000 tonnes/year of copper concentrate to Mexican smelters.</w:t>
      </w:r>
    </w:p>
    <w:p>
      <w:bookmarkStart w:id="2574" w:name="_NAESTMA_TOC_2574"/>
      <w:pPr>
        <w:pStyle w:val="Heading2"/>
        <w:keepNext/>
        <w:widowControl/>
        <w:rPr/>
      </w:pPr>
      <w:r>
        <w:rPr/>
        <w:t>BE-84. U.S. HPSA Tech for Canadian Tailings</w:t>
      </w:r>
      <w:bookmarkEnd w:id="2574"/>
    </w:p>
    <w:p>
      <w:pPr>
        <w:pStyle w:val="Normal"/>
        <w:widowControl/>
        <w:rPr/>
      </w:pPr>
      <w:r>
        <w:rPr/>
        <w:t>U.S. transfers High-Pressure Slurry Ablation (HPSA) technology to Canadian tailings reprocessors paired with Canada supplying 10,000 tonnes/year of recovered nickel to U.S. manufacturers.</w:t>
      </w:r>
    </w:p>
    <w:p>
      <w:bookmarkStart w:id="2575" w:name="_NAESTMA_TOC_2575"/>
      <w:pPr>
        <w:pStyle w:val="Heading2"/>
        <w:keepNext/>
        <w:widowControl/>
        <w:rPr/>
      </w:pPr>
      <w:r>
        <w:rPr/>
        <w:t>BE-85. Canadian Bioleaching Tech for Mexican Tailings</w:t>
      </w:r>
      <w:bookmarkEnd w:id="2575"/>
    </w:p>
    <w:p>
      <w:pPr>
        <w:pStyle w:val="Normal"/>
        <w:widowControl/>
        <w:rPr/>
      </w:pPr>
      <w:r>
        <w:rPr/>
        <w:t>Canada transfers CanmetMINING bioleaching technology to Mexican tailings operators paired with Mexico granting Canadian companies rights to reprocess 5 major tailings sites.</w:t>
      </w:r>
    </w:p>
    <w:p>
      <w:bookmarkStart w:id="2576" w:name="_NAESTMA_TOC_2576"/>
      <w:pPr>
        <w:pStyle w:val="Heading2"/>
        <w:keepNext/>
        <w:widowControl/>
        <w:rPr/>
      </w:pPr>
      <w:r>
        <w:rPr/>
        <w:t>BE-86. U.S. Flotation Tech for Canadian PGM Tailings</w:t>
      </w:r>
      <w:bookmarkEnd w:id="2576"/>
    </w:p>
    <w:p>
      <w:pPr>
        <w:pStyle w:val="Normal"/>
        <w:widowControl/>
        <w:rPr/>
      </w:pPr>
      <w:r>
        <w:rPr/>
        <w:t>U.S. transfers advanced flotation technology to Canadian PGM tailings operators paired with Canada supplying 5 tonnes/year of platinum group metals to U.S. catalytic converter manufacturers.</w:t>
      </w:r>
    </w:p>
    <w:p>
      <w:bookmarkStart w:id="2577" w:name="_NAESTMA_TOC_2577"/>
      <w:pPr>
        <w:pStyle w:val="Heading2"/>
        <w:keepNext/>
        <w:widowControl/>
        <w:rPr/>
      </w:pPr>
      <w:r>
        <w:rPr/>
        <w:t>BE-87. Mexican Vitrification Tech for U.S. Hazardous Tailings</w:t>
      </w:r>
      <w:bookmarkEnd w:id="2577"/>
    </w:p>
    <w:p>
      <w:pPr>
        <w:pStyle w:val="Normal"/>
        <w:widowControl/>
        <w:rPr/>
      </w:pPr>
      <w:r>
        <w:rPr/>
        <w:t>Mexico transfers vitrification technology to U.S. hazardous tailings sites paired with U.S. investing $200M in Mexican tailings research centers.</w:t>
      </w:r>
    </w:p>
    <w:p>
      <w:bookmarkStart w:id="2578" w:name="_NAESTMA_TOC_2578"/>
      <w:pPr>
        <w:pStyle w:val="Heading2"/>
        <w:keepNext/>
        <w:widowControl/>
        <w:rPr/>
      </w:pPr>
      <w:r>
        <w:rPr/>
        <w:t>BE-88. U.S. Quantum Sensing for Canadian Exploration</w:t>
      </w:r>
      <w:bookmarkEnd w:id="2578"/>
    </w:p>
    <w:p>
      <w:pPr>
        <w:pStyle w:val="Normal"/>
        <w:widowControl/>
        <w:rPr/>
      </w:pPr>
      <w:r>
        <w:rPr/>
        <w:t>U.S. transfers quantum sensing technology for mineral exploration to Canada paired with Canada sharing 30% of new exploration data with U.S. companies.</w:t>
      </w:r>
    </w:p>
    <w:p>
      <w:bookmarkStart w:id="2579" w:name="_NAESTMA_TOC_2579"/>
      <w:pPr>
        <w:pStyle w:val="Heading2"/>
        <w:keepNext/>
        <w:widowControl/>
        <w:rPr/>
      </w:pPr>
      <w:r>
        <w:rPr/>
        <w:t>BE-89. Canadian Ion Exchange Tech for U.S. Water Treatment</w:t>
      </w:r>
      <w:bookmarkEnd w:id="2579"/>
    </w:p>
    <w:p>
      <w:pPr>
        <w:pStyle w:val="Normal"/>
        <w:widowControl/>
        <w:rPr/>
      </w:pPr>
      <w:r>
        <w:rPr/>
        <w:t>Canada transfers ion exchange platform technology to U.S. mining water treatment paired with U.S. supplying 15,000 tonnes/year of REEs to Canadian magnet plants.</w:t>
      </w:r>
    </w:p>
    <w:p>
      <w:bookmarkStart w:id="2580" w:name="_NAESTMA_TOC_2580"/>
      <w:pPr>
        <w:pStyle w:val="Heading2"/>
        <w:keepNext/>
        <w:widowControl/>
        <w:rPr/>
      </w:pPr>
      <w:r>
        <w:rPr/>
        <w:t>BE-90. U.S. Machine Learning for Mexican Processing</w:t>
      </w:r>
      <w:bookmarkEnd w:id="2580"/>
    </w:p>
    <w:p>
      <w:pPr>
        <w:pStyle w:val="Normal"/>
        <w:widowControl/>
        <w:rPr/>
      </w:pPr>
      <w:r>
        <w:rPr/>
        <w:t>U.S. transfers AI/ML optimization software to Mexican processing plants paired with Mexico supplying 100,000 tonnes/year of refined copper at fixed prices.</w:t>
      </w:r>
    </w:p>
    <w:p>
      <w:bookmarkStart w:id="2581" w:name="_NAESTMA_TOC_2581"/>
      <w:pPr>
        <w:pStyle w:val="Heading2"/>
        <w:keepNext/>
        <w:widowControl/>
        <w:rPr/>
      </w:pPr>
      <w:r>
        <w:rPr/>
        <w:t>BE-91. Canadian Synthetic Biology for U.S. REE Recovery</w:t>
      </w:r>
      <w:bookmarkEnd w:id="2581"/>
    </w:p>
    <w:p>
      <w:pPr>
        <w:pStyle w:val="Normal"/>
        <w:widowControl/>
        <w:rPr/>
      </w:pPr>
      <w:r>
        <w:rPr/>
        <w:t>Canada transfers synthetic biology mineral capture technology to U.S. REE recovery operations paired with U.S. supplying 2,000 tonnes/year of separated REEs to Canadian manufacturers.</w:t>
      </w:r>
    </w:p>
    <w:p>
      <w:bookmarkStart w:id="2582" w:name="_NAESTMA_TOC_2582"/>
      <w:pPr>
        <w:pStyle w:val="Heading2"/>
        <w:keepNext/>
        <w:widowControl/>
        <w:rPr/>
      </w:pPr>
      <w:r>
        <w:rPr/>
        <w:t>BE-92. Mexican Gravity Separation for U.S. Fine Minerals</w:t>
      </w:r>
      <w:bookmarkEnd w:id="2582"/>
    </w:p>
    <w:p>
      <w:pPr>
        <w:pStyle w:val="Normal"/>
        <w:widowControl/>
        <w:rPr/>
      </w:pPr>
      <w:r>
        <w:rPr/>
        <w:t>Mexico transfers centrifugal gravity separator technology to U.S. fine mineral recovery paired with U.S. investing $150M in Mexican equipment manufacturing.</w:t>
      </w:r>
    </w:p>
    <w:p>
      <w:bookmarkStart w:id="2583" w:name="_NAESTMA_TOC_2583"/>
      <w:pPr>
        <w:pStyle w:val="Heading2"/>
        <w:keepNext/>
        <w:widowControl/>
        <w:rPr/>
      </w:pPr>
      <w:r>
        <w:rPr/>
        <w:t>BE-93. Reciprocal Processing-Equipment Market Access</w:t>
      </w:r>
      <w:bookmarkEnd w:id="2583"/>
    </w:p>
    <w:p>
      <w:pPr>
        <w:pStyle w:val="Normal"/>
        <w:widowControl/>
        <w:rPr/>
      </w:pPr>
      <w:r>
        <w:rPr/>
        <w:t>Encourage trusted North American equipment and supplier participation without mandatory national-content quotas in every refinery.</w:t>
      </w:r>
    </w:p>
    <w:p>
      <w:bookmarkStart w:id="2584" w:name="_NAESTMA_TOC_2584"/>
      <w:pPr>
        <w:pStyle w:val="Heading2"/>
        <w:keepNext/>
        <w:widowControl/>
        <w:rPr/>
      </w:pPr>
      <w:r>
        <w:rPr/>
        <w:t>BE-94. Technology Cooperation for State-Led Mexican Lithium Processing</w:t>
      </w:r>
      <w:bookmarkEnd w:id="2584"/>
    </w:p>
    <w:p>
      <w:pPr>
        <w:pStyle w:val="Normal"/>
        <w:widowControl/>
        <w:rPr/>
      </w:pPr>
      <w:r>
        <w:rPr/>
        <w:t>Genericize proprietary technology and pair lawful licensing with market-linked downstream/offtake cooperation under Mexican law.</w:t>
      </w:r>
    </w:p>
    <w:p>
      <w:bookmarkStart w:id="2585" w:name="_NAESTMA_TOC_2585"/>
      <w:pPr>
        <w:pStyle w:val="Heading2"/>
        <w:keepNext/>
        <w:widowControl/>
        <w:rPr/>
      </w:pPr>
      <w:r>
        <w:rPr/>
        <w:t>BE-95. Voluntary Mineral Technology Licensing Marketplace</w:t>
      </w:r>
      <w:bookmarkEnd w:id="2585"/>
    </w:p>
    <w:p>
      <w:pPr>
        <w:pStyle w:val="Normal"/>
        <w:widowControl/>
        <w:rPr/>
      </w:pPr>
      <w:r>
        <w:rPr/>
        <w:t>Create incentives for voluntary patent pools, licensing and collaborative R&amp;D; no compulsory IP pooling or R&amp;D levy.</w:t>
      </w:r>
    </w:p>
    <w:p>
      <w:bookmarkStart w:id="2586" w:name="_NAESTMA_TOC_2586"/>
      <w:pPr>
        <w:pStyle w:val="Heading2"/>
        <w:keepNext/>
        <w:widowControl/>
        <w:rPr/>
      </w:pPr>
      <w:r>
        <w:rPr/>
        <w:t>BE-96. Trusted Defense-Mineral Offtake with Allied Safe Harbours</w:t>
      </w:r>
      <w:bookmarkEnd w:id="2586"/>
    </w:p>
    <w:p>
      <w:pPr>
        <w:pStyle w:val="Normal"/>
        <w:widowControl/>
        <w:rPr/>
      </w:pPr>
      <w:r>
        <w:rPr/>
        <w:t>Use preferential eligibility and long-term offtake for trusted supply chains without reserving 100% of Canadian REE production or excluding trusted allies.</w:t>
      </w:r>
    </w:p>
    <w:p>
      <w:bookmarkStart w:id="2587" w:name="_NAESTMA_TOC_2587"/>
      <w:pPr>
        <w:pStyle w:val="Heading2"/>
        <w:keepNext/>
        <w:widowControl/>
        <w:rPr/>
      </w:pPr>
      <w:r>
        <w:rPr/>
        <w:t>BE-97. Trilateral Critical-Infrastructure Security for Mineral Continuity</w:t>
      </w:r>
      <w:bookmarkEnd w:id="2587"/>
    </w:p>
    <w:p>
      <w:pPr>
        <w:pStyle w:val="Normal"/>
        <w:widowControl/>
        <w:rPr/>
      </w:pPr>
      <w:r>
        <w:rPr/>
        <w:t>Pair appropriate continental infrastructure/security cooperation with reciprocal mineral continuity without tying Mexican lithium to NORAD membership.</w:t>
      </w:r>
    </w:p>
    <w:p>
      <w:bookmarkStart w:id="2588" w:name="_NAESTMA_TOC_2588"/>
      <w:pPr>
        <w:pStyle w:val="Heading2"/>
        <w:keepNext/>
        <w:widowControl/>
        <w:rPr/>
      </w:pPr>
      <w:r>
        <w:rPr/>
        <w:t>BE-98. Separate Defense Training and Nuclear-Fuel Security Tracks</w:t>
      </w:r>
      <w:bookmarkEnd w:id="2588"/>
    </w:p>
    <w:p>
      <w:pPr>
        <w:pStyle w:val="Normal"/>
        <w:widowControl/>
        <w:rPr/>
      </w:pPr>
      <w:r>
        <w:rPr/>
        <w:t>Keep defense-training cooperation independent of mineral ownership while separately providing mutually beneficial nuclear-fuel security commitments.</w:t>
      </w:r>
    </w:p>
    <w:p>
      <w:bookmarkStart w:id="2589" w:name="_NAESTMA_TOC_2589"/>
      <w:pPr>
        <w:pStyle w:val="Heading2"/>
        <w:keepNext/>
        <w:widowControl/>
        <w:rPr/>
      </w:pPr>
      <w:r>
        <w:rPr/>
        <w:t>BE-99. Emergency Continental Mineral Supply Guarantee</w:t>
      </w:r>
      <w:bookmarkEnd w:id="2589"/>
    </w:p>
    <w:p>
      <w:pPr>
        <w:pStyle w:val="Normal"/>
        <w:widowControl/>
        <w:rPr/>
      </w:pPr>
      <w:r>
        <w:rPr/>
        <w:t>Create proportionate emergency mineral-continuity obligations during defined national-security crises without contrived Arctic quid pro quos.</w:t>
      </w:r>
    </w:p>
    <w:p>
      <w:bookmarkStart w:id="2590" w:name="_NAESTMA_TOC_2590"/>
      <w:pPr>
        <w:pStyle w:val="Heading2"/>
        <w:keepNext/>
        <w:widowControl/>
        <w:rPr/>
      </w:pPr>
      <w:r>
        <w:rPr/>
        <w:t>BE-100. Coordinated Export-Control Screening Under Domestic Law</w:t>
      </w:r>
      <w:bookmarkEnd w:id="2590"/>
    </w:p>
    <w:p>
      <w:pPr>
        <w:pStyle w:val="Normal"/>
        <w:widowControl/>
        <w:rPr/>
      </w:pPr>
      <w:r>
        <w:rPr/>
        <w:t>Coordinate diversion and coercion screening while each Party retains sovereign export-control authority.</w:t>
      </w:r>
    </w:p>
    <w:p>
      <w:bookmarkStart w:id="2591" w:name="_NAESTMA_TOC_2591"/>
      <w:pPr>
        <w:pStyle w:val="Heading2"/>
        <w:keepNext/>
        <w:widowControl/>
        <w:rPr/>
      </w:pPr>
      <w:r>
        <w:rPr/>
        <w:t>BE-101. Canadian Intelligence Sharing for U.S. Graphite</w:t>
      </w:r>
      <w:bookmarkEnd w:id="2591"/>
    </w:p>
    <w:p>
      <w:pPr>
        <w:pStyle w:val="Normal"/>
        <w:widowControl/>
        <w:rPr/>
      </w:pPr>
      <w:r>
        <w:rPr/>
        <w:t>Canada shares mineral supply chain intelligence with U.S. paired with U.S. guaranteeing 50,000 tonnes/year of graphite to Canadian defense contractors.</w:t>
      </w:r>
    </w:p>
    <w:p>
      <w:bookmarkStart w:id="2592" w:name="_NAESTMA_TOC_2592"/>
      <w:pPr>
        <w:pStyle w:val="Heading2"/>
        <w:keepNext/>
        <w:widowControl/>
        <w:rPr/>
      </w:pPr>
      <w:r>
        <w:rPr/>
        <w:t>BE-102. U.S.-Mexico Border Security for Copper Supply</w:t>
      </w:r>
      <w:bookmarkEnd w:id="2592"/>
    </w:p>
    <w:p>
      <w:pPr>
        <w:pStyle w:val="Normal"/>
        <w:widowControl/>
        <w:rPr/>
      </w:pPr>
      <w:r>
        <w:rPr/>
        <w:t>U.S. increases border security funding paired with Mexico guaranteeing copper supply to U.S. defense electronics manufacturers.</w:t>
      </w:r>
    </w:p>
    <w:p>
      <w:bookmarkStart w:id="2593" w:name="_NAESTMA_TOC_2593"/>
      <w:pPr>
        <w:pStyle w:val="Heading2"/>
        <w:keepNext/>
        <w:widowControl/>
        <w:rPr/>
      </w:pPr>
      <w:r>
        <w:rPr/>
        <w:t>BE-103. Tri-National Critical Minerals Reserve</w:t>
      </w:r>
      <w:bookmarkEnd w:id="2593"/>
    </w:p>
    <w:p>
      <w:pPr>
        <w:pStyle w:val="Normal"/>
        <w:widowControl/>
        <w:rPr/>
      </w:pPr>
      <w:r>
        <w:rPr/>
        <w:t>Jointly fund and manage a strategic reserve of 10 critical minerals, with each country contributing minerals proportional to its production and drawing proportional to its defense needs.</w:t>
      </w:r>
    </w:p>
    <w:p>
      <w:bookmarkStart w:id="2594" w:name="_NAESTMA_TOC_2594"/>
      <w:pPr>
        <w:pStyle w:val="Heading2"/>
        <w:keepNext/>
        <w:widowControl/>
        <w:rPr/>
      </w:pPr>
      <w:r>
        <w:rPr/>
        <w:t>BE-104. Trusted-Investment Screening and Anti-Coercion Cooperation</w:t>
      </w:r>
      <w:bookmarkEnd w:id="2594"/>
    </w:p>
    <w:p>
      <w:pPr>
        <w:pStyle w:val="Normal"/>
        <w:widowControl/>
        <w:rPr/>
      </w:pPr>
      <w:r>
        <w:rPr/>
        <w:t>Coordinate screening of strategic mineral investment and economic coercion under each Party's law rather than conditioning security aid on blanket exclusion of a named country.</w:t>
      </w:r>
    </w:p>
    <w:p>
      <w:bookmarkStart w:id="2595" w:name="_NAESTMA_TOC_2595"/>
      <w:pPr>
        <w:pStyle w:val="Heading2"/>
        <w:keepNext/>
        <w:widowControl/>
        <w:rPr/>
      </w:pPr>
      <w:r>
        <w:rPr/>
        <w:t>BE-105. Canadian Defense Procurement for U.S. Minerals</w:t>
      </w:r>
      <w:bookmarkEnd w:id="2595"/>
    </w:p>
    <w:p>
      <w:pPr>
        <w:pStyle w:val="Normal"/>
        <w:widowControl/>
        <w:rPr/>
      </w:pPr>
      <w:r>
        <w:rPr/>
        <w:t>Canada guarantees 30% of its defense mineral procurement from U.S. sources paired with U.S. guaranteeing 30% of its defense mineral procurement from Canadian sources.</w:t>
      </w:r>
    </w:p>
    <w:p>
      <w:bookmarkStart w:id="2596" w:name="_NAESTMA_TOC_2596"/>
      <w:pPr>
        <w:pStyle w:val="Heading2"/>
        <w:keepNext/>
        <w:widowControl/>
        <w:rPr/>
      </w:pPr>
      <w:r>
        <w:rPr/>
        <w:t>BE-106. U.S. Carbon Capture for Canadian Oil Sands Minerals</w:t>
      </w:r>
      <w:bookmarkEnd w:id="2596"/>
    </w:p>
    <w:p>
      <w:pPr>
        <w:pStyle w:val="Normal"/>
        <w:widowControl/>
        <w:rPr/>
      </w:pPr>
      <w:r>
        <w:rPr/>
        <w:t>U.S. deploys carbon capture technology at Canadian oil sands paired with Canada supplying 20,000 tonnes/year of vanadium (recovered from oil sands) to U.S. battery makers.</w:t>
      </w:r>
    </w:p>
    <w:p>
      <w:bookmarkStart w:id="2597" w:name="_NAESTMA_TOC_2597"/>
      <w:pPr>
        <w:pStyle w:val="Heading2"/>
        <w:keepNext/>
        <w:widowControl/>
        <w:rPr/>
      </w:pPr>
      <w:r>
        <w:rPr/>
        <w:t>BE-107. Canadian Clean Tech for Mexican Smelters</w:t>
      </w:r>
      <w:bookmarkEnd w:id="2597"/>
    </w:p>
    <w:p>
      <w:pPr>
        <w:pStyle w:val="Normal"/>
        <w:widowControl/>
        <w:rPr/>
      </w:pPr>
      <w:r>
        <w:rPr/>
        <w:t>Canada deploys clean energy tech at Mexican smelters paired with Mexico reducing smelter emissions by 30% and supplying 50,000 tonnes/year of low-carbon copper to Canada.</w:t>
      </w:r>
    </w:p>
    <w:p>
      <w:bookmarkStart w:id="2598" w:name="_NAESTMA_TOC_2598"/>
      <w:pPr>
        <w:pStyle w:val="Heading2"/>
        <w:keepNext/>
        <w:widowControl/>
        <w:rPr/>
      </w:pPr>
      <w:r>
        <w:rPr/>
        <w:t>BE-108. U.S. Remediation Tech for Mexican Tailings</w:t>
      </w:r>
      <w:bookmarkEnd w:id="2598"/>
    </w:p>
    <w:p>
      <w:pPr>
        <w:pStyle w:val="Normal"/>
        <w:widowControl/>
        <w:rPr/>
      </w:pPr>
      <w:r>
        <w:rPr/>
        <w:t>U.S. deploys remediation technology at Mexican tailings sites paired with Mexico granting U.S. companies rights to recover minerals from those sites.</w:t>
      </w:r>
    </w:p>
    <w:p>
      <w:bookmarkStart w:id="2599" w:name="_NAESTMA_TOC_2599"/>
      <w:pPr>
        <w:pStyle w:val="Heading2"/>
        <w:keepNext/>
        <w:widowControl/>
        <w:rPr/>
      </w:pPr>
      <w:r>
        <w:rPr/>
        <w:t>BE-109. Watershed Resilience and Industrial Water Recycling</w:t>
      </w:r>
      <w:bookmarkEnd w:id="2599"/>
    </w:p>
    <w:p>
      <w:pPr>
        <w:pStyle w:val="Normal"/>
        <w:widowControl/>
        <w:rPr/>
      </w:pPr>
      <w:r>
        <w:rPr/>
        <w:t>Coordinate shared-watershed management, reuse and recycling without guaranteeing mineral processors priority over communities, Indigenous rights or ecosystems.</w:t>
      </w:r>
    </w:p>
    <w:p>
      <w:bookmarkStart w:id="2600" w:name="_NAESTMA_TOC_2600"/>
      <w:pPr>
        <w:pStyle w:val="Heading2"/>
        <w:keepNext/>
        <w:widowControl/>
        <w:rPr/>
      </w:pPr>
      <w:r>
        <w:rPr/>
        <w:t>BE-110. Canadian Phytoremediation for U.S. Mine Sites</w:t>
      </w:r>
      <w:bookmarkEnd w:id="2600"/>
    </w:p>
    <w:p>
      <w:pPr>
        <w:pStyle w:val="Normal"/>
        <w:widowControl/>
        <w:rPr/>
      </w:pPr>
      <w:r>
        <w:rPr/>
        <w:t>Canada transfers phytoremediation technology to U.S. mine sites paired with U.S. supplying 10,000 tonnes/year of reclaimed REEs from those sites.</w:t>
      </w:r>
    </w:p>
    <w:p>
      <w:bookmarkStart w:id="2601" w:name="_NAESTMA_TOC_2601"/>
      <w:pPr>
        <w:pStyle w:val="Heading2"/>
        <w:keepNext/>
        <w:widowControl/>
        <w:rPr/>
      </w:pPr>
      <w:r>
        <w:rPr/>
        <w:t>BE-111. Shared Responsible-Mining Performance Standards</w:t>
      </w:r>
      <w:bookmarkEnd w:id="2601"/>
    </w:p>
    <w:p>
      <w:pPr>
        <w:pStyle w:val="Normal"/>
        <w:widowControl/>
        <w:rPr/>
      </w:pPr>
      <w:r>
        <w:rPr/>
        <w:t>Use measurable environmental, labour, community and governance outcomes with equivalence rather than imposing one Party's ESG regime.</w:t>
      </w:r>
    </w:p>
    <w:p>
      <w:bookmarkStart w:id="2602" w:name="_NAESTMA_TOC_2602"/>
      <w:pPr>
        <w:pStyle w:val="Heading2"/>
        <w:keepNext/>
        <w:widowControl/>
        <w:rPr/>
      </w:pPr>
      <w:r>
        <w:rPr/>
        <w:t>BE-112. Canadian Tailings Dam Safety for U.S. Mines</w:t>
      </w:r>
      <w:bookmarkEnd w:id="2602"/>
    </w:p>
    <w:p>
      <w:pPr>
        <w:pStyle w:val="Normal"/>
        <w:widowControl/>
        <w:rPr/>
      </w:pPr>
      <w:r>
        <w:rPr/>
        <w:t>Canada transfers tailings dam safety technology to U.S. and Mexican mines paired with both countries contributing to Canadian tailings research.</w:t>
      </w:r>
    </w:p>
    <w:p>
      <w:bookmarkStart w:id="2603" w:name="_NAESTMA_TOC_2603"/>
      <w:pPr>
        <w:pStyle w:val="Heading2"/>
        <w:keepNext/>
        <w:widowControl/>
        <w:rPr/>
      </w:pPr>
      <w:r>
        <w:rPr/>
        <w:t>BE-113. U.S. Methane Capture for Canadian Coal Tailings</w:t>
      </w:r>
      <w:bookmarkEnd w:id="2603"/>
    </w:p>
    <w:p>
      <w:pPr>
        <w:pStyle w:val="Normal"/>
        <w:widowControl/>
        <w:rPr/>
      </w:pPr>
      <w:r>
        <w:rPr/>
        <w:t>U.S. deploys methane capture at Canadian coal tailings paired with Canada supplying rare earths recovered from coal ash.</w:t>
      </w:r>
    </w:p>
    <w:p>
      <w:bookmarkStart w:id="2604" w:name="_NAESTMA_TOC_2604"/>
      <w:pPr>
        <w:pStyle w:val="Heading2"/>
        <w:keepNext/>
        <w:widowControl/>
        <w:rPr/>
      </w:pPr>
      <w:r>
        <w:rPr/>
        <w:t>BE-114. Local Biodiversity Mitigation plus Cross-Border Conservation</w:t>
      </w:r>
      <w:bookmarkEnd w:id="2604"/>
    </w:p>
    <w:p>
      <w:pPr>
        <w:pStyle w:val="Normal"/>
        <w:widowControl/>
        <w:rPr/>
      </w:pPr>
      <w:r>
        <w:rPr/>
        <w:t>Require local/ecoregion-specific mitigation for mine impacts; cross-border conservation finance may be additional but not a substitute.</w:t>
      </w:r>
    </w:p>
    <w:p>
      <w:bookmarkStart w:id="2605" w:name="_NAESTMA_TOC_2605"/>
      <w:pPr>
        <w:pStyle w:val="Heading2"/>
        <w:keepNext/>
        <w:widowControl/>
        <w:rPr/>
      </w:pPr>
      <w:r>
        <w:rPr/>
        <w:t>BE-115. Tri-National Green Mining Certification</w:t>
      </w:r>
      <w:bookmarkEnd w:id="2605"/>
    </w:p>
    <w:p>
      <w:pPr>
        <w:pStyle w:val="Normal"/>
        <w:widowControl/>
        <w:rPr/>
      </w:pPr>
      <w:r>
        <w:rPr/>
        <w:t>Joint certification for sustainable mining accepted in all three, with certified mines getting preferential market access paired with meeting environmental standards.</w:t>
      </w:r>
    </w:p>
    <w:p>
      <w:bookmarkStart w:id="2606" w:name="_NAESTMA_TOC_2606"/>
      <w:pPr>
        <w:pStyle w:val="Heading2"/>
        <w:keepNext/>
        <w:widowControl/>
        <w:rPr/>
      </w:pPr>
      <w:r>
        <w:rPr/>
        <w:t>BE-116. Canadian Pension Fund Investment in U.S. Mines</w:t>
      </w:r>
      <w:bookmarkEnd w:id="2606"/>
    </w:p>
    <w:p>
      <w:pPr>
        <w:pStyle w:val="Normal"/>
        <w:widowControl/>
        <w:rPr/>
      </w:pPr>
      <w:r>
        <w:rPr/>
        <w:t>Canadian pension funds get preferential access to U.S. mining investments paired with Canada guaranteeing 10% of U.S. critical mineral imports from Canadian sources.</w:t>
      </w:r>
    </w:p>
    <w:p>
      <w:bookmarkStart w:id="2607" w:name="_NAESTMA_TOC_2607"/>
      <w:pPr>
        <w:pStyle w:val="Heading2"/>
        <w:keepNext/>
        <w:widowControl/>
        <w:rPr/>
      </w:pPr>
      <w:r>
        <w:rPr/>
        <w:t>BE-117. Mineral Company Capital-Market Access Assistance</w:t>
      </w:r>
      <w:bookmarkEnd w:id="2607"/>
    </w:p>
    <w:p>
      <w:pPr>
        <w:pStyle w:val="Normal"/>
        <w:widowControl/>
        <w:rPr/>
      </w:pPr>
      <w:r>
        <w:rPr/>
        <w:t>Improve accounting interoperability, listing assistance and investor education while retaining normal securities regulation.</w:t>
      </w:r>
    </w:p>
    <w:p>
      <w:bookmarkStart w:id="2608" w:name="_NAESTMA_TOC_2608"/>
      <w:pPr>
        <w:pStyle w:val="Heading2"/>
        <w:keepNext/>
        <w:widowControl/>
        <w:rPr/>
      </w:pPr>
      <w:r>
        <w:rPr/>
        <w:t>BE-118. Mexican Sovereign Wealth Fund for Canadian Processing</w:t>
      </w:r>
      <w:bookmarkEnd w:id="2608"/>
    </w:p>
    <w:p>
      <w:pPr>
        <w:pStyle w:val="Normal"/>
        <w:widowControl/>
        <w:rPr/>
      </w:pPr>
      <w:r>
        <w:rPr/>
        <w:t>Mexico invests $1B in Canadian processing facilities paired with Canada processing 100,000 tonnes/year of Mexican copper concentrate.</w:t>
      </w:r>
    </w:p>
    <w:p>
      <w:bookmarkStart w:id="2609" w:name="_NAESTMA_TOC_2609"/>
      <w:pPr>
        <w:pStyle w:val="Heading2"/>
        <w:keepNext/>
        <w:widowControl/>
        <w:rPr/>
      </w:pPr>
      <w:r>
        <w:rPr/>
        <w:t>BE-119. U.S. Ex-Im Bank Financing for Canadian Mines</w:t>
      </w:r>
      <w:bookmarkEnd w:id="2609"/>
    </w:p>
    <w:p>
      <w:pPr>
        <w:pStyle w:val="Normal"/>
        <w:widowControl/>
        <w:rPr/>
      </w:pPr>
      <w:r>
        <w:rPr/>
        <w:t>U.S. Ex-Im Bank provides financing to Canadian mines paired with Canada guaranteeing 50% of output to U.S. buyers.</w:t>
      </w:r>
    </w:p>
    <w:p>
      <w:bookmarkStart w:id="2610" w:name="_NAESTMA_TOC_2610"/>
      <w:pPr>
        <w:pStyle w:val="Heading2"/>
        <w:keepNext/>
        <w:widowControl/>
        <w:rPr/>
      </w:pPr>
      <w:r>
        <w:rPr/>
        <w:t>BE-120. Canadian Finance for State-Led Mexican Lithium and Downstream Capacity</w:t>
      </w:r>
      <w:bookmarkEnd w:id="2610"/>
    </w:p>
    <w:p>
      <w:pPr>
        <w:pStyle w:val="Normal"/>
        <w:widowControl/>
        <w:rPr/>
      </w:pPr>
      <w:r>
        <w:rPr/>
        <w:t>Permit lawful financing of Mexican state-led lithium and processing infrastructure with Canadian offtake participation.</w:t>
      </w:r>
    </w:p>
    <w:p>
      <w:bookmarkStart w:id="2611" w:name="_NAESTMA_TOC_2611"/>
      <w:pPr>
        <w:pStyle w:val="Heading2"/>
        <w:keepNext/>
        <w:widowControl/>
        <w:rPr/>
      </w:pPr>
      <w:r>
        <w:rPr/>
        <w:t>BE-121. Coordinated National and Project Mineral Bonds</w:t>
      </w:r>
      <w:bookmarkEnd w:id="2611"/>
    </w:p>
    <w:p>
      <w:pPr>
        <w:pStyle w:val="Normal"/>
        <w:widowControl/>
        <w:rPr/>
      </w:pPr>
      <w:r>
        <w:rPr/>
        <w:t>Use national/project bonds, guarantees and mutual eligibility rather than shared trilateral sovereign debt.</w:t>
      </w:r>
    </w:p>
    <w:p>
      <w:bookmarkStart w:id="2612" w:name="_NAESTMA_TOC_2612"/>
      <w:pPr>
        <w:pStyle w:val="Heading2"/>
        <w:keepNext/>
        <w:widowControl/>
        <w:rPr/>
      </w:pPr>
      <w:r>
        <w:rPr/>
        <w:t>BE-122. U.S. Tax Equity for Canadian Renewable Mining</w:t>
      </w:r>
      <w:bookmarkEnd w:id="2612"/>
    </w:p>
    <w:p>
      <w:pPr>
        <w:pStyle w:val="Normal"/>
        <w:widowControl/>
        <w:rPr/>
      </w:pPr>
      <w:r>
        <w:rPr/>
        <w:t>U.S. tax equity investors get access to Canadian renewable mining projects paired with Canada supplying clean-energy minerals to U.S. at fixed prices.</w:t>
      </w:r>
    </w:p>
    <w:p>
      <w:bookmarkStart w:id="2613" w:name="_NAESTMA_TOC_2613"/>
      <w:pPr>
        <w:pStyle w:val="Heading2"/>
        <w:keepNext/>
        <w:widowControl/>
        <w:rPr/>
      </w:pPr>
      <w:r>
        <w:rPr/>
        <w:t>BE-123. Reciprocal Financial-Services Access Under Prudential Rules</w:t>
      </w:r>
      <w:bookmarkEnd w:id="2613"/>
    </w:p>
    <w:p>
      <w:pPr>
        <w:pStyle w:val="Normal"/>
        <w:widowControl/>
        <w:rPr/>
      </w:pPr>
      <w:r>
        <w:rPr/>
        <w:t>Facilitate financing of qualifying mineral projects without nationality-based quid pro quo in banking regulation.</w:t>
      </w:r>
    </w:p>
    <w:p>
      <w:bookmarkStart w:id="2614" w:name="_NAESTMA_TOC_2614"/>
      <w:pPr>
        <w:pStyle w:val="Heading2"/>
        <w:keepNext/>
        <w:widowControl/>
        <w:rPr/>
      </w:pPr>
      <w:r>
        <w:rPr/>
        <w:t>BE-124. Continental Strategic-Mineral Risk Insurance Eligibility</w:t>
      </w:r>
      <w:bookmarkEnd w:id="2614"/>
    </w:p>
    <w:p>
      <w:pPr>
        <w:pStyle w:val="Normal"/>
        <w:widowControl/>
        <w:rPr/>
      </w:pPr>
      <w:r>
        <w:rPr/>
        <w:t>Make qualifying projects eligible for political-risk and credit insurance without artificial mineral-import quotas.</w:t>
      </w:r>
    </w:p>
    <w:p>
      <w:bookmarkStart w:id="2615" w:name="_NAESTMA_TOC_2615"/>
      <w:pPr>
        <w:pStyle w:val="Heading2"/>
        <w:keepNext/>
        <w:widowControl/>
        <w:rPr/>
      </w:pPr>
      <w:r>
        <w:rPr/>
        <w:t>BE-125. Tri-National Mineral Price Stabilization Fund</w:t>
      </w:r>
      <w:bookmarkEnd w:id="2615"/>
    </w:p>
    <w:p>
      <w:pPr>
        <w:pStyle w:val="Normal"/>
        <w:widowControl/>
        <w:rPr/>
      </w:pPr>
      <w:r>
        <w:rPr/>
        <w:t>Joint fund to stabilize critical mineral prices, with each country contributing proportional to production and drawing proportional to consumption.</w:t>
      </w:r>
    </w:p>
    <w:p>
      <w:bookmarkStart w:id="2616" w:name="_NAESTMA_TOC_2616"/>
      <w:pPr>
        <w:pStyle w:val="Heading2"/>
        <w:keepNext/>
        <w:widowControl/>
        <w:rPr/>
      </w:pPr>
      <w:r>
        <w:rPr/>
        <w:t>BE-126. Medical-Manufacturing Mineral Security</w:t>
      </w:r>
      <w:bookmarkEnd w:id="2616"/>
    </w:p>
    <w:p>
      <w:pPr>
        <w:pStyle w:val="Normal"/>
        <w:widowControl/>
        <w:rPr/>
      </w:pPr>
      <w:r>
        <w:rPr/>
        <w:t>Secure silver and other inputs for medical manufacturing without conditioning patient access to essential medicines on mineral supply.</w:t>
      </w:r>
    </w:p>
    <w:p>
      <w:bookmarkStart w:id="2617" w:name="_NAESTMA_TOC_2617"/>
      <w:pPr>
        <w:pStyle w:val="Heading2"/>
        <w:keepNext/>
        <w:widowControl/>
        <w:rPr/>
      </w:pPr>
      <w:r>
        <w:rPr/>
        <w:t>BE-127. Canadian Pharmaceuticals for U.S. REEs</w:t>
      </w:r>
      <w:bookmarkEnd w:id="2617"/>
    </w:p>
    <w:p>
      <w:pPr>
        <w:pStyle w:val="Normal"/>
        <w:widowControl/>
        <w:rPr/>
      </w:pPr>
      <w:r>
        <w:rPr/>
        <w:t>Canada supplies pharmaceuticals to U.S. at preferential prices paired with U.S. supplying 1,000 tonnes/year of REEs to Canadian medical imaging equipment makers.</w:t>
      </w:r>
    </w:p>
    <w:p>
      <w:bookmarkStart w:id="2618" w:name="_NAESTMA_TOC_2618"/>
      <w:pPr>
        <w:pStyle w:val="Heading2"/>
        <w:keepNext/>
        <w:widowControl/>
        <w:rPr/>
      </w:pPr>
      <w:r>
        <w:rPr/>
        <w:t>BE-128. Humanitarian Medical Supply and Mineral Security Firewalls</w:t>
      </w:r>
      <w:bookmarkEnd w:id="2618"/>
    </w:p>
    <w:p>
      <w:pPr>
        <w:pStyle w:val="Normal"/>
        <w:widowControl/>
        <w:rPr/>
      </w:pPr>
      <w:r>
        <w:rPr/>
        <w:t>Maintain reciprocal emergency vaccine/medical-supply guarantees separately from strategic mineral guarantees; neither becomes hostage leverage.</w:t>
      </w:r>
    </w:p>
    <w:p>
      <w:bookmarkStart w:id="2619" w:name="_NAESTMA_TOC_2619"/>
      <w:pPr>
        <w:pStyle w:val="Heading2"/>
        <w:keepNext/>
        <w:widowControl/>
        <w:rPr/>
      </w:pPr>
      <w:r>
        <w:rPr/>
        <w:t>BE-129. Mexican Medical Tourism for U.S. Mineral Investment</w:t>
      </w:r>
      <w:bookmarkEnd w:id="2619"/>
    </w:p>
    <w:p>
      <w:pPr>
        <w:pStyle w:val="Normal"/>
        <w:widowControl/>
        <w:rPr/>
      </w:pPr>
      <w:r>
        <w:rPr/>
        <w:t>Mexico guarantees U.S. patients access to Mexican healthcare paired with U.S. investing $500M in Mexican mining communities' healthcare infrastructure.</w:t>
      </w:r>
    </w:p>
    <w:p>
      <w:bookmarkStart w:id="2620" w:name="_NAESTMA_TOC_2620"/>
      <w:pPr>
        <w:pStyle w:val="Heading2"/>
        <w:keepNext/>
        <w:widowControl/>
        <w:rPr/>
      </w:pPr>
      <w:r>
        <w:rPr/>
        <w:t>BE-130. Tri-National Pharmaceutical-Mineral Supply Chain</w:t>
      </w:r>
      <w:bookmarkEnd w:id="2620"/>
    </w:p>
    <w:p>
      <w:pPr>
        <w:pStyle w:val="Normal"/>
        <w:widowControl/>
        <w:rPr/>
      </w:pPr>
      <w:r>
        <w:rPr/>
        <w:t>Joint supply chain for medical isotopes and imaging minerals, with each country contributing minerals and receiving healthcare products.</w:t>
      </w:r>
    </w:p>
    <w:p>
      <w:bookmarkStart w:id="2621" w:name="_NAESTMA_TOC_2621"/>
      <w:pPr>
        <w:pStyle w:val="Heading2"/>
        <w:keepNext/>
        <w:widowControl/>
        <w:rPr/>
      </w:pPr>
      <w:r>
        <w:rPr/>
        <w:t>BE-131. Sovereign Geological-Data Interoperability</w:t>
      </w:r>
      <w:bookmarkEnd w:id="2621"/>
    </w:p>
    <w:p>
      <w:pPr>
        <w:pStyle w:val="Normal"/>
        <w:widowControl/>
        <w:rPr/>
      </w:pPr>
      <w:r>
        <w:rPr/>
        <w:t>Build interoperable public geological-data systems with equal transparent access and protection for sensitive data; no privileged corporate access purchased with cloud services.</w:t>
      </w:r>
    </w:p>
    <w:p>
      <w:bookmarkStart w:id="2622" w:name="_NAESTMA_TOC_2622"/>
      <w:pPr>
        <w:pStyle w:val="Heading2"/>
        <w:keepNext/>
        <w:widowControl/>
        <w:rPr/>
      </w:pPr>
      <w:r>
        <w:rPr/>
        <w:t>BE-132. Mineral Supply-Chain Data Governance Interoperability</w:t>
      </w:r>
      <w:bookmarkEnd w:id="2622"/>
    </w:p>
    <w:p>
      <w:pPr>
        <w:pStyle w:val="Normal"/>
        <w:widowControl/>
        <w:rPr/>
      </w:pPr>
      <w:r>
        <w:rPr/>
        <w:t>Coordinate privacy, cybersecurity and commercial-data rules for mineral supply chains rather than bartering privacy law for minerals.</w:t>
      </w:r>
    </w:p>
    <w:p>
      <w:bookmarkStart w:id="2623" w:name="_NAESTMA_TOC_2623"/>
      <w:pPr>
        <w:pStyle w:val="Heading2"/>
        <w:keepNext/>
        <w:widowControl/>
        <w:rPr/>
      </w:pPr>
      <w:r>
        <w:rPr/>
        <w:t>BE-133. U.S. 5G Infrastructure for Mexican Mines</w:t>
      </w:r>
      <w:bookmarkEnd w:id="2623"/>
    </w:p>
    <w:p>
      <w:pPr>
        <w:pStyle w:val="Normal"/>
        <w:widowControl/>
        <w:rPr/>
      </w:pPr>
      <w:r>
        <w:rPr/>
        <w:t>U.S. deploys 5G at Mexican mines paired with Mexico supplying 50,000 tonnes/year of copper for U.S. 5G infrastructure.</w:t>
      </w:r>
    </w:p>
    <w:p>
      <w:bookmarkStart w:id="2624" w:name="_NAESTMA_TOC_2624"/>
      <w:pPr>
        <w:pStyle w:val="Heading2"/>
        <w:keepNext/>
        <w:widowControl/>
        <w:rPr/>
      </w:pPr>
      <w:r>
        <w:rPr/>
        <w:t>BE-134. Clean-Powered Mineral Digital Infrastructure</w:t>
      </w:r>
      <w:bookmarkEnd w:id="2624"/>
    </w:p>
    <w:p>
      <w:pPr>
        <w:pStyle w:val="Normal"/>
        <w:widowControl/>
        <w:rPr/>
      </w:pPr>
      <w:r>
        <w:rPr/>
        <w:t>Support local or contractually supplied low-carbon power for mineral-sector digital infrastructure without physically implausible prescribed power flows.</w:t>
      </w:r>
    </w:p>
    <w:p>
      <w:bookmarkStart w:id="2625" w:name="_NAESTMA_TOC_2625"/>
      <w:pPr>
        <w:pStyle w:val="Heading2"/>
        <w:keepNext/>
        <w:widowControl/>
        <w:rPr/>
      </w:pPr>
      <w:r>
        <w:rPr/>
        <w:t>BE-135. Tri-National Mineral Supply Chain Digital Platform</w:t>
      </w:r>
      <w:bookmarkEnd w:id="2625"/>
    </w:p>
    <w:p>
      <w:pPr>
        <w:pStyle w:val="Normal"/>
        <w:widowControl/>
        <w:rPr/>
      </w:pPr>
      <w:r>
        <w:rPr/>
        <w:t>Joint digital platform tracking mineral supply chains, with each country contributing data paired with real-time supply chain visibility.</w:t>
      </w:r>
    </w:p>
    <w:p>
      <w:bookmarkStart w:id="2626" w:name="_NAESTMA_TOC_2626"/>
      <w:pPr>
        <w:pStyle w:val="Heading2"/>
        <w:keepNext/>
        <w:widowControl/>
        <w:rPr/>
      </w:pPr>
      <w:r>
        <w:rPr/>
        <w:t>BE-136. Mining Engineering Scholarships and Exchanges</w:t>
      </w:r>
      <w:bookmarkEnd w:id="2626"/>
    </w:p>
    <w:p>
      <w:pPr>
        <w:pStyle w:val="Normal"/>
        <w:widowControl/>
        <w:rPr/>
      </w:pPr>
      <w:r>
        <w:rPr/>
        <w:t>Jointly finance scholarships, exchanges and training without trading university seats for mineral concessions.</w:t>
      </w:r>
    </w:p>
    <w:p>
      <w:bookmarkStart w:id="2627" w:name="_NAESTMA_TOC_2627"/>
      <w:pPr>
        <w:pStyle w:val="Heading2"/>
        <w:keepNext/>
        <w:widowControl/>
        <w:rPr/>
      </w:pPr>
      <w:r>
        <w:rPr/>
        <w:t>BE-137. Canadian Research Grants for U.S. Mineral Scientists</w:t>
      </w:r>
      <w:bookmarkEnd w:id="2627"/>
    </w:p>
    <w:p>
      <w:pPr>
        <w:pStyle w:val="Normal"/>
        <w:widowControl/>
        <w:rPr/>
      </w:pPr>
      <w:r>
        <w:rPr/>
        <w:t>Canada funds U.S. mineral research paired with U.S. supplying 2,000 tonnes/year of REEs to Canadian research institutions.</w:t>
      </w:r>
    </w:p>
    <w:p>
      <w:bookmarkStart w:id="2628" w:name="_NAESTMA_TOC_2628"/>
      <w:pPr>
        <w:pStyle w:val="Heading2"/>
        <w:keepNext/>
        <w:widowControl/>
        <w:rPr/>
      </w:pPr>
      <w:r>
        <w:rPr/>
        <w:t>BE-138. Mexican Cultural Exchanges for U.S. Mining Investment</w:t>
      </w:r>
      <w:bookmarkEnd w:id="2628"/>
    </w:p>
    <w:p>
      <w:pPr>
        <w:pStyle w:val="Normal"/>
        <w:widowControl/>
        <w:rPr/>
      </w:pPr>
      <w:r>
        <w:rPr/>
        <w:t>Mexico expands cultural exchange programs paired with U.S. investing $500M in Mexican mining communities.</w:t>
      </w:r>
    </w:p>
    <w:p>
      <w:bookmarkStart w:id="2629" w:name="_NAESTMA_TOC_2629"/>
      <w:pPr>
        <w:pStyle w:val="Heading2"/>
        <w:keepNext/>
        <w:widowControl/>
        <w:rPr/>
      </w:pPr>
      <w:r>
        <w:rPr/>
        <w:t>BE-139. U.S. Fulbright Programs for Canadian Mineral Policy</w:t>
      </w:r>
      <w:bookmarkEnd w:id="2629"/>
    </w:p>
    <w:p>
      <w:pPr>
        <w:pStyle w:val="Normal"/>
        <w:widowControl/>
        <w:rPr/>
      </w:pPr>
      <w:r>
        <w:rPr/>
        <w:t>U.S. expands Fulbright to Canadian mineral policy scholars paired with Canada sharing 20% of its mineral policy research with U.S.</w:t>
      </w:r>
    </w:p>
    <w:p>
      <w:bookmarkStart w:id="2630" w:name="_NAESTMA_TOC_2630"/>
      <w:pPr>
        <w:pStyle w:val="Heading2"/>
        <w:keepNext/>
        <w:widowControl/>
        <w:rPr/>
      </w:pPr>
      <w:r>
        <w:rPr/>
        <w:t>BE-140. North American Mining Heritage and Community Legacy Program</w:t>
      </w:r>
      <w:bookmarkEnd w:id="2630"/>
    </w:p>
    <w:p>
      <w:pPr>
        <w:pStyle w:val="Normal"/>
        <w:widowControl/>
        <w:rPr/>
      </w:pPr>
      <w:r>
        <w:rPr/>
        <w:t>Support voluntary heritage, Indigenous history, worker history, abandoned-site interpretation and community tourism without a compulsory royalty-funded new institution.</w:t>
      </w:r>
    </w:p>
    <w:p>
      <w:bookmarkStart w:id="2631" w:name="_NAESTMA_TOC_2631"/>
      <w:pPr>
        <w:pStyle w:val="Heading1"/>
        <w:keepNext/>
        <w:pageBreakBefore/>
        <w:widowControl/>
        <w:rPr/>
      </w:pPr>
      <w:r>
        <w:rPr/>
        <w:t>PACKAGE BF — MINERALS-FOR-FORESTRY NORMALIZATION TRACK</w:t>
      </w:r>
      <w:bookmarkEnd w:id="2631"/>
    </w:p>
    <w:p>
      <w:pPr>
        <w:pStyle w:val="Normal"/>
        <w:widowControl/>
        <w:rPr/>
      </w:pPr>
      <w:r>
        <w:rPr/>
        <w:t>BF-1. Purpose. The Parties may use verified critical-mineral supply, processing, stockpiling, recycling, investment or technology cooperation as consideration for staged normalization of softwood-lumber and forestry trade measures. No Party is required to compel extraction or sell below market.</w:t>
      </w:r>
    </w:p>
    <w:p>
      <w:pPr>
        <w:pStyle w:val="Normal"/>
        <w:widowControl/>
        <w:rPr/>
      </w:pPr>
      <w:r>
        <w:rPr/>
        <w:t>BF-2. Flexible Pairing. Eligible mineral performance may include lithium, potash, nickel, cobalt, rare earths, niobium, titanium, magnesium, graphite, uranium, molybdenum, tellurium, germanium, gallium or other scheduled strategic materials. Forestry benefits may include tariff, quota, AD/CVD settlement, customs, certification or market-access normalization as legally available.</w:t>
      </w:r>
    </w:p>
    <w:p>
      <w:pPr>
        <w:pStyle w:val="Normal"/>
        <w:widowControl/>
        <w:rPr/>
      </w:pPr>
      <w:r>
        <w:rPr/>
        <w:t>BF-3. Performance Pairing. Mineral and forestry benefits shall be approximately commensurate, activate together where practicable, use transparent market-linked terms, and follow BA-5 for verification, cure, proportional step-back and automatic restoration.</w:t>
      </w:r>
    </w:p>
    <w:p>
      <w:pPr>
        <w:pStyle w:val="Normal"/>
        <w:widowControl/>
        <w:rPr/>
      </w:pPr>
      <w:r>
        <w:rPr/>
        <w:t>BF-4. No Resource Surrender. Mineral cooperation earns normalization through resilience value, investment, processing and reliable supply; it does not convey ownership of deposits, compulsory extraction rights or exclusive access to another Party.</w:t>
      </w:r>
    </w:p>
    <w:p>
      <w:pPr>
        <w:pStyle w:val="TrumpVisibilityHeadline"/>
        <w:widowControl/>
        <w:rPr/>
      </w:pPr>
      <w:r>
        <w:rPr>
          <w:b/>
        </w:rPr>
        <w:t xml:space="preserve">★ </w:t>
      </w:r>
      <w:r>
        <w:rPr>
          <w:b/>
        </w:rPr>
        <w:t>VISIBLE U.S. WIN: STRONGER NORTH AMERICAN AUTOMOTIVE PRODUCTION AND RULES OF ORIGIN</w:t>
      </w:r>
    </w:p>
    <w:p>
      <w:bookmarkStart w:id="2632" w:name="_NAESTMA_TOC_2632"/>
      <w:pPr>
        <w:pStyle w:val="Heading1"/>
        <w:keepNext/>
        <w:pageBreakBefore/>
        <w:widowControl/>
        <w:rPr/>
      </w:pPr>
      <w:r>
        <w:rPr/>
        <w:t>PACKAGE BG — NORTH AMERICAN AUTOMOTIVE INTEGRATION AND STABILITY FRAMEWORK</w:t>
      </w:r>
      <w:bookmarkEnd w:id="2632"/>
    </w:p>
    <w:p>
      <w:bookmarkStart w:id="2633" w:name="_NAESTMA_TOC_2633"/>
      <w:pPr>
        <w:pStyle w:val="Heading2"/>
        <w:keepNext/>
        <w:widowControl/>
        <w:rPr/>
      </w:pPr>
      <w:r>
        <w:rPr/>
        <w:t>BG-1. Purpose and Coverage</w:t>
      </w:r>
      <w:bookmarkEnd w:id="2633"/>
    </w:p>
    <w:p>
      <w:pPr>
        <w:pStyle w:val="Normal"/>
        <w:widowControl/>
        <w:rPr/>
      </w:pPr>
      <w:r>
        <w:rPr/>
        <w:t>This Package establishes a technology-neutral trilateral framework for passenger vehicles, light trucks, medium-duty vehicles, heavy-duty vehicles, vocational vehicles, qualifying chassis and integrated automotive systems. It is intended to preserve genuine North American origin, reward deeper continental integration, reduce avoidable border friction, strengthen supply resilience and prevent tariff or classification carve-outs from defeating negotiated automotive treatment.</w:t>
      </w:r>
    </w:p>
    <w:p>
      <w:bookmarkStart w:id="2634" w:name="_NAESTMA_TOC_2634"/>
      <w:pPr>
        <w:pStyle w:val="Heading2"/>
        <w:keepNext/>
        <w:widowControl/>
        <w:rPr/>
      </w:pPr>
      <w:r>
        <w:rPr/>
        <w:t>BG-2. Standard Origin Tier — 75% RVC</w:t>
      </w:r>
      <w:bookmarkEnd w:id="2634"/>
    </w:p>
    <w:p>
      <w:pPr>
        <w:pStyle w:val="Normal"/>
        <w:widowControl/>
        <w:rPr/>
      </w:pPr>
      <w:r>
        <w:rPr/>
        <w:t>An originating vehicle satisfying the Standard Tier regional value content threshold of 75% shall receive zero automotive tariff treatment under this Agreement, subject to applicable product-specific origin requirements and anti-circumvention rules. A higher tier shall not be required merely to obtain ordinary originating status.</w:t>
      </w:r>
    </w:p>
    <w:p>
      <w:bookmarkStart w:id="2635" w:name="_NAESTMA_TOC_2635"/>
      <w:pPr>
        <w:pStyle w:val="Heading2"/>
        <w:keepNext/>
        <w:widowControl/>
        <w:rPr/>
      </w:pPr>
      <w:r>
        <w:rPr/>
        <w:t>BG-3. High Integration Tier — 80% RVC</w:t>
      </w:r>
      <w:bookmarkEnd w:id="2635"/>
    </w:p>
    <w:p>
      <w:pPr>
        <w:pStyle w:val="Normal"/>
        <w:widowControl/>
        <w:rPr/>
      </w:pPr>
      <w:r>
        <w:rPr/>
        <w:t>A vehicle satisfying an 80% regional value content threshold and meeting at least three designated strategic-category conditions may qualify for enhanced customs facilitation, reduced routine verification, trusted-trader treatment, transition assistance and other earned administrative benefits. Strategic categories may include batteries, semiconductors, North American steel or low-carbon steel, software-defined vehicle systems, and motors or drive units.</w:t>
      </w:r>
    </w:p>
    <w:p>
      <w:bookmarkStart w:id="2636" w:name="_NAESTMA_TOC_2636"/>
      <w:pPr>
        <w:pStyle w:val="Heading2"/>
        <w:keepNext/>
        <w:widowControl/>
        <w:rPr/>
      </w:pPr>
      <w:r>
        <w:rPr/>
        <w:t>BG-4. Strategic Tier — 85% RVC</w:t>
      </w:r>
      <w:bookmarkEnd w:id="2636"/>
    </w:p>
    <w:p>
      <w:pPr>
        <w:pStyle w:val="Normal"/>
        <w:widowControl/>
        <w:rPr/>
      </w:pPr>
      <w:r>
        <w:rPr/>
        <w:t>A vehicle satisfying an 85% regional value content threshold, all designated strategic-category conditions and an approved continuity plan may qualify for the strongest available administrative, resilience and strategic-program benefits. Strategic-tier treatment shall not convert ordinary Standard-Tier originating vehicles into non-originating vehicles.</w:t>
      </w:r>
    </w:p>
    <w:p>
      <w:bookmarkStart w:id="2637" w:name="_NAESTMA_TOC_2637"/>
      <w:pPr>
        <w:pStyle w:val="Heading2"/>
        <w:keepNext/>
        <w:widowControl/>
        <w:rPr/>
      </w:pPr>
      <w:r>
        <w:rPr/>
        <w:t>BG-5. No Tariff on Originating Content</w:t>
      </w:r>
      <w:bookmarkEnd w:id="2637"/>
    </w:p>
    <w:p>
      <w:pPr>
        <w:pStyle w:val="Normal"/>
        <w:widowControl/>
        <w:rPr/>
      </w:pPr>
      <w:r>
        <w:rPr/>
        <w:t>Where a measure lawfully applies to a non-originating vehicle, tariff incidence should, where administratively practicable and consistent with applicable law, be confined to non-originating content rather than imposed again on verified North American content.</w:t>
      </w:r>
    </w:p>
    <w:p>
      <w:bookmarkStart w:id="2638" w:name="_NAESTMA_TOC_2638"/>
      <w:pPr>
        <w:pStyle w:val="Heading2"/>
        <w:keepNext/>
        <w:widowControl/>
        <w:rPr/>
      </w:pPr>
      <w:r>
        <w:rPr/>
        <w:t>BG-6. No Vehicle-Class Carve-Out</w:t>
      </w:r>
      <w:bookmarkEnd w:id="2638"/>
    </w:p>
    <w:p>
      <w:pPr>
        <w:pStyle w:val="Normal"/>
        <w:widowControl/>
        <w:rPr/>
      </w:pPr>
      <w:r>
        <w:rPr/>
        <w:t>A medium- or heavy-duty vehicle qualifying as originating under this Agreement shall not receive less favorable tariff treatment solely because of vehicle weight, gross vehicle weight rating, vocational configuration, chassis classification, body configuration, or classification outside a passenger-vehicle tariff line.</w:t>
      </w:r>
    </w:p>
    <w:p>
      <w:bookmarkStart w:id="2639" w:name="_NAESTMA_TOC_2639"/>
      <w:pPr>
        <w:pStyle w:val="Heading2"/>
        <w:keepNext/>
        <w:widowControl/>
        <w:rPr/>
      </w:pPr>
      <w:r>
        <w:rPr/>
        <w:t>BG-7. Anti-Reclassification Rule</w:t>
      </w:r>
      <w:bookmarkEnd w:id="2639"/>
    </w:p>
    <w:p>
      <w:pPr>
        <w:pStyle w:val="Normal"/>
        <w:widowControl/>
        <w:rPr/>
      </w:pPr>
      <w:r>
        <w:rPr/>
        <w:t>No Party shall use reclassification, tariff-line migration, chassis/body separation, incomplete-vehicle treatment, or substantially equivalent administrative relabeling principally to defeat an automotive benefit that would otherwise apply to an originating vehicle.</w:t>
      </w:r>
    </w:p>
    <w:p>
      <w:bookmarkStart w:id="2640" w:name="_NAESTMA_TOC_2640"/>
      <w:pPr>
        <w:pStyle w:val="Heading2"/>
        <w:keepNext/>
        <w:widowControl/>
        <w:rPr/>
      </w:pPr>
      <w:r>
        <w:rPr/>
        <w:t>BG-8. No Uncompensated Front-Loading</w:t>
      </w:r>
      <w:bookmarkEnd w:id="2640"/>
    </w:p>
    <w:p>
      <w:pPr>
        <w:pStyle w:val="Normal"/>
        <w:widowControl/>
        <w:rPr/>
      </w:pPr>
      <w:r>
        <w:rPr/>
        <w:t>Where automotive concessions are paired with origin, investment, market-access, supply-chain or enforcement commitments, paired obligations should activate together. Delayed or failed paired performance triggers verification, a short cure opportunity and proportionate pause or step-back of the paired benefit, with automatic restoration when verified performance resumes.</w:t>
      </w:r>
    </w:p>
    <w:p>
      <w:bookmarkStart w:id="2641" w:name="_NAESTMA_TOC_2641"/>
      <w:pPr>
        <w:pStyle w:val="Heading2"/>
        <w:keepNext/>
        <w:widowControl/>
        <w:rPr/>
      </w:pPr>
      <w:r>
        <w:rPr/>
        <w:t>BG-9. Capacity-Gap Safe Harbour</w:t>
      </w:r>
      <w:bookmarkEnd w:id="2641"/>
    </w:p>
    <w:p>
      <w:pPr>
        <w:pStyle w:val="Normal"/>
        <w:widowControl/>
        <w:rPr/>
      </w:pPr>
      <w:r>
        <w:rPr/>
        <w:t>Temporary flexibility for a component or material may be granted where verified North American capacity is unavailable, insufficient or disrupted. Relief shall be narrow, time-limited, reviewable and designed to avoid converting a temporary shortage into permanent offshore dependency.</w:t>
      </w:r>
    </w:p>
    <w:p>
      <w:bookmarkStart w:id="2642" w:name="_NAESTMA_TOC_2642"/>
      <w:pPr>
        <w:pStyle w:val="Heading2"/>
        <w:keepNext/>
        <w:widowControl/>
        <w:rPr/>
      </w:pPr>
      <w:r>
        <w:rPr/>
        <w:t>BG-10. Trusted External Input Safe Harbour</w:t>
      </w:r>
      <w:bookmarkEnd w:id="2642"/>
    </w:p>
    <w:p>
      <w:pPr>
        <w:pStyle w:val="Normal"/>
        <w:widowControl/>
        <w:rPr/>
      </w:pPr>
      <w:r>
        <w:rPr/>
        <w:t>A limited share of otherwise non-originating inputs may receive specified treatment where no commercially reasonable North American substitute exists and the input originates from a trusted external partner meeting agreed security, labour, environmental and anti-circumvention conditions. Such treatment does not convert the external partner into a Party to this Agreement.</w:t>
      </w:r>
    </w:p>
    <w:p>
      <w:bookmarkStart w:id="2643" w:name="_NAESTMA_TOC_2643"/>
      <w:pPr>
        <w:pStyle w:val="Heading2"/>
        <w:keepNext/>
        <w:widowControl/>
        <w:rPr/>
      </w:pPr>
      <w:r>
        <w:rPr/>
        <w:t>BG-11. Digital Origin and Provenance</w:t>
      </w:r>
      <w:bookmarkEnd w:id="2643"/>
    </w:p>
    <w:p>
      <w:pPr>
        <w:pStyle w:val="Normal"/>
        <w:widowControl/>
        <w:rPr/>
      </w:pPr>
      <w:r>
        <w:rPr/>
        <w:t>The Parties should support interoperable digital origin records, supplier declarations and provenance verification without prescribing a particular ledger technology. Systems shall preserve commercial confidentiality, permit correction and audit, and avoid forcing disclosure of unnecessary proprietary information.</w:t>
      </w:r>
    </w:p>
    <w:p>
      <w:bookmarkStart w:id="2644" w:name="_NAESTMA_TOC_2644"/>
      <w:pPr>
        <w:pStyle w:val="Heading2"/>
        <w:keepNext/>
        <w:widowControl/>
        <w:rPr/>
      </w:pPr>
      <w:r>
        <w:rPr/>
        <w:t>BG-12. Transition and Cure Architecture</w:t>
      </w:r>
      <w:bookmarkEnd w:id="2644"/>
    </w:p>
    <w:p>
      <w:pPr>
        <w:pStyle w:val="Normal"/>
        <w:widowControl/>
        <w:rPr/>
      </w:pPr>
      <w:r>
        <w:rPr/>
        <w:t>RVC increases, model launches, retooling and supply shocks may use annual step-ups, temporary waivers, averaging, retroactive earn-back and cure periods. Flexibility shall reward genuine transition rather than conceal persistent non-compliance.</w:t>
      </w:r>
    </w:p>
    <w:p>
      <w:bookmarkStart w:id="2645" w:name="_NAESTMA_TOC_2645"/>
      <w:pPr>
        <w:pStyle w:val="Heading2"/>
        <w:keepNext/>
        <w:widowControl/>
        <w:rPr/>
      </w:pPr>
      <w:r>
        <w:rPr/>
        <w:t>BG-13. Automotive Stability Guarantee</w:t>
      </w:r>
      <w:bookmarkEnd w:id="2645"/>
    </w:p>
    <w:p>
      <w:pPr>
        <w:pStyle w:val="Normal"/>
        <w:widowControl/>
        <w:rPr/>
      </w:pPr>
      <w:r>
        <w:rPr/>
        <w:t>The Parties should avoid new automotive tariffs, discriminatory quotas or abrupt origin-rule changes except under this Agreement, an applicable safeguard, or another lawful emergency authority. Material changes should receive notice, consultation, verification and proportionate implementation wherever circumstances permit.</w:t>
      </w:r>
    </w:p>
    <w:p>
      <w:bookmarkStart w:id="2646" w:name="_NAESTMA_TOC_2646"/>
      <w:pPr>
        <w:pStyle w:val="Heading2"/>
        <w:keepNext/>
        <w:widowControl/>
        <w:rPr/>
      </w:pPr>
      <w:r>
        <w:rPr/>
        <w:t>BG-14. Existing-Institution Implementation</w:t>
      </w:r>
      <w:bookmarkEnd w:id="2646"/>
    </w:p>
    <w:p>
      <w:pPr>
        <w:pStyle w:val="Normal"/>
        <w:widowControl/>
        <w:rPr/>
      </w:pPr>
      <w:r>
        <w:rPr/>
        <w:t>Implementation shall use existing customs authorities, transportation regulators, labour institutions, the Secretariat and Cothrom architecture wherever practicable. No permanent automotive tribunal, duplicative secretariat or standing council is created solely by this Package.</w:t>
      </w:r>
    </w:p>
    <w:p>
      <w:bookmarkStart w:id="2647" w:name="_NAESTMA_TOC_2647"/>
      <w:pPr>
        <w:pStyle w:val="Heading1"/>
        <w:keepNext/>
        <w:pageBreakBefore/>
        <w:widowControl/>
        <w:rPr/>
      </w:pPr>
      <w:r>
        <w:rPr/>
        <w:t>PACKAGE BH — AUTOMOTIVE NEGOTIATION AND IMPLEMENTATION CATALOGUE</w:t>
      </w:r>
      <w:bookmarkEnd w:id="2647"/>
    </w:p>
    <w:p>
      <w:pPr>
        <w:pStyle w:val="Normal"/>
        <w:widowControl/>
        <w:rPr/>
      </w:pPr>
      <w:r>
        <w:rPr/>
        <w:t>This catalogue preserves the useful substance of the 100 automotive deal concepts while conforming them to Packages BG and the Agreement-wide rules on proportionality, no uncompensated front-loading, sovereignty, due process, anti-circumvention, commercial confidentiality and existing-institution implementation. Numerical values not otherwise adopted by the Agreement are illustrative implementation parameters rather than immutable treaty commitments.</w:t>
      </w:r>
    </w:p>
    <w:p>
      <w:bookmarkStart w:id="2648" w:name="_NAESTMA_TOC_2648"/>
      <w:pPr>
        <w:pStyle w:val="Heading2"/>
        <w:keepNext/>
        <w:widowControl/>
        <w:rPr/>
      </w:pPr>
      <w:r>
        <w:rPr/>
        <w:t>BH-1. The 15</w:t>
        <w:noBreakHyphen/>
        <w:t>15</w:t>
        <w:noBreakHyphen/>
        <w:t>15 Bridge</w:t>
      </w:r>
      <w:bookmarkEnd w:id="2648"/>
    </w:p>
    <w:p>
      <w:pPr>
        <w:pStyle w:val="Normal"/>
        <w:widowControl/>
        <w:rPr/>
      </w:pPr>
      <w:r>
        <w:rPr/>
        <w:t>Create a temporary automotive tariff bridge only where needed to de-escalate an active dispute. Any interim rate shall be transitional, paired with verified performance, and shall not displace the zero-for-originating baseline.</w:t>
      </w:r>
    </w:p>
    <w:p>
      <w:bookmarkStart w:id="2649" w:name="_NAESTMA_TOC_2649"/>
      <w:pPr>
        <w:pStyle w:val="Heading2"/>
        <w:keepNext/>
        <w:widowControl/>
        <w:rPr/>
      </w:pPr>
      <w:r>
        <w:rPr/>
        <w:t>BH-2. Mexico’s Tariff Step</w:t>
        <w:noBreakHyphen/>
        <w:t>Down</w:t>
      </w:r>
      <w:bookmarkEnd w:id="2649"/>
    </w:p>
    <w:p>
      <w:pPr>
        <w:pStyle w:val="Normal"/>
        <w:widowControl/>
        <w:rPr/>
      </w:pPr>
      <w:r>
        <w:rPr/>
        <w:t>Provide Mexico equivalent staged tariff relief in exchange for strengthened anti-transshipment and origin verification, with relief tied to performance rather than a permanently fixed rate.</w:t>
      </w:r>
    </w:p>
    <w:p>
      <w:bookmarkStart w:id="2650" w:name="_NAESTMA_TOC_2650"/>
      <w:pPr>
        <w:pStyle w:val="Heading2"/>
        <w:keepNext/>
        <w:widowControl/>
        <w:rPr/>
      </w:pPr>
      <w:r>
        <w:rPr/>
        <w:t>BH-3. Zero</w:t>
        <w:noBreakHyphen/>
        <w:t>for</w:t>
        <w:noBreakHyphen/>
        <w:t>Compliant</w:t>
      </w:r>
      <w:bookmarkEnd w:id="2650"/>
    </w:p>
    <w:p>
      <w:pPr>
        <w:pStyle w:val="Normal"/>
        <w:widowControl/>
        <w:rPr/>
      </w:pPr>
      <w:r>
        <w:rPr/>
        <w:t>All vehicles satisfying the Standard Tier origin requirements receive zero automotive tariffs; non-originating vehicles remain subject to applicable external tariff treatment.</w:t>
      </w:r>
    </w:p>
    <w:p>
      <w:bookmarkStart w:id="2651" w:name="_NAESTMA_TOC_2651"/>
      <w:pPr>
        <w:pStyle w:val="Heading2"/>
        <w:keepNext/>
        <w:widowControl/>
        <w:rPr/>
      </w:pPr>
      <w:r>
        <w:rPr/>
        <w:t>BH-4. Critical Parts Exclusion</w:t>
      </w:r>
      <w:bookmarkEnd w:id="2651"/>
    </w:p>
    <w:p>
      <w:pPr>
        <w:pStyle w:val="Normal"/>
        <w:widowControl/>
        <w:rPr/>
      </w:pPr>
      <w:r>
        <w:rPr/>
        <w:t>Essential components (batteries, semiconductors) are temporarily exempt from tariffs if sourced from within North America, valid for 2 years.</w:t>
      </w:r>
    </w:p>
    <w:p>
      <w:bookmarkStart w:id="2652" w:name="_NAESTMA_TOC_2652"/>
      <w:pPr>
        <w:pStyle w:val="Heading2"/>
        <w:keepNext/>
        <w:widowControl/>
        <w:rPr/>
      </w:pPr>
      <w:r>
        <w:rPr/>
        <w:t>BH-5. Quarterly Tariff Review</w:t>
      </w:r>
      <w:bookmarkEnd w:id="2652"/>
    </w:p>
    <w:p>
      <w:pPr>
        <w:pStyle w:val="Normal"/>
        <w:widowControl/>
        <w:rPr/>
      </w:pPr>
      <w:r>
        <w:rPr/>
        <w:t>Use scheduled performance reviews during a transition period, with earned reductions or restoration tied to verified milestones rather than automatic quarterly tariff micromanagement.</w:t>
      </w:r>
    </w:p>
    <w:p>
      <w:bookmarkStart w:id="2653" w:name="_NAESTMA_TOC_2653"/>
      <w:pPr>
        <w:pStyle w:val="Heading2"/>
        <w:keepNext/>
        <w:widowControl/>
        <w:rPr/>
      </w:pPr>
      <w:r>
        <w:rPr/>
        <w:t>BH-6. Retaliatory Tariff Freeze</w:t>
      </w:r>
      <w:bookmarkEnd w:id="2653"/>
    </w:p>
    <w:p>
      <w:pPr>
        <w:pStyle w:val="Normal"/>
        <w:widowControl/>
        <w:rPr/>
      </w:pPr>
      <w:r>
        <w:rPr/>
        <w:t>All three freeze new retaliatory measures for 12 months while negotiating a permanent framework.</w:t>
      </w:r>
    </w:p>
    <w:p>
      <w:bookmarkStart w:id="2654" w:name="_NAESTMA_TOC_2654"/>
      <w:pPr>
        <w:pStyle w:val="Heading2"/>
        <w:keepNext/>
        <w:widowControl/>
        <w:rPr/>
      </w:pPr>
      <w:r>
        <w:rPr/>
        <w:t>BH-7. Small</w:t>
        <w:noBreakHyphen/>
        <w:t>Volume Producer Exemption</w:t>
      </w:r>
      <w:bookmarkEnd w:id="2654"/>
    </w:p>
    <w:p>
      <w:pPr>
        <w:pStyle w:val="Normal"/>
        <w:widowControl/>
        <w:rPr/>
      </w:pPr>
      <w:r>
        <w:rPr/>
        <w:t>Provide simplified compliance, averaging and transition pathways for genuinely low-volume producers while preserving anti-circumvention safeguards.</w:t>
      </w:r>
    </w:p>
    <w:p>
      <w:bookmarkStart w:id="2655" w:name="_NAESTMA_TOC_2655"/>
      <w:pPr>
        <w:pStyle w:val="Heading2"/>
        <w:keepNext/>
        <w:widowControl/>
        <w:rPr/>
      </w:pPr>
      <w:r>
        <w:rPr/>
        <w:t>BH-8. Tariff Rebate for Exports</w:t>
      </w:r>
      <w:bookmarkEnd w:id="2655"/>
    </w:p>
    <w:p>
      <w:pPr>
        <w:pStyle w:val="Normal"/>
        <w:widowControl/>
        <w:rPr/>
      </w:pPr>
      <w:r>
        <w:rPr/>
        <w:t>Permit ordinary duty drawback or refund where a vehicle or qualifying component is genuinely re-exported outside North America and the underlying tariff has not otherwise been rebated.</w:t>
      </w:r>
    </w:p>
    <w:p>
      <w:bookmarkStart w:id="2656" w:name="_NAESTMA_TOC_2656"/>
      <w:pPr>
        <w:pStyle w:val="Heading2"/>
        <w:keepNext/>
        <w:widowControl/>
        <w:rPr/>
      </w:pPr>
      <w:r>
        <w:rPr/>
        <w:t>BH-9. Mexican Border Zone Preference</w:t>
      </w:r>
      <w:bookmarkEnd w:id="2656"/>
    </w:p>
    <w:p>
      <w:pPr>
        <w:pStyle w:val="Normal"/>
        <w:widowControl/>
        <w:rPr/>
      </w:pPr>
      <w:r>
        <w:rPr/>
        <w:t>Create an Integrated Cross-Border Logistics Credit based on verified regional supply-chain integration, customs efficiency and infrastructure use rather than proximity to a border.</w:t>
      </w:r>
    </w:p>
    <w:p>
      <w:bookmarkStart w:id="2657" w:name="_NAESTMA_TOC_2657"/>
      <w:pPr>
        <w:pStyle w:val="Heading2"/>
        <w:keepNext/>
        <w:widowControl/>
        <w:rPr/>
      </w:pPr>
      <w:r>
        <w:rPr/>
        <w:t>BH-10. Canadian Content Credit</w:t>
      </w:r>
      <w:bookmarkEnd w:id="2657"/>
    </w:p>
    <w:p>
      <w:pPr>
        <w:pStyle w:val="Normal"/>
        <w:widowControl/>
        <w:rPr/>
      </w:pPr>
      <w:r>
        <w:rPr/>
        <w:t>Treat verified North American strategic steel and aluminum as qualifying strategic-category content for High and Strategic Tier benefits without fictional value multiplication.</w:t>
      </w:r>
    </w:p>
    <w:p>
      <w:bookmarkStart w:id="2658" w:name="_NAESTMA_TOC_2658"/>
      <w:pPr>
        <w:pStyle w:val="Heading2"/>
        <w:keepNext/>
        <w:widowControl/>
        <w:rPr/>
      </w:pPr>
      <w:r>
        <w:rPr/>
        <w:t>BH-11. Temporary Suspension for Retooling</w:t>
      </w:r>
      <w:bookmarkEnd w:id="2658"/>
    </w:p>
    <w:p>
      <w:pPr>
        <w:pStyle w:val="Normal"/>
        <w:widowControl/>
        <w:rPr/>
      </w:pPr>
      <w:r>
        <w:rPr/>
        <w:t>Factories undergoing EV retooling get a 2</w:t>
        <w:noBreakHyphen/>
        <w:t>year tariff holiday on imported machinery and parts from the other two countries.</w:t>
      </w:r>
    </w:p>
    <w:p>
      <w:bookmarkStart w:id="2659" w:name="_NAESTMA_TOC_2659"/>
      <w:pPr>
        <w:pStyle w:val="Heading2"/>
        <w:keepNext/>
        <w:widowControl/>
        <w:rPr/>
      </w:pPr>
      <w:r>
        <w:rPr/>
        <w:t>BH-12. Graduated Tariff Phase</w:t>
        <w:noBreakHyphen/>
        <w:t>Down</w:t>
      </w:r>
      <w:bookmarkEnd w:id="2659"/>
    </w:p>
    <w:p>
      <w:pPr>
        <w:pStyle w:val="Normal"/>
        <w:widowControl/>
        <w:rPr/>
      </w:pPr>
      <w:r>
        <w:rPr/>
        <w:t>Allow a staged tariff phase-down for non-originating vehicles that are demonstrably moving toward compliance, with relief proportional to verified investment and sourcing milestones.</w:t>
      </w:r>
    </w:p>
    <w:p>
      <w:bookmarkStart w:id="2660" w:name="_NAESTMA_TOC_2660"/>
      <w:pPr>
        <w:pStyle w:val="Heading2"/>
        <w:keepNext/>
        <w:widowControl/>
        <w:rPr/>
      </w:pPr>
      <w:r>
        <w:rPr/>
        <w:t>BH-13. Seasonal Tariff Adjustment</w:t>
      </w:r>
      <w:bookmarkEnd w:id="2660"/>
    </w:p>
    <w:p>
      <w:pPr>
        <w:pStyle w:val="Normal"/>
        <w:widowControl/>
        <w:rPr/>
      </w:pPr>
      <w:r>
        <w:rPr/>
        <w:t>Replace seasonal tariffs with an evidence-based temporary safeguard available only after a demonstrated import surge or serious injury and subject to review and minimum-access protections.</w:t>
      </w:r>
    </w:p>
    <w:p>
      <w:bookmarkStart w:id="2661" w:name="_NAESTMA_TOC_2661"/>
      <w:pPr>
        <w:pStyle w:val="Heading2"/>
        <w:keepNext/>
        <w:widowControl/>
        <w:rPr/>
      </w:pPr>
      <w:r>
        <w:rPr/>
        <w:t>BH-14. Mutual Tariff Waiver for Emergency Vehicles</w:t>
      </w:r>
      <w:bookmarkEnd w:id="2661"/>
    </w:p>
    <w:p>
      <w:pPr>
        <w:pStyle w:val="Normal"/>
        <w:widowControl/>
        <w:rPr/>
      </w:pPr>
      <w:r>
        <w:rPr/>
        <w:t>Provide durable tariff-free treatment for ambulances, fire/rescue vehicles and designated disaster-response vehicles. Defense vehicles are governed separately by applicable security and procurement rules.</w:t>
      </w:r>
    </w:p>
    <w:p>
      <w:bookmarkStart w:id="2662" w:name="_NAESTMA_TOC_2662"/>
      <w:pPr>
        <w:pStyle w:val="Heading2"/>
        <w:keepNext/>
        <w:widowControl/>
        <w:rPr/>
      </w:pPr>
      <w:r>
        <w:rPr/>
        <w:t>BH-15. Tariff</w:t>
        <w:noBreakHyphen/>
        <w:t>Free Replacement Parts</w:t>
      </w:r>
      <w:bookmarkEnd w:id="2662"/>
    </w:p>
    <w:p>
      <w:pPr>
        <w:pStyle w:val="Normal"/>
        <w:widowControl/>
        <w:rPr/>
      </w:pPr>
      <w:r>
        <w:rPr/>
        <w:t>Zero-rate qualifying North American repair and service parts where appropriate, with clear origin and anti-transshipment requirements.</w:t>
      </w:r>
    </w:p>
    <w:p>
      <w:bookmarkStart w:id="2663" w:name="_NAESTMA_TOC_2663"/>
      <w:pPr>
        <w:pStyle w:val="Heading2"/>
        <w:keepNext/>
        <w:widowControl/>
        <w:rPr/>
      </w:pPr>
      <w:r>
        <w:rPr/>
        <w:t>BH-16. Currency Hedge Clause</w:t>
      </w:r>
      <w:bookmarkEnd w:id="2663"/>
    </w:p>
    <w:p>
      <w:pPr>
        <w:pStyle w:val="Normal"/>
        <w:widowControl/>
        <w:rPr/>
      </w:pPr>
      <w:r>
        <w:rPr/>
        <w:t>Create a Currency Distortion Consultation Mechanism for sustained, material and policy-relevant currency distortions. No tariff adjustment is triggered solely by a short-term exchange-rate movement.</w:t>
      </w:r>
    </w:p>
    <w:p>
      <w:bookmarkStart w:id="2664" w:name="_NAESTMA_TOC_2664"/>
      <w:pPr>
        <w:pStyle w:val="Heading2"/>
        <w:keepNext/>
        <w:widowControl/>
        <w:rPr/>
      </w:pPr>
      <w:r>
        <w:rPr/>
        <w:t>BH-17. Canadian Winter Testing Credit</w:t>
      </w:r>
      <w:bookmarkEnd w:id="2664"/>
    </w:p>
    <w:p>
      <w:pPr>
        <w:pStyle w:val="Normal"/>
        <w:widowControl/>
        <w:rPr/>
      </w:pPr>
      <w:r>
        <w:rPr/>
        <w:t>Recognize genuine North American cold-weather testing, validation and engineering value under approved R&amp;D/value-added accounting rather than a stand-alone tariff discount.</w:t>
      </w:r>
    </w:p>
    <w:p>
      <w:bookmarkStart w:id="2665" w:name="_NAESTMA_TOC_2665"/>
      <w:pPr>
        <w:pStyle w:val="Heading2"/>
        <w:keepNext/>
        <w:widowControl/>
        <w:rPr/>
      </w:pPr>
      <w:r>
        <w:rPr/>
        <w:t>BH-18. Retroactive Tariff Refund</w:t>
      </w:r>
      <w:bookmarkEnd w:id="2665"/>
    </w:p>
    <w:p>
      <w:pPr>
        <w:pStyle w:val="Normal"/>
        <w:widowControl/>
        <w:rPr/>
      </w:pPr>
      <w:r>
        <w:rPr/>
        <w:t>Permit retroactive tariff refunds or earn-back where a producer cures transitional non-compliance within the prescribed period and demonstrates good-faith compliance rather than fraud or evasion.</w:t>
      </w:r>
    </w:p>
    <w:p>
      <w:bookmarkStart w:id="2666" w:name="_NAESTMA_TOC_2666"/>
      <w:pPr>
        <w:pStyle w:val="Heading2"/>
        <w:keepNext/>
        <w:widowControl/>
        <w:rPr/>
      </w:pPr>
      <w:r>
        <w:rPr/>
        <w:t>BH-19. Joint Tariff Revenue Fund</w:t>
      </w:r>
      <w:bookmarkEnd w:id="2666"/>
    </w:p>
    <w:p>
      <w:pPr>
        <w:pStyle w:val="Normal"/>
        <w:widowControl/>
        <w:rPr/>
      </w:pPr>
      <w:r>
        <w:rPr/>
        <w:t>Encourage each Party to dedicate an appropriate share of automotive trade-remedy revenue to worker adjustment, training or industrial transition without requiring a single pooled trilateral revenue fund.</w:t>
      </w:r>
    </w:p>
    <w:p>
      <w:bookmarkStart w:id="2667" w:name="_NAESTMA_TOC_2667"/>
      <w:pPr>
        <w:pStyle w:val="Heading2"/>
        <w:keepNext/>
        <w:widowControl/>
        <w:rPr/>
      </w:pPr>
      <w:r>
        <w:rPr/>
        <w:t>BH-20. Most</w:t>
        <w:noBreakHyphen/>
        <w:t>Favored</w:t>
        <w:noBreakHyphen/>
        <w:t>Nation Alignment</w:t>
      </w:r>
      <w:bookmarkEnd w:id="2667"/>
    </w:p>
    <w:p>
      <w:pPr>
        <w:pStyle w:val="Normal"/>
        <w:widowControl/>
        <w:rPr/>
      </w:pPr>
      <w:r>
        <w:rPr/>
        <w:t>Coordinate external auto trade defense, anti-circumvention and transshipment enforcement while preserving each Party’s WTO obligations, other FTAs and independent external tariff schedules.</w:t>
      </w:r>
    </w:p>
    <w:p>
      <w:bookmarkStart w:id="2668" w:name="_NAESTMA_TOC_2668"/>
      <w:pPr>
        <w:pStyle w:val="Heading2"/>
        <w:keepNext/>
        <w:widowControl/>
        <w:rPr/>
      </w:pPr>
      <w:r>
        <w:rPr/>
        <w:t>BH-21. Flexible RVC Target</w:t>
      </w:r>
      <w:bookmarkEnd w:id="2668"/>
    </w:p>
    <w:p>
      <w:pPr>
        <w:pStyle w:val="Normal"/>
        <w:widowControl/>
        <w:rPr/>
      </w:pPr>
      <w:r>
        <w:rPr/>
        <w:t>Use the 75/80/85 tier architecture instead of a vague RVC range while preserving transition flexibility through averaging, step-ups and temporary waivers.</w:t>
      </w:r>
    </w:p>
    <w:p>
      <w:bookmarkStart w:id="2669" w:name="_NAESTMA_TOC_2669"/>
      <w:pPr>
        <w:pStyle w:val="Heading2"/>
        <w:keepNext/>
        <w:widowControl/>
        <w:rPr/>
      </w:pPr>
      <w:r>
        <w:rPr/>
        <w:t>BH-22. Battery Weighted Credit</w:t>
      </w:r>
      <w:bookmarkEnd w:id="2669"/>
    </w:p>
    <w:p>
      <w:pPr>
        <w:pStyle w:val="Normal"/>
        <w:widowControl/>
        <w:rPr/>
      </w:pPr>
      <w:r>
        <w:rPr/>
        <w:t>Treat batteries as a strategic-category qualifier for higher-tier benefits rather than counting each dollar of battery value as more than one dollar.</w:t>
      </w:r>
    </w:p>
    <w:p>
      <w:bookmarkStart w:id="2670" w:name="_NAESTMA_TOC_2670"/>
      <w:pPr>
        <w:pStyle w:val="Heading2"/>
        <w:keepNext/>
        <w:widowControl/>
        <w:rPr/>
      </w:pPr>
      <w:r>
        <w:rPr/>
        <w:t>BH-23. Core Parts List</w:t>
      </w:r>
      <w:bookmarkEnd w:id="2670"/>
    </w:p>
    <w:p>
      <w:pPr>
        <w:pStyle w:val="Normal"/>
        <w:widowControl/>
        <w:rPr/>
      </w:pPr>
      <w:r>
        <w:rPr/>
        <w:t>Maintain an updateable core/strategic parts architecture without freezing an arbitrary permanent list in treaty text.</w:t>
      </w:r>
    </w:p>
    <w:p>
      <w:bookmarkStart w:id="2671" w:name="_NAESTMA_TOC_2671"/>
      <w:pPr>
        <w:pStyle w:val="Heading2"/>
        <w:keepNext/>
        <w:widowControl/>
        <w:rPr/>
      </w:pPr>
      <w:r>
        <w:rPr/>
        <w:t>BH-24. Roll</w:t>
        <w:noBreakHyphen/>
        <w:t>Up Provision</w:t>
      </w:r>
      <w:bookmarkEnd w:id="2671"/>
    </w:p>
    <w:p>
      <w:pPr>
        <w:pStyle w:val="Normal"/>
        <w:widowControl/>
        <w:rPr/>
      </w:pPr>
      <w:r>
        <w:rPr/>
        <w:t>Value of R&amp;D and engineering services performed in North America counts toward RVC even if manufacturing occurs elsewhere.</w:t>
      </w:r>
    </w:p>
    <w:p>
      <w:bookmarkStart w:id="2672" w:name="_NAESTMA_TOC_2672"/>
      <w:pPr>
        <w:pStyle w:val="Heading2"/>
        <w:keepNext/>
        <w:widowControl/>
        <w:rPr/>
      </w:pPr>
      <w:r>
        <w:rPr/>
        <w:t>BH-25. Supplier Aggregation</w:t>
      </w:r>
      <w:bookmarkEnd w:id="2672"/>
    </w:p>
    <w:p>
      <w:pPr>
        <w:pStyle w:val="Normal"/>
        <w:widowControl/>
        <w:rPr/>
      </w:pPr>
      <w:r>
        <w:rPr/>
        <w:t>Small suppliers can aggregate their regional content across multiple facilities to meet thresholds more easily.</w:t>
      </w:r>
    </w:p>
    <w:p>
      <w:bookmarkStart w:id="2673" w:name="_NAESTMA_TOC_2673"/>
      <w:pPr>
        <w:pStyle w:val="Heading2"/>
        <w:keepNext/>
        <w:widowControl/>
        <w:rPr/>
      </w:pPr>
      <w:r>
        <w:rPr/>
        <w:t>BH-26. De Minimis Increase</w:t>
      </w:r>
      <w:bookmarkEnd w:id="2673"/>
    </w:p>
    <w:p>
      <w:pPr>
        <w:pStyle w:val="Normal"/>
        <w:widowControl/>
        <w:rPr/>
      </w:pPr>
      <w:r>
        <w:rPr/>
        <w:t>Use product-sensitive de minimis and capacity-gap safe harbours rather than an across-the-board increase that could materially dilute origin requirements.</w:t>
      </w:r>
    </w:p>
    <w:p>
      <w:bookmarkStart w:id="2674" w:name="_NAESTMA_TOC_2674"/>
      <w:pPr>
        <w:pStyle w:val="Heading2"/>
        <w:keepNext/>
        <w:widowControl/>
        <w:rPr/>
      </w:pPr>
      <w:r>
        <w:rPr/>
        <w:t>BH-27. Tracing Technology</w:t>
      </w:r>
      <w:bookmarkEnd w:id="2674"/>
    </w:p>
    <w:p>
      <w:pPr>
        <w:pStyle w:val="Normal"/>
        <w:widowControl/>
        <w:rPr/>
      </w:pPr>
      <w:r>
        <w:rPr/>
        <w:t>Use interoperable digital tracing and audit records without mandating blockchain or another specific technology.</w:t>
      </w:r>
    </w:p>
    <w:p>
      <w:bookmarkStart w:id="2675" w:name="_NAESTMA_TOC_2675"/>
      <w:pPr>
        <w:pStyle w:val="Heading2"/>
        <w:keepNext/>
        <w:widowControl/>
        <w:rPr/>
      </w:pPr>
      <w:r>
        <w:rPr/>
        <w:t>BH-28. Cumulation with Other FTA Partners</w:t>
      </w:r>
      <w:bookmarkEnd w:id="2675"/>
    </w:p>
    <w:p>
      <w:pPr>
        <w:pStyle w:val="Normal"/>
        <w:widowControl/>
        <w:rPr/>
      </w:pPr>
      <w:r>
        <w:rPr/>
        <w:t>Permit narrowly capped trusted-external-input treatment only where a North American substitute is unavailable and security, labour, environmental and anti-circumvention conditions are satisfied.</w:t>
      </w:r>
    </w:p>
    <w:p>
      <w:bookmarkStart w:id="2676" w:name="_NAESTMA_TOC_2676"/>
      <w:pPr>
        <w:pStyle w:val="Heading2"/>
        <w:keepNext/>
        <w:widowControl/>
        <w:rPr/>
      </w:pPr>
      <w:r>
        <w:rPr/>
        <w:t>BH-29. Electric Motor Specific Rule</w:t>
      </w:r>
      <w:bookmarkEnd w:id="2676"/>
    </w:p>
    <w:p>
      <w:pPr>
        <w:pStyle w:val="Normal"/>
        <w:widowControl/>
        <w:rPr/>
      </w:pPr>
      <w:r>
        <w:rPr/>
        <w:t>Electric motors and inverters get a separate, lower RVC threshold (60%) for three years to accelerate EV transition.</w:t>
      </w:r>
    </w:p>
    <w:p>
      <w:bookmarkStart w:id="2677" w:name="_NAESTMA_TOC_2677"/>
      <w:pPr>
        <w:pStyle w:val="Heading2"/>
        <w:keepNext/>
        <w:widowControl/>
        <w:rPr/>
      </w:pPr>
      <w:r>
        <w:rPr/>
        <w:t>BH-30. Plastic &amp; Rubber Component Exemption</w:t>
      </w:r>
      <w:bookmarkEnd w:id="2677"/>
    </w:p>
    <w:p>
      <w:pPr>
        <w:pStyle w:val="Normal"/>
        <w:widowControl/>
        <w:rPr/>
      </w:pPr>
      <w:r>
        <w:rPr/>
        <w:t>Apply specific capacity-gap treatment to plastic, rubber or other inputs where needed; do not create a blanket material exemption.</w:t>
      </w:r>
    </w:p>
    <w:p>
      <w:bookmarkStart w:id="2678" w:name="_NAESTMA_TOC_2678"/>
      <w:pPr>
        <w:pStyle w:val="Heading2"/>
        <w:keepNext/>
        <w:widowControl/>
        <w:rPr/>
      </w:pPr>
      <w:r>
        <w:rPr/>
        <w:t>BH-31. Annual RVC Step</w:t>
        <w:noBreakHyphen/>
        <w:t>Up</w:t>
      </w:r>
      <w:bookmarkEnd w:id="2678"/>
    </w:p>
    <w:p>
      <w:pPr>
        <w:pStyle w:val="Normal"/>
        <w:widowControl/>
        <w:rPr/>
      </w:pPr>
      <w:r>
        <w:rPr/>
        <w:t>RVC increases by 1% per year rather than a sudden jump, giving supply chains time to adjust.</w:t>
      </w:r>
    </w:p>
    <w:p>
      <w:bookmarkStart w:id="2679" w:name="_NAESTMA_TOC_2679"/>
      <w:pPr>
        <w:pStyle w:val="Heading2"/>
        <w:keepNext/>
        <w:widowControl/>
        <w:rPr/>
      </w:pPr>
      <w:r>
        <w:rPr/>
        <w:t>BH-32. Certificate of Origin Mutual Recognition</w:t>
      </w:r>
      <w:bookmarkEnd w:id="2679"/>
    </w:p>
    <w:p>
      <w:pPr>
        <w:pStyle w:val="Normal"/>
        <w:widowControl/>
        <w:rPr/>
      </w:pPr>
      <w:r>
        <w:rPr/>
        <w:t>Give a valid origin determination by one Party a rebuttable presumption of recognition in the others, subject to fraud, error and verification procedures.</w:t>
      </w:r>
    </w:p>
    <w:p>
      <w:bookmarkStart w:id="2680" w:name="_NAESTMA_TOC_2680"/>
      <w:pPr>
        <w:pStyle w:val="Heading2"/>
        <w:keepNext/>
        <w:widowControl/>
        <w:rPr/>
      </w:pPr>
      <w:r>
        <w:rPr/>
        <w:t>BH-33. Value</w:t>
        <w:noBreakHyphen/>
        <w:t>Add vs. Cost</w:t>
        <w:noBreakHyphen/>
        <w:t>Add</w:t>
      </w:r>
      <w:bookmarkEnd w:id="2680"/>
    </w:p>
    <w:p>
      <w:pPr>
        <w:pStyle w:val="Normal"/>
        <w:widowControl/>
        <w:rPr/>
      </w:pPr>
      <w:r>
        <w:rPr/>
        <w:t>Authorize simplified, transparent and approved RVC calculation methods after modelling impacts instead of mandating a single gross-cost formula.</w:t>
      </w:r>
    </w:p>
    <w:p>
      <w:bookmarkStart w:id="2681" w:name="_NAESTMA_TOC_2681"/>
      <w:pPr>
        <w:pStyle w:val="Heading2"/>
        <w:keepNext/>
        <w:widowControl/>
        <w:rPr/>
      </w:pPr>
      <w:r>
        <w:rPr/>
        <w:t>BH-34. Tooling &amp; Die Credit</w:t>
      </w:r>
      <w:bookmarkEnd w:id="2681"/>
    </w:p>
    <w:p>
      <w:pPr>
        <w:pStyle w:val="Normal"/>
        <w:widowControl/>
        <w:rPr/>
      </w:pPr>
      <w:r>
        <w:rPr/>
        <w:t>Recognize genuine North American tooling, dies and molds at actual attributable value and through strategic-tier qualification, not through value multiplication.</w:t>
      </w:r>
    </w:p>
    <w:p>
      <w:bookmarkStart w:id="2682" w:name="_NAESTMA_TOC_2682"/>
      <w:pPr>
        <w:pStyle w:val="Heading2"/>
        <w:keepNext/>
        <w:widowControl/>
        <w:rPr/>
      </w:pPr>
      <w:r>
        <w:rPr/>
        <w:t>BH-35. Interim Compliance Period</w:t>
      </w:r>
      <w:bookmarkEnd w:id="2682"/>
    </w:p>
    <w:p>
      <w:pPr>
        <w:pStyle w:val="Normal"/>
        <w:widowControl/>
        <w:rPr/>
      </w:pPr>
      <w:r>
        <w:rPr/>
        <w:t>For vehicles in development, the RVC rule applies at the start of production, not when design begins.</w:t>
      </w:r>
    </w:p>
    <w:p>
      <w:bookmarkStart w:id="2683" w:name="_NAESTMA_TOC_2683"/>
      <w:pPr>
        <w:pStyle w:val="Heading2"/>
        <w:keepNext/>
        <w:widowControl/>
        <w:rPr/>
      </w:pPr>
      <w:r>
        <w:rPr/>
        <w:t>BH-36. Sub</w:t>
        <w:noBreakHyphen/>
        <w:t>assembly Averaging</w:t>
      </w:r>
      <w:bookmarkEnd w:id="2683"/>
    </w:p>
    <w:p>
      <w:pPr>
        <w:pStyle w:val="Normal"/>
        <w:widowControl/>
        <w:rPr/>
      </w:pPr>
      <w:r>
        <w:rPr/>
        <w:t>Manufacturers can average RVC across multiple vehicle models produced at the same plant, smoothing compliance.</w:t>
      </w:r>
    </w:p>
    <w:p>
      <w:bookmarkStart w:id="2684" w:name="_NAESTMA_TOC_2684"/>
      <w:pPr>
        <w:pStyle w:val="Heading2"/>
        <w:keepNext/>
        <w:widowControl/>
        <w:rPr/>
      </w:pPr>
      <w:r>
        <w:rPr/>
        <w:t>BH-37. Aftermarket Modification Credit</w:t>
      </w:r>
      <w:bookmarkEnd w:id="2684"/>
    </w:p>
    <w:p>
      <w:pPr>
        <w:pStyle w:val="Normal"/>
        <w:widowControl/>
        <w:rPr/>
      </w:pPr>
      <w:r>
        <w:rPr/>
        <w:t>Vehicles modified in North America (upfitting, upfits) receive additional RVC credit for the value added.</w:t>
      </w:r>
    </w:p>
    <w:p>
      <w:bookmarkStart w:id="2685" w:name="_NAESTMA_TOC_2685"/>
      <w:pPr>
        <w:pStyle w:val="Heading2"/>
        <w:keepNext/>
        <w:widowControl/>
        <w:rPr/>
      </w:pPr>
      <w:r>
        <w:rPr/>
        <w:t>BH-38. Software &amp; IP Inclusion</w:t>
      </w:r>
      <w:bookmarkEnd w:id="2685"/>
    </w:p>
    <w:p>
      <w:pPr>
        <w:pStyle w:val="Normal"/>
        <w:widowControl/>
        <w:rPr/>
      </w:pPr>
      <w:r>
        <w:rPr/>
        <w:t>Embedded software, connectivity modules, and intellectual property royalties paid to North American entities count toward RVC.</w:t>
      </w:r>
    </w:p>
    <w:p>
      <w:bookmarkStart w:id="2686" w:name="_NAESTMA_TOC_2686"/>
      <w:pPr>
        <w:pStyle w:val="Heading2"/>
        <w:keepNext/>
        <w:widowControl/>
        <w:rPr/>
      </w:pPr>
      <w:r>
        <w:rPr/>
        <w:t>BH-39. Emergency Waiver</w:t>
      </w:r>
      <w:bookmarkEnd w:id="2686"/>
    </w:p>
    <w:p>
      <w:pPr>
        <w:pStyle w:val="Normal"/>
        <w:widowControl/>
        <w:rPr/>
      </w:pPr>
      <w:r>
        <w:rPr/>
        <w:t>In case of natural disaster or supply shock, the RVC requirement can be suspended for 60 days for affected parts.</w:t>
      </w:r>
    </w:p>
    <w:p>
      <w:bookmarkStart w:id="2687" w:name="_NAESTMA_TOC_2687"/>
      <w:pPr>
        <w:pStyle w:val="Heading2"/>
        <w:keepNext/>
        <w:widowControl/>
        <w:rPr/>
      </w:pPr>
      <w:r>
        <w:rPr/>
        <w:t>BH-40. Five</w:t>
        <w:noBreakHyphen/>
        <w:t>Year Sunset Review</w:t>
      </w:r>
      <w:bookmarkEnd w:id="2687"/>
    </w:p>
    <w:p>
      <w:pPr>
        <w:pStyle w:val="Normal"/>
        <w:widowControl/>
        <w:rPr/>
      </w:pPr>
      <w:r>
        <w:rPr/>
        <w:t>Review origin rules periodically, but do not automatically lower thresholds merely because capacity growth disappoints; diagnose shortage, underinvestment, infeasibility or non-performance first.</w:t>
      </w:r>
    </w:p>
    <w:p>
      <w:bookmarkStart w:id="2688" w:name="_NAESTMA_TOC_2688"/>
      <w:pPr>
        <w:pStyle w:val="Heading2"/>
        <w:keepNext/>
        <w:widowControl/>
        <w:rPr/>
      </w:pPr>
      <w:r>
        <w:rPr/>
        <w:t>BH-41. North American Semiconductor Reserve</w:t>
      </w:r>
      <w:bookmarkEnd w:id="2688"/>
    </w:p>
    <w:p>
      <w:pPr>
        <w:pStyle w:val="Normal"/>
        <w:widowControl/>
        <w:rPr/>
      </w:pPr>
      <w:r>
        <w:rPr/>
        <w:t>Create a North American semiconductor resilience mechanism combining strategic inventories, reserved foundry capacity, surge contracts and allocation principles rather than relying on a single cash fund.</w:t>
      </w:r>
    </w:p>
    <w:p>
      <w:bookmarkStart w:id="2689" w:name="_NAESTMA_TOC_2689"/>
      <w:pPr>
        <w:pStyle w:val="Heading2"/>
        <w:keepNext/>
        <w:widowControl/>
        <w:rPr/>
      </w:pPr>
      <w:r>
        <w:rPr/>
        <w:t>BH-42. Critical Minerals Pact</w:t>
      </w:r>
      <w:bookmarkEnd w:id="2689"/>
    </w:p>
    <w:p>
      <w:pPr>
        <w:pStyle w:val="Normal"/>
        <w:widowControl/>
        <w:rPr/>
      </w:pPr>
      <w:r>
        <w:rPr/>
        <w:t>Link Canadian, U.S. and Mexican mineral, processing, battery and assembly strengths through flexible investment and offtake cooperation without permanently assigning each country a fixed industrial role or fixed five-year price.</w:t>
      </w:r>
    </w:p>
    <w:p>
      <w:bookmarkStart w:id="2690" w:name="_NAESTMA_TOC_2690"/>
      <w:pPr>
        <w:pStyle w:val="Heading2"/>
        <w:keepNext/>
        <w:widowControl/>
        <w:rPr/>
      </w:pPr>
      <w:r>
        <w:rPr/>
        <w:t>BH-43. Supplier Diversification Bonus</w:t>
      </w:r>
      <w:bookmarkEnd w:id="2690"/>
    </w:p>
    <w:p>
      <w:pPr>
        <w:pStyle w:val="Normal"/>
        <w:widowControl/>
        <w:rPr/>
      </w:pPr>
      <w:r>
        <w:rPr/>
        <w:t>Reward meaningful trilateral participation without requiring exactly 30% of sourcing from each Party. Benefits may reflect verified contributions across all three economies.</w:t>
      </w:r>
    </w:p>
    <w:p>
      <w:bookmarkStart w:id="2691" w:name="_NAESTMA_TOC_2691"/>
      <w:pPr>
        <w:pStyle w:val="Heading2"/>
        <w:keepNext/>
        <w:widowControl/>
        <w:rPr/>
      </w:pPr>
      <w:r>
        <w:rPr/>
        <w:t>BH-44. Shared EV Battery Plant</w:t>
      </w:r>
      <w:bookmarkEnd w:id="2691"/>
    </w:p>
    <w:p>
      <w:pPr>
        <w:pStyle w:val="Normal"/>
        <w:widowControl/>
        <w:rPr/>
      </w:pPr>
      <w:r>
        <w:rPr/>
        <w:t>Support jointly financed or commercially structured battery capacity at strategically selected sites, with fair continental access and competitive ownership rather than mandatory one-third government equity shares.</w:t>
      </w:r>
    </w:p>
    <w:p>
      <w:bookmarkStart w:id="2692" w:name="_NAESTMA_TOC_2692"/>
      <w:pPr>
        <w:pStyle w:val="Heading2"/>
        <w:keepNext/>
        <w:widowControl/>
        <w:rPr/>
      </w:pPr>
      <w:r>
        <w:rPr/>
        <w:t>BH-45. Just</w:t>
        <w:noBreakHyphen/>
        <w:t>in</w:t>
        <w:noBreakHyphen/>
        <w:t>Case Inventory Mandate</w:t>
      </w:r>
      <w:bookmarkEnd w:id="2692"/>
    </w:p>
    <w:p>
      <w:pPr>
        <w:pStyle w:val="Normal"/>
        <w:widowControl/>
        <w:rPr/>
      </w:pPr>
      <w:r>
        <w:rPr/>
        <w:t>Require continuity plans and risk-calibrated inventories for genuinely critical inputs rather than a universal 30-day inventory mandate.</w:t>
      </w:r>
    </w:p>
    <w:p>
      <w:bookmarkStart w:id="2693" w:name="_NAESTMA_TOC_2693"/>
      <w:pPr>
        <w:pStyle w:val="Heading2"/>
        <w:keepNext/>
        <w:widowControl/>
        <w:rPr/>
      </w:pPr>
      <w:r>
        <w:rPr/>
        <w:t>BH-46. Mexican Logistics Hub</w:t>
      </w:r>
      <w:bookmarkEnd w:id="2693"/>
    </w:p>
    <w:p>
      <w:pPr>
        <w:pStyle w:val="Normal"/>
        <w:widowControl/>
        <w:rPr/>
      </w:pPr>
      <w:r>
        <w:rPr/>
        <w:t>Designate a Mexican port (e.g., Manzanillo) as a “North American Auto Gateway” with expedited customs for parts moving north.</w:t>
      </w:r>
    </w:p>
    <w:p>
      <w:bookmarkStart w:id="2694" w:name="_NAESTMA_TOC_2694"/>
      <w:pPr>
        <w:pStyle w:val="Heading2"/>
        <w:keepNext/>
        <w:widowControl/>
        <w:rPr/>
      </w:pPr>
      <w:r>
        <w:rPr/>
        <w:t>BH-47. Canadian Rare Earth Refinery</w:t>
      </w:r>
      <w:bookmarkEnd w:id="2694"/>
    </w:p>
    <w:p>
      <w:pPr>
        <w:pStyle w:val="Normal"/>
        <w:widowControl/>
        <w:rPr/>
      </w:pPr>
      <w:r>
        <w:rPr/>
        <w:t>Canada builds a rare</w:t>
        <w:noBreakHyphen/>
        <w:t>earth processing plant with the United States and Mexican investment, securing magnet supply for EV motors.</w:t>
      </w:r>
    </w:p>
    <w:p>
      <w:bookmarkStart w:id="2695" w:name="_NAESTMA_TOC_2695"/>
      <w:pPr>
        <w:pStyle w:val="Heading2"/>
        <w:keepNext/>
        <w:widowControl/>
        <w:rPr/>
      </w:pPr>
      <w:r>
        <w:rPr/>
        <w:t>BH-48. Joint Procurement of Semiconductors</w:t>
      </w:r>
      <w:bookmarkEnd w:id="2695"/>
    </w:p>
    <w:p>
      <w:pPr>
        <w:pStyle w:val="Normal"/>
        <w:widowControl/>
        <w:rPr/>
      </w:pPr>
      <w:r>
        <w:rPr/>
        <w:t>Permit pooled emergency procurement, capacity reservation and joint demand signalling for semiconductors without creating a government price-setting cartel.</w:t>
      </w:r>
    </w:p>
    <w:p>
      <w:bookmarkStart w:id="2696" w:name="_NAESTMA_TOC_2696"/>
      <w:pPr>
        <w:pStyle w:val="Heading2"/>
        <w:keepNext/>
        <w:widowControl/>
        <w:rPr/>
      </w:pPr>
      <w:r>
        <w:rPr/>
        <w:t>BH-49. Cross</w:t>
        <w:noBreakHyphen/>
        <w:t>Border Trucking Agreement</w:t>
      </w:r>
      <w:bookmarkEnd w:id="2696"/>
    </w:p>
    <w:p>
      <w:pPr>
        <w:pStyle w:val="Normal"/>
        <w:widowControl/>
        <w:rPr/>
      </w:pPr>
      <w:r>
        <w:rPr/>
        <w:t>Harmonize or recognize inspections and border procedures while preserving driver fatigue and hours-of-service protections.</w:t>
      </w:r>
    </w:p>
    <w:p>
      <w:bookmarkStart w:id="2697" w:name="_NAESTMA_TOC_2697"/>
      <w:pPr>
        <w:pStyle w:val="Heading2"/>
        <w:keepNext/>
        <w:widowControl/>
        <w:rPr/>
      </w:pPr>
      <w:r>
        <w:rPr/>
        <w:t>BH-50. Strategic Parts Stockpile</w:t>
      </w:r>
      <w:bookmarkEnd w:id="2697"/>
    </w:p>
    <w:p>
      <w:pPr>
        <w:pStyle w:val="Normal"/>
        <w:widowControl/>
        <w:rPr/>
      </w:pPr>
      <w:r>
        <w:rPr/>
        <w:t>Use distributed OEM, supplier and public reserve arrangements for critical parts according to risk rather than requiring every government to warehouse a fixed sixty-day list.</w:t>
      </w:r>
    </w:p>
    <w:p>
      <w:bookmarkStart w:id="2698" w:name="_NAESTMA_TOC_2698"/>
      <w:pPr>
        <w:pStyle w:val="Heading2"/>
        <w:keepNext/>
        <w:widowControl/>
        <w:rPr/>
      </w:pPr>
      <w:r>
        <w:rPr/>
        <w:t>BH-51. Supplier Matchmaking Platform</w:t>
      </w:r>
      <w:bookmarkEnd w:id="2698"/>
    </w:p>
    <w:p>
      <w:pPr>
        <w:pStyle w:val="Normal"/>
        <w:widowControl/>
        <w:rPr/>
      </w:pPr>
      <w:r>
        <w:rPr/>
        <w:t>A digital portal connects Mexican SME suppliers with the United States and Canadian OEMs, reducing sourcing friction.</w:t>
      </w:r>
    </w:p>
    <w:p>
      <w:bookmarkStart w:id="2699" w:name="_NAESTMA_TOC_2699"/>
      <w:pPr>
        <w:pStyle w:val="Heading2"/>
        <w:keepNext/>
        <w:widowControl/>
        <w:rPr/>
      </w:pPr>
      <w:r>
        <w:rPr/>
        <w:t>BH-52. Rail and Corridor Investment</w:t>
      </w:r>
      <w:bookmarkEnd w:id="2699"/>
    </w:p>
    <w:p>
      <w:pPr>
        <w:pStyle w:val="Normal"/>
        <w:widowControl/>
        <w:rPr/>
      </w:pPr>
      <w:r>
        <w:rPr/>
        <w:t>Jointly fund upgrades to the Kansas City–Mexico City rail line, cutting transit time by 20%.</w:t>
      </w:r>
    </w:p>
    <w:p>
      <w:bookmarkStart w:id="2700" w:name="_NAESTMA_TOC_2700"/>
      <w:pPr>
        <w:pStyle w:val="Heading2"/>
        <w:keepNext/>
        <w:widowControl/>
        <w:rPr/>
      </w:pPr>
      <w:r>
        <w:rPr/>
        <w:t>BH-53. Anti</w:t>
        <w:noBreakHyphen/>
        <w:t>Dumping Cooperation</w:t>
      </w:r>
      <w:bookmarkEnd w:id="2700"/>
    </w:p>
    <w:p>
      <w:pPr>
        <w:pStyle w:val="Normal"/>
        <w:widowControl/>
        <w:rPr/>
      </w:pPr>
      <w:r>
        <w:rPr/>
        <w:t>Coordinate anti-dumping, countervailing-duty, anti-circumvention and trade-defense information while preserving each Party’s lawful investigative authority.</w:t>
      </w:r>
    </w:p>
    <w:p>
      <w:bookmarkStart w:id="2701" w:name="_NAESTMA_TOC_2701"/>
      <w:pPr>
        <w:pStyle w:val="Heading2"/>
        <w:keepNext/>
        <w:widowControl/>
        <w:rPr/>
      </w:pPr>
      <w:r>
        <w:rPr/>
        <w:t>BH-54. Second</w:t>
        <w:noBreakHyphen/>
        <w:t>Tier Supplier Inclusion</w:t>
      </w:r>
      <w:bookmarkEnd w:id="2701"/>
    </w:p>
    <w:p>
      <w:pPr>
        <w:pStyle w:val="Normal"/>
        <w:widowControl/>
        <w:rPr/>
      </w:pPr>
      <w:r>
        <w:rPr/>
        <w:t>Map Tier-2 dependencies and incentivize regional diversification/localization rather than mandating that 50% of all Tier-2 suppliers be localized.</w:t>
      </w:r>
    </w:p>
    <w:p>
      <w:bookmarkStart w:id="2702" w:name="_NAESTMA_TOC_2702"/>
      <w:pPr>
        <w:pStyle w:val="Heading2"/>
        <w:keepNext/>
        <w:widowControl/>
        <w:rPr/>
      </w:pPr>
      <w:r>
        <w:rPr/>
        <w:t>BH-55. Recycling Mandate</w:t>
      </w:r>
      <w:bookmarkEnd w:id="2702"/>
    </w:p>
    <w:p>
      <w:pPr>
        <w:pStyle w:val="Normal"/>
        <w:widowControl/>
        <w:rPr/>
      </w:pPr>
      <w:r>
        <w:rPr/>
        <w:t>Adopt material-specific recycled-content trajectories based on technical feasibility, chemistry and regional recycling capacity rather than one fixed percentage for all batteries.</w:t>
      </w:r>
    </w:p>
    <w:p>
      <w:bookmarkStart w:id="2703" w:name="_NAESTMA_TOC_2703"/>
      <w:pPr>
        <w:pStyle w:val="Heading2"/>
        <w:keepNext/>
        <w:widowControl/>
        <w:rPr/>
      </w:pPr>
      <w:r>
        <w:rPr/>
        <w:t>BH-56. Joint R&amp;D for Substitute Materials</w:t>
      </w:r>
      <w:bookmarkEnd w:id="2703"/>
    </w:p>
    <w:p>
      <w:pPr>
        <w:pStyle w:val="Normal"/>
        <w:widowControl/>
        <w:rPr/>
      </w:pPr>
      <w:r>
        <w:rPr/>
        <w:t>Fund a $1B consortium to find alternatives for scarce materials (e.g., graphite) that can be produced regionally.</w:t>
      </w:r>
    </w:p>
    <w:p>
      <w:bookmarkStart w:id="2704" w:name="_NAESTMA_TOC_2704"/>
      <w:pPr>
        <w:pStyle w:val="Heading2"/>
        <w:keepNext/>
        <w:widowControl/>
        <w:rPr/>
      </w:pPr>
      <w:r>
        <w:rPr/>
        <w:t>BH-57. Shared Warehousing</w:t>
      </w:r>
      <w:bookmarkEnd w:id="2704"/>
    </w:p>
    <w:p>
      <w:pPr>
        <w:pStyle w:val="Normal"/>
        <w:widowControl/>
        <w:rPr/>
      </w:pPr>
      <w:r>
        <w:rPr/>
        <w:t>Support commercially useful shared warehousing and logistics hubs selected by bottleneck and resilience value rather than fixing five sites in treaty text.</w:t>
      </w:r>
    </w:p>
    <w:p>
      <w:bookmarkStart w:id="2705" w:name="_NAESTMA_TOC_2705"/>
      <w:pPr>
        <w:pStyle w:val="Heading2"/>
        <w:keepNext/>
        <w:widowControl/>
        <w:rPr/>
      </w:pPr>
      <w:r>
        <w:rPr/>
        <w:t>BH-58. Emergency Air Bridge</w:t>
      </w:r>
      <w:bookmarkEnd w:id="2705"/>
    </w:p>
    <w:p>
      <w:pPr>
        <w:pStyle w:val="Normal"/>
        <w:widowControl/>
        <w:rPr/>
      </w:pPr>
      <w:r>
        <w:rPr/>
        <w:t>In case of border closures, a pre</w:t>
        <w:noBreakHyphen/>
        <w:t>approved air freight route for auto parts is activated within 24 hours.</w:t>
      </w:r>
    </w:p>
    <w:p>
      <w:bookmarkStart w:id="2706" w:name="_NAESTMA_TOC_2706"/>
      <w:pPr>
        <w:pStyle w:val="Heading2"/>
        <w:keepNext/>
        <w:widowControl/>
        <w:rPr/>
      </w:pPr>
      <w:r>
        <w:rPr/>
        <w:t>BH-59. Supplier Certification Equivalency</w:t>
      </w:r>
      <w:bookmarkEnd w:id="2706"/>
    </w:p>
    <w:p>
      <w:pPr>
        <w:pStyle w:val="Normal"/>
        <w:widowControl/>
        <w:rPr/>
      </w:pPr>
      <w:r>
        <w:rPr/>
        <w:t>Recognize equivalent accredited supplier certifications and conformity assessments where standards are demonstrably comparable.</w:t>
      </w:r>
    </w:p>
    <w:p>
      <w:bookmarkStart w:id="2707" w:name="_NAESTMA_TOC_2707"/>
      <w:pPr>
        <w:pStyle w:val="Heading2"/>
        <w:keepNext/>
        <w:widowControl/>
        <w:rPr/>
      </w:pPr>
      <w:r>
        <w:rPr/>
        <w:t>BH-60. Inventory Data Sharing</w:t>
      </w:r>
      <w:bookmarkEnd w:id="2707"/>
    </w:p>
    <w:p>
      <w:pPr>
        <w:pStyle w:val="Normal"/>
        <w:widowControl/>
        <w:rPr/>
      </w:pPr>
      <w:r>
        <w:rPr/>
        <w:t>Use aggregate, protected, minimum-necessary inventory and shortage data rather than continuous disclosure of commercially sensitive real-time inventory to governments.</w:t>
      </w:r>
    </w:p>
    <w:p>
      <w:bookmarkStart w:id="2708" w:name="_NAESTMA_TOC_2708"/>
      <w:pPr>
        <w:pStyle w:val="Heading2"/>
        <w:keepNext/>
        <w:widowControl/>
        <w:rPr/>
      </w:pPr>
      <w:r>
        <w:rPr/>
        <w:t>BH-61. EV Production Tax Credit Portability</w:t>
      </w:r>
      <w:bookmarkEnd w:id="2708"/>
    </w:p>
    <w:p>
      <w:pPr>
        <w:pStyle w:val="Normal"/>
        <w:widowControl/>
        <w:rPr/>
      </w:pPr>
      <w:r>
        <w:rPr/>
        <w:t>Where a Party offers consumer or fleet incentives for qualifying vehicles, do not exclude an otherwise eligible North American vehicle solely because final assembly occurred in another Party, subject to equivalent substantive sourcing and performance conditions.</w:t>
      </w:r>
    </w:p>
    <w:p>
      <w:bookmarkStart w:id="2709" w:name="_NAESTMA_TOC_2709"/>
      <w:pPr>
        <w:pStyle w:val="Heading2"/>
        <w:keepNext/>
        <w:widowControl/>
        <w:rPr/>
      </w:pPr>
      <w:r>
        <w:rPr/>
        <w:t>BH-62. Mexican Investment Matching</w:t>
      </w:r>
      <w:bookmarkEnd w:id="2709"/>
    </w:p>
    <w:p>
      <w:pPr>
        <w:pStyle w:val="Normal"/>
        <w:widowControl/>
        <w:rPr/>
      </w:pPr>
      <w:r>
        <w:rPr/>
        <w:t>Permit Mexico and the other Parties to co-invest in strategic auto projects using transparent, performance-based national programs rather than mandatory matching of 50% of foreign investment.</w:t>
      </w:r>
    </w:p>
    <w:p>
      <w:bookmarkStart w:id="2710" w:name="_NAESTMA_TOC_2710"/>
      <w:pPr>
        <w:pStyle w:val="Heading2"/>
        <w:keepNext/>
        <w:widowControl/>
        <w:rPr/>
      </w:pPr>
      <w:r>
        <w:rPr/>
        <w:t>BH-63. Canadian Retooling Fund</w:t>
      </w:r>
      <w:bookmarkEnd w:id="2710"/>
    </w:p>
    <w:p>
      <w:pPr>
        <w:pStyle w:val="Normal"/>
        <w:widowControl/>
        <w:rPr/>
      </w:pPr>
      <w:r>
        <w:rPr/>
        <w:t>Canada offers $4B in low</w:t>
        <w:noBreakHyphen/>
        <w:t>interest loans to retool plants for EV production, available to the United States and Mexican firms.</w:t>
      </w:r>
    </w:p>
    <w:p>
      <w:bookmarkStart w:id="2711" w:name="_NAESTMA_TOC_2711"/>
      <w:pPr>
        <w:pStyle w:val="Heading2"/>
        <w:keepNext/>
        <w:widowControl/>
        <w:rPr/>
      </w:pPr>
      <w:r>
        <w:rPr/>
        <w:t>BH-64. Shared Depreciation Rates</w:t>
      </w:r>
      <w:bookmarkEnd w:id="2711"/>
    </w:p>
    <w:p>
      <w:pPr>
        <w:pStyle w:val="Normal"/>
        <w:widowControl/>
        <w:rPr/>
      </w:pPr>
      <w:r>
        <w:rPr/>
        <w:t>Coordinate accelerated depreciation or expensing objectives where useful without requiring identical tax codes.</w:t>
      </w:r>
    </w:p>
    <w:p>
      <w:bookmarkStart w:id="2712" w:name="_NAESTMA_TOC_2712"/>
      <w:pPr>
        <w:pStyle w:val="Heading2"/>
        <w:keepNext/>
        <w:widowControl/>
        <w:rPr/>
      </w:pPr>
      <w:r>
        <w:rPr/>
        <w:t>BH-65. Green Energy Subsidy Harmonization</w:t>
      </w:r>
      <w:bookmarkEnd w:id="2712"/>
    </w:p>
    <w:p>
      <w:pPr>
        <w:pStyle w:val="Normal"/>
        <w:widowControl/>
        <w:rPr/>
      </w:pPr>
      <w:r>
        <w:rPr/>
        <w:t>Pursue clean-energy incentive compatibility, transparency and reciprocal eligibility without forcing identical subsidy structures.</w:t>
      </w:r>
    </w:p>
    <w:p>
      <w:bookmarkStart w:id="2713" w:name="_NAESTMA_TOC_2713"/>
      <w:pPr>
        <w:pStyle w:val="Heading2"/>
        <w:keepNext/>
        <w:widowControl/>
        <w:rPr/>
      </w:pPr>
      <w:r>
        <w:rPr/>
        <w:t>BH-66. Border Zone Investment Credit</w:t>
      </w:r>
      <w:bookmarkEnd w:id="2713"/>
    </w:p>
    <w:p>
      <w:pPr>
        <w:pStyle w:val="Normal"/>
        <w:widowControl/>
        <w:rPr/>
      </w:pPr>
      <w:r>
        <w:rPr/>
        <w:t>Replace border-distance tax credits with Strategic Auto Corridor incentives based on logistics value, regional development and supply-chain need.</w:t>
      </w:r>
    </w:p>
    <w:p>
      <w:bookmarkStart w:id="2714" w:name="_NAESTMA_TOC_2714"/>
      <w:pPr>
        <w:pStyle w:val="Heading2"/>
        <w:keepNext/>
        <w:widowControl/>
        <w:rPr/>
      </w:pPr>
      <w:r>
        <w:rPr/>
        <w:t>BH-67. Worker Training Tax Credit</w:t>
      </w:r>
      <w:bookmarkEnd w:id="2714"/>
    </w:p>
    <w:p>
      <w:pPr>
        <w:pStyle w:val="Normal"/>
        <w:widowControl/>
        <w:rPr/>
      </w:pPr>
      <w:r>
        <w:rPr/>
        <w:t>Companies that train workers in advanced manufacturing (EV, AI, robotics) get a $5,000 credit per worker, honored by all three.</w:t>
      </w:r>
    </w:p>
    <w:p>
      <w:bookmarkStart w:id="2715" w:name="_NAESTMA_TOC_2715"/>
      <w:pPr>
        <w:pStyle w:val="Heading2"/>
        <w:keepNext/>
        <w:widowControl/>
        <w:rPr/>
      </w:pPr>
      <w:r>
        <w:rPr/>
        <w:t>BH-68. Joint SOE Rules</w:t>
      </w:r>
      <w:bookmarkEnd w:id="2715"/>
    </w:p>
    <w:p>
      <w:pPr>
        <w:pStyle w:val="Normal"/>
        <w:widowControl/>
        <w:rPr/>
      </w:pPr>
      <w:r>
        <w:rPr/>
        <w:t>Apply enhanced review to investments presenting state-control, subsidy, coercion, national-security or market-distortion risks while preserving fair treatment of trusted private investment.</w:t>
      </w:r>
    </w:p>
    <w:p>
      <w:bookmarkStart w:id="2716" w:name="_NAESTMA_TOC_2716"/>
      <w:pPr>
        <w:pStyle w:val="Heading2"/>
        <w:keepNext/>
        <w:widowControl/>
        <w:rPr/>
      </w:pPr>
      <w:r>
        <w:rPr/>
        <w:t>BH-69. Mobility R&amp;D Corridor</w:t>
      </w:r>
      <w:bookmarkEnd w:id="2716"/>
    </w:p>
    <w:p>
      <w:pPr>
        <w:pStyle w:val="Normal"/>
        <w:widowControl/>
        <w:rPr/>
      </w:pPr>
      <w:r>
        <w:rPr/>
        <w:t>Designate a corridor from Detroit to Monterrey as a “Mobility Innovation Zone” with pooled R&amp;D funds and shared IP rules.</w:t>
      </w:r>
    </w:p>
    <w:p>
      <w:bookmarkStart w:id="2717" w:name="_NAESTMA_TOC_2717"/>
      <w:pPr>
        <w:pStyle w:val="Heading2"/>
        <w:keepNext/>
        <w:widowControl/>
        <w:rPr/>
      </w:pPr>
      <w:r>
        <w:rPr/>
        <w:t>BH-70. Production Floor Commitment</w:t>
      </w:r>
      <w:bookmarkEnd w:id="2717"/>
    </w:p>
    <w:p>
      <w:pPr>
        <w:pStyle w:val="Normal"/>
        <w:widowControl/>
        <w:rPr/>
      </w:pPr>
      <w:r>
        <w:rPr/>
        <w:t>Use capacity, investment and employment-stability commitments instead of requiring every automaker to increase production in every country by 2% every year.</w:t>
      </w:r>
    </w:p>
    <w:p>
      <w:bookmarkStart w:id="2718" w:name="_NAESTMA_TOC_2718"/>
      <w:pPr>
        <w:pStyle w:val="Heading2"/>
        <w:keepNext/>
        <w:widowControl/>
        <w:rPr/>
      </w:pPr>
      <w:r>
        <w:rPr/>
        <w:t>BH-71. Mexican Auto Supplier Park</w:t>
      </w:r>
      <w:bookmarkEnd w:id="2718"/>
    </w:p>
    <w:p>
      <w:pPr>
        <w:pStyle w:val="Normal"/>
        <w:widowControl/>
        <w:rPr/>
      </w:pPr>
      <w:r>
        <w:rPr/>
        <w:t>Develop a dedicated supplier park in central Mexico with the United States and Canadian anchor investors, lowering logistics costs.</w:t>
      </w:r>
    </w:p>
    <w:p>
      <w:bookmarkStart w:id="2719" w:name="_NAESTMA_TOC_2719"/>
      <w:pPr>
        <w:pStyle w:val="Heading2"/>
        <w:keepNext/>
        <w:widowControl/>
        <w:rPr/>
      </w:pPr>
      <w:r>
        <w:rPr/>
        <w:t>BH-72. Canadian Innovation Voucher</w:t>
      </w:r>
      <w:bookmarkEnd w:id="2719"/>
    </w:p>
    <w:p>
      <w:pPr>
        <w:pStyle w:val="Normal"/>
        <w:widowControl/>
        <w:rPr/>
      </w:pPr>
      <w:r>
        <w:rPr/>
        <w:t>Canadian government issues vouchers for EV startups that can be used for cross</w:t>
        <w:noBreakHyphen/>
        <w:t>border supplier contracts.</w:t>
      </w:r>
    </w:p>
    <w:p>
      <w:bookmarkStart w:id="2720" w:name="_NAESTMA_TOC_2720"/>
      <w:pPr>
        <w:pStyle w:val="Heading2"/>
        <w:keepNext/>
        <w:widowControl/>
        <w:rPr/>
      </w:pPr>
      <w:r>
        <w:rPr/>
        <w:t>BH-73. Tax Equalization Mechanism</w:t>
      </w:r>
      <w:bookmarkEnd w:id="2720"/>
    </w:p>
    <w:p>
      <w:pPr>
        <w:pStyle w:val="Normal"/>
        <w:widowControl/>
        <w:rPr/>
      </w:pPr>
      <w:r>
        <w:rPr/>
        <w:t>Address subsidy and tax races through transparency, consultation and existing minimum-tax architecture rather than inventing an auto-only corporate tax treaty.</w:t>
      </w:r>
    </w:p>
    <w:p>
      <w:bookmarkStart w:id="2721" w:name="_NAESTMA_TOC_2721"/>
      <w:pPr>
        <w:pStyle w:val="Heading2"/>
        <w:keepNext/>
        <w:widowControl/>
        <w:rPr/>
      </w:pPr>
      <w:r>
        <w:rPr/>
        <w:t>BH-74. Plant Repatriation Bonus</w:t>
      </w:r>
      <w:bookmarkEnd w:id="2721"/>
    </w:p>
    <w:p>
      <w:pPr>
        <w:pStyle w:val="Normal"/>
        <w:widowControl/>
        <w:rPr/>
      </w:pPr>
      <w:r>
        <w:rPr/>
        <w:t>Use capped, performance-based reshoring incentives linked to verified capital investment, wages, duration and net job creation rather than an uncapped per-job grant.</w:t>
      </w:r>
    </w:p>
    <w:p>
      <w:bookmarkStart w:id="2722" w:name="_NAESTMA_TOC_2722"/>
      <w:pPr>
        <w:pStyle w:val="Heading2"/>
        <w:keepNext/>
        <w:widowControl/>
        <w:rPr/>
      </w:pPr>
      <w:r>
        <w:rPr/>
        <w:t>BH-75. Joint Venture for Autonomous Tech</w:t>
      </w:r>
      <w:bookmarkEnd w:id="2722"/>
    </w:p>
    <w:p>
      <w:pPr>
        <w:pStyle w:val="Normal"/>
        <w:widowControl/>
        <w:rPr/>
      </w:pPr>
      <w:r>
        <w:rPr/>
        <w:t>Create a trilateral autonomous vehicle testing corridor (from Vancouver to Mexico City) with shared liability and insurance rules.</w:t>
      </w:r>
    </w:p>
    <w:p>
      <w:bookmarkStart w:id="2723" w:name="_NAESTMA_TOC_2723"/>
      <w:pPr>
        <w:pStyle w:val="Heading2"/>
        <w:keepNext/>
        <w:widowControl/>
        <w:rPr/>
      </w:pPr>
      <w:r>
        <w:rPr/>
        <w:t>BH-76. Infrastructure Deduction</w:t>
      </w:r>
      <w:bookmarkEnd w:id="2723"/>
    </w:p>
    <w:p>
      <w:pPr>
        <w:pStyle w:val="Normal"/>
        <w:widowControl/>
        <w:rPr/>
      </w:pPr>
      <w:r>
        <w:rPr/>
        <w:t>Encourage national tax or grant incentives for charging, hydrogen and smart-road infrastructure under reciprocal eligibility principles; do not prescribe a uniform 150% deduction.</w:t>
      </w:r>
    </w:p>
    <w:p>
      <w:bookmarkStart w:id="2724" w:name="_NAESTMA_TOC_2724"/>
      <w:pPr>
        <w:pStyle w:val="Heading2"/>
        <w:keepNext/>
        <w:widowControl/>
        <w:rPr/>
      </w:pPr>
      <w:r>
        <w:rPr/>
        <w:t>BH-77. Local Content Investment Credits</w:t>
      </w:r>
      <w:bookmarkEnd w:id="2724"/>
    </w:p>
    <w:p>
      <w:pPr>
        <w:pStyle w:val="Normal"/>
        <w:widowControl/>
        <w:rPr/>
      </w:pPr>
      <w:r>
        <w:rPr/>
        <w:t>Merge above-threshold local-content incentives into the 80% and 85% tiers rather than layering another percentage-credit schedule.</w:t>
      </w:r>
    </w:p>
    <w:p>
      <w:bookmarkStart w:id="2725" w:name="_NAESTMA_TOC_2725"/>
      <w:pPr>
        <w:pStyle w:val="Heading2"/>
        <w:keepNext/>
        <w:widowControl/>
        <w:rPr/>
      </w:pPr>
      <w:r>
        <w:rPr/>
        <w:t>BH-78. Technology Transfer Facilitation</w:t>
      </w:r>
      <w:bookmarkEnd w:id="2725"/>
    </w:p>
    <w:p>
      <w:pPr>
        <w:pStyle w:val="Normal"/>
        <w:widowControl/>
        <w:rPr/>
      </w:pPr>
      <w:r>
        <w:rPr/>
        <w:t>Support voluntary licensing, joint R&amp;D, patent pools and commercialization incentives; no firm is required to transfer patents at reduced royalties as a condition of market access.</w:t>
      </w:r>
    </w:p>
    <w:p>
      <w:bookmarkStart w:id="2726" w:name="_NAESTMA_TOC_2726"/>
      <w:pPr>
        <w:pStyle w:val="Heading2"/>
        <w:keepNext/>
        <w:widowControl/>
        <w:rPr/>
      </w:pPr>
      <w:r>
        <w:rPr/>
        <w:t>BH-79. Community Benefit Agreements</w:t>
      </w:r>
      <w:bookmarkEnd w:id="2726"/>
    </w:p>
    <w:p>
      <w:pPr>
        <w:pStyle w:val="Normal"/>
        <w:widowControl/>
        <w:rPr/>
      </w:pPr>
      <w:r>
        <w:rPr/>
        <w:t>Large auto investments require local hiring and community development plans, monitored by a trilateral council.</w:t>
      </w:r>
    </w:p>
    <w:p>
      <w:bookmarkStart w:id="2727" w:name="_NAESTMA_TOC_2727"/>
      <w:pPr>
        <w:pStyle w:val="Heading2"/>
        <w:keepNext/>
        <w:widowControl/>
        <w:rPr/>
      </w:pPr>
      <w:r>
        <w:rPr/>
        <w:t>BH-80. Emergency Investment Protection</w:t>
      </w:r>
      <w:bookmarkEnd w:id="2727"/>
    </w:p>
    <w:p>
      <w:pPr>
        <w:pStyle w:val="Normal"/>
        <w:widowControl/>
        <w:rPr/>
      </w:pPr>
      <w:r>
        <w:rPr/>
        <w:t>Preserve non-discrimination, due process and compensation for expropriation while retaining each Party’s legitimate authority to tax and regulate in a non-discriminatory manner.</w:t>
      </w:r>
    </w:p>
    <w:p>
      <w:bookmarkStart w:id="2728" w:name="_NAESTMA_TOC_2728"/>
      <w:pPr>
        <w:pStyle w:val="Heading2"/>
        <w:keepNext/>
        <w:widowControl/>
        <w:rPr/>
      </w:pPr>
      <w:r>
        <w:rPr/>
        <w:t>BH-81. Wage Alignment Fund</w:t>
      </w:r>
      <w:bookmarkEnd w:id="2728"/>
    </w:p>
    <w:p>
      <w:pPr>
        <w:pStyle w:val="Normal"/>
        <w:widowControl/>
        <w:rPr/>
      </w:pPr>
      <w:r>
        <w:rPr/>
        <w:t>Create a Mexican Auto Wage Convergence and Productivity Track based on enforceable labour rights, collective bargaining, training and productivity rather than a treaty-imposed wage and foreign-funded wage subsidy.</w:t>
      </w:r>
    </w:p>
    <w:p>
      <w:bookmarkStart w:id="2729" w:name="_NAESTMA_TOC_2729"/>
      <w:pPr>
        <w:pStyle w:val="Heading2"/>
        <w:keepNext/>
        <w:widowControl/>
        <w:rPr/>
      </w:pPr>
      <w:r>
        <w:rPr/>
        <w:t>BH-82. Rapid Response Mechanism Extension</w:t>
      </w:r>
      <w:bookmarkEnd w:id="2729"/>
    </w:p>
    <w:p>
      <w:pPr>
        <w:pStyle w:val="Normal"/>
        <w:widowControl/>
        <w:rPr/>
      </w:pPr>
      <w:r>
        <w:rPr/>
        <w:t>Use and strengthen existing rapid-response labour mechanisms with due-process safeguards rather than creating duplicative plant-by-plant arbitration machinery.</w:t>
      </w:r>
    </w:p>
    <w:p>
      <w:bookmarkStart w:id="2730" w:name="_NAESTMA_TOC_2730"/>
      <w:pPr>
        <w:pStyle w:val="Heading2"/>
        <w:keepNext/>
        <w:widowControl/>
        <w:rPr/>
      </w:pPr>
      <w:r>
        <w:rPr/>
        <w:t>BH-83. Union Access Guarantee</w:t>
      </w:r>
      <w:bookmarkEnd w:id="2730"/>
    </w:p>
    <w:p>
      <w:pPr>
        <w:pStyle w:val="Normal"/>
        <w:widowControl/>
        <w:rPr/>
      </w:pPr>
      <w:r>
        <w:rPr/>
        <w:t>Guarantee applicable organizing and collective-bargaining rights through existing labour institutions and designated contact points rather than a new permanent ombudsperson.</w:t>
      </w:r>
    </w:p>
    <w:p>
      <w:bookmarkStart w:id="2731" w:name="_NAESTMA_TOC_2731"/>
      <w:pPr>
        <w:pStyle w:val="Heading2"/>
        <w:keepNext/>
        <w:widowControl/>
        <w:rPr/>
      </w:pPr>
      <w:r>
        <w:rPr/>
        <w:t>BH-84. Apprenticeship Exchange</w:t>
      </w:r>
      <w:bookmarkEnd w:id="2731"/>
    </w:p>
    <w:p>
      <w:pPr>
        <w:pStyle w:val="Normal"/>
        <w:widowControl/>
        <w:rPr/>
      </w:pPr>
      <w:r>
        <w:rPr/>
        <w:t>1,000 Mexican apprentices per year train in Canadian/the United States EV facilities, and vice versa in lean manufacturing.</w:t>
      </w:r>
    </w:p>
    <w:p>
      <w:bookmarkStart w:id="2732" w:name="_NAESTMA_TOC_2732"/>
      <w:pPr>
        <w:pStyle w:val="Heading2"/>
        <w:keepNext/>
        <w:widowControl/>
        <w:rPr/>
      </w:pPr>
      <w:r>
        <w:rPr/>
        <w:t>BH-85. Gender Parity Incentive</w:t>
      </w:r>
      <w:bookmarkEnd w:id="2732"/>
    </w:p>
    <w:p>
      <w:pPr>
        <w:pStyle w:val="Normal"/>
        <w:widowControl/>
        <w:rPr/>
      </w:pPr>
      <w:r>
        <w:rPr/>
        <w:t>Promote women’s participation in advanced automotive manufacturing through training, recruitment, childcare/barrier reduction and voluntary performance incentives rather than tariff discounts based on workforce demographics.</w:t>
      </w:r>
    </w:p>
    <w:p>
      <w:bookmarkStart w:id="2733" w:name="_NAESTMA_TOC_2733"/>
      <w:pPr>
        <w:pStyle w:val="Heading2"/>
        <w:keepNext/>
        <w:widowControl/>
        <w:rPr/>
      </w:pPr>
      <w:r>
        <w:rPr/>
        <w:t>BH-86. Child Labor Zero Tolerance</w:t>
      </w:r>
      <w:bookmarkEnd w:id="2733"/>
    </w:p>
    <w:p>
      <w:pPr>
        <w:pStyle w:val="Normal"/>
        <w:widowControl/>
        <w:rPr/>
      </w:pPr>
      <w:r>
        <w:rPr/>
        <w:t>Maintain zero tolerance for child labour through traceability, remediation and proportionate penalties while protecting affected children; no arbitrary flat fine is mandated.</w:t>
      </w:r>
    </w:p>
    <w:p>
      <w:bookmarkStart w:id="2734" w:name="_NAESTMA_TOC_2734"/>
      <w:pPr>
        <w:pStyle w:val="Heading2"/>
        <w:keepNext/>
        <w:widowControl/>
        <w:rPr/>
      </w:pPr>
      <w:r>
        <w:rPr/>
        <w:t>BH-87. Portable Seniority</w:t>
      </w:r>
      <w:bookmarkEnd w:id="2734"/>
    </w:p>
    <w:p>
      <w:pPr>
        <w:pStyle w:val="Normal"/>
        <w:widowControl/>
        <w:rPr/>
      </w:pPr>
      <w:r>
        <w:rPr/>
        <w:t>Promote portable skills, recognized credentials and pension/benefit coordination where legally feasible rather than attempting to make employer seniority automatically portable across borders.</w:t>
      </w:r>
    </w:p>
    <w:p>
      <w:bookmarkStart w:id="2735" w:name="_NAESTMA_TOC_2735"/>
      <w:pPr>
        <w:pStyle w:val="Heading2"/>
        <w:keepNext/>
        <w:widowControl/>
        <w:rPr/>
      </w:pPr>
      <w:r>
        <w:rPr/>
        <w:t>BH-88. Joint Health &amp; Safety Standards</w:t>
      </w:r>
      <w:bookmarkEnd w:id="2735"/>
    </w:p>
    <w:p>
      <w:pPr>
        <w:pStyle w:val="Normal"/>
        <w:widowControl/>
        <w:rPr/>
      </w:pPr>
      <w:r>
        <w:rPr/>
        <w:t>Pursue high-standard occupational safety equivalence and mutual recognition where outcomes are comparable rather than mechanically adopting the strictest rule from each jurisdiction.</w:t>
      </w:r>
    </w:p>
    <w:p>
      <w:bookmarkStart w:id="2736" w:name="_NAESTMA_TOC_2736"/>
      <w:pPr>
        <w:pStyle w:val="Heading2"/>
        <w:keepNext/>
        <w:widowControl/>
        <w:rPr/>
      </w:pPr>
      <w:r>
        <w:rPr/>
        <w:t>BH-90. Labor Attaché Network</w:t>
      </w:r>
      <w:bookmarkEnd w:id="2736"/>
    </w:p>
    <w:p>
      <w:pPr>
        <w:pStyle w:val="Normal"/>
        <w:widowControl/>
        <w:rPr/>
      </w:pPr>
      <w:r>
        <w:rPr/>
        <w:t>Use existing embassies, ministries and designated labour contact points for rapid informal resolution rather than creating a new labour-attaché bureaucracy.</w:t>
      </w:r>
    </w:p>
    <w:p>
      <w:bookmarkStart w:id="2737" w:name="_NAESTMA_TOC_2737"/>
      <w:pPr>
        <w:pStyle w:val="Heading2"/>
        <w:keepNext/>
        <w:widowControl/>
        <w:rPr/>
      </w:pPr>
      <w:r>
        <w:rPr/>
        <w:t>BH-91. Harmonized CO₂ Standards</w:t>
      </w:r>
      <w:bookmarkEnd w:id="2737"/>
    </w:p>
    <w:p>
      <w:pPr>
        <w:pStyle w:val="Normal"/>
        <w:widowControl/>
        <w:rPr/>
      </w:pPr>
      <w:r>
        <w:rPr/>
        <w:t>Pursue interoperable heavy- and light-vehicle emissions trajectories and credit recognition where lawful, with periodic technical updates rather than a frozen fleet-average number.</w:t>
      </w:r>
    </w:p>
    <w:p>
      <w:bookmarkStart w:id="2738" w:name="_NAESTMA_TOC_2738"/>
      <w:pPr>
        <w:pStyle w:val="Heading2"/>
        <w:keepNext/>
        <w:widowControl/>
        <w:rPr/>
      </w:pPr>
      <w:r>
        <w:rPr/>
        <w:t>BH-92. EV Charging Corridor Fund</w:t>
      </w:r>
      <w:bookmarkEnd w:id="2738"/>
    </w:p>
    <w:p>
      <w:pPr>
        <w:pStyle w:val="Normal"/>
        <w:widowControl/>
        <w:rPr/>
      </w:pPr>
      <w:r>
        <w:rPr/>
        <w:t>Jointly invest $2B in charging infrastructure along major highways, enabling cross</w:t>
        <w:noBreakHyphen/>
        <w:t>border EV travel seamlessly.</w:t>
      </w:r>
    </w:p>
    <w:p>
      <w:bookmarkStart w:id="2739" w:name="_NAESTMA_TOC_2739"/>
      <w:pPr>
        <w:pStyle w:val="Heading2"/>
        <w:keepNext/>
        <w:widowControl/>
        <w:rPr/>
      </w:pPr>
      <w:r>
        <w:rPr/>
        <w:t>BH-93. Battery Passport System</w:t>
      </w:r>
      <w:bookmarkEnd w:id="2739"/>
    </w:p>
    <w:p>
      <w:pPr>
        <w:pStyle w:val="Normal"/>
        <w:widowControl/>
        <w:rPr/>
      </w:pPr>
      <w:r>
        <w:rPr/>
        <w:t>A shared digital battery passport tracks lifecycle emissions, allowing automakers to earn carbon credits across borders.</w:t>
      </w:r>
    </w:p>
    <w:p>
      <w:bookmarkStart w:id="2740" w:name="_NAESTMA_TOC_2740"/>
      <w:pPr>
        <w:pStyle w:val="Heading2"/>
        <w:keepNext/>
        <w:widowControl/>
        <w:rPr/>
      </w:pPr>
      <w:r>
        <w:rPr/>
        <w:t>BH-94. Zero</w:t>
        <w:noBreakHyphen/>
        <w:t>Emission Vehicle Mandate Alignment</w:t>
      </w:r>
      <w:bookmarkEnd w:id="2740"/>
    </w:p>
    <w:p>
      <w:pPr>
        <w:pStyle w:val="Normal"/>
        <w:widowControl/>
        <w:rPr/>
      </w:pPr>
      <w:r>
        <w:rPr/>
        <w:t>Align zero-emission vehicle policy through interoperable standards, credits and infrastructure where useful rather than requiring identical sales mandates and dates.</w:t>
      </w:r>
    </w:p>
    <w:p>
      <w:bookmarkStart w:id="2741" w:name="_NAESTMA_TOC_2741"/>
      <w:pPr>
        <w:pStyle w:val="Heading2"/>
        <w:keepNext/>
        <w:widowControl/>
        <w:rPr/>
      </w:pPr>
      <w:r>
        <w:rPr/>
        <w:t>BH-95. Environmental Remediation Fund</w:t>
      </w:r>
      <w:bookmarkEnd w:id="2741"/>
    </w:p>
    <w:p>
      <w:pPr>
        <w:pStyle w:val="Normal"/>
        <w:widowControl/>
        <w:rPr/>
      </w:pPr>
      <w:r>
        <w:rPr/>
        <w:t>Use polluter-pays liability, targeted remediation agreements and project-specific contributions for legacy contamination rather than a blanket vehicle-value levy.</w:t>
      </w:r>
    </w:p>
    <w:p>
      <w:bookmarkStart w:id="2742" w:name="_NAESTMA_TOC_2742"/>
      <w:pPr>
        <w:pStyle w:val="Heading2"/>
        <w:keepNext/>
        <w:widowControl/>
        <w:rPr/>
      </w:pPr>
      <w:r>
        <w:rPr/>
        <w:t>BH-96. Circular Economy Initiative</w:t>
      </w:r>
      <w:bookmarkEnd w:id="2742"/>
    </w:p>
    <w:p>
      <w:pPr>
        <w:pStyle w:val="Normal"/>
        <w:widowControl/>
        <w:rPr/>
      </w:pPr>
      <w:r>
        <w:rPr/>
        <w:t>Require 20% of interior plastics to be recycled or bio</w:t>
        <w:noBreakHyphen/>
        <w:t>based by 2030, with joint certification standards.</w:t>
      </w:r>
    </w:p>
    <w:p>
      <w:bookmarkStart w:id="2743" w:name="_NAESTMA_TOC_2743"/>
      <w:pPr>
        <w:pStyle w:val="Heading2"/>
        <w:keepNext/>
        <w:widowControl/>
        <w:rPr/>
      </w:pPr>
      <w:r>
        <w:rPr/>
        <w:t>BH-97. Auto</w:t>
        <w:noBreakHyphen/>
        <w:t>Specific Tribunal</w:t>
      </w:r>
      <w:bookmarkEnd w:id="2743"/>
    </w:p>
    <w:p>
      <w:pPr>
        <w:pStyle w:val="Normal"/>
        <w:widowControl/>
        <w:rPr/>
      </w:pPr>
      <w:r>
        <w:rPr/>
        <w:t>Use an expedited Automotive Cothrom Track and temporary technical expert rosters instead of a permanent auto-specific tribunal.</w:t>
      </w:r>
    </w:p>
    <w:p>
      <w:bookmarkStart w:id="2744" w:name="_NAESTMA_TOC_2744"/>
      <w:pPr>
        <w:pStyle w:val="Heading2"/>
        <w:keepNext/>
        <w:widowControl/>
        <w:rPr/>
      </w:pPr>
      <w:r>
        <w:rPr/>
        <w:t>BH-98. Early Warning System</w:t>
      </w:r>
      <w:bookmarkEnd w:id="2744"/>
    </w:p>
    <w:p>
      <w:pPr>
        <w:pStyle w:val="Normal"/>
        <w:widowControl/>
        <w:rPr/>
      </w:pPr>
      <w:r>
        <w:rPr/>
        <w:t>Use multi-factor early-warning indicators, including volume, price, capacity use, employment, margins, diversion and transshipment. Import growth alone does not establish injury.</w:t>
      </w:r>
    </w:p>
    <w:p>
      <w:bookmarkStart w:id="2745" w:name="_NAESTMA_TOC_2745"/>
      <w:pPr>
        <w:pStyle w:val="Heading2"/>
        <w:keepNext/>
        <w:widowControl/>
        <w:rPr/>
      </w:pPr>
      <w:r>
        <w:rPr/>
        <w:t>BH-99. Political Escalation Clause</w:t>
      </w:r>
      <w:bookmarkEnd w:id="2745"/>
    </w:p>
    <w:p>
      <w:pPr>
        <w:pStyle w:val="Normal"/>
        <w:widowControl/>
        <w:rPr/>
      </w:pPr>
      <w:r>
        <w:rPr/>
        <w:t>Require notice, verification and a meaningful cure or mediation opportunity before proportional retaliation except where a genuine emergency makes delay impracticable.</w:t>
      </w:r>
    </w:p>
    <w:p>
      <w:bookmarkStart w:id="2746" w:name="_NAESTMA_TOC_2746"/>
      <w:pPr>
        <w:pStyle w:val="Heading2"/>
        <w:keepNext/>
        <w:widowControl/>
        <w:rPr/>
      </w:pPr>
      <w:r>
        <w:rPr/>
        <w:t>BH-100. 10</w:t>
        <w:noBreakHyphen/>
        <w:t>Year Stability Charter</w:t>
      </w:r>
      <w:bookmarkEnd w:id="2746"/>
    </w:p>
    <w:p>
      <w:pPr>
        <w:pStyle w:val="Normal"/>
        <w:widowControl/>
        <w:rPr/>
      </w:pPr>
      <w:r>
        <w:rPr/>
        <w:t>Create a binding or operational Automotive Stability Guarantee with scheduled review, emergency exceptions and No-Fade/step-back protection rather than relying only on a non-binding charter.</w:t>
      </w:r>
    </w:p>
    <w:p>
      <w:bookmarkStart w:id="2747" w:name="_NAESTMA_TOC_2747"/>
      <w:pPr>
        <w:pStyle w:val="Heading1"/>
        <w:keepNext/>
        <w:pageBreakBefore/>
        <w:widowControl/>
        <w:rPr/>
      </w:pPr>
      <w:r>
        <w:rPr/>
        <w:t>PACKAGE BI — MEDIUM- AND HEAVY-DUTY VEHICLE INTEGRATION TRACK</w:t>
      </w:r>
      <w:bookmarkEnd w:id="2747"/>
    </w:p>
    <w:p>
      <w:bookmarkStart w:id="2748" w:name="_NAESTMA_TOC_2748"/>
      <w:pPr>
        <w:pStyle w:val="Heading2"/>
        <w:keepNext/>
        <w:widowControl/>
        <w:rPr/>
      </w:pPr>
      <w:r>
        <w:rPr/>
        <w:t>BI-1. Express Heavy-Truck Coverage</w:t>
      </w:r>
      <w:bookmarkEnd w:id="2748"/>
    </w:p>
    <w:p>
      <w:pPr>
        <w:pStyle w:val="Normal"/>
        <w:widowControl/>
        <w:rPr/>
      </w:pPr>
      <w:r>
        <w:rPr/>
        <w:t>Medium- and heavy-duty trucks, incomplete vehicles, chassis-cabs, tractors, vocational vehicles and qualifying specialized road vehicles are expressly included in the automotive market-access architecture. Benefits may not be defeated through weight-class or tariff-line carve-outs.</w:t>
      </w:r>
    </w:p>
    <w:p>
      <w:bookmarkStart w:id="2749" w:name="_NAESTMA_TOC_2749"/>
      <w:pPr>
        <w:pStyle w:val="Heading2"/>
        <w:keepNext/>
        <w:widowControl/>
        <w:rPr/>
      </w:pPr>
      <w:r>
        <w:rPr/>
        <w:t>BI-2. Heavy-Truck Origin Application</w:t>
      </w:r>
      <w:bookmarkEnd w:id="2749"/>
    </w:p>
    <w:p>
      <w:pPr>
        <w:pStyle w:val="Normal"/>
        <w:widowControl/>
        <w:rPr/>
      </w:pPr>
      <w:r>
        <w:rPr/>
        <w:t>The 75% Standard, 80% High Integration and 85% Strategic Tier architecture applies to medium/heavy vehicles with product-appropriate calculations for powertrain, cab, chassis, axles, structural assemblies, electronics, telematics, safety systems and vocational equipment.</w:t>
      </w:r>
    </w:p>
    <w:p>
      <w:bookmarkStart w:id="2750" w:name="_NAESTMA_TOC_2750"/>
      <w:pPr>
        <w:pStyle w:val="Heading2"/>
        <w:keepNext/>
        <w:widowControl/>
        <w:rPr/>
      </w:pPr>
      <w:r>
        <w:rPr/>
        <w:t>BI-3. Vocational Vehicle Recognition</w:t>
      </w:r>
      <w:bookmarkEnd w:id="2750"/>
    </w:p>
    <w:p>
      <w:pPr>
        <w:pStyle w:val="Normal"/>
        <w:widowControl/>
        <w:rPr/>
      </w:pPr>
      <w:r>
        <w:rPr/>
        <w:t>Fire, rescue, utility, refuse, construction, mining, logging, snow-management and other vocational configurations may receive tailored certification and procurement treatment while remaining subject to origin and safety requirements.</w:t>
      </w:r>
    </w:p>
    <w:p>
      <w:bookmarkStart w:id="2751" w:name="_NAESTMA_TOC_2751"/>
      <w:pPr>
        <w:pStyle w:val="Heading2"/>
        <w:keepNext/>
        <w:widowControl/>
        <w:rPr/>
      </w:pPr>
      <w:r>
        <w:rPr/>
        <w:t>BI-4. Corridor Interoperability</w:t>
      </w:r>
      <w:bookmarkEnd w:id="2751"/>
    </w:p>
    <w:p>
      <w:pPr>
        <w:pStyle w:val="Normal"/>
        <w:widowControl/>
        <w:rPr/>
      </w:pPr>
      <w:r>
        <w:rPr/>
        <w:t>The Parties may designate freight corridors for compatible weight/dimension rules, charging or hydrogen standards, digital credentials, inspection reciprocity, autonomous pilots and emergency rerouting.</w:t>
      </w:r>
    </w:p>
    <w:p>
      <w:bookmarkStart w:id="2752" w:name="_NAESTMA_TOC_2752"/>
      <w:pPr>
        <w:pStyle w:val="Heading2"/>
        <w:keepNext/>
        <w:widowControl/>
        <w:rPr/>
      </w:pPr>
      <w:r>
        <w:rPr/>
        <w:t>BI-5. Remanufacturing and Circularity</w:t>
      </w:r>
      <w:bookmarkEnd w:id="2752"/>
    </w:p>
    <w:p>
      <w:pPr>
        <w:pStyle w:val="Normal"/>
        <w:widowControl/>
        <w:rPr/>
      </w:pPr>
      <w:r>
        <w:rPr/>
        <w:t>The Parties should facilitate certified remanufacturing, used-core movement, battery and tire recovery, component reuse and end-of-life management while preventing unsafe or environmentally harmful dumping.</w:t>
      </w:r>
    </w:p>
    <w:p>
      <w:bookmarkStart w:id="2753" w:name="_NAESTMA_TOC_2753"/>
      <w:pPr>
        <w:pStyle w:val="Heading2"/>
        <w:keepNext/>
        <w:widowControl/>
        <w:rPr/>
      </w:pPr>
      <w:r>
        <w:rPr/>
        <w:t>BI-6. Connected-Truck Cybersecurity</w:t>
      </w:r>
      <w:bookmarkEnd w:id="2753"/>
    </w:p>
    <w:p>
      <w:pPr>
        <w:pStyle w:val="Normal"/>
        <w:widowControl/>
        <w:rPr/>
      </w:pPr>
      <w:r>
        <w:rPr/>
        <w:t>Shared baseline cybersecurity, OTA-update, vulnerability-reporting and incident-response principles should permit interoperable connected fleets without requiring disclosure of unnecessary proprietary data.</w:t>
      </w:r>
    </w:p>
    <w:p>
      <w:bookmarkStart w:id="2754" w:name="_NAESTMA_TOC_2754"/>
      <w:pPr>
        <w:pStyle w:val="Heading2"/>
        <w:keepNext/>
        <w:widowControl/>
        <w:rPr/>
      </w:pPr>
      <w:r>
        <w:rPr/>
        <w:t>BI-7. Cold-Climate Validation</w:t>
      </w:r>
      <w:bookmarkEnd w:id="2754"/>
    </w:p>
    <w:p>
      <w:pPr>
        <w:pStyle w:val="Normal"/>
        <w:widowControl/>
        <w:rPr/>
      </w:pPr>
      <w:r>
        <w:rPr/>
        <w:t>Canadian and other North American cold-, heat-, altitude-, grade- and severe-weather test environments may be recognized as regional engineering and validation contributions where the work is genuine and documented.</w:t>
      </w:r>
    </w:p>
    <w:p>
      <w:bookmarkStart w:id="2755" w:name="_NAESTMA_TOC_2755"/>
      <w:pPr>
        <w:pStyle w:val="Heading2"/>
        <w:keepNext/>
        <w:widowControl/>
        <w:rPr/>
      </w:pPr>
      <w:r>
        <w:rPr/>
        <w:t>BI-8. Emergency Freight Continuity</w:t>
      </w:r>
      <w:bookmarkEnd w:id="2755"/>
    </w:p>
    <w:p>
      <w:pPr>
        <w:pStyle w:val="Normal"/>
        <w:widowControl/>
        <w:rPr/>
      </w:pPr>
      <w:r>
        <w:rPr/>
        <w:t>The Parties should pre-plan alternate crossings, routes, rail interfaces, ports and emergency logistics arrangements for disasters, cyber incidents, infrastructure failures, severe weather and other major freight disruptions.</w:t>
      </w:r>
    </w:p>
    <w:p>
      <w:bookmarkStart w:id="2756" w:name="_NAESTMA_TOC_2756"/>
      <w:pPr>
        <w:pStyle w:val="Heading1"/>
        <w:keepNext/>
        <w:pageBreakBefore/>
        <w:widowControl/>
        <w:rPr/>
      </w:pPr>
      <w:r>
        <w:rPr/>
        <w:t>PACKAGE BJ — HEAVY-TRUCK NEGOTIATION CATALOGUE</w:t>
      </w:r>
      <w:bookmarkEnd w:id="2756"/>
    </w:p>
    <w:p>
      <w:pPr>
        <w:pStyle w:val="Normal"/>
        <w:widowControl/>
        <w:rPr/>
      </w:pPr>
      <w:r>
        <w:rPr/>
        <w:t>These mechanisms preserve the useful substance of the fifty heavy-truck bargaining concepts while removing nationality quotas, compulsory IP transfer, arbitrary geography, committee duplication and unrelated cross-sector retaliation.</w:t>
      </w:r>
    </w:p>
    <w:p>
      <w:bookmarkStart w:id="2757" w:name="_NAESTMA_TOC_2757"/>
      <w:pPr>
        <w:pStyle w:val="Heading2"/>
        <w:keepNext/>
        <w:widowControl/>
        <w:rPr/>
      </w:pPr>
      <w:r>
        <w:rPr/>
        <w:t>BJ-1. Zero</w:t>
        <w:noBreakHyphen/>
        <w:t>Emission Truck Tariff Swap</w:t>
      </w:r>
      <w:bookmarkEnd w:id="2757"/>
    </w:p>
    <w:p>
      <w:pPr>
        <w:pStyle w:val="Normal"/>
        <w:widowControl/>
        <w:rPr/>
      </w:pPr>
      <w:r>
        <w:rPr/>
        <w:t>Apply zero or preferential treatment to qualifying originating zero-emission medium/heavy trucks and qualifying North American battery cells or power electronics under reciprocal origin and anti-circumvention rules.</w:t>
      </w:r>
    </w:p>
    <w:p>
      <w:bookmarkStart w:id="2758" w:name="_NAESTMA_TOC_2758"/>
      <w:pPr>
        <w:pStyle w:val="Heading2"/>
        <w:keepNext/>
        <w:widowControl/>
        <w:rPr/>
      </w:pPr>
      <w:r>
        <w:rPr/>
        <w:t>BJ-2. North American Truck Content Rule Flex</w:t>
      </w:r>
      <w:bookmarkEnd w:id="2758"/>
    </w:p>
    <w:p>
      <w:pPr>
        <w:pStyle w:val="Normal"/>
        <w:widowControl/>
        <w:rPr/>
      </w:pPr>
      <w:r>
        <w:rPr/>
        <w:t>Permit time-limited heavy-truck origin flexibility for verified regional capacity gaps while strengthening anti-transshipment treatment for non-North-American truck components.</w:t>
      </w:r>
    </w:p>
    <w:p>
      <w:bookmarkStart w:id="2759" w:name="_NAESTMA_TOC_2759"/>
      <w:pPr>
        <w:pStyle w:val="Heading2"/>
        <w:keepNext/>
        <w:widowControl/>
        <w:rPr/>
      </w:pPr>
      <w:r>
        <w:rPr/>
        <w:t>BJ-3. Green Truck Corridor Deal</w:t>
      </w:r>
      <w:bookmarkEnd w:id="2759"/>
    </w:p>
    <w:p>
      <w:pPr>
        <w:pStyle w:val="Normal"/>
        <w:widowControl/>
        <w:rPr/>
      </w:pPr>
      <w:r>
        <w:rPr/>
        <w:t>Priority customs lanes for Canadian zero</w:t>
        <w:noBreakHyphen/>
        <w:t>emission trucks in exchange for Canada funding cross</w:t>
        <w:noBreakHyphen/>
        <w:t>border charging/hydrogen infrastructure in U.S./Mexico.</w:t>
      </w:r>
    </w:p>
    <w:p>
      <w:bookmarkStart w:id="2760" w:name="_NAESTMA_TOC_2760"/>
      <w:pPr>
        <w:pStyle w:val="Heading2"/>
        <w:keepNext/>
        <w:widowControl/>
        <w:rPr/>
      </w:pPr>
      <w:r>
        <w:rPr/>
        <w:t>BJ-4. Truck Emissions Credit Trading</w:t>
      </w:r>
      <w:bookmarkEnd w:id="2760"/>
    </w:p>
    <w:p>
      <w:pPr>
        <w:pStyle w:val="Normal"/>
        <w:widowControl/>
        <w:rPr/>
      </w:pPr>
      <w:r>
        <w:rPr/>
        <w:t>Canada accepts aligned heavy</w:t>
        <w:noBreakHyphen/>
        <w:t>duty emissions standards in exchange for access to a trilateral emissions credit trading market for fleets.</w:t>
      </w:r>
    </w:p>
    <w:p>
      <w:bookmarkStart w:id="2761" w:name="_NAESTMA_TOC_2761"/>
      <w:pPr>
        <w:pStyle w:val="Heading2"/>
        <w:keepNext/>
        <w:widowControl/>
        <w:rPr/>
      </w:pPr>
      <w:r>
        <w:rPr/>
        <w:t>BJ-5. Battery Recycling Access</w:t>
      </w:r>
      <w:bookmarkEnd w:id="2761"/>
    </w:p>
    <w:p>
      <w:pPr>
        <w:pStyle w:val="Normal"/>
        <w:widowControl/>
        <w:rPr/>
      </w:pPr>
      <w:r>
        <w:rPr/>
        <w:t>Preferential access for Canadian truck OEMs to U.S./Mexican battery recycling facilities in exchange for Canadian investment in recycling plants.</w:t>
      </w:r>
    </w:p>
    <w:p>
      <w:bookmarkStart w:id="2762" w:name="_NAESTMA_TOC_2762"/>
      <w:pPr>
        <w:pStyle w:val="Heading2"/>
        <w:keepNext/>
        <w:widowControl/>
        <w:rPr/>
      </w:pPr>
      <w:r>
        <w:rPr/>
        <w:t>BJ-6. Truck R&amp;D Consortium</w:t>
      </w:r>
      <w:bookmarkEnd w:id="2762"/>
    </w:p>
    <w:p>
      <w:pPr>
        <w:pStyle w:val="Normal"/>
        <w:widowControl/>
        <w:rPr/>
      </w:pPr>
      <w:r>
        <w:rPr/>
        <w:t>Support joint heavy-truck research, open technical standards where appropriate and voluntary licensing while protecting proprietary IP and project-specific ownership rights.</w:t>
      </w:r>
    </w:p>
    <w:p>
      <w:bookmarkStart w:id="2763" w:name="_NAESTMA_TOC_2763"/>
      <w:pPr>
        <w:pStyle w:val="Heading2"/>
        <w:keepNext/>
        <w:widowControl/>
        <w:rPr/>
      </w:pPr>
      <w:r>
        <w:rPr/>
        <w:t>BJ-7. Critical Minerals for Truck Access</w:t>
      </w:r>
      <w:bookmarkEnd w:id="2763"/>
    </w:p>
    <w:p>
      <w:pPr>
        <w:pStyle w:val="Normal"/>
        <w:widowControl/>
        <w:rPr/>
      </w:pPr>
      <w:r>
        <w:rPr/>
        <w:t>Pair verified strategic-mineral supply, processing, investment or offtake cooperation with reciprocal heavy-truck market and procurement eligibility. No Party guarantees extraction or surrender of sovereign resources.</w:t>
      </w:r>
    </w:p>
    <w:p>
      <w:bookmarkStart w:id="2764" w:name="_NAESTMA_TOC_2764"/>
      <w:pPr>
        <w:pStyle w:val="Heading2"/>
        <w:keepNext/>
        <w:widowControl/>
        <w:rPr/>
      </w:pPr>
      <w:r>
        <w:rPr/>
        <w:t>BJ-8. Defense Logistics Truck Window</w:t>
      </w:r>
      <w:bookmarkEnd w:id="2764"/>
    </w:p>
    <w:p>
      <w:pPr>
        <w:pStyle w:val="Normal"/>
        <w:widowControl/>
        <w:rPr/>
      </w:pPr>
      <w:r>
        <w:rPr/>
        <w:t>Create Trusted North American Defense Logistics Vehicle eligibility based on origin, security, interoperability and procurement requirements; participation in military exercises is not traded for commercial truck access.</w:t>
      </w:r>
    </w:p>
    <w:p>
      <w:bookmarkStart w:id="2765" w:name="_NAESTMA_TOC_2765"/>
      <w:pPr>
        <w:pStyle w:val="Heading2"/>
        <w:keepNext/>
        <w:widowControl/>
        <w:rPr/>
      </w:pPr>
      <w:r>
        <w:rPr/>
        <w:t>BJ-9. Border Modernization for Fleets</w:t>
      </w:r>
      <w:bookmarkEnd w:id="2765"/>
    </w:p>
    <w:p>
      <w:pPr>
        <w:pStyle w:val="Normal"/>
        <w:widowControl/>
        <w:rPr/>
      </w:pPr>
      <w:r>
        <w:rPr/>
        <w:t>Streamlined border procedures for Canadian trucking fleets in exchange for Canada co</w:t>
        <w:noBreakHyphen/>
        <w:t>funding digital customs modernization in U.S./Mexico.</w:t>
      </w:r>
    </w:p>
    <w:p>
      <w:bookmarkStart w:id="2766" w:name="_NAESTMA_TOC_2766"/>
      <w:pPr>
        <w:pStyle w:val="Heading2"/>
        <w:keepNext/>
        <w:widowControl/>
        <w:rPr/>
      </w:pPr>
      <w:r>
        <w:rPr/>
        <w:t>BJ-10. Truck Safety Harmonization</w:t>
      </w:r>
      <w:bookmarkEnd w:id="2766"/>
    </w:p>
    <w:p>
      <w:pPr>
        <w:pStyle w:val="Normal"/>
        <w:widowControl/>
        <w:rPr/>
      </w:pPr>
      <w:r>
        <w:rPr/>
        <w:t>Canada adopts harmonized safety standards for heavy trucks in exchange for mutual recognition of Canadian certification and reduced testing duplication.</w:t>
      </w:r>
    </w:p>
    <w:p>
      <w:bookmarkStart w:id="2767" w:name="_NAESTMA_TOC_2767"/>
      <w:pPr>
        <w:pStyle w:val="Heading2"/>
        <w:keepNext/>
        <w:widowControl/>
        <w:rPr/>
      </w:pPr>
      <w:r>
        <w:rPr/>
        <w:t>BJ-11. Green Freight Incentive Pool</w:t>
      </w:r>
      <w:bookmarkEnd w:id="2767"/>
    </w:p>
    <w:p>
      <w:pPr>
        <w:pStyle w:val="Normal"/>
        <w:widowControl/>
        <w:rPr/>
      </w:pPr>
      <w:r>
        <w:rPr/>
        <w:t>Shared trilateral fund for low</w:t>
        <w:noBreakHyphen/>
        <w:t>carbon freight trucks, with Canadian trucks eligible, in exchange for Canada contributing a fixed share of the fund.</w:t>
      </w:r>
    </w:p>
    <w:p>
      <w:bookmarkStart w:id="2768" w:name="_NAESTMA_TOC_2768"/>
      <w:pPr>
        <w:pStyle w:val="Heading2"/>
        <w:keepNext/>
        <w:widowControl/>
        <w:rPr/>
      </w:pPr>
      <w:r>
        <w:rPr/>
        <w:t>BJ-12. Truck Cab &amp; Chassis Co</w:t>
        <w:noBreakHyphen/>
        <w:t>Production</w:t>
      </w:r>
      <w:bookmarkEnd w:id="2768"/>
    </w:p>
    <w:p>
      <w:pPr>
        <w:pStyle w:val="Normal"/>
        <w:widowControl/>
        <w:rPr/>
      </w:pPr>
      <w:r>
        <w:rPr/>
        <w:t>Canada gets relaxed rules on importing Mexican cab assemblies in exchange for opening Canadian chassis production to U.S./Mexican firms.</w:t>
      </w:r>
    </w:p>
    <w:p>
      <w:bookmarkStart w:id="2769" w:name="_NAESTMA_TOC_2769"/>
      <w:pPr>
        <w:pStyle w:val="Heading2"/>
        <w:keepNext/>
        <w:widowControl/>
        <w:rPr/>
      </w:pPr>
      <w:r>
        <w:rPr/>
        <w:t>BJ-13. Hydrogen Truck Pilot Corridors</w:t>
      </w:r>
      <w:bookmarkEnd w:id="2769"/>
    </w:p>
    <w:p>
      <w:pPr>
        <w:pStyle w:val="Normal"/>
        <w:widowControl/>
        <w:rPr/>
      </w:pPr>
      <w:r>
        <w:rPr/>
        <w:t>Canada secures pilot hydrogen truck corridors to U.S./Mexico in exchange for long</w:t>
        <w:noBreakHyphen/>
        <w:t>term offtake agreements for Mexican green hydrogen.</w:t>
      </w:r>
    </w:p>
    <w:p>
      <w:bookmarkStart w:id="2770" w:name="_NAESTMA_TOC_2770"/>
      <w:pPr>
        <w:pStyle w:val="Heading2"/>
        <w:keepNext/>
        <w:widowControl/>
        <w:rPr/>
      </w:pPr>
      <w:r>
        <w:rPr/>
        <w:t>BJ-14. Truck Data Sharing Pact</w:t>
      </w:r>
      <w:bookmarkEnd w:id="2770"/>
    </w:p>
    <w:p>
      <w:pPr>
        <w:pStyle w:val="Normal"/>
        <w:widowControl/>
        <w:rPr/>
      </w:pPr>
      <w:r>
        <w:rPr/>
        <w:t>Share minimum-necessary, protected and appropriately aggregated telematics or freight data for safety and logistics purposes under interoperable privacy, cybersecurity and commercial-confidentiality rules.</w:t>
      </w:r>
    </w:p>
    <w:p>
      <w:bookmarkStart w:id="2771" w:name="_NAESTMA_TOC_2771"/>
      <w:pPr>
        <w:pStyle w:val="Heading2"/>
        <w:keepNext/>
        <w:widowControl/>
        <w:rPr/>
      </w:pPr>
      <w:r>
        <w:rPr/>
        <w:t>BJ-15. Truck Remanufacturing Hub Status</w:t>
      </w:r>
      <w:bookmarkEnd w:id="2771"/>
    </w:p>
    <w:p>
      <w:pPr>
        <w:pStyle w:val="Normal"/>
        <w:widowControl/>
        <w:rPr/>
      </w:pPr>
      <w:r>
        <w:rPr/>
        <w:t>Canada designated as a regional remanufacturing hub for heavy trucks in exchange for lower tariffs on used truck cores from U.S./Mexico.</w:t>
      </w:r>
    </w:p>
    <w:p>
      <w:bookmarkStart w:id="2772" w:name="_NAESTMA_TOC_2772"/>
      <w:pPr>
        <w:pStyle w:val="Heading2"/>
        <w:keepNext/>
        <w:widowControl/>
        <w:rPr/>
      </w:pPr>
      <w:r>
        <w:rPr/>
        <w:t>BJ-16. Customs Duty Rebate for Green Fleets</w:t>
      </w:r>
      <w:bookmarkEnd w:id="2772"/>
    </w:p>
    <w:p>
      <w:pPr>
        <w:pStyle w:val="Normal"/>
        <w:widowControl/>
        <w:rPr/>
      </w:pPr>
      <w:r>
        <w:rPr/>
        <w:t>Duty rebates on Canadian trucks used in cross</w:t>
        <w:noBreakHyphen/>
        <w:t>border green freight programs in exchange for Canada enforcing stricter fleet emissions reporting.</w:t>
      </w:r>
    </w:p>
    <w:p>
      <w:bookmarkStart w:id="2773" w:name="_NAESTMA_TOC_2773"/>
      <w:pPr>
        <w:pStyle w:val="Heading2"/>
        <w:keepNext/>
        <w:widowControl/>
        <w:rPr/>
      </w:pPr>
      <w:r>
        <w:rPr/>
        <w:t>BJ-17. Truck Driver Training Recognition</w:t>
      </w:r>
      <w:bookmarkEnd w:id="2773"/>
    </w:p>
    <w:p>
      <w:pPr>
        <w:pStyle w:val="Normal"/>
        <w:widowControl/>
        <w:rPr/>
      </w:pPr>
      <w:r>
        <w:rPr/>
        <w:t>Mutual recognition of Canadian heavy</w:t>
        <w:noBreakHyphen/>
        <w:t>duty driver training standards in exchange for Canada recognizing U.S./Mexican certifications.</w:t>
      </w:r>
    </w:p>
    <w:p>
      <w:bookmarkStart w:id="2774" w:name="_NAESTMA_TOC_2774"/>
      <w:pPr>
        <w:pStyle w:val="Heading2"/>
        <w:keepNext/>
        <w:widowControl/>
        <w:rPr/>
      </w:pPr>
      <w:r>
        <w:rPr/>
        <w:t>BJ-18. Public Procurement Truck Quotas</w:t>
      </w:r>
      <w:bookmarkEnd w:id="2774"/>
    </w:p>
    <w:p>
      <w:pPr>
        <w:pStyle w:val="Normal"/>
        <w:widowControl/>
        <w:rPr/>
      </w:pPr>
      <w:r>
        <w:rPr/>
        <w:t>Replace nationality quotas with reciprocal North American procurement eligibility for qualifying medium/heavy trucks, buses and vocational vehicles.</w:t>
      </w:r>
    </w:p>
    <w:p>
      <w:bookmarkStart w:id="2775" w:name="_NAESTMA_TOC_2775"/>
      <w:pPr>
        <w:pStyle w:val="Heading2"/>
        <w:keepNext/>
        <w:widowControl/>
        <w:rPr/>
      </w:pPr>
      <w:r>
        <w:rPr/>
        <w:t>BJ-19. Truck Parts Origin Flexibility</w:t>
      </w:r>
      <w:bookmarkEnd w:id="2775"/>
    </w:p>
    <w:p>
      <w:pPr>
        <w:pStyle w:val="Normal"/>
        <w:widowControl/>
        <w:rPr/>
      </w:pPr>
      <w:r>
        <w:rPr/>
        <w:t>More flexible origin rules for Canadian truck parts in exchange for Canada tightening origin rules on non</w:t>
        <w:noBreakHyphen/>
        <w:t>North American parts.</w:t>
      </w:r>
    </w:p>
    <w:p>
      <w:bookmarkStart w:id="2776" w:name="_NAESTMA_TOC_2776"/>
      <w:pPr>
        <w:pStyle w:val="Heading2"/>
        <w:keepNext/>
        <w:widowControl/>
        <w:rPr/>
      </w:pPr>
      <w:r>
        <w:rPr/>
        <w:t>BJ-20. Cross</w:t>
        <w:noBreakHyphen/>
        <w:t>Border Logistics Sandbox</w:t>
      </w:r>
      <w:bookmarkEnd w:id="2776"/>
    </w:p>
    <w:p>
      <w:pPr>
        <w:pStyle w:val="Normal"/>
        <w:widowControl/>
        <w:rPr/>
      </w:pPr>
      <w:r>
        <w:rPr/>
        <w:t>Regulatory sandbox for autonomous Canadian heavy trucks in exchange for Canada allowing U.S./Mexican AV pilots on designated corridors.</w:t>
      </w:r>
    </w:p>
    <w:p>
      <w:bookmarkStart w:id="2777" w:name="_NAESTMA_TOC_2777"/>
      <w:pPr>
        <w:pStyle w:val="Heading2"/>
        <w:keepNext/>
        <w:widowControl/>
        <w:rPr/>
      </w:pPr>
      <w:r>
        <w:rPr/>
        <w:t>BJ-21. Truck Insurance Market Access</w:t>
      </w:r>
      <w:bookmarkEnd w:id="2777"/>
    </w:p>
    <w:p>
      <w:pPr>
        <w:pStyle w:val="Normal"/>
        <w:widowControl/>
        <w:rPr/>
      </w:pPr>
      <w:r>
        <w:rPr/>
        <w:t>Facilitate cross-border commercial motor-carrier insurance through equivalence, recognition and compliant market access while preserving prudential regulation.</w:t>
      </w:r>
    </w:p>
    <w:p>
      <w:bookmarkStart w:id="2778" w:name="_NAESTMA_TOC_2778"/>
      <w:pPr>
        <w:pStyle w:val="Heading2"/>
        <w:keepNext/>
        <w:widowControl/>
        <w:rPr/>
      </w:pPr>
      <w:r>
        <w:rPr/>
        <w:t>BJ-22. Truck Leasing Tax Coordination</w:t>
      </w:r>
      <w:bookmarkEnd w:id="2778"/>
    </w:p>
    <w:p>
      <w:pPr>
        <w:pStyle w:val="Normal"/>
        <w:widowControl/>
        <w:rPr/>
      </w:pPr>
      <w:r>
        <w:rPr/>
        <w:t>Coordinated tax treatment of cross</w:t>
        <w:noBreakHyphen/>
        <w:t>border truck leasing in exchange for Canada aligning depreciation rules with U.S./Mexico.</w:t>
      </w:r>
    </w:p>
    <w:p>
      <w:bookmarkStart w:id="2779" w:name="_NAESTMA_TOC_2779"/>
      <w:pPr>
        <w:pStyle w:val="Heading2"/>
        <w:keepNext/>
        <w:widowControl/>
        <w:rPr/>
      </w:pPr>
      <w:r>
        <w:rPr/>
        <w:t>BJ-23. Truck Scrap &amp; End</w:t>
        <w:noBreakHyphen/>
        <w:t>of</w:t>
        <w:noBreakHyphen/>
        <w:t>Life Pact</w:t>
      </w:r>
      <w:bookmarkEnd w:id="2779"/>
    </w:p>
    <w:p>
      <w:pPr>
        <w:pStyle w:val="Normal"/>
        <w:widowControl/>
        <w:rPr/>
      </w:pPr>
      <w:r>
        <w:rPr/>
        <w:t>Preferential treatment for Canadian scrap trucks exported for recycling in Mexico in exchange for Canada enforcing stricter end</w:t>
        <w:noBreakHyphen/>
        <w:t>of</w:t>
        <w:noBreakHyphen/>
        <w:t>life standards.</w:t>
      </w:r>
    </w:p>
    <w:p>
      <w:bookmarkStart w:id="2780" w:name="_NAESTMA_TOC_2780"/>
      <w:pPr>
        <w:pStyle w:val="Heading2"/>
        <w:keepNext/>
        <w:widowControl/>
        <w:rPr/>
      </w:pPr>
      <w:r>
        <w:rPr/>
        <w:t>BJ-24. Cold</w:t>
        <w:noBreakHyphen/>
        <w:t>Climate Testing Rights</w:t>
      </w:r>
      <w:bookmarkEnd w:id="2780"/>
    </w:p>
    <w:p>
      <w:pPr>
        <w:pStyle w:val="Normal"/>
        <w:widowControl/>
        <w:rPr/>
      </w:pPr>
      <w:r>
        <w:rPr/>
        <w:t>Recognize Canadian cold-weather testing and validation as genuine North American engineering value and provide reciprocal OEM access without exclusivity.</w:t>
      </w:r>
    </w:p>
    <w:p>
      <w:bookmarkStart w:id="2781" w:name="_NAESTMA_TOC_2781"/>
      <w:pPr>
        <w:pStyle w:val="Heading2"/>
        <w:keepNext/>
        <w:widowControl/>
        <w:rPr/>
      </w:pPr>
      <w:r>
        <w:rPr/>
        <w:t>BJ-25. Truck Software &amp; OTA Alignment</w:t>
      </w:r>
      <w:bookmarkEnd w:id="2781"/>
    </w:p>
    <w:p>
      <w:pPr>
        <w:pStyle w:val="Normal"/>
        <w:widowControl/>
        <w:rPr/>
      </w:pPr>
      <w:r>
        <w:rPr/>
        <w:t>Harmonized rules for over</w:t>
        <w:noBreakHyphen/>
        <w:t>the</w:t>
        <w:noBreakHyphen/>
        <w:t>air updates on heavy trucks in exchange for Canada adopting shared cybersecurity standards.</w:t>
      </w:r>
    </w:p>
    <w:p>
      <w:bookmarkStart w:id="2782" w:name="_NAESTMA_TOC_2782"/>
      <w:pPr>
        <w:pStyle w:val="Heading2"/>
        <w:keepNext/>
        <w:widowControl/>
        <w:rPr/>
      </w:pPr>
      <w:r>
        <w:rPr/>
        <w:t>BJ-26. Truck Weight &amp; Dimension Harmonization</w:t>
      </w:r>
      <w:bookmarkEnd w:id="2782"/>
    </w:p>
    <w:p>
      <w:pPr>
        <w:pStyle w:val="Normal"/>
        <w:widowControl/>
        <w:rPr/>
      </w:pPr>
      <w:r>
        <w:rPr/>
        <w:t>Create corridor-specific interoperability for weight, dimension and permitting rules where infrastructure supports it, rather than forcing identical limits on every road.</w:t>
      </w:r>
    </w:p>
    <w:p>
      <w:bookmarkStart w:id="2783" w:name="_NAESTMA_TOC_2783"/>
      <w:pPr>
        <w:pStyle w:val="Heading2"/>
        <w:keepNext/>
        <w:widowControl/>
        <w:rPr/>
      </w:pPr>
      <w:r>
        <w:rPr/>
        <w:t>BJ-27. Green Corridor Branding Scheme</w:t>
      </w:r>
      <w:bookmarkEnd w:id="2783"/>
    </w:p>
    <w:p>
      <w:pPr>
        <w:pStyle w:val="Normal"/>
        <w:widowControl/>
        <w:rPr/>
      </w:pPr>
      <w:r>
        <w:rPr/>
        <w:t>Create performance-based Green Freight Corridor certification linked to infrastructure, interoperability and financing eligibility rather than mere branding rights.</w:t>
      </w:r>
    </w:p>
    <w:p>
      <w:bookmarkStart w:id="2784" w:name="_NAESTMA_TOC_2784"/>
      <w:pPr>
        <w:pStyle w:val="Heading2"/>
        <w:keepNext/>
        <w:widowControl/>
        <w:rPr/>
      </w:pPr>
      <w:r>
        <w:rPr/>
        <w:t>BJ-28. Truck Export Credit Coordination</w:t>
      </w:r>
      <w:bookmarkEnd w:id="2784"/>
    </w:p>
    <w:p>
      <w:pPr>
        <w:pStyle w:val="Normal"/>
        <w:widowControl/>
        <w:rPr/>
      </w:pPr>
      <w:r>
        <w:rPr/>
        <w:t>Coordinated export credit support for Canadian trucks sold into third markets in exchange for Canada aligning with U.S./Mexican credit rules.</w:t>
      </w:r>
    </w:p>
    <w:p>
      <w:bookmarkStart w:id="2785" w:name="_NAESTMA_TOC_2785"/>
      <w:pPr>
        <w:pStyle w:val="Heading2"/>
        <w:keepNext/>
        <w:widowControl/>
        <w:rPr/>
      </w:pPr>
      <w:r>
        <w:rPr/>
        <w:t>BJ-29. Truck Fleet Modernization Swap</w:t>
      </w:r>
      <w:bookmarkEnd w:id="2785"/>
    </w:p>
    <w:p>
      <w:pPr>
        <w:pStyle w:val="Normal"/>
        <w:widowControl/>
        <w:rPr/>
      </w:pPr>
      <w:r>
        <w:rPr/>
        <w:t>Canada offers accelerated retirement incentives for old U.S./Mexican trucks operating in Canada in exchange for preferential access for new Canadian trucks.</w:t>
      </w:r>
    </w:p>
    <w:p>
      <w:bookmarkStart w:id="2786" w:name="_NAESTMA_TOC_2786"/>
      <w:pPr>
        <w:pStyle w:val="Heading2"/>
        <w:keepNext/>
        <w:widowControl/>
        <w:rPr/>
      </w:pPr>
      <w:r>
        <w:rPr/>
        <w:t>BJ-30. Truck Vocational Segment Deal</w:t>
      </w:r>
      <w:bookmarkEnd w:id="2786"/>
    </w:p>
    <w:p>
      <w:pPr>
        <w:pStyle w:val="Normal"/>
        <w:widowControl/>
        <w:rPr/>
      </w:pPr>
      <w:r>
        <w:rPr/>
        <w:t>Special access for Canadian vocational trucks (refuse, fire, utility) in U.S./Mexico in exchange for Canada opening specialized trailer markets.</w:t>
      </w:r>
    </w:p>
    <w:p>
      <w:bookmarkStart w:id="2787" w:name="_NAESTMA_TOC_2787"/>
      <w:pPr>
        <w:pStyle w:val="Heading2"/>
        <w:keepNext/>
        <w:widowControl/>
        <w:rPr/>
      </w:pPr>
      <w:r>
        <w:rPr/>
        <w:t>BJ-31. Truck Charging Interoperability Pact</w:t>
      </w:r>
      <w:bookmarkEnd w:id="2787"/>
    </w:p>
    <w:p>
      <w:pPr>
        <w:pStyle w:val="Normal"/>
        <w:widowControl/>
        <w:rPr/>
      </w:pPr>
      <w:r>
        <w:rPr/>
        <w:t>Canada adopts common charging standards for heavy trucks in exchange for guaranteed interoperability commitments from U.S./Mexican networks.</w:t>
      </w:r>
    </w:p>
    <w:p>
      <w:bookmarkStart w:id="2788" w:name="_NAESTMA_TOC_2788"/>
      <w:pPr>
        <w:pStyle w:val="Heading2"/>
        <w:keepNext/>
        <w:widowControl/>
        <w:rPr/>
      </w:pPr>
      <w:r>
        <w:rPr/>
        <w:t>BJ-32. Truck Carbon Labeling Scheme</w:t>
      </w:r>
      <w:bookmarkEnd w:id="2788"/>
    </w:p>
    <w:p>
      <w:pPr>
        <w:pStyle w:val="Normal"/>
        <w:widowControl/>
        <w:rPr/>
      </w:pPr>
      <w:r>
        <w:rPr/>
        <w:t>Canada implements carbon labeling for heavy trucks in exchange for trilateral recognition of Canadian labels in procurement scoring.</w:t>
      </w:r>
    </w:p>
    <w:p>
      <w:bookmarkStart w:id="2789" w:name="_NAESTMA_TOC_2789"/>
      <w:pPr>
        <w:pStyle w:val="Heading2"/>
        <w:keepNext/>
        <w:widowControl/>
        <w:rPr/>
      </w:pPr>
      <w:r>
        <w:rPr/>
        <w:t>BJ-33. Truck Export Safeguard Mechanism</w:t>
      </w:r>
      <w:bookmarkEnd w:id="2789"/>
    </w:p>
    <w:p>
      <w:pPr>
        <w:pStyle w:val="Normal"/>
        <w:widowControl/>
        <w:rPr/>
      </w:pPr>
      <w:r>
        <w:rPr/>
        <w:t>Permit evidence-based temporary safeguards for injurious truck import surges while preserving minimum access, review, proportionality and automatic restoration when conditions normalize.</w:t>
      </w:r>
    </w:p>
    <w:p>
      <w:bookmarkStart w:id="2790" w:name="_NAESTMA_TOC_2790"/>
      <w:pPr>
        <w:pStyle w:val="Heading2"/>
        <w:keepNext/>
        <w:widowControl/>
        <w:rPr/>
      </w:pPr>
      <w:r>
        <w:rPr/>
        <w:t>BJ-34. Truck</w:t>
        <w:noBreakHyphen/>
        <w:t>Linked Rail Integration Deal</w:t>
      </w:r>
      <w:bookmarkEnd w:id="2790"/>
    </w:p>
    <w:p>
      <w:pPr>
        <w:pStyle w:val="Normal"/>
        <w:widowControl/>
        <w:rPr/>
      </w:pPr>
      <w:r>
        <w:rPr/>
        <w:t>Preferential treatment for Canadian intermodal truck</w:t>
        <w:noBreakHyphen/>
        <w:t>rail operations in exchange for Canada opening rail equipment procurement.</w:t>
      </w:r>
    </w:p>
    <w:p>
      <w:bookmarkStart w:id="2791" w:name="_NAESTMA_TOC_2791"/>
      <w:pPr>
        <w:pStyle w:val="Heading2"/>
        <w:keepNext/>
        <w:widowControl/>
        <w:rPr/>
      </w:pPr>
      <w:r>
        <w:rPr/>
        <w:t>BJ-35. Truck Toll Reciprocity</w:t>
      </w:r>
      <w:bookmarkEnd w:id="2791"/>
    </w:p>
    <w:p>
      <w:pPr>
        <w:pStyle w:val="Normal"/>
        <w:widowControl/>
        <w:rPr/>
      </w:pPr>
      <w:r>
        <w:rPr/>
        <w:t>Reduced tolls for Canadian heavy trucks on U.S./Mexican roads in exchange for reciprocal toll reductions in Canada.</w:t>
      </w:r>
    </w:p>
    <w:p>
      <w:bookmarkStart w:id="2792" w:name="_NAESTMA_TOC_2792"/>
      <w:pPr>
        <w:pStyle w:val="Heading2"/>
        <w:keepNext/>
        <w:widowControl/>
        <w:rPr/>
      </w:pPr>
      <w:r>
        <w:rPr/>
        <w:t>BJ-36. Truck Logistics Data Trust</w:t>
      </w:r>
      <w:bookmarkEnd w:id="2792"/>
    </w:p>
    <w:p>
      <w:pPr>
        <w:pStyle w:val="Normal"/>
        <w:widowControl/>
        <w:rPr/>
      </w:pPr>
      <w:r>
        <w:rPr/>
        <w:t>Use a federated North American logistics-data exchange or interoperable existing systems rather than a new centralized data institution, with reciprocal contribution and access rules.</w:t>
      </w:r>
    </w:p>
    <w:p>
      <w:bookmarkStart w:id="2793" w:name="_NAESTMA_TOC_2793"/>
      <w:pPr>
        <w:pStyle w:val="Heading2"/>
        <w:keepNext/>
        <w:widowControl/>
        <w:rPr/>
      </w:pPr>
      <w:r>
        <w:rPr/>
        <w:t>BJ-37. Truck Vocational Training Mobility</w:t>
      </w:r>
      <w:bookmarkEnd w:id="2793"/>
    </w:p>
    <w:p>
      <w:pPr>
        <w:pStyle w:val="Normal"/>
        <w:widowControl/>
        <w:rPr/>
      </w:pPr>
      <w:r>
        <w:rPr/>
        <w:t>Mobility visas for Canadian heavy</w:t>
        <w:noBreakHyphen/>
        <w:t>duty technicians in exchange for Canada opening immigration pathways for U.S./Mexican truck techs.</w:t>
      </w:r>
    </w:p>
    <w:p>
      <w:bookmarkStart w:id="2794" w:name="_NAESTMA_TOC_2794"/>
      <w:pPr>
        <w:pStyle w:val="Heading2"/>
        <w:keepNext/>
        <w:widowControl/>
        <w:rPr/>
      </w:pPr>
      <w:r>
        <w:rPr/>
        <w:t>BJ-38. Truck Safety Research Sharing</w:t>
      </w:r>
      <w:bookmarkEnd w:id="2794"/>
    </w:p>
    <w:p>
      <w:pPr>
        <w:pStyle w:val="Normal"/>
        <w:widowControl/>
        <w:rPr/>
      </w:pPr>
      <w:r>
        <w:rPr/>
        <w:t>Canada co</w:t>
        <w:noBreakHyphen/>
        <w:t>funds heavy</w:t>
        <w:noBreakHyphen/>
        <w:t>duty safety research in exchange for full access to U.S./Mexican crash and performance datasets.</w:t>
      </w:r>
    </w:p>
    <w:p>
      <w:bookmarkStart w:id="2795" w:name="_NAESTMA_TOC_2795"/>
      <w:pPr>
        <w:pStyle w:val="Heading2"/>
        <w:keepNext/>
        <w:widowControl/>
        <w:rPr/>
      </w:pPr>
      <w:r>
        <w:rPr/>
        <w:t>BJ-39. Truck Fuel Standard Alignment</w:t>
      </w:r>
      <w:bookmarkEnd w:id="2795"/>
    </w:p>
    <w:p>
      <w:pPr>
        <w:pStyle w:val="Normal"/>
        <w:widowControl/>
        <w:rPr/>
      </w:pPr>
      <w:r>
        <w:rPr/>
        <w:t>Canada aligns diesel and alternative fuel quality standards in exchange for recognition of Canadian low</w:t>
        <w:noBreakHyphen/>
        <w:t>carbon fuel credits.</w:t>
      </w:r>
    </w:p>
    <w:p>
      <w:bookmarkStart w:id="2796" w:name="_NAESTMA_TOC_2796"/>
      <w:pPr>
        <w:pStyle w:val="Heading2"/>
        <w:keepNext/>
        <w:widowControl/>
        <w:rPr/>
      </w:pPr>
      <w:r>
        <w:rPr/>
        <w:t>BJ-40. Truck Export Promotion Joint Office</w:t>
      </w:r>
      <w:bookmarkEnd w:id="2796"/>
    </w:p>
    <w:p>
      <w:pPr>
        <w:pStyle w:val="Normal"/>
        <w:widowControl/>
        <w:rPr/>
      </w:pPr>
      <w:r>
        <w:rPr/>
        <w:t>Coordinate existing export-credit and trade-promotion agencies for third-market heavy-truck opportunities rather than creating a new permanent office.</w:t>
      </w:r>
    </w:p>
    <w:p>
      <w:bookmarkStart w:id="2797" w:name="_NAESTMA_TOC_2797"/>
      <w:pPr>
        <w:pStyle w:val="Heading2"/>
        <w:keepNext/>
        <w:widowControl/>
        <w:rPr/>
      </w:pPr>
      <w:r>
        <w:rPr/>
        <w:t>BJ-41. Truck Cyber Incident Response Pact</w:t>
      </w:r>
      <w:bookmarkEnd w:id="2797"/>
    </w:p>
    <w:p>
      <w:pPr>
        <w:pStyle w:val="Normal"/>
        <w:widowControl/>
        <w:rPr/>
      </w:pPr>
      <w:r>
        <w:rPr/>
        <w:t>Canada participates in trilateral cyber incident response for connected trucks in exchange for shared threat intelligence.</w:t>
      </w:r>
    </w:p>
    <w:p>
      <w:bookmarkStart w:id="2798" w:name="_NAESTMA_TOC_2798"/>
      <w:pPr>
        <w:pStyle w:val="Heading2"/>
        <w:keepNext/>
        <w:widowControl/>
        <w:rPr/>
      </w:pPr>
      <w:r>
        <w:rPr/>
        <w:t>BJ-42. Truck Border Pre</w:t>
        <w:noBreakHyphen/>
        <w:t>Clearance Expansion</w:t>
      </w:r>
      <w:bookmarkEnd w:id="2798"/>
    </w:p>
    <w:p>
      <w:pPr>
        <w:pStyle w:val="Normal"/>
        <w:widowControl/>
        <w:rPr/>
      </w:pPr>
      <w:r>
        <w:rPr/>
        <w:t>Expanded pre</w:t>
        <w:noBreakHyphen/>
        <w:t>clearance for Canadian trucks at U.S./Mexican ports in exchange for Canada hosting reciprocal pre</w:t>
        <w:noBreakHyphen/>
        <w:t>clearance facilities.</w:t>
      </w:r>
    </w:p>
    <w:p>
      <w:bookmarkStart w:id="2799" w:name="_NAESTMA_TOC_2799"/>
      <w:pPr>
        <w:pStyle w:val="Heading2"/>
        <w:keepNext/>
        <w:widowControl/>
        <w:rPr/>
      </w:pPr>
      <w:r>
        <w:rPr/>
        <w:t>BJ-43. Truck Fleet Digital ID System</w:t>
      </w:r>
      <w:bookmarkEnd w:id="2799"/>
    </w:p>
    <w:p>
      <w:pPr>
        <w:pStyle w:val="Normal"/>
        <w:widowControl/>
        <w:rPr/>
      </w:pPr>
      <w:r>
        <w:rPr/>
        <w:t>Canada adopts a trilateral digital ID for heavy trucks in exchange for reduced inspection frequency for compliant fleets.</w:t>
      </w:r>
    </w:p>
    <w:p>
      <w:bookmarkStart w:id="2800" w:name="_NAESTMA_TOC_2800"/>
      <w:pPr>
        <w:pStyle w:val="Heading2"/>
        <w:keepNext/>
        <w:widowControl/>
        <w:rPr/>
      </w:pPr>
      <w:r>
        <w:rPr/>
        <w:t>BJ-44. Truck Green Bond Access</w:t>
      </w:r>
      <w:bookmarkEnd w:id="2800"/>
    </w:p>
    <w:p>
      <w:pPr>
        <w:pStyle w:val="Normal"/>
        <w:widowControl/>
        <w:rPr/>
      </w:pPr>
      <w:r>
        <w:rPr/>
        <w:t>Recognize equivalent sustainable-finance disclosures and allow qualifying truck projects to access compatible green-finance programs where permitted.</w:t>
      </w:r>
    </w:p>
    <w:p>
      <w:bookmarkStart w:id="2801" w:name="_NAESTMA_TOC_2801"/>
      <w:pPr>
        <w:pStyle w:val="Heading2"/>
        <w:keepNext/>
        <w:widowControl/>
        <w:rPr/>
      </w:pPr>
      <w:r>
        <w:rPr/>
        <w:t>BJ-45. Truck Export Quota for Niche Segments</w:t>
      </w:r>
      <w:bookmarkEnd w:id="2801"/>
    </w:p>
    <w:p>
      <w:pPr>
        <w:pStyle w:val="Normal"/>
        <w:widowControl/>
        <w:rPr/>
      </w:pPr>
      <w:r>
        <w:rPr/>
        <w:t>Provide reciprocal market and procurement eligibility for specialty and vocational trucks without guaranteed nationality quotas.</w:t>
      </w:r>
    </w:p>
    <w:p>
      <w:bookmarkStart w:id="2802" w:name="_NAESTMA_TOC_2802"/>
      <w:pPr>
        <w:pStyle w:val="Heading2"/>
        <w:keepNext/>
        <w:widowControl/>
        <w:rPr/>
      </w:pPr>
      <w:r>
        <w:rPr/>
        <w:t>BJ-46. Truck Autonomous Safety Validation</w:t>
      </w:r>
      <w:bookmarkEnd w:id="2802"/>
    </w:p>
    <w:p>
      <w:pPr>
        <w:pStyle w:val="Normal"/>
        <w:widowControl/>
        <w:rPr/>
      </w:pPr>
      <w:r>
        <w:rPr/>
        <w:t>Canada recognized as a validation site for autonomous heavy trucks in exchange for sharing test results with U.S./Mexico regulators.</w:t>
      </w:r>
    </w:p>
    <w:p>
      <w:bookmarkStart w:id="2803" w:name="_NAESTMA_TOC_2803"/>
      <w:pPr>
        <w:pStyle w:val="Heading2"/>
        <w:keepNext/>
        <w:widowControl/>
        <w:rPr/>
      </w:pPr>
      <w:r>
        <w:rPr/>
        <w:t>BJ-47. Truck Fleet Resilience Pact</w:t>
      </w:r>
      <w:bookmarkEnd w:id="2803"/>
    </w:p>
    <w:p>
      <w:pPr>
        <w:pStyle w:val="Normal"/>
        <w:widowControl/>
        <w:rPr/>
      </w:pPr>
      <w:r>
        <w:rPr/>
        <w:t>Canada joins a trilateral emergency freight re</w:t>
        <w:noBreakHyphen/>
        <w:t>routing protocol in exchange for priority access to U.S./Mexican relief logistics.</w:t>
      </w:r>
    </w:p>
    <w:p>
      <w:bookmarkStart w:id="2804" w:name="_NAESTMA_TOC_2804"/>
      <w:pPr>
        <w:pStyle w:val="Heading2"/>
        <w:keepNext/>
        <w:widowControl/>
        <w:rPr/>
      </w:pPr>
      <w:r>
        <w:rPr/>
        <w:t>BJ-48. Truck</w:t>
        <w:noBreakHyphen/>
        <w:t>Linked Port Access Deal</w:t>
      </w:r>
      <w:bookmarkEnd w:id="2804"/>
    </w:p>
    <w:p>
      <w:pPr>
        <w:pStyle w:val="Normal"/>
        <w:widowControl/>
        <w:rPr/>
      </w:pPr>
      <w:r>
        <w:rPr/>
        <w:t>Preferential port access for Canadian trucks in Gulf/West Coast ports in exchange for Canada opening Atlantic port logistics concessions.</w:t>
      </w:r>
    </w:p>
    <w:p>
      <w:bookmarkStart w:id="2805" w:name="_NAESTMA_TOC_2805"/>
      <w:pPr>
        <w:pStyle w:val="Heading2"/>
        <w:keepNext/>
        <w:widowControl/>
        <w:rPr/>
      </w:pPr>
      <w:r>
        <w:rPr/>
        <w:t>BJ-49. Truck Export Tariff Phase</w:t>
        <w:noBreakHyphen/>
        <w:t>Out</w:t>
      </w:r>
      <w:bookmarkEnd w:id="2805"/>
    </w:p>
    <w:p>
      <w:pPr>
        <w:pStyle w:val="Normal"/>
        <w:widowControl/>
        <w:rPr/>
      </w:pPr>
      <w:r>
        <w:rPr/>
        <w:t>Phase out residual tariffs on originating medium/heavy trucks in parallel with verified reciprocal market access, origin compliance and light/heavy vehicle treatment.</w:t>
      </w:r>
    </w:p>
    <w:p>
      <w:bookmarkStart w:id="2806" w:name="_NAESTMA_TOC_2806"/>
      <w:pPr>
        <w:pStyle w:val="Heading2"/>
        <w:keepNext/>
        <w:widowControl/>
        <w:rPr/>
      </w:pPr>
      <w:r>
        <w:rPr/>
        <w:t>BJ-50. Truck Innovation Challenge Fund</w:t>
      </w:r>
      <w:bookmarkEnd w:id="2806"/>
    </w:p>
    <w:p>
      <w:pPr>
        <w:pStyle w:val="Normal"/>
        <w:widowControl/>
        <w:rPr/>
      </w:pPr>
      <w:r>
        <w:rPr/>
        <w:t>Support competitive trilateral heavy-truck innovation programs using project-specific funding and IP agreements; commercialization rights are not automatically transferred to governments or other Parties.</w:t>
      </w:r>
    </w:p>
    <w:p>
      <w:bookmarkStart w:id="2807" w:name="_NAESTMA_TOC_2807"/>
      <w:pPr>
        <w:pStyle w:val="Heading1"/>
        <w:keepNext/>
        <w:pageBreakBefore/>
        <w:widowControl/>
        <w:rPr/>
      </w:pPr>
      <w:r>
        <w:rPr/>
        <w:t>PACKAGE BK — NORTH AMERICAN COMMERCIAL VEHICLE SAFETY EQUIVALENCE FRAMEWORK</w:t>
      </w:r>
      <w:bookmarkEnd w:id="2807"/>
    </w:p>
    <w:p>
      <w:bookmarkStart w:id="2808" w:name="_NAESTMA_TOC_2808"/>
      <w:pPr>
        <w:pStyle w:val="Heading2"/>
        <w:keepNext/>
        <w:widowControl/>
        <w:rPr/>
      </w:pPr>
      <w:r>
        <w:rPr/>
        <w:t>BK-1. Safety-Equivalent Market Access</w:t>
      </w:r>
      <w:bookmarkEnd w:id="2808"/>
    </w:p>
    <w:p>
      <w:pPr>
        <w:pStyle w:val="Normal"/>
        <w:widowControl/>
        <w:rPr/>
      </w:pPr>
      <w:r>
        <w:rPr/>
        <w:t>Cross-border commercial-vehicle access should be conditioned on verifiable driver qualification, vehicle roadworthiness, cargo compliance and carrier safety standing, with reciprocal recognition where standards and outcomes are equivalent.</w:t>
      </w:r>
    </w:p>
    <w:p>
      <w:bookmarkStart w:id="2809" w:name="_NAESTMA_TOC_2809"/>
      <w:pPr>
        <w:pStyle w:val="Heading2"/>
        <w:keepNext/>
        <w:widowControl/>
        <w:rPr/>
      </w:pPr>
      <w:r>
        <w:rPr/>
        <w:t>BK-2. Risk-Based Enforcement</w:t>
      </w:r>
      <w:bookmarkEnd w:id="2809"/>
    </w:p>
    <w:p>
      <w:pPr>
        <w:pStyle w:val="Normal"/>
        <w:widowControl/>
        <w:rPr/>
      </w:pPr>
      <w:r>
        <w:rPr/>
        <w:t>Enforcement resources should concentrate on demonstrated safety risk, repeated defects, falsification, serious violations and unsafe carriers. Demonstrably safe operators should face less redundant inspection and border friction.</w:t>
      </w:r>
    </w:p>
    <w:p>
      <w:bookmarkStart w:id="2810" w:name="_NAESTMA_TOC_2810"/>
      <w:pPr>
        <w:pStyle w:val="Heading2"/>
        <w:keepNext/>
        <w:widowControl/>
        <w:rPr/>
      </w:pPr>
      <w:r>
        <w:rPr/>
        <w:t>BK-3. Carrier Scheduling Responsibility</w:t>
      </w:r>
      <w:bookmarkEnd w:id="2810"/>
    </w:p>
    <w:p>
      <w:pPr>
        <w:pStyle w:val="Normal"/>
        <w:widowControl/>
        <w:rPr/>
      </w:pPr>
      <w:r>
        <w:rPr/>
        <w:t>A carrier shall not assign or enforce a route, delivery window or dispatch schedule that can only reasonably be completed by violating hours-of-service, speed, inspection or other material safety rules.</w:t>
      </w:r>
    </w:p>
    <w:p>
      <w:bookmarkStart w:id="2811" w:name="_NAESTMA_TOC_2811"/>
      <w:pPr>
        <w:pStyle w:val="Heading2"/>
        <w:keepNext/>
        <w:widowControl/>
        <w:rPr/>
      </w:pPr>
      <w:r>
        <w:rPr/>
        <w:t>BK-4. On-Duty Waiting Rule</w:t>
      </w:r>
      <w:bookmarkEnd w:id="2811"/>
    </w:p>
    <w:p>
      <w:pPr>
        <w:pStyle w:val="Normal"/>
        <w:widowControl/>
        <w:rPr/>
      </w:pPr>
      <w:r>
        <w:rPr/>
        <w:t>Loading, unloading, mandatory inspection, compulsory paperwork and required waiting under the carrier’s direction shall be treated consistently in fatigue and on-duty calculations under applicable technical rules.</w:t>
      </w:r>
    </w:p>
    <w:p>
      <w:bookmarkStart w:id="2812" w:name="_NAESTMA_TOC_2812"/>
      <w:pPr>
        <w:pStyle w:val="Heading2"/>
        <w:keepNext/>
        <w:widowControl/>
        <w:rPr/>
      </w:pPr>
      <w:r>
        <w:rPr/>
        <w:t>BK-5. Anti-Coercion Dispatch Rule</w:t>
      </w:r>
      <w:bookmarkEnd w:id="2812"/>
    </w:p>
    <w:p>
      <w:pPr>
        <w:pStyle w:val="Normal"/>
        <w:widowControl/>
        <w:rPr/>
      </w:pPr>
      <w:r>
        <w:rPr/>
        <w:t>A carrier, broker, dispatcher or shipper shall not retaliate against, threaten or pressure a driver to falsify records, exceed lawful limits, operate an unsafe vehicle or continue when fatigue, weather, visibility or vehicle condition makes operation unsafe.</w:t>
      </w:r>
    </w:p>
    <w:p>
      <w:bookmarkStart w:id="2813" w:name="_NAESTMA_TOC_2813"/>
      <w:pPr>
        <w:pStyle w:val="Heading2"/>
        <w:keepNext/>
        <w:widowControl/>
        <w:rPr/>
      </w:pPr>
      <w:r>
        <w:rPr/>
        <w:t>BK-6. Safety Stop Right</w:t>
      </w:r>
      <w:bookmarkEnd w:id="2813"/>
    </w:p>
    <w:p>
      <w:pPr>
        <w:pStyle w:val="Normal"/>
        <w:widowControl/>
        <w:rPr/>
      </w:pPr>
      <w:r>
        <w:rPr/>
        <w:t>A driver may discontinue or delay operation in good faith because of serious fatigue, unsafe vehicle condition, hazardous weather, inadequate visibility, insecure cargo or another immediate safety concern, subject to reasonable documentation and anti-abuse rules.</w:t>
      </w:r>
    </w:p>
    <w:p>
      <w:bookmarkStart w:id="2814" w:name="_NAESTMA_TOC_2814"/>
      <w:pPr>
        <w:pStyle w:val="Heading2"/>
        <w:keepNext/>
        <w:widowControl/>
        <w:rPr/>
      </w:pPr>
      <w:r>
        <w:rPr/>
        <w:t>BK-7. Unsafe Incentive Prohibition</w:t>
      </w:r>
      <w:bookmarkEnd w:id="2814"/>
    </w:p>
    <w:p>
      <w:pPr>
        <w:pStyle w:val="Normal"/>
        <w:widowControl/>
        <w:rPr/>
      </w:pPr>
      <w:r>
        <w:rPr/>
        <w:t>Compensation, dispatch and performance systems shall not be structured so that speeding, skipped rest, falsified logs or other safety violations are a predictable means of earning or preserving compensation.</w:t>
      </w:r>
    </w:p>
    <w:p>
      <w:bookmarkStart w:id="2815" w:name="_NAESTMA_TOC_2815"/>
      <w:pPr>
        <w:pStyle w:val="Heading2"/>
        <w:keepNext/>
        <w:widowControl/>
        <w:rPr/>
      </w:pPr>
      <w:r>
        <w:rPr/>
        <w:t>BK-8. Critical Defect No-Dispatch Rule</w:t>
      </w:r>
      <w:bookmarkEnd w:id="2815"/>
    </w:p>
    <w:p>
      <w:pPr>
        <w:pStyle w:val="Normal"/>
        <w:widowControl/>
        <w:rPr/>
      </w:pPr>
      <w:r>
        <w:rPr/>
        <w:t>A vehicle with a defined critical defect affecting brakes, tires, steering, coupling, structural integrity or another designated safety system shall not return to service until repaired or lawfully cleared.</w:t>
      </w:r>
    </w:p>
    <w:p>
      <w:bookmarkStart w:id="2816" w:name="_NAESTMA_TOC_2816"/>
      <w:pPr>
        <w:pStyle w:val="Heading2"/>
        <w:keepNext/>
        <w:widowControl/>
        <w:rPr/>
      </w:pPr>
      <w:r>
        <w:rPr/>
        <w:t>BK-9. Carrier Knowledge Liability</w:t>
      </w:r>
      <w:bookmarkEnd w:id="2816"/>
    </w:p>
    <w:p>
      <w:pPr>
        <w:pStyle w:val="Normal"/>
        <w:widowControl/>
        <w:rPr/>
      </w:pPr>
      <w:r>
        <w:rPr/>
        <w:t>A carrier that knowingly or recklessly dispatches a vehicle with recurring unresolved critical defects, or knowingly requires materially unsafe operation, is subject to proportionate escalating enforcement independent of driver liability.</w:t>
      </w:r>
    </w:p>
    <w:p>
      <w:bookmarkStart w:id="2817" w:name="_NAESTMA_TOC_2817"/>
      <w:pPr>
        <w:pStyle w:val="Heading2"/>
        <w:keepNext/>
        <w:widowControl/>
        <w:rPr/>
      </w:pPr>
      <w:r>
        <w:rPr/>
        <w:t>BK-10. Privacy and Minimum-Data Firewall</w:t>
      </w:r>
      <w:bookmarkEnd w:id="2817"/>
    </w:p>
    <w:p>
      <w:pPr>
        <w:pStyle w:val="Normal"/>
        <w:widowControl/>
        <w:rPr/>
      </w:pPr>
      <w:r>
        <w:rPr/>
        <w:t>No safety rule should require continuous government surveillance of a driver’s location, biometrics, cab interior, medical details or personal activity where the same safety objective can reasonably be achieved through credential verification, event-based records, roadside inspection, carrier compliance systems or another less intrusive method.</w:t>
      </w:r>
    </w:p>
    <w:p>
      <w:bookmarkStart w:id="2818" w:name="_NAESTMA_TOC_2818"/>
      <w:pPr>
        <w:pStyle w:val="Heading2"/>
        <w:keepNext/>
        <w:widowControl/>
        <w:rPr/>
      </w:pPr>
      <w:r>
        <w:rPr/>
        <w:t>BK-11. Technical Update Method</w:t>
      </w:r>
      <w:bookmarkEnd w:id="2818"/>
    </w:p>
    <w:p>
      <w:pPr>
        <w:pStyle w:val="Normal"/>
        <w:widowControl/>
        <w:rPr/>
      </w:pPr>
      <w:r>
        <w:rPr/>
        <w:t>Numerical operating limits and equipment specifications should ordinarily reside in interoperable technical schedules or domestic regulations capable of periodic evidence-based update, while this Agreement preserves the common outcomes, reciprocity and anti-evasion architecture.</w:t>
      </w:r>
    </w:p>
    <w:p>
      <w:bookmarkStart w:id="2819" w:name="_NAESTMA_TOC_2819"/>
      <w:pPr>
        <w:pStyle w:val="Heading2"/>
        <w:keepNext/>
        <w:widowControl/>
        <w:rPr/>
      </w:pPr>
      <w:r>
        <w:rPr/>
        <w:t>BK-12. Federalism and Competent Authorities</w:t>
      </w:r>
      <w:bookmarkEnd w:id="2819"/>
    </w:p>
    <w:p>
      <w:pPr>
        <w:pStyle w:val="Normal"/>
        <w:widowControl/>
        <w:rPr/>
      </w:pPr>
      <w:r>
        <w:rPr/>
        <w:t>Implementation shall respect constitutional allocation of federal, state, provincial, territorial and local authority. The Parties shall pursue interoperable outcomes and mutual recognition without pretending that every road rule can be centralized at treaty level.</w:t>
      </w:r>
    </w:p>
    <w:p>
      <w:bookmarkStart w:id="2820" w:name="_NAESTMA_TOC_2820"/>
      <w:pPr>
        <w:pStyle w:val="Heading1"/>
        <w:keepNext/>
        <w:pageBreakBefore/>
        <w:widowControl/>
        <w:rPr/>
      </w:pPr>
      <w:r>
        <w:rPr/>
        <w:t>PACKAGE BL — COMMERCIAL VEHICLE SAFETY IMPLEMENTATION CATALOGUE</w:t>
      </w:r>
      <w:bookmarkEnd w:id="2820"/>
    </w:p>
    <w:p>
      <w:pPr>
        <w:pStyle w:val="Normal"/>
        <w:widowControl/>
        <w:rPr/>
      </w:pPr>
      <w:r>
        <w:rPr/>
        <w:t>This catalogue uses the more disciplined 100-rule safety list as the principal baseline. Requirements are interpreted through Package BK, including proportionality, privacy, technical feasibility, evidence-based medical standards, risk-based enforcement and phased treatment of legacy vehicles.</w:t>
      </w:r>
    </w:p>
    <w:p>
      <w:bookmarkStart w:id="2821" w:name="_NAESTMA_TOC_2821"/>
      <w:pPr>
        <w:pStyle w:val="Heading2"/>
        <w:keepNext/>
        <w:widowControl/>
        <w:rPr/>
      </w:pPr>
      <w:r>
        <w:rPr/>
        <w:t>BL-1. a specialized commercial license for every person operating a heavy transport truck</w:t>
      </w:r>
      <w:bookmarkEnd w:id="2821"/>
    </w:p>
    <w:p>
      <w:pPr>
        <w:pStyle w:val="Normal"/>
        <w:widowControl/>
        <w:rPr/>
      </w:pPr>
      <w:r>
        <w:rPr/>
        <w:t>Require a specialized commercial license for every person operating a heavy transport truck.</w:t>
      </w:r>
    </w:p>
    <w:p>
      <w:bookmarkStart w:id="2822" w:name="_NAESTMA_TOC_2822"/>
      <w:pPr>
        <w:pStyle w:val="Heading2"/>
        <w:keepNext/>
        <w:widowControl/>
        <w:rPr/>
      </w:pPr>
      <w:r>
        <w:t>BL-2. Require a standardized written examination covering vehicle control, cargo securement, fatigue, blind spots, braking, and emergency response</w:t>
      </w:r>
      <w:bookmarkEnd w:id="2822"/>
    </w:p>
    <w:p>
      <w:pPr>
        <w:pStyle w:val="Normal"/>
        <w:widowControl/>
        <w:rPr/>
      </w:pPr>
      <w:r>
        <w:rPr/>
        <w:t>Require a standardized written examination covering vehicle control, cargo securement, fatigue, blind spots, braking, and emergency response.</w:t>
      </w:r>
    </w:p>
    <w:p>
      <w:bookmarkStart w:id="2823" w:name="_NAESTMA_TOC_2823"/>
      <w:pPr>
        <w:pStyle w:val="Heading2"/>
        <w:keepNext/>
        <w:widowControl/>
        <w:rPr/>
      </w:pPr>
      <w:r>
        <w:rPr/>
        <w:t>BL-3. a practical road test using a fully loaded vehicle, not only an empty tractor</w:t>
      </w:r>
      <w:bookmarkEnd w:id="2823"/>
    </w:p>
    <w:p>
      <w:pPr>
        <w:pStyle w:val="Normal"/>
        <w:widowControl/>
        <w:rPr/>
      </w:pPr>
      <w:r>
        <w:rPr/>
        <w:t>Require a representative practical road test that assesses vehicle handling under realistic loaded conditions through safely controlled ballast, simulation or another approved method; a fully freight-loaded commercial vehicle is not mandatory for every licensing test.</w:t>
      </w:r>
    </w:p>
    <w:p>
      <w:bookmarkStart w:id="2824" w:name="_NAESTMA_TOC_2824"/>
      <w:pPr>
        <w:pStyle w:val="Heading2"/>
        <w:keepNext/>
        <w:widowControl/>
        <w:rPr/>
      </w:pPr>
      <w:r>
        <w:rPr/>
        <w:t>BL-4. mandatory entry-level training before a new commercial driver may operate independently</w:t>
      </w:r>
      <w:bookmarkEnd w:id="2824"/>
    </w:p>
    <w:p>
      <w:pPr>
        <w:pStyle w:val="Normal"/>
        <w:widowControl/>
        <w:rPr/>
      </w:pPr>
      <w:r>
        <w:rPr/>
        <w:t>Require mandatory entry-level training before a new commercial driver may operate independently.</w:t>
      </w:r>
    </w:p>
    <w:p>
      <w:bookmarkStart w:id="2825" w:name="_NAESTMA_TOC_2825"/>
      <w:pPr>
        <w:pStyle w:val="Heading2"/>
        <w:keepNext/>
        <w:widowControl/>
        <w:rPr/>
      </w:pPr>
      <w:r>
        <w:rPr/>
        <w:t>BL-5. supervised driving with an experienced, certified trainer for a minimum number of hours</w:t>
      </w:r>
      <w:bookmarkEnd w:id="2825"/>
    </w:p>
    <w:p>
      <w:pPr>
        <w:pStyle w:val="Normal"/>
        <w:widowControl/>
        <w:rPr/>
      </w:pPr>
      <w:r>
        <w:rPr/>
        <w:t>Require supervised driving with an experienced, certified trainer for a minimum number of hours.</w:t>
      </w:r>
    </w:p>
    <w:p>
      <w:bookmarkStart w:id="2826" w:name="_NAESTMA_TOC_2826"/>
      <w:pPr>
        <w:pStyle w:val="Heading2"/>
        <w:keepNext/>
        <w:widowControl/>
        <w:rPr/>
      </w:pPr>
      <w:r>
        <w:rPr/>
        <w:t>BL-6. periodic refresher training at least every two years</w:t>
      </w:r>
      <w:bookmarkEnd w:id="2826"/>
    </w:p>
    <w:p>
      <w:pPr>
        <w:pStyle w:val="Normal"/>
        <w:widowControl/>
        <w:rPr/>
      </w:pPr>
      <w:r>
        <w:rPr/>
        <w:t>Require periodic refresher training at an interval established by competent regulators, with risk-based or remedial training available more frequently.</w:t>
      </w:r>
    </w:p>
    <w:p>
      <w:bookmarkStart w:id="2827" w:name="_NAESTMA_TOC_2827"/>
      <w:pPr>
        <w:pStyle w:val="Heading2"/>
        <w:keepNext/>
        <w:widowControl/>
        <w:rPr/>
      </w:pPr>
      <w:r>
        <w:t>BL-7. Require additional certification for tankers, doubles, triples, oversized loads, and hazardous materials</w:t>
      </w:r>
      <w:bookmarkEnd w:id="2827"/>
    </w:p>
    <w:p>
      <w:pPr>
        <w:pStyle w:val="Normal"/>
        <w:widowControl/>
        <w:rPr/>
      </w:pPr>
      <w:r>
        <w:rPr/>
        <w:t>Require additional certification for tankers, doubles, triples, oversized loads, and hazardous materials.</w:t>
      </w:r>
    </w:p>
    <w:p>
      <w:bookmarkStart w:id="2828" w:name="_NAESTMA_TOC_2828"/>
      <w:pPr>
        <w:pStyle w:val="Heading2"/>
        <w:keepNext/>
        <w:widowControl/>
        <w:rPr/>
      </w:pPr>
      <w:r>
        <w:t>BL-8. Require cross-border drivers to understand material safety and operating rules that differ in jurisdictions where they regularly operate, supported by accessible multilingual guidance</w:t>
      </w:r>
      <w:bookmarkEnd w:id="2828"/>
    </w:p>
    <w:p>
      <w:pPr>
        <w:pStyle w:val="Normal"/>
        <w:widowControl/>
        <w:rPr/>
      </w:pPr>
      <w:r>
        <w:rPr/>
        <w:t>Require cross-border drivers to understand material safety and operating rules that differ in jurisdictions where they regularly operate, supported by accessible multilingual guidance.</w:t>
      </w:r>
    </w:p>
    <w:p>
      <w:bookmarkStart w:id="2829" w:name="_NAESTMA_TOC_2829"/>
      <w:pPr>
        <w:pStyle w:val="Heading2"/>
        <w:keepNext/>
        <w:widowControl/>
        <w:rPr/>
      </w:pPr>
      <w:r>
        <w:rPr/>
        <w:t>BL-9. medical examinations at licensing and at regular intervals thereafter</w:t>
      </w:r>
      <w:bookmarkEnd w:id="2829"/>
    </w:p>
    <w:p>
      <w:pPr>
        <w:pStyle w:val="Normal"/>
        <w:widowControl/>
        <w:rPr/>
      </w:pPr>
      <w:r>
        <w:rPr/>
        <w:t>Require medical examinations at licensing and at regular intervals thereafter.</w:t>
      </w:r>
    </w:p>
    <w:p>
      <w:bookmarkStart w:id="2830" w:name="_NAESTMA_TOC_2830"/>
      <w:pPr>
        <w:pStyle w:val="Heading2"/>
        <w:keepNext/>
        <w:widowControl/>
        <w:rPr/>
      </w:pPr>
      <w:r>
        <w:rPr/>
        <w:t>BL-10. commercial driving by anyone medically unfit to safely control the vehicle</w:t>
      </w:r>
      <w:bookmarkEnd w:id="2830"/>
    </w:p>
    <w:p>
      <w:pPr>
        <w:pStyle w:val="Normal"/>
        <w:widowControl/>
        <w:rPr/>
      </w:pPr>
      <w:r>
        <w:rPr/>
        <w:t>Prohibit commercial driving by anyone medically unfit to safely control the vehicle.</w:t>
      </w:r>
    </w:p>
    <w:p>
      <w:bookmarkStart w:id="2831" w:name="_NAESTMA_TOC_2831"/>
      <w:pPr>
        <w:pStyle w:val="Heading2"/>
        <w:keepNext/>
        <w:widowControl/>
        <w:rPr/>
      </w:pPr>
      <w:r>
        <w:rPr/>
        <w:t>BL-11. vision, hearing, cardiovascular, neurological, and sleep-disorder screening</w:t>
      </w:r>
      <w:bookmarkEnd w:id="2831"/>
    </w:p>
    <w:p>
      <w:pPr>
        <w:pStyle w:val="Normal"/>
        <w:widowControl/>
        <w:rPr/>
      </w:pPr>
      <w:r>
        <w:rPr/>
        <w:t>Use evidence-based medical fitness standards addressing vision, hearing, cardiovascular, neurological, sleep and other conditions relevant to safe operation without turning a diagnostic checklist into automatic disqualification.</w:t>
      </w:r>
    </w:p>
    <w:p>
      <w:bookmarkStart w:id="2832" w:name="_NAESTMA_TOC_2832"/>
      <w:pPr>
        <w:pStyle w:val="Heading2"/>
        <w:keepNext/>
        <w:widowControl/>
        <w:rPr/>
      </w:pPr>
      <w:r>
        <w:rPr/>
        <w:t>BL-12. employers to report confirmed serious safety violations affecting a driver’s license</w:t>
      </w:r>
      <w:bookmarkEnd w:id="2832"/>
    </w:p>
    <w:p>
      <w:pPr>
        <w:pStyle w:val="Normal"/>
        <w:widowControl/>
        <w:rPr/>
      </w:pPr>
      <w:r>
        <w:rPr/>
        <w:t>Require employers to report confirmed serious safety violations affecting a driver’s license.</w:t>
      </w:r>
    </w:p>
    <w:p>
      <w:bookmarkStart w:id="2833" w:name="_NAESTMA_TOC_2833"/>
      <w:pPr>
        <w:pStyle w:val="Heading2"/>
        <w:keepNext/>
        <w:widowControl/>
        <w:rPr/>
      </w:pPr>
      <w:r>
        <w:t>BL-13. Create a shared system preventing a driver suspended in one country from obtaining a commercial license in another</w:t>
      </w:r>
      <w:bookmarkEnd w:id="2833"/>
    </w:p>
    <w:p>
      <w:pPr>
        <w:pStyle w:val="Normal"/>
        <w:widowControl/>
        <w:rPr/>
      </w:pPr>
      <w:r>
        <w:rPr/>
        <w:t>Create a shared system preventing a driver suspended in one country from obtaining a commercial license in another.</w:t>
      </w:r>
    </w:p>
    <w:p>
      <w:bookmarkStart w:id="2834" w:name="_NAESTMA_TOC_2834"/>
      <w:pPr>
        <w:pStyle w:val="Heading2"/>
        <w:keepNext/>
        <w:widowControl/>
        <w:rPr/>
      </w:pPr>
      <w:r>
        <w:t>BL-14. Prohibit carriers from allowing drivers to operate a vehicle class for which they are not certified</w:t>
      </w:r>
      <w:bookmarkEnd w:id="2834"/>
    </w:p>
    <w:p>
      <w:pPr>
        <w:pStyle w:val="Normal"/>
        <w:widowControl/>
        <w:rPr/>
      </w:pPr>
      <w:r>
        <w:rPr/>
        <w:t>Prohibit carriers from allowing drivers to operate a vehicle class for which they are not certified.</w:t>
      </w:r>
    </w:p>
    <w:p>
      <w:bookmarkStart w:id="2835" w:name="_NAESTMA_TOC_2835"/>
      <w:pPr>
        <w:pStyle w:val="Heading2"/>
        <w:keepNext/>
        <w:widowControl/>
        <w:rPr/>
      </w:pPr>
      <w:r>
        <w:t>BL-15. Require safety-critical communication competency sufficient to understand road signs, emergency instructions and enforcement interactions</w:t>
      </w:r>
      <w:bookmarkEnd w:id="2835"/>
    </w:p>
    <w:p>
      <w:pPr>
        <w:pStyle w:val="Normal"/>
        <w:widowControl/>
        <w:rPr/>
      </w:pPr>
      <w:r>
        <w:rPr/>
        <w:t>Require safety-critical communication competency sufficient to understand road signs, emergency instructions and enforcement interactions. Approved translation tools and multilingual materials may support compliance.</w:t>
      </w:r>
    </w:p>
    <w:p>
      <w:bookmarkStart w:id="2836" w:name="_NAESTMA_TOC_2836"/>
      <w:pPr>
        <w:pStyle w:val="Heading2"/>
        <w:keepNext/>
        <w:widowControl/>
        <w:rPr/>
      </w:pPr>
      <w:r>
        <w:t>BL-16. Require training on respectful interaction with cyclists, pedestrians, motorists, and roadside workers</w:t>
      </w:r>
      <w:bookmarkEnd w:id="2836"/>
    </w:p>
    <w:p>
      <w:pPr>
        <w:pStyle w:val="Normal"/>
        <w:widowControl/>
        <w:rPr/>
      </w:pPr>
      <w:r>
        <w:rPr/>
        <w:t>Require training on respectful interaction with cyclists, pedestrians, motorists, and roadside workers.</w:t>
      </w:r>
    </w:p>
    <w:p>
      <w:bookmarkStart w:id="2837" w:name="_NAESTMA_TOC_2837"/>
      <w:pPr>
        <w:pStyle w:val="Heading2"/>
        <w:keepNext/>
        <w:widowControl/>
        <w:rPr/>
      </w:pPr>
      <w:r>
        <w:t>BL-17. Prohibit employers from retaliating against drivers who report unsafe vehicles, routes, cargo, or schedules</w:t>
      </w:r>
      <w:bookmarkEnd w:id="2837"/>
    </w:p>
    <w:p>
      <w:pPr>
        <w:pStyle w:val="Normal"/>
        <w:widowControl/>
        <w:rPr/>
      </w:pPr>
      <w:r>
        <w:rPr/>
        <w:t>Prohibit employers from retaliating against drivers who report unsafe vehicles, routes, cargo, or schedules.</w:t>
      </w:r>
    </w:p>
    <w:p>
      <w:bookmarkStart w:id="2838" w:name="_NAESTMA_TOC_2838"/>
      <w:pPr>
        <w:pStyle w:val="Heading2"/>
        <w:keepNext/>
        <w:widowControl/>
        <w:rPr/>
      </w:pPr>
      <w:r>
        <w:t>BL-18. Include workplace violence, harassment, assault prevention and isolated-worker safety in appropriate occupational training programs without making unrelated social-policy coursework a condition for every border crossing</w:t>
      </w:r>
      <w:bookmarkEnd w:id="2838"/>
    </w:p>
    <w:p>
      <w:pPr>
        <w:pStyle w:val="Normal"/>
        <w:widowControl/>
        <w:rPr/>
      </w:pPr>
      <w:r>
        <w:rPr/>
        <w:t>Include workplace violence, harassment, assault prevention and isolated-worker safety in appropriate occupational training programs without making unrelated social-policy coursework a condition for every border crossing.</w:t>
      </w:r>
    </w:p>
    <w:p>
      <w:bookmarkStart w:id="2839" w:name="_NAESTMA_TOC_2839"/>
      <w:pPr>
        <w:pStyle w:val="Heading2"/>
        <w:keepNext/>
        <w:widowControl/>
        <w:rPr/>
      </w:pPr>
      <w:r>
        <w:t>BL-19. Following a fatal or serious-injury collision, require a fitness or competency reassessment when investigative evidence reasonably raises a driver-specific safety concern; mere involvement in a non-preventable collision does not create a presumption of incompetence</w:t>
      </w:r>
      <w:bookmarkEnd w:id="2839"/>
    </w:p>
    <w:p>
      <w:pPr>
        <w:pStyle w:val="Normal"/>
        <w:widowControl/>
        <w:rPr/>
      </w:pPr>
      <w:r>
        <w:rPr/>
        <w:t>Following a fatal or serious-injury collision, require a fitness or competency reassessment when investigative evidence reasonably raises a driver-specific safety concern; mere involvement in a non-preventable collision does not create a presumption of incompetence.</w:t>
      </w:r>
    </w:p>
    <w:p>
      <w:bookmarkStart w:id="2840" w:name="_NAESTMA_TOC_2840"/>
      <w:pPr>
        <w:pStyle w:val="Heading2"/>
        <w:keepNext/>
        <w:widowControl/>
        <w:rPr/>
      </w:pPr>
      <w:r>
        <w:rPr/>
        <w:t>BL-20. remedial training after repeated preventable violations</w:t>
      </w:r>
      <w:bookmarkEnd w:id="2840"/>
    </w:p>
    <w:p>
      <w:pPr>
        <w:pStyle w:val="Normal"/>
        <w:widowControl/>
        <w:rPr/>
      </w:pPr>
      <w:r>
        <w:rPr/>
        <w:t>Require remedial training after repeated preventable violations.</w:t>
      </w:r>
    </w:p>
    <w:p>
      <w:bookmarkStart w:id="2841" w:name="_NAESTMA_TOC_2841"/>
      <w:pPr>
        <w:pStyle w:val="Heading2"/>
        <w:keepNext/>
        <w:widowControl/>
        <w:rPr/>
      </w:pPr>
      <w:r>
        <w:rPr/>
        <w:t>BL-21. one harmonized maximum daily driving limit across the three countries</w:t>
      </w:r>
      <w:bookmarkEnd w:id="2841"/>
    </w:p>
    <w:p>
      <w:pPr>
        <w:pStyle w:val="Normal"/>
        <w:widowControl/>
        <w:rPr/>
      </w:pPr>
      <w:r>
        <w:rPr/>
        <w:t>Establish harmonized or mutually compatible maximum daily driving rules through periodically updateable technical standards informed by fatigue evidence.</w:t>
      </w:r>
    </w:p>
    <w:p>
      <w:bookmarkStart w:id="2842" w:name="_NAESTMA_TOC_2842"/>
      <w:pPr>
        <w:pStyle w:val="Heading2"/>
        <w:keepNext/>
        <w:widowControl/>
        <w:rPr/>
      </w:pPr>
      <w:r>
        <w:t>BL-22. Establish harmonized or mutually compatible maximum on-duty rules that count loading, unloading, paperwork, inspections and mandatory waiting as work</w:t>
      </w:r>
      <w:bookmarkEnd w:id="2842"/>
    </w:p>
    <w:p>
      <w:pPr>
        <w:pStyle w:val="Normal"/>
        <w:widowControl/>
        <w:rPr/>
      </w:pPr>
      <w:r>
        <w:rPr/>
        <w:t>Establish harmonized or mutually compatible maximum on-duty rules that count loading, unloading, paperwork, inspections and mandatory waiting as work.</w:t>
      </w:r>
    </w:p>
    <w:p>
      <w:bookmarkStart w:id="2843" w:name="_NAESTMA_TOC_2843"/>
      <w:pPr>
        <w:pStyle w:val="Heading2"/>
        <w:keepNext/>
        <w:widowControl/>
        <w:rPr/>
      </w:pPr>
      <w:r>
        <w:rPr/>
        <w:t>BL-23. a minimum uninterrupted daily rest period</w:t>
      </w:r>
      <w:bookmarkEnd w:id="2843"/>
    </w:p>
    <w:p>
      <w:pPr>
        <w:pStyle w:val="Normal"/>
        <w:widowControl/>
        <w:rPr/>
      </w:pPr>
      <w:r>
        <w:rPr/>
        <w:t>Establish a minimum daily rest requirement through evidence-based technical standards, with lawful flexibility that does not undermine restorative rest.</w:t>
      </w:r>
    </w:p>
    <w:p>
      <w:bookmarkStart w:id="2844" w:name="_NAESTMA_TOC_2844"/>
      <w:pPr>
        <w:pStyle w:val="Heading2"/>
        <w:keepNext/>
        <w:widowControl/>
        <w:rPr/>
      </w:pPr>
      <w:r>
        <w:rPr/>
        <w:t>BL-24. a longer weekly recovery period free from driving and work-related duties</w:t>
      </w:r>
      <w:bookmarkEnd w:id="2844"/>
    </w:p>
    <w:p>
      <w:pPr>
        <w:pStyle w:val="Normal"/>
        <w:widowControl/>
        <w:rPr/>
      </w:pPr>
      <w:r>
        <w:rPr/>
        <w:t>Establish periodic extended recovery requirements through evidence-based technical standards responsive to long-haul, overnight and rotating-shift operations.</w:t>
      </w:r>
    </w:p>
    <w:p>
      <w:bookmarkStart w:id="2845" w:name="_NAESTMA_TOC_2845"/>
      <w:pPr>
        <w:pStyle w:val="Heading2"/>
        <w:keepNext/>
        <w:widowControl/>
        <w:rPr/>
      </w:pPr>
      <w:r>
        <w:t>BL-25. Prohibit carriers from scheduling routes that can only be completed by violating hours-of-service rules</w:t>
      </w:r>
      <w:bookmarkEnd w:id="2845"/>
    </w:p>
    <w:p>
      <w:pPr>
        <w:pStyle w:val="Normal"/>
        <w:widowControl/>
        <w:rPr/>
      </w:pPr>
      <w:r>
        <w:rPr/>
        <w:t>Prohibit carriers from scheduling routes that can only be completed by violating hours-of-service rules.</w:t>
      </w:r>
    </w:p>
    <w:p>
      <w:bookmarkStart w:id="2846" w:name="_NAESTMA_TOC_2846"/>
      <w:pPr>
        <w:pStyle w:val="Heading2"/>
        <w:keepNext/>
        <w:widowControl/>
        <w:rPr/>
      </w:pPr>
      <w:r>
        <w:rPr/>
        <w:t>BL-26. unpaid waiting time, loading delays, and mandatory inspections as on-duty time</w:t>
      </w:r>
      <w:bookmarkEnd w:id="2846"/>
    </w:p>
    <w:p>
      <w:pPr>
        <w:pStyle w:val="Normal"/>
        <w:widowControl/>
        <w:rPr/>
      </w:pPr>
      <w:r>
        <w:rPr/>
        <w:t>Treat unpaid waiting time, loading delays, and mandatory inspections as on-duty time.</w:t>
      </w:r>
    </w:p>
    <w:p>
      <w:bookmarkStart w:id="2847" w:name="_NAESTMA_TOC_2847"/>
      <w:pPr>
        <w:pStyle w:val="Heading2"/>
        <w:keepNext/>
        <w:widowControl/>
        <w:rPr/>
      </w:pPr>
      <w:r>
        <w:rPr/>
        <w:t>BL-27. electronic logging devices that cannot be altered by drivers, dispatchers, or carriers</w:t>
      </w:r>
      <w:bookmarkEnd w:id="2847"/>
    </w:p>
    <w:p>
      <w:pPr>
        <w:pStyle w:val="Normal"/>
        <w:widowControl/>
        <w:rPr/>
      </w:pPr>
      <w:r>
        <w:rPr/>
        <w:t>Require electronic logging devices that cannot be altered by drivers, dispatchers, or carriers.</w:t>
      </w:r>
    </w:p>
    <w:p>
      <w:bookmarkStart w:id="2848" w:name="_NAESTMA_TOC_2848"/>
      <w:pPr>
        <w:pStyle w:val="Heading2"/>
        <w:keepNext/>
        <w:widowControl/>
        <w:rPr/>
      </w:pPr>
      <w:r>
        <w:t>BL-28. Permit regulators to reconcile ELD records against fuel, toll, GPS, border and delivery records during lawful audits or investigations</w:t>
      </w:r>
      <w:bookmarkEnd w:id="2848"/>
    </w:p>
    <w:p>
      <w:pPr>
        <w:pStyle w:val="Normal"/>
        <w:widowControl/>
        <w:rPr/>
      </w:pPr>
      <w:r>
        <w:rPr/>
        <w:t>Permit regulators to reconcile ELD records against fuel, toll, GPS, border and delivery records during lawful audits or investigations. This authority does not require continuous government collection of every truck’s location data.</w:t>
      </w:r>
    </w:p>
    <w:p>
      <w:bookmarkStart w:id="2849" w:name="_NAESTMA_TOC_2849"/>
      <w:pPr>
        <w:pStyle w:val="Heading2"/>
        <w:keepNext/>
        <w:widowControl/>
        <w:rPr/>
      </w:pPr>
      <w:r>
        <w:rPr/>
        <w:t>BL-29. dispatchers from pressuring drivers to falsify logs or continue while fatigued</w:t>
      </w:r>
      <w:bookmarkEnd w:id="2849"/>
    </w:p>
    <w:p>
      <w:pPr>
        <w:pStyle w:val="Normal"/>
        <w:widowControl/>
        <w:rPr/>
      </w:pPr>
      <w:r>
        <w:rPr/>
        <w:t>Prohibit dispatchers from pressuring drivers to falsify logs or continue while fatigued.</w:t>
      </w:r>
    </w:p>
    <w:p>
      <w:bookmarkStart w:id="2850" w:name="_NAESTMA_TOC_2850"/>
      <w:pPr>
        <w:pStyle w:val="Heading2"/>
        <w:keepNext/>
        <w:widowControl/>
        <w:rPr/>
      </w:pPr>
      <w:r>
        <w:rPr/>
        <w:t>BL-30. a driver to stop immediately when they determine that fatigue makes driving unsafe</w:t>
      </w:r>
      <w:bookmarkEnd w:id="2850"/>
    </w:p>
    <w:p>
      <w:pPr>
        <w:pStyle w:val="Normal"/>
        <w:widowControl/>
        <w:rPr/>
      </w:pPr>
      <w:r>
        <w:rPr/>
        <w:t>Require a driver to stop immediately when they determine that fatigue makes driving unsafe.</w:t>
      </w:r>
    </w:p>
    <w:p>
      <w:bookmarkStart w:id="2851" w:name="_NAESTMA_TOC_2851"/>
      <w:pPr>
        <w:pStyle w:val="Heading2"/>
        <w:keepNext/>
        <w:widowControl/>
        <w:rPr/>
      </w:pPr>
      <w:r>
        <w:t>BL-31. Require carriers to plan routes and schedules around reasonably available safe rest opportunities, while Parties improve parking and rest infrastructure</w:t>
      </w:r>
      <w:bookmarkEnd w:id="2851"/>
    </w:p>
    <w:p>
      <w:pPr>
        <w:pStyle w:val="Normal"/>
        <w:widowControl/>
        <w:rPr/>
      </w:pPr>
      <w:r>
        <w:rPr/>
        <w:t>Require carriers to plan routes and schedules around reasonably available safe rest opportunities, while Parties improve parking and rest infrastructure. A carrier is not required to create facilities it does not control.</w:t>
      </w:r>
    </w:p>
    <w:p>
      <w:bookmarkStart w:id="2852" w:name="_NAESTMA_TOC_2852"/>
      <w:pPr>
        <w:pStyle w:val="Heading2"/>
        <w:keepNext/>
        <w:widowControl/>
        <w:rPr/>
      </w:pPr>
      <w:r>
        <w:t>BL-32. Prohibit payment systems that reward excessive speed, skipped breaks, or hours-of-service violations</w:t>
      </w:r>
      <w:bookmarkEnd w:id="2852"/>
    </w:p>
    <w:p>
      <w:pPr>
        <w:pStyle w:val="Normal"/>
        <w:widowControl/>
        <w:rPr/>
      </w:pPr>
      <w:r>
        <w:rPr/>
        <w:t>Prohibit payment systems that reward excessive speed, skipped breaks, or hours-of-service violations.</w:t>
      </w:r>
    </w:p>
    <w:p>
      <w:bookmarkStart w:id="2853" w:name="_NAESTMA_TOC_2853"/>
      <w:pPr>
        <w:pStyle w:val="Heading2"/>
        <w:keepNext/>
        <w:widowControl/>
        <w:rPr/>
      </w:pPr>
      <w:r>
        <w:t>BL-33. Require fatigue-risk management plans for carriers operating overnight, remote, or long-haul routes</w:t>
      </w:r>
      <w:bookmarkEnd w:id="2853"/>
    </w:p>
    <w:p>
      <w:pPr>
        <w:pStyle w:val="Normal"/>
        <w:widowControl/>
        <w:rPr/>
      </w:pPr>
      <w:r>
        <w:rPr/>
        <w:t>Require fatigue-risk management plans for carriers operating overnight, remote, or long-haul routes.</w:t>
      </w:r>
    </w:p>
    <w:p>
      <w:bookmarkStart w:id="2854" w:name="_NAESTMA_TOC_2854"/>
      <w:pPr>
        <w:pStyle w:val="Heading2"/>
        <w:keepNext/>
        <w:widowControl/>
        <w:rPr/>
      </w:pPr>
      <w:r>
        <w:rPr/>
        <w:t>BL-34. additional rest protections for drivers working rotating shifts</w:t>
      </w:r>
      <w:bookmarkEnd w:id="2854"/>
    </w:p>
    <w:p>
      <w:pPr>
        <w:pStyle w:val="Normal"/>
        <w:widowControl/>
        <w:rPr/>
      </w:pPr>
      <w:r>
        <w:rPr/>
        <w:t>Require additional rest protections for drivers working rotating shifts.</w:t>
      </w:r>
    </w:p>
    <w:p>
      <w:bookmarkStart w:id="2855" w:name="_NAESTMA_TOC_2855"/>
      <w:pPr>
        <w:pStyle w:val="Heading2"/>
        <w:keepNext/>
        <w:widowControl/>
        <w:rPr/>
      </w:pPr>
      <w:r>
        <w:t>BL-35. Prohibit driving under the influence of alcohol, cannabis, illegal drugs, or impairing medication</w:t>
      </w:r>
      <w:bookmarkEnd w:id="2855"/>
    </w:p>
    <w:p>
      <w:pPr>
        <w:pStyle w:val="Normal"/>
        <w:widowControl/>
        <w:rPr/>
      </w:pPr>
      <w:r>
        <w:rPr/>
        <w:t>Prohibit driving under the influence of alcohol, cannabis, illegal drugs, or impairing medication.</w:t>
      </w:r>
    </w:p>
    <w:p>
      <w:bookmarkStart w:id="2856" w:name="_NAESTMA_TOC_2856"/>
      <w:pPr>
        <w:pStyle w:val="Heading2"/>
        <w:keepNext/>
        <w:widowControl/>
        <w:rPr/>
      </w:pPr>
      <w:r>
        <w:rPr/>
        <w:t>BL-36. random impairment testing consistent with privacy and human-rights protections</w:t>
      </w:r>
      <w:bookmarkEnd w:id="2856"/>
    </w:p>
    <w:p>
      <w:pPr>
        <w:pStyle w:val="Normal"/>
        <w:widowControl/>
        <w:rPr/>
      </w:pPr>
      <w:r>
        <w:rPr/>
        <w:t>Permit lawful, evidence-based impairment testing consistent with privacy, human-rights, collective-bargaining, medication and due-process protections.</w:t>
      </w:r>
    </w:p>
    <w:p>
      <w:bookmarkStart w:id="2857" w:name="_NAESTMA_TOC_2857"/>
      <w:pPr>
        <w:pStyle w:val="Heading2"/>
        <w:keepNext/>
        <w:widowControl/>
        <w:rPr/>
      </w:pPr>
      <w:r>
        <w:rPr/>
        <w:t>BL-37. immediate post-collision impairment testing after a fatal or serious-injury crash</w:t>
      </w:r>
      <w:bookmarkEnd w:id="2857"/>
    </w:p>
    <w:p>
      <w:pPr>
        <w:pStyle w:val="Normal"/>
        <w:widowControl/>
        <w:rPr/>
      </w:pPr>
      <w:r>
        <w:rPr/>
        <w:t>Require immediate post-collision impairment testing after a fatal or serious-injury crash.</w:t>
      </w:r>
    </w:p>
    <w:p>
      <w:bookmarkStart w:id="2858" w:name="_NAESTMA_TOC_2858"/>
      <w:pPr>
        <w:pStyle w:val="Heading2"/>
        <w:keepNext/>
        <w:widowControl/>
        <w:rPr/>
      </w:pPr>
      <w:r>
        <w:rPr/>
        <w:t>BL-38. carriers to maintain confidential procedures for reporting suspected impairment</w:t>
      </w:r>
      <w:bookmarkEnd w:id="2858"/>
    </w:p>
    <w:p>
      <w:pPr>
        <w:pStyle w:val="Normal"/>
        <w:widowControl/>
        <w:rPr/>
      </w:pPr>
      <w:r>
        <w:rPr/>
        <w:t>Require carriers to maintain confidential procedures for reporting suspected impairment.</w:t>
      </w:r>
    </w:p>
    <w:p>
      <w:bookmarkStart w:id="2859" w:name="_NAESTMA_TOC_2859"/>
      <w:pPr>
        <w:pStyle w:val="Heading2"/>
        <w:keepNext/>
        <w:widowControl/>
        <w:rPr/>
      </w:pPr>
      <w:r>
        <w:rPr/>
        <w:t>BL-39. drivers from using stimulants as a substitute for legally required rest</w:t>
      </w:r>
      <w:bookmarkEnd w:id="2859"/>
    </w:p>
    <w:p>
      <w:pPr>
        <w:pStyle w:val="Normal"/>
        <w:widowControl/>
        <w:rPr/>
      </w:pPr>
      <w:r>
        <w:rPr/>
        <w:t>Prohibit drivers from using stimulants as a substitute for legally required rest.</w:t>
      </w:r>
    </w:p>
    <w:p>
      <w:bookmarkStart w:id="2860" w:name="_NAESTMA_TOC_2860"/>
      <w:pPr>
        <w:pStyle w:val="Heading2"/>
        <w:keepNext/>
        <w:widowControl/>
        <w:rPr/>
      </w:pPr>
      <w:r>
        <w:rPr/>
        <w:t>BL-40. public education explaining that fatigue can impair driving as seriously as alcohol</w:t>
      </w:r>
      <w:bookmarkEnd w:id="2860"/>
    </w:p>
    <w:p>
      <w:pPr>
        <w:pStyle w:val="Normal"/>
        <w:widowControl/>
        <w:rPr/>
      </w:pPr>
      <w:r>
        <w:rPr/>
        <w:t>Require public education explaining that fatigue can impair driving as seriously as alcohol.</w:t>
      </w:r>
    </w:p>
    <w:p>
      <w:bookmarkStart w:id="2861" w:name="_NAESTMA_TOC_2861"/>
      <w:pPr>
        <w:pStyle w:val="Heading2"/>
        <w:keepNext/>
        <w:widowControl/>
        <w:rPr/>
      </w:pPr>
      <w:r>
        <w:t>BL-41. Require speed-limiting capability where appropriate, with limits established according to vehicle type, route, jurisdiction and safety evidence rather than one immutable continental speed</w:t>
      </w:r>
      <w:bookmarkEnd w:id="2861"/>
    </w:p>
    <w:p>
      <w:pPr>
        <w:pStyle w:val="Normal"/>
        <w:widowControl/>
        <w:rPr/>
      </w:pPr>
      <w:r>
        <w:rPr/>
        <w:t>Require speed-limiting capability where appropriate, with limits established according to vehicle type, route, jurisdiction and safety evidence rather than one immutable continental speed.</w:t>
      </w:r>
    </w:p>
    <w:p>
      <w:bookmarkStart w:id="2862" w:name="_NAESTMA_TOC_2862"/>
      <w:pPr>
        <w:pStyle w:val="Heading2"/>
        <w:keepNext/>
        <w:widowControl/>
        <w:rPr/>
      </w:pPr>
      <w:r>
        <w:t>BL-42. Require lower truck speed limits on steep grades, sharp curves, urban roads, and high-pedestrian areas</w:t>
      </w:r>
      <w:bookmarkEnd w:id="2862"/>
    </w:p>
    <w:p>
      <w:pPr>
        <w:pStyle w:val="Normal"/>
        <w:widowControl/>
        <w:rPr/>
      </w:pPr>
      <w:r>
        <w:rPr/>
        <w:t>Require lower truck speed limits on steep grades, sharp curves, urban roads, and high-pedestrian areas.</w:t>
      </w:r>
    </w:p>
    <w:p>
      <w:bookmarkStart w:id="2863" w:name="_NAESTMA_TOC_2863"/>
      <w:pPr>
        <w:pStyle w:val="Heading2"/>
        <w:keepNext/>
        <w:widowControl/>
        <w:rPr/>
      </w:pPr>
      <w:r>
        <w:rPr/>
        <w:t>BL-43. automatic speed monitoring with tamper-resistant records</w:t>
      </w:r>
      <w:bookmarkEnd w:id="2863"/>
    </w:p>
    <w:p>
      <w:pPr>
        <w:pStyle w:val="Normal"/>
        <w:widowControl/>
        <w:rPr/>
      </w:pPr>
      <w:r>
        <w:rPr/>
        <w:t>Maintain tamper-resistant speed/compliance records sufficient for lawful inspection and investigation without continuous centralized tracking of ordinary compliant drivers.</w:t>
      </w:r>
    </w:p>
    <w:p>
      <w:bookmarkStart w:id="2864" w:name="_NAESTMA_TOC_2864"/>
      <w:pPr>
        <w:pStyle w:val="Heading2"/>
        <w:keepNext/>
        <w:widowControl/>
        <w:rPr/>
      </w:pPr>
      <w:r>
        <w:rPr/>
        <w:t>BL-44. carriers from disabling speed governors without documented regulatory authorization</w:t>
      </w:r>
      <w:bookmarkEnd w:id="2864"/>
    </w:p>
    <w:p>
      <w:pPr>
        <w:pStyle w:val="Normal"/>
        <w:widowControl/>
        <w:rPr/>
      </w:pPr>
      <w:r>
        <w:rPr/>
        <w:t>Prohibit carriers from disabling speed governors without documented regulatory authorization.</w:t>
      </w:r>
    </w:p>
    <w:p>
      <w:bookmarkStart w:id="2865" w:name="_NAESTMA_TOC_2865"/>
      <w:pPr>
        <w:pStyle w:val="Heading2"/>
        <w:keepNext/>
        <w:widowControl/>
        <w:rPr/>
      </w:pPr>
      <w:r>
        <w:t>BL-45. Require adaptive cruise control to maintain a safe following distance where the technology is installed</w:t>
      </w:r>
      <w:bookmarkEnd w:id="2865"/>
    </w:p>
    <w:p>
      <w:pPr>
        <w:pStyle w:val="Normal"/>
        <w:widowControl/>
        <w:rPr/>
      </w:pPr>
      <w:r>
        <w:rPr/>
        <w:t>Require adaptive cruise control to maintain a safe following distance where the technology is installed.</w:t>
      </w:r>
    </w:p>
    <w:p>
      <w:bookmarkStart w:id="2866" w:name="_NAESTMA_TOC_2866"/>
      <w:pPr>
        <w:pStyle w:val="Heading2"/>
        <w:keepNext/>
        <w:widowControl/>
        <w:rPr/>
      </w:pPr>
      <w:r>
        <w:t>BL-46. Prohibit reliance on automated driving features when road, weather, or traffic conditions exceed system limits</w:t>
      </w:r>
      <w:bookmarkEnd w:id="2866"/>
    </w:p>
    <w:p>
      <w:pPr>
        <w:pStyle w:val="Normal"/>
        <w:widowControl/>
        <w:rPr/>
      </w:pPr>
      <w:r>
        <w:rPr/>
        <w:t>Prohibit reliance on automated driving features when road, weather, or traffic conditions exceed system limits.</w:t>
      </w:r>
    </w:p>
    <w:p>
      <w:bookmarkStart w:id="2867" w:name="_NAESTMA_TOC_2867"/>
      <w:pPr>
        <w:pStyle w:val="Heading2"/>
        <w:keepNext/>
        <w:widowControl/>
        <w:rPr/>
      </w:pPr>
      <w:r>
        <w:t>BL-47. Require drivers to reduce speed substantially in rain, snow, ice, fog, dust, smoke, or high winds</w:t>
      </w:r>
      <w:bookmarkEnd w:id="2867"/>
    </w:p>
    <w:p>
      <w:pPr>
        <w:pStyle w:val="Normal"/>
        <w:widowControl/>
        <w:rPr/>
      </w:pPr>
      <w:r>
        <w:rPr/>
        <w:t>Require drivers to reduce speed substantially in rain, snow, ice, fog, dust, smoke, or high winds.</w:t>
      </w:r>
    </w:p>
    <w:p>
      <w:bookmarkStart w:id="2868" w:name="_NAESTMA_TOC_2868"/>
      <w:pPr>
        <w:pStyle w:val="Heading2"/>
        <w:keepNext/>
        <w:widowControl/>
        <w:rPr/>
      </w:pPr>
      <w:r>
        <w:rPr/>
        <w:t>BL-48. unsafe overtaking by heavy trucks on designated high-risk roads</w:t>
      </w:r>
      <w:bookmarkEnd w:id="2868"/>
    </w:p>
    <w:p>
      <w:pPr>
        <w:pStyle w:val="Normal"/>
        <w:widowControl/>
        <w:rPr/>
      </w:pPr>
      <w:r>
        <w:rPr/>
        <w:t>Prohibit unsafe overtaking by heavy trucks on designated high-risk roads.</w:t>
      </w:r>
    </w:p>
    <w:p>
      <w:bookmarkStart w:id="2869" w:name="_NAESTMA_TOC_2869"/>
      <w:pPr>
        <w:pStyle w:val="Heading2"/>
        <w:keepNext/>
        <w:widowControl/>
        <w:rPr/>
      </w:pPr>
      <w:r>
        <w:t>BL-49. Use keep-right or lane-use rules where adopted by the competent road authority, with exceptions for passing, turning, hazards, congestion and route design</w:t>
      </w:r>
      <w:bookmarkEnd w:id="2869"/>
    </w:p>
    <w:p>
      <w:pPr>
        <w:pStyle w:val="Normal"/>
        <w:widowControl/>
        <w:rPr/>
      </w:pPr>
      <w:r>
        <w:rPr/>
        <w:t>Use keep-right or lane-use rules where adopted by the competent road authority, with exceptions for passing, turning, hazards, congestion and route design.</w:t>
      </w:r>
    </w:p>
    <w:p>
      <w:bookmarkStart w:id="2870" w:name="_NAESTMA_TOC_2870"/>
      <w:pPr>
        <w:pStyle w:val="Heading2"/>
        <w:keepNext/>
        <w:widowControl/>
        <w:rPr/>
      </w:pPr>
      <w:r>
        <w:t>BL-50. Prohibit tailgating and require minimum following distances based on speed, weight, and road conditions</w:t>
      </w:r>
      <w:bookmarkEnd w:id="2870"/>
    </w:p>
    <w:p>
      <w:pPr>
        <w:pStyle w:val="Normal"/>
        <w:widowControl/>
        <w:rPr/>
      </w:pPr>
      <w:r>
        <w:rPr/>
        <w:t>Prohibit tailgating and require minimum following distances based on speed, weight, and road conditions.</w:t>
      </w:r>
    </w:p>
    <w:p>
      <w:bookmarkStart w:id="2871" w:name="_NAESTMA_TOC_2871"/>
      <w:pPr>
        <w:pStyle w:val="Heading2"/>
        <w:keepNext/>
        <w:widowControl/>
        <w:rPr/>
      </w:pPr>
      <w:r>
        <w:rPr/>
        <w:t>BL-51. drivers to stop when visibility is insufficient to safely continue</w:t>
      </w:r>
      <w:bookmarkEnd w:id="2871"/>
    </w:p>
    <w:p>
      <w:pPr>
        <w:pStyle w:val="Normal"/>
        <w:widowControl/>
        <w:rPr/>
      </w:pPr>
      <w:r>
        <w:rPr/>
        <w:t>Require drivers to stop when visibility is insufficient to safely continue.</w:t>
      </w:r>
    </w:p>
    <w:p>
      <w:bookmarkStart w:id="2872" w:name="_NAESTMA_TOC_2872"/>
      <w:pPr>
        <w:pStyle w:val="Heading2"/>
        <w:keepNext/>
        <w:widowControl/>
        <w:rPr/>
      </w:pPr>
      <w:r>
        <w:t>BL-52. Restrict unnecessary engine/exhaust braking where noise creates a material community impact, but never prohibit its use when reasonably necessary for safe vehicle control</w:t>
      </w:r>
      <w:bookmarkEnd w:id="2872"/>
    </w:p>
    <w:p>
      <w:pPr>
        <w:pStyle w:val="Normal"/>
        <w:widowControl/>
        <w:rPr/>
      </w:pPr>
      <w:r>
        <w:rPr/>
        <w:t>Restrict unnecessary engine/exhaust braking where noise creates a material community impact, but never prohibit its use when reasonably necessary for safe vehicle control.</w:t>
      </w:r>
    </w:p>
    <w:p>
      <w:bookmarkStart w:id="2873" w:name="_NAESTMA_TOC_2873"/>
      <w:pPr>
        <w:pStyle w:val="Heading2"/>
        <w:keepNext/>
        <w:widowControl/>
        <w:rPr/>
      </w:pPr>
      <w:r>
        <w:rPr/>
        <w:t>BL-53. turn signals well before lane changes, turns, merges, and roadside stops</w:t>
      </w:r>
      <w:bookmarkEnd w:id="2873"/>
    </w:p>
    <w:p>
      <w:pPr>
        <w:pStyle w:val="Normal"/>
        <w:widowControl/>
        <w:rPr/>
      </w:pPr>
      <w:r>
        <w:rPr/>
        <w:t>Require turn signals well before lane changes, turns, merges, and roadside stops.</w:t>
      </w:r>
    </w:p>
    <w:p>
      <w:bookmarkStart w:id="2874" w:name="_NAESTMA_TOC_2874"/>
      <w:pPr>
        <w:pStyle w:val="Heading2"/>
        <w:keepNext/>
        <w:widowControl/>
        <w:rPr/>
      </w:pPr>
      <w:r>
        <w:t>BL-54. Require drivers to confirm that adjacent lanes are clear using mirrors and approved detection systems</w:t>
      </w:r>
      <w:bookmarkEnd w:id="2874"/>
    </w:p>
    <w:p>
      <w:pPr>
        <w:pStyle w:val="Normal"/>
        <w:widowControl/>
        <w:rPr/>
      </w:pPr>
      <w:r>
        <w:rPr/>
        <w:t>Require drivers to confirm that adjacent lanes are clear using mirrors and approved detection systems.</w:t>
      </w:r>
    </w:p>
    <w:p>
      <w:bookmarkStart w:id="2875" w:name="_NAESTMA_TOC_2875"/>
      <w:pPr>
        <w:pStyle w:val="Heading2"/>
        <w:keepNext/>
        <w:widowControl/>
        <w:rPr/>
      </w:pPr>
      <w:r>
        <w:rPr/>
        <w:t>BL-55. handheld phone use, texting, video viewing, and manual device operation while driving</w:t>
      </w:r>
      <w:bookmarkEnd w:id="2875"/>
    </w:p>
    <w:p>
      <w:pPr>
        <w:pStyle w:val="Normal"/>
        <w:widowControl/>
        <w:rPr/>
      </w:pPr>
      <w:r>
        <w:rPr/>
        <w:t>Prohibit handheld phone use, texting, video viewing, and manual device operation while driving.</w:t>
      </w:r>
    </w:p>
    <w:p>
      <w:bookmarkStart w:id="2876" w:name="_NAESTMA_TOC_2876"/>
      <w:pPr>
        <w:pStyle w:val="Heading2"/>
        <w:keepNext/>
        <w:widowControl/>
        <w:rPr/>
      </w:pPr>
      <w:r>
        <w:rPr/>
        <w:t>BL-56. hands-free communication systems to be mounted and configured before a trip begins</w:t>
      </w:r>
      <w:bookmarkEnd w:id="2876"/>
    </w:p>
    <w:p>
      <w:pPr>
        <w:pStyle w:val="Normal"/>
        <w:widowControl/>
        <w:rPr/>
      </w:pPr>
      <w:r>
        <w:rPr/>
        <w:t>Require hands-free communication systems to be mounted and configured before a trip begins.</w:t>
      </w:r>
    </w:p>
    <w:p>
      <w:bookmarkStart w:id="2877" w:name="_NAESTMA_TOC_2877"/>
      <w:pPr>
        <w:pStyle w:val="Heading2"/>
        <w:keepNext/>
        <w:widowControl/>
        <w:rPr/>
      </w:pPr>
      <w:r>
        <w:rPr/>
        <w:t>BL-57. eating, reading paperwork, grooming, or other distracting activities while moving</w:t>
      </w:r>
      <w:bookmarkEnd w:id="2877"/>
    </w:p>
    <w:p>
      <w:pPr>
        <w:pStyle w:val="Normal"/>
        <w:widowControl/>
        <w:rPr/>
      </w:pPr>
      <w:r>
        <w:rPr/>
        <w:t>Prohibit eating, reading paperwork, grooming, or other distracting activities while moving.</w:t>
      </w:r>
    </w:p>
    <w:p>
      <w:bookmarkStart w:id="2878" w:name="_NAESTMA_TOC_2878"/>
      <w:pPr>
        <w:pStyle w:val="Heading2"/>
        <w:keepNext/>
        <w:widowControl/>
        <w:rPr/>
      </w:pPr>
      <w:r>
        <w:rPr/>
        <w:t>BL-58. drivers to conduct a complete walk-around inspection before leaving each stop</w:t>
      </w:r>
      <w:bookmarkEnd w:id="2878"/>
    </w:p>
    <w:p>
      <w:pPr>
        <w:pStyle w:val="Normal"/>
        <w:widowControl/>
        <w:rPr/>
      </w:pPr>
      <w:r>
        <w:rPr/>
        <w:t>Require complete pre-trip inspections and additional walk-arounds after coupling, loading, material incidents or intervals established by regulation rather than after every trivial stop.</w:t>
      </w:r>
    </w:p>
    <w:p>
      <w:bookmarkStart w:id="2879" w:name="_NAESTMA_TOC_2879"/>
      <w:pPr>
        <w:pStyle w:val="Heading2"/>
        <w:keepNext/>
        <w:widowControl/>
        <w:rPr/>
      </w:pPr>
      <w:r>
        <w:t>BL-59. Require drivers to use hazard lights, warning triangles, and reflective equipment during roadside emergencies</w:t>
      </w:r>
      <w:bookmarkEnd w:id="2879"/>
    </w:p>
    <w:p>
      <w:pPr>
        <w:pStyle w:val="Normal"/>
        <w:widowControl/>
        <w:rPr/>
      </w:pPr>
      <w:r>
        <w:rPr/>
        <w:t>Require drivers to use hazard lights, warning triangles, and reflective equipment during roadside emergencies.</w:t>
      </w:r>
    </w:p>
    <w:p>
      <w:bookmarkStart w:id="2880" w:name="_NAESTMA_TOC_2880"/>
      <w:pPr>
        <w:pStyle w:val="Heading2"/>
        <w:keepNext/>
        <w:widowControl/>
        <w:rPr/>
      </w:pPr>
      <w:r>
        <w:t>BL-60. Prohibit parking, reversing, or loading in locations that obstruct visibility or create an avoidable traffic hazard</w:t>
      </w:r>
      <w:bookmarkEnd w:id="2880"/>
    </w:p>
    <w:p>
      <w:pPr>
        <w:pStyle w:val="Normal"/>
        <w:widowControl/>
        <w:rPr/>
      </w:pPr>
      <w:r>
        <w:rPr/>
        <w:t>Prohibit parking, reversing, or loading in locations that obstruct visibility or create an avoidable traffic hazard.</w:t>
      </w:r>
    </w:p>
    <w:p>
      <w:bookmarkStart w:id="2881" w:name="_NAESTMA_TOC_2881"/>
      <w:pPr>
        <w:pStyle w:val="Heading2"/>
        <w:keepNext/>
        <w:widowControl/>
        <w:rPr/>
      </w:pPr>
      <w:r>
        <w:rPr/>
        <w:t>BL-61. automatic emergency braking on all newly manufactured heavy trucks and trailers</w:t>
      </w:r>
      <w:bookmarkEnd w:id="2881"/>
    </w:p>
    <w:p>
      <w:pPr>
        <w:pStyle w:val="Normal"/>
        <w:widowControl/>
        <w:rPr/>
      </w:pPr>
      <w:r>
        <w:rPr/>
        <w:t>Require automatic emergency braking on newly manufactured heavy vehicles where technically applicable. Trailer braking requirements may use functionally equivalent technologies suited to trailer architecture.</w:t>
      </w:r>
    </w:p>
    <w:p>
      <w:bookmarkStart w:id="2882" w:name="_NAESTMA_TOC_2882"/>
      <w:pPr>
        <w:pStyle w:val="Heading2"/>
        <w:keepNext/>
        <w:widowControl/>
        <w:rPr/>
      </w:pPr>
      <w:r>
        <w:rPr/>
        <w:t>BL-62. forward-collision warning systems on all newly manufactured heavy trucks</w:t>
      </w:r>
      <w:bookmarkEnd w:id="2882"/>
    </w:p>
    <w:p>
      <w:pPr>
        <w:pStyle w:val="Normal"/>
        <w:widowControl/>
        <w:rPr/>
      </w:pPr>
      <w:r>
        <w:rPr/>
        <w:t>Require forward-collision warning systems on all newly manufactured heavy trucks.</w:t>
      </w:r>
    </w:p>
    <w:p>
      <w:bookmarkStart w:id="2883" w:name="_NAESTMA_TOC_2883"/>
      <w:pPr>
        <w:pStyle w:val="Heading2"/>
        <w:keepNext/>
        <w:widowControl/>
        <w:rPr/>
      </w:pPr>
      <w:r>
        <w:rPr/>
        <w:t>BL-63. blind-spot detection covering the passenger side and rear trailer area</w:t>
      </w:r>
      <w:bookmarkEnd w:id="2883"/>
    </w:p>
    <w:p>
      <w:pPr>
        <w:pStyle w:val="Normal"/>
        <w:widowControl/>
        <w:rPr/>
      </w:pPr>
      <w:r>
        <w:rPr/>
        <w:t>Require blind-spot detection covering the passenger side and rear trailer area.</w:t>
      </w:r>
    </w:p>
    <w:p>
      <w:bookmarkStart w:id="2884" w:name="_NAESTMA_TOC_2884"/>
      <w:pPr>
        <w:pStyle w:val="Heading2"/>
        <w:keepNext/>
        <w:widowControl/>
        <w:rPr/>
      </w:pPr>
      <w:r>
        <w:rPr/>
        <w:t>BL-64. side underride guards on trailers and other vehicles where technically feasible</w:t>
      </w:r>
      <w:bookmarkEnd w:id="2884"/>
    </w:p>
    <w:p>
      <w:pPr>
        <w:pStyle w:val="Normal"/>
        <w:widowControl/>
        <w:rPr/>
      </w:pPr>
      <w:r>
        <w:rPr/>
        <w:t>Require side underride guards on trailers and other vehicles where technically feasible.</w:t>
      </w:r>
    </w:p>
    <w:p>
      <w:bookmarkStart w:id="2885" w:name="_NAESTMA_TOC_2885"/>
      <w:pPr>
        <w:pStyle w:val="Heading2"/>
        <w:keepNext/>
        <w:widowControl/>
        <w:rPr/>
      </w:pPr>
      <w:r>
        <w:rPr/>
        <w:t>BL-65. rear underride guards meeting a common tri-national performance standard</w:t>
      </w:r>
      <w:bookmarkEnd w:id="2885"/>
    </w:p>
    <w:p>
      <w:pPr>
        <w:pStyle w:val="Normal"/>
        <w:widowControl/>
        <w:rPr/>
      </w:pPr>
      <w:r>
        <w:rPr/>
        <w:t>Require rear underride guards meeting a common tri-national performance standard.</w:t>
      </w:r>
    </w:p>
    <w:p>
      <w:bookmarkStart w:id="2886" w:name="_NAESTMA_TOC_2886"/>
      <w:pPr>
        <w:pStyle w:val="Heading2"/>
        <w:keepNext/>
        <w:widowControl/>
        <w:rPr/>
      </w:pPr>
      <w:r>
        <w:rPr/>
        <w:t>BL-66. conspicuity tape and reflective markings on all trailers and heavy trucks</w:t>
      </w:r>
      <w:bookmarkEnd w:id="2886"/>
    </w:p>
    <w:p>
      <w:pPr>
        <w:pStyle w:val="Normal"/>
        <w:widowControl/>
        <w:rPr/>
      </w:pPr>
      <w:r>
        <w:rPr/>
        <w:t>Require conspicuity tape and reflective markings on all trailers and heavy trucks.</w:t>
      </w:r>
    </w:p>
    <w:p>
      <w:bookmarkStart w:id="2887" w:name="_NAESTMA_TOC_2887"/>
      <w:pPr>
        <w:pStyle w:val="Heading2"/>
        <w:keepNext/>
        <w:widowControl/>
        <w:rPr/>
      </w:pPr>
      <w:r>
        <w:rPr/>
        <w:t>BL-67. adequate lighting on the front, rear, sides, mirrors, trailer edges, and license plates</w:t>
      </w:r>
      <w:bookmarkEnd w:id="2887"/>
    </w:p>
    <w:p>
      <w:pPr>
        <w:pStyle w:val="Normal"/>
        <w:widowControl/>
        <w:rPr/>
      </w:pPr>
      <w:r>
        <w:rPr/>
        <w:t>Require adequate lighting on the front, rear, sides, mirrors, trailer edges, and license plates.</w:t>
      </w:r>
    </w:p>
    <w:p>
      <w:bookmarkStart w:id="2888" w:name="_NAESTMA_TOC_2888"/>
      <w:pPr>
        <w:pStyle w:val="Heading2"/>
        <w:keepNext/>
        <w:widowControl/>
        <w:rPr/>
      </w:pPr>
      <w:r>
        <w:rPr/>
        <w:t>BL-68. larger or improved mirrors that minimize blind zones around the cab</w:t>
      </w:r>
      <w:bookmarkEnd w:id="2888"/>
    </w:p>
    <w:p>
      <w:pPr>
        <w:pStyle w:val="Normal"/>
        <w:widowControl/>
        <w:rPr/>
      </w:pPr>
      <w:r>
        <w:rPr/>
        <w:t>Require larger or improved mirrors that minimize blind zones around the cab.</w:t>
      </w:r>
    </w:p>
    <w:p>
      <w:bookmarkStart w:id="2889" w:name="_NAESTMA_TOC_2889"/>
      <w:pPr>
        <w:pStyle w:val="Heading2"/>
        <w:keepNext/>
        <w:widowControl/>
        <w:rPr/>
      </w:pPr>
      <w:r>
        <w:rPr/>
        <w:t>BL-69. rear cameras or sensor systems that assist drivers while reversing</w:t>
      </w:r>
      <w:bookmarkEnd w:id="2889"/>
    </w:p>
    <w:p>
      <w:pPr>
        <w:pStyle w:val="Normal"/>
        <w:widowControl/>
        <w:rPr/>
      </w:pPr>
      <w:r>
        <w:rPr/>
        <w:t>Require rear cameras or sensor systems that assist drivers while reversing.</w:t>
      </w:r>
    </w:p>
    <w:p>
      <w:bookmarkStart w:id="2890" w:name="_NAESTMA_TOC_2890"/>
      <w:pPr>
        <w:pStyle w:val="Heading2"/>
        <w:keepNext/>
        <w:widowControl/>
        <w:rPr/>
      </w:pPr>
      <w:r>
        <w:rPr/>
        <w:t>BL-70. audible and visual reverse warnings in pedestrian-heavy work areas</w:t>
      </w:r>
      <w:bookmarkEnd w:id="2890"/>
    </w:p>
    <w:p>
      <w:pPr>
        <w:pStyle w:val="Normal"/>
        <w:widowControl/>
        <w:rPr/>
      </w:pPr>
      <w:r>
        <w:rPr/>
        <w:t>Require audible and visual reverse warnings in pedestrian-heavy work areas.</w:t>
      </w:r>
    </w:p>
    <w:p>
      <w:bookmarkStart w:id="2891" w:name="_NAESTMA_TOC_2891"/>
      <w:pPr>
        <w:pStyle w:val="Heading2"/>
        <w:keepNext/>
        <w:widowControl/>
        <w:rPr/>
      </w:pPr>
      <w:r>
        <w:rPr/>
        <w:t>BL-71. electronic stability control on all eligible heavy trucks</w:t>
      </w:r>
      <w:bookmarkEnd w:id="2891"/>
    </w:p>
    <w:p>
      <w:pPr>
        <w:pStyle w:val="Normal"/>
        <w:widowControl/>
        <w:rPr/>
      </w:pPr>
      <w:r>
        <w:rPr/>
        <w:t>Require electronic stability control on all eligible heavy trucks.</w:t>
      </w:r>
    </w:p>
    <w:p>
      <w:bookmarkStart w:id="2892" w:name="_NAESTMA_TOC_2892"/>
      <w:pPr>
        <w:pStyle w:val="Heading2"/>
        <w:keepNext/>
        <w:widowControl/>
        <w:rPr/>
      </w:pPr>
      <w:r>
        <w:rPr/>
        <w:t>BL-72. roll-stability systems on vehicles with high centers of gravity</w:t>
      </w:r>
      <w:bookmarkEnd w:id="2892"/>
    </w:p>
    <w:p>
      <w:pPr>
        <w:pStyle w:val="Normal"/>
        <w:widowControl/>
        <w:rPr/>
      </w:pPr>
      <w:r>
        <w:rPr/>
        <w:t>Require roll-stability systems on vehicles with high centers of gravity.</w:t>
      </w:r>
    </w:p>
    <w:p>
      <w:bookmarkStart w:id="2893" w:name="_NAESTMA_TOC_2893"/>
      <w:pPr>
        <w:pStyle w:val="Heading2"/>
        <w:keepNext/>
        <w:widowControl/>
        <w:rPr/>
      </w:pPr>
      <w:r>
        <w:rPr/>
        <w:t>BL-73. tire-pressure monitoring systems on tractors and trailers</w:t>
      </w:r>
      <w:bookmarkEnd w:id="2893"/>
    </w:p>
    <w:p>
      <w:pPr>
        <w:pStyle w:val="Normal"/>
        <w:widowControl/>
        <w:rPr/>
      </w:pPr>
      <w:r>
        <w:rPr/>
        <w:t>Require tire-pressure monitoring systems on tractors and trailers.</w:t>
      </w:r>
    </w:p>
    <w:p>
      <w:bookmarkStart w:id="2894" w:name="_NAESTMA_TOC_2894"/>
      <w:pPr>
        <w:pStyle w:val="Heading2"/>
        <w:keepNext/>
        <w:widowControl/>
        <w:rPr/>
      </w:pPr>
      <w:r>
        <w:rPr/>
        <w:t>BL-74. automatic tire-deflation warnings before a tire reaches a dangerous condition</w:t>
      </w:r>
      <w:bookmarkEnd w:id="2894"/>
    </w:p>
    <w:p>
      <w:pPr>
        <w:pStyle w:val="Normal"/>
        <w:widowControl/>
        <w:rPr/>
      </w:pPr>
      <w:r>
        <w:rPr/>
        <w:t>Merge tire-deflation warning requirements into a broader tractor-and-trailer tire-pressure monitoring and critical-loss alert standard.</w:t>
      </w:r>
    </w:p>
    <w:p>
      <w:bookmarkStart w:id="2895" w:name="_NAESTMA_TOC_2895"/>
      <w:pPr>
        <w:pStyle w:val="Heading2"/>
        <w:keepNext/>
        <w:widowControl/>
        <w:rPr/>
      </w:pPr>
      <w:r>
        <w:rPr/>
        <w:t>BL-75. dashboard warnings for brake-system, lighting, steering, and stability-system failures</w:t>
      </w:r>
      <w:bookmarkEnd w:id="2895"/>
    </w:p>
    <w:p>
      <w:pPr>
        <w:pStyle w:val="Normal"/>
        <w:widowControl/>
        <w:rPr/>
      </w:pPr>
      <w:r>
        <w:rPr/>
        <w:t>Require dashboard warnings for brake-system, lighting, steering, and stability-system failures.</w:t>
      </w:r>
    </w:p>
    <w:p>
      <w:bookmarkStart w:id="2896" w:name="_NAESTMA_TOC_2896"/>
      <w:pPr>
        <w:pStyle w:val="Heading2"/>
        <w:keepNext/>
        <w:widowControl/>
        <w:rPr/>
      </w:pPr>
      <w:r>
        <w:rPr/>
        <w:t>BL-76. operation when a critical safety warning remains unresolved</w:t>
      </w:r>
      <w:bookmarkEnd w:id="2896"/>
    </w:p>
    <w:p>
      <w:pPr>
        <w:pStyle w:val="Normal"/>
        <w:widowControl/>
        <w:rPr/>
      </w:pPr>
      <w:r>
        <w:rPr/>
        <w:t>Prohibit operation when a critical safety warning remains unresolved.</w:t>
      </w:r>
    </w:p>
    <w:p>
      <w:bookmarkStart w:id="2897" w:name="_NAESTMA_TOC_2897"/>
      <w:pPr>
        <w:pStyle w:val="Heading2"/>
        <w:keepNext/>
        <w:widowControl/>
        <w:rPr/>
      </w:pPr>
      <w:r>
        <w:rPr/>
        <w:t>BL-77. safety systems to be protected against unauthorized disabling or tampering</w:t>
      </w:r>
      <w:bookmarkEnd w:id="2897"/>
    </w:p>
    <w:p>
      <w:pPr>
        <w:pStyle w:val="Normal"/>
        <w:widowControl/>
        <w:rPr/>
      </w:pPr>
      <w:r>
        <w:rPr/>
        <w:t>Require safety systems to be protected against unauthorized disabling or tampering.</w:t>
      </w:r>
    </w:p>
    <w:p>
      <w:bookmarkStart w:id="2898" w:name="_NAESTMA_TOC_2898"/>
      <w:pPr>
        <w:pStyle w:val="Heading2"/>
        <w:keepNext/>
        <w:widowControl/>
        <w:rPr/>
      </w:pPr>
      <w:r>
        <w:t>BL-78. Require manufacturers to report serious safety defects promptly to all three national regulators</w:t>
      </w:r>
      <w:bookmarkEnd w:id="2898"/>
    </w:p>
    <w:p>
      <w:pPr>
        <w:pStyle w:val="Normal"/>
        <w:widowControl/>
        <w:rPr/>
      </w:pPr>
      <w:r>
        <w:rPr/>
        <w:t>Require manufacturers to report serious safety defects promptly to all three national regulators.</w:t>
      </w:r>
    </w:p>
    <w:p>
      <w:bookmarkStart w:id="2899" w:name="_NAESTMA_TOC_2899"/>
      <w:pPr>
        <w:pStyle w:val="Heading2"/>
        <w:keepNext/>
        <w:widowControl/>
        <w:rPr/>
      </w:pPr>
      <w:r>
        <w:rPr/>
        <w:t>BL-79. rapid recall notification to carriers, drivers, dealers, and repair facilities</w:t>
      </w:r>
      <w:bookmarkEnd w:id="2899"/>
    </w:p>
    <w:p>
      <w:pPr>
        <w:pStyle w:val="Normal"/>
        <w:widowControl/>
        <w:rPr/>
      </w:pPr>
      <w:r>
        <w:rPr/>
        <w:t>Require rapid recall notification to carriers, drivers, dealers, and repair facilities.</w:t>
      </w:r>
    </w:p>
    <w:p>
      <w:bookmarkStart w:id="2900" w:name="_NAESTMA_TOC_2900"/>
      <w:pPr>
        <w:pStyle w:val="Heading2"/>
        <w:keepNext/>
        <w:widowControl/>
        <w:rPr/>
      </w:pPr>
      <w:r>
        <w:t>BL-80. Develop standardized, transparent truck safety and crash-avoidance information for fleet purchasers and lessees where methodology is validated and does not mislead consumers</w:t>
      </w:r>
      <w:bookmarkEnd w:id="2900"/>
    </w:p>
    <w:p>
      <w:pPr>
        <w:pStyle w:val="Normal"/>
        <w:widowControl/>
        <w:rPr/>
      </w:pPr>
      <w:r>
        <w:rPr/>
        <w:t>Develop standardized, transparent truck safety and crash-avoidance information for fleet purchasers and lessees where methodology is validated and does not mislead consumers.</w:t>
      </w:r>
    </w:p>
    <w:p>
      <w:bookmarkStart w:id="2901" w:name="_NAESTMA_TOC_2901"/>
      <w:pPr>
        <w:pStyle w:val="Heading2"/>
        <w:keepNext/>
        <w:widowControl/>
        <w:rPr/>
      </w:pPr>
      <w:r>
        <w:rPr/>
        <w:t>BL-81. documented pre-trip and post-trip inspections for every tractor and trailer</w:t>
      </w:r>
      <w:bookmarkEnd w:id="2901"/>
    </w:p>
    <w:p>
      <w:pPr>
        <w:pStyle w:val="Normal"/>
        <w:widowControl/>
        <w:rPr/>
      </w:pPr>
      <w:r>
        <w:rPr/>
        <w:t>Require documented pre-trip and post-trip inspections for every tractor and trailer.</w:t>
      </w:r>
    </w:p>
    <w:p>
      <w:bookmarkStart w:id="2902" w:name="_NAESTMA_TOC_2902"/>
      <w:pPr>
        <w:pStyle w:val="Heading2"/>
        <w:keepNext/>
        <w:widowControl/>
        <w:rPr/>
      </w:pPr>
      <w:r>
        <w:rPr/>
        <w:t>BL-82. carriers to repair critical defects before the vehicle returns to service</w:t>
      </w:r>
      <w:bookmarkEnd w:id="2902"/>
    </w:p>
    <w:p>
      <w:pPr>
        <w:pStyle w:val="Normal"/>
        <w:widowControl/>
        <w:rPr/>
      </w:pPr>
      <w:r>
        <w:rPr/>
        <w:t>Require carriers to repair critical defects before the vehicle returns to service.</w:t>
      </w:r>
    </w:p>
    <w:p>
      <w:bookmarkStart w:id="2903" w:name="_NAESTMA_TOC_2903"/>
      <w:pPr>
        <w:pStyle w:val="Heading2"/>
        <w:keepNext/>
        <w:widowControl/>
        <w:rPr/>
      </w:pPr>
      <w:r>
        <w:t>BL-83. Use a standardized daily/pre-trip/post-trip inspection regime without duplicative checklists for the same vehicle condition</w:t>
      </w:r>
      <w:bookmarkEnd w:id="2903"/>
    </w:p>
    <w:p>
      <w:pPr>
        <w:pStyle w:val="Normal"/>
        <w:widowControl/>
        <w:rPr/>
      </w:pPr>
      <w:r>
        <w:rPr/>
        <w:t>Use a standardized daily/pre-trip/post-trip inspection regime without duplicative checklists for the same vehicle condition.</w:t>
      </w:r>
    </w:p>
    <w:p>
      <w:bookmarkStart w:id="2904" w:name="_NAESTMA_TOC_2904"/>
      <w:pPr>
        <w:pStyle w:val="Heading2"/>
        <w:keepNext/>
        <w:widowControl/>
        <w:rPr/>
      </w:pPr>
      <w:r>
        <w:t>BL-84. Require more frequent inspections for vehicles operating in severe weather, mountainous terrain, or high-mileage service</w:t>
      </w:r>
      <w:bookmarkEnd w:id="2904"/>
    </w:p>
    <w:p>
      <w:pPr>
        <w:pStyle w:val="Normal"/>
        <w:widowControl/>
        <w:rPr/>
      </w:pPr>
      <w:r>
        <w:rPr/>
        <w:t>Require more frequent inspections for vehicles operating in severe weather, mountainous terrain, or high-mileage service.</w:t>
      </w:r>
    </w:p>
    <w:p>
      <w:bookmarkStart w:id="2905" w:name="_NAESTMA_TOC_2905"/>
      <w:pPr>
        <w:pStyle w:val="Heading2"/>
        <w:keepNext/>
        <w:widowControl/>
        <w:rPr/>
      </w:pPr>
      <w:r>
        <w:rPr/>
        <w:t>BL-85. annual independent safety inspections by a certified inspector</w:t>
      </w:r>
      <w:bookmarkEnd w:id="2905"/>
    </w:p>
    <w:p>
      <w:pPr>
        <w:pStyle w:val="Normal"/>
        <w:widowControl/>
        <w:rPr/>
      </w:pPr>
      <w:r>
        <w:rPr/>
        <w:t>Require annual independent safety inspections by a certified inspector.</w:t>
      </w:r>
    </w:p>
    <w:p>
      <w:bookmarkStart w:id="2906" w:name="_NAESTMA_TOC_2906"/>
      <w:pPr>
        <w:pStyle w:val="Heading2"/>
        <w:keepNext/>
        <w:widowControl/>
        <w:rPr/>
      </w:pPr>
      <w:r>
        <w:t>BL-86. Require roadside inspections to use a shared digital record accessible to regulators in all three countries</w:t>
      </w:r>
      <w:bookmarkEnd w:id="2906"/>
    </w:p>
    <w:p>
      <w:pPr>
        <w:pStyle w:val="Normal"/>
        <w:widowControl/>
        <w:rPr/>
      </w:pPr>
      <w:r>
        <w:rPr/>
        <w:t>Require roadside inspections to use a shared digital record accessible to regulators in all three countries.</w:t>
      </w:r>
    </w:p>
    <w:p>
      <w:bookmarkStart w:id="2907" w:name="_NAESTMA_TOC_2907"/>
      <w:pPr>
        <w:pStyle w:val="Heading2"/>
        <w:keepNext/>
        <w:widowControl/>
        <w:rPr/>
      </w:pPr>
      <w:r>
        <w:t>BL-87. Place any truck with dangerously defective brakes, tires, steering, or coupling equipment out of service immediately</w:t>
      </w:r>
      <w:bookmarkEnd w:id="2907"/>
    </w:p>
    <w:p>
      <w:pPr>
        <w:pStyle w:val="Normal"/>
        <w:widowControl/>
        <w:rPr/>
      </w:pPr>
      <w:r>
        <w:rPr/>
        <w:t>Place any truck with dangerously defective brakes, tires, steering, or coupling equipment out of service immediately.</w:t>
      </w:r>
    </w:p>
    <w:p>
      <w:bookmarkStart w:id="2908" w:name="_NAESTMA_TOC_2908"/>
      <w:pPr>
        <w:pStyle w:val="Heading2"/>
        <w:keepNext/>
        <w:widowControl/>
        <w:rPr/>
      </w:pPr>
      <w:r>
        <w:t>BL-88. Maintenance-Record Retention for a Defined, Risk-Based Period</w:t>
      </w:r>
      <w:bookmarkEnd w:id="2908"/>
    </w:p>
    <w:p>
      <w:pPr>
        <w:pStyle w:val="Normal"/>
        <w:widowControl/>
        <w:rPr/>
      </w:pPr>
      <w:r>
        <w:rPr/>
        <w:t>Retain maintenance and inspection records for a reasonable risk-, warranty- and law-based period rather than automatically for the vehicle’s entire physical life plus an arbitrary additional term.</w:t>
      </w:r>
    </w:p>
    <w:p>
      <w:bookmarkStart w:id="2909" w:name="_NAESTMA_TOC_2909"/>
      <w:pPr>
        <w:pStyle w:val="Heading2"/>
        <w:keepNext/>
        <w:widowControl/>
        <w:rPr/>
      </w:pPr>
      <w:r>
        <w:rPr/>
        <w:t>BL-89. carriers from outsourcing maintenance to uncertified or unqualified repair facilities</w:t>
      </w:r>
      <w:bookmarkEnd w:id="2909"/>
    </w:p>
    <w:p>
      <w:pPr>
        <w:pStyle w:val="Normal"/>
        <w:widowControl/>
        <w:rPr/>
      </w:pPr>
      <w:r>
        <w:rPr/>
        <w:t>Require maintenance by qualified personnel and auditable facilities, including competent in-house and independent repair operations; do not require unnecessary exclusive certification monopolies.</w:t>
      </w:r>
    </w:p>
    <w:p>
      <w:bookmarkStart w:id="2910" w:name="_NAESTMA_TOC_2910"/>
      <w:pPr>
        <w:pStyle w:val="Heading2"/>
        <w:keepNext/>
        <w:widowControl/>
        <w:rPr/>
      </w:pPr>
      <w:r>
        <w:t>BL-90. Hold carriers accountable when they knowingly operate vehicles with recurring unresolved defects</w:t>
      </w:r>
      <w:bookmarkEnd w:id="2910"/>
    </w:p>
    <w:p>
      <w:pPr>
        <w:pStyle w:val="Normal"/>
        <w:widowControl/>
        <w:rPr/>
      </w:pPr>
      <w:r>
        <w:rPr/>
        <w:t>Hold carriers accountable when they knowingly operate vehicles with recurring unresolved defects.</w:t>
      </w:r>
    </w:p>
    <w:p>
      <w:bookmarkStart w:id="2911" w:name="_NAESTMA_TOC_2911"/>
      <w:pPr>
        <w:pStyle w:val="Heading2"/>
        <w:keepNext/>
        <w:widowControl/>
        <w:rPr/>
      </w:pPr>
      <w:r>
        <w:rPr/>
        <w:t>BL-91. cargo to be weighed and its weight distributed correctly before departure</w:t>
      </w:r>
      <w:bookmarkEnd w:id="2911"/>
    </w:p>
    <w:p>
      <w:pPr>
        <w:pStyle w:val="Normal"/>
        <w:widowControl/>
        <w:rPr/>
      </w:pPr>
      <w:r>
        <w:rPr/>
        <w:t>Require verified cargo mass and safe weight distribution by approved weighing, shipper documentation or another reliable method appropriate to the operation.</w:t>
      </w:r>
    </w:p>
    <w:p>
      <w:bookmarkStart w:id="2912" w:name="_NAESTMA_TOC_2912"/>
      <w:pPr>
        <w:pStyle w:val="Heading2"/>
        <w:keepNext/>
        <w:widowControl/>
        <w:rPr/>
      </w:pPr>
      <w:r>
        <w:rPr/>
        <w:t>BL-92. all cargo to be secured according to a harmonized tri-national standard</w:t>
      </w:r>
      <w:bookmarkEnd w:id="2912"/>
    </w:p>
    <w:p>
      <w:pPr>
        <w:pStyle w:val="Normal"/>
        <w:widowControl/>
        <w:rPr/>
      </w:pPr>
      <w:r>
        <w:rPr/>
        <w:t>Require all cargo to be secured according to a harmonized tri-national standard.</w:t>
      </w:r>
    </w:p>
    <w:p>
      <w:bookmarkStart w:id="2913" w:name="_NAESTMA_TOC_2913"/>
      <w:pPr>
        <w:pStyle w:val="Heading2"/>
        <w:keepNext/>
        <w:widowControl/>
        <w:rPr/>
      </w:pPr>
      <w:r>
        <w:rPr/>
        <w:t>BL-93. securement equipment to be inspected before loading and after significant route changes</w:t>
      </w:r>
      <w:bookmarkEnd w:id="2913"/>
    </w:p>
    <w:p>
      <w:pPr>
        <w:pStyle w:val="Normal"/>
        <w:widowControl/>
        <w:rPr/>
      </w:pPr>
      <w:r>
        <w:rPr/>
        <w:t>Inspect securement after loading and at appropriate distance, time or event triggers, especially after conditions capable of shifting cargo; a route change alone is not automatically such a trigger.</w:t>
      </w:r>
    </w:p>
    <w:p>
      <w:bookmarkStart w:id="2914" w:name="_NAESTMA_TOC_2914"/>
      <w:pPr>
        <w:pStyle w:val="Heading2"/>
        <w:keepNext/>
        <w:widowControl/>
        <w:rPr/>
      </w:pPr>
      <w:r>
        <w:t>BL-94. Prohibit operation when cargo has shifted, leaked, exceeded axle limits, or compromised vehicle stability</w:t>
      </w:r>
      <w:bookmarkEnd w:id="2914"/>
    </w:p>
    <w:p>
      <w:pPr>
        <w:pStyle w:val="Normal"/>
        <w:widowControl/>
        <w:rPr/>
      </w:pPr>
      <w:r>
        <w:rPr/>
        <w:t>Prohibit operation when cargo has shifted, leaked, exceeded axle limits, or compromised vehicle stability.</w:t>
      </w:r>
    </w:p>
    <w:p>
      <w:bookmarkStart w:id="2915" w:name="_NAESTMA_TOC_2915"/>
      <w:pPr>
        <w:pStyle w:val="Heading2"/>
        <w:keepNext/>
        <w:widowControl/>
        <w:rPr/>
      </w:pPr>
      <w:r>
        <w:rPr/>
        <w:t>BL-95. electronic weight verification at major freight facilities and border crossings</w:t>
      </w:r>
      <w:bookmarkEnd w:id="2915"/>
    </w:p>
    <w:p>
      <w:pPr>
        <w:pStyle w:val="Normal"/>
        <w:widowControl/>
        <w:rPr/>
      </w:pPr>
      <w:r>
        <w:rPr/>
        <w:t>Require electronic weight verification at major freight facilities and border crossings.</w:t>
      </w:r>
    </w:p>
    <w:p>
      <w:bookmarkStart w:id="2916" w:name="_NAESTMA_TOC_2916"/>
      <w:pPr>
        <w:pStyle w:val="Heading2"/>
        <w:keepNext/>
        <w:widowControl/>
        <w:rPr/>
      </w:pPr>
      <w:r>
        <w:rPr/>
        <w:t>BL-96. sealed containers to be checked for structural damage before transport</w:t>
      </w:r>
      <w:bookmarkEnd w:id="2916"/>
    </w:p>
    <w:p>
      <w:pPr>
        <w:pStyle w:val="Normal"/>
        <w:widowControl/>
        <w:rPr/>
      </w:pPr>
      <w:r>
        <w:rPr/>
        <w:t>Require sealed containers to be checked for structural damage before transport.</w:t>
      </w:r>
    </w:p>
    <w:p>
      <w:bookmarkStart w:id="2917" w:name="_NAESTMA_TOC_2917"/>
      <w:pPr>
        <w:pStyle w:val="Heading2"/>
        <w:keepNext/>
        <w:widowControl/>
        <w:rPr/>
      </w:pPr>
      <w:r>
        <w:t>BL-97. Require hazardous-materials shipments to use standardized documentation in English, French, and Spanish where appropriate</w:t>
      </w:r>
      <w:bookmarkEnd w:id="2917"/>
    </w:p>
    <w:p>
      <w:pPr>
        <w:pStyle w:val="Normal"/>
        <w:widowControl/>
        <w:rPr/>
      </w:pPr>
      <w:r>
        <w:rPr/>
        <w:t>Require hazardous-materials shipments to use standardized documentation in English, French, and Spanish where appropriate.</w:t>
      </w:r>
    </w:p>
    <w:p>
      <w:bookmarkStart w:id="2918" w:name="_NAESTMA_TOC_2918"/>
      <w:pPr>
        <w:pStyle w:val="Heading2"/>
        <w:keepNext/>
        <w:widowControl/>
        <w:rPr/>
      </w:pPr>
      <w:r>
        <w:t>BL-98. Require hazardous-materials drivers and handlers to complete specialized emergency-response training</w:t>
      </w:r>
      <w:bookmarkEnd w:id="2918"/>
    </w:p>
    <w:p>
      <w:pPr>
        <w:pStyle w:val="Normal"/>
        <w:widowControl/>
        <w:rPr/>
      </w:pPr>
      <w:r>
        <w:rPr/>
        <w:t>Require hazardous-materials drivers and handlers to complete specialized emergency-response training.</w:t>
      </w:r>
    </w:p>
    <w:p>
      <w:bookmarkStart w:id="2919" w:name="_NAESTMA_TOC_2919"/>
      <w:pPr>
        <w:pStyle w:val="Heading2"/>
        <w:keepNext/>
        <w:widowControl/>
        <w:rPr/>
      </w:pPr>
      <w:r>
        <w:t>BL-99. Require carriers to provide first responders with accurate cargo information immediately after a crash</w:t>
      </w:r>
      <w:bookmarkEnd w:id="2919"/>
    </w:p>
    <w:p>
      <w:pPr>
        <w:pStyle w:val="Normal"/>
        <w:widowControl/>
        <w:rPr/>
      </w:pPr>
      <w:r>
        <w:rPr/>
        <w:t>Require carriers to provide first responders with accurate cargo information immediately after a crash.</w:t>
      </w:r>
    </w:p>
    <w:p>
      <w:bookmarkStart w:id="2920" w:name="_NAESTMA_TOC_2920"/>
      <w:pPr>
        <w:pStyle w:val="Heading2"/>
        <w:keepNext/>
        <w:widowControl/>
        <w:rPr/>
      </w:pPr>
      <w:r>
        <w:t>BL-100. Maintain shared or interoperable public safety data on serious crashes, recalls and carrier-level safety performance while protecting personal information, investigation-sensitive data and legally confidential records</w:t>
      </w:r>
      <w:bookmarkEnd w:id="2920"/>
    </w:p>
    <w:p>
      <w:pPr>
        <w:pStyle w:val="Normal"/>
        <w:widowControl/>
        <w:rPr/>
      </w:pPr>
      <w:r>
        <w:rPr/>
        <w:t>Maintain shared or interoperable public safety data on serious crashes, recalls and carrier-level safety performance while protecting personal information, investigation-sensitive data and legally confidential records.</w:t>
      </w:r>
    </w:p>
    <w:p>
      <w:bookmarkStart w:id="2921" w:name="_NAESTMA_TOC_2921"/>
      <w:pPr>
        <w:pStyle w:val="Heading1"/>
        <w:keepNext/>
        <w:pageBreakBefore/>
        <w:widowControl/>
        <w:rPr/>
      </w:pPr>
      <w:r>
        <w:rPr/>
        <w:t>PACKAGE BM — TRUSTED CONTINENTAL FREIGHT SYSTEM AND SUPPLEMENTARY SAFETY MECHANISMS</w:t>
      </w:r>
      <w:bookmarkEnd w:id="2921"/>
    </w:p>
    <w:p>
      <w:pPr>
        <w:pStyle w:val="Normal"/>
        <w:widowControl/>
        <w:rPr/>
      </w:pPr>
      <w:r>
        <w:rPr/>
        <w:t>The Trusted Continental Freight System converts stronger common safety expectations into a trade-facilitation benefit: safe driver + safe vehicle + compliant carrier + valid cargo and credentials should mean less redundant border friction, while enforcement capacity concentrates on demonstrated risk.</w:t>
      </w:r>
    </w:p>
    <w:p>
      <w:bookmarkStart w:id="2922" w:name="_NAESTMA_TOC_2922"/>
      <w:pPr>
        <w:pStyle w:val="Heading2"/>
        <w:keepNext/>
        <w:widowControl/>
        <w:rPr/>
      </w:pPr>
      <w:r>
        <w:rPr/>
        <w:t>BM-1. Joint Border Inspection Facilities</w:t>
      </w:r>
      <w:bookmarkEnd w:id="2922"/>
    </w:p>
    <w:p>
      <w:pPr>
        <w:pStyle w:val="Normal"/>
        <w:widowControl/>
        <w:rPr/>
      </w:pPr>
      <w:r>
        <w:rPr/>
        <w:t>At high-volume crossings, the Parties should support co-located or interoperable inspection facilities so one competent safety inspection can satisfy both sides’ requirements where legally permissible.</w:t>
      </w:r>
    </w:p>
    <w:p>
      <w:bookmarkStart w:id="2923" w:name="_NAESTMA_TOC_2923"/>
      <w:pPr>
        <w:pStyle w:val="Heading2"/>
        <w:keepNext/>
        <w:widowControl/>
        <w:rPr/>
      </w:pPr>
      <w:r>
        <w:rPr/>
        <w:t>BM-2. Unified Out-of-Service Translation</w:t>
      </w:r>
      <w:bookmarkEnd w:id="2923"/>
    </w:p>
    <w:p>
      <w:pPr>
        <w:pStyle w:val="Normal"/>
        <w:widowControl/>
        <w:rPr/>
      </w:pPr>
      <w:r>
        <w:rPr/>
        <w:t>Maintain a common or interoperable catalogue of out-of-service conditions so a serious defect recognized by one Party is not treated as harmless merely because the vehicle crossed a border.</w:t>
      </w:r>
    </w:p>
    <w:p>
      <w:bookmarkStart w:id="2924" w:name="_NAESTMA_TOC_2924"/>
      <w:pPr>
        <w:pStyle w:val="Heading2"/>
        <w:keepNext/>
        <w:widowControl/>
        <w:rPr/>
      </w:pPr>
      <w:r>
        <w:rPr/>
        <w:t>BM-3. Trusted-Carrier Preclearance</w:t>
      </w:r>
      <w:bookmarkEnd w:id="2924"/>
    </w:p>
    <w:p>
      <w:pPr>
        <w:pStyle w:val="Normal"/>
        <w:widowControl/>
        <w:rPr/>
      </w:pPr>
      <w:r>
        <w:rPr/>
        <w:t>Carriers with strong verified safety standing, valid credentials and no material unresolved defects should qualify for expedited preclearance and reduced routine inspection, subject to random or intelligence-led checks.</w:t>
      </w:r>
    </w:p>
    <w:p>
      <w:bookmarkStart w:id="2925" w:name="_NAESTMA_TOC_2925"/>
      <w:pPr>
        <w:pStyle w:val="Heading2"/>
        <w:keepNext/>
        <w:widowControl/>
        <w:rPr/>
      </w:pPr>
      <w:r>
        <w:rPr/>
        <w:t>BM-4. Weigh-in-Motion Expansion</w:t>
      </w:r>
      <w:bookmarkEnd w:id="2925"/>
    </w:p>
    <w:p>
      <w:pPr>
        <w:pStyle w:val="Normal"/>
        <w:widowControl/>
        <w:rPr/>
      </w:pPr>
      <w:r>
        <w:rPr/>
        <w:t>Deploy weigh-in-motion and other non-stop screening technologies on suitable freight corridors to detect risk while reducing unnecessary stops for compliant trucks.</w:t>
      </w:r>
    </w:p>
    <w:p>
      <w:bookmarkStart w:id="2926" w:name="_NAESTMA_TOC_2926"/>
      <w:pPr>
        <w:pStyle w:val="Heading2"/>
        <w:keepNext/>
        <w:widowControl/>
        <w:rPr/>
      </w:pPr>
      <w:r>
        <w:rPr/>
        <w:t>BM-5. Continental Truck Parking Information</w:t>
      </w:r>
      <w:bookmarkEnd w:id="2926"/>
    </w:p>
    <w:p>
      <w:pPr>
        <w:pStyle w:val="Normal"/>
        <w:widowControl/>
        <w:rPr/>
      </w:pPr>
      <w:r>
        <w:rPr/>
        <w:t>Support interoperable real-time information on safe truck-parking availability across major freight corridors, including accessible routing to rest areas and emergency pull-offs.</w:t>
      </w:r>
    </w:p>
    <w:p>
      <w:bookmarkStart w:id="2927" w:name="_NAESTMA_TOC_2927"/>
      <w:pPr>
        <w:pStyle w:val="Heading2"/>
        <w:keepNext/>
        <w:widowControl/>
        <w:rPr/>
      </w:pPr>
      <w:r>
        <w:rPr/>
        <w:t>BM-6. Rest-Area Electrification</w:t>
      </w:r>
      <w:bookmarkEnd w:id="2927"/>
    </w:p>
    <w:p>
      <w:pPr>
        <w:pStyle w:val="Normal"/>
        <w:widowControl/>
        <w:rPr/>
      </w:pPr>
      <w:r>
        <w:rPr/>
        <w:t>Encourage electrified parking and auxiliary-power infrastructure at major rest areas to support driver comfort, reduce idling and make lawful rest more practical.</w:t>
      </w:r>
    </w:p>
    <w:p>
      <w:bookmarkStart w:id="2928" w:name="_NAESTMA_TOC_2928"/>
      <w:pPr>
        <w:pStyle w:val="Heading2"/>
        <w:keepNext/>
        <w:widowControl/>
        <w:rPr/>
      </w:pPr>
      <w:r>
        <w:rPr/>
        <w:t>BM-7. Smart Safety Corridors</w:t>
      </w:r>
      <w:bookmarkEnd w:id="2928"/>
    </w:p>
    <w:p>
      <w:pPr>
        <w:pStyle w:val="Normal"/>
        <w:widowControl/>
        <w:rPr/>
      </w:pPr>
      <w:r>
        <w:rPr/>
        <w:t>Designate high-volume freight corridors for integrated safety screening, weather warnings, bridge/clearance information, weigh-in-motion, incident alerts and emergency rerouting.</w:t>
      </w:r>
    </w:p>
    <w:p>
      <w:bookmarkStart w:id="2929" w:name="_NAESTMA_TOC_2929"/>
      <w:pPr>
        <w:pStyle w:val="Heading2"/>
        <w:keepNext/>
        <w:widowControl/>
        <w:rPr/>
      </w:pPr>
      <w:r>
        <w:rPr/>
        <w:t>BM-8. Hazardous-Materials Response Interoperability</w:t>
      </w:r>
      <w:bookmarkEnd w:id="2929"/>
    </w:p>
    <w:p>
      <w:pPr>
        <w:pStyle w:val="Normal"/>
        <w:widowControl/>
        <w:rPr/>
      </w:pPr>
      <w:r>
        <w:rPr/>
        <w:t>Harmonize or cross-recognize core hazardous-material incident documentation, responder information and emergency communication while respecting commodity-specific technical rules.</w:t>
      </w:r>
    </w:p>
    <w:p>
      <w:bookmarkStart w:id="2930" w:name="_NAESTMA_TOC_2930"/>
      <w:pPr>
        <w:pStyle w:val="Heading2"/>
        <w:keepNext/>
        <w:widowControl/>
        <w:rPr/>
      </w:pPr>
      <w:r>
        <w:rPr/>
        <w:t>BM-9. Cross-Border Recall Alerting</w:t>
      </w:r>
      <w:bookmarkEnd w:id="2930"/>
    </w:p>
    <w:p>
      <w:pPr>
        <w:pStyle w:val="Normal"/>
        <w:widowControl/>
        <w:rPr/>
      </w:pPr>
      <w:r>
        <w:rPr/>
        <w:t>A serious truck or component recall with cross-border market relevance should trigger rapid regulator-to-regulator and carrier/dealer notification using risk-based repair and inspection deadlines.</w:t>
      </w:r>
    </w:p>
    <w:p>
      <w:bookmarkStart w:id="2931" w:name="_NAESTMA_TOC_2931"/>
      <w:pPr>
        <w:pStyle w:val="Heading2"/>
        <w:keepNext/>
        <w:widowControl/>
        <w:rPr/>
      </w:pPr>
      <w:r>
        <w:rPr/>
        <w:t>BM-10. Emergency Towing and Clearance Planning</w:t>
      </w:r>
      <w:bookmarkEnd w:id="2931"/>
    </w:p>
    <w:p>
      <w:pPr>
        <w:pStyle w:val="Normal"/>
        <w:widowControl/>
        <w:rPr/>
      </w:pPr>
      <w:r>
        <w:rPr/>
        <w:t>Major crossings and freight corridors should maintain pre-planned heavy recovery capability and incident-clearance procedures without guaranteeing unrealistic universal response times.</w:t>
      </w:r>
    </w:p>
    <w:p>
      <w:bookmarkStart w:id="2932" w:name="_NAESTMA_TOC_2932"/>
      <w:pPr>
        <w:pStyle w:val="Heading2"/>
        <w:keepNext/>
        <w:widowControl/>
        <w:rPr/>
      </w:pPr>
      <w:r>
        <w:rPr/>
        <w:t>BM-11. Crash Data Harmonization</w:t>
      </w:r>
      <w:bookmarkEnd w:id="2932"/>
    </w:p>
    <w:p>
      <w:pPr>
        <w:pStyle w:val="Normal"/>
        <w:widowControl/>
        <w:rPr/>
      </w:pPr>
      <w:r>
        <w:rPr/>
        <w:t>Use common minimum crash-data fields and definitions to support comparable analysis across the three Parties while retaining jurisdiction-specific reporting where necessary.</w:t>
      </w:r>
    </w:p>
    <w:p>
      <w:bookmarkStart w:id="2933" w:name="_NAESTMA_TOC_2933"/>
      <w:pPr>
        <w:pStyle w:val="Heading2"/>
        <w:keepNext/>
        <w:widowControl/>
        <w:rPr/>
      </w:pPr>
      <w:r>
        <w:rPr/>
        <w:t>BM-12. Cross-Border Serious-Crash Notification</w:t>
      </w:r>
      <w:bookmarkEnd w:id="2933"/>
    </w:p>
    <w:p>
      <w:pPr>
        <w:pStyle w:val="Normal"/>
        <w:widowControl/>
        <w:rPr/>
      </w:pPr>
      <w:r>
        <w:rPr/>
        <w:t>Notify another Party when a serious crash creates a material cross-border interest through the carrier, driver, vehicle, cargo, origin, destination or safety defect; purely domestic crashes need not be broadcast continent-wide.</w:t>
      </w:r>
    </w:p>
    <w:p>
      <w:bookmarkStart w:id="2934" w:name="_NAESTMA_TOC_2934"/>
      <w:pPr>
        <w:pStyle w:val="Heading2"/>
        <w:keepNext/>
        <w:widowControl/>
        <w:rPr/>
      </w:pPr>
      <w:r>
        <w:rPr/>
        <w:t>BM-13. Carrier Safety Rating Interoperability</w:t>
      </w:r>
      <w:bookmarkEnd w:id="2934"/>
    </w:p>
    <w:p>
      <w:pPr>
        <w:pStyle w:val="Normal"/>
        <w:widowControl/>
        <w:rPr/>
      </w:pPr>
      <w:r>
        <w:rPr/>
        <w:t>Develop a translation or equivalence method among national carrier-safety systems so trusted status and serious risk indicators can be understood across borders without replacing every domestic rating program.</w:t>
      </w:r>
    </w:p>
    <w:p>
      <w:bookmarkStart w:id="2935" w:name="_NAESTMA_TOC_2935"/>
      <w:pPr>
        <w:pStyle w:val="Heading2"/>
        <w:keepNext/>
        <w:widowControl/>
        <w:rPr/>
      </w:pPr>
      <w:r>
        <w:rPr/>
        <w:t>BM-14. Digital Commercial Vehicle Credential</w:t>
      </w:r>
      <w:bookmarkEnd w:id="2935"/>
    </w:p>
    <w:p>
      <w:pPr>
        <w:pStyle w:val="Normal"/>
        <w:widowControl/>
        <w:rPr/>
      </w:pPr>
      <w:r>
        <w:rPr/>
        <w:t>Support a tamper-resistant interoperable digital credential capable of verifying vehicle registration, inspection status, insurance, carrier standing and other approved attributes without exposing unnecessary personal or commercial data.</w:t>
      </w:r>
    </w:p>
    <w:p>
      <w:bookmarkStart w:id="2936" w:name="_NAESTMA_TOC_2936"/>
      <w:pPr>
        <w:pStyle w:val="Heading2"/>
        <w:keepNext/>
        <w:widowControl/>
        <w:rPr/>
      </w:pPr>
      <w:r>
        <w:rPr/>
        <w:t>BM-15. First-Responder Cargo Access</w:t>
      </w:r>
      <w:bookmarkEnd w:id="2936"/>
    </w:p>
    <w:p>
      <w:pPr>
        <w:pStyle w:val="Normal"/>
        <w:widowControl/>
        <w:rPr/>
      </w:pPr>
      <w:r>
        <w:rPr/>
        <w:t>For dangerous or emergency-relevant loads, first responders should receive rapid, accurate cargo information through secure and resilient channels after an incident.</w:t>
      </w:r>
    </w:p>
    <w:p>
      <w:bookmarkStart w:id="2937" w:name="_NAESTMA_TOC_2937"/>
      <w:pPr>
        <w:pStyle w:val="Heading2"/>
        <w:keepNext/>
        <w:widowControl/>
        <w:rPr/>
      </w:pPr>
      <w:r>
        <w:rPr/>
        <w:t>BM-16. Truck Safety Research Data</w:t>
      </w:r>
      <w:bookmarkEnd w:id="2937"/>
    </w:p>
    <w:p>
      <w:pPr>
        <w:pStyle w:val="Normal"/>
        <w:widowControl/>
        <w:rPr/>
      </w:pPr>
      <w:r>
        <w:rPr/>
        <w:t>Provide privacy-protected and appropriately anonymized safety data for researchers, regulators and standards bodies to evaluate whether interventions reduce fatalities, injuries, fatigue, defects and cargo failures.</w:t>
      </w:r>
    </w:p>
    <w:p>
      <w:bookmarkStart w:id="2938" w:name="_NAESTMA_TOC_2938"/>
      <w:pPr>
        <w:pStyle w:val="Heading2"/>
        <w:keepNext/>
        <w:widowControl/>
        <w:rPr/>
      </w:pPr>
      <w:r>
        <w:rPr/>
        <w:t>BM-17. Safety Outcome Reporting</w:t>
      </w:r>
      <w:bookmarkEnd w:id="2938"/>
    </w:p>
    <w:p>
      <w:pPr>
        <w:pStyle w:val="Normal"/>
        <w:widowControl/>
        <w:rPr/>
      </w:pPr>
      <w:r>
        <w:rPr/>
        <w:t>Publish regular comparable safety indicators and explain material trends, including whether enforcement measures are reducing serious crashes rather than merely increasing citation counts.</w:t>
      </w:r>
    </w:p>
    <w:p>
      <w:bookmarkStart w:id="2939" w:name="_NAESTMA_TOC_2939"/>
      <w:pPr>
        <w:pStyle w:val="Heading2"/>
        <w:keepNext/>
        <w:widowControl/>
        <w:rPr/>
      </w:pPr>
      <w:r>
        <w:rPr/>
        <w:t>BM-18. Phase-In for Legacy Fleets</w:t>
      </w:r>
      <w:bookmarkEnd w:id="2939"/>
    </w:p>
    <w:p>
      <w:pPr>
        <w:pStyle w:val="Normal"/>
        <w:widowControl/>
        <w:rPr/>
      </w:pPr>
      <w:r>
        <w:rPr/>
        <w:t>Apply the strongest technically feasible requirements to new vehicles first and use evidence-based retrofit, inspection or replacement pathways for older vehicles rather than arbitrary age-based retirement.</w:t>
      </w:r>
    </w:p>
    <w:p>
      <w:bookmarkStart w:id="2940" w:name="_NAESTMA_TOC_2940"/>
      <w:pPr>
        <w:pStyle w:val="Heading2"/>
        <w:keepNext/>
        <w:widowControl/>
        <w:rPr/>
      </w:pPr>
      <w:r>
        <w:rPr/>
        <w:t>BM-19. Human-Trafficking and Exploitation Awareness</w:t>
      </w:r>
      <w:bookmarkEnd w:id="2940"/>
    </w:p>
    <w:p>
      <w:pPr>
        <w:pStyle w:val="Normal"/>
        <w:widowControl/>
        <w:rPr/>
      </w:pPr>
      <w:r>
        <w:rPr/>
        <w:t>Provide concise practical awareness and reporting information for commercial drivers and freight workers who may encounter trafficking, coercion or severe exploitation along freight corridors, using existing competent authorities where possible.</w:t>
      </w:r>
    </w:p>
    <w:p>
      <w:bookmarkStart w:id="2941" w:name="_NAESTMA_TOC_2941"/>
      <w:pPr>
        <w:pStyle w:val="Heading2"/>
        <w:keepNext/>
        <w:widowControl/>
        <w:rPr/>
      </w:pPr>
      <w:r>
        <w:rPr/>
        <w:t>BM-20. No Committee Bloat</w:t>
      </w:r>
      <w:bookmarkEnd w:id="2941"/>
    </w:p>
    <w:p>
      <w:pPr>
        <w:pStyle w:val="Normal"/>
        <w:widowControl/>
        <w:rPr/>
      </w:pPr>
      <w:r>
        <w:rPr/>
        <w:t>Transportation safety cooperation should be administered by existing regulators, designated contact points, the Secretariat and Cothrom. Temporary expert groups may be convened for defined technical questions and dissolved when their task ends.</w:t>
      </w:r>
    </w:p>
    <w:p>
      <w:bookmarkStart w:id="2942" w:name="_NAESTMA_TOC_2942"/>
      <w:pPr>
        <w:pStyle w:val="Heading2"/>
        <w:keepNext/>
        <w:widowControl/>
        <w:rPr/>
      </w:pPr>
      <w:r>
        <w:rPr/>
        <w:t>BM-21. Trusted Freight Decision Logic</w:t>
      </w:r>
      <w:bookmarkEnd w:id="2942"/>
    </w:p>
    <w:p>
      <w:pPr>
        <w:pStyle w:val="Normal"/>
        <w:widowControl/>
        <w:rPr/>
      </w:pPr>
      <w:r>
        <w:rPr/>
        <w:t>Where approved systems confirm that the driver is qualified, medical fitness credential is valid, hours status is compliant, vehicle inspection is current, no critical unresolved recall or defect is present, carrier safety standing is acceptable, cargo requirements are satisfied, and registration/insurance credentials are valid, the vehicle should be eligible for expedited processing subject to lawful random or intelligence-led checks. Missing or questionable information may trigger secondary inspection; serious safety defects, suspensions, falsified credentials or other disqualifying conditions require stop or out-of-service action.</w:t>
      </w:r>
    </w:p>
    <w:p>
      <w:bookmarkStart w:id="2943" w:name="_NAESTMA_TOC_2943"/>
      <w:pPr>
        <w:pStyle w:val="Heading2"/>
        <w:keepNext/>
        <w:widowControl/>
        <w:rPr/>
      </w:pPr>
      <w:r>
        <w:rPr/>
        <w:t>BM-22. Safety as a Reciprocal Bargain</w:t>
      </w:r>
      <w:bookmarkEnd w:id="2943"/>
    </w:p>
    <w:p>
      <w:pPr>
        <w:pStyle w:val="Normal"/>
        <w:widowControl/>
        <w:rPr/>
      </w:pPr>
      <w:r>
        <w:rPr/>
        <w:t>The Parties recognize that stronger interoperable safety rules are more durable when paired with concrete facilitation for operators that demonstrably meet them. Mutual recognition, preclearance, reduced duplicative inspection and faster correction of erroneous records are therefore integral parts of the safety architecture rather than optional favors.</w:t>
      </w:r>
    </w:p>
    <w:p>
      <w:pPr>
        <w:pStyle w:val="Normal"/>
        <w:rPr/>
      </w:pPr>
      <w:r>
        <w:rPr/>
      </w:r>
    </w:p>
    <w:p>
      <w:bookmarkStart w:id="2944" w:name="_NAESTMA_TOC_2944"/>
      <w:pPr>
        <w:pStyle w:val="Heading1"/>
        <w:keepNext/>
        <w:pageBreakBefore/>
        <w:widowControl/>
        <w:rPr/>
      </w:pPr>
      <w:r>
        <w:rPr/>
        <w:t>PACKAGE BM-A — OPTIONAL U.S. SUV EXHAUST MANUFACTURING CARROT</w:t>
      </w:r>
      <w:bookmarkEnd w:id="2944"/>
    </w:p>
    <w:p>
      <w:pPr>
        <w:pStyle w:val="Normal"/>
        <w:widowControl/>
        <w:rPr/>
      </w:pPr>
      <w:r>
        <w:rPr/>
        <w:t>Status. This Package is an optional negotiated automotive module and does not take effect unless Canada, Mexico and the United States expressly activate it together with the paired United States automotive tariff settlement described below. It is not a condition of the Agreement’s ordinary 75% (75 percent) Standard Tier treatment.</w:t>
      </w:r>
    </w:p>
    <w:p>
      <w:bookmarkStart w:id="2945" w:name="_NAESTMA_TOC_2945"/>
      <w:pPr>
        <w:pStyle w:val="Heading2"/>
        <w:keepNext/>
        <w:widowControl/>
        <w:rPr/>
      </w:pPr>
      <w:r>
        <w:rPr/>
        <w:t>BM-A.1. Purpose</w:t>
      </w:r>
      <w:bookmarkEnd w:id="2945"/>
    </w:p>
    <w:p>
      <w:pPr>
        <w:pStyle w:val="Normal"/>
        <w:widowControl/>
        <w:rPr/>
      </w:pPr>
      <w:r>
        <w:rPr/>
        <w:t>The Parties may use this Module to provide the United States with a visible, measurable and tightly bounded automotive-manufacturing gain while preserving the Agreement’s general North American rules of origin and the integrated Canadian, Mexican and United States automotive production base.</w:t>
      </w:r>
    </w:p>
    <w:p>
      <w:bookmarkStart w:id="2946" w:name="_NAESTMA_TOC_2946"/>
      <w:pPr>
        <w:pStyle w:val="Heading2"/>
        <w:keepNext/>
        <w:widowControl/>
        <w:rPr/>
      </w:pPr>
      <w:r>
        <w:rPr/>
        <w:t>BM-A.2. Covered Vehicle Class</w:t>
      </w:r>
      <w:bookmarkEnd w:id="2946"/>
    </w:p>
    <w:p>
      <w:pPr>
        <w:pStyle w:val="Normal"/>
        <w:widowControl/>
        <w:rPr/>
      </w:pPr>
      <w:r>
        <w:rPr/>
        <w:t>This Module applies only to a defined SUV category agreed in the implementing schedule. The definition shall be based on objective vehicle characteristics and tariff classifications and shall not be administratively expanded to pickups, vans, passenger cars, medium-duty vehicles, heavy-duty vehicles or other vehicle classes merely to enlarge the commitment. Crossovers or other borderline vehicles shall be treated according to the agreed technical definition rather than marketing labels.</w:t>
      </w:r>
    </w:p>
    <w:p>
      <w:bookmarkStart w:id="2947" w:name="_NAESTMA_TOC_2947"/>
      <w:pPr>
        <w:pStyle w:val="Heading2"/>
        <w:keepNext/>
        <w:widowControl/>
        <w:rPr/>
      </w:pPr>
      <w:r>
        <w:rPr/>
        <w:t>BM-A.3. Covered Component</w:t>
      </w:r>
      <w:bookmarkEnd w:id="2947"/>
    </w:p>
    <w:p>
      <w:pPr>
        <w:pStyle w:val="Normal"/>
        <w:widowControl/>
        <w:rPr/>
      </w:pPr>
      <w:r>
        <w:rPr/>
        <w:t>The initial and only automatically designated component is the original-equipment silencer or muffler assembly used on a Covered SUV and falling within the agreed portion of HS subheading 8708.92. Exhaust pipes, catalytic converters, emissions-control electronics, sensors and other exhaust-system components are excluded unless the Parties expressly agree otherwise. A battery-electric vehicle or other vehicle that does not use a conventional silencer or muffler assembly has no artificial sourcing obligation under this Module.</w:t>
      </w:r>
    </w:p>
    <w:p>
      <w:pPr>
        <w:pStyle w:val="TrumpVisibilityHeadline"/>
        <w:widowControl/>
        <w:rPr/>
      </w:pPr>
      <w:r>
        <w:rPr>
          <w:b/>
        </w:rPr>
        <w:t xml:space="preserve">★ </w:t>
      </w:r>
      <w:r>
        <w:rPr>
          <w:b/>
        </w:rPr>
        <w:t>VISIBLE U.S. WIN: 70% U.S.-MANUFACTURED SUV MUFFLERS UNDER THE OPTIONAL AUTO BARGAIN</w:t>
      </w:r>
    </w:p>
    <w:p>
      <w:bookmarkStart w:id="2948" w:name="_NAESTMA_TOC_2948"/>
      <w:pPr>
        <w:pStyle w:val="Heading2"/>
        <w:keepNext/>
        <w:widowControl/>
        <w:rPr/>
      </w:pPr>
      <w:r>
        <w:rPr/>
        <w:t>BM-A.4. Seventy-Percent U.S. Manufacturing Commitment</w:t>
      </w:r>
      <w:bookmarkEnd w:id="2948"/>
    </w:p>
    <w:p>
      <w:pPr>
        <w:pStyle w:val="Normal"/>
        <w:widowControl/>
        <w:rPr/>
      </w:pPr>
      <w:r>
        <w:rPr/>
        <w:t>For Covered SUVs subject to this Module, participating vehicle producers shall source not less than 70% (70 percent), measured by value of annual qualifying original-equipment silencer or muffler purchases for those Covered SUVs, from qualifying production facilities located in the United States. An implementing schedule may permit an equivalent unit-based calculation where it produces a materially equivalent result and is easier to verify.</w:t>
      </w:r>
    </w:p>
    <w:p>
      <w:bookmarkStart w:id="2949" w:name="_NAESTMA_TOC_2949"/>
      <w:pPr>
        <w:pStyle w:val="Heading2"/>
        <w:keepNext/>
        <w:widowControl/>
        <w:rPr/>
      </w:pPr>
      <w:r>
        <w:rPr/>
        <w:t>BM-A.5. Meaning of U.S.-Manufactured</w:t>
      </w:r>
      <w:bookmarkEnd w:id="2949"/>
    </w:p>
    <w:p>
      <w:pPr>
        <w:pStyle w:val="Normal"/>
        <w:widowControl/>
        <w:rPr/>
      </w:pPr>
      <w:r>
        <w:rPr/>
        <w:t>A silencer or muffler shall qualify as U.S.-manufactured only where substantial manufacturing or assembly sufficient to satisfy the agreed production test occurs at a facility in the United States. Mere transshipment, packaging, labeling, warehousing, minor finishing or nominal processing shall not satisfy the requirement. Origin verification shall use existing customs and automotive verification institutions wherever practicable.</w:t>
      </w:r>
    </w:p>
    <w:p>
      <w:bookmarkStart w:id="2950" w:name="_NAESTMA_TOC_2950"/>
      <w:pPr>
        <w:pStyle w:val="Heading2"/>
        <w:keepNext/>
        <w:widowControl/>
        <w:rPr/>
      </w:pPr>
      <w:r>
        <w:rPr/>
        <w:t>BM-A.6. North American Origin Preserved</w:t>
      </w:r>
      <w:bookmarkEnd w:id="2950"/>
    </w:p>
    <w:p>
      <w:pPr>
        <w:pStyle w:val="Normal"/>
        <w:widowControl/>
        <w:rPr/>
      </w:pPr>
      <w:r>
        <w:rPr/>
        <w:t>Nothing in this Module shall cause a Canadian-origin or Mexican-origin silencer, muffler or other automotive component to cease being North American content for purposes of the Agreement’s ordinary rules of origin. This Module creates a separately negotiated sourcing commitment for a limited vehicle class; it shall not alter the calculation of the 75% (75 percent) Standard Tier RVC or establish a general rule that content from one Party is more originating than content from another Party.</w:t>
      </w:r>
    </w:p>
    <w:p>
      <w:bookmarkStart w:id="2951" w:name="_NAESTMA_TOC_2951"/>
      <w:pPr>
        <w:pStyle w:val="Heading2"/>
        <w:keepNext/>
        <w:widowControl/>
        <w:rPr/>
      </w:pPr>
      <w:r>
        <w:rPr/>
        <w:t>BM-A.7. Paired United States Consideration</w:t>
      </w:r>
      <w:bookmarkEnd w:id="2951"/>
    </w:p>
    <w:p>
      <w:pPr>
        <w:pStyle w:val="Normal"/>
        <w:widowControl/>
        <w:rPr/>
      </w:pPr>
      <w:r>
        <w:rPr/>
        <w:t>The 70% (70 percent) U.S. manufacturing commitment shall activate only simultaneously with the verified withdrawal, suspension or legally durable neutralization of the United States extraordinary automotive tariff measure or measures identified in the implementing schedule, together with restoration of the agreed zero-duty treatment for qualifying NAESTMA-originating vehicles and covered automotive parts. A mere reduction of the paired extraordinary tariff shall not activate this Module unless Canada and Mexico expressly agree.</w:t>
      </w:r>
    </w:p>
    <w:p>
      <w:bookmarkStart w:id="2952" w:name="_NAESTMA_TOC_2952"/>
      <w:pPr>
        <w:pStyle w:val="Heading2"/>
        <w:keepNext/>
        <w:widowControl/>
        <w:rPr/>
      </w:pPr>
      <w:r>
        <w:rPr/>
        <w:t>BM-A.8. No Uncompensated Front-Loading and Automatic Step-Back</w:t>
      </w:r>
      <w:bookmarkEnd w:id="2952"/>
    </w:p>
    <w:p>
      <w:pPr>
        <w:pStyle w:val="Normal"/>
        <w:widowControl/>
        <w:rPr/>
      </w:pPr>
      <w:r>
        <w:rPr/>
        <w:t>No producer, Canada or Mexico shall be required to front-load the sourcing commitment before the paired United States consideration is effective. If the paired United States tariff treatment is withdrawn, materially impaired or reimposed contrary to the settlement, the corresponding sourcing commitment shall pause proportionally after verification and any applicable short cure period, and shall restore automatically when paired performance resumes, using the Agreement’s existing Cothrom and step-back/earn-back architecture.</w:t>
      </w:r>
    </w:p>
    <w:p>
      <w:bookmarkStart w:id="2953" w:name="_NAESTMA_TOC_2953"/>
      <w:pPr>
        <w:pStyle w:val="Heading2"/>
        <w:keepNext/>
        <w:widowControl/>
        <w:rPr/>
      </w:pPr>
      <w:r>
        <w:rPr/>
        <w:t>BM-A.9. Transition and Existing Contracts</w:t>
      </w:r>
      <w:bookmarkEnd w:id="2953"/>
    </w:p>
    <w:p>
      <w:pPr>
        <w:pStyle w:val="Normal"/>
        <w:widowControl/>
        <w:rPr/>
      </w:pPr>
      <w:r>
        <w:rPr/>
        <w:t>Implementation shall provide a commercially reasonable transition for existing supplier contracts, tooling, validation, warranty, emissions certification and production planning. The Module should preferentially generate new U.S. production, expanded U.S. capacity or orderly future sourcing rather than require abrupt cancellation of lawful pre-existing Canadian or Mexican contracts where equivalent performance can be achieved through phase-in.</w:t>
      </w:r>
    </w:p>
    <w:p>
      <w:bookmarkStart w:id="2954" w:name="_NAESTMA_TOC_2954"/>
      <w:pPr>
        <w:pStyle w:val="Heading2"/>
        <w:keepNext/>
        <w:widowControl/>
        <w:rPr/>
      </w:pPr>
      <w:r>
        <w:rPr/>
        <w:t>BM-A.10. Capacity, Quality and Safety Exception</w:t>
      </w:r>
      <w:bookmarkEnd w:id="2954"/>
    </w:p>
    <w:p>
      <w:pPr>
        <w:pStyle w:val="Normal"/>
        <w:widowControl/>
        <w:rPr/>
      </w:pPr>
      <w:r>
        <w:rPr/>
        <w:t>A temporary shortfall shall not constitute non-compliance where qualifying U.S. supply is unavailable in sufficient commercial quantity, quality, safety, emissions-certification status or delivery timing and the producer has made documented commercially reasonable efforts to comply. Any exception shall be narrow, time-limited, reviewable and designed to prevent strategic underinvestment or artificial shortage claims.</w:t>
      </w:r>
    </w:p>
    <w:p>
      <w:bookmarkStart w:id="2955" w:name="_NAESTMA_TOC_2955"/>
      <w:pPr>
        <w:pStyle w:val="Heading2"/>
        <w:keepNext/>
        <w:widowControl/>
        <w:rPr/>
      </w:pPr>
      <w:r>
        <w:rPr/>
        <w:t>BM-A.11. Three-Component Absolute Ceiling</w:t>
      </w:r>
      <w:bookmarkEnd w:id="2955"/>
    </w:p>
    <w:p>
      <w:pPr>
        <w:pStyle w:val="Normal"/>
        <w:widowControl/>
        <w:rPr/>
      </w:pPr>
      <w:r>
        <w:rPr/>
        <w:t>No more than three component categories may ever be designated for Party-specific United States sourcing under this optional architecture at one time. The silencer or muffler category occupies the first slot. The second and third slots remain unassigned and may be activated only by express trilateral agreement in exchange for additional reciprocal consideration. Their existence creates no presumption that they must be filled.</w:t>
      </w:r>
    </w:p>
    <w:p>
      <w:bookmarkStart w:id="2956" w:name="_NAESTMA_TOC_2956"/>
      <w:pPr>
        <w:pStyle w:val="Heading2"/>
        <w:keepNext/>
        <w:widowControl/>
        <w:rPr/>
      </w:pPr>
      <w:r>
        <w:rPr/>
        <w:t>BM-A.12. Strategic-Component Firewall</w:t>
      </w:r>
      <w:bookmarkEnd w:id="2956"/>
    </w:p>
    <w:p>
      <w:pPr>
        <w:pStyle w:val="Normal"/>
        <w:widowControl/>
        <w:rPr/>
      </w:pPr>
      <w:r>
        <w:rPr/>
        <w:t>The following shall not be designated through the second or third slot under this Module: engines; transmissions; traction batteries or advanced batteries; semiconductors; electric traction motors; complete body or chassis systems; core steering, suspension or axle systems; final vehicle assembly; or any other component whose designation would materially transfer strategic control of the Canadian or Mexican automotive industrial base. Steel and aluminum remain governed by their separately negotiated rules.</w:t>
      </w:r>
    </w:p>
    <w:p>
      <w:bookmarkStart w:id="2957" w:name="_NAESTMA_TOC_2957"/>
      <w:pPr>
        <w:pStyle w:val="Heading2"/>
        <w:keepNext/>
        <w:widowControl/>
        <w:rPr/>
      </w:pPr>
      <w:r>
        <w:rPr/>
        <w:t>BM-A.13. No Precedent and Anti-Salami-Slicing Rule</w:t>
      </w:r>
      <w:bookmarkEnd w:id="2957"/>
    </w:p>
    <w:p>
      <w:pPr>
        <w:pStyle w:val="Normal"/>
        <w:widowControl/>
        <w:rPr/>
      </w:pPr>
      <w:r>
        <w:rPr/>
        <w:t>This Module is a bounded negotiated exception and shall not be interpreted as recognition of a general entitlement to single-Party content requirements. No Party may use the initial muffler commitment, an unused component slot, administrative guidance, model reclassification or technical rulemaking to expand the commitment beyond its expressly negotiated scope.</w:t>
      </w:r>
    </w:p>
    <w:p>
      <w:bookmarkStart w:id="2958" w:name="_NAESTMA_TOC_2958"/>
      <w:pPr>
        <w:pStyle w:val="Heading2"/>
        <w:keepNext/>
        <w:widowControl/>
        <w:rPr/>
      </w:pPr>
      <w:r>
        <w:rPr/>
        <w:t>BM-A.14. Review and Technological Sunset</w:t>
      </w:r>
      <w:bookmarkEnd w:id="2958"/>
    </w:p>
    <w:p>
      <w:pPr>
        <w:pStyle w:val="Normal"/>
        <w:widowControl/>
        <w:rPr/>
      </w:pPr>
      <w:r>
        <w:rPr/>
        <w:t>The Parties shall review the Module periodically for sourcing effects, consumer cost, producer disruption, U.S. investment and employment, Canadian and Mexican supplier effects, circumvention and technological relevance. The implementing schedule shall establish a fixed review or sunset period and may provide an earlier sunset or orderly reduction when conventional exhaust-equipped Covered SUVs fall below an agreed share of North American new-vehicle production. No Party shall require a vehicle without a functional need for a muffler to install one for compliance.</w:t>
      </w:r>
    </w:p>
    <w:p>
      <w:bookmarkStart w:id="2959" w:name="_NAESTMA_TOC_2959"/>
      <w:pPr>
        <w:pStyle w:val="Heading2"/>
        <w:keepNext/>
        <w:widowControl/>
        <w:rPr/>
      </w:pPr>
      <w:r>
        <w:rPr/>
        <w:t>BM-A.15. Consumer-Cost and Competition Safeguard</w:t>
      </w:r>
      <w:bookmarkEnd w:id="2959"/>
    </w:p>
    <w:p>
      <w:pPr>
        <w:pStyle w:val="Normal"/>
        <w:widowControl/>
        <w:rPr/>
      </w:pPr>
      <w:r>
        <w:rPr/>
        <w:t>The Parties shall monitor whether the commitment produces material price inflation, artificial scarcity, supplier concentration or quality degradation. Where a persistent market failure is independently verified, the Parties shall first use capacity expansion, transition flexibility or a narrow temporary adjustment rather than broaden the sourcing mandate to other components.</w:t>
      </w:r>
    </w:p>
    <w:p>
      <w:bookmarkStart w:id="2960" w:name="_NAESTMA_TOC_2960"/>
      <w:pPr>
        <w:pStyle w:val="Heading2"/>
        <w:keepNext/>
        <w:widowControl/>
        <w:rPr/>
      </w:pPr>
      <w:r>
        <w:rPr/>
        <w:t>BM-A.16. Governing Bargain</w:t>
      </w:r>
      <w:bookmarkEnd w:id="2960"/>
    </w:p>
    <w:p>
      <w:pPr>
        <w:pStyle w:val="Normal"/>
        <w:widowControl/>
        <w:rPr/>
      </w:pPr>
      <w:r>
        <w:rPr/>
        <w:t>The governing bargain is limited and reciprocal: the United States receives a measurable manufacturing preference for a defined, non-core component used in a defined SUV category; Canada and Mexico receive the paired durable automotive tariff settlement; ordinary North American origin remains intact; and any future expansion requires a new trilateral bargain rather than automatic escalation.</w:t>
      </w:r>
    </w:p>
    <w:p>
      <w:pPr>
        <w:pStyle w:val="Normal"/>
        <w:widowControl/>
        <w:rPr/>
      </w:pPr>
      <w:r>
        <w:rPr/>
        <w:t>This begins the distributed NAESTMA immigration and humanitarian architecture. Continue through Packages BQ, BS, BW, and BX. Chapter 16 separately governs temporary entry for business persons.</w:t>
      </w:r>
    </w:p>
    <w:p>
      <w:pPr>
        <w:pStyle w:val="TrumpVisibilityHeadline"/>
        <w:widowControl/>
        <w:rPr/>
      </w:pPr>
      <w:r>
        <w:rPr/>
        <w:t>SEARCH SIGNPOST — IMMIGRATION / MIGRATION / ASYLUM / REFUGEE / DETENTION / REMOVAL / DEPORTATION / FAMILY UNITY / HUMANITARIAN PROTECTION</w:t>
      </w:r>
    </w:p>
    <w:p>
      <w:bookmarkStart w:id="2961" w:name="_NAESTMA_TOC_2961"/>
      <w:pPr>
        <w:pStyle w:val="Heading1"/>
        <w:keepNext/>
        <w:pageBreakBefore/>
        <w:widowControl/>
        <w:rPr/>
      </w:pPr>
      <w:r>
        <w:rPr/>
        <w:t>PACKAGE BN — NORTH AMERICAN MOBILITY, MIGRATION, HUMAN DIGNITY AND LAWFUL ADMINISTRATION FRAMEWORK</w:t>
      </w:r>
      <w:bookmarkEnd w:id="2961"/>
    </w:p>
    <w:p>
      <w:pPr>
        <w:pStyle w:val="Normal"/>
        <w:widowControl/>
        <w:rPr/>
      </w:pPr>
      <w:r>
        <w:rPr>
          <w:b/>
        </w:rPr>
        <w:t xml:space="preserve">BN-1. Purpose and Character. </w:t>
      </w:r>
      <w:r>
        <w:rPr/>
        <w:t>The Parties shall cooperate to expand lawful mobility, improve orderly migration administration, protect persons from exploitation and serious harm, strengthen legitimate enforcement, and preserve human dignity. Nothing in this Package shall be interpreted as eliminating lawful immigration administration or preventing the investigation and prosecution of serious criminal conduct.</w:t>
      </w:r>
    </w:p>
    <w:p>
      <w:pPr>
        <w:pStyle w:val="Normal"/>
        <w:widowControl/>
        <w:rPr/>
      </w:pPr>
      <w:r>
        <w:rPr>
          <w:b/>
        </w:rPr>
        <w:t xml:space="preserve">BN-2. Sovereign Admission Firewall. </w:t>
      </w:r>
      <w:r>
        <w:rPr/>
        <w:t>Each Party retains ultimate authority under its law over admission, visas, temporary status, permanent residence, removal and citizenship, except to the extent of specific reciprocal commitments expressly undertaken under this Agreement.</w:t>
      </w:r>
    </w:p>
    <w:p>
      <w:pPr>
        <w:pStyle w:val="Normal"/>
        <w:widowControl/>
        <w:rPr/>
      </w:pPr>
      <w:r>
        <w:rPr>
          <w:b/>
        </w:rPr>
        <w:t xml:space="preserve">BN-3. Civil Immigration Power-Separation Doctrine. </w:t>
      </w:r>
      <w:r>
        <w:rPr/>
        <w:t>No Party shall concentrate civil immigration policing, detention decision-making, asylum adjudication, criminal prosecution, intelligence collection and final review of removal within a single authority in a manner that eliminates effective functional independence, meaningful external review or judicial protection.</w:t>
      </w:r>
    </w:p>
    <w:p>
      <w:pPr>
        <w:pStyle w:val="Normal"/>
        <w:widowControl/>
        <w:rPr/>
      </w:pPr>
      <w:r>
        <w:rPr>
          <w:b/>
        </w:rPr>
        <w:t xml:space="preserve">BN-4. Civil Immigration Non-Police Doctrine. </w:t>
      </w:r>
      <w:r>
        <w:rPr/>
        <w:t>Authority to administer civil immigration law shall not itself confer general criminal-police authority, nor shall civil immigration powers be used principally to circumvent procedural protections applicable to ordinary criminal investigation or prosecution.</w:t>
      </w:r>
    </w:p>
    <w:p>
      <w:pPr>
        <w:pStyle w:val="Normal"/>
        <w:widowControl/>
        <w:rPr/>
      </w:pPr>
      <w:r>
        <w:rPr>
          <w:b/>
        </w:rPr>
        <w:t xml:space="preserve">BN-5. Individualized Administration. </w:t>
      </w:r>
      <w:r>
        <w:rPr/>
        <w:t>Civil immigration enforcement should be individualized, evidence-based, reviewable and proportionate. Race, ethnicity, religion, language, nationality, Indigenous identity or appearance shall not by itself constitute a sufficient basis for immigration enforcement.</w:t>
      </w:r>
    </w:p>
    <w:p>
      <w:pPr>
        <w:pStyle w:val="Normal"/>
        <w:widowControl/>
        <w:rPr/>
      </w:pPr>
      <w:r>
        <w:rPr>
          <w:b/>
        </w:rPr>
        <w:t xml:space="preserve">BN-6. Human Being Not a Trade Concession. </w:t>
      </w:r>
      <w:r>
        <w:rPr/>
        <w:t>No person's visa, asylum claim, humanitarian protection, detention, removal, family status or other individual immigration outcome shall be offered, withheld, suspended or manipulated to obtain an unrelated tariff, procurement, mineral, energy or other commercial concession.</w:t>
      </w:r>
    </w:p>
    <w:p>
      <w:pPr>
        <w:pStyle w:val="Normal"/>
        <w:widowControl/>
        <w:rPr/>
      </w:pPr>
      <w:r>
        <w:rPr>
          <w:b/>
        </w:rPr>
        <w:t xml:space="preserve">BN-7. Human-Rights Floor Regardless of Status. </w:t>
      </w:r>
      <w:r>
        <w:rPr/>
        <w:t>Minimum protections concerning humane custody, emergency care, child protection, non-discrimination, access to counsel or legal information where required by law, and protection against abuse shall apply without regard to nationality and shall not depend upon the ultimate success of a person's immigration claim.</w:t>
      </w:r>
    </w:p>
    <w:p>
      <w:pPr>
        <w:pStyle w:val="Normal"/>
        <w:widowControl/>
        <w:rPr/>
      </w:pPr>
      <w:r>
        <w:rPr>
          <w:b/>
        </w:rPr>
        <w:t xml:space="preserve">BN-8. Humanitarian and Life-Safety Firewall. </w:t>
      </w:r>
      <w:r>
        <w:rPr/>
        <w:t>Emergency medicine, disaster response, essential food, humanitarian relief, refugee protection and other life-safety cooperation shall not be suspended or withheld as economic retaliation for a migration-policy dispute.</w:t>
      </w:r>
    </w:p>
    <w:p>
      <w:pPr>
        <w:pStyle w:val="Normal"/>
        <w:widowControl/>
        <w:rPr/>
      </w:pPr>
      <w:r>
        <w:rPr>
          <w:b/>
        </w:rPr>
        <w:t xml:space="preserve">BN-9. No Uncompensated Front-Loading — Human Status Limitation. </w:t>
      </w:r>
      <w:r>
        <w:rPr/>
        <w:t>The Agreement's No Uncompensated Front-Loading architecture may apply to reciprocal government-level mobility, administrative or economic benefits. It shall not be applied mechanically to an individual's accrued status, protection or fundamental procedural rights. Any prospective step-back shall include appropriate grandfathering and continuity safeguards.</w:t>
      </w:r>
    </w:p>
    <w:p>
      <w:pPr>
        <w:pStyle w:val="Normal"/>
        <w:widowControl/>
        <w:rPr/>
      </w:pPr>
      <w:r>
        <w:rPr>
          <w:b/>
        </w:rPr>
        <w:t xml:space="preserve">BN-10. Existing Institutions and No Committee Bloat. </w:t>
      </w:r>
      <w:r>
        <w:rPr/>
        <w:t>Implementation should rely on existing national authorities, the Secretariat and Cothrom processes where appropriate. No permanent migration council, duplicative tribunal, standing ombuds network or new supranational immigration authority is created by this Package.</w:t>
      </w:r>
    </w:p>
    <w:p>
      <w:bookmarkStart w:id="2962" w:name="_NAESTMA_TOC_2962"/>
      <w:pPr>
        <w:pStyle w:val="Heading1"/>
        <w:keepNext/>
        <w:pageBreakBefore/>
        <w:widowControl/>
        <w:rPr/>
      </w:pPr>
      <w:r>
        <w:rPr/>
        <w:t>PACKAGE BO — LAWFUL LABOUR, PROFESSIONAL, STUDENT AND FAMILY MOBILITY</w:t>
      </w:r>
      <w:bookmarkEnd w:id="2962"/>
    </w:p>
    <w:p>
      <w:pPr>
        <w:pStyle w:val="Normal"/>
        <w:widowControl/>
        <w:rPr/>
      </w:pPr>
      <w:r>
        <w:rPr>
          <w:b/>
        </w:rPr>
        <w:t xml:space="preserve">BO-1. Standard Lawful Mobility Pathways. </w:t>
      </w:r>
      <w:r>
        <w:rPr/>
        <w:t>The Parties may establish shortage-responsive pathways for workers in agriculture, care work, construction, logistics, health care, food processing, research, technology and other verified-need sectors, with transparent eligibility and wage-protection rules.</w:t>
      </w:r>
    </w:p>
    <w:p>
      <w:pPr>
        <w:pStyle w:val="Normal"/>
        <w:widowControl/>
        <w:rPr/>
      </w:pPr>
      <w:r>
        <w:rPr>
          <w:b/>
        </w:rPr>
        <w:t xml:space="preserve">BO-2. Sector-Portability Principle. </w:t>
      </w:r>
      <w:r>
        <w:rPr/>
        <w:t>Where practicable, temporary work authorization should permit movement among qualifying employers within an approved occupation or sector rather than binding a worker to a single employer.</w:t>
      </w:r>
    </w:p>
    <w:p>
      <w:pPr>
        <w:pStyle w:val="Normal"/>
        <w:widowControl/>
        <w:rPr/>
      </w:pPr>
      <w:r>
        <w:rPr>
          <w:b/>
        </w:rPr>
        <w:t xml:space="preserve">BO-3. Employer Switching and Bridge Status. </w:t>
      </w:r>
      <w:r>
        <w:rPr/>
        <w:t>A qualifying worker who leaves an employer, including because of substantiated or credibly alleged serious abuse, shall have a defined bridge period in which to seek another qualifying employer without immediate loss of lawful status.</w:t>
      </w:r>
    </w:p>
    <w:p>
      <w:pPr>
        <w:pStyle w:val="Normal"/>
        <w:widowControl/>
        <w:rPr/>
      </w:pPr>
      <w:r>
        <w:rPr>
          <w:b/>
        </w:rPr>
        <w:t xml:space="preserve">BO-4. Trusted Renewal. </w:t>
      </w:r>
      <w:r>
        <w:rPr/>
        <w:t>A worker with a verified history of lawful entry, compliance, authorized work and timely departure where required may receive simplified renewal or documentation processing, subject to continued admissibility.</w:t>
      </w:r>
    </w:p>
    <w:p>
      <w:pPr>
        <w:pStyle w:val="Normal"/>
        <w:widowControl/>
        <w:rPr/>
      </w:pPr>
      <w:r>
        <w:rPr>
          <w:b/>
        </w:rPr>
        <w:t xml:space="preserve">BO-5. Agricultural Mobility. </w:t>
      </w:r>
      <w:r>
        <w:rPr/>
        <w:t>Seasonal agricultural programs should include licensed recruitment, understandable contracts, housing and transportation standards, rapid harvest-season complaints, return-travel rules and trusted returning-worker procedures.</w:t>
      </w:r>
    </w:p>
    <w:p>
      <w:pPr>
        <w:pStyle w:val="Normal"/>
        <w:widowControl/>
        <w:rPr/>
      </w:pPr>
      <w:r>
        <w:rPr>
          <w:b/>
        </w:rPr>
        <w:t xml:space="preserve">BO-6. Skilled Trades and Major Projects. </w:t>
      </w:r>
      <w:r>
        <w:rPr/>
        <w:t>The Parties may facilitate temporary mobility for verified skilled trades and major continental projects while preserving competent-authority licensing, safety requirements and prevailing or applicable wage protections.</w:t>
      </w:r>
    </w:p>
    <w:p>
      <w:pPr>
        <w:pStyle w:val="Normal"/>
        <w:widowControl/>
        <w:rPr/>
      </w:pPr>
      <w:r>
        <w:rPr>
          <w:b/>
        </w:rPr>
        <w:t xml:space="preserve">BO-7. Health and Care Mobility. </w:t>
      </w:r>
      <w:r>
        <w:rPr/>
        <w:t>Health and care-worker mobility may use common credential verification, bridging education and verified-experience recognition, while licensing decisions remain with competent regulators and ethical recruitment safeguards address source-community shortages.</w:t>
      </w:r>
    </w:p>
    <w:p>
      <w:pPr>
        <w:pStyle w:val="Normal"/>
        <w:widowControl/>
        <w:rPr/>
      </w:pPr>
      <w:r>
        <w:rPr>
          <w:b/>
        </w:rPr>
        <w:t xml:space="preserve">BO-8. Research, Technology and Entrepreneurship. </w:t>
      </w:r>
      <w:r>
        <w:rPr/>
        <w:t>Researchers, entrepreneurs and critical-infrastructure specialists may receive project-based or multi-Party mobility facilitation, subject to national admissibility, security and professional requirements.</w:t>
      </w:r>
    </w:p>
    <w:p>
      <w:pPr>
        <w:pStyle w:val="Normal"/>
        <w:widowControl/>
        <w:rPr/>
      </w:pPr>
      <w:r>
        <w:rPr>
          <w:b/>
        </w:rPr>
        <w:t xml:space="preserve">BO-9. Student and Youth Mobility. </w:t>
      </w:r>
      <w:r>
        <w:rPr/>
        <w:t>The Parties may support student exchanges, apprenticeships, post-graduation work opportunities and voluntary youth service programs, with continuity safeguards for disaster-interrupted status.</w:t>
      </w:r>
    </w:p>
    <w:p>
      <w:pPr>
        <w:pStyle w:val="Normal"/>
        <w:widowControl/>
        <w:rPr/>
      </w:pPr>
      <w:r>
        <w:rPr>
          <w:b/>
        </w:rPr>
        <w:t xml:space="preserve">BO-10. Family Unity. </w:t>
      </w:r>
      <w:r>
        <w:rPr/>
        <w:t>Qualifying mobility programs should facilitate accompaniment or reunification of spouses and dependent children where consistent with domestic law, child safety and program capacity.</w:t>
      </w:r>
    </w:p>
    <w:p>
      <w:pPr>
        <w:pStyle w:val="Normal"/>
        <w:widowControl/>
        <w:rPr/>
      </w:pPr>
      <w:r>
        <w:rPr>
          <w:b/>
        </w:rPr>
        <w:t xml:space="preserve">BO-11. Permanent-Residence Pathways. </w:t>
      </w:r>
      <w:r>
        <w:rPr/>
        <w:t>A Party may create transparent pathways from temporary to permanent residence for long-term workers, caregivers or other qualifying persons. Nothing in this Agreement creates an automatic entitlement to permanent residence.</w:t>
      </w:r>
    </w:p>
    <w:p>
      <w:pPr>
        <w:pStyle w:val="Normal"/>
        <w:widowControl/>
        <w:rPr/>
      </w:pPr>
      <w:r>
        <w:rPr>
          <w:b/>
        </w:rPr>
        <w:t xml:space="preserve">BO-12. Credential Portability. </w:t>
      </w:r>
      <w:r>
        <w:rPr/>
        <w:t>The Parties should support interoperable credential verification, recognized translations, reasons for rejection, bridging programs, competency examinations and recognition of verified prior learning, while preserving the authority of competent regulators.</w:t>
      </w:r>
    </w:p>
    <w:p>
      <w:bookmarkStart w:id="2963" w:name="_NAESTMA_TOC_2963"/>
      <w:pPr>
        <w:pStyle w:val="Heading1"/>
        <w:keepNext/>
        <w:pageBreakBefore/>
        <w:widowControl/>
        <w:rPr/>
      </w:pPr>
      <w:r>
        <w:rPr/>
        <w:t>PACKAGE BP — MIGRANT WORKER PROTECTION AND EMPLOYER ACCOUNTABILITY</w:t>
      </w:r>
      <w:bookmarkEnd w:id="2963"/>
    </w:p>
    <w:p>
      <w:pPr>
        <w:pStyle w:val="Normal"/>
        <w:widowControl/>
        <w:rPr/>
      </w:pPr>
      <w:r>
        <w:rPr>
          <w:b/>
        </w:rPr>
        <w:t xml:space="preserve">BP-1. No Worker-Paid Recruitment Fees. </w:t>
      </w:r>
      <w:r>
        <w:rPr/>
        <w:t>Employers, brokers and labour contractors participating in covered programs shall not charge prohibited recruitment fees to workers.</w:t>
      </w:r>
    </w:p>
    <w:p>
      <w:pPr>
        <w:pStyle w:val="Normal"/>
        <w:widowControl/>
        <w:rPr/>
      </w:pPr>
      <w:r>
        <w:rPr>
          <w:b/>
        </w:rPr>
        <w:t xml:space="preserve">BP-2. Document Control. </w:t>
      </w:r>
      <w:r>
        <w:rPr/>
        <w:t>Workers shall retain possession and reasonable access to their passports, immigration documents and identity documents except for brief lawful processing or safekeeping requested by the worker.</w:t>
      </w:r>
    </w:p>
    <w:p>
      <w:pPr>
        <w:pStyle w:val="Normal"/>
        <w:widowControl/>
        <w:rPr/>
      </w:pPr>
      <w:r>
        <w:rPr>
          <w:b/>
        </w:rPr>
        <w:t xml:space="preserve">BP-3. Transparent Contracts. </w:t>
      </w:r>
      <w:r>
        <w:rPr/>
        <w:t>Material terms concerning employer identity, wages, deductions, hours, housing, transportation, work location and complaint rights shall be disclosed in a language the worker can reasonably understand before departure or commencement of work.</w:t>
      </w:r>
    </w:p>
    <w:p>
      <w:pPr>
        <w:pStyle w:val="Normal"/>
        <w:widowControl/>
        <w:rPr/>
      </w:pPr>
      <w:r>
        <w:rPr>
          <w:b/>
        </w:rPr>
        <w:t xml:space="preserve">BP-4. Anti-Retaliation. </w:t>
      </w:r>
      <w:r>
        <w:rPr/>
        <w:t>A worker shall not be punished, blacklisted or subjected to immigration retaliation merely for reporting wage theft, trafficking, unsafe conditions, document confiscation, domestic violence or other serious abuse.</w:t>
      </w:r>
    </w:p>
    <w:p>
      <w:pPr>
        <w:pStyle w:val="Normal"/>
        <w:widowControl/>
        <w:rPr/>
      </w:pPr>
      <w:r>
        <w:rPr>
          <w:b/>
        </w:rPr>
        <w:t xml:space="preserve">BP-5. Status Portability Against Exploitation. </w:t>
      </w:r>
      <w:r>
        <w:rPr/>
        <w:t>Serious employer misconduct shall not force a worker to choose between enduring abuse and immediately becoming without lawful status. Domestic procedures shall provide a reasonable bridge and transfer mechanism.</w:t>
      </w:r>
    </w:p>
    <w:p>
      <w:pPr>
        <w:pStyle w:val="Normal"/>
        <w:widowControl/>
        <w:rPr/>
      </w:pPr>
      <w:r>
        <w:rPr>
          <w:b/>
        </w:rPr>
        <w:t xml:space="preserve">BP-6. Recruiter Accountability. </w:t>
      </w:r>
      <w:r>
        <w:rPr/>
        <w:t>Recruiters participating in covered programs should be licensed or registered, auditable and subject to proportionate exclusion for repeated serious violations.</w:t>
      </w:r>
    </w:p>
    <w:p>
      <w:pPr>
        <w:pStyle w:val="Normal"/>
        <w:widowControl/>
        <w:rPr/>
      </w:pPr>
      <w:r>
        <w:rPr>
          <w:b/>
        </w:rPr>
        <w:t xml:space="preserve">BP-7. Procurement Consequences. </w:t>
      </w:r>
      <w:r>
        <w:rPr/>
        <w:t>Public procurement and trade-finance programs may exclude employers, recruiters or contractors after substantiated serious trafficking, forced-labour, wage-theft or document-confiscation violations, subject to notice, evidence, review and remediation.</w:t>
      </w:r>
    </w:p>
    <w:p>
      <w:pPr>
        <w:pStyle w:val="Normal"/>
        <w:widowControl/>
        <w:rPr/>
      </w:pPr>
      <w:r>
        <w:rPr>
          <w:b/>
        </w:rPr>
        <w:t xml:space="preserve">BP-8. Worker Complaints. </w:t>
      </w:r>
      <w:r>
        <w:rPr/>
        <w:t>The Parties should maintain confidential, multilingual and accessible complaint channels, including rapid mechanisms for seasonal and time-sensitive work.</w:t>
      </w:r>
    </w:p>
    <w:p>
      <w:pPr>
        <w:pStyle w:val="Normal"/>
        <w:widowControl/>
        <w:rPr/>
      </w:pPr>
      <w:r>
        <w:rPr>
          <w:b/>
        </w:rPr>
        <w:t xml:space="preserve">BP-9. Cross-Border Labour Cooperation. </w:t>
      </w:r>
      <w:r>
        <w:rPr/>
        <w:t>Labour authorities may coordinate investigations, audits and information exchange concerning cross-border recruitment and employment, while enforcement authority remains with the competent authority of each Party.</w:t>
      </w:r>
    </w:p>
    <w:p>
      <w:pPr>
        <w:pStyle w:val="Normal"/>
        <w:widowControl/>
        <w:rPr/>
      </w:pPr>
      <w:r>
        <w:rPr>
          <w:b/>
        </w:rPr>
        <w:t xml:space="preserve">BP-10. Safe Labour Remedies. </w:t>
      </w:r>
      <w:r>
        <w:rPr/>
        <w:t>Access to ordinary labour remedies should not itself trigger automatic immigration enforcement against the complainant.</w:t>
      </w:r>
    </w:p>
    <w:p>
      <w:pPr>
        <w:pStyle w:val="Normal"/>
        <w:widowControl/>
        <w:rPr/>
      </w:pPr>
      <w:r>
        <w:rPr>
          <w:b/>
        </w:rPr>
        <w:t xml:space="preserve">BP-11. Public-Supply-Chain Standards. </w:t>
      </w:r>
      <w:r>
        <w:rPr/>
        <w:t>Government-supported projects and relevant supply chains may require anti-trafficking, recruitment, housing and grievance safeguards proportionate to the sector and risk.</w:t>
      </w:r>
    </w:p>
    <w:p>
      <w:pPr>
        <w:pStyle w:val="Normal"/>
        <w:widowControl/>
        <w:rPr/>
      </w:pPr>
      <w:r>
        <w:rPr>
          <w:b/>
        </w:rPr>
        <w:t xml:space="preserve">BP-12. Outcome Measurement. </w:t>
      </w:r>
      <w:r>
        <w:rPr/>
        <w:t>The Parties should measure wage recovery, recruitment abuse, retaliation, trafficking indicators, workplace injury, complaint resolution and repeat violations rather than relying solely on program volume.</w:t>
      </w:r>
    </w:p>
    <w:p>
      <w:bookmarkStart w:id="2964" w:name="_NAESTMA_TOC_2964"/>
      <w:pPr>
        <w:pStyle w:val="Heading1"/>
        <w:keepNext/>
        <w:pageBreakBefore/>
        <w:widowControl/>
        <w:rPr/>
      </w:pPr>
      <w:r>
        <w:rPr/>
        <w:t>PACKAGE BQ — REFUGEE, ASYLUM, TRAFFICKING AND HUMANITARIAN PROTECTION</w:t>
      </w:r>
      <w:bookmarkEnd w:id="2964"/>
    </w:p>
    <w:p>
      <w:pPr>
        <w:pStyle w:val="Normal"/>
        <w:widowControl/>
        <w:rPr/>
      </w:pPr>
      <w:r>
        <w:rPr>
          <w:b/>
        </w:rPr>
        <w:t xml:space="preserve">BQ-1. Independent Protection Adjudication. </w:t>
      </w:r>
      <w:r>
        <w:rPr/>
        <w:t>The authority responsible for apprehension or removal shall not exercise unchecked final authority over the merits of the same person's refugee or asylum protection claim.</w:t>
      </w:r>
    </w:p>
    <w:p>
      <w:pPr>
        <w:pStyle w:val="Normal"/>
        <w:widowControl/>
        <w:rPr/>
      </w:pPr>
      <w:r>
        <w:rPr>
          <w:b/>
        </w:rPr>
        <w:t xml:space="preserve">BQ-2. Non-Refoulement. </w:t>
      </w:r>
      <w:r>
        <w:rPr/>
        <w:t>The Parties reaffirm compliance with applicable domestic and international obligations concerning non-refoulement and protection against return to persecution, torture or other serious harm.</w:t>
      </w:r>
    </w:p>
    <w:p>
      <w:pPr>
        <w:pStyle w:val="Normal"/>
        <w:widowControl/>
        <w:rPr/>
      </w:pPr>
      <w:r>
        <w:rPr>
          <w:b/>
        </w:rPr>
        <w:t xml:space="preserve">BQ-3. Minimum Procedural Safeguards. </w:t>
      </w:r>
      <w:r>
        <w:rPr/>
        <w:t>Covered protection procedures should provide understandable notice, interpretation where necessary, a meaningful opportunity to present relevant evidence, and access to review or appeal as required by applicable law.</w:t>
      </w:r>
    </w:p>
    <w:p>
      <w:pPr>
        <w:pStyle w:val="Normal"/>
        <w:widowControl/>
        <w:rPr/>
      </w:pPr>
      <w:r>
        <w:rPr>
          <w:b/>
        </w:rPr>
        <w:t xml:space="preserve">BQ-4. Vulnerability Screening. </w:t>
      </w:r>
      <w:r>
        <w:rPr/>
        <w:t>Procedures should identify unaccompanied minors, trafficking victims, torture survivors, persons with disabilities, persons facing gender-based violence and other persons requiring adapted safeguards.</w:t>
      </w:r>
    </w:p>
    <w:p>
      <w:pPr>
        <w:pStyle w:val="Normal"/>
        <w:widowControl/>
        <w:rPr/>
      </w:pPr>
      <w:r>
        <w:rPr>
          <w:b/>
        </w:rPr>
        <w:t xml:space="preserve">BQ-5. Trafficking-Victim Firewall. </w:t>
      </w:r>
      <w:r>
        <w:rPr/>
        <w:t>A person intercepted in circumstances indicating trafficking or smuggling shall be assessed for victimization and individual culpability rather than treated automatically as a criminal participant.</w:t>
      </w:r>
    </w:p>
    <w:p>
      <w:pPr>
        <w:pStyle w:val="Normal"/>
        <w:widowControl/>
        <w:rPr/>
      </w:pPr>
      <w:r>
        <w:rPr>
          <w:b/>
        </w:rPr>
        <w:t xml:space="preserve">BQ-6. Crime-Reporting Protection. </w:t>
      </w:r>
      <w:r>
        <w:rPr/>
        <w:t>Victims and witnesses reporting trafficking, domestic violence, labour exploitation or serious crime should have access to appropriate temporary protection against immigration retaliation.</w:t>
      </w:r>
    </w:p>
    <w:p>
      <w:pPr>
        <w:pStyle w:val="Normal"/>
        <w:widowControl/>
        <w:rPr/>
      </w:pPr>
      <w:r>
        <w:rPr>
          <w:b/>
        </w:rPr>
        <w:t xml:space="preserve">BQ-7. Family Reunification. </w:t>
      </w:r>
      <w:r>
        <w:rPr/>
        <w:t>The Parties should facilitate lawful family reunification for recognized refugees and other protected persons where consistent with domestic law and child safety.</w:t>
      </w:r>
    </w:p>
    <w:p>
      <w:pPr>
        <w:pStyle w:val="Normal"/>
        <w:widowControl/>
        <w:rPr/>
      </w:pPr>
      <w:r>
        <w:rPr>
          <w:b/>
        </w:rPr>
        <w:t xml:space="preserve">BQ-8. Safe-Third-Country Review. </w:t>
      </w:r>
      <w:r>
        <w:rPr/>
        <w:t>Any safe-third-country or equivalent transfer arrangement should remain subject to current evidence, periodic review and meaningful procedural safeguards.</w:t>
      </w:r>
    </w:p>
    <w:p>
      <w:pPr>
        <w:pStyle w:val="Normal"/>
        <w:widowControl/>
        <w:rPr/>
      </w:pPr>
      <w:r>
        <w:rPr>
          <w:b/>
        </w:rPr>
        <w:t xml:space="preserve">BQ-9. Humanitarian Visa and Temporary Protection. </w:t>
      </w:r>
      <w:r>
        <w:rPr/>
        <w:t>A Party may establish temporary humanitarian visas or protection for persons facing credible serious threats, war, disaster or state collapse, with defined eligibility, review and duration.</w:t>
      </w:r>
    </w:p>
    <w:p>
      <w:pPr>
        <w:pStyle w:val="Normal"/>
        <w:widowControl/>
        <w:rPr/>
      </w:pPr>
      <w:r>
        <w:rPr>
          <w:b/>
        </w:rPr>
        <w:t xml:space="preserve">BQ-10. Voluntary Coordinated Resettlement. </w:t>
      </w:r>
      <w:r>
        <w:rPr/>
        <w:t>The Parties may coordinate refugee-resettlement pledges and emergency burden-sharing according to capacity and humanitarian need. No automatic population formula creates an involuntary admission quota.</w:t>
      </w:r>
    </w:p>
    <w:p>
      <w:pPr>
        <w:pStyle w:val="Normal"/>
        <w:widowControl/>
        <w:rPr/>
      </w:pPr>
      <w:r>
        <w:rPr>
          <w:b/>
        </w:rPr>
        <w:t xml:space="preserve">BQ-11. Humanitarian Organization Access. </w:t>
      </w:r>
      <w:r>
        <w:rPr/>
        <w:t>Accredited humanitarian and legal organizations should receive reasonable access to relevant processing, shelter and detention environments subject to privacy, security and safety rules.</w:t>
      </w:r>
    </w:p>
    <w:p>
      <w:pPr>
        <w:pStyle w:val="Normal"/>
        <w:widowControl/>
        <w:rPr/>
      </w:pPr>
      <w:r>
        <w:rPr>
          <w:b/>
        </w:rPr>
        <w:t xml:space="preserve">BQ-12. Missing Migrants and Family Reunification. </w:t>
      </w:r>
      <w:r>
        <w:rPr/>
        <w:t>The Parties should cooperate to locate missing migrants, reconcile records and reunite families while protecting sensitive personal data.</w:t>
      </w:r>
    </w:p>
    <w:p>
      <w:bookmarkStart w:id="2965" w:name="_NAESTMA_TOC_2965"/>
      <w:pPr>
        <w:pStyle w:val="Heading1"/>
        <w:keepNext/>
        <w:pageBreakBefore/>
        <w:widowControl/>
        <w:rPr/>
      </w:pPr>
      <w:r>
        <w:rPr/>
        <w:t>PACKAGE BR — CIVIL IMMIGRATION ENFORCEMENT, DUE PROCESS AND POWER-SEPARATION SAFEGUARDS</w:t>
      </w:r>
      <w:bookmarkEnd w:id="2965"/>
    </w:p>
    <w:p>
      <w:pPr>
        <w:pStyle w:val="Normal"/>
        <w:widowControl/>
        <w:rPr/>
      </w:pPr>
      <w:r>
        <w:rPr>
          <w:b/>
        </w:rPr>
        <w:t xml:space="preserve">BR-1. Civil and Criminal Distinction. </w:t>
      </w:r>
      <w:r>
        <w:rPr/>
        <w:t>Civil immigration violations shall be distinguished from criminal offenses. Serious criminal conduct remains subject to ordinary criminal investigation and prosecution with the protections applicable to criminal proceedings.</w:t>
      </w:r>
    </w:p>
    <w:p>
      <w:pPr>
        <w:pStyle w:val="Normal"/>
        <w:widowControl/>
        <w:rPr/>
      </w:pPr>
      <w:r>
        <w:rPr>
          <w:b/>
        </w:rPr>
        <w:t xml:space="preserve">BR-2. No Quotas. </w:t>
      </w:r>
      <w:r>
        <w:rPr/>
        <w:t>Arrest, detention and removal quotas or numerical performance targets that create incentives for indiscriminate enforcement should not be used.</w:t>
      </w:r>
    </w:p>
    <w:p>
      <w:pPr>
        <w:pStyle w:val="Normal"/>
        <w:widowControl/>
        <w:rPr/>
      </w:pPr>
      <w:r>
        <w:rPr>
          <w:b/>
        </w:rPr>
        <w:t xml:space="preserve">BR-3. Case-Specific Reasons. </w:t>
      </w:r>
      <w:r>
        <w:rPr/>
        <w:t>A civil immigration arrest, detention, search or removal decision should have a documented lawful basis and reasons sufficient for applicable review.</w:t>
      </w:r>
    </w:p>
    <w:p>
      <w:pPr>
        <w:pStyle w:val="Normal"/>
        <w:widowControl/>
        <w:rPr/>
      </w:pPr>
      <w:r>
        <w:rPr>
          <w:b/>
        </w:rPr>
        <w:t xml:space="preserve">BR-4. Least-Restrictive Administration. </w:t>
      </w:r>
      <w:r>
        <w:rPr/>
        <w:t>Where a summons, reporting requirement, case management or another less-restrictive measure reasonably addresses the administrative objective and safety risk, detention or arrest should not be used merely for convenience or deterrence.</w:t>
      </w:r>
    </w:p>
    <w:p>
      <w:pPr>
        <w:pStyle w:val="Normal"/>
        <w:widowControl/>
        <w:rPr/>
      </w:pPr>
      <w:r>
        <w:rPr>
          <w:b/>
        </w:rPr>
        <w:t xml:space="preserve">BR-5. Home Entry. </w:t>
      </w:r>
      <w:r>
        <w:rPr/>
        <w:t>Entry into a private home for civil immigration enforcement shall comply with the judicial-authorization and emergency standards required by the law of the Party concerned.</w:t>
      </w:r>
    </w:p>
    <w:p>
      <w:pPr>
        <w:pStyle w:val="Normal"/>
        <w:widowControl/>
        <w:rPr/>
      </w:pPr>
      <w:r>
        <w:rPr>
          <w:b/>
        </w:rPr>
        <w:t xml:space="preserve">BR-6. Officer Identification. </w:t>
      </w:r>
      <w:r>
        <w:rPr/>
        <w:t>During ordinary enforcement encounters, officers should identify themselves, their authority and the legal basis for the encounter, subject to narrow undercover or immediate-safety exceptions.</w:t>
      </w:r>
    </w:p>
    <w:p>
      <w:pPr>
        <w:pStyle w:val="Normal"/>
        <w:widowControl/>
        <w:rPr/>
      </w:pPr>
      <w:r>
        <w:rPr>
          <w:b/>
        </w:rPr>
        <w:t xml:space="preserve">BR-7. No Coerced Search Consent. </w:t>
      </w:r>
      <w:r>
        <w:rPr/>
        <w:t>Threats of immigration arrest or removal shall not be used to manufacture consent to an otherwise unauthorized search.</w:t>
      </w:r>
    </w:p>
    <w:p>
      <w:pPr>
        <w:pStyle w:val="Normal"/>
        <w:widowControl/>
        <w:rPr/>
      </w:pPr>
      <w:r>
        <w:rPr>
          <w:b/>
        </w:rPr>
        <w:t xml:space="preserve">BR-8. Sensitive Locations. </w:t>
      </w:r>
      <w:r>
        <w:rPr/>
        <w:t>Schools, emergency medical facilities, shelters, places of worship and comparable sensitive locations shall not be used for routine civil immigration apprehension except where authorized by law in response to an immediate serious threat or other exceptional circumstances subject to review.</w:t>
      </w:r>
    </w:p>
    <w:p>
      <w:pPr>
        <w:pStyle w:val="Normal"/>
        <w:widowControl/>
        <w:rPr/>
      </w:pPr>
      <w:r>
        <w:rPr>
          <w:b/>
        </w:rPr>
        <w:t xml:space="preserve">BR-9. Courthouse and Witness Protection. </w:t>
      </w:r>
      <w:r>
        <w:rPr/>
        <w:t>Civil immigration practices should not deter victims, witnesses or parties from accessing courts or reporting serious crime.</w:t>
      </w:r>
    </w:p>
    <w:p>
      <w:pPr>
        <w:pStyle w:val="Normal"/>
        <w:widowControl/>
        <w:rPr/>
      </w:pPr>
      <w:r>
        <w:rPr>
          <w:b/>
        </w:rPr>
        <w:t xml:space="preserve">BR-10. Use of Force. </w:t>
      </w:r>
      <w:r>
        <w:rPr/>
        <w:t>Immigration personnel exercising coercive authority shall be governed by lawful, proportionate use-of-force standards, with immediate-threat authority where necessary and mandatory supervisory review after significant force.</w:t>
      </w:r>
    </w:p>
    <w:p>
      <w:pPr>
        <w:pStyle w:val="Normal"/>
        <w:widowControl/>
        <w:rPr/>
      </w:pPr>
      <w:r>
        <w:rPr>
          <w:b/>
        </w:rPr>
        <w:t xml:space="preserve">BR-11. Body-Worn Cameras and Accountability. </w:t>
      </w:r>
      <w:r>
        <w:rPr/>
        <w:t>Where body-worn cameras are used, policy shall protect privacy, privileged communications, children, medical encounters and evidentiary integrity while preserving accountability.</w:t>
      </w:r>
    </w:p>
    <w:p>
      <w:pPr>
        <w:pStyle w:val="Normal"/>
        <w:widowControl/>
        <w:rPr/>
      </w:pPr>
      <w:r>
        <w:rPr>
          <w:b/>
        </w:rPr>
        <w:t xml:space="preserve">BR-12. Independent Review. </w:t>
      </w:r>
      <w:r>
        <w:rPr/>
        <w:t>Detention, protection and removal decisions shall remain subject to meaningful independent administrative or judicial review as provided by domestic law.</w:t>
      </w:r>
    </w:p>
    <w:p>
      <w:pPr>
        <w:pStyle w:val="Normal"/>
        <w:widowControl/>
        <w:rPr/>
      </w:pPr>
      <w:r>
        <w:rPr>
          <w:b/>
        </w:rPr>
        <w:t xml:space="preserve">BR-13. Major Power Expansion Review. </w:t>
      </w:r>
      <w:r>
        <w:rPr/>
        <w:t>A substantial expansion or consolidation of civil immigration coercive powers should require explicit domestic legal authority, a published rights-impact assessment and effective legislative or independent scrutiny.</w:t>
      </w:r>
    </w:p>
    <w:p>
      <w:pPr>
        <w:pStyle w:val="Normal"/>
        <w:widowControl/>
        <w:rPr/>
      </w:pPr>
      <w:r>
        <w:rPr>
          <w:b/>
        </w:rPr>
        <w:t xml:space="preserve">BR-14. Outsourced Enforcement Review. </w:t>
      </w:r>
      <w:r>
        <w:rPr/>
        <w:t>Before entering arrangements that materially outsource migration interception, detention or removal functions, a Party should assess legal responsibility, protection obligations and independent oversight.</w:t>
      </w:r>
    </w:p>
    <w:p>
      <w:bookmarkStart w:id="2966" w:name="_NAESTMA_TOC_2966"/>
      <w:pPr>
        <w:pStyle w:val="Heading1"/>
        <w:keepNext/>
        <w:pageBreakBefore/>
        <w:widowControl/>
        <w:rPr/>
      </w:pPr>
      <w:r>
        <w:rPr/>
        <w:t>PACKAGE BS — HUMANE CUSTODY, DETENTION ALTERNATIVES AND SENSITIVE-LOCATION PROTECTION</w:t>
      </w:r>
      <w:bookmarkEnd w:id="2966"/>
    </w:p>
    <w:p>
      <w:pPr>
        <w:pStyle w:val="Normal"/>
        <w:widowControl/>
        <w:rPr/>
      </w:pPr>
      <w:r>
        <w:rPr>
          <w:b/>
        </w:rPr>
        <w:t xml:space="preserve">BS-1. Presumption Against Unnecessary Detention. </w:t>
      </w:r>
      <w:r>
        <w:rPr/>
        <w:t>Civil immigration detention should be used only where authorized by law and justified by individualized circumstances, with less-restrictive alternatives considered where appropriate.</w:t>
      </w:r>
    </w:p>
    <w:p>
      <w:pPr>
        <w:pStyle w:val="Normal"/>
        <w:widowControl/>
        <w:rPr/>
      </w:pPr>
      <w:r>
        <w:rPr>
          <w:b/>
        </w:rPr>
        <w:t xml:space="preserve">BS-2. Prompt Review. </w:t>
      </w:r>
      <w:r>
        <w:rPr/>
        <w:t>A detained person shall receive prompt independent review of the legal basis and continuing necessity of detention.</w:t>
      </w:r>
    </w:p>
    <w:p>
      <w:pPr>
        <w:pStyle w:val="Normal"/>
        <w:widowControl/>
        <w:rPr/>
      </w:pPr>
      <w:r>
        <w:rPr>
          <w:b/>
        </w:rPr>
        <w:t xml:space="preserve">BS-3. Poverty and Bond. </w:t>
      </w:r>
      <w:r>
        <w:rPr/>
        <w:t>Lack of financial means alone shall not justify continued civil detention where an otherwise adequate less-restrictive arrangement is available.</w:t>
      </w:r>
    </w:p>
    <w:p>
      <w:pPr>
        <w:pStyle w:val="Normal"/>
        <w:widowControl/>
        <w:rPr/>
      </w:pPr>
      <w:r>
        <w:rPr>
          <w:b/>
        </w:rPr>
        <w:t xml:space="preserve">BS-4. Children. </w:t>
      </w:r>
      <w:r>
        <w:rPr/>
        <w:t>Children shall not be subjected to punitive civil immigration detention. Short-duration protective or processing custody, where unavoidable, shall be governed by child-safety, family-unity and independent-review safeguards.</w:t>
      </w:r>
    </w:p>
    <w:p>
      <w:pPr>
        <w:pStyle w:val="Normal"/>
        <w:widowControl/>
        <w:rPr/>
      </w:pPr>
      <w:r>
        <w:rPr>
          <w:b/>
        </w:rPr>
        <w:t xml:space="preserve">BS-5. Pregnancy and Vulnerability. </w:t>
      </w:r>
      <w:r>
        <w:rPr/>
        <w:t>Pregnancy, disability, serious illness, trauma and suicide risk shall receive individualized assessment and strong consideration against detention unless necessity is independently established.</w:t>
      </w:r>
    </w:p>
    <w:p>
      <w:pPr>
        <w:pStyle w:val="Normal"/>
        <w:widowControl/>
        <w:rPr/>
      </w:pPr>
      <w:r>
        <w:rPr>
          <w:b/>
        </w:rPr>
        <w:t xml:space="preserve">BS-6. Family Unity. </w:t>
      </w:r>
      <w:r>
        <w:rPr/>
        <w:t>Families should remain together in community-based or other non-custodial settings whenever safe and feasible.</w:t>
      </w:r>
    </w:p>
    <w:p>
      <w:pPr>
        <w:pStyle w:val="Normal"/>
        <w:widowControl/>
        <w:rPr/>
      </w:pPr>
      <w:r>
        <w:rPr>
          <w:b/>
        </w:rPr>
        <w:t xml:space="preserve">BS-7. Humane Custody Floor. </w:t>
      </w:r>
      <w:r>
        <w:rPr/>
        <w:t>Any civil immigration custody facility shall provide safe drinking water, sufficient food, sanitation, safe temperature, sleep, necessary medical and mental-health care, disability accommodation, communication, legal access, family contact, protection from violence and emergency evacuation capability.</w:t>
      </w:r>
    </w:p>
    <w:p>
      <w:pPr>
        <w:pStyle w:val="Normal"/>
        <w:widowControl/>
        <w:rPr/>
      </w:pPr>
      <w:r>
        <w:rPr>
          <w:b/>
        </w:rPr>
        <w:t xml:space="preserve">BS-8. Detention Environment Anti-Deterrence Rule. </w:t>
      </w:r>
      <w:r>
        <w:rPr/>
        <w:t>A Party shall not select, construct, operate or maintain a civil immigration detention facility in a manner that intentionally relies upon dangerous environmental conditions, geographic isolation, extreme climate, wildlife hazards, deprivation of communication, remoteness from courts or counsel, or inadequate access to medical services as a means of punishment, intimidation or deterrence.</w:t>
      </w:r>
    </w:p>
    <w:p>
      <w:pPr>
        <w:pStyle w:val="Normal"/>
        <w:widowControl/>
        <w:rPr/>
      </w:pPr>
      <w:r>
        <w:rPr>
          <w:b/>
        </w:rPr>
        <w:t xml:space="preserve">BS-9. Independent Inspection. </w:t>
      </w:r>
      <w:r>
        <w:rPr/>
        <w:t>Civil immigration detention facilities shall be subject to meaningful independent inspection, including unannounced inspection where authorized, and public reporting of systemic deficiencies.</w:t>
      </w:r>
    </w:p>
    <w:p>
      <w:pPr>
        <w:pStyle w:val="Normal"/>
        <w:widowControl/>
        <w:rPr/>
      </w:pPr>
      <w:r>
        <w:rPr>
          <w:b/>
        </w:rPr>
        <w:t xml:space="preserve">BS-10. Serious-Incident Reporting. </w:t>
      </w:r>
      <w:r>
        <w:rPr/>
        <w:t>Deaths, serious injuries, assaults, suicides and major medical emergencies in civil immigration custody shall be recorded, independently reviewable and publicly reported in a privacy-protective form.</w:t>
      </w:r>
    </w:p>
    <w:p>
      <w:pPr>
        <w:pStyle w:val="Normal"/>
        <w:widowControl/>
        <w:rPr/>
      </w:pPr>
      <w:r>
        <w:rPr>
          <w:b/>
        </w:rPr>
        <w:t xml:space="preserve">BS-11. Transfers. </w:t>
      </w:r>
      <w:r>
        <w:rPr/>
        <w:t>Detainees should not be transferred principally to frustrate access to family, counsel, witnesses, evidence or medical care. Emergency and legitimate operational transfers remain possible with appropriate notice.</w:t>
      </w:r>
    </w:p>
    <w:p>
      <w:pPr>
        <w:pStyle w:val="Normal"/>
        <w:widowControl/>
        <w:rPr/>
      </w:pPr>
      <w:r>
        <w:rPr>
          <w:b/>
        </w:rPr>
        <w:t xml:space="preserve">BS-12. Solitary Confinement. </w:t>
      </w:r>
      <w:r>
        <w:rPr/>
        <w:t>Isolation shall not be used as punishment for civil immigration status and shall be limited to exceptional, documented safety circumstances with frequent review.</w:t>
      </w:r>
    </w:p>
    <w:p>
      <w:pPr>
        <w:pStyle w:val="Normal"/>
        <w:widowControl/>
        <w:rPr/>
      </w:pPr>
      <w:r>
        <w:rPr>
          <w:b/>
        </w:rPr>
        <w:t xml:space="preserve">BS-13. Removal Not Foreseeable. </w:t>
      </w:r>
      <w:r>
        <w:rPr/>
        <w:t>Where removal is not realistically foreseeable within a reasonable period, continuing detention shall receive heightened independent review and release planning.</w:t>
      </w:r>
    </w:p>
    <w:p>
      <w:pPr>
        <w:pStyle w:val="Normal"/>
        <w:widowControl/>
        <w:rPr/>
      </w:pPr>
      <w:r>
        <w:rPr>
          <w:b/>
        </w:rPr>
        <w:t xml:space="preserve">BS-14. Contractor Limits. </w:t>
      </w:r>
      <w:r>
        <w:rPr/>
        <w:t>Private contractors may provide lawful support services but shall not exercise final authority over arrest, detention necessity, protection adjudication, release or removal.</w:t>
      </w:r>
    </w:p>
    <w:p>
      <w:bookmarkStart w:id="2967" w:name="_NAESTMA_TOC_2967"/>
      <w:pPr>
        <w:pStyle w:val="Heading1"/>
        <w:keepNext/>
        <w:pageBreakBefore/>
        <w:widowControl/>
        <w:rPr/>
      </w:pPr>
      <w:r>
        <w:rPr/>
        <w:t>PACKAGE BT — MIGRATION DATA, PRIVACY, BIOMETRICS AND AUTOMATED-DECISION SAFEGUARDS</w:t>
      </w:r>
      <w:bookmarkEnd w:id="2967"/>
    </w:p>
    <w:p>
      <w:pPr>
        <w:pStyle w:val="Normal"/>
        <w:widowControl/>
        <w:rPr/>
      </w:pPr>
      <w:r>
        <w:rPr>
          <w:b/>
        </w:rPr>
        <w:t xml:space="preserve">BT-1. Minimum-Necessary-Data Doctrine. </w:t>
      </w:r>
      <w:r>
        <w:rPr/>
        <w:t>Migration data collection, access, use and sharing shall be limited to information reasonably necessary for a defined lawful purpose.</w:t>
      </w:r>
    </w:p>
    <w:p>
      <w:pPr>
        <w:pStyle w:val="Normal"/>
        <w:widowControl/>
        <w:rPr/>
      </w:pPr>
      <w:r>
        <w:rPr>
          <w:b/>
        </w:rPr>
        <w:t xml:space="preserve">BT-2. Federated Interoperability. </w:t>
      </w:r>
      <w:r>
        <w:rPr/>
        <w:t>The Parties should prefer interoperable and federated verification over a centralized continental immigration database where the same objective can reasonably be achieved with less privacy risk.</w:t>
      </w:r>
    </w:p>
    <w:p>
      <w:pPr>
        <w:pStyle w:val="Normal"/>
        <w:widowControl/>
        <w:rPr/>
      </w:pPr>
      <w:r>
        <w:rPr>
          <w:b/>
        </w:rPr>
        <w:t xml:space="preserve">BT-3. No Continental Person Number. </w:t>
      </w:r>
      <w:r>
        <w:rPr/>
        <w:t>Nothing in this Agreement requires a permanent unique North American immigration identifier applicable across unrelated programs.</w:t>
      </w:r>
    </w:p>
    <w:p>
      <w:pPr>
        <w:pStyle w:val="Normal"/>
        <w:widowControl/>
        <w:rPr/>
      </w:pPr>
      <w:r>
        <w:rPr>
          <w:b/>
        </w:rPr>
        <w:t xml:space="preserve">BT-4. Sensitive-Service Data Firewall. </w:t>
      </w:r>
      <w:r>
        <w:rPr/>
        <w:t>Health, education, shelter, domestic-violence, library and comparable service records shall not be used for indiscriminate immigration enforcement. Access shall require lawful authority, necessity and appropriate safeguards.</w:t>
      </w:r>
    </w:p>
    <w:p>
      <w:pPr>
        <w:pStyle w:val="Normal"/>
        <w:widowControl/>
        <w:rPr/>
      </w:pPr>
      <w:r>
        <w:rPr>
          <w:b/>
        </w:rPr>
        <w:t xml:space="preserve">BT-5. Purpose Limitation. </w:t>
      </w:r>
      <w:r>
        <w:rPr/>
        <w:t>Data obtained for humanitarian, labour-remedy, health or other protected purposes shall not be repurposed for unrelated enforcement absent lawful authority and a compelling, reviewable justification.</w:t>
      </w:r>
    </w:p>
    <w:p>
      <w:pPr>
        <w:pStyle w:val="Normal"/>
        <w:widowControl/>
        <w:rPr/>
      </w:pPr>
      <w:r>
        <w:rPr>
          <w:b/>
        </w:rPr>
        <w:t xml:space="preserve">BT-6. Retention and Deletion. </w:t>
      </w:r>
      <w:r>
        <w:rPr/>
        <w:t>Data shall be retained no longer than reasonably necessary for its lawful purpose, subject to defined exceptions for litigation, audits, serious investigations and legal recordkeeping.</w:t>
      </w:r>
    </w:p>
    <w:p>
      <w:pPr>
        <w:pStyle w:val="Normal"/>
        <w:widowControl/>
        <w:rPr/>
      </w:pPr>
      <w:r>
        <w:rPr>
          <w:b/>
        </w:rPr>
        <w:t xml:space="preserve">BT-7. Access and Correction. </w:t>
      </w:r>
      <w:r>
        <w:rPr/>
        <w:t>Individuals should have a practicable process to access consequential immigration records about themselves and seek correction of material errors, subject to legitimate security and investigative exceptions.</w:t>
      </w:r>
    </w:p>
    <w:p>
      <w:pPr>
        <w:pStyle w:val="Normal"/>
        <w:widowControl/>
        <w:rPr/>
      </w:pPr>
      <w:r>
        <w:rPr>
          <w:b/>
        </w:rPr>
        <w:t xml:space="preserve">BT-8. Biometric Restraint. </w:t>
      </w:r>
      <w:r>
        <w:rPr/>
        <w:t>Biometric collection and sharing shall require lawful authority, necessity, proportionality, defined retention, security controls and restrictions on secondary use. Interoperability does not itself authorize expanded collection.</w:t>
      </w:r>
    </w:p>
    <w:p>
      <w:pPr>
        <w:pStyle w:val="Normal"/>
        <w:widowControl/>
        <w:rPr/>
      </w:pPr>
      <w:r>
        <w:rPr>
          <w:b/>
        </w:rPr>
        <w:t xml:space="preserve">BT-9. Facial Recognition and Surveillance. </w:t>
      </w:r>
      <w:r>
        <w:rPr/>
        <w:t>Warrantless or indiscriminate biometric surveillance for civil immigration enforcement should be prohibited or tightly restricted under domestic law.</w:t>
      </w:r>
    </w:p>
    <w:p>
      <w:pPr>
        <w:pStyle w:val="Normal"/>
        <w:widowControl/>
        <w:rPr/>
      </w:pPr>
      <w:r>
        <w:rPr>
          <w:b/>
        </w:rPr>
        <w:t xml:space="preserve">BT-10. Automated Decisions. </w:t>
      </w:r>
      <w:r>
        <w:rPr/>
        <w:t>No consequential denial of a visa, work authorization, protection access or other covered benefit should rest solely on an automated system where meaningful human review is reasonably available and legally required.</w:t>
      </w:r>
    </w:p>
    <w:p>
      <w:pPr>
        <w:pStyle w:val="Normal"/>
        <w:widowControl/>
        <w:rPr/>
      </w:pPr>
      <w:r>
        <w:rPr>
          <w:b/>
        </w:rPr>
        <w:t xml:space="preserve">BT-11. Algorithmic Auditability. </w:t>
      </w:r>
      <w:r>
        <w:rPr/>
        <w:t>High-impact immigration screening systems should be auditable for accuracy, discriminatory effects, data provenance and error correction.</w:t>
      </w:r>
    </w:p>
    <w:p>
      <w:pPr>
        <w:pStyle w:val="Normal"/>
        <w:widowControl/>
        <w:rPr/>
      </w:pPr>
      <w:r>
        <w:rPr>
          <w:b/>
        </w:rPr>
        <w:t xml:space="preserve">BT-12. No Automatic Deportation Lists. </w:t>
      </w:r>
      <w:r>
        <w:rPr/>
        <w:t>Shared data systems shall not become automatic deportation, detention or exclusion lists without individualized lawful review.</w:t>
      </w:r>
    </w:p>
    <w:p>
      <w:pPr>
        <w:pStyle w:val="Normal"/>
        <w:widowControl/>
        <w:rPr/>
      </w:pPr>
      <w:r>
        <w:rPr>
          <w:b/>
        </w:rPr>
        <w:t xml:space="preserve">BT-13. Notice of Material Error. </w:t>
      </w:r>
      <w:r>
        <w:rPr/>
        <w:t>Where a Party discovers a material cross-border data error that foreseeably affects an individual's status or rights, it should provide notice and a correction pathway where lawful.</w:t>
      </w:r>
    </w:p>
    <w:p>
      <w:pPr>
        <w:pStyle w:val="Normal"/>
        <w:widowControl/>
        <w:rPr/>
      </w:pPr>
      <w:r>
        <w:rPr>
          <w:b/>
        </w:rPr>
        <w:t xml:space="preserve">BT-14. Vendor Accountability. </w:t>
      </w:r>
      <w:r>
        <w:rPr/>
        <w:t>Publicly procured immigration technology should support auditability, security, correction and human review appropriate to the system's consequences.</w:t>
      </w:r>
    </w:p>
    <w:p>
      <w:bookmarkStart w:id="2968" w:name="_NAESTMA_TOC_2968"/>
      <w:pPr>
        <w:pStyle w:val="Heading1"/>
        <w:keepNext/>
        <w:pageBreakBefore/>
        <w:widowControl/>
        <w:rPr/>
      </w:pPr>
      <w:r>
        <w:rPr/>
        <w:t>PACKAGE BU — RETURN, REINTEGRATION, DISASTER MOBILITY AND REGIONAL DEVELOPMENT</w:t>
      </w:r>
      <w:bookmarkEnd w:id="2968"/>
    </w:p>
    <w:p>
      <w:pPr>
        <w:pStyle w:val="Normal"/>
        <w:widowControl/>
        <w:rPr/>
      </w:pPr>
      <w:r>
        <w:rPr>
          <w:b/>
        </w:rPr>
        <w:t xml:space="preserve">BU-1. Voluntary Return. </w:t>
      </w:r>
      <w:r>
        <w:rPr/>
        <w:t>Voluntary-return programs shall be genuinely voluntary and should include understandable information, travel documentation and appropriate reintegration assistance.</w:t>
      </w:r>
    </w:p>
    <w:p>
      <w:pPr>
        <w:pStyle w:val="Normal"/>
        <w:widowControl/>
        <w:rPr/>
      </w:pPr>
      <w:r>
        <w:rPr>
          <w:b/>
        </w:rPr>
        <w:t xml:space="preserve">BU-2. Trusted Returning Workers. </w:t>
      </w:r>
      <w:r>
        <w:rPr/>
        <w:t>Workers who comply with temporary programs and depart as required may receive facilitated consideration for future lawful participation, subject to continued eligibility.</w:t>
      </w:r>
    </w:p>
    <w:p>
      <w:pPr>
        <w:pStyle w:val="Normal"/>
        <w:widowControl/>
        <w:rPr/>
      </w:pPr>
      <w:r>
        <w:rPr>
          <w:b/>
        </w:rPr>
        <w:t xml:space="preserve">BU-3. Portable Social Protection. </w:t>
      </w:r>
      <w:r>
        <w:rPr/>
        <w:t>The Parties should pursue portability or coordination of pensions, social-security records, workers' compensation and lawfully earned savings through applicable agreements and domestic law.</w:t>
      </w:r>
    </w:p>
    <w:p>
      <w:pPr>
        <w:pStyle w:val="Normal"/>
        <w:widowControl/>
        <w:rPr/>
      </w:pPr>
      <w:r>
        <w:rPr>
          <w:b/>
        </w:rPr>
        <w:t xml:space="preserve">BU-4. Reintegration and Skills Recognition. </w:t>
      </w:r>
      <w:r>
        <w:rPr/>
        <w:t>Returning persons should be able to document skills and experience acquired abroad for employment, education and licensing purposes.</w:t>
      </w:r>
    </w:p>
    <w:p>
      <w:pPr>
        <w:pStyle w:val="Normal"/>
        <w:widowControl/>
        <w:rPr/>
      </w:pPr>
      <w:r>
        <w:rPr>
          <w:b/>
        </w:rPr>
        <w:t xml:space="preserve">BU-5. Regional Development. </w:t>
      </w:r>
      <w:r>
        <w:rPr/>
        <w:t>The Parties may coordinate development finance, vocational training, SME support, infrastructure and lawful recruitment information in communities experiencing high migration pressure, with the affected Party retaining control over domestic priorities.</w:t>
      </w:r>
    </w:p>
    <w:p>
      <w:pPr>
        <w:pStyle w:val="Normal"/>
        <w:widowControl/>
        <w:rPr/>
      </w:pPr>
      <w:r>
        <w:rPr>
          <w:b/>
        </w:rPr>
        <w:t xml:space="preserve">BU-6. Disaster Status Continuity. </w:t>
      </w:r>
      <w:r>
        <w:rPr/>
        <w:t>A disaster that closes offices, interrupts travel or destroys documents should not by itself cause otherwise lawful status to lapse where timely compliance was reasonably impossible.</w:t>
      </w:r>
    </w:p>
    <w:p>
      <w:pPr>
        <w:pStyle w:val="Normal"/>
        <w:widowControl/>
        <w:rPr/>
      </w:pPr>
      <w:r>
        <w:rPr>
          <w:b/>
        </w:rPr>
        <w:t xml:space="preserve">BU-7. Temporary Disaster Mobility. </w:t>
      </w:r>
      <w:r>
        <w:rPr/>
        <w:t>The Parties may establish temporary, reviewable humanitarian mobility and status-extension mechanisms where safe return is temporarily impossible because of major disaster, conflict or state collapse.</w:t>
      </w:r>
    </w:p>
    <w:p>
      <w:pPr>
        <w:pStyle w:val="Normal"/>
        <w:widowControl/>
        <w:rPr/>
      </w:pPr>
      <w:r>
        <w:rPr>
          <w:b/>
        </w:rPr>
        <w:t xml:space="preserve">BU-8. Emergency Responders. </w:t>
      </w:r>
      <w:r>
        <w:rPr/>
        <w:t>Qualified emergency responders may receive expedited temporary mobility during major disasters, subject to credential, safety and command requirements.</w:t>
      </w:r>
    </w:p>
    <w:p>
      <w:pPr>
        <w:pStyle w:val="Normal"/>
        <w:widowControl/>
        <w:rPr/>
      </w:pPr>
      <w:r>
        <w:rPr>
          <w:b/>
        </w:rPr>
        <w:t xml:space="preserve">BU-9. Humanitarian Corridors. </w:t>
      </w:r>
      <w:r>
        <w:rPr/>
        <w:t>The Parties may coordinate emergency humanitarian corridors for disasters and other acute crises, subject to security screening and the Humanitarian and Life-Safety Firewall.</w:t>
      </w:r>
    </w:p>
    <w:p>
      <w:pPr>
        <w:pStyle w:val="Normal"/>
        <w:widowControl/>
        <w:rPr/>
      </w:pPr>
      <w:r>
        <w:rPr>
          <w:b/>
        </w:rPr>
        <w:t xml:space="preserve">BU-10. Evidence and Evaluation. </w:t>
      </w:r>
      <w:r>
        <w:rPr/>
        <w:t>Programs should measure repeat irregular migration, successful reintegration, labour-market outcomes, community effects and protection outcomes to support adaptive policy.</w:t>
      </w:r>
    </w:p>
    <w:p>
      <w:bookmarkStart w:id="2969" w:name="_NAESTMA_TOC_2969"/>
      <w:pPr>
        <w:pStyle w:val="Heading1"/>
        <w:keepNext/>
        <w:pageBreakBefore/>
        <w:widowControl/>
        <w:rPr/>
      </w:pPr>
      <w:r>
        <w:rPr/>
        <w:t>PACKAGE BV — TRUSTED NORTH AMERICAN MOBILITY AND ADMINISTRATIVE INTEROPERABILITY</w:t>
      </w:r>
      <w:bookmarkEnd w:id="2969"/>
    </w:p>
    <w:p>
      <w:pPr>
        <w:pStyle w:val="Normal"/>
        <w:widowControl/>
        <w:rPr/>
      </w:pPr>
      <w:r>
        <w:rPr>
          <w:b/>
        </w:rPr>
        <w:t xml:space="preserve">BV-1. Trusted Mobility Concept. </w:t>
      </w:r>
      <w:r>
        <w:rPr/>
        <w:t>The Parties may establish risk-based administrative facilitation for persons with verified histories of lawful participation in covered mobility programs. Trusted status is an administrative facilitation and does not create a right to admission.</w:t>
      </w:r>
    </w:p>
    <w:p>
      <w:pPr>
        <w:pStyle w:val="Normal"/>
        <w:widowControl/>
        <w:rPr/>
      </w:pPr>
      <w:r>
        <w:rPr>
          <w:b/>
        </w:rPr>
        <w:t xml:space="preserve">BV-2. Qualification Logic. </w:t>
      </w:r>
      <w:r>
        <w:rPr/>
        <w:t>Qualification may consider verified identity, prior program compliance, lawful work, applicable tax or contribution compliance, absence of disqualifying fraud, and timely departure where required.</w:t>
      </w:r>
    </w:p>
    <w:p>
      <w:pPr>
        <w:pStyle w:val="Normal"/>
        <w:widowControl/>
        <w:rPr/>
      </w:pPr>
      <w:r>
        <w:rPr>
          <w:b/>
        </w:rPr>
        <w:t xml:space="preserve">BV-3. Continued Admissibility. </w:t>
      </w:r>
      <w:r>
        <w:rPr/>
        <w:t>Trusted processing remains subject to each Party's current admissibility, security, health and public-safety law.</w:t>
      </w:r>
    </w:p>
    <w:p>
      <w:pPr>
        <w:pStyle w:val="Normal"/>
        <w:widowControl/>
        <w:rPr/>
      </w:pPr>
      <w:r>
        <w:rPr>
          <w:b/>
        </w:rPr>
        <w:t xml:space="preserve">BV-4. Interoperable Credentials. </w:t>
      </w:r>
      <w:r>
        <w:rPr/>
        <w:t>The Parties should support secure verification of work authorization, professional credentials and program history without requiring unnecessary centralization of personal data.</w:t>
      </w:r>
    </w:p>
    <w:p>
      <w:pPr>
        <w:pStyle w:val="Normal"/>
        <w:widowControl/>
        <w:rPr/>
      </w:pPr>
      <w:r>
        <w:rPr>
          <w:b/>
        </w:rPr>
        <w:t xml:space="preserve">BV-5. Record Correction. </w:t>
      </w:r>
      <w:r>
        <w:rPr/>
        <w:t>A person shall have a practical mechanism to challenge or correct erroneous information that materially affects trusted status.</w:t>
      </w:r>
    </w:p>
    <w:p>
      <w:pPr>
        <w:pStyle w:val="Normal"/>
        <w:widowControl/>
        <w:rPr/>
      </w:pPr>
      <w:r>
        <w:rPr>
          <w:b/>
        </w:rPr>
        <w:t xml:space="preserve">BV-6. Suspension and Restoration. </w:t>
      </w:r>
      <w:r>
        <w:rPr/>
        <w:t>Trusted status may be suspended for substantiated material noncompliance, with notice and review appropriate to the consequence, and restored when eligibility is re-established.</w:t>
      </w:r>
    </w:p>
    <w:p>
      <w:pPr>
        <w:pStyle w:val="Normal"/>
        <w:widowControl/>
        <w:rPr/>
      </w:pPr>
      <w:r>
        <w:rPr>
          <w:b/>
        </w:rPr>
        <w:t xml:space="preserve">BV-7. No Protected-Characteristic Scoring. </w:t>
      </w:r>
      <w:r>
        <w:rPr/>
        <w:t>Race, ethnicity, religion, Indigenous identity or comparable protected characteristics shall not be used as negative trusted-mobility risk factors.</w:t>
      </w:r>
    </w:p>
    <w:p>
      <w:pPr>
        <w:pStyle w:val="Normal"/>
        <w:widowControl/>
        <w:rPr/>
      </w:pPr>
      <w:r>
        <w:rPr>
          <w:b/>
        </w:rPr>
        <w:t xml:space="preserve">BV-8. Program Evaluation. </w:t>
      </w:r>
      <w:r>
        <w:rPr/>
        <w:t>The Parties should evaluate whether trusted processing reduces administrative burden, fraud, unauthorized work and repeat irregular migration without creating discriminatory outcomes.</w:t>
      </w:r>
    </w:p>
    <w:p>
      <w:pPr>
        <w:pStyle w:val="Normal"/>
        <w:widowControl/>
        <w:rPr/>
      </w:pPr>
      <w:r>
        <w:rPr/>
        <w:t>This Package forms part of the broader human-rights architecture and should be read with BN, BQ, BS, BX, and specialized custodial protections.</w:t>
      </w:r>
    </w:p>
    <w:p>
      <w:pPr>
        <w:pStyle w:val="TrumpVisibilityHeadline"/>
        <w:widowControl/>
        <w:rPr/>
      </w:pPr>
      <w:r>
        <w:rPr/>
        <w:t>SEARCH SIGNPOST — HUMAN RIGHTS / HUMAN DIGNITY / RULE OF LAW / DUE PROCESS / LEGAL ACCESS / MEDICAL CARE / NON-DISCRIMINATION</w:t>
      </w:r>
    </w:p>
    <w:p>
      <w:bookmarkStart w:id="2970" w:name="_NAESTMA_TOC_2970"/>
      <w:pPr>
        <w:pStyle w:val="Heading1"/>
        <w:keepNext/>
        <w:pageBreakBefore/>
        <w:widowControl/>
        <w:rPr/>
      </w:pPr>
      <w:r>
        <w:rPr/>
        <w:t>PACKAGE BW — NORTH AMERICAN HUMAN DIGNITY, RULE-OF-LAW AND EARNED COOPERATION FRAMEWORK</w:t>
      </w:r>
      <w:bookmarkEnd w:id="2970"/>
    </w:p>
    <w:p>
      <w:pPr>
        <w:pStyle w:val="Normal"/>
        <w:widowControl/>
        <w:rPr/>
      </w:pPr>
      <w:r>
        <w:rPr>
          <w:b/>
        </w:rPr>
        <w:t xml:space="preserve">BW-1. Purpose. </w:t>
      </w:r>
      <w:r>
        <w:rPr/>
        <w:t>This Package creates a reciprocal, evidence-based framework through which additional government-level economic cooperation may reward verified improvements in human-rights, due-process, migrant-worker and lawful-administration benchmarks. It shall not be interpreted as collective punishment or as authority to suspend fundamental individual protections.</w:t>
      </w:r>
    </w:p>
    <w:p>
      <w:pPr>
        <w:pStyle w:val="Normal"/>
        <w:widowControl/>
        <w:rPr/>
      </w:pPr>
      <w:r>
        <w:rPr>
          <w:b/>
        </w:rPr>
        <w:t xml:space="preserve">BW-2. Equal Application. </w:t>
      </w:r>
      <w:r>
        <w:rPr/>
        <w:t>Published benchmarks shall apply on equal terms to Canada, Mexico and the United States. No Party may claim a benefit from standards that it refuses to accept for its own covered conduct.</w:t>
      </w:r>
    </w:p>
    <w:p>
      <w:pPr>
        <w:pStyle w:val="Normal"/>
        <w:widowControl/>
        <w:rPr/>
      </w:pPr>
      <w:r>
        <w:rPr>
          <w:b/>
        </w:rPr>
        <w:t xml:space="preserve">BW-3. Benchmark Categories. </w:t>
      </w:r>
      <w:r>
        <w:rPr/>
        <w:t>Benchmarks may address humane detention conditions, independent review, access to counsel or legal information where applicable, necessary medical care, non-refoulement, family unity, anti-trafficking safeguards, migrant-worker protection, data protection and institutional separation of enforcement from adjudication.</w:t>
      </w:r>
    </w:p>
    <w:p>
      <w:pPr>
        <w:pStyle w:val="Normal"/>
        <w:widowControl/>
        <w:rPr/>
      </w:pPr>
      <w:r>
        <w:rPr>
          <w:b/>
        </w:rPr>
        <w:t xml:space="preserve">BW-4. Independent Evidence. </w:t>
      </w:r>
      <w:r>
        <w:rPr/>
        <w:t>A finding capable of triggering a government-level step-back shall rely on documented evidence, an opportunity for the affected Party to respond, and independent legal or expert review appropriate to the issue.</w:t>
      </w:r>
    </w:p>
    <w:p>
      <w:pPr>
        <w:pStyle w:val="Normal"/>
        <w:widowControl/>
        <w:rPr/>
      </w:pPr>
      <w:r>
        <w:rPr>
          <w:b/>
        </w:rPr>
        <w:t xml:space="preserve">BW-5. Nexus Principle. </w:t>
      </w:r>
      <w:r>
        <w:rPr/>
        <w:t>A commercial response should bear a reasonable relationship to the conduct at issue. Forced labour should principally engage procurement, import, supply-chain or finance measures; migrant-worker abuse should principally engage labour-mobility and employer benefits; immigration-data abuse should principally engage data-sharing; border-processing deficiencies should principally engage optional border-modernization cooperation.</w:t>
      </w:r>
    </w:p>
    <w:p>
      <w:pPr>
        <w:pStyle w:val="Normal"/>
        <w:widowControl/>
        <w:rPr/>
      </w:pPr>
      <w:r>
        <w:rPr>
          <w:b/>
        </w:rPr>
        <w:t xml:space="preserve">BW-6. Carrots Before Sticks. </w:t>
      </w:r>
      <w:r>
        <w:rPr/>
        <w:t>Technical assistance, pilot programs, additional cooperation, financing, facilitation and recognition should ordinarily precede punitive or restrictive measures where the gravity and urgency of the conduct permit.</w:t>
      </w:r>
    </w:p>
    <w:p>
      <w:pPr>
        <w:pStyle w:val="Normal"/>
        <w:widowControl/>
        <w:rPr/>
      </w:pPr>
      <w:r>
        <w:rPr>
          <w:b/>
        </w:rPr>
        <w:t xml:space="preserve">BW-7. Human-Rights Earn-Back Ladder. </w:t>
      </w:r>
      <w:r>
        <w:rPr/>
        <w:t>The ordinary sequence shall be documented concern, consultation, verification, corrective-action opportunity, a short cure period where appropriate, proportional prospective pause of a specifically paired additional government-level benefit, partial restoration upon verified progress, and full restoration upon compliance.</w:t>
      </w:r>
    </w:p>
    <w:p>
      <w:pPr>
        <w:pStyle w:val="Normal"/>
        <w:widowControl/>
        <w:rPr/>
      </w:pPr>
      <w:r>
        <w:rPr>
          <w:b/>
        </w:rPr>
        <w:t xml:space="preserve">BW-8. Grave-Abuse Accelerator. </w:t>
      </w:r>
      <w:r>
        <w:rPr/>
        <w:t>Credible evidence of torture, forced labour, trafficking, disappearance, deliberate denial of necessary medical care, or similarly grave conduct may justify accelerated independent review and proportionate protective action without exhausting ordinary sequencing.</w:t>
      </w:r>
    </w:p>
    <w:p>
      <w:pPr>
        <w:pStyle w:val="Normal"/>
        <w:widowControl/>
        <w:rPr/>
      </w:pPr>
      <w:r>
        <w:rPr>
          <w:b/>
        </w:rPr>
        <w:t xml:space="preserve">BW-9. No Deliberate Civilian Harm. </w:t>
      </w:r>
      <w:r>
        <w:rPr/>
        <w:t>Responsive measures shall be selected to minimize foreseeable harm to ordinary workers, consumers, migrants, border communities and unrelated firms.</w:t>
      </w:r>
    </w:p>
    <w:p>
      <w:pPr>
        <w:pStyle w:val="Normal"/>
        <w:widowControl/>
        <w:rPr/>
      </w:pPr>
      <w:r>
        <w:rPr>
          <w:b/>
        </w:rPr>
        <w:t xml:space="preserve">BW-10. Essential-Supplies Firewall. </w:t>
      </w:r>
      <w:r>
        <w:rPr/>
        <w:t>Trade measures under this Package shall not intentionally disrupt essential food, medicine, humanitarian supplies, disaster response or other life-safety goods and services.</w:t>
      </w:r>
    </w:p>
    <w:p>
      <w:pPr>
        <w:pStyle w:val="Normal"/>
        <w:widowControl/>
        <w:rPr/>
      </w:pPr>
      <w:r>
        <w:rPr>
          <w:b/>
        </w:rPr>
        <w:t xml:space="preserve">BW-11. Individual Non-Retaliation. </w:t>
      </w:r>
      <w:r>
        <w:rPr/>
        <w:t>A government-level benchmark failure shall not by itself cancel an individual's already granted visa, work authorization, refugee protection, humanitarian status or accrued procedural rights.</w:t>
      </w:r>
    </w:p>
    <w:p>
      <w:pPr>
        <w:pStyle w:val="Normal"/>
        <w:widowControl/>
        <w:rPr/>
      </w:pPr>
      <w:r>
        <w:rPr>
          <w:b/>
        </w:rPr>
        <w:t xml:space="preserve">BW-12. Company-Specific Remedies. </w:t>
      </w:r>
      <w:r>
        <w:rPr/>
        <w:t>Companies substantiated as participating in trafficking, forced labour, document confiscation or serious migrant-worker abuse may be subject to targeted procurement, public-finance or customs consequences, with notice, evidence, review and remediation.</w:t>
      </w:r>
    </w:p>
    <w:p>
      <w:pPr>
        <w:pStyle w:val="Normal"/>
        <w:widowControl/>
        <w:rPr/>
      </w:pPr>
      <w:r>
        <w:rPr>
          <w:b/>
        </w:rPr>
        <w:t xml:space="preserve">BW-13. Remediation and Delisting. </w:t>
      </w:r>
      <w:r>
        <w:rPr/>
        <w:t>A company or government program subject to a reversible restriction shall have a defined pathway to demonstrate remediation and regain eligibility.</w:t>
      </w:r>
    </w:p>
    <w:p>
      <w:pPr>
        <w:pStyle w:val="Normal"/>
        <w:widowControl/>
        <w:rPr/>
      </w:pPr>
      <w:r>
        <w:rPr>
          <w:b/>
        </w:rPr>
        <w:t xml:space="preserve">BW-14. Transparency. </w:t>
      </w:r>
      <w:r>
        <w:rPr/>
        <w:t>Material activation, continuation, modification and restoration decisions shall be publicly justified in a form that identifies the benchmark, evidence, proportionality analysis and available cure or earn-back pathway.</w:t>
      </w:r>
    </w:p>
    <w:p>
      <w:pPr>
        <w:pStyle w:val="Normal"/>
        <w:widowControl/>
        <w:rPr/>
      </w:pPr>
      <w:r>
        <w:rPr>
          <w:b/>
        </w:rPr>
        <w:t xml:space="preserve">BW-15. No Emergency Leverage. </w:t>
      </w:r>
      <w:r>
        <w:rPr/>
        <w:t>Emergency logistics, emergency energy, essential medical cooperation and comparable life-safety arrangements shall not be deliberately withheld to extract unrelated migration-policy concessions.</w:t>
      </w:r>
    </w:p>
    <w:p>
      <w:pPr>
        <w:pStyle w:val="Normal"/>
        <w:widowControl/>
        <w:rPr/>
      </w:pPr>
      <w:r>
        <w:rPr>
          <w:b/>
        </w:rPr>
        <w:t xml:space="preserve">BW-16. Existing Cothrom Architecture. </w:t>
      </w:r>
      <w:r>
        <w:rPr/>
        <w:t>Where a dispute concerns paired government-level commitments under this Package, the Parties should use existing consultation, Secretariat and Cothrom step-back and earn-back procedures rather than creating a new permanent human-rights trade tribunal.</w:t>
      </w:r>
    </w:p>
    <w:p>
      <w:bookmarkStart w:id="2971" w:name="_NAESTMA_TOC_2971"/>
      <w:pPr>
        <w:pStyle w:val="Heading1"/>
        <w:keepNext/>
        <w:pageBreakBefore/>
        <w:widowControl/>
        <w:rPr/>
      </w:pPr>
      <w:r>
        <w:rPr/>
        <w:t>PACKAGE BX — HUMAN-RIGHTS-CONDITIONED TRADE AND IMPLEMENTATION CATALOGUE</w:t>
      </w:r>
      <w:bookmarkEnd w:id="2971"/>
    </w:p>
    <w:p>
      <w:pPr>
        <w:pStyle w:val="Normal"/>
        <w:widowControl/>
        <w:rPr/>
      </w:pPr>
      <w:r>
        <w:rPr>
          <w:b/>
        </w:rPr>
        <w:t xml:space="preserve">BX-1. Responsible Procurement. </w:t>
      </w:r>
      <w:r>
        <w:rPr/>
        <w:t>Exclude, suspend or downgrade suppliers after substantiated forced-labour, trafficking, wage-theft, document-confiscation or serious retaliation findings, with due process and remediation.</w:t>
      </w:r>
    </w:p>
    <w:p>
      <w:pPr>
        <w:pStyle w:val="Normal"/>
        <w:widowControl/>
        <w:rPr/>
      </w:pPr>
      <w:r>
        <w:rPr>
          <w:b/>
        </w:rPr>
        <w:t xml:space="preserve">BX-2. Ethical Supply-Chain Certification. </w:t>
      </w:r>
      <w:r>
        <w:rPr/>
        <w:t>Support voluntary or risk-based certifications addressing recruitment fees, passport control, wage theft, unsafe housing and forced migrant labour.</w:t>
      </w:r>
    </w:p>
    <w:p>
      <w:pPr>
        <w:pStyle w:val="Normal"/>
        <w:widowControl/>
        <w:rPr/>
      </w:pPr>
      <w:r>
        <w:rPr>
          <w:b/>
        </w:rPr>
        <w:t xml:space="preserve">BX-3. Importer Due Diligence. </w:t>
      </w:r>
      <w:r>
        <w:rPr/>
        <w:t>Require proportionate disclosure or due diligence in sectors presenting material forced-labour or trafficking risk.</w:t>
      </w:r>
    </w:p>
    <w:p>
      <w:pPr>
        <w:pStyle w:val="Normal"/>
        <w:widowControl/>
        <w:rPr/>
      </w:pPr>
      <w:r>
        <w:rPr>
          <w:b/>
        </w:rPr>
        <w:t xml:space="preserve">BX-4. Migrant-Labour Trade Chapters. </w:t>
      </w:r>
      <w:r>
        <w:rPr/>
        <w:t>Use existing labour mechanisms to investigate exploitation, recruitment abuse and retaliation affecting workers in covered trade programs.</w:t>
      </w:r>
    </w:p>
    <w:p>
      <w:pPr>
        <w:pStyle w:val="Normal"/>
        <w:widowControl/>
        <w:rPr/>
      </w:pPr>
      <w:r>
        <w:rPr>
          <w:b/>
        </w:rPr>
        <w:t xml:space="preserve">BX-5. Export-Credit Conditions. </w:t>
      </w:r>
      <w:r>
        <w:rPr/>
        <w:t>Condition public export credit and development finance on relevant anti-trafficking and migrant-worker safeguards.</w:t>
      </w:r>
    </w:p>
    <w:p>
      <w:pPr>
        <w:pStyle w:val="Normal"/>
        <w:widowControl/>
        <w:rPr/>
      </w:pPr>
      <w:r>
        <w:rPr>
          <w:b/>
        </w:rPr>
        <w:t xml:space="preserve">BX-6. Public-Finance Exclusion. </w:t>
      </w:r>
      <w:r>
        <w:rPr/>
        <w:t>Deny public finance to projects substantiated as using forced labour, trafficking or unlawful detention labour.</w:t>
      </w:r>
    </w:p>
    <w:p>
      <w:pPr>
        <w:pStyle w:val="Normal"/>
        <w:widowControl/>
        <w:rPr/>
      </w:pPr>
      <w:r>
        <w:rPr>
          <w:b/>
        </w:rPr>
        <w:t xml:space="preserve">BX-7. Responsible Investment Incentives. </w:t>
      </w:r>
      <w:r>
        <w:rPr/>
        <w:t>Permit public financing advantages for projects that demonstrate safe lawful employment, grievance channels and adequate worker housing or transportation.</w:t>
      </w:r>
    </w:p>
    <w:p>
      <w:pPr>
        <w:pStyle w:val="Normal"/>
        <w:widowControl/>
        <w:rPr/>
      </w:pPr>
      <w:r>
        <w:rPr>
          <w:b/>
        </w:rPr>
        <w:t xml:space="preserve">BX-8. Agricultural Recruiter Standards. </w:t>
      </w:r>
      <w:r>
        <w:rPr/>
        <w:t>Require licensed or accountable recruiters, transparent contracts, safe housing and rapid complaint mechanisms in covered agricultural programs.</w:t>
      </w:r>
    </w:p>
    <w:p>
      <w:pPr>
        <w:pStyle w:val="Normal"/>
        <w:widowControl/>
        <w:rPr/>
      </w:pPr>
      <w:r>
        <w:rPr>
          <w:b/>
        </w:rPr>
        <w:t xml:space="preserve">BX-9. Harvest-Season Rapid Remedy. </w:t>
      </w:r>
      <w:r>
        <w:rPr/>
        <w:t>Provide expedited labour complaint handling where delay would otherwise render the remedy ineffective before seasonal work ends.</w:t>
      </w:r>
    </w:p>
    <w:p>
      <w:pPr>
        <w:pStyle w:val="Normal"/>
        <w:widowControl/>
        <w:rPr/>
      </w:pPr>
      <w:r>
        <w:rPr>
          <w:b/>
        </w:rPr>
        <w:t xml:space="preserve">BX-10. Critical-Minerals Labour Nexus. </w:t>
      </w:r>
      <w:r>
        <w:rPr/>
        <w:t>Apply migrant-worker and anti-trafficking safeguards to mineral projects and supply chains receiving covered strategic benefits.</w:t>
      </w:r>
    </w:p>
    <w:p>
      <w:pPr>
        <w:pStyle w:val="Normal"/>
        <w:widowControl/>
        <w:rPr/>
      </w:pPr>
      <w:r>
        <w:rPr>
          <w:b/>
        </w:rPr>
        <w:t xml:space="preserve">BX-11. Energy-Project Safeguards. </w:t>
      </w:r>
      <w:r>
        <w:rPr/>
        <w:t>Require relevant worker recruitment, housing, grievance and forced-labour safeguards in publicly supported cross-border energy projects.</w:t>
      </w:r>
    </w:p>
    <w:p>
      <w:pPr>
        <w:pStyle w:val="Normal"/>
        <w:widowControl/>
        <w:rPr/>
      </w:pPr>
      <w:r>
        <w:rPr>
          <w:b/>
        </w:rPr>
        <w:t xml:space="preserve">BX-12. Truck and Logistics Worker Protection. </w:t>
      </w:r>
      <w:r>
        <w:rPr/>
        <w:t>Pair trusted-freight or other additional logistics benefits with sector-relevant protections against document confiscation, wage abuse, unsafe coercion and retaliation.</w:t>
      </w:r>
    </w:p>
    <w:p>
      <w:pPr>
        <w:pStyle w:val="Normal"/>
        <w:widowControl/>
        <w:rPr/>
      </w:pPr>
      <w:r>
        <w:rPr>
          <w:b/>
        </w:rPr>
        <w:t xml:space="preserve">BX-13. Port and Rail Anti-Trafficking. </w:t>
      </w:r>
      <w:r>
        <w:rPr/>
        <w:t>Include anti-trafficking and worker-protection safeguards in publicly supported port, rail and freight-corridor modernization.</w:t>
      </w:r>
    </w:p>
    <w:p>
      <w:pPr>
        <w:pStyle w:val="Normal"/>
        <w:widowControl/>
        <w:rPr/>
      </w:pPr>
      <w:r>
        <w:rPr>
          <w:b/>
        </w:rPr>
        <w:t xml:space="preserve">BX-14. Immigration-Data Cooperation. </w:t>
      </w:r>
      <w:r>
        <w:rPr/>
        <w:t>Condition advanced immigration-data exchanges on purpose limitation, correction rights, security, retention controls and prohibitions on indiscriminate enforcement use.</w:t>
      </w:r>
    </w:p>
    <w:p>
      <w:pPr>
        <w:pStyle w:val="Normal"/>
        <w:widowControl/>
        <w:rPr/>
      </w:pPr>
      <w:r>
        <w:rPr>
          <w:b/>
        </w:rPr>
        <w:t xml:space="preserve">BX-15. Responsible Immigration Technology. </w:t>
      </w:r>
      <w:r>
        <w:rPr/>
        <w:t>Require auditability, human review and error-correction capability for publicly procured high-impact immigration screening systems.</w:t>
      </w:r>
    </w:p>
    <w:p>
      <w:pPr>
        <w:pStyle w:val="Normal"/>
        <w:widowControl/>
        <w:rPr/>
      </w:pPr>
      <w:r>
        <w:rPr>
          <w:b/>
        </w:rPr>
        <w:t xml:space="preserve">BX-16. Lawful-Mobility Carrot. </w:t>
      </w:r>
      <w:r>
        <w:rPr/>
        <w:t>Expand or simplify covered worker-mobility programs where verified recruitment abuse and unauthorized employment decline and worker portability protections are effective.</w:t>
      </w:r>
    </w:p>
    <w:p>
      <w:pPr>
        <w:pStyle w:val="Normal"/>
        <w:widowControl/>
        <w:rPr/>
      </w:pPr>
      <w:r>
        <w:rPr>
          <w:b/>
        </w:rPr>
        <w:t xml:space="preserve">BX-17. Trusted Renewal Carrot. </w:t>
      </w:r>
      <w:r>
        <w:rPr/>
        <w:t>Use simplified renewal for verified compliant workers as a positive administrative incentive rather than broad coercive enforcement.</w:t>
      </w:r>
    </w:p>
    <w:p>
      <w:pPr>
        <w:pStyle w:val="Normal"/>
        <w:widowControl/>
        <w:rPr/>
      </w:pPr>
      <w:r>
        <w:rPr>
          <w:b/>
        </w:rPr>
        <w:t xml:space="preserve">BX-18. Targeted Corporate Restrictions. </w:t>
      </w:r>
      <w:r>
        <w:rPr/>
        <w:t>Prefer restrictions directed at substantiated abusive firms over broad trade penalties affecting unrelated consumers and workers.</w:t>
      </w:r>
    </w:p>
    <w:p>
      <w:pPr>
        <w:pStyle w:val="Normal"/>
        <w:widowControl/>
        <w:rPr/>
      </w:pPr>
      <w:r>
        <w:rPr>
          <w:b/>
        </w:rPr>
        <w:t xml:space="preserve">BX-19. Forced-Labour Customs Action. </w:t>
      </w:r>
      <w:r>
        <w:rPr/>
        <w:t>Coordinate lawful customs action against goods produced with forced or trafficked labour, subject to evidentiary and humanitarian safeguards.</w:t>
      </w:r>
    </w:p>
    <w:p>
      <w:pPr>
        <w:pStyle w:val="Normal"/>
        <w:widowControl/>
        <w:rPr/>
      </w:pPr>
      <w:r>
        <w:rPr>
          <w:b/>
        </w:rPr>
        <w:t xml:space="preserve">BX-20. Victim and Witness Protection. </w:t>
      </w:r>
      <w:r>
        <w:rPr/>
        <w:t>Protect persons cooperating in labour, trafficking or trade-remedy investigations from retaliation and unnecessary immigration consequences.</w:t>
      </w:r>
    </w:p>
    <w:p>
      <w:pPr>
        <w:pStyle w:val="Normal"/>
        <w:widowControl/>
        <w:rPr/>
      </w:pPr>
      <w:r>
        <w:rPr>
          <w:b/>
        </w:rPr>
        <w:t xml:space="preserve">BX-21. Penalty-Funded Remediation. </w:t>
      </w:r>
      <w:r>
        <w:rPr/>
        <w:t>Where domestic law permits, direct a proportionate share of penalties from proven corporate abuse toward restitution, remediation or victim services without making enforcement institutions dependent on penalty revenue.</w:t>
      </w:r>
    </w:p>
    <w:p>
      <w:pPr>
        <w:pStyle w:val="Normal"/>
        <w:widowControl/>
        <w:rPr/>
      </w:pPr>
      <w:r>
        <w:rPr>
          <w:b/>
        </w:rPr>
        <w:t xml:space="preserve">BX-22. Country Scorecards. </w:t>
      </w:r>
      <w:r>
        <w:rPr/>
        <w:t>Publish evidence-based, methodologically transparent assessments of agreed benchmarks with responses and correction procedures for each Party.</w:t>
      </w:r>
    </w:p>
    <w:p>
      <w:pPr>
        <w:pStyle w:val="Normal"/>
        <w:widowControl/>
        <w:rPr/>
      </w:pPr>
      <w:r>
        <w:rPr>
          <w:b/>
        </w:rPr>
        <w:t xml:space="preserve">BX-23. Independent Inspection Support. </w:t>
      </w:r>
      <w:r>
        <w:rPr/>
        <w:t>Support independent inspection of detention and processing facilities without converting inspectors into enforcement agents.</w:t>
      </w:r>
    </w:p>
    <w:p>
      <w:pPr>
        <w:pStyle w:val="Normal"/>
        <w:widowControl/>
        <w:rPr/>
      </w:pPr>
      <w:r>
        <w:rPr>
          <w:b/>
        </w:rPr>
        <w:t xml:space="preserve">BX-24. Urgent Rights Findings. </w:t>
      </w:r>
      <w:r>
        <w:rPr/>
        <w:t>Provide an accelerated review path for credible allegations involving death, torture, disappearance, trafficking, family separation contrary to law, or other grave abuse.</w:t>
      </w:r>
    </w:p>
    <w:p>
      <w:pPr>
        <w:pStyle w:val="Normal"/>
        <w:widowControl/>
        <w:rPr/>
      </w:pPr>
      <w:r>
        <w:rPr>
          <w:b/>
        </w:rPr>
        <w:t xml:space="preserve">BX-25. Government Response. </w:t>
      </w:r>
      <w:r>
        <w:rPr/>
        <w:t>Require a Party receiving a formal benchmark finding to publish or provide a reasoned response within an appropriate period.</w:t>
      </w:r>
    </w:p>
    <w:p>
      <w:pPr>
        <w:pStyle w:val="Normal"/>
        <w:widowControl/>
        <w:rPr/>
      </w:pPr>
      <w:r>
        <w:rPr>
          <w:b/>
        </w:rPr>
        <w:t xml:space="preserve">BX-26. Privacy-Protective Complaint Reporting. </w:t>
      </w:r>
      <w:r>
        <w:rPr/>
        <w:t>Publish systemic complaint outcomes while protecting migrants, witnesses, children and sensitive personal information.</w:t>
      </w:r>
    </w:p>
    <w:p>
      <w:pPr>
        <w:pStyle w:val="Normal"/>
        <w:widowControl/>
        <w:rPr/>
      </w:pPr>
      <w:r>
        <w:rPr>
          <w:b/>
        </w:rPr>
        <w:t xml:space="preserve">BX-27. Business Technical Exchanges. </w:t>
      </w:r>
      <w:r>
        <w:rPr/>
        <w:t>Use employers, chambers, universities, hospitals, farms and logistics operators to identify economic benefits from predictable lawful processing and worker protection.</w:t>
      </w:r>
    </w:p>
    <w:p>
      <w:pPr>
        <w:pStyle w:val="Normal"/>
        <w:widowControl/>
        <w:rPr/>
      </w:pPr>
      <w:r>
        <w:rPr>
          <w:b/>
        </w:rPr>
        <w:t xml:space="preserve">BX-28. Policy Observation Exchanges. </w:t>
      </w:r>
      <w:r>
        <w:rPr/>
        <w:t>Permit officials to observe effective alternatives to detention, victim-protection programs, lawful processing systems and labour-enforcement practices in other Parties.</w:t>
      </w:r>
    </w:p>
    <w:p>
      <w:pPr>
        <w:pStyle w:val="Normal"/>
        <w:widowControl/>
        <w:rPr/>
      </w:pPr>
      <w:r>
        <w:rPr>
          <w:b/>
        </w:rPr>
        <w:t xml:space="preserve">BX-29. Neutral but Transparent Diplomacy. </w:t>
      </w:r>
      <w:r>
        <w:rPr/>
        <w:t>Use institution-focused language and measurable standards rather than personal attacks, while openly identifying the human-rights objective.</w:t>
      </w:r>
    </w:p>
    <w:p>
      <w:pPr>
        <w:pStyle w:val="Normal"/>
        <w:widowControl/>
        <w:rPr/>
      </w:pPr>
      <w:r>
        <w:rPr>
          <w:b/>
        </w:rPr>
        <w:t xml:space="preserve">BX-30. Pilot Reform Carrots. </w:t>
      </w:r>
      <w:r>
        <w:rPr/>
        <w:t>Offer reversible pilot cooperation allowing a Party to test reforms without requiring a public admission of policy failure.</w:t>
      </w:r>
    </w:p>
    <w:p>
      <w:pPr>
        <w:pStyle w:val="Normal"/>
        <w:widowControl/>
        <w:rPr/>
      </w:pPr>
      <w:r>
        <w:rPr>
          <w:b/>
        </w:rPr>
        <w:t xml:space="preserve">BX-31. Proportional Benefit Sequencing. </w:t>
      </w:r>
      <w:r>
        <w:rPr/>
        <w:t>Small verified improvements may earn small additional benefits; major durable improvements may earn larger benefits.</w:t>
      </w:r>
    </w:p>
    <w:p>
      <w:pPr>
        <w:pStyle w:val="Normal"/>
        <w:widowControl/>
        <w:rPr/>
      </w:pPr>
      <w:r>
        <w:rPr>
          <w:b/>
        </w:rPr>
        <w:t xml:space="preserve">BX-32. Automatic Earn-Back. </w:t>
      </w:r>
      <w:r>
        <w:rPr/>
        <w:t>Restore a paused additional benefit promptly and proportionately once the associated benchmark or corrective commitment is verified as satisfied.</w:t>
      </w:r>
    </w:p>
    <w:p>
      <w:pPr>
        <w:pStyle w:val="Normal"/>
        <w:widowControl/>
        <w:rPr/>
      </w:pPr>
      <w:r>
        <w:rPr>
          <w:b/>
        </w:rPr>
        <w:t xml:space="preserve">BX-33. Worker Housing Infrastructure. </w:t>
      </w:r>
      <w:r>
        <w:rPr/>
        <w:t>Support safe worker housing in agricultural, industrial and logistics corridors through existing financing channels.</w:t>
      </w:r>
    </w:p>
    <w:p>
      <w:pPr>
        <w:pStyle w:val="Normal"/>
        <w:widowControl/>
        <w:rPr/>
      </w:pPr>
      <w:r>
        <w:rPr>
          <w:b/>
        </w:rPr>
        <w:t xml:space="preserve">BX-34. Independent Legal-Aid and Shelter Support. </w:t>
      </w:r>
      <w:r>
        <w:rPr/>
        <w:t>Permit support for legal aid, shelters and reception capacity while preserving their operational independence from immigration enforcement.</w:t>
      </w:r>
    </w:p>
    <w:p>
      <w:pPr>
        <w:pStyle w:val="Normal"/>
        <w:widowControl/>
        <w:rPr/>
      </w:pPr>
      <w:r>
        <w:rPr>
          <w:b/>
        </w:rPr>
        <w:t xml:space="preserve">BX-35. Verified Employer Matching. </w:t>
      </w:r>
      <w:r>
        <w:rPr/>
        <w:t>Support employment centers or digital services connecting lawful workers with verified employers and transparent job terms.</w:t>
      </w:r>
    </w:p>
    <w:p>
      <w:pPr>
        <w:pStyle w:val="Normal"/>
        <w:widowControl/>
        <w:rPr/>
      </w:pPr>
      <w:r>
        <w:rPr>
          <w:b/>
        </w:rPr>
        <w:t xml:space="preserve">BX-36. Regional Opportunity Investment. </w:t>
      </w:r>
      <w:r>
        <w:rPr/>
        <w:t>Coordinate business, training and infrastructure investment in communities experiencing high emigration pressure, with local and national ownership of priorities.</w:t>
      </w:r>
    </w:p>
    <w:p>
      <w:pPr>
        <w:pStyle w:val="Normal"/>
        <w:widowControl/>
        <w:rPr/>
      </w:pPr>
      <w:r>
        <w:rPr>
          <w:b/>
        </w:rPr>
        <w:t xml:space="preserve">BX-37. Portable Social Protection. </w:t>
      </w:r>
      <w:r>
        <w:rPr/>
        <w:t>Advance portable pension, workers' compensation and other lawful social-protection records for mobile workers.</w:t>
      </w:r>
    </w:p>
    <w:p>
      <w:pPr>
        <w:pStyle w:val="Normal"/>
        <w:widowControl/>
        <w:rPr/>
      </w:pPr>
      <w:r>
        <w:rPr>
          <w:b/>
        </w:rPr>
        <w:t xml:space="preserve">BX-38. Remittance and Wage Safeguards. </w:t>
      </w:r>
      <w:r>
        <w:rPr/>
        <w:t>Support transparent remittance systems and traceable, worker-accessible wage payment without unnecessary immigration-data sharing.</w:t>
      </w:r>
    </w:p>
    <w:p>
      <w:pPr>
        <w:pStyle w:val="Normal"/>
        <w:widowControl/>
        <w:rPr/>
      </w:pPr>
      <w:r>
        <w:rPr>
          <w:b/>
        </w:rPr>
        <w:t xml:space="preserve">BX-39. Asylum-Processing Infrastructure Nexus. </w:t>
      </w:r>
      <w:r>
        <w:rPr/>
        <w:t>Condition optional trade-funded border-processing infrastructure on independent protection procedures and humane facility safeguards directly related to that infrastructure.</w:t>
      </w:r>
    </w:p>
    <w:p>
      <w:pPr>
        <w:pStyle w:val="Normal"/>
        <w:widowControl/>
        <w:rPr/>
      </w:pPr>
      <w:r>
        <w:rPr>
          <w:b/>
        </w:rPr>
        <w:t xml:space="preserve">BX-40. No Unlawful Pushback Bargain. </w:t>
      </w:r>
      <w:r>
        <w:rPr/>
        <w:t>No trade or infrastructure benefit shall be conditioned upon a Party conducting a collective return, unlawful pushback or other action contrary to applicable protection obligations.</w:t>
      </w:r>
    </w:p>
    <w:p>
      <w:pPr>
        <w:pStyle w:val="Normal"/>
        <w:widowControl/>
        <w:rPr/>
      </w:pPr>
      <w:r>
        <w:rPr>
          <w:b/>
        </w:rPr>
        <w:t xml:space="preserve">BX-41. Humanitarian Facility Standards. </w:t>
      </w:r>
      <w:r>
        <w:rPr/>
        <w:t>Any jointly supported migration-processing facility shall provide appropriate interpretation, legal information, medical screening, privacy and independent oversight.</w:t>
      </w:r>
    </w:p>
    <w:p>
      <w:pPr>
        <w:pStyle w:val="Normal"/>
        <w:widowControl/>
        <w:rPr/>
      </w:pPr>
      <w:r>
        <w:rPr>
          <w:b/>
        </w:rPr>
        <w:t xml:space="preserve">BX-42. Safe-Third-Country Safeguards. </w:t>
      </w:r>
      <w:r>
        <w:rPr/>
        <w:t>Where trade or border cooperation supports a transfer arrangement, require periodic evidence review and procedural safeguards consistent with applicable law.</w:t>
      </w:r>
    </w:p>
    <w:p>
      <w:pPr>
        <w:pStyle w:val="Normal"/>
        <w:widowControl/>
        <w:rPr/>
      </w:pPr>
      <w:r>
        <w:rPr>
          <w:b/>
        </w:rPr>
        <w:t xml:space="preserve">BX-43. Research on Alternatives. </w:t>
      </w:r>
      <w:r>
        <w:rPr/>
        <w:t>Support nonpartisan research on detention alternatives, processing efficiency, legal migration, labour-market outcomes and the economic effects of enforcement choices.</w:t>
      </w:r>
    </w:p>
    <w:p>
      <w:pPr>
        <w:pStyle w:val="Normal"/>
        <w:widowControl/>
        <w:rPr/>
      </w:pPr>
      <w:r>
        <w:rPr>
          <w:b/>
        </w:rPr>
        <w:t xml:space="preserve">BX-44. Professional Exchange. </w:t>
      </w:r>
      <w:r>
        <w:rPr/>
        <w:t>Support exchanges among adjudicators, asylum officers, labour inspectors, legal-aid professionals, medical personnel and social workers without compromising adjudicative independence.</w:t>
      </w:r>
    </w:p>
    <w:p>
      <w:pPr>
        <w:pStyle w:val="Normal"/>
        <w:widowControl/>
        <w:rPr/>
      </w:pPr>
      <w:r>
        <w:rPr>
          <w:b/>
        </w:rPr>
        <w:t xml:space="preserve">BX-45. Trafficking Training. </w:t>
      </w:r>
      <w:r>
        <w:rPr/>
        <w:t>Provide relevant consular, labour and border personnel with training to recognize trafficking, coercive recruitment and persecution indicators.</w:t>
      </w:r>
    </w:p>
    <w:p>
      <w:pPr>
        <w:pStyle w:val="Normal"/>
        <w:widowControl/>
        <w:rPr/>
      </w:pPr>
      <w:r>
        <w:rPr>
          <w:b/>
        </w:rPr>
        <w:t xml:space="preserve">BX-46. Implementation Assistance. </w:t>
      </w:r>
      <w:r>
        <w:rPr/>
        <w:t>Where a Party seeks to correct a benchmark deficiency, prioritize practical technical assistance and capacity-building alongside any reversible economic response.</w:t>
      </w:r>
    </w:p>
    <w:p>
      <w:pPr>
        <w:pStyle w:val="Normal"/>
        <w:widowControl/>
        <w:rPr/>
      </w:pPr>
      <w:r>
        <w:rPr>
          <w:b/>
        </w:rPr>
        <w:t xml:space="preserve">BX-47. Canada-Mexico Coordination. </w:t>
      </w:r>
      <w:r>
        <w:rPr/>
        <w:t>Canada and Mexico may coordinate positions and evidence concerning covered benchmarks while each retains independent legal authority and while the framework remains equally applicable to both.</w:t>
      </w:r>
    </w:p>
    <w:p>
      <w:pPr>
        <w:pStyle w:val="Normal"/>
        <w:widowControl/>
        <w:rPr/>
      </w:pPr>
      <w:r>
        <w:rPr>
          <w:b/>
        </w:rPr>
        <w:t xml:space="preserve">BX-48. Periodic Effectiveness Review. </w:t>
      </w:r>
      <w:r>
        <w:rPr/>
        <w:t>Measure whether incentives and step-backs actually improve detention conditions, lawful processing, worker protection, due process and other defined outcomes rather than merely increasing paperwork.</w:t>
      </w:r>
    </w:p>
    <w:p>
      <w:bookmarkStart w:id="2972" w:name="_NAESTMA_TOC_2972"/>
      <w:pPr>
        <w:pStyle w:val="Heading2"/>
        <w:keepNext/>
        <w:widowControl/>
        <w:rPr/>
      </w:pPr>
      <w:r>
        <w:rPr/>
        <w:t>BX-A — CROSS-PACKAGE IMPLEMENTATION FIREWALL</w:t>
      </w:r>
      <w:bookmarkEnd w:id="2972"/>
    </w:p>
    <w:p>
      <w:pPr>
        <w:pStyle w:val="Normal"/>
        <w:widowControl/>
        <w:rPr/>
      </w:pPr>
      <w:r>
        <w:rPr>
          <w:b/>
        </w:rPr>
        <w:t xml:space="preserve">BX-A-1. Rights Cannot Be Bargained Away. </w:t>
      </w:r>
      <w:r>
        <w:rPr/>
        <w:t>Nothing in Packages BN through BX authorizes a Party to suspend a fundamental procedural protection, humanitarian obligation or minimum humane-treatment standard in retaliation for another Party's nonperformance.</w:t>
      </w:r>
    </w:p>
    <w:p>
      <w:pPr>
        <w:pStyle w:val="Normal"/>
        <w:widowControl/>
        <w:rPr/>
      </w:pPr>
      <w:r>
        <w:rPr>
          <w:b/>
        </w:rPr>
        <w:t xml:space="preserve">BX-A-2. Prospective Government-Level Step-Back. </w:t>
      </w:r>
      <w:r>
        <w:rPr/>
        <w:t>Where a step-back is authorized, it should operate prospectively against the specifically paired discretionary government-level benefit and should avoid retroactive harm to individuals and completed private transactions.</w:t>
      </w:r>
    </w:p>
    <w:p>
      <w:pPr>
        <w:pStyle w:val="Normal"/>
        <w:widowControl/>
        <w:rPr/>
      </w:pPr>
      <w:r>
        <w:rPr>
          <w:b/>
        </w:rPr>
        <w:t xml:space="preserve">BX-A-3. Federalism and Competent Authorities. </w:t>
      </w:r>
      <w:r>
        <w:rPr/>
        <w:t>Nothing in Packages BN through BX displaces constitutional allocations of authority among federal, provincial, state, territorial, municipal, Indigenous or professional regulatory bodies.</w:t>
      </w:r>
    </w:p>
    <w:p>
      <w:pPr>
        <w:pStyle w:val="Normal"/>
        <w:widowControl/>
        <w:rPr/>
      </w:pPr>
      <w:r>
        <w:rPr>
          <w:b/>
        </w:rPr>
        <w:t xml:space="preserve">BX-A-4. Non-Derogation from Stronger Protection. </w:t>
      </w:r>
      <w:r>
        <w:rPr/>
        <w:t>A Party may maintain or adopt stronger protections for human dignity, due process, migrant workers, refugees, asylum seekers, children, privacy or detention conditions than those described in these Packages.</w:t>
      </w:r>
    </w:p>
    <w:p>
      <w:bookmarkStart w:id="2973" w:name="_NAESTMA_TOC_2973"/>
      <w:pPr>
        <w:pStyle w:val="Heading2"/>
        <w:keepNext/>
        <w:widowControl/>
        <w:rPr/>
      </w:pPr>
      <w:r>
        <w:rPr/>
        <w:t>PACKAGE BY — AUTOMOTIVE WORKFORCE ADVANCEMENT AND LVC MODERNIZATION</w:t>
      </w:r>
      <w:bookmarkEnd w:id="2973"/>
    </w:p>
    <w:p>
      <w:pPr>
        <w:pStyle w:val="Normal"/>
        <w:widowControl/>
        <w:rPr/>
      </w:pPr>
      <w:r>
        <w:rPr>
          <w:b/>
        </w:rPr>
        <w:t xml:space="preserve">BY-1. Purpose. </w:t>
      </w:r>
      <w:r>
        <w:rPr/>
        <w:t>This Package retires the legacy fixed-dollar Labor Value Content origin gate and replaces it with a trilateral workforce-advancement architecture aligned with the 75% Standard, 80% High Integration, and 85% Strategic Integration automotive tiers.</w:t>
      </w:r>
    </w:p>
    <w:p>
      <w:pPr>
        <w:pStyle w:val="Normal"/>
        <w:widowControl/>
        <w:rPr/>
      </w:pPr>
      <w:r>
        <w:rPr>
          <w:b/>
        </w:rPr>
        <w:t xml:space="preserve">BY-2. Legacy LVC Retirement. </w:t>
      </w:r>
      <w:r>
        <w:rPr/>
        <w:t>The former 40% (40 percent) passenger-vehicle and 45% (45 percent) light/heavy-truck LVC requirements tied to a US$16 per hour production-wage threshold no longer determine originating status. Historical LVC data may be retained for evaluation or transition research but shall not revive the superseded origin condition.</w:t>
      </w:r>
    </w:p>
    <w:p>
      <w:pPr>
        <w:pStyle w:val="Normal"/>
        <w:widowControl/>
        <w:rPr/>
      </w:pPr>
      <w:r>
        <w:rPr>
          <w:b/>
        </w:rPr>
        <w:t xml:space="preserve">BY-3. No Origin Hole. </w:t>
      </w:r>
      <w:r>
        <w:rPr/>
        <w:t>Retirement of legacy LVC does not reduce the applicable 75% (75 percent) Standard Tier RVC, product-specific origin rules, steel or aluminum requirements, anti-circumvention safeguards, or other independently applicable origin disciplines.</w:t>
      </w:r>
    </w:p>
    <w:p>
      <w:pPr>
        <w:pStyle w:val="Normal"/>
        <w:widowControl/>
        <w:rPr/>
      </w:pPr>
      <w:r>
        <w:rPr>
          <w:b/>
        </w:rPr>
        <w:t xml:space="preserve">BY-4. Workforce Advancement Credit. </w:t>
      </w:r>
      <w:r>
        <w:rPr/>
        <w:t>Verified compensation growth, skills formation, worker-protection performance, training, engineering and R&amp;D employment, productivity-sharing, safety, retention, and remediation may earn designated 80% (80 percent) or 85% (85 percent) tier benefits without becoming a nationality quota.</w:t>
      </w:r>
    </w:p>
    <w:p>
      <w:pPr>
        <w:pStyle w:val="Normal"/>
        <w:widowControl/>
        <w:rPr/>
      </w:pPr>
      <w:r>
        <w:rPr>
          <w:b/>
        </w:rPr>
        <w:t xml:space="preserve">BY-5. Mexico Upward-Convergence Safeguard. </w:t>
      </w:r>
      <w:r>
        <w:rPr/>
        <w:t>Mexican facilities shall have a genuine pathway to earn workforce-advancement credit through measurable upward convergence and higher-value production. No criterion shall permanently reserve workforce credit to Canada or the United States merely because historical nominal wages began at a higher level.</w:t>
      </w:r>
    </w:p>
    <w:p>
      <w:pPr>
        <w:pStyle w:val="Normal"/>
        <w:widowControl/>
        <w:rPr/>
      </w:pPr>
      <w:r>
        <w:rPr>
          <w:b/>
        </w:rPr>
        <w:t xml:space="preserve">BY-6. Canada and United States Reciprocity. </w:t>
      </w:r>
      <w:r>
        <w:rPr/>
        <w:t>Facilities in Canada and the United States are subject to the same covered labour-rights, anti-retaliation, worker-safety, compensation-integrity, and anti-gaming principles. A high nominal wage shall not create a safe harbour for serious labour violations.</w:t>
      </w:r>
    </w:p>
    <w:p>
      <w:pPr>
        <w:pStyle w:val="Normal"/>
        <w:widowControl/>
        <w:rPr/>
      </w:pPr>
      <w:r>
        <w:rPr>
          <w:b/>
        </w:rPr>
        <w:t xml:space="preserve">BY-7. Worker Benefit Test. </w:t>
      </w:r>
      <w:r>
        <w:rPr/>
        <w:t>A claimed workforce investment should provide a reasonably demonstrable benefit to workers or productive capability. Automation, capital investment, accounting reallocations, or model relabeling shall not receive workforce credit merely because they reduce labour cost or move expenditure into a qualifying category.</w:t>
      </w:r>
    </w:p>
    <w:p>
      <w:pPr>
        <w:pStyle w:val="Normal"/>
        <w:widowControl/>
        <w:rPr/>
      </w:pPr>
      <w:r>
        <w:rPr>
          <w:b/>
        </w:rPr>
        <w:t xml:space="preserve">BY-8. Compensation Integrity. </w:t>
      </w:r>
      <w:r>
        <w:rPr/>
        <w:t>Benefits may supplement compensation metrics but may not be used to disguise wage suppression. Implementing schedules should distinguish cash compensation, mandatory social contributions, genuinely additional benefits, training investment, and productivity-sharing rather than collapsing them into a single artificial hourly number.</w:t>
      </w:r>
    </w:p>
    <w:p>
      <w:pPr>
        <w:pStyle w:val="Normal"/>
        <w:widowControl/>
        <w:rPr/>
      </w:pPr>
      <w:r>
        <w:rPr>
          <w:b/>
        </w:rPr>
        <w:t xml:space="preserve">BY-9. No Static Geography Penalty. </w:t>
      </w:r>
      <w:r>
        <w:rPr/>
        <w:t>The Parties shall not treat differences in price levels, exchange rates, regional development, or lawful starting wage levels as proof of unfair competition. Enforcement shall focus on abusive suppression, denial of rights, circumvention, and failure to provide measurable advancement where an earned benefit depends on such advancement.</w:t>
      </w:r>
    </w:p>
    <w:p>
      <w:pPr>
        <w:pStyle w:val="Normal"/>
        <w:widowControl/>
        <w:rPr/>
      </w:pPr>
      <w:r>
        <w:rPr>
          <w:b/>
        </w:rPr>
        <w:t xml:space="preserve">BY-10. Simplified Administration. </w:t>
      </w:r>
      <w:r>
        <w:rPr/>
        <w:t>The Commission and competent customs authorities should eliminate legacy LVC certifications, averaging formulas, high-wage expenditure buckets, and associated fixed-dollar attestations that are no longer necessary after implementation of Article 7, while preserving records needed for lawful transition, audit, or dispute resolution.</w:t>
      </w:r>
    </w:p>
    <w:p>
      <w:pPr>
        <w:pStyle w:val="Normal"/>
        <w:widowControl/>
        <w:rPr/>
      </w:pPr>
      <w:r>
        <w:rPr>
          <w:b/>
        </w:rPr>
        <w:t xml:space="preserve">BY-11. Transition Protection. </w:t>
      </w:r>
      <w:r>
        <w:rPr/>
        <w:t>A producer shall not lose an accrued originating determination solely because this Package retires a superseded LVC obligation. Implementing authorities shall provide a short, orderly transition for forms, software, certifications, and pending verifications, with no retroactive penalty for good-faith reliance on the former rule.</w:t>
      </w:r>
    </w:p>
    <w:p>
      <w:pPr>
        <w:pStyle w:val="Normal"/>
        <w:widowControl/>
        <w:rPr/>
      </w:pPr>
      <w:r>
        <w:rPr>
          <w:b/>
        </w:rPr>
        <w:t xml:space="preserve">BY-12. No Uncompensated Front-Loading. </w:t>
      </w:r>
      <w:r>
        <w:rPr/>
        <w:t>Any new workforce-advancement obligation paired with an additional automotive benefit shall activate together where practicable. Delayed or failed paired performance shall trigger verification, a short cure period where appropriate, proportional pause or step-back of the paired additional benefit, and automatic restoration when performance resumes.</w:t>
      </w:r>
    </w:p>
    <w:p>
      <w:pPr>
        <w:pStyle w:val="Normal"/>
        <w:widowControl/>
        <w:rPr/>
      </w:pPr>
      <w:r>
        <w:rPr>
          <w:b/>
        </w:rPr>
        <w:t xml:space="preserve">BY-13. Human and Labour Rights Floor. </w:t>
      </w:r>
      <w:r>
        <w:rPr/>
        <w:t>Nothing in this Package authorizes a Party or producer to trade away freedom of association, collective bargaining, forced-labour prohibitions, occupational safety, migrant-worker protections, anti-retaliation rights, or other minimum labour protections in exchange for automotive treatment.</w:t>
      </w:r>
    </w:p>
    <w:p>
      <w:pPr>
        <w:pStyle w:val="Normal"/>
        <w:widowControl/>
        <w:rPr/>
      </w:pPr>
      <w:r>
        <w:rPr>
          <w:b/>
        </w:rPr>
        <w:t xml:space="preserve">BY-14. Review and Evidence. </w:t>
      </w:r>
      <w:r>
        <w:rPr/>
        <w:t>The Parties shall evaluate the replacement architecture using real compensation, wage growth, productivity, injury, training, credential, retention, bargaining, remediation, investment, and regional-capacity evidence. Review shall compare outcomes across all three Parties and identify any geographic or administrative bias.</w:t>
      </w:r>
    </w:p>
    <w:p>
      <w:pPr>
        <w:pStyle w:val="Normal"/>
        <w:widowControl/>
        <w:rPr/>
      </w:pPr>
      <w:r>
        <w:rPr>
          <w:b/>
        </w:rPr>
        <w:t xml:space="preserve">BY-15. Interpretation. </w:t>
      </w:r>
      <w:r>
        <w:rPr/>
        <w:t>Where a legacy provision, note, schedule, form, or cross-reference appears to preserve the former fixed-dollar LVC as a mandatory condition of origin, this Package and revised Article 7 control unless the Parties expressly adopt a later amendment restoring a different labour-linked origin requirement.</w:t>
      </w:r>
    </w:p>
    <w:p>
      <w:bookmarkStart w:id="2974" w:name="_NAESTMA_TOC_2974"/>
      <w:pPr>
        <w:pStyle w:val="Heading1"/>
        <w:keepNext/>
        <w:pageBreakBefore/>
        <w:widowControl/>
        <w:rPr/>
      </w:pPr>
      <w:r>
        <w:t>PACKAGE BZ — TRILATERAL FACILITY-SPECIFIC LABOUR RECIPROCITY INTEGRATION</w:t>
      </w:r>
      <w:bookmarkEnd w:id="2974"/>
    </w:p>
    <w:p>
      <w:pPr>
        <w:pStyle w:val="Heading3"/>
        <w:keepNext/>
        <w:widowControl/>
        <w:rPr/>
      </w:pPr>
      <w:r>
        <w:rPr/>
        <w:t>BZ-1 Equal Six-Direction Availability.</w:t>
      </w:r>
    </w:p>
    <w:p>
      <w:pPr>
        <w:pStyle w:val="Normal"/>
        <w:widowControl/>
        <w:rPr/>
      </w:pPr>
      <w:r>
        <w:rPr/>
        <w:t>The facility-specific labour remedy is reciprocal among all three Parties and shall not structurally designate Mexico, Canada or the United States as the presumptive enforcement target.</w:t>
      </w:r>
    </w:p>
    <w:p>
      <w:pPr>
        <w:pStyle w:val="Heading3"/>
        <w:keepNext/>
        <w:widowControl/>
        <w:rPr/>
      </w:pPr>
      <w:r>
        <w:rPr/>
        <w:t>BZ-2 Worker-First Enforcement.</w:t>
      </w:r>
    </w:p>
    <w:p>
      <w:pPr>
        <w:pStyle w:val="Normal"/>
        <w:widowControl/>
        <w:rPr/>
      </w:pPr>
      <w:r>
        <w:rPr/>
        <w:t>Existence of a covered labour right does not depend on proof of trade injury; commercial effects inform remedy proportionality.</w:t>
      </w:r>
    </w:p>
    <w:p>
      <w:pPr>
        <w:pStyle w:val="Heading3"/>
        <w:keepNext/>
        <w:widowControl/>
        <w:rPr/>
      </w:pPr>
      <w:r>
        <w:rPr/>
        <w:t>BZ-3 Serious-Case Gate.</w:t>
      </w:r>
    </w:p>
    <w:p>
      <w:pPr>
        <w:pStyle w:val="Normal"/>
        <w:widowControl/>
        <w:rPr/>
      </w:pPr>
      <w:r>
        <w:rPr/>
        <w:t>Expedited facility treatment is reserved for serious, persistent or grave facility-level denials, while ordinary individual disputes normally remain domestic.</w:t>
      </w:r>
    </w:p>
    <w:p>
      <w:pPr>
        <w:pStyle w:val="Heading3"/>
        <w:keepNext/>
        <w:widowControl/>
        <w:rPr/>
      </w:pPr>
      <w:r>
        <w:rPr/>
        <w:t>BZ-4 Open but Filtered Intake.</w:t>
      </w:r>
    </w:p>
    <w:p>
      <w:pPr>
        <w:pStyle w:val="Normal"/>
        <w:widowControl/>
        <w:rPr/>
      </w:pPr>
      <w:r>
        <w:rPr/>
        <w:t>Workers and credible representatives may surface evidence; admissibility screening prevents frivolous, duplicative or manufactured cases without restricting access to recognized unions or governments.</w:t>
      </w:r>
    </w:p>
    <w:p>
      <w:pPr>
        <w:pStyle w:val="Heading3"/>
        <w:keepNext/>
        <w:widowControl/>
        <w:rPr/>
      </w:pPr>
      <w:r>
        <w:rPr/>
        <w:t>BZ-5 Cure with Emergency Exception.</w:t>
      </w:r>
    </w:p>
    <w:p>
      <w:pPr>
        <w:pStyle w:val="Normal"/>
        <w:widowControl/>
        <w:rPr/>
      </w:pPr>
      <w:r>
        <w:rPr/>
        <w:t>Domestic remediation is ordinarily first, but urgent grave harm can accelerate protection and verification.</w:t>
      </w:r>
    </w:p>
    <w:p>
      <w:pPr>
        <w:pStyle w:val="Heading3"/>
        <w:keepNext/>
        <w:widowControl/>
        <w:rPr/>
      </w:pPr>
      <w:r>
        <w:rPr/>
        <w:t>BZ-6 Existing-Institution Verification.</w:t>
      </w:r>
    </w:p>
    <w:p>
      <w:pPr>
        <w:pStyle w:val="Normal"/>
        <w:widowControl/>
        <w:rPr/>
      </w:pPr>
      <w:r>
        <w:rPr/>
        <w:t>Use existing Secretariat, Chapter 31, Cothrom and roster infrastructure; create no new permanent labour bureaucracy.</w:t>
      </w:r>
    </w:p>
    <w:p>
      <w:pPr>
        <w:pStyle w:val="Heading3"/>
        <w:keepNext/>
        <w:widowControl/>
        <w:rPr/>
      </w:pPr>
      <w:r>
        <w:rPr/>
        <w:t>BZ-7 Sovereignty Firewall.</w:t>
      </w:r>
    </w:p>
    <w:p>
      <w:pPr>
        <w:pStyle w:val="Normal"/>
        <w:widowControl/>
        <w:rPr/>
      </w:pPr>
      <w:r>
        <w:rPr/>
        <w:t>No foreign enforcement personnel acquire unilateral inspection or police authority in another Party's territory.</w:t>
      </w:r>
    </w:p>
    <w:p>
      <w:pPr>
        <w:pStyle w:val="Heading3"/>
        <w:keepNext/>
        <w:widowControl/>
        <w:rPr/>
      </w:pPr>
      <w:r>
        <w:rPr/>
        <w:t>BZ-8 Worker and Witness Protection.</w:t>
      </w:r>
    </w:p>
    <w:p>
      <w:pPr>
        <w:pStyle w:val="Normal"/>
        <w:widowControl/>
        <w:rPr/>
      </w:pPr>
      <w:r>
        <w:rPr/>
        <w:t>Confidentiality, anti-retaliation, protected testimony and proportionate disclosure are integral to the remedy.</w:t>
      </w:r>
    </w:p>
    <w:p>
      <w:pPr>
        <w:pStyle w:val="Heading3"/>
        <w:keepNext/>
        <w:widowControl/>
        <w:rPr/>
      </w:pPr>
      <w:r>
        <w:rPr/>
        <w:t>BZ-9 Remediation Before Punishment.</w:t>
      </w:r>
    </w:p>
    <w:p>
      <w:pPr>
        <w:pStyle w:val="Normal"/>
        <w:widowControl/>
        <w:rPr/>
      </w:pPr>
      <w:r>
        <w:rPr/>
        <w:t>Worker restoration and correction of the facility-level practice are the primary objectives.</w:t>
      </w:r>
    </w:p>
    <w:p>
      <w:pPr>
        <w:pStyle w:val="Heading3"/>
        <w:keepNext/>
        <w:widowControl/>
        <w:rPr/>
      </w:pPr>
      <w:r>
        <w:rPr/>
        <w:t>BZ-10 Module-Confined Proportionality.</w:t>
      </w:r>
    </w:p>
    <w:p>
      <w:pPr>
        <w:pStyle w:val="Normal"/>
        <w:widowControl/>
        <w:rPr/>
      </w:pPr>
      <w:r>
        <w:rPr/>
        <w:t>Consequences remain tied to the offending facility, enterprise, relevant goods or benefits and may not become an unrelated national trade weapon.</w:t>
      </w:r>
    </w:p>
    <w:p>
      <w:pPr>
        <w:pStyle w:val="Heading3"/>
        <w:keepNext/>
        <w:widowControl/>
        <w:rPr/>
      </w:pPr>
      <w:r>
        <w:rPr/>
        <w:t>BZ-11 Repeat-Offender Escalation.</w:t>
      </w:r>
    </w:p>
    <w:p>
      <w:pPr>
        <w:pStyle w:val="Normal"/>
        <w:widowControl/>
        <w:rPr/>
      </w:pPr>
      <w:r>
        <w:rPr/>
        <w:t>Durable first-time remediation earns closure; repeated or concealed violations justify stronger facility-specific consequences.</w:t>
      </w:r>
    </w:p>
    <w:p>
      <w:pPr>
        <w:pStyle w:val="Heading3"/>
        <w:keepNext/>
        <w:widowControl/>
        <w:rPr/>
      </w:pPr>
      <w:r>
        <w:rPr/>
        <w:t>BZ-12 Automatic Earn-Back.</w:t>
      </w:r>
    </w:p>
    <w:p>
      <w:pPr>
        <w:pStyle w:val="Normal"/>
        <w:widowControl/>
        <w:rPr/>
      </w:pPr>
      <w:r>
        <w:rPr/>
        <w:t>Benefits return automatically after verified durable remediation, without requiring a new political concession.</w:t>
      </w:r>
    </w:p>
    <w:p>
      <w:pPr>
        <w:pStyle w:val="Heading3"/>
        <w:keepNext/>
        <w:widowControl/>
        <w:rPr/>
      </w:pPr>
      <w:r>
        <w:rPr/>
        <w:t>BZ-13 Grave-Abuse Accelerator.</w:t>
      </w:r>
    </w:p>
    <w:p>
      <w:pPr>
        <w:pStyle w:val="Normal"/>
        <w:widowControl/>
        <w:rPr/>
      </w:pPr>
      <w:r>
        <w:rPr/>
        <w:t>Forced labour, trafficking, violence, severe retaliation and comparable imminent abuses may justify expedited temporary protective measures subject to rapid independent review.</w:t>
      </w:r>
    </w:p>
    <w:p>
      <w:pPr>
        <w:pStyle w:val="Heading3"/>
        <w:keepNext/>
        <w:widowControl/>
        <w:rPr/>
      </w:pPr>
      <w:r>
        <w:rPr/>
        <w:t>BZ-14 No Double Punishment.</w:t>
      </w:r>
    </w:p>
    <w:p>
      <w:pPr>
        <w:pStyle w:val="Normal"/>
        <w:widowControl/>
        <w:rPr/>
      </w:pPr>
      <w:r>
        <w:rPr/>
        <w:t>Parallel labour mechanisms coordinate remedies and credit remediation already obtained.</w:t>
      </w:r>
    </w:p>
    <w:p>
      <w:pPr>
        <w:pStyle w:val="Heading3"/>
        <w:keepNext/>
        <w:widowControl/>
        <w:rPr/>
      </w:pPr>
      <w:r>
        <w:rPr/>
        <w:t>BZ-15 Functional Equivalence.</w:t>
      </w:r>
    </w:p>
    <w:p>
      <w:pPr>
        <w:pStyle w:val="Normal"/>
        <w:widowControl/>
        <w:rPr/>
      </w:pPr>
      <w:r>
        <w:rPr/>
        <w:t>The Parties need not copy one another's domestic labour institutions; access, independence, speed, evidence, remediation and consequences must be functionally equivalent.</w:t>
      </w:r>
    </w:p>
    <w:p>
      <w:pPr>
        <w:pStyle w:val="Heading3"/>
        <w:keepNext/>
        <w:widowControl/>
        <w:rPr/>
      </w:pPr>
      <w:r>
        <w:rPr/>
        <w:t>BZ-16 Federalism Neutrality.</w:t>
      </w:r>
    </w:p>
    <w:p>
      <w:pPr>
        <w:pStyle w:val="Normal"/>
        <w:widowControl/>
        <w:rPr/>
      </w:pPr>
      <w:r>
        <w:rPr/>
        <w:t>Constitutional allocation of labour authority is respected but cannot be used to nullify the treaty outcome.</w:t>
      </w:r>
    </w:p>
    <w:p>
      <w:pPr>
        <w:pStyle w:val="Heading3"/>
        <w:keepNext/>
        <w:widowControl/>
        <w:rPr/>
      </w:pPr>
      <w:r>
        <w:rPr/>
        <w:t>BZ-17 Country-Neutral Drafting.</w:t>
      </w:r>
    </w:p>
    <w:p>
      <w:pPr>
        <w:pStyle w:val="Normal"/>
        <w:widowControl/>
        <w:rPr/>
      </w:pPr>
      <w:r>
        <w:rPr/>
        <w:t>The operative mechanism uses Party/respondent/facility/worker terminology and creates no permanent presumption about which country is the violator.</w:t>
      </w:r>
    </w:p>
    <w:p>
      <w:pPr>
        <w:pStyle w:val="Heading3"/>
        <w:keepNext/>
        <w:widowControl/>
        <w:rPr/>
      </w:pPr>
      <w:r>
        <w:rPr/>
        <w:t>BZ-18 Public Outcome Record.</w:t>
      </w:r>
    </w:p>
    <w:p>
      <w:pPr>
        <w:pStyle w:val="Normal"/>
        <w:widowControl/>
        <w:rPr/>
      </w:pPr>
      <w:r>
        <w:rPr/>
        <w:t>Non-confidential outcomes identify the problem, remedy, consequence if any, and closure basis while protecting workers and legitimate confidential information.</w:t>
      </w:r>
    </w:p>
    <w:p>
      <w:pPr>
        <w:pStyle w:val="Heading3"/>
        <w:keepNext/>
        <w:widowControl/>
        <w:rPr/>
      </w:pPr>
      <w:r>
        <w:rPr/>
        <w:t>BZ-19 Predecessor Transition.</w:t>
      </w:r>
    </w:p>
    <w:p>
      <w:pPr>
        <w:pStyle w:val="Normal"/>
        <w:widowControl/>
        <w:rPr/>
      </w:pPr>
      <w:r>
        <w:rPr/>
        <w:t>Legacy Annex 31-A/31-B machinery may operate during transition only consistently with the trilateral principles and shall be reviewed for consolidation within 24 months.</w:t>
      </w:r>
    </w:p>
    <w:p>
      <w:pPr>
        <w:pStyle w:val="Heading3"/>
        <w:keepNext/>
        <w:widowControl/>
        <w:rPr/>
      </w:pPr>
      <w:r>
        <w:rPr/>
        <w:t>BZ-20 Governing Maxim.</w:t>
      </w:r>
    </w:p>
    <w:p>
      <w:pPr>
        <w:pStyle w:val="Normal"/>
        <w:widowControl/>
        <w:rPr/>
      </w:pPr>
      <w:r>
        <w:rPr/>
        <w:t>Workers first. Trade punishment second. A worker making NAESTMA-originating goods receives meaningful treaty protection in any of the three Parties.</w:t>
      </w:r>
    </w:p>
    <w:p>
      <w:bookmarkStart w:id="2975" w:name="_NAESTMA_TOC_2975"/>
      <w:pPr>
        <w:pStyle w:val="Heading1"/>
        <w:keepNext/>
        <w:pageBreakBefore/>
        <w:widowControl/>
        <w:rPr/>
      </w:pPr>
      <w:r>
        <w:t>PACKAGE CA — ANNEX 23-A LABOUR-REFORM DURABILITY INTEGRATION</w:t>
      </w:r>
      <w:bookmarkEnd w:id="2975"/>
    </w:p>
    <w:p>
      <w:bookmarkStart w:id="2976" w:name="_NAESTMA_TOC_2976"/>
      <w:pPr>
        <w:pStyle w:val="Heading2"/>
        <w:keepNext/>
        <w:widowControl/>
        <w:rPr/>
      </w:pPr>
      <w:r>
        <w:rPr/>
        <w:t>CA-1 Preserve Achievements, Delete the Time Capsule.</w:t>
      </w:r>
      <w:bookmarkEnd w:id="2976"/>
    </w:p>
    <w:p>
      <w:pPr>
        <w:pStyle w:val="Normal"/>
        <w:widowControl/>
        <w:rPr/>
      </w:pPr>
      <w:r>
        <w:rPr/>
        <w:t>Replace obsolete 2018-2019 implementation commands with permanent outcome obligations.</w:t>
      </w:r>
    </w:p>
    <w:p>
      <w:bookmarkStart w:id="2977" w:name="_NAESTMA_TOC_2977"/>
      <w:pPr>
        <w:pStyle w:val="Heading2"/>
        <w:keepNext/>
        <w:widowControl/>
        <w:rPr/>
      </w:pPr>
      <w:r>
        <w:rPr/>
        <w:t>CA-2 Durable Democratic Consent.</w:t>
      </w:r>
      <w:bookmarkEnd w:id="2977"/>
    </w:p>
    <w:p>
      <w:pPr>
        <w:pStyle w:val="Normal"/>
        <w:widowControl/>
        <w:rPr/>
      </w:pPr>
      <w:r>
        <w:rPr/>
        <w:t>Preserve personal, free and secret voting and authentic worker support for collective agreements.</w:t>
      </w:r>
    </w:p>
    <w:p>
      <w:bookmarkStart w:id="2978" w:name="_NAESTMA_TOC_2978"/>
      <w:pPr>
        <w:pStyle w:val="Heading2"/>
        <w:keepNext/>
        <w:widowControl/>
        <w:rPr/>
      </w:pPr>
      <w:r>
        <w:rPr/>
        <w:t>CA-3 Independent Institutions, Flexible Machinery.</w:t>
      </w:r>
      <w:bookmarkEnd w:id="2978"/>
    </w:p>
    <w:p>
      <w:pPr>
        <w:pStyle w:val="Normal"/>
        <w:widowControl/>
        <w:rPr/>
      </w:pPr>
      <w:r>
        <w:rPr/>
        <w:t>Protect independence, access, due process and remedies without freezing agency names or organizational forms.</w:t>
      </w:r>
    </w:p>
    <w:p>
      <w:bookmarkStart w:id="2979" w:name="_NAESTMA_TOC_2979"/>
      <w:pPr>
        <w:pStyle w:val="Heading2"/>
        <w:keepNext/>
        <w:widowControl/>
        <w:rPr/>
      </w:pPr>
      <w:r>
        <w:rPr/>
        <w:t>CA-4 Protection-Contract Firewall.</w:t>
      </w:r>
      <w:bookmarkEnd w:id="2979"/>
    </w:p>
    <w:p>
      <w:pPr>
        <w:pStyle w:val="Normal"/>
        <w:widowControl/>
        <w:rPr/>
      </w:pPr>
      <w:r>
        <w:rPr/>
        <w:t>Prevent fictitious, employer-dominated or unsupported agreements from suppressing independent representation.</w:t>
      </w:r>
    </w:p>
    <w:p>
      <w:bookmarkStart w:id="2980" w:name="_NAESTMA_TOC_2980"/>
      <w:pPr>
        <w:pStyle w:val="Heading2"/>
        <w:keepNext/>
        <w:widowControl/>
        <w:rPr/>
      </w:pPr>
      <w:r>
        <w:rPr/>
        <w:t>CA-5 Anti-Retaliation and Restoration.</w:t>
      </w:r>
      <w:bookmarkEnd w:id="2980"/>
    </w:p>
    <w:p>
      <w:pPr>
        <w:pStyle w:val="Normal"/>
        <w:widowControl/>
        <w:rPr/>
      </w:pPr>
      <w:r>
        <w:rPr/>
        <w:t>Make worker protection and effective restorative remedies explicit.</w:t>
      </w:r>
    </w:p>
    <w:p>
      <w:bookmarkStart w:id="2981" w:name="_NAESTMA_TOC_2981"/>
      <w:pPr>
        <w:pStyle w:val="Heading2"/>
        <w:keepNext/>
        <w:widowControl/>
        <w:rPr/>
      </w:pPr>
      <w:r>
        <w:rPr/>
        <w:t>CA-6 Non-Regression with Modernization Freedom.</w:t>
      </w:r>
      <w:bookmarkEnd w:id="2981"/>
    </w:p>
    <w:p>
      <w:pPr>
        <w:pStyle w:val="Normal"/>
        <w:widowControl/>
        <w:rPr/>
      </w:pPr>
      <w:r>
        <w:rPr/>
        <w:t>Prevent competitive weakening while allowing Mexico to reorganize or improve its institutions.</w:t>
      </w:r>
    </w:p>
    <w:p>
      <w:bookmarkStart w:id="2982" w:name="_NAESTMA_TOC_2982"/>
      <w:pPr>
        <w:pStyle w:val="Heading2"/>
        <w:keepNext/>
        <w:widowControl/>
        <w:rPr/>
      </w:pPr>
      <w:r>
        <w:rPr/>
        <w:t>CA-7 Equal-Party Safeguard.</w:t>
      </w:r>
      <w:bookmarkEnd w:id="2982"/>
    </w:p>
    <w:p>
      <w:pPr>
        <w:pStyle w:val="Normal"/>
        <w:widowControl/>
        <w:rPr/>
      </w:pPr>
      <w:r>
        <w:rPr/>
        <w:t>A Mexico-specific historical annex creates no presumption of Mexican wrongdoing or stronger enforcement exposure.</w:t>
      </w:r>
    </w:p>
    <w:p>
      <w:bookmarkStart w:id="2983" w:name="_NAESTMA_TOC_2983"/>
      <w:pPr>
        <w:pStyle w:val="Heading2"/>
        <w:keepNext/>
        <w:widowControl/>
        <w:rPr/>
      </w:pPr>
      <w:r>
        <w:rPr/>
        <w:t>CA-8 Article 31.E Interface.</w:t>
      </w:r>
      <w:bookmarkEnd w:id="2983"/>
    </w:p>
    <w:p>
      <w:pPr>
        <w:pStyle w:val="Normal"/>
        <w:widowControl/>
        <w:rPr/>
      </w:pPr>
      <w:r>
        <w:rPr/>
        <w:t>Substantive Mexico-specific obligations feed into the same functionally equivalent facility-specific enforcement architecture applicable to Canada and the United States.</w:t>
      </w:r>
    </w:p>
    <w:p>
      <w:bookmarkStart w:id="2984" w:name="_NAESTMA_TOC_2984"/>
      <w:pPr>
        <w:pStyle w:val="Heading2"/>
        <w:keepNext/>
        <w:widowControl/>
        <w:rPr/>
      </w:pPr>
      <w:r>
        <w:rPr/>
        <w:t>CA-9 Worker-Rights Firewall.</w:t>
      </w:r>
      <w:bookmarkEnd w:id="2984"/>
    </w:p>
    <w:p>
      <w:pPr>
        <w:pStyle w:val="Normal"/>
        <w:widowControl/>
        <w:rPr/>
      </w:pPr>
      <w:r>
        <w:rPr/>
        <w:t>Labour rights cannot be suspended or exchanged as leverage in unrelated trade disputes.</w:t>
      </w:r>
    </w:p>
    <w:p>
      <w:bookmarkStart w:id="2985" w:name="_NAESTMA_TOC_2985"/>
      <w:pPr>
        <w:pStyle w:val="Heading2"/>
        <w:keepNext/>
        <w:widowControl/>
        <w:rPr/>
      </w:pPr>
      <w:r>
        <w:rPr/>
        <w:t>CA-10 Completed Transition Recognition.</w:t>
      </w:r>
      <w:bookmarkEnd w:id="2985"/>
    </w:p>
    <w:p>
      <w:pPr>
        <w:pStyle w:val="Normal"/>
        <w:widowControl/>
        <w:rPr/>
      </w:pPr>
      <w:r>
        <w:rPr/>
        <w:t>One-time 2018-2019 legislative and four-year legitimization commands are recognized as completed; their durable protective outcomes remain.</w:t>
      </w:r>
    </w:p>
    <w:p>
      <w:bookmarkStart w:id="2986" w:name="_NAESTMA_TOC_2986"/>
      <w:pPr>
        <w:pStyle w:val="Heading1"/>
        <w:keepNext/>
        <w:pageBreakBefore/>
        <w:widowControl/>
        <w:rPr/>
      </w:pPr>
      <w:r>
        <w:t>PACKAGE CB — LABOUR PARITY CONFORMING INTEGRATION</w:t>
      </w:r>
      <w:bookmarkEnd w:id="2986"/>
    </w:p>
    <w:p>
      <w:bookmarkStart w:id="2987" w:name="_NAESTMA_TOC_2987"/>
      <w:pPr>
        <w:pStyle w:val="Heading2"/>
        <w:keepNext/>
        <w:widowControl/>
        <w:rPr/>
      </w:pPr>
      <w:r>
        <w:rPr/>
        <w:t>CB-1 Article 31.E Immediate Supremacy.</w:t>
      </w:r>
      <w:bookmarkEnd w:id="2987"/>
    </w:p>
    <w:p>
      <w:pPr>
        <w:pStyle w:val="Normal"/>
        <w:widowControl/>
        <w:rPr/>
      </w:pPr>
      <w:r>
        <w:rPr/>
        <w:t>The trilateral facility-specific remedy prevails immediately over inconsistent predecessor standing, scope, admissibility, sector, remedy and restoration rules; the 24-month transition is administrative only.</w:t>
      </w:r>
    </w:p>
    <w:p>
      <w:bookmarkStart w:id="2988" w:name="_NAESTMA_TOC_2988"/>
      <w:pPr>
        <w:pStyle w:val="Heading2"/>
        <w:keepNext/>
        <w:widowControl/>
        <w:rPr/>
      </w:pPr>
      <w:r>
        <w:rPr/>
        <w:t>CB-2 Chapter 23 Cross-Reference Repair.</w:t>
      </w:r>
      <w:bookmarkEnd w:id="2988"/>
    </w:p>
    <w:p>
      <w:pPr>
        <w:pStyle w:val="Normal"/>
        <w:widowControl/>
        <w:rPr/>
      </w:pPr>
      <w:r>
        <w:rPr/>
        <w:t>Articles 23.B and 23.C now centre Article 31.E and treat Annexes 31-A/31-B as predecessor procedures.</w:t>
      </w:r>
    </w:p>
    <w:p>
      <w:bookmarkStart w:id="2989" w:name="_NAESTMA_TOC_2989"/>
      <w:pPr>
        <w:pStyle w:val="Heading2"/>
        <w:keepNext/>
        <w:widowControl/>
        <w:rPr/>
      </w:pPr>
      <w:r>
        <w:rPr/>
        <w:t>CB-3 Equal Definitions and Intake.</w:t>
      </w:r>
      <w:bookmarkEnd w:id="2989"/>
    </w:p>
    <w:p>
      <w:pPr>
        <w:pStyle w:val="Normal"/>
        <w:keepNext w:val="true"/>
        <w:widowControl/>
        <w:rPr/>
      </w:pPr>
      <w:r>
        <w:rPr/>
        <w:t>Article 31.E independently defines its key terms and requires functionally equivalent public intake channels and clocks in all three Parties.</w:t>
      </w:r>
    </w:p>
    <w:p>
      <w:bookmarkStart w:id="2990" w:name="_NAESTMA_TOC_2990"/>
      <w:pPr>
        <w:pStyle w:val="Heading2"/>
        <w:keepNext/>
        <w:widowControl/>
        <w:rPr/>
      </w:pPr>
      <w:r>
        <w:rPr/>
        <w:t>CB-4 Domestic-Order Gate Neutralization.</w:t>
      </w:r>
      <w:bookmarkEnd w:id="2990"/>
    </w:p>
    <w:p>
      <w:pPr>
        <w:pStyle w:val="Normal"/>
        <w:widowControl/>
        <w:rPr/>
      </w:pPr>
      <w:r>
        <w:rPr/>
        <w:t>NLRB, CIRB or other domestic orders may be highly probative but are not exclusive treaty gateways unless an equivalent condition applies to every Party.</w:t>
      </w:r>
    </w:p>
    <w:p>
      <w:bookmarkStart w:id="2991" w:name="_NAESTMA_TOC_2991"/>
      <w:pPr>
        <w:pStyle w:val="Heading2"/>
        <w:keepNext/>
        <w:widowControl/>
        <w:rPr/>
      </w:pPr>
      <w:r>
        <w:rPr/>
        <w:t>CB-5 Priority-Sector Firewall.</w:t>
      </w:r>
      <w:bookmarkEnd w:id="2991"/>
    </w:p>
    <w:p>
      <w:pPr>
        <w:pStyle w:val="Normal"/>
        <w:widowControl/>
        <w:rPr/>
      </w:pPr>
      <w:r>
        <w:rPr/>
        <w:t>Priority-sector status may guide triage or remedy calibration but does not categorically deny worker access to remediation.</w:t>
      </w:r>
    </w:p>
    <w:p>
      <w:bookmarkStart w:id="2992" w:name="_NAESTMA_TOC_2992"/>
      <w:pPr>
        <w:pStyle w:val="Heading2"/>
        <w:keepNext/>
        <w:widowControl/>
        <w:rPr/>
      </w:pPr>
      <w:r>
        <w:rPr/>
        <w:t>CB-6 Panel Neutrality.</w:t>
      </w:r>
      <w:bookmarkEnd w:id="2992"/>
    </w:p>
    <w:p>
      <w:pPr>
        <w:pStyle w:val="Normal"/>
        <w:widowControl/>
        <w:rPr/>
      </w:pPr>
      <w:r>
        <w:rPr/>
        <w:t>Verification panels are subject to nationality, independence and conflict safeguards.</w:t>
      </w:r>
    </w:p>
    <w:p>
      <w:bookmarkStart w:id="2993" w:name="_NAESTMA_TOC_2993"/>
      <w:pPr>
        <w:pStyle w:val="Heading2"/>
        <w:keepNext/>
        <w:widowControl/>
        <w:rPr/>
      </w:pPr>
      <w:r>
        <w:rPr/>
        <w:t>CB-7 Canada Definition Repair.</w:t>
      </w:r>
      <w:bookmarkEnd w:id="2993"/>
    </w:p>
    <w:p>
      <w:pPr>
        <w:pStyle w:val="Normal"/>
        <w:widowControl/>
        <w:rPr/>
      </w:pPr>
      <w:r>
        <w:rPr/>
        <w:t>Chapter 23 labour statutes and regulations are defined neutrally for Canada, Mexico and the United States.</w:t>
      </w:r>
    </w:p>
    <w:p>
      <w:bookmarkStart w:id="2994" w:name="_NAESTMA_TOC_2994"/>
      <w:pPr>
        <w:pStyle w:val="Heading2"/>
        <w:keepNext/>
        <w:widowControl/>
        <w:rPr/>
      </w:pPr>
      <w:r>
        <w:rPr/>
        <w:t>CB-8 Annex 23-A Cross-Reference Repair.</w:t>
      </w:r>
      <w:bookmarkEnd w:id="2994"/>
    </w:p>
    <w:p>
      <w:pPr>
        <w:pStyle w:val="Normal"/>
        <w:widowControl/>
        <w:rPr/>
      </w:pPr>
      <w:r>
        <w:rPr/>
        <w:t>Legacy references are conformed to the modernized Annex 23-A title and equal-Party architecture.</w:t>
      </w:r>
    </w:p>
    <w:p>
      <w:bookmarkStart w:id="2995" w:name="_NAESTMA_TOC_2995"/>
      <w:pPr>
        <w:pStyle w:val="Heading2"/>
        <w:keepNext/>
        <w:widowControl/>
        <w:rPr/>
      </w:pPr>
      <w:r>
        <w:rPr/>
        <w:t>CB-9 Neutral Existing-Measures Safe Harbour.</w:t>
      </w:r>
      <w:bookmarkEnd w:id="2995"/>
    </w:p>
    <w:p>
      <w:pPr>
        <w:pStyle w:val="Normal"/>
        <w:widowControl/>
        <w:rPr/>
      </w:pPr>
      <w:r>
        <w:rPr/>
        <w:t>Country-specific U.S. pre-clearance language is replaced by an outcome-equivalence rule available to every Party.</w:t>
      </w:r>
    </w:p>
    <w:p>
      <w:bookmarkStart w:id="2996" w:name="_NAESTMA_TOC_2996"/>
      <w:pPr>
        <w:pStyle w:val="Heading2"/>
        <w:keepNext/>
        <w:widowControl/>
        <w:rPr/>
      </w:pPr>
      <w:r>
        <w:rPr/>
        <w:t>CB-10 Continental Worker-Rights Firewall.</w:t>
      </w:r>
      <w:bookmarkEnd w:id="2996"/>
    </w:p>
    <w:p>
      <w:pPr>
        <w:pStyle w:val="Normal"/>
        <w:widowControl/>
        <w:rPr/>
      </w:pPr>
      <w:r>
        <w:rPr/>
        <w:t>No Party may trade away worker rights protected by Chapter 23 as leverage in an unrelated dispute.</w:t>
      </w:r>
    </w:p>
    <w:p>
      <w:bookmarkStart w:id="2997" w:name="_NAESTMA_TOC_2997"/>
      <w:pPr>
        <w:pStyle w:val="Heading2"/>
        <w:keepNext/>
        <w:widowControl/>
        <w:rPr/>
      </w:pPr>
      <w:r>
        <w:rPr/>
        <w:t>CB-11 Article 51 Interface.</w:t>
      </w:r>
      <w:bookmarkEnd w:id="2997"/>
    </w:p>
    <w:p>
      <w:pPr>
        <w:pStyle w:val="Normal"/>
        <w:widowControl/>
        <w:rPr/>
      </w:pPr>
      <w:r>
        <w:rPr/>
        <w:t>Systemic labour enforcement now expressly identifies Article 31.E as the facility-specific track.</w:t>
      </w:r>
    </w:p>
    <w:p>
      <w:bookmarkStart w:id="2998" w:name="_NAESTMA_TOC_2998"/>
      <w:pPr>
        <w:pStyle w:val="Heading2"/>
        <w:keepNext/>
        <w:widowControl/>
        <w:rPr/>
      </w:pPr>
      <w:r>
        <w:rPr/>
        <w:t>CB-12 Trade-Nexus Clarification.</w:t>
      </w:r>
      <w:bookmarkEnd w:id="2998"/>
    </w:p>
    <w:p>
      <w:pPr>
        <w:pStyle w:val="Normal"/>
        <w:widowControl/>
        <w:rPr/>
      </w:pPr>
      <w:r>
        <w:rPr/>
        <w:t>Worker protection and admissibility do not require quantified trade injury; trade consequences remain subject to the Agreement’s required nexus.</w:t>
      </w:r>
    </w:p>
    <w:p>
      <w:bookmarkStart w:id="2999" w:name="_NAESTMA_TOC_2999"/>
      <w:pPr>
        <w:pStyle w:val="Heading2"/>
        <w:keepNext/>
        <w:widowControl/>
        <w:rPr/>
      </w:pPr>
      <w:r>
        <w:rPr/>
        <w:t>CB-13 Annex 23-A Converse Equality.</w:t>
      </w:r>
      <w:bookmarkEnd w:id="2999"/>
    </w:p>
    <w:p>
      <w:pPr>
        <w:pStyle w:val="Normal"/>
        <w:widowControl/>
        <w:rPr/>
      </w:pPr>
      <w:r>
        <w:rPr/>
        <w:t>Mexico-specific reform durability does not imply weaker freedom-of-association, bargaining, anti-retaliation or remedial obligations in Canada or the United States.</w:t>
      </w:r>
    </w:p>
    <w:p>
      <w:bookmarkStart w:id="3000" w:name="_NAESTMA_TOC_3000"/>
      <w:pPr>
        <w:pStyle w:val="Heading2"/>
        <w:keepNext/>
        <w:widowControl/>
        <w:rPr/>
      </w:pPr>
      <w:r>
        <w:rPr/>
        <w:t>CB-14 Predecessor Annex Status.</w:t>
      </w:r>
      <w:bookmarkEnd w:id="3000"/>
    </w:p>
    <w:p>
      <w:pPr>
        <w:pStyle w:val="Normal"/>
        <w:widowControl/>
        <w:rPr/>
      </w:pPr>
      <w:r>
        <w:rPr/>
        <w:t>Annexes 31-A and 31-B are expressly labelled transitional administrative machinery under Article 31.E.</w:t>
      </w:r>
    </w:p>
    <w:p>
      <w:bookmarkStart w:id="3001" w:name="_NAESTMA_TOC_3001"/>
      <w:pPr>
        <w:pStyle w:val="Heading2"/>
        <w:keepNext/>
        <w:widowControl/>
        <w:rPr/>
      </w:pPr>
      <w:r>
        <w:rPr/>
        <w:t>CB-15 No New Labour Bureaucracy.</w:t>
      </w:r>
      <w:bookmarkEnd w:id="3001"/>
    </w:p>
    <w:p>
      <w:pPr>
        <w:pStyle w:val="Normal"/>
        <w:widowControl/>
        <w:rPr/>
      </w:pPr>
      <w:r>
        <w:rPr/>
        <w:t>The conformity pass preserves use of existing Secretariat, Chapter 31, Cothrom, Labour Council, roster and domestic machinery.</w:t>
      </w:r>
    </w:p>
    <w:p>
      <w:pPr>
        <w:pStyle w:val="Normal"/>
        <w:rPr/>
      </w:pPr>
      <w:r>
        <w:rPr/>
      </w:r>
    </w:p>
    <w:p>
      <w:bookmarkStart w:id="3002" w:name="_NAESTMA_TOC_3002"/>
      <w:pPr>
        <w:pStyle w:val="Heading1"/>
        <w:keepNext/>
        <w:pageBreakBefore/>
        <w:widowControl/>
        <w:rPr/>
      </w:pPr>
      <w:r>
        <w:t>PACKAGE CC — NORTH AMERICAN ANIMAL WELFARE, HUMANE AGRICULTURE, RESCUE, AND PRACTICAL TRANSITION INTEGRATION (v7.4)</w:t>
      </w:r>
      <w:bookmarkEnd w:id="3002"/>
    </w:p>
    <w:p>
      <w:pPr>
        <w:pStyle w:val="Normal"/>
        <w:widowControl/>
        <w:rPr/>
      </w:pPr>
      <w:r>
        <w:rPr/>
        <w:t>CC-1. Purpose and Scope. The Parties establish a practical North American animal-welfare floor for covered agricultural production, cross-border movement, government-directed destruction, wildlife actions undertaken under this Agreement, and other measures having a material trade, emergency-coordination, or cross-border nexus. The objective is to reduce avoidable serious suffering while preserving food security, animal health, legitimate veterinary practice, disease response, conservation, public safety, Indigenous and treaty or Aboriginal rights, lawful subsistence, and resilient agricultural production.</w:t>
      </w:r>
    </w:p>
    <w:p>
      <w:pPr>
        <w:pStyle w:val="Normal"/>
        <w:widowControl/>
        <w:rPr/>
      </w:pPr>
      <w:r>
        <w:rPr/>
        <w:t>CC-2. No Downward Harmonization. Nothing in this Agreement requires a Party to weaken a higher domestic or subnational animal-welfare standard. This Package establishes a floor, not a ceiling.</w:t>
      </w:r>
    </w:p>
    <w:p>
      <w:pPr>
        <w:pStyle w:val="Normal"/>
        <w:widowControl/>
        <w:rPr/>
      </w:pPr>
      <w:r>
        <w:rPr/>
        <w:t>CC-3. Equivalent Outcomes and Regulatory Diversity. A Party may satisfy a covered welfare obligation through different technologies, husbandry systems, facility designs, climates, production models, or regulatory structures where the resulting welfare protection is materially equivalent. No Party is required to adopt an identical domestic statute, agency, inspection model, or commercial technology.</w:t>
      </w:r>
    </w:p>
    <w:p>
      <w:pPr>
        <w:pStyle w:val="Normal"/>
        <w:widowControl/>
        <w:rPr/>
      </w:pPr>
      <w:r>
        <w:rPr/>
        <w:t>CC-4. Non-Discrimination and Trade-Safe Equivalency. Comparable domestic and imported covered products shall be subject to equivalent welfare treatment. Welfare measures shall use transparent, objective, evidence-informed criteria and shall not operate as disguised nationality-based protectionism, arbitrary quantitative restrictions, or a pretext for excluding another Party's goods. Where equivalency is disputed, the Parties shall use notice, technical consultation, evidence exchange, a reasonable cure opportunity, and existing Cothrom or Chapter 9 procedures as applicable.</w:t>
      </w:r>
    </w:p>
    <w:p>
      <w:pPr>
        <w:pStyle w:val="Normal"/>
        <w:widowControl/>
        <w:rPr/>
      </w:pPr>
      <w:r>
        <w:rPr/>
        <w:t>CC-5. Necessary-Use Firewall. Nothing in this Package prohibits legitimate veterinary treatment; individualized therapeutic procedures; emergency humane euthanasia; rescue; quarantine; scientifically justified disease control; conservation; emergency defense of human life; lawful Indigenous, treaty or Aboriginal harvesting; lawful subsistence; or necessary wildlife management, provided the measure is proportionate and uses reasonably available welfare safeguards.</w:t>
      </w:r>
    </w:p>
    <w:p>
      <w:pPr>
        <w:pStyle w:val="Normal"/>
        <w:widowControl/>
        <w:rPr/>
      </w:pPr>
      <w:r>
        <w:rPr/>
        <w:t>CC-6. Medical Necessity and Production Convenience. Production convenience, generalized facility design, routine scheduling, cosmetic preference, or a preventable husbandry problem shall not by itself constitute medical necessity. Where an otherwise restricted practice is permitted for veterinary reasons, the exception should be individualized, documented where practicable, proportionate to the animal's condition, and performed or directed by a suitably qualified person.</w:t>
      </w:r>
    </w:p>
    <w:p>
      <w:pPr>
        <w:pStyle w:val="Normal"/>
        <w:widowControl/>
        <w:rPr/>
      </w:pPr>
      <w:r>
        <w:rPr/>
        <w:t>CC-7. No Welfare Substitution. A required transition shall not knowingly replace one serious welfare harm with an equal or greater serious harm to another animal, species, life stage, or welfare dimension where a reasonably available lower-harm alternative exists.</w:t>
      </w:r>
    </w:p>
    <w:p>
      <w:pPr>
        <w:pStyle w:val="Normal"/>
        <w:widowControl/>
        <w:rPr/>
      </w:pPr>
      <w:r>
        <w:rPr/>
        <w:t>CC-8. Technology Neutrality and Validation. The Parties shall regulate welfare outcomes rather than mandate a proprietary product. Where a replacement technology or husbandry model is not yet independently validated at relevant commercial scale, the Parties may use pilots, monitoring, technical standards, and staged validation before compulsory deployment.</w:t>
      </w:r>
    </w:p>
    <w:p>
      <w:pPr>
        <w:pStyle w:val="Normal"/>
        <w:widowControl/>
        <w:rPr/>
      </w:pPr>
      <w:r>
        <w:rPr/>
        <w:t>CC-9. Producer Transition and Small-Producer Protection. Where compliance requires material capital replacement or substantial operational conversion, a Party may provide grants, concessional finance, accelerated depreciation, technical assistance, veterinary support, training, shared infrastructure, equipment conversion, or other non-discriminatory transition support. Small producers may receive additional time or assistance where necessary, but size alone shall not create a permanent exemption from a continental minimum protecting against severe avoidable suffering.</w:t>
      </w:r>
    </w:p>
    <w:p>
      <w:pPr>
        <w:pStyle w:val="Normal"/>
        <w:widowControl/>
        <w:rPr/>
      </w:pPr>
      <w:r>
        <w:rPr/>
        <w:t>CC-10. No Uncompensated Front-Loading. Where a negotiated welfare transition is expressly paired with reciprocal market recognition, equivalency treatment, financing, or another governmental benefit, the paired obligations should activate together. Material delayed or failed paired performance may trigger verification, a short cure period, proportional pause or step-back of the paired governmental obligation, and automatic restoration when verified performance resumes. Individual animal care, feed, water, veterinary treatment, rescue, evacuation, and humane euthanasia shall never be suspended as leverage.</w:t>
      </w:r>
    </w:p>
    <w:p>
      <w:pPr>
        <w:pStyle w:val="Normal"/>
        <w:widowControl/>
        <w:rPr/>
      </w:pPr>
      <w:r>
        <w:rPr/>
        <w:t>CC-11. Anti-Circumvention. Substance governs over terminology. Renaming, modestly redesigning, outsourcing, relocating, subcontracting, or reclassifying a substantially equivalent covered practice shall not defeat an applicable welfare obligation.</w:t>
      </w:r>
    </w:p>
    <w:p>
      <w:pPr>
        <w:pStyle w:val="Normal"/>
        <w:widowControl/>
        <w:rPr/>
      </w:pPr>
      <w:r>
        <w:rPr/>
        <w:t>CC-12. Good-Faith Reporting and Records. No Party should permit retaliation against a worker, veterinarian, producer, contractor, inspector, or other person for a good-faith report of a serious animal-welfare violation. Covered facilities shall preserve records reasonably necessary to investigate catastrophic incidents, repeated serious welfare failures, and mass depopulation events, subject to privacy, privilege, and legitimate commercial-confidentiality protections.</w:t>
      </w:r>
    </w:p>
    <w:p>
      <w:bookmarkStart w:id="3003" w:name="_NAESTMA_TOC_3003"/>
      <w:pPr>
        <w:pStyle w:val="Heading2"/>
        <w:keepNext/>
        <w:widowControl/>
        <w:rPr/>
      </w:pPr>
      <w:r>
        <w:rPr>
          <w:b/>
        </w:rPr>
        <w:t>Article 43.W — Humane Agricultural Production and Handling Floor</w:t>
      </w:r>
      <w:bookmarkEnd w:id="3003"/>
    </w:p>
    <w:p>
      <w:pPr>
        <w:pStyle w:val="Normal"/>
        <w:widowControl/>
        <w:rPr/>
      </w:pPr>
      <w:r>
        <w:rPr/>
        <w:t>43.W.1. Extreme Confinement. A covered production system shall not keep an animal in confinement so restrictive that, for a substantial portion of its ordinary production life, the animal cannot perform basic species-appropriate postural movements reasonably necessary to stand, lie down, turn around where anatomically applicable, access feed and water, or avoid persistent injury. Species-specific schedules may define equivalent outcome measures, transition periods, and narrow veterinary or emergency exceptions.</w:t>
      </w:r>
    </w:p>
    <w:p>
      <w:pPr>
        <w:pStyle w:val="Normal"/>
        <w:widowControl/>
        <w:rPr/>
      </w:pPr>
      <w:r>
        <w:rPr/>
        <w:t>43.W.2. Healthy-Tissue Principle. Routine removal, destruction, or permanent disabling of healthy tissue solely to compensate for avoidable crowding, aggression, identification convenience, handling convenience, or facility design should be replaced with lower-harm management, genetics, traceability, housing, or handling methods where reasonably available. Necessary therapeutic treatment and ordinary welfare-positive hoof, claw, dental, or comparable maintenance remain permitted.</w:t>
      </w:r>
    </w:p>
    <w:p>
      <w:pPr>
        <w:pStyle w:val="Normal"/>
        <w:widowControl/>
        <w:rPr/>
      </w:pPr>
      <w:r>
        <w:rPr/>
        <w:t>43.W.3. Humane Handling. Routine use of electric shock, painful coercion, or equipment whose ordinary function depends on pain or substantial distress to force movement is prohibited where reasonable low-stress handling methods are available. Narrow emergency use necessary to prevent imminent serious injury may remain subject to domestic law. Ordinary electric fencing used as a boundary system is not prohibited by this paragraph.</w:t>
      </w:r>
    </w:p>
    <w:p>
      <w:pPr>
        <w:pStyle w:val="Normal"/>
        <w:widowControl/>
        <w:rPr/>
      </w:pPr>
      <w:r>
        <w:rPr/>
        <w:t>43.W.4. Fitness for Transport and Border-Delay Welfare. Live-animal transport shall use species-appropriate fitness-to-travel, loading-density, ventilation, thermal-protection, feed, water, rest, handling, and emergency-response standards. Where a border or inspection delay creates a credible serious welfare risk, competent authorities should prioritize lawful resolution, alternate routing, unloading, watering, feeding, veterinary intervention, or other protective action without waiving animal-health or biosecurity requirements.</w:t>
      </w:r>
    </w:p>
    <w:p>
      <w:pPr>
        <w:pStyle w:val="Normal"/>
        <w:widowControl/>
        <w:rPr/>
      </w:pPr>
      <w:r>
        <w:rPr/>
        <w:t>43.W.5. Humane Slaughter and Insensibility Verification. A covered slaughter process shall not proceed to irreversible processing where the animal is reasonably believed to remain conscious or sensate. Operators shall use validated equipment and procedures, verify effective stunning or insensibility as appropriate, and provide immediate corrective action where effectiveness is uncertain or has failed. Implementation shall respect applicable constitutional and religious-freedom law and may recognize validated reversible stunning or other lawful methods that achieve the welfare objective.</w:t>
      </w:r>
    </w:p>
    <w:p>
      <w:pPr>
        <w:pStyle w:val="Normal"/>
        <w:widowControl/>
        <w:rPr/>
      </w:pPr>
      <w:r>
        <w:rPr/>
        <w:t>43.W.6. Prolonged-Suffering Depopulation Methods. A Party shall prohibit routine use of ventilation shutdown, or foam, liquid, slurry, expanding material, or comparable methods whose intended killing mechanism is prolonged hyperthermia, airway obstruction, drowning-like compromise, suffocation, hypoxia, or comparable prolonged respiratory distress. This paragraph does not prohibit a future carrier or delivery system where a separately validated mechanism first produces rapid humane insensibility.</w:t>
      </w:r>
    </w:p>
    <w:p>
      <w:pPr>
        <w:pStyle w:val="Normal"/>
        <w:widowControl/>
        <w:rPr/>
      </w:pPr>
      <w:r>
        <w:rPr/>
        <w:t>43.W.7. Mass Depopulation Review. A large-scale government-directed or government-authorized depopulation event should receive proportionate after-action review addressing necessity, disease rationale, feasible alternatives, welfare method, rescue or transfer feasibility where relevant, planning adequacy, mortality and failure data, and lessons learned. Review shall not delay urgent disease-control action necessary to protect animal or public health.</w:t>
      </w:r>
    </w:p>
    <w:p>
      <w:bookmarkStart w:id="3004" w:name="_NAESTMA_TOC_3004"/>
      <w:pPr>
        <w:pStyle w:val="Heading2"/>
        <w:keepNext/>
        <w:widowControl/>
        <w:rPr/>
      </w:pPr>
      <w:r>
        <w:rPr>
          <w:b/>
        </w:rPr>
        <w:t>Article 62.A — Animal Rescue, Protective Continuity, and Government-Directed Destruction</w:t>
      </w:r>
      <w:bookmarkEnd w:id="3004"/>
    </w:p>
    <w:p>
      <w:pPr>
        <w:pStyle w:val="Normal"/>
        <w:widowControl/>
        <w:rPr/>
      </w:pPr>
      <w:r>
        <w:rPr/>
        <w:t>62.A.1. Rescue and Transfer Before Avoidable Destruction. Before government-directed destruction of otherwise manageable captive animals for administrative, capacity, ownership, closure, or comparable non-emergency reasons, the responsible authority should consider treatment, quarantine, qualified transfer, temporary placement, or other reasonable protective alternatives. Destruction remains available where necessary to end catastrophic suffering, prevent serious disease spread, protect public safety, or address another documented overriding risk.</w:t>
      </w:r>
    </w:p>
    <w:p>
      <w:pPr>
        <w:pStyle w:val="Normal"/>
        <w:widowControl/>
        <w:rPr/>
      </w:pPr>
      <w:r>
        <w:rPr/>
        <w:t>62.A.2. Qualified Recipient. A proposed recipient may be considered where it has lawful authority, appropriate facilities, competent staff, financial and operational capacity, and a credible plan for transport, quarantine, biosecurity, veterinary care, and long-term welfare. A transfer that foreseeably produces severe suffering, uncontrolled disease risk, abandonment, or merely relocates the same crisis does not satisfy this Article.</w:t>
      </w:r>
    </w:p>
    <w:p>
      <w:pPr>
        <w:pStyle w:val="Normal"/>
        <w:widowControl/>
        <w:rPr/>
      </w:pPr>
      <w:r>
        <w:rPr/>
        <w:t>62.A.3. Written Reasons and Rapid Review. Where a credible qualified rescue or transfer proposal is denied and destruction remains contemplated, the competent authority should provide written reasons sufficient for rapid review, subject to urgent animal-health, law-enforcement, privacy, or emergency constraints.</w:t>
      </w:r>
    </w:p>
    <w:p>
      <w:pPr>
        <w:pStyle w:val="Normal"/>
        <w:widowControl/>
        <w:rPr/>
      </w:pPr>
      <w:r>
        <w:rPr/>
        <w:t>62.A.4. Independent Veterinary Review. For a non-emergency mass destruction of captive animals where a qualified rescue or transfer pathway remains credibly available, the competent authority should obtain independent veterinary review appropriate to the species and circumstances before proceeding. No review requirement shall delay immediate humane euthanasia necessary to end catastrophic suffering or urgent action necessary to contain a serious communicable disease.</w:t>
      </w:r>
    </w:p>
    <w:p>
      <w:pPr>
        <w:pStyle w:val="Normal"/>
        <w:widowControl/>
        <w:rPr/>
      </w:pPr>
      <w:r>
        <w:rPr/>
        <w:t>62.A.5. Temporary Protective Custody. Each Party should maintain lawful mechanisms permitting temporary protective intervention where a captive population faces imminent credible risk of abandonment, cessation of essential care, severe neglect, unnecessary destruction, or institutional incapacity. Protective custody need not immediately transfer permanent ownership and should include notice, rapid review, proportionality, continuity of qualified care, and lawful cost-recovery or temporary funding tools where available.</w:t>
      </w:r>
    </w:p>
    <w:p>
      <w:pPr>
        <w:pStyle w:val="Normal"/>
        <w:widowControl/>
        <w:rPr/>
      </w:pPr>
      <w:r>
        <w:rPr/>
        <w:t>62.A.6. Life-Preserving Care Firewall. No trade dispute, retaliation, step-back, suspension, customs disagreement, or other NAESTMA measure may be implemented by deliberately withholding necessary feed, water, veterinary treatment, rescue access, evacuation, or humane emergency care from animals.</w:t>
      </w:r>
    </w:p>
    <w:p>
      <w:bookmarkStart w:id="3005" w:name="_NAESTMA_TOC_3005"/>
      <w:pPr>
        <w:pStyle w:val="Heading2"/>
        <w:keepNext/>
        <w:widowControl/>
        <w:rPr/>
      </w:pPr>
      <w:r>
        <w:rPr>
          <w:b/>
        </w:rPr>
        <w:t>Article 24.W — Least-Harm Wildlife Intervention and Humane Cross-Border Management</w:t>
      </w:r>
      <w:bookmarkEnd w:id="3005"/>
    </w:p>
    <w:p>
      <w:pPr>
        <w:pStyle w:val="Normal"/>
        <w:widowControl/>
        <w:rPr/>
      </w:pPr>
      <w:r>
        <w:rPr/>
        <w:t>24.W.1. Least-Harm Effective Intervention. Where a Party acts under this Agreement to address wildlife conflict, it should ordinarily consider prevention and deterrence, correction of human-created attractants or hazards, conflict mitigation, capture, suitable relocation or specialized placement, and lethal action in an order that favors the least harmful effective and reasonably practicable response. Immediate defense of human life or response to imminent serious danger remains unaffected.</w:t>
      </w:r>
    </w:p>
    <w:p>
      <w:pPr>
        <w:pStyle w:val="Normal"/>
        <w:widowControl/>
        <w:rPr/>
      </w:pPr>
      <w:r>
        <w:rPr/>
        <w:t>24.W.2. Nuisance Status. Classification of an animal as a nuisance, by itself, is not sufficient to establish that lethal action is necessary where a reasonably safe, effective, and ecologically responsible non-lethal alternative is available.</w:t>
      </w:r>
    </w:p>
    <w:p>
      <w:pPr>
        <w:pStyle w:val="Normal"/>
        <w:widowControl/>
        <w:rPr/>
      </w:pPr>
      <w:r>
        <w:rPr/>
        <w:t>24.W.3. Relocation Suitability. A relocation relied upon as a welfare measure should consider health, habituation, destination habitat, carrying capacity, territorial competition, disease risk, homing probability, human-conflict risk, ecological consequences, and expected survival. Higher-risk or uncertain translocations may include proportionate post-release monitoring.</w:t>
      </w:r>
    </w:p>
    <w:p>
      <w:pPr>
        <w:pStyle w:val="Normal"/>
        <w:widowControl/>
        <w:rPr/>
      </w:pPr>
      <w:r>
        <w:rPr/>
        <w:t>24.W.4. Humane Wildlife Capture and Transport. Wildlife capture, holding, transfer, and transport undertaken pursuant to this Agreement shall use species-appropriate methods intended to minimize avoidable injury, heat or cold stress, dehydration, prolonged restraint, and unnecessary fear or distress.</w:t>
      </w:r>
    </w:p>
    <w:p>
      <w:pPr>
        <w:pStyle w:val="Normal"/>
        <w:widowControl/>
        <w:rPr/>
      </w:pPr>
      <w:r>
        <w:rPr/>
        <w:t>24.W.5. Marine-Mammal Sanctuary Cooperation. The Parties may voluntarily cooperate on feasibility studies, candidate-site assessment, veterinary standards, cross-border transfer pathways, emergency placement, research, and removal of unnecessary administrative barriers to qualified marine-mammal sanctuary care. No site, private organization, technology, or transfer receives automatic treaty approval or funding.</w:t>
      </w:r>
    </w:p>
    <w:p>
      <w:bookmarkStart w:id="3006" w:name="_NAESTMA_TOC_3006"/>
      <w:pPr>
        <w:pStyle w:val="Heading2"/>
        <w:keepNext/>
        <w:widowControl/>
        <w:rPr/>
      </w:pPr>
      <w:r>
        <w:rPr>
          <w:b/>
        </w:rPr>
        <w:t>ANNEX 43-H — Practical Welfare Transition Classes</w:t>
      </w:r>
      <w:bookmarkEnd w:id="3006"/>
    </w:p>
    <w:p>
      <w:pPr>
        <w:pStyle w:val="Normal"/>
        <w:widowControl/>
        <w:rPr/>
      </w:pPr>
      <w:r>
        <w:rPr/>
        <w:t>H-1. Class A — Immediate Continental Minimum. Reserved for severe practices whose prohibition is technically straightforward, for which legitimate exceptions can be narrowly defined, and which ordinarily do not require wholesale capital replacement. Initial candidates include tendon cutting to restrict locomotion except genuine therapeutic surgery; powered mechanical castration; deliberate irreversible processing of a conscious or sensate animal after failed stunning; prolonged-suffering ventilation-shutdown depopulation; suffocation-based depopulation mechanisms covered by Article 43.W.6; and routine painful electrical coercion where reasonable low-stress handling is available.</w:t>
      </w:r>
    </w:p>
    <w:p>
      <w:pPr>
        <w:pStyle w:val="Normal"/>
        <w:widowControl/>
        <w:rPr/>
      </w:pPr>
      <w:r>
        <w:rPr/>
        <w:t>H-2. Class B — Funded Transition. Used where the welfare destination is sufficiently clear but compliance may require barn, housing, vessel, handling, processing, traceability, genetics, workforce, or supply-chain conversion. Candidate subjects include extreme gestation confinement, conventional battery-cage systems, restrictive veal confinement, continuous long-duration tethering, routine tail docking or teeth clipping, mulesing or comparable non-therapeutic healthy-tissue removal, routine branding or tissue-removal identification where validated alternatives are available, long-distance transport standards, live-export welfare standards, and conscious poultry shackling or hoisting.</w:t>
      </w:r>
    </w:p>
    <w:p>
      <w:pPr>
        <w:pStyle w:val="Normal"/>
        <w:widowControl/>
        <w:rPr/>
      </w:pPr>
      <w:r>
        <w:rPr/>
        <w:t>H-3. Class C — Validation-Triggered Transition. Used where the welfare concern is substantial but replacement technology, measurement, husbandry, or commercial-scale implementation remains materially uncertain. Candidate subjects include farrowing-system replacement, universal non-invasive identification replacing all penetrating tags, materially less-aversive alternatives to high-concentration carbon-dioxide pig stunning, replacement of conventional live-shackle water-bath poultry stunning, male-chick alternatives, maternal-contact systems, and detailed genetic-welfare thresholds.</w:t>
      </w:r>
    </w:p>
    <w:p>
      <w:pPr>
        <w:pStyle w:val="Normal"/>
        <w:widowControl/>
        <w:rPr/>
      </w:pPr>
      <w:r>
        <w:rPr/>
        <w:t>H-4. Class D — Pilot, Incentive, and Research. Candidate work includes non-invasive identification, humane-production sensors, alternative toxicology and testing, advanced animal-welfare outcome metrics, voluntary humane-production excellence programs, marine-mammal sanctuary feasibility, cetacean longitudinal clinical monitoring, and other technologies not yet suitable for mandatory continental deployment.</w:t>
      </w:r>
    </w:p>
    <w:p>
      <w:pPr>
        <w:pStyle w:val="Normal"/>
        <w:widowControl/>
        <w:rPr/>
      </w:pPr>
      <w:r>
        <w:rPr/>
        <w:t>H-5. Class E — Domestic or Future-Protocol Reserve. Detailed companion-animal regulation, classroom dissection, most local recreational-hunting rules, named sanctuary-site endorsements, detailed laboratory procedure rules, and other matters without a sufficient present trade or cross-border nexus remain outside the core treaty unless the Parties later decide otherwise.</w:t>
      </w:r>
    </w:p>
    <w:p>
      <w:pPr>
        <w:pStyle w:val="Normal"/>
        <w:widowControl/>
        <w:rPr/>
      </w:pPr>
      <w:r>
        <w:rPr/>
        <w:t>H-6. Reclassification. A Class B-D measure may move toward a stronger class only after credible evidence shows that the replacement is technically reliable, commercially available at relevant scale, economically manageable with available transition support, and does not create equal or greater serious welfare harm.</w:t>
      </w:r>
    </w:p>
    <w:p>
      <w:pPr>
        <w:pStyle w:val="Normal"/>
        <w:widowControl/>
        <w:rPr/>
      </w:pPr>
      <w:r>
        <w:rPr/>
        <w:t>H-7. Implementation Without New Bureaucracy. The Parties shall use the SPS Committee, existing agricultural and environmental cooperation mechanisms, Chapter 62 emergency architecture, Cothrom, competent domestic authorities, and existing technical rosters wherever those institutions can perform the function. Nothing in this Annex requires a new permanent animal-welfare secretariat or tribunal.</w:t>
      </w:r>
    </w:p>
    <w:p>
      <w:bookmarkStart w:id="3007" w:name="_NAESTMA_TOC_3007"/>
      <w:pPr>
        <w:pStyle w:val="Heading2"/>
        <w:keepNext/>
        <w:widowControl/>
        <w:rPr/>
      </w:pPr>
      <w:r>
        <w:rPr>
          <w:b/>
        </w:rPr>
        <w:t>PACKAGE CC — TRACEABILITY AND POLITICAL FIREWALL</w:t>
      </w:r>
      <w:bookmarkEnd w:id="3007"/>
    </w:p>
    <w:p>
      <w:pPr>
        <w:pStyle w:val="Normal"/>
        <w:widowControl/>
        <w:rPr/>
      </w:pPr>
      <w:r>
        <w:t>CC-T1. Integrated now: cross-cutting welfare floor, no downward harmonization, equivalency, non-discrimination, producer transition, small-producer protection, technology neutrality, no welfare substitution, necessary-use firewall, anti-circumvention, reporting protection, and records.</w:t>
      </w:r>
    </w:p>
    <w:p>
      <w:pPr>
        <w:pStyle w:val="Normal"/>
        <w:widowControl/>
        <w:rPr/>
      </w:pPr>
      <w:r>
        <w:t>CC-T2. Integrated now: outcome-based extreme-confinement, healthy-tissue, humane-handling, transport, stunning/insensibility, prolonged-suffering depopulation, and mass-depopulation review principles.</w:t>
      </w:r>
    </w:p>
    <w:p>
      <w:pPr>
        <w:pStyle w:val="Normal"/>
        <w:widowControl/>
        <w:rPr/>
      </w:pPr>
      <w:r>
        <w:t>CC-T3. Integrated now: rescue/transfer consideration, qualified-recipient test, written reasons, independent veterinary review, temporary protective custody, and life-preserving-care firewall.</w:t>
      </w:r>
    </w:p>
    <w:p>
      <w:pPr>
        <w:pStyle w:val="Normal"/>
        <w:widowControl/>
        <w:rPr/>
      </w:pPr>
      <w:r>
        <w:t>CC-T4. Integrated now: least-harm wildlife intervention, nuisance-status safeguard, relocation suitability, humane capture/transport, and voluntary sanctuary cooperation.</w:t>
      </w:r>
    </w:p>
    <w:p>
      <w:pPr>
        <w:pStyle w:val="Normal"/>
        <w:widowControl/>
        <w:rPr/>
      </w:pPr>
      <w:r>
        <w:t>CC-T5. Explicitly NOT adopted as binding operative mandates: a universal three-veterinarian unanimity rule; fixed maternal-contact duration; immediate universal bans on farrowing crates, all penetrating ear tags, carbon-dioxide pig stunning, or water-bath poultry stunning; named sanctuary sites; informal scoring concepts; captive-cetacean hydration causation claims; floating/subsea veterinary-facility specifications; detailed local hunting rules; classroom-dissection rules; or detailed laboratory animal-testing prescriptions.</w:t>
      </w:r>
    </w:p>
    <w:p>
      <w:pPr>
        <w:pStyle w:val="Normal"/>
        <w:widowControl/>
        <w:rPr/>
      </w:pPr>
      <w:r>
        <w:rPr/>
        <w:t>CC-T6. The excluded concepts remain available for future validation, domestic action, or a later protocol and are not rejected on the merits merely because they are not made binding here.</w:t>
      </w:r>
    </w:p>
    <w:p>
      <w:pPr>
        <w:pStyle w:val="Normal"/>
        <w:widowControl/>
        <w:rPr/>
      </w:pPr>
      <w:r>
        <w:rPr/>
        <w:t>CC-T7. Existing Chapter 9 animal-health and SPS rights, disease controls, equivalence, regionalization, emergency measures, and competent-authority powers remain intact.</w:t>
      </w:r>
    </w:p>
    <w:p>
      <w:pPr>
        <w:pStyle w:val="Normal"/>
        <w:widowControl/>
        <w:rPr/>
      </w:pPr>
      <w:r>
        <w:rPr/>
        <w:t>CC-T8. Existing stronger national and subnational animal-welfare rules remain intact.</w:t>
      </w:r>
    </w:p>
    <w:p>
      <w:pPr>
        <w:pStyle w:val="TrumpVisibilityHeadline"/>
        <w:widowControl/>
        <w:rPr/>
      </w:pPr>
      <w:r>
        <w:rPr>
          <w:b/>
        </w:rPr>
        <w:t xml:space="preserve">★ </w:t>
      </w:r>
      <w:r>
        <w:rPr>
          <w:b/>
        </w:rPr>
        <w:t>VISIBLE U.S. WIN: KEYSTONE NEXT — A REAL, MEASURABLE NORTH AMERICAN ENERGY-SECURITY PROJECT</w:t>
      </w:r>
    </w:p>
    <w:p>
      <w:pPr>
        <w:pStyle w:val="Normal"/>
        <w:widowControl/>
        <w:rPr/>
      </w:pPr>
      <w:r>
        <w:rPr>
          <w:b/>
        </w:rPr>
        <w:t>PACKAGE CD — OPTIONAL KEYSTONE NEXT NORTH AMERICAN ENERGY SECURITY MODULE</w:t>
      </w:r>
    </w:p>
    <w:p>
      <w:pPr>
        <w:pStyle w:val="Normal"/>
        <w:widowControl/>
        <w:rPr/>
      </w:pPr>
      <w:r>
        <w:rPr/>
        <w:t>CD-1. Optional Activation and Purpose. Canada and the United States may activate a Keystone Next North American Energy Security Partnership as a negotiated bargain under this Agreement. Its purpose is to deliver a tangible, commercially grounded successor to the energy-security objectives historically associated with Keystone XL without requiring reconstruction of the terminated Keystone XL route.</w:t>
      </w:r>
    </w:p>
    <w:p>
      <w:pPr>
        <w:pStyle w:val="Normal"/>
        <w:widowControl/>
        <w:rPr/>
      </w:pPr>
      <w:r>
        <w:rPr/>
        <w:t>CD-2. Headline Capacity Objective. Upon activation, the Parties shall pursue a package of qualifying infrastructure capable, when completed and combined with associated system improvements, of materially increasing or securing Canadian crude transportation capacity serving the North American refining system. The initial planning objective shall be aggregate transportation capacity approaching the approximately 830,000-barrel-per-day scale historically associated with Keystone XL, where supported by commercial demand. The objective may be achieved through multiple interconnected projects and does not constitute a compulsory production quota.</w:t>
      </w:r>
    </w:p>
    <w:p>
      <w:pPr>
        <w:pStyle w:val="Normal"/>
        <w:widowControl/>
        <w:rPr/>
      </w:pPr>
      <w:r>
        <w:rPr/>
        <w:t>CD-3. Tangible Infrastructure Package. The initial package shall include Prairie Connector-Bridger or a commercially viable successor; optimization or expansion opportunities within existing cross-border pipeline systems; reuse of suitable former Keystone XL pipe, facilities, disturbed corridors, engineering, or other assets where economically, technically, legally, and environmentally advantageous; and associated pumping, storage, terminal, interconnection, monitoring, safety, and emergency-response infrastructure.</w:t>
      </w:r>
    </w:p>
    <w:p>
      <w:pPr>
        <w:pStyle w:val="Normal"/>
        <w:widowControl/>
        <w:rPr/>
      </w:pPr>
      <w:r>
        <w:rPr/>
        <w:t>CD-4. Real Deliverables and Milestones. Within 180 days after activation, Canada and the United States shall identify an initial portfolio of qualifying projects, responsible entities, indicative capacity contributions, and principal regulatory and commercial milestones. Within 12 months after activation, the Parties shall publish an implementation roadmap and thereafter report annually on verified capacity enabled, secured, modernized, placed under construction, or brought into service. Milestones shall distinguish physical capacity from studies, options, or uncommitted proposals.</w:t>
      </w:r>
    </w:p>
    <w:p>
      <w:pPr>
        <w:pStyle w:val="Normal"/>
        <w:widowControl/>
        <w:rPr/>
      </w:pPr>
      <w:r>
        <w:rPr/>
        <w:t>CD-5. Priority but Lawful Canadian Treatment. Canada shall designate the activated package for priority federal coordination and timely lawful consideration. Priority treatment means coordinated sequencing, early identification of information requirements, avoidance of duplicative federal process where law permits, and published milestone management. It does not predetermine an approval, waive a legal requirement, or transfer provincial, Indigenous, or private authority.</w:t>
      </w:r>
    </w:p>
    <w:p>
      <w:pPr>
        <w:pStyle w:val="Normal"/>
        <w:widowControl/>
        <w:rPr/>
      </w:pPr>
      <w:r>
        <w:rPr/>
        <w:t>CD-6. Environmental Infrastructure Hierarchy. Project selection shall first consider optimization of existing infrastructure and already disturbed corridors; second, safe reuse or repurposing of suitable existing assets; third, limited new connections and expansions; and fourth, major greenfield construction where necessary to achieve the agreed objective. The hierarchy guides comparison but does not require use of an inferior, unsafe, uneconomic, or environmentally worse alternative.</w:t>
      </w:r>
    </w:p>
    <w:p>
      <w:pPr>
        <w:pStyle w:val="Normal"/>
        <w:widowControl/>
        <w:rPr/>
      </w:pPr>
      <w:r>
        <w:rPr/>
        <w:t>CD-7. Route and Water Protection. No route shall be preferred merely because it was historically associated with Keystone XL. Route selection shall seek to minimize aggregate impacts on drinking-water sources, major waterways, wetlands, fisheries, wildlife habitat, culturally significant areas, communities, and sensitive landscapes while maintaining technically and commercially credible energy service. Avoidable material risk to major drinking-water sources or exceptionally sensitive water bodies shall receive particular weight.</w:t>
      </w:r>
    </w:p>
    <w:p>
      <w:pPr>
        <w:pStyle w:val="Normal"/>
        <w:widowControl/>
        <w:rPr/>
      </w:pPr>
      <w:r>
        <w:rPr/>
        <w:t>CD-8. Modern Pipeline Safety Standard. Qualifying new or materially modernized infrastructure shall use best-available practical integrity and safety measures appropriate to the project, which may include dense leak detection, distributed sensing, sectional isolation, rapid shutdown, corrosion and fracture monitoring, independent integrity testing, water-crossing protection, pre-positioned spill response, restoration bonding, and transparent incident reporting.</w:t>
      </w:r>
    </w:p>
    <w:p>
      <w:pPr>
        <w:pStyle w:val="Normal"/>
        <w:widowControl/>
        <w:rPr/>
      </w:pPr>
      <w:r>
        <w:rPr/>
        <w:t>CD-9. Climate and Operational Efficiency. The Parties shall encourage efficient pumping, electrification where technically and economically suitable, lower-emission construction and operations, methane and associated-facility controls where applicable, lifecycle performance reporting, and other measures that reduce the operational environmental footprint without converting this Module into a compulsory production cap or a disguised restriction on lawful energy trade.</w:t>
      </w:r>
    </w:p>
    <w:p>
      <w:pPr>
        <w:pStyle w:val="Normal"/>
        <w:widowControl/>
        <w:rPr/>
      </w:pPr>
      <w:r>
        <w:rPr/>
        <w:t>CD-10. Indigenous Rights and Economic Participation. Nothing in this Module diminishes Aboriginal, Indigenous, constitutional, treaty, consultation, accommodation, title, or self-government rights or obligations. Qualifying projects should create meaningful opportunities, where desired by affected Indigenous communities, for equity participation, revenue participation, procurement, employment, training, environmental monitoring, emergency preparedness, and stewardship.</w:t>
      </w:r>
    </w:p>
    <w:p>
      <w:pPr>
        <w:pStyle w:val="Normal"/>
        <w:widowControl/>
        <w:rPr/>
      </w:pPr>
      <w:r>
        <w:rPr/>
        <w:t>CD-11. Commercial Viability and No Compulsory Extraction. Nothing requires Canada, a province, an Indigenous government, a Crown corporation, a private producer, pipeline operator, shipper, or investor to finance, construct, ship through, or guarantee an uneconomic project. Nothing establishes a mandatory oil-sands production level, compulsory extraction obligation, below-market supply commitment, or guaranteed private rate of return.</w:t>
      </w:r>
    </w:p>
    <w:p>
      <w:pPr>
        <w:pStyle w:val="Normal"/>
        <w:widowControl/>
        <w:rPr/>
      </w:pPr>
      <w:r>
        <w:rPr/>
        <w:t>CD-12. Advanced Pipeline Technology and Demonstration Track. The Parties shall encourage development, testing, validation, and, where proven safe and commercially appropriate, deployment of advanced pipeline and energy-transport technologies that improve safety, environmental performance, reliability, repairability, construction efficiency, monitoring, or lifecycle cost.</w:t>
      </w:r>
    </w:p>
    <w:p>
      <w:pPr>
        <w:pStyle w:val="Normal"/>
        <w:widowControl/>
        <w:rPr/>
      </w:pPr>
      <w:r>
        <w:rPr/>
        <w:t>CD-13. Eligible Advanced Technologies. Eligible work may include advanced pipe materials and liners; next-generation coatings; modular or replaceable sections; improved corrosion and fracture resistance; distributed fibre-optic, acoustic, chemical, pressure, or other sensing; continuous leak detection; autonomous inspection; robotic maintenance and repair; advanced isolation and shutdown; lower-disturbance construction; improved water crossings; efficient or electrified pumping; digital twins; predictive maintenance; and other emerging technologies.</w:t>
      </w:r>
    </w:p>
    <w:p>
      <w:pPr>
        <w:pStyle w:val="Normal"/>
        <w:widowControl/>
        <w:rPr/>
      </w:pPr>
      <w:r>
        <w:rPr/>
        <w:t>CD-14. Validation Ladder and Regulatory Sandbox. Canada may support laboratories, controlled demonstration corridors, test facilities, regulatory sandboxes, and limited field pilots. Experimental technology shall progress according to demonstrated risk from modelling and laboratory validation through destructive and failure testing, controlled demonstration, limited operational deployment, independent certification where applicable, monitored scale-up, and commercial eligibility. Participation in a pilot creates no presumption of certification, procurement, or regulatory approval.</w:t>
      </w:r>
    </w:p>
    <w:p>
      <w:pPr>
        <w:pStyle w:val="Normal"/>
        <w:widowControl/>
        <w:rPr/>
      </w:pPr>
      <w:r>
        <w:rPr/>
        <w:t>CD-15. Technology Neutrality. Nothing requires conventional steel pipeline construction where another independently validated technology provides equal or superior integrity, safety, environmental protection, capacity, and lifecycle performance. Regulators may recognize demonstrated performance advantages when comparing otherwise viable alternatives.</w:t>
      </w:r>
    </w:p>
    <w:p>
      <w:pPr>
        <w:pStyle w:val="Normal"/>
        <w:widowControl/>
        <w:rPr/>
      </w:pPr>
      <w:r>
        <w:rPr/>
        <w:t>CD-16. Keystone Next Energy Infrastructure Skills and Trades Initiative. Canada shall support education, apprenticeship, skilled-trades, technical-training, professional-development, and work-integrated-learning pathways relevant to construction, operation, inspection, maintenance, modernization, environmental management, emergency response, and technological advancement of energy infrastructure.</w:t>
      </w:r>
    </w:p>
    <w:p>
      <w:pPr>
        <w:pStyle w:val="Normal"/>
        <w:widowControl/>
        <w:rPr/>
      </w:pPr>
      <w:r>
        <w:rPr/>
        <w:t>CD-17. Skills Scope. Training may include welding and advanced joining; metallurgy and materials; corrosion control; non-destructive testing; instrumentation and industrial controls; fibre-optic and distributed sensing; robotics and autonomous inspection; civil and geotechnical work; pumping systems; cybersecurity; digital twins and predictive maintenance; environmental monitoring and remediation; spill and emergency response; water protection; and other emerging infrastructure skills.</w:t>
      </w:r>
    </w:p>
    <w:p>
      <w:pPr>
        <w:pStyle w:val="Normal"/>
        <w:widowControl/>
        <w:rPr/>
      </w:pPr>
      <w:r>
        <w:rPr/>
        <w:t>CD-18. Training Partnerships and Portability. Canada shall encourage partnerships among colleges, polytechnics, universities, apprenticeship systems, Indigenous training organizations, labour organizations, industry, regulators, and research institutions. The Parties should facilitate recognition and portability of equivalent qualifications, certifications, apprenticeships, and professional competencies while preserving legitimate licensing and safety requirements.</w:t>
      </w:r>
    </w:p>
    <w:p>
      <w:pPr>
        <w:pStyle w:val="Normal"/>
        <w:widowControl/>
        <w:rPr/>
      </w:pPr>
      <w:r>
        <w:rPr/>
        <w:t>CD-19. Durable Workforce Value. Programs should prioritize paid apprenticeships, retraining of experienced energy workers, Indigenous training and employment, and pathways from trades into inspection, supervision, engineering technology, safety, and specialized technical occupations. Training should remain useful across energy, utilities, manufacturing, construction, environmental remediation, and critical infrastructure and shall not depend upon construction of any single Keystone Next project.</w:t>
      </w:r>
    </w:p>
    <w:p>
      <w:pPr>
        <w:pStyle w:val="Normal"/>
        <w:widowControl/>
        <w:rPr/>
      </w:pPr>
      <w:r>
        <w:rPr/>
        <w:t>CD-20. Technology-to-Workforce Link. A qualifying advanced-technology demonstration should, where practicable, include a corresponding training component so that technical validation is accompanied by development of the technicians, tradespeople, inspectors, engineers, operators, environmental personnel, and emergency responders required for safe deployment.</w:t>
      </w:r>
    </w:p>
    <w:p>
      <w:pPr>
        <w:pStyle w:val="Normal"/>
        <w:widowControl/>
        <w:rPr/>
      </w:pPr>
      <w:r>
        <w:rPr/>
        <w:t>CD-21. Strategic Minerals Linkage Without Double Counting. The Parties recognize that Keystone Next may complement the Strategic Minerals Access Framework, processing and refining initiatives, recycling and by-product recovery, stockpile cooperation, trusted external feedstock provisions, and minerals-for-forestry architecture elsewhere in this Agreement. A Canadian minerals concession already paired with another United States obligation shall not be treated as newly furnished consideration for activation of this Module unless Canada expressly agrees otherwise.</w:t>
      </w:r>
    </w:p>
    <w:p>
      <w:pPr>
        <w:pStyle w:val="Normal"/>
        <w:widowControl/>
        <w:rPr/>
      </w:pPr>
      <w:r>
        <w:rPr/>
        <w:t>CD-22. North American Industrial Participation. Qualifying projects may support North American manufacturing of pipe, pumps, valves, sensors, controls, robotics, safety equipment, construction machinery, and other infrastructure inputs, subject to the Agreement's origin, procurement, competition, and anti-circumvention rules. This provision does not create a single-Party domestic-content mandate unless expressly activated as a separately priced bargain.</w:t>
      </w:r>
    </w:p>
    <w:p>
      <w:pPr>
        <w:pStyle w:val="Normal"/>
        <w:widowControl/>
        <w:rPr/>
      </w:pPr>
      <w:r>
        <w:rPr/>
        <w:t>CD-23. Reciprocal United States Consideration. Activation shall identify specific, measurable, and durable United States consideration commensurate with the Canadian commitments activated. Consideration may include removal or neutralization of specified extraordinary tariffs; durable automotive, steel, aluminum, forestry, energy, procurement, or market-access treatment; cross-border permit commitments within lawful authority; or other negotiated benefits. A promise merely to study tariff relief does not constitute principal consideration.</w:t>
      </w:r>
    </w:p>
    <w:p>
      <w:pPr>
        <w:pStyle w:val="Normal"/>
        <w:widowControl/>
        <w:rPr/>
      </w:pPr>
      <w:r>
        <w:rPr/>
        <w:t>CD-24. No Uncompensated Front-Loading. Preliminary studies, consultation, training design, technology research, and regulatory coordination may begin before full reciprocal performance. Principal irreversible Canadian commitments, including major construction-specific governmental obligations or extraordinary financial exposure, shall activate together with the corresponding United States benefit. Material failure of paired performance triggers verification, a short cure period, proportional pause or step-back of the paired obligation, and automatic restoration when performance resumes through the existing Cothrom architecture.</w:t>
      </w:r>
    </w:p>
    <w:p>
      <w:pPr>
        <w:pStyle w:val="Normal"/>
        <w:widowControl/>
        <w:rPr/>
      </w:pPr>
      <w:r>
        <w:rPr/>
        <w:t>CD-25. No Tariff Recreation. Where the United States removes a specified extraordinary tariff as consideration, it shall not principally recreate the resolved burden through nominal reclassification, substantially equivalent emergency action, or another measure whose predominant purpose is circumvention. Ordinary good-faith trade-remedy administration remains available subject to this Agreement.</w:t>
      </w:r>
    </w:p>
    <w:p>
      <w:pPr>
        <w:pStyle w:val="Normal"/>
        <w:widowControl/>
        <w:rPr/>
      </w:pPr>
      <w:r>
        <w:rPr/>
        <w:t>CD-26. Public Launch. Upon activation, the Parties may publicly launch Keystone Next at leader or ministerial level and identify the selected infrastructure, capacity objective, workforce program, technology track, environmental and safety standards, and reciprocal trade settlement. Public communications shall distinguish Keystone Next from revival of the terminated Keystone XL route while recognizing its role as a modern successor to the underlying continental energy-security objective.</w:t>
      </w:r>
    </w:p>
    <w:p>
      <w:pPr>
        <w:pStyle w:val="Normal"/>
        <w:widowControl/>
        <w:rPr/>
      </w:pPr>
      <w:r>
        <w:rPr/>
        <w:t>CD-27. Trilateral Complementarity. Mexico may participate in advanced-energy technology, skills, manufacturing, research, safety, and professional-mobility elements where mutually agreed. Nothing implies that Mexico is geographically part of the Canada-United States pipeline corridor or obliges Mexico to finance it.</w:t>
      </w:r>
    </w:p>
    <w:p>
      <w:pPr>
        <w:pStyle w:val="Normal"/>
        <w:widowControl/>
        <w:rPr/>
      </w:pPr>
      <w:r>
        <w:rPr/>
        <w:t>CD-28. Governing Bargain. Keystone Next is intended to be both symbolic and real: a visible North American energy-security commitment supported by measurable infrastructure, capacity, workforce, technology, safety, and environmental outcomes. It shall not be reduced to a committee-only undertaking, nor shall its political visibility be used to compel commercially unjustified construction, compulsory extraction, surrender of Canadian sovereignty, or waiver of lawful environmental or Indigenous protections.</w:t>
      </w:r>
    </w:p>
    <w:p>
      <w:pPr>
        <w:pStyle w:val="Normal"/>
        <w:rPr/>
      </w:pPr>
      <w:r>
        <w:rPr/>
      </w:r>
    </w:p>
    <w:p>
      <w:pPr>
        <w:pStyle w:val="TrumpVisibilityHeadline"/>
        <w:widowControl/>
        <w:rPr/>
      </w:pPr>
      <w:r>
        <w:rPr>
          <w:b/>
        </w:rPr>
        <w:t xml:space="preserve">★ </w:t>
      </w:r>
      <w:r>
        <w:rPr>
          <w:b/>
        </w:rPr>
        <w:t>VISIBLE U.S. WIN: FENTANYL FIRST — TOUGHER BORDER SECURITY, MORE CANINE TEAMS, FASTER LEGITIMATE TRADE</w:t>
      </w:r>
    </w:p>
    <w:p>
      <w:bookmarkStart w:id="3008" w:name="_NAESTMA_TOC_3008"/>
      <w:pPr>
        <w:pStyle w:val="Heading1"/>
        <w:keepNext/>
        <w:pageBreakBefore/>
        <w:widowControl/>
        <w:rPr/>
      </w:pPr>
      <w:r>
        <w:rPr/>
        <w:t>PACKAGE CE — FENTANYL AND HIGH-RISK CONTRABAND INTERDICTION / TRUSTED FREIGHT GATEWAY</w:t>
      </w:r>
      <w:bookmarkEnd w:id="3008"/>
    </w:p>
    <w:p>
      <w:pPr>
        <w:pStyle w:val="Normal"/>
        <w:widowControl/>
        <w:rPr/>
      </w:pPr>
      <w:r>
        <w:rPr>
          <w:b/>
        </w:rPr>
        <w:t xml:space="preserve">CE-1. Fentanyl Priority. </w:t>
      </w:r>
      <w:r>
        <w:rPr/>
        <w:t>The Parties recognize illicit fentanyl, fentanyl analogues, synthetic opioids, and their precursor chemicals as priority cross-border threats. Canada and the United States shall strengthen targeted interdiction at major land crossings, beginning with the Windsor-Detroit commercial corridor and the Gordie Howe International Bridge, while preserving expedited movement for lawful and trusted commerce.</w:t>
      </w:r>
    </w:p>
    <w:p>
      <w:pPr>
        <w:pStyle w:val="Normal"/>
        <w:widowControl/>
        <w:rPr/>
      </w:pPr>
      <w:r>
        <w:rPr>
          <w:b/>
        </w:rPr>
        <w:t xml:space="preserve">CE-2. Visible Canadian Performance. </w:t>
      </w:r>
      <w:r>
        <w:rPr/>
        <w:t>New Canadian canine teams, scanners, inspection technology, trained personnel, facilities, intelligence capabilities, and other verified interdiction resources deployed pursuant to this Package constitute Canadian performance for purposes of any paired bargain. Existing resources or commitments shall not be silently recharacterized as newly furnished consideration.</w:t>
      </w:r>
    </w:p>
    <w:p>
      <w:pPr>
        <w:pStyle w:val="Normal"/>
        <w:widowControl/>
        <w:rPr/>
      </w:pPr>
      <w:r>
        <w:rPr>
          <w:b/>
        </w:rPr>
        <w:t xml:space="preserve">CE-3. Fentanyl-Detection Canine Teams. </w:t>
      </w:r>
      <w:r>
        <w:rPr/>
        <w:t>Canada shall expand trained canine detection capacity for targeted secondary inspection of vehicles, commercial cargo, and other conveyances identified for inspection through lawful risk assessment, intelligence, non-intrusive inspection, random secondary selection, or other authorized customs procedures. Fentanyl detection shall be a priority capability without preventing training or deployment against other synthetic drugs, firearms, illicit currency, explosives where lawfully authorized, or other contraband.</w:t>
      </w:r>
    </w:p>
    <w:p>
      <w:pPr>
        <w:pStyle w:val="Normal"/>
        <w:widowControl/>
        <w:rPr/>
      </w:pPr>
      <w:r>
        <w:rPr>
          <w:b/>
        </w:rPr>
        <w:t xml:space="preserve">CE-4. Risk-Flagged Vehicle Inspection. </w:t>
      </w:r>
      <w:r>
        <w:rPr/>
        <w:t>Canine inspection should ordinarily supplement an authorized referral or secondary-inspection process rather than operate as a universal inspection requirement. Nothing prevents lawful random secondary selection. The objective is to concentrate inspection resources on suspicious or higher-risk movements while reducing unnecessary delay for legitimate traffic.</w:t>
      </w:r>
    </w:p>
    <w:p>
      <w:pPr>
        <w:pStyle w:val="Normal"/>
        <w:widowControl/>
        <w:rPr/>
      </w:pPr>
      <w:r>
        <w:rPr>
          <w:b/>
        </w:rPr>
        <w:t xml:space="preserve">CE-5. Handler and Evidentiary Safeguards. </w:t>
      </w:r>
      <w:r>
        <w:rPr/>
        <w:t>A canine indication is an operational detection signal to be assessed by trained officers under applicable law. Canine performance shall not displace legal requirements governing search, seizure, detention, evidence, or enforcement decisions.</w:t>
      </w:r>
    </w:p>
    <w:p>
      <w:pPr>
        <w:pStyle w:val="Normal"/>
        <w:widowControl/>
        <w:rPr/>
      </w:pPr>
      <w:r>
        <w:rPr>
          <w:b/>
        </w:rPr>
        <w:t xml:space="preserve">CE-6. Working-Dog Welfare and Safety. </w:t>
      </w:r>
      <w:r>
        <w:rPr/>
        <w:t>Each Party shall maintain appropriate veterinary care, handler training, exposure protocols, heat and cold protections, rest and rotation standards, protective equipment where appropriate, emergency treatment capability, and humane retirement or placement practices for working dogs used under this Package.</w:t>
      </w:r>
    </w:p>
    <w:p>
      <w:pPr>
        <w:pStyle w:val="Normal"/>
        <w:widowControl/>
        <w:rPr/>
      </w:pPr>
      <w:r>
        <w:rPr>
          <w:b/>
        </w:rPr>
        <w:t xml:space="preserve">CE-7. Non-Intrusive Inspection Expansion. </w:t>
      </w:r>
      <w:r>
        <w:rPr/>
        <w:t>The Parties should expand or modernize vehicle and cargo imaging, radiation detection, seal and container integrity tools, anomaly detection, and other validated non-intrusive inspection technologies at high-volume commercial crossings, with trained human review for consequential enforcement decisions.</w:t>
      </w:r>
    </w:p>
    <w:p>
      <w:pPr>
        <w:pStyle w:val="Normal"/>
        <w:widowControl/>
        <w:rPr/>
      </w:pPr>
      <w:r>
        <w:rPr>
          <w:b/>
        </w:rPr>
        <w:t xml:space="preserve">CE-8. Precursor and Supply-Chain Targeting. </w:t>
      </w:r>
      <w:r>
        <w:rPr/>
        <w:t>Cooperation may include lawful identification and interdiction of fentanyl precursor chemicals, pill-press and concealment equipment, trafficking logistics, suspicious commercial routing, and other material inputs demonstrably connected to illicit synthetic-drug production or distribution.</w:t>
      </w:r>
    </w:p>
    <w:p>
      <w:pPr>
        <w:pStyle w:val="Normal"/>
        <w:widowControl/>
        <w:rPr/>
      </w:pPr>
      <w:r>
        <w:rPr>
          <w:b/>
        </w:rPr>
        <w:t xml:space="preserve">CE-9. Organized-Smuggling Networks. </w:t>
      </w:r>
      <w:r>
        <w:rPr/>
        <w:t>Competent authorities may strengthen lawful intelligence exchange and operational coordination concerning repeat trafficking organizations, firearms smuggling, illicit currency movement, stolen vehicles, human trafficking, and other serious cross-border contraband networks, subject to domestic law and applicable privacy, evidence, and due-process safeguards.</w:t>
      </w:r>
    </w:p>
    <w:p>
      <w:pPr>
        <w:pStyle w:val="Normal"/>
        <w:widowControl/>
        <w:rPr/>
      </w:pPr>
      <w:r>
        <w:rPr>
          <w:b/>
        </w:rPr>
        <w:t xml:space="preserve">CE-10. Postal, Parcel and Express Freight. </w:t>
      </w:r>
      <w:r>
        <w:rPr/>
        <w:t>Where operationally relevant, competent authorities should improve risk-based targeting of postal, parcel, courier, and express-freight channels used for illicit fentanyl, synthetic drugs, precursor chemicals, or other high-risk contraband without imposing indiscriminate inspection on ordinary low-risk commerce.</w:t>
      </w:r>
    </w:p>
    <w:p>
      <w:pPr>
        <w:pStyle w:val="Normal"/>
        <w:widowControl/>
        <w:rPr/>
      </w:pPr>
      <w:r>
        <w:rPr>
          <w:b/>
        </w:rPr>
        <w:t xml:space="preserve">CE-11. Trusted Freight Dividend. </w:t>
      </w:r>
      <w:r>
        <w:rPr/>
        <w:t>Enhanced security shall be paired with faster treatment of demonstrably low-risk lawful freight. The Parties should use advance commercial data, pre-arrival risk assessment, trusted-trader programs, interoperable manifests, appointment and queue management, and dedicated or priority processing where operationally justified.</w:t>
      </w:r>
    </w:p>
    <w:p>
      <w:pPr>
        <w:pStyle w:val="Normal"/>
        <w:widowControl/>
        <w:rPr/>
      </w:pPr>
      <w:r>
        <w:rPr>
          <w:b/>
        </w:rPr>
        <w:t xml:space="preserve">CE-12. Gordie Howe Flagship Pilot. </w:t>
      </w:r>
      <w:r>
        <w:rPr/>
        <w:t>The Gordie Howe International Bridge shall be eligible to serve as a flagship demonstration crossing for the combined model of stronger fentanyl and contraband interdiction, expanded canine and non-intrusive inspection capability, and expedited trusted freight. Validated practices may be extended to other high-volume crossings without requiring amendment of this Agreement.</w:t>
      </w:r>
    </w:p>
    <w:p>
      <w:pPr>
        <w:pStyle w:val="Normal"/>
        <w:widowControl/>
        <w:rPr/>
      </w:pPr>
      <w:r>
        <w:rPr>
          <w:b/>
        </w:rPr>
        <w:t xml:space="preserve">CE-13. Performance Dashboard. </w:t>
      </w:r>
      <w:r>
        <w:rPr/>
        <w:t>Competent authorities should publish periodic non-sensitive aggregate measures sufficient to demonstrate performance, which may include fentanyl and other contraband seizures, high-risk inspections, trusted shipments expedited, average commercial processing times, inspection-system uptime, canine deployments and validated detections. Reporting shall not disclose intelligence, targeting thresholds, vulnerabilities, or operational information useful to traffickers.</w:t>
      </w:r>
    </w:p>
    <w:p>
      <w:pPr>
        <w:pStyle w:val="Normal"/>
        <w:widowControl/>
        <w:rPr/>
      </w:pPr>
      <w:r>
        <w:rPr>
          <w:b/>
        </w:rPr>
        <w:t xml:space="preserve">CE-14. Data Minimization and Auditability. </w:t>
      </w:r>
      <w:r>
        <w:rPr/>
        <w:t>Information collected under this Package shall be limited to lawful border, customs, security, and enforcement purposes; protected by appropriate access controls and audit logs; retained no longer than authorized or operationally justified; and subject to applicable privacy, civil-liberties, cybersecurity, and redress requirements.</w:t>
      </w:r>
    </w:p>
    <w:p>
      <w:pPr>
        <w:pStyle w:val="Normal"/>
        <w:widowControl/>
        <w:rPr/>
      </w:pPr>
      <w:r>
        <w:rPr>
          <w:b/>
        </w:rPr>
        <w:t xml:space="preserve">CE-15. No Generalized Immigration Dragnet. </w:t>
      </w:r>
      <w:r>
        <w:rPr/>
        <w:t>Freight and contraband authorities created or strengthened under this Package shall not by themselves create a new general immigration-policing authority, diminish asylum or humanitarian protections, or authorize indiscriminate surveillance of lawful travelers.</w:t>
      </w:r>
    </w:p>
    <w:p>
      <w:pPr>
        <w:pStyle w:val="Normal"/>
        <w:widowControl/>
        <w:rPr/>
      </w:pPr>
      <w:r>
        <w:rPr>
          <w:b/>
        </w:rPr>
        <w:t xml:space="preserve">CE-16. No Fentanyl Tariff Shortcut. </w:t>
      </w:r>
      <w:r>
        <w:rPr/>
        <w:t>The existence of illicit fentanyl trafficking, a change in seizure volume, or dissatisfaction with a Party's border-security performance does not by itself authorize an extraordinary tariff or covered border measure against unrelated originating goods. Trade measures remain governed by the disciplines, nexus requirements, verification, cure, proportionality, and review provisions of this Agreement.</w:t>
      </w:r>
    </w:p>
    <w:p>
      <w:pPr>
        <w:pStyle w:val="Normal"/>
        <w:widowControl/>
        <w:rPr/>
      </w:pPr>
      <w:r>
        <w:rPr>
          <w:b/>
        </w:rPr>
        <w:t xml:space="preserve">CE-17. Continuous Modernization. </w:t>
      </w:r>
      <w:r>
        <w:rPr/>
        <w:t>Competent authorities may replace or supplement scanners, sensors, canine methods, analytics, inspection tools, and other operational technologies as threats and validated capabilities evolve, without requiring treaty amendment, provided legal, privacy, safety, procurement, and evidentiary requirements remain satisfied.</w:t>
      </w:r>
    </w:p>
    <w:p>
      <w:pPr>
        <w:pStyle w:val="Normal"/>
        <w:widowControl/>
        <w:rPr/>
      </w:pPr>
      <w:r>
        <w:rPr>
          <w:b/>
        </w:rPr>
        <w:t xml:space="preserve">CE-18. Existing Institutions. </w:t>
      </w:r>
      <w:r>
        <w:rPr/>
        <w:t>Implementation shall use existing customs, border, law-enforcement, Commission, Secretariat, and Cothrom structures to the maximum extent practicable. This Package does not require creation of a new permanent supranational border-security bureaucracy.</w:t>
      </w:r>
    </w:p>
    <w:p>
      <w:pPr>
        <w:pStyle w:val="Normal"/>
        <w:widowControl/>
        <w:rPr/>
      </w:pPr>
      <w:r>
        <w:rPr>
          <w:b/>
        </w:rPr>
        <w:t xml:space="preserve">CE-19. No Uncompensated Front-Loading. </w:t>
      </w:r>
      <w:r>
        <w:rPr/>
        <w:t>Where additional Canadian performance under this Package is expressly paired with a United States trade or market-access concession, the paired benefits shall activate together where practicable. Delayed or failed paired performance shall trigger verification, a short cure period where appropriate, proportional pause or step-back of the paired obligation, and automatic restoration when performance resumes.</w:t>
      </w:r>
    </w:p>
    <w:p>
      <w:pPr>
        <w:pStyle w:val="Normal"/>
        <w:widowControl/>
        <w:rPr/>
      </w:pPr>
      <w:r>
        <w:rPr>
          <w:b/>
        </w:rPr>
        <w:t xml:space="preserve">CE-20. Governing Principle. </w:t>
      </w:r>
      <w:r>
        <w:rPr/>
        <w:t>The Parties intend a border that is harder for fentanyl traffickers and other serious smugglers to penetrate and faster for legitimate North American workers, travelers, manufacturers, and freight to use. Security performance shall be real, measurable, lawful, and compatible with the dignity and rights protections elsewhere in this Agreement.</w:t>
      </w:r>
    </w:p>
    <w:p>
      <w:pPr>
        <w:pStyle w:val="Normal"/>
        <w:rPr/>
      </w:pPr>
      <w:r>
        <w:rPr/>
      </w:r>
    </w:p>
    <w:p>
      <w:pPr>
        <w:pStyle w:val="Normal"/>
        <w:widowControl/>
        <w:rPr/>
      </w:pPr>
      <w:r>
        <w:rPr>
          <w:b/>
        </w:rPr>
        <w:t xml:space="preserve">★ </w:t>
      </w:r>
      <w:r>
        <w:rPr>
          <w:b/>
        </w:rPr>
        <w:t>VISIBLE CROSS-BORDER WIN: GORDIE HOWE BENEFITS BOTH SIDES — KEEP THE TOLL RIGHTS, REINVEST IN A FASTER DETROIT–WINDSOR CORRIDOR</w:t>
      </w:r>
    </w:p>
    <w:p>
      <w:pPr>
        <w:pStyle w:val="Normal"/>
        <w:widowControl/>
        <w:rPr/>
      </w:pPr>
      <w:r>
        <w:rPr>
          <w:b/>
        </w:rPr>
        <w:t>PACKAGE CG — DETROIT–WINDSOR INTERNATIONAL CROSSING BENEFIT AND REINVESTMENT FRAMEWORK</w:t>
      </w:r>
    </w:p>
    <w:p>
      <w:pPr>
        <w:pStyle w:val="Normal"/>
        <w:widowControl/>
        <w:rPr/>
      </w:pPr>
      <w:r>
        <w:rPr/>
        <w:t>CG-1. Purpose and Relationship to Existing Bridge Governance. Canada and the United States recognize the Gordie Howe International Bridge and the broader Detroit–Windsor corridor as strategic North American trade infrastructure. This Framework creates an optional mechanism for mutually beneficial corridor reinvestment without reopening, transferring, or prejudicing existing ownership, financing, tolling, governance, concession, contractual, or legal arrangements governing the bridge.</w:t>
      </w:r>
    </w:p>
    <w:p>
      <w:pPr>
        <w:pStyle w:val="Normal"/>
        <w:widowControl/>
        <w:rPr/>
      </w:pPr>
      <w:r>
        <w:rPr/>
        <w:t>CG-2. No Transfer of Toll Ownership or Revenue Entitlement. Nothing in this Agreement grants the United States, Michigan, Detroit, any United States agency, or any other person an ownership interest, lien, entitlement, revenue share, repayment claim, or other proprietary right in Canadian or bridge-authority toll revenues. Nothing retroactively characterizes the United States as having financed a share of the bridge or creates a debt arising from its construction or operation.</w:t>
      </w:r>
    </w:p>
    <w:p>
      <w:pPr>
        <w:pStyle w:val="Normal"/>
        <w:widowControl/>
        <w:rPr/>
      </w:pPr>
      <w:r>
        <w:rPr/>
        <w:t>CG-3. Optional Corridor Reinvestment. The competent Canadian, United States, bridge, provincial, state, municipal, customs, transportation, or other authorities may, where lawful and mutually agreed, designate bridge-generated revenues, corridor-related revenues, fees, commercial proceeds, appropriations, grants, or equivalent public funding for eligible Detroit–Windsor corridor improvements. No Party is required to dedicate a fixed percentage of toll revenue, and equivalent appropriations may be used instead of toll-derived funds.</w:t>
      </w:r>
    </w:p>
    <w:p>
      <w:pPr>
        <w:pStyle w:val="Normal"/>
        <w:widowControl/>
        <w:rPr/>
      </w:pPr>
      <w:r>
        <w:rPr/>
        <w:t>CG-4. Eligible Benefits. Eligible improvements may include United States- or Canada-side customs and inspection facilities; trusted-freight and pre-arrival processing infrastructure; intelligent transportation systems; traffic, queue and appointment management; approach roads and interchanges; commercial staging and logistics facilities; border-security technology; pedestrian, worker or emergency-access improvements where applicable; community-impact mitigation; environmental improvements; and mutually agreed economic-development infrastructure serving the crossing and surrounding communities.</w:t>
      </w:r>
    </w:p>
    <w:p>
      <w:pPr>
        <w:pStyle w:val="Normal"/>
        <w:widowControl/>
        <w:rPr/>
      </w:pPr>
      <w:r>
        <w:rPr/>
        <w:t>CG-5. Benefit Without Ownership. A United States-side or Michigan-side improvement financed, supported, accelerated, or enabled through this Framework constitutes a visible cross-border infrastructure benefit but does not create an ownership, governance, toll-setting, repayment, or revenue entitlement in the bridge. A Canadian-side benefit likewise creates no corresponding United States obligation except where expressly paired by agreement.</w:t>
      </w:r>
    </w:p>
    <w:p>
      <w:pPr>
        <w:pStyle w:val="Normal"/>
        <w:widowControl/>
        <w:rPr/>
      </w:pPr>
      <w:r>
        <w:rPr/>
        <w:t>CG-6. Integration With Trusted Freight and Reciprocal Procurement. Projects under this Framework should, where appropriate, reinforce Package CE trusted-freight objectives and Chapter 65 reciprocal procurement opportunities. A procurement opening remains a right to compete rather than a guaranteed award, and an improvement counted under this Framework shall not be counted again as new consideration under another package unless the additional value is genuinely distinct and separately verified.</w:t>
      </w:r>
    </w:p>
    <w:p>
      <w:pPr>
        <w:pStyle w:val="Normal"/>
        <w:widowControl/>
        <w:rPr/>
      </w:pPr>
      <w:r>
        <w:rPr/>
        <w:t>CG-7. Community and Corridor Additionality. Reinvestment should prioritize improvements that measurably reduce congestion, improve commercial reliability, strengthen inspection capacity, mitigate local traffic or environmental burdens, improve emergency resilience, or expand durable economic opportunity in the Detroit–Windsor corridor. Ordinary maintenance or previously committed expenditure may be recognized as baseline activity but shall not be represented as new agreement-attributable consideration.</w:t>
      </w:r>
    </w:p>
    <w:p>
      <w:pPr>
        <w:pStyle w:val="Normal"/>
        <w:widowControl/>
        <w:rPr/>
      </w:pPr>
      <w:r>
        <w:rPr/>
        <w:t>CG-8. Verification, No Double Counting, and Governing Bargain. Any claimed benefit shall identify the funding source, responsible authority, project status, geographic beneficiary, incremental value, and relationship to existing commitments. The same dollar or project benefit shall not be counted twice in Chapter 64, Chapter 65, Package CE, or another visible-win package. The governing bargain is benefit-sharing without ownership transfer: Canada retains lawful toll and bridge rights; the United States and Michigan may receive tangible corridor improvements where mutually agreed; and both sides gain a faster, safer, more commercially useful international crossing.</w:t>
      </w:r>
    </w:p>
    <w:p>
      <w:pPr>
        <w:pStyle w:val="Normal"/>
        <w:rPr/>
      </w:pPr>
      <w:r>
        <w:rPr/>
      </w:r>
    </w:p>
    <w:p>
      <w:pPr>
        <w:pStyle w:val="TrumpVisibilityHeadline"/>
        <w:widowControl/>
        <w:rPr/>
      </w:pPr>
      <w:r>
        <w:rPr>
          <w:b/>
        </w:rPr>
        <w:t xml:space="preserve">★ </w:t>
      </w:r>
      <w:r>
        <w:rPr>
          <w:b/>
        </w:rPr>
        <w:t>NEGOTIATOR VISIBILITY INDEX — TANGIBLE UNITED STATES WINS ALREADY EMBEDDED IN NAESTMA</w:t>
      </w:r>
    </w:p>
    <w:p>
      <w:pPr>
        <w:pStyle w:val="Normal"/>
        <w:widowControl/>
        <w:rPr/>
      </w:pPr>
      <w:r>
        <w:rPr/>
        <w:t>This non-operative index is provided for rapid political and negotiating navigation. It does not enlarge, modify, or independently activate any obligation. Each item remains subject to its operative treaty text and any paired consideration.</w:t>
      </w:r>
    </w:p>
    <w:p>
      <w:pPr>
        <w:pStyle w:val="ListBullet"/>
        <w:widowControl/>
        <w:numPr>
          <w:ilvl w:val="0"/>
          <w:numId w:val="1"/>
        </w:numPr>
        <w:rPr/>
      </w:pPr>
      <w:r>
        <w:rPr/>
        <w:t>U.S. manufacturing: more vehicles, components, batteries, semiconductors, power electronics, advanced materials, and other strategic manufacturing built in the United States through the voluntary U.S. Manufacturing Accelerator, with reciprocal Canadian and Mexican tracks and no compulsory Party-specific origin mandate.</w:t>
      </w:r>
    </w:p>
    <w:p>
      <w:pPr>
        <w:pStyle w:val="ListBullet"/>
        <w:widowControl/>
        <w:numPr>
          <w:ilvl w:val="0"/>
          <w:numId w:val="1"/>
        </w:numPr>
        <w:rPr/>
      </w:pPr>
      <w:r>
        <w:rPr/>
        <w:t>Automotive: 75% Standard, 80% High Integration, and 85% Strategic Integration architecture; stronger North American vehicle and component production; public investment/capacity reporting; and the optional 70% U.S.-manufactured SUV muffler commitment paired with a durable automotive tariff settlement.</w:t>
      </w:r>
    </w:p>
    <w:p>
      <w:pPr>
        <w:pStyle w:val="ListBullet"/>
        <w:widowControl/>
        <w:numPr>
          <w:ilvl w:val="0"/>
          <w:numId w:val="1"/>
        </w:numPr>
        <w:rPr/>
      </w:pPr>
      <w:r>
        <w:rPr/>
        <w:t>Aircraft certification: North American Aviation Certification Fast Lane with concurrent FAA-TCCA-AFAC review where practicable, maximum lawful reliance on counterpart technical findings, published response clocks, no politically motivated certification delay, and an explicit firewall preserving each regulator's sovereign safety authority.</w:t>
      </w:r>
    </w:p>
    <w:p>
      <w:pPr>
        <w:pStyle w:val="ListBullet"/>
        <w:widowControl/>
        <w:numPr>
          <w:ilvl w:val="0"/>
          <w:numId w:val="1"/>
        </w:numPr>
        <w:rPr/>
      </w:pPr>
      <w:r>
        <w:rPr/>
        <w:t>Dairy — Guaranteed New U.S. Dairy Access: measurable provincial access floors, utilization and reallocation disciplines, a 0.2% Priority Cheese Access Bonus, transparent TRQ administration, and an optional pathway up to 1.50% total scheduled provincial access in return for expressly paired concessions.</w:t>
      </w:r>
    </w:p>
    <w:p>
      <w:pPr>
        <w:pStyle w:val="ListBullet"/>
        <w:widowControl/>
        <w:numPr>
          <w:ilvl w:val="0"/>
          <w:numId w:val="1"/>
        </w:numPr>
        <w:rPr/>
      </w:pPr>
      <w:r>
        <w:rPr/>
        <w:t>Alcohol — American products return with normalization: tariff-linked restoration of ordinary listing eligibility, inventory replenishment, distribution, and retail access for U.S. beer, wine, and spirits, while preserving legitimate provincial, territorial, state, and Mexican subnational regulation.</w:t>
      </w:r>
    </w:p>
    <w:p>
      <w:pPr>
        <w:pStyle w:val="ListBullet"/>
        <w:widowControl/>
        <w:numPr>
          <w:ilvl w:val="0"/>
          <w:numId w:val="1"/>
        </w:numPr>
        <w:rPr/>
      </w:pPr>
      <w:r>
        <w:rPr/>
        <w:t>Steel and aluminum: North American Metals Investment Compact; anti-transshipment and provenance protection; strategic and defense-grade capacity; modernization and recycling; public investment/capacity reporting; and durable normalization of originating North American metals trade.</w:t>
      </w:r>
    </w:p>
    <w:p>
      <w:pPr>
        <w:pStyle w:val="ListBullet"/>
        <w:widowControl/>
        <w:numPr>
          <w:ilvl w:val="0"/>
          <w:numId w:val="1"/>
        </w:numPr>
        <w:rPr/>
      </w:pPr>
      <w:r>
        <w:rPr/>
        <w:t>Critical minerals: Strategic Materials Compact, duty-free originating trade, offtake and long-term access, stockpile and surge cooperation, Midstream Gap Register, trusted external feedstock, by-product recovery, Canada/U.S./Mexico industrial tracks, and minerals-for-forestry bargaining that exchanges resource cooperation for processing, investment, procurement, resilience, and market-access value.</w:t>
      </w:r>
    </w:p>
    <w:p>
      <w:pPr>
        <w:pStyle w:val="ListBullet"/>
        <w:widowControl/>
        <w:numPr>
          <w:ilvl w:val="0"/>
          <w:numId w:val="1"/>
        </w:numPr>
        <w:rPr/>
      </w:pPr>
      <w:r>
        <w:rPr>
          <w:b/>
        </w:rPr>
        <w:t>Forestry: minerals-for-forestry normalization pathways capable of supporting durable softwood-lumber settlement.</w:t>
      </w:r>
    </w:p>
    <w:p>
      <w:pPr>
        <w:pStyle w:val="ListBullet"/>
        <w:widowControl/>
        <w:numPr>
          <w:ilvl w:val="0"/>
          <w:numId w:val="1"/>
        </w:numPr>
        <w:rPr/>
      </w:pPr>
      <w:r>
        <w:rPr>
          <w:b/>
        </w:rPr>
        <w:t>Wildfire: prevention, detection, fuel management, firefighting interoperability, technology, recovery, and transboundary smoke mitigation.</w:t>
      </w:r>
    </w:p>
    <w:p>
      <w:pPr>
        <w:pStyle w:val="ListBullet"/>
        <w:widowControl/>
        <w:numPr>
          <w:ilvl w:val="0"/>
          <w:numId w:val="1"/>
        </w:numPr>
        <w:rPr/>
      </w:pPr>
      <w:r>
        <w:rPr>
          <w:b/>
        </w:rPr>
        <w:t>Procurement: reciprocal strategic-supplier access while preserving lawful domestic, SME, Indigenous, security, and resilience programs.</w:t>
      </w:r>
    </w:p>
    <w:p>
      <w:pPr>
        <w:pStyle w:val="ListBullet"/>
        <w:widowControl/>
        <w:numPr>
          <w:ilvl w:val="0"/>
          <w:numId w:val="1"/>
        </w:numPr>
        <w:rPr/>
      </w:pPr>
      <w:r>
        <w:rPr>
          <w:b/>
        </w:rPr>
        <w:t>Trade rebalancing: verifiable opportunities for additional U.S. exports, investment, reshoring, joint ventures, procurement, agriculture, and productive capacity without compulsory purchase quotas.</w:t>
      </w:r>
    </w:p>
    <w:p>
      <w:pPr>
        <w:pStyle w:val="ListBullet"/>
        <w:widowControl/>
        <w:numPr>
          <w:ilvl w:val="0"/>
          <w:numId w:val="1"/>
        </w:numPr>
        <w:rPr/>
      </w:pPr>
      <w:r>
        <w:rPr>
          <w:b/>
        </w:rPr>
        <w:t>Keystone Next: an optional tangible energy-security successor with an approximately 830,000-barrel-per-day planning objective where commercially supported, real infrastructure, workforce, technology, safety, and public launch.</w:t>
      </w:r>
    </w:p>
    <w:p>
      <w:pPr>
        <w:pStyle w:val="ListBullet"/>
        <w:widowControl/>
        <w:numPr>
          <w:ilvl w:val="0"/>
          <w:numId w:val="1"/>
        </w:numPr>
        <w:rPr/>
      </w:pPr>
      <w:r>
        <w:rPr>
          <w:b/>
        </w:rPr>
        <w:t>Fentanyl and border security: fentanyl-priority interdiction, expanded canine teams, modern inspection technology, Gordie Howe flagship deployment, measurable performance, and a trusted-freight dividend.</w:t>
      </w:r>
    </w:p>
    <w:p>
      <w:pPr>
        <w:pStyle w:val="ListBullet"/>
        <w:widowControl/>
        <w:numPr>
          <w:ilvl w:val="0"/>
          <w:numId w:val="1"/>
        </w:numPr>
        <w:rPr/>
      </w:pPr>
      <w:r>
        <w:rPr/>
        <w:t>Medicines and pharmaceutical manufacturing: stronger North American API, sterile-injectable, biologics, vaccine and essential-medicine manufacturing; resilient U.S. supply; emergency reserves; reduced strategic dependence on non-North-American suppliers; and protection against essential medicines becoming tariff hostages.</w:t>
      </w:r>
    </w:p>
    <w:p>
      <w:pPr>
        <w:pStyle w:val="Normal"/>
        <w:rPr/>
      </w:pPr>
      <w:r>
        <w:rPr/>
      </w:r>
    </w:p>
    <w:p>
      <w:pPr>
        <w:pStyle w:val="Normal"/>
        <w:widowControl/>
        <w:rPr/>
      </w:pPr>
      <w:r>
        <w:rPr/>
        <w:t>Gordie Howe / Detroit–Windsor: an optional corridor-reinvestment framework can direct mutually agreed revenues or equivalent appropriations to Michigan- and Ontario-side customs, trusted-freight, ITS, approach, logistics, community-mitigation and economic-development improvements without transferring Canadian toll ownership, bridge governance, or revenue entitlement.</w:t>
      </w:r>
    </w:p>
    <w:p>
      <w:pPr>
        <w:pStyle w:val="Normal"/>
        <w:rPr/>
      </w:pPr>
      <w:r>
        <w:rPr/>
      </w:r>
    </w:p>
    <w:p>
      <w:pPr>
        <w:pStyle w:val="TrumpVisibilityHeadline"/>
        <w:widowControl/>
        <w:rPr/>
      </w:pPr>
      <w:r>
        <w:rPr>
          <w:b/>
        </w:rPr>
        <w:t xml:space="preserve">★ </w:t>
      </w:r>
      <w:r>
        <w:rPr>
          <w:b/>
        </w:rPr>
        <w:t>NEGOTIATOR VISIBILITY INDEX — TANGIBLE CANADIAN WINS ALREADY EMBEDDED IN NAESTMA</w:t>
      </w:r>
    </w:p>
    <w:p>
      <w:pPr>
        <w:pStyle w:val="Normal"/>
        <w:widowControl/>
        <w:rPr/>
      </w:pPr>
      <w:r>
        <w:rPr/>
        <w:t>This non-operative index is provided for rapid Canadian political and negotiating navigation. It creates no new right, concession, interpretation, or obligation; every item remains governed by the operative treaty text and any paired consideration.</w:t>
      </w:r>
    </w:p>
    <w:p>
      <w:pPr>
        <w:pStyle w:val="ListBullet"/>
        <w:widowControl/>
        <w:numPr>
          <w:ilvl w:val="0"/>
          <w:numId w:val="1"/>
        </w:numPr>
        <w:rPr/>
      </w:pPr>
      <w:r>
        <w:rPr/>
        <w:t>Tariff security: legacy extraordinary tariffs and retaliation wind down; future extraordinary measures face nexus, evidence, proportionality, review, anti-evasion and restoration disciplines rather than open-ended unilateral escalation.</w:t>
      </w:r>
    </w:p>
    <w:p>
      <w:pPr>
        <w:pStyle w:val="ListBullet"/>
        <w:widowControl/>
        <w:numPr>
          <w:ilvl w:val="0"/>
          <w:numId w:val="1"/>
        </w:numPr>
        <w:rPr/>
      </w:pPr>
      <w:r>
        <w:rPr/>
        <w:t>Treaty durability: CUSMA/NAESTMA continues for indefinite duration under modernization review rather than recurring renewal cliffs, protecting investment reliance and reducing periodic existential uncertainty.</w:t>
      </w:r>
    </w:p>
    <w:p>
      <w:pPr>
        <w:pStyle w:val="ListBullet"/>
        <w:widowControl/>
        <w:numPr>
          <w:ilvl w:val="0"/>
          <w:numId w:val="1"/>
        </w:numPr>
        <w:rPr/>
      </w:pPr>
      <w:r>
        <w:rPr/>
        <w:t>Dairy: Canadian supply management remains intact while negotiated U.S. access becomes more usable and transparent; incremental access is expressly paired with reciprocal Canadian value and protected against uncompensated front-loading.</w:t>
      </w:r>
    </w:p>
    <w:p>
      <w:pPr>
        <w:pStyle w:val="ListBullet"/>
        <w:widowControl/>
        <w:numPr>
          <w:ilvl w:val="0"/>
          <w:numId w:val="1"/>
        </w:numPr>
        <w:rPr/>
      </w:pPr>
      <w:r>
        <w:rPr/>
        <w:t>Forestry: critical-mineral and strategic-material cooperation can earn staged, durable softwood-lumber normalization without compulsory extraction, below-market supply, or surrender of Canadian resource ownership.</w:t>
      </w:r>
    </w:p>
    <w:p>
      <w:pPr>
        <w:pStyle w:val="ListBullet"/>
        <w:widowControl/>
        <w:numPr>
          <w:ilvl w:val="0"/>
          <w:numId w:val="1"/>
        </w:numPr>
        <w:rPr/>
      </w:pPr>
      <w:r>
        <w:rPr/>
        <w:t>Critical minerals and industrialization: Canada retains resource sovereignty and the ability to prioritize domestic value-added processing while gaining midstream investment, offtake, reserve eligibility, procurement and market-stability opportunities.</w:t>
      </w:r>
    </w:p>
    <w:p>
      <w:pPr>
        <w:pStyle w:val="ListBullet"/>
        <w:widowControl/>
        <w:numPr>
          <w:ilvl w:val="0"/>
          <w:numId w:val="1"/>
        </w:numPr>
        <w:rPr/>
      </w:pPr>
      <w:r>
        <w:rPr/>
        <w:t>Arctic and NORAD: Northern Vigilance converts Canadian defence and northern investment into continental-security value while preserving Canadian sovereignty, jurisdiction, command, basing authority, infrastructure control and Northwest Passage legal positions.</w:t>
      </w:r>
    </w:p>
    <w:p>
      <w:pPr>
        <w:pStyle w:val="ListBullet"/>
        <w:widowControl/>
        <w:numPr>
          <w:ilvl w:val="0"/>
          <w:numId w:val="1"/>
        </w:numPr>
        <w:rPr/>
      </w:pPr>
      <w:r>
        <w:rPr/>
        <w:t>Border reciprocity: Canada receives stronger cooperation against illegal firearms, illicit finance, stolen-vehicle exports and organized-crime flows while retaining exclusive national command, privacy protection and a firewall against fentanyl becoming an automatic tariff shortcut.</w:t>
      </w:r>
    </w:p>
    <w:p>
      <w:pPr>
        <w:pStyle w:val="ListBullet"/>
        <w:widowControl/>
        <w:numPr>
          <w:ilvl w:val="0"/>
          <w:numId w:val="1"/>
        </w:numPr>
        <w:rPr/>
      </w:pPr>
      <w:r>
        <w:rPr/>
        <w:t>Procurement: Canadian suppliers receive project-specific reciprocal access across a protected 370-opportunity portfolio without Canada accepting an economy-wide surrender to Buy American preferences or guaranteed foreign awards.</w:t>
      </w:r>
    </w:p>
    <w:p>
      <w:pPr>
        <w:pStyle w:val="ListBullet"/>
        <w:widowControl/>
        <w:numPr>
          <w:ilvl w:val="0"/>
          <w:numId w:val="1"/>
        </w:numPr>
        <w:rPr/>
      </w:pPr>
      <w:r>
        <w:rPr/>
        <w:t>Automotive: ordinary North American origin remains trilateral; U.S.-specific manufacturing carrots are bounded, reciprocal and optional, with the three-component ceiling and strategic-component firewall protecting the Canadian automotive industrial base.</w:t>
      </w:r>
    </w:p>
    <w:p>
      <w:pPr>
        <w:pStyle w:val="ListBullet"/>
        <w:widowControl/>
        <w:numPr>
          <w:ilvl w:val="0"/>
          <w:numId w:val="1"/>
        </w:numPr>
        <w:rPr/>
      </w:pPr>
      <w:r>
        <w:rPr/>
        <w:t>Steel and aluminum: originating Canadian metals gain a durable-normalization pathway paired with anti-transshipment, traceability, new capacity, recycling and strategic-product investment rather than permanent extraordinary tariff treatment.</w:t>
      </w:r>
    </w:p>
    <w:p>
      <w:pPr>
        <w:pStyle w:val="ListBullet"/>
        <w:widowControl/>
        <w:numPr>
          <w:ilvl w:val="0"/>
          <w:numId w:val="1"/>
        </w:numPr>
        <w:rPr/>
      </w:pPr>
      <w:r>
        <w:rPr/>
        <w:t>Medicines: the Canadian pharmaceutical track prioritizes medical isotopes, radiopharmaceuticals, biologics, vaccines, APIs, sterile capacity, clinical research and cold-chain resilience while essential medicines receive no-tariff-hostage protection.</w:t>
      </w:r>
    </w:p>
    <w:p>
      <w:pPr>
        <w:pStyle w:val="ListBullet"/>
        <w:widowControl/>
        <w:numPr>
          <w:ilvl w:val="0"/>
          <w:numId w:val="1"/>
        </w:numPr>
        <w:rPr/>
      </w:pPr>
      <w:r>
        <w:rPr/>
        <w:t>Energy and infrastructure: Canadian reliability, affordability, resource policy, environmental law, Indigenous and treaty rights, electricity allocation and project-approval authority remain protected while cross-border energy and infrastructure opportunities expand.</w:t>
      </w:r>
    </w:p>
    <w:p>
      <w:pPr>
        <w:pStyle w:val="ListBullet"/>
        <w:widowControl/>
        <w:numPr>
          <w:ilvl w:val="0"/>
          <w:numId w:val="1"/>
        </w:numPr>
        <w:rPr/>
      </w:pPr>
      <w:r>
        <w:rPr/>
        <w:t>Commercial wins: Canada may operate its own verified national commercial-wins presentation using the same Chapter 64 integrity rules, allowing Canadian exports, contracts, procurement awards, investment and regional gains to be foregrounded publicly.</w:t>
      </w:r>
    </w:p>
    <w:p>
      <w:pPr>
        <w:pStyle w:val="ListBullet"/>
        <w:widowControl/>
        <w:numPr>
          <w:ilvl w:val="0"/>
          <w:numId w:val="1"/>
        </w:numPr>
        <w:rPr/>
      </w:pPr>
      <w:r>
        <w:rPr/>
        <w:t>Labour, environment and enforcement: systemic enforcement standards are symmetrical, allegations require evidence and cure, and unrelated sectors cannot ordinarily be punished for localized or good-faith implementation problems.</w:t>
      </w:r>
    </w:p>
    <w:p>
      <w:pPr>
        <w:pStyle w:val="Normal"/>
        <w:rPr/>
      </w:pPr>
      <w:r>
        <w:rPr/>
      </w:r>
    </w:p>
    <w:p>
      <w:pPr>
        <w:pStyle w:val="Normal"/>
        <w:widowControl/>
        <w:rPr/>
      </w:pPr>
      <w:r>
        <w:rPr/>
        <w:t>Gordie Howe / Detroit–Windsor: Canada preserves bridge and toll-revenue ownership and rejects retroactive U.S. financing claims while gaining a lawful mechanism to convert mutually agreed corridor funding into faster freight, better approaches, community mitigation and reciprocal infrastructure value.</w:t>
      </w:r>
    </w:p>
    <w:p>
      <w:pPr>
        <w:pStyle w:val="Normal"/>
        <w:rPr/>
      </w:pPr>
      <w:r>
        <w:rPr/>
      </w:r>
    </w:p>
    <w:p>
      <w:pPr>
        <w:pStyle w:val="TrumpVisibilityHeadline"/>
        <w:widowControl/>
        <w:rPr/>
      </w:pPr>
      <w:r>
        <w:rPr>
          <w:b/>
        </w:rPr>
        <w:t xml:space="preserve">★ </w:t>
      </w:r>
      <w:r>
        <w:rPr>
          <w:b/>
        </w:rPr>
        <w:t>NEGOTIATOR VISIBILITY INDEX — TANGIBLE MEXICAN WINS ALREADY EMBEDDED IN NAESTMA</w:t>
      </w:r>
    </w:p>
    <w:p>
      <w:pPr>
        <w:pStyle w:val="Normal"/>
        <w:widowControl/>
        <w:rPr/>
      </w:pPr>
      <w:r>
        <w:rPr/>
        <w:t>This non-operative index is provided for rapid Mexican political and negotiating navigation. It creates no new right, concession, interpretation, or obligation; every item remains governed by the operative treaty text and any paired consideration.</w:t>
      </w:r>
    </w:p>
    <w:p>
      <w:pPr>
        <w:pStyle w:val="ListBullet"/>
        <w:widowControl/>
        <w:numPr>
          <w:ilvl w:val="0"/>
          <w:numId w:val="1"/>
        </w:numPr>
        <w:rPr/>
      </w:pPr>
      <w:r>
        <w:rPr/>
        <w:t>Tariff normalization: qualifying Mexican originating autos, parts, steel, aluminum and designated industrial goods receive an expedited route back toward ordinary preferential treatment where verified origin and security facts support normalization.</w:t>
      </w:r>
    </w:p>
    <w:p>
      <w:pPr>
        <w:pStyle w:val="ListBullet"/>
        <w:widowControl/>
        <w:numPr>
          <w:ilvl w:val="0"/>
          <w:numId w:val="1"/>
        </w:numPr>
        <w:rPr/>
      </w:pPr>
      <w:r>
        <w:rPr/>
        <w:t>Equal-party protection: Mexico receives the same Chapter 35 anti-evasion, evidence, proportionality, cure, restoration and no-uncompensated-front-loading protections as Canada and the United States, with no presumption that Mexican trade is the default enforcement target.</w:t>
      </w:r>
    </w:p>
    <w:p>
      <w:pPr>
        <w:pStyle w:val="ListBullet"/>
        <w:widowControl/>
        <w:numPr>
          <w:ilvl w:val="0"/>
          <w:numId w:val="1"/>
        </w:numPr>
        <w:rPr/>
      </w:pPr>
      <w:r>
        <w:rPr/>
        <w:t>Automotive parity: Mexican originating value remains fully North American; the agreement resists Party-specific relocation mandates and protects the integrated Mexican automotive base from strategic-component salami slicing.</w:t>
      </w:r>
    </w:p>
    <w:p>
      <w:pPr>
        <w:pStyle w:val="ListBullet"/>
        <w:widowControl/>
        <w:numPr>
          <w:ilvl w:val="0"/>
          <w:numId w:val="1"/>
        </w:numPr>
        <w:rPr/>
      </w:pPr>
      <w:r>
        <w:rPr/>
        <w:t>Agriculture: Mexico is expressly treated as a full producer, consumer, exporter, importer, research partner and manufacturing base, with Mexico-specific treatment for crops, irrigation, drought, machinery, labour-intensive production, logistics and value-added processing.</w:t>
      </w:r>
    </w:p>
    <w:p>
      <w:pPr>
        <w:pStyle w:val="ListBullet"/>
        <w:widowControl/>
        <w:numPr>
          <w:ilvl w:val="0"/>
          <w:numId w:val="1"/>
        </w:numPr>
        <w:rPr/>
      </w:pPr>
      <w:r>
        <w:rPr/>
        <w:t>Dairy: Mexico receives full procedural equality in the Dairy Stability and Market Access Framework and a pathway for Mexico-specific access, development or reciprocal opportunities rather than being treated as a residual market.</w:t>
      </w:r>
    </w:p>
    <w:p>
      <w:pPr>
        <w:pStyle w:val="ListBullet"/>
        <w:widowControl/>
        <w:numPr>
          <w:ilvl w:val="0"/>
          <w:numId w:val="1"/>
        </w:numPr>
        <w:rPr/>
      </w:pPr>
      <w:r>
        <w:rPr/>
        <w:t>Pharmaceutical upgrading: the Mexican track supports movement from finished-dose generics toward APIs/KSMs, sterile injectables, fill-finish, biologics, vaccines, advanced manufacturing, regulatory science and higher-value R&amp;D, with equal eligibility for resilience procurement.</w:t>
      </w:r>
    </w:p>
    <w:p>
      <w:pPr>
        <w:pStyle w:val="ListBullet"/>
        <w:widowControl/>
        <w:numPr>
          <w:ilvl w:val="0"/>
          <w:numId w:val="1"/>
        </w:numPr>
        <w:rPr/>
      </w:pPr>
      <w:r>
        <w:rPr/>
        <w:t>Critical minerals and industrial inputs: Mexico is recognized as a full strategic supplier, processor, manufacturer, recycler and investment destination, with dedicated industrial-input and specialty-mineral pathways and value-added processing opportunities.</w:t>
      </w:r>
    </w:p>
    <w:p>
      <w:pPr>
        <w:pStyle w:val="ListBullet"/>
        <w:widowControl/>
        <w:numPr>
          <w:ilvl w:val="0"/>
          <w:numId w:val="1"/>
        </w:numPr>
        <w:rPr/>
      </w:pPr>
      <w:r>
        <w:rPr/>
        <w:t>Digital manufacturing and SMEs: Mexico receives a dedicated electronics, semiconductor, software, customs-interoperability and SME export lane designed to raise value capture rather than confine Mexico to lower-value assembly.</w:t>
      </w:r>
    </w:p>
    <w:p>
      <w:pPr>
        <w:pStyle w:val="ListBullet"/>
        <w:widowControl/>
        <w:numPr>
          <w:ilvl w:val="0"/>
          <w:numId w:val="1"/>
        </w:numPr>
        <w:rPr/>
      </w:pPr>
      <w:r>
        <w:rPr/>
        <w:t>Forestry: Mexico receives its own forestry and wood-products integration lane while being expressly firewalled from the historic Canada-United States softwood-lumber trade-remedy dispute unless Mexico separately agrees otherwise.</w:t>
      </w:r>
    </w:p>
    <w:p>
      <w:pPr>
        <w:pStyle w:val="ListBullet"/>
        <w:widowControl/>
        <w:numPr>
          <w:ilvl w:val="0"/>
          <w:numId w:val="1"/>
        </w:numPr>
        <w:rPr/>
      </w:pPr>
      <w:r>
        <w:rPr/>
        <w:t>Procurement: Mexican suppliers participate across the reciprocal 370-opportunity portfolio, including border, rail, ports, grid, water, industrial, digital and strategic-infrastructure opportunities, without guaranteed awards or blanket domestic-preference surrender.</w:t>
      </w:r>
    </w:p>
    <w:p>
      <w:pPr>
        <w:pStyle w:val="ListBullet"/>
        <w:widowControl/>
        <w:numPr>
          <w:ilvl w:val="0"/>
          <w:numId w:val="1"/>
        </w:numPr>
        <w:rPr/>
      </w:pPr>
      <w:r>
        <w:rPr/>
        <w:t>Border and security reciprocity: Mexico gains stronger continental action against illegal firearms, illicit finance, stolen vehicles, precursor networks and organized crime while retaining exclusive command and operational authority over Mexican officers and territory.</w:t>
      </w:r>
    </w:p>
    <w:p>
      <w:pPr>
        <w:pStyle w:val="ListBullet"/>
        <w:widowControl/>
        <w:numPr>
          <w:ilvl w:val="0"/>
          <w:numId w:val="1"/>
        </w:numPr>
        <w:rPr/>
      </w:pPr>
      <w:r>
        <w:rPr/>
        <w:t>Labour symmetry and dignity: facility-specific and systemic labour enforcement is framed as genuinely trilateral; Mexico-specific reform history creates no presumption of Mexican wrongdoing or weaker obligations in Canada or the United States.</w:t>
      </w:r>
    </w:p>
    <w:p>
      <w:pPr>
        <w:pStyle w:val="ListBullet"/>
        <w:widowControl/>
        <w:numPr>
          <w:ilvl w:val="0"/>
          <w:numId w:val="1"/>
        </w:numPr>
        <w:rPr/>
      </w:pPr>
      <w:r>
        <w:rPr/>
        <w:t>Defence-industrial participation: Mexico can participate through strategic materials, electronics, cold-weather equipment, pharmaceutical supply, logistics, manufacturing, research and resilience without being artificially inserted into Canadian-U.S. Arctic operational command.</w:t>
      </w:r>
    </w:p>
    <w:p>
      <w:pPr>
        <w:pStyle w:val="ListBullet"/>
        <w:widowControl/>
        <w:numPr>
          <w:ilvl w:val="0"/>
          <w:numId w:val="1"/>
        </w:numPr>
        <w:rPr/>
      </w:pPr>
      <w:r>
        <w:rPr/>
        <w:t>Treaty continuity and external sovereignty: bilateral disputes cannot create de facto renewal uncertainty for unrelated Mexican trade, and Mexico retains sovereign authority over non-Party trade, investment and foreign-economic relationships without another Party holding a veto.</w:t>
      </w:r>
    </w:p>
    <w:p>
      <w:pPr>
        <w:pStyle w:val="ListBullet"/>
        <w:widowControl/>
        <w:numPr>
          <w:ilvl w:val="0"/>
          <w:numId w:val="1"/>
        </w:numPr>
        <w:rPr/>
      </w:pPr>
      <w:r>
        <w:rPr/>
        <w:t>Commercial wins: Mexico may maintain its own Chapter 64 national presentation highlighting verified exports, contracts, procurement, industrial upgrading, SMEs, regional investment and supply-chain gains using the same evidentiary standards as the U.S. and Canadian ledgers.</w:t>
      </w:r>
    </w:p>
    <w:p>
      <w:pPr>
        <w:pStyle w:val="Normal"/>
        <w:rPr/>
      </w:pPr>
      <w:r>
        <w:rPr/>
      </w:r>
    </w:p>
    <w:p>
      <w:pPr>
        <w:pStyle w:val="Normal"/>
        <w:rPr/>
      </w:pPr>
      <w:r>
        <w:rPr/>
      </w:r>
      <w:r>
        <w:br w:type="page"/>
      </w:r>
    </w:p>
    <w:p>
      <w:pPr>
        <w:pStyle w:val="TrumpVisibilityHeadline"/>
        <w:widowControl/>
        <w:spacing w:before="0" w:after="160"/>
        <w:rPr/>
      </w:pPr>
      <w:r>
        <w:rPr/>
        <w:t xml:space="preserve">★ </w:t>
      </w:r>
      <w:r>
        <w:rPr/>
        <w:t>TRILATERAL SAFE CORRECTIONS AND HUMAN DIGNITY WIN</w:t>
      </w:r>
    </w:p>
    <w:p>
      <w:pPr>
        <w:pStyle w:val="Normal"/>
        <w:widowControl/>
        <w:rPr/>
      </w:pPr>
      <w:r>
        <w:rPr/>
        <w:t>NAESTMA establishes a common North American minimum for safe and humane correctional administration without harmonizing criminal sentences or creating a continental prison authority. Prisoners retain basic protections concerning food, drinking water, healthcare, sanitation, safety, legal access, disability accommodation, family and consular contact, fair discipline, restrictive housing, and protection from abuse. Correctional officers and institutions gain stronger safety, professionalization, anti-gang, emergency, healthcare, and de-escalation architecture.</w:t>
      </w:r>
    </w:p>
    <w:p>
      <w:pPr>
        <w:pStyle w:val="Normal"/>
        <w:widowControl/>
        <w:rPr/>
      </w:pPr>
      <w:r>
        <w:rPr/>
        <w:t>Packages CH through CK and Annexes CH-A and CH-B contain the criminal-custody and correctional-rights framework. Civil immigration detention remains principally governed by Package BS.</w:t>
      </w:r>
    </w:p>
    <w:p>
      <w:pPr>
        <w:pStyle w:val="TrumpVisibilityHeadline"/>
        <w:widowControl/>
        <w:rPr/>
      </w:pPr>
      <w:r>
        <w:rPr/>
        <w:t>SEARCH SIGNPOST — PRISONER / PRISON / JAIL / INCARCERATION / CORRECTIONAL / CORRECTIONS / PRETRIAL / SOLITARY CONFINEMENT / PRISON LABOUR / PRISON LABOR</w:t>
      </w:r>
    </w:p>
    <w:p>
      <w:bookmarkStart w:id="3009" w:name="_NAESTMA_TOC_3009"/>
      <w:pPr>
        <w:pStyle w:val="Heading1"/>
        <w:keepNext/>
        <w:pageBreakBefore/>
        <w:widowControl/>
        <w:rPr/>
      </w:pPr>
      <w:r>
        <w:rPr/>
        <w:t>PACKAGE CH — NORTH AMERICAN CUSTODIAL DIGNITY AND SAFE CORRECTIONS FRAMEWORK ======================================================================</w:t>
      </w:r>
      <w:bookmarkEnd w:id="3009"/>
    </w:p>
    <w:p>
      <w:bookmarkStart w:id="3010" w:name="_NAESTMA_TOC_3010"/>
      <w:pPr>
        <w:pStyle w:val="Heading2"/>
        <w:keepNext/>
        <w:widowControl/>
        <w:rPr/>
      </w:pPr>
      <w:r>
        <w:rPr/>
        <w:t>CH-1. Purpose and Character</w:t>
      </w:r>
      <w:bookmarkEnd w:id="3010"/>
    </w:p>
    <w:p>
      <w:pPr>
        <w:pStyle w:val="Normal"/>
        <w:widowControl/>
        <w:rPr/>
      </w:pPr>
      <w:r>
        <w:rPr/>
        <w:t>1. The Parties establish a North American Custodial Dignity and Safe Corrections Framework to ensure that persons deprived of liberty remain protected by a minimum floor of human dignity, health, safety, lawful administration, and procedural fairness.</w:t>
      </w:r>
    </w:p>
    <w:p>
      <w:pPr>
        <w:pStyle w:val="Normal"/>
        <w:widowControl/>
        <w:rPr/>
      </w:pPr>
      <w:r>
        <w:rPr/>
        <w:t>2. This Package concerns conditions and administration of custody. Except where expressly provided in the Optional Advanced Correctional Reform Annex, it does not harmonize criminal offences, sentencing ranges, parole eligibility, bail law, prison-population targets, or the constitutional allocation of criminal justice powers.</w:t>
      </w:r>
    </w:p>
    <w:p>
      <w:pPr>
        <w:pStyle w:val="Normal"/>
        <w:widowControl/>
        <w:rPr/>
      </w:pPr>
      <w:r>
        <w:rPr/>
        <w:t>3. The Parties recognize that humane custodial administration and institutional security are mutually reinforcing. Safe staffing, professional training, adequate healthcare, effective classification, reliable infrastructure, anti-gang governance, meaningful grievance systems, and de-escalation protect correctional personnel, prisoners, visitors, and surrounding communities.</w:t>
      </w:r>
    </w:p>
    <w:p>
      <w:bookmarkStart w:id="3011" w:name="_NAESTMA_TOC_3011"/>
      <w:pPr>
        <w:pStyle w:val="Heading2"/>
        <w:keepNext/>
        <w:widowControl/>
        <w:rPr/>
      </w:pPr>
      <w:r>
        <w:rPr/>
        <w:t>CH-2. Scope</w:t>
      </w:r>
      <w:bookmarkEnd w:id="3011"/>
    </w:p>
    <w:p>
      <w:pPr>
        <w:pStyle w:val="Normal"/>
        <w:widowControl/>
        <w:rPr/>
      </w:pPr>
      <w:r>
        <w:rPr/>
        <w:t>1. The Mandatory Custodial Dignity Floor applies to persons held pursuant to criminal arrest, pretrial detention, criminal sentence, correctional transfer, or comparable penal custody under the authority or responsibility of a Party.</w:t>
      </w:r>
    </w:p>
    <w:p>
      <w:pPr>
        <w:pStyle w:val="Normal"/>
        <w:widowControl/>
        <w:rPr/>
      </w:pPr>
      <w:r>
        <w:rPr/>
        <w:t>2. Where another Package of this Agreement provides equal or greater protection to a person held in civil immigration detention, juvenile protection custody, military detention, mental-health custody, or another specialized form of custody, the more protective rule shall govern to the extent of overlap.</w:t>
      </w:r>
    </w:p>
    <w:p>
      <w:pPr>
        <w:pStyle w:val="Normal"/>
        <w:widowControl/>
        <w:rPr/>
      </w:pPr>
      <w:r>
        <w:rPr/>
        <w:t>3. A Party shall not avoid this Package solely by changing the legal, administrative, institutional, contractual, or geographic label attached to a custodial arrangement.</w:t>
      </w:r>
    </w:p>
    <w:p>
      <w:bookmarkStart w:id="3012" w:name="_NAESTMA_TOC_3012"/>
      <w:pPr>
        <w:pStyle w:val="Heading2"/>
        <w:keepNext/>
        <w:widowControl/>
        <w:rPr/>
      </w:pPr>
      <w:r>
        <w:rPr/>
        <w:t>CH-3. Inherent Human Dignity</w:t>
      </w:r>
      <w:bookmarkEnd w:id="3012"/>
    </w:p>
    <w:p>
      <w:pPr>
        <w:pStyle w:val="Normal"/>
        <w:widowControl/>
        <w:rPr/>
      </w:pPr>
      <w:r>
        <w:rPr/>
        <w:t>1. Lawful deprivation of liberty does not extinguish inherent human dignity.</w:t>
      </w:r>
    </w:p>
    <w:p>
      <w:pPr>
        <w:pStyle w:val="Normal"/>
        <w:widowControl/>
        <w:rPr/>
      </w:pPr>
      <w:r>
        <w:rPr/>
        <w:t>2. No person in custody shall be subjected to torture or to cruel, inhuman, or degrading treatment or punishment.</w:t>
      </w:r>
    </w:p>
    <w:p>
      <w:pPr>
        <w:pStyle w:val="Normal"/>
        <w:widowControl/>
        <w:rPr/>
      </w:pPr>
      <w:r>
        <w:rPr/>
        <w:t>3. Custody shall not be administered through deliberate starvation, denial of potable water, deliberate medical neglect, unnecessary exposure to dangerous temperatures, deliberate sleep deprivation, humiliating deprivation of hygiene, gratuitous violence, or comparable treatment intended principally to degrade, terrorize, coerce, or punish outside lawful disciplinary procedures.</w:t>
      </w:r>
    </w:p>
    <w:p>
      <w:bookmarkStart w:id="3013" w:name="_NAESTMA_TOC_3013"/>
      <w:pPr>
        <w:pStyle w:val="Heading2"/>
        <w:keepNext/>
        <w:widowControl/>
        <w:rPr/>
      </w:pPr>
      <w:r>
        <w:rPr/>
        <w:t>CH-4. Equal Application and Non-Discrimination</w:t>
      </w:r>
      <w:bookmarkEnd w:id="3013"/>
    </w:p>
    <w:p>
      <w:pPr>
        <w:pStyle w:val="Normal"/>
        <w:widowControl/>
        <w:rPr/>
      </w:pPr>
      <w:r>
        <w:rPr/>
        <w:t>1. The protections of this Package apply without discrimination inconsistent with the applicable law of the Party concerned.</w:t>
      </w:r>
    </w:p>
    <w:p>
      <w:pPr>
        <w:pStyle w:val="Normal"/>
        <w:widowControl/>
        <w:rPr/>
      </w:pPr>
      <w:r>
        <w:rPr/>
        <w:t>2. Race, ethnicity, nationality, religion, language, sex, sexual orientation, gender identity, disability, Indigenous identity, political opinion, social origin, or another status protected under applicable law shall not by itself justify inferior food, healthcare, sanitation, protection, discipline, programming access, or other basic custodial treatment.</w:t>
      </w:r>
    </w:p>
    <w:p>
      <w:pPr>
        <w:pStyle w:val="Normal"/>
        <w:widowControl/>
        <w:rPr/>
      </w:pPr>
      <w:r>
        <w:rPr/>
        <w:t>3. Paragraph 2 does not prohibit reasonable distinctions required for medical care, disability accommodation, pregnancy, age, religious observance, protective custody, classification, individualized security, or the safety of prisoners and staff.</w:t>
      </w:r>
    </w:p>
    <w:p>
      <w:bookmarkStart w:id="3014" w:name="_NAESTMA_TOC_3014"/>
      <w:pPr>
        <w:pStyle w:val="Heading2"/>
        <w:keepNext/>
        <w:widowControl/>
        <w:rPr/>
      </w:pPr>
      <w:r>
        <w:rPr/>
        <w:t>CH-5. Food of Adequate Nutritional Value</w:t>
      </w:r>
      <w:bookmarkEnd w:id="3014"/>
    </w:p>
    <w:p>
      <w:pPr>
        <w:pStyle w:val="Normal"/>
        <w:widowControl/>
        <w:rPr/>
      </w:pPr>
      <w:r>
        <w:rPr/>
        <w:t>1. Each prisoner shall receive food sufficient in nutritional value, quantity, wholesomeness, and food-safety quality to maintain health and strength.</w:t>
      </w:r>
    </w:p>
    <w:p>
      <w:pPr>
        <w:pStyle w:val="Normal"/>
        <w:widowControl/>
        <w:rPr/>
      </w:pPr>
      <w:r>
        <w:rPr/>
        <w:t>2. Food shall be prepared, stored, transported, and served under sanitary conditions.</w:t>
      </w:r>
    </w:p>
    <w:p>
      <w:pPr>
        <w:pStyle w:val="Normal"/>
        <w:widowControl/>
        <w:rPr/>
      </w:pPr>
      <w:r>
        <w:rPr/>
        <w:t>3. Each Party shall maintain a system of professional nutritional review appropriate to its correctional system.</w:t>
      </w:r>
    </w:p>
    <w:p>
      <w:pPr>
        <w:pStyle w:val="Normal"/>
        <w:widowControl/>
        <w:rPr/>
      </w:pPr>
      <w:r>
        <w:rPr/>
        <w:t>4. Nothing in this Article requires identical menus, ingredients, portion formats, or national dietary systems among the Parties.</w:t>
      </w:r>
    </w:p>
    <w:p>
      <w:bookmarkStart w:id="3015" w:name="_NAESTMA_TOC_3015"/>
      <w:pPr>
        <w:pStyle w:val="Heading2"/>
        <w:keepNext/>
        <w:widowControl/>
        <w:rPr/>
      </w:pPr>
      <w:r>
        <w:rPr/>
        <w:t>CH-6. Absolute Prohibition on Punitive Food and Water Deprivation</w:t>
      </w:r>
      <w:bookmarkEnd w:id="3015"/>
    </w:p>
    <w:p>
      <w:pPr>
        <w:pStyle w:val="Normal"/>
        <w:widowControl/>
        <w:rPr/>
      </w:pPr>
      <w:r>
        <w:rPr/>
        <w:t>1. Food, potable water, medically required diets, and minimum nutritional adequacy shall not be withheld, materially reduced, deliberately degraded, rendered deliberately inedible or deliberately unpalatable, or otherwise manipulated as punishment, retaliation, coercion, behavioural control, or inducement.</w:t>
      </w:r>
    </w:p>
    <w:p>
      <w:pPr>
        <w:pStyle w:val="Normal"/>
        <w:widowControl/>
        <w:rPr/>
      </w:pPr>
      <w:r>
        <w:rPr/>
        <w:t>2. A food product, diet, meal configuration, or delivery method prohibited by paragraph 1 does not become permissible by being renamed, reformulated, commercialized, or characterized as a security measure where its principal purpose or practical effect remains punitive deprivation or degradation.</w:t>
      </w:r>
    </w:p>
    <w:p>
      <w:pPr>
        <w:pStyle w:val="Normal"/>
        <w:widowControl/>
        <w:rPr/>
      </w:pPr>
      <w:r>
        <w:rPr/>
        <w:t>3. Nothing in this Article prevents medically prescribed diets, temporary security controls on utensils or containers, or clinically justified dietary restrictions.</w:t>
      </w:r>
    </w:p>
    <w:p>
      <w:bookmarkStart w:id="3016" w:name="_NAESTMA_TOC_3016"/>
      <w:pPr>
        <w:pStyle w:val="Heading2"/>
        <w:keepNext/>
        <w:widowControl/>
        <w:rPr/>
      </w:pPr>
      <w:r>
        <w:rPr/>
        <w:t>CH-7. Potable Water</w:t>
      </w:r>
      <w:bookmarkEnd w:id="3016"/>
    </w:p>
    <w:p>
      <w:pPr>
        <w:pStyle w:val="Normal"/>
        <w:widowControl/>
        <w:rPr/>
      </w:pPr>
      <w:r>
        <w:rPr/>
        <w:t>1. Safe drinking water shall be reasonably available whenever needed.</w:t>
      </w:r>
    </w:p>
    <w:p>
      <w:pPr>
        <w:pStyle w:val="Normal"/>
        <w:widowControl/>
        <w:rPr/>
      </w:pPr>
      <w:r>
        <w:rPr/>
        <w:t>2. Access shall extend to sleeping areas, ordinary housing units, work and education areas, recreation areas, healthcare settings, and restrictive-housing settings.</w:t>
      </w:r>
    </w:p>
    <w:p>
      <w:pPr>
        <w:pStyle w:val="Normal"/>
        <w:widowControl/>
        <w:rPr/>
      </w:pPr>
      <w:r>
        <w:rPr/>
        <w:t>3. Temporary restriction of ordinary water fixtures may occur during an immediate safety emergency only if safe drinking water remains available by another reasonable means.</w:t>
      </w:r>
    </w:p>
    <w:p>
      <w:bookmarkStart w:id="3017" w:name="_NAESTMA_TOC_3017"/>
      <w:pPr>
        <w:pStyle w:val="Heading2"/>
        <w:keepNext/>
        <w:widowControl/>
        <w:rPr/>
      </w:pPr>
      <w:r>
        <w:rPr/>
        <w:t>CH-8. Therapeutic, Religious, and Conscience-Based Diets</w:t>
      </w:r>
      <w:bookmarkEnd w:id="3017"/>
    </w:p>
    <w:p>
      <w:pPr>
        <w:pStyle w:val="Normal"/>
        <w:widowControl/>
        <w:rPr/>
      </w:pPr>
      <w:r>
        <w:rPr/>
        <w:t>1. Each Party shall maintain reasonable procedures for clinically necessary therapeutic diets and medically verified food allergies.</w:t>
      </w:r>
    </w:p>
    <w:p>
      <w:pPr>
        <w:pStyle w:val="Normal"/>
        <w:widowControl/>
        <w:rPr/>
      </w:pPr>
      <w:r>
        <w:rPr/>
        <w:t>2. Religious or conscience-based dietary accommodation shall be provided to the extent required by applicable law and reasonably practicable within legitimate institutional-security and food-safety requirements.</w:t>
      </w:r>
    </w:p>
    <w:p>
      <w:bookmarkStart w:id="3018" w:name="_NAESTMA_TOC_3018"/>
      <w:pPr>
        <w:pStyle w:val="Heading2"/>
        <w:keepNext/>
        <w:widowControl/>
        <w:rPr/>
      </w:pPr>
      <w:r>
        <w:rPr/>
        <w:t>CH-9. Sanitation and Habitability</w:t>
      </w:r>
      <w:bookmarkEnd w:id="3018"/>
    </w:p>
    <w:p>
      <w:pPr>
        <w:pStyle w:val="Normal"/>
        <w:widowControl/>
        <w:rPr/>
      </w:pPr>
      <w:r>
        <w:rPr/>
        <w:t>1. Correctional housing shall be maintained in a condition reasonably fit for human habitation.</w:t>
      </w:r>
    </w:p>
    <w:p>
      <w:pPr>
        <w:pStyle w:val="Normal"/>
        <w:widowControl/>
        <w:rPr/>
      </w:pPr>
      <w:r>
        <w:rPr/>
        <w:t>2. Facilities shall provide adequate sanitation, waste disposal, ventilation, lighting, temperature management, pest control, and access to cleaning and personal-hygiene necessities.</w:t>
      </w:r>
    </w:p>
    <w:p>
      <w:pPr>
        <w:pStyle w:val="Normal"/>
        <w:widowControl/>
        <w:rPr/>
      </w:pPr>
      <w:r>
        <w:rPr/>
        <w:t>3. Chronic sewage exposure, persistent vermin infestation, unsafe drinking water, dangerous indoor temperatures, or comparable systemic conditions shall constitute priority deficiencies requiring prompt remediation.</w:t>
      </w:r>
    </w:p>
    <w:p>
      <w:bookmarkStart w:id="3019" w:name="_NAESTMA_TOC_3019"/>
      <w:pPr>
        <w:pStyle w:val="Heading2"/>
        <w:keepNext/>
        <w:widowControl/>
        <w:rPr/>
      </w:pPr>
      <w:r>
        <w:rPr/>
        <w:t>CH-10. Sleeping Conditions, Bedding, and Clothing</w:t>
      </w:r>
      <w:bookmarkEnd w:id="3019"/>
    </w:p>
    <w:p>
      <w:pPr>
        <w:pStyle w:val="Normal"/>
        <w:widowControl/>
        <w:rPr/>
      </w:pPr>
      <w:r>
        <w:rPr/>
        <w:t>1. Each prisoner shall have an appropriate sleeping surface and sufficient clean bedding.</w:t>
      </w:r>
    </w:p>
    <w:p>
      <w:pPr>
        <w:pStyle w:val="Normal"/>
        <w:widowControl/>
        <w:rPr/>
      </w:pPr>
      <w:r>
        <w:rPr/>
        <w:t>2. Bedding shall be maintained and replaced or laundered with reasonable frequency.</w:t>
      </w:r>
    </w:p>
    <w:p>
      <w:pPr>
        <w:pStyle w:val="Normal"/>
        <w:widowControl/>
        <w:rPr/>
      </w:pPr>
      <w:r>
        <w:rPr/>
        <w:t>3. Prisoners shall receive clothing sufficient for climate, work assignment, health, and institutional conditions.</w:t>
      </w:r>
    </w:p>
    <w:p>
      <w:pPr>
        <w:pStyle w:val="Normal"/>
        <w:widowControl/>
        <w:rPr/>
      </w:pPr>
      <w:r>
        <w:rPr/>
        <w:t>4. Custodial routines shall provide a reasonable opportunity for restorative sleep and shall not deliberately employ avoidable noise, constant illumination, extreme temperature, or repeated unnecessary interruption as punishment or coercion.</w:t>
      </w:r>
    </w:p>
    <w:p>
      <w:bookmarkStart w:id="3020" w:name="_NAESTMA_TOC_3020"/>
      <w:pPr>
        <w:pStyle w:val="Heading2"/>
        <w:keepNext/>
        <w:widowControl/>
        <w:rPr/>
      </w:pPr>
      <w:r>
        <w:rPr/>
        <w:t>CH-11. Hygiene and Menstrual Health</w:t>
      </w:r>
      <w:bookmarkEnd w:id="3020"/>
    </w:p>
    <w:p>
      <w:pPr>
        <w:pStyle w:val="Normal"/>
        <w:widowControl/>
        <w:rPr/>
      </w:pPr>
      <w:r>
        <w:rPr/>
        <w:t>1. Prisoners shall have reasonable access to toilets, bathing, handwashing, basic personal-hygiene materials, and facilities necessary to maintain ordinary cleanliness.</w:t>
      </w:r>
    </w:p>
    <w:p>
      <w:pPr>
        <w:pStyle w:val="Normal"/>
        <w:widowControl/>
        <w:rPr/>
      </w:pPr>
      <w:r>
        <w:rPr/>
        <w:t>2. Necessary menstrual products shall be provided without punitive, discriminatory, or exploitative conditions.</w:t>
      </w:r>
    </w:p>
    <w:p>
      <w:bookmarkStart w:id="3021" w:name="_NAESTMA_TOC_3021"/>
      <w:pPr>
        <w:pStyle w:val="Heading2"/>
        <w:keepNext/>
        <w:widowControl/>
        <w:rPr/>
      </w:pPr>
      <w:r>
        <w:rPr/>
        <w:t>CH-12. Healthcare Equivalence Principle</w:t>
      </w:r>
      <w:bookmarkEnd w:id="3021"/>
    </w:p>
    <w:p>
      <w:pPr>
        <w:pStyle w:val="Normal"/>
        <w:widowControl/>
        <w:rPr/>
      </w:pPr>
      <w:r>
        <w:rPr/>
        <w:t>1. Persons in custody shall have timely access to necessary physical and mental healthcare delivered according to professionally appropriate clinical standards.</w:t>
      </w:r>
    </w:p>
    <w:p>
      <w:pPr>
        <w:pStyle w:val="Normal"/>
        <w:widowControl/>
        <w:rPr/>
      </w:pPr>
      <w:r>
        <w:rPr/>
        <w:t>2. Clinical decisions shall be based principally on health need and professional judgment rather than disciplinary convenience.</w:t>
      </w:r>
    </w:p>
    <w:p>
      <w:pPr>
        <w:pStyle w:val="Normal"/>
        <w:widowControl/>
        <w:rPr/>
      </w:pPr>
      <w:r>
        <w:rPr/>
        <w:t>3. Custody status, indigence, or disciplinary placement shall not justify deliberate denial of necessary medical care.</w:t>
      </w:r>
    </w:p>
    <w:p>
      <w:pPr>
        <w:pStyle w:val="Normal"/>
        <w:widowControl/>
        <w:rPr/>
      </w:pPr>
      <w:r>
        <w:rPr/>
        <w:t>4. Nothing in this Article requires identical healthcare-delivery systems among the Parties.</w:t>
      </w:r>
    </w:p>
    <w:p>
      <w:bookmarkStart w:id="3022" w:name="_NAESTMA_TOC_3022"/>
      <w:pPr>
        <w:pStyle w:val="Heading2"/>
        <w:keepNext/>
        <w:widowControl/>
        <w:rPr/>
      </w:pPr>
      <w:r>
        <w:rPr/>
        <w:t>CH-13. Emergency Medical Response</w:t>
      </w:r>
      <w:bookmarkEnd w:id="3022"/>
    </w:p>
    <w:p>
      <w:pPr>
        <w:pStyle w:val="Normal"/>
        <w:widowControl/>
        <w:rPr/>
      </w:pPr>
      <w:r>
        <w:rPr/>
        <w:t>Each Party shall require correctional institutions to maintain reliable procedures for:</w:t>
      </w:r>
    </w:p>
    <w:p>
      <w:pPr>
        <w:pStyle w:val="Normal"/>
        <w:widowControl/>
        <w:rPr/>
      </w:pPr>
      <w:r>
        <w:rPr/>
        <w:t>(a) recognition of medical emergencies; (b) rapid access to qualified clinical personnel; (c) emergency medication and first-response capability; (d) transfer to outside treatment where necessary; (e) continuity of relevant clinical information; and (f) appropriate post-emergency follow-up.</w:t>
      </w:r>
    </w:p>
    <w:p>
      <w:bookmarkStart w:id="3023" w:name="_NAESTMA_TOC_3023"/>
      <w:pPr>
        <w:pStyle w:val="Heading2"/>
        <w:keepNext/>
        <w:widowControl/>
        <w:rPr/>
      </w:pPr>
      <w:r>
        <w:rPr/>
        <w:t>CH-14. Medication Continuity</w:t>
      </w:r>
      <w:bookmarkEnd w:id="3023"/>
    </w:p>
    <w:p>
      <w:pPr>
        <w:pStyle w:val="Normal"/>
        <w:widowControl/>
        <w:rPr/>
      </w:pPr>
      <w:r>
        <w:rPr/>
        <w:t>1. Clinically necessary prescribed medication shall not be arbitrarily interrupted because of admission, transfer, lockdown, restrictive housing, disciplinary status, or release preparation.</w:t>
      </w:r>
    </w:p>
    <w:p>
      <w:pPr>
        <w:pStyle w:val="Normal"/>
        <w:widowControl/>
        <w:rPr/>
      </w:pPr>
      <w:r>
        <w:rPr/>
        <w:t>2. A medically justified change in medication remains permitted.</w:t>
      </w:r>
    </w:p>
    <w:p>
      <w:pPr>
        <w:pStyle w:val="Normal"/>
        <w:widowControl/>
        <w:rPr/>
      </w:pPr>
      <w:r>
        <w:rPr/>
        <w:t>3. Where immediate verification of a prior prescription is not possible, the institution shall use a clinically appropriate temporary assessment process rather than automatic discontinuation where interruption may create serious risk.</w:t>
      </w:r>
    </w:p>
    <w:p>
      <w:bookmarkStart w:id="3024" w:name="_NAESTMA_TOC_3024"/>
      <w:pPr>
        <w:pStyle w:val="Heading2"/>
        <w:keepNext/>
        <w:widowControl/>
        <w:rPr/>
      </w:pPr>
      <w:r>
        <w:rPr/>
        <w:t>CH-15. Mental Health, Suicide Prevention, and Crisis Care</w:t>
      </w:r>
      <w:bookmarkEnd w:id="3024"/>
    </w:p>
    <w:p>
      <w:pPr>
        <w:pStyle w:val="Normal"/>
        <w:widowControl/>
        <w:rPr/>
      </w:pPr>
      <w:r>
        <w:rPr/>
        <w:t>1. Each Party shall maintain reasonable procedures for mental-health screening at intake and thereafter where clinically indicated.</w:t>
      </w:r>
    </w:p>
    <w:p>
      <w:pPr>
        <w:pStyle w:val="Normal"/>
        <w:widowControl/>
        <w:rPr/>
      </w:pPr>
      <w:r>
        <w:rPr/>
        <w:t>2. Correctional institutions shall maintain suicide-prevention and acute mental-health crisis procedures.</w:t>
      </w:r>
    </w:p>
    <w:p>
      <w:pPr>
        <w:pStyle w:val="Normal"/>
        <w:widowControl/>
        <w:rPr/>
      </w:pPr>
      <w:r>
        <w:rPr/>
        <w:t>3. Serious mental illness, acute psychosis, significant cognitive impairment, or substantial suicide risk shall trigger heightened clinical review of housing, discipline, isolation, and treatment decisions.</w:t>
      </w:r>
    </w:p>
    <w:p>
      <w:pPr>
        <w:pStyle w:val="Normal"/>
        <w:widowControl/>
        <w:rPr/>
      </w:pPr>
      <w:r>
        <w:rPr/>
        <w:t>4. Restrictive housing shall not be used as a substitute for clinically necessary mental-health treatment.</w:t>
      </w:r>
    </w:p>
    <w:p>
      <w:bookmarkStart w:id="3025" w:name="_NAESTMA_TOC_3025"/>
      <w:pPr>
        <w:pStyle w:val="Heading2"/>
        <w:keepNext/>
        <w:widowControl/>
        <w:rPr/>
      </w:pPr>
      <w:r>
        <w:rPr/>
        <w:t>CH-16. Disability Accommodation</w:t>
      </w:r>
      <w:bookmarkEnd w:id="3025"/>
    </w:p>
    <w:p>
      <w:pPr>
        <w:pStyle w:val="Normal"/>
        <w:widowControl/>
        <w:rPr/>
      </w:pPr>
      <w:r>
        <w:rPr/>
        <w:t>1. Prisoners with disabilities shall receive reasonable accommodation and meaningful access to essential custodial services.</w:t>
      </w:r>
    </w:p>
    <w:p>
      <w:pPr>
        <w:pStyle w:val="Normal"/>
        <w:widowControl/>
        <w:rPr/>
      </w:pPr>
      <w:r>
        <w:rPr/>
        <w:t>2. Appropriate auxiliary aids, accessible communication, mobility access, accessible hygiene facilities, and reasonable program accommodation shall be provided according to need and applicable law.</w:t>
      </w:r>
    </w:p>
    <w:p>
      <w:pPr>
        <w:pStyle w:val="Normal"/>
        <w:widowControl/>
        <w:rPr/>
      </w:pPr>
      <w:r>
        <w:rPr/>
        <w:t>3. Disability shall not be punished indirectly through avoidable denial of communication, healthcare, education, legal access, exercise, or basic hygiene.</w:t>
      </w:r>
    </w:p>
    <w:p>
      <w:bookmarkStart w:id="3026" w:name="_NAESTMA_TOC_3026"/>
      <w:pPr>
        <w:pStyle w:val="Heading2"/>
        <w:keepNext/>
        <w:widowControl/>
        <w:rPr/>
      </w:pPr>
      <w:r>
        <w:rPr/>
        <w:t>CH-17. Protection from Violence, Sexual Abuse, Trafficking, and Extortion</w:t>
      </w:r>
      <w:bookmarkEnd w:id="3026"/>
    </w:p>
    <w:p>
      <w:pPr>
        <w:pStyle w:val="Normal"/>
        <w:widowControl/>
        <w:rPr/>
      </w:pPr>
      <w:r>
        <w:rPr/>
        <w:t>1. Each Party shall take reasonable measures to protect prisoners from serious violence, sexual abuse, trafficking, coercion, extortion, predatory exploitation, and retaliation.</w:t>
      </w:r>
    </w:p>
    <w:p>
      <w:pPr>
        <w:pStyle w:val="Normal"/>
        <w:widowControl/>
        <w:rPr/>
      </w:pPr>
      <w:r>
        <w:rPr/>
        <w:t>2. Correctional classification, intelligence, staffing, supervision, complaint mechanisms, and protective placement may be used to address identified risks.</w:t>
      </w:r>
    </w:p>
    <w:p>
      <w:pPr>
        <w:pStyle w:val="Normal"/>
        <w:widowControl/>
        <w:rPr/>
      </w:pPr>
      <w:r>
        <w:rPr/>
        <w:t>3. Protective measures shall not deliberately impose conditions materially equivalent to punitive solitary confinement merely because the person requiring protection is vulnerable.</w:t>
      </w:r>
    </w:p>
    <w:p>
      <w:bookmarkStart w:id="3027" w:name="_NAESTMA_TOC_3027"/>
      <w:pPr>
        <w:pStyle w:val="Heading2"/>
        <w:keepNext/>
        <w:widowControl/>
        <w:rPr/>
      </w:pPr>
      <w:r>
        <w:rPr/>
        <w:t>CH-18. Use of Force</w:t>
      </w:r>
      <w:bookmarkEnd w:id="3027"/>
    </w:p>
    <w:p>
      <w:pPr>
        <w:pStyle w:val="Normal"/>
        <w:widowControl/>
        <w:rPr/>
      </w:pPr>
      <w:r>
        <w:rPr/>
        <w:t>1. Force by correctional personnel shall serve a lawful custodial purpose and shall be necessary and proportionate to the circumstances known at the time.</w:t>
      </w:r>
    </w:p>
    <w:p>
      <w:pPr>
        <w:pStyle w:val="Normal"/>
        <w:widowControl/>
        <w:rPr/>
      </w:pPr>
      <w:r>
        <w:rPr/>
        <w:t>2. Force shall not be used for retaliation, humiliation, punishment outside authorized disciplinary processes, or to compel compliance where a materially safer reasonable alternative is readily available.</w:t>
      </w:r>
    </w:p>
    <w:p>
      <w:pPr>
        <w:pStyle w:val="Normal"/>
        <w:widowControl/>
        <w:rPr/>
      </w:pPr>
      <w:r>
        <w:rPr/>
        <w:t>3. Significant uses of force shall be documented and subject to meaningful supervisory or independent review.</w:t>
      </w:r>
    </w:p>
    <w:p>
      <w:pPr>
        <w:pStyle w:val="Normal"/>
        <w:widowControl/>
        <w:rPr/>
      </w:pPr>
      <w:r>
        <w:rPr/>
        <w:t>4. Nothing in this Article limits immediate lawful action reasonably necessary to prevent death, serious injury, escape, hostage taking, riot, or another imminent serious threat.</w:t>
      </w:r>
    </w:p>
    <w:p>
      <w:bookmarkStart w:id="3028" w:name="_NAESTMA_TOC_3028"/>
      <w:pPr>
        <w:pStyle w:val="Heading2"/>
        <w:keepNext/>
        <w:widowControl/>
        <w:rPr/>
      </w:pPr>
      <w:r>
        <w:rPr/>
        <w:t>CH-19. Restraints</w:t>
      </w:r>
      <w:bookmarkEnd w:id="3028"/>
    </w:p>
    <w:p>
      <w:pPr>
        <w:pStyle w:val="Normal"/>
        <w:widowControl/>
        <w:rPr/>
      </w:pPr>
      <w:r>
        <w:rPr/>
        <w:t>1. Mechanical, chemical, or physical restraints shall not be imposed as punishment.</w:t>
      </w:r>
    </w:p>
    <w:p>
      <w:pPr>
        <w:pStyle w:val="Normal"/>
        <w:widowControl/>
        <w:rPr/>
      </w:pPr>
      <w:r>
        <w:rPr/>
        <w:t>2. Restraints shall be no more restrictive than reasonably necessary for the identified safety, transport, medical, or security purpose.</w:t>
      </w:r>
    </w:p>
    <w:p>
      <w:pPr>
        <w:pStyle w:val="Normal"/>
        <w:widowControl/>
        <w:rPr/>
      </w:pPr>
      <w:r>
        <w:rPr/>
        <w:t>3. Extended, high-risk, or medically concerning restraint shall require documented justification, appropriate observation, and clinical review where health consequences may reasonably arise.</w:t>
      </w:r>
    </w:p>
    <w:p>
      <w:bookmarkStart w:id="3029" w:name="_NAESTMA_TOC_3029"/>
      <w:pPr>
        <w:pStyle w:val="Heading2"/>
        <w:keepNext/>
        <w:widowControl/>
        <w:rPr/>
      </w:pPr>
      <w:r>
        <w:rPr/>
        <w:t>CH-20. Definition of Solitary Confinement</w:t>
      </w:r>
      <w:bookmarkEnd w:id="3029"/>
    </w:p>
    <w:p>
      <w:pPr>
        <w:pStyle w:val="Normal"/>
        <w:widowControl/>
        <w:rPr/>
      </w:pPr>
      <w:r>
        <w:rPr/>
        <w:t>For purposes of this Package:</w:t>
      </w:r>
    </w:p>
    <w:p>
      <w:pPr>
        <w:pStyle w:val="Normal"/>
        <w:widowControl/>
        <w:rPr/>
      </w:pPr>
      <w:r>
        <w:rPr/>
        <w:t>(a) "solitary confinement" means confinement for 22 hours or more per day without meaningful human contact; and</w:t>
      </w:r>
    </w:p>
    <w:p>
      <w:pPr>
        <w:pStyle w:val="Normal"/>
        <w:widowControl/>
        <w:rPr/>
      </w:pPr>
      <w:r>
        <w:rPr/>
        <w:t>(b) "prolonged solitary confinement" means solitary confinement exceeding 15 consecutive days.</w:t>
      </w:r>
    </w:p>
    <w:p>
      <w:pPr>
        <w:pStyle w:val="Normal"/>
        <w:widowControl/>
        <w:rPr/>
      </w:pPr>
      <w:r>
        <w:rPr/>
        <w:t>The determination turns on actual conditions rather than the administrative name assigned to the regime.</w:t>
      </w:r>
    </w:p>
    <w:p>
      <w:bookmarkStart w:id="3030" w:name="_NAESTMA_TOC_3030"/>
      <w:pPr>
        <w:pStyle w:val="Heading2"/>
        <w:keepNext/>
        <w:widowControl/>
        <w:rPr/>
      </w:pPr>
      <w:r>
        <w:rPr/>
        <w:t>CH-21. Restrictive Housing as Exceptional Measure</w:t>
      </w:r>
      <w:bookmarkEnd w:id="3030"/>
    </w:p>
    <w:p>
      <w:pPr>
        <w:pStyle w:val="Normal"/>
        <w:widowControl/>
        <w:rPr/>
      </w:pPr>
      <w:r>
        <w:rPr/>
        <w:t>1. Solitary confinement or materially equivalent restrictive housing shall be used only in exceptional circumstances where justified by an individualized, documented safety, security, disciplinary, or emergency basis.</w:t>
      </w:r>
    </w:p>
    <w:p>
      <w:pPr>
        <w:pStyle w:val="Normal"/>
        <w:widowControl/>
        <w:rPr/>
      </w:pPr>
      <w:r>
        <w:rPr/>
        <w:t>2. It shall be used for the shortest period reasonably necessary and subject to regular review.</w:t>
      </w:r>
    </w:p>
    <w:p>
      <w:pPr>
        <w:pStyle w:val="Normal"/>
        <w:widowControl/>
        <w:rPr/>
      </w:pPr>
      <w:r>
        <w:rPr/>
        <w:t>3. Isolation shall not be imposed merely because ordinary staffing, programming, or accommodation is inconvenient.</w:t>
      </w:r>
    </w:p>
    <w:p>
      <w:bookmarkStart w:id="3031" w:name="_NAESTMA_TOC_3031"/>
      <w:pPr>
        <w:pStyle w:val="Heading2"/>
        <w:keepNext/>
        <w:widowControl/>
        <w:rPr/>
      </w:pPr>
      <w:r>
        <w:rPr/>
        <w:t>CH-22. Prolonged and Indefinite Solitary Confinement</w:t>
      </w:r>
      <w:bookmarkEnd w:id="3031"/>
    </w:p>
    <w:p>
      <w:pPr>
        <w:pStyle w:val="Normal"/>
        <w:widowControl/>
        <w:rPr/>
      </w:pPr>
      <w:r>
        <w:rPr/>
        <w:t>1. Indefinite solitary confinement is prohibited.</w:t>
      </w:r>
    </w:p>
    <w:p>
      <w:pPr>
        <w:pStyle w:val="Normal"/>
        <w:widowControl/>
        <w:rPr/>
      </w:pPr>
      <w:r>
        <w:rPr/>
        <w:t>2. Prolonged solitary confinement shall not be used as an ordinary disciplinary, administrative, protective, or classification measure.</w:t>
      </w:r>
    </w:p>
    <w:p>
      <w:pPr>
        <w:pStyle w:val="Normal"/>
        <w:widowControl/>
        <w:rPr/>
      </w:pPr>
      <w:r>
        <w:rPr/>
        <w:t>3. A Party shall not evade paragraph 2 through serial releases and immediate replacements, repeated relabelling, nominal changes of unit, or administrative reset of the same materially continuous conditions.</w:t>
      </w:r>
    </w:p>
    <w:p>
      <w:pPr>
        <w:pStyle w:val="Normal"/>
        <w:widowControl/>
        <w:rPr/>
      </w:pPr>
      <w:r>
        <w:rPr/>
        <w:t>4. Any extraordinary continuation asserted to be required by an immediate and serious safety emergency shall receive heightened, frequent, independent or functionally independent review and active planning toward less restrictive conditions.</w:t>
      </w:r>
    </w:p>
    <w:p>
      <w:bookmarkStart w:id="3032" w:name="_NAESTMA_TOC_3032"/>
      <w:pPr>
        <w:pStyle w:val="Heading2"/>
        <w:keepNext/>
        <w:widowControl/>
        <w:rPr/>
      </w:pPr>
      <w:r>
        <w:rPr/>
        <w:t>CH-23. Restrictive-Housing Living Conditions</w:t>
      </w:r>
      <w:bookmarkEnd w:id="3032"/>
    </w:p>
    <w:p>
      <w:pPr>
        <w:pStyle w:val="Normal"/>
        <w:widowControl/>
        <w:rPr/>
      </w:pPr>
      <w:r>
        <w:rPr/>
        <w:t>A prisoner in restrictive housing retains the protections concerning:</w:t>
      </w:r>
    </w:p>
    <w:p>
      <w:pPr>
        <w:pStyle w:val="Normal"/>
        <w:widowControl/>
        <w:rPr/>
      </w:pPr>
      <w:r>
        <w:rPr/>
        <w:t>(a) food and potable water; (b) necessary healthcare and medication; (c) sanitation and hygiene; (d) bedding and safe temperature; (e) legal access; (f) emergency protection; (g) disability accommodation; and (h) meaningful human contact consistent with safety.</w:t>
      </w:r>
    </w:p>
    <w:p>
      <w:bookmarkStart w:id="3033" w:name="_NAESTMA_TOC_3033"/>
      <w:pPr>
        <w:pStyle w:val="Heading2"/>
        <w:keepNext/>
        <w:widowControl/>
        <w:rPr/>
      </w:pPr>
      <w:r>
        <w:rPr/>
        <w:t>CH-24. Family Contact</w:t>
      </w:r>
      <w:bookmarkEnd w:id="3033"/>
    </w:p>
    <w:p>
      <w:pPr>
        <w:pStyle w:val="Normal"/>
        <w:widowControl/>
        <w:rPr/>
      </w:pPr>
      <w:r>
        <w:rPr/>
        <w:t>1. Prisoners shall have reasonable means to maintain family and community connections through in-person visits, correspondence, telephone, secure digital communication, or comparable methods.</w:t>
      </w:r>
    </w:p>
    <w:p>
      <w:pPr>
        <w:pStyle w:val="Normal"/>
        <w:widowControl/>
        <w:rPr/>
      </w:pPr>
      <w:r>
        <w:rPr/>
        <w:t>2. Family contact may be restricted for a legitimate and individualized security, disciplinary, victim-protection, evidentiary, or operational reason, but a restriction shall be proportionate and no broader or longer than reasonably necessary.</w:t>
      </w:r>
    </w:p>
    <w:p>
      <w:pPr>
        <w:pStyle w:val="Normal"/>
        <w:widowControl/>
        <w:rPr/>
      </w:pPr>
      <w:r>
        <w:rPr/>
        <w:t>3. Complete prohibition of family contact shall not be used as a routine disciplinary sanction.</w:t>
      </w:r>
    </w:p>
    <w:p>
      <w:bookmarkStart w:id="3034" w:name="_NAESTMA_TOC_3034"/>
      <w:pPr>
        <w:pStyle w:val="Heading2"/>
        <w:keepNext/>
        <w:widowControl/>
        <w:rPr/>
      </w:pPr>
      <w:r>
        <w:rPr/>
        <w:t>CH-25. Children and Family Relationships</w:t>
      </w:r>
      <w:bookmarkEnd w:id="3034"/>
    </w:p>
    <w:p>
      <w:pPr>
        <w:pStyle w:val="Normal"/>
        <w:widowControl/>
        <w:rPr/>
      </w:pPr>
      <w:r>
        <w:rPr/>
        <w:t>1. Where a prisoner has a lawful parental or caregiving relationship, custody administration should facilitate safe and appropriate continuing contact when consistent with the interests and safety of the child.</w:t>
      </w:r>
    </w:p>
    <w:p>
      <w:pPr>
        <w:pStyle w:val="Normal"/>
        <w:widowControl/>
        <w:rPr/>
      </w:pPr>
      <w:r>
        <w:rPr/>
        <w:t>2. The Parties should encourage child-sensitive visiting procedures and reasonable family-reunification programming.</w:t>
      </w:r>
    </w:p>
    <w:p>
      <w:pPr>
        <w:pStyle w:val="Normal"/>
        <w:widowControl/>
        <w:rPr/>
      </w:pPr>
      <w:r>
        <w:rPr/>
        <w:t>3. This Article creates no custody or access entitlement contrary to family, child-protection, victim-protection, or judicial orders.</w:t>
      </w:r>
    </w:p>
    <w:p>
      <w:bookmarkStart w:id="3035" w:name="_NAESTMA_TOC_3035"/>
      <w:pPr>
        <w:pStyle w:val="Heading2"/>
        <w:keepNext/>
        <w:widowControl/>
        <w:rPr/>
      </w:pPr>
      <w:r>
        <w:rPr/>
        <w:t>CH-26. Legal Counsel and Privileged Communication</w:t>
      </w:r>
      <w:bookmarkEnd w:id="3035"/>
    </w:p>
    <w:p>
      <w:pPr>
        <w:pStyle w:val="Normal"/>
        <w:widowControl/>
        <w:rPr/>
      </w:pPr>
      <w:r>
        <w:rPr/>
        <w:t>1. Prisoners shall have meaningful access to legal counsel as provided by applicable law.</w:t>
      </w:r>
    </w:p>
    <w:p>
      <w:pPr>
        <w:pStyle w:val="Normal"/>
        <w:widowControl/>
        <w:rPr/>
      </w:pPr>
      <w:r>
        <w:rPr/>
        <w:t>2. Legally privileged communications shall receive appropriate confidentiality.</w:t>
      </w:r>
    </w:p>
    <w:p>
      <w:pPr>
        <w:pStyle w:val="Normal"/>
        <w:widowControl/>
        <w:rPr/>
      </w:pPr>
      <w:r>
        <w:rPr/>
        <w:t>3. Security screening of correspondence or communication shall be designed so far as reasonably possible to preserve applicable privilege.</w:t>
      </w:r>
    </w:p>
    <w:p>
      <w:bookmarkStart w:id="3036" w:name="_NAESTMA_TOC_3036"/>
      <w:pPr>
        <w:pStyle w:val="Heading2"/>
        <w:keepNext/>
        <w:widowControl/>
        <w:rPr/>
      </w:pPr>
      <w:r>
        <w:rPr/>
        <w:t>CH-27. Legal Information</w:t>
      </w:r>
      <w:bookmarkEnd w:id="3036"/>
    </w:p>
    <w:p>
      <w:pPr>
        <w:pStyle w:val="Normal"/>
        <w:widowControl/>
        <w:rPr/>
      </w:pPr>
      <w:r>
        <w:rPr/>
        <w:t>A correctional institution shall provide a reasonable means for prisoners to obtain legal information necessary to pursue available judicial, administrative, disciplinary, sentence-administration, or conditions-of- confinement remedies.</w:t>
      </w:r>
    </w:p>
    <w:p>
      <w:bookmarkStart w:id="3037" w:name="_NAESTMA_TOC_3037"/>
      <w:pPr>
        <w:pStyle w:val="Heading2"/>
        <w:keepNext/>
        <w:widowControl/>
        <w:rPr/>
      </w:pPr>
      <w:r>
        <w:rPr/>
        <w:t>CH-28. Disciplinary Fairness</w:t>
      </w:r>
      <w:bookmarkEnd w:id="3037"/>
    </w:p>
    <w:p>
      <w:pPr>
        <w:pStyle w:val="Normal"/>
        <w:widowControl/>
        <w:rPr/>
      </w:pPr>
      <w:r>
        <w:rPr/>
        <w:t>Where prison discipline may result in a materially adverse sanction, applicable procedures shall provide:</w:t>
      </w:r>
    </w:p>
    <w:p>
      <w:pPr>
        <w:pStyle w:val="Normal"/>
        <w:widowControl/>
        <w:rPr/>
      </w:pPr>
      <w:r>
        <w:rPr/>
        <w:t>(a) understandable notice of the allegation; (b) a meaningful opportunity to respond; (c) a decision by an authorized and appropriately impartial decision-maker; (d) written reasons where required by domestic law or where necessary for meaningful review; and (e) access to available internal, administrative, or judicial review.</w:t>
      </w:r>
    </w:p>
    <w:p>
      <w:bookmarkStart w:id="3038" w:name="_NAESTMA_TOC_3038"/>
      <w:pPr>
        <w:pStyle w:val="Heading2"/>
        <w:keepNext/>
        <w:widowControl/>
        <w:rPr/>
      </w:pPr>
      <w:r>
        <w:rPr/>
        <w:t>CH-29. Complaint, Whistleblower, and Anti-Retaliation Protection</w:t>
      </w:r>
      <w:bookmarkEnd w:id="3038"/>
    </w:p>
    <w:p>
      <w:pPr>
        <w:pStyle w:val="Normal"/>
        <w:widowControl/>
        <w:rPr/>
      </w:pPr>
      <w:r>
        <w:rPr/>
        <w:t>1. Prisoners shall have access to a usable complaint or grievance procedure.</w:t>
      </w:r>
    </w:p>
    <w:p>
      <w:pPr>
        <w:pStyle w:val="Normal"/>
        <w:widowControl/>
        <w:rPr/>
      </w:pPr>
      <w:r>
        <w:rPr/>
        <w:t>2. Good-faith complaints concerning abuse, healthcare, food, water, sanitation, discrimination, disability, safety, corruption, extortion, sexual misconduct, or staff misconduct shall not result in unlawful retaliation.</w:t>
      </w:r>
    </w:p>
    <w:p>
      <w:pPr>
        <w:pStyle w:val="Normal"/>
        <w:widowControl/>
        <w:rPr/>
      </w:pPr>
      <w:r>
        <w:rPr/>
        <w:t>3. Confidential reporting channels should be available for serious allegations where practicable.</w:t>
      </w:r>
    </w:p>
    <w:p>
      <w:bookmarkStart w:id="3039" w:name="_NAESTMA_TOC_3039"/>
      <w:pPr>
        <w:pStyle w:val="Heading2"/>
        <w:keepNext/>
        <w:widowControl/>
        <w:rPr/>
      </w:pPr>
      <w:r>
        <w:rPr/>
        <w:t>CH-30. Independent Inspection and Oversight</w:t>
      </w:r>
      <w:bookmarkEnd w:id="3039"/>
    </w:p>
    <w:p>
      <w:pPr>
        <w:pStyle w:val="Normal"/>
        <w:widowControl/>
        <w:rPr/>
      </w:pPr>
      <w:r>
        <w:rPr/>
        <w:t>1. Each Party shall maintain meaningful external or functionally independent oversight of correctional conditions.</w:t>
      </w:r>
    </w:p>
    <w:p>
      <w:pPr>
        <w:pStyle w:val="Normal"/>
        <w:widowControl/>
        <w:rPr/>
      </w:pPr>
      <w:r>
        <w:rPr/>
        <w:t>2. Oversight shall have sufficient authority, access, expertise, and institutional independence to identify serious systemic deficiencies.</w:t>
      </w:r>
    </w:p>
    <w:p>
      <w:pPr>
        <w:pStyle w:val="Normal"/>
        <w:widowControl/>
        <w:rPr/>
      </w:pPr>
      <w:r>
        <w:rPr/>
        <w:t>3. Unannounced inspections should be available where authorized by domestic law or another equally effective inspection mechanism shall be maintained.</w:t>
      </w:r>
    </w:p>
    <w:p>
      <w:pPr>
        <w:pStyle w:val="Normal"/>
        <w:widowControl/>
        <w:rPr/>
      </w:pPr>
      <w:r>
        <w:rPr/>
        <w:t>4. Oversight mechanisms shall respect privacy, privilege, legitimate institutional-security requirements, and protection of confidential sources.</w:t>
      </w:r>
    </w:p>
    <w:p>
      <w:bookmarkStart w:id="3040" w:name="_NAESTMA_TOC_3040"/>
      <w:pPr>
        <w:pStyle w:val="Heading2"/>
        <w:keepNext/>
        <w:widowControl/>
        <w:rPr/>
      </w:pPr>
      <w:r>
        <w:rPr/>
        <w:t>CH-31. Deaths, Serious Injuries, and Grave Incidents</w:t>
      </w:r>
      <w:bookmarkEnd w:id="3040"/>
    </w:p>
    <w:p>
      <w:pPr>
        <w:pStyle w:val="Normal"/>
        <w:widowControl/>
        <w:rPr/>
      </w:pPr>
      <w:r>
        <w:rPr/>
        <w:t>1. Deaths in custody, suicides, serious injuries, major medical emergencies, credible allegations of torture or sexual abuse, and comparable grave incidents shall be documented.</w:t>
      </w:r>
    </w:p>
    <w:p>
      <w:pPr>
        <w:pStyle w:val="Normal"/>
        <w:widowControl/>
        <w:rPr/>
      </w:pPr>
      <w:r>
        <w:rPr/>
        <w:t>2. Deaths in custody and other designated grave incidents shall receive meaningful independent or external review.</w:t>
      </w:r>
    </w:p>
    <w:p>
      <w:pPr>
        <w:pStyle w:val="Normal"/>
        <w:widowControl/>
        <w:rPr/>
      </w:pPr>
      <w:r>
        <w:rPr/>
        <w:t>3. Privacy-protective aggregate public reporting shall be maintained sufficient to identify systemic patterns.</w:t>
      </w:r>
    </w:p>
    <w:p>
      <w:bookmarkStart w:id="3041" w:name="_NAESTMA_TOC_3041"/>
      <w:pPr>
        <w:pStyle w:val="Heading2"/>
        <w:keepNext/>
        <w:widowControl/>
        <w:rPr/>
      </w:pPr>
      <w:r>
        <w:rPr/>
        <w:t>CH-32. Fire, Disaster, and Emergency Preparedness</w:t>
      </w:r>
      <w:bookmarkEnd w:id="3041"/>
    </w:p>
    <w:p>
      <w:pPr>
        <w:pStyle w:val="Normal"/>
        <w:widowControl/>
        <w:rPr/>
      </w:pPr>
      <w:r>
        <w:rPr/>
        <w:t>1. Correctional facilities shall maintain adequate fire detection and suppression, evacuation capability, emergency medical planning, and disaster procedures.</w:t>
      </w:r>
    </w:p>
    <w:p>
      <w:pPr>
        <w:pStyle w:val="Normal"/>
        <w:widowControl/>
        <w:rPr/>
      </w:pPr>
      <w:r>
        <w:rPr/>
        <w:t>2. Emergency planning shall recognize that prisoners cannot freely evacuate or secure food, medicine, shelter, water, or communication independently.</w:t>
      </w:r>
    </w:p>
    <w:p>
      <w:pPr>
        <w:pStyle w:val="Normal"/>
        <w:widowControl/>
        <w:rPr/>
      </w:pPr>
      <w:r>
        <w:rPr/>
        <w:t>3. A disaster, wildfire, flood, extreme-weather event, power failure, civil emergency, or institutional disturbance shall not justify abandonment of basic life-safety obligations.</w:t>
      </w:r>
    </w:p>
    <w:p>
      <w:bookmarkStart w:id="3042" w:name="_NAESTMA_TOC_3042"/>
      <w:pPr>
        <w:pStyle w:val="Heading2"/>
        <w:keepNext/>
        <w:widowControl/>
        <w:rPr/>
      </w:pPr>
      <w:r>
        <w:rPr/>
        <w:t>CH-33. Religion, Culture, and Language</w:t>
      </w:r>
      <w:bookmarkEnd w:id="3042"/>
    </w:p>
    <w:p>
      <w:pPr>
        <w:pStyle w:val="Normal"/>
        <w:widowControl/>
        <w:rPr/>
      </w:pPr>
      <w:r>
        <w:rPr/>
        <w:t>1. Reasonable religious and spiritual practice shall be accommodated consistent with lawful security and equality requirements.</w:t>
      </w:r>
    </w:p>
    <w:p>
      <w:pPr>
        <w:pStyle w:val="Normal"/>
        <w:widowControl/>
        <w:rPr/>
      </w:pPr>
      <w:r>
        <w:rPr/>
        <w:t>2. Material legal, disciplinary, and medical information shall be communicated in a form the person can reasonably understand, including interpretation or accessible communication where required.</w:t>
      </w:r>
    </w:p>
    <w:p>
      <w:pPr>
        <w:pStyle w:val="Normal"/>
        <w:widowControl/>
        <w:rPr/>
      </w:pPr>
      <w:r>
        <w:rPr/>
        <w:t>3. Applicable Indigenous cultural, spiritual, language, and treaty rights remain protected under domestic law and other provisions of this Agreement.</w:t>
      </w:r>
    </w:p>
    <w:p>
      <w:bookmarkStart w:id="3043" w:name="_NAESTMA_TOC_3043"/>
      <w:pPr>
        <w:pStyle w:val="Heading2"/>
        <w:keepNext/>
        <w:widowControl/>
        <w:rPr/>
      </w:pPr>
      <w:r>
        <w:rPr/>
        <w:t>CH-34. Private Contractors and Outsourced Custody</w:t>
      </w:r>
      <w:bookmarkEnd w:id="3043"/>
    </w:p>
    <w:p>
      <w:pPr>
        <w:pStyle w:val="Normal"/>
        <w:widowControl/>
        <w:rPr/>
      </w:pPr>
      <w:r>
        <w:rPr/>
        <w:t>1. A Party shall not avoid responsibility under this Package by delegating custody, healthcare, food service, transport, security, or another correctional function to a private contractor, subnational authority, public corporation, foreign partner, or other intermediary.</w:t>
      </w:r>
    </w:p>
    <w:p>
      <w:pPr>
        <w:pStyle w:val="Normal"/>
        <w:widowControl/>
        <w:rPr/>
      </w:pPr>
      <w:r>
        <w:rPr/>
        <w:t>2. Contracts involving custodial functions shall preserve effective governmental oversight and accountability.</w:t>
      </w:r>
    </w:p>
    <w:p>
      <w:bookmarkStart w:id="3044" w:name="_NAESTMA_TOC_3044"/>
      <w:pPr>
        <w:pStyle w:val="Heading2"/>
        <w:keepNext/>
        <w:widowControl/>
        <w:rPr/>
      </w:pPr>
      <w:r>
        <w:rPr/>
        <w:t>CH-35. Transfer and Relabelling Firewall</w:t>
      </w:r>
      <w:bookmarkEnd w:id="3044"/>
    </w:p>
    <w:p>
      <w:pPr>
        <w:pStyle w:val="Normal"/>
        <w:widowControl/>
        <w:rPr/>
      </w:pPr>
      <w:r>
        <w:rPr/>
        <w:t>1. A Party shall not transfer a person principally for the purpose of evading this Package.</w:t>
      </w:r>
    </w:p>
    <w:p>
      <w:pPr>
        <w:pStyle w:val="Normal"/>
        <w:widowControl/>
        <w:rPr/>
      </w:pPr>
      <w:r>
        <w:rPr/>
        <w:t>2. Transfer to another institution, jurisdiction, contractor, immigration facility, medical unit, military site, protective unit, or other custodial setting shall not extinguish applicable protections where the sending Party retains responsibility under domestic or international law.</w:t>
      </w:r>
    </w:p>
    <w:p>
      <w:pPr>
        <w:pStyle w:val="Normal"/>
        <w:widowControl/>
        <w:rPr/>
      </w:pPr>
      <w:r>
        <w:rPr/>
        <w:t>3. Functional conditions govern over labels.</w:t>
      </w:r>
    </w:p>
    <w:p>
      <w:bookmarkStart w:id="3045" w:name="_NAESTMA_TOC_3045"/>
      <w:pPr>
        <w:pStyle w:val="Heading2"/>
        <w:keepNext/>
        <w:widowControl/>
        <w:rPr/>
      </w:pPr>
      <w:r>
        <w:rPr/>
        <w:t>CH-36. Pretrial and Unconvicted Persons</w:t>
      </w:r>
      <w:bookmarkEnd w:id="3045"/>
    </w:p>
    <w:p>
      <w:pPr>
        <w:pStyle w:val="Normal"/>
        <w:widowControl/>
        <w:rPr/>
      </w:pPr>
      <w:r>
        <w:rPr/>
        <w:t>1. The Mandatory Custodial Dignity Floor applies equally to persons detained before conviction.</w:t>
      </w:r>
    </w:p>
    <w:p>
      <w:pPr>
        <w:pStyle w:val="Normal"/>
        <w:widowControl/>
        <w:rPr/>
      </w:pPr>
      <w:r>
        <w:rPr/>
        <w:t>2. Nothing in this Package authorizes punitive treatment of an unconvicted person merely because release has not been granted.</w:t>
      </w:r>
    </w:p>
    <w:p>
      <w:pPr>
        <w:pStyle w:val="Normal"/>
        <w:widowControl/>
        <w:rPr/>
      </w:pPr>
      <w:r>
        <w:rPr/>
        <w:t>3. The Parties shall preserve distinctions between pretrial administration and punishment required by their respective constitutional and legal systems.</w:t>
      </w:r>
    </w:p>
    <w:p>
      <w:bookmarkStart w:id="3046" w:name="_NAESTMA_TOC_3046"/>
      <w:pPr>
        <w:pStyle w:val="Heading2"/>
        <w:keepNext/>
        <w:widowControl/>
        <w:rPr/>
      </w:pPr>
      <w:r>
        <w:rPr/>
        <w:t>CH-37. Correctional Staff Safety and Dignity</w:t>
      </w:r>
      <w:bookmarkEnd w:id="3046"/>
    </w:p>
    <w:p>
      <w:pPr>
        <w:pStyle w:val="Normal"/>
        <w:widowControl/>
        <w:rPr/>
      </w:pPr>
      <w:r>
        <w:rPr/>
        <w:t>1. The Parties recognize correctional personnel as beneficiaries of a safe, professional corrections framework.</w:t>
      </w:r>
    </w:p>
    <w:p>
      <w:pPr>
        <w:pStyle w:val="Normal"/>
        <w:widowControl/>
        <w:rPr/>
      </w:pPr>
      <w:r>
        <w:rPr/>
        <w:t>2. Implementation shall support adequate training, emergency preparedness, appropriate protective equipment, de-escalation capability, violence prevention, mental-health awareness, professional integrity, and reasonable staff wellness.</w:t>
      </w:r>
    </w:p>
    <w:p>
      <w:pPr>
        <w:pStyle w:val="Normal"/>
        <w:widowControl/>
        <w:rPr/>
      </w:pPr>
      <w:r>
        <w:rPr/>
        <w:t>3. Nothing in this Package requires an officer to expose the officer, another employee, a prisoner, or the public to an imminent serious threat in order to comply with a procedural preference.</w:t>
      </w:r>
    </w:p>
    <w:p>
      <w:bookmarkStart w:id="3047" w:name="_NAESTMA_TOC_3047"/>
      <w:pPr>
        <w:pStyle w:val="Heading2"/>
        <w:keepNext/>
        <w:widowControl/>
        <w:rPr/>
      </w:pPr>
      <w:r>
        <w:rPr/>
        <w:t>CH-38. Emergency Safety Authority</w:t>
      </w:r>
      <w:bookmarkEnd w:id="3047"/>
    </w:p>
    <w:p>
      <w:pPr>
        <w:pStyle w:val="Normal"/>
        <w:widowControl/>
        <w:rPr/>
      </w:pPr>
      <w:r>
        <w:rPr/>
        <w:t>1. Nothing in this Package prevents temporary measures reasonably necessary to respond to riot, hostage taking, active violence, escape, fire, natural disaster, infrastructure failure, serious infectious-disease event, or another genuine emergency.</w:t>
      </w:r>
    </w:p>
    <w:p>
      <w:pPr>
        <w:pStyle w:val="Normal"/>
        <w:widowControl/>
        <w:rPr/>
      </w:pPr>
      <w:r>
        <w:rPr/>
        <w:t>2. Emergency measures shall be proportionate to the threat and shall not become a pretext for indefinite suspension of the Mandatory Custodial Dignity Floor.</w:t>
      </w:r>
    </w:p>
    <w:p>
      <w:pPr>
        <w:pStyle w:val="Normal"/>
        <w:widowControl/>
        <w:rPr/>
      </w:pPr>
      <w:r>
        <w:rPr/>
        <w:t>3. Food, potable water, necessary emergency healthcare, protection against torture, and essential life-safety obligations remain non-derogable.</w:t>
      </w:r>
    </w:p>
    <w:p>
      <w:bookmarkStart w:id="3048" w:name="_NAESTMA_TOC_3048"/>
      <w:pPr>
        <w:pStyle w:val="Heading2"/>
        <w:keepNext/>
        <w:widowControl/>
        <w:rPr/>
      </w:pPr>
      <w:r>
        <w:rPr/>
        <w:t>CH-39. Emergency Sunset and Restoration</w:t>
      </w:r>
      <w:bookmarkEnd w:id="3048"/>
    </w:p>
    <w:p>
      <w:pPr>
        <w:pStyle w:val="Normal"/>
        <w:widowControl/>
        <w:rPr/>
      </w:pPr>
      <w:r>
        <w:rPr/>
        <w:t>A material emergency restriction affecting ordinary conditions shall include, where practicable:</w:t>
      </w:r>
    </w:p>
    <w:p>
      <w:pPr>
        <w:pStyle w:val="Normal"/>
        <w:widowControl/>
        <w:rPr/>
      </w:pPr>
      <w:r>
        <w:rPr/>
        <w:t>(a) the factual basis for activation; (b) the authority responsible; (c) periodic review; (d) criteria for termination or relaxation; (e) restoration of ordinary services and conditions when the emergency ends; and (f) documentation sufficient for later oversight.</w:t>
      </w:r>
    </w:p>
    <w:p>
      <w:bookmarkStart w:id="3049" w:name="_NAESTMA_TOC_3049"/>
      <w:pPr>
        <w:pStyle w:val="Heading2"/>
        <w:keepNext/>
        <w:widowControl/>
        <w:rPr/>
      </w:pPr>
      <w:r>
        <w:rPr/>
        <w:t>CH-40. Federalism and Constitutional Implementation</w:t>
      </w:r>
      <w:bookmarkEnd w:id="3049"/>
    </w:p>
    <w:p>
      <w:pPr>
        <w:pStyle w:val="Normal"/>
        <w:widowControl/>
        <w:rPr/>
      </w:pPr>
      <w:r>
        <w:rPr/>
        <w:t>1. Each Party shall implement this Package through measures available under its constitutional system.</w:t>
      </w:r>
    </w:p>
    <w:p>
      <w:pPr>
        <w:pStyle w:val="Normal"/>
        <w:widowControl/>
        <w:rPr/>
      </w:pPr>
      <w:r>
        <w:rPr/>
        <w:t>2. Nothing in this Package alters the internal constitutional distribution of legislative, executive, judicial, federal, state, provincial, territorial, local, Indigenous, or other governmental authority.</w:t>
      </w:r>
    </w:p>
    <w:p>
      <w:pPr>
        <w:pStyle w:val="Normal"/>
        <w:widowControl/>
        <w:rPr/>
      </w:pPr>
      <w:r>
        <w:rPr/>
        <w:t>3. Where implementation requires action by a subnational authority, the Party shall use constitutionally available means, including legislation, funding, agreements, incentives, reporting, intergovernmental coordination, or other lawful mechanisms appropriate to its system.</w:t>
      </w:r>
    </w:p>
    <w:p>
      <w:pPr>
        <w:pStyle w:val="Normal"/>
        <w:widowControl/>
        <w:rPr/>
      </w:pPr>
      <w:r>
        <w:rPr/>
        <w:t>4. A Party shall not be deemed in breach merely because its internal legal structure differs from that of another Party.</w:t>
      </w:r>
    </w:p>
    <w:p>
      <w:bookmarkStart w:id="3050" w:name="_NAESTMA_TOC_3050"/>
      <w:pPr>
        <w:pStyle w:val="Heading2"/>
        <w:keepNext/>
        <w:widowControl/>
        <w:rPr/>
      </w:pPr>
      <w:r>
        <w:rPr/>
        <w:t>CH-41. Higher Domestic Protection Preserved</w:t>
      </w:r>
      <w:bookmarkEnd w:id="3050"/>
    </w:p>
    <w:p>
      <w:pPr>
        <w:pStyle w:val="Normal"/>
        <w:widowControl/>
        <w:rPr/>
      </w:pPr>
      <w:r>
        <w:rPr/>
        <w:t>Nothing in this Package prevents a Party or subnational government from maintaining or adopting protections more favourable to prisoners, staff, families, victims, or institutional safety.</w:t>
      </w:r>
    </w:p>
    <w:p>
      <w:bookmarkStart w:id="3051" w:name="_NAESTMA_TOC_3051"/>
      <w:pPr>
        <w:pStyle w:val="Heading2"/>
        <w:keepNext/>
        <w:widowControl/>
        <w:rPr/>
      </w:pPr>
      <w:r>
        <w:rPr/>
        <w:t>CH-42. No Private Right Created Solely by NAESTMA</w:t>
      </w:r>
      <w:bookmarkEnd w:id="3051"/>
    </w:p>
    <w:p>
      <w:pPr>
        <w:pStyle w:val="Normal"/>
        <w:widowControl/>
        <w:rPr/>
      </w:pPr>
      <w:r>
        <w:rPr/>
        <w:t>Unless expressly implemented through domestic law, this Package does not by itself create a private cause of action, damages remedy, criminal defence, sentence-reduction entitlement, parole entitlement, or basis for release.</w:t>
      </w:r>
    </w:p>
    <w:p>
      <w:pPr>
        <w:pStyle w:val="Normal"/>
        <w:widowControl/>
        <w:rPr/>
      </w:pPr>
      <w:r>
        <w:rPr/>
        <w:t>Nothing in this Article diminishes a remedy independently available under domestic constitutional, statutory, administrative, or international law.</w:t>
      </w:r>
    </w:p>
    <w:p>
      <w:bookmarkStart w:id="3052" w:name="_NAESTMA_TOC_3052"/>
      <w:pPr>
        <w:pStyle w:val="Heading2"/>
        <w:keepNext/>
        <w:widowControl/>
        <w:rPr/>
      </w:pPr>
      <w:r>
        <w:rPr/>
        <w:t>CH-43. Human Rights Cannot Be Trade Collateral</w:t>
      </w:r>
      <w:bookmarkEnd w:id="3052"/>
    </w:p>
    <w:p>
      <w:pPr>
        <w:pStyle w:val="Normal"/>
        <w:widowControl/>
        <w:rPr/>
      </w:pPr>
      <w:r>
        <w:rPr/>
        <w:t>1. Food, potable water, necessary healthcare, protection from torture or abuse, legal access, basic sanitation, disability accommodation, and other fundamental protections under the Mandatory Custodial Dignity Floor shall not be suspended, reduced, delayed, or traded away as retaliation, compensation, economic leverage, tariff consideration, procurement leverage, or a No-Uncompensated-Front-Loading step-back.</w:t>
      </w:r>
    </w:p>
    <w:p>
      <w:pPr>
        <w:pStyle w:val="Normal"/>
        <w:widowControl/>
        <w:rPr/>
      </w:pPr>
      <w:r>
        <w:rPr/>
        <w:t>2. No Party shall demand degradation of an individual prisoner's treatment as consideration for an unrelated commercial or security concession.</w:t>
      </w:r>
    </w:p>
    <w:p>
      <w:bookmarkStart w:id="3053" w:name="_NAESTMA_TOC_3053"/>
      <w:pPr>
        <w:pStyle w:val="Heading2"/>
        <w:keepNext/>
        <w:widowControl/>
        <w:rPr/>
      </w:pPr>
      <w:r>
        <w:rPr/>
        <w:t>CH-44. Systemic-Failure Threshold for Intergovernmental Enforcement</w:t>
      </w:r>
      <w:bookmarkEnd w:id="3053"/>
    </w:p>
    <w:p>
      <w:pPr>
        <w:pStyle w:val="Normal"/>
        <w:widowControl/>
        <w:rPr/>
      </w:pPr>
      <w:r>
        <w:rPr/>
        <w:t>1. The Parties recognize that large correctional systems inevitably experience individual operational failures, misconduct allegations, medical disputes, and facility-level incidents.</w:t>
      </w:r>
    </w:p>
    <w:p>
      <w:pPr>
        <w:pStyle w:val="Normal"/>
        <w:widowControl/>
        <w:rPr/>
      </w:pPr>
      <w:r>
        <w:rPr/>
        <w:t>2. Intergovernmental compliance action under this Agreement should focus on a serious, persistent, deliberate, or systemic failure to maintain the Mandatory Custodial Dignity Floor, or a credible refusal to investigate and cure a grave violation.</w:t>
      </w:r>
    </w:p>
    <w:p>
      <w:pPr>
        <w:pStyle w:val="Normal"/>
        <w:widowControl/>
        <w:rPr/>
      </w:pPr>
      <w:r>
        <w:rPr/>
        <w:t>3. An isolated incident that is promptly investigated and reasonably remedied shall not ordinarily establish Party-level non-compliance.</w:t>
      </w:r>
    </w:p>
    <w:p>
      <w:bookmarkStart w:id="3054" w:name="_NAESTMA_TOC_3054"/>
      <w:pPr>
        <w:pStyle w:val="Heading2"/>
        <w:keepNext/>
        <w:widowControl/>
        <w:rPr/>
      </w:pPr>
      <w:r>
        <w:rPr/>
        <w:t>CH-45. Cure Before Economic Consequence</w:t>
      </w:r>
      <w:bookmarkEnd w:id="3054"/>
    </w:p>
    <w:p>
      <w:pPr>
        <w:pStyle w:val="Normal"/>
        <w:widowControl/>
        <w:rPr/>
      </w:pPr>
      <w:r>
        <w:rPr/>
        <w:t>1. Except in a grave-abuse case, a concern under this Package shall first proceed through notice, evidence exchange, consultation, and a reasonable cure period.</w:t>
      </w:r>
    </w:p>
    <w:p>
      <w:pPr>
        <w:pStyle w:val="Normal"/>
        <w:widowControl/>
        <w:rPr/>
      </w:pPr>
      <w:r>
        <w:rPr/>
        <w:t>2. Corrective action may include investigation, emergency remediation, policy change, staff discipline, medical intervention, facility repair, monitoring, or another measure reasonably tailored to the deficiency.</w:t>
      </w:r>
    </w:p>
    <w:p>
      <w:pPr>
        <w:pStyle w:val="Normal"/>
        <w:widowControl/>
        <w:rPr/>
      </w:pPr>
      <w:r>
        <w:rPr/>
        <w:t>3. General tariffs, unrelated border restrictions, or punishment of unrelated industries shall not constitute the ordinary remedy for a correctional conditions dispute.</w:t>
      </w:r>
    </w:p>
    <w:p>
      <w:bookmarkStart w:id="3055" w:name="_NAESTMA_TOC_3055"/>
      <w:pPr>
        <w:pStyle w:val="Heading2"/>
        <w:keepNext/>
        <w:widowControl/>
        <w:rPr/>
      </w:pPr>
      <w:r>
        <w:rPr/>
        <w:t>CH-46. Grave-Abuse Accelerator</w:t>
      </w:r>
      <w:bookmarkEnd w:id="3055"/>
    </w:p>
    <w:p>
      <w:pPr>
        <w:pStyle w:val="Normal"/>
        <w:widowControl/>
        <w:rPr/>
      </w:pPr>
      <w:r>
        <w:rPr/>
        <w:t>Where credible evidence indicates torture, disappearance, deliberate starvation, deliberate denial of life-saving medical care, systematic sexual abuse, trafficking, unlawful killing, or another comparably grave abuse, expedited consultation and independent fact review may begin without exhaustion of the ordinary cure period.</w:t>
      </w:r>
    </w:p>
    <w:p>
      <w:pPr>
        <w:pStyle w:val="Normal"/>
        <w:widowControl/>
        <w:rPr/>
      </w:pPr>
      <w:r>
        <w:rPr/>
        <w:t>The response shall remain targeted to correction, accountability, transparency, and protection of affected persons rather than unrelated commercial punishment.</w:t>
      </w:r>
    </w:p>
    <w:p>
      <w:bookmarkStart w:id="3056" w:name="_NAESTMA_TOC_3056"/>
      <w:pPr>
        <w:pStyle w:val="Heading2"/>
        <w:keepNext/>
        <w:widowControl/>
        <w:rPr/>
      </w:pPr>
      <w:r>
        <w:rPr/>
        <w:t>CH-47. Data, Reporting, and Privacy</w:t>
      </w:r>
      <w:bookmarkEnd w:id="3056"/>
    </w:p>
    <w:p>
      <w:pPr>
        <w:pStyle w:val="Normal"/>
        <w:widowControl/>
        <w:rPr/>
      </w:pPr>
      <w:r>
        <w:rPr/>
        <w:t>1. The Parties should maintain comparable aggregate data, to the extent practicable, concerning custodial deaths, serious injuries, restrictive housing, major uses of force, healthcare access, complaints, and other agreed systemic indicators.</w:t>
      </w:r>
    </w:p>
    <w:p>
      <w:pPr>
        <w:pStyle w:val="Normal"/>
        <w:widowControl/>
        <w:rPr/>
      </w:pPr>
      <w:r>
        <w:rPr/>
        <w:t>2. Data sharing under this Package shall protect medical confidentiality, attorney-client privilege, victim information, security-sensitive information, and personal privacy.</w:t>
      </w:r>
    </w:p>
    <w:p>
      <w:pPr>
        <w:pStyle w:val="Normal"/>
        <w:widowControl/>
        <w:rPr/>
      </w:pPr>
      <w:r>
        <w:rPr/>
        <w:t>3. Nothing requires publication of information that would identify a vulnerable prisoner or compromise an active investigation, subject to applicable law.</w:t>
      </w:r>
    </w:p>
    <w:p>
      <w:bookmarkStart w:id="3057" w:name="_NAESTMA_TOC_3057"/>
      <w:pPr>
        <w:pStyle w:val="Heading2"/>
        <w:keepNext/>
        <w:widowControl/>
        <w:rPr/>
      </w:pPr>
      <w:r>
        <w:rPr/>
        <w:t>CH-48. No New Supranational Prison Authority</w:t>
      </w:r>
      <w:bookmarkEnd w:id="3057"/>
    </w:p>
    <w:p>
      <w:pPr>
        <w:pStyle w:val="Normal"/>
        <w:widowControl/>
        <w:rPr/>
      </w:pPr>
      <w:r>
        <w:rPr/>
        <w:t>1. This Package does not establish a North American prison service, supranational corrections agency, cross-border prison inspectorate, or foreign command authority.</w:t>
      </w:r>
    </w:p>
    <w:p>
      <w:pPr>
        <w:pStyle w:val="Normal"/>
        <w:widowControl/>
        <w:rPr/>
      </w:pPr>
      <w:r>
        <w:rPr/>
        <w:t>2. Implementation shall rely principally on domestic correctional, ombudsperson, inspector-general, judicial, public-health, human-rights, and other competent authorities, with Secretariat coordination where useful.</w:t>
      </w:r>
    </w:p>
    <w:p>
      <w:pPr>
        <w:pStyle w:val="Normal"/>
        <w:widowControl/>
        <w:rPr/>
      </w:pPr>
      <w:r>
        <w:rPr/>
        <w:t>3. No officer or inspector of one Party acquires coercive authority inside a facility of another Party solely by reason of this Agreement.</w:t>
      </w:r>
    </w:p>
    <w:p>
      <w:bookmarkStart w:id="3058" w:name="_NAESTMA_TOC_3058"/>
      <w:pPr>
        <w:pStyle w:val="Heading1"/>
        <w:keepNext/>
        <w:pageBreakBefore/>
        <w:widowControl/>
        <w:rPr/>
      </w:pPr>
      <w:r>
        <w:rPr/>
        <w:t>PACKAGE CI — FLEXIBLE SAFE-CORRECTIONS IMPLEMENTATION STANDARDS ======================================================================</w:t>
      </w:r>
      <w:bookmarkEnd w:id="3058"/>
    </w:p>
    <w:p>
      <w:bookmarkStart w:id="3059" w:name="_NAESTMA_TOC_3059"/>
      <w:pPr>
        <w:pStyle w:val="Heading2"/>
        <w:keepNext/>
        <w:widowControl/>
        <w:rPr/>
      </w:pPr>
      <w:r>
        <w:rPr/>
        <w:t>CI-1. Governing Principle</w:t>
      </w:r>
      <w:bookmarkEnd w:id="3059"/>
    </w:p>
    <w:p>
      <w:pPr>
        <w:pStyle w:val="Normal"/>
        <w:widowControl/>
        <w:rPr/>
      </w:pPr>
      <w:r>
        <w:rPr/>
        <w:t>The standards in this Package are common implementation objectives. A Party retains discretion concerning institutional design, technology, staffing model, service provider, delivery mechanism, budget structure, and sequence of implementation, provided that the objective is pursued in good faith and the Mandatory Custodial Dignity Floor remains satisfied.</w:t>
      </w:r>
    </w:p>
    <w:p>
      <w:bookmarkStart w:id="3060" w:name="_NAESTMA_TOC_3060"/>
      <w:pPr>
        <w:pStyle w:val="Heading2"/>
        <w:keepNext/>
        <w:widowControl/>
        <w:rPr/>
      </w:pPr>
      <w:r>
        <w:rPr/>
        <w:t>CI-2. Nutritional Governance</w:t>
      </w:r>
      <w:bookmarkEnd w:id="3060"/>
    </w:p>
    <w:p>
      <w:pPr>
        <w:pStyle w:val="Normal"/>
        <w:widowControl/>
        <w:rPr/>
      </w:pPr>
      <w:r>
        <w:rPr/>
        <w:t>Each Party should maintain professional dietetic or nutritional oversight, periodic menu assessment, food-safety controls, and a credible process for identifying chronic nutritional or food-quality failures.</w:t>
      </w:r>
    </w:p>
    <w:p>
      <w:pPr>
        <w:pStyle w:val="Normal"/>
        <w:widowControl/>
        <w:rPr/>
      </w:pPr>
      <w:r>
        <w:rPr/>
        <w:t>No Party is required to adopt an identical menu cycle, minimum number of menu choices, national cuisine, fish frequency, red-meat ceiling, dessert formula, or other prescriptive menu rule.</w:t>
      </w:r>
    </w:p>
    <w:p>
      <w:bookmarkStart w:id="3061" w:name="_NAESTMA_TOC_3061"/>
      <w:pPr>
        <w:pStyle w:val="Heading2"/>
        <w:keepNext/>
        <w:widowControl/>
        <w:rPr/>
      </w:pPr>
      <w:r>
        <w:rPr/>
        <w:t>CI-3. Specialist Healthcare and Telemedicine</w:t>
      </w:r>
      <w:bookmarkEnd w:id="3061"/>
    </w:p>
    <w:p>
      <w:pPr>
        <w:pStyle w:val="Normal"/>
        <w:widowControl/>
        <w:rPr/>
      </w:pPr>
      <w:r>
        <w:rPr/>
        <w:t>Correctional systems should use on-site specialists, referral networks, telemedicine, secure transport, regional clinical hubs, or another effective method to obtain necessary specialist care without unreasonable delay.</w:t>
      </w:r>
    </w:p>
    <w:p>
      <w:bookmarkStart w:id="3062" w:name="_NAESTMA_TOC_3062"/>
      <w:pPr>
        <w:pStyle w:val="Heading2"/>
        <w:keepNext/>
        <w:widowControl/>
        <w:rPr/>
      </w:pPr>
      <w:r>
        <w:rPr/>
        <w:t>CI-4. Addiction Treatment and Overdose Prevention</w:t>
      </w:r>
      <w:bookmarkEnd w:id="3062"/>
    </w:p>
    <w:p>
      <w:pPr>
        <w:pStyle w:val="Normal"/>
        <w:widowControl/>
        <w:rPr/>
      </w:pPr>
      <w:r>
        <w:rPr/>
        <w:t>The Parties should provide evidence-based substance-use treatment and clinically appropriate overdose-response capability, including medication- assisted treatment where lawful and medically indicated, counseling, relapse prevention, recovery support, and continuity planning.</w:t>
      </w:r>
    </w:p>
    <w:p>
      <w:bookmarkStart w:id="3063" w:name="_NAESTMA_TOC_3063"/>
      <w:pPr>
        <w:pStyle w:val="Heading2"/>
        <w:keepNext/>
        <w:widowControl/>
        <w:rPr/>
      </w:pPr>
      <w:r>
        <w:rPr/>
        <w:t>CI-5. Hospice, Palliative, Geriatric, and Complex Care</w:t>
      </w:r>
      <w:bookmarkEnd w:id="3063"/>
    </w:p>
    <w:p>
      <w:pPr>
        <w:pStyle w:val="Normal"/>
        <w:widowControl/>
        <w:rPr/>
      </w:pPr>
      <w:r>
        <w:rPr/>
        <w:t>Correctional systems should maintain clinically appropriate pathways for terminal illness, serious chronic disease, advanced age, significant disability, and palliative care, including outside placement or compassionate mechanisms where available under domestic law.</w:t>
      </w:r>
    </w:p>
    <w:p>
      <w:bookmarkStart w:id="3064" w:name="_NAESTMA_TOC_3064"/>
      <w:pPr>
        <w:pStyle w:val="Heading2"/>
        <w:keepNext/>
        <w:widowControl/>
        <w:rPr/>
      </w:pPr>
      <w:r>
        <w:rPr/>
        <w:t>CI-6. Exercise and Outdoor Access</w:t>
      </w:r>
      <w:bookmarkEnd w:id="3064"/>
    </w:p>
    <w:p>
      <w:pPr>
        <w:pStyle w:val="Normal"/>
        <w:widowControl/>
        <w:rPr/>
      </w:pPr>
      <w:r>
        <w:rPr/>
        <w:t>Prisoners should receive regular physical activity and meaningful access to open-air exercise, subject to reasonable weather, health, individual safety, emergency, and security limitations.</w:t>
      </w:r>
    </w:p>
    <w:p>
      <w:bookmarkStart w:id="3065" w:name="_NAESTMA_TOC_3065"/>
      <w:pPr>
        <w:pStyle w:val="Heading2"/>
        <w:keepNext/>
        <w:widowControl/>
        <w:rPr/>
      </w:pPr>
      <w:r>
        <w:rPr/>
        <w:t>CI-7. Foundational Education</w:t>
      </w:r>
      <w:bookmarkEnd w:id="3065"/>
    </w:p>
    <w:p>
      <w:pPr>
        <w:pStyle w:val="Normal"/>
        <w:widowControl/>
        <w:rPr/>
      </w:pPr>
      <w:r>
        <w:rPr/>
        <w:t>Reasonable access should be provided to literacy, numeracy, secondary equivalency, language learning, and other foundational education according to need, sentence circumstances, security classification, and institutional capacity.</w:t>
      </w:r>
    </w:p>
    <w:p>
      <w:bookmarkStart w:id="3066" w:name="_NAESTMA_TOC_3066"/>
      <w:pPr>
        <w:pStyle w:val="Heading2"/>
        <w:keepNext/>
        <w:widowControl/>
        <w:rPr/>
      </w:pPr>
      <w:r>
        <w:rPr/>
        <w:t>CI-8. Vocational and Employability Training</w:t>
      </w:r>
      <w:bookmarkEnd w:id="3066"/>
    </w:p>
    <w:p>
      <w:pPr>
        <w:pStyle w:val="Normal"/>
        <w:widowControl/>
        <w:rPr/>
      </w:pPr>
      <w:r>
        <w:rPr/>
        <w:t>The Parties should promote access to market-relevant vocational education, apprenticeships, digital literacy, industry-recognized credentials, and employment preparation.</w:t>
      </w:r>
    </w:p>
    <w:p>
      <w:bookmarkStart w:id="3067" w:name="_NAESTMA_TOC_3067"/>
      <w:pPr>
        <w:pStyle w:val="Heading2"/>
        <w:keepNext/>
        <w:widowControl/>
        <w:rPr/>
      </w:pPr>
      <w:r>
        <w:rPr/>
        <w:t>CI-9. Libraries and Learning Materials</w:t>
      </w:r>
      <w:bookmarkEnd w:id="3067"/>
    </w:p>
    <w:p>
      <w:pPr>
        <w:pStyle w:val="Normal"/>
        <w:widowControl/>
        <w:rPr/>
      </w:pPr>
      <w:r>
        <w:rPr/>
        <w:t>Correctional institutions should provide reasonable access to reading, educational, legal, cultural, and self-development materials, including accessible formats for prisoners with disabilities.</w:t>
      </w:r>
    </w:p>
    <w:p>
      <w:bookmarkStart w:id="3068" w:name="_NAESTMA_TOC_3068"/>
      <w:pPr>
        <w:pStyle w:val="Heading2"/>
        <w:keepNext/>
        <w:widowControl/>
        <w:rPr/>
      </w:pPr>
      <w:r>
        <w:rPr/>
        <w:t>CI-10. Secure Digital Access</w:t>
      </w:r>
      <w:bookmarkEnd w:id="3068"/>
    </w:p>
    <w:p>
      <w:pPr>
        <w:pStyle w:val="Normal"/>
        <w:widowControl/>
        <w:rPr/>
      </w:pPr>
      <w:r>
        <w:rPr/>
        <w:t>1. The Parties should encourage controlled digital access for education, communication, legal research, rehabilitation, and reentry preparation.</w:t>
      </w:r>
    </w:p>
    <w:p>
      <w:pPr>
        <w:pStyle w:val="Normal"/>
        <w:widowControl/>
        <w:rPr/>
      </w:pPr>
      <w:r>
        <w:rPr/>
        <w:t>2. Nothing requires provision of a personal tablet, unrestricted internet access, social-media access, or a particular commercial platform.</w:t>
      </w:r>
    </w:p>
    <w:p>
      <w:pPr>
        <w:pStyle w:val="Normal"/>
        <w:widowControl/>
        <w:rPr/>
      </w:pPr>
      <w:r>
        <w:rPr/>
        <w:t>3. Security controls should be proportionate and should not transform useful digital access into an unreasonable monopoly or exploitative fee system.</w:t>
      </w:r>
    </w:p>
    <w:p>
      <w:bookmarkStart w:id="3069" w:name="_NAESTMA_TOC_3069"/>
      <w:pPr>
        <w:pStyle w:val="Heading2"/>
        <w:keepNext/>
        <w:widowControl/>
        <w:rPr/>
      </w:pPr>
      <w:r>
        <w:rPr/>
        <w:t>CI-11. Affordable Communication</w:t>
      </w:r>
      <w:bookmarkEnd w:id="3069"/>
    </w:p>
    <w:p>
      <w:pPr>
        <w:pStyle w:val="Normal"/>
        <w:widowControl/>
        <w:rPr/>
      </w:pPr>
      <w:r>
        <w:rPr/>
        <w:t>Telephone, video, electronic messaging, and similar services made available to prisoners should be administered so that fees do not become an unreasonable barrier to ordinary family communication.</w:t>
      </w:r>
    </w:p>
    <w:p>
      <w:pPr>
        <w:pStyle w:val="Normal"/>
        <w:widowControl/>
        <w:rPr/>
      </w:pPr>
      <w:r>
        <w:rPr/>
        <w:t>Nothing requires that every communication service be free.</w:t>
      </w:r>
    </w:p>
    <w:p>
      <w:bookmarkStart w:id="3070" w:name="_NAESTMA_TOC_3070"/>
      <w:pPr>
        <w:pStyle w:val="Heading2"/>
        <w:keepNext/>
        <w:widowControl/>
        <w:rPr/>
      </w:pPr>
      <w:r>
        <w:rPr/>
        <w:t>CI-12. Parenting and Family Reintegration</w:t>
      </w:r>
      <w:bookmarkEnd w:id="3070"/>
    </w:p>
    <w:p>
      <w:pPr>
        <w:pStyle w:val="Normal"/>
        <w:widowControl/>
        <w:rPr/>
      </w:pPr>
      <w:r>
        <w:rPr/>
        <w:t>The Parties should encourage parenting education, family counseling, child-sensitive visiting areas, family-reunification support, and comparable programming where consistent with victim safety and the best interests of children.</w:t>
      </w:r>
    </w:p>
    <w:p>
      <w:bookmarkStart w:id="3071" w:name="_NAESTMA_TOC_3071"/>
      <w:pPr>
        <w:pStyle w:val="Heading2"/>
        <w:keepNext/>
        <w:widowControl/>
        <w:rPr/>
      </w:pPr>
      <w:r>
        <w:rPr/>
        <w:t>CI-13. De-Escalation and Trauma-Informed Practice</w:t>
      </w:r>
      <w:bookmarkEnd w:id="3071"/>
    </w:p>
    <w:p>
      <w:pPr>
        <w:pStyle w:val="Normal"/>
        <w:widowControl/>
        <w:rPr/>
      </w:pPr>
      <w:r>
        <w:rPr/>
        <w:t>Appropriate correctional staff should receive training in de-escalation, mental-health crisis response, disability awareness, human rights, trauma- informed practice, and recognition of medical emergencies.</w:t>
      </w:r>
    </w:p>
    <w:p>
      <w:bookmarkStart w:id="3072" w:name="_NAESTMA_TOC_3072"/>
      <w:pPr>
        <w:pStyle w:val="Heading2"/>
        <w:keepNext/>
        <w:widowControl/>
        <w:rPr/>
      </w:pPr>
      <w:r>
        <w:rPr/>
        <w:t>CI-14. Staff Professionalization</w:t>
      </w:r>
      <w:bookmarkEnd w:id="3072"/>
    </w:p>
    <w:p>
      <w:pPr>
        <w:pStyle w:val="Normal"/>
        <w:widowControl/>
        <w:rPr/>
      </w:pPr>
      <w:r>
        <w:rPr/>
        <w:t>Correctional systems should maintain reasonable recruitment standards, training, supervision, integrity controls, continuing professional development, and staff-wellness measures.</w:t>
      </w:r>
    </w:p>
    <w:p>
      <w:bookmarkStart w:id="3073" w:name="_NAESTMA_TOC_3073"/>
      <w:pPr>
        <w:pStyle w:val="Heading2"/>
        <w:keepNext/>
        <w:widowControl/>
        <w:rPr/>
      </w:pPr>
      <w:r>
        <w:rPr/>
        <w:t>CI-15. Violence and Organized-Crime Prevention</w:t>
      </w:r>
      <w:bookmarkEnd w:id="3073"/>
    </w:p>
    <w:p>
      <w:pPr>
        <w:pStyle w:val="Normal"/>
        <w:widowControl/>
        <w:rPr/>
      </w:pPr>
      <w:r>
        <w:rPr/>
        <w:t>The Parties should maintain lawful systems for classification, prison intelligence, anti-extortion measures, gang and organized-crime disruption, violence prevention, conflict management, contraband control, and protection of prisoners and staff.</w:t>
      </w:r>
    </w:p>
    <w:p>
      <w:pPr>
        <w:pStyle w:val="Normal"/>
        <w:widowControl/>
        <w:rPr/>
      </w:pPr>
      <w:r>
        <w:rPr/>
        <w:t>Such measures remain subject to the Mandatory Custodial Dignity Floor.</w:t>
      </w:r>
    </w:p>
    <w:p>
      <w:bookmarkStart w:id="3074" w:name="_NAESTMA_TOC_3074"/>
      <w:pPr>
        <w:pStyle w:val="Heading2"/>
        <w:keepNext/>
        <w:widowControl/>
        <w:rPr/>
      </w:pPr>
      <w:r>
        <w:rPr/>
        <w:t>CI-16. Accessible Programming</w:t>
      </w:r>
      <w:bookmarkEnd w:id="3074"/>
    </w:p>
    <w:p>
      <w:pPr>
        <w:pStyle w:val="Normal"/>
        <w:widowControl/>
        <w:rPr/>
      </w:pPr>
      <w:r>
        <w:rPr/>
        <w:t>Education, rehabilitation, communication, recreation, and reentry programming should be designed so that prisoners with disabilities and material language barriers can participate on reasonably equal terms.</w:t>
      </w:r>
    </w:p>
    <w:p>
      <w:bookmarkStart w:id="3075" w:name="_NAESTMA_TOC_3075"/>
      <w:pPr>
        <w:pStyle w:val="Heading2"/>
        <w:keepNext/>
        <w:widowControl/>
        <w:rPr/>
      </w:pPr>
      <w:r>
        <w:rPr/>
        <w:t>CI-17. Reentry Continuity</w:t>
      </w:r>
      <w:bookmarkEnd w:id="3075"/>
    </w:p>
    <w:p>
      <w:pPr>
        <w:pStyle w:val="Normal"/>
        <w:widowControl/>
        <w:rPr/>
      </w:pPr>
      <w:r>
        <w:rPr/>
        <w:t>Before release, institutions should provide reasonable planning for:</w:t>
      </w:r>
    </w:p>
    <w:p>
      <w:pPr>
        <w:pStyle w:val="Normal"/>
        <w:widowControl/>
        <w:rPr/>
      </w:pPr>
      <w:r>
        <w:rPr/>
        <w:t>(a) identity documents; (b) clinically necessary medication and healthcare continuity; (c) housing and shelter referral; (d) employment preparation; (e) education continuation; (f) addiction-treatment continuity; (g) family and community reconnection; and (h) other services materially relevant to safe reintegration.</w:t>
      </w:r>
    </w:p>
    <w:p>
      <w:bookmarkStart w:id="3076" w:name="_NAESTMA_TOC_3076"/>
      <w:pPr>
        <w:pStyle w:val="Heading2"/>
        <w:keepNext/>
        <w:widowControl/>
        <w:rPr/>
      </w:pPr>
      <w:r>
        <w:rPr/>
        <w:t>CI-18. Public Transparency</w:t>
      </w:r>
      <w:bookmarkEnd w:id="3076"/>
    </w:p>
    <w:p>
      <w:pPr>
        <w:pStyle w:val="Normal"/>
        <w:widowControl/>
        <w:rPr/>
      </w:pPr>
      <w:r>
        <w:rPr/>
        <w:t>Each Party should publish privacy-protective aggregate information sufficient to permit informed assessment of major correctional conditions and trends.</w:t>
      </w:r>
    </w:p>
    <w:p>
      <w:bookmarkStart w:id="3077" w:name="_NAESTMA_TOC_3077"/>
      <w:pPr>
        <w:pStyle w:val="Heading2"/>
        <w:keepNext/>
        <w:widowControl/>
        <w:rPr/>
      </w:pPr>
      <w:r>
        <w:rPr/>
        <w:t>CI-19. Prisoner Feedback Without Transfer of Command</w:t>
      </w:r>
      <w:bookmarkEnd w:id="3077"/>
    </w:p>
    <w:p>
      <w:pPr>
        <w:pStyle w:val="Normal"/>
        <w:widowControl/>
        <w:rPr/>
      </w:pPr>
      <w:r>
        <w:rPr/>
        <w:t>1. Facilities should maintain safe channels through which prisoners may raise concerns concerning food, safety, healthcare, programming, recreation, grievances, and living conditions.</w:t>
      </w:r>
    </w:p>
    <w:p>
      <w:pPr>
        <w:pStyle w:val="Normal"/>
        <w:widowControl/>
        <w:rPr/>
      </w:pPr>
      <w:r>
        <w:rPr/>
        <w:t>2. Advisory councils, surveys, peer systems, ombudsperson channels, or similar methods may be used.</w:t>
      </w:r>
    </w:p>
    <w:p>
      <w:pPr>
        <w:pStyle w:val="Normal"/>
        <w:widowControl/>
        <w:rPr/>
      </w:pPr>
      <w:r>
        <w:rPr/>
        <w:t>3. This Article does not create a right to co-govern a correctional institution, direct staff, determine classification, control security operations, or override lawful institutional command.</w:t>
      </w:r>
    </w:p>
    <w:p>
      <w:bookmarkStart w:id="3078" w:name="_NAESTMA_TOC_3078"/>
      <w:pPr>
        <w:pStyle w:val="Heading1"/>
        <w:keepNext/>
        <w:pageBreakBefore/>
        <w:widowControl/>
        <w:rPr/>
      </w:pPr>
      <w:r>
        <w:rPr/>
        <w:t>ANNEX CH-A — OPTIONAL ADVANCED CORRECTIONAL REFORM PROTOCOL ======================================================================</w:t>
      </w:r>
      <w:bookmarkEnd w:id="3078"/>
    </w:p>
    <w:p>
      <w:pPr>
        <w:pStyle w:val="Normal"/>
        <w:widowControl/>
        <w:rPr/>
      </w:pPr>
      <w:r>
        <w:rPr/>
        <w:t>CH-A.1. Voluntary Character</w:t>
      </w:r>
    </w:p>
    <w:p>
      <w:pPr>
        <w:pStyle w:val="Normal"/>
        <w:widowControl/>
        <w:rPr/>
      </w:pPr>
      <w:r>
        <w:rPr/>
        <w:t>1. This Annex is voluntary.</w:t>
      </w:r>
    </w:p>
    <w:p>
      <w:pPr>
        <w:pStyle w:val="Normal"/>
        <w:widowControl/>
        <w:rPr/>
      </w:pPr>
      <w:r>
        <w:rPr/>
        <w:t>2. A Party may accede to the Annex as a whole or to one or more Modules.</w:t>
      </w:r>
    </w:p>
    <w:p>
      <w:pPr>
        <w:pStyle w:val="Normal"/>
        <w:widowControl/>
        <w:rPr/>
      </w:pPr>
      <w:r>
        <w:rPr/>
        <w:t>3. Accession to one Module does not constitute accession to another Module.</w:t>
      </w:r>
    </w:p>
    <w:p>
      <w:pPr>
        <w:pStyle w:val="Normal"/>
        <w:widowControl/>
        <w:rPr/>
      </w:pPr>
      <w:r>
        <w:rPr/>
        <w:t>4. A Party may implement an equivalent domestic regime and declare substantial equivalence rather than reproduce the model mechanism verbatim.</w:t>
      </w:r>
    </w:p>
    <w:p>
      <w:pPr>
        <w:pStyle w:val="Normal"/>
        <w:widowControl/>
        <w:rPr/>
      </w:pPr>
      <w:r>
        <w:rPr/>
        <w:t>CH-A.2. No Cross-Conditioning</w:t>
      </w:r>
    </w:p>
    <w:p>
      <w:pPr>
        <w:pStyle w:val="Normal"/>
        <w:widowControl/>
        <w:rPr/>
      </w:pPr>
      <w:r>
        <w:rPr/>
        <w:t>A Party's decision not to join, not to expand participation in, or lawfully to withdraw from an Optional Module shall not:</w:t>
      </w:r>
    </w:p>
    <w:p>
      <w:pPr>
        <w:pStyle w:val="Normal"/>
        <w:widowControl/>
        <w:rPr/>
      </w:pPr>
      <w:r>
        <w:rPr/>
        <w:t>(a) constitute breach of the Mandatory Custodial Dignity Floor; (b) authorize tariff retaliation; (c) authorize suspension of unrelated trade benefits; (d) create a presumption of human-rights violation; (e) alter ordinary market-access commitments; or (f) permit another Party to condition an unrelated concession on accession.</w:t>
      </w:r>
    </w:p>
    <w:p>
      <w:pPr>
        <w:pStyle w:val="Normal"/>
        <w:widowControl/>
        <w:rPr/>
      </w:pPr>
      <w:r>
        <w:rPr/>
        <w:t>CH-A.3. Accession</w:t>
      </w:r>
    </w:p>
    <w:p>
      <w:pPr>
        <w:pStyle w:val="Normal"/>
        <w:widowControl/>
        <w:rPr/>
      </w:pPr>
      <w:r>
        <w:rPr/>
        <w:t>A Party may accede to a Module by written notice identifying:</w:t>
      </w:r>
    </w:p>
    <w:p>
      <w:pPr>
        <w:pStyle w:val="Normal"/>
        <w:widowControl/>
        <w:rPr/>
      </w:pPr>
      <w:r>
        <w:rPr/>
        <w:t>(a) the Module; (b) the implementing domestic measures; (c) the effective date; (d) any constitutionally necessary federalism qualifications; and (e) the authority responsible for implementation reporting.</w:t>
      </w:r>
    </w:p>
    <w:p>
      <w:pPr>
        <w:pStyle w:val="Normal"/>
        <w:widowControl/>
        <w:rPr/>
      </w:pPr>
      <w:r>
        <w:rPr/>
        <w:t>CH-A.4. Withdrawal From Optional Module</w:t>
      </w:r>
    </w:p>
    <w:p>
      <w:pPr>
        <w:pStyle w:val="Normal"/>
        <w:widowControl/>
        <w:rPr/>
      </w:pPr>
      <w:r>
        <w:rPr/>
        <w:t>1. A Party may withdraw from an Optional Module upon written notice.</w:t>
      </w:r>
    </w:p>
    <w:p>
      <w:pPr>
        <w:pStyle w:val="Normal"/>
        <w:widowControl/>
        <w:rPr/>
      </w:pPr>
      <w:r>
        <w:rPr/>
        <w:t>2. Withdrawal shall not affect accrued individual rights independently protected by domestic law.</w:t>
      </w:r>
    </w:p>
    <w:p>
      <w:pPr>
        <w:pStyle w:val="Normal"/>
        <w:widowControl/>
        <w:rPr/>
      </w:pPr>
      <w:r>
        <w:rPr/>
        <w:t>3. Withdrawal from an Optional Module shall not suspend the Mandatory Custodial Dignity Floor.</w:t>
      </w:r>
    </w:p>
    <w:p>
      <w:pPr>
        <w:pStyle w:val="Normal"/>
        <w:widowControl/>
        <w:rPr/>
      </w:pPr>
      <w:r>
        <w:rPr/>
        <w:t>---------------------------------------------------------------------- MODULE A — ENHANCED RESTRICTIVE-HOUSING REFORM ----------------------------------------------------------------------</w:t>
      </w:r>
    </w:p>
    <w:p>
      <w:pPr>
        <w:pStyle w:val="Normal"/>
        <w:widowControl/>
        <w:rPr/>
      </w:pPr>
      <w:r>
        <w:rPr/>
        <w:t>Participating Parties may undertake one or more of the following:</w:t>
      </w:r>
    </w:p>
    <w:p>
      <w:pPr>
        <w:pStyle w:val="Normal"/>
        <w:widowControl/>
        <w:rPr/>
      </w:pPr>
      <w:r>
        <w:rPr/>
        <w:t>1. prohibit solitary confinement entirely except for immediate emergency separation measured in hours rather than days;</w:t>
      </w:r>
    </w:p>
    <w:p>
      <w:pPr>
        <w:pStyle w:val="Normal"/>
        <w:widowControl/>
        <w:rPr/>
      </w:pPr>
      <w:r>
        <w:rPr/>
        <w:t>2. require judicial authorization for restrictive housing beyond a specified period;</w:t>
      </w:r>
    </w:p>
    <w:p>
      <w:pPr>
        <w:pStyle w:val="Normal"/>
        <w:widowControl/>
        <w:rPr/>
      </w:pPr>
      <w:r>
        <w:rPr/>
        <w:t>3. establish categorical prohibitions or heightened protections for youth, pregnant persons, persons with serious mental illness, persons with specified disabilities, or other vulnerable groups;</w:t>
      </w:r>
    </w:p>
    <w:p>
      <w:pPr>
        <w:pStyle w:val="Normal"/>
        <w:widowControl/>
        <w:rPr/>
      </w:pPr>
      <w:r>
        <w:rPr/>
        <w:t>4. establish minimum daily meaningful-human-contact or out-of-cell requirements;</w:t>
      </w:r>
    </w:p>
    <w:p>
      <w:pPr>
        <w:pStyle w:val="Normal"/>
        <w:widowControl/>
        <w:rPr/>
      </w:pPr>
      <w:r>
        <w:rPr/>
        <w:t>5. prohibit serial or disguised restrictive-housing regimes that amount to continuous isolation; and</w:t>
      </w:r>
    </w:p>
    <w:p>
      <w:pPr>
        <w:pStyle w:val="Normal"/>
        <w:widowControl/>
        <w:rPr/>
      </w:pPr>
      <w:r>
        <w:rPr/>
        <w:t>6. provide independent legal representation or specialized review in prolonged restrictive-housing proceedings.</w:t>
      </w:r>
    </w:p>
    <w:p>
      <w:pPr>
        <w:pStyle w:val="Normal"/>
        <w:widowControl/>
        <w:rPr/>
      </w:pPr>
      <w:r>
        <w:rPr/>
        <w:t>---------------------------------------------------------------------- MODULE B — SENTENCING AND SECOND-LOOK REFORM ----------------------------------------------------------------------</w:t>
      </w:r>
    </w:p>
    <w:p>
      <w:pPr>
        <w:pStyle w:val="Normal"/>
        <w:widowControl/>
        <w:rPr/>
      </w:pPr>
      <w:r>
        <w:rPr/>
        <w:t>Participating Parties may establish:</w:t>
      </w:r>
    </w:p>
    <w:p>
      <w:pPr>
        <w:pStyle w:val="Normal"/>
        <w:widowControl/>
        <w:rPr/>
      </w:pPr>
      <w:r>
        <w:rPr/>
        <w:t>1. judicial second-look review after a defined portion of a long sentence; 2. special sentence reconsideration for offences committed as youth or young adults; 3. review mechanisms for survivors of serious coercion or abuse; 4. reform of selected mandatory minimum penalties; 5. review of drug-sentencing disparities; and 6. restorative or individualized alternatives consistent with public safety.</w:t>
      </w:r>
    </w:p>
    <w:p>
      <w:pPr>
        <w:pStyle w:val="Normal"/>
        <w:widowControl/>
        <w:rPr/>
      </w:pPr>
      <w:r>
        <w:rPr/>
        <w:t>Nothing in this Module creates a treaty-based right to sentence reduction.</w:t>
      </w:r>
    </w:p>
    <w:p>
      <w:pPr>
        <w:pStyle w:val="Normal"/>
        <w:widowControl/>
        <w:rPr/>
      </w:pPr>
      <w:r>
        <w:rPr/>
        <w:t>---------------------------------------------------------------------- MODULE C — PRETRIAL DETENTION AND COMMUNITY ALTERNATIVES ----------------------------------------------------------------------</w:t>
      </w:r>
    </w:p>
    <w:p>
      <w:pPr>
        <w:pStyle w:val="Normal"/>
        <w:widowControl/>
        <w:rPr/>
      </w:pPr>
      <w:r>
        <w:rPr/>
        <w:t>Participating Parties may pursue:</w:t>
      </w:r>
    </w:p>
    <w:p>
      <w:pPr>
        <w:pStyle w:val="Normal"/>
        <w:widowControl/>
        <w:rPr/>
      </w:pPr>
      <w:r>
        <w:rPr/>
        <w:t>1. expedited bail or detention hearings; 2. non-financial release mechanisms; 3. treatment diversion; 4. community supervision; 5. electronic monitoring subject to privacy safeguards; 6. home confinement where lawful; 7. specialized mental-health diversion; and 8. other evidence-based alternatives to unnecessary detention.</w:t>
      </w:r>
    </w:p>
    <w:p>
      <w:pPr>
        <w:pStyle w:val="Normal"/>
        <w:widowControl/>
        <w:rPr/>
      </w:pPr>
      <w:r>
        <w:rPr/>
        <w:t>---------------------------------------------------------------------- MODULE D — PAROLE, COMPASSIONATE, GERIATRIC, AND MEDICAL RELEASE ----------------------------------------------------------------------</w:t>
      </w:r>
    </w:p>
    <w:p>
      <w:pPr>
        <w:pStyle w:val="Normal"/>
        <w:widowControl/>
        <w:rPr/>
      </w:pPr>
      <w:r>
        <w:rPr/>
        <w:t>Participating Parties may establish enhanced procedures for:</w:t>
      </w:r>
    </w:p>
    <w:p>
      <w:pPr>
        <w:pStyle w:val="Normal"/>
        <w:widowControl/>
        <w:rPr/>
      </w:pPr>
      <w:r>
        <w:rPr/>
        <w:t>1. geriatric release; 2. terminal or serious-illness release; 3. compassionate release; 4. earned-time mechanisms; 5. periodic parole review; 6. written parole reasons; 7. legal or advocacy assistance in appropriate review proceedings; and 8. continuity of healthcare and housing following release.</w:t>
      </w:r>
    </w:p>
    <w:p>
      <w:pPr>
        <w:pStyle w:val="Normal"/>
        <w:widowControl/>
        <w:rPr/>
      </w:pPr>
      <w:r>
        <w:rPr/>
        <w:t>---------------------------------------------------------------------- MODULE E — CIVIC AND PARTICIPATORY RIGHTS ----------------------------------------------------------------------</w:t>
      </w:r>
    </w:p>
    <w:p>
      <w:pPr>
        <w:pStyle w:val="Normal"/>
        <w:widowControl/>
        <w:rPr/>
      </w:pPr>
      <w:r>
        <w:rPr/>
        <w:t>Participating Parties may elect to provide:</w:t>
      </w:r>
    </w:p>
    <w:p>
      <w:pPr>
        <w:pStyle w:val="Normal"/>
        <w:widowControl/>
        <w:rPr/>
      </w:pPr>
      <w:r>
        <w:rPr/>
        <w:t>1. prisoner voting rights; 2. enhanced access to civic information; 3. elected or selected prisoner advisory representatives; 4. formal prisoner participation in menu, recreation, or safety consultation; 5. prisoner participation in selected inspection processes; or 6. strengthened internal democratic or deliberative institutions.</w:t>
      </w:r>
    </w:p>
    <w:p>
      <w:pPr>
        <w:pStyle w:val="Normal"/>
        <w:widowControl/>
        <w:rPr/>
      </w:pPr>
      <w:r>
        <w:rPr/>
        <w:t>No Module E mechanism transfers final correctional command authority unless domestic law expressly provides otherwise.</w:t>
      </w:r>
    </w:p>
    <w:p>
      <w:pPr>
        <w:pStyle w:val="Normal"/>
        <w:widowControl/>
        <w:rPr/>
      </w:pPr>
      <w:r>
        <w:rPr/>
        <w:t>---------------------------------------------------------------------- MODULE F — INDIGENOUS AND COMMUNITY-ADMINISTERED JUSTICE ----------------------------------------------------------------------</w:t>
      </w:r>
    </w:p>
    <w:p>
      <w:pPr>
        <w:pStyle w:val="Normal"/>
        <w:widowControl/>
        <w:rPr/>
      </w:pPr>
      <w:r>
        <w:rPr/>
        <w:t>Participating Parties may establish or expand:</w:t>
      </w:r>
    </w:p>
    <w:p>
      <w:pPr>
        <w:pStyle w:val="Normal"/>
        <w:widowControl/>
        <w:rPr/>
      </w:pPr>
      <w:r>
        <w:rPr/>
        <w:t>1. Indigenous healing lodges; 2. Indigenous-led correctional or reentry programs; 3. culturally grounded sentencing or release mechanisms; 4. community-administered alternatives to conventional incarceration; 5. language and ceremonial programming; 6. Indigenous family and community reintegration mechanisms; and 7. other measures consistent with applicable Indigenous rights and domestic constitutional arrangements.</w:t>
      </w:r>
    </w:p>
    <w:p>
      <w:pPr>
        <w:pStyle w:val="Normal"/>
        <w:widowControl/>
        <w:rPr/>
      </w:pPr>
      <w:r>
        <w:rPr/>
        <w:t>---------------------------------------------------------------------- MODULE G — ADVANCED FAMILY AND CAREGIVING MODELS ----------------------------------------------------------------------</w:t>
      </w:r>
    </w:p>
    <w:p>
      <w:pPr>
        <w:pStyle w:val="Normal"/>
        <w:widowControl/>
        <w:rPr/>
      </w:pPr>
      <w:r>
        <w:rPr/>
        <w:t>Participating Parties may provide:</w:t>
      </w:r>
    </w:p>
    <w:p>
      <w:pPr>
        <w:pStyle w:val="Normal"/>
        <w:widowControl/>
        <w:rPr/>
      </w:pPr>
      <w:r>
        <w:rPr/>
        <w:t>1. extended family visitation; 2. family-reunion or overnight visitation; 3. parent-and-infant residential arrangements; 4. parenting units; 5. travel support for geographically isolated families; 6. enhanced child-friendly visiting facilities; and 7. community-based family-reintegration placements.</w:t>
      </w:r>
    </w:p>
    <w:p>
      <w:pPr>
        <w:pStyle w:val="Normal"/>
        <w:widowControl/>
        <w:rPr/>
      </w:pPr>
      <w:r>
        <w:rPr/>
        <w:t>Victim protection, child welfare, safeguarding, and judicial orders remain paramount.</w:t>
      </w:r>
    </w:p>
    <w:p>
      <w:pPr>
        <w:pStyle w:val="Normal"/>
        <w:widowControl/>
        <w:rPr/>
      </w:pPr>
      <w:r>
        <w:rPr/>
        <w:t>---------------------------------------------------------------------- MODULE H — DECARCERATION AND CAPACITY MANAGEMENT ----------------------------------------------------------------------</w:t>
      </w:r>
    </w:p>
    <w:p>
      <w:pPr>
        <w:pStyle w:val="Normal"/>
        <w:widowControl/>
        <w:rPr/>
      </w:pPr>
      <w:r>
        <w:rPr/>
        <w:t>Participating Parties may adopt:</w:t>
      </w:r>
    </w:p>
    <w:p>
      <w:pPr>
        <w:pStyle w:val="Normal"/>
        <w:widowControl/>
        <w:rPr/>
      </w:pPr>
      <w:r>
        <w:rPr/>
        <w:t>1. correctional population caps; 2. diversion-first rules for defined non-violent offences; 3. requirements to consider alternatives before new prison construction; 4. targets for community-corrections capacity; 5. reclassification and earned-release measures; 6. medical or age-based capacity relief; 7. population-reduction strategies; and 8. infrastructure modernization linked to humane capacity planning.</w:t>
      </w:r>
    </w:p>
    <w:p>
      <w:pPr>
        <w:pStyle w:val="Normal"/>
        <w:widowControl/>
        <w:rPr/>
      </w:pPr>
      <w:r>
        <w:rPr/>
        <w:t>Nothing in this Module establishes a trilateral numerical prison-population target.</w:t>
      </w:r>
    </w:p>
    <w:p>
      <w:bookmarkStart w:id="3079" w:name="_NAESTMA_TOC_3079"/>
      <w:pPr>
        <w:pStyle w:val="Heading1"/>
        <w:keepNext/>
        <w:pageBreakBefore/>
        <w:widowControl/>
        <w:rPr/>
      </w:pPr>
      <w:r>
        <w:rPr/>
        <w:t>ANNEX CH-B — NATIONAL IMPLEMENTATION AND EXPERIMENTATION SAFE HARBOR ======================================================================</w:t>
      </w:r>
      <w:bookmarkEnd w:id="3079"/>
    </w:p>
    <w:p>
      <w:pPr>
        <w:pStyle w:val="Normal"/>
        <w:widowControl/>
        <w:rPr/>
      </w:pPr>
      <w:r>
        <w:rPr/>
        <w:t>CH-B.1. Purpose</w:t>
      </w:r>
    </w:p>
    <w:p>
      <w:pPr>
        <w:pStyle w:val="Normal"/>
        <w:widowControl/>
        <w:rPr/>
      </w:pPr>
      <w:r>
        <w:rPr/>
        <w:t>The Parties recognize that many correctional innovations are better tested through national, state, provincial, territorial, local, Indigenous, facility- level, or pilot implementation than encoded directly as treaty mandates.</w:t>
      </w:r>
    </w:p>
    <w:p>
      <w:pPr>
        <w:pStyle w:val="Normal"/>
        <w:widowControl/>
        <w:rPr/>
      </w:pPr>
      <w:r>
        <w:rPr/>
        <w:t>CH-B.2. Safe-Harbor Topics</w:t>
      </w:r>
    </w:p>
    <w:p>
      <w:pPr>
        <w:pStyle w:val="Normal"/>
        <w:widowControl/>
        <w:rPr/>
      </w:pPr>
      <w:r>
        <w:rPr/>
        <w:t>The following may be pursued without becoming mandatory treaty obligations:</w:t>
      </w:r>
    </w:p>
    <w:p>
      <w:pPr>
        <w:pStyle w:val="Normal"/>
        <w:widowControl/>
        <w:rPr/>
      </w:pPr>
      <w:r>
        <w:rPr/>
        <w:t>(a) personal tablets or particular digital devices; (b) body-worn camera models and deployment ratios; (c) fixed correctional staffing ratios; (d) exact dietary menus, menu cycles, ingredient ratios, or food-choice counts; (e) fixed mental-health bed percentages; (f) particular recreation amenities; (g) solar, recycling, composting, prison-garden, or green-building programs; (h) specific national spending appropriations; (i) named domestic bills or legislative packages; (j) specified prison-construction counts; (k) named domestic reentry programs; (l) particular parole-board structures; (m) exact release fractions; (n) specific classification instruments; and (o) other country-specific experiments not necessary to satisfy Package CA.</w:t>
      </w:r>
    </w:p>
    <w:p>
      <w:pPr>
        <w:pStyle w:val="Normal"/>
        <w:widowControl/>
        <w:rPr/>
      </w:pPr>
      <w:r>
        <w:rPr/>
        <w:t>CH-B.3. Innovation Without Regression</w:t>
      </w:r>
    </w:p>
    <w:p>
      <w:pPr>
        <w:pStyle w:val="Normal"/>
        <w:widowControl/>
        <w:rPr/>
      </w:pPr>
      <w:r>
        <w:rPr/>
        <w:t>A Party may experiment with different delivery models, technologies, contracting arrangements, or institutional designs, provided that experimentation does not reduce compliance with the Mandatory Custodial Dignity Floor.</w:t>
      </w:r>
    </w:p>
    <w:p>
      <w:bookmarkStart w:id="3080" w:name="_NAESTMA_TOC_3080"/>
      <w:pPr>
        <w:pStyle w:val="Heading1"/>
        <w:keepNext/>
        <w:pageBreakBefore/>
        <w:widowControl/>
        <w:rPr/>
      </w:pPr>
      <w:r>
        <w:rPr/>
        <w:t>PACKAGE CJ — IMPLEMENTATION, REVIEW, AND CURE ======================================================================</w:t>
      </w:r>
      <w:bookmarkEnd w:id="3080"/>
    </w:p>
    <w:p>
      <w:bookmarkStart w:id="3081" w:name="_NAESTMA_TOC_3081"/>
      <w:pPr>
        <w:pStyle w:val="Heading2"/>
        <w:keepNext/>
        <w:widowControl/>
        <w:rPr/>
      </w:pPr>
      <w:r>
        <w:rPr/>
        <w:t>CJ-1. Initial Implementation Review</w:t>
      </w:r>
      <w:bookmarkEnd w:id="3081"/>
    </w:p>
    <w:p>
      <w:pPr>
        <w:pStyle w:val="Normal"/>
        <w:widowControl/>
        <w:rPr/>
      </w:pPr>
      <w:r>
        <w:rPr/>
        <w:t>Within the implementation period established for this Package, each Party should identify:</w:t>
      </w:r>
    </w:p>
    <w:p>
      <w:pPr>
        <w:pStyle w:val="Normal"/>
        <w:widowControl/>
        <w:rPr/>
      </w:pPr>
      <w:r>
        <w:rPr/>
        <w:t>(a) competent domestic authorities; (b) existing laws and policies substantially implementing the core; (c) material implementation gaps; (d) planned remediation where required; and (e) the Optional Modules, if any, in which it intends to participate.</w:t>
      </w:r>
    </w:p>
    <w:p>
      <w:bookmarkStart w:id="3082" w:name="_NAESTMA_TOC_3082"/>
      <w:pPr>
        <w:pStyle w:val="Heading2"/>
        <w:keepNext/>
        <w:widowControl/>
        <w:rPr/>
      </w:pPr>
      <w:r>
        <w:rPr/>
        <w:t>CJ-2. Equivalence Rather Than Uniformity</w:t>
      </w:r>
      <w:bookmarkEnd w:id="3082"/>
    </w:p>
    <w:p>
      <w:pPr>
        <w:pStyle w:val="Normal"/>
        <w:widowControl/>
        <w:rPr/>
      </w:pPr>
      <w:r>
        <w:rPr/>
        <w:t>A Party satisfies an obligation through any domestic measure or combination of measures that achieves substantially equivalent protection, even where legal terminology, institutional structure, or administrative procedure differs from that of another Party.</w:t>
      </w:r>
    </w:p>
    <w:p>
      <w:bookmarkStart w:id="3083" w:name="_NAESTMA_TOC_3083"/>
      <w:pPr>
        <w:pStyle w:val="Heading2"/>
        <w:keepNext/>
        <w:widowControl/>
        <w:rPr/>
      </w:pPr>
      <w:r>
        <w:rPr/>
        <w:t>CJ-3. Priority-Cure Categories</w:t>
      </w:r>
      <w:bookmarkEnd w:id="3083"/>
    </w:p>
    <w:p>
      <w:pPr>
        <w:pStyle w:val="Normal"/>
        <w:widowControl/>
        <w:rPr/>
      </w:pPr>
      <w:r>
        <w:rPr/>
        <w:t>The following should receive accelerated correction when credibly established:</w:t>
      </w:r>
    </w:p>
    <w:p>
      <w:pPr>
        <w:pStyle w:val="Normal"/>
        <w:widowControl/>
        <w:rPr/>
      </w:pPr>
      <w:r>
        <w:rPr/>
        <w:t>(a) unsafe drinking water; (b) serious food deprivation; (c) denial of necessary emergency medical care; (d) dangerous temperature exposure; (e) systemic sexual abuse; (f) credible torture or cruel treatment; (g) unlawful prolonged restrictive housing; (h) grave disability-access failures creating serious health or safety risk; (i) systemic retaliation against complainants; and (j) dangerous fire or evacuation failures.</w:t>
      </w:r>
    </w:p>
    <w:p>
      <w:bookmarkStart w:id="3084" w:name="_NAESTMA_TOC_3084"/>
      <w:pPr>
        <w:pStyle w:val="Heading2"/>
        <w:keepNext/>
        <w:widowControl/>
        <w:rPr/>
      </w:pPr>
      <w:r>
        <w:rPr/>
        <w:t>CJ-4. Cooperative Assistance</w:t>
      </w:r>
      <w:bookmarkEnd w:id="3084"/>
    </w:p>
    <w:p>
      <w:pPr>
        <w:pStyle w:val="Normal"/>
        <w:widowControl/>
        <w:rPr/>
      </w:pPr>
      <w:r>
        <w:rPr/>
        <w:t>Where a deficiency results materially from capacity limitations rather than deliberate abuse, the Parties should prefer technical assistance, intergovernmental cooperation, training, clinical support, procurement cooperation, infrastructure expertise, or other corrective assistance before punitive measures.</w:t>
      </w:r>
    </w:p>
    <w:p>
      <w:bookmarkStart w:id="3085" w:name="_NAESTMA_TOC_3085"/>
      <w:pPr>
        <w:pStyle w:val="Heading2"/>
        <w:keepNext/>
        <w:widowControl/>
        <w:rPr/>
      </w:pPr>
      <w:r>
        <w:rPr/>
        <w:t>CJ-5. No Prisoner-Based Retaliation</w:t>
      </w:r>
      <w:bookmarkEnd w:id="3085"/>
    </w:p>
    <w:p>
      <w:pPr>
        <w:pStyle w:val="Normal"/>
        <w:widowControl/>
        <w:rPr/>
      </w:pPr>
      <w:r>
        <w:rPr/>
        <w:t>No dispute under this Package permits one Party to worsen the treatment of prisoners of another Party, deny consular communication otherwise required by law, reduce food or healthcare, or discriminate against prisoners because of nationality.</w:t>
      </w:r>
    </w:p>
    <w:p>
      <w:bookmarkStart w:id="3086" w:name="_NAESTMA_TOC_3086"/>
      <w:pPr>
        <w:pStyle w:val="Heading2"/>
        <w:keepNext/>
        <w:widowControl/>
        <w:rPr/>
      </w:pPr>
      <w:r>
        <w:rPr/>
        <w:t>CJ-6. Review of Optional Modules</w:t>
      </w:r>
      <w:bookmarkEnd w:id="3086"/>
    </w:p>
    <w:p>
      <w:pPr>
        <w:pStyle w:val="Normal"/>
        <w:widowControl/>
        <w:rPr/>
      </w:pPr>
      <w:r>
        <w:rPr/>
        <w:t>Participation in Optional Modules may be reviewed periodically to identify successful models, unintended consequences, fiscal burdens, safety effects, recidivism outcomes, family impacts, and opportunities for voluntary expansion.</w:t>
      </w:r>
    </w:p>
    <w:p>
      <w:bookmarkStart w:id="3087" w:name="_NAESTMA_TOC_3087"/>
      <w:pPr>
        <w:pStyle w:val="Heading2"/>
        <w:keepNext/>
        <w:widowControl/>
        <w:rPr/>
      </w:pPr>
      <w:r>
        <w:rPr/>
        <w:t>CJ-7. Relationship to Other Rights</w:t>
      </w:r>
      <w:bookmarkEnd w:id="3087"/>
    </w:p>
    <w:p>
      <w:pPr>
        <w:pStyle w:val="Normal"/>
        <w:widowControl/>
        <w:rPr/>
      </w:pPr>
      <w:r>
        <w:rPr/>
        <w:t>Nothing in Packages CA, CB, or CC shall be interpreted to authorize conduct inconsistent with independently applicable constitutional protections, Indigenous rights, criminal-procedure guarantees, labour protections, anti-discrimination law, humanitarian obligations, or international human-rights obligations binding upon the Party concerned.</w:t>
      </w:r>
    </w:p>
    <w:p>
      <w:bookmarkStart w:id="3088" w:name="_NAESTMA_TOC_3088"/>
      <w:pPr>
        <w:pStyle w:val="Heading1"/>
        <w:keepNext/>
        <w:pageBreakBefore/>
        <w:widowControl/>
        <w:rPr/>
      </w:pPr>
      <w:r>
        <w:t>PACKAGE CK — CUSTODIAL RIGHTS ADVERSARIAL-REVIEW HARDENING AND CONFORMING PROVISIONS</w:t>
      </w:r>
      <w:bookmarkEnd w:id="3088"/>
    </w:p>
    <w:p>
      <w:pPr>
        <w:pStyle w:val="Normal"/>
        <w:widowControl/>
        <w:rPr/>
      </w:pPr>
      <w:r>
        <w:rPr/>
        <w:t>CK-1. Governing Effect. This Package supplements Packages CH, CI, CJ and Annexes CH-A and CH-B. Where a provision below is more specific, it governs the corresponding custodial subject. Nothing in this Package creates a separate tribunal, secretariat, inspection bureaucracy, or retaliation schedule.</w:t>
      </w:r>
    </w:p>
    <w:p>
      <w:bookmarkStart w:id="3089" w:name="_NAESTMA_TOC_3089"/>
      <w:pPr>
        <w:pStyle w:val="Heading2"/>
        <w:keepNext/>
        <w:widowControl/>
        <w:rPr/>
      </w:pPr>
      <w:r>
        <w:rPr/>
        <w:t>CK-2. JUVENILES — CROSS-REFERENCE, DO NOT BUILD A SECOND CODE</w:t>
      </w:r>
      <w:bookmarkEnd w:id="3089"/>
    </w:p>
    <w:p>
      <w:pPr>
        <w:pStyle w:val="Normal"/>
        <w:widowControl/>
        <w:rPr/>
      </w:pPr>
      <w:r>
        <w:rPr/>
        <w:t>2. Where a child or young person is held under juvenile-justice, child- protection, criminal, immigration, or comparable authority, this Package operates only as a minimum backstop. Any more protective child-specific rule under this Agreement, domestic law, or an applicable international obligation shall govern to the extent of inconsistency.</w:t>
      </w:r>
    </w:p>
    <w:p>
      <w:pPr>
        <w:pStyle w:val="Normal"/>
        <w:widowControl/>
        <w:rPr/>
      </w:pPr>
      <w:r>
        <w:rPr/>
        <w:t>ADD CH-2(4):</w:t>
      </w:r>
    </w:p>
    <w:p>
      <w:pPr>
        <w:pStyle w:val="Normal"/>
        <w:widowControl/>
        <w:rPr/>
      </w:pPr>
      <w:r>
        <w:rPr/>
        <w:t>4. Nothing in this Package shall be interpreted to reduce age-specific safeguards, separation requirements, education rights, family protections, developmental protections, or best-interests requirements otherwise applicable to children.</w:t>
      </w:r>
    </w:p>
    <w:p>
      <w:bookmarkStart w:id="3090" w:name="_NAESTMA_TOC_3090"/>
      <w:pPr>
        <w:pStyle w:val="Heading2"/>
        <w:keepNext/>
        <w:widowControl/>
        <w:rPr/>
      </w:pPr>
      <w:r>
        <w:rPr/>
        <w:t>CK-3. PRIVATE CONTRACTORS — ROUND THREE GOOD; ADD PROCUREMENT TEETH</w:t>
      </w:r>
      <w:bookmarkEnd w:id="3090"/>
    </w:p>
    <w:p>
      <w:pPr>
        <w:pStyle w:val="Normal"/>
        <w:widowControl/>
        <w:rPr/>
      </w:pPr>
      <w:r>
        <w:rPr/>
        <w:t>3. To the extent permitted by domestic law, new or renewed material custodial contracts should preserve governmental access to records, incident reporting, inspection, healthcare-performance information, and other information reasonably necessary to verify compliance with this Package.</w:t>
      </w:r>
    </w:p>
    <w:p>
      <w:pPr>
        <w:pStyle w:val="Normal"/>
        <w:widowControl/>
        <w:rPr/>
      </w:pPr>
      <w:r>
        <w:rPr/>
        <w:t>ADD CH-34(4):</w:t>
      </w:r>
    </w:p>
    <w:p>
      <w:pPr>
        <w:pStyle w:val="Normal"/>
        <w:widowControl/>
        <w:rPr/>
      </w:pPr>
      <w:r>
        <w:rPr/>
        <w:t>4. Commercial confidentiality shall not be used to conceal a grave custodial abuse or systemic failure, subject to lawful protection of security-sensitive, personal, medical, and legitimately proprietary information.</w:t>
      </w:r>
    </w:p>
    <w:p>
      <w:bookmarkStart w:id="3091" w:name="_NAESTMA_TOC_3091"/>
      <w:pPr>
        <w:pStyle w:val="Heading2"/>
        <w:keepNext/>
        <w:widowControl/>
        <w:rPr/>
      </w:pPr>
      <w:r>
        <w:rPr/>
        <w:t>CK-4. SOLITARY / RESTRICTIVE HOUSING — CLOSE THE SERIAL-RESET LOOP FURTHER</w:t>
      </w:r>
      <w:bookmarkEnd w:id="3091"/>
    </w:p>
    <w:p>
      <w:pPr>
        <w:pStyle w:val="Normal"/>
        <w:widowControl/>
        <w:rPr/>
      </w:pPr>
      <w:r>
        <w:rPr/>
        <w:t>(c) "meaningful human contact" requires direct interpersonal interaction of a nature and duration capable of providing genuine social contact and shall not be satisfied solely by surveillance, meal delivery, shouted communication through a closed door, or other fleeting custodial transactions.</w:t>
      </w:r>
    </w:p>
    <w:p>
      <w:pPr>
        <w:pStyle w:val="Normal"/>
        <w:widowControl/>
        <w:rPr/>
      </w:pPr>
      <w:r>
        <w:rPr/>
        <w:t>ADD CH-22(5):</w:t>
      </w:r>
    </w:p>
    <w:p>
      <w:pPr>
        <w:pStyle w:val="Normal"/>
        <w:widowControl/>
        <w:rPr/>
      </w:pPr>
      <w:r>
        <w:rPr/>
        <w:t>5. In determining whether confinement is prolonged or materially continuous, reviewers shall consider the totality of actual conditions, including repeated or alternating periods of near-total isolation, nominal releases too brief to restore ordinary social contact, and transfers between substantially equivalent restrictive regimes.</w:t>
      </w:r>
    </w:p>
    <w:p>
      <w:pPr>
        <w:pStyle w:val="Normal"/>
        <w:widowControl/>
        <w:rPr/>
      </w:pPr>
      <w:r>
        <w:rPr/>
        <w:t>ADD CH-22(6):</w:t>
      </w:r>
    </w:p>
    <w:p>
      <w:pPr>
        <w:pStyle w:val="Normal"/>
        <w:widowControl/>
        <w:rPr/>
      </w:pPr>
      <w:r>
        <w:rPr/>
        <w:t>6. Ordinary protective custody shall be administered, so far as reasonably possible, through conditions less restrictive than solitary confinement.</w:t>
      </w:r>
    </w:p>
    <w:p>
      <w:bookmarkStart w:id="3092" w:name="_NAESTMA_TOC_3092"/>
      <w:pPr>
        <w:pStyle w:val="Heading2"/>
        <w:keepNext/>
        <w:widowControl/>
        <w:rPr/>
      </w:pPr>
      <w:r>
        <w:rPr/>
        <w:t>CK-5. EMERGENCY AUTHORITY — CLOSE THE "PERMANENT EMERGENCY" LOOP</w:t>
      </w:r>
      <w:bookmarkEnd w:id="3092"/>
    </w:p>
    <w:p>
      <w:pPr>
        <w:pStyle w:val="Normal"/>
        <w:widowControl/>
        <w:rPr/>
      </w:pPr>
      <w:r>
        <w:rPr/>
        <w:t>2. The longer an emergency restriction continues, the greater the required specificity of justification, frequency of review, consideration of less restrictive alternatives, and documentation of steps toward restoration.</w:t>
      </w:r>
    </w:p>
    <w:p>
      <w:pPr>
        <w:pStyle w:val="Normal"/>
        <w:widowControl/>
        <w:rPr/>
      </w:pPr>
      <w:r>
        <w:rPr/>
        <w:t>ADD CH-39(3):</w:t>
      </w:r>
    </w:p>
    <w:p>
      <w:pPr>
        <w:pStyle w:val="Normal"/>
        <w:widowControl/>
        <w:rPr/>
      </w:pPr>
      <w:r>
        <w:rPr/>
        <w:t>3. Systemic understaffing, ordinary budget pressure, routine maintenance backlogs, or chronic administrative inconvenience shall not by themselves constitute a continuing emergency.</w:t>
      </w:r>
    </w:p>
    <w:p>
      <w:bookmarkStart w:id="3093" w:name="_NAESTMA_TOC_3093"/>
      <w:pPr>
        <w:pStyle w:val="Heading2"/>
        <w:keepNext/>
        <w:widowControl/>
        <w:rPr/>
      </w:pPr>
      <w:r>
        <w:rPr/>
        <w:t>CK-6. HEALTHCARE — PROTECT CLINICAL INDEPENDENCE</w:t>
      </w:r>
      <w:bookmarkEnd w:id="3093"/>
    </w:p>
    <w:p>
      <w:pPr>
        <w:pStyle w:val="Normal"/>
        <w:widowControl/>
        <w:rPr/>
      </w:pPr>
      <w:r>
        <w:rPr/>
        <w:t>5. Clinical judgment concerning diagnosis, treatment, medication, emergency referral, and medical confidentiality shall be exercised by appropriately qualified health professionals. Legitimate security requirements may shape the manner of delivery but shall not be used to falsify or override a clinical decision for a non-clinical punitive purpose.</w:t>
      </w:r>
    </w:p>
    <w:p>
      <w:pPr>
        <w:pStyle w:val="Normal"/>
        <w:widowControl/>
        <w:rPr/>
      </w:pPr>
      <w:r>
        <w:rPr/>
        <w:t>ADD CH-12(6):</w:t>
      </w:r>
    </w:p>
    <w:p>
      <w:pPr>
        <w:pStyle w:val="Normal"/>
        <w:widowControl/>
        <w:rPr/>
      </w:pPr>
      <w:r>
        <w:rPr/>
        <w:t>6. Healthcare personnel shall not be required to participate in torture, punitive medical deprivation, falsification of medical records, or medical clearance designed merely to legitimize otherwise prohibited abuse.</w:t>
      </w:r>
    </w:p>
    <w:p>
      <w:bookmarkStart w:id="3094" w:name="_NAESTMA_TOC_3094"/>
      <w:pPr>
        <w:pStyle w:val="Heading2"/>
        <w:keepNext/>
        <w:widowControl/>
        <w:rPr/>
      </w:pPr>
      <w:r>
        <w:rPr/>
        <w:t>CK-7. FAMILY CONTACT — ADD ABUSE/Victim SAFETY SAFEGUARD</w:t>
      </w:r>
      <w:bookmarkEnd w:id="3094"/>
    </w:p>
    <w:p>
      <w:pPr>
        <w:pStyle w:val="Normal"/>
        <w:widowControl/>
        <w:rPr/>
      </w:pPr>
      <w:r>
        <w:rPr/>
        <w:t>4. Nothing in this Article requires contact with a person whom the prisoner does not wish to contact or overrides victim-protection, no-contact, child- protection, domestic-violence, witness-protection, or comparable lawful orders.</w:t>
      </w:r>
    </w:p>
    <w:p>
      <w:bookmarkStart w:id="3095" w:name="_NAESTMA_TOC_3095"/>
      <w:pPr>
        <w:pStyle w:val="Heading2"/>
        <w:keepNext/>
        <w:widowControl/>
        <w:rPr/>
      </w:pPr>
      <w:r>
        <w:rPr/>
        <w:t>CK-8. DATA AND TRANSPARENCY — PREVENT METRIC GAMING</w:t>
      </w:r>
      <w:bookmarkEnd w:id="3095"/>
    </w:p>
    <w:p>
      <w:pPr>
        <w:pStyle w:val="Normal"/>
        <w:widowControl/>
        <w:rPr/>
      </w:pPr>
      <w:r>
        <w:rPr/>
        <w:t>4. A Party should not knowingly manipulate definitions, reporting periods, facility classifications, or custodial labels principally to conceal a systemic condition otherwise reportable under this Package.</w:t>
      </w:r>
    </w:p>
    <w:p>
      <w:pPr>
        <w:pStyle w:val="Normal"/>
        <w:widowControl/>
        <w:rPr/>
      </w:pPr>
      <w:r>
        <w:rPr/>
        <w:t>ADD CH-47(5):</w:t>
      </w:r>
    </w:p>
    <w:p>
      <w:pPr>
        <w:pStyle w:val="Normal"/>
        <w:widowControl/>
        <w:rPr/>
      </w:pPr>
      <w:r>
        <w:rPr/>
        <w:t>5. Where materially different national definitions prevent direct comparison, the Parties should publish or exchange sufficient methodological notes to avoid false equivalence.</w:t>
      </w:r>
    </w:p>
    <w:p>
      <w:bookmarkStart w:id="3096" w:name="_NAESTMA_TOC_3096"/>
      <w:pPr>
        <w:pStyle w:val="Heading2"/>
        <w:keepNext/>
        <w:widowControl/>
        <w:rPr/>
      </w:pPr>
      <w:r>
        <w:rPr/>
        <w:t>CK-9. FEDERALISM — HARDEN WITHOUT CREATING AN ESCAPE HATCH</w:t>
      </w:r>
      <w:bookmarkEnd w:id="3096"/>
    </w:p>
    <w:p>
      <w:pPr>
        <w:pStyle w:val="Normal"/>
        <w:widowControl/>
        <w:rPr/>
      </w:pPr>
      <w:r>
        <w:rPr/>
        <w:t>3. Where implementation materially depends upon a subnational authority, the Party shall use the constitutionally available measures reasonably within its competence, which may include legislation, funding conditions, agreements, incentives, reporting, intergovernmental coordination, litigation positions, technical assistance, or other lawful mechanisms appropriate to its system.</w:t>
      </w:r>
    </w:p>
    <w:p>
      <w:pPr>
        <w:pStyle w:val="Normal"/>
        <w:widowControl/>
        <w:rPr/>
      </w:pPr>
      <w:r>
        <w:rPr/>
        <w:t>ADD CH-40(5):</w:t>
      </w:r>
    </w:p>
    <w:p>
      <w:pPr>
        <w:pStyle w:val="Normal"/>
        <w:widowControl/>
        <w:rPr/>
      </w:pPr>
      <w:r>
        <w:rPr/>
        <w:t>5. Constitutional division of powers affects the means of implementation but does not permit a Party to misrepresent a known systemic deficiency as having been cured. Intergovernmental review shall take genuine constitutional limits into account when assessing reasonable efforts, timelines, and remedies.</w:t>
      </w:r>
    </w:p>
    <w:p>
      <w:bookmarkStart w:id="3097" w:name="_NAESTMA_TOC_3097"/>
      <w:pPr>
        <w:pStyle w:val="Heading2"/>
        <w:keepNext/>
        <w:widowControl/>
        <w:rPr/>
      </w:pPr>
      <w:r>
        <w:rPr/>
        <w:t>CK-10. ENFORCEMENT — DO NOT CREATE "COTHROM II"</w:t>
      </w:r>
      <w:bookmarkEnd w:id="3097"/>
    </w:p>
    <w:p>
      <w:pPr>
        <w:pStyle w:val="Normal"/>
        <w:widowControl/>
        <w:rPr/>
      </w:pPr>
      <w:r>
        <w:rPr/>
        <w:t>CH-44. Relationship to Existing Compliance Architecture</w:t>
      </w:r>
    </w:p>
    <w:p>
      <w:pPr>
        <w:pStyle w:val="Normal"/>
        <w:widowControl/>
        <w:rPr/>
      </w:pPr>
      <w:r>
        <w:rPr/>
        <w:t>1. Compliance concerns under this Package shall use the existing consultation, verification, cure, Cothrom, dispute-settlement, human-rights, and grave-abuse mechanisms of this Agreement to the extent those mechanisms are applicable.</w:t>
      </w:r>
    </w:p>
    <w:p>
      <w:pPr>
        <w:pStyle w:val="Normal"/>
        <w:widowControl/>
        <w:rPr/>
      </w:pPr>
      <w:r>
        <w:rPr/>
        <w:t>2. This Package does not establish a second standing tribunal, secretariat, inspection bureaucracy, retaliation schedule, or parallel dispute-settlement track.</w:t>
      </w:r>
    </w:p>
    <w:p>
      <w:pPr>
        <w:pStyle w:val="Normal"/>
        <w:widowControl/>
        <w:rPr/>
      </w:pPr>
      <w:r>
        <w:rPr/>
        <w:t>3. In applying existing mechanisms to custodial conditions, decision-makers shall distinguish: (a) isolated operational error; (b) serious facility-level deficiency; (c) persistent or systemic failure; (d) deliberate non-compliance; and (e) grave abuse.</w:t>
      </w:r>
    </w:p>
    <w:p>
      <w:pPr>
        <w:pStyle w:val="Normal"/>
        <w:widowControl/>
        <w:rPr/>
      </w:pPr>
      <w:r>
        <w:rPr/>
        <w:t>CH-45. Cure-Oriented Application</w:t>
      </w:r>
    </w:p>
    <w:p>
      <w:pPr>
        <w:pStyle w:val="Normal"/>
        <w:widowControl/>
        <w:rPr/>
      </w:pPr>
      <w:r>
        <w:rPr/>
        <w:t>1. Except where existing NAESTMA grave-abuse procedures permit expedited action, the ordinary sequence shall emphasize notice, evidence, response, verification, a reasonable cure opportunity, and restoration.</w:t>
      </w:r>
    </w:p>
    <w:p>
      <w:pPr>
        <w:pStyle w:val="Normal"/>
        <w:widowControl/>
        <w:rPr/>
      </w:pPr>
      <w:r>
        <w:rPr/>
        <w:t>2. Corrective measures should be tailored to the custodial deficiency and may include medical intervention, infrastructure repair, staffing correction, training, investigation, discipline, contractor remediation, policy change, monitoring, or other targeted action.</w:t>
      </w:r>
    </w:p>
    <w:p>
      <w:pPr>
        <w:pStyle w:val="Normal"/>
        <w:widowControl/>
        <w:rPr/>
      </w:pPr>
      <w:r>
        <w:rPr/>
        <w:t>3. Existing NAESTMA economic step-back or earn-back mechanisms shall not be interpreted to authorize degradation of individual prisoner treatment or withholding of the non-derogable protections in CH-43.</w:t>
      </w:r>
    </w:p>
    <w:p>
      <w:pPr>
        <w:pStyle w:val="Normal"/>
        <w:widowControl/>
        <w:rPr/>
      </w:pPr>
      <w:r>
        <w:rPr/>
        <w:t>4. Generalized punishment of unrelated industries is disfavoured as a remedy for a custodial-conditions dispute where a targeted rights-preserving remedy is reasonably available under this Agreement.</w:t>
      </w:r>
    </w:p>
    <w:p>
      <w:pPr>
        <w:pStyle w:val="Normal"/>
        <w:widowControl/>
        <w:rPr/>
      </w:pPr>
      <w:r>
        <w:rPr/>
        <w:t>CH-46. Grave Abuse</w:t>
      </w:r>
    </w:p>
    <w:p>
      <w:pPr>
        <w:pStyle w:val="Normal"/>
        <w:widowControl/>
        <w:rPr/>
      </w:pPr>
      <w:r>
        <w:rPr/>
        <w:t>Credible allegations of torture, disappearance, deliberate starvation, deliberate denial of life-saving medical care, systematic sexual abuse, trafficking, unlawful killing, or comparable grave abuse shall be referred to the Agreement's existing expedited human-rights or grave-abuse machinery rather than creating a new custodial-specific tribunal.</w:t>
      </w:r>
    </w:p>
    <w:p>
      <w:bookmarkStart w:id="3098" w:name="_NAESTMA_TOC_3098"/>
      <w:pPr>
        <w:pStyle w:val="Heading2"/>
        <w:keepNext/>
        <w:widowControl/>
        <w:rPr/>
      </w:pPr>
      <w:r>
        <w:rPr/>
        <w:t>CK-11. REMEDIES — KEEP PEOPLE OUT OF THE RETALIATION CIRCUIT</w:t>
      </w:r>
      <w:bookmarkEnd w:id="3098"/>
    </w:p>
    <w:p>
      <w:pPr>
        <w:pStyle w:val="Normal"/>
        <w:widowControl/>
        <w:rPr/>
      </w:pPr>
      <w:r>
        <w:rPr/>
        <w:t>3. No remedy, countermeasure, suspension, pause, step-back, snapback, or earn- back mechanism under this Agreement shall intentionally worsen the custody, food, water, healthcare, safety, legal access, or basic living conditions of an individual person.</w:t>
      </w:r>
    </w:p>
    <w:p>
      <w:bookmarkStart w:id="3099" w:name="_NAESTMA_TOC_3099"/>
      <w:pPr>
        <w:pStyle w:val="Heading2"/>
        <w:keepNext/>
        <w:widowControl/>
        <w:rPr/>
      </w:pPr>
      <w:r>
        <w:rPr/>
        <w:t>CK-12. STAFF SAFETY — PRESERVE COMMAND AUTHORITY, ADD STAFF ABUSE PROTECTION</w:t>
      </w:r>
      <w:bookmarkEnd w:id="3099"/>
    </w:p>
    <w:p>
      <w:pPr>
        <w:pStyle w:val="Normal"/>
        <w:widowControl/>
        <w:rPr/>
      </w:pPr>
      <w:r>
        <w:rPr/>
        <w:t>4. Correctional staff shall have access to lawful mechanisms for reporting unsafe staffing, corruption, trafficking, serious violence risks, unlawful orders, or systemic safety deficiencies without unlawful retaliation.</w:t>
      </w:r>
    </w:p>
    <w:p>
      <w:pPr>
        <w:pStyle w:val="Normal"/>
        <w:widowControl/>
        <w:rPr/>
      </w:pPr>
      <w:r>
        <w:rPr/>
        <w:t>ADD CH-37(5):</w:t>
      </w:r>
    </w:p>
    <w:p>
      <w:pPr>
        <w:pStyle w:val="Normal"/>
        <w:widowControl/>
        <w:rPr/>
      </w:pPr>
      <w:r>
        <w:rPr/>
        <w:t>5. Nothing in this Package diminishes lawful disciplinary authority over staff misconduct or lawful command authority necessary for secure institutional operation.</w:t>
      </w:r>
    </w:p>
    <w:p>
      <w:bookmarkStart w:id="3100" w:name="_NAESTMA_TOC_3100"/>
      <w:pPr>
        <w:pStyle w:val="Heading2"/>
        <w:keepNext/>
        <w:widowControl/>
        <w:rPr/>
      </w:pPr>
      <w:r>
        <w:rPr/>
        <w:t>CK-13. CROSS-BORDER TRANSFER — CONSENT / LAW REMAINS DOMESTIC</w:t>
      </w:r>
      <w:bookmarkEnd w:id="3100"/>
    </w:p>
    <w:p>
      <w:pPr>
        <w:pStyle w:val="Normal"/>
        <w:widowControl/>
        <w:rPr/>
      </w:pPr>
      <w:r>
        <w:rPr/>
        <w:t>4. Nothing in this Package creates an independent right to international transfer, repatriation, or transfer between correctional systems. Such transfers remain governed by applicable domestic law, treaties, judicial orders, and consent requirements.</w:t>
      </w:r>
    </w:p>
    <w:p>
      <w:bookmarkStart w:id="3101" w:name="_NAESTMA_TOC_3101"/>
      <w:pPr>
        <w:pStyle w:val="Heading2"/>
        <w:keepNext/>
        <w:widowControl/>
        <w:rPr/>
      </w:pPr>
      <w:r>
        <w:rPr/>
        <w:t>CK-14. DEATHS IN CUSTODY — FAMILY NOTIFICATION</w:t>
      </w:r>
      <w:bookmarkEnd w:id="3101"/>
    </w:p>
    <w:p>
      <w:pPr>
        <w:pStyle w:val="Normal"/>
        <w:widowControl/>
        <w:rPr/>
      </w:pPr>
      <w:r>
        <w:rPr/>
        <w:t>4. Following a death in custody, authorities shall provide timely notification to the appropriate family, representative, or other person as required by domestic law, subject to legitimate investigative and identification needs.</w:t>
      </w:r>
    </w:p>
    <w:p>
      <w:bookmarkStart w:id="3102" w:name="_NAESTMA_TOC_3102"/>
      <w:pPr>
        <w:pStyle w:val="Heading2"/>
        <w:keepNext/>
        <w:widowControl/>
        <w:rPr/>
      </w:pPr>
      <w:r>
        <w:rPr/>
        <w:t>CK-15. RELIGION — SECURITY EXCEPTIONS MUST BE REAL</w:t>
      </w:r>
      <w:bookmarkEnd w:id="3102"/>
    </w:p>
    <w:p>
      <w:pPr>
        <w:pStyle w:val="Normal"/>
        <w:widowControl/>
        <w:rPr/>
      </w:pPr>
      <w:r>
        <w:rPr/>
        <w:t>4. Restrictions on religious or spiritual practice shall be based on legitimate security, safety, equality, health, or operational considerations and shall not be imposed merely because a belief is unpopular.</w:t>
      </w:r>
    </w:p>
    <w:p>
      <w:bookmarkStart w:id="3103" w:name="_NAESTMA_TOC_3103"/>
      <w:pPr>
        <w:pStyle w:val="Heading2"/>
        <w:keepNext/>
        <w:widowControl/>
        <w:rPr/>
      </w:pPr>
      <w:r>
        <w:rPr/>
        <w:t>CK-16. ACCESSIBILITY — COMMUNICATION, NOT JUST ARCHITECTURE</w:t>
      </w:r>
      <w:bookmarkEnd w:id="3103"/>
    </w:p>
    <w:p>
      <w:pPr>
        <w:pStyle w:val="Normal"/>
        <w:widowControl/>
        <w:rPr/>
      </w:pPr>
      <w:r>
        <w:rPr/>
        <w:t>4. Where a prisoner cannot meaningfully understand a critical medical, legal, disciplinary, evacuation, or safety instruction because of disability, authorities shall use a reasonably effective accessible means of communication.</w:t>
      </w:r>
    </w:p>
    <w:p>
      <w:bookmarkStart w:id="3104" w:name="_NAESTMA_TOC_3104"/>
      <w:pPr>
        <w:pStyle w:val="Heading2"/>
        <w:keepNext/>
        <w:widowControl/>
        <w:rPr/>
      </w:pPr>
      <w:r>
        <w:rPr/>
        <w:t>CK-17. SECURITY INTELLIGENCE — PROTECT AGAINST ORGANIZED CRIME WITHOUT SECRET</w:t>
      </w:r>
      <w:bookmarkEnd w:id="3104"/>
    </w:p>
    <w:p>
      <w:pPr>
        <w:pStyle w:val="Normal"/>
        <w:widowControl/>
        <w:rPr/>
      </w:pPr>
      <w:r>
        <w:rPr/>
        <w:t>2. Intelligence concerning gangs, organized crime, extortion, trafficking, or violence may support classification and protective measures, but serious long-term adverse restrictions should not rest solely on knowingly unreliable information where meaningful review is practicable.</w:t>
      </w:r>
    </w:p>
    <w:p>
      <w:bookmarkStart w:id="3105" w:name="_NAESTMA_TOC_3105"/>
      <w:pPr>
        <w:pStyle w:val="Heading2"/>
        <w:keepNext/>
        <w:widowControl/>
        <w:rPr/>
      </w:pPr>
      <w:r>
        <w:rPr/>
        <w:t>CK-18. NO UNCOMPENSATED FRONT-LOADING — EXPLICIT EXCLUSION</w:t>
      </w:r>
      <w:bookmarkEnd w:id="3105"/>
    </w:p>
    <w:p>
      <w:pPr>
        <w:pStyle w:val="Normal"/>
        <w:widowControl/>
        <w:rPr/>
      </w:pPr>
      <w:r>
        <w:rPr/>
        <w:t>4. The Mandatory Custodial Dignity Floor is not a paired commercial concession for purposes of the No Uncompensated Front-Loading architecture. Compliance with fundamental custodial protections shall not be suspended pending delivery of an economic benefit by another Party.</w:t>
      </w:r>
    </w:p>
    <w:p>
      <w:bookmarkStart w:id="3106" w:name="_NAESTMA_TOC_3106"/>
      <w:pPr>
        <w:pStyle w:val="Heading2"/>
        <w:keepNext/>
        <w:widowControl/>
        <w:rPr/>
      </w:pPr>
      <w:r>
        <w:rPr/>
        <w:t>CK-19. Optional Annex Safeguards</w:t>
      </w:r>
      <w:bookmarkEnd w:id="3106"/>
    </w:p>
    <w:p>
      <w:pPr>
        <w:pStyle w:val="Normal"/>
        <w:widowControl/>
        <w:rPr/>
      </w:pPr>
      <w:r>
        <w:rPr/>
        <w:t>Participation in an Optional Advanced Correctional Reform Module shall identify the domestic model adopted. Optional sentencing or release reforms preserve lawful victim-notification, public-safety, judicial and appellate procedures; electronic monitoring should account for privacy, technical error and disproportionate cost; no age, diagnosis or time-served criterion creates automatic release; Indigenous modules remain subject to applicable Indigenous rights, consultation, consent and self-government arrangements; no adult custodial preference overrides a child's safety or best interests; and no Party is required to release a person whom a competent domestic authority lawfully determines presents an unmanageable serious public-safety risk merely to satisfy a capacity target.</w:t>
      </w:r>
    </w:p>
    <w:p>
      <w:bookmarkStart w:id="3107" w:name="_NAESTMA_TOC_3107"/>
      <w:pPr>
        <w:pStyle w:val="Heading2"/>
        <w:keepNext/>
        <w:widowControl/>
        <w:rPr/>
      </w:pPr>
      <w:r>
        <w:rPr/>
        <w:t>CK-20. Existing-Architecture Integration</w:t>
      </w:r>
      <w:bookmarkEnd w:id="3107"/>
    </w:p>
    <w:p>
      <w:pPr>
        <w:pStyle w:val="Normal"/>
        <w:widowControl/>
        <w:rPr/>
      </w:pPr>
      <w:r>
        <w:rPr/>
        <w:t>Custodial compliance shall use existing NAESTMA consultation, verification, cure, Cothrom, human-rights, labour, privacy, grave-abuse, step-back/earn-back and dispute-settlement architecture to the extent applicable. Package BS remains the specialized civil-immigration custody framework; Packages BW and BX remain the principal general human-rights and grave-abuse architecture; Chapter 23 governs labour and forced-labour issues; and the No Uncompensated Front-Loading architecture shall not be applied to suspend the Mandatory Custodial Dignity Floor.</w:t>
      </w:r>
    </w:p>
    <w:p>
      <w:bookmarkStart w:id="3108" w:name="_NAESTMA_TOC_3108"/>
      <w:pPr>
        <w:pStyle w:val="Heading2"/>
        <w:keepNext/>
        <w:widowControl/>
        <w:rPr/>
      </w:pPr>
      <w:r>
        <w:rPr/>
        <w:t>CK-21. Trilateral Parity and Non-Stigmatization</w:t>
      </w:r>
      <w:bookmarkEnd w:id="3108"/>
    </w:p>
    <w:p>
      <w:pPr>
        <w:pStyle w:val="Normal"/>
        <w:widowControl/>
        <w:rPr/>
      </w:pPr>
      <w:r>
        <w:rPr/>
        <w:t>Packages CH through CK apply on a facially equal basis to Canada, Mexico and the United States. Country-specific correctional history, legislation, programs, or source proposals create no presumption that one Party is more abusive, less compliant, or subject to a special enforcement track. Country-specific innovations belong in domestic implementation schedules or voluntary modules unless all Parties expressly agree otherwise.</w:t>
      </w:r>
    </w:p>
    <w:p>
      <w:bookmarkStart w:id="3109" w:name="_NAESTMA_TOC_3109"/>
      <w:pPr>
        <w:pStyle w:val="Heading2"/>
        <w:keepNext/>
        <w:widowControl/>
        <w:rPr/>
      </w:pPr>
      <w:r>
        <w:t>CK-22. Integrated Governing Principle</w:t>
      </w:r>
      <w:bookmarkEnd w:id="3109"/>
    </w:p>
    <w:p>
      <w:pPr>
        <w:pStyle w:val="Normal"/>
        <w:widowControl/>
        <w:rPr/>
      </w:pPr>
      <w:r>
        <w:rPr/>
        <w:t>Punishment may lawfully deprive a person of liberty. It does not authorize starvation, medical abandonment, torture, deliberate degradation, unsafe custody, or the use of fundamental human dignity as commercial leverage. The Parties preserve sovereign authority over criminal law and corrections while maintaining this common minimum floor.</w:t>
      </w:r>
    </w:p>
    <w:p>
      <w:pPr>
        <w:pStyle w:val="Normal"/>
        <w:rPr/>
      </w:pPr>
      <w:r>
        <w:rPr/>
      </w:r>
      <w:r>
        <w:br w:type="page"/>
      </w:r>
    </w:p>
    <w:p>
      <w:bookmarkStart w:id="3110" w:name="_NAESTMA_TOC_3110"/>
      <w:pPr>
        <w:pStyle w:val="Heading1"/>
        <w:keepNext/>
        <w:pageBreakBefore/>
        <w:widowControl/>
        <w:spacing w:before="0" w:after="160"/>
        <w:rPr/>
      </w:pPr>
      <w:r>
        <w:rPr/>
        <w:t>PACKAGE CL — NORTH AMERICAN HUMAN DIGNITY, EQUALITY AND RIGHTS FRAMEWORK</w:t>
      </w:r>
      <w:bookmarkEnd w:id="3110"/>
    </w:p>
    <w:p>
      <w:bookmarkStart w:id="3111" w:name="_NAESTMA_TOC_3111"/>
      <w:pPr>
        <w:pStyle w:val="Heading2"/>
        <w:keepNext/>
        <w:widowControl/>
        <w:rPr/>
      </w:pPr>
      <w:r>
        <w:t>PHASE-1 HUMAN-RIGHTS INTEGRATION — 384 HARDENED PROVISION SLOTS</w:t>
      </w:r>
      <w:bookmarkEnd w:id="3111"/>
    </w:p>
    <w:p>
      <w:pPr>
        <w:pStyle w:val="Normal"/>
        <w:widowControl/>
        <w:rPr/>
      </w:pPr>
      <w:r>
        <w:t>Status. This Package consolidates the Phase-1 human-rights integration into operative, flexible and genuinely optional architecture. It supplements existing NAESTMA labour, migration, asylum, Indigenous, privacy, environmental, public-health and custodial protections; preserves stronger rights; respects federalism and competent authority; creates no implied private cause of action; and does not exhaust future human-rights subjects.</w:t>
      </w:r>
    </w:p>
    <w:p>
      <w:bookmarkStart w:id="3112" w:name="_NAESTMA_TOC_3112"/>
      <w:pPr>
        <w:pStyle w:val="Heading2"/>
        <w:keepNext/>
        <w:widowControl/>
        <w:rPr/>
      </w:pPr>
      <w:r>
        <w:rPr/>
        <w:t>CL-1. Purpose, Character and Relationship to Existing Architecture</w:t>
      </w:r>
      <w:bookmarkEnd w:id="3112"/>
    </w:p>
    <w:p>
      <w:pPr>
        <w:pStyle w:val="Normal"/>
        <w:widowControl/>
        <w:rPr/>
      </w:pPr>
      <w:r>
        <w:rPr/>
        <w:t>1. The Parties establish a reciprocal North American human-rights floor for treaty-linked governmental action and covered economic activity, while preserving each Party's constitutional structure, democratic authority, federalism, competent institutions and ability to maintain or adopt stronger protections.</w:t>
      </w:r>
    </w:p>
    <w:p>
      <w:pPr>
        <w:pStyle w:val="Normal"/>
        <w:widowControl/>
        <w:rPr/>
      </w:pPr>
      <w:r>
        <w:rPr/>
        <w:t>2. This Package supplements, and does not displace, the more specific labour, migration, asylum, privacy, Indigenous, environmental, public-health, custody, corrections and dispute-settlement protections elsewhere in this Agreement.</w:t>
      </w:r>
    </w:p>
    <w:p>
      <w:pPr>
        <w:pStyle w:val="Normal"/>
        <w:widowControl/>
        <w:rPr/>
      </w:pPr>
      <w:r>
        <w:rPr/>
        <w:t>3. Where a more specific provision affords stronger or more tailored protection, that provision governs to the extent of the greater or more specific protection. Nothing in this Package permits double recovery or stacked punishment for the same injury.</w:t>
      </w:r>
    </w:p>
    <w:p>
      <w:pPr>
        <w:pStyle w:val="Normal"/>
        <w:widowControl/>
        <w:rPr/>
      </w:pPr>
      <w:r>
        <w:rPr/>
        <w:t>4. Human beings are not trade collateral. No tariff, procurement, border, security, migration, emergency, suspension, step-back, earn-back or other economic remedy may intentionally suspend or degrade the non-derogable humane-treatment or accrued procedural floor protected by this Agreement.</w:t>
      </w:r>
    </w:p>
    <w:p>
      <w:bookmarkStart w:id="3113" w:name="_NAESTMA_TOC_3113"/>
      <w:pPr>
        <w:pStyle w:val="Heading2"/>
        <w:keepNext/>
        <w:widowControl/>
        <w:rPr/>
      </w:pPr>
      <w:r>
        <w:rPr/>
        <w:t>CL-2. Stronger Rights, Federalism and No Implied Private Cause</w:t>
      </w:r>
      <w:bookmarkEnd w:id="3113"/>
    </w:p>
    <w:p>
      <w:pPr>
        <w:pStyle w:val="Normal"/>
        <w:widowControl/>
        <w:rPr/>
      </w:pPr>
      <w:r>
        <w:rPr/>
        <w:t>1. Nothing in this Package defines applicable constitutional, treaty, Indigenous, statutory or international protections downward. A Party may maintain or adopt stronger protection.</w:t>
      </w:r>
    </w:p>
    <w:p>
      <w:pPr>
        <w:pStyle w:val="Normal"/>
        <w:widowControl/>
        <w:rPr/>
      </w:pPr>
      <w:r>
        <w:rPr/>
        <w:t>2. Obligations shall be implemented through the authorities constitutionally competent to act. Functionally equivalent lawful implementation is permitted, and no provision implies an unauthorized transfer of legislative or adjudicative competence.</w:t>
      </w:r>
    </w:p>
    <w:p>
      <w:pPr>
        <w:pStyle w:val="Normal"/>
        <w:widowControl/>
        <w:rPr/>
      </w:pPr>
      <w:r>
        <w:rPr/>
        <w:t>3. Unless an Article expressly provides otherwise, this Package creates no private right of action, new criminal offence, automatic damages entitlement, corporate veil-piercing rule or direct civil liability of a private person.</w:t>
      </w:r>
    </w:p>
    <w:p>
      <w:bookmarkStart w:id="3114" w:name="_NAESTMA_TOC_3114"/>
      <w:pPr>
        <w:pStyle w:val="Heading2"/>
        <w:keepNext/>
        <w:widowControl/>
        <w:rPr/>
      </w:pPr>
      <w:r>
        <w:rPr/>
        <w:t>CL-3. Objective Exceptions, Evidence and Review</w:t>
      </w:r>
      <w:bookmarkEnd w:id="3114"/>
    </w:p>
    <w:p>
      <w:pPr>
        <w:pStyle w:val="Normal"/>
        <w:widowControl/>
        <w:rPr/>
      </w:pPr>
      <w:r>
        <w:rPr/>
        <w:t>1. A rights-limiting exception shall be connected to a legitimate objective, supported by an articulable basis appropriate to the context, proportionate to that objective, non-discriminatory in design and application, and no broader or longer than reasonably necessary.</w:t>
      </w:r>
    </w:p>
    <w:p>
      <w:pPr>
        <w:pStyle w:val="Normal"/>
        <w:widowControl/>
        <w:rPr/>
      </w:pPr>
      <w:r>
        <w:rPr/>
        <w:t>2. Material adverse findings shall identify the evidentiary basis and, where relevant, the applicable causation or attribution test. A materially affected authority or person shall have a meaningful opportunity to respond, subject to lawful protection of confidential, personal, security-sensitive and privileged information.</w:t>
      </w:r>
    </w:p>
    <w:p>
      <w:pPr>
        <w:pStyle w:val="Normal"/>
        <w:widowControl/>
        <w:rPr/>
      </w:pPr>
      <w:r>
        <w:rPr/>
        <w:t>3. Security or emergency invocation does not erase humane treatment, record preservation, appropriate notice, independent review, periodic necessity review, sunset or restoration obligations that otherwise form part of the applicable non-derogable procedural core.</w:t>
      </w:r>
    </w:p>
    <w:p>
      <w:bookmarkStart w:id="3115" w:name="_NAESTMA_TOC_3115"/>
      <w:pPr>
        <w:pStyle w:val="Heading2"/>
        <w:keepNext/>
        <w:widowControl/>
        <w:rPr/>
      </w:pPr>
      <w:r>
        <w:rPr/>
        <w:t>CL-4. Remedy, Optionality, Data and Anti-Gaming</w:t>
      </w:r>
      <w:bookmarkEnd w:id="3115"/>
    </w:p>
    <w:p>
      <w:pPr>
        <w:pStyle w:val="Normal"/>
        <w:widowControl/>
        <w:rPr/>
      </w:pPr>
      <w:r>
        <w:rPr/>
        <w:t>1. The ordinary remedy is the narrowest sufficient cure. Correction and restoration shall be preferred over unrelated retaliation, and no remedy may intentionally worsen the treatment or protected status of the persons whose rights are at issue.</w:t>
      </w:r>
    </w:p>
    <w:p>
      <w:pPr>
        <w:pStyle w:val="Normal"/>
        <w:widowControl/>
        <w:rPr/>
      </w:pPr>
      <w:r>
        <w:rPr/>
        <w:t>2. Refusal to adopt, renew, fund or participate in an optional human-rights module is not noncompliance and may not reduce unrelated treaty benefits, trigger retaliation, alter mandatory-core rights or support an adverse inference.</w:t>
      </w:r>
    </w:p>
    <w:p>
      <w:pPr>
        <w:pStyle w:val="Normal"/>
        <w:widowControl/>
        <w:rPr/>
      </w:pPr>
      <w:r>
        <w:rPr/>
        <w:t>3. Human-rights monitoring shall collect only information reasonably necessary for its stated purpose, use aggregation or de-identification where practicable, protect sensitive-status information, and prohibit secondary discriminatory or enforcement use inconsistent with the collection purpose.</w:t>
      </w:r>
    </w:p>
    <w:p>
      <w:pPr>
        <w:pStyle w:val="Normal"/>
        <w:widowControl/>
        <w:rPr/>
      </w:pPr>
      <w:r>
        <w:rPr/>
        <w:t>4. Relabeling, outsourcing, proxy action, serial temporary measures, algorithmic substitution or institutional reassignment does not establish compliance where materially equivalent prohibited harm continues.</w:t>
      </w:r>
    </w:p>
    <w:p>
      <w:bookmarkStart w:id="3116" w:name="_NAESTMA_TOC_3116"/>
      <w:pPr>
        <w:pStyle w:val="Heading2"/>
        <w:keepNext/>
        <w:widowControl/>
        <w:rPr/>
      </w:pPr>
      <w:r>
        <w:rPr/>
        <w:t>CL-5. Accessibility, Participation, Continuity and Non-Exhaustion</w:t>
      </w:r>
      <w:bookmarkEnd w:id="3116"/>
    </w:p>
    <w:p>
      <w:pPr>
        <w:pStyle w:val="Normal"/>
        <w:widowControl/>
        <w:rPr/>
      </w:pPr>
      <w:r>
        <w:rPr/>
        <w:t>1. Treaty-linked notices, complaint channels, consultations and review procedures shall be reasonably accessible, including disability accommodation and understandable language or interpretation where necessary to make a protection meaningful.</w:t>
      </w:r>
    </w:p>
    <w:p>
      <w:pPr>
        <w:pStyle w:val="Normal"/>
        <w:widowControl/>
        <w:rPr/>
      </w:pPr>
      <w:r>
        <w:rPr/>
        <w:t>2. Workers, migrants, Indigenous participants, complainants, witnesses, advocates and other protected participants may use treaty-linked complaint or consultation channels without retaliation, without shielding fraud, threats or obstruction.</w:t>
      </w:r>
    </w:p>
    <w:p>
      <w:pPr>
        <w:pStyle w:val="Normal"/>
        <w:widowControl/>
        <w:rPr/>
      </w:pPr>
      <w:r>
        <w:rPr/>
        <w:t>3. Review, amendment, suspension or withdrawal shall not retroactively erase responsibility already accrued or strand a person in a procedurally impossible position. Appropriate transition rules shall preserve pending cases, records and accrued procedural protection.</w:t>
      </w:r>
    </w:p>
    <w:p>
      <w:pPr>
        <w:pStyle w:val="Normal"/>
        <w:widowControl/>
        <w:rPr/>
      </w:pPr>
      <w:r>
        <w:rPr/>
        <w:t>4. This Package is not an exhaustive catalogue of human rights. Later agreed protections concerning children, seniors, education, health or other subjects may supplement it, and omission from this Package creates no inference that an independently applicable domestic or international right does not exist.</w:t>
      </w:r>
    </w:p>
    <w:p>
      <w:bookmarkStart w:id="3117" w:name="_NAESTMA_TOC_3117"/>
      <w:pPr>
        <w:pStyle w:val="Heading2"/>
        <w:keepNext/>
        <w:widowControl/>
        <w:rPr/>
      </w:pPr>
      <w:r>
        <w:rPr/>
        <w:t>CL-6. UNIVERSAL HUMAN DIGNITY, EQUALITY, DUE PROCESS AND REMEDY</w:t>
      </w:r>
      <w:bookmarkEnd w:id="3117"/>
    </w:p>
    <w:p>
      <w:pPr>
        <w:pStyle w:val="Normal"/>
        <w:widowControl/>
        <w:rPr/>
      </w:pPr>
      <w:r>
        <w:rPr/>
        <w:t>Application. Mixed Mandatory/Flexible Architecture. Provisions in this Section retain the Round-Three temperature assigned to their source mechanism and are interpreted through Articles CL-1 through CL-5.</w:t>
      </w:r>
    </w:p>
    <w:p>
      <w:pPr>
        <w:pStyle w:val="Heading3"/>
        <w:keepNext/>
        <w:widowControl/>
        <w:rPr/>
      </w:pPr>
      <w:r>
        <w:rPr/>
        <w:t>HR4-001. Treaty-Wide Nondiscrimination Guarantee: Scope and Protected Interest</w:t>
      </w:r>
    </w:p>
    <w:p>
      <w:pPr>
        <w:pStyle w:val="Normal"/>
        <w:widowControl/>
        <w:rPr/>
      </w:pPr>
      <w:r>
        <w:rPr/>
        <w:t>For purposes of this Framework, the Parties recognize the protected interest addressed by Treaty-Wide Nondiscrimination Guarantee and shall apply this Article to treaty-linked governmental measures, programs, administration and covered economic activity where that interest is materially affected. The Parties shall cover direct, indirect, perceived, associative and intersectional discrimination where legally appropriate, with objective and proportionate exceptions narrowly construed.</w:t>
      </w:r>
    </w:p>
    <w:p>
      <w:pPr>
        <w:pStyle w:val="Heading3"/>
        <w:keepNext/>
        <w:widowControl/>
        <w:rPr/>
      </w:pPr>
      <w:r>
        <w:rPr/>
        <w:t>HR4-002. Treaty-Wide Nondiscrimination Guarantee: Minimum Reciprocal Floor</w:t>
      </w:r>
    </w:p>
    <w:p>
      <w:pPr>
        <w:pStyle w:val="Normal"/>
        <w:widowControl/>
        <w:rPr/>
      </w:pPr>
      <w:r>
        <w:rPr/>
        <w:t>Each Party shall maintain, through its constitutionally competent authorities and lawful institutions, a minimum effective floor under which it shall cover direct, indirect, perceived, associative and intersectional discrimination where legally appropriate, with objective and proportionate exceptions narrowly construed. A Party may use different legal or institutional means where those means provide functionally equivalent or stronger protection.</w:t>
      </w:r>
    </w:p>
    <w:p>
      <w:pPr>
        <w:pStyle w:val="Heading3"/>
        <w:keepNext/>
        <w:widowControl/>
        <w:rPr/>
      </w:pPr>
      <w:r>
        <w:rPr/>
        <w:t>HR4-003. Treaty-Wide Nondiscrimination Guarantee: Non-Circumvention, Review and Remedy</w:t>
      </w:r>
    </w:p>
    <w:p>
      <w:pPr>
        <w:pStyle w:val="Normal"/>
        <w:widowControl/>
        <w:rPr/>
      </w:pPr>
      <w:r>
        <w:rPr/>
        <w:t>A Party shall not defeat this protection through relabeling, proxy action, outsourcing, serial temporary measures, selective enforcement or another functional substitute. A materially affected person or competent representative shall have access to an appropriate avenue for review or correction under applicable law. Cure shall be proportionate and rights-preserving and shall not, by itself, create a private cause of action under this Agreement.</w:t>
      </w:r>
    </w:p>
    <w:p>
      <w:pPr>
        <w:pStyle w:val="Heading3"/>
        <w:keepNext/>
        <w:widowControl/>
        <w:rPr/>
      </w:pPr>
      <w:r>
        <w:rPr/>
        <w:t>HR4-004. Treaty-Wide Nondiscrimination Guarantee: Targeted and Intersectional Application</w:t>
      </w:r>
    </w:p>
    <w:p>
      <w:pPr>
        <w:pStyle w:val="Normal"/>
        <w:widowControl/>
        <w:rPr/>
      </w:pPr>
      <w:r>
        <w:rPr/>
        <w:t>In applying this mechanism, competent authorities shall account for materially distinct and intersectional forms of harm where generic treatment would make the protection ineffective. Targeted safeguards may address the particular context identified by the evidence, but shall not define another protected group downward or authorize unequal treatment unrelated to a legitimate and proportionate objective.</w:t>
      </w:r>
    </w:p>
    <w:p>
      <w:pPr>
        <w:pStyle w:val="Heading3"/>
        <w:keepNext/>
        <w:widowControl/>
        <w:rPr/>
      </w:pPr>
      <w:r>
        <w:rPr/>
        <w:t>HR4-005. Due Process And Fair Procedure: Scope and Protected Interest</w:t>
      </w:r>
    </w:p>
    <w:p>
      <w:pPr>
        <w:pStyle w:val="Normal"/>
        <w:widowControl/>
        <w:rPr/>
      </w:pPr>
      <w:r>
        <w:rPr/>
        <w:t>For purposes of this Framework, the Parties recognize the protected interest addressed by Due Process And Fair Procedure and shall apply this Article to treaty-linked governmental measures, programs, administration and covered economic activity where that interest is materially affected. The Parties shall require notice, a meaningful opportunity to respond, impartial decision-making, reasons where appropriate, and access to review proportionate to the decision at stake.</w:t>
      </w:r>
    </w:p>
    <w:p>
      <w:pPr>
        <w:pStyle w:val="Heading3"/>
        <w:keepNext/>
        <w:widowControl/>
        <w:rPr/>
      </w:pPr>
      <w:r>
        <w:rPr/>
        <w:t>HR4-006. Due Process And Fair Procedure: Minimum Reciprocal Floor</w:t>
      </w:r>
    </w:p>
    <w:p>
      <w:pPr>
        <w:pStyle w:val="Normal"/>
        <w:widowControl/>
        <w:rPr/>
      </w:pPr>
      <w:r>
        <w:rPr/>
        <w:t>Each Party shall maintain, through its constitutionally competent authorities and lawful institutions, a minimum effective floor under which it shall require notice, a meaningful opportunity to respond, impartial decision-making, reasons where appropriate, and access to review proportionate to the decision at stake. A Party may use different legal or institutional means where those means provide functionally equivalent or stronger protection.</w:t>
      </w:r>
    </w:p>
    <w:p>
      <w:pPr>
        <w:pStyle w:val="Heading3"/>
        <w:keepNext/>
        <w:widowControl/>
        <w:rPr/>
      </w:pPr>
      <w:r>
        <w:rPr/>
        <w:t>HR4-007. Due Process And Fair Procedure: Non-Circumvention, Review and Remedy</w:t>
      </w:r>
    </w:p>
    <w:p>
      <w:pPr>
        <w:pStyle w:val="Normal"/>
        <w:widowControl/>
        <w:rPr/>
      </w:pPr>
      <w:r>
        <w:rPr/>
        <w:t>A Party shall not defeat this protection through relabeling, proxy action, outsourcing, serial temporary measures, selective enforcement or another functional substitute. A materially affected person or competent representative shall have access to an appropriate avenue for review or correction under applicable law. Cure shall be proportionate and rights-preserving and shall not, by itself, create a private cause of action under this Agreement.</w:t>
      </w:r>
    </w:p>
    <w:p>
      <w:pPr>
        <w:pStyle w:val="Heading3"/>
        <w:keepNext/>
        <w:widowControl/>
        <w:rPr/>
      </w:pPr>
      <w:r>
        <w:rPr/>
        <w:t>HR4-008. Access To Remedy And Grievance: Scope and Protected Interest</w:t>
      </w:r>
    </w:p>
    <w:p>
      <w:pPr>
        <w:pStyle w:val="Normal"/>
        <w:widowControl/>
        <w:rPr/>
      </w:pPr>
      <w:r>
        <w:rPr/>
        <w:t>For purposes of this Framework, the Parties recognize the protected interest addressed by Access To Remedy And Grievance and shall apply this Article to treaty-linked governmental measures, programs, administration and covered economic activity where that interest is materially affected. The Parties shall provide accessible complaint channels, anti-retaliation protection, timely investigation and remedies capable of correcting the underlying harm.</w:t>
      </w:r>
    </w:p>
    <w:p>
      <w:pPr>
        <w:pStyle w:val="Heading3"/>
        <w:keepNext/>
        <w:widowControl/>
        <w:rPr/>
      </w:pPr>
      <w:r>
        <w:rPr/>
        <w:t>HR4-009. Access To Remedy And Grievance: Minimum Reciprocal Floor</w:t>
      </w:r>
    </w:p>
    <w:p>
      <w:pPr>
        <w:pStyle w:val="Normal"/>
        <w:widowControl/>
        <w:rPr/>
      </w:pPr>
      <w:r>
        <w:rPr/>
        <w:t>Each Party shall maintain, through its constitutionally competent authorities and lawful institutions, a minimum effective floor under which it shall provide accessible complaint channels, anti-retaliation protection, timely investigation and remedies capable of correcting the underlying harm. A Party may use different legal or institutional means where those means provide functionally equivalent or stronger protection.</w:t>
      </w:r>
    </w:p>
    <w:p>
      <w:pPr>
        <w:pStyle w:val="Heading3"/>
        <w:keepNext/>
        <w:widowControl/>
        <w:rPr/>
      </w:pPr>
      <w:r>
        <w:rPr/>
        <w:t>HR4-010. Access To Remedy And Grievance: Non-Circumvention, Review and Remedy</w:t>
      </w:r>
    </w:p>
    <w:p>
      <w:pPr>
        <w:pStyle w:val="Normal"/>
        <w:widowControl/>
        <w:rPr/>
      </w:pPr>
      <w:r>
        <w:rPr/>
        <w:t>A Party shall not defeat this protection through relabeling, proxy action, outsourcing, serial temporary measures, selective enforcement or another functional substitute. A materially affected person or competent representative shall have access to an appropriate avenue for review or correction under applicable law. Cure shall be proportionate and rights-preserving and shall not, by itself, create a private cause of action under this Agreement.</w:t>
      </w:r>
    </w:p>
    <w:p>
      <w:pPr>
        <w:pStyle w:val="Heading3"/>
        <w:keepNext/>
        <w:widowControl/>
        <w:rPr/>
      </w:pPr>
      <w:r>
        <w:rPr/>
        <w:t>HR4-011. Legal Information, Counsel And Interpretation Access: Scope and Protected Interest</w:t>
      </w:r>
    </w:p>
    <w:p>
      <w:pPr>
        <w:pStyle w:val="Normal"/>
        <w:widowControl/>
        <w:rPr/>
      </w:pPr>
      <w:r>
        <w:rPr/>
        <w:t>For purposes of this Framework, the Parties recognize the protected interest addressed by Legal Information, Counsel And Interpretation Access and shall apply this Article to treaty-linked governmental measures, programs, administration and covered economic activity where that interest is materially affected. The Parties shall ensure understandable information, interpretation or accessible communication, and access to legal assistance where required by applicable law or the seriousness of the proceeding.</w:t>
      </w:r>
    </w:p>
    <w:p>
      <w:pPr>
        <w:pStyle w:val="Heading3"/>
        <w:keepNext/>
        <w:widowControl/>
        <w:rPr/>
      </w:pPr>
      <w:r>
        <w:rPr/>
        <w:t>HR4-012. Legal Information, Counsel And Interpretation Access: Minimum Reciprocal Floor</w:t>
      </w:r>
    </w:p>
    <w:p>
      <w:pPr>
        <w:pStyle w:val="Normal"/>
        <w:widowControl/>
        <w:rPr/>
      </w:pPr>
      <w:r>
        <w:rPr/>
        <w:t>Each Party shall maintain, through its constitutionally competent authorities and lawful institutions, a minimum effective floor under which it shall ensure understandable information, interpretation or accessible communication, and access to legal assistance where required by applicable law or the seriousness of the proceeding. A Party may use different legal or institutional means where those means provide functionally equivalent or stronger protection.</w:t>
      </w:r>
    </w:p>
    <w:p>
      <w:pPr>
        <w:pStyle w:val="Heading3"/>
        <w:keepNext/>
        <w:widowControl/>
        <w:rPr/>
      </w:pPr>
      <w:r>
        <w:rPr/>
        <w:t>HR4-013. Legal Information, Counsel And Interpretation Access: Non-Circumvention, Review and Remedy</w:t>
      </w:r>
    </w:p>
    <w:p>
      <w:pPr>
        <w:pStyle w:val="Normal"/>
        <w:widowControl/>
        <w:rPr/>
      </w:pPr>
      <w:r>
        <w:rPr/>
        <w:t>A Party shall not defeat this protection through relabeling, proxy action, outsourcing, serial temporary measures, selective enforcement or another functional substitute. A materially affected person or competent representative shall have access to an appropriate avenue for review or correction under applicable law. Cure shall be proportionate and rights-preserving and shall not, by itself, create a private cause of action under this Agreement.</w:t>
      </w:r>
    </w:p>
    <w:p>
      <w:pPr>
        <w:pStyle w:val="Heading3"/>
        <w:keepNext/>
        <w:widowControl/>
        <w:rPr/>
      </w:pPr>
      <w:r>
        <w:rPr/>
        <w:t>HR4-014. Family Unity And Caregiving Protection: Scope and Protected Interest</w:t>
      </w:r>
    </w:p>
    <w:p>
      <w:pPr>
        <w:pStyle w:val="Normal"/>
        <w:widowControl/>
        <w:rPr/>
      </w:pPr>
      <w:r>
        <w:rPr/>
        <w:t>For purposes of this Framework, the Parties recognize the protected interest addressed by Family Unity And Caregiving Protection and shall apply this Article to treaty-linked governmental measures, programs, administration and covered economic activity where that interest is materially affected. The Parties shall avoid arbitrary family separation and discrimination based on caregiving status while preserving lawful child-protection, safety and judicial decision-making.</w:t>
      </w:r>
    </w:p>
    <w:p>
      <w:pPr>
        <w:pStyle w:val="Heading3"/>
        <w:keepNext/>
        <w:widowControl/>
        <w:rPr/>
      </w:pPr>
      <w:r>
        <w:rPr/>
        <w:t>HR4-015. Family Unity And Caregiving Protection: Minimum Reciprocal Floor</w:t>
      </w:r>
    </w:p>
    <w:p>
      <w:pPr>
        <w:pStyle w:val="Normal"/>
        <w:widowControl/>
        <w:rPr/>
      </w:pPr>
      <w:r>
        <w:rPr/>
        <w:t>Each Party shall maintain, through its constitutionally competent authorities and lawful institutions, a minimum effective floor under which it shall avoid arbitrary family separation and discrimination based on caregiving status while preserving lawful child-protection, safety and judicial decision-making. A Party may use different legal or institutional means where those means provide functionally equivalent or stronger protection.</w:t>
      </w:r>
    </w:p>
    <w:p>
      <w:pPr>
        <w:pStyle w:val="Heading3"/>
        <w:keepNext/>
        <w:widowControl/>
        <w:rPr/>
      </w:pPr>
      <w:r>
        <w:rPr/>
        <w:t>HR4-016. Family Unity And Caregiving Protection: Non-Circumvention, Review and Remedy</w:t>
      </w:r>
    </w:p>
    <w:p>
      <w:pPr>
        <w:pStyle w:val="Normal"/>
        <w:widowControl/>
        <w:rPr/>
      </w:pPr>
      <w:r>
        <w:rPr/>
        <w:t>A Party shall not defeat this protection through relabeling, proxy action, outsourcing, serial temporary measures, selective enforcement or another functional substitute. A materially affected person or competent representative shall have access to an appropriate avenue for review or correction under applicable law. Cure shall be proportionate and rights-preserving and shall not, by itself, create a private cause of action under this Agreement.</w:t>
      </w:r>
    </w:p>
    <w:p>
      <w:pPr>
        <w:pStyle w:val="Heading3"/>
        <w:keepNext/>
        <w:widowControl/>
        <w:rPr/>
      </w:pPr>
      <w:r>
        <w:rPr/>
        <w:t>HR4-017. Protection From Violence, Harassment And Abuse: Scope and Protected Interest</w:t>
      </w:r>
    </w:p>
    <w:p>
      <w:pPr>
        <w:pStyle w:val="Normal"/>
        <w:widowControl/>
        <w:rPr/>
      </w:pPr>
      <w:r>
        <w:rPr/>
        <w:t>For purposes of this Framework, the Parties recognize the protected interest addressed by Protection From Violence, Harassment And Abuse and shall apply this Article to treaty-linked governmental measures, programs, administration and covered economic activity where that interest is materially affected. The Parties shall require prevention, reporting, protection from retaliation, competent response and proportionate remedies, including for gender-based and identity-targeted harm.</w:t>
      </w:r>
    </w:p>
    <w:p>
      <w:pPr>
        <w:pStyle w:val="Heading3"/>
        <w:keepNext/>
        <w:widowControl/>
        <w:rPr/>
      </w:pPr>
      <w:r>
        <w:rPr/>
        <w:t>HR4-018. Protection From Violence, Harassment And Abuse: Minimum Reciprocal Floor</w:t>
      </w:r>
    </w:p>
    <w:p>
      <w:pPr>
        <w:pStyle w:val="Normal"/>
        <w:widowControl/>
        <w:rPr/>
      </w:pPr>
      <w:r>
        <w:rPr/>
        <w:t>Each Party shall maintain, through its constitutionally competent authorities and lawful institutions, a minimum effective floor under which it shall require prevention, reporting, protection from retaliation, competent response and proportionate remedies, including for gender-based and identity-targeted harm. A Party may use different legal or institutional means where those means provide functionally equivalent or stronger protection.</w:t>
      </w:r>
    </w:p>
    <w:p>
      <w:pPr>
        <w:pStyle w:val="Heading3"/>
        <w:keepNext/>
        <w:widowControl/>
        <w:rPr/>
      </w:pPr>
      <w:r>
        <w:rPr/>
        <w:t>HR4-019. Protection From Violence, Harassment And Abuse: Non-Circumvention, Review and Remedy</w:t>
      </w:r>
    </w:p>
    <w:p>
      <w:pPr>
        <w:pStyle w:val="Normal"/>
        <w:widowControl/>
        <w:rPr/>
      </w:pPr>
      <w:r>
        <w:rPr/>
        <w:t>A Party shall not defeat this protection through relabeling, proxy action, outsourcing, serial temporary measures, selective enforcement or another functional substitute. A materially affected person or competent representative shall have access to an appropriate avenue for review or correction under applicable law. Cure shall be proportionate and rights-preserving and shall not, by itself, create a private cause of action under this Agreement.</w:t>
      </w:r>
    </w:p>
    <w:p>
      <w:pPr>
        <w:pStyle w:val="Heading3"/>
        <w:keepNext/>
        <w:widowControl/>
        <w:rPr/>
      </w:pPr>
      <w:r>
        <w:rPr/>
        <w:t>HR4-020. Protection From Violence, Harassment And Abuse: Targeted and Intersectional Application</w:t>
      </w:r>
    </w:p>
    <w:p>
      <w:pPr>
        <w:pStyle w:val="Normal"/>
        <w:widowControl/>
        <w:rPr/>
      </w:pPr>
      <w:r>
        <w:rPr/>
        <w:t>In applying this mechanism, competent authorities shall account for materially distinct and intersectional forms of harm where generic treatment would make the protection ineffective. Targeted safeguards may address the particular context identified by the evidence, but shall not define another protected group downward or authorize unequal treatment unrelated to a legitimate and proportionate objective.</w:t>
      </w:r>
    </w:p>
    <w:p>
      <w:pPr>
        <w:pStyle w:val="Heading3"/>
        <w:keepNext/>
        <w:widowControl/>
        <w:rPr/>
      </w:pPr>
      <w:r>
        <w:rPr/>
        <w:t>HR4-021. Stronger-Rights And Non-Derogation Savings: Scope and Protected Interest</w:t>
      </w:r>
    </w:p>
    <w:p>
      <w:pPr>
        <w:pStyle w:val="Normal"/>
        <w:widowControl/>
        <w:rPr/>
      </w:pPr>
      <w:r>
        <w:rPr/>
        <w:t>For purposes of this Framework, the Parties recognize the protected interest addressed by Stronger-Rights And Non-Derogation Savings and shall apply this Article to treaty-linked governmental measures, programs, administration and covered economic activity where that interest is materially affected. The Parties shall translate the mechanism into a narrow treaty-linked obligation, preserve stronger domestic protections, and avoid creating rights or liabilities beyond what the Parties expressly adopt.</w:t>
      </w:r>
    </w:p>
    <w:p>
      <w:pPr>
        <w:pStyle w:val="Heading3"/>
        <w:keepNext/>
        <w:widowControl/>
        <w:rPr/>
      </w:pPr>
      <w:r>
        <w:rPr/>
        <w:t>HR4-022. Stronger-Rights And Non-Derogation Savings: Minimum Reciprocal Floor</w:t>
      </w:r>
    </w:p>
    <w:p>
      <w:pPr>
        <w:pStyle w:val="Normal"/>
        <w:widowControl/>
        <w:rPr/>
      </w:pPr>
      <w:r>
        <w:rPr/>
        <w:t>Each Party shall maintain, through its constitutionally competent authorities and lawful institutions, a minimum effective floor under which it shall translate the mechanism into a narrow treaty-linked obligation, preserve stronger domestic protections, and avoid creating rights or liabilities beyond what the Parties expressly adopt. A Party may use different legal or institutional means where those means provide functionally equivalent or stronger protection.</w:t>
      </w:r>
    </w:p>
    <w:p>
      <w:pPr>
        <w:pStyle w:val="Heading3"/>
        <w:keepNext/>
        <w:widowControl/>
        <w:rPr/>
      </w:pPr>
      <w:r>
        <w:rPr/>
        <w:t>HR4-023. Stronger-Rights And Non-Derogation Savings: Non-Circumvention, Review and Remedy</w:t>
      </w:r>
    </w:p>
    <w:p>
      <w:pPr>
        <w:pStyle w:val="Normal"/>
        <w:widowControl/>
        <w:rPr/>
      </w:pPr>
      <w:r>
        <w:rPr/>
        <w:t>A Party shall not defeat this protection through relabeling, proxy action, outsourcing, serial temporary measures, selective enforcement or another functional substitute. A materially affected person or competent representative shall have access to an appropriate avenue for review or correction under applicable law. Cure shall be proportionate and rights-preserving and shall not, by itself, create a private cause of action under this Agreement.</w:t>
      </w:r>
    </w:p>
    <w:p>
      <w:bookmarkStart w:id="3118" w:name="_NAESTMA_TOC_3118"/>
      <w:pPr>
        <w:pStyle w:val="Heading2"/>
        <w:keepNext/>
        <w:widowControl/>
        <w:rPr/>
      </w:pPr>
      <w:r>
        <w:rPr/>
        <w:t>CL-7. LABOUR AND WORKPLACE HUMAN RIGHTS</w:t>
      </w:r>
      <w:bookmarkEnd w:id="3118"/>
    </w:p>
    <w:p>
      <w:pPr>
        <w:pStyle w:val="Normal"/>
        <w:widowControl/>
        <w:rPr/>
      </w:pPr>
      <w:r>
        <w:rPr/>
        <w:t>Application. Mixed Mandatory/Flexible Architecture. Provisions in this Section retain the Round-Three temperature assigned to their source mechanism and are interpreted through Articles CL-1 through CL-5.</w:t>
      </w:r>
    </w:p>
    <w:p>
      <w:pPr>
        <w:pStyle w:val="Heading3"/>
        <w:keepNext/>
        <w:widowControl/>
        <w:rPr/>
      </w:pPr>
      <w:r>
        <w:rPr/>
        <w:t>HR4-024. Freedom Of Association And Organizing: Scope and Protected Interest</w:t>
      </w:r>
    </w:p>
    <w:p>
      <w:pPr>
        <w:pStyle w:val="Normal"/>
        <w:widowControl/>
        <w:rPr/>
      </w:pPr>
      <w:r>
        <w:rPr/>
        <w:t>For purposes of this Framework, the Parties recognize the protected interest addressed by Freedom Of Association And Organizing and shall apply this Article to treaty-linked governmental measures, programs, administration and covered economic activity where that interest is materially affected. The Parties shall protect the ability of workers to organize, join or refrain from joining organizations, communicate about workplace rights and act without interference, coercion or retaliation.</w:t>
      </w:r>
    </w:p>
    <w:p>
      <w:pPr>
        <w:pStyle w:val="Heading3"/>
        <w:keepNext/>
        <w:widowControl/>
        <w:rPr/>
      </w:pPr>
      <w:r>
        <w:rPr/>
        <w:t>HR4-025. Freedom Of Association And Organizing: Minimum Reciprocal Floor</w:t>
      </w:r>
    </w:p>
    <w:p>
      <w:pPr>
        <w:pStyle w:val="Normal"/>
        <w:widowControl/>
        <w:rPr/>
      </w:pPr>
      <w:r>
        <w:rPr/>
        <w:t>Each Party shall maintain, through its constitutionally competent authorities and lawful institutions, a minimum effective floor under which it shall protect the ability of workers to organize, join or refrain from joining organizations, communicate about workplace rights and act without interference, coercion or retaliation. A Party may use different legal or institutional means where those means provide functionally equivalent or stronger protection.</w:t>
      </w:r>
    </w:p>
    <w:p>
      <w:pPr>
        <w:pStyle w:val="Heading3"/>
        <w:keepNext/>
        <w:widowControl/>
        <w:rPr/>
      </w:pPr>
      <w:r>
        <w:rPr/>
        <w:t>HR4-026. Freedom Of Association And Organizing: Non-Circumvention, Review and Remedy</w:t>
      </w:r>
    </w:p>
    <w:p>
      <w:pPr>
        <w:pStyle w:val="Normal"/>
        <w:widowControl/>
        <w:rPr/>
      </w:pPr>
      <w:r>
        <w:rPr/>
        <w:t>A Party shall not defeat this protection through relabeling, proxy action, outsourcing, serial temporary measures, selective enforcement or another functional substitute. A materially affected person or competent representative shall have access to an appropriate avenue for review or correction under applicable law. Cure shall be proportionate and rights-preserving and shall not, by itself, create a private cause of action under this Agreement.</w:t>
      </w:r>
    </w:p>
    <w:p>
      <w:pPr>
        <w:pStyle w:val="Heading3"/>
        <w:keepNext/>
        <w:widowControl/>
        <w:rPr/>
      </w:pPr>
      <w:r>
        <w:rPr/>
        <w:t>HR4-027. Collective Bargaining And Authentic Representation: Scope and Protected Interest</w:t>
      </w:r>
    </w:p>
    <w:p>
      <w:pPr>
        <w:pStyle w:val="Normal"/>
        <w:widowControl/>
        <w:rPr/>
      </w:pPr>
      <w:r>
        <w:rPr/>
        <w:t>For purposes of this Framework, the Parties recognize the protected interest addressed by Collective Bargaining And Authentic Representation and shall apply this Article to treaty-linked governmental measures, programs, administration and covered economic activity where that interest is materially affected. The Parties shall protect authentic worker representation, good-faith bargaining under domestic systems and safeguards against employer- or state-dominated representation.</w:t>
      </w:r>
    </w:p>
    <w:p>
      <w:pPr>
        <w:pStyle w:val="Heading3"/>
        <w:keepNext/>
        <w:widowControl/>
        <w:rPr/>
      </w:pPr>
      <w:r>
        <w:rPr/>
        <w:t>HR4-028. Collective Bargaining And Authentic Representation: Minimum Reciprocal Floor</w:t>
      </w:r>
    </w:p>
    <w:p>
      <w:pPr>
        <w:pStyle w:val="Normal"/>
        <w:widowControl/>
        <w:rPr/>
      </w:pPr>
      <w:r>
        <w:rPr/>
        <w:t>Each Party shall maintain, through its constitutionally competent authorities and lawful institutions, a minimum effective floor under which it shall protect authentic worker representation, good-faith bargaining under domestic systems and safeguards against employer- or state-dominated representation. A Party may use different legal or institutional means where those means provide functionally equivalent or stronger protection.</w:t>
      </w:r>
    </w:p>
    <w:p>
      <w:pPr>
        <w:pStyle w:val="Heading3"/>
        <w:keepNext/>
        <w:widowControl/>
        <w:rPr/>
      </w:pPr>
      <w:r>
        <w:t>HR4-029. A Party shall not defeat this protection through relabeling, proxy action, outsourcing, serial temporary measures, selective enforcement or another functional substitute</w:t>
      </w:r>
    </w:p>
    <w:p>
      <w:pPr>
        <w:pStyle w:val="Normal"/>
        <w:widowControl/>
        <w:rPr/>
      </w:pPr>
      <w:r>
        <w:rPr/>
        <w:t>A Party shall not defeat this protection through relabeling, proxy action, outsourcing, serial temporary measures, selective enforcement or another functional substitute. A materially affected person or competent representative shall have access to an appropriate avenue for review or correction under applicable law. Cure shall be proportionate and rights-preserving and shall not, by itself, create a private cause of action under this Agreement.</w:t>
      </w:r>
    </w:p>
    <w:p>
      <w:pPr>
        <w:pStyle w:val="Heading3"/>
        <w:keepNext/>
        <w:widowControl/>
        <w:rPr/>
      </w:pPr>
      <w:r>
        <w:rPr/>
        <w:t>HR4-030. Forced-Labour And Child-Labour Prohibition: Scope and Protected Interest</w:t>
      </w:r>
    </w:p>
    <w:p>
      <w:pPr>
        <w:pStyle w:val="Normal"/>
        <w:widowControl/>
        <w:rPr/>
      </w:pPr>
      <w:r>
        <w:rPr/>
        <w:t>For purposes of this Framework, the Parties recognize the protected interest addressed by Forced-Labour And Child-Labour Prohibition and shall apply this Article to treaty-linked governmental measures, programs, administration and covered economic activity where that interest is materially affected. The Parties shall prohibit forced or compulsory labour and the worst forms of child labour, support traceability and remediation, and avoid punishing victims for coercion imposed upon them.</w:t>
      </w:r>
    </w:p>
    <w:p>
      <w:pPr>
        <w:pStyle w:val="Heading3"/>
        <w:keepNext/>
        <w:widowControl/>
        <w:rPr/>
      </w:pPr>
      <w:r>
        <w:rPr/>
        <w:t>HR4-031. Forced-Labour And Child-Labour Prohibition: Minimum Reciprocal Floor</w:t>
      </w:r>
    </w:p>
    <w:p>
      <w:pPr>
        <w:pStyle w:val="Normal"/>
        <w:widowControl/>
        <w:rPr/>
      </w:pPr>
      <w:r>
        <w:rPr/>
        <w:t>Each Party shall maintain, through its constitutionally competent authorities and lawful institutions, a minimum effective floor under which it shall prohibit forced or compulsory labour and the worst forms of child labour, support traceability and remediation, and avoid punishing victims for coercion imposed upon them. A Party may use different legal or institutional means where those means provide functionally equivalent or stronger protection.</w:t>
      </w:r>
    </w:p>
    <w:p>
      <w:pPr>
        <w:pStyle w:val="Heading3"/>
        <w:keepNext/>
        <w:widowControl/>
        <w:rPr/>
      </w:pPr>
      <w:r>
        <w:rPr/>
        <w:t>HR4-032. Forced-Labour And Child-Labour Prohibition: Non-Circumvention, Review and Remedy</w:t>
      </w:r>
    </w:p>
    <w:p>
      <w:pPr>
        <w:pStyle w:val="Normal"/>
        <w:widowControl/>
        <w:rPr/>
      </w:pPr>
      <w:r>
        <w:rPr/>
        <w:t>A Party shall not defeat this protection through relabeling, proxy action, outsourcing, serial temporary measures, selective enforcement or another functional substitute. A materially affected person or competent representative shall have access to an appropriate avenue for review or correction under applicable law. Cure shall be proportionate and rights-preserving and shall not, by itself, create a private cause of action under this Agreement.</w:t>
      </w:r>
    </w:p>
    <w:p>
      <w:pPr>
        <w:pStyle w:val="Heading3"/>
        <w:keepNext/>
        <w:widowControl/>
        <w:rPr/>
      </w:pPr>
      <w:r>
        <w:rPr/>
        <w:t>HR4-033. Workplace Nondiscrimination And Equal Opportunity: Scope and Protected Interest</w:t>
      </w:r>
    </w:p>
    <w:p>
      <w:pPr>
        <w:pStyle w:val="Normal"/>
        <w:widowControl/>
        <w:rPr/>
      </w:pPr>
      <w:r>
        <w:rPr/>
        <w:t>For purposes of this Framework, the Parties recognize the protected interest addressed by Workplace Nondiscrimination And Equal Opportunity and shall apply this Article to treaty-linked governmental measures, programs, administration and covered economic activity where that interest is materially affected. The Parties shall cover direct, indirect, perceived, associative and intersectional discrimination where legally appropriate, with objective and proportionate exceptions narrowly construed.</w:t>
      </w:r>
    </w:p>
    <w:p>
      <w:pPr>
        <w:pStyle w:val="Heading3"/>
        <w:keepNext/>
        <w:widowControl/>
        <w:rPr/>
      </w:pPr>
      <w:r>
        <w:rPr/>
        <w:t>HR4-034. Workplace Nondiscrimination And Equal Opportunity: Minimum Reciprocal Floor</w:t>
      </w:r>
    </w:p>
    <w:p>
      <w:pPr>
        <w:pStyle w:val="Normal"/>
        <w:widowControl/>
        <w:rPr/>
      </w:pPr>
      <w:r>
        <w:rPr/>
        <w:t>Each Party shall maintain, through its constitutionally competent authorities and lawful institutions, a minimum effective floor under which it shall cover direct, indirect, perceived, associative and intersectional discrimination where legally appropriate, with objective and proportionate exceptions narrowly construed. A Party may use different legal or institutional means where those means provide functionally equivalent or stronger protection.</w:t>
      </w:r>
    </w:p>
    <w:p>
      <w:pPr>
        <w:pStyle w:val="Heading3"/>
        <w:keepNext/>
        <w:widowControl/>
        <w:rPr/>
      </w:pPr>
      <w:r>
        <w:rPr/>
        <w:t>HR4-035. Workplace Nondiscrimination And Equal Opportunity: Non-Circumvention, Review and Remedy</w:t>
      </w:r>
    </w:p>
    <w:p>
      <w:pPr>
        <w:pStyle w:val="Normal"/>
        <w:widowControl/>
        <w:rPr/>
      </w:pPr>
      <w:r>
        <w:rPr/>
        <w:t>A Party shall not defeat this protection through relabeling, proxy action, outsourcing, serial temporary measures, selective enforcement or another functional substitute. A materially affected person or competent representative shall have access to an appropriate avenue for review or correction under applicable law. Cure shall be proportionate and rights-preserving and shall not, by itself, create a private cause of action under this Agreement.</w:t>
      </w:r>
    </w:p>
    <w:p>
      <w:pPr>
        <w:pStyle w:val="Heading3"/>
        <w:keepNext/>
        <w:widowControl/>
        <w:rPr/>
      </w:pPr>
      <w:r>
        <w:rPr/>
        <w:t>HR4-036. Workplace Nondiscrimination And Equal Opportunity: Targeted and Intersectional Application</w:t>
      </w:r>
    </w:p>
    <w:p>
      <w:pPr>
        <w:pStyle w:val="Normal"/>
        <w:widowControl/>
        <w:rPr/>
      </w:pPr>
      <w:r>
        <w:rPr/>
        <w:t>In applying this mechanism, competent authorities shall account for materially distinct and intersectional forms of harm where generic treatment would make the protection ineffective. Targeted safeguards may address the particular context identified by the evidence, but shall not define another protected group downward or authorize unequal treatment unrelated to a legitimate and proportionate objective.</w:t>
      </w:r>
    </w:p>
    <w:p>
      <w:pPr>
        <w:pStyle w:val="Heading3"/>
        <w:keepNext/>
        <w:widowControl/>
        <w:rPr/>
      </w:pPr>
      <w:r>
        <w:rPr/>
        <w:t>HR4-037. Workplace Nondiscrimination And Equal Opportunity: Evidence, Monitoring and Cure</w:t>
      </w:r>
    </w:p>
    <w:p>
      <w:pPr>
        <w:pStyle w:val="Normal"/>
        <w:widowControl/>
        <w:rPr/>
      </w:pPr>
      <w:r>
        <w:rPr/>
        <w:t>Material findings under this mechanism shall rest on a stated evidentiary basis and, where relevant, a defined causation or attribution test. Affected authorities shall have an opportunity to respond and correct demonstrable error. Where a deficiency is established, the ordinary response shall be the narrowest sufficient cure, followed by verification and restoration.</w:t>
      </w:r>
    </w:p>
    <w:p>
      <w:pPr>
        <w:pStyle w:val="Heading3"/>
        <w:keepNext/>
        <w:widowControl/>
        <w:rPr/>
      </w:pPr>
      <w:r>
        <w:rPr/>
        <w:t>HR4-038. Sexual Harassment And Gender-Based Workplace Violence: Scope and Protected Interest</w:t>
      </w:r>
    </w:p>
    <w:p>
      <w:pPr>
        <w:pStyle w:val="Normal"/>
        <w:widowControl/>
        <w:rPr/>
      </w:pPr>
      <w:r>
        <w:rPr/>
        <w:t>For purposes of this Framework, the Parties recognize the protected interest addressed by Sexual Harassment And Gender-Based Workplace Violence and shall apply this Article to treaty-linked governmental measures, programs, administration and covered economic activity where that interest is materially affected. The Parties shall require prevention, reporting, protection from retaliation, competent response and proportionate remedies, including for gender-based and identity-targeted harm.</w:t>
      </w:r>
    </w:p>
    <w:p>
      <w:pPr>
        <w:pStyle w:val="Heading3"/>
        <w:keepNext/>
        <w:widowControl/>
        <w:rPr/>
      </w:pPr>
      <w:r>
        <w:rPr/>
        <w:t>HR4-039. Sexual Harassment And Gender-Based Workplace Violence: Minimum Reciprocal Floor</w:t>
      </w:r>
    </w:p>
    <w:p>
      <w:pPr>
        <w:pStyle w:val="Normal"/>
        <w:widowControl/>
        <w:rPr/>
      </w:pPr>
      <w:r>
        <w:rPr/>
        <w:t>Each Party shall maintain, through its constitutionally competent authorities and lawful institutions, a minimum effective floor under which it shall require prevention, reporting, protection from retaliation, competent response and proportionate remedies, including for gender-based and identity-targeted harm. A Party may use different legal or institutional means where those means provide functionally equivalent or stronger protection.</w:t>
      </w:r>
    </w:p>
    <w:p>
      <w:pPr>
        <w:pStyle w:val="Heading3"/>
        <w:keepNext/>
        <w:widowControl/>
        <w:rPr/>
      </w:pPr>
      <w:r>
        <w:rPr/>
        <w:t>HR4-040. Sexual Harassment And Gender-Based Workplace Violence: Non-Circumvention, Review and Remedy</w:t>
      </w:r>
    </w:p>
    <w:p>
      <w:pPr>
        <w:pStyle w:val="Normal"/>
        <w:widowControl/>
        <w:rPr/>
      </w:pPr>
      <w:r>
        <w:rPr/>
        <w:t>A Party shall not defeat this protection through relabeling, proxy action, outsourcing, serial temporary measures, selective enforcement or another functional substitute. A materially affected person or competent representative shall have access to an appropriate avenue for review or correction under applicable law. Cure shall be proportionate and rights-preserving and shall not, by itself, create a private cause of action under this Agreement.</w:t>
      </w:r>
    </w:p>
    <w:p>
      <w:pPr>
        <w:pStyle w:val="Heading3"/>
        <w:keepNext/>
        <w:widowControl/>
        <w:rPr/>
      </w:pPr>
      <w:r>
        <w:rPr/>
        <w:t>HR4-041. Occupational Health And Safety Floor: Scope and Protected Interest</w:t>
      </w:r>
    </w:p>
    <w:p>
      <w:pPr>
        <w:pStyle w:val="Normal"/>
        <w:widowControl/>
        <w:rPr/>
      </w:pPr>
      <w:r>
        <w:rPr/>
        <w:t>For purposes of this Framework, the Parties recognize the protected interest addressed by Occupational Health And Safety Floor and shall apply this Article to treaty-linked governmental measures, programs, administration and covered economic activity where that interest is materially affected. The Parties shall preserve public-health and essential-service policy space, continuity during emergencies, nondiscriminatory access where trade rules are implicated, and safeguards for privacy, safety and legitimate regulation.</w:t>
      </w:r>
    </w:p>
    <w:p>
      <w:pPr>
        <w:pStyle w:val="Heading3"/>
        <w:keepNext/>
        <w:widowControl/>
        <w:rPr/>
      </w:pPr>
      <w:r>
        <w:rPr/>
        <w:t>HR4-042. Occupational Health And Safety Floor: Minimum Reciprocal Floor</w:t>
      </w:r>
    </w:p>
    <w:p>
      <w:pPr>
        <w:pStyle w:val="Normal"/>
        <w:widowControl/>
        <w:rPr/>
      </w:pPr>
      <w:r>
        <w:rPr/>
        <w:t>Each Party shall maintain, through its constitutionally competent authorities and lawful institutions, a minimum effective floor under which it shall preserve public-health and essential-service policy space, continuity during emergencies, nondiscriminatory access where trade rules are implicated, and safeguards for privacy, safety and legitimate regulation. A Party may use different legal or institutional means where those means provide functionally equivalent or stronger protection.</w:t>
      </w:r>
    </w:p>
    <w:p>
      <w:pPr>
        <w:pStyle w:val="Heading3"/>
        <w:keepNext/>
        <w:widowControl/>
        <w:rPr/>
      </w:pPr>
      <w:r>
        <w:rPr/>
        <w:t>HR4-043. Occupational Health And Safety Floor: Non-Circumvention, Review and Remedy</w:t>
      </w:r>
    </w:p>
    <w:p>
      <w:pPr>
        <w:pStyle w:val="Normal"/>
        <w:widowControl/>
        <w:rPr/>
      </w:pPr>
      <w:r>
        <w:rPr/>
        <w:t>A Party shall not defeat this protection through relabeling, proxy action, outsourcing, serial temporary measures, selective enforcement or another functional substitute. A materially affected person or competent representative shall have access to an appropriate avenue for review or correction under applicable law. Cure shall be proportionate and rights-preserving and shall not, by itself, create a private cause of action under this Agreement.</w:t>
      </w:r>
    </w:p>
    <w:p>
      <w:pPr>
        <w:pStyle w:val="Heading3"/>
        <w:keepNext/>
        <w:widowControl/>
        <w:rPr/>
      </w:pPr>
      <w:r>
        <w:rPr/>
        <w:t>HR4-044. Migrant And Temporary Worker Labour Parity: Scope and Protected Interest</w:t>
      </w:r>
    </w:p>
    <w:p>
      <w:pPr>
        <w:pStyle w:val="Normal"/>
        <w:widowControl/>
        <w:rPr/>
      </w:pPr>
      <w:r>
        <w:rPr/>
        <w:t>For purposes of this Framework, the Parties recognize the protected interest addressed by Migrant And Temporary Worker Labour Parity and shall apply this Article to treaty-linked governmental measures, programs, administration and covered economic activity where that interest is materially affected. The Parties shall translate the mechanism into a narrow treaty-linked obligation, preserve stronger domestic protections, and avoid creating rights or liabilities beyond what the Parties expressly adopt.</w:t>
      </w:r>
    </w:p>
    <w:p>
      <w:pPr>
        <w:pStyle w:val="Heading3"/>
        <w:keepNext/>
        <w:widowControl/>
        <w:rPr/>
      </w:pPr>
      <w:r>
        <w:rPr/>
        <w:t>HR4-045. Migrant And Temporary Worker Labour Parity: Minimum Reciprocal Floor</w:t>
      </w:r>
    </w:p>
    <w:p>
      <w:pPr>
        <w:pStyle w:val="Normal"/>
        <w:widowControl/>
        <w:rPr/>
      </w:pPr>
      <w:r>
        <w:rPr/>
        <w:t>Each Party shall maintain, through its constitutionally competent authorities and lawful institutions, a minimum effective floor under which it shall translate the mechanism into a narrow treaty-linked obligation, preserve stronger domestic protections, and avoid creating rights or liabilities beyond what the Parties expressly adopt. A Party may use different legal or institutional means where those means provide functionally equivalent or stronger protection.</w:t>
      </w:r>
    </w:p>
    <w:p>
      <w:pPr>
        <w:pStyle w:val="Heading3"/>
        <w:keepNext/>
        <w:widowControl/>
        <w:rPr/>
      </w:pPr>
      <w:r>
        <w:rPr/>
        <w:t>HR4-046. Migrant And Temporary Worker Labour Parity: Non-Circumvention, Review and Remedy</w:t>
      </w:r>
    </w:p>
    <w:p>
      <w:pPr>
        <w:pStyle w:val="Normal"/>
        <w:widowControl/>
        <w:rPr/>
      </w:pPr>
      <w:r>
        <w:rPr/>
        <w:t>A Party shall not defeat this protection through relabeling, proxy action, outsourcing, serial temporary measures, selective enforcement or another functional substitute. A materially affected person or competent representative shall have access to an appropriate avenue for review or correction under applicable law. Cure shall be proportionate and rights-preserving and shall not, by itself, create a private cause of action under this Agreement.</w:t>
      </w:r>
    </w:p>
    <w:p>
      <w:pPr>
        <w:pStyle w:val="Heading3"/>
        <w:keepNext/>
        <w:widowControl/>
        <w:rPr/>
      </w:pPr>
      <w:r>
        <w:rPr/>
        <w:t>HR4-047. Recruitment Integrity And Document Control: Scope and Protected Interest</w:t>
      </w:r>
    </w:p>
    <w:p>
      <w:pPr>
        <w:pStyle w:val="Normal"/>
        <w:widowControl/>
        <w:rPr/>
      </w:pPr>
      <w:r>
        <w:rPr/>
        <w:t>For purposes of this Framework, the Parties recognize the protected interest addressed by Recruitment Integrity And Document Control and shall apply this Article to treaty-linked governmental measures, programs, administration and covered economic activity where that interest is materially affected. The Parties shall translate the mechanism into a narrow treaty-linked obligation, preserve stronger domestic protections, and avoid creating rights or liabilities beyond what the Parties expressly adopt.</w:t>
      </w:r>
    </w:p>
    <w:p>
      <w:pPr>
        <w:pStyle w:val="Heading3"/>
        <w:keepNext/>
        <w:widowControl/>
        <w:rPr/>
      </w:pPr>
      <w:r>
        <w:rPr/>
        <w:t>HR4-048. Recruitment Integrity And Document Control: Minimum Reciprocal Floor</w:t>
      </w:r>
    </w:p>
    <w:p>
      <w:pPr>
        <w:pStyle w:val="Normal"/>
        <w:widowControl/>
        <w:rPr/>
      </w:pPr>
      <w:r>
        <w:rPr/>
        <w:t>Each Party shall maintain, through its constitutionally competent authorities and lawful institutions, a minimum effective floor under which it shall translate the mechanism into a narrow treaty-linked obligation, preserve stronger domestic protections, and avoid creating rights or liabilities beyond what the Parties expressly adopt. A Party may use different legal or institutional means where those means provide functionally equivalent or stronger protection.</w:t>
      </w:r>
    </w:p>
    <w:p>
      <w:pPr>
        <w:pStyle w:val="Heading3"/>
        <w:keepNext/>
        <w:widowControl/>
        <w:rPr/>
      </w:pPr>
      <w:r>
        <w:rPr/>
        <w:t>HR4-049. Recruitment Integrity And Document Control: Non-Circumvention, Review and Remedy</w:t>
      </w:r>
    </w:p>
    <w:p>
      <w:pPr>
        <w:pStyle w:val="Normal"/>
        <w:widowControl/>
        <w:rPr/>
      </w:pPr>
      <w:r>
        <w:rPr/>
        <w:t>A Party shall not defeat this protection through relabeling, proxy action, outsourcing, serial temporary measures, selective enforcement or another functional substitute. A materially affected person or competent representative shall have access to an appropriate avenue for review or correction under applicable law. Cure shall be proportionate and rights-preserving and shall not, by itself, create a private cause of action under this Agreement.</w:t>
      </w:r>
    </w:p>
    <w:p>
      <w:pPr>
        <w:pStyle w:val="Heading3"/>
        <w:keepNext/>
        <w:widowControl/>
        <w:rPr/>
      </w:pPr>
      <w:r>
        <w:rPr/>
        <w:t>HR4-050. Vulnerable-Sector Worker Coverage: Scope and Protected Interest</w:t>
      </w:r>
    </w:p>
    <w:p>
      <w:pPr>
        <w:pStyle w:val="Normal"/>
        <w:widowControl/>
        <w:rPr/>
      </w:pPr>
      <w:r>
        <w:rPr/>
        <w:t>For purposes of this Framework, the Parties recognize the protected interest addressed by Vulnerable-Sector Worker Coverage and shall apply this Article to treaty-linked governmental measures, programs, administration and covered economic activity where that interest is materially affected. The Parties shall translate the mechanism into a narrow treaty-linked obligation, preserve stronger domestic protections, and avoid creating rights or liabilities beyond what the Parties expressly adopt.</w:t>
      </w:r>
    </w:p>
    <w:p>
      <w:pPr>
        <w:pStyle w:val="Heading3"/>
        <w:keepNext/>
        <w:widowControl/>
        <w:rPr/>
      </w:pPr>
      <w:r>
        <w:rPr/>
        <w:t>HR4-051. Vulnerable-Sector Worker Coverage: Minimum Reciprocal Floor</w:t>
      </w:r>
    </w:p>
    <w:p>
      <w:pPr>
        <w:pStyle w:val="Normal"/>
        <w:widowControl/>
        <w:rPr/>
      </w:pPr>
      <w:r>
        <w:rPr/>
        <w:t>Each Party shall maintain, through its constitutionally competent authorities and lawful institutions, a minimum effective floor under which it shall translate the mechanism into a narrow treaty-linked obligation, preserve stronger domestic protections, and avoid creating rights or liabilities beyond what the Parties expressly adopt. A Party may use different legal or institutional means where those means provide functionally equivalent or stronger protection.</w:t>
      </w:r>
    </w:p>
    <w:p>
      <w:pPr>
        <w:pStyle w:val="Heading3"/>
        <w:keepNext/>
        <w:widowControl/>
        <w:rPr/>
      </w:pPr>
      <w:r>
        <w:rPr/>
        <w:t>HR4-052. Vulnerable-Sector Worker Coverage: Non-Circumvention, Review and Remedy</w:t>
      </w:r>
    </w:p>
    <w:p>
      <w:pPr>
        <w:pStyle w:val="Normal"/>
        <w:widowControl/>
        <w:rPr/>
      </w:pPr>
      <w:r>
        <w:rPr/>
        <w:t>A Party shall not defeat this protection through relabeling, proxy action, outsourcing, serial temporary measures, selective enforcement or another functional substitute. A materially affected person or competent representative shall have access to an appropriate avenue for review or correction under applicable law. Cure shall be proportionate and rights-preserving and shall not, by itself, create a private cause of action under this Agreement.</w:t>
      </w:r>
    </w:p>
    <w:p>
      <w:pPr>
        <w:pStyle w:val="Heading3"/>
        <w:keepNext/>
        <w:widowControl/>
        <w:rPr/>
      </w:pPr>
      <w:r>
        <w:rPr/>
        <w:t>HR4-053. Worker Grievance, Inspection And Remedy Effectiveness: Scope and Protected Interest</w:t>
      </w:r>
    </w:p>
    <w:p>
      <w:pPr>
        <w:pStyle w:val="Normal"/>
        <w:widowControl/>
        <w:rPr/>
      </w:pPr>
      <w:r>
        <w:rPr/>
        <w:t>For purposes of this Framework, the Parties recognize the protected interest addressed by Worker Grievance, Inspection And Remedy Effectiveness and shall apply this Article to treaty-linked governmental measures, programs, administration and covered economic activity where that interest is materially affected. The Parties shall provide accessible complaint channels, anti-retaliation protection, timely investigation and remedies capable of correcting the underlying harm.</w:t>
      </w:r>
    </w:p>
    <w:p>
      <w:pPr>
        <w:pStyle w:val="Heading3"/>
        <w:keepNext/>
        <w:widowControl/>
        <w:rPr/>
      </w:pPr>
      <w:r>
        <w:rPr/>
        <w:t>HR4-054. Worker Grievance, Inspection And Remedy Effectiveness: Minimum Reciprocal Floor</w:t>
      </w:r>
    </w:p>
    <w:p>
      <w:pPr>
        <w:pStyle w:val="Normal"/>
        <w:widowControl/>
        <w:rPr/>
      </w:pPr>
      <w:r>
        <w:rPr/>
        <w:t>Each Party shall maintain, through its constitutionally competent authorities and lawful institutions, a minimum effective floor under which it shall provide accessible complaint channels, anti-retaliation protection, timely investigation and remedies capable of correcting the underlying harm. A Party may use different legal or institutional means where those means provide functionally equivalent or stronger protection.</w:t>
      </w:r>
    </w:p>
    <w:p>
      <w:pPr>
        <w:pStyle w:val="Heading3"/>
        <w:keepNext/>
        <w:widowControl/>
        <w:rPr/>
      </w:pPr>
      <w:r>
        <w:rPr/>
        <w:t>HR4-055. Worker Grievance, Inspection And Remedy Effectiveness: Non-Circumvention, Review and Remedy</w:t>
      </w:r>
    </w:p>
    <w:p>
      <w:pPr>
        <w:pStyle w:val="Normal"/>
        <w:widowControl/>
        <w:rPr/>
      </w:pPr>
      <w:r>
        <w:rPr/>
        <w:t>A Party shall not defeat this protection through relabeling, proxy action, outsourcing, serial temporary measures, selective enforcement or another functional substitute. A materially affected person or competent representative shall have access to an appropriate avenue for review or correction under applicable law. Cure shall be proportionate and rights-preserving and shall not, by itself, create a private cause of action under this Agreement.</w:t>
      </w:r>
    </w:p>
    <w:p>
      <w:bookmarkStart w:id="3119" w:name="_NAESTMA_TOC_3119"/>
      <w:pPr>
        <w:pStyle w:val="Heading2"/>
        <w:keepNext/>
        <w:widowControl/>
        <w:rPr/>
      </w:pPr>
      <w:r>
        <w:rPr/>
        <w:t>CL-8. MIGRATION, ASYLUM AND BORDER-ADMINISTRATION RIGHTS</w:t>
      </w:r>
      <w:bookmarkEnd w:id="3119"/>
    </w:p>
    <w:p>
      <w:pPr>
        <w:pStyle w:val="Normal"/>
        <w:widowControl/>
        <w:rPr/>
      </w:pPr>
      <w:r>
        <w:rPr/>
        <w:t>Application. Mixed Mandatory/Flexible Architecture. Provisions in this Section retain the Round-Three temperature assigned to their source mechanism and are interpreted through Articles CL-1 through CL-5.</w:t>
      </w:r>
    </w:p>
    <w:p>
      <w:pPr>
        <w:pStyle w:val="Heading3"/>
        <w:keepNext/>
        <w:widowControl/>
        <w:rPr/>
      </w:pPr>
      <w:r>
        <w:rPr/>
        <w:t>HR4-056. Individualized Immigration Enforcement: Scope and Protected Interest</w:t>
      </w:r>
    </w:p>
    <w:p>
      <w:pPr>
        <w:pStyle w:val="Normal"/>
        <w:widowControl/>
        <w:rPr/>
      </w:pPr>
      <w:r>
        <w:rPr/>
        <w:t>For purposes of this Framework, the Parties recognize the protected interest addressed by Individualized Immigration Enforcement and shall apply this Article to treaty-linked governmental measures, programs, administration and covered economic activity where that interest is materially affected. The Parties shall favor individualized, evidence-based and reviewable enforcement over quota-driven, indiscriminate or discriminatory operations, while preserving lawful border and public-safety powers.</w:t>
      </w:r>
    </w:p>
    <w:p>
      <w:pPr>
        <w:pStyle w:val="Heading3"/>
        <w:keepNext/>
        <w:widowControl/>
        <w:rPr/>
      </w:pPr>
      <w:r>
        <w:rPr/>
        <w:t>HR4-057. Individualized Immigration Enforcement: Minimum Reciprocal Floor</w:t>
      </w:r>
    </w:p>
    <w:p>
      <w:pPr>
        <w:pStyle w:val="Normal"/>
        <w:widowControl/>
        <w:rPr/>
      </w:pPr>
      <w:r>
        <w:rPr/>
        <w:t>Each Party shall maintain, through its constitutionally competent authorities and lawful institutions, a minimum effective floor under which it shall favor individualized, evidence-based and reviewable enforcement over quota-driven, indiscriminate or discriminatory operations, while preserving lawful border and public-safety powers. A Party may use different legal or institutional means where those means provide functionally equivalent or stronger protection.</w:t>
      </w:r>
    </w:p>
    <w:p>
      <w:pPr>
        <w:pStyle w:val="Heading3"/>
        <w:keepNext/>
        <w:widowControl/>
        <w:rPr/>
      </w:pPr>
      <w:r>
        <w:rPr/>
        <w:t>HR4-058. Individualized Immigration Enforcement: Non-Circumvention, Review and Remedy</w:t>
      </w:r>
    </w:p>
    <w:p>
      <w:pPr>
        <w:pStyle w:val="Normal"/>
        <w:widowControl/>
        <w:rPr/>
      </w:pPr>
      <w:r>
        <w:rPr/>
        <w:t>A Party shall not defeat this protection through relabeling, proxy action, outsourcing, serial temporary measures, selective enforcement or another functional substitute. A materially affected person or competent representative shall have access to an appropriate avenue for review or correction under applicable law. Cure shall be proportionate and rights-preserving and shall not, by itself, create a private cause of action under this Agreement.</w:t>
      </w:r>
    </w:p>
    <w:p>
      <w:pPr>
        <w:pStyle w:val="Heading3"/>
        <w:keepNext/>
        <w:widowControl/>
        <w:rPr/>
      </w:pPr>
      <w:r>
        <w:rPr/>
        <w:t>HR4-059. Individualized Immigration Enforcement: Targeted and Intersectional Application</w:t>
      </w:r>
    </w:p>
    <w:p>
      <w:pPr>
        <w:pStyle w:val="Normal"/>
        <w:widowControl/>
        <w:rPr/>
      </w:pPr>
      <w:r>
        <w:rPr/>
        <w:t>In applying this mechanism, competent authorities shall account for materially distinct and intersectional forms of harm where generic treatment would make the protection ineffective. Targeted safeguards may address the particular context identified by the evidence, but shall not define another protected group downward or authorize unequal treatment unrelated to a legitimate and proportionate objective.</w:t>
      </w:r>
    </w:p>
    <w:p>
      <w:pPr>
        <w:pStyle w:val="Heading3"/>
        <w:keepNext/>
        <w:widowControl/>
        <w:rPr/>
      </w:pPr>
      <w:r>
        <w:rPr/>
        <w:t>HR4-060. Individualized Immigration Enforcement: Evidence, Monitoring and Cure</w:t>
      </w:r>
    </w:p>
    <w:p>
      <w:pPr>
        <w:pStyle w:val="Normal"/>
        <w:widowControl/>
        <w:rPr/>
      </w:pPr>
      <w:r>
        <w:rPr/>
        <w:t>Material findings under this mechanism shall rest on a stated evidentiary basis and, where relevant, a defined causation or attribution test. Affected authorities shall have an opportunity to respond and correct demonstrable error. Where a deficiency is established, the ordinary response shall be the narrowest sufficient cure, followed by verification and restoration.</w:t>
      </w:r>
    </w:p>
    <w:p>
      <w:pPr>
        <w:pStyle w:val="Heading3"/>
        <w:keepNext/>
        <w:widowControl/>
        <w:rPr/>
      </w:pPr>
      <w:r>
        <w:rPr/>
        <w:t>HR4-061. Non-Refoulement And Protection Against Return To Serious Harm: Scope and Protected Interest</w:t>
      </w:r>
    </w:p>
    <w:p>
      <w:pPr>
        <w:pStyle w:val="Normal"/>
        <w:widowControl/>
        <w:rPr/>
      </w:pPr>
      <w:r>
        <w:rPr/>
        <w:t>For purposes of this Framework, the Parties recognize the protected interest addressed by Non-Refoulement And Protection Against Return To Serious Harm and shall apply this Article to treaty-linked governmental measures, programs, administration and covered economic activity where that interest is materially affected. The Parties shall prevent transfer or return where applicable law protects against persecution, torture or other serious harm, with individualized assessment and meaningful review.</w:t>
      </w:r>
    </w:p>
    <w:p>
      <w:pPr>
        <w:pStyle w:val="Heading3"/>
        <w:keepNext/>
        <w:widowControl/>
        <w:rPr/>
      </w:pPr>
      <w:r>
        <w:rPr/>
        <w:t>HR4-062. Non-Refoulement And Protection Against Return To Serious Harm: Minimum Reciprocal Floor</w:t>
      </w:r>
    </w:p>
    <w:p>
      <w:pPr>
        <w:pStyle w:val="Normal"/>
        <w:widowControl/>
        <w:rPr/>
      </w:pPr>
      <w:r>
        <w:rPr/>
        <w:t>Each Party shall maintain, through its constitutionally competent authorities and lawful institutions, a minimum effective floor under which it shall prevent transfer or return where applicable law protects against persecution, torture or other serious harm, with individualized assessment and meaningful review. A Party may use different legal or institutional means where those means provide functionally equivalent or stronger protection.</w:t>
      </w:r>
    </w:p>
    <w:p>
      <w:pPr>
        <w:pStyle w:val="Heading3"/>
        <w:keepNext/>
        <w:widowControl/>
        <w:rPr/>
      </w:pPr>
      <w:r>
        <w:rPr/>
        <w:t>HR4-063. Non-Refoulement And Protection Against Return To Serious Harm: Non-Circumvention, Review and Remedy</w:t>
      </w:r>
    </w:p>
    <w:p>
      <w:pPr>
        <w:pStyle w:val="Normal"/>
        <w:widowControl/>
        <w:rPr/>
      </w:pPr>
      <w:r>
        <w:rPr/>
        <w:t>A Party shall not defeat this protection through relabeling, proxy action, outsourcing, serial temporary measures, selective enforcement or another functional substitute. A materially affected person or competent representative shall have access to an appropriate avenue for review or correction under applicable law. Cure shall be proportionate and rights-preserving and shall not, by itself, create a private cause of action under this Agreement.</w:t>
      </w:r>
    </w:p>
    <w:p>
      <w:pPr>
        <w:pStyle w:val="Heading3"/>
        <w:keepNext/>
        <w:widowControl/>
        <w:rPr/>
      </w:pPr>
      <w:r>
        <w:rPr/>
        <w:t>HR4-064. Independent Asylum And Protection Adjudication: Scope and Protected Interest</w:t>
      </w:r>
    </w:p>
    <w:p>
      <w:pPr>
        <w:pStyle w:val="Normal"/>
        <w:widowControl/>
        <w:rPr/>
      </w:pPr>
      <w:r>
        <w:rPr/>
        <w:t>For purposes of this Framework, the Parties recognize the protected interest addressed by Independent Asylum And Protection Adjudication and shall apply this Article to treaty-linked governmental measures, programs, administration and covered economic activity where that interest is materially affected. The Parties shall preserve independent protection determinations, access to evidence, interpretation, vulnerability-sensitive procedures and meaningful review.</w:t>
      </w:r>
    </w:p>
    <w:p>
      <w:pPr>
        <w:pStyle w:val="Heading3"/>
        <w:keepNext/>
        <w:widowControl/>
        <w:rPr/>
      </w:pPr>
      <w:r>
        <w:rPr/>
        <w:t>HR4-065. Independent Asylum And Protection Adjudication: Minimum Reciprocal Floor</w:t>
      </w:r>
    </w:p>
    <w:p>
      <w:pPr>
        <w:pStyle w:val="Normal"/>
        <w:widowControl/>
        <w:rPr/>
      </w:pPr>
      <w:r>
        <w:rPr/>
        <w:t>Each Party shall maintain, through its constitutionally competent authorities and lawful institutions, a minimum effective floor under which it shall preserve independent protection determinations, access to evidence, interpretation, vulnerability-sensitive procedures and meaningful review. A Party may use different legal or institutional means where those means provide functionally equivalent or stronger protection.</w:t>
      </w:r>
    </w:p>
    <w:p>
      <w:pPr>
        <w:pStyle w:val="Heading3"/>
        <w:keepNext/>
        <w:widowControl/>
        <w:rPr/>
      </w:pPr>
      <w:r>
        <w:rPr/>
        <w:t>HR4-066. Independent Asylum And Protection Adjudication: Non-Circumvention, Review and Remedy</w:t>
      </w:r>
    </w:p>
    <w:p>
      <w:pPr>
        <w:pStyle w:val="Normal"/>
        <w:widowControl/>
        <w:rPr/>
      </w:pPr>
      <w:r>
        <w:rPr/>
        <w:t>A Party shall not defeat this protection through relabeling, proxy action, outsourcing, serial temporary measures, selective enforcement or another functional substitute. A materially affected person or competent representative shall have access to an appropriate avenue for review or correction under applicable law. Cure shall be proportionate and rights-preserving and shall not, by itself, create a private cause of action under this Agreement.</w:t>
      </w:r>
    </w:p>
    <w:p>
      <w:pPr>
        <w:pStyle w:val="Heading3"/>
        <w:keepNext/>
        <w:widowControl/>
        <w:rPr/>
      </w:pPr>
      <w:r>
        <w:rPr/>
        <w:t>HR4-067. Gender/Sogiesc/Trafficking-Sensitive Protection Claims: Scope and Protected Interest</w:t>
      </w:r>
    </w:p>
    <w:p>
      <w:pPr>
        <w:pStyle w:val="Normal"/>
        <w:widowControl/>
        <w:rPr/>
      </w:pPr>
      <w:r>
        <w:rPr/>
        <w:t>For purposes of this Framework, the Parties recognize the protected interest addressed by Gender/Sogiesc/Trafficking-Sensitive Protection Claims and shall apply this Article to treaty-linked governmental measures, programs, administration and covered economic activity where that interest is materially affected. The Parties shall separate victim protection from immigration or labour enforcement leverage and protect access to reporting, assistance and remedy.</w:t>
      </w:r>
    </w:p>
    <w:p>
      <w:pPr>
        <w:pStyle w:val="Heading3"/>
        <w:keepNext/>
        <w:widowControl/>
        <w:rPr/>
      </w:pPr>
      <w:r>
        <w:rPr/>
        <w:t>HR4-068. Gender/Sogiesc/Trafficking-Sensitive Protection Claims: Minimum Reciprocal Floor</w:t>
      </w:r>
    </w:p>
    <w:p>
      <w:pPr>
        <w:pStyle w:val="Normal"/>
        <w:widowControl/>
        <w:rPr/>
      </w:pPr>
      <w:r>
        <w:rPr/>
        <w:t>Each Party shall maintain, through its constitutionally competent authorities and lawful institutions, a minimum effective floor under which it shall separate victim protection from immigration or labour enforcement leverage and protect access to reporting, assistance and remedy. A Party may use different legal or institutional means where those means provide functionally equivalent or stronger protection.</w:t>
      </w:r>
    </w:p>
    <w:p>
      <w:pPr>
        <w:pStyle w:val="Heading3"/>
        <w:keepNext/>
        <w:widowControl/>
        <w:rPr/>
      </w:pPr>
      <w:r>
        <w:rPr/>
        <w:t>HR4-069. Gender/Sogiesc/Trafficking-Sensitive Protection Claims: Non-Circumvention, Review and Remedy</w:t>
      </w:r>
    </w:p>
    <w:p>
      <w:pPr>
        <w:pStyle w:val="Normal"/>
        <w:widowControl/>
        <w:rPr/>
      </w:pPr>
      <w:r>
        <w:rPr/>
        <w:t>A Party shall not defeat this protection through relabeling, proxy action, outsourcing, serial temporary measures, selective enforcement or another functional substitute. A materially affected person or competent representative shall have access to an appropriate avenue for review or correction under applicable law. Cure shall be proportionate and rights-preserving and shall not, by itself, create a private cause of action under this Agreement.</w:t>
      </w:r>
    </w:p>
    <w:p>
      <w:pPr>
        <w:pStyle w:val="Heading3"/>
        <w:keepNext/>
        <w:widowControl/>
        <w:rPr/>
      </w:pPr>
      <w:r>
        <w:rPr/>
        <w:t>HR4-070. Vulnerability Screening In Migration: Scope and Protected Interest</w:t>
      </w:r>
    </w:p>
    <w:p>
      <w:pPr>
        <w:pStyle w:val="Normal"/>
        <w:widowControl/>
        <w:rPr/>
      </w:pPr>
      <w:r>
        <w:rPr/>
        <w:t>For purposes of this Framework, the Parties recognize the protected interest addressed by Vulnerability Screening In Migration and shall apply this Article to treaty-linked governmental measures, programs, administration and covered economic activity where that interest is materially affected. The Parties shall translate the mechanism into a narrow treaty-linked obligation, preserve stronger domestic protections, and avoid creating rights or liabilities beyond what the Parties expressly adopt.</w:t>
      </w:r>
    </w:p>
    <w:p>
      <w:pPr>
        <w:pStyle w:val="Heading3"/>
        <w:keepNext/>
        <w:widowControl/>
        <w:rPr/>
      </w:pPr>
      <w:r>
        <w:rPr/>
        <w:t>HR4-071. Vulnerability Screening In Migration: Minimum Reciprocal Floor</w:t>
      </w:r>
    </w:p>
    <w:p>
      <w:pPr>
        <w:pStyle w:val="Normal"/>
        <w:widowControl/>
        <w:rPr/>
      </w:pPr>
      <w:r>
        <w:rPr/>
        <w:t>Each Party shall maintain, through its constitutionally competent authorities and lawful institutions, a minimum effective floor under which it shall translate the mechanism into a narrow treaty-linked obligation, preserve stronger domestic protections, and avoid creating rights or liabilities beyond what the Parties expressly adopt. A Party may use different legal or institutional means where those means provide functionally equivalent or stronger protection.</w:t>
      </w:r>
    </w:p>
    <w:p>
      <w:pPr>
        <w:pStyle w:val="Heading3"/>
        <w:keepNext/>
        <w:widowControl/>
        <w:rPr/>
      </w:pPr>
      <w:r>
        <w:rPr/>
        <w:t>HR4-072. Vulnerability Screening In Migration: Non-Circumvention, Review and Remedy</w:t>
      </w:r>
    </w:p>
    <w:p>
      <w:pPr>
        <w:pStyle w:val="Normal"/>
        <w:widowControl/>
        <w:rPr/>
      </w:pPr>
      <w:r>
        <w:rPr/>
        <w:t>A Party shall not defeat this protection through relabeling, proxy action, outsourcing, serial temporary measures, selective enforcement or another functional substitute. A materially affected person or competent representative shall have access to an appropriate avenue for review or correction under applicable law. Cure shall be proportionate and rights-preserving and shall not, by itself, create a private cause of action under this Agreement.</w:t>
      </w:r>
    </w:p>
    <w:p>
      <w:pPr>
        <w:pStyle w:val="Heading3"/>
        <w:keepNext/>
        <w:widowControl/>
        <w:rPr/>
      </w:pPr>
      <w:r>
        <w:rPr/>
        <w:t>HR4-073. Family Unity In Migration Administration: Scope and Protected Interest</w:t>
      </w:r>
    </w:p>
    <w:p>
      <w:pPr>
        <w:pStyle w:val="Normal"/>
        <w:widowControl/>
        <w:rPr/>
      </w:pPr>
      <w:r>
        <w:rPr/>
        <w:t>For purposes of this Framework, the Parties recognize the protected interest addressed by Family Unity In Migration Administration and shall apply this Article to treaty-linked governmental measures, programs, administration and covered economic activity where that interest is materially affected. The Parties shall avoid arbitrary family separation and discrimination based on caregiving status while preserving lawful child-protection, safety and judicial decision-making.</w:t>
      </w:r>
    </w:p>
    <w:p>
      <w:pPr>
        <w:pStyle w:val="Heading3"/>
        <w:keepNext/>
        <w:widowControl/>
        <w:rPr/>
      </w:pPr>
      <w:r>
        <w:rPr/>
        <w:t>HR4-074. Family Unity In Migration Administration: Minimum Reciprocal Floor</w:t>
      </w:r>
    </w:p>
    <w:p>
      <w:pPr>
        <w:pStyle w:val="Normal"/>
        <w:widowControl/>
        <w:rPr/>
      </w:pPr>
      <w:r>
        <w:rPr/>
        <w:t>Each Party shall maintain, through its constitutionally competent authorities and lawful institutions, a minimum effective floor under which it shall avoid arbitrary family separation and discrimination based on caregiving status while preserving lawful child-protection, safety and judicial decision-making. A Party may use different legal or institutional means where those means provide functionally equivalent or stronger protection.</w:t>
      </w:r>
    </w:p>
    <w:p>
      <w:pPr>
        <w:pStyle w:val="Heading3"/>
        <w:keepNext/>
        <w:widowControl/>
        <w:rPr/>
      </w:pPr>
      <w:r>
        <w:rPr/>
        <w:t>HR4-075. Family Unity In Migration Administration: Non-Circumvention, Review and Remedy</w:t>
      </w:r>
    </w:p>
    <w:p>
      <w:pPr>
        <w:pStyle w:val="Normal"/>
        <w:widowControl/>
        <w:rPr/>
      </w:pPr>
      <w:r>
        <w:rPr/>
        <w:t>A Party shall not defeat this protection through relabeling, proxy action, outsourcing, serial temporary measures, selective enforcement or another functional substitute. A materially affected person or competent representative shall have access to an appropriate avenue for review or correction under applicable law. Cure shall be proportionate and rights-preserving and shall not, by itself, create a private cause of action under this Agreement.</w:t>
      </w:r>
    </w:p>
    <w:p>
      <w:pPr>
        <w:pStyle w:val="Heading3"/>
        <w:keepNext/>
        <w:widowControl/>
        <w:rPr/>
      </w:pPr>
      <w:r>
        <w:rPr/>
        <w:t>HR4-076. Family Unity In Migration Administration: Targeted and Intersectional Application</w:t>
      </w:r>
    </w:p>
    <w:p>
      <w:pPr>
        <w:pStyle w:val="Normal"/>
        <w:widowControl/>
        <w:rPr/>
      </w:pPr>
      <w:r>
        <w:rPr/>
        <w:t>In applying this mechanism, competent authorities shall account for materially distinct and intersectional forms of harm where generic treatment would make the protection ineffective. Targeted safeguards may address the particular context identified by the evidence, but shall not define another protected group downward or authorize unequal treatment unrelated to a legitimate and proportionate objective.</w:t>
      </w:r>
    </w:p>
    <w:p>
      <w:pPr>
        <w:pStyle w:val="Heading3"/>
        <w:keepNext/>
        <w:widowControl/>
        <w:rPr/>
      </w:pPr>
      <w:r>
        <w:rPr/>
        <w:t>HR4-077. Child-Sensitive Migration Safeguards: Scope and Protected Interest</w:t>
      </w:r>
    </w:p>
    <w:p>
      <w:pPr>
        <w:pStyle w:val="Normal"/>
        <w:widowControl/>
        <w:rPr/>
      </w:pPr>
      <w:r>
        <w:rPr/>
        <w:t>For purposes of this Framework, the Parties recognize the protected interest addressed by Child-Sensitive Migration Safeguards and shall apply this Article to treaty-linked governmental measures, programs, administration and covered economic activity where that interest is materially affected. The Parties shall translate the mechanism into a narrow treaty-linked obligation, preserve stronger domestic protections, and avoid creating rights or liabilities beyond what the Parties expressly adopt.</w:t>
      </w:r>
    </w:p>
    <w:p>
      <w:pPr>
        <w:pStyle w:val="Heading3"/>
        <w:keepNext/>
        <w:widowControl/>
        <w:rPr/>
      </w:pPr>
      <w:r>
        <w:rPr/>
        <w:t>HR4-078. Child-Sensitive Migration Safeguards: Minimum Reciprocal Floor</w:t>
      </w:r>
    </w:p>
    <w:p>
      <w:pPr>
        <w:pStyle w:val="Normal"/>
        <w:widowControl/>
        <w:rPr/>
      </w:pPr>
      <w:r>
        <w:rPr/>
        <w:t>Each Party shall maintain, through its constitutionally competent authorities and lawful institutions, a minimum effective floor under which it shall translate the mechanism into a narrow treaty-linked obligation, preserve stronger domestic protections, and avoid creating rights or liabilities beyond what the Parties expressly adopt. A Party may use different legal or institutional means where those means provide functionally equivalent or stronger protection.</w:t>
      </w:r>
    </w:p>
    <w:p>
      <w:pPr>
        <w:pStyle w:val="Heading3"/>
        <w:keepNext/>
        <w:widowControl/>
        <w:rPr/>
      </w:pPr>
      <w:r>
        <w:rPr/>
        <w:t>HR4-079. Child-Sensitive Migration Safeguards: Non-Circumvention, Review and Remedy</w:t>
      </w:r>
    </w:p>
    <w:p>
      <w:pPr>
        <w:pStyle w:val="Normal"/>
        <w:widowControl/>
        <w:rPr/>
      </w:pPr>
      <w:r>
        <w:rPr/>
        <w:t>A Party shall not defeat this protection through relabeling, proxy action, outsourcing, serial temporary measures, selective enforcement or another functional substitute. A materially affected person or competent representative shall have access to an appropriate avenue for review or correction under applicable law. Cure shall be proportionate and rights-preserving and shall not, by itself, create a private cause of action under this Agreement.</w:t>
      </w:r>
    </w:p>
    <w:p>
      <w:pPr>
        <w:pStyle w:val="Heading3"/>
        <w:keepNext/>
        <w:widowControl/>
        <w:rPr/>
      </w:pPr>
      <w:r>
        <w:rPr/>
        <w:t>HR4-080. Child-Sensitive Migration Safeguards: Targeted and Intersectional Application</w:t>
      </w:r>
    </w:p>
    <w:p>
      <w:pPr>
        <w:pStyle w:val="Normal"/>
        <w:widowControl/>
        <w:rPr/>
      </w:pPr>
      <w:r>
        <w:rPr/>
        <w:t>In applying this mechanism, competent authorities shall account for materially distinct and intersectional forms of harm where generic treatment would make the protection ineffective. Targeted safeguards may address the particular context identified by the evidence, but shall not define another protected group downward or authorize unequal treatment unrelated to a legitimate and proportionate objective.</w:t>
      </w:r>
    </w:p>
    <w:p>
      <w:pPr>
        <w:pStyle w:val="Heading3"/>
        <w:keepNext/>
        <w:widowControl/>
        <w:rPr/>
      </w:pPr>
      <w:r>
        <w:rPr/>
        <w:t>HR4-081. Trafficking-Victim Firewall: Scope and Protected Interest</w:t>
      </w:r>
    </w:p>
    <w:p>
      <w:pPr>
        <w:pStyle w:val="Normal"/>
        <w:widowControl/>
        <w:rPr/>
      </w:pPr>
      <w:r>
        <w:rPr/>
        <w:t>For purposes of this Framework, the Parties recognize the protected interest addressed by Trafficking-Victim Firewall and shall apply this Article to treaty-linked governmental measures, programs, administration and covered economic activity where that interest is materially affected. The Parties shall separate victim protection from immigration or labour enforcement leverage and protect access to reporting, assistance and remedy.</w:t>
      </w:r>
    </w:p>
    <w:p>
      <w:pPr>
        <w:pStyle w:val="Heading3"/>
        <w:keepNext/>
        <w:widowControl/>
        <w:rPr/>
      </w:pPr>
      <w:r>
        <w:rPr/>
        <w:t>HR4-082. Trafficking-Victim Firewall: Minimum Reciprocal Floor</w:t>
      </w:r>
    </w:p>
    <w:p>
      <w:pPr>
        <w:pStyle w:val="Normal"/>
        <w:widowControl/>
        <w:rPr/>
      </w:pPr>
      <w:r>
        <w:rPr/>
        <w:t>Each Party shall maintain, through its constitutionally competent authorities and lawful institutions, a minimum effective floor under which it shall separate victim protection from immigration or labour enforcement leverage and protect access to reporting, assistance and remedy. A Party may use different legal or institutional means where those means provide functionally equivalent or stronger protection.</w:t>
      </w:r>
    </w:p>
    <w:p>
      <w:pPr>
        <w:pStyle w:val="Heading3"/>
        <w:keepNext/>
        <w:widowControl/>
        <w:rPr/>
      </w:pPr>
      <w:r>
        <w:rPr/>
        <w:t>HR4-083. Trafficking-Victim Firewall: Non-Circumvention, Review and Remedy</w:t>
      </w:r>
    </w:p>
    <w:p>
      <w:pPr>
        <w:pStyle w:val="Normal"/>
        <w:widowControl/>
        <w:rPr/>
      </w:pPr>
      <w:r>
        <w:rPr/>
        <w:t>A Party shall not defeat this protection through relabeling, proxy action, outsourcing, serial temporary measures, selective enforcement or another functional substitute. A materially affected person or competent representative shall have access to an appropriate avenue for review or correction under applicable law. Cure shall be proportionate and rights-preserving and shall not, by itself, create a private cause of action under this Agreement.</w:t>
      </w:r>
    </w:p>
    <w:p>
      <w:pPr>
        <w:pStyle w:val="Heading3"/>
        <w:keepNext/>
        <w:widowControl/>
        <w:rPr/>
      </w:pPr>
      <w:r>
        <w:rPr/>
        <w:t>HR4-084. Workplace Enforcement And Labour-Rights Firewall: Scope and Protected Interest</w:t>
      </w:r>
    </w:p>
    <w:p>
      <w:pPr>
        <w:pStyle w:val="Normal"/>
        <w:widowControl/>
        <w:rPr/>
      </w:pPr>
      <w:r>
        <w:rPr/>
        <w:t>For purposes of this Framework, the Parties recognize the protected interest addressed by Workplace Enforcement And Labour-Rights Firewall and shall apply this Article to treaty-linked governmental measures, programs, administration and covered economic activity where that interest is materially affected. The Parties shall require necessity, proportionality, de-escalation where feasible, medical response, incident documentation and independent review of serious uses of force.</w:t>
      </w:r>
    </w:p>
    <w:p>
      <w:pPr>
        <w:pStyle w:val="Heading3"/>
        <w:keepNext/>
        <w:widowControl/>
        <w:rPr/>
      </w:pPr>
      <w:r>
        <w:rPr/>
        <w:t>HR4-085. Workplace Enforcement And Labour-Rights Firewall: Minimum Reciprocal Floor</w:t>
      </w:r>
    </w:p>
    <w:p>
      <w:pPr>
        <w:pStyle w:val="Normal"/>
        <w:widowControl/>
        <w:rPr/>
      </w:pPr>
      <w:r>
        <w:rPr/>
        <w:t>Each Party shall maintain, through its constitutionally competent authorities and lawful institutions, a minimum effective floor under which it shall require necessity, proportionality, de-escalation where feasible, medical response, incident documentation and independent review of serious uses of force. A Party may use different legal or institutional means where those means provide functionally equivalent or stronger protection.</w:t>
      </w:r>
    </w:p>
    <w:p>
      <w:pPr>
        <w:pStyle w:val="Heading3"/>
        <w:keepNext/>
        <w:widowControl/>
        <w:rPr/>
      </w:pPr>
      <w:r>
        <w:rPr/>
        <w:t>HR4-086. Workplace Enforcement And Labour-Rights Firewall: Non-Circumvention, Review and Remedy</w:t>
      </w:r>
    </w:p>
    <w:p>
      <w:pPr>
        <w:pStyle w:val="Normal"/>
        <w:widowControl/>
        <w:rPr/>
      </w:pPr>
      <w:r>
        <w:rPr/>
        <w:t>A Party shall not defeat this protection through relabeling, proxy action, outsourcing, serial temporary measures, selective enforcement or another functional substitute. A materially affected person or competent representative shall have access to an appropriate avenue for review or correction under applicable law. Cure shall be proportionate and rights-preserving and shall not, by itself, create a private cause of action under this Agreement.</w:t>
      </w:r>
    </w:p>
    <w:p>
      <w:pPr>
        <w:pStyle w:val="Heading3"/>
        <w:keepNext/>
        <w:widowControl/>
        <w:rPr/>
      </w:pPr>
      <w:r>
        <w:rPr/>
        <w:t>HR4-087. Workplace Enforcement And Labour-Rights Firewall: Targeted and Intersectional Application</w:t>
      </w:r>
    </w:p>
    <w:p>
      <w:pPr>
        <w:pStyle w:val="Normal"/>
        <w:widowControl/>
        <w:rPr/>
      </w:pPr>
      <w:r>
        <w:rPr/>
        <w:t>In applying this mechanism, competent authorities shall account for materially distinct and intersectional forms of harm where generic treatment would make the protection ineffective. Targeted safeguards may address the particular context identified by the evidence, but shall not define another protected group downward or authorize unequal treatment unrelated to a legitimate and proportionate objective.</w:t>
      </w:r>
    </w:p>
    <w:p>
      <w:pPr>
        <w:pStyle w:val="Heading3"/>
        <w:keepNext/>
        <w:widowControl/>
        <w:rPr/>
      </w:pPr>
      <w:r>
        <w:rPr/>
        <w:t>HR4-088. Profiling And Discriminatory Targeting Prohibition: Scope and Protected Interest</w:t>
      </w:r>
    </w:p>
    <w:p>
      <w:pPr>
        <w:pStyle w:val="Normal"/>
        <w:widowControl/>
        <w:rPr/>
      </w:pPr>
      <w:r>
        <w:rPr/>
        <w:t>For purposes of this Framework, the Parties recognize the protected interest addressed by Profiling And Discriminatory Targeting Prohibition and shall apply this Article to treaty-linked governmental measures, programs, administration and covered economic activity where that interest is materially affected. The Parties shall prohibit protected characteristics from serving as a sole or disguised proxy for risk and require material risk indicators, documentation and review for high-impact targeting.</w:t>
      </w:r>
    </w:p>
    <w:p>
      <w:pPr>
        <w:pStyle w:val="Heading3"/>
        <w:keepNext/>
        <w:widowControl/>
        <w:rPr/>
      </w:pPr>
      <w:r>
        <w:rPr/>
        <w:t>HR4-089. Profiling And Discriminatory Targeting Prohibition: Minimum Reciprocal Floor</w:t>
      </w:r>
    </w:p>
    <w:p>
      <w:pPr>
        <w:pStyle w:val="Normal"/>
        <w:widowControl/>
        <w:rPr/>
      </w:pPr>
      <w:r>
        <w:rPr/>
        <w:t>Each Party shall maintain, through its constitutionally competent authorities and lawful institutions, a minimum effective floor under which it shall prohibit protected characteristics from serving as a sole or disguised proxy for risk and require material risk indicators, documentation and review for high-impact targeting. A Party may use different legal or institutional means where those means provide functionally equivalent or stronger protection.</w:t>
      </w:r>
    </w:p>
    <w:p>
      <w:pPr>
        <w:pStyle w:val="Heading3"/>
        <w:keepNext/>
        <w:widowControl/>
        <w:rPr/>
      </w:pPr>
      <w:r>
        <w:t>HR4-090. A Party shall not defeat this protection through relabeling, proxy action, outsourcing, serial temporary measures, selective enforcement or another functional substitute</w:t>
      </w:r>
    </w:p>
    <w:p>
      <w:pPr>
        <w:pStyle w:val="Normal"/>
        <w:widowControl/>
        <w:rPr/>
      </w:pPr>
      <w:r>
        <w:rPr/>
        <w:t>A Party shall not defeat this protection through relabeling, proxy action, outsourcing, serial temporary measures, selective enforcement or another functional substitute. A materially affected person or competent representative shall have access to an appropriate avenue for review or correction under applicable law. Cure shall be proportionate and rights-preserving and shall not, by itself, create a private cause of action under this Agreement.</w:t>
      </w:r>
    </w:p>
    <w:p>
      <w:pPr>
        <w:pStyle w:val="Heading3"/>
        <w:keepNext/>
        <w:widowControl/>
        <w:rPr/>
      </w:pPr>
      <w:r>
        <w:rPr/>
        <w:t>HR4-091. Immigration Legal Access And Language Assistance: Scope and Protected Interest</w:t>
      </w:r>
    </w:p>
    <w:p>
      <w:pPr>
        <w:pStyle w:val="Normal"/>
        <w:widowControl/>
        <w:rPr/>
      </w:pPr>
      <w:r>
        <w:rPr/>
        <w:t>For purposes of this Framework, the Parties recognize the protected interest addressed by Immigration Legal Access And Language Assistance and shall apply this Article to treaty-linked governmental measures, programs, administration and covered economic activity where that interest is materially affected. The Parties shall ensure understandable information, interpretation or accessible communication, and access to legal assistance where required by applicable law or the seriousness of the proceeding.</w:t>
      </w:r>
    </w:p>
    <w:p>
      <w:pPr>
        <w:pStyle w:val="Heading3"/>
        <w:keepNext/>
        <w:widowControl/>
        <w:rPr/>
      </w:pPr>
      <w:r>
        <w:rPr/>
        <w:t>HR4-092. Immigration Legal Access And Language Assistance: Minimum Reciprocal Floor</w:t>
      </w:r>
    </w:p>
    <w:p>
      <w:pPr>
        <w:pStyle w:val="Normal"/>
        <w:widowControl/>
        <w:rPr/>
      </w:pPr>
      <w:r>
        <w:rPr/>
        <w:t>Each Party shall maintain, through its constitutionally competent authorities and lawful institutions, a minimum effective floor under which it shall ensure understandable information, interpretation or accessible communication, and access to legal assistance where required by applicable law or the seriousness of the proceeding. A Party may use different legal or institutional means where those means provide functionally equivalent or stronger protection.</w:t>
      </w:r>
    </w:p>
    <w:p>
      <w:pPr>
        <w:pStyle w:val="Heading3"/>
        <w:keepNext/>
        <w:widowControl/>
        <w:rPr/>
      </w:pPr>
      <w:r>
        <w:rPr/>
        <w:t>HR4-093. Immigration Legal Access And Language Assistance: Non-Circumvention, Review and Remedy</w:t>
      </w:r>
    </w:p>
    <w:p>
      <w:pPr>
        <w:pStyle w:val="Normal"/>
        <w:widowControl/>
        <w:rPr/>
      </w:pPr>
      <w:r>
        <w:rPr/>
        <w:t>A Party shall not defeat this protection through relabeling, proxy action, outsourcing, serial temporary measures, selective enforcement or another functional substitute. A materially affected person or competent representative shall have access to an appropriate avenue for review or correction under applicable law. Cure shall be proportionate and rights-preserving and shall not, by itself, create a private cause of action under this Agreement.</w:t>
      </w:r>
    </w:p>
    <w:p>
      <w:pPr>
        <w:pStyle w:val="Heading3"/>
        <w:keepNext/>
        <w:widowControl/>
        <w:rPr/>
      </w:pPr>
      <w:r>
        <w:rPr/>
        <w:t>HR4-094. Immigration Legal Access And Language Assistance: Targeted and Intersectional Application</w:t>
      </w:r>
    </w:p>
    <w:p>
      <w:pPr>
        <w:pStyle w:val="Normal"/>
        <w:widowControl/>
        <w:rPr/>
      </w:pPr>
      <w:r>
        <w:rPr/>
        <w:t>In applying this mechanism, competent authorities shall account for materially distinct and intersectional forms of harm where generic treatment would make the protection ineffective. Targeted safeguards may address the particular context identified by the evidence, but shall not define another protected group downward or authorize unequal treatment unrelated to a legitimate and proportionate objective.</w:t>
      </w:r>
    </w:p>
    <w:p>
      <w:pPr>
        <w:pStyle w:val="Heading3"/>
        <w:keepNext/>
        <w:widowControl/>
        <w:rPr/>
      </w:pPr>
      <w:r>
        <w:t>HR4-095. For purposes of this Framework, the Parties recognize the protected interest addressed by Migration-Data Minimization And Sensitive-Service Firewall and shall apply this Article to treaty-linked governmental measures, programs, administration and covered economic activity where that interest is materially affected</w:t>
      </w:r>
    </w:p>
    <w:p>
      <w:pPr>
        <w:pStyle w:val="Normal"/>
        <w:widowControl/>
        <w:rPr/>
      </w:pPr>
      <w:r>
        <w:rPr/>
        <w:t>For purposes of this Framework, the Parties recognize the protected interest addressed by Migration-Data Minimization And Sensitive-Service Firewall and shall apply this Article to treaty-linked governmental measures, programs, administration and covered economic activity where that interest is materially affected. The Parties shall use necessity, purpose limitation, data minimization, security, retention limits, transparency, correction and independent oversight appropriate to the sensitivity and use of the information.</w:t>
      </w:r>
    </w:p>
    <w:p>
      <w:pPr>
        <w:pStyle w:val="Heading3"/>
        <w:keepNext/>
        <w:widowControl/>
        <w:rPr/>
      </w:pPr>
      <w:r>
        <w:rPr/>
        <w:t>HR4-096. Migration-Data Minimization And Sensitive-Service Firewall: Minimum Reciprocal Floor</w:t>
      </w:r>
    </w:p>
    <w:p>
      <w:pPr>
        <w:pStyle w:val="Normal"/>
        <w:widowControl/>
        <w:rPr/>
      </w:pPr>
      <w:r>
        <w:rPr/>
        <w:t>Each Party shall maintain, through its constitutionally competent authorities and lawful institutions, a minimum effective floor under which it shall use necessity, purpose limitation, data minimization, security, retention limits, transparency, correction and independent oversight appropriate to the sensitivity and use of the information. A Party may use different legal or institutional means where those means provide functionally equivalent or stronger protection.</w:t>
      </w:r>
    </w:p>
    <w:p>
      <w:pPr>
        <w:pStyle w:val="Heading3"/>
        <w:keepNext/>
        <w:widowControl/>
        <w:rPr/>
      </w:pPr>
      <w:r>
        <w:rPr/>
        <w:t>HR4-097. Migration-Data Minimization And Sensitive-Service Firewall: Non-Circumvention, Review and Remedy</w:t>
      </w:r>
    </w:p>
    <w:p>
      <w:pPr>
        <w:pStyle w:val="Normal"/>
        <w:widowControl/>
        <w:rPr/>
      </w:pPr>
      <w:r>
        <w:rPr/>
        <w:t>A Party shall not defeat this protection through relabeling, proxy action, outsourcing, serial temporary measures, selective enforcement or another functional substitute. A materially affected person or competent representative shall have access to an appropriate avenue for review or correction under applicable law. Cure shall be proportionate and rights-preserving and shall not, by itself, create a private cause of action under this Agreement.</w:t>
      </w:r>
    </w:p>
    <w:p>
      <w:pPr>
        <w:pStyle w:val="Heading3"/>
        <w:keepNext/>
        <w:widowControl/>
        <w:rPr/>
      </w:pPr>
      <w:r>
        <w:rPr/>
        <w:t>HR4-098. Transfer, Removal And Custody Continuity Safeguards: Scope and Protected Interest</w:t>
      </w:r>
    </w:p>
    <w:p>
      <w:pPr>
        <w:pStyle w:val="Normal"/>
        <w:widowControl/>
        <w:rPr/>
      </w:pPr>
      <w:r>
        <w:rPr/>
        <w:t>For purposes of this Framework, the Parties recognize the protected interest addressed by Transfer, Removal And Custody Continuity Safeguards and shall apply this Article to treaty-linked governmental measures, programs, administration and covered economic activity where that interest is materially affected. The Parties shall protect food, water, sanitation, safe temperature, sleep, healthcare, communication, legal access, disability accommodation, safety and meaningful review without converting custody standards into a trade concession.</w:t>
      </w:r>
    </w:p>
    <w:p>
      <w:pPr>
        <w:pStyle w:val="Heading3"/>
        <w:keepNext/>
        <w:widowControl/>
        <w:rPr/>
      </w:pPr>
      <w:r>
        <w:rPr/>
        <w:t>HR4-099. Transfer, Removal And Custody Continuity Safeguards: Minimum Reciprocal Floor</w:t>
      </w:r>
    </w:p>
    <w:p>
      <w:pPr>
        <w:pStyle w:val="Normal"/>
        <w:widowControl/>
        <w:rPr/>
      </w:pPr>
      <w:r>
        <w:rPr/>
        <w:t>Each Party shall maintain, through its constitutionally competent authorities and lawful institutions, a minimum effective floor under which it shall protect food, water, sanitation, safe temperature, sleep, healthcare, communication, legal access, disability accommodation, safety and meaningful review without converting custody standards into a trade concession. A Party may use different legal or institutional means where those means provide functionally equivalent or stronger protection.</w:t>
      </w:r>
    </w:p>
    <w:p>
      <w:pPr>
        <w:pStyle w:val="Heading3"/>
        <w:keepNext/>
        <w:widowControl/>
        <w:rPr/>
      </w:pPr>
      <w:r>
        <w:rPr/>
        <w:t>HR4-100. Transfer, Removal And Custody Continuity Safeguards: Non-Circumvention, Review and Remedy</w:t>
      </w:r>
    </w:p>
    <w:p>
      <w:pPr>
        <w:pStyle w:val="Normal"/>
        <w:widowControl/>
        <w:rPr/>
      </w:pPr>
      <w:r>
        <w:rPr/>
        <w:t>A Party shall not defeat this protection through relabeling, proxy action, outsourcing, serial temporary measures, selective enforcement or another functional substitute. A materially affected person or competent representative shall have access to an appropriate avenue for review or correction under applicable law. Cure shall be proportionate and rights-preserving and shall not, by itself, create a private cause of action under this Agreement.</w:t>
      </w:r>
    </w:p>
    <w:p>
      <w:bookmarkStart w:id="3120" w:name="_NAESTMA_TOC_3120"/>
      <w:pPr>
        <w:pStyle w:val="Heading2"/>
        <w:keepNext/>
        <w:widowControl/>
        <w:rPr/>
      </w:pPr>
      <w:r>
        <w:rPr/>
        <w:t>CL-9. CUSTODY, DETENTION AND CORRECTIONS RIGHTS</w:t>
      </w:r>
      <w:bookmarkEnd w:id="3120"/>
    </w:p>
    <w:p>
      <w:pPr>
        <w:pStyle w:val="Normal"/>
        <w:widowControl/>
        <w:rPr/>
      </w:pPr>
      <w:r>
        <w:rPr/>
        <w:t>Application. Mixed Mandatory/Flexible Architecture. Provisions in this Section retain the Round-Three temperature assigned to their source mechanism and are interpreted through Articles CL-1 through CL-5.</w:t>
      </w:r>
    </w:p>
    <w:p>
      <w:pPr>
        <w:pStyle w:val="Heading3"/>
        <w:keepNext/>
        <w:widowControl/>
        <w:rPr/>
      </w:pPr>
      <w:r>
        <w:rPr/>
        <w:t>HR4-101. Humane Custody Floor: Scope and Protected Interest</w:t>
      </w:r>
    </w:p>
    <w:p>
      <w:pPr>
        <w:pStyle w:val="Normal"/>
        <w:widowControl/>
        <w:rPr/>
      </w:pPr>
      <w:r>
        <w:rPr/>
        <w:t>For purposes of this Framework, the Parties recognize the protected interest addressed by Humane Custody Floor and shall apply this Article to treaty-linked governmental measures, programs, administration and covered economic activity where that interest is materially affected. The Parties shall protect food, water, sanitation, safe temperature, sleep, healthcare, communication, legal access, disability accommodation, safety and meaningful review without converting custody standards into a trade concession.</w:t>
      </w:r>
    </w:p>
    <w:p>
      <w:pPr>
        <w:pStyle w:val="Heading3"/>
        <w:keepNext/>
        <w:widowControl/>
        <w:rPr/>
      </w:pPr>
      <w:r>
        <w:rPr/>
        <w:t>HR4-102. Humane Custody Floor: Minimum Reciprocal Floor</w:t>
      </w:r>
    </w:p>
    <w:p>
      <w:pPr>
        <w:pStyle w:val="Normal"/>
        <w:widowControl/>
        <w:rPr/>
      </w:pPr>
      <w:r>
        <w:rPr/>
        <w:t>Each Party shall maintain, through its constitutionally competent authorities and lawful institutions, a minimum effective floor under which it shall protect food, water, sanitation, safe temperature, sleep, healthcare, communication, legal access, disability accommodation, safety and meaningful review without converting custody standards into a trade concession. A Party may use different legal or institutional means where those means provide functionally equivalent or stronger protection.</w:t>
      </w:r>
    </w:p>
    <w:p>
      <w:pPr>
        <w:pStyle w:val="Heading3"/>
        <w:keepNext/>
        <w:widowControl/>
        <w:rPr/>
      </w:pPr>
      <w:r>
        <w:rPr/>
        <w:t>HR4-103. Humane Custody Floor: Non-Circumvention, Review and Remedy</w:t>
      </w:r>
    </w:p>
    <w:p>
      <w:pPr>
        <w:pStyle w:val="Normal"/>
        <w:widowControl/>
        <w:rPr/>
      </w:pPr>
      <w:r>
        <w:rPr/>
        <w:t>A Party shall not defeat this protection through relabeling, proxy action, outsourcing, serial temporary measures, selective enforcement or another functional substitute. A materially affected person or competent representative shall have access to an appropriate avenue for review or correction under applicable law. Cure shall be proportionate and rights-preserving and shall not, by itself, create a private cause of action under this Agreement.</w:t>
      </w:r>
    </w:p>
    <w:p>
      <w:pPr>
        <w:pStyle w:val="Heading3"/>
        <w:keepNext/>
        <w:widowControl/>
        <w:rPr/>
      </w:pPr>
      <w:r>
        <w:rPr/>
        <w:t>HR4-104. Humane Custody Floor: Targeted and Intersectional Application</w:t>
      </w:r>
    </w:p>
    <w:p>
      <w:pPr>
        <w:pStyle w:val="Normal"/>
        <w:widowControl/>
        <w:rPr/>
      </w:pPr>
      <w:r>
        <w:rPr/>
        <w:t>In applying this mechanism, competent authorities shall account for materially distinct and intersectional forms of harm where generic treatment would make the protection ineffective. Targeted safeguards may address the particular context identified by the evidence, but shall not define another protected group downward or authorize unequal treatment unrelated to a legitimate and proportionate objective.</w:t>
      </w:r>
    </w:p>
    <w:p>
      <w:pPr>
        <w:pStyle w:val="Heading3"/>
        <w:keepNext/>
        <w:widowControl/>
        <w:rPr/>
      </w:pPr>
      <w:r>
        <w:rPr/>
        <w:t>HR4-105. Children, Pregnancy, Disability And Vulnerability In Custody: Scope and Protected Interest</w:t>
      </w:r>
    </w:p>
    <w:p>
      <w:pPr>
        <w:pStyle w:val="Normal"/>
        <w:widowControl/>
        <w:rPr/>
      </w:pPr>
      <w:r>
        <w:rPr/>
        <w:t>For purposes of this Framework, the Parties recognize the protected interest addressed by Children, Pregnancy, Disability And Vulnerability In Custody and shall apply this Article to treaty-linked governmental measures, programs, administration and covered economic activity where that interest is materially affected. The Parties shall protect food, water, sanitation, safe temperature, sleep, healthcare, communication, legal access, disability accommodation, safety and meaningful review without converting custody standards into a trade concession.</w:t>
      </w:r>
    </w:p>
    <w:p>
      <w:pPr>
        <w:pStyle w:val="Heading3"/>
        <w:keepNext/>
        <w:widowControl/>
        <w:rPr/>
      </w:pPr>
      <w:r>
        <w:rPr/>
        <w:t>HR4-106. Children, Pregnancy, Disability And Vulnerability In Custody: Minimum Reciprocal Floor</w:t>
      </w:r>
    </w:p>
    <w:p>
      <w:pPr>
        <w:pStyle w:val="Normal"/>
        <w:widowControl/>
        <w:rPr/>
      </w:pPr>
      <w:r>
        <w:rPr/>
        <w:t>Each Party shall maintain, through its constitutionally competent authorities and lawful institutions, a minimum effective floor under which it shall protect food, water, sanitation, safe temperature, sleep, healthcare, communication, legal access, disability accommodation, safety and meaningful review without converting custody standards into a trade concession. A Party may use different legal or institutional means where those means provide functionally equivalent or stronger protection.</w:t>
      </w:r>
    </w:p>
    <w:p>
      <w:pPr>
        <w:pStyle w:val="Heading3"/>
        <w:keepNext/>
        <w:widowControl/>
        <w:rPr/>
      </w:pPr>
      <w:r>
        <w:rPr/>
        <w:t>HR4-107. Children, Pregnancy, Disability And Vulnerability In Custody: Non-Circumvention, Review and Remedy</w:t>
      </w:r>
    </w:p>
    <w:p>
      <w:pPr>
        <w:pStyle w:val="Normal"/>
        <w:widowControl/>
        <w:rPr/>
      </w:pPr>
      <w:r>
        <w:rPr/>
        <w:t>A Party shall not defeat this protection through relabeling, proxy action, outsourcing, serial temporary measures, selective enforcement or another functional substitute. A materially affected person or competent representative shall have access to an appropriate avenue for review or correction under applicable law. Cure shall be proportionate and rights-preserving and shall not, by itself, create a private cause of action under this Agreement.</w:t>
      </w:r>
    </w:p>
    <w:p>
      <w:pPr>
        <w:pStyle w:val="Heading3"/>
        <w:keepNext/>
        <w:widowControl/>
        <w:rPr/>
      </w:pPr>
      <w:r>
        <w:rPr/>
        <w:t>HR4-108. Solitary/Restrictive-Housing Safeguards: Scope and Protected Interest</w:t>
      </w:r>
    </w:p>
    <w:p>
      <w:pPr>
        <w:pStyle w:val="Normal"/>
        <w:widowControl/>
        <w:rPr/>
      </w:pPr>
      <w:r>
        <w:rPr/>
        <w:t>For purposes of this Framework, the Parties recognize the protected interest addressed by Solitary/Restrictive-Housing Safeguards and shall apply this Article to treaty-linked governmental measures, programs, administration and covered economic activity where that interest is materially affected. The Parties shall protect food, water, sanitation, safe temperature, sleep, healthcare, communication, legal access, disability accommodation, safety and meaningful review without converting custody standards into a trade concession.</w:t>
      </w:r>
    </w:p>
    <w:p>
      <w:pPr>
        <w:pStyle w:val="Heading3"/>
        <w:keepNext/>
        <w:widowControl/>
        <w:rPr/>
      </w:pPr>
      <w:r>
        <w:rPr/>
        <w:t>HR4-109. Solitary/Restrictive-Housing Safeguards: Minimum Reciprocal Floor</w:t>
      </w:r>
    </w:p>
    <w:p>
      <w:pPr>
        <w:pStyle w:val="Normal"/>
        <w:widowControl/>
        <w:rPr/>
      </w:pPr>
      <w:r>
        <w:rPr/>
        <w:t>Each Party shall maintain, through its constitutionally competent authorities and lawful institutions, a minimum effective floor under which it shall protect food, water, sanitation, safe temperature, sleep, healthcare, communication, legal access, disability accommodation, safety and meaningful review without converting custody standards into a trade concession. A Party may use different legal or institutional means where those means provide functionally equivalent or stronger protection.</w:t>
      </w:r>
    </w:p>
    <w:p>
      <w:pPr>
        <w:pStyle w:val="Heading3"/>
        <w:keepNext/>
        <w:widowControl/>
        <w:rPr/>
      </w:pPr>
      <w:r>
        <w:rPr/>
        <w:t>HR4-110. Solitary/Restrictive-Housing Safeguards: Non-Circumvention, Review and Remedy</w:t>
      </w:r>
    </w:p>
    <w:p>
      <w:pPr>
        <w:pStyle w:val="Normal"/>
        <w:widowControl/>
        <w:rPr/>
      </w:pPr>
      <w:r>
        <w:rPr/>
        <w:t>A Party shall not defeat this protection through relabeling, proxy action, outsourcing, serial temporary measures, selective enforcement or another functional substitute. A materially affected person or competent representative shall have access to an appropriate avenue for review or correction under applicable law. Cure shall be proportionate and rights-preserving and shall not, by itself, create a private cause of action under this Agreement.</w:t>
      </w:r>
    </w:p>
    <w:p>
      <w:pPr>
        <w:pStyle w:val="Heading3"/>
        <w:keepNext/>
        <w:widowControl/>
        <w:rPr/>
      </w:pPr>
      <w:r>
        <w:rPr/>
        <w:t>HR4-111. Custodial Healthcare Independence And Continuity: Scope and Protected Interest</w:t>
      </w:r>
    </w:p>
    <w:p>
      <w:pPr>
        <w:pStyle w:val="Normal"/>
        <w:widowControl/>
        <w:rPr/>
      </w:pPr>
      <w:r>
        <w:rPr/>
        <w:t>For purposes of this Framework, the Parties recognize the protected interest addressed by Custodial Healthcare Independence And Continuity and shall apply this Article to treaty-linked governmental measures, programs, administration and covered economic activity where that interest is materially affected. The Parties shall protect clinical independence, continuity of necessary care, medical confidentiality and transfer of essential records without allowing non-clinical punishment to dictate treatment.</w:t>
      </w:r>
    </w:p>
    <w:p>
      <w:pPr>
        <w:pStyle w:val="Heading3"/>
        <w:keepNext/>
        <w:widowControl/>
        <w:rPr/>
      </w:pPr>
      <w:r>
        <w:rPr/>
        <w:t>HR4-112. Custodial Healthcare Independence And Continuity: Minimum Reciprocal Floor</w:t>
      </w:r>
    </w:p>
    <w:p>
      <w:pPr>
        <w:pStyle w:val="Normal"/>
        <w:widowControl/>
        <w:rPr/>
      </w:pPr>
      <w:r>
        <w:rPr/>
        <w:t>Each Party shall maintain, through its constitutionally competent authorities and lawful institutions, a minimum effective floor under which it shall protect clinical independence, continuity of necessary care, medical confidentiality and transfer of essential records without allowing non-clinical punishment to dictate treatment. A Party may use different legal or institutional means where those means provide functionally equivalent or stronger protection.</w:t>
      </w:r>
    </w:p>
    <w:p>
      <w:pPr>
        <w:pStyle w:val="Heading3"/>
        <w:keepNext/>
        <w:widowControl/>
        <w:rPr/>
      </w:pPr>
      <w:r>
        <w:rPr/>
        <w:t>HR4-113. Custodial Healthcare Independence And Continuity: Non-Circumvention, Review and Remedy</w:t>
      </w:r>
    </w:p>
    <w:p>
      <w:pPr>
        <w:pStyle w:val="Normal"/>
        <w:widowControl/>
        <w:rPr/>
      </w:pPr>
      <w:r>
        <w:rPr/>
        <w:t>A Party shall not defeat this protection through relabeling, proxy action, outsourcing, serial temporary measures, selective enforcement or another functional substitute. A materially affected person or competent representative shall have access to an appropriate avenue for review or correction under applicable law. Cure shall be proportionate and rights-preserving and shall not, by itself, create a private cause of action under this Agreement.</w:t>
      </w:r>
    </w:p>
    <w:p>
      <w:bookmarkStart w:id="3121" w:name="_NAESTMA_TOC_3121"/>
      <w:pPr>
        <w:pStyle w:val="Heading2"/>
        <w:keepNext/>
        <w:widowControl/>
        <w:rPr/>
      </w:pPr>
      <w:r>
        <w:rPr/>
        <w:t>CL-10. INDIGENOUS RIGHTS AND ECONOMIC PARTICIPATION</w:t>
      </w:r>
      <w:bookmarkEnd w:id="3121"/>
    </w:p>
    <w:p>
      <w:pPr>
        <w:pStyle w:val="Normal"/>
        <w:widowControl/>
        <w:rPr/>
      </w:pPr>
      <w:r>
        <w:rPr/>
        <w:t>Application. Mixed Mandatory/Flexible Architecture. Provisions in this Section retain the Round-Three temperature assigned to their source mechanism and are interpreted through Articles CL-1 through CL-5.</w:t>
      </w:r>
    </w:p>
    <w:p>
      <w:pPr>
        <w:pStyle w:val="Heading3"/>
        <w:keepNext/>
        <w:widowControl/>
        <w:rPr/>
      </w:pPr>
      <w:r>
        <w:rPr/>
        <w:t>HR4-114. Indigenous-Rights Non-Derogation And Savings: Scope and Protected Interest</w:t>
      </w:r>
    </w:p>
    <w:p>
      <w:pPr>
        <w:pStyle w:val="Normal"/>
        <w:widowControl/>
        <w:rPr/>
      </w:pPr>
      <w:r>
        <w:rPr/>
        <w:t>For purposes of this Framework, the Parties recognize the protected interest addressed by Indigenous-Rights Non-Derogation And Savings and shall apply this Article to treaty-linked governmental measures, programs, administration and covered economic activity where that interest is materially affected. The Parties shall preserve stronger constitutional, treaty, inherent, statutory and otherwise applicable Indigenous rights, avoid defining rights downward, and require culturally appropriate participation where the treaty materially affects protected interests.</w:t>
      </w:r>
    </w:p>
    <w:p>
      <w:pPr>
        <w:pStyle w:val="Heading3"/>
        <w:keepNext/>
        <w:widowControl/>
        <w:rPr/>
      </w:pPr>
      <w:r>
        <w:rPr/>
        <w:t>HR4-115. Indigenous-Rights Non-Derogation And Savings: Minimum Reciprocal Floor</w:t>
      </w:r>
    </w:p>
    <w:p>
      <w:pPr>
        <w:pStyle w:val="Normal"/>
        <w:widowControl/>
        <w:rPr/>
      </w:pPr>
      <w:r>
        <w:rPr/>
        <w:t>Each Party shall maintain, through its constitutionally competent authorities and lawful institutions, a minimum effective floor under which it shall preserve stronger constitutional, treaty, inherent, statutory and otherwise applicable Indigenous rights, avoid defining rights downward, and require culturally appropriate participation where the treaty materially affects protected interests. A Party may use different legal or institutional means where those means provide functionally equivalent or stronger protection.</w:t>
      </w:r>
    </w:p>
    <w:p>
      <w:pPr>
        <w:pStyle w:val="Heading3"/>
        <w:keepNext/>
        <w:widowControl/>
        <w:rPr/>
      </w:pPr>
      <w:r>
        <w:rPr/>
        <w:t>HR4-116. Indigenous-Rights Non-Derogation And Savings: Non-Circumvention, Review and Remedy</w:t>
      </w:r>
    </w:p>
    <w:p>
      <w:pPr>
        <w:pStyle w:val="Normal"/>
        <w:widowControl/>
        <w:rPr/>
      </w:pPr>
      <w:r>
        <w:rPr/>
        <w:t>A Party shall not defeat this protection through relabeling, proxy action, outsourcing, serial temporary measures, selective enforcement or another functional substitute. A materially affected person or competent representative shall have access to an appropriate avenue for review or correction under applicable law. Cure shall be proportionate and rights-preserving and shall not, by itself, create a private cause of action under this Agreement.</w:t>
      </w:r>
    </w:p>
    <w:p>
      <w:pPr>
        <w:pStyle w:val="Heading3"/>
        <w:keepNext/>
        <w:widowControl/>
        <w:rPr/>
      </w:pPr>
      <w:r>
        <w:rPr/>
        <w:t>HR4-117. Indigenous-Rights Non-Derogation And Savings: Targeted and Intersectional Application</w:t>
      </w:r>
    </w:p>
    <w:p>
      <w:pPr>
        <w:pStyle w:val="Normal"/>
        <w:widowControl/>
        <w:rPr/>
      </w:pPr>
      <w:r>
        <w:rPr/>
        <w:t>In applying this mechanism, competent authorities shall account for materially distinct and intersectional forms of harm where generic treatment would make the protection ineffective. Targeted safeguards may address the particular context identified by the evidence, but shall not define another protected group downward or authorize unequal treatment unrelated to a legitimate and proportionate objective.</w:t>
      </w:r>
    </w:p>
    <w:p>
      <w:pPr>
        <w:pStyle w:val="Heading3"/>
        <w:keepNext/>
        <w:widowControl/>
        <w:rPr/>
      </w:pPr>
      <w:r>
        <w:rPr/>
        <w:t>HR4-118. Indigenous-Rights Non-Derogation And Savings: Evidence, Monitoring and Cure</w:t>
      </w:r>
    </w:p>
    <w:p>
      <w:pPr>
        <w:pStyle w:val="Normal"/>
        <w:widowControl/>
        <w:rPr/>
      </w:pPr>
      <w:r>
        <w:rPr/>
        <w:t>Material findings under this mechanism shall rest on a stated evidentiary basis and, where relevant, a defined causation or attribution test. Affected authorities shall have an opportunity to respond and correct demonstrable error. Where a deficiency is established, the ordinary response shall be the narrowest sufficient cure, followed by verification and restoration.</w:t>
      </w:r>
    </w:p>
    <w:p>
      <w:pPr>
        <w:pStyle w:val="Heading3"/>
        <w:keepNext/>
        <w:widowControl/>
        <w:rPr/>
      </w:pPr>
      <w:r>
        <w:rPr/>
        <w:t>HR4-119. Meaningful Consultation And Participation: Scope and Protected Interest</w:t>
      </w:r>
    </w:p>
    <w:p>
      <w:pPr>
        <w:pStyle w:val="Normal"/>
        <w:widowControl/>
        <w:rPr/>
      </w:pPr>
      <w:r>
        <w:rPr/>
        <w:t>For purposes of this Framework, the Parties recognize the protected interest addressed by Meaningful Consultation And Participation and shall apply this Article to treaty-linked governmental measures, programs, administration and covered economic activity where that interest is materially affected. The Parties shall use existing institutions where possible, transparent criteria, diverse expertise, confidentiality safeguards and periodic review without creating duplicative bureaucracy or private enforcement by implication.</w:t>
      </w:r>
    </w:p>
    <w:p>
      <w:pPr>
        <w:pStyle w:val="Heading3"/>
        <w:keepNext/>
        <w:widowControl/>
        <w:rPr/>
      </w:pPr>
      <w:r>
        <w:rPr/>
        <w:t>HR4-120. Meaningful Consultation And Participation: Minimum Reciprocal Floor</w:t>
      </w:r>
    </w:p>
    <w:p>
      <w:pPr>
        <w:pStyle w:val="Normal"/>
        <w:widowControl/>
        <w:rPr/>
      </w:pPr>
      <w:r>
        <w:rPr/>
        <w:t>Each Party shall maintain, through its constitutionally competent authorities and lawful institutions, a minimum effective floor under which it shall use existing institutions where possible, transparent criteria, diverse expertise, confidentiality safeguards and periodic review without creating duplicative bureaucracy or private enforcement by implication. A Party may use different legal or institutional means where those means provide functionally equivalent or stronger protection.</w:t>
      </w:r>
    </w:p>
    <w:p>
      <w:pPr>
        <w:pStyle w:val="Heading3"/>
        <w:keepNext/>
        <w:widowControl/>
        <w:rPr/>
      </w:pPr>
      <w:r>
        <w:rPr/>
        <w:t>HR4-121. Meaningful Consultation And Participation: Non-Circumvention, Review and Remedy</w:t>
      </w:r>
    </w:p>
    <w:p>
      <w:pPr>
        <w:pStyle w:val="Normal"/>
        <w:widowControl/>
        <w:rPr/>
      </w:pPr>
      <w:r>
        <w:rPr/>
        <w:t>A Party shall not defeat this protection through relabeling, proxy action, outsourcing, serial temporary measures, selective enforcement or another functional substitute. A materially affected person or competent representative shall have access to an appropriate avenue for review or correction under applicable law. Cure shall be proportionate and rights-preserving and shall not, by itself, create a private cause of action under this Agreement.</w:t>
      </w:r>
    </w:p>
    <w:p>
      <w:pPr>
        <w:pStyle w:val="Heading3"/>
        <w:keepNext/>
        <w:widowControl/>
        <w:rPr/>
      </w:pPr>
      <w:r>
        <w:rPr/>
        <w:t>HR4-122. Meaningful Consultation And Participation: Targeted and Intersectional Application</w:t>
      </w:r>
    </w:p>
    <w:p>
      <w:pPr>
        <w:pStyle w:val="Normal"/>
        <w:widowControl/>
        <w:rPr/>
      </w:pPr>
      <w:r>
        <w:rPr/>
        <w:t>In applying this mechanism, competent authorities shall account for materially distinct and intersectional forms of harm where generic treatment would make the protection ineffective. Targeted safeguards may address the particular context identified by the evidence, but shall not define another protected group downward or authorize unequal treatment unrelated to a legitimate and proportionate objective.</w:t>
      </w:r>
    </w:p>
    <w:p>
      <w:pPr>
        <w:pStyle w:val="Heading3"/>
        <w:keepNext/>
        <w:widowControl/>
        <w:rPr/>
      </w:pPr>
      <w:r>
        <w:rPr/>
        <w:t>HR4-123. Meaningful Consultation And Participation: Evidence, Monitoring and Cure</w:t>
      </w:r>
    </w:p>
    <w:p>
      <w:pPr>
        <w:pStyle w:val="Normal"/>
        <w:widowControl/>
        <w:rPr/>
      </w:pPr>
      <w:r>
        <w:rPr/>
        <w:t>Material findings under this mechanism shall rest on a stated evidentiary basis and, where relevant, a defined causation or attribution test. Affected authorities shall have an opportunity to respond and correct demonstrable error. Where a deficiency is established, the ordinary response shall be the narrowest sufficient cure, followed by verification and restoration.</w:t>
      </w:r>
    </w:p>
    <w:p>
      <w:pPr>
        <w:pStyle w:val="Heading3"/>
        <w:keepNext/>
        <w:widowControl/>
        <w:rPr/>
      </w:pPr>
      <w:r>
        <w:rPr/>
        <w:t>HR4-124. Traditional Knowledge Protection: Scope and Protected Interest</w:t>
      </w:r>
    </w:p>
    <w:p>
      <w:pPr>
        <w:pStyle w:val="Normal"/>
        <w:widowControl/>
        <w:rPr/>
      </w:pPr>
      <w:r>
        <w:rPr/>
        <w:t>For purposes of this Framework, the Parties recognize the protected interest addressed by Traditional Knowledge Protection and shall apply this Article to treaty-linked governmental measures, programs, administration and covered economic activity where that interest is materially affected. The Parties shall preserve stronger constitutional, treaty, inherent, statutory and otherwise applicable Indigenous rights, avoid defining rights downward, and require culturally appropriate participation where the treaty materially affects protected interests.</w:t>
      </w:r>
    </w:p>
    <w:p>
      <w:pPr>
        <w:pStyle w:val="Heading3"/>
        <w:keepNext/>
        <w:widowControl/>
        <w:rPr/>
      </w:pPr>
      <w:r>
        <w:rPr/>
        <w:t>HR4-125. Traditional Knowledge Protection: Minimum Reciprocal Floor</w:t>
      </w:r>
    </w:p>
    <w:p>
      <w:pPr>
        <w:pStyle w:val="Normal"/>
        <w:widowControl/>
        <w:rPr/>
      </w:pPr>
      <w:r>
        <w:rPr/>
        <w:t>Each Party shall maintain, through its constitutionally competent authorities and lawful institutions, a minimum effective floor under which it shall preserve stronger constitutional, treaty, inherent, statutory and otherwise applicable Indigenous rights, avoid defining rights downward, and require culturally appropriate participation where the treaty materially affects protected interests. A Party may use different legal or institutional means where those means provide functionally equivalent or stronger protection.</w:t>
      </w:r>
    </w:p>
    <w:p>
      <w:pPr>
        <w:pStyle w:val="Heading3"/>
        <w:keepNext/>
        <w:widowControl/>
        <w:rPr/>
      </w:pPr>
      <w:r>
        <w:rPr/>
        <w:t>HR4-126. Traditional Knowledge Protection: Non-Circumvention, Review and Remedy</w:t>
      </w:r>
    </w:p>
    <w:p>
      <w:pPr>
        <w:pStyle w:val="Normal"/>
        <w:widowControl/>
        <w:rPr/>
      </w:pPr>
      <w:r>
        <w:rPr/>
        <w:t>A Party shall not defeat this protection through relabeling, proxy action, outsourcing, serial temporary measures, selective enforcement or another functional substitute. A materially affected person or competent representative shall have access to an appropriate avenue for review or correction under applicable law. Cure shall be proportionate and rights-preserving and shall not, by itself, create a private cause of action under this Agreement.</w:t>
      </w:r>
    </w:p>
    <w:p>
      <w:pPr>
        <w:pStyle w:val="Heading3"/>
        <w:keepNext/>
        <w:widowControl/>
        <w:rPr/>
      </w:pPr>
      <w:r>
        <w:rPr/>
        <w:t>HR4-127. Traditional Knowledge Protection: Targeted and Intersectional Application</w:t>
      </w:r>
    </w:p>
    <w:p>
      <w:pPr>
        <w:pStyle w:val="Normal"/>
        <w:widowControl/>
        <w:rPr/>
      </w:pPr>
      <w:r>
        <w:rPr/>
        <w:t>In applying this mechanism, competent authorities shall account for materially distinct and intersectional forms of harm where generic treatment would make the protection ineffective. Targeted safeguards may address the particular context identified by the evidence, but shall not define another protected group downward or authorize unequal treatment unrelated to a legitimate and proportionate objective.</w:t>
      </w:r>
    </w:p>
    <w:p>
      <w:pPr>
        <w:pStyle w:val="Heading3"/>
        <w:keepNext/>
        <w:widowControl/>
        <w:rPr/>
      </w:pPr>
      <w:r>
        <w:rPr/>
        <w:t>HR4-128. Traditional Cultural Expressions And Heritage Protection: Scope and Protected Interest</w:t>
      </w:r>
    </w:p>
    <w:p>
      <w:pPr>
        <w:pStyle w:val="Normal"/>
        <w:widowControl/>
        <w:rPr/>
      </w:pPr>
      <w:r>
        <w:rPr/>
        <w:t>For purposes of this Framework, the Parties recognize the protected interest addressed by Traditional Cultural Expressions And Heritage Protection and shall apply this Article to treaty-linked governmental measures, programs, administration and covered economic activity where that interest is materially affected. The Parties shall preserve stronger constitutional, treaty, inherent, statutory and otherwise applicable Indigenous rights, avoid defining rights downward, and require culturally appropriate participation where the treaty materially affects protected interests.</w:t>
      </w:r>
    </w:p>
    <w:p>
      <w:pPr>
        <w:pStyle w:val="Heading3"/>
        <w:keepNext/>
        <w:widowControl/>
        <w:rPr/>
      </w:pPr>
      <w:r>
        <w:rPr/>
        <w:t>HR4-129. Traditional Cultural Expressions And Heritage Protection: Minimum Reciprocal Floor</w:t>
      </w:r>
    </w:p>
    <w:p>
      <w:pPr>
        <w:pStyle w:val="Normal"/>
        <w:widowControl/>
        <w:rPr/>
      </w:pPr>
      <w:r>
        <w:rPr/>
        <w:t>Each Party shall maintain, through its constitutionally competent authorities and lawful institutions, a minimum effective floor under which it shall preserve stronger constitutional, treaty, inherent, statutory and otherwise applicable Indigenous rights, avoid defining rights downward, and require culturally appropriate participation where the treaty materially affects protected interests. A Party may use different legal or institutional means where those means provide functionally equivalent or stronger protection.</w:t>
      </w:r>
    </w:p>
    <w:p>
      <w:pPr>
        <w:pStyle w:val="Heading3"/>
        <w:keepNext/>
        <w:widowControl/>
        <w:rPr/>
      </w:pPr>
      <w:r>
        <w:rPr/>
        <w:t>HR4-130. Traditional Cultural Expressions And Heritage Protection: Non-Circumvention, Review and Remedy</w:t>
      </w:r>
    </w:p>
    <w:p>
      <w:pPr>
        <w:pStyle w:val="Normal"/>
        <w:widowControl/>
        <w:rPr/>
      </w:pPr>
      <w:r>
        <w:rPr/>
        <w:t>A Party shall not defeat this protection through relabeling, proxy action, outsourcing, serial temporary measures, selective enforcement or another functional substitute. A materially affected person or competent representative shall have access to an appropriate avenue for review or correction under applicable law. Cure shall be proportionate and rights-preserving and shall not, by itself, create a private cause of action under this Agreement.</w:t>
      </w:r>
    </w:p>
    <w:p>
      <w:pPr>
        <w:pStyle w:val="Heading3"/>
        <w:keepNext/>
        <w:widowControl/>
        <w:rPr/>
      </w:pPr>
      <w:r>
        <w:rPr/>
        <w:t>HR4-131. Traditional Cultural Expressions And Heritage Protection: Targeted and Intersectional Application</w:t>
      </w:r>
    </w:p>
    <w:p>
      <w:pPr>
        <w:pStyle w:val="Normal"/>
        <w:widowControl/>
        <w:rPr/>
      </w:pPr>
      <w:r>
        <w:rPr/>
        <w:t>In applying this mechanism, competent authorities shall account for materially distinct and intersectional forms of harm where generic treatment would make the protection ineffective. Targeted safeguards may address the particular context identified by the evidence, but shall not define another protected group downward or authorize unequal treatment unrelated to a legitimate and proportionate objective.</w:t>
      </w:r>
    </w:p>
    <w:p>
      <w:pPr>
        <w:pStyle w:val="Heading3"/>
        <w:keepNext/>
        <w:widowControl/>
        <w:rPr/>
      </w:pPr>
      <w:r>
        <w:rPr/>
        <w:t>HR4-132. Indigenous Women, Youth And Vulnerable-Member Safeguards: Scope and Protected Interest</w:t>
      </w:r>
    </w:p>
    <w:p>
      <w:pPr>
        <w:pStyle w:val="Normal"/>
        <w:widowControl/>
        <w:rPr/>
      </w:pPr>
      <w:r>
        <w:rPr/>
        <w:t>For purposes of this Framework, the Parties recognize the protected interest addressed by Indigenous Women, Youth And Vulnerable-Member Safeguards and shall apply this Article to treaty-linked governmental measures, programs, administration and covered economic activity where that interest is materially affected. The Parties shall preserve stronger constitutional, treaty, inherent, statutory and otherwise applicable Indigenous rights, avoid defining rights downward, and require culturally appropriate participation where the treaty materially affects protected interests.</w:t>
      </w:r>
    </w:p>
    <w:p>
      <w:pPr>
        <w:pStyle w:val="Heading3"/>
        <w:keepNext/>
        <w:widowControl/>
        <w:rPr/>
      </w:pPr>
      <w:r>
        <w:rPr/>
        <w:t>HR4-133. Indigenous Women, Youth And Vulnerable-Member Safeguards: Minimum Reciprocal Floor</w:t>
      </w:r>
    </w:p>
    <w:p>
      <w:pPr>
        <w:pStyle w:val="Normal"/>
        <w:widowControl/>
        <w:rPr/>
      </w:pPr>
      <w:r>
        <w:rPr/>
        <w:t>Each Party shall maintain, through its constitutionally competent authorities and lawful institutions, a minimum effective floor under which it shall preserve stronger constitutional, treaty, inherent, statutory and otherwise applicable Indigenous rights, avoid defining rights downward, and require culturally appropriate participation where the treaty materially affects protected interests. A Party may use different legal or institutional means where those means provide functionally equivalent or stronger protection.</w:t>
      </w:r>
    </w:p>
    <w:p>
      <w:pPr>
        <w:pStyle w:val="Heading3"/>
        <w:keepNext/>
        <w:widowControl/>
        <w:rPr/>
      </w:pPr>
      <w:r>
        <w:rPr/>
        <w:t>HR4-134. Indigenous Women, Youth And Vulnerable-Member Safeguards: Non-Circumvention, Review and Remedy</w:t>
      </w:r>
    </w:p>
    <w:p>
      <w:pPr>
        <w:pStyle w:val="Normal"/>
        <w:widowControl/>
        <w:rPr/>
      </w:pPr>
      <w:r>
        <w:rPr/>
        <w:t>A Party shall not defeat this protection through relabeling, proxy action, outsourcing, serial temporary measures, selective enforcement or another functional substitute. A materially affected person or competent representative shall have access to an appropriate avenue for review or correction under applicable law. Cure shall be proportionate and rights-preserving and shall not, by itself, create a private cause of action under this Agreement.</w:t>
      </w:r>
    </w:p>
    <w:p>
      <w:pPr>
        <w:pStyle w:val="Heading3"/>
        <w:keepNext/>
        <w:widowControl/>
        <w:rPr/>
      </w:pPr>
      <w:r>
        <w:rPr/>
        <w:t>HR4-135. Indigenous Women, Youth And Vulnerable-Member Safeguards: Targeted and Intersectional Application</w:t>
      </w:r>
    </w:p>
    <w:p>
      <w:pPr>
        <w:pStyle w:val="Normal"/>
        <w:widowControl/>
        <w:rPr/>
      </w:pPr>
      <w:r>
        <w:rPr/>
        <w:t>In applying this mechanism, competent authorities shall account for materially distinct and intersectional forms of harm where generic treatment would make the protection ineffective. Targeted safeguards may address the particular context identified by the evidence, but shall not define another protected group downward or authorize unequal treatment unrelated to a legitimate and proportionate objective.</w:t>
      </w:r>
    </w:p>
    <w:p>
      <w:pPr>
        <w:pStyle w:val="Heading3"/>
        <w:keepNext/>
        <w:widowControl/>
        <w:rPr/>
      </w:pPr>
      <w:r>
        <w:rPr/>
        <w:t>HR4-136. Indigenous Grievance And Remedy Access: Scope and Protected Interest</w:t>
      </w:r>
    </w:p>
    <w:p>
      <w:pPr>
        <w:pStyle w:val="Normal"/>
        <w:widowControl/>
        <w:rPr/>
      </w:pPr>
      <w:r>
        <w:rPr/>
        <w:t>For purposes of this Framework, the Parties recognize the protected interest addressed by Indigenous Grievance And Remedy Access and shall apply this Article to treaty-linked governmental measures, programs, administration and covered economic activity where that interest is materially affected. The Parties shall provide accessible complaint channels, anti-retaliation protection, timely investigation and remedies capable of correcting the underlying harm.</w:t>
      </w:r>
    </w:p>
    <w:p>
      <w:pPr>
        <w:pStyle w:val="Heading3"/>
        <w:keepNext/>
        <w:widowControl/>
        <w:rPr/>
      </w:pPr>
      <w:r>
        <w:rPr/>
        <w:t>HR4-137. Indigenous Grievance And Remedy Access: Minimum Reciprocal Floor</w:t>
      </w:r>
    </w:p>
    <w:p>
      <w:pPr>
        <w:pStyle w:val="Normal"/>
        <w:widowControl/>
        <w:rPr/>
      </w:pPr>
      <w:r>
        <w:rPr/>
        <w:t>Each Party shall maintain, through its constitutionally competent authorities and lawful institutions, a minimum effective floor under which it shall provide accessible complaint channels, anti-retaliation protection, timely investigation and remedies capable of correcting the underlying harm. A Party may use different legal or institutional means where those means provide functionally equivalent or stronger protection.</w:t>
      </w:r>
    </w:p>
    <w:p>
      <w:pPr>
        <w:pStyle w:val="Heading3"/>
        <w:keepNext/>
        <w:widowControl/>
        <w:rPr/>
      </w:pPr>
      <w:r>
        <w:rPr/>
        <w:t>HR4-138. Indigenous Grievance And Remedy Access: Non-Circumvention, Review and Remedy</w:t>
      </w:r>
    </w:p>
    <w:p>
      <w:pPr>
        <w:pStyle w:val="Normal"/>
        <w:widowControl/>
        <w:rPr/>
      </w:pPr>
      <w:r>
        <w:rPr/>
        <w:t>A Party shall not defeat this protection through relabeling, proxy action, outsourcing, serial temporary measures, selective enforcement or another functional substitute. A materially affected person or competent representative shall have access to an appropriate avenue for review or correction under applicable law. Cure shall be proportionate and rights-preserving and shall not, by itself, create a private cause of action under this Agreement.</w:t>
      </w:r>
    </w:p>
    <w:p>
      <w:pPr>
        <w:pStyle w:val="Heading3"/>
        <w:keepNext/>
        <w:widowControl/>
        <w:rPr/>
      </w:pPr>
      <w:r>
        <w:rPr/>
        <w:t>HR4-139. Indigenous-Language And Cultural Accessibility: Scope and Protected Interest</w:t>
      </w:r>
    </w:p>
    <w:p>
      <w:pPr>
        <w:pStyle w:val="Normal"/>
        <w:widowControl/>
        <w:rPr/>
      </w:pPr>
      <w:r>
        <w:rPr/>
        <w:t>For purposes of this Framework, the Parties recognize the protected interest addressed by Indigenous-Language And Cultural Accessibility and shall apply this Article to treaty-linked governmental measures, programs, administration and covered economic activity where that interest is materially affected. The Parties shall ensure understandable information, interpretation or accessible communication, and access to legal assistance where required by applicable law or the seriousness of the proceeding.</w:t>
      </w:r>
    </w:p>
    <w:p>
      <w:pPr>
        <w:pStyle w:val="Heading3"/>
        <w:keepNext/>
        <w:widowControl/>
        <w:rPr/>
      </w:pPr>
      <w:r>
        <w:rPr/>
        <w:t>HR4-140. Indigenous-Language And Cultural Accessibility: Minimum Reciprocal Floor</w:t>
      </w:r>
    </w:p>
    <w:p>
      <w:pPr>
        <w:pStyle w:val="Normal"/>
        <w:widowControl/>
        <w:rPr/>
      </w:pPr>
      <w:r>
        <w:rPr/>
        <w:t>Each Party shall maintain, through its constitutionally competent authorities and lawful institutions, a minimum effective floor under which it shall ensure understandable information, interpretation or accessible communication, and access to legal assistance where required by applicable law or the seriousness of the proceeding. A Party may use different legal or institutional means where those means provide functionally equivalent or stronger protection.</w:t>
      </w:r>
    </w:p>
    <w:p>
      <w:pPr>
        <w:pStyle w:val="Heading3"/>
        <w:keepNext/>
        <w:widowControl/>
        <w:rPr/>
      </w:pPr>
      <w:r>
        <w:rPr/>
        <w:t>HR4-141. Indigenous-Language And Cultural Accessibility: Non-Circumvention, Review and Remedy</w:t>
      </w:r>
    </w:p>
    <w:p>
      <w:pPr>
        <w:pStyle w:val="Normal"/>
        <w:widowControl/>
        <w:rPr/>
      </w:pPr>
      <w:r>
        <w:rPr/>
        <w:t>A Party shall not defeat this protection through relabeling, proxy action, outsourcing, serial temporary measures, selective enforcement or another functional substitute. A materially affected person or competent representative shall have access to an appropriate avenue for review or correction under applicable law. Cure shall be proportionate and rights-preserving and shall not, by itself, create a private cause of action under this Agreement.</w:t>
      </w:r>
    </w:p>
    <w:p>
      <w:bookmarkStart w:id="3122" w:name="_NAESTMA_TOC_3122"/>
      <w:pPr>
        <w:pStyle w:val="Heading2"/>
        <w:keepNext/>
        <w:widowControl/>
        <w:rPr/>
      </w:pPr>
      <w:r>
        <w:rPr/>
        <w:t>CL-11. DIGITAL, PRIVACY, DATA AND AUTOMATED-DECISION RIGHTS</w:t>
      </w:r>
      <w:bookmarkEnd w:id="3122"/>
    </w:p>
    <w:p>
      <w:pPr>
        <w:pStyle w:val="Normal"/>
        <w:widowControl/>
        <w:rPr/>
      </w:pPr>
      <w:r>
        <w:rPr/>
        <w:t>Application. Mixed Mandatory/Flexible Architecture. Provisions in this Section retain the Round-Three temperature assigned to their source mechanism and are interpreted through Articles CL-1 through CL-5.</w:t>
      </w:r>
    </w:p>
    <w:p>
      <w:pPr>
        <w:pStyle w:val="Heading3"/>
        <w:keepNext/>
        <w:widowControl/>
        <w:rPr/>
      </w:pPr>
      <w:r>
        <w:rPr/>
        <w:t>HR4-142. Privacy And Personal-Information Protection Floor: Scope and Protected Interest</w:t>
      </w:r>
    </w:p>
    <w:p>
      <w:pPr>
        <w:pStyle w:val="Normal"/>
        <w:widowControl/>
        <w:rPr/>
      </w:pPr>
      <w:r>
        <w:rPr/>
        <w:t>For purposes of this Framework, the Parties recognize the protected interest addressed by Privacy And Personal-Information Protection Floor and shall apply this Article to treaty-linked governmental measures, programs, administration and covered economic activity where that interest is materially affected. The Parties shall use necessity, purpose limitation, data minimization, security, retention limits, transparency, correction and independent oversight appropriate to the sensitivity and use of the information.</w:t>
      </w:r>
    </w:p>
    <w:p>
      <w:pPr>
        <w:pStyle w:val="Heading3"/>
        <w:keepNext/>
        <w:widowControl/>
        <w:rPr/>
      </w:pPr>
      <w:r>
        <w:rPr/>
        <w:t>HR4-143. Privacy And Personal-Information Protection Floor: Minimum Reciprocal Floor</w:t>
      </w:r>
    </w:p>
    <w:p>
      <w:pPr>
        <w:pStyle w:val="Normal"/>
        <w:widowControl/>
        <w:rPr/>
      </w:pPr>
      <w:r>
        <w:rPr/>
        <w:t>Each Party shall maintain, through its constitutionally competent authorities and lawful institutions, a minimum effective floor under which it shall use necessity, purpose limitation, data minimization, security, retention limits, transparency, correction and independent oversight appropriate to the sensitivity and use of the information. A Party may use different legal or institutional means where those means provide functionally equivalent or stronger protection.</w:t>
      </w:r>
    </w:p>
    <w:p>
      <w:pPr>
        <w:pStyle w:val="Heading3"/>
        <w:keepNext/>
        <w:widowControl/>
        <w:rPr/>
      </w:pPr>
      <w:r>
        <w:rPr/>
        <w:t>HR4-144. Privacy And Personal-Information Protection Floor: Non-Circumvention, Review and Remedy</w:t>
      </w:r>
    </w:p>
    <w:p>
      <w:pPr>
        <w:pStyle w:val="Normal"/>
        <w:widowControl/>
        <w:rPr/>
      </w:pPr>
      <w:r>
        <w:rPr/>
        <w:t>A Party shall not defeat this protection through relabeling, proxy action, outsourcing, serial temporary measures, selective enforcement or another functional substitute. A materially affected person or competent representative shall have access to an appropriate avenue for review or correction under applicable law. Cure shall be proportionate and rights-preserving and shall not, by itself, create a private cause of action under this Agreement.</w:t>
      </w:r>
    </w:p>
    <w:p>
      <w:pPr>
        <w:pStyle w:val="Heading3"/>
        <w:keepNext/>
        <w:widowControl/>
        <w:rPr/>
      </w:pPr>
      <w:r>
        <w:rPr/>
        <w:t>HR4-145. Privacy And Personal-Information Protection Floor: Targeted and Intersectional Application</w:t>
      </w:r>
    </w:p>
    <w:p>
      <w:pPr>
        <w:pStyle w:val="Normal"/>
        <w:widowControl/>
        <w:rPr/>
      </w:pPr>
      <w:r>
        <w:rPr/>
        <w:t>In applying this mechanism, competent authorities shall account for materially distinct and intersectional forms of harm where generic treatment would make the protection ineffective. Targeted safeguards may address the particular context identified by the evidence, but shall not define another protected group downward or authorize unequal treatment unrelated to a legitimate and proportionate objective.</w:t>
      </w:r>
    </w:p>
    <w:p>
      <w:pPr>
        <w:pStyle w:val="Heading3"/>
        <w:keepNext/>
        <w:widowControl/>
        <w:rPr/>
      </w:pPr>
      <w:r>
        <w:rPr/>
        <w:t>HR4-146. Sensitive-Data Heightened Safeguards: Scope and Protected Interest</w:t>
      </w:r>
    </w:p>
    <w:p>
      <w:pPr>
        <w:pStyle w:val="Normal"/>
        <w:widowControl/>
        <w:rPr/>
      </w:pPr>
      <w:r>
        <w:rPr/>
        <w:t>For purposes of this Framework, the Parties recognize the protected interest addressed by Sensitive-Data Heightened Safeguards and shall apply this Article to treaty-linked governmental measures, programs, administration and covered economic activity where that interest is materially affected. The Parties shall use necessity, purpose limitation, data minimization, security, retention limits, transparency, correction and independent oversight appropriate to the sensitivity and use of the information.</w:t>
      </w:r>
    </w:p>
    <w:p>
      <w:pPr>
        <w:pStyle w:val="Heading3"/>
        <w:keepNext/>
        <w:widowControl/>
        <w:rPr/>
      </w:pPr>
      <w:r>
        <w:rPr/>
        <w:t>HR4-147. Sensitive-Data Heightened Safeguards: Minimum Reciprocal Floor</w:t>
      </w:r>
    </w:p>
    <w:p>
      <w:pPr>
        <w:pStyle w:val="Normal"/>
        <w:widowControl/>
        <w:rPr/>
      </w:pPr>
      <w:r>
        <w:rPr/>
        <w:t>Each Party shall maintain, through its constitutionally competent authorities and lawful institutions, a minimum effective floor under which it shall use necessity, purpose limitation, data minimization, security, retention limits, transparency, correction and independent oversight appropriate to the sensitivity and use of the information. A Party may use different legal or institutional means where those means provide functionally equivalent or stronger protection.</w:t>
      </w:r>
    </w:p>
    <w:p>
      <w:pPr>
        <w:pStyle w:val="Heading3"/>
        <w:keepNext/>
        <w:widowControl/>
        <w:rPr/>
      </w:pPr>
      <w:r>
        <w:rPr/>
        <w:t>HR4-148. Sensitive-Data Heightened Safeguards: Non-Circumvention, Review and Remedy</w:t>
      </w:r>
    </w:p>
    <w:p>
      <w:pPr>
        <w:pStyle w:val="Normal"/>
        <w:widowControl/>
        <w:rPr/>
      </w:pPr>
      <w:r>
        <w:rPr/>
        <w:t>A Party shall not defeat this protection through relabeling, proxy action, outsourcing, serial temporary measures, selective enforcement or another functional substitute. A materially affected person or competent representative shall have access to an appropriate avenue for review or correction under applicable law. Cure shall be proportionate and rights-preserving and shall not, by itself, create a private cause of action under this Agreement.</w:t>
      </w:r>
    </w:p>
    <w:p>
      <w:pPr>
        <w:pStyle w:val="Heading3"/>
        <w:keepNext/>
        <w:widowControl/>
        <w:rPr/>
      </w:pPr>
      <w:r>
        <w:rPr/>
        <w:t>HR4-149. Government Access And Surveillance Safeguards: Scope and Protected Interest</w:t>
      </w:r>
    </w:p>
    <w:p>
      <w:pPr>
        <w:pStyle w:val="Normal"/>
        <w:widowControl/>
        <w:rPr/>
      </w:pPr>
      <w:r>
        <w:rPr/>
        <w:t>For purposes of this Framework, the Parties recognize the protected interest addressed by Government Access And Surveillance Safeguards and shall apply this Article to treaty-linked governmental measures, programs, administration and covered economic activity where that interest is materially affected. The Parties shall apply heightened necessity, proportionality, accuracy, bias testing, authorization, logging, retention and review safeguards to intrusive or identity-sensitive technologies.</w:t>
      </w:r>
    </w:p>
    <w:p>
      <w:pPr>
        <w:pStyle w:val="Heading3"/>
        <w:keepNext/>
        <w:widowControl/>
        <w:rPr/>
      </w:pPr>
      <w:r>
        <w:rPr/>
        <w:t>HR4-150. Government Access And Surveillance Safeguards: Minimum Reciprocal Floor</w:t>
      </w:r>
    </w:p>
    <w:p>
      <w:pPr>
        <w:pStyle w:val="Normal"/>
        <w:widowControl/>
        <w:rPr/>
      </w:pPr>
      <w:r>
        <w:rPr/>
        <w:t>Each Party shall maintain, through its constitutionally competent authorities and lawful institutions, a minimum effective floor under which it shall apply heightened necessity, proportionality, accuracy, bias testing, authorization, logging, retention and review safeguards to intrusive or identity-sensitive technologies. A Party may use different legal or institutional means where those means provide functionally equivalent or stronger protection.</w:t>
      </w:r>
    </w:p>
    <w:p>
      <w:pPr>
        <w:pStyle w:val="Heading3"/>
        <w:keepNext/>
        <w:widowControl/>
        <w:rPr/>
      </w:pPr>
      <w:r>
        <w:rPr/>
        <w:t>HR4-151. Government Access And Surveillance Safeguards: Non-Circumvention, Review and Remedy</w:t>
      </w:r>
    </w:p>
    <w:p>
      <w:pPr>
        <w:pStyle w:val="Normal"/>
        <w:widowControl/>
        <w:rPr/>
      </w:pPr>
      <w:r>
        <w:rPr/>
        <w:t>A Party shall not defeat this protection through relabeling, proxy action, outsourcing, serial temporary measures, selective enforcement or another functional substitute. A materially affected person or competent representative shall have access to an appropriate avenue for review or correction under applicable law. Cure shall be proportionate and rights-preserving and shall not, by itself, create a private cause of action under this Agreement.</w:t>
      </w:r>
    </w:p>
    <w:p>
      <w:pPr>
        <w:pStyle w:val="Heading3"/>
        <w:keepNext/>
        <w:widowControl/>
        <w:rPr/>
      </w:pPr>
      <w:r>
        <w:rPr/>
        <w:t>HR4-152. Automated High-Impact Decision Safeguards: Scope and Protected Interest</w:t>
      </w:r>
    </w:p>
    <w:p>
      <w:pPr>
        <w:pStyle w:val="Normal"/>
        <w:widowControl/>
        <w:rPr/>
      </w:pPr>
      <w:r>
        <w:rPr/>
        <w:t>For purposes of this Framework, the Parties recognize the protected interest addressed by Automated High-Impact Decision Safeguards and shall apply this Article to treaty-linked governmental measures, programs, administration and covered economic activity where that interest is materially affected. The Parties shall require meaningful human responsibility for high-impact decisions, testing for discriminatory proxies, intelligible reasons where appropriate, correction pathways and appeal or review.</w:t>
      </w:r>
    </w:p>
    <w:p>
      <w:pPr>
        <w:pStyle w:val="Heading3"/>
        <w:keepNext/>
        <w:widowControl/>
        <w:rPr/>
      </w:pPr>
      <w:r>
        <w:rPr/>
        <w:t>HR4-153. Automated High-Impact Decision Safeguards: Minimum Reciprocal Floor</w:t>
      </w:r>
    </w:p>
    <w:p>
      <w:pPr>
        <w:pStyle w:val="Normal"/>
        <w:widowControl/>
        <w:rPr/>
      </w:pPr>
      <w:r>
        <w:rPr/>
        <w:t>Each Party shall maintain, through its constitutionally competent authorities and lawful institutions, a minimum effective floor under which it shall require meaningful human responsibility for high-impact decisions, testing for discriminatory proxies, intelligible reasons where appropriate, correction pathways and appeal or review. A Party may use different legal or institutional means where those means provide functionally equivalent or stronger protection.</w:t>
      </w:r>
    </w:p>
    <w:p>
      <w:pPr>
        <w:pStyle w:val="Heading3"/>
        <w:keepNext/>
        <w:widowControl/>
        <w:rPr/>
      </w:pPr>
      <w:r>
        <w:rPr/>
        <w:t>HR4-154. Automated High-Impact Decision Safeguards: Non-Circumvention, Review and Remedy</w:t>
      </w:r>
    </w:p>
    <w:p>
      <w:pPr>
        <w:pStyle w:val="Normal"/>
        <w:widowControl/>
        <w:rPr/>
      </w:pPr>
      <w:r>
        <w:rPr/>
        <w:t>A Party shall not defeat this protection through relabeling, proxy action, outsourcing, serial temporary measures, selective enforcement or another functional substitute. A materially affected person or competent representative shall have access to an appropriate avenue for review or correction under applicable law. Cure shall be proportionate and rights-preserving and shall not, by itself, create a private cause of action under this Agreement.</w:t>
      </w:r>
    </w:p>
    <w:p>
      <w:pPr>
        <w:pStyle w:val="Heading3"/>
        <w:keepNext/>
        <w:widowControl/>
        <w:rPr/>
      </w:pPr>
      <w:r>
        <w:rPr/>
        <w:t>HR4-155. Algorithmic Discrimination And Proxy Protection: Scope and Protected Interest</w:t>
      </w:r>
    </w:p>
    <w:p>
      <w:pPr>
        <w:pStyle w:val="Normal"/>
        <w:widowControl/>
        <w:rPr/>
      </w:pPr>
      <w:r>
        <w:rPr/>
        <w:t>For purposes of this Framework, the Parties recognize the protected interest addressed by Algorithmic Discrimination And Proxy Protection and shall apply this Article to treaty-linked governmental measures, programs, administration and covered economic activity where that interest is materially affected. The Parties shall require meaningful human responsibility for high-impact decisions, testing for discriminatory proxies, intelligible reasons where appropriate, correction pathways and appeal or review.</w:t>
      </w:r>
    </w:p>
    <w:p>
      <w:pPr>
        <w:pStyle w:val="Heading3"/>
        <w:keepNext/>
        <w:widowControl/>
        <w:rPr/>
      </w:pPr>
      <w:r>
        <w:rPr/>
        <w:t>HR4-156. Algorithmic Discrimination And Proxy Protection: Minimum Reciprocal Floor</w:t>
      </w:r>
    </w:p>
    <w:p>
      <w:pPr>
        <w:pStyle w:val="Normal"/>
        <w:widowControl/>
        <w:rPr/>
      </w:pPr>
      <w:r>
        <w:rPr/>
        <w:t>Each Party shall maintain, through its constitutionally competent authorities and lawful institutions, a minimum effective floor under which it shall require meaningful human responsibility for high-impact decisions, testing for discriminatory proxies, intelligible reasons where appropriate, correction pathways and appeal or review. A Party may use different legal or institutional means where those means provide functionally equivalent or stronger protection.</w:t>
      </w:r>
    </w:p>
    <w:p>
      <w:pPr>
        <w:pStyle w:val="Heading3"/>
        <w:keepNext/>
        <w:widowControl/>
        <w:rPr/>
      </w:pPr>
      <w:r>
        <w:rPr/>
        <w:t>HR4-157. Algorithmic Discrimination And Proxy Protection: Non-Circumvention, Review and Remedy</w:t>
      </w:r>
    </w:p>
    <w:p>
      <w:pPr>
        <w:pStyle w:val="Normal"/>
        <w:widowControl/>
        <w:rPr/>
      </w:pPr>
      <w:r>
        <w:rPr/>
        <w:t>A Party shall not defeat this protection through relabeling, proxy action, outsourcing, serial temporary measures, selective enforcement or another functional substitute. A materially affected person or competent representative shall have access to an appropriate avenue for review or correction under applicable law. Cure shall be proportionate and rights-preserving and shall not, by itself, create a private cause of action under this Agreement.</w:t>
      </w:r>
    </w:p>
    <w:p>
      <w:pPr>
        <w:pStyle w:val="Heading3"/>
        <w:keepNext/>
        <w:widowControl/>
        <w:rPr/>
      </w:pPr>
      <w:r>
        <w:rPr/>
        <w:t>HR4-158. Cross-Border Data Transfer Rights Firewall: Scope and Protected Interest</w:t>
      </w:r>
    </w:p>
    <w:p>
      <w:pPr>
        <w:pStyle w:val="Normal"/>
        <w:widowControl/>
        <w:rPr/>
      </w:pPr>
      <w:r>
        <w:rPr/>
        <w:t>For purposes of this Framework, the Parties recognize the protected interest addressed by Cross-Border Data Transfer Rights Firewall and shall apply this Article to treaty-linked governmental measures, programs, administration and covered economic activity where that interest is materially affected. The Parties shall use necessity, purpose limitation, data minimization, security, retention limits, transparency, correction and independent oversight appropriate to the sensitivity and use of the information.</w:t>
      </w:r>
    </w:p>
    <w:p>
      <w:pPr>
        <w:pStyle w:val="Heading3"/>
        <w:keepNext/>
        <w:widowControl/>
        <w:rPr/>
      </w:pPr>
      <w:r>
        <w:rPr/>
        <w:t>HR4-159. Cross-Border Data Transfer Rights Firewall: Minimum Reciprocal Floor</w:t>
      </w:r>
    </w:p>
    <w:p>
      <w:pPr>
        <w:pStyle w:val="Normal"/>
        <w:widowControl/>
        <w:rPr/>
      </w:pPr>
      <w:r>
        <w:rPr/>
        <w:t>Each Party shall maintain, through its constitutionally competent authorities and lawful institutions, a minimum effective floor under which it shall use necessity, purpose limitation, data minimization, security, retention limits, transparency, correction and independent oversight appropriate to the sensitivity and use of the information. A Party may use different legal or institutional means where those means provide functionally equivalent or stronger protection.</w:t>
      </w:r>
    </w:p>
    <w:p>
      <w:pPr>
        <w:pStyle w:val="Heading3"/>
        <w:keepNext/>
        <w:widowControl/>
        <w:rPr/>
      </w:pPr>
      <w:r>
        <w:rPr/>
        <w:t>HR4-160. Cross-Border Data Transfer Rights Firewall: Non-Circumvention, Review and Remedy</w:t>
      </w:r>
    </w:p>
    <w:p>
      <w:pPr>
        <w:pStyle w:val="Normal"/>
        <w:widowControl/>
        <w:rPr/>
      </w:pPr>
      <w:r>
        <w:rPr/>
        <w:t>A Party shall not defeat this protection through relabeling, proxy action, outsourcing, serial temporary measures, selective enforcement or another functional substitute. A materially affected person or competent representative shall have access to an appropriate avenue for review or correction under applicable law. Cure shall be proportionate and rights-preserving and shall not, by itself, create a private cause of action under this Agreement.</w:t>
      </w:r>
    </w:p>
    <w:p>
      <w:bookmarkStart w:id="3123" w:name="_NAESTMA_TOC_3123"/>
      <w:pPr>
        <w:pStyle w:val="Heading2"/>
        <w:keepNext/>
        <w:widowControl/>
        <w:rPr/>
      </w:pPr>
      <w:r>
        <w:rPr/>
        <w:t>CL-12. BUSINESS, CORPORATE AND SUPPLY-CHAIN HUMAN RIGHTS</w:t>
      </w:r>
      <w:bookmarkEnd w:id="3123"/>
    </w:p>
    <w:p>
      <w:pPr>
        <w:pStyle w:val="Normal"/>
        <w:widowControl/>
        <w:rPr/>
      </w:pPr>
      <w:r>
        <w:rPr/>
        <w:t>Application. Mixed Mandatory/Flexible Architecture. Provisions in this Section retain the Round-Three temperature assigned to their source mechanism and are interpreted through Articles CL-1 through CL-5.</w:t>
      </w:r>
    </w:p>
    <w:p>
      <w:pPr>
        <w:pStyle w:val="Heading3"/>
        <w:keepNext/>
        <w:widowControl/>
        <w:rPr/>
      </w:pPr>
      <w:r>
        <w:rPr/>
        <w:t>HR4-161. Modern-Slavery And Forced-Labour Supply-Chain Controls: Scope and Protected Interest</w:t>
      </w:r>
    </w:p>
    <w:p>
      <w:pPr>
        <w:pStyle w:val="Normal"/>
        <w:widowControl/>
        <w:rPr/>
      </w:pPr>
      <w:r>
        <w:rPr/>
        <w:t>For purposes of this Framework, the Parties recognize the protected interest addressed by Modern-Slavery And Forced-Labour Supply-Chain Controls and shall apply this Article to treaty-linked governmental measures, programs, administration and covered economic activity where that interest is materially affected. The Parties shall prohibit forced or compulsory labour and the worst forms of child labour, support traceability and remediation, and avoid punishing victims for coercion imposed upon them.</w:t>
      </w:r>
    </w:p>
    <w:p>
      <w:pPr>
        <w:pStyle w:val="Heading3"/>
        <w:keepNext/>
        <w:widowControl/>
        <w:rPr/>
      </w:pPr>
      <w:r>
        <w:rPr/>
        <w:t>HR4-162. Modern-Slavery And Forced-Labour Supply-Chain Controls: Minimum Reciprocal Floor</w:t>
      </w:r>
    </w:p>
    <w:p>
      <w:pPr>
        <w:pStyle w:val="Normal"/>
        <w:widowControl/>
        <w:rPr/>
      </w:pPr>
      <w:r>
        <w:rPr/>
        <w:t>Each Party shall maintain, through its constitutionally competent authorities and lawful institutions, a minimum effective floor under which it shall prohibit forced or compulsory labour and the worst forms of child labour, support traceability and remediation, and avoid punishing victims for coercion imposed upon them. A Party may use different legal or institutional means where those means provide functionally equivalent or stronger protection.</w:t>
      </w:r>
    </w:p>
    <w:p>
      <w:pPr>
        <w:pStyle w:val="Heading3"/>
        <w:keepNext/>
        <w:widowControl/>
        <w:rPr/>
      </w:pPr>
      <w:r>
        <w:rPr/>
        <w:t>HR4-163. Modern-Slavery And Forced-Labour Supply-Chain Controls: Non-Circumvention, Review and Remedy</w:t>
      </w:r>
    </w:p>
    <w:p>
      <w:pPr>
        <w:pStyle w:val="Normal"/>
        <w:widowControl/>
        <w:rPr/>
      </w:pPr>
      <w:r>
        <w:rPr/>
        <w:t>A Party shall not defeat this protection through relabeling, proxy action, outsourcing, serial temporary measures, selective enforcement or another functional substitute. A materially affected person or competent representative shall have access to an appropriate avenue for review or correction under applicable law. Cure shall be proportionate and rights-preserving and shall not, by itself, create a private cause of action under this Agreement.</w:t>
      </w:r>
    </w:p>
    <w:p>
      <w:pPr>
        <w:pStyle w:val="Heading3"/>
        <w:keepNext/>
        <w:widowControl/>
        <w:rPr/>
      </w:pPr>
      <w:r>
        <w:rPr/>
        <w:t>HR4-164. Whistleblower And Defender Protection: Scope and Protected Interest</w:t>
      </w:r>
    </w:p>
    <w:p>
      <w:pPr>
        <w:pStyle w:val="Normal"/>
        <w:widowControl/>
        <w:rPr/>
      </w:pPr>
      <w:r>
        <w:rPr/>
        <w:t>For purposes of this Framework, the Parties recognize the protected interest addressed by Whistleblower And Defender Protection and shall apply this Article to treaty-linked governmental measures, programs, administration and covered economic activity where that interest is materially affected. The Parties shall protect good-faith reporting and advocacy from retaliation, threats and abusive process while preserving safeguards against knowingly false or unlawful conduct.</w:t>
      </w:r>
    </w:p>
    <w:p>
      <w:pPr>
        <w:pStyle w:val="Heading3"/>
        <w:keepNext/>
        <w:widowControl/>
        <w:rPr/>
      </w:pPr>
      <w:r>
        <w:rPr/>
        <w:t>HR4-165. Whistleblower And Defender Protection: Minimum Reciprocal Floor</w:t>
      </w:r>
    </w:p>
    <w:p>
      <w:pPr>
        <w:pStyle w:val="Normal"/>
        <w:widowControl/>
        <w:rPr/>
      </w:pPr>
      <w:r>
        <w:rPr/>
        <w:t>Each Party shall maintain, through its constitutionally competent authorities and lawful institutions, a minimum effective floor under which it shall protect good-faith reporting and advocacy from retaliation, threats and abusive process while preserving safeguards against knowingly false or unlawful conduct. A Party may use different legal or institutional means where those means provide functionally equivalent or stronger protection.</w:t>
      </w:r>
    </w:p>
    <w:p>
      <w:pPr>
        <w:pStyle w:val="Heading3"/>
        <w:keepNext/>
        <w:widowControl/>
        <w:rPr/>
      </w:pPr>
      <w:r>
        <w:rPr/>
        <w:t>HR4-166. Whistleblower And Defender Protection: Non-Circumvention, Review and Remedy</w:t>
      </w:r>
    </w:p>
    <w:p>
      <w:pPr>
        <w:pStyle w:val="Normal"/>
        <w:widowControl/>
        <w:rPr/>
      </w:pPr>
      <w:r>
        <w:rPr/>
        <w:t>A Party shall not defeat this protection through relabeling, proxy action, outsourcing, serial temporary measures, selective enforcement or another functional substitute. A materially affected person or competent representative shall have access to an appropriate avenue for review or correction under applicable law. Cure shall be proportionate and rights-preserving and shall not, by itself, create a private cause of action under this Agreement.</w:t>
      </w:r>
    </w:p>
    <w:p>
      <w:bookmarkStart w:id="3124" w:name="_NAESTMA_TOC_3124"/>
      <w:pPr>
        <w:pStyle w:val="Heading2"/>
        <w:keepNext/>
        <w:widowControl/>
        <w:rPr/>
      </w:pPr>
      <w:r>
        <w:rPr/>
        <w:t>CL-13. ENVIRONMENTAL AND COMMUNITY RIGHTS</w:t>
      </w:r>
      <w:bookmarkEnd w:id="3124"/>
    </w:p>
    <w:p>
      <w:pPr>
        <w:pStyle w:val="Normal"/>
        <w:widowControl/>
        <w:rPr/>
      </w:pPr>
      <w:r>
        <w:rPr/>
        <w:t>Application. Mixed Mandatory/Flexible Architecture. Provisions in this Section retain the Round-Three temperature assigned to their source mechanism and are interpreted through Articles CL-1 through CL-5.</w:t>
      </w:r>
    </w:p>
    <w:p>
      <w:pPr>
        <w:pStyle w:val="Heading3"/>
        <w:keepNext/>
        <w:widowControl/>
        <w:rPr/>
      </w:pPr>
      <w:r>
        <w:rPr/>
        <w:t>HR4-167. Environmental Non-Regression And Enforcement: Scope and Protected Interest</w:t>
      </w:r>
    </w:p>
    <w:p>
      <w:pPr>
        <w:pStyle w:val="Normal"/>
        <w:widowControl/>
        <w:rPr/>
      </w:pPr>
      <w:r>
        <w:rPr/>
        <w:t>For purposes of this Framework, the Parties recognize the protected interest addressed by Environmental Non-Regression And Enforcement and shall apply this Article to treaty-linked governmental measures, programs, administration and covered economic activity where that interest is materially affected. The Parties shall require necessity, proportionality, de-escalation where feasible, medical response, incident documentation and independent review of serious uses of force.</w:t>
      </w:r>
    </w:p>
    <w:p>
      <w:pPr>
        <w:pStyle w:val="Heading3"/>
        <w:keepNext/>
        <w:widowControl/>
        <w:rPr/>
      </w:pPr>
      <w:r>
        <w:rPr/>
        <w:t>HR4-168. Environmental Non-Regression And Enforcement: Minimum Reciprocal Floor</w:t>
      </w:r>
    </w:p>
    <w:p>
      <w:pPr>
        <w:pStyle w:val="Normal"/>
        <w:widowControl/>
        <w:rPr/>
      </w:pPr>
      <w:r>
        <w:rPr/>
        <w:t>Each Party shall maintain, through its constitutionally competent authorities and lawful institutions, a minimum effective floor under which it shall require necessity, proportionality, de-escalation where feasible, medical response, incident documentation and independent review of serious uses of force. A Party may use different legal or institutional means where those means provide functionally equivalent or stronger protection.</w:t>
      </w:r>
    </w:p>
    <w:p>
      <w:pPr>
        <w:pStyle w:val="Heading3"/>
        <w:keepNext/>
        <w:widowControl/>
        <w:rPr/>
      </w:pPr>
      <w:r>
        <w:rPr/>
        <w:t>HR4-169. Environmental Non-Regression And Enforcement: Non-Circumvention, Review and Remedy</w:t>
      </w:r>
    </w:p>
    <w:p>
      <w:pPr>
        <w:pStyle w:val="Normal"/>
        <w:widowControl/>
        <w:rPr/>
      </w:pPr>
      <w:r>
        <w:rPr/>
        <w:t>A Party shall not defeat this protection through relabeling, proxy action, outsourcing, serial temporary measures, selective enforcement or another functional substitute. A materially affected person or competent representative shall have access to an appropriate avenue for review or correction under applicable law. Cure shall be proportionate and rights-preserving and shall not, by itself, create a private cause of action under this Agreement.</w:t>
      </w:r>
    </w:p>
    <w:p>
      <w:pPr>
        <w:pStyle w:val="Heading3"/>
        <w:keepNext/>
        <w:widowControl/>
        <w:rPr/>
      </w:pPr>
      <w:r>
        <w:rPr/>
        <w:t>HR4-170. Right-To-Regulate And Precautionary Protection: Scope and Protected Interest</w:t>
      </w:r>
    </w:p>
    <w:p>
      <w:pPr>
        <w:pStyle w:val="Normal"/>
        <w:widowControl/>
        <w:rPr/>
      </w:pPr>
      <w:r>
        <w:rPr/>
        <w:t>For purposes of this Framework, the Parties recognize the protected interest addressed by Right-To-Regulate And Precautionary Protection and shall apply this Article to treaty-linked governmental measures, programs, administration and covered economic activity where that interest is materially affected. The Parties shall translate the mechanism into a narrow treaty-linked obligation, preserve stronger domestic protections, and avoid creating rights or liabilities beyond what the Parties expressly adopt.</w:t>
      </w:r>
    </w:p>
    <w:p>
      <w:pPr>
        <w:pStyle w:val="Heading3"/>
        <w:keepNext/>
        <w:widowControl/>
        <w:rPr/>
      </w:pPr>
      <w:r>
        <w:rPr/>
        <w:t>HR4-171. Right-To-Regulate And Precautionary Protection: Minimum Reciprocal Floor</w:t>
      </w:r>
    </w:p>
    <w:p>
      <w:pPr>
        <w:pStyle w:val="Normal"/>
        <w:widowControl/>
        <w:rPr/>
      </w:pPr>
      <w:r>
        <w:rPr/>
        <w:t>Each Party shall maintain, through its constitutionally competent authorities and lawful institutions, a minimum effective floor under which it shall translate the mechanism into a narrow treaty-linked obligation, preserve stronger domestic protections, and avoid creating rights or liabilities beyond what the Parties expressly adopt. A Party may use different legal or institutional means where those means provide functionally equivalent or stronger protection.</w:t>
      </w:r>
    </w:p>
    <w:p>
      <w:pPr>
        <w:pStyle w:val="Heading3"/>
        <w:keepNext/>
        <w:widowControl/>
        <w:rPr/>
      </w:pPr>
      <w:r>
        <w:rPr/>
        <w:t>HR4-172. Right-To-Regulate And Precautionary Protection: Non-Circumvention, Review and Remedy</w:t>
      </w:r>
    </w:p>
    <w:p>
      <w:pPr>
        <w:pStyle w:val="Normal"/>
        <w:widowControl/>
        <w:rPr/>
      </w:pPr>
      <w:r>
        <w:rPr/>
        <w:t>A Party shall not defeat this protection through relabeling, proxy action, outsourcing, serial temporary measures, selective enforcement or another functional substitute. A materially affected person or competent representative shall have access to an appropriate avenue for review or correction under applicable law. Cure shall be proportionate and rights-preserving and shall not, by itself, create a private cause of action under this Agreement.</w:t>
      </w:r>
    </w:p>
    <w:p>
      <w:pPr>
        <w:pStyle w:val="Heading3"/>
        <w:keepNext/>
        <w:widowControl/>
        <w:rPr/>
      </w:pPr>
      <w:r>
        <w:rPr/>
        <w:t>HR4-173. Public Participation And Environmental Information: Scope and Protected Interest</w:t>
      </w:r>
    </w:p>
    <w:p>
      <w:pPr>
        <w:pStyle w:val="Normal"/>
        <w:widowControl/>
        <w:rPr/>
      </w:pPr>
      <w:r>
        <w:rPr/>
        <w:t>For purposes of this Framework, the Parties recognize the protected interest addressed by Public Participation And Environmental Information and shall apply this Article to treaty-linked governmental measures, programs, administration and covered economic activity where that interest is materially affected. The Parties shall preserve each Party’s chosen level of environmental protection, prevent trade-driven non-enforcement or regression, and support evidence-based participation, conservation and transition cooperation.</w:t>
      </w:r>
    </w:p>
    <w:p>
      <w:pPr>
        <w:pStyle w:val="Heading3"/>
        <w:keepNext/>
        <w:widowControl/>
        <w:rPr/>
      </w:pPr>
      <w:r>
        <w:rPr/>
        <w:t>HR4-174. Public Participation And Environmental Information: Minimum Reciprocal Floor</w:t>
      </w:r>
    </w:p>
    <w:p>
      <w:pPr>
        <w:pStyle w:val="Normal"/>
        <w:widowControl/>
        <w:rPr/>
      </w:pPr>
      <w:r>
        <w:rPr/>
        <w:t>Each Party shall maintain, through its constitutionally competent authorities and lawful institutions, a minimum effective floor under which it shall preserve each Party’s chosen level of environmental protection, prevent trade-driven non-enforcement or regression, and support evidence-based participation, conservation and transition cooperation. A Party may use different legal or institutional means where those means provide functionally equivalent or stronger protection.</w:t>
      </w:r>
    </w:p>
    <w:p>
      <w:pPr>
        <w:pStyle w:val="Heading3"/>
        <w:keepNext/>
        <w:widowControl/>
        <w:rPr/>
      </w:pPr>
      <w:r>
        <w:t>HR4-175. A Party shall not defeat this protection through relabeling, proxy action, outsourcing, serial temporary measures, selective enforcement or another functional substitute</w:t>
      </w:r>
    </w:p>
    <w:p>
      <w:pPr>
        <w:pStyle w:val="Normal"/>
        <w:widowControl/>
        <w:rPr/>
      </w:pPr>
      <w:r>
        <w:rPr/>
        <w:t>A Party shall not defeat this protection through relabeling, proxy action, outsourcing, serial temporary measures, selective enforcement or another functional substitute. A materially affected person or competent representative shall have access to an appropriate avenue for review or correction under applicable law. Cure shall be proportionate and rights-preserving and shall not, by itself, create a private cause of action under this Agreement.</w:t>
      </w:r>
    </w:p>
    <w:p>
      <w:pPr>
        <w:pStyle w:val="Heading3"/>
        <w:keepNext/>
        <w:widowControl/>
        <w:rPr/>
      </w:pPr>
      <w:r>
        <w:rPr/>
        <w:t>HR4-176. Environmental Defender Protection: Scope and Protected Interest</w:t>
      </w:r>
    </w:p>
    <w:p>
      <w:pPr>
        <w:pStyle w:val="Normal"/>
        <w:widowControl/>
        <w:rPr/>
      </w:pPr>
      <w:r>
        <w:rPr/>
        <w:t>For purposes of this Framework, the Parties recognize the protected interest addressed by Environmental Defender Protection and shall apply this Article to treaty-linked governmental measures, programs, administration and covered economic activity where that interest is materially affected. The Parties shall protect good-faith reporting and advocacy from retaliation, threats and abusive process while preserving safeguards against knowingly false or unlawful conduct.</w:t>
      </w:r>
    </w:p>
    <w:p>
      <w:pPr>
        <w:pStyle w:val="Heading3"/>
        <w:keepNext/>
        <w:widowControl/>
        <w:rPr/>
      </w:pPr>
      <w:r>
        <w:rPr/>
        <w:t>HR4-177. Environmental Defender Protection: Minimum Reciprocal Floor</w:t>
      </w:r>
    </w:p>
    <w:p>
      <w:pPr>
        <w:pStyle w:val="Normal"/>
        <w:widowControl/>
        <w:rPr/>
      </w:pPr>
      <w:r>
        <w:rPr/>
        <w:t>Each Party shall maintain, through its constitutionally competent authorities and lawful institutions, a minimum effective floor under which it shall protect good-faith reporting and advocacy from retaliation, threats and abusive process while preserving safeguards against knowingly false or unlawful conduct. A Party may use different legal or institutional means where those means provide functionally equivalent or stronger protection.</w:t>
      </w:r>
    </w:p>
    <w:p>
      <w:pPr>
        <w:pStyle w:val="Heading3"/>
        <w:keepNext/>
        <w:widowControl/>
        <w:rPr/>
      </w:pPr>
      <w:r>
        <w:rPr/>
        <w:t>HR4-178. Environmental Defender Protection: Non-Circumvention, Review and Remedy</w:t>
      </w:r>
    </w:p>
    <w:p>
      <w:pPr>
        <w:pStyle w:val="Normal"/>
        <w:widowControl/>
        <w:rPr/>
      </w:pPr>
      <w:r>
        <w:rPr/>
        <w:t>A Party shall not defeat this protection through relabeling, proxy action, outsourcing, serial temporary measures, selective enforcement or another functional substitute. A materially affected person or competent representative shall have access to an appropriate avenue for review or correction under applicable law. Cure shall be proportionate and rights-preserving and shall not, by itself, create a private cause of action under this Agreement.</w:t>
      </w:r>
    </w:p>
    <w:p>
      <w:pPr>
        <w:pStyle w:val="Heading3"/>
        <w:keepNext/>
        <w:widowControl/>
        <w:rPr/>
      </w:pPr>
      <w:r>
        <w:rPr/>
        <w:t>HR4-179. Biodiversity, Habitat And Species Protection: Scope and Protected Interest</w:t>
      </w:r>
    </w:p>
    <w:p>
      <w:pPr>
        <w:pStyle w:val="Normal"/>
        <w:widowControl/>
        <w:rPr/>
      </w:pPr>
      <w:r>
        <w:rPr/>
        <w:t>For purposes of this Framework, the Parties recognize the protected interest addressed by Biodiversity, Habitat And Species Protection and shall apply this Article to treaty-linked governmental measures, programs, administration and covered economic activity where that interest is materially affected. The Parties shall preserve each Party’s chosen level of environmental protection, prevent trade-driven non-enforcement or regression, and support evidence-based participation, conservation and transition cooperation.</w:t>
      </w:r>
    </w:p>
    <w:p>
      <w:pPr>
        <w:pStyle w:val="Heading3"/>
        <w:keepNext/>
        <w:widowControl/>
        <w:rPr/>
      </w:pPr>
      <w:r>
        <w:rPr/>
        <w:t>HR4-180. Biodiversity, Habitat And Species Protection: Minimum Reciprocal Floor</w:t>
      </w:r>
    </w:p>
    <w:p>
      <w:pPr>
        <w:pStyle w:val="Normal"/>
        <w:widowControl/>
        <w:rPr/>
      </w:pPr>
      <w:r>
        <w:rPr/>
        <w:t>Each Party shall maintain, through its constitutionally competent authorities and lawful institutions, a minimum effective floor under which it shall preserve each Party’s chosen level of environmental protection, prevent trade-driven non-enforcement or regression, and support evidence-based participation, conservation and transition cooperation. A Party may use different legal or institutional means where those means provide functionally equivalent or stronger protection.</w:t>
      </w:r>
    </w:p>
    <w:p>
      <w:pPr>
        <w:pStyle w:val="Heading3"/>
        <w:keepNext/>
        <w:widowControl/>
        <w:rPr/>
      </w:pPr>
      <w:r>
        <w:rPr/>
        <w:t>HR4-181. Biodiversity, Habitat And Species Protection: Non-Circumvention, Review and Remedy</w:t>
      </w:r>
    </w:p>
    <w:p>
      <w:pPr>
        <w:pStyle w:val="Normal"/>
        <w:widowControl/>
        <w:rPr/>
      </w:pPr>
      <w:r>
        <w:rPr/>
        <w:t>A Party shall not defeat this protection through relabeling, proxy action, outsourcing, serial temporary measures, selective enforcement or another functional substitute. A materially affected person or competent representative shall have access to an appropriate avenue for review or correction under applicable law. Cure shall be proportionate and rights-preserving and shall not, by itself, create a private cause of action under this Agreement.</w:t>
      </w:r>
    </w:p>
    <w:p>
      <w:pPr>
        <w:pStyle w:val="Heading3"/>
        <w:keepNext/>
        <w:widowControl/>
        <w:rPr/>
      </w:pPr>
      <w:r>
        <w:rPr/>
        <w:t>HR4-182. Biodiversity, Habitat And Species Protection: Targeted and Intersectional Application</w:t>
      </w:r>
    </w:p>
    <w:p>
      <w:pPr>
        <w:pStyle w:val="Normal"/>
        <w:widowControl/>
        <w:rPr/>
      </w:pPr>
      <w:r>
        <w:rPr/>
        <w:t>In applying this mechanism, competent authorities shall account for materially distinct and intersectional forms of harm where generic treatment would make the protection ineffective. Targeted safeguards may address the particular context identified by the evidence, but shall not define another protected group downward or authorize unequal treatment unrelated to a legitimate and proportionate objective.</w:t>
      </w:r>
    </w:p>
    <w:p>
      <w:bookmarkStart w:id="3125" w:name="_NAESTMA_TOC_3125"/>
      <w:pPr>
        <w:pStyle w:val="Heading2"/>
        <w:keepNext/>
        <w:widowControl/>
        <w:rPr/>
      </w:pPr>
      <w:r>
        <w:rPr/>
        <w:t>CL-14. PUBLIC HEALTH, MEDICINES AND SOCIAL RESILIENCE</w:t>
      </w:r>
      <w:bookmarkEnd w:id="3125"/>
    </w:p>
    <w:p>
      <w:pPr>
        <w:pStyle w:val="Normal"/>
        <w:widowControl/>
        <w:rPr/>
      </w:pPr>
      <w:r>
        <w:rPr/>
        <w:t>Application. Mixed Mandatory/Flexible Architecture. Provisions in this Section retain the Round-Three temperature assigned to their source mechanism and are interpreted through Articles CL-1 through CL-5.</w:t>
      </w:r>
    </w:p>
    <w:p>
      <w:pPr>
        <w:pStyle w:val="Heading3"/>
        <w:keepNext/>
        <w:widowControl/>
        <w:rPr/>
      </w:pPr>
      <w:r>
        <w:rPr/>
        <w:t>HR4-183. Public-Health Regulatory Autonomy: Scope and Protected Interest</w:t>
      </w:r>
    </w:p>
    <w:p>
      <w:pPr>
        <w:pStyle w:val="Normal"/>
        <w:widowControl/>
        <w:rPr/>
      </w:pPr>
      <w:r>
        <w:rPr/>
        <w:t>For purposes of this Framework, the Parties recognize the protected interest addressed by Public-Health Regulatory Autonomy and shall apply this Article to treaty-linked governmental measures, programs, administration and covered economic activity where that interest is materially affected. The Parties shall preserve public-health and essential-service policy space, continuity during emergencies, nondiscriminatory access where trade rules are implicated, and safeguards for privacy, safety and legitimate regulation.</w:t>
      </w:r>
    </w:p>
    <w:p>
      <w:pPr>
        <w:pStyle w:val="Heading3"/>
        <w:keepNext/>
        <w:widowControl/>
        <w:rPr/>
      </w:pPr>
      <w:r>
        <w:rPr/>
        <w:t>HR4-184. Public-Health Regulatory Autonomy: Minimum Reciprocal Floor</w:t>
      </w:r>
    </w:p>
    <w:p>
      <w:pPr>
        <w:pStyle w:val="Normal"/>
        <w:widowControl/>
        <w:rPr/>
      </w:pPr>
      <w:r>
        <w:rPr/>
        <w:t>Each Party shall maintain, through its constitutionally competent authorities and lawful institutions, a minimum effective floor under which it shall preserve public-health and essential-service policy space, continuity during emergencies, nondiscriminatory access where trade rules are implicated, and safeguards for privacy, safety and legitimate regulation. A Party may use different legal or institutional means where those means provide functionally equivalent or stronger protection.</w:t>
      </w:r>
    </w:p>
    <w:p>
      <w:pPr>
        <w:pStyle w:val="Heading3"/>
        <w:keepNext/>
        <w:widowControl/>
        <w:rPr/>
      </w:pPr>
      <w:r>
        <w:rPr/>
        <w:t>HR4-185. Public-Health Regulatory Autonomy: Non-Circumvention, Review and Remedy</w:t>
      </w:r>
    </w:p>
    <w:p>
      <w:pPr>
        <w:pStyle w:val="Normal"/>
        <w:widowControl/>
        <w:rPr/>
      </w:pPr>
      <w:r>
        <w:rPr/>
        <w:t>A Party shall not defeat this protection through relabeling, proxy action, outsourcing, serial temporary measures, selective enforcement or another functional substitute. A materially affected person or competent representative shall have access to an appropriate avenue for review or correction under applicable law. Cure shall be proportionate and rights-preserving and shall not, by itself, create a private cause of action under this Agreement.</w:t>
      </w:r>
    </w:p>
    <w:p>
      <w:pPr>
        <w:pStyle w:val="Heading3"/>
        <w:keepNext/>
        <w:widowControl/>
        <w:rPr/>
      </w:pPr>
      <w:r>
        <w:rPr/>
        <w:t>HR4-186. Public-Health Regulatory Autonomy: Targeted and Intersectional Application</w:t>
      </w:r>
    </w:p>
    <w:p>
      <w:pPr>
        <w:pStyle w:val="Normal"/>
        <w:widowControl/>
        <w:rPr/>
      </w:pPr>
      <w:r>
        <w:rPr/>
        <w:t>In applying this mechanism, competent authorities shall account for materially distinct and intersectional forms of harm where generic treatment would make the protection ineffective. Targeted safeguards may address the particular context identified by the evidence, but shall not define another protected group downward or authorize unequal treatment unrelated to a legitimate and proportionate objective.</w:t>
      </w:r>
    </w:p>
    <w:p>
      <w:pPr>
        <w:pStyle w:val="Heading3"/>
        <w:keepNext/>
        <w:widowControl/>
        <w:rPr/>
      </w:pPr>
      <w:r>
        <w:rPr/>
        <w:t>HR4-187. Access-To-Medicines Safeguard: Scope and Protected Interest</w:t>
      </w:r>
    </w:p>
    <w:p>
      <w:pPr>
        <w:pStyle w:val="Normal"/>
        <w:widowControl/>
        <w:rPr/>
      </w:pPr>
      <w:r>
        <w:rPr/>
        <w:t>For purposes of this Framework, the Parties recognize the protected interest addressed by Access-To-Medicines Safeguard and shall apply this Article to treaty-linked governmental measures, programs, administration and covered economic activity where that interest is materially affected. The Parties shall preserve public-health and essential-service policy space, continuity during emergencies, nondiscriminatory access where trade rules are implicated, and safeguards for privacy, safety and legitimate regulation.</w:t>
      </w:r>
    </w:p>
    <w:p>
      <w:pPr>
        <w:pStyle w:val="Heading3"/>
        <w:keepNext/>
        <w:widowControl/>
        <w:rPr/>
      </w:pPr>
      <w:r>
        <w:rPr/>
        <w:t>HR4-188. Access-To-Medicines Safeguard: Minimum Reciprocal Floor</w:t>
      </w:r>
    </w:p>
    <w:p>
      <w:pPr>
        <w:pStyle w:val="Normal"/>
        <w:widowControl/>
        <w:rPr/>
      </w:pPr>
      <w:r>
        <w:rPr/>
        <w:t>Each Party shall maintain, through its constitutionally competent authorities and lawful institutions, a minimum effective floor under which it shall preserve public-health and essential-service policy space, continuity during emergencies, nondiscriminatory access where trade rules are implicated, and safeguards for privacy, safety and legitimate regulation. A Party may use different legal or institutional means where those means provide functionally equivalent or stronger protection.</w:t>
      </w:r>
    </w:p>
    <w:p>
      <w:pPr>
        <w:pStyle w:val="Heading3"/>
        <w:keepNext/>
        <w:widowControl/>
        <w:rPr/>
      </w:pPr>
      <w:r>
        <w:rPr/>
        <w:t>HR4-189. Access-To-Medicines Safeguard: Non-Circumvention, Review and Remedy</w:t>
      </w:r>
    </w:p>
    <w:p>
      <w:pPr>
        <w:pStyle w:val="Normal"/>
        <w:widowControl/>
        <w:rPr/>
      </w:pPr>
      <w:r>
        <w:rPr/>
        <w:t>A Party shall not defeat this protection through relabeling, proxy action, outsourcing, serial temporary measures, selective enforcement or another functional substitute. A materially affected person or competent representative shall have access to an appropriate avenue for review or correction under applicable law. Cure shall be proportionate and rights-preserving and shall not, by itself, create a private cause of action under this Agreement.</w:t>
      </w:r>
    </w:p>
    <w:p>
      <w:pPr>
        <w:pStyle w:val="Heading3"/>
        <w:keepNext/>
        <w:widowControl/>
        <w:rPr/>
      </w:pPr>
      <w:r>
        <w:rPr/>
        <w:t>HR4-190. Trade-Linked Healthcare Nondiscrimination: Scope and Protected Interest</w:t>
      </w:r>
    </w:p>
    <w:p>
      <w:pPr>
        <w:pStyle w:val="Normal"/>
        <w:widowControl/>
        <w:rPr/>
      </w:pPr>
      <w:r>
        <w:rPr/>
        <w:t>For purposes of this Framework, the Parties recognize the protected interest addressed by Trade-Linked Healthcare Nondiscrimination and shall apply this Article to treaty-linked governmental measures, programs, administration and covered economic activity where that interest is materially affected. The Parties shall cover direct, indirect, perceived, associative and intersectional discrimination where legally appropriate, with objective and proportionate exceptions narrowly construed.</w:t>
      </w:r>
    </w:p>
    <w:p>
      <w:pPr>
        <w:pStyle w:val="Heading3"/>
        <w:keepNext/>
        <w:widowControl/>
        <w:rPr/>
      </w:pPr>
      <w:r>
        <w:rPr/>
        <w:t>HR4-191. Trade-Linked Healthcare Nondiscrimination: Minimum Reciprocal Floor</w:t>
      </w:r>
    </w:p>
    <w:p>
      <w:pPr>
        <w:pStyle w:val="Normal"/>
        <w:widowControl/>
        <w:rPr/>
      </w:pPr>
      <w:r>
        <w:rPr/>
        <w:t>Each Party shall maintain, through its constitutionally competent authorities and lawful institutions, a minimum effective floor under which it shall cover direct, indirect, perceived, associative and intersectional discrimination where legally appropriate, with objective and proportionate exceptions narrowly construed. A Party may use different legal or institutional means where those means provide functionally equivalent or stronger protection.</w:t>
      </w:r>
    </w:p>
    <w:p>
      <w:pPr>
        <w:pStyle w:val="Heading3"/>
        <w:keepNext/>
        <w:widowControl/>
        <w:rPr/>
      </w:pPr>
      <w:r>
        <w:rPr/>
        <w:t>HR4-192. Trade-Linked Healthcare Nondiscrimination: Non-Circumvention, Review and Remedy</w:t>
      </w:r>
    </w:p>
    <w:p>
      <w:pPr>
        <w:pStyle w:val="Normal"/>
        <w:widowControl/>
        <w:rPr/>
      </w:pPr>
      <w:r>
        <w:rPr/>
        <w:t>A Party shall not defeat this protection through relabeling, proxy action, outsourcing, serial temporary measures, selective enforcement or another functional substitute. A materially affected person or competent representative shall have access to an appropriate avenue for review or correction under applicable law. Cure shall be proportionate and rights-preserving and shall not, by itself, create a private cause of action under this Agreement.</w:t>
      </w:r>
    </w:p>
    <w:p>
      <w:pPr>
        <w:pStyle w:val="Heading3"/>
        <w:keepNext/>
        <w:widowControl/>
        <w:rPr/>
      </w:pPr>
      <w:r>
        <w:rPr/>
        <w:t>HR4-193. Public-Services Policy-Space Firewall: Scope and Protected Interest</w:t>
      </w:r>
    </w:p>
    <w:p>
      <w:pPr>
        <w:pStyle w:val="Normal"/>
        <w:widowControl/>
        <w:rPr/>
      </w:pPr>
      <w:r>
        <w:rPr/>
        <w:t>For purposes of this Framework, the Parties recognize the protected interest addressed by Public-Services Policy-Space Firewall and shall apply this Article to treaty-linked governmental measures, programs, administration and covered economic activity where that interest is materially affected. The Parties shall preserve public-health and essential-service policy space, continuity during emergencies, nondiscriminatory access where trade rules are implicated, and safeguards for privacy, safety and legitimate regulation.</w:t>
      </w:r>
    </w:p>
    <w:p>
      <w:pPr>
        <w:pStyle w:val="Heading3"/>
        <w:keepNext/>
        <w:widowControl/>
        <w:rPr/>
      </w:pPr>
      <w:r>
        <w:rPr/>
        <w:t>HR4-194. Public-Services Policy-Space Firewall: Minimum Reciprocal Floor</w:t>
      </w:r>
    </w:p>
    <w:p>
      <w:pPr>
        <w:pStyle w:val="Normal"/>
        <w:widowControl/>
        <w:rPr/>
      </w:pPr>
      <w:r>
        <w:rPr/>
        <w:t>Each Party shall maintain, through its constitutionally competent authorities and lawful institutions, a minimum effective floor under which it shall preserve public-health and essential-service policy space, continuity during emergencies, nondiscriminatory access where trade rules are implicated, and safeguards for privacy, safety and legitimate regulation. A Party may use different legal or institutional means where those means provide functionally equivalent or stronger protection.</w:t>
      </w:r>
    </w:p>
    <w:p>
      <w:pPr>
        <w:pStyle w:val="Heading3"/>
        <w:keepNext/>
        <w:widowControl/>
        <w:rPr/>
      </w:pPr>
      <w:r>
        <w:rPr/>
        <w:t>HR4-195. Public-Services Policy-Space Firewall: Non-Circumvention, Review and Remedy</w:t>
      </w:r>
    </w:p>
    <w:p>
      <w:pPr>
        <w:pStyle w:val="Normal"/>
        <w:widowControl/>
        <w:rPr/>
      </w:pPr>
      <w:r>
        <w:rPr/>
        <w:t>A Party shall not defeat this protection through relabeling, proxy action, outsourcing, serial temporary measures, selective enforcement or another functional substitute. A materially affected person or competent representative shall have access to an appropriate avenue for review or correction under applicable law. Cure shall be proportionate and rights-preserving and shall not, by itself, create a private cause of action under this Agreement.</w:t>
      </w:r>
    </w:p>
    <w:p>
      <w:bookmarkStart w:id="3126" w:name="_NAESTMA_TOC_3126"/>
      <w:pPr>
        <w:pStyle w:val="Heading2"/>
        <w:keepNext/>
        <w:widowControl/>
        <w:rPr/>
      </w:pPr>
      <w:r>
        <w:rPr/>
        <w:t>CL-15. DISABILITY RIGHTS AND ACCESSIBILITY</w:t>
      </w:r>
      <w:bookmarkEnd w:id="3126"/>
    </w:p>
    <w:p>
      <w:pPr>
        <w:pStyle w:val="Normal"/>
        <w:widowControl/>
        <w:rPr/>
      </w:pPr>
      <w:r>
        <w:rPr/>
        <w:t>Application. Mixed Mandatory/Flexible Architecture. Provisions in this Section retain the Round-Three temperature assigned to their source mechanism and are interpreted through Articles CL-1 through CL-5.</w:t>
      </w:r>
    </w:p>
    <w:p>
      <w:pPr>
        <w:pStyle w:val="Heading3"/>
        <w:keepNext/>
        <w:widowControl/>
        <w:rPr/>
      </w:pPr>
      <w:r>
        <w:rPr/>
        <w:t>HR4-196. Treaty-Wide Disability Nondiscrimination: Scope and Protected Interest</w:t>
      </w:r>
    </w:p>
    <w:p>
      <w:pPr>
        <w:pStyle w:val="Normal"/>
        <w:widowControl/>
        <w:rPr/>
      </w:pPr>
      <w:r>
        <w:rPr/>
        <w:t>For purposes of this Framework, the Parties recognize the protected interest addressed by Treaty-Wide Disability Nondiscrimination and shall apply this Article to treaty-linked governmental measures, programs, administration and covered economic activity where that interest is materially affected. The Parties shall cover direct, indirect, perceived, associative and intersectional discrimination where legally appropriate, with objective and proportionate exceptions narrowly construed.</w:t>
      </w:r>
    </w:p>
    <w:p>
      <w:pPr>
        <w:pStyle w:val="Heading3"/>
        <w:keepNext/>
        <w:widowControl/>
        <w:rPr/>
      </w:pPr>
      <w:r>
        <w:rPr/>
        <w:t>HR4-197. Treaty-Wide Disability Nondiscrimination: Minimum Reciprocal Floor</w:t>
      </w:r>
    </w:p>
    <w:p>
      <w:pPr>
        <w:pStyle w:val="Normal"/>
        <w:widowControl/>
        <w:rPr/>
      </w:pPr>
      <w:r>
        <w:rPr/>
        <w:t>Each Party shall maintain, through its constitutionally competent authorities and lawful institutions, a minimum effective floor under which it shall cover direct, indirect, perceived, associative and intersectional discrimination where legally appropriate, with objective and proportionate exceptions narrowly construed. A Party may use different legal or institutional means where those means provide functionally equivalent or stronger protection.</w:t>
      </w:r>
    </w:p>
    <w:p>
      <w:pPr>
        <w:pStyle w:val="Heading3"/>
        <w:keepNext/>
        <w:widowControl/>
        <w:rPr/>
      </w:pPr>
      <w:r>
        <w:rPr/>
        <w:t>HR4-198. Treaty-Wide Disability Nondiscrimination: Non-Circumvention, Review and Remedy</w:t>
      </w:r>
    </w:p>
    <w:p>
      <w:pPr>
        <w:pStyle w:val="Normal"/>
        <w:widowControl/>
        <w:rPr/>
      </w:pPr>
      <w:r>
        <w:rPr/>
        <w:t>A Party shall not defeat this protection through relabeling, proxy action, outsourcing, serial temporary measures, selective enforcement or another functional substitute. A materially affected person or competent representative shall have access to an appropriate avenue for review or correction under applicable law. Cure shall be proportionate and rights-preserving and shall not, by itself, create a private cause of action under this Agreement.</w:t>
      </w:r>
    </w:p>
    <w:p>
      <w:pPr>
        <w:pStyle w:val="Heading3"/>
        <w:keepNext/>
        <w:widowControl/>
        <w:rPr/>
      </w:pPr>
      <w:r>
        <w:rPr/>
        <w:t>HR4-199. Treaty-Wide Disability Nondiscrimination: Targeted and Intersectional Application</w:t>
      </w:r>
    </w:p>
    <w:p>
      <w:pPr>
        <w:pStyle w:val="Normal"/>
        <w:widowControl/>
        <w:rPr/>
      </w:pPr>
      <w:r>
        <w:rPr/>
        <w:t>In applying this mechanism, competent authorities shall account for materially distinct and intersectional forms of harm where generic treatment would make the protection ineffective. Targeted safeguards may address the particular context identified by the evidence, but shall not define another protected group downward or authorize unequal treatment unrelated to a legitimate and proportionate objective.</w:t>
      </w:r>
    </w:p>
    <w:p>
      <w:pPr>
        <w:pStyle w:val="Heading3"/>
        <w:keepNext/>
        <w:widowControl/>
        <w:rPr/>
      </w:pPr>
      <w:r>
        <w:rPr/>
        <w:t>HR4-200. Reasonable Accommodation: Scope and Protected Interest</w:t>
      </w:r>
    </w:p>
    <w:p>
      <w:pPr>
        <w:pStyle w:val="Normal"/>
        <w:widowControl/>
        <w:rPr/>
      </w:pPr>
      <w:r>
        <w:rPr/>
        <w:t>For purposes of this Framework, the Parties recognize the protected interest addressed by Reasonable Accommodation and shall apply this Article to treaty-linked governmental measures, programs, administration and covered economic activity where that interest is materially affected. The Parties shall require nondiscriminatory access, reasonable accommodation and accessible communications consistent with legitimate safety, feasibility and undue-hardship standards under applicable law.</w:t>
      </w:r>
    </w:p>
    <w:p>
      <w:pPr>
        <w:pStyle w:val="Heading3"/>
        <w:keepNext/>
        <w:widowControl/>
        <w:rPr/>
      </w:pPr>
      <w:r>
        <w:rPr/>
        <w:t>HR4-201. Reasonable Accommodation: Minimum Reciprocal Floor</w:t>
      </w:r>
    </w:p>
    <w:p>
      <w:pPr>
        <w:pStyle w:val="Normal"/>
        <w:widowControl/>
        <w:rPr/>
      </w:pPr>
      <w:r>
        <w:rPr/>
        <w:t>Each Party shall maintain, through its constitutionally competent authorities and lawful institutions, a minimum effective floor under which it shall require nondiscriminatory access, reasonable accommodation and accessible communications consistent with legitimate safety, feasibility and undue-hardship standards under applicable law. A Party may use different legal or institutional means where those means provide functionally equivalent or stronger protection.</w:t>
      </w:r>
    </w:p>
    <w:p>
      <w:pPr>
        <w:pStyle w:val="Heading3"/>
        <w:keepNext/>
        <w:widowControl/>
        <w:rPr/>
      </w:pPr>
      <w:r>
        <w:rPr/>
        <w:t>HR4-202. Reasonable Accommodation: Non-Circumvention, Review and Remedy</w:t>
      </w:r>
    </w:p>
    <w:p>
      <w:pPr>
        <w:pStyle w:val="Normal"/>
        <w:widowControl/>
        <w:rPr/>
      </w:pPr>
      <w:r>
        <w:rPr/>
        <w:t>A Party shall not defeat this protection through relabeling, proxy action, outsourcing, serial temporary measures, selective enforcement or another functional substitute. A materially affected person or competent representative shall have access to an appropriate avenue for review or correction under applicable law. Cure shall be proportionate and rights-preserving and shall not, by itself, create a private cause of action under this Agreement.</w:t>
      </w:r>
    </w:p>
    <w:p>
      <w:pPr>
        <w:pStyle w:val="Heading3"/>
        <w:keepNext/>
        <w:widowControl/>
        <w:rPr/>
      </w:pPr>
      <w:r>
        <w:rPr/>
        <w:t>HR4-203. Accessible Communication And Formats: Scope and Protected Interest</w:t>
      </w:r>
    </w:p>
    <w:p>
      <w:pPr>
        <w:pStyle w:val="Normal"/>
        <w:widowControl/>
        <w:rPr/>
      </w:pPr>
      <w:r>
        <w:rPr/>
        <w:t>For purposes of this Framework, the Parties recognize the protected interest addressed by Accessible Communication And Formats and shall apply this Article to treaty-linked governmental measures, programs, administration and covered economic activity where that interest is materially affected. The Parties shall require nondiscriminatory access, reasonable accommodation and accessible communications consistent with legitimate safety, feasibility and undue-hardship standards under applicable law.</w:t>
      </w:r>
    </w:p>
    <w:p>
      <w:pPr>
        <w:pStyle w:val="Heading3"/>
        <w:keepNext/>
        <w:widowControl/>
        <w:rPr/>
      </w:pPr>
      <w:r>
        <w:rPr/>
        <w:t>HR4-204. Accessible Communication And Formats: Minimum Reciprocal Floor</w:t>
      </w:r>
    </w:p>
    <w:p>
      <w:pPr>
        <w:pStyle w:val="Normal"/>
        <w:widowControl/>
        <w:rPr/>
      </w:pPr>
      <w:r>
        <w:rPr/>
        <w:t>Each Party shall maintain, through its constitutionally competent authorities and lawful institutions, a minimum effective floor under which it shall require nondiscriminatory access, reasonable accommodation and accessible communications consistent with legitimate safety, feasibility and undue-hardship standards under applicable law. A Party may use different legal or institutional means where those means provide functionally equivalent or stronger protection.</w:t>
      </w:r>
    </w:p>
    <w:p>
      <w:pPr>
        <w:pStyle w:val="Heading3"/>
        <w:keepNext/>
        <w:widowControl/>
        <w:rPr/>
      </w:pPr>
      <w:r>
        <w:rPr/>
        <w:t>HR4-205. Accessible Communication And Formats: Non-Circumvention, Review and Remedy</w:t>
      </w:r>
    </w:p>
    <w:p>
      <w:pPr>
        <w:pStyle w:val="Normal"/>
        <w:widowControl/>
        <w:rPr/>
      </w:pPr>
      <w:r>
        <w:rPr/>
        <w:t>A Party shall not defeat this protection through relabeling, proxy action, outsourcing, serial temporary measures, selective enforcement or another functional substitute. A materially affected person or competent representative shall have access to an appropriate avenue for review or correction under applicable law. Cure shall be proportionate and rights-preserving and shall not, by itself, create a private cause of action under this Agreement.</w:t>
      </w:r>
    </w:p>
    <w:p>
      <w:bookmarkStart w:id="3127" w:name="_NAESTMA_TOC_3127"/>
      <w:pPr>
        <w:pStyle w:val="Heading2"/>
        <w:keepNext/>
        <w:widowControl/>
        <w:rPr/>
      </w:pPr>
      <w:r>
        <w:rPr/>
        <w:t>CL-16. HOUSING-STATUS, POVERTY AND HOMELESSNESS SAFEGUARDS</w:t>
      </w:r>
      <w:bookmarkEnd w:id="3127"/>
    </w:p>
    <w:p>
      <w:pPr>
        <w:pStyle w:val="Normal"/>
        <w:widowControl/>
        <w:rPr/>
      </w:pPr>
      <w:r>
        <w:rPr/>
        <w:t>Application. Mixed Mandatory/Flexible Architecture. Provisions in this Section retain the Round-Three temperature assigned to their source mechanism and are interpreted through Articles CL-1 through CL-5.</w:t>
      </w:r>
    </w:p>
    <w:p>
      <w:pPr>
        <w:pStyle w:val="Heading3"/>
        <w:keepNext/>
        <w:widowControl/>
        <w:rPr/>
      </w:pPr>
      <w:r>
        <w:rPr/>
        <w:t>HR4-206. Housing-Status Nondiscrimination Firewall: Scope and Protected Interest</w:t>
      </w:r>
    </w:p>
    <w:p>
      <w:pPr>
        <w:pStyle w:val="Normal"/>
        <w:widowControl/>
        <w:rPr/>
      </w:pPr>
      <w:r>
        <w:rPr/>
        <w:t>For purposes of this Framework, the Parties recognize the protected interest addressed by Housing-Status Nondiscrimination Firewall and shall apply this Article to treaty-linked governmental measures, programs, administration and covered economic activity where that interest is materially affected. The Parties shall cover direct, indirect, perceived, associative and intersectional discrimination where legally appropriate, with objective and proportionate exceptions narrowly construed.</w:t>
      </w:r>
    </w:p>
    <w:p>
      <w:pPr>
        <w:pStyle w:val="Heading3"/>
        <w:keepNext/>
        <w:widowControl/>
        <w:rPr/>
      </w:pPr>
      <w:r>
        <w:rPr/>
        <w:t>HR4-207. Housing-Status Nondiscrimination Firewall: Minimum Reciprocal Floor</w:t>
      </w:r>
    </w:p>
    <w:p>
      <w:pPr>
        <w:pStyle w:val="Normal"/>
        <w:widowControl/>
        <w:rPr/>
      </w:pPr>
      <w:r>
        <w:rPr/>
        <w:t>Each Party shall maintain, through its constitutionally competent authorities and lawful institutions, a minimum effective floor under which it shall cover direct, indirect, perceived, associative and intersectional discrimination where legally appropriate, with objective and proportionate exceptions narrowly construed. A Party may use different legal or institutional means where those means provide functionally equivalent or stronger protection.</w:t>
      </w:r>
    </w:p>
    <w:p>
      <w:pPr>
        <w:pStyle w:val="Heading3"/>
        <w:keepNext/>
        <w:widowControl/>
        <w:rPr/>
      </w:pPr>
      <w:r>
        <w:rPr/>
        <w:t>HR4-208. Housing-Status Nondiscrimination Firewall: Non-Circumvention, Review and Remedy</w:t>
      </w:r>
    </w:p>
    <w:p>
      <w:pPr>
        <w:pStyle w:val="Normal"/>
        <w:widowControl/>
        <w:rPr/>
      </w:pPr>
      <w:r>
        <w:rPr/>
        <w:t>A Party shall not defeat this protection through relabeling, proxy action, outsourcing, serial temporary measures, selective enforcement or another functional substitute. A materially affected person or competent representative shall have access to an appropriate avenue for review or correction under applicable law. Cure shall be proportionate and rights-preserving and shall not, by itself, create a private cause of action under this Agreement.</w:t>
      </w:r>
    </w:p>
    <w:p>
      <w:pPr>
        <w:pStyle w:val="Heading3"/>
        <w:keepNext/>
        <w:widowControl/>
        <w:rPr/>
      </w:pPr>
      <w:r>
        <w:rPr/>
        <w:t>HR4-209. Housing-Status Nondiscrimination Firewall: Targeted and Intersectional Application</w:t>
      </w:r>
    </w:p>
    <w:p>
      <w:pPr>
        <w:pStyle w:val="Normal"/>
        <w:widowControl/>
        <w:rPr/>
      </w:pPr>
      <w:r>
        <w:rPr/>
        <w:t>In applying this mechanism, competent authorities shall account for materially distinct and intersectional forms of harm where generic treatment would make the protection ineffective. Targeted safeguards may address the particular context identified by the evidence, but shall not define another protected group downward or authorize unequal treatment unrelated to a legitimate and proportionate objective.</w:t>
      </w:r>
    </w:p>
    <w:p>
      <w:pPr>
        <w:pStyle w:val="Heading3"/>
        <w:keepNext/>
        <w:widowControl/>
        <w:rPr/>
      </w:pPr>
      <w:r>
        <w:rPr/>
        <w:t>HR4-210. No Fixed-Address Exclusion: Scope and Protected Interest</w:t>
      </w:r>
    </w:p>
    <w:p>
      <w:pPr>
        <w:pStyle w:val="Normal"/>
        <w:widowControl/>
        <w:rPr/>
      </w:pPr>
      <w:r>
        <w:rPr/>
        <w:t>For purposes of this Framework, the Parties recognize the protected interest addressed by No Fixed-Address Exclusion and shall apply this Article to treaty-linked governmental measures, programs, administration and covered economic activity where that interest is materially affected. The Parties shall prevent loss of treaty-linked employment, services, identity continuity or procedural protection merely because a person lacks stable housing, while leaving housing-program design to domestic authorities.</w:t>
      </w:r>
    </w:p>
    <w:p>
      <w:pPr>
        <w:pStyle w:val="Heading3"/>
        <w:keepNext/>
        <w:widowControl/>
        <w:rPr/>
      </w:pPr>
      <w:r>
        <w:rPr/>
        <w:t>HR4-211. No Fixed-Address Exclusion: Minimum Reciprocal Floor</w:t>
      </w:r>
    </w:p>
    <w:p>
      <w:pPr>
        <w:pStyle w:val="Normal"/>
        <w:widowControl/>
        <w:rPr/>
      </w:pPr>
      <w:r>
        <w:rPr/>
        <w:t>Each Party shall maintain, through its constitutionally competent authorities and lawful institutions, a minimum effective floor under which it shall prevent loss of treaty-linked employment, services, identity continuity or procedural protection merely because a person lacks stable housing, while leaving housing-program design to domestic authorities. A Party may use different legal or institutional means where those means provide functionally equivalent or stronger protection.</w:t>
      </w:r>
    </w:p>
    <w:p>
      <w:pPr>
        <w:pStyle w:val="Heading3"/>
        <w:keepNext/>
        <w:widowControl/>
        <w:rPr/>
      </w:pPr>
      <w:r>
        <w:rPr/>
        <w:t>HR4-212. No Fixed-Address Exclusion: Non-Circumvention, Review and Remedy</w:t>
      </w:r>
    </w:p>
    <w:p>
      <w:pPr>
        <w:pStyle w:val="Normal"/>
        <w:widowControl/>
        <w:rPr/>
      </w:pPr>
      <w:r>
        <w:rPr/>
        <w:t>A Party shall not defeat this protection through relabeling, proxy action, outsourcing, serial temporary measures, selective enforcement or another functional substitute. A materially affected person or competent representative shall have access to an appropriate avenue for review or correction under applicable law. Cure shall be proportionate and rights-preserving and shall not, by itself, create a private cause of action under this Agreement.</w:t>
      </w:r>
    </w:p>
    <w:p>
      <w:pPr>
        <w:pStyle w:val="Heading3"/>
        <w:keepNext/>
        <w:widowControl/>
        <w:rPr/>
      </w:pPr>
      <w:r>
        <w:rPr/>
        <w:t>HR4-213. Personal Property And Document Continuity: Scope and Protected Interest</w:t>
      </w:r>
    </w:p>
    <w:p>
      <w:pPr>
        <w:pStyle w:val="Normal"/>
        <w:widowControl/>
        <w:rPr/>
      </w:pPr>
      <w:r>
        <w:rPr/>
        <w:t>For purposes of this Framework, the Parties recognize the protected interest addressed by Personal Property And Document Continuity and shall apply this Article to treaty-linked governmental measures, programs, administration and covered economic activity where that interest is materially affected. The Parties shall prevent loss of treaty-linked employment, services, identity continuity or procedural protection merely because a person lacks stable housing, while leaving housing-program design to domestic authorities.</w:t>
      </w:r>
    </w:p>
    <w:p>
      <w:pPr>
        <w:pStyle w:val="Heading3"/>
        <w:keepNext/>
        <w:widowControl/>
        <w:rPr/>
      </w:pPr>
      <w:r>
        <w:rPr/>
        <w:t>HR4-214. Personal Property And Document Continuity: Minimum Reciprocal Floor</w:t>
      </w:r>
    </w:p>
    <w:p>
      <w:pPr>
        <w:pStyle w:val="Normal"/>
        <w:widowControl/>
        <w:rPr/>
      </w:pPr>
      <w:r>
        <w:rPr/>
        <w:t>Each Party shall maintain, through its constitutionally competent authorities and lawful institutions, a minimum effective floor under which it shall prevent loss of treaty-linked employment, services, identity continuity or procedural protection merely because a person lacks stable housing, while leaving housing-program design to domestic authorities. A Party may use different legal or institutional means where those means provide functionally equivalent or stronger protection.</w:t>
      </w:r>
    </w:p>
    <w:p>
      <w:pPr>
        <w:pStyle w:val="Heading3"/>
        <w:keepNext/>
        <w:widowControl/>
        <w:rPr/>
      </w:pPr>
      <w:r>
        <w:rPr/>
        <w:t>HR4-215. Personal Property And Document Continuity: Non-Circumvention, Review and Remedy</w:t>
      </w:r>
    </w:p>
    <w:p>
      <w:pPr>
        <w:pStyle w:val="Normal"/>
        <w:widowControl/>
        <w:rPr/>
      </w:pPr>
      <w:r>
        <w:rPr/>
        <w:t>A Party shall not defeat this protection through relabeling, proxy action, outsourcing, serial temporary measures, selective enforcement or another functional substitute. A materially affected person or competent representative shall have access to an appropriate avenue for review or correction under applicable law. Cure shall be proportionate and rights-preserving and shall not, by itself, create a private cause of action under this Agreement.</w:t>
      </w:r>
    </w:p>
    <w:p>
      <w:bookmarkStart w:id="3128" w:name="_NAESTMA_TOC_3128"/>
      <w:pPr>
        <w:pStyle w:val="Heading2"/>
        <w:keepNext/>
        <w:widowControl/>
        <w:rPr/>
      </w:pPr>
      <w:r>
        <w:rPr/>
        <w:t>CL-17. HUMAN-RIGHTS GOVERNANCE, INTERPRETATION AND REVIEW</w:t>
      </w:r>
      <w:bookmarkEnd w:id="3128"/>
    </w:p>
    <w:p>
      <w:pPr>
        <w:pStyle w:val="Normal"/>
        <w:widowControl/>
        <w:rPr/>
      </w:pPr>
      <w:r>
        <w:rPr/>
        <w:t>Application. Mixed Mandatory/Flexible Architecture. Provisions in this Section retain the Round-Three temperature assigned to their source mechanism and are interpreted through Articles CL-1 through CL-5.</w:t>
      </w:r>
    </w:p>
    <w:p>
      <w:pPr>
        <w:pStyle w:val="Heading3"/>
        <w:keepNext/>
        <w:widowControl/>
        <w:rPr/>
      </w:pPr>
      <w:r>
        <w:rPr/>
        <w:t>HR4-216. Human-Rights Interpretive Firewall: Scope and Protected Interest</w:t>
      </w:r>
    </w:p>
    <w:p>
      <w:pPr>
        <w:pStyle w:val="Normal"/>
        <w:widowControl/>
        <w:rPr/>
      </w:pPr>
      <w:r>
        <w:rPr/>
        <w:t>For purposes of this Framework, the Parties recognize the protected interest addressed by Human-Rights Interpretive Firewall and shall apply this Article to treaty-linked governmental measures, programs, administration and covered economic activity where that interest is materially affected. The Parties shall translate the mechanism into a narrow treaty-linked obligation, preserve stronger domestic protections, and avoid creating rights or liabilities beyond what the Parties expressly adopt.</w:t>
      </w:r>
    </w:p>
    <w:p>
      <w:pPr>
        <w:pStyle w:val="Heading3"/>
        <w:keepNext/>
        <w:widowControl/>
        <w:rPr/>
      </w:pPr>
      <w:r>
        <w:rPr/>
        <w:t>HR4-217. Human-Rights Interpretive Firewall: Minimum Reciprocal Floor</w:t>
      </w:r>
    </w:p>
    <w:p>
      <w:pPr>
        <w:pStyle w:val="Normal"/>
        <w:widowControl/>
        <w:rPr/>
      </w:pPr>
      <w:r>
        <w:rPr/>
        <w:t>Each Party shall maintain, through its constitutionally competent authorities and lawful institutions, a minimum effective floor under which it shall translate the mechanism into a narrow treaty-linked obligation, preserve stronger domestic protections, and avoid creating rights or liabilities beyond what the Parties expressly adopt. A Party may use different legal or institutional means where those means provide functionally equivalent or stronger protection.</w:t>
      </w:r>
    </w:p>
    <w:p>
      <w:pPr>
        <w:pStyle w:val="Heading3"/>
        <w:keepNext/>
        <w:widowControl/>
        <w:rPr/>
      </w:pPr>
      <w:r>
        <w:rPr/>
        <w:t>HR4-218. Human-Rights Interpretive Firewall: Non-Circumvention, Review and Remedy</w:t>
      </w:r>
    </w:p>
    <w:p>
      <w:pPr>
        <w:pStyle w:val="Normal"/>
        <w:widowControl/>
        <w:rPr/>
      </w:pPr>
      <w:r>
        <w:rPr/>
        <w:t>A Party shall not defeat this protection through relabeling, proxy action, outsourcing, serial temporary measures, selective enforcement or another functional substitute. A materially affected person or competent representative shall have access to an appropriate avenue for review or correction under applicable law. Cure shall be proportionate and rights-preserving and shall not, by itself, create a private cause of action under this Agreement.</w:t>
      </w:r>
    </w:p>
    <w:p>
      <w:pPr>
        <w:pStyle w:val="Heading3"/>
        <w:keepNext/>
        <w:widowControl/>
        <w:rPr/>
      </w:pPr>
      <w:r>
        <w:rPr/>
        <w:t>HR4-219. Human-Rights Interpretive Firewall: Targeted and Intersectional Application</w:t>
      </w:r>
    </w:p>
    <w:p>
      <w:pPr>
        <w:pStyle w:val="Normal"/>
        <w:widowControl/>
        <w:rPr/>
      </w:pPr>
      <w:r>
        <w:rPr/>
        <w:t>In applying this mechanism, competent authorities shall account for materially distinct and intersectional forms of harm where generic treatment would make the protection ineffective. Targeted safeguards may address the particular context identified by the evidence, but shall not define another protected group downward or authorize unequal treatment unrelated to a legitimate and proportionate objective.</w:t>
      </w:r>
    </w:p>
    <w:p>
      <w:pPr>
        <w:pStyle w:val="Heading3"/>
        <w:keepNext/>
        <w:widowControl/>
        <w:rPr/>
      </w:pPr>
      <w:r>
        <w:rPr/>
        <w:t>HR4-220. Human-Rights Interpretive Firewall: Evidence, Monitoring and Cure</w:t>
      </w:r>
    </w:p>
    <w:p>
      <w:pPr>
        <w:pStyle w:val="Normal"/>
        <w:widowControl/>
        <w:rPr/>
      </w:pPr>
      <w:r>
        <w:rPr/>
        <w:t>Material findings under this mechanism shall rest on a stated evidentiary basis and, where relevant, a defined causation or attribution test. Affected authorities shall have an opportunity to respond and correct demonstrable error. Where a deficiency is established, the ordinary response shall be the narrowest sufficient cure, followed by verification and restoration.</w:t>
      </w:r>
    </w:p>
    <w:p>
      <w:pPr>
        <w:pStyle w:val="Heading3"/>
        <w:keepNext/>
        <w:widowControl/>
        <w:rPr/>
      </w:pPr>
      <w:r>
        <w:rPr/>
        <w:t>HR4-221. Transparency And Public Reporting: Scope and Protected Interest</w:t>
      </w:r>
    </w:p>
    <w:p>
      <w:pPr>
        <w:pStyle w:val="Normal"/>
        <w:widowControl/>
        <w:rPr/>
      </w:pPr>
      <w:r>
        <w:rPr/>
        <w:t>For purposes of this Framework, the Parties recognize the protected interest addressed by Transparency And Public Reporting and shall apply this Article to treaty-linked governmental measures, programs, administration and covered economic activity where that interest is materially affected. The Parties shall use existing institutions where possible, transparent criteria, diverse expertise, confidentiality safeguards and periodic review without creating duplicative bureaucracy or private enforcement by implication.</w:t>
      </w:r>
    </w:p>
    <w:p>
      <w:pPr>
        <w:pStyle w:val="Heading3"/>
        <w:keepNext/>
        <w:widowControl/>
        <w:rPr/>
      </w:pPr>
      <w:r>
        <w:rPr/>
        <w:t>HR4-222. Transparency And Public Reporting: Minimum Reciprocal Floor</w:t>
      </w:r>
    </w:p>
    <w:p>
      <w:pPr>
        <w:pStyle w:val="Normal"/>
        <w:widowControl/>
        <w:rPr/>
      </w:pPr>
      <w:r>
        <w:rPr/>
        <w:t>Each Party shall maintain, through its constitutionally competent authorities and lawful institutions, a minimum effective floor under which it shall use existing institutions where possible, transparent criteria, diverse expertise, confidentiality safeguards and periodic review without creating duplicative bureaucracy or private enforcement by implication. A Party may use different legal or institutional means where those means provide functionally equivalent or stronger protection.</w:t>
      </w:r>
    </w:p>
    <w:p>
      <w:pPr>
        <w:pStyle w:val="Heading3"/>
        <w:keepNext/>
        <w:widowControl/>
        <w:rPr/>
      </w:pPr>
      <w:r>
        <w:rPr/>
        <w:t>HR4-223. Transparency And Public Reporting: Non-Circumvention, Review and Remedy</w:t>
      </w:r>
    </w:p>
    <w:p>
      <w:pPr>
        <w:pStyle w:val="Normal"/>
        <w:widowControl/>
        <w:rPr/>
      </w:pPr>
      <w:r>
        <w:rPr/>
        <w:t>A Party shall not defeat this protection through relabeling, proxy action, outsourcing, serial temporary measures, selective enforcement or another functional substitute. A materially affected person or competent representative shall have access to an appropriate avenue for review or correction under applicable law. Cure shall be proportionate and rights-preserving and shall not, by itself, create a private cause of action under this Agreement.</w:t>
      </w:r>
    </w:p>
    <w:p>
      <w:pPr>
        <w:pStyle w:val="Heading3"/>
        <w:keepNext/>
        <w:widowControl/>
        <w:rPr/>
      </w:pPr>
      <w:r>
        <w:rPr/>
        <w:t>HR4-224. Federalism And Competent-Authority Implementation: Scope and Protected Interest</w:t>
      </w:r>
    </w:p>
    <w:p>
      <w:pPr>
        <w:pStyle w:val="Normal"/>
        <w:widowControl/>
        <w:rPr/>
      </w:pPr>
      <w:r>
        <w:rPr/>
        <w:t>For purposes of this Framework, the Parties recognize the protected interest addressed by Federalism And Competent-Authority Implementation and shall apply this Article to treaty-linked governmental measures, programs, administration and covered economic activity where that interest is materially affected. The Parties shall bind each Party only within its constitutional competence while requiring good-faith use of available federal, provincial/state, territorial, local and Indigenous-government coordination channels.</w:t>
      </w:r>
    </w:p>
    <w:p>
      <w:pPr>
        <w:pStyle w:val="Heading3"/>
        <w:keepNext/>
        <w:widowControl/>
        <w:rPr/>
      </w:pPr>
      <w:r>
        <w:rPr/>
        <w:t>HR4-225. Federalism And Competent-Authority Implementation: Minimum Reciprocal Floor</w:t>
      </w:r>
    </w:p>
    <w:p>
      <w:pPr>
        <w:pStyle w:val="Normal"/>
        <w:widowControl/>
        <w:rPr/>
      </w:pPr>
      <w:r>
        <w:rPr/>
        <w:t>Each Party shall maintain, through its constitutionally competent authorities and lawful institutions, a minimum effective floor under which it shall bind each Party only within its constitutional competence while requiring good-faith use of available federal, provincial/state, territorial, local and Indigenous-government coordination channels. A Party may use different legal or institutional means where those means provide functionally equivalent or stronger protection.</w:t>
      </w:r>
    </w:p>
    <w:p>
      <w:pPr>
        <w:pStyle w:val="Heading3"/>
        <w:keepNext/>
        <w:widowControl/>
        <w:rPr/>
      </w:pPr>
      <w:r>
        <w:rPr/>
        <w:t>HR4-226. Federalism And Competent-Authority Implementation: Non-Circumvention, Review and Remedy</w:t>
      </w:r>
    </w:p>
    <w:p>
      <w:pPr>
        <w:pStyle w:val="Normal"/>
        <w:widowControl/>
        <w:rPr/>
      </w:pPr>
      <w:r>
        <w:rPr/>
        <w:t>A Party shall not defeat this protection through relabeling, proxy action, outsourcing, serial temporary measures, selective enforcement or another functional substitute. A materially affected person or competent representative shall have access to an appropriate avenue for review or correction under applicable law. Cure shall be proportionate and rights-preserving and shall not, by itself, create a private cause of action under this Agreement.</w:t>
      </w:r>
    </w:p>
    <w:p>
      <w:bookmarkStart w:id="3129" w:name="_NAESTMA_TOC_3129"/>
      <w:pPr>
        <w:pStyle w:val="Heading2"/>
        <w:keepNext/>
        <w:widowControl/>
        <w:rPr/>
      </w:pPr>
      <w:r>
        <w:rPr/>
        <w:t>CL-18. LABOUR AND WORKPLACE HUMAN RIGHTS</w:t>
      </w:r>
      <w:bookmarkEnd w:id="3129"/>
    </w:p>
    <w:p>
      <w:pPr>
        <w:pStyle w:val="Normal"/>
        <w:widowControl/>
        <w:rPr/>
      </w:pPr>
      <w:r>
        <w:rPr/>
        <w:t>Application. Mixed Mandatory/Flexible Architecture. Provisions in this Section retain the Round-Three temperature assigned to their source mechanism and are interpreted through Articles CL-1 through CL-5.</w:t>
      </w:r>
    </w:p>
    <w:p>
      <w:pPr>
        <w:pStyle w:val="Heading3"/>
        <w:keepNext/>
        <w:widowControl/>
        <w:rPr/>
      </w:pPr>
      <w:r>
        <w:rPr/>
        <w:t>HR4-227. Right To Strike And Concerted Activity: Common Objective and Cooperation Duty</w:t>
      </w:r>
    </w:p>
    <w:p>
      <w:pPr>
        <w:pStyle w:val="Normal"/>
        <w:widowControl/>
        <w:rPr/>
      </w:pPr>
      <w:r>
        <w:rPr/>
        <w:t>The Parties shall cooperate, consistent with their respective laws and institutional competence, to advance the common objective of protect lawful concerted activity through each Party’s labour system while preserving narrowly tailored rules for essential services, safety and genuinely lawful restrictions. Cooperation may include exchange of practices, technical assistance, compatible guidance and voluntary coordination and shall not require identical domestic institutions.</w:t>
      </w:r>
    </w:p>
    <w:p>
      <w:pPr>
        <w:pStyle w:val="Heading3"/>
        <w:keepNext/>
        <w:widowControl/>
        <w:rPr/>
      </w:pPr>
      <w:r>
        <w:rPr/>
        <w:t>HR4-228. Right To Strike And Concerted Activity: Equivalent Implementation Pathways</w:t>
      </w:r>
    </w:p>
    <w:p>
      <w:pPr>
        <w:pStyle w:val="Normal"/>
        <w:widowControl/>
        <w:rPr/>
      </w:pPr>
      <w:r>
        <w:rPr/>
        <w:t>Each Party may implement this mechanism through legislation, regulation, administrative practice, procurement conditions, collective arrangements, sectoral programs or other lawful means suited to its system. Different means are acceptable where they provide materially equivalent protection or progress and remain reviewable against the stated objective.</w:t>
      </w:r>
    </w:p>
    <w:p>
      <w:pPr>
        <w:pStyle w:val="Heading3"/>
        <w:keepNext/>
        <w:widowControl/>
        <w:rPr/>
      </w:pPr>
      <w:r>
        <w:rPr/>
        <w:t>HR4-229. Equal Pay And Pay-Equity Tools: Common Objective and Cooperation Duty</w:t>
      </w:r>
    </w:p>
    <w:p>
      <w:pPr>
        <w:pStyle w:val="Normal"/>
        <w:widowControl/>
        <w:rPr/>
      </w:pPr>
      <w:r>
        <w:rPr/>
        <w:t>The Parties shall cooperate, consistent with their respective laws and institutional competence, to advance the common objective of address discriminatory or abusive conditions through outcome-based floors while leaving wage-setting, benefit design and leave architecture primarily to competent domestic authorities. Cooperation may include exchange of practices, technical assistance, compatible guidance and voluntary coordination and shall not require identical domestic institutions.</w:t>
      </w:r>
    </w:p>
    <w:p>
      <w:pPr>
        <w:pStyle w:val="Heading3"/>
        <w:keepNext/>
        <w:widowControl/>
        <w:rPr/>
      </w:pPr>
      <w:r>
        <w:rPr/>
        <w:t>HR4-230. Equal Pay And Pay-Equity Tools: Equivalent Implementation Pathways</w:t>
      </w:r>
    </w:p>
    <w:p>
      <w:pPr>
        <w:pStyle w:val="Normal"/>
        <w:widowControl/>
        <w:rPr/>
      </w:pPr>
      <w:r>
        <w:rPr/>
        <w:t>Each Party may implement this mechanism through legislation, regulation, administrative practice, procurement conditions, collective arrangements, sectoral programs or other lawful means suited to its system. Different means are acceptable where they provide materially equivalent protection or progress and remain reviewable against the stated objective.</w:t>
      </w:r>
    </w:p>
    <w:p>
      <w:pPr>
        <w:pStyle w:val="Heading3"/>
        <w:keepNext/>
        <w:widowControl/>
        <w:rPr/>
      </w:pPr>
      <w:r>
        <w:rPr/>
        <w:t>HR4-231. Equal Pay And Pay-Equity Tools: Data, Participation and Capacity-Building</w:t>
      </w:r>
    </w:p>
    <w:p>
      <w:pPr>
        <w:pStyle w:val="Normal"/>
        <w:widowControl/>
        <w:rPr/>
      </w:pPr>
      <w:r>
        <w:rPr/>
        <w:t>Implementation should use proportionate evidence, affected-community participation and capacity-building where useful. Data collection shall be limited to what is reasonably necessary, protect confidential and sensitive personal information, use aggregation or de-identification where practicable, and avoid duplicative reporting.</w:t>
      </w:r>
    </w:p>
    <w:p>
      <w:pPr>
        <w:pStyle w:val="Heading3"/>
        <w:keepNext/>
        <w:widowControl/>
        <w:rPr/>
      </w:pPr>
      <w:r>
        <w:rPr/>
        <w:t>HR4-232. Hours, Wages, Leave And Basic Conditions: Common Objective and Cooperation Duty</w:t>
      </w:r>
    </w:p>
    <w:p>
      <w:pPr>
        <w:pStyle w:val="Normal"/>
        <w:widowControl/>
        <w:rPr/>
      </w:pPr>
      <w:r>
        <w:rPr/>
        <w:t>The Parties shall cooperate, consistent with their respective laws and institutional competence, to advance the common objective of address discriminatory or abusive conditions through outcome-based floors while leaving wage-setting, benefit design and leave architecture primarily to competent domestic authorities. Cooperation may include exchange of practices, technical assistance, compatible guidance and voluntary coordination and shall not require identical domestic institutions.</w:t>
      </w:r>
    </w:p>
    <w:p>
      <w:pPr>
        <w:pStyle w:val="Heading3"/>
        <w:keepNext/>
        <w:widowControl/>
        <w:rPr/>
      </w:pPr>
      <w:r>
        <w:rPr/>
        <w:t>HR4-233. Hours, Wages, Leave And Basic Conditions: Equivalent Implementation Pathways</w:t>
      </w:r>
    </w:p>
    <w:p>
      <w:pPr>
        <w:pStyle w:val="Normal"/>
        <w:widowControl/>
        <w:rPr/>
      </w:pPr>
      <w:r>
        <w:rPr/>
        <w:t>Each Party may implement this mechanism through legislation, regulation, administrative practice, procurement conditions, collective arrangements, sectoral programs or other lawful means suited to its system. Different means are acceptable where they provide materially equivalent protection or progress and remain reviewable against the stated objective.</w:t>
      </w:r>
    </w:p>
    <w:p>
      <w:pPr>
        <w:pStyle w:val="Heading3"/>
        <w:keepNext/>
        <w:widowControl/>
        <w:rPr/>
      </w:pPr>
      <w:r>
        <w:rPr/>
        <w:t>HR4-234. Hours, Wages, Leave And Basic Conditions: Data, Participation and Capacity-Building</w:t>
      </w:r>
    </w:p>
    <w:p>
      <w:pPr>
        <w:pStyle w:val="Normal"/>
        <w:widowControl/>
        <w:rPr/>
      </w:pPr>
      <w:r>
        <w:rPr/>
        <w:t>Implementation should use proportionate evidence, affected-community participation and capacity-building where useful. Data collection shall be limited to what is reasonably necessary, protect confidential and sensitive personal information, use aggregation or de-identification where practicable, and avoid duplicative reporting.</w:t>
      </w:r>
    </w:p>
    <w:p>
      <w:pPr>
        <w:pStyle w:val="Heading3"/>
        <w:keepNext/>
        <w:widowControl/>
        <w:rPr/>
      </w:pPr>
      <w:r>
        <w:rPr/>
        <w:t>HR4-235. Family And Caregiving Leave Equality: Common Objective and Cooperation Duty</w:t>
      </w:r>
    </w:p>
    <w:p>
      <w:pPr>
        <w:pStyle w:val="Normal"/>
        <w:widowControl/>
        <w:rPr/>
      </w:pPr>
      <w:r>
        <w:rPr/>
        <w:t>The Parties shall cooperate, consistent with their respective laws and institutional competence, to advance the common objective of avoid arbitrary family separation and discrimination based on caregiving status while preserving lawful child-protection, safety and judicial decision-making. Cooperation may include exchange of practices, technical assistance, compatible guidance and voluntary coordination and shall not require identical domestic institutions.</w:t>
      </w:r>
    </w:p>
    <w:p>
      <w:pPr>
        <w:pStyle w:val="Heading3"/>
        <w:keepNext/>
        <w:widowControl/>
        <w:rPr/>
      </w:pPr>
      <w:r>
        <w:rPr/>
        <w:t>HR4-236. Family And Caregiving Leave Equality: Equivalent Implementation Pathways</w:t>
      </w:r>
    </w:p>
    <w:p>
      <w:pPr>
        <w:pStyle w:val="Normal"/>
        <w:widowControl/>
        <w:rPr/>
      </w:pPr>
      <w:r>
        <w:rPr/>
        <w:t>Each Party may implement this mechanism through legislation, regulation, administrative practice, procurement conditions, collective arrangements, sectoral programs or other lawful means suited to its system. Different means are acceptable where they provide materially equivalent protection or progress and remain reviewable against the stated objective.</w:t>
      </w:r>
    </w:p>
    <w:p>
      <w:pPr>
        <w:pStyle w:val="Heading3"/>
        <w:keepNext/>
        <w:widowControl/>
        <w:rPr/>
      </w:pPr>
      <w:r>
        <w:rPr/>
        <w:t>HR4-237. Family And Caregiving Leave Equality: Data, Participation and Capacity-Building</w:t>
      </w:r>
    </w:p>
    <w:p>
      <w:pPr>
        <w:pStyle w:val="Normal"/>
        <w:widowControl/>
        <w:rPr/>
      </w:pPr>
      <w:r>
        <w:rPr/>
        <w:t>Implementation should use proportionate evidence, affected-community participation and capacity-building where useful. Data collection shall be limited to what is reasonably necessary, protect confidential and sensitive personal information, use aggregation or de-identification where practicable, and avoid duplicative reporting.</w:t>
      </w:r>
    </w:p>
    <w:p>
      <w:pPr>
        <w:pStyle w:val="Heading3"/>
        <w:keepNext/>
        <w:widowControl/>
        <w:rPr/>
      </w:pPr>
      <w:r>
        <w:rPr/>
        <w:t>HR4-238. Family And Caregiving Leave Equality: Pilot, Review and Scaling</w:t>
      </w:r>
    </w:p>
    <w:p>
      <w:pPr>
        <w:pStyle w:val="Normal"/>
        <w:widowControl/>
        <w:rPr/>
      </w:pPr>
      <w:r>
        <w:rPr/>
        <w:t>A Party or the Parties jointly may test this mechanism through a time-limited pilot with published objectives, safeguards and review criteria. Continuation or scaling requires an affirmative decision based on evidence; discontinuing a pilot does not reduce independently applicable rights or constitute noncompliance with an optional element.</w:t>
      </w:r>
    </w:p>
    <w:p>
      <w:pPr>
        <w:pStyle w:val="Heading3"/>
        <w:keepNext/>
        <w:widowControl/>
        <w:rPr/>
      </w:pPr>
      <w:r>
        <w:rPr/>
        <w:t>HR4-239. Rapid-Response Labour Mechanism Scope: Common Objective and Cooperation Duty</w:t>
      </w:r>
    </w:p>
    <w:p>
      <w:pPr>
        <w:pStyle w:val="Normal"/>
        <w:widowControl/>
        <w:rPr/>
      </w:pPr>
      <w:r>
        <w:rPr/>
        <w:t>The Parties shall cooperate, consistent with their respective laws and institutional competence, to advance the common objective of define covered denials of rights, evidence thresholds, verification, cure opportunities, proportional remedies and safeguards against politicized or duplicative use. Cooperation may include exchange of practices, technical assistance, compatible guidance and voluntary coordination and shall not require identical domestic institutions.</w:t>
      </w:r>
    </w:p>
    <w:p>
      <w:pPr>
        <w:pStyle w:val="Heading3"/>
        <w:keepNext/>
        <w:widowControl/>
        <w:rPr/>
      </w:pPr>
      <w:r>
        <w:rPr/>
        <w:t>HR4-240. Rapid-Response Labour Mechanism Scope: Equivalent Implementation Pathways</w:t>
      </w:r>
    </w:p>
    <w:p>
      <w:pPr>
        <w:pStyle w:val="Normal"/>
        <w:widowControl/>
        <w:rPr/>
      </w:pPr>
      <w:r>
        <w:rPr/>
        <w:t>Each Party may implement this mechanism through legislation, regulation, administrative practice, procurement conditions, collective arrangements, sectoral programs or other lawful means suited to its system. Different means are acceptable where they provide materially equivalent protection or progress and remain reviewable against the stated objective.</w:t>
      </w:r>
    </w:p>
    <w:p>
      <w:pPr>
        <w:pStyle w:val="Heading3"/>
        <w:keepNext/>
        <w:widowControl/>
        <w:rPr/>
      </w:pPr>
      <w:r>
        <w:rPr/>
        <w:t>HR4-241. Worker Data And Outcome Transparency: Common Objective and Cooperation Duty</w:t>
      </w:r>
    </w:p>
    <w:p>
      <w:pPr>
        <w:pStyle w:val="Normal"/>
        <w:widowControl/>
        <w:rPr/>
      </w:pPr>
      <w:r>
        <w:rPr/>
        <w:t>The Parties shall cooperate, consistent with their respective laws and institutional competence, to advance the common objective of use necessity, purpose limitation, data minimization, security, retention limits, transparency, correction and independent oversight appropriate to the sensitivity and use of the information. Cooperation may include exchange of practices, technical assistance, compatible guidance and voluntary coordination and shall not require identical domestic institutions.</w:t>
      </w:r>
    </w:p>
    <w:p>
      <w:pPr>
        <w:pStyle w:val="Heading3"/>
        <w:keepNext/>
        <w:widowControl/>
        <w:rPr/>
      </w:pPr>
      <w:r>
        <w:rPr/>
        <w:t>HR4-242. Worker Data And Outcome Transparency: Equivalent Implementation Pathways</w:t>
      </w:r>
    </w:p>
    <w:p>
      <w:pPr>
        <w:pStyle w:val="Normal"/>
        <w:widowControl/>
        <w:rPr/>
      </w:pPr>
      <w:r>
        <w:rPr/>
        <w:t>Each Party may implement this mechanism through legislation, regulation, administrative practice, procurement conditions, collective arrangements, sectoral programs or other lawful means suited to its system. Different means are acceptable where they provide materially equivalent protection or progress and remain reviewable against the stated objective.</w:t>
      </w:r>
    </w:p>
    <w:p>
      <w:bookmarkStart w:id="3130" w:name="_NAESTMA_TOC_3130"/>
      <w:pPr>
        <w:pStyle w:val="Heading2"/>
        <w:keepNext/>
        <w:widowControl/>
        <w:rPr/>
      </w:pPr>
      <w:r>
        <w:rPr/>
        <w:t>CL-19. MIGRATION, ASYLUM AND BORDER-ADMINISTRATION RIGHTS</w:t>
      </w:r>
      <w:bookmarkEnd w:id="3130"/>
    </w:p>
    <w:p>
      <w:pPr>
        <w:pStyle w:val="Normal"/>
        <w:widowControl/>
        <w:rPr/>
      </w:pPr>
      <w:r>
        <w:rPr/>
        <w:t>Application. Mixed Mandatory/Flexible Architecture. Provisions in this Section retain the Round-Three temperature assigned to their source mechanism and are interpreted through Articles CL-1 through CL-5.</w:t>
      </w:r>
    </w:p>
    <w:p>
      <w:pPr>
        <w:pStyle w:val="Heading3"/>
        <w:keepNext/>
        <w:widowControl/>
        <w:rPr/>
      </w:pPr>
      <w:r>
        <w:rPr/>
        <w:t>HR4-243. Mass Sweep And Checkpoint Safeguards: Common Objective and Cooperation Duty</w:t>
      </w:r>
    </w:p>
    <w:p>
      <w:pPr>
        <w:pStyle w:val="Normal"/>
        <w:widowControl/>
        <w:rPr/>
      </w:pPr>
      <w:r>
        <w:rPr/>
        <w:t>The Parties shall cooperate, consistent with their respective laws and institutional competence, to advance the common objective of favor individualized, evidence-based and reviewable enforcement over quota-driven, indiscriminate or discriminatory operations, while preserving lawful border and public-safety powers. Cooperation may include exchange of practices, technical assistance, compatible guidance and voluntary coordination and shall not require identical domestic institutions.</w:t>
      </w:r>
    </w:p>
    <w:p>
      <w:pPr>
        <w:pStyle w:val="Heading3"/>
        <w:keepNext/>
        <w:widowControl/>
        <w:rPr/>
      </w:pPr>
      <w:r>
        <w:rPr/>
        <w:t>HR4-244. Mass Sweep And Checkpoint Safeguards: Equivalent Implementation Pathways</w:t>
      </w:r>
    </w:p>
    <w:p>
      <w:pPr>
        <w:pStyle w:val="Normal"/>
        <w:widowControl/>
        <w:rPr/>
      </w:pPr>
      <w:r>
        <w:rPr/>
        <w:t>Each Party may implement this mechanism through legislation, regulation, administrative practice, procurement conditions, collective arrangements, sectoral programs or other lawful means suited to its system. Different means are acceptable where they provide materially equivalent protection or progress and remain reviewable against the stated objective.</w:t>
      </w:r>
    </w:p>
    <w:p>
      <w:pPr>
        <w:pStyle w:val="Heading3"/>
        <w:keepNext/>
        <w:widowControl/>
        <w:rPr/>
      </w:pPr>
      <w:r>
        <w:rPr/>
        <w:t>HR4-245. Mass Sweep And Checkpoint Safeguards: Data, Participation and Capacity-Building</w:t>
      </w:r>
    </w:p>
    <w:p>
      <w:pPr>
        <w:pStyle w:val="Normal"/>
        <w:widowControl/>
        <w:rPr/>
      </w:pPr>
      <w:r>
        <w:rPr/>
        <w:t>Implementation should use proportionate evidence, affected-community participation and capacity-building where useful. Data collection shall be limited to what is reasonably necessary, protect confidential and sensitive personal information, use aggregation or de-identification where practicable, and avoid duplicative reporting.</w:t>
      </w:r>
    </w:p>
    <w:p>
      <w:pPr>
        <w:pStyle w:val="Heading3"/>
        <w:keepNext/>
        <w:widowControl/>
        <w:rPr/>
      </w:pPr>
      <w:r>
        <w:rPr/>
        <w:t>HR4-246. Use-Of-Force And De-Escalation In Border/Immigration Operations: Common Objective and Cooperation Duty</w:t>
      </w:r>
    </w:p>
    <w:p>
      <w:pPr>
        <w:pStyle w:val="Normal"/>
        <w:widowControl/>
        <w:rPr/>
      </w:pPr>
      <w:r>
        <w:rPr/>
        <w:t>The Parties shall cooperate, consistent with their respective laws and institutional competence, to advance the common objective of require necessity, proportionality, de-escalation where feasible, medical response, incident documentation and independent review of serious uses of force. Cooperation may include exchange of practices, technical assistance, compatible guidance and voluntary coordination and shall not require identical domestic institutions.</w:t>
      </w:r>
    </w:p>
    <w:p>
      <w:pPr>
        <w:pStyle w:val="Heading3"/>
        <w:keepNext/>
        <w:widowControl/>
        <w:rPr/>
      </w:pPr>
      <w:r>
        <w:rPr/>
        <w:t>HR4-247. Use-Of-Force And De-Escalation In Border/Immigration Operations: Equivalent Implementation Pathways</w:t>
      </w:r>
    </w:p>
    <w:p>
      <w:pPr>
        <w:pStyle w:val="Normal"/>
        <w:widowControl/>
        <w:rPr/>
      </w:pPr>
      <w:r>
        <w:rPr/>
        <w:t>Each Party may implement this mechanism through legislation, regulation, administrative practice, procurement conditions, collective arrangements, sectoral programs or other lawful means suited to its system. Different means are acceptable where they provide materially equivalent protection or progress and remain reviewable against the stated objective.</w:t>
      </w:r>
    </w:p>
    <w:p>
      <w:pPr>
        <w:pStyle w:val="Heading3"/>
        <w:keepNext/>
        <w:widowControl/>
        <w:rPr/>
      </w:pPr>
      <w:r>
        <w:rPr/>
        <w:t>HR4-248. Use-Of-Force And De-Escalation In Border/Immigration Operations: Data, Participation and Capacity-Building</w:t>
      </w:r>
    </w:p>
    <w:p>
      <w:pPr>
        <w:pStyle w:val="Normal"/>
        <w:widowControl/>
        <w:rPr/>
      </w:pPr>
      <w:r>
        <w:rPr/>
        <w:t>Implementation should use proportionate evidence, affected-community participation and capacity-building where useful. Data collection shall be limited to what is reasonably necessary, protect confidential and sensitive personal information, use aggregation or de-identification where practicable, and avoid duplicative reporting.</w:t>
      </w:r>
    </w:p>
    <w:p>
      <w:pPr>
        <w:pStyle w:val="Heading3"/>
        <w:keepNext/>
        <w:widowControl/>
        <w:rPr/>
      </w:pPr>
      <w:r>
        <w:rPr/>
        <w:t>HR4-249. Use-Of-Force And De-Escalation In Border/Immigration Operations: Pilot, Review and Scaling</w:t>
      </w:r>
    </w:p>
    <w:p>
      <w:pPr>
        <w:pStyle w:val="Normal"/>
        <w:widowControl/>
        <w:rPr/>
      </w:pPr>
      <w:r>
        <w:rPr/>
        <w:t>A Party or the Parties jointly may test this mechanism through a time-limited pilot with published objectives, safeguards and review criteria. Continuation or scaling requires an affirmative decision based on evidence; discontinuing a pilot does not reduce independently applicable rights or constitute noncompliance with an optional element.</w:t>
      </w:r>
    </w:p>
    <w:p>
      <w:bookmarkStart w:id="3131" w:name="_NAESTMA_TOC_3131"/>
      <w:pPr>
        <w:pStyle w:val="Heading2"/>
        <w:keepNext/>
        <w:widowControl/>
        <w:rPr/>
      </w:pPr>
      <w:r>
        <w:rPr/>
        <w:t>CL-20. CUSTODY, DETENTION AND CORRECTIONS RIGHTS</w:t>
      </w:r>
      <w:bookmarkEnd w:id="3131"/>
    </w:p>
    <w:p>
      <w:pPr>
        <w:pStyle w:val="Normal"/>
        <w:widowControl/>
        <w:rPr/>
      </w:pPr>
      <w:r>
        <w:rPr/>
        <w:t>Application. Mixed Mandatory/Flexible Architecture. Provisions in this Section retain the Round-Three temperature assigned to their source mechanism and are interpreted through Articles CL-1 through CL-5.</w:t>
      </w:r>
    </w:p>
    <w:p>
      <w:pPr>
        <w:pStyle w:val="Heading3"/>
        <w:keepNext/>
        <w:widowControl/>
        <w:rPr/>
      </w:pPr>
      <w:r>
        <w:rPr/>
        <w:t>HR4-250. Alternatives And Least-Restrictive Custody: Common Objective and Cooperation Duty</w:t>
      </w:r>
    </w:p>
    <w:p>
      <w:pPr>
        <w:pStyle w:val="Normal"/>
        <w:widowControl/>
        <w:rPr/>
      </w:pPr>
      <w:r>
        <w:rPr/>
        <w:t>The Parties shall cooperate, consistent with their respective laws and institutional competence, to advance the common objective of protect food, water, sanitation, safe temperature, sleep, healthcare, communication, legal access, disability accommodation, safety and meaningful review without converting custody standards into a trade concession. Cooperation may include exchange of practices, technical assistance, compatible guidance and voluntary coordination and shall not require identical domestic institutions.</w:t>
      </w:r>
    </w:p>
    <w:p>
      <w:pPr>
        <w:pStyle w:val="Heading3"/>
        <w:keepNext/>
        <w:widowControl/>
        <w:rPr/>
      </w:pPr>
      <w:r>
        <w:rPr/>
        <w:t>HR4-251. Alternatives And Least-Restrictive Custody: Equivalent Implementation Pathways</w:t>
      </w:r>
    </w:p>
    <w:p>
      <w:pPr>
        <w:pStyle w:val="Normal"/>
        <w:widowControl/>
        <w:rPr/>
      </w:pPr>
      <w:r>
        <w:rPr/>
        <w:t>Each Party may implement this mechanism through legislation, regulation, administrative practice, procurement conditions, collective arrangements, sectoral programs or other lawful means suited to its system. Different means are acceptable where they provide materially equivalent protection or progress and remain reviewable against the stated objective.</w:t>
      </w:r>
    </w:p>
    <w:p>
      <w:pPr>
        <w:pStyle w:val="Heading3"/>
        <w:keepNext/>
        <w:widowControl/>
        <w:rPr/>
      </w:pPr>
      <w:r>
        <w:rPr/>
        <w:t>HR4-252. Independent Inspection And Serious-Incident Reporting: Common Objective and Cooperation Duty</w:t>
      </w:r>
    </w:p>
    <w:p>
      <w:pPr>
        <w:pStyle w:val="Normal"/>
        <w:widowControl/>
        <w:rPr/>
      </w:pPr>
      <w:r>
        <w:rPr/>
        <w:t>The Parties shall cooperate, consistent with their respective laws and institutional competence, to advance the common objective of use existing institutions where possible, transparent criteria, diverse expertise, confidentiality safeguards and periodic review without creating duplicative bureaucracy or private enforcement by implication. Cooperation may include exchange of practices, technical assistance, compatible guidance and voluntary coordination and shall not require identical domestic institutions.</w:t>
      </w:r>
    </w:p>
    <w:p>
      <w:pPr>
        <w:pStyle w:val="Heading3"/>
        <w:keepNext/>
        <w:widowControl/>
        <w:rPr/>
      </w:pPr>
      <w:r>
        <w:rPr/>
        <w:t>HR4-253. Independent Inspection And Serious-Incident Reporting: Equivalent Implementation Pathways</w:t>
      </w:r>
    </w:p>
    <w:p>
      <w:pPr>
        <w:pStyle w:val="Normal"/>
        <w:widowControl/>
        <w:rPr/>
      </w:pPr>
      <w:r>
        <w:rPr/>
        <w:t>Each Party may implement this mechanism through legislation, regulation, administrative practice, procurement conditions, collective arrangements, sectoral programs or other lawful means suited to its system. Different means are acceptable where they provide materially equivalent protection or progress and remain reviewable against the stated objective.</w:t>
      </w:r>
    </w:p>
    <w:p>
      <w:bookmarkStart w:id="3132" w:name="_NAESTMA_TOC_3132"/>
      <w:pPr>
        <w:pStyle w:val="Heading2"/>
        <w:keepNext/>
        <w:widowControl/>
        <w:rPr/>
      </w:pPr>
      <w:r>
        <w:rPr/>
        <w:t>CL-21. INDIGENOUS RIGHTS AND ECONOMIC PARTICIPATION</w:t>
      </w:r>
      <w:bookmarkEnd w:id="3132"/>
    </w:p>
    <w:p>
      <w:pPr>
        <w:pStyle w:val="Normal"/>
        <w:widowControl/>
        <w:rPr/>
      </w:pPr>
      <w:r>
        <w:rPr/>
        <w:t>Application. Mixed Mandatory/Flexible Architecture. Provisions in this Section retain the Round-Three temperature assigned to their source mechanism and are interpreted through Articles CL-1 through CL-5.</w:t>
      </w:r>
    </w:p>
    <w:p>
      <w:pPr>
        <w:pStyle w:val="Heading3"/>
        <w:keepNext/>
        <w:widowControl/>
        <w:rPr/>
      </w:pPr>
      <w:r>
        <w:rPr/>
        <w:t>HR4-254. Indigenous Decision-Making Institutions: Common Objective and Cooperation Duty</w:t>
      </w:r>
    </w:p>
    <w:p>
      <w:pPr>
        <w:pStyle w:val="Normal"/>
        <w:widowControl/>
        <w:rPr/>
      </w:pPr>
      <w:r>
        <w:rPr/>
        <w:t>The Parties shall cooperate, consistent with their respective laws and institutional competence, to advance the common objective of preserve stronger constitutional, treaty, inherent, statutory and otherwise applicable Indigenous rights, avoid defining rights downward, and require culturally appropriate participation where the treaty materially affects protected interests. Cooperation may include exchange of practices, technical assistance, compatible guidance and voluntary coordination and shall not require identical domestic institutions.</w:t>
      </w:r>
    </w:p>
    <w:p>
      <w:pPr>
        <w:pStyle w:val="Heading3"/>
        <w:keepNext/>
        <w:widowControl/>
        <w:rPr/>
      </w:pPr>
      <w:r>
        <w:rPr/>
        <w:t>HR4-255. Indigenous Decision-Making Institutions: Equivalent Implementation Pathways</w:t>
      </w:r>
    </w:p>
    <w:p>
      <w:pPr>
        <w:pStyle w:val="Normal"/>
        <w:widowControl/>
        <w:rPr/>
      </w:pPr>
      <w:r>
        <w:rPr/>
        <w:t>Each Party may implement this mechanism through legislation, regulation, administrative practice, procurement conditions, collective arrangements, sectoral programs or other lawful means suited to its system. Different means are acceptable where they provide materially equivalent protection or progress and remain reviewable against the stated objective.</w:t>
      </w:r>
    </w:p>
    <w:p>
      <w:pPr>
        <w:pStyle w:val="Heading3"/>
        <w:keepNext/>
        <w:widowControl/>
        <w:rPr/>
      </w:pPr>
      <w:r>
        <w:rPr/>
        <w:t>HR4-256. Indigenous Decision-Making Institutions: Data, Participation and Capacity-Building</w:t>
      </w:r>
    </w:p>
    <w:p>
      <w:pPr>
        <w:pStyle w:val="Normal"/>
        <w:widowControl/>
        <w:rPr/>
      </w:pPr>
      <w:r>
        <w:rPr/>
        <w:t>Implementation should use proportionate evidence, affected-community participation and capacity-building where useful. Data collection shall be limited to what is reasonably necessary, protect confidential and sensitive personal information, use aggregation or de-identification where practicable, and avoid duplicative reporting.</w:t>
      </w:r>
    </w:p>
    <w:p>
      <w:pPr>
        <w:pStyle w:val="Heading3"/>
        <w:keepNext/>
        <w:widowControl/>
        <w:rPr/>
      </w:pPr>
      <w:r>
        <w:rPr/>
        <w:t>HR4-257. Indigenous Decision-Making Institutions: Pilot, Review and Scaling</w:t>
      </w:r>
    </w:p>
    <w:p>
      <w:pPr>
        <w:pStyle w:val="Normal"/>
        <w:widowControl/>
        <w:rPr/>
      </w:pPr>
      <w:r>
        <w:rPr/>
        <w:t>A Party or the Parties jointly may test this mechanism through a time-limited pilot with published objectives, safeguards and review criteria. Continuation or scaling requires an affirmative decision based on evidence; discontinuing a pilot does not reduce independently applicable rights or constitute noncompliance with an optional element.</w:t>
      </w:r>
    </w:p>
    <w:p>
      <w:pPr>
        <w:pStyle w:val="Heading3"/>
        <w:keepNext/>
        <w:widowControl/>
        <w:rPr/>
      </w:pPr>
      <w:r>
        <w:rPr/>
        <w:t>HR4-258. Indigenous Economic Development Autonomy: Common Objective and Cooperation Duty</w:t>
      </w:r>
    </w:p>
    <w:p>
      <w:pPr>
        <w:pStyle w:val="Normal"/>
        <w:widowControl/>
        <w:rPr/>
      </w:pPr>
      <w:r>
        <w:rPr/>
        <w:t>The Parties shall cooperate, consistent with their respective laws and institutional competence, to advance the common objective of preserve stronger constitutional, treaty, inherent, statutory and otherwise applicable Indigenous rights, avoid defining rights downward, and require culturally appropriate participation where the treaty materially affects protected interests. Cooperation may include exchange of practices, technical assistance, compatible guidance and voluntary coordination and shall not require identical domestic institutions.</w:t>
      </w:r>
    </w:p>
    <w:p>
      <w:pPr>
        <w:pStyle w:val="Heading3"/>
        <w:keepNext/>
        <w:widowControl/>
        <w:rPr/>
      </w:pPr>
      <w:r>
        <w:rPr/>
        <w:t>HR4-259. Indigenous Economic Development Autonomy: Equivalent Implementation Pathways</w:t>
      </w:r>
    </w:p>
    <w:p>
      <w:pPr>
        <w:pStyle w:val="Normal"/>
        <w:widowControl/>
        <w:rPr/>
      </w:pPr>
      <w:r>
        <w:rPr/>
        <w:t>Each Party may implement this mechanism through legislation, regulation, administrative practice, procurement conditions, collective arrangements, sectoral programs or other lawful means suited to its system. Different means are acceptable where they provide materially equivalent protection or progress and remain reviewable against the stated objective.</w:t>
      </w:r>
    </w:p>
    <w:p>
      <w:pPr>
        <w:pStyle w:val="Heading3"/>
        <w:keepNext/>
        <w:widowControl/>
        <w:rPr/>
      </w:pPr>
      <w:r>
        <w:rPr/>
        <w:t>HR4-260. Indigenous Economic Development Autonomy: Data, Participation and Capacity-Building</w:t>
      </w:r>
    </w:p>
    <w:p>
      <w:pPr>
        <w:pStyle w:val="Normal"/>
        <w:widowControl/>
        <w:rPr/>
      </w:pPr>
      <w:r>
        <w:rPr/>
        <w:t>Implementation should use proportionate evidence, affected-community participation and capacity-building where useful. Data collection shall be limited to what is reasonably necessary, protect confidential and sensitive personal information, use aggregation or de-identification where practicable, and avoid duplicative reporting.</w:t>
      </w:r>
    </w:p>
    <w:p>
      <w:pPr>
        <w:pStyle w:val="Heading3"/>
        <w:keepNext/>
        <w:widowControl/>
        <w:rPr/>
      </w:pPr>
      <w:r>
        <w:rPr/>
        <w:t>HR4-261. Indigenous Economic Development Autonomy: Pilot, Review and Scaling</w:t>
      </w:r>
    </w:p>
    <w:p>
      <w:pPr>
        <w:pStyle w:val="Normal"/>
        <w:widowControl/>
        <w:rPr/>
      </w:pPr>
      <w:r>
        <w:rPr/>
        <w:t>A Party or the Parties jointly may test this mechanism through a time-limited pilot with published objectives, safeguards and review criteria. Continuation or scaling requires an affirmative decision based on evidence; discontinuing a pilot does not reduce independently applicable rights or constitute noncompliance with an optional element.</w:t>
      </w:r>
    </w:p>
    <w:p>
      <w:pPr>
        <w:pStyle w:val="Heading3"/>
        <w:keepNext/>
        <w:widowControl/>
        <w:rPr/>
      </w:pPr>
      <w:r>
        <w:rPr/>
        <w:t>HR4-262. Indigenous Business And Sme Trade Facilitation: Common Objective and Cooperation Duty</w:t>
      </w:r>
    </w:p>
    <w:p>
      <w:pPr>
        <w:pStyle w:val="Normal"/>
        <w:widowControl/>
        <w:rPr/>
      </w:pPr>
      <w:r>
        <w:rPr/>
        <w:t>The Parties shall cooperate, consistent with their respective laws and institutional competence, to advance the common objective of preserve stronger constitutional, treaty, inherent, statutory and otherwise applicable Indigenous rights, avoid defining rights downward, and require culturally appropriate participation where the treaty materially affects protected interests. Cooperation may include exchange of practices, technical assistance, compatible guidance and voluntary coordination and shall not require identical domestic institutions.</w:t>
      </w:r>
    </w:p>
    <w:p>
      <w:pPr>
        <w:pStyle w:val="Heading3"/>
        <w:keepNext/>
        <w:widowControl/>
        <w:rPr/>
      </w:pPr>
      <w:r>
        <w:rPr/>
        <w:t>HR4-263. Indigenous Business And Sme Trade Facilitation: Equivalent Implementation Pathways</w:t>
      </w:r>
    </w:p>
    <w:p>
      <w:pPr>
        <w:pStyle w:val="Normal"/>
        <w:widowControl/>
        <w:rPr/>
      </w:pPr>
      <w:r>
        <w:rPr/>
        <w:t>Each Party may implement this mechanism through legislation, regulation, administrative practice, procurement conditions, collective arrangements, sectoral programs or other lawful means suited to its system. Different means are acceptable where they provide materially equivalent protection or progress and remain reviewable against the stated objective.</w:t>
      </w:r>
    </w:p>
    <w:p>
      <w:pPr>
        <w:pStyle w:val="Heading3"/>
        <w:keepNext/>
        <w:widowControl/>
        <w:rPr/>
      </w:pPr>
      <w:r>
        <w:rPr/>
        <w:t>HR4-264. Indigenous Business And Sme Trade Facilitation: Data, Participation and Capacity-Building</w:t>
      </w:r>
    </w:p>
    <w:p>
      <w:pPr>
        <w:pStyle w:val="Normal"/>
        <w:widowControl/>
        <w:rPr/>
      </w:pPr>
      <w:r>
        <w:rPr/>
        <w:t>Implementation should use proportionate evidence, affected-community participation and capacity-building where useful. Data collection shall be limited to what is reasonably necessary, protect confidential and sensitive personal information, use aggregation or de-identification where practicable, and avoid duplicative reporting.</w:t>
      </w:r>
    </w:p>
    <w:p>
      <w:pPr>
        <w:pStyle w:val="Heading3"/>
        <w:keepNext/>
        <w:widowControl/>
        <w:rPr/>
      </w:pPr>
      <w:r>
        <w:rPr/>
        <w:t>HR4-265. Indigenous Procurement Participation: Common Objective and Cooperation Duty</w:t>
      </w:r>
    </w:p>
    <w:p>
      <w:pPr>
        <w:pStyle w:val="Normal"/>
        <w:widowControl/>
        <w:rPr/>
      </w:pPr>
      <w:r>
        <w:rPr/>
        <w:t>The Parties shall cooperate, consistent with their respective laws and institutional competence, to advance the common objective of preserve stronger constitutional, treaty, inherent, statutory and otherwise applicable Indigenous rights, avoid defining rights downward, and require culturally appropriate participation where the treaty materially affects protected interests. Cooperation may include exchange of practices, technical assistance, compatible guidance and voluntary coordination and shall not require identical domestic institutions.</w:t>
      </w:r>
    </w:p>
    <w:p>
      <w:pPr>
        <w:pStyle w:val="Heading3"/>
        <w:keepNext/>
        <w:widowControl/>
        <w:rPr/>
      </w:pPr>
      <w:r>
        <w:rPr/>
        <w:t>HR4-266. Indigenous Procurement Participation: Equivalent Implementation Pathways</w:t>
      </w:r>
    </w:p>
    <w:p>
      <w:pPr>
        <w:pStyle w:val="Normal"/>
        <w:widowControl/>
        <w:rPr/>
      </w:pPr>
      <w:r>
        <w:rPr/>
        <w:t>Each Party may implement this mechanism through legislation, regulation, administrative practice, procurement conditions, collective arrangements, sectoral programs or other lawful means suited to its system. Different means are acceptable where they provide materially equivalent protection or progress and remain reviewable against the stated objective.</w:t>
      </w:r>
    </w:p>
    <w:p>
      <w:pPr>
        <w:pStyle w:val="Heading3"/>
        <w:keepNext/>
        <w:widowControl/>
        <w:rPr/>
      </w:pPr>
      <w:r>
        <w:rPr/>
        <w:t>HR4-267. Indigenous Trade Finance And Investment Access: Common Objective and Cooperation Duty</w:t>
      </w:r>
    </w:p>
    <w:p>
      <w:pPr>
        <w:pStyle w:val="Normal"/>
        <w:widowControl/>
        <w:rPr/>
      </w:pPr>
      <w:r>
        <w:rPr/>
        <w:t>The Parties shall cooperate, consistent with their respective laws and institutional competence, to advance the common objective of preserve stronger constitutional, treaty, inherent, statutory and otherwise applicable Indigenous rights, avoid defining rights downward, and require culturally appropriate participation where the treaty materially affects protected interests. Cooperation may include exchange of practices, technical assistance, compatible guidance and voluntary coordination and shall not require identical domestic institutions.</w:t>
      </w:r>
    </w:p>
    <w:p>
      <w:pPr>
        <w:pStyle w:val="Heading3"/>
        <w:keepNext/>
        <w:widowControl/>
        <w:rPr/>
      </w:pPr>
      <w:r>
        <w:rPr/>
        <w:t>HR4-268. Indigenous Trade Finance And Investment Access: Equivalent Implementation Pathways</w:t>
      </w:r>
    </w:p>
    <w:p>
      <w:pPr>
        <w:pStyle w:val="Normal"/>
        <w:widowControl/>
        <w:rPr/>
      </w:pPr>
      <w:r>
        <w:rPr/>
        <w:t>Each Party may implement this mechanism through legislation, regulation, administrative practice, procurement conditions, collective arrangements, sectoral programs or other lawful means suited to its system. Different means are acceptable where they provide materially equivalent protection or progress and remain reviewable against the stated objective.</w:t>
      </w:r>
    </w:p>
    <w:p>
      <w:pPr>
        <w:pStyle w:val="Heading3"/>
        <w:keepNext/>
        <w:widowControl/>
        <w:rPr/>
      </w:pPr>
      <w:r>
        <w:rPr/>
        <w:t>HR4-269. Indigenous-To-Indigenous And Traditional Trade Facilitation: Common Objective and Cooperation Duty</w:t>
      </w:r>
    </w:p>
    <w:p>
      <w:pPr>
        <w:pStyle w:val="Normal"/>
        <w:widowControl/>
        <w:rPr/>
      </w:pPr>
      <w:r>
        <w:rPr/>
        <w:t>The Parties shall cooperate, consistent with their respective laws and institutional competence, to advance the common objective of preserve stronger constitutional, treaty, inherent, statutory and otherwise applicable Indigenous rights, avoid defining rights downward, and require culturally appropriate participation where the treaty materially affects protected interests. Cooperation may include exchange of practices, technical assistance, compatible guidance and voluntary coordination and shall not require identical domestic institutions.</w:t>
      </w:r>
    </w:p>
    <w:p>
      <w:pPr>
        <w:pStyle w:val="Heading3"/>
        <w:keepNext/>
        <w:widowControl/>
        <w:rPr/>
      </w:pPr>
      <w:r>
        <w:rPr/>
        <w:t>HR4-270. Indigenous-To-Indigenous And Traditional Trade Facilitation: Equivalent Implementation Pathways</w:t>
      </w:r>
    </w:p>
    <w:p>
      <w:pPr>
        <w:pStyle w:val="Normal"/>
        <w:widowControl/>
        <w:rPr/>
      </w:pPr>
      <w:r>
        <w:rPr/>
        <w:t>Each Party may implement this mechanism through legislation, regulation, administrative practice, procurement conditions, collective arrangements, sectoral programs or other lawful means suited to its system. Different means are acceptable where they provide materially equivalent protection or progress and remain reviewable against the stated objective.</w:t>
      </w:r>
    </w:p>
    <w:p>
      <w:pPr>
        <w:pStyle w:val="Heading3"/>
        <w:keepNext/>
        <w:widowControl/>
        <w:rPr/>
      </w:pPr>
      <w:r>
        <w:rPr/>
        <w:t>HR4-271. Cross-Border Cultural And Community Mobility Facilitation: Common Objective and Cooperation Duty</w:t>
      </w:r>
    </w:p>
    <w:p>
      <w:pPr>
        <w:pStyle w:val="Normal"/>
        <w:widowControl/>
        <w:rPr/>
      </w:pPr>
      <w:r>
        <w:rPr/>
        <w:t>The Parties shall cooperate, consistent with their respective laws and institutional competence, to advance the common objective of translate the mechanism into a narrow treaty-linked obligation, preserve stronger domestic protections, and avoid creating rights or liabilities beyond what the Parties expressly adopt. Cooperation may include exchange of practices, technical assistance, compatible guidance and voluntary coordination and shall not require identical domestic institutions.</w:t>
      </w:r>
    </w:p>
    <w:p>
      <w:pPr>
        <w:pStyle w:val="Heading3"/>
        <w:keepNext/>
        <w:widowControl/>
        <w:rPr/>
      </w:pPr>
      <w:r>
        <w:rPr/>
        <w:t>HR4-272. Cross-Border Cultural And Community Mobility Facilitation: Equivalent Implementation Pathways</w:t>
      </w:r>
    </w:p>
    <w:p>
      <w:pPr>
        <w:pStyle w:val="Normal"/>
        <w:widowControl/>
        <w:rPr/>
      </w:pPr>
      <w:r>
        <w:rPr/>
        <w:t>Each Party may implement this mechanism through legislation, regulation, administrative practice, procurement conditions, collective arrangements, sectoral programs or other lawful means suited to its system. Different means are acceptable where they provide materially equivalent protection or progress and remain reviewable against the stated objective.</w:t>
      </w:r>
    </w:p>
    <w:p>
      <w:pPr>
        <w:pStyle w:val="Heading3"/>
        <w:keepNext/>
        <w:widowControl/>
        <w:rPr/>
      </w:pPr>
      <w:r>
        <w:rPr/>
        <w:t>HR4-273. Cross-Border Cultural And Community Mobility Facilitation: Data, Participation and Capacity-Building</w:t>
      </w:r>
    </w:p>
    <w:p>
      <w:pPr>
        <w:pStyle w:val="Normal"/>
        <w:widowControl/>
        <w:rPr/>
      </w:pPr>
      <w:r>
        <w:rPr/>
        <w:t>Implementation should use proportionate evidence, affected-community participation and capacity-building where useful. Data collection shall be limited to what is reasonably necessary, protect confidential and sensitive personal information, use aggregation or de-identification where practicable, and avoid duplicative reporting.</w:t>
      </w:r>
    </w:p>
    <w:p>
      <w:pPr>
        <w:pStyle w:val="Heading3"/>
        <w:keepNext/>
        <w:widowControl/>
        <w:rPr/>
      </w:pPr>
      <w:r>
        <w:rPr/>
        <w:t>HR4-274. Indigenous Data Governance And Sovereignty Safeguards: Common Objective and Cooperation Duty</w:t>
      </w:r>
    </w:p>
    <w:p>
      <w:pPr>
        <w:pStyle w:val="Normal"/>
        <w:widowControl/>
        <w:rPr/>
      </w:pPr>
      <w:r>
        <w:rPr/>
        <w:t>The Parties shall cooperate, consistent with their respective laws and institutional competence, to advance the common objective of preserve stronger constitutional, treaty, inherent, statutory and otherwise applicable Indigenous rights, avoid defining rights downward, and require culturally appropriate participation where the treaty materially affects protected interests. Cooperation may include exchange of practices, technical assistance, compatible guidance and voluntary coordination and shall not require identical domestic institutions.</w:t>
      </w:r>
    </w:p>
    <w:p>
      <w:pPr>
        <w:pStyle w:val="Heading3"/>
        <w:keepNext/>
        <w:widowControl/>
        <w:rPr/>
      </w:pPr>
      <w:r>
        <w:rPr/>
        <w:t>HR4-275. Indigenous Data Governance And Sovereignty Safeguards: Equivalent Implementation Pathways</w:t>
      </w:r>
    </w:p>
    <w:p>
      <w:pPr>
        <w:pStyle w:val="Normal"/>
        <w:widowControl/>
        <w:rPr/>
      </w:pPr>
      <w:r>
        <w:rPr/>
        <w:t>Each Party may implement this mechanism through legislation, regulation, administrative practice, procurement conditions, collective arrangements, sectoral programs or other lawful means suited to its system. Different means are acceptable where they provide materially equivalent protection or progress and remain reviewable against the stated objective.</w:t>
      </w:r>
    </w:p>
    <w:p>
      <w:pPr>
        <w:pStyle w:val="Heading3"/>
        <w:keepNext/>
        <w:widowControl/>
        <w:rPr/>
      </w:pPr>
      <w:r>
        <w:rPr/>
        <w:t>HR4-276. Genetic Resources And Benefit Sharing: Common Objective and Cooperation Duty</w:t>
      </w:r>
    </w:p>
    <w:p>
      <w:pPr>
        <w:pStyle w:val="Normal"/>
        <w:widowControl/>
        <w:rPr/>
      </w:pPr>
      <w:r>
        <w:rPr/>
        <w:t>The Parties shall cooperate, consistent with their respective laws and institutional competence, to advance the common objective of translate the mechanism into a narrow treaty-linked obligation, preserve stronger domestic protections, and avoid creating rights or liabilities beyond what the Parties expressly adopt. Cooperation may include exchange of practices, technical assistance, compatible guidance and voluntary coordination and shall not require identical domestic institutions.</w:t>
      </w:r>
    </w:p>
    <w:p>
      <w:pPr>
        <w:pStyle w:val="Heading3"/>
        <w:keepNext/>
        <w:widowControl/>
        <w:rPr/>
      </w:pPr>
      <w:r>
        <w:rPr/>
        <w:t>HR4-277. Genetic Resources And Benefit Sharing: Equivalent Implementation Pathways</w:t>
      </w:r>
    </w:p>
    <w:p>
      <w:pPr>
        <w:pStyle w:val="Normal"/>
        <w:widowControl/>
        <w:rPr/>
      </w:pPr>
      <w:r>
        <w:rPr/>
        <w:t>Each Party may implement this mechanism through legislation, regulation, administrative practice, procurement conditions, collective arrangements, sectoral programs or other lawful means suited to its system. Different means are acceptable where they provide materially equivalent protection or progress and remain reviewable against the stated objective.</w:t>
      </w:r>
    </w:p>
    <w:p>
      <w:pPr>
        <w:pStyle w:val="Heading3"/>
        <w:keepNext/>
        <w:widowControl/>
        <w:rPr/>
      </w:pPr>
      <w:r>
        <w:rPr/>
        <w:t>HR4-278. Environmental Stewardship And Co-Management Cooperation: Common Objective and Cooperation Duty</w:t>
      </w:r>
    </w:p>
    <w:p>
      <w:pPr>
        <w:pStyle w:val="Normal"/>
        <w:widowControl/>
        <w:rPr/>
      </w:pPr>
      <w:r>
        <w:rPr/>
        <w:t>The Parties shall cooperate, consistent with their respective laws and institutional competence, to advance the common objective of preserve each Party’s chosen level of environmental protection, prevent trade-driven non-enforcement or regression, and support evidence-based participation, conservation and transition cooperation. Cooperation may include exchange of practices, technical assistance, compatible guidance and voluntary coordination and shall not require identical domestic institutions.</w:t>
      </w:r>
    </w:p>
    <w:p>
      <w:pPr>
        <w:pStyle w:val="Heading3"/>
        <w:keepNext/>
        <w:widowControl/>
        <w:rPr/>
      </w:pPr>
      <w:r>
        <w:rPr/>
        <w:t>HR4-279. Environmental Stewardship And Co-Management Cooperation: Equivalent Implementation Pathways</w:t>
      </w:r>
    </w:p>
    <w:p>
      <w:pPr>
        <w:pStyle w:val="Normal"/>
        <w:widowControl/>
        <w:rPr/>
      </w:pPr>
      <w:r>
        <w:rPr/>
        <w:t>Each Party may implement this mechanism through legislation, regulation, administrative practice, procurement conditions, collective arrangements, sectoral programs or other lawful means suited to its system. Different means are acceptable where they provide materially equivalent protection or progress and remain reviewable against the stated objective.</w:t>
      </w:r>
    </w:p>
    <w:p>
      <w:pPr>
        <w:pStyle w:val="Heading3"/>
        <w:keepNext/>
        <w:widowControl/>
        <w:rPr/>
      </w:pPr>
      <w:r>
        <w:rPr/>
        <w:t>HR4-280. Environmental Stewardship And Co-Management Cooperation: Data, Participation and Capacity-Building</w:t>
      </w:r>
    </w:p>
    <w:p>
      <w:pPr>
        <w:pStyle w:val="Normal"/>
        <w:widowControl/>
        <w:rPr/>
      </w:pPr>
      <w:r>
        <w:rPr/>
        <w:t>Implementation should use proportionate evidence, affected-community participation and capacity-building where useful. Data collection shall be limited to what is reasonably necessary, protect confidential and sensitive personal information, use aggregation or de-identification where practicable, and avoid duplicative reporting.</w:t>
      </w:r>
    </w:p>
    <w:p>
      <w:pPr>
        <w:pStyle w:val="Heading3"/>
        <w:keepNext/>
        <w:widowControl/>
        <w:rPr/>
      </w:pPr>
      <w:r>
        <w:rPr/>
        <w:t>HR4-281. Environmental Stewardship And Co-Management Cooperation: Pilot, Review and Scaling</w:t>
      </w:r>
    </w:p>
    <w:p>
      <w:pPr>
        <w:pStyle w:val="Normal"/>
        <w:widowControl/>
        <w:rPr/>
      </w:pPr>
      <w:r>
        <w:rPr/>
        <w:t>A Party or the Parties jointly may test this mechanism through a time-limited pilot with published objectives, safeguards and review criteria. Continuation or scaling requires an affirmative decision based on evidence; discontinuing a pilot does not reduce independently applicable rights or constitute noncompliance with an optional element.</w:t>
      </w:r>
    </w:p>
    <w:p>
      <w:pPr>
        <w:pStyle w:val="Heading3"/>
        <w:keepNext/>
        <w:widowControl/>
        <w:rPr/>
      </w:pPr>
      <w:r>
        <w:rPr/>
        <w:t>HR4-282. Resource-Project Participation And Benefit Pathways: Common Objective and Cooperation Duty</w:t>
      </w:r>
    </w:p>
    <w:p>
      <w:pPr>
        <w:pStyle w:val="Normal"/>
        <w:widowControl/>
        <w:rPr/>
      </w:pPr>
      <w:r>
        <w:rPr/>
        <w:t>The Parties shall cooperate, consistent with their respective laws and institutional competence, to advance the common objective of use existing institutions where possible, transparent criteria, diverse expertise, confidentiality safeguards and periodic review without creating duplicative bureaucracy or private enforcement by implication. Cooperation may include exchange of practices, technical assistance, compatible guidance and voluntary coordination and shall not require identical domestic institutions.</w:t>
      </w:r>
    </w:p>
    <w:p>
      <w:pPr>
        <w:pStyle w:val="Heading3"/>
        <w:keepNext/>
        <w:widowControl/>
        <w:rPr/>
      </w:pPr>
      <w:r>
        <w:rPr/>
        <w:t>HR4-283. Resource-Project Participation And Benefit Pathways: Equivalent Implementation Pathways</w:t>
      </w:r>
    </w:p>
    <w:p>
      <w:pPr>
        <w:pStyle w:val="Normal"/>
        <w:widowControl/>
        <w:rPr/>
      </w:pPr>
      <w:r>
        <w:rPr/>
        <w:t>Each Party may implement this mechanism through legislation, regulation, administrative practice, procurement conditions, collective arrangements, sectoral programs or other lawful means suited to its system. Different means are acceptable where they provide materially equivalent protection or progress and remain reviewable against the stated objective.</w:t>
      </w:r>
    </w:p>
    <w:p>
      <w:pPr>
        <w:pStyle w:val="Heading3"/>
        <w:keepNext/>
        <w:widowControl/>
        <w:rPr/>
      </w:pPr>
      <w:r>
        <w:rPr/>
        <w:t>HR4-284. Indigenous Expertise In Panels And Committees: Common Objective and Cooperation Duty</w:t>
      </w:r>
    </w:p>
    <w:p>
      <w:pPr>
        <w:pStyle w:val="Normal"/>
        <w:widowControl/>
        <w:rPr/>
      </w:pPr>
      <w:r>
        <w:rPr/>
        <w:t>The Parties shall cooperate, consistent with their respective laws and institutional competence, to advance the common objective of preserve stronger constitutional, treaty, inherent, statutory and otherwise applicable Indigenous rights, avoid defining rights downward, and require culturally appropriate participation where the treaty materially affects protected interests. Cooperation may include exchange of practices, technical assistance, compatible guidance and voluntary coordination and shall not require identical domestic institutions.</w:t>
      </w:r>
    </w:p>
    <w:p>
      <w:pPr>
        <w:pStyle w:val="Heading3"/>
        <w:keepNext/>
        <w:widowControl/>
        <w:rPr/>
      </w:pPr>
      <w:r>
        <w:rPr/>
        <w:t>HR4-285. Indigenous Expertise In Panels And Committees: Equivalent Implementation Pathways</w:t>
      </w:r>
    </w:p>
    <w:p>
      <w:pPr>
        <w:pStyle w:val="Normal"/>
        <w:widowControl/>
        <w:rPr/>
      </w:pPr>
      <w:r>
        <w:rPr/>
        <w:t>Each Party may implement this mechanism through legislation, regulation, administrative practice, procurement conditions, collective arrangements, sectoral programs or other lawful means suited to its system. Different means are acceptable where they provide materially equivalent protection or progress and remain reviewable against the stated objective.</w:t>
      </w:r>
    </w:p>
    <w:p>
      <w:pPr>
        <w:pStyle w:val="Heading3"/>
        <w:keepNext/>
        <w:widowControl/>
        <w:rPr/>
      </w:pPr>
      <w:r>
        <w:rPr/>
        <w:t>HR4-286. Undrip/Domestic-Rights Consistency Review: Common Objective and Cooperation Duty</w:t>
      </w:r>
    </w:p>
    <w:p>
      <w:pPr>
        <w:pStyle w:val="Normal"/>
        <w:widowControl/>
        <w:rPr/>
      </w:pPr>
      <w:r>
        <w:rPr/>
        <w:t>The Parties shall cooperate, consistent with their respective laws and institutional competence, to advance the common objective of preserve stronger constitutional, treaty, inherent, statutory and otherwise applicable Indigenous rights, avoid defining rights downward, and require culturally appropriate participation where the treaty materially affects protected interests. Cooperation may include exchange of practices, technical assistance, compatible guidance and voluntary coordination and shall not require identical domestic institutions.</w:t>
      </w:r>
    </w:p>
    <w:p>
      <w:pPr>
        <w:pStyle w:val="Heading3"/>
        <w:keepNext/>
        <w:widowControl/>
        <w:rPr/>
      </w:pPr>
      <w:r>
        <w:rPr/>
        <w:t>HR4-287. Undrip/Domestic-Rights Consistency Review: Equivalent Implementation Pathways</w:t>
      </w:r>
    </w:p>
    <w:p>
      <w:pPr>
        <w:pStyle w:val="Normal"/>
        <w:widowControl/>
        <w:rPr/>
      </w:pPr>
      <w:r>
        <w:rPr/>
        <w:t>Each Party may implement this mechanism through legislation, regulation, administrative practice, procurement conditions, collective arrangements, sectoral programs or other lawful means suited to its system. Different means are acceptable where they provide materially equivalent protection or progress and remain reviewable against the stated objective.</w:t>
      </w:r>
    </w:p>
    <w:p>
      <w:bookmarkStart w:id="3133" w:name="_NAESTMA_TOC_3133"/>
      <w:pPr>
        <w:pStyle w:val="Heading2"/>
        <w:keepNext/>
        <w:widowControl/>
        <w:rPr/>
      </w:pPr>
      <w:r>
        <w:rPr/>
        <w:t>CL-22. DIGITAL, PRIVACY, DATA AND AUTOMATED-DECISION RIGHTS</w:t>
      </w:r>
      <w:bookmarkEnd w:id="3133"/>
    </w:p>
    <w:p>
      <w:pPr>
        <w:pStyle w:val="Normal"/>
        <w:widowControl/>
        <w:rPr/>
      </w:pPr>
      <w:r>
        <w:rPr/>
        <w:t>Application. Mixed Mandatory/Flexible Architecture. Provisions in this Section retain the Round-Three temperature assigned to their source mechanism and are interpreted through Articles CL-1 through CL-5.</w:t>
      </w:r>
    </w:p>
    <w:p>
      <w:pPr>
        <w:pStyle w:val="Heading3"/>
        <w:keepNext/>
        <w:widowControl/>
        <w:rPr/>
      </w:pPr>
      <w:r>
        <w:rPr/>
        <w:t>HR4-288. Biometric And Facial-Recognition Safeguards: Common Objective and Cooperation Duty</w:t>
      </w:r>
    </w:p>
    <w:p>
      <w:pPr>
        <w:pStyle w:val="Normal"/>
        <w:widowControl/>
        <w:rPr/>
      </w:pPr>
      <w:r>
        <w:rPr/>
        <w:t>The Parties shall cooperate, consistent with their respective laws and institutional competence, to advance the common objective of apply heightened necessity, proportionality, accuracy, bias testing, authorization, logging, retention and review safeguards to intrusive or identity-sensitive technologies. Cooperation may include exchange of practices, technical assistance, compatible guidance and voluntary coordination and shall not require identical domestic institutions.</w:t>
      </w:r>
    </w:p>
    <w:p>
      <w:pPr>
        <w:pStyle w:val="Heading3"/>
        <w:keepNext/>
        <w:widowControl/>
        <w:rPr/>
      </w:pPr>
      <w:r>
        <w:rPr/>
        <w:t>HR4-289. Biometric And Facial-Recognition Safeguards: Equivalent Implementation Pathways</w:t>
      </w:r>
    </w:p>
    <w:p>
      <w:pPr>
        <w:pStyle w:val="Normal"/>
        <w:widowControl/>
        <w:rPr/>
      </w:pPr>
      <w:r>
        <w:rPr/>
        <w:t>Each Party may implement this mechanism through legislation, regulation, administrative practice, procurement conditions, collective arrangements, sectoral programs or other lawful means suited to its system. Different means are acceptable where they provide materially equivalent protection or progress and remain reviewable against the stated objective.</w:t>
      </w:r>
    </w:p>
    <w:p>
      <w:pPr>
        <w:pStyle w:val="Heading3"/>
        <w:keepNext/>
        <w:widowControl/>
        <w:rPr/>
      </w:pPr>
      <w:r>
        <w:rPr/>
        <w:t>HR4-290. Encryption And Cybersecurity Rights Balance: Common Objective and Cooperation Duty</w:t>
      </w:r>
    </w:p>
    <w:p>
      <w:pPr>
        <w:pStyle w:val="Normal"/>
        <w:widowControl/>
        <w:rPr/>
      </w:pPr>
      <w:r>
        <w:rPr/>
        <w:t>The Parties shall cooperate, consistent with their respective laws and institutional competence, to advance the common objective of preserve cybersecurity and lawful-investigation objectives without creating blanket requirements that systematically weaken secure communications or expose users to disproportionate risk. Cooperation may include exchange of practices, technical assistance, compatible guidance and voluntary coordination and shall not require identical domestic institutions.</w:t>
      </w:r>
    </w:p>
    <w:p>
      <w:pPr>
        <w:pStyle w:val="Heading3"/>
        <w:keepNext/>
        <w:widowControl/>
        <w:rPr/>
      </w:pPr>
      <w:r>
        <w:rPr/>
        <w:t>HR4-291. Encryption And Cybersecurity Rights Balance: Equivalent Implementation Pathways</w:t>
      </w:r>
    </w:p>
    <w:p>
      <w:pPr>
        <w:pStyle w:val="Normal"/>
        <w:widowControl/>
        <w:rPr/>
      </w:pPr>
      <w:r>
        <w:rPr/>
        <w:t>Each Party may implement this mechanism through legislation, regulation, administrative practice, procurement conditions, collective arrangements, sectoral programs or other lawful means suited to its system. Different means are acceptable where they provide materially equivalent protection or progress and remain reviewable against the stated objective.</w:t>
      </w:r>
    </w:p>
    <w:p>
      <w:pPr>
        <w:pStyle w:val="Heading3"/>
        <w:keepNext/>
        <w:widowControl/>
        <w:rPr/>
      </w:pPr>
      <w:r>
        <w:rPr/>
        <w:t>HR4-292. Digital Expression, Access And Platform Due Process: Common Objective and Cooperation Duty</w:t>
      </w:r>
    </w:p>
    <w:p>
      <w:pPr>
        <w:pStyle w:val="Normal"/>
        <w:widowControl/>
        <w:rPr/>
      </w:pPr>
      <w:r>
        <w:rPr/>
        <w:t>The Parties shall cooperate, consistent with their respective laws and institutional competence, to advance the common objective of require notice, a meaningful opportunity to respond, impartial decision-making, reasons where appropriate, and access to review proportionate to the decision at stake. Cooperation may include exchange of practices, technical assistance, compatible guidance and voluntary coordination and shall not require identical domestic institutions.</w:t>
      </w:r>
    </w:p>
    <w:p>
      <w:pPr>
        <w:pStyle w:val="Heading3"/>
        <w:keepNext/>
        <w:widowControl/>
        <w:rPr/>
      </w:pPr>
      <w:r>
        <w:rPr/>
        <w:t>HR4-293. Digital Expression, Access And Platform Due Process: Equivalent Implementation Pathways</w:t>
      </w:r>
    </w:p>
    <w:p>
      <w:pPr>
        <w:pStyle w:val="Normal"/>
        <w:widowControl/>
        <w:rPr/>
      </w:pPr>
      <w:r>
        <w:rPr/>
        <w:t>Each Party may implement this mechanism through legislation, regulation, administrative practice, procurement conditions, collective arrangements, sectoral programs or other lawful means suited to its system. Different means are acceptable where they provide materially equivalent protection or progress and remain reviewable against the stated objective.</w:t>
      </w:r>
    </w:p>
    <w:p>
      <w:pPr>
        <w:pStyle w:val="Heading3"/>
        <w:keepNext/>
        <w:widowControl/>
        <w:rPr/>
      </w:pPr>
      <w:r>
        <w:rPr/>
        <w:t>HR4-294. Digital Expression, Access And Platform Due Process: Data, Participation and Capacity-Building</w:t>
      </w:r>
    </w:p>
    <w:p>
      <w:pPr>
        <w:pStyle w:val="Normal"/>
        <w:widowControl/>
        <w:rPr/>
      </w:pPr>
      <w:r>
        <w:rPr/>
        <w:t>Implementation should use proportionate evidence, affected-community participation and capacity-building where useful. Data collection shall be limited to what is reasonably necessary, protect confidential and sensitive personal information, use aggregation or de-identification where practicable, and avoid duplicative reporting.</w:t>
      </w:r>
    </w:p>
    <w:p>
      <w:pPr>
        <w:pStyle w:val="Heading3"/>
        <w:keepNext/>
        <w:widowControl/>
        <w:rPr/>
      </w:pPr>
      <w:r>
        <w:rPr/>
        <w:t>HR4-295. Children/Vulnerable Persons Digital Safety: Common Objective and Cooperation Duty</w:t>
      </w:r>
    </w:p>
    <w:p>
      <w:pPr>
        <w:pStyle w:val="Normal"/>
        <w:widowControl/>
        <w:rPr/>
      </w:pPr>
      <w:r>
        <w:rPr/>
        <w:t>The Parties shall cooperate, consistent with their respective laws and institutional competence, to advance the common objective of translate the mechanism into a narrow treaty-linked obligation, preserve stronger domestic protections, and avoid creating rights or liabilities beyond what the Parties expressly adopt. Cooperation may include exchange of practices, technical assistance, compatible guidance and voluntary coordination and shall not require identical domestic institutions.</w:t>
      </w:r>
    </w:p>
    <w:p>
      <w:pPr>
        <w:pStyle w:val="Heading3"/>
        <w:keepNext/>
        <w:widowControl/>
        <w:rPr/>
      </w:pPr>
      <w:r>
        <w:rPr/>
        <w:t>HR4-296. Children/Vulnerable Persons Digital Safety: Equivalent Implementation Pathways</w:t>
      </w:r>
    </w:p>
    <w:p>
      <w:pPr>
        <w:pStyle w:val="Normal"/>
        <w:widowControl/>
        <w:rPr/>
      </w:pPr>
      <w:r>
        <w:rPr/>
        <w:t>Each Party may implement this mechanism through legislation, regulation, administrative practice, procurement conditions, collective arrangements, sectoral programs or other lawful means suited to its system. Different means are acceptable where they provide materially equivalent protection or progress and remain reviewable against the stated objective.</w:t>
      </w:r>
    </w:p>
    <w:p>
      <w:bookmarkStart w:id="3134" w:name="_NAESTMA_TOC_3134"/>
      <w:pPr>
        <w:pStyle w:val="Heading2"/>
        <w:keepNext/>
        <w:widowControl/>
        <w:rPr/>
      </w:pPr>
      <w:r>
        <w:rPr/>
        <w:t>CL-23. BUSINESS, CORPORATE AND SUPPLY-CHAIN HUMAN RIGHTS</w:t>
      </w:r>
      <w:bookmarkEnd w:id="3134"/>
    </w:p>
    <w:p>
      <w:pPr>
        <w:pStyle w:val="Normal"/>
        <w:widowControl/>
        <w:rPr/>
      </w:pPr>
      <w:r>
        <w:rPr/>
        <w:t>Application. Mixed Mandatory/Flexible Architecture. Provisions in this Section retain the Round-Three temperature assigned to their source mechanism and are interpreted through Articles CL-1 through CL-5.</w:t>
      </w:r>
    </w:p>
    <w:p>
      <w:pPr>
        <w:pStyle w:val="Heading3"/>
        <w:keepNext/>
        <w:widowControl/>
        <w:rPr/>
      </w:pPr>
      <w:r>
        <w:rPr/>
        <w:t>HR4-297. Risk-Based Human-Rights Due Diligence: Common Objective and Cooperation Duty</w:t>
      </w:r>
    </w:p>
    <w:p>
      <w:pPr>
        <w:pStyle w:val="Normal"/>
        <w:widowControl/>
        <w:rPr/>
      </w:pPr>
      <w:r>
        <w:rPr/>
        <w:t>The Parties shall cooperate, consistent with their respective laws and institutional competence, to advance the common objective of use risk-based due diligence, proportionate expectations, supplier engagement, remediation and transparent eligibility criteria while avoiding automatic private liability unless expressly adopted. Cooperation may include exchange of practices, technical assistance, compatible guidance and voluntary coordination and shall not require identical domestic institutions.</w:t>
      </w:r>
    </w:p>
    <w:p>
      <w:pPr>
        <w:pStyle w:val="Heading3"/>
        <w:keepNext/>
        <w:widowControl/>
        <w:rPr/>
      </w:pPr>
      <w:r>
        <w:rPr/>
        <w:t>HR4-298. Risk-Based Human-Rights Due Diligence: Equivalent Implementation Pathways</w:t>
      </w:r>
    </w:p>
    <w:p>
      <w:pPr>
        <w:pStyle w:val="Normal"/>
        <w:widowControl/>
        <w:rPr/>
      </w:pPr>
      <w:r>
        <w:rPr/>
        <w:t>Each Party may implement this mechanism through legislation, regulation, administrative practice, procurement conditions, collective arrangements, sectoral programs or other lawful means suited to its system. Different means are acceptable where they provide materially equivalent protection or progress and remain reviewable against the stated objective.</w:t>
      </w:r>
    </w:p>
    <w:p>
      <w:pPr>
        <w:pStyle w:val="Heading3"/>
        <w:keepNext/>
        <w:widowControl/>
        <w:rPr/>
      </w:pPr>
      <w:r>
        <w:rPr/>
        <w:t>HR4-299. Corporate Human-Rights Policy And Governance: Common Objective and Cooperation Duty</w:t>
      </w:r>
    </w:p>
    <w:p>
      <w:pPr>
        <w:pStyle w:val="Normal"/>
        <w:widowControl/>
        <w:rPr/>
      </w:pPr>
      <w:r>
        <w:rPr/>
        <w:t>The Parties shall cooperate, consistent with their respective laws and institutional competence, to advance the common objective of use risk-based due diligence, proportionate expectations, supplier engagement, remediation and transparent eligibility criteria while avoiding automatic private liability unless expressly adopted. Cooperation may include exchange of practices, technical assistance, compatible guidance and voluntary coordination and shall not require identical domestic institutions.</w:t>
      </w:r>
    </w:p>
    <w:p>
      <w:pPr>
        <w:pStyle w:val="Heading3"/>
        <w:keepNext/>
        <w:widowControl/>
        <w:rPr/>
      </w:pPr>
      <w:r>
        <w:rPr/>
        <w:t>HR4-300. Corporate Human-Rights Policy And Governance: Equivalent Implementation Pathways</w:t>
      </w:r>
    </w:p>
    <w:p>
      <w:pPr>
        <w:pStyle w:val="Normal"/>
        <w:widowControl/>
        <w:rPr/>
      </w:pPr>
      <w:r>
        <w:rPr/>
        <w:t>Each Party may implement this mechanism through legislation, regulation, administrative practice, procurement conditions, collective arrangements, sectoral programs or other lawful means suited to its system. Different means are acceptable where they provide materially equivalent protection or progress and remain reviewable against the stated objective.</w:t>
      </w:r>
    </w:p>
    <w:p>
      <w:pPr>
        <w:pStyle w:val="Heading3"/>
        <w:keepNext/>
        <w:widowControl/>
        <w:rPr/>
      </w:pPr>
      <w:r>
        <w:rPr/>
        <w:t>HR4-301. Corporate Human-Rights Policy And Governance: Data, Participation and Capacity-Building</w:t>
      </w:r>
    </w:p>
    <w:p>
      <w:pPr>
        <w:pStyle w:val="Normal"/>
        <w:widowControl/>
        <w:rPr/>
      </w:pPr>
      <w:r>
        <w:rPr/>
        <w:t>Implementation should use proportionate evidence, affected-community participation and capacity-building where useful. Data collection shall be limited to what is reasonably necessary, protect confidential and sensitive personal information, use aggregation or de-identification where practicable, and avoid duplicative reporting.</w:t>
      </w:r>
    </w:p>
    <w:p>
      <w:pPr>
        <w:pStyle w:val="Heading3"/>
        <w:keepNext/>
        <w:widowControl/>
        <w:rPr/>
      </w:pPr>
      <w:r>
        <w:rPr/>
        <w:t>HR4-302. Corporate Human-Rights Policy And Governance: Pilot, Review and Scaling</w:t>
      </w:r>
    </w:p>
    <w:p>
      <w:pPr>
        <w:pStyle w:val="Normal"/>
        <w:widowControl/>
        <w:rPr/>
      </w:pPr>
      <w:r>
        <w:rPr/>
        <w:t>A Party or the Parties jointly may test this mechanism through a time-limited pilot with published objectives, safeguards and review criteria. Continuation or scaling requires an affirmative decision based on evidence; discontinuing a pilot does not reduce independently applicable rights or constitute noncompliance with an optional element.</w:t>
      </w:r>
    </w:p>
    <w:p>
      <w:pPr>
        <w:pStyle w:val="Heading3"/>
        <w:keepNext/>
        <w:widowControl/>
        <w:rPr/>
      </w:pPr>
      <w:r>
        <w:rPr/>
        <w:t>HR4-303. Supply-Chain Transparency And Traceability: Common Objective and Cooperation Duty</w:t>
      </w:r>
    </w:p>
    <w:p>
      <w:pPr>
        <w:pStyle w:val="Normal"/>
        <w:widowControl/>
        <w:rPr/>
      </w:pPr>
      <w:r>
        <w:rPr/>
        <w:t>The Parties shall cooperate, consistent with their respective laws and institutional competence, to advance the common objective of use risk-based due diligence, proportionate expectations, supplier engagement, remediation and transparent eligibility criteria while avoiding automatic private liability unless expressly adopted. Cooperation may include exchange of practices, technical assistance, compatible guidance and voluntary coordination and shall not require identical domestic institutions.</w:t>
      </w:r>
    </w:p>
    <w:p>
      <w:pPr>
        <w:pStyle w:val="Heading3"/>
        <w:keepNext/>
        <w:widowControl/>
        <w:rPr/>
      </w:pPr>
      <w:r>
        <w:rPr/>
        <w:t>HR4-304. Supply-Chain Transparency And Traceability: Equivalent Implementation Pathways</w:t>
      </w:r>
    </w:p>
    <w:p>
      <w:pPr>
        <w:pStyle w:val="Normal"/>
        <w:widowControl/>
        <w:rPr/>
      </w:pPr>
      <w:r>
        <w:rPr/>
        <w:t>Each Party may implement this mechanism through legislation, regulation, administrative practice, procurement conditions, collective arrangements, sectoral programs or other lawful means suited to its system. Different means are acceptable where they provide materially equivalent protection or progress and remain reviewable against the stated objective.</w:t>
      </w:r>
    </w:p>
    <w:p>
      <w:pPr>
        <w:pStyle w:val="Heading3"/>
        <w:keepNext/>
        <w:widowControl/>
        <w:rPr/>
      </w:pPr>
      <w:r>
        <w:rPr/>
        <w:t>HR4-305. Community Complaint And Remediation Mechanisms: Common Objective and Cooperation Duty</w:t>
      </w:r>
    </w:p>
    <w:p>
      <w:pPr>
        <w:pStyle w:val="Normal"/>
        <w:widowControl/>
        <w:rPr/>
      </w:pPr>
      <w:r>
        <w:rPr/>
        <w:t>The Parties shall cooperate, consistent with their respective laws and institutional competence, to advance the common objective of translate the mechanism into a narrow treaty-linked obligation, preserve stronger domestic protections, and avoid creating rights or liabilities beyond what the Parties expressly adopt. Cooperation may include exchange of practices, technical assistance, compatible guidance and voluntary coordination and shall not require identical domestic institutions.</w:t>
      </w:r>
    </w:p>
    <w:p>
      <w:pPr>
        <w:pStyle w:val="Heading3"/>
        <w:keepNext/>
        <w:widowControl/>
        <w:rPr/>
      </w:pPr>
      <w:r>
        <w:rPr/>
        <w:t>HR4-306. Community Complaint And Remediation Mechanisms: Equivalent Implementation Pathways</w:t>
      </w:r>
    </w:p>
    <w:p>
      <w:pPr>
        <w:pStyle w:val="Normal"/>
        <w:widowControl/>
        <w:rPr/>
      </w:pPr>
      <w:r>
        <w:rPr/>
        <w:t>Each Party may implement this mechanism through legislation, regulation, administrative practice, procurement conditions, collective arrangements, sectoral programs or other lawful means suited to its system. Different means are acceptable where they provide materially equivalent protection or progress and remain reviewable against the stated objective.</w:t>
      </w:r>
    </w:p>
    <w:p>
      <w:pPr>
        <w:pStyle w:val="Heading3"/>
        <w:keepNext/>
        <w:widowControl/>
        <w:rPr/>
      </w:pPr>
      <w:r>
        <w:t>HR4-307. The Parties shall cooperate, consistent with their respective laws and institutional competence, to advance the common objective of use proportionate, evidence-based screening focused on materially affected rights and communities, avoiding automatic vetoes or duplicative assessment regimes</w:t>
      </w:r>
    </w:p>
    <w:p>
      <w:pPr>
        <w:pStyle w:val="Normal"/>
        <w:widowControl/>
        <w:rPr/>
      </w:pPr>
      <w:r>
        <w:rPr/>
        <w:t>The Parties shall cooperate, consistent with their respective laws and institutional competence, to advance the common objective of use proportionate, evidence-based screening focused on materially affected rights and communities, avoiding automatic vetoes or duplicative assessment regimes. Cooperation may include exchange of practices, technical assistance, compatible guidance and voluntary coordination and shall not require identical domestic institutions.</w:t>
      </w:r>
    </w:p>
    <w:p>
      <w:pPr>
        <w:pStyle w:val="Heading3"/>
        <w:keepNext/>
        <w:widowControl/>
        <w:rPr/>
      </w:pPr>
      <w:r>
        <w:rPr/>
        <w:t>HR4-308. Human-Rights Impact Assessment For Major Projects: Equivalent Implementation Pathways</w:t>
      </w:r>
    </w:p>
    <w:p>
      <w:pPr>
        <w:pStyle w:val="Normal"/>
        <w:widowControl/>
        <w:rPr/>
      </w:pPr>
      <w:r>
        <w:rPr/>
        <w:t>Each Party may implement this mechanism through legislation, regulation, administrative practice, procurement conditions, collective arrangements, sectoral programs or other lawful means suited to its system. Different means are acceptable where they provide materially equivalent protection or progress and remain reviewable against the stated objective.</w:t>
      </w:r>
    </w:p>
    <w:p>
      <w:pPr>
        <w:pStyle w:val="Heading3"/>
        <w:keepNext/>
        <w:widowControl/>
        <w:rPr/>
      </w:pPr>
      <w:r>
        <w:rPr/>
        <w:t>HR4-309. Responsible Procurement And Contractor Eligibility: Common Objective and Cooperation Duty</w:t>
      </w:r>
    </w:p>
    <w:p>
      <w:pPr>
        <w:pStyle w:val="Normal"/>
        <w:widowControl/>
        <w:rPr/>
      </w:pPr>
      <w:r>
        <w:rPr/>
        <w:t>The Parties shall cooperate, consistent with their respective laws and institutional competence, to advance the common objective of use risk-based due diligence, proportionate expectations, supplier engagement, remediation and transparent eligibility criteria while avoiding automatic private liability unless expressly adopted. Cooperation may include exchange of practices, technical assistance, compatible guidance and voluntary coordination and shall not require identical domestic institutions.</w:t>
      </w:r>
    </w:p>
    <w:p>
      <w:pPr>
        <w:pStyle w:val="Heading3"/>
        <w:keepNext/>
        <w:widowControl/>
        <w:rPr/>
      </w:pPr>
      <w:r>
        <w:rPr/>
        <w:t>HR4-310. Responsible Procurement And Contractor Eligibility: Equivalent Implementation Pathways</w:t>
      </w:r>
    </w:p>
    <w:p>
      <w:pPr>
        <w:pStyle w:val="Normal"/>
        <w:widowControl/>
        <w:rPr/>
      </w:pPr>
      <w:r>
        <w:rPr/>
        <w:t>Each Party may implement this mechanism through legislation, regulation, administrative practice, procurement conditions, collective arrangements, sectoral programs or other lawful means suited to its system. Different means are acceptable where they provide materially equivalent protection or progress and remain reviewable against the stated objective.</w:t>
      </w:r>
    </w:p>
    <w:p>
      <w:pPr>
        <w:pStyle w:val="Heading3"/>
        <w:keepNext/>
        <w:widowControl/>
        <w:rPr/>
      </w:pPr>
      <w:r>
        <w:rPr/>
        <w:t>HR4-311. High-Risk Extractive And Resource-Sector Safeguards: Common Objective and Cooperation Duty</w:t>
      </w:r>
    </w:p>
    <w:p>
      <w:pPr>
        <w:pStyle w:val="Normal"/>
        <w:widowControl/>
        <w:rPr/>
      </w:pPr>
      <w:r>
        <w:rPr/>
        <w:t>The Parties shall cooperate, consistent with their respective laws and institutional competence, to advance the common objective of translate the mechanism into a narrow treaty-linked obligation, preserve stronger domestic protections, and avoid creating rights or liabilities beyond what the Parties expressly adopt. Cooperation may include exchange of practices, technical assistance, compatible guidance and voluntary coordination and shall not require identical domestic institutions.</w:t>
      </w:r>
    </w:p>
    <w:p>
      <w:pPr>
        <w:pStyle w:val="Heading3"/>
        <w:keepNext/>
        <w:widowControl/>
        <w:rPr/>
      </w:pPr>
      <w:r>
        <w:rPr/>
        <w:t>HR4-312. High-Risk Extractive And Resource-Sector Safeguards: Equivalent Implementation Pathways</w:t>
      </w:r>
    </w:p>
    <w:p>
      <w:pPr>
        <w:pStyle w:val="Normal"/>
        <w:widowControl/>
        <w:rPr/>
      </w:pPr>
      <w:r>
        <w:rPr/>
        <w:t>Each Party may implement this mechanism through legislation, regulation, administrative practice, procurement conditions, collective arrangements, sectoral programs or other lawful means suited to its system. Different means are acceptable where they provide materially equivalent protection or progress and remain reviewable against the stated objective.</w:t>
      </w:r>
    </w:p>
    <w:p>
      <w:pPr>
        <w:pStyle w:val="Heading3"/>
        <w:keepNext/>
        <w:widowControl/>
        <w:rPr/>
      </w:pPr>
      <w:r>
        <w:rPr/>
        <w:t>HR4-313. International Responsible-Business Standards Interoperability: Common Objective and Cooperation Duty</w:t>
      </w:r>
    </w:p>
    <w:p>
      <w:pPr>
        <w:pStyle w:val="Normal"/>
        <w:widowControl/>
        <w:rPr/>
      </w:pPr>
      <w:r>
        <w:rPr/>
        <w:t>The Parties shall cooperate, consistent with their respective laws and institutional competence, to advance the common objective of use risk-based due diligence, proportionate expectations, supplier engagement, remediation and transparent eligibility criteria while avoiding automatic private liability unless expressly adopted. Cooperation may include exchange of practices, technical assistance, compatible guidance and voluntary coordination and shall not require identical domestic institutions.</w:t>
      </w:r>
    </w:p>
    <w:p>
      <w:pPr>
        <w:pStyle w:val="Heading3"/>
        <w:keepNext/>
        <w:widowControl/>
        <w:rPr/>
      </w:pPr>
      <w:r>
        <w:rPr/>
        <w:t>HR4-314. International Responsible-Business Standards Interoperability: Equivalent Implementation Pathways</w:t>
      </w:r>
    </w:p>
    <w:p>
      <w:pPr>
        <w:pStyle w:val="Normal"/>
        <w:widowControl/>
        <w:rPr/>
      </w:pPr>
      <w:r>
        <w:rPr/>
        <w:t>Each Party may implement this mechanism through legislation, regulation, administrative practice, procurement conditions, collective arrangements, sectoral programs or other lawful means suited to its system. Different means are acceptable where they provide materially equivalent protection or progress and remain reviewable against the stated objective.</w:t>
      </w:r>
    </w:p>
    <w:p>
      <w:bookmarkStart w:id="3135" w:name="_NAESTMA_TOC_3135"/>
      <w:pPr>
        <w:pStyle w:val="Heading2"/>
        <w:keepNext/>
        <w:widowControl/>
        <w:rPr/>
      </w:pPr>
      <w:r>
        <w:rPr/>
        <w:t>CL-24. ENVIRONMENTAL AND COMMUNITY RIGHTS</w:t>
      </w:r>
      <w:bookmarkEnd w:id="3135"/>
    </w:p>
    <w:p>
      <w:pPr>
        <w:pStyle w:val="Normal"/>
        <w:widowControl/>
        <w:rPr/>
      </w:pPr>
      <w:r>
        <w:rPr/>
        <w:t>Application. Mixed Mandatory/Flexible Architecture. Provisions in this Section retain the Round-Three temperature assigned to their source mechanism and are interpreted through Articles CL-1 through CL-5.</w:t>
      </w:r>
    </w:p>
    <w:p>
      <w:pPr>
        <w:pStyle w:val="Heading3"/>
        <w:keepNext/>
        <w:widowControl/>
        <w:rPr/>
      </w:pPr>
      <w:r>
        <w:rPr/>
        <w:t>HR4-315. Environmental Justice And Vulnerable-Community Impacts: Common Objective and Cooperation Duty</w:t>
      </w:r>
    </w:p>
    <w:p>
      <w:pPr>
        <w:pStyle w:val="Normal"/>
        <w:widowControl/>
        <w:rPr/>
      </w:pPr>
      <w:r>
        <w:rPr/>
        <w:t>The Parties shall cooperate, consistent with their respective laws and institutional competence, to advance the common objective of preserve each Party’s chosen level of environmental protection, prevent trade-driven non-enforcement or regression, and support evidence-based participation, conservation and transition cooperation. Cooperation may include exchange of practices, technical assistance, compatible guidance and voluntary coordination and shall not require identical domestic institutions.</w:t>
      </w:r>
    </w:p>
    <w:p>
      <w:pPr>
        <w:pStyle w:val="Heading3"/>
        <w:keepNext/>
        <w:widowControl/>
        <w:rPr/>
      </w:pPr>
      <w:r>
        <w:rPr/>
        <w:t>HR4-316. Environmental Justice And Vulnerable-Community Impacts: Equivalent Implementation Pathways</w:t>
      </w:r>
    </w:p>
    <w:p>
      <w:pPr>
        <w:pStyle w:val="Normal"/>
        <w:widowControl/>
        <w:rPr/>
      </w:pPr>
      <w:r>
        <w:rPr/>
        <w:t>Each Party may implement this mechanism through legislation, regulation, administrative practice, procurement conditions, collective arrangements, sectoral programs or other lawful means suited to its system. Different means are acceptable where they provide materially equivalent protection or progress and remain reviewable against the stated objective.</w:t>
      </w:r>
    </w:p>
    <w:p>
      <w:pPr>
        <w:pStyle w:val="Heading3"/>
        <w:keepNext/>
        <w:widowControl/>
        <w:rPr/>
      </w:pPr>
      <w:r>
        <w:rPr/>
        <w:t>HR4-317. Industrial Decarbonization Cooperation: Common Objective and Cooperation Duty</w:t>
      </w:r>
    </w:p>
    <w:p>
      <w:pPr>
        <w:pStyle w:val="Normal"/>
        <w:widowControl/>
        <w:rPr/>
      </w:pPr>
      <w:r>
        <w:rPr/>
        <w:t>The Parties shall cooperate, consistent with their respective laws and institutional competence, to advance the common objective of preserve each Party’s chosen level of environmental protection, prevent trade-driven non-enforcement or regression, and support evidence-based participation, conservation and transition cooperation. Cooperation may include exchange of practices, technical assistance, compatible guidance and voluntary coordination and shall not require identical domestic institutions.</w:t>
      </w:r>
    </w:p>
    <w:p>
      <w:pPr>
        <w:pStyle w:val="Heading3"/>
        <w:keepNext/>
        <w:widowControl/>
        <w:rPr/>
      </w:pPr>
      <w:r>
        <w:rPr/>
        <w:t>HR4-318. Industrial Decarbonization Cooperation: Equivalent Implementation Pathways</w:t>
      </w:r>
    </w:p>
    <w:p>
      <w:pPr>
        <w:pStyle w:val="Normal"/>
        <w:widowControl/>
        <w:rPr/>
      </w:pPr>
      <w:r>
        <w:rPr/>
        <w:t>Each Party may implement this mechanism through legislation, regulation, administrative practice, procurement conditions, collective arrangements, sectoral programs or other lawful means suited to its system. Different means are acceptable where they provide materially equivalent protection or progress and remain reviewable against the stated objective.</w:t>
      </w:r>
    </w:p>
    <w:p>
      <w:pPr>
        <w:pStyle w:val="Heading3"/>
        <w:keepNext/>
        <w:widowControl/>
        <w:rPr/>
      </w:pPr>
      <w:r>
        <w:rPr/>
        <w:t>HR4-319. Pollution, Waste And Circular-Economy Safeguards: Common Objective and Cooperation Duty</w:t>
      </w:r>
    </w:p>
    <w:p>
      <w:pPr>
        <w:pStyle w:val="Normal"/>
        <w:widowControl/>
        <w:rPr/>
      </w:pPr>
      <w:r>
        <w:rPr/>
        <w:t>The Parties shall cooperate, consistent with their respective laws and institutional competence, to advance the common objective of preserve each Party’s chosen level of environmental protection, prevent trade-driven non-enforcement or regression, and support evidence-based participation, conservation and transition cooperation. Cooperation may include exchange of practices, technical assistance, compatible guidance and voluntary coordination and shall not require identical domestic institutions.</w:t>
      </w:r>
    </w:p>
    <w:p>
      <w:pPr>
        <w:pStyle w:val="Heading3"/>
        <w:keepNext/>
        <w:widowControl/>
        <w:rPr/>
      </w:pPr>
      <w:r>
        <w:rPr/>
        <w:t>HR4-320. Pollution, Waste And Circular-Economy Safeguards: Equivalent Implementation Pathways</w:t>
      </w:r>
    </w:p>
    <w:p>
      <w:pPr>
        <w:pStyle w:val="Normal"/>
        <w:widowControl/>
        <w:rPr/>
      </w:pPr>
      <w:r>
        <w:rPr/>
        <w:t>Each Party may implement this mechanism through legislation, regulation, administrative practice, procurement conditions, collective arrangements, sectoral programs or other lawful means suited to its system. Different means are acceptable where they provide materially equivalent protection or progress and remain reviewable against the stated objective.</w:t>
      </w:r>
    </w:p>
    <w:p>
      <w:pPr>
        <w:pStyle w:val="Heading3"/>
        <w:keepNext/>
        <w:widowControl/>
        <w:rPr/>
      </w:pPr>
      <w:r>
        <w:rPr/>
        <w:t>HR4-321. Environmental Impact And Cumulative-Effects Review: Common Objective and Cooperation Duty</w:t>
      </w:r>
    </w:p>
    <w:p>
      <w:pPr>
        <w:pStyle w:val="Normal"/>
        <w:widowControl/>
        <w:rPr/>
      </w:pPr>
      <w:r>
        <w:rPr/>
        <w:t>The Parties shall cooperate, consistent with their respective laws and institutional competence, to advance the common objective of preserve each Party’s chosen level of environmental protection, prevent trade-driven non-enforcement or regression, and support evidence-based participation, conservation and transition cooperation. Cooperation may include exchange of practices, technical assistance, compatible guidance and voluntary coordination and shall not require identical domestic institutions.</w:t>
      </w:r>
    </w:p>
    <w:p>
      <w:pPr>
        <w:pStyle w:val="Heading3"/>
        <w:keepNext/>
        <w:widowControl/>
        <w:rPr/>
      </w:pPr>
      <w:r>
        <w:rPr/>
        <w:t>HR4-322. Environmental Impact And Cumulative-Effects Review: Equivalent Implementation Pathways</w:t>
      </w:r>
    </w:p>
    <w:p>
      <w:pPr>
        <w:pStyle w:val="Normal"/>
        <w:widowControl/>
        <w:rPr/>
      </w:pPr>
      <w:r>
        <w:rPr/>
        <w:t>Each Party may implement this mechanism through legislation, regulation, administrative practice, procurement conditions, collective arrangements, sectoral programs or other lawful means suited to its system. Different means are acceptable where they provide materially equivalent protection or progress and remain reviewable against the stated objective.</w:t>
      </w:r>
    </w:p>
    <w:p>
      <w:pPr>
        <w:pStyle w:val="Heading3"/>
        <w:keepNext/>
        <w:widowControl/>
        <w:rPr/>
      </w:pPr>
      <w:r>
        <w:rPr/>
        <w:t>HR4-323. Environmental Impact And Cumulative-Effects Review: Data, Participation and Capacity-Building</w:t>
      </w:r>
    </w:p>
    <w:p>
      <w:pPr>
        <w:pStyle w:val="Normal"/>
        <w:widowControl/>
        <w:rPr/>
      </w:pPr>
      <w:r>
        <w:rPr/>
        <w:t>Implementation should use proportionate evidence, affected-community participation and capacity-building where useful. Data collection shall be limited to what is reasonably necessary, protect confidential and sensitive personal information, use aggregation or de-identification where practicable, and avoid duplicative reporting.</w:t>
      </w:r>
    </w:p>
    <w:p>
      <w:pPr>
        <w:pStyle w:val="Heading3"/>
        <w:keepNext/>
        <w:widowControl/>
        <w:rPr/>
      </w:pPr>
      <w:r>
        <w:rPr/>
        <w:t>HR4-324. Environmental Impact And Cumulative-Effects Review: Pilot, Review and Scaling</w:t>
      </w:r>
    </w:p>
    <w:p>
      <w:pPr>
        <w:pStyle w:val="Normal"/>
        <w:widowControl/>
        <w:rPr/>
      </w:pPr>
      <w:r>
        <w:rPr/>
        <w:t>A Party or the Parties jointly may test this mechanism through a time-limited pilot with published objectives, safeguards and review criteria. Continuation or scaling requires an affirmative decision based on evidence; discontinuing a pilot does not reduce independently applicable rights or constitute noncompliance with an optional element.</w:t>
      </w:r>
    </w:p>
    <w:p>
      <w:bookmarkStart w:id="3136" w:name="_NAESTMA_TOC_3136"/>
      <w:pPr>
        <w:pStyle w:val="Heading2"/>
        <w:keepNext/>
        <w:widowControl/>
        <w:rPr/>
      </w:pPr>
      <w:r>
        <w:rPr/>
        <w:t>CL-25. PUBLIC HEALTH, MEDICINES AND SOCIAL RESILIENCE</w:t>
      </w:r>
      <w:bookmarkEnd w:id="3136"/>
    </w:p>
    <w:p>
      <w:pPr>
        <w:pStyle w:val="Normal"/>
        <w:widowControl/>
        <w:rPr/>
      </w:pPr>
      <w:r>
        <w:rPr/>
        <w:t>Application. Mixed Mandatory/Flexible Architecture. Provisions in this Section retain the Round-Three temperature assigned to their source mechanism and are interpreted through Articles CL-1 through CL-5.</w:t>
      </w:r>
    </w:p>
    <w:p>
      <w:pPr>
        <w:pStyle w:val="Heading3"/>
        <w:keepNext/>
        <w:widowControl/>
        <w:rPr/>
      </w:pPr>
      <w:r>
        <w:rPr/>
        <w:t>HR4-325. Emergency Health And Pandemic Cooperation: Common Objective and Cooperation Duty</w:t>
      </w:r>
    </w:p>
    <w:p>
      <w:pPr>
        <w:pStyle w:val="Normal"/>
        <w:widowControl/>
        <w:rPr/>
      </w:pPr>
      <w:r>
        <w:rPr/>
        <w:t>The Parties shall cooperate, consistent with their respective laws and institutional competence, to advance the common objective of preserve public-health and essential-service policy space, continuity during emergencies, nondiscriminatory access where trade rules are implicated, and safeguards for privacy, safety and legitimate regulation. Cooperation may include exchange of practices, technical assistance, compatible guidance and voluntary coordination and shall not require identical domestic institutions.</w:t>
      </w:r>
    </w:p>
    <w:p>
      <w:pPr>
        <w:pStyle w:val="Heading3"/>
        <w:keepNext/>
        <w:widowControl/>
        <w:rPr/>
      </w:pPr>
      <w:r>
        <w:rPr/>
        <w:t>HR4-326. Emergency Health And Pandemic Cooperation: Equivalent Implementation Pathways</w:t>
      </w:r>
    </w:p>
    <w:p>
      <w:pPr>
        <w:pStyle w:val="Normal"/>
        <w:widowControl/>
        <w:rPr/>
      </w:pPr>
      <w:r>
        <w:rPr/>
        <w:t>Each Party may implement this mechanism through legislation, regulation, administrative practice, procurement conditions, collective arrangements, sectoral programs or other lawful means suited to its system. Different means are acceptable where they provide materially equivalent protection or progress and remain reviewable against the stated objective.</w:t>
      </w:r>
    </w:p>
    <w:p>
      <w:pPr>
        <w:pStyle w:val="Heading3"/>
        <w:keepNext/>
        <w:widowControl/>
        <w:rPr/>
      </w:pPr>
      <w:r>
        <w:rPr/>
        <w:t>HR4-327. Health-Data Cooperation With Privacy Safeguards: Common Objective and Cooperation Duty</w:t>
      </w:r>
    </w:p>
    <w:p>
      <w:pPr>
        <w:pStyle w:val="Normal"/>
        <w:widowControl/>
        <w:rPr/>
      </w:pPr>
      <w:r>
        <w:rPr/>
        <w:t>The Parties shall cooperate, consistent with their respective laws and institutional competence, to advance the common objective of use necessity, purpose limitation, data minimization, security, retention limits, transparency, correction and independent oversight appropriate to the sensitivity and use of the information. Cooperation may include exchange of practices, technical assistance, compatible guidance and voluntary coordination and shall not require identical domestic institutions.</w:t>
      </w:r>
    </w:p>
    <w:p>
      <w:pPr>
        <w:pStyle w:val="Heading3"/>
        <w:keepNext/>
        <w:widowControl/>
        <w:rPr/>
      </w:pPr>
      <w:r>
        <w:rPr/>
        <w:t>HR4-328. Health-Data Cooperation With Privacy Safeguards: Equivalent Implementation Pathways</w:t>
      </w:r>
    </w:p>
    <w:p>
      <w:pPr>
        <w:pStyle w:val="Normal"/>
        <w:widowControl/>
        <w:rPr/>
      </w:pPr>
      <w:r>
        <w:rPr/>
        <w:t>Each Party may implement this mechanism through legislation, regulation, administrative practice, procurement conditions, collective arrangements, sectoral programs or other lawful means suited to its system. Different means are acceptable where they provide materially equivalent protection or progress and remain reviewable against the stated objective.</w:t>
      </w:r>
    </w:p>
    <w:p>
      <w:pPr>
        <w:pStyle w:val="Heading3"/>
        <w:keepNext/>
        <w:widowControl/>
        <w:rPr/>
      </w:pPr>
      <w:r>
        <w:rPr/>
        <w:t>HR4-329. Food, Water And Basic-Needs Resilience: Common Objective and Cooperation Duty</w:t>
      </w:r>
    </w:p>
    <w:p>
      <w:pPr>
        <w:pStyle w:val="Normal"/>
        <w:widowControl/>
        <w:rPr/>
      </w:pPr>
      <w:r>
        <w:rPr/>
        <w:t>The Parties shall cooperate, consistent with their respective laws and institutional competence, to advance the common objective of preserve public-health and essential-service policy space, continuity during emergencies, nondiscriminatory access where trade rules are implicated, and safeguards for privacy, safety and legitimate regulation. Cooperation may include exchange of practices, technical assistance, compatible guidance and voluntary coordination and shall not require identical domestic institutions.</w:t>
      </w:r>
    </w:p>
    <w:p>
      <w:pPr>
        <w:pStyle w:val="Heading3"/>
        <w:keepNext/>
        <w:widowControl/>
        <w:rPr/>
      </w:pPr>
      <w:r>
        <w:rPr/>
        <w:t>HR4-330. Food, Water And Basic-Needs Resilience: Equivalent Implementation Pathways</w:t>
      </w:r>
    </w:p>
    <w:p>
      <w:pPr>
        <w:pStyle w:val="Normal"/>
        <w:widowControl/>
        <w:rPr/>
      </w:pPr>
      <w:r>
        <w:rPr/>
        <w:t>Each Party may implement this mechanism through legislation, regulation, administrative practice, procurement conditions, collective arrangements, sectoral programs or other lawful means suited to its system. Different means are acceptable where they provide materially equivalent protection or progress and remain reviewable against the stated objective.</w:t>
      </w:r>
    </w:p>
    <w:p>
      <w:pPr>
        <w:pStyle w:val="Heading3"/>
        <w:keepNext/>
        <w:widowControl/>
        <w:rPr/>
      </w:pPr>
      <w:r>
        <w:rPr/>
        <w:t>HR4-331. Food, Water And Basic-Needs Resilience: Data, Participation and Capacity-Building</w:t>
      </w:r>
    </w:p>
    <w:p>
      <w:pPr>
        <w:pStyle w:val="Normal"/>
        <w:widowControl/>
        <w:rPr/>
      </w:pPr>
      <w:r>
        <w:rPr/>
        <w:t>Implementation should use proportionate evidence, affected-community participation and capacity-building where useful. Data collection shall be limited to what is reasonably necessary, protect confidential and sensitive personal information, use aggregation or de-identification where practicable, and avoid duplicative reporting.</w:t>
      </w:r>
    </w:p>
    <w:p>
      <w:pPr>
        <w:pStyle w:val="Heading3"/>
        <w:keepNext/>
        <w:widowControl/>
        <w:rPr/>
      </w:pPr>
      <w:r>
        <w:rPr/>
        <w:t>HR4-332. Health And Social Impact Assessment: Common Objective and Cooperation Duty</w:t>
      </w:r>
    </w:p>
    <w:p>
      <w:pPr>
        <w:pStyle w:val="Normal"/>
        <w:widowControl/>
        <w:rPr/>
      </w:pPr>
      <w:r>
        <w:rPr/>
        <w:t>The Parties shall cooperate, consistent with their respective laws and institutional competence, to advance the common objective of preserve public-health and essential-service policy space, continuity during emergencies, nondiscriminatory access where trade rules are implicated, and safeguards for privacy, safety and legitimate regulation. Cooperation may include exchange of practices, technical assistance, compatible guidance and voluntary coordination and shall not require identical domestic institutions.</w:t>
      </w:r>
    </w:p>
    <w:p>
      <w:pPr>
        <w:pStyle w:val="Heading3"/>
        <w:keepNext/>
        <w:widowControl/>
        <w:rPr/>
      </w:pPr>
      <w:r>
        <w:rPr/>
        <w:t>HR4-333. Health And Social Impact Assessment: Equivalent Implementation Pathways</w:t>
      </w:r>
    </w:p>
    <w:p>
      <w:pPr>
        <w:pStyle w:val="Normal"/>
        <w:widowControl/>
        <w:rPr/>
      </w:pPr>
      <w:r>
        <w:rPr/>
        <w:t>Each Party may implement this mechanism through legislation, regulation, administrative practice, procurement conditions, collective arrangements, sectoral programs or other lawful means suited to its system. Different means are acceptable where they provide materially equivalent protection or progress and remain reviewable against the stated objective.</w:t>
      </w:r>
    </w:p>
    <w:p>
      <w:pPr>
        <w:pStyle w:val="Heading3"/>
        <w:keepNext/>
        <w:widowControl/>
        <w:rPr/>
      </w:pPr>
      <w:r>
        <w:rPr/>
        <w:t>HR4-334. Sex/Gender/Disability-Responsive Health Evidence: Common Objective and Cooperation Duty</w:t>
      </w:r>
    </w:p>
    <w:p>
      <w:pPr>
        <w:pStyle w:val="Normal"/>
        <w:widowControl/>
        <w:rPr/>
      </w:pPr>
      <w:r>
        <w:rPr/>
        <w:t>The Parties shall cooperate, consistent with their respective laws and institutional competence, to advance the common objective of preserve public-health and essential-service policy space, continuity during emergencies, nondiscriminatory access where trade rules are implicated, and safeguards for privacy, safety and legitimate regulation. Cooperation may include exchange of practices, technical assistance, compatible guidance and voluntary coordination and shall not require identical domestic institutions.</w:t>
      </w:r>
    </w:p>
    <w:p>
      <w:pPr>
        <w:pStyle w:val="Heading3"/>
        <w:keepNext/>
        <w:widowControl/>
        <w:rPr/>
      </w:pPr>
      <w:r>
        <w:rPr/>
        <w:t>HR4-335. Sex/Gender/Disability-Responsive Health Evidence: Equivalent Implementation Pathways</w:t>
      </w:r>
    </w:p>
    <w:p>
      <w:pPr>
        <w:pStyle w:val="Normal"/>
        <w:widowControl/>
        <w:rPr/>
      </w:pPr>
      <w:r>
        <w:rPr/>
        <w:t>Each Party may implement this mechanism through legislation, regulation, administrative practice, procurement conditions, collective arrangements, sectoral programs or other lawful means suited to its system. Different means are acceptable where they provide materially equivalent protection or progress and remain reviewable against the stated objective.</w:t>
      </w:r>
    </w:p>
    <w:p>
      <w:pPr>
        <w:pStyle w:val="Heading3"/>
        <w:keepNext/>
        <w:widowControl/>
        <w:rPr/>
      </w:pPr>
      <w:r>
        <w:rPr/>
        <w:t>HR4-336. Sex/Gender/Disability-Responsive Health Evidence: Data, Participation and Capacity-Building</w:t>
      </w:r>
    </w:p>
    <w:p>
      <w:pPr>
        <w:pStyle w:val="Normal"/>
        <w:widowControl/>
        <w:rPr/>
      </w:pPr>
      <w:r>
        <w:rPr/>
        <w:t>Implementation should use proportionate evidence, affected-community participation and capacity-building where useful. Data collection shall be limited to what is reasonably necessary, protect confidential and sensitive personal information, use aggregation or de-identification where practicable, and avoid duplicative reporting.</w:t>
      </w:r>
    </w:p>
    <w:p>
      <w:bookmarkStart w:id="3137" w:name="_NAESTMA_TOC_3137"/>
      <w:pPr>
        <w:pStyle w:val="Heading2"/>
        <w:keepNext/>
        <w:widowControl/>
        <w:rPr/>
      </w:pPr>
      <w:r>
        <w:rPr/>
        <w:t>CL-26. GENDER EQUALITY AND INCLUSIVE TRADE</w:t>
      </w:r>
      <w:bookmarkEnd w:id="3137"/>
    </w:p>
    <w:p>
      <w:pPr>
        <w:pStyle w:val="Normal"/>
        <w:widowControl/>
        <w:rPr/>
      </w:pPr>
      <w:r>
        <w:rPr/>
        <w:t>Application. Mixed Mandatory/Flexible Architecture. Provisions in this Section retain the Round-Three temperature assigned to their source mechanism and are interpreted through Articles CL-1 through CL-5.</w:t>
      </w:r>
    </w:p>
    <w:p>
      <w:pPr>
        <w:pStyle w:val="Heading3"/>
        <w:keepNext/>
        <w:widowControl/>
        <w:rPr/>
      </w:pPr>
      <w:r>
        <w:rPr/>
        <w:t>HR4-337. Trade-And-Gender Equality Framework: Common Objective and Cooperation Duty</w:t>
      </w:r>
    </w:p>
    <w:p>
      <w:pPr>
        <w:pStyle w:val="Normal"/>
        <w:widowControl/>
        <w:rPr/>
      </w:pPr>
      <w:r>
        <w:rPr/>
        <w:t>The Parties shall cooperate, consistent with their respective laws and institutional competence, to advance the common objective of address measurable trade and workplace barriers without requiring identical domestic social-policy models, using disaggregated evidence and targeted participation where useful. Cooperation may include exchange of practices, technical assistance, compatible guidance and voluntary coordination and shall not require identical domestic institutions.</w:t>
      </w:r>
    </w:p>
    <w:p>
      <w:pPr>
        <w:pStyle w:val="Heading3"/>
        <w:keepNext/>
        <w:widowControl/>
        <w:rPr/>
      </w:pPr>
      <w:r>
        <w:rPr/>
        <w:t>HR4-338. Trade-And-Gender Equality Framework: Equivalent Implementation Pathways</w:t>
      </w:r>
    </w:p>
    <w:p>
      <w:pPr>
        <w:pStyle w:val="Normal"/>
        <w:widowControl/>
        <w:rPr/>
      </w:pPr>
      <w:r>
        <w:rPr/>
        <w:t>Each Party may implement this mechanism through legislation, regulation, administrative practice, procurement conditions, collective arrangements, sectoral programs or other lawful means suited to its system. Different means are acceptable where they provide materially equivalent protection or progress and remain reviewable against the stated objective.</w:t>
      </w:r>
    </w:p>
    <w:p>
      <w:pPr>
        <w:pStyle w:val="Heading3"/>
        <w:keepNext/>
        <w:widowControl/>
        <w:rPr/>
      </w:pPr>
      <w:r>
        <w:rPr/>
        <w:t>HR4-339. Trade-And-Gender Equality Framework: Data, Participation and Capacity-Building</w:t>
      </w:r>
    </w:p>
    <w:p>
      <w:pPr>
        <w:pStyle w:val="Normal"/>
        <w:widowControl/>
        <w:rPr/>
      </w:pPr>
      <w:r>
        <w:rPr/>
        <w:t>Implementation should use proportionate evidence, affected-community participation and capacity-building where useful. Data collection shall be limited to what is reasonably necessary, protect confidential and sensitive personal information, use aggregation or de-identification where practicable, and avoid duplicative reporting.</w:t>
      </w:r>
    </w:p>
    <w:p>
      <w:pPr>
        <w:pStyle w:val="Heading3"/>
        <w:keepNext/>
        <w:widowControl/>
        <w:rPr/>
      </w:pPr>
      <w:r>
        <w:rPr/>
        <w:t>HR4-340. Trade-And-Gender Equality Framework: Pilot, Review and Scaling</w:t>
      </w:r>
    </w:p>
    <w:p>
      <w:pPr>
        <w:pStyle w:val="Normal"/>
        <w:widowControl/>
        <w:rPr/>
      </w:pPr>
      <w:r>
        <w:rPr/>
        <w:t>A Party or the Parties jointly may test this mechanism through a time-limited pilot with published objectives, safeguards and review criteria. Continuation or scaling requires an affirmative decision based on evidence; discontinuing a pilot does not reduce independently applicable rights or constitute noncompliance with an optional element.</w:t>
      </w:r>
    </w:p>
    <w:p>
      <w:pPr>
        <w:pStyle w:val="Heading3"/>
        <w:keepNext/>
        <w:widowControl/>
        <w:rPr/>
      </w:pPr>
      <w:r>
        <w:rPr/>
        <w:t>HR4-341. Women-Owned And Underrepresented Sme Access: Common Objective and Cooperation Duty</w:t>
      </w:r>
    </w:p>
    <w:p>
      <w:pPr>
        <w:pStyle w:val="Normal"/>
        <w:widowControl/>
        <w:rPr/>
      </w:pPr>
      <w:r>
        <w:rPr/>
        <w:t>The Parties shall cooperate, consistent with their respective laws and institutional competence, to advance the common objective of address measurable trade and workplace barriers without requiring identical domestic social-policy models, using disaggregated evidence and targeted participation where useful. Cooperation may include exchange of practices, technical assistance, compatible guidance and voluntary coordination and shall not require identical domestic institutions.</w:t>
      </w:r>
    </w:p>
    <w:p>
      <w:pPr>
        <w:pStyle w:val="Heading3"/>
        <w:keepNext/>
        <w:widowControl/>
        <w:rPr/>
      </w:pPr>
      <w:r>
        <w:rPr/>
        <w:t>HR4-342. Women-Owned And Underrepresented Sme Access: Equivalent Implementation Pathways</w:t>
      </w:r>
    </w:p>
    <w:p>
      <w:pPr>
        <w:pStyle w:val="Normal"/>
        <w:widowControl/>
        <w:rPr/>
      </w:pPr>
      <w:r>
        <w:rPr/>
        <w:t>Each Party may implement this mechanism through legislation, regulation, administrative practice, procurement conditions, collective arrangements, sectoral programs or other lawful means suited to its system. Different means are acceptable where they provide materially equivalent protection or progress and remain reviewable against the stated objective.</w:t>
      </w:r>
    </w:p>
    <w:p>
      <w:pPr>
        <w:pStyle w:val="Heading3"/>
        <w:keepNext/>
        <w:widowControl/>
        <w:rPr/>
      </w:pPr>
      <w:r>
        <w:rPr/>
        <w:t>HR4-343. Women-Owned And Underrepresented Sme Access: Data, Participation and Capacity-Building</w:t>
      </w:r>
    </w:p>
    <w:p>
      <w:pPr>
        <w:pStyle w:val="Normal"/>
        <w:widowControl/>
        <w:rPr/>
      </w:pPr>
      <w:r>
        <w:rPr/>
        <w:t>Implementation should use proportionate evidence, affected-community participation and capacity-building where useful. Data collection shall be limited to what is reasonably necessary, protect confidential and sensitive personal information, use aggregation or de-identification where practicable, and avoid duplicative reporting.</w:t>
      </w:r>
    </w:p>
    <w:p>
      <w:pPr>
        <w:pStyle w:val="Heading3"/>
        <w:keepNext/>
        <w:widowControl/>
        <w:rPr/>
      </w:pPr>
      <w:r>
        <w:rPr/>
        <w:t>HR4-344. Gender-Differentiated Trade Impact Analysis: Common Objective and Cooperation Duty</w:t>
      </w:r>
    </w:p>
    <w:p>
      <w:pPr>
        <w:pStyle w:val="Normal"/>
        <w:widowControl/>
        <w:rPr/>
      </w:pPr>
      <w:r>
        <w:rPr/>
        <w:t>The Parties shall cooperate, consistent with their respective laws and institutional competence, to advance the common objective of address measurable trade and workplace barriers without requiring identical domestic social-policy models, using disaggregated evidence and targeted participation where useful. Cooperation may include exchange of practices, technical assistance, compatible guidance and voluntary coordination and shall not require identical domestic institutions.</w:t>
      </w:r>
    </w:p>
    <w:p>
      <w:pPr>
        <w:pStyle w:val="Heading3"/>
        <w:keepNext/>
        <w:widowControl/>
        <w:rPr/>
      </w:pPr>
      <w:r>
        <w:rPr/>
        <w:t>HR4-345. Gender-Differentiated Trade Impact Analysis: Equivalent Implementation Pathways</w:t>
      </w:r>
    </w:p>
    <w:p>
      <w:pPr>
        <w:pStyle w:val="Normal"/>
        <w:widowControl/>
        <w:rPr/>
      </w:pPr>
      <w:r>
        <w:rPr/>
        <w:t>Each Party may implement this mechanism through legislation, regulation, administrative practice, procurement conditions, collective arrangements, sectoral programs or other lawful means suited to its system. Different means are acceptable where they provide materially equivalent protection or progress and remain reviewable against the stated objective.</w:t>
      </w:r>
    </w:p>
    <w:p>
      <w:pPr>
        <w:pStyle w:val="Heading3"/>
        <w:keepNext/>
        <w:widowControl/>
        <w:rPr/>
      </w:pPr>
      <w:r>
        <w:rPr/>
        <w:t>HR4-346. Gender-Differentiated Trade Impact Analysis: Data, Participation and Capacity-Building</w:t>
      </w:r>
    </w:p>
    <w:p>
      <w:pPr>
        <w:pStyle w:val="Normal"/>
        <w:widowControl/>
        <w:rPr/>
      </w:pPr>
      <w:r>
        <w:rPr/>
        <w:t>Implementation should use proportionate evidence, affected-community participation and capacity-building where useful. Data collection shall be limited to what is reasonably necessary, protect confidential and sensitive personal information, use aggregation or de-identification where practicable, and avoid duplicative reporting.</w:t>
      </w:r>
    </w:p>
    <w:p>
      <w:pPr>
        <w:pStyle w:val="Heading3"/>
        <w:keepNext/>
        <w:widowControl/>
        <w:rPr/>
      </w:pPr>
      <w:r>
        <w:rPr/>
        <w:t>HR4-347. Caregiving And Unpaid-Care Barrier Reduction: Common Objective and Cooperation Duty</w:t>
      </w:r>
    </w:p>
    <w:p>
      <w:pPr>
        <w:pStyle w:val="Normal"/>
        <w:widowControl/>
        <w:rPr/>
      </w:pPr>
      <w:r>
        <w:rPr/>
        <w:t>The Parties shall cooperate, consistent with their respective laws and institutional competence, to advance the common objective of avoid arbitrary family separation and discrimination based on caregiving status while preserving lawful child-protection, safety and judicial decision-making. Cooperation may include exchange of practices, technical assistance, compatible guidance and voluntary coordination and shall not require identical domestic institutions.</w:t>
      </w:r>
    </w:p>
    <w:p>
      <w:pPr>
        <w:pStyle w:val="Heading3"/>
        <w:keepNext/>
        <w:widowControl/>
        <w:rPr/>
      </w:pPr>
      <w:r>
        <w:rPr/>
        <w:t>HR4-348. Caregiving And Unpaid-Care Barrier Reduction: Equivalent Implementation Pathways</w:t>
      </w:r>
    </w:p>
    <w:p>
      <w:pPr>
        <w:pStyle w:val="Normal"/>
        <w:widowControl/>
        <w:rPr/>
      </w:pPr>
      <w:r>
        <w:rPr/>
        <w:t>Each Party may implement this mechanism through legislation, regulation, administrative practice, procurement conditions, collective arrangements, sectoral programs or other lawful means suited to its system. Different means are acceptable where they provide materially equivalent protection or progress and remain reviewable against the stated objective.</w:t>
      </w:r>
    </w:p>
    <w:p>
      <w:pPr>
        <w:pStyle w:val="Heading3"/>
        <w:keepNext/>
        <w:widowControl/>
        <w:rPr/>
      </w:pPr>
      <w:r>
        <w:rPr/>
        <w:t>HR4-349. Caregiving And Unpaid-Care Barrier Reduction: Data, Participation and Capacity-Building</w:t>
      </w:r>
    </w:p>
    <w:p>
      <w:pPr>
        <w:pStyle w:val="Normal"/>
        <w:widowControl/>
        <w:rPr/>
      </w:pPr>
      <w:r>
        <w:rPr/>
        <w:t>Implementation should use proportionate evidence, affected-community participation and capacity-building where useful. Data collection shall be limited to what is reasonably necessary, protect confidential and sensitive personal information, use aggregation or de-identification where practicable, and avoid duplicative reporting.</w:t>
      </w:r>
    </w:p>
    <w:p>
      <w:pPr>
        <w:pStyle w:val="Heading3"/>
        <w:keepNext/>
        <w:widowControl/>
        <w:rPr/>
      </w:pPr>
      <w:r>
        <w:rPr/>
        <w:t>HR4-350. Inclusive Training And Skills Pathways: Common Objective and Cooperation Duty</w:t>
      </w:r>
    </w:p>
    <w:p>
      <w:pPr>
        <w:pStyle w:val="Normal"/>
        <w:widowControl/>
        <w:rPr/>
      </w:pPr>
      <w:r>
        <w:rPr/>
        <w:t>The Parties shall cooperate, consistent with their respective laws and institutional competence, to advance the common objective of translate the mechanism into a narrow treaty-linked obligation, preserve stronger domestic protections, and avoid creating rights or liabilities beyond what the Parties expressly adopt. Cooperation may include exchange of practices, technical assistance, compatible guidance and voluntary coordination and shall not require identical domestic institutions.</w:t>
      </w:r>
    </w:p>
    <w:p>
      <w:pPr>
        <w:pStyle w:val="Heading3"/>
        <w:keepNext/>
        <w:widowControl/>
        <w:rPr/>
      </w:pPr>
      <w:r>
        <w:rPr/>
        <w:t>HR4-351. Inclusive Training And Skills Pathways: Equivalent Implementation Pathways</w:t>
      </w:r>
    </w:p>
    <w:p>
      <w:pPr>
        <w:pStyle w:val="Normal"/>
        <w:widowControl/>
        <w:rPr/>
      </w:pPr>
      <w:r>
        <w:rPr/>
        <w:t>Each Party may implement this mechanism through legislation, regulation, administrative practice, procurement conditions, collective arrangements, sectoral programs or other lawful means suited to its system. Different means are acceptable where they provide materially equivalent protection or progress and remain reviewable against the stated objective.</w:t>
      </w:r>
    </w:p>
    <w:p>
      <w:pPr>
        <w:pStyle w:val="Heading3"/>
        <w:keepNext/>
        <w:widowControl/>
        <w:rPr/>
      </w:pPr>
      <w:r>
        <w:rPr/>
        <w:t>HR4-352. Inclusive Training And Skills Pathways: Data, Participation and Capacity-Building</w:t>
      </w:r>
    </w:p>
    <w:p>
      <w:pPr>
        <w:pStyle w:val="Normal"/>
        <w:widowControl/>
        <w:rPr/>
      </w:pPr>
      <w:r>
        <w:rPr/>
        <w:t>Implementation should use proportionate evidence, affected-community participation and capacity-building where useful. Data collection shall be limited to what is reasonably necessary, protect confidential and sensitive personal information, use aggregation or de-identification where practicable, and avoid duplicative reporting.</w:t>
      </w:r>
    </w:p>
    <w:p>
      <w:pPr>
        <w:pStyle w:val="Heading3"/>
        <w:keepNext/>
        <w:widowControl/>
        <w:rPr/>
      </w:pPr>
      <w:r>
        <w:rPr/>
        <w:t>HR4-353. Gender-Based Violence In Trade/Work Contexts: Common Objective and Cooperation Duty</w:t>
      </w:r>
    </w:p>
    <w:p>
      <w:pPr>
        <w:pStyle w:val="Normal"/>
        <w:widowControl/>
        <w:rPr/>
      </w:pPr>
      <w:r>
        <w:rPr/>
        <w:t>The Parties shall cooperate, consistent with their respective laws and institutional competence, to advance the common objective of require prevention, reporting, protection from retaliation, competent response and proportionate remedies, including for gender-based and identity-targeted harm. Cooperation may include exchange of practices, technical assistance, compatible guidance and voluntary coordination and shall not require identical domestic institutions.</w:t>
      </w:r>
    </w:p>
    <w:p>
      <w:pPr>
        <w:pStyle w:val="Heading3"/>
        <w:keepNext/>
        <w:widowControl/>
        <w:rPr/>
      </w:pPr>
      <w:r>
        <w:rPr/>
        <w:t>HR4-354. Gender-Based Violence In Trade/Work Contexts: Equivalent Implementation Pathways</w:t>
      </w:r>
    </w:p>
    <w:p>
      <w:pPr>
        <w:pStyle w:val="Normal"/>
        <w:widowControl/>
        <w:rPr/>
      </w:pPr>
      <w:r>
        <w:rPr/>
        <w:t>Each Party may implement this mechanism through legislation, regulation, administrative practice, procurement conditions, collective arrangements, sectoral programs or other lawful means suited to its system. Different means are acceptable where they provide materially equivalent protection or progress and remain reviewable against the stated objective.</w:t>
      </w:r>
    </w:p>
    <w:p>
      <w:pPr>
        <w:pStyle w:val="Heading3"/>
        <w:keepNext/>
        <w:widowControl/>
        <w:rPr/>
      </w:pPr>
      <w:r>
        <w:rPr/>
        <w:t>HR4-355. Sex/Gender-Disaggregated Monitoring: Common Objective and Cooperation Duty</w:t>
      </w:r>
    </w:p>
    <w:p>
      <w:pPr>
        <w:pStyle w:val="Normal"/>
        <w:widowControl/>
        <w:rPr/>
      </w:pPr>
      <w:r>
        <w:rPr/>
        <w:t>The Parties shall cooperate, consistent with their respective laws and institutional competence, to advance the common objective of address measurable trade and workplace barriers without requiring identical domestic social-policy models, using disaggregated evidence and targeted participation where useful. Cooperation may include exchange of practices, technical assistance, compatible guidance and voluntary coordination and shall not require identical domestic institutions.</w:t>
      </w:r>
    </w:p>
    <w:p>
      <w:pPr>
        <w:pStyle w:val="Heading3"/>
        <w:keepNext/>
        <w:widowControl/>
        <w:rPr/>
      </w:pPr>
      <w:r>
        <w:rPr/>
        <w:t>HR4-356. Sex/Gender-Disaggregated Monitoring: Equivalent Implementation Pathways</w:t>
      </w:r>
    </w:p>
    <w:p>
      <w:pPr>
        <w:pStyle w:val="Normal"/>
        <w:widowControl/>
        <w:rPr/>
      </w:pPr>
      <w:r>
        <w:rPr/>
        <w:t>Each Party may implement this mechanism through legislation, regulation, administrative practice, procurement conditions, collective arrangements, sectoral programs or other lawful means suited to its system. Different means are acceptable where they provide materially equivalent protection or progress and remain reviewable against the stated objective.</w:t>
      </w:r>
    </w:p>
    <w:p>
      <w:bookmarkStart w:id="3138" w:name="_NAESTMA_TOC_3138"/>
      <w:pPr>
        <w:pStyle w:val="Heading2"/>
        <w:keepNext/>
        <w:widowControl/>
        <w:rPr/>
      </w:pPr>
      <w:r>
        <w:rPr/>
        <w:t>CL-27. DISABILITY RIGHTS AND ACCESSIBILITY</w:t>
      </w:r>
      <w:bookmarkEnd w:id="3138"/>
    </w:p>
    <w:p>
      <w:pPr>
        <w:pStyle w:val="Normal"/>
        <w:widowControl/>
        <w:rPr/>
      </w:pPr>
      <w:r>
        <w:rPr/>
        <w:t>Application. Mixed Mandatory/Flexible Architecture. Provisions in this Section retain the Round-Three temperature assigned to their source mechanism and are interpreted through Articles CL-1 through CL-5.</w:t>
      </w:r>
    </w:p>
    <w:p>
      <w:pPr>
        <w:pStyle w:val="Heading3"/>
        <w:keepNext/>
        <w:widowControl/>
        <w:rPr/>
      </w:pPr>
      <w:r>
        <w:rPr/>
        <w:t>HR4-357. Accessible Digital Trade And Procurement: Common Objective and Cooperation Duty</w:t>
      </w:r>
    </w:p>
    <w:p>
      <w:pPr>
        <w:pStyle w:val="Normal"/>
        <w:widowControl/>
        <w:rPr/>
      </w:pPr>
      <w:r>
        <w:rPr/>
        <w:t>The Parties shall cooperate, consistent with their respective laws and institutional competence, to advance the common objective of use risk-based due diligence, proportionate expectations, supplier engagement, remediation and transparent eligibility criteria while avoiding automatic private liability unless expressly adopted. Cooperation may include exchange of practices, technical assistance, compatible guidance and voluntary coordination and shall not require identical domestic institutions.</w:t>
      </w:r>
    </w:p>
    <w:p>
      <w:pPr>
        <w:pStyle w:val="Heading3"/>
        <w:keepNext/>
        <w:widowControl/>
        <w:rPr/>
      </w:pPr>
      <w:r>
        <w:rPr/>
        <w:t>HR4-358. Accessible Digital Trade And Procurement: Equivalent Implementation Pathways</w:t>
      </w:r>
    </w:p>
    <w:p>
      <w:pPr>
        <w:pStyle w:val="Normal"/>
        <w:widowControl/>
        <w:rPr/>
      </w:pPr>
      <w:r>
        <w:rPr/>
        <w:t>Each Party may implement this mechanism through legislation, regulation, administrative practice, procurement conditions, collective arrangements, sectoral programs or other lawful means suited to its system. Different means are acceptable where they provide materially equivalent protection or progress and remain reviewable against the stated objective.</w:t>
      </w:r>
    </w:p>
    <w:p>
      <w:pPr>
        <w:pStyle w:val="Heading3"/>
        <w:keepNext/>
        <w:widowControl/>
        <w:rPr/>
      </w:pPr>
      <w:r>
        <w:rPr/>
        <w:t>HR4-359. Disability-Inclusive Employment And Skills: Common Objective and Cooperation Duty</w:t>
      </w:r>
    </w:p>
    <w:p>
      <w:pPr>
        <w:pStyle w:val="Normal"/>
        <w:widowControl/>
        <w:rPr/>
      </w:pPr>
      <w:r>
        <w:rPr/>
        <w:t>The Parties shall cooperate, consistent with their respective laws and institutional competence, to advance the common objective of require nondiscriminatory access, reasonable accommodation and accessible communications consistent with legitimate safety, feasibility and undue-hardship standards under applicable law. Cooperation may include exchange of practices, technical assistance, compatible guidance and voluntary coordination and shall not require identical domestic institutions.</w:t>
      </w:r>
    </w:p>
    <w:p>
      <w:pPr>
        <w:pStyle w:val="Heading3"/>
        <w:keepNext/>
        <w:widowControl/>
        <w:rPr/>
      </w:pPr>
      <w:r>
        <w:rPr/>
        <w:t>HR4-360. Disability-Inclusive Employment And Skills: Equivalent Implementation Pathways</w:t>
      </w:r>
    </w:p>
    <w:p>
      <w:pPr>
        <w:pStyle w:val="Normal"/>
        <w:widowControl/>
        <w:rPr/>
      </w:pPr>
      <w:r>
        <w:rPr/>
        <w:t>Each Party may implement this mechanism through legislation, regulation, administrative practice, procurement conditions, collective arrangements, sectoral programs or other lawful means suited to its system. Different means are acceptable where they provide materially equivalent protection or progress and remain reviewable against the stated objective.</w:t>
      </w:r>
    </w:p>
    <w:p>
      <w:bookmarkStart w:id="3139" w:name="_NAESTMA_TOC_3139"/>
      <w:pPr>
        <w:pStyle w:val="Heading2"/>
        <w:keepNext/>
        <w:widowControl/>
        <w:rPr/>
      </w:pPr>
      <w:r>
        <w:rPr/>
        <w:t>CL-28. HUMAN-RIGHTS GOVERNANCE, INTERPRETATION AND REVIEW</w:t>
      </w:r>
      <w:bookmarkEnd w:id="3139"/>
    </w:p>
    <w:p>
      <w:pPr>
        <w:pStyle w:val="Normal"/>
        <w:widowControl/>
        <w:rPr/>
      </w:pPr>
      <w:r>
        <w:rPr/>
        <w:t>Application. Mixed Mandatory/Flexible Architecture. Provisions in this Section retain the Round-Three temperature assigned to their source mechanism and are interpreted through Articles CL-1 through CL-5.</w:t>
      </w:r>
    </w:p>
    <w:p>
      <w:pPr>
        <w:pStyle w:val="Heading3"/>
        <w:keepNext/>
        <w:widowControl/>
        <w:rPr/>
      </w:pPr>
      <w:r>
        <w:rPr/>
        <w:t>HR4-361. Human-Rights Impact Assessment Framework: Common Objective and Cooperation Duty</w:t>
      </w:r>
    </w:p>
    <w:p>
      <w:pPr>
        <w:pStyle w:val="Normal"/>
        <w:widowControl/>
        <w:rPr/>
      </w:pPr>
      <w:r>
        <w:rPr/>
        <w:t>The Parties shall cooperate, consistent with their respective laws and institutional competence, to advance the common objective of use proportionate, evidence-based screening focused on materially affected rights and communities, avoiding automatic vetoes or duplicative assessment regimes. Cooperation may include exchange of practices, technical assistance, compatible guidance and voluntary coordination and shall not require identical domestic institutions.</w:t>
      </w:r>
    </w:p>
    <w:p>
      <w:pPr>
        <w:pStyle w:val="Heading3"/>
        <w:keepNext/>
        <w:widowControl/>
        <w:rPr/>
      </w:pPr>
      <w:r>
        <w:rPr/>
        <w:t>HR4-362. Human-Rights Impact Assessment Framework: Equivalent Implementation Pathways</w:t>
      </w:r>
    </w:p>
    <w:p>
      <w:pPr>
        <w:pStyle w:val="Normal"/>
        <w:widowControl/>
        <w:rPr/>
      </w:pPr>
      <w:r>
        <w:rPr/>
        <w:t>Each Party may implement this mechanism through legislation, regulation, administrative practice, procurement conditions, collective arrangements, sectoral programs or other lawful means suited to its system. Different means are acceptable where they provide materially equivalent protection or progress and remain reviewable against the stated objective.</w:t>
      </w:r>
    </w:p>
    <w:p>
      <w:pPr>
        <w:pStyle w:val="Heading3"/>
        <w:keepNext/>
        <w:widowControl/>
        <w:rPr/>
      </w:pPr>
      <w:r>
        <w:rPr/>
        <w:t>HR4-363. Human-Rights And Trade Advisory Participation: Common Objective and Cooperation Duty</w:t>
      </w:r>
    </w:p>
    <w:p>
      <w:pPr>
        <w:pStyle w:val="Normal"/>
        <w:widowControl/>
        <w:rPr/>
      </w:pPr>
      <w:r>
        <w:rPr/>
        <w:t>The Parties shall cooperate, consistent with their respective laws and institutional competence, to advance the common objective of use existing institutions where possible, transparent criteria, diverse expertise, confidentiality safeguards and periodic review without creating duplicative bureaucracy or private enforcement by implication. Cooperation may include exchange of practices, technical assistance, compatible guidance and voluntary coordination and shall not require identical domestic institutions.</w:t>
      </w:r>
    </w:p>
    <w:p>
      <w:pPr>
        <w:pStyle w:val="Heading3"/>
        <w:keepNext/>
        <w:widowControl/>
        <w:rPr/>
      </w:pPr>
      <w:r>
        <w:rPr/>
        <w:t>HR4-364. Human-Rights And Trade Advisory Participation: Equivalent Implementation Pathways</w:t>
      </w:r>
    </w:p>
    <w:p>
      <w:pPr>
        <w:pStyle w:val="Normal"/>
        <w:widowControl/>
        <w:rPr/>
      </w:pPr>
      <w:r>
        <w:rPr/>
        <w:t>Each Party may implement this mechanism through legislation, regulation, administrative practice, procurement conditions, collective arrangements, sectoral programs or other lawful means suited to its system. Different means are acceptable where they provide materially equivalent protection or progress and remain reviewable against the stated objective.</w:t>
      </w:r>
    </w:p>
    <w:p>
      <w:pPr>
        <w:pStyle w:val="Heading3"/>
        <w:keepNext/>
        <w:widowControl/>
        <w:rPr/>
      </w:pPr>
      <w:r>
        <w:t>HR4-365. Implementation should use proportionate evidence, affected-community participation and capacity-building where useful</w:t>
      </w:r>
    </w:p>
    <w:p>
      <w:pPr>
        <w:pStyle w:val="Normal"/>
        <w:widowControl/>
        <w:rPr/>
      </w:pPr>
      <w:r>
        <w:rPr/>
        <w:t>Implementation should use proportionate evidence, affected-community participation and capacity-building where useful. Data collection shall be limited to what is reasonably necessary, protect confidential and sensitive personal information, use aggregation or de-identification where practicable, and avoid duplicative reporting.</w:t>
      </w:r>
    </w:p>
    <w:p>
      <w:pPr>
        <w:pStyle w:val="Heading3"/>
        <w:keepNext/>
        <w:widowControl/>
        <w:rPr/>
      </w:pPr>
      <w:r>
        <w:rPr/>
        <w:t>HR4-366. Complaint Intake And Referral Portal: Common Objective and Cooperation Duty</w:t>
      </w:r>
    </w:p>
    <w:p>
      <w:pPr>
        <w:pStyle w:val="Normal"/>
        <w:widowControl/>
        <w:rPr/>
      </w:pPr>
      <w:r>
        <w:rPr/>
        <w:t>The Parties shall cooperate, consistent with their respective laws and institutional competence, to advance the common objective of use existing institutions where possible, transparent criteria, diverse expertise, confidentiality safeguards and periodic review without creating duplicative bureaucracy or private enforcement by implication. Cooperation may include exchange of practices, technical assistance, compatible guidance and voluntary coordination and shall not require identical domestic institutions.</w:t>
      </w:r>
    </w:p>
    <w:p>
      <w:pPr>
        <w:pStyle w:val="Heading3"/>
        <w:keepNext/>
        <w:widowControl/>
        <w:rPr/>
      </w:pPr>
      <w:r>
        <w:rPr/>
        <w:t>HR4-367. Complaint Intake And Referral Portal: Equivalent Implementation Pathways</w:t>
      </w:r>
    </w:p>
    <w:p>
      <w:pPr>
        <w:pStyle w:val="Normal"/>
        <w:widowControl/>
        <w:rPr/>
      </w:pPr>
      <w:r>
        <w:rPr/>
        <w:t>Each Party may implement this mechanism through legislation, regulation, administrative practice, procurement conditions, collective arrangements, sectoral programs or other lawful means suited to its system. Different means are acceptable where they provide materially equivalent protection or progress and remain reviewable against the stated objective.</w:t>
      </w:r>
    </w:p>
    <w:p>
      <w:pPr>
        <w:pStyle w:val="Heading3"/>
        <w:keepNext/>
        <w:widowControl/>
        <w:rPr/>
      </w:pPr>
      <w:r>
        <w:rPr/>
        <w:t>HR4-368. Independent Evidence And Expert Input: Common Objective and Cooperation Duty</w:t>
      </w:r>
    </w:p>
    <w:p>
      <w:pPr>
        <w:pStyle w:val="Normal"/>
        <w:widowControl/>
        <w:rPr/>
      </w:pPr>
      <w:r>
        <w:rPr/>
        <w:t>The Parties shall cooperate, consistent with their respective laws and institutional competence, to advance the common objective of use existing institutions where possible, transparent criteria, diverse expertise, confidentiality safeguards and periodic review without creating duplicative bureaucracy or private enforcement by implication. Cooperation may include exchange of practices, technical assistance, compatible guidance and voluntary coordination and shall not require identical domestic institutions.</w:t>
      </w:r>
    </w:p>
    <w:p>
      <w:pPr>
        <w:pStyle w:val="Heading3"/>
        <w:keepNext/>
        <w:widowControl/>
        <w:rPr/>
      </w:pPr>
      <w:r>
        <w:rPr/>
        <w:t>HR4-369. Independent Evidence And Expert Input: Equivalent Implementation Pathways</w:t>
      </w:r>
    </w:p>
    <w:p>
      <w:pPr>
        <w:pStyle w:val="Normal"/>
        <w:widowControl/>
        <w:rPr/>
      </w:pPr>
      <w:r>
        <w:rPr/>
        <w:t>Each Party may implement this mechanism through legislation, regulation, administrative practice, procurement conditions, collective arrangements, sectoral programs or other lawful means suited to its system. Different means are acceptable where they provide materially equivalent protection or progress and remain reviewable against the stated objective.</w:t>
      </w:r>
    </w:p>
    <w:p>
      <w:pPr>
        <w:pStyle w:val="Heading3"/>
        <w:keepNext/>
        <w:widowControl/>
        <w:rPr/>
      </w:pPr>
      <w:r>
        <w:rPr/>
        <w:t>HR4-370. Periodic Review And Update Mechanism: Common Objective and Cooperation Duty</w:t>
      </w:r>
    </w:p>
    <w:p>
      <w:pPr>
        <w:pStyle w:val="Normal"/>
        <w:widowControl/>
        <w:rPr/>
      </w:pPr>
      <w:r>
        <w:rPr/>
        <w:t>The Parties shall cooperate, consistent with their respective laws and institutional competence, to advance the common objective of use existing institutions where possible, transparent criteria, diverse expertise, confidentiality safeguards and periodic review without creating duplicative bureaucracy or private enforcement by implication. Cooperation may include exchange of practices, technical assistance, compatible guidance and voluntary coordination and shall not require identical domestic institutions.</w:t>
      </w:r>
    </w:p>
    <w:p>
      <w:pPr>
        <w:pStyle w:val="Heading3"/>
        <w:keepNext/>
        <w:widowControl/>
        <w:rPr/>
      </w:pPr>
      <w:r>
        <w:rPr/>
        <w:t>HR4-371. Periodic Review And Update Mechanism: Equivalent Implementation Pathways</w:t>
      </w:r>
    </w:p>
    <w:p>
      <w:pPr>
        <w:pStyle w:val="Normal"/>
        <w:widowControl/>
        <w:rPr/>
      </w:pPr>
      <w:r>
        <w:rPr/>
        <w:t>Each Party may implement this mechanism through legislation, regulation, administrative practice, procurement conditions, collective arrangements, sectoral programs or other lawful means suited to its system. Different means are acceptable where they provide materially equivalent protection or progress and remain reviewable against the stated objective.</w:t>
      </w:r>
    </w:p>
    <w:p>
      <w:bookmarkStart w:id="3140" w:name="_NAESTMA_TOC_3140"/>
      <w:pPr>
        <w:pStyle w:val="Heading2"/>
        <w:keepNext/>
        <w:widowControl/>
        <w:rPr/>
      </w:pPr>
      <w:r>
        <w:rPr/>
        <w:t>CL-29. BUSINESS, CORPORATE AND SUPPLY-CHAIN HUMAN RIGHTS</w:t>
      </w:r>
      <w:bookmarkEnd w:id="3140"/>
    </w:p>
    <w:p>
      <w:pPr>
        <w:pStyle w:val="Normal"/>
        <w:widowControl/>
        <w:rPr/>
      </w:pPr>
      <w:r>
        <w:rPr/>
        <w:t>Application. Mixed Mandatory/Flexible Architecture. Provisions in this Section retain the Round-Three temperature assigned to their source mechanism and are interpreted through Articles CL-1 through CL-5.</w:t>
      </w:r>
    </w:p>
    <w:p>
      <w:pPr>
        <w:pStyle w:val="Heading3"/>
        <w:keepNext/>
        <w:widowControl/>
        <w:rPr/>
      </w:pPr>
      <w:r>
        <w:rPr/>
        <w:t>HR4-372. Parent/Subsidiary And Contractor Accountability: Voluntary Accession and Scope</w:t>
      </w:r>
    </w:p>
    <w:p>
      <w:pPr>
        <w:pStyle w:val="Normal"/>
        <w:widowControl/>
        <w:rPr/>
      </w:pPr>
      <w:r>
        <w:rPr/>
        <w:t>This Module applies only to a Party that affirmatively accedes to it in accordance with its domestic law and the procedures established by the Commission. Accession shall identify the Module's scope, competent authorities and effective date. Non-participation creates no adverse inference.</w:t>
      </w:r>
    </w:p>
    <w:p>
      <w:pPr>
        <w:pStyle w:val="Heading3"/>
        <w:keepNext/>
        <w:widowControl/>
        <w:rPr/>
      </w:pPr>
      <w:r>
        <w:rPr/>
        <w:t>HR4-373. Parent/Subsidiary And Contractor Accountability: Substantive Optional Standard</w:t>
      </w:r>
    </w:p>
    <w:p>
      <w:pPr>
        <w:pStyle w:val="Normal"/>
        <w:widowControl/>
        <w:rPr/>
      </w:pPr>
      <w:r>
        <w:rPr/>
        <w:t>A participating Party may undertake the optional standard described by this mechanism, including measures to use risk-based due diligence, proportionate expectations, supplier engagement, remediation and transparent eligibility criteria while avoiding automatic private liability unless expressly adopted. The standard shall be interpreted consistently with constitutional requirements, stronger existing rights, Indigenous and treaty rights where applicable, and the safeguards of the mandatory human-rights core.</w:t>
      </w:r>
    </w:p>
    <w:p>
      <w:pPr>
        <w:pStyle w:val="Heading3"/>
        <w:keepNext/>
        <w:widowControl/>
        <w:rPr/>
      </w:pPr>
      <w:r>
        <w:rPr/>
        <w:t>HR4-374. Parent/Subsidiary And Contractor Accountability: Non-Coercion and Unrelated-Benefits Firewall</w:t>
      </w:r>
    </w:p>
    <w:p>
      <w:pPr>
        <w:pStyle w:val="Normal"/>
        <w:widowControl/>
        <w:rPr/>
      </w:pPr>
      <w:r>
        <w:rPr/>
        <w:t>A Party's decision not to adopt, renew, fund or participate in this Optional Module does not constitute noncompliance and shall not trigger retaliation, reduce unrelated market access or treaty benefits, alter mandatory-core rights, or serve as an adverse inference in another dispute.</w:t>
      </w:r>
    </w:p>
    <w:p>
      <w:bookmarkStart w:id="3141" w:name="_NAESTMA_TOC_3141"/>
      <w:pPr>
        <w:pStyle w:val="Heading2"/>
        <w:keepNext/>
        <w:widowControl/>
        <w:rPr/>
      </w:pPr>
      <w:r>
        <w:rPr/>
        <w:t>CL-30. OPTIONAL HIGH-SENSITIVITY HUMAN-RIGHTS MODULES</w:t>
      </w:r>
      <w:bookmarkEnd w:id="3141"/>
    </w:p>
    <w:p>
      <w:pPr>
        <w:pStyle w:val="Normal"/>
        <w:widowControl/>
        <w:rPr/>
      </w:pPr>
      <w:r>
        <w:rPr/>
        <w:t>Application. Optional Module. Provisions in this Section retain the Round-Three temperature assigned to their source mechanism and are interpreted through Articles CL-1 through CL-5.</w:t>
      </w:r>
    </w:p>
    <w:p>
      <w:pPr>
        <w:pStyle w:val="Heading3"/>
        <w:keepNext/>
        <w:widowControl/>
        <w:rPr/>
      </w:pPr>
      <w:r>
        <w:rPr/>
        <w:t>HR4-375. Fpic And Consent-Based Indigenous Project Module: Voluntary Accession and Scope</w:t>
      </w:r>
    </w:p>
    <w:p>
      <w:pPr>
        <w:pStyle w:val="Normal"/>
        <w:widowControl/>
        <w:rPr/>
      </w:pPr>
      <w:r>
        <w:rPr/>
        <w:t>This Module applies only to a Party that affirmatively accedes to it in accordance with its domestic law and the procedures established by the Commission. Accession shall identify the Module's scope, competent authorities and effective date. Non-participation creates no adverse inference.</w:t>
      </w:r>
    </w:p>
    <w:p>
      <w:pPr>
        <w:pStyle w:val="Heading3"/>
        <w:keepNext/>
        <w:widowControl/>
        <w:rPr/>
      </w:pPr>
      <w:r>
        <w:rPr/>
        <w:t>HR4-376. Fpic And Consent-Based Indigenous Project Module: Substantive Optional Standard</w:t>
      </w:r>
    </w:p>
    <w:p>
      <w:pPr>
        <w:pStyle w:val="Normal"/>
        <w:widowControl/>
        <w:rPr/>
      </w:pPr>
      <w:r>
        <w:rPr/>
        <w:t>A participating Party may undertake the optional standard described by this mechanism, including measures to preserve stronger constitutional, treaty, inherent, statutory and otherwise applicable Indigenous rights, avoid defining rights downward, and require culturally appropriate participation where the treaty materially affects protected interests. The standard shall be interpreted consistently with constitutional requirements, stronger existing rights, Indigenous and treaty rights where applicable, and the safeguards of the mandatory human-rights core.</w:t>
      </w:r>
    </w:p>
    <w:p>
      <w:pPr>
        <w:pStyle w:val="Heading3"/>
        <w:keepNext/>
        <w:widowControl/>
        <w:rPr/>
      </w:pPr>
      <w:r>
        <w:rPr/>
        <w:t>HR4-377. Fpic And Consent-Based Indigenous Project Module: Non-Coercion and Unrelated-Benefits Firewall</w:t>
      </w:r>
    </w:p>
    <w:p>
      <w:pPr>
        <w:pStyle w:val="Normal"/>
        <w:widowControl/>
        <w:rPr/>
      </w:pPr>
      <w:r>
        <w:rPr/>
        <w:t>A Party's decision not to adopt, renew, fund or participate in this Optional Module does not constitute noncompliance and shall not trigger retaliation, reduce unrelated market access or treaty benefits, alter mandatory-core rights, or serve as an adverse inference in another dispute.</w:t>
      </w:r>
    </w:p>
    <w:p>
      <w:pPr>
        <w:pStyle w:val="Heading3"/>
        <w:keepNext/>
        <w:widowControl/>
        <w:rPr/>
      </w:pPr>
      <w:r>
        <w:rPr/>
        <w:t>HR4-378. General Civil/Political-Rights Conditionality Module: Voluntary Accession and Scope</w:t>
      </w:r>
    </w:p>
    <w:p>
      <w:pPr>
        <w:pStyle w:val="Normal"/>
        <w:widowControl/>
        <w:rPr/>
      </w:pPr>
      <w:r>
        <w:rPr/>
        <w:t>This Module applies only to a Party that affirmatively accedes to it in accordance with its domestic law and the procedures established by the Commission. Accession shall identify the Module's scope, competent authorities and effective date. Non-participation creates no adverse inference.</w:t>
      </w:r>
    </w:p>
    <w:p>
      <w:pPr>
        <w:pStyle w:val="Heading3"/>
        <w:keepNext/>
        <w:widowControl/>
        <w:rPr/>
      </w:pPr>
      <w:r>
        <w:rPr/>
        <w:t>HR4-379. General Civil/Political-Rights Conditionality Module: Substantive Optional Standard</w:t>
      </w:r>
    </w:p>
    <w:p>
      <w:pPr>
        <w:pStyle w:val="Normal"/>
        <w:widowControl/>
        <w:rPr/>
      </w:pPr>
      <w:r>
        <w:rPr/>
        <w:t>A participating Party may undertake the optional standard described by this mechanism, including measures to translate the mechanism into a narrow treaty-linked obligation, preserve stronger domestic protections, and avoid creating rights or liabilities beyond what the Parties expressly adopt. The standard shall be interpreted consistently with constitutional requirements, stronger existing rights, Indigenous and treaty rights where applicable, and the safeguards of the mandatory human-rights core.</w:t>
      </w:r>
    </w:p>
    <w:p>
      <w:pPr>
        <w:pStyle w:val="Heading3"/>
        <w:keepNext/>
        <w:widowControl/>
        <w:rPr/>
      </w:pPr>
      <w:r>
        <w:rPr/>
        <w:t>HR4-380. General Civil/Political-Rights Conditionality Module: Non-Coercion and Unrelated-Benefits Firewall</w:t>
      </w:r>
    </w:p>
    <w:p>
      <w:pPr>
        <w:pStyle w:val="Normal"/>
        <w:widowControl/>
        <w:rPr/>
      </w:pPr>
      <w:r>
        <w:rPr/>
        <w:t>A Party's decision not to adopt, renew, fund or participate in this Optional Module does not constitute noncompliance and shall not trigger retaliation, reduce unrelated market access or treaty benefits, alter mandatory-core rights, or serve as an adverse inference in another dispute.</w:t>
      </w:r>
    </w:p>
    <w:p>
      <w:pPr>
        <w:pStyle w:val="Heading3"/>
        <w:keepNext/>
        <w:widowControl/>
        <w:rPr/>
      </w:pPr>
      <w:r>
        <w:rPr/>
        <w:t>HR4-381. General Civil/Political-Rights Conditionality Module: Periodic Review, Amendment and Withdrawal</w:t>
      </w:r>
    </w:p>
    <w:p>
      <w:pPr>
        <w:pStyle w:val="Normal"/>
        <w:widowControl/>
        <w:rPr/>
      </w:pPr>
      <w:r>
        <w:rPr/>
        <w:t>Participating Parties may periodically review, amend or withdraw from this Optional Module in accordance with published procedures. Withdrawal operates prospectively, preserves accrued responsibility and pending procedural protection, and does not affect unrelated obligations or benefits under this Agreement.</w:t>
      </w:r>
    </w:p>
    <w:p>
      <w:pPr>
        <w:pStyle w:val="Heading3"/>
        <w:keepNext/>
        <w:widowControl/>
        <w:rPr/>
      </w:pPr>
      <w:r>
        <w:rPr/>
        <w:t>HR4-382. Broad Social-Rights Guarantee Module: Voluntary Accession and Scope</w:t>
      </w:r>
    </w:p>
    <w:p>
      <w:pPr>
        <w:pStyle w:val="Normal"/>
        <w:widowControl/>
        <w:rPr/>
      </w:pPr>
      <w:r>
        <w:rPr/>
        <w:t>This Module applies only to a Party that affirmatively accedes to it in accordance with its domestic law and the procedures established by the Commission. Accession shall identify the Module's scope, competent authorities and effective date. Non-participation creates no adverse inference.</w:t>
      </w:r>
    </w:p>
    <w:p>
      <w:pPr>
        <w:pStyle w:val="Heading3"/>
        <w:keepNext/>
        <w:widowControl/>
        <w:rPr/>
      </w:pPr>
      <w:r>
        <w:rPr/>
        <w:t>HR4-383. Broad Social-Rights Guarantee Module: Substantive Optional Standard</w:t>
      </w:r>
    </w:p>
    <w:p>
      <w:pPr>
        <w:pStyle w:val="Normal"/>
        <w:widowControl/>
        <w:rPr/>
      </w:pPr>
      <w:r>
        <w:rPr/>
        <w:t>A participating Party may undertake the optional standard described by this mechanism, including measures to translate the mechanism into a narrow treaty-linked obligation, preserve stronger domestic protections, and avoid creating rights or liabilities beyond what the Parties expressly adopt. The standard shall be interpreted consistently with constitutional requirements, stronger existing rights, Indigenous and treaty rights where applicable, and the safeguards of the mandatory human-rights core.</w:t>
      </w:r>
    </w:p>
    <w:p>
      <w:pPr>
        <w:pStyle w:val="Heading3"/>
        <w:keepNext/>
        <w:widowControl/>
        <w:rPr/>
      </w:pPr>
      <w:r>
        <w:rPr/>
        <w:t>HR4-384. Broad Social-Rights Guarantee Module: Non-Coercion and Unrelated-Benefits Firewall</w:t>
      </w:r>
    </w:p>
    <w:p>
      <w:pPr>
        <w:pStyle w:val="Normal"/>
        <w:widowControl/>
        <w:rPr/>
      </w:pPr>
      <w:r>
        <w:rPr/>
        <w:t>A Party's decision not to adopt, renew, fund or participate in this Optional Module does not constitute noncompliance and shall not trigger retaliation, reduce unrelated market access or treaty benefits, alter mandatory-core rights, or serve as an adverse inference in another dispute.</w:t>
      </w:r>
    </w:p>
    <w:p>
      <w:bookmarkStart w:id="3142" w:name="_NAESTMA_TOC_3142"/>
      <w:pPr>
        <w:pStyle w:val="Heading2"/>
        <w:keepNext/>
        <w:widowControl/>
        <w:spacing w:before="280" w:after="120"/>
        <w:rPr/>
      </w:pPr>
      <w:r>
        <w:rPr/>
        <w:t>CL-19A. PHASE-2 HUMAN-RIGHTS BACKBONE — 350 ADDITIONAL HARDENED PROVISIONS</w:t>
      </w:r>
      <w:bookmarkEnd w:id="3142"/>
    </w:p>
    <w:p>
      <w:pPr>
        <w:pStyle w:val="Normal"/>
        <w:widowControl/>
        <w:rPr/>
      </w:pPr>
      <w:r>
        <w:t>Status. This Section integrates the second human-rights integration pass into Package CL. It contains 350 additional provisions derived from 4,150 Phase-2 proposals consolidated into 151 mechanisms. The mandatory, flexible, and optional legal temperatures assigned during the integration review are preserved. At least seventy percent of these provisions are drafted to the four-sentence substantive floor, while narrowly technical, specialized, or genuinely optional provisions may remain shorter where additional prose would add no legal precision.</w:t>
      </w:r>
    </w:p>
    <w:p>
      <w:pPr>
        <w:pStyle w:val="Normal"/>
        <w:widowControl/>
        <w:rPr/>
      </w:pPr>
      <w:r>
        <w:rPr/>
        <w:t>Application. Articles HR5-001 through HR5-350 are interpreted through CL-1 through CL-5, the specialized safeguards elsewhere in this Agreement, Article 30.C.1 on unnecessary institutions, and the treaty-wide fact, authority, and claim verification rule. A more specific or stronger protection governs to the extent of that greater protection. Optional provisions remain subject to the treaty optionality firewall and cannot be converted into mandatory obligations by implication.</w:t>
      </w:r>
    </w:p>
    <w:p>
      <w:pPr>
        <w:pStyle w:val="Heading3"/>
        <w:keepNext/>
        <w:widowControl/>
        <w:spacing w:before="180" w:after="60"/>
        <w:rPr/>
      </w:pPr>
      <w:r>
        <w:rPr/>
        <w:t>HR5-001. Human dignity and equal protection: Treaty-Wide Rights Floor</w:t>
      </w:r>
    </w:p>
    <w:p>
      <w:pPr>
        <w:pStyle w:val="Normal"/>
        <w:widowControl/>
        <w:spacing w:before="0" w:after="160"/>
        <w:rPr/>
      </w:pPr>
      <w:r>
        <w:rPr/>
        <w:t>Each Party shall maintain and apply measures consistent with human dignity and equal protection, within the scope of this Agreement and subject to the stronger-rights, federalism, competent-authority, security and public-interest safeguards of the Human Rights Framework. The competent authority administering a covered measure shall identify the applicable legal basis and material facts for any significant limitation on this protected interest in a record sufficient for the review available under applicable law. Any limitation shall pursue a legitimate objective, be applied without prohibited discrimination or retaliation, and be no broader or longer than reasonably necessary in the circumstances. A materially affected person or competent representative shall have access, as appropriate under domestic law, to a complaint, reconsideration, review, or other process capable of correcting a material error or unlawful application.</w:t>
      </w:r>
    </w:p>
    <w:p>
      <w:pPr>
        <w:pStyle w:val="Heading3"/>
        <w:keepNext/>
        <w:widowControl/>
        <w:spacing w:before="180" w:after="60"/>
        <w:rPr/>
      </w:pPr>
      <w:r>
        <w:rPr/>
        <w:t>HR5-002. Human dignity and equal protection: Equal Application</w:t>
      </w:r>
    </w:p>
    <w:p>
      <w:pPr>
        <w:pStyle w:val="Normal"/>
        <w:widowControl/>
        <w:spacing w:before="0" w:after="160"/>
        <w:rPr/>
      </w:pPr>
      <w:r>
        <w:rPr/>
        <w:t>A Party shall not administer a measure covered by this Agreement in a manner that defeats human dignity and equal protection through prohibited discrimination, arbitrary distinction, retaliation or bad-faith circumvention. Objective and proportionate distinctions pursuing a legitimate public purpose remain permitted. The competent authority administering a covered measure shall identify the applicable legal basis and material facts for any significant limitation on this protected interest in a record sufficient for the review available under applicable law. Any limitation shall pursue a legitimate objective, be applied without prohibited discrimination or retaliation, and be no broader or longer than reasonably necessary in the circumstances.</w:t>
      </w:r>
    </w:p>
    <w:p>
      <w:pPr>
        <w:pStyle w:val="Heading3"/>
        <w:keepNext/>
        <w:widowControl/>
        <w:spacing w:before="180" w:after="60"/>
        <w:rPr/>
      </w:pPr>
      <w:r>
        <w:rPr/>
        <w:t>HR5-003. Human dignity and equal protection: Proportionate Implementation</w:t>
      </w:r>
    </w:p>
    <w:p>
      <w:pPr>
        <w:pStyle w:val="Normal"/>
        <w:widowControl/>
        <w:spacing w:before="0" w:after="160"/>
        <w:rPr/>
      </w:pPr>
      <w:r>
        <w:rPr/>
        <w:t>Each Party shall use reasonable, proportionate and administrable measures to give practical effect to human dignity and equal protection. Implementation may reflect constitutional structure, division of powers and existing institutions, provided that equivalent protection of the covered interest is maintained. The competent authority administering a covered measure shall identify the applicable legal basis and material facts for any significant limitation on this protected interest in a record sufficient for the review available under applicable law. Any limitation shall pursue a legitimate objective, be applied without prohibited discrimination or retaliation, and be no broader or longer than reasonably necessary in the circumstances.</w:t>
      </w:r>
    </w:p>
    <w:p>
      <w:pPr>
        <w:pStyle w:val="Heading3"/>
        <w:keepNext/>
        <w:widowControl/>
        <w:spacing w:before="180" w:after="60"/>
        <w:rPr/>
      </w:pPr>
      <w:r>
        <w:rPr/>
        <w:t>HR5-004. Treaty-wide nondiscrimination and protected-status equality: Treaty-Wide Rights Floor</w:t>
      </w:r>
    </w:p>
    <w:p>
      <w:pPr>
        <w:pStyle w:val="Normal"/>
        <w:widowControl/>
        <w:spacing w:before="0" w:after="160"/>
        <w:rPr/>
      </w:pPr>
      <w:r>
        <w:rPr/>
        <w:t>Each Party shall maintain and apply measures consistent with treaty-wide nondiscrimination and protected-status equality, within the scope of this Agreement and subject to the stronger-rights, federalism, competent-authority, security and public-interest safeguards of the Human Rights Framework. The competent authority administering a covered measure shall identify the applicable legal basis and material facts for any significant limitation on this protected interest in a record sufficient for the review available under applicable law. Any limitation shall pursue a legitimate objective, be applied without prohibited discrimination or retaliation, and be no broader or longer than reasonably necessary in the circumstances. A materially affected person or competent representative shall have access, as appropriate under domestic law, to a complaint, reconsideration, review, or other process capable of correcting a material error or unlawful application.</w:t>
      </w:r>
    </w:p>
    <w:p>
      <w:pPr>
        <w:pStyle w:val="Heading3"/>
        <w:keepNext/>
        <w:widowControl/>
        <w:spacing w:before="180" w:after="60"/>
        <w:rPr/>
      </w:pPr>
      <w:r>
        <w:rPr/>
        <w:t>HR5-005. Treaty-wide nondiscrimination and protected-status equality: Equal Application</w:t>
      </w:r>
    </w:p>
    <w:p>
      <w:pPr>
        <w:pStyle w:val="Normal"/>
        <w:widowControl/>
        <w:spacing w:before="0" w:after="160"/>
        <w:rPr/>
      </w:pPr>
      <w:r>
        <w:rPr/>
        <w:t>A Party shall not administer a measure covered by this Agreement in a manner that defeats treaty-wide nondiscrimination and protected-status equality through prohibited discrimination, arbitrary distinction, retaliation or bad-faith circumvention. Objective and proportionate distinctions pursuing a legitimate public purpose remain permitted. The competent authority administering a covered measure shall identify the applicable legal basis and material facts for any significant limitation on this protected interest in a record sufficient for the review available under applicable law. Any limitation shall pursue a legitimate objective, be applied without prohibited discrimination or retaliation, and be no broader or longer than reasonably necessary in the circumstances.</w:t>
      </w:r>
    </w:p>
    <w:p>
      <w:pPr>
        <w:pStyle w:val="Heading3"/>
        <w:keepNext/>
        <w:widowControl/>
        <w:spacing w:before="180" w:after="60"/>
        <w:rPr/>
      </w:pPr>
      <w:r>
        <w:rPr/>
        <w:t>HR5-006. Treaty-wide nondiscrimination and protected-status equality: Proportionate Implementation</w:t>
      </w:r>
    </w:p>
    <w:p>
      <w:pPr>
        <w:pStyle w:val="Normal"/>
        <w:widowControl/>
        <w:spacing w:before="0" w:after="160"/>
        <w:rPr/>
      </w:pPr>
      <w:r>
        <w:rPr/>
        <w:t>Each Party shall use reasonable, proportionate and administrable measures to give practical effect to treaty-wide nondiscrimination and protected-status equality. Implementation may reflect constitutional structure, division of powers and existing institutions, provided that equivalent protection of the covered interest is maintained. The competent authority administering a covered measure shall identify the applicable legal basis and material facts for any significant limitation on this protected interest in a record sufficient for the review available under applicable law. Any limitation shall pursue a legitimate objective, be applied without prohibited discrimination or retaliation, and be no broader or longer than reasonably necessary in the circumstances.</w:t>
      </w:r>
    </w:p>
    <w:p>
      <w:pPr>
        <w:pStyle w:val="Heading3"/>
        <w:keepNext/>
        <w:widowControl/>
        <w:spacing w:before="180" w:after="60"/>
        <w:rPr/>
      </w:pPr>
      <w:r>
        <w:rPr/>
        <w:t>HR5-007. Treaty-wide nondiscrimination and protected-status equality: Due Process and Effective Remedy</w:t>
      </w:r>
    </w:p>
    <w:p>
      <w:pPr>
        <w:pStyle w:val="Normal"/>
        <w:widowControl/>
        <w:spacing w:before="0" w:after="160"/>
        <w:rPr/>
      </w:pPr>
      <w:r>
        <w:rPr/>
        <w:t>A person materially affected by a covered governmental measure implicating treaty-wide nondiscrimination and protected-status equality shall have access, as appropriate under domestic law, to notice, reasons, review, complaint or another effective process. This Article does not itself create a private cause of action, criminal offence or automatic civil liability. The competent authority shall provide a materially affected person with notice of the relevant basis, a meaningful opportunity to respond where practicable, and reasons sufficient to permit the review available under applicable law. Review shall be conducted by an authority or process capable of correcting material error, unlawful discrimination, retaliation, or a denial of the protected procedural interest.</w:t>
      </w:r>
    </w:p>
    <w:p>
      <w:pPr>
        <w:pStyle w:val="Heading3"/>
        <w:keepNext/>
        <w:widowControl/>
        <w:spacing w:before="180" w:after="60"/>
        <w:rPr/>
      </w:pPr>
      <w:r>
        <w:rPr/>
        <w:t>HR5-008. Treaty-wide nondiscrimination and protected-status equality: Stronger-Rights and Cooperation Safeguard</w:t>
      </w:r>
    </w:p>
    <w:p>
      <w:pPr>
        <w:pStyle w:val="Normal"/>
        <w:widowControl/>
        <w:spacing w:before="0" w:after="160"/>
        <w:rPr/>
      </w:pPr>
      <w:r>
        <w:rPr/>
        <w:t>The Parties shall cooperate, where useful, on implementation of treaty-wide nondiscrimination and protected-status equality using existing NAESTMA institutions wherever capable. Reporting and data collection shall be proportionate, privacy-preserving and designed to avoid new unfunded permanent bureaucracy. Implementation shall use constitutionally competent authorities and existing NAESTMA institutions wherever capable, and shall not require a new permanent supranational body unless the Parties expressly agree otherwise. Any information collection, consultation, or reporting used for this provision shall be limited to what is reasonably necessary for the stated function and shall respect applicable privacy, confidentiality, security, and protected-disclosure safeguards.</w:t>
      </w:r>
    </w:p>
    <w:p>
      <w:pPr>
        <w:pStyle w:val="Heading3"/>
        <w:keepNext/>
        <w:widowControl/>
        <w:spacing w:before="180" w:after="60"/>
        <w:rPr/>
      </w:pPr>
      <w:r>
        <w:rPr/>
        <w:t>HR5-009. Intersectional and proxy discrimination: Treaty-Wide Rights Floor</w:t>
      </w:r>
    </w:p>
    <w:p>
      <w:pPr>
        <w:pStyle w:val="Normal"/>
        <w:widowControl/>
        <w:spacing w:before="0" w:after="160"/>
        <w:rPr/>
      </w:pPr>
      <w:r>
        <w:rPr/>
        <w:t>Each Party shall maintain and apply measures consistent with intersectional and proxy discrimination, within the scope of this Agreement and subject to the stronger-rights, federalism, competent-authority, security and public-interest safeguards of the Human Rights Framework. The competent authority administering a covered measure shall identify the applicable legal basis and material facts for any significant limitation on this protected interest in a record sufficient for the review available under applicable law. Any limitation shall pursue a legitimate objective, be applied without prohibited discrimination or retaliation, and be no broader or longer than reasonably necessary in the circumstances. A materially affected person or competent representative shall have access, as appropriate under domestic law, to a complaint, reconsideration, review, or other process capable of correcting a material error or unlawful application.</w:t>
      </w:r>
    </w:p>
    <w:p>
      <w:pPr>
        <w:pStyle w:val="Heading3"/>
        <w:keepNext/>
        <w:widowControl/>
        <w:spacing w:before="180" w:after="60"/>
        <w:rPr/>
      </w:pPr>
      <w:r>
        <w:rPr/>
        <w:t>HR5-010. Legal personality, capacity and recognition before law: Treaty-Wide Rights Floor</w:t>
      </w:r>
    </w:p>
    <w:p>
      <w:pPr>
        <w:pStyle w:val="Normal"/>
        <w:widowControl/>
        <w:spacing w:before="0" w:after="160"/>
        <w:rPr/>
      </w:pPr>
      <w:r>
        <w:rPr/>
        <w:t>Each Party shall maintain and apply measures consistent with legal personality, capacity and recognition before law, within the scope of this Agreement and subject to the stronger-rights, federalism, competent-authority, security and public-interest safeguards of the Human Rights Framework. The competent authority administering a covered measure shall identify the applicable legal basis and material facts for any significant limitation on this protected interest in a record sufficient for the review available under applicable law. Any limitation shall pursue a legitimate objective, be applied without prohibited discrimination or retaliation, and be no broader or longer than reasonably necessary in the circumstances. A materially affected person or competent representative shall have access, as appropriate under domestic law, to a complaint, reconsideration, review, or other process capable of correcting a material error or unlawful application.</w:t>
      </w:r>
    </w:p>
    <w:p>
      <w:pPr>
        <w:pStyle w:val="Heading3"/>
        <w:keepNext/>
        <w:widowControl/>
        <w:spacing w:before="180" w:after="60"/>
        <w:rPr/>
      </w:pPr>
      <w:r>
        <w:rPr/>
        <w:t>HR5-011. Legal personality, capacity and recognition before law: Equal Application</w:t>
      </w:r>
    </w:p>
    <w:p>
      <w:pPr>
        <w:pStyle w:val="Normal"/>
        <w:widowControl/>
        <w:spacing w:before="0" w:after="160"/>
        <w:rPr/>
      </w:pPr>
      <w:r>
        <w:rPr/>
        <w:t>A Party shall not administer a measure covered by this Agreement in a manner that defeats legal personality, capacity and recognition before law through prohibited discrimination, arbitrary distinction, retaliation or bad-faith circumvention. Objective and proportionate distinctions pursuing a legitimate public purpose remain permitted. The competent authority administering a covered measure shall identify the applicable legal basis and material facts for any significant limitation on this protected interest in a record sufficient for the review available under applicable law. Any limitation shall pursue a legitimate objective, be applied without prohibited discrimination or retaliation, and be no broader or longer than reasonably necessary in the circumstances.</w:t>
      </w:r>
    </w:p>
    <w:p>
      <w:pPr>
        <w:pStyle w:val="Heading3"/>
        <w:keepNext/>
        <w:widowControl/>
        <w:spacing w:before="180" w:after="60"/>
        <w:rPr/>
      </w:pPr>
      <w:r>
        <w:rPr/>
        <w:t>HR5-012. Due process and fair procedure: Treaty-Wide Rights Floor</w:t>
      </w:r>
    </w:p>
    <w:p>
      <w:pPr>
        <w:pStyle w:val="Normal"/>
        <w:widowControl/>
        <w:spacing w:before="0" w:after="160"/>
        <w:rPr/>
      </w:pPr>
      <w:r>
        <w:rPr/>
        <w:t>Each Party shall maintain and apply measures consistent with due process and fair procedure, within the scope of this Agreement and subject to the stronger-rights, federalism, competent-authority, security and public-interest safeguards of the Human Rights Framework. The competent authority administering a covered measure shall identify the applicable legal basis and material facts for any significant limitation on this protected interest in a record sufficient for the review available under applicable law. Any limitation shall pursue a legitimate objective, be applied without prohibited discrimination or retaliation, and be no broader or longer than reasonably necessary in the circumstances. A materially affected person or competent representative shall have access, as appropriate under domestic law, to a complaint, reconsideration, review, or other process capable of correcting a material error or unlawful application.</w:t>
      </w:r>
    </w:p>
    <w:p>
      <w:pPr>
        <w:pStyle w:val="Heading3"/>
        <w:keepNext/>
        <w:widowControl/>
        <w:spacing w:before="180" w:after="60"/>
        <w:rPr/>
      </w:pPr>
      <w:r>
        <w:rPr/>
        <w:t>HR5-013. Due process and fair procedure: Equal Application</w:t>
      </w:r>
    </w:p>
    <w:p>
      <w:pPr>
        <w:pStyle w:val="Normal"/>
        <w:widowControl/>
        <w:spacing w:before="0" w:after="160"/>
        <w:rPr/>
      </w:pPr>
      <w:r>
        <w:rPr/>
        <w:t>A Party shall not administer a measure covered by this Agreement in a manner that defeats due process and fair procedure through prohibited discrimination, arbitrary distinction, retaliation or bad-faith circumvention. Objective and proportionate distinctions pursuing a legitimate public purpose remain permitted. The competent authority administering a covered measure shall identify the applicable legal basis and material facts for any significant limitation on this protected interest in a record sufficient for the review available under applicable law. Any limitation shall pursue a legitimate objective, be applied without prohibited discrimination or retaliation, and be no broader or longer than reasonably necessary in the circumstances.</w:t>
      </w:r>
    </w:p>
    <w:p>
      <w:pPr>
        <w:pStyle w:val="Heading3"/>
        <w:keepNext/>
        <w:widowControl/>
        <w:spacing w:before="180" w:after="60"/>
        <w:rPr/>
      </w:pPr>
      <w:r>
        <w:rPr/>
        <w:t>HR5-014. Due process and fair procedure: Proportionate Implementation</w:t>
      </w:r>
    </w:p>
    <w:p>
      <w:pPr>
        <w:pStyle w:val="Normal"/>
        <w:widowControl/>
        <w:spacing w:before="0" w:after="160"/>
        <w:rPr/>
      </w:pPr>
      <w:r>
        <w:rPr/>
        <w:t>Each Party shall use reasonable, proportionate and administrable measures to give practical effect to due process and fair procedure. Implementation may reflect constitutional structure, division of powers and existing institutions, provided that equivalent protection of the covered interest is maintained. The competent authority administering a covered measure shall identify the applicable legal basis and material facts for any significant limitation on this protected interest in a record sufficient for the review available under applicable law. Any limitation shall pursue a legitimate objective, be applied without prohibited discrimination or retaliation, and be no broader or longer than reasonably necessary in the circumstances.</w:t>
      </w:r>
    </w:p>
    <w:p>
      <w:pPr>
        <w:pStyle w:val="Heading3"/>
        <w:keepNext/>
        <w:widowControl/>
        <w:spacing w:before="180" w:after="60"/>
        <w:rPr/>
      </w:pPr>
      <w:r>
        <w:rPr/>
        <w:t>HR5-015. Due process and fair procedure: Due Process and Effective Remedy</w:t>
      </w:r>
    </w:p>
    <w:p>
      <w:pPr>
        <w:pStyle w:val="Normal"/>
        <w:widowControl/>
        <w:spacing w:before="0" w:after="160"/>
        <w:rPr/>
      </w:pPr>
      <w:r>
        <w:rPr/>
        <w:t>A person materially affected by a covered governmental measure implicating due process and fair procedure shall have access, as appropriate under domestic law, to notice, reasons, review, complaint or another effective process. This Article does not itself create a private cause of action, criminal offence or automatic civil liability. The competent authority shall provide a materially affected person with notice of the relevant basis, a meaningful opportunity to respond where practicable, and reasons sufficient to permit the review available under applicable law. Review shall be conducted by an authority or process capable of correcting material error, unlawful discrimination, retaliation, or a denial of the protected procedural interest.</w:t>
      </w:r>
    </w:p>
    <w:p>
      <w:pPr>
        <w:pStyle w:val="Heading3"/>
        <w:keepNext/>
        <w:widowControl/>
        <w:spacing w:before="180" w:after="60"/>
        <w:rPr/>
      </w:pPr>
      <w:r>
        <w:rPr/>
        <w:t>HR5-016. Effective remedy, appeal and access to justice: Treaty-Wide Rights Floor</w:t>
      </w:r>
    </w:p>
    <w:p>
      <w:pPr>
        <w:pStyle w:val="Normal"/>
        <w:widowControl/>
        <w:spacing w:before="0" w:after="160"/>
        <w:rPr/>
      </w:pPr>
      <w:r>
        <w:rPr/>
        <w:t>Each Party shall maintain and apply measures consistent with effective remedy, appeal and access to justice, within the scope of this Agreement and subject to the stronger-rights, federalism, competent-authority, security and public-interest safeguards of the Human Rights Framework. The competent authority administering a covered measure shall identify the applicable legal basis and material facts for any significant limitation on this protected interest in a record sufficient for the review available under applicable law. Any limitation shall pursue a legitimate objective, be applied without prohibited discrimination or retaliation, and be no broader or longer than reasonably necessary in the circumstances. A materially affected person or competent representative shall have access, as appropriate under domestic law, to a complaint, reconsideration, review, or other process capable of correcting a material error or unlawful application.</w:t>
      </w:r>
    </w:p>
    <w:p>
      <w:pPr>
        <w:pStyle w:val="Heading3"/>
        <w:keepNext/>
        <w:widowControl/>
        <w:spacing w:before="180" w:after="60"/>
        <w:rPr/>
      </w:pPr>
      <w:r>
        <w:rPr/>
        <w:t>HR5-017. Effective remedy, appeal and access to justice: Equal Application</w:t>
      </w:r>
    </w:p>
    <w:p>
      <w:pPr>
        <w:pStyle w:val="Normal"/>
        <w:widowControl/>
        <w:spacing w:before="0" w:after="160"/>
        <w:rPr/>
      </w:pPr>
      <w:r>
        <w:rPr/>
        <w:t>A Party shall not administer a measure covered by this Agreement in a manner that defeats effective remedy, appeal and access to justice through prohibited discrimination, arbitrary distinction, retaliation or bad-faith circumvention. Objective and proportionate distinctions pursuing a legitimate public purpose remain permitted. The competent authority administering a covered measure shall identify the applicable legal basis and material facts for any significant limitation on this protected interest in a record sufficient for the review available under applicable law. Any limitation shall pursue a legitimate objective, be applied without prohibited discrimination or retaliation, and be no broader or longer than reasonably necessary in the circumstances.</w:t>
      </w:r>
    </w:p>
    <w:p>
      <w:pPr>
        <w:pStyle w:val="Heading3"/>
        <w:keepNext/>
        <w:widowControl/>
        <w:spacing w:before="180" w:after="60"/>
        <w:rPr/>
      </w:pPr>
      <w:r>
        <w:rPr/>
        <w:t>HR5-018. Effective remedy, appeal and access to justice: Proportionate Implementation</w:t>
      </w:r>
    </w:p>
    <w:p>
      <w:pPr>
        <w:pStyle w:val="Normal"/>
        <w:widowControl/>
        <w:spacing w:before="0" w:after="160"/>
        <w:rPr/>
      </w:pPr>
      <w:r>
        <w:rPr/>
        <w:t>Each Party shall use reasonable, proportionate and administrable measures to give practical effect to effective remedy, appeal and access to justice. Implementation may reflect constitutional structure, division of powers and existing institutions, provided that equivalent protection of the covered interest is maintained. The competent authority administering a covered measure shall identify the applicable legal basis and material facts for any significant limitation on this protected interest in a record sufficient for the review available under applicable law. Any limitation shall pursue a legitimate objective, be applied without prohibited discrimination or retaliation, and be no broader or longer than reasonably necessary in the circumstances.</w:t>
      </w:r>
    </w:p>
    <w:p>
      <w:pPr>
        <w:pStyle w:val="Heading3"/>
        <w:keepNext/>
        <w:widowControl/>
        <w:spacing w:before="180" w:after="60"/>
        <w:rPr/>
      </w:pPr>
      <w:r>
        <w:rPr/>
        <w:t>HR5-019. Legal information, counsel, aid and representation: Treaty-Wide Rights Floor</w:t>
      </w:r>
    </w:p>
    <w:p>
      <w:pPr>
        <w:pStyle w:val="Normal"/>
        <w:widowControl/>
        <w:spacing w:before="0" w:after="160"/>
        <w:rPr/>
      </w:pPr>
      <w:r>
        <w:rPr/>
        <w:t>Each Party shall maintain and apply measures consistent with legal information, counsel, aid and representation, within the scope of this Agreement and subject to the stronger-rights, federalism, competent-authority, security and public-interest safeguards of the Human Rights Framework. The competent authority administering a covered measure shall identify the applicable legal basis and material facts for any significant limitation on this protected interest in a record sufficient for the review available under applicable law. Any limitation shall pursue a legitimate objective, be applied without prohibited discrimination or retaliation, and be no broader or longer than reasonably necessary in the circumstances. A materially affected person or competent representative shall have access, as appropriate under domestic law, to a complaint, reconsideration, review, or other process capable of correcting a material error or unlawful application.</w:t>
      </w:r>
    </w:p>
    <w:p>
      <w:pPr>
        <w:pStyle w:val="Heading3"/>
        <w:keepNext/>
        <w:widowControl/>
        <w:spacing w:before="180" w:after="60"/>
        <w:rPr/>
      </w:pPr>
      <w:r>
        <w:rPr/>
        <w:t>HR5-020. Legal information, counsel, aid and representation: Equal Application</w:t>
      </w:r>
    </w:p>
    <w:p>
      <w:pPr>
        <w:pStyle w:val="Normal"/>
        <w:widowControl/>
        <w:spacing w:before="0" w:after="160"/>
        <w:rPr/>
      </w:pPr>
      <w:r>
        <w:rPr/>
        <w:t>A Party shall not administer a measure covered by this Agreement in a manner that defeats legal information, counsel, aid and representation through prohibited discrimination, arbitrary distinction, retaliation or bad-faith circumvention. Objective and proportionate distinctions pursuing a legitimate public purpose remain permitted. The competent authority administering a covered measure shall identify the applicable legal basis and material facts for any significant limitation on this protected interest in a record sufficient for the review available under applicable law. Any limitation shall pursue a legitimate objective, be applied without prohibited discrimination or retaliation, and be no broader or longer than reasonably necessary in the circumstances.</w:t>
      </w:r>
    </w:p>
    <w:p>
      <w:pPr>
        <w:pStyle w:val="Heading3"/>
        <w:keepNext/>
        <w:widowControl/>
        <w:spacing w:before="180" w:after="60"/>
        <w:rPr/>
      </w:pPr>
      <w:r>
        <w:rPr/>
        <w:t>HR5-021. Language, interpretation and accessible procedure: Treaty-Wide Rights Floor</w:t>
      </w:r>
    </w:p>
    <w:p>
      <w:pPr>
        <w:pStyle w:val="Normal"/>
        <w:widowControl/>
        <w:spacing w:before="0" w:after="160"/>
        <w:rPr/>
      </w:pPr>
      <w:r>
        <w:rPr/>
        <w:t>Each Party shall maintain and apply measures consistent with language, interpretation and accessible procedure, within the scope of this Agreement and subject to the stronger-rights, federalism, competent-authority, security and public-interest safeguards of the Human Rights Framework. The competent authority administering a covered measure shall identify the applicable legal basis and material facts for any significant limitation on this protected interest in a record sufficient for the review available under applicable law. Any limitation shall pursue a legitimate objective, be applied without prohibited discrimination or retaliation, and be no broader or longer than reasonably necessary in the circumstances. A materially affected person or competent representative shall have access, as appropriate under domestic law, to a complaint, reconsideration, review, or other process capable of correcting a material error or unlawful application.</w:t>
      </w:r>
    </w:p>
    <w:p>
      <w:pPr>
        <w:pStyle w:val="Heading3"/>
        <w:keepNext/>
        <w:widowControl/>
        <w:spacing w:before="180" w:after="60"/>
        <w:rPr/>
      </w:pPr>
      <w:r>
        <w:rPr/>
        <w:t>HR5-022. Language, interpretation and accessible procedure: Equal Application</w:t>
      </w:r>
    </w:p>
    <w:p>
      <w:pPr>
        <w:pStyle w:val="Normal"/>
        <w:widowControl/>
        <w:spacing w:before="0" w:after="160"/>
        <w:rPr/>
      </w:pPr>
      <w:r>
        <w:rPr/>
        <w:t>A Party shall not administer a measure covered by this Agreement in a manner that defeats language, interpretation and accessible procedure through prohibited discrimination, arbitrary distinction, retaliation or bad-faith circumvention. Objective and proportionate distinctions pursuing a legitimate public purpose remain permitted. The competent authority administering a covered measure shall identify the applicable legal basis and material facts for any significant limitation on this protected interest in a record sufficient for the review available under applicable law. Any limitation shall pursue a legitimate objective, be applied without prohibited discrimination or retaliation, and be no broader or longer than reasonably necessary in the circumstances.</w:t>
      </w:r>
    </w:p>
    <w:p>
      <w:pPr>
        <w:pStyle w:val="Heading3"/>
        <w:keepNext/>
        <w:widowControl/>
        <w:spacing w:before="180" w:after="60"/>
        <w:rPr/>
      </w:pPr>
      <w:r>
        <w:rPr/>
        <w:t>HR5-023. Privacy, family, home and reputation: Treaty-Wide Rights Floor</w:t>
      </w:r>
    </w:p>
    <w:p>
      <w:pPr>
        <w:pStyle w:val="Normal"/>
        <w:widowControl/>
        <w:spacing w:before="0" w:after="160"/>
        <w:rPr/>
      </w:pPr>
      <w:r>
        <w:rPr/>
        <w:t>Each Party shall maintain and apply measures consistent with privacy, family, home and reputation, within the scope of this Agreement and subject to the stronger-rights, federalism, competent-authority, security and public-interest safeguards of the Human Rights Framework. A competent authority using covered data or automated processing shall identify the lawful purpose, limit collection and use to what is reasonably necessary, and apply security, retention, correction, and access controls proportionate to the sensitivity of the information. A materially consequential decision shall not rest solely on an opaque or unreviewable automated output where applicable law requires meaningful human review or an opportunity to contest material error. Protected characteristics, immigration status, disability, health information, or other sensitive data shall not be used as a disguised proxy for prohibited discrimination or unrelated enforcement leverage.</w:t>
      </w:r>
    </w:p>
    <w:p>
      <w:pPr>
        <w:pStyle w:val="Heading3"/>
        <w:keepNext/>
        <w:widowControl/>
        <w:spacing w:before="180" w:after="60"/>
        <w:rPr/>
      </w:pPr>
      <w:r>
        <w:rPr/>
        <w:t>HR5-024. Privacy, family, home and reputation: Equal Application</w:t>
      </w:r>
    </w:p>
    <w:p>
      <w:pPr>
        <w:pStyle w:val="Normal"/>
        <w:widowControl/>
        <w:spacing w:before="0" w:after="160"/>
        <w:rPr/>
      </w:pPr>
      <w:r>
        <w:rPr/>
        <w:t>A Party shall not administer a measure covered by this Agreement in a manner that defeats privacy, family, home and reputation through prohibited discrimination, arbitrary distinction, retaliation or bad-faith circumvention. Objective and proportionate distinctions pursuing a legitimate public purpose remain permitted. A competent authority using covered data or automated processing shall identify the lawful purpose, limit collection and use to what is reasonably necessary, and apply security, retention, correction, and access controls proportionate to the sensitivity of the information. A materially consequential decision shall not rest solely on an opaque or unreviewable automated output where applicable law requires meaningful human review or an opportunity to contest material error.</w:t>
      </w:r>
    </w:p>
    <w:p>
      <w:pPr>
        <w:pStyle w:val="Heading3"/>
        <w:keepNext/>
        <w:widowControl/>
        <w:spacing w:before="180" w:after="60"/>
        <w:rPr/>
      </w:pPr>
      <w:r>
        <w:rPr/>
        <w:t>HR5-025. Privacy, family, home and reputation: Proportionate Implementation</w:t>
      </w:r>
    </w:p>
    <w:p>
      <w:pPr>
        <w:pStyle w:val="Normal"/>
        <w:widowControl/>
        <w:spacing w:before="0" w:after="160"/>
        <w:rPr/>
      </w:pPr>
      <w:r>
        <w:rPr/>
        <w:t>Each Party shall use reasonable, proportionate and administrable measures to give practical effect to privacy, family, home and reputation. Implementation may reflect constitutional structure, division of powers and existing institutions, provided that equivalent protection of the covered interest is maintained. A competent authority using covered data or automated processing shall identify the lawful purpose, limit collection and use to what is reasonably necessary, and apply security, retention, correction, and access controls proportionate to the sensitivity of the information. A materially consequential decision shall not rest solely on an opaque or unreviewable automated output where applicable law requires meaningful human review or an opportunity to contest material error.</w:t>
      </w:r>
    </w:p>
    <w:p>
      <w:pPr>
        <w:pStyle w:val="Heading3"/>
        <w:keepNext/>
        <w:widowControl/>
        <w:spacing w:before="180" w:after="60"/>
        <w:rPr/>
      </w:pPr>
      <w:r>
        <w:rPr/>
        <w:t>HR5-026. Privacy, family, home and reputation: Due Process and Effective Remedy</w:t>
      </w:r>
    </w:p>
    <w:p>
      <w:pPr>
        <w:pStyle w:val="Normal"/>
        <w:widowControl/>
        <w:spacing w:before="0" w:after="160"/>
        <w:rPr/>
      </w:pPr>
      <w:r>
        <w:rPr/>
        <w:t>A person materially affected by a covered governmental measure implicating privacy, family, home and reputation shall have access, as appropriate under domestic law, to notice, reasons, review, complaint or another effective process. This Article does not itself create a private cause of action, criminal offence or automatic civil liability. The competent authority shall provide a materially affected person with notice of the relevant basis, a meaningful opportunity to respond where practicable, and reasons sufficient to permit the review available under applicable law. Review shall be conducted by an authority or process capable of correcting material error, unlawful discrimination, retaliation, or a denial of the protected procedural interest.</w:t>
      </w:r>
    </w:p>
    <w:p>
      <w:pPr>
        <w:pStyle w:val="Heading3"/>
        <w:keepNext/>
        <w:widowControl/>
        <w:spacing w:before="180" w:after="60"/>
        <w:rPr/>
      </w:pPr>
      <w:r>
        <w:rPr/>
        <w:t>HR5-027. Protection from violence, intimidation and coercion: Treaty-Wide Rights Floor</w:t>
      </w:r>
    </w:p>
    <w:p>
      <w:pPr>
        <w:pStyle w:val="Normal"/>
        <w:widowControl/>
        <w:spacing w:before="0" w:after="160"/>
        <w:rPr/>
      </w:pPr>
      <w:r>
        <w:rPr/>
        <w:t>Each Party shall maintain and apply measures consistent with protection from violence, intimidation and coercion, within the scope of this Agreement and subject to the stronger-rights, federalism, competent-authority, security and public-interest safeguards of the Human Rights Framework. The competent authority shall maintain operational safeguards reasonably capable of preventing foreseeable serious harm and shall document material incidents, denials, or restrictions affecting the protected interest. Emergency, security, disciplinary, immigration, or administrative objectives do not authorize torture, cruel or degrading treatment, deliberate deprivation of essential food or water, medical abandonment, or retaliation against a good-faith complainant. Where an immediate threat to life, health, or physical integrity is credibly identified, available protective and medical measures shall be considered without awaiting completion of an unrelated trade or political process.</w:t>
      </w:r>
    </w:p>
    <w:p>
      <w:pPr>
        <w:pStyle w:val="Heading3"/>
        <w:keepNext/>
        <w:widowControl/>
        <w:spacing w:before="180" w:after="60"/>
        <w:rPr/>
      </w:pPr>
      <w:r>
        <w:rPr/>
        <w:t>HR5-028. Protection from violence, intimidation and coercion: Equal Application</w:t>
      </w:r>
    </w:p>
    <w:p>
      <w:pPr>
        <w:pStyle w:val="Normal"/>
        <w:widowControl/>
        <w:spacing w:before="0" w:after="160"/>
        <w:rPr/>
      </w:pPr>
      <w:r>
        <w:rPr/>
        <w:t>A Party shall not administer a measure covered by this Agreement in a manner that defeats protection from violence, intimidation and coercion through prohibited discrimination, arbitrary distinction, retaliation or bad-faith circumvention. Objective and proportionate distinctions pursuing a legitimate public purpose remain permitted. The competent authority shall maintain operational safeguards reasonably capable of preventing foreseeable serious harm and shall document material incidents, denials, or restrictions affecting the protected interest. Emergency, security, disciplinary, immigration, or administrative objectives do not authorize torture, cruel or degrading treatment, deliberate deprivation of essential food or water, medical abandonment, or retaliation against a good-faith complainant.</w:t>
      </w:r>
    </w:p>
    <w:p>
      <w:pPr>
        <w:pStyle w:val="Heading3"/>
        <w:keepNext/>
        <w:widowControl/>
        <w:spacing w:before="180" w:after="60"/>
        <w:rPr/>
      </w:pPr>
      <w:r>
        <w:rPr/>
        <w:t>HR5-029. Protection from violence, intimidation and coercion: Proportionate Implementation</w:t>
      </w:r>
    </w:p>
    <w:p>
      <w:pPr>
        <w:pStyle w:val="Normal"/>
        <w:widowControl/>
        <w:spacing w:before="0" w:after="160"/>
        <w:rPr/>
      </w:pPr>
      <w:r>
        <w:rPr/>
        <w:t>Each Party shall use reasonable, proportionate and administrable measures to give practical effect to protection from violence, intimidation and coercion. Implementation may reflect constitutional structure, division of powers and existing institutions, provided that equivalent protection of the covered interest is maintained. The competent authority shall maintain operational safeguards reasonably capable of preventing foreseeable serious harm and shall document material incidents, denials, or restrictions affecting the protected interest. Emergency, security, disciplinary, immigration, or administrative objectives do not authorize torture, cruel or degrading treatment, deliberate deprivation of essential food or water, medical abandonment, or retaliation against a good-faith complainant.</w:t>
      </w:r>
    </w:p>
    <w:p>
      <w:pPr>
        <w:pStyle w:val="Heading3"/>
        <w:keepNext/>
        <w:widowControl/>
        <w:spacing w:before="180" w:after="60"/>
        <w:rPr/>
      </w:pPr>
      <w:r>
        <w:rPr/>
        <w:t>HR5-030. Freedom from torture, cruel treatment and degrading treatment: Treaty-Wide Rights Floor</w:t>
      </w:r>
    </w:p>
    <w:p>
      <w:pPr>
        <w:pStyle w:val="Normal"/>
        <w:widowControl/>
        <w:spacing w:before="0" w:after="160"/>
        <w:rPr/>
      </w:pPr>
      <w:r>
        <w:rPr/>
        <w:t>Each Party shall maintain and apply measures consistent with freedom from torture, cruel treatment and degrading treatment, within the scope of this Agreement and subject to the stronger-rights, federalism, competent-authority, security and public-interest safeguards of the Human Rights Framework. The competent authority shall maintain operational safeguards reasonably capable of preventing foreseeable serious harm and shall document material incidents, denials, or restrictions affecting the protected interest. Emergency, security, disciplinary, immigration, or administrative objectives do not authorize torture, cruel or degrading treatment, deliberate deprivation of essential food or water, medical abandonment, or retaliation against a good-faith complainant. Where an immediate threat to life, health, or physical integrity is credibly identified, available protective and medical measures shall be considered without awaiting completion of an unrelated trade or political process.</w:t>
      </w:r>
    </w:p>
    <w:p>
      <w:pPr>
        <w:pStyle w:val="Heading3"/>
        <w:keepNext/>
        <w:widowControl/>
        <w:spacing w:before="180" w:after="60"/>
        <w:rPr/>
      </w:pPr>
      <w:r>
        <w:rPr/>
        <w:t>HR5-031. Freedom from torture, cruel treatment and degrading treatment: Equal Application</w:t>
      </w:r>
    </w:p>
    <w:p>
      <w:pPr>
        <w:pStyle w:val="Normal"/>
        <w:widowControl/>
        <w:spacing w:before="0" w:after="160"/>
        <w:rPr/>
      </w:pPr>
      <w:r>
        <w:rPr/>
        <w:t>A Party shall not administer a measure covered by this Agreement in a manner that defeats freedom from torture, cruel treatment and degrading treatment through prohibited discrimination, arbitrary distinction, retaliation or bad-faith circumvention. Objective and proportionate distinctions pursuing a legitimate public purpose remain permitted. The competent authority shall maintain operational safeguards reasonably capable of preventing foreseeable serious harm and shall document material incidents, denials, or restrictions affecting the protected interest. Emergency, security, disciplinary, immigration, or administrative objectives do not authorize torture, cruel or degrading treatment, deliberate deprivation of essential food or water, medical abandonment, or retaliation against a good-faith complainant.</w:t>
      </w:r>
    </w:p>
    <w:p>
      <w:pPr>
        <w:pStyle w:val="Heading3"/>
        <w:keepNext/>
        <w:widowControl/>
        <w:spacing w:before="180" w:after="60"/>
        <w:rPr/>
      </w:pPr>
      <w:r>
        <w:rPr/>
        <w:t>HR5-032. Freedom from torture, cruel treatment and degrading treatment: Proportionate Implementation</w:t>
      </w:r>
    </w:p>
    <w:p>
      <w:pPr>
        <w:pStyle w:val="Normal"/>
        <w:widowControl/>
        <w:spacing w:before="0" w:after="160"/>
        <w:rPr/>
      </w:pPr>
      <w:r>
        <w:rPr/>
        <w:t>Each Party shall use reasonable, proportionate and administrable measures to give practical effect to freedom from torture, cruel treatment and degrading treatment. Implementation may reflect constitutional structure, division of powers and existing institutions, provided that equivalent protection of the covered interest is maintained. The competent authority shall maintain operational safeguards reasonably capable of preventing foreseeable serious harm and shall document material incidents, denials, or restrictions affecting the protected interest. Emergency, security, disciplinary, immigration, or administrative objectives do not authorize torture, cruel or degrading treatment, deliberate deprivation of essential food or water, medical abandonment, or retaliation against a good-faith complainant.</w:t>
      </w:r>
    </w:p>
    <w:p>
      <w:pPr>
        <w:pStyle w:val="Heading3"/>
        <w:keepNext/>
        <w:widowControl/>
        <w:spacing w:before="180" w:after="60"/>
        <w:rPr/>
      </w:pPr>
      <w:r>
        <w:rPr/>
        <w:t>HR5-033. Liberty and security of person: Treaty-Wide Rights Floor</w:t>
      </w:r>
    </w:p>
    <w:p>
      <w:pPr>
        <w:pStyle w:val="Normal"/>
        <w:widowControl/>
        <w:spacing w:before="0" w:after="160"/>
        <w:rPr/>
      </w:pPr>
      <w:r>
        <w:rPr/>
        <w:t>Each Party shall maintain and apply measures consistent with liberty and security of person, within the scope of this Agreement and subject to the stronger-rights, federalism, competent-authority, security and public-interest safeguards of the Human Rights Framework. The competent authority administering a covered measure shall identify the applicable legal basis and material facts for any significant limitation on this protected interest in a record sufficient for the review available under applicable law. Any limitation shall pursue a legitimate objective, be applied without prohibited discrimination or retaliation, and be no broader or longer than reasonably necessary in the circumstances. A materially affected person or competent representative shall have access, as appropriate under domestic law, to a complaint, reconsideration, review, or other process capable of correcting a material error or unlawful application.</w:t>
      </w:r>
    </w:p>
    <w:p>
      <w:pPr>
        <w:pStyle w:val="Heading3"/>
        <w:keepNext/>
        <w:widowControl/>
        <w:spacing w:before="180" w:after="60"/>
        <w:rPr/>
      </w:pPr>
      <w:r>
        <w:rPr/>
        <w:t>HR5-034. Liberty and security of person: Equal Application</w:t>
      </w:r>
    </w:p>
    <w:p>
      <w:pPr>
        <w:pStyle w:val="Normal"/>
        <w:widowControl/>
        <w:spacing w:before="0" w:after="160"/>
        <w:rPr/>
      </w:pPr>
      <w:r>
        <w:rPr/>
        <w:t>A Party shall not administer a measure covered by this Agreement in a manner that defeats liberty and security of person through prohibited discrimination, arbitrary distinction, retaliation or bad-faith circumvention. Objective and proportionate distinctions pursuing a legitimate public purpose remain permitted. The competent authority administering a covered measure shall identify the applicable legal basis and material facts for any significant limitation on this protected interest in a record sufficient for the review available under applicable law. Any limitation shall pursue a legitimate objective, be applied without prohibited discrimination or retaliation, and be no broader or longer than reasonably necessary in the circumstances.</w:t>
      </w:r>
    </w:p>
    <w:p>
      <w:pPr>
        <w:pStyle w:val="Heading3"/>
        <w:keepNext/>
        <w:widowControl/>
        <w:spacing w:before="180" w:after="60"/>
        <w:rPr/>
      </w:pPr>
      <w:r>
        <w:rPr/>
        <w:t>HR5-035. Liberty and security of person: Proportionate Implementation</w:t>
      </w:r>
    </w:p>
    <w:p>
      <w:pPr>
        <w:pStyle w:val="Normal"/>
        <w:widowControl/>
        <w:spacing w:before="0" w:after="160"/>
        <w:rPr/>
      </w:pPr>
      <w:r>
        <w:rPr/>
        <w:t>Each Party shall use reasonable, proportionate and administrable measures to give practical effect to liberty and security of person. Implementation may reflect constitutional structure, division of powers and existing institutions, provided that equivalent protection of the covered interest is maintained. The competent authority administering a covered measure shall identify the applicable legal basis and material facts for any significant limitation on this protected interest in a record sufficient for the review available under applicable law. Any limitation shall pursue a legitimate objective, be applied without prohibited discrimination or retaliation, and be no broader or longer than reasonably necessary in the circumstances.</w:t>
      </w:r>
    </w:p>
    <w:p>
      <w:pPr>
        <w:pStyle w:val="Heading3"/>
        <w:keepNext/>
        <w:widowControl/>
        <w:spacing w:before="180" w:after="60"/>
        <w:rPr/>
      </w:pPr>
      <w:r>
        <w:rPr/>
        <w:t>HR5-036. Association and peaceful assembly: Treaty-Wide Rights Floor</w:t>
      </w:r>
    </w:p>
    <w:p>
      <w:pPr>
        <w:pStyle w:val="Normal"/>
        <w:widowControl/>
        <w:spacing w:before="0" w:after="160"/>
        <w:rPr/>
      </w:pPr>
      <w:r>
        <w:rPr/>
        <w:t>Each Party shall maintain and apply measures consistent with association and peaceful assembly, within the scope of this Agreement and subject to the stronger-rights, federalism, competent-authority, security and public-interest safeguards of the Human Rights Framework. The competent authority administering a covered measure shall identify the applicable legal basis and material facts for any significant limitation on this protected interest in a record sufficient for the review available under applicable law. Any limitation shall pursue a legitimate objective, be applied without prohibited discrimination or retaliation, and be no broader or longer than reasonably necessary in the circumstances. A materially affected person or competent representative shall have access, as appropriate under domestic law, to a complaint, reconsideration, review, or other process capable of correcting a material error or unlawful application.</w:t>
      </w:r>
    </w:p>
    <w:p>
      <w:pPr>
        <w:pStyle w:val="Heading3"/>
        <w:keepNext/>
        <w:widowControl/>
        <w:spacing w:before="180" w:after="60"/>
        <w:rPr/>
      </w:pPr>
      <w:r>
        <w:rPr/>
        <w:t>HR5-037. Association and peaceful assembly: Equal Application</w:t>
      </w:r>
    </w:p>
    <w:p>
      <w:pPr>
        <w:pStyle w:val="Normal"/>
        <w:widowControl/>
        <w:spacing w:before="0" w:after="160"/>
        <w:rPr/>
      </w:pPr>
      <w:r>
        <w:rPr/>
        <w:t>A Party shall not administer a measure covered by this Agreement in a manner that defeats association and peaceful assembly through prohibited discrimination, arbitrary distinction, retaliation or bad-faith circumvention. Objective and proportionate distinctions pursuing a legitimate public purpose remain permitted. The competent authority administering a covered measure shall identify the applicable legal basis and material facts for any significant limitation on this protected interest in a record sufficient for the review available under applicable law. Any limitation shall pursue a legitimate objective, be applied without prohibited discrimination or retaliation, and be no broader or longer than reasonably necessary in the circumstances.</w:t>
      </w:r>
    </w:p>
    <w:p>
      <w:pPr>
        <w:pStyle w:val="Heading3"/>
        <w:keepNext/>
        <w:widowControl/>
        <w:spacing w:before="180" w:after="60"/>
        <w:rPr/>
      </w:pPr>
      <w:r>
        <w:rPr/>
        <w:t>HR5-038. Association and peaceful assembly: Proportionate Implementation</w:t>
      </w:r>
    </w:p>
    <w:p>
      <w:pPr>
        <w:pStyle w:val="Normal"/>
        <w:widowControl/>
        <w:spacing w:before="0" w:after="160"/>
        <w:rPr/>
      </w:pPr>
      <w:r>
        <w:rPr/>
        <w:t>Each Party shall use reasonable, proportionate and administrable measures to give practical effect to association and peaceful assembly. Implementation may reflect constitutional structure, division of powers and existing institutions, provided that equivalent protection of the covered interest is maintained. The competent authority administering a covered measure shall identify the applicable legal basis and material facts for any significant limitation on this protected interest in a record sufficient for the review available under applicable law. Any limitation shall pursue a legitimate objective, be applied without prohibited discrimination or retaliation, and be no broader or longer than reasonably necessary in the circumstances.</w:t>
      </w:r>
    </w:p>
    <w:p>
      <w:pPr>
        <w:pStyle w:val="Heading3"/>
        <w:keepNext/>
        <w:widowControl/>
        <w:spacing w:before="180" w:after="60"/>
        <w:rPr/>
      </w:pPr>
      <w:r>
        <w:rPr/>
        <w:t>HR5-039. Association and peaceful assembly: Due Process and Effective Remedy</w:t>
      </w:r>
    </w:p>
    <w:p>
      <w:pPr>
        <w:pStyle w:val="Normal"/>
        <w:widowControl/>
        <w:spacing w:before="0" w:after="160"/>
        <w:rPr/>
      </w:pPr>
      <w:r>
        <w:rPr/>
        <w:t>A person materially affected by a covered governmental measure implicating association and peaceful assembly shall have access, as appropriate under domestic law, to notice, reasons, review, complaint or another effective process. This Article does not itself create a private cause of action, criminal offence or automatic civil liability. The competent authority shall provide a materially affected person with notice of the relevant basis, a meaningful opportunity to respond where practicable, and reasons sufficient to permit the review available under applicable law. Review shall be conducted by an authority or process capable of correcting material error, unlawful discrimination, retaliation, or a denial of the protected procedural interest.</w:t>
      </w:r>
    </w:p>
    <w:p>
      <w:pPr>
        <w:pStyle w:val="Heading3"/>
        <w:keepNext/>
        <w:widowControl/>
        <w:spacing w:before="180" w:after="60"/>
        <w:rPr/>
      </w:pPr>
      <w:r>
        <w:rPr/>
        <w:t>HR5-040. Expression, opinion, information and media freedom: Treaty-Wide Rights Floor</w:t>
      </w:r>
    </w:p>
    <w:p>
      <w:pPr>
        <w:pStyle w:val="Normal"/>
        <w:widowControl/>
        <w:spacing w:before="0" w:after="160"/>
        <w:rPr/>
      </w:pPr>
      <w:r>
        <w:rPr/>
        <w:t>Each Party shall maintain and apply measures consistent with expression, opinion, information and media freedom, within the scope of this Agreement and subject to the stronger-rights, federalism, competent-authority, security and public-interest safeguards of the Human Rights Framework. The competent authority administering a covered measure shall identify the applicable legal basis and material facts for any significant limitation on this protected interest in a record sufficient for the review available under applicable law. Any limitation shall pursue a legitimate objective, be applied without prohibited discrimination or retaliation, and be no broader or longer than reasonably necessary in the circumstances. A materially affected person or competent representative shall have access, as appropriate under domestic law, to a complaint, reconsideration, review, or other process capable of correcting a material error or unlawful application.</w:t>
      </w:r>
    </w:p>
    <w:p>
      <w:pPr>
        <w:pStyle w:val="Heading3"/>
        <w:keepNext/>
        <w:widowControl/>
        <w:spacing w:before="180" w:after="60"/>
        <w:rPr/>
      </w:pPr>
      <w:r>
        <w:rPr/>
        <w:t>HR5-041. Expression, opinion, information and media freedom: Equal Application</w:t>
      </w:r>
    </w:p>
    <w:p>
      <w:pPr>
        <w:pStyle w:val="Normal"/>
        <w:widowControl/>
        <w:spacing w:before="0" w:after="160"/>
        <w:rPr/>
      </w:pPr>
      <w:r>
        <w:rPr/>
        <w:t>A Party shall not administer a measure covered by this Agreement in a manner that defeats expression, opinion, information and media freedom through prohibited discrimination, arbitrary distinction, retaliation or bad-faith circumvention. Objective and proportionate distinctions pursuing a legitimate public purpose remain permitted. The competent authority administering a covered measure shall identify the applicable legal basis and material facts for any significant limitation on this protected interest in a record sufficient for the review available under applicable law. Any limitation shall pursue a legitimate objective, be applied without prohibited discrimination or retaliation, and be no broader or longer than reasonably necessary in the circumstances.</w:t>
      </w:r>
    </w:p>
    <w:p>
      <w:pPr>
        <w:pStyle w:val="Heading3"/>
        <w:keepNext/>
        <w:widowControl/>
        <w:spacing w:before="180" w:after="60"/>
        <w:rPr/>
      </w:pPr>
      <w:r>
        <w:rPr/>
        <w:t>HR5-042. Expression, opinion, information and media freedom: Proportionate Implementation</w:t>
      </w:r>
    </w:p>
    <w:p>
      <w:pPr>
        <w:pStyle w:val="Normal"/>
        <w:widowControl/>
        <w:spacing w:before="0" w:after="160"/>
        <w:rPr/>
      </w:pPr>
      <w:r>
        <w:rPr/>
        <w:t>Each Party shall use reasonable, proportionate and administrable measures to give practical effect to expression, opinion, information and media freedom. Implementation may reflect constitutional structure, division of powers and existing institutions, provided that equivalent protection of the covered interest is maintained. The competent authority administering a covered measure shall identify the applicable legal basis and material facts for any significant limitation on this protected interest in a record sufficient for the review available under applicable law. Any limitation shall pursue a legitimate objective, be applied without prohibited discrimination or retaliation, and be no broader or longer than reasonably necessary in the circumstances.</w:t>
      </w:r>
    </w:p>
    <w:p>
      <w:pPr>
        <w:pStyle w:val="Heading3"/>
        <w:keepNext/>
        <w:widowControl/>
        <w:spacing w:before="180" w:after="60"/>
        <w:rPr/>
      </w:pPr>
      <w:r>
        <w:rPr/>
        <w:t>HR5-043. Expression, opinion, information and media freedom: Due Process and Effective Remedy</w:t>
      </w:r>
    </w:p>
    <w:p>
      <w:pPr>
        <w:pStyle w:val="Normal"/>
        <w:widowControl/>
        <w:spacing w:before="0" w:after="160"/>
        <w:rPr/>
      </w:pPr>
      <w:r>
        <w:rPr/>
        <w:t>A person materially affected by a covered governmental measure implicating expression, opinion, information and media freedom shall have access, as appropriate under domestic law, to notice, reasons, review, complaint or another effective process. This Article does not itself create a private cause of action, criminal offence or automatic civil liability. The competent authority shall provide a materially affected person with notice of the relevant basis, a meaningful opportunity to respond where practicable, and reasons sufficient to permit the review available under applicable law. Review shall be conducted by an authority or process capable of correcting material error, unlawful discrimination, retaliation, or a denial of the protected procedural interest.</w:t>
      </w:r>
    </w:p>
    <w:p>
      <w:pPr>
        <w:pStyle w:val="Heading3"/>
        <w:keepNext/>
        <w:widowControl/>
        <w:spacing w:before="180" w:after="60"/>
        <w:rPr/>
      </w:pPr>
      <w:r>
        <w:rPr/>
        <w:t>HR5-044. Human-rights defender protection: Treaty-Wide Rights Floor</w:t>
      </w:r>
    </w:p>
    <w:p>
      <w:pPr>
        <w:pStyle w:val="Normal"/>
        <w:widowControl/>
        <w:spacing w:before="0" w:after="160"/>
        <w:rPr/>
      </w:pPr>
      <w:r>
        <w:rPr/>
        <w:t>Each Party shall maintain and apply measures consistent with human-rights defender protection, within the scope of this Agreement and subject to the stronger-rights, federalism, competent-authority, security and public-interest safeguards of the Human Rights Framework. The competent authority administering a covered measure shall identify the applicable legal basis and material facts for any significant limitation on this protected interest in a record sufficient for the review available under applicable law. Any limitation shall pursue a legitimate objective, be applied without prohibited discrimination or retaliation, and be no broader or longer than reasonably necessary in the circumstances. A materially affected person or competent representative shall have access, as appropriate under domestic law, to a complaint, reconsideration, review, or other process capable of correcting a material error or unlawful application.</w:t>
      </w:r>
    </w:p>
    <w:p>
      <w:pPr>
        <w:pStyle w:val="Heading3"/>
        <w:keepNext/>
        <w:widowControl/>
        <w:spacing w:before="180" w:after="60"/>
        <w:rPr/>
      </w:pPr>
      <w:r>
        <w:rPr/>
        <w:t>HR5-045. Human-rights defender protection: Equal Application</w:t>
      </w:r>
    </w:p>
    <w:p>
      <w:pPr>
        <w:pStyle w:val="Normal"/>
        <w:widowControl/>
        <w:spacing w:before="0" w:after="160"/>
        <w:rPr/>
      </w:pPr>
      <w:r>
        <w:rPr/>
        <w:t>A Party shall not administer a measure covered by this Agreement in a manner that defeats human-rights defender protection through prohibited discrimination, arbitrary distinction, retaliation or bad-faith circumvention. Objective and proportionate distinctions pursuing a legitimate public purpose remain permitted. The competent authority administering a covered measure shall identify the applicable legal basis and material facts for any significant limitation on this protected interest in a record sufficient for the review available under applicable law. Any limitation shall pursue a legitimate objective, be applied without prohibited discrimination or retaliation, and be no broader or longer than reasonably necessary in the circumstances.</w:t>
      </w:r>
    </w:p>
    <w:p>
      <w:pPr>
        <w:pStyle w:val="Heading3"/>
        <w:keepNext/>
        <w:widowControl/>
        <w:spacing w:before="180" w:after="60"/>
        <w:rPr/>
      </w:pPr>
      <w:r>
        <w:rPr/>
        <w:t>HR5-046. Rights impact assessment and treaty interpretation: Treaty-Wide Rights Floor</w:t>
      </w:r>
    </w:p>
    <w:p>
      <w:pPr>
        <w:pStyle w:val="Normal"/>
        <w:widowControl/>
        <w:spacing w:before="0" w:after="160"/>
        <w:rPr/>
      </w:pPr>
      <w:r>
        <w:rPr/>
        <w:t>The Parties affirm the importance of rights impact assessment and treaty interpretation and shall seek to strengthen it through cooperative, equivalent or phased measures suited to their respective constitutional and institutional systems. The competent authority administering a covered measure shall identify the applicable legal basis and material facts for any significant limitation on this protected interest in a record sufficient for the review available under applicable law. Any limitation shall pursue a legitimate objective, be applied without prohibited discrimination or retaliation, and be no broader or longer than reasonably necessary in the circumstances. A materially affected person or competent representative shall have access, as appropriate under domestic law, to a complaint, reconsideration, review, or other process capable of correcting a material error or unlawful application.</w:t>
      </w:r>
    </w:p>
    <w:p>
      <w:pPr>
        <w:pStyle w:val="Heading3"/>
        <w:keepNext/>
        <w:widowControl/>
        <w:spacing w:before="180" w:after="60"/>
        <w:rPr/>
      </w:pPr>
      <w:r>
        <w:rPr/>
        <w:t>HR5-047. Rights impact assessment and treaty interpretation: Equal Application</w:t>
      </w:r>
    </w:p>
    <w:p>
      <w:pPr>
        <w:pStyle w:val="Normal"/>
        <w:widowControl/>
        <w:spacing w:before="0" w:after="160"/>
        <w:rPr/>
      </w:pPr>
      <w:r>
        <w:rPr/>
        <w:t>Cooperation concerning rights impact assessment and treaty interpretation should prioritize equal access, accessibility, non-retaliation and protection of persons facing heightened barriers, while permitting functionally equivalent national approaches. The competent authority administering a covered measure shall identify the applicable legal basis and material facts for any significant limitation on this protected interest in a record sufficient for the review available under applicable law. Any limitation shall pursue a legitimate objective, be applied without prohibited discrimination or retaliation, and be no broader or longer than reasonably necessary in the circumstances. A materially affected person or competent representative shall have access, as appropriate under domestic law, to a complaint, reconsideration, review, or other process capable of correcting a material error or unlawful application.</w:t>
      </w:r>
    </w:p>
    <w:p>
      <w:pPr>
        <w:pStyle w:val="Heading3"/>
        <w:keepNext/>
        <w:widowControl/>
        <w:spacing w:before="180" w:after="60"/>
        <w:rPr/>
      </w:pPr>
      <w:r>
        <w:rPr/>
        <w:t>HR5-048. Participation in policy affecting protected persons: Treaty-Wide Rights Floor</w:t>
      </w:r>
    </w:p>
    <w:p>
      <w:pPr>
        <w:pStyle w:val="Normal"/>
        <w:widowControl/>
        <w:spacing w:before="0" w:after="160"/>
        <w:rPr/>
      </w:pPr>
      <w:r>
        <w:rPr/>
        <w:t>The Parties affirm the importance of participation in policy affecting protected persons and shall seek to strengthen it through cooperative, equivalent or phased measures suited to their respective constitutional and institutional systems. The competent authority administering a covered measure shall identify the applicable legal basis and material facts for any significant limitation on this protected interest in a record sufficient for the review available under applicable law. Any limitation shall pursue a legitimate objective, be applied without prohibited discrimination or retaliation, and be no broader or longer than reasonably necessary in the circumstances. A materially affected person or competent representative shall have access, as appropriate under domestic law, to a complaint, reconsideration, review, or other process capable of correcting a material error or unlawful application.</w:t>
      </w:r>
    </w:p>
    <w:p>
      <w:pPr>
        <w:pStyle w:val="Heading3"/>
        <w:keepNext/>
        <w:widowControl/>
        <w:spacing w:before="180" w:after="60"/>
        <w:rPr/>
      </w:pPr>
      <w:r>
        <w:rPr/>
        <w:t>HR5-049. Age nondiscrimination in work and economic participation: Age-Equality Safeguard</w:t>
      </w:r>
    </w:p>
    <w:p>
      <w:pPr>
        <w:pStyle w:val="Normal"/>
        <w:widowControl/>
        <w:spacing w:before="0" w:after="160"/>
        <w:rPr/>
      </w:pPr>
      <w:r>
        <w:rPr/>
        <w:t>Each Party shall maintain and apply measures consistent with age nondiscrimination in work and economic participation, within the scope of this Agreement and subject to the stronger-rights, federalism, competent-authority, security and public-interest safeguards of the Human Rights Framework. The competent authority administering a covered measure shall identify the applicable legal basis and material facts for any significant limitation on this protected interest in a record sufficient for the review available under applicable law. Any limitation shall pursue a legitimate objective, be applied without prohibited discrimination or retaliation, and be no broader or longer than reasonably necessary in the circumstances. A materially affected person or competent representative shall have access, as appropriate under domestic law, to a complaint, reconsideration, review, or other process capable of correcting a material error or unlawful application.</w:t>
      </w:r>
    </w:p>
    <w:p>
      <w:pPr>
        <w:pStyle w:val="Heading3"/>
        <w:keepNext/>
        <w:widowControl/>
        <w:spacing w:before="180" w:after="60"/>
        <w:rPr/>
      </w:pPr>
      <w:r>
        <w:rPr/>
        <w:t>HR5-050. Age nondiscrimination in work and economic participation: Autonomy and Non-Discrimination</w:t>
      </w:r>
    </w:p>
    <w:p>
      <w:pPr>
        <w:pStyle w:val="Normal"/>
        <w:widowControl/>
        <w:spacing w:before="0" w:after="160"/>
        <w:rPr/>
      </w:pPr>
      <w:r>
        <w:rPr/>
        <w:t>A Party shall not administer a measure covered by this Agreement in a manner that defeats age nondiscrimination in work and economic participation through prohibited discrimination, arbitrary distinction, retaliation or bad-faith circumvention. Objective and proportionate distinctions pursuing a legitimate public purpose remain permitted. The competent authority administering a covered measure shall identify the applicable legal basis and material facts for any significant limitation on this protected interest in a record sufficient for the review available under applicable law. Any limitation shall pursue a legitimate objective, be applied without prohibited discrimination or retaliation, and be no broader or longer than reasonably necessary in the circumstances.</w:t>
      </w:r>
    </w:p>
    <w:p>
      <w:pPr>
        <w:pStyle w:val="Heading3"/>
        <w:keepNext/>
        <w:widowControl/>
        <w:spacing w:before="180" w:after="60"/>
        <w:rPr/>
      </w:pPr>
      <w:r>
        <w:rPr/>
        <w:t>HR5-051. Older-worker accommodation, retraining and workplace adaptation: Age-Equality Safeguard</w:t>
      </w:r>
    </w:p>
    <w:p>
      <w:pPr>
        <w:pStyle w:val="Normal"/>
        <w:widowControl/>
        <w:spacing w:before="0" w:after="160"/>
        <w:rPr/>
      </w:pPr>
      <w:r>
        <w:rPr/>
        <w:t>The Parties affirm the importance of older-worker accommodation, retraining and workplace adaptation and shall seek to strengthen it through cooperative, equivalent or phased measures suited to their respective constitutional and institutional systems. The competent authority administering a covered measure shall identify the applicable legal basis and material facts for any significant limitation on this protected interest in a record sufficient for the review available under applicable law. Any limitation shall pursue a legitimate objective, be applied without prohibited discrimination or retaliation, and be no broader or longer than reasonably necessary in the circumstances. A materially affected person or competent representative shall have access, as appropriate under domestic law, to a complaint, reconsideration, review, or other process capable of correcting a material error or unlawful application.</w:t>
      </w:r>
    </w:p>
    <w:p>
      <w:pPr>
        <w:pStyle w:val="Heading3"/>
        <w:keepNext/>
        <w:widowControl/>
        <w:spacing w:before="180" w:after="60"/>
        <w:rPr/>
      </w:pPr>
      <w:r>
        <w:rPr/>
        <w:t>HR5-052. Older-worker accommodation, retraining and workplace adaptation: Autonomy and Non-Discrimination</w:t>
      </w:r>
    </w:p>
    <w:p>
      <w:pPr>
        <w:pStyle w:val="Normal"/>
        <w:widowControl/>
        <w:spacing w:before="0" w:after="160"/>
        <w:rPr/>
      </w:pPr>
      <w:r>
        <w:rPr/>
        <w:t>Cooperation concerning older-worker accommodation, retraining and workplace adaptation should prioritize equal access, accessibility, non-retaliation and protection of persons facing heightened barriers, while permitting functionally equivalent national approaches. The competent authority administering a covered measure shall identify the applicable legal basis and material facts for any significant limitation on this protected interest in a record sufficient for the review available under applicable law. Any limitation shall pursue a legitimate objective, be applied without prohibited discrimination or retaliation, and be no broader or longer than reasonably necessary in the circumstances. A materially affected person or competent representative shall have access, as appropriate under domestic law, to a complaint, reconsideration, review, or other process capable of correcting a material error or unlawful application.</w:t>
      </w:r>
    </w:p>
    <w:p>
      <w:pPr>
        <w:pStyle w:val="Heading3"/>
        <w:keepNext/>
        <w:widowControl/>
        <w:spacing w:before="180" w:after="60"/>
        <w:rPr/>
      </w:pPr>
      <w:r>
        <w:t>HR5-053. Each Party shall maintain and apply measures consistent with age nondiscrimination in healthcare and clinical decision-making, within the scope of this Agreement and subject to the stronger-rights, federalism, competent-authority, security and public-interest safeguards of the Human Rights Framework</w:t>
      </w:r>
    </w:p>
    <w:p>
      <w:pPr>
        <w:pStyle w:val="Normal"/>
        <w:widowControl/>
        <w:spacing w:before="0" w:after="160"/>
        <w:rPr/>
      </w:pPr>
      <w:r>
        <w:rPr/>
        <w:t>Each Party shall maintain and apply measures consistent with age nondiscrimination in healthcare and clinical decision-making, within the scope of this Agreement and subject to the stronger-rights, federalism, competent-authority, security and public-interest safeguards of the Human Rights Framework. The competent authority shall maintain operational safeguards reasonably capable of preventing foreseeable serious harm and shall document material incidents, denials, or restrictions affecting the protected interest. Emergency, security, disciplinary, immigration, or administrative objectives do not authorize torture, cruel or degrading treatment, deliberate deprivation of essential food or water, medical abandonment, or retaliation against a good-faith complainant. Where an immediate threat to life, health, or physical integrity is credibly identified, available protective and medical measures shall be considered without awaiting completion of an unrelated trade or political process.</w:t>
      </w:r>
    </w:p>
    <w:p>
      <w:pPr>
        <w:pStyle w:val="Heading3"/>
        <w:keepNext/>
        <w:widowControl/>
        <w:spacing w:before="180" w:after="60"/>
        <w:rPr/>
      </w:pPr>
      <w:r>
        <w:rPr/>
        <w:t>HR5-054. Age nondiscrimination in healthcare and clinical decision-making: Autonomy and Non-Discrimination</w:t>
      </w:r>
    </w:p>
    <w:p>
      <w:pPr>
        <w:pStyle w:val="Normal"/>
        <w:widowControl/>
        <w:spacing w:before="0" w:after="160"/>
        <w:rPr/>
      </w:pPr>
      <w:r>
        <w:rPr/>
        <w:t>A Party shall not administer a measure covered by this Agreement in a manner that defeats age nondiscrimination in healthcare and clinical decision-making through prohibited discrimination, arbitrary distinction, retaliation or bad-faith circumvention. Objective and proportionate distinctions pursuing a legitimate public purpose remain permitted. The competent authority shall maintain operational safeguards reasonably capable of preventing foreseeable serious harm and shall document material incidents, denials, or restrictions affecting the protected interest. Emergency, security, disciplinary, immigration, or administrative objectives do not authorize torture, cruel or degrading treatment, deliberate deprivation of essential food or water, medical abandonment, or retaliation against a good-faith complainant.</w:t>
      </w:r>
    </w:p>
    <w:p>
      <w:pPr>
        <w:pStyle w:val="Heading3"/>
        <w:keepNext/>
        <w:widowControl/>
        <w:spacing w:before="180" w:after="60"/>
        <w:rPr/>
      </w:pPr>
      <w:r>
        <w:rPr/>
        <w:t>HR5-055. Older-person healthcare, geriatric and chronic-care access: Age-Equality Safeguard</w:t>
      </w:r>
    </w:p>
    <w:p>
      <w:pPr>
        <w:pStyle w:val="Normal"/>
        <w:widowControl/>
        <w:spacing w:before="0" w:after="160"/>
        <w:rPr/>
      </w:pPr>
      <w:r>
        <w:rPr/>
        <w:t>The Parties affirm the importance of older-person healthcare, geriatric and chronic-care access and shall seek to strengthen it through cooperative, equivalent or phased measures suited to their respective constitutional and institutional systems. The competent authority shall maintain operational safeguards reasonably capable of preventing foreseeable serious harm and shall document material incidents, denials, or restrictions affecting the protected interest. Emergency, security, disciplinary, immigration, or administrative objectives do not authorize torture, cruel or degrading treatment, deliberate deprivation of essential food or water, medical abandonment, or retaliation against a good-faith complainant. Where an immediate threat to life, health, or physical integrity is credibly identified, available protective and medical measures shall be considered without awaiting completion of an unrelated trade or political process.</w:t>
      </w:r>
    </w:p>
    <w:p>
      <w:pPr>
        <w:pStyle w:val="Heading3"/>
        <w:keepNext/>
        <w:widowControl/>
        <w:spacing w:before="180" w:after="60"/>
        <w:rPr/>
      </w:pPr>
      <w:r>
        <w:rPr/>
        <w:t>HR5-056. Older-person healthcare, geriatric and chronic-care access: Autonomy and Non-Discrimination</w:t>
      </w:r>
    </w:p>
    <w:p>
      <w:pPr>
        <w:pStyle w:val="Normal"/>
        <w:widowControl/>
        <w:spacing w:before="0" w:after="160"/>
        <w:rPr/>
      </w:pPr>
      <w:r>
        <w:rPr/>
        <w:t>Cooperation concerning older-person healthcare, geriatric and chronic-care access should prioritize equal access, accessibility, non-retaliation and protection of persons facing heightened barriers, while permitting functionally equivalent national approaches. The competent authority shall maintain operational safeguards reasonably capable of preventing foreseeable serious harm and shall document material incidents, denials, or restrictions affecting the protected interest. Emergency, security, disciplinary, immigration, or administrative objectives do not authorize torture, cruel or degrading treatment, deliberate deprivation of essential food or water, medical abandonment, or retaliation against a good-faith complainant. Where an immediate threat to life, health, or physical integrity is credibly identified, available protective and medical measures shall be considered without awaiting completion of an unrelated trade or political process.</w:t>
      </w:r>
    </w:p>
    <w:p>
      <w:pPr>
        <w:pStyle w:val="Heading3"/>
        <w:keepNext/>
        <w:widowControl/>
        <w:spacing w:before="180" w:after="60"/>
        <w:rPr/>
      </w:pPr>
      <w:r>
        <w:rPr/>
        <w:t>HR5-057. Older-person informed consent and healthcare autonomy: Age-Equality Safeguard</w:t>
      </w:r>
    </w:p>
    <w:p>
      <w:pPr>
        <w:pStyle w:val="Normal"/>
        <w:widowControl/>
        <w:spacing w:before="0" w:after="160"/>
        <w:rPr/>
      </w:pPr>
      <w:r>
        <w:rPr/>
        <w:t>Each Party shall maintain and apply measures consistent with older-person informed consent and healthcare autonomy, within the scope of this Agreement and subject to the stronger-rights, federalism, competent-authority, security and public-interest safeguards of the Human Rights Framework. The competent authority shall maintain operational safeguards reasonably capable of preventing foreseeable serious harm and shall document material incidents, denials, or restrictions affecting the protected interest. Emergency, security, disciplinary, immigration, or administrative objectives do not authorize torture, cruel or degrading treatment, deliberate deprivation of essential food or water, medical abandonment, or retaliation against a good-faith complainant. Where an immediate threat to life, health, or physical integrity is credibly identified, available protective and medical measures shall be considered without awaiting completion of an unrelated trade or political process.</w:t>
      </w:r>
    </w:p>
    <w:p>
      <w:pPr>
        <w:pStyle w:val="Heading3"/>
        <w:keepNext/>
        <w:widowControl/>
        <w:spacing w:before="180" w:after="60"/>
        <w:rPr/>
      </w:pPr>
      <w:r>
        <w:rPr/>
        <w:t>HR5-058. Pension and social-security portability: Age-Equality Safeguard</w:t>
      </w:r>
    </w:p>
    <w:p>
      <w:pPr>
        <w:pStyle w:val="Normal"/>
        <w:widowControl/>
        <w:spacing w:before="0" w:after="160"/>
        <w:rPr/>
      </w:pPr>
      <w:r>
        <w:rPr/>
        <w:t>The Parties affirm the importance of pension and social-security portability and shall seek to strengthen it through cooperative, equivalent or phased measures suited to their respective constitutional and institutional systems. The competent authority administering a covered measure shall identify the applicable legal basis and material facts for any significant limitation on this protected interest in a record sufficient for the review available under applicable law. Any limitation shall pursue a legitimate objective, be applied without prohibited discrimination or retaliation, and be no broader or longer than reasonably necessary in the circumstances. A materially affected person or competent representative shall have access, as appropriate under domestic law, to a complaint, reconsideration, review, or other process capable of correcting a material error or unlawful application.</w:t>
      </w:r>
    </w:p>
    <w:p>
      <w:pPr>
        <w:pStyle w:val="Heading3"/>
        <w:keepNext/>
        <w:widowControl/>
        <w:spacing w:before="180" w:after="60"/>
        <w:rPr/>
      </w:pPr>
      <w:r>
        <w:rPr/>
        <w:t>HR5-059. Pension integrity, adequacy and anti-fraud: Age-Equality Safeguard</w:t>
      </w:r>
    </w:p>
    <w:p>
      <w:pPr>
        <w:pStyle w:val="Normal"/>
        <w:widowControl/>
        <w:spacing w:before="0" w:after="160"/>
        <w:rPr/>
      </w:pPr>
      <w:r>
        <w:rPr/>
        <w:t>A Party may elect to participate in the Optional Module on Pension integrity, adequacy and anti-fraud. A participating Party shall implement the commitments it expressly accepts under that Module in accordance with its constitutional order and competent authorities.</w:t>
      </w:r>
    </w:p>
    <w:p>
      <w:pPr>
        <w:pStyle w:val="Heading3"/>
        <w:keepNext/>
        <w:widowControl/>
        <w:spacing w:before="180" w:after="60"/>
        <w:rPr/>
      </w:pPr>
      <w:r>
        <w:rPr/>
        <w:t>HR5-060. Pension integrity, adequacy and anti-fraud: Autonomy and Non-Discrimination</w:t>
      </w:r>
    </w:p>
    <w:p>
      <w:pPr>
        <w:pStyle w:val="Normal"/>
        <w:widowControl/>
        <w:spacing w:before="0" w:after="160"/>
        <w:rPr/>
      </w:pPr>
      <w:r>
        <w:rPr/>
        <w:t>Participating Parties should pursue pension integrity, adequacy and anti-fraud through non-discriminatory, rights-respecting and proportionate measures, with appropriate exceptions for legitimate public purposes and the rights and freedoms of others.</w:t>
      </w:r>
    </w:p>
    <w:p>
      <w:pPr>
        <w:pStyle w:val="Heading3"/>
        <w:keepNext/>
        <w:widowControl/>
        <w:spacing w:before="180" w:after="60"/>
        <w:rPr/>
      </w:pPr>
      <w:r>
        <w:rPr/>
        <w:t>HR5-061. Older-person social protection and accessible benefits: Age-Equality Safeguard</w:t>
      </w:r>
    </w:p>
    <w:p>
      <w:pPr>
        <w:pStyle w:val="Normal"/>
        <w:widowControl/>
        <w:spacing w:before="0" w:after="160"/>
        <w:rPr/>
      </w:pPr>
      <w:r>
        <w:rPr/>
        <w:t>A Party may elect to participate in the Optional Module on Older-person social protection and accessible benefits. A participating Party shall implement the commitments it expressly accepts under that Module in accordance with its constitutional order and competent authorities.</w:t>
      </w:r>
    </w:p>
    <w:p>
      <w:pPr>
        <w:pStyle w:val="Heading3"/>
        <w:keepNext/>
        <w:widowControl/>
        <w:spacing w:before="180" w:after="60"/>
        <w:rPr/>
      </w:pPr>
      <w:r>
        <w:rPr/>
        <w:t>HR5-062. Age nondiscrimination and autonomy in housing: Age-Equality Safeguard</w:t>
      </w:r>
    </w:p>
    <w:p>
      <w:pPr>
        <w:pStyle w:val="Normal"/>
        <w:widowControl/>
        <w:spacing w:before="0" w:after="160"/>
        <w:rPr/>
      </w:pPr>
      <w:r>
        <w:rPr/>
        <w:t>A Party may elect to participate in the Optional Module on Age nondiscrimination and autonomy in housing. A participating Party shall implement the commitments it expressly accepts under that Module in accordance with its constitutional order and competent authorities.</w:t>
      </w:r>
    </w:p>
    <w:p>
      <w:pPr>
        <w:pStyle w:val="Heading3"/>
        <w:keepNext/>
        <w:widowControl/>
        <w:spacing w:before="180" w:after="60"/>
        <w:rPr/>
      </w:pPr>
      <w:r>
        <w:rPr/>
        <w:t>HR5-063. Age nondiscrimination and autonomy in housing: Autonomy and Non-Discrimination</w:t>
      </w:r>
    </w:p>
    <w:p>
      <w:pPr>
        <w:pStyle w:val="Normal"/>
        <w:widowControl/>
        <w:spacing w:before="0" w:after="160"/>
        <w:rPr/>
      </w:pPr>
      <w:r>
        <w:rPr/>
        <w:t>Participating Parties should pursue age nondiscrimination and autonomy in housing through non-discriminatory, rights-respecting and proportionate measures, with appropriate exceptions for legitimate public purposes and the rights and freedoms of others.</w:t>
      </w:r>
    </w:p>
    <w:p>
      <w:pPr>
        <w:pStyle w:val="Heading3"/>
        <w:keepNext/>
        <w:widowControl/>
        <w:spacing w:before="180" w:after="60"/>
        <w:rPr/>
      </w:pPr>
      <w:r>
        <w:rPr/>
        <w:t>HR5-064. Ageing in place and accessible housing: Age-Equality Safeguard</w:t>
      </w:r>
    </w:p>
    <w:p>
      <w:pPr>
        <w:pStyle w:val="Normal"/>
        <w:widowControl/>
        <w:spacing w:before="0" w:after="160"/>
        <w:rPr/>
      </w:pPr>
      <w:r>
        <w:rPr/>
        <w:t>A Party may elect to participate in the Optional Module on Ageing in place and accessible housing. A participating Party shall implement the commitments it expressly accepts under that Module in accordance with its constitutional order and competent authorities.</w:t>
      </w:r>
    </w:p>
    <w:p>
      <w:pPr>
        <w:pStyle w:val="Heading3"/>
        <w:keepNext/>
        <w:widowControl/>
        <w:spacing w:before="180" w:after="60"/>
        <w:rPr/>
      </w:pPr>
      <w:r>
        <w:rPr/>
        <w:t>HR5-065. Ageing in place and accessible housing: Autonomy and Non-Discrimination</w:t>
      </w:r>
    </w:p>
    <w:p>
      <w:pPr>
        <w:pStyle w:val="Normal"/>
        <w:widowControl/>
        <w:spacing w:before="0" w:after="160"/>
        <w:rPr/>
      </w:pPr>
      <w:r>
        <w:rPr/>
        <w:t>Participating Parties should pursue ageing in place and accessible housing through non-discriminatory, rights-respecting and proportionate measures, with appropriate exceptions for legitimate public purposes and the rights and freedoms of others.</w:t>
      </w:r>
    </w:p>
    <w:p>
      <w:pPr>
        <w:pStyle w:val="Heading3"/>
        <w:keepNext/>
        <w:widowControl/>
        <w:spacing w:before="180" w:after="60"/>
        <w:rPr/>
      </w:pPr>
      <w:r>
        <w:rPr/>
        <w:t>HR5-066. Elder abuse, neglect and exploitation prevention: Age-Equality Safeguard</w:t>
      </w:r>
    </w:p>
    <w:p>
      <w:pPr>
        <w:pStyle w:val="Normal"/>
        <w:widowControl/>
        <w:spacing w:before="0" w:after="160"/>
        <w:rPr/>
      </w:pPr>
      <w:r>
        <w:rPr/>
        <w:t>Each Party shall maintain effective measures within its competence against abuse, neglect, coercion and financial exploitation of older persons where connected to covered employment, services, financial activity, mobility or cross-border commerce. The competent authority administering a covered measure shall identify the applicable legal basis and material facts for any significant limitation on this protected interest in a record sufficient for the review available under applicable law. Any limitation shall pursue a legitimate objective, be applied without prohibited discrimination or retaliation, and be no broader or longer than reasonably necessary in the circumstances. A materially affected person or competent representative shall have access, as appropriate under domestic law, to a complaint, reconsideration, review, or other process capable of correcting a material error or unlawful application.</w:t>
      </w:r>
    </w:p>
    <w:p>
      <w:pPr>
        <w:pStyle w:val="Heading3"/>
        <w:keepNext/>
        <w:widowControl/>
        <w:spacing w:before="180" w:after="60"/>
        <w:rPr/>
      </w:pPr>
      <w:r>
        <w:rPr/>
        <w:t>HR5-067. Elder abuse, neglect and exploitation prevention: Autonomy and Non-Discrimination</w:t>
      </w:r>
    </w:p>
    <w:p>
      <w:pPr>
        <w:pStyle w:val="Normal"/>
        <w:widowControl/>
        <w:spacing w:before="0" w:after="160"/>
        <w:rPr/>
      </w:pPr>
      <w:r>
        <w:rPr/>
        <w:t>A Party shall not administer a measure covered by this Agreement in a manner that defeats elder abuse, neglect and exploitation prevention through prohibited discrimination, arbitrary distinction, retaliation or bad-faith circumvention. Objective and proportionate distinctions pursuing a legitimate public purpose remain permitted. The competent authority administering a covered measure shall identify the applicable legal basis and material facts for any significant limitation on this protected interest in a record sufficient for the review available under applicable law. Any limitation shall pursue a legitimate objective, be applied without prohibited discrimination or retaliation, and be no broader or longer than reasonably necessary in the circumstances.</w:t>
      </w:r>
    </w:p>
    <w:p>
      <w:pPr>
        <w:pStyle w:val="Heading3"/>
        <w:keepNext/>
        <w:widowControl/>
        <w:spacing w:before="180" w:after="60"/>
        <w:rPr/>
      </w:pPr>
      <w:r>
        <w:rPr/>
        <w:t>HR5-068. Older-person autonomy, supported decision-making and guardianship safeguards: Age-Equality Safeguard</w:t>
      </w:r>
    </w:p>
    <w:p>
      <w:pPr>
        <w:pStyle w:val="Normal"/>
        <w:widowControl/>
        <w:spacing w:before="0" w:after="160"/>
        <w:rPr/>
      </w:pPr>
      <w:r>
        <w:rPr/>
        <w:t>Each Party shall maintain and apply measures consistent with older-person autonomy, supported decision-making and guardianship safeguards, within the scope of this Agreement and subject to the stronger-rights, federalism, competent-authority, security and public-interest safeguards of the Human Rights Framework. The competent authority administering a covered measure shall identify the applicable legal basis and material facts for any significant limitation on this protected interest in a record sufficient for the review available under applicable law. Any limitation shall pursue a legitimate objective, be applied without prohibited discrimination or retaliation, and be no broader or longer than reasonably necessary in the circumstances. A materially affected person or competent representative shall have access, as appropriate under domestic law, to a complaint, reconsideration, review, or other process capable of correcting a material error or unlawful application.</w:t>
      </w:r>
    </w:p>
    <w:p>
      <w:pPr>
        <w:pStyle w:val="Heading3"/>
        <w:keepNext/>
        <w:widowControl/>
        <w:spacing w:before="180" w:after="60"/>
        <w:rPr/>
      </w:pPr>
      <w:r>
        <w:rPr/>
        <w:t>HR5-069. Older-person autonomy, supported decision-making and guardianship safeguards: Autonomy and Non-Discrimination</w:t>
      </w:r>
    </w:p>
    <w:p>
      <w:pPr>
        <w:pStyle w:val="Normal"/>
        <w:widowControl/>
        <w:spacing w:before="0" w:after="160"/>
        <w:rPr/>
      </w:pPr>
      <w:r>
        <w:rPr/>
        <w:t>A Party shall not administer a measure covered by this Agreement in a manner that defeats older-person autonomy, supported decision-making and guardianship safeguards through prohibited discrimination, arbitrary distinction, retaliation or bad-faith circumvention. Objective and proportionate distinctions pursuing a legitimate public purpose remain permitted. The competent authority administering a covered measure shall identify the applicable legal basis and material facts for any significant limitation on this protected interest in a record sufficient for the review available under applicable law. Any limitation shall pursue a legitimate objective, be applied without prohibited discrimination or retaliation, and be no broader or longer than reasonably necessary in the circumstances.</w:t>
      </w:r>
    </w:p>
    <w:p>
      <w:pPr>
        <w:pStyle w:val="Heading3"/>
        <w:keepNext/>
        <w:widowControl/>
        <w:spacing w:before="180" w:after="60"/>
        <w:rPr/>
      </w:pPr>
      <w:r>
        <w:rPr/>
        <w:t>HR5-070. Older-person participation, community inclusion and lifelong learning: Age-Equality Safeguard</w:t>
      </w:r>
    </w:p>
    <w:p>
      <w:pPr>
        <w:pStyle w:val="Normal"/>
        <w:widowControl/>
        <w:spacing w:before="0" w:after="160"/>
        <w:rPr/>
      </w:pPr>
      <w:r>
        <w:rPr/>
        <w:t>The Parties affirm the importance of older-person participation, community inclusion and lifelong learning and shall seek to strengthen it through cooperative, equivalent or phased measures suited to their respective constitutional and institutional systems. The competent authority administering a covered measure shall identify the applicable legal basis and material facts for any significant limitation on this protected interest in a record sufficient for the review available under applicable law. Any limitation shall pursue a legitimate objective, be applied without prohibited discrimination or retaliation, and be no broader or longer than reasonably necessary in the circumstances. A materially affected person or competent representative shall have access, as appropriate under domestic law, to a complaint, reconsideration, review, or other process capable of correcting a material error or unlawful application.</w:t>
      </w:r>
    </w:p>
    <w:p>
      <w:pPr>
        <w:pStyle w:val="Heading3"/>
        <w:keepNext/>
        <w:widowControl/>
        <w:spacing w:before="180" w:after="60"/>
        <w:rPr/>
      </w:pPr>
      <w:r>
        <w:rPr/>
        <w:t>HR5-071. Older-person participation, community inclusion and lifelong learning: Autonomy and Non-Discrimination</w:t>
      </w:r>
    </w:p>
    <w:p>
      <w:pPr>
        <w:pStyle w:val="Normal"/>
        <w:widowControl/>
        <w:spacing w:before="0" w:after="160"/>
        <w:rPr/>
      </w:pPr>
      <w:r>
        <w:rPr/>
        <w:t>Cooperation concerning older-person participation, community inclusion and lifelong learning should prioritize equal access, accessibility, non-retaliation and protection of persons facing heightened barriers, while permitting functionally equivalent national approaches. The competent authority administering a covered measure shall identify the applicable legal basis and material facts for any significant limitation on this protected interest in a record sufficient for the review available under applicable law. Any limitation shall pursue a legitimate objective, be applied without prohibited discrimination or retaliation, and be no broader or longer than reasonably necessary in the circumstances. A materially affected person or competent representative shall have access, as appropriate under domestic law, to a complaint, reconsideration, review, or other process capable of correcting a material error or unlawful application.</w:t>
      </w:r>
    </w:p>
    <w:p>
      <w:pPr>
        <w:pStyle w:val="Heading3"/>
        <w:keepNext/>
        <w:widowControl/>
        <w:spacing w:before="180" w:after="60"/>
        <w:rPr/>
      </w:pPr>
      <w:r>
        <w:rPr/>
        <w:t>HR5-072. Older-person accessible mobility and functional driver assessment: Age-Equality Safeguard</w:t>
      </w:r>
    </w:p>
    <w:p>
      <w:pPr>
        <w:pStyle w:val="Normal"/>
        <w:widowControl/>
        <w:spacing w:before="0" w:after="160"/>
        <w:rPr/>
      </w:pPr>
      <w:r>
        <w:rPr/>
        <w:t>A Party may elect to participate in the Optional Module on Older-person accessible mobility and functional driver assessment. A participating Party shall implement the commitments it expressly accepts under that Module in accordance with its constitutional order and competent authorities.</w:t>
      </w:r>
    </w:p>
    <w:p>
      <w:pPr>
        <w:pStyle w:val="Heading3"/>
        <w:keepNext/>
        <w:widowControl/>
        <w:spacing w:before="180" w:after="60"/>
        <w:rPr/>
      </w:pPr>
      <w:r>
        <w:rPr/>
        <w:t>HR5-073. Older-person accessible mobility and functional driver assessment: Autonomy and Non-Discrimination</w:t>
      </w:r>
    </w:p>
    <w:p>
      <w:pPr>
        <w:pStyle w:val="Normal"/>
        <w:widowControl/>
        <w:spacing w:before="0" w:after="160"/>
        <w:rPr/>
      </w:pPr>
      <w:r>
        <w:rPr/>
        <w:t>Participating Parties should pursue older-person accessible mobility and functional driver assessment through non-discriminatory, rights-respecting and proportionate measures, with appropriate exceptions for legitimate public purposes and the rights and freedoms of others.</w:t>
      </w:r>
    </w:p>
    <w:p>
      <w:pPr>
        <w:pStyle w:val="Heading3"/>
        <w:keepNext/>
        <w:widowControl/>
        <w:spacing w:before="180" w:after="60"/>
        <w:rPr/>
      </w:pPr>
      <w:r>
        <w:rPr/>
        <w:t>HR5-074. Older-person digital inclusion and fraud protection: Age-Equality Safeguard</w:t>
      </w:r>
    </w:p>
    <w:p>
      <w:pPr>
        <w:pStyle w:val="Normal"/>
        <w:widowControl/>
        <w:spacing w:before="0" w:after="160"/>
        <w:rPr/>
      </w:pPr>
      <w:r>
        <w:rPr/>
        <w:t>The Parties affirm the importance of older-person digital inclusion and fraud protection and shall seek to strengthen it through cooperative, equivalent or phased measures suited to their respective constitutional and institutional systems. A competent authority using covered data or automated processing shall identify the lawful purpose, limit collection and use to what is reasonably necessary, and apply security, retention, correction, and access controls proportionate to the sensitivity of the information. A materially consequential decision shall not rest solely on an opaque or unreviewable automated output where applicable law requires meaningful human review or an opportunity to contest material error. Protected characteristics, immigration status, disability, health information, or other sensitive data shall not be used as a disguised proxy for prohibited discrimination or unrelated enforcement leverage.</w:t>
      </w:r>
    </w:p>
    <w:p>
      <w:pPr>
        <w:pStyle w:val="Heading3"/>
        <w:keepNext/>
        <w:widowControl/>
        <w:spacing w:before="180" w:after="60"/>
        <w:rPr/>
      </w:pPr>
      <w:r>
        <w:rPr/>
        <w:t>HR5-075. Older-person digital inclusion and fraud protection: Autonomy and Non-Discrimination</w:t>
      </w:r>
    </w:p>
    <w:p>
      <w:pPr>
        <w:pStyle w:val="Normal"/>
        <w:widowControl/>
        <w:spacing w:before="0" w:after="160"/>
        <w:rPr/>
      </w:pPr>
      <w:r>
        <w:rPr/>
        <w:t>Cooperation concerning older-person digital inclusion and fraud protection should prioritize equal access, accessibility, non-retaliation and protection of persons facing heightened barriers, while permitting functionally equivalent national approaches. A competent authority using covered data or automated processing shall identify the lawful purpose, limit collection and use to what is reasonably necessary, and apply security, retention, correction, and access controls proportionate to the sensitivity of the information. A materially consequential decision shall not rest solely on an opaque or unreviewable automated output where applicable law requires meaningful human review or an opportunity to contest material error. Protected characteristics, immigration status, disability, health information, or other sensitive data shall not be used as a disguised proxy for prohibited discrimination or unrelated enforcement leverage.</w:t>
      </w:r>
    </w:p>
    <w:p>
      <w:pPr>
        <w:pStyle w:val="Heading3"/>
        <w:keepNext/>
        <w:widowControl/>
        <w:spacing w:before="180" w:after="60"/>
        <w:rPr/>
      </w:pPr>
      <w:r>
        <w:rPr/>
        <w:t>HR5-076. Child definition and rights-holder status: Child-Specific Rights Floor</w:t>
      </w:r>
    </w:p>
    <w:p>
      <w:pPr>
        <w:pStyle w:val="Normal"/>
        <w:widowControl/>
        <w:spacing w:before="0" w:after="160"/>
        <w:rPr/>
      </w:pPr>
      <w:r>
        <w:rPr/>
        <w:t>Each Party shall maintain and apply measures consistent with child definition and rights-holder status, within the scope of this Agreement and subject to the stronger-rights, federalism, competent-authority, security and public-interest safeguards of the Human Rights Framework. The competent authority administering a covered measure shall identify the applicable legal basis and material facts for any significant limitation on this protected interest in a record sufficient for the review available under applicable law. Any limitation shall pursue a legitimate objective, be applied without prohibited discrimination or retaliation, and be no broader or longer than reasonably necessary in the circumstances. A materially affected person or competent representative shall have access, as appropriate under domestic law, to a complaint, reconsideration, review, or other process capable of correcting a material error or unlawful application.</w:t>
      </w:r>
    </w:p>
    <w:p>
      <w:pPr>
        <w:pStyle w:val="Heading3"/>
        <w:keepNext/>
        <w:widowControl/>
        <w:spacing w:before="180" w:after="60"/>
        <w:rPr/>
      </w:pPr>
      <w:r>
        <w:rPr/>
        <w:t>HR5-077. Child definition and rights-holder status: Best Interests and Equal Protection</w:t>
      </w:r>
    </w:p>
    <w:p>
      <w:pPr>
        <w:pStyle w:val="Normal"/>
        <w:widowControl/>
        <w:spacing w:before="0" w:after="160"/>
        <w:rPr/>
      </w:pPr>
      <w:r>
        <w:rPr/>
        <w:t>A Party shall not administer a measure covered by this Agreement in a manner that defeats child definition and rights-holder status through prohibited discrimination, arbitrary distinction, retaliation or bad-faith circumvention. Objective and proportionate distinctions pursuing a legitimate public purpose remain permitted. The competent authority administering a covered measure shall identify the applicable legal basis and material facts for any significant limitation on this protected interest in a record sufficient for the review available under applicable law. Any limitation shall pursue a legitimate objective, be applied without prohibited discrimination or retaliation, and be no broader or longer than reasonably necessary in the circumstances.</w:t>
      </w:r>
    </w:p>
    <w:p>
      <w:pPr>
        <w:pStyle w:val="Heading3"/>
        <w:keepNext/>
        <w:widowControl/>
        <w:spacing w:before="180" w:after="60"/>
        <w:rPr/>
      </w:pPr>
      <w:r>
        <w:rPr/>
        <w:t>HR5-078. Best interests of the child: Child-Specific Rights Floor</w:t>
      </w:r>
    </w:p>
    <w:p>
      <w:pPr>
        <w:pStyle w:val="Normal"/>
        <w:widowControl/>
        <w:spacing w:before="0" w:after="160"/>
        <w:rPr/>
      </w:pPr>
      <w:r>
        <w:rPr/>
        <w:t>In a covered decision directly affecting a child, the child's best interests shall be a primary consideration appropriate to the decision and treaty nexus. This principle does not displace competent domestic family-law, child-protection or judicial authority. The competent authority administering a covered measure shall identify the applicable legal basis and material facts for any significant limitation on this protected interest in a record sufficient for the review available under applicable law. Any limitation shall pursue a legitimate objective, be applied without prohibited discrimination or retaliation, and be no broader or longer than reasonably necessary in the circumstances.</w:t>
      </w:r>
    </w:p>
    <w:p>
      <w:pPr>
        <w:pStyle w:val="Heading3"/>
        <w:keepNext/>
        <w:widowControl/>
        <w:spacing w:before="180" w:after="60"/>
        <w:rPr/>
      </w:pPr>
      <w:r>
        <w:rPr/>
        <w:t>HR5-079. Child participation, voice and evolving capacities: Child-Specific Rights Floor</w:t>
      </w:r>
    </w:p>
    <w:p>
      <w:pPr>
        <w:pStyle w:val="Normal"/>
        <w:widowControl/>
        <w:spacing w:before="0" w:after="160"/>
        <w:rPr/>
      </w:pPr>
      <w:r>
        <w:rPr/>
        <w:t>The Parties affirm the importance of child participation, voice and evolving capacities and shall seek to strengthen it through cooperative, equivalent or phased measures suited to their respective constitutional and institutional systems. The competent authority administering a covered measure shall identify the applicable legal basis and material facts for any significant limitation on this protected interest in a record sufficient for the review available under applicable law. Any limitation shall pursue a legitimate objective, be applied without prohibited discrimination or retaliation, and be no broader or longer than reasonably necessary in the circumstances. A materially affected person or competent representative shall have access, as appropriate under domestic law, to a complaint, reconsideration, review, or other process capable of correcting a material error or unlawful application.</w:t>
      </w:r>
    </w:p>
    <w:p>
      <w:pPr>
        <w:pStyle w:val="Heading3"/>
        <w:keepNext/>
        <w:widowControl/>
        <w:spacing w:before="180" w:after="60"/>
        <w:rPr/>
      </w:pPr>
      <w:r>
        <w:rPr/>
        <w:t>HR5-080. Child participation, voice and evolving capacities: Best Interests and Equal Protection</w:t>
      </w:r>
    </w:p>
    <w:p>
      <w:pPr>
        <w:pStyle w:val="Normal"/>
        <w:widowControl/>
        <w:spacing w:before="0" w:after="160"/>
        <w:rPr/>
      </w:pPr>
      <w:r>
        <w:rPr/>
        <w:t>Cooperation concerning child participation, voice and evolving capacities should prioritize equal access, accessibility, non-retaliation and protection of persons facing heightened barriers, while permitting functionally equivalent national approaches. The competent authority administering a covered measure shall identify the applicable legal basis and material facts for any significant limitation on this protected interest in a record sufficient for the review available under applicable law. Any limitation shall pursue a legitimate objective, be applied without prohibited discrimination or retaliation, and be no broader or longer than reasonably necessary in the circumstances. A materially affected person or competent representative shall have access, as appropriate under domestic law, to a complaint, reconsideration, review, or other process capable of correcting a material error or unlawful application.</w:t>
      </w:r>
    </w:p>
    <w:p>
      <w:pPr>
        <w:pStyle w:val="Heading3"/>
        <w:keepNext/>
        <w:widowControl/>
        <w:spacing w:before="180" w:after="60"/>
        <w:rPr/>
      </w:pPr>
      <w:r>
        <w:rPr/>
        <w:t>HR5-081. Child identity, nationality and family relations: Child-Specific Rights Floor</w:t>
      </w:r>
    </w:p>
    <w:p>
      <w:pPr>
        <w:pStyle w:val="Normal"/>
        <w:widowControl/>
        <w:spacing w:before="0" w:after="160"/>
        <w:rPr/>
      </w:pPr>
      <w:r>
        <w:rPr/>
        <w:t>Each Party shall maintain and apply measures consistent with child identity, nationality and family relations, within the scope of this Agreement and subject to the stronger-rights, federalism, competent-authority, security and public-interest safeguards of the Human Rights Framework. The competent authority administering a covered measure shall identify the applicable legal basis and material facts for any significant limitation on this protected interest in a record sufficient for the review available under applicable law. Any limitation shall pursue a legitimate objective, be applied without prohibited discrimination or retaliation, and be no broader or longer than reasonably necessary in the circumstances. A materially affected person or competent representative shall have access, as appropriate under domestic law, to a complaint, reconsideration, review, or other process capable of correcting a material error or unlawful application.</w:t>
      </w:r>
    </w:p>
    <w:p>
      <w:pPr>
        <w:pStyle w:val="Heading3"/>
        <w:keepNext/>
        <w:widowControl/>
        <w:spacing w:before="180" w:after="60"/>
        <w:rPr/>
      </w:pPr>
      <w:r>
        <w:rPr/>
        <w:t>HR5-082. Child labour abolition and minimum-age floor: Child-Specific Rights Floor</w:t>
      </w:r>
    </w:p>
    <w:p>
      <w:pPr>
        <w:pStyle w:val="Normal"/>
        <w:widowControl/>
        <w:spacing w:before="0" w:after="160"/>
        <w:rPr/>
      </w:pPr>
      <w:r>
        <w:rPr/>
        <w:t>Each Party shall maintain and apply measures consistent with child labour abolition and minimum-age floor, within the scope of this Agreement and subject to the stronger-rights, federalism, competent-authority, security and public-interest safeguards of the Human Rights Framework. The competent authority administering a covered measure shall identify the applicable legal basis and material facts for any significant limitation on this protected interest in a record sufficient for the review available under applicable law. Any limitation shall pursue a legitimate objective, be applied without prohibited discrimination or retaliation, and be no broader or longer than reasonably necessary in the circumstances. A materially affected person or competent representative shall have access, as appropriate under domestic law, to a complaint, reconsideration, review, or other process capable of correcting a material error or unlawful application.</w:t>
      </w:r>
    </w:p>
    <w:p>
      <w:pPr>
        <w:pStyle w:val="Heading3"/>
        <w:keepNext/>
        <w:widowControl/>
        <w:spacing w:before="180" w:after="60"/>
        <w:rPr/>
      </w:pPr>
      <w:r>
        <w:rPr/>
        <w:t>HR5-083. Child labour abolition and minimum-age floor: Best Interests and Equal Protection</w:t>
      </w:r>
    </w:p>
    <w:p>
      <w:pPr>
        <w:pStyle w:val="Normal"/>
        <w:widowControl/>
        <w:spacing w:before="0" w:after="160"/>
        <w:rPr/>
      </w:pPr>
      <w:r>
        <w:rPr/>
        <w:t>A Party shall not administer a measure covered by this Agreement in a manner that defeats child labour abolition and minimum-age floor through prohibited discrimination, arbitrary distinction, retaliation or bad-faith circumvention. Objective and proportionate distinctions pursuing a legitimate public purpose remain permitted. The competent authority administering a covered measure shall identify the applicable legal basis and material facts for any significant limitation on this protected interest in a record sufficient for the review available under applicable law. Any limitation shall pursue a legitimate objective, be applied without prohibited discrimination or retaliation, and be no broader or longer than reasonably necessary in the circumstances.</w:t>
      </w:r>
    </w:p>
    <w:p>
      <w:pPr>
        <w:pStyle w:val="Heading3"/>
        <w:keepNext/>
        <w:widowControl/>
        <w:spacing w:before="180" w:after="60"/>
        <w:rPr/>
      </w:pPr>
      <w:r>
        <w:rPr/>
        <w:t>HR5-084. Child labour abolition and minimum-age floor: Age-Appropriate Implementation</w:t>
      </w:r>
    </w:p>
    <w:p>
      <w:pPr>
        <w:pStyle w:val="Normal"/>
        <w:widowControl/>
        <w:spacing w:before="0" w:after="160"/>
        <w:rPr/>
      </w:pPr>
      <w:r>
        <w:rPr/>
        <w:t>Each Party shall use reasonable, proportionate and administrable measures to give practical effect to child labour abolition and minimum-age floor. Implementation may reflect constitutional structure, division of powers and existing institutions, provided that equivalent protection of the covered interest is maintained. The competent authority administering a covered measure shall identify the applicable legal basis and material facts for any significant limitation on this protected interest in a record sufficient for the review available under applicable law. Any limitation shall pursue a legitimate objective, be applied without prohibited discrimination or retaliation, and be no broader or longer than reasonably necessary in the circumstances.</w:t>
      </w:r>
    </w:p>
    <w:p>
      <w:pPr>
        <w:pStyle w:val="Heading3"/>
        <w:keepNext/>
        <w:widowControl/>
        <w:spacing w:before="180" w:after="60"/>
        <w:rPr/>
      </w:pPr>
      <w:r>
        <w:rPr/>
        <w:t>HR5-085. Worst forms of child labour, trafficking and commercial exploitation: Child-Specific Rights Floor</w:t>
      </w:r>
    </w:p>
    <w:p>
      <w:pPr>
        <w:pStyle w:val="Normal"/>
        <w:widowControl/>
        <w:spacing w:before="0" w:after="160"/>
        <w:rPr/>
      </w:pPr>
      <w:r>
        <w:rPr/>
        <w:t>Each Party shall maintain and apply measures consistent with worst forms of child labour, trafficking and commercial exploitation, within the scope of this Agreement and subject to the stronger-rights, federalism, competent-authority, security and public-interest safeguards of the Human Rights Framework. The competent authority administering a covered measure shall identify the applicable legal basis and material facts for any significant limitation on this protected interest in a record sufficient for the review available under applicable law. Any limitation shall pursue a legitimate objective, be applied without prohibited discrimination or retaliation, and be no broader or longer than reasonably necessary in the circumstances. A materially affected person or competent representative shall have access, as appropriate under domestic law, to a complaint, reconsideration, review, or other process capable of correcting a material error or unlawful application.</w:t>
      </w:r>
    </w:p>
    <w:p>
      <w:pPr>
        <w:pStyle w:val="Heading3"/>
        <w:keepNext/>
        <w:widowControl/>
        <w:spacing w:before="180" w:after="60"/>
        <w:rPr/>
      </w:pPr>
      <w:r>
        <w:rPr/>
        <w:t>HR5-086. Worst forms of child labour, trafficking and commercial exploitation: Best Interests and Equal Protection</w:t>
      </w:r>
    </w:p>
    <w:p>
      <w:pPr>
        <w:pStyle w:val="Normal"/>
        <w:widowControl/>
        <w:spacing w:before="0" w:after="160"/>
        <w:rPr/>
      </w:pPr>
      <w:r>
        <w:rPr/>
        <w:t>A Party shall not administer a measure covered by this Agreement in a manner that defeats worst forms of child labour, trafficking and commercial exploitation through prohibited discrimination, arbitrary distinction, retaliation or bad-faith circumvention. Objective and proportionate distinctions pursuing a legitimate public purpose remain permitted. The competent authority administering a covered measure shall identify the applicable legal basis and material facts for any significant limitation on this protected interest in a record sufficient for the review available under applicable law. Any limitation shall pursue a legitimate objective, be applied without prohibited discrimination or retaliation, and be no broader or longer than reasonably necessary in the circumstances.</w:t>
      </w:r>
    </w:p>
    <w:p>
      <w:pPr>
        <w:pStyle w:val="Heading3"/>
        <w:keepNext/>
        <w:widowControl/>
        <w:spacing w:before="180" w:after="60"/>
        <w:rPr/>
      </w:pPr>
      <w:r>
        <w:rPr/>
        <w:t>HR5-087. Child-labour supply-chain due diligence and procurement: Child-Specific Rights Floor</w:t>
      </w:r>
    </w:p>
    <w:p>
      <w:pPr>
        <w:pStyle w:val="Normal"/>
        <w:widowControl/>
        <w:spacing w:before="0" w:after="160"/>
        <w:rPr/>
      </w:pPr>
      <w:r>
        <w:rPr/>
        <w:t>Each Party shall maintain and apply measures consistent with child-labour supply-chain due diligence and procurement, within the scope of this Agreement and subject to the stronger-rights, federalism, competent-authority, security and public-interest safeguards of the Human Rights Framework. The competent authority administering a covered measure shall identify the applicable legal basis and material facts for any significant limitation on this protected interest in a record sufficient for the review available under applicable law. Any limitation shall pursue a legitimate objective, be applied without prohibited discrimination or retaliation, and be no broader or longer than reasonably necessary in the circumstances. A materially affected person or competent representative shall have access, as appropriate under domestic law, to a complaint, reconsideration, review, or other process capable of correcting a material error or unlawful application.</w:t>
      </w:r>
    </w:p>
    <w:p>
      <w:pPr>
        <w:pStyle w:val="Heading3"/>
        <w:keepNext/>
        <w:widowControl/>
        <w:spacing w:before="180" w:after="60"/>
        <w:rPr/>
      </w:pPr>
      <w:r>
        <w:rPr/>
        <w:t>HR5-088. Child family unity in migration: Child-Specific Rights Floor</w:t>
      </w:r>
    </w:p>
    <w:p>
      <w:pPr>
        <w:pStyle w:val="Normal"/>
        <w:widowControl/>
        <w:spacing w:before="0" w:after="160"/>
        <w:rPr/>
      </w:pPr>
      <w:r>
        <w:rPr/>
        <w:t>Each Party shall maintain and apply measures consistent with child family unity in migration, within the scope of this Agreement and subject to the stronger-rights, federalism, competent-authority, security and public-interest safeguards of the Human Rights Framework. The competent authority administering a covered measure shall identify the applicable legal basis and material facts for any significant limitation on this protected interest in a record sufficient for the review available under applicable law. Any limitation shall pursue a legitimate objective, be applied without prohibited discrimination or retaliation, and be no broader or longer than reasonably necessary in the circumstances. A materially affected person or competent representative shall have access, as appropriate under domestic law, to a complaint, reconsideration, review, or other process capable of correcting a material error or unlawful application.</w:t>
      </w:r>
    </w:p>
    <w:p>
      <w:pPr>
        <w:pStyle w:val="Heading3"/>
        <w:keepNext/>
        <w:widowControl/>
        <w:spacing w:before="180" w:after="60"/>
        <w:rPr/>
      </w:pPr>
      <w:r>
        <w:rPr/>
        <w:t>HR5-089. Child family unity in migration: Best Interests and Equal Protection</w:t>
      </w:r>
    </w:p>
    <w:p>
      <w:pPr>
        <w:pStyle w:val="Normal"/>
        <w:widowControl/>
        <w:spacing w:before="0" w:after="160"/>
        <w:rPr/>
      </w:pPr>
      <w:r>
        <w:rPr/>
        <w:t>A Party shall not administer a measure covered by this Agreement in a manner that defeats child family unity in migration through prohibited discrimination, arbitrary distinction, retaliation or bad-faith circumvention. Objective and proportionate distinctions pursuing a legitimate public purpose remain permitted. The competent authority administering a covered measure shall identify the applicable legal basis and material facts for any significant limitation on this protected interest in a record sufficient for the review available under applicable law. Any limitation shall pursue a legitimate objective, be applied without prohibited discrimination or retaliation, and be no broader or longer than reasonably necessary in the circumstances.</w:t>
      </w:r>
    </w:p>
    <w:p>
      <w:pPr>
        <w:pStyle w:val="Heading3"/>
        <w:keepNext/>
        <w:widowControl/>
        <w:spacing w:before="180" w:after="60"/>
        <w:rPr/>
      </w:pPr>
      <w:r>
        <w:rPr/>
        <w:t>HR5-090. Child family unity in migration: Age-Appropriate Implementation</w:t>
      </w:r>
    </w:p>
    <w:p>
      <w:pPr>
        <w:pStyle w:val="Normal"/>
        <w:widowControl/>
        <w:spacing w:before="0" w:after="160"/>
        <w:rPr/>
      </w:pPr>
      <w:r>
        <w:rPr/>
        <w:t>Each Party shall use reasonable, proportionate and administrable measures to give practical effect to child family unity in migration. Implementation may reflect constitutional structure, division of powers and existing institutions, provided that equivalent protection of the covered interest is maintained. The competent authority administering a covered measure shall identify the applicable legal basis and material facts for any significant limitation on this protected interest in a record sufficient for the review available under applicable law. Any limitation shall pursue a legitimate objective, be applied without prohibited discrimination or retaliation, and be no broader or longer than reasonably necessary in the circumstances.</w:t>
      </w:r>
    </w:p>
    <w:p>
      <w:pPr>
        <w:pStyle w:val="Heading3"/>
        <w:keepNext/>
        <w:widowControl/>
        <w:spacing w:before="180" w:after="60"/>
        <w:rPr/>
      </w:pPr>
      <w:r>
        <w:rPr/>
        <w:t>HR5-091. Child-sensitive immigration custody and removal: Child-Specific Rights Floor</w:t>
      </w:r>
    </w:p>
    <w:p>
      <w:pPr>
        <w:pStyle w:val="Normal"/>
        <w:widowControl/>
        <w:spacing w:before="0" w:after="160"/>
        <w:rPr/>
      </w:pPr>
      <w:r>
        <w:rPr/>
        <w:t>Each Party shall maintain and apply measures consistent with child-sensitive immigration custody and removal, within the scope of this Agreement and subject to the stronger-rights, federalism, competent-authority, security and public-interest safeguards of the Human Rights Framework. The competent authority shall maintain operational safeguards reasonably capable of preventing foreseeable serious harm and shall document material incidents, denials, or restrictions affecting the protected interest. Emergency, security, disciplinary, immigration, or administrative objectives do not authorize torture, cruel or degrading treatment, deliberate deprivation of essential food or water, medical abandonment, or retaliation against a good-faith complainant. Where an immediate threat to life, health, or physical integrity is credibly identified, available protective and medical measures shall be considered without awaiting completion of an unrelated trade or political process.</w:t>
      </w:r>
    </w:p>
    <w:p>
      <w:pPr>
        <w:pStyle w:val="Heading3"/>
        <w:keepNext/>
        <w:widowControl/>
        <w:spacing w:before="180" w:after="60"/>
        <w:rPr/>
      </w:pPr>
      <w:r>
        <w:rPr/>
        <w:t>HR5-092. Child-sensitive immigration custody and removal: Best Interests and Equal Protection</w:t>
      </w:r>
    </w:p>
    <w:p>
      <w:pPr>
        <w:pStyle w:val="Normal"/>
        <w:widowControl/>
        <w:spacing w:before="0" w:after="160"/>
        <w:rPr/>
      </w:pPr>
      <w:r>
        <w:rPr/>
        <w:t>A Party shall not administer a measure covered by this Agreement in a manner that defeats child-sensitive immigration custody and removal through prohibited discrimination, arbitrary distinction, retaliation or bad-faith circumvention. Objective and proportionate distinctions pursuing a legitimate public purpose remain permitted. The competent authority shall maintain operational safeguards reasonably capable of preventing foreseeable serious harm and shall document material incidents, denials, or restrictions affecting the protected interest. Emergency, security, disciplinary, immigration, or administrative objectives do not authorize torture, cruel or degrading treatment, deliberate deprivation of essential food or water, medical abandonment, or retaliation against a good-faith complainant.</w:t>
      </w:r>
    </w:p>
    <w:p>
      <w:pPr>
        <w:pStyle w:val="Heading3"/>
        <w:keepNext/>
        <w:widowControl/>
        <w:spacing w:before="180" w:after="60"/>
        <w:rPr/>
      </w:pPr>
      <w:r>
        <w:rPr/>
        <w:t>HR5-093. Child healthcare nondiscrimination and access: Child-Specific Rights Floor</w:t>
      </w:r>
    </w:p>
    <w:p>
      <w:pPr>
        <w:pStyle w:val="Normal"/>
        <w:widowControl/>
        <w:spacing w:before="0" w:after="160"/>
        <w:rPr/>
      </w:pPr>
      <w:r>
        <w:rPr/>
        <w:t>The Parties affirm the importance of child healthcare nondiscrimination and access and shall seek to strengthen it through cooperative, equivalent or phased measures suited to their respective constitutional and institutional systems. The competent authority shall maintain operational safeguards reasonably capable of preventing foreseeable serious harm and shall document material incidents, denials, or restrictions affecting the protected interest. Emergency, security, disciplinary, immigration, or administrative objectives do not authorize torture, cruel or degrading treatment, deliberate deprivation of essential food or water, medical abandonment, or retaliation against a good-faith complainant. Where an immediate threat to life, health, or physical integrity is credibly identified, available protective and medical measures shall be considered without awaiting completion of an unrelated trade or political process.</w:t>
      </w:r>
    </w:p>
    <w:p>
      <w:pPr>
        <w:pStyle w:val="Heading3"/>
        <w:keepNext/>
        <w:widowControl/>
        <w:spacing w:before="180" w:after="60"/>
        <w:rPr/>
      </w:pPr>
      <w:r>
        <w:rPr/>
        <w:t>HR5-094. Child healthcare nondiscrimination and access: Best Interests and Equal Protection</w:t>
      </w:r>
    </w:p>
    <w:p>
      <w:pPr>
        <w:pStyle w:val="Normal"/>
        <w:widowControl/>
        <w:spacing w:before="0" w:after="160"/>
        <w:rPr/>
      </w:pPr>
      <w:r>
        <w:rPr/>
        <w:t>Cooperation concerning child healthcare nondiscrimination and access should prioritize equal access, accessibility, non-retaliation and protection of persons facing heightened barriers, while permitting functionally equivalent national approaches. The competent authority shall maintain operational safeguards reasonably capable of preventing foreseeable serious harm and shall document material incidents, denials, or restrictions affecting the protected interest. Emergency, security, disciplinary, immigration, or administrative objectives do not authorize torture, cruel or degrading treatment, deliberate deprivation of essential food or water, medical abandonment, or retaliation against a good-faith complainant. Where an immediate threat to life, health, or physical integrity is credibly identified, available protective and medical measures shall be considered without awaiting completion of an unrelated trade or political process.</w:t>
      </w:r>
    </w:p>
    <w:p>
      <w:pPr>
        <w:pStyle w:val="Heading3"/>
        <w:keepNext/>
        <w:widowControl/>
        <w:spacing w:before="180" w:after="60"/>
        <w:rPr/>
      </w:pPr>
      <w:r>
        <w:rPr/>
        <w:t>HR5-095. Child education access and continuity: Child-Specific Rights Floor</w:t>
      </w:r>
    </w:p>
    <w:p>
      <w:pPr>
        <w:pStyle w:val="Normal"/>
        <w:widowControl/>
        <w:spacing w:before="0" w:after="160"/>
        <w:rPr/>
      </w:pPr>
      <w:r>
        <w:rPr/>
        <w:t>A Party may elect to participate in the Optional Module on Child education access and continuity. A participating Party shall implement the commitments it expressly accepts under that Module in accordance with its constitutional order and competent authorities.</w:t>
      </w:r>
    </w:p>
    <w:p>
      <w:pPr>
        <w:pStyle w:val="Heading3"/>
        <w:keepNext/>
        <w:widowControl/>
        <w:spacing w:before="180" w:after="60"/>
        <w:rPr/>
      </w:pPr>
      <w:r>
        <w:rPr/>
        <w:t>HR5-096. Child education access and continuity: Best Interests and Equal Protection</w:t>
      </w:r>
    </w:p>
    <w:p>
      <w:pPr>
        <w:pStyle w:val="Normal"/>
        <w:widowControl/>
        <w:spacing w:before="0" w:after="160"/>
        <w:rPr/>
      </w:pPr>
      <w:r>
        <w:rPr/>
        <w:t>Participating Parties should pursue child education access and continuity through non-discriminatory, rights-respecting and proportionate measures, with appropriate exceptions for legitimate public purposes and the rights and freedoms of others.</w:t>
      </w:r>
    </w:p>
    <w:p>
      <w:pPr>
        <w:pStyle w:val="Heading3"/>
        <w:keepNext/>
        <w:widowControl/>
        <w:spacing w:before="180" w:after="60"/>
        <w:rPr/>
      </w:pPr>
      <w:r>
        <w:rPr/>
        <w:t>HR5-097. Child protection from violence, abuse and exploitation: Child-Specific Rights Floor</w:t>
      </w:r>
    </w:p>
    <w:p>
      <w:pPr>
        <w:pStyle w:val="Normal"/>
        <w:widowControl/>
        <w:spacing w:before="0" w:after="160"/>
        <w:rPr/>
      </w:pPr>
      <w:r>
        <w:rPr/>
        <w:t>Each Party shall maintain and apply measures consistent with child protection from violence, abuse and exploitation, within the scope of this Agreement and subject to the stronger-rights, federalism, competent-authority, security and public-interest safeguards of the Human Rights Framework. The competent authority shall maintain operational safeguards reasonably capable of preventing foreseeable serious harm and shall document material incidents, denials, or restrictions affecting the protected interest. Emergency, security, disciplinary, immigration, or administrative objectives do not authorize torture, cruel or degrading treatment, deliberate deprivation of essential food or water, medical abandonment, or retaliation against a good-faith complainant. Where an immediate threat to life, health, or physical integrity is credibly identified, available protective and medical measures shall be considered without awaiting completion of an unrelated trade or political process.</w:t>
      </w:r>
    </w:p>
    <w:p>
      <w:pPr>
        <w:pStyle w:val="Heading3"/>
        <w:keepNext/>
        <w:widowControl/>
        <w:spacing w:before="180" w:after="60"/>
        <w:rPr/>
      </w:pPr>
      <w:r>
        <w:rPr/>
        <w:t>HR5-098. Child protection from violence, abuse and exploitation: Best Interests and Equal Protection</w:t>
      </w:r>
    </w:p>
    <w:p>
      <w:pPr>
        <w:pStyle w:val="Normal"/>
        <w:widowControl/>
        <w:spacing w:before="0" w:after="160"/>
        <w:rPr/>
      </w:pPr>
      <w:r>
        <w:rPr/>
        <w:t>A Party shall not administer a measure covered by this Agreement in a manner that defeats child protection from violence, abuse and exploitation through prohibited discrimination, arbitrary distinction, retaliation or bad-faith circumvention. Objective and proportionate distinctions pursuing a legitimate public purpose remain permitted. The competent authority shall maintain operational safeguards reasonably capable of preventing foreseeable serious harm and shall document material incidents, denials, or restrictions affecting the protected interest. Emergency, security, disciplinary, immigration, or administrative objectives do not authorize torture, cruel or degrading treatment, deliberate deprivation of essential food or water, medical abandonment, or retaliation against a good-faith complainant.</w:t>
      </w:r>
    </w:p>
    <w:p>
      <w:pPr>
        <w:pStyle w:val="Heading3"/>
        <w:keepNext/>
        <w:widowControl/>
        <w:spacing w:before="180" w:after="60"/>
        <w:rPr/>
      </w:pPr>
      <w:r>
        <w:rPr/>
        <w:t>HR5-099. Child protection from violence, abuse and exploitation: Age-Appropriate Implementation</w:t>
      </w:r>
    </w:p>
    <w:p>
      <w:pPr>
        <w:pStyle w:val="Normal"/>
        <w:widowControl/>
        <w:spacing w:before="0" w:after="160"/>
        <w:rPr/>
      </w:pPr>
      <w:r>
        <w:rPr/>
        <w:t>Each Party shall use reasonable, proportionate and administrable measures to give practical effect to child protection from violence, abuse and exploitation. Implementation may reflect constitutional structure, division of powers and existing institutions, provided that equivalent protection of the covered interest is maintained. The competent authority shall maintain operational safeguards reasonably capable of preventing foreseeable serious harm and shall document material incidents, denials, or restrictions affecting the protected interest. Emergency, security, disciplinary, immigration, or administrative objectives do not authorize torture, cruel or degrading treatment, deliberate deprivation of essential food or water, medical abandonment, or retaliation against a good-faith complainant.</w:t>
      </w:r>
    </w:p>
    <w:p>
      <w:pPr>
        <w:pStyle w:val="Heading3"/>
        <w:keepNext/>
        <w:widowControl/>
        <w:spacing w:before="180" w:after="60"/>
        <w:rPr/>
      </w:pPr>
      <w:r>
        <w:rPr/>
        <w:t>HR5-100. Child recovery, rehabilitation and reintegration: Child-Specific Rights Floor</w:t>
      </w:r>
    </w:p>
    <w:p>
      <w:pPr>
        <w:pStyle w:val="Normal"/>
        <w:widowControl/>
        <w:spacing w:before="0" w:after="160"/>
        <w:rPr/>
      </w:pPr>
      <w:r>
        <w:rPr/>
        <w:t>The Parties affirm the importance of child recovery, rehabilitation and reintegration and shall seek to strengthen it through cooperative, equivalent or phased measures suited to their respective constitutional and institutional systems. The competent authority administering a covered measure shall identify the applicable legal basis and material facts for any significant limitation on this protected interest in a record sufficient for the review available under applicable law. Any limitation shall pursue a legitimate objective, be applied without prohibited discrimination or retaliation, and be no broader or longer than reasonably necessary in the circumstances. A materially affected person or competent representative shall have access, as appropriate under domestic law, to a complaint, reconsideration, review, or other process capable of correcting a material error or unlawful application.</w:t>
      </w:r>
    </w:p>
    <w:p>
      <w:pPr>
        <w:pStyle w:val="Heading3"/>
        <w:keepNext/>
        <w:widowControl/>
        <w:spacing w:before="180" w:after="60"/>
        <w:rPr/>
      </w:pPr>
      <w:r>
        <w:rPr/>
        <w:t>HR5-101. Child adequate-standard-of-living and poverty protection: Child-Specific Rights Floor</w:t>
      </w:r>
    </w:p>
    <w:p>
      <w:pPr>
        <w:pStyle w:val="Normal"/>
        <w:widowControl/>
        <w:spacing w:before="0" w:after="160"/>
        <w:rPr/>
      </w:pPr>
      <w:r>
        <w:rPr/>
        <w:t>A Party may elect to participate in the Optional Module on Child adequate-standard-of-living and poverty protection. A participating Party shall implement the commitments it expressly accepts under that Module in accordance with its constitutional order and competent authorities.</w:t>
      </w:r>
    </w:p>
    <w:p>
      <w:pPr>
        <w:pStyle w:val="Heading3"/>
        <w:keepNext/>
        <w:widowControl/>
        <w:spacing w:before="180" w:after="60"/>
        <w:rPr/>
      </w:pPr>
      <w:r>
        <w:rPr/>
        <w:t>HR5-102. Child adequate-standard-of-living and poverty protection: Best Interests and Equal Protection</w:t>
      </w:r>
    </w:p>
    <w:p>
      <w:pPr>
        <w:pStyle w:val="Normal"/>
        <w:widowControl/>
        <w:spacing w:before="0" w:after="160"/>
        <w:rPr/>
      </w:pPr>
      <w:r>
        <w:rPr/>
        <w:t>Participating Parties should pursue child adequate-standard-of-living and poverty protection through non-discriminatory, rights-respecting and proportionate measures, with appropriate exceptions for legitimate public purposes and the rights and freedoms of others.</w:t>
      </w:r>
    </w:p>
    <w:p>
      <w:pPr>
        <w:pStyle w:val="Heading3"/>
        <w:keepNext/>
        <w:widowControl/>
        <w:spacing w:before="180" w:after="60"/>
        <w:rPr/>
      </w:pPr>
      <w:r>
        <w:rPr/>
        <w:t>HR5-103. Children with disabilities: equality and participation: Child-Specific Rights Floor</w:t>
      </w:r>
    </w:p>
    <w:p>
      <w:pPr>
        <w:pStyle w:val="Normal"/>
        <w:widowControl/>
        <w:spacing w:before="0" w:after="160"/>
        <w:rPr/>
      </w:pPr>
      <w:r>
        <w:rPr/>
        <w:t>The Parties affirm the importance of children with disabilities: equality and participation and shall seek to strengthen it through cooperative, equivalent or phased measures suited to their respective constitutional and institutional systems. The competent authority administering a covered measure shall identify the applicable legal basis and material facts for any significant limitation on this protected interest in a record sufficient for the review available under applicable law. Any limitation shall pursue a legitimate objective, be applied without prohibited discrimination or retaliation, and be no broader or longer than reasonably necessary in the circumstances. A materially affected person or competent representative shall have access, as appropriate under domestic law, to a complaint, reconsideration, review, or other process capable of correcting a material error or unlawful application.</w:t>
      </w:r>
    </w:p>
    <w:p>
      <w:pPr>
        <w:pStyle w:val="Heading3"/>
        <w:keepNext/>
        <w:widowControl/>
        <w:spacing w:before="180" w:after="60"/>
        <w:rPr/>
      </w:pPr>
      <w:r>
        <w:rPr/>
        <w:t>HR5-104. Children with disabilities: equality and participation: Best Interests and Equal Protection</w:t>
      </w:r>
    </w:p>
    <w:p>
      <w:pPr>
        <w:pStyle w:val="Normal"/>
        <w:widowControl/>
        <w:spacing w:before="0" w:after="160"/>
        <w:rPr/>
      </w:pPr>
      <w:r>
        <w:rPr/>
        <w:t>Cooperation concerning children with disabilities: equality and participation should prioritize equal access, accessibility, non-retaliation and protection of persons facing heightened barriers, while permitting functionally equivalent national approaches. The competent authority administering a covered measure shall identify the applicable legal basis and material facts for any significant limitation on this protected interest in a record sufficient for the review available under applicable law. Any limitation shall pursue a legitimate objective, be applied without prohibited discrimination or retaliation, and be no broader or longer than reasonably necessary in the circumstances. A materially affected person or competent representative shall have access, as appropriate under domestic law, to a complaint, reconsideration, review, or other process capable of correcting a material error or unlawful application.</w:t>
      </w:r>
    </w:p>
    <w:p>
      <w:pPr>
        <w:pStyle w:val="Heading3"/>
        <w:keepNext/>
        <w:widowControl/>
        <w:spacing w:before="180" w:after="60"/>
        <w:rPr/>
      </w:pPr>
      <w:r>
        <w:rPr/>
        <w:t>HR5-105. Refugee, asylum-seeking and migrant child protection: Child-Specific Rights Floor</w:t>
      </w:r>
    </w:p>
    <w:p>
      <w:pPr>
        <w:pStyle w:val="Normal"/>
        <w:widowControl/>
        <w:spacing w:before="0" w:after="160"/>
        <w:rPr/>
      </w:pPr>
      <w:r>
        <w:rPr/>
        <w:t>Each Party shall maintain and apply measures consistent with refugee, asylum-seeking and migrant child protection, within the scope of this Agreement and subject to the stronger-rights, federalism, competent-authority, security and public-interest safeguards of the Human Rights Framework. The competent authority administering a covered measure shall identify the applicable legal basis and material facts for any significant limitation on this protected interest in a record sufficient for the review available under applicable law. Any limitation shall pursue a legitimate objective, be applied without prohibited discrimination or retaliation, and be no broader or longer than reasonably necessary in the circumstances. A materially affected person or competent representative shall have access, as appropriate under domestic law, to a complaint, reconsideration, review, or other process capable of correcting a material error or unlawful application.</w:t>
      </w:r>
    </w:p>
    <w:p>
      <w:pPr>
        <w:pStyle w:val="Heading3"/>
        <w:keepNext/>
        <w:widowControl/>
        <w:spacing w:before="180" w:after="60"/>
        <w:rPr/>
      </w:pPr>
      <w:r>
        <w:rPr/>
        <w:t>HR5-106. Refugee, asylum-seeking and migrant child protection: Best Interests and Equal Protection</w:t>
      </w:r>
    </w:p>
    <w:p>
      <w:pPr>
        <w:pStyle w:val="Normal"/>
        <w:widowControl/>
        <w:spacing w:before="0" w:after="160"/>
        <w:rPr/>
      </w:pPr>
      <w:r>
        <w:rPr/>
        <w:t>A Party shall not administer a measure covered by this Agreement in a manner that defeats refugee, asylum-seeking and migrant child protection through prohibited discrimination, arbitrary distinction, retaliation or bad-faith circumvention. Objective and proportionate distinctions pursuing a legitimate public purpose remain permitted. The competent authority administering a covered measure shall identify the applicable legal basis and material facts for any significant limitation on this protected interest in a record sufficient for the review available under applicable law. Any limitation shall pursue a legitimate objective, be applied without prohibited discrimination or retaliation, and be no broader or longer than reasonably necessary in the circumstances.</w:t>
      </w:r>
    </w:p>
    <w:p>
      <w:pPr>
        <w:pStyle w:val="Heading3"/>
        <w:keepNext/>
        <w:widowControl/>
        <w:spacing w:before="180" w:after="60"/>
        <w:rPr/>
      </w:pPr>
      <w:r>
        <w:rPr/>
        <w:t>HR5-107. Juvenile justice dignity, age-sensitive treatment and reintegration: Child-Specific Rights Floor</w:t>
      </w:r>
    </w:p>
    <w:p>
      <w:pPr>
        <w:pStyle w:val="Normal"/>
        <w:widowControl/>
        <w:spacing w:before="0" w:after="160"/>
        <w:rPr/>
      </w:pPr>
      <w:r>
        <w:rPr/>
        <w:t>Each Party shall maintain and apply measures consistent with juvenile justice dignity, age-sensitive treatment and reintegration, within the scope of this Agreement and subject to the stronger-rights, federalism, competent-authority, security and public-interest safeguards of the Human Rights Framework. The competent authority administering a covered measure shall identify the applicable legal basis and material facts for any significant limitation on this protected interest in a record sufficient for the review available under applicable law. Any limitation shall pursue a legitimate objective, be applied without prohibited discrimination or retaliation, and be no broader or longer than reasonably necessary in the circumstances. A materially affected person or competent representative shall have access, as appropriate under domestic law, to a complaint, reconsideration, review, or other process capable of correcting a material error or unlawful application.</w:t>
      </w:r>
    </w:p>
    <w:p>
      <w:pPr>
        <w:pStyle w:val="Heading3"/>
        <w:keepNext/>
        <w:widowControl/>
        <w:spacing w:before="180" w:after="60"/>
        <w:rPr/>
      </w:pPr>
      <w:r>
        <w:rPr/>
        <w:t>HR5-108. Juvenile justice dignity, age-sensitive treatment and reintegration: Best Interests and Equal Protection</w:t>
      </w:r>
    </w:p>
    <w:p>
      <w:pPr>
        <w:pStyle w:val="Normal"/>
        <w:widowControl/>
        <w:spacing w:before="0" w:after="160"/>
        <w:rPr/>
      </w:pPr>
      <w:r>
        <w:rPr/>
        <w:t>A Party shall not administer a measure covered by this Agreement in a manner that defeats juvenile justice dignity, age-sensitive treatment and reintegration through prohibited discrimination, arbitrary distinction, retaliation or bad-faith circumvention. Objective and proportionate distinctions pursuing a legitimate public purpose remain permitted. The competent authority administering a covered measure shall identify the applicable legal basis and material facts for any significant limitation on this protected interest in a record sufficient for the review available under applicable law. Any limitation shall pursue a legitimate objective, be applied without prohibited discrimination or retaliation, and be no broader or longer than reasonably necessary in the circumstances.</w:t>
      </w:r>
    </w:p>
    <w:p>
      <w:pPr>
        <w:pStyle w:val="Heading3"/>
        <w:keepNext/>
        <w:widowControl/>
        <w:spacing w:before="180" w:after="60"/>
        <w:rPr/>
      </w:pPr>
      <w:r>
        <w:rPr/>
        <w:t>HR5-109. Foster-child best interests and equal rights: Alternative-Care Rights Floor</w:t>
      </w:r>
    </w:p>
    <w:p>
      <w:pPr>
        <w:pStyle w:val="Normal"/>
        <w:widowControl/>
        <w:spacing w:before="0" w:after="160"/>
        <w:rPr/>
      </w:pPr>
      <w:r>
        <w:rPr/>
        <w:t>Each Party shall maintain and apply measures consistent with foster-child best interests and equal rights, within the scope of this Agreement and subject to the stronger-rights, federalism, competent-authority, security and public-interest safeguards of the Human Rights Framework. The competent authority administering a covered measure shall identify the applicable legal basis and material facts for any significant limitation on this protected interest in a record sufficient for the review available under applicable law. Any limitation shall pursue a legitimate objective, be applied without prohibited discrimination or retaliation, and be no broader or longer than reasonably necessary in the circumstances. A materially affected person or competent representative shall have access, as appropriate under domestic law, to a complaint, reconsideration, review, or other process capable of correcting a material error or unlawful application.</w:t>
      </w:r>
    </w:p>
    <w:p>
      <w:pPr>
        <w:pStyle w:val="Heading3"/>
        <w:keepNext/>
        <w:widowControl/>
        <w:spacing w:before="180" w:after="60"/>
        <w:rPr/>
      </w:pPr>
      <w:r>
        <w:rPr/>
        <w:t>HR5-110. Foster-child best interests and equal rights: Continuity and Best Interests</w:t>
      </w:r>
    </w:p>
    <w:p>
      <w:pPr>
        <w:pStyle w:val="Normal"/>
        <w:widowControl/>
        <w:spacing w:before="0" w:after="160"/>
        <w:rPr/>
      </w:pPr>
      <w:r>
        <w:rPr/>
        <w:t>A Party shall not administer a measure covered by this Agreement in a manner that defeats foster-child best interests and equal rights through prohibited discrimination, arbitrary distinction, retaliation or bad-faith circumvention. Objective and proportionate distinctions pursuing a legitimate public purpose remain permitted. The competent authority administering a covered measure shall identify the applicable legal basis and material facts for any significant limitation on this protected interest in a record sufficient for the review available under applicable law. Any limitation shall pursue a legitimate objective, be applied without prohibited discrimination or retaliation, and be no broader or longer than reasonably necessary in the circumstances.</w:t>
      </w:r>
    </w:p>
    <w:p>
      <w:pPr>
        <w:pStyle w:val="Heading3"/>
        <w:keepNext/>
        <w:widowControl/>
        <w:spacing w:before="180" w:after="60"/>
        <w:rPr/>
      </w:pPr>
      <w:r>
        <w:rPr/>
        <w:t>HR5-111. Family preservation, kinship placement and sibling continuity: Alternative-Care Rights Floor</w:t>
      </w:r>
    </w:p>
    <w:p>
      <w:pPr>
        <w:pStyle w:val="Normal"/>
        <w:widowControl/>
        <w:spacing w:before="0" w:after="160"/>
        <w:rPr/>
      </w:pPr>
      <w:r>
        <w:rPr/>
        <w:t>Each Party shall maintain and apply measures consistent with family preservation, kinship placement and sibling continuity, within the scope of this Agreement and subject to the stronger-rights, federalism, competent-authority, security and public-interest safeguards of the Human Rights Framework. The competent authority administering a covered measure shall identify the applicable legal basis and material facts for any significant limitation on this protected interest in a record sufficient for the review available under applicable law. Any limitation shall pursue a legitimate objective, be applied without prohibited discrimination or retaliation, and be no broader or longer than reasonably necessary in the circumstances. A materially affected person or competent representative shall have access, as appropriate under domestic law, to a complaint, reconsideration, review, or other process capable of correcting a material error or unlawful application.</w:t>
      </w:r>
    </w:p>
    <w:p>
      <w:pPr>
        <w:pStyle w:val="Heading3"/>
        <w:keepNext/>
        <w:widowControl/>
        <w:spacing w:before="180" w:after="60"/>
        <w:rPr/>
      </w:pPr>
      <w:r>
        <w:rPr/>
        <w:t>HR5-112. Family preservation, kinship placement and sibling continuity: Continuity and Best Interests</w:t>
      </w:r>
    </w:p>
    <w:p>
      <w:pPr>
        <w:pStyle w:val="Normal"/>
        <w:widowControl/>
        <w:spacing w:before="0" w:after="160"/>
        <w:rPr/>
      </w:pPr>
      <w:r>
        <w:rPr/>
        <w:t>A Party shall not administer a measure covered by this Agreement in a manner that defeats family preservation, kinship placement and sibling continuity through prohibited discrimination, arbitrary distinction, retaliation or bad-faith circumvention. Objective and proportionate distinctions pursuing a legitimate public purpose remain permitted. The competent authority administering a covered measure shall identify the applicable legal basis and material facts for any significant limitation on this protected interest in a record sufficient for the review available under applicable law. Any limitation shall pursue a legitimate objective, be applied without prohibited discrimination or retaliation, and be no broader or longer than reasonably necessary in the circumstances.</w:t>
      </w:r>
    </w:p>
    <w:p>
      <w:pPr>
        <w:pStyle w:val="Heading3"/>
        <w:keepNext/>
        <w:widowControl/>
        <w:spacing w:before="180" w:after="60"/>
        <w:rPr/>
      </w:pPr>
      <w:r>
        <w:rPr/>
        <w:t>HR5-113. Family preservation, kinship placement and sibling continuity: Child Voice and Case Safeguards</w:t>
      </w:r>
    </w:p>
    <w:p>
      <w:pPr>
        <w:pStyle w:val="Normal"/>
        <w:widowControl/>
        <w:spacing w:before="0" w:after="160"/>
        <w:rPr/>
      </w:pPr>
      <w:r>
        <w:rPr/>
        <w:t>Each Party shall use reasonable, proportionate and administrable measures to give practical effect to family preservation, kinship placement and sibling continuity. Implementation may reflect constitutional structure, division of powers and existing institutions, provided that equivalent protection of the covered interest is maintained. The competent authority administering a covered measure shall identify the applicable legal basis and material facts for any significant limitation on this protected interest in a record sufficient for the review available under applicable law. Any limitation shall pursue a legitimate objective, be applied without prohibited discrimination or retaliation, and be no broader or longer than reasonably necessary in the circumstances.</w:t>
      </w:r>
    </w:p>
    <w:p>
      <w:pPr>
        <w:pStyle w:val="Heading3"/>
        <w:keepNext/>
        <w:widowControl/>
        <w:spacing w:before="180" w:after="60"/>
        <w:rPr/>
      </w:pPr>
      <w:r>
        <w:rPr/>
        <w:t>HR5-114. Placement stability and least-disruptive care: Alternative-Care Rights Floor</w:t>
      </w:r>
    </w:p>
    <w:p>
      <w:pPr>
        <w:pStyle w:val="Normal"/>
        <w:widowControl/>
        <w:spacing w:before="0" w:after="160"/>
        <w:rPr/>
      </w:pPr>
      <w:r>
        <w:rPr/>
        <w:t>Where a covered cross-border, procurement, mobility or service-continuity measure materially affects a child in alternative care, the Parties should minimize avoidable disruption to safe placement, schooling, healthcare, sibling contact and essential records. The competent authority administering a covered measure shall identify the applicable legal basis and material facts for any significant limitation on this protected interest in a record sufficient for the review available under applicable law. Any limitation shall pursue a legitimate objective, be applied without prohibited discrimination or retaliation, and be no broader or longer than reasonably necessary in the circumstances. A materially affected person or competent representative shall have access, as appropriate under domestic law, to a complaint, reconsideration, review, or other process capable of correcting a material error or unlawful application.</w:t>
      </w:r>
    </w:p>
    <w:p>
      <w:pPr>
        <w:pStyle w:val="Heading3"/>
        <w:keepNext/>
        <w:widowControl/>
        <w:spacing w:before="180" w:after="60"/>
        <w:rPr/>
      </w:pPr>
      <w:r>
        <w:rPr/>
        <w:t>HR5-115. Placement stability and least-disruptive care: Continuity and Best Interests</w:t>
      </w:r>
    </w:p>
    <w:p>
      <w:pPr>
        <w:pStyle w:val="Normal"/>
        <w:widowControl/>
        <w:spacing w:before="0" w:after="160"/>
        <w:rPr/>
      </w:pPr>
      <w:r>
        <w:rPr/>
        <w:t>Cooperation concerning placement stability and least-disruptive care should prioritize equal access, accessibility, non-retaliation and protection of persons facing heightened barriers, while permitting functionally equivalent national approaches. The competent authority administering a covered measure shall identify the applicable legal basis and material facts for any significant limitation on this protected interest in a record sufficient for the review available under applicable law. Any limitation shall pursue a legitimate objective, be applied without prohibited discrimination or retaliation, and be no broader or longer than reasonably necessary in the circumstances. A materially affected person or competent representative shall have access, as appropriate under domestic law, to a complaint, reconsideration, review, or other process capable of correcting a material error or unlawful application.</w:t>
      </w:r>
    </w:p>
    <w:p>
      <w:pPr>
        <w:pStyle w:val="Heading3"/>
        <w:keepNext/>
        <w:widowControl/>
        <w:spacing w:before="180" w:after="60"/>
        <w:rPr/>
      </w:pPr>
      <w:r>
        <w:rPr/>
        <w:t>HR5-116. Foster-child education continuity and records: Alternative-Care Rights Floor</w:t>
      </w:r>
    </w:p>
    <w:p>
      <w:pPr>
        <w:pStyle w:val="Normal"/>
        <w:widowControl/>
        <w:spacing w:before="0" w:after="160"/>
        <w:rPr/>
      </w:pPr>
      <w:r>
        <w:rPr/>
        <w:t>The Parties affirm the importance of foster-child education continuity and records and shall seek to strengthen it through cooperative, equivalent or phased measures suited to their respective constitutional and institutional systems. The competent authority administering a covered measure shall identify the applicable legal basis and material facts for any significant limitation on this protected interest in a record sufficient for the review available under applicable law. Any limitation shall pursue a legitimate objective, be applied without prohibited discrimination or retaliation, and be no broader or longer than reasonably necessary in the circumstances. A materially affected person or competent representative shall have access, as appropriate under domestic law, to a complaint, reconsideration, review, or other process capable of correcting a material error or unlawful application.</w:t>
      </w:r>
    </w:p>
    <w:p>
      <w:pPr>
        <w:pStyle w:val="Heading3"/>
        <w:keepNext/>
        <w:widowControl/>
        <w:spacing w:before="180" w:after="60"/>
        <w:rPr/>
      </w:pPr>
      <w:r>
        <w:rPr/>
        <w:t>HR5-117. Foster-child education continuity and records: Continuity and Best Interests</w:t>
      </w:r>
    </w:p>
    <w:p>
      <w:pPr>
        <w:pStyle w:val="Normal"/>
        <w:widowControl/>
        <w:spacing w:before="0" w:after="160"/>
        <w:rPr/>
      </w:pPr>
      <w:r>
        <w:rPr/>
        <w:t>Cooperation concerning foster-child education continuity and records should prioritize equal access, accessibility, non-retaliation and protection of persons facing heightened barriers, while permitting functionally equivalent national approaches. The competent authority administering a covered measure shall identify the applicable legal basis and material facts for any significant limitation on this protected interest in a record sufficient for the review available under applicable law. Any limitation shall pursue a legitimate objective, be applied without prohibited discrimination or retaliation, and be no broader or longer than reasonably necessary in the circumstances. A materially affected person or competent representative shall have access, as appropriate under domestic law, to a complaint, reconsideration, review, or other process capable of correcting a material error or unlawful application.</w:t>
      </w:r>
    </w:p>
    <w:p>
      <w:pPr>
        <w:pStyle w:val="Heading3"/>
        <w:keepNext/>
        <w:widowControl/>
        <w:spacing w:before="180" w:after="60"/>
        <w:rPr/>
      </w:pPr>
      <w:r>
        <w:rPr/>
        <w:t>HR5-118. Foster-child healthcare continuity and consent: Alternative-Care Rights Floor</w:t>
      </w:r>
    </w:p>
    <w:p>
      <w:pPr>
        <w:pStyle w:val="Normal"/>
        <w:widowControl/>
        <w:spacing w:before="0" w:after="160"/>
        <w:rPr/>
      </w:pPr>
      <w:r>
        <w:rPr/>
        <w:t>The Parties affirm the importance of foster-child healthcare continuity and consent and shall seek to strengthen it through cooperative, equivalent or phased measures suited to their respective constitutional and institutional systems. The competent authority shall maintain operational safeguards reasonably capable of preventing foreseeable serious harm and shall document material incidents, denials, or restrictions affecting the protected interest. Emergency, security, disciplinary, immigration, or administrative objectives do not authorize torture, cruel or degrading treatment, deliberate deprivation of essential food or water, medical abandonment, or retaliation against a good-faith complainant. Where an immediate threat to life, health, or physical integrity is credibly identified, available protective and medical measures shall be considered without awaiting completion of an unrelated trade or political process.</w:t>
      </w:r>
    </w:p>
    <w:p>
      <w:pPr>
        <w:pStyle w:val="Heading3"/>
        <w:keepNext/>
        <w:widowControl/>
        <w:spacing w:before="180" w:after="60"/>
        <w:rPr/>
      </w:pPr>
      <w:r>
        <w:rPr/>
        <w:t>HR5-119. Foster-child healthcare continuity and consent: Continuity and Best Interests</w:t>
      </w:r>
    </w:p>
    <w:p>
      <w:pPr>
        <w:pStyle w:val="Normal"/>
        <w:widowControl/>
        <w:spacing w:before="0" w:after="160"/>
        <w:rPr/>
      </w:pPr>
      <w:r>
        <w:rPr/>
        <w:t>Cooperation concerning foster-child healthcare continuity and consent should prioritize equal access, accessibility, non-retaliation and protection of persons facing heightened barriers, while permitting functionally equivalent national approaches. The competent authority shall maintain operational safeguards reasonably capable of preventing foreseeable serious harm and shall document material incidents, denials, or restrictions affecting the protected interest. Emergency, security, disciplinary, immigration, or administrative objectives do not authorize torture, cruel or degrading treatment, deliberate deprivation of essential food or water, medical abandonment, or retaliation against a good-faith complainant. Where an immediate threat to life, health, or physical integrity is credibly identified, available protective and medical measures shall be considered without awaiting completion of an unrelated trade or political process.</w:t>
      </w:r>
    </w:p>
    <w:p>
      <w:pPr>
        <w:pStyle w:val="Heading3"/>
        <w:keepNext/>
        <w:widowControl/>
        <w:spacing w:before="180" w:after="60"/>
        <w:rPr/>
      </w:pPr>
      <w:r>
        <w:rPr/>
        <w:t>HR5-120. Foster-child safety and protection from abuse: Alternative-Care Rights Floor</w:t>
      </w:r>
    </w:p>
    <w:p>
      <w:pPr>
        <w:pStyle w:val="Normal"/>
        <w:widowControl/>
        <w:spacing w:before="0" w:after="160"/>
        <w:rPr/>
      </w:pPr>
      <w:r>
        <w:rPr/>
        <w:t>Each Party shall maintain and apply measures consistent with foster-child safety and protection from abuse, within the scope of this Agreement and subject to the stronger-rights, federalism, competent-authority, security and public-interest safeguards of the Human Rights Framework. The competent authority administering a covered measure shall identify the applicable legal basis and material facts for any significant limitation on this protected interest in a record sufficient for the review available under applicable law. Any limitation shall pursue a legitimate objective, be applied without prohibited discrimination or retaliation, and be no broader or longer than reasonably necessary in the circumstances. A materially affected person or competent representative shall have access, as appropriate under domestic law, to a complaint, reconsideration, review, or other process capable of correcting a material error or unlawful application.</w:t>
      </w:r>
    </w:p>
    <w:p>
      <w:pPr>
        <w:pStyle w:val="Heading3"/>
        <w:keepNext/>
        <w:widowControl/>
        <w:spacing w:before="180" w:after="60"/>
        <w:rPr/>
      </w:pPr>
      <w:r>
        <w:rPr/>
        <w:t>HR5-121. Foster-child safety and protection from abuse: Continuity and Best Interests</w:t>
      </w:r>
    </w:p>
    <w:p>
      <w:pPr>
        <w:pStyle w:val="Normal"/>
        <w:widowControl/>
        <w:spacing w:before="0" w:after="160"/>
        <w:rPr/>
      </w:pPr>
      <w:r>
        <w:rPr/>
        <w:t>A Party shall not administer a measure covered by this Agreement in a manner that defeats foster-child safety and protection from abuse through prohibited discrimination, arbitrary distinction, retaliation or bad-faith circumvention. Objective and proportionate distinctions pursuing a legitimate public purpose remain permitted. The competent authority administering a covered measure shall identify the applicable legal basis and material facts for any significant limitation on this protected interest in a record sufficient for the review available under applicable law. Any limitation shall pursue a legitimate objective, be applied without prohibited discrimination or retaliation, and be no broader or longer than reasonably necessary in the circumstances.</w:t>
      </w:r>
    </w:p>
    <w:p>
      <w:pPr>
        <w:pStyle w:val="Heading3"/>
        <w:keepNext/>
        <w:widowControl/>
        <w:spacing w:before="180" w:after="60"/>
        <w:rPr/>
      </w:pPr>
      <w:r>
        <w:rPr/>
        <w:t>HR5-122. Foster-child safety and protection from abuse: Child Voice and Case Safeguards</w:t>
      </w:r>
    </w:p>
    <w:p>
      <w:pPr>
        <w:pStyle w:val="Normal"/>
        <w:widowControl/>
        <w:spacing w:before="0" w:after="160"/>
        <w:rPr/>
      </w:pPr>
      <w:r>
        <w:rPr/>
        <w:t>Each Party shall use reasonable, proportionate and administrable measures to give practical effect to foster-child safety and protection from abuse. Implementation may reflect constitutional structure, division of powers and existing institutions, provided that equivalent protection of the covered interest is maintained. The competent authority administering a covered measure shall identify the applicable legal basis and material facts for any significant limitation on this protected interest in a record sufficient for the review available under applicable law. Any limitation shall pursue a legitimate objective, be applied without prohibited discrimination or retaliation, and be no broader or longer than reasonably necessary in the circumstances.</w:t>
      </w:r>
    </w:p>
    <w:p>
      <w:pPr>
        <w:pStyle w:val="Heading3"/>
        <w:keepNext/>
        <w:widowControl/>
        <w:spacing w:before="180" w:after="60"/>
        <w:rPr/>
      </w:pPr>
      <w:r>
        <w:rPr/>
        <w:t>HR5-123. Foster-child identity, records and confidentiality: Alternative-Care Rights Floor</w:t>
      </w:r>
    </w:p>
    <w:p>
      <w:pPr>
        <w:pStyle w:val="Normal"/>
        <w:widowControl/>
        <w:spacing w:before="0" w:after="160"/>
        <w:rPr/>
      </w:pPr>
      <w:r>
        <w:rPr/>
        <w:t>Each Party shall maintain and apply measures consistent with foster-child identity, records and confidentiality, within the scope of this Agreement and subject to the stronger-rights, federalism, competent-authority, security and public-interest safeguards of the Human Rights Framework. The competent authority administering a covered measure shall identify the applicable legal basis and material facts for any significant limitation on this protected interest in a record sufficient for the review available under applicable law. Any limitation shall pursue a legitimate objective, be applied without prohibited discrimination or retaliation, and be no broader or longer than reasonably necessary in the circumstances. A materially affected person or competent representative shall have access, as appropriate under domestic law, to a complaint, reconsideration, review, or other process capable of correcting a material error or unlawful application.</w:t>
      </w:r>
    </w:p>
    <w:p>
      <w:pPr>
        <w:pStyle w:val="Heading3"/>
        <w:keepNext/>
        <w:widowControl/>
        <w:spacing w:before="180" w:after="60"/>
        <w:rPr/>
      </w:pPr>
      <w:r>
        <w:rPr/>
        <w:t>HR5-124. Foster-child identity, records and confidentiality: Continuity and Best Interests</w:t>
      </w:r>
    </w:p>
    <w:p>
      <w:pPr>
        <w:pStyle w:val="Normal"/>
        <w:widowControl/>
        <w:spacing w:before="0" w:after="160"/>
        <w:rPr/>
      </w:pPr>
      <w:r>
        <w:rPr/>
        <w:t>A Party shall not administer a measure covered by this Agreement in a manner that defeats foster-child identity, records and confidentiality through prohibited discrimination, arbitrary distinction, retaliation or bad-faith circumvention. Objective and proportionate distinctions pursuing a legitimate public purpose remain permitted. The competent authority administering a covered measure shall identify the applicable legal basis and material facts for any significant limitation on this protected interest in a record sufficient for the review available under applicable law. Any limitation shall pursue a legitimate objective, be applied without prohibited discrimination or retaliation, and be no broader or longer than reasonably necessary in the circumstances.</w:t>
      </w:r>
    </w:p>
    <w:p>
      <w:pPr>
        <w:pStyle w:val="Heading3"/>
        <w:keepNext/>
        <w:widowControl/>
        <w:spacing w:before="180" w:after="60"/>
        <w:rPr/>
      </w:pPr>
      <w:r>
        <w:rPr/>
        <w:t>HR5-125. Foster-child identity, records and confidentiality: Child Voice and Case Safeguards</w:t>
      </w:r>
    </w:p>
    <w:p>
      <w:pPr>
        <w:pStyle w:val="Normal"/>
        <w:widowControl/>
        <w:spacing w:before="0" w:after="160"/>
        <w:rPr/>
      </w:pPr>
      <w:r>
        <w:rPr/>
        <w:t>Each Party shall use reasonable, proportionate and administrable measures to give practical effect to foster-child identity, records and confidentiality. Implementation may reflect constitutional structure, division of powers and existing institutions, provided that equivalent protection of the covered interest is maintained. The competent authority administering a covered measure shall identify the applicable legal basis and material facts for any significant limitation on this protected interest in a record sufficient for the review available under applicable law. Any limitation shall pursue a legitimate objective, be applied without prohibited discrimination or retaliation, and be no broader or longer than reasonably necessary in the circumstances.</w:t>
      </w:r>
    </w:p>
    <w:p>
      <w:pPr>
        <w:pStyle w:val="Heading3"/>
        <w:keepNext/>
        <w:widowControl/>
        <w:spacing w:before="180" w:after="60"/>
        <w:rPr/>
      </w:pPr>
      <w:r>
        <w:rPr/>
        <w:t>HR5-126. Foster-child participation in case planning and court: Alternative-Care Rights Floor</w:t>
      </w:r>
    </w:p>
    <w:p>
      <w:pPr>
        <w:pStyle w:val="Normal"/>
        <w:widowControl/>
        <w:spacing w:before="0" w:after="160"/>
        <w:rPr/>
      </w:pPr>
      <w:r>
        <w:rPr/>
        <w:t>Each Party shall maintain and apply measures consistent with foster-child participation in case planning and court, within the scope of this Agreement and subject to the stronger-rights, federalism, competent-authority, security and public-interest safeguards of the Human Rights Framework. The competent authority administering a covered measure shall identify the applicable legal basis and material facts for any significant limitation on this protected interest in a record sufficient for the review available under applicable law. Any limitation shall pursue a legitimate objective, be applied without prohibited discrimination or retaliation, and be no broader or longer than reasonably necessary in the circumstances. A materially affected person or competent representative shall have access, as appropriate under domestic law, to a complaint, reconsideration, review, or other process capable of correcting a material error or unlawful application.</w:t>
      </w:r>
    </w:p>
    <w:p>
      <w:pPr>
        <w:pStyle w:val="Heading3"/>
        <w:keepNext/>
        <w:widowControl/>
        <w:spacing w:before="180" w:after="60"/>
        <w:rPr/>
      </w:pPr>
      <w:r>
        <w:rPr/>
        <w:t>HR5-127. Foster-child participation in case planning and court: Continuity and Best Interests</w:t>
      </w:r>
    </w:p>
    <w:p>
      <w:pPr>
        <w:pStyle w:val="Normal"/>
        <w:widowControl/>
        <w:spacing w:before="0" w:after="160"/>
        <w:rPr/>
      </w:pPr>
      <w:r>
        <w:rPr/>
        <w:t>A Party shall not administer a measure covered by this Agreement in a manner that defeats foster-child participation in case planning and court through prohibited discrimination, arbitrary distinction, retaliation or bad-faith circumvention. Objective and proportionate distinctions pursuing a legitimate public purpose remain permitted. The competent authority administering a covered measure shall identify the applicable legal basis and material facts for any significant limitation on this protected interest in a record sufficient for the review available under applicable law. Any limitation shall pursue a legitimate objective, be applied without prohibited discrimination or retaliation, and be no broader or longer than reasonably necessary in the circumstances.</w:t>
      </w:r>
    </w:p>
    <w:p>
      <w:pPr>
        <w:pStyle w:val="Heading3"/>
        <w:keepNext/>
        <w:widowControl/>
        <w:spacing w:before="180" w:after="60"/>
        <w:rPr/>
      </w:pPr>
      <w:r>
        <w:rPr/>
        <w:t>HR5-128. Foster-child participation in case planning and court: Child Voice and Case Safeguards</w:t>
      </w:r>
    </w:p>
    <w:p>
      <w:pPr>
        <w:pStyle w:val="Normal"/>
        <w:widowControl/>
        <w:spacing w:before="0" w:after="160"/>
        <w:rPr/>
      </w:pPr>
      <w:r>
        <w:rPr/>
        <w:t>Each Party shall use reasonable, proportionate and administrable measures to give practical effect to foster-child participation in case planning and court. Implementation may reflect constitutional structure, division of powers and existing institutions, provided that equivalent protection of the covered interest is maintained. The competent authority administering a covered measure shall identify the applicable legal basis and material facts for any significant limitation on this protected interest in a record sufficient for the review available under applicable law. Any limitation shall pursue a legitimate objective, be applied without prohibited discrimination or retaliation, and be no broader or longer than reasonably necessary in the circumstances.</w:t>
      </w:r>
    </w:p>
    <w:p>
      <w:pPr>
        <w:pStyle w:val="Heading3"/>
        <w:keepNext/>
        <w:widowControl/>
        <w:spacing w:before="180" w:after="60"/>
        <w:rPr/>
      </w:pPr>
      <w:r>
        <w:rPr/>
        <w:t>HR5-129. Transition to adulthood, housing, education and employment: Alternative-Care Rights Floor</w:t>
      </w:r>
    </w:p>
    <w:p>
      <w:pPr>
        <w:pStyle w:val="Normal"/>
        <w:widowControl/>
        <w:spacing w:before="0" w:after="160"/>
        <w:rPr/>
      </w:pPr>
      <w:r>
        <w:rPr/>
        <w:t>The Parties affirm the importance of transition to adulthood, housing, education and employment and shall seek to strengthen it through cooperative, equivalent or phased measures suited to their respective constitutional and institutional systems. The competent authority shall maintain operational safeguards reasonably capable of preventing foreseeable serious harm and shall document material incidents, denials, or restrictions affecting the protected interest. Emergency, security, disciplinary, immigration, or administrative objectives do not authorize torture, cruel or degrading treatment, deliberate deprivation of essential food or water, medical abandonment, or retaliation against a good-faith complainant. Where an immediate threat to life, health, or physical integrity is credibly identified, available protective and medical measures shall be considered without awaiting completion of an unrelated trade or political process.</w:t>
      </w:r>
    </w:p>
    <w:p>
      <w:pPr>
        <w:pStyle w:val="Heading3"/>
        <w:keepNext/>
        <w:widowControl/>
        <w:spacing w:before="180" w:after="60"/>
        <w:rPr/>
      </w:pPr>
      <w:r>
        <w:rPr/>
        <w:t>HR5-130. Transition to adulthood, housing, education and employment: Continuity and Best Interests</w:t>
      </w:r>
    </w:p>
    <w:p>
      <w:pPr>
        <w:pStyle w:val="Normal"/>
        <w:widowControl/>
        <w:spacing w:before="0" w:after="160"/>
        <w:rPr/>
      </w:pPr>
      <w:r>
        <w:rPr/>
        <w:t>Cooperation concerning transition to adulthood, housing, education and employment should prioritize equal access, accessibility, non-retaliation and protection of persons facing heightened barriers, while permitting functionally equivalent national approaches. The competent authority shall maintain operational safeguards reasonably capable of preventing foreseeable serious harm and shall document material incidents, denials, or restrictions affecting the protected interest. Emergency, security, disciplinary, immigration, or administrative objectives do not authorize torture, cruel or degrading treatment, deliberate deprivation of essential food or water, medical abandonment, or retaliation against a good-faith complainant. Where an immediate threat to life, health, or physical integrity is credibly identified, available protective and medical measures shall be considered without awaiting completion of an unrelated trade or political process.</w:t>
      </w:r>
    </w:p>
    <w:p>
      <w:pPr>
        <w:pStyle w:val="Heading3"/>
        <w:keepNext/>
        <w:widowControl/>
        <w:spacing w:before="180" w:after="60"/>
        <w:rPr/>
      </w:pPr>
      <w:r>
        <w:rPr/>
        <w:t>HR5-131. Transition to adulthood, housing, education and employment: Child Voice and Case Safeguards</w:t>
      </w:r>
    </w:p>
    <w:p>
      <w:pPr>
        <w:pStyle w:val="Normal"/>
        <w:widowControl/>
        <w:spacing w:before="0" w:after="160"/>
        <w:rPr/>
      </w:pPr>
      <w:r>
        <w:rPr/>
        <w:t>A Party may implement this mechanism through pilots, mutual learning, capacity-building, recognition of equivalent safeguards or staged implementation. No particular administrative model is required where the substantive objective is reasonably achieved. The competent authority shall maintain operational safeguards reasonably capable of preventing foreseeable serious harm and shall document material incidents, denials, or restrictions affecting the protected interest. Emergency, security, disciplinary, immigration, or administrative objectives do not authorize torture, cruel or degrading treatment, deliberate deprivation of essential food or water, medical abandonment, or retaliation against a good-faith complainant.</w:t>
      </w:r>
    </w:p>
    <w:p>
      <w:pPr>
        <w:pStyle w:val="Heading3"/>
        <w:keepNext/>
        <w:widowControl/>
        <w:spacing w:before="180" w:after="60"/>
        <w:rPr/>
      </w:pPr>
      <w:r>
        <w:rPr/>
        <w:t>HR5-132. Case management, visitation and service continuity: Alternative-Care Rights Floor</w:t>
      </w:r>
    </w:p>
    <w:p>
      <w:pPr>
        <w:pStyle w:val="Normal"/>
        <w:widowControl/>
        <w:spacing w:before="0" w:after="160"/>
        <w:rPr/>
      </w:pPr>
      <w:r>
        <w:rPr/>
        <w:t>The Parties affirm the importance of case management, visitation and service continuity and shall seek to strengthen it through cooperative, equivalent or phased measures suited to their respective constitutional and institutional systems. The competent authority administering a covered measure shall identify the applicable legal basis and material facts for any significant limitation on this protected interest in a record sufficient for the review available under applicable law. Any limitation shall pursue a legitimate objective, be applied without prohibited discrimination or retaliation, and be no broader or longer than reasonably necessary in the circumstances. A materially affected person or competent representative shall have access, as appropriate under domestic law, to a complaint, reconsideration, review, or other process capable of correcting a material error or unlawful application.</w:t>
      </w:r>
    </w:p>
    <w:p>
      <w:pPr>
        <w:pStyle w:val="Heading3"/>
        <w:keepNext/>
        <w:widowControl/>
        <w:spacing w:before="180" w:after="60"/>
        <w:rPr/>
      </w:pPr>
      <w:r>
        <w:rPr/>
        <w:t>HR5-133. Case management, visitation and service continuity: Continuity and Best Interests</w:t>
      </w:r>
    </w:p>
    <w:p>
      <w:pPr>
        <w:pStyle w:val="Normal"/>
        <w:widowControl/>
        <w:spacing w:before="0" w:after="160"/>
        <w:rPr/>
      </w:pPr>
      <w:r>
        <w:rPr/>
        <w:t>Cooperation concerning case management, visitation and service continuity should prioritize equal access, accessibility, non-retaliation and protection of persons facing heightened barriers, while permitting functionally equivalent national approaches. The competent authority administering a covered measure shall identify the applicable legal basis and material facts for any significant limitation on this protected interest in a record sufficient for the review available under applicable law. Any limitation shall pursue a legitimate objective, be applied without prohibited discrimination or retaliation, and be no broader or longer than reasonably necessary in the circumstances. A materially affected person or competent representative shall have access, as appropriate under domestic law, to a complaint, reconsideration, review, or other process capable of correcting a material error or unlawful application.</w:t>
      </w:r>
    </w:p>
    <w:p>
      <w:pPr>
        <w:pStyle w:val="Heading3"/>
        <w:keepNext/>
        <w:widowControl/>
        <w:spacing w:before="180" w:after="60"/>
        <w:rPr/>
      </w:pPr>
      <w:r>
        <w:rPr/>
        <w:t>HR5-134. Foster-parent rights, training and responsibilities: Alternative-Care Rights Floor</w:t>
      </w:r>
    </w:p>
    <w:p>
      <w:pPr>
        <w:pStyle w:val="Normal"/>
        <w:widowControl/>
        <w:spacing w:before="0" w:after="160"/>
        <w:rPr/>
      </w:pPr>
      <w:r>
        <w:rPr/>
        <w:t>A Party may elect to participate in the Optional Module on Foster-parent rights, training and responsibilities. A participating Party shall implement the commitments it expressly accepts under that Module in accordance with its constitutional order and competent authorities.</w:t>
      </w:r>
    </w:p>
    <w:p>
      <w:pPr>
        <w:pStyle w:val="Heading3"/>
        <w:keepNext/>
        <w:widowControl/>
        <w:spacing w:before="180" w:after="60"/>
        <w:rPr/>
      </w:pPr>
      <w:r>
        <w:rPr/>
        <w:t>HR5-135. Foster-parent rights, training and responsibilities: Continuity and Best Interests</w:t>
      </w:r>
    </w:p>
    <w:p>
      <w:pPr>
        <w:pStyle w:val="Normal"/>
        <w:widowControl/>
        <w:spacing w:before="0" w:after="160"/>
        <w:rPr/>
      </w:pPr>
      <w:r>
        <w:rPr/>
        <w:t>Participating Parties should pursue foster-parent rights, training and responsibilities through non-discriminatory, rights-respecting and proportionate measures, with appropriate exceptions for legitimate public purposes and the rights and freedoms of others.</w:t>
      </w:r>
    </w:p>
    <w:p>
      <w:pPr>
        <w:pStyle w:val="Heading3"/>
        <w:keepNext/>
        <w:widowControl/>
        <w:spacing w:before="180" w:after="60"/>
        <w:rPr/>
      </w:pPr>
      <w:r>
        <w:rPr/>
        <w:t>HR5-136. Alternative-care oversight, inspections and complaints: Alternative-Care Rights Floor</w:t>
      </w:r>
    </w:p>
    <w:p>
      <w:pPr>
        <w:pStyle w:val="Normal"/>
        <w:widowControl/>
        <w:spacing w:before="0" w:after="160"/>
        <w:rPr/>
      </w:pPr>
      <w:r>
        <w:rPr/>
        <w:t>The Parties affirm the importance of alternative-care oversight, inspections and complaints and shall seek to strengthen it through cooperative, equivalent or phased measures suited to their respective constitutional and institutional systems. The competent authority administering a covered measure shall identify the applicable legal basis and material facts for any significant limitation on this protected interest in a record sufficient for the review available under applicable law. Any limitation shall pursue a legitimate objective, be applied without prohibited discrimination or retaliation, and be no broader or longer than reasonably necessary in the circumstances. A materially affected person or competent representative shall have access, as appropriate under domestic law, to a complaint, reconsideration, review, or other process capable of correcting a material error or unlawful application.</w:t>
      </w:r>
    </w:p>
    <w:p>
      <w:pPr>
        <w:pStyle w:val="Heading3"/>
        <w:keepNext/>
        <w:widowControl/>
        <w:spacing w:before="180" w:after="60"/>
        <w:rPr/>
      </w:pPr>
      <w:r>
        <w:rPr/>
        <w:t>HR5-137. Alternative-care oversight, inspections and complaints: Continuity and Best Interests</w:t>
      </w:r>
    </w:p>
    <w:p>
      <w:pPr>
        <w:pStyle w:val="Normal"/>
        <w:widowControl/>
        <w:spacing w:before="0" w:after="160"/>
        <w:rPr/>
      </w:pPr>
      <w:r>
        <w:rPr/>
        <w:t>Cooperation concerning alternative-care oversight, inspections and complaints should prioritize equal access, accessibility, non-retaliation and protection of persons facing heightened barriers, while permitting functionally equivalent national approaches. The competent authority administering a covered measure shall identify the applicable legal basis and material facts for any significant limitation on this protected interest in a record sufficient for the review available under applicable law. Any limitation shall pursue a legitimate objective, be applied without prohibited discrimination or retaliation, and be no broader or longer than reasonably necessary in the circumstances. A materially affected person or competent representative shall have access, as appropriate under domestic law, to a complaint, reconsideration, review, or other process capable of correcting a material error or unlawful application.</w:t>
      </w:r>
    </w:p>
    <w:p>
      <w:pPr>
        <w:pStyle w:val="Heading3"/>
        <w:keepNext/>
        <w:widowControl/>
        <w:spacing w:before="180" w:after="60"/>
        <w:rPr/>
      </w:pPr>
      <w:r>
        <w:rPr/>
        <w:t>HR5-138. Right-to-health policy-space and general principles: Health-Rights Safeguard</w:t>
      </w:r>
    </w:p>
    <w:p>
      <w:pPr>
        <w:pStyle w:val="Normal"/>
        <w:widowControl/>
        <w:spacing w:before="0" w:after="160"/>
        <w:rPr/>
      </w:pPr>
      <w:r>
        <w:rPr/>
        <w:t>Each Party shall maintain and apply measures consistent with right-to-health policy-space and general principles, within the scope of this Agreement and subject to the stronger-rights, federalism, competent-authority, security and public-interest safeguards of the Human Rights Framework. The competent authority shall maintain operational safeguards reasonably capable of preventing foreseeable serious harm and shall document material incidents, denials, or restrictions affecting the protected interest. Emergency, security, disciplinary, immigration, or administrative objectives do not authorize torture, cruel or degrading treatment, deliberate deprivation of essential food or water, medical abandonment, or retaliation against a good-faith complainant. Where an immediate threat to life, health, or physical integrity is credibly identified, available protective and medical measures shall be considered without awaiting completion of an unrelated trade or political process.</w:t>
      </w:r>
    </w:p>
    <w:p>
      <w:pPr>
        <w:pStyle w:val="Heading3"/>
        <w:keepNext/>
        <w:widowControl/>
        <w:spacing w:before="180" w:after="60"/>
        <w:rPr/>
      </w:pPr>
      <w:r>
        <w:t>HR5-139. A Party shall not administer a measure covered by this Agreement in a manner that defeats right-to-health policy-space and general principles through prohibited discrimination, arbitrary distinction, retaliation or bad-faith circumvention</w:t>
      </w:r>
    </w:p>
    <w:p>
      <w:pPr>
        <w:pStyle w:val="Normal"/>
        <w:widowControl/>
        <w:spacing w:before="0" w:after="160"/>
        <w:rPr/>
      </w:pPr>
      <w:r>
        <w:rPr/>
        <w:t>A Party shall not administer a measure covered by this Agreement in a manner that defeats right-to-health policy-space and general principles through prohibited discrimination, arbitrary distinction, retaliation or bad-faith circumvention. Objective and proportionate distinctions pursuing a legitimate public purpose remain permitted. The competent authority shall maintain operational safeguards reasonably capable of preventing foreseeable serious harm and shall document material incidents, denials, or restrictions affecting the protected interest. Emergency, security, disciplinary, immigration, or administrative objectives do not authorize torture, cruel or degrading treatment, deliberate deprivation of essential food or water, medical abandonment, or retaliation against a good-faith complainant.</w:t>
      </w:r>
    </w:p>
    <w:p>
      <w:pPr>
        <w:pStyle w:val="Heading3"/>
        <w:keepNext/>
        <w:widowControl/>
        <w:spacing w:before="180" w:after="60"/>
        <w:rPr/>
      </w:pPr>
      <w:r>
        <w:rPr/>
        <w:t>HR5-140. Right-to-health policy-space and general principles: Policy Space and Implementation</w:t>
      </w:r>
    </w:p>
    <w:p>
      <w:pPr>
        <w:pStyle w:val="Normal"/>
        <w:widowControl/>
        <w:spacing w:before="0" w:after="160"/>
        <w:rPr/>
      </w:pPr>
      <w:r>
        <w:rPr/>
        <w:t>Each Party shall use reasonable, proportionate and administrable measures to give practical effect to right-to-health policy-space and general principles. Implementation may reflect constitutional structure, division of powers and existing institutions, provided that equivalent protection of the covered interest is maintained. The competent authority shall maintain operational safeguards reasonably capable of preventing foreseeable serious harm and shall document material incidents, denials, or restrictions affecting the protected interest. Emergency, security, disciplinary, immigration, or administrative objectives do not authorize torture, cruel or degrading treatment, deliberate deprivation of essential food or water, medical abandonment, or retaliation against a good-faith complainant.</w:t>
      </w:r>
    </w:p>
    <w:p>
      <w:pPr>
        <w:pStyle w:val="Heading3"/>
        <w:keepNext/>
        <w:widowControl/>
        <w:spacing w:before="180" w:after="60"/>
        <w:rPr/>
      </w:pPr>
      <w:r>
        <w:rPr/>
        <w:t>HR5-141. Right-to-health policy-space and general principles: Consent, Privacy and Review</w:t>
      </w:r>
    </w:p>
    <w:p>
      <w:pPr>
        <w:pStyle w:val="Normal"/>
        <w:widowControl/>
        <w:spacing w:before="0" w:after="160"/>
        <w:rPr/>
      </w:pPr>
      <w:r>
        <w:rPr/>
        <w:t>A person materially affected by a covered governmental measure implicating right-to-health policy-space and general principles shall have access, as appropriate under domestic law, to notice, reasons, review, complaint or another effective process. This Article does not itself create a private cause of action, criminal offence or automatic civil liability. The competent authority shall provide a materially affected person with notice of the relevant basis, a meaningful opportunity to respond where practicable, and reasons sufficient to permit the review available under applicable law. Review shall be conducted by an authority or process capable of correcting material error, unlawful discrimination, retaliation, or a denial of the protected procedural interest.</w:t>
      </w:r>
    </w:p>
    <w:p>
      <w:pPr>
        <w:pStyle w:val="Heading3"/>
        <w:keepNext/>
        <w:widowControl/>
        <w:spacing w:before="180" w:after="60"/>
        <w:rPr/>
      </w:pPr>
      <w:r>
        <w:rPr/>
        <w:t>HR5-142. Healthcare nondiscrimination and equal access: Health-Rights Safeguard</w:t>
      </w:r>
    </w:p>
    <w:p>
      <w:pPr>
        <w:pStyle w:val="Normal"/>
        <w:widowControl/>
        <w:spacing w:before="0" w:after="160"/>
        <w:rPr/>
      </w:pPr>
      <w:r>
        <w:rPr/>
        <w:t>Each Party shall maintain and apply measures consistent with healthcare nondiscrimination and equal access, within the scope of this Agreement and subject to the stronger-rights, federalism, competent-authority, security and public-interest safeguards of the Human Rights Framework. The competent authority shall maintain operational safeguards reasonably capable of preventing foreseeable serious harm and shall document material incidents, denials, or restrictions affecting the protected interest. Emergency, security, disciplinary, immigration, or administrative objectives do not authorize torture, cruel or degrading treatment, deliberate deprivation of essential food or water, medical abandonment, or retaliation against a good-faith complainant. Where an immediate threat to life, health, or physical integrity is credibly identified, available protective and medical measures shall be considered without awaiting completion of an unrelated trade or political process.</w:t>
      </w:r>
    </w:p>
    <w:p>
      <w:pPr>
        <w:pStyle w:val="Heading3"/>
        <w:keepNext/>
        <w:widowControl/>
        <w:spacing w:before="180" w:after="60"/>
        <w:rPr/>
      </w:pPr>
      <w:r>
        <w:rPr/>
        <w:t>HR5-143. Healthcare nondiscrimination and equal access: Equal Access and Non-Discrimination</w:t>
      </w:r>
    </w:p>
    <w:p>
      <w:pPr>
        <w:pStyle w:val="Normal"/>
        <w:widowControl/>
        <w:spacing w:before="0" w:after="160"/>
        <w:rPr/>
      </w:pPr>
      <w:r>
        <w:rPr/>
        <w:t>A Party shall not administer a measure covered by this Agreement in a manner that defeats healthcare nondiscrimination and equal access through prohibited discrimination, arbitrary distinction, retaliation or bad-faith circumvention. Objective and proportionate distinctions pursuing a legitimate public purpose remain permitted. The competent authority shall maintain operational safeguards reasonably capable of preventing foreseeable serious harm and shall document material incidents, denials, or restrictions affecting the protected interest. Emergency, security, disciplinary, immigration, or administrative objectives do not authorize torture, cruel or degrading treatment, deliberate deprivation of essential food or water, medical abandonment, or retaliation against a good-faith complainant.</w:t>
      </w:r>
    </w:p>
    <w:p>
      <w:pPr>
        <w:pStyle w:val="Heading3"/>
        <w:keepNext/>
        <w:widowControl/>
        <w:spacing w:before="180" w:after="60"/>
        <w:rPr/>
      </w:pPr>
      <w:r>
        <w:rPr/>
        <w:t>HR5-144. Healthcare nondiscrimination and equal access: Policy Space and Implementation</w:t>
      </w:r>
    </w:p>
    <w:p>
      <w:pPr>
        <w:pStyle w:val="Normal"/>
        <w:widowControl/>
        <w:spacing w:before="0" w:after="160"/>
        <w:rPr/>
      </w:pPr>
      <w:r>
        <w:rPr/>
        <w:t>Each Party shall use reasonable, proportionate and administrable measures to give practical effect to healthcare nondiscrimination and equal access. Implementation may reflect constitutional structure, division of powers and existing institutions, provided that equivalent protection of the covered interest is maintained. The competent authority shall maintain operational safeguards reasonably capable of preventing foreseeable serious harm and shall document material incidents, denials, or restrictions affecting the protected interest. Emergency, security, disciplinary, immigration, or administrative objectives do not authorize torture, cruel or degrading treatment, deliberate deprivation of essential food or water, medical abandonment, or retaliation against a good-faith complainant.</w:t>
      </w:r>
    </w:p>
    <w:p>
      <w:pPr>
        <w:pStyle w:val="Heading3"/>
        <w:keepNext/>
        <w:widowControl/>
        <w:spacing w:before="180" w:after="60"/>
        <w:rPr/>
      </w:pPr>
      <w:r>
        <w:rPr/>
        <w:t>HR5-145. Emergency care and status-neutral access: Health-Rights Safeguard</w:t>
      </w:r>
    </w:p>
    <w:p>
      <w:pPr>
        <w:pStyle w:val="Normal"/>
        <w:widowControl/>
        <w:spacing w:before="0" w:after="160"/>
        <w:rPr/>
      </w:pPr>
      <w:r>
        <w:rPr/>
        <w:t>Each Party shall maintain and apply measures consistent with emergency care and status-neutral access, within the scope of this Agreement and subject to the stronger-rights, federalism, competent-authority, security and public-interest safeguards of the Human Rights Framework. The competent authority administering a covered measure shall identify the applicable legal basis and material facts for any significant limitation on this protected interest in a record sufficient for the review available under applicable law. Any limitation shall pursue a legitimate objective, be applied without prohibited discrimination or retaliation, and be no broader or longer than reasonably necessary in the circumstances. A materially affected person or competent representative shall have access, as appropriate under domestic law, to a complaint, reconsideration, review, or other process capable of correcting a material error or unlawful application.</w:t>
      </w:r>
    </w:p>
    <w:p>
      <w:pPr>
        <w:pStyle w:val="Heading3"/>
        <w:keepNext/>
        <w:widowControl/>
        <w:spacing w:before="180" w:after="60"/>
        <w:rPr/>
      </w:pPr>
      <w:r>
        <w:rPr/>
        <w:t>HR5-146. Emergency care and status-neutral access: Equal Access and Non-Discrimination</w:t>
      </w:r>
    </w:p>
    <w:p>
      <w:pPr>
        <w:pStyle w:val="Normal"/>
        <w:widowControl/>
        <w:spacing w:before="0" w:after="160"/>
        <w:rPr/>
      </w:pPr>
      <w:r>
        <w:rPr/>
        <w:t>A Party shall not administer a measure covered by this Agreement in a manner that defeats emergency care and status-neutral access through prohibited discrimination, arbitrary distinction, retaliation or bad-faith circumvention. Objective and proportionate distinctions pursuing a legitimate public purpose remain permitted. The competent authority administering a covered measure shall identify the applicable legal basis and material facts for any significant limitation on this protected interest in a record sufficient for the review available under applicable law. Any limitation shall pursue a legitimate objective, be applied without prohibited discrimination or retaliation, and be no broader or longer than reasonably necessary in the circumstances.</w:t>
      </w:r>
    </w:p>
    <w:p>
      <w:pPr>
        <w:pStyle w:val="Heading3"/>
        <w:keepNext/>
        <w:widowControl/>
        <w:spacing w:before="180" w:after="60"/>
        <w:rPr/>
      </w:pPr>
      <w:r>
        <w:rPr/>
        <w:t>HR5-147. Informed consent, bodily integrity and refusal of treatment: Health-Rights Safeguard</w:t>
      </w:r>
    </w:p>
    <w:p>
      <w:pPr>
        <w:pStyle w:val="Normal"/>
        <w:widowControl/>
        <w:spacing w:before="0" w:after="160"/>
        <w:rPr/>
      </w:pPr>
      <w:r>
        <w:rPr/>
        <w:t>Each Party shall maintain and apply measures consistent with informed consent, bodily integrity and refusal of treatment, within the scope of this Agreement and subject to the stronger-rights, federalism, competent-authority, security and public-interest safeguards of the Human Rights Framework. The competent authority administering a covered measure shall identify the applicable legal basis and material facts for any significant limitation on this protected interest in a record sufficient for the review available under applicable law. Any limitation shall pursue a legitimate objective, be applied without prohibited discrimination or retaliation, and be no broader or longer than reasonably necessary in the circumstances. A materially affected person or competent representative shall have access, as appropriate under domestic law, to a complaint, reconsideration, review, or other process capable of correcting a material error or unlawful application.</w:t>
      </w:r>
    </w:p>
    <w:p>
      <w:pPr>
        <w:pStyle w:val="Heading3"/>
        <w:keepNext/>
        <w:widowControl/>
        <w:spacing w:before="180" w:after="60"/>
        <w:rPr/>
      </w:pPr>
      <w:r>
        <w:rPr/>
        <w:t>HR5-148. Informed consent, bodily integrity and refusal of treatment: Equal Access and Non-Discrimination</w:t>
      </w:r>
    </w:p>
    <w:p>
      <w:pPr>
        <w:pStyle w:val="Normal"/>
        <w:widowControl/>
        <w:spacing w:before="0" w:after="160"/>
        <w:rPr/>
      </w:pPr>
      <w:r>
        <w:rPr/>
        <w:t>A Party shall not administer a measure covered by this Agreement in a manner that defeats informed consent, bodily integrity and refusal of treatment through prohibited discrimination, arbitrary distinction, retaliation or bad-faith circumvention. Objective and proportionate distinctions pursuing a legitimate public purpose remain permitted. The competent authority administering a covered measure shall identify the applicable legal basis and material facts for any significant limitation on this protected interest in a record sufficient for the review available under applicable law. Any limitation shall pursue a legitimate objective, be applied without prohibited discrimination or retaliation, and be no broader or longer than reasonably necessary in the circumstances.</w:t>
      </w:r>
    </w:p>
    <w:p>
      <w:pPr>
        <w:pStyle w:val="Heading3"/>
        <w:keepNext/>
        <w:widowControl/>
        <w:spacing w:before="180" w:after="60"/>
        <w:rPr/>
      </w:pPr>
      <w:r>
        <w:rPr/>
        <w:t>HR5-149. Informed consent, bodily integrity and refusal of treatment: Policy Space and Implementation</w:t>
      </w:r>
    </w:p>
    <w:p>
      <w:pPr>
        <w:pStyle w:val="Normal"/>
        <w:widowControl/>
        <w:spacing w:before="0" w:after="160"/>
        <w:rPr/>
      </w:pPr>
      <w:r>
        <w:rPr/>
        <w:t>Each Party shall use reasonable, proportionate and administrable measures to give practical effect to informed consent, bodily integrity and refusal of treatment. Implementation may reflect constitutional structure, division of powers and existing institutions, provided that equivalent protection of the covered interest is maintained. The competent authority administering a covered measure shall identify the applicable legal basis and material facts for any significant limitation on this protected interest in a record sufficient for the review available under applicable law. Any limitation shall pursue a legitimate objective, be applied without prohibited discrimination or retaliation, and be no broader or longer than reasonably necessary in the circumstances.</w:t>
      </w:r>
    </w:p>
    <w:p>
      <w:pPr>
        <w:pStyle w:val="Heading3"/>
        <w:keepNext/>
        <w:widowControl/>
        <w:spacing w:before="180" w:after="60"/>
        <w:rPr/>
      </w:pPr>
      <w:r>
        <w:rPr/>
        <w:t>HR5-150. Medical privacy, confidentiality and records access: Health-Rights Safeguard</w:t>
      </w:r>
    </w:p>
    <w:p>
      <w:pPr>
        <w:pStyle w:val="Normal"/>
        <w:widowControl/>
        <w:spacing w:before="0" w:after="160"/>
        <w:rPr/>
      </w:pPr>
      <w:r>
        <w:rPr/>
        <w:t>Each Party shall maintain and apply measures consistent with medical privacy, confidentiality and records access, within the scope of this Agreement and subject to the stronger-rights, federalism, competent-authority, security and public-interest safeguards of the Human Rights Framework. A competent authority using covered data or automated processing shall identify the lawful purpose, limit collection and use to what is reasonably necessary, and apply security, retention, correction, and access controls proportionate to the sensitivity of the information. A materially consequential decision shall not rest solely on an opaque or unreviewable automated output where applicable law requires meaningful human review or an opportunity to contest material error. Protected characteristics, immigration status, disability, health information, or other sensitive data shall not be used as a disguised proxy for prohibited discrimination or unrelated enforcement leverage.</w:t>
      </w:r>
    </w:p>
    <w:p>
      <w:pPr>
        <w:pStyle w:val="Heading3"/>
        <w:keepNext/>
        <w:widowControl/>
        <w:spacing w:before="180" w:after="60"/>
        <w:rPr/>
      </w:pPr>
      <w:r>
        <w:rPr/>
        <w:t>HR5-151. Reproductive and maternal-health policy space: Health-Rights Safeguard</w:t>
      </w:r>
    </w:p>
    <w:p>
      <w:pPr>
        <w:pStyle w:val="Normal"/>
        <w:widowControl/>
        <w:spacing w:before="0" w:after="160"/>
        <w:rPr/>
      </w:pPr>
      <w:r>
        <w:rPr/>
        <w:t>Each Party shall maintain and apply measures consistent with reproductive and maternal-health policy space, within the scope of this Agreement and subject to the stronger-rights, federalism, competent-authority, security and public-interest safeguards of the Human Rights Framework. The competent authority shall maintain operational safeguards reasonably capable of preventing foreseeable serious harm and shall document material incidents, denials, or restrictions affecting the protected interest. Emergency, security, disciplinary, immigration, or administrative objectives do not authorize torture, cruel or degrading treatment, deliberate deprivation of essential food or water, medical abandonment, or retaliation against a good-faith complainant. Where an immediate threat to life, health, or physical integrity is credibly identified, available protective and medical measures shall be considered without awaiting completion of an unrelated trade or political process.</w:t>
      </w:r>
    </w:p>
    <w:p>
      <w:pPr>
        <w:pStyle w:val="Heading3"/>
        <w:keepNext/>
        <w:widowControl/>
        <w:spacing w:before="180" w:after="60"/>
        <w:rPr/>
      </w:pPr>
      <w:r>
        <w:rPr/>
        <w:t>HR5-152. Reproductive and maternal-health policy space: Equal Access and Non-Discrimination</w:t>
      </w:r>
    </w:p>
    <w:p>
      <w:pPr>
        <w:pStyle w:val="Normal"/>
        <w:widowControl/>
        <w:spacing w:before="0" w:after="160"/>
        <w:rPr/>
      </w:pPr>
      <w:r>
        <w:rPr/>
        <w:t>A Party shall not administer a measure covered by this Agreement in a manner that defeats reproductive and maternal-health policy space through prohibited discrimination, arbitrary distinction, retaliation or bad-faith circumvention. Objective and proportionate distinctions pursuing a legitimate public purpose remain permitted. The competent authority shall maintain operational safeguards reasonably capable of preventing foreseeable serious harm and shall document material incidents, denials, or restrictions affecting the protected interest. Emergency, security, disciplinary, immigration, or administrative objectives do not authorize torture, cruel or degrading treatment, deliberate deprivation of essential food or water, medical abandonment, or retaliation against a good-faith complainant.</w:t>
      </w:r>
    </w:p>
    <w:p>
      <w:pPr>
        <w:pStyle w:val="Heading3"/>
        <w:keepNext/>
        <w:widowControl/>
        <w:spacing w:before="180" w:after="60"/>
        <w:rPr/>
      </w:pPr>
      <w:r>
        <w:rPr/>
        <w:t>HR5-153. Reproductive and maternal-health policy space: Policy Space and Implementation</w:t>
      </w:r>
    </w:p>
    <w:p>
      <w:pPr>
        <w:pStyle w:val="Normal"/>
        <w:widowControl/>
        <w:spacing w:before="0" w:after="160"/>
        <w:rPr/>
      </w:pPr>
      <w:r>
        <w:rPr/>
        <w:t>Each Party shall use reasonable, proportionate and administrable measures to give practical effect to reproductive and maternal-health policy space. Implementation may reflect constitutional structure, division of powers and existing institutions, provided that equivalent protection of the covered interest is maintained. The competent authority shall maintain operational safeguards reasonably capable of preventing foreseeable serious harm and shall document material incidents, denials, or restrictions affecting the protected interest. Emergency, security, disciplinary, immigration, or administrative objectives do not authorize torture, cruel or degrading treatment, deliberate deprivation of essential food or water, medical abandonment, or retaliation against a good-faith complainant.</w:t>
      </w:r>
    </w:p>
    <w:p>
      <w:pPr>
        <w:pStyle w:val="Heading3"/>
        <w:keepNext/>
        <w:widowControl/>
        <w:spacing w:before="180" w:after="60"/>
        <w:rPr/>
      </w:pPr>
      <w:r>
        <w:rPr/>
        <w:t>HR5-154. Reproductive-health high-sensitivity entitlements: Health-Rights Safeguard</w:t>
      </w:r>
    </w:p>
    <w:p>
      <w:pPr>
        <w:pStyle w:val="Normal"/>
        <w:widowControl/>
        <w:spacing w:before="0" w:after="160"/>
        <w:rPr/>
      </w:pPr>
      <w:r>
        <w:rPr/>
        <w:t>A Party may elect to participate in an Optional Reproductive and Maternal Health Module. Nothing in the mandatory NAESTMA core shall require a Party to enact, repeal or alter domestic law governing abortion, contraception, fertility treatment or comparable high-sensitivity clinical entitlements.</w:t>
      </w:r>
    </w:p>
    <w:p>
      <w:pPr>
        <w:pStyle w:val="Heading3"/>
        <w:keepNext/>
        <w:widowControl/>
        <w:spacing w:before="180" w:after="60"/>
        <w:rPr/>
      </w:pPr>
      <w:r>
        <w:rPr/>
        <w:t>HR5-155. Reproductive-health high-sensitivity entitlements: Equal Access and Non-Discrimination</w:t>
      </w:r>
    </w:p>
    <w:p>
      <w:pPr>
        <w:pStyle w:val="Normal"/>
        <w:widowControl/>
        <w:spacing w:before="0" w:after="160"/>
        <w:rPr/>
      </w:pPr>
      <w:r>
        <w:rPr/>
        <w:t>Participating Parties should pursue reproductive-health high-sensitivity entitlements through non-discriminatory, rights-respecting and proportionate measures, with appropriate exceptions for legitimate public purposes and the rights and freedoms of others.</w:t>
      </w:r>
    </w:p>
    <w:p>
      <w:pPr>
        <w:pStyle w:val="Heading3"/>
        <w:keepNext/>
        <w:widowControl/>
        <w:spacing w:before="180" w:after="60"/>
        <w:rPr/>
      </w:pPr>
      <w:r>
        <w:rPr/>
        <w:t>HR5-156. Essential medicines availability and affordability: Health-Rights Safeguard</w:t>
      </w:r>
    </w:p>
    <w:p>
      <w:pPr>
        <w:pStyle w:val="Normal"/>
        <w:widowControl/>
        <w:spacing w:before="0" w:after="160"/>
        <w:rPr/>
      </w:pPr>
      <w:r>
        <w:rPr/>
        <w:t>The Parties affirm the importance of essential medicines availability and affordability and shall seek to strengthen it through cooperative, equivalent or phased measures suited to their respective constitutional and institutional systems. The competent authority administering a covered measure shall identify the applicable legal basis and material facts for any significant limitation on this protected interest in a record sufficient for the review available under applicable law. Any limitation shall pursue a legitimate objective, be applied without prohibited discrimination or retaliation, and be no broader or longer than reasonably necessary in the circumstances. A materially affected person or competent representative shall have access, as appropriate under domestic law, to a complaint, reconsideration, review, or other process capable of correcting a material error or unlawful application.</w:t>
      </w:r>
    </w:p>
    <w:p>
      <w:pPr>
        <w:pStyle w:val="Heading3"/>
        <w:keepNext/>
        <w:widowControl/>
        <w:spacing w:before="180" w:after="60"/>
        <w:rPr/>
      </w:pPr>
      <w:r>
        <w:rPr/>
        <w:t>HR5-157. Essential medicines availability and affordability: Equal Access and Non-Discrimination</w:t>
      </w:r>
    </w:p>
    <w:p>
      <w:pPr>
        <w:pStyle w:val="Normal"/>
        <w:widowControl/>
        <w:spacing w:before="0" w:after="160"/>
        <w:rPr/>
      </w:pPr>
      <w:r>
        <w:rPr/>
        <w:t>Cooperation concerning essential medicines availability and affordability should prioritize equal access, accessibility, non-retaliation and protection of persons facing heightened barriers, while permitting functionally equivalent national approaches. The competent authority administering a covered measure shall identify the applicable legal basis and material facts for any significant limitation on this protected interest in a record sufficient for the review available under applicable law. Any limitation shall pursue a legitimate objective, be applied without prohibited discrimination or retaliation, and be no broader or longer than reasonably necessary in the circumstances. A materially affected person or competent representative shall have access, as appropriate under domestic law, to a complaint, reconsideration, review, or other process capable of correcting a material error or unlawful application.</w:t>
      </w:r>
    </w:p>
    <w:p>
      <w:pPr>
        <w:pStyle w:val="Heading3"/>
        <w:keepNext/>
        <w:widowControl/>
        <w:spacing w:before="180" w:after="60"/>
        <w:rPr/>
      </w:pPr>
      <w:r>
        <w:rPr/>
        <w:t>HR5-158. Essential medicines availability and affordability: Policy Space and Implementation</w:t>
      </w:r>
    </w:p>
    <w:p>
      <w:pPr>
        <w:pStyle w:val="Normal"/>
        <w:widowControl/>
        <w:spacing w:before="0" w:after="160"/>
        <w:rPr/>
      </w:pPr>
      <w:r>
        <w:rPr/>
        <w:t>A Party may implement this mechanism through pilots, mutual learning, capacity-building, recognition of equivalent safeguards or staged implementation. No particular administrative model is required where the substantive objective is reasonably achieved. The competent authority administering a covered measure shall identify the applicable legal basis and material facts for any significant limitation on this protected interest in a record sufficient for the review available under applicable law. Any limitation shall pursue a legitimate objective, be applied without prohibited discrimination or retaliation, and be no broader or longer than reasonably necessary in the circumstances.</w:t>
      </w:r>
    </w:p>
    <w:p>
      <w:pPr>
        <w:pStyle w:val="Heading3"/>
        <w:keepNext/>
        <w:widowControl/>
        <w:spacing w:before="180" w:after="60"/>
        <w:rPr/>
      </w:pPr>
      <w:r>
        <w:rPr/>
        <w:t>HR5-159. Medicines intellectual-property flexibilities: Health-Rights Safeguard</w:t>
      </w:r>
    </w:p>
    <w:p>
      <w:pPr>
        <w:pStyle w:val="Normal"/>
        <w:widowControl/>
        <w:spacing w:before="0" w:after="160"/>
        <w:rPr/>
      </w:pPr>
      <w:r>
        <w:rPr/>
        <w:t>The Parties affirm the importance of medicines intellectual-property flexibilities and shall seek to strengthen it through cooperative, equivalent or phased measures suited to their respective constitutional and institutional systems. The competent authority administering a covered measure shall identify the applicable legal basis and material facts for any significant limitation on this protected interest in a record sufficient for the review available under applicable law. Any limitation shall pursue a legitimate objective, be applied without prohibited discrimination or retaliation, and be no broader or longer than reasonably necessary in the circumstances. A materially affected person or competent representative shall have access, as appropriate under domestic law, to a complaint, reconsideration, review, or other process capable of correcting a material error or unlawful application.</w:t>
      </w:r>
    </w:p>
    <w:p>
      <w:pPr>
        <w:pStyle w:val="Heading3"/>
        <w:keepNext/>
        <w:widowControl/>
        <w:spacing w:before="180" w:after="60"/>
        <w:rPr/>
      </w:pPr>
      <w:r>
        <w:rPr/>
        <w:t>HR5-160. Medicines intellectual-property flexibilities: Equal Access and Non-Discrimination</w:t>
      </w:r>
    </w:p>
    <w:p>
      <w:pPr>
        <w:pStyle w:val="Normal"/>
        <w:widowControl/>
        <w:spacing w:before="0" w:after="160"/>
        <w:rPr/>
      </w:pPr>
      <w:r>
        <w:rPr/>
        <w:t>Cooperation concerning medicines intellectual-property flexibilities should prioritize equal access, accessibility, non-retaliation and protection of persons facing heightened barriers, while permitting functionally equivalent national approaches. The competent authority administering a covered measure shall identify the applicable legal basis and material facts for any significant limitation on this protected interest in a record sufficient for the review available under applicable law. Any limitation shall pursue a legitimate objective, be applied without prohibited discrimination or retaliation, and be no broader or longer than reasonably necessary in the circumstances. A materially affected person or competent representative shall have access, as appropriate under domestic law, to a complaint, reconsideration, review, or other process capable of correcting a material error or unlawful application.</w:t>
      </w:r>
    </w:p>
    <w:p>
      <w:pPr>
        <w:pStyle w:val="Heading3"/>
        <w:keepNext/>
        <w:widowControl/>
        <w:spacing w:before="180" w:after="60"/>
        <w:rPr/>
      </w:pPr>
      <w:r>
        <w:rPr/>
        <w:t>HR5-161. Mental-health nondiscrimination and community care: Health-Rights Safeguard</w:t>
      </w:r>
    </w:p>
    <w:p>
      <w:pPr>
        <w:pStyle w:val="Normal"/>
        <w:widowControl/>
        <w:spacing w:before="0" w:after="160"/>
        <w:rPr/>
      </w:pPr>
      <w:r>
        <w:rPr/>
        <w:t>The Parties affirm the importance of mental-health nondiscrimination and community care and shall seek to strengthen it through cooperative, equivalent or phased measures suited to their respective constitutional and institutional systems. The competent authority shall maintain operational safeguards reasonably capable of preventing foreseeable serious harm and shall document material incidents, denials, or restrictions affecting the protected interest. Emergency, security, disciplinary, immigration, or administrative objectives do not authorize torture, cruel or degrading treatment, deliberate deprivation of essential food or water, medical abandonment, or retaliation against a good-faith complainant. Where an immediate threat to life, health, or physical integrity is credibly identified, available protective and medical measures shall be considered without awaiting completion of an unrelated trade or political process.</w:t>
      </w:r>
    </w:p>
    <w:p>
      <w:pPr>
        <w:pStyle w:val="Heading3"/>
        <w:keepNext/>
        <w:widowControl/>
        <w:spacing w:before="180" w:after="60"/>
        <w:rPr/>
      </w:pPr>
      <w:r>
        <w:rPr/>
        <w:t>HR5-162. Mental-health nondiscrimination and community care: Equal Access and Non-Discrimination</w:t>
      </w:r>
    </w:p>
    <w:p>
      <w:pPr>
        <w:pStyle w:val="Normal"/>
        <w:widowControl/>
        <w:spacing w:before="0" w:after="160"/>
        <w:rPr/>
      </w:pPr>
      <w:r>
        <w:rPr/>
        <w:t>Cooperation concerning mental-health nondiscrimination and community care should prioritize equal access, accessibility, non-retaliation and protection of persons facing heightened barriers, while permitting functionally equivalent national approaches. The competent authority shall maintain operational safeguards reasonably capable of preventing foreseeable serious harm and shall document material incidents, denials, or restrictions affecting the protected interest. Emergency, security, disciplinary, immigration, or administrative objectives do not authorize torture, cruel or degrading treatment, deliberate deprivation of essential food or water, medical abandonment, or retaliation against a good-faith complainant. Where an immediate threat to life, health, or physical integrity is credibly identified, available protective and medical measures shall be considered without awaiting completion of an unrelated trade or political process.</w:t>
      </w:r>
    </w:p>
    <w:p>
      <w:pPr>
        <w:pStyle w:val="Heading3"/>
        <w:keepNext/>
        <w:widowControl/>
        <w:spacing w:before="180" w:after="60"/>
        <w:rPr/>
      </w:pPr>
      <w:r>
        <w:rPr/>
        <w:t>HR5-163. Mental-health nondiscrimination and community care: Policy Space and Implementation</w:t>
      </w:r>
    </w:p>
    <w:p>
      <w:pPr>
        <w:pStyle w:val="Normal"/>
        <w:widowControl/>
        <w:spacing w:before="0" w:after="160"/>
        <w:rPr/>
      </w:pPr>
      <w:r>
        <w:rPr/>
        <w:t>A Party may implement this mechanism through pilots, mutual learning, capacity-building, recognition of equivalent safeguards or staged implementation. No particular administrative model is required where the substantive objective is reasonably achieved. The competent authority shall maintain operational safeguards reasonably capable of preventing foreseeable serious harm and shall document material incidents, denials, or restrictions affecting the protected interest. Emergency, security, disciplinary, immigration, or administrative objectives do not authorize torture, cruel or degrading treatment, deliberate deprivation of essential food or water, medical abandonment, or retaliation against a good-faith complainant.</w:t>
      </w:r>
    </w:p>
    <w:p>
      <w:pPr>
        <w:pStyle w:val="Heading3"/>
        <w:keepNext/>
        <w:widowControl/>
        <w:spacing w:before="180" w:after="60"/>
        <w:rPr/>
      </w:pPr>
      <w:r>
        <w:rPr/>
        <w:t>HR5-164. Mental-health consent, restraint and institutional safeguards: Health-Rights Safeguard</w:t>
      </w:r>
    </w:p>
    <w:p>
      <w:pPr>
        <w:pStyle w:val="Normal"/>
        <w:widowControl/>
        <w:spacing w:before="0" w:after="160"/>
        <w:rPr/>
      </w:pPr>
      <w:r>
        <w:rPr/>
        <w:t>Each Party shall maintain and apply measures consistent with mental-health consent, restraint and institutional safeguards, within the scope of this Agreement and subject to the stronger-rights, federalism, competent-authority, security and public-interest safeguards of the Human Rights Framework. The competent authority shall maintain operational safeguards reasonably capable of preventing foreseeable serious harm and shall document material incidents, denials, or restrictions affecting the protected interest. Emergency, security, disciplinary, immigration, or administrative objectives do not authorize torture, cruel or degrading treatment, deliberate deprivation of essential food or water, medical abandonment, or retaliation against a good-faith complainant. Where an immediate threat to life, health, or physical integrity is credibly identified, available protective and medical measures shall be considered without awaiting completion of an unrelated trade or political process.</w:t>
      </w:r>
    </w:p>
    <w:p>
      <w:pPr>
        <w:pStyle w:val="Heading3"/>
        <w:keepNext/>
        <w:widowControl/>
        <w:spacing w:before="180" w:after="60"/>
        <w:rPr/>
      </w:pPr>
      <w:r>
        <w:rPr/>
        <w:t>HR5-165. Disability-inclusive healthcare and reasonable accommodation: Health-Rights Safeguard</w:t>
      </w:r>
    </w:p>
    <w:p>
      <w:pPr>
        <w:pStyle w:val="Normal"/>
        <w:widowControl/>
        <w:spacing w:before="0" w:after="160"/>
        <w:rPr/>
      </w:pPr>
      <w:r>
        <w:rPr/>
        <w:t>The Parties affirm the importance of disability-inclusive healthcare and reasonable accommodation and shall seek to strengthen it through cooperative, equivalent or phased measures suited to their respective constitutional and institutional systems. The competent authority shall maintain operational safeguards reasonably capable of preventing foreseeable serious harm and shall document material incidents, denials, or restrictions affecting the protected interest. Emergency, security, disciplinary, immigration, or administrative objectives do not authorize torture, cruel or degrading treatment, deliberate deprivation of essential food or water, medical abandonment, or retaliation against a good-faith complainant. Where an immediate threat to life, health, or physical integrity is credibly identified, available protective and medical measures shall be considered without awaiting completion of an unrelated trade or political process.</w:t>
      </w:r>
    </w:p>
    <w:p>
      <w:pPr>
        <w:pStyle w:val="Heading3"/>
        <w:keepNext/>
        <w:widowControl/>
        <w:spacing w:before="180" w:after="60"/>
        <w:rPr/>
      </w:pPr>
      <w:r>
        <w:rPr/>
        <w:t>HR5-166. Disability-inclusive healthcare and reasonable accommodation: Equal Access and Non-Discrimination</w:t>
      </w:r>
    </w:p>
    <w:p>
      <w:pPr>
        <w:pStyle w:val="Normal"/>
        <w:widowControl/>
        <w:spacing w:before="0" w:after="160"/>
        <w:rPr/>
      </w:pPr>
      <w:r>
        <w:rPr/>
        <w:t>Cooperation concerning disability-inclusive healthcare and reasonable accommodation should prioritize equal access, accessibility, non-retaliation and protection of persons facing heightened barriers, while permitting functionally equivalent national approaches. The competent authority shall maintain operational safeguards reasonably capable of preventing foreseeable serious harm and shall document material incidents, denials, or restrictions affecting the protected interest. Emergency, security, disciplinary, immigration, or administrative objectives do not authorize torture, cruel or degrading treatment, deliberate deprivation of essential food or water, medical abandonment, or retaliation against a good-faith complainant. Where an immediate threat to life, health, or physical integrity is credibly identified, available protective and medical measures shall be considered without awaiting completion of an unrelated trade or political process.</w:t>
      </w:r>
    </w:p>
    <w:p>
      <w:pPr>
        <w:pStyle w:val="Heading3"/>
        <w:keepNext/>
        <w:widowControl/>
        <w:spacing w:before="180" w:after="60"/>
        <w:rPr/>
      </w:pPr>
      <w:r>
        <w:rPr/>
        <w:t>HR5-167. Older-person health protections: Health-Rights Safeguard</w:t>
      </w:r>
    </w:p>
    <w:p>
      <w:pPr>
        <w:pStyle w:val="Normal"/>
        <w:widowControl/>
        <w:spacing w:before="0" w:after="160"/>
        <w:rPr/>
      </w:pPr>
      <w:r>
        <w:rPr/>
        <w:t>The Parties affirm the importance of older-person health protections and shall seek to strengthen it through cooperative, equivalent or phased measures suited to their respective constitutional and institutional systems. The competent authority shall maintain operational safeguards reasonably capable of preventing foreseeable serious harm and shall document material incidents, denials, or restrictions affecting the protected interest. Emergency, security, disciplinary, immigration, or administrative objectives do not authorize torture, cruel or degrading treatment, deliberate deprivation of essential food or water, medical abandonment, or retaliation against a good-faith complainant. Where an immediate threat to life, health, or physical integrity is credibly identified, available protective and medical measures shall be considered without awaiting completion of an unrelated trade or political process.</w:t>
      </w:r>
    </w:p>
    <w:p>
      <w:pPr>
        <w:pStyle w:val="Heading3"/>
        <w:keepNext/>
        <w:widowControl/>
        <w:spacing w:before="180" w:after="60"/>
        <w:rPr/>
      </w:pPr>
      <w:r>
        <w:rPr/>
        <w:t>HR5-168. Older-person health protections: Equal Access and Non-Discrimination</w:t>
      </w:r>
    </w:p>
    <w:p>
      <w:pPr>
        <w:pStyle w:val="Normal"/>
        <w:widowControl/>
        <w:spacing w:before="0" w:after="160"/>
        <w:rPr/>
      </w:pPr>
      <w:r>
        <w:rPr/>
        <w:t>Cooperation concerning older-person health protections should prioritize equal access, accessibility, non-retaliation and protection of persons facing heightened barriers, while permitting functionally equivalent national approaches. The competent authority shall maintain operational safeguards reasonably capable of preventing foreseeable serious harm and shall document material incidents, denials, or restrictions affecting the protected interest. Emergency, security, disciplinary, immigration, or administrative objectives do not authorize torture, cruel or degrading treatment, deliberate deprivation of essential food or water, medical abandonment, or retaliation against a good-faith complainant. Where an immediate threat to life, health, or physical integrity is credibly identified, available protective and medical measures shall be considered without awaiting completion of an unrelated trade or political process.</w:t>
      </w:r>
    </w:p>
    <w:p>
      <w:pPr>
        <w:pStyle w:val="Heading3"/>
        <w:keepNext/>
        <w:widowControl/>
        <w:spacing w:before="180" w:after="60"/>
        <w:rPr/>
      </w:pPr>
      <w:r>
        <w:rPr/>
        <w:t>HR5-169. Child health protections: Health-Rights Safeguard</w:t>
      </w:r>
    </w:p>
    <w:p>
      <w:pPr>
        <w:pStyle w:val="Normal"/>
        <w:widowControl/>
        <w:spacing w:before="0" w:after="160"/>
        <w:rPr/>
      </w:pPr>
      <w:r>
        <w:rPr/>
        <w:t>The Parties affirm the importance of child health protections and shall seek to strengthen it through cooperative, equivalent or phased measures suited to their respective constitutional and institutional systems. The competent authority shall maintain operational safeguards reasonably capable of preventing foreseeable serious harm and shall document material incidents, denials, or restrictions affecting the protected interest. Emergency, security, disciplinary, immigration, or administrative objectives do not authorize torture, cruel or degrading treatment, deliberate deprivation of essential food or water, medical abandonment, or retaliation against a good-faith complainant. Where an immediate threat to life, health, or physical integrity is credibly identified, available protective and medical measures shall be considered without awaiting completion of an unrelated trade or political process.</w:t>
      </w:r>
    </w:p>
    <w:p>
      <w:pPr>
        <w:pStyle w:val="Heading3"/>
        <w:keepNext/>
        <w:widowControl/>
        <w:spacing w:before="180" w:after="60"/>
        <w:rPr/>
      </w:pPr>
      <w:r>
        <w:rPr/>
        <w:t>HR5-170. Child health protections: Equal Access and Non-Discrimination</w:t>
      </w:r>
    </w:p>
    <w:p>
      <w:pPr>
        <w:pStyle w:val="Normal"/>
        <w:widowControl/>
        <w:spacing w:before="0" w:after="160"/>
        <w:rPr/>
      </w:pPr>
      <w:r>
        <w:rPr/>
        <w:t>Cooperation concerning child health protections should prioritize equal access, accessibility, non-retaliation and protection of persons facing heightened barriers, while permitting functionally equivalent national approaches. The competent authority shall maintain operational safeguards reasonably capable of preventing foreseeable serious harm and shall document material incidents, denials, or restrictions affecting the protected interest. Emergency, security, disciplinary, immigration, or administrative objectives do not authorize torture, cruel or degrading treatment, deliberate deprivation of essential food or water, medical abandonment, or retaliation against a good-faith complainant. Where an immediate threat to life, health, or physical integrity is credibly identified, available protective and medical measures shall be considered without awaiting completion of an unrelated trade or political process.</w:t>
      </w:r>
    </w:p>
    <w:p>
      <w:pPr>
        <w:pStyle w:val="Heading3"/>
        <w:keepNext/>
        <w:widowControl/>
        <w:spacing w:before="180" w:after="60"/>
        <w:rPr/>
      </w:pPr>
      <w:r>
        <w:rPr/>
        <w:t>HR5-171. Occupational health and safe-work protections: Health-Rights Safeguard</w:t>
      </w:r>
    </w:p>
    <w:p>
      <w:pPr>
        <w:pStyle w:val="Normal"/>
        <w:widowControl/>
        <w:spacing w:before="0" w:after="160"/>
        <w:rPr/>
      </w:pPr>
      <w:r>
        <w:rPr/>
        <w:t>Each Party shall maintain and apply measures consistent with occupational health and safe-work protections, within the scope of this Agreement and subject to the stronger-rights, federalism, competent-authority, security and public-interest safeguards of the Human Rights Framework. The competent authority shall maintain operational safeguards reasonably capable of preventing foreseeable serious harm and shall document material incidents, denials, or restrictions affecting the protected interest. Emergency, security, disciplinary, immigration, or administrative objectives do not authorize torture, cruel or degrading treatment, deliberate deprivation of essential food or water, medical abandonment, or retaliation against a good-faith complainant. Where an immediate threat to life, health, or physical integrity is credibly identified, available protective and medical measures shall be considered without awaiting completion of an unrelated trade or political process.</w:t>
      </w:r>
    </w:p>
    <w:p>
      <w:pPr>
        <w:pStyle w:val="Heading3"/>
        <w:keepNext/>
        <w:widowControl/>
        <w:spacing w:before="180" w:after="60"/>
        <w:rPr/>
      </w:pPr>
      <w:r>
        <w:rPr/>
        <w:t>HR5-172. Occupational health and safe-work protections: Equal Access and Non-Discrimination</w:t>
      </w:r>
    </w:p>
    <w:p>
      <w:pPr>
        <w:pStyle w:val="Normal"/>
        <w:widowControl/>
        <w:spacing w:before="0" w:after="160"/>
        <w:rPr/>
      </w:pPr>
      <w:r>
        <w:rPr/>
        <w:t>A Party shall not administer a measure covered by this Agreement in a manner that defeats occupational health and safe-work protections through prohibited discrimination, arbitrary distinction, retaliation or bad-faith circumvention. Objective and proportionate distinctions pursuing a legitimate public purpose remain permitted. The competent authority shall maintain operational safeguards reasonably capable of preventing foreseeable serious harm and shall document material incidents, denials, or restrictions affecting the protected interest. Emergency, security, disciplinary, immigration, or administrative objectives do not authorize torture, cruel or degrading treatment, deliberate deprivation of essential food or water, medical abandonment, or retaliation against a good-faith complainant.</w:t>
      </w:r>
    </w:p>
    <w:p>
      <w:pPr>
        <w:pStyle w:val="Heading3"/>
        <w:keepNext/>
        <w:widowControl/>
        <w:spacing w:before="180" w:after="60"/>
        <w:rPr/>
      </w:pPr>
      <w:r>
        <w:rPr/>
        <w:t>HR5-173. Environmental health, clean air, water and pollution: Health-Rights Safeguard</w:t>
      </w:r>
    </w:p>
    <w:p>
      <w:pPr>
        <w:pStyle w:val="Normal"/>
        <w:widowControl/>
        <w:spacing w:before="0" w:after="160"/>
        <w:rPr/>
      </w:pPr>
      <w:r>
        <w:rPr/>
        <w:t>The Parties affirm the importance of environmental health, clean air, water and pollution and shall seek to strengthen it through cooperative, equivalent or phased measures suited to their respective constitutional and institutional systems. The competent authority shall maintain operational safeguards reasonably capable of preventing foreseeable serious harm and shall document material incidents, denials, or restrictions affecting the protected interest. Emergency, security, disciplinary, immigration, or administrative objectives do not authorize torture, cruel or degrading treatment, deliberate deprivation of essential food or water, medical abandonment, or retaliation against a good-faith complainant. Where an immediate threat to life, health, or physical integrity is credibly identified, available protective and medical measures shall be considered without awaiting completion of an unrelated trade or political process.</w:t>
      </w:r>
    </w:p>
    <w:p>
      <w:pPr>
        <w:pStyle w:val="Heading3"/>
        <w:keepNext/>
        <w:widowControl/>
        <w:spacing w:before="180" w:after="60"/>
        <w:rPr/>
      </w:pPr>
      <w:r>
        <w:rPr/>
        <w:t>HR5-174. Health information, education and community participation: Health-Rights Safeguard</w:t>
      </w:r>
    </w:p>
    <w:p>
      <w:pPr>
        <w:pStyle w:val="Normal"/>
        <w:widowControl/>
        <w:spacing w:before="0" w:after="160"/>
        <w:rPr/>
      </w:pPr>
      <w:r>
        <w:rPr/>
        <w:t>The Parties affirm the importance of health information, education and community participation and shall seek to strengthen it through cooperative, equivalent or phased measures suited to their respective constitutional and institutional systems. The competent authority shall maintain operational safeguards reasonably capable of preventing foreseeable serious harm and shall document material incidents, denials, or restrictions affecting the protected interest. Emergency, security, disciplinary, immigration, or administrative objectives do not authorize torture, cruel or degrading treatment, deliberate deprivation of essential food or water, medical abandonment, or retaliation against a good-faith complainant. Where an immediate threat to life, health, or physical integrity is credibly identified, available protective and medical measures shall be considered without awaiting completion of an unrelated trade or political process.</w:t>
      </w:r>
    </w:p>
    <w:p>
      <w:pPr>
        <w:pStyle w:val="Heading3"/>
        <w:keepNext/>
        <w:widowControl/>
        <w:spacing w:before="180" w:after="60"/>
        <w:rPr/>
      </w:pPr>
      <w:r>
        <w:rPr/>
        <w:t>HR5-175. Health information, education and community participation: Equal Access and Non-Discrimination</w:t>
      </w:r>
    </w:p>
    <w:p>
      <w:pPr>
        <w:pStyle w:val="Normal"/>
        <w:widowControl/>
        <w:spacing w:before="0" w:after="160"/>
        <w:rPr/>
      </w:pPr>
      <w:r>
        <w:rPr/>
        <w:t>Cooperation concerning health information, education and community participation should prioritize equal access, accessibility, non-retaliation and protection of persons facing heightened barriers, while permitting functionally equivalent national approaches. The competent authority shall maintain operational safeguards reasonably capable of preventing foreseeable serious harm and shall document material incidents, denials, or restrictions affecting the protected interest. Emergency, security, disciplinary, immigration, or administrative objectives do not authorize torture, cruel or degrading treatment, deliberate deprivation of essential food or water, medical abandonment, or retaliation against a good-faith complainant. Where an immediate threat to life, health, or physical integrity is credibly identified, available protective and medical measures shall be considered without awaiting completion of an unrelated trade or political process.</w:t>
      </w:r>
    </w:p>
    <w:p>
      <w:pPr>
        <w:pStyle w:val="Heading3"/>
        <w:keepNext/>
        <w:widowControl/>
        <w:spacing w:before="180" w:after="60"/>
        <w:rPr/>
      </w:pPr>
      <w:r>
        <w:rPr/>
        <w:t>HR5-176. Health-system resilience, transparency and accountability: Health-Rights Safeguard</w:t>
      </w:r>
    </w:p>
    <w:p>
      <w:pPr>
        <w:pStyle w:val="Normal"/>
        <w:widowControl/>
        <w:spacing w:before="0" w:after="160"/>
        <w:rPr/>
      </w:pPr>
      <w:r>
        <w:rPr/>
        <w:t>The Parties affirm the importance of health-system resilience, transparency and accountability and shall seek to strengthen it through cooperative, equivalent or phased measures suited to their respective constitutional and institutional systems. The competent authority shall maintain operational safeguards reasonably capable of preventing foreseeable serious harm and shall document material incidents, denials, or restrictions affecting the protected interest. Emergency, security, disciplinary, immigration, or administrative objectives do not authorize torture, cruel or degrading treatment, deliberate deprivation of essential food or water, medical abandonment, or retaliation against a good-faith complainant. Where an immediate threat to life, health, or physical integrity is credibly identified, available protective and medical measures shall be considered without awaiting completion of an unrelated trade or political process.</w:t>
      </w:r>
    </w:p>
    <w:p>
      <w:pPr>
        <w:pStyle w:val="Heading3"/>
        <w:keepNext/>
        <w:widowControl/>
        <w:spacing w:before="180" w:after="60"/>
        <w:rPr/>
      </w:pPr>
      <w:r>
        <w:rPr/>
        <w:t>HR5-177. Health-system resilience, transparency and accountability: Equal Access and Non-Discrimination</w:t>
      </w:r>
    </w:p>
    <w:p>
      <w:pPr>
        <w:pStyle w:val="Normal"/>
        <w:widowControl/>
        <w:spacing w:before="0" w:after="160"/>
        <w:rPr/>
      </w:pPr>
      <w:r>
        <w:rPr/>
        <w:t>Cooperation concerning health-system resilience, transparency and accountability should prioritize equal access, accessibility, non-retaliation and protection of persons facing heightened barriers, while permitting functionally equivalent national approaches. The competent authority shall maintain operational safeguards reasonably capable of preventing foreseeable serious harm and shall document material incidents, denials, or restrictions affecting the protected interest. Emergency, security, disciplinary, immigration, or administrative objectives do not authorize torture, cruel or degrading treatment, deliberate deprivation of essential food or water, medical abandonment, or retaliation against a good-faith complainant. Where an immediate threat to life, health, or physical integrity is credibly identified, available protective and medical measures shall be considered without awaiting completion of an unrelated trade or political process.</w:t>
      </w:r>
    </w:p>
    <w:p>
      <w:pPr>
        <w:pStyle w:val="Heading3"/>
        <w:keepNext/>
        <w:widowControl/>
        <w:spacing w:before="180" w:after="60"/>
        <w:rPr/>
      </w:pPr>
      <w:r>
        <w:rPr/>
        <w:t>HR5-178. Freedom of thought, conscience, religion and belief: Freedom of Religion or Belief</w:t>
      </w:r>
    </w:p>
    <w:p>
      <w:pPr>
        <w:pStyle w:val="Normal"/>
        <w:widowControl/>
        <w:spacing w:before="0" w:after="160"/>
        <w:rPr/>
      </w:pPr>
      <w:r>
        <w:rPr/>
        <w:t>Each Party shall respect freedom of thought, conscience, religion and belief within the scope of measures covered by this Agreement, including the freedom to hold a religion or belief, to hold no religion or belief, and to change religion or belief, subject only to lawful limitations consistent with the rights of others and legitimate public purposes. The competent authority administering a covered measure shall identify the applicable legal basis and material facts for any significant limitation on this protected interest in a record sufficient for the review available under applicable law. Any limitation shall pursue a legitimate objective, be applied without prohibited discrimination or retaliation, and be no broader or longer than reasonably necessary in the circumstances. A materially affected person or competent representative shall have access, as appropriate under domestic law, to a complaint, reconsideration, review, or other process capable of correcting a material error or unlawful application.</w:t>
      </w:r>
    </w:p>
    <w:p>
      <w:pPr>
        <w:pStyle w:val="Heading3"/>
        <w:keepNext/>
        <w:widowControl/>
        <w:spacing w:before="180" w:after="60"/>
        <w:rPr/>
      </w:pPr>
      <w:r>
        <w:rPr/>
        <w:t>HR5-179. Freedom of thought, conscience, religion and belief: Equal Protection and Non-Coercion</w:t>
      </w:r>
    </w:p>
    <w:p>
      <w:pPr>
        <w:pStyle w:val="Normal"/>
        <w:widowControl/>
        <w:spacing w:before="0" w:after="160"/>
        <w:rPr/>
      </w:pPr>
      <w:r>
        <w:rPr/>
        <w:t>A Party shall not administer a measure covered by this Agreement in a manner that defeats freedom of thought, conscience, religion and belief through prohibited discrimination, arbitrary distinction, retaliation or bad-faith circumvention. Objective and proportionate distinctions pursuing a legitimate public purpose remain permitted. The competent authority administering a covered measure shall identify the applicable legal basis and material facts for any significant limitation on this protected interest in a record sufficient for the review available under applicable law. Any limitation shall pursue a legitimate objective, be applied without prohibited discrimination or retaliation, and be no broader or longer than reasonably necessary in the circumstances.</w:t>
      </w:r>
    </w:p>
    <w:p>
      <w:pPr>
        <w:pStyle w:val="Heading3"/>
        <w:keepNext/>
        <w:widowControl/>
        <w:spacing w:before="180" w:after="60"/>
        <w:rPr/>
      </w:pPr>
      <w:r>
        <w:rPr/>
        <w:t>HR5-180. Freedom of thought, conscience, religion and belief: Reasonable Accommodation and Manifestation</w:t>
      </w:r>
    </w:p>
    <w:p>
      <w:pPr>
        <w:pStyle w:val="Normal"/>
        <w:widowControl/>
        <w:spacing w:before="0" w:after="160"/>
        <w:rPr/>
      </w:pPr>
      <w:r>
        <w:rPr/>
        <w:t>Each Party shall use reasonable, proportionate and administrable measures to give practical effect to freedom of thought, conscience, religion and belief. Implementation may reflect constitutional structure, division of powers and existing institutions, provided that equivalent protection of the covered interest is maintained. The competent authority administering a covered measure shall identify the applicable legal basis and material facts for any significant limitation on this protected interest in a record sufficient for the review available under applicable law. Any limitation shall pursue a legitimate objective, be applied without prohibited discrimination or retaliation, and be no broader or longer than reasonably necessary in the circumstances.</w:t>
      </w:r>
    </w:p>
    <w:p>
      <w:pPr>
        <w:pStyle w:val="Heading3"/>
        <w:keepNext/>
        <w:widowControl/>
        <w:spacing w:before="180" w:after="60"/>
        <w:rPr/>
      </w:pPr>
      <w:r>
        <w:rPr/>
        <w:t>HR5-181. Freedom of thought, conscience, religion and belief: Limitations and Rights Balancing</w:t>
      </w:r>
    </w:p>
    <w:p>
      <w:pPr>
        <w:pStyle w:val="Normal"/>
        <w:widowControl/>
        <w:spacing w:before="0" w:after="160"/>
        <w:rPr/>
      </w:pPr>
      <w:r>
        <w:rPr/>
        <w:t>A person materially affected by a covered governmental measure implicating freedom of thought, conscience, religion and belief shall have access, as appropriate under domestic law, to notice, reasons, review, complaint or another effective process. This Article does not itself create a private cause of action, criminal offence or automatic civil liability. The competent authority administering a covered measure shall identify the applicable legal basis and material facts for any significant limitation on this protected interest in a record sufficient for the review available under applicable law. Any limitation shall pursue a legitimate objective, be applied without prohibited discrimination or retaliation, and be no broader or longer than reasonably necessary in the circumstances.</w:t>
      </w:r>
    </w:p>
    <w:p>
      <w:pPr>
        <w:pStyle w:val="Heading3"/>
        <w:keepNext/>
        <w:widowControl/>
        <w:spacing w:before="180" w:after="60"/>
        <w:rPr/>
      </w:pPr>
      <w:r>
        <w:rPr/>
        <w:t>HR5-182. Freedom of thought, conscience, religion and belief: Institutional Cooperation and Safeguards</w:t>
      </w:r>
    </w:p>
    <w:p>
      <w:pPr>
        <w:pStyle w:val="Normal"/>
        <w:widowControl/>
        <w:spacing w:before="0" w:after="160"/>
        <w:rPr/>
      </w:pPr>
      <w:r>
        <w:rPr/>
        <w:t>The Parties shall cooperate, where useful, on implementation of freedom of thought, conscience, religion and belief using existing NAESTMA institutions wherever capable. Reporting and data collection shall be proportionate, privacy-preserving and designed to avoid new unfunded permanent bureaucracy. Implementation shall use constitutionally competent authorities and existing NAESTMA institutions wherever capable, and shall not require a new permanent supranational body unless the Parties expressly agree otherwise. Any information collection, consultation, or reporting used for this provision shall be limited to what is reasonably necessary for the stated function and shall respect applicable privacy, confidentiality, security, and protected-disclosure safeguards.</w:t>
      </w:r>
    </w:p>
    <w:p>
      <w:pPr>
        <w:pStyle w:val="Heading3"/>
        <w:keepNext/>
        <w:widowControl/>
        <w:spacing w:before="180" w:after="60"/>
        <w:rPr/>
      </w:pPr>
      <w:r>
        <w:rPr/>
        <w:t>HR5-183. Freedom to manifest religion or belief: Freedom of Religion or Belief</w:t>
      </w:r>
    </w:p>
    <w:p>
      <w:pPr>
        <w:pStyle w:val="Normal"/>
        <w:widowControl/>
        <w:spacing w:before="0" w:after="160"/>
        <w:rPr/>
      </w:pPr>
      <w:r>
        <w:rPr/>
        <w:t>Each Party shall maintain and apply measures consistent with freedom to manifest religion or belief, within the scope of this Agreement and subject to the stronger-rights, federalism, competent-authority, security and public-interest safeguards of the Human Rights Framework. The competent authority administering a covered measure shall identify the applicable legal basis and material facts for any significant limitation on this protected interest in a record sufficient for the review available under applicable law. Any limitation shall pursue a legitimate objective, be applied without prohibited discrimination or retaliation, and be no broader or longer than reasonably necessary in the circumstances. A materially affected person or competent representative shall have access, as appropriate under domestic law, to a complaint, reconsideration, review, or other process capable of correcting a material error or unlawful application.</w:t>
      </w:r>
    </w:p>
    <w:p>
      <w:pPr>
        <w:pStyle w:val="Heading3"/>
        <w:keepNext/>
        <w:widowControl/>
        <w:spacing w:before="180" w:after="60"/>
        <w:rPr/>
      </w:pPr>
      <w:r>
        <w:rPr/>
        <w:t>HR5-184. Freedom to manifest religion or belief: Equal Protection and Non-Coercion</w:t>
      </w:r>
    </w:p>
    <w:p>
      <w:pPr>
        <w:pStyle w:val="Normal"/>
        <w:widowControl/>
        <w:spacing w:before="0" w:after="160"/>
        <w:rPr/>
      </w:pPr>
      <w:r>
        <w:rPr/>
        <w:t>A Party shall not administer a measure covered by this Agreement in a manner that defeats freedom to manifest religion or belief through prohibited discrimination, arbitrary distinction, retaliation or bad-faith circumvention. Objective and proportionate distinctions pursuing a legitimate public purpose remain permitted. The competent authority administering a covered measure shall identify the applicable legal basis and material facts for any significant limitation on this protected interest in a record sufficient for the review available under applicable law. Any limitation shall pursue a legitimate objective, be applied without prohibited discrimination or retaliation, and be no broader or longer than reasonably necessary in the circumstances.</w:t>
      </w:r>
    </w:p>
    <w:p>
      <w:pPr>
        <w:pStyle w:val="Heading3"/>
        <w:keepNext/>
        <w:widowControl/>
        <w:spacing w:before="180" w:after="60"/>
        <w:rPr/>
      </w:pPr>
      <w:r>
        <w:rPr/>
        <w:t>HR5-185. Freedom to manifest religion or belief: Reasonable Accommodation and Manifestation</w:t>
      </w:r>
    </w:p>
    <w:p>
      <w:pPr>
        <w:pStyle w:val="Normal"/>
        <w:widowControl/>
        <w:spacing w:before="0" w:after="160"/>
        <w:rPr/>
      </w:pPr>
      <w:r>
        <w:rPr/>
        <w:t>Each Party shall use reasonable, proportionate and administrable measures to give practical effect to freedom to manifest religion or belief. Implementation may reflect constitutional structure, division of powers and existing institutions, provided that equivalent protection of the covered interest is maintained. The competent authority administering a covered measure shall identify the applicable legal basis and material facts for any significant limitation on this protected interest in a record sufficient for the review available under applicable law. Any limitation shall pursue a legitimate objective, be applied without prohibited discrimination or retaliation, and be no broader or longer than reasonably necessary in the circumstances.</w:t>
      </w:r>
    </w:p>
    <w:p>
      <w:pPr>
        <w:pStyle w:val="Heading3"/>
        <w:keepNext/>
        <w:widowControl/>
        <w:spacing w:before="180" w:after="60"/>
        <w:rPr/>
      </w:pPr>
      <w:r>
        <w:rPr/>
        <w:t>HR5-186. Freedom to change, leave or reject religion: Freedom of Religion or Belief</w:t>
      </w:r>
    </w:p>
    <w:p>
      <w:pPr>
        <w:pStyle w:val="Normal"/>
        <w:widowControl/>
        <w:spacing w:before="0" w:after="160"/>
        <w:rPr/>
      </w:pPr>
      <w:r>
        <w:rPr/>
        <w:t>No covered measure shall coerce a person to adopt, retain, abandon or disclose a religion or belief. Protection extends equally to conversion, non-belief and a decision not to participate in religious practice. The competent authority administering a covered measure shall identify the applicable legal basis and material facts for any significant limitation on this protected interest in a record sufficient for the review available under applicable law. Any limitation shall pursue a legitimate objective, be applied without prohibited discrimination or retaliation, and be no broader or longer than reasonably necessary in the circumstances.</w:t>
      </w:r>
    </w:p>
    <w:p>
      <w:pPr>
        <w:pStyle w:val="Heading3"/>
        <w:keepNext/>
        <w:widowControl/>
        <w:spacing w:before="180" w:after="60"/>
        <w:rPr/>
      </w:pPr>
      <w:r>
        <w:rPr/>
        <w:t>HR5-187. Freedom to change, leave or reject religion: Equal Protection and Non-Coercion</w:t>
      </w:r>
    </w:p>
    <w:p>
      <w:pPr>
        <w:pStyle w:val="Normal"/>
        <w:widowControl/>
        <w:spacing w:before="0" w:after="160"/>
        <w:rPr/>
      </w:pPr>
      <w:r>
        <w:rPr/>
        <w:t>A Party shall not administer a measure covered by this Agreement in a manner that defeats freedom to change, leave or reject religion through prohibited discrimination, arbitrary distinction, retaliation or bad-faith circumvention. Objective and proportionate distinctions pursuing a legitimate public purpose remain permitted. The competent authority administering a covered measure shall identify the applicable legal basis and material facts for any significant limitation on this protected interest in a record sufficient for the review available under applicable law. Any limitation shall pursue a legitimate objective, be applied without prohibited discrimination or retaliation, and be no broader or longer than reasonably necessary in the circumstances.</w:t>
      </w:r>
    </w:p>
    <w:p>
      <w:pPr>
        <w:pStyle w:val="Heading3"/>
        <w:keepNext/>
        <w:widowControl/>
        <w:spacing w:before="180" w:after="60"/>
        <w:rPr/>
      </w:pPr>
      <w:r>
        <w:rPr/>
        <w:t>HR5-188. Freedom to change, leave or reject religion: Reasonable Accommodation and Manifestation</w:t>
      </w:r>
    </w:p>
    <w:p>
      <w:pPr>
        <w:pStyle w:val="Normal"/>
        <w:widowControl/>
        <w:spacing w:before="0" w:after="160"/>
        <w:rPr/>
      </w:pPr>
      <w:r>
        <w:rPr/>
        <w:t>Each Party shall use reasonable, proportionate and administrable measures to give practical effect to freedom to change, leave or reject religion. Implementation may reflect constitutional structure, division of powers and existing institutions, provided that equivalent protection of the covered interest is maintained. The competent authority administering a covered measure shall identify the applicable legal basis and material facts for any significant limitation on this protected interest in a record sufficient for the review available under applicable law. Any limitation shall pursue a legitimate objective, be applied without prohibited discrimination or retaliation, and be no broader or longer than reasonably necessary in the circumstances.</w:t>
      </w:r>
    </w:p>
    <w:p>
      <w:pPr>
        <w:pStyle w:val="Heading3"/>
        <w:keepNext/>
        <w:widowControl/>
        <w:spacing w:before="180" w:after="60"/>
        <w:rPr/>
      </w:pPr>
      <w:r>
        <w:rPr/>
        <w:t>HR5-189. Religious nondiscrimination and equal protection: Freedom of Religion or Belief</w:t>
      </w:r>
    </w:p>
    <w:p>
      <w:pPr>
        <w:pStyle w:val="Normal"/>
        <w:widowControl/>
        <w:spacing w:before="0" w:after="160"/>
        <w:rPr/>
      </w:pPr>
      <w:r>
        <w:rPr/>
        <w:t>Each Party shall maintain and apply measures consistent with religious nondiscrimination and equal protection, within the scope of this Agreement and subject to the stronger-rights, federalism, competent-authority, security and public-interest safeguards of the Human Rights Framework. The competent authority administering a covered measure shall identify the applicable legal basis and material facts for any significant limitation on this protected interest in a record sufficient for the review available under applicable law. Any limitation shall pursue a legitimate objective, be applied without prohibited discrimination or retaliation, and be no broader or longer than reasonably necessary in the circumstances. A materially affected person or competent representative shall have access, as appropriate under domestic law, to a complaint, reconsideration, review, or other process capable of correcting a material error or unlawful application.</w:t>
      </w:r>
    </w:p>
    <w:p>
      <w:pPr>
        <w:pStyle w:val="Heading3"/>
        <w:keepNext/>
        <w:widowControl/>
        <w:spacing w:before="180" w:after="60"/>
        <w:rPr/>
      </w:pPr>
      <w:r>
        <w:rPr/>
        <w:t>HR5-190. Religious nondiscrimination and equal protection: Equal Protection and Non-Coercion</w:t>
      </w:r>
    </w:p>
    <w:p>
      <w:pPr>
        <w:pStyle w:val="Normal"/>
        <w:widowControl/>
        <w:spacing w:before="0" w:after="160"/>
        <w:rPr/>
      </w:pPr>
      <w:r>
        <w:rPr/>
        <w:t>A Party shall not administer a measure covered by this Agreement in a manner that defeats religious nondiscrimination and equal protection through prohibited discrimination, arbitrary distinction, retaliation or bad-faith circumvention. Objective and proportionate distinctions pursuing a legitimate public purpose remain permitted. The competent authority administering a covered measure shall identify the applicable legal basis and material facts for any significant limitation on this protected interest in a record sufficient for the review available under applicable law. Any limitation shall pursue a legitimate objective, be applied without prohibited discrimination or retaliation, and be no broader or longer than reasonably necessary in the circumstances.</w:t>
      </w:r>
    </w:p>
    <w:p>
      <w:pPr>
        <w:pStyle w:val="Heading3"/>
        <w:keepNext/>
        <w:widowControl/>
        <w:spacing w:before="180" w:after="60"/>
        <w:rPr/>
      </w:pPr>
      <w:r>
        <w:rPr/>
        <w:t>HR5-191. Religious nondiscrimination and equal protection: Reasonable Accommodation and Manifestation</w:t>
      </w:r>
    </w:p>
    <w:p>
      <w:pPr>
        <w:pStyle w:val="Normal"/>
        <w:widowControl/>
        <w:spacing w:before="0" w:after="160"/>
        <w:rPr/>
      </w:pPr>
      <w:r>
        <w:rPr/>
        <w:t>Each Party shall use reasonable, proportionate and administrable measures to give practical effect to religious nondiscrimination and equal protection. Implementation may reflect constitutional structure, division of powers and existing institutions, provided that equivalent protection of the covered interest is maintained. The competent authority administering a covered measure shall identify the applicable legal basis and material facts for any significant limitation on this protected interest in a record sufficient for the review available under applicable law. Any limitation shall pursue a legitimate objective, be applied without prohibited discrimination or retaliation, and be no broader or longer than reasonably necessary in the circumstances.</w:t>
      </w:r>
    </w:p>
    <w:p>
      <w:pPr>
        <w:pStyle w:val="Heading3"/>
        <w:keepNext/>
        <w:widowControl/>
        <w:spacing w:before="180" w:after="60"/>
        <w:rPr/>
      </w:pPr>
      <w:r>
        <w:rPr/>
        <w:t>HR5-192. Religious accommodation in employment and services: Freedom of Religion or Belief</w:t>
      </w:r>
    </w:p>
    <w:p>
      <w:pPr>
        <w:pStyle w:val="Normal"/>
        <w:widowControl/>
        <w:spacing w:before="0" w:after="160"/>
        <w:rPr/>
      </w:pPr>
      <w:r>
        <w:rPr/>
        <w:t>The Parties affirm the importance of religious accommodation in employment and services and shall seek to strengthen it through cooperative, equivalent or phased measures suited to their respective constitutional and institutional systems. The competent authority administering a covered measure shall identify the applicable legal basis and material facts for any significant limitation on this protected interest in a record sufficient for the review available under applicable law. Any limitation shall pursue a legitimate objective, be applied without prohibited discrimination or retaliation, and be no broader or longer than reasonably necessary in the circumstances. A materially affected person or competent representative shall have access, as appropriate under domestic law, to a complaint, reconsideration, review, or other process capable of correcting a material error or unlawful application.</w:t>
      </w:r>
    </w:p>
    <w:p>
      <w:pPr>
        <w:pStyle w:val="Heading3"/>
        <w:keepNext/>
        <w:widowControl/>
        <w:spacing w:before="180" w:after="60"/>
        <w:rPr/>
      </w:pPr>
      <w:r>
        <w:rPr/>
        <w:t>HR5-193. Religious accommodation in employment and services: Equal Protection and Non-Coercion</w:t>
      </w:r>
    </w:p>
    <w:p>
      <w:pPr>
        <w:pStyle w:val="Normal"/>
        <w:widowControl/>
        <w:spacing w:before="0" w:after="160"/>
        <w:rPr/>
      </w:pPr>
      <w:r>
        <w:rPr/>
        <w:t>Cooperation concerning religious accommodation in employment and services should prioritize equal access, accessibility, non-retaliation and protection of persons facing heightened barriers, while permitting functionally equivalent national approaches. The competent authority administering a covered measure shall identify the applicable legal basis and material facts for any significant limitation on this protected interest in a record sufficient for the review available under applicable law. Any limitation shall pursue a legitimate objective, be applied without prohibited discrimination or retaliation, and be no broader or longer than reasonably necessary in the circumstances. A materially affected person or competent representative shall have access, as appropriate under domestic law, to a complaint, reconsideration, review, or other process capable of correcting a material error or unlawful application.</w:t>
      </w:r>
    </w:p>
    <w:p>
      <w:pPr>
        <w:pStyle w:val="Heading3"/>
        <w:keepNext/>
        <w:widowControl/>
        <w:spacing w:before="180" w:after="60"/>
        <w:rPr/>
      </w:pPr>
      <w:r>
        <w:rPr/>
        <w:t>HR5-194. Religious accommodation in employment and services: Reasonable Accommodation and Manifestation</w:t>
      </w:r>
    </w:p>
    <w:p>
      <w:pPr>
        <w:pStyle w:val="Normal"/>
        <w:widowControl/>
        <w:spacing w:before="0" w:after="160"/>
        <w:rPr/>
      </w:pPr>
      <w:r>
        <w:rPr/>
        <w:t>A Party may implement this mechanism through pilots, mutual learning, capacity-building, recognition of equivalent safeguards or staged implementation. No particular administrative model is required where the substantive objective is reasonably achieved. The competent authority administering a covered measure shall identify the applicable legal basis and material facts for any significant limitation on this protected interest in a record sufficient for the review available under applicable law. Any limitation shall pursue a legitimate objective, be applied without prohibited discrimination or retaliation, and be no broader or longer than reasonably necessary in the circumstances.</w:t>
      </w:r>
    </w:p>
    <w:p>
      <w:pPr>
        <w:pStyle w:val="Heading3"/>
        <w:keepNext/>
        <w:widowControl/>
        <w:spacing w:before="180" w:after="60"/>
        <w:rPr/>
      </w:pPr>
      <w:r>
        <w:rPr/>
        <w:t>HR5-195. Places of worship, sacred sites and religious property: Freedom of Religion or Belief</w:t>
      </w:r>
    </w:p>
    <w:p>
      <w:pPr>
        <w:pStyle w:val="Normal"/>
        <w:widowControl/>
        <w:spacing w:before="0" w:after="160"/>
        <w:rPr/>
      </w:pPr>
      <w:r>
        <w:rPr/>
        <w:t>The Parties affirm the importance of places of worship, sacred sites and religious property and shall seek to strengthen it through cooperative, equivalent or phased measures suited to their respective constitutional and institutional systems. The competent authority administering a covered measure shall identify the applicable legal basis and material facts for any significant limitation on this protected interest in a record sufficient for the review available under applicable law. Any limitation shall pursue a legitimate objective, be applied without prohibited discrimination or retaliation, and be no broader or longer than reasonably necessary in the circumstances. A materially affected person or competent representative shall have access, as appropriate under domestic law, to a complaint, reconsideration, review, or other process capable of correcting a material error or unlawful application.</w:t>
      </w:r>
    </w:p>
    <w:p>
      <w:pPr>
        <w:pStyle w:val="Heading3"/>
        <w:keepNext/>
        <w:widowControl/>
        <w:spacing w:before="180" w:after="60"/>
        <w:rPr/>
      </w:pPr>
      <w:r>
        <w:rPr/>
        <w:t>HR5-196. Places of worship, sacred sites and religious property: Equal Protection and Non-Coercion</w:t>
      </w:r>
    </w:p>
    <w:p>
      <w:pPr>
        <w:pStyle w:val="Normal"/>
        <w:widowControl/>
        <w:spacing w:before="0" w:after="160"/>
        <w:rPr/>
      </w:pPr>
      <w:r>
        <w:rPr/>
        <w:t>Cooperation concerning places of worship, sacred sites and religious property should prioritize equal access, accessibility, non-retaliation and protection of persons facing heightened barriers, while permitting functionally equivalent national approaches. The competent authority administering a covered measure shall identify the applicable legal basis and material facts for any significant limitation on this protected interest in a record sufficient for the review available under applicable law. Any limitation shall pursue a legitimate objective, be applied without prohibited discrimination or retaliation, and be no broader or longer than reasonably necessary in the circumstances. A materially affected person or competent representative shall have access, as appropriate under domestic law, to a complaint, reconsideration, review, or other process capable of correcting a material error or unlawful application.</w:t>
      </w:r>
    </w:p>
    <w:p>
      <w:pPr>
        <w:pStyle w:val="Heading3"/>
        <w:keepNext/>
        <w:widowControl/>
        <w:spacing w:before="180" w:after="60"/>
        <w:rPr/>
      </w:pPr>
      <w:r>
        <w:rPr/>
        <w:t>HR5-197. Places of worship, sacred sites and religious property: Reasonable Accommodation and Manifestation</w:t>
      </w:r>
    </w:p>
    <w:p>
      <w:pPr>
        <w:pStyle w:val="Normal"/>
        <w:widowControl/>
        <w:spacing w:before="0" w:after="160"/>
        <w:rPr/>
      </w:pPr>
      <w:r>
        <w:rPr/>
        <w:t>A Party may implement this mechanism through pilots, mutual learning, capacity-building, recognition of equivalent safeguards or staged implementation. No particular administrative model is required where the substantive objective is reasonably achieved. The competent authority administering a covered measure shall identify the applicable legal basis and material facts for any significant limitation on this protected interest in a record sufficient for the review available under applicable law. Any limitation shall pursue a legitimate objective, be applied without prohibited discrimination or retaliation, and be no broader or longer than reasonably necessary in the circumstances.</w:t>
      </w:r>
    </w:p>
    <w:p>
      <w:pPr>
        <w:pStyle w:val="Heading3"/>
        <w:keepNext/>
        <w:widowControl/>
        <w:spacing w:before="180" w:after="60"/>
        <w:rPr/>
      </w:pPr>
      <w:r>
        <w:rPr/>
        <w:t>HR5-198. Religious symbols, dress, appearance and observance: Freedom of Religion or Belief</w:t>
      </w:r>
    </w:p>
    <w:p>
      <w:pPr>
        <w:pStyle w:val="Normal"/>
        <w:widowControl/>
        <w:spacing w:before="0" w:after="160"/>
        <w:rPr/>
      </w:pPr>
      <w:r>
        <w:rPr/>
        <w:t>The Parties affirm the importance of religious symbols, dress, appearance and observance and shall seek to strengthen it through cooperative, equivalent or phased measures suited to their respective constitutional and institutional systems. The competent authority administering a covered measure shall identify the applicable legal basis and material facts for any significant limitation on this protected interest in a record sufficient for the review available under applicable law. Any limitation shall pursue a legitimate objective, be applied without prohibited discrimination or retaliation, and be no broader or longer than reasonably necessary in the circumstances. A materially affected person or competent representative shall have access, as appropriate under domestic law, to a complaint, reconsideration, review, or other process capable of correcting a material error or unlawful application.</w:t>
      </w:r>
    </w:p>
    <w:p>
      <w:pPr>
        <w:pStyle w:val="Heading3"/>
        <w:keepNext/>
        <w:widowControl/>
        <w:spacing w:before="180" w:after="60"/>
        <w:rPr/>
      </w:pPr>
      <w:r>
        <w:rPr/>
        <w:t>HR5-199. Religious symbols, dress, appearance and observance: Equal Protection and Non-Coercion</w:t>
      </w:r>
    </w:p>
    <w:p>
      <w:pPr>
        <w:pStyle w:val="Normal"/>
        <w:widowControl/>
        <w:spacing w:before="0" w:after="160"/>
        <w:rPr/>
      </w:pPr>
      <w:r>
        <w:rPr/>
        <w:t>Cooperation concerning religious symbols, dress, appearance and observance should prioritize equal access, accessibility, non-retaliation and protection of persons facing heightened barriers, while permitting functionally equivalent national approaches.</w:t>
      </w:r>
    </w:p>
    <w:p>
      <w:pPr>
        <w:pStyle w:val="Heading3"/>
        <w:keepNext/>
        <w:widowControl/>
        <w:spacing w:before="180" w:after="60"/>
        <w:rPr/>
      </w:pPr>
      <w:r>
        <w:rPr/>
        <w:t>HR5-200. Religious symbols, dress, appearance and observance: Reasonable Accommodation and Manifestation</w:t>
      </w:r>
    </w:p>
    <w:p>
      <w:pPr>
        <w:pStyle w:val="Normal"/>
        <w:widowControl/>
        <w:spacing w:before="0" w:after="160"/>
        <w:rPr/>
      </w:pPr>
      <w:r>
        <w:rPr/>
        <w:t>A Party may implement this mechanism through pilots, mutual learning, capacity-building, recognition of equivalent safeguards or staged implementation. No particular administrative model is required where the substantive objective is reasonably achieved.</w:t>
      </w:r>
    </w:p>
    <w:p>
      <w:pPr>
        <w:pStyle w:val="Heading3"/>
        <w:keepNext/>
        <w:widowControl/>
        <w:spacing w:before="180" w:after="60"/>
        <w:rPr/>
      </w:pPr>
      <w:r>
        <w:rPr/>
        <w:t>HR5-201. Religious education, instruction and parental choice: Freedom of Religion or Belief</w:t>
      </w:r>
    </w:p>
    <w:p>
      <w:pPr>
        <w:pStyle w:val="Normal"/>
        <w:widowControl/>
        <w:spacing w:before="0" w:after="160"/>
        <w:rPr/>
      </w:pPr>
      <w:r>
        <w:rPr/>
        <w:t>A Party may elect to participate in the Optional Module on Religious education, instruction and parental choice. A participating Party shall implement the commitments it expressly accepts under that Module in accordance with its constitutional order and competent authorities.</w:t>
      </w:r>
    </w:p>
    <w:p>
      <w:pPr>
        <w:pStyle w:val="Heading3"/>
        <w:keepNext/>
        <w:widowControl/>
        <w:spacing w:before="180" w:after="60"/>
        <w:rPr/>
      </w:pPr>
      <w:r>
        <w:rPr/>
        <w:t>HR5-202. Religious education, instruction and parental choice: Equal Protection and Non-Coercion</w:t>
      </w:r>
    </w:p>
    <w:p>
      <w:pPr>
        <w:pStyle w:val="Normal"/>
        <w:widowControl/>
        <w:spacing w:before="0" w:after="160"/>
        <w:rPr/>
      </w:pPr>
      <w:r>
        <w:rPr/>
        <w:t>Participating Parties should pursue religious education, instruction and parental choice through non-discriminatory, rights-respecting and proportionate measures, with appropriate exceptions for legitimate public purposes and the rights and freedoms of others.</w:t>
      </w:r>
    </w:p>
    <w:p>
      <w:pPr>
        <w:pStyle w:val="Heading3"/>
        <w:keepNext/>
        <w:widowControl/>
        <w:spacing w:before="180" w:after="60"/>
        <w:rPr/>
      </w:pPr>
      <w:r>
        <w:rPr/>
        <w:t>HR5-203. Religious education, instruction and parental choice: Reasonable Accommodation and Manifestation</w:t>
      </w:r>
    </w:p>
    <w:p>
      <w:pPr>
        <w:pStyle w:val="Normal"/>
        <w:widowControl/>
        <w:spacing w:before="0" w:after="160"/>
        <w:rPr/>
      </w:pPr>
      <w:r>
        <w:rPr/>
        <w:t>The Optional Module may establish cooperative standards, transparency measures, review procedures or implementation benchmarks concerning religious education, instruction and parental choice, while allowing equivalent national methods and reservations expressly recorded at adoption.</w:t>
      </w:r>
    </w:p>
    <w:p>
      <w:pPr>
        <w:pStyle w:val="Heading3"/>
        <w:keepNext/>
        <w:widowControl/>
        <w:spacing w:before="180" w:after="60"/>
        <w:rPr/>
      </w:pPr>
      <w:r>
        <w:rPr/>
        <w:t>HR5-204. Religious holidays, schedules and dietary accommodation: Freedom of Religion or Belief</w:t>
      </w:r>
    </w:p>
    <w:p>
      <w:pPr>
        <w:pStyle w:val="Normal"/>
        <w:widowControl/>
        <w:spacing w:before="0" w:after="160"/>
        <w:rPr/>
      </w:pPr>
      <w:r>
        <w:rPr/>
        <w:t>The Parties affirm the importance of religious holidays, schedules and dietary accommodation and shall seek to strengthen it through cooperative, equivalent or phased measures suited to their respective constitutional and institutional systems.</w:t>
      </w:r>
    </w:p>
    <w:p>
      <w:pPr>
        <w:pStyle w:val="Heading3"/>
        <w:keepNext/>
        <w:widowControl/>
        <w:spacing w:before="180" w:after="60"/>
        <w:rPr/>
      </w:pPr>
      <w:r>
        <w:rPr/>
        <w:t>HR5-205. Religious holidays, schedules and dietary accommodation: Equal Protection and Non-Coercion</w:t>
      </w:r>
    </w:p>
    <w:p>
      <w:pPr>
        <w:pStyle w:val="Normal"/>
        <w:widowControl/>
        <w:spacing w:before="0" w:after="160"/>
        <w:rPr/>
      </w:pPr>
      <w:r>
        <w:rPr/>
        <w:t>Cooperation concerning religious holidays, schedules and dietary accommodation should prioritize equal access, accessibility, non-retaliation and protection of persons facing heightened barriers, while permitting functionally equivalent national approaches.</w:t>
      </w:r>
    </w:p>
    <w:p>
      <w:pPr>
        <w:pStyle w:val="Heading3"/>
        <w:keepNext/>
        <w:widowControl/>
        <w:spacing w:before="180" w:after="60"/>
        <w:rPr/>
      </w:pPr>
      <w:r>
        <w:rPr/>
        <w:t>HR5-206. Religion in prisons, hospitals, military and institutional settings: Freedom of Religion or Belief</w:t>
      </w:r>
    </w:p>
    <w:p>
      <w:pPr>
        <w:pStyle w:val="Normal"/>
        <w:widowControl/>
        <w:spacing w:before="0" w:after="160"/>
        <w:rPr/>
      </w:pPr>
      <w:r>
        <w:rPr/>
        <w:t>The Parties affirm the importance of religion in prisons, hospitals, military and institutional settings and shall seek to strengthen it through cooperative, equivalent or phased measures suited to their respective constitutional and institutional systems.</w:t>
      </w:r>
    </w:p>
    <w:p>
      <w:pPr>
        <w:pStyle w:val="Heading3"/>
        <w:keepNext/>
        <w:widowControl/>
        <w:spacing w:before="180" w:after="60"/>
        <w:rPr/>
      </w:pPr>
      <w:r>
        <w:rPr/>
        <w:t>HR5-207. Religion in prisons, hospitals, military and institutional settings: Equal Protection and Non-Coercion</w:t>
      </w:r>
    </w:p>
    <w:p>
      <w:pPr>
        <w:pStyle w:val="Normal"/>
        <w:widowControl/>
        <w:spacing w:before="0" w:after="160"/>
        <w:rPr/>
      </w:pPr>
      <w:r>
        <w:rPr/>
        <w:t>Cooperation concerning religion in prisons, hospitals, military and institutional settings should prioritize equal access, accessibility, non-retaliation and protection of persons facing heightened barriers, while permitting functionally equivalent national approaches.</w:t>
      </w:r>
    </w:p>
    <w:p>
      <w:pPr>
        <w:pStyle w:val="Heading3"/>
        <w:keepNext/>
        <w:widowControl/>
        <w:spacing w:before="180" w:after="60"/>
        <w:rPr/>
      </w:pPr>
      <w:r>
        <w:rPr/>
        <w:t>HR5-208. Religion in prisons, hospitals, military and institutional settings: Reasonable Accommodation and Manifestation</w:t>
      </w:r>
    </w:p>
    <w:p>
      <w:pPr>
        <w:pStyle w:val="Normal"/>
        <w:widowControl/>
        <w:spacing w:before="0" w:after="160"/>
        <w:rPr/>
      </w:pPr>
      <w:r>
        <w:rPr/>
        <w:t>A Party may implement this mechanism through pilots, mutual learning, capacity-building, recognition of equivalent safeguards or staged implementation. No particular administrative model is required where the substantive objective is reasonably achieved.</w:t>
      </w:r>
    </w:p>
    <w:p>
      <w:pPr>
        <w:pStyle w:val="Heading3"/>
        <w:keepNext/>
        <w:widowControl/>
        <w:spacing w:before="180" w:after="60"/>
        <w:rPr/>
      </w:pPr>
      <w:r>
        <w:rPr/>
        <w:t>HR5-209. Religious leaders, clergy and institutional autonomy: Freedom of Religion or Belief</w:t>
      </w:r>
    </w:p>
    <w:p>
      <w:pPr>
        <w:pStyle w:val="Normal"/>
        <w:widowControl/>
        <w:spacing w:before="0" w:after="160"/>
        <w:rPr/>
      </w:pPr>
      <w:r>
        <w:rPr/>
        <w:t>A Party may elect to participate in the Optional Module on Religious leaders, clergy and institutional autonomy. A participating Party shall implement the commitments it expressly accepts under that Module in accordance with its constitutional order and competent authorities.</w:t>
      </w:r>
    </w:p>
    <w:p>
      <w:pPr>
        <w:pStyle w:val="Heading3"/>
        <w:keepNext/>
        <w:widowControl/>
        <w:spacing w:before="180" w:after="60"/>
        <w:rPr/>
      </w:pPr>
      <w:r>
        <w:rPr/>
        <w:t>HR5-210. Religious leaders, clergy and institutional autonomy: Equal Protection and Non-Coercion</w:t>
      </w:r>
    </w:p>
    <w:p>
      <w:pPr>
        <w:pStyle w:val="Normal"/>
        <w:widowControl/>
        <w:spacing w:before="0" w:after="160"/>
        <w:rPr/>
      </w:pPr>
      <w:r>
        <w:rPr/>
        <w:t>Participating Parties should pursue religious leaders, clergy and institutional autonomy through non-discriminatory, rights-respecting and proportionate measures, with appropriate exceptions for legitimate public purposes and the rights and freedoms of others.</w:t>
      </w:r>
    </w:p>
    <w:p>
      <w:pPr>
        <w:pStyle w:val="Heading3"/>
        <w:keepNext/>
        <w:widowControl/>
        <w:spacing w:before="180" w:after="60"/>
        <w:rPr/>
      </w:pPr>
      <w:r>
        <w:rPr/>
        <w:t>HR5-211. Religious leaders, clergy and institutional autonomy: Reasonable Accommodation and Manifestation</w:t>
      </w:r>
    </w:p>
    <w:p>
      <w:pPr>
        <w:pStyle w:val="Normal"/>
        <w:widowControl/>
        <w:spacing w:before="0" w:after="160"/>
        <w:rPr/>
      </w:pPr>
      <w:r>
        <w:rPr/>
        <w:t>The Optional Module may establish cooperative standards, transparency measures, review procedures or implementation benchmarks concerning religious leaders, clergy and institutional autonomy, while allowing equivalent national methods and reservations expressly recorded at adoption.</w:t>
      </w:r>
    </w:p>
    <w:p>
      <w:pPr>
        <w:pStyle w:val="Heading3"/>
        <w:keepNext/>
        <w:widowControl/>
        <w:spacing w:before="180" w:after="60"/>
        <w:rPr/>
      </w:pPr>
      <w:r>
        <w:rPr/>
        <w:t>HR5-212. Religion, family, marriage and high-sensitivity domestic law: Freedom of Religion or Belief</w:t>
      </w:r>
    </w:p>
    <w:p>
      <w:pPr>
        <w:pStyle w:val="Normal"/>
        <w:widowControl/>
        <w:spacing w:before="0" w:after="160"/>
        <w:rPr/>
      </w:pPr>
      <w:r>
        <w:rPr/>
        <w:t>A Party may elect to participate in the Optional Module on Religion, family, marriage and high-sensitivity domestic law. A participating Party shall implement the commitments it expressly accepts under that Module in accordance with its constitutional order and competent authorities.</w:t>
      </w:r>
    </w:p>
    <w:p>
      <w:pPr>
        <w:pStyle w:val="Heading3"/>
        <w:keepNext/>
        <w:widowControl/>
        <w:spacing w:before="180" w:after="60"/>
        <w:rPr/>
      </w:pPr>
      <w:r>
        <w:rPr/>
        <w:t>HR5-213. Religion, family, marriage and high-sensitivity domestic law: Equal Protection and Non-Coercion</w:t>
      </w:r>
    </w:p>
    <w:p>
      <w:pPr>
        <w:pStyle w:val="Normal"/>
        <w:widowControl/>
        <w:spacing w:before="0" w:after="160"/>
        <w:rPr/>
      </w:pPr>
      <w:r>
        <w:rPr/>
        <w:t>Participating Parties should pursue religion, family, marriage and high-sensitivity domestic law through non-discriminatory, rights-respecting and proportionate measures, with appropriate exceptions for legitimate public purposes and the rights and freedoms of others.</w:t>
      </w:r>
    </w:p>
    <w:p>
      <w:pPr>
        <w:pStyle w:val="Heading3"/>
        <w:keepNext/>
        <w:widowControl/>
        <w:spacing w:before="180" w:after="60"/>
        <w:rPr/>
      </w:pPr>
      <w:r>
        <w:rPr/>
        <w:t>HR5-214. Religious-freedom limitations, public safety and rights balancing: Freedom of Religion or Belief</w:t>
      </w:r>
    </w:p>
    <w:p>
      <w:pPr>
        <w:pStyle w:val="Normal"/>
        <w:widowControl/>
        <w:spacing w:before="0" w:after="160"/>
        <w:rPr/>
      </w:pPr>
      <w:r>
        <w:rPr/>
        <w:t>Each Party shall maintain and apply measures consistent with religious-freedom limitations, public safety and rights balancing, within the scope of this Agreement and subject to the stronger-rights, federalism, competent-authority, security and public-interest safeguards of the Human Rights Framework. The competent authority administering a covered measure shall identify the applicable legal basis and material facts for any significant limitation on this protected interest in a record sufficient for the review available under applicable law. Any limitation shall pursue a legitimate objective, be applied without prohibited discrimination or retaliation, and be no broader or longer than reasonably necessary in the circumstances. A materially affected person or competent representative shall have access, as appropriate under domestic law, to a complaint, reconsideration, review, or other process capable of correcting a material error or unlawful application.</w:t>
      </w:r>
    </w:p>
    <w:p>
      <w:pPr>
        <w:pStyle w:val="Heading3"/>
        <w:keepNext/>
        <w:widowControl/>
        <w:spacing w:before="180" w:after="60"/>
        <w:rPr/>
      </w:pPr>
      <w:r>
        <w:rPr/>
        <w:t>HR5-215. Religious-freedom limitations, public safety and rights balancing: Equal Protection and Non-Coercion</w:t>
      </w:r>
    </w:p>
    <w:p>
      <w:pPr>
        <w:pStyle w:val="Normal"/>
        <w:widowControl/>
        <w:spacing w:before="0" w:after="160"/>
        <w:rPr/>
      </w:pPr>
      <w:r>
        <w:rPr/>
        <w:t>A Party shall not administer a measure covered by this Agreement in a manner that defeats religious-freedom limitations, public safety and rights balancing through prohibited discrimination, arbitrary distinction, retaliation or bad-faith circumvention. Objective and proportionate distinctions pursuing a legitimate public purpose remain permitted. The competent authority administering a covered measure shall identify the applicable legal basis and material facts for any significant limitation on this protected interest in a record sufficient for the review available under applicable law. Any limitation shall pursue a legitimate objective, be applied without prohibited discrimination or retaliation, and be no broader or longer than reasonably necessary in the circumstances.</w:t>
      </w:r>
    </w:p>
    <w:p>
      <w:pPr>
        <w:pStyle w:val="Heading3"/>
        <w:keepNext/>
        <w:widowControl/>
        <w:spacing w:before="180" w:after="60"/>
        <w:rPr/>
      </w:pPr>
      <w:r>
        <w:rPr/>
        <w:t>HR5-216. Religious-freedom limitations, public safety and rights balancing: Reasonable Accommodation and Manifestation</w:t>
      </w:r>
    </w:p>
    <w:p>
      <w:pPr>
        <w:pStyle w:val="Normal"/>
        <w:widowControl/>
        <w:spacing w:before="0" w:after="160"/>
        <w:rPr/>
      </w:pPr>
      <w:r>
        <w:rPr/>
        <w:t>Each Party shall use reasonable, proportionate and administrable measures to give practical effect to religious-freedom limitations, public safety and rights balancing. Implementation may reflect constitutional structure, division of powers and existing institutions, provided that equivalent protection of the covered interest is maintained. The competent authority administering a covered measure shall identify the applicable legal basis and material facts for any significant limitation on this protected interest in a record sufficient for the review available under applicable law. Any limitation shall pursue a legitimate objective, be applied without prohibited discrimination or retaliation, and be no broader or longer than reasonably necessary in the circumstances.</w:t>
      </w:r>
    </w:p>
    <w:p>
      <w:pPr>
        <w:pStyle w:val="Heading3"/>
        <w:keepNext/>
        <w:widowControl/>
        <w:spacing w:before="180" w:after="60"/>
        <w:rPr/>
      </w:pPr>
      <w:r>
        <w:rPr/>
        <w:t>HR5-217. Religious-freedom monitoring and participation: Freedom of Religion or Belief</w:t>
      </w:r>
    </w:p>
    <w:p>
      <w:pPr>
        <w:pStyle w:val="Normal"/>
        <w:widowControl/>
        <w:spacing w:before="0" w:after="160"/>
        <w:rPr/>
      </w:pPr>
      <w:r>
        <w:rPr/>
        <w:t>The Parties affirm the importance of religious-freedom monitoring and participation and shall seek to strengthen it through cooperative, equivalent or phased measures suited to their respective constitutional and institutional systems.</w:t>
      </w:r>
    </w:p>
    <w:p>
      <w:pPr>
        <w:pStyle w:val="Heading3"/>
        <w:keepNext/>
        <w:widowControl/>
        <w:spacing w:before="180" w:after="60"/>
        <w:rPr/>
      </w:pPr>
      <w:r>
        <w:rPr/>
        <w:t>HR5-218. Religious-freedom monitoring and participation: Equal Protection and Non-Coercion</w:t>
      </w:r>
    </w:p>
    <w:p>
      <w:pPr>
        <w:pStyle w:val="Normal"/>
        <w:widowControl/>
        <w:spacing w:before="0" w:after="160"/>
        <w:rPr/>
      </w:pPr>
      <w:r>
        <w:rPr/>
        <w:t>Cooperation concerning religious-freedom monitoring and participation should prioritize equal access, accessibility, non-retaliation and protection of persons facing heightened barriers, while permitting functionally equivalent national approaches.</w:t>
      </w:r>
    </w:p>
    <w:p>
      <w:pPr>
        <w:pStyle w:val="Heading3"/>
        <w:keepNext/>
        <w:widowControl/>
        <w:spacing w:before="180" w:after="60"/>
        <w:rPr/>
      </w:pPr>
      <w:r>
        <w:rPr/>
        <w:t>HR5-219. Freedom of movement and residence: Mobility Rights Safeguard</w:t>
      </w:r>
    </w:p>
    <w:p>
      <w:pPr>
        <w:pStyle w:val="Normal"/>
        <w:widowControl/>
        <w:spacing w:before="0" w:after="160"/>
        <w:rPr/>
      </w:pPr>
      <w:r>
        <w:rPr/>
        <w:t>Each Party shall maintain and apply measures consistent with freedom of movement and residence, within the scope of this Agreement and subject to the stronger-rights, federalism, competent-authority, security and public-interest safeguards of the Human Rights Framework. The competent authority administering a covered measure shall identify the applicable legal basis and material facts for any significant limitation on this protected interest in a record sufficient for the review available under applicable law. Any limitation shall pursue a legitimate objective, be applied without prohibited discrimination or retaliation, and be no broader or longer than reasonably necessary in the circumstances. A materially affected person or competent representative shall have access, as appropriate under domestic law, to a complaint, reconsideration, review, or other process capable of correcting a material error or unlawful application.</w:t>
      </w:r>
    </w:p>
    <w:p>
      <w:pPr>
        <w:pStyle w:val="Heading3"/>
        <w:keepNext/>
        <w:widowControl/>
        <w:spacing w:before="180" w:after="60"/>
        <w:rPr/>
      </w:pPr>
      <w:r>
        <w:rPr/>
        <w:t>HR5-220. Freedom of movement and residence: Equal and Status-Neutral Treatment</w:t>
      </w:r>
    </w:p>
    <w:p>
      <w:pPr>
        <w:pStyle w:val="Normal"/>
        <w:widowControl/>
        <w:spacing w:before="0" w:after="160"/>
        <w:rPr/>
      </w:pPr>
      <w:r>
        <w:rPr/>
        <w:t>A Party shall not administer a measure covered by this Agreement in a manner that defeats freedom of movement and residence through prohibited discrimination, arbitrary distinction, retaliation or bad-faith circumvention. Objective and proportionate distinctions pursuing a legitimate public purpose remain permitted. The competent authority administering a covered measure shall identify the applicable legal basis and material facts for any significant limitation on this protected interest in a record sufficient for the review available under applicable law. Any limitation shall pursue a legitimate objective, be applied without prohibited discrimination or retaliation, and be no broader or longer than reasonably necessary in the circumstances.</w:t>
      </w:r>
    </w:p>
    <w:p>
      <w:pPr>
        <w:pStyle w:val="Heading3"/>
        <w:keepNext/>
        <w:widowControl/>
        <w:spacing w:before="180" w:after="60"/>
        <w:rPr/>
      </w:pPr>
      <w:r>
        <w:rPr/>
        <w:t>HR5-221. Freedom of movement and residence: Proportionate Restrictions</w:t>
      </w:r>
    </w:p>
    <w:p>
      <w:pPr>
        <w:pStyle w:val="Normal"/>
        <w:widowControl/>
        <w:spacing w:before="0" w:after="160"/>
        <w:rPr/>
      </w:pPr>
      <w:r>
        <w:rPr/>
        <w:t>Each Party shall use reasonable, proportionate and administrable measures to give practical effect to freedom of movement and residence. Implementation may reflect constitutional structure, division of powers and existing institutions, provided that equivalent protection of the covered interest is maintained. The competent authority administering a covered measure shall identify the applicable legal basis and material facts for any significant limitation on this protected interest in a record sufficient for the review available under applicable law. Any limitation shall pursue a legitimate objective, be applied without prohibited discrimination or retaliation, and be no broader or longer than reasonably necessary in the circumstances.</w:t>
      </w:r>
    </w:p>
    <w:p>
      <w:pPr>
        <w:pStyle w:val="Heading3"/>
        <w:keepNext/>
        <w:widowControl/>
        <w:spacing w:before="180" w:after="60"/>
        <w:rPr/>
      </w:pPr>
      <w:r>
        <w:rPr/>
        <w:t>HR5-222. Freedom of movement and residence: Notice, Review and Remedy</w:t>
      </w:r>
    </w:p>
    <w:p>
      <w:pPr>
        <w:pStyle w:val="Normal"/>
        <w:widowControl/>
        <w:spacing w:before="0" w:after="160"/>
        <w:rPr/>
      </w:pPr>
      <w:r>
        <w:rPr/>
        <w:t>A person materially affected by a covered governmental measure implicating freedom of movement and residence shall have access, as appropriate under domestic law, to notice, reasons, review, complaint or another effective process. This Article does not itself create a private cause of action, criminal offence or automatic civil liability. The competent authority shall provide a materially affected person with notice of the relevant basis, a meaningful opportunity to respond where practicable, and reasons sufficient to permit the review available under applicable law. Review shall be conducted by an authority or process capable of correcting material error, unlawful discrimination, retaliation, or a denial of the protected procedural interest.</w:t>
      </w:r>
    </w:p>
    <w:p>
      <w:pPr>
        <w:pStyle w:val="Heading3"/>
        <w:keepNext/>
        <w:widowControl/>
        <w:spacing w:before="180" w:after="60"/>
        <w:rPr/>
      </w:pPr>
      <w:r>
        <w:rPr/>
        <w:t>HR5-223. Right to leave a country and travel documents: Mobility Rights Safeguard</w:t>
      </w:r>
    </w:p>
    <w:p>
      <w:pPr>
        <w:pStyle w:val="Normal"/>
        <w:widowControl/>
        <w:spacing w:before="0" w:after="160"/>
        <w:rPr/>
      </w:pPr>
      <w:r>
        <w:rPr/>
        <w:t>Each Party shall maintain and apply measures consistent with right to leave a country and travel documents, within the scope of this Agreement and subject to the stronger-rights, federalism, competent-authority, security and public-interest safeguards of the Human Rights Framework. The competent authority administering a covered measure shall identify the applicable legal basis and material facts for any significant limitation on this protected interest in a record sufficient for the review available under applicable law. Any limitation shall pursue a legitimate objective, be applied without prohibited discrimination or retaliation, and be no broader or longer than reasonably necessary in the circumstances. A materially affected person or competent representative shall have access, as appropriate under domestic law, to a complaint, reconsideration, review, or other process capable of correcting a material error or unlawful application.</w:t>
      </w:r>
    </w:p>
    <w:p>
      <w:pPr>
        <w:pStyle w:val="Heading3"/>
        <w:keepNext/>
        <w:widowControl/>
        <w:spacing w:before="180" w:after="60"/>
        <w:rPr/>
      </w:pPr>
      <w:r>
        <w:rPr/>
        <w:t>HR5-224. Right to leave a country and travel documents: Equal and Status-Neutral Treatment</w:t>
      </w:r>
    </w:p>
    <w:p>
      <w:pPr>
        <w:pStyle w:val="Normal"/>
        <w:widowControl/>
        <w:spacing w:before="0" w:after="160"/>
        <w:rPr/>
      </w:pPr>
      <w:r>
        <w:rPr/>
        <w:t>A Party shall not administer a measure covered by this Agreement in a manner that defeats right to leave a country and travel documents through prohibited discrimination, arbitrary distinction, retaliation or bad-faith circumvention. Objective and proportionate distinctions pursuing a legitimate public purpose remain permitted. The competent authority administering a covered measure shall identify the applicable legal basis and material facts for any significant limitation on this protected interest in a record sufficient for the review available under applicable law. Any limitation shall pursue a legitimate objective, be applied without prohibited discrimination or retaliation, and be no broader or longer than reasonably necessary in the circumstances.</w:t>
      </w:r>
    </w:p>
    <w:p>
      <w:pPr>
        <w:pStyle w:val="Heading3"/>
        <w:keepNext/>
        <w:widowControl/>
        <w:spacing w:before="180" w:after="60"/>
        <w:rPr/>
      </w:pPr>
      <w:r>
        <w:rPr/>
        <w:t>HR5-225. Return to one's own country and anti-exile safeguards: Mobility Rights Safeguard</w:t>
      </w:r>
    </w:p>
    <w:p>
      <w:pPr>
        <w:pStyle w:val="Normal"/>
        <w:widowControl/>
        <w:spacing w:before="0" w:after="160"/>
        <w:rPr/>
      </w:pPr>
      <w:r>
        <w:rPr/>
        <w:t>Each Party shall maintain and apply measures consistent with return to one's own country and anti-exile safeguards, within the scope of this Agreement and subject to the stronger-rights, federalism, competent-authority, security and public-interest safeguards of the Human Rights Framework. The competent authority administering a covered measure shall identify the applicable legal basis and material facts for any significant limitation on this protected interest in a record sufficient for the review available under applicable law. Any limitation shall pursue a legitimate objective, be applied without prohibited discrimination or retaliation, and be no broader or longer than reasonably necessary in the circumstances. A materially affected person or competent representative shall have access, as appropriate under domestic law, to a complaint, reconsideration, review, or other process capable of correcting a material error or unlawful application.</w:t>
      </w:r>
    </w:p>
    <w:p>
      <w:pPr>
        <w:pStyle w:val="Heading3"/>
        <w:keepNext/>
        <w:widowControl/>
        <w:spacing w:before="180" w:after="60"/>
        <w:rPr/>
      </w:pPr>
      <w:r>
        <w:rPr/>
        <w:t>HR5-226. Return to one's own country and anti-exile safeguards: Equal and Status-Neutral Treatment</w:t>
      </w:r>
    </w:p>
    <w:p>
      <w:pPr>
        <w:pStyle w:val="Normal"/>
        <w:widowControl/>
        <w:spacing w:before="0" w:after="160"/>
        <w:rPr/>
      </w:pPr>
      <w:r>
        <w:rPr/>
        <w:t>A Party shall not administer a measure covered by this Agreement in a manner that defeats return to one's own country and anti-exile safeguards through prohibited discrimination, arbitrary distinction, retaliation or bad-faith circumvention. Objective and proportionate distinctions pursuing a legitimate public purpose remain permitted. The competent authority administering a covered measure shall identify the applicable legal basis and material facts for any significant limitation on this protected interest in a record sufficient for the review available under applicable law. Any limitation shall pursue a legitimate objective, be applied without prohibited discrimination or retaliation, and be no broader or longer than reasonably necessary in the circumstances.</w:t>
      </w:r>
    </w:p>
    <w:p>
      <w:pPr>
        <w:pStyle w:val="Heading3"/>
        <w:keepNext/>
        <w:widowControl/>
        <w:spacing w:before="180" w:after="60"/>
        <w:rPr/>
      </w:pPr>
      <w:r>
        <w:rPr/>
        <w:t>HR5-227. Migrant-worker and family mobility: Mobility Rights Safeguard</w:t>
      </w:r>
    </w:p>
    <w:p>
      <w:pPr>
        <w:pStyle w:val="Normal"/>
        <w:widowControl/>
        <w:spacing w:before="0" w:after="160"/>
        <w:rPr/>
      </w:pPr>
      <w:r>
        <w:rPr/>
        <w:t>The Parties affirm the importance of migrant-worker and family mobility and shall seek to strengthen it through cooperative, equivalent or phased measures suited to their respective constitutional and institutional systems.</w:t>
      </w:r>
    </w:p>
    <w:p>
      <w:pPr>
        <w:pStyle w:val="Heading3"/>
        <w:keepNext/>
        <w:widowControl/>
        <w:spacing w:before="180" w:after="60"/>
        <w:rPr/>
      </w:pPr>
      <w:r>
        <w:rPr/>
        <w:t>HR5-228. Migrant-worker and family mobility: Equal and Status-Neutral Treatment</w:t>
      </w:r>
    </w:p>
    <w:p>
      <w:pPr>
        <w:pStyle w:val="Normal"/>
        <w:widowControl/>
        <w:spacing w:before="0" w:after="160"/>
        <w:rPr/>
      </w:pPr>
      <w:r>
        <w:rPr/>
        <w:t>Cooperation concerning migrant-worker and family mobility should prioritize equal access, accessibility, non-retaliation and protection of persons facing heightened barriers, while permitting functionally equivalent national approaches.</w:t>
      </w:r>
    </w:p>
    <w:p>
      <w:pPr>
        <w:pStyle w:val="Heading3"/>
        <w:keepNext/>
        <w:widowControl/>
        <w:spacing w:before="180" w:after="60"/>
        <w:rPr/>
      </w:pPr>
      <w:r>
        <w:rPr/>
        <w:t>HR5-229. Refugee and asylum-seeker mobility: Mobility Rights Safeguard</w:t>
      </w:r>
    </w:p>
    <w:p>
      <w:pPr>
        <w:pStyle w:val="Normal"/>
        <w:widowControl/>
        <w:spacing w:before="0" w:after="160"/>
        <w:rPr/>
      </w:pPr>
      <w:r>
        <w:rPr/>
        <w:t>Each Party shall maintain and apply measures consistent with refugee and asylum-seeker mobility, within the scope of this Agreement and subject to the stronger-rights, federalism, competent-authority, security and public-interest safeguards of the Human Rights Framework. The competent authority administering a covered measure shall identify the applicable legal basis and material facts for any significant limitation on this protected interest in a record sufficient for the review available under applicable law. Any limitation shall pursue a legitimate objective, be applied without prohibited discrimination or retaliation, and be no broader or longer than reasonably necessary in the circumstances. A materially affected person or competent representative shall have access, as appropriate under domestic law, to a complaint, reconsideration, review, or other process capable of correcting a material error or unlawful application.</w:t>
      </w:r>
    </w:p>
    <w:p>
      <w:pPr>
        <w:pStyle w:val="Heading3"/>
        <w:keepNext/>
        <w:widowControl/>
        <w:spacing w:before="180" w:after="60"/>
        <w:rPr/>
      </w:pPr>
      <w:r>
        <w:rPr/>
        <w:t>HR5-230. Refugee and asylum-seeker mobility: Equal and Status-Neutral Treatment</w:t>
      </w:r>
    </w:p>
    <w:p>
      <w:pPr>
        <w:pStyle w:val="Normal"/>
        <w:widowControl/>
        <w:spacing w:before="0" w:after="160"/>
        <w:rPr/>
      </w:pPr>
      <w:r>
        <w:rPr/>
        <w:t>A Party shall not administer a measure covered by this Agreement in a manner that defeats refugee and asylum-seeker mobility through prohibited discrimination, arbitrary distinction, retaliation or bad-faith circumvention. Objective and proportionate distinctions pursuing a legitimate public purpose remain permitted. The competent authority administering a covered measure shall identify the applicable legal basis and material facts for any significant limitation on this protected interest in a record sufficient for the review available under applicable law. Any limitation shall pursue a legitimate objective, be applied without prohibited discrimination or retaliation, and be no broader or longer than reasonably necessary in the circumstances.</w:t>
      </w:r>
    </w:p>
    <w:p>
      <w:pPr>
        <w:pStyle w:val="Heading3"/>
        <w:keepNext/>
        <w:widowControl/>
        <w:spacing w:before="180" w:after="60"/>
        <w:rPr/>
      </w:pPr>
      <w:r>
        <w:rPr/>
        <w:t>HR5-231. Disability-inclusive personal mobility: Mobility Rights Safeguard</w:t>
      </w:r>
    </w:p>
    <w:p>
      <w:pPr>
        <w:pStyle w:val="Normal"/>
        <w:widowControl/>
        <w:spacing w:before="0" w:after="160"/>
        <w:rPr/>
      </w:pPr>
      <w:r>
        <w:rPr/>
        <w:t>The Parties affirm the importance of disability-inclusive personal mobility and shall seek to strengthen it through cooperative, equivalent or phased measures suited to their respective constitutional and institutional systems.</w:t>
      </w:r>
    </w:p>
    <w:p>
      <w:pPr>
        <w:pStyle w:val="Heading3"/>
        <w:keepNext/>
        <w:widowControl/>
        <w:spacing w:before="180" w:after="60"/>
        <w:rPr/>
      </w:pPr>
      <w:r>
        <w:rPr/>
        <w:t>HR5-232. Disability-inclusive personal mobility: Equal and Status-Neutral Treatment</w:t>
      </w:r>
    </w:p>
    <w:p>
      <w:pPr>
        <w:pStyle w:val="Normal"/>
        <w:widowControl/>
        <w:spacing w:before="0" w:after="160"/>
        <w:rPr/>
      </w:pPr>
      <w:r>
        <w:rPr/>
        <w:t>Cooperation concerning disability-inclusive personal mobility should prioritize equal access, accessibility, non-retaliation and protection of persons facing heightened barriers, while permitting functionally equivalent national approaches.</w:t>
      </w:r>
    </w:p>
    <w:p>
      <w:pPr>
        <w:pStyle w:val="Heading3"/>
        <w:keepNext/>
        <w:widowControl/>
        <w:spacing w:before="180" w:after="60"/>
        <w:rPr/>
      </w:pPr>
      <w:r>
        <w:rPr/>
        <w:t>HR5-233. Child and family cross-border mobility: Mobility Rights Safeguard</w:t>
      </w:r>
    </w:p>
    <w:p>
      <w:pPr>
        <w:pStyle w:val="Normal"/>
        <w:widowControl/>
        <w:spacing w:before="0" w:after="160"/>
        <w:rPr/>
      </w:pPr>
      <w:r>
        <w:rPr/>
        <w:t>The Parties affirm the importance of child and family cross-border mobility and shall seek to strengthen it through cooperative, equivalent or phased measures suited to their respective constitutional and institutional systems.</w:t>
      </w:r>
    </w:p>
    <w:p>
      <w:pPr>
        <w:pStyle w:val="Heading3"/>
        <w:keepNext/>
        <w:widowControl/>
        <w:spacing w:before="180" w:after="60"/>
        <w:rPr/>
      </w:pPr>
      <w:r>
        <w:rPr/>
        <w:t>HR5-234. Child and family cross-border mobility: Equal and Status-Neutral Treatment</w:t>
      </w:r>
    </w:p>
    <w:p>
      <w:pPr>
        <w:pStyle w:val="Normal"/>
        <w:widowControl/>
        <w:spacing w:before="0" w:after="160"/>
        <w:rPr/>
      </w:pPr>
      <w:r>
        <w:rPr/>
        <w:t>Cooperation concerning child and family cross-border mobility should prioritize equal access, accessibility, non-retaliation and protection of persons facing heightened barriers, while permitting functionally equivalent national approaches.</w:t>
      </w:r>
    </w:p>
    <w:p>
      <w:pPr>
        <w:pStyle w:val="Heading3"/>
        <w:keepNext/>
        <w:widowControl/>
        <w:spacing w:before="180" w:after="60"/>
        <w:rPr/>
      </w:pPr>
      <w:r>
        <w:rPr/>
        <w:t>HR5-235. Business-person and professional temporary mobility: Mobility Rights Safeguard</w:t>
      </w:r>
    </w:p>
    <w:p>
      <w:pPr>
        <w:pStyle w:val="Normal"/>
        <w:widowControl/>
        <w:spacing w:before="0" w:after="160"/>
        <w:rPr/>
      </w:pPr>
      <w:r>
        <w:rPr/>
        <w:t>The Parties affirm the importance of business-person and professional temporary mobility and shall seek to strengthen it through cooperative, equivalent or phased measures suited to their respective constitutional and institutional systems.</w:t>
      </w:r>
    </w:p>
    <w:p>
      <w:pPr>
        <w:pStyle w:val="Heading3"/>
        <w:keepNext/>
        <w:widowControl/>
        <w:spacing w:before="180" w:after="60"/>
        <w:rPr/>
      </w:pPr>
      <w:r>
        <w:rPr/>
        <w:t>HR5-236. Business-person and professional temporary mobility: Equal and Status-Neutral Treatment</w:t>
      </w:r>
    </w:p>
    <w:p>
      <w:pPr>
        <w:pStyle w:val="Normal"/>
        <w:widowControl/>
        <w:spacing w:before="0" w:after="160"/>
        <w:rPr/>
      </w:pPr>
      <w:r>
        <w:rPr/>
        <w:t>Cooperation concerning business-person and professional temporary mobility should prioritize equal access, accessibility, non-retaliation and protection of persons facing heightened barriers, while permitting functionally equivalent national approaches.</w:t>
      </w:r>
    </w:p>
    <w:p>
      <w:pPr>
        <w:pStyle w:val="Heading3"/>
        <w:keepNext/>
        <w:widowControl/>
        <w:spacing w:before="180" w:after="60"/>
        <w:rPr/>
      </w:pPr>
      <w:r>
        <w:rPr/>
        <w:t>HR5-237. Mobility nondiscrimination and profiling limits: Mobility Rights Safeguard</w:t>
      </w:r>
    </w:p>
    <w:p>
      <w:pPr>
        <w:pStyle w:val="Normal"/>
        <w:widowControl/>
        <w:spacing w:before="0" w:after="160"/>
        <w:rPr/>
      </w:pPr>
      <w:r>
        <w:rPr/>
        <w:t>Each Party shall maintain and apply measures consistent with mobility nondiscrimination and profiling limits, within the scope of this Agreement and subject to the stronger-rights, federalism, competent-authority, security and public-interest safeguards of the Human Rights Framework. The competent authority administering a covered measure shall identify the applicable legal basis and material facts for any significant limitation on this protected interest in a record sufficient for the review available under applicable law. Any limitation shall pursue a legitimate objective, be applied without prohibited discrimination or retaliation, and be no broader or longer than reasonably necessary in the circumstances. A materially affected person or competent representative shall have access, as appropriate under domestic law, to a complaint, reconsideration, review, or other process capable of correcting a material error or unlawful application.</w:t>
      </w:r>
    </w:p>
    <w:p>
      <w:pPr>
        <w:pStyle w:val="Heading3"/>
        <w:keepNext/>
        <w:widowControl/>
        <w:spacing w:before="180" w:after="60"/>
        <w:rPr/>
      </w:pPr>
      <w:r>
        <w:rPr/>
        <w:t>HR5-238. Mobility due process, removal and travel-restriction review: Mobility Rights Safeguard</w:t>
      </w:r>
    </w:p>
    <w:p>
      <w:pPr>
        <w:pStyle w:val="Normal"/>
        <w:widowControl/>
        <w:spacing w:before="0" w:after="160"/>
        <w:rPr/>
      </w:pPr>
      <w:r>
        <w:rPr/>
        <w:t>Each Party shall maintain and apply measures consistent with mobility due process, removal and travel-restriction review, within the scope of this Agreement and subject to the stronger-rights, federalism, competent-authority, security and public-interest safeguards of the Human Rights Framework. The competent authority administering a covered measure shall identify the applicable legal basis and material facts for any significant limitation on this protected interest in a record sufficient for the review available under applicable law. Any limitation shall pursue a legitimate objective, be applied without prohibited discrimination or retaliation, and be no broader or longer than reasonably necessary in the circumstances. A materially affected person or competent representative shall have access, as appropriate under domestic law, to a complaint, reconsideration, review, or other process capable of correcting a material error or unlawful application.</w:t>
      </w:r>
    </w:p>
    <w:p>
      <w:pPr>
        <w:pStyle w:val="Heading3"/>
        <w:keepNext/>
        <w:widowControl/>
        <w:spacing w:before="180" w:after="60"/>
        <w:rPr/>
      </w:pPr>
      <w:r>
        <w:rPr/>
        <w:t>HR5-239. Mobility due process, removal and travel-restriction review: Equal and Status-Neutral Treatment</w:t>
      </w:r>
    </w:p>
    <w:p>
      <w:pPr>
        <w:pStyle w:val="Normal"/>
        <w:widowControl/>
        <w:spacing w:before="0" w:after="160"/>
        <w:rPr/>
      </w:pPr>
      <w:r>
        <w:rPr/>
        <w:t>A Party shall not administer a measure covered by this Agreement in a manner that defeats mobility due process, removal and travel-restriction review through prohibited discrimination, arbitrary distinction, retaliation or bad-faith circumvention. Objective and proportionate distinctions pursuing a legitimate public purpose remain permitted. The competent authority administering a covered measure shall identify the applicable legal basis and material facts for any significant limitation on this protected interest in a record sufficient for the review available under applicable law. Any limitation shall pursue a legitimate objective, be applied without prohibited discrimination or retaliation, and be no broader or longer than reasonably necessary in the circumstances.</w:t>
      </w:r>
    </w:p>
    <w:p>
      <w:pPr>
        <w:pStyle w:val="Heading3"/>
        <w:keepNext/>
        <w:widowControl/>
        <w:spacing w:before="180" w:after="60"/>
        <w:rPr/>
      </w:pPr>
      <w:r>
        <w:rPr/>
        <w:t>HR5-240. Democratic participation and popular legitimacy: Protected Democratic Principle</w:t>
      </w:r>
    </w:p>
    <w:p>
      <w:pPr>
        <w:pStyle w:val="Normal"/>
        <w:widowControl/>
        <w:spacing w:before="0" w:after="160"/>
        <w:rPr/>
      </w:pPr>
      <w:r>
        <w:rPr/>
        <w:t>The Parties affirm that public authority derives from lawful democratic institutions and meaningful public participation. Measures adopted under this Agreement shall not be interpreted to require the suspension, displacement or circumvention of constitutional democratic processes. The competent authority administering a covered measure shall identify the applicable legal basis and material facts for any significant limitation on this protected interest in a record sufficient for the review available under applicable law. Any limitation shall pursue a legitimate objective, be applied without prohibited discrimination or retaliation, and be no broader or longer than reasonably necessary in the circumstances.</w:t>
      </w:r>
    </w:p>
    <w:p>
      <w:pPr>
        <w:pStyle w:val="Heading3"/>
        <w:keepNext/>
        <w:widowControl/>
        <w:spacing w:before="180" w:after="60"/>
        <w:rPr/>
      </w:pPr>
      <w:r>
        <w:rPr/>
        <w:t>HR5-241. Democratic participation and popular legitimacy: Equal and Effective Participation</w:t>
      </w:r>
    </w:p>
    <w:p>
      <w:pPr>
        <w:pStyle w:val="Normal"/>
        <w:widowControl/>
        <w:spacing w:before="0" w:after="160"/>
        <w:rPr/>
      </w:pPr>
      <w:r>
        <w:rPr/>
        <w:t>A Party shall not administer a measure covered by this Agreement in a manner that defeats democratic participation and popular legitimacy through prohibited discrimination, arbitrary distinction, retaliation or bad-faith circumvention. Objective and proportionate distinctions pursuing a legitimate public purpose remain permitted. The competent authority administering a covered measure shall identify the applicable legal basis and material facts for any significant limitation on this protected interest in a record sufficient for the review available under applicable law. Any limitation shall pursue a legitimate objective, be applied without prohibited discrimination or retaliation, and be no broader or longer than reasonably necessary in the circumstances.</w:t>
      </w:r>
    </w:p>
    <w:p>
      <w:pPr>
        <w:pStyle w:val="Heading3"/>
        <w:keepNext/>
        <w:widowControl/>
        <w:spacing w:before="180" w:after="60"/>
        <w:rPr/>
      </w:pPr>
      <w:r>
        <w:rPr/>
        <w:t>HR5-242. Universal and equal suffrage: Protected Democratic Principle</w:t>
      </w:r>
    </w:p>
    <w:p>
      <w:pPr>
        <w:pStyle w:val="Normal"/>
        <w:widowControl/>
        <w:spacing w:before="0" w:after="160"/>
        <w:rPr/>
      </w:pPr>
      <w:r>
        <w:rPr/>
        <w:t>Each participating constitutional order shall preserve universal and equal suffrage for citizens entitled to vote under its law, without discrimination prohibited by the Human Rights Framework. Nothing in this Article prescribes a voting age, citizenship rule or electoral system. The competent authority administering a covered measure shall identify the applicable legal basis and material facts for any significant limitation on this protected interest in a record sufficient for the review available under applicable law. Any limitation shall pursue a legitimate objective, be applied without prohibited discrimination or retaliation, and be no broader or longer than reasonably necessary in the circumstances.</w:t>
      </w:r>
    </w:p>
    <w:p>
      <w:pPr>
        <w:pStyle w:val="Heading3"/>
        <w:keepNext/>
        <w:widowControl/>
        <w:spacing w:before="180" w:after="60"/>
        <w:rPr/>
      </w:pPr>
      <w:r>
        <w:rPr/>
        <w:t>HR5-243. Universal and equal suffrage: Equal and Effective Participation</w:t>
      </w:r>
    </w:p>
    <w:p>
      <w:pPr>
        <w:pStyle w:val="Normal"/>
        <w:widowControl/>
        <w:spacing w:before="0" w:after="160"/>
        <w:rPr/>
      </w:pPr>
      <w:r>
        <w:rPr/>
        <w:t>A Party shall not administer a measure covered by this Agreement in a manner that defeats universal and equal suffrage through prohibited discrimination, arbitrary distinction, retaliation or bad-faith circumvention. Objective and proportionate distinctions pursuing a legitimate public purpose remain permitted. The competent authority administering a covered measure shall identify the applicable legal basis and material facts for any significant limitation on this protected interest in a record sufficient for the review available under applicable law. Any limitation shall pursue a legitimate objective, be applied without prohibited discrimination or retaliation, and be no broader or longer than reasonably necessary in the circumstances.</w:t>
      </w:r>
    </w:p>
    <w:p>
      <w:pPr>
        <w:pStyle w:val="Heading3"/>
        <w:keepNext/>
        <w:widowControl/>
        <w:spacing w:before="180" w:after="60"/>
        <w:rPr/>
      </w:pPr>
      <w:r>
        <w:rPr/>
        <w:t>HR5-244. Universal and equal suffrage: Integrity and Anti-Coercion</w:t>
      </w:r>
    </w:p>
    <w:p>
      <w:pPr>
        <w:pStyle w:val="Normal"/>
        <w:widowControl/>
        <w:spacing w:before="0" w:after="160"/>
        <w:rPr/>
      </w:pPr>
      <w:r>
        <w:rPr/>
        <w:t>Each Party shall use reasonable, proportionate and administrable measures to give practical effect to universal and equal suffrage. Implementation may reflect constitutional structure, division of powers and existing institutions, provided that equivalent protection of the covered interest is maintained. The competent authority administering a covered measure shall identify the applicable legal basis and material facts for any significant limitation on this protected interest in a record sufficient for the review available under applicable law. Any limitation shall pursue a legitimate objective, be applied without prohibited discrimination or retaliation, and be no broader or longer than reasonably necessary in the circumstances.</w:t>
      </w:r>
    </w:p>
    <w:p>
      <w:pPr>
        <w:pStyle w:val="Heading3"/>
        <w:keepNext/>
        <w:widowControl/>
        <w:spacing w:before="180" w:after="60"/>
        <w:rPr/>
      </w:pPr>
      <w:r>
        <w:rPr/>
        <w:t>HR5-245. Universal and equal suffrage: Accessible Procedure and Review</w:t>
      </w:r>
    </w:p>
    <w:p>
      <w:pPr>
        <w:pStyle w:val="Normal"/>
        <w:widowControl/>
        <w:spacing w:before="0" w:after="160"/>
        <w:rPr/>
      </w:pPr>
      <w:r>
        <w:rPr/>
        <w:t>A person materially affected by a covered governmental measure implicating universal and equal suffrage shall have access, as appropriate under domestic law, to notice, reasons, review, complaint or another effective process. This Article does not itself create a private cause of action, criminal offence or automatic civil liability. The competent authority shall provide a materially affected person with notice of the relevant basis, a meaningful opportunity to respond where practicable, and reasons sufficient to permit the review available under applicable law. Review shall be conducted by an authority or process capable of correcting material error, unlawful discrimination, retaliation, or a denial of the protected procedural interest.</w:t>
      </w:r>
    </w:p>
    <w:p>
      <w:pPr>
        <w:pStyle w:val="Heading3"/>
        <w:keepNext/>
        <w:widowControl/>
        <w:spacing w:before="180" w:after="60"/>
        <w:rPr/>
      </w:pPr>
      <w:r>
        <w:rPr/>
        <w:t>HR5-246. Voter registration and practical access: Protected Democratic Principle</w:t>
      </w:r>
    </w:p>
    <w:p>
      <w:pPr>
        <w:pStyle w:val="Normal"/>
        <w:widowControl/>
        <w:spacing w:before="0" w:after="160"/>
        <w:rPr/>
      </w:pPr>
      <w:r>
        <w:rPr/>
        <w:t>A Party may elect to participate in the Optional Module on Voter registration and practical access. A participating Party shall implement the commitments it expressly accepts under that Module in accordance with its constitutional order and competent authorities.</w:t>
      </w:r>
    </w:p>
    <w:p>
      <w:pPr>
        <w:pStyle w:val="Heading3"/>
        <w:keepNext/>
        <w:widowControl/>
        <w:spacing w:before="180" w:after="60"/>
        <w:rPr/>
      </w:pPr>
      <w:r>
        <w:rPr/>
        <w:t>HR5-247. Voter registration and practical access: Equal and Effective Participation</w:t>
      </w:r>
    </w:p>
    <w:p>
      <w:pPr>
        <w:pStyle w:val="Normal"/>
        <w:widowControl/>
        <w:spacing w:before="0" w:after="160"/>
        <w:rPr/>
      </w:pPr>
      <w:r>
        <w:rPr/>
        <w:t>Participating Parties should pursue voter registration and practical access through non-discriminatory, rights-respecting and proportionate measures, with appropriate exceptions for legitimate public purposes and the rights and freedoms of others.</w:t>
      </w:r>
    </w:p>
    <w:p>
      <w:pPr>
        <w:pStyle w:val="Heading3"/>
        <w:keepNext/>
        <w:widowControl/>
        <w:spacing w:before="180" w:after="60"/>
        <w:rPr/>
      </w:pPr>
      <w:r>
        <w:rPr/>
        <w:t>HR5-248. Secret ballot and freedom from compelled disclosure: Protected Democratic Principle</w:t>
      </w:r>
    </w:p>
    <w:p>
      <w:pPr>
        <w:pStyle w:val="Normal"/>
        <w:widowControl/>
        <w:spacing w:before="0" w:after="160"/>
        <w:rPr/>
      </w:pPr>
      <w:r>
        <w:rPr/>
        <w:t>The Parties affirm the secret ballot as a basic safeguard of free political choice. No NAESTMA measure shall require disclosure of an individual's vote or support coercive practices that materially compromise ballot secrecy. The competent authority administering a covered measure shall identify the applicable legal basis and material facts for any significant limitation on this protected interest in a record sufficient for the review available under applicable law. Any limitation shall pursue a legitimate objective, be applied without prohibited discrimination or retaliation, and be no broader or longer than reasonably necessary in the circumstances.</w:t>
      </w:r>
    </w:p>
    <w:p>
      <w:pPr>
        <w:pStyle w:val="Heading3"/>
        <w:keepNext/>
        <w:widowControl/>
        <w:spacing w:before="180" w:after="60"/>
        <w:rPr/>
      </w:pPr>
      <w:r>
        <w:rPr/>
        <w:t>HR5-249. Secret ballot and freedom from compelled disclosure: Equal and Effective Participation</w:t>
      </w:r>
    </w:p>
    <w:p>
      <w:pPr>
        <w:pStyle w:val="Normal"/>
        <w:widowControl/>
        <w:spacing w:before="0" w:after="160"/>
        <w:rPr/>
      </w:pPr>
      <w:r>
        <w:rPr/>
        <w:t>A Party shall not administer a measure covered by this Agreement in a manner that defeats secret ballot and freedom from compelled disclosure through prohibited discrimination, arbitrary distinction, retaliation or bad-faith circumvention. Objective and proportionate distinctions pursuing a legitimate public purpose remain permitted. The competent authority administering a covered measure shall identify the applicable legal basis and material facts for any significant limitation on this protected interest in a record sufficient for the review available under applicable law. Any limitation shall pursue a legitimate objective, be applied without prohibited discrimination or retaliation, and be no broader or longer than reasonably necessary in the circumstances.</w:t>
      </w:r>
    </w:p>
    <w:p>
      <w:pPr>
        <w:pStyle w:val="Heading3"/>
        <w:keepNext/>
        <w:widowControl/>
        <w:spacing w:before="180" w:after="60"/>
        <w:rPr/>
      </w:pPr>
      <w:r>
        <w:rPr/>
        <w:t>HR5-250. Secret ballot and freedom from compelled disclosure: Integrity and Anti-Coercion</w:t>
      </w:r>
    </w:p>
    <w:p>
      <w:pPr>
        <w:pStyle w:val="Normal"/>
        <w:widowControl/>
        <w:spacing w:before="0" w:after="160"/>
        <w:rPr/>
      </w:pPr>
      <w:r>
        <w:rPr/>
        <w:t>Each Party shall use reasonable, proportionate and administrable measures to give practical effect to secret ballot and freedom from compelled disclosure. Implementation may reflect constitutional structure, division of powers and existing institutions, provided that equivalent protection of the covered interest is maintained. The competent authority administering a covered measure shall identify the applicable legal basis and material facts for any significant limitation on this protected interest in a record sufficient for the review available under applicable law. Any limitation shall pursue a legitimate objective, be applied without prohibited discrimination or retaliation, and be no broader or longer than reasonably necessary in the circumstances.</w:t>
      </w:r>
    </w:p>
    <w:p>
      <w:pPr>
        <w:pStyle w:val="Heading3"/>
        <w:keepNext/>
        <w:widowControl/>
        <w:spacing w:before="180" w:after="60"/>
        <w:rPr/>
      </w:pPr>
      <w:r>
        <w:rPr/>
        <w:t>HR5-251. Periodic genuine elections and electoral integrity: Protected Democratic Principle</w:t>
      </w:r>
    </w:p>
    <w:p>
      <w:pPr>
        <w:pStyle w:val="Normal"/>
        <w:widowControl/>
        <w:spacing w:before="0" w:after="160"/>
        <w:rPr/>
      </w:pPr>
      <w:r>
        <w:rPr/>
        <w:t>The Parties affirm the importance of genuine periodic elections conducted under domestic constitutional law. No benefit under this Agreement may be conditioned on a Party manipulating the timing, counting or lawful certification of an election. The competent authority administering a covered measure shall identify the applicable legal basis and material facts for any significant limitation on this protected interest in a record sufficient for the review available under applicable law. Any limitation shall pursue a legitimate objective, be applied without prohibited discrimination or retaliation, and be no broader or longer than reasonably necessary in the circumstances.</w:t>
      </w:r>
    </w:p>
    <w:p>
      <w:pPr>
        <w:pStyle w:val="Heading3"/>
        <w:keepNext/>
        <w:widowControl/>
        <w:spacing w:before="180" w:after="60"/>
        <w:rPr/>
      </w:pPr>
      <w:r>
        <w:rPr/>
        <w:t>HR5-252. Periodic genuine elections and electoral integrity: Equal and Effective Participation</w:t>
      </w:r>
    </w:p>
    <w:p>
      <w:pPr>
        <w:pStyle w:val="Normal"/>
        <w:widowControl/>
        <w:spacing w:before="0" w:after="160"/>
        <w:rPr/>
      </w:pPr>
      <w:r>
        <w:rPr/>
        <w:t>A Party shall not administer a measure covered by this Agreement in a manner that defeats periodic genuine elections and electoral integrity through prohibited discrimination, arbitrary distinction, retaliation or bad-faith circumvention. Objective and proportionate distinctions pursuing a legitimate public purpose remain permitted. The competent authority administering a covered measure shall identify the applicable legal basis and material facts for any significant limitation on this protected interest in a record sufficient for the review available under applicable law. Any limitation shall pursue a legitimate objective, be applied without prohibited discrimination or retaliation, and be no broader or longer than reasonably necessary in the circumstances.</w:t>
      </w:r>
    </w:p>
    <w:p>
      <w:pPr>
        <w:pStyle w:val="Heading3"/>
        <w:keepNext/>
        <w:widowControl/>
        <w:spacing w:before="180" w:after="60"/>
        <w:rPr/>
      </w:pPr>
      <w:r>
        <w:rPr/>
        <w:t>HR5-253. Periodic genuine elections and electoral integrity: Integrity and Anti-Coercion</w:t>
      </w:r>
    </w:p>
    <w:p>
      <w:pPr>
        <w:pStyle w:val="Normal"/>
        <w:widowControl/>
        <w:spacing w:before="0" w:after="160"/>
        <w:rPr/>
      </w:pPr>
      <w:r>
        <w:rPr/>
        <w:t>Each Party shall use reasonable, proportionate and administrable measures to give practical effect to periodic genuine elections and electoral integrity. Implementation may reflect constitutional structure, division of powers and existing institutions, provided that equivalent protection of the covered interest is maintained. The competent authority administering a covered measure shall identify the applicable legal basis and material facts for any significant limitation on this protected interest in a record sufficient for the review available under applicable law. Any limitation shall pursue a legitimate objective, be applied without prohibited discrimination or retaliation, and be no broader or longer than reasonably necessary in the circumstances.</w:t>
      </w:r>
    </w:p>
    <w:p>
      <w:pPr>
        <w:pStyle w:val="Heading3"/>
        <w:keepNext/>
        <w:widowControl/>
        <w:spacing w:before="180" w:after="60"/>
        <w:rPr/>
      </w:pPr>
      <w:r>
        <w:rPr/>
        <w:t>HR5-254. Periodic genuine elections and electoral integrity: Accessible Procedure and Review</w:t>
      </w:r>
    </w:p>
    <w:p>
      <w:pPr>
        <w:pStyle w:val="Normal"/>
        <w:widowControl/>
        <w:spacing w:before="0" w:after="160"/>
        <w:rPr/>
      </w:pPr>
      <w:r>
        <w:rPr/>
        <w:t>A person materially affected by a covered governmental measure implicating periodic genuine elections and electoral integrity shall have access, as appropriate under domestic law, to notice, reasons, review, complaint or another effective process. This Article does not itself create a private cause of action, criminal offence or automatic civil liability. The competent authority shall provide a materially affected person with notice of the relevant basis, a meaningful opportunity to respond where practicable, and reasons sufficient to permit the review available under applicable law. Review shall be conducted by an authority or process capable of correcting material error, unlawful discrimination, retaliation, or a denial of the protected procedural interest.</w:t>
      </w:r>
    </w:p>
    <w:p>
      <w:pPr>
        <w:pStyle w:val="Heading3"/>
        <w:keepNext/>
        <w:widowControl/>
        <w:spacing w:before="180" w:after="60"/>
        <w:rPr/>
      </w:pPr>
      <w:r>
        <w:rPr/>
        <w:t>HR5-255. Candidate eligibility and right to stand for election: Protected Democratic Principle</w:t>
      </w:r>
    </w:p>
    <w:p>
      <w:pPr>
        <w:pStyle w:val="Normal"/>
        <w:widowControl/>
        <w:spacing w:before="0" w:after="160"/>
        <w:rPr/>
      </w:pPr>
      <w:r>
        <w:rPr/>
        <w:t>A Party may elect to participate in the Optional Module on Candidate eligibility and right to stand for election. A participating Party shall implement the commitments it expressly accepts under that Module in accordance with its constitutional order and competent authorities.</w:t>
      </w:r>
    </w:p>
    <w:p>
      <w:pPr>
        <w:pStyle w:val="Heading3"/>
        <w:keepNext/>
        <w:widowControl/>
        <w:spacing w:before="180" w:after="60"/>
        <w:rPr/>
      </w:pPr>
      <w:r>
        <w:t>HR5-256. Participating Parties should pursue candidate eligibility and right to stand for election through non-discriminatory, rights-respecting and proportionate measures, with appropriate exceptions for legitimate public purposes and the rights and freedoms of others</w:t>
      </w:r>
    </w:p>
    <w:p>
      <w:pPr>
        <w:pStyle w:val="Normal"/>
        <w:widowControl/>
        <w:spacing w:before="0" w:after="160"/>
        <w:rPr/>
      </w:pPr>
      <w:r>
        <w:rPr/>
        <w:t>Participating Parties should pursue candidate eligibility and right to stand for election through non-discriminatory, rights-respecting and proportionate measures, with appropriate exceptions for legitimate public purposes and the rights and freedoms of others.</w:t>
      </w:r>
    </w:p>
    <w:p>
      <w:pPr>
        <w:pStyle w:val="Heading3"/>
        <w:keepNext/>
        <w:widowControl/>
        <w:spacing w:before="180" w:after="60"/>
        <w:rPr/>
      </w:pPr>
      <w:r>
        <w:rPr/>
        <w:t>HR5-257. Candidate eligibility and right to stand for election: Integrity and Anti-Coercion</w:t>
      </w:r>
    </w:p>
    <w:p>
      <w:pPr>
        <w:pStyle w:val="Normal"/>
        <w:widowControl/>
        <w:spacing w:before="0" w:after="160"/>
        <w:rPr/>
      </w:pPr>
      <w:r>
        <w:rPr/>
        <w:t>The Optional Module may establish cooperative standards, transparency measures, review procedures or implementation benchmarks concerning candidate eligibility and right to stand for election, while allowing equivalent national methods and reservations expressly recorded at adoption.</w:t>
      </w:r>
    </w:p>
    <w:p>
      <w:pPr>
        <w:pStyle w:val="Heading3"/>
        <w:keepNext/>
        <w:widowControl/>
        <w:spacing w:before="180" w:after="60"/>
        <w:rPr/>
      </w:pPr>
      <w:r>
        <w:rPr/>
        <w:t>HR5-258. Political expression, association and peaceful assembly: Protected Democratic Principle</w:t>
      </w:r>
    </w:p>
    <w:p>
      <w:pPr>
        <w:pStyle w:val="Normal"/>
        <w:widowControl/>
        <w:spacing w:before="0" w:after="160"/>
        <w:rPr/>
      </w:pPr>
      <w:r>
        <w:rPr/>
        <w:t>Political expression, peaceful assembly and association shall not be restricted merely because persons advocate a lawful position concerning trade, labour, environmental, Indigenous, migration or other public policy governed or affected by this Agreement. The competent authority administering a covered measure shall identify the applicable legal basis and material facts for any significant limitation on this protected interest in a record sufficient for the review available under applicable law. Any limitation shall pursue a legitimate objective, be applied without prohibited discrimination or retaliation, and be no broader or longer than reasonably necessary in the circumstances. A materially affected person or competent representative shall have access, as appropriate under domestic law, to a complaint, reconsideration, review, or other process capable of correcting a material error or unlawful application.</w:t>
      </w:r>
    </w:p>
    <w:p>
      <w:pPr>
        <w:pStyle w:val="Heading3"/>
        <w:keepNext/>
        <w:widowControl/>
        <w:spacing w:before="180" w:after="60"/>
        <w:rPr/>
      </w:pPr>
      <w:r>
        <w:rPr/>
        <w:t>HR5-259. Political expression, association and peaceful assembly: Equal and Effective Participation</w:t>
      </w:r>
    </w:p>
    <w:p>
      <w:pPr>
        <w:pStyle w:val="Normal"/>
        <w:widowControl/>
        <w:spacing w:before="0" w:after="160"/>
        <w:rPr/>
      </w:pPr>
      <w:r>
        <w:rPr/>
        <w:t>A Party shall not administer a measure covered by this Agreement in a manner that defeats political expression, association and peaceful assembly through prohibited discrimination, arbitrary distinction, retaliation or bad-faith circumvention. Objective and proportionate distinctions pursuing a legitimate public purpose remain permitted. The competent authority administering a covered measure shall identify the applicable legal basis and material facts for any significant limitation on this protected interest in a record sufficient for the review available under applicable law. Any limitation shall pursue a legitimate objective, be applied without prohibited discrimination or retaliation, and be no broader or longer than reasonably necessary in the circumstances.</w:t>
      </w:r>
    </w:p>
    <w:p>
      <w:pPr>
        <w:pStyle w:val="Heading3"/>
        <w:keepNext/>
        <w:widowControl/>
        <w:spacing w:before="180" w:after="60"/>
        <w:rPr/>
      </w:pPr>
      <w:r>
        <w:rPr/>
        <w:t>HR5-260. Political expression, association and peaceful assembly: Integrity and Anti-Coercion</w:t>
      </w:r>
    </w:p>
    <w:p>
      <w:pPr>
        <w:pStyle w:val="Normal"/>
        <w:widowControl/>
        <w:spacing w:before="0" w:after="160"/>
        <w:rPr/>
      </w:pPr>
      <w:r>
        <w:rPr/>
        <w:t>Each Party shall use reasonable, proportionate and administrable measures to give practical effect to political expression, association and peaceful assembly. Implementation may reflect constitutional structure, division of powers and existing institutions, provided that equivalent protection of the covered interest is maintained. The competent authority administering a covered measure shall identify the applicable legal basis and material facts for any significant limitation on this protected interest in a record sufficient for the review available under applicable law. Any limitation shall pursue a legitimate objective, be applied without prohibited discrimination or retaliation, and be no broader or longer than reasonably necessary in the circumstances.</w:t>
      </w:r>
    </w:p>
    <w:p>
      <w:pPr>
        <w:pStyle w:val="Heading3"/>
        <w:keepNext/>
        <w:widowControl/>
        <w:spacing w:before="180" w:after="60"/>
        <w:rPr/>
      </w:pPr>
      <w:r>
        <w:rPr/>
        <w:t>HR5-261. Election observation, transparency and recount/audit: Protected Democratic Principle</w:t>
      </w:r>
    </w:p>
    <w:p>
      <w:pPr>
        <w:pStyle w:val="Normal"/>
        <w:widowControl/>
        <w:spacing w:before="0" w:after="160"/>
        <w:rPr/>
      </w:pPr>
      <w:r>
        <w:rPr/>
        <w:t>A Party may elect to participate in the Optional Module on Election observation, transparency and recount/audit. A participating Party shall implement the commitments it expressly accepts under that Module in accordance with its constitutional order and competent authorities.</w:t>
      </w:r>
    </w:p>
    <w:p>
      <w:pPr>
        <w:pStyle w:val="Heading3"/>
        <w:keepNext/>
        <w:widowControl/>
        <w:spacing w:before="180" w:after="60"/>
        <w:rPr/>
      </w:pPr>
      <w:r>
        <w:rPr/>
        <w:t>HR5-262. Election observation, transparency and recount/audit: Equal and Effective Participation</w:t>
      </w:r>
    </w:p>
    <w:p>
      <w:pPr>
        <w:pStyle w:val="Normal"/>
        <w:widowControl/>
        <w:spacing w:before="0" w:after="160"/>
        <w:rPr/>
      </w:pPr>
      <w:r>
        <w:rPr/>
        <w:t>Participating Parties should pursue election observation, transparency and recount/audit through non-discriminatory, rights-respecting and proportionate measures, with appropriate exceptions for legitimate public purposes and the rights and freedoms of others.</w:t>
      </w:r>
    </w:p>
    <w:p>
      <w:pPr>
        <w:pStyle w:val="Heading3"/>
        <w:keepNext/>
        <w:widowControl/>
        <w:spacing w:before="180" w:after="60"/>
        <w:rPr/>
      </w:pPr>
      <w:r>
        <w:rPr/>
        <w:t>HR5-263. Election observation, transparency and recount/audit: Integrity and Anti-Coercion</w:t>
      </w:r>
    </w:p>
    <w:p>
      <w:pPr>
        <w:pStyle w:val="Normal"/>
        <w:widowControl/>
        <w:spacing w:before="0" w:after="160"/>
        <w:rPr/>
      </w:pPr>
      <w:r>
        <w:rPr/>
        <w:t>The Optional Module may establish cooperative standards, transparency measures, review procedures or implementation benchmarks concerning election observation, transparency and recount/audit, while allowing equivalent national methods and reservations expressly recorded at adoption.</w:t>
      </w:r>
    </w:p>
    <w:p>
      <w:pPr>
        <w:pStyle w:val="Heading3"/>
        <w:keepNext/>
        <w:widowControl/>
        <w:spacing w:before="180" w:after="60"/>
        <w:rPr/>
      </w:pPr>
      <w:r>
        <w:rPr/>
        <w:t>HR5-264. Equal access to public service and political participation: Protected Democratic Principle</w:t>
      </w:r>
    </w:p>
    <w:p>
      <w:pPr>
        <w:pStyle w:val="Normal"/>
        <w:widowControl/>
        <w:spacing w:before="0" w:after="160"/>
        <w:rPr/>
      </w:pPr>
      <w:r>
        <w:rPr/>
        <w:t>Each Party shall maintain and apply measures consistent with equal access to public service and political participation, within the scope of this Agreement and subject to the stronger-rights, federalism, competent-authority, security and public-interest safeguards of the Human Rights Framework. The competent authority administering a covered measure shall identify the applicable legal basis and material facts for any significant limitation on this protected interest in a record sufficient for the review available under applicable law. Any limitation shall pursue a legitimate objective, be applied without prohibited discrimination or retaliation, and be no broader or longer than reasonably necessary in the circumstances. A materially affected person or competent representative shall have access, as appropriate under domestic law, to a complaint, reconsideration, review, or other process capable of correcting a material error or unlawful application.</w:t>
      </w:r>
    </w:p>
    <w:p>
      <w:pPr>
        <w:pStyle w:val="Heading3"/>
        <w:keepNext/>
        <w:widowControl/>
        <w:spacing w:before="180" w:after="60"/>
        <w:rPr/>
      </w:pPr>
      <w:r>
        <w:rPr/>
        <w:t>HR5-265. Equal access to public service and political participation: Equal and Effective Participation</w:t>
      </w:r>
    </w:p>
    <w:p>
      <w:pPr>
        <w:pStyle w:val="Normal"/>
        <w:widowControl/>
        <w:spacing w:before="0" w:after="160"/>
        <w:rPr/>
      </w:pPr>
      <w:r>
        <w:rPr/>
        <w:t>A Party shall not administer a measure covered by this Agreement in a manner that defeats equal access to public service and political participation through prohibited discrimination, arbitrary distinction, retaliation or bad-faith circumvention. Objective and proportionate distinctions pursuing a legitimate public purpose remain permitted. The competent authority administering a covered measure shall identify the applicable legal basis and material facts for any significant limitation on this protected interest in a record sufficient for the review available under applicable law. Any limitation shall pursue a legitimate objective, be applied without prohibited discrimination or retaliation, and be no broader or longer than reasonably necessary in the circumstances.</w:t>
      </w:r>
    </w:p>
    <w:p>
      <w:pPr>
        <w:pStyle w:val="Heading3"/>
        <w:keepNext/>
        <w:widowControl/>
        <w:spacing w:before="180" w:after="60"/>
        <w:rPr/>
      </w:pPr>
      <w:r>
        <w:rPr/>
        <w:t>HR5-266. Equal access to public service and political participation: Integrity and Anti-Coercion</w:t>
      </w:r>
    </w:p>
    <w:p>
      <w:pPr>
        <w:pStyle w:val="Normal"/>
        <w:widowControl/>
        <w:spacing w:before="0" w:after="160"/>
        <w:rPr/>
      </w:pPr>
      <w:r>
        <w:rPr/>
        <w:t>Each Party shall use reasonable, proportionate and administrable measures to give practical effect to equal access to public service and political participation. Implementation may reflect constitutional structure, division of powers and existing institutions, provided that equivalent protection of the covered interest is maintained. The competent authority administering a covered measure shall identify the applicable legal basis and material facts for any significant limitation on this protected interest in a record sufficient for the review available under applicable law. Any limitation shall pursue a legitimate objective, be applied without prohibited discrimination or retaliation, and be no broader or longer than reasonably necessary in the circumstances.</w:t>
      </w:r>
    </w:p>
    <w:p>
      <w:pPr>
        <w:pStyle w:val="Heading3"/>
        <w:keepNext/>
        <w:widowControl/>
        <w:spacing w:before="180" w:after="60"/>
        <w:rPr/>
      </w:pPr>
      <w:r>
        <w:rPr/>
        <w:t>HR5-267. Protection from voter intimidation, violence and discrimination: Protected Democratic Principle</w:t>
      </w:r>
    </w:p>
    <w:p>
      <w:pPr>
        <w:pStyle w:val="Normal"/>
        <w:widowControl/>
        <w:spacing w:before="0" w:after="160"/>
        <w:rPr/>
      </w:pPr>
      <w:r>
        <w:rPr/>
        <w:t>A Party shall not use a measure covered by this Agreement to facilitate voter intimidation, politically motivated violence or prohibited discrimination in access to democratic participation. Enforcement shall remain subject to evidence, causation and competent domestic authority. The competent authority shall maintain operational safeguards reasonably capable of preventing foreseeable serious harm and shall document material incidents, denials, or restrictions affecting the protected interest. Emergency, security, disciplinary, immigration, or administrative objectives do not authorize torture, cruel or degrading treatment, deliberate deprivation of essential food or water, medical abandonment, or retaliation against a good-faith complainant.</w:t>
      </w:r>
    </w:p>
    <w:p>
      <w:pPr>
        <w:pStyle w:val="Heading3"/>
        <w:keepNext/>
        <w:widowControl/>
        <w:spacing w:before="180" w:after="60"/>
        <w:rPr/>
      </w:pPr>
      <w:r>
        <w:rPr/>
        <w:t>HR5-268. Protection from voter intimidation, violence and discrimination: Equal and Effective Participation</w:t>
      </w:r>
    </w:p>
    <w:p>
      <w:pPr>
        <w:pStyle w:val="Normal"/>
        <w:widowControl/>
        <w:spacing w:before="0" w:after="160"/>
        <w:rPr/>
      </w:pPr>
      <w:r>
        <w:rPr/>
        <w:t>A Party shall not administer a measure covered by this Agreement in a manner that defeats protection from voter intimidation, violence and discrimination through prohibited discrimination, arbitrary distinction, retaliation or bad-faith circumvention. Objective and proportionate distinctions pursuing a legitimate public purpose remain permitted. The competent authority shall maintain operational safeguards reasonably capable of preventing foreseeable serious harm and shall document material incidents, denials, or restrictions affecting the protected interest. Emergency, security, disciplinary, immigration, or administrative objectives do not authorize torture, cruel or degrading treatment, deliberate deprivation of essential food or water, medical abandonment, or retaliation against a good-faith complainant.</w:t>
      </w:r>
    </w:p>
    <w:p>
      <w:pPr>
        <w:pStyle w:val="Heading3"/>
        <w:keepNext/>
        <w:widowControl/>
        <w:spacing w:before="180" w:after="60"/>
        <w:rPr/>
      </w:pPr>
      <w:r>
        <w:rPr/>
        <w:t>HR5-269. Accessible voting and disability accommodation: Protected Democratic Principle</w:t>
      </w:r>
    </w:p>
    <w:p>
      <w:pPr>
        <w:pStyle w:val="Normal"/>
        <w:widowControl/>
        <w:spacing w:before="0" w:after="160"/>
        <w:rPr/>
      </w:pPr>
      <w:r>
        <w:rPr/>
        <w:t>The Parties should strengthen accessible democratic participation for persons with disabilities and others facing practical barriers, using functionally equivalent national approaches and without prescribing a single voting technology or election-administration model.</w:t>
      </w:r>
    </w:p>
    <w:p>
      <w:pPr>
        <w:pStyle w:val="Heading3"/>
        <w:keepNext/>
        <w:widowControl/>
        <w:spacing w:before="180" w:after="60"/>
        <w:rPr/>
      </w:pPr>
      <w:r>
        <w:rPr/>
        <w:t>HR5-270. Accessible voting and disability accommodation: Equal and Effective Participation</w:t>
      </w:r>
    </w:p>
    <w:p>
      <w:pPr>
        <w:pStyle w:val="Normal"/>
        <w:widowControl/>
        <w:spacing w:before="0" w:after="160"/>
        <w:rPr/>
      </w:pPr>
      <w:r>
        <w:rPr/>
        <w:t>Cooperation concerning accessible voting and disability accommodation should prioritize equal access, accessibility, non-retaliation and protection of persons facing heightened barriers, while permitting functionally equivalent national approaches.</w:t>
      </w:r>
    </w:p>
    <w:p>
      <w:pPr>
        <w:pStyle w:val="Heading3"/>
        <w:keepNext/>
        <w:widowControl/>
        <w:spacing w:before="180" w:after="60"/>
        <w:rPr/>
      </w:pPr>
      <w:r>
        <w:rPr/>
        <w:t>HR5-271. Accessible voting and disability accommodation: Integrity and Anti-Coercion</w:t>
      </w:r>
    </w:p>
    <w:p>
      <w:pPr>
        <w:pStyle w:val="Normal"/>
        <w:widowControl/>
        <w:spacing w:before="0" w:after="160"/>
        <w:rPr/>
      </w:pPr>
      <w:r>
        <w:rPr/>
        <w:t>A Party may implement this mechanism through pilots, mutual learning, capacity-building, recognition of equivalent safeguards or staged implementation. No particular administrative model is required where the substantive objective is reasonably achieved.</w:t>
      </w:r>
    </w:p>
    <w:p>
      <w:pPr>
        <w:pStyle w:val="Heading3"/>
        <w:keepNext/>
        <w:widowControl/>
        <w:spacing w:before="180" w:after="60"/>
        <w:rPr/>
      </w:pPr>
      <w:r>
        <w:t>HR5-272. A Party may elect to participate in the Optional Module on Electoral misinformation, media and digital interference</w:t>
      </w:r>
    </w:p>
    <w:p>
      <w:pPr>
        <w:pStyle w:val="Normal"/>
        <w:widowControl/>
        <w:spacing w:before="0" w:after="160"/>
        <w:rPr/>
      </w:pPr>
      <w:r>
        <w:rPr/>
        <w:t>A Party may elect to participate in the Optional Module on Electoral misinformation, media and digital interference. A participating Party shall implement the commitments it expressly accepts under that Module in accordance with its constitutional order and competent authorities.</w:t>
      </w:r>
    </w:p>
    <w:p>
      <w:pPr>
        <w:pStyle w:val="Heading3"/>
        <w:keepNext/>
        <w:widowControl/>
        <w:spacing w:before="180" w:after="60"/>
        <w:rPr/>
      </w:pPr>
      <w:r>
        <w:rPr/>
        <w:t>HR5-273. Democratic-rights enforcement and high-sensitivity conditionality: Protected Democratic Principle</w:t>
      </w:r>
    </w:p>
    <w:p>
      <w:pPr>
        <w:pStyle w:val="Normal"/>
        <w:widowControl/>
        <w:spacing w:before="0" w:after="160"/>
        <w:rPr/>
      </w:pPr>
      <w:r>
        <w:rPr/>
        <w:t>A Party may elect to participate in an Optional Democratic Resilience Module providing enhanced consultation, transparency, observation, institutional-integrity or response mechanisms. Non-participation shall carry no adverse trade consequence.</w:t>
      </w:r>
    </w:p>
    <w:p>
      <w:pPr>
        <w:pStyle w:val="Heading3"/>
        <w:keepNext/>
        <w:widowControl/>
        <w:spacing w:before="180" w:after="60"/>
        <w:rPr/>
      </w:pPr>
      <w:r>
        <w:rPr/>
        <w:t>HR5-274. Democratic-rights enforcement and high-sensitivity conditionality: Equal and Effective Participation</w:t>
      </w:r>
    </w:p>
    <w:p>
      <w:pPr>
        <w:pStyle w:val="Normal"/>
        <w:widowControl/>
        <w:spacing w:before="0" w:after="160"/>
        <w:rPr/>
      </w:pPr>
      <w:r>
        <w:rPr/>
        <w:t>Participating Parties should pursue democratic-rights enforcement and high-sensitivity conditionality through non-discriminatory, rights-respecting and proportionate measures, with appropriate exceptions for legitimate public purposes and the rights and freedoms of others.</w:t>
      </w:r>
    </w:p>
    <w:p>
      <w:pPr>
        <w:pStyle w:val="Heading3"/>
        <w:keepNext/>
        <w:widowControl/>
        <w:spacing w:before="180" w:after="60"/>
        <w:rPr/>
      </w:pPr>
      <w:r>
        <w:rPr/>
        <w:t>HR5-275. Democratic-rights enforcement and high-sensitivity conditionality: Integrity and Anti-Coercion</w:t>
      </w:r>
    </w:p>
    <w:p>
      <w:pPr>
        <w:pStyle w:val="Normal"/>
        <w:widowControl/>
        <w:spacing w:before="0" w:after="160"/>
        <w:rPr/>
      </w:pPr>
      <w:r>
        <w:rPr/>
        <w:t>The Optional Module may establish cooperative standards, transparency measures, review procedures or implementation benchmarks concerning democratic-rights enforcement and high-sensitivity conditionality, while allowing equivalent national methods and reservations expressly recorded at adoption.</w:t>
      </w:r>
    </w:p>
    <w:p>
      <w:pPr>
        <w:pStyle w:val="Heading3"/>
        <w:keepNext/>
        <w:widowControl/>
        <w:spacing w:before="180" w:after="60"/>
        <w:rPr/>
      </w:pPr>
      <w:r>
        <w:rPr/>
        <w:t>HR5-276. Right to work and access to employment: Social/Economic Rights Safeguard</w:t>
      </w:r>
    </w:p>
    <w:p>
      <w:pPr>
        <w:pStyle w:val="Normal"/>
        <w:widowControl/>
        <w:spacing w:before="0" w:after="160"/>
        <w:rPr/>
      </w:pPr>
      <w:r>
        <w:rPr/>
        <w:t>Each Party shall maintain and apply measures consistent with right to work and access to employment, within the scope of this Agreement and subject to the stronger-rights, federalism, competent-authority, security and public-interest safeguards of the Human Rights Framework. The competent authority administering a covered measure shall identify the applicable legal basis and material facts for any significant limitation on this protected interest in a record sufficient for the review available under applicable law. Any limitation shall pursue a legitimate objective, be applied without prohibited discrimination or retaliation, and be no broader or longer than reasonably necessary in the circumstances. A materially affected person or competent representative shall have access, as appropriate under domestic law, to a complaint, reconsideration, review, or other process capable of correcting a material error or unlawful application.</w:t>
      </w:r>
    </w:p>
    <w:p>
      <w:pPr>
        <w:pStyle w:val="Heading3"/>
        <w:keepNext/>
        <w:widowControl/>
        <w:spacing w:before="180" w:after="60"/>
        <w:rPr/>
      </w:pPr>
      <w:r>
        <w:rPr/>
        <w:t>HR5-277. Right to work and access to employment: Non-Discrimination and Policy Space</w:t>
      </w:r>
    </w:p>
    <w:p>
      <w:pPr>
        <w:pStyle w:val="Normal"/>
        <w:widowControl/>
        <w:spacing w:before="0" w:after="160"/>
        <w:rPr/>
      </w:pPr>
      <w:r>
        <w:rPr/>
        <w:t>A Party shall not administer a measure covered by this Agreement in a manner that defeats right to work and access to employment through prohibited discrimination, arbitrary distinction, retaliation or bad-faith circumvention. Objective and proportionate distinctions pursuing a legitimate public purpose remain permitted. The competent authority administering a covered measure shall identify the applicable legal basis and material facts for any significant limitation on this protected interest in a record sufficient for the review available under applicable law. Any limitation shall pursue a legitimate objective, be applied without prohibited discrimination or retaliation, and be no broader or longer than reasonably necessary in the circumstances.</w:t>
      </w:r>
    </w:p>
    <w:p>
      <w:pPr>
        <w:pStyle w:val="Heading3"/>
        <w:keepNext/>
        <w:widowControl/>
        <w:spacing w:before="180" w:after="60"/>
        <w:rPr/>
      </w:pPr>
      <w:r>
        <w:rPr/>
        <w:t>HR5-278. Right to work and access to employment: Progressive and Equivalent Implementation</w:t>
      </w:r>
    </w:p>
    <w:p>
      <w:pPr>
        <w:pStyle w:val="Normal"/>
        <w:widowControl/>
        <w:spacing w:before="0" w:after="160"/>
        <w:rPr/>
      </w:pPr>
      <w:r>
        <w:rPr/>
        <w:t>Each Party shall use reasonable, proportionate and administrable measures to give practical effect to right to work and access to employment. Implementation may reflect constitutional structure, division of powers and existing institutions, provided that equivalent protection of the covered interest is maintained. The competent authority administering a covered measure shall identify the applicable legal basis and material facts for any significant limitation on this protected interest in a record sufficient for the review available under applicable law. Any limitation shall pursue a legitimate objective, be applied without prohibited discrimination or retaliation, and be no broader or longer than reasonably necessary in the circumstances.</w:t>
      </w:r>
    </w:p>
    <w:p>
      <w:pPr>
        <w:pStyle w:val="Heading3"/>
        <w:keepNext/>
        <w:widowControl/>
        <w:spacing w:before="180" w:after="60"/>
        <w:rPr/>
      </w:pPr>
      <w:r>
        <w:rPr/>
        <w:t>HR5-279. Just and favourable work conditions: Social/Economic Rights Safeguard</w:t>
      </w:r>
    </w:p>
    <w:p>
      <w:pPr>
        <w:pStyle w:val="Normal"/>
        <w:widowControl/>
        <w:spacing w:before="0" w:after="160"/>
        <w:rPr/>
      </w:pPr>
      <w:r>
        <w:rPr/>
        <w:t>Each Party shall maintain and apply measures consistent with just and favourable work conditions, within the scope of this Agreement and subject to the stronger-rights, federalism, competent-authority, security and public-interest safeguards of the Human Rights Framework. The competent authority administering a covered measure shall identify the applicable legal basis and material facts for any significant limitation on this protected interest in a record sufficient for the review available under applicable law. Any limitation shall pursue a legitimate objective, be applied without prohibited discrimination or retaliation, and be no broader or longer than reasonably necessary in the circumstances. A materially affected person or competent representative shall have access, as appropriate under domestic law, to a complaint, reconsideration, review, or other process capable of correcting a material error or unlawful application.</w:t>
      </w:r>
    </w:p>
    <w:p>
      <w:pPr>
        <w:pStyle w:val="Heading3"/>
        <w:keepNext/>
        <w:widowControl/>
        <w:spacing w:before="180" w:after="60"/>
        <w:rPr/>
      </w:pPr>
      <w:r>
        <w:rPr/>
        <w:t>HR5-280. Just and favourable work conditions: Non-Discrimination and Policy Space</w:t>
      </w:r>
    </w:p>
    <w:p>
      <w:pPr>
        <w:pStyle w:val="Normal"/>
        <w:widowControl/>
        <w:spacing w:before="0" w:after="160"/>
        <w:rPr/>
      </w:pPr>
      <w:r>
        <w:rPr/>
        <w:t>A Party shall not administer a measure covered by this Agreement in a manner that defeats just and favourable work conditions through prohibited discrimination, arbitrary distinction, retaliation or bad-faith circumvention. Objective and proportionate distinctions pursuing a legitimate public purpose remain permitted. The competent authority administering a covered measure shall identify the applicable legal basis and material facts for any significant limitation on this protected interest in a record sufficient for the review available under applicable law. Any limitation shall pursue a legitimate objective, be applied without prohibited discrimination or retaliation, and be no broader or longer than reasonably necessary in the circumstances.</w:t>
      </w:r>
    </w:p>
    <w:p>
      <w:pPr>
        <w:pStyle w:val="Heading3"/>
        <w:keepNext/>
        <w:widowControl/>
        <w:spacing w:before="180" w:after="60"/>
        <w:rPr/>
      </w:pPr>
      <w:r>
        <w:rPr/>
        <w:t>HR5-281. Just and favourable work conditions: Progressive and Equivalent Implementation</w:t>
      </w:r>
    </w:p>
    <w:p>
      <w:pPr>
        <w:pStyle w:val="Normal"/>
        <w:widowControl/>
        <w:spacing w:before="0" w:after="160"/>
        <w:rPr/>
      </w:pPr>
      <w:r>
        <w:rPr/>
        <w:t>Each Party shall use reasonable, proportionate and administrable measures to give practical effect to just and favourable work conditions. Implementation may reflect constitutional structure, division of powers and existing institutions, provided that equivalent protection of the covered interest is maintained. The competent authority administering a covered measure shall identify the applicable legal basis and material facts for any significant limitation on this protected interest in a record sufficient for the review available under applicable law. Any limitation shall pursue a legitimate objective, be applied without prohibited discrimination or retaliation, and be no broader or longer than reasonably necessary in the circumstances.</w:t>
      </w:r>
    </w:p>
    <w:p>
      <w:pPr>
        <w:pStyle w:val="Heading3"/>
        <w:keepNext/>
        <w:widowControl/>
        <w:spacing w:before="180" w:after="60"/>
        <w:rPr/>
      </w:pPr>
      <w:r>
        <w:rPr/>
        <w:t>HR5-282. Trade-union rights and collective bargaining: Social/Economic Rights Safeguard</w:t>
      </w:r>
    </w:p>
    <w:p>
      <w:pPr>
        <w:pStyle w:val="Normal"/>
        <w:widowControl/>
        <w:spacing w:before="0" w:after="160"/>
        <w:rPr/>
      </w:pPr>
      <w:r>
        <w:rPr/>
        <w:t>Each Party shall maintain and apply measures consistent with trade-union rights and collective bargaining, within the scope of this Agreement and subject to the stronger-rights, federalism, competent-authority, security and public-interest safeguards of the Human Rights Framework. The competent authority administering a covered measure shall identify the applicable legal basis and material facts for any significant limitation on this protected interest in a record sufficient for the review available under applicable law. Any limitation shall pursue a legitimate objective, be applied without prohibited discrimination or retaliation, and be no broader or longer than reasonably necessary in the circumstances. A materially affected person or competent representative shall have access, as appropriate under domestic law, to a complaint, reconsideration, review, or other process capable of correcting a material error or unlawful application.</w:t>
      </w:r>
    </w:p>
    <w:p>
      <w:pPr>
        <w:pStyle w:val="Heading3"/>
        <w:keepNext/>
        <w:widowControl/>
        <w:spacing w:before="180" w:after="60"/>
        <w:rPr/>
      </w:pPr>
      <w:r>
        <w:rPr/>
        <w:t>HR5-283. Trade-union rights and collective bargaining: Non-Discrimination and Policy Space</w:t>
      </w:r>
    </w:p>
    <w:p>
      <w:pPr>
        <w:pStyle w:val="Normal"/>
        <w:widowControl/>
        <w:spacing w:before="0" w:after="160"/>
        <w:rPr/>
      </w:pPr>
      <w:r>
        <w:rPr/>
        <w:t>A Party shall not administer a measure covered by this Agreement in a manner that defeats trade-union rights and collective bargaining through prohibited discrimination, arbitrary distinction, retaliation or bad-faith circumvention. Objective and proportionate distinctions pursuing a legitimate public purpose remain permitted. The competent authority administering a covered measure shall identify the applicable legal basis and material facts for any significant limitation on this protected interest in a record sufficient for the review available under applicable law. Any limitation shall pursue a legitimate objective, be applied without prohibited discrimination or retaliation, and be no broader or longer than reasonably necessary in the circumstances.</w:t>
      </w:r>
    </w:p>
    <w:p>
      <w:pPr>
        <w:pStyle w:val="Heading3"/>
        <w:keepNext/>
        <w:widowControl/>
        <w:spacing w:before="180" w:after="60"/>
        <w:rPr/>
      </w:pPr>
      <w:r>
        <w:rPr/>
        <w:t>HR5-284. Trade-union rights and collective bargaining: Progressive and Equivalent Implementation</w:t>
      </w:r>
    </w:p>
    <w:p>
      <w:pPr>
        <w:pStyle w:val="Normal"/>
        <w:widowControl/>
        <w:spacing w:before="0" w:after="160"/>
        <w:rPr/>
      </w:pPr>
      <w:r>
        <w:rPr/>
        <w:t>Each Party shall use reasonable, proportionate and administrable measures to give practical effect to trade-union rights and collective bargaining. Implementation may reflect constitutional structure, division of powers and existing institutions, provided that equivalent protection of the covered interest is maintained. The competent authority administering a covered measure shall identify the applicable legal basis and material facts for any significant limitation on this protected interest in a record sufficient for the review available under applicable law. Any limitation shall pursue a legitimate objective, be applied without prohibited discrimination or retaliation, and be no broader or longer than reasonably necessary in the circumstances.</w:t>
      </w:r>
    </w:p>
    <w:p>
      <w:pPr>
        <w:pStyle w:val="Heading3"/>
        <w:keepNext/>
        <w:widowControl/>
        <w:spacing w:before="180" w:after="60"/>
        <w:rPr/>
      </w:pPr>
      <w:r>
        <w:rPr/>
        <w:t>HR5-285. Social security and income-security policy space: Social/Economic Rights Safeguard</w:t>
      </w:r>
    </w:p>
    <w:p>
      <w:pPr>
        <w:pStyle w:val="Normal"/>
        <w:widowControl/>
        <w:spacing w:before="0" w:after="160"/>
        <w:rPr/>
      </w:pPr>
      <w:r>
        <w:rPr/>
        <w:t>A Party may elect to participate in the Optional Module on Social security and income-security policy space. A participating Party shall implement the commitments it expressly accepts under that Module in accordance with its constitutional order and competent authorities.</w:t>
      </w:r>
    </w:p>
    <w:p>
      <w:pPr>
        <w:pStyle w:val="Heading3"/>
        <w:keepNext/>
        <w:widowControl/>
        <w:spacing w:before="180" w:after="60"/>
        <w:rPr/>
      </w:pPr>
      <w:r>
        <w:rPr/>
        <w:t>HR5-286. Social security and income-security policy space: Non-Discrimination and Policy Space</w:t>
      </w:r>
    </w:p>
    <w:p>
      <w:pPr>
        <w:pStyle w:val="Normal"/>
        <w:widowControl/>
        <w:spacing w:before="0" w:after="160"/>
        <w:rPr/>
      </w:pPr>
      <w:r>
        <w:rPr/>
        <w:t>Participating Parties should pursue social security and income-security policy space through non-discriminatory, rights-respecting and proportionate measures, with appropriate exceptions for legitimate public purposes and the rights and freedoms of others.</w:t>
      </w:r>
    </w:p>
    <w:p>
      <w:pPr>
        <w:pStyle w:val="Heading3"/>
        <w:keepNext/>
        <w:widowControl/>
        <w:spacing w:before="180" w:after="60"/>
        <w:rPr/>
      </w:pPr>
      <w:r>
        <w:rPr/>
        <w:t>HR5-287. Social security and income-security policy space: Progressive and Equivalent Implementation</w:t>
      </w:r>
    </w:p>
    <w:p>
      <w:pPr>
        <w:pStyle w:val="Normal"/>
        <w:widowControl/>
        <w:spacing w:before="0" w:after="160"/>
        <w:rPr/>
      </w:pPr>
      <w:r>
        <w:rPr/>
        <w:t>The Optional Module may establish cooperative standards, transparency measures, review procedures or implementation benchmarks concerning social security and income-security policy space, while allowing equivalent national methods and reservations expressly recorded at adoption.</w:t>
      </w:r>
    </w:p>
    <w:p>
      <w:pPr>
        <w:pStyle w:val="Heading3"/>
        <w:keepNext/>
        <w:widowControl/>
        <w:spacing w:before="180" w:after="60"/>
        <w:rPr/>
      </w:pPr>
      <w:r>
        <w:rPr/>
        <w:t>HR5-288. Adequate housing and housing nondiscrimination: Social/Economic Rights Safeguard</w:t>
      </w:r>
    </w:p>
    <w:p>
      <w:pPr>
        <w:pStyle w:val="Normal"/>
        <w:widowControl/>
        <w:spacing w:before="0" w:after="160"/>
        <w:rPr/>
      </w:pPr>
      <w:r>
        <w:rPr/>
        <w:t>A Party may elect to participate in the Optional Module on Adequate housing and housing nondiscrimination. A participating Party shall implement the commitments it expressly accepts under that Module in accordance with its constitutional order and competent authorities.</w:t>
      </w:r>
    </w:p>
    <w:p>
      <w:pPr>
        <w:pStyle w:val="Heading3"/>
        <w:keepNext/>
        <w:widowControl/>
        <w:spacing w:before="180" w:after="60"/>
        <w:rPr/>
      </w:pPr>
      <w:r>
        <w:rPr/>
        <w:t>HR5-289. Adequate housing and housing nondiscrimination: Non-Discrimination and Policy Space</w:t>
      </w:r>
    </w:p>
    <w:p>
      <w:pPr>
        <w:pStyle w:val="Normal"/>
        <w:widowControl/>
        <w:spacing w:before="0" w:after="160"/>
        <w:rPr/>
      </w:pPr>
      <w:r>
        <w:rPr/>
        <w:t>Participating Parties should pursue adequate housing and housing nondiscrimination through non-discriminatory, rights-respecting and proportionate measures, with appropriate exceptions for legitimate public purposes and the rights and freedoms of others.</w:t>
      </w:r>
    </w:p>
    <w:p>
      <w:pPr>
        <w:pStyle w:val="Heading3"/>
        <w:keepNext/>
        <w:widowControl/>
        <w:spacing w:before="180" w:after="60"/>
        <w:rPr/>
      </w:pPr>
      <w:r>
        <w:rPr/>
        <w:t>HR5-290. Food security and freedom from hunger: Social/Economic Rights Safeguard</w:t>
      </w:r>
    </w:p>
    <w:p>
      <w:pPr>
        <w:pStyle w:val="Normal"/>
        <w:widowControl/>
        <w:spacing w:before="0" w:after="160"/>
        <w:rPr/>
      </w:pPr>
      <w:r>
        <w:rPr/>
        <w:t>A Party may elect to participate in the Optional Module on Food security and freedom from hunger. A participating Party shall implement the commitments it expressly accepts under that Module in accordance with its constitutional order and competent authorities.</w:t>
      </w:r>
    </w:p>
    <w:p>
      <w:pPr>
        <w:pStyle w:val="Heading3"/>
        <w:keepNext/>
        <w:widowControl/>
        <w:spacing w:before="180" w:after="60"/>
        <w:rPr/>
      </w:pPr>
      <w:r>
        <w:rPr/>
        <w:t>HR5-291. Food security and freedom from hunger: Non-Discrimination and Policy Space</w:t>
      </w:r>
    </w:p>
    <w:p>
      <w:pPr>
        <w:pStyle w:val="Normal"/>
        <w:widowControl/>
        <w:spacing w:before="0" w:after="160"/>
        <w:rPr/>
      </w:pPr>
      <w:r>
        <w:rPr/>
        <w:t>Participating Parties should pursue food security and freedom from hunger through non-discriminatory, rights-respecting and proportionate measures, with appropriate exceptions for legitimate public purposes and the rights and freedoms of others.</w:t>
      </w:r>
    </w:p>
    <w:p>
      <w:pPr>
        <w:pStyle w:val="Heading3"/>
        <w:keepNext/>
        <w:widowControl/>
        <w:spacing w:before="180" w:after="60"/>
        <w:rPr/>
      </w:pPr>
      <w:r>
        <w:rPr/>
        <w:t>HR5-292. Water and sanitation: Social/Economic Rights Safeguard</w:t>
      </w:r>
    </w:p>
    <w:p>
      <w:pPr>
        <w:pStyle w:val="Normal"/>
        <w:widowControl/>
        <w:spacing w:before="0" w:after="160"/>
        <w:rPr/>
      </w:pPr>
      <w:r>
        <w:rPr/>
        <w:t>A Party may elect to participate in the Optional Module on Water and sanitation. A participating Party shall implement the commitments it expressly accepts under that Module in accordance with its constitutional order and competent authorities.</w:t>
      </w:r>
    </w:p>
    <w:p>
      <w:pPr>
        <w:pStyle w:val="Heading3"/>
        <w:keepNext/>
        <w:widowControl/>
        <w:spacing w:before="180" w:after="60"/>
        <w:rPr/>
      </w:pPr>
      <w:r>
        <w:rPr/>
        <w:t>HR5-293. Education access and nondiscrimination: Social/Economic Rights Safeguard</w:t>
      </w:r>
    </w:p>
    <w:p>
      <w:pPr>
        <w:pStyle w:val="Normal"/>
        <w:widowControl/>
        <w:spacing w:before="0" w:after="160"/>
        <w:rPr/>
      </w:pPr>
      <w:r>
        <w:rPr/>
        <w:t>A Party may elect to participate in the Optional Module on Education access and nondiscrimination. A participating Party shall implement the commitments it expressly accepts under that Module in accordance with its constitutional order and competent authorities.</w:t>
      </w:r>
    </w:p>
    <w:p>
      <w:pPr>
        <w:pStyle w:val="Heading3"/>
        <w:keepNext/>
        <w:widowControl/>
        <w:spacing w:before="180" w:after="60"/>
        <w:rPr/>
      </w:pPr>
      <w:r>
        <w:rPr/>
        <w:t>HR5-294. Education access and nondiscrimination: Non-Discrimination and Policy Space</w:t>
      </w:r>
    </w:p>
    <w:p>
      <w:pPr>
        <w:pStyle w:val="Normal"/>
        <w:widowControl/>
        <w:spacing w:before="0" w:after="160"/>
        <w:rPr/>
      </w:pPr>
      <w:r>
        <w:rPr/>
        <w:t>Participating Parties should pursue education access and nondiscrimination through non-discriminatory, rights-respecting and proportionate measures, with appropriate exceptions for legitimate public purposes and the rights and freedoms of others.</w:t>
      </w:r>
    </w:p>
    <w:p>
      <w:pPr>
        <w:pStyle w:val="Heading3"/>
        <w:keepNext/>
        <w:widowControl/>
        <w:spacing w:before="180" w:after="60"/>
        <w:rPr/>
      </w:pPr>
      <w:r>
        <w:rPr/>
        <w:t>HR5-295. Culture, science and participation in cultural life: Social/Economic Rights Safeguard</w:t>
      </w:r>
    </w:p>
    <w:p>
      <w:pPr>
        <w:pStyle w:val="Normal"/>
        <w:widowControl/>
        <w:spacing w:before="0" w:after="160"/>
        <w:rPr/>
      </w:pPr>
      <w:r>
        <w:rPr/>
        <w:t>The Parties affirm the importance of culture, science and participation in cultural life and shall seek to strengthen it through cooperative, equivalent or phased measures suited to their respective constitutional and institutional systems.</w:t>
      </w:r>
    </w:p>
    <w:p>
      <w:pPr>
        <w:pStyle w:val="Heading3"/>
        <w:keepNext/>
        <w:widowControl/>
        <w:spacing w:before="180" w:after="60"/>
        <w:rPr/>
      </w:pPr>
      <w:r>
        <w:t>HR5-296. Cooperation concerning culture, science and participation in cultural life should prioritize equal access, accessibility, non-retaliation and protection of persons facing heightened barriers, while permitting functionally equivalent national approaches</w:t>
      </w:r>
    </w:p>
    <w:p>
      <w:pPr>
        <w:pStyle w:val="Normal"/>
        <w:widowControl/>
        <w:spacing w:before="0" w:after="160"/>
        <w:rPr/>
      </w:pPr>
      <w:r>
        <w:rPr/>
        <w:t>Cooperation concerning culture, science and participation in cultural life should prioritize equal access, accessibility, non-retaliation and protection of persons facing heightened barriers, while permitting functionally equivalent national approaches.</w:t>
      </w:r>
    </w:p>
    <w:p>
      <w:pPr>
        <w:pStyle w:val="Heading3"/>
        <w:keepNext/>
        <w:widowControl/>
        <w:spacing w:before="180" w:after="60"/>
        <w:rPr/>
      </w:pPr>
      <w:r>
        <w:rPr/>
        <w:t>HR5-297. Healthy environment as social/economic right: Social/Economic Rights Safeguard</w:t>
      </w:r>
    </w:p>
    <w:p>
      <w:pPr>
        <w:pStyle w:val="Normal"/>
        <w:widowControl/>
        <w:spacing w:before="0" w:after="160"/>
        <w:rPr/>
      </w:pPr>
      <w:r>
        <w:rPr/>
        <w:t>The Parties affirm the importance of healthy environment as social/economic right and shall seek to strengthen it through cooperative, equivalent or phased measures suited to their respective constitutional and institutional systems.</w:t>
      </w:r>
    </w:p>
    <w:p>
      <w:pPr>
        <w:pStyle w:val="Heading3"/>
        <w:keepNext/>
        <w:widowControl/>
        <w:spacing w:before="180" w:after="60"/>
        <w:rPr/>
      </w:pPr>
      <w:r>
        <w:rPr/>
        <w:t>HR5-298. Property, livelihood and economic participation: Social/Economic Rights Safeguard</w:t>
      </w:r>
    </w:p>
    <w:p>
      <w:pPr>
        <w:pStyle w:val="Normal"/>
        <w:widowControl/>
        <w:spacing w:before="0" w:after="160"/>
        <w:rPr/>
      </w:pPr>
      <w:r>
        <w:rPr/>
        <w:t>The Parties affirm the importance of property, livelihood and economic participation and shall seek to strengthen it through cooperative, equivalent or phased measures suited to their respective constitutional and institutional systems.</w:t>
      </w:r>
    </w:p>
    <w:p>
      <w:pPr>
        <w:pStyle w:val="Heading3"/>
        <w:keepNext/>
        <w:widowControl/>
        <w:spacing w:before="180" w:after="60"/>
        <w:rPr/>
      </w:pPr>
      <w:r>
        <w:rPr/>
        <w:t>HR5-299. Property, livelihood and economic participation: Non-Discrimination and Policy Space</w:t>
      </w:r>
    </w:p>
    <w:p>
      <w:pPr>
        <w:pStyle w:val="Normal"/>
        <w:widowControl/>
        <w:spacing w:before="0" w:after="160"/>
        <w:rPr/>
      </w:pPr>
      <w:r>
        <w:rPr/>
        <w:t>Cooperation concerning property, livelihood and economic participation should prioritize equal access, accessibility, non-retaliation and protection of persons facing heightened barriers, while permitting functionally equivalent national approaches.</w:t>
      </w:r>
    </w:p>
    <w:p>
      <w:pPr>
        <w:pStyle w:val="Heading3"/>
        <w:keepNext/>
        <w:widowControl/>
        <w:spacing w:before="180" w:after="60"/>
        <w:rPr/>
      </w:pPr>
      <w:r>
        <w:rPr/>
        <w:t>HR5-300. Gig, informal and non-standard worker protections: Social/Economic Rights Safeguard</w:t>
      </w:r>
    </w:p>
    <w:p>
      <w:pPr>
        <w:pStyle w:val="Normal"/>
        <w:widowControl/>
        <w:spacing w:before="0" w:after="160"/>
        <w:rPr/>
      </w:pPr>
      <w:r>
        <w:rPr/>
        <w:t>The Parties affirm the importance of gig, informal and non-standard worker protections and shall seek to strengthen it through cooperative, equivalent or phased measures suited to their respective constitutional and institutional systems.</w:t>
      </w:r>
    </w:p>
    <w:p>
      <w:pPr>
        <w:pStyle w:val="Heading3"/>
        <w:keepNext/>
        <w:widowControl/>
        <w:spacing w:before="180" w:after="60"/>
        <w:rPr/>
      </w:pPr>
      <w:r>
        <w:rPr/>
        <w:t>HR5-301. Gig, informal and non-standard worker protections: Non-Discrimination and Policy Space</w:t>
      </w:r>
    </w:p>
    <w:p>
      <w:pPr>
        <w:pStyle w:val="Normal"/>
        <w:widowControl/>
        <w:spacing w:before="0" w:after="160"/>
        <w:rPr/>
      </w:pPr>
      <w:r>
        <w:rPr/>
        <w:t>Cooperation concerning gig, informal and non-standard worker protections should prioritize equal access, accessibility, non-retaliation and protection of persons facing heightened barriers, while permitting functionally equivalent national approaches.</w:t>
      </w:r>
    </w:p>
    <w:p>
      <w:pPr>
        <w:pStyle w:val="Heading3"/>
        <w:keepNext/>
        <w:widowControl/>
        <w:spacing w:before="180" w:after="60"/>
        <w:rPr/>
      </w:pPr>
      <w:r>
        <w:rPr/>
        <w:t>HR5-302. Women and gender equality in economic participation: Social/Economic Rights Safeguard</w:t>
      </w:r>
    </w:p>
    <w:p>
      <w:pPr>
        <w:pStyle w:val="Normal"/>
        <w:widowControl/>
        <w:spacing w:before="0" w:after="160"/>
        <w:rPr/>
      </w:pPr>
      <w:r>
        <w:rPr/>
        <w:t>The Parties affirm the importance of women and gender equality in economic participation and shall seek to strengthen it through cooperative, equivalent or phased measures suited to their respective constitutional and institutional systems.</w:t>
      </w:r>
    </w:p>
    <w:p>
      <w:pPr>
        <w:pStyle w:val="Heading3"/>
        <w:keepNext/>
        <w:widowControl/>
        <w:spacing w:before="180" w:after="60"/>
        <w:rPr/>
      </w:pPr>
      <w:r>
        <w:t>HR5-303. Cooperation concerning women and gender equality in economic participation should prioritize equal access, accessibility, non-retaliation and protection of persons facing heightened barriers, while permitting functionally equivalent national approaches</w:t>
      </w:r>
    </w:p>
    <w:p>
      <w:pPr>
        <w:pStyle w:val="Normal"/>
        <w:widowControl/>
        <w:spacing w:before="0" w:after="160"/>
        <w:rPr/>
      </w:pPr>
      <w:r>
        <w:rPr/>
        <w:t>Cooperation concerning women and gender equality in economic participation should prioritize equal access, accessibility, non-retaliation and protection of persons facing heightened barriers, while permitting functionally equivalent national approaches.</w:t>
      </w:r>
    </w:p>
    <w:p>
      <w:pPr>
        <w:pStyle w:val="Heading3"/>
        <w:keepNext/>
        <w:widowControl/>
        <w:spacing w:before="180" w:after="60"/>
        <w:rPr/>
      </w:pPr>
      <w:r>
        <w:rPr/>
        <w:t>HR5-304. Indigenous economic rights and resource participation: Social/Economic Rights Safeguard</w:t>
      </w:r>
    </w:p>
    <w:p>
      <w:pPr>
        <w:pStyle w:val="Normal"/>
        <w:widowControl/>
        <w:spacing w:before="0" w:after="160"/>
        <w:rPr/>
      </w:pPr>
      <w:r>
        <w:rPr/>
        <w:t>The Parties affirm the importance of indigenous economic rights and resource participation and shall seek to strengthen it through cooperative, equivalent or phased measures suited to their respective constitutional and institutional systems.</w:t>
      </w:r>
    </w:p>
    <w:p>
      <w:pPr>
        <w:pStyle w:val="Heading3"/>
        <w:keepNext/>
        <w:widowControl/>
        <w:spacing w:before="180" w:after="60"/>
        <w:rPr/>
      </w:pPr>
      <w:r>
        <w:rPr/>
        <w:t>HR5-305. Indigenous economic rights and resource participation: Non-Discrimination and Policy Space</w:t>
      </w:r>
    </w:p>
    <w:p>
      <w:pPr>
        <w:pStyle w:val="Normal"/>
        <w:widowControl/>
        <w:spacing w:before="0" w:after="160"/>
        <w:rPr/>
      </w:pPr>
      <w:r>
        <w:rPr/>
        <w:t>Cooperation concerning indigenous economic rights and resource participation should prioritize equal access, accessibility, non-retaliation and protection of persons facing heightened barriers, while permitting functionally equivalent national approaches.</w:t>
      </w:r>
    </w:p>
    <w:p>
      <w:pPr>
        <w:pStyle w:val="Heading3"/>
        <w:keepNext/>
        <w:widowControl/>
        <w:spacing w:before="180" w:after="60"/>
        <w:rPr/>
      </w:pPr>
      <w:r>
        <w:rPr/>
        <w:t>HR5-306. Disability-inclusive economic participation: Social/Economic Rights Safeguard</w:t>
      </w:r>
    </w:p>
    <w:p>
      <w:pPr>
        <w:pStyle w:val="Normal"/>
        <w:widowControl/>
        <w:spacing w:before="0" w:after="160"/>
        <w:rPr/>
      </w:pPr>
      <w:r>
        <w:rPr/>
        <w:t>The Parties affirm the importance of disability-inclusive economic participation and shall seek to strengthen it through cooperative, equivalent or phased measures suited to their respective constitutional and institutional systems.</w:t>
      </w:r>
    </w:p>
    <w:p>
      <w:pPr>
        <w:pStyle w:val="Heading3"/>
        <w:keepNext/>
        <w:widowControl/>
        <w:spacing w:before="180" w:after="60"/>
        <w:rPr/>
      </w:pPr>
      <w:r>
        <w:rPr/>
        <w:t>HR5-307. Disability-inclusive economic participation: Non-Discrimination and Policy Space</w:t>
      </w:r>
    </w:p>
    <w:p>
      <w:pPr>
        <w:pStyle w:val="Normal"/>
        <w:widowControl/>
        <w:spacing w:before="0" w:after="160"/>
        <w:rPr/>
      </w:pPr>
      <w:r>
        <w:rPr/>
        <w:t>Cooperation concerning disability-inclusive economic participation should prioritize equal access, accessibility, non-retaliation and protection of persons facing heightened barriers, while permitting functionally equivalent national approaches.</w:t>
      </w:r>
    </w:p>
    <w:p>
      <w:pPr>
        <w:pStyle w:val="Heading3"/>
        <w:keepNext/>
        <w:widowControl/>
        <w:spacing w:before="180" w:after="60"/>
        <w:rPr/>
      </w:pPr>
      <w:r>
        <w:rPr/>
        <w:t>HR5-308. Disability-inclusive economic participation: Progressive and Equivalent Implementation</w:t>
      </w:r>
    </w:p>
    <w:p>
      <w:pPr>
        <w:pStyle w:val="Normal"/>
        <w:widowControl/>
        <w:spacing w:before="0" w:after="160"/>
        <w:rPr/>
      </w:pPr>
      <w:r>
        <w:rPr/>
        <w:t>A Party may implement this mechanism through pilots, mutual learning, capacity-building, recognition of equivalent safeguards or staged implementation. No particular administrative model is required where the substantive objective is reasonably achieved.</w:t>
      </w:r>
    </w:p>
    <w:p>
      <w:pPr>
        <w:pStyle w:val="Heading3"/>
        <w:keepNext/>
        <w:widowControl/>
        <w:spacing w:before="180" w:after="60"/>
        <w:rPr/>
      </w:pPr>
      <w:r>
        <w:rPr/>
        <w:t>HR5-309. Poverty reduction and basic-needs resilience: Social/Economic Rights Safeguard</w:t>
      </w:r>
    </w:p>
    <w:p>
      <w:pPr>
        <w:pStyle w:val="Normal"/>
        <w:widowControl/>
        <w:spacing w:before="0" w:after="160"/>
        <w:rPr/>
      </w:pPr>
      <w:r>
        <w:rPr/>
        <w:t>A Party may elect to participate in the Optional Module on Poverty reduction and basic-needs resilience. A participating Party shall implement the commitments it expressly accepts under that Module in accordance with its constitutional order and competent authorities.</w:t>
      </w:r>
    </w:p>
    <w:p>
      <w:pPr>
        <w:pStyle w:val="Heading3"/>
        <w:keepNext/>
        <w:widowControl/>
        <w:spacing w:before="180" w:after="60"/>
        <w:rPr/>
      </w:pPr>
      <w:r>
        <w:rPr/>
        <w:t>HR5-310. Poverty reduction and basic-needs resilience: Non-Discrimination and Policy Space</w:t>
      </w:r>
    </w:p>
    <w:p>
      <w:pPr>
        <w:pStyle w:val="Normal"/>
        <w:widowControl/>
        <w:spacing w:before="0" w:after="160"/>
        <w:rPr/>
      </w:pPr>
      <w:r>
        <w:rPr/>
        <w:t>Participating Parties should pursue poverty reduction and basic-needs resilience through non-discriminatory, rights-respecting and proportionate measures, with appropriate exceptions for legitimate public purposes and the rights and freedoms of others.</w:t>
      </w:r>
    </w:p>
    <w:p>
      <w:pPr>
        <w:pStyle w:val="Heading3"/>
        <w:keepNext/>
        <w:widowControl/>
        <w:spacing w:before="180" w:after="60"/>
        <w:rPr/>
      </w:pPr>
      <w:r>
        <w:t>HR5-311. A Party may elect to participate in the Optional Module on Progressive realization and social-rights policy space</w:t>
      </w:r>
    </w:p>
    <w:p>
      <w:pPr>
        <w:pStyle w:val="Normal"/>
        <w:widowControl/>
        <w:spacing w:before="0" w:after="160"/>
        <w:rPr/>
      </w:pPr>
      <w:r>
        <w:rPr/>
        <w:t>A Party may elect to participate in the Optional Module on Progressive realization and social-rights policy space. A participating Party shall implement the commitments it expressly accepts under that Module in accordance with its constitutional order and competent authorities.</w:t>
      </w:r>
    </w:p>
    <w:p>
      <w:pPr>
        <w:pStyle w:val="Heading3"/>
        <w:keepNext/>
        <w:widowControl/>
        <w:spacing w:before="180" w:after="60"/>
        <w:rPr/>
      </w:pPr>
      <w:r>
        <w:rPr/>
        <w:t>HR5-312. Progressive realization and social-rights policy space: Non-Discrimination and Policy Space</w:t>
      </w:r>
    </w:p>
    <w:p>
      <w:pPr>
        <w:pStyle w:val="Normal"/>
        <w:widowControl/>
        <w:spacing w:before="0" w:after="160"/>
        <w:rPr/>
      </w:pPr>
      <w:r>
        <w:rPr/>
        <w:t>Participating Parties should pursue progressive realization and social-rights policy space through non-discriminatory, rights-respecting and proportionate measures, with appropriate exceptions for legitimate public purposes and the rights and freedoms of others.</w:t>
      </w:r>
    </w:p>
    <w:p>
      <w:pPr>
        <w:pStyle w:val="Heading3"/>
        <w:keepNext/>
        <w:widowControl/>
        <w:spacing w:before="180" w:after="60"/>
        <w:rPr/>
      </w:pPr>
      <w:r>
        <w:rPr/>
        <w:t>HR5-313. Right to report wrongdoing in good faith: Protected Disclosure Right</w:t>
      </w:r>
    </w:p>
    <w:p>
      <w:pPr>
        <w:pStyle w:val="Normal"/>
        <w:widowControl/>
        <w:spacing w:before="0" w:after="160"/>
        <w:rPr/>
      </w:pPr>
      <w:r>
        <w:rPr/>
        <w:t>Each Party shall maintain and apply measures consistent with right to report wrongdoing in good faith, within the scope of this Agreement and subject to the stronger-rights, federalism, competent-authority, security and public-interest safeguards of the Human Rights Framework. The competent authority administering a covered measure shall identify the applicable legal basis and material facts for any significant limitation on this protected interest in a record sufficient for the review available under applicable law. Any limitation shall pursue a legitimate objective, be applied without prohibited discrimination or retaliation, and be no broader or longer than reasonably necessary in the circumstances. A materially affected person or competent representative shall have access, as appropriate under domestic law, to a complaint, reconsideration, review, or other process capable of correcting a material error or unlawful application.</w:t>
      </w:r>
    </w:p>
    <w:p>
      <w:pPr>
        <w:pStyle w:val="Heading3"/>
        <w:keepNext/>
        <w:widowControl/>
        <w:spacing w:before="180" w:after="60"/>
        <w:rPr/>
      </w:pPr>
      <w:r>
        <w:rPr/>
        <w:t>HR5-314. Right to report wrongdoing in good faith: Anti-Retaliation Protection</w:t>
      </w:r>
    </w:p>
    <w:p>
      <w:pPr>
        <w:pStyle w:val="Normal"/>
        <w:widowControl/>
        <w:spacing w:before="0" w:after="160"/>
        <w:rPr/>
      </w:pPr>
      <w:r>
        <w:rPr/>
        <w:t>A Party shall not administer a measure covered by this Agreement in a manner that defeats right to report wrongdoing in good faith through prohibited discrimination, arbitrary distinction, retaliation or bad-faith circumvention. Objective and proportionate distinctions pursuing a legitimate public purpose remain permitted. The competent authority administering a covered measure shall identify the applicable legal basis and material facts for any significant limitation on this protected interest in a record sufficient for the review available under applicable law. Any limitation shall pursue a legitimate objective, be applied without prohibited discrimination or retaliation, and be no broader or longer than reasonably necessary in the circumstances.</w:t>
      </w:r>
    </w:p>
    <w:p>
      <w:pPr>
        <w:pStyle w:val="Heading3"/>
        <w:keepNext/>
        <w:widowControl/>
        <w:spacing w:before="180" w:after="60"/>
        <w:rPr/>
      </w:pPr>
      <w:r>
        <w:rPr/>
        <w:t>HR5-315. Right to report wrongdoing in good faith: Confidentiality and Fair Procedure</w:t>
      </w:r>
    </w:p>
    <w:p>
      <w:pPr>
        <w:pStyle w:val="Normal"/>
        <w:widowControl/>
        <w:spacing w:before="0" w:after="160"/>
        <w:rPr/>
      </w:pPr>
      <w:r>
        <w:rPr/>
        <w:t>Each Party shall use reasonable, proportionate and administrable measures to give practical effect to right to report wrongdoing in good faith. Implementation may reflect constitutional structure, division of powers and existing institutions, provided that equivalent protection of the covered interest is maintained. The competent authority administering a covered measure shall identify the applicable legal basis and material facts for any significant limitation on this protected interest in a record sufficient for the review available under applicable law. Any limitation shall pursue a legitimate objective, be applied without prohibited discrimination or retaliation, and be no broader or longer than reasonably necessary in the circumstances.</w:t>
      </w:r>
    </w:p>
    <w:p>
      <w:pPr>
        <w:pStyle w:val="Heading3"/>
        <w:keepNext/>
        <w:widowControl/>
        <w:spacing w:before="180" w:after="60"/>
        <w:rPr/>
      </w:pPr>
      <w:r>
        <w:rPr/>
        <w:t>HR5-316. Protected reporting channels and escalation pathways: Protected Disclosure Right</w:t>
      </w:r>
    </w:p>
    <w:p>
      <w:pPr>
        <w:pStyle w:val="Normal"/>
        <w:widowControl/>
        <w:spacing w:before="0" w:after="160"/>
        <w:rPr/>
      </w:pPr>
      <w:r>
        <w:rPr/>
        <w:t>The Parties affirm the importance of protected reporting channels and escalation pathways and shall seek to strengthen it through cooperative, equivalent or phased measures suited to their respective constitutional and institutional systems.</w:t>
      </w:r>
    </w:p>
    <w:p>
      <w:pPr>
        <w:pStyle w:val="Heading3"/>
        <w:keepNext/>
        <w:widowControl/>
        <w:spacing w:before="180" w:after="60"/>
        <w:rPr/>
      </w:pPr>
      <w:r>
        <w:rPr/>
        <w:t>HR5-317. Protected reporting channels and escalation pathways: Anti-Retaliation Protection</w:t>
      </w:r>
    </w:p>
    <w:p>
      <w:pPr>
        <w:pStyle w:val="Normal"/>
        <w:widowControl/>
        <w:spacing w:before="0" w:after="160"/>
        <w:rPr/>
      </w:pPr>
      <w:r>
        <w:rPr/>
        <w:t>Cooperation concerning protected reporting channels and escalation pathways should prioritize equal access, accessibility, non-retaliation and protection of persons facing heightened barriers, while permitting functionally equivalent national approaches.</w:t>
      </w:r>
    </w:p>
    <w:p>
      <w:pPr>
        <w:pStyle w:val="Heading3"/>
        <w:keepNext/>
        <w:widowControl/>
        <w:spacing w:before="180" w:after="60"/>
        <w:rPr/>
      </w:pPr>
      <w:r>
        <w:rPr/>
        <w:t>HR5-318. Anti-retaliation and employment protection: Protected Disclosure Right</w:t>
      </w:r>
    </w:p>
    <w:p>
      <w:pPr>
        <w:pStyle w:val="Normal"/>
        <w:widowControl/>
        <w:spacing w:before="0" w:after="160"/>
        <w:rPr/>
      </w:pPr>
      <w:r>
        <w:rPr/>
        <w:t>A person who makes a protected disclosure in good faith through an authorized or reasonably appropriate channel shall be protected against retaliation materially connected to that disclosure. Protection may include employment, immigration-status, licensing, contracting and access-to-remedy safeguards where relevant to the covered relationship. The competent authority administering a covered measure shall identify the applicable legal basis and material facts for any significant limitation on this protected interest in a record sufficient for the review available under applicable law. Any limitation shall pursue a legitimate objective, be applied without prohibited discrimination or retaliation, and be no broader or longer than reasonably necessary in the circumstances.</w:t>
      </w:r>
    </w:p>
    <w:p>
      <w:pPr>
        <w:pStyle w:val="Heading3"/>
        <w:keepNext/>
        <w:widowControl/>
        <w:spacing w:before="180" w:after="60"/>
        <w:rPr/>
      </w:pPr>
      <w:r>
        <w:rPr/>
        <w:t>HR5-319. Anti-retaliation and employment protection: Anti-Retaliation Protection</w:t>
      </w:r>
    </w:p>
    <w:p>
      <w:pPr>
        <w:pStyle w:val="Normal"/>
        <w:widowControl/>
        <w:spacing w:before="0" w:after="160"/>
        <w:rPr/>
      </w:pPr>
      <w:r>
        <w:rPr/>
        <w:t>A Party shall not administer a measure covered by this Agreement in a manner that defeats anti-retaliation and employment protection through prohibited discrimination, arbitrary distinction, retaliation or bad-faith circumvention. Objective and proportionate distinctions pursuing a legitimate public purpose remain permitted. The competent authority administering a covered measure shall identify the applicable legal basis and material facts for any significant limitation on this protected interest in a record sufficient for the review available under applicable law. Any limitation shall pursue a legitimate objective, be applied without prohibited discrimination or retaliation, and be no broader or longer than reasonably necessary in the circumstances.</w:t>
      </w:r>
    </w:p>
    <w:p>
      <w:pPr>
        <w:pStyle w:val="Heading3"/>
        <w:keepNext/>
        <w:widowControl/>
        <w:spacing w:before="180" w:after="60"/>
        <w:rPr/>
      </w:pPr>
      <w:r>
        <w:rPr/>
        <w:t>HR5-320. Anti-retaliation and employment protection: Confidentiality and Fair Procedure</w:t>
      </w:r>
    </w:p>
    <w:p>
      <w:pPr>
        <w:pStyle w:val="Normal"/>
        <w:widowControl/>
        <w:spacing w:before="0" w:after="160"/>
        <w:rPr/>
      </w:pPr>
      <w:r>
        <w:rPr/>
        <w:t>Each Party shall use reasonable, proportionate and administrable measures to give practical effect to anti-retaliation and employment protection. Implementation may reflect constitutional structure, division of powers and existing institutions, provided that equivalent protection of the covered interest is maintained. The competent authority administering a covered measure shall identify the applicable legal basis and material facts for any significant limitation on this protected interest in a record sufficient for the review available under applicable law. Any limitation shall pursue a legitimate objective, be applied without prohibited discrimination or retaliation, and be no broader or longer than reasonably necessary in the circumstances.</w:t>
      </w:r>
    </w:p>
    <w:p>
      <w:pPr>
        <w:pStyle w:val="Heading3"/>
        <w:keepNext/>
        <w:widowControl/>
        <w:spacing w:before="180" w:after="60"/>
        <w:rPr/>
      </w:pPr>
      <w:r>
        <w:rPr/>
        <w:t>HR5-321. Anti-retaliation and employment protection: Effective Remedy and Causation</w:t>
      </w:r>
    </w:p>
    <w:p>
      <w:pPr>
        <w:pStyle w:val="Normal"/>
        <w:widowControl/>
        <w:spacing w:before="0" w:after="160"/>
        <w:rPr/>
      </w:pPr>
      <w:r>
        <w:rPr/>
        <w:t>A person materially affected by a covered governmental measure implicating anti-retaliation and employment protection shall have access, as appropriate under domestic law, to notice, reasons, review, complaint or another effective process. This Article does not itself create a private cause of action, criminal offence or automatic civil liability. The competent authority shall provide a materially affected person with notice of the relevant basis, a meaningful opportunity to respond where practicable, and reasons sufficient to permit the review available under applicable law. Review shall be conducted by an authority or process capable of correcting material error, unlawful discrimination, retaliation, or a denial of the protected procedural interest.</w:t>
      </w:r>
    </w:p>
    <w:p>
      <w:pPr>
        <w:pStyle w:val="Heading3"/>
        <w:keepNext/>
        <w:widowControl/>
        <w:spacing w:before="180" w:after="60"/>
        <w:rPr/>
      </w:pPr>
      <w:r>
        <w:rPr/>
        <w:t>HR5-322. Anti-retaliation and employment protection: Cross-Border Cooperation</w:t>
      </w:r>
    </w:p>
    <w:p>
      <w:pPr>
        <w:pStyle w:val="Normal"/>
        <w:widowControl/>
        <w:spacing w:before="0" w:after="160"/>
        <w:rPr/>
      </w:pPr>
      <w:r>
        <w:rPr/>
        <w:t>The Parties shall cooperate, where useful, on implementation of anti-retaliation and employment protection using existing NAESTMA institutions wherever capable. Reporting and data collection shall be proportionate, privacy-preserving and designed to avoid new unfunded permanent bureaucracy. Implementation shall use constitutionally competent authorities and existing NAESTMA institutions wherever capable, and shall not require a new permanent supranational body unless the Parties expressly agree otherwise. Any information collection, consultation, or reporting used for this provision shall be limited to what is reasonably necessary for the stated function and shall respect applicable privacy, confidentiality, security, and protected-disclosure safeguards.</w:t>
      </w:r>
    </w:p>
    <w:p>
      <w:pPr>
        <w:pStyle w:val="Heading3"/>
        <w:keepNext/>
        <w:widowControl/>
        <w:spacing w:before="180" w:after="60"/>
        <w:rPr/>
      </w:pPr>
      <w:r>
        <w:rPr/>
        <w:t>HR5-323. Confidentiality and anonymity: Protected Disclosure Right</w:t>
      </w:r>
    </w:p>
    <w:p>
      <w:pPr>
        <w:pStyle w:val="Normal"/>
        <w:widowControl/>
        <w:spacing w:before="0" w:after="160"/>
        <w:rPr/>
      </w:pPr>
      <w:r>
        <w:rPr/>
        <w:t>The identity and personal information of a protected whistleblower shall be handled under necessity, proportionality and data-minimization principles. Disclosure may occur where required by law or fair process, with protective measures where reasonably available. The competent authority administering a covered measure shall identify the applicable legal basis and material facts for any significant limitation on this protected interest in a record sufficient for the review available under applicable law. Any limitation shall pursue a legitimate objective, be applied without prohibited discrimination or retaliation, and be no broader or longer than reasonably necessary in the circumstances.</w:t>
      </w:r>
    </w:p>
    <w:p>
      <w:pPr>
        <w:pStyle w:val="Heading3"/>
        <w:keepNext/>
        <w:widowControl/>
        <w:spacing w:before="180" w:after="60"/>
        <w:rPr/>
      </w:pPr>
      <w:r>
        <w:rPr/>
        <w:t>HR5-324. Confidentiality and anonymity: Anti-Retaliation Protection</w:t>
      </w:r>
    </w:p>
    <w:p>
      <w:pPr>
        <w:pStyle w:val="Normal"/>
        <w:widowControl/>
        <w:spacing w:before="0" w:after="160"/>
        <w:rPr/>
      </w:pPr>
      <w:r>
        <w:rPr/>
        <w:t>A Party shall not administer a measure covered by this Agreement in a manner that defeats confidentiality and anonymity through prohibited discrimination, arbitrary distinction, retaliation or bad-faith circumvention. Objective and proportionate distinctions pursuing a legitimate public purpose remain permitted. The competent authority administering a covered measure shall identify the applicable legal basis and material facts for any significant limitation on this protected interest in a record sufficient for the review available under applicable law. Any limitation shall pursue a legitimate objective, be applied without prohibited discrimination or retaliation, and be no broader or longer than reasonably necessary in the circumstances.</w:t>
      </w:r>
    </w:p>
    <w:p>
      <w:pPr>
        <w:pStyle w:val="Heading3"/>
        <w:keepNext/>
        <w:widowControl/>
        <w:spacing w:before="180" w:after="60"/>
        <w:rPr/>
      </w:pPr>
      <w:r>
        <w:rPr/>
        <w:t>HR5-325. Confidentiality and anonymity: Confidentiality and Fair Procedure</w:t>
      </w:r>
    </w:p>
    <w:p>
      <w:pPr>
        <w:pStyle w:val="Normal"/>
        <w:widowControl/>
        <w:spacing w:before="0" w:after="160"/>
        <w:rPr/>
      </w:pPr>
      <w:r>
        <w:rPr/>
        <w:t>Each Party shall use reasonable, proportionate and administrable measures to give practical effect to confidentiality and anonymity. Implementation may reflect constitutional structure, division of powers and existing institutions, provided that equivalent protection of the covered interest is maintained. The competent authority administering a covered measure shall identify the applicable legal basis and material facts for any significant limitation on this protected interest in a record sufficient for the review available under applicable law. Any limitation shall pursue a legitimate objective, be applied without prohibited discrimination or retaliation, and be no broader or longer than reasonably necessary in the circumstances.</w:t>
      </w:r>
    </w:p>
    <w:p>
      <w:pPr>
        <w:pStyle w:val="Heading3"/>
        <w:keepNext/>
        <w:widowControl/>
        <w:spacing w:before="180" w:after="60"/>
        <w:rPr/>
      </w:pPr>
      <w:r>
        <w:rPr/>
        <w:t>HR5-326. Whistleblower privacy and data protection: Protected Disclosure Right</w:t>
      </w:r>
    </w:p>
    <w:p>
      <w:pPr>
        <w:pStyle w:val="Normal"/>
        <w:widowControl/>
        <w:spacing w:before="0" w:after="160"/>
        <w:rPr/>
      </w:pPr>
      <w:r>
        <w:rPr/>
        <w:t>Each Party shall maintain and apply measures consistent with whistleblower privacy and data protection, within the scope of this Agreement and subject to the stronger-rights, federalism, competent-authority, security and public-interest safeguards of the Human Rights Framework. A competent authority using covered data or automated processing shall identify the lawful purpose, limit collection and use to what is reasonably necessary, and apply security, retention, correction, and access controls proportionate to the sensitivity of the information. A materially consequential decision shall not rest solely on an opaque or unreviewable automated output where applicable law requires meaningful human review or an opportunity to contest material error. Protected characteristics, immigration status, disability, health information, or other sensitive data shall not be used as a disguised proxy for prohibited discrimination or unrelated enforcement leverage.</w:t>
      </w:r>
    </w:p>
    <w:p>
      <w:pPr>
        <w:pStyle w:val="Heading3"/>
        <w:keepNext/>
        <w:widowControl/>
        <w:spacing w:before="180" w:after="60"/>
        <w:rPr/>
      </w:pPr>
      <w:r>
        <w:rPr/>
        <w:t>HR5-327. Fair investigation and due process: Protected Disclosure Right</w:t>
      </w:r>
    </w:p>
    <w:p>
      <w:pPr>
        <w:pStyle w:val="Normal"/>
        <w:widowControl/>
        <w:spacing w:before="0" w:after="160"/>
        <w:rPr/>
      </w:pPr>
      <w:r>
        <w:rPr/>
        <w:t>Each Party shall maintain and apply measures consistent with fair investigation and due process, within the scope of this Agreement and subject to the stronger-rights, federalism, competent-authority, security and public-interest safeguards of the Human Rights Framework. The competent authority administering a covered measure shall identify the applicable legal basis and material facts for any significant limitation on this protected interest in a record sufficient for the review available under applicable law. Any limitation shall pursue a legitimate objective, be applied without prohibited discrimination or retaliation, and be no broader or longer than reasonably necessary in the circumstances. A materially affected person or competent representative shall have access, as appropriate under domestic law, to a complaint, reconsideration, review, or other process capable of correcting a material error or unlawful application.</w:t>
      </w:r>
    </w:p>
    <w:p>
      <w:pPr>
        <w:pStyle w:val="Heading3"/>
        <w:keepNext/>
        <w:widowControl/>
        <w:spacing w:before="180" w:after="60"/>
        <w:rPr/>
      </w:pPr>
      <w:r>
        <w:rPr/>
        <w:t>HR5-328. Fair investigation and due process: Anti-Retaliation Protection</w:t>
      </w:r>
    </w:p>
    <w:p>
      <w:pPr>
        <w:pStyle w:val="Normal"/>
        <w:widowControl/>
        <w:spacing w:before="0" w:after="160"/>
        <w:rPr/>
      </w:pPr>
      <w:r>
        <w:rPr/>
        <w:t>A Party shall not administer a measure covered by this Agreement in a manner that defeats fair investigation and due process through prohibited discrimination, arbitrary distinction, retaliation or bad-faith circumvention. Objective and proportionate distinctions pursuing a legitimate public purpose remain permitted. The competent authority administering a covered measure shall identify the applicable legal basis and material facts for any significant limitation on this protected interest in a record sufficient for the review available under applicable law. Any limitation shall pursue a legitimate objective, be applied without prohibited discrimination or retaliation, and be no broader or longer than reasonably necessary in the circumstances.</w:t>
      </w:r>
    </w:p>
    <w:p>
      <w:pPr>
        <w:pStyle w:val="Heading3"/>
        <w:keepNext/>
        <w:widowControl/>
        <w:spacing w:before="180" w:after="60"/>
        <w:rPr/>
      </w:pPr>
      <w:r>
        <w:rPr/>
        <w:t>HR5-329. Fair investigation and due process: Confidentiality and Fair Procedure</w:t>
      </w:r>
    </w:p>
    <w:p>
      <w:pPr>
        <w:pStyle w:val="Normal"/>
        <w:widowControl/>
        <w:spacing w:before="0" w:after="160"/>
        <w:rPr/>
      </w:pPr>
      <w:r>
        <w:rPr/>
        <w:t>Each Party shall use reasonable, proportionate and administrable measures to give practical effect to fair investigation and due process. Implementation may reflect constitutional structure, division of powers and existing institutions, provided that equivalent protection of the covered interest is maintained. The competent authority administering a covered measure shall identify the applicable legal basis and material facts for any significant limitation on this protected interest in a record sufficient for the review available under applicable law. Any limitation shall pursue a legitimate objective, be applied without prohibited discrimination or retaliation, and be no broader or longer than reasonably necessary in the circumstances.</w:t>
      </w:r>
    </w:p>
    <w:p>
      <w:pPr>
        <w:pStyle w:val="Heading3"/>
        <w:keepNext/>
        <w:widowControl/>
        <w:spacing w:before="180" w:after="60"/>
        <w:rPr/>
      </w:pPr>
      <w:r>
        <w:rPr/>
        <w:t>HR5-330. Interim relief, reinstatement and effective remedy: Protected Disclosure Right</w:t>
      </w:r>
    </w:p>
    <w:p>
      <w:pPr>
        <w:pStyle w:val="Normal"/>
        <w:widowControl/>
        <w:spacing w:before="0" w:after="160"/>
        <w:rPr/>
      </w:pPr>
      <w:r>
        <w:rPr/>
        <w:t>The Parties affirm the importance of interim relief, reinstatement and effective remedy and shall seek to strengthen it through cooperative, equivalent or phased measures suited to their respective constitutional and institutional systems.</w:t>
      </w:r>
    </w:p>
    <w:p>
      <w:pPr>
        <w:pStyle w:val="Heading3"/>
        <w:keepNext/>
        <w:widowControl/>
        <w:spacing w:before="180" w:after="60"/>
        <w:rPr/>
      </w:pPr>
      <w:r>
        <w:rPr/>
        <w:t>HR5-331. Interim relief, reinstatement and effective remedy: Anti-Retaliation Protection</w:t>
      </w:r>
    </w:p>
    <w:p>
      <w:pPr>
        <w:pStyle w:val="Normal"/>
        <w:widowControl/>
        <w:spacing w:before="0" w:after="160"/>
        <w:rPr/>
      </w:pPr>
      <w:r>
        <w:rPr/>
        <w:t>Cooperation concerning interim relief, reinstatement and effective remedy should prioritize equal access, accessibility, non-retaliation and protection of persons facing heightened barriers, while permitting functionally equivalent national approaches.</w:t>
      </w:r>
    </w:p>
    <w:p>
      <w:pPr>
        <w:pStyle w:val="Heading3"/>
        <w:keepNext/>
        <w:widowControl/>
        <w:spacing w:before="180" w:after="60"/>
        <w:rPr/>
      </w:pPr>
      <w:r>
        <w:rPr/>
        <w:t>HR5-332. Burden of proof and causation for retaliation claims: Protected Disclosure Right</w:t>
      </w:r>
    </w:p>
    <w:p>
      <w:pPr>
        <w:pStyle w:val="Normal"/>
        <w:widowControl/>
        <w:spacing w:before="0" w:after="160"/>
        <w:rPr/>
      </w:pPr>
      <w:r>
        <w:rPr/>
        <w:t>The Parties affirm the importance of burden of proof and causation for retaliation claims and shall seek to strengthen it through cooperative, equivalent or phased measures suited to their respective constitutional and institutional systems.</w:t>
      </w:r>
    </w:p>
    <w:p>
      <w:pPr>
        <w:pStyle w:val="Heading3"/>
        <w:keepNext/>
        <w:widowControl/>
        <w:spacing w:before="180" w:after="60"/>
        <w:rPr/>
      </w:pPr>
      <w:r>
        <w:rPr/>
        <w:t>HR5-333. Public-interest disclosure and freedom-of-expression protection: Protected Disclosure Right</w:t>
      </w:r>
    </w:p>
    <w:p>
      <w:pPr>
        <w:pStyle w:val="Normal"/>
        <w:widowControl/>
        <w:spacing w:before="0" w:after="160"/>
        <w:rPr/>
      </w:pPr>
      <w:r>
        <w:rPr/>
        <w:t>Each Party shall maintain and apply measures consistent with public-interest disclosure and freedom-of-expression protection, within the scope of this Agreement and subject to the stronger-rights, federalism, competent-authority, security and public-interest safeguards of the Human Rights Framework. The competent authority administering a covered measure shall identify the applicable legal basis and material facts for any significant limitation on this protected interest in a record sufficient for the review available under applicable law. Any limitation shall pursue a legitimate objective, be applied without prohibited discrimination or retaliation, and be no broader or longer than reasonably necessary in the circumstances. A materially affected person or competent representative shall have access, as appropriate under domestic law, to a complaint, reconsideration, review, or other process capable of correcting a material error or unlawful application.</w:t>
      </w:r>
    </w:p>
    <w:p>
      <w:pPr>
        <w:pStyle w:val="Heading3"/>
        <w:keepNext/>
        <w:widowControl/>
        <w:spacing w:before="180" w:after="60"/>
        <w:rPr/>
      </w:pPr>
      <w:r>
        <w:rPr/>
        <w:t>HR5-334. Public-interest disclosure and freedom-of-expression protection: Anti-Retaliation Protection</w:t>
      </w:r>
    </w:p>
    <w:p>
      <w:pPr>
        <w:pStyle w:val="Normal"/>
        <w:widowControl/>
        <w:spacing w:before="0" w:after="160"/>
        <w:rPr/>
      </w:pPr>
      <w:r>
        <w:rPr/>
        <w:t>A Party shall not administer a measure covered by this Agreement in a manner that defeats public-interest disclosure and freedom-of-expression protection through prohibited discrimination, arbitrary distinction, retaliation or bad-faith circumvention. Objective and proportionate distinctions pursuing a legitimate public purpose remain permitted. The competent authority administering a covered measure shall identify the applicable legal basis and material facts for any significant limitation on this protected interest in a record sufficient for the review available under applicable law. Any limitation shall pursue a legitimate objective, be applied without prohibited discrimination or retaliation, and be no broader or longer than reasonably necessary in the circumstances.</w:t>
      </w:r>
    </w:p>
    <w:p>
      <w:pPr>
        <w:pStyle w:val="Heading3"/>
        <w:keepNext/>
        <w:widowControl/>
        <w:spacing w:before="180" w:after="60"/>
        <w:rPr/>
      </w:pPr>
      <w:r>
        <w:rPr/>
        <w:t>HR5-335. Sector-specific whistleblower protection: Protected Disclosure Right</w:t>
      </w:r>
    </w:p>
    <w:p>
      <w:pPr>
        <w:pStyle w:val="Normal"/>
        <w:widowControl/>
        <w:spacing w:before="0" w:after="160"/>
        <w:rPr/>
      </w:pPr>
      <w:r>
        <w:rPr/>
        <w:t>The Parties affirm the importance of sector-specific whistleblower protection and shall seek to strengthen it through cooperative, equivalent or phased measures suited to their respective constitutional and institutional systems.</w:t>
      </w:r>
    </w:p>
    <w:p>
      <w:pPr>
        <w:pStyle w:val="Heading3"/>
        <w:keepNext/>
        <w:widowControl/>
        <w:spacing w:before="180" w:after="60"/>
        <w:rPr/>
      </w:pPr>
      <w:r>
        <w:rPr/>
        <w:t>HR5-336. Sector-specific whistleblower protection: Anti-Retaliation Protection</w:t>
      </w:r>
    </w:p>
    <w:p>
      <w:pPr>
        <w:pStyle w:val="Normal"/>
        <w:widowControl/>
        <w:spacing w:before="0" w:after="160"/>
        <w:rPr/>
      </w:pPr>
      <w:r>
        <w:rPr/>
        <w:t>Cooperation concerning sector-specific whistleblower protection should prioritize equal access, accessibility, non-retaliation and protection of persons facing heightened barriers, while permitting functionally equivalent national approaches.</w:t>
      </w:r>
    </w:p>
    <w:p>
      <w:pPr>
        <w:pStyle w:val="Heading3"/>
        <w:keepNext/>
        <w:widowControl/>
        <w:spacing w:before="180" w:after="60"/>
        <w:rPr/>
      </w:pPr>
      <w:r>
        <w:rPr/>
        <w:t>HR5-337. Migrant, precarious and vulnerable whistleblower safeguards: Protected Disclosure Right</w:t>
      </w:r>
    </w:p>
    <w:p>
      <w:pPr>
        <w:pStyle w:val="Normal"/>
        <w:widowControl/>
        <w:spacing w:before="0" w:after="160"/>
        <w:rPr/>
      </w:pPr>
      <w:r>
        <w:rPr/>
        <w:t>The Parties affirm the importance of migrant, precarious and vulnerable whistleblower safeguards and shall seek to strengthen it through cooperative, equivalent or phased measures suited to their respective constitutional and institutional systems.</w:t>
      </w:r>
    </w:p>
    <w:p>
      <w:pPr>
        <w:pStyle w:val="Heading3"/>
        <w:keepNext/>
        <w:widowControl/>
        <w:spacing w:before="180" w:after="60"/>
        <w:rPr/>
      </w:pPr>
      <w:r>
        <w:rPr/>
        <w:t>HR5-338. Cross-border reporting and enforcement cooperation: Protected Disclosure Right</w:t>
      </w:r>
    </w:p>
    <w:p>
      <w:pPr>
        <w:pStyle w:val="Normal"/>
        <w:widowControl/>
        <w:spacing w:before="0" w:after="160"/>
        <w:rPr/>
      </w:pPr>
      <w:r>
        <w:rPr/>
        <w:t>The Parties affirm the importance of cross-border reporting and enforcement cooperation and shall seek to strengthen it through cooperative, equivalent or phased measures suited to their respective constitutional and institutional systems.</w:t>
      </w:r>
    </w:p>
    <w:p>
      <w:pPr>
        <w:pStyle w:val="Heading3"/>
        <w:keepNext/>
        <w:widowControl/>
        <w:spacing w:before="180" w:after="60"/>
        <w:rPr/>
      </w:pPr>
      <w:r>
        <w:rPr/>
        <w:t>HR5-339. Human-rights reporting and outcome transparency: Implementation Principle</w:t>
      </w:r>
    </w:p>
    <w:p>
      <w:pPr>
        <w:pStyle w:val="Normal"/>
        <w:widowControl/>
        <w:spacing w:before="0" w:after="160"/>
        <w:rPr/>
      </w:pPr>
      <w:r>
        <w:rPr/>
        <w:t>The Parties affirm the importance of human-rights reporting and outcome transparency and shall seek to strengthen it through cooperative, equivalent or phased measures suited to their respective constitutional and institutional systems.</w:t>
      </w:r>
    </w:p>
    <w:p>
      <w:pPr>
        <w:pStyle w:val="Heading3"/>
        <w:keepNext/>
        <w:widowControl/>
        <w:spacing w:before="180" w:after="60"/>
        <w:rPr/>
      </w:pPr>
      <w:r>
        <w:rPr/>
        <w:t>HR5-340. Human-rights reporting and outcome transparency: Data and Participation Safeguard</w:t>
      </w:r>
    </w:p>
    <w:p>
      <w:pPr>
        <w:pStyle w:val="Normal"/>
        <w:widowControl/>
        <w:spacing w:before="0" w:after="160"/>
        <w:rPr/>
      </w:pPr>
      <w:r>
        <w:rPr/>
        <w:t>Cooperation concerning human-rights reporting and outcome transparency should prioritize equal access, accessibility, non-retaliation and protection of persons facing heightened barriers, while permitting functionally equivalent national approaches.</w:t>
      </w:r>
    </w:p>
    <w:p>
      <w:pPr>
        <w:pStyle w:val="Heading3"/>
        <w:keepNext/>
        <w:widowControl/>
        <w:spacing w:before="180" w:after="60"/>
        <w:rPr/>
      </w:pPr>
      <w:r>
        <w:rPr/>
        <w:t>HR5-341. Human-rights reporting and outcome transparency: Proportionate Administration</w:t>
      </w:r>
    </w:p>
    <w:p>
      <w:pPr>
        <w:pStyle w:val="Normal"/>
        <w:widowControl/>
        <w:spacing w:before="0" w:after="160"/>
        <w:rPr/>
      </w:pPr>
      <w:r>
        <w:rPr/>
        <w:t>A Party may implement this mechanism through pilots, mutual learning, capacity-building, recognition of equivalent safeguards or staged implementation. No particular administrative model is required where the substantive objective is reasonably achieved.</w:t>
      </w:r>
    </w:p>
    <w:p>
      <w:pPr>
        <w:pStyle w:val="Heading3"/>
        <w:keepNext/>
        <w:widowControl/>
        <w:spacing w:before="180" w:after="60"/>
        <w:rPr/>
      </w:pPr>
      <w:r>
        <w:rPr/>
        <w:t>HR5-342. Advisory participation and affected-community representation: Implementation Principle</w:t>
      </w:r>
    </w:p>
    <w:p>
      <w:pPr>
        <w:pStyle w:val="Normal"/>
        <w:widowControl/>
        <w:spacing w:before="0" w:after="160"/>
        <w:rPr/>
      </w:pPr>
      <w:r>
        <w:rPr/>
        <w:t>The Parties affirm the importance of advisory participation and affected-community representation and shall seek to strengthen it through cooperative, equivalent or phased measures suited to their respective constitutional and institutional systems.</w:t>
      </w:r>
    </w:p>
    <w:p>
      <w:pPr>
        <w:pStyle w:val="Heading3"/>
        <w:keepNext/>
        <w:widowControl/>
        <w:spacing w:before="180" w:after="60"/>
        <w:rPr/>
      </w:pPr>
      <w:r>
        <w:rPr/>
        <w:t>HR5-343. Advisory participation and affected-community representation: Data and Participation Safeguard</w:t>
      </w:r>
    </w:p>
    <w:p>
      <w:pPr>
        <w:pStyle w:val="Normal"/>
        <w:widowControl/>
        <w:spacing w:before="0" w:after="160"/>
        <w:rPr/>
      </w:pPr>
      <w:r>
        <w:rPr/>
        <w:t>Cooperation concerning advisory participation and affected-community representation should prioritize equal access, accessibility, non-retaliation and protection of persons facing heightened barriers, while permitting functionally equivalent national approaches.</w:t>
      </w:r>
    </w:p>
    <w:p>
      <w:pPr>
        <w:pStyle w:val="Heading3"/>
        <w:keepNext/>
        <w:widowControl/>
        <w:spacing w:before="180" w:after="60"/>
        <w:rPr/>
      </w:pPr>
      <w:r>
        <w:rPr/>
        <w:t>HR5-344. Complaint intake, referral and ombuds mechanisms: Implementation Principle</w:t>
      </w:r>
    </w:p>
    <w:p>
      <w:pPr>
        <w:pStyle w:val="Normal"/>
        <w:widowControl/>
        <w:spacing w:before="0" w:after="160"/>
        <w:rPr/>
      </w:pPr>
      <w:r>
        <w:rPr/>
        <w:t>Each Party shall maintain and apply measures consistent with complaint intake, referral and ombuds mechanisms, within the scope of this Agreement and subject to the stronger-rights, federalism, competent-authority, security and public-interest safeguards of the Human Rights Framework. Implementation shall use constitutionally competent authorities and existing NAESTMA institutions wherever capable, and shall not require a new permanent supranational body unless the Parties expressly agree otherwise. Any information collection, consultation, or reporting used for this provision shall be limited to what is reasonably necessary for the stated function and shall respect applicable privacy, confidentiality, security, and protected-disclosure safeguards. A competent authority shall periodically assess whether the chosen implementation method remains effective, proportionate, and no more administratively burdensome than necessary, and may use a functionally equivalent method that preserves the protected interest.</w:t>
      </w:r>
    </w:p>
    <w:p>
      <w:pPr>
        <w:pStyle w:val="Heading3"/>
        <w:keepNext/>
        <w:widowControl/>
        <w:spacing w:before="180" w:after="60"/>
        <w:rPr/>
      </w:pPr>
      <w:r>
        <w:rPr/>
        <w:t>HR5-345. Independent monitoring, inspection and expert evidence: Implementation Principle</w:t>
      </w:r>
    </w:p>
    <w:p>
      <w:pPr>
        <w:pStyle w:val="Normal"/>
        <w:widowControl/>
        <w:spacing w:before="0" w:after="160"/>
        <w:rPr/>
      </w:pPr>
      <w:r>
        <w:rPr/>
        <w:t>The Parties affirm the importance of independent monitoring, inspection and expert evidence and shall seek to strengthen it through cooperative, equivalent or phased measures suited to their respective constitutional and institutional systems.</w:t>
      </w:r>
    </w:p>
    <w:p>
      <w:pPr>
        <w:pStyle w:val="Heading3"/>
        <w:keepNext/>
        <w:widowControl/>
        <w:spacing w:before="180" w:after="60"/>
        <w:rPr/>
      </w:pPr>
      <w:r>
        <w:rPr/>
        <w:t>HR5-346. Data collection, disaggregation and privacy safeguards: Implementation Principle</w:t>
      </w:r>
    </w:p>
    <w:p>
      <w:pPr>
        <w:pStyle w:val="Normal"/>
        <w:widowControl/>
        <w:spacing w:before="0" w:after="160"/>
        <w:rPr/>
      </w:pPr>
      <w:r>
        <w:rPr/>
        <w:t>The Parties affirm the importance of data collection, disaggregation and privacy safeguards and shall seek to strengthen it through cooperative, equivalent or phased measures suited to their respective constitutional and institutional systems.</w:t>
      </w:r>
    </w:p>
    <w:p>
      <w:pPr>
        <w:pStyle w:val="Heading3"/>
        <w:keepNext/>
        <w:widowControl/>
        <w:spacing w:before="180" w:after="60"/>
        <w:rPr/>
      </w:pPr>
      <w:r>
        <w:t>HR5-347. Cooperation concerning data collection, disaggregation and privacy safeguards should prioritize equal access, accessibility, non-retaliation and protection of persons facing heightened barriers, while permitting functionally equivalent national approaches</w:t>
      </w:r>
    </w:p>
    <w:p>
      <w:pPr>
        <w:pStyle w:val="Normal"/>
        <w:widowControl/>
        <w:spacing w:before="0" w:after="160"/>
        <w:rPr/>
      </w:pPr>
      <w:r>
        <w:rPr/>
        <w:t>Cooperation concerning data collection, disaggregation and privacy safeguards should prioritize equal access, accessibility, non-retaliation and protection of persons facing heightened barriers, while permitting functionally equivalent national approaches.</w:t>
      </w:r>
    </w:p>
    <w:p>
      <w:pPr>
        <w:pStyle w:val="Heading3"/>
        <w:keepNext/>
        <w:widowControl/>
        <w:spacing w:before="180" w:after="60"/>
        <w:rPr/>
      </w:pPr>
      <w:r>
        <w:rPr/>
        <w:t>HR5-348. Institutional-bloat control and use of existing mechanisms: Implementation Principle</w:t>
      </w:r>
    </w:p>
    <w:p>
      <w:pPr>
        <w:pStyle w:val="Normal"/>
        <w:widowControl/>
        <w:spacing w:before="0" w:after="160"/>
        <w:rPr/>
      </w:pPr>
      <w:r>
        <w:rPr/>
        <w:t>The Parties affirm the importance of institutional-bloat control and use of existing mechanisms and shall seek to strengthen it through cooperative, equivalent or phased measures suited to their respective constitutional and institutional systems.</w:t>
      </w:r>
    </w:p>
    <w:p>
      <w:pPr>
        <w:pStyle w:val="Heading3"/>
        <w:keepNext/>
        <w:widowControl/>
        <w:spacing w:before="180" w:after="60"/>
        <w:rPr/>
      </w:pPr>
      <w:r>
        <w:rPr/>
        <w:t>HR5-349. Institutional-bloat control and use of existing mechanisms: Data and Participation Safeguard</w:t>
      </w:r>
    </w:p>
    <w:p>
      <w:pPr>
        <w:pStyle w:val="Normal"/>
        <w:widowControl/>
        <w:spacing w:before="0" w:after="160"/>
        <w:rPr/>
      </w:pPr>
      <w:r>
        <w:rPr/>
        <w:t>Cooperation concerning institutional-bloat control and use of existing mechanisms should prioritize equal access, accessibility, non-retaliation and protection of persons facing heightened barriers, while permitting functionally equivalent national approaches.</w:t>
      </w:r>
    </w:p>
    <w:p>
      <w:pPr>
        <w:pStyle w:val="Heading3"/>
        <w:keepNext/>
        <w:widowControl/>
        <w:spacing w:before="180" w:after="60"/>
        <w:rPr/>
      </w:pPr>
      <w:r>
        <w:t>HR5-350. A Party may implement this mechanism through pilots, mutual learning, capacity-building, recognition of equivalent safeguards or staged implementation</w:t>
      </w:r>
    </w:p>
    <w:p>
      <w:pPr>
        <w:pStyle w:val="Normal"/>
        <w:widowControl/>
        <w:spacing w:before="0" w:after="160"/>
        <w:rPr/>
      </w:pPr>
      <w:r>
        <w:rPr/>
        <w:t>A Party may implement this mechanism through pilots, mutual learning, capacity-building, recognition of equivalent safeguards or staged implementation. No particular administrative model is required where the substantive objective is reasonably achieved.</w:t>
      </w:r>
    </w:p>
    <w:p>
      <w:bookmarkStart w:id="3143" w:name="_NAESTMA_TOC_3143"/>
      <w:pPr>
        <w:pStyle w:val="Heading2"/>
        <w:keepNext/>
        <w:widowControl/>
        <w:rPr/>
      </w:pPr>
      <w:r>
        <w:rPr/>
        <w:t>CL-20. Implementation Through Existing Institutions</w:t>
      </w:r>
      <w:bookmarkEnd w:id="3143"/>
    </w:p>
    <w:p>
      <w:pPr>
        <w:pStyle w:val="Normal"/>
        <w:widowControl/>
        <w:rPr/>
      </w:pPr>
      <w:r>
        <w:rPr/>
        <w:t>1. Existing national authorities, the Commission, the Secretariat and existing NAESTMA consultation, verification, Cothrom and dispute-settlement mechanisms shall implement this Package where capable. No new permanent supranational human-rights tribunal is created.</w:t>
      </w:r>
    </w:p>
    <w:p>
      <w:pPr>
        <w:pStyle w:val="Normal"/>
        <w:widowControl/>
        <w:rPr/>
      </w:pPr>
      <w:r>
        <w:rPr/>
        <w:t>2. A new permanent body may be created only by express agreement where the Parties determine that existing institutions cannot proportionately perform the required function.</w:t>
      </w:r>
    </w:p>
    <w:p>
      <w:bookmarkStart w:id="3144" w:name="_NAESTMA_TOC_3144"/>
      <w:pPr>
        <w:pStyle w:val="Heading2"/>
        <w:keepNext/>
        <w:widowControl/>
        <w:rPr/>
      </w:pPr>
      <w:r>
        <w:t>CL-21. Review and Future Human-Rights Integration</w:t>
      </w:r>
      <w:bookmarkEnd w:id="3144"/>
    </w:p>
    <w:p>
      <w:pPr>
        <w:pStyle w:val="Normal"/>
        <w:widowControl/>
        <w:rPr/>
      </w:pPr>
      <w:r>
        <w:rPr/>
        <w:t>1. The Commission shall periodically review the operation of this Package for duplication, implementation burden, rights gaps, unintended consequences and interaction with later human-rights modules.</w:t>
      </w:r>
    </w:p>
    <w:p>
      <w:pPr>
        <w:pStyle w:val="Normal"/>
        <w:widowControl/>
        <w:rPr/>
      </w:pPr>
      <w:r>
        <w:rPr/>
        <w:t>2. Later human-rights packages may amend, supplement or cross-reference this Package without reopening unrelated commercial concessions.</w:t>
      </w:r>
    </w:p>
    <w:p>
      <w:bookmarkStart w:id="3145" w:name="_NAESTMA_TOC_3145"/>
      <w:pPr>
        <w:pStyle w:val="Heading2"/>
        <w:keepNext/>
        <w:widowControl/>
        <w:rPr/>
      </w:pPr>
      <w:r>
        <w:rPr/>
        <w:t>CL-22. Governing Principle</w:t>
      </w:r>
      <w:bookmarkEnd w:id="3145"/>
    </w:p>
    <w:p>
      <w:pPr>
        <w:pStyle w:val="Normal"/>
        <w:widowControl/>
        <w:suppressAutoHyphens w:val="true"/>
        <w:bidi w:val="0"/>
        <w:spacing w:lineRule="auto" w:line="259" w:before="0" w:after="120"/>
        <w:jc w:val="left"/>
        <w:rPr/>
      </w:pPr>
      <w:r>
        <w:rPr/>
        <w:t>1. Trade integration does not place human dignity outside the rule of law. The Parties preserve sovereign democratic government while establishing reciprocal safeguards against using economic integration, border administration, public power or commercial leverage to strip persons of the minimum protections secured by this Agreement.</w:t>
      </w:r>
    </w:p>
    <w:sectPr>
      <w:headerReference w:type="even" r:id="rId2"/>
      <w:headerReference w:type="default" r:id="rId3"/>
      <w:headerReference w:type="first" r:id="rId4"/>
      <w:footerReference w:type="even" r:id="rId5"/>
      <w:footerReference w:type="default" r:id="rId6"/>
      <w:footerReference w:type="first" r:id="rId7"/>
      <w:type w:val="nextPage"/>
      <w:pgSz w:w="12240" w:h="15840"/>
      <w:pgMar w:left="1440" w:right="1440" w:gutter="0" w:header="504" w:top="1296" w:footer="504" w:bottom="1224"/>
      <w:pgNumType w:fmt="decimal"/>
      <w:formProt w:val="false"/>
      <w:titlePg/>
      <w:textDirection w:val="lrTb"/>
      <w:docGrid w:type="default" w:linePitch="360" w:charSpace="0"/>
      <w:pgBorders w:offsetFrom="page" w:display="firstPage">
        <w:top w:val="double" w:sz="8" w:space="24" w:color="233746"/>
        <w:left w:val="double" w:sz="8" w:space="24" w:color="233746"/>
        <w:bottom w:val="double" w:sz="8" w:space="24" w:color="233746"/>
        <w:right w:val="double" w:sz="8" w:space="24" w:color="233746"/>
      </w:pgBorders>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Cambria">
    <w:charset w:val="00"/>
    <w:family w:val="roman"/>
    <w:pitch w:val="variable"/>
  </w:font>
  <w:font w:name="Georgia">
    <w:charset w:val="00"/>
    <w:family w:val="roman"/>
    <w:pitch w:val="variable"/>
  </w:font>
  <w:font w:name="Calibri">
    <w:charset w:val="00"/>
    <w:family w:val="roman"/>
    <w:pitch w:val="variable"/>
  </w:font>
  <w:font w:name="Courier">
    <w:altName w:val="Courier New"/>
    <w:charset w:val="00"/>
    <w:family w:val="roman"/>
    <w:pitch w:val="variable"/>
  </w:font>
  <w:font w:name="Liberation Sans">
    <w:altName w:val="Arial"/>
    <w:charset w:val="00"/>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before="0" w:after="120"/>
      <w:jc w:val="center"/>
      <w:rPr/>
    </w:pPr>
    <w:r>
      <w:rPr/>
      <w:t xml:space="preserve">Page </w:t>
    </w:r>
    <w:r>
      <w:rPr/>
      <w:fldChar w:fldCharType="begin"/>
    </w:r>
    <w:r>
      <w:rPr/>
      <w:instrText xml:space="preserve"> PAGE </w:instrText>
    </w:r>
    <w:r>
      <w:rPr/>
      <w:fldChar w:fldCharType="separate"/>
    </w:r>
    <w:r>
      <w:rPr/>
      <w:t>0</w:t>
    </w:r>
    <w:r>
      <w:rPr/>
      <w:fldChar w:fldCharType="end"/>
    </w:r>
    <w:r>
      <w:rPr/>
      <w:t xml:space="preserve"> of </w:t>
    </w:r>
    <w:r>
      <w:rPr/>
      <w:fldChar w:fldCharType="begin"/>
    </w:r>
    <w:r>
      <w:rPr/>
      <w:instrText xml:space="preserve"> NUMPAGES </w:instrText>
    </w:r>
    <w:r>
      <w:rPr/>
      <w:fldChar w:fldCharType="separate"/>
    </w:r>
    <w:r>
      <w:rPr/>
      <w:t>2224</w:t>
    </w:r>
    <w:r>
      <w:rPr/>
      <w:fldChar w:fldCharType="end"/>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before="0" w:after="120"/>
      <w:jc w:val="right"/>
      <w:rPr/>
    </w:pPr>
    <w:r/>
    <w:r>
      <w:rPr>
        <w:rFonts w:ascii="Arial" w:hAnsi="Arial"/>
        <w:color w:val="5A6973"/>
        <w:sz w:val="17"/>
      </w:rPr>
      <w:t xml:space="preserve">NAESTMA 9.7A  •  Page </w:t>
    </w:r>
    <w:fldSimple w:instr="PAGE" w:dirty="true">
      <w:r>
        <w:rPr>
          <w:color w:val="5A6973"/>
          <w:sz w:val="17"/>
        </w:rPr>
        <w:t>2</w:t>
      </w:r>
    </w:fldSimple>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before="0" w:after="120"/>
      <w:jc w:val="center"/>
      <w:rPr/>
    </w:p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center"/>
      <w:rPr/>
    </w:pPr>
    <w:r>
      <w:rPr>
        <w:rFonts w:ascii="Arial" w:hAnsi="Arial"/>
        <w:b/>
        <w:color w:val="8095A0"/>
        <w:sz w:val="15"/>
      </w:rPr>
      <w:t>NORTH AMERICAN ECONOMIC SECURITY AND TRADE MODERNIZATION AGREEMENT  •  VERSION 9.7A</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
    <w:lvl w:ilvl="0">
      <w:start w:val="1"/>
      <w:numFmt w:val="bullet"/>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3">
    <w:lvl w:ilvl="0">
      <w:start w:val="1"/>
      <w:numFmt w:val="bullet"/>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4">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5">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6">
    <w:lvl w:ilvl="0">
      <w:start w:val="1"/>
      <w:numFmt w:val="decimal"/>
      <w:lvlText w:val="%1."/>
      <w:lvlJc w:val="left"/>
      <w:pPr>
        <w:tabs>
          <w:tab w:val="num" w:pos="1080"/>
        </w:tabs>
        <w:ind w:left="108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7">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76"/>
  <w:defaultTabStop w:val="720"/>
  <w:autoHyphenation w:val="true"/>
  <w:hyphenationZone w:val="360"/>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themeFontLang w:val="en-US" w:eastAsia="ja-JP" w:bidi=""/>
  <w:updateFields w:val="true"/>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fc693f"/>
    <w:pPr>
      <w:widowControl/>
      <w:suppressAutoHyphens w:val="true"/>
      <w:bidi w:val="0"/>
      <w:spacing w:lineRule="auto" w:line="264" w:before="0" w:after="80"/>
      <w:jc w:val="left"/>
    </w:pPr>
    <w:rPr>
      <w:rFonts w:ascii="Arial" w:hAnsi="Arial" w:eastAsia="Georgia" w:cs="" w:cstheme="minorBidi"/>
      <w:color w:val="14191C"/>
      <w:kern w:val="0"/>
      <w:sz w:val="20"/>
      <w:szCs w:val="22"/>
      <w:lang w:val="en-US" w:eastAsia="en-US" w:bidi="ar-SA"/>
    </w:rPr>
  </w:style>
  <w:style w:type="paragraph" w:styleId="Heading1">
    <w:name w:val="heading 1"/>
    <w:basedOn w:val="Normal"/>
    <w:next w:val="Normal"/>
    <w:link w:val="Heading1Char"/>
    <w:uiPriority w:val="9"/>
    <w:qFormat/>
    <w:rsid w:val="00fc693f"/>
    <w:pPr>
      <w:keepNext/>
      <w:keepLines/>
      <w:pageBreakBefore w:val="0"/>
      <w:spacing w:before="280" w:after="140"/>
      <w:outlineLvl w:val="0"/>
    </w:pPr>
    <w:rPr>
      <w:rFonts w:ascii="Arial" w:hAnsi="Arial" w:eastAsia="ＭＳ ゴシック" w:cs="" w:asciiTheme="majorHAnsi" w:cstheme="majorBidi" w:eastAsiaTheme="majorEastAsia" w:hAnsiTheme="majorHAnsi"/>
      <w:b/>
      <w:bCs/>
      <w:color w:val="233746"/>
      <w:sz w:val="31"/>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Arial" w:hAnsi="Arial" w:eastAsia="ＭＳ ゴシック" w:cs="" w:asciiTheme="majorHAnsi" w:cstheme="majorBidi" w:eastAsiaTheme="majorEastAsia" w:hAnsiTheme="majorHAnsi"/>
      <w:b/>
      <w:bCs/>
      <w:color w:val="233746"/>
      <w:sz w:val="24"/>
      <w:szCs w:val="26"/>
    </w:rPr>
  </w:style>
  <w:style w:type="paragraph" w:styleId="Heading3">
    <w:name w:val="heading 3"/>
    <w:basedOn w:val="Normal"/>
    <w:next w:val="Normal"/>
    <w:link w:val="Heading3Char"/>
    <w:uiPriority w:val="9"/>
    <w:unhideWhenUsed/>
    <w:qFormat/>
    <w:rsid w:val="00fc693f"/>
    <w:pPr>
      <w:keepNext/>
      <w:keepLines/>
      <w:spacing w:before="140" w:after="60"/>
      <w:outlineLvl w:val="2"/>
    </w:pPr>
    <w:rPr>
      <w:rFonts w:ascii="Arial" w:hAnsi="Arial" w:eastAsia="ＭＳ ゴシック" w:cs="" w:asciiTheme="majorHAnsi" w:cstheme="majorBidi" w:eastAsiaTheme="majorEastAsia" w:hAnsiTheme="majorHAnsi"/>
      <w:b/>
      <w:bCs/>
      <w:color w:val="466B7A"/>
      <w:sz w:val="21"/>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Cs w:val="20"/>
    </w:rPr>
  </w:style>
  <w:style w:type="character" w:styleId="DefaultParagraphFont" w:default="1">
    <w:name w:val="Default Paragraph Font"/>
    <w:uiPriority w:val="1"/>
    <w:semiHidden/>
    <w:unhideWhenUsed/>
    <w:qFormat/>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Heading1Char" w:customStyle="1">
    <w:name w:val="Heading 1 Char"/>
    <w:basedOn w:val="DefaultParagraphFont"/>
    <w:link w:val="Heading1"/>
    <w:uiPriority w:val="9"/>
    <w:qFormat/>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character" w:styleId="IndexLink" w:customStyle="1">
    <w:name w:val="Index Link"/>
    <w:qFormat/>
    <w:rPr/>
  </w:style>
  <w:style w:type="character" w:styleId="Hyperlink">
    <w:name w:val="Hyperlink"/>
    <w:uiPriority w:val="99"/>
    <w:rPr>
      <w:color w:val="000080"/>
      <w:u w:val="single"/>
    </w:rPr>
  </w:style>
  <w:style w:type="character" w:styleId="UnresolvedMention">
    <w:name w:val="Unresolved Mention"/>
    <w:basedOn w:val="DefaultParagraphFont"/>
    <w:uiPriority w:val="99"/>
    <w:semiHidden/>
    <w:unhideWhenUsed/>
    <w:qFormat/>
    <w:rsid w:val="001b7c25"/>
    <w:rPr>
      <w:color w:val="605E5C"/>
      <w:shd w:fill="E1DFDD" w:val="clear"/>
    </w:rPr>
  </w:style>
  <w:style w:type="paragraph" w:styleId="Heading" w:customStyle="1">
    <w:name w:val="Heading"/>
    <w:basedOn w:val="Normal"/>
    <w:next w:val="BodyText"/>
    <w:qFormat/>
    <w:pPr>
      <w:keepNext w:val="true"/>
      <w:spacing w:before="240" w:after="120"/>
    </w:pPr>
    <w:rPr>
      <w:rFonts w:ascii="Liberation Sans" w:hAnsi="Liberation Sans" w:eastAsia="Noto Sans CJK SC" w:cs="FreeSans"/>
      <w:sz w:val="28"/>
      <w:szCs w:val="28"/>
    </w:rPr>
  </w:style>
  <w:style w:type="paragraph" w:styleId="BodyText">
    <w:name w:val="Body Text"/>
    <w:basedOn w:val="Normal"/>
    <w:link w:val="BodyTextChar"/>
    <w:uiPriority w:val="99"/>
    <w:unhideWhenUsed/>
    <w:rsid w:val="00aa1d8d"/>
    <w:pPr/>
    <w:rPr/>
  </w:style>
  <w:style w:type="paragraph" w:styleId="List">
    <w:name w:val="List"/>
    <w:basedOn w:val="Normal"/>
    <w:uiPriority w:val="99"/>
    <w:unhideWhenUsed/>
    <w:rsid w:val="00aa1d8d"/>
    <w:pPr>
      <w:spacing w:before="0" w:after="80"/>
      <w:ind w:hanging="360" w:lef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customStyle="1">
    <w:name w:val="Index"/>
    <w:basedOn w:val="Normal"/>
    <w:qFormat/>
    <w:pPr>
      <w:suppressLineNumbers/>
    </w:pPr>
    <w:rPr>
      <w:rFonts w:cs="FreeSans"/>
    </w:rPr>
  </w:style>
  <w:style w:type="paragraph" w:styleId="HeaderandFooter" w:customStyle="1">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suppressAutoHyphens w:val="true"/>
      <w:bidi w:val="0"/>
      <w:spacing w:before="0" w:after="0"/>
      <w:jc w:val="lef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pBdr>
      <w:spacing w:lineRule="auto" w:line="240" w:before="0" w:after="300"/>
      <w:contextualSpacing/>
    </w:pPr>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80"/>
      <w:ind w:left="720"/>
      <w:contextualSpacing/>
    </w:pPr>
    <w:rPr/>
  </w:style>
  <w:style w:type="paragraph" w:styleId="BodyText2">
    <w:name w:val="Body Text 2"/>
    <w:basedOn w:val="Normal"/>
    <w:link w:val="BodyText2Char"/>
    <w:uiPriority w:val="99"/>
    <w:unhideWhenUsed/>
    <w:qFormat/>
    <w:rsid w:val="00aa1d8d"/>
    <w:pPr>
      <w:spacing w:lineRule="auto" w:line="480"/>
    </w:pPr>
    <w:rPr/>
  </w:style>
  <w:style w:type="paragraph" w:styleId="BodyText3">
    <w:name w:val="Body Text 3"/>
    <w:basedOn w:val="Normal"/>
    <w:link w:val="BodyText3Char"/>
    <w:uiPriority w:val="99"/>
    <w:unhideWhenUsed/>
    <w:qFormat/>
    <w:rsid w:val="00aa1d8d"/>
    <w:pPr/>
    <w:rPr>
      <w:sz w:val="16"/>
      <w:szCs w:val="16"/>
    </w:rPr>
  </w:style>
  <w:style w:type="paragraph" w:styleId="ListBullet3">
    <w:name w:val="List Bullet 3"/>
    <w:basedOn w:val="Normal"/>
    <w:uiPriority w:val="99"/>
    <w:unhideWhenUsed/>
    <w:qFormat/>
    <w:rsid w:val="00326f90"/>
    <w:pPr>
      <w:numPr>
        <w:ilvl w:val="0"/>
        <w:numId w:val="3"/>
      </w:numPr>
      <w:spacing w:before="0" w:after="80"/>
      <w:contextualSpacing/>
    </w:pPr>
    <w:rPr/>
  </w:style>
  <w:style w:type="paragraph" w:styleId="ListBullet4">
    <w:name w:val="List Bullet 4"/>
    <w:basedOn w:val="Normal"/>
    <w:uiPriority w:val="99"/>
    <w:unhideWhenUsed/>
    <w:qFormat/>
    <w:rsid w:val="00326f90"/>
    <w:pPr>
      <w:spacing w:before="0" w:after="80"/>
      <w:ind w:hanging="360" w:left="1080"/>
      <w:contextualSpacing/>
    </w:pPr>
    <w:rPr/>
  </w:style>
  <w:style w:type="paragraph" w:styleId="ListBullet">
    <w:name w:val="List Bullet"/>
    <w:basedOn w:val="Normal"/>
    <w:uiPriority w:val="99"/>
    <w:unhideWhenUsed/>
    <w:qFormat/>
    <w:rsid w:val="00326f90"/>
    <w:pPr>
      <w:numPr>
        <w:ilvl w:val="0"/>
        <w:numId w:val="1"/>
      </w:numPr>
      <w:spacing w:before="0" w:after="60"/>
      <w:contextualSpacing/>
    </w:pPr>
    <w:rPr>
      <w:rFonts w:ascii="Arial" w:hAnsi="Arial"/>
      <w:sz w:val="19"/>
    </w:rPr>
  </w:style>
  <w:style w:type="paragraph" w:styleId="ListBullet2">
    <w:name w:val="List Bullet 2"/>
    <w:basedOn w:val="Normal"/>
    <w:uiPriority w:val="99"/>
    <w:unhideWhenUsed/>
    <w:qFormat/>
    <w:rsid w:val="00326f90"/>
    <w:pPr>
      <w:numPr>
        <w:ilvl w:val="0"/>
        <w:numId w:val="2"/>
      </w:numPr>
      <w:spacing w:before="0" w:after="80"/>
      <w:contextualSpacing/>
    </w:pPr>
    <w:rPr/>
  </w:style>
  <w:style w:type="paragraph" w:styleId="ListNumber">
    <w:name w:val="List Number"/>
    <w:basedOn w:val="Normal"/>
    <w:uiPriority w:val="99"/>
    <w:unhideWhenUsed/>
    <w:qFormat/>
    <w:rsid w:val="00326f90"/>
    <w:pPr>
      <w:numPr>
        <w:ilvl w:val="0"/>
        <w:numId w:val="4"/>
      </w:numPr>
      <w:spacing w:before="0" w:after="60"/>
      <w:contextualSpacing/>
    </w:pPr>
    <w:rPr>
      <w:rFonts w:ascii="Arial" w:hAnsi="Arial"/>
      <w:sz w:val="19"/>
    </w:rPr>
  </w:style>
  <w:style w:type="paragraph" w:styleId="ListNumber2">
    <w:name w:val="List Number 2"/>
    <w:basedOn w:val="Normal"/>
    <w:uiPriority w:val="99"/>
    <w:unhideWhenUsed/>
    <w:qFormat/>
    <w:rsid w:val="0029639d"/>
    <w:pPr>
      <w:numPr>
        <w:ilvl w:val="0"/>
        <w:numId w:val="5"/>
      </w:numPr>
      <w:spacing w:before="0" w:after="80"/>
      <w:contextualSpacing/>
    </w:pPr>
    <w:rPr/>
  </w:style>
  <w:style w:type="paragraph" w:styleId="ListNumber3">
    <w:name w:val="List Number 3"/>
    <w:basedOn w:val="Normal"/>
    <w:uiPriority w:val="99"/>
    <w:unhideWhenUsed/>
    <w:qFormat/>
    <w:rsid w:val="0029639d"/>
    <w:pPr>
      <w:numPr>
        <w:ilvl w:val="0"/>
        <w:numId w:val="6"/>
      </w:numPr>
      <w:spacing w:before="0" w:after="80"/>
      <w:contextualSpacing/>
    </w:pPr>
    <w:rPr/>
  </w:style>
  <w:style w:type="paragraph" w:styleId="ListContinue">
    <w:name w:val="List Continue"/>
    <w:basedOn w:val="Normal"/>
    <w:uiPriority w:val="99"/>
    <w:unhideWhenUsed/>
    <w:qFormat/>
    <w:rsid w:val="0029639d"/>
    <w:pPr>
      <w:spacing w:before="0" w:after="120"/>
      <w:ind w:left="360"/>
      <w:contextualSpacing/>
    </w:pPr>
    <w:rPr/>
  </w:style>
  <w:style w:type="paragraph" w:styleId="ListContinue2">
    <w:name w:val="List Continue 2"/>
    <w:basedOn w:val="Normal"/>
    <w:uiPriority w:val="99"/>
    <w:unhideWhenUsed/>
    <w:qFormat/>
    <w:rsid w:val="0029639d"/>
    <w:pPr>
      <w:spacing w:before="0" w:after="120"/>
      <w:ind w:left="720"/>
      <w:contextualSpacing/>
    </w:pPr>
    <w:rPr/>
  </w:style>
  <w:style w:type="paragraph" w:styleId="ListContinue3">
    <w:name w:val="List Continue 3"/>
    <w:basedOn w:val="Normal"/>
    <w:uiPriority w:val="99"/>
    <w:unhideWhenUsed/>
    <w:qFormat/>
    <w:rsid w:val="0029639d"/>
    <w:pPr>
      <w:spacing w:before="0" w:after="120"/>
      <w:ind w:left="1080"/>
      <w:contextualSpacing/>
    </w:pPr>
    <w:rPr/>
  </w:style>
  <w:style w:type="paragraph" w:styleId="MacroText">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suppressAutoHyphens w:val="true"/>
      <w:bidi w:val="0"/>
      <w:spacing w:lineRule="auto" w:line="276" w:before="0" w:after="200"/>
      <w:jc w:val="lef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pBdr>
      <w:spacing w:before="200" w:after="280"/>
      <w:ind w:left="936" w:right="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paragraph" w:styleId="TOC1">
    <w:name w:val="toc 1"/>
    <w:basedOn w:val="Index"/>
    <w:uiPriority w:val="39"/>
    <w:pPr>
      <w:keepLines/>
      <w:tabs>
        <w:tab w:val="clear" w:pos="720"/>
        <w:tab w:val="right" w:pos="9360" w:leader="dot"/>
      </w:tabs>
      <w:spacing w:lineRule="auto" w:line="240" w:before="0" w:after="30"/>
      <w:ind w:right="547"/>
    </w:pPr>
    <w:rPr>
      <w:b/>
      <w:sz w:val="18"/>
    </w:rPr>
  </w:style>
  <w:style w:type="paragraph" w:styleId="TOC2">
    <w:name w:val="toc 2"/>
    <w:basedOn w:val="Index"/>
    <w:uiPriority w:val="39"/>
    <w:pPr>
      <w:keepLines/>
      <w:tabs>
        <w:tab w:val="clear" w:pos="720"/>
        <w:tab w:val="right" w:pos="9360" w:leader="dot"/>
      </w:tabs>
      <w:spacing w:lineRule="auto" w:line="240" w:before="0" w:after="10"/>
      <w:ind w:left="317" w:right="547"/>
    </w:pPr>
    <w:rPr>
      <w:sz w:val="18"/>
    </w:rPr>
  </w:style>
  <w:style w:type="paragraph" w:styleId="ModHeading" w:customStyle="1">
    <w:name w:val="Mod Heading"/>
    <w:basedOn w:val="Heading1"/>
    <w:qFormat/>
    <w:pPr>
      <w:spacing w:before="360" w:after="160"/>
    </w:pPr>
    <w:rPr>
      <w:rFonts w:ascii="Georgia" w:hAnsi="Georgia"/>
      <w:color w:val="14635A"/>
      <w:sz w:val="26"/>
    </w:rPr>
  </w:style>
  <w:style w:type="paragraph" w:styleId="TOC3">
    <w:name w:val="toc 3"/>
    <w:basedOn w:val="Normal"/>
    <w:next w:val="Normal"/>
    <w:autoRedefine/>
    <w:uiPriority w:val="39"/>
    <w:unhideWhenUsed/>
    <w:rsid w:val="001b7c25"/>
    <w:pPr>
      <w:keepLines/>
      <w:tabs>
        <w:tab w:val="clear" w:pos="720"/>
        <w:tab w:val="right" w:pos="9360" w:leader="dot"/>
      </w:tabs>
      <w:suppressAutoHyphens w:val="false"/>
      <w:spacing w:lineRule="auto" w:line="240" w:before="0" w:after="10"/>
      <w:ind w:left="634"/>
    </w:pPr>
    <w:rPr>
      <w:rFonts w:ascii="Cambria" w:hAnsi="Cambria" w:eastAsia="ＭＳ 明朝" w:asciiTheme="minorHAnsi" w:eastAsiaTheme="minorEastAsia" w:hAnsiTheme="minorHAnsi"/>
      <w:kern w:val="2"/>
      <w:sz w:val="18"/>
      <w:szCs w:val="24"/>
      <w:lang w:val="en-CA" w:eastAsia="en-CA"/>
      <w14:ligatures w14:val="standardContextual"/>
    </w:rPr>
  </w:style>
  <w:style w:type="paragraph" w:styleId="TOC4">
    <w:name w:val="toc 4"/>
    <w:basedOn w:val="Normal"/>
    <w:next w:val="Normal"/>
    <w:autoRedefine/>
    <w:uiPriority w:val="39"/>
    <w:unhideWhenUsed/>
    <w:rsid w:val="001b7c25"/>
    <w:pPr>
      <w:keepLines/>
      <w:tabs>
        <w:tab w:val="clear" w:pos="720"/>
        <w:tab w:val="right" w:pos="9360" w:leader="dot"/>
      </w:tabs>
      <w:suppressAutoHyphens w:val="false"/>
      <w:spacing w:lineRule="auto" w:line="240" w:before="0" w:after="10"/>
      <w:ind w:left="950"/>
    </w:pPr>
    <w:rPr>
      <w:rFonts w:ascii="Cambria" w:hAnsi="Cambria" w:eastAsia="ＭＳ 明朝" w:asciiTheme="minorHAnsi" w:eastAsiaTheme="minorEastAsia" w:hAnsiTheme="minorHAnsi"/>
      <w:kern w:val="2"/>
      <w:sz w:val="18"/>
      <w:szCs w:val="24"/>
      <w:lang w:val="en-CA" w:eastAsia="en-CA"/>
      <w14:ligatures w14:val="standardContextual"/>
    </w:rPr>
  </w:style>
  <w:style w:type="paragraph" w:styleId="TOC5">
    <w:name w:val="toc 5"/>
    <w:basedOn w:val="Normal"/>
    <w:next w:val="Normal"/>
    <w:autoRedefine/>
    <w:uiPriority w:val="39"/>
    <w:unhideWhenUsed/>
    <w:rsid w:val="001b7c25"/>
    <w:pPr>
      <w:keepLines/>
      <w:tabs>
        <w:tab w:val="clear" w:pos="720"/>
        <w:tab w:val="right" w:pos="9360" w:leader="dot"/>
      </w:tabs>
      <w:suppressAutoHyphens w:val="false"/>
      <w:spacing w:lineRule="auto" w:line="240" w:before="0" w:after="10"/>
      <w:ind w:left="1267"/>
    </w:pPr>
    <w:rPr>
      <w:rFonts w:ascii="Cambria" w:hAnsi="Cambria" w:eastAsia="ＭＳ 明朝" w:asciiTheme="minorHAnsi" w:eastAsiaTheme="minorEastAsia" w:hAnsiTheme="minorHAnsi"/>
      <w:kern w:val="2"/>
      <w:sz w:val="18"/>
      <w:szCs w:val="24"/>
      <w:lang w:val="en-CA" w:eastAsia="en-CA"/>
      <w14:ligatures w14:val="standardContextual"/>
    </w:rPr>
  </w:style>
  <w:style w:type="paragraph" w:styleId="TOC6">
    <w:name w:val="toc 6"/>
    <w:basedOn w:val="Normal"/>
    <w:next w:val="Normal"/>
    <w:autoRedefine/>
    <w:uiPriority w:val="39"/>
    <w:unhideWhenUsed/>
    <w:rsid w:val="001b7c25"/>
    <w:pPr>
      <w:keepLines/>
      <w:tabs>
        <w:tab w:val="clear" w:pos="720"/>
        <w:tab w:val="right" w:pos="9360" w:leader="dot"/>
      </w:tabs>
      <w:suppressAutoHyphens w:val="false"/>
      <w:spacing w:lineRule="auto" w:line="240" w:before="0" w:after="10"/>
      <w:ind w:left="1584"/>
    </w:pPr>
    <w:rPr>
      <w:rFonts w:ascii="Cambria" w:hAnsi="Cambria" w:eastAsia="ＭＳ 明朝" w:asciiTheme="minorHAnsi" w:eastAsiaTheme="minorEastAsia" w:hAnsiTheme="minorHAnsi"/>
      <w:kern w:val="2"/>
      <w:sz w:val="18"/>
      <w:szCs w:val="24"/>
      <w:lang w:val="en-CA" w:eastAsia="en-CA"/>
      <w14:ligatures w14:val="standardContextual"/>
    </w:rPr>
  </w:style>
  <w:style w:type="paragraph" w:styleId="TOC7">
    <w:name w:val="toc 7"/>
    <w:basedOn w:val="Normal"/>
    <w:next w:val="Normal"/>
    <w:autoRedefine/>
    <w:uiPriority w:val="39"/>
    <w:unhideWhenUsed/>
    <w:rsid w:val="001b7c25"/>
    <w:pPr>
      <w:keepLines/>
      <w:tabs>
        <w:tab w:val="clear" w:pos="720"/>
        <w:tab w:val="right" w:pos="9360" w:leader="dot"/>
      </w:tabs>
      <w:suppressAutoHyphens w:val="false"/>
      <w:spacing w:lineRule="auto" w:line="240" w:before="0" w:after="10"/>
      <w:ind w:left="1757"/>
    </w:pPr>
    <w:rPr>
      <w:rFonts w:ascii="Cambria" w:hAnsi="Cambria" w:eastAsia="ＭＳ 明朝" w:asciiTheme="minorHAnsi" w:eastAsiaTheme="minorEastAsia" w:hAnsiTheme="minorHAnsi"/>
      <w:kern w:val="2"/>
      <w:sz w:val="18"/>
      <w:szCs w:val="24"/>
      <w:lang w:val="en-CA" w:eastAsia="en-CA"/>
      <w14:ligatures w14:val="standardContextual"/>
    </w:rPr>
  </w:style>
  <w:style w:type="paragraph" w:styleId="TOC8">
    <w:name w:val="toc 8"/>
    <w:basedOn w:val="Normal"/>
    <w:next w:val="Normal"/>
    <w:autoRedefine/>
    <w:uiPriority w:val="39"/>
    <w:unhideWhenUsed/>
    <w:rsid w:val="001b7c25"/>
    <w:pPr>
      <w:keepLines/>
      <w:tabs>
        <w:tab w:val="clear" w:pos="720"/>
        <w:tab w:val="right" w:pos="9360" w:leader="dot"/>
      </w:tabs>
      <w:suppressAutoHyphens w:val="false"/>
      <w:spacing w:lineRule="auto" w:line="240" w:before="0" w:after="10"/>
      <w:ind w:left="1901"/>
    </w:pPr>
    <w:rPr>
      <w:rFonts w:ascii="Cambria" w:hAnsi="Cambria" w:eastAsia="ＭＳ 明朝" w:asciiTheme="minorHAnsi" w:eastAsiaTheme="minorEastAsia" w:hAnsiTheme="minorHAnsi"/>
      <w:kern w:val="2"/>
      <w:sz w:val="18"/>
      <w:szCs w:val="24"/>
      <w:lang w:val="en-CA" w:eastAsia="en-CA"/>
      <w14:ligatures w14:val="standardContextual"/>
    </w:rPr>
  </w:style>
  <w:style w:type="paragraph" w:styleId="TOC9">
    <w:name w:val="toc 9"/>
    <w:basedOn w:val="Normal"/>
    <w:next w:val="Normal"/>
    <w:autoRedefine/>
    <w:uiPriority w:val="39"/>
    <w:unhideWhenUsed/>
    <w:rsid w:val="001b7c25"/>
    <w:pPr>
      <w:keepLines/>
      <w:tabs>
        <w:tab w:val="clear" w:pos="720"/>
        <w:tab w:val="right" w:pos="9360" w:leader="dot"/>
      </w:tabs>
      <w:suppressAutoHyphens w:val="false"/>
      <w:spacing w:lineRule="auto" w:line="240" w:before="0" w:after="10"/>
      <w:ind w:left="2045"/>
    </w:pPr>
    <w:rPr>
      <w:rFonts w:ascii="Cambria" w:hAnsi="Cambria" w:eastAsia="ＭＳ 明朝" w:asciiTheme="minorHAnsi" w:eastAsiaTheme="minorEastAsia" w:hAnsiTheme="minorHAnsi"/>
      <w:kern w:val="2"/>
      <w:sz w:val="18"/>
      <w:szCs w:val="24"/>
      <w:lang w:val="en-CA" w:eastAsia="en-CA"/>
      <w14:ligatures w14:val="standardContextual"/>
    </w:rPr>
  </w:style>
  <w:style w:type="paragraph" w:styleId="TOCExcludedHeading1" w:customStyle="1">
    <w:name w:val="TOC Excluded Heading 1"/>
    <w:qFormat/>
    <w:pPr>
      <w:keepNext w:val="true"/>
      <w:keepLines/>
      <w:pageBreakBefore/>
      <w:widowControl/>
      <w:suppressAutoHyphens w:val="true"/>
      <w:bidi w:val="0"/>
      <w:spacing w:before="280" w:after="160"/>
      <w:jc w:val="left"/>
    </w:pPr>
    <w:rPr>
      <w:rFonts w:ascii="Calibri" w:hAnsi="Calibri" w:eastAsia="ＭＳ ゴシック" w:cs="" w:asciiTheme="majorHAnsi" w:cstheme="majorBidi" w:eastAsiaTheme="majorEastAsia" w:hAnsiTheme="majorHAnsi"/>
      <w:b/>
      <w:bCs/>
      <w:color w:val="1F3A5F"/>
      <w:kern w:val="0"/>
      <w:sz w:val="30"/>
      <w:szCs w:val="28"/>
      <w:lang w:val="en-US" w:eastAsia="en-US" w:bidi="ar-SA"/>
    </w:rPr>
  </w:style>
  <w:style w:type="paragraph" w:styleId="TOCExcludedHeading2" w:customStyle="1">
    <w:name w:val="TOC Excluded Heading 2"/>
    <w:qFormat/>
    <w:pPr>
      <w:keepNext w:val="true"/>
      <w:keepLines/>
      <w:widowControl/>
      <w:suppressAutoHyphens w:val="true"/>
      <w:bidi w:val="0"/>
      <w:spacing w:before="200" w:after="100"/>
      <w:jc w:val="left"/>
    </w:pPr>
    <w:rPr>
      <w:rFonts w:ascii="Calibri" w:hAnsi="Calibri" w:eastAsia="ＭＳ ゴシック" w:cs="" w:asciiTheme="majorHAnsi" w:cstheme="majorBidi" w:eastAsiaTheme="majorEastAsia" w:hAnsiTheme="majorHAnsi"/>
      <w:b/>
      <w:bCs/>
      <w:color w:val="2A4D73"/>
      <w:kern w:val="0"/>
      <w:sz w:val="24"/>
      <w:szCs w:val="26"/>
      <w:lang w:val="en-US" w:eastAsia="en-US" w:bidi="ar-SA"/>
    </w:rPr>
  </w:style>
  <w:style w:type="paragraph" w:styleId="TOCExcludedHeading3" w:customStyle="1">
    <w:name w:val="TOC Excluded Heading 3"/>
    <w:qFormat/>
    <w:pPr>
      <w:keepNext w:val="true"/>
      <w:keepLines/>
      <w:widowControl/>
      <w:suppressAutoHyphens w:val="true"/>
      <w:bidi w:val="0"/>
      <w:spacing w:before="160" w:after="80"/>
      <w:jc w:val="left"/>
    </w:pPr>
    <w:rPr>
      <w:rFonts w:ascii="Calibri" w:hAnsi="Calibri" w:eastAsia="ＭＳ ゴシック" w:cs="" w:asciiTheme="majorHAnsi" w:cstheme="majorBidi" w:eastAsiaTheme="majorEastAsia" w:hAnsiTheme="majorHAnsi"/>
      <w:b/>
      <w:bCs/>
      <w:color w:val="3D5A80"/>
      <w:kern w:val="0"/>
      <w:sz w:val="21"/>
      <w:szCs w:val="22"/>
      <w:lang w:val="en-US" w:eastAsia="en-US" w:bidi="ar-SA"/>
    </w:rPr>
  </w:style>
  <w:style w:type="paragraph" w:styleId="TrumpVisibilityHeadline" w:customStyle="1">
    <w:name w:val="Trump Visibility Headline"/>
    <w:basedOn w:val="Heading1"/>
    <w:qFormat/>
    <w:pPr>
      <w:outlineLvl w:val="9"/>
    </w:pPr>
    <w:rPr>
      <w:b/>
      <w:sz w:val="30"/>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LightShading">
    <w:name w:val="Light Shading"/>
    <w:basedOn w:val="TableNormal"/>
    <w:uiPriority w:val="60"/>
    <w:rsid w:val="00fc693f"/>
    <w:rPr>
      <w:color w:themeColor="text1" w:themeShade="bf"/>
    </w:rPr>
    <w:tblPr>
      <w:tblStyleRowBandSize w:val="1"/>
      <w:tblStyleColBandSize w:val="1"/>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rPr>
      <w:color w:themeColor="accent1" w:themeShade="bf"/>
    </w:rPr>
    <w:tblPr>
      <w:tblStyleRowBandSize w:val="1"/>
      <w:tblStyleColBandSize w:val="1"/>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rPr>
      <w:color w:themeColor="accent2" w:themeShade="bf"/>
    </w:rPr>
    <w:tblPr>
      <w:tblStyleRowBandSize w:val="1"/>
      <w:tblStyleColBandSize w:val="1"/>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rPr>
      <w:color w:themeColor="accent3" w:themeShade="bf"/>
    </w:rPr>
    <w:tblPr>
      <w:tblStyleRowBandSize w:val="1"/>
      <w:tblStyleColBandSize w:val="1"/>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rPr>
      <w:color w:themeColor="accent4" w:themeShade="bf"/>
    </w:rPr>
    <w:tblPr>
      <w:tblStyleRowBandSize w:val="1"/>
      <w:tblStyleColBandSize w:val="1"/>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rPr>
      <w:color w:themeColor="accent5" w:themeShade="bf"/>
    </w:rPr>
    <w:tblPr>
      <w:tblStyleRowBandSize w:val="1"/>
      <w:tblStyleColBandSize w:val="1"/>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rPr>
      <w:color w:themeColor="accent6" w:themeShade="bf"/>
    </w:rPr>
    <w:tblPr>
      <w:tblStyleRowBandSize w:val="1"/>
      <w:tblStyleColBandSize w:val="1"/>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Pr>
    <w:tblStylePr w:type="firstRow">
      <w:pPr>
        <w:spacing w:before="0" w:after="0" w:line="240" w:lineRule="auto"/>
      </w:pPr>
      <w:rPr>
        <w:b/>
        <w:bCs/>
        <w:color w:themeColor="background1"/>
      </w:rPr>
      <w:tblPr/>
      <w:tcPr>
        <w:tcBorders>
          <w:top w:val="single" w:color="000000" w:themeColor="text1" w:sz="8" w:space="0"/>
          <w:left w:val="single" w:color="000000" w:themeColor="text1" w:sz="8" w:space="0"/>
          <w:bottom w:val="single" w:color="000000" w:themeColor="text1" w:sz="8" w:space="0"/>
          <w:right w:val="single" w:color="00000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themeColor="background1"/>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themeColor="background1"/>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Pr>
    <w:tblStylePr w:type="firstRow">
      <w:pPr>
        <w:spacing w:before="0" w:after="0" w:line="240" w:lineRule="auto"/>
      </w:pPr>
      <w:rPr>
        <w:b/>
        <w:bCs/>
        <w:color w:themeColor="background1"/>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themeColor="background1"/>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themeColor="background1"/>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themeColor="background1"/>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rPr>
      <w:color w:themeColor="text1"/>
    </w:rPr>
    <w:tblPr>
      <w:tblStyleRowBandSize w:val="1"/>
      <w:tblStyleColBandSize w:val="1"/>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rPr>
      <w:color w:themeColor="text1"/>
    </w:rPr>
    <w:tblPr>
      <w:tblStyleRowBandSize w:val="1"/>
      <w:tblStyleColBandSize w:val="1"/>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rPr>
      <w:color w:themeColor="text1"/>
    </w:rPr>
    <w:tblPr>
      <w:tblStyleRowBandSize w:val="1"/>
      <w:tblStyleColBandSize w:val="1"/>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rPr>
      <w:color w:themeColor="text1"/>
    </w:rPr>
    <w:tblPr>
      <w:tblStyleRowBandSize w:val="1"/>
      <w:tblStyleColBandSize w:val="1"/>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rPr>
      <w:color w:themeColor="text1"/>
    </w:rPr>
    <w:tblPr>
      <w:tblStyleRowBandSize w:val="1"/>
      <w:tblStyleColBandSize w:val="1"/>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rPr>
      <w:color w:themeColor="text1"/>
    </w:rPr>
    <w:tblPr>
      <w:tblStyleRowBandSize w:val="1"/>
      <w:tblStyleColBandSize w:val="1"/>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rPr>
      <w:color w:themeColor="text1"/>
    </w:rPr>
    <w:tblPr>
      <w:tblStyleRowBandSize w:val="1"/>
      <w:tblStyleColBandSize w:val="1"/>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Pr>
    <w:tcPr>
      <w:shd w:val="clear" w:color="auto" w:fill="C0C0C0" w:themeFill="text1" w:themeFillTint="3f"/>
    </w:tcPr>
    <w:tblStylePr w:type="firstRow">
      <w:rPr>
        <w:b/>
        <w:bCs/>
      </w:rPr>
      <w:tblPr/>
    </w:tblStylePr>
    <w:tblStylePr w:type="lastRow">
      <w:rPr>
        <w:b/>
        <w:bCs/>
      </w:rPr>
      <w:tblPr/>
      <w:tcPr>
        <w:tcBorders>
          <w:top w:val="single" w:color="00000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Pr/>
    </w:tblStylePr>
    <w:tblStylePr w:type="lastRow">
      <w:rPr>
        <w:b/>
        <w:bCs/>
      </w:rPr>
      <w:tblPr/>
      <w:tcPr>
        <w:tcBorders>
          <w:top w:val="single" w:color="4F81B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2" w:themeFill="accent2" w:themeFillTint="3f"/>
    </w:tcPr>
    <w:tblStylePr w:type="firstRow">
      <w:rPr>
        <w:b/>
        <w:bCs/>
      </w:rPr>
      <w:tblPr/>
    </w:tblStylePr>
    <w:tblStylePr w:type="lastRow">
      <w:rPr>
        <w:b/>
        <w:bCs/>
      </w:rPr>
      <w:tblPr/>
      <w:tcPr>
        <w:tcBorders>
          <w:top w:val="single" w:color="C0504D"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Pr>
    <w:tcPr>
      <w:shd w:val="clear" w:color="auto" w:fill="E6EED5" w:themeFill="accent3" w:themeFillTint="3f"/>
    </w:tcPr>
    <w:tblStylePr w:type="firstRow">
      <w:rPr>
        <w:b/>
        <w:bCs/>
      </w:rPr>
      <w:tblPr/>
    </w:tblStylePr>
    <w:tblStylePr w:type="lastRow">
      <w:rPr>
        <w:b/>
        <w:bCs/>
      </w:rPr>
      <w:tblPr/>
      <w:tcPr>
        <w:tcBorders>
          <w:top w:val="single" w:color="9BBB59"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Pr/>
    </w:tblStylePr>
    <w:tblStylePr w:type="lastRow">
      <w:rPr>
        <w:b/>
        <w:bCs/>
      </w:rPr>
      <w:tblPr/>
      <w:tcPr>
        <w:tcBorders>
          <w:top w:val="single" w:color="8064A2"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1" w:themeFill="accent5" w:themeFillTint="3f"/>
    </w:tcPr>
    <w:tblStylePr w:type="firstRow">
      <w:rPr>
        <w:b/>
        <w:bCs/>
      </w:rPr>
      <w:tblPr/>
    </w:tblStylePr>
    <w:tblStylePr w:type="lastRow">
      <w:rPr>
        <w:b/>
        <w:bCs/>
      </w:rPr>
      <w:tblPr/>
      <w:tcPr>
        <w:tcBorders>
          <w:top w:val="single" w:color="4BACC6"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4D0" w:themeFill="accent6" w:themeFillTint="3f"/>
    </w:tcPr>
    <w:tblStylePr w:type="firstRow">
      <w:rPr>
        <w:b/>
        <w:bCs/>
      </w:rPr>
      <w:tblPr/>
    </w:tblStylePr>
    <w:tblStylePr w:type="lastRow">
      <w:rPr>
        <w:b/>
        <w:bCs/>
      </w:rPr>
      <w:tblPr/>
      <w:tcPr>
        <w:tcBorders>
          <w:top w:val="single" w:color="F79646"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C0C0C0" w:themeFill="text1" w:themeFillTint="3f"/>
    </w:tcPr>
    <w:tblStylePr w:type="firstRow">
      <w:rPr>
        <w:b/>
        <w:bCs/>
        <w:color w:themeColor="text1"/>
      </w:rPr>
      <w:tblPr/>
      <w:tcPr>
        <w:shd w:val="clear" w:color="auto" w:fill="E6E6E6" w:themeFill="tex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themeColor="text1"/>
      </w:rPr>
      <w:tblPr/>
      <w:tcPr>
        <w:shd w:val="clear" w:color="auto" w:fill="EDF2F8" w:themeFill="accen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2" w:themeFill="accent2" w:themeFillTint="3f"/>
    </w:tcPr>
    <w:tblStylePr w:type="firstRow">
      <w:rPr>
        <w:b/>
        <w:bCs/>
        <w:color w:themeColor="text1"/>
      </w:rPr>
      <w:tblPr/>
      <w:tcPr>
        <w:shd w:val="clear" w:color="auto" w:fill="F8EDED" w:themeFill="accent2"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themeColor="text1"/>
      </w:rPr>
      <w:tblPr/>
      <w:tcPr>
        <w:shd w:val="clear" w:color="auto" w:fill="F5F8EE" w:themeFill="accent3"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themeColor="text1"/>
      </w:rPr>
      <w:tblPr/>
      <w:tcPr>
        <w:shd w:val="clear" w:color="auto" w:fill="F2EFF6" w:themeFill="accent4"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1" w:themeFill="accent5" w:themeFillTint="3f"/>
    </w:tcPr>
    <w:tblStylePr w:type="firstRow">
      <w:rPr>
        <w:b/>
        <w:bCs/>
        <w:color w:themeColor="text1"/>
      </w:rPr>
      <w:tblPr/>
      <w:tcPr>
        <w:shd w:val="clear" w:color="auto" w:fill="EDF6F9" w:themeFill="accent5"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4D0" w:themeFill="accent6" w:themeFillTint="3f"/>
    </w:tcPr>
    <w:tblStylePr w:type="firstRow">
      <w:rPr>
        <w:b/>
        <w:bCs/>
        <w:color w:themeColor="text1"/>
      </w:rPr>
      <w:tblPr/>
      <w:tcPr>
        <w:shd w:val="clear" w:color="auto" w:fill="FEF4EC" w:themeFill="accent6"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0C0C0" w:themeFill="tex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2" w:themeFill="accent2"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1" w:themeFill="accent5"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4D0" w:themeFill="accent6"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rPr>
      <w:color w:themeColor="background1"/>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rPr>
      <w:color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rPr>
      <w:color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rPr>
      <w:color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rPr>
      <w:color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rPr>
      <w:color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rPr>
      <w:color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rPr>
      <w:color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000000" w:themeFill="text1" w:themeFillShade="99"/>
      </w:tcPr>
    </w:tblStylePr>
    <w:tblStylePr w:type="firstCol">
      <w:rPr>
        <w:color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themeColor="text1"/>
      </w:rPr>
      <w:tblPr/>
    </w:tblStylePr>
    <w:tblStylePr w:type="nwCell">
      <w:rPr>
        <w:color w:themeColor="text1"/>
      </w:rPr>
      <w:tblPr/>
    </w:tblStylePr>
  </w:style>
  <w:style w:type="table" w:styleId="ColorfulShading-Accent1">
    <w:name w:val="Colorful Shading Accent 1"/>
    <w:basedOn w:val="TableNormal"/>
    <w:uiPriority w:val="71"/>
    <w:rsid w:val="00cb0664"/>
    <w:rPr>
      <w:color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C4C74" w:themeFill="accent1" w:themeFillShade="99"/>
      </w:tcPr>
    </w:tblStylePr>
    <w:tblStylePr w:type="firstCol">
      <w:rPr>
        <w:color w:themeColor="background1"/>
      </w:rPr>
      <w:tblPr/>
      <w:tcPr>
        <w:tcBorders>
          <w:top w:val="nil"/>
          <w:left w:val="nil"/>
          <w:bottom w:val="nil"/>
          <w:right w:val="nil"/>
          <w:insideH w:val="single" w:color="4F81BD" w:themeColor="accent1" w:sz="4" w:space="0"/>
          <w:insideV w:val="nil"/>
        </w:tcBorders>
        <w:shd w:val="clear" w:color="auto" w:fill="2C4C74" w:themeFill="accent1" w:themeFillShade="99"/>
      </w:tcPr>
    </w:tblStylePr>
    <w:tblStylePr w:type="lastCol">
      <w:rPr>
        <w:color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themeColor="text1"/>
      </w:rPr>
      <w:tblPr/>
    </w:tblStylePr>
    <w:tblStylePr w:type="nwCell">
      <w:rPr>
        <w:color w:themeColor="text1"/>
      </w:rPr>
      <w:tblPr/>
    </w:tblStylePr>
  </w:style>
  <w:style w:type="table" w:styleId="ColorfulShading-Accent2">
    <w:name w:val="Colorful Shading Accent 2"/>
    <w:basedOn w:val="TableNormal"/>
    <w:uiPriority w:val="71"/>
    <w:rsid w:val="00cb0664"/>
    <w:rPr>
      <w:color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772C2A" w:themeFill="accent2" w:themeFillShade="99"/>
      </w:tcPr>
    </w:tblStylePr>
    <w:tblStylePr w:type="firstCol">
      <w:rPr>
        <w:color w:themeColor="background1"/>
      </w:rPr>
      <w:tblPr/>
      <w:tcPr>
        <w:tcBorders>
          <w:top w:val="nil"/>
          <w:left w:val="nil"/>
          <w:bottom w:val="nil"/>
          <w:right w:val="nil"/>
          <w:insideH w:val="single" w:color="C0504D" w:themeColor="accent2" w:sz="4" w:space="0"/>
          <w:insideV w:val="nil"/>
        </w:tcBorders>
        <w:shd w:val="clear" w:color="auto" w:fill="772C2A" w:themeFill="accent2" w:themeFillShade="99"/>
      </w:tcPr>
    </w:tblStylePr>
    <w:tblStylePr w:type="lastCol">
      <w:rPr>
        <w:color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themeColor="text1"/>
      </w:rPr>
      <w:tblPr/>
    </w:tblStylePr>
    <w:tblStylePr w:type="nwCell">
      <w:rPr>
        <w:color w:themeColor="text1"/>
      </w:rPr>
      <w:tblPr/>
    </w:tblStylePr>
  </w:style>
  <w:style w:type="table" w:styleId="ColorfulShading-Accent3">
    <w:name w:val="Colorful Shading Accent 3"/>
    <w:basedOn w:val="TableNormal"/>
    <w:uiPriority w:val="71"/>
    <w:rsid w:val="00cb0664"/>
    <w:rPr>
      <w:color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5E7530" w:themeFill="accent3" w:themeFillShade="99"/>
      </w:tcPr>
    </w:tblStylePr>
    <w:tblStylePr w:type="firstCol">
      <w:rPr>
        <w:color w:themeColor="background1"/>
      </w:rPr>
      <w:tblPr/>
      <w:tcPr>
        <w:tcBorders>
          <w:top w:val="nil"/>
          <w:left w:val="nil"/>
          <w:bottom w:val="nil"/>
          <w:right w:val="nil"/>
          <w:insideH w:val="single" w:color="9BBB59" w:themeColor="accent3" w:sz="4" w:space="0"/>
          <w:insideV w:val="nil"/>
        </w:tcBorders>
        <w:shd w:val="clear" w:color="auto" w:fill="5E7530" w:themeFill="accent3" w:themeFillShade="99"/>
      </w:tcPr>
    </w:tblStylePr>
    <w:tblStylePr w:type="lastCol">
      <w:rPr>
        <w:color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rPr>
      <w:color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4C3B62" w:themeFill="accent4" w:themeFillShade="99"/>
      </w:tcPr>
    </w:tblStylePr>
    <w:tblStylePr w:type="firstCol">
      <w:rPr>
        <w:color w:themeColor="background1"/>
      </w:rPr>
      <w:tblPr/>
      <w:tcPr>
        <w:tcBorders>
          <w:top w:val="nil"/>
          <w:left w:val="nil"/>
          <w:bottom w:val="nil"/>
          <w:right w:val="nil"/>
          <w:insideH w:val="single" w:color="8064A2" w:themeColor="accent4" w:sz="4" w:space="0"/>
          <w:insideV w:val="nil"/>
        </w:tcBorders>
        <w:shd w:val="clear" w:color="auto" w:fill="4C3B62" w:themeFill="accent4" w:themeFillShade="99"/>
      </w:tcPr>
    </w:tblStylePr>
    <w:tblStylePr w:type="lastCol">
      <w:rPr>
        <w:color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themeColor="text1"/>
      </w:rPr>
      <w:tblPr/>
    </w:tblStylePr>
    <w:tblStylePr w:type="nwCell">
      <w:rPr>
        <w:color w:themeColor="text1"/>
      </w:rPr>
      <w:tblPr/>
    </w:tblStylePr>
  </w:style>
  <w:style w:type="table" w:styleId="ColorfulShading-Accent5">
    <w:name w:val="Colorful Shading Accent 5"/>
    <w:basedOn w:val="TableNormal"/>
    <w:uiPriority w:val="71"/>
    <w:rsid w:val="00cb0664"/>
    <w:rPr>
      <w:color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76A7C" w:themeFill="accent5" w:themeFillShade="99"/>
      </w:tcPr>
    </w:tblStylePr>
    <w:tblStylePr w:type="firstCol">
      <w:rPr>
        <w:color w:themeColor="background1"/>
      </w:rPr>
      <w:tblPr/>
      <w:tcPr>
        <w:tcBorders>
          <w:top w:val="nil"/>
          <w:left w:val="nil"/>
          <w:bottom w:val="nil"/>
          <w:right w:val="nil"/>
          <w:insideH w:val="single" w:color="4BACC6" w:themeColor="accent5" w:sz="4" w:space="0"/>
          <w:insideV w:val="nil"/>
        </w:tcBorders>
        <w:shd w:val="clear" w:color="auto" w:fill="276A7C" w:themeFill="accent5" w:themeFillShade="99"/>
      </w:tcPr>
    </w:tblStylePr>
    <w:tblStylePr w:type="lastCol">
      <w:rPr>
        <w:color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themeColor="text1"/>
      </w:rPr>
      <w:tblPr/>
    </w:tblStylePr>
    <w:tblStylePr w:type="nwCell">
      <w:rPr>
        <w:color w:themeColor="text1"/>
      </w:rPr>
      <w:tblPr/>
    </w:tblStylePr>
  </w:style>
  <w:style w:type="table" w:styleId="ColorfulShading-Accent6">
    <w:name w:val="Colorful Shading Accent 6"/>
    <w:basedOn w:val="TableNormal"/>
    <w:uiPriority w:val="71"/>
    <w:rsid w:val="00cb0664"/>
    <w:rPr>
      <w:color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B65608" w:themeFill="accent6" w:themeFillShade="99"/>
      </w:tcPr>
    </w:tblStylePr>
    <w:tblStylePr w:type="firstCol">
      <w:rPr>
        <w:color w:themeColor="background1"/>
      </w:rPr>
      <w:tblPr/>
      <w:tcPr>
        <w:tcBorders>
          <w:top w:val="nil"/>
          <w:left w:val="nil"/>
          <w:bottom w:val="nil"/>
          <w:right w:val="nil"/>
          <w:insideH w:val="single" w:color="F79646" w:themeColor="accent6" w:sz="4" w:space="0"/>
          <w:insideV w:val="nil"/>
        </w:tcBorders>
        <w:shd w:val="clear" w:color="auto" w:fill="B65608" w:themeFill="accent6" w:themeFillShade="99"/>
      </w:tcPr>
    </w:tblStylePr>
    <w:tblStylePr w:type="lastCol">
      <w:rPr>
        <w:color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themeColor="text1"/>
      </w:rPr>
      <w:tblPr/>
    </w:tblStylePr>
    <w:tblStylePr w:type="nwCell">
      <w:rPr>
        <w:color w:themeColor="text1"/>
      </w:rPr>
      <w:tblPr/>
    </w:tblStylePr>
  </w:style>
  <w:style w:type="table" w:styleId="ColorfulList">
    <w:name w:val="Colorful List"/>
    <w:basedOn w:val="TableNormal"/>
    <w:uiPriority w:val="72"/>
    <w:rsid w:val="00cb0664"/>
    <w:rPr>
      <w:color w:themeColor="text1"/>
    </w:rPr>
    <w:tblPr>
      <w:tblStyleRowBandSize w:val="1"/>
      <w:tblStyleColBandSize w:val="1"/>
    </w:tblPr>
    <w:tcPr>
      <w:shd w:val="clear" w:color="auto" w:fill="E6E6E6" w:themeFill="tex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rPr>
      <w:color w:themeColor="text1"/>
    </w:rPr>
    <w:tblPr>
      <w:tblStyleRowBandSize w:val="1"/>
      <w:tblStyleColBandSize w:val="1"/>
    </w:tblPr>
    <w:tcPr>
      <w:shd w:val="clear" w:color="auto" w:fill="EDF2F8" w:themeFill="accen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rPr>
      <w:color w:themeColor="text1"/>
    </w:rPr>
    <w:tblPr>
      <w:tblStyleRowBandSize w:val="1"/>
      <w:tblStyleColBandSize w:val="1"/>
    </w:tblPr>
    <w:tcPr>
      <w:shd w:val="clear" w:color="auto" w:fill="F8EDED" w:themeFill="accent2"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rPr>
      <w:color w:themeColor="text1"/>
    </w:rPr>
    <w:tblPr>
      <w:tblStyleRowBandSize w:val="1"/>
      <w:tblStyleColBandSize w:val="1"/>
    </w:tblPr>
    <w:tcPr>
      <w:shd w:val="clear" w:color="auto" w:fill="F5F8EE" w:themeFill="accent3" w:themeFillTint="19"/>
    </w:tcPr>
    <w:tblStylePr w:type="firstRow">
      <w:rPr>
        <w:b/>
        <w:bCs/>
        <w:color w:themeColor="background1"/>
      </w:rPr>
      <w:tblPr/>
      <w:tcPr>
        <w:tcBorders>
          <w:bottom w:val="single" w:color="FFFFFF" w:themeColor="background1" w:sz="12" w:space="0"/>
        </w:tcBorders>
        <w:shd w:val="clear" w:color="auto" w:fill="664E82" w:themeFill="accent4" w:themeFillShade="cc"/>
      </w:tcPr>
    </w:tblStylePr>
    <w:tblStylePr w:type="lastRow">
      <w:rPr>
        <w:b/>
        <w:bCs/>
        <w:color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rPr>
      <w:color w:themeColor="text1"/>
    </w:rPr>
    <w:tblPr>
      <w:tblStyleRowBandSize w:val="1"/>
      <w:tblStyleColBandSize w:val="1"/>
    </w:tblPr>
    <w:tcPr>
      <w:shd w:val="clear" w:color="auto" w:fill="F2EFF6" w:themeFill="accent4" w:themeFillTint="19"/>
    </w:tcPr>
    <w:tblStylePr w:type="firstRow">
      <w:rPr>
        <w:b/>
        <w:bCs/>
        <w:color w:themeColor="background1"/>
      </w:rPr>
      <w:tblPr/>
      <w:tcPr>
        <w:tcBorders>
          <w:bottom w:val="single" w:color="FFFFFF" w:themeColor="background1" w:sz="12" w:space="0"/>
        </w:tcBorders>
        <w:shd w:val="clear" w:color="auto" w:fill="7E9C40" w:themeFill="accent3" w:themeFillShade="cc"/>
      </w:tcPr>
    </w:tblStylePr>
    <w:tblStylePr w:type="lastRow">
      <w:rPr>
        <w:b/>
        <w:bCs/>
        <w:color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rPr>
      <w:color w:themeColor="text1"/>
    </w:rPr>
    <w:tblPr>
      <w:tblStyleRowBandSize w:val="1"/>
      <w:tblStyleColBandSize w:val="1"/>
    </w:tblPr>
    <w:tcPr>
      <w:shd w:val="clear" w:color="auto" w:fill="EDF6F9" w:themeFill="accent5" w:themeFillTint="19"/>
    </w:tcPr>
    <w:tblStylePr w:type="firstRow">
      <w:rPr>
        <w:b/>
        <w:bCs/>
        <w:color w:themeColor="background1"/>
      </w:rPr>
      <w:tblPr/>
      <w:tcPr>
        <w:tcBorders>
          <w:bottom w:val="single" w:color="FFFFFF" w:themeColor="background1" w:sz="12" w:space="0"/>
        </w:tcBorders>
        <w:shd w:val="clear" w:color="auto" w:fill="F2730A" w:themeFill="accent6" w:themeFillShade="cc"/>
      </w:tcPr>
    </w:tblStylePr>
    <w:tblStylePr w:type="lastRow">
      <w:rPr>
        <w:b/>
        <w:bCs/>
        <w:color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rPr>
      <w:color w:themeColor="text1"/>
    </w:rPr>
    <w:tblPr>
      <w:tblStyleRowBandSize w:val="1"/>
      <w:tblStyleColBandSize w:val="1"/>
    </w:tblPr>
    <w:tcPr>
      <w:shd w:val="clear" w:color="auto" w:fill="FEF4EC" w:themeFill="accent6" w:themeFillTint="19"/>
    </w:tcPr>
    <w:tblStylePr w:type="firstRow">
      <w:rPr>
        <w:b/>
        <w:bCs/>
        <w:color w:themeColor="background1"/>
      </w:rPr>
      <w:tblPr/>
      <w:tcPr>
        <w:tcBorders>
          <w:bottom w:val="single" w:color="FFFFFF" w:themeColor="background1" w:sz="12" w:space="0"/>
        </w:tcBorders>
        <w:shd w:val="clear" w:color="auto" w:fill="348DA5" w:themeFill="accent5" w:themeFillShade="cc"/>
      </w:tcPr>
    </w:tblStylePr>
    <w:tblStylePr w:type="lastRow">
      <w:rPr>
        <w:b/>
        <w:bCs/>
        <w:color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rPr>
      <w:color w:themeColor="text1"/>
    </w:rPr>
    <w:tblPr>
      <w:tblStyleRowBandSize w:val="1"/>
      <w:tblStyleColBandSize w:val="1"/>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themeColor="text1"/>
      </w:rPr>
      <w:tblPr/>
      <w:tcPr>
        <w:shd w:val="clear" w:color="auto" w:fill="999999" w:themeFill="text1" w:themeFillTint="66"/>
      </w:tcPr>
    </w:tblStylePr>
    <w:tblStylePr w:type="firstCol">
      <w:rPr>
        <w:color w:themeColor="background1"/>
      </w:rPr>
      <w:tblPr/>
      <w:tcPr>
        <w:shd w:val="clear" w:color="auto" w:fill="000000" w:themeFill="text1" w:themeFillShade="bf"/>
      </w:tcPr>
    </w:tblStylePr>
    <w:tblStylePr w:type="lastCol">
      <w:rPr>
        <w:color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rPr>
      <w:color w:themeColor="text1"/>
    </w:rPr>
    <w:tblPr>
      <w:tblStyleRowBandSize w:val="1"/>
      <w:tblStyleColBandSize w:val="1"/>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themeColor="text1"/>
      </w:rPr>
      <w:tblPr/>
      <w:tcPr>
        <w:shd w:val="clear" w:color="auto" w:fill="B8CCE4" w:themeFill="accent1" w:themeFillTint="66"/>
      </w:tcPr>
    </w:tblStylePr>
    <w:tblStylePr w:type="firstCol">
      <w:rPr>
        <w:color w:themeColor="background1"/>
      </w:rPr>
      <w:tblPr/>
      <w:tcPr>
        <w:shd w:val="clear" w:color="auto" w:fill="365F91" w:themeFill="accent1" w:themeFillShade="bf"/>
      </w:tcPr>
    </w:tblStylePr>
    <w:tblStylePr w:type="lastCol">
      <w:rPr>
        <w:color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rPr>
      <w:color w:themeColor="text1"/>
    </w:rPr>
    <w:tblPr>
      <w:tblStyleRowBandSize w:val="1"/>
      <w:tblStyleColBandSize w:val="1"/>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themeColor="text1"/>
      </w:rPr>
      <w:tblPr/>
      <w:tcPr>
        <w:shd w:val="clear" w:color="auto" w:fill="E5B8B7" w:themeFill="accent2" w:themeFillTint="66"/>
      </w:tcPr>
    </w:tblStylePr>
    <w:tblStylePr w:type="firstCol">
      <w:rPr>
        <w:color w:themeColor="background1"/>
      </w:rPr>
      <w:tblPr/>
      <w:tcPr>
        <w:shd w:val="clear" w:color="auto" w:fill="943634" w:themeFill="accent2" w:themeFillShade="bf"/>
      </w:tcPr>
    </w:tblStylePr>
    <w:tblStylePr w:type="lastCol">
      <w:rPr>
        <w:color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rPr>
      <w:color w:themeColor="text1"/>
    </w:rPr>
    <w:tblPr>
      <w:tblStyleRowBandSize w:val="1"/>
      <w:tblStyleColBandSize w:val="1"/>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themeColor="text1"/>
      </w:rPr>
      <w:tblPr/>
      <w:tcPr>
        <w:shd w:val="clear" w:color="auto" w:fill="D6E3BC" w:themeFill="accent3" w:themeFillTint="66"/>
      </w:tcPr>
    </w:tblStylePr>
    <w:tblStylePr w:type="firstCol">
      <w:rPr>
        <w:color w:themeColor="background1"/>
      </w:rPr>
      <w:tblPr/>
      <w:tcPr>
        <w:shd w:val="clear" w:color="auto" w:fill="76923C" w:themeFill="accent3" w:themeFillShade="bf"/>
      </w:tcPr>
    </w:tblStylePr>
    <w:tblStylePr w:type="lastCol">
      <w:rPr>
        <w:color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rPr>
      <w:color w:themeColor="text1"/>
    </w:rPr>
    <w:tblPr>
      <w:tblStyleRowBandSize w:val="1"/>
      <w:tblStyleColBandSize w:val="1"/>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themeColor="text1"/>
      </w:rPr>
      <w:tblPr/>
      <w:tcPr>
        <w:shd w:val="clear" w:color="auto" w:fill="CCC0D9" w:themeFill="accent4" w:themeFillTint="66"/>
      </w:tcPr>
    </w:tblStylePr>
    <w:tblStylePr w:type="firstCol">
      <w:rPr>
        <w:color w:themeColor="background1"/>
      </w:rPr>
      <w:tblPr/>
      <w:tcPr>
        <w:shd w:val="clear" w:color="auto" w:fill="5F497A" w:themeFill="accent4" w:themeFillShade="bf"/>
      </w:tcPr>
    </w:tblStylePr>
    <w:tblStylePr w:type="lastCol">
      <w:rPr>
        <w:color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rPr>
      <w:color w:themeColor="text1"/>
    </w:rPr>
    <w:tblPr>
      <w:tblStyleRowBandSize w:val="1"/>
      <w:tblStyleColBandSize w:val="1"/>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themeColor="text1"/>
      </w:rPr>
      <w:tblPr/>
      <w:tcPr>
        <w:shd w:val="clear" w:color="auto" w:fill="B6DDE8" w:themeFill="accent5" w:themeFillTint="66"/>
      </w:tcPr>
    </w:tblStylePr>
    <w:tblStylePr w:type="firstCol">
      <w:rPr>
        <w:color w:themeColor="background1"/>
      </w:rPr>
      <w:tblPr/>
      <w:tcPr>
        <w:shd w:val="clear" w:color="auto" w:fill="31849B" w:themeFill="accent5" w:themeFillShade="bf"/>
      </w:tcPr>
    </w:tblStylePr>
    <w:tblStylePr w:type="lastCol">
      <w:rPr>
        <w:color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rPr>
      <w:color w:themeColor="text1"/>
    </w:rPr>
    <w:tblPr>
      <w:tblStyleRowBandSize w:val="1"/>
      <w:tblStyleColBandSize w:val="1"/>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themeColor="text1"/>
      </w:rPr>
      <w:tblPr/>
      <w:tcPr>
        <w:shd w:val="clear" w:color="auto" w:fill="FBD4B4" w:themeFill="accent6" w:themeFillTint="66"/>
      </w:tcPr>
    </w:tblStylePr>
    <w:tblStylePr w:type="firstCol">
      <w:rPr>
        <w:color w:themeColor="background1"/>
      </w:rPr>
      <w:tblPr/>
      <w:tcPr>
        <w:shd w:val="clear" w:color="auto" w:fill="E36C0A" w:themeFill="accent6" w:themeFillShade="bf"/>
      </w:tcPr>
    </w:tblStylePr>
    <w:tblStylePr w:type="lastCol">
      <w:rPr>
        <w:color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OC1">
    <w:name w:val="TOC 1"/>
    <w:pPr>
      <w:spacing w:before="0" w:after="30" w:line="240" w:lineRule="auto"/>
      <w:ind w:left="0"/>
    </w:pPr>
    <w:rPr>
      <w:rFonts w:ascii="Arial" w:hAnsi="Arial"/>
      <w:b/>
      <w:color w:val="233746"/>
      <w:sz w:val="18"/>
    </w:rPr>
  </w:style>
  <w:style w:type="paragraph" w:customStyle="1" w:styleId="TOC2">
    <w:name w:val="TOC 2"/>
    <w:pPr>
      <w:spacing w:before="0" w:after="30" w:line="240" w:lineRule="auto"/>
      <w:ind w:left="317"/>
    </w:pPr>
    <w:rPr>
      <w:rFonts w:ascii="Arial" w:hAnsi="Arial"/>
      <w:b w:val="0"/>
      <w:color w:val="466B7A"/>
      <w:sz w:val="16"/>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Relationship Id="rId12" Type="http://schemas.openxmlformats.org/officeDocument/2006/relationships/customXml" Target="../customXml/item1.xml"/></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Application>LibreOffice/25.2.3.2$Linux_X86_64 LibreOffice_project/520$Build-2</Application>
  <AppVersion>15.0000</AppVersion>
  <Pages>1531</Pages>
  <Words>442210</Words>
  <Characters>2929601</Characters>
  <CharactersWithSpaces>3360846</CharactersWithSpaces>
  <Paragraphs>12351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Formatting, navigation, verified truncation repair, and table reconstruction; substantive provisions preserved.</dc:description>
  <dc:language>en-US</dc:language>
  <cp:lastModifiedBy>Heather Leblanc</cp:lastModifiedBy>
  <dcterms:modified xsi:type="dcterms:W3CDTF">2026-08-18T13:53:00Z</dcterms:modified>
  <cp:revision>7</cp:revision>
  <dc:subject>NAESTMA Version 9.7A — Government Formatting Edition</dc:subject>
  <dc:title>North American Economic Security and Trade Modernization Agreement</dc:title>
  <cp:version>8.9</cp:version>
</cp:coreProperties>
</file>

<file path=docProps/custom.xml><?xml version="1.0" encoding="utf-8"?>
<Properties xmlns="http://schemas.openxmlformats.org/officeDocument/2006/custom-properties" xmlns:vt="http://schemas.openxmlformats.org/officeDocument/2006/docPropsVTypes"/>
</file>